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0AE6A" w14:textId="77777777" w:rsidR="0048364F" w:rsidRPr="00DE0962" w:rsidRDefault="00193461" w:rsidP="0020300C">
      <w:pPr>
        <w:rPr>
          <w:sz w:val="28"/>
        </w:rPr>
      </w:pPr>
      <w:r w:rsidRPr="00DE0962">
        <w:rPr>
          <w:noProof/>
          <w:lang w:eastAsia="en-AU"/>
        </w:rPr>
        <w:drawing>
          <wp:inline distT="0" distB="0" distL="0" distR="0" wp14:anchorId="1C7B9808" wp14:editId="4C84208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31FDA25" w14:textId="77777777" w:rsidR="0048364F" w:rsidRPr="00DE0962" w:rsidRDefault="0048364F" w:rsidP="0048364F">
      <w:pPr>
        <w:rPr>
          <w:sz w:val="19"/>
        </w:rPr>
      </w:pPr>
    </w:p>
    <w:p w14:paraId="58009BC6" w14:textId="77777777" w:rsidR="0048364F" w:rsidRPr="00DE0962" w:rsidRDefault="002F3C62" w:rsidP="0048364F">
      <w:pPr>
        <w:pStyle w:val="ShortT"/>
      </w:pPr>
      <w:r w:rsidRPr="00DE0962">
        <w:t>Treasury Laws Amendment (</w:t>
      </w:r>
      <w:bookmarkStart w:id="0" w:name="_GoBack"/>
      <w:bookmarkEnd w:id="0"/>
      <w:r w:rsidRPr="00DE0962">
        <w:t xml:space="preserve">Enhancing </w:t>
      </w:r>
      <w:r w:rsidR="0036724C" w:rsidRPr="00DE0962">
        <w:t xml:space="preserve">Superannuation </w:t>
      </w:r>
      <w:r w:rsidRPr="00DE0962">
        <w:t>Outcomes</w:t>
      </w:r>
      <w:r w:rsidR="0036724C" w:rsidRPr="00DE0962">
        <w:t xml:space="preserve">) </w:t>
      </w:r>
      <w:r w:rsidR="00E62AE8">
        <w:t>Regulations 2</w:t>
      </w:r>
      <w:r w:rsidR="0036724C" w:rsidRPr="00DE0962">
        <w:t>02</w:t>
      </w:r>
      <w:r w:rsidR="002208A1">
        <w:t>2</w:t>
      </w:r>
    </w:p>
    <w:p w14:paraId="2A64EF12" w14:textId="77777777" w:rsidR="002B4165" w:rsidRPr="00DE0962" w:rsidRDefault="002B4165" w:rsidP="00DE0962">
      <w:pPr>
        <w:pStyle w:val="SignCoverPageStart"/>
        <w:spacing w:before="240"/>
        <w:rPr>
          <w:szCs w:val="22"/>
        </w:rPr>
      </w:pPr>
      <w:r w:rsidRPr="00DE0962">
        <w:rPr>
          <w:szCs w:val="22"/>
        </w:rPr>
        <w:t>I, General the Honourable David Hurley AC DSC (</w:t>
      </w:r>
      <w:proofErr w:type="spellStart"/>
      <w:r w:rsidRPr="00DE0962">
        <w:rPr>
          <w:szCs w:val="22"/>
        </w:rPr>
        <w:t>Retd</w:t>
      </w:r>
      <w:proofErr w:type="spellEnd"/>
      <w:r w:rsidRPr="00DE0962">
        <w:rPr>
          <w:szCs w:val="22"/>
        </w:rPr>
        <w:t>), Governor</w:t>
      </w:r>
      <w:r w:rsidR="00E62AE8">
        <w:rPr>
          <w:szCs w:val="22"/>
        </w:rPr>
        <w:noBreakHyphen/>
      </w:r>
      <w:r w:rsidRPr="00DE0962">
        <w:rPr>
          <w:szCs w:val="22"/>
        </w:rPr>
        <w:t>General of the Commonwealth of Australia, acting with the advice of the Federal Executive Council, make the following regulations.</w:t>
      </w:r>
    </w:p>
    <w:p w14:paraId="7D344DD7" w14:textId="3BC9EBBF" w:rsidR="002B4165" w:rsidRPr="00DE0962" w:rsidRDefault="002B4165" w:rsidP="00DE0962">
      <w:pPr>
        <w:keepNext/>
        <w:spacing w:before="720" w:line="240" w:lineRule="atLeast"/>
        <w:ind w:right="397"/>
        <w:jc w:val="both"/>
        <w:rPr>
          <w:szCs w:val="22"/>
        </w:rPr>
      </w:pPr>
      <w:r w:rsidRPr="00DE0962">
        <w:rPr>
          <w:szCs w:val="22"/>
        </w:rPr>
        <w:t xml:space="preserve">Dated </w:t>
      </w:r>
      <w:r w:rsidRPr="00DE0962">
        <w:rPr>
          <w:szCs w:val="22"/>
        </w:rPr>
        <w:fldChar w:fldCharType="begin"/>
      </w:r>
      <w:r w:rsidRPr="00DE0962">
        <w:rPr>
          <w:szCs w:val="22"/>
        </w:rPr>
        <w:instrText xml:space="preserve"> DOCPROPERTY  DateMade </w:instrText>
      </w:r>
      <w:r w:rsidRPr="00DE0962">
        <w:rPr>
          <w:szCs w:val="22"/>
        </w:rPr>
        <w:fldChar w:fldCharType="separate"/>
      </w:r>
      <w:r w:rsidR="00766861">
        <w:rPr>
          <w:szCs w:val="22"/>
        </w:rPr>
        <w:t>03 March 2022</w:t>
      </w:r>
      <w:r w:rsidRPr="00DE0962">
        <w:rPr>
          <w:szCs w:val="22"/>
        </w:rPr>
        <w:fldChar w:fldCharType="end"/>
      </w:r>
    </w:p>
    <w:p w14:paraId="5A9B3C2C" w14:textId="77777777" w:rsidR="002B4165" w:rsidRPr="00DE0962" w:rsidRDefault="002B4165" w:rsidP="00DE0962">
      <w:pPr>
        <w:keepNext/>
        <w:tabs>
          <w:tab w:val="left" w:pos="3402"/>
        </w:tabs>
        <w:spacing w:before="1080" w:line="300" w:lineRule="atLeast"/>
        <w:ind w:left="397" w:right="397"/>
        <w:jc w:val="right"/>
        <w:rPr>
          <w:szCs w:val="22"/>
        </w:rPr>
      </w:pPr>
      <w:r w:rsidRPr="00DE0962">
        <w:rPr>
          <w:szCs w:val="22"/>
        </w:rPr>
        <w:t>David Hurley</w:t>
      </w:r>
    </w:p>
    <w:p w14:paraId="1060429F" w14:textId="77777777" w:rsidR="002B4165" w:rsidRPr="00DE0962" w:rsidRDefault="002B4165" w:rsidP="00DE0962">
      <w:pPr>
        <w:keepNext/>
        <w:tabs>
          <w:tab w:val="left" w:pos="3402"/>
        </w:tabs>
        <w:spacing w:line="300" w:lineRule="atLeast"/>
        <w:ind w:left="397" w:right="397"/>
        <w:jc w:val="right"/>
        <w:rPr>
          <w:szCs w:val="22"/>
        </w:rPr>
      </w:pPr>
      <w:r w:rsidRPr="00DE0962">
        <w:rPr>
          <w:szCs w:val="22"/>
        </w:rPr>
        <w:t>Governor</w:t>
      </w:r>
      <w:r w:rsidR="00E62AE8">
        <w:rPr>
          <w:szCs w:val="22"/>
        </w:rPr>
        <w:noBreakHyphen/>
      </w:r>
      <w:r w:rsidRPr="00DE0962">
        <w:rPr>
          <w:szCs w:val="22"/>
        </w:rPr>
        <w:t>General</w:t>
      </w:r>
    </w:p>
    <w:p w14:paraId="57E8910C" w14:textId="77777777" w:rsidR="002B4165" w:rsidRPr="00DE0962" w:rsidRDefault="002B4165" w:rsidP="00DE0962">
      <w:pPr>
        <w:keepNext/>
        <w:tabs>
          <w:tab w:val="left" w:pos="3402"/>
        </w:tabs>
        <w:spacing w:before="840" w:after="1080" w:line="300" w:lineRule="atLeast"/>
        <w:ind w:right="397"/>
        <w:rPr>
          <w:szCs w:val="22"/>
        </w:rPr>
      </w:pPr>
      <w:r w:rsidRPr="00DE0962">
        <w:rPr>
          <w:szCs w:val="22"/>
        </w:rPr>
        <w:t>By His Excellency’s Command</w:t>
      </w:r>
    </w:p>
    <w:p w14:paraId="1011578C" w14:textId="77777777" w:rsidR="002B4165" w:rsidRPr="00DE0962" w:rsidRDefault="002B4165" w:rsidP="00DE0962">
      <w:pPr>
        <w:keepNext/>
        <w:tabs>
          <w:tab w:val="left" w:pos="3402"/>
        </w:tabs>
        <w:spacing w:before="480" w:line="300" w:lineRule="atLeast"/>
        <w:ind w:right="397"/>
        <w:rPr>
          <w:szCs w:val="22"/>
        </w:rPr>
      </w:pPr>
      <w:r w:rsidRPr="00DE0962">
        <w:rPr>
          <w:szCs w:val="22"/>
        </w:rPr>
        <w:t>Jane Hume</w:t>
      </w:r>
    </w:p>
    <w:p w14:paraId="045855B4" w14:textId="77777777" w:rsidR="002B4165" w:rsidRPr="00DE0962" w:rsidRDefault="002B4165" w:rsidP="00DE0962">
      <w:pPr>
        <w:pStyle w:val="SignCoverPageEnd"/>
        <w:rPr>
          <w:szCs w:val="22"/>
        </w:rPr>
      </w:pPr>
      <w:r w:rsidRPr="00DE0962">
        <w:rPr>
          <w:szCs w:val="22"/>
        </w:rPr>
        <w:t>Minister for Superannuation, Financial Services and the Digital Economy</w:t>
      </w:r>
    </w:p>
    <w:p w14:paraId="4BDC8493" w14:textId="77777777" w:rsidR="002B4165" w:rsidRPr="00DE0962" w:rsidRDefault="002B4165" w:rsidP="00DE0962"/>
    <w:p w14:paraId="65D6DF5B" w14:textId="77777777" w:rsidR="002B4165" w:rsidRPr="00DE0962" w:rsidRDefault="002B4165" w:rsidP="00DE0962"/>
    <w:p w14:paraId="7F438BBC" w14:textId="77777777" w:rsidR="002B4165" w:rsidRPr="00DE0962" w:rsidRDefault="002B4165" w:rsidP="00DE0962"/>
    <w:p w14:paraId="5D5497CB" w14:textId="77777777" w:rsidR="0048364F" w:rsidRPr="0010550D" w:rsidRDefault="0048364F" w:rsidP="0048364F">
      <w:pPr>
        <w:pStyle w:val="Header"/>
        <w:tabs>
          <w:tab w:val="clear" w:pos="4150"/>
          <w:tab w:val="clear" w:pos="8307"/>
        </w:tabs>
      </w:pPr>
      <w:r w:rsidRPr="0010550D">
        <w:rPr>
          <w:rStyle w:val="CharAmSchNo"/>
        </w:rPr>
        <w:t xml:space="preserve"> </w:t>
      </w:r>
      <w:r w:rsidRPr="0010550D">
        <w:rPr>
          <w:rStyle w:val="CharAmSchText"/>
        </w:rPr>
        <w:t xml:space="preserve"> </w:t>
      </w:r>
    </w:p>
    <w:p w14:paraId="11502130" w14:textId="77777777" w:rsidR="0048364F" w:rsidRPr="0010550D" w:rsidRDefault="0048364F" w:rsidP="0048364F">
      <w:pPr>
        <w:pStyle w:val="Header"/>
        <w:tabs>
          <w:tab w:val="clear" w:pos="4150"/>
          <w:tab w:val="clear" w:pos="8307"/>
        </w:tabs>
      </w:pPr>
      <w:r w:rsidRPr="0010550D">
        <w:rPr>
          <w:rStyle w:val="CharAmPartNo"/>
        </w:rPr>
        <w:t xml:space="preserve"> </w:t>
      </w:r>
      <w:r w:rsidRPr="0010550D">
        <w:rPr>
          <w:rStyle w:val="CharAmPartText"/>
        </w:rPr>
        <w:t xml:space="preserve"> </w:t>
      </w:r>
    </w:p>
    <w:p w14:paraId="4A15EB21" w14:textId="77777777" w:rsidR="0048364F" w:rsidRPr="00DE0962" w:rsidRDefault="0048364F" w:rsidP="0048364F">
      <w:pPr>
        <w:sectPr w:rsidR="0048364F" w:rsidRPr="00DE0962" w:rsidSect="008D5182">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45EA2FC6" w14:textId="77777777" w:rsidR="00220A0C" w:rsidRPr="00DE0962" w:rsidRDefault="0048364F" w:rsidP="0048364F">
      <w:pPr>
        <w:outlineLvl w:val="0"/>
        <w:rPr>
          <w:sz w:val="36"/>
        </w:rPr>
      </w:pPr>
      <w:r w:rsidRPr="00DE0962">
        <w:rPr>
          <w:sz w:val="36"/>
        </w:rPr>
        <w:lastRenderedPageBreak/>
        <w:t>Contents</w:t>
      </w:r>
    </w:p>
    <w:p w14:paraId="44379027" w14:textId="6DBA0013" w:rsidR="00E346A0" w:rsidRPr="00DE0962" w:rsidRDefault="00E346A0">
      <w:pPr>
        <w:pStyle w:val="TOC5"/>
        <w:rPr>
          <w:rFonts w:asciiTheme="minorHAnsi" w:eastAsiaTheme="minorEastAsia" w:hAnsiTheme="minorHAnsi" w:cstheme="minorBidi"/>
          <w:noProof/>
          <w:kern w:val="0"/>
          <w:sz w:val="22"/>
          <w:szCs w:val="22"/>
        </w:rPr>
      </w:pPr>
      <w:r w:rsidRPr="00DE0962">
        <w:fldChar w:fldCharType="begin"/>
      </w:r>
      <w:r w:rsidRPr="00DE0962">
        <w:instrText xml:space="preserve"> TOC \o "1-9" </w:instrText>
      </w:r>
      <w:r w:rsidRPr="00DE0962">
        <w:fldChar w:fldCharType="separate"/>
      </w:r>
      <w:r w:rsidRPr="00DE0962">
        <w:rPr>
          <w:noProof/>
        </w:rPr>
        <w:t>1</w:t>
      </w:r>
      <w:r w:rsidRPr="00DE0962">
        <w:rPr>
          <w:noProof/>
        </w:rPr>
        <w:tab/>
        <w:t>Name</w:t>
      </w:r>
      <w:r w:rsidRPr="00DE0962">
        <w:rPr>
          <w:noProof/>
        </w:rPr>
        <w:tab/>
      </w:r>
      <w:r w:rsidRPr="00DE0962">
        <w:rPr>
          <w:noProof/>
        </w:rPr>
        <w:fldChar w:fldCharType="begin"/>
      </w:r>
      <w:r w:rsidRPr="00DE0962">
        <w:rPr>
          <w:noProof/>
        </w:rPr>
        <w:instrText xml:space="preserve"> PAGEREF _Toc88131754 \h </w:instrText>
      </w:r>
      <w:r w:rsidRPr="00DE0962">
        <w:rPr>
          <w:noProof/>
        </w:rPr>
      </w:r>
      <w:r w:rsidRPr="00DE0962">
        <w:rPr>
          <w:noProof/>
        </w:rPr>
        <w:fldChar w:fldCharType="separate"/>
      </w:r>
      <w:r w:rsidR="00766861">
        <w:rPr>
          <w:noProof/>
        </w:rPr>
        <w:t>1</w:t>
      </w:r>
      <w:r w:rsidRPr="00DE0962">
        <w:rPr>
          <w:noProof/>
        </w:rPr>
        <w:fldChar w:fldCharType="end"/>
      </w:r>
    </w:p>
    <w:p w14:paraId="22A1FE1D" w14:textId="432F7143" w:rsidR="00E346A0" w:rsidRPr="00DE0962" w:rsidRDefault="00E346A0">
      <w:pPr>
        <w:pStyle w:val="TOC5"/>
        <w:rPr>
          <w:rFonts w:asciiTheme="minorHAnsi" w:eastAsiaTheme="minorEastAsia" w:hAnsiTheme="minorHAnsi" w:cstheme="minorBidi"/>
          <w:noProof/>
          <w:kern w:val="0"/>
          <w:sz w:val="22"/>
          <w:szCs w:val="22"/>
        </w:rPr>
      </w:pPr>
      <w:r w:rsidRPr="00DE0962">
        <w:rPr>
          <w:noProof/>
        </w:rPr>
        <w:t>2</w:t>
      </w:r>
      <w:r w:rsidRPr="00DE0962">
        <w:rPr>
          <w:noProof/>
        </w:rPr>
        <w:tab/>
        <w:t>Commencement</w:t>
      </w:r>
      <w:r w:rsidRPr="00DE0962">
        <w:rPr>
          <w:noProof/>
        </w:rPr>
        <w:tab/>
      </w:r>
      <w:r w:rsidRPr="00DE0962">
        <w:rPr>
          <w:noProof/>
        </w:rPr>
        <w:fldChar w:fldCharType="begin"/>
      </w:r>
      <w:r w:rsidRPr="00DE0962">
        <w:rPr>
          <w:noProof/>
        </w:rPr>
        <w:instrText xml:space="preserve"> PAGEREF _Toc88131755 \h </w:instrText>
      </w:r>
      <w:r w:rsidRPr="00DE0962">
        <w:rPr>
          <w:noProof/>
        </w:rPr>
      </w:r>
      <w:r w:rsidRPr="00DE0962">
        <w:rPr>
          <w:noProof/>
        </w:rPr>
        <w:fldChar w:fldCharType="separate"/>
      </w:r>
      <w:r w:rsidR="00766861">
        <w:rPr>
          <w:noProof/>
        </w:rPr>
        <w:t>1</w:t>
      </w:r>
      <w:r w:rsidRPr="00DE0962">
        <w:rPr>
          <w:noProof/>
        </w:rPr>
        <w:fldChar w:fldCharType="end"/>
      </w:r>
    </w:p>
    <w:p w14:paraId="3B9E5F20" w14:textId="6E761D0B" w:rsidR="00E346A0" w:rsidRPr="00DE0962" w:rsidRDefault="00E346A0">
      <w:pPr>
        <w:pStyle w:val="TOC5"/>
        <w:rPr>
          <w:rFonts w:asciiTheme="minorHAnsi" w:eastAsiaTheme="minorEastAsia" w:hAnsiTheme="minorHAnsi" w:cstheme="minorBidi"/>
          <w:noProof/>
          <w:kern w:val="0"/>
          <w:sz w:val="22"/>
          <w:szCs w:val="22"/>
        </w:rPr>
      </w:pPr>
      <w:r w:rsidRPr="00DE0962">
        <w:rPr>
          <w:noProof/>
        </w:rPr>
        <w:t>3</w:t>
      </w:r>
      <w:r w:rsidRPr="00DE0962">
        <w:rPr>
          <w:noProof/>
        </w:rPr>
        <w:tab/>
        <w:t>Authority</w:t>
      </w:r>
      <w:r w:rsidRPr="00DE0962">
        <w:rPr>
          <w:noProof/>
        </w:rPr>
        <w:tab/>
      </w:r>
      <w:r w:rsidRPr="00DE0962">
        <w:rPr>
          <w:noProof/>
        </w:rPr>
        <w:fldChar w:fldCharType="begin"/>
      </w:r>
      <w:r w:rsidRPr="00DE0962">
        <w:rPr>
          <w:noProof/>
        </w:rPr>
        <w:instrText xml:space="preserve"> PAGEREF _Toc88131756 \h </w:instrText>
      </w:r>
      <w:r w:rsidRPr="00DE0962">
        <w:rPr>
          <w:noProof/>
        </w:rPr>
      </w:r>
      <w:r w:rsidRPr="00DE0962">
        <w:rPr>
          <w:noProof/>
        </w:rPr>
        <w:fldChar w:fldCharType="separate"/>
      </w:r>
      <w:r w:rsidR="00766861">
        <w:rPr>
          <w:noProof/>
        </w:rPr>
        <w:t>1</w:t>
      </w:r>
      <w:r w:rsidRPr="00DE0962">
        <w:rPr>
          <w:noProof/>
        </w:rPr>
        <w:fldChar w:fldCharType="end"/>
      </w:r>
    </w:p>
    <w:p w14:paraId="45B41821" w14:textId="2B9B3B96" w:rsidR="00E346A0" w:rsidRPr="00DE0962" w:rsidRDefault="00E346A0">
      <w:pPr>
        <w:pStyle w:val="TOC5"/>
        <w:rPr>
          <w:rFonts w:asciiTheme="minorHAnsi" w:eastAsiaTheme="minorEastAsia" w:hAnsiTheme="minorHAnsi" w:cstheme="minorBidi"/>
          <w:noProof/>
          <w:kern w:val="0"/>
          <w:sz w:val="22"/>
          <w:szCs w:val="22"/>
        </w:rPr>
      </w:pPr>
      <w:r w:rsidRPr="00DE0962">
        <w:rPr>
          <w:noProof/>
        </w:rPr>
        <w:t>4</w:t>
      </w:r>
      <w:r w:rsidRPr="00DE0962">
        <w:rPr>
          <w:noProof/>
        </w:rPr>
        <w:tab/>
        <w:t>Schedules</w:t>
      </w:r>
      <w:r w:rsidRPr="00DE0962">
        <w:rPr>
          <w:noProof/>
        </w:rPr>
        <w:tab/>
      </w:r>
      <w:r w:rsidRPr="00DE0962">
        <w:rPr>
          <w:noProof/>
        </w:rPr>
        <w:fldChar w:fldCharType="begin"/>
      </w:r>
      <w:r w:rsidRPr="00DE0962">
        <w:rPr>
          <w:noProof/>
        </w:rPr>
        <w:instrText xml:space="preserve"> PAGEREF _Toc88131757 \h </w:instrText>
      </w:r>
      <w:r w:rsidRPr="00DE0962">
        <w:rPr>
          <w:noProof/>
        </w:rPr>
      </w:r>
      <w:r w:rsidRPr="00DE0962">
        <w:rPr>
          <w:noProof/>
        </w:rPr>
        <w:fldChar w:fldCharType="separate"/>
      </w:r>
      <w:r w:rsidR="00766861">
        <w:rPr>
          <w:noProof/>
        </w:rPr>
        <w:t>1</w:t>
      </w:r>
      <w:r w:rsidRPr="00DE0962">
        <w:rPr>
          <w:noProof/>
        </w:rPr>
        <w:fldChar w:fldCharType="end"/>
      </w:r>
    </w:p>
    <w:p w14:paraId="290E8B19" w14:textId="0EF4A6CA" w:rsidR="00E346A0" w:rsidRPr="00DE0962" w:rsidRDefault="00E346A0">
      <w:pPr>
        <w:pStyle w:val="TOC6"/>
        <w:rPr>
          <w:rFonts w:asciiTheme="minorHAnsi" w:eastAsiaTheme="minorEastAsia" w:hAnsiTheme="minorHAnsi" w:cstheme="minorBidi"/>
          <w:b w:val="0"/>
          <w:noProof/>
          <w:kern w:val="0"/>
          <w:sz w:val="22"/>
          <w:szCs w:val="22"/>
        </w:rPr>
      </w:pPr>
      <w:r w:rsidRPr="00DE0962">
        <w:rPr>
          <w:noProof/>
        </w:rPr>
        <w:t>Schedule 1—Amendments</w:t>
      </w:r>
      <w:r w:rsidRPr="00DE0962">
        <w:rPr>
          <w:b w:val="0"/>
          <w:noProof/>
          <w:sz w:val="18"/>
        </w:rPr>
        <w:tab/>
      </w:r>
      <w:r w:rsidRPr="00DE0962">
        <w:rPr>
          <w:b w:val="0"/>
          <w:noProof/>
          <w:sz w:val="18"/>
        </w:rPr>
        <w:fldChar w:fldCharType="begin"/>
      </w:r>
      <w:r w:rsidRPr="00DE0962">
        <w:rPr>
          <w:b w:val="0"/>
          <w:noProof/>
          <w:sz w:val="18"/>
        </w:rPr>
        <w:instrText xml:space="preserve"> PAGEREF _Toc88131758 \h </w:instrText>
      </w:r>
      <w:r w:rsidRPr="00DE0962">
        <w:rPr>
          <w:b w:val="0"/>
          <w:noProof/>
          <w:sz w:val="18"/>
        </w:rPr>
      </w:r>
      <w:r w:rsidRPr="00DE0962">
        <w:rPr>
          <w:b w:val="0"/>
          <w:noProof/>
          <w:sz w:val="18"/>
        </w:rPr>
        <w:fldChar w:fldCharType="separate"/>
      </w:r>
      <w:r w:rsidR="00766861">
        <w:rPr>
          <w:b w:val="0"/>
          <w:noProof/>
          <w:sz w:val="18"/>
        </w:rPr>
        <w:t>2</w:t>
      </w:r>
      <w:r w:rsidRPr="00DE0962">
        <w:rPr>
          <w:b w:val="0"/>
          <w:noProof/>
          <w:sz w:val="18"/>
        </w:rPr>
        <w:fldChar w:fldCharType="end"/>
      </w:r>
    </w:p>
    <w:p w14:paraId="2DFB0125" w14:textId="14ADD006" w:rsidR="00E346A0" w:rsidRPr="00DE0962" w:rsidRDefault="00E346A0">
      <w:pPr>
        <w:pStyle w:val="TOC9"/>
        <w:rPr>
          <w:rFonts w:asciiTheme="minorHAnsi" w:eastAsiaTheme="minorEastAsia" w:hAnsiTheme="minorHAnsi" w:cstheme="minorBidi"/>
          <w:i w:val="0"/>
          <w:noProof/>
          <w:kern w:val="0"/>
          <w:sz w:val="22"/>
          <w:szCs w:val="22"/>
        </w:rPr>
      </w:pPr>
      <w:r w:rsidRPr="00DE0962">
        <w:rPr>
          <w:noProof/>
        </w:rPr>
        <w:t xml:space="preserve">Income Tax Assessment (1997 Act) </w:t>
      </w:r>
      <w:r w:rsidR="00E62AE8">
        <w:rPr>
          <w:noProof/>
        </w:rPr>
        <w:t>Regulations 2</w:t>
      </w:r>
      <w:r w:rsidRPr="00DE0962">
        <w:rPr>
          <w:noProof/>
        </w:rPr>
        <w:t>021</w:t>
      </w:r>
      <w:r w:rsidRPr="00DE0962">
        <w:rPr>
          <w:i w:val="0"/>
          <w:noProof/>
          <w:sz w:val="18"/>
        </w:rPr>
        <w:tab/>
      </w:r>
      <w:r w:rsidRPr="00DE0962">
        <w:rPr>
          <w:i w:val="0"/>
          <w:noProof/>
          <w:sz w:val="18"/>
        </w:rPr>
        <w:fldChar w:fldCharType="begin"/>
      </w:r>
      <w:r w:rsidRPr="00DE0962">
        <w:rPr>
          <w:i w:val="0"/>
          <w:noProof/>
          <w:sz w:val="18"/>
        </w:rPr>
        <w:instrText xml:space="preserve"> PAGEREF _Toc88131759 \h </w:instrText>
      </w:r>
      <w:r w:rsidRPr="00DE0962">
        <w:rPr>
          <w:i w:val="0"/>
          <w:noProof/>
          <w:sz w:val="18"/>
        </w:rPr>
      </w:r>
      <w:r w:rsidRPr="00DE0962">
        <w:rPr>
          <w:i w:val="0"/>
          <w:noProof/>
          <w:sz w:val="18"/>
        </w:rPr>
        <w:fldChar w:fldCharType="separate"/>
      </w:r>
      <w:r w:rsidR="00766861">
        <w:rPr>
          <w:i w:val="0"/>
          <w:noProof/>
          <w:sz w:val="18"/>
        </w:rPr>
        <w:t>2</w:t>
      </w:r>
      <w:r w:rsidRPr="00DE0962">
        <w:rPr>
          <w:i w:val="0"/>
          <w:noProof/>
          <w:sz w:val="18"/>
        </w:rPr>
        <w:fldChar w:fldCharType="end"/>
      </w:r>
    </w:p>
    <w:p w14:paraId="1167B1B9" w14:textId="33815BF2" w:rsidR="00E346A0" w:rsidRPr="00DE0962" w:rsidRDefault="00E346A0">
      <w:pPr>
        <w:pStyle w:val="TOC9"/>
        <w:rPr>
          <w:rFonts w:asciiTheme="minorHAnsi" w:eastAsiaTheme="minorEastAsia" w:hAnsiTheme="minorHAnsi" w:cstheme="minorBidi"/>
          <w:i w:val="0"/>
          <w:noProof/>
          <w:kern w:val="0"/>
          <w:sz w:val="22"/>
          <w:szCs w:val="22"/>
        </w:rPr>
      </w:pPr>
      <w:r w:rsidRPr="00DE0962">
        <w:rPr>
          <w:noProof/>
        </w:rPr>
        <w:t>Retirement Savings Accounts Regulations 1997</w:t>
      </w:r>
      <w:r w:rsidRPr="00DE0962">
        <w:rPr>
          <w:i w:val="0"/>
          <w:noProof/>
          <w:sz w:val="18"/>
        </w:rPr>
        <w:tab/>
      </w:r>
      <w:r w:rsidRPr="00DE0962">
        <w:rPr>
          <w:i w:val="0"/>
          <w:noProof/>
          <w:sz w:val="18"/>
        </w:rPr>
        <w:fldChar w:fldCharType="begin"/>
      </w:r>
      <w:r w:rsidRPr="00DE0962">
        <w:rPr>
          <w:i w:val="0"/>
          <w:noProof/>
          <w:sz w:val="18"/>
        </w:rPr>
        <w:instrText xml:space="preserve"> PAGEREF _Toc88131761 \h </w:instrText>
      </w:r>
      <w:r w:rsidRPr="00DE0962">
        <w:rPr>
          <w:i w:val="0"/>
          <w:noProof/>
          <w:sz w:val="18"/>
        </w:rPr>
      </w:r>
      <w:r w:rsidRPr="00DE0962">
        <w:rPr>
          <w:i w:val="0"/>
          <w:noProof/>
          <w:sz w:val="18"/>
        </w:rPr>
        <w:fldChar w:fldCharType="separate"/>
      </w:r>
      <w:r w:rsidR="00766861">
        <w:rPr>
          <w:i w:val="0"/>
          <w:noProof/>
          <w:sz w:val="18"/>
        </w:rPr>
        <w:t>2</w:t>
      </w:r>
      <w:r w:rsidRPr="00DE0962">
        <w:rPr>
          <w:i w:val="0"/>
          <w:noProof/>
          <w:sz w:val="18"/>
        </w:rPr>
        <w:fldChar w:fldCharType="end"/>
      </w:r>
    </w:p>
    <w:p w14:paraId="5219D269" w14:textId="1973D7CB" w:rsidR="00E346A0" w:rsidRPr="00DE0962" w:rsidRDefault="00E346A0">
      <w:pPr>
        <w:pStyle w:val="TOC9"/>
        <w:rPr>
          <w:rFonts w:asciiTheme="minorHAnsi" w:eastAsiaTheme="minorEastAsia" w:hAnsiTheme="minorHAnsi" w:cstheme="minorBidi"/>
          <w:i w:val="0"/>
          <w:noProof/>
          <w:kern w:val="0"/>
          <w:sz w:val="22"/>
          <w:szCs w:val="22"/>
        </w:rPr>
      </w:pPr>
      <w:r w:rsidRPr="00DE0962">
        <w:rPr>
          <w:noProof/>
        </w:rPr>
        <w:t>Superannuation Industry (Supervision) Regulations 1994</w:t>
      </w:r>
      <w:r w:rsidRPr="00DE0962">
        <w:rPr>
          <w:i w:val="0"/>
          <w:noProof/>
          <w:sz w:val="18"/>
        </w:rPr>
        <w:tab/>
      </w:r>
      <w:r w:rsidRPr="00DE0962">
        <w:rPr>
          <w:i w:val="0"/>
          <w:noProof/>
          <w:sz w:val="18"/>
        </w:rPr>
        <w:fldChar w:fldCharType="begin"/>
      </w:r>
      <w:r w:rsidRPr="00DE0962">
        <w:rPr>
          <w:i w:val="0"/>
          <w:noProof/>
          <w:sz w:val="18"/>
        </w:rPr>
        <w:instrText xml:space="preserve"> PAGEREF _Toc88131763 \h </w:instrText>
      </w:r>
      <w:r w:rsidRPr="00DE0962">
        <w:rPr>
          <w:i w:val="0"/>
          <w:noProof/>
          <w:sz w:val="18"/>
        </w:rPr>
      </w:r>
      <w:r w:rsidRPr="00DE0962">
        <w:rPr>
          <w:i w:val="0"/>
          <w:noProof/>
          <w:sz w:val="18"/>
        </w:rPr>
        <w:fldChar w:fldCharType="separate"/>
      </w:r>
      <w:r w:rsidR="00766861">
        <w:rPr>
          <w:i w:val="0"/>
          <w:noProof/>
          <w:sz w:val="18"/>
        </w:rPr>
        <w:t>3</w:t>
      </w:r>
      <w:r w:rsidRPr="00DE0962">
        <w:rPr>
          <w:i w:val="0"/>
          <w:noProof/>
          <w:sz w:val="18"/>
        </w:rPr>
        <w:fldChar w:fldCharType="end"/>
      </w:r>
    </w:p>
    <w:p w14:paraId="43A9D592" w14:textId="77777777" w:rsidR="0048364F" w:rsidRPr="00DE0962" w:rsidRDefault="00E346A0" w:rsidP="0048364F">
      <w:r w:rsidRPr="00DE0962">
        <w:fldChar w:fldCharType="end"/>
      </w:r>
    </w:p>
    <w:p w14:paraId="65730A31" w14:textId="77777777" w:rsidR="0048364F" w:rsidRPr="00DE0962" w:rsidRDefault="0048364F" w:rsidP="0048364F">
      <w:pPr>
        <w:sectPr w:rsidR="0048364F" w:rsidRPr="00DE0962" w:rsidSect="008D5182">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095AF6EF" w14:textId="77777777" w:rsidR="0048364F" w:rsidRPr="00DE0962" w:rsidRDefault="0048364F" w:rsidP="0048364F">
      <w:pPr>
        <w:pStyle w:val="ActHead5"/>
      </w:pPr>
      <w:bookmarkStart w:id="1" w:name="_Toc88131754"/>
      <w:r w:rsidRPr="0010550D">
        <w:rPr>
          <w:rStyle w:val="CharSectno"/>
        </w:rPr>
        <w:lastRenderedPageBreak/>
        <w:t>1</w:t>
      </w:r>
      <w:r w:rsidRPr="00DE0962">
        <w:t xml:space="preserve">  </w:t>
      </w:r>
      <w:r w:rsidR="004F676E" w:rsidRPr="00DE0962">
        <w:t>Name</w:t>
      </w:r>
      <w:bookmarkEnd w:id="1"/>
    </w:p>
    <w:p w14:paraId="01BFEF57" w14:textId="77777777" w:rsidR="0048364F" w:rsidRPr="00DE0962" w:rsidRDefault="0048364F" w:rsidP="0048364F">
      <w:pPr>
        <w:pStyle w:val="subsection"/>
      </w:pPr>
      <w:r w:rsidRPr="00DE0962">
        <w:tab/>
      </w:r>
      <w:r w:rsidRPr="00DE0962">
        <w:tab/>
      </w:r>
      <w:r w:rsidR="0036724C" w:rsidRPr="00DE0962">
        <w:t>This instrument is</w:t>
      </w:r>
      <w:r w:rsidRPr="00DE0962">
        <w:t xml:space="preserve"> the </w:t>
      </w:r>
      <w:r w:rsidR="00E62AE8">
        <w:rPr>
          <w:i/>
          <w:noProof/>
        </w:rPr>
        <w:t>Treasury Laws Amendment (Enhancing Superannuation Outcomes) Regulations 2022</w:t>
      </w:r>
      <w:r w:rsidRPr="00DE0962">
        <w:t>.</w:t>
      </w:r>
    </w:p>
    <w:p w14:paraId="3B4D9F24" w14:textId="77777777" w:rsidR="004F676E" w:rsidRPr="00DE0962" w:rsidRDefault="0048364F" w:rsidP="005452CC">
      <w:pPr>
        <w:pStyle w:val="ActHead5"/>
      </w:pPr>
      <w:bookmarkStart w:id="2" w:name="_Toc88131755"/>
      <w:r w:rsidRPr="0010550D">
        <w:rPr>
          <w:rStyle w:val="CharSectno"/>
        </w:rPr>
        <w:t>2</w:t>
      </w:r>
      <w:r w:rsidRPr="00DE0962">
        <w:t xml:space="preserve">  Commencement</w:t>
      </w:r>
      <w:bookmarkEnd w:id="2"/>
    </w:p>
    <w:p w14:paraId="2BDF0D4F" w14:textId="77777777" w:rsidR="005452CC" w:rsidRPr="00DE0962" w:rsidRDefault="005452CC" w:rsidP="006E1A58">
      <w:pPr>
        <w:pStyle w:val="subsection"/>
      </w:pPr>
      <w:r w:rsidRPr="00DE0962">
        <w:tab/>
        <w:t>(1)</w:t>
      </w:r>
      <w:r w:rsidRPr="00DE0962">
        <w:tab/>
        <w:t xml:space="preserve">Each provision of </w:t>
      </w:r>
      <w:r w:rsidR="0036724C" w:rsidRPr="00DE0962">
        <w:t>this instrument</w:t>
      </w:r>
      <w:r w:rsidRPr="00DE0962">
        <w:t xml:space="preserve"> specified in column 1 of the table commences, or is taken to have commenced, in accordance with column 2 of the table. Any other statement in column 2 has effect according to its terms.</w:t>
      </w:r>
    </w:p>
    <w:p w14:paraId="270E6964" w14:textId="77777777" w:rsidR="005452CC" w:rsidRPr="00DE0962" w:rsidRDefault="005452CC" w:rsidP="006E1A5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DE0962" w14:paraId="37797872" w14:textId="77777777" w:rsidTr="004B2F7F">
        <w:trPr>
          <w:tblHeader/>
        </w:trPr>
        <w:tc>
          <w:tcPr>
            <w:tcW w:w="8364" w:type="dxa"/>
            <w:gridSpan w:val="3"/>
            <w:tcBorders>
              <w:top w:val="single" w:sz="12" w:space="0" w:color="auto"/>
              <w:bottom w:val="single" w:sz="6" w:space="0" w:color="auto"/>
            </w:tcBorders>
            <w:shd w:val="clear" w:color="auto" w:fill="auto"/>
            <w:hideMark/>
          </w:tcPr>
          <w:p w14:paraId="6EEDE510" w14:textId="77777777" w:rsidR="005452CC" w:rsidRPr="00DE0962" w:rsidRDefault="005452CC" w:rsidP="004B2F7F">
            <w:pPr>
              <w:pStyle w:val="TableHeading"/>
            </w:pPr>
            <w:r w:rsidRPr="00DE0962">
              <w:t>Commencement information</w:t>
            </w:r>
          </w:p>
        </w:tc>
      </w:tr>
      <w:tr w:rsidR="005452CC" w:rsidRPr="00DE0962" w14:paraId="0BD0469F" w14:textId="77777777" w:rsidTr="004B2F7F">
        <w:trPr>
          <w:tblHeader/>
        </w:trPr>
        <w:tc>
          <w:tcPr>
            <w:tcW w:w="2127" w:type="dxa"/>
            <w:tcBorders>
              <w:top w:val="single" w:sz="6" w:space="0" w:color="auto"/>
              <w:bottom w:val="single" w:sz="6" w:space="0" w:color="auto"/>
            </w:tcBorders>
            <w:shd w:val="clear" w:color="auto" w:fill="auto"/>
            <w:hideMark/>
          </w:tcPr>
          <w:p w14:paraId="4A0E7AF7" w14:textId="77777777" w:rsidR="005452CC" w:rsidRPr="00DE0962" w:rsidRDefault="005452CC" w:rsidP="004B2F7F">
            <w:pPr>
              <w:pStyle w:val="TableHeading"/>
            </w:pPr>
            <w:r w:rsidRPr="00DE0962">
              <w:t>Column 1</w:t>
            </w:r>
          </w:p>
        </w:tc>
        <w:tc>
          <w:tcPr>
            <w:tcW w:w="4394" w:type="dxa"/>
            <w:tcBorders>
              <w:top w:val="single" w:sz="6" w:space="0" w:color="auto"/>
              <w:bottom w:val="single" w:sz="6" w:space="0" w:color="auto"/>
            </w:tcBorders>
            <w:shd w:val="clear" w:color="auto" w:fill="auto"/>
            <w:hideMark/>
          </w:tcPr>
          <w:p w14:paraId="28902F7F" w14:textId="77777777" w:rsidR="005452CC" w:rsidRPr="00DE0962" w:rsidRDefault="005452CC" w:rsidP="004B2F7F">
            <w:pPr>
              <w:pStyle w:val="TableHeading"/>
            </w:pPr>
            <w:r w:rsidRPr="00DE0962">
              <w:t>Column 2</w:t>
            </w:r>
          </w:p>
        </w:tc>
        <w:tc>
          <w:tcPr>
            <w:tcW w:w="1843" w:type="dxa"/>
            <w:tcBorders>
              <w:top w:val="single" w:sz="6" w:space="0" w:color="auto"/>
              <w:bottom w:val="single" w:sz="6" w:space="0" w:color="auto"/>
            </w:tcBorders>
            <w:shd w:val="clear" w:color="auto" w:fill="auto"/>
            <w:hideMark/>
          </w:tcPr>
          <w:p w14:paraId="3E7AE5D7" w14:textId="77777777" w:rsidR="005452CC" w:rsidRPr="00DE0962" w:rsidRDefault="005452CC" w:rsidP="004B2F7F">
            <w:pPr>
              <w:pStyle w:val="TableHeading"/>
            </w:pPr>
            <w:r w:rsidRPr="00DE0962">
              <w:t>Column 3</w:t>
            </w:r>
          </w:p>
        </w:tc>
      </w:tr>
      <w:tr w:rsidR="005452CC" w:rsidRPr="00DE0962" w14:paraId="5C538D59" w14:textId="77777777" w:rsidTr="004B2F7F">
        <w:trPr>
          <w:tblHeader/>
        </w:trPr>
        <w:tc>
          <w:tcPr>
            <w:tcW w:w="2127" w:type="dxa"/>
            <w:tcBorders>
              <w:top w:val="single" w:sz="6" w:space="0" w:color="auto"/>
              <w:bottom w:val="single" w:sz="12" w:space="0" w:color="auto"/>
            </w:tcBorders>
            <w:shd w:val="clear" w:color="auto" w:fill="auto"/>
            <w:hideMark/>
          </w:tcPr>
          <w:p w14:paraId="5031E940" w14:textId="77777777" w:rsidR="005452CC" w:rsidRPr="00DE0962" w:rsidRDefault="005452CC" w:rsidP="004B2F7F">
            <w:pPr>
              <w:pStyle w:val="TableHeading"/>
            </w:pPr>
            <w:r w:rsidRPr="00DE0962">
              <w:t>Provisions</w:t>
            </w:r>
          </w:p>
        </w:tc>
        <w:tc>
          <w:tcPr>
            <w:tcW w:w="4394" w:type="dxa"/>
            <w:tcBorders>
              <w:top w:val="single" w:sz="6" w:space="0" w:color="auto"/>
              <w:bottom w:val="single" w:sz="12" w:space="0" w:color="auto"/>
            </w:tcBorders>
            <w:shd w:val="clear" w:color="auto" w:fill="auto"/>
            <w:hideMark/>
          </w:tcPr>
          <w:p w14:paraId="25CE0B87" w14:textId="77777777" w:rsidR="005452CC" w:rsidRPr="00DE0962" w:rsidRDefault="005452CC" w:rsidP="004B2F7F">
            <w:pPr>
              <w:pStyle w:val="TableHeading"/>
            </w:pPr>
            <w:r w:rsidRPr="00DE0962">
              <w:t>Commencement</w:t>
            </w:r>
          </w:p>
        </w:tc>
        <w:tc>
          <w:tcPr>
            <w:tcW w:w="1843" w:type="dxa"/>
            <w:tcBorders>
              <w:top w:val="single" w:sz="6" w:space="0" w:color="auto"/>
              <w:bottom w:val="single" w:sz="12" w:space="0" w:color="auto"/>
            </w:tcBorders>
            <w:shd w:val="clear" w:color="auto" w:fill="auto"/>
            <w:hideMark/>
          </w:tcPr>
          <w:p w14:paraId="6C9CF443" w14:textId="77777777" w:rsidR="005452CC" w:rsidRPr="00DE0962" w:rsidRDefault="005452CC" w:rsidP="004B2F7F">
            <w:pPr>
              <w:pStyle w:val="TableHeading"/>
            </w:pPr>
            <w:r w:rsidRPr="00DE0962">
              <w:t>Date/Details</w:t>
            </w:r>
          </w:p>
        </w:tc>
      </w:tr>
      <w:tr w:rsidR="005452CC" w:rsidRPr="00DE0962" w14:paraId="640A2705" w14:textId="77777777" w:rsidTr="004B2F7F">
        <w:tc>
          <w:tcPr>
            <w:tcW w:w="2127" w:type="dxa"/>
            <w:tcBorders>
              <w:top w:val="single" w:sz="12" w:space="0" w:color="auto"/>
              <w:bottom w:val="single" w:sz="12" w:space="0" w:color="auto"/>
            </w:tcBorders>
            <w:shd w:val="clear" w:color="auto" w:fill="auto"/>
            <w:hideMark/>
          </w:tcPr>
          <w:p w14:paraId="0C627576" w14:textId="77777777" w:rsidR="005452CC" w:rsidRPr="00DE0962" w:rsidRDefault="005452CC" w:rsidP="00AD7252">
            <w:pPr>
              <w:pStyle w:val="Tabletext"/>
            </w:pPr>
            <w:r w:rsidRPr="00DE0962">
              <w:t xml:space="preserve">1.  </w:t>
            </w:r>
            <w:r w:rsidR="00AD7252" w:rsidRPr="00DE0962">
              <w:t xml:space="preserve">The whole of </w:t>
            </w:r>
            <w:r w:rsidR="0036724C" w:rsidRPr="00DE0962">
              <w:t>this instrument</w:t>
            </w:r>
          </w:p>
        </w:tc>
        <w:tc>
          <w:tcPr>
            <w:tcW w:w="4394" w:type="dxa"/>
            <w:tcBorders>
              <w:top w:val="single" w:sz="12" w:space="0" w:color="auto"/>
              <w:bottom w:val="single" w:sz="12" w:space="0" w:color="auto"/>
            </w:tcBorders>
            <w:shd w:val="clear" w:color="auto" w:fill="auto"/>
            <w:hideMark/>
          </w:tcPr>
          <w:p w14:paraId="3840F973" w14:textId="77777777" w:rsidR="006E1A58" w:rsidRPr="00DE0962" w:rsidRDefault="006E1A58" w:rsidP="006E1A58">
            <w:pPr>
              <w:pStyle w:val="Tabletext"/>
            </w:pPr>
            <w:r w:rsidRPr="00DE0962">
              <w:t>The later of:</w:t>
            </w:r>
          </w:p>
          <w:p w14:paraId="2FAE727E" w14:textId="77777777" w:rsidR="006E1A58" w:rsidRPr="00DE0962" w:rsidRDefault="006E1A58" w:rsidP="006E1A58">
            <w:pPr>
              <w:pStyle w:val="Tablea"/>
            </w:pPr>
            <w:r w:rsidRPr="00DE0962">
              <w:t xml:space="preserve">(a) </w:t>
            </w:r>
            <w:r w:rsidR="00A56F2D" w:rsidRPr="00DE0962">
              <w:t>the start of the day after this instrument is registered</w:t>
            </w:r>
            <w:r w:rsidRPr="00DE0962">
              <w:t>; and</w:t>
            </w:r>
          </w:p>
          <w:p w14:paraId="526B0AB6" w14:textId="77777777" w:rsidR="006E1A58" w:rsidRPr="00DE0962" w:rsidRDefault="006E1A58" w:rsidP="006E1A58">
            <w:pPr>
              <w:pStyle w:val="Tablea"/>
            </w:pPr>
            <w:r w:rsidRPr="00DE0962">
              <w:t xml:space="preserve">(b) </w:t>
            </w:r>
            <w:r w:rsidR="00A56F2D" w:rsidRPr="00DE0962">
              <w:t xml:space="preserve">immediately after the commencement of </w:t>
            </w:r>
            <w:r w:rsidR="00D56949" w:rsidRPr="00DE0962">
              <w:t>Schedules 3</w:t>
            </w:r>
            <w:r w:rsidR="00A56F2D" w:rsidRPr="00DE0962">
              <w:t xml:space="preserve"> </w:t>
            </w:r>
            <w:r w:rsidR="009D6BF1" w:rsidRPr="00DE0962">
              <w:t xml:space="preserve">and </w:t>
            </w:r>
            <w:r w:rsidR="00696A3E" w:rsidRPr="00DE0962">
              <w:t>4</w:t>
            </w:r>
            <w:r w:rsidR="009D6BF1" w:rsidRPr="00DE0962">
              <w:t xml:space="preserve"> </w:t>
            </w:r>
            <w:r w:rsidR="00A56F2D" w:rsidRPr="00DE0962">
              <w:t>to the</w:t>
            </w:r>
            <w:r w:rsidR="00A56F2D" w:rsidRPr="00DE0962">
              <w:rPr>
                <w:i/>
              </w:rPr>
              <w:t xml:space="preserve"> </w:t>
            </w:r>
            <w:r w:rsidR="00696A3E" w:rsidRPr="00DE0962">
              <w:rPr>
                <w:i/>
              </w:rPr>
              <w:t>Treasury Laws Amendment (Enhancing Superannuation Outcomes For Australians and Helping Australian Businesses Invest) Act 202</w:t>
            </w:r>
            <w:r w:rsidR="002208A1">
              <w:rPr>
                <w:i/>
              </w:rPr>
              <w:t>2</w:t>
            </w:r>
            <w:r w:rsidRPr="00DE0962">
              <w:t>.</w:t>
            </w:r>
          </w:p>
          <w:p w14:paraId="6F86D822" w14:textId="77777777" w:rsidR="005452CC" w:rsidRPr="00DE0962" w:rsidRDefault="006E1A58" w:rsidP="005452CC">
            <w:pPr>
              <w:pStyle w:val="Tabletext"/>
            </w:pPr>
            <w:r w:rsidRPr="00DE0962">
              <w:t xml:space="preserve">However, the provisions do not commence at all if the event mentioned in </w:t>
            </w:r>
            <w:r w:rsidR="00D56949" w:rsidRPr="00DE0962">
              <w:t>paragraph (</w:t>
            </w:r>
            <w:r w:rsidRPr="00DE0962">
              <w:t>b) does not occur.</w:t>
            </w:r>
          </w:p>
        </w:tc>
        <w:tc>
          <w:tcPr>
            <w:tcW w:w="1843" w:type="dxa"/>
            <w:tcBorders>
              <w:top w:val="single" w:sz="12" w:space="0" w:color="auto"/>
              <w:bottom w:val="single" w:sz="12" w:space="0" w:color="auto"/>
            </w:tcBorders>
            <w:shd w:val="clear" w:color="auto" w:fill="auto"/>
          </w:tcPr>
          <w:p w14:paraId="523C60A1" w14:textId="77777777" w:rsidR="005452CC" w:rsidRDefault="00352082">
            <w:pPr>
              <w:pStyle w:val="Tabletext"/>
            </w:pPr>
            <w:r>
              <w:t>1 April 2022</w:t>
            </w:r>
          </w:p>
          <w:p w14:paraId="231E7F66" w14:textId="2C555830" w:rsidR="00352082" w:rsidRPr="00DE0962" w:rsidRDefault="00352082">
            <w:pPr>
              <w:pStyle w:val="Tabletext"/>
            </w:pPr>
            <w:r>
              <w:t>(paragraph (b) applies)</w:t>
            </w:r>
          </w:p>
        </w:tc>
      </w:tr>
    </w:tbl>
    <w:p w14:paraId="7487E925" w14:textId="77777777" w:rsidR="005452CC" w:rsidRPr="00DE0962" w:rsidRDefault="005452CC" w:rsidP="006E1A58">
      <w:pPr>
        <w:pStyle w:val="notetext"/>
      </w:pPr>
      <w:r w:rsidRPr="00DE0962">
        <w:rPr>
          <w:snapToGrid w:val="0"/>
          <w:lang w:eastAsia="en-US"/>
        </w:rPr>
        <w:t>Note:</w:t>
      </w:r>
      <w:r w:rsidRPr="00DE0962">
        <w:rPr>
          <w:snapToGrid w:val="0"/>
          <w:lang w:eastAsia="en-US"/>
        </w:rPr>
        <w:tab/>
        <w:t xml:space="preserve">This table relates only to the provisions of </w:t>
      </w:r>
      <w:r w:rsidR="0036724C" w:rsidRPr="00DE0962">
        <w:rPr>
          <w:snapToGrid w:val="0"/>
          <w:lang w:eastAsia="en-US"/>
        </w:rPr>
        <w:t>this instrument</w:t>
      </w:r>
      <w:r w:rsidRPr="00DE0962">
        <w:t xml:space="preserve"> </w:t>
      </w:r>
      <w:r w:rsidRPr="00DE0962">
        <w:rPr>
          <w:snapToGrid w:val="0"/>
          <w:lang w:eastAsia="en-US"/>
        </w:rPr>
        <w:t xml:space="preserve">as originally made. It will not be amended to deal with any later amendments of </w:t>
      </w:r>
      <w:r w:rsidR="0036724C" w:rsidRPr="00DE0962">
        <w:rPr>
          <w:snapToGrid w:val="0"/>
          <w:lang w:eastAsia="en-US"/>
        </w:rPr>
        <w:t>this instrument</w:t>
      </w:r>
      <w:r w:rsidRPr="00DE0962">
        <w:rPr>
          <w:snapToGrid w:val="0"/>
          <w:lang w:eastAsia="en-US"/>
        </w:rPr>
        <w:t>.</w:t>
      </w:r>
    </w:p>
    <w:p w14:paraId="1D0813B9" w14:textId="77777777" w:rsidR="005452CC" w:rsidRPr="00DE0962" w:rsidRDefault="005452CC" w:rsidP="004F676E">
      <w:pPr>
        <w:pStyle w:val="subsection"/>
      </w:pPr>
      <w:r w:rsidRPr="00DE0962">
        <w:tab/>
        <w:t>(2)</w:t>
      </w:r>
      <w:r w:rsidRPr="00DE0962">
        <w:tab/>
        <w:t xml:space="preserve">Any information in column 3 of the table is not part of </w:t>
      </w:r>
      <w:r w:rsidR="0036724C" w:rsidRPr="00DE0962">
        <w:t>this instrument</w:t>
      </w:r>
      <w:r w:rsidRPr="00DE0962">
        <w:t xml:space="preserve">. Information may be inserted in this column, or information in it may be edited, in any published version of </w:t>
      </w:r>
      <w:r w:rsidR="0036724C" w:rsidRPr="00DE0962">
        <w:t>this instrument</w:t>
      </w:r>
      <w:r w:rsidRPr="00DE0962">
        <w:t>.</w:t>
      </w:r>
    </w:p>
    <w:p w14:paraId="59E96D9B" w14:textId="77777777" w:rsidR="00BF6650" w:rsidRPr="00DE0962" w:rsidRDefault="00BF6650" w:rsidP="00BF6650">
      <w:pPr>
        <w:pStyle w:val="ActHead5"/>
      </w:pPr>
      <w:bookmarkStart w:id="3" w:name="_Toc88131756"/>
      <w:r w:rsidRPr="0010550D">
        <w:rPr>
          <w:rStyle w:val="CharSectno"/>
        </w:rPr>
        <w:t>3</w:t>
      </w:r>
      <w:r w:rsidRPr="00DE0962">
        <w:t xml:space="preserve">  Authority</w:t>
      </w:r>
      <w:bookmarkEnd w:id="3"/>
    </w:p>
    <w:p w14:paraId="6B1EC57F" w14:textId="77777777" w:rsidR="00BF6650" w:rsidRPr="00DE0962" w:rsidRDefault="00BF6650" w:rsidP="00BF6650">
      <w:pPr>
        <w:pStyle w:val="subsection"/>
      </w:pPr>
      <w:r w:rsidRPr="00DE0962">
        <w:tab/>
      </w:r>
      <w:r w:rsidRPr="00DE0962">
        <w:tab/>
      </w:r>
      <w:r w:rsidR="0036724C" w:rsidRPr="00DE0962">
        <w:t>This instrument is</w:t>
      </w:r>
      <w:r w:rsidRPr="00DE0962">
        <w:t xml:space="preserve"> made under the</w:t>
      </w:r>
      <w:r w:rsidR="00162707" w:rsidRPr="00DE0962">
        <w:t xml:space="preserve"> following:</w:t>
      </w:r>
    </w:p>
    <w:p w14:paraId="168B9273" w14:textId="77777777" w:rsidR="008A2418" w:rsidRPr="00DE0962" w:rsidRDefault="00251136" w:rsidP="00251136">
      <w:pPr>
        <w:pStyle w:val="paragraph"/>
      </w:pPr>
      <w:r w:rsidRPr="00DE0962">
        <w:tab/>
        <w:t>(a)</w:t>
      </w:r>
      <w:r w:rsidRPr="00DE0962">
        <w:tab/>
        <w:t xml:space="preserve">the </w:t>
      </w:r>
      <w:r w:rsidRPr="00DE0962">
        <w:rPr>
          <w:i/>
        </w:rPr>
        <w:t>Income Tax Assessment Act 1997</w:t>
      </w:r>
      <w:r w:rsidRPr="00DE0962">
        <w:t>;</w:t>
      </w:r>
    </w:p>
    <w:p w14:paraId="037DFC41" w14:textId="77777777" w:rsidR="00162707" w:rsidRPr="00DE0962" w:rsidRDefault="00162707" w:rsidP="00162707">
      <w:pPr>
        <w:pStyle w:val="paragraph"/>
      </w:pPr>
      <w:r w:rsidRPr="00DE0962">
        <w:tab/>
        <w:t>(</w:t>
      </w:r>
      <w:r w:rsidR="00251136" w:rsidRPr="00DE0962">
        <w:t>b</w:t>
      </w:r>
      <w:r w:rsidRPr="00DE0962">
        <w:t>)</w:t>
      </w:r>
      <w:r w:rsidRPr="00DE0962">
        <w:tab/>
        <w:t xml:space="preserve">the </w:t>
      </w:r>
      <w:r w:rsidRPr="00DE0962">
        <w:rPr>
          <w:i/>
        </w:rPr>
        <w:t>Retirement Savings Accounts Act 1997</w:t>
      </w:r>
      <w:r w:rsidRPr="00DE0962">
        <w:t>;</w:t>
      </w:r>
    </w:p>
    <w:p w14:paraId="1342FF1D" w14:textId="77777777" w:rsidR="00162707" w:rsidRPr="00DE0962" w:rsidRDefault="00162707" w:rsidP="00162707">
      <w:pPr>
        <w:pStyle w:val="paragraph"/>
      </w:pPr>
      <w:r w:rsidRPr="00DE0962">
        <w:tab/>
        <w:t>(</w:t>
      </w:r>
      <w:r w:rsidR="00251136" w:rsidRPr="00DE0962">
        <w:t>c</w:t>
      </w:r>
      <w:r w:rsidRPr="00DE0962">
        <w:t>)</w:t>
      </w:r>
      <w:r w:rsidRPr="00DE0962">
        <w:tab/>
        <w:t xml:space="preserve">the </w:t>
      </w:r>
      <w:r w:rsidRPr="00DE0962">
        <w:rPr>
          <w:i/>
        </w:rPr>
        <w:t>Superannuation Industry (Supervision) Act 1993</w:t>
      </w:r>
      <w:r w:rsidRPr="00DE0962">
        <w:t>.</w:t>
      </w:r>
    </w:p>
    <w:p w14:paraId="0C41C98A" w14:textId="77777777" w:rsidR="00557C7A" w:rsidRPr="00DE0962" w:rsidRDefault="00BF6650" w:rsidP="00557C7A">
      <w:pPr>
        <w:pStyle w:val="ActHead5"/>
      </w:pPr>
      <w:bookmarkStart w:id="4" w:name="_Toc88131757"/>
      <w:r w:rsidRPr="0010550D">
        <w:rPr>
          <w:rStyle w:val="CharSectno"/>
        </w:rPr>
        <w:t>4</w:t>
      </w:r>
      <w:r w:rsidR="00557C7A" w:rsidRPr="00DE0962">
        <w:t xml:space="preserve">  </w:t>
      </w:r>
      <w:r w:rsidR="00083F48" w:rsidRPr="00DE0962">
        <w:t>Schedules</w:t>
      </w:r>
      <w:bookmarkEnd w:id="4"/>
    </w:p>
    <w:p w14:paraId="52DD69FB" w14:textId="77777777" w:rsidR="00557C7A" w:rsidRPr="00DE0962" w:rsidRDefault="00557C7A" w:rsidP="00557C7A">
      <w:pPr>
        <w:pStyle w:val="subsection"/>
      </w:pPr>
      <w:r w:rsidRPr="00DE0962">
        <w:tab/>
      </w:r>
      <w:r w:rsidRPr="00DE0962">
        <w:tab/>
      </w:r>
      <w:r w:rsidR="00083F48" w:rsidRPr="00DE0962">
        <w:t xml:space="preserve">Each </w:t>
      </w:r>
      <w:r w:rsidR="00160BD7" w:rsidRPr="00DE0962">
        <w:t>instrument</w:t>
      </w:r>
      <w:r w:rsidR="00083F48" w:rsidRPr="00DE0962">
        <w:t xml:space="preserve"> that is specified in a Schedule to </w:t>
      </w:r>
      <w:r w:rsidR="0036724C" w:rsidRPr="00DE0962">
        <w:t>this instrument</w:t>
      </w:r>
      <w:r w:rsidR="00083F48" w:rsidRPr="00DE0962">
        <w:t xml:space="preserve"> is amended or repealed as set out in the applicable items in the Schedule concerned, and any other item in a Schedule to </w:t>
      </w:r>
      <w:r w:rsidR="0036724C" w:rsidRPr="00DE0962">
        <w:t>this instrument</w:t>
      </w:r>
      <w:r w:rsidR="00083F48" w:rsidRPr="00DE0962">
        <w:t xml:space="preserve"> has effect according to its terms.</w:t>
      </w:r>
    </w:p>
    <w:p w14:paraId="13379A87" w14:textId="77777777" w:rsidR="0048364F" w:rsidRPr="00DE0962" w:rsidRDefault="0048364F" w:rsidP="009C5989">
      <w:pPr>
        <w:pStyle w:val="ActHead6"/>
        <w:pageBreakBefore/>
      </w:pPr>
      <w:bookmarkStart w:id="5" w:name="_Toc88131758"/>
      <w:bookmarkStart w:id="6" w:name="opcAmSched"/>
      <w:bookmarkStart w:id="7" w:name="opcCurrentFind"/>
      <w:r w:rsidRPr="0010550D">
        <w:rPr>
          <w:rStyle w:val="CharAmSchNo"/>
        </w:rPr>
        <w:lastRenderedPageBreak/>
        <w:t>Schedule 1</w:t>
      </w:r>
      <w:r w:rsidRPr="00DE0962">
        <w:t>—</w:t>
      </w:r>
      <w:r w:rsidR="00460499" w:rsidRPr="0010550D">
        <w:rPr>
          <w:rStyle w:val="CharAmSchText"/>
        </w:rPr>
        <w:t>Amendments</w:t>
      </w:r>
      <w:bookmarkEnd w:id="5"/>
    </w:p>
    <w:bookmarkEnd w:id="6"/>
    <w:bookmarkEnd w:id="7"/>
    <w:p w14:paraId="572FE670" w14:textId="77777777" w:rsidR="0004044E" w:rsidRPr="0010550D" w:rsidRDefault="0004044E" w:rsidP="0004044E">
      <w:pPr>
        <w:pStyle w:val="Header"/>
      </w:pPr>
      <w:r w:rsidRPr="0010550D">
        <w:rPr>
          <w:rStyle w:val="CharAmPartNo"/>
        </w:rPr>
        <w:t xml:space="preserve"> </w:t>
      </w:r>
      <w:r w:rsidRPr="0010550D">
        <w:rPr>
          <w:rStyle w:val="CharAmPartText"/>
        </w:rPr>
        <w:t xml:space="preserve"> </w:t>
      </w:r>
    </w:p>
    <w:p w14:paraId="63A835C5" w14:textId="77777777" w:rsidR="00AC1FBA" w:rsidRPr="00DE0962" w:rsidRDefault="00AC1FBA" w:rsidP="009D6BF1">
      <w:pPr>
        <w:pStyle w:val="ActHead9"/>
      </w:pPr>
      <w:bookmarkStart w:id="8" w:name="_Toc88131759"/>
      <w:r w:rsidRPr="00DE0962">
        <w:t xml:space="preserve">Income Tax Assessment (1997 Act) </w:t>
      </w:r>
      <w:r w:rsidR="00E62AE8">
        <w:t>Regulations 2</w:t>
      </w:r>
      <w:r w:rsidRPr="00DE0962">
        <w:t>021</w:t>
      </w:r>
      <w:bookmarkEnd w:id="8"/>
    </w:p>
    <w:p w14:paraId="4723B3A9" w14:textId="77777777" w:rsidR="00AC1FBA" w:rsidRPr="00DE0962" w:rsidRDefault="00BA5D2D" w:rsidP="00AC1FBA">
      <w:pPr>
        <w:pStyle w:val="ItemHead"/>
      </w:pPr>
      <w:r w:rsidRPr="00DE0962">
        <w:t>1</w:t>
      </w:r>
      <w:r w:rsidR="00AC1FBA" w:rsidRPr="00DE0962">
        <w:t xml:space="preserve">  After </w:t>
      </w:r>
      <w:r w:rsidR="00D56949" w:rsidRPr="00DE0962">
        <w:t>section 2</w:t>
      </w:r>
      <w:r w:rsidR="00AC1FBA" w:rsidRPr="00DE0962">
        <w:t>90</w:t>
      </w:r>
      <w:r w:rsidR="00E62AE8">
        <w:noBreakHyphen/>
      </w:r>
      <w:r w:rsidR="00AC1FBA" w:rsidRPr="00DE0962">
        <w:t>155.05</w:t>
      </w:r>
    </w:p>
    <w:p w14:paraId="3FB04637" w14:textId="77777777" w:rsidR="00AC1FBA" w:rsidRPr="00DE0962" w:rsidRDefault="00AC1FBA" w:rsidP="00AC1FBA">
      <w:pPr>
        <w:pStyle w:val="Item"/>
      </w:pPr>
      <w:r w:rsidRPr="00DE0962">
        <w:t>Insert:</w:t>
      </w:r>
    </w:p>
    <w:p w14:paraId="6882946E" w14:textId="77777777" w:rsidR="00AC1FBA" w:rsidRPr="00DE0962" w:rsidRDefault="00AC1FBA" w:rsidP="00AC1FBA">
      <w:pPr>
        <w:pStyle w:val="ActHead5"/>
      </w:pPr>
      <w:bookmarkStart w:id="9" w:name="_Toc88131760"/>
      <w:r w:rsidRPr="0010550D">
        <w:rPr>
          <w:rStyle w:val="CharSectno"/>
        </w:rPr>
        <w:t>290</w:t>
      </w:r>
      <w:r w:rsidR="00E62AE8" w:rsidRPr="0010550D">
        <w:rPr>
          <w:rStyle w:val="CharSectno"/>
        </w:rPr>
        <w:noBreakHyphen/>
      </w:r>
      <w:r w:rsidRPr="0010550D">
        <w:rPr>
          <w:rStyle w:val="CharSectno"/>
        </w:rPr>
        <w:t>165.01</w:t>
      </w:r>
      <w:r w:rsidR="008A42A1" w:rsidRPr="00DE0962">
        <w:t xml:space="preserve">  Age</w:t>
      </w:r>
      <w:r w:rsidR="00E62AE8">
        <w:noBreakHyphen/>
      </w:r>
      <w:r w:rsidR="008A42A1" w:rsidRPr="00DE0962">
        <w:t>related conditions—prescribed provisions relating to previous work test exemptions</w:t>
      </w:r>
      <w:bookmarkEnd w:id="9"/>
    </w:p>
    <w:p w14:paraId="748521BD" w14:textId="77777777" w:rsidR="00AC1FBA" w:rsidRPr="00DE0962" w:rsidRDefault="00AC1FBA" w:rsidP="00AC1FBA">
      <w:pPr>
        <w:pStyle w:val="subsection"/>
      </w:pPr>
      <w:r w:rsidRPr="00DE0962">
        <w:tab/>
      </w:r>
      <w:r w:rsidRPr="00DE0962">
        <w:tab/>
        <w:t xml:space="preserve">For the purposes of </w:t>
      </w:r>
      <w:r w:rsidR="00D56949" w:rsidRPr="00DE0962">
        <w:t>subparagraph 2</w:t>
      </w:r>
      <w:r w:rsidRPr="00DE0962">
        <w:t>90</w:t>
      </w:r>
      <w:r w:rsidR="00E62AE8">
        <w:noBreakHyphen/>
      </w:r>
      <w:r w:rsidRPr="00DE0962">
        <w:t xml:space="preserve">165(1A)(b)(iv) of the Act, the following provisions as in force immediately before the commencement of the </w:t>
      </w:r>
      <w:r w:rsidR="00784E19" w:rsidRPr="00DE0962">
        <w:rPr>
          <w:i/>
        </w:rPr>
        <w:t xml:space="preserve">Treasury Laws Amendment (Enhancing Superannuation Outcomes) </w:t>
      </w:r>
      <w:r w:rsidR="00E62AE8">
        <w:rPr>
          <w:i/>
        </w:rPr>
        <w:t>Regulations 2</w:t>
      </w:r>
      <w:r w:rsidR="00784E19" w:rsidRPr="00DE0962">
        <w:rPr>
          <w:i/>
        </w:rPr>
        <w:t>02</w:t>
      </w:r>
      <w:r w:rsidR="002208A1">
        <w:rPr>
          <w:i/>
        </w:rPr>
        <w:t>2</w:t>
      </w:r>
      <w:r w:rsidR="00784E19" w:rsidRPr="00DE0962">
        <w:t xml:space="preserve"> </w:t>
      </w:r>
      <w:r w:rsidRPr="00DE0962">
        <w:t>are prescribed:</w:t>
      </w:r>
    </w:p>
    <w:p w14:paraId="326C5170" w14:textId="77777777" w:rsidR="00AC1FBA" w:rsidRPr="00DE0962" w:rsidRDefault="00AC1FBA" w:rsidP="00AC1FBA">
      <w:pPr>
        <w:pStyle w:val="paragraph"/>
      </w:pPr>
      <w:r w:rsidRPr="00DE0962">
        <w:tab/>
        <w:t>(a)</w:t>
      </w:r>
      <w:r w:rsidRPr="00DE0962">
        <w:tab/>
      </w:r>
      <w:r w:rsidR="00D56949" w:rsidRPr="00DE0962">
        <w:t>paragraph (</w:t>
      </w:r>
      <w:r w:rsidRPr="00DE0962">
        <w:t xml:space="preserve">d) of </w:t>
      </w:r>
      <w:r w:rsidR="00D56949" w:rsidRPr="00DE0962">
        <w:t>items 2</w:t>
      </w:r>
      <w:r w:rsidRPr="00DE0962">
        <w:t xml:space="preserve"> and 3 of the table in </w:t>
      </w:r>
      <w:proofErr w:type="spellStart"/>
      <w:r w:rsidR="00D56949" w:rsidRPr="00DE0962">
        <w:t>subregulation</w:t>
      </w:r>
      <w:proofErr w:type="spellEnd"/>
      <w:r w:rsidR="00D56949" w:rsidRPr="00DE0962">
        <w:t> 7</w:t>
      </w:r>
      <w:r w:rsidRPr="00DE0962">
        <w:t xml:space="preserve">.04(1) of the </w:t>
      </w:r>
      <w:r w:rsidR="003511FD" w:rsidRPr="00DE0962">
        <w:t>SIS Regulations</w:t>
      </w:r>
      <w:r w:rsidRPr="00DE0962">
        <w:t>;</w:t>
      </w:r>
    </w:p>
    <w:p w14:paraId="007D003F" w14:textId="77777777" w:rsidR="00AC1FBA" w:rsidRPr="00DE0962" w:rsidRDefault="00AC1FBA" w:rsidP="00AC1FBA">
      <w:pPr>
        <w:pStyle w:val="paragraph"/>
      </w:pPr>
      <w:r w:rsidRPr="00DE0962">
        <w:tab/>
        <w:t>(b)</w:t>
      </w:r>
      <w:r w:rsidRPr="00DE0962">
        <w:tab/>
      </w:r>
      <w:r w:rsidR="00D56949" w:rsidRPr="00DE0962">
        <w:t>paragraph (</w:t>
      </w:r>
      <w:r w:rsidRPr="00DE0962">
        <w:t xml:space="preserve">d) of </w:t>
      </w:r>
      <w:r w:rsidR="00D56949" w:rsidRPr="00DE0962">
        <w:t>items 2</w:t>
      </w:r>
      <w:r w:rsidRPr="00DE0962">
        <w:t xml:space="preserve"> and 3 of the table in </w:t>
      </w:r>
      <w:proofErr w:type="spellStart"/>
      <w:r w:rsidR="00D56949" w:rsidRPr="00DE0962">
        <w:t>subregulation</w:t>
      </w:r>
      <w:proofErr w:type="spellEnd"/>
      <w:r w:rsidR="00D56949" w:rsidRPr="00DE0962">
        <w:t> 5</w:t>
      </w:r>
      <w:r w:rsidRPr="00DE0962">
        <w:t xml:space="preserve">.03(1) of the </w:t>
      </w:r>
      <w:r w:rsidR="00C86E60" w:rsidRPr="00DE0962">
        <w:t>RSA Regulations</w:t>
      </w:r>
      <w:r w:rsidRPr="00DE0962">
        <w:t>.</w:t>
      </w:r>
    </w:p>
    <w:p w14:paraId="567F1A19" w14:textId="77777777" w:rsidR="009D6BF1" w:rsidRPr="00DE0962" w:rsidRDefault="009D6BF1" w:rsidP="009D6BF1">
      <w:pPr>
        <w:pStyle w:val="ActHead9"/>
      </w:pPr>
      <w:bookmarkStart w:id="10" w:name="_Toc88131761"/>
      <w:r w:rsidRPr="00DE0962">
        <w:t xml:space="preserve">Retirement Savings Accounts </w:t>
      </w:r>
      <w:r w:rsidR="00D56949" w:rsidRPr="00DE0962">
        <w:t>Regulations 1</w:t>
      </w:r>
      <w:r w:rsidRPr="00DE0962">
        <w:t>997</w:t>
      </w:r>
      <w:bookmarkEnd w:id="10"/>
    </w:p>
    <w:p w14:paraId="6519072D" w14:textId="77777777" w:rsidR="009F293A" w:rsidRPr="00DE0962" w:rsidRDefault="00BA5D2D" w:rsidP="009F293A">
      <w:pPr>
        <w:pStyle w:val="ItemHead"/>
      </w:pPr>
      <w:r w:rsidRPr="00DE0962">
        <w:t>2</w:t>
      </w:r>
      <w:r w:rsidR="009F293A" w:rsidRPr="00DE0962">
        <w:t xml:space="preserve">  </w:t>
      </w:r>
      <w:proofErr w:type="spellStart"/>
      <w:r w:rsidR="008677E0" w:rsidRPr="00DE0962">
        <w:t>Subregulation</w:t>
      </w:r>
      <w:proofErr w:type="spellEnd"/>
      <w:r w:rsidR="008677E0" w:rsidRPr="00DE0962">
        <w:t> 5</w:t>
      </w:r>
      <w:r w:rsidR="009F293A" w:rsidRPr="00DE0962">
        <w:t>.02(2)</w:t>
      </w:r>
    </w:p>
    <w:p w14:paraId="0C352357" w14:textId="77777777" w:rsidR="009F293A" w:rsidRPr="00DE0962" w:rsidRDefault="009F293A" w:rsidP="009F293A">
      <w:pPr>
        <w:pStyle w:val="Item"/>
      </w:pPr>
      <w:r w:rsidRPr="00DE0962">
        <w:t>Omit “Part”, substitute “Division”.</w:t>
      </w:r>
    </w:p>
    <w:p w14:paraId="6D9979D9" w14:textId="77777777" w:rsidR="0057107C" w:rsidRPr="00DE0962" w:rsidRDefault="00BA5D2D" w:rsidP="0057107C">
      <w:pPr>
        <w:pStyle w:val="ItemHead"/>
        <w:rPr>
          <w:shd w:val="clear" w:color="auto" w:fill="FFFFFF"/>
        </w:rPr>
      </w:pPr>
      <w:r w:rsidRPr="00DE0962">
        <w:rPr>
          <w:shd w:val="clear" w:color="auto" w:fill="FFFFFF"/>
        </w:rPr>
        <w:t>3</w:t>
      </w:r>
      <w:r w:rsidR="0057107C" w:rsidRPr="00DE0962">
        <w:rPr>
          <w:shd w:val="clear" w:color="auto" w:fill="FFFFFF"/>
        </w:rPr>
        <w:t xml:space="preserve">  </w:t>
      </w:r>
      <w:proofErr w:type="spellStart"/>
      <w:r w:rsidR="008677E0" w:rsidRPr="00DE0962">
        <w:rPr>
          <w:shd w:val="clear" w:color="auto" w:fill="FFFFFF"/>
        </w:rPr>
        <w:t>Subregulation</w:t>
      </w:r>
      <w:proofErr w:type="spellEnd"/>
      <w:r w:rsidR="008677E0" w:rsidRPr="00DE0962">
        <w:rPr>
          <w:shd w:val="clear" w:color="auto" w:fill="FFFFFF"/>
        </w:rPr>
        <w:t> 5</w:t>
      </w:r>
      <w:r w:rsidR="0057107C" w:rsidRPr="00DE0962">
        <w:rPr>
          <w:shd w:val="clear" w:color="auto" w:fill="FFFFFF"/>
        </w:rPr>
        <w:t>.03(1)</w:t>
      </w:r>
    </w:p>
    <w:p w14:paraId="33E47158" w14:textId="77777777" w:rsidR="0057107C" w:rsidRPr="00DE0962" w:rsidRDefault="0057107C" w:rsidP="0057107C">
      <w:pPr>
        <w:pStyle w:val="Item"/>
      </w:pPr>
      <w:r w:rsidRPr="00DE0962">
        <w:t>After “</w:t>
      </w:r>
      <w:proofErr w:type="spellStart"/>
      <w:r w:rsidRPr="00DE0962">
        <w:t>subregulations</w:t>
      </w:r>
      <w:proofErr w:type="spellEnd"/>
      <w:r w:rsidRPr="00DE0962">
        <w:t>”, insert “(1A),”.</w:t>
      </w:r>
    </w:p>
    <w:p w14:paraId="5DDD0C04" w14:textId="77777777" w:rsidR="009D6BF1" w:rsidRPr="00DE0962" w:rsidRDefault="00BA5D2D" w:rsidP="009D6BF1">
      <w:pPr>
        <w:pStyle w:val="ItemHead"/>
        <w:spacing w:before="240"/>
        <w:rPr>
          <w:shd w:val="clear" w:color="auto" w:fill="FFFFFF"/>
        </w:rPr>
      </w:pPr>
      <w:r w:rsidRPr="00DE0962">
        <w:rPr>
          <w:shd w:val="clear" w:color="auto" w:fill="FFFFFF"/>
        </w:rPr>
        <w:t>4</w:t>
      </w:r>
      <w:r w:rsidR="009D6BF1" w:rsidRPr="00DE0962">
        <w:rPr>
          <w:shd w:val="clear" w:color="auto" w:fill="FFFFFF"/>
        </w:rPr>
        <w:t xml:space="preserve">  </w:t>
      </w:r>
      <w:proofErr w:type="spellStart"/>
      <w:r w:rsidR="008677E0" w:rsidRPr="00DE0962">
        <w:rPr>
          <w:shd w:val="clear" w:color="auto" w:fill="FFFFFF"/>
        </w:rPr>
        <w:t>Subregulation</w:t>
      </w:r>
      <w:proofErr w:type="spellEnd"/>
      <w:r w:rsidR="008677E0" w:rsidRPr="00DE0962">
        <w:rPr>
          <w:shd w:val="clear" w:color="auto" w:fill="FFFFFF"/>
        </w:rPr>
        <w:t> 5</w:t>
      </w:r>
      <w:r w:rsidR="009D6BF1" w:rsidRPr="00DE0962">
        <w:rPr>
          <w:shd w:val="clear" w:color="auto" w:fill="FFFFFF"/>
        </w:rPr>
        <w:t>.03(1) (table)</w:t>
      </w:r>
    </w:p>
    <w:p w14:paraId="0422E77F" w14:textId="77777777" w:rsidR="009D6BF1" w:rsidRPr="00DE0962" w:rsidRDefault="009D6BF1" w:rsidP="005E428C">
      <w:pPr>
        <w:pStyle w:val="Item"/>
      </w:pPr>
      <w:r w:rsidRPr="00DE0962">
        <w:t>Repeal the table, substitute:</w:t>
      </w:r>
    </w:p>
    <w:p w14:paraId="4A17B825" w14:textId="77777777" w:rsidR="009D6BF1" w:rsidRPr="00DE0962" w:rsidRDefault="009D6BF1" w:rsidP="009D6BF1">
      <w:pPr>
        <w:pStyle w:val="Tabletext"/>
      </w:pPr>
    </w:p>
    <w:tbl>
      <w:tblPr>
        <w:tblW w:w="4907" w:type="pct"/>
        <w:tblInd w:w="94" w:type="dxa"/>
        <w:tblBorders>
          <w:top w:val="single" w:sz="4" w:space="0" w:color="auto"/>
          <w:bottom w:val="single" w:sz="2" w:space="0" w:color="auto"/>
          <w:insideH w:val="single" w:sz="2" w:space="0" w:color="auto"/>
        </w:tblBorders>
        <w:tblLook w:val="0000" w:firstRow="0" w:lastRow="0" w:firstColumn="0" w:lastColumn="0" w:noHBand="0" w:noVBand="0"/>
      </w:tblPr>
      <w:tblGrid>
        <w:gridCol w:w="623"/>
        <w:gridCol w:w="2250"/>
        <w:gridCol w:w="5497"/>
      </w:tblGrid>
      <w:tr w:rsidR="009D6BF1" w:rsidRPr="00DE0962" w14:paraId="0AD15C39" w14:textId="77777777" w:rsidTr="004B2F7F">
        <w:trPr>
          <w:tblHeader/>
        </w:trPr>
        <w:tc>
          <w:tcPr>
            <w:tcW w:w="372" w:type="pct"/>
            <w:tcBorders>
              <w:top w:val="single" w:sz="12" w:space="0" w:color="auto"/>
              <w:bottom w:val="single" w:sz="12" w:space="0" w:color="auto"/>
            </w:tcBorders>
            <w:shd w:val="clear" w:color="auto" w:fill="auto"/>
          </w:tcPr>
          <w:p w14:paraId="0B004873" w14:textId="77777777" w:rsidR="009D6BF1" w:rsidRPr="00DE0962" w:rsidRDefault="009D6BF1" w:rsidP="004B2F7F">
            <w:pPr>
              <w:pStyle w:val="TableHeading"/>
            </w:pPr>
            <w:r w:rsidRPr="00DE0962">
              <w:t>Item</w:t>
            </w:r>
          </w:p>
        </w:tc>
        <w:tc>
          <w:tcPr>
            <w:tcW w:w="1344" w:type="pct"/>
            <w:tcBorders>
              <w:top w:val="single" w:sz="12" w:space="0" w:color="auto"/>
              <w:bottom w:val="single" w:sz="12" w:space="0" w:color="auto"/>
            </w:tcBorders>
            <w:shd w:val="clear" w:color="auto" w:fill="auto"/>
          </w:tcPr>
          <w:p w14:paraId="24E8118F" w14:textId="77777777" w:rsidR="009D6BF1" w:rsidRPr="00DE0962" w:rsidRDefault="009D6BF1" w:rsidP="004B2F7F">
            <w:pPr>
              <w:pStyle w:val="TableHeading"/>
              <w:ind w:right="-50"/>
            </w:pPr>
            <w:r w:rsidRPr="00DE0962">
              <w:t xml:space="preserve">If </w:t>
            </w:r>
            <w:r w:rsidR="006A4BA7" w:rsidRPr="00DE0962">
              <w:t>an</w:t>
            </w:r>
            <w:r w:rsidRPr="00DE0962">
              <w:t xml:space="preserve"> RSA holder …</w:t>
            </w:r>
          </w:p>
        </w:tc>
        <w:tc>
          <w:tcPr>
            <w:tcW w:w="3284" w:type="pct"/>
            <w:tcBorders>
              <w:top w:val="single" w:sz="12" w:space="0" w:color="auto"/>
              <w:bottom w:val="single" w:sz="12" w:space="0" w:color="auto"/>
            </w:tcBorders>
            <w:shd w:val="clear" w:color="auto" w:fill="auto"/>
          </w:tcPr>
          <w:p w14:paraId="75F6741C" w14:textId="77777777" w:rsidR="009D6BF1" w:rsidRPr="00DE0962" w:rsidRDefault="009D6BF1" w:rsidP="004B2F7F">
            <w:pPr>
              <w:pStyle w:val="TableHeading"/>
            </w:pPr>
            <w:r w:rsidRPr="00DE0962">
              <w:t xml:space="preserve">the RSA institution may accept </w:t>
            </w:r>
            <w:r w:rsidR="0057107C" w:rsidRPr="00DE0962">
              <w:t>contributions made in respect of the RSA holder that are</w:t>
            </w:r>
            <w:r w:rsidR="00466E9D" w:rsidRPr="00DE0962">
              <w:t xml:space="preserve"> </w:t>
            </w:r>
            <w:r w:rsidRPr="00DE0962">
              <w:t>…</w:t>
            </w:r>
          </w:p>
        </w:tc>
      </w:tr>
      <w:tr w:rsidR="009D6BF1" w:rsidRPr="00DE0962" w14:paraId="47A0A5F3" w14:textId="77777777" w:rsidTr="004B2F7F">
        <w:tc>
          <w:tcPr>
            <w:tcW w:w="372" w:type="pct"/>
            <w:tcBorders>
              <w:top w:val="single" w:sz="12" w:space="0" w:color="auto"/>
            </w:tcBorders>
            <w:shd w:val="clear" w:color="auto" w:fill="auto"/>
          </w:tcPr>
          <w:p w14:paraId="1CCBA889" w14:textId="77777777" w:rsidR="009D6BF1" w:rsidRPr="00DE0962" w:rsidRDefault="009D6BF1" w:rsidP="00DE5F6D">
            <w:pPr>
              <w:pStyle w:val="Tabletext"/>
            </w:pPr>
            <w:r w:rsidRPr="00DE0962">
              <w:rPr>
                <w:color w:val="000000"/>
              </w:rPr>
              <w:t>1</w:t>
            </w:r>
          </w:p>
        </w:tc>
        <w:tc>
          <w:tcPr>
            <w:tcW w:w="1344" w:type="pct"/>
            <w:tcBorders>
              <w:top w:val="single" w:sz="12" w:space="0" w:color="auto"/>
            </w:tcBorders>
            <w:shd w:val="clear" w:color="auto" w:fill="auto"/>
          </w:tcPr>
          <w:p w14:paraId="4C0D6197" w14:textId="77777777" w:rsidR="009D6BF1" w:rsidRPr="00DE0962" w:rsidRDefault="009D6BF1" w:rsidP="00DE5F6D">
            <w:pPr>
              <w:pStyle w:val="Tabletext"/>
            </w:pPr>
            <w:r w:rsidRPr="00DE0962">
              <w:rPr>
                <w:color w:val="000000"/>
              </w:rPr>
              <w:t>is under 60</w:t>
            </w:r>
          </w:p>
        </w:tc>
        <w:tc>
          <w:tcPr>
            <w:tcW w:w="3284" w:type="pct"/>
            <w:tcBorders>
              <w:top w:val="single" w:sz="12" w:space="0" w:color="auto"/>
            </w:tcBorders>
            <w:shd w:val="clear" w:color="auto" w:fill="auto"/>
          </w:tcPr>
          <w:p w14:paraId="3865C52F" w14:textId="77777777" w:rsidR="0057107C" w:rsidRPr="00DE0962" w:rsidDel="002B7FD1" w:rsidRDefault="0057107C" w:rsidP="0057107C">
            <w:pPr>
              <w:pStyle w:val="Tablea"/>
            </w:pPr>
            <w:r w:rsidRPr="00DE0962">
              <w:t>(a) employer contributions; or</w:t>
            </w:r>
          </w:p>
          <w:p w14:paraId="334A620F" w14:textId="77777777" w:rsidR="009D6BF1" w:rsidRPr="00DE0962" w:rsidRDefault="0057107C" w:rsidP="0057107C">
            <w:pPr>
              <w:pStyle w:val="Tablea"/>
            </w:pPr>
            <w:r w:rsidRPr="00DE0962">
              <w:t>(b) RSA holder contributions</w:t>
            </w:r>
          </w:p>
        </w:tc>
      </w:tr>
      <w:tr w:rsidR="009D6BF1" w:rsidRPr="00DE0962" w14:paraId="6E442D0E" w14:textId="77777777" w:rsidTr="004B2F7F">
        <w:tc>
          <w:tcPr>
            <w:tcW w:w="372" w:type="pct"/>
            <w:tcBorders>
              <w:bottom w:val="single" w:sz="2" w:space="0" w:color="auto"/>
            </w:tcBorders>
            <w:shd w:val="clear" w:color="auto" w:fill="auto"/>
          </w:tcPr>
          <w:p w14:paraId="790B4692" w14:textId="77777777" w:rsidR="009D6BF1" w:rsidRPr="00DE0962" w:rsidRDefault="009D6BF1" w:rsidP="00DE5F6D">
            <w:pPr>
              <w:pStyle w:val="Tabletext"/>
              <w:rPr>
                <w:color w:val="000000"/>
              </w:rPr>
            </w:pPr>
            <w:r w:rsidRPr="00DE0962">
              <w:rPr>
                <w:color w:val="000000"/>
              </w:rPr>
              <w:t>2</w:t>
            </w:r>
          </w:p>
        </w:tc>
        <w:tc>
          <w:tcPr>
            <w:tcW w:w="1344" w:type="pct"/>
            <w:tcBorders>
              <w:bottom w:val="single" w:sz="2" w:space="0" w:color="auto"/>
            </w:tcBorders>
            <w:shd w:val="clear" w:color="auto" w:fill="auto"/>
          </w:tcPr>
          <w:p w14:paraId="409F5370" w14:textId="77777777" w:rsidR="009D6BF1" w:rsidRPr="00DE0962" w:rsidRDefault="009D6BF1" w:rsidP="00DE5F6D">
            <w:pPr>
              <w:pStyle w:val="Tabletext"/>
              <w:rPr>
                <w:color w:val="000000"/>
              </w:rPr>
            </w:pPr>
            <w:r w:rsidRPr="00DE0962">
              <w:rPr>
                <w:color w:val="000000"/>
              </w:rPr>
              <w:t xml:space="preserve">is not under 60, but is under </w:t>
            </w:r>
            <w:r w:rsidR="006402A8" w:rsidRPr="00DE0962">
              <w:rPr>
                <w:color w:val="000000"/>
              </w:rPr>
              <w:t>75</w:t>
            </w:r>
          </w:p>
        </w:tc>
        <w:tc>
          <w:tcPr>
            <w:tcW w:w="3284" w:type="pct"/>
            <w:tcBorders>
              <w:bottom w:val="single" w:sz="2" w:space="0" w:color="auto"/>
            </w:tcBorders>
            <w:shd w:val="clear" w:color="auto" w:fill="auto"/>
          </w:tcPr>
          <w:p w14:paraId="3B50C807" w14:textId="77777777" w:rsidR="009D6BF1" w:rsidRPr="00DE0962" w:rsidDel="002B7FD1" w:rsidRDefault="009D6BF1" w:rsidP="00DE5F6D">
            <w:pPr>
              <w:pStyle w:val="Tablea"/>
            </w:pPr>
            <w:r w:rsidRPr="00DE0962">
              <w:t>(a) employer contributions; or</w:t>
            </w:r>
          </w:p>
          <w:p w14:paraId="2516944E" w14:textId="77777777" w:rsidR="009D6BF1" w:rsidRPr="00DE0962" w:rsidRDefault="009D6BF1" w:rsidP="006402A8">
            <w:pPr>
              <w:pStyle w:val="Tablea"/>
              <w:rPr>
                <w:color w:val="000000"/>
              </w:rPr>
            </w:pPr>
            <w:r w:rsidRPr="00DE0962">
              <w:t>(</w:t>
            </w:r>
            <w:r w:rsidR="006402A8" w:rsidRPr="00DE0962">
              <w:t>b</w:t>
            </w:r>
            <w:r w:rsidRPr="00DE0962">
              <w:t>) RSA holder contributions</w:t>
            </w:r>
            <w:r w:rsidR="006402A8" w:rsidRPr="00DE0962">
              <w:t xml:space="preserve"> (including </w:t>
            </w:r>
            <w:r w:rsidRPr="00DE0962">
              <w:t>downsizer contributions</w:t>
            </w:r>
            <w:r w:rsidR="006402A8" w:rsidRPr="00DE0962">
              <w:t>)</w:t>
            </w:r>
          </w:p>
        </w:tc>
      </w:tr>
      <w:tr w:rsidR="009D6BF1" w:rsidRPr="00DE0962" w14:paraId="2B07DC05" w14:textId="77777777" w:rsidTr="004B2F7F">
        <w:tc>
          <w:tcPr>
            <w:tcW w:w="372" w:type="pct"/>
            <w:tcBorders>
              <w:top w:val="single" w:sz="2" w:space="0" w:color="auto"/>
              <w:bottom w:val="single" w:sz="12" w:space="0" w:color="auto"/>
            </w:tcBorders>
            <w:shd w:val="clear" w:color="auto" w:fill="auto"/>
          </w:tcPr>
          <w:p w14:paraId="48815F2E" w14:textId="77777777" w:rsidR="009D6BF1" w:rsidRPr="00DE0962" w:rsidRDefault="006402A8" w:rsidP="00DE5F6D">
            <w:pPr>
              <w:pStyle w:val="Tabletext"/>
            </w:pPr>
            <w:r w:rsidRPr="00DE0962">
              <w:t>3</w:t>
            </w:r>
          </w:p>
        </w:tc>
        <w:tc>
          <w:tcPr>
            <w:tcW w:w="1344" w:type="pct"/>
            <w:tcBorders>
              <w:top w:val="single" w:sz="2" w:space="0" w:color="auto"/>
              <w:bottom w:val="single" w:sz="12" w:space="0" w:color="auto"/>
            </w:tcBorders>
            <w:shd w:val="clear" w:color="auto" w:fill="auto"/>
          </w:tcPr>
          <w:p w14:paraId="262D5389" w14:textId="77777777" w:rsidR="009D6BF1" w:rsidRPr="00DE0962" w:rsidRDefault="009D6BF1" w:rsidP="00DE5F6D">
            <w:pPr>
              <w:pStyle w:val="Tabletext"/>
            </w:pPr>
            <w:r w:rsidRPr="00DE0962">
              <w:rPr>
                <w:color w:val="000000"/>
              </w:rPr>
              <w:t>is not under 75</w:t>
            </w:r>
          </w:p>
        </w:tc>
        <w:tc>
          <w:tcPr>
            <w:tcW w:w="3284" w:type="pct"/>
            <w:tcBorders>
              <w:top w:val="single" w:sz="2" w:space="0" w:color="auto"/>
              <w:bottom w:val="single" w:sz="12" w:space="0" w:color="auto"/>
            </w:tcBorders>
            <w:shd w:val="clear" w:color="auto" w:fill="auto"/>
          </w:tcPr>
          <w:p w14:paraId="33EA70DB" w14:textId="77777777" w:rsidR="009D6BF1" w:rsidRPr="00DE0962" w:rsidRDefault="009D6BF1" w:rsidP="00DE5F6D">
            <w:pPr>
              <w:pStyle w:val="Tablea"/>
            </w:pPr>
            <w:r w:rsidRPr="00DE0962">
              <w:t>(a) mandated employer contributions; or</w:t>
            </w:r>
          </w:p>
          <w:p w14:paraId="43F86357" w14:textId="77777777" w:rsidR="009D6BF1" w:rsidRPr="00DE0962" w:rsidRDefault="009D6BF1" w:rsidP="00DE5F6D">
            <w:pPr>
              <w:pStyle w:val="Tablea"/>
            </w:pPr>
            <w:r w:rsidRPr="00DE0962">
              <w:t>(b) downsizer contributions</w:t>
            </w:r>
          </w:p>
        </w:tc>
      </w:tr>
    </w:tbl>
    <w:p w14:paraId="6790765E" w14:textId="77777777" w:rsidR="009D6BF1" w:rsidRPr="00DE0962" w:rsidRDefault="009D6BF1" w:rsidP="006402A8">
      <w:pPr>
        <w:pStyle w:val="Tabletext"/>
      </w:pPr>
    </w:p>
    <w:p w14:paraId="2C19EA16" w14:textId="77777777" w:rsidR="006402A8" w:rsidRPr="00DE0962" w:rsidRDefault="00BA5D2D" w:rsidP="006402A8">
      <w:pPr>
        <w:pStyle w:val="ItemHead"/>
      </w:pPr>
      <w:r w:rsidRPr="00DE0962">
        <w:t>5</w:t>
      </w:r>
      <w:r w:rsidR="006402A8" w:rsidRPr="00DE0962">
        <w:t xml:space="preserve">  </w:t>
      </w:r>
      <w:proofErr w:type="spellStart"/>
      <w:r w:rsidR="008677E0" w:rsidRPr="00DE0962">
        <w:t>Subregulation</w:t>
      </w:r>
      <w:proofErr w:type="spellEnd"/>
      <w:r w:rsidR="008677E0" w:rsidRPr="00DE0962">
        <w:t> 5</w:t>
      </w:r>
      <w:r w:rsidR="006402A8" w:rsidRPr="00DE0962">
        <w:t>.03(1A)</w:t>
      </w:r>
    </w:p>
    <w:p w14:paraId="79362415" w14:textId="77777777" w:rsidR="006402A8" w:rsidRPr="00DE0962" w:rsidRDefault="006402A8" w:rsidP="006402A8">
      <w:pPr>
        <w:pStyle w:val="Item"/>
      </w:pPr>
      <w:r w:rsidRPr="00DE0962">
        <w:t xml:space="preserve">Repeal the </w:t>
      </w:r>
      <w:proofErr w:type="spellStart"/>
      <w:r w:rsidRPr="00DE0962">
        <w:t>subregulation</w:t>
      </w:r>
      <w:proofErr w:type="spellEnd"/>
      <w:r w:rsidRPr="00DE0962">
        <w:t>, substitute:</w:t>
      </w:r>
    </w:p>
    <w:p w14:paraId="2D132E85" w14:textId="77777777" w:rsidR="006402A8" w:rsidRPr="00DE0962" w:rsidRDefault="006402A8" w:rsidP="006402A8">
      <w:pPr>
        <w:pStyle w:val="subsection"/>
        <w:rPr>
          <w:sz w:val="20"/>
        </w:rPr>
      </w:pPr>
      <w:r w:rsidRPr="00DE0962">
        <w:tab/>
        <w:t>(1A)</w:t>
      </w:r>
      <w:r w:rsidRPr="00DE0962">
        <w:tab/>
        <w:t xml:space="preserve">Despite </w:t>
      </w:r>
      <w:r w:rsidR="00D56949" w:rsidRPr="00DE0962">
        <w:t>item</w:t>
      </w:r>
      <w:r w:rsidR="006A4BA7" w:rsidRPr="00DE0962">
        <w:t>s</w:t>
      </w:r>
      <w:r w:rsidR="00D56949" w:rsidRPr="00DE0962">
        <w:t> 2</w:t>
      </w:r>
      <w:r w:rsidRPr="00DE0962">
        <w:t xml:space="preserve"> </w:t>
      </w:r>
      <w:r w:rsidR="006A4BA7" w:rsidRPr="00DE0962">
        <w:t xml:space="preserve">and 3 </w:t>
      </w:r>
      <w:r w:rsidRPr="00DE0962">
        <w:t xml:space="preserve">of the table in </w:t>
      </w:r>
      <w:proofErr w:type="spellStart"/>
      <w:r w:rsidRPr="00DE0962">
        <w:t>subregulation</w:t>
      </w:r>
      <w:proofErr w:type="spellEnd"/>
      <w:r w:rsidRPr="00DE0962">
        <w:t xml:space="preserve"> (1), the </w:t>
      </w:r>
      <w:r w:rsidR="008302B4" w:rsidRPr="00DE0962">
        <w:t xml:space="preserve">RSA institution </w:t>
      </w:r>
      <w:r w:rsidRPr="00DE0962">
        <w:t>may also accept contributions made in respect of an RSA holder, and received on or before the day that is 28 days after the end of the month in which the RSA holder turns 75, that are:</w:t>
      </w:r>
    </w:p>
    <w:p w14:paraId="53EC6594" w14:textId="77777777" w:rsidR="006402A8" w:rsidRPr="00DE0962" w:rsidRDefault="00F15A1E" w:rsidP="006402A8">
      <w:pPr>
        <w:pStyle w:val="paragraph"/>
      </w:pPr>
      <w:r w:rsidRPr="00DE0962">
        <w:lastRenderedPageBreak/>
        <w:tab/>
        <w:t>(a)</w:t>
      </w:r>
      <w:r w:rsidRPr="00DE0962">
        <w:tab/>
      </w:r>
      <w:r w:rsidR="006402A8" w:rsidRPr="00DE0962">
        <w:t>employer contributions other than mandated employer contributions; or</w:t>
      </w:r>
    </w:p>
    <w:p w14:paraId="2F01C0A0" w14:textId="77777777" w:rsidR="006402A8" w:rsidRPr="00DE0962" w:rsidRDefault="00F15A1E" w:rsidP="006402A8">
      <w:pPr>
        <w:pStyle w:val="paragraph"/>
      </w:pPr>
      <w:r w:rsidRPr="00DE0962">
        <w:tab/>
        <w:t>(b)</w:t>
      </w:r>
      <w:r w:rsidRPr="00DE0962">
        <w:tab/>
      </w:r>
      <w:r w:rsidR="006402A8" w:rsidRPr="00DE0962">
        <w:t>RSA holder contributions other than downsizer contributions.</w:t>
      </w:r>
    </w:p>
    <w:p w14:paraId="71477624" w14:textId="77777777" w:rsidR="006402A8" w:rsidRPr="00DE0962" w:rsidRDefault="006402A8" w:rsidP="006402A8">
      <w:pPr>
        <w:pStyle w:val="notetext"/>
      </w:pPr>
      <w:r w:rsidRPr="00DE0962">
        <w:t>Note:</w:t>
      </w:r>
      <w:r w:rsidR="008302B4" w:rsidRPr="00DE0962">
        <w:tab/>
      </w:r>
      <w:r w:rsidRPr="00DE0962">
        <w:t>Other rules may be relevant to making certain contributions in respect of a</w:t>
      </w:r>
      <w:r w:rsidR="008302B4" w:rsidRPr="00DE0962">
        <w:t>n RSA holder</w:t>
      </w:r>
      <w:r w:rsidRPr="00DE0962">
        <w:t>. For example:</w:t>
      </w:r>
    </w:p>
    <w:p w14:paraId="5D8C2FDF" w14:textId="77777777" w:rsidR="006402A8" w:rsidRPr="00DE0962" w:rsidRDefault="006402A8" w:rsidP="006402A8">
      <w:pPr>
        <w:pStyle w:val="notepara"/>
        <w:rPr>
          <w:szCs w:val="18"/>
        </w:rPr>
      </w:pPr>
      <w:r w:rsidRPr="00DE0962">
        <w:t>(a)</w:t>
      </w:r>
      <w:r w:rsidR="00D56949" w:rsidRPr="00DE0962">
        <w:tab/>
      </w:r>
      <w:r w:rsidRPr="00DE0962">
        <w:t xml:space="preserve">downsizer contributions are limited to persons aged 60 or over </w:t>
      </w:r>
      <w:r w:rsidR="009B5F70" w:rsidRPr="00DE0962">
        <w:t>(</w:t>
      </w:r>
      <w:r w:rsidRPr="00DE0962">
        <w:t xml:space="preserve">see </w:t>
      </w:r>
      <w:r w:rsidR="00D56949" w:rsidRPr="00DE0962">
        <w:t>paragraph 2</w:t>
      </w:r>
      <w:r w:rsidRPr="00DE0962">
        <w:t>92</w:t>
      </w:r>
      <w:r w:rsidR="00E62AE8">
        <w:noBreakHyphen/>
      </w:r>
      <w:r w:rsidRPr="00DE0962">
        <w:t>102(1)(a) of the 1997 Tax Act</w:t>
      </w:r>
      <w:r w:rsidR="009B5F70" w:rsidRPr="00DE0962">
        <w:t>)</w:t>
      </w:r>
      <w:r w:rsidRPr="00DE0962">
        <w:t>; and</w:t>
      </w:r>
    </w:p>
    <w:p w14:paraId="66157452" w14:textId="77777777" w:rsidR="006402A8" w:rsidRPr="00DE0962" w:rsidRDefault="006402A8" w:rsidP="006402A8">
      <w:pPr>
        <w:pStyle w:val="notepara"/>
      </w:pPr>
      <w:r w:rsidRPr="00DE0962">
        <w:t>(b)</w:t>
      </w:r>
      <w:r w:rsidR="00D56949" w:rsidRPr="00DE0962">
        <w:tab/>
      </w:r>
      <w:r w:rsidRPr="00DE0962">
        <w:t>there are rules about deducting personal contributions to a</w:t>
      </w:r>
      <w:r w:rsidR="00C44200" w:rsidRPr="00DE0962">
        <w:t xml:space="preserve">n RSA </w:t>
      </w:r>
      <w:r w:rsidRPr="00DE0962">
        <w:t xml:space="preserve">(see </w:t>
      </w:r>
      <w:r w:rsidR="00D56949" w:rsidRPr="00DE0962">
        <w:t>Subdivision 2</w:t>
      </w:r>
      <w:r w:rsidRPr="00DE0962">
        <w:t>90</w:t>
      </w:r>
      <w:r w:rsidR="00E62AE8">
        <w:noBreakHyphen/>
      </w:r>
      <w:r w:rsidRPr="00DE0962">
        <w:t xml:space="preserve">C of the 1997 Tax Act). In particular, work test conditions apply to deducting certain contributions made from age 67 until the day referred to in </w:t>
      </w:r>
      <w:proofErr w:type="spellStart"/>
      <w:r w:rsidRPr="00DE0962">
        <w:t>subregulation</w:t>
      </w:r>
      <w:proofErr w:type="spellEnd"/>
      <w:r w:rsidRPr="00DE0962">
        <w:t xml:space="preserve"> (1A) </w:t>
      </w:r>
      <w:r w:rsidR="009B5F70" w:rsidRPr="00DE0962">
        <w:t>(</w:t>
      </w:r>
      <w:r w:rsidRPr="00DE0962">
        <w:t xml:space="preserve">see </w:t>
      </w:r>
      <w:r w:rsidR="00D56949" w:rsidRPr="00DE0962">
        <w:t>subsection 2</w:t>
      </w:r>
      <w:r w:rsidRPr="00DE0962">
        <w:t>90</w:t>
      </w:r>
      <w:r w:rsidR="00E62AE8">
        <w:noBreakHyphen/>
      </w:r>
      <w:r w:rsidRPr="00DE0962">
        <w:t>165(1A) of the 1997 Tax Act</w:t>
      </w:r>
      <w:r w:rsidR="009B5F70" w:rsidRPr="00DE0962">
        <w:t>)</w:t>
      </w:r>
      <w:r w:rsidRPr="00DE0962">
        <w:t>.</w:t>
      </w:r>
    </w:p>
    <w:p w14:paraId="601C66B9" w14:textId="77777777" w:rsidR="006402A8" w:rsidRPr="00DE0962" w:rsidRDefault="00BA5D2D" w:rsidP="0041246F">
      <w:pPr>
        <w:pStyle w:val="ItemHead"/>
      </w:pPr>
      <w:r w:rsidRPr="00DE0962">
        <w:t>6</w:t>
      </w:r>
      <w:r w:rsidR="0041246F" w:rsidRPr="00DE0962">
        <w:t xml:space="preserve">  </w:t>
      </w:r>
      <w:proofErr w:type="spellStart"/>
      <w:r w:rsidR="008677E0" w:rsidRPr="00DE0962">
        <w:t>Subregulation</w:t>
      </w:r>
      <w:proofErr w:type="spellEnd"/>
      <w:r w:rsidR="008677E0" w:rsidRPr="00DE0962">
        <w:t> 5</w:t>
      </w:r>
      <w:r w:rsidR="0041246F" w:rsidRPr="00DE0962">
        <w:t>.03(2)</w:t>
      </w:r>
    </w:p>
    <w:p w14:paraId="3C9DA77E" w14:textId="77777777" w:rsidR="0041246F" w:rsidRPr="00DE0962" w:rsidRDefault="0041246F" w:rsidP="0041246F">
      <w:pPr>
        <w:pStyle w:val="Item"/>
      </w:pPr>
      <w:r w:rsidRPr="00DE0962">
        <w:t>Omit “</w:t>
      </w:r>
      <w:proofErr w:type="spellStart"/>
      <w:r w:rsidRPr="00DE0962">
        <w:t>subregulation</w:t>
      </w:r>
      <w:proofErr w:type="spellEnd"/>
      <w:r w:rsidRPr="00DE0962">
        <w:t> (1)”, substitute “</w:t>
      </w:r>
      <w:proofErr w:type="spellStart"/>
      <w:r w:rsidRPr="00DE0962">
        <w:t>subregulations</w:t>
      </w:r>
      <w:proofErr w:type="spellEnd"/>
      <w:r w:rsidRPr="00DE0962">
        <w:t> (1) and (1A)”.</w:t>
      </w:r>
    </w:p>
    <w:p w14:paraId="072F4FEA" w14:textId="77777777" w:rsidR="0041246F" w:rsidRPr="00DE0962" w:rsidRDefault="00BA5D2D" w:rsidP="006824B9">
      <w:pPr>
        <w:pStyle w:val="ItemHead"/>
      </w:pPr>
      <w:r w:rsidRPr="00DE0962">
        <w:t>7</w:t>
      </w:r>
      <w:r w:rsidR="0041246F" w:rsidRPr="00DE0962">
        <w:t xml:space="preserve">  </w:t>
      </w:r>
      <w:proofErr w:type="spellStart"/>
      <w:r w:rsidR="008677E0" w:rsidRPr="00DE0962">
        <w:t>Subregulation</w:t>
      </w:r>
      <w:proofErr w:type="spellEnd"/>
      <w:r w:rsidR="008677E0" w:rsidRPr="00DE0962">
        <w:t> 5</w:t>
      </w:r>
      <w:r w:rsidR="006824B9" w:rsidRPr="00DE0962">
        <w:t>.03(4)</w:t>
      </w:r>
    </w:p>
    <w:p w14:paraId="3D196DE5" w14:textId="77777777" w:rsidR="006824B9" w:rsidRPr="00DE0962" w:rsidRDefault="006824B9" w:rsidP="006824B9">
      <w:pPr>
        <w:pStyle w:val="Item"/>
      </w:pPr>
      <w:r w:rsidRPr="00DE0962">
        <w:t>After “</w:t>
      </w:r>
      <w:proofErr w:type="spellStart"/>
      <w:r w:rsidRPr="00DE0962">
        <w:t>subregulation</w:t>
      </w:r>
      <w:proofErr w:type="spellEnd"/>
      <w:r w:rsidRPr="00DE0962">
        <w:t> (1)” (first occurring), insert “, (1A)”.</w:t>
      </w:r>
    </w:p>
    <w:p w14:paraId="1399B247" w14:textId="77777777" w:rsidR="006824B9" w:rsidRPr="00DE0962" w:rsidRDefault="00BA5D2D" w:rsidP="006824B9">
      <w:pPr>
        <w:pStyle w:val="ItemHead"/>
      </w:pPr>
      <w:r w:rsidRPr="00DE0962">
        <w:t>8</w:t>
      </w:r>
      <w:r w:rsidR="006824B9" w:rsidRPr="00DE0962">
        <w:t xml:space="preserve">  </w:t>
      </w:r>
      <w:r w:rsidR="00D56949" w:rsidRPr="00DE0962">
        <w:t>Paragraph 5</w:t>
      </w:r>
      <w:r w:rsidR="006824B9" w:rsidRPr="00DE0962">
        <w:t>.03(4)(a)</w:t>
      </w:r>
    </w:p>
    <w:p w14:paraId="0A58F73B" w14:textId="77777777" w:rsidR="006824B9" w:rsidRPr="00DE0962" w:rsidRDefault="006824B9" w:rsidP="006824B9">
      <w:pPr>
        <w:pStyle w:val="Item"/>
      </w:pPr>
      <w:r w:rsidRPr="00DE0962">
        <w:t>After “</w:t>
      </w:r>
      <w:proofErr w:type="spellStart"/>
      <w:r w:rsidRPr="00DE0962">
        <w:t>subregulation</w:t>
      </w:r>
      <w:proofErr w:type="spellEnd"/>
      <w:r w:rsidRPr="00DE0962">
        <w:t> (1)”, insert “, (1A)”.</w:t>
      </w:r>
    </w:p>
    <w:p w14:paraId="12115712" w14:textId="77777777" w:rsidR="006824B9" w:rsidRPr="00DE0962" w:rsidRDefault="00BA5D2D" w:rsidP="006824B9">
      <w:pPr>
        <w:pStyle w:val="ItemHead"/>
      </w:pPr>
      <w:r w:rsidRPr="00DE0962">
        <w:t>9</w:t>
      </w:r>
      <w:r w:rsidR="006824B9" w:rsidRPr="00DE0962">
        <w:t xml:space="preserve">  Sub</w:t>
      </w:r>
      <w:r w:rsidR="00E62AE8">
        <w:noBreakHyphen/>
      </w:r>
      <w:r w:rsidR="006824B9" w:rsidRPr="00DE0962">
        <w:t>subparagraph 5.03(4)(b)(v)(D)</w:t>
      </w:r>
    </w:p>
    <w:p w14:paraId="3E460FB4" w14:textId="77777777" w:rsidR="006824B9" w:rsidRPr="00DE0962" w:rsidRDefault="006824B9" w:rsidP="006824B9">
      <w:pPr>
        <w:pStyle w:val="Item"/>
      </w:pPr>
      <w:r w:rsidRPr="00DE0962">
        <w:t>After “</w:t>
      </w:r>
      <w:proofErr w:type="spellStart"/>
      <w:r w:rsidRPr="00DE0962">
        <w:t>subregulation</w:t>
      </w:r>
      <w:proofErr w:type="spellEnd"/>
      <w:r w:rsidRPr="00DE0962">
        <w:t> (1)”, insert “, (1A)”.</w:t>
      </w:r>
    </w:p>
    <w:p w14:paraId="20D52EC8" w14:textId="77777777" w:rsidR="00F46936" w:rsidRPr="00DE0962" w:rsidRDefault="00BA5D2D" w:rsidP="00F46936">
      <w:pPr>
        <w:pStyle w:val="ItemHead"/>
      </w:pPr>
      <w:r w:rsidRPr="00DE0962">
        <w:t>10</w:t>
      </w:r>
      <w:r w:rsidR="00F46936" w:rsidRPr="00DE0962">
        <w:t xml:space="preserve">  </w:t>
      </w:r>
      <w:proofErr w:type="spellStart"/>
      <w:r w:rsidR="008677E0" w:rsidRPr="00DE0962">
        <w:t>Subregulation</w:t>
      </w:r>
      <w:proofErr w:type="spellEnd"/>
      <w:r w:rsidR="008677E0" w:rsidRPr="00DE0962">
        <w:t> 5</w:t>
      </w:r>
      <w:r w:rsidR="00F46936" w:rsidRPr="00DE0962">
        <w:t>.03(6)</w:t>
      </w:r>
    </w:p>
    <w:p w14:paraId="2D705F96" w14:textId="77777777" w:rsidR="00F46936" w:rsidRPr="00DE0962" w:rsidRDefault="00F46936" w:rsidP="00F46936">
      <w:pPr>
        <w:pStyle w:val="Item"/>
      </w:pPr>
      <w:r w:rsidRPr="00DE0962">
        <w:t>After “</w:t>
      </w:r>
      <w:proofErr w:type="spellStart"/>
      <w:r w:rsidRPr="00DE0962">
        <w:t>subregulation</w:t>
      </w:r>
      <w:proofErr w:type="spellEnd"/>
      <w:r w:rsidRPr="00DE0962">
        <w:t xml:space="preserve"> (1)”, insert “or under </w:t>
      </w:r>
      <w:proofErr w:type="spellStart"/>
      <w:r w:rsidRPr="00DE0962">
        <w:t>subregulation</w:t>
      </w:r>
      <w:proofErr w:type="spellEnd"/>
      <w:r w:rsidRPr="00DE0962">
        <w:t xml:space="preserve"> (1A)”.</w:t>
      </w:r>
    </w:p>
    <w:p w14:paraId="4B0FC86C" w14:textId="77777777" w:rsidR="009D6BF1" w:rsidRPr="00DE0962" w:rsidRDefault="00BA5D2D" w:rsidP="009D6BF1">
      <w:pPr>
        <w:pStyle w:val="ItemHead"/>
      </w:pPr>
      <w:r w:rsidRPr="00DE0962">
        <w:t>11</w:t>
      </w:r>
      <w:r w:rsidR="009D6BF1" w:rsidRPr="00DE0962">
        <w:t xml:space="preserve">  In the appropriate position in </w:t>
      </w:r>
      <w:r w:rsidR="00D56949" w:rsidRPr="00DE0962">
        <w:t>Part 7</w:t>
      </w:r>
    </w:p>
    <w:p w14:paraId="3788A34A" w14:textId="77777777" w:rsidR="009D6BF1" w:rsidRPr="00DE0962" w:rsidRDefault="009D6BF1" w:rsidP="009D6BF1">
      <w:pPr>
        <w:pStyle w:val="Item"/>
      </w:pPr>
      <w:r w:rsidRPr="00DE0962">
        <w:t>Insert:</w:t>
      </w:r>
    </w:p>
    <w:p w14:paraId="0FED0F60" w14:textId="77777777" w:rsidR="009D6BF1" w:rsidRPr="00DE0962" w:rsidRDefault="009D6BF1" w:rsidP="009D6BF1">
      <w:pPr>
        <w:pStyle w:val="ActHead5"/>
      </w:pPr>
      <w:bookmarkStart w:id="11" w:name="_Toc88131762"/>
      <w:r w:rsidRPr="0010550D">
        <w:rPr>
          <w:rStyle w:val="CharSectno"/>
        </w:rPr>
        <w:t>7.12</w:t>
      </w:r>
      <w:r w:rsidRPr="00DE0962">
        <w:t xml:space="preserve">  Amendments made by the</w:t>
      </w:r>
      <w:r w:rsidR="00EF21DD" w:rsidRPr="00DE0962">
        <w:t xml:space="preserve"> Treasury Laws Amendment (Enhancing Superannuation Outcomes) </w:t>
      </w:r>
      <w:r w:rsidR="00E62AE8">
        <w:t>Regulations 2</w:t>
      </w:r>
      <w:r w:rsidR="00EF21DD" w:rsidRPr="00DE0962">
        <w:t>02</w:t>
      </w:r>
      <w:bookmarkEnd w:id="11"/>
      <w:r w:rsidR="002208A1">
        <w:t>2</w:t>
      </w:r>
    </w:p>
    <w:p w14:paraId="14737FEA" w14:textId="77777777" w:rsidR="009D6BF1" w:rsidRPr="00DE0962" w:rsidRDefault="009D6BF1" w:rsidP="009D6BF1">
      <w:pPr>
        <w:pStyle w:val="subsection"/>
      </w:pPr>
      <w:r w:rsidRPr="00DE0962">
        <w:tab/>
      </w:r>
      <w:r w:rsidR="0041246F" w:rsidRPr="00DE0962">
        <w:t>(1)</w:t>
      </w:r>
      <w:r w:rsidRPr="00DE0962">
        <w:tab/>
        <w:t xml:space="preserve">The amendments made by </w:t>
      </w:r>
      <w:r w:rsidR="005D2BC4" w:rsidRPr="00DE0962">
        <w:t>items </w:t>
      </w:r>
      <w:r w:rsidR="0041246F" w:rsidRPr="00DE0962">
        <w:t>2</w:t>
      </w:r>
      <w:r w:rsidRPr="00DE0962">
        <w:t xml:space="preserve"> to </w:t>
      </w:r>
      <w:r w:rsidR="00BA5D2D" w:rsidRPr="00DE0962">
        <w:t>10</w:t>
      </w:r>
      <w:r w:rsidRPr="00DE0962">
        <w:t xml:space="preserve"> of Schedule 1 to the </w:t>
      </w:r>
      <w:r w:rsidR="0041246F" w:rsidRPr="00DE0962">
        <w:rPr>
          <w:i/>
        </w:rPr>
        <w:t xml:space="preserve">Treasury Laws Amendment (Enhancing Superannuation Outcomes) </w:t>
      </w:r>
      <w:r w:rsidR="00E62AE8">
        <w:rPr>
          <w:i/>
        </w:rPr>
        <w:t>Regulations 2</w:t>
      </w:r>
      <w:r w:rsidR="0041246F" w:rsidRPr="00DE0962">
        <w:rPr>
          <w:i/>
        </w:rPr>
        <w:t>02</w:t>
      </w:r>
      <w:r w:rsidR="002208A1">
        <w:rPr>
          <w:i/>
        </w:rPr>
        <w:t>2</w:t>
      </w:r>
      <w:r w:rsidR="0041246F" w:rsidRPr="00DE0962">
        <w:t xml:space="preserve"> </w:t>
      </w:r>
      <w:r w:rsidRPr="00DE0962">
        <w:t>apply in relation to contributions made in the 2022</w:t>
      </w:r>
      <w:r w:rsidR="00E62AE8">
        <w:noBreakHyphen/>
      </w:r>
      <w:r w:rsidRPr="00DE0962">
        <w:t>23 financial year and later financial years.</w:t>
      </w:r>
    </w:p>
    <w:p w14:paraId="2DFEE3AA" w14:textId="77777777" w:rsidR="00EF21DD" w:rsidRPr="00DE0962" w:rsidRDefault="00EF21DD" w:rsidP="009D6BF1">
      <w:pPr>
        <w:pStyle w:val="subsection"/>
      </w:pPr>
      <w:r w:rsidRPr="00DE0962">
        <w:tab/>
        <w:t>(2)</w:t>
      </w:r>
      <w:r w:rsidRPr="00DE0962">
        <w:tab/>
        <w:t xml:space="preserve">Despite the amendments made by </w:t>
      </w:r>
      <w:r w:rsidR="00F46936" w:rsidRPr="00DE0962">
        <w:t>those items in that Schedule,</w:t>
      </w:r>
      <w:r w:rsidRPr="00DE0962">
        <w:t xml:space="preserve"> </w:t>
      </w:r>
      <w:r w:rsidR="00D56949" w:rsidRPr="00DE0962">
        <w:t>regulation 5</w:t>
      </w:r>
      <w:r w:rsidR="00F60A71" w:rsidRPr="00DE0962">
        <w:t>.03</w:t>
      </w:r>
      <w:r w:rsidR="0041246F" w:rsidRPr="00DE0962">
        <w:t>,</w:t>
      </w:r>
      <w:r w:rsidRPr="00DE0962">
        <w:t xml:space="preserve"> as in force immediately before the commencement of that Schedule, continues to apply in relation to contributions made on or after th</w:t>
      </w:r>
      <w:r w:rsidR="00F60A71" w:rsidRPr="00DE0962">
        <w:t>at</w:t>
      </w:r>
      <w:r w:rsidRPr="00DE0962">
        <w:t xml:space="preserve"> commencement but before </w:t>
      </w:r>
      <w:r w:rsidR="00D56949" w:rsidRPr="00DE0962">
        <w:t>1 July</w:t>
      </w:r>
      <w:r w:rsidRPr="00DE0962">
        <w:t xml:space="preserve"> 2022.</w:t>
      </w:r>
    </w:p>
    <w:p w14:paraId="2670B851" w14:textId="77777777" w:rsidR="009D6BF1" w:rsidRPr="00DE0962" w:rsidRDefault="009D6BF1" w:rsidP="009D6BF1">
      <w:pPr>
        <w:pStyle w:val="ActHead9"/>
      </w:pPr>
      <w:bookmarkStart w:id="12" w:name="_Toc88131763"/>
      <w:r w:rsidRPr="00DE0962">
        <w:t xml:space="preserve">Superannuation Industry (Supervision) </w:t>
      </w:r>
      <w:r w:rsidR="00D56949" w:rsidRPr="00DE0962">
        <w:t>Regulations 1</w:t>
      </w:r>
      <w:r w:rsidRPr="00DE0962">
        <w:t>994</w:t>
      </w:r>
      <w:bookmarkEnd w:id="12"/>
    </w:p>
    <w:p w14:paraId="4D5BC0CF" w14:textId="77777777" w:rsidR="00963DDE" w:rsidRPr="00DE0962" w:rsidRDefault="00BA5D2D" w:rsidP="00963DDE">
      <w:pPr>
        <w:pStyle w:val="ItemHead"/>
        <w:rPr>
          <w:shd w:val="clear" w:color="auto" w:fill="FFFFFF"/>
        </w:rPr>
      </w:pPr>
      <w:r w:rsidRPr="00DE0962">
        <w:rPr>
          <w:shd w:val="clear" w:color="auto" w:fill="FFFFFF"/>
        </w:rPr>
        <w:t>12</w:t>
      </w:r>
      <w:r w:rsidR="00963DDE" w:rsidRPr="00DE0962">
        <w:rPr>
          <w:shd w:val="clear" w:color="auto" w:fill="FFFFFF"/>
        </w:rPr>
        <w:t xml:space="preserve">  </w:t>
      </w:r>
      <w:proofErr w:type="spellStart"/>
      <w:r w:rsidR="008677E0" w:rsidRPr="00DE0962">
        <w:rPr>
          <w:shd w:val="clear" w:color="auto" w:fill="FFFFFF"/>
        </w:rPr>
        <w:t>Subregulation</w:t>
      </w:r>
      <w:proofErr w:type="spellEnd"/>
      <w:r w:rsidR="008677E0" w:rsidRPr="00DE0962">
        <w:rPr>
          <w:shd w:val="clear" w:color="auto" w:fill="FFFFFF"/>
        </w:rPr>
        <w:t> 7</w:t>
      </w:r>
      <w:r w:rsidR="00963DDE" w:rsidRPr="00DE0962">
        <w:rPr>
          <w:shd w:val="clear" w:color="auto" w:fill="FFFFFF"/>
        </w:rPr>
        <w:t>.01(1A)</w:t>
      </w:r>
    </w:p>
    <w:p w14:paraId="5400A6AE" w14:textId="77777777" w:rsidR="00963DDE" w:rsidRPr="00DE0962" w:rsidRDefault="00963DDE" w:rsidP="00963DDE">
      <w:pPr>
        <w:pStyle w:val="Item"/>
      </w:pPr>
      <w:r w:rsidRPr="00DE0962">
        <w:t xml:space="preserve">Repeal the </w:t>
      </w:r>
      <w:proofErr w:type="spellStart"/>
      <w:r w:rsidRPr="00DE0962">
        <w:t>subregulation</w:t>
      </w:r>
      <w:proofErr w:type="spellEnd"/>
      <w:r w:rsidRPr="00DE0962">
        <w:t>.</w:t>
      </w:r>
    </w:p>
    <w:p w14:paraId="3807471D" w14:textId="77777777" w:rsidR="009D6BF1" w:rsidRPr="00DE0962" w:rsidRDefault="00BA5D2D" w:rsidP="0098682F">
      <w:pPr>
        <w:pStyle w:val="ItemHead"/>
      </w:pPr>
      <w:r w:rsidRPr="00DE0962">
        <w:t>13</w:t>
      </w:r>
      <w:r w:rsidR="008E7F4C" w:rsidRPr="00DE0962">
        <w:t xml:space="preserve">  </w:t>
      </w:r>
      <w:proofErr w:type="spellStart"/>
      <w:r w:rsidR="008677E0" w:rsidRPr="00DE0962">
        <w:t>Subregulation</w:t>
      </w:r>
      <w:proofErr w:type="spellEnd"/>
      <w:r w:rsidR="008677E0" w:rsidRPr="00DE0962">
        <w:t> 7</w:t>
      </w:r>
      <w:r w:rsidR="0098682F" w:rsidRPr="00DE0962">
        <w:t>.01(3)</w:t>
      </w:r>
    </w:p>
    <w:p w14:paraId="0A3FFE94" w14:textId="77777777" w:rsidR="0098682F" w:rsidRPr="00DE0962" w:rsidRDefault="0098682F" w:rsidP="0098682F">
      <w:pPr>
        <w:pStyle w:val="Item"/>
      </w:pPr>
      <w:r w:rsidRPr="00DE0962">
        <w:t xml:space="preserve">Repeal the </w:t>
      </w:r>
      <w:proofErr w:type="spellStart"/>
      <w:r w:rsidRPr="00DE0962">
        <w:t>subregulation</w:t>
      </w:r>
      <w:proofErr w:type="spellEnd"/>
      <w:r w:rsidRPr="00DE0962">
        <w:t xml:space="preserve"> (including the note).</w:t>
      </w:r>
    </w:p>
    <w:p w14:paraId="54161B7A" w14:textId="77777777" w:rsidR="007F4FA1" w:rsidRPr="00DE0962" w:rsidRDefault="00BA5D2D" w:rsidP="00C7764A">
      <w:pPr>
        <w:pStyle w:val="ItemHead"/>
      </w:pPr>
      <w:r w:rsidRPr="00DE0962">
        <w:lastRenderedPageBreak/>
        <w:t>14</w:t>
      </w:r>
      <w:r w:rsidR="007F4FA1" w:rsidRPr="00DE0962">
        <w:t xml:space="preserve">  </w:t>
      </w:r>
      <w:proofErr w:type="spellStart"/>
      <w:r w:rsidR="008677E0" w:rsidRPr="00DE0962">
        <w:t>Subregulation</w:t>
      </w:r>
      <w:proofErr w:type="spellEnd"/>
      <w:r w:rsidR="008677E0" w:rsidRPr="00DE0962">
        <w:t> 7</w:t>
      </w:r>
      <w:r w:rsidR="00C7764A" w:rsidRPr="00DE0962">
        <w:t>.04(1)</w:t>
      </w:r>
    </w:p>
    <w:p w14:paraId="6F28FB7F" w14:textId="77777777" w:rsidR="00C7764A" w:rsidRPr="00DE0962" w:rsidRDefault="00C7764A" w:rsidP="00C7764A">
      <w:pPr>
        <w:pStyle w:val="Item"/>
      </w:pPr>
      <w:r w:rsidRPr="00DE0962">
        <w:t>After “</w:t>
      </w:r>
      <w:proofErr w:type="spellStart"/>
      <w:r w:rsidRPr="00DE0962">
        <w:t>subregulations</w:t>
      </w:r>
      <w:proofErr w:type="spellEnd"/>
      <w:r w:rsidRPr="00DE0962">
        <w:t>”, insert “(1A),”.</w:t>
      </w:r>
    </w:p>
    <w:p w14:paraId="124531B9" w14:textId="77777777" w:rsidR="009D6BF1" w:rsidRPr="00DE0962" w:rsidRDefault="00BA5D2D" w:rsidP="009D6BF1">
      <w:pPr>
        <w:pStyle w:val="ItemHead"/>
        <w:spacing w:before="240"/>
        <w:rPr>
          <w:shd w:val="clear" w:color="auto" w:fill="FFFFFF"/>
        </w:rPr>
      </w:pPr>
      <w:r w:rsidRPr="00DE0962">
        <w:rPr>
          <w:shd w:val="clear" w:color="auto" w:fill="FFFFFF"/>
        </w:rPr>
        <w:t>15</w:t>
      </w:r>
      <w:r w:rsidR="009D6BF1" w:rsidRPr="00DE0962">
        <w:rPr>
          <w:shd w:val="clear" w:color="auto" w:fill="FFFFFF"/>
        </w:rPr>
        <w:t xml:space="preserve">  </w:t>
      </w:r>
      <w:proofErr w:type="spellStart"/>
      <w:r w:rsidR="008677E0" w:rsidRPr="00DE0962">
        <w:rPr>
          <w:shd w:val="clear" w:color="auto" w:fill="FFFFFF"/>
        </w:rPr>
        <w:t>Subregulation</w:t>
      </w:r>
      <w:proofErr w:type="spellEnd"/>
      <w:r w:rsidR="008677E0" w:rsidRPr="00DE0962">
        <w:rPr>
          <w:shd w:val="clear" w:color="auto" w:fill="FFFFFF"/>
        </w:rPr>
        <w:t> 7</w:t>
      </w:r>
      <w:r w:rsidR="009D6BF1" w:rsidRPr="00DE0962">
        <w:rPr>
          <w:shd w:val="clear" w:color="auto" w:fill="FFFFFF"/>
        </w:rPr>
        <w:t>.04(1) (table)</w:t>
      </w:r>
    </w:p>
    <w:p w14:paraId="03913FFB" w14:textId="77777777" w:rsidR="009D6BF1" w:rsidRPr="00DE0962" w:rsidRDefault="009D6BF1" w:rsidP="005C5382">
      <w:pPr>
        <w:pStyle w:val="Item"/>
      </w:pPr>
      <w:r w:rsidRPr="00DE0962">
        <w:t>Repeal the table, substitute:</w:t>
      </w:r>
    </w:p>
    <w:p w14:paraId="76503561" w14:textId="77777777" w:rsidR="009D6BF1" w:rsidRPr="00DE0962" w:rsidRDefault="009D6BF1" w:rsidP="009D6BF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83"/>
        <w:gridCol w:w="2209"/>
        <w:gridCol w:w="5537"/>
      </w:tblGrid>
      <w:tr w:rsidR="009D6BF1" w:rsidRPr="00DE0962" w14:paraId="24F41DEC" w14:textId="77777777" w:rsidTr="004B2F7F">
        <w:trPr>
          <w:tblHeader/>
        </w:trPr>
        <w:tc>
          <w:tcPr>
            <w:tcW w:w="459" w:type="pct"/>
            <w:tcBorders>
              <w:top w:val="single" w:sz="12" w:space="0" w:color="auto"/>
              <w:bottom w:val="single" w:sz="12" w:space="0" w:color="auto"/>
            </w:tcBorders>
            <w:shd w:val="clear" w:color="auto" w:fill="auto"/>
          </w:tcPr>
          <w:p w14:paraId="7E1CC917" w14:textId="77777777" w:rsidR="009D6BF1" w:rsidRPr="00DE0962" w:rsidRDefault="009D6BF1" w:rsidP="00DE5F6D">
            <w:pPr>
              <w:pStyle w:val="TableHeading"/>
            </w:pPr>
            <w:r w:rsidRPr="00DE0962">
              <w:t>Item</w:t>
            </w:r>
          </w:p>
        </w:tc>
        <w:tc>
          <w:tcPr>
            <w:tcW w:w="1295" w:type="pct"/>
            <w:tcBorders>
              <w:top w:val="single" w:sz="12" w:space="0" w:color="auto"/>
              <w:bottom w:val="single" w:sz="12" w:space="0" w:color="auto"/>
            </w:tcBorders>
            <w:shd w:val="clear" w:color="auto" w:fill="auto"/>
          </w:tcPr>
          <w:p w14:paraId="315B6520" w14:textId="77777777" w:rsidR="009D6BF1" w:rsidRPr="00DE0962" w:rsidRDefault="009D6BF1" w:rsidP="00DE5F6D">
            <w:pPr>
              <w:pStyle w:val="TableHeading"/>
            </w:pPr>
            <w:r w:rsidRPr="00DE0962">
              <w:t xml:space="preserve">If </w:t>
            </w:r>
            <w:r w:rsidR="0077668C" w:rsidRPr="00DE0962">
              <w:t>a</w:t>
            </w:r>
            <w:r w:rsidRPr="00DE0962">
              <w:t xml:space="preserve"> member …</w:t>
            </w:r>
          </w:p>
        </w:tc>
        <w:tc>
          <w:tcPr>
            <w:tcW w:w="3246" w:type="pct"/>
            <w:tcBorders>
              <w:top w:val="single" w:sz="12" w:space="0" w:color="auto"/>
              <w:bottom w:val="single" w:sz="12" w:space="0" w:color="auto"/>
            </w:tcBorders>
            <w:shd w:val="clear" w:color="auto" w:fill="auto"/>
          </w:tcPr>
          <w:p w14:paraId="1A435A83" w14:textId="77777777" w:rsidR="009D6BF1" w:rsidRPr="00DE0962" w:rsidRDefault="009D6BF1" w:rsidP="00DE5F6D">
            <w:pPr>
              <w:pStyle w:val="TableHeading"/>
            </w:pPr>
            <w:r w:rsidRPr="00DE0962">
              <w:t xml:space="preserve">the fund may accept </w:t>
            </w:r>
            <w:r w:rsidR="00C7764A" w:rsidRPr="00DE0962">
              <w:t>contributions made in respect of the member that are</w:t>
            </w:r>
            <w:r w:rsidRPr="00DE0962">
              <w:t>…</w:t>
            </w:r>
          </w:p>
        </w:tc>
      </w:tr>
      <w:tr w:rsidR="009D6BF1" w:rsidRPr="00DE0962" w14:paraId="28DD9214" w14:textId="77777777" w:rsidTr="004B2F7F">
        <w:tc>
          <w:tcPr>
            <w:tcW w:w="459" w:type="pct"/>
            <w:tcBorders>
              <w:top w:val="single" w:sz="12" w:space="0" w:color="auto"/>
            </w:tcBorders>
            <w:shd w:val="clear" w:color="auto" w:fill="auto"/>
          </w:tcPr>
          <w:p w14:paraId="442CA167" w14:textId="77777777" w:rsidR="009D6BF1" w:rsidRPr="00DE0962" w:rsidRDefault="009D6BF1" w:rsidP="00DE5F6D">
            <w:pPr>
              <w:pStyle w:val="Tabletext"/>
            </w:pPr>
            <w:r w:rsidRPr="00DE0962">
              <w:rPr>
                <w:color w:val="000000"/>
              </w:rPr>
              <w:t>1</w:t>
            </w:r>
          </w:p>
        </w:tc>
        <w:tc>
          <w:tcPr>
            <w:tcW w:w="1295" w:type="pct"/>
            <w:tcBorders>
              <w:top w:val="single" w:sz="12" w:space="0" w:color="auto"/>
            </w:tcBorders>
            <w:shd w:val="clear" w:color="auto" w:fill="auto"/>
          </w:tcPr>
          <w:p w14:paraId="7F38CEDF" w14:textId="77777777" w:rsidR="009D6BF1" w:rsidRPr="00DE0962" w:rsidRDefault="009D6BF1" w:rsidP="00DE5F6D">
            <w:pPr>
              <w:pStyle w:val="Tabletext"/>
              <w:rPr>
                <w:color w:val="000000"/>
              </w:rPr>
            </w:pPr>
            <w:r w:rsidRPr="00DE0962">
              <w:rPr>
                <w:color w:val="000000"/>
              </w:rPr>
              <w:t>is under 60</w:t>
            </w:r>
          </w:p>
        </w:tc>
        <w:tc>
          <w:tcPr>
            <w:tcW w:w="3246" w:type="pct"/>
            <w:tcBorders>
              <w:top w:val="single" w:sz="12" w:space="0" w:color="auto"/>
            </w:tcBorders>
            <w:shd w:val="clear" w:color="auto" w:fill="auto"/>
          </w:tcPr>
          <w:p w14:paraId="416534C7" w14:textId="77777777" w:rsidR="00C7764A" w:rsidRPr="00DE0962" w:rsidRDefault="00C7764A" w:rsidP="00C7764A">
            <w:pPr>
              <w:pStyle w:val="Tablea"/>
            </w:pPr>
            <w:r w:rsidRPr="00DE0962">
              <w:t>(a) employer contributions; or</w:t>
            </w:r>
          </w:p>
          <w:p w14:paraId="62A68232" w14:textId="77777777" w:rsidR="009D6BF1" w:rsidRPr="00DE0962" w:rsidRDefault="00C7764A" w:rsidP="00C7764A">
            <w:pPr>
              <w:pStyle w:val="Tablea"/>
            </w:pPr>
            <w:r w:rsidRPr="00DE0962">
              <w:t>(b) member contributions</w:t>
            </w:r>
          </w:p>
        </w:tc>
      </w:tr>
      <w:tr w:rsidR="009D6BF1" w:rsidRPr="00DE0962" w:rsidDel="002B7FD1" w14:paraId="2FC91ED7" w14:textId="77777777" w:rsidTr="004B2F7F">
        <w:tc>
          <w:tcPr>
            <w:tcW w:w="459" w:type="pct"/>
            <w:tcBorders>
              <w:bottom w:val="single" w:sz="2" w:space="0" w:color="auto"/>
            </w:tcBorders>
            <w:shd w:val="clear" w:color="auto" w:fill="auto"/>
          </w:tcPr>
          <w:p w14:paraId="5739E1E8" w14:textId="77777777" w:rsidR="009D6BF1" w:rsidRPr="00DE0962" w:rsidRDefault="009D6BF1" w:rsidP="00DE5F6D">
            <w:pPr>
              <w:pStyle w:val="Tabletext"/>
              <w:rPr>
                <w:color w:val="000000"/>
              </w:rPr>
            </w:pPr>
            <w:r w:rsidRPr="00DE0962">
              <w:rPr>
                <w:color w:val="000000"/>
              </w:rPr>
              <w:t>2</w:t>
            </w:r>
          </w:p>
        </w:tc>
        <w:tc>
          <w:tcPr>
            <w:tcW w:w="1295" w:type="pct"/>
            <w:tcBorders>
              <w:bottom w:val="single" w:sz="2" w:space="0" w:color="auto"/>
            </w:tcBorders>
            <w:shd w:val="clear" w:color="auto" w:fill="auto"/>
          </w:tcPr>
          <w:p w14:paraId="629C568C" w14:textId="77777777" w:rsidR="009D6BF1" w:rsidRPr="00DE0962" w:rsidRDefault="009D6BF1" w:rsidP="00DE5F6D">
            <w:pPr>
              <w:pStyle w:val="Tabletext"/>
              <w:rPr>
                <w:color w:val="000000"/>
              </w:rPr>
            </w:pPr>
            <w:r w:rsidRPr="00DE0962">
              <w:rPr>
                <w:color w:val="000000"/>
              </w:rPr>
              <w:t xml:space="preserve">is not under 60, but is under </w:t>
            </w:r>
            <w:r w:rsidR="00C7764A" w:rsidRPr="00DE0962">
              <w:rPr>
                <w:color w:val="000000"/>
              </w:rPr>
              <w:t>75</w:t>
            </w:r>
          </w:p>
        </w:tc>
        <w:tc>
          <w:tcPr>
            <w:tcW w:w="3246" w:type="pct"/>
            <w:tcBorders>
              <w:bottom w:val="single" w:sz="2" w:space="0" w:color="auto"/>
            </w:tcBorders>
            <w:shd w:val="clear" w:color="auto" w:fill="auto"/>
          </w:tcPr>
          <w:p w14:paraId="22B12DD3" w14:textId="77777777" w:rsidR="009D6BF1" w:rsidRPr="00DE0962" w:rsidDel="002B7FD1" w:rsidRDefault="009D6BF1" w:rsidP="00DE5F6D">
            <w:pPr>
              <w:pStyle w:val="Tablea"/>
            </w:pPr>
            <w:r w:rsidRPr="00DE0962">
              <w:t>(a) employer contributions; or</w:t>
            </w:r>
          </w:p>
          <w:p w14:paraId="0237BFE3" w14:textId="77777777" w:rsidR="009D6BF1" w:rsidRPr="00DE0962" w:rsidRDefault="009D6BF1" w:rsidP="00C7764A">
            <w:pPr>
              <w:pStyle w:val="Tablea"/>
              <w:rPr>
                <w:color w:val="000000"/>
              </w:rPr>
            </w:pPr>
            <w:r w:rsidRPr="00DE0962">
              <w:t>(</w:t>
            </w:r>
            <w:r w:rsidR="00C7764A" w:rsidRPr="00DE0962">
              <w:t>b</w:t>
            </w:r>
            <w:r w:rsidRPr="00DE0962">
              <w:t>) member contributions</w:t>
            </w:r>
            <w:r w:rsidR="00C7764A" w:rsidRPr="00DE0962">
              <w:t xml:space="preserve"> (including </w:t>
            </w:r>
            <w:r w:rsidRPr="00DE0962">
              <w:t>downsizer contributions</w:t>
            </w:r>
            <w:r w:rsidR="00C7764A" w:rsidRPr="00DE0962">
              <w:t>)</w:t>
            </w:r>
          </w:p>
        </w:tc>
      </w:tr>
      <w:tr w:rsidR="009D6BF1" w:rsidRPr="00DE0962" w14:paraId="746AA780" w14:textId="77777777" w:rsidTr="004B2F7F">
        <w:tc>
          <w:tcPr>
            <w:tcW w:w="459" w:type="pct"/>
            <w:tcBorders>
              <w:top w:val="single" w:sz="2" w:space="0" w:color="auto"/>
              <w:bottom w:val="single" w:sz="12" w:space="0" w:color="auto"/>
            </w:tcBorders>
            <w:shd w:val="clear" w:color="auto" w:fill="auto"/>
          </w:tcPr>
          <w:p w14:paraId="51B0DA80" w14:textId="77777777" w:rsidR="009D6BF1" w:rsidRPr="00DE0962" w:rsidRDefault="00C7764A" w:rsidP="00DE5F6D">
            <w:pPr>
              <w:pStyle w:val="Tabletext"/>
            </w:pPr>
            <w:r w:rsidRPr="00DE0962">
              <w:t>3</w:t>
            </w:r>
          </w:p>
        </w:tc>
        <w:tc>
          <w:tcPr>
            <w:tcW w:w="1295" w:type="pct"/>
            <w:tcBorders>
              <w:top w:val="single" w:sz="2" w:space="0" w:color="auto"/>
              <w:bottom w:val="single" w:sz="12" w:space="0" w:color="auto"/>
            </w:tcBorders>
            <w:shd w:val="clear" w:color="auto" w:fill="auto"/>
          </w:tcPr>
          <w:p w14:paraId="08BB3A6B" w14:textId="77777777" w:rsidR="009D6BF1" w:rsidRPr="00DE0962" w:rsidRDefault="009D6BF1" w:rsidP="00DE5F6D">
            <w:pPr>
              <w:pStyle w:val="Tabletext"/>
            </w:pPr>
            <w:r w:rsidRPr="00DE0962">
              <w:rPr>
                <w:color w:val="000000"/>
              </w:rPr>
              <w:t>is not under 75</w:t>
            </w:r>
          </w:p>
        </w:tc>
        <w:tc>
          <w:tcPr>
            <w:tcW w:w="3246" w:type="pct"/>
            <w:tcBorders>
              <w:top w:val="single" w:sz="2" w:space="0" w:color="auto"/>
              <w:bottom w:val="single" w:sz="12" w:space="0" w:color="auto"/>
            </w:tcBorders>
            <w:shd w:val="clear" w:color="auto" w:fill="auto"/>
          </w:tcPr>
          <w:p w14:paraId="11BCCD27" w14:textId="77777777" w:rsidR="009D6BF1" w:rsidRPr="00DE0962" w:rsidRDefault="009D6BF1" w:rsidP="00DE5F6D">
            <w:pPr>
              <w:pStyle w:val="Tablea"/>
            </w:pPr>
            <w:r w:rsidRPr="00DE0962">
              <w:t>(a) mandated employer contributions; or</w:t>
            </w:r>
          </w:p>
          <w:p w14:paraId="13170013" w14:textId="77777777" w:rsidR="009D6BF1" w:rsidRPr="00DE0962" w:rsidRDefault="009D6BF1" w:rsidP="00DE5F6D">
            <w:pPr>
              <w:pStyle w:val="Tablea"/>
            </w:pPr>
            <w:r w:rsidRPr="00DE0962">
              <w:t>(b) downsizer contributions</w:t>
            </w:r>
          </w:p>
        </w:tc>
      </w:tr>
    </w:tbl>
    <w:p w14:paraId="3AA8C818" w14:textId="77777777" w:rsidR="009D6BF1" w:rsidRPr="00DE0962" w:rsidRDefault="009D6BF1" w:rsidP="009D6BF1">
      <w:pPr>
        <w:pStyle w:val="Tabletext"/>
      </w:pPr>
    </w:p>
    <w:p w14:paraId="78111E73" w14:textId="77777777" w:rsidR="001F5C77" w:rsidRPr="00DE0962" w:rsidRDefault="00BA5D2D" w:rsidP="001F5C77">
      <w:pPr>
        <w:pStyle w:val="ItemHead"/>
      </w:pPr>
      <w:r w:rsidRPr="00DE0962">
        <w:t>16</w:t>
      </w:r>
      <w:r w:rsidR="009D6BF1" w:rsidRPr="00DE0962">
        <w:t xml:space="preserve">  </w:t>
      </w:r>
      <w:proofErr w:type="spellStart"/>
      <w:r w:rsidR="008677E0" w:rsidRPr="00DE0962">
        <w:t>Subregulation</w:t>
      </w:r>
      <w:proofErr w:type="spellEnd"/>
      <w:r w:rsidR="008677E0" w:rsidRPr="00DE0962">
        <w:t> 7</w:t>
      </w:r>
      <w:r w:rsidR="001F5C77" w:rsidRPr="00DE0962">
        <w:t>.04(1A)</w:t>
      </w:r>
    </w:p>
    <w:p w14:paraId="43CA2AE5" w14:textId="77777777" w:rsidR="001F5C77" w:rsidRPr="00DE0962" w:rsidRDefault="001F5C77" w:rsidP="001F5C77">
      <w:pPr>
        <w:pStyle w:val="Item"/>
      </w:pPr>
      <w:r w:rsidRPr="00DE0962">
        <w:t xml:space="preserve">Repeal the </w:t>
      </w:r>
      <w:proofErr w:type="spellStart"/>
      <w:r w:rsidRPr="00DE0962">
        <w:t>subregulation</w:t>
      </w:r>
      <w:proofErr w:type="spellEnd"/>
      <w:r w:rsidRPr="00DE0962">
        <w:t>, substitute:</w:t>
      </w:r>
    </w:p>
    <w:p w14:paraId="3DDC7C9E" w14:textId="77777777" w:rsidR="00193DBF" w:rsidRPr="00DE0962" w:rsidRDefault="00193DBF" w:rsidP="00193DBF">
      <w:pPr>
        <w:pStyle w:val="subsection"/>
        <w:rPr>
          <w:sz w:val="20"/>
        </w:rPr>
      </w:pPr>
      <w:r w:rsidRPr="00DE0962">
        <w:tab/>
        <w:t>(1A)</w:t>
      </w:r>
      <w:r w:rsidRPr="00DE0962">
        <w:tab/>
        <w:t xml:space="preserve">Despite </w:t>
      </w:r>
      <w:r w:rsidR="00D56949" w:rsidRPr="00DE0962">
        <w:t>item</w:t>
      </w:r>
      <w:r w:rsidR="0077668C" w:rsidRPr="00DE0962">
        <w:t>s</w:t>
      </w:r>
      <w:r w:rsidR="00D56949" w:rsidRPr="00DE0962">
        <w:t> 2</w:t>
      </w:r>
      <w:r w:rsidR="0077668C" w:rsidRPr="00DE0962">
        <w:t xml:space="preserve"> and 3</w:t>
      </w:r>
      <w:r w:rsidRPr="00DE0962">
        <w:t xml:space="preserve"> of the table in </w:t>
      </w:r>
      <w:proofErr w:type="spellStart"/>
      <w:r w:rsidRPr="00DE0962">
        <w:t>subregulation</w:t>
      </w:r>
      <w:proofErr w:type="spellEnd"/>
      <w:r w:rsidRPr="00DE0962">
        <w:t xml:space="preserve"> (1), the </w:t>
      </w:r>
      <w:r w:rsidR="00F67D42" w:rsidRPr="00DE0962">
        <w:t xml:space="preserve">fund </w:t>
      </w:r>
      <w:r w:rsidRPr="00DE0962">
        <w:t xml:space="preserve">may also accept contributions made in respect of </w:t>
      </w:r>
      <w:r w:rsidR="00F67D42" w:rsidRPr="00DE0962">
        <w:t>a member</w:t>
      </w:r>
      <w:r w:rsidRPr="00DE0962">
        <w:t xml:space="preserve">, and received on or before the day that is 28 days after the end of the month in which the </w:t>
      </w:r>
      <w:r w:rsidR="00F67D42" w:rsidRPr="00DE0962">
        <w:t xml:space="preserve">member </w:t>
      </w:r>
      <w:r w:rsidRPr="00DE0962">
        <w:t>turns 75, that are:</w:t>
      </w:r>
    </w:p>
    <w:p w14:paraId="4EA582AE" w14:textId="77777777" w:rsidR="00193DBF" w:rsidRPr="00DE0962" w:rsidRDefault="00F67D42" w:rsidP="00193DBF">
      <w:pPr>
        <w:pStyle w:val="paragraph"/>
      </w:pPr>
      <w:r w:rsidRPr="00DE0962">
        <w:tab/>
        <w:t>(a)</w:t>
      </w:r>
      <w:r w:rsidRPr="00DE0962">
        <w:tab/>
      </w:r>
      <w:r w:rsidR="00193DBF" w:rsidRPr="00DE0962">
        <w:t>employer contributions other than mandated employer contributions; or</w:t>
      </w:r>
    </w:p>
    <w:p w14:paraId="3E93196A" w14:textId="77777777" w:rsidR="00193DBF" w:rsidRPr="00DE0962" w:rsidRDefault="00F67D42" w:rsidP="00193DBF">
      <w:pPr>
        <w:pStyle w:val="paragraph"/>
      </w:pPr>
      <w:r w:rsidRPr="00DE0962">
        <w:tab/>
        <w:t>(b)</w:t>
      </w:r>
      <w:r w:rsidRPr="00DE0962">
        <w:tab/>
        <w:t xml:space="preserve">member </w:t>
      </w:r>
      <w:r w:rsidR="00193DBF" w:rsidRPr="00DE0962">
        <w:t>contributions other than downsizer contributions.</w:t>
      </w:r>
    </w:p>
    <w:p w14:paraId="2C42C6EF" w14:textId="77777777" w:rsidR="00193DBF" w:rsidRPr="00DE0962" w:rsidRDefault="00193DBF" w:rsidP="00193DBF">
      <w:pPr>
        <w:pStyle w:val="notetext"/>
      </w:pPr>
      <w:r w:rsidRPr="00DE0962">
        <w:t>Note:</w:t>
      </w:r>
      <w:r w:rsidRPr="00DE0962">
        <w:tab/>
        <w:t>Other rules may be relevant to making certain contributions in respect of a</w:t>
      </w:r>
      <w:r w:rsidR="00F67D42" w:rsidRPr="00DE0962">
        <w:t xml:space="preserve"> member</w:t>
      </w:r>
      <w:r w:rsidRPr="00DE0962">
        <w:t>. For example:</w:t>
      </w:r>
    </w:p>
    <w:p w14:paraId="18D686FC" w14:textId="77777777" w:rsidR="00193DBF" w:rsidRPr="00DE0962" w:rsidRDefault="00193DBF" w:rsidP="00193DBF">
      <w:pPr>
        <w:pStyle w:val="notepara"/>
        <w:rPr>
          <w:szCs w:val="18"/>
        </w:rPr>
      </w:pPr>
      <w:r w:rsidRPr="00DE0962">
        <w:t>(a)</w:t>
      </w:r>
      <w:r w:rsidR="00D16040" w:rsidRPr="00DE0962">
        <w:tab/>
      </w:r>
      <w:r w:rsidRPr="00DE0962">
        <w:t xml:space="preserve">downsizer contributions are limited to persons aged 60 or over </w:t>
      </w:r>
      <w:r w:rsidR="009B5F70" w:rsidRPr="00DE0962">
        <w:t>(</w:t>
      </w:r>
      <w:r w:rsidRPr="00DE0962">
        <w:t xml:space="preserve">see </w:t>
      </w:r>
      <w:r w:rsidR="00D56949" w:rsidRPr="00DE0962">
        <w:t>paragraph 2</w:t>
      </w:r>
      <w:r w:rsidRPr="00DE0962">
        <w:t>92</w:t>
      </w:r>
      <w:r w:rsidR="00E62AE8">
        <w:noBreakHyphen/>
      </w:r>
      <w:r w:rsidRPr="00DE0962">
        <w:t>102(1)(a) of the 1997 Tax Act</w:t>
      </w:r>
      <w:r w:rsidR="009B5F70" w:rsidRPr="00DE0962">
        <w:t>)</w:t>
      </w:r>
      <w:r w:rsidRPr="00DE0962">
        <w:t>; and</w:t>
      </w:r>
    </w:p>
    <w:p w14:paraId="790521F3" w14:textId="77777777" w:rsidR="00193DBF" w:rsidRPr="00DE0962" w:rsidRDefault="00193DBF" w:rsidP="00193DBF">
      <w:pPr>
        <w:pStyle w:val="notepara"/>
      </w:pPr>
      <w:r w:rsidRPr="00DE0962">
        <w:t>(b)</w:t>
      </w:r>
      <w:r w:rsidR="00D16040" w:rsidRPr="00DE0962">
        <w:tab/>
      </w:r>
      <w:r w:rsidRPr="00DE0962">
        <w:t>there are rules about deducting personal contributions to a</w:t>
      </w:r>
      <w:r w:rsidR="00F67D42" w:rsidRPr="00DE0962">
        <w:t xml:space="preserve"> superannuation fund </w:t>
      </w:r>
      <w:r w:rsidRPr="00DE0962">
        <w:t xml:space="preserve">(see </w:t>
      </w:r>
      <w:r w:rsidR="00D56949" w:rsidRPr="00DE0962">
        <w:t>Subdivision 2</w:t>
      </w:r>
      <w:r w:rsidRPr="00DE0962">
        <w:t>90</w:t>
      </w:r>
      <w:r w:rsidR="00E62AE8">
        <w:noBreakHyphen/>
      </w:r>
      <w:r w:rsidRPr="00DE0962">
        <w:t xml:space="preserve">C of the 1997 Tax Act). In particular, work test conditions apply to deducting certain contributions made from age 67 until the day referred to in </w:t>
      </w:r>
      <w:proofErr w:type="spellStart"/>
      <w:r w:rsidRPr="00DE0962">
        <w:t>subregulation</w:t>
      </w:r>
      <w:proofErr w:type="spellEnd"/>
      <w:r w:rsidRPr="00DE0962">
        <w:t xml:space="preserve"> (1A) </w:t>
      </w:r>
      <w:r w:rsidR="009B5F70" w:rsidRPr="00DE0962">
        <w:t>(</w:t>
      </w:r>
      <w:r w:rsidRPr="00DE0962">
        <w:t xml:space="preserve">see </w:t>
      </w:r>
      <w:r w:rsidR="00D56949" w:rsidRPr="00DE0962">
        <w:t>subsection 2</w:t>
      </w:r>
      <w:r w:rsidRPr="00DE0962">
        <w:t>90</w:t>
      </w:r>
      <w:r w:rsidR="00E62AE8">
        <w:noBreakHyphen/>
      </w:r>
      <w:r w:rsidRPr="00DE0962">
        <w:t>165(1A) of the 1997 Tax Act</w:t>
      </w:r>
      <w:r w:rsidR="009B5F70" w:rsidRPr="00DE0962">
        <w:t>)</w:t>
      </w:r>
      <w:r w:rsidRPr="00DE0962">
        <w:t>.</w:t>
      </w:r>
    </w:p>
    <w:p w14:paraId="54F44E27" w14:textId="77777777" w:rsidR="00F67D42" w:rsidRPr="00DE0962" w:rsidRDefault="00BA5D2D" w:rsidP="00F67D42">
      <w:pPr>
        <w:pStyle w:val="ItemHead"/>
      </w:pPr>
      <w:r w:rsidRPr="00DE0962">
        <w:t>17</w:t>
      </w:r>
      <w:r w:rsidR="00F67D42" w:rsidRPr="00DE0962">
        <w:t xml:space="preserve">  </w:t>
      </w:r>
      <w:proofErr w:type="spellStart"/>
      <w:r w:rsidR="008677E0" w:rsidRPr="00DE0962">
        <w:t>Subregulation</w:t>
      </w:r>
      <w:proofErr w:type="spellEnd"/>
      <w:r w:rsidR="008677E0" w:rsidRPr="00DE0962">
        <w:t> 7</w:t>
      </w:r>
      <w:r w:rsidR="00F67D42" w:rsidRPr="00DE0962">
        <w:t>.04(2)</w:t>
      </w:r>
    </w:p>
    <w:p w14:paraId="3B671725" w14:textId="77777777" w:rsidR="00F67D42" w:rsidRPr="00DE0962" w:rsidRDefault="00F67D42" w:rsidP="00F67D42">
      <w:pPr>
        <w:pStyle w:val="Item"/>
      </w:pPr>
      <w:r w:rsidRPr="00DE0962">
        <w:t>Omit “</w:t>
      </w:r>
      <w:proofErr w:type="spellStart"/>
      <w:r w:rsidRPr="00DE0962">
        <w:t>subregulation</w:t>
      </w:r>
      <w:proofErr w:type="spellEnd"/>
      <w:r w:rsidRPr="00DE0962">
        <w:t> (1)”, substitute “</w:t>
      </w:r>
      <w:proofErr w:type="spellStart"/>
      <w:r w:rsidRPr="00DE0962">
        <w:t>subregulations</w:t>
      </w:r>
      <w:proofErr w:type="spellEnd"/>
      <w:r w:rsidRPr="00DE0962">
        <w:t> (1) and (1A)”.</w:t>
      </w:r>
    </w:p>
    <w:p w14:paraId="7CEFAC45" w14:textId="77777777" w:rsidR="00B866F0" w:rsidRPr="00DE0962" w:rsidRDefault="00BA5D2D" w:rsidP="00B866F0">
      <w:pPr>
        <w:pStyle w:val="ItemHead"/>
      </w:pPr>
      <w:r w:rsidRPr="00DE0962">
        <w:t>18</w:t>
      </w:r>
      <w:r w:rsidR="00F67D42" w:rsidRPr="00DE0962">
        <w:t xml:space="preserve">  </w:t>
      </w:r>
      <w:proofErr w:type="spellStart"/>
      <w:r w:rsidR="008677E0" w:rsidRPr="00DE0962">
        <w:t>Subregulation</w:t>
      </w:r>
      <w:proofErr w:type="spellEnd"/>
      <w:r w:rsidR="008677E0" w:rsidRPr="00DE0962">
        <w:t> 7</w:t>
      </w:r>
      <w:r w:rsidR="00B866F0" w:rsidRPr="00DE0962">
        <w:t>.04(4)</w:t>
      </w:r>
    </w:p>
    <w:p w14:paraId="11B0DE5C" w14:textId="77777777" w:rsidR="00B866F0" w:rsidRPr="00DE0962" w:rsidRDefault="00B866F0" w:rsidP="00B866F0">
      <w:pPr>
        <w:pStyle w:val="Item"/>
      </w:pPr>
      <w:r w:rsidRPr="00DE0962">
        <w:t>After “</w:t>
      </w:r>
      <w:proofErr w:type="spellStart"/>
      <w:r w:rsidRPr="00DE0962">
        <w:t>subregulation</w:t>
      </w:r>
      <w:proofErr w:type="spellEnd"/>
      <w:r w:rsidRPr="00DE0962">
        <w:t> (1)” (first occurring), insert “, (1A)”.</w:t>
      </w:r>
    </w:p>
    <w:p w14:paraId="494F3CAC" w14:textId="77777777" w:rsidR="00B866F0" w:rsidRPr="00DE0962" w:rsidRDefault="00BA5D2D" w:rsidP="00B866F0">
      <w:pPr>
        <w:pStyle w:val="ItemHead"/>
      </w:pPr>
      <w:r w:rsidRPr="00DE0962">
        <w:t>19</w:t>
      </w:r>
      <w:r w:rsidR="00B866F0" w:rsidRPr="00DE0962">
        <w:t xml:space="preserve">  </w:t>
      </w:r>
      <w:r w:rsidR="00D56949" w:rsidRPr="00DE0962">
        <w:t>Paragraph 7</w:t>
      </w:r>
      <w:r w:rsidR="00B866F0" w:rsidRPr="00DE0962">
        <w:t>.04(4)(a)</w:t>
      </w:r>
    </w:p>
    <w:p w14:paraId="7FD776BC" w14:textId="77777777" w:rsidR="00B866F0" w:rsidRPr="00DE0962" w:rsidRDefault="00B866F0" w:rsidP="00B866F0">
      <w:pPr>
        <w:pStyle w:val="Item"/>
      </w:pPr>
      <w:r w:rsidRPr="00DE0962">
        <w:t>After “</w:t>
      </w:r>
      <w:proofErr w:type="spellStart"/>
      <w:r w:rsidRPr="00DE0962">
        <w:t>subregulation</w:t>
      </w:r>
      <w:proofErr w:type="spellEnd"/>
      <w:r w:rsidRPr="00DE0962">
        <w:t> (1)”, insert “, (1A)”.</w:t>
      </w:r>
    </w:p>
    <w:p w14:paraId="07F30BDA" w14:textId="77777777" w:rsidR="00B866F0" w:rsidRPr="00DE0962" w:rsidRDefault="00BA5D2D" w:rsidP="00B866F0">
      <w:pPr>
        <w:pStyle w:val="ItemHead"/>
      </w:pPr>
      <w:r w:rsidRPr="00DE0962">
        <w:t>20</w:t>
      </w:r>
      <w:r w:rsidR="00B866F0" w:rsidRPr="00DE0962">
        <w:t xml:space="preserve">  Sub</w:t>
      </w:r>
      <w:r w:rsidR="00E62AE8">
        <w:noBreakHyphen/>
      </w:r>
      <w:r w:rsidR="00B866F0" w:rsidRPr="00DE0962">
        <w:t>sub</w:t>
      </w:r>
      <w:r w:rsidR="00D56949" w:rsidRPr="00DE0962">
        <w:t>paragraph 7</w:t>
      </w:r>
      <w:r w:rsidR="00B866F0" w:rsidRPr="00DE0962">
        <w:t>.04(4)(b)(v)(D)</w:t>
      </w:r>
    </w:p>
    <w:p w14:paraId="121A5FEC" w14:textId="77777777" w:rsidR="00B866F0" w:rsidRPr="00DE0962" w:rsidRDefault="00B866F0" w:rsidP="00B866F0">
      <w:pPr>
        <w:pStyle w:val="Item"/>
      </w:pPr>
      <w:r w:rsidRPr="00DE0962">
        <w:t>After “</w:t>
      </w:r>
      <w:proofErr w:type="spellStart"/>
      <w:r w:rsidRPr="00DE0962">
        <w:t>subregulation</w:t>
      </w:r>
      <w:proofErr w:type="spellEnd"/>
      <w:r w:rsidRPr="00DE0962">
        <w:t> (1)”, insert “, (1A)”.</w:t>
      </w:r>
    </w:p>
    <w:p w14:paraId="18DE9D47" w14:textId="77777777" w:rsidR="00B866F0" w:rsidRPr="00DE0962" w:rsidRDefault="00BA5D2D" w:rsidP="00B866F0">
      <w:pPr>
        <w:pStyle w:val="ItemHead"/>
      </w:pPr>
      <w:r w:rsidRPr="00DE0962">
        <w:t>21</w:t>
      </w:r>
      <w:r w:rsidR="00B866F0" w:rsidRPr="00DE0962">
        <w:t xml:space="preserve">  </w:t>
      </w:r>
      <w:proofErr w:type="spellStart"/>
      <w:r w:rsidR="008677E0" w:rsidRPr="00DE0962">
        <w:t>Subregulation</w:t>
      </w:r>
      <w:proofErr w:type="spellEnd"/>
      <w:r w:rsidR="008677E0" w:rsidRPr="00DE0962">
        <w:t> 7</w:t>
      </w:r>
      <w:r w:rsidR="00B866F0" w:rsidRPr="00DE0962">
        <w:t>.04(6)</w:t>
      </w:r>
    </w:p>
    <w:p w14:paraId="2F447DA4" w14:textId="77777777" w:rsidR="00B866F0" w:rsidRPr="00DE0962" w:rsidRDefault="00B866F0" w:rsidP="00B866F0">
      <w:pPr>
        <w:pStyle w:val="Item"/>
      </w:pPr>
      <w:r w:rsidRPr="00DE0962">
        <w:t>After “</w:t>
      </w:r>
      <w:proofErr w:type="spellStart"/>
      <w:r w:rsidRPr="00DE0962">
        <w:t>subregulation</w:t>
      </w:r>
      <w:proofErr w:type="spellEnd"/>
      <w:r w:rsidRPr="00DE0962">
        <w:t xml:space="preserve"> (1)”, insert “or under </w:t>
      </w:r>
      <w:proofErr w:type="spellStart"/>
      <w:r w:rsidRPr="00DE0962">
        <w:t>subregulation</w:t>
      </w:r>
      <w:proofErr w:type="spellEnd"/>
      <w:r w:rsidRPr="00DE0962">
        <w:t xml:space="preserve"> (1A)”.</w:t>
      </w:r>
    </w:p>
    <w:p w14:paraId="7194D60A" w14:textId="77777777" w:rsidR="00B866F0" w:rsidRPr="00DE0962" w:rsidRDefault="00BA5D2D" w:rsidP="00920B37">
      <w:pPr>
        <w:pStyle w:val="ItemHead"/>
      </w:pPr>
      <w:r w:rsidRPr="00DE0962">
        <w:lastRenderedPageBreak/>
        <w:t>22</w:t>
      </w:r>
      <w:r w:rsidR="00B866F0" w:rsidRPr="00DE0962">
        <w:t xml:space="preserve">  </w:t>
      </w:r>
      <w:proofErr w:type="spellStart"/>
      <w:r w:rsidR="008677E0" w:rsidRPr="00DE0962">
        <w:t>Subregulation</w:t>
      </w:r>
      <w:proofErr w:type="spellEnd"/>
      <w:r w:rsidR="008677E0" w:rsidRPr="00DE0962">
        <w:t> 7</w:t>
      </w:r>
      <w:r w:rsidR="00920B37" w:rsidRPr="00DE0962">
        <w:t>.04(6A)</w:t>
      </w:r>
    </w:p>
    <w:p w14:paraId="75E43930" w14:textId="77777777" w:rsidR="00920B37" w:rsidRPr="00DE0962" w:rsidRDefault="00920B37" w:rsidP="00920B37">
      <w:pPr>
        <w:pStyle w:val="Item"/>
      </w:pPr>
      <w:r w:rsidRPr="00DE0962">
        <w:t>Omit “</w:t>
      </w:r>
      <w:proofErr w:type="spellStart"/>
      <w:r w:rsidRPr="00DE0962">
        <w:t>subregulation</w:t>
      </w:r>
      <w:proofErr w:type="spellEnd"/>
      <w:r w:rsidRPr="00DE0962">
        <w:t> (1)”, substitute “</w:t>
      </w:r>
      <w:proofErr w:type="spellStart"/>
      <w:r w:rsidRPr="00DE0962">
        <w:t>subregulations</w:t>
      </w:r>
      <w:proofErr w:type="spellEnd"/>
      <w:r w:rsidRPr="00DE0962">
        <w:t> (1) and (1A)”.</w:t>
      </w:r>
    </w:p>
    <w:p w14:paraId="4F72D482" w14:textId="77777777" w:rsidR="00D32B04" w:rsidRPr="00DE0962" w:rsidRDefault="00BA5D2D" w:rsidP="00D32B04">
      <w:pPr>
        <w:pStyle w:val="ItemHead"/>
      </w:pPr>
      <w:r w:rsidRPr="00DE0962">
        <w:t>23</w:t>
      </w:r>
      <w:r w:rsidR="00D32B04" w:rsidRPr="00DE0962">
        <w:t xml:space="preserve">  </w:t>
      </w:r>
      <w:proofErr w:type="spellStart"/>
      <w:r w:rsidR="008677E0" w:rsidRPr="00DE0962">
        <w:t>Subregulation</w:t>
      </w:r>
      <w:proofErr w:type="spellEnd"/>
      <w:r w:rsidR="008677E0" w:rsidRPr="00DE0962">
        <w:t> 7</w:t>
      </w:r>
      <w:r w:rsidR="00D32B04" w:rsidRPr="00DE0962">
        <w:t xml:space="preserve">.04(7) (definition of </w:t>
      </w:r>
      <w:r w:rsidR="00D32B04" w:rsidRPr="00DE0962">
        <w:rPr>
          <w:i/>
        </w:rPr>
        <w:t>superannuation provider</w:t>
      </w:r>
      <w:r w:rsidR="00D32B04" w:rsidRPr="00DE0962">
        <w:t>)</w:t>
      </w:r>
    </w:p>
    <w:p w14:paraId="034F52A0" w14:textId="77777777" w:rsidR="00D32B04" w:rsidRPr="00DE0962" w:rsidRDefault="00D32B04" w:rsidP="00D32B04">
      <w:pPr>
        <w:pStyle w:val="Item"/>
      </w:pPr>
      <w:r w:rsidRPr="00DE0962">
        <w:t>Repeal the definition.</w:t>
      </w:r>
    </w:p>
    <w:p w14:paraId="15217DF9" w14:textId="77777777" w:rsidR="009D6BF1" w:rsidRPr="00DE0962" w:rsidRDefault="00BA5D2D" w:rsidP="009D6BF1">
      <w:pPr>
        <w:pStyle w:val="ItemHead"/>
      </w:pPr>
      <w:r w:rsidRPr="00DE0962">
        <w:t>24</w:t>
      </w:r>
      <w:r w:rsidR="00920B37" w:rsidRPr="00DE0962">
        <w:t xml:space="preserve">  </w:t>
      </w:r>
      <w:proofErr w:type="spellStart"/>
      <w:r w:rsidR="005D2BC4" w:rsidRPr="00DE0962">
        <w:t>Sub</w:t>
      </w:r>
      <w:r w:rsidR="00D56949" w:rsidRPr="00DE0962">
        <w:t>regulations</w:t>
      </w:r>
      <w:proofErr w:type="spellEnd"/>
      <w:r w:rsidR="00D56949" w:rsidRPr="00DE0962">
        <w:t> 7</w:t>
      </w:r>
      <w:r w:rsidR="009D6BF1" w:rsidRPr="00DE0962">
        <w:t>.05(2) and (3)</w:t>
      </w:r>
    </w:p>
    <w:p w14:paraId="40EA75A1" w14:textId="77777777" w:rsidR="00523CC1" w:rsidRPr="00DE0962" w:rsidRDefault="00523CC1" w:rsidP="00523CC1">
      <w:pPr>
        <w:pStyle w:val="Item"/>
      </w:pPr>
      <w:r w:rsidRPr="00DE0962">
        <w:t xml:space="preserve">Repeal the </w:t>
      </w:r>
      <w:proofErr w:type="spellStart"/>
      <w:r w:rsidRPr="00DE0962">
        <w:t>subregulations</w:t>
      </w:r>
      <w:proofErr w:type="spellEnd"/>
      <w:r w:rsidRPr="00DE0962">
        <w:t>, substitute:</w:t>
      </w:r>
    </w:p>
    <w:p w14:paraId="7DAF667E" w14:textId="77777777" w:rsidR="009D6BF1" w:rsidRPr="00DE0962" w:rsidRDefault="009D6BF1" w:rsidP="009D6BF1">
      <w:pPr>
        <w:pStyle w:val="subsection"/>
      </w:pPr>
      <w:r w:rsidRPr="00DE0962">
        <w:tab/>
        <w:t>(2)</w:t>
      </w:r>
      <w:r w:rsidRPr="00DE0962">
        <w:tab/>
        <w:t xml:space="preserve">Subject to </w:t>
      </w:r>
      <w:proofErr w:type="spellStart"/>
      <w:r w:rsidRPr="00DE0962">
        <w:t>subregulation</w:t>
      </w:r>
      <w:proofErr w:type="spellEnd"/>
      <w:r w:rsidRPr="00DE0962">
        <w:t> (5), a defined benefit fund may grant an accrual of benefits in respect of a member of the fund who has reached age 65 but not age 7</w:t>
      </w:r>
      <w:r w:rsidR="009F293A" w:rsidRPr="00DE0962">
        <w:t>5</w:t>
      </w:r>
      <w:r w:rsidRPr="00DE0962">
        <w:t xml:space="preserve"> only if the accrual is attributable to contributions made in respect of the member that are:</w:t>
      </w:r>
    </w:p>
    <w:p w14:paraId="4CFBFB24" w14:textId="77777777" w:rsidR="009D6BF1" w:rsidRPr="00DE0962" w:rsidRDefault="009D6BF1" w:rsidP="009D6BF1">
      <w:pPr>
        <w:pStyle w:val="paragraph"/>
        <w:rPr>
          <w:color w:val="000000"/>
        </w:rPr>
      </w:pPr>
      <w:r w:rsidRPr="00DE0962">
        <w:rPr>
          <w:color w:val="000000"/>
        </w:rPr>
        <w:tab/>
        <w:t>(a)</w:t>
      </w:r>
      <w:r w:rsidRPr="00DE0962">
        <w:rPr>
          <w:color w:val="000000"/>
        </w:rPr>
        <w:tab/>
        <w:t>employer contributions; or</w:t>
      </w:r>
    </w:p>
    <w:p w14:paraId="79DE6838" w14:textId="77777777" w:rsidR="009D6BF1" w:rsidRPr="00DE0962" w:rsidRDefault="009D6BF1" w:rsidP="009D6BF1">
      <w:pPr>
        <w:pStyle w:val="paragraph"/>
      </w:pPr>
      <w:r w:rsidRPr="00DE0962">
        <w:tab/>
        <w:t>(</w:t>
      </w:r>
      <w:r w:rsidR="008E7F4C" w:rsidRPr="00DE0962">
        <w:t>b</w:t>
      </w:r>
      <w:r w:rsidRPr="00DE0962">
        <w:t>)</w:t>
      </w:r>
      <w:r w:rsidRPr="00DE0962">
        <w:tab/>
        <w:t>member contributions</w:t>
      </w:r>
      <w:r w:rsidR="008E7F4C" w:rsidRPr="00DE0962">
        <w:t>.</w:t>
      </w:r>
    </w:p>
    <w:p w14:paraId="64512BDF" w14:textId="77777777" w:rsidR="009D6BF1" w:rsidRPr="00DE0962" w:rsidRDefault="00BA5D2D" w:rsidP="00D32B04">
      <w:pPr>
        <w:pStyle w:val="ItemHead"/>
      </w:pPr>
      <w:r w:rsidRPr="00DE0962">
        <w:t>25</w:t>
      </w:r>
      <w:r w:rsidR="009F293A" w:rsidRPr="00DE0962">
        <w:t xml:space="preserve">  </w:t>
      </w:r>
      <w:proofErr w:type="spellStart"/>
      <w:r w:rsidR="008677E0" w:rsidRPr="00DE0962">
        <w:t>Subregulation</w:t>
      </w:r>
      <w:proofErr w:type="spellEnd"/>
      <w:r w:rsidR="008677E0" w:rsidRPr="00DE0962">
        <w:t> 7</w:t>
      </w:r>
      <w:r w:rsidR="00D32B04" w:rsidRPr="00DE0962">
        <w:t>.05(5)</w:t>
      </w:r>
    </w:p>
    <w:p w14:paraId="190CE9D9" w14:textId="77777777" w:rsidR="00D32B04" w:rsidRPr="00DE0962" w:rsidRDefault="00D32B04" w:rsidP="00D32B04">
      <w:pPr>
        <w:pStyle w:val="Item"/>
      </w:pPr>
      <w:r w:rsidRPr="00DE0962">
        <w:t>Omit “, (3)”.</w:t>
      </w:r>
    </w:p>
    <w:p w14:paraId="1F73E986" w14:textId="77777777" w:rsidR="009D6BF1" w:rsidRPr="00DE0962" w:rsidRDefault="00BA5D2D" w:rsidP="009D6BF1">
      <w:pPr>
        <w:pStyle w:val="ItemHead"/>
      </w:pPr>
      <w:r w:rsidRPr="00DE0962">
        <w:t>26</w:t>
      </w:r>
      <w:r w:rsidR="009D6BF1" w:rsidRPr="00DE0962">
        <w:t xml:space="preserve">  In the appropriate position in Part 14</w:t>
      </w:r>
    </w:p>
    <w:p w14:paraId="3CD27C4B" w14:textId="77777777" w:rsidR="009D6BF1" w:rsidRPr="00DE0962" w:rsidRDefault="009D6BF1" w:rsidP="009D6BF1">
      <w:pPr>
        <w:pStyle w:val="Item"/>
      </w:pPr>
      <w:r w:rsidRPr="00DE0962">
        <w:t>Insert:</w:t>
      </w:r>
    </w:p>
    <w:p w14:paraId="71F70F14" w14:textId="77777777" w:rsidR="009D6BF1" w:rsidRPr="00DE0962" w:rsidRDefault="009D6BF1" w:rsidP="009D6BF1">
      <w:pPr>
        <w:pStyle w:val="ActHead3"/>
      </w:pPr>
      <w:bookmarkStart w:id="13" w:name="_Toc88131764"/>
      <w:r w:rsidRPr="0010550D">
        <w:rPr>
          <w:rStyle w:val="CharDivNo"/>
        </w:rPr>
        <w:t>Division 14.</w:t>
      </w:r>
      <w:r w:rsidR="00155103" w:rsidRPr="0010550D">
        <w:rPr>
          <w:rStyle w:val="CharDivNo"/>
        </w:rPr>
        <w:t>30</w:t>
      </w:r>
      <w:r w:rsidRPr="00DE0962">
        <w:t>—</w:t>
      </w:r>
      <w:r w:rsidRPr="0010550D">
        <w:rPr>
          <w:rStyle w:val="CharDivText"/>
        </w:rPr>
        <w:t xml:space="preserve">Transitional arrangements arising out of the </w:t>
      </w:r>
      <w:r w:rsidR="00F15A1E" w:rsidRPr="0010550D">
        <w:rPr>
          <w:rStyle w:val="CharDivText"/>
        </w:rPr>
        <w:t xml:space="preserve">Treasury Laws Amendment (Enhancing Superannuation Outcomes) </w:t>
      </w:r>
      <w:r w:rsidR="00E62AE8" w:rsidRPr="0010550D">
        <w:rPr>
          <w:rStyle w:val="CharDivText"/>
        </w:rPr>
        <w:t>Regulations 2</w:t>
      </w:r>
      <w:r w:rsidR="00F15A1E" w:rsidRPr="0010550D">
        <w:rPr>
          <w:rStyle w:val="CharDivText"/>
        </w:rPr>
        <w:t>02</w:t>
      </w:r>
      <w:bookmarkEnd w:id="13"/>
      <w:r w:rsidR="002208A1" w:rsidRPr="0010550D">
        <w:rPr>
          <w:rStyle w:val="CharDivText"/>
        </w:rPr>
        <w:t>2</w:t>
      </w:r>
    </w:p>
    <w:p w14:paraId="2E0A5732" w14:textId="77777777" w:rsidR="009D6BF1" w:rsidRPr="00DE0962" w:rsidRDefault="009D6BF1" w:rsidP="009D6BF1">
      <w:pPr>
        <w:pStyle w:val="ActHead5"/>
      </w:pPr>
      <w:bookmarkStart w:id="14" w:name="_Toc88131765"/>
      <w:r w:rsidRPr="0010550D">
        <w:rPr>
          <w:rStyle w:val="CharSectno"/>
        </w:rPr>
        <w:t>14.</w:t>
      </w:r>
      <w:r w:rsidR="00155103" w:rsidRPr="0010550D">
        <w:rPr>
          <w:rStyle w:val="CharSectno"/>
        </w:rPr>
        <w:t>32</w:t>
      </w:r>
      <w:r w:rsidRPr="00DE0962">
        <w:t xml:space="preserve">  Arrangements</w:t>
      </w:r>
      <w:bookmarkEnd w:id="14"/>
    </w:p>
    <w:p w14:paraId="5DBFE66A" w14:textId="77777777" w:rsidR="009D6BF1" w:rsidRPr="00DE0962" w:rsidRDefault="009D6BF1" w:rsidP="009D6BF1">
      <w:pPr>
        <w:pStyle w:val="subsection"/>
      </w:pPr>
      <w:r w:rsidRPr="00DE0962">
        <w:tab/>
      </w:r>
      <w:r w:rsidR="00F15A1E" w:rsidRPr="00DE0962">
        <w:t>(1)</w:t>
      </w:r>
      <w:r w:rsidRPr="00DE0962">
        <w:tab/>
        <w:t xml:space="preserve">The amendments made by </w:t>
      </w:r>
      <w:r w:rsidR="001201B4" w:rsidRPr="00DE0962">
        <w:t>items 1</w:t>
      </w:r>
      <w:r w:rsidR="00D9025B" w:rsidRPr="00DE0962">
        <w:t>2</w:t>
      </w:r>
      <w:r w:rsidR="00045151" w:rsidRPr="00DE0962">
        <w:t xml:space="preserve"> to 2</w:t>
      </w:r>
      <w:r w:rsidR="00D9025B" w:rsidRPr="00DE0962">
        <w:t>5</w:t>
      </w:r>
      <w:r w:rsidRPr="00DE0962">
        <w:t xml:space="preserve"> of Schedule 1 to the</w:t>
      </w:r>
      <w:r w:rsidR="004E397F" w:rsidRPr="00DE0962">
        <w:t xml:space="preserve"> </w:t>
      </w:r>
      <w:r w:rsidR="004E397F" w:rsidRPr="00DE0962">
        <w:rPr>
          <w:i/>
        </w:rPr>
        <w:t xml:space="preserve">Treasury Laws Amendment (Enhancing Superannuation Outcomes) </w:t>
      </w:r>
      <w:r w:rsidR="00E62AE8">
        <w:rPr>
          <w:i/>
        </w:rPr>
        <w:t>Regulations 2</w:t>
      </w:r>
      <w:r w:rsidR="004E397F" w:rsidRPr="00DE0962">
        <w:rPr>
          <w:i/>
        </w:rPr>
        <w:t>02</w:t>
      </w:r>
      <w:r w:rsidR="002208A1">
        <w:rPr>
          <w:i/>
        </w:rPr>
        <w:t>2</w:t>
      </w:r>
      <w:r w:rsidRPr="00DE0962">
        <w:t xml:space="preserve"> apply in relation to contributions made in the 2022</w:t>
      </w:r>
      <w:r w:rsidR="00E62AE8">
        <w:noBreakHyphen/>
      </w:r>
      <w:r w:rsidRPr="00DE0962">
        <w:t>23 financial year and later financial years.</w:t>
      </w:r>
    </w:p>
    <w:p w14:paraId="25F754C4" w14:textId="77777777" w:rsidR="00F15A1E" w:rsidRPr="00DE0962" w:rsidRDefault="00F15A1E" w:rsidP="009D6BF1">
      <w:pPr>
        <w:pStyle w:val="subsection"/>
      </w:pPr>
      <w:r w:rsidRPr="00DE0962">
        <w:tab/>
        <w:t>(2)</w:t>
      </w:r>
      <w:r w:rsidRPr="00DE0962">
        <w:tab/>
        <w:t>Despite the amendments</w:t>
      </w:r>
      <w:r w:rsidR="004E397F" w:rsidRPr="00DE0962">
        <w:t xml:space="preserve"> made by those items in that Schedule, </w:t>
      </w:r>
      <w:r w:rsidR="00D56949" w:rsidRPr="00DE0962">
        <w:t>regulations 7</w:t>
      </w:r>
      <w:r w:rsidR="004E397F" w:rsidRPr="00DE0962">
        <w:t xml:space="preserve">.01, 7.04 and 7.05, as in force immediately before the commencement of that Schedule, continue to apply in relation to contributions made on or after that commencement but before </w:t>
      </w:r>
      <w:r w:rsidR="00D56949" w:rsidRPr="00DE0962">
        <w:t>1 July</w:t>
      </w:r>
      <w:r w:rsidR="004E397F" w:rsidRPr="00DE0962">
        <w:t xml:space="preserve"> 2022.</w:t>
      </w:r>
    </w:p>
    <w:sectPr w:rsidR="00F15A1E" w:rsidRPr="00DE0962" w:rsidSect="008D5182">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1D907" w14:textId="77777777" w:rsidR="00DE0962" w:rsidRDefault="00DE0962" w:rsidP="0048364F">
      <w:pPr>
        <w:spacing w:line="240" w:lineRule="auto"/>
      </w:pPr>
      <w:r>
        <w:separator/>
      </w:r>
    </w:p>
  </w:endnote>
  <w:endnote w:type="continuationSeparator" w:id="0">
    <w:p w14:paraId="62377BA7" w14:textId="77777777" w:rsidR="00DE0962" w:rsidRDefault="00DE096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0C31A" w14:textId="77777777" w:rsidR="00DE0962" w:rsidRPr="008D5182" w:rsidRDefault="008D5182" w:rsidP="008D5182">
    <w:pPr>
      <w:pStyle w:val="Footer"/>
      <w:tabs>
        <w:tab w:val="clear" w:pos="4153"/>
        <w:tab w:val="clear" w:pos="8306"/>
        <w:tab w:val="center" w:pos="4150"/>
        <w:tab w:val="right" w:pos="8307"/>
      </w:tabs>
      <w:spacing w:before="120"/>
      <w:rPr>
        <w:i/>
        <w:sz w:val="18"/>
      </w:rPr>
    </w:pPr>
    <w:r w:rsidRPr="008D5182">
      <w:rPr>
        <w:i/>
        <w:sz w:val="18"/>
      </w:rPr>
      <w:t>OPC65505 -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7910F" w14:textId="77777777" w:rsidR="00DE0962" w:rsidRDefault="00DE0962" w:rsidP="00E97334"/>
  <w:p w14:paraId="7B04D665" w14:textId="77777777" w:rsidR="00DE0962" w:rsidRPr="008D5182" w:rsidRDefault="008D5182" w:rsidP="008D5182">
    <w:pPr>
      <w:rPr>
        <w:rFonts w:cs="Times New Roman"/>
        <w:i/>
        <w:sz w:val="18"/>
      </w:rPr>
    </w:pPr>
    <w:r w:rsidRPr="008D5182">
      <w:rPr>
        <w:rFonts w:cs="Times New Roman"/>
        <w:i/>
        <w:sz w:val="18"/>
      </w:rPr>
      <w:t>OPC65505 -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5E1E4" w14:textId="77777777" w:rsidR="00DE0962" w:rsidRPr="008D5182" w:rsidRDefault="008D5182" w:rsidP="008D5182">
    <w:pPr>
      <w:pStyle w:val="Footer"/>
      <w:tabs>
        <w:tab w:val="clear" w:pos="4153"/>
        <w:tab w:val="clear" w:pos="8306"/>
        <w:tab w:val="center" w:pos="4150"/>
        <w:tab w:val="right" w:pos="8307"/>
      </w:tabs>
      <w:spacing w:before="120"/>
      <w:rPr>
        <w:i/>
        <w:sz w:val="18"/>
      </w:rPr>
    </w:pPr>
    <w:r w:rsidRPr="008D5182">
      <w:rPr>
        <w:i/>
        <w:sz w:val="18"/>
      </w:rPr>
      <w:t>OPC65505 -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F5406" w14:textId="77777777" w:rsidR="00DE0962" w:rsidRPr="00E33C1C" w:rsidRDefault="00DE096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E0962" w14:paraId="17F21D90" w14:textId="77777777" w:rsidTr="00D21A36">
      <w:tc>
        <w:tcPr>
          <w:tcW w:w="709" w:type="dxa"/>
          <w:tcBorders>
            <w:top w:val="nil"/>
            <w:left w:val="nil"/>
            <w:bottom w:val="nil"/>
            <w:right w:val="nil"/>
          </w:tcBorders>
        </w:tcPr>
        <w:p w14:paraId="7C873A6D" w14:textId="77777777" w:rsidR="00DE0962" w:rsidRDefault="00DE0962" w:rsidP="006E1A5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AD9560A" w14:textId="33DFA3EF" w:rsidR="00DE0962" w:rsidRDefault="00DE0962" w:rsidP="006E1A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6861">
            <w:rPr>
              <w:i/>
              <w:sz w:val="18"/>
            </w:rPr>
            <w:t>Treasury Laws Amendment (Enhancing Superannuation Outcomes) Regulations 2022</w:t>
          </w:r>
          <w:r w:rsidRPr="007A1328">
            <w:rPr>
              <w:i/>
              <w:sz w:val="18"/>
            </w:rPr>
            <w:fldChar w:fldCharType="end"/>
          </w:r>
        </w:p>
      </w:tc>
      <w:tc>
        <w:tcPr>
          <w:tcW w:w="1384" w:type="dxa"/>
          <w:tcBorders>
            <w:top w:val="nil"/>
            <w:left w:val="nil"/>
            <w:bottom w:val="nil"/>
            <w:right w:val="nil"/>
          </w:tcBorders>
        </w:tcPr>
        <w:p w14:paraId="2EC6B3F2" w14:textId="77777777" w:rsidR="00DE0962" w:rsidRDefault="00DE0962" w:rsidP="006E1A58">
          <w:pPr>
            <w:spacing w:line="0" w:lineRule="atLeast"/>
            <w:jc w:val="right"/>
            <w:rPr>
              <w:sz w:val="18"/>
            </w:rPr>
          </w:pPr>
        </w:p>
      </w:tc>
    </w:tr>
  </w:tbl>
  <w:p w14:paraId="3E64DE33" w14:textId="77777777" w:rsidR="00DE0962" w:rsidRPr="008D5182" w:rsidRDefault="008D5182" w:rsidP="008D5182">
    <w:pPr>
      <w:rPr>
        <w:rFonts w:cs="Times New Roman"/>
        <w:i/>
        <w:sz w:val="18"/>
      </w:rPr>
    </w:pPr>
    <w:r w:rsidRPr="008D5182">
      <w:rPr>
        <w:rFonts w:cs="Times New Roman"/>
        <w:i/>
        <w:sz w:val="18"/>
      </w:rPr>
      <w:t>OPC65505 -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3A7E8" w14:textId="77777777" w:rsidR="00DE0962" w:rsidRPr="00E33C1C" w:rsidRDefault="00DE096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DE0962" w14:paraId="2DC3E79F" w14:textId="77777777" w:rsidTr="00D21A36">
      <w:tc>
        <w:tcPr>
          <w:tcW w:w="1383" w:type="dxa"/>
          <w:tcBorders>
            <w:top w:val="nil"/>
            <w:left w:val="nil"/>
            <w:bottom w:val="nil"/>
            <w:right w:val="nil"/>
          </w:tcBorders>
        </w:tcPr>
        <w:p w14:paraId="2E1D33D8" w14:textId="77777777" w:rsidR="00DE0962" w:rsidRDefault="00DE0962" w:rsidP="006E1A58">
          <w:pPr>
            <w:spacing w:line="0" w:lineRule="atLeast"/>
            <w:rPr>
              <w:sz w:val="18"/>
            </w:rPr>
          </w:pPr>
        </w:p>
      </w:tc>
      <w:tc>
        <w:tcPr>
          <w:tcW w:w="6379" w:type="dxa"/>
          <w:tcBorders>
            <w:top w:val="nil"/>
            <w:left w:val="nil"/>
            <w:bottom w:val="nil"/>
            <w:right w:val="nil"/>
          </w:tcBorders>
        </w:tcPr>
        <w:p w14:paraId="315AA0AA" w14:textId="4AA27EBF" w:rsidR="00DE0962" w:rsidRDefault="00DE0962" w:rsidP="006E1A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6861">
            <w:rPr>
              <w:i/>
              <w:sz w:val="18"/>
            </w:rPr>
            <w:t>Treasury Laws Amendment (Enhancing Superannuation Outcomes) Regulations 2022</w:t>
          </w:r>
          <w:r w:rsidRPr="007A1328">
            <w:rPr>
              <w:i/>
              <w:sz w:val="18"/>
            </w:rPr>
            <w:fldChar w:fldCharType="end"/>
          </w:r>
        </w:p>
      </w:tc>
      <w:tc>
        <w:tcPr>
          <w:tcW w:w="710" w:type="dxa"/>
          <w:tcBorders>
            <w:top w:val="nil"/>
            <w:left w:val="nil"/>
            <w:bottom w:val="nil"/>
            <w:right w:val="nil"/>
          </w:tcBorders>
        </w:tcPr>
        <w:p w14:paraId="7CD26043" w14:textId="77777777" w:rsidR="00DE0962" w:rsidRDefault="00DE0962" w:rsidP="006E1A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F998D36" w14:textId="77777777" w:rsidR="00DE0962" w:rsidRPr="008D5182" w:rsidRDefault="008D5182" w:rsidP="008D5182">
    <w:pPr>
      <w:rPr>
        <w:rFonts w:cs="Times New Roman"/>
        <w:i/>
        <w:sz w:val="18"/>
      </w:rPr>
    </w:pPr>
    <w:r w:rsidRPr="008D5182">
      <w:rPr>
        <w:rFonts w:cs="Times New Roman"/>
        <w:i/>
        <w:sz w:val="18"/>
      </w:rPr>
      <w:t>OPC65505 -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3AA0E" w14:textId="77777777" w:rsidR="00DE0962" w:rsidRPr="00E33C1C" w:rsidRDefault="00DE096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E0962" w14:paraId="27CB5FFA" w14:textId="77777777" w:rsidTr="00D21A36">
      <w:tc>
        <w:tcPr>
          <w:tcW w:w="709" w:type="dxa"/>
          <w:tcBorders>
            <w:top w:val="nil"/>
            <w:left w:val="nil"/>
            <w:bottom w:val="nil"/>
            <w:right w:val="nil"/>
          </w:tcBorders>
        </w:tcPr>
        <w:p w14:paraId="791FD285" w14:textId="77777777" w:rsidR="00DE0962" w:rsidRDefault="00DE0962" w:rsidP="006E1A5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4DC26D6" w14:textId="508C6888" w:rsidR="00DE0962" w:rsidRDefault="00DE0962" w:rsidP="006E1A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6861">
            <w:rPr>
              <w:i/>
              <w:sz w:val="18"/>
            </w:rPr>
            <w:t>Treasury Laws Amendment (Enhancing Superannuation Outcomes) Regulations 2022</w:t>
          </w:r>
          <w:r w:rsidRPr="007A1328">
            <w:rPr>
              <w:i/>
              <w:sz w:val="18"/>
            </w:rPr>
            <w:fldChar w:fldCharType="end"/>
          </w:r>
        </w:p>
      </w:tc>
      <w:tc>
        <w:tcPr>
          <w:tcW w:w="1384" w:type="dxa"/>
          <w:tcBorders>
            <w:top w:val="nil"/>
            <w:left w:val="nil"/>
            <w:bottom w:val="nil"/>
            <w:right w:val="nil"/>
          </w:tcBorders>
        </w:tcPr>
        <w:p w14:paraId="1CCAB696" w14:textId="77777777" w:rsidR="00DE0962" w:rsidRDefault="00DE0962" w:rsidP="006E1A58">
          <w:pPr>
            <w:spacing w:line="0" w:lineRule="atLeast"/>
            <w:jc w:val="right"/>
            <w:rPr>
              <w:sz w:val="18"/>
            </w:rPr>
          </w:pPr>
        </w:p>
      </w:tc>
    </w:tr>
  </w:tbl>
  <w:p w14:paraId="402DB83C" w14:textId="77777777" w:rsidR="00DE0962" w:rsidRPr="008D5182" w:rsidRDefault="008D5182" w:rsidP="008D5182">
    <w:pPr>
      <w:rPr>
        <w:rFonts w:cs="Times New Roman"/>
        <w:i/>
        <w:sz w:val="18"/>
      </w:rPr>
    </w:pPr>
    <w:r w:rsidRPr="008D5182">
      <w:rPr>
        <w:rFonts w:cs="Times New Roman"/>
        <w:i/>
        <w:sz w:val="18"/>
      </w:rPr>
      <w:t>OPC65505 -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1D96" w14:textId="77777777" w:rsidR="00DE0962" w:rsidRPr="00E33C1C" w:rsidRDefault="00DE096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E0962" w14:paraId="57684B38" w14:textId="77777777" w:rsidTr="006E1A58">
      <w:tc>
        <w:tcPr>
          <w:tcW w:w="1384" w:type="dxa"/>
          <w:tcBorders>
            <w:top w:val="nil"/>
            <w:left w:val="nil"/>
            <w:bottom w:val="nil"/>
            <w:right w:val="nil"/>
          </w:tcBorders>
        </w:tcPr>
        <w:p w14:paraId="0D9EBBB1" w14:textId="77777777" w:rsidR="00DE0962" w:rsidRDefault="00DE0962" w:rsidP="006E1A58">
          <w:pPr>
            <w:spacing w:line="0" w:lineRule="atLeast"/>
            <w:rPr>
              <w:sz w:val="18"/>
            </w:rPr>
          </w:pPr>
        </w:p>
      </w:tc>
      <w:tc>
        <w:tcPr>
          <w:tcW w:w="6379" w:type="dxa"/>
          <w:tcBorders>
            <w:top w:val="nil"/>
            <w:left w:val="nil"/>
            <w:bottom w:val="nil"/>
            <w:right w:val="nil"/>
          </w:tcBorders>
        </w:tcPr>
        <w:p w14:paraId="1D93319F" w14:textId="14D50F89" w:rsidR="00DE0962" w:rsidRDefault="00DE0962" w:rsidP="006E1A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6861">
            <w:rPr>
              <w:i/>
              <w:sz w:val="18"/>
            </w:rPr>
            <w:t>Treasury Laws Amendment (Enhancing Superannuation Outcomes) Regulations 2022</w:t>
          </w:r>
          <w:r w:rsidRPr="007A1328">
            <w:rPr>
              <w:i/>
              <w:sz w:val="18"/>
            </w:rPr>
            <w:fldChar w:fldCharType="end"/>
          </w:r>
        </w:p>
      </w:tc>
      <w:tc>
        <w:tcPr>
          <w:tcW w:w="709" w:type="dxa"/>
          <w:tcBorders>
            <w:top w:val="nil"/>
            <w:left w:val="nil"/>
            <w:bottom w:val="nil"/>
            <w:right w:val="nil"/>
          </w:tcBorders>
        </w:tcPr>
        <w:p w14:paraId="32E35CB5" w14:textId="77777777" w:rsidR="00DE0962" w:rsidRDefault="00DE0962" w:rsidP="006E1A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71A776A" w14:textId="77777777" w:rsidR="00DE0962" w:rsidRPr="008D5182" w:rsidRDefault="008D5182" w:rsidP="008D5182">
    <w:pPr>
      <w:rPr>
        <w:rFonts w:cs="Times New Roman"/>
        <w:i/>
        <w:sz w:val="18"/>
      </w:rPr>
    </w:pPr>
    <w:r w:rsidRPr="008D5182">
      <w:rPr>
        <w:rFonts w:cs="Times New Roman"/>
        <w:i/>
        <w:sz w:val="18"/>
      </w:rPr>
      <w:t>OPC65505 -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1A3BC" w14:textId="77777777" w:rsidR="00DE0962" w:rsidRPr="00E33C1C" w:rsidRDefault="00DE096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DE0962" w14:paraId="7859DFEA" w14:textId="77777777" w:rsidTr="007A6863">
      <w:tc>
        <w:tcPr>
          <w:tcW w:w="1384" w:type="dxa"/>
          <w:tcBorders>
            <w:top w:val="nil"/>
            <w:left w:val="nil"/>
            <w:bottom w:val="nil"/>
            <w:right w:val="nil"/>
          </w:tcBorders>
        </w:tcPr>
        <w:p w14:paraId="33031D98" w14:textId="77777777" w:rsidR="00DE0962" w:rsidRDefault="00DE0962" w:rsidP="006E1A58">
          <w:pPr>
            <w:spacing w:line="0" w:lineRule="atLeast"/>
            <w:rPr>
              <w:sz w:val="18"/>
            </w:rPr>
          </w:pPr>
        </w:p>
      </w:tc>
      <w:tc>
        <w:tcPr>
          <w:tcW w:w="6379" w:type="dxa"/>
          <w:tcBorders>
            <w:top w:val="nil"/>
            <w:left w:val="nil"/>
            <w:bottom w:val="nil"/>
            <w:right w:val="nil"/>
          </w:tcBorders>
        </w:tcPr>
        <w:p w14:paraId="19930FD6" w14:textId="1B96B8A5" w:rsidR="00DE0962" w:rsidRDefault="00DE0962" w:rsidP="006E1A5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66861">
            <w:rPr>
              <w:i/>
              <w:sz w:val="18"/>
            </w:rPr>
            <w:t>Treasury Laws Amendment (Enhancing Superannuation Outcomes) Regulations 2022</w:t>
          </w:r>
          <w:r w:rsidRPr="007A1328">
            <w:rPr>
              <w:i/>
              <w:sz w:val="18"/>
            </w:rPr>
            <w:fldChar w:fldCharType="end"/>
          </w:r>
        </w:p>
      </w:tc>
      <w:tc>
        <w:tcPr>
          <w:tcW w:w="709" w:type="dxa"/>
          <w:tcBorders>
            <w:top w:val="nil"/>
            <w:left w:val="nil"/>
            <w:bottom w:val="nil"/>
            <w:right w:val="nil"/>
          </w:tcBorders>
        </w:tcPr>
        <w:p w14:paraId="39D34063" w14:textId="77777777" w:rsidR="00DE0962" w:rsidRDefault="00DE0962" w:rsidP="006E1A5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2AF01EED" w14:textId="77777777" w:rsidR="00DE0962" w:rsidRPr="008D5182" w:rsidRDefault="008D5182" w:rsidP="008D5182">
    <w:pPr>
      <w:rPr>
        <w:rFonts w:cs="Times New Roman"/>
        <w:i/>
        <w:sz w:val="18"/>
      </w:rPr>
    </w:pPr>
    <w:r w:rsidRPr="008D5182">
      <w:rPr>
        <w:rFonts w:cs="Times New Roman"/>
        <w:i/>
        <w:sz w:val="18"/>
      </w:rPr>
      <w:t>OPC65505 -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92EF6" w14:textId="77777777" w:rsidR="00DE0962" w:rsidRDefault="00DE0962" w:rsidP="0048364F">
      <w:pPr>
        <w:spacing w:line="240" w:lineRule="auto"/>
      </w:pPr>
      <w:r>
        <w:separator/>
      </w:r>
    </w:p>
  </w:footnote>
  <w:footnote w:type="continuationSeparator" w:id="0">
    <w:p w14:paraId="2AE0F861" w14:textId="77777777" w:rsidR="00DE0962" w:rsidRDefault="00DE096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E2AB" w14:textId="77777777" w:rsidR="00DE0962" w:rsidRPr="005F1388" w:rsidRDefault="00DE096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670A" w14:textId="77777777" w:rsidR="00DE0962" w:rsidRPr="005F1388" w:rsidRDefault="00DE096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8D48" w14:textId="77777777" w:rsidR="00DE0962" w:rsidRPr="005F1388" w:rsidRDefault="00DE096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231B" w14:textId="77777777" w:rsidR="00DE0962" w:rsidRPr="00ED79B6" w:rsidRDefault="00DE096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F982" w14:textId="77777777" w:rsidR="00DE0962" w:rsidRPr="00ED79B6" w:rsidRDefault="00DE096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3069" w14:textId="77777777" w:rsidR="00DE0962" w:rsidRPr="00ED79B6" w:rsidRDefault="00DE096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FFA56" w14:textId="69E44415" w:rsidR="00DE0962" w:rsidRPr="00A961C4" w:rsidRDefault="00DE0962" w:rsidP="0048364F">
    <w:pPr>
      <w:rPr>
        <w:b/>
        <w:sz w:val="20"/>
      </w:rPr>
    </w:pPr>
    <w:r>
      <w:rPr>
        <w:b/>
        <w:sz w:val="20"/>
      </w:rPr>
      <w:fldChar w:fldCharType="begin"/>
    </w:r>
    <w:r>
      <w:rPr>
        <w:b/>
        <w:sz w:val="20"/>
      </w:rPr>
      <w:instrText xml:space="preserve"> STYLEREF CharAmSchNo </w:instrText>
    </w:r>
    <w:r>
      <w:rPr>
        <w:b/>
        <w:sz w:val="20"/>
      </w:rPr>
      <w:fldChar w:fldCharType="separate"/>
    </w:r>
    <w:r w:rsidR="0035208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352082">
      <w:rPr>
        <w:noProof/>
        <w:sz w:val="20"/>
      </w:rPr>
      <w:t>Amendments</w:t>
    </w:r>
    <w:r>
      <w:rPr>
        <w:sz w:val="20"/>
      </w:rPr>
      <w:fldChar w:fldCharType="end"/>
    </w:r>
  </w:p>
  <w:p w14:paraId="309399DF" w14:textId="3457E913" w:rsidR="00DE0962" w:rsidRPr="00A961C4" w:rsidRDefault="00DE096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982D7AE" w14:textId="77777777" w:rsidR="00DE0962" w:rsidRPr="00A961C4" w:rsidRDefault="00DE096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38C35" w14:textId="7D47892A" w:rsidR="00DE0962" w:rsidRPr="00A961C4" w:rsidRDefault="00DE0962" w:rsidP="0048364F">
    <w:pPr>
      <w:jc w:val="right"/>
      <w:rPr>
        <w:sz w:val="20"/>
      </w:rPr>
    </w:pPr>
    <w:r w:rsidRPr="00A961C4">
      <w:rPr>
        <w:sz w:val="20"/>
      </w:rPr>
      <w:fldChar w:fldCharType="begin"/>
    </w:r>
    <w:r w:rsidRPr="00A961C4">
      <w:rPr>
        <w:sz w:val="20"/>
      </w:rPr>
      <w:instrText xml:space="preserve"> STYLEREF CharAmSchText </w:instrText>
    </w:r>
    <w:r w:rsidR="00352082">
      <w:rPr>
        <w:sz w:val="20"/>
      </w:rPr>
      <w:fldChar w:fldCharType="separate"/>
    </w:r>
    <w:r w:rsidR="00352082">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52082">
      <w:rPr>
        <w:b/>
        <w:sz w:val="20"/>
      </w:rPr>
      <w:fldChar w:fldCharType="separate"/>
    </w:r>
    <w:r w:rsidR="00352082">
      <w:rPr>
        <w:b/>
        <w:noProof/>
        <w:sz w:val="20"/>
      </w:rPr>
      <w:t>Schedule 1</w:t>
    </w:r>
    <w:r>
      <w:rPr>
        <w:b/>
        <w:sz w:val="20"/>
      </w:rPr>
      <w:fldChar w:fldCharType="end"/>
    </w:r>
  </w:p>
  <w:p w14:paraId="46F6B6FA" w14:textId="62F2A96A" w:rsidR="00DE0962" w:rsidRPr="00A961C4" w:rsidRDefault="00DE096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1D679FA" w14:textId="77777777" w:rsidR="00DE0962" w:rsidRPr="00A961C4" w:rsidRDefault="00DE096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B031" w14:textId="77777777" w:rsidR="00DE0962" w:rsidRPr="00A961C4" w:rsidRDefault="00DE096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6724C"/>
    <w:rsid w:val="00000263"/>
    <w:rsid w:val="000113BC"/>
    <w:rsid w:val="000136AF"/>
    <w:rsid w:val="00036A90"/>
    <w:rsid w:val="00036E24"/>
    <w:rsid w:val="0004044E"/>
    <w:rsid w:val="00045151"/>
    <w:rsid w:val="00046F47"/>
    <w:rsid w:val="0005120E"/>
    <w:rsid w:val="00054577"/>
    <w:rsid w:val="000614BF"/>
    <w:rsid w:val="000672D3"/>
    <w:rsid w:val="0007169C"/>
    <w:rsid w:val="00077593"/>
    <w:rsid w:val="00083F48"/>
    <w:rsid w:val="000A6591"/>
    <w:rsid w:val="000A7DF9"/>
    <w:rsid w:val="000D05EF"/>
    <w:rsid w:val="000D5485"/>
    <w:rsid w:val="000D6F32"/>
    <w:rsid w:val="000F21C1"/>
    <w:rsid w:val="0010550D"/>
    <w:rsid w:val="00105D72"/>
    <w:rsid w:val="0010745C"/>
    <w:rsid w:val="00117277"/>
    <w:rsid w:val="001201B4"/>
    <w:rsid w:val="00145915"/>
    <w:rsid w:val="00155103"/>
    <w:rsid w:val="00160BD7"/>
    <w:rsid w:val="00162707"/>
    <w:rsid w:val="001643C9"/>
    <w:rsid w:val="00165568"/>
    <w:rsid w:val="00166082"/>
    <w:rsid w:val="00166C2F"/>
    <w:rsid w:val="00170378"/>
    <w:rsid w:val="001716C9"/>
    <w:rsid w:val="00184261"/>
    <w:rsid w:val="00190BA1"/>
    <w:rsid w:val="00190DF5"/>
    <w:rsid w:val="00193461"/>
    <w:rsid w:val="001939E1"/>
    <w:rsid w:val="00193DBF"/>
    <w:rsid w:val="00195382"/>
    <w:rsid w:val="001A30C1"/>
    <w:rsid w:val="001A3B9F"/>
    <w:rsid w:val="001A65C0"/>
    <w:rsid w:val="001B6456"/>
    <w:rsid w:val="001B7A5D"/>
    <w:rsid w:val="001C4793"/>
    <w:rsid w:val="001C69C4"/>
    <w:rsid w:val="001E0A8D"/>
    <w:rsid w:val="001E3590"/>
    <w:rsid w:val="001E7407"/>
    <w:rsid w:val="001F5C77"/>
    <w:rsid w:val="00201D27"/>
    <w:rsid w:val="0020300C"/>
    <w:rsid w:val="002208A1"/>
    <w:rsid w:val="00220A0C"/>
    <w:rsid w:val="00223E4A"/>
    <w:rsid w:val="002302EA"/>
    <w:rsid w:val="00240749"/>
    <w:rsid w:val="002468D7"/>
    <w:rsid w:val="00251136"/>
    <w:rsid w:val="00285CDD"/>
    <w:rsid w:val="00290D4B"/>
    <w:rsid w:val="00291167"/>
    <w:rsid w:val="00295C37"/>
    <w:rsid w:val="00297ECB"/>
    <w:rsid w:val="002A039A"/>
    <w:rsid w:val="002B1A00"/>
    <w:rsid w:val="002B4165"/>
    <w:rsid w:val="002C152A"/>
    <w:rsid w:val="002D043A"/>
    <w:rsid w:val="002D1FF0"/>
    <w:rsid w:val="002F3C62"/>
    <w:rsid w:val="00305BE0"/>
    <w:rsid w:val="0031713F"/>
    <w:rsid w:val="00321913"/>
    <w:rsid w:val="00324EE6"/>
    <w:rsid w:val="003316DC"/>
    <w:rsid w:val="00332E0D"/>
    <w:rsid w:val="003415D3"/>
    <w:rsid w:val="00344C41"/>
    <w:rsid w:val="00346335"/>
    <w:rsid w:val="003511FD"/>
    <w:rsid w:val="00352082"/>
    <w:rsid w:val="00352B0F"/>
    <w:rsid w:val="00353CDB"/>
    <w:rsid w:val="003561B0"/>
    <w:rsid w:val="00362F48"/>
    <w:rsid w:val="0036724C"/>
    <w:rsid w:val="00367960"/>
    <w:rsid w:val="003A15AC"/>
    <w:rsid w:val="003A56EB"/>
    <w:rsid w:val="003A66A8"/>
    <w:rsid w:val="003B0627"/>
    <w:rsid w:val="003C5F2B"/>
    <w:rsid w:val="003D0BFE"/>
    <w:rsid w:val="003D5700"/>
    <w:rsid w:val="003D61AA"/>
    <w:rsid w:val="003F0F5A"/>
    <w:rsid w:val="00400A30"/>
    <w:rsid w:val="004022CA"/>
    <w:rsid w:val="004116CD"/>
    <w:rsid w:val="0041246F"/>
    <w:rsid w:val="00414ADE"/>
    <w:rsid w:val="00424CA9"/>
    <w:rsid w:val="004257BB"/>
    <w:rsid w:val="004261D9"/>
    <w:rsid w:val="0044291A"/>
    <w:rsid w:val="0045373E"/>
    <w:rsid w:val="00460499"/>
    <w:rsid w:val="00466E9D"/>
    <w:rsid w:val="00474835"/>
    <w:rsid w:val="004819C7"/>
    <w:rsid w:val="0048364F"/>
    <w:rsid w:val="00484951"/>
    <w:rsid w:val="00490F2E"/>
    <w:rsid w:val="00496DB3"/>
    <w:rsid w:val="00496F97"/>
    <w:rsid w:val="004A53EA"/>
    <w:rsid w:val="004A7032"/>
    <w:rsid w:val="004B2F7F"/>
    <w:rsid w:val="004B4536"/>
    <w:rsid w:val="004E397F"/>
    <w:rsid w:val="004E5D8F"/>
    <w:rsid w:val="004F1FAC"/>
    <w:rsid w:val="004F676E"/>
    <w:rsid w:val="00516B8D"/>
    <w:rsid w:val="00523CC1"/>
    <w:rsid w:val="0052686F"/>
    <w:rsid w:val="0052756C"/>
    <w:rsid w:val="00530230"/>
    <w:rsid w:val="00530CC9"/>
    <w:rsid w:val="00537FBC"/>
    <w:rsid w:val="00541D73"/>
    <w:rsid w:val="00543469"/>
    <w:rsid w:val="005452CC"/>
    <w:rsid w:val="00546FA3"/>
    <w:rsid w:val="0055342E"/>
    <w:rsid w:val="00554243"/>
    <w:rsid w:val="00557C7A"/>
    <w:rsid w:val="00562A58"/>
    <w:rsid w:val="00563C41"/>
    <w:rsid w:val="0057107C"/>
    <w:rsid w:val="00581211"/>
    <w:rsid w:val="0058416A"/>
    <w:rsid w:val="00584811"/>
    <w:rsid w:val="00593AA6"/>
    <w:rsid w:val="00594161"/>
    <w:rsid w:val="00594512"/>
    <w:rsid w:val="00594749"/>
    <w:rsid w:val="005A3688"/>
    <w:rsid w:val="005A482B"/>
    <w:rsid w:val="005B4067"/>
    <w:rsid w:val="005C36E0"/>
    <w:rsid w:val="005C3F41"/>
    <w:rsid w:val="005C5382"/>
    <w:rsid w:val="005D168D"/>
    <w:rsid w:val="005D2BC4"/>
    <w:rsid w:val="005D5EA1"/>
    <w:rsid w:val="005E428C"/>
    <w:rsid w:val="005E61D3"/>
    <w:rsid w:val="005E7685"/>
    <w:rsid w:val="005F7738"/>
    <w:rsid w:val="00600219"/>
    <w:rsid w:val="00613EAD"/>
    <w:rsid w:val="00615568"/>
    <w:rsid w:val="006158AC"/>
    <w:rsid w:val="006402A8"/>
    <w:rsid w:val="00640402"/>
    <w:rsid w:val="00640F78"/>
    <w:rsid w:val="00646E7B"/>
    <w:rsid w:val="00655D6A"/>
    <w:rsid w:val="00656DE9"/>
    <w:rsid w:val="00677CC2"/>
    <w:rsid w:val="006824B9"/>
    <w:rsid w:val="00685F42"/>
    <w:rsid w:val="006866A1"/>
    <w:rsid w:val="0069207B"/>
    <w:rsid w:val="00696A3E"/>
    <w:rsid w:val="006973A3"/>
    <w:rsid w:val="006A4309"/>
    <w:rsid w:val="006A4BA7"/>
    <w:rsid w:val="006B0E55"/>
    <w:rsid w:val="006B361E"/>
    <w:rsid w:val="006B7006"/>
    <w:rsid w:val="006C7F8C"/>
    <w:rsid w:val="006D7AB9"/>
    <w:rsid w:val="006E1A58"/>
    <w:rsid w:val="006E3037"/>
    <w:rsid w:val="006E3526"/>
    <w:rsid w:val="006F5744"/>
    <w:rsid w:val="00700B2C"/>
    <w:rsid w:val="00713084"/>
    <w:rsid w:val="00720FC2"/>
    <w:rsid w:val="00731E00"/>
    <w:rsid w:val="00732E9D"/>
    <w:rsid w:val="0073491A"/>
    <w:rsid w:val="007440B7"/>
    <w:rsid w:val="00747993"/>
    <w:rsid w:val="00754B62"/>
    <w:rsid w:val="00755578"/>
    <w:rsid w:val="00760996"/>
    <w:rsid w:val="007634AD"/>
    <w:rsid w:val="00766861"/>
    <w:rsid w:val="007715C9"/>
    <w:rsid w:val="007729CB"/>
    <w:rsid w:val="00774EDD"/>
    <w:rsid w:val="007757EC"/>
    <w:rsid w:val="0077668C"/>
    <w:rsid w:val="00784E19"/>
    <w:rsid w:val="007A115D"/>
    <w:rsid w:val="007A35E6"/>
    <w:rsid w:val="007A6863"/>
    <w:rsid w:val="007B2DC6"/>
    <w:rsid w:val="007D45C1"/>
    <w:rsid w:val="007E7D4A"/>
    <w:rsid w:val="007F4068"/>
    <w:rsid w:val="007F48ED"/>
    <w:rsid w:val="007F4FA1"/>
    <w:rsid w:val="007F7947"/>
    <w:rsid w:val="00812F45"/>
    <w:rsid w:val="00822DAE"/>
    <w:rsid w:val="00823B55"/>
    <w:rsid w:val="00826813"/>
    <w:rsid w:val="008302B4"/>
    <w:rsid w:val="0084172C"/>
    <w:rsid w:val="00856A31"/>
    <w:rsid w:val="00863B49"/>
    <w:rsid w:val="008677E0"/>
    <w:rsid w:val="008754D0"/>
    <w:rsid w:val="00877D48"/>
    <w:rsid w:val="008816F0"/>
    <w:rsid w:val="0088345B"/>
    <w:rsid w:val="00893D89"/>
    <w:rsid w:val="008A16A5"/>
    <w:rsid w:val="008A2418"/>
    <w:rsid w:val="008A42A1"/>
    <w:rsid w:val="008B5D42"/>
    <w:rsid w:val="008C2B5D"/>
    <w:rsid w:val="008D0EE0"/>
    <w:rsid w:val="008D5182"/>
    <w:rsid w:val="008D5B99"/>
    <w:rsid w:val="008D7A27"/>
    <w:rsid w:val="008E17F5"/>
    <w:rsid w:val="008E4702"/>
    <w:rsid w:val="008E69AA"/>
    <w:rsid w:val="008E7F4C"/>
    <w:rsid w:val="008F1599"/>
    <w:rsid w:val="008F4F1C"/>
    <w:rsid w:val="00920B37"/>
    <w:rsid w:val="00922764"/>
    <w:rsid w:val="00932377"/>
    <w:rsid w:val="009408EA"/>
    <w:rsid w:val="00943102"/>
    <w:rsid w:val="0094523D"/>
    <w:rsid w:val="009559E6"/>
    <w:rsid w:val="00963DDE"/>
    <w:rsid w:val="00976A63"/>
    <w:rsid w:val="00983419"/>
    <w:rsid w:val="0098682F"/>
    <w:rsid w:val="00991F6C"/>
    <w:rsid w:val="00994821"/>
    <w:rsid w:val="009B5F70"/>
    <w:rsid w:val="009C3431"/>
    <w:rsid w:val="009C5989"/>
    <w:rsid w:val="009D08DA"/>
    <w:rsid w:val="009D6BF1"/>
    <w:rsid w:val="009F2057"/>
    <w:rsid w:val="009F293A"/>
    <w:rsid w:val="00A001AF"/>
    <w:rsid w:val="00A06860"/>
    <w:rsid w:val="00A1064A"/>
    <w:rsid w:val="00A136F5"/>
    <w:rsid w:val="00A175B3"/>
    <w:rsid w:val="00A231E2"/>
    <w:rsid w:val="00A2345B"/>
    <w:rsid w:val="00A2550D"/>
    <w:rsid w:val="00A4169B"/>
    <w:rsid w:val="00A445F2"/>
    <w:rsid w:val="00A45222"/>
    <w:rsid w:val="00A50D55"/>
    <w:rsid w:val="00A5165B"/>
    <w:rsid w:val="00A52FDA"/>
    <w:rsid w:val="00A56F2D"/>
    <w:rsid w:val="00A64912"/>
    <w:rsid w:val="00A70A74"/>
    <w:rsid w:val="00A715F8"/>
    <w:rsid w:val="00A902F8"/>
    <w:rsid w:val="00A90EA8"/>
    <w:rsid w:val="00A919BD"/>
    <w:rsid w:val="00AA0343"/>
    <w:rsid w:val="00AA2A5C"/>
    <w:rsid w:val="00AB2971"/>
    <w:rsid w:val="00AB78E9"/>
    <w:rsid w:val="00AC1FBA"/>
    <w:rsid w:val="00AD3467"/>
    <w:rsid w:val="00AD5641"/>
    <w:rsid w:val="00AD7252"/>
    <w:rsid w:val="00AE08E1"/>
    <w:rsid w:val="00AE0F9B"/>
    <w:rsid w:val="00AE7E3C"/>
    <w:rsid w:val="00AF143B"/>
    <w:rsid w:val="00AF442A"/>
    <w:rsid w:val="00AF55FF"/>
    <w:rsid w:val="00B032D8"/>
    <w:rsid w:val="00B16C78"/>
    <w:rsid w:val="00B33B3C"/>
    <w:rsid w:val="00B40D74"/>
    <w:rsid w:val="00B52663"/>
    <w:rsid w:val="00B56DCB"/>
    <w:rsid w:val="00B770D2"/>
    <w:rsid w:val="00B866F0"/>
    <w:rsid w:val="00B94F68"/>
    <w:rsid w:val="00BA47A3"/>
    <w:rsid w:val="00BA5026"/>
    <w:rsid w:val="00BA5D2D"/>
    <w:rsid w:val="00BB6E79"/>
    <w:rsid w:val="00BE3B31"/>
    <w:rsid w:val="00BE719A"/>
    <w:rsid w:val="00BE720A"/>
    <w:rsid w:val="00BF6650"/>
    <w:rsid w:val="00C04CAF"/>
    <w:rsid w:val="00C067E5"/>
    <w:rsid w:val="00C164CA"/>
    <w:rsid w:val="00C3042B"/>
    <w:rsid w:val="00C34851"/>
    <w:rsid w:val="00C3657D"/>
    <w:rsid w:val="00C42BF8"/>
    <w:rsid w:val="00C44200"/>
    <w:rsid w:val="00C460AE"/>
    <w:rsid w:val="00C50043"/>
    <w:rsid w:val="00C50A0F"/>
    <w:rsid w:val="00C7573B"/>
    <w:rsid w:val="00C76CF3"/>
    <w:rsid w:val="00C7764A"/>
    <w:rsid w:val="00C86E60"/>
    <w:rsid w:val="00CA7844"/>
    <w:rsid w:val="00CB58EF"/>
    <w:rsid w:val="00CE7D64"/>
    <w:rsid w:val="00CF0BB2"/>
    <w:rsid w:val="00D13441"/>
    <w:rsid w:val="00D16040"/>
    <w:rsid w:val="00D20665"/>
    <w:rsid w:val="00D21A36"/>
    <w:rsid w:val="00D2413A"/>
    <w:rsid w:val="00D243A3"/>
    <w:rsid w:val="00D3200B"/>
    <w:rsid w:val="00D32B04"/>
    <w:rsid w:val="00D33440"/>
    <w:rsid w:val="00D510CF"/>
    <w:rsid w:val="00D52EFE"/>
    <w:rsid w:val="00D56949"/>
    <w:rsid w:val="00D56A0D"/>
    <w:rsid w:val="00D5767F"/>
    <w:rsid w:val="00D63EF6"/>
    <w:rsid w:val="00D66518"/>
    <w:rsid w:val="00D70DFB"/>
    <w:rsid w:val="00D71EEA"/>
    <w:rsid w:val="00D735CD"/>
    <w:rsid w:val="00D74E78"/>
    <w:rsid w:val="00D766DF"/>
    <w:rsid w:val="00D9025B"/>
    <w:rsid w:val="00D947A8"/>
    <w:rsid w:val="00D95891"/>
    <w:rsid w:val="00DB5CB4"/>
    <w:rsid w:val="00DE0962"/>
    <w:rsid w:val="00DE149E"/>
    <w:rsid w:val="00DE5F6D"/>
    <w:rsid w:val="00DF37B2"/>
    <w:rsid w:val="00E05704"/>
    <w:rsid w:val="00E12F1A"/>
    <w:rsid w:val="00E15561"/>
    <w:rsid w:val="00E21CFB"/>
    <w:rsid w:val="00E22935"/>
    <w:rsid w:val="00E26B73"/>
    <w:rsid w:val="00E346A0"/>
    <w:rsid w:val="00E52598"/>
    <w:rsid w:val="00E54292"/>
    <w:rsid w:val="00E60191"/>
    <w:rsid w:val="00E62AE8"/>
    <w:rsid w:val="00E74DC7"/>
    <w:rsid w:val="00E87699"/>
    <w:rsid w:val="00E92E27"/>
    <w:rsid w:val="00E9586B"/>
    <w:rsid w:val="00E97334"/>
    <w:rsid w:val="00EA0D36"/>
    <w:rsid w:val="00ED4928"/>
    <w:rsid w:val="00EE3749"/>
    <w:rsid w:val="00EE449C"/>
    <w:rsid w:val="00EE6190"/>
    <w:rsid w:val="00EF0DD5"/>
    <w:rsid w:val="00EF21DD"/>
    <w:rsid w:val="00EF2E3A"/>
    <w:rsid w:val="00EF6402"/>
    <w:rsid w:val="00F025DF"/>
    <w:rsid w:val="00F047E2"/>
    <w:rsid w:val="00F04D57"/>
    <w:rsid w:val="00F078DC"/>
    <w:rsid w:val="00F13E86"/>
    <w:rsid w:val="00F15A1E"/>
    <w:rsid w:val="00F16DD8"/>
    <w:rsid w:val="00F22C3F"/>
    <w:rsid w:val="00F24AA5"/>
    <w:rsid w:val="00F32FCB"/>
    <w:rsid w:val="00F40B90"/>
    <w:rsid w:val="00F46936"/>
    <w:rsid w:val="00F60A71"/>
    <w:rsid w:val="00F6709F"/>
    <w:rsid w:val="00F677A9"/>
    <w:rsid w:val="00F67D42"/>
    <w:rsid w:val="00F723BD"/>
    <w:rsid w:val="00F732EA"/>
    <w:rsid w:val="00F800FC"/>
    <w:rsid w:val="00F84CF5"/>
    <w:rsid w:val="00F8612E"/>
    <w:rsid w:val="00FA420B"/>
    <w:rsid w:val="00FE0781"/>
    <w:rsid w:val="00FF39DE"/>
    <w:rsid w:val="00FF486C"/>
    <w:rsid w:val="00FF6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36D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62AE8"/>
    <w:pPr>
      <w:spacing w:line="260" w:lineRule="atLeast"/>
    </w:pPr>
    <w:rPr>
      <w:sz w:val="22"/>
    </w:rPr>
  </w:style>
  <w:style w:type="paragraph" w:styleId="Heading1">
    <w:name w:val="heading 1"/>
    <w:basedOn w:val="Normal"/>
    <w:next w:val="Normal"/>
    <w:link w:val="Heading1Char"/>
    <w:uiPriority w:val="9"/>
    <w:qFormat/>
    <w:rsid w:val="00E62AE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AE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2AE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62AE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62AE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62AE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E62AE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E62AE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E62AE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62AE8"/>
  </w:style>
  <w:style w:type="paragraph" w:customStyle="1" w:styleId="OPCParaBase">
    <w:name w:val="OPCParaBase"/>
    <w:qFormat/>
    <w:rsid w:val="00E62AE8"/>
    <w:pPr>
      <w:spacing w:line="260" w:lineRule="atLeast"/>
    </w:pPr>
    <w:rPr>
      <w:rFonts w:eastAsia="Times New Roman" w:cs="Times New Roman"/>
      <w:sz w:val="22"/>
      <w:lang w:eastAsia="en-AU"/>
    </w:rPr>
  </w:style>
  <w:style w:type="paragraph" w:customStyle="1" w:styleId="ShortT">
    <w:name w:val="ShortT"/>
    <w:basedOn w:val="OPCParaBase"/>
    <w:next w:val="Normal"/>
    <w:qFormat/>
    <w:rsid w:val="00E62AE8"/>
    <w:pPr>
      <w:spacing w:line="240" w:lineRule="auto"/>
    </w:pPr>
    <w:rPr>
      <w:b/>
      <w:sz w:val="40"/>
    </w:rPr>
  </w:style>
  <w:style w:type="paragraph" w:customStyle="1" w:styleId="ActHead1">
    <w:name w:val="ActHead 1"/>
    <w:aliases w:val="c"/>
    <w:basedOn w:val="OPCParaBase"/>
    <w:next w:val="Normal"/>
    <w:qFormat/>
    <w:rsid w:val="00E62A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62A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62A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62A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E62A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62A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62A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62A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62A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62AE8"/>
  </w:style>
  <w:style w:type="paragraph" w:customStyle="1" w:styleId="Blocks">
    <w:name w:val="Blocks"/>
    <w:aliases w:val="bb"/>
    <w:basedOn w:val="OPCParaBase"/>
    <w:qFormat/>
    <w:rsid w:val="00E62AE8"/>
    <w:pPr>
      <w:spacing w:line="240" w:lineRule="auto"/>
    </w:pPr>
    <w:rPr>
      <w:sz w:val="24"/>
    </w:rPr>
  </w:style>
  <w:style w:type="paragraph" w:customStyle="1" w:styleId="BoxText">
    <w:name w:val="BoxText"/>
    <w:aliases w:val="bt"/>
    <w:basedOn w:val="OPCParaBase"/>
    <w:qFormat/>
    <w:rsid w:val="00E62A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62AE8"/>
    <w:rPr>
      <w:b/>
    </w:rPr>
  </w:style>
  <w:style w:type="paragraph" w:customStyle="1" w:styleId="BoxHeadItalic">
    <w:name w:val="BoxHeadItalic"/>
    <w:aliases w:val="bhi"/>
    <w:basedOn w:val="BoxText"/>
    <w:next w:val="BoxStep"/>
    <w:qFormat/>
    <w:rsid w:val="00E62AE8"/>
    <w:rPr>
      <w:i/>
    </w:rPr>
  </w:style>
  <w:style w:type="paragraph" w:customStyle="1" w:styleId="BoxList">
    <w:name w:val="BoxList"/>
    <w:aliases w:val="bl"/>
    <w:basedOn w:val="BoxText"/>
    <w:qFormat/>
    <w:rsid w:val="00E62AE8"/>
    <w:pPr>
      <w:ind w:left="1559" w:hanging="425"/>
    </w:pPr>
  </w:style>
  <w:style w:type="paragraph" w:customStyle="1" w:styleId="BoxNote">
    <w:name w:val="BoxNote"/>
    <w:aliases w:val="bn"/>
    <w:basedOn w:val="BoxText"/>
    <w:qFormat/>
    <w:rsid w:val="00E62AE8"/>
    <w:pPr>
      <w:tabs>
        <w:tab w:val="left" w:pos="1985"/>
      </w:tabs>
      <w:spacing w:before="122" w:line="198" w:lineRule="exact"/>
      <w:ind w:left="2948" w:hanging="1814"/>
    </w:pPr>
    <w:rPr>
      <w:sz w:val="18"/>
    </w:rPr>
  </w:style>
  <w:style w:type="paragraph" w:customStyle="1" w:styleId="BoxPara">
    <w:name w:val="BoxPara"/>
    <w:aliases w:val="bp"/>
    <w:basedOn w:val="BoxText"/>
    <w:qFormat/>
    <w:rsid w:val="00E62AE8"/>
    <w:pPr>
      <w:tabs>
        <w:tab w:val="right" w:pos="2268"/>
      </w:tabs>
      <w:ind w:left="2552" w:hanging="1418"/>
    </w:pPr>
  </w:style>
  <w:style w:type="paragraph" w:customStyle="1" w:styleId="BoxStep">
    <w:name w:val="BoxStep"/>
    <w:aliases w:val="bs"/>
    <w:basedOn w:val="BoxText"/>
    <w:qFormat/>
    <w:rsid w:val="00E62AE8"/>
    <w:pPr>
      <w:ind w:left="1985" w:hanging="851"/>
    </w:pPr>
  </w:style>
  <w:style w:type="character" w:customStyle="1" w:styleId="CharAmPartNo">
    <w:name w:val="CharAmPartNo"/>
    <w:basedOn w:val="OPCCharBase"/>
    <w:qFormat/>
    <w:rsid w:val="00E62AE8"/>
  </w:style>
  <w:style w:type="character" w:customStyle="1" w:styleId="CharAmPartText">
    <w:name w:val="CharAmPartText"/>
    <w:basedOn w:val="OPCCharBase"/>
    <w:qFormat/>
    <w:rsid w:val="00E62AE8"/>
  </w:style>
  <w:style w:type="character" w:customStyle="1" w:styleId="CharAmSchNo">
    <w:name w:val="CharAmSchNo"/>
    <w:basedOn w:val="OPCCharBase"/>
    <w:qFormat/>
    <w:rsid w:val="00E62AE8"/>
  </w:style>
  <w:style w:type="character" w:customStyle="1" w:styleId="CharAmSchText">
    <w:name w:val="CharAmSchText"/>
    <w:basedOn w:val="OPCCharBase"/>
    <w:qFormat/>
    <w:rsid w:val="00E62AE8"/>
  </w:style>
  <w:style w:type="character" w:customStyle="1" w:styleId="CharBoldItalic">
    <w:name w:val="CharBoldItalic"/>
    <w:basedOn w:val="OPCCharBase"/>
    <w:uiPriority w:val="1"/>
    <w:qFormat/>
    <w:rsid w:val="00E62AE8"/>
    <w:rPr>
      <w:b/>
      <w:i/>
    </w:rPr>
  </w:style>
  <w:style w:type="character" w:customStyle="1" w:styleId="CharChapNo">
    <w:name w:val="CharChapNo"/>
    <w:basedOn w:val="OPCCharBase"/>
    <w:uiPriority w:val="1"/>
    <w:qFormat/>
    <w:rsid w:val="00E62AE8"/>
  </w:style>
  <w:style w:type="character" w:customStyle="1" w:styleId="CharChapText">
    <w:name w:val="CharChapText"/>
    <w:basedOn w:val="OPCCharBase"/>
    <w:uiPriority w:val="1"/>
    <w:qFormat/>
    <w:rsid w:val="00E62AE8"/>
  </w:style>
  <w:style w:type="character" w:customStyle="1" w:styleId="CharDivNo">
    <w:name w:val="CharDivNo"/>
    <w:basedOn w:val="OPCCharBase"/>
    <w:uiPriority w:val="1"/>
    <w:qFormat/>
    <w:rsid w:val="00E62AE8"/>
  </w:style>
  <w:style w:type="character" w:customStyle="1" w:styleId="CharDivText">
    <w:name w:val="CharDivText"/>
    <w:basedOn w:val="OPCCharBase"/>
    <w:uiPriority w:val="1"/>
    <w:qFormat/>
    <w:rsid w:val="00E62AE8"/>
  </w:style>
  <w:style w:type="character" w:customStyle="1" w:styleId="CharItalic">
    <w:name w:val="CharItalic"/>
    <w:basedOn w:val="OPCCharBase"/>
    <w:uiPriority w:val="1"/>
    <w:qFormat/>
    <w:rsid w:val="00E62AE8"/>
    <w:rPr>
      <w:i/>
    </w:rPr>
  </w:style>
  <w:style w:type="character" w:customStyle="1" w:styleId="CharPartNo">
    <w:name w:val="CharPartNo"/>
    <w:basedOn w:val="OPCCharBase"/>
    <w:uiPriority w:val="1"/>
    <w:qFormat/>
    <w:rsid w:val="00E62AE8"/>
  </w:style>
  <w:style w:type="character" w:customStyle="1" w:styleId="CharPartText">
    <w:name w:val="CharPartText"/>
    <w:basedOn w:val="OPCCharBase"/>
    <w:uiPriority w:val="1"/>
    <w:qFormat/>
    <w:rsid w:val="00E62AE8"/>
  </w:style>
  <w:style w:type="character" w:customStyle="1" w:styleId="CharSectno">
    <w:name w:val="CharSectno"/>
    <w:basedOn w:val="OPCCharBase"/>
    <w:qFormat/>
    <w:rsid w:val="00E62AE8"/>
  </w:style>
  <w:style w:type="character" w:customStyle="1" w:styleId="CharSubdNo">
    <w:name w:val="CharSubdNo"/>
    <w:basedOn w:val="OPCCharBase"/>
    <w:uiPriority w:val="1"/>
    <w:qFormat/>
    <w:rsid w:val="00E62AE8"/>
  </w:style>
  <w:style w:type="character" w:customStyle="1" w:styleId="CharSubdText">
    <w:name w:val="CharSubdText"/>
    <w:basedOn w:val="OPCCharBase"/>
    <w:uiPriority w:val="1"/>
    <w:qFormat/>
    <w:rsid w:val="00E62AE8"/>
  </w:style>
  <w:style w:type="paragraph" w:customStyle="1" w:styleId="CTA--">
    <w:name w:val="CTA --"/>
    <w:basedOn w:val="OPCParaBase"/>
    <w:next w:val="Normal"/>
    <w:rsid w:val="00E62AE8"/>
    <w:pPr>
      <w:spacing w:before="60" w:line="240" w:lineRule="atLeast"/>
      <w:ind w:left="142" w:hanging="142"/>
    </w:pPr>
    <w:rPr>
      <w:sz w:val="20"/>
    </w:rPr>
  </w:style>
  <w:style w:type="paragraph" w:customStyle="1" w:styleId="CTA-">
    <w:name w:val="CTA -"/>
    <w:basedOn w:val="OPCParaBase"/>
    <w:rsid w:val="00E62AE8"/>
    <w:pPr>
      <w:spacing w:before="60" w:line="240" w:lineRule="atLeast"/>
      <w:ind w:left="85" w:hanging="85"/>
    </w:pPr>
    <w:rPr>
      <w:sz w:val="20"/>
    </w:rPr>
  </w:style>
  <w:style w:type="paragraph" w:customStyle="1" w:styleId="CTA---">
    <w:name w:val="CTA ---"/>
    <w:basedOn w:val="OPCParaBase"/>
    <w:next w:val="Normal"/>
    <w:rsid w:val="00E62AE8"/>
    <w:pPr>
      <w:spacing w:before="60" w:line="240" w:lineRule="atLeast"/>
      <w:ind w:left="198" w:hanging="198"/>
    </w:pPr>
    <w:rPr>
      <w:sz w:val="20"/>
    </w:rPr>
  </w:style>
  <w:style w:type="paragraph" w:customStyle="1" w:styleId="CTA----">
    <w:name w:val="CTA ----"/>
    <w:basedOn w:val="OPCParaBase"/>
    <w:next w:val="Normal"/>
    <w:rsid w:val="00E62AE8"/>
    <w:pPr>
      <w:spacing w:before="60" w:line="240" w:lineRule="atLeast"/>
      <w:ind w:left="255" w:hanging="255"/>
    </w:pPr>
    <w:rPr>
      <w:sz w:val="20"/>
    </w:rPr>
  </w:style>
  <w:style w:type="paragraph" w:customStyle="1" w:styleId="CTA1a">
    <w:name w:val="CTA 1(a)"/>
    <w:basedOn w:val="OPCParaBase"/>
    <w:rsid w:val="00E62AE8"/>
    <w:pPr>
      <w:tabs>
        <w:tab w:val="right" w:pos="414"/>
      </w:tabs>
      <w:spacing w:before="40" w:line="240" w:lineRule="atLeast"/>
      <w:ind w:left="675" w:hanging="675"/>
    </w:pPr>
    <w:rPr>
      <w:sz w:val="20"/>
    </w:rPr>
  </w:style>
  <w:style w:type="paragraph" w:customStyle="1" w:styleId="CTA1ai">
    <w:name w:val="CTA 1(a)(i)"/>
    <w:basedOn w:val="OPCParaBase"/>
    <w:rsid w:val="00E62AE8"/>
    <w:pPr>
      <w:tabs>
        <w:tab w:val="right" w:pos="1004"/>
      </w:tabs>
      <w:spacing w:before="40" w:line="240" w:lineRule="atLeast"/>
      <w:ind w:left="1253" w:hanging="1253"/>
    </w:pPr>
    <w:rPr>
      <w:sz w:val="20"/>
    </w:rPr>
  </w:style>
  <w:style w:type="paragraph" w:customStyle="1" w:styleId="CTA2a">
    <w:name w:val="CTA 2(a)"/>
    <w:basedOn w:val="OPCParaBase"/>
    <w:rsid w:val="00E62AE8"/>
    <w:pPr>
      <w:tabs>
        <w:tab w:val="right" w:pos="482"/>
      </w:tabs>
      <w:spacing w:before="40" w:line="240" w:lineRule="atLeast"/>
      <w:ind w:left="748" w:hanging="748"/>
    </w:pPr>
    <w:rPr>
      <w:sz w:val="20"/>
    </w:rPr>
  </w:style>
  <w:style w:type="paragraph" w:customStyle="1" w:styleId="CTA2ai">
    <w:name w:val="CTA 2(a)(i)"/>
    <w:basedOn w:val="OPCParaBase"/>
    <w:rsid w:val="00E62AE8"/>
    <w:pPr>
      <w:tabs>
        <w:tab w:val="right" w:pos="1089"/>
      </w:tabs>
      <w:spacing w:before="40" w:line="240" w:lineRule="atLeast"/>
      <w:ind w:left="1327" w:hanging="1327"/>
    </w:pPr>
    <w:rPr>
      <w:sz w:val="20"/>
    </w:rPr>
  </w:style>
  <w:style w:type="paragraph" w:customStyle="1" w:styleId="CTA3a">
    <w:name w:val="CTA 3(a)"/>
    <w:basedOn w:val="OPCParaBase"/>
    <w:rsid w:val="00E62AE8"/>
    <w:pPr>
      <w:tabs>
        <w:tab w:val="right" w:pos="556"/>
      </w:tabs>
      <w:spacing w:before="40" w:line="240" w:lineRule="atLeast"/>
      <w:ind w:left="805" w:hanging="805"/>
    </w:pPr>
    <w:rPr>
      <w:sz w:val="20"/>
    </w:rPr>
  </w:style>
  <w:style w:type="paragraph" w:customStyle="1" w:styleId="CTA3ai">
    <w:name w:val="CTA 3(a)(i)"/>
    <w:basedOn w:val="OPCParaBase"/>
    <w:rsid w:val="00E62AE8"/>
    <w:pPr>
      <w:tabs>
        <w:tab w:val="right" w:pos="1140"/>
      </w:tabs>
      <w:spacing w:before="40" w:line="240" w:lineRule="atLeast"/>
      <w:ind w:left="1361" w:hanging="1361"/>
    </w:pPr>
    <w:rPr>
      <w:sz w:val="20"/>
    </w:rPr>
  </w:style>
  <w:style w:type="paragraph" w:customStyle="1" w:styleId="CTA4a">
    <w:name w:val="CTA 4(a)"/>
    <w:basedOn w:val="OPCParaBase"/>
    <w:rsid w:val="00E62AE8"/>
    <w:pPr>
      <w:tabs>
        <w:tab w:val="right" w:pos="624"/>
      </w:tabs>
      <w:spacing w:before="40" w:line="240" w:lineRule="atLeast"/>
      <w:ind w:left="873" w:hanging="873"/>
    </w:pPr>
    <w:rPr>
      <w:sz w:val="20"/>
    </w:rPr>
  </w:style>
  <w:style w:type="paragraph" w:customStyle="1" w:styleId="CTA4ai">
    <w:name w:val="CTA 4(a)(i)"/>
    <w:basedOn w:val="OPCParaBase"/>
    <w:rsid w:val="00E62AE8"/>
    <w:pPr>
      <w:tabs>
        <w:tab w:val="right" w:pos="1213"/>
      </w:tabs>
      <w:spacing w:before="40" w:line="240" w:lineRule="atLeast"/>
      <w:ind w:left="1452" w:hanging="1452"/>
    </w:pPr>
    <w:rPr>
      <w:sz w:val="20"/>
    </w:rPr>
  </w:style>
  <w:style w:type="paragraph" w:customStyle="1" w:styleId="CTACAPS">
    <w:name w:val="CTA CAPS"/>
    <w:basedOn w:val="OPCParaBase"/>
    <w:rsid w:val="00E62AE8"/>
    <w:pPr>
      <w:spacing w:before="60" w:line="240" w:lineRule="atLeast"/>
    </w:pPr>
    <w:rPr>
      <w:sz w:val="20"/>
    </w:rPr>
  </w:style>
  <w:style w:type="paragraph" w:customStyle="1" w:styleId="CTAright">
    <w:name w:val="CTA right"/>
    <w:basedOn w:val="OPCParaBase"/>
    <w:rsid w:val="00E62AE8"/>
    <w:pPr>
      <w:spacing w:before="60" w:line="240" w:lineRule="auto"/>
      <w:jc w:val="right"/>
    </w:pPr>
    <w:rPr>
      <w:sz w:val="20"/>
    </w:rPr>
  </w:style>
  <w:style w:type="paragraph" w:customStyle="1" w:styleId="subsection">
    <w:name w:val="subsection"/>
    <w:aliases w:val="ss,Subsection"/>
    <w:basedOn w:val="OPCParaBase"/>
    <w:link w:val="subsectionChar"/>
    <w:rsid w:val="00E62AE8"/>
    <w:pPr>
      <w:tabs>
        <w:tab w:val="right" w:pos="1021"/>
      </w:tabs>
      <w:spacing w:before="180" w:line="240" w:lineRule="auto"/>
      <w:ind w:left="1134" w:hanging="1134"/>
    </w:pPr>
  </w:style>
  <w:style w:type="paragraph" w:customStyle="1" w:styleId="Definition">
    <w:name w:val="Definition"/>
    <w:aliases w:val="dd"/>
    <w:basedOn w:val="OPCParaBase"/>
    <w:rsid w:val="00E62AE8"/>
    <w:pPr>
      <w:spacing w:before="180" w:line="240" w:lineRule="auto"/>
      <w:ind w:left="1134"/>
    </w:pPr>
  </w:style>
  <w:style w:type="paragraph" w:customStyle="1" w:styleId="ETAsubitem">
    <w:name w:val="ETA(subitem)"/>
    <w:basedOn w:val="OPCParaBase"/>
    <w:rsid w:val="00E62AE8"/>
    <w:pPr>
      <w:tabs>
        <w:tab w:val="right" w:pos="340"/>
      </w:tabs>
      <w:spacing w:before="60" w:line="240" w:lineRule="auto"/>
      <w:ind w:left="454" w:hanging="454"/>
    </w:pPr>
    <w:rPr>
      <w:sz w:val="20"/>
    </w:rPr>
  </w:style>
  <w:style w:type="paragraph" w:customStyle="1" w:styleId="ETApara">
    <w:name w:val="ETA(para)"/>
    <w:basedOn w:val="OPCParaBase"/>
    <w:rsid w:val="00E62AE8"/>
    <w:pPr>
      <w:tabs>
        <w:tab w:val="right" w:pos="754"/>
      </w:tabs>
      <w:spacing w:before="60" w:line="240" w:lineRule="auto"/>
      <w:ind w:left="828" w:hanging="828"/>
    </w:pPr>
    <w:rPr>
      <w:sz w:val="20"/>
    </w:rPr>
  </w:style>
  <w:style w:type="paragraph" w:customStyle="1" w:styleId="ETAsubpara">
    <w:name w:val="ETA(subpara)"/>
    <w:basedOn w:val="OPCParaBase"/>
    <w:rsid w:val="00E62AE8"/>
    <w:pPr>
      <w:tabs>
        <w:tab w:val="right" w:pos="1083"/>
      </w:tabs>
      <w:spacing w:before="60" w:line="240" w:lineRule="auto"/>
      <w:ind w:left="1191" w:hanging="1191"/>
    </w:pPr>
    <w:rPr>
      <w:sz w:val="20"/>
    </w:rPr>
  </w:style>
  <w:style w:type="paragraph" w:customStyle="1" w:styleId="ETAsub-subpara">
    <w:name w:val="ETA(sub-subpara)"/>
    <w:basedOn w:val="OPCParaBase"/>
    <w:rsid w:val="00E62AE8"/>
    <w:pPr>
      <w:tabs>
        <w:tab w:val="right" w:pos="1412"/>
      </w:tabs>
      <w:spacing w:before="60" w:line="240" w:lineRule="auto"/>
      <w:ind w:left="1525" w:hanging="1525"/>
    </w:pPr>
    <w:rPr>
      <w:sz w:val="20"/>
    </w:rPr>
  </w:style>
  <w:style w:type="paragraph" w:customStyle="1" w:styleId="Formula">
    <w:name w:val="Formula"/>
    <w:basedOn w:val="OPCParaBase"/>
    <w:rsid w:val="00E62AE8"/>
    <w:pPr>
      <w:spacing w:line="240" w:lineRule="auto"/>
      <w:ind w:left="1134"/>
    </w:pPr>
    <w:rPr>
      <w:sz w:val="20"/>
    </w:rPr>
  </w:style>
  <w:style w:type="paragraph" w:styleId="Header">
    <w:name w:val="header"/>
    <w:basedOn w:val="OPCParaBase"/>
    <w:link w:val="HeaderChar"/>
    <w:unhideWhenUsed/>
    <w:rsid w:val="00E62A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62AE8"/>
    <w:rPr>
      <w:rFonts w:eastAsia="Times New Roman" w:cs="Times New Roman"/>
      <w:sz w:val="16"/>
      <w:lang w:eastAsia="en-AU"/>
    </w:rPr>
  </w:style>
  <w:style w:type="paragraph" w:customStyle="1" w:styleId="House">
    <w:name w:val="House"/>
    <w:basedOn w:val="OPCParaBase"/>
    <w:rsid w:val="00E62AE8"/>
    <w:pPr>
      <w:spacing w:line="240" w:lineRule="auto"/>
    </w:pPr>
    <w:rPr>
      <w:sz w:val="28"/>
    </w:rPr>
  </w:style>
  <w:style w:type="paragraph" w:customStyle="1" w:styleId="Item">
    <w:name w:val="Item"/>
    <w:aliases w:val="i"/>
    <w:basedOn w:val="OPCParaBase"/>
    <w:next w:val="ItemHead"/>
    <w:rsid w:val="00E62AE8"/>
    <w:pPr>
      <w:keepLines/>
      <w:spacing w:before="80" w:line="240" w:lineRule="auto"/>
      <w:ind w:left="709"/>
    </w:pPr>
  </w:style>
  <w:style w:type="paragraph" w:customStyle="1" w:styleId="ItemHead">
    <w:name w:val="ItemHead"/>
    <w:aliases w:val="ih"/>
    <w:basedOn w:val="OPCParaBase"/>
    <w:next w:val="Item"/>
    <w:rsid w:val="00E62A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62AE8"/>
    <w:pPr>
      <w:spacing w:line="240" w:lineRule="auto"/>
    </w:pPr>
    <w:rPr>
      <w:b/>
      <w:sz w:val="32"/>
    </w:rPr>
  </w:style>
  <w:style w:type="paragraph" w:customStyle="1" w:styleId="notedraft">
    <w:name w:val="note(draft)"/>
    <w:aliases w:val="nd"/>
    <w:basedOn w:val="OPCParaBase"/>
    <w:rsid w:val="00E62AE8"/>
    <w:pPr>
      <w:spacing w:before="240" w:line="240" w:lineRule="auto"/>
      <w:ind w:left="284" w:hanging="284"/>
    </w:pPr>
    <w:rPr>
      <w:i/>
      <w:sz w:val="24"/>
    </w:rPr>
  </w:style>
  <w:style w:type="paragraph" w:customStyle="1" w:styleId="notemargin">
    <w:name w:val="note(margin)"/>
    <w:aliases w:val="nm"/>
    <w:basedOn w:val="OPCParaBase"/>
    <w:rsid w:val="00E62AE8"/>
    <w:pPr>
      <w:tabs>
        <w:tab w:val="left" w:pos="709"/>
      </w:tabs>
      <w:spacing w:before="122" w:line="198" w:lineRule="exact"/>
      <w:ind w:left="709" w:hanging="709"/>
    </w:pPr>
    <w:rPr>
      <w:sz w:val="18"/>
    </w:rPr>
  </w:style>
  <w:style w:type="paragraph" w:customStyle="1" w:styleId="noteToPara">
    <w:name w:val="noteToPara"/>
    <w:aliases w:val="ntp"/>
    <w:basedOn w:val="OPCParaBase"/>
    <w:rsid w:val="00E62AE8"/>
    <w:pPr>
      <w:spacing w:before="122" w:line="198" w:lineRule="exact"/>
      <w:ind w:left="2353" w:hanging="709"/>
    </w:pPr>
    <w:rPr>
      <w:sz w:val="18"/>
    </w:rPr>
  </w:style>
  <w:style w:type="paragraph" w:customStyle="1" w:styleId="noteParlAmend">
    <w:name w:val="note(ParlAmend)"/>
    <w:aliases w:val="npp"/>
    <w:basedOn w:val="OPCParaBase"/>
    <w:next w:val="ParlAmend"/>
    <w:rsid w:val="00E62AE8"/>
    <w:pPr>
      <w:spacing w:line="240" w:lineRule="auto"/>
      <w:jc w:val="right"/>
    </w:pPr>
    <w:rPr>
      <w:rFonts w:ascii="Arial" w:hAnsi="Arial"/>
      <w:b/>
      <w:i/>
    </w:rPr>
  </w:style>
  <w:style w:type="paragraph" w:customStyle="1" w:styleId="Page1">
    <w:name w:val="Page1"/>
    <w:basedOn w:val="OPCParaBase"/>
    <w:rsid w:val="00E62AE8"/>
    <w:pPr>
      <w:spacing w:before="5600" w:line="240" w:lineRule="auto"/>
    </w:pPr>
    <w:rPr>
      <w:b/>
      <w:sz w:val="32"/>
    </w:rPr>
  </w:style>
  <w:style w:type="paragraph" w:customStyle="1" w:styleId="PageBreak">
    <w:name w:val="PageBreak"/>
    <w:aliases w:val="pb"/>
    <w:basedOn w:val="OPCParaBase"/>
    <w:rsid w:val="00E62AE8"/>
    <w:pPr>
      <w:spacing w:line="240" w:lineRule="auto"/>
    </w:pPr>
    <w:rPr>
      <w:sz w:val="20"/>
    </w:rPr>
  </w:style>
  <w:style w:type="paragraph" w:customStyle="1" w:styleId="paragraphsub">
    <w:name w:val="paragraph(sub)"/>
    <w:aliases w:val="aa"/>
    <w:basedOn w:val="OPCParaBase"/>
    <w:link w:val="paragraphsubChar"/>
    <w:rsid w:val="00E62AE8"/>
    <w:pPr>
      <w:tabs>
        <w:tab w:val="right" w:pos="1985"/>
      </w:tabs>
      <w:spacing w:before="40" w:line="240" w:lineRule="auto"/>
      <w:ind w:left="2098" w:hanging="2098"/>
    </w:pPr>
  </w:style>
  <w:style w:type="paragraph" w:customStyle="1" w:styleId="paragraphsub-sub">
    <w:name w:val="paragraph(sub-sub)"/>
    <w:aliases w:val="aaa"/>
    <w:basedOn w:val="OPCParaBase"/>
    <w:rsid w:val="00E62AE8"/>
    <w:pPr>
      <w:tabs>
        <w:tab w:val="right" w:pos="2722"/>
      </w:tabs>
      <w:spacing w:before="40" w:line="240" w:lineRule="auto"/>
      <w:ind w:left="2835" w:hanging="2835"/>
    </w:pPr>
  </w:style>
  <w:style w:type="paragraph" w:customStyle="1" w:styleId="paragraph">
    <w:name w:val="paragraph"/>
    <w:aliases w:val="a"/>
    <w:basedOn w:val="OPCParaBase"/>
    <w:link w:val="paragraphChar"/>
    <w:rsid w:val="00E62AE8"/>
    <w:pPr>
      <w:tabs>
        <w:tab w:val="right" w:pos="1531"/>
      </w:tabs>
      <w:spacing w:before="40" w:line="240" w:lineRule="auto"/>
      <w:ind w:left="1644" w:hanging="1644"/>
    </w:pPr>
  </w:style>
  <w:style w:type="paragraph" w:customStyle="1" w:styleId="ParlAmend">
    <w:name w:val="ParlAmend"/>
    <w:aliases w:val="pp"/>
    <w:basedOn w:val="OPCParaBase"/>
    <w:rsid w:val="00E62AE8"/>
    <w:pPr>
      <w:spacing w:before="240" w:line="240" w:lineRule="atLeast"/>
      <w:ind w:hanging="567"/>
    </w:pPr>
    <w:rPr>
      <w:sz w:val="24"/>
    </w:rPr>
  </w:style>
  <w:style w:type="paragraph" w:customStyle="1" w:styleId="Penalty">
    <w:name w:val="Penalty"/>
    <w:basedOn w:val="OPCParaBase"/>
    <w:rsid w:val="00E62AE8"/>
    <w:pPr>
      <w:tabs>
        <w:tab w:val="left" w:pos="2977"/>
      </w:tabs>
      <w:spacing w:before="180" w:line="240" w:lineRule="auto"/>
      <w:ind w:left="1985" w:hanging="851"/>
    </w:pPr>
  </w:style>
  <w:style w:type="paragraph" w:customStyle="1" w:styleId="Portfolio">
    <w:name w:val="Portfolio"/>
    <w:basedOn w:val="OPCParaBase"/>
    <w:rsid w:val="00E62AE8"/>
    <w:pPr>
      <w:spacing w:line="240" w:lineRule="auto"/>
    </w:pPr>
    <w:rPr>
      <w:i/>
      <w:sz w:val="20"/>
    </w:rPr>
  </w:style>
  <w:style w:type="paragraph" w:customStyle="1" w:styleId="Preamble">
    <w:name w:val="Preamble"/>
    <w:basedOn w:val="OPCParaBase"/>
    <w:next w:val="Normal"/>
    <w:rsid w:val="00E62A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62AE8"/>
    <w:pPr>
      <w:spacing w:line="240" w:lineRule="auto"/>
    </w:pPr>
    <w:rPr>
      <w:i/>
      <w:sz w:val="20"/>
    </w:rPr>
  </w:style>
  <w:style w:type="paragraph" w:customStyle="1" w:styleId="Session">
    <w:name w:val="Session"/>
    <w:basedOn w:val="OPCParaBase"/>
    <w:rsid w:val="00E62AE8"/>
    <w:pPr>
      <w:spacing w:line="240" w:lineRule="auto"/>
    </w:pPr>
    <w:rPr>
      <w:sz w:val="28"/>
    </w:rPr>
  </w:style>
  <w:style w:type="paragraph" w:customStyle="1" w:styleId="Sponsor">
    <w:name w:val="Sponsor"/>
    <w:basedOn w:val="OPCParaBase"/>
    <w:rsid w:val="00E62AE8"/>
    <w:pPr>
      <w:spacing w:line="240" w:lineRule="auto"/>
    </w:pPr>
    <w:rPr>
      <w:i/>
    </w:rPr>
  </w:style>
  <w:style w:type="paragraph" w:customStyle="1" w:styleId="Subitem">
    <w:name w:val="Subitem"/>
    <w:aliases w:val="iss"/>
    <w:basedOn w:val="OPCParaBase"/>
    <w:rsid w:val="00E62AE8"/>
    <w:pPr>
      <w:spacing w:before="180" w:line="240" w:lineRule="auto"/>
      <w:ind w:left="709" w:hanging="709"/>
    </w:pPr>
  </w:style>
  <w:style w:type="paragraph" w:customStyle="1" w:styleId="SubitemHead">
    <w:name w:val="SubitemHead"/>
    <w:aliases w:val="issh"/>
    <w:basedOn w:val="OPCParaBase"/>
    <w:rsid w:val="00E62A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62AE8"/>
    <w:pPr>
      <w:spacing w:before="40" w:line="240" w:lineRule="auto"/>
      <w:ind w:left="1134"/>
    </w:pPr>
  </w:style>
  <w:style w:type="paragraph" w:customStyle="1" w:styleId="SubsectionHead">
    <w:name w:val="SubsectionHead"/>
    <w:aliases w:val="ssh"/>
    <w:basedOn w:val="OPCParaBase"/>
    <w:next w:val="subsection"/>
    <w:rsid w:val="00E62AE8"/>
    <w:pPr>
      <w:keepNext/>
      <w:keepLines/>
      <w:spacing w:before="240" w:line="240" w:lineRule="auto"/>
      <w:ind w:left="1134"/>
    </w:pPr>
    <w:rPr>
      <w:i/>
    </w:rPr>
  </w:style>
  <w:style w:type="paragraph" w:customStyle="1" w:styleId="Tablea">
    <w:name w:val="Table(a)"/>
    <w:aliases w:val="ta"/>
    <w:basedOn w:val="OPCParaBase"/>
    <w:rsid w:val="00E62AE8"/>
    <w:pPr>
      <w:spacing w:before="60" w:line="240" w:lineRule="auto"/>
      <w:ind w:left="284" w:hanging="284"/>
    </w:pPr>
    <w:rPr>
      <w:sz w:val="20"/>
    </w:rPr>
  </w:style>
  <w:style w:type="paragraph" w:customStyle="1" w:styleId="TableAA">
    <w:name w:val="Table(AA)"/>
    <w:aliases w:val="taaa"/>
    <w:basedOn w:val="OPCParaBase"/>
    <w:rsid w:val="00E62A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2A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62AE8"/>
    <w:pPr>
      <w:spacing w:before="60" w:line="240" w:lineRule="atLeast"/>
    </w:pPr>
    <w:rPr>
      <w:sz w:val="20"/>
    </w:rPr>
  </w:style>
  <w:style w:type="paragraph" w:customStyle="1" w:styleId="TLPBoxTextnote">
    <w:name w:val="TLPBoxText(note"/>
    <w:aliases w:val="right)"/>
    <w:basedOn w:val="OPCParaBase"/>
    <w:rsid w:val="00E62A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62A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62AE8"/>
    <w:pPr>
      <w:spacing w:before="122" w:line="198" w:lineRule="exact"/>
      <w:ind w:left="1985" w:hanging="851"/>
      <w:jc w:val="right"/>
    </w:pPr>
    <w:rPr>
      <w:sz w:val="18"/>
    </w:rPr>
  </w:style>
  <w:style w:type="paragraph" w:customStyle="1" w:styleId="TLPTableBullet">
    <w:name w:val="TLPTableBullet"/>
    <w:aliases w:val="ttb"/>
    <w:basedOn w:val="OPCParaBase"/>
    <w:rsid w:val="00E62AE8"/>
    <w:pPr>
      <w:spacing w:line="240" w:lineRule="exact"/>
      <w:ind w:left="284" w:hanging="284"/>
    </w:pPr>
    <w:rPr>
      <w:sz w:val="20"/>
    </w:rPr>
  </w:style>
  <w:style w:type="paragraph" w:styleId="TOC1">
    <w:name w:val="toc 1"/>
    <w:basedOn w:val="Normal"/>
    <w:next w:val="Normal"/>
    <w:uiPriority w:val="39"/>
    <w:unhideWhenUsed/>
    <w:rsid w:val="00E62AE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62AE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62AE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E62AE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E62AE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E62AE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E62AE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E62AE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E62AE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E62AE8"/>
    <w:pPr>
      <w:keepLines/>
      <w:spacing w:before="240" w:after="120" w:line="240" w:lineRule="auto"/>
      <w:ind w:left="794"/>
    </w:pPr>
    <w:rPr>
      <w:b/>
      <w:kern w:val="28"/>
      <w:sz w:val="20"/>
    </w:rPr>
  </w:style>
  <w:style w:type="paragraph" w:customStyle="1" w:styleId="TofSectsHeading">
    <w:name w:val="TofSects(Heading)"/>
    <w:basedOn w:val="OPCParaBase"/>
    <w:rsid w:val="00E62AE8"/>
    <w:pPr>
      <w:spacing w:before="240" w:after="120" w:line="240" w:lineRule="auto"/>
    </w:pPr>
    <w:rPr>
      <w:b/>
      <w:sz w:val="24"/>
    </w:rPr>
  </w:style>
  <w:style w:type="paragraph" w:customStyle="1" w:styleId="TofSectsSection">
    <w:name w:val="TofSects(Section)"/>
    <w:basedOn w:val="OPCParaBase"/>
    <w:rsid w:val="00E62AE8"/>
    <w:pPr>
      <w:keepLines/>
      <w:spacing w:before="40" w:line="240" w:lineRule="auto"/>
      <w:ind w:left="1588" w:hanging="794"/>
    </w:pPr>
    <w:rPr>
      <w:kern w:val="28"/>
      <w:sz w:val="18"/>
    </w:rPr>
  </w:style>
  <w:style w:type="paragraph" w:customStyle="1" w:styleId="TofSectsSubdiv">
    <w:name w:val="TofSects(Subdiv)"/>
    <w:basedOn w:val="OPCParaBase"/>
    <w:rsid w:val="00E62AE8"/>
    <w:pPr>
      <w:keepLines/>
      <w:spacing w:before="80" w:line="240" w:lineRule="auto"/>
      <w:ind w:left="1588" w:hanging="794"/>
    </w:pPr>
    <w:rPr>
      <w:kern w:val="28"/>
    </w:rPr>
  </w:style>
  <w:style w:type="paragraph" w:customStyle="1" w:styleId="WRStyle">
    <w:name w:val="WR Style"/>
    <w:aliases w:val="WR"/>
    <w:basedOn w:val="OPCParaBase"/>
    <w:rsid w:val="00E62AE8"/>
    <w:pPr>
      <w:spacing w:before="240" w:line="240" w:lineRule="auto"/>
      <w:ind w:left="284" w:hanging="284"/>
    </w:pPr>
    <w:rPr>
      <w:b/>
      <w:i/>
      <w:kern w:val="28"/>
      <w:sz w:val="24"/>
    </w:rPr>
  </w:style>
  <w:style w:type="paragraph" w:customStyle="1" w:styleId="notepara">
    <w:name w:val="note(para)"/>
    <w:aliases w:val="na"/>
    <w:basedOn w:val="OPCParaBase"/>
    <w:rsid w:val="00E62AE8"/>
    <w:pPr>
      <w:spacing w:before="40" w:line="198" w:lineRule="exact"/>
      <w:ind w:left="2354" w:hanging="369"/>
    </w:pPr>
    <w:rPr>
      <w:sz w:val="18"/>
    </w:rPr>
  </w:style>
  <w:style w:type="paragraph" w:styleId="Footer">
    <w:name w:val="footer"/>
    <w:link w:val="FooterChar"/>
    <w:rsid w:val="00E62A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62AE8"/>
    <w:rPr>
      <w:rFonts w:eastAsia="Times New Roman" w:cs="Times New Roman"/>
      <w:sz w:val="22"/>
      <w:szCs w:val="24"/>
      <w:lang w:eastAsia="en-AU"/>
    </w:rPr>
  </w:style>
  <w:style w:type="character" w:styleId="LineNumber">
    <w:name w:val="line number"/>
    <w:basedOn w:val="OPCCharBase"/>
    <w:uiPriority w:val="99"/>
    <w:unhideWhenUsed/>
    <w:rsid w:val="00E62AE8"/>
    <w:rPr>
      <w:sz w:val="16"/>
    </w:rPr>
  </w:style>
  <w:style w:type="table" w:customStyle="1" w:styleId="CFlag">
    <w:name w:val="CFlag"/>
    <w:basedOn w:val="TableNormal"/>
    <w:uiPriority w:val="99"/>
    <w:rsid w:val="00E62AE8"/>
    <w:rPr>
      <w:rFonts w:eastAsia="Times New Roman" w:cs="Times New Roman"/>
      <w:lang w:eastAsia="en-AU"/>
    </w:rPr>
    <w:tblPr/>
  </w:style>
  <w:style w:type="paragraph" w:styleId="BalloonText">
    <w:name w:val="Balloon Text"/>
    <w:basedOn w:val="Normal"/>
    <w:link w:val="BalloonTextChar"/>
    <w:uiPriority w:val="99"/>
    <w:unhideWhenUsed/>
    <w:rsid w:val="00E62A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62AE8"/>
    <w:rPr>
      <w:rFonts w:ascii="Tahoma" w:hAnsi="Tahoma" w:cs="Tahoma"/>
      <w:sz w:val="16"/>
      <w:szCs w:val="16"/>
    </w:rPr>
  </w:style>
  <w:style w:type="table" w:styleId="TableGrid">
    <w:name w:val="Table Grid"/>
    <w:basedOn w:val="TableNormal"/>
    <w:uiPriority w:val="59"/>
    <w:rsid w:val="00E6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62AE8"/>
    <w:rPr>
      <w:b/>
      <w:sz w:val="28"/>
      <w:szCs w:val="32"/>
    </w:rPr>
  </w:style>
  <w:style w:type="paragraph" w:customStyle="1" w:styleId="LegislationMadeUnder">
    <w:name w:val="LegislationMadeUnder"/>
    <w:basedOn w:val="OPCParaBase"/>
    <w:next w:val="Normal"/>
    <w:rsid w:val="00E62AE8"/>
    <w:rPr>
      <w:i/>
      <w:sz w:val="32"/>
      <w:szCs w:val="32"/>
    </w:rPr>
  </w:style>
  <w:style w:type="paragraph" w:customStyle="1" w:styleId="SignCoverPageEnd">
    <w:name w:val="SignCoverPageEnd"/>
    <w:basedOn w:val="OPCParaBase"/>
    <w:next w:val="Normal"/>
    <w:rsid w:val="00E62AE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62AE8"/>
    <w:pPr>
      <w:pBdr>
        <w:top w:val="single" w:sz="4" w:space="1" w:color="auto"/>
      </w:pBdr>
      <w:spacing w:before="360"/>
      <w:ind w:right="397"/>
      <w:jc w:val="both"/>
    </w:pPr>
  </w:style>
  <w:style w:type="paragraph" w:customStyle="1" w:styleId="NotesHeading1">
    <w:name w:val="NotesHeading 1"/>
    <w:basedOn w:val="OPCParaBase"/>
    <w:next w:val="Normal"/>
    <w:rsid w:val="00E62AE8"/>
    <w:rPr>
      <w:b/>
      <w:sz w:val="28"/>
      <w:szCs w:val="28"/>
    </w:rPr>
  </w:style>
  <w:style w:type="paragraph" w:customStyle="1" w:styleId="NotesHeading2">
    <w:name w:val="NotesHeading 2"/>
    <w:basedOn w:val="OPCParaBase"/>
    <w:next w:val="Normal"/>
    <w:rsid w:val="00E62AE8"/>
    <w:rPr>
      <w:b/>
      <w:sz w:val="28"/>
      <w:szCs w:val="28"/>
    </w:rPr>
  </w:style>
  <w:style w:type="paragraph" w:customStyle="1" w:styleId="ENotesText">
    <w:name w:val="ENotesText"/>
    <w:aliases w:val="Ent"/>
    <w:basedOn w:val="OPCParaBase"/>
    <w:next w:val="Normal"/>
    <w:rsid w:val="00E62AE8"/>
    <w:pPr>
      <w:spacing w:before="120"/>
    </w:pPr>
  </w:style>
  <w:style w:type="paragraph" w:customStyle="1" w:styleId="CompiledActNo">
    <w:name w:val="CompiledActNo"/>
    <w:basedOn w:val="OPCParaBase"/>
    <w:next w:val="Normal"/>
    <w:rsid w:val="00E62AE8"/>
    <w:rPr>
      <w:b/>
      <w:sz w:val="24"/>
      <w:szCs w:val="24"/>
    </w:rPr>
  </w:style>
  <w:style w:type="paragraph" w:customStyle="1" w:styleId="CompiledMadeUnder">
    <w:name w:val="CompiledMadeUnder"/>
    <w:basedOn w:val="OPCParaBase"/>
    <w:next w:val="Normal"/>
    <w:rsid w:val="00E62AE8"/>
    <w:rPr>
      <w:i/>
      <w:sz w:val="24"/>
      <w:szCs w:val="24"/>
    </w:rPr>
  </w:style>
  <w:style w:type="paragraph" w:customStyle="1" w:styleId="Paragraphsub-sub-sub">
    <w:name w:val="Paragraph(sub-sub-sub)"/>
    <w:aliases w:val="aaaa"/>
    <w:basedOn w:val="OPCParaBase"/>
    <w:rsid w:val="00E62AE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62A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62A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62A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62AE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62AE8"/>
    <w:pPr>
      <w:spacing w:before="60" w:line="240" w:lineRule="auto"/>
    </w:pPr>
    <w:rPr>
      <w:rFonts w:cs="Arial"/>
      <w:sz w:val="20"/>
      <w:szCs w:val="22"/>
    </w:rPr>
  </w:style>
  <w:style w:type="paragraph" w:customStyle="1" w:styleId="NoteToSubpara">
    <w:name w:val="NoteToSubpara"/>
    <w:aliases w:val="nts"/>
    <w:basedOn w:val="OPCParaBase"/>
    <w:rsid w:val="00E62AE8"/>
    <w:pPr>
      <w:spacing w:before="40" w:line="198" w:lineRule="exact"/>
      <w:ind w:left="2835" w:hanging="709"/>
    </w:pPr>
    <w:rPr>
      <w:sz w:val="18"/>
    </w:rPr>
  </w:style>
  <w:style w:type="paragraph" w:customStyle="1" w:styleId="ENoteTableHeading">
    <w:name w:val="ENoteTableHeading"/>
    <w:aliases w:val="enth"/>
    <w:basedOn w:val="OPCParaBase"/>
    <w:rsid w:val="00E62AE8"/>
    <w:pPr>
      <w:keepNext/>
      <w:spacing w:before="60" w:line="240" w:lineRule="atLeast"/>
    </w:pPr>
    <w:rPr>
      <w:rFonts w:ascii="Arial" w:hAnsi="Arial"/>
      <w:b/>
      <w:sz w:val="16"/>
    </w:rPr>
  </w:style>
  <w:style w:type="paragraph" w:customStyle="1" w:styleId="ENoteTTi">
    <w:name w:val="ENoteTTi"/>
    <w:aliases w:val="entti"/>
    <w:basedOn w:val="OPCParaBase"/>
    <w:rsid w:val="00E62AE8"/>
    <w:pPr>
      <w:keepNext/>
      <w:spacing w:before="60" w:line="240" w:lineRule="atLeast"/>
      <w:ind w:left="170"/>
    </w:pPr>
    <w:rPr>
      <w:sz w:val="16"/>
    </w:rPr>
  </w:style>
  <w:style w:type="paragraph" w:customStyle="1" w:styleId="ENotesHeading1">
    <w:name w:val="ENotesHeading 1"/>
    <w:aliases w:val="Enh1"/>
    <w:basedOn w:val="OPCParaBase"/>
    <w:next w:val="Normal"/>
    <w:rsid w:val="00E62AE8"/>
    <w:pPr>
      <w:spacing w:before="120"/>
      <w:outlineLvl w:val="1"/>
    </w:pPr>
    <w:rPr>
      <w:b/>
      <w:sz w:val="28"/>
      <w:szCs w:val="28"/>
    </w:rPr>
  </w:style>
  <w:style w:type="paragraph" w:customStyle="1" w:styleId="ENotesHeading2">
    <w:name w:val="ENotesHeading 2"/>
    <w:aliases w:val="Enh2"/>
    <w:basedOn w:val="OPCParaBase"/>
    <w:next w:val="Normal"/>
    <w:rsid w:val="00E62AE8"/>
    <w:pPr>
      <w:spacing w:before="120" w:after="120"/>
      <w:outlineLvl w:val="2"/>
    </w:pPr>
    <w:rPr>
      <w:b/>
      <w:sz w:val="24"/>
      <w:szCs w:val="28"/>
    </w:rPr>
  </w:style>
  <w:style w:type="paragraph" w:customStyle="1" w:styleId="ENoteTTIndentHeading">
    <w:name w:val="ENoteTTIndentHeading"/>
    <w:aliases w:val="enTTHi"/>
    <w:basedOn w:val="OPCParaBase"/>
    <w:rsid w:val="00E62A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62AE8"/>
    <w:pPr>
      <w:spacing w:before="60" w:line="240" w:lineRule="atLeast"/>
    </w:pPr>
    <w:rPr>
      <w:sz w:val="16"/>
    </w:rPr>
  </w:style>
  <w:style w:type="paragraph" w:customStyle="1" w:styleId="MadeunderText">
    <w:name w:val="MadeunderText"/>
    <w:basedOn w:val="OPCParaBase"/>
    <w:next w:val="Normal"/>
    <w:rsid w:val="00E62AE8"/>
    <w:pPr>
      <w:spacing w:before="240"/>
    </w:pPr>
    <w:rPr>
      <w:sz w:val="24"/>
      <w:szCs w:val="24"/>
    </w:rPr>
  </w:style>
  <w:style w:type="paragraph" w:customStyle="1" w:styleId="ENotesHeading3">
    <w:name w:val="ENotesHeading 3"/>
    <w:aliases w:val="Enh3"/>
    <w:basedOn w:val="OPCParaBase"/>
    <w:next w:val="Normal"/>
    <w:rsid w:val="00E62AE8"/>
    <w:pPr>
      <w:keepNext/>
      <w:spacing w:before="120" w:line="240" w:lineRule="auto"/>
      <w:outlineLvl w:val="4"/>
    </w:pPr>
    <w:rPr>
      <w:b/>
      <w:szCs w:val="24"/>
    </w:rPr>
  </w:style>
  <w:style w:type="character" w:customStyle="1" w:styleId="CharSubPartTextCASA">
    <w:name w:val="CharSubPartText(CASA)"/>
    <w:basedOn w:val="OPCCharBase"/>
    <w:uiPriority w:val="1"/>
    <w:rsid w:val="00E62AE8"/>
  </w:style>
  <w:style w:type="character" w:customStyle="1" w:styleId="CharSubPartNoCASA">
    <w:name w:val="CharSubPartNo(CASA)"/>
    <w:basedOn w:val="OPCCharBase"/>
    <w:uiPriority w:val="1"/>
    <w:rsid w:val="00E62AE8"/>
  </w:style>
  <w:style w:type="paragraph" w:customStyle="1" w:styleId="ENoteTTIndentHeadingSub">
    <w:name w:val="ENoteTTIndentHeadingSub"/>
    <w:aliases w:val="enTTHis"/>
    <w:basedOn w:val="OPCParaBase"/>
    <w:rsid w:val="00E62AE8"/>
    <w:pPr>
      <w:keepNext/>
      <w:spacing w:before="60" w:line="240" w:lineRule="atLeast"/>
      <w:ind w:left="340"/>
    </w:pPr>
    <w:rPr>
      <w:b/>
      <w:sz w:val="16"/>
    </w:rPr>
  </w:style>
  <w:style w:type="paragraph" w:customStyle="1" w:styleId="ENoteTTiSub">
    <w:name w:val="ENoteTTiSub"/>
    <w:aliases w:val="enttis"/>
    <w:basedOn w:val="OPCParaBase"/>
    <w:rsid w:val="00E62AE8"/>
    <w:pPr>
      <w:keepNext/>
      <w:spacing w:before="60" w:line="240" w:lineRule="atLeast"/>
      <w:ind w:left="340"/>
    </w:pPr>
    <w:rPr>
      <w:sz w:val="16"/>
    </w:rPr>
  </w:style>
  <w:style w:type="paragraph" w:customStyle="1" w:styleId="SubDivisionMigration">
    <w:name w:val="SubDivisionMigration"/>
    <w:aliases w:val="sdm"/>
    <w:basedOn w:val="OPCParaBase"/>
    <w:rsid w:val="00E62A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62AE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62AE8"/>
    <w:pPr>
      <w:spacing w:before="122" w:line="240" w:lineRule="auto"/>
      <w:ind w:left="1985" w:hanging="851"/>
    </w:pPr>
    <w:rPr>
      <w:sz w:val="18"/>
    </w:rPr>
  </w:style>
  <w:style w:type="paragraph" w:customStyle="1" w:styleId="FreeForm">
    <w:name w:val="FreeForm"/>
    <w:rsid w:val="00E62AE8"/>
    <w:rPr>
      <w:rFonts w:ascii="Arial" w:hAnsi="Arial"/>
      <w:sz w:val="22"/>
    </w:rPr>
  </w:style>
  <w:style w:type="paragraph" w:customStyle="1" w:styleId="SOText">
    <w:name w:val="SO Text"/>
    <w:aliases w:val="sot"/>
    <w:link w:val="SOTextChar"/>
    <w:rsid w:val="00E62A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62AE8"/>
    <w:rPr>
      <w:sz w:val="22"/>
    </w:rPr>
  </w:style>
  <w:style w:type="paragraph" w:customStyle="1" w:styleId="SOTextNote">
    <w:name w:val="SO TextNote"/>
    <w:aliases w:val="sont"/>
    <w:basedOn w:val="SOText"/>
    <w:qFormat/>
    <w:rsid w:val="00E62AE8"/>
    <w:pPr>
      <w:spacing w:before="122" w:line="198" w:lineRule="exact"/>
      <w:ind w:left="1843" w:hanging="709"/>
    </w:pPr>
    <w:rPr>
      <w:sz w:val="18"/>
    </w:rPr>
  </w:style>
  <w:style w:type="paragraph" w:customStyle="1" w:styleId="SOPara">
    <w:name w:val="SO Para"/>
    <w:aliases w:val="soa"/>
    <w:basedOn w:val="SOText"/>
    <w:link w:val="SOParaChar"/>
    <w:qFormat/>
    <w:rsid w:val="00E62AE8"/>
    <w:pPr>
      <w:tabs>
        <w:tab w:val="right" w:pos="1786"/>
      </w:tabs>
      <w:spacing w:before="40"/>
      <w:ind w:left="2070" w:hanging="936"/>
    </w:pPr>
  </w:style>
  <w:style w:type="character" w:customStyle="1" w:styleId="SOParaChar">
    <w:name w:val="SO Para Char"/>
    <w:aliases w:val="soa Char"/>
    <w:basedOn w:val="DefaultParagraphFont"/>
    <w:link w:val="SOPara"/>
    <w:rsid w:val="00E62AE8"/>
    <w:rPr>
      <w:sz w:val="22"/>
    </w:rPr>
  </w:style>
  <w:style w:type="paragraph" w:customStyle="1" w:styleId="FileName">
    <w:name w:val="FileName"/>
    <w:basedOn w:val="Normal"/>
    <w:rsid w:val="00E62AE8"/>
  </w:style>
  <w:style w:type="paragraph" w:customStyle="1" w:styleId="TableHeading">
    <w:name w:val="TableHeading"/>
    <w:aliases w:val="th"/>
    <w:basedOn w:val="OPCParaBase"/>
    <w:next w:val="Tabletext"/>
    <w:rsid w:val="00E62AE8"/>
    <w:pPr>
      <w:keepNext/>
      <w:spacing w:before="60" w:line="240" w:lineRule="atLeast"/>
    </w:pPr>
    <w:rPr>
      <w:b/>
      <w:sz w:val="20"/>
    </w:rPr>
  </w:style>
  <w:style w:type="paragraph" w:customStyle="1" w:styleId="SOHeadBold">
    <w:name w:val="SO HeadBold"/>
    <w:aliases w:val="sohb"/>
    <w:basedOn w:val="SOText"/>
    <w:next w:val="SOText"/>
    <w:link w:val="SOHeadBoldChar"/>
    <w:qFormat/>
    <w:rsid w:val="00E62AE8"/>
    <w:rPr>
      <w:b/>
    </w:rPr>
  </w:style>
  <w:style w:type="character" w:customStyle="1" w:styleId="SOHeadBoldChar">
    <w:name w:val="SO HeadBold Char"/>
    <w:aliases w:val="sohb Char"/>
    <w:basedOn w:val="DefaultParagraphFont"/>
    <w:link w:val="SOHeadBold"/>
    <w:rsid w:val="00E62AE8"/>
    <w:rPr>
      <w:b/>
      <w:sz w:val="22"/>
    </w:rPr>
  </w:style>
  <w:style w:type="paragraph" w:customStyle="1" w:styleId="SOHeadItalic">
    <w:name w:val="SO HeadItalic"/>
    <w:aliases w:val="sohi"/>
    <w:basedOn w:val="SOText"/>
    <w:next w:val="SOText"/>
    <w:link w:val="SOHeadItalicChar"/>
    <w:qFormat/>
    <w:rsid w:val="00E62AE8"/>
    <w:rPr>
      <w:i/>
    </w:rPr>
  </w:style>
  <w:style w:type="character" w:customStyle="1" w:styleId="SOHeadItalicChar">
    <w:name w:val="SO HeadItalic Char"/>
    <w:aliases w:val="sohi Char"/>
    <w:basedOn w:val="DefaultParagraphFont"/>
    <w:link w:val="SOHeadItalic"/>
    <w:rsid w:val="00E62AE8"/>
    <w:rPr>
      <w:i/>
      <w:sz w:val="22"/>
    </w:rPr>
  </w:style>
  <w:style w:type="paragraph" w:customStyle="1" w:styleId="SOBullet">
    <w:name w:val="SO Bullet"/>
    <w:aliases w:val="sotb"/>
    <w:basedOn w:val="SOText"/>
    <w:link w:val="SOBulletChar"/>
    <w:qFormat/>
    <w:rsid w:val="00E62AE8"/>
    <w:pPr>
      <w:ind w:left="1559" w:hanging="425"/>
    </w:pPr>
  </w:style>
  <w:style w:type="character" w:customStyle="1" w:styleId="SOBulletChar">
    <w:name w:val="SO Bullet Char"/>
    <w:aliases w:val="sotb Char"/>
    <w:basedOn w:val="DefaultParagraphFont"/>
    <w:link w:val="SOBullet"/>
    <w:rsid w:val="00E62AE8"/>
    <w:rPr>
      <w:sz w:val="22"/>
    </w:rPr>
  </w:style>
  <w:style w:type="paragraph" w:customStyle="1" w:styleId="SOBulletNote">
    <w:name w:val="SO BulletNote"/>
    <w:aliases w:val="sonb"/>
    <w:basedOn w:val="SOTextNote"/>
    <w:link w:val="SOBulletNoteChar"/>
    <w:qFormat/>
    <w:rsid w:val="00E62AE8"/>
    <w:pPr>
      <w:tabs>
        <w:tab w:val="left" w:pos="1560"/>
      </w:tabs>
      <w:ind w:left="2268" w:hanging="1134"/>
    </w:pPr>
  </w:style>
  <w:style w:type="character" w:customStyle="1" w:styleId="SOBulletNoteChar">
    <w:name w:val="SO BulletNote Char"/>
    <w:aliases w:val="sonb Char"/>
    <w:basedOn w:val="DefaultParagraphFont"/>
    <w:link w:val="SOBulletNote"/>
    <w:rsid w:val="00E62AE8"/>
    <w:rPr>
      <w:sz w:val="18"/>
    </w:rPr>
  </w:style>
  <w:style w:type="paragraph" w:customStyle="1" w:styleId="SOText2">
    <w:name w:val="SO Text2"/>
    <w:aliases w:val="sot2"/>
    <w:basedOn w:val="Normal"/>
    <w:next w:val="SOText"/>
    <w:link w:val="SOText2Char"/>
    <w:rsid w:val="00E62A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62AE8"/>
    <w:rPr>
      <w:sz w:val="22"/>
    </w:rPr>
  </w:style>
  <w:style w:type="paragraph" w:customStyle="1" w:styleId="SubPartCASA">
    <w:name w:val="SubPart(CASA)"/>
    <w:aliases w:val="csp"/>
    <w:basedOn w:val="OPCParaBase"/>
    <w:next w:val="ActHead3"/>
    <w:rsid w:val="00E62AE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62AE8"/>
    <w:rPr>
      <w:rFonts w:eastAsia="Times New Roman" w:cs="Times New Roman"/>
      <w:sz w:val="22"/>
      <w:lang w:eastAsia="en-AU"/>
    </w:rPr>
  </w:style>
  <w:style w:type="character" w:customStyle="1" w:styleId="notetextChar">
    <w:name w:val="note(text) Char"/>
    <w:aliases w:val="n Char"/>
    <w:basedOn w:val="DefaultParagraphFont"/>
    <w:link w:val="notetext"/>
    <w:rsid w:val="00E62AE8"/>
    <w:rPr>
      <w:rFonts w:eastAsia="Times New Roman" w:cs="Times New Roman"/>
      <w:sz w:val="18"/>
      <w:lang w:eastAsia="en-AU"/>
    </w:rPr>
  </w:style>
  <w:style w:type="character" w:customStyle="1" w:styleId="Heading1Char">
    <w:name w:val="Heading 1 Char"/>
    <w:basedOn w:val="DefaultParagraphFont"/>
    <w:link w:val="Heading1"/>
    <w:uiPriority w:val="9"/>
    <w:rsid w:val="00E62A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2A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62AE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E62AE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E62AE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E62AE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E62A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E62AE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E62AE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E62AE8"/>
  </w:style>
  <w:style w:type="character" w:customStyle="1" w:styleId="charlegsubtitle1">
    <w:name w:val="charlegsubtitle1"/>
    <w:basedOn w:val="DefaultParagraphFont"/>
    <w:rsid w:val="00E62AE8"/>
    <w:rPr>
      <w:rFonts w:ascii="Arial" w:hAnsi="Arial" w:cs="Arial" w:hint="default"/>
      <w:b/>
      <w:bCs/>
      <w:sz w:val="28"/>
      <w:szCs w:val="28"/>
    </w:rPr>
  </w:style>
  <w:style w:type="paragraph" w:styleId="Index1">
    <w:name w:val="index 1"/>
    <w:basedOn w:val="Normal"/>
    <w:next w:val="Normal"/>
    <w:autoRedefine/>
    <w:rsid w:val="00E62AE8"/>
    <w:pPr>
      <w:ind w:left="240" w:hanging="240"/>
    </w:pPr>
  </w:style>
  <w:style w:type="paragraph" w:styleId="Index2">
    <w:name w:val="index 2"/>
    <w:basedOn w:val="Normal"/>
    <w:next w:val="Normal"/>
    <w:autoRedefine/>
    <w:rsid w:val="00E62AE8"/>
    <w:pPr>
      <w:ind w:left="480" w:hanging="240"/>
    </w:pPr>
  </w:style>
  <w:style w:type="paragraph" w:styleId="Index3">
    <w:name w:val="index 3"/>
    <w:basedOn w:val="Normal"/>
    <w:next w:val="Normal"/>
    <w:autoRedefine/>
    <w:rsid w:val="00E62AE8"/>
    <w:pPr>
      <w:ind w:left="720" w:hanging="240"/>
    </w:pPr>
  </w:style>
  <w:style w:type="paragraph" w:styleId="Index4">
    <w:name w:val="index 4"/>
    <w:basedOn w:val="Normal"/>
    <w:next w:val="Normal"/>
    <w:autoRedefine/>
    <w:rsid w:val="00E62AE8"/>
    <w:pPr>
      <w:ind w:left="960" w:hanging="240"/>
    </w:pPr>
  </w:style>
  <w:style w:type="paragraph" w:styleId="Index5">
    <w:name w:val="index 5"/>
    <w:basedOn w:val="Normal"/>
    <w:next w:val="Normal"/>
    <w:autoRedefine/>
    <w:rsid w:val="00E62AE8"/>
    <w:pPr>
      <w:ind w:left="1200" w:hanging="240"/>
    </w:pPr>
  </w:style>
  <w:style w:type="paragraph" w:styleId="Index6">
    <w:name w:val="index 6"/>
    <w:basedOn w:val="Normal"/>
    <w:next w:val="Normal"/>
    <w:autoRedefine/>
    <w:rsid w:val="00E62AE8"/>
    <w:pPr>
      <w:ind w:left="1440" w:hanging="240"/>
    </w:pPr>
  </w:style>
  <w:style w:type="paragraph" w:styleId="Index7">
    <w:name w:val="index 7"/>
    <w:basedOn w:val="Normal"/>
    <w:next w:val="Normal"/>
    <w:autoRedefine/>
    <w:rsid w:val="00E62AE8"/>
    <w:pPr>
      <w:ind w:left="1680" w:hanging="240"/>
    </w:pPr>
  </w:style>
  <w:style w:type="paragraph" w:styleId="Index8">
    <w:name w:val="index 8"/>
    <w:basedOn w:val="Normal"/>
    <w:next w:val="Normal"/>
    <w:autoRedefine/>
    <w:rsid w:val="00E62AE8"/>
    <w:pPr>
      <w:ind w:left="1920" w:hanging="240"/>
    </w:pPr>
  </w:style>
  <w:style w:type="paragraph" w:styleId="Index9">
    <w:name w:val="index 9"/>
    <w:basedOn w:val="Normal"/>
    <w:next w:val="Normal"/>
    <w:autoRedefine/>
    <w:rsid w:val="00E62AE8"/>
    <w:pPr>
      <w:ind w:left="2160" w:hanging="240"/>
    </w:pPr>
  </w:style>
  <w:style w:type="paragraph" w:styleId="NormalIndent">
    <w:name w:val="Normal Indent"/>
    <w:basedOn w:val="Normal"/>
    <w:rsid w:val="00E62AE8"/>
    <w:pPr>
      <w:ind w:left="720"/>
    </w:pPr>
  </w:style>
  <w:style w:type="paragraph" w:styleId="FootnoteText">
    <w:name w:val="footnote text"/>
    <w:basedOn w:val="Normal"/>
    <w:link w:val="FootnoteTextChar"/>
    <w:rsid w:val="00E62AE8"/>
    <w:rPr>
      <w:sz w:val="20"/>
    </w:rPr>
  </w:style>
  <w:style w:type="character" w:customStyle="1" w:styleId="FootnoteTextChar">
    <w:name w:val="Footnote Text Char"/>
    <w:basedOn w:val="DefaultParagraphFont"/>
    <w:link w:val="FootnoteText"/>
    <w:rsid w:val="00E62AE8"/>
  </w:style>
  <w:style w:type="paragraph" w:styleId="CommentText">
    <w:name w:val="annotation text"/>
    <w:basedOn w:val="Normal"/>
    <w:link w:val="CommentTextChar"/>
    <w:rsid w:val="00E62AE8"/>
    <w:rPr>
      <w:sz w:val="20"/>
    </w:rPr>
  </w:style>
  <w:style w:type="character" w:customStyle="1" w:styleId="CommentTextChar">
    <w:name w:val="Comment Text Char"/>
    <w:basedOn w:val="DefaultParagraphFont"/>
    <w:link w:val="CommentText"/>
    <w:rsid w:val="00E62AE8"/>
  </w:style>
  <w:style w:type="paragraph" w:styleId="IndexHeading">
    <w:name w:val="index heading"/>
    <w:basedOn w:val="Normal"/>
    <w:next w:val="Index1"/>
    <w:rsid w:val="00E62AE8"/>
    <w:rPr>
      <w:rFonts w:ascii="Arial" w:hAnsi="Arial" w:cs="Arial"/>
      <w:b/>
      <w:bCs/>
    </w:rPr>
  </w:style>
  <w:style w:type="paragraph" w:styleId="Caption">
    <w:name w:val="caption"/>
    <w:basedOn w:val="Normal"/>
    <w:next w:val="Normal"/>
    <w:qFormat/>
    <w:rsid w:val="00E62AE8"/>
    <w:pPr>
      <w:spacing w:before="120" w:after="120"/>
    </w:pPr>
    <w:rPr>
      <w:b/>
      <w:bCs/>
      <w:sz w:val="20"/>
    </w:rPr>
  </w:style>
  <w:style w:type="paragraph" w:styleId="TableofFigures">
    <w:name w:val="table of figures"/>
    <w:basedOn w:val="Normal"/>
    <w:next w:val="Normal"/>
    <w:rsid w:val="00E62AE8"/>
    <w:pPr>
      <w:ind w:left="480" w:hanging="480"/>
    </w:pPr>
  </w:style>
  <w:style w:type="paragraph" w:styleId="EnvelopeAddress">
    <w:name w:val="envelope address"/>
    <w:basedOn w:val="Normal"/>
    <w:rsid w:val="00E62AE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62AE8"/>
    <w:rPr>
      <w:rFonts w:ascii="Arial" w:hAnsi="Arial" w:cs="Arial"/>
      <w:sz w:val="20"/>
    </w:rPr>
  </w:style>
  <w:style w:type="character" w:styleId="FootnoteReference">
    <w:name w:val="footnote reference"/>
    <w:basedOn w:val="DefaultParagraphFont"/>
    <w:rsid w:val="00E62AE8"/>
    <w:rPr>
      <w:rFonts w:ascii="Times New Roman" w:hAnsi="Times New Roman"/>
      <w:sz w:val="20"/>
      <w:vertAlign w:val="superscript"/>
    </w:rPr>
  </w:style>
  <w:style w:type="character" w:styleId="CommentReference">
    <w:name w:val="annotation reference"/>
    <w:basedOn w:val="DefaultParagraphFont"/>
    <w:rsid w:val="00E62AE8"/>
    <w:rPr>
      <w:sz w:val="16"/>
      <w:szCs w:val="16"/>
    </w:rPr>
  </w:style>
  <w:style w:type="character" w:styleId="PageNumber">
    <w:name w:val="page number"/>
    <w:basedOn w:val="DefaultParagraphFont"/>
    <w:rsid w:val="00E62AE8"/>
  </w:style>
  <w:style w:type="character" w:styleId="EndnoteReference">
    <w:name w:val="endnote reference"/>
    <w:basedOn w:val="DefaultParagraphFont"/>
    <w:rsid w:val="00E62AE8"/>
    <w:rPr>
      <w:vertAlign w:val="superscript"/>
    </w:rPr>
  </w:style>
  <w:style w:type="paragraph" w:styleId="EndnoteText">
    <w:name w:val="endnote text"/>
    <w:basedOn w:val="Normal"/>
    <w:link w:val="EndnoteTextChar"/>
    <w:rsid w:val="00E62AE8"/>
    <w:rPr>
      <w:sz w:val="20"/>
    </w:rPr>
  </w:style>
  <w:style w:type="character" w:customStyle="1" w:styleId="EndnoteTextChar">
    <w:name w:val="Endnote Text Char"/>
    <w:basedOn w:val="DefaultParagraphFont"/>
    <w:link w:val="EndnoteText"/>
    <w:rsid w:val="00E62AE8"/>
  </w:style>
  <w:style w:type="paragraph" w:styleId="TableofAuthorities">
    <w:name w:val="table of authorities"/>
    <w:basedOn w:val="Normal"/>
    <w:next w:val="Normal"/>
    <w:rsid w:val="00E62AE8"/>
    <w:pPr>
      <w:ind w:left="240" w:hanging="240"/>
    </w:pPr>
  </w:style>
  <w:style w:type="paragraph" w:styleId="MacroText">
    <w:name w:val="macro"/>
    <w:link w:val="MacroTextChar"/>
    <w:rsid w:val="00E62AE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E62AE8"/>
    <w:rPr>
      <w:rFonts w:ascii="Courier New" w:eastAsia="Times New Roman" w:hAnsi="Courier New" w:cs="Courier New"/>
      <w:lang w:eastAsia="en-AU"/>
    </w:rPr>
  </w:style>
  <w:style w:type="paragraph" w:styleId="TOAHeading">
    <w:name w:val="toa heading"/>
    <w:basedOn w:val="Normal"/>
    <w:next w:val="Normal"/>
    <w:rsid w:val="00E62AE8"/>
    <w:pPr>
      <w:spacing w:before="120"/>
    </w:pPr>
    <w:rPr>
      <w:rFonts w:ascii="Arial" w:hAnsi="Arial" w:cs="Arial"/>
      <w:b/>
      <w:bCs/>
    </w:rPr>
  </w:style>
  <w:style w:type="paragraph" w:styleId="List">
    <w:name w:val="List"/>
    <w:basedOn w:val="Normal"/>
    <w:rsid w:val="00E62AE8"/>
    <w:pPr>
      <w:ind w:left="283" w:hanging="283"/>
    </w:pPr>
  </w:style>
  <w:style w:type="paragraph" w:styleId="ListBullet">
    <w:name w:val="List Bullet"/>
    <w:basedOn w:val="Normal"/>
    <w:autoRedefine/>
    <w:rsid w:val="00E62AE8"/>
    <w:pPr>
      <w:tabs>
        <w:tab w:val="num" w:pos="360"/>
      </w:tabs>
      <w:ind w:left="360" w:hanging="360"/>
    </w:pPr>
  </w:style>
  <w:style w:type="paragraph" w:styleId="ListNumber">
    <w:name w:val="List Number"/>
    <w:basedOn w:val="Normal"/>
    <w:rsid w:val="00E62AE8"/>
    <w:pPr>
      <w:tabs>
        <w:tab w:val="num" w:pos="360"/>
      </w:tabs>
      <w:ind w:left="360" w:hanging="360"/>
    </w:pPr>
  </w:style>
  <w:style w:type="paragraph" w:styleId="List2">
    <w:name w:val="List 2"/>
    <w:basedOn w:val="Normal"/>
    <w:rsid w:val="00E62AE8"/>
    <w:pPr>
      <w:ind w:left="566" w:hanging="283"/>
    </w:pPr>
  </w:style>
  <w:style w:type="paragraph" w:styleId="List3">
    <w:name w:val="List 3"/>
    <w:basedOn w:val="Normal"/>
    <w:rsid w:val="00E62AE8"/>
    <w:pPr>
      <w:ind w:left="849" w:hanging="283"/>
    </w:pPr>
  </w:style>
  <w:style w:type="paragraph" w:styleId="List4">
    <w:name w:val="List 4"/>
    <w:basedOn w:val="Normal"/>
    <w:rsid w:val="00E62AE8"/>
    <w:pPr>
      <w:ind w:left="1132" w:hanging="283"/>
    </w:pPr>
  </w:style>
  <w:style w:type="paragraph" w:styleId="List5">
    <w:name w:val="List 5"/>
    <w:basedOn w:val="Normal"/>
    <w:rsid w:val="00E62AE8"/>
    <w:pPr>
      <w:ind w:left="1415" w:hanging="283"/>
    </w:pPr>
  </w:style>
  <w:style w:type="paragraph" w:styleId="ListBullet2">
    <w:name w:val="List Bullet 2"/>
    <w:basedOn w:val="Normal"/>
    <w:autoRedefine/>
    <w:rsid w:val="00E62AE8"/>
    <w:pPr>
      <w:tabs>
        <w:tab w:val="num" w:pos="360"/>
      </w:tabs>
    </w:pPr>
  </w:style>
  <w:style w:type="paragraph" w:styleId="ListBullet3">
    <w:name w:val="List Bullet 3"/>
    <w:basedOn w:val="Normal"/>
    <w:autoRedefine/>
    <w:rsid w:val="00E62AE8"/>
    <w:pPr>
      <w:tabs>
        <w:tab w:val="num" w:pos="926"/>
      </w:tabs>
      <w:ind w:left="926" w:hanging="360"/>
    </w:pPr>
  </w:style>
  <w:style w:type="paragraph" w:styleId="ListBullet4">
    <w:name w:val="List Bullet 4"/>
    <w:basedOn w:val="Normal"/>
    <w:autoRedefine/>
    <w:rsid w:val="00E62AE8"/>
    <w:pPr>
      <w:tabs>
        <w:tab w:val="num" w:pos="1209"/>
      </w:tabs>
      <w:ind w:left="1209" w:hanging="360"/>
    </w:pPr>
  </w:style>
  <w:style w:type="paragraph" w:styleId="ListBullet5">
    <w:name w:val="List Bullet 5"/>
    <w:basedOn w:val="Normal"/>
    <w:autoRedefine/>
    <w:rsid w:val="00E62AE8"/>
    <w:pPr>
      <w:tabs>
        <w:tab w:val="num" w:pos="1492"/>
      </w:tabs>
      <w:ind w:left="1492" w:hanging="360"/>
    </w:pPr>
  </w:style>
  <w:style w:type="paragraph" w:styleId="ListNumber2">
    <w:name w:val="List Number 2"/>
    <w:basedOn w:val="Normal"/>
    <w:rsid w:val="00E62AE8"/>
    <w:pPr>
      <w:tabs>
        <w:tab w:val="num" w:pos="643"/>
      </w:tabs>
      <w:ind w:left="643" w:hanging="360"/>
    </w:pPr>
  </w:style>
  <w:style w:type="paragraph" w:styleId="ListNumber3">
    <w:name w:val="List Number 3"/>
    <w:basedOn w:val="Normal"/>
    <w:rsid w:val="00E62AE8"/>
    <w:pPr>
      <w:tabs>
        <w:tab w:val="num" w:pos="926"/>
      </w:tabs>
      <w:ind w:left="926" w:hanging="360"/>
    </w:pPr>
  </w:style>
  <w:style w:type="paragraph" w:styleId="ListNumber4">
    <w:name w:val="List Number 4"/>
    <w:basedOn w:val="Normal"/>
    <w:rsid w:val="00E62AE8"/>
    <w:pPr>
      <w:tabs>
        <w:tab w:val="num" w:pos="1209"/>
      </w:tabs>
      <w:ind w:left="1209" w:hanging="360"/>
    </w:pPr>
  </w:style>
  <w:style w:type="paragraph" w:styleId="ListNumber5">
    <w:name w:val="List Number 5"/>
    <w:basedOn w:val="Normal"/>
    <w:rsid w:val="00E62AE8"/>
    <w:pPr>
      <w:tabs>
        <w:tab w:val="num" w:pos="1492"/>
      </w:tabs>
      <w:ind w:left="1492" w:hanging="360"/>
    </w:pPr>
  </w:style>
  <w:style w:type="paragraph" w:styleId="Title">
    <w:name w:val="Title"/>
    <w:basedOn w:val="Normal"/>
    <w:link w:val="TitleChar"/>
    <w:qFormat/>
    <w:rsid w:val="00E62AE8"/>
    <w:pPr>
      <w:spacing w:before="240" w:after="60"/>
    </w:pPr>
    <w:rPr>
      <w:rFonts w:ascii="Arial" w:hAnsi="Arial" w:cs="Arial"/>
      <w:b/>
      <w:bCs/>
      <w:sz w:val="40"/>
      <w:szCs w:val="40"/>
    </w:rPr>
  </w:style>
  <w:style w:type="character" w:customStyle="1" w:styleId="TitleChar">
    <w:name w:val="Title Char"/>
    <w:basedOn w:val="DefaultParagraphFont"/>
    <w:link w:val="Title"/>
    <w:rsid w:val="00E62AE8"/>
    <w:rPr>
      <w:rFonts w:ascii="Arial" w:hAnsi="Arial" w:cs="Arial"/>
      <w:b/>
      <w:bCs/>
      <w:sz w:val="40"/>
      <w:szCs w:val="40"/>
    </w:rPr>
  </w:style>
  <w:style w:type="paragraph" w:styleId="Closing">
    <w:name w:val="Closing"/>
    <w:basedOn w:val="Normal"/>
    <w:link w:val="ClosingChar"/>
    <w:rsid w:val="00E62AE8"/>
    <w:pPr>
      <w:ind w:left="4252"/>
    </w:pPr>
  </w:style>
  <w:style w:type="character" w:customStyle="1" w:styleId="ClosingChar">
    <w:name w:val="Closing Char"/>
    <w:basedOn w:val="DefaultParagraphFont"/>
    <w:link w:val="Closing"/>
    <w:rsid w:val="00E62AE8"/>
    <w:rPr>
      <w:sz w:val="22"/>
    </w:rPr>
  </w:style>
  <w:style w:type="paragraph" w:styleId="Signature">
    <w:name w:val="Signature"/>
    <w:basedOn w:val="Normal"/>
    <w:link w:val="SignatureChar"/>
    <w:rsid w:val="00E62AE8"/>
    <w:pPr>
      <w:ind w:left="4252"/>
    </w:pPr>
  </w:style>
  <w:style w:type="character" w:customStyle="1" w:styleId="SignatureChar">
    <w:name w:val="Signature Char"/>
    <w:basedOn w:val="DefaultParagraphFont"/>
    <w:link w:val="Signature"/>
    <w:rsid w:val="00E62AE8"/>
    <w:rPr>
      <w:sz w:val="22"/>
    </w:rPr>
  </w:style>
  <w:style w:type="paragraph" w:styleId="BodyText">
    <w:name w:val="Body Text"/>
    <w:basedOn w:val="Normal"/>
    <w:link w:val="BodyTextChar"/>
    <w:rsid w:val="00E62AE8"/>
    <w:pPr>
      <w:spacing w:after="120"/>
    </w:pPr>
  </w:style>
  <w:style w:type="character" w:customStyle="1" w:styleId="BodyTextChar">
    <w:name w:val="Body Text Char"/>
    <w:basedOn w:val="DefaultParagraphFont"/>
    <w:link w:val="BodyText"/>
    <w:rsid w:val="00E62AE8"/>
    <w:rPr>
      <w:sz w:val="22"/>
    </w:rPr>
  </w:style>
  <w:style w:type="paragraph" w:styleId="BodyTextIndent">
    <w:name w:val="Body Text Indent"/>
    <w:basedOn w:val="Normal"/>
    <w:link w:val="BodyTextIndentChar"/>
    <w:rsid w:val="00E62AE8"/>
    <w:pPr>
      <w:spacing w:after="120"/>
      <w:ind w:left="283"/>
    </w:pPr>
  </w:style>
  <w:style w:type="character" w:customStyle="1" w:styleId="BodyTextIndentChar">
    <w:name w:val="Body Text Indent Char"/>
    <w:basedOn w:val="DefaultParagraphFont"/>
    <w:link w:val="BodyTextIndent"/>
    <w:rsid w:val="00E62AE8"/>
    <w:rPr>
      <w:sz w:val="22"/>
    </w:rPr>
  </w:style>
  <w:style w:type="paragraph" w:styleId="ListContinue">
    <w:name w:val="List Continue"/>
    <w:basedOn w:val="Normal"/>
    <w:rsid w:val="00E62AE8"/>
    <w:pPr>
      <w:spacing w:after="120"/>
      <w:ind w:left="283"/>
    </w:pPr>
  </w:style>
  <w:style w:type="paragraph" w:styleId="ListContinue2">
    <w:name w:val="List Continue 2"/>
    <w:basedOn w:val="Normal"/>
    <w:rsid w:val="00E62AE8"/>
    <w:pPr>
      <w:spacing w:after="120"/>
      <w:ind w:left="566"/>
    </w:pPr>
  </w:style>
  <w:style w:type="paragraph" w:styleId="ListContinue3">
    <w:name w:val="List Continue 3"/>
    <w:basedOn w:val="Normal"/>
    <w:rsid w:val="00E62AE8"/>
    <w:pPr>
      <w:spacing w:after="120"/>
      <w:ind w:left="849"/>
    </w:pPr>
  </w:style>
  <w:style w:type="paragraph" w:styleId="ListContinue4">
    <w:name w:val="List Continue 4"/>
    <w:basedOn w:val="Normal"/>
    <w:rsid w:val="00E62AE8"/>
    <w:pPr>
      <w:spacing w:after="120"/>
      <w:ind w:left="1132"/>
    </w:pPr>
  </w:style>
  <w:style w:type="paragraph" w:styleId="ListContinue5">
    <w:name w:val="List Continue 5"/>
    <w:basedOn w:val="Normal"/>
    <w:rsid w:val="00E62AE8"/>
    <w:pPr>
      <w:spacing w:after="120"/>
      <w:ind w:left="1415"/>
    </w:pPr>
  </w:style>
  <w:style w:type="paragraph" w:styleId="MessageHeader">
    <w:name w:val="Message Header"/>
    <w:basedOn w:val="Normal"/>
    <w:link w:val="MessageHeaderChar"/>
    <w:rsid w:val="00E62AE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E62AE8"/>
    <w:rPr>
      <w:rFonts w:ascii="Arial" w:hAnsi="Arial" w:cs="Arial"/>
      <w:sz w:val="22"/>
      <w:shd w:val="pct20" w:color="auto" w:fill="auto"/>
    </w:rPr>
  </w:style>
  <w:style w:type="paragraph" w:styleId="Subtitle">
    <w:name w:val="Subtitle"/>
    <w:basedOn w:val="Normal"/>
    <w:link w:val="SubtitleChar"/>
    <w:qFormat/>
    <w:rsid w:val="00E62AE8"/>
    <w:pPr>
      <w:spacing w:after="60"/>
      <w:jc w:val="center"/>
      <w:outlineLvl w:val="1"/>
    </w:pPr>
    <w:rPr>
      <w:rFonts w:ascii="Arial" w:hAnsi="Arial" w:cs="Arial"/>
    </w:rPr>
  </w:style>
  <w:style w:type="character" w:customStyle="1" w:styleId="SubtitleChar">
    <w:name w:val="Subtitle Char"/>
    <w:basedOn w:val="DefaultParagraphFont"/>
    <w:link w:val="Subtitle"/>
    <w:rsid w:val="00E62AE8"/>
    <w:rPr>
      <w:rFonts w:ascii="Arial" w:hAnsi="Arial" w:cs="Arial"/>
      <w:sz w:val="22"/>
    </w:rPr>
  </w:style>
  <w:style w:type="paragraph" w:styleId="Salutation">
    <w:name w:val="Salutation"/>
    <w:basedOn w:val="Normal"/>
    <w:next w:val="Normal"/>
    <w:link w:val="SalutationChar"/>
    <w:rsid w:val="00E62AE8"/>
  </w:style>
  <w:style w:type="character" w:customStyle="1" w:styleId="SalutationChar">
    <w:name w:val="Salutation Char"/>
    <w:basedOn w:val="DefaultParagraphFont"/>
    <w:link w:val="Salutation"/>
    <w:rsid w:val="00E62AE8"/>
    <w:rPr>
      <w:sz w:val="22"/>
    </w:rPr>
  </w:style>
  <w:style w:type="paragraph" w:styleId="Date">
    <w:name w:val="Date"/>
    <w:basedOn w:val="Normal"/>
    <w:next w:val="Normal"/>
    <w:link w:val="DateChar"/>
    <w:rsid w:val="00E62AE8"/>
  </w:style>
  <w:style w:type="character" w:customStyle="1" w:styleId="DateChar">
    <w:name w:val="Date Char"/>
    <w:basedOn w:val="DefaultParagraphFont"/>
    <w:link w:val="Date"/>
    <w:rsid w:val="00E62AE8"/>
    <w:rPr>
      <w:sz w:val="22"/>
    </w:rPr>
  </w:style>
  <w:style w:type="paragraph" w:styleId="BodyTextFirstIndent">
    <w:name w:val="Body Text First Indent"/>
    <w:basedOn w:val="BodyText"/>
    <w:link w:val="BodyTextFirstIndentChar"/>
    <w:rsid w:val="00E62AE8"/>
    <w:pPr>
      <w:ind w:firstLine="210"/>
    </w:pPr>
  </w:style>
  <w:style w:type="character" w:customStyle="1" w:styleId="BodyTextFirstIndentChar">
    <w:name w:val="Body Text First Indent Char"/>
    <w:basedOn w:val="BodyTextChar"/>
    <w:link w:val="BodyTextFirstIndent"/>
    <w:rsid w:val="00E62AE8"/>
    <w:rPr>
      <w:sz w:val="22"/>
    </w:rPr>
  </w:style>
  <w:style w:type="paragraph" w:styleId="BodyTextFirstIndent2">
    <w:name w:val="Body Text First Indent 2"/>
    <w:basedOn w:val="BodyTextIndent"/>
    <w:link w:val="BodyTextFirstIndent2Char"/>
    <w:rsid w:val="00E62AE8"/>
    <w:pPr>
      <w:ind w:firstLine="210"/>
    </w:pPr>
  </w:style>
  <w:style w:type="character" w:customStyle="1" w:styleId="BodyTextFirstIndent2Char">
    <w:name w:val="Body Text First Indent 2 Char"/>
    <w:basedOn w:val="BodyTextIndentChar"/>
    <w:link w:val="BodyTextFirstIndent2"/>
    <w:rsid w:val="00E62AE8"/>
    <w:rPr>
      <w:sz w:val="22"/>
    </w:rPr>
  </w:style>
  <w:style w:type="paragraph" w:styleId="BodyText2">
    <w:name w:val="Body Text 2"/>
    <w:basedOn w:val="Normal"/>
    <w:link w:val="BodyText2Char"/>
    <w:rsid w:val="00E62AE8"/>
    <w:pPr>
      <w:spacing w:after="120" w:line="480" w:lineRule="auto"/>
    </w:pPr>
  </w:style>
  <w:style w:type="character" w:customStyle="1" w:styleId="BodyText2Char">
    <w:name w:val="Body Text 2 Char"/>
    <w:basedOn w:val="DefaultParagraphFont"/>
    <w:link w:val="BodyText2"/>
    <w:rsid w:val="00E62AE8"/>
    <w:rPr>
      <w:sz w:val="22"/>
    </w:rPr>
  </w:style>
  <w:style w:type="paragraph" w:styleId="BodyText3">
    <w:name w:val="Body Text 3"/>
    <w:basedOn w:val="Normal"/>
    <w:link w:val="BodyText3Char"/>
    <w:rsid w:val="00E62AE8"/>
    <w:pPr>
      <w:spacing w:after="120"/>
    </w:pPr>
    <w:rPr>
      <w:sz w:val="16"/>
      <w:szCs w:val="16"/>
    </w:rPr>
  </w:style>
  <w:style w:type="character" w:customStyle="1" w:styleId="BodyText3Char">
    <w:name w:val="Body Text 3 Char"/>
    <w:basedOn w:val="DefaultParagraphFont"/>
    <w:link w:val="BodyText3"/>
    <w:rsid w:val="00E62AE8"/>
    <w:rPr>
      <w:sz w:val="16"/>
      <w:szCs w:val="16"/>
    </w:rPr>
  </w:style>
  <w:style w:type="paragraph" w:styleId="BodyTextIndent2">
    <w:name w:val="Body Text Indent 2"/>
    <w:basedOn w:val="Normal"/>
    <w:link w:val="BodyTextIndent2Char"/>
    <w:rsid w:val="00E62AE8"/>
    <w:pPr>
      <w:spacing w:after="120" w:line="480" w:lineRule="auto"/>
      <w:ind w:left="283"/>
    </w:pPr>
  </w:style>
  <w:style w:type="character" w:customStyle="1" w:styleId="BodyTextIndent2Char">
    <w:name w:val="Body Text Indent 2 Char"/>
    <w:basedOn w:val="DefaultParagraphFont"/>
    <w:link w:val="BodyTextIndent2"/>
    <w:rsid w:val="00E62AE8"/>
    <w:rPr>
      <w:sz w:val="22"/>
    </w:rPr>
  </w:style>
  <w:style w:type="paragraph" w:styleId="BodyTextIndent3">
    <w:name w:val="Body Text Indent 3"/>
    <w:basedOn w:val="Normal"/>
    <w:link w:val="BodyTextIndent3Char"/>
    <w:rsid w:val="00E62AE8"/>
    <w:pPr>
      <w:spacing w:after="120"/>
      <w:ind w:left="283"/>
    </w:pPr>
    <w:rPr>
      <w:sz w:val="16"/>
      <w:szCs w:val="16"/>
    </w:rPr>
  </w:style>
  <w:style w:type="character" w:customStyle="1" w:styleId="BodyTextIndent3Char">
    <w:name w:val="Body Text Indent 3 Char"/>
    <w:basedOn w:val="DefaultParagraphFont"/>
    <w:link w:val="BodyTextIndent3"/>
    <w:rsid w:val="00E62AE8"/>
    <w:rPr>
      <w:sz w:val="16"/>
      <w:szCs w:val="16"/>
    </w:rPr>
  </w:style>
  <w:style w:type="paragraph" w:styleId="BlockText">
    <w:name w:val="Block Text"/>
    <w:basedOn w:val="Normal"/>
    <w:rsid w:val="00E62AE8"/>
    <w:pPr>
      <w:spacing w:after="120"/>
      <w:ind w:left="1440" w:right="1440"/>
    </w:pPr>
  </w:style>
  <w:style w:type="character" w:styleId="Hyperlink">
    <w:name w:val="Hyperlink"/>
    <w:basedOn w:val="DefaultParagraphFont"/>
    <w:rsid w:val="00E62AE8"/>
    <w:rPr>
      <w:color w:val="0000FF"/>
      <w:u w:val="single"/>
    </w:rPr>
  </w:style>
  <w:style w:type="character" w:styleId="FollowedHyperlink">
    <w:name w:val="FollowedHyperlink"/>
    <w:basedOn w:val="DefaultParagraphFont"/>
    <w:rsid w:val="00E62AE8"/>
    <w:rPr>
      <w:color w:val="800080"/>
      <w:u w:val="single"/>
    </w:rPr>
  </w:style>
  <w:style w:type="character" w:styleId="Strong">
    <w:name w:val="Strong"/>
    <w:basedOn w:val="DefaultParagraphFont"/>
    <w:qFormat/>
    <w:rsid w:val="00E62AE8"/>
    <w:rPr>
      <w:b/>
      <w:bCs/>
    </w:rPr>
  </w:style>
  <w:style w:type="character" w:styleId="Emphasis">
    <w:name w:val="Emphasis"/>
    <w:basedOn w:val="DefaultParagraphFont"/>
    <w:qFormat/>
    <w:rsid w:val="00E62AE8"/>
    <w:rPr>
      <w:i/>
      <w:iCs/>
    </w:rPr>
  </w:style>
  <w:style w:type="paragraph" w:styleId="DocumentMap">
    <w:name w:val="Document Map"/>
    <w:basedOn w:val="Normal"/>
    <w:link w:val="DocumentMapChar"/>
    <w:rsid w:val="00E62AE8"/>
    <w:pPr>
      <w:shd w:val="clear" w:color="auto" w:fill="000080"/>
    </w:pPr>
    <w:rPr>
      <w:rFonts w:ascii="Tahoma" w:hAnsi="Tahoma" w:cs="Tahoma"/>
    </w:rPr>
  </w:style>
  <w:style w:type="character" w:customStyle="1" w:styleId="DocumentMapChar">
    <w:name w:val="Document Map Char"/>
    <w:basedOn w:val="DefaultParagraphFont"/>
    <w:link w:val="DocumentMap"/>
    <w:rsid w:val="00E62AE8"/>
    <w:rPr>
      <w:rFonts w:ascii="Tahoma" w:hAnsi="Tahoma" w:cs="Tahoma"/>
      <w:sz w:val="22"/>
      <w:shd w:val="clear" w:color="auto" w:fill="000080"/>
    </w:rPr>
  </w:style>
  <w:style w:type="paragraph" w:styleId="PlainText">
    <w:name w:val="Plain Text"/>
    <w:basedOn w:val="Normal"/>
    <w:link w:val="PlainTextChar"/>
    <w:rsid w:val="00E62AE8"/>
    <w:rPr>
      <w:rFonts w:ascii="Courier New" w:hAnsi="Courier New" w:cs="Courier New"/>
      <w:sz w:val="20"/>
    </w:rPr>
  </w:style>
  <w:style w:type="character" w:customStyle="1" w:styleId="PlainTextChar">
    <w:name w:val="Plain Text Char"/>
    <w:basedOn w:val="DefaultParagraphFont"/>
    <w:link w:val="PlainText"/>
    <w:rsid w:val="00E62AE8"/>
    <w:rPr>
      <w:rFonts w:ascii="Courier New" w:hAnsi="Courier New" w:cs="Courier New"/>
    </w:rPr>
  </w:style>
  <w:style w:type="paragraph" w:styleId="E-mailSignature">
    <w:name w:val="E-mail Signature"/>
    <w:basedOn w:val="Normal"/>
    <w:link w:val="E-mailSignatureChar"/>
    <w:rsid w:val="00E62AE8"/>
  </w:style>
  <w:style w:type="character" w:customStyle="1" w:styleId="E-mailSignatureChar">
    <w:name w:val="E-mail Signature Char"/>
    <w:basedOn w:val="DefaultParagraphFont"/>
    <w:link w:val="E-mailSignature"/>
    <w:rsid w:val="00E62AE8"/>
    <w:rPr>
      <w:sz w:val="22"/>
    </w:rPr>
  </w:style>
  <w:style w:type="paragraph" w:styleId="NormalWeb">
    <w:name w:val="Normal (Web)"/>
    <w:basedOn w:val="Normal"/>
    <w:rsid w:val="00E62AE8"/>
  </w:style>
  <w:style w:type="character" w:styleId="HTMLAcronym">
    <w:name w:val="HTML Acronym"/>
    <w:basedOn w:val="DefaultParagraphFont"/>
    <w:rsid w:val="00E62AE8"/>
  </w:style>
  <w:style w:type="paragraph" w:styleId="HTMLAddress">
    <w:name w:val="HTML Address"/>
    <w:basedOn w:val="Normal"/>
    <w:link w:val="HTMLAddressChar"/>
    <w:rsid w:val="00E62AE8"/>
    <w:rPr>
      <w:i/>
      <w:iCs/>
    </w:rPr>
  </w:style>
  <w:style w:type="character" w:customStyle="1" w:styleId="HTMLAddressChar">
    <w:name w:val="HTML Address Char"/>
    <w:basedOn w:val="DefaultParagraphFont"/>
    <w:link w:val="HTMLAddress"/>
    <w:rsid w:val="00E62AE8"/>
    <w:rPr>
      <w:i/>
      <w:iCs/>
      <w:sz w:val="22"/>
    </w:rPr>
  </w:style>
  <w:style w:type="character" w:styleId="HTMLCite">
    <w:name w:val="HTML Cite"/>
    <w:basedOn w:val="DefaultParagraphFont"/>
    <w:rsid w:val="00E62AE8"/>
    <w:rPr>
      <w:i/>
      <w:iCs/>
    </w:rPr>
  </w:style>
  <w:style w:type="character" w:styleId="HTMLCode">
    <w:name w:val="HTML Code"/>
    <w:basedOn w:val="DefaultParagraphFont"/>
    <w:rsid w:val="00E62AE8"/>
    <w:rPr>
      <w:rFonts w:ascii="Courier New" w:hAnsi="Courier New" w:cs="Courier New"/>
      <w:sz w:val="20"/>
      <w:szCs w:val="20"/>
    </w:rPr>
  </w:style>
  <w:style w:type="character" w:styleId="HTMLDefinition">
    <w:name w:val="HTML Definition"/>
    <w:basedOn w:val="DefaultParagraphFont"/>
    <w:rsid w:val="00E62AE8"/>
    <w:rPr>
      <w:i/>
      <w:iCs/>
    </w:rPr>
  </w:style>
  <w:style w:type="character" w:styleId="HTMLKeyboard">
    <w:name w:val="HTML Keyboard"/>
    <w:basedOn w:val="DefaultParagraphFont"/>
    <w:rsid w:val="00E62AE8"/>
    <w:rPr>
      <w:rFonts w:ascii="Courier New" w:hAnsi="Courier New" w:cs="Courier New"/>
      <w:sz w:val="20"/>
      <w:szCs w:val="20"/>
    </w:rPr>
  </w:style>
  <w:style w:type="paragraph" w:styleId="HTMLPreformatted">
    <w:name w:val="HTML Preformatted"/>
    <w:basedOn w:val="Normal"/>
    <w:link w:val="HTMLPreformattedChar"/>
    <w:rsid w:val="00E62AE8"/>
    <w:rPr>
      <w:rFonts w:ascii="Courier New" w:hAnsi="Courier New" w:cs="Courier New"/>
      <w:sz w:val="20"/>
    </w:rPr>
  </w:style>
  <w:style w:type="character" w:customStyle="1" w:styleId="HTMLPreformattedChar">
    <w:name w:val="HTML Preformatted Char"/>
    <w:basedOn w:val="DefaultParagraphFont"/>
    <w:link w:val="HTMLPreformatted"/>
    <w:rsid w:val="00E62AE8"/>
    <w:rPr>
      <w:rFonts w:ascii="Courier New" w:hAnsi="Courier New" w:cs="Courier New"/>
    </w:rPr>
  </w:style>
  <w:style w:type="character" w:styleId="HTMLSample">
    <w:name w:val="HTML Sample"/>
    <w:basedOn w:val="DefaultParagraphFont"/>
    <w:rsid w:val="00E62AE8"/>
    <w:rPr>
      <w:rFonts w:ascii="Courier New" w:hAnsi="Courier New" w:cs="Courier New"/>
    </w:rPr>
  </w:style>
  <w:style w:type="character" w:styleId="HTMLTypewriter">
    <w:name w:val="HTML Typewriter"/>
    <w:basedOn w:val="DefaultParagraphFont"/>
    <w:rsid w:val="00E62AE8"/>
    <w:rPr>
      <w:rFonts w:ascii="Courier New" w:hAnsi="Courier New" w:cs="Courier New"/>
      <w:sz w:val="20"/>
      <w:szCs w:val="20"/>
    </w:rPr>
  </w:style>
  <w:style w:type="character" w:styleId="HTMLVariable">
    <w:name w:val="HTML Variable"/>
    <w:basedOn w:val="DefaultParagraphFont"/>
    <w:rsid w:val="00E62AE8"/>
    <w:rPr>
      <w:i/>
      <w:iCs/>
    </w:rPr>
  </w:style>
  <w:style w:type="paragraph" w:styleId="CommentSubject">
    <w:name w:val="annotation subject"/>
    <w:basedOn w:val="CommentText"/>
    <w:next w:val="CommentText"/>
    <w:link w:val="CommentSubjectChar"/>
    <w:rsid w:val="00E62AE8"/>
    <w:rPr>
      <w:b/>
      <w:bCs/>
    </w:rPr>
  </w:style>
  <w:style w:type="character" w:customStyle="1" w:styleId="CommentSubjectChar">
    <w:name w:val="Comment Subject Char"/>
    <w:basedOn w:val="CommentTextChar"/>
    <w:link w:val="CommentSubject"/>
    <w:rsid w:val="00E62AE8"/>
    <w:rPr>
      <w:b/>
      <w:bCs/>
    </w:rPr>
  </w:style>
  <w:style w:type="numbering" w:styleId="1ai">
    <w:name w:val="Outline List 1"/>
    <w:basedOn w:val="NoList"/>
    <w:rsid w:val="00E62AE8"/>
    <w:pPr>
      <w:numPr>
        <w:numId w:val="14"/>
      </w:numPr>
    </w:pPr>
  </w:style>
  <w:style w:type="numbering" w:styleId="111111">
    <w:name w:val="Outline List 2"/>
    <w:basedOn w:val="NoList"/>
    <w:rsid w:val="00E62AE8"/>
    <w:pPr>
      <w:numPr>
        <w:numId w:val="15"/>
      </w:numPr>
    </w:pPr>
  </w:style>
  <w:style w:type="numbering" w:styleId="ArticleSection">
    <w:name w:val="Outline List 3"/>
    <w:basedOn w:val="NoList"/>
    <w:rsid w:val="00E62AE8"/>
    <w:pPr>
      <w:numPr>
        <w:numId w:val="17"/>
      </w:numPr>
    </w:pPr>
  </w:style>
  <w:style w:type="table" w:styleId="TableSimple1">
    <w:name w:val="Table Simple 1"/>
    <w:basedOn w:val="TableNormal"/>
    <w:rsid w:val="00E62AE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62AE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62A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E62A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62AE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62AE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62AE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62AE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62AE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62AE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62AE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62AE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62AE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62AE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62AE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E62A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62AE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62AE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62AE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62A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62A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62AE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62AE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62AE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62AE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62AE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62AE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62A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62A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62AE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62AE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E62AE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62AE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62AE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E62AE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62AE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E62AE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62AE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62AE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E62AE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62AE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62AE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E62AE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E62AE8"/>
    <w:rPr>
      <w:rFonts w:eastAsia="Times New Roman" w:cs="Times New Roman"/>
      <w:b/>
      <w:kern w:val="28"/>
      <w:sz w:val="24"/>
      <w:lang w:eastAsia="en-AU"/>
    </w:rPr>
  </w:style>
  <w:style w:type="character" w:customStyle="1" w:styleId="paragraphChar">
    <w:name w:val="paragraph Char"/>
    <w:aliases w:val="a Char"/>
    <w:link w:val="paragraph"/>
    <w:rsid w:val="009D6BF1"/>
    <w:rPr>
      <w:rFonts w:eastAsia="Times New Roman" w:cs="Times New Roman"/>
      <w:sz w:val="22"/>
      <w:lang w:eastAsia="en-AU"/>
    </w:rPr>
  </w:style>
  <w:style w:type="character" w:customStyle="1" w:styleId="paragraphsubChar">
    <w:name w:val="paragraph(sub) Char"/>
    <w:aliases w:val="aa Char"/>
    <w:link w:val="paragraphsub"/>
    <w:rsid w:val="009D6BF1"/>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4659">
      <w:bodyDiv w:val="1"/>
      <w:marLeft w:val="0"/>
      <w:marRight w:val="0"/>
      <w:marTop w:val="0"/>
      <w:marBottom w:val="0"/>
      <w:divBdr>
        <w:top w:val="none" w:sz="0" w:space="0" w:color="auto"/>
        <w:left w:val="none" w:sz="0" w:space="0" w:color="auto"/>
        <w:bottom w:val="none" w:sz="0" w:space="0" w:color="auto"/>
        <w:right w:val="none" w:sz="0" w:space="0" w:color="auto"/>
      </w:divBdr>
    </w:div>
    <w:div w:id="146383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9</Pages>
  <Words>1601</Words>
  <Characters>7894</Characters>
  <Application>Microsoft Office Word</Application>
  <DocSecurity>0</DocSecurity>
  <PresentationFormat/>
  <Lines>657</Lines>
  <Paragraphs>296</Paragraphs>
  <ScaleCrop>false</ScaleCrop>
  <HeadingPairs>
    <vt:vector size="2" baseType="variant">
      <vt:variant>
        <vt:lpstr>Title</vt:lpstr>
      </vt:variant>
      <vt:variant>
        <vt:i4>1</vt:i4>
      </vt:variant>
    </vt:vector>
  </HeadingPairs>
  <TitlesOfParts>
    <vt:vector size="1" baseType="lpstr">
      <vt:lpstr>Treasury Laws Amendment (Enhancing Superannuation Outcomes) Regulations 2022</vt:lpstr>
    </vt:vector>
  </TitlesOfParts>
  <Manager/>
  <Company/>
  <LinksUpToDate>false</LinksUpToDate>
  <CharactersWithSpaces>9199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2021-09-17T02:47:00Z</cp:lastPrinted>
  <dcterms:created xsi:type="dcterms:W3CDTF">2022-02-25T03:23:00Z</dcterms:created>
  <dcterms:modified xsi:type="dcterms:W3CDTF">2022-03-03T03:17:00Z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2022</vt:lpwstr>
  </property>
  <property fmtid="{D5CDD505-2E9C-101B-9397-08002B2CF9AE}" pid="3" name="ShortT">
    <vt:lpwstr>Treasury Laws Amendment (Enhancing Superannuation Outcomes)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03 March 2022</vt:lpwstr>
  </property>
  <property fmtid="{D5CDD505-2E9C-101B-9397-08002B2CF9AE}" pid="10" name="ID">
    <vt:lpwstr>OPC65505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03 March 2022</vt:lpwstr>
  </property>
</Properties>
</file>