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51C9D" w14:textId="12C130CA"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15879EA3" w14:textId="03F53FFF"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bookmarkStart w:id="0" w:name="_Hlk86137568"/>
      <w:sdt>
        <w:sdtPr>
          <w:rPr>
            <w:sz w:val="24"/>
            <w:szCs w:val="24"/>
          </w:rPr>
          <w:id w:val="435951383"/>
          <w:placeholder>
            <w:docPart w:val="E51A1FE931AD49AAB273042FB20D4048"/>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EndPr/>
        <w:sdtContent>
          <w:r w:rsidR="00B43472">
            <w:rPr>
              <w:sz w:val="24"/>
              <w:szCs w:val="24"/>
            </w:rPr>
            <w:t>Assistant Treasurer, Minister for Housing and Minister for Homelessness, Social and Community Housing</w:t>
          </w:r>
        </w:sdtContent>
      </w:sdt>
      <w:bookmarkEnd w:id="0"/>
    </w:p>
    <w:p w14:paraId="7A754C6A" w14:textId="77777777" w:rsidR="00EB5070" w:rsidRPr="00EB5070" w:rsidRDefault="00EB5070" w:rsidP="00EB5070">
      <w:pPr>
        <w:pStyle w:val="Heading2"/>
        <w:jc w:val="center"/>
        <w:rPr>
          <w:b w:val="0"/>
          <w:i/>
          <w:sz w:val="24"/>
          <w:u w:val="none"/>
        </w:rPr>
      </w:pPr>
      <w:r w:rsidRPr="00EB5070">
        <w:rPr>
          <w:b w:val="0"/>
          <w:i/>
          <w:sz w:val="24"/>
          <w:u w:val="none"/>
        </w:rPr>
        <w:t>Tax Agent Services Act 2009</w:t>
      </w:r>
    </w:p>
    <w:p w14:paraId="0EDD8066" w14:textId="5E4B571E" w:rsidR="00F109D4" w:rsidRDefault="00EB5070" w:rsidP="00EB5070">
      <w:pPr>
        <w:spacing w:before="240" w:after="240"/>
        <w:jc w:val="center"/>
        <w:rPr>
          <w:i/>
        </w:rPr>
      </w:pPr>
      <w:r w:rsidRPr="00EB5070">
        <w:rPr>
          <w:i/>
        </w:rPr>
        <w:t>Tax Agent Services Regulations 202</w:t>
      </w:r>
      <w:r w:rsidR="00B43472">
        <w:rPr>
          <w:i/>
        </w:rPr>
        <w:t>2</w:t>
      </w:r>
    </w:p>
    <w:p w14:paraId="55AEA674" w14:textId="75AFE1B1" w:rsidR="00EB5070" w:rsidRDefault="00FD6D7B" w:rsidP="008C24DF">
      <w:pPr>
        <w:spacing w:before="240"/>
      </w:pPr>
      <w:bookmarkStart w:id="1" w:name="_Hlk94788855"/>
      <w:bookmarkStart w:id="2" w:name="_Hlk90027466"/>
      <w:r>
        <w:t>T</w:t>
      </w:r>
      <w:r w:rsidRPr="00503E44">
        <w:t xml:space="preserve">he </w:t>
      </w:r>
      <w:r>
        <w:rPr>
          <w:i/>
        </w:rPr>
        <w:t>Tax Agent Services Act 2009</w:t>
      </w:r>
      <w:r w:rsidRPr="00503E44">
        <w:t xml:space="preserve"> </w:t>
      </w:r>
      <w:r>
        <w:t xml:space="preserve">(the Act) </w:t>
      </w:r>
      <w:r w:rsidRPr="00FD6D7B">
        <w:t>establish</w:t>
      </w:r>
      <w:r>
        <w:t xml:space="preserve">es </w:t>
      </w:r>
      <w:r w:rsidRPr="00FD6D7B">
        <w:t xml:space="preserve">the Tax Practitioners Board </w:t>
      </w:r>
      <w:r w:rsidR="001D476C">
        <w:t xml:space="preserve">(the Board) </w:t>
      </w:r>
      <w:r w:rsidRPr="00FD6D7B">
        <w:t>and provide</w:t>
      </w:r>
      <w:r>
        <w:t>s</w:t>
      </w:r>
      <w:r w:rsidRPr="00FD6D7B">
        <w:t xml:space="preserve"> for </w:t>
      </w:r>
      <w:r w:rsidR="004B40AC">
        <w:t xml:space="preserve">a system to accredit professional associations relevant to the registration of </w:t>
      </w:r>
      <w:r w:rsidRPr="00FD6D7B">
        <w:t>tax agents and BAS agents</w:t>
      </w:r>
      <w:r>
        <w:t xml:space="preserve">. </w:t>
      </w:r>
      <w:r w:rsidR="00C55D29" w:rsidRPr="00503E44">
        <w:t xml:space="preserve">Section </w:t>
      </w:r>
      <w:r w:rsidR="00B55FAC">
        <w:t>70-55</w:t>
      </w:r>
      <w:r w:rsidR="005E4BAC">
        <w:t xml:space="preserve"> </w:t>
      </w:r>
      <w:r w:rsidR="00F109D4" w:rsidRPr="00503E44">
        <w:t>of the Act provides that the Governor-General may make regulations prescribing matters required or permitted by the Act to be prescribed, or necessary or convenient to be prescribed for carrying out or giving effect to the Act.</w:t>
      </w:r>
      <w:r w:rsidR="00EB5070">
        <w:t xml:space="preserve"> </w:t>
      </w:r>
    </w:p>
    <w:p w14:paraId="2F835B29" w14:textId="7BD3E330" w:rsidR="001D476C" w:rsidRDefault="00EB5070" w:rsidP="00647BB7">
      <w:pPr>
        <w:spacing w:before="240"/>
      </w:pPr>
      <w:r w:rsidRPr="00EB5070">
        <w:t xml:space="preserve">The purpose of the </w:t>
      </w:r>
      <w:r w:rsidRPr="00256C29">
        <w:rPr>
          <w:i/>
          <w:iCs/>
        </w:rPr>
        <w:t>Tax Agent Services Regulations 202</w:t>
      </w:r>
      <w:r w:rsidR="00B43472" w:rsidRPr="00256C29">
        <w:rPr>
          <w:i/>
          <w:iCs/>
        </w:rPr>
        <w:t>2</w:t>
      </w:r>
      <w:r w:rsidRPr="00EB5070">
        <w:t xml:space="preserve"> (the Regulations) is to remake and improve the operation of the </w:t>
      </w:r>
      <w:r w:rsidRPr="00862D65">
        <w:rPr>
          <w:i/>
          <w:iCs/>
        </w:rPr>
        <w:t>Tax Agent Services Regulations 2009</w:t>
      </w:r>
      <w:r w:rsidRPr="00EB5070">
        <w:t xml:space="preserve"> </w:t>
      </w:r>
      <w:r w:rsidR="000F1E99">
        <w:br/>
      </w:r>
      <w:r w:rsidRPr="00EB5070">
        <w:t>(</w:t>
      </w:r>
      <w:proofErr w:type="gramStart"/>
      <w:r w:rsidRPr="00EB5070">
        <w:t>the</w:t>
      </w:r>
      <w:proofErr w:type="gramEnd"/>
      <w:r w:rsidRPr="00EB5070">
        <w:t xml:space="preserve"> 2009 Regulations) prior to ‘sunsetting’. </w:t>
      </w:r>
      <w:r w:rsidR="001D476C">
        <w:t xml:space="preserve">The </w:t>
      </w:r>
      <w:r w:rsidR="0064021B" w:rsidRPr="0064021B">
        <w:t xml:space="preserve">purpose </w:t>
      </w:r>
      <w:r w:rsidR="001D476C">
        <w:t xml:space="preserve">of the Regulations is to provide details to accompany the Act that prescribe definitions and requirements for registrations, fees for registration applications and administration details of the Board. </w:t>
      </w:r>
    </w:p>
    <w:bookmarkEnd w:id="1"/>
    <w:p w14:paraId="6C93D406" w14:textId="617DBB32" w:rsidR="00F109D4" w:rsidRDefault="00EB5070" w:rsidP="00647BB7">
      <w:pPr>
        <w:spacing w:before="240"/>
      </w:pPr>
      <w:r w:rsidRPr="00EB5070">
        <w:t>The Legislation Act 2003 provides that all legislative instruments, other than exempt instruments, progressively sunset according to the timetable in section 50 of that Act. The 2009 Regulations will be automatically repealed on 1 April 2022. Legislative instruments generally cease to have effect after a specific date unless further action is taken to extend their operation, such as remaking the instrument.</w:t>
      </w:r>
    </w:p>
    <w:p w14:paraId="7E39D134" w14:textId="763BD9C3" w:rsidR="00F109D4" w:rsidRDefault="00EB5070" w:rsidP="00647BB7">
      <w:pPr>
        <w:spacing w:before="240"/>
      </w:pPr>
      <w:r w:rsidRPr="00EB5070">
        <w:t>The Regulations remake and improve the 2009 Regulations by repealing redundant provisions, simplifying language</w:t>
      </w:r>
      <w:r w:rsidR="00934DEB">
        <w:t>,</w:t>
      </w:r>
      <w:r w:rsidRPr="00EB5070">
        <w:t xml:space="preserve"> </w:t>
      </w:r>
      <w:r w:rsidR="0064021B">
        <w:t xml:space="preserve">and </w:t>
      </w:r>
      <w:r w:rsidRPr="00EB5070">
        <w:t xml:space="preserve">restructuring </w:t>
      </w:r>
      <w:r w:rsidR="00934DEB">
        <w:t xml:space="preserve">and renumbering </w:t>
      </w:r>
      <w:r w:rsidRPr="00EB5070">
        <w:t xml:space="preserve">provisions for ease of navigation. These changes do not affect the substantive meaning or operation of the provisions except in limited cases that are specifically identified in Attachment A to this Explanatory Statement. The </w:t>
      </w:r>
      <w:r w:rsidR="00934DEB">
        <w:t xml:space="preserve">Schedules to the </w:t>
      </w:r>
      <w:r w:rsidRPr="00EB5070">
        <w:t xml:space="preserve">Regulations broadly follow the </w:t>
      </w:r>
      <w:r w:rsidR="006E5F65">
        <w:t xml:space="preserve">structure and </w:t>
      </w:r>
      <w:r w:rsidRPr="00EB5070">
        <w:t xml:space="preserve">numbering of the </w:t>
      </w:r>
      <w:r w:rsidR="006E5F65">
        <w:t xml:space="preserve">Schedules to the </w:t>
      </w:r>
      <w:r w:rsidR="00843919" w:rsidRPr="00EB5070">
        <w:t>2009</w:t>
      </w:r>
      <w:r w:rsidR="00843919">
        <w:t> </w:t>
      </w:r>
      <w:r w:rsidRPr="00EB5070">
        <w:t xml:space="preserve">Regulations. </w:t>
      </w:r>
    </w:p>
    <w:p w14:paraId="18FE8168" w14:textId="77777777" w:rsidR="00CE088F" w:rsidRDefault="00CE088F" w:rsidP="00CE088F">
      <w:pPr>
        <w:spacing w:before="240"/>
      </w:pPr>
      <w:r>
        <w:t>The Act does not specify any conditions that need to be met before the power to make the Regulations may be exercised.</w:t>
      </w:r>
    </w:p>
    <w:p w14:paraId="53E8B062" w14:textId="47506997" w:rsidR="006935C3" w:rsidRDefault="00CE088F" w:rsidP="006935C3">
      <w:pPr>
        <w:spacing w:before="240"/>
      </w:pPr>
      <w:bookmarkStart w:id="3" w:name="_Hlk94788823"/>
      <w:r>
        <w:t xml:space="preserve">An Exposure Draft of the Regulations and accompanying Explanatory Materials were released for public consultation from 10 January 2022 to 24 January 2022. </w:t>
      </w:r>
      <w:r w:rsidR="001D476C">
        <w:t>Five</w:t>
      </w:r>
      <w:r w:rsidR="002A2B0B" w:rsidRPr="002A2B0B">
        <w:t xml:space="preserve"> submissions were received </w:t>
      </w:r>
      <w:r w:rsidR="002A2B0B">
        <w:t>all of which supported remak</w:t>
      </w:r>
      <w:r w:rsidR="0064021B">
        <w:t>ing</w:t>
      </w:r>
      <w:r w:rsidR="002A2B0B">
        <w:t xml:space="preserve"> the 2009</w:t>
      </w:r>
      <w:r w:rsidR="000504BE">
        <w:t> </w:t>
      </w:r>
      <w:r w:rsidR="002A2B0B">
        <w:t>Regulations.</w:t>
      </w:r>
      <w:r w:rsidR="001D476C">
        <w:t xml:space="preserve"> </w:t>
      </w:r>
      <w:r w:rsidR="006935C3">
        <w:t xml:space="preserve">Submissions were received from the </w:t>
      </w:r>
      <w:r w:rsidR="001D476C">
        <w:t>Australian Institute of Quantity Surveyors (AIQS), Certified Practising Accountant (CPA)</w:t>
      </w:r>
      <w:r w:rsidR="006935C3">
        <w:t xml:space="preserve">, Chartered Accountants Australia and New Zealand (CAANZ) with </w:t>
      </w:r>
      <w:r w:rsidR="006935C3" w:rsidRPr="006935C3">
        <w:t xml:space="preserve">the </w:t>
      </w:r>
      <w:r w:rsidR="006935C3">
        <w:t>I</w:t>
      </w:r>
      <w:r w:rsidR="006935C3" w:rsidRPr="006935C3">
        <w:t xml:space="preserve">nstitute of </w:t>
      </w:r>
      <w:r w:rsidR="006935C3">
        <w:t>P</w:t>
      </w:r>
      <w:r w:rsidR="006935C3" w:rsidRPr="006935C3">
        <w:t xml:space="preserve">ublic </w:t>
      </w:r>
      <w:r w:rsidR="006935C3">
        <w:t>A</w:t>
      </w:r>
      <w:r w:rsidR="006935C3" w:rsidRPr="006935C3">
        <w:t>ccountants (IPA)</w:t>
      </w:r>
      <w:r w:rsidR="006935C3">
        <w:t xml:space="preserve">, </w:t>
      </w:r>
      <w:r w:rsidR="006935C3" w:rsidRPr="006935C3">
        <w:t>KPMG</w:t>
      </w:r>
      <w:r w:rsidR="006935C3">
        <w:t xml:space="preserve"> and a confidential submission. Although AIQS, CPA, CAANZ and IPA supported the remake, they also recommended policy modifications. </w:t>
      </w:r>
      <w:r w:rsidR="00F91749">
        <w:t>Policy changes are not included as part of this remake</w:t>
      </w:r>
      <w:r w:rsidR="006D00FF">
        <w:t xml:space="preserve"> as</w:t>
      </w:r>
      <w:r w:rsidR="000504BE">
        <w:t>,</w:t>
      </w:r>
      <w:r w:rsidR="00F91749">
        <w:t xml:space="preserve"> the</w:t>
      </w:r>
      <w:r w:rsidR="006D00FF">
        <w:t>se</w:t>
      </w:r>
      <w:r w:rsidR="00F91749">
        <w:t xml:space="preserve"> recommendations will be considered </w:t>
      </w:r>
      <w:proofErr w:type="gramStart"/>
      <w:r w:rsidR="00F91749">
        <w:t>at a later date</w:t>
      </w:r>
      <w:proofErr w:type="gramEnd"/>
      <w:r w:rsidR="00F91749">
        <w:t xml:space="preserve">. </w:t>
      </w:r>
    </w:p>
    <w:bookmarkEnd w:id="3"/>
    <w:p w14:paraId="6AAB2A80" w14:textId="5F717338" w:rsidR="00CE088F" w:rsidRDefault="00CE088F" w:rsidP="00CE088F">
      <w:pPr>
        <w:spacing w:before="240"/>
      </w:pPr>
      <w:r>
        <w:t xml:space="preserve">Details of the Regulations are set out in </w:t>
      </w:r>
      <w:r w:rsidRPr="00CE088F">
        <w:rPr>
          <w:u w:val="single"/>
        </w:rPr>
        <w:t>Attachment A</w:t>
      </w:r>
      <w:r>
        <w:t>.</w:t>
      </w:r>
    </w:p>
    <w:p w14:paraId="438A6490" w14:textId="3468B65D" w:rsidR="00CE088F" w:rsidRDefault="00CE088F" w:rsidP="00CE088F">
      <w:pPr>
        <w:spacing w:before="240"/>
      </w:pPr>
      <w:r>
        <w:lastRenderedPageBreak/>
        <w:t xml:space="preserve">The Regulations are a legislative instrument for the purposes of the </w:t>
      </w:r>
      <w:r w:rsidR="000F1E99">
        <w:br/>
      </w:r>
      <w:r w:rsidRPr="002A37DB">
        <w:rPr>
          <w:i/>
          <w:iCs/>
        </w:rPr>
        <w:t>Legislation Act 2003</w:t>
      </w:r>
      <w:r>
        <w:t xml:space="preserve">. </w:t>
      </w:r>
    </w:p>
    <w:p w14:paraId="2F40D004" w14:textId="62F44700" w:rsidR="00CE088F" w:rsidRDefault="00CE088F" w:rsidP="00CE088F">
      <w:pPr>
        <w:spacing w:before="240"/>
      </w:pPr>
      <w:r>
        <w:t>The Regulations commence on 1 April 2022.</w:t>
      </w:r>
    </w:p>
    <w:p w14:paraId="6478EBEA" w14:textId="71A1C0AD" w:rsidR="00CE088F" w:rsidRDefault="00CE088F" w:rsidP="00CE088F">
      <w:pPr>
        <w:spacing w:before="240"/>
      </w:pPr>
      <w:r>
        <w:t xml:space="preserve">Prior to the making of the Regulations and in accordance with the Office of Best Practice Regulation's Guidance Note on sunsetting instruments, the Department of the Treasury self-assessed that the 2009 Regulations were operating effectively and efficiently, and </w:t>
      </w:r>
      <w:r w:rsidRPr="00C34918">
        <w:t>therefore a Regulation Impact Statement was</w:t>
      </w:r>
      <w:r>
        <w:t xml:space="preserve"> not required. This assessment was informed by the public consultation on the exposure draft Regulations.</w:t>
      </w:r>
    </w:p>
    <w:p w14:paraId="0CD8E780" w14:textId="442B99C4" w:rsidR="0052258F" w:rsidRDefault="00CE088F" w:rsidP="00CE088F">
      <w:pPr>
        <w:spacing w:before="240"/>
      </w:pPr>
      <w:r w:rsidRPr="00E03FBB">
        <w:t xml:space="preserve">A Statement of Compatibility with Human Rights is at </w:t>
      </w:r>
      <w:r w:rsidRPr="00E03FBB">
        <w:rPr>
          <w:u w:val="single"/>
        </w:rPr>
        <w:t>Attachment C</w:t>
      </w:r>
      <w:r w:rsidRPr="00E03FBB">
        <w:t>. The Legislative Instrument is compatible with human rights</w:t>
      </w:r>
      <w:r w:rsidR="003460E4" w:rsidRPr="00E03FBB">
        <w:t>.</w:t>
      </w:r>
      <w:r w:rsidRPr="00E03FBB">
        <w:t xml:space="preserve"> </w:t>
      </w:r>
      <w:r w:rsidR="003460E4" w:rsidRPr="00E03FBB">
        <w:t>To the extent that it engages and limits the right to work, those limitations are reasonable</w:t>
      </w:r>
      <w:r w:rsidR="003460E4" w:rsidRPr="003460E4">
        <w:t xml:space="preserve">, </w:t>
      </w:r>
      <w:proofErr w:type="gramStart"/>
      <w:r w:rsidR="003460E4" w:rsidRPr="003460E4">
        <w:t>necessary</w:t>
      </w:r>
      <w:proofErr w:type="gramEnd"/>
      <w:r w:rsidR="003460E4" w:rsidRPr="003460E4">
        <w:t xml:space="preserve"> and proportionate to the outcome.</w:t>
      </w:r>
    </w:p>
    <w:p w14:paraId="23DACEED" w14:textId="7B6BF9E2" w:rsidR="00EA4DD8" w:rsidRDefault="00EA4DD8" w:rsidP="00EA4DD8">
      <w:pPr>
        <w:pageBreakBefore/>
        <w:spacing w:before="240"/>
        <w:jc w:val="right"/>
        <w:rPr>
          <w:b/>
          <w:u w:val="single"/>
        </w:rPr>
      </w:pPr>
      <w:bookmarkStart w:id="4" w:name="_Hlk94788691"/>
      <w:bookmarkEnd w:id="2"/>
      <w:r w:rsidRPr="007B335E">
        <w:rPr>
          <w:b/>
          <w:u w:val="single"/>
        </w:rPr>
        <w:lastRenderedPageBreak/>
        <w:t>ATTACHMENT</w:t>
      </w:r>
      <w:r w:rsidR="004C3AA8">
        <w:rPr>
          <w:b/>
          <w:u w:val="single"/>
        </w:rPr>
        <w:t xml:space="preserve"> A</w:t>
      </w:r>
    </w:p>
    <w:p w14:paraId="1C411345" w14:textId="2BFBE74D" w:rsidR="00EA4DD8" w:rsidRPr="008762E5" w:rsidRDefault="00EA4DD8" w:rsidP="00EA4DD8">
      <w:pPr>
        <w:spacing w:before="240"/>
        <w:ind w:right="91"/>
        <w:rPr>
          <w:b/>
          <w:bCs/>
          <w:szCs w:val="24"/>
          <w:u w:val="single"/>
        </w:rPr>
      </w:pPr>
      <w:r w:rsidRPr="008762E5">
        <w:rPr>
          <w:b/>
          <w:bCs/>
          <w:szCs w:val="24"/>
          <w:u w:val="single"/>
        </w:rPr>
        <w:t xml:space="preserve">Details of the </w:t>
      </w:r>
      <w:r w:rsidR="00520E41" w:rsidRPr="008762E5">
        <w:rPr>
          <w:b/>
          <w:i/>
          <w:szCs w:val="24"/>
          <w:u w:val="single"/>
        </w:rPr>
        <w:t>Tax Agent Services Regulations 2022</w:t>
      </w:r>
      <w:r w:rsidRPr="008762E5">
        <w:rPr>
          <w:b/>
          <w:bCs/>
          <w:szCs w:val="24"/>
          <w:u w:val="single"/>
        </w:rPr>
        <w:t xml:space="preserve"> </w:t>
      </w:r>
    </w:p>
    <w:p w14:paraId="22578E13" w14:textId="369A2C01" w:rsidR="00F9582F" w:rsidRPr="008762E5" w:rsidRDefault="00F9582F" w:rsidP="00EA4DD8">
      <w:pPr>
        <w:spacing w:before="240"/>
        <w:rPr>
          <w:szCs w:val="24"/>
        </w:rPr>
      </w:pPr>
      <w:bookmarkStart w:id="5" w:name="_Hlk93071625"/>
      <w:r w:rsidRPr="008762E5">
        <w:rPr>
          <w:szCs w:val="24"/>
        </w:rPr>
        <w:t>This attachment sets out further details of the</w:t>
      </w:r>
      <w:r w:rsidRPr="008762E5">
        <w:rPr>
          <w:i/>
          <w:iCs/>
          <w:szCs w:val="24"/>
        </w:rPr>
        <w:t xml:space="preserve"> </w:t>
      </w:r>
      <w:r w:rsidRPr="008762E5">
        <w:rPr>
          <w:i/>
          <w:szCs w:val="24"/>
        </w:rPr>
        <w:t>Tax Agent Services Regulations 202</w:t>
      </w:r>
      <w:r w:rsidR="00B43472" w:rsidRPr="008762E5">
        <w:rPr>
          <w:i/>
          <w:szCs w:val="24"/>
        </w:rPr>
        <w:t>2</w:t>
      </w:r>
      <w:r w:rsidRPr="008762E5">
        <w:rPr>
          <w:szCs w:val="24"/>
        </w:rPr>
        <w:t xml:space="preserve"> (the Regulations). All references are to the Regulations unless otherwise stated. </w:t>
      </w:r>
    </w:p>
    <w:p w14:paraId="5B86F72B" w14:textId="3EFF5D53" w:rsidR="00F9582F" w:rsidRPr="008762E5" w:rsidRDefault="00F9582F" w:rsidP="00EA4DD8">
      <w:pPr>
        <w:spacing w:before="240"/>
        <w:rPr>
          <w:szCs w:val="24"/>
        </w:rPr>
      </w:pPr>
      <w:r w:rsidRPr="008762E5">
        <w:rPr>
          <w:szCs w:val="24"/>
        </w:rPr>
        <w:t xml:space="preserve">Changes of a minor or machinery nature, such as the increased use of headings </w:t>
      </w:r>
      <w:proofErr w:type="gramStart"/>
      <w:r w:rsidRPr="008762E5">
        <w:rPr>
          <w:szCs w:val="24"/>
        </w:rPr>
        <w:t>and also</w:t>
      </w:r>
      <w:proofErr w:type="gramEnd"/>
      <w:r w:rsidRPr="008762E5">
        <w:rPr>
          <w:szCs w:val="24"/>
        </w:rPr>
        <w:t xml:space="preserve"> references to ‘section’ rather than ‘regulation’ in accordance with modern drafting practice, are generally not specifically identified in this Attachment. Where changes are made that are intended to apply in a different way or require further explanation, these are identified and explained in this Attachment.</w:t>
      </w:r>
    </w:p>
    <w:p w14:paraId="1AFF04E6" w14:textId="19BAFCCD" w:rsidR="001B24C4" w:rsidRPr="008762E5" w:rsidRDefault="00A01889" w:rsidP="00EA4DD8">
      <w:pPr>
        <w:spacing w:before="240"/>
        <w:rPr>
          <w:szCs w:val="24"/>
        </w:rPr>
      </w:pPr>
      <w:r w:rsidRPr="008762E5">
        <w:rPr>
          <w:szCs w:val="24"/>
        </w:rPr>
        <w:t xml:space="preserve">The Regulations improve the </w:t>
      </w:r>
      <w:bookmarkStart w:id="6" w:name="_Hlk90278699"/>
      <w:r w:rsidRPr="008762E5">
        <w:rPr>
          <w:i/>
          <w:iCs/>
          <w:szCs w:val="24"/>
        </w:rPr>
        <w:t xml:space="preserve">Tax Agent Services Regulations </w:t>
      </w:r>
      <w:bookmarkEnd w:id="6"/>
      <w:r w:rsidRPr="008762E5">
        <w:rPr>
          <w:i/>
          <w:iCs/>
          <w:szCs w:val="24"/>
        </w:rPr>
        <w:t>2009</w:t>
      </w:r>
      <w:r w:rsidRPr="008762E5">
        <w:rPr>
          <w:szCs w:val="24"/>
        </w:rPr>
        <w:t xml:space="preserve"> (2009</w:t>
      </w:r>
      <w:r w:rsidR="00C34918" w:rsidRPr="008762E5">
        <w:rPr>
          <w:szCs w:val="24"/>
        </w:rPr>
        <w:t> </w:t>
      </w:r>
      <w:r w:rsidRPr="008762E5">
        <w:rPr>
          <w:szCs w:val="24"/>
        </w:rPr>
        <w:t>Regulations) by repealing redundant provisions, simplifying language</w:t>
      </w:r>
      <w:r w:rsidR="00242DD4" w:rsidRPr="008762E5">
        <w:rPr>
          <w:szCs w:val="24"/>
        </w:rPr>
        <w:t>,</w:t>
      </w:r>
      <w:r w:rsidRPr="008762E5">
        <w:rPr>
          <w:szCs w:val="24"/>
        </w:rPr>
        <w:t xml:space="preserve"> </w:t>
      </w:r>
      <w:proofErr w:type="gramStart"/>
      <w:r w:rsidRPr="008762E5">
        <w:rPr>
          <w:szCs w:val="24"/>
        </w:rPr>
        <w:t>restructuring</w:t>
      </w:r>
      <w:proofErr w:type="gramEnd"/>
      <w:r w:rsidRPr="008762E5">
        <w:rPr>
          <w:szCs w:val="24"/>
        </w:rPr>
        <w:t xml:space="preserve"> </w:t>
      </w:r>
      <w:r w:rsidR="001B24C4" w:rsidRPr="008762E5">
        <w:rPr>
          <w:szCs w:val="24"/>
        </w:rPr>
        <w:t xml:space="preserve">and renumbering </w:t>
      </w:r>
      <w:r w:rsidRPr="008762E5">
        <w:rPr>
          <w:szCs w:val="24"/>
        </w:rPr>
        <w:t>provisions for ease of navigation. The Regulations</w:t>
      </w:r>
      <w:r w:rsidR="00A85810" w:rsidRPr="008762E5">
        <w:rPr>
          <w:szCs w:val="24"/>
        </w:rPr>
        <w:t xml:space="preserve"> have changed</w:t>
      </w:r>
      <w:r w:rsidRPr="008762E5">
        <w:rPr>
          <w:szCs w:val="24"/>
        </w:rPr>
        <w:t xml:space="preserve"> the order of </w:t>
      </w:r>
      <w:r w:rsidR="00A85810" w:rsidRPr="008762E5">
        <w:rPr>
          <w:szCs w:val="24"/>
        </w:rPr>
        <w:t xml:space="preserve">the </w:t>
      </w:r>
      <w:r w:rsidRPr="008762E5">
        <w:rPr>
          <w:szCs w:val="24"/>
        </w:rPr>
        <w:t>provisions from the order found in the 2009</w:t>
      </w:r>
      <w:r w:rsidR="00C34918" w:rsidRPr="008762E5">
        <w:rPr>
          <w:szCs w:val="24"/>
        </w:rPr>
        <w:t> </w:t>
      </w:r>
      <w:r w:rsidRPr="008762E5">
        <w:rPr>
          <w:szCs w:val="24"/>
        </w:rPr>
        <w:t>Regulations for ease of reader comprehension.</w:t>
      </w:r>
      <w:r w:rsidR="004805E7" w:rsidRPr="008762E5">
        <w:rPr>
          <w:szCs w:val="24"/>
        </w:rPr>
        <w:t xml:space="preserve"> </w:t>
      </w:r>
      <w:r w:rsidR="001B24C4" w:rsidRPr="008762E5">
        <w:rPr>
          <w:szCs w:val="24"/>
        </w:rPr>
        <w:t xml:space="preserve">The Schedules to the Regulations broadly follow the structure and numbering of the Schedules to the 2009 Regulations. </w:t>
      </w:r>
    </w:p>
    <w:p w14:paraId="1267B524" w14:textId="35810D4E" w:rsidR="002A37DB" w:rsidRPr="008762E5" w:rsidRDefault="002A37DB" w:rsidP="002A37DB">
      <w:pPr>
        <w:spacing w:before="240"/>
        <w:rPr>
          <w:szCs w:val="24"/>
        </w:rPr>
      </w:pPr>
      <w:r w:rsidRPr="008762E5">
        <w:rPr>
          <w:szCs w:val="24"/>
        </w:rPr>
        <w:t xml:space="preserve">The finding table in </w:t>
      </w:r>
      <w:r w:rsidRPr="008762E5">
        <w:rPr>
          <w:szCs w:val="24"/>
          <w:u w:val="single"/>
        </w:rPr>
        <w:t>Attachment B</w:t>
      </w:r>
      <w:r w:rsidRPr="008762E5">
        <w:rPr>
          <w:szCs w:val="24"/>
        </w:rPr>
        <w:t xml:space="preserve"> represents the previous numbering of the 2009</w:t>
      </w:r>
      <w:r w:rsidR="00C34918" w:rsidRPr="008762E5">
        <w:rPr>
          <w:szCs w:val="24"/>
        </w:rPr>
        <w:t> </w:t>
      </w:r>
      <w:r w:rsidRPr="008762E5">
        <w:rPr>
          <w:szCs w:val="24"/>
        </w:rPr>
        <w:t>Regulations and the updated numbering in the Regulations. Consequently, references to a 'corresponding provision' are to the corresponding provision in the 2009 Regulations as identified by the finding table in Attachment B.</w:t>
      </w:r>
    </w:p>
    <w:p w14:paraId="64EC6611" w14:textId="1E15CC07" w:rsidR="00057D03" w:rsidRPr="008762E5" w:rsidRDefault="00F9582F" w:rsidP="00EA4DD8">
      <w:pPr>
        <w:spacing w:before="240"/>
        <w:rPr>
          <w:szCs w:val="24"/>
        </w:rPr>
      </w:pPr>
      <w:r w:rsidRPr="008762E5">
        <w:rPr>
          <w:szCs w:val="24"/>
        </w:rPr>
        <w:t>The</w:t>
      </w:r>
      <w:r w:rsidRPr="008762E5">
        <w:rPr>
          <w:i/>
          <w:iCs/>
          <w:szCs w:val="24"/>
        </w:rPr>
        <w:t xml:space="preserve"> </w:t>
      </w:r>
      <w:r w:rsidR="00251E13" w:rsidRPr="008762E5">
        <w:rPr>
          <w:i/>
          <w:iCs/>
          <w:szCs w:val="24"/>
        </w:rPr>
        <w:t xml:space="preserve">Financial Sector Reform Amendment (Hayne Royal Commission Response—Better Advice) Regulations 2021 </w:t>
      </w:r>
      <w:r w:rsidR="00251E13" w:rsidRPr="008762E5">
        <w:rPr>
          <w:szCs w:val="24"/>
        </w:rPr>
        <w:t>(Better Advice Regulations)</w:t>
      </w:r>
      <w:r w:rsidR="00251E13" w:rsidRPr="008762E5">
        <w:rPr>
          <w:i/>
          <w:iCs/>
          <w:szCs w:val="24"/>
        </w:rPr>
        <w:t xml:space="preserve"> </w:t>
      </w:r>
      <w:r w:rsidRPr="008762E5">
        <w:rPr>
          <w:szCs w:val="24"/>
        </w:rPr>
        <w:t xml:space="preserve">that </w:t>
      </w:r>
      <w:r w:rsidR="00057D03" w:rsidRPr="008762E5">
        <w:rPr>
          <w:szCs w:val="24"/>
        </w:rPr>
        <w:t>repealed</w:t>
      </w:r>
      <w:r w:rsidRPr="008762E5">
        <w:rPr>
          <w:szCs w:val="24"/>
        </w:rPr>
        <w:t xml:space="preserve"> </w:t>
      </w:r>
      <w:proofErr w:type="gramStart"/>
      <w:r w:rsidRPr="008762E5">
        <w:rPr>
          <w:szCs w:val="24"/>
        </w:rPr>
        <w:t>a</w:t>
      </w:r>
      <w:r w:rsidR="00057D03" w:rsidRPr="008762E5">
        <w:rPr>
          <w:szCs w:val="24"/>
        </w:rPr>
        <w:t xml:space="preserve"> number of</w:t>
      </w:r>
      <w:proofErr w:type="gramEnd"/>
      <w:r w:rsidR="00057D03" w:rsidRPr="008762E5">
        <w:rPr>
          <w:szCs w:val="24"/>
        </w:rPr>
        <w:t xml:space="preserve"> redundant provisions in the </w:t>
      </w:r>
      <w:r w:rsidR="007772D6" w:rsidRPr="008762E5">
        <w:rPr>
          <w:szCs w:val="24"/>
        </w:rPr>
        <w:t xml:space="preserve">2009 Regulations </w:t>
      </w:r>
      <w:r w:rsidRPr="008762E5">
        <w:rPr>
          <w:szCs w:val="24"/>
        </w:rPr>
        <w:t xml:space="preserve">have been incorporated into these </w:t>
      </w:r>
      <w:r w:rsidR="007772D6" w:rsidRPr="008762E5">
        <w:rPr>
          <w:szCs w:val="24"/>
        </w:rPr>
        <w:t>Regulations</w:t>
      </w:r>
      <w:r w:rsidR="00057D03" w:rsidRPr="008762E5">
        <w:rPr>
          <w:szCs w:val="24"/>
        </w:rPr>
        <w:t>.</w:t>
      </w:r>
    </w:p>
    <w:p w14:paraId="74877C4A" w14:textId="44F98547" w:rsidR="00C2156A" w:rsidRPr="008762E5" w:rsidRDefault="00C2156A" w:rsidP="00C2156A">
      <w:pPr>
        <w:pStyle w:val="Heading2"/>
        <w:rPr>
          <w:sz w:val="24"/>
          <w:szCs w:val="24"/>
        </w:rPr>
      </w:pPr>
      <w:r w:rsidRPr="008762E5">
        <w:rPr>
          <w:sz w:val="24"/>
          <w:szCs w:val="24"/>
        </w:rPr>
        <w:t>Part 1 – Preliminary</w:t>
      </w:r>
    </w:p>
    <w:p w14:paraId="078D0840" w14:textId="558838DF" w:rsidR="00EA4DD8" w:rsidRPr="008762E5" w:rsidRDefault="00EA4DD8" w:rsidP="00C2156A">
      <w:pPr>
        <w:pStyle w:val="Heading4"/>
        <w:rPr>
          <w:rFonts w:ascii="Calibri" w:hAnsi="Calibri"/>
          <w:b w:val="0"/>
          <w:bCs/>
          <w:szCs w:val="24"/>
          <w:u w:val="single"/>
          <w:lang w:eastAsia="en-US"/>
        </w:rPr>
      </w:pPr>
      <w:r w:rsidRPr="008762E5">
        <w:rPr>
          <w:b w:val="0"/>
          <w:bCs/>
          <w:szCs w:val="24"/>
          <w:u w:val="single"/>
        </w:rPr>
        <w:t>Section 1 – Name</w:t>
      </w:r>
    </w:p>
    <w:p w14:paraId="48822BFB" w14:textId="70E38AD3" w:rsidR="00EA4DD8" w:rsidRPr="008762E5" w:rsidRDefault="00EA4DD8" w:rsidP="00EA4DD8">
      <w:pPr>
        <w:spacing w:before="240"/>
        <w:rPr>
          <w:szCs w:val="24"/>
        </w:rPr>
      </w:pPr>
      <w:r w:rsidRPr="008762E5">
        <w:rPr>
          <w:szCs w:val="24"/>
        </w:rPr>
        <w:t xml:space="preserve">This section provides that the name of the Regulations is the </w:t>
      </w:r>
      <w:r w:rsidR="00F3780F" w:rsidRPr="008762E5">
        <w:rPr>
          <w:i/>
          <w:szCs w:val="24"/>
        </w:rPr>
        <w:t>Tax Agent Services Regulations 202</w:t>
      </w:r>
      <w:r w:rsidR="00B43472" w:rsidRPr="008762E5">
        <w:rPr>
          <w:i/>
          <w:szCs w:val="24"/>
        </w:rPr>
        <w:t>2</w:t>
      </w:r>
      <w:r w:rsidRPr="008762E5">
        <w:rPr>
          <w:szCs w:val="24"/>
        </w:rPr>
        <w:t xml:space="preserve"> (the Regulations).</w:t>
      </w:r>
    </w:p>
    <w:p w14:paraId="44DE26E2" w14:textId="77777777" w:rsidR="00EA4DD8" w:rsidRPr="008762E5" w:rsidRDefault="00EA4DD8" w:rsidP="00C2156A">
      <w:pPr>
        <w:pStyle w:val="Heading4"/>
        <w:rPr>
          <w:b w:val="0"/>
          <w:bCs/>
          <w:szCs w:val="24"/>
          <w:u w:val="single"/>
        </w:rPr>
      </w:pPr>
      <w:r w:rsidRPr="008762E5">
        <w:rPr>
          <w:b w:val="0"/>
          <w:bCs/>
          <w:szCs w:val="24"/>
          <w:u w:val="single"/>
        </w:rPr>
        <w:t>Section 2 – Commencement</w:t>
      </w:r>
    </w:p>
    <w:p w14:paraId="198678C2" w14:textId="72EFA217" w:rsidR="00EA4DD8" w:rsidRPr="008762E5" w:rsidRDefault="006D00FF" w:rsidP="00EA4DD8">
      <w:pPr>
        <w:spacing w:before="240"/>
        <w:ind w:right="91"/>
        <w:rPr>
          <w:szCs w:val="24"/>
        </w:rPr>
      </w:pPr>
      <w:r w:rsidRPr="008762E5">
        <w:rPr>
          <w:szCs w:val="24"/>
        </w:rPr>
        <w:t>T</w:t>
      </w:r>
      <w:r w:rsidR="00EA4DD8" w:rsidRPr="008762E5">
        <w:rPr>
          <w:szCs w:val="24"/>
        </w:rPr>
        <w:t xml:space="preserve">he Regulations commence on </w:t>
      </w:r>
      <w:sdt>
        <w:sdtPr>
          <w:rPr>
            <w:szCs w:val="24"/>
          </w:rPr>
          <w:id w:val="-36432914"/>
          <w:placeholder>
            <w:docPart w:val="4F384B0FCFBB44FBB4D6E657845F1436"/>
          </w:placeholder>
          <w:date w:fullDate="2022-04-01T00:00:00Z">
            <w:dateFormat w:val="d MMMM yyyy"/>
            <w:lid w:val="en-AU"/>
            <w:storeMappedDataAs w:val="dateTime"/>
            <w:calendar w:val="gregorian"/>
          </w:date>
        </w:sdtPr>
        <w:sdtEndPr/>
        <w:sdtContent>
          <w:r w:rsidR="00F3780F" w:rsidRPr="008762E5">
            <w:rPr>
              <w:szCs w:val="24"/>
            </w:rPr>
            <w:t>1 April 2022</w:t>
          </w:r>
        </w:sdtContent>
      </w:sdt>
      <w:r w:rsidR="00F3780F" w:rsidRPr="008762E5">
        <w:rPr>
          <w:szCs w:val="24"/>
        </w:rPr>
        <w:t>.</w:t>
      </w:r>
    </w:p>
    <w:p w14:paraId="56D356FC" w14:textId="77777777" w:rsidR="00EA4DD8" w:rsidRPr="008762E5" w:rsidRDefault="00EA4DD8" w:rsidP="00C2156A">
      <w:pPr>
        <w:pStyle w:val="Heading4"/>
        <w:rPr>
          <w:b w:val="0"/>
          <w:bCs/>
          <w:szCs w:val="24"/>
          <w:u w:val="single"/>
        </w:rPr>
      </w:pPr>
      <w:r w:rsidRPr="008762E5">
        <w:rPr>
          <w:b w:val="0"/>
          <w:bCs/>
          <w:szCs w:val="24"/>
          <w:u w:val="single"/>
        </w:rPr>
        <w:t>Section 3 – Authority</w:t>
      </w:r>
    </w:p>
    <w:p w14:paraId="04BCD758" w14:textId="2AA50639" w:rsidR="00EA4DD8" w:rsidRPr="008762E5" w:rsidRDefault="00EA4DD8" w:rsidP="00EA4DD8">
      <w:pPr>
        <w:spacing w:before="240"/>
        <w:ind w:right="91"/>
        <w:rPr>
          <w:szCs w:val="24"/>
        </w:rPr>
      </w:pPr>
      <w:r w:rsidRPr="008762E5">
        <w:rPr>
          <w:szCs w:val="24"/>
        </w:rPr>
        <w:t xml:space="preserve">The Regulations are made under the </w:t>
      </w:r>
      <w:r w:rsidR="00F3780F" w:rsidRPr="008762E5">
        <w:rPr>
          <w:i/>
          <w:szCs w:val="24"/>
        </w:rPr>
        <w:t xml:space="preserve">Tax Agent Services Act 2009 </w:t>
      </w:r>
      <w:r w:rsidRPr="008762E5">
        <w:rPr>
          <w:szCs w:val="24"/>
        </w:rPr>
        <w:t>(the Act).</w:t>
      </w:r>
    </w:p>
    <w:p w14:paraId="5B9DFD9E" w14:textId="4F3984F6" w:rsidR="00EA4DD8" w:rsidRPr="008762E5" w:rsidRDefault="00093F2A" w:rsidP="00C2156A">
      <w:pPr>
        <w:pStyle w:val="Heading4"/>
        <w:rPr>
          <w:b w:val="0"/>
          <w:bCs/>
          <w:szCs w:val="24"/>
          <w:u w:val="single"/>
        </w:rPr>
      </w:pPr>
      <w:r w:rsidRPr="008762E5">
        <w:rPr>
          <w:b w:val="0"/>
          <w:bCs/>
          <w:szCs w:val="24"/>
          <w:u w:val="single"/>
        </w:rPr>
        <w:t>Section 4</w:t>
      </w:r>
      <w:r w:rsidR="00057D03" w:rsidRPr="008762E5">
        <w:rPr>
          <w:b w:val="0"/>
          <w:bCs/>
          <w:szCs w:val="24"/>
          <w:u w:val="single"/>
        </w:rPr>
        <w:t xml:space="preserve"> – </w:t>
      </w:r>
      <w:r w:rsidR="00EA4DD8" w:rsidRPr="008762E5">
        <w:rPr>
          <w:b w:val="0"/>
          <w:bCs/>
          <w:szCs w:val="24"/>
          <w:u w:val="single"/>
        </w:rPr>
        <w:t>Schedule</w:t>
      </w:r>
    </w:p>
    <w:p w14:paraId="57178E82" w14:textId="657A9648" w:rsidR="00EA4DD8" w:rsidRPr="008762E5" w:rsidRDefault="00EA4DD8" w:rsidP="00EA4DD8">
      <w:pPr>
        <w:spacing w:before="240" w:after="200"/>
        <w:ind w:right="91"/>
        <w:rPr>
          <w:szCs w:val="24"/>
          <w:u w:val="single"/>
        </w:rPr>
      </w:pPr>
      <w:r w:rsidRPr="008762E5">
        <w:rPr>
          <w:szCs w:val="24"/>
        </w:rPr>
        <w:t>This section provides that each instrument that is specified in Schedule</w:t>
      </w:r>
      <w:r w:rsidR="006D00FF" w:rsidRPr="008762E5">
        <w:rPr>
          <w:szCs w:val="24"/>
        </w:rPr>
        <w:t xml:space="preserve"> 3</w:t>
      </w:r>
      <w:r w:rsidRPr="008762E5">
        <w:rPr>
          <w:szCs w:val="24"/>
        </w:rPr>
        <w:t xml:space="preserve"> to this instrument will be amended or repealed as set out in the applicable items in the Schedules, and any other item in the Schedules to this instrument has effect according to its terms.</w:t>
      </w:r>
    </w:p>
    <w:p w14:paraId="4371E768" w14:textId="77777777" w:rsidR="00E96DB3" w:rsidRPr="008762E5" w:rsidRDefault="00EA4DD8" w:rsidP="00C2156A">
      <w:pPr>
        <w:pStyle w:val="Heading4"/>
        <w:rPr>
          <w:b w:val="0"/>
          <w:bCs/>
          <w:szCs w:val="24"/>
          <w:u w:val="single"/>
        </w:rPr>
      </w:pPr>
      <w:r w:rsidRPr="008762E5">
        <w:rPr>
          <w:b w:val="0"/>
          <w:bCs/>
          <w:szCs w:val="24"/>
          <w:u w:val="single"/>
        </w:rPr>
        <w:lastRenderedPageBreak/>
        <w:t xml:space="preserve">Schedule </w:t>
      </w:r>
      <w:r w:rsidR="00E96DB3" w:rsidRPr="008762E5">
        <w:rPr>
          <w:b w:val="0"/>
          <w:bCs/>
          <w:szCs w:val="24"/>
          <w:u w:val="single"/>
        </w:rPr>
        <w:t>5</w:t>
      </w:r>
      <w:r w:rsidRPr="008762E5">
        <w:rPr>
          <w:b w:val="0"/>
          <w:bCs/>
          <w:szCs w:val="24"/>
          <w:u w:val="single"/>
        </w:rPr>
        <w:t xml:space="preserve"> –</w:t>
      </w:r>
      <w:r w:rsidR="00E96DB3" w:rsidRPr="008762E5">
        <w:rPr>
          <w:b w:val="0"/>
          <w:bCs/>
          <w:szCs w:val="24"/>
          <w:u w:val="single"/>
        </w:rPr>
        <w:t xml:space="preserve"> Definitions </w:t>
      </w:r>
    </w:p>
    <w:p w14:paraId="6C07A6B5" w14:textId="64C4A7CD" w:rsidR="00EA4DD8" w:rsidRPr="006A5671" w:rsidRDefault="00D76423" w:rsidP="00E96DB3">
      <w:pPr>
        <w:spacing w:after="0"/>
        <w:ind w:right="91"/>
        <w:rPr>
          <w:szCs w:val="24"/>
        </w:rPr>
      </w:pPr>
      <w:r w:rsidRPr="008762E5">
        <w:rPr>
          <w:szCs w:val="24"/>
        </w:rPr>
        <w:t>S</w:t>
      </w:r>
      <w:r w:rsidR="00B357FE" w:rsidRPr="008762E5">
        <w:rPr>
          <w:szCs w:val="24"/>
        </w:rPr>
        <w:t xml:space="preserve">ection </w:t>
      </w:r>
      <w:r w:rsidRPr="008762E5">
        <w:rPr>
          <w:szCs w:val="24"/>
        </w:rPr>
        <w:t xml:space="preserve">5 </w:t>
      </w:r>
      <w:r w:rsidR="00E96DB3" w:rsidRPr="008762E5">
        <w:rPr>
          <w:szCs w:val="24"/>
        </w:rPr>
        <w:t xml:space="preserve">contains defined </w:t>
      </w:r>
      <w:r w:rsidR="006D00FF" w:rsidRPr="008762E5">
        <w:rPr>
          <w:szCs w:val="24"/>
        </w:rPr>
        <w:t xml:space="preserve">terms </w:t>
      </w:r>
      <w:r w:rsidR="00E96DB3" w:rsidRPr="008762E5">
        <w:rPr>
          <w:szCs w:val="24"/>
        </w:rPr>
        <w:t xml:space="preserve">used throughout the </w:t>
      </w:r>
      <w:r w:rsidR="004A3A58" w:rsidRPr="008762E5">
        <w:rPr>
          <w:szCs w:val="24"/>
        </w:rPr>
        <w:t>R</w:t>
      </w:r>
      <w:r w:rsidR="00E96DB3" w:rsidRPr="008762E5">
        <w:rPr>
          <w:szCs w:val="24"/>
        </w:rPr>
        <w:t xml:space="preserve">egulations. </w:t>
      </w:r>
      <w:proofErr w:type="gramStart"/>
      <w:r w:rsidR="00E96DB3" w:rsidRPr="008762E5">
        <w:rPr>
          <w:szCs w:val="24"/>
        </w:rPr>
        <w:t>A number of</w:t>
      </w:r>
      <w:proofErr w:type="gramEnd"/>
      <w:r w:rsidR="00E96DB3" w:rsidRPr="008762E5">
        <w:rPr>
          <w:szCs w:val="24"/>
        </w:rPr>
        <w:t xml:space="preserve"> definitions have </w:t>
      </w:r>
      <w:r w:rsidR="006D00FF" w:rsidRPr="008762E5">
        <w:rPr>
          <w:szCs w:val="24"/>
        </w:rPr>
        <w:t xml:space="preserve">either </w:t>
      </w:r>
      <w:r w:rsidR="00E96DB3" w:rsidRPr="008762E5">
        <w:rPr>
          <w:szCs w:val="24"/>
        </w:rPr>
        <w:t xml:space="preserve">been updated </w:t>
      </w:r>
      <w:r w:rsidR="006D00FF" w:rsidRPr="008762E5">
        <w:rPr>
          <w:szCs w:val="24"/>
        </w:rPr>
        <w:t xml:space="preserve">or listed to indicate </w:t>
      </w:r>
      <w:r w:rsidR="006A2FDC" w:rsidRPr="008762E5">
        <w:rPr>
          <w:szCs w:val="24"/>
        </w:rPr>
        <w:t>the</w:t>
      </w:r>
      <w:r w:rsidR="00E96DB3" w:rsidRPr="008762E5">
        <w:rPr>
          <w:szCs w:val="24"/>
        </w:rPr>
        <w:t xml:space="preserve"> terms that have been defined in the Act. This</w:t>
      </w:r>
      <w:r w:rsidR="006A2FDC" w:rsidRPr="008762E5">
        <w:rPr>
          <w:szCs w:val="24"/>
        </w:rPr>
        <w:t xml:space="preserve"> amendment improves </w:t>
      </w:r>
      <w:r w:rsidR="006A2FDC" w:rsidRPr="006A5671">
        <w:rPr>
          <w:szCs w:val="24"/>
        </w:rPr>
        <w:t xml:space="preserve">the overall clarity and </w:t>
      </w:r>
      <w:r w:rsidR="00E96DB3" w:rsidRPr="006A5671">
        <w:rPr>
          <w:szCs w:val="24"/>
        </w:rPr>
        <w:t>comprehensibility of th</w:t>
      </w:r>
      <w:r w:rsidR="006A2FDC" w:rsidRPr="006A5671">
        <w:rPr>
          <w:szCs w:val="24"/>
        </w:rPr>
        <w:t>e</w:t>
      </w:r>
      <w:r w:rsidR="00E96DB3" w:rsidRPr="006A5671">
        <w:rPr>
          <w:szCs w:val="24"/>
        </w:rPr>
        <w:t xml:space="preserve"> </w:t>
      </w:r>
      <w:r w:rsidR="006A2FDC" w:rsidRPr="006A5671">
        <w:rPr>
          <w:szCs w:val="24"/>
        </w:rPr>
        <w:t>R</w:t>
      </w:r>
      <w:r w:rsidR="00E96DB3" w:rsidRPr="006A5671">
        <w:rPr>
          <w:szCs w:val="24"/>
        </w:rPr>
        <w:t>e</w:t>
      </w:r>
      <w:r w:rsidR="006A2FDC" w:rsidRPr="006A5671">
        <w:rPr>
          <w:szCs w:val="24"/>
        </w:rPr>
        <w:t>gula</w:t>
      </w:r>
      <w:r w:rsidR="00E96DB3" w:rsidRPr="006A5671">
        <w:rPr>
          <w:szCs w:val="24"/>
        </w:rPr>
        <w:t>tion</w:t>
      </w:r>
      <w:r w:rsidR="006A2FDC" w:rsidRPr="006A5671">
        <w:rPr>
          <w:szCs w:val="24"/>
        </w:rPr>
        <w:t>s</w:t>
      </w:r>
      <w:r w:rsidR="00E96DB3" w:rsidRPr="006A5671">
        <w:rPr>
          <w:szCs w:val="24"/>
        </w:rPr>
        <w:t xml:space="preserve">. </w:t>
      </w:r>
    </w:p>
    <w:p w14:paraId="44A659A4" w14:textId="19F9E339" w:rsidR="00B357FE" w:rsidRPr="006A5671" w:rsidRDefault="00B357FE" w:rsidP="00C2156A">
      <w:pPr>
        <w:pStyle w:val="Heading2"/>
        <w:rPr>
          <w:sz w:val="24"/>
          <w:szCs w:val="24"/>
        </w:rPr>
      </w:pPr>
      <w:r w:rsidRPr="006A5671">
        <w:rPr>
          <w:sz w:val="24"/>
          <w:szCs w:val="24"/>
        </w:rPr>
        <w:t xml:space="preserve">Part 2 – Recognition of professional associations </w:t>
      </w:r>
    </w:p>
    <w:p w14:paraId="37CEC3C6" w14:textId="6E1BF2D6" w:rsidR="00DE54B8" w:rsidRPr="006A5671" w:rsidRDefault="00DE54B8" w:rsidP="00DE54B8">
      <w:pPr>
        <w:pStyle w:val="Heading3"/>
        <w:rPr>
          <w:szCs w:val="24"/>
        </w:rPr>
      </w:pPr>
      <w:r w:rsidRPr="006A5671">
        <w:rPr>
          <w:szCs w:val="24"/>
        </w:rPr>
        <w:t>Division 1 – Purpose of Part</w:t>
      </w:r>
    </w:p>
    <w:p w14:paraId="219DD387" w14:textId="55E7251E" w:rsidR="00093F2A" w:rsidRPr="006A5671" w:rsidRDefault="00093F2A" w:rsidP="00C2156A">
      <w:pPr>
        <w:pStyle w:val="Heading4"/>
        <w:rPr>
          <w:b w:val="0"/>
          <w:bCs/>
          <w:szCs w:val="24"/>
          <w:u w:val="single"/>
        </w:rPr>
      </w:pPr>
      <w:r w:rsidRPr="006A5671">
        <w:rPr>
          <w:b w:val="0"/>
          <w:bCs/>
          <w:szCs w:val="24"/>
          <w:u w:val="single"/>
        </w:rPr>
        <w:t xml:space="preserve">Section </w:t>
      </w:r>
      <w:r w:rsidR="00B357FE" w:rsidRPr="006A5671">
        <w:rPr>
          <w:b w:val="0"/>
          <w:bCs/>
          <w:szCs w:val="24"/>
          <w:u w:val="single"/>
        </w:rPr>
        <w:t>6</w:t>
      </w:r>
      <w:r w:rsidRPr="006A5671">
        <w:rPr>
          <w:b w:val="0"/>
          <w:bCs/>
          <w:szCs w:val="24"/>
          <w:u w:val="single"/>
        </w:rPr>
        <w:t xml:space="preserve"> – </w:t>
      </w:r>
      <w:r w:rsidR="00B357FE" w:rsidRPr="006A5671">
        <w:rPr>
          <w:b w:val="0"/>
          <w:bCs/>
          <w:szCs w:val="24"/>
          <w:u w:val="single"/>
        </w:rPr>
        <w:t xml:space="preserve">Purpose </w:t>
      </w:r>
    </w:p>
    <w:p w14:paraId="21A2DB51" w14:textId="74B14910" w:rsidR="008E57B7" w:rsidRPr="006A5671" w:rsidRDefault="004B40AC" w:rsidP="00093F2A">
      <w:pPr>
        <w:tabs>
          <w:tab w:val="left" w:pos="2835"/>
        </w:tabs>
        <w:spacing w:before="240"/>
        <w:ind w:right="91"/>
        <w:rPr>
          <w:szCs w:val="24"/>
        </w:rPr>
      </w:pPr>
      <w:r w:rsidRPr="006A5671">
        <w:rPr>
          <w:szCs w:val="24"/>
        </w:rPr>
        <w:t xml:space="preserve">The purpose of the Regulations remains consistent with the 2009 Regulations to provide for a system for the Board to recognise associations and has been updated </w:t>
      </w:r>
      <w:r w:rsidR="00B91730" w:rsidRPr="006A5671">
        <w:rPr>
          <w:szCs w:val="24"/>
        </w:rPr>
        <w:t>with minor editorial updates.</w:t>
      </w:r>
    </w:p>
    <w:p w14:paraId="25447DE5" w14:textId="1B247F26" w:rsidR="00E4548B" w:rsidRPr="008762E5" w:rsidRDefault="00E4548B" w:rsidP="00C2156A">
      <w:pPr>
        <w:pStyle w:val="Heading3"/>
        <w:rPr>
          <w:szCs w:val="24"/>
        </w:rPr>
      </w:pPr>
      <w:r w:rsidRPr="008762E5">
        <w:rPr>
          <w:szCs w:val="24"/>
        </w:rPr>
        <w:t xml:space="preserve">Division </w:t>
      </w:r>
      <w:r w:rsidR="009679C3" w:rsidRPr="008762E5">
        <w:rPr>
          <w:szCs w:val="24"/>
        </w:rPr>
        <w:t>2</w:t>
      </w:r>
      <w:r w:rsidR="00407EEB" w:rsidRPr="008762E5">
        <w:rPr>
          <w:szCs w:val="24"/>
        </w:rPr>
        <w:t xml:space="preserve"> and 3</w:t>
      </w:r>
      <w:r w:rsidR="00DE54B8" w:rsidRPr="008762E5">
        <w:rPr>
          <w:szCs w:val="24"/>
        </w:rPr>
        <w:t xml:space="preserve"> </w:t>
      </w:r>
      <w:r w:rsidRPr="008762E5">
        <w:rPr>
          <w:szCs w:val="24"/>
        </w:rPr>
        <w:t xml:space="preserve">– Recognised BAS agent </w:t>
      </w:r>
      <w:r w:rsidR="00E62285" w:rsidRPr="008762E5">
        <w:rPr>
          <w:szCs w:val="24"/>
        </w:rPr>
        <w:t xml:space="preserve">and tax agent </w:t>
      </w:r>
      <w:r w:rsidRPr="008762E5">
        <w:rPr>
          <w:szCs w:val="24"/>
        </w:rPr>
        <w:t>associations</w:t>
      </w:r>
    </w:p>
    <w:p w14:paraId="0CBA66E9" w14:textId="689F2811" w:rsidR="008E57B7" w:rsidRPr="008762E5" w:rsidRDefault="00CB5ACE" w:rsidP="00C2156A">
      <w:pPr>
        <w:pStyle w:val="Heading4"/>
        <w:rPr>
          <w:b w:val="0"/>
          <w:bCs/>
          <w:szCs w:val="24"/>
          <w:u w:val="single"/>
        </w:rPr>
      </w:pPr>
      <w:r w:rsidRPr="008762E5">
        <w:rPr>
          <w:b w:val="0"/>
          <w:bCs/>
          <w:szCs w:val="24"/>
          <w:u w:val="single"/>
        </w:rPr>
        <w:t xml:space="preserve">Sections </w:t>
      </w:r>
      <w:r w:rsidR="00E4548B" w:rsidRPr="008762E5">
        <w:rPr>
          <w:b w:val="0"/>
          <w:bCs/>
          <w:szCs w:val="24"/>
          <w:u w:val="single"/>
        </w:rPr>
        <w:t>7</w:t>
      </w:r>
      <w:r w:rsidR="008E57B7" w:rsidRPr="008762E5">
        <w:rPr>
          <w:b w:val="0"/>
          <w:bCs/>
          <w:szCs w:val="24"/>
          <w:u w:val="single"/>
        </w:rPr>
        <w:t xml:space="preserve"> </w:t>
      </w:r>
      <w:r w:rsidR="00BB3D74" w:rsidRPr="008762E5">
        <w:rPr>
          <w:b w:val="0"/>
          <w:bCs/>
          <w:szCs w:val="24"/>
          <w:u w:val="single"/>
        </w:rPr>
        <w:t xml:space="preserve">and 12 </w:t>
      </w:r>
      <w:r w:rsidRPr="008762E5">
        <w:rPr>
          <w:b w:val="0"/>
          <w:bCs/>
          <w:szCs w:val="24"/>
          <w:u w:val="single"/>
        </w:rPr>
        <w:t xml:space="preserve">– </w:t>
      </w:r>
      <w:r w:rsidR="008E57B7" w:rsidRPr="008762E5">
        <w:rPr>
          <w:b w:val="0"/>
          <w:bCs/>
          <w:szCs w:val="24"/>
          <w:u w:val="single"/>
        </w:rPr>
        <w:t>Application</w:t>
      </w:r>
      <w:r w:rsidRPr="008762E5">
        <w:rPr>
          <w:b w:val="0"/>
          <w:bCs/>
          <w:szCs w:val="24"/>
          <w:u w:val="single"/>
        </w:rPr>
        <w:t xml:space="preserve"> </w:t>
      </w:r>
      <w:r w:rsidR="008E57B7" w:rsidRPr="008762E5">
        <w:rPr>
          <w:b w:val="0"/>
          <w:bCs/>
          <w:szCs w:val="24"/>
          <w:u w:val="single"/>
        </w:rPr>
        <w:t xml:space="preserve">for recognition </w:t>
      </w:r>
    </w:p>
    <w:p w14:paraId="38B55953" w14:textId="4701FFCC" w:rsidR="0087323D" w:rsidRPr="008762E5" w:rsidRDefault="006A2FDC" w:rsidP="008E57B7">
      <w:pPr>
        <w:tabs>
          <w:tab w:val="left" w:pos="2835"/>
        </w:tabs>
        <w:spacing w:before="240"/>
        <w:ind w:right="91"/>
        <w:rPr>
          <w:szCs w:val="24"/>
        </w:rPr>
      </w:pPr>
      <w:r w:rsidRPr="008762E5">
        <w:rPr>
          <w:szCs w:val="24"/>
        </w:rPr>
        <w:t>Sect</w:t>
      </w:r>
      <w:r w:rsidR="00BB3D74" w:rsidRPr="008762E5">
        <w:rPr>
          <w:szCs w:val="24"/>
        </w:rPr>
        <w:t>ions</w:t>
      </w:r>
      <w:r w:rsidRPr="008762E5">
        <w:rPr>
          <w:szCs w:val="24"/>
        </w:rPr>
        <w:t xml:space="preserve"> 7 and 12</w:t>
      </w:r>
      <w:r w:rsidR="00BB3D74" w:rsidRPr="008762E5">
        <w:rPr>
          <w:szCs w:val="24"/>
        </w:rPr>
        <w:t xml:space="preserve"> </w:t>
      </w:r>
      <w:r w:rsidR="004B40AC" w:rsidRPr="008762E5">
        <w:rPr>
          <w:szCs w:val="24"/>
        </w:rPr>
        <w:t>detail</w:t>
      </w:r>
      <w:r w:rsidR="00BB3D74" w:rsidRPr="008762E5">
        <w:rPr>
          <w:szCs w:val="24"/>
        </w:rPr>
        <w:t xml:space="preserve"> </w:t>
      </w:r>
      <w:r w:rsidRPr="008762E5">
        <w:rPr>
          <w:szCs w:val="24"/>
        </w:rPr>
        <w:t xml:space="preserve">how a not-for-profit </w:t>
      </w:r>
      <w:r w:rsidR="004B40AC" w:rsidRPr="008762E5">
        <w:rPr>
          <w:szCs w:val="24"/>
        </w:rPr>
        <w:t>association</w:t>
      </w:r>
      <w:r w:rsidRPr="008762E5">
        <w:rPr>
          <w:szCs w:val="24"/>
        </w:rPr>
        <w:t xml:space="preserve"> may</w:t>
      </w:r>
      <w:r w:rsidR="00BB3D74" w:rsidRPr="008762E5">
        <w:rPr>
          <w:szCs w:val="24"/>
        </w:rPr>
        <w:t xml:space="preserve"> </w:t>
      </w:r>
      <w:r w:rsidR="004B40AC" w:rsidRPr="008762E5">
        <w:rPr>
          <w:szCs w:val="24"/>
        </w:rPr>
        <w:t>appl</w:t>
      </w:r>
      <w:r w:rsidR="00256C29" w:rsidRPr="008762E5">
        <w:rPr>
          <w:szCs w:val="24"/>
        </w:rPr>
        <w:t>y</w:t>
      </w:r>
      <w:r w:rsidR="004B40AC" w:rsidRPr="008762E5">
        <w:rPr>
          <w:szCs w:val="24"/>
        </w:rPr>
        <w:t xml:space="preserve"> to the Board for recognition</w:t>
      </w:r>
      <w:r w:rsidRPr="008762E5">
        <w:rPr>
          <w:szCs w:val="24"/>
        </w:rPr>
        <w:t xml:space="preserve"> as a BAS agent association or a tax agent association</w:t>
      </w:r>
      <w:r w:rsidR="004B40AC" w:rsidRPr="008762E5">
        <w:rPr>
          <w:szCs w:val="24"/>
        </w:rPr>
        <w:t>. Th</w:t>
      </w:r>
      <w:r w:rsidR="00792208" w:rsidRPr="008762E5">
        <w:rPr>
          <w:szCs w:val="24"/>
        </w:rPr>
        <w:t>e</w:t>
      </w:r>
      <w:r w:rsidR="00BD297C" w:rsidRPr="008762E5">
        <w:rPr>
          <w:szCs w:val="24"/>
        </w:rPr>
        <w:t>se</w:t>
      </w:r>
      <w:r w:rsidR="00792208" w:rsidRPr="008762E5">
        <w:rPr>
          <w:szCs w:val="24"/>
        </w:rPr>
        <w:t xml:space="preserve"> </w:t>
      </w:r>
      <w:r w:rsidR="00BD297C" w:rsidRPr="008762E5">
        <w:rPr>
          <w:szCs w:val="24"/>
        </w:rPr>
        <w:t xml:space="preserve">sections specify how an application may be made and in what form. The </w:t>
      </w:r>
      <w:r w:rsidR="00792208" w:rsidRPr="008762E5">
        <w:rPr>
          <w:szCs w:val="24"/>
        </w:rPr>
        <w:t>application for recognition</w:t>
      </w:r>
      <w:r w:rsidR="004B40AC" w:rsidRPr="008762E5">
        <w:rPr>
          <w:szCs w:val="24"/>
        </w:rPr>
        <w:t xml:space="preserve"> has been updated </w:t>
      </w:r>
      <w:r w:rsidR="00792208" w:rsidRPr="008762E5">
        <w:rPr>
          <w:szCs w:val="24"/>
        </w:rPr>
        <w:t>in accordance with current</w:t>
      </w:r>
      <w:r w:rsidR="004B40AC" w:rsidRPr="008762E5">
        <w:rPr>
          <w:szCs w:val="24"/>
        </w:rPr>
        <w:t xml:space="preserve"> drafting </w:t>
      </w:r>
      <w:r w:rsidR="00BD297C" w:rsidRPr="008762E5">
        <w:rPr>
          <w:szCs w:val="24"/>
        </w:rPr>
        <w:t>conventions</w:t>
      </w:r>
      <w:r w:rsidR="004B40AC" w:rsidRPr="008762E5">
        <w:rPr>
          <w:szCs w:val="24"/>
        </w:rPr>
        <w:t xml:space="preserve">. </w:t>
      </w:r>
    </w:p>
    <w:p w14:paraId="0A0B1307" w14:textId="16C4DD02" w:rsidR="004B40AC" w:rsidRPr="008762E5" w:rsidRDefault="004B40AC" w:rsidP="008E57B7">
      <w:pPr>
        <w:tabs>
          <w:tab w:val="left" w:pos="2835"/>
        </w:tabs>
        <w:spacing w:before="240"/>
        <w:ind w:right="91"/>
        <w:rPr>
          <w:szCs w:val="24"/>
        </w:rPr>
      </w:pPr>
      <w:r w:rsidRPr="008762E5">
        <w:rPr>
          <w:bCs/>
          <w:szCs w:val="24"/>
          <w:u w:val="single"/>
        </w:rPr>
        <w:t>Section 8</w:t>
      </w:r>
      <w:r w:rsidR="00BB3D74" w:rsidRPr="008762E5">
        <w:rPr>
          <w:bCs/>
          <w:szCs w:val="24"/>
          <w:u w:val="single"/>
        </w:rPr>
        <w:t xml:space="preserve"> and </w:t>
      </w:r>
      <w:r w:rsidR="001D3F42" w:rsidRPr="008762E5">
        <w:rPr>
          <w:bCs/>
          <w:szCs w:val="24"/>
          <w:u w:val="single"/>
        </w:rPr>
        <w:t>13</w:t>
      </w:r>
      <w:r w:rsidRPr="008762E5">
        <w:rPr>
          <w:bCs/>
          <w:szCs w:val="24"/>
          <w:u w:val="single"/>
        </w:rPr>
        <w:t xml:space="preserve"> – Recognition of association</w:t>
      </w:r>
    </w:p>
    <w:p w14:paraId="699D02E3" w14:textId="32BEFF4A" w:rsidR="001D3F42" w:rsidRPr="008762E5" w:rsidRDefault="00E62285" w:rsidP="00BB3D74">
      <w:pPr>
        <w:tabs>
          <w:tab w:val="left" w:pos="2835"/>
        </w:tabs>
        <w:spacing w:before="240"/>
        <w:ind w:right="91"/>
        <w:rPr>
          <w:szCs w:val="24"/>
        </w:rPr>
      </w:pPr>
      <w:r w:rsidRPr="008762E5">
        <w:rPr>
          <w:szCs w:val="24"/>
        </w:rPr>
        <w:t xml:space="preserve">Sections 8 and 13 </w:t>
      </w:r>
      <w:r w:rsidR="00BD297C" w:rsidRPr="008762E5">
        <w:rPr>
          <w:szCs w:val="24"/>
        </w:rPr>
        <w:t xml:space="preserve">provide </w:t>
      </w:r>
      <w:r w:rsidRPr="008762E5">
        <w:rPr>
          <w:szCs w:val="24"/>
        </w:rPr>
        <w:t>t</w:t>
      </w:r>
      <w:r w:rsidR="00792208" w:rsidRPr="008762E5">
        <w:rPr>
          <w:szCs w:val="24"/>
        </w:rPr>
        <w:t xml:space="preserve">he </w:t>
      </w:r>
      <w:r w:rsidR="00BD297C" w:rsidRPr="008762E5">
        <w:rPr>
          <w:szCs w:val="24"/>
        </w:rPr>
        <w:t xml:space="preserve">Tax Practitioners </w:t>
      </w:r>
      <w:r w:rsidRPr="008762E5">
        <w:rPr>
          <w:szCs w:val="24"/>
        </w:rPr>
        <w:t>Board’s</w:t>
      </w:r>
      <w:r w:rsidR="00BD297C" w:rsidRPr="008762E5">
        <w:rPr>
          <w:szCs w:val="24"/>
        </w:rPr>
        <w:t xml:space="preserve"> (the Board)</w:t>
      </w:r>
      <w:r w:rsidRPr="008762E5">
        <w:rPr>
          <w:szCs w:val="24"/>
        </w:rPr>
        <w:t xml:space="preserve"> </w:t>
      </w:r>
      <w:r w:rsidR="001D3F42" w:rsidRPr="008762E5">
        <w:rPr>
          <w:szCs w:val="24"/>
        </w:rPr>
        <w:t xml:space="preserve">process for </w:t>
      </w:r>
      <w:r w:rsidR="00792208" w:rsidRPr="008762E5">
        <w:rPr>
          <w:szCs w:val="24"/>
        </w:rPr>
        <w:t>recogni</w:t>
      </w:r>
      <w:r w:rsidRPr="008762E5">
        <w:rPr>
          <w:szCs w:val="24"/>
        </w:rPr>
        <w:t>sing</w:t>
      </w:r>
      <w:r w:rsidR="00792208" w:rsidRPr="008762E5">
        <w:rPr>
          <w:szCs w:val="24"/>
        </w:rPr>
        <w:t xml:space="preserve"> association</w:t>
      </w:r>
      <w:r w:rsidRPr="008762E5">
        <w:rPr>
          <w:szCs w:val="24"/>
        </w:rPr>
        <w:t>s</w:t>
      </w:r>
      <w:r w:rsidR="00792208" w:rsidRPr="008762E5">
        <w:rPr>
          <w:szCs w:val="24"/>
        </w:rPr>
        <w:t xml:space="preserve"> </w:t>
      </w:r>
      <w:r w:rsidRPr="008762E5">
        <w:rPr>
          <w:szCs w:val="24"/>
        </w:rPr>
        <w:t xml:space="preserve">relating to BAS agent and tax agent associations, respectively. </w:t>
      </w:r>
    </w:p>
    <w:p w14:paraId="4A03543A" w14:textId="6D38E750" w:rsidR="00BB3D74" w:rsidRPr="008762E5" w:rsidRDefault="00BB3D74" w:rsidP="00BB3D74">
      <w:pPr>
        <w:tabs>
          <w:tab w:val="left" w:pos="2835"/>
        </w:tabs>
        <w:spacing w:before="240"/>
        <w:ind w:right="91"/>
        <w:rPr>
          <w:szCs w:val="24"/>
        </w:rPr>
      </w:pPr>
      <w:r w:rsidRPr="008762E5">
        <w:rPr>
          <w:szCs w:val="24"/>
        </w:rPr>
        <w:t>In determining whether to recognise an organisation as a BAS agent association,</w:t>
      </w:r>
      <w:r w:rsidR="00C9498A" w:rsidRPr="008762E5">
        <w:rPr>
          <w:szCs w:val="24"/>
        </w:rPr>
        <w:t xml:space="preserve"> section 8</w:t>
      </w:r>
      <w:r w:rsidR="00256C29" w:rsidRPr="008762E5">
        <w:rPr>
          <w:szCs w:val="24"/>
        </w:rPr>
        <w:t xml:space="preserve"> </w:t>
      </w:r>
      <w:r w:rsidRPr="008762E5">
        <w:rPr>
          <w:szCs w:val="24"/>
        </w:rPr>
        <w:t>states that the Board must have regard to a set of objective requirements</w:t>
      </w:r>
      <w:r w:rsidR="00C9498A" w:rsidRPr="008762E5">
        <w:rPr>
          <w:szCs w:val="24"/>
        </w:rPr>
        <w:t xml:space="preserve"> </w:t>
      </w:r>
      <w:r w:rsidRPr="008762E5">
        <w:rPr>
          <w:szCs w:val="24"/>
        </w:rPr>
        <w:t xml:space="preserve">outlined in Part </w:t>
      </w:r>
      <w:r w:rsidR="001D3F42" w:rsidRPr="008762E5">
        <w:rPr>
          <w:szCs w:val="24"/>
        </w:rPr>
        <w:t>1</w:t>
      </w:r>
      <w:r w:rsidRPr="008762E5">
        <w:rPr>
          <w:szCs w:val="24"/>
        </w:rPr>
        <w:t xml:space="preserve"> of Schedule </w:t>
      </w:r>
      <w:r w:rsidR="001D3F42" w:rsidRPr="008762E5">
        <w:rPr>
          <w:szCs w:val="24"/>
        </w:rPr>
        <w:t>1</w:t>
      </w:r>
      <w:r w:rsidR="00BD297C" w:rsidRPr="008762E5">
        <w:rPr>
          <w:szCs w:val="24"/>
        </w:rPr>
        <w:t xml:space="preserve"> </w:t>
      </w:r>
      <w:r w:rsidRPr="008762E5">
        <w:rPr>
          <w:szCs w:val="24"/>
        </w:rPr>
        <w:t xml:space="preserve">to the Regulations. </w:t>
      </w:r>
      <w:r w:rsidR="00C9498A" w:rsidRPr="008762E5">
        <w:rPr>
          <w:szCs w:val="24"/>
        </w:rPr>
        <w:t xml:space="preserve">Section </w:t>
      </w:r>
      <w:r w:rsidR="00256C29" w:rsidRPr="008762E5">
        <w:rPr>
          <w:szCs w:val="24"/>
        </w:rPr>
        <w:t>13</w:t>
      </w:r>
      <w:r w:rsidRPr="008762E5">
        <w:rPr>
          <w:szCs w:val="24"/>
        </w:rPr>
        <w:t xml:space="preserve"> similarly states that</w:t>
      </w:r>
      <w:r w:rsidR="001D3F42" w:rsidRPr="008762E5">
        <w:rPr>
          <w:szCs w:val="24"/>
        </w:rPr>
        <w:t xml:space="preserve"> </w:t>
      </w:r>
      <w:r w:rsidRPr="008762E5">
        <w:rPr>
          <w:szCs w:val="24"/>
        </w:rPr>
        <w:t>the Board must have regard to the objective requirements listed in Part 2 of</w:t>
      </w:r>
      <w:r w:rsidR="001D3F42" w:rsidRPr="008762E5">
        <w:rPr>
          <w:szCs w:val="24"/>
        </w:rPr>
        <w:t xml:space="preserve"> </w:t>
      </w:r>
      <w:r w:rsidRPr="008762E5">
        <w:rPr>
          <w:szCs w:val="24"/>
        </w:rPr>
        <w:t xml:space="preserve">Schedule </w:t>
      </w:r>
      <w:r w:rsidR="001D3F42" w:rsidRPr="008762E5">
        <w:rPr>
          <w:szCs w:val="24"/>
        </w:rPr>
        <w:t>1</w:t>
      </w:r>
      <w:r w:rsidRPr="008762E5">
        <w:rPr>
          <w:szCs w:val="24"/>
        </w:rPr>
        <w:t xml:space="preserve"> to the Regulations in determining </w:t>
      </w:r>
      <w:proofErr w:type="gramStart"/>
      <w:r w:rsidRPr="008762E5">
        <w:rPr>
          <w:szCs w:val="24"/>
        </w:rPr>
        <w:t>whether or not</w:t>
      </w:r>
      <w:proofErr w:type="gramEnd"/>
      <w:r w:rsidRPr="008762E5">
        <w:rPr>
          <w:szCs w:val="24"/>
        </w:rPr>
        <w:t xml:space="preserve"> to recognise an</w:t>
      </w:r>
      <w:r w:rsidR="001D3F42" w:rsidRPr="008762E5">
        <w:rPr>
          <w:szCs w:val="24"/>
        </w:rPr>
        <w:t xml:space="preserve"> </w:t>
      </w:r>
      <w:r w:rsidRPr="008762E5">
        <w:rPr>
          <w:szCs w:val="24"/>
        </w:rPr>
        <w:t>organisation as a recognised tax agent association.</w:t>
      </w:r>
      <w:r w:rsidR="00E62285" w:rsidRPr="008762E5">
        <w:rPr>
          <w:szCs w:val="24"/>
        </w:rPr>
        <w:t xml:space="preserve"> </w:t>
      </w:r>
    </w:p>
    <w:p w14:paraId="741B68F8" w14:textId="64548CFA" w:rsidR="00E62285" w:rsidRPr="008762E5" w:rsidRDefault="001D3F42" w:rsidP="00BB3D74">
      <w:pPr>
        <w:tabs>
          <w:tab w:val="left" w:pos="2835"/>
        </w:tabs>
        <w:spacing w:before="240"/>
        <w:ind w:right="91"/>
        <w:rPr>
          <w:szCs w:val="24"/>
        </w:rPr>
      </w:pPr>
      <w:r w:rsidRPr="008762E5">
        <w:rPr>
          <w:szCs w:val="24"/>
        </w:rPr>
        <w:t xml:space="preserve">If the Board </w:t>
      </w:r>
      <w:r w:rsidR="00E62285" w:rsidRPr="008762E5">
        <w:rPr>
          <w:szCs w:val="24"/>
        </w:rPr>
        <w:t xml:space="preserve">either recognises or </w:t>
      </w:r>
      <w:r w:rsidRPr="008762E5">
        <w:rPr>
          <w:szCs w:val="24"/>
        </w:rPr>
        <w:t xml:space="preserve">refuses to recognise the </w:t>
      </w:r>
      <w:r w:rsidR="00E62285" w:rsidRPr="008762E5">
        <w:rPr>
          <w:szCs w:val="24"/>
        </w:rPr>
        <w:t>association, then</w:t>
      </w:r>
      <w:r w:rsidRPr="008762E5">
        <w:rPr>
          <w:szCs w:val="24"/>
        </w:rPr>
        <w:t xml:space="preserve"> the Board must </w:t>
      </w:r>
      <w:r w:rsidR="00E62285" w:rsidRPr="008762E5">
        <w:rPr>
          <w:szCs w:val="24"/>
        </w:rPr>
        <w:t xml:space="preserve">provide written </w:t>
      </w:r>
      <w:r w:rsidRPr="008762E5">
        <w:rPr>
          <w:szCs w:val="24"/>
        </w:rPr>
        <w:t>notif</w:t>
      </w:r>
      <w:r w:rsidR="00E62285" w:rsidRPr="008762E5">
        <w:rPr>
          <w:szCs w:val="24"/>
        </w:rPr>
        <w:t>ication</w:t>
      </w:r>
      <w:r w:rsidRPr="008762E5">
        <w:rPr>
          <w:szCs w:val="24"/>
        </w:rPr>
        <w:t xml:space="preserve"> </w:t>
      </w:r>
      <w:r w:rsidR="00BD297C" w:rsidRPr="008762E5">
        <w:rPr>
          <w:szCs w:val="24"/>
        </w:rPr>
        <w:t xml:space="preserve">specifying </w:t>
      </w:r>
      <w:r w:rsidRPr="008762E5">
        <w:rPr>
          <w:szCs w:val="24"/>
        </w:rPr>
        <w:t>the reasons for the decision.</w:t>
      </w:r>
      <w:r w:rsidR="00DD7ED4" w:rsidRPr="008762E5">
        <w:rPr>
          <w:szCs w:val="24"/>
        </w:rPr>
        <w:t xml:space="preserve"> The requirement for the Board to maintain a list of recognised associations on the</w:t>
      </w:r>
      <w:r w:rsidR="00BD297C" w:rsidRPr="008762E5">
        <w:rPr>
          <w:szCs w:val="24"/>
        </w:rPr>
        <w:t>ir</w:t>
      </w:r>
      <w:r w:rsidR="00DD7ED4" w:rsidRPr="008762E5">
        <w:rPr>
          <w:szCs w:val="24"/>
        </w:rPr>
        <w:t xml:space="preserve"> website has been relocated to a new provision in section 19. </w:t>
      </w:r>
      <w:r w:rsidRPr="008762E5">
        <w:rPr>
          <w:szCs w:val="24"/>
        </w:rPr>
        <w:t xml:space="preserve"> </w:t>
      </w:r>
    </w:p>
    <w:p w14:paraId="59FBD955" w14:textId="15ED376A" w:rsidR="001D3F42" w:rsidRPr="008762E5" w:rsidRDefault="001D3F42" w:rsidP="00BB3D74">
      <w:pPr>
        <w:tabs>
          <w:tab w:val="left" w:pos="2835"/>
        </w:tabs>
        <w:spacing w:before="240"/>
        <w:ind w:right="91"/>
        <w:rPr>
          <w:szCs w:val="24"/>
        </w:rPr>
      </w:pPr>
      <w:r w:rsidRPr="008762E5">
        <w:rPr>
          <w:szCs w:val="24"/>
        </w:rPr>
        <w:t>Th</w:t>
      </w:r>
      <w:r w:rsidR="000C1161" w:rsidRPr="008762E5">
        <w:rPr>
          <w:szCs w:val="24"/>
        </w:rPr>
        <w:t xml:space="preserve">ese </w:t>
      </w:r>
      <w:r w:rsidRPr="008762E5">
        <w:rPr>
          <w:szCs w:val="24"/>
        </w:rPr>
        <w:t>provision</w:t>
      </w:r>
      <w:r w:rsidR="00D132B9" w:rsidRPr="008762E5">
        <w:rPr>
          <w:szCs w:val="24"/>
        </w:rPr>
        <w:t>s</w:t>
      </w:r>
      <w:r w:rsidRPr="008762E5">
        <w:rPr>
          <w:szCs w:val="24"/>
        </w:rPr>
        <w:t xml:space="preserve"> ha</w:t>
      </w:r>
      <w:r w:rsidR="000C1161" w:rsidRPr="008762E5">
        <w:rPr>
          <w:szCs w:val="24"/>
        </w:rPr>
        <w:t>ve</w:t>
      </w:r>
      <w:r w:rsidRPr="008762E5">
        <w:rPr>
          <w:szCs w:val="24"/>
        </w:rPr>
        <w:t xml:space="preserve"> been consolidated to improve reader</w:t>
      </w:r>
      <w:r w:rsidR="00BD297C" w:rsidRPr="008762E5">
        <w:rPr>
          <w:szCs w:val="24"/>
        </w:rPr>
        <w:t xml:space="preserve"> comprehension in circumstances</w:t>
      </w:r>
      <w:r w:rsidRPr="008762E5">
        <w:rPr>
          <w:szCs w:val="24"/>
        </w:rPr>
        <w:t xml:space="preserve"> where the changes have not altered t</w:t>
      </w:r>
      <w:r w:rsidR="00BD297C" w:rsidRPr="008762E5">
        <w:rPr>
          <w:szCs w:val="24"/>
        </w:rPr>
        <w:t>he</w:t>
      </w:r>
      <w:r w:rsidRPr="008762E5">
        <w:rPr>
          <w:szCs w:val="24"/>
        </w:rPr>
        <w:t xml:space="preserve"> scope or any other feature of t</w:t>
      </w:r>
      <w:r w:rsidR="00BD297C" w:rsidRPr="008762E5">
        <w:rPr>
          <w:szCs w:val="24"/>
        </w:rPr>
        <w:t>he</w:t>
      </w:r>
      <w:r w:rsidRPr="008762E5">
        <w:rPr>
          <w:szCs w:val="24"/>
        </w:rPr>
        <w:t xml:space="preserve"> substantive operation</w:t>
      </w:r>
      <w:r w:rsidR="00BD297C" w:rsidRPr="008762E5">
        <w:rPr>
          <w:szCs w:val="24"/>
        </w:rPr>
        <w:t xml:space="preserve"> of these sections</w:t>
      </w:r>
      <w:r w:rsidRPr="008762E5">
        <w:rPr>
          <w:szCs w:val="24"/>
        </w:rPr>
        <w:t>.</w:t>
      </w:r>
      <w:r w:rsidR="00DD7ED4" w:rsidRPr="008762E5">
        <w:rPr>
          <w:szCs w:val="24"/>
        </w:rPr>
        <w:t xml:space="preserve"> </w:t>
      </w:r>
    </w:p>
    <w:p w14:paraId="52F43836" w14:textId="78C8C7DE" w:rsidR="008E57B7" w:rsidRPr="008762E5" w:rsidRDefault="00CB5ACE" w:rsidP="00C2156A">
      <w:pPr>
        <w:pStyle w:val="Heading4"/>
        <w:rPr>
          <w:b w:val="0"/>
          <w:bCs/>
          <w:szCs w:val="24"/>
          <w:u w:val="single"/>
        </w:rPr>
      </w:pPr>
      <w:r w:rsidRPr="008762E5">
        <w:rPr>
          <w:b w:val="0"/>
          <w:bCs/>
          <w:szCs w:val="24"/>
          <w:u w:val="single"/>
        </w:rPr>
        <w:t xml:space="preserve">Section </w:t>
      </w:r>
      <w:r w:rsidR="00E4548B" w:rsidRPr="008762E5">
        <w:rPr>
          <w:b w:val="0"/>
          <w:bCs/>
          <w:szCs w:val="24"/>
          <w:u w:val="single"/>
        </w:rPr>
        <w:t>9</w:t>
      </w:r>
      <w:r w:rsidR="00DD7ED4" w:rsidRPr="008762E5">
        <w:rPr>
          <w:b w:val="0"/>
          <w:bCs/>
          <w:szCs w:val="24"/>
          <w:u w:val="single"/>
        </w:rPr>
        <w:t xml:space="preserve"> and 14</w:t>
      </w:r>
      <w:r w:rsidRPr="008762E5">
        <w:rPr>
          <w:b w:val="0"/>
          <w:bCs/>
          <w:szCs w:val="24"/>
          <w:u w:val="single"/>
        </w:rPr>
        <w:t xml:space="preserve"> –</w:t>
      </w:r>
      <w:r w:rsidR="008E57B7" w:rsidRPr="008762E5">
        <w:rPr>
          <w:b w:val="0"/>
          <w:bCs/>
          <w:szCs w:val="24"/>
          <w:u w:val="single"/>
        </w:rPr>
        <w:t xml:space="preserve"> </w:t>
      </w:r>
      <w:r w:rsidR="000E6A29" w:rsidRPr="008762E5">
        <w:rPr>
          <w:b w:val="0"/>
          <w:bCs/>
          <w:szCs w:val="24"/>
          <w:u w:val="single"/>
        </w:rPr>
        <w:t>Notice</w:t>
      </w:r>
      <w:r w:rsidRPr="008762E5">
        <w:rPr>
          <w:b w:val="0"/>
          <w:bCs/>
          <w:szCs w:val="24"/>
          <w:u w:val="single"/>
        </w:rPr>
        <w:t xml:space="preserve"> </w:t>
      </w:r>
      <w:r w:rsidR="000E6A29" w:rsidRPr="008762E5">
        <w:rPr>
          <w:b w:val="0"/>
          <w:bCs/>
          <w:szCs w:val="24"/>
          <w:u w:val="single"/>
        </w:rPr>
        <w:t xml:space="preserve">to Board if </w:t>
      </w:r>
      <w:r w:rsidR="00B512F3" w:rsidRPr="008762E5">
        <w:rPr>
          <w:b w:val="0"/>
          <w:bCs/>
          <w:szCs w:val="24"/>
          <w:u w:val="single"/>
        </w:rPr>
        <w:t>a</w:t>
      </w:r>
      <w:r w:rsidR="000E6A29" w:rsidRPr="008762E5">
        <w:rPr>
          <w:b w:val="0"/>
          <w:bCs/>
          <w:szCs w:val="24"/>
          <w:u w:val="single"/>
        </w:rPr>
        <w:t>ssociation ceases to meet r</w:t>
      </w:r>
      <w:r w:rsidR="008E57B7" w:rsidRPr="008762E5">
        <w:rPr>
          <w:b w:val="0"/>
          <w:bCs/>
          <w:szCs w:val="24"/>
          <w:u w:val="single"/>
        </w:rPr>
        <w:t xml:space="preserve">equirements </w:t>
      </w:r>
    </w:p>
    <w:p w14:paraId="436A8E4C" w14:textId="48739781" w:rsidR="000C1161" w:rsidRPr="008762E5" w:rsidRDefault="00BD297C" w:rsidP="00242DD4">
      <w:pPr>
        <w:rPr>
          <w:szCs w:val="24"/>
        </w:rPr>
      </w:pPr>
      <w:r w:rsidRPr="008762E5">
        <w:rPr>
          <w:szCs w:val="24"/>
        </w:rPr>
        <w:t xml:space="preserve">Sections 9 and 14 </w:t>
      </w:r>
      <w:r w:rsidR="00277A41" w:rsidRPr="008762E5">
        <w:rPr>
          <w:szCs w:val="24"/>
        </w:rPr>
        <w:t>specify that w</w:t>
      </w:r>
      <w:r w:rsidR="0073127C" w:rsidRPr="008762E5">
        <w:rPr>
          <w:szCs w:val="24"/>
        </w:rPr>
        <w:t xml:space="preserve">here an association no longer meets the requirements outlined in the </w:t>
      </w:r>
      <w:r w:rsidR="004127D3" w:rsidRPr="008762E5">
        <w:rPr>
          <w:szCs w:val="24"/>
        </w:rPr>
        <w:t>S</w:t>
      </w:r>
      <w:r w:rsidR="0073127C" w:rsidRPr="008762E5">
        <w:rPr>
          <w:szCs w:val="24"/>
        </w:rPr>
        <w:t xml:space="preserve">chedules, </w:t>
      </w:r>
      <w:r w:rsidR="00B043A3" w:rsidRPr="008762E5">
        <w:rPr>
          <w:szCs w:val="24"/>
        </w:rPr>
        <w:t>an association is required to notify the Board of any change of circumstances that impacts on their ongoing recognition by the Board</w:t>
      </w:r>
      <w:r w:rsidR="004127D3" w:rsidRPr="008762E5">
        <w:rPr>
          <w:szCs w:val="24"/>
        </w:rPr>
        <w:t>.</w:t>
      </w:r>
    </w:p>
    <w:p w14:paraId="630152DF" w14:textId="0478C762" w:rsidR="00242DD4" w:rsidRPr="008762E5" w:rsidRDefault="004127D3" w:rsidP="00242DD4">
      <w:pPr>
        <w:rPr>
          <w:szCs w:val="24"/>
          <w:shd w:val="clear" w:color="auto" w:fill="FFFFFF"/>
        </w:rPr>
      </w:pPr>
      <w:r w:rsidRPr="008762E5">
        <w:rPr>
          <w:szCs w:val="24"/>
        </w:rPr>
        <w:lastRenderedPageBreak/>
        <w:t>Th</w:t>
      </w:r>
      <w:r w:rsidR="000C1161" w:rsidRPr="008762E5">
        <w:rPr>
          <w:szCs w:val="24"/>
        </w:rPr>
        <w:t>e</w:t>
      </w:r>
      <w:r w:rsidR="00277A41" w:rsidRPr="008762E5">
        <w:rPr>
          <w:szCs w:val="24"/>
        </w:rPr>
        <w:t xml:space="preserve"> purpo</w:t>
      </w:r>
      <w:r w:rsidRPr="008762E5">
        <w:rPr>
          <w:szCs w:val="24"/>
        </w:rPr>
        <w:t>s</w:t>
      </w:r>
      <w:r w:rsidR="000C1161" w:rsidRPr="008762E5">
        <w:rPr>
          <w:szCs w:val="24"/>
        </w:rPr>
        <w:t>e</w:t>
      </w:r>
      <w:r w:rsidR="006A5671">
        <w:rPr>
          <w:szCs w:val="24"/>
        </w:rPr>
        <w:t xml:space="preserve"> </w:t>
      </w:r>
      <w:r w:rsidR="00277A41" w:rsidRPr="008762E5">
        <w:rPr>
          <w:szCs w:val="24"/>
        </w:rPr>
        <w:t xml:space="preserve">of the amendments is to </w:t>
      </w:r>
      <w:r w:rsidR="00757848" w:rsidRPr="008762E5">
        <w:rPr>
          <w:szCs w:val="24"/>
        </w:rPr>
        <w:t>simplif</w:t>
      </w:r>
      <w:r w:rsidR="00277A41" w:rsidRPr="008762E5">
        <w:rPr>
          <w:szCs w:val="24"/>
        </w:rPr>
        <w:t>y and update the sections by</w:t>
      </w:r>
      <w:r w:rsidR="00757848" w:rsidRPr="008762E5">
        <w:rPr>
          <w:szCs w:val="24"/>
        </w:rPr>
        <w:t xml:space="preserve"> remov</w:t>
      </w:r>
      <w:r w:rsidR="00277A41" w:rsidRPr="008762E5">
        <w:rPr>
          <w:szCs w:val="24"/>
        </w:rPr>
        <w:t>ing</w:t>
      </w:r>
      <w:r w:rsidR="00757848" w:rsidRPr="008762E5">
        <w:rPr>
          <w:szCs w:val="24"/>
        </w:rPr>
        <w:t xml:space="preserve"> redundant legislative obligations</w:t>
      </w:r>
      <w:r w:rsidR="00DE54B8" w:rsidRPr="008762E5">
        <w:rPr>
          <w:szCs w:val="24"/>
        </w:rPr>
        <w:t xml:space="preserve">. </w:t>
      </w:r>
    </w:p>
    <w:p w14:paraId="31434815" w14:textId="4918D97A" w:rsidR="00CB5ACE" w:rsidRPr="008762E5" w:rsidRDefault="00CB5ACE" w:rsidP="00CB5ACE">
      <w:pPr>
        <w:pStyle w:val="Heading4"/>
        <w:rPr>
          <w:b w:val="0"/>
          <w:bCs/>
          <w:szCs w:val="24"/>
          <w:u w:val="single"/>
        </w:rPr>
      </w:pPr>
      <w:r w:rsidRPr="008762E5">
        <w:rPr>
          <w:b w:val="0"/>
          <w:bCs/>
          <w:szCs w:val="24"/>
          <w:u w:val="single"/>
        </w:rPr>
        <w:t xml:space="preserve">Section </w:t>
      </w:r>
      <w:r w:rsidR="00E4548B" w:rsidRPr="008762E5">
        <w:rPr>
          <w:b w:val="0"/>
          <w:bCs/>
          <w:szCs w:val="24"/>
          <w:u w:val="single"/>
        </w:rPr>
        <w:t>10</w:t>
      </w:r>
      <w:r w:rsidRPr="008762E5">
        <w:rPr>
          <w:b w:val="0"/>
          <w:bCs/>
          <w:szCs w:val="24"/>
          <w:u w:val="single"/>
        </w:rPr>
        <w:t xml:space="preserve"> </w:t>
      </w:r>
      <w:r w:rsidR="00DD7ED4" w:rsidRPr="008762E5">
        <w:rPr>
          <w:b w:val="0"/>
          <w:bCs/>
          <w:szCs w:val="24"/>
          <w:u w:val="single"/>
        </w:rPr>
        <w:t xml:space="preserve">and 15 </w:t>
      </w:r>
      <w:r w:rsidRPr="008762E5">
        <w:rPr>
          <w:b w:val="0"/>
          <w:bCs/>
          <w:szCs w:val="24"/>
          <w:u w:val="single"/>
        </w:rPr>
        <w:t>–</w:t>
      </w:r>
      <w:r w:rsidR="008E57B7" w:rsidRPr="008762E5">
        <w:rPr>
          <w:b w:val="0"/>
          <w:bCs/>
          <w:szCs w:val="24"/>
          <w:u w:val="single"/>
        </w:rPr>
        <w:t xml:space="preserve"> Notice</w:t>
      </w:r>
      <w:r w:rsidRPr="008762E5">
        <w:rPr>
          <w:b w:val="0"/>
          <w:bCs/>
          <w:szCs w:val="24"/>
          <w:u w:val="single"/>
        </w:rPr>
        <w:t xml:space="preserve"> </w:t>
      </w:r>
      <w:r w:rsidR="008E57B7" w:rsidRPr="008762E5">
        <w:rPr>
          <w:b w:val="0"/>
          <w:bCs/>
          <w:szCs w:val="24"/>
          <w:u w:val="single"/>
        </w:rPr>
        <w:t xml:space="preserve">if </w:t>
      </w:r>
      <w:r w:rsidR="00394507" w:rsidRPr="008762E5">
        <w:rPr>
          <w:b w:val="0"/>
          <w:bCs/>
          <w:szCs w:val="24"/>
          <w:u w:val="single"/>
        </w:rPr>
        <w:t xml:space="preserve">Board Requests </w:t>
      </w:r>
    </w:p>
    <w:p w14:paraId="4324BDB0" w14:textId="2AAA4C26" w:rsidR="00CB5ACE" w:rsidRPr="008762E5" w:rsidRDefault="00277A41" w:rsidP="00CB5ACE">
      <w:pPr>
        <w:tabs>
          <w:tab w:val="left" w:pos="2835"/>
        </w:tabs>
        <w:spacing w:before="240"/>
        <w:ind w:right="91"/>
        <w:rPr>
          <w:szCs w:val="24"/>
        </w:rPr>
      </w:pPr>
      <w:r w:rsidRPr="008762E5">
        <w:rPr>
          <w:szCs w:val="24"/>
        </w:rPr>
        <w:t>Sections 10 and 15 provide that t</w:t>
      </w:r>
      <w:r w:rsidR="00B043A3" w:rsidRPr="008762E5">
        <w:rPr>
          <w:szCs w:val="24"/>
        </w:rPr>
        <w:t xml:space="preserve">he Board </w:t>
      </w:r>
      <w:r w:rsidRPr="008762E5">
        <w:rPr>
          <w:szCs w:val="24"/>
        </w:rPr>
        <w:t>may</w:t>
      </w:r>
      <w:r w:rsidR="00407EEB" w:rsidRPr="008762E5">
        <w:rPr>
          <w:szCs w:val="24"/>
        </w:rPr>
        <w:t xml:space="preserve"> request </w:t>
      </w:r>
      <w:r w:rsidR="00B043A3" w:rsidRPr="008762E5">
        <w:rPr>
          <w:szCs w:val="24"/>
        </w:rPr>
        <w:t xml:space="preserve">further information to </w:t>
      </w:r>
      <w:r w:rsidR="00407EEB" w:rsidRPr="008762E5">
        <w:rPr>
          <w:szCs w:val="24"/>
        </w:rPr>
        <w:t xml:space="preserve">assist in </w:t>
      </w:r>
      <w:r w:rsidR="00B043A3" w:rsidRPr="008762E5">
        <w:rPr>
          <w:szCs w:val="24"/>
        </w:rPr>
        <w:t>determin</w:t>
      </w:r>
      <w:r w:rsidR="00407EEB" w:rsidRPr="008762E5">
        <w:rPr>
          <w:szCs w:val="24"/>
        </w:rPr>
        <w:t>ing w</w:t>
      </w:r>
      <w:r w:rsidR="00B043A3" w:rsidRPr="008762E5">
        <w:rPr>
          <w:szCs w:val="24"/>
        </w:rPr>
        <w:t>h</w:t>
      </w:r>
      <w:r w:rsidR="00407EEB" w:rsidRPr="008762E5">
        <w:rPr>
          <w:szCs w:val="24"/>
        </w:rPr>
        <w:t>e</w:t>
      </w:r>
      <w:r w:rsidR="00B043A3" w:rsidRPr="008762E5">
        <w:rPr>
          <w:szCs w:val="24"/>
        </w:rPr>
        <w:t>t</w:t>
      </w:r>
      <w:r w:rsidR="00407EEB" w:rsidRPr="008762E5">
        <w:rPr>
          <w:szCs w:val="24"/>
        </w:rPr>
        <w:t>her</w:t>
      </w:r>
      <w:r w:rsidR="00B043A3" w:rsidRPr="008762E5">
        <w:rPr>
          <w:szCs w:val="24"/>
        </w:rPr>
        <w:t xml:space="preserve"> </w:t>
      </w:r>
      <w:r w:rsidR="000C1161" w:rsidRPr="008762E5">
        <w:rPr>
          <w:szCs w:val="24"/>
        </w:rPr>
        <w:t>an</w:t>
      </w:r>
      <w:r w:rsidR="00B043A3" w:rsidRPr="008762E5">
        <w:rPr>
          <w:szCs w:val="24"/>
        </w:rPr>
        <w:t xml:space="preserve"> association should or should not be terminated. </w:t>
      </w:r>
      <w:r w:rsidR="000C1161" w:rsidRPr="008762E5">
        <w:rPr>
          <w:szCs w:val="24"/>
        </w:rPr>
        <w:t>In circumstances of requests from the Board, t</w:t>
      </w:r>
      <w:r w:rsidR="00407EEB" w:rsidRPr="008762E5">
        <w:rPr>
          <w:szCs w:val="24"/>
        </w:rPr>
        <w:t xml:space="preserve">he association must provide a statement of reasons to the Board detailing why their recognition should not be terminated within 30 days from the day the Board gave notice. Minor editorial updates have been made </w:t>
      </w:r>
      <w:r w:rsidR="000C1161" w:rsidRPr="008762E5">
        <w:rPr>
          <w:szCs w:val="24"/>
        </w:rPr>
        <w:t xml:space="preserve">to the provisions </w:t>
      </w:r>
      <w:r w:rsidR="00407EEB" w:rsidRPr="008762E5">
        <w:rPr>
          <w:szCs w:val="24"/>
        </w:rPr>
        <w:t xml:space="preserve">in accordance with current drafting </w:t>
      </w:r>
      <w:r w:rsidR="00BD297C" w:rsidRPr="008762E5">
        <w:rPr>
          <w:szCs w:val="24"/>
        </w:rPr>
        <w:t>conventions</w:t>
      </w:r>
      <w:r w:rsidR="00407EEB" w:rsidRPr="008762E5">
        <w:rPr>
          <w:szCs w:val="24"/>
        </w:rPr>
        <w:t xml:space="preserve">. </w:t>
      </w:r>
      <w:r w:rsidR="00407EEB" w:rsidRPr="008762E5" w:rsidDel="00757848">
        <w:rPr>
          <w:szCs w:val="24"/>
        </w:rPr>
        <w:t xml:space="preserve"> </w:t>
      </w:r>
    </w:p>
    <w:p w14:paraId="750D370C" w14:textId="28FA778B" w:rsidR="008E57B7" w:rsidRPr="008762E5" w:rsidRDefault="00CB5ACE" w:rsidP="00C2156A">
      <w:pPr>
        <w:pStyle w:val="Heading4"/>
        <w:rPr>
          <w:b w:val="0"/>
          <w:bCs/>
          <w:szCs w:val="24"/>
          <w:u w:val="single"/>
        </w:rPr>
      </w:pPr>
      <w:r w:rsidRPr="008762E5">
        <w:rPr>
          <w:b w:val="0"/>
          <w:bCs/>
          <w:szCs w:val="24"/>
          <w:u w:val="single"/>
        </w:rPr>
        <w:t xml:space="preserve">Section </w:t>
      </w:r>
      <w:r w:rsidR="008E57B7" w:rsidRPr="008762E5">
        <w:rPr>
          <w:b w:val="0"/>
          <w:bCs/>
          <w:szCs w:val="24"/>
          <w:u w:val="single"/>
        </w:rPr>
        <w:t>1</w:t>
      </w:r>
      <w:r w:rsidR="00E4548B" w:rsidRPr="008762E5">
        <w:rPr>
          <w:b w:val="0"/>
          <w:bCs/>
          <w:szCs w:val="24"/>
          <w:u w:val="single"/>
        </w:rPr>
        <w:t>1</w:t>
      </w:r>
      <w:r w:rsidRPr="008762E5">
        <w:rPr>
          <w:b w:val="0"/>
          <w:bCs/>
          <w:szCs w:val="24"/>
          <w:u w:val="single"/>
        </w:rPr>
        <w:t xml:space="preserve"> </w:t>
      </w:r>
      <w:r w:rsidR="00DD7ED4" w:rsidRPr="008762E5">
        <w:rPr>
          <w:b w:val="0"/>
          <w:bCs/>
          <w:szCs w:val="24"/>
          <w:u w:val="single"/>
        </w:rPr>
        <w:t xml:space="preserve">and 16 </w:t>
      </w:r>
      <w:r w:rsidRPr="008762E5">
        <w:rPr>
          <w:b w:val="0"/>
          <w:bCs/>
          <w:szCs w:val="24"/>
          <w:u w:val="single"/>
        </w:rPr>
        <w:t xml:space="preserve">– </w:t>
      </w:r>
      <w:r w:rsidR="00A954A3" w:rsidRPr="008762E5">
        <w:rPr>
          <w:b w:val="0"/>
          <w:bCs/>
          <w:szCs w:val="24"/>
          <w:u w:val="single"/>
        </w:rPr>
        <w:t>Termination</w:t>
      </w:r>
      <w:r w:rsidRPr="008762E5">
        <w:rPr>
          <w:b w:val="0"/>
          <w:bCs/>
          <w:szCs w:val="24"/>
          <w:u w:val="single"/>
        </w:rPr>
        <w:t xml:space="preserve"> </w:t>
      </w:r>
      <w:r w:rsidR="00A954A3" w:rsidRPr="008762E5">
        <w:rPr>
          <w:b w:val="0"/>
          <w:bCs/>
          <w:szCs w:val="24"/>
          <w:u w:val="single"/>
        </w:rPr>
        <w:t>of recognition</w:t>
      </w:r>
    </w:p>
    <w:p w14:paraId="0765D67B" w14:textId="54432AB8" w:rsidR="00277A41" w:rsidRPr="008762E5" w:rsidRDefault="00277A41" w:rsidP="00975579">
      <w:pPr>
        <w:tabs>
          <w:tab w:val="left" w:pos="2835"/>
        </w:tabs>
        <w:spacing w:before="240"/>
        <w:ind w:right="91"/>
        <w:rPr>
          <w:szCs w:val="24"/>
        </w:rPr>
      </w:pPr>
      <w:r w:rsidRPr="008762E5">
        <w:rPr>
          <w:szCs w:val="24"/>
        </w:rPr>
        <w:t>Sections 11 and 16 provide that t</w:t>
      </w:r>
      <w:r w:rsidR="000C1161" w:rsidRPr="008762E5">
        <w:rPr>
          <w:szCs w:val="24"/>
        </w:rPr>
        <w:t xml:space="preserve">he Board must terminate recognition of a recognised BAS agent association or a recognised tax agent association </w:t>
      </w:r>
      <w:r w:rsidRPr="008762E5">
        <w:rPr>
          <w:szCs w:val="24"/>
        </w:rPr>
        <w:t xml:space="preserve">in two instances. Firstly, </w:t>
      </w:r>
      <w:r w:rsidR="000C1161" w:rsidRPr="008762E5">
        <w:rPr>
          <w:szCs w:val="24"/>
        </w:rPr>
        <w:t xml:space="preserve">if </w:t>
      </w:r>
      <w:r w:rsidR="0026101D" w:rsidRPr="008762E5">
        <w:rPr>
          <w:szCs w:val="24"/>
        </w:rPr>
        <w:t xml:space="preserve">the association has not provided notice after the Board has requested notice. Secondly, </w:t>
      </w:r>
      <w:r w:rsidR="000C1161" w:rsidRPr="008762E5">
        <w:rPr>
          <w:szCs w:val="24"/>
        </w:rPr>
        <w:t>the Board is</w:t>
      </w:r>
      <w:r w:rsidR="00334C2D" w:rsidRPr="008762E5">
        <w:rPr>
          <w:szCs w:val="24"/>
        </w:rPr>
        <w:t xml:space="preserve"> </w:t>
      </w:r>
      <w:r w:rsidR="000C1161" w:rsidRPr="008762E5">
        <w:rPr>
          <w:szCs w:val="24"/>
        </w:rPr>
        <w:t>satisfied that</w:t>
      </w:r>
      <w:r w:rsidR="004155D9" w:rsidRPr="008762E5">
        <w:rPr>
          <w:szCs w:val="24"/>
        </w:rPr>
        <w:t xml:space="preserve"> the association no longer meets</w:t>
      </w:r>
      <w:r w:rsidR="000C1161" w:rsidRPr="008762E5">
        <w:rPr>
          <w:szCs w:val="24"/>
        </w:rPr>
        <w:t xml:space="preserve"> </w:t>
      </w:r>
      <w:r w:rsidR="004155D9" w:rsidRPr="008762E5">
        <w:rPr>
          <w:szCs w:val="24"/>
        </w:rPr>
        <w:t xml:space="preserve">one or more of </w:t>
      </w:r>
      <w:r w:rsidR="000C1161" w:rsidRPr="008762E5">
        <w:rPr>
          <w:szCs w:val="24"/>
        </w:rPr>
        <w:t xml:space="preserve">the prescribed requirements </w:t>
      </w:r>
      <w:r w:rsidR="004155D9" w:rsidRPr="008762E5">
        <w:rPr>
          <w:szCs w:val="24"/>
        </w:rPr>
        <w:t>in Part 1 of Schedule 1 and</w:t>
      </w:r>
      <w:r w:rsidR="0026101D" w:rsidRPr="008762E5">
        <w:rPr>
          <w:szCs w:val="24"/>
        </w:rPr>
        <w:t xml:space="preserve"> </w:t>
      </w:r>
      <w:r w:rsidR="009B497F" w:rsidRPr="008762E5">
        <w:rPr>
          <w:szCs w:val="24"/>
        </w:rPr>
        <w:t xml:space="preserve">the Board </w:t>
      </w:r>
      <w:r w:rsidR="0026101D" w:rsidRPr="008762E5">
        <w:rPr>
          <w:szCs w:val="24"/>
        </w:rPr>
        <w:t xml:space="preserve">no longer </w:t>
      </w:r>
      <w:r w:rsidR="009B497F" w:rsidRPr="008762E5">
        <w:rPr>
          <w:szCs w:val="24"/>
        </w:rPr>
        <w:t xml:space="preserve">considers it </w:t>
      </w:r>
      <w:r w:rsidR="00334C2D" w:rsidRPr="008762E5">
        <w:rPr>
          <w:szCs w:val="24"/>
        </w:rPr>
        <w:t xml:space="preserve">appropriate </w:t>
      </w:r>
      <w:r w:rsidR="00E157A1" w:rsidRPr="008762E5">
        <w:rPr>
          <w:szCs w:val="24"/>
        </w:rPr>
        <w:t xml:space="preserve">o </w:t>
      </w:r>
      <w:r w:rsidR="0026101D" w:rsidRPr="008762E5">
        <w:rPr>
          <w:szCs w:val="24"/>
        </w:rPr>
        <w:t xml:space="preserve">for </w:t>
      </w:r>
      <w:proofErr w:type="gramStart"/>
      <w:r w:rsidR="0026101D" w:rsidRPr="008762E5">
        <w:rPr>
          <w:szCs w:val="24"/>
        </w:rPr>
        <w:t xml:space="preserve">the </w:t>
      </w:r>
      <w:r w:rsidR="009B497F" w:rsidRPr="008762E5">
        <w:rPr>
          <w:szCs w:val="24"/>
        </w:rPr>
        <w:t xml:space="preserve"> association</w:t>
      </w:r>
      <w:proofErr w:type="gramEnd"/>
      <w:r w:rsidR="009B497F" w:rsidRPr="008762E5">
        <w:rPr>
          <w:szCs w:val="24"/>
        </w:rPr>
        <w:t xml:space="preserve"> </w:t>
      </w:r>
      <w:r w:rsidR="0026101D" w:rsidRPr="008762E5">
        <w:rPr>
          <w:szCs w:val="24"/>
        </w:rPr>
        <w:t>to continue to be recognised</w:t>
      </w:r>
      <w:r w:rsidR="00E157A1" w:rsidRPr="008762E5">
        <w:rPr>
          <w:szCs w:val="24"/>
        </w:rPr>
        <w:t xml:space="preserve">. </w:t>
      </w:r>
    </w:p>
    <w:p w14:paraId="076BCCA4" w14:textId="60325EA5" w:rsidR="007011C8" w:rsidRPr="008762E5" w:rsidRDefault="00B501C1" w:rsidP="00975579">
      <w:pPr>
        <w:tabs>
          <w:tab w:val="left" w:pos="2835"/>
        </w:tabs>
        <w:spacing w:before="240"/>
        <w:ind w:right="91"/>
        <w:rPr>
          <w:szCs w:val="24"/>
        </w:rPr>
      </w:pPr>
      <w:r w:rsidRPr="008762E5">
        <w:rPr>
          <w:szCs w:val="24"/>
        </w:rPr>
        <w:t xml:space="preserve">The Board must notify the recognised association of their intention to terminate recognition </w:t>
      </w:r>
      <w:r w:rsidR="00190B5F" w:rsidRPr="008762E5">
        <w:rPr>
          <w:szCs w:val="24"/>
        </w:rPr>
        <w:t>w</w:t>
      </w:r>
      <w:r w:rsidRPr="008762E5">
        <w:rPr>
          <w:szCs w:val="24"/>
        </w:rPr>
        <w:t xml:space="preserve">here there is reasonable belief that an association no longer meets the prescribed requirements. The notice must include reasons for terminating and </w:t>
      </w:r>
      <w:r w:rsidR="00975579" w:rsidRPr="008762E5">
        <w:rPr>
          <w:szCs w:val="24"/>
        </w:rPr>
        <w:t>invite</w:t>
      </w:r>
      <w:r w:rsidR="000C1161" w:rsidRPr="008762E5">
        <w:rPr>
          <w:szCs w:val="24"/>
        </w:rPr>
        <w:t xml:space="preserve"> the association </w:t>
      </w:r>
      <w:r w:rsidR="00975579" w:rsidRPr="008762E5">
        <w:rPr>
          <w:szCs w:val="24"/>
        </w:rPr>
        <w:t>to make a written submission within a reasonable time.</w:t>
      </w:r>
      <w:r w:rsidR="007011C8" w:rsidRPr="008762E5">
        <w:rPr>
          <w:szCs w:val="24"/>
        </w:rPr>
        <w:t xml:space="preserve"> </w:t>
      </w:r>
    </w:p>
    <w:p w14:paraId="1112BF21" w14:textId="4D966886" w:rsidR="00975579" w:rsidRPr="008762E5" w:rsidRDefault="007011C8" w:rsidP="00975579">
      <w:pPr>
        <w:tabs>
          <w:tab w:val="left" w:pos="2835"/>
        </w:tabs>
        <w:spacing w:before="240"/>
        <w:ind w:right="91"/>
        <w:rPr>
          <w:szCs w:val="24"/>
        </w:rPr>
      </w:pPr>
      <w:r w:rsidRPr="008762E5">
        <w:rPr>
          <w:szCs w:val="24"/>
        </w:rPr>
        <w:t xml:space="preserve">These sections </w:t>
      </w:r>
      <w:r w:rsidR="00975579" w:rsidRPr="008762E5">
        <w:rPr>
          <w:szCs w:val="24"/>
        </w:rPr>
        <w:t xml:space="preserve">include </w:t>
      </w:r>
      <w:r w:rsidR="00B501C1" w:rsidRPr="008762E5">
        <w:rPr>
          <w:szCs w:val="24"/>
        </w:rPr>
        <w:t xml:space="preserve">the option for </w:t>
      </w:r>
      <w:r w:rsidR="00975579" w:rsidRPr="008762E5">
        <w:rPr>
          <w:szCs w:val="24"/>
        </w:rPr>
        <w:t>recognised professional associations to surrender their recognition with the Board.</w:t>
      </w:r>
    </w:p>
    <w:p w14:paraId="11F1D899" w14:textId="17CC2A0E" w:rsidR="00A954A3" w:rsidRPr="008762E5" w:rsidRDefault="00F07C6F" w:rsidP="000C1161">
      <w:pPr>
        <w:tabs>
          <w:tab w:val="left" w:pos="2835"/>
        </w:tabs>
        <w:spacing w:before="240"/>
        <w:ind w:right="91"/>
        <w:rPr>
          <w:szCs w:val="24"/>
        </w:rPr>
      </w:pPr>
      <w:r w:rsidRPr="008762E5">
        <w:rPr>
          <w:szCs w:val="24"/>
        </w:rPr>
        <w:t>Th</w:t>
      </w:r>
      <w:r w:rsidR="007011C8" w:rsidRPr="008762E5">
        <w:rPr>
          <w:szCs w:val="24"/>
        </w:rPr>
        <w:t>e</w:t>
      </w:r>
      <w:r w:rsidR="0026101D" w:rsidRPr="008762E5">
        <w:rPr>
          <w:szCs w:val="24"/>
        </w:rPr>
        <w:t xml:space="preserve"> purpose of the amendments is to clarify and consolidate the</w:t>
      </w:r>
      <w:r w:rsidRPr="008762E5">
        <w:rPr>
          <w:szCs w:val="24"/>
        </w:rPr>
        <w:t>s</w:t>
      </w:r>
      <w:r w:rsidR="007011C8" w:rsidRPr="008762E5">
        <w:rPr>
          <w:szCs w:val="24"/>
        </w:rPr>
        <w:t>e</w:t>
      </w:r>
      <w:r w:rsidRPr="008762E5">
        <w:rPr>
          <w:szCs w:val="24"/>
        </w:rPr>
        <w:t xml:space="preserve"> section</w:t>
      </w:r>
      <w:r w:rsidR="007011C8" w:rsidRPr="008762E5">
        <w:rPr>
          <w:szCs w:val="24"/>
        </w:rPr>
        <w:t xml:space="preserve">s </w:t>
      </w:r>
      <w:r w:rsidR="0035021A" w:rsidRPr="008762E5">
        <w:rPr>
          <w:szCs w:val="24"/>
        </w:rPr>
        <w:t xml:space="preserve">in accordance with current drafting </w:t>
      </w:r>
      <w:r w:rsidR="0026101D" w:rsidRPr="008762E5">
        <w:rPr>
          <w:szCs w:val="24"/>
        </w:rPr>
        <w:t>conventions. T</w:t>
      </w:r>
      <w:r w:rsidR="007011C8" w:rsidRPr="008762E5">
        <w:rPr>
          <w:szCs w:val="24"/>
        </w:rPr>
        <w:t>h</w:t>
      </w:r>
      <w:r w:rsidR="0026101D" w:rsidRPr="008762E5">
        <w:rPr>
          <w:szCs w:val="24"/>
        </w:rPr>
        <w:t>e amendments</w:t>
      </w:r>
      <w:r w:rsidR="007011C8" w:rsidRPr="008762E5">
        <w:rPr>
          <w:szCs w:val="24"/>
        </w:rPr>
        <w:t xml:space="preserve"> </w:t>
      </w:r>
      <w:r w:rsidR="00B512F3" w:rsidRPr="008762E5">
        <w:rPr>
          <w:szCs w:val="24"/>
        </w:rPr>
        <w:t xml:space="preserve">have not altered </w:t>
      </w:r>
      <w:r w:rsidR="007011C8" w:rsidRPr="008762E5">
        <w:rPr>
          <w:szCs w:val="24"/>
        </w:rPr>
        <w:t xml:space="preserve">the </w:t>
      </w:r>
      <w:r w:rsidR="00B512F3" w:rsidRPr="008762E5">
        <w:rPr>
          <w:szCs w:val="24"/>
        </w:rPr>
        <w:t>scope or substantive operation</w:t>
      </w:r>
      <w:r w:rsidR="007011C8" w:rsidRPr="008762E5">
        <w:rPr>
          <w:szCs w:val="24"/>
        </w:rPr>
        <w:t xml:space="preserve"> of the Regulations</w:t>
      </w:r>
      <w:r w:rsidR="00B512F3" w:rsidRPr="008762E5">
        <w:rPr>
          <w:szCs w:val="24"/>
        </w:rPr>
        <w:t>.</w:t>
      </w:r>
    </w:p>
    <w:p w14:paraId="6F978E50" w14:textId="60FB4C46" w:rsidR="00ED513C" w:rsidRPr="008762E5" w:rsidRDefault="00C82F2C" w:rsidP="00C2156A">
      <w:pPr>
        <w:pStyle w:val="Heading4"/>
        <w:rPr>
          <w:b w:val="0"/>
          <w:bCs/>
          <w:szCs w:val="24"/>
          <w:u w:val="single"/>
        </w:rPr>
      </w:pPr>
      <w:r w:rsidRPr="008762E5">
        <w:rPr>
          <w:b w:val="0"/>
          <w:bCs/>
          <w:szCs w:val="24"/>
          <w:u w:val="single"/>
        </w:rPr>
        <w:t xml:space="preserve">Section </w:t>
      </w:r>
      <w:r w:rsidR="00ED513C" w:rsidRPr="008762E5">
        <w:rPr>
          <w:b w:val="0"/>
          <w:bCs/>
          <w:szCs w:val="24"/>
          <w:u w:val="single"/>
        </w:rPr>
        <w:t>17</w:t>
      </w:r>
      <w:r w:rsidR="00E1598C" w:rsidRPr="008762E5">
        <w:rPr>
          <w:b w:val="0"/>
          <w:bCs/>
          <w:szCs w:val="24"/>
          <w:u w:val="single"/>
        </w:rPr>
        <w:t xml:space="preserve"> –</w:t>
      </w:r>
      <w:r w:rsidR="00ED513C" w:rsidRPr="008762E5">
        <w:rPr>
          <w:b w:val="0"/>
          <w:bCs/>
          <w:szCs w:val="24"/>
          <w:u w:val="single"/>
        </w:rPr>
        <w:t xml:space="preserve"> Notice</w:t>
      </w:r>
      <w:r w:rsidR="00E1598C" w:rsidRPr="008762E5">
        <w:rPr>
          <w:b w:val="0"/>
          <w:bCs/>
          <w:szCs w:val="24"/>
          <w:u w:val="single"/>
        </w:rPr>
        <w:t xml:space="preserve"> </w:t>
      </w:r>
      <w:r w:rsidR="00ED513C" w:rsidRPr="008762E5">
        <w:rPr>
          <w:b w:val="0"/>
          <w:bCs/>
          <w:szCs w:val="24"/>
          <w:u w:val="single"/>
        </w:rPr>
        <w:t xml:space="preserve">of recognition </w:t>
      </w:r>
    </w:p>
    <w:p w14:paraId="1FCC0D93" w14:textId="00E06E48" w:rsidR="00005CDC" w:rsidRPr="008762E5" w:rsidRDefault="00333E1A" w:rsidP="00EA4DD8">
      <w:pPr>
        <w:tabs>
          <w:tab w:val="left" w:pos="2835"/>
        </w:tabs>
        <w:spacing w:before="240"/>
        <w:ind w:right="91"/>
        <w:rPr>
          <w:szCs w:val="24"/>
        </w:rPr>
      </w:pPr>
      <w:r w:rsidRPr="008762E5">
        <w:rPr>
          <w:szCs w:val="24"/>
        </w:rPr>
        <w:t xml:space="preserve">Section 17 </w:t>
      </w:r>
      <w:r w:rsidR="00905334" w:rsidRPr="008762E5">
        <w:rPr>
          <w:szCs w:val="24"/>
        </w:rPr>
        <w:t>details that t</w:t>
      </w:r>
      <w:r w:rsidR="00005CDC" w:rsidRPr="008762E5">
        <w:rPr>
          <w:szCs w:val="24"/>
        </w:rPr>
        <w:t>he TPB must publish a notice on its website, which states that on 1 January 2022 an association that was a recognised tax (financial) adviser association immediately before 1 January 2022, was deemed to be a recognised tax agent association. Th</w:t>
      </w:r>
      <w:r w:rsidR="0026101D" w:rsidRPr="008762E5">
        <w:rPr>
          <w:szCs w:val="24"/>
        </w:rPr>
        <w:t>e amendment</w:t>
      </w:r>
      <w:r w:rsidR="00005CDC" w:rsidRPr="008762E5">
        <w:rPr>
          <w:szCs w:val="24"/>
        </w:rPr>
        <w:t xml:space="preserve">s ensure visibility of deemed recognised tax agent associations and is consistent with the requirement in section </w:t>
      </w:r>
      <w:r w:rsidR="00905334" w:rsidRPr="008762E5">
        <w:rPr>
          <w:szCs w:val="24"/>
        </w:rPr>
        <w:t>19</w:t>
      </w:r>
      <w:r w:rsidR="00005CDC" w:rsidRPr="008762E5">
        <w:rPr>
          <w:szCs w:val="24"/>
        </w:rPr>
        <w:t xml:space="preserve"> for the TPB to publish decision</w:t>
      </w:r>
      <w:r w:rsidR="00905334" w:rsidRPr="008762E5">
        <w:rPr>
          <w:szCs w:val="24"/>
        </w:rPr>
        <w:t>s</w:t>
      </w:r>
      <w:r w:rsidR="00005CDC" w:rsidRPr="008762E5">
        <w:rPr>
          <w:szCs w:val="24"/>
        </w:rPr>
        <w:t xml:space="preserve"> to recognise associations.</w:t>
      </w:r>
    </w:p>
    <w:p w14:paraId="710A9AA5" w14:textId="0E68C06E" w:rsidR="00C2156A" w:rsidRPr="008762E5" w:rsidRDefault="00C2156A" w:rsidP="00C2156A">
      <w:pPr>
        <w:pStyle w:val="Heading3"/>
        <w:rPr>
          <w:szCs w:val="24"/>
        </w:rPr>
      </w:pPr>
      <w:r w:rsidRPr="008762E5">
        <w:rPr>
          <w:szCs w:val="24"/>
        </w:rPr>
        <w:t xml:space="preserve">Division </w:t>
      </w:r>
      <w:r w:rsidR="00DE54B8" w:rsidRPr="008762E5">
        <w:rPr>
          <w:szCs w:val="24"/>
        </w:rPr>
        <w:t xml:space="preserve">4 </w:t>
      </w:r>
      <w:r w:rsidRPr="008762E5">
        <w:rPr>
          <w:szCs w:val="24"/>
        </w:rPr>
        <w:t xml:space="preserve">– </w:t>
      </w:r>
      <w:r w:rsidR="00526D8C" w:rsidRPr="008762E5">
        <w:rPr>
          <w:szCs w:val="24"/>
        </w:rPr>
        <w:t xml:space="preserve">Miscellaneous </w:t>
      </w:r>
      <w:r w:rsidRPr="008762E5">
        <w:rPr>
          <w:szCs w:val="24"/>
        </w:rPr>
        <w:t xml:space="preserve"> </w:t>
      </w:r>
    </w:p>
    <w:p w14:paraId="496AC802" w14:textId="24B2EE01" w:rsidR="00C2156A" w:rsidRPr="008762E5" w:rsidRDefault="00E30E8E" w:rsidP="00C2156A">
      <w:pPr>
        <w:pStyle w:val="Heading4"/>
        <w:rPr>
          <w:b w:val="0"/>
          <w:bCs/>
          <w:szCs w:val="24"/>
          <w:u w:val="single"/>
        </w:rPr>
      </w:pPr>
      <w:bookmarkStart w:id="7" w:name="_Hlk90289711"/>
      <w:r w:rsidRPr="008762E5">
        <w:rPr>
          <w:b w:val="0"/>
          <w:bCs/>
          <w:szCs w:val="24"/>
          <w:u w:val="single"/>
        </w:rPr>
        <w:t xml:space="preserve">Section </w:t>
      </w:r>
      <w:r w:rsidR="008E57B7" w:rsidRPr="008762E5">
        <w:rPr>
          <w:b w:val="0"/>
          <w:bCs/>
          <w:szCs w:val="24"/>
          <w:u w:val="single"/>
        </w:rPr>
        <w:t>18</w:t>
      </w:r>
      <w:r w:rsidR="00E1598C" w:rsidRPr="008762E5">
        <w:rPr>
          <w:b w:val="0"/>
          <w:bCs/>
          <w:szCs w:val="24"/>
          <w:u w:val="single"/>
        </w:rPr>
        <w:t xml:space="preserve"> – </w:t>
      </w:r>
      <w:r w:rsidR="00C2156A" w:rsidRPr="008762E5">
        <w:rPr>
          <w:b w:val="0"/>
          <w:bCs/>
          <w:szCs w:val="24"/>
          <w:u w:val="single"/>
        </w:rPr>
        <w:t>Review</w:t>
      </w:r>
      <w:r w:rsidR="00E1598C" w:rsidRPr="008762E5">
        <w:rPr>
          <w:b w:val="0"/>
          <w:bCs/>
          <w:szCs w:val="24"/>
          <w:u w:val="single"/>
        </w:rPr>
        <w:t xml:space="preserve"> </w:t>
      </w:r>
      <w:r w:rsidR="00C2156A" w:rsidRPr="008762E5">
        <w:rPr>
          <w:b w:val="0"/>
          <w:bCs/>
          <w:szCs w:val="24"/>
          <w:u w:val="single"/>
        </w:rPr>
        <w:t>of decisions</w:t>
      </w:r>
    </w:p>
    <w:p w14:paraId="798E56D0" w14:textId="2499C966" w:rsidR="00C2156A" w:rsidRPr="008762E5" w:rsidRDefault="00B756B4" w:rsidP="00C2156A">
      <w:pPr>
        <w:pStyle w:val="base-text-paragraph"/>
        <w:ind w:left="0"/>
        <w:rPr>
          <w:szCs w:val="24"/>
        </w:rPr>
      </w:pPr>
      <w:r w:rsidRPr="008762E5">
        <w:rPr>
          <w:szCs w:val="24"/>
        </w:rPr>
        <w:t>S</w:t>
      </w:r>
      <w:r w:rsidR="00C2156A" w:rsidRPr="008762E5">
        <w:rPr>
          <w:szCs w:val="24"/>
        </w:rPr>
        <w:t xml:space="preserve">ection </w:t>
      </w:r>
      <w:r w:rsidRPr="008762E5">
        <w:rPr>
          <w:szCs w:val="24"/>
        </w:rPr>
        <w:t xml:space="preserve">18 </w:t>
      </w:r>
      <w:r w:rsidR="004E0462" w:rsidRPr="008762E5">
        <w:rPr>
          <w:szCs w:val="24"/>
        </w:rPr>
        <w:t xml:space="preserve">provides that the Board’s decision to refuse recognition or terminate an association is a reviewable decision. Section 18 </w:t>
      </w:r>
      <w:r w:rsidRPr="008762E5">
        <w:rPr>
          <w:szCs w:val="24"/>
        </w:rPr>
        <w:t>is updated</w:t>
      </w:r>
      <w:r w:rsidR="00E1598C" w:rsidRPr="008762E5">
        <w:rPr>
          <w:szCs w:val="24"/>
        </w:rPr>
        <w:t xml:space="preserve"> </w:t>
      </w:r>
      <w:bookmarkEnd w:id="7"/>
      <w:r w:rsidR="002B348A" w:rsidRPr="008762E5">
        <w:rPr>
          <w:szCs w:val="24"/>
        </w:rPr>
        <w:t>with minor editorial updates</w:t>
      </w:r>
      <w:r w:rsidRPr="008762E5">
        <w:rPr>
          <w:szCs w:val="24"/>
        </w:rPr>
        <w:t xml:space="preserve"> consistent with current drafting conventions</w:t>
      </w:r>
      <w:r w:rsidR="00C2156A" w:rsidRPr="008762E5">
        <w:rPr>
          <w:szCs w:val="24"/>
        </w:rPr>
        <w:t>.</w:t>
      </w:r>
    </w:p>
    <w:p w14:paraId="2A15B2E5" w14:textId="6B863DD5" w:rsidR="000E6A29" w:rsidRPr="008762E5" w:rsidRDefault="00E30E8E" w:rsidP="000E6A29">
      <w:pPr>
        <w:pStyle w:val="Heading4"/>
        <w:rPr>
          <w:b w:val="0"/>
          <w:bCs/>
          <w:szCs w:val="24"/>
          <w:u w:val="single"/>
        </w:rPr>
      </w:pPr>
      <w:r w:rsidRPr="008762E5">
        <w:rPr>
          <w:b w:val="0"/>
          <w:bCs/>
          <w:szCs w:val="24"/>
          <w:u w:val="single"/>
        </w:rPr>
        <w:t xml:space="preserve">Section </w:t>
      </w:r>
      <w:r w:rsidR="000E6A29" w:rsidRPr="008762E5">
        <w:rPr>
          <w:b w:val="0"/>
          <w:bCs/>
          <w:szCs w:val="24"/>
          <w:u w:val="single"/>
        </w:rPr>
        <w:t>19</w:t>
      </w:r>
      <w:r w:rsidR="00E1598C" w:rsidRPr="008762E5">
        <w:rPr>
          <w:b w:val="0"/>
          <w:bCs/>
          <w:szCs w:val="24"/>
          <w:u w:val="single"/>
        </w:rPr>
        <w:t xml:space="preserve"> – </w:t>
      </w:r>
      <w:r w:rsidR="000E6A29" w:rsidRPr="008762E5">
        <w:rPr>
          <w:b w:val="0"/>
          <w:bCs/>
          <w:szCs w:val="24"/>
          <w:u w:val="single"/>
        </w:rPr>
        <w:t>List</w:t>
      </w:r>
      <w:r w:rsidR="00E1598C" w:rsidRPr="008762E5">
        <w:rPr>
          <w:b w:val="0"/>
          <w:bCs/>
          <w:szCs w:val="24"/>
          <w:u w:val="single"/>
        </w:rPr>
        <w:t xml:space="preserve"> </w:t>
      </w:r>
      <w:r w:rsidR="000E6A29" w:rsidRPr="008762E5">
        <w:rPr>
          <w:b w:val="0"/>
          <w:bCs/>
          <w:szCs w:val="24"/>
          <w:u w:val="single"/>
        </w:rPr>
        <w:t xml:space="preserve">of recognised associations </w:t>
      </w:r>
    </w:p>
    <w:p w14:paraId="7087E69E" w14:textId="458BA89D" w:rsidR="00180558" w:rsidRPr="008762E5" w:rsidRDefault="00B756B4" w:rsidP="005737E3">
      <w:pPr>
        <w:pStyle w:val="base-text-paragraph"/>
        <w:ind w:left="0"/>
        <w:rPr>
          <w:szCs w:val="24"/>
        </w:rPr>
      </w:pPr>
      <w:r w:rsidRPr="008762E5">
        <w:rPr>
          <w:szCs w:val="24"/>
        </w:rPr>
        <w:t>S</w:t>
      </w:r>
      <w:r w:rsidR="005737E3" w:rsidRPr="008762E5">
        <w:rPr>
          <w:szCs w:val="24"/>
        </w:rPr>
        <w:t xml:space="preserve">ection </w:t>
      </w:r>
      <w:r w:rsidR="0033305A" w:rsidRPr="008762E5">
        <w:rPr>
          <w:szCs w:val="24"/>
        </w:rPr>
        <w:t xml:space="preserve">19 </w:t>
      </w:r>
      <w:r w:rsidR="005737E3" w:rsidRPr="008762E5">
        <w:rPr>
          <w:szCs w:val="24"/>
        </w:rPr>
        <w:t>require</w:t>
      </w:r>
      <w:r w:rsidRPr="008762E5">
        <w:rPr>
          <w:szCs w:val="24"/>
        </w:rPr>
        <w:t>s</w:t>
      </w:r>
      <w:r w:rsidR="004E0462" w:rsidRPr="008762E5">
        <w:rPr>
          <w:szCs w:val="24"/>
        </w:rPr>
        <w:t xml:space="preserve"> </w:t>
      </w:r>
      <w:r w:rsidR="005737E3" w:rsidRPr="008762E5">
        <w:rPr>
          <w:szCs w:val="24"/>
        </w:rPr>
        <w:t xml:space="preserve">the Board to maintain a list of </w:t>
      </w:r>
      <w:r w:rsidR="0033305A" w:rsidRPr="008762E5">
        <w:rPr>
          <w:szCs w:val="24"/>
        </w:rPr>
        <w:t>recognised associations on the</w:t>
      </w:r>
      <w:r w:rsidR="004E0462" w:rsidRPr="008762E5">
        <w:rPr>
          <w:szCs w:val="24"/>
        </w:rPr>
        <w:t xml:space="preserve">ir </w:t>
      </w:r>
      <w:r w:rsidR="0033305A" w:rsidRPr="008762E5">
        <w:rPr>
          <w:szCs w:val="24"/>
        </w:rPr>
        <w:t xml:space="preserve">website. </w:t>
      </w:r>
      <w:r w:rsidR="005737E3" w:rsidRPr="008762E5">
        <w:rPr>
          <w:szCs w:val="24"/>
        </w:rPr>
        <w:t>Th</w:t>
      </w:r>
      <w:r w:rsidR="005B5C10" w:rsidRPr="008762E5">
        <w:rPr>
          <w:szCs w:val="24"/>
        </w:rPr>
        <w:t xml:space="preserve">e purpose of this </w:t>
      </w:r>
      <w:r w:rsidRPr="008762E5">
        <w:rPr>
          <w:szCs w:val="24"/>
        </w:rPr>
        <w:t xml:space="preserve">new section </w:t>
      </w:r>
      <w:r w:rsidR="005B5C10" w:rsidRPr="008762E5">
        <w:rPr>
          <w:szCs w:val="24"/>
        </w:rPr>
        <w:t xml:space="preserve">is for the Board to provide and maintain </w:t>
      </w:r>
      <w:r w:rsidR="00757C37" w:rsidRPr="008762E5">
        <w:rPr>
          <w:szCs w:val="24"/>
        </w:rPr>
        <w:t>a</w:t>
      </w:r>
      <w:r w:rsidR="005B5C10" w:rsidRPr="008762E5">
        <w:rPr>
          <w:szCs w:val="24"/>
        </w:rPr>
        <w:t xml:space="preserve"> list of associations </w:t>
      </w:r>
      <w:r w:rsidR="005737E3" w:rsidRPr="008762E5">
        <w:rPr>
          <w:szCs w:val="24"/>
        </w:rPr>
        <w:t xml:space="preserve">recognised by the Board </w:t>
      </w:r>
      <w:r w:rsidR="005B5C10" w:rsidRPr="008762E5">
        <w:rPr>
          <w:szCs w:val="24"/>
        </w:rPr>
        <w:t xml:space="preserve">so that BAS agents and tax agents </w:t>
      </w:r>
      <w:r w:rsidRPr="008762E5">
        <w:rPr>
          <w:szCs w:val="24"/>
        </w:rPr>
        <w:t xml:space="preserve">have </w:t>
      </w:r>
      <w:r w:rsidRPr="008762E5">
        <w:rPr>
          <w:szCs w:val="24"/>
        </w:rPr>
        <w:lastRenderedPageBreak/>
        <w:t xml:space="preserve">access to current information that enable </w:t>
      </w:r>
      <w:r w:rsidR="00A5742F" w:rsidRPr="008762E5">
        <w:rPr>
          <w:szCs w:val="24"/>
        </w:rPr>
        <w:t xml:space="preserve">agents </w:t>
      </w:r>
      <w:r w:rsidRPr="008762E5">
        <w:rPr>
          <w:szCs w:val="24"/>
        </w:rPr>
        <w:t>to be aware of associations that are recognised by the Board</w:t>
      </w:r>
      <w:r w:rsidR="00941E6E" w:rsidRPr="008762E5">
        <w:rPr>
          <w:szCs w:val="24"/>
        </w:rPr>
        <w:t>.</w:t>
      </w:r>
    </w:p>
    <w:p w14:paraId="772F6552" w14:textId="04C28288" w:rsidR="00C2156A" w:rsidRPr="008762E5" w:rsidRDefault="00C2156A" w:rsidP="00C2156A">
      <w:pPr>
        <w:pStyle w:val="Heading2"/>
        <w:rPr>
          <w:sz w:val="24"/>
          <w:szCs w:val="24"/>
        </w:rPr>
      </w:pPr>
      <w:r w:rsidRPr="008762E5">
        <w:rPr>
          <w:sz w:val="24"/>
          <w:szCs w:val="24"/>
        </w:rPr>
        <w:t xml:space="preserve">Part 3 – Registration of BAS agents and tax agents </w:t>
      </w:r>
    </w:p>
    <w:p w14:paraId="4FE7E27D" w14:textId="77CAE665" w:rsidR="00C2156A" w:rsidRPr="008762E5" w:rsidRDefault="00C2156A" w:rsidP="00C2156A">
      <w:pPr>
        <w:pStyle w:val="Heading3"/>
        <w:rPr>
          <w:szCs w:val="24"/>
        </w:rPr>
      </w:pPr>
      <w:r w:rsidRPr="008762E5">
        <w:rPr>
          <w:szCs w:val="24"/>
        </w:rPr>
        <w:t>Division</w:t>
      </w:r>
      <w:r w:rsidR="00E30E8E" w:rsidRPr="008762E5">
        <w:rPr>
          <w:szCs w:val="24"/>
        </w:rPr>
        <w:t>s</w:t>
      </w:r>
      <w:r w:rsidRPr="008762E5">
        <w:rPr>
          <w:szCs w:val="24"/>
        </w:rPr>
        <w:t xml:space="preserve"> 1 and 2 – </w:t>
      </w:r>
      <w:r w:rsidR="00EC47F8" w:rsidRPr="008762E5">
        <w:rPr>
          <w:szCs w:val="24"/>
        </w:rPr>
        <w:t xml:space="preserve">Registered BAS agents and tax agents </w:t>
      </w:r>
      <w:r w:rsidRPr="008762E5">
        <w:rPr>
          <w:szCs w:val="24"/>
        </w:rPr>
        <w:t xml:space="preserve"> </w:t>
      </w:r>
    </w:p>
    <w:p w14:paraId="6FC2EDE1" w14:textId="3DF5B35E" w:rsidR="00544BB1" w:rsidRPr="008762E5" w:rsidRDefault="00E1598C" w:rsidP="00C2156A">
      <w:pPr>
        <w:pStyle w:val="Heading4"/>
        <w:rPr>
          <w:b w:val="0"/>
          <w:bCs/>
          <w:szCs w:val="24"/>
          <w:u w:val="single"/>
        </w:rPr>
      </w:pPr>
      <w:r w:rsidRPr="008762E5">
        <w:rPr>
          <w:b w:val="0"/>
          <w:bCs/>
          <w:szCs w:val="24"/>
          <w:u w:val="single"/>
        </w:rPr>
        <w:t>Section</w:t>
      </w:r>
      <w:r w:rsidR="00E30E8E" w:rsidRPr="008762E5">
        <w:rPr>
          <w:b w:val="0"/>
          <w:bCs/>
          <w:szCs w:val="24"/>
          <w:u w:val="single"/>
        </w:rPr>
        <w:t>s</w:t>
      </w:r>
      <w:r w:rsidRPr="008762E5">
        <w:rPr>
          <w:b w:val="0"/>
          <w:bCs/>
          <w:szCs w:val="24"/>
          <w:u w:val="single"/>
        </w:rPr>
        <w:t xml:space="preserve"> </w:t>
      </w:r>
      <w:r w:rsidR="000E6A29" w:rsidRPr="008762E5">
        <w:rPr>
          <w:b w:val="0"/>
          <w:bCs/>
          <w:szCs w:val="24"/>
          <w:u w:val="single"/>
        </w:rPr>
        <w:t>20</w:t>
      </w:r>
      <w:r w:rsidRPr="008762E5">
        <w:rPr>
          <w:b w:val="0"/>
          <w:bCs/>
          <w:szCs w:val="24"/>
          <w:u w:val="single"/>
        </w:rPr>
        <w:t xml:space="preserve"> and</w:t>
      </w:r>
      <w:r w:rsidR="00C2156A" w:rsidRPr="008762E5">
        <w:rPr>
          <w:b w:val="0"/>
          <w:bCs/>
          <w:szCs w:val="24"/>
          <w:u w:val="single"/>
        </w:rPr>
        <w:t xml:space="preserve"> </w:t>
      </w:r>
      <w:r w:rsidR="00ED513C" w:rsidRPr="008762E5">
        <w:rPr>
          <w:b w:val="0"/>
          <w:bCs/>
          <w:szCs w:val="24"/>
          <w:u w:val="single"/>
        </w:rPr>
        <w:t>2</w:t>
      </w:r>
      <w:r w:rsidR="000E6A29" w:rsidRPr="008762E5">
        <w:rPr>
          <w:b w:val="0"/>
          <w:bCs/>
          <w:szCs w:val="24"/>
          <w:u w:val="single"/>
        </w:rPr>
        <w:t>1</w:t>
      </w:r>
      <w:r w:rsidR="00ED513C" w:rsidRPr="008762E5">
        <w:rPr>
          <w:b w:val="0"/>
          <w:bCs/>
          <w:szCs w:val="24"/>
          <w:u w:val="single"/>
        </w:rPr>
        <w:t xml:space="preserve"> </w:t>
      </w:r>
      <w:r w:rsidRPr="008762E5">
        <w:rPr>
          <w:b w:val="0"/>
          <w:bCs/>
          <w:szCs w:val="24"/>
          <w:u w:val="single"/>
        </w:rPr>
        <w:t xml:space="preserve">– </w:t>
      </w:r>
      <w:r w:rsidR="00544BB1" w:rsidRPr="008762E5">
        <w:rPr>
          <w:b w:val="0"/>
          <w:bCs/>
          <w:szCs w:val="24"/>
          <w:u w:val="single"/>
        </w:rPr>
        <w:t>Eligibility</w:t>
      </w:r>
      <w:r w:rsidRPr="008762E5">
        <w:rPr>
          <w:b w:val="0"/>
          <w:bCs/>
          <w:szCs w:val="24"/>
          <w:u w:val="single"/>
        </w:rPr>
        <w:t xml:space="preserve"> </w:t>
      </w:r>
      <w:r w:rsidR="00544BB1" w:rsidRPr="008762E5">
        <w:rPr>
          <w:b w:val="0"/>
          <w:bCs/>
          <w:szCs w:val="24"/>
          <w:u w:val="single"/>
        </w:rPr>
        <w:t>for registration</w:t>
      </w:r>
      <w:r w:rsidR="009835A8" w:rsidRPr="008762E5">
        <w:rPr>
          <w:b w:val="0"/>
          <w:bCs/>
          <w:szCs w:val="24"/>
          <w:u w:val="single"/>
        </w:rPr>
        <w:t xml:space="preserve"> for registered </w:t>
      </w:r>
      <w:r w:rsidR="00ED513C" w:rsidRPr="008762E5">
        <w:rPr>
          <w:b w:val="0"/>
          <w:bCs/>
          <w:szCs w:val="24"/>
          <w:u w:val="single"/>
        </w:rPr>
        <w:t>BAS</w:t>
      </w:r>
      <w:r w:rsidR="009835A8" w:rsidRPr="008762E5">
        <w:rPr>
          <w:b w:val="0"/>
          <w:bCs/>
          <w:szCs w:val="24"/>
          <w:u w:val="single"/>
        </w:rPr>
        <w:t xml:space="preserve"> </w:t>
      </w:r>
      <w:r w:rsidRPr="008762E5">
        <w:rPr>
          <w:b w:val="0"/>
          <w:bCs/>
          <w:szCs w:val="24"/>
          <w:u w:val="single"/>
        </w:rPr>
        <w:t xml:space="preserve">and tax </w:t>
      </w:r>
      <w:r w:rsidR="009835A8" w:rsidRPr="008762E5">
        <w:rPr>
          <w:b w:val="0"/>
          <w:bCs/>
          <w:szCs w:val="24"/>
          <w:u w:val="single"/>
        </w:rPr>
        <w:t>agents</w:t>
      </w:r>
    </w:p>
    <w:p w14:paraId="118C9E77" w14:textId="4B97EBFF" w:rsidR="00ED513C" w:rsidRPr="008762E5" w:rsidRDefault="00B756B4" w:rsidP="00EA4DD8">
      <w:pPr>
        <w:tabs>
          <w:tab w:val="left" w:pos="2835"/>
        </w:tabs>
        <w:spacing w:before="240"/>
        <w:ind w:right="91"/>
        <w:rPr>
          <w:szCs w:val="24"/>
        </w:rPr>
      </w:pPr>
      <w:r w:rsidRPr="008762E5">
        <w:rPr>
          <w:szCs w:val="24"/>
        </w:rPr>
        <w:t>S</w:t>
      </w:r>
      <w:r w:rsidR="00ED513C" w:rsidRPr="008762E5">
        <w:rPr>
          <w:szCs w:val="24"/>
        </w:rPr>
        <w:t>ections</w:t>
      </w:r>
      <w:r w:rsidR="004E0462" w:rsidRPr="008762E5">
        <w:rPr>
          <w:szCs w:val="24"/>
        </w:rPr>
        <w:t xml:space="preserve"> </w:t>
      </w:r>
      <w:r w:rsidRPr="008762E5">
        <w:rPr>
          <w:szCs w:val="24"/>
        </w:rPr>
        <w:t xml:space="preserve">20 and 21 </w:t>
      </w:r>
      <w:r w:rsidR="004E0462" w:rsidRPr="008762E5">
        <w:rPr>
          <w:szCs w:val="24"/>
        </w:rPr>
        <w:t>detail the re</w:t>
      </w:r>
      <w:r w:rsidR="002208CA" w:rsidRPr="008762E5">
        <w:rPr>
          <w:szCs w:val="24"/>
        </w:rPr>
        <w:t xml:space="preserve">quirements in </w:t>
      </w:r>
      <w:r w:rsidRPr="008762E5">
        <w:rPr>
          <w:szCs w:val="24"/>
        </w:rPr>
        <w:t xml:space="preserve">Parts 1 and 2 of </w:t>
      </w:r>
      <w:r w:rsidR="002208CA" w:rsidRPr="008762E5">
        <w:rPr>
          <w:szCs w:val="24"/>
        </w:rPr>
        <w:t>Schedule</w:t>
      </w:r>
      <w:r w:rsidRPr="008762E5">
        <w:rPr>
          <w:szCs w:val="24"/>
        </w:rPr>
        <w:t xml:space="preserve"> 2</w:t>
      </w:r>
      <w:r w:rsidR="002208CA" w:rsidRPr="008762E5">
        <w:rPr>
          <w:szCs w:val="24"/>
        </w:rPr>
        <w:t xml:space="preserve"> that individuals</w:t>
      </w:r>
      <w:r w:rsidR="00ED513C" w:rsidRPr="008762E5">
        <w:rPr>
          <w:szCs w:val="24"/>
        </w:rPr>
        <w:t xml:space="preserve"> </w:t>
      </w:r>
      <w:r w:rsidR="002208CA" w:rsidRPr="008762E5">
        <w:rPr>
          <w:szCs w:val="24"/>
        </w:rPr>
        <w:t>must fulfill to be registered as either a BAS agent or a tax agent</w:t>
      </w:r>
      <w:r w:rsidRPr="008762E5">
        <w:rPr>
          <w:szCs w:val="24"/>
        </w:rPr>
        <w:t>.</w:t>
      </w:r>
      <w:r w:rsidR="002208CA" w:rsidRPr="008762E5">
        <w:rPr>
          <w:szCs w:val="24"/>
        </w:rPr>
        <w:t xml:space="preserve"> and </w:t>
      </w:r>
      <w:proofErr w:type="gramStart"/>
      <w:r w:rsidRPr="008762E5">
        <w:rPr>
          <w:szCs w:val="24"/>
        </w:rPr>
        <w:t>The</w:t>
      </w:r>
      <w:proofErr w:type="gramEnd"/>
      <w:r w:rsidRPr="008762E5">
        <w:rPr>
          <w:szCs w:val="24"/>
        </w:rPr>
        <w:t xml:space="preserve"> amendment makes minor </w:t>
      </w:r>
      <w:r w:rsidR="0014311B" w:rsidRPr="008762E5">
        <w:rPr>
          <w:szCs w:val="24"/>
        </w:rPr>
        <w:t>editorial updates</w:t>
      </w:r>
      <w:r w:rsidR="002B2611" w:rsidRPr="008762E5">
        <w:rPr>
          <w:szCs w:val="24"/>
        </w:rPr>
        <w:t xml:space="preserve"> consistent with current drafting conventions</w:t>
      </w:r>
      <w:r w:rsidR="00ED513C" w:rsidRPr="008762E5">
        <w:rPr>
          <w:szCs w:val="24"/>
        </w:rPr>
        <w:t>.</w:t>
      </w:r>
    </w:p>
    <w:p w14:paraId="3E6E304C" w14:textId="77E26287" w:rsidR="00C2156A" w:rsidRPr="008762E5" w:rsidRDefault="00C2156A" w:rsidP="00C2156A">
      <w:pPr>
        <w:pStyle w:val="Heading3"/>
        <w:rPr>
          <w:szCs w:val="24"/>
        </w:rPr>
      </w:pPr>
      <w:r w:rsidRPr="008762E5">
        <w:rPr>
          <w:szCs w:val="24"/>
        </w:rPr>
        <w:t xml:space="preserve">Division 3 – </w:t>
      </w:r>
      <w:r w:rsidR="00526D8C" w:rsidRPr="008762E5">
        <w:rPr>
          <w:szCs w:val="24"/>
        </w:rPr>
        <w:t xml:space="preserve">Application fees for registration </w:t>
      </w:r>
      <w:r w:rsidRPr="008762E5">
        <w:rPr>
          <w:szCs w:val="24"/>
        </w:rPr>
        <w:t xml:space="preserve"> </w:t>
      </w:r>
    </w:p>
    <w:p w14:paraId="3F9F7AF1" w14:textId="69FB7711" w:rsidR="00732157" w:rsidRPr="008762E5" w:rsidRDefault="00732157" w:rsidP="00C2156A">
      <w:pPr>
        <w:pStyle w:val="Heading4"/>
        <w:rPr>
          <w:b w:val="0"/>
          <w:bCs/>
          <w:szCs w:val="24"/>
          <w:u w:val="single"/>
        </w:rPr>
      </w:pPr>
      <w:r w:rsidRPr="008762E5">
        <w:rPr>
          <w:b w:val="0"/>
          <w:bCs/>
          <w:szCs w:val="24"/>
          <w:u w:val="single"/>
        </w:rPr>
        <w:t>Section 2</w:t>
      </w:r>
      <w:r w:rsidR="000E6A29" w:rsidRPr="008762E5">
        <w:rPr>
          <w:b w:val="0"/>
          <w:bCs/>
          <w:szCs w:val="24"/>
          <w:u w:val="single"/>
        </w:rPr>
        <w:t>2</w:t>
      </w:r>
      <w:r w:rsidR="00E1598C" w:rsidRPr="008762E5">
        <w:rPr>
          <w:b w:val="0"/>
          <w:bCs/>
          <w:szCs w:val="24"/>
          <w:u w:val="single"/>
        </w:rPr>
        <w:t xml:space="preserve"> –</w:t>
      </w:r>
      <w:r w:rsidRPr="008762E5">
        <w:rPr>
          <w:b w:val="0"/>
          <w:bCs/>
          <w:szCs w:val="24"/>
          <w:u w:val="single"/>
        </w:rPr>
        <w:t xml:space="preserve"> Fees</w:t>
      </w:r>
      <w:r w:rsidR="00E1598C" w:rsidRPr="008762E5">
        <w:rPr>
          <w:b w:val="0"/>
          <w:bCs/>
          <w:szCs w:val="24"/>
          <w:u w:val="single"/>
        </w:rPr>
        <w:t xml:space="preserve"> </w:t>
      </w:r>
      <w:r w:rsidRPr="008762E5">
        <w:rPr>
          <w:b w:val="0"/>
          <w:bCs/>
          <w:szCs w:val="24"/>
          <w:u w:val="single"/>
        </w:rPr>
        <w:t xml:space="preserve">for registration </w:t>
      </w:r>
    </w:p>
    <w:p w14:paraId="72D6507D" w14:textId="46028065" w:rsidR="00DD5C30" w:rsidRPr="008762E5" w:rsidRDefault="002B2611" w:rsidP="00EA4DD8">
      <w:pPr>
        <w:tabs>
          <w:tab w:val="left" w:pos="2835"/>
        </w:tabs>
        <w:spacing w:before="240"/>
        <w:ind w:right="91"/>
        <w:rPr>
          <w:szCs w:val="24"/>
        </w:rPr>
      </w:pPr>
      <w:r w:rsidRPr="008762E5">
        <w:rPr>
          <w:szCs w:val="24"/>
        </w:rPr>
        <w:t>Section 22 provides that a</w:t>
      </w:r>
      <w:r w:rsidR="00997D4E" w:rsidRPr="008762E5">
        <w:rPr>
          <w:szCs w:val="24"/>
        </w:rPr>
        <w:t>n application for registration under section 20-20 of the Act must be accompanied by an application processing fee. S</w:t>
      </w:r>
      <w:r w:rsidR="00757C37" w:rsidRPr="008762E5">
        <w:rPr>
          <w:szCs w:val="24"/>
        </w:rPr>
        <w:t xml:space="preserve">ection 22 </w:t>
      </w:r>
      <w:r w:rsidR="00997D4E" w:rsidRPr="008762E5">
        <w:rPr>
          <w:szCs w:val="24"/>
        </w:rPr>
        <w:t xml:space="preserve">has updated </w:t>
      </w:r>
      <w:r w:rsidR="00757C37" w:rsidRPr="008762E5">
        <w:rPr>
          <w:szCs w:val="24"/>
        </w:rPr>
        <w:t>t</w:t>
      </w:r>
      <w:r w:rsidR="00ED513C" w:rsidRPr="008762E5">
        <w:rPr>
          <w:szCs w:val="24"/>
        </w:rPr>
        <w:t xml:space="preserve">he fees </w:t>
      </w:r>
      <w:r w:rsidR="00997D4E" w:rsidRPr="008762E5">
        <w:rPr>
          <w:szCs w:val="24"/>
        </w:rPr>
        <w:t xml:space="preserve">to reflect </w:t>
      </w:r>
      <w:r w:rsidR="00ED513C" w:rsidRPr="008762E5">
        <w:rPr>
          <w:szCs w:val="24"/>
        </w:rPr>
        <w:t xml:space="preserve">indexation </w:t>
      </w:r>
      <w:proofErr w:type="spellStart"/>
      <w:r w:rsidRPr="008762E5">
        <w:rPr>
          <w:szCs w:val="24"/>
        </w:rPr>
        <w:t>th</w:t>
      </w:r>
      <w:r w:rsidR="00ED513C" w:rsidRPr="008762E5">
        <w:rPr>
          <w:szCs w:val="24"/>
        </w:rPr>
        <w:t>a</w:t>
      </w:r>
      <w:r w:rsidRPr="008762E5">
        <w:rPr>
          <w:szCs w:val="24"/>
        </w:rPr>
        <w:t>t</w:t>
      </w:r>
      <w:r w:rsidR="00ED513C" w:rsidRPr="008762E5">
        <w:rPr>
          <w:szCs w:val="24"/>
        </w:rPr>
        <w:t>applies</w:t>
      </w:r>
      <w:proofErr w:type="spellEnd"/>
      <w:r w:rsidR="00ED513C" w:rsidRPr="008762E5">
        <w:rPr>
          <w:szCs w:val="24"/>
        </w:rPr>
        <w:t xml:space="preserve"> from 1 July 202</w:t>
      </w:r>
      <w:r w:rsidR="00931411" w:rsidRPr="008762E5">
        <w:rPr>
          <w:szCs w:val="24"/>
        </w:rPr>
        <w:t>2</w:t>
      </w:r>
      <w:r w:rsidR="00997D4E" w:rsidRPr="008762E5">
        <w:rPr>
          <w:szCs w:val="24"/>
        </w:rPr>
        <w:t>.</w:t>
      </w:r>
      <w:r w:rsidR="00ED513C" w:rsidRPr="008762E5">
        <w:rPr>
          <w:szCs w:val="24"/>
        </w:rPr>
        <w:t xml:space="preserve"> </w:t>
      </w:r>
      <w:r w:rsidR="004A5888" w:rsidRPr="008762E5">
        <w:rPr>
          <w:szCs w:val="24"/>
        </w:rPr>
        <w:t xml:space="preserve">These changes have not altered </w:t>
      </w:r>
      <w:r w:rsidRPr="008762E5">
        <w:rPr>
          <w:szCs w:val="24"/>
        </w:rPr>
        <w:t xml:space="preserve">the </w:t>
      </w:r>
      <w:r w:rsidR="004A5888" w:rsidRPr="008762E5">
        <w:rPr>
          <w:szCs w:val="24"/>
        </w:rPr>
        <w:t>scope or substantive operation</w:t>
      </w:r>
      <w:r w:rsidRPr="008762E5">
        <w:rPr>
          <w:szCs w:val="24"/>
        </w:rPr>
        <w:t xml:space="preserve"> of the section</w:t>
      </w:r>
      <w:r w:rsidR="004A5888" w:rsidRPr="008762E5">
        <w:rPr>
          <w:szCs w:val="24"/>
        </w:rPr>
        <w:t>.</w:t>
      </w:r>
    </w:p>
    <w:p w14:paraId="3BF6D2E9" w14:textId="052389F1" w:rsidR="00732157" w:rsidRPr="008762E5" w:rsidRDefault="00732157" w:rsidP="00C2156A">
      <w:pPr>
        <w:pStyle w:val="Heading2"/>
        <w:rPr>
          <w:sz w:val="24"/>
          <w:szCs w:val="24"/>
        </w:rPr>
      </w:pPr>
      <w:bookmarkStart w:id="8" w:name="_Hlk94784912"/>
      <w:r w:rsidRPr="008762E5">
        <w:rPr>
          <w:sz w:val="24"/>
          <w:szCs w:val="24"/>
        </w:rPr>
        <w:t>Part 4 – Investigations</w:t>
      </w:r>
    </w:p>
    <w:bookmarkEnd w:id="8"/>
    <w:p w14:paraId="5D85020C" w14:textId="3938AF6F" w:rsidR="00E1598C" w:rsidRPr="008762E5" w:rsidRDefault="00E1598C" w:rsidP="00E1598C">
      <w:pPr>
        <w:pStyle w:val="Heading4"/>
        <w:rPr>
          <w:szCs w:val="24"/>
        </w:rPr>
      </w:pPr>
      <w:r w:rsidRPr="008762E5">
        <w:rPr>
          <w:b w:val="0"/>
          <w:bCs/>
          <w:szCs w:val="24"/>
          <w:u w:val="single"/>
        </w:rPr>
        <w:t>Section 23 – Power to require witnesses to attend—allowances and expenses</w:t>
      </w:r>
    </w:p>
    <w:p w14:paraId="06DACC66" w14:textId="75D72B24" w:rsidR="00A74239" w:rsidRPr="008762E5" w:rsidRDefault="00A74239" w:rsidP="00997D4E">
      <w:pPr>
        <w:tabs>
          <w:tab w:val="left" w:pos="2835"/>
        </w:tabs>
        <w:spacing w:before="240"/>
        <w:ind w:right="91"/>
        <w:rPr>
          <w:szCs w:val="24"/>
        </w:rPr>
      </w:pPr>
      <w:r w:rsidRPr="008762E5">
        <w:rPr>
          <w:szCs w:val="24"/>
        </w:rPr>
        <w:t>Section 2</w:t>
      </w:r>
      <w:r w:rsidR="000E6A29" w:rsidRPr="008762E5">
        <w:rPr>
          <w:szCs w:val="24"/>
        </w:rPr>
        <w:t>3</w:t>
      </w:r>
      <w:r w:rsidRPr="008762E5">
        <w:rPr>
          <w:szCs w:val="24"/>
        </w:rPr>
        <w:t xml:space="preserve"> </w:t>
      </w:r>
      <w:r w:rsidR="00997D4E" w:rsidRPr="008762E5">
        <w:rPr>
          <w:szCs w:val="24"/>
        </w:rPr>
        <w:t>sets out the prescribed allowances and expenses payable to a witness who is required to attend an investigation to give evidence. T</w:t>
      </w:r>
      <w:r w:rsidR="00427102" w:rsidRPr="008762E5">
        <w:rPr>
          <w:szCs w:val="24"/>
        </w:rPr>
        <w:t>h</w:t>
      </w:r>
      <w:r w:rsidR="002B2611" w:rsidRPr="008762E5">
        <w:rPr>
          <w:szCs w:val="24"/>
        </w:rPr>
        <w:t>e amendment</w:t>
      </w:r>
      <w:r w:rsidR="00427102" w:rsidRPr="008762E5">
        <w:rPr>
          <w:szCs w:val="24"/>
        </w:rPr>
        <w:t xml:space="preserve"> </w:t>
      </w:r>
      <w:r w:rsidR="00ED513C" w:rsidRPr="008762E5">
        <w:rPr>
          <w:szCs w:val="24"/>
        </w:rPr>
        <w:t xml:space="preserve">has been updated in accordance with </w:t>
      </w:r>
      <w:r w:rsidR="00DD5C30" w:rsidRPr="008762E5">
        <w:rPr>
          <w:szCs w:val="24"/>
        </w:rPr>
        <w:t xml:space="preserve">current </w:t>
      </w:r>
      <w:r w:rsidR="00ED513C" w:rsidRPr="008762E5">
        <w:rPr>
          <w:szCs w:val="24"/>
        </w:rPr>
        <w:t xml:space="preserve">drafting </w:t>
      </w:r>
      <w:r w:rsidR="00BD297C" w:rsidRPr="008762E5">
        <w:rPr>
          <w:szCs w:val="24"/>
        </w:rPr>
        <w:t xml:space="preserve">conventions </w:t>
      </w:r>
      <w:r w:rsidR="00ED513C" w:rsidRPr="008762E5">
        <w:rPr>
          <w:szCs w:val="24"/>
        </w:rPr>
        <w:t>and is consistent with the corresponding provision in the 2009 Regulations.</w:t>
      </w:r>
      <w:r w:rsidR="00DD5C30" w:rsidRPr="008762E5">
        <w:rPr>
          <w:szCs w:val="24"/>
        </w:rPr>
        <w:t xml:space="preserve"> These changes have not altered </w:t>
      </w:r>
      <w:r w:rsidR="002B2611" w:rsidRPr="008762E5">
        <w:rPr>
          <w:szCs w:val="24"/>
        </w:rPr>
        <w:t xml:space="preserve">the </w:t>
      </w:r>
      <w:r w:rsidR="00DD5C30" w:rsidRPr="008762E5">
        <w:rPr>
          <w:szCs w:val="24"/>
        </w:rPr>
        <w:t>scope or substantive operation</w:t>
      </w:r>
      <w:r w:rsidR="002B2611" w:rsidRPr="008762E5">
        <w:rPr>
          <w:szCs w:val="24"/>
        </w:rPr>
        <w:t xml:space="preserve"> of this section</w:t>
      </w:r>
      <w:r w:rsidR="00DD5C30" w:rsidRPr="008762E5">
        <w:rPr>
          <w:szCs w:val="24"/>
        </w:rPr>
        <w:t>.</w:t>
      </w:r>
    </w:p>
    <w:p w14:paraId="3DC851DD" w14:textId="3DF3E7CC" w:rsidR="00D16F83" w:rsidRPr="008762E5" w:rsidRDefault="00D16F83" w:rsidP="00D16F83">
      <w:pPr>
        <w:pStyle w:val="Heading2"/>
        <w:rPr>
          <w:sz w:val="24"/>
          <w:szCs w:val="24"/>
        </w:rPr>
      </w:pPr>
      <w:r w:rsidRPr="008762E5">
        <w:rPr>
          <w:sz w:val="24"/>
          <w:szCs w:val="24"/>
        </w:rPr>
        <w:t xml:space="preserve">Part 5 – </w:t>
      </w:r>
      <w:r w:rsidR="00A5302D" w:rsidRPr="008762E5">
        <w:rPr>
          <w:sz w:val="24"/>
          <w:szCs w:val="24"/>
        </w:rPr>
        <w:t>The Tax Practitioners Board</w:t>
      </w:r>
    </w:p>
    <w:p w14:paraId="0C393256" w14:textId="38C18780" w:rsidR="000E6A29" w:rsidRPr="008762E5" w:rsidRDefault="00904ABD" w:rsidP="00526D8C">
      <w:pPr>
        <w:pStyle w:val="Heading4"/>
        <w:rPr>
          <w:szCs w:val="24"/>
        </w:rPr>
      </w:pPr>
      <w:r w:rsidRPr="008762E5">
        <w:rPr>
          <w:b w:val="0"/>
          <w:bCs/>
          <w:szCs w:val="24"/>
          <w:u w:val="single"/>
        </w:rPr>
        <w:t>Section 2</w:t>
      </w:r>
      <w:r w:rsidR="000E6A29" w:rsidRPr="008762E5">
        <w:rPr>
          <w:b w:val="0"/>
          <w:bCs/>
          <w:szCs w:val="24"/>
          <w:u w:val="single"/>
        </w:rPr>
        <w:t>4</w:t>
      </w:r>
      <w:r w:rsidR="00E1598C" w:rsidRPr="008762E5">
        <w:rPr>
          <w:b w:val="0"/>
          <w:bCs/>
          <w:szCs w:val="24"/>
          <w:u w:val="single"/>
        </w:rPr>
        <w:t xml:space="preserve"> –</w:t>
      </w:r>
      <w:r w:rsidR="00526D8C" w:rsidRPr="008762E5">
        <w:rPr>
          <w:b w:val="0"/>
          <w:bCs/>
          <w:szCs w:val="24"/>
          <w:u w:val="single"/>
        </w:rPr>
        <w:t xml:space="preserve"> </w:t>
      </w:r>
      <w:r w:rsidR="000E6A29" w:rsidRPr="008762E5">
        <w:rPr>
          <w:b w:val="0"/>
          <w:bCs/>
          <w:szCs w:val="24"/>
          <w:u w:val="single"/>
        </w:rPr>
        <w:t>Admin</w:t>
      </w:r>
      <w:r w:rsidR="00526D8C" w:rsidRPr="008762E5">
        <w:rPr>
          <w:b w:val="0"/>
          <w:bCs/>
          <w:szCs w:val="24"/>
          <w:u w:val="single"/>
        </w:rPr>
        <w:t>istrative</w:t>
      </w:r>
      <w:r w:rsidR="00E1598C" w:rsidRPr="008762E5">
        <w:rPr>
          <w:b w:val="0"/>
          <w:bCs/>
          <w:szCs w:val="24"/>
          <w:u w:val="single"/>
        </w:rPr>
        <w:t xml:space="preserve"> </w:t>
      </w:r>
      <w:r w:rsidR="000E6A29" w:rsidRPr="008762E5">
        <w:rPr>
          <w:b w:val="0"/>
          <w:bCs/>
          <w:szCs w:val="24"/>
          <w:u w:val="single"/>
        </w:rPr>
        <w:t>assistance</w:t>
      </w:r>
      <w:r w:rsidR="000E6A29" w:rsidRPr="008762E5">
        <w:rPr>
          <w:szCs w:val="24"/>
        </w:rPr>
        <w:t xml:space="preserve"> </w:t>
      </w:r>
    </w:p>
    <w:p w14:paraId="63C888A1" w14:textId="14B9025A" w:rsidR="00DD5C30" w:rsidRPr="008762E5" w:rsidRDefault="008A3912" w:rsidP="008A3912">
      <w:pPr>
        <w:pStyle w:val="base-text-paragraph"/>
        <w:ind w:left="0"/>
        <w:rPr>
          <w:szCs w:val="24"/>
        </w:rPr>
      </w:pPr>
      <w:r w:rsidRPr="008762E5">
        <w:rPr>
          <w:szCs w:val="24"/>
        </w:rPr>
        <w:t>Section 24 provides that the Commissioner of Taxation must provide a</w:t>
      </w:r>
      <w:r w:rsidR="002B2611" w:rsidRPr="008762E5">
        <w:rPr>
          <w:szCs w:val="24"/>
        </w:rPr>
        <w:t xml:space="preserve"> perso</w:t>
      </w:r>
      <w:r w:rsidRPr="008762E5">
        <w:rPr>
          <w:szCs w:val="24"/>
        </w:rPr>
        <w:t>n</w:t>
      </w:r>
      <w:r w:rsidR="002B2611" w:rsidRPr="008762E5">
        <w:rPr>
          <w:szCs w:val="24"/>
        </w:rPr>
        <w:t xml:space="preserve"> performing duties in the</w:t>
      </w:r>
      <w:r w:rsidRPr="008762E5">
        <w:rPr>
          <w:szCs w:val="24"/>
        </w:rPr>
        <w:t xml:space="preserve"> A</w:t>
      </w:r>
      <w:r w:rsidR="00830839" w:rsidRPr="008762E5">
        <w:rPr>
          <w:szCs w:val="24"/>
        </w:rPr>
        <w:t xml:space="preserve">ustralian </w:t>
      </w:r>
      <w:r w:rsidRPr="008762E5">
        <w:rPr>
          <w:szCs w:val="24"/>
        </w:rPr>
        <w:t>T</w:t>
      </w:r>
      <w:r w:rsidR="00830839" w:rsidRPr="008762E5">
        <w:rPr>
          <w:szCs w:val="24"/>
        </w:rPr>
        <w:t xml:space="preserve">axation </w:t>
      </w:r>
      <w:r w:rsidRPr="008762E5">
        <w:rPr>
          <w:szCs w:val="24"/>
        </w:rPr>
        <w:t>O</w:t>
      </w:r>
      <w:r w:rsidR="00830839" w:rsidRPr="008762E5">
        <w:rPr>
          <w:szCs w:val="24"/>
        </w:rPr>
        <w:t>ffice (ATO)</w:t>
      </w:r>
      <w:r w:rsidRPr="008762E5">
        <w:rPr>
          <w:szCs w:val="24"/>
        </w:rPr>
        <w:t xml:space="preserve"> to be the Secretary of the Board as well as ATO </w:t>
      </w:r>
      <w:r w:rsidR="002B2611" w:rsidRPr="008762E5">
        <w:rPr>
          <w:szCs w:val="24"/>
        </w:rPr>
        <w:t>pers</w:t>
      </w:r>
      <w:r w:rsidRPr="008762E5">
        <w:rPr>
          <w:szCs w:val="24"/>
        </w:rPr>
        <w:t>o</w:t>
      </w:r>
      <w:r w:rsidR="002B2611" w:rsidRPr="008762E5">
        <w:rPr>
          <w:szCs w:val="24"/>
        </w:rPr>
        <w:t>nn</w:t>
      </w:r>
      <w:r w:rsidRPr="008762E5">
        <w:rPr>
          <w:szCs w:val="24"/>
        </w:rPr>
        <w:t>e</w:t>
      </w:r>
      <w:r w:rsidR="002B2611" w:rsidRPr="008762E5">
        <w:rPr>
          <w:szCs w:val="24"/>
        </w:rPr>
        <w:t>l</w:t>
      </w:r>
      <w:r w:rsidRPr="008762E5">
        <w:rPr>
          <w:szCs w:val="24"/>
        </w:rPr>
        <w:t xml:space="preserve"> to provide administrative assistance to the Board. </w:t>
      </w:r>
      <w:r w:rsidR="00526D8C" w:rsidRPr="008762E5">
        <w:rPr>
          <w:szCs w:val="24"/>
        </w:rPr>
        <w:t xml:space="preserve">This section replicates the corresponding provision in the 2009 </w:t>
      </w:r>
      <w:r w:rsidRPr="008762E5">
        <w:rPr>
          <w:szCs w:val="24"/>
        </w:rPr>
        <w:t>R</w:t>
      </w:r>
      <w:r w:rsidR="00526D8C" w:rsidRPr="008762E5">
        <w:rPr>
          <w:szCs w:val="24"/>
        </w:rPr>
        <w:t xml:space="preserve">egulations </w:t>
      </w:r>
      <w:r w:rsidRPr="008762E5">
        <w:rPr>
          <w:szCs w:val="24"/>
        </w:rPr>
        <w:t>but has been simplified by removing redundant legislative obligations</w:t>
      </w:r>
      <w:r w:rsidR="00526D8C" w:rsidRPr="008762E5">
        <w:rPr>
          <w:szCs w:val="24"/>
        </w:rPr>
        <w:t>.</w:t>
      </w:r>
    </w:p>
    <w:p w14:paraId="50E87A97" w14:textId="7DDBBAD5" w:rsidR="00526D8C" w:rsidRPr="008762E5" w:rsidRDefault="00AA2C84" w:rsidP="00526D8C">
      <w:pPr>
        <w:pStyle w:val="base-text-paragraph"/>
        <w:ind w:left="0"/>
        <w:rPr>
          <w:szCs w:val="24"/>
        </w:rPr>
      </w:pPr>
      <w:r w:rsidRPr="008762E5">
        <w:rPr>
          <w:szCs w:val="24"/>
        </w:rPr>
        <w:t xml:space="preserve">Section 24 </w:t>
      </w:r>
      <w:r w:rsidR="00526D8C" w:rsidRPr="008762E5">
        <w:rPr>
          <w:szCs w:val="24"/>
        </w:rPr>
        <w:t>relies on the necessary and convenient power in paragraph 70-55(1)(b) of the Act.</w:t>
      </w:r>
    </w:p>
    <w:p w14:paraId="6B78B211" w14:textId="7490C2BA" w:rsidR="009835A8" w:rsidRPr="008762E5" w:rsidRDefault="009835A8" w:rsidP="00C2156A">
      <w:pPr>
        <w:pStyle w:val="Heading4"/>
        <w:rPr>
          <w:b w:val="0"/>
          <w:bCs/>
          <w:szCs w:val="24"/>
          <w:u w:val="single"/>
        </w:rPr>
      </w:pPr>
      <w:r w:rsidRPr="008762E5">
        <w:rPr>
          <w:b w:val="0"/>
          <w:bCs/>
          <w:szCs w:val="24"/>
          <w:u w:val="single"/>
        </w:rPr>
        <w:t>Section 2</w:t>
      </w:r>
      <w:r w:rsidR="000E6A29" w:rsidRPr="008762E5">
        <w:rPr>
          <w:b w:val="0"/>
          <w:bCs/>
          <w:szCs w:val="24"/>
          <w:u w:val="single"/>
        </w:rPr>
        <w:t>5</w:t>
      </w:r>
      <w:r w:rsidRPr="008762E5">
        <w:rPr>
          <w:b w:val="0"/>
          <w:bCs/>
          <w:szCs w:val="24"/>
          <w:u w:val="single"/>
        </w:rPr>
        <w:t xml:space="preserve"> </w:t>
      </w:r>
      <w:r w:rsidR="00E1598C" w:rsidRPr="008762E5">
        <w:rPr>
          <w:b w:val="0"/>
          <w:bCs/>
          <w:szCs w:val="24"/>
          <w:u w:val="single"/>
        </w:rPr>
        <w:t xml:space="preserve">– </w:t>
      </w:r>
      <w:r w:rsidRPr="008762E5">
        <w:rPr>
          <w:b w:val="0"/>
          <w:bCs/>
          <w:szCs w:val="24"/>
          <w:u w:val="single"/>
        </w:rPr>
        <w:t>Register</w:t>
      </w:r>
      <w:r w:rsidR="00E1598C" w:rsidRPr="008762E5">
        <w:rPr>
          <w:b w:val="0"/>
          <w:bCs/>
          <w:szCs w:val="24"/>
          <w:u w:val="single"/>
        </w:rPr>
        <w:t xml:space="preserve"> </w:t>
      </w:r>
      <w:r w:rsidRPr="008762E5">
        <w:rPr>
          <w:b w:val="0"/>
          <w:bCs/>
          <w:szCs w:val="24"/>
          <w:u w:val="single"/>
        </w:rPr>
        <w:t xml:space="preserve">of registered and deregistered tax agents and BAS agents </w:t>
      </w:r>
    </w:p>
    <w:p w14:paraId="605EAEE0" w14:textId="5DFF2CEB" w:rsidR="001F3E6E" w:rsidRPr="008762E5" w:rsidRDefault="007C5B5B" w:rsidP="00EA4DD8">
      <w:pPr>
        <w:tabs>
          <w:tab w:val="left" w:pos="2835"/>
        </w:tabs>
        <w:spacing w:before="240"/>
        <w:ind w:right="91"/>
        <w:rPr>
          <w:szCs w:val="24"/>
        </w:rPr>
      </w:pPr>
      <w:r w:rsidRPr="008762E5">
        <w:rPr>
          <w:szCs w:val="24"/>
        </w:rPr>
        <w:t xml:space="preserve">Section 25 prescribes information that must be included on the register for the registration and deregistration of agents. </w:t>
      </w:r>
      <w:r w:rsidR="00904ABD" w:rsidRPr="008762E5">
        <w:rPr>
          <w:szCs w:val="24"/>
        </w:rPr>
        <w:t>Th</w:t>
      </w:r>
      <w:r w:rsidRPr="008762E5">
        <w:rPr>
          <w:szCs w:val="24"/>
        </w:rPr>
        <w:t>i</w:t>
      </w:r>
      <w:r w:rsidR="00904ABD" w:rsidRPr="008762E5">
        <w:rPr>
          <w:szCs w:val="24"/>
        </w:rPr>
        <w:t xml:space="preserve">s section </w:t>
      </w:r>
      <w:r w:rsidR="004E7352" w:rsidRPr="008762E5">
        <w:rPr>
          <w:szCs w:val="24"/>
        </w:rPr>
        <w:t xml:space="preserve">has minor editorial updates but is consistent with </w:t>
      </w:r>
      <w:r w:rsidR="00904ABD" w:rsidRPr="008762E5">
        <w:rPr>
          <w:szCs w:val="24"/>
        </w:rPr>
        <w:t>the corresponding provision in the 2009 Regulations.</w:t>
      </w:r>
    </w:p>
    <w:p w14:paraId="05C3C814" w14:textId="01709A43" w:rsidR="00A5302D" w:rsidRPr="008762E5" w:rsidRDefault="00A5302D" w:rsidP="00A5302D">
      <w:pPr>
        <w:pStyle w:val="Heading2"/>
        <w:rPr>
          <w:sz w:val="24"/>
          <w:szCs w:val="24"/>
        </w:rPr>
      </w:pPr>
      <w:r w:rsidRPr="008762E5">
        <w:rPr>
          <w:sz w:val="24"/>
          <w:szCs w:val="24"/>
        </w:rPr>
        <w:lastRenderedPageBreak/>
        <w:t>Part 6 – Services that are not tax agent services</w:t>
      </w:r>
    </w:p>
    <w:p w14:paraId="542FC958" w14:textId="0E61C29A" w:rsidR="009835A8" w:rsidRPr="008762E5" w:rsidRDefault="009835A8" w:rsidP="00C2156A">
      <w:pPr>
        <w:pStyle w:val="Heading4"/>
        <w:rPr>
          <w:b w:val="0"/>
          <w:bCs/>
          <w:szCs w:val="24"/>
          <w:u w:val="single"/>
        </w:rPr>
      </w:pPr>
      <w:r w:rsidRPr="008762E5">
        <w:rPr>
          <w:b w:val="0"/>
          <w:bCs/>
          <w:szCs w:val="24"/>
          <w:u w:val="single"/>
        </w:rPr>
        <w:t>Section 2</w:t>
      </w:r>
      <w:r w:rsidR="000E6A29" w:rsidRPr="008762E5">
        <w:rPr>
          <w:b w:val="0"/>
          <w:bCs/>
          <w:szCs w:val="24"/>
          <w:u w:val="single"/>
        </w:rPr>
        <w:t>6</w:t>
      </w:r>
      <w:r w:rsidR="00E1598C" w:rsidRPr="008762E5">
        <w:rPr>
          <w:b w:val="0"/>
          <w:bCs/>
          <w:szCs w:val="24"/>
          <w:u w:val="single"/>
        </w:rPr>
        <w:t xml:space="preserve"> – S</w:t>
      </w:r>
      <w:r w:rsidRPr="008762E5">
        <w:rPr>
          <w:b w:val="0"/>
          <w:bCs/>
          <w:szCs w:val="24"/>
          <w:u w:val="single"/>
        </w:rPr>
        <w:t>ervices</w:t>
      </w:r>
      <w:r w:rsidR="00E1598C" w:rsidRPr="008762E5">
        <w:rPr>
          <w:b w:val="0"/>
          <w:bCs/>
          <w:szCs w:val="24"/>
          <w:u w:val="single"/>
        </w:rPr>
        <w:t xml:space="preserve"> </w:t>
      </w:r>
      <w:r w:rsidRPr="008762E5">
        <w:rPr>
          <w:b w:val="0"/>
          <w:bCs/>
          <w:szCs w:val="24"/>
          <w:u w:val="single"/>
        </w:rPr>
        <w:t>that are not tax agent services</w:t>
      </w:r>
    </w:p>
    <w:p w14:paraId="1D0894E3" w14:textId="77777777" w:rsidR="00D038AB" w:rsidRPr="008762E5" w:rsidRDefault="00EC55B8" w:rsidP="00EC55B8">
      <w:pPr>
        <w:tabs>
          <w:tab w:val="left" w:pos="2835"/>
        </w:tabs>
        <w:spacing w:before="240"/>
        <w:ind w:right="91"/>
        <w:rPr>
          <w:szCs w:val="24"/>
        </w:rPr>
      </w:pPr>
      <w:r w:rsidRPr="008762E5">
        <w:rPr>
          <w:szCs w:val="24"/>
        </w:rPr>
        <w:t xml:space="preserve">A tax agent service is defined in section 90-5 of the Act. Subsection 90-5(2) allows services to be excluded from this definition through regulations. </w:t>
      </w:r>
    </w:p>
    <w:p w14:paraId="50FCA999" w14:textId="7EFCA3FE" w:rsidR="00830839" w:rsidRPr="008762E5" w:rsidRDefault="002D3617" w:rsidP="00EA4DD8">
      <w:pPr>
        <w:tabs>
          <w:tab w:val="left" w:pos="2835"/>
        </w:tabs>
        <w:spacing w:before="240"/>
        <w:ind w:right="91"/>
        <w:rPr>
          <w:szCs w:val="24"/>
        </w:rPr>
      </w:pPr>
      <w:r w:rsidRPr="008762E5">
        <w:rPr>
          <w:szCs w:val="24"/>
        </w:rPr>
        <w:t>Section 2</w:t>
      </w:r>
      <w:r w:rsidR="00AA2C84" w:rsidRPr="008762E5">
        <w:rPr>
          <w:szCs w:val="24"/>
        </w:rPr>
        <w:t>6</w:t>
      </w:r>
      <w:r w:rsidRPr="008762E5">
        <w:rPr>
          <w:szCs w:val="24"/>
        </w:rPr>
        <w:t xml:space="preserve"> </w:t>
      </w:r>
      <w:bookmarkStart w:id="9" w:name="_Hlk95202966"/>
      <w:r w:rsidR="00830839" w:rsidRPr="008762E5">
        <w:rPr>
          <w:szCs w:val="24"/>
        </w:rPr>
        <w:t>of the Regulations specifies the list of services that are not intended to be captured by the</w:t>
      </w:r>
      <w:r w:rsidR="003425F9" w:rsidRPr="008762E5">
        <w:rPr>
          <w:szCs w:val="24"/>
        </w:rPr>
        <w:t xml:space="preserve"> tax agent services</w:t>
      </w:r>
      <w:r w:rsidR="00830839" w:rsidRPr="008762E5">
        <w:rPr>
          <w:szCs w:val="24"/>
        </w:rPr>
        <w:t xml:space="preserve"> definition</w:t>
      </w:r>
      <w:r w:rsidR="004E7352" w:rsidRPr="008762E5">
        <w:rPr>
          <w:szCs w:val="24"/>
        </w:rPr>
        <w:t>, such as services provided to a related entity</w:t>
      </w:r>
      <w:r w:rsidR="003425F9" w:rsidRPr="008762E5">
        <w:rPr>
          <w:szCs w:val="24"/>
        </w:rPr>
        <w:t xml:space="preserve">. The amendments to section 26 </w:t>
      </w:r>
      <w:r w:rsidR="004E7352" w:rsidRPr="008762E5">
        <w:rPr>
          <w:szCs w:val="24"/>
        </w:rPr>
        <w:t xml:space="preserve">are </w:t>
      </w:r>
      <w:r w:rsidR="003425F9" w:rsidRPr="008762E5">
        <w:rPr>
          <w:szCs w:val="24"/>
        </w:rPr>
        <w:t xml:space="preserve">minor editorial edits </w:t>
      </w:r>
      <w:r w:rsidR="004E7352" w:rsidRPr="008762E5">
        <w:rPr>
          <w:szCs w:val="24"/>
        </w:rPr>
        <w:t xml:space="preserve">and some clarifications to how it is expressed but is </w:t>
      </w:r>
      <w:bookmarkStart w:id="10" w:name="_Hlk95202995"/>
      <w:bookmarkEnd w:id="9"/>
      <w:r w:rsidR="004E7352" w:rsidRPr="008762E5">
        <w:rPr>
          <w:szCs w:val="24"/>
        </w:rPr>
        <w:t xml:space="preserve">consistent with </w:t>
      </w:r>
      <w:r w:rsidRPr="008762E5">
        <w:rPr>
          <w:szCs w:val="24"/>
        </w:rPr>
        <w:t xml:space="preserve">the corresponding </w:t>
      </w:r>
      <w:r w:rsidR="004A3A58" w:rsidRPr="008762E5">
        <w:rPr>
          <w:szCs w:val="24"/>
        </w:rPr>
        <w:t>provision</w:t>
      </w:r>
      <w:r w:rsidR="004E7352" w:rsidRPr="008762E5">
        <w:rPr>
          <w:szCs w:val="24"/>
        </w:rPr>
        <w:t xml:space="preserve"> </w:t>
      </w:r>
      <w:r w:rsidRPr="008762E5">
        <w:rPr>
          <w:szCs w:val="24"/>
        </w:rPr>
        <w:t>in the 2009 Regulations.</w:t>
      </w:r>
      <w:bookmarkEnd w:id="10"/>
    </w:p>
    <w:p w14:paraId="46054D3D" w14:textId="5BD9E7E9" w:rsidR="00276442" w:rsidRPr="008762E5" w:rsidRDefault="002D3617" w:rsidP="001F3E6E">
      <w:pPr>
        <w:tabs>
          <w:tab w:val="left" w:pos="2835"/>
        </w:tabs>
        <w:spacing w:before="240"/>
        <w:ind w:right="91"/>
        <w:rPr>
          <w:szCs w:val="24"/>
        </w:rPr>
      </w:pPr>
      <w:r w:rsidRPr="008762E5">
        <w:rPr>
          <w:szCs w:val="24"/>
        </w:rPr>
        <w:t xml:space="preserve">The amendments from the </w:t>
      </w:r>
      <w:r w:rsidR="00AA2C84" w:rsidRPr="008762E5">
        <w:rPr>
          <w:szCs w:val="24"/>
        </w:rPr>
        <w:t xml:space="preserve">Better Advice Regulations </w:t>
      </w:r>
      <w:r w:rsidR="001F3E6E" w:rsidRPr="008762E5">
        <w:rPr>
          <w:szCs w:val="24"/>
        </w:rPr>
        <w:t>have been incorporated in Section 2</w:t>
      </w:r>
      <w:r w:rsidR="00E1598C" w:rsidRPr="008762E5">
        <w:rPr>
          <w:szCs w:val="24"/>
        </w:rPr>
        <w:t>6</w:t>
      </w:r>
      <w:r w:rsidR="00D038AB" w:rsidRPr="008762E5">
        <w:rPr>
          <w:szCs w:val="24"/>
        </w:rPr>
        <w:t xml:space="preserve">, which provide </w:t>
      </w:r>
      <w:proofErr w:type="gramStart"/>
      <w:r w:rsidR="00D038AB" w:rsidRPr="008762E5">
        <w:rPr>
          <w:szCs w:val="24"/>
        </w:rPr>
        <w:t>that non-financial advisers (individuals, partnerships and companies)</w:t>
      </w:r>
      <w:proofErr w:type="gramEnd"/>
      <w:r w:rsidR="00D038AB" w:rsidRPr="008762E5">
        <w:rPr>
          <w:szCs w:val="24"/>
        </w:rPr>
        <w:t xml:space="preserve"> who were registered as tax (financial) advisers immediately before 1 January 2022 can continue to provide tax (financial) advice services between 1 January 2022 and 31 December 2022 without being registered as a tax agent</w:t>
      </w:r>
      <w:r w:rsidR="001F3E6E" w:rsidRPr="008762E5">
        <w:rPr>
          <w:szCs w:val="24"/>
        </w:rPr>
        <w:t>.</w:t>
      </w:r>
    </w:p>
    <w:p w14:paraId="7523433B" w14:textId="3D2C48AD" w:rsidR="009835A8" w:rsidRPr="008762E5" w:rsidRDefault="009835A8" w:rsidP="00B46AD7">
      <w:pPr>
        <w:pStyle w:val="Heading2"/>
        <w:rPr>
          <w:sz w:val="24"/>
          <w:szCs w:val="24"/>
        </w:rPr>
      </w:pPr>
      <w:r w:rsidRPr="008762E5">
        <w:rPr>
          <w:sz w:val="24"/>
          <w:szCs w:val="24"/>
        </w:rPr>
        <w:t>Schedule 1</w:t>
      </w:r>
      <w:r w:rsidR="004024CE" w:rsidRPr="008762E5">
        <w:rPr>
          <w:sz w:val="24"/>
          <w:szCs w:val="24"/>
        </w:rPr>
        <w:t xml:space="preserve"> </w:t>
      </w:r>
      <w:r w:rsidR="00EC3BC5" w:rsidRPr="008762E5">
        <w:rPr>
          <w:sz w:val="24"/>
          <w:szCs w:val="24"/>
        </w:rPr>
        <w:t>– Requirements for recognition o</w:t>
      </w:r>
      <w:r w:rsidR="004E7352" w:rsidRPr="008762E5">
        <w:rPr>
          <w:sz w:val="24"/>
          <w:szCs w:val="24"/>
        </w:rPr>
        <w:t>f</w:t>
      </w:r>
      <w:r w:rsidR="00EC3BC5" w:rsidRPr="008762E5">
        <w:rPr>
          <w:sz w:val="24"/>
          <w:szCs w:val="24"/>
        </w:rPr>
        <w:t xml:space="preserve"> professional associations</w:t>
      </w:r>
    </w:p>
    <w:p w14:paraId="47845FB8" w14:textId="66ECE2FF" w:rsidR="00A22038" w:rsidRPr="008762E5" w:rsidRDefault="005A39C7" w:rsidP="00AA2C84">
      <w:pPr>
        <w:rPr>
          <w:szCs w:val="24"/>
        </w:rPr>
      </w:pPr>
      <w:r w:rsidRPr="008762E5">
        <w:rPr>
          <w:szCs w:val="24"/>
        </w:rPr>
        <w:t xml:space="preserve">Schedule 1 sets out the objective requirements for associations to become </w:t>
      </w:r>
      <w:r w:rsidR="008762E5" w:rsidRPr="008762E5">
        <w:rPr>
          <w:szCs w:val="24"/>
        </w:rPr>
        <w:t>registered as a BAS agent association or a tax agent association</w:t>
      </w:r>
      <w:r w:rsidRPr="008762E5">
        <w:rPr>
          <w:szCs w:val="24"/>
        </w:rPr>
        <w:t xml:space="preserve">. </w:t>
      </w:r>
    </w:p>
    <w:p w14:paraId="0413DEC0" w14:textId="6BD68567" w:rsidR="009C5DB7" w:rsidRPr="008762E5" w:rsidRDefault="009C5DB7" w:rsidP="00AA2C84">
      <w:pPr>
        <w:rPr>
          <w:szCs w:val="24"/>
        </w:rPr>
      </w:pPr>
      <w:r w:rsidRPr="008762E5">
        <w:rPr>
          <w:szCs w:val="24"/>
        </w:rPr>
        <w:t xml:space="preserve">The structure </w:t>
      </w:r>
      <w:r w:rsidR="00A00DE0" w:rsidRPr="008762E5">
        <w:rPr>
          <w:szCs w:val="24"/>
        </w:rPr>
        <w:t xml:space="preserve">and </w:t>
      </w:r>
      <w:r w:rsidR="008762E5" w:rsidRPr="008762E5">
        <w:rPr>
          <w:szCs w:val="24"/>
        </w:rPr>
        <w:t xml:space="preserve">format </w:t>
      </w:r>
      <w:r w:rsidRPr="008762E5">
        <w:rPr>
          <w:szCs w:val="24"/>
        </w:rPr>
        <w:t>of Schedule</w:t>
      </w:r>
      <w:r w:rsidR="00EC3BC5" w:rsidRPr="008762E5">
        <w:rPr>
          <w:szCs w:val="24"/>
        </w:rPr>
        <w:t xml:space="preserve"> 1</w:t>
      </w:r>
      <w:r w:rsidRPr="008762E5">
        <w:rPr>
          <w:szCs w:val="24"/>
        </w:rPr>
        <w:t xml:space="preserve"> </w:t>
      </w:r>
      <w:r w:rsidR="005A39C7" w:rsidRPr="008762E5">
        <w:rPr>
          <w:szCs w:val="24"/>
        </w:rPr>
        <w:t>is</w:t>
      </w:r>
      <w:r w:rsidR="00D03EFA" w:rsidRPr="008762E5">
        <w:rPr>
          <w:szCs w:val="24"/>
        </w:rPr>
        <w:t xml:space="preserve"> </w:t>
      </w:r>
      <w:r w:rsidRPr="008762E5">
        <w:rPr>
          <w:szCs w:val="24"/>
        </w:rPr>
        <w:t>consistent with the</w:t>
      </w:r>
      <w:r w:rsidR="009A6DC0" w:rsidRPr="008762E5">
        <w:rPr>
          <w:szCs w:val="24"/>
        </w:rPr>
        <w:br/>
      </w:r>
      <w:r w:rsidRPr="008762E5">
        <w:rPr>
          <w:szCs w:val="24"/>
        </w:rPr>
        <w:t xml:space="preserve"> 2009 Regulations. </w:t>
      </w:r>
      <w:r w:rsidR="00AA2C84" w:rsidRPr="008762E5">
        <w:rPr>
          <w:szCs w:val="24"/>
        </w:rPr>
        <w:t>Schedule</w:t>
      </w:r>
      <w:r w:rsidR="00EC3BC5" w:rsidRPr="008762E5">
        <w:rPr>
          <w:szCs w:val="24"/>
        </w:rPr>
        <w:t xml:space="preserve"> 1</w:t>
      </w:r>
      <w:r w:rsidR="00AA2C84" w:rsidRPr="008762E5">
        <w:rPr>
          <w:szCs w:val="24"/>
        </w:rPr>
        <w:t xml:space="preserve"> </w:t>
      </w:r>
      <w:r w:rsidR="00A22038" w:rsidRPr="008762E5">
        <w:rPr>
          <w:szCs w:val="24"/>
        </w:rPr>
        <w:t xml:space="preserve">incorporates amendments from the Better Advice Regulations </w:t>
      </w:r>
      <w:r w:rsidR="008762E5" w:rsidRPr="008762E5">
        <w:rPr>
          <w:szCs w:val="24"/>
        </w:rPr>
        <w:t xml:space="preserve">that inserts definitions </w:t>
      </w:r>
      <w:r w:rsidR="00A22038" w:rsidRPr="008762E5">
        <w:rPr>
          <w:szCs w:val="24"/>
        </w:rPr>
        <w:t xml:space="preserve">and has been updated with minor edits consistent with current drafting </w:t>
      </w:r>
      <w:r w:rsidR="00BD297C" w:rsidRPr="008762E5">
        <w:rPr>
          <w:szCs w:val="24"/>
        </w:rPr>
        <w:t>conventions</w:t>
      </w:r>
      <w:r w:rsidR="00AA2C84" w:rsidRPr="008762E5">
        <w:rPr>
          <w:szCs w:val="24"/>
        </w:rPr>
        <w:t>.</w:t>
      </w:r>
    </w:p>
    <w:p w14:paraId="485E3575" w14:textId="59E0E79D" w:rsidR="00EC3BC5" w:rsidRPr="008762E5" w:rsidRDefault="00EC3BC5" w:rsidP="003425F9">
      <w:pPr>
        <w:pStyle w:val="Heading2"/>
        <w:rPr>
          <w:sz w:val="24"/>
          <w:szCs w:val="24"/>
        </w:rPr>
      </w:pPr>
      <w:r w:rsidRPr="008762E5">
        <w:rPr>
          <w:sz w:val="24"/>
          <w:szCs w:val="24"/>
        </w:rPr>
        <w:t xml:space="preserve">Schedule 2 – Requirements for registration as a BAS agent or tax agent </w:t>
      </w:r>
    </w:p>
    <w:p w14:paraId="24226487" w14:textId="2EE07C47" w:rsidR="00EC3BC5" w:rsidRPr="008762E5" w:rsidRDefault="00EC3BC5" w:rsidP="00EC3BC5">
      <w:pPr>
        <w:rPr>
          <w:szCs w:val="24"/>
        </w:rPr>
      </w:pPr>
      <w:r w:rsidRPr="008762E5">
        <w:rPr>
          <w:szCs w:val="24"/>
        </w:rPr>
        <w:t>The</w:t>
      </w:r>
      <w:r w:rsidR="005A39C7" w:rsidRPr="008762E5">
        <w:rPr>
          <w:szCs w:val="24"/>
        </w:rPr>
        <w:t xml:space="preserve"> prescribed</w:t>
      </w:r>
      <w:r w:rsidRPr="008762E5">
        <w:rPr>
          <w:szCs w:val="24"/>
        </w:rPr>
        <w:t xml:space="preserve"> requirements for </w:t>
      </w:r>
      <w:r w:rsidR="005A39C7" w:rsidRPr="008762E5">
        <w:rPr>
          <w:szCs w:val="24"/>
        </w:rPr>
        <w:t>BAS and tax agents to become registered is detailed in Schedule 2</w:t>
      </w:r>
      <w:r w:rsidRPr="008762E5">
        <w:rPr>
          <w:szCs w:val="24"/>
        </w:rPr>
        <w:t xml:space="preserve">. </w:t>
      </w:r>
    </w:p>
    <w:p w14:paraId="464EE527" w14:textId="77777777" w:rsidR="003460E4" w:rsidRPr="008762E5" w:rsidRDefault="003460E4" w:rsidP="003460E4">
      <w:pPr>
        <w:rPr>
          <w:szCs w:val="24"/>
        </w:rPr>
      </w:pPr>
      <w:r w:rsidRPr="008762E5">
        <w:rPr>
          <w:szCs w:val="24"/>
        </w:rPr>
        <w:t xml:space="preserve">As a result of updates to the qualifications administered by the Department of Education, Skills and Employment, there have been consequential amendments to the Certificate IV qualifications in items 101 and 102. </w:t>
      </w:r>
    </w:p>
    <w:p w14:paraId="750C861C" w14:textId="5BB9E93A" w:rsidR="003460E4" w:rsidRPr="008762E5" w:rsidRDefault="003460E4" w:rsidP="003460E4">
      <w:pPr>
        <w:rPr>
          <w:szCs w:val="24"/>
        </w:rPr>
      </w:pPr>
      <w:r w:rsidRPr="008762E5">
        <w:rPr>
          <w:szCs w:val="24"/>
        </w:rPr>
        <w:t>The former Certificate IV in Bookkeeping and the Certificate IV in Accounting have been superseded by the current reference to Certificate IV in Accounting and Bookkeeping. These updates do not inhibit individuals from holding a previously recognised qualification that has been superseded, as this continues to be recognised. Similarly, in the future where individuals obtain a qualification that supersedes the current Certificate IV will continue to meet the requirements.</w:t>
      </w:r>
    </w:p>
    <w:p w14:paraId="3F49190A" w14:textId="734D689C" w:rsidR="00EC3BC5" w:rsidRPr="008762E5" w:rsidRDefault="00EC3BC5" w:rsidP="00EC3BC5">
      <w:pPr>
        <w:rPr>
          <w:szCs w:val="24"/>
        </w:rPr>
      </w:pPr>
      <w:r w:rsidRPr="008762E5">
        <w:rPr>
          <w:szCs w:val="24"/>
        </w:rPr>
        <w:t xml:space="preserve">The structure and </w:t>
      </w:r>
      <w:r w:rsidR="008762E5" w:rsidRPr="008762E5">
        <w:rPr>
          <w:szCs w:val="24"/>
        </w:rPr>
        <w:t xml:space="preserve">format </w:t>
      </w:r>
      <w:r w:rsidRPr="008762E5">
        <w:rPr>
          <w:szCs w:val="24"/>
        </w:rPr>
        <w:t xml:space="preserve">of Schedule </w:t>
      </w:r>
      <w:r w:rsidR="008762E5" w:rsidRPr="008762E5">
        <w:rPr>
          <w:szCs w:val="24"/>
        </w:rPr>
        <w:t xml:space="preserve">2 </w:t>
      </w:r>
      <w:r w:rsidR="005A39C7" w:rsidRPr="008762E5">
        <w:rPr>
          <w:szCs w:val="24"/>
        </w:rPr>
        <w:t>is</w:t>
      </w:r>
      <w:r w:rsidRPr="008762E5">
        <w:rPr>
          <w:szCs w:val="24"/>
        </w:rPr>
        <w:t xml:space="preserve"> retained and is consistent with the 2009 Regulations. </w:t>
      </w:r>
      <w:r w:rsidR="00A22038" w:rsidRPr="008762E5">
        <w:rPr>
          <w:szCs w:val="24"/>
        </w:rPr>
        <w:t xml:space="preserve">Schedule 2 incorporates amendments from the Better Advice Regulations </w:t>
      </w:r>
      <w:r w:rsidR="008762E5" w:rsidRPr="008762E5">
        <w:rPr>
          <w:szCs w:val="24"/>
        </w:rPr>
        <w:t xml:space="preserve">that inserts definitions </w:t>
      </w:r>
      <w:r w:rsidR="00A22038" w:rsidRPr="008762E5">
        <w:rPr>
          <w:szCs w:val="24"/>
        </w:rPr>
        <w:t xml:space="preserve">and </w:t>
      </w:r>
      <w:r w:rsidRPr="008762E5">
        <w:rPr>
          <w:szCs w:val="24"/>
        </w:rPr>
        <w:t xml:space="preserve">minor and editorial updates </w:t>
      </w:r>
      <w:r w:rsidR="00A22038" w:rsidRPr="008762E5">
        <w:rPr>
          <w:szCs w:val="24"/>
        </w:rPr>
        <w:t xml:space="preserve">that </w:t>
      </w:r>
      <w:r w:rsidRPr="008762E5">
        <w:rPr>
          <w:szCs w:val="24"/>
        </w:rPr>
        <w:t xml:space="preserve">have not altered the scope or any other feature of </w:t>
      </w:r>
      <w:r w:rsidR="00A22038" w:rsidRPr="008762E5">
        <w:rPr>
          <w:szCs w:val="24"/>
        </w:rPr>
        <w:t xml:space="preserve">its </w:t>
      </w:r>
      <w:r w:rsidRPr="008762E5">
        <w:rPr>
          <w:szCs w:val="24"/>
        </w:rPr>
        <w:t xml:space="preserve">substantive operation. </w:t>
      </w:r>
    </w:p>
    <w:p w14:paraId="0307021A" w14:textId="49EA9B8C" w:rsidR="009835A8" w:rsidRPr="008762E5" w:rsidRDefault="009835A8" w:rsidP="00B46AD7">
      <w:pPr>
        <w:pStyle w:val="Heading2"/>
        <w:rPr>
          <w:sz w:val="24"/>
          <w:szCs w:val="24"/>
        </w:rPr>
      </w:pPr>
      <w:r w:rsidRPr="008762E5">
        <w:rPr>
          <w:sz w:val="24"/>
          <w:szCs w:val="24"/>
        </w:rPr>
        <w:t>Schedule 3—Repeals</w:t>
      </w:r>
    </w:p>
    <w:p w14:paraId="72D02D40" w14:textId="53848FB2" w:rsidR="009835A8" w:rsidRPr="008762E5" w:rsidRDefault="009835A8" w:rsidP="009835A8">
      <w:pPr>
        <w:tabs>
          <w:tab w:val="left" w:pos="2835"/>
        </w:tabs>
        <w:spacing w:before="240"/>
        <w:ind w:right="91"/>
        <w:rPr>
          <w:szCs w:val="24"/>
        </w:rPr>
      </w:pPr>
      <w:r w:rsidRPr="008762E5">
        <w:rPr>
          <w:szCs w:val="24"/>
        </w:rPr>
        <w:t xml:space="preserve">This section repeals the whole of the </w:t>
      </w:r>
      <w:r w:rsidR="00945578" w:rsidRPr="008762E5">
        <w:rPr>
          <w:i/>
          <w:iCs/>
          <w:szCs w:val="24"/>
        </w:rPr>
        <w:t>Tax Agent Services Regulations 2009.</w:t>
      </w:r>
    </w:p>
    <w:bookmarkEnd w:id="4"/>
    <w:bookmarkEnd w:id="5"/>
    <w:p w14:paraId="0558BAEC" w14:textId="4FC66FCE" w:rsidR="004C3AA8" w:rsidRDefault="004C3AA8">
      <w:pPr>
        <w:spacing w:before="0" w:after="0"/>
      </w:pPr>
      <w:r>
        <w:br w:type="page"/>
      </w:r>
    </w:p>
    <w:p w14:paraId="2F9B6047" w14:textId="25E0641D" w:rsidR="004C3AA8" w:rsidRDefault="004C3AA8" w:rsidP="004C3AA8">
      <w:pPr>
        <w:pageBreakBefore/>
        <w:spacing w:before="240"/>
        <w:jc w:val="right"/>
        <w:rPr>
          <w:b/>
          <w:u w:val="single"/>
        </w:rPr>
      </w:pPr>
      <w:r w:rsidRPr="007B335E">
        <w:rPr>
          <w:b/>
          <w:u w:val="single"/>
        </w:rPr>
        <w:lastRenderedPageBreak/>
        <w:t>ATTACHMENT</w:t>
      </w:r>
      <w:r>
        <w:rPr>
          <w:b/>
          <w:u w:val="single"/>
        </w:rPr>
        <w:t xml:space="preserve"> B</w:t>
      </w:r>
    </w:p>
    <w:p w14:paraId="0ABC2275" w14:textId="73C19445" w:rsidR="00482B81" w:rsidRDefault="004C3AA8" w:rsidP="005365E6">
      <w:pPr>
        <w:spacing w:before="0"/>
        <w:rPr>
          <w:b/>
          <w:bCs/>
          <w:i/>
          <w:iCs/>
          <w:color w:val="000000"/>
        </w:rPr>
      </w:pPr>
      <w:r>
        <w:rPr>
          <w:b/>
          <w:bCs/>
          <w:color w:val="000000"/>
        </w:rPr>
        <w:t xml:space="preserve">FINDING TABLES – </w:t>
      </w:r>
      <w:r w:rsidRPr="004C3AA8">
        <w:rPr>
          <w:b/>
          <w:bCs/>
          <w:i/>
          <w:iCs/>
          <w:color w:val="000000"/>
        </w:rPr>
        <w:t>Tax</w:t>
      </w:r>
      <w:r>
        <w:rPr>
          <w:b/>
          <w:bCs/>
          <w:i/>
          <w:iCs/>
          <w:color w:val="000000"/>
        </w:rPr>
        <w:t xml:space="preserve"> </w:t>
      </w:r>
      <w:r w:rsidRPr="004C3AA8">
        <w:rPr>
          <w:b/>
          <w:bCs/>
          <w:i/>
          <w:iCs/>
          <w:color w:val="000000"/>
        </w:rPr>
        <w:t>Agent Services Regulations 2009</w:t>
      </w:r>
    </w:p>
    <w:p w14:paraId="490328E2" w14:textId="77777777" w:rsidR="005365E6" w:rsidRDefault="005365E6" w:rsidP="005365E6">
      <w:pPr>
        <w:spacing w:before="0" w:after="0"/>
      </w:pPr>
      <w:r>
        <w:t>As a result of some of the changes outlined in Attachment A, it was necessary to renumber the provisions in the Regulations. This explanatory statement includes finding tables to assist in identifying which provision in the Regulations corresponds to a provision in the old law that has been rewritten or consolidated.</w:t>
      </w:r>
    </w:p>
    <w:p w14:paraId="19444184" w14:textId="77777777" w:rsidR="005365E6" w:rsidRDefault="005365E6" w:rsidP="005365E6">
      <w:pPr>
        <w:spacing w:before="0" w:after="0"/>
      </w:pPr>
    </w:p>
    <w:p w14:paraId="6461FEB8" w14:textId="303A9C30" w:rsidR="005365E6" w:rsidRDefault="005365E6" w:rsidP="005365E6">
      <w:pPr>
        <w:spacing w:before="0"/>
      </w:pPr>
      <w:r>
        <w:t xml:space="preserve">In the finding table, in the Old Law column, 'no equivalent' means that this is a new provision that has no equivalent in the old law. </w:t>
      </w:r>
    </w:p>
    <w:p w14:paraId="5386AFB5" w14:textId="4AFE714B" w:rsidR="00260A1A" w:rsidRPr="00260A1A" w:rsidRDefault="00260A1A" w:rsidP="005365E6">
      <w:pPr>
        <w:spacing w:before="0"/>
        <w:rPr>
          <w:b/>
          <w:bCs/>
        </w:rPr>
      </w:pPr>
      <w:r w:rsidRPr="00260A1A">
        <w:rPr>
          <w:b/>
          <w:bCs/>
        </w:rPr>
        <w:t>Finding table – Old to New Law</w:t>
      </w:r>
    </w:p>
    <w:tbl>
      <w:tblPr>
        <w:tblStyle w:val="TableGrid"/>
        <w:tblW w:w="0" w:type="auto"/>
        <w:tblLook w:val="04A0" w:firstRow="1" w:lastRow="0" w:firstColumn="1" w:lastColumn="0" w:noHBand="0" w:noVBand="1"/>
      </w:tblPr>
      <w:tblGrid>
        <w:gridCol w:w="4146"/>
        <w:gridCol w:w="4150"/>
      </w:tblGrid>
      <w:tr w:rsidR="004C3AA8" w:rsidRPr="004C3AA8" w14:paraId="040B2AE9" w14:textId="77777777" w:rsidTr="00606C84">
        <w:trPr>
          <w:tblHeader/>
        </w:trPr>
        <w:tc>
          <w:tcPr>
            <w:tcW w:w="4146" w:type="dxa"/>
          </w:tcPr>
          <w:p w14:paraId="6D34F99D" w14:textId="77777777" w:rsidR="004C3AA8" w:rsidRPr="004C3AA8" w:rsidRDefault="004C3AA8" w:rsidP="00606C84">
            <w:pPr>
              <w:jc w:val="center"/>
              <w:rPr>
                <w:b/>
                <w:i/>
                <w:color w:val="000000"/>
                <w:szCs w:val="24"/>
              </w:rPr>
            </w:pPr>
            <w:bookmarkStart w:id="11" w:name="_Hlk95203474"/>
            <w:r w:rsidRPr="004C3AA8">
              <w:rPr>
                <w:b/>
                <w:i/>
                <w:color w:val="000000"/>
                <w:szCs w:val="24"/>
              </w:rPr>
              <w:t>Old Law</w:t>
            </w:r>
          </w:p>
        </w:tc>
        <w:tc>
          <w:tcPr>
            <w:tcW w:w="4150" w:type="dxa"/>
          </w:tcPr>
          <w:p w14:paraId="2458F712" w14:textId="77777777" w:rsidR="004C3AA8" w:rsidRPr="004C3AA8" w:rsidRDefault="004C3AA8" w:rsidP="00606C84">
            <w:pPr>
              <w:jc w:val="center"/>
              <w:rPr>
                <w:b/>
                <w:i/>
                <w:color w:val="000000"/>
                <w:szCs w:val="24"/>
              </w:rPr>
            </w:pPr>
            <w:r w:rsidRPr="004C3AA8">
              <w:rPr>
                <w:b/>
                <w:i/>
                <w:color w:val="000000"/>
                <w:szCs w:val="24"/>
              </w:rPr>
              <w:t>New Law</w:t>
            </w:r>
          </w:p>
        </w:tc>
      </w:tr>
      <w:tr w:rsidR="004C3AA8" w:rsidRPr="004C3AA8" w14:paraId="35D55B72" w14:textId="77777777" w:rsidTr="00606C84">
        <w:trPr>
          <w:tblHeader/>
        </w:trPr>
        <w:tc>
          <w:tcPr>
            <w:tcW w:w="4146" w:type="dxa"/>
          </w:tcPr>
          <w:p w14:paraId="3B79D70E" w14:textId="77777777" w:rsidR="004C3AA8" w:rsidRPr="004C3AA8" w:rsidRDefault="004C3AA8" w:rsidP="00606C84">
            <w:pPr>
              <w:rPr>
                <w:bCs/>
                <w:color w:val="000000"/>
                <w:szCs w:val="24"/>
              </w:rPr>
            </w:pPr>
            <w:r w:rsidRPr="004C3AA8">
              <w:rPr>
                <w:bCs/>
                <w:i/>
                <w:color w:val="000000"/>
                <w:szCs w:val="24"/>
              </w:rPr>
              <w:t>Tax Agent Services Regulations 2009</w:t>
            </w:r>
          </w:p>
        </w:tc>
        <w:tc>
          <w:tcPr>
            <w:tcW w:w="4150" w:type="dxa"/>
          </w:tcPr>
          <w:p w14:paraId="4C3C0695" w14:textId="5BC937FB" w:rsidR="008D11F5" w:rsidRPr="004C3AA8" w:rsidRDefault="004C3AA8" w:rsidP="00606C84">
            <w:pPr>
              <w:rPr>
                <w:bCs/>
                <w:i/>
                <w:color w:val="000000"/>
                <w:szCs w:val="24"/>
              </w:rPr>
            </w:pPr>
            <w:r w:rsidRPr="004C3AA8">
              <w:rPr>
                <w:bCs/>
                <w:i/>
                <w:color w:val="000000"/>
                <w:szCs w:val="24"/>
              </w:rPr>
              <w:t>Tax Agent Services Regulations 202</w:t>
            </w:r>
            <w:r w:rsidR="008D11F5">
              <w:rPr>
                <w:bCs/>
                <w:i/>
                <w:color w:val="000000"/>
                <w:szCs w:val="24"/>
              </w:rPr>
              <w:t>2</w:t>
            </w:r>
          </w:p>
        </w:tc>
      </w:tr>
      <w:tr w:rsidR="004C3AA8" w:rsidRPr="004C3AA8" w14:paraId="69839606" w14:textId="77777777" w:rsidTr="00606C84">
        <w:tc>
          <w:tcPr>
            <w:tcW w:w="4146" w:type="dxa"/>
          </w:tcPr>
          <w:p w14:paraId="5521EBAB" w14:textId="77777777" w:rsidR="004C3AA8" w:rsidRPr="004C3AA8" w:rsidRDefault="004C3AA8" w:rsidP="00606C84">
            <w:pPr>
              <w:rPr>
                <w:bCs/>
                <w:color w:val="000000"/>
                <w:szCs w:val="24"/>
              </w:rPr>
            </w:pPr>
            <w:r w:rsidRPr="004C3AA8">
              <w:rPr>
                <w:bCs/>
                <w:color w:val="000000"/>
                <w:szCs w:val="24"/>
              </w:rPr>
              <w:t>1</w:t>
            </w:r>
          </w:p>
        </w:tc>
        <w:tc>
          <w:tcPr>
            <w:tcW w:w="4150" w:type="dxa"/>
          </w:tcPr>
          <w:p w14:paraId="115AF55C" w14:textId="77777777" w:rsidR="004C3AA8" w:rsidRPr="004C3AA8" w:rsidRDefault="004C3AA8" w:rsidP="00606C84">
            <w:pPr>
              <w:rPr>
                <w:bCs/>
                <w:color w:val="000000"/>
                <w:szCs w:val="24"/>
              </w:rPr>
            </w:pPr>
            <w:r w:rsidRPr="004C3AA8">
              <w:rPr>
                <w:bCs/>
                <w:color w:val="000000"/>
                <w:szCs w:val="24"/>
              </w:rPr>
              <w:t>1</w:t>
            </w:r>
          </w:p>
        </w:tc>
      </w:tr>
      <w:tr w:rsidR="004C3AA8" w:rsidRPr="004C3AA8" w14:paraId="52A94275" w14:textId="77777777" w:rsidTr="00606C84">
        <w:tc>
          <w:tcPr>
            <w:tcW w:w="4146" w:type="dxa"/>
          </w:tcPr>
          <w:p w14:paraId="781F4895" w14:textId="3CB0C166" w:rsidR="004C3AA8" w:rsidRPr="004C3AA8" w:rsidRDefault="004C3AA8" w:rsidP="00606C84">
            <w:pPr>
              <w:rPr>
                <w:bCs/>
                <w:color w:val="000000"/>
                <w:szCs w:val="24"/>
              </w:rPr>
            </w:pPr>
            <w:r w:rsidRPr="004C3AA8">
              <w:rPr>
                <w:bCs/>
                <w:color w:val="000000"/>
                <w:szCs w:val="24"/>
              </w:rPr>
              <w:t>No equivalent</w:t>
            </w:r>
          </w:p>
        </w:tc>
        <w:tc>
          <w:tcPr>
            <w:tcW w:w="4150" w:type="dxa"/>
          </w:tcPr>
          <w:p w14:paraId="63306540" w14:textId="77777777" w:rsidR="004C3AA8" w:rsidRPr="004C3AA8" w:rsidRDefault="004C3AA8" w:rsidP="00606C84">
            <w:pPr>
              <w:rPr>
                <w:bCs/>
                <w:color w:val="000000"/>
                <w:szCs w:val="24"/>
              </w:rPr>
            </w:pPr>
            <w:r w:rsidRPr="004C3AA8">
              <w:rPr>
                <w:bCs/>
                <w:color w:val="000000"/>
                <w:szCs w:val="24"/>
              </w:rPr>
              <w:t>2 - 4</w:t>
            </w:r>
          </w:p>
        </w:tc>
      </w:tr>
      <w:tr w:rsidR="004C3AA8" w:rsidRPr="004C3AA8" w14:paraId="53D935A5" w14:textId="77777777" w:rsidTr="00606C84">
        <w:tc>
          <w:tcPr>
            <w:tcW w:w="4146" w:type="dxa"/>
          </w:tcPr>
          <w:p w14:paraId="42676629" w14:textId="77777777" w:rsidR="004C3AA8" w:rsidRPr="004C3AA8" w:rsidRDefault="004C3AA8" w:rsidP="00606C84">
            <w:pPr>
              <w:rPr>
                <w:bCs/>
                <w:color w:val="000000"/>
                <w:szCs w:val="24"/>
              </w:rPr>
            </w:pPr>
            <w:r w:rsidRPr="004C3AA8">
              <w:rPr>
                <w:bCs/>
                <w:color w:val="000000"/>
                <w:szCs w:val="24"/>
              </w:rPr>
              <w:t>3</w:t>
            </w:r>
          </w:p>
        </w:tc>
        <w:tc>
          <w:tcPr>
            <w:tcW w:w="4150" w:type="dxa"/>
          </w:tcPr>
          <w:p w14:paraId="13C6FCB4" w14:textId="77777777" w:rsidR="004C3AA8" w:rsidRPr="004C3AA8" w:rsidRDefault="004C3AA8" w:rsidP="00606C84">
            <w:pPr>
              <w:rPr>
                <w:bCs/>
                <w:color w:val="000000"/>
                <w:szCs w:val="24"/>
              </w:rPr>
            </w:pPr>
            <w:r w:rsidRPr="004C3AA8">
              <w:rPr>
                <w:bCs/>
                <w:color w:val="000000"/>
                <w:szCs w:val="24"/>
              </w:rPr>
              <w:t>5</w:t>
            </w:r>
          </w:p>
        </w:tc>
      </w:tr>
      <w:tr w:rsidR="004C3AA8" w:rsidRPr="004C3AA8" w14:paraId="67014F37" w14:textId="77777777" w:rsidTr="00606C84">
        <w:tc>
          <w:tcPr>
            <w:tcW w:w="4146" w:type="dxa"/>
          </w:tcPr>
          <w:p w14:paraId="4EEBD3E1" w14:textId="77777777" w:rsidR="004C3AA8" w:rsidRPr="004C3AA8" w:rsidRDefault="004C3AA8" w:rsidP="00606C84">
            <w:pPr>
              <w:rPr>
                <w:bCs/>
                <w:color w:val="000000"/>
                <w:szCs w:val="24"/>
              </w:rPr>
            </w:pPr>
            <w:r w:rsidRPr="004C3AA8">
              <w:rPr>
                <w:bCs/>
                <w:color w:val="000000"/>
                <w:szCs w:val="24"/>
              </w:rPr>
              <w:t>4</w:t>
            </w:r>
          </w:p>
        </w:tc>
        <w:tc>
          <w:tcPr>
            <w:tcW w:w="4150" w:type="dxa"/>
          </w:tcPr>
          <w:p w14:paraId="482C4FE1" w14:textId="77777777" w:rsidR="004C3AA8" w:rsidRPr="004C3AA8" w:rsidRDefault="004C3AA8" w:rsidP="00606C84">
            <w:pPr>
              <w:rPr>
                <w:bCs/>
                <w:color w:val="000000"/>
                <w:szCs w:val="24"/>
              </w:rPr>
            </w:pPr>
            <w:r w:rsidRPr="004C3AA8">
              <w:rPr>
                <w:bCs/>
                <w:color w:val="000000"/>
                <w:szCs w:val="24"/>
              </w:rPr>
              <w:t>6</w:t>
            </w:r>
          </w:p>
        </w:tc>
      </w:tr>
      <w:tr w:rsidR="004C3AA8" w:rsidRPr="004C3AA8" w14:paraId="2117AF49" w14:textId="77777777" w:rsidTr="00606C84">
        <w:tc>
          <w:tcPr>
            <w:tcW w:w="4146" w:type="dxa"/>
          </w:tcPr>
          <w:p w14:paraId="3848E113" w14:textId="77777777" w:rsidR="004C3AA8" w:rsidRPr="004C3AA8" w:rsidRDefault="004C3AA8" w:rsidP="00606C84">
            <w:pPr>
              <w:rPr>
                <w:bCs/>
                <w:color w:val="000000"/>
                <w:szCs w:val="24"/>
              </w:rPr>
            </w:pPr>
            <w:r w:rsidRPr="004C3AA8">
              <w:rPr>
                <w:bCs/>
                <w:color w:val="000000"/>
                <w:szCs w:val="24"/>
              </w:rPr>
              <w:t>4A</w:t>
            </w:r>
          </w:p>
        </w:tc>
        <w:tc>
          <w:tcPr>
            <w:tcW w:w="4150" w:type="dxa"/>
          </w:tcPr>
          <w:p w14:paraId="5EEF658D" w14:textId="77777777" w:rsidR="004C3AA8" w:rsidRPr="004C3AA8" w:rsidRDefault="004C3AA8" w:rsidP="00606C84">
            <w:pPr>
              <w:rPr>
                <w:bCs/>
                <w:color w:val="000000"/>
                <w:szCs w:val="24"/>
              </w:rPr>
            </w:pPr>
            <w:r w:rsidRPr="004C3AA8">
              <w:rPr>
                <w:bCs/>
                <w:color w:val="000000"/>
                <w:szCs w:val="24"/>
              </w:rPr>
              <w:t>7</w:t>
            </w:r>
          </w:p>
        </w:tc>
      </w:tr>
      <w:tr w:rsidR="004C3AA8" w:rsidRPr="004C3AA8" w14:paraId="191190A2" w14:textId="77777777" w:rsidTr="00606C84">
        <w:tc>
          <w:tcPr>
            <w:tcW w:w="4146" w:type="dxa"/>
          </w:tcPr>
          <w:p w14:paraId="24AC4DED" w14:textId="77777777" w:rsidR="004C3AA8" w:rsidRPr="004C3AA8" w:rsidRDefault="004C3AA8" w:rsidP="00606C84">
            <w:pPr>
              <w:rPr>
                <w:bCs/>
                <w:color w:val="000000"/>
                <w:szCs w:val="24"/>
              </w:rPr>
            </w:pPr>
            <w:r w:rsidRPr="004C3AA8">
              <w:rPr>
                <w:bCs/>
                <w:color w:val="000000"/>
                <w:szCs w:val="24"/>
              </w:rPr>
              <w:t xml:space="preserve">4B </w:t>
            </w:r>
          </w:p>
        </w:tc>
        <w:tc>
          <w:tcPr>
            <w:tcW w:w="4150" w:type="dxa"/>
          </w:tcPr>
          <w:p w14:paraId="01363EBD" w14:textId="77777777" w:rsidR="004C3AA8" w:rsidRPr="004C3AA8" w:rsidRDefault="004C3AA8" w:rsidP="00606C84">
            <w:pPr>
              <w:rPr>
                <w:bCs/>
                <w:color w:val="000000"/>
                <w:szCs w:val="24"/>
              </w:rPr>
            </w:pPr>
            <w:r w:rsidRPr="004C3AA8">
              <w:rPr>
                <w:bCs/>
                <w:color w:val="000000"/>
                <w:szCs w:val="24"/>
              </w:rPr>
              <w:t>8</w:t>
            </w:r>
          </w:p>
        </w:tc>
      </w:tr>
      <w:tr w:rsidR="004C3AA8" w:rsidRPr="004C3AA8" w14:paraId="268C5C0C" w14:textId="77777777" w:rsidTr="00606C84">
        <w:tc>
          <w:tcPr>
            <w:tcW w:w="4146" w:type="dxa"/>
          </w:tcPr>
          <w:p w14:paraId="31D63491" w14:textId="77777777" w:rsidR="004C3AA8" w:rsidRPr="004C3AA8" w:rsidRDefault="004C3AA8" w:rsidP="00606C84">
            <w:pPr>
              <w:rPr>
                <w:bCs/>
                <w:color w:val="000000"/>
                <w:szCs w:val="24"/>
              </w:rPr>
            </w:pPr>
            <w:r w:rsidRPr="004C3AA8">
              <w:rPr>
                <w:bCs/>
                <w:color w:val="000000"/>
                <w:szCs w:val="24"/>
              </w:rPr>
              <w:t>4D</w:t>
            </w:r>
          </w:p>
        </w:tc>
        <w:tc>
          <w:tcPr>
            <w:tcW w:w="4150" w:type="dxa"/>
          </w:tcPr>
          <w:p w14:paraId="01AB5FF1" w14:textId="77777777" w:rsidR="004C3AA8" w:rsidRPr="004C3AA8" w:rsidRDefault="004C3AA8" w:rsidP="00606C84">
            <w:pPr>
              <w:rPr>
                <w:bCs/>
                <w:color w:val="000000"/>
                <w:szCs w:val="24"/>
              </w:rPr>
            </w:pPr>
            <w:r w:rsidRPr="004C3AA8">
              <w:rPr>
                <w:bCs/>
                <w:color w:val="000000"/>
                <w:szCs w:val="24"/>
              </w:rPr>
              <w:t>8</w:t>
            </w:r>
          </w:p>
        </w:tc>
      </w:tr>
      <w:tr w:rsidR="004C3AA8" w:rsidRPr="004C3AA8" w14:paraId="32AD55CE" w14:textId="77777777" w:rsidTr="00606C84">
        <w:tc>
          <w:tcPr>
            <w:tcW w:w="4146" w:type="dxa"/>
          </w:tcPr>
          <w:p w14:paraId="71B3F460" w14:textId="77777777" w:rsidR="004C3AA8" w:rsidRPr="004C3AA8" w:rsidRDefault="004C3AA8" w:rsidP="00606C84">
            <w:pPr>
              <w:rPr>
                <w:bCs/>
                <w:color w:val="000000"/>
                <w:szCs w:val="24"/>
              </w:rPr>
            </w:pPr>
            <w:r w:rsidRPr="004C3AA8">
              <w:rPr>
                <w:bCs/>
                <w:color w:val="000000"/>
                <w:szCs w:val="24"/>
              </w:rPr>
              <w:t>4E</w:t>
            </w:r>
          </w:p>
        </w:tc>
        <w:tc>
          <w:tcPr>
            <w:tcW w:w="4150" w:type="dxa"/>
          </w:tcPr>
          <w:p w14:paraId="1FB30AAD" w14:textId="77777777" w:rsidR="004C3AA8" w:rsidRPr="004C3AA8" w:rsidRDefault="004C3AA8" w:rsidP="00606C84">
            <w:pPr>
              <w:rPr>
                <w:bCs/>
                <w:color w:val="000000"/>
                <w:szCs w:val="24"/>
              </w:rPr>
            </w:pPr>
            <w:r w:rsidRPr="004C3AA8">
              <w:rPr>
                <w:bCs/>
                <w:color w:val="000000"/>
                <w:szCs w:val="24"/>
              </w:rPr>
              <w:t>9</w:t>
            </w:r>
          </w:p>
        </w:tc>
      </w:tr>
      <w:tr w:rsidR="004C3AA8" w:rsidRPr="004C3AA8" w14:paraId="174AD3F1" w14:textId="77777777" w:rsidTr="00606C84">
        <w:tc>
          <w:tcPr>
            <w:tcW w:w="4146" w:type="dxa"/>
          </w:tcPr>
          <w:p w14:paraId="3EC19A33" w14:textId="77777777" w:rsidR="004C3AA8" w:rsidRPr="004C3AA8" w:rsidRDefault="004C3AA8" w:rsidP="00606C84">
            <w:pPr>
              <w:rPr>
                <w:bCs/>
                <w:color w:val="000000"/>
                <w:szCs w:val="24"/>
              </w:rPr>
            </w:pPr>
            <w:r w:rsidRPr="004C3AA8">
              <w:rPr>
                <w:bCs/>
                <w:color w:val="000000"/>
                <w:szCs w:val="24"/>
              </w:rPr>
              <w:t>4F</w:t>
            </w:r>
          </w:p>
        </w:tc>
        <w:tc>
          <w:tcPr>
            <w:tcW w:w="4150" w:type="dxa"/>
          </w:tcPr>
          <w:p w14:paraId="2445729E" w14:textId="77777777" w:rsidR="004C3AA8" w:rsidRPr="004C3AA8" w:rsidRDefault="004C3AA8" w:rsidP="00606C84">
            <w:pPr>
              <w:rPr>
                <w:bCs/>
                <w:color w:val="000000"/>
                <w:szCs w:val="24"/>
              </w:rPr>
            </w:pPr>
            <w:r w:rsidRPr="004C3AA8">
              <w:rPr>
                <w:bCs/>
                <w:color w:val="000000"/>
                <w:szCs w:val="24"/>
              </w:rPr>
              <w:t>10</w:t>
            </w:r>
          </w:p>
        </w:tc>
      </w:tr>
      <w:tr w:rsidR="004C3AA8" w:rsidRPr="004C3AA8" w14:paraId="7ED41A82" w14:textId="77777777" w:rsidTr="00606C84">
        <w:tc>
          <w:tcPr>
            <w:tcW w:w="4146" w:type="dxa"/>
          </w:tcPr>
          <w:p w14:paraId="2CB19566" w14:textId="77777777" w:rsidR="004C3AA8" w:rsidRPr="004C3AA8" w:rsidRDefault="004C3AA8" w:rsidP="00606C84">
            <w:pPr>
              <w:rPr>
                <w:bCs/>
                <w:color w:val="000000"/>
                <w:szCs w:val="24"/>
              </w:rPr>
            </w:pPr>
            <w:r w:rsidRPr="004C3AA8">
              <w:rPr>
                <w:bCs/>
                <w:color w:val="000000"/>
                <w:szCs w:val="24"/>
              </w:rPr>
              <w:t>4G</w:t>
            </w:r>
          </w:p>
        </w:tc>
        <w:tc>
          <w:tcPr>
            <w:tcW w:w="4150" w:type="dxa"/>
          </w:tcPr>
          <w:p w14:paraId="33BD4385" w14:textId="77777777" w:rsidR="004C3AA8" w:rsidRPr="004C3AA8" w:rsidRDefault="004C3AA8" w:rsidP="00606C84">
            <w:pPr>
              <w:rPr>
                <w:bCs/>
                <w:color w:val="000000"/>
                <w:szCs w:val="24"/>
              </w:rPr>
            </w:pPr>
            <w:r w:rsidRPr="004C3AA8">
              <w:rPr>
                <w:bCs/>
                <w:color w:val="000000"/>
                <w:szCs w:val="24"/>
              </w:rPr>
              <w:t>11</w:t>
            </w:r>
          </w:p>
        </w:tc>
      </w:tr>
      <w:tr w:rsidR="004C3AA8" w:rsidRPr="004C3AA8" w14:paraId="4A25AACF" w14:textId="77777777" w:rsidTr="00606C84">
        <w:tc>
          <w:tcPr>
            <w:tcW w:w="4146" w:type="dxa"/>
          </w:tcPr>
          <w:p w14:paraId="2A09DB39" w14:textId="77777777" w:rsidR="004C3AA8" w:rsidRPr="004C3AA8" w:rsidRDefault="004C3AA8" w:rsidP="00606C84">
            <w:pPr>
              <w:rPr>
                <w:bCs/>
                <w:color w:val="000000"/>
                <w:szCs w:val="24"/>
              </w:rPr>
            </w:pPr>
            <w:r w:rsidRPr="004C3AA8">
              <w:rPr>
                <w:bCs/>
                <w:color w:val="000000"/>
                <w:szCs w:val="24"/>
              </w:rPr>
              <w:t>5</w:t>
            </w:r>
          </w:p>
        </w:tc>
        <w:tc>
          <w:tcPr>
            <w:tcW w:w="4150" w:type="dxa"/>
          </w:tcPr>
          <w:p w14:paraId="572BE60F" w14:textId="77777777" w:rsidR="004C3AA8" w:rsidRPr="004C3AA8" w:rsidRDefault="004C3AA8" w:rsidP="00606C84">
            <w:pPr>
              <w:rPr>
                <w:bCs/>
                <w:color w:val="000000"/>
                <w:szCs w:val="24"/>
              </w:rPr>
            </w:pPr>
            <w:r w:rsidRPr="004C3AA8">
              <w:rPr>
                <w:bCs/>
                <w:color w:val="000000"/>
                <w:szCs w:val="24"/>
              </w:rPr>
              <w:t>12</w:t>
            </w:r>
          </w:p>
        </w:tc>
      </w:tr>
      <w:tr w:rsidR="004C3AA8" w:rsidRPr="004C3AA8" w14:paraId="289C0994" w14:textId="77777777" w:rsidTr="00606C84">
        <w:tc>
          <w:tcPr>
            <w:tcW w:w="4146" w:type="dxa"/>
          </w:tcPr>
          <w:p w14:paraId="2216AD7A" w14:textId="77777777" w:rsidR="004C3AA8" w:rsidRPr="004C3AA8" w:rsidRDefault="004C3AA8" w:rsidP="00606C84">
            <w:pPr>
              <w:rPr>
                <w:bCs/>
                <w:color w:val="000000"/>
                <w:szCs w:val="24"/>
              </w:rPr>
            </w:pPr>
            <w:r w:rsidRPr="004C3AA8">
              <w:rPr>
                <w:bCs/>
                <w:color w:val="000000"/>
                <w:szCs w:val="24"/>
              </w:rPr>
              <w:t>5A</w:t>
            </w:r>
          </w:p>
        </w:tc>
        <w:tc>
          <w:tcPr>
            <w:tcW w:w="4150" w:type="dxa"/>
          </w:tcPr>
          <w:p w14:paraId="5B09F8D6" w14:textId="77777777" w:rsidR="004C3AA8" w:rsidRPr="004C3AA8" w:rsidRDefault="004C3AA8" w:rsidP="00606C84">
            <w:pPr>
              <w:rPr>
                <w:bCs/>
                <w:color w:val="000000"/>
                <w:szCs w:val="24"/>
              </w:rPr>
            </w:pPr>
            <w:r w:rsidRPr="004C3AA8">
              <w:rPr>
                <w:bCs/>
                <w:color w:val="000000"/>
                <w:szCs w:val="24"/>
              </w:rPr>
              <w:t>13</w:t>
            </w:r>
          </w:p>
        </w:tc>
      </w:tr>
      <w:tr w:rsidR="004C3AA8" w:rsidRPr="004C3AA8" w14:paraId="7BADC5BA" w14:textId="77777777" w:rsidTr="00606C84">
        <w:tc>
          <w:tcPr>
            <w:tcW w:w="4146" w:type="dxa"/>
          </w:tcPr>
          <w:p w14:paraId="05283275" w14:textId="77777777" w:rsidR="004C3AA8" w:rsidRPr="004C3AA8" w:rsidRDefault="004C3AA8" w:rsidP="00606C84">
            <w:pPr>
              <w:rPr>
                <w:bCs/>
                <w:color w:val="000000"/>
                <w:szCs w:val="24"/>
              </w:rPr>
            </w:pPr>
            <w:r w:rsidRPr="004C3AA8">
              <w:rPr>
                <w:bCs/>
                <w:color w:val="000000"/>
                <w:szCs w:val="24"/>
              </w:rPr>
              <w:t>5B</w:t>
            </w:r>
          </w:p>
        </w:tc>
        <w:tc>
          <w:tcPr>
            <w:tcW w:w="4150" w:type="dxa"/>
          </w:tcPr>
          <w:p w14:paraId="7224751D" w14:textId="77777777" w:rsidR="004C3AA8" w:rsidRPr="004C3AA8" w:rsidRDefault="004C3AA8" w:rsidP="00606C84">
            <w:pPr>
              <w:rPr>
                <w:bCs/>
                <w:color w:val="000000"/>
                <w:szCs w:val="24"/>
              </w:rPr>
            </w:pPr>
            <w:r w:rsidRPr="004C3AA8">
              <w:rPr>
                <w:bCs/>
                <w:color w:val="000000"/>
                <w:szCs w:val="24"/>
              </w:rPr>
              <w:t>13</w:t>
            </w:r>
          </w:p>
        </w:tc>
      </w:tr>
      <w:tr w:rsidR="004C3AA8" w:rsidRPr="004C3AA8" w14:paraId="74E05E05" w14:textId="77777777" w:rsidTr="00606C84">
        <w:tc>
          <w:tcPr>
            <w:tcW w:w="4146" w:type="dxa"/>
          </w:tcPr>
          <w:p w14:paraId="54877BDC" w14:textId="77777777" w:rsidR="004C3AA8" w:rsidRPr="004C3AA8" w:rsidRDefault="004C3AA8" w:rsidP="00606C84">
            <w:pPr>
              <w:rPr>
                <w:bCs/>
                <w:color w:val="000000"/>
                <w:szCs w:val="24"/>
              </w:rPr>
            </w:pPr>
            <w:r w:rsidRPr="004C3AA8">
              <w:rPr>
                <w:bCs/>
                <w:color w:val="000000"/>
                <w:szCs w:val="24"/>
              </w:rPr>
              <w:t>5C</w:t>
            </w:r>
          </w:p>
        </w:tc>
        <w:tc>
          <w:tcPr>
            <w:tcW w:w="4150" w:type="dxa"/>
          </w:tcPr>
          <w:p w14:paraId="6CA79A89" w14:textId="77777777" w:rsidR="004C3AA8" w:rsidRPr="004C3AA8" w:rsidRDefault="004C3AA8" w:rsidP="00606C84">
            <w:pPr>
              <w:rPr>
                <w:bCs/>
                <w:color w:val="000000"/>
                <w:szCs w:val="24"/>
              </w:rPr>
            </w:pPr>
            <w:r w:rsidRPr="004C3AA8">
              <w:rPr>
                <w:bCs/>
                <w:color w:val="000000"/>
                <w:szCs w:val="24"/>
              </w:rPr>
              <w:t>14</w:t>
            </w:r>
          </w:p>
        </w:tc>
      </w:tr>
      <w:tr w:rsidR="004C3AA8" w:rsidRPr="004C3AA8" w14:paraId="4073FD7C" w14:textId="77777777" w:rsidTr="00606C84">
        <w:tc>
          <w:tcPr>
            <w:tcW w:w="4146" w:type="dxa"/>
          </w:tcPr>
          <w:p w14:paraId="5E83E784" w14:textId="77777777" w:rsidR="004C3AA8" w:rsidRPr="004C3AA8" w:rsidRDefault="004C3AA8" w:rsidP="00606C84">
            <w:pPr>
              <w:rPr>
                <w:bCs/>
                <w:color w:val="000000"/>
                <w:szCs w:val="24"/>
              </w:rPr>
            </w:pPr>
            <w:r w:rsidRPr="004C3AA8">
              <w:rPr>
                <w:bCs/>
                <w:color w:val="000000"/>
                <w:szCs w:val="24"/>
              </w:rPr>
              <w:t>5D</w:t>
            </w:r>
          </w:p>
        </w:tc>
        <w:tc>
          <w:tcPr>
            <w:tcW w:w="4150" w:type="dxa"/>
          </w:tcPr>
          <w:p w14:paraId="05559CFB" w14:textId="77777777" w:rsidR="004C3AA8" w:rsidRPr="004C3AA8" w:rsidRDefault="004C3AA8" w:rsidP="00606C84">
            <w:pPr>
              <w:rPr>
                <w:bCs/>
                <w:color w:val="000000"/>
                <w:szCs w:val="24"/>
              </w:rPr>
            </w:pPr>
            <w:r w:rsidRPr="004C3AA8">
              <w:rPr>
                <w:bCs/>
                <w:color w:val="000000"/>
                <w:szCs w:val="24"/>
              </w:rPr>
              <w:t>15</w:t>
            </w:r>
          </w:p>
        </w:tc>
      </w:tr>
      <w:tr w:rsidR="004C3AA8" w:rsidRPr="004C3AA8" w14:paraId="0567A523" w14:textId="77777777" w:rsidTr="00606C84">
        <w:tc>
          <w:tcPr>
            <w:tcW w:w="4146" w:type="dxa"/>
          </w:tcPr>
          <w:p w14:paraId="3CD04FA5" w14:textId="77777777" w:rsidR="004C3AA8" w:rsidRPr="004C3AA8" w:rsidRDefault="004C3AA8" w:rsidP="00606C84">
            <w:pPr>
              <w:rPr>
                <w:bCs/>
                <w:color w:val="000000"/>
                <w:szCs w:val="24"/>
              </w:rPr>
            </w:pPr>
            <w:r w:rsidRPr="004C3AA8">
              <w:rPr>
                <w:bCs/>
                <w:color w:val="000000"/>
                <w:szCs w:val="24"/>
              </w:rPr>
              <w:t>5E</w:t>
            </w:r>
          </w:p>
        </w:tc>
        <w:tc>
          <w:tcPr>
            <w:tcW w:w="4150" w:type="dxa"/>
          </w:tcPr>
          <w:p w14:paraId="1E8C3F5D" w14:textId="77777777" w:rsidR="004C3AA8" w:rsidRPr="004C3AA8" w:rsidRDefault="004C3AA8" w:rsidP="00606C84">
            <w:pPr>
              <w:rPr>
                <w:bCs/>
                <w:color w:val="000000"/>
                <w:szCs w:val="24"/>
              </w:rPr>
            </w:pPr>
            <w:r w:rsidRPr="004C3AA8">
              <w:rPr>
                <w:bCs/>
                <w:color w:val="000000"/>
                <w:szCs w:val="24"/>
              </w:rPr>
              <w:t>16</w:t>
            </w:r>
          </w:p>
        </w:tc>
      </w:tr>
      <w:tr w:rsidR="004C3AA8" w:rsidRPr="004C3AA8" w14:paraId="0D9B5C5F" w14:textId="77777777" w:rsidTr="00606C84">
        <w:tc>
          <w:tcPr>
            <w:tcW w:w="4146" w:type="dxa"/>
          </w:tcPr>
          <w:p w14:paraId="7436D4BA" w14:textId="77777777" w:rsidR="004C3AA8" w:rsidRPr="004C3AA8" w:rsidRDefault="004C3AA8" w:rsidP="00606C84">
            <w:pPr>
              <w:rPr>
                <w:bCs/>
                <w:color w:val="000000"/>
                <w:szCs w:val="24"/>
              </w:rPr>
            </w:pPr>
            <w:r w:rsidRPr="004C3AA8">
              <w:rPr>
                <w:bCs/>
                <w:color w:val="000000"/>
                <w:szCs w:val="24"/>
              </w:rPr>
              <w:t>5F - 5L</w:t>
            </w:r>
          </w:p>
        </w:tc>
        <w:tc>
          <w:tcPr>
            <w:tcW w:w="4150" w:type="dxa"/>
          </w:tcPr>
          <w:p w14:paraId="6E214685" w14:textId="023A793B" w:rsidR="004C3AA8" w:rsidRPr="004C3AA8" w:rsidRDefault="004C3AA8" w:rsidP="00606C84">
            <w:pPr>
              <w:rPr>
                <w:bCs/>
                <w:color w:val="000000"/>
                <w:szCs w:val="24"/>
              </w:rPr>
            </w:pPr>
            <w:r w:rsidRPr="004C3AA8">
              <w:rPr>
                <w:bCs/>
                <w:color w:val="000000"/>
                <w:szCs w:val="24"/>
              </w:rPr>
              <w:t xml:space="preserve">Repealed by the Better Advice </w:t>
            </w:r>
            <w:r w:rsidR="00D8205A">
              <w:rPr>
                <w:bCs/>
                <w:color w:val="000000"/>
                <w:szCs w:val="24"/>
              </w:rPr>
              <w:t>Regulations</w:t>
            </w:r>
            <w:r w:rsidRPr="004C3AA8">
              <w:rPr>
                <w:bCs/>
                <w:color w:val="000000"/>
                <w:szCs w:val="24"/>
              </w:rPr>
              <w:t xml:space="preserve"> </w:t>
            </w:r>
          </w:p>
        </w:tc>
      </w:tr>
      <w:tr w:rsidR="004C3AA8" w:rsidRPr="004C3AA8" w14:paraId="08C74DE0" w14:textId="77777777" w:rsidTr="00606C84">
        <w:tc>
          <w:tcPr>
            <w:tcW w:w="4146" w:type="dxa"/>
          </w:tcPr>
          <w:p w14:paraId="7F8EFBD1" w14:textId="77777777" w:rsidR="004C3AA8" w:rsidRPr="004C3AA8" w:rsidRDefault="004C3AA8" w:rsidP="00606C84">
            <w:pPr>
              <w:rPr>
                <w:bCs/>
                <w:color w:val="000000"/>
                <w:szCs w:val="24"/>
              </w:rPr>
            </w:pPr>
            <w:r w:rsidRPr="004C3AA8">
              <w:rPr>
                <w:bCs/>
                <w:color w:val="000000"/>
                <w:szCs w:val="24"/>
              </w:rPr>
              <w:lastRenderedPageBreak/>
              <w:t>6</w:t>
            </w:r>
          </w:p>
        </w:tc>
        <w:tc>
          <w:tcPr>
            <w:tcW w:w="4150" w:type="dxa"/>
          </w:tcPr>
          <w:p w14:paraId="2B5F7990" w14:textId="173863D6" w:rsidR="004C3AA8" w:rsidRPr="004C3AA8" w:rsidRDefault="004C3AA8" w:rsidP="00606C84">
            <w:pPr>
              <w:rPr>
                <w:bCs/>
                <w:color w:val="000000"/>
                <w:szCs w:val="24"/>
              </w:rPr>
            </w:pPr>
            <w:r w:rsidRPr="004C3AA8">
              <w:rPr>
                <w:bCs/>
                <w:color w:val="000000"/>
                <w:szCs w:val="24"/>
              </w:rPr>
              <w:t>8</w:t>
            </w:r>
            <w:r w:rsidR="008F46BF">
              <w:rPr>
                <w:bCs/>
                <w:color w:val="000000"/>
                <w:szCs w:val="24"/>
              </w:rPr>
              <w:t>/</w:t>
            </w:r>
            <w:r w:rsidRPr="004C3AA8">
              <w:rPr>
                <w:bCs/>
                <w:color w:val="000000"/>
                <w:szCs w:val="24"/>
              </w:rPr>
              <w:t>11</w:t>
            </w:r>
            <w:r w:rsidR="008F46BF">
              <w:rPr>
                <w:bCs/>
                <w:color w:val="000000"/>
                <w:szCs w:val="24"/>
              </w:rPr>
              <w:t>/</w:t>
            </w:r>
            <w:r w:rsidRPr="004C3AA8">
              <w:rPr>
                <w:bCs/>
                <w:color w:val="000000"/>
                <w:szCs w:val="24"/>
              </w:rPr>
              <w:t>13</w:t>
            </w:r>
            <w:r w:rsidR="008F46BF">
              <w:rPr>
                <w:bCs/>
                <w:color w:val="000000"/>
                <w:szCs w:val="24"/>
              </w:rPr>
              <w:t xml:space="preserve"> and </w:t>
            </w:r>
            <w:r w:rsidR="008F46BF" w:rsidRPr="008F46BF">
              <w:rPr>
                <w:bCs/>
                <w:color w:val="000000"/>
                <w:szCs w:val="24"/>
              </w:rPr>
              <w:t>17 – inserted by the Better Advice Regulations</w:t>
            </w:r>
          </w:p>
        </w:tc>
      </w:tr>
      <w:tr w:rsidR="004C3AA8" w:rsidRPr="004C3AA8" w14:paraId="2C04A9C7" w14:textId="77777777" w:rsidTr="00606C84">
        <w:tc>
          <w:tcPr>
            <w:tcW w:w="4146" w:type="dxa"/>
            <w:hideMark/>
          </w:tcPr>
          <w:p w14:paraId="61034591" w14:textId="77777777" w:rsidR="004C3AA8" w:rsidRPr="004C3AA8" w:rsidRDefault="004C3AA8" w:rsidP="00606C84">
            <w:pPr>
              <w:rPr>
                <w:bCs/>
                <w:color w:val="000000"/>
                <w:szCs w:val="24"/>
              </w:rPr>
            </w:pPr>
            <w:r w:rsidRPr="004C3AA8">
              <w:rPr>
                <w:bCs/>
                <w:color w:val="000000"/>
                <w:szCs w:val="24"/>
              </w:rPr>
              <w:t>6A</w:t>
            </w:r>
          </w:p>
        </w:tc>
        <w:tc>
          <w:tcPr>
            <w:tcW w:w="4150" w:type="dxa"/>
          </w:tcPr>
          <w:p w14:paraId="5590B88C" w14:textId="77777777" w:rsidR="004C3AA8" w:rsidRPr="004C3AA8" w:rsidRDefault="004C3AA8" w:rsidP="00606C84">
            <w:pPr>
              <w:rPr>
                <w:bCs/>
                <w:color w:val="000000"/>
                <w:szCs w:val="24"/>
              </w:rPr>
            </w:pPr>
            <w:r w:rsidRPr="004C3AA8">
              <w:rPr>
                <w:bCs/>
                <w:color w:val="000000"/>
                <w:szCs w:val="24"/>
              </w:rPr>
              <w:t>18</w:t>
            </w:r>
          </w:p>
        </w:tc>
      </w:tr>
      <w:tr w:rsidR="004C3AA8" w:rsidRPr="004C3AA8" w14:paraId="14193B31" w14:textId="77777777" w:rsidTr="00606C84">
        <w:tc>
          <w:tcPr>
            <w:tcW w:w="4146" w:type="dxa"/>
            <w:hideMark/>
          </w:tcPr>
          <w:p w14:paraId="49F205BE" w14:textId="77777777" w:rsidR="004C3AA8" w:rsidRPr="004C3AA8" w:rsidRDefault="004C3AA8" w:rsidP="00606C84">
            <w:pPr>
              <w:rPr>
                <w:bCs/>
                <w:color w:val="000000"/>
                <w:szCs w:val="24"/>
              </w:rPr>
            </w:pPr>
            <w:r w:rsidRPr="004C3AA8">
              <w:rPr>
                <w:bCs/>
                <w:color w:val="000000"/>
                <w:szCs w:val="24"/>
              </w:rPr>
              <w:t>6B</w:t>
            </w:r>
          </w:p>
        </w:tc>
        <w:tc>
          <w:tcPr>
            <w:tcW w:w="4150" w:type="dxa"/>
          </w:tcPr>
          <w:p w14:paraId="64D32AAE" w14:textId="77777777" w:rsidR="004C3AA8" w:rsidRPr="004C3AA8" w:rsidRDefault="004C3AA8" w:rsidP="00606C84">
            <w:pPr>
              <w:rPr>
                <w:bCs/>
                <w:color w:val="000000"/>
                <w:szCs w:val="24"/>
              </w:rPr>
            </w:pPr>
            <w:r w:rsidRPr="004C3AA8">
              <w:rPr>
                <w:bCs/>
                <w:color w:val="000000"/>
                <w:szCs w:val="24"/>
              </w:rPr>
              <w:t>11</w:t>
            </w:r>
          </w:p>
        </w:tc>
      </w:tr>
      <w:tr w:rsidR="004C3AA8" w:rsidRPr="004C3AA8" w14:paraId="616F0FB3" w14:textId="77777777" w:rsidTr="00606C84">
        <w:tc>
          <w:tcPr>
            <w:tcW w:w="4146" w:type="dxa"/>
          </w:tcPr>
          <w:p w14:paraId="27008272" w14:textId="77777777" w:rsidR="004C3AA8" w:rsidRPr="004C3AA8" w:rsidRDefault="004C3AA8" w:rsidP="00606C84">
            <w:pPr>
              <w:rPr>
                <w:bCs/>
                <w:color w:val="000000"/>
                <w:szCs w:val="24"/>
              </w:rPr>
            </w:pPr>
            <w:r w:rsidRPr="004C3AA8">
              <w:rPr>
                <w:bCs/>
                <w:color w:val="000000"/>
                <w:szCs w:val="24"/>
              </w:rPr>
              <w:t>7</w:t>
            </w:r>
          </w:p>
        </w:tc>
        <w:tc>
          <w:tcPr>
            <w:tcW w:w="4150" w:type="dxa"/>
          </w:tcPr>
          <w:p w14:paraId="5999195E" w14:textId="77777777" w:rsidR="004C3AA8" w:rsidRPr="004C3AA8" w:rsidRDefault="004C3AA8" w:rsidP="00606C84">
            <w:pPr>
              <w:rPr>
                <w:bCs/>
                <w:color w:val="000000"/>
                <w:szCs w:val="24"/>
              </w:rPr>
            </w:pPr>
            <w:r w:rsidRPr="004C3AA8">
              <w:rPr>
                <w:bCs/>
                <w:color w:val="000000"/>
                <w:szCs w:val="24"/>
              </w:rPr>
              <w:t>19</w:t>
            </w:r>
          </w:p>
        </w:tc>
      </w:tr>
      <w:tr w:rsidR="004C3AA8" w:rsidRPr="004C3AA8" w14:paraId="4965C989" w14:textId="77777777" w:rsidTr="00606C84">
        <w:tc>
          <w:tcPr>
            <w:tcW w:w="4146" w:type="dxa"/>
          </w:tcPr>
          <w:p w14:paraId="7CBA3D16" w14:textId="77777777" w:rsidR="004C3AA8" w:rsidRPr="004C3AA8" w:rsidRDefault="004C3AA8" w:rsidP="00606C84">
            <w:pPr>
              <w:rPr>
                <w:bCs/>
                <w:color w:val="000000"/>
                <w:szCs w:val="24"/>
              </w:rPr>
            </w:pPr>
            <w:r w:rsidRPr="004C3AA8">
              <w:rPr>
                <w:bCs/>
                <w:color w:val="000000"/>
                <w:szCs w:val="24"/>
              </w:rPr>
              <w:t>8</w:t>
            </w:r>
          </w:p>
        </w:tc>
        <w:tc>
          <w:tcPr>
            <w:tcW w:w="4150" w:type="dxa"/>
          </w:tcPr>
          <w:p w14:paraId="0FC666E3" w14:textId="77777777" w:rsidR="004C3AA8" w:rsidRPr="004C3AA8" w:rsidRDefault="004C3AA8" w:rsidP="00606C84">
            <w:pPr>
              <w:rPr>
                <w:bCs/>
                <w:color w:val="000000"/>
                <w:szCs w:val="24"/>
              </w:rPr>
            </w:pPr>
            <w:r w:rsidRPr="004C3AA8">
              <w:rPr>
                <w:bCs/>
                <w:color w:val="000000"/>
                <w:szCs w:val="24"/>
              </w:rPr>
              <w:t>20</w:t>
            </w:r>
          </w:p>
        </w:tc>
      </w:tr>
      <w:tr w:rsidR="004C3AA8" w:rsidRPr="004C3AA8" w14:paraId="0BD7412B" w14:textId="77777777" w:rsidTr="00606C84">
        <w:tc>
          <w:tcPr>
            <w:tcW w:w="4146" w:type="dxa"/>
          </w:tcPr>
          <w:p w14:paraId="60F17A03" w14:textId="77777777" w:rsidR="004C3AA8" w:rsidRPr="004C3AA8" w:rsidRDefault="004C3AA8" w:rsidP="00606C84">
            <w:pPr>
              <w:rPr>
                <w:bCs/>
                <w:color w:val="000000"/>
                <w:szCs w:val="24"/>
              </w:rPr>
            </w:pPr>
            <w:r w:rsidRPr="004C3AA8">
              <w:rPr>
                <w:bCs/>
                <w:color w:val="000000"/>
                <w:szCs w:val="24"/>
              </w:rPr>
              <w:t>8A</w:t>
            </w:r>
          </w:p>
        </w:tc>
        <w:tc>
          <w:tcPr>
            <w:tcW w:w="4150" w:type="dxa"/>
          </w:tcPr>
          <w:p w14:paraId="57C06B0A" w14:textId="6A1D7844" w:rsidR="004C3AA8" w:rsidRPr="004C3AA8" w:rsidRDefault="004C3AA8" w:rsidP="00606C84">
            <w:pPr>
              <w:rPr>
                <w:bCs/>
                <w:color w:val="000000"/>
                <w:szCs w:val="24"/>
              </w:rPr>
            </w:pPr>
            <w:r w:rsidRPr="004C3AA8">
              <w:rPr>
                <w:bCs/>
                <w:color w:val="000000"/>
                <w:szCs w:val="24"/>
              </w:rPr>
              <w:t xml:space="preserve">Repealed by the </w:t>
            </w:r>
            <w:r w:rsidR="00BD3B1A" w:rsidRPr="00BD3B1A">
              <w:rPr>
                <w:bCs/>
                <w:color w:val="000000"/>
                <w:szCs w:val="24"/>
              </w:rPr>
              <w:t>Better Advice Regulations</w:t>
            </w:r>
          </w:p>
        </w:tc>
      </w:tr>
      <w:tr w:rsidR="004C3AA8" w:rsidRPr="004C3AA8" w14:paraId="6BCF357B" w14:textId="77777777" w:rsidTr="00606C84">
        <w:tc>
          <w:tcPr>
            <w:tcW w:w="4146" w:type="dxa"/>
          </w:tcPr>
          <w:p w14:paraId="5BEBBCA0" w14:textId="77777777" w:rsidR="004C3AA8" w:rsidRPr="004C3AA8" w:rsidRDefault="004C3AA8" w:rsidP="00606C84">
            <w:pPr>
              <w:rPr>
                <w:bCs/>
                <w:color w:val="000000"/>
                <w:szCs w:val="24"/>
              </w:rPr>
            </w:pPr>
            <w:r w:rsidRPr="004C3AA8">
              <w:rPr>
                <w:bCs/>
                <w:color w:val="000000"/>
                <w:szCs w:val="24"/>
              </w:rPr>
              <w:t>9</w:t>
            </w:r>
          </w:p>
        </w:tc>
        <w:tc>
          <w:tcPr>
            <w:tcW w:w="4150" w:type="dxa"/>
          </w:tcPr>
          <w:p w14:paraId="7DB03431" w14:textId="4BABC90D" w:rsidR="004C3AA8" w:rsidRPr="004C3AA8" w:rsidRDefault="004C3AA8" w:rsidP="00606C84">
            <w:pPr>
              <w:rPr>
                <w:bCs/>
                <w:color w:val="000000"/>
                <w:szCs w:val="24"/>
              </w:rPr>
            </w:pPr>
            <w:r w:rsidRPr="004C3AA8">
              <w:rPr>
                <w:bCs/>
                <w:color w:val="000000"/>
                <w:szCs w:val="24"/>
              </w:rPr>
              <w:t>2</w:t>
            </w:r>
            <w:r w:rsidR="008F454F">
              <w:rPr>
                <w:bCs/>
                <w:color w:val="000000"/>
                <w:szCs w:val="24"/>
              </w:rPr>
              <w:t>2</w:t>
            </w:r>
          </w:p>
        </w:tc>
      </w:tr>
      <w:tr w:rsidR="004C3AA8" w:rsidRPr="004C3AA8" w14:paraId="3A00CDDA" w14:textId="77777777" w:rsidTr="00606C84">
        <w:tc>
          <w:tcPr>
            <w:tcW w:w="4146" w:type="dxa"/>
          </w:tcPr>
          <w:p w14:paraId="0743AF4A" w14:textId="77777777" w:rsidR="004C3AA8" w:rsidRPr="004C3AA8" w:rsidRDefault="004C3AA8" w:rsidP="00606C84">
            <w:pPr>
              <w:rPr>
                <w:bCs/>
                <w:color w:val="000000"/>
                <w:szCs w:val="24"/>
              </w:rPr>
            </w:pPr>
            <w:r w:rsidRPr="004C3AA8">
              <w:rPr>
                <w:bCs/>
                <w:color w:val="000000"/>
                <w:szCs w:val="24"/>
              </w:rPr>
              <w:t>10</w:t>
            </w:r>
          </w:p>
        </w:tc>
        <w:tc>
          <w:tcPr>
            <w:tcW w:w="4150" w:type="dxa"/>
          </w:tcPr>
          <w:p w14:paraId="4AA86A3F" w14:textId="36715811" w:rsidR="004C3AA8" w:rsidRPr="004C3AA8" w:rsidRDefault="004C3AA8" w:rsidP="00606C84">
            <w:pPr>
              <w:rPr>
                <w:bCs/>
                <w:color w:val="000000"/>
                <w:szCs w:val="24"/>
              </w:rPr>
            </w:pPr>
            <w:r w:rsidRPr="004C3AA8">
              <w:rPr>
                <w:bCs/>
                <w:color w:val="000000"/>
                <w:szCs w:val="24"/>
              </w:rPr>
              <w:t>2</w:t>
            </w:r>
            <w:r w:rsidR="008F454F">
              <w:rPr>
                <w:bCs/>
                <w:color w:val="000000"/>
                <w:szCs w:val="24"/>
              </w:rPr>
              <w:t>3</w:t>
            </w:r>
          </w:p>
        </w:tc>
      </w:tr>
      <w:tr w:rsidR="004C3AA8" w:rsidRPr="004C3AA8" w14:paraId="3EE93E46" w14:textId="77777777" w:rsidTr="00606C84">
        <w:tc>
          <w:tcPr>
            <w:tcW w:w="4146" w:type="dxa"/>
          </w:tcPr>
          <w:p w14:paraId="4BE5EB4D" w14:textId="77777777" w:rsidR="004C3AA8" w:rsidRPr="004C3AA8" w:rsidRDefault="004C3AA8" w:rsidP="00606C84">
            <w:pPr>
              <w:rPr>
                <w:bCs/>
                <w:color w:val="000000"/>
                <w:szCs w:val="24"/>
              </w:rPr>
            </w:pPr>
            <w:r w:rsidRPr="004C3AA8">
              <w:rPr>
                <w:bCs/>
                <w:color w:val="000000"/>
                <w:szCs w:val="24"/>
              </w:rPr>
              <w:t>11</w:t>
            </w:r>
          </w:p>
        </w:tc>
        <w:tc>
          <w:tcPr>
            <w:tcW w:w="4150" w:type="dxa"/>
          </w:tcPr>
          <w:p w14:paraId="4E80D146" w14:textId="13BCA24E" w:rsidR="004C3AA8" w:rsidRPr="004C3AA8" w:rsidRDefault="00BD3B1A" w:rsidP="00606C84">
            <w:pPr>
              <w:rPr>
                <w:bCs/>
                <w:color w:val="000000"/>
                <w:szCs w:val="24"/>
              </w:rPr>
            </w:pPr>
            <w:r>
              <w:rPr>
                <w:bCs/>
                <w:color w:val="000000"/>
                <w:szCs w:val="24"/>
              </w:rPr>
              <w:t>2</w:t>
            </w:r>
            <w:r w:rsidR="008F454F">
              <w:rPr>
                <w:bCs/>
                <w:color w:val="000000"/>
                <w:szCs w:val="24"/>
              </w:rPr>
              <w:t>4</w:t>
            </w:r>
          </w:p>
        </w:tc>
      </w:tr>
      <w:tr w:rsidR="004C3AA8" w:rsidRPr="004C3AA8" w14:paraId="68198082" w14:textId="77777777" w:rsidTr="00606C84">
        <w:tc>
          <w:tcPr>
            <w:tcW w:w="4146" w:type="dxa"/>
          </w:tcPr>
          <w:p w14:paraId="1506E716" w14:textId="77777777" w:rsidR="004C3AA8" w:rsidRPr="004C3AA8" w:rsidRDefault="004C3AA8" w:rsidP="00606C84">
            <w:pPr>
              <w:rPr>
                <w:bCs/>
                <w:color w:val="000000"/>
                <w:szCs w:val="24"/>
              </w:rPr>
            </w:pPr>
            <w:r w:rsidRPr="004C3AA8">
              <w:rPr>
                <w:bCs/>
                <w:color w:val="000000"/>
                <w:szCs w:val="24"/>
              </w:rPr>
              <w:t>12</w:t>
            </w:r>
          </w:p>
        </w:tc>
        <w:tc>
          <w:tcPr>
            <w:tcW w:w="4150" w:type="dxa"/>
          </w:tcPr>
          <w:p w14:paraId="44DC00CC" w14:textId="17DF2900" w:rsidR="004C3AA8" w:rsidRPr="004C3AA8" w:rsidRDefault="00BD3B1A" w:rsidP="00606C84">
            <w:pPr>
              <w:rPr>
                <w:bCs/>
                <w:color w:val="000000"/>
                <w:szCs w:val="24"/>
              </w:rPr>
            </w:pPr>
            <w:r>
              <w:rPr>
                <w:bCs/>
                <w:color w:val="000000"/>
                <w:szCs w:val="24"/>
              </w:rPr>
              <w:t>25</w:t>
            </w:r>
          </w:p>
          <w:p w14:paraId="471768BA" w14:textId="7263D197" w:rsidR="004C3AA8" w:rsidRPr="004C3AA8" w:rsidRDefault="004C3AA8" w:rsidP="00606C84">
            <w:pPr>
              <w:rPr>
                <w:bCs/>
                <w:color w:val="000000"/>
                <w:szCs w:val="24"/>
              </w:rPr>
            </w:pPr>
            <w:r w:rsidRPr="004C3AA8">
              <w:rPr>
                <w:bCs/>
                <w:color w:val="000000"/>
                <w:szCs w:val="24"/>
              </w:rPr>
              <w:t xml:space="preserve">References to tax (financial) advisers removed by </w:t>
            </w:r>
            <w:r w:rsidR="00BD3B1A" w:rsidRPr="00BD3B1A">
              <w:rPr>
                <w:bCs/>
                <w:color w:val="000000"/>
                <w:szCs w:val="24"/>
              </w:rPr>
              <w:t>Better Advice Regulations</w:t>
            </w:r>
          </w:p>
        </w:tc>
      </w:tr>
      <w:tr w:rsidR="004C3AA8" w:rsidRPr="004C3AA8" w14:paraId="4A4E1BFE" w14:textId="77777777" w:rsidTr="00606C84">
        <w:tc>
          <w:tcPr>
            <w:tcW w:w="4146" w:type="dxa"/>
          </w:tcPr>
          <w:p w14:paraId="3563EC5F" w14:textId="77777777" w:rsidR="004C3AA8" w:rsidRPr="004C3AA8" w:rsidRDefault="004C3AA8" w:rsidP="00606C84">
            <w:pPr>
              <w:rPr>
                <w:bCs/>
                <w:color w:val="000000"/>
                <w:szCs w:val="24"/>
              </w:rPr>
            </w:pPr>
            <w:r w:rsidRPr="004C3AA8">
              <w:rPr>
                <w:bCs/>
                <w:color w:val="000000"/>
                <w:szCs w:val="24"/>
              </w:rPr>
              <w:t>13</w:t>
            </w:r>
          </w:p>
        </w:tc>
        <w:tc>
          <w:tcPr>
            <w:tcW w:w="4150" w:type="dxa"/>
          </w:tcPr>
          <w:p w14:paraId="39BE0838" w14:textId="1EE26D7E" w:rsidR="004C3AA8" w:rsidRPr="004C3AA8" w:rsidRDefault="004C3AA8" w:rsidP="00606C84">
            <w:pPr>
              <w:rPr>
                <w:bCs/>
                <w:color w:val="000000"/>
                <w:szCs w:val="24"/>
              </w:rPr>
            </w:pPr>
            <w:r w:rsidRPr="004C3AA8">
              <w:rPr>
                <w:bCs/>
                <w:color w:val="000000"/>
                <w:szCs w:val="24"/>
              </w:rPr>
              <w:t>2</w:t>
            </w:r>
            <w:r w:rsidR="008F454F">
              <w:rPr>
                <w:bCs/>
                <w:color w:val="000000"/>
                <w:szCs w:val="24"/>
              </w:rPr>
              <w:t>6</w:t>
            </w:r>
          </w:p>
        </w:tc>
      </w:tr>
    </w:tbl>
    <w:bookmarkEnd w:id="11"/>
    <w:p w14:paraId="22C92F78" w14:textId="520A11A6" w:rsidR="00315F5C" w:rsidRDefault="008F46BF" w:rsidP="00EA4DD8">
      <w:pPr>
        <w:spacing w:before="0" w:after="0"/>
      </w:pPr>
      <w:r>
        <w:br/>
      </w:r>
    </w:p>
    <w:p w14:paraId="6753E771" w14:textId="38070BB2" w:rsidR="00315F5C" w:rsidRDefault="00315F5C">
      <w:pPr>
        <w:spacing w:before="0" w:after="0"/>
      </w:pPr>
      <w:r>
        <w:br w:type="page"/>
      </w:r>
    </w:p>
    <w:p w14:paraId="01588129" w14:textId="405B87E8" w:rsidR="00260A1A" w:rsidRPr="00260A1A" w:rsidRDefault="00260A1A" w:rsidP="00260A1A">
      <w:pPr>
        <w:spacing w:before="0"/>
        <w:rPr>
          <w:b/>
          <w:bCs/>
        </w:rPr>
      </w:pPr>
      <w:r w:rsidRPr="00260A1A">
        <w:rPr>
          <w:b/>
          <w:bCs/>
        </w:rPr>
        <w:lastRenderedPageBreak/>
        <w:t>Finding table –</w:t>
      </w:r>
      <w:r w:rsidR="00D27B04">
        <w:rPr>
          <w:b/>
          <w:bCs/>
        </w:rPr>
        <w:t xml:space="preserve"> </w:t>
      </w:r>
      <w:r w:rsidRPr="00260A1A">
        <w:rPr>
          <w:b/>
          <w:bCs/>
        </w:rPr>
        <w:t xml:space="preserve">New </w:t>
      </w:r>
      <w:r w:rsidR="00D27B04">
        <w:rPr>
          <w:b/>
          <w:bCs/>
        </w:rPr>
        <w:t xml:space="preserve">to Old </w:t>
      </w:r>
      <w:r w:rsidRPr="00260A1A">
        <w:rPr>
          <w:b/>
          <w:bCs/>
        </w:rPr>
        <w:t>Law</w:t>
      </w:r>
    </w:p>
    <w:tbl>
      <w:tblPr>
        <w:tblStyle w:val="TableGrid"/>
        <w:tblW w:w="0" w:type="auto"/>
        <w:tblLook w:val="04A0" w:firstRow="1" w:lastRow="0" w:firstColumn="1" w:lastColumn="0" w:noHBand="0" w:noVBand="1"/>
      </w:tblPr>
      <w:tblGrid>
        <w:gridCol w:w="4146"/>
        <w:gridCol w:w="4150"/>
      </w:tblGrid>
      <w:tr w:rsidR="00636A02" w:rsidRPr="004C3AA8" w14:paraId="7B4348B3" w14:textId="77777777" w:rsidTr="008D1EF2">
        <w:trPr>
          <w:tblHeader/>
        </w:trPr>
        <w:tc>
          <w:tcPr>
            <w:tcW w:w="4146" w:type="dxa"/>
          </w:tcPr>
          <w:p w14:paraId="5C86596B" w14:textId="311FA07A" w:rsidR="00636A02" w:rsidRPr="004C3AA8" w:rsidRDefault="00636A02" w:rsidP="008D1EF2">
            <w:pPr>
              <w:jc w:val="center"/>
              <w:rPr>
                <w:b/>
                <w:i/>
                <w:color w:val="000000"/>
                <w:szCs w:val="24"/>
              </w:rPr>
            </w:pPr>
            <w:r>
              <w:rPr>
                <w:b/>
                <w:i/>
                <w:color w:val="000000"/>
                <w:szCs w:val="24"/>
              </w:rPr>
              <w:t>New</w:t>
            </w:r>
            <w:r w:rsidRPr="004C3AA8">
              <w:rPr>
                <w:b/>
                <w:i/>
                <w:color w:val="000000"/>
                <w:szCs w:val="24"/>
              </w:rPr>
              <w:t xml:space="preserve"> Law</w:t>
            </w:r>
          </w:p>
        </w:tc>
        <w:tc>
          <w:tcPr>
            <w:tcW w:w="4150" w:type="dxa"/>
          </w:tcPr>
          <w:p w14:paraId="29213D8E" w14:textId="62815345" w:rsidR="00636A02" w:rsidRPr="004C3AA8" w:rsidRDefault="00636A02" w:rsidP="008D1EF2">
            <w:pPr>
              <w:jc w:val="center"/>
              <w:rPr>
                <w:b/>
                <w:i/>
                <w:color w:val="000000"/>
                <w:szCs w:val="24"/>
              </w:rPr>
            </w:pPr>
            <w:r>
              <w:rPr>
                <w:b/>
                <w:i/>
                <w:color w:val="000000"/>
                <w:szCs w:val="24"/>
              </w:rPr>
              <w:t xml:space="preserve">Old </w:t>
            </w:r>
            <w:r w:rsidRPr="004C3AA8">
              <w:rPr>
                <w:b/>
                <w:i/>
                <w:color w:val="000000"/>
                <w:szCs w:val="24"/>
              </w:rPr>
              <w:t>Law</w:t>
            </w:r>
          </w:p>
        </w:tc>
      </w:tr>
      <w:tr w:rsidR="00636A02" w:rsidRPr="004C3AA8" w14:paraId="78A182EF" w14:textId="77777777" w:rsidTr="008D1EF2">
        <w:trPr>
          <w:tblHeader/>
        </w:trPr>
        <w:tc>
          <w:tcPr>
            <w:tcW w:w="4146" w:type="dxa"/>
          </w:tcPr>
          <w:p w14:paraId="5F48EC3E" w14:textId="401B3FC6" w:rsidR="00636A02" w:rsidRPr="004C3AA8" w:rsidRDefault="00636A02" w:rsidP="008D1EF2">
            <w:pPr>
              <w:rPr>
                <w:bCs/>
                <w:color w:val="000000"/>
                <w:szCs w:val="24"/>
              </w:rPr>
            </w:pPr>
            <w:r w:rsidRPr="004C3AA8">
              <w:rPr>
                <w:bCs/>
                <w:i/>
                <w:color w:val="000000"/>
                <w:szCs w:val="24"/>
              </w:rPr>
              <w:t>Tax Agent Services Regulations 20</w:t>
            </w:r>
            <w:r>
              <w:rPr>
                <w:bCs/>
                <w:i/>
                <w:color w:val="000000"/>
                <w:szCs w:val="24"/>
              </w:rPr>
              <w:t>22</w:t>
            </w:r>
          </w:p>
        </w:tc>
        <w:tc>
          <w:tcPr>
            <w:tcW w:w="4150" w:type="dxa"/>
          </w:tcPr>
          <w:p w14:paraId="0B9BF20D" w14:textId="30CDCEBF" w:rsidR="00636A02" w:rsidRPr="004C3AA8" w:rsidRDefault="00636A02" w:rsidP="008D1EF2">
            <w:pPr>
              <w:rPr>
                <w:bCs/>
                <w:i/>
                <w:color w:val="000000"/>
                <w:szCs w:val="24"/>
              </w:rPr>
            </w:pPr>
            <w:r w:rsidRPr="004C3AA8">
              <w:rPr>
                <w:bCs/>
                <w:i/>
                <w:color w:val="000000"/>
                <w:szCs w:val="24"/>
              </w:rPr>
              <w:t>Tax Agent Services Regulations 20</w:t>
            </w:r>
            <w:r>
              <w:rPr>
                <w:bCs/>
                <w:i/>
                <w:color w:val="000000"/>
                <w:szCs w:val="24"/>
              </w:rPr>
              <w:t>09</w:t>
            </w:r>
          </w:p>
        </w:tc>
      </w:tr>
      <w:tr w:rsidR="00636A02" w:rsidRPr="004C3AA8" w14:paraId="60455093" w14:textId="77777777" w:rsidTr="008D1EF2">
        <w:tc>
          <w:tcPr>
            <w:tcW w:w="4146" w:type="dxa"/>
          </w:tcPr>
          <w:p w14:paraId="6728FD16" w14:textId="3220EB0E" w:rsidR="00636A02" w:rsidRPr="004C3AA8" w:rsidRDefault="00636A02" w:rsidP="00636A02">
            <w:pPr>
              <w:rPr>
                <w:bCs/>
                <w:color w:val="000000"/>
                <w:szCs w:val="24"/>
              </w:rPr>
            </w:pPr>
            <w:r>
              <w:rPr>
                <w:bCs/>
                <w:color w:val="000000"/>
                <w:szCs w:val="24"/>
              </w:rPr>
              <w:t>1</w:t>
            </w:r>
          </w:p>
        </w:tc>
        <w:tc>
          <w:tcPr>
            <w:tcW w:w="4150" w:type="dxa"/>
          </w:tcPr>
          <w:p w14:paraId="2A823559" w14:textId="77777777" w:rsidR="00636A02" w:rsidRPr="004C3AA8" w:rsidRDefault="00636A02" w:rsidP="00636A02">
            <w:pPr>
              <w:rPr>
                <w:bCs/>
                <w:color w:val="000000"/>
                <w:szCs w:val="24"/>
              </w:rPr>
            </w:pPr>
            <w:r w:rsidRPr="004C3AA8">
              <w:rPr>
                <w:bCs/>
                <w:color w:val="000000"/>
                <w:szCs w:val="24"/>
              </w:rPr>
              <w:t>1</w:t>
            </w:r>
          </w:p>
        </w:tc>
      </w:tr>
      <w:tr w:rsidR="00636A02" w:rsidRPr="004C3AA8" w14:paraId="348A8942" w14:textId="77777777" w:rsidTr="008D1EF2">
        <w:tc>
          <w:tcPr>
            <w:tcW w:w="4146" w:type="dxa"/>
          </w:tcPr>
          <w:p w14:paraId="5E310EE9" w14:textId="33E63980" w:rsidR="00636A02" w:rsidRPr="004C3AA8" w:rsidRDefault="00636A02" w:rsidP="00636A02">
            <w:pPr>
              <w:rPr>
                <w:bCs/>
                <w:color w:val="000000"/>
                <w:szCs w:val="24"/>
              </w:rPr>
            </w:pPr>
            <w:r>
              <w:rPr>
                <w:bCs/>
                <w:color w:val="000000"/>
                <w:szCs w:val="24"/>
              </w:rPr>
              <w:t>2</w:t>
            </w:r>
          </w:p>
        </w:tc>
        <w:tc>
          <w:tcPr>
            <w:tcW w:w="4150" w:type="dxa"/>
          </w:tcPr>
          <w:p w14:paraId="1B15F5FC" w14:textId="12E8D807" w:rsidR="00636A02" w:rsidRPr="004C3AA8" w:rsidRDefault="008F46BF" w:rsidP="00636A02">
            <w:pPr>
              <w:rPr>
                <w:bCs/>
                <w:color w:val="000000"/>
                <w:szCs w:val="24"/>
              </w:rPr>
            </w:pPr>
            <w:r>
              <w:rPr>
                <w:bCs/>
                <w:color w:val="000000"/>
                <w:szCs w:val="24"/>
              </w:rPr>
              <w:t>No equivalent</w:t>
            </w:r>
          </w:p>
        </w:tc>
      </w:tr>
      <w:tr w:rsidR="00636A02" w:rsidRPr="004C3AA8" w14:paraId="3628525B" w14:textId="77777777" w:rsidTr="008D1EF2">
        <w:tc>
          <w:tcPr>
            <w:tcW w:w="4146" w:type="dxa"/>
          </w:tcPr>
          <w:p w14:paraId="41C0721B" w14:textId="2238ACEF" w:rsidR="00636A02" w:rsidRPr="004C3AA8" w:rsidRDefault="00636A02" w:rsidP="00636A02">
            <w:pPr>
              <w:rPr>
                <w:bCs/>
                <w:color w:val="000000"/>
                <w:szCs w:val="24"/>
              </w:rPr>
            </w:pPr>
            <w:r>
              <w:rPr>
                <w:bCs/>
                <w:color w:val="000000"/>
                <w:szCs w:val="24"/>
              </w:rPr>
              <w:t>3</w:t>
            </w:r>
          </w:p>
        </w:tc>
        <w:tc>
          <w:tcPr>
            <w:tcW w:w="4150" w:type="dxa"/>
          </w:tcPr>
          <w:p w14:paraId="0EE65A71" w14:textId="1F282028" w:rsidR="00636A02" w:rsidRPr="004C3AA8" w:rsidRDefault="00636A02" w:rsidP="00636A02">
            <w:pPr>
              <w:rPr>
                <w:bCs/>
                <w:color w:val="000000"/>
                <w:szCs w:val="24"/>
              </w:rPr>
            </w:pPr>
            <w:r>
              <w:rPr>
                <w:bCs/>
                <w:color w:val="000000"/>
                <w:szCs w:val="24"/>
              </w:rPr>
              <w:t>No equivalent</w:t>
            </w:r>
          </w:p>
        </w:tc>
      </w:tr>
      <w:tr w:rsidR="00636A02" w:rsidRPr="004C3AA8" w14:paraId="06A0445C" w14:textId="77777777" w:rsidTr="008D1EF2">
        <w:tc>
          <w:tcPr>
            <w:tcW w:w="4146" w:type="dxa"/>
          </w:tcPr>
          <w:p w14:paraId="43EC3477" w14:textId="734F0099" w:rsidR="00636A02" w:rsidRPr="004C3AA8" w:rsidRDefault="00636A02" w:rsidP="00636A02">
            <w:pPr>
              <w:rPr>
                <w:bCs/>
                <w:color w:val="000000"/>
                <w:szCs w:val="24"/>
              </w:rPr>
            </w:pPr>
            <w:r>
              <w:rPr>
                <w:bCs/>
                <w:color w:val="000000"/>
                <w:szCs w:val="24"/>
              </w:rPr>
              <w:t>4</w:t>
            </w:r>
          </w:p>
        </w:tc>
        <w:tc>
          <w:tcPr>
            <w:tcW w:w="4150" w:type="dxa"/>
          </w:tcPr>
          <w:p w14:paraId="57A5970A" w14:textId="684FA6BA" w:rsidR="00636A02" w:rsidRPr="004C3AA8" w:rsidRDefault="00636A02" w:rsidP="00636A02">
            <w:pPr>
              <w:rPr>
                <w:bCs/>
                <w:color w:val="000000"/>
                <w:szCs w:val="24"/>
              </w:rPr>
            </w:pPr>
            <w:r w:rsidRPr="00636A02">
              <w:rPr>
                <w:bCs/>
                <w:color w:val="000000"/>
                <w:szCs w:val="24"/>
              </w:rPr>
              <w:t>No equivalent</w:t>
            </w:r>
          </w:p>
        </w:tc>
      </w:tr>
      <w:tr w:rsidR="00636A02" w:rsidRPr="004C3AA8" w14:paraId="473A34F3" w14:textId="77777777" w:rsidTr="008D1EF2">
        <w:tc>
          <w:tcPr>
            <w:tcW w:w="4146" w:type="dxa"/>
          </w:tcPr>
          <w:p w14:paraId="4D6B3C36" w14:textId="38D6DB21" w:rsidR="00636A02" w:rsidRPr="004C3AA8" w:rsidRDefault="00636A02" w:rsidP="00636A02">
            <w:pPr>
              <w:rPr>
                <w:bCs/>
                <w:color w:val="000000"/>
                <w:szCs w:val="24"/>
              </w:rPr>
            </w:pPr>
            <w:r>
              <w:rPr>
                <w:bCs/>
                <w:color w:val="000000"/>
                <w:szCs w:val="24"/>
              </w:rPr>
              <w:t>5</w:t>
            </w:r>
          </w:p>
        </w:tc>
        <w:tc>
          <w:tcPr>
            <w:tcW w:w="4150" w:type="dxa"/>
          </w:tcPr>
          <w:p w14:paraId="25F1C5B3" w14:textId="162CC3BD" w:rsidR="00636A02" w:rsidRPr="004C3AA8" w:rsidRDefault="00636A02" w:rsidP="00636A02">
            <w:pPr>
              <w:rPr>
                <w:bCs/>
                <w:color w:val="000000"/>
                <w:szCs w:val="24"/>
              </w:rPr>
            </w:pPr>
            <w:r>
              <w:rPr>
                <w:bCs/>
                <w:color w:val="000000"/>
                <w:szCs w:val="24"/>
              </w:rPr>
              <w:t>3</w:t>
            </w:r>
          </w:p>
        </w:tc>
      </w:tr>
      <w:tr w:rsidR="00636A02" w:rsidRPr="004C3AA8" w14:paraId="182698CF" w14:textId="77777777" w:rsidTr="008D1EF2">
        <w:tc>
          <w:tcPr>
            <w:tcW w:w="4146" w:type="dxa"/>
          </w:tcPr>
          <w:p w14:paraId="1F0E2EB6" w14:textId="25A14A0C" w:rsidR="00636A02" w:rsidRPr="004C3AA8" w:rsidRDefault="00636A02" w:rsidP="00636A02">
            <w:pPr>
              <w:rPr>
                <w:bCs/>
                <w:color w:val="000000"/>
                <w:szCs w:val="24"/>
              </w:rPr>
            </w:pPr>
            <w:r>
              <w:rPr>
                <w:bCs/>
                <w:color w:val="000000"/>
                <w:szCs w:val="24"/>
              </w:rPr>
              <w:t>6</w:t>
            </w:r>
          </w:p>
        </w:tc>
        <w:tc>
          <w:tcPr>
            <w:tcW w:w="4150" w:type="dxa"/>
          </w:tcPr>
          <w:p w14:paraId="7E22CD30" w14:textId="13B438DA" w:rsidR="00636A02" w:rsidRPr="004C3AA8" w:rsidRDefault="00636A02" w:rsidP="00636A02">
            <w:pPr>
              <w:rPr>
                <w:bCs/>
                <w:color w:val="000000"/>
                <w:szCs w:val="24"/>
              </w:rPr>
            </w:pPr>
            <w:r>
              <w:rPr>
                <w:bCs/>
                <w:color w:val="000000"/>
                <w:szCs w:val="24"/>
              </w:rPr>
              <w:t>4</w:t>
            </w:r>
          </w:p>
        </w:tc>
      </w:tr>
      <w:tr w:rsidR="00636A02" w:rsidRPr="004C3AA8" w14:paraId="36BE8A70" w14:textId="77777777" w:rsidTr="008D1EF2">
        <w:tc>
          <w:tcPr>
            <w:tcW w:w="4146" w:type="dxa"/>
          </w:tcPr>
          <w:p w14:paraId="1BC1061B" w14:textId="37A265A8" w:rsidR="00636A02" w:rsidRPr="004C3AA8" w:rsidRDefault="00636A02" w:rsidP="00636A02">
            <w:pPr>
              <w:rPr>
                <w:bCs/>
                <w:color w:val="000000"/>
                <w:szCs w:val="24"/>
              </w:rPr>
            </w:pPr>
            <w:r>
              <w:rPr>
                <w:bCs/>
                <w:color w:val="000000"/>
                <w:szCs w:val="24"/>
              </w:rPr>
              <w:t>7</w:t>
            </w:r>
          </w:p>
        </w:tc>
        <w:tc>
          <w:tcPr>
            <w:tcW w:w="4150" w:type="dxa"/>
          </w:tcPr>
          <w:p w14:paraId="57140988" w14:textId="43165A41" w:rsidR="00636A02" w:rsidRPr="004C3AA8" w:rsidRDefault="00636A02" w:rsidP="00636A02">
            <w:pPr>
              <w:rPr>
                <w:bCs/>
                <w:color w:val="000000"/>
                <w:szCs w:val="24"/>
              </w:rPr>
            </w:pPr>
            <w:r>
              <w:rPr>
                <w:bCs/>
                <w:color w:val="000000"/>
                <w:szCs w:val="24"/>
              </w:rPr>
              <w:t>4A</w:t>
            </w:r>
          </w:p>
        </w:tc>
      </w:tr>
      <w:tr w:rsidR="00636A02" w:rsidRPr="004C3AA8" w14:paraId="248E9069" w14:textId="77777777" w:rsidTr="008D1EF2">
        <w:tc>
          <w:tcPr>
            <w:tcW w:w="4146" w:type="dxa"/>
          </w:tcPr>
          <w:p w14:paraId="46D1B0F8" w14:textId="6C22B9D1" w:rsidR="00636A02" w:rsidRPr="004C3AA8" w:rsidRDefault="00636A02" w:rsidP="00636A02">
            <w:pPr>
              <w:rPr>
                <w:bCs/>
                <w:color w:val="000000"/>
                <w:szCs w:val="24"/>
              </w:rPr>
            </w:pPr>
            <w:r>
              <w:rPr>
                <w:bCs/>
                <w:color w:val="000000"/>
                <w:szCs w:val="24"/>
              </w:rPr>
              <w:t>8</w:t>
            </w:r>
          </w:p>
        </w:tc>
        <w:tc>
          <w:tcPr>
            <w:tcW w:w="4150" w:type="dxa"/>
          </w:tcPr>
          <w:p w14:paraId="757F0277" w14:textId="4C2A0D90" w:rsidR="00636A02" w:rsidRPr="004C3AA8" w:rsidRDefault="00636A02" w:rsidP="00636A02">
            <w:pPr>
              <w:rPr>
                <w:bCs/>
                <w:color w:val="000000"/>
                <w:szCs w:val="24"/>
              </w:rPr>
            </w:pPr>
            <w:r w:rsidRPr="00636A02">
              <w:rPr>
                <w:bCs/>
                <w:color w:val="000000"/>
                <w:szCs w:val="24"/>
              </w:rPr>
              <w:t>4B/4D/6</w:t>
            </w:r>
          </w:p>
        </w:tc>
      </w:tr>
      <w:tr w:rsidR="00636A02" w:rsidRPr="004C3AA8" w14:paraId="0461D368" w14:textId="77777777" w:rsidTr="008D1EF2">
        <w:tc>
          <w:tcPr>
            <w:tcW w:w="4146" w:type="dxa"/>
          </w:tcPr>
          <w:p w14:paraId="0C46C551" w14:textId="0B3F7453" w:rsidR="00636A02" w:rsidRPr="004C3AA8" w:rsidRDefault="00636A02" w:rsidP="00636A02">
            <w:pPr>
              <w:rPr>
                <w:bCs/>
                <w:color w:val="000000"/>
                <w:szCs w:val="24"/>
              </w:rPr>
            </w:pPr>
            <w:r>
              <w:rPr>
                <w:bCs/>
                <w:color w:val="000000"/>
                <w:szCs w:val="24"/>
              </w:rPr>
              <w:t>9</w:t>
            </w:r>
          </w:p>
        </w:tc>
        <w:tc>
          <w:tcPr>
            <w:tcW w:w="4150" w:type="dxa"/>
          </w:tcPr>
          <w:p w14:paraId="120C7E9C" w14:textId="0E6B368E" w:rsidR="00636A02" w:rsidRPr="004C3AA8" w:rsidRDefault="00636A02" w:rsidP="00636A02">
            <w:pPr>
              <w:rPr>
                <w:bCs/>
                <w:color w:val="000000"/>
                <w:szCs w:val="24"/>
              </w:rPr>
            </w:pPr>
            <w:r>
              <w:rPr>
                <w:bCs/>
                <w:color w:val="000000"/>
                <w:szCs w:val="24"/>
              </w:rPr>
              <w:t>4E</w:t>
            </w:r>
          </w:p>
        </w:tc>
      </w:tr>
      <w:tr w:rsidR="00636A02" w:rsidRPr="004C3AA8" w14:paraId="4B01FC18" w14:textId="77777777" w:rsidTr="008D1EF2">
        <w:tc>
          <w:tcPr>
            <w:tcW w:w="4146" w:type="dxa"/>
          </w:tcPr>
          <w:p w14:paraId="37F8011E" w14:textId="1C5E4F20" w:rsidR="00636A02" w:rsidRPr="004C3AA8" w:rsidRDefault="00636A02" w:rsidP="00636A02">
            <w:pPr>
              <w:rPr>
                <w:bCs/>
                <w:color w:val="000000"/>
                <w:szCs w:val="24"/>
              </w:rPr>
            </w:pPr>
            <w:r>
              <w:rPr>
                <w:bCs/>
                <w:color w:val="000000"/>
                <w:szCs w:val="24"/>
              </w:rPr>
              <w:t>10</w:t>
            </w:r>
          </w:p>
        </w:tc>
        <w:tc>
          <w:tcPr>
            <w:tcW w:w="4150" w:type="dxa"/>
          </w:tcPr>
          <w:p w14:paraId="404FA88D" w14:textId="67158A6F" w:rsidR="00636A02" w:rsidRPr="004C3AA8" w:rsidRDefault="00636A02" w:rsidP="00636A02">
            <w:pPr>
              <w:rPr>
                <w:bCs/>
                <w:color w:val="000000"/>
                <w:szCs w:val="24"/>
              </w:rPr>
            </w:pPr>
            <w:r>
              <w:rPr>
                <w:bCs/>
                <w:color w:val="000000"/>
                <w:szCs w:val="24"/>
              </w:rPr>
              <w:t>4F</w:t>
            </w:r>
          </w:p>
        </w:tc>
      </w:tr>
      <w:tr w:rsidR="00636A02" w:rsidRPr="004C3AA8" w14:paraId="7312A80D" w14:textId="77777777" w:rsidTr="008D1EF2">
        <w:tc>
          <w:tcPr>
            <w:tcW w:w="4146" w:type="dxa"/>
          </w:tcPr>
          <w:p w14:paraId="2630FA83" w14:textId="690E303A" w:rsidR="00636A02" w:rsidRPr="004C3AA8" w:rsidRDefault="00636A02" w:rsidP="00636A02">
            <w:pPr>
              <w:rPr>
                <w:bCs/>
                <w:color w:val="000000"/>
                <w:szCs w:val="24"/>
              </w:rPr>
            </w:pPr>
            <w:r>
              <w:rPr>
                <w:bCs/>
                <w:color w:val="000000"/>
                <w:szCs w:val="24"/>
              </w:rPr>
              <w:t>11</w:t>
            </w:r>
          </w:p>
        </w:tc>
        <w:tc>
          <w:tcPr>
            <w:tcW w:w="4150" w:type="dxa"/>
          </w:tcPr>
          <w:p w14:paraId="40074C9B" w14:textId="3479EBCF" w:rsidR="00636A02" w:rsidRPr="004C3AA8" w:rsidRDefault="00636A02" w:rsidP="00636A02">
            <w:pPr>
              <w:rPr>
                <w:bCs/>
                <w:color w:val="000000"/>
                <w:szCs w:val="24"/>
              </w:rPr>
            </w:pPr>
            <w:r w:rsidRPr="00636A02">
              <w:rPr>
                <w:bCs/>
                <w:color w:val="000000"/>
                <w:szCs w:val="24"/>
              </w:rPr>
              <w:t>4G/6/6B</w:t>
            </w:r>
          </w:p>
        </w:tc>
      </w:tr>
      <w:tr w:rsidR="00636A02" w:rsidRPr="004C3AA8" w14:paraId="424E462F" w14:textId="77777777" w:rsidTr="008D1EF2">
        <w:tc>
          <w:tcPr>
            <w:tcW w:w="4146" w:type="dxa"/>
          </w:tcPr>
          <w:p w14:paraId="2DC60172" w14:textId="605D0459" w:rsidR="00636A02" w:rsidRPr="004C3AA8" w:rsidRDefault="00636A02" w:rsidP="00636A02">
            <w:pPr>
              <w:rPr>
                <w:bCs/>
                <w:color w:val="000000"/>
                <w:szCs w:val="24"/>
              </w:rPr>
            </w:pPr>
            <w:r>
              <w:rPr>
                <w:bCs/>
                <w:color w:val="000000"/>
                <w:szCs w:val="24"/>
              </w:rPr>
              <w:t>12</w:t>
            </w:r>
          </w:p>
        </w:tc>
        <w:tc>
          <w:tcPr>
            <w:tcW w:w="4150" w:type="dxa"/>
          </w:tcPr>
          <w:p w14:paraId="20323CAC" w14:textId="57936839" w:rsidR="00636A02" w:rsidRPr="004C3AA8" w:rsidRDefault="00636A02" w:rsidP="00636A02">
            <w:pPr>
              <w:rPr>
                <w:bCs/>
                <w:color w:val="000000"/>
                <w:szCs w:val="24"/>
              </w:rPr>
            </w:pPr>
            <w:r>
              <w:rPr>
                <w:bCs/>
                <w:color w:val="000000"/>
                <w:szCs w:val="24"/>
              </w:rPr>
              <w:t>5</w:t>
            </w:r>
          </w:p>
        </w:tc>
      </w:tr>
      <w:tr w:rsidR="00636A02" w:rsidRPr="004C3AA8" w14:paraId="0403BA04" w14:textId="77777777" w:rsidTr="008D1EF2">
        <w:tc>
          <w:tcPr>
            <w:tcW w:w="4146" w:type="dxa"/>
          </w:tcPr>
          <w:p w14:paraId="4FE75FA7" w14:textId="6B7CBE05" w:rsidR="00636A02" w:rsidRPr="004C3AA8" w:rsidRDefault="00636A02" w:rsidP="00636A02">
            <w:pPr>
              <w:rPr>
                <w:bCs/>
                <w:color w:val="000000"/>
                <w:szCs w:val="24"/>
              </w:rPr>
            </w:pPr>
            <w:r>
              <w:rPr>
                <w:bCs/>
                <w:color w:val="000000"/>
                <w:szCs w:val="24"/>
              </w:rPr>
              <w:t>13</w:t>
            </w:r>
          </w:p>
        </w:tc>
        <w:tc>
          <w:tcPr>
            <w:tcW w:w="4150" w:type="dxa"/>
          </w:tcPr>
          <w:p w14:paraId="7A4D56B1" w14:textId="34C81CE8" w:rsidR="00636A02" w:rsidRPr="004C3AA8" w:rsidRDefault="00636A02" w:rsidP="00636A02">
            <w:pPr>
              <w:rPr>
                <w:bCs/>
                <w:color w:val="000000"/>
                <w:szCs w:val="24"/>
              </w:rPr>
            </w:pPr>
            <w:r w:rsidRPr="00636A02">
              <w:rPr>
                <w:bCs/>
                <w:color w:val="000000"/>
                <w:szCs w:val="24"/>
              </w:rPr>
              <w:t>5A/5B/6</w:t>
            </w:r>
          </w:p>
        </w:tc>
      </w:tr>
      <w:tr w:rsidR="00636A02" w:rsidRPr="004C3AA8" w14:paraId="7EA2679F" w14:textId="77777777" w:rsidTr="008D1EF2">
        <w:tc>
          <w:tcPr>
            <w:tcW w:w="4146" w:type="dxa"/>
          </w:tcPr>
          <w:p w14:paraId="1E03ECB8" w14:textId="2B92B10A" w:rsidR="00636A02" w:rsidRPr="004C3AA8" w:rsidRDefault="00636A02" w:rsidP="00636A02">
            <w:pPr>
              <w:rPr>
                <w:bCs/>
                <w:color w:val="000000"/>
                <w:szCs w:val="24"/>
              </w:rPr>
            </w:pPr>
            <w:r>
              <w:rPr>
                <w:bCs/>
                <w:color w:val="000000"/>
                <w:szCs w:val="24"/>
              </w:rPr>
              <w:t>14</w:t>
            </w:r>
          </w:p>
        </w:tc>
        <w:tc>
          <w:tcPr>
            <w:tcW w:w="4150" w:type="dxa"/>
          </w:tcPr>
          <w:p w14:paraId="179D0A57" w14:textId="3E5DDC8D" w:rsidR="00636A02" w:rsidRPr="004C3AA8" w:rsidRDefault="00636A02" w:rsidP="00636A02">
            <w:pPr>
              <w:rPr>
                <w:bCs/>
                <w:color w:val="000000"/>
                <w:szCs w:val="24"/>
              </w:rPr>
            </w:pPr>
            <w:r>
              <w:rPr>
                <w:bCs/>
                <w:color w:val="000000"/>
                <w:szCs w:val="24"/>
              </w:rPr>
              <w:t>5C</w:t>
            </w:r>
          </w:p>
        </w:tc>
      </w:tr>
      <w:tr w:rsidR="00636A02" w:rsidRPr="004C3AA8" w14:paraId="7BEC361F" w14:textId="77777777" w:rsidTr="008D1EF2">
        <w:tc>
          <w:tcPr>
            <w:tcW w:w="4146" w:type="dxa"/>
          </w:tcPr>
          <w:p w14:paraId="376E2B8F" w14:textId="359EA3C6" w:rsidR="00636A02" w:rsidRPr="004C3AA8" w:rsidRDefault="00636A02" w:rsidP="00636A02">
            <w:pPr>
              <w:rPr>
                <w:bCs/>
                <w:color w:val="000000"/>
                <w:szCs w:val="24"/>
              </w:rPr>
            </w:pPr>
            <w:r>
              <w:rPr>
                <w:bCs/>
                <w:color w:val="000000"/>
                <w:szCs w:val="24"/>
              </w:rPr>
              <w:t>15</w:t>
            </w:r>
          </w:p>
        </w:tc>
        <w:tc>
          <w:tcPr>
            <w:tcW w:w="4150" w:type="dxa"/>
          </w:tcPr>
          <w:p w14:paraId="1889DCE7" w14:textId="7DAA7316" w:rsidR="00636A02" w:rsidRPr="004C3AA8" w:rsidRDefault="00636A02" w:rsidP="00636A02">
            <w:pPr>
              <w:rPr>
                <w:bCs/>
                <w:color w:val="000000"/>
                <w:szCs w:val="24"/>
              </w:rPr>
            </w:pPr>
            <w:r>
              <w:rPr>
                <w:bCs/>
                <w:color w:val="000000"/>
                <w:szCs w:val="24"/>
              </w:rPr>
              <w:t>5D</w:t>
            </w:r>
          </w:p>
        </w:tc>
      </w:tr>
      <w:tr w:rsidR="00636A02" w:rsidRPr="004C3AA8" w14:paraId="6818D2C6" w14:textId="77777777" w:rsidTr="008D1EF2">
        <w:tc>
          <w:tcPr>
            <w:tcW w:w="4146" w:type="dxa"/>
          </w:tcPr>
          <w:p w14:paraId="2FE549E9" w14:textId="21FDC649" w:rsidR="00636A02" w:rsidRPr="004C3AA8" w:rsidRDefault="00636A02" w:rsidP="00636A02">
            <w:pPr>
              <w:rPr>
                <w:bCs/>
                <w:color w:val="000000"/>
                <w:szCs w:val="24"/>
              </w:rPr>
            </w:pPr>
            <w:r>
              <w:rPr>
                <w:bCs/>
                <w:color w:val="000000"/>
                <w:szCs w:val="24"/>
              </w:rPr>
              <w:t>16</w:t>
            </w:r>
          </w:p>
        </w:tc>
        <w:tc>
          <w:tcPr>
            <w:tcW w:w="4150" w:type="dxa"/>
          </w:tcPr>
          <w:p w14:paraId="0A5132DC" w14:textId="2939FFF7" w:rsidR="00636A02" w:rsidRPr="004C3AA8" w:rsidRDefault="00636A02" w:rsidP="00636A02">
            <w:pPr>
              <w:rPr>
                <w:bCs/>
                <w:color w:val="000000"/>
                <w:szCs w:val="24"/>
              </w:rPr>
            </w:pPr>
            <w:r>
              <w:rPr>
                <w:bCs/>
                <w:color w:val="000000"/>
                <w:szCs w:val="24"/>
              </w:rPr>
              <w:t>5E</w:t>
            </w:r>
          </w:p>
        </w:tc>
      </w:tr>
      <w:tr w:rsidR="00636A02" w:rsidRPr="004C3AA8" w14:paraId="7D041F7E" w14:textId="77777777" w:rsidTr="008D1EF2">
        <w:tc>
          <w:tcPr>
            <w:tcW w:w="4146" w:type="dxa"/>
          </w:tcPr>
          <w:p w14:paraId="1B5AE041" w14:textId="1FACB2D1" w:rsidR="00636A02" w:rsidRPr="004C3AA8" w:rsidRDefault="00636A02" w:rsidP="00636A02">
            <w:pPr>
              <w:rPr>
                <w:bCs/>
                <w:color w:val="000000"/>
                <w:szCs w:val="24"/>
              </w:rPr>
            </w:pPr>
            <w:r>
              <w:rPr>
                <w:bCs/>
                <w:color w:val="000000"/>
                <w:szCs w:val="24"/>
              </w:rPr>
              <w:t>17</w:t>
            </w:r>
          </w:p>
        </w:tc>
        <w:tc>
          <w:tcPr>
            <w:tcW w:w="4150" w:type="dxa"/>
          </w:tcPr>
          <w:p w14:paraId="0859EDCA" w14:textId="1B82AA64" w:rsidR="00636A02" w:rsidRPr="004C3AA8" w:rsidRDefault="008F46BF" w:rsidP="00636A02">
            <w:pPr>
              <w:rPr>
                <w:bCs/>
                <w:color w:val="000000"/>
                <w:szCs w:val="24"/>
              </w:rPr>
            </w:pPr>
            <w:r>
              <w:rPr>
                <w:bCs/>
                <w:color w:val="000000"/>
                <w:szCs w:val="24"/>
              </w:rPr>
              <w:t xml:space="preserve">No equivalent </w:t>
            </w:r>
          </w:p>
        </w:tc>
      </w:tr>
      <w:tr w:rsidR="00636A02" w:rsidRPr="004C3AA8" w14:paraId="55CA79CD" w14:textId="77777777" w:rsidTr="008D1EF2">
        <w:tc>
          <w:tcPr>
            <w:tcW w:w="4146" w:type="dxa"/>
          </w:tcPr>
          <w:p w14:paraId="22391F0F" w14:textId="3F54BCAA" w:rsidR="00636A02" w:rsidRPr="004C3AA8" w:rsidRDefault="00636A02" w:rsidP="00636A02">
            <w:pPr>
              <w:rPr>
                <w:bCs/>
                <w:color w:val="000000"/>
                <w:szCs w:val="24"/>
              </w:rPr>
            </w:pPr>
            <w:r>
              <w:rPr>
                <w:bCs/>
                <w:color w:val="000000"/>
                <w:szCs w:val="24"/>
              </w:rPr>
              <w:t>18</w:t>
            </w:r>
          </w:p>
        </w:tc>
        <w:tc>
          <w:tcPr>
            <w:tcW w:w="4150" w:type="dxa"/>
          </w:tcPr>
          <w:p w14:paraId="046946B6" w14:textId="7BE3147A" w:rsidR="00636A02" w:rsidRPr="004C3AA8" w:rsidRDefault="008F46BF" w:rsidP="00636A02">
            <w:pPr>
              <w:rPr>
                <w:bCs/>
                <w:color w:val="000000"/>
                <w:szCs w:val="24"/>
              </w:rPr>
            </w:pPr>
            <w:r>
              <w:rPr>
                <w:bCs/>
                <w:color w:val="000000"/>
                <w:szCs w:val="24"/>
              </w:rPr>
              <w:t>6A</w:t>
            </w:r>
          </w:p>
        </w:tc>
      </w:tr>
      <w:tr w:rsidR="00636A02" w:rsidRPr="004C3AA8" w14:paraId="47C822D7" w14:textId="77777777" w:rsidTr="008D1EF2">
        <w:tc>
          <w:tcPr>
            <w:tcW w:w="4146" w:type="dxa"/>
          </w:tcPr>
          <w:p w14:paraId="53AF8477" w14:textId="30D69D33" w:rsidR="00636A02" w:rsidRPr="004C3AA8" w:rsidRDefault="00636A02" w:rsidP="00636A02">
            <w:pPr>
              <w:rPr>
                <w:bCs/>
                <w:color w:val="000000"/>
                <w:szCs w:val="24"/>
              </w:rPr>
            </w:pPr>
            <w:r>
              <w:rPr>
                <w:bCs/>
                <w:color w:val="000000"/>
                <w:szCs w:val="24"/>
              </w:rPr>
              <w:t>19</w:t>
            </w:r>
          </w:p>
        </w:tc>
        <w:tc>
          <w:tcPr>
            <w:tcW w:w="4150" w:type="dxa"/>
          </w:tcPr>
          <w:p w14:paraId="0F799EA7" w14:textId="3C581EED" w:rsidR="00636A02" w:rsidRPr="004C3AA8" w:rsidRDefault="008F46BF" w:rsidP="00636A02">
            <w:pPr>
              <w:rPr>
                <w:bCs/>
                <w:color w:val="000000"/>
                <w:szCs w:val="24"/>
              </w:rPr>
            </w:pPr>
            <w:r>
              <w:rPr>
                <w:bCs/>
                <w:color w:val="000000"/>
                <w:szCs w:val="24"/>
              </w:rPr>
              <w:t xml:space="preserve">No equivalent </w:t>
            </w:r>
          </w:p>
        </w:tc>
      </w:tr>
      <w:tr w:rsidR="00636A02" w:rsidRPr="004C3AA8" w14:paraId="476D0B9F" w14:textId="77777777" w:rsidTr="008F46BF">
        <w:tc>
          <w:tcPr>
            <w:tcW w:w="4146" w:type="dxa"/>
          </w:tcPr>
          <w:p w14:paraId="63ED7875" w14:textId="34598665" w:rsidR="00636A02" w:rsidRPr="004C3AA8" w:rsidRDefault="00636A02" w:rsidP="00636A02">
            <w:pPr>
              <w:rPr>
                <w:bCs/>
                <w:color w:val="000000"/>
                <w:szCs w:val="24"/>
              </w:rPr>
            </w:pPr>
            <w:r>
              <w:rPr>
                <w:bCs/>
                <w:color w:val="000000"/>
                <w:szCs w:val="24"/>
              </w:rPr>
              <w:t>20</w:t>
            </w:r>
          </w:p>
        </w:tc>
        <w:tc>
          <w:tcPr>
            <w:tcW w:w="4150" w:type="dxa"/>
          </w:tcPr>
          <w:p w14:paraId="2832FEFE" w14:textId="51957AB0" w:rsidR="00636A02" w:rsidRPr="004C3AA8" w:rsidRDefault="008F46BF" w:rsidP="00636A02">
            <w:pPr>
              <w:rPr>
                <w:bCs/>
                <w:color w:val="000000"/>
                <w:szCs w:val="24"/>
              </w:rPr>
            </w:pPr>
            <w:r>
              <w:rPr>
                <w:bCs/>
                <w:color w:val="000000"/>
                <w:szCs w:val="24"/>
              </w:rPr>
              <w:t>7</w:t>
            </w:r>
          </w:p>
        </w:tc>
      </w:tr>
      <w:tr w:rsidR="00636A02" w:rsidRPr="004C3AA8" w14:paraId="46A0416B" w14:textId="77777777" w:rsidTr="008F46BF">
        <w:tc>
          <w:tcPr>
            <w:tcW w:w="4146" w:type="dxa"/>
          </w:tcPr>
          <w:p w14:paraId="3D63B930" w14:textId="69859480" w:rsidR="00636A02" w:rsidRPr="004C3AA8" w:rsidRDefault="00636A02" w:rsidP="00636A02">
            <w:pPr>
              <w:rPr>
                <w:bCs/>
                <w:color w:val="000000"/>
                <w:szCs w:val="24"/>
              </w:rPr>
            </w:pPr>
            <w:r>
              <w:rPr>
                <w:bCs/>
                <w:color w:val="000000"/>
                <w:szCs w:val="24"/>
              </w:rPr>
              <w:t>21</w:t>
            </w:r>
          </w:p>
        </w:tc>
        <w:tc>
          <w:tcPr>
            <w:tcW w:w="4150" w:type="dxa"/>
          </w:tcPr>
          <w:p w14:paraId="35C44BE4" w14:textId="6E90A134" w:rsidR="00636A02" w:rsidRPr="004C3AA8" w:rsidRDefault="008F46BF" w:rsidP="00636A02">
            <w:pPr>
              <w:rPr>
                <w:bCs/>
                <w:color w:val="000000"/>
                <w:szCs w:val="24"/>
              </w:rPr>
            </w:pPr>
            <w:r>
              <w:rPr>
                <w:bCs/>
                <w:color w:val="000000"/>
                <w:szCs w:val="24"/>
              </w:rPr>
              <w:t>8</w:t>
            </w:r>
          </w:p>
        </w:tc>
      </w:tr>
      <w:tr w:rsidR="00636A02" w:rsidRPr="004C3AA8" w14:paraId="532BBFDB" w14:textId="77777777" w:rsidTr="008D1EF2">
        <w:tc>
          <w:tcPr>
            <w:tcW w:w="4146" w:type="dxa"/>
          </w:tcPr>
          <w:p w14:paraId="0CFA8CAD" w14:textId="449EDB1A" w:rsidR="00636A02" w:rsidRPr="004C3AA8" w:rsidRDefault="00636A02" w:rsidP="00636A02">
            <w:pPr>
              <w:rPr>
                <w:bCs/>
                <w:color w:val="000000"/>
                <w:szCs w:val="24"/>
              </w:rPr>
            </w:pPr>
            <w:r>
              <w:rPr>
                <w:bCs/>
                <w:color w:val="000000"/>
                <w:szCs w:val="24"/>
              </w:rPr>
              <w:t>22</w:t>
            </w:r>
          </w:p>
        </w:tc>
        <w:tc>
          <w:tcPr>
            <w:tcW w:w="4150" w:type="dxa"/>
          </w:tcPr>
          <w:p w14:paraId="02F3846B" w14:textId="3D853DFA" w:rsidR="00636A02" w:rsidRPr="004C3AA8" w:rsidRDefault="008F46BF" w:rsidP="00636A02">
            <w:pPr>
              <w:rPr>
                <w:bCs/>
                <w:color w:val="000000"/>
                <w:szCs w:val="24"/>
              </w:rPr>
            </w:pPr>
            <w:r>
              <w:rPr>
                <w:bCs/>
                <w:color w:val="000000"/>
                <w:szCs w:val="24"/>
              </w:rPr>
              <w:t>9</w:t>
            </w:r>
          </w:p>
        </w:tc>
      </w:tr>
      <w:tr w:rsidR="00636A02" w:rsidRPr="004C3AA8" w14:paraId="4B4F879C" w14:textId="77777777" w:rsidTr="008D1EF2">
        <w:tc>
          <w:tcPr>
            <w:tcW w:w="4146" w:type="dxa"/>
          </w:tcPr>
          <w:p w14:paraId="506C1D3C" w14:textId="4A543F7A" w:rsidR="00636A02" w:rsidRPr="004C3AA8" w:rsidRDefault="00636A02" w:rsidP="00636A02">
            <w:pPr>
              <w:rPr>
                <w:bCs/>
                <w:color w:val="000000"/>
                <w:szCs w:val="24"/>
              </w:rPr>
            </w:pPr>
            <w:r>
              <w:rPr>
                <w:bCs/>
                <w:color w:val="000000"/>
                <w:szCs w:val="24"/>
              </w:rPr>
              <w:t>2</w:t>
            </w:r>
            <w:r w:rsidR="008F46BF">
              <w:rPr>
                <w:bCs/>
                <w:color w:val="000000"/>
                <w:szCs w:val="24"/>
              </w:rPr>
              <w:t>3</w:t>
            </w:r>
          </w:p>
        </w:tc>
        <w:tc>
          <w:tcPr>
            <w:tcW w:w="4150" w:type="dxa"/>
          </w:tcPr>
          <w:p w14:paraId="5EAA6E1F" w14:textId="247A087B" w:rsidR="00636A02" w:rsidRPr="004C3AA8" w:rsidRDefault="008F46BF" w:rsidP="00636A02">
            <w:pPr>
              <w:rPr>
                <w:bCs/>
                <w:color w:val="000000"/>
                <w:szCs w:val="24"/>
              </w:rPr>
            </w:pPr>
            <w:r>
              <w:rPr>
                <w:bCs/>
                <w:color w:val="000000"/>
                <w:szCs w:val="24"/>
              </w:rPr>
              <w:t>10</w:t>
            </w:r>
          </w:p>
        </w:tc>
      </w:tr>
      <w:tr w:rsidR="00636A02" w:rsidRPr="004C3AA8" w14:paraId="4D463731" w14:textId="77777777" w:rsidTr="008D1EF2">
        <w:tc>
          <w:tcPr>
            <w:tcW w:w="4146" w:type="dxa"/>
          </w:tcPr>
          <w:p w14:paraId="4512382C" w14:textId="24F13DBD" w:rsidR="00636A02" w:rsidRPr="004C3AA8" w:rsidRDefault="00636A02" w:rsidP="00636A02">
            <w:pPr>
              <w:rPr>
                <w:bCs/>
                <w:color w:val="000000"/>
                <w:szCs w:val="24"/>
              </w:rPr>
            </w:pPr>
            <w:r>
              <w:rPr>
                <w:bCs/>
                <w:color w:val="000000"/>
                <w:szCs w:val="24"/>
              </w:rPr>
              <w:lastRenderedPageBreak/>
              <w:t>2</w:t>
            </w:r>
            <w:r w:rsidR="008F46BF">
              <w:rPr>
                <w:bCs/>
                <w:color w:val="000000"/>
                <w:szCs w:val="24"/>
              </w:rPr>
              <w:t>4</w:t>
            </w:r>
          </w:p>
        </w:tc>
        <w:tc>
          <w:tcPr>
            <w:tcW w:w="4150" w:type="dxa"/>
          </w:tcPr>
          <w:p w14:paraId="6701DB48" w14:textId="585956AA" w:rsidR="00636A02" w:rsidRPr="004C3AA8" w:rsidRDefault="008F46BF" w:rsidP="00636A02">
            <w:pPr>
              <w:rPr>
                <w:bCs/>
                <w:color w:val="000000"/>
                <w:szCs w:val="24"/>
              </w:rPr>
            </w:pPr>
            <w:r>
              <w:rPr>
                <w:bCs/>
                <w:color w:val="000000"/>
                <w:szCs w:val="24"/>
              </w:rPr>
              <w:t>11</w:t>
            </w:r>
          </w:p>
        </w:tc>
      </w:tr>
      <w:tr w:rsidR="00636A02" w:rsidRPr="004C3AA8" w14:paraId="6541FDEF" w14:textId="77777777" w:rsidTr="008D1EF2">
        <w:tc>
          <w:tcPr>
            <w:tcW w:w="4146" w:type="dxa"/>
          </w:tcPr>
          <w:p w14:paraId="19C02B12" w14:textId="330C2CD0" w:rsidR="00636A02" w:rsidRPr="004C3AA8" w:rsidRDefault="00636A02" w:rsidP="00636A02">
            <w:pPr>
              <w:rPr>
                <w:bCs/>
                <w:color w:val="000000"/>
                <w:szCs w:val="24"/>
              </w:rPr>
            </w:pPr>
            <w:r>
              <w:rPr>
                <w:bCs/>
                <w:color w:val="000000"/>
                <w:szCs w:val="24"/>
              </w:rPr>
              <w:t>2</w:t>
            </w:r>
            <w:r w:rsidR="008F46BF">
              <w:rPr>
                <w:bCs/>
                <w:color w:val="000000"/>
                <w:szCs w:val="24"/>
              </w:rPr>
              <w:t>5</w:t>
            </w:r>
          </w:p>
        </w:tc>
        <w:tc>
          <w:tcPr>
            <w:tcW w:w="4150" w:type="dxa"/>
          </w:tcPr>
          <w:p w14:paraId="7C4103F6" w14:textId="2851863C" w:rsidR="00636A02" w:rsidRPr="004C3AA8" w:rsidRDefault="008F46BF" w:rsidP="00636A02">
            <w:pPr>
              <w:rPr>
                <w:bCs/>
                <w:color w:val="000000"/>
                <w:szCs w:val="24"/>
              </w:rPr>
            </w:pPr>
            <w:r>
              <w:rPr>
                <w:bCs/>
                <w:color w:val="000000"/>
                <w:szCs w:val="24"/>
              </w:rPr>
              <w:t>12</w:t>
            </w:r>
          </w:p>
        </w:tc>
      </w:tr>
      <w:tr w:rsidR="00636A02" w:rsidRPr="004C3AA8" w14:paraId="60223BCC" w14:textId="77777777" w:rsidTr="008D1EF2">
        <w:tc>
          <w:tcPr>
            <w:tcW w:w="4146" w:type="dxa"/>
          </w:tcPr>
          <w:p w14:paraId="2FB7A68C" w14:textId="65E8B4D9" w:rsidR="00636A02" w:rsidRPr="004C3AA8" w:rsidRDefault="008F46BF" w:rsidP="00636A02">
            <w:pPr>
              <w:rPr>
                <w:bCs/>
                <w:color w:val="000000"/>
                <w:szCs w:val="24"/>
              </w:rPr>
            </w:pPr>
            <w:r>
              <w:rPr>
                <w:bCs/>
                <w:color w:val="000000"/>
                <w:szCs w:val="24"/>
              </w:rPr>
              <w:t>26</w:t>
            </w:r>
          </w:p>
        </w:tc>
        <w:tc>
          <w:tcPr>
            <w:tcW w:w="4150" w:type="dxa"/>
          </w:tcPr>
          <w:p w14:paraId="337D11D7" w14:textId="7E84B733" w:rsidR="00636A02" w:rsidRPr="004C3AA8" w:rsidRDefault="008F46BF" w:rsidP="00636A02">
            <w:pPr>
              <w:rPr>
                <w:bCs/>
                <w:color w:val="000000"/>
                <w:szCs w:val="24"/>
              </w:rPr>
            </w:pPr>
            <w:r>
              <w:rPr>
                <w:bCs/>
                <w:color w:val="000000"/>
                <w:szCs w:val="24"/>
              </w:rPr>
              <w:t>13</w:t>
            </w:r>
          </w:p>
        </w:tc>
      </w:tr>
    </w:tbl>
    <w:p w14:paraId="725D36A2" w14:textId="7BCA3034" w:rsidR="00636A02" w:rsidRDefault="00636A02">
      <w:pPr>
        <w:spacing w:before="0" w:after="0"/>
      </w:pPr>
    </w:p>
    <w:p w14:paraId="2DEAF8A9" w14:textId="7BCFEA52" w:rsidR="002F06D6" w:rsidRDefault="002F06D6">
      <w:pPr>
        <w:spacing w:before="0" w:after="0"/>
      </w:pPr>
      <w:r>
        <w:br w:type="page"/>
      </w:r>
    </w:p>
    <w:p w14:paraId="31D4346D" w14:textId="77777777" w:rsidR="002F06D6" w:rsidRDefault="002F06D6" w:rsidP="002F06D6">
      <w:pPr>
        <w:pageBreakBefore/>
        <w:spacing w:before="240"/>
        <w:jc w:val="right"/>
        <w:rPr>
          <w:b/>
          <w:u w:val="single"/>
        </w:rPr>
      </w:pPr>
      <w:r>
        <w:rPr>
          <w:b/>
          <w:u w:val="single"/>
        </w:rPr>
        <w:lastRenderedPageBreak/>
        <w:t>ATTACHMENT C</w:t>
      </w:r>
    </w:p>
    <w:p w14:paraId="34EC0B0C" w14:textId="77777777" w:rsidR="002F06D6" w:rsidRDefault="002F06D6" w:rsidP="002F06D6">
      <w:pPr>
        <w:pStyle w:val="Heading3"/>
      </w:pPr>
      <w:r>
        <w:t>Statement of Compatibility with Human Rights</w:t>
      </w:r>
    </w:p>
    <w:p w14:paraId="5E708FD8" w14:textId="77777777" w:rsidR="002F06D6" w:rsidRDefault="002F06D6" w:rsidP="002F06D6">
      <w:pPr>
        <w:spacing w:before="240"/>
        <w:jc w:val="center"/>
        <w:rPr>
          <w:i/>
        </w:rPr>
      </w:pPr>
      <w:r>
        <w:rPr>
          <w:i/>
        </w:rPr>
        <w:t>Prepared in accordance with Part 3 of the Human Rights (Parliamentary Scrutiny) Act 2011</w:t>
      </w:r>
    </w:p>
    <w:p w14:paraId="1F4B2C0F" w14:textId="30B86889" w:rsidR="002F06D6" w:rsidRDefault="002F06D6" w:rsidP="002F06D6">
      <w:pPr>
        <w:pStyle w:val="Heading3"/>
        <w:jc w:val="center"/>
      </w:pPr>
      <w:r w:rsidRPr="002F06D6">
        <w:t>Tax Agent Services Regulations</w:t>
      </w:r>
      <w:r w:rsidRPr="006D3ECC">
        <w:t xml:space="preserve"> 2022</w:t>
      </w:r>
    </w:p>
    <w:p w14:paraId="21E60614" w14:textId="77777777" w:rsidR="002F06D6" w:rsidRDefault="002F06D6" w:rsidP="002F06D6">
      <w:pPr>
        <w:spacing w:before="240"/>
      </w:pPr>
      <w:r>
        <w:t xml:space="preserve">This Legislative Instrument is compatible with the human rights and freedoms recognised or declared in the international instruments listed in section 3 of the </w:t>
      </w:r>
      <w:r>
        <w:rPr>
          <w:i/>
        </w:rPr>
        <w:t>Human Rights (Parliamentary Scrutiny) Act 2011</w:t>
      </w:r>
      <w:r>
        <w:t>.</w:t>
      </w:r>
    </w:p>
    <w:p w14:paraId="108403D0" w14:textId="77777777" w:rsidR="002F06D6" w:rsidRDefault="002F06D6" w:rsidP="002F06D6">
      <w:pPr>
        <w:pStyle w:val="Heading3"/>
      </w:pPr>
      <w:r>
        <w:t>Overview of the Legislative Instrument</w:t>
      </w:r>
    </w:p>
    <w:p w14:paraId="03423BB5" w14:textId="77777777" w:rsidR="003460E4" w:rsidRPr="00956382" w:rsidRDefault="003460E4" w:rsidP="003460E4">
      <w:pPr>
        <w:pStyle w:val="Heading3"/>
        <w:rPr>
          <w:b w:val="0"/>
          <w:kern w:val="0"/>
        </w:rPr>
      </w:pPr>
      <w:r w:rsidRPr="00956382">
        <w:rPr>
          <w:b w:val="0"/>
          <w:kern w:val="0"/>
        </w:rPr>
        <w:t xml:space="preserve">The </w:t>
      </w:r>
      <w:r w:rsidRPr="00927714">
        <w:rPr>
          <w:b w:val="0"/>
          <w:i/>
          <w:iCs/>
          <w:kern w:val="0"/>
        </w:rPr>
        <w:t>Tax Agent Services Act 2009</w:t>
      </w:r>
      <w:r w:rsidRPr="00956382">
        <w:rPr>
          <w:b w:val="0"/>
          <w:kern w:val="0"/>
        </w:rPr>
        <w:t xml:space="preserve"> (the Act) establishes the Tax Practitioners Board (the Board) and provides for a system to accredit professional associations relevant to the registration of tax agents and BAS agents. Section 70-55 of the Act provides that the Governor-General may make regulations prescribing matters required or permitted by the Act to be prescribed, or necessary or convenient to be prescribed for carrying out or giving effect to the Act. </w:t>
      </w:r>
    </w:p>
    <w:p w14:paraId="1EF9417C" w14:textId="77777777" w:rsidR="003460E4" w:rsidRPr="006D3ECC" w:rsidRDefault="003460E4" w:rsidP="003460E4">
      <w:pPr>
        <w:pStyle w:val="Heading3"/>
        <w:rPr>
          <w:b w:val="0"/>
          <w:kern w:val="0"/>
        </w:rPr>
      </w:pPr>
      <w:r w:rsidRPr="006D3ECC">
        <w:rPr>
          <w:b w:val="0"/>
          <w:kern w:val="0"/>
        </w:rPr>
        <w:t xml:space="preserve">The </w:t>
      </w:r>
      <w:r w:rsidRPr="002F06D6">
        <w:rPr>
          <w:b w:val="0"/>
          <w:i/>
          <w:iCs/>
          <w:kern w:val="0"/>
        </w:rPr>
        <w:t xml:space="preserve">Tax Agent Services Regulations </w:t>
      </w:r>
      <w:r w:rsidRPr="006D3ECC">
        <w:rPr>
          <w:b w:val="0"/>
          <w:i/>
          <w:iCs/>
          <w:kern w:val="0"/>
        </w:rPr>
        <w:t>2022</w:t>
      </w:r>
      <w:r w:rsidRPr="006D3ECC">
        <w:rPr>
          <w:b w:val="0"/>
          <w:kern w:val="0"/>
        </w:rPr>
        <w:t xml:space="preserve"> (the Regulations) remake and improve the operation of the </w:t>
      </w:r>
      <w:r w:rsidRPr="002F06D6">
        <w:rPr>
          <w:b w:val="0"/>
          <w:i/>
          <w:iCs/>
          <w:kern w:val="0"/>
        </w:rPr>
        <w:t>Tax Agent Services Regulations 2009</w:t>
      </w:r>
      <w:r w:rsidRPr="002F06D6">
        <w:rPr>
          <w:b w:val="0"/>
          <w:kern w:val="0"/>
        </w:rPr>
        <w:t xml:space="preserve"> </w:t>
      </w:r>
      <w:r w:rsidRPr="006D3ECC">
        <w:rPr>
          <w:b w:val="0"/>
          <w:kern w:val="0"/>
        </w:rPr>
        <w:t>(200</w:t>
      </w:r>
      <w:r>
        <w:rPr>
          <w:b w:val="0"/>
          <w:kern w:val="0"/>
        </w:rPr>
        <w:t>9</w:t>
      </w:r>
      <w:r w:rsidRPr="006D3ECC">
        <w:rPr>
          <w:b w:val="0"/>
          <w:kern w:val="0"/>
        </w:rPr>
        <w:t xml:space="preserve"> Regulations) by repealing redundant provisions, simplifying </w:t>
      </w:r>
      <w:proofErr w:type="gramStart"/>
      <w:r w:rsidRPr="006D3ECC">
        <w:rPr>
          <w:b w:val="0"/>
          <w:kern w:val="0"/>
        </w:rPr>
        <w:t>language</w:t>
      </w:r>
      <w:proofErr w:type="gramEnd"/>
      <w:r w:rsidRPr="006D3ECC">
        <w:rPr>
          <w:b w:val="0"/>
          <w:kern w:val="0"/>
        </w:rPr>
        <w:t xml:space="preserve"> and restructuring provisions for ease of navigation. The Regulations also make some minor clarifications to several provisions in the repealed </w:t>
      </w:r>
      <w:r>
        <w:rPr>
          <w:b w:val="0"/>
          <w:kern w:val="0"/>
        </w:rPr>
        <w:t>2009</w:t>
      </w:r>
      <w:r w:rsidRPr="006D3ECC">
        <w:rPr>
          <w:b w:val="0"/>
          <w:kern w:val="0"/>
        </w:rPr>
        <w:t xml:space="preserve"> Regulations to ensure that they operate as intended.</w:t>
      </w:r>
    </w:p>
    <w:p w14:paraId="5B51E466" w14:textId="77777777" w:rsidR="003460E4" w:rsidRDefault="003460E4" w:rsidP="003460E4">
      <w:pPr>
        <w:pStyle w:val="Heading3"/>
        <w:rPr>
          <w:b w:val="0"/>
          <w:kern w:val="0"/>
        </w:rPr>
      </w:pPr>
      <w:r w:rsidRPr="00956382">
        <w:rPr>
          <w:b w:val="0"/>
          <w:kern w:val="0"/>
        </w:rPr>
        <w:t>The objective of the Regulations is to provide details to accompany the Act that prescribe definitions and requirements for registrations, fees for registration applications and administration details of the Board.</w:t>
      </w:r>
    </w:p>
    <w:p w14:paraId="6FB4104B" w14:textId="77777777" w:rsidR="003460E4" w:rsidRDefault="003460E4" w:rsidP="003460E4">
      <w:pPr>
        <w:spacing w:before="240"/>
      </w:pPr>
      <w:r w:rsidRPr="006D3ECC">
        <w:t>These changes are not intended to affect the substantive meaning or operation of the provisions.</w:t>
      </w:r>
    </w:p>
    <w:p w14:paraId="69E1F505" w14:textId="77777777" w:rsidR="003460E4" w:rsidRDefault="003460E4" w:rsidP="003460E4">
      <w:pPr>
        <w:pStyle w:val="Heading3"/>
      </w:pPr>
      <w:r>
        <w:t>Human rights implications</w:t>
      </w:r>
    </w:p>
    <w:p w14:paraId="1C81B0B0" w14:textId="77777777" w:rsidR="003460E4" w:rsidRDefault="003460E4" w:rsidP="003460E4">
      <w:pPr>
        <w:spacing w:before="240"/>
      </w:pPr>
      <w:r>
        <w:t xml:space="preserve">This Legislative Instrument engages the following </w:t>
      </w:r>
      <w:r w:rsidRPr="006D348C">
        <w:t>human</w:t>
      </w:r>
      <w:r>
        <w:t xml:space="preserve"> rights or freedoms.</w:t>
      </w:r>
    </w:p>
    <w:p w14:paraId="36640AAF" w14:textId="77777777" w:rsidR="003460E4" w:rsidRDefault="003460E4" w:rsidP="003460E4">
      <w:pPr>
        <w:spacing w:before="240"/>
      </w:pPr>
      <w:r>
        <w:rPr>
          <w:i/>
          <w:iCs/>
        </w:rPr>
        <w:t>The right to work</w:t>
      </w:r>
    </w:p>
    <w:p w14:paraId="36FA9EA3" w14:textId="77777777" w:rsidR="003460E4" w:rsidRDefault="003460E4" w:rsidP="003460E4">
      <w:pPr>
        <w:spacing w:before="240"/>
      </w:pPr>
      <w:r>
        <w:t xml:space="preserve">This measure engages the right to work in Article 6 of </w:t>
      </w:r>
      <w:r w:rsidRPr="00D85405">
        <w:t>the</w:t>
      </w:r>
      <w:r w:rsidRPr="00927714">
        <w:rPr>
          <w:i/>
          <w:iCs/>
        </w:rPr>
        <w:t xml:space="preserve"> International Covenant on Economic, Social and Cultural Rights</w:t>
      </w:r>
      <w:r>
        <w:t>.</w:t>
      </w:r>
    </w:p>
    <w:p w14:paraId="47A49C7F" w14:textId="77777777" w:rsidR="003460E4" w:rsidRDefault="003460E4" w:rsidP="003460E4">
      <w:pPr>
        <w:spacing w:before="240"/>
      </w:pPr>
      <w:r>
        <w:t>Article 6(1) recognises the right to work and obliges States Parties to take appropriate steps to safeguard this right.</w:t>
      </w:r>
    </w:p>
    <w:p w14:paraId="11148058" w14:textId="77777777" w:rsidR="003460E4" w:rsidRDefault="003460E4" w:rsidP="003460E4">
      <w:pPr>
        <w:spacing w:before="240"/>
      </w:pPr>
      <w:r w:rsidRPr="00AE16B0">
        <w:t>The opportunity to work may be limited by the</w:t>
      </w:r>
      <w:r>
        <w:t xml:space="preserve"> required qualifications for individuals to complete prior to becoming formally recognised. These qualifications have a monetary cost associated, which limits certain individuals from becoming registered. </w:t>
      </w:r>
    </w:p>
    <w:p w14:paraId="5A8C5907" w14:textId="77777777" w:rsidR="003460E4" w:rsidRDefault="003460E4" w:rsidP="003460E4">
      <w:pPr>
        <w:spacing w:before="240"/>
      </w:pPr>
      <w:r>
        <w:lastRenderedPageBreak/>
        <w:t>In a</w:t>
      </w:r>
      <w:r w:rsidRPr="0027070C">
        <w:t xml:space="preserve">ddition, the requirement for </w:t>
      </w:r>
      <w:r>
        <w:t>individuals</w:t>
      </w:r>
      <w:r w:rsidRPr="0027070C">
        <w:t xml:space="preserve"> to pay </w:t>
      </w:r>
      <w:r>
        <w:t xml:space="preserve">for registration </w:t>
      </w:r>
      <w:r w:rsidRPr="0027070C">
        <w:t xml:space="preserve">as a professional </w:t>
      </w:r>
      <w:r>
        <w:t xml:space="preserve">agent may limit the right of individuals to free choice of work opportunities. </w:t>
      </w:r>
    </w:p>
    <w:p w14:paraId="55405010" w14:textId="04C48D43" w:rsidR="003460E4" w:rsidRDefault="003460E4" w:rsidP="003460E4">
      <w:pPr>
        <w:spacing w:before="240"/>
      </w:pPr>
      <w:r>
        <w:t xml:space="preserve">These Regulations impose obligations to hold certain tertiary qualifications as well as paying associated registration fees. However, these statutory qualifications and fees are necessary to ensure a high standard of tax and BAS agent services are provided to society at large. These limitations provide benefits and assure the </w:t>
      </w:r>
      <w:proofErr w:type="gramStart"/>
      <w:r>
        <w:t>general public</w:t>
      </w:r>
      <w:proofErr w:type="gramEnd"/>
      <w:r>
        <w:t xml:space="preserve"> that only accredited professionals are eligible to handle complex tax affairs. Any potential limitations on the right to work are reasonable and proportionate to provide quality service and assistance to the </w:t>
      </w:r>
      <w:proofErr w:type="gramStart"/>
      <w:r>
        <w:t>general public</w:t>
      </w:r>
      <w:proofErr w:type="gramEnd"/>
      <w:r>
        <w:t>. T</w:t>
      </w:r>
      <w:r w:rsidRPr="0019182E">
        <w:t xml:space="preserve">he knowledge </w:t>
      </w:r>
      <w:r>
        <w:t xml:space="preserve">and experience </w:t>
      </w:r>
      <w:r w:rsidRPr="0019182E">
        <w:t xml:space="preserve">gained to become a </w:t>
      </w:r>
      <w:r>
        <w:t xml:space="preserve">tax </w:t>
      </w:r>
      <w:r w:rsidRPr="0019182E">
        <w:t xml:space="preserve">professional who can assist the </w:t>
      </w:r>
      <w:proofErr w:type="gramStart"/>
      <w:r w:rsidRPr="0019182E">
        <w:t>general public</w:t>
      </w:r>
      <w:proofErr w:type="gramEnd"/>
      <w:r w:rsidRPr="0019182E">
        <w:t xml:space="preserve"> with </w:t>
      </w:r>
      <w:r>
        <w:t xml:space="preserve">meeting their </w:t>
      </w:r>
      <w:r w:rsidRPr="0019182E">
        <w:t xml:space="preserve">compulsory tax obligations </w:t>
      </w:r>
      <w:r>
        <w:t xml:space="preserve">is justified because it </w:t>
      </w:r>
      <w:r w:rsidRPr="0019182E">
        <w:t>provides a net social benefit to</w:t>
      </w:r>
      <w:r>
        <w:t xml:space="preserve"> society.</w:t>
      </w:r>
    </w:p>
    <w:p w14:paraId="1F4C4C95" w14:textId="77777777" w:rsidR="003460E4" w:rsidRDefault="003460E4" w:rsidP="003460E4">
      <w:pPr>
        <w:pStyle w:val="Heading3"/>
      </w:pPr>
      <w:r>
        <w:t>Conclusion</w:t>
      </w:r>
    </w:p>
    <w:p w14:paraId="4D22B0A4" w14:textId="77777777" w:rsidR="003460E4" w:rsidRDefault="003460E4" w:rsidP="003460E4">
      <w:pPr>
        <w:spacing w:before="240"/>
      </w:pPr>
      <w:r>
        <w:t xml:space="preserve">This Legislative Instrument is compatible with human rights. </w:t>
      </w:r>
      <w:r w:rsidRPr="00332359">
        <w:t>To the extent that it engage</w:t>
      </w:r>
      <w:r>
        <w:t xml:space="preserve">s </w:t>
      </w:r>
      <w:r w:rsidRPr="00332359">
        <w:t>and limit</w:t>
      </w:r>
      <w:r>
        <w:t>s</w:t>
      </w:r>
      <w:r w:rsidRPr="00332359">
        <w:t xml:space="preserve"> the right to work, those limitations are reasonable, </w:t>
      </w:r>
      <w:proofErr w:type="gramStart"/>
      <w:r w:rsidRPr="00332359">
        <w:t>necessary</w:t>
      </w:r>
      <w:proofErr w:type="gramEnd"/>
      <w:r w:rsidRPr="00332359">
        <w:t xml:space="preserve"> and proportionate to the outcome.</w:t>
      </w:r>
    </w:p>
    <w:p w14:paraId="52A81F61" w14:textId="77777777" w:rsidR="004C3AA8" w:rsidRPr="00EA4DD8" w:rsidRDefault="004C3AA8" w:rsidP="00EA4DD8">
      <w:pPr>
        <w:spacing w:before="0" w:after="0"/>
      </w:pPr>
    </w:p>
    <w:sectPr w:rsidR="004C3AA8" w:rsidRPr="00EA4DD8" w:rsidSect="00392BBA">
      <w:footerReference w:type="default" r:id="rId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0C57D" w14:textId="77777777" w:rsidR="00E228FB" w:rsidRDefault="00E228FB" w:rsidP="00954679">
      <w:pPr>
        <w:spacing w:before="0" w:after="0"/>
      </w:pPr>
      <w:r>
        <w:separator/>
      </w:r>
    </w:p>
  </w:endnote>
  <w:endnote w:type="continuationSeparator" w:id="0">
    <w:p w14:paraId="768E33D1" w14:textId="77777777" w:rsidR="00E228FB" w:rsidRDefault="00E228FB" w:rsidP="00954679">
      <w:pPr>
        <w:spacing w:before="0" w:after="0"/>
      </w:pPr>
      <w:r>
        <w:continuationSeparator/>
      </w:r>
    </w:p>
  </w:endnote>
  <w:endnote w:type="continuationNotice" w:id="1">
    <w:p w14:paraId="29407FCB" w14:textId="77777777" w:rsidR="00E228FB" w:rsidRDefault="00E228F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3D952F42" w14:textId="49DD9A34" w:rsidR="00251E13" w:rsidRDefault="00251E13"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C5EEF" w14:textId="77777777" w:rsidR="00E228FB" w:rsidRDefault="00E228FB" w:rsidP="00954679">
      <w:pPr>
        <w:spacing w:before="0" w:after="0"/>
      </w:pPr>
      <w:r>
        <w:separator/>
      </w:r>
    </w:p>
  </w:footnote>
  <w:footnote w:type="continuationSeparator" w:id="0">
    <w:p w14:paraId="36F0814F" w14:textId="77777777" w:rsidR="00E228FB" w:rsidRDefault="00E228FB" w:rsidP="00954679">
      <w:pPr>
        <w:spacing w:before="0" w:after="0"/>
      </w:pPr>
      <w:r>
        <w:continuationSeparator/>
      </w:r>
    </w:p>
  </w:footnote>
  <w:footnote w:type="continuationNotice" w:id="1">
    <w:p w14:paraId="0A3567E2" w14:textId="77777777" w:rsidR="00E228FB" w:rsidRDefault="00E228FB">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725C5"/>
    <w:multiLevelType w:val="hybridMultilevel"/>
    <w:tmpl w:val="7E46DFF6"/>
    <w:lvl w:ilvl="0" w:tplc="829AB9E0">
      <w:start w:val="1"/>
      <w:numFmt w:val="bullet"/>
      <w:lvlText w:val=""/>
      <w:lvlJc w:val="left"/>
      <w:pPr>
        <w:ind w:left="1080" w:hanging="360"/>
      </w:pPr>
      <w:rPr>
        <w:rFonts w:ascii="Symbol" w:eastAsia="Calibri" w:hAnsi="Symbol"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 w15:restartNumberingAfterBreak="0">
    <w:nsid w:val="13E9765E"/>
    <w:multiLevelType w:val="hybridMultilevel"/>
    <w:tmpl w:val="C150A082"/>
    <w:lvl w:ilvl="0" w:tplc="0C090001">
      <w:start w:val="3"/>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4"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98F5963"/>
    <w:multiLevelType w:val="hybridMultilevel"/>
    <w:tmpl w:val="2A5EB1A6"/>
    <w:lvl w:ilvl="0" w:tplc="503EC7DE">
      <w:start w:val="1"/>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070"/>
    <w:rsid w:val="00001F77"/>
    <w:rsid w:val="00005CDC"/>
    <w:rsid w:val="00013390"/>
    <w:rsid w:val="00016EA2"/>
    <w:rsid w:val="0004313E"/>
    <w:rsid w:val="000504BE"/>
    <w:rsid w:val="00057D03"/>
    <w:rsid w:val="00076178"/>
    <w:rsid w:val="00083CFC"/>
    <w:rsid w:val="00093F2A"/>
    <w:rsid w:val="00095211"/>
    <w:rsid w:val="000A407F"/>
    <w:rsid w:val="000A4D8E"/>
    <w:rsid w:val="000B39A1"/>
    <w:rsid w:val="000C10DF"/>
    <w:rsid w:val="000C1161"/>
    <w:rsid w:val="000C6935"/>
    <w:rsid w:val="000C767C"/>
    <w:rsid w:val="000E268A"/>
    <w:rsid w:val="000E32E3"/>
    <w:rsid w:val="000E6A29"/>
    <w:rsid w:val="000F1E99"/>
    <w:rsid w:val="00113B45"/>
    <w:rsid w:val="0014311B"/>
    <w:rsid w:val="00144CB1"/>
    <w:rsid w:val="0016595D"/>
    <w:rsid w:val="00170AF1"/>
    <w:rsid w:val="00180558"/>
    <w:rsid w:val="00190B5F"/>
    <w:rsid w:val="00190FFB"/>
    <w:rsid w:val="0019182E"/>
    <w:rsid w:val="001969AE"/>
    <w:rsid w:val="001B24C4"/>
    <w:rsid w:val="001B7535"/>
    <w:rsid w:val="001C02D8"/>
    <w:rsid w:val="001C7975"/>
    <w:rsid w:val="001D3F42"/>
    <w:rsid w:val="001D476C"/>
    <w:rsid w:val="001D6B40"/>
    <w:rsid w:val="001E6A74"/>
    <w:rsid w:val="001F1B5E"/>
    <w:rsid w:val="001F3E6E"/>
    <w:rsid w:val="001F41D0"/>
    <w:rsid w:val="001F75DE"/>
    <w:rsid w:val="00201655"/>
    <w:rsid w:val="002065B5"/>
    <w:rsid w:val="002208CA"/>
    <w:rsid w:val="00220F16"/>
    <w:rsid w:val="00242DD4"/>
    <w:rsid w:val="00246881"/>
    <w:rsid w:val="00251E13"/>
    <w:rsid w:val="00254C5B"/>
    <w:rsid w:val="00256C29"/>
    <w:rsid w:val="00260A1A"/>
    <w:rsid w:val="0026101D"/>
    <w:rsid w:val="0027070C"/>
    <w:rsid w:val="00273A8C"/>
    <w:rsid w:val="00276442"/>
    <w:rsid w:val="00277A41"/>
    <w:rsid w:val="00285E8A"/>
    <w:rsid w:val="002A2B0B"/>
    <w:rsid w:val="002A37DB"/>
    <w:rsid w:val="002A742F"/>
    <w:rsid w:val="002A7E1F"/>
    <w:rsid w:val="002B2611"/>
    <w:rsid w:val="002B348A"/>
    <w:rsid w:val="002C226C"/>
    <w:rsid w:val="002C74A3"/>
    <w:rsid w:val="002D3617"/>
    <w:rsid w:val="002E4503"/>
    <w:rsid w:val="002F06D6"/>
    <w:rsid w:val="00302E74"/>
    <w:rsid w:val="003041FA"/>
    <w:rsid w:val="00315338"/>
    <w:rsid w:val="00315F5C"/>
    <w:rsid w:val="0033305A"/>
    <w:rsid w:val="00333E1A"/>
    <w:rsid w:val="003342CD"/>
    <w:rsid w:val="00334C2D"/>
    <w:rsid w:val="00335042"/>
    <w:rsid w:val="00337132"/>
    <w:rsid w:val="00341BC5"/>
    <w:rsid w:val="003425F9"/>
    <w:rsid w:val="003460E4"/>
    <w:rsid w:val="0035021A"/>
    <w:rsid w:val="00362B70"/>
    <w:rsid w:val="00392BBA"/>
    <w:rsid w:val="00394183"/>
    <w:rsid w:val="00394507"/>
    <w:rsid w:val="003954FD"/>
    <w:rsid w:val="003C2384"/>
    <w:rsid w:val="003C7907"/>
    <w:rsid w:val="003D60D7"/>
    <w:rsid w:val="003E1CE3"/>
    <w:rsid w:val="003E45E8"/>
    <w:rsid w:val="00402017"/>
    <w:rsid w:val="004024CE"/>
    <w:rsid w:val="00407C0A"/>
    <w:rsid w:val="00407EEB"/>
    <w:rsid w:val="004127D3"/>
    <w:rsid w:val="004155D9"/>
    <w:rsid w:val="00426C86"/>
    <w:rsid w:val="00427102"/>
    <w:rsid w:val="00432C86"/>
    <w:rsid w:val="00433B2C"/>
    <w:rsid w:val="00444E86"/>
    <w:rsid w:val="00446F61"/>
    <w:rsid w:val="00462095"/>
    <w:rsid w:val="004721DD"/>
    <w:rsid w:val="004805E7"/>
    <w:rsid w:val="00482B81"/>
    <w:rsid w:val="00482D4C"/>
    <w:rsid w:val="004851B6"/>
    <w:rsid w:val="004972BA"/>
    <w:rsid w:val="004A3A58"/>
    <w:rsid w:val="004A5888"/>
    <w:rsid w:val="004B3C0F"/>
    <w:rsid w:val="004B40AC"/>
    <w:rsid w:val="004C05E4"/>
    <w:rsid w:val="004C3AA8"/>
    <w:rsid w:val="004D5599"/>
    <w:rsid w:val="004E0462"/>
    <w:rsid w:val="004E39E1"/>
    <w:rsid w:val="004E7352"/>
    <w:rsid w:val="004F56D0"/>
    <w:rsid w:val="00503E44"/>
    <w:rsid w:val="00505905"/>
    <w:rsid w:val="00515283"/>
    <w:rsid w:val="00520E41"/>
    <w:rsid w:val="0052258F"/>
    <w:rsid w:val="00526D8C"/>
    <w:rsid w:val="00533926"/>
    <w:rsid w:val="005365E6"/>
    <w:rsid w:val="00544BB1"/>
    <w:rsid w:val="00555C02"/>
    <w:rsid w:val="0055675D"/>
    <w:rsid w:val="00557285"/>
    <w:rsid w:val="00566E8F"/>
    <w:rsid w:val="005737E3"/>
    <w:rsid w:val="0057422E"/>
    <w:rsid w:val="005833BE"/>
    <w:rsid w:val="005A39C7"/>
    <w:rsid w:val="005A4346"/>
    <w:rsid w:val="005B5C10"/>
    <w:rsid w:val="005B6B6D"/>
    <w:rsid w:val="005D7D5A"/>
    <w:rsid w:val="005E4BAC"/>
    <w:rsid w:val="005F5F6B"/>
    <w:rsid w:val="0060130D"/>
    <w:rsid w:val="00606C84"/>
    <w:rsid w:val="00636A02"/>
    <w:rsid w:val="0063722B"/>
    <w:rsid w:val="0064021B"/>
    <w:rsid w:val="0064129F"/>
    <w:rsid w:val="00647BB7"/>
    <w:rsid w:val="00660115"/>
    <w:rsid w:val="00680297"/>
    <w:rsid w:val="006873CE"/>
    <w:rsid w:val="00692E0F"/>
    <w:rsid w:val="006935C3"/>
    <w:rsid w:val="006940DD"/>
    <w:rsid w:val="006A0786"/>
    <w:rsid w:val="006A2FDC"/>
    <w:rsid w:val="006A5671"/>
    <w:rsid w:val="006C1302"/>
    <w:rsid w:val="006D00FF"/>
    <w:rsid w:val="006D348C"/>
    <w:rsid w:val="006E5F65"/>
    <w:rsid w:val="006F63A0"/>
    <w:rsid w:val="007011C8"/>
    <w:rsid w:val="00710E94"/>
    <w:rsid w:val="00727D8A"/>
    <w:rsid w:val="0073127C"/>
    <w:rsid w:val="00731FEA"/>
    <w:rsid w:val="00732157"/>
    <w:rsid w:val="00736F61"/>
    <w:rsid w:val="00742253"/>
    <w:rsid w:val="00745A33"/>
    <w:rsid w:val="0075125A"/>
    <w:rsid w:val="00756E2F"/>
    <w:rsid w:val="00757848"/>
    <w:rsid w:val="00757C37"/>
    <w:rsid w:val="00764510"/>
    <w:rsid w:val="007662C7"/>
    <w:rsid w:val="00776306"/>
    <w:rsid w:val="007772D6"/>
    <w:rsid w:val="00787E02"/>
    <w:rsid w:val="00790903"/>
    <w:rsid w:val="00792208"/>
    <w:rsid w:val="007973A1"/>
    <w:rsid w:val="007A55A7"/>
    <w:rsid w:val="007A7345"/>
    <w:rsid w:val="007B1F10"/>
    <w:rsid w:val="007B335E"/>
    <w:rsid w:val="007C5B5B"/>
    <w:rsid w:val="007E018D"/>
    <w:rsid w:val="007F1B71"/>
    <w:rsid w:val="00807E7D"/>
    <w:rsid w:val="00820B07"/>
    <w:rsid w:val="00830839"/>
    <w:rsid w:val="00831675"/>
    <w:rsid w:val="00842225"/>
    <w:rsid w:val="00843919"/>
    <w:rsid w:val="00862D65"/>
    <w:rsid w:val="00866C9A"/>
    <w:rsid w:val="0087323D"/>
    <w:rsid w:val="0087453D"/>
    <w:rsid w:val="008762E5"/>
    <w:rsid w:val="0088467C"/>
    <w:rsid w:val="008922B7"/>
    <w:rsid w:val="00894579"/>
    <w:rsid w:val="008A3912"/>
    <w:rsid w:val="008A466D"/>
    <w:rsid w:val="008A5B67"/>
    <w:rsid w:val="008A6C6A"/>
    <w:rsid w:val="008A6D33"/>
    <w:rsid w:val="008B700E"/>
    <w:rsid w:val="008C24DF"/>
    <w:rsid w:val="008C3E17"/>
    <w:rsid w:val="008D11F5"/>
    <w:rsid w:val="008D16F7"/>
    <w:rsid w:val="008E1427"/>
    <w:rsid w:val="008E57B7"/>
    <w:rsid w:val="008F454F"/>
    <w:rsid w:val="008F46BF"/>
    <w:rsid w:val="00904ABD"/>
    <w:rsid w:val="00905334"/>
    <w:rsid w:val="009143A0"/>
    <w:rsid w:val="00931411"/>
    <w:rsid w:val="00934DEB"/>
    <w:rsid w:val="00936902"/>
    <w:rsid w:val="00941E6E"/>
    <w:rsid w:val="00945578"/>
    <w:rsid w:val="00954679"/>
    <w:rsid w:val="00961397"/>
    <w:rsid w:val="009679C3"/>
    <w:rsid w:val="00975579"/>
    <w:rsid w:val="009835A8"/>
    <w:rsid w:val="0099574F"/>
    <w:rsid w:val="00997D4E"/>
    <w:rsid w:val="009A6DC0"/>
    <w:rsid w:val="009B497F"/>
    <w:rsid w:val="009C5DB7"/>
    <w:rsid w:val="009C6A1E"/>
    <w:rsid w:val="009E2F86"/>
    <w:rsid w:val="00A00DE0"/>
    <w:rsid w:val="00A01889"/>
    <w:rsid w:val="00A11844"/>
    <w:rsid w:val="00A12209"/>
    <w:rsid w:val="00A22038"/>
    <w:rsid w:val="00A36DF3"/>
    <w:rsid w:val="00A45F8C"/>
    <w:rsid w:val="00A4755D"/>
    <w:rsid w:val="00A5302D"/>
    <w:rsid w:val="00A532DD"/>
    <w:rsid w:val="00A5742F"/>
    <w:rsid w:val="00A74239"/>
    <w:rsid w:val="00A80BCF"/>
    <w:rsid w:val="00A8369C"/>
    <w:rsid w:val="00A85810"/>
    <w:rsid w:val="00A954A3"/>
    <w:rsid w:val="00AA1689"/>
    <w:rsid w:val="00AA2C84"/>
    <w:rsid w:val="00AA5770"/>
    <w:rsid w:val="00AC1D15"/>
    <w:rsid w:val="00AE16B0"/>
    <w:rsid w:val="00AE5C9A"/>
    <w:rsid w:val="00AF60A1"/>
    <w:rsid w:val="00B043A3"/>
    <w:rsid w:val="00B07B0C"/>
    <w:rsid w:val="00B141E9"/>
    <w:rsid w:val="00B25563"/>
    <w:rsid w:val="00B26D48"/>
    <w:rsid w:val="00B357FE"/>
    <w:rsid w:val="00B41C36"/>
    <w:rsid w:val="00B427D7"/>
    <w:rsid w:val="00B42EE1"/>
    <w:rsid w:val="00B43472"/>
    <w:rsid w:val="00B46AD7"/>
    <w:rsid w:val="00B501C1"/>
    <w:rsid w:val="00B50630"/>
    <w:rsid w:val="00B512F3"/>
    <w:rsid w:val="00B55FAC"/>
    <w:rsid w:val="00B756B4"/>
    <w:rsid w:val="00B75957"/>
    <w:rsid w:val="00B8293D"/>
    <w:rsid w:val="00B91730"/>
    <w:rsid w:val="00B92478"/>
    <w:rsid w:val="00B92DCC"/>
    <w:rsid w:val="00BA3DC4"/>
    <w:rsid w:val="00BA6188"/>
    <w:rsid w:val="00BB3D74"/>
    <w:rsid w:val="00BD0891"/>
    <w:rsid w:val="00BD297C"/>
    <w:rsid w:val="00BD3B1A"/>
    <w:rsid w:val="00BD61A2"/>
    <w:rsid w:val="00BE484D"/>
    <w:rsid w:val="00C2156A"/>
    <w:rsid w:val="00C34918"/>
    <w:rsid w:val="00C37D3A"/>
    <w:rsid w:val="00C37E05"/>
    <w:rsid w:val="00C55D29"/>
    <w:rsid w:val="00C56E74"/>
    <w:rsid w:val="00C6150C"/>
    <w:rsid w:val="00C6271C"/>
    <w:rsid w:val="00C62FF8"/>
    <w:rsid w:val="00C82F2C"/>
    <w:rsid w:val="00C9498A"/>
    <w:rsid w:val="00CA0BE9"/>
    <w:rsid w:val="00CA138D"/>
    <w:rsid w:val="00CA179F"/>
    <w:rsid w:val="00CA3DD5"/>
    <w:rsid w:val="00CB005D"/>
    <w:rsid w:val="00CB5ACE"/>
    <w:rsid w:val="00CC318B"/>
    <w:rsid w:val="00CC7641"/>
    <w:rsid w:val="00CE088F"/>
    <w:rsid w:val="00D038AB"/>
    <w:rsid w:val="00D03EFA"/>
    <w:rsid w:val="00D132B9"/>
    <w:rsid w:val="00D13794"/>
    <w:rsid w:val="00D16F83"/>
    <w:rsid w:val="00D24052"/>
    <w:rsid w:val="00D242D0"/>
    <w:rsid w:val="00D24386"/>
    <w:rsid w:val="00D27A0C"/>
    <w:rsid w:val="00D27B04"/>
    <w:rsid w:val="00D31575"/>
    <w:rsid w:val="00D34626"/>
    <w:rsid w:val="00D34FB4"/>
    <w:rsid w:val="00D4257A"/>
    <w:rsid w:val="00D618B7"/>
    <w:rsid w:val="00D62665"/>
    <w:rsid w:val="00D76423"/>
    <w:rsid w:val="00D8205A"/>
    <w:rsid w:val="00D82E47"/>
    <w:rsid w:val="00D9675E"/>
    <w:rsid w:val="00DC0CDE"/>
    <w:rsid w:val="00DC4D72"/>
    <w:rsid w:val="00DD5C30"/>
    <w:rsid w:val="00DD7ED4"/>
    <w:rsid w:val="00DE54B8"/>
    <w:rsid w:val="00E03FBB"/>
    <w:rsid w:val="00E0624D"/>
    <w:rsid w:val="00E157A1"/>
    <w:rsid w:val="00E1598C"/>
    <w:rsid w:val="00E228FB"/>
    <w:rsid w:val="00E22B26"/>
    <w:rsid w:val="00E30612"/>
    <w:rsid w:val="00E30E8E"/>
    <w:rsid w:val="00E4318A"/>
    <w:rsid w:val="00E43F0C"/>
    <w:rsid w:val="00E4438C"/>
    <w:rsid w:val="00E4548B"/>
    <w:rsid w:val="00E457F3"/>
    <w:rsid w:val="00E62285"/>
    <w:rsid w:val="00E96DB3"/>
    <w:rsid w:val="00EA4DD8"/>
    <w:rsid w:val="00EB2AEF"/>
    <w:rsid w:val="00EB5070"/>
    <w:rsid w:val="00EB7E71"/>
    <w:rsid w:val="00EC3BC5"/>
    <w:rsid w:val="00EC47F8"/>
    <w:rsid w:val="00EC55B8"/>
    <w:rsid w:val="00EC5C75"/>
    <w:rsid w:val="00ED513C"/>
    <w:rsid w:val="00ED7143"/>
    <w:rsid w:val="00EF4E50"/>
    <w:rsid w:val="00F07C6F"/>
    <w:rsid w:val="00F109D4"/>
    <w:rsid w:val="00F15EE9"/>
    <w:rsid w:val="00F27880"/>
    <w:rsid w:val="00F3780F"/>
    <w:rsid w:val="00F47585"/>
    <w:rsid w:val="00F84707"/>
    <w:rsid w:val="00F85E6F"/>
    <w:rsid w:val="00F91749"/>
    <w:rsid w:val="00F9582F"/>
    <w:rsid w:val="00FA330C"/>
    <w:rsid w:val="00FD3C36"/>
    <w:rsid w:val="00FD3E8D"/>
    <w:rsid w:val="00FD6D7B"/>
    <w:rsid w:val="00FE04E4"/>
    <w:rsid w:val="00FE2607"/>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7F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A1A"/>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link w:val="Heading2Char"/>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link w:val="Heading4Char"/>
    <w:qFormat/>
    <w:rsid w:val="00E4438C"/>
    <w:pPr>
      <w:spacing w:before="120"/>
      <w:outlineLvl w:val="3"/>
    </w:pPr>
  </w:style>
  <w:style w:type="paragraph" w:styleId="Heading5">
    <w:name w:val="heading 5"/>
    <w:basedOn w:val="Normal"/>
    <w:next w:val="Normal"/>
    <w:link w:val="Heading5Char"/>
    <w:uiPriority w:val="9"/>
    <w:unhideWhenUsed/>
    <w:qFormat/>
    <w:rsid w:val="00CB5AC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table" w:styleId="TableGrid">
    <w:name w:val="Table Grid"/>
    <w:basedOn w:val="TableNormal"/>
    <w:uiPriority w:val="59"/>
    <w:rsid w:val="001F7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835A8"/>
    <w:rPr>
      <w:b/>
      <w:sz w:val="28"/>
      <w:u w:val="single"/>
    </w:rPr>
  </w:style>
  <w:style w:type="character" w:customStyle="1" w:styleId="Heading4Char">
    <w:name w:val="Heading 4 Char"/>
    <w:basedOn w:val="DefaultParagraphFont"/>
    <w:link w:val="Heading4"/>
    <w:rsid w:val="009835A8"/>
    <w:rPr>
      <w:b/>
      <w:kern w:val="28"/>
      <w:sz w:val="24"/>
    </w:rPr>
  </w:style>
  <w:style w:type="paragraph" w:styleId="ListParagraph">
    <w:name w:val="List Paragraph"/>
    <w:basedOn w:val="Normal"/>
    <w:uiPriority w:val="34"/>
    <w:qFormat/>
    <w:rsid w:val="00AF60A1"/>
    <w:pPr>
      <w:ind w:left="720"/>
      <w:contextualSpacing/>
    </w:pPr>
  </w:style>
  <w:style w:type="paragraph" w:styleId="NormalWeb">
    <w:name w:val="Normal (Web)"/>
    <w:basedOn w:val="Normal"/>
    <w:uiPriority w:val="99"/>
    <w:unhideWhenUsed/>
    <w:rsid w:val="00ED7143"/>
    <w:pPr>
      <w:spacing w:before="100" w:beforeAutospacing="1" w:after="100" w:afterAutospacing="1"/>
    </w:pPr>
    <w:rPr>
      <w:szCs w:val="24"/>
    </w:rPr>
  </w:style>
  <w:style w:type="character" w:customStyle="1" w:styleId="Heading5Char">
    <w:name w:val="Heading 5 Char"/>
    <w:basedOn w:val="DefaultParagraphFont"/>
    <w:link w:val="Heading5"/>
    <w:uiPriority w:val="9"/>
    <w:rsid w:val="00CB5ACE"/>
    <w:rPr>
      <w:rFonts w:asciiTheme="majorHAnsi" w:eastAsiaTheme="majorEastAsia" w:hAnsiTheme="majorHAnsi" w:cstheme="majorBidi"/>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257246">
      <w:bodyDiv w:val="1"/>
      <w:marLeft w:val="0"/>
      <w:marRight w:val="0"/>
      <w:marTop w:val="0"/>
      <w:marBottom w:val="0"/>
      <w:divBdr>
        <w:top w:val="none" w:sz="0" w:space="0" w:color="auto"/>
        <w:left w:val="none" w:sz="0" w:space="0" w:color="auto"/>
        <w:bottom w:val="none" w:sz="0" w:space="0" w:color="auto"/>
        <w:right w:val="none" w:sz="0" w:space="0" w:color="auto"/>
      </w:divBdr>
    </w:div>
    <w:div w:id="355618048">
      <w:bodyDiv w:val="1"/>
      <w:marLeft w:val="0"/>
      <w:marRight w:val="0"/>
      <w:marTop w:val="0"/>
      <w:marBottom w:val="0"/>
      <w:divBdr>
        <w:top w:val="none" w:sz="0" w:space="0" w:color="auto"/>
        <w:left w:val="none" w:sz="0" w:space="0" w:color="auto"/>
        <w:bottom w:val="none" w:sz="0" w:space="0" w:color="auto"/>
        <w:right w:val="none" w:sz="0" w:space="0" w:color="auto"/>
      </w:divBdr>
    </w:div>
    <w:div w:id="648366809">
      <w:bodyDiv w:val="1"/>
      <w:marLeft w:val="0"/>
      <w:marRight w:val="0"/>
      <w:marTop w:val="0"/>
      <w:marBottom w:val="0"/>
      <w:divBdr>
        <w:top w:val="none" w:sz="0" w:space="0" w:color="auto"/>
        <w:left w:val="none" w:sz="0" w:space="0" w:color="auto"/>
        <w:bottom w:val="none" w:sz="0" w:space="0" w:color="auto"/>
        <w:right w:val="none" w:sz="0" w:space="0" w:color="auto"/>
      </w:divBdr>
    </w:div>
    <w:div w:id="777218966">
      <w:bodyDiv w:val="1"/>
      <w:marLeft w:val="0"/>
      <w:marRight w:val="0"/>
      <w:marTop w:val="0"/>
      <w:marBottom w:val="0"/>
      <w:divBdr>
        <w:top w:val="none" w:sz="0" w:space="0" w:color="auto"/>
        <w:left w:val="none" w:sz="0" w:space="0" w:color="auto"/>
        <w:bottom w:val="none" w:sz="0" w:space="0" w:color="auto"/>
        <w:right w:val="none" w:sz="0" w:space="0" w:color="auto"/>
      </w:divBdr>
    </w:div>
    <w:div w:id="788666490">
      <w:bodyDiv w:val="1"/>
      <w:marLeft w:val="0"/>
      <w:marRight w:val="0"/>
      <w:marTop w:val="0"/>
      <w:marBottom w:val="0"/>
      <w:divBdr>
        <w:top w:val="none" w:sz="0" w:space="0" w:color="auto"/>
        <w:left w:val="none" w:sz="0" w:space="0" w:color="auto"/>
        <w:bottom w:val="none" w:sz="0" w:space="0" w:color="auto"/>
        <w:right w:val="none" w:sz="0" w:space="0" w:color="auto"/>
      </w:divBdr>
    </w:div>
    <w:div w:id="1424034758">
      <w:bodyDiv w:val="1"/>
      <w:marLeft w:val="0"/>
      <w:marRight w:val="0"/>
      <w:marTop w:val="0"/>
      <w:marBottom w:val="0"/>
      <w:divBdr>
        <w:top w:val="none" w:sz="0" w:space="0" w:color="auto"/>
        <w:left w:val="none" w:sz="0" w:space="0" w:color="auto"/>
        <w:bottom w:val="none" w:sz="0" w:space="0" w:color="auto"/>
        <w:right w:val="none" w:sz="0" w:space="0" w:color="auto"/>
      </w:divBdr>
    </w:div>
    <w:div w:id="1473330939">
      <w:bodyDiv w:val="1"/>
      <w:marLeft w:val="0"/>
      <w:marRight w:val="0"/>
      <w:marTop w:val="0"/>
      <w:marBottom w:val="0"/>
      <w:divBdr>
        <w:top w:val="none" w:sz="0" w:space="0" w:color="auto"/>
        <w:left w:val="none" w:sz="0" w:space="0" w:color="auto"/>
        <w:bottom w:val="none" w:sz="0" w:space="0" w:color="auto"/>
        <w:right w:val="none" w:sz="0" w:space="0" w:color="auto"/>
      </w:divBdr>
    </w:div>
    <w:div w:id="1552644044">
      <w:bodyDiv w:val="1"/>
      <w:marLeft w:val="0"/>
      <w:marRight w:val="0"/>
      <w:marTop w:val="0"/>
      <w:marBottom w:val="0"/>
      <w:divBdr>
        <w:top w:val="none" w:sz="0" w:space="0" w:color="auto"/>
        <w:left w:val="none" w:sz="0" w:space="0" w:color="auto"/>
        <w:bottom w:val="none" w:sz="0" w:space="0" w:color="auto"/>
        <w:right w:val="none" w:sz="0" w:space="0" w:color="auto"/>
      </w:divBdr>
    </w:div>
    <w:div w:id="1564216741">
      <w:bodyDiv w:val="1"/>
      <w:marLeft w:val="0"/>
      <w:marRight w:val="0"/>
      <w:marTop w:val="0"/>
      <w:marBottom w:val="0"/>
      <w:divBdr>
        <w:top w:val="none" w:sz="0" w:space="0" w:color="auto"/>
        <w:left w:val="none" w:sz="0" w:space="0" w:color="auto"/>
        <w:bottom w:val="none" w:sz="0" w:space="0" w:color="auto"/>
        <w:right w:val="none" w:sz="0" w:space="0" w:color="auto"/>
      </w:divBdr>
    </w:div>
    <w:div w:id="1692799363">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189569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1A1FE931AD49AAB273042FB20D4048"/>
        <w:category>
          <w:name w:val="General"/>
          <w:gallery w:val="placeholder"/>
        </w:category>
        <w:types>
          <w:type w:val="bbPlcHdr"/>
        </w:types>
        <w:behaviors>
          <w:behavior w:val="content"/>
        </w:behaviors>
        <w:guid w:val="{A1793A1D-FDCA-445F-A649-7F8BEDC88227}"/>
      </w:docPartPr>
      <w:docPartBody>
        <w:p w:rsidR="004B12C6" w:rsidRDefault="004B12C6">
          <w:pPr>
            <w:pStyle w:val="E51A1FE931AD49AAB273042FB20D4048"/>
          </w:pPr>
          <w:r w:rsidRPr="003C7907">
            <w:rPr>
              <w:rStyle w:val="PlaceholderText"/>
              <w:sz w:val="24"/>
              <w:szCs w:val="24"/>
            </w:rPr>
            <w:t>Select a Minister</w:t>
          </w:r>
        </w:p>
      </w:docPartBody>
    </w:docPart>
    <w:docPart>
      <w:docPartPr>
        <w:name w:val="4F384B0FCFBB44FBB4D6E657845F1436"/>
        <w:category>
          <w:name w:val="General"/>
          <w:gallery w:val="placeholder"/>
        </w:category>
        <w:types>
          <w:type w:val="bbPlcHdr"/>
        </w:types>
        <w:behaviors>
          <w:behavior w:val="content"/>
        </w:behaviors>
        <w:guid w:val="{74508923-2EEE-4DE8-9EB0-CFDA8A08A914}"/>
      </w:docPartPr>
      <w:docPartBody>
        <w:p w:rsidR="004B12C6" w:rsidRDefault="004B12C6">
          <w:pPr>
            <w:pStyle w:val="4F384B0FCFBB44FBB4D6E657845F1436"/>
          </w:pPr>
          <w:r>
            <w:rPr>
              <w:rStyle w:val="PlaceholderText"/>
            </w:rPr>
            <w:t xml:space="preserve">Click here to </w:t>
          </w:r>
          <w:r w:rsidRPr="000E7BFC">
            <w:rPr>
              <w:rStyle w:val="PlaceholderText"/>
            </w:rPr>
            <w:t>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2C6"/>
    <w:rsid w:val="0002514B"/>
    <w:rsid w:val="004B12C6"/>
    <w:rsid w:val="00511A17"/>
    <w:rsid w:val="00732643"/>
    <w:rsid w:val="008F641C"/>
    <w:rsid w:val="00DD2D3D"/>
    <w:rsid w:val="00E863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51A1FE931AD49AAB273042FB20D4048">
    <w:name w:val="E51A1FE931AD49AAB273042FB20D4048"/>
  </w:style>
  <w:style w:type="paragraph" w:customStyle="1" w:styleId="4F384B0FCFBB44FBB4D6E657845F1436">
    <w:name w:val="4F384B0FCFBB44FBB4D6E657845F14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3174</Words>
  <Characters>18092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2022-03-01T05:46:00Z</dcterms:created>
  <dcterms:modified xsi:type="dcterms:W3CDTF">2022-03-01T05:46:00Z</dcterms:modified>
</cp:coreProperties>
</file>