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22B3E7" w14:textId="77777777" w:rsidR="00D9450D" w:rsidRPr="0058274C" w:rsidRDefault="00D9450D" w:rsidP="00D9450D">
      <w:pPr>
        <w:spacing w:after="120" w:line="360" w:lineRule="auto"/>
        <w:ind w:left="709" w:hanging="709"/>
        <w:jc w:val="center"/>
        <w:rPr>
          <w:rFonts w:ascii="Times New Roman" w:eastAsia="Times New Roman" w:hAnsi="Times New Roman" w:cs="Times New Roman"/>
          <w:b/>
          <w:bCs/>
          <w:sz w:val="24"/>
          <w:u w:val="single"/>
          <w:lang w:eastAsia="en-AU"/>
        </w:rPr>
      </w:pPr>
      <w:r w:rsidRPr="0058274C">
        <w:rPr>
          <w:rFonts w:ascii="Times New Roman" w:eastAsia="Times New Roman" w:hAnsi="Times New Roman" w:cs="Times New Roman"/>
          <w:b/>
          <w:bCs/>
          <w:sz w:val="24"/>
          <w:u w:val="single"/>
          <w:lang w:eastAsia="en-AU"/>
        </w:rPr>
        <w:t xml:space="preserve">SAFETY, REHABILITATION AND COMPENSATION </w:t>
      </w:r>
    </w:p>
    <w:p w14:paraId="335C6EA6" w14:textId="77777777" w:rsidR="00D9450D" w:rsidRPr="0058274C" w:rsidRDefault="00D9450D" w:rsidP="00D9450D">
      <w:pPr>
        <w:spacing w:after="120" w:line="360" w:lineRule="auto"/>
        <w:ind w:left="709" w:hanging="709"/>
        <w:jc w:val="center"/>
        <w:rPr>
          <w:rFonts w:ascii="Times New Roman" w:eastAsia="Times New Roman" w:hAnsi="Times New Roman" w:cs="Times New Roman"/>
          <w:b/>
          <w:bCs/>
          <w:sz w:val="24"/>
          <w:u w:val="single"/>
          <w:lang w:eastAsia="en-AU"/>
        </w:rPr>
      </w:pPr>
      <w:r w:rsidRPr="0058274C">
        <w:rPr>
          <w:rFonts w:ascii="Times New Roman" w:eastAsia="Times New Roman" w:hAnsi="Times New Roman" w:cs="Times New Roman"/>
          <w:b/>
          <w:bCs/>
          <w:sz w:val="24"/>
          <w:u w:val="single"/>
          <w:lang w:eastAsia="en-AU"/>
        </w:rPr>
        <w:t>(</w:t>
      </w:r>
      <w:r w:rsidR="00310CE0" w:rsidRPr="0058274C">
        <w:rPr>
          <w:rFonts w:ascii="Times New Roman" w:eastAsia="Times New Roman" w:hAnsi="Times New Roman" w:cs="Times New Roman"/>
          <w:b/>
          <w:bCs/>
          <w:sz w:val="24"/>
          <w:u w:val="single"/>
          <w:lang w:eastAsia="en-AU"/>
        </w:rPr>
        <w:t>NOTIO</w:t>
      </w:r>
      <w:r w:rsidR="000A2E8E" w:rsidRPr="0058274C">
        <w:rPr>
          <w:rFonts w:ascii="Times New Roman" w:eastAsia="Times New Roman" w:hAnsi="Times New Roman" w:cs="Times New Roman"/>
          <w:b/>
          <w:bCs/>
          <w:sz w:val="24"/>
          <w:u w:val="single"/>
          <w:lang w:eastAsia="en-AU"/>
        </w:rPr>
        <w:t>NAL INTEREST) DETERMINATION 2022</w:t>
      </w:r>
    </w:p>
    <w:p w14:paraId="7C0DA5F3" w14:textId="77777777" w:rsidR="00D9450D" w:rsidRPr="007C5F93" w:rsidRDefault="00D9450D" w:rsidP="00D9450D">
      <w:pPr>
        <w:spacing w:after="120" w:line="360" w:lineRule="auto"/>
        <w:ind w:left="709" w:hanging="709"/>
        <w:jc w:val="center"/>
        <w:rPr>
          <w:rFonts w:ascii="Times New Roman" w:eastAsia="Times New Roman" w:hAnsi="Times New Roman" w:cs="Times New Roman"/>
          <w:b/>
          <w:bCs/>
          <w:sz w:val="24"/>
          <w:u w:val="single"/>
          <w:lang w:eastAsia="en-AU"/>
        </w:rPr>
      </w:pPr>
    </w:p>
    <w:p w14:paraId="32A45EB4" w14:textId="77777777" w:rsidR="00D9450D" w:rsidRPr="007C5F93" w:rsidRDefault="00D9450D" w:rsidP="00D9450D">
      <w:pPr>
        <w:spacing w:after="120" w:line="360" w:lineRule="auto"/>
        <w:ind w:left="709" w:hanging="709"/>
        <w:jc w:val="center"/>
        <w:rPr>
          <w:rFonts w:ascii="Times New Roman" w:eastAsia="Times New Roman" w:hAnsi="Times New Roman" w:cs="Times New Roman"/>
          <w:b/>
          <w:bCs/>
          <w:sz w:val="24"/>
          <w:u w:val="single"/>
          <w:lang w:eastAsia="en-AU"/>
        </w:rPr>
      </w:pPr>
      <w:r w:rsidRPr="007C5F93">
        <w:rPr>
          <w:rFonts w:ascii="Times New Roman" w:eastAsia="Times New Roman" w:hAnsi="Times New Roman" w:cs="Times New Roman"/>
          <w:b/>
          <w:bCs/>
          <w:sz w:val="24"/>
          <w:u w:val="single"/>
          <w:lang w:eastAsia="en-AU"/>
        </w:rPr>
        <w:t>EXPLANATORY STATEMENT</w:t>
      </w:r>
    </w:p>
    <w:p w14:paraId="66D1E9F1" w14:textId="77777777" w:rsidR="00D9450D" w:rsidRPr="007C5F93" w:rsidRDefault="00D9450D" w:rsidP="00D9450D">
      <w:pPr>
        <w:spacing w:after="120" w:line="360" w:lineRule="auto"/>
        <w:ind w:left="709" w:hanging="709"/>
        <w:jc w:val="center"/>
        <w:rPr>
          <w:rFonts w:ascii="Times New Roman" w:eastAsia="Times New Roman" w:hAnsi="Times New Roman" w:cs="Times New Roman"/>
          <w:bCs/>
          <w:lang w:eastAsia="en-AU"/>
        </w:rPr>
      </w:pPr>
    </w:p>
    <w:p w14:paraId="1E08B87E" w14:textId="77777777" w:rsidR="002E0E7E" w:rsidRPr="007C5F93" w:rsidRDefault="00D9450D" w:rsidP="002E0E7E">
      <w:pPr>
        <w:spacing w:after="120" w:line="360" w:lineRule="auto"/>
        <w:ind w:left="709" w:hanging="709"/>
        <w:jc w:val="center"/>
        <w:rPr>
          <w:rFonts w:ascii="Times New Roman" w:eastAsia="Times New Roman" w:hAnsi="Times New Roman" w:cs="Times New Roman"/>
          <w:bCs/>
          <w:lang w:eastAsia="en-AU"/>
        </w:rPr>
      </w:pPr>
      <w:r w:rsidRPr="007C5F93">
        <w:rPr>
          <w:rFonts w:ascii="Times New Roman" w:eastAsia="Times New Roman" w:hAnsi="Times New Roman" w:cs="Times New Roman"/>
          <w:bCs/>
          <w:lang w:eastAsia="en-AU"/>
        </w:rPr>
        <w:t xml:space="preserve">Issued by authority of the Minister for </w:t>
      </w:r>
      <w:r w:rsidR="00310CE0">
        <w:rPr>
          <w:rFonts w:ascii="Times New Roman" w:eastAsia="Times New Roman" w:hAnsi="Times New Roman" w:cs="Times New Roman"/>
          <w:bCs/>
          <w:lang w:eastAsia="en-AU"/>
        </w:rPr>
        <w:t>Finance</w:t>
      </w:r>
      <w:r w:rsidRPr="007C5F93">
        <w:rPr>
          <w:rFonts w:ascii="Times New Roman" w:eastAsia="Times New Roman" w:hAnsi="Times New Roman" w:cs="Times New Roman"/>
          <w:bCs/>
          <w:lang w:eastAsia="en-AU"/>
        </w:rPr>
        <w:t xml:space="preserve"> </w:t>
      </w:r>
    </w:p>
    <w:p w14:paraId="4F9A6981" w14:textId="77777777" w:rsidR="00D9450D" w:rsidRPr="007C5F93" w:rsidRDefault="00D9450D" w:rsidP="00A35C2F">
      <w:pPr>
        <w:spacing w:after="120" w:line="360" w:lineRule="auto"/>
        <w:ind w:left="709" w:hanging="709"/>
        <w:jc w:val="center"/>
        <w:rPr>
          <w:rFonts w:ascii="Times New Roman" w:eastAsia="Times New Roman" w:hAnsi="Times New Roman" w:cs="Times New Roman"/>
          <w:bCs/>
          <w:lang w:eastAsia="en-AU"/>
        </w:rPr>
      </w:pPr>
      <w:proofErr w:type="gramStart"/>
      <w:r w:rsidRPr="007C5F93">
        <w:rPr>
          <w:rFonts w:ascii="Times New Roman" w:hAnsi="Times New Roman" w:cs="Times New Roman"/>
        </w:rPr>
        <w:t>under</w:t>
      </w:r>
      <w:proofErr w:type="gramEnd"/>
      <w:r w:rsidRPr="007C5F93">
        <w:rPr>
          <w:rFonts w:ascii="Times New Roman" w:hAnsi="Times New Roman" w:cs="Times New Roman"/>
        </w:rPr>
        <w:t xml:space="preserve"> subsection </w:t>
      </w:r>
      <w:r w:rsidR="00310CE0">
        <w:rPr>
          <w:rFonts w:ascii="Times New Roman" w:hAnsi="Times New Roman" w:cs="Times New Roman"/>
        </w:rPr>
        <w:t>90C(3)</w:t>
      </w:r>
      <w:r w:rsidRPr="007C5F93">
        <w:rPr>
          <w:rFonts w:ascii="Times New Roman" w:hAnsi="Times New Roman" w:cs="Times New Roman"/>
        </w:rPr>
        <w:t xml:space="preserve"> of the </w:t>
      </w:r>
      <w:r w:rsidRPr="007C5F93">
        <w:rPr>
          <w:rFonts w:ascii="Times New Roman" w:hAnsi="Times New Roman" w:cs="Times New Roman"/>
          <w:i/>
        </w:rPr>
        <w:t>Safety, Rehabilitation and Compensation Act 1988</w:t>
      </w:r>
    </w:p>
    <w:p w14:paraId="71CE4863" w14:textId="77777777" w:rsidR="00A35C2F" w:rsidRPr="007C5F93" w:rsidRDefault="00A35C2F" w:rsidP="00AC0F1D">
      <w:pPr>
        <w:spacing w:after="120" w:line="360" w:lineRule="auto"/>
        <w:rPr>
          <w:rFonts w:ascii="Times New Roman" w:eastAsia="Times New Roman" w:hAnsi="Times New Roman" w:cs="Times New Roman"/>
          <w:bCs/>
          <w:lang w:eastAsia="en-AU"/>
        </w:rPr>
      </w:pPr>
    </w:p>
    <w:p w14:paraId="11BBE598" w14:textId="77777777" w:rsidR="00D9450D" w:rsidRPr="007C5F93" w:rsidRDefault="00D9450D" w:rsidP="00D9450D">
      <w:pPr>
        <w:spacing w:after="120"/>
        <w:rPr>
          <w:rFonts w:ascii="Times New Roman" w:hAnsi="Times New Roman" w:cs="Times New Roman"/>
          <w:sz w:val="24"/>
          <w:szCs w:val="24"/>
        </w:rPr>
      </w:pPr>
      <w:r w:rsidRPr="007C5F93">
        <w:rPr>
          <w:rFonts w:ascii="Times New Roman" w:hAnsi="Times New Roman" w:cs="Times New Roman"/>
          <w:b/>
          <w:sz w:val="24"/>
          <w:szCs w:val="24"/>
        </w:rPr>
        <w:t>PURPOSE AND OPERATION OF THE INSTRUMENT</w:t>
      </w:r>
    </w:p>
    <w:p w14:paraId="7063B3C9" w14:textId="77777777" w:rsidR="00B01DB3" w:rsidRPr="00E21E8C" w:rsidRDefault="00B01DB3" w:rsidP="00DD7BA2">
      <w:pPr>
        <w:shd w:val="clear" w:color="auto" w:fill="FFFFFF"/>
        <w:spacing w:after="120"/>
        <w:rPr>
          <w:rFonts w:ascii="Times New Roman" w:eastAsia="Times New Roman" w:hAnsi="Times New Roman" w:cs="Times New Roman"/>
          <w:lang w:eastAsia="en-AU"/>
        </w:rPr>
      </w:pPr>
      <w:r w:rsidRPr="00E21E8C">
        <w:rPr>
          <w:rFonts w:ascii="Times New Roman" w:eastAsia="Times New Roman" w:hAnsi="Times New Roman" w:cs="Times New Roman"/>
          <w:lang w:eastAsia="en-AU"/>
        </w:rPr>
        <w:t xml:space="preserve">The </w:t>
      </w:r>
      <w:r w:rsidRPr="00E21E8C">
        <w:rPr>
          <w:rFonts w:ascii="Times New Roman" w:eastAsia="Times New Roman" w:hAnsi="Times New Roman" w:cs="Times New Roman"/>
          <w:i/>
          <w:iCs/>
          <w:lang w:eastAsia="en-AU"/>
        </w:rPr>
        <w:t xml:space="preserve">Safety, Rehabilitation and Compensation Act 1988 </w:t>
      </w:r>
      <w:r w:rsidRPr="00E21E8C">
        <w:rPr>
          <w:rFonts w:ascii="Times New Roman" w:eastAsia="Times New Roman" w:hAnsi="Times New Roman" w:cs="Times New Roman"/>
          <w:lang w:eastAsia="en-AU"/>
        </w:rPr>
        <w:t xml:space="preserve">(SRC Act) establishes the Commonwealth workers’ compensation and rehabilitation scheme for employees of the Commonwealth, Commonwealth authorities and licensed corporations. </w:t>
      </w:r>
    </w:p>
    <w:p w14:paraId="3BF50F5F" w14:textId="1FB881E2" w:rsidR="002D6843" w:rsidRPr="00E21E8C" w:rsidRDefault="002D6843" w:rsidP="00DD7BA2">
      <w:pPr>
        <w:shd w:val="clear" w:color="auto" w:fill="FFFFFF"/>
        <w:spacing w:after="120"/>
        <w:rPr>
          <w:rFonts w:ascii="Times New Roman" w:eastAsia="Times New Roman" w:hAnsi="Times New Roman" w:cs="Times New Roman"/>
          <w:lang w:eastAsia="en-AU"/>
        </w:rPr>
      </w:pPr>
      <w:r w:rsidRPr="00E21E8C">
        <w:rPr>
          <w:rFonts w:ascii="Times New Roman" w:eastAsia="Times New Roman" w:hAnsi="Times New Roman" w:cs="Times New Roman"/>
          <w:lang w:eastAsia="en-AU"/>
        </w:rPr>
        <w:t xml:space="preserve">Section 90C of the SRC Act </w:t>
      </w:r>
      <w:r w:rsidR="00A82299" w:rsidRPr="00E21E8C">
        <w:rPr>
          <w:rFonts w:ascii="Times New Roman" w:eastAsia="Times New Roman" w:hAnsi="Times New Roman" w:cs="Times New Roman"/>
          <w:lang w:eastAsia="en-AU"/>
        </w:rPr>
        <w:t xml:space="preserve">outlines </w:t>
      </w:r>
      <w:r w:rsidRPr="00E21E8C">
        <w:rPr>
          <w:rFonts w:ascii="Times New Roman" w:eastAsia="Times New Roman" w:hAnsi="Times New Roman" w:cs="Times New Roman"/>
          <w:lang w:eastAsia="en-AU"/>
        </w:rPr>
        <w:t xml:space="preserve">the </w:t>
      </w:r>
      <w:r w:rsidR="00A82299" w:rsidRPr="00E21E8C">
        <w:rPr>
          <w:rFonts w:ascii="Times New Roman" w:eastAsia="Times New Roman" w:hAnsi="Times New Roman" w:cs="Times New Roman"/>
          <w:lang w:eastAsia="en-AU"/>
        </w:rPr>
        <w:t xml:space="preserve">manner in which </w:t>
      </w:r>
      <w:proofErr w:type="spellStart"/>
      <w:r w:rsidR="00A82299" w:rsidRPr="00E21E8C">
        <w:rPr>
          <w:rFonts w:ascii="Times New Roman" w:eastAsia="Times New Roman" w:hAnsi="Times New Roman" w:cs="Times New Roman"/>
          <w:lang w:eastAsia="en-AU"/>
        </w:rPr>
        <w:t>Comcare</w:t>
      </w:r>
      <w:proofErr w:type="spellEnd"/>
      <w:r w:rsidR="00A82299" w:rsidRPr="00E21E8C">
        <w:rPr>
          <w:rFonts w:ascii="Times New Roman" w:eastAsia="Times New Roman" w:hAnsi="Times New Roman" w:cs="Times New Roman"/>
          <w:lang w:eastAsia="en-AU"/>
        </w:rPr>
        <w:t xml:space="preserve"> is to</w:t>
      </w:r>
      <w:r w:rsidRPr="00E21E8C">
        <w:rPr>
          <w:rFonts w:ascii="Times New Roman" w:eastAsia="Times New Roman" w:hAnsi="Times New Roman" w:cs="Times New Roman"/>
          <w:lang w:eastAsia="en-AU"/>
        </w:rPr>
        <w:t xml:space="preserve"> meet its liabilities and </w:t>
      </w:r>
      <w:r w:rsidR="00490941" w:rsidRPr="00E21E8C">
        <w:rPr>
          <w:rFonts w:ascii="Times New Roman" w:eastAsia="Times New Roman" w:hAnsi="Times New Roman" w:cs="Times New Roman"/>
          <w:lang w:eastAsia="en-AU"/>
        </w:rPr>
        <w:t>other</w:t>
      </w:r>
      <w:r w:rsidR="00490941">
        <w:rPr>
          <w:rFonts w:ascii="Times New Roman" w:eastAsia="Times New Roman" w:hAnsi="Times New Roman" w:cs="Times New Roman"/>
          <w:lang w:eastAsia="en-AU"/>
        </w:rPr>
        <w:t> </w:t>
      </w:r>
      <w:r w:rsidRPr="00E21E8C">
        <w:rPr>
          <w:rFonts w:ascii="Times New Roman" w:eastAsia="Times New Roman" w:hAnsi="Times New Roman" w:cs="Times New Roman"/>
          <w:lang w:eastAsia="en-AU"/>
        </w:rPr>
        <w:t>expenses under the Act</w:t>
      </w:r>
      <w:r w:rsidR="00A82299" w:rsidRPr="00E21E8C">
        <w:rPr>
          <w:rFonts w:ascii="Times New Roman" w:eastAsia="Times New Roman" w:hAnsi="Times New Roman" w:cs="Times New Roman"/>
          <w:lang w:eastAsia="en-AU"/>
        </w:rPr>
        <w:t>,</w:t>
      </w:r>
      <w:r w:rsidRPr="00E21E8C">
        <w:rPr>
          <w:rFonts w:ascii="Times New Roman" w:eastAsia="Times New Roman" w:hAnsi="Times New Roman" w:cs="Times New Roman"/>
          <w:lang w:eastAsia="en-AU"/>
        </w:rPr>
        <w:t xml:space="preserve"> </w:t>
      </w:r>
      <w:r w:rsidR="00A82299" w:rsidRPr="00E21E8C">
        <w:rPr>
          <w:rFonts w:ascii="Times New Roman" w:eastAsia="Times New Roman" w:hAnsi="Times New Roman" w:cs="Times New Roman"/>
          <w:lang w:eastAsia="en-AU"/>
        </w:rPr>
        <w:t>including</w:t>
      </w:r>
      <w:r w:rsidRPr="00E21E8C">
        <w:rPr>
          <w:rFonts w:ascii="Times New Roman" w:eastAsia="Times New Roman" w:hAnsi="Times New Roman" w:cs="Times New Roman"/>
          <w:lang w:eastAsia="en-AU"/>
        </w:rPr>
        <w:t xml:space="preserve"> the circumstances in which </w:t>
      </w:r>
      <w:proofErr w:type="spellStart"/>
      <w:r w:rsidRPr="00E21E8C">
        <w:rPr>
          <w:rFonts w:ascii="Times New Roman" w:eastAsia="Times New Roman" w:hAnsi="Times New Roman" w:cs="Times New Roman"/>
          <w:lang w:eastAsia="en-AU"/>
        </w:rPr>
        <w:t>Comcare</w:t>
      </w:r>
      <w:proofErr w:type="spellEnd"/>
      <w:r w:rsidRPr="00E21E8C">
        <w:rPr>
          <w:rFonts w:ascii="Times New Roman" w:eastAsia="Times New Roman" w:hAnsi="Times New Roman" w:cs="Times New Roman"/>
          <w:lang w:eastAsia="en-AU"/>
        </w:rPr>
        <w:t xml:space="preserve"> must </w:t>
      </w:r>
      <w:r w:rsidR="000C0F99" w:rsidRPr="00E21E8C">
        <w:rPr>
          <w:rFonts w:ascii="Times New Roman" w:eastAsia="Times New Roman" w:hAnsi="Times New Roman" w:cs="Times New Roman"/>
          <w:lang w:eastAsia="en-AU"/>
        </w:rPr>
        <w:t xml:space="preserve">make </w:t>
      </w:r>
      <w:r w:rsidRPr="00E21E8C">
        <w:rPr>
          <w:rFonts w:ascii="Times New Roman" w:eastAsia="Times New Roman" w:hAnsi="Times New Roman" w:cs="Times New Roman"/>
          <w:lang w:eastAsia="en-AU"/>
        </w:rPr>
        <w:t>payments from ‘</w:t>
      </w:r>
      <w:proofErr w:type="spellStart"/>
      <w:r w:rsidRPr="00E21E8C">
        <w:rPr>
          <w:rFonts w:ascii="Times New Roman" w:eastAsia="Times New Roman" w:hAnsi="Times New Roman" w:cs="Times New Roman"/>
          <w:lang w:eastAsia="en-AU"/>
        </w:rPr>
        <w:t>Comcare</w:t>
      </w:r>
      <w:proofErr w:type="spellEnd"/>
      <w:r w:rsidRPr="00E21E8C">
        <w:rPr>
          <w:rFonts w:ascii="Times New Roman" w:eastAsia="Times New Roman" w:hAnsi="Times New Roman" w:cs="Times New Roman"/>
          <w:lang w:eastAsia="en-AU"/>
        </w:rPr>
        <w:t xml:space="preserve">-retained funds’. </w:t>
      </w:r>
    </w:p>
    <w:p w14:paraId="435B71F9" w14:textId="045B80B7" w:rsidR="00A82299" w:rsidRPr="00E21E8C" w:rsidRDefault="00A82299" w:rsidP="00DD7BA2">
      <w:pPr>
        <w:shd w:val="clear" w:color="auto" w:fill="FFFFFF"/>
        <w:spacing w:after="120"/>
        <w:rPr>
          <w:rFonts w:ascii="Times New Roman" w:eastAsia="Times New Roman" w:hAnsi="Times New Roman" w:cs="Times New Roman"/>
          <w:lang w:eastAsia="en-AU"/>
        </w:rPr>
      </w:pPr>
      <w:r w:rsidRPr="00E21E8C">
        <w:rPr>
          <w:rFonts w:ascii="Times New Roman" w:eastAsia="Times New Roman" w:hAnsi="Times New Roman" w:cs="Times New Roman"/>
          <w:lang w:eastAsia="en-AU"/>
        </w:rPr>
        <w:t xml:space="preserve">Subsection 90C(2) of the SRC Act provides that, if there is insufficient money in </w:t>
      </w:r>
      <w:proofErr w:type="spellStart"/>
      <w:r w:rsidRPr="00E21E8C">
        <w:rPr>
          <w:rFonts w:ascii="Times New Roman" w:eastAsia="Times New Roman" w:hAnsi="Times New Roman" w:cs="Times New Roman"/>
          <w:lang w:eastAsia="en-AU"/>
        </w:rPr>
        <w:t>Comcare</w:t>
      </w:r>
      <w:proofErr w:type="spellEnd"/>
      <w:r w:rsidRPr="00E21E8C">
        <w:rPr>
          <w:rFonts w:ascii="Times New Roman" w:eastAsia="Times New Roman" w:hAnsi="Times New Roman" w:cs="Times New Roman"/>
          <w:lang w:eastAsia="en-AU"/>
        </w:rPr>
        <w:t>-retained funds to make a particular payment under s</w:t>
      </w:r>
      <w:r w:rsidR="00E21E8C">
        <w:rPr>
          <w:rFonts w:ascii="Times New Roman" w:eastAsia="Times New Roman" w:hAnsi="Times New Roman" w:cs="Times New Roman"/>
          <w:lang w:eastAsia="en-AU"/>
        </w:rPr>
        <w:t>ubs</w:t>
      </w:r>
      <w:r w:rsidRPr="00E21E8C">
        <w:rPr>
          <w:rFonts w:ascii="Times New Roman" w:eastAsia="Times New Roman" w:hAnsi="Times New Roman" w:cs="Times New Roman"/>
          <w:lang w:eastAsia="en-AU"/>
        </w:rPr>
        <w:t xml:space="preserve">ection 90C(1), the Commonwealth </w:t>
      </w:r>
      <w:r w:rsidR="00BF2F01">
        <w:rPr>
          <w:rFonts w:ascii="Times New Roman" w:eastAsia="Times New Roman" w:hAnsi="Times New Roman" w:cs="Times New Roman"/>
          <w:lang w:eastAsia="en-AU"/>
        </w:rPr>
        <w:t xml:space="preserve">is to make </w:t>
      </w:r>
      <w:r w:rsidR="00490941">
        <w:rPr>
          <w:rFonts w:ascii="Times New Roman" w:eastAsia="Times New Roman" w:hAnsi="Times New Roman" w:cs="Times New Roman"/>
          <w:lang w:eastAsia="en-AU"/>
        </w:rPr>
        <w:t>funds </w:t>
      </w:r>
      <w:r w:rsidR="00BF2F01">
        <w:rPr>
          <w:rFonts w:ascii="Times New Roman" w:eastAsia="Times New Roman" w:hAnsi="Times New Roman" w:cs="Times New Roman"/>
          <w:lang w:eastAsia="en-AU"/>
        </w:rPr>
        <w:t xml:space="preserve">available to </w:t>
      </w:r>
      <w:proofErr w:type="spellStart"/>
      <w:r w:rsidRPr="00E21E8C">
        <w:rPr>
          <w:rFonts w:ascii="Times New Roman" w:eastAsia="Times New Roman" w:hAnsi="Times New Roman" w:cs="Times New Roman"/>
          <w:lang w:eastAsia="en-AU"/>
        </w:rPr>
        <w:t>Comcare</w:t>
      </w:r>
      <w:proofErr w:type="spellEnd"/>
      <w:r w:rsidRPr="00E21E8C">
        <w:rPr>
          <w:rFonts w:ascii="Times New Roman" w:eastAsia="Times New Roman" w:hAnsi="Times New Roman" w:cs="Times New Roman"/>
          <w:lang w:eastAsia="en-AU"/>
        </w:rPr>
        <w:t xml:space="preserve"> as is necessary to enable </w:t>
      </w:r>
      <w:proofErr w:type="spellStart"/>
      <w:r w:rsidRPr="00E21E8C">
        <w:rPr>
          <w:rFonts w:ascii="Times New Roman" w:eastAsia="Times New Roman" w:hAnsi="Times New Roman" w:cs="Times New Roman"/>
          <w:lang w:eastAsia="en-AU"/>
        </w:rPr>
        <w:t>Comcare</w:t>
      </w:r>
      <w:proofErr w:type="spellEnd"/>
      <w:r w:rsidRPr="00E21E8C">
        <w:rPr>
          <w:rFonts w:ascii="Times New Roman" w:eastAsia="Times New Roman" w:hAnsi="Times New Roman" w:cs="Times New Roman"/>
          <w:lang w:eastAsia="en-AU"/>
        </w:rPr>
        <w:t xml:space="preserve"> to make that payment.</w:t>
      </w:r>
    </w:p>
    <w:p w14:paraId="26303BB8" w14:textId="77777777" w:rsidR="00E21E8C" w:rsidRPr="00E21E8C" w:rsidRDefault="007F6FF4" w:rsidP="00DD7BA2">
      <w:pPr>
        <w:shd w:val="clear" w:color="auto" w:fill="FFFFFF"/>
        <w:spacing w:after="120"/>
        <w:rPr>
          <w:rFonts w:ascii="Times New Roman" w:eastAsia="Times New Roman" w:hAnsi="Times New Roman" w:cs="Times New Roman"/>
          <w:lang w:eastAsia="en-AU"/>
        </w:rPr>
      </w:pPr>
      <w:r w:rsidRPr="00E21E8C">
        <w:rPr>
          <w:rFonts w:ascii="Times New Roman" w:eastAsia="Times New Roman" w:hAnsi="Times New Roman" w:cs="Times New Roman"/>
          <w:lang w:eastAsia="en-AU"/>
        </w:rPr>
        <w:t>S</w:t>
      </w:r>
      <w:r w:rsidR="00E21E8C">
        <w:rPr>
          <w:rFonts w:ascii="Times New Roman" w:eastAsia="Times New Roman" w:hAnsi="Times New Roman" w:cs="Times New Roman"/>
          <w:lang w:eastAsia="en-AU"/>
        </w:rPr>
        <w:t>ubs</w:t>
      </w:r>
      <w:r w:rsidRPr="00E21E8C">
        <w:rPr>
          <w:rFonts w:ascii="Times New Roman" w:eastAsia="Times New Roman" w:hAnsi="Times New Roman" w:cs="Times New Roman"/>
          <w:lang w:eastAsia="en-AU"/>
        </w:rPr>
        <w:t xml:space="preserve">ection </w:t>
      </w:r>
      <w:proofErr w:type="gramStart"/>
      <w:r w:rsidRPr="00E21E8C">
        <w:rPr>
          <w:rFonts w:ascii="Times New Roman" w:eastAsia="Times New Roman" w:hAnsi="Times New Roman" w:cs="Times New Roman"/>
          <w:lang w:eastAsia="en-AU"/>
        </w:rPr>
        <w:t>90C(</w:t>
      </w:r>
      <w:proofErr w:type="gramEnd"/>
      <w:r w:rsidRPr="00E21E8C">
        <w:rPr>
          <w:rFonts w:ascii="Times New Roman" w:eastAsia="Times New Roman" w:hAnsi="Times New Roman" w:cs="Times New Roman"/>
          <w:lang w:eastAsia="en-AU"/>
        </w:rPr>
        <w:t xml:space="preserve">3) </w:t>
      </w:r>
      <w:r w:rsidR="0031425B" w:rsidRPr="00E21E8C">
        <w:rPr>
          <w:rFonts w:ascii="Times New Roman" w:eastAsia="Times New Roman" w:hAnsi="Times New Roman" w:cs="Times New Roman"/>
          <w:lang w:eastAsia="en-AU"/>
        </w:rPr>
        <w:t xml:space="preserve">states that </w:t>
      </w:r>
      <w:r w:rsidR="00E21E8C" w:rsidRPr="00E21E8C">
        <w:rPr>
          <w:rFonts w:ascii="Times New Roman" w:eastAsia="Times New Roman" w:hAnsi="Times New Roman" w:cs="Times New Roman"/>
          <w:lang w:eastAsia="en-AU"/>
        </w:rPr>
        <w:t>such</w:t>
      </w:r>
      <w:r w:rsidR="0031425B" w:rsidRPr="00E21E8C">
        <w:rPr>
          <w:rFonts w:ascii="Times New Roman" w:eastAsia="Times New Roman" w:hAnsi="Times New Roman" w:cs="Times New Roman"/>
          <w:lang w:eastAsia="en-AU"/>
        </w:rPr>
        <w:t xml:space="preserve"> payment will not be made</w:t>
      </w:r>
      <w:r w:rsidR="00BD3D81">
        <w:rPr>
          <w:rFonts w:ascii="Times New Roman" w:eastAsia="Times New Roman" w:hAnsi="Times New Roman" w:cs="Times New Roman"/>
          <w:lang w:eastAsia="en-AU"/>
        </w:rPr>
        <w:t xml:space="preserve"> by the Commonwealth</w:t>
      </w:r>
      <w:r w:rsidR="0031425B" w:rsidRPr="00E21E8C">
        <w:rPr>
          <w:rFonts w:ascii="Times New Roman" w:eastAsia="Times New Roman" w:hAnsi="Times New Roman" w:cs="Times New Roman"/>
          <w:lang w:eastAsia="en-AU"/>
        </w:rPr>
        <w:t xml:space="preserve"> to </w:t>
      </w:r>
      <w:proofErr w:type="spellStart"/>
      <w:r w:rsidR="0031425B" w:rsidRPr="00E21E8C">
        <w:rPr>
          <w:rFonts w:ascii="Times New Roman" w:eastAsia="Times New Roman" w:hAnsi="Times New Roman" w:cs="Times New Roman"/>
          <w:lang w:eastAsia="en-AU"/>
        </w:rPr>
        <w:t>Comcare</w:t>
      </w:r>
      <w:proofErr w:type="spellEnd"/>
      <w:r w:rsidR="0031425B" w:rsidRPr="00E21E8C">
        <w:rPr>
          <w:rFonts w:ascii="Times New Roman" w:eastAsia="Times New Roman" w:hAnsi="Times New Roman" w:cs="Times New Roman"/>
          <w:lang w:eastAsia="en-AU"/>
        </w:rPr>
        <w:t xml:space="preserve"> under s</w:t>
      </w:r>
      <w:r w:rsidR="00E21E8C">
        <w:rPr>
          <w:rFonts w:ascii="Times New Roman" w:eastAsia="Times New Roman" w:hAnsi="Times New Roman" w:cs="Times New Roman"/>
          <w:lang w:eastAsia="en-AU"/>
        </w:rPr>
        <w:t>ubsection</w:t>
      </w:r>
      <w:r w:rsidR="0031425B" w:rsidRPr="00E21E8C">
        <w:rPr>
          <w:rFonts w:ascii="Times New Roman" w:eastAsia="Times New Roman" w:hAnsi="Times New Roman" w:cs="Times New Roman"/>
          <w:lang w:eastAsia="en-AU"/>
        </w:rPr>
        <w:t xml:space="preserve"> 90C(2) if it would exceed the amount worked out using the formula: </w:t>
      </w:r>
      <w:r w:rsidR="00E21E8C" w:rsidRPr="00E21E8C">
        <w:rPr>
          <w:rFonts w:ascii="Times New Roman" w:eastAsia="Times New Roman" w:hAnsi="Times New Roman" w:cs="Times New Roman"/>
          <w:lang w:eastAsia="en-AU"/>
        </w:rPr>
        <w:t>p</w:t>
      </w:r>
      <w:r w:rsidR="0031425B" w:rsidRPr="00E21E8C">
        <w:rPr>
          <w:rFonts w:ascii="Times New Roman" w:eastAsia="Times New Roman" w:hAnsi="Times New Roman" w:cs="Times New Roman"/>
          <w:lang w:eastAsia="en-AU"/>
        </w:rPr>
        <w:t xml:space="preserve">remiums received + </w:t>
      </w:r>
      <w:r w:rsidR="00E21E8C" w:rsidRPr="00E21E8C">
        <w:rPr>
          <w:rFonts w:ascii="Times New Roman" w:eastAsia="Times New Roman" w:hAnsi="Times New Roman" w:cs="Times New Roman"/>
          <w:lang w:eastAsia="en-AU"/>
        </w:rPr>
        <w:t>n</w:t>
      </w:r>
      <w:r w:rsidR="0031425B" w:rsidRPr="00E21E8C">
        <w:rPr>
          <w:rFonts w:ascii="Times New Roman" w:eastAsia="Times New Roman" w:hAnsi="Times New Roman" w:cs="Times New Roman"/>
          <w:lang w:eastAsia="en-AU"/>
        </w:rPr>
        <w:t xml:space="preserve">otional interest – previous payments. </w:t>
      </w:r>
    </w:p>
    <w:p w14:paraId="236FC8A7" w14:textId="653DBC9E" w:rsidR="00E21E8C" w:rsidRPr="00E21E8C" w:rsidRDefault="00E21E8C" w:rsidP="00DD7BA2">
      <w:pPr>
        <w:shd w:val="clear" w:color="auto" w:fill="FFFFFF"/>
        <w:spacing w:after="120"/>
        <w:rPr>
          <w:rFonts w:ascii="Times New Roman" w:hAnsi="Times New Roman" w:cs="Times New Roman"/>
        </w:rPr>
      </w:pPr>
      <w:r w:rsidRPr="00E21E8C">
        <w:rPr>
          <w:rFonts w:ascii="Times New Roman" w:eastAsia="Times New Roman" w:hAnsi="Times New Roman" w:cs="Times New Roman"/>
          <w:lang w:eastAsia="en-AU"/>
        </w:rPr>
        <w:t xml:space="preserve">For the purposes of this formula, </w:t>
      </w:r>
      <w:r w:rsidR="00B008E3">
        <w:rPr>
          <w:rFonts w:ascii="Times New Roman" w:eastAsia="Times New Roman" w:hAnsi="Times New Roman" w:cs="Times New Roman"/>
          <w:lang w:eastAsia="en-AU"/>
        </w:rPr>
        <w:t>‘</w:t>
      </w:r>
      <w:r w:rsidRPr="00E21E8C">
        <w:rPr>
          <w:rFonts w:ascii="Times New Roman" w:eastAsia="Times New Roman" w:hAnsi="Times New Roman" w:cs="Times New Roman"/>
          <w:lang w:eastAsia="en-AU"/>
        </w:rPr>
        <w:t>notional interest</w:t>
      </w:r>
      <w:r w:rsidR="00B008E3">
        <w:rPr>
          <w:rFonts w:ascii="Times New Roman" w:eastAsia="Times New Roman" w:hAnsi="Times New Roman" w:cs="Times New Roman"/>
          <w:lang w:eastAsia="en-AU"/>
        </w:rPr>
        <w:t>’</w:t>
      </w:r>
      <w:r w:rsidRPr="00E21E8C">
        <w:rPr>
          <w:rFonts w:ascii="Times New Roman" w:eastAsia="Times New Roman" w:hAnsi="Times New Roman" w:cs="Times New Roman"/>
          <w:lang w:eastAsia="en-AU"/>
        </w:rPr>
        <w:t xml:space="preserve"> is defined to mean </w:t>
      </w:r>
      <w:r w:rsidRPr="00E21E8C">
        <w:rPr>
          <w:rFonts w:ascii="Times New Roman" w:hAnsi="Times New Roman" w:cs="Times New Roman"/>
        </w:rPr>
        <w:t xml:space="preserve">the interest at such rates as </w:t>
      </w:r>
      <w:r w:rsidR="00DD7BA2" w:rsidRPr="00E21E8C">
        <w:rPr>
          <w:rFonts w:ascii="Times New Roman" w:hAnsi="Times New Roman" w:cs="Times New Roman"/>
        </w:rPr>
        <w:t>are</w:t>
      </w:r>
      <w:r w:rsidR="00DD7BA2">
        <w:rPr>
          <w:rFonts w:ascii="Times New Roman" w:hAnsi="Times New Roman" w:cs="Times New Roman"/>
        </w:rPr>
        <w:t> </w:t>
      </w:r>
      <w:r w:rsidRPr="00E21E8C">
        <w:rPr>
          <w:rFonts w:ascii="Times New Roman" w:hAnsi="Times New Roman" w:cs="Times New Roman"/>
        </w:rPr>
        <w:t xml:space="preserve">from time to time determined by the Finance Minister that would have accrued, on or after </w:t>
      </w:r>
      <w:r w:rsidR="00D23AB8">
        <w:rPr>
          <w:rFonts w:ascii="Times New Roman" w:hAnsi="Times New Roman" w:cs="Times New Roman"/>
        </w:rPr>
        <w:br/>
      </w:r>
      <w:r w:rsidRPr="00E21E8C">
        <w:rPr>
          <w:rFonts w:ascii="Times New Roman" w:hAnsi="Times New Roman" w:cs="Times New Roman"/>
        </w:rPr>
        <w:t xml:space="preserve">1 July 1989 and before the relevant payment is made, in respect of the premiums received if </w:t>
      </w:r>
      <w:r w:rsidR="00DD7BA2" w:rsidRPr="00E21E8C">
        <w:rPr>
          <w:rFonts w:ascii="Times New Roman" w:hAnsi="Times New Roman" w:cs="Times New Roman"/>
        </w:rPr>
        <w:t>such</w:t>
      </w:r>
      <w:r w:rsidR="00DD7BA2">
        <w:rPr>
          <w:rFonts w:ascii="Times New Roman" w:hAnsi="Times New Roman" w:cs="Times New Roman"/>
        </w:rPr>
        <w:t> </w:t>
      </w:r>
      <w:r w:rsidRPr="00E21E8C">
        <w:rPr>
          <w:rFonts w:ascii="Times New Roman" w:hAnsi="Times New Roman" w:cs="Times New Roman"/>
        </w:rPr>
        <w:t xml:space="preserve">interest had been payable to the previous Commission and to </w:t>
      </w:r>
      <w:proofErr w:type="spellStart"/>
      <w:r w:rsidRPr="00E21E8C">
        <w:rPr>
          <w:rFonts w:ascii="Times New Roman" w:hAnsi="Times New Roman" w:cs="Times New Roman"/>
        </w:rPr>
        <w:t>Comcare</w:t>
      </w:r>
      <w:proofErr w:type="spellEnd"/>
      <w:r w:rsidRPr="00E21E8C">
        <w:rPr>
          <w:rFonts w:ascii="Times New Roman" w:hAnsi="Times New Roman" w:cs="Times New Roman"/>
        </w:rPr>
        <w:t>.</w:t>
      </w:r>
    </w:p>
    <w:p w14:paraId="12717B19" w14:textId="3902B8D3" w:rsidR="00E21E8C" w:rsidRDefault="00E21E8C" w:rsidP="00DD7BA2">
      <w:pPr>
        <w:shd w:val="clear" w:color="auto" w:fill="FFFFFF"/>
        <w:spacing w:after="120"/>
        <w:rPr>
          <w:rFonts w:ascii="Times New Roman" w:eastAsia="Times New Roman" w:hAnsi="Times New Roman" w:cs="Times New Roman"/>
          <w:lang w:eastAsia="en-AU"/>
        </w:rPr>
      </w:pPr>
      <w:r w:rsidRPr="007C5F93">
        <w:rPr>
          <w:rFonts w:ascii="Times New Roman" w:eastAsia="Times New Roman" w:hAnsi="Times New Roman" w:cs="Times New Roman"/>
          <w:lang w:eastAsia="en-AU"/>
        </w:rPr>
        <w:t xml:space="preserve">Pursuant to </w:t>
      </w:r>
      <w:r>
        <w:rPr>
          <w:rFonts w:ascii="Times New Roman" w:eastAsia="Times New Roman" w:hAnsi="Times New Roman" w:cs="Times New Roman"/>
          <w:lang w:eastAsia="en-AU"/>
        </w:rPr>
        <w:t xml:space="preserve">subsection </w:t>
      </w:r>
      <w:proofErr w:type="gramStart"/>
      <w:r>
        <w:rPr>
          <w:rFonts w:ascii="Times New Roman" w:eastAsia="Times New Roman" w:hAnsi="Times New Roman" w:cs="Times New Roman"/>
          <w:lang w:eastAsia="en-AU"/>
        </w:rPr>
        <w:t>90C(</w:t>
      </w:r>
      <w:proofErr w:type="gramEnd"/>
      <w:r>
        <w:rPr>
          <w:rFonts w:ascii="Times New Roman" w:eastAsia="Times New Roman" w:hAnsi="Times New Roman" w:cs="Times New Roman"/>
          <w:lang w:eastAsia="en-AU"/>
        </w:rPr>
        <w:t xml:space="preserve">3), the </w:t>
      </w:r>
      <w:r w:rsidRPr="00E21E8C">
        <w:rPr>
          <w:rFonts w:ascii="Times New Roman" w:hAnsi="Times New Roman" w:cs="Times New Roman"/>
        </w:rPr>
        <w:t>Finance Minister</w:t>
      </w:r>
      <w:r>
        <w:rPr>
          <w:rFonts w:ascii="Times New Roman" w:hAnsi="Times New Roman" w:cs="Times New Roman"/>
        </w:rPr>
        <w:t xml:space="preserve"> determines</w:t>
      </w:r>
      <w:r w:rsidR="003F13D4">
        <w:rPr>
          <w:rFonts w:ascii="Times New Roman" w:hAnsi="Times New Roman" w:cs="Times New Roman"/>
        </w:rPr>
        <w:t xml:space="preserve"> in this instrument</w:t>
      </w:r>
      <w:r>
        <w:rPr>
          <w:rFonts w:ascii="Times New Roman" w:hAnsi="Times New Roman" w:cs="Times New Roman"/>
        </w:rPr>
        <w:t xml:space="preserve"> </w:t>
      </w:r>
      <w:r w:rsidR="00490941">
        <w:rPr>
          <w:rFonts w:ascii="Times New Roman" w:hAnsi="Times New Roman" w:cs="Times New Roman"/>
        </w:rPr>
        <w:t xml:space="preserve">the </w:t>
      </w:r>
      <w:r w:rsidRPr="007C5F93">
        <w:rPr>
          <w:rFonts w:ascii="Times New Roman" w:eastAsia="Times New Roman" w:hAnsi="Times New Roman" w:cs="Times New Roman"/>
          <w:lang w:eastAsia="en-AU"/>
        </w:rPr>
        <w:t>‘</w:t>
      </w:r>
      <w:r w:rsidR="00DD7BA2" w:rsidRPr="00E21E8C">
        <w:rPr>
          <w:rFonts w:ascii="Times New Roman" w:eastAsia="Times New Roman" w:hAnsi="Times New Roman" w:cs="Times New Roman"/>
          <w:lang w:eastAsia="en-AU"/>
        </w:rPr>
        <w:t>notional</w:t>
      </w:r>
      <w:r w:rsidR="00490941">
        <w:rPr>
          <w:rFonts w:ascii="Times New Roman" w:eastAsia="Times New Roman" w:hAnsi="Times New Roman" w:cs="Times New Roman"/>
          <w:lang w:eastAsia="en-AU"/>
        </w:rPr>
        <w:t xml:space="preserve"> </w:t>
      </w:r>
      <w:r w:rsidR="00F04A00" w:rsidRPr="00E21E8C">
        <w:rPr>
          <w:rFonts w:ascii="Times New Roman" w:eastAsia="Times New Roman" w:hAnsi="Times New Roman" w:cs="Times New Roman"/>
          <w:lang w:eastAsia="en-AU"/>
        </w:rPr>
        <w:t>interest</w:t>
      </w:r>
      <w:r w:rsidR="00F04A00">
        <w:rPr>
          <w:rFonts w:ascii="Times New Roman" w:eastAsia="Times New Roman" w:hAnsi="Times New Roman" w:cs="Times New Roman"/>
          <w:lang w:eastAsia="en-AU"/>
        </w:rPr>
        <w:t>’ to be applied in the following periods:</w:t>
      </w:r>
    </w:p>
    <w:p w14:paraId="268C2C0D" w14:textId="77777777" w:rsidR="008C43D9" w:rsidRDefault="008C43D9" w:rsidP="00DD7BA2">
      <w:pPr>
        <w:pStyle w:val="ListParagraph"/>
        <w:numPr>
          <w:ilvl w:val="0"/>
          <w:numId w:val="3"/>
        </w:numPr>
        <w:shd w:val="clear" w:color="auto" w:fill="FFFFFF"/>
        <w:spacing w:after="120"/>
        <w:rPr>
          <w:rFonts w:ascii="Times New Roman" w:eastAsia="Times New Roman" w:hAnsi="Times New Roman" w:cs="Times New Roman"/>
          <w:lang w:eastAsia="en-AU"/>
        </w:rPr>
      </w:pPr>
      <w:r>
        <w:rPr>
          <w:rFonts w:ascii="Times New Roman" w:eastAsia="Times New Roman" w:hAnsi="Times New Roman" w:cs="Times New Roman"/>
          <w:lang w:eastAsia="en-AU"/>
        </w:rPr>
        <w:t>1 July 1989 to 30 June 2000;</w:t>
      </w:r>
    </w:p>
    <w:p w14:paraId="6A82AA83" w14:textId="77777777" w:rsidR="00F04A00" w:rsidRDefault="00F04A00" w:rsidP="00DD7BA2">
      <w:pPr>
        <w:pStyle w:val="ListParagraph"/>
        <w:numPr>
          <w:ilvl w:val="0"/>
          <w:numId w:val="3"/>
        </w:numPr>
        <w:shd w:val="clear" w:color="auto" w:fill="FFFFFF"/>
        <w:spacing w:after="120"/>
        <w:rPr>
          <w:rFonts w:ascii="Times New Roman" w:eastAsia="Times New Roman" w:hAnsi="Times New Roman" w:cs="Times New Roman"/>
          <w:lang w:eastAsia="en-AU"/>
        </w:rPr>
      </w:pPr>
      <w:r>
        <w:rPr>
          <w:rFonts w:ascii="Times New Roman" w:eastAsia="Times New Roman" w:hAnsi="Times New Roman" w:cs="Times New Roman"/>
          <w:lang w:eastAsia="en-AU"/>
        </w:rPr>
        <w:t>1 July 2000 to 19 June 2002;</w:t>
      </w:r>
    </w:p>
    <w:p w14:paraId="31D461D8" w14:textId="77777777" w:rsidR="00F04A00" w:rsidRDefault="00F04A00" w:rsidP="00DD7BA2">
      <w:pPr>
        <w:pStyle w:val="ListParagraph"/>
        <w:numPr>
          <w:ilvl w:val="0"/>
          <w:numId w:val="3"/>
        </w:numPr>
        <w:shd w:val="clear" w:color="auto" w:fill="FFFFFF"/>
        <w:spacing w:after="120"/>
        <w:rPr>
          <w:rFonts w:ascii="Times New Roman" w:eastAsia="Times New Roman" w:hAnsi="Times New Roman" w:cs="Times New Roman"/>
          <w:lang w:eastAsia="en-AU"/>
        </w:rPr>
      </w:pPr>
      <w:r>
        <w:rPr>
          <w:rFonts w:ascii="Times New Roman" w:eastAsia="Times New Roman" w:hAnsi="Times New Roman" w:cs="Times New Roman"/>
          <w:lang w:eastAsia="en-AU"/>
        </w:rPr>
        <w:t>20 June 2002 to 31 October 2018; and</w:t>
      </w:r>
    </w:p>
    <w:p w14:paraId="3BBA77C8" w14:textId="77777777" w:rsidR="00F50EEF" w:rsidRPr="00943C7F" w:rsidRDefault="003F13D4" w:rsidP="00DD7BA2">
      <w:pPr>
        <w:pStyle w:val="ListParagraph"/>
        <w:numPr>
          <w:ilvl w:val="0"/>
          <w:numId w:val="3"/>
        </w:numPr>
        <w:shd w:val="clear" w:color="auto" w:fill="FFFFFF"/>
        <w:spacing w:after="120"/>
        <w:rPr>
          <w:lang w:eastAsia="en-AU"/>
        </w:rPr>
      </w:pPr>
      <w:proofErr w:type="gramStart"/>
      <w:r>
        <w:rPr>
          <w:rFonts w:ascii="Times New Roman" w:eastAsia="Times New Roman" w:hAnsi="Times New Roman" w:cs="Times New Roman"/>
          <w:lang w:eastAsia="en-AU"/>
        </w:rPr>
        <w:t>f</w:t>
      </w:r>
      <w:r w:rsidR="00F04A00">
        <w:rPr>
          <w:rFonts w:ascii="Times New Roman" w:eastAsia="Times New Roman" w:hAnsi="Times New Roman" w:cs="Times New Roman"/>
          <w:lang w:eastAsia="en-AU"/>
        </w:rPr>
        <w:t>rom</w:t>
      </w:r>
      <w:proofErr w:type="gramEnd"/>
      <w:r w:rsidR="00F04A00">
        <w:rPr>
          <w:rFonts w:ascii="Times New Roman" w:eastAsia="Times New Roman" w:hAnsi="Times New Roman" w:cs="Times New Roman"/>
          <w:lang w:eastAsia="en-AU"/>
        </w:rPr>
        <w:t xml:space="preserve"> 1 November 2018 onwards.</w:t>
      </w:r>
    </w:p>
    <w:p w14:paraId="7B92051A" w14:textId="38794361" w:rsidR="00DD7BA2" w:rsidRDefault="00AF0EBF" w:rsidP="00490941">
      <w:pPr>
        <w:spacing w:after="120"/>
        <w:rPr>
          <w:rFonts w:ascii="Times New Roman" w:hAnsi="Times New Roman" w:cs="Times New Roman"/>
        </w:rPr>
      </w:pPr>
      <w:r w:rsidRPr="005477B6">
        <w:rPr>
          <w:rFonts w:ascii="Times New Roman" w:hAnsi="Times New Roman" w:cs="Times New Roman"/>
        </w:rPr>
        <w:t>This instrument applies the same notional interest rate for the period</w:t>
      </w:r>
      <w:r w:rsidR="00404952">
        <w:rPr>
          <w:rFonts w:ascii="Times New Roman" w:hAnsi="Times New Roman" w:cs="Times New Roman"/>
        </w:rPr>
        <w:t xml:space="preserve"> </w:t>
      </w:r>
      <w:r w:rsidRPr="005477B6">
        <w:rPr>
          <w:rFonts w:ascii="Times New Roman" w:eastAsia="Times New Roman" w:hAnsi="Times New Roman" w:cs="Times New Roman"/>
          <w:lang w:eastAsia="en-AU"/>
        </w:rPr>
        <w:t xml:space="preserve">1 July 2000 to 19 June 2002, and the period 20 June 2002 to 31 October 2018 as specified in the preceding </w:t>
      </w:r>
      <w:r w:rsidRPr="005477B6">
        <w:rPr>
          <w:rFonts w:ascii="Times New Roman" w:hAnsi="Times New Roman" w:cs="Times New Roman"/>
          <w:i/>
        </w:rPr>
        <w:t>Safety, Rehabilitation and Compensation (Notional Interest) Determination 2003</w:t>
      </w:r>
      <w:r w:rsidR="00404952">
        <w:rPr>
          <w:rFonts w:ascii="Times New Roman" w:hAnsi="Times New Roman" w:cs="Times New Roman"/>
        </w:rPr>
        <w:t>.</w:t>
      </w:r>
      <w:r w:rsidR="00BC7A70">
        <w:rPr>
          <w:rFonts w:ascii="Times New Roman" w:hAnsi="Times New Roman" w:cs="Times New Roman"/>
        </w:rPr>
        <w:t xml:space="preserve"> Prior to 30 June 2000 the notional interest rate was determined to be zero per cent.</w:t>
      </w:r>
    </w:p>
    <w:p w14:paraId="2BDAA14B" w14:textId="1F1ABA14" w:rsidR="00404952" w:rsidRDefault="00DD7BA2" w:rsidP="00490941">
      <w:pPr>
        <w:spacing w:after="120"/>
        <w:rPr>
          <w:rFonts w:ascii="Times New Roman" w:hAnsi="Times New Roman" w:cs="Times New Roman"/>
        </w:rPr>
      </w:pPr>
      <w:r>
        <w:rPr>
          <w:rFonts w:ascii="Times New Roman" w:hAnsi="Times New Roman" w:cs="Times New Roman"/>
        </w:rPr>
        <w:br w:type="page"/>
      </w:r>
      <w:r w:rsidR="006663F0" w:rsidRPr="00FF1889">
        <w:rPr>
          <w:rFonts w:ascii="Times New Roman" w:hAnsi="Times New Roman" w:cs="Times New Roman"/>
        </w:rPr>
        <w:lastRenderedPageBreak/>
        <w:t>The change to the notional interest rate</w:t>
      </w:r>
      <w:r w:rsidR="00FF1889">
        <w:rPr>
          <w:rFonts w:ascii="Times New Roman" w:hAnsi="Times New Roman" w:cs="Times New Roman"/>
        </w:rPr>
        <w:t xml:space="preserve"> from 1 November 2018</w:t>
      </w:r>
      <w:r w:rsidR="006B1D3F">
        <w:rPr>
          <w:rFonts w:ascii="Times New Roman" w:hAnsi="Times New Roman" w:cs="Times New Roman"/>
        </w:rPr>
        <w:t xml:space="preserve"> to the Bloomberg </w:t>
      </w:r>
      <w:proofErr w:type="spellStart"/>
      <w:r w:rsidR="006B1D3F">
        <w:rPr>
          <w:rFonts w:ascii="Times New Roman" w:hAnsi="Times New Roman" w:cs="Times New Roman"/>
        </w:rPr>
        <w:t>AusBond</w:t>
      </w:r>
      <w:proofErr w:type="spellEnd"/>
      <w:r w:rsidR="006B1D3F">
        <w:rPr>
          <w:rFonts w:ascii="Times New Roman" w:hAnsi="Times New Roman" w:cs="Times New Roman"/>
        </w:rPr>
        <w:t xml:space="preserve"> Treasury 5+ Year Index will </w:t>
      </w:r>
      <w:r w:rsidR="006B1D3F" w:rsidRPr="006B1D3F">
        <w:rPr>
          <w:rFonts w:ascii="Times New Roman" w:hAnsi="Times New Roman" w:cs="Times New Roman"/>
        </w:rPr>
        <w:t xml:space="preserve">enable closer duration matching of </w:t>
      </w:r>
      <w:proofErr w:type="spellStart"/>
      <w:r w:rsidR="006B1D3F" w:rsidRPr="006B1D3F">
        <w:rPr>
          <w:rFonts w:ascii="Times New Roman" w:hAnsi="Times New Roman" w:cs="Times New Roman"/>
        </w:rPr>
        <w:t>Comcare</w:t>
      </w:r>
      <w:proofErr w:type="spellEnd"/>
      <w:r w:rsidR="006B1D3F" w:rsidRPr="006B1D3F">
        <w:rPr>
          <w:rFonts w:ascii="Times New Roman" w:hAnsi="Times New Roman" w:cs="Times New Roman"/>
        </w:rPr>
        <w:t xml:space="preserve"> premium scheme assets and liabilities, creating greater stability in </w:t>
      </w:r>
      <w:proofErr w:type="spellStart"/>
      <w:r w:rsidR="006B1D3F" w:rsidRPr="006B1D3F">
        <w:rPr>
          <w:rFonts w:ascii="Times New Roman" w:hAnsi="Times New Roman" w:cs="Times New Roman"/>
        </w:rPr>
        <w:t>Comcare’s</w:t>
      </w:r>
      <w:proofErr w:type="spellEnd"/>
      <w:r w:rsidR="006B1D3F" w:rsidRPr="006B1D3F">
        <w:rPr>
          <w:rFonts w:ascii="Times New Roman" w:hAnsi="Times New Roman" w:cs="Times New Roman"/>
        </w:rPr>
        <w:t xml:space="preserve"> funding ratio and reducing the risk of premiums being significantly impacted by interest rates.</w:t>
      </w:r>
      <w:r w:rsidR="00404952">
        <w:rPr>
          <w:rFonts w:ascii="Times New Roman" w:hAnsi="Times New Roman" w:cs="Times New Roman"/>
        </w:rPr>
        <w:t xml:space="preserve"> </w:t>
      </w:r>
    </w:p>
    <w:p w14:paraId="7D6A94FB" w14:textId="77777777" w:rsidR="00404952" w:rsidRDefault="00404952" w:rsidP="00490941">
      <w:pPr>
        <w:spacing w:after="120"/>
        <w:rPr>
          <w:rFonts w:ascii="Times New Roman" w:hAnsi="Times New Roman" w:cs="Times New Roman"/>
        </w:rPr>
      </w:pPr>
      <w:r>
        <w:rPr>
          <w:rFonts w:ascii="Times New Roman" w:hAnsi="Times New Roman" w:cs="Times New Roman"/>
        </w:rPr>
        <w:t xml:space="preserve">The instrument has retrospective application but operates on the same terms as previous determinations made under subsection </w:t>
      </w:r>
      <w:proofErr w:type="gramStart"/>
      <w:r>
        <w:rPr>
          <w:rFonts w:ascii="Times New Roman" w:hAnsi="Times New Roman" w:cs="Times New Roman"/>
        </w:rPr>
        <w:t>90C(</w:t>
      </w:r>
      <w:proofErr w:type="gramEnd"/>
      <w:r>
        <w:rPr>
          <w:rFonts w:ascii="Times New Roman" w:hAnsi="Times New Roman" w:cs="Times New Roman"/>
        </w:rPr>
        <w:t>3) of the SRC Act were understood to operate.</w:t>
      </w:r>
    </w:p>
    <w:p w14:paraId="7CE2601C" w14:textId="5F6162F0" w:rsidR="00AF0EBF" w:rsidRPr="00576C44" w:rsidRDefault="00AF0EBF" w:rsidP="00490941">
      <w:pPr>
        <w:spacing w:after="120"/>
        <w:rPr>
          <w:rFonts w:ascii="Times New Roman" w:hAnsi="Times New Roman" w:cs="Times New Roman"/>
        </w:rPr>
      </w:pPr>
      <w:r>
        <w:rPr>
          <w:rFonts w:ascii="Times New Roman" w:hAnsi="Times New Roman" w:cs="Times New Roman"/>
        </w:rPr>
        <w:t xml:space="preserve">Subsection 12(1A) of the </w:t>
      </w:r>
      <w:r>
        <w:rPr>
          <w:rFonts w:ascii="Times New Roman" w:hAnsi="Times New Roman" w:cs="Times New Roman"/>
          <w:i/>
        </w:rPr>
        <w:t xml:space="preserve">Legislation Act 2003 </w:t>
      </w:r>
      <w:r>
        <w:rPr>
          <w:rFonts w:ascii="Times New Roman" w:hAnsi="Times New Roman" w:cs="Times New Roman"/>
        </w:rPr>
        <w:t xml:space="preserve">provides that a legislative instrument may provide that the instrument commences before it is registered. However, subsection 12(2) of that Act provides that the retrospective commencement of an instrument is to have no effect if it would disadvantage </w:t>
      </w:r>
      <w:r w:rsidR="00DD7BA2">
        <w:rPr>
          <w:rFonts w:ascii="Times New Roman" w:hAnsi="Times New Roman" w:cs="Times New Roman"/>
        </w:rPr>
        <w:t>the </w:t>
      </w:r>
      <w:r>
        <w:rPr>
          <w:rFonts w:ascii="Times New Roman" w:hAnsi="Times New Roman" w:cs="Times New Roman"/>
        </w:rPr>
        <w:t>rights of a person or impose liabilities on a person in respect of anything done or omitted to be done prior to the registration of the instrument.</w:t>
      </w:r>
    </w:p>
    <w:p w14:paraId="138E06FD" w14:textId="5758E985" w:rsidR="00AF0EBF" w:rsidRDefault="003B05BB" w:rsidP="00490941">
      <w:pPr>
        <w:spacing w:after="120"/>
        <w:rPr>
          <w:rFonts w:ascii="Times New Roman" w:hAnsi="Times New Roman" w:cs="Times New Roman"/>
        </w:rPr>
      </w:pPr>
      <w:r>
        <w:rPr>
          <w:rFonts w:ascii="Times New Roman" w:hAnsi="Times New Roman" w:cs="Times New Roman"/>
        </w:rPr>
        <w:t xml:space="preserve">While the instrument commences on the day after it is registered on the Federal Register of Legislation, it has retrospective application with notional interest rates determined for periods dating back to 1 July 1989. This </w:t>
      </w:r>
      <w:r w:rsidR="0058274C">
        <w:rPr>
          <w:rFonts w:ascii="Times New Roman" w:hAnsi="Times New Roman" w:cs="Times New Roman"/>
        </w:rPr>
        <w:t xml:space="preserve">will not disadvantage any person other than the Commonwealth. </w:t>
      </w:r>
      <w:r w:rsidR="00490941">
        <w:rPr>
          <w:rFonts w:ascii="Times New Roman" w:hAnsi="Times New Roman" w:cs="Times New Roman"/>
        </w:rPr>
        <w:t>The effect </w:t>
      </w:r>
      <w:r w:rsidR="0058274C">
        <w:rPr>
          <w:rFonts w:ascii="Times New Roman" w:hAnsi="Times New Roman" w:cs="Times New Roman"/>
        </w:rPr>
        <w:t xml:space="preserve">of the instrument is to apply a notional interest rate to </w:t>
      </w:r>
      <w:r w:rsidR="00AF0EBF" w:rsidRPr="00576C44">
        <w:rPr>
          <w:rFonts w:ascii="Times New Roman" w:hAnsi="Times New Roman" w:cs="Times New Roman"/>
        </w:rPr>
        <w:t xml:space="preserve">funds </w:t>
      </w:r>
      <w:r w:rsidR="0058274C">
        <w:rPr>
          <w:rFonts w:ascii="Times New Roman" w:hAnsi="Times New Roman" w:cs="Times New Roman"/>
        </w:rPr>
        <w:t xml:space="preserve">to be made available to </w:t>
      </w:r>
      <w:proofErr w:type="spellStart"/>
      <w:r w:rsidR="0058274C">
        <w:rPr>
          <w:rFonts w:ascii="Times New Roman" w:hAnsi="Times New Roman" w:cs="Times New Roman"/>
        </w:rPr>
        <w:t>Comcare</w:t>
      </w:r>
      <w:proofErr w:type="spellEnd"/>
      <w:r w:rsidR="0058274C">
        <w:rPr>
          <w:rFonts w:ascii="Times New Roman" w:hAnsi="Times New Roman" w:cs="Times New Roman"/>
        </w:rPr>
        <w:t xml:space="preserve">, </w:t>
      </w:r>
      <w:r w:rsidR="00DD7BA2">
        <w:rPr>
          <w:rFonts w:ascii="Times New Roman" w:hAnsi="Times New Roman" w:cs="Times New Roman"/>
        </w:rPr>
        <w:t>a </w:t>
      </w:r>
      <w:r w:rsidR="0058274C">
        <w:rPr>
          <w:rFonts w:ascii="Times New Roman" w:hAnsi="Times New Roman" w:cs="Times New Roman"/>
        </w:rPr>
        <w:t xml:space="preserve">Commonwealth authority, to meet its liabilities and other expenses. </w:t>
      </w:r>
      <w:r>
        <w:rPr>
          <w:rFonts w:ascii="Times New Roman" w:hAnsi="Times New Roman" w:cs="Times New Roman"/>
        </w:rPr>
        <w:t>This impacts the</w:t>
      </w:r>
      <w:r w:rsidR="00490941">
        <w:rPr>
          <w:rFonts w:ascii="Times New Roman" w:hAnsi="Times New Roman" w:cs="Times New Roman"/>
        </w:rPr>
        <w:t> </w:t>
      </w:r>
      <w:r>
        <w:rPr>
          <w:rFonts w:ascii="Times New Roman" w:hAnsi="Times New Roman" w:cs="Times New Roman"/>
        </w:rPr>
        <w:t>Commonwealth only.</w:t>
      </w:r>
    </w:p>
    <w:p w14:paraId="4AAED247" w14:textId="525C47C7" w:rsidR="00AF0EBF" w:rsidRDefault="00AF0EBF" w:rsidP="00490941">
      <w:pPr>
        <w:spacing w:after="120"/>
        <w:rPr>
          <w:rFonts w:ascii="Times New Roman" w:hAnsi="Times New Roman" w:cs="Times New Roman"/>
        </w:rPr>
      </w:pPr>
      <w:r w:rsidRPr="00576C44">
        <w:rPr>
          <w:rFonts w:ascii="Times New Roman" w:hAnsi="Times New Roman" w:cs="Times New Roman"/>
        </w:rPr>
        <w:t>Under s</w:t>
      </w:r>
      <w:r>
        <w:rPr>
          <w:rFonts w:ascii="Times New Roman" w:hAnsi="Times New Roman" w:cs="Times New Roman"/>
        </w:rPr>
        <w:t xml:space="preserve">ection </w:t>
      </w:r>
      <w:r w:rsidRPr="00576C44">
        <w:rPr>
          <w:rFonts w:ascii="Times New Roman" w:hAnsi="Times New Roman" w:cs="Times New Roman"/>
        </w:rPr>
        <w:t xml:space="preserve">90C of the SRC Act, </w:t>
      </w:r>
      <w:proofErr w:type="spellStart"/>
      <w:r w:rsidRPr="00576C44">
        <w:rPr>
          <w:rFonts w:ascii="Times New Roman" w:hAnsi="Times New Roman" w:cs="Times New Roman"/>
        </w:rPr>
        <w:t>Comcare</w:t>
      </w:r>
      <w:proofErr w:type="spellEnd"/>
      <w:r w:rsidRPr="00576C44">
        <w:rPr>
          <w:rFonts w:ascii="Times New Roman" w:hAnsi="Times New Roman" w:cs="Times New Roman"/>
        </w:rPr>
        <w:t xml:space="preserve"> pays the future cost of claims from cash reserves. </w:t>
      </w:r>
      <w:r w:rsidR="00DD7BA2" w:rsidRPr="00576C44">
        <w:rPr>
          <w:rFonts w:ascii="Times New Roman" w:hAnsi="Times New Roman" w:cs="Times New Roman"/>
        </w:rPr>
        <w:t>A</w:t>
      </w:r>
      <w:r w:rsidR="00DD7BA2">
        <w:rPr>
          <w:rFonts w:ascii="Times New Roman" w:hAnsi="Times New Roman" w:cs="Times New Roman"/>
        </w:rPr>
        <w:t> </w:t>
      </w:r>
      <w:r w:rsidR="00DD7BA2" w:rsidRPr="00576C44">
        <w:rPr>
          <w:rFonts w:ascii="Times New Roman" w:hAnsi="Times New Roman" w:cs="Times New Roman"/>
        </w:rPr>
        <w:t>new</w:t>
      </w:r>
      <w:r w:rsidR="00DD7BA2">
        <w:rPr>
          <w:rFonts w:ascii="Times New Roman" w:hAnsi="Times New Roman" w:cs="Times New Roman"/>
        </w:rPr>
        <w:t> </w:t>
      </w:r>
      <w:r w:rsidRPr="00576C44">
        <w:rPr>
          <w:rFonts w:ascii="Times New Roman" w:hAnsi="Times New Roman" w:cs="Times New Roman"/>
        </w:rPr>
        <w:t xml:space="preserve">determination </w:t>
      </w:r>
      <w:r>
        <w:rPr>
          <w:rFonts w:ascii="Times New Roman" w:hAnsi="Times New Roman" w:cs="Times New Roman"/>
        </w:rPr>
        <w:t xml:space="preserve">of the notional interest rate applicable to these funds </w:t>
      </w:r>
      <w:r w:rsidRPr="00576C44">
        <w:rPr>
          <w:rFonts w:ascii="Times New Roman" w:hAnsi="Times New Roman" w:cs="Times New Roman"/>
        </w:rPr>
        <w:t xml:space="preserve">will only impact </w:t>
      </w:r>
      <w:r w:rsidR="00DD7BA2" w:rsidRPr="00576C44">
        <w:rPr>
          <w:rFonts w:ascii="Times New Roman" w:hAnsi="Times New Roman" w:cs="Times New Roman"/>
        </w:rPr>
        <w:t>the</w:t>
      </w:r>
      <w:r w:rsidR="00DD7BA2">
        <w:rPr>
          <w:rFonts w:ascii="Times New Roman" w:hAnsi="Times New Roman" w:cs="Times New Roman"/>
        </w:rPr>
        <w:t> </w:t>
      </w:r>
      <w:r w:rsidRPr="00576C44">
        <w:rPr>
          <w:rFonts w:ascii="Times New Roman" w:hAnsi="Times New Roman" w:cs="Times New Roman"/>
        </w:rPr>
        <w:t xml:space="preserve">notional value of </w:t>
      </w:r>
      <w:proofErr w:type="spellStart"/>
      <w:r w:rsidRPr="00576C44">
        <w:rPr>
          <w:rFonts w:ascii="Times New Roman" w:hAnsi="Times New Roman" w:cs="Times New Roman"/>
        </w:rPr>
        <w:t>Comcare</w:t>
      </w:r>
      <w:proofErr w:type="spellEnd"/>
      <w:r w:rsidRPr="00576C44">
        <w:rPr>
          <w:rFonts w:ascii="Times New Roman" w:hAnsi="Times New Roman" w:cs="Times New Roman"/>
        </w:rPr>
        <w:t xml:space="preserve"> funds </w:t>
      </w:r>
      <w:r>
        <w:rPr>
          <w:rFonts w:ascii="Times New Roman" w:hAnsi="Times New Roman" w:cs="Times New Roman"/>
        </w:rPr>
        <w:t xml:space="preserve">held in the Consolidated Revenue Fund (CRF), </w:t>
      </w:r>
      <w:r w:rsidRPr="00576C44">
        <w:rPr>
          <w:rFonts w:ascii="Times New Roman" w:hAnsi="Times New Roman" w:cs="Times New Roman"/>
        </w:rPr>
        <w:t>but</w:t>
      </w:r>
      <w:r w:rsidR="0058274C">
        <w:rPr>
          <w:rFonts w:ascii="Times New Roman" w:hAnsi="Times New Roman" w:cs="Times New Roman"/>
        </w:rPr>
        <w:t xml:space="preserve"> </w:t>
      </w:r>
      <w:r w:rsidRPr="00576C44">
        <w:rPr>
          <w:rFonts w:ascii="Times New Roman" w:hAnsi="Times New Roman" w:cs="Times New Roman"/>
        </w:rPr>
        <w:t xml:space="preserve">will have </w:t>
      </w:r>
      <w:r w:rsidR="00DD7BA2">
        <w:rPr>
          <w:rFonts w:ascii="Times New Roman" w:hAnsi="Times New Roman" w:cs="Times New Roman"/>
        </w:rPr>
        <w:t>no </w:t>
      </w:r>
      <w:r w:rsidRPr="00576C44">
        <w:rPr>
          <w:rFonts w:ascii="Times New Roman" w:hAnsi="Times New Roman" w:cs="Times New Roman"/>
        </w:rPr>
        <w:t>impact on underlying cash</w:t>
      </w:r>
      <w:r>
        <w:rPr>
          <w:rFonts w:ascii="Times New Roman" w:hAnsi="Times New Roman" w:cs="Times New Roman"/>
        </w:rPr>
        <w:t xml:space="preserve"> balances</w:t>
      </w:r>
      <w:r w:rsidRPr="00576C44">
        <w:rPr>
          <w:rFonts w:ascii="Times New Roman" w:hAnsi="Times New Roman" w:cs="Times New Roman"/>
        </w:rPr>
        <w:t xml:space="preserve">. </w:t>
      </w:r>
    </w:p>
    <w:p w14:paraId="3A286D4E" w14:textId="77777777" w:rsidR="00890D4E" w:rsidRDefault="00890D4E" w:rsidP="00490941">
      <w:pPr>
        <w:spacing w:after="120"/>
        <w:rPr>
          <w:rFonts w:ascii="Times New Roman" w:hAnsi="Times New Roman" w:cs="Times New Roman"/>
        </w:rPr>
      </w:pPr>
      <w:r w:rsidRPr="00890D4E">
        <w:rPr>
          <w:rFonts w:ascii="Times New Roman" w:hAnsi="Times New Roman" w:cs="Times New Roman"/>
        </w:rPr>
        <w:t>Specifying the notional interest rates for prior periods confirms the applicable rates over previous periods.</w:t>
      </w:r>
    </w:p>
    <w:p w14:paraId="5465628B" w14:textId="5234442E" w:rsidR="0074684B" w:rsidRPr="005477B6" w:rsidRDefault="0074684B" w:rsidP="00490941">
      <w:pPr>
        <w:spacing w:after="120"/>
        <w:rPr>
          <w:rFonts w:ascii="Times New Roman" w:eastAsia="Times New Roman" w:hAnsi="Times New Roman" w:cs="Times New Roman"/>
          <w:lang w:eastAsia="en-AU"/>
        </w:rPr>
      </w:pPr>
      <w:r w:rsidRPr="00FF1889">
        <w:rPr>
          <w:rFonts w:ascii="Times New Roman" w:hAnsi="Times New Roman" w:cs="Times New Roman"/>
        </w:rPr>
        <w:t xml:space="preserve">The instrument is a disallowable legislative instrument for the purposes of section 42 of </w:t>
      </w:r>
      <w:r w:rsidR="00DD7BA2" w:rsidRPr="00FF1889">
        <w:rPr>
          <w:rFonts w:ascii="Times New Roman" w:hAnsi="Times New Roman" w:cs="Times New Roman"/>
        </w:rPr>
        <w:t>the</w:t>
      </w:r>
      <w:r w:rsidR="00DD7BA2">
        <w:rPr>
          <w:rFonts w:ascii="Times New Roman" w:hAnsi="Times New Roman" w:cs="Times New Roman"/>
        </w:rPr>
        <w:t> </w:t>
      </w:r>
      <w:r w:rsidRPr="00FF1889">
        <w:rPr>
          <w:rFonts w:ascii="Times New Roman" w:hAnsi="Times New Roman" w:cs="Times New Roman"/>
          <w:i/>
        </w:rPr>
        <w:t>Legislation Act 2003</w:t>
      </w:r>
      <w:r w:rsidRPr="00FF1889">
        <w:rPr>
          <w:rFonts w:ascii="Times New Roman" w:hAnsi="Times New Roman" w:cs="Times New Roman"/>
        </w:rPr>
        <w:t>.</w:t>
      </w:r>
    </w:p>
    <w:p w14:paraId="50825F30" w14:textId="77777777" w:rsidR="00D9450D" w:rsidRDefault="00D9450D" w:rsidP="00DD7BA2">
      <w:pPr>
        <w:spacing w:after="120"/>
        <w:rPr>
          <w:rFonts w:ascii="Times New Roman" w:eastAsia="Times New Roman" w:hAnsi="Times New Roman" w:cs="Times New Roman"/>
          <w:b/>
          <w:sz w:val="24"/>
          <w:lang w:eastAsia="en-AU"/>
        </w:rPr>
      </w:pPr>
      <w:r w:rsidRPr="007C5F93">
        <w:rPr>
          <w:rFonts w:ascii="Times New Roman" w:eastAsia="Times New Roman" w:hAnsi="Times New Roman" w:cs="Times New Roman"/>
          <w:b/>
          <w:sz w:val="24"/>
          <w:lang w:eastAsia="en-AU"/>
        </w:rPr>
        <w:t>CONSULTATI</w:t>
      </w:r>
      <w:bookmarkStart w:id="0" w:name="_GoBack"/>
      <w:bookmarkEnd w:id="0"/>
      <w:r w:rsidRPr="007C5F93">
        <w:rPr>
          <w:rFonts w:ascii="Times New Roman" w:eastAsia="Times New Roman" w:hAnsi="Times New Roman" w:cs="Times New Roman"/>
          <w:b/>
          <w:sz w:val="24"/>
          <w:lang w:eastAsia="en-AU"/>
        </w:rPr>
        <w:t>ON</w:t>
      </w:r>
    </w:p>
    <w:p w14:paraId="348A9578" w14:textId="4AD61B40" w:rsidR="003F13D4" w:rsidRPr="00490941" w:rsidRDefault="003F13D4" w:rsidP="00490941">
      <w:pPr>
        <w:spacing w:after="120"/>
        <w:rPr>
          <w:rFonts w:ascii="Times New Roman" w:hAnsi="Times New Roman" w:cs="Times New Roman"/>
        </w:rPr>
      </w:pPr>
      <w:proofErr w:type="spellStart"/>
      <w:r w:rsidRPr="007C5F93">
        <w:rPr>
          <w:rFonts w:ascii="Times New Roman" w:hAnsi="Times New Roman" w:cs="Times New Roman"/>
        </w:rPr>
        <w:t>Comcare</w:t>
      </w:r>
      <w:proofErr w:type="spellEnd"/>
      <w:r w:rsidRPr="007C5F93">
        <w:rPr>
          <w:rFonts w:ascii="Times New Roman" w:hAnsi="Times New Roman" w:cs="Times New Roman"/>
        </w:rPr>
        <w:t xml:space="preserve"> </w:t>
      </w:r>
      <w:r>
        <w:rPr>
          <w:rFonts w:ascii="Times New Roman" w:hAnsi="Times New Roman" w:cs="Times New Roman"/>
        </w:rPr>
        <w:t>and the Attorney-General’s Department</w:t>
      </w:r>
      <w:r w:rsidR="00B2307F">
        <w:rPr>
          <w:rFonts w:ascii="Times New Roman" w:hAnsi="Times New Roman" w:cs="Times New Roman"/>
        </w:rPr>
        <w:t xml:space="preserve"> were consulted</w:t>
      </w:r>
      <w:r>
        <w:rPr>
          <w:rFonts w:ascii="Times New Roman" w:hAnsi="Times New Roman" w:cs="Times New Roman"/>
        </w:rPr>
        <w:t xml:space="preserve"> </w:t>
      </w:r>
      <w:r w:rsidRPr="007C5F93">
        <w:rPr>
          <w:rFonts w:ascii="Times New Roman" w:hAnsi="Times New Roman" w:cs="Times New Roman"/>
        </w:rPr>
        <w:t xml:space="preserve">in relation to </w:t>
      </w:r>
      <w:r w:rsidR="00DD7BA2" w:rsidRPr="007C5F93">
        <w:rPr>
          <w:rFonts w:ascii="Times New Roman" w:hAnsi="Times New Roman" w:cs="Times New Roman"/>
        </w:rPr>
        <w:t>this</w:t>
      </w:r>
      <w:r w:rsidR="00DD7BA2">
        <w:rPr>
          <w:rFonts w:ascii="Times New Roman" w:hAnsi="Times New Roman" w:cs="Times New Roman"/>
        </w:rPr>
        <w:t> </w:t>
      </w:r>
      <w:r w:rsidRPr="007C5F93">
        <w:rPr>
          <w:rFonts w:ascii="Times New Roman" w:hAnsi="Times New Roman" w:cs="Times New Roman"/>
        </w:rPr>
        <w:t xml:space="preserve">instrument. </w:t>
      </w:r>
      <w:r w:rsidR="002E77DE">
        <w:rPr>
          <w:rFonts w:ascii="Times New Roman" w:hAnsi="Times New Roman" w:cs="Times New Roman"/>
        </w:rPr>
        <w:t xml:space="preserve">Consultation beyond Commonwealth entities was not necessary, as the instrument only impacts the Commonwealth in respect of notional amounts held in the CRF. The instrument does not impact how </w:t>
      </w:r>
      <w:proofErr w:type="spellStart"/>
      <w:r w:rsidR="002E77DE">
        <w:rPr>
          <w:rFonts w:ascii="Times New Roman" w:hAnsi="Times New Roman" w:cs="Times New Roman"/>
        </w:rPr>
        <w:t>Comcare</w:t>
      </w:r>
      <w:proofErr w:type="spellEnd"/>
      <w:r w:rsidR="002E77DE">
        <w:rPr>
          <w:rFonts w:ascii="Times New Roman" w:hAnsi="Times New Roman" w:cs="Times New Roman"/>
        </w:rPr>
        <w:t xml:space="preserve"> performs its functions or </w:t>
      </w:r>
      <w:r w:rsidR="008C43D9" w:rsidRPr="00BC7A70">
        <w:rPr>
          <w:rFonts w:ascii="Times New Roman" w:hAnsi="Times New Roman" w:cs="Times New Roman"/>
        </w:rPr>
        <w:t>works</w:t>
      </w:r>
      <w:r w:rsidR="008C43D9">
        <w:rPr>
          <w:rFonts w:ascii="Times New Roman" w:hAnsi="Times New Roman" w:cs="Times New Roman"/>
        </w:rPr>
        <w:t xml:space="preserve"> </w:t>
      </w:r>
      <w:r w:rsidR="002E77DE">
        <w:rPr>
          <w:rFonts w:ascii="Times New Roman" w:hAnsi="Times New Roman" w:cs="Times New Roman"/>
        </w:rPr>
        <w:t>with claimants.</w:t>
      </w:r>
    </w:p>
    <w:p w14:paraId="4394FF0D" w14:textId="77777777" w:rsidR="00DA1E38" w:rsidRDefault="00DA1E38" w:rsidP="00DD7BA2">
      <w:pPr>
        <w:spacing w:after="120"/>
        <w:rPr>
          <w:rFonts w:ascii="Times New Roman" w:eastAsia="Times New Roman" w:hAnsi="Times New Roman" w:cs="Times New Roman"/>
          <w:b/>
          <w:sz w:val="24"/>
          <w:lang w:eastAsia="en-AU"/>
        </w:rPr>
      </w:pPr>
      <w:r w:rsidRPr="00DA1E38">
        <w:rPr>
          <w:rFonts w:ascii="Times New Roman" w:eastAsia="Times New Roman" w:hAnsi="Times New Roman" w:cs="Times New Roman"/>
          <w:b/>
          <w:sz w:val="24"/>
          <w:lang w:eastAsia="en-AU"/>
        </w:rPr>
        <w:t xml:space="preserve">REGULATION OF IMPACT STATEMENT </w:t>
      </w:r>
    </w:p>
    <w:p w14:paraId="46096320" w14:textId="77777777" w:rsidR="00B437CB" w:rsidRPr="00F5374E" w:rsidRDefault="00B437CB" w:rsidP="00490941">
      <w:pPr>
        <w:shd w:val="clear" w:color="auto" w:fill="FFFFFF"/>
        <w:spacing w:before="120" w:after="120"/>
        <w:rPr>
          <w:rFonts w:ascii="Times New Roman" w:hAnsi="Times New Roman"/>
        </w:rPr>
      </w:pPr>
      <w:r w:rsidRPr="00F5374E">
        <w:rPr>
          <w:rFonts w:ascii="Times New Roman" w:hAnsi="Times New Roman"/>
        </w:rPr>
        <w:t xml:space="preserve">Regulation Impact Statement is not required </w:t>
      </w:r>
      <w:r w:rsidR="00801386">
        <w:rPr>
          <w:rFonts w:ascii="Times New Roman" w:hAnsi="Times New Roman"/>
        </w:rPr>
        <w:t>(</w:t>
      </w:r>
      <w:r w:rsidR="00801386" w:rsidRPr="00801386">
        <w:rPr>
          <w:rFonts w:ascii="Times New Roman" w:hAnsi="Times New Roman"/>
        </w:rPr>
        <w:t>OBPR21-01241</w:t>
      </w:r>
      <w:r w:rsidRPr="00F5374E">
        <w:rPr>
          <w:rFonts w:ascii="Times New Roman" w:hAnsi="Times New Roman"/>
        </w:rPr>
        <w:t>).</w:t>
      </w:r>
    </w:p>
    <w:p w14:paraId="712C8E73" w14:textId="77777777" w:rsidR="00B437CB" w:rsidRDefault="00B437CB" w:rsidP="00490941">
      <w:pPr>
        <w:shd w:val="clear" w:color="auto" w:fill="FFFFFF"/>
        <w:spacing w:before="120" w:after="120"/>
        <w:rPr>
          <w:rFonts w:ascii="Times New Roman" w:hAnsi="Times New Roman"/>
        </w:rPr>
      </w:pPr>
      <w:r w:rsidRPr="00DC1C79">
        <w:rPr>
          <w:rFonts w:ascii="Times New Roman" w:hAnsi="Times New Roman"/>
        </w:rPr>
        <w:t xml:space="preserve">This instrument is a legislative instrument for the purposes of the </w:t>
      </w:r>
      <w:r w:rsidRPr="00CB2CB2">
        <w:rPr>
          <w:rFonts w:ascii="Times New Roman" w:hAnsi="Times New Roman"/>
          <w:i/>
        </w:rPr>
        <w:t>Legislation Act 2003</w:t>
      </w:r>
      <w:r w:rsidRPr="00DC1C79">
        <w:rPr>
          <w:rFonts w:ascii="Times New Roman" w:hAnsi="Times New Roman"/>
        </w:rPr>
        <w:t>.</w:t>
      </w:r>
    </w:p>
    <w:p w14:paraId="5561CB16" w14:textId="77777777" w:rsidR="00DA1E38" w:rsidRDefault="00DA1E38" w:rsidP="00DD7BA2">
      <w:pPr>
        <w:spacing w:after="120"/>
        <w:rPr>
          <w:rFonts w:ascii="Times New Roman" w:eastAsia="Times New Roman" w:hAnsi="Times New Roman" w:cs="Times New Roman"/>
          <w:b/>
          <w:sz w:val="24"/>
          <w:lang w:eastAsia="en-AU"/>
        </w:rPr>
      </w:pPr>
    </w:p>
    <w:p w14:paraId="23B8E7D5" w14:textId="77777777" w:rsidR="00BF2F01" w:rsidRPr="007C5F93" w:rsidRDefault="00BF2F01" w:rsidP="00490941">
      <w:pPr>
        <w:spacing w:after="120"/>
        <w:rPr>
          <w:rFonts w:ascii="Times New Roman" w:hAnsi="Times New Roman" w:cs="Times New Roman"/>
          <w:b/>
          <w:sz w:val="24"/>
        </w:rPr>
      </w:pPr>
      <w:r>
        <w:rPr>
          <w:rFonts w:ascii="Times New Roman" w:eastAsia="Times New Roman" w:hAnsi="Times New Roman" w:cs="Times New Roman"/>
          <w:b/>
          <w:sz w:val="24"/>
          <w:lang w:eastAsia="en-AU"/>
        </w:rPr>
        <w:br w:type="page"/>
      </w:r>
      <w:r w:rsidRPr="007C5F93">
        <w:rPr>
          <w:rFonts w:ascii="Times New Roman" w:hAnsi="Times New Roman" w:cs="Times New Roman"/>
          <w:b/>
          <w:sz w:val="24"/>
        </w:rPr>
        <w:lastRenderedPageBreak/>
        <w:t>NOTES ON SECTIONS</w:t>
      </w:r>
    </w:p>
    <w:p w14:paraId="07A28BE2" w14:textId="77777777" w:rsidR="00BF2F01" w:rsidRPr="007C5F93" w:rsidRDefault="00BF2F01" w:rsidP="00490941">
      <w:pPr>
        <w:spacing w:after="120"/>
        <w:rPr>
          <w:rFonts w:ascii="Times New Roman" w:eastAsia="Calibri" w:hAnsi="Times New Roman" w:cs="Times New Roman"/>
          <w:b/>
        </w:rPr>
      </w:pPr>
      <w:r w:rsidRPr="007C5F93">
        <w:rPr>
          <w:rFonts w:ascii="Times New Roman" w:eastAsia="Calibri" w:hAnsi="Times New Roman" w:cs="Times New Roman"/>
          <w:b/>
        </w:rPr>
        <w:t>Section 1 – Name</w:t>
      </w:r>
    </w:p>
    <w:p w14:paraId="01DD04BE" w14:textId="77777777" w:rsidR="00BF2F01" w:rsidRPr="007C5F93" w:rsidRDefault="00BF2F01" w:rsidP="00490941">
      <w:pPr>
        <w:spacing w:after="120"/>
        <w:rPr>
          <w:rFonts w:ascii="Times New Roman" w:hAnsi="Times New Roman" w:cs="Times New Roman"/>
        </w:rPr>
      </w:pPr>
      <w:r w:rsidRPr="007C5F93">
        <w:rPr>
          <w:rFonts w:ascii="Times New Roman" w:eastAsia="Calibri" w:hAnsi="Times New Roman" w:cs="Times New Roman"/>
        </w:rPr>
        <w:t xml:space="preserve">Section 1 provides that the title of the instrument is the </w:t>
      </w:r>
      <w:r w:rsidRPr="007C5F93">
        <w:rPr>
          <w:rFonts w:ascii="Times New Roman" w:hAnsi="Times New Roman" w:cs="Times New Roman"/>
          <w:i/>
        </w:rPr>
        <w:t>Safety, Rehabilitation and Compensation (</w:t>
      </w:r>
      <w:r>
        <w:rPr>
          <w:rFonts w:ascii="Times New Roman" w:hAnsi="Times New Roman" w:cs="Times New Roman"/>
          <w:i/>
        </w:rPr>
        <w:t xml:space="preserve">Notional Interest) </w:t>
      </w:r>
      <w:r w:rsidR="005A1E1E">
        <w:rPr>
          <w:rFonts w:ascii="Times New Roman" w:hAnsi="Times New Roman" w:cs="Times New Roman"/>
          <w:i/>
        </w:rPr>
        <w:t xml:space="preserve">Determination </w:t>
      </w:r>
      <w:r>
        <w:rPr>
          <w:rFonts w:ascii="Times New Roman" w:hAnsi="Times New Roman" w:cs="Times New Roman"/>
          <w:i/>
        </w:rPr>
        <w:t>2022</w:t>
      </w:r>
      <w:r w:rsidRPr="007C5F93">
        <w:rPr>
          <w:rFonts w:ascii="Times New Roman" w:hAnsi="Times New Roman" w:cs="Times New Roman"/>
        </w:rPr>
        <w:t>.</w:t>
      </w:r>
    </w:p>
    <w:p w14:paraId="170BA3E0" w14:textId="77777777" w:rsidR="00BF2F01" w:rsidRPr="007C5F93" w:rsidRDefault="00BF2F01" w:rsidP="00490941">
      <w:pPr>
        <w:spacing w:after="120"/>
        <w:rPr>
          <w:rFonts w:ascii="Times New Roman" w:hAnsi="Times New Roman" w:cs="Times New Roman"/>
          <w:b/>
        </w:rPr>
      </w:pPr>
      <w:r w:rsidRPr="007C5F93">
        <w:rPr>
          <w:rFonts w:ascii="Times New Roman" w:hAnsi="Times New Roman" w:cs="Times New Roman"/>
          <w:b/>
        </w:rPr>
        <w:t xml:space="preserve">Section 2 – Commencement </w:t>
      </w:r>
    </w:p>
    <w:p w14:paraId="349A7A5B" w14:textId="77777777" w:rsidR="00576C44" w:rsidRDefault="00BF2F01" w:rsidP="00490941">
      <w:pPr>
        <w:spacing w:after="120"/>
        <w:rPr>
          <w:rFonts w:ascii="Times New Roman" w:hAnsi="Times New Roman" w:cs="Times New Roman"/>
        </w:rPr>
      </w:pPr>
      <w:r w:rsidRPr="007C5F93">
        <w:rPr>
          <w:rFonts w:ascii="Times New Roman" w:hAnsi="Times New Roman" w:cs="Times New Roman"/>
        </w:rPr>
        <w:t>Section 2 provides that the</w:t>
      </w:r>
      <w:r w:rsidR="00576C44">
        <w:rPr>
          <w:rFonts w:ascii="Times New Roman" w:hAnsi="Times New Roman" w:cs="Times New Roman"/>
        </w:rPr>
        <w:t xml:space="preserve"> entirety of the</w:t>
      </w:r>
      <w:r w:rsidRPr="007C5F93">
        <w:rPr>
          <w:rFonts w:ascii="Times New Roman" w:hAnsi="Times New Roman" w:cs="Times New Roman"/>
        </w:rPr>
        <w:t xml:space="preserve"> ins</w:t>
      </w:r>
      <w:r>
        <w:rPr>
          <w:rFonts w:ascii="Times New Roman" w:hAnsi="Times New Roman" w:cs="Times New Roman"/>
        </w:rPr>
        <w:t xml:space="preserve">trument commences on </w:t>
      </w:r>
      <w:r w:rsidR="003B05BB">
        <w:rPr>
          <w:rFonts w:ascii="Times New Roman" w:hAnsi="Times New Roman" w:cs="Times New Roman"/>
        </w:rPr>
        <w:t>the day after it is registered.</w:t>
      </w:r>
    </w:p>
    <w:p w14:paraId="2554C575" w14:textId="77777777" w:rsidR="00BF2F01" w:rsidRPr="007C5F93" w:rsidRDefault="00BF2F01" w:rsidP="00490941">
      <w:pPr>
        <w:spacing w:after="120"/>
        <w:rPr>
          <w:rFonts w:ascii="Times New Roman" w:hAnsi="Times New Roman" w:cs="Times New Roman"/>
          <w:b/>
        </w:rPr>
      </w:pPr>
      <w:r w:rsidRPr="007C5F93">
        <w:rPr>
          <w:rFonts w:ascii="Times New Roman" w:hAnsi="Times New Roman" w:cs="Times New Roman"/>
          <w:b/>
        </w:rPr>
        <w:t xml:space="preserve">Section 3 – Authority </w:t>
      </w:r>
    </w:p>
    <w:p w14:paraId="4027EF86" w14:textId="77777777" w:rsidR="00BF2F01" w:rsidRPr="007C5F93" w:rsidRDefault="00BF2F01" w:rsidP="00490941">
      <w:pPr>
        <w:spacing w:after="120"/>
        <w:rPr>
          <w:rFonts w:ascii="Times New Roman" w:hAnsi="Times New Roman" w:cs="Times New Roman"/>
        </w:rPr>
      </w:pPr>
      <w:r w:rsidRPr="007C5F93">
        <w:rPr>
          <w:rFonts w:ascii="Times New Roman" w:hAnsi="Times New Roman" w:cs="Times New Roman"/>
        </w:rPr>
        <w:t xml:space="preserve">Section 3 provides that the instrument is made under subsection </w:t>
      </w:r>
      <w:proofErr w:type="gramStart"/>
      <w:r>
        <w:rPr>
          <w:rFonts w:ascii="Times New Roman" w:hAnsi="Times New Roman" w:cs="Times New Roman"/>
        </w:rPr>
        <w:t>90C(</w:t>
      </w:r>
      <w:proofErr w:type="gramEnd"/>
      <w:r>
        <w:rPr>
          <w:rFonts w:ascii="Times New Roman" w:hAnsi="Times New Roman" w:cs="Times New Roman"/>
        </w:rPr>
        <w:t>3</w:t>
      </w:r>
      <w:r w:rsidRPr="007C5F93">
        <w:rPr>
          <w:rFonts w:ascii="Times New Roman" w:hAnsi="Times New Roman" w:cs="Times New Roman"/>
        </w:rPr>
        <w:t xml:space="preserve">) of the </w:t>
      </w:r>
      <w:r w:rsidRPr="007C5F93">
        <w:rPr>
          <w:rFonts w:ascii="Times New Roman" w:hAnsi="Times New Roman" w:cs="Times New Roman"/>
          <w:i/>
        </w:rPr>
        <w:t>Safety, Rehabilitation and Compensation Act 1988.</w:t>
      </w:r>
    </w:p>
    <w:p w14:paraId="571CAF3C" w14:textId="77777777" w:rsidR="00BF2F01" w:rsidRPr="007C5F93" w:rsidRDefault="00BF2F01" w:rsidP="00490941">
      <w:pPr>
        <w:spacing w:after="120"/>
        <w:rPr>
          <w:rFonts w:ascii="Times New Roman" w:hAnsi="Times New Roman" w:cs="Times New Roman"/>
          <w:b/>
        </w:rPr>
      </w:pPr>
      <w:r w:rsidRPr="007C5F93">
        <w:rPr>
          <w:rFonts w:ascii="Times New Roman" w:hAnsi="Times New Roman" w:cs="Times New Roman"/>
          <w:b/>
        </w:rPr>
        <w:t>Section 4 – Definitions</w:t>
      </w:r>
    </w:p>
    <w:p w14:paraId="027B7C8C" w14:textId="77777777" w:rsidR="00BF2F01" w:rsidRPr="007C5F93" w:rsidRDefault="00BF2F01" w:rsidP="00490941">
      <w:pPr>
        <w:spacing w:after="120"/>
        <w:rPr>
          <w:rFonts w:ascii="Times New Roman" w:hAnsi="Times New Roman" w:cs="Times New Roman"/>
          <w:b/>
        </w:rPr>
      </w:pPr>
      <w:r w:rsidRPr="007C5F93">
        <w:rPr>
          <w:rFonts w:ascii="Times New Roman" w:hAnsi="Times New Roman" w:cs="Times New Roman"/>
        </w:rPr>
        <w:t>Section 4 provides the definitions of terms used in the instrument.</w:t>
      </w:r>
    </w:p>
    <w:p w14:paraId="5665C1FA" w14:textId="77777777" w:rsidR="00BF2F01" w:rsidRPr="007C5F93" w:rsidRDefault="00BF2F01" w:rsidP="00490941">
      <w:pPr>
        <w:spacing w:after="120"/>
        <w:rPr>
          <w:rFonts w:ascii="Times New Roman" w:hAnsi="Times New Roman" w:cs="Times New Roman"/>
          <w:b/>
        </w:rPr>
      </w:pPr>
      <w:r w:rsidRPr="007C5F93">
        <w:rPr>
          <w:rFonts w:ascii="Times New Roman" w:hAnsi="Times New Roman" w:cs="Times New Roman"/>
          <w:b/>
        </w:rPr>
        <w:t xml:space="preserve">Section </w:t>
      </w:r>
      <w:r w:rsidR="003B05BB">
        <w:rPr>
          <w:rFonts w:ascii="Times New Roman" w:hAnsi="Times New Roman" w:cs="Times New Roman"/>
          <w:b/>
        </w:rPr>
        <w:t>5</w:t>
      </w:r>
      <w:r w:rsidR="003B05BB" w:rsidRPr="007C5F93">
        <w:rPr>
          <w:rFonts w:ascii="Times New Roman" w:hAnsi="Times New Roman" w:cs="Times New Roman"/>
          <w:b/>
        </w:rPr>
        <w:t xml:space="preserve"> </w:t>
      </w:r>
      <w:r w:rsidRPr="007C5F93">
        <w:rPr>
          <w:rFonts w:ascii="Times New Roman" w:hAnsi="Times New Roman" w:cs="Times New Roman"/>
          <w:b/>
        </w:rPr>
        <w:t xml:space="preserve">– </w:t>
      </w:r>
      <w:r>
        <w:rPr>
          <w:rFonts w:ascii="Times New Roman" w:hAnsi="Times New Roman" w:cs="Times New Roman"/>
          <w:b/>
        </w:rPr>
        <w:t xml:space="preserve">Rates of notional interest for period from 1 July </w:t>
      </w:r>
      <w:r w:rsidR="003B05BB">
        <w:rPr>
          <w:rFonts w:ascii="Times New Roman" w:hAnsi="Times New Roman" w:cs="Times New Roman"/>
          <w:b/>
        </w:rPr>
        <w:t xml:space="preserve">1989 </w:t>
      </w:r>
      <w:r>
        <w:rPr>
          <w:rFonts w:ascii="Times New Roman" w:hAnsi="Times New Roman" w:cs="Times New Roman"/>
          <w:b/>
        </w:rPr>
        <w:t xml:space="preserve">to </w:t>
      </w:r>
      <w:r w:rsidR="003B05BB">
        <w:rPr>
          <w:rFonts w:ascii="Times New Roman" w:hAnsi="Times New Roman" w:cs="Times New Roman"/>
          <w:b/>
        </w:rPr>
        <w:t>30 June 2000</w:t>
      </w:r>
    </w:p>
    <w:p w14:paraId="18CF79BA" w14:textId="77777777" w:rsidR="00BF2F01" w:rsidRPr="007C5F93" w:rsidRDefault="00BF2F01" w:rsidP="00490941">
      <w:pPr>
        <w:spacing w:after="120"/>
        <w:rPr>
          <w:rFonts w:ascii="Times New Roman" w:hAnsi="Times New Roman" w:cs="Times New Roman"/>
        </w:rPr>
      </w:pPr>
      <w:r w:rsidRPr="007C5F93">
        <w:rPr>
          <w:rFonts w:ascii="Times New Roman" w:hAnsi="Times New Roman" w:cs="Times New Roman"/>
        </w:rPr>
        <w:t xml:space="preserve">Section </w:t>
      </w:r>
      <w:r w:rsidR="003B05BB">
        <w:rPr>
          <w:rFonts w:ascii="Times New Roman" w:hAnsi="Times New Roman" w:cs="Times New Roman"/>
        </w:rPr>
        <w:t>5</w:t>
      </w:r>
      <w:r w:rsidR="003B05BB" w:rsidRPr="007C5F93">
        <w:rPr>
          <w:rFonts w:ascii="Times New Roman" w:hAnsi="Times New Roman" w:cs="Times New Roman"/>
        </w:rPr>
        <w:t xml:space="preserve"> </w:t>
      </w:r>
      <w:r w:rsidRPr="007C5F93">
        <w:rPr>
          <w:rFonts w:ascii="Times New Roman" w:hAnsi="Times New Roman" w:cs="Times New Roman"/>
        </w:rPr>
        <w:t xml:space="preserve">provides that for </w:t>
      </w:r>
      <w:r>
        <w:rPr>
          <w:rFonts w:ascii="Times New Roman" w:hAnsi="Times New Roman" w:cs="Times New Roman"/>
        </w:rPr>
        <w:t xml:space="preserve">subsection </w:t>
      </w:r>
      <w:proofErr w:type="gramStart"/>
      <w:r>
        <w:rPr>
          <w:rFonts w:ascii="Times New Roman" w:hAnsi="Times New Roman" w:cs="Times New Roman"/>
        </w:rPr>
        <w:t>90C(</w:t>
      </w:r>
      <w:proofErr w:type="gramEnd"/>
      <w:r>
        <w:rPr>
          <w:rFonts w:ascii="Times New Roman" w:hAnsi="Times New Roman" w:cs="Times New Roman"/>
        </w:rPr>
        <w:t xml:space="preserve">3) of the Act, the rate of notional interest for a day occurring during the period from 1 July </w:t>
      </w:r>
      <w:r w:rsidR="003B05BB">
        <w:rPr>
          <w:rFonts w:ascii="Times New Roman" w:hAnsi="Times New Roman" w:cs="Times New Roman"/>
        </w:rPr>
        <w:t xml:space="preserve">1989 </w:t>
      </w:r>
      <w:r>
        <w:rPr>
          <w:rFonts w:ascii="Times New Roman" w:hAnsi="Times New Roman" w:cs="Times New Roman"/>
        </w:rPr>
        <w:t xml:space="preserve">to </w:t>
      </w:r>
      <w:r w:rsidR="003B05BB">
        <w:rPr>
          <w:rFonts w:ascii="Times New Roman" w:hAnsi="Times New Roman" w:cs="Times New Roman"/>
        </w:rPr>
        <w:t xml:space="preserve">30 </w:t>
      </w:r>
      <w:r>
        <w:rPr>
          <w:rFonts w:ascii="Times New Roman" w:hAnsi="Times New Roman" w:cs="Times New Roman"/>
        </w:rPr>
        <w:t xml:space="preserve">June </w:t>
      </w:r>
      <w:r w:rsidR="003B05BB">
        <w:rPr>
          <w:rFonts w:ascii="Times New Roman" w:hAnsi="Times New Roman" w:cs="Times New Roman"/>
        </w:rPr>
        <w:t xml:space="preserve">2000 </w:t>
      </w:r>
      <w:r>
        <w:rPr>
          <w:rFonts w:ascii="Times New Roman" w:hAnsi="Times New Roman" w:cs="Times New Roman"/>
        </w:rPr>
        <w:t>(inclusive) is</w:t>
      </w:r>
      <w:r w:rsidR="003B05BB">
        <w:rPr>
          <w:rFonts w:ascii="Times New Roman" w:hAnsi="Times New Roman" w:cs="Times New Roman"/>
        </w:rPr>
        <w:t xml:space="preserve"> zero</w:t>
      </w:r>
      <w:r>
        <w:rPr>
          <w:rFonts w:ascii="Times New Roman" w:hAnsi="Times New Roman" w:cs="Times New Roman"/>
        </w:rPr>
        <w:t>.</w:t>
      </w:r>
      <w:r w:rsidRPr="007C5F93">
        <w:rPr>
          <w:rFonts w:ascii="Times New Roman" w:hAnsi="Times New Roman" w:cs="Times New Roman"/>
        </w:rPr>
        <w:t xml:space="preserve"> </w:t>
      </w:r>
    </w:p>
    <w:p w14:paraId="6A7DA03F" w14:textId="77777777" w:rsidR="00BF2F01" w:rsidRPr="007C5F93" w:rsidRDefault="00BF2F01" w:rsidP="00490941">
      <w:pPr>
        <w:spacing w:after="120"/>
        <w:rPr>
          <w:rFonts w:ascii="Times New Roman" w:hAnsi="Times New Roman" w:cs="Times New Roman"/>
          <w:b/>
        </w:rPr>
      </w:pPr>
      <w:r w:rsidRPr="007C5F93">
        <w:rPr>
          <w:rFonts w:ascii="Times New Roman" w:hAnsi="Times New Roman" w:cs="Times New Roman"/>
          <w:b/>
        </w:rPr>
        <w:t xml:space="preserve">Section </w:t>
      </w:r>
      <w:r w:rsidR="003B05BB">
        <w:rPr>
          <w:rFonts w:ascii="Times New Roman" w:hAnsi="Times New Roman" w:cs="Times New Roman"/>
          <w:b/>
        </w:rPr>
        <w:t>6</w:t>
      </w:r>
      <w:r w:rsidR="003B05BB" w:rsidRPr="007C5F93">
        <w:rPr>
          <w:rFonts w:ascii="Times New Roman" w:hAnsi="Times New Roman" w:cs="Times New Roman"/>
          <w:b/>
        </w:rPr>
        <w:t xml:space="preserve"> </w:t>
      </w:r>
      <w:r w:rsidRPr="007C5F93">
        <w:rPr>
          <w:rFonts w:ascii="Times New Roman" w:hAnsi="Times New Roman" w:cs="Times New Roman"/>
          <w:b/>
        </w:rPr>
        <w:t xml:space="preserve">– </w:t>
      </w:r>
      <w:r>
        <w:rPr>
          <w:rFonts w:ascii="Times New Roman" w:hAnsi="Times New Roman" w:cs="Times New Roman"/>
          <w:b/>
        </w:rPr>
        <w:t xml:space="preserve">Rates of notional interest for period from </w:t>
      </w:r>
      <w:r w:rsidR="003B05BB">
        <w:rPr>
          <w:rFonts w:ascii="Times New Roman" w:hAnsi="Times New Roman" w:cs="Times New Roman"/>
          <w:b/>
        </w:rPr>
        <w:t>1 July 2000</w:t>
      </w:r>
      <w:r>
        <w:rPr>
          <w:rFonts w:ascii="Times New Roman" w:hAnsi="Times New Roman" w:cs="Times New Roman"/>
          <w:b/>
        </w:rPr>
        <w:t xml:space="preserve"> to </w:t>
      </w:r>
      <w:r w:rsidR="003B05BB">
        <w:rPr>
          <w:rFonts w:ascii="Times New Roman" w:hAnsi="Times New Roman" w:cs="Times New Roman"/>
          <w:b/>
        </w:rPr>
        <w:t>19 June</w:t>
      </w:r>
      <w:r>
        <w:rPr>
          <w:rFonts w:ascii="Times New Roman" w:hAnsi="Times New Roman" w:cs="Times New Roman"/>
          <w:b/>
        </w:rPr>
        <w:t xml:space="preserve"> 20</w:t>
      </w:r>
      <w:r w:rsidR="003B05BB">
        <w:rPr>
          <w:rFonts w:ascii="Times New Roman" w:hAnsi="Times New Roman" w:cs="Times New Roman"/>
          <w:b/>
        </w:rPr>
        <w:t>02</w:t>
      </w:r>
    </w:p>
    <w:p w14:paraId="70797C42" w14:textId="77777777" w:rsidR="00BF2F01" w:rsidRPr="007C5F93" w:rsidRDefault="00BF2F01" w:rsidP="00490941">
      <w:pPr>
        <w:spacing w:after="120"/>
        <w:rPr>
          <w:rFonts w:ascii="Times New Roman" w:hAnsi="Times New Roman" w:cs="Times New Roman"/>
        </w:rPr>
      </w:pPr>
      <w:r w:rsidRPr="007C5F93">
        <w:rPr>
          <w:rFonts w:ascii="Times New Roman" w:hAnsi="Times New Roman" w:cs="Times New Roman"/>
        </w:rPr>
        <w:t xml:space="preserve">Section </w:t>
      </w:r>
      <w:r w:rsidR="003B05BB">
        <w:rPr>
          <w:rFonts w:ascii="Times New Roman" w:hAnsi="Times New Roman" w:cs="Times New Roman"/>
        </w:rPr>
        <w:t>6</w:t>
      </w:r>
      <w:r w:rsidR="003B05BB" w:rsidRPr="007C5F93">
        <w:rPr>
          <w:rFonts w:ascii="Times New Roman" w:hAnsi="Times New Roman" w:cs="Times New Roman"/>
        </w:rPr>
        <w:t xml:space="preserve"> </w:t>
      </w:r>
      <w:r w:rsidRPr="007C5F93">
        <w:rPr>
          <w:rFonts w:ascii="Times New Roman" w:hAnsi="Times New Roman" w:cs="Times New Roman"/>
        </w:rPr>
        <w:t xml:space="preserve">provides that for </w:t>
      </w:r>
      <w:r>
        <w:rPr>
          <w:rFonts w:ascii="Times New Roman" w:hAnsi="Times New Roman" w:cs="Times New Roman"/>
        </w:rPr>
        <w:t xml:space="preserve">subsection 90C(3) of the Act, the rate of notional interest for a day occurring during the period from 20 June 2002 to 31 October 2018 (inclusive) is the 6-month </w:t>
      </w:r>
      <w:r w:rsidR="003B05BB" w:rsidRPr="003B05BB">
        <w:rPr>
          <w:rFonts w:ascii="Times New Roman" w:hAnsi="Times New Roman" w:cs="Times New Roman"/>
        </w:rPr>
        <w:t>Treasury Note Yields rate fixed for the day by the Reserve Bank</w:t>
      </w:r>
      <w:r>
        <w:rPr>
          <w:rFonts w:ascii="Times New Roman" w:hAnsi="Times New Roman" w:cs="Times New Roman"/>
        </w:rPr>
        <w:t>.</w:t>
      </w:r>
      <w:r w:rsidRPr="007C5F93">
        <w:rPr>
          <w:rFonts w:ascii="Times New Roman" w:hAnsi="Times New Roman" w:cs="Times New Roman"/>
        </w:rPr>
        <w:t xml:space="preserve"> </w:t>
      </w:r>
    </w:p>
    <w:p w14:paraId="7FA0D4FA" w14:textId="77777777" w:rsidR="003B05BB" w:rsidRPr="00BC7A70" w:rsidRDefault="00BF2F01" w:rsidP="00490941">
      <w:pPr>
        <w:spacing w:after="120"/>
        <w:rPr>
          <w:rFonts w:ascii="Times New Roman" w:hAnsi="Times New Roman" w:cs="Times New Roman"/>
          <w:b/>
        </w:rPr>
      </w:pPr>
      <w:r w:rsidRPr="007C5F93">
        <w:rPr>
          <w:rFonts w:ascii="Times New Roman" w:hAnsi="Times New Roman" w:cs="Times New Roman"/>
          <w:b/>
        </w:rPr>
        <w:t xml:space="preserve">Section </w:t>
      </w:r>
      <w:r w:rsidR="003B05BB">
        <w:rPr>
          <w:rFonts w:ascii="Times New Roman" w:hAnsi="Times New Roman" w:cs="Times New Roman"/>
          <w:b/>
        </w:rPr>
        <w:t>7</w:t>
      </w:r>
      <w:r w:rsidR="003B05BB" w:rsidRPr="007C5F93">
        <w:rPr>
          <w:rFonts w:ascii="Times New Roman" w:hAnsi="Times New Roman" w:cs="Times New Roman"/>
          <w:b/>
        </w:rPr>
        <w:t xml:space="preserve"> </w:t>
      </w:r>
      <w:r w:rsidRPr="007C5F93">
        <w:rPr>
          <w:rFonts w:ascii="Times New Roman" w:hAnsi="Times New Roman" w:cs="Times New Roman"/>
          <w:b/>
        </w:rPr>
        <w:t xml:space="preserve">– </w:t>
      </w:r>
      <w:r w:rsidR="003B05BB">
        <w:rPr>
          <w:rFonts w:ascii="Times New Roman" w:hAnsi="Times New Roman" w:cs="Times New Roman"/>
          <w:b/>
        </w:rPr>
        <w:t xml:space="preserve">Rates of notional interest for period from 20 </w:t>
      </w:r>
      <w:r w:rsidR="003B05BB" w:rsidRPr="00BC7A70">
        <w:rPr>
          <w:rFonts w:ascii="Times New Roman" w:hAnsi="Times New Roman" w:cs="Times New Roman"/>
          <w:b/>
        </w:rPr>
        <w:t>June 200</w:t>
      </w:r>
      <w:r w:rsidR="008C43D9" w:rsidRPr="00BC7A70">
        <w:rPr>
          <w:rFonts w:ascii="Times New Roman" w:hAnsi="Times New Roman" w:cs="Times New Roman"/>
          <w:b/>
        </w:rPr>
        <w:t>2</w:t>
      </w:r>
      <w:r w:rsidR="003B05BB" w:rsidRPr="00BC7A70">
        <w:rPr>
          <w:rFonts w:ascii="Times New Roman" w:hAnsi="Times New Roman" w:cs="Times New Roman"/>
          <w:b/>
        </w:rPr>
        <w:t xml:space="preserve"> to 31 October 2018</w:t>
      </w:r>
    </w:p>
    <w:p w14:paraId="58177554" w14:textId="77777777" w:rsidR="003B05BB" w:rsidRPr="005477B6" w:rsidRDefault="003B05BB" w:rsidP="00490941">
      <w:pPr>
        <w:spacing w:after="120"/>
        <w:rPr>
          <w:rFonts w:ascii="Times New Roman" w:hAnsi="Times New Roman" w:cs="Times New Roman"/>
        </w:rPr>
      </w:pPr>
      <w:r w:rsidRPr="00BC7A70">
        <w:rPr>
          <w:rFonts w:ascii="Times New Roman" w:hAnsi="Times New Roman" w:cs="Times New Roman"/>
        </w:rPr>
        <w:t>Section 7 provides that for subsection 90C(3) of the Act, the rate of notional interest for a day occurring during the period from 20 June 200</w:t>
      </w:r>
      <w:r w:rsidR="008C43D9" w:rsidRPr="00BC7A70">
        <w:rPr>
          <w:rFonts w:ascii="Times New Roman" w:hAnsi="Times New Roman" w:cs="Times New Roman"/>
        </w:rPr>
        <w:t>2</w:t>
      </w:r>
      <w:r w:rsidRPr="00BC7A70">
        <w:rPr>
          <w:rFonts w:ascii="Times New Roman" w:hAnsi="Times New Roman" w:cs="Times New Roman"/>
        </w:rPr>
        <w:t xml:space="preserve"> to 31 October 2018 is the 6 month Overnight indexed swaps rate fixed for the day by the Reserve Bank.</w:t>
      </w:r>
    </w:p>
    <w:p w14:paraId="16FCF0C2" w14:textId="77777777" w:rsidR="00BF2F01" w:rsidRPr="007C5F93" w:rsidRDefault="003B05BB" w:rsidP="00490941">
      <w:pPr>
        <w:spacing w:after="120"/>
        <w:rPr>
          <w:rFonts w:ascii="Times New Roman" w:hAnsi="Times New Roman" w:cs="Times New Roman"/>
          <w:b/>
        </w:rPr>
      </w:pPr>
      <w:r>
        <w:rPr>
          <w:rFonts w:ascii="Times New Roman" w:hAnsi="Times New Roman" w:cs="Times New Roman"/>
          <w:b/>
        </w:rPr>
        <w:t xml:space="preserve">Section 8 </w:t>
      </w:r>
      <w:r w:rsidRPr="007C5F93">
        <w:rPr>
          <w:rFonts w:ascii="Times New Roman" w:hAnsi="Times New Roman" w:cs="Times New Roman"/>
          <w:b/>
        </w:rPr>
        <w:t xml:space="preserve">– </w:t>
      </w:r>
      <w:r w:rsidR="00BF2F01">
        <w:rPr>
          <w:rFonts w:ascii="Times New Roman" w:hAnsi="Times New Roman" w:cs="Times New Roman"/>
          <w:b/>
        </w:rPr>
        <w:t>Rates of notional interest for 1 November 2018 onwards</w:t>
      </w:r>
    </w:p>
    <w:p w14:paraId="00AD02C5" w14:textId="77777777" w:rsidR="00BF2F01" w:rsidRPr="007C5F93" w:rsidRDefault="00BF2F01" w:rsidP="00490941">
      <w:pPr>
        <w:spacing w:after="120"/>
        <w:rPr>
          <w:rFonts w:ascii="Times New Roman" w:hAnsi="Times New Roman" w:cs="Times New Roman"/>
        </w:rPr>
      </w:pPr>
      <w:r w:rsidRPr="007C5F93">
        <w:rPr>
          <w:rFonts w:ascii="Times New Roman" w:hAnsi="Times New Roman" w:cs="Times New Roman"/>
        </w:rPr>
        <w:t xml:space="preserve">Section </w:t>
      </w:r>
      <w:r w:rsidR="003B05BB">
        <w:rPr>
          <w:rFonts w:ascii="Times New Roman" w:hAnsi="Times New Roman" w:cs="Times New Roman"/>
        </w:rPr>
        <w:t xml:space="preserve">8 </w:t>
      </w:r>
      <w:r w:rsidRPr="007C5F93">
        <w:rPr>
          <w:rFonts w:ascii="Times New Roman" w:hAnsi="Times New Roman" w:cs="Times New Roman"/>
        </w:rPr>
        <w:t xml:space="preserve">provides that for </w:t>
      </w:r>
      <w:r>
        <w:rPr>
          <w:rFonts w:ascii="Times New Roman" w:hAnsi="Times New Roman" w:cs="Times New Roman"/>
        </w:rPr>
        <w:t xml:space="preserve">subsection 90C(3) of the Act, the rate of notional interest for a day occurring after 31 October 2018 is the rate of return on the day on the Bloomberg </w:t>
      </w:r>
      <w:proofErr w:type="spellStart"/>
      <w:r>
        <w:rPr>
          <w:rFonts w:ascii="Times New Roman" w:hAnsi="Times New Roman" w:cs="Times New Roman"/>
        </w:rPr>
        <w:t>AusBond</w:t>
      </w:r>
      <w:proofErr w:type="spellEnd"/>
      <w:r>
        <w:rPr>
          <w:rFonts w:ascii="Times New Roman" w:hAnsi="Times New Roman" w:cs="Times New Roman"/>
        </w:rPr>
        <w:t xml:space="preserve"> Treasury 5+ Year Index (BATY5:IND) constructed by Bloomberg L.P.</w:t>
      </w:r>
      <w:r w:rsidRPr="007C5F93">
        <w:rPr>
          <w:rFonts w:ascii="Times New Roman" w:hAnsi="Times New Roman" w:cs="Times New Roman"/>
        </w:rPr>
        <w:t xml:space="preserve"> </w:t>
      </w:r>
    </w:p>
    <w:p w14:paraId="084FED34" w14:textId="77777777" w:rsidR="00BF2F01" w:rsidRPr="007C5F93" w:rsidRDefault="00BF2F01" w:rsidP="00BF2F01">
      <w:pPr>
        <w:spacing w:after="120"/>
        <w:rPr>
          <w:rFonts w:ascii="Times New Roman" w:hAnsi="Times New Roman" w:cs="Times New Roman"/>
          <w:b/>
        </w:rPr>
      </w:pPr>
    </w:p>
    <w:p w14:paraId="7D4B88C1" w14:textId="77777777" w:rsidR="00BF2F01" w:rsidRPr="007C5F93" w:rsidRDefault="00BF2F01" w:rsidP="00BF2F01">
      <w:pPr>
        <w:spacing w:after="120"/>
        <w:rPr>
          <w:rFonts w:ascii="Times New Roman" w:hAnsi="Times New Roman" w:cs="Times New Roman"/>
          <w:b/>
        </w:rPr>
      </w:pPr>
    </w:p>
    <w:p w14:paraId="55CA478A" w14:textId="77777777" w:rsidR="00BF2F01" w:rsidRPr="007C5F93" w:rsidRDefault="00BF2F01" w:rsidP="00BF2F01">
      <w:pPr>
        <w:spacing w:after="120"/>
        <w:rPr>
          <w:rFonts w:ascii="Times New Roman" w:hAnsi="Times New Roman" w:cs="Times New Roman"/>
          <w:b/>
        </w:rPr>
      </w:pPr>
    </w:p>
    <w:p w14:paraId="4C275F42" w14:textId="77777777" w:rsidR="00BF2F01" w:rsidRPr="007C5F93" w:rsidRDefault="00BF2F01" w:rsidP="00BF2F01">
      <w:pPr>
        <w:spacing w:after="120"/>
        <w:rPr>
          <w:rFonts w:ascii="Times New Roman" w:hAnsi="Times New Roman" w:cs="Times New Roman"/>
          <w:b/>
        </w:rPr>
      </w:pPr>
    </w:p>
    <w:p w14:paraId="1D7E56EC" w14:textId="77777777" w:rsidR="00BF2F01" w:rsidRDefault="00BF2F01">
      <w:pPr>
        <w:spacing w:after="160" w:line="259" w:lineRule="auto"/>
        <w:rPr>
          <w:rFonts w:ascii="Times New Roman" w:eastAsia="Times New Roman" w:hAnsi="Times New Roman" w:cs="Times New Roman"/>
          <w:b/>
          <w:sz w:val="24"/>
          <w:lang w:eastAsia="en-AU"/>
        </w:rPr>
      </w:pPr>
      <w:r>
        <w:rPr>
          <w:rFonts w:ascii="Times New Roman" w:eastAsia="Times New Roman" w:hAnsi="Times New Roman" w:cs="Times New Roman"/>
          <w:b/>
          <w:sz w:val="24"/>
          <w:lang w:eastAsia="en-AU"/>
        </w:rPr>
        <w:br w:type="page"/>
      </w:r>
    </w:p>
    <w:p w14:paraId="12D95D73" w14:textId="77777777" w:rsidR="00D9450D" w:rsidRPr="007C5F93" w:rsidRDefault="00D9450D" w:rsidP="00D9450D">
      <w:pPr>
        <w:spacing w:after="120"/>
        <w:rPr>
          <w:rFonts w:ascii="Times New Roman" w:eastAsia="Times New Roman" w:hAnsi="Times New Roman" w:cs="Times New Roman"/>
          <w:b/>
          <w:sz w:val="24"/>
          <w:lang w:eastAsia="en-AU"/>
        </w:rPr>
      </w:pPr>
      <w:r w:rsidRPr="007C5F93">
        <w:rPr>
          <w:rFonts w:ascii="Times New Roman" w:eastAsia="Times New Roman" w:hAnsi="Times New Roman" w:cs="Times New Roman"/>
          <w:b/>
          <w:sz w:val="24"/>
          <w:lang w:eastAsia="en-AU"/>
        </w:rPr>
        <w:lastRenderedPageBreak/>
        <w:t>STATEMENT OF COMPATIBILITY WITH HUMAN RIGHTS</w:t>
      </w:r>
    </w:p>
    <w:p w14:paraId="37E2C3B8" w14:textId="77777777" w:rsidR="00D9450D" w:rsidRPr="000A2E8E" w:rsidRDefault="00D9450D" w:rsidP="00DD7BA2">
      <w:pPr>
        <w:spacing w:after="120"/>
        <w:rPr>
          <w:rFonts w:ascii="Times New Roman" w:eastAsia="Times New Roman" w:hAnsi="Times New Roman" w:cs="Times New Roman"/>
          <w:i/>
          <w:lang w:eastAsia="en-AU"/>
        </w:rPr>
      </w:pPr>
      <w:r w:rsidRPr="007C5F93">
        <w:rPr>
          <w:rFonts w:ascii="Times New Roman" w:eastAsia="Times New Roman" w:hAnsi="Times New Roman" w:cs="Times New Roman"/>
          <w:i/>
          <w:lang w:eastAsia="en-AU"/>
        </w:rPr>
        <w:t xml:space="preserve">Prepared in accordance with Part 3 of the Human Rights (Parliamentary Scrutiny) </w:t>
      </w:r>
      <w:r w:rsidRPr="000A2E8E">
        <w:rPr>
          <w:rFonts w:ascii="Times New Roman" w:eastAsia="Times New Roman" w:hAnsi="Times New Roman" w:cs="Times New Roman"/>
          <w:i/>
          <w:lang w:eastAsia="en-AU"/>
        </w:rPr>
        <w:t>Act 2011</w:t>
      </w:r>
    </w:p>
    <w:p w14:paraId="117B3380" w14:textId="77777777" w:rsidR="00D9450D" w:rsidRPr="000A2E8E" w:rsidRDefault="00D9450D" w:rsidP="00490941">
      <w:pPr>
        <w:spacing w:after="120"/>
        <w:rPr>
          <w:rFonts w:ascii="Times New Roman" w:hAnsi="Times New Roman" w:cs="Times New Roman"/>
          <w:b/>
          <w:lang w:eastAsia="en-AU"/>
        </w:rPr>
      </w:pPr>
      <w:r w:rsidRPr="000A2E8E">
        <w:rPr>
          <w:rFonts w:ascii="Times New Roman" w:hAnsi="Times New Roman" w:cs="Times New Roman"/>
          <w:b/>
        </w:rPr>
        <w:t>Safety, Rehabilitation and Compensation (</w:t>
      </w:r>
      <w:r w:rsidR="00B437CB" w:rsidRPr="000A2E8E">
        <w:rPr>
          <w:rFonts w:ascii="Times New Roman" w:hAnsi="Times New Roman" w:cs="Times New Roman"/>
          <w:b/>
        </w:rPr>
        <w:t>Notional Interest) Determination</w:t>
      </w:r>
      <w:r w:rsidR="000A2E8E" w:rsidRPr="000A2E8E">
        <w:rPr>
          <w:rFonts w:ascii="Times New Roman" w:hAnsi="Times New Roman" w:cs="Times New Roman"/>
          <w:b/>
        </w:rPr>
        <w:t xml:space="preserve"> 2022</w:t>
      </w:r>
    </w:p>
    <w:p w14:paraId="3E737E2E" w14:textId="4E48FA79" w:rsidR="00D9450D" w:rsidRPr="007C5F93" w:rsidRDefault="00D9450D" w:rsidP="00DD7BA2">
      <w:pPr>
        <w:spacing w:after="120"/>
        <w:rPr>
          <w:rFonts w:ascii="Times New Roman" w:hAnsi="Times New Roman" w:cs="Times New Roman"/>
        </w:rPr>
      </w:pPr>
      <w:r w:rsidRPr="000A2E8E">
        <w:rPr>
          <w:rFonts w:ascii="Times New Roman" w:hAnsi="Times New Roman" w:cs="Times New Roman"/>
        </w:rPr>
        <w:t xml:space="preserve">This legislative instrument is compatible with the human rights and freedoms recognised or declared in the international instruments listed in section 3 of the </w:t>
      </w:r>
      <w:r w:rsidRPr="000A2E8E">
        <w:rPr>
          <w:rFonts w:ascii="Times New Roman" w:hAnsi="Times New Roman" w:cs="Times New Roman"/>
          <w:i/>
        </w:rPr>
        <w:t>Human Rights (Parliamentary Scrutiny) Act</w:t>
      </w:r>
      <w:r w:rsidR="00910DE5">
        <w:rPr>
          <w:rFonts w:ascii="Times New Roman" w:hAnsi="Times New Roman" w:cs="Times New Roman"/>
          <w:i/>
        </w:rPr>
        <w:t> </w:t>
      </w:r>
      <w:r w:rsidRPr="000A2E8E">
        <w:rPr>
          <w:rFonts w:ascii="Times New Roman" w:hAnsi="Times New Roman" w:cs="Times New Roman"/>
          <w:i/>
        </w:rPr>
        <w:t>2011</w:t>
      </w:r>
      <w:r w:rsidRPr="000A2E8E">
        <w:rPr>
          <w:rFonts w:ascii="Times New Roman" w:hAnsi="Times New Roman" w:cs="Times New Roman"/>
        </w:rPr>
        <w:t>.</w:t>
      </w:r>
    </w:p>
    <w:p w14:paraId="6FBC8BE4" w14:textId="77777777" w:rsidR="00D9450D" w:rsidRPr="007C5F93" w:rsidRDefault="00D9450D" w:rsidP="00490941">
      <w:pPr>
        <w:spacing w:after="120"/>
        <w:jc w:val="both"/>
        <w:rPr>
          <w:rFonts w:ascii="Times New Roman" w:hAnsi="Times New Roman" w:cs="Times New Roman"/>
          <w:b/>
        </w:rPr>
      </w:pPr>
      <w:r w:rsidRPr="007C5F93">
        <w:rPr>
          <w:rFonts w:ascii="Times New Roman" w:hAnsi="Times New Roman" w:cs="Times New Roman"/>
          <w:b/>
        </w:rPr>
        <w:t>Overview of the legislative instrument</w:t>
      </w:r>
    </w:p>
    <w:p w14:paraId="2F4F9A39" w14:textId="77777777" w:rsidR="00BC7A70" w:rsidRPr="00E21E8C" w:rsidRDefault="00BC7A70" w:rsidP="00490941">
      <w:pPr>
        <w:shd w:val="clear" w:color="auto" w:fill="FFFFFF"/>
        <w:spacing w:after="120"/>
        <w:rPr>
          <w:rFonts w:ascii="Times New Roman" w:eastAsia="Times New Roman" w:hAnsi="Times New Roman" w:cs="Times New Roman"/>
          <w:lang w:eastAsia="en-AU"/>
        </w:rPr>
      </w:pPr>
      <w:r w:rsidRPr="00E21E8C">
        <w:rPr>
          <w:rFonts w:ascii="Times New Roman" w:eastAsia="Times New Roman" w:hAnsi="Times New Roman" w:cs="Times New Roman"/>
          <w:lang w:eastAsia="en-AU"/>
        </w:rPr>
        <w:t xml:space="preserve">The </w:t>
      </w:r>
      <w:r w:rsidRPr="00E21E8C">
        <w:rPr>
          <w:rFonts w:ascii="Times New Roman" w:eastAsia="Times New Roman" w:hAnsi="Times New Roman" w:cs="Times New Roman"/>
          <w:i/>
          <w:iCs/>
          <w:lang w:eastAsia="en-AU"/>
        </w:rPr>
        <w:t xml:space="preserve">Safety, Rehabilitation and Compensation Act 1988 </w:t>
      </w:r>
      <w:r w:rsidRPr="00E21E8C">
        <w:rPr>
          <w:rFonts w:ascii="Times New Roman" w:eastAsia="Times New Roman" w:hAnsi="Times New Roman" w:cs="Times New Roman"/>
          <w:lang w:eastAsia="en-AU"/>
        </w:rPr>
        <w:t xml:space="preserve">(SRC Act) establishes the Commonwealth workers’ compensation and rehabilitation scheme for employees of the Commonwealth, Commonwealth authorities and licensed corporations. </w:t>
      </w:r>
    </w:p>
    <w:p w14:paraId="1BDC41DE" w14:textId="47C8524E" w:rsidR="00BC7A70" w:rsidRPr="00E21E8C" w:rsidRDefault="00BC7A70" w:rsidP="00490941">
      <w:pPr>
        <w:shd w:val="clear" w:color="auto" w:fill="FFFFFF"/>
        <w:spacing w:after="120"/>
        <w:rPr>
          <w:rFonts w:ascii="Times New Roman" w:eastAsia="Times New Roman" w:hAnsi="Times New Roman" w:cs="Times New Roman"/>
          <w:lang w:eastAsia="en-AU"/>
        </w:rPr>
      </w:pPr>
      <w:r w:rsidRPr="00E21E8C">
        <w:rPr>
          <w:rFonts w:ascii="Times New Roman" w:eastAsia="Times New Roman" w:hAnsi="Times New Roman" w:cs="Times New Roman"/>
          <w:lang w:eastAsia="en-AU"/>
        </w:rPr>
        <w:t xml:space="preserve">Section 90C of the SRC Act outlines the manner in which </w:t>
      </w:r>
      <w:proofErr w:type="spellStart"/>
      <w:r w:rsidRPr="00E21E8C">
        <w:rPr>
          <w:rFonts w:ascii="Times New Roman" w:eastAsia="Times New Roman" w:hAnsi="Times New Roman" w:cs="Times New Roman"/>
          <w:lang w:eastAsia="en-AU"/>
        </w:rPr>
        <w:t>Comcare</w:t>
      </w:r>
      <w:proofErr w:type="spellEnd"/>
      <w:r w:rsidRPr="00E21E8C">
        <w:rPr>
          <w:rFonts w:ascii="Times New Roman" w:eastAsia="Times New Roman" w:hAnsi="Times New Roman" w:cs="Times New Roman"/>
          <w:lang w:eastAsia="en-AU"/>
        </w:rPr>
        <w:t xml:space="preserve"> is to meet its liabilities and </w:t>
      </w:r>
      <w:r w:rsidR="00490941" w:rsidRPr="00E21E8C">
        <w:rPr>
          <w:rFonts w:ascii="Times New Roman" w:eastAsia="Times New Roman" w:hAnsi="Times New Roman" w:cs="Times New Roman"/>
          <w:lang w:eastAsia="en-AU"/>
        </w:rPr>
        <w:t>other</w:t>
      </w:r>
      <w:r w:rsidR="00490941">
        <w:rPr>
          <w:rFonts w:ascii="Times New Roman" w:eastAsia="Times New Roman" w:hAnsi="Times New Roman" w:cs="Times New Roman"/>
          <w:lang w:eastAsia="en-AU"/>
        </w:rPr>
        <w:t> </w:t>
      </w:r>
      <w:r w:rsidRPr="00E21E8C">
        <w:rPr>
          <w:rFonts w:ascii="Times New Roman" w:eastAsia="Times New Roman" w:hAnsi="Times New Roman" w:cs="Times New Roman"/>
          <w:lang w:eastAsia="en-AU"/>
        </w:rPr>
        <w:t xml:space="preserve">expenses under the Act, including the circumstances in which </w:t>
      </w:r>
      <w:proofErr w:type="spellStart"/>
      <w:r w:rsidRPr="00E21E8C">
        <w:rPr>
          <w:rFonts w:ascii="Times New Roman" w:eastAsia="Times New Roman" w:hAnsi="Times New Roman" w:cs="Times New Roman"/>
          <w:lang w:eastAsia="en-AU"/>
        </w:rPr>
        <w:t>Comcare</w:t>
      </w:r>
      <w:proofErr w:type="spellEnd"/>
      <w:r w:rsidRPr="00E21E8C">
        <w:rPr>
          <w:rFonts w:ascii="Times New Roman" w:eastAsia="Times New Roman" w:hAnsi="Times New Roman" w:cs="Times New Roman"/>
          <w:lang w:eastAsia="en-AU"/>
        </w:rPr>
        <w:t xml:space="preserve"> must make payments from ‘</w:t>
      </w:r>
      <w:proofErr w:type="spellStart"/>
      <w:r w:rsidRPr="00E21E8C">
        <w:rPr>
          <w:rFonts w:ascii="Times New Roman" w:eastAsia="Times New Roman" w:hAnsi="Times New Roman" w:cs="Times New Roman"/>
          <w:lang w:eastAsia="en-AU"/>
        </w:rPr>
        <w:t>Comcare</w:t>
      </w:r>
      <w:proofErr w:type="spellEnd"/>
      <w:r w:rsidRPr="00E21E8C">
        <w:rPr>
          <w:rFonts w:ascii="Times New Roman" w:eastAsia="Times New Roman" w:hAnsi="Times New Roman" w:cs="Times New Roman"/>
          <w:lang w:eastAsia="en-AU"/>
        </w:rPr>
        <w:t xml:space="preserve">-retained funds’. </w:t>
      </w:r>
    </w:p>
    <w:p w14:paraId="6BD7AE39" w14:textId="6B0A572B" w:rsidR="00BC7A70" w:rsidRPr="00E21E8C" w:rsidRDefault="00BC7A70" w:rsidP="00490941">
      <w:pPr>
        <w:shd w:val="clear" w:color="auto" w:fill="FFFFFF"/>
        <w:spacing w:after="120"/>
        <w:rPr>
          <w:rFonts w:ascii="Times New Roman" w:eastAsia="Times New Roman" w:hAnsi="Times New Roman" w:cs="Times New Roman"/>
          <w:lang w:eastAsia="en-AU"/>
        </w:rPr>
      </w:pPr>
      <w:r w:rsidRPr="00E21E8C">
        <w:rPr>
          <w:rFonts w:ascii="Times New Roman" w:eastAsia="Times New Roman" w:hAnsi="Times New Roman" w:cs="Times New Roman"/>
          <w:lang w:eastAsia="en-AU"/>
        </w:rPr>
        <w:t xml:space="preserve">Subsection 90C(2) of the SRC Act provides that, if there is insufficient money in </w:t>
      </w:r>
      <w:proofErr w:type="spellStart"/>
      <w:r w:rsidRPr="00E21E8C">
        <w:rPr>
          <w:rFonts w:ascii="Times New Roman" w:eastAsia="Times New Roman" w:hAnsi="Times New Roman" w:cs="Times New Roman"/>
          <w:lang w:eastAsia="en-AU"/>
        </w:rPr>
        <w:t>Comcare</w:t>
      </w:r>
      <w:proofErr w:type="spellEnd"/>
      <w:r w:rsidRPr="00E21E8C">
        <w:rPr>
          <w:rFonts w:ascii="Times New Roman" w:eastAsia="Times New Roman" w:hAnsi="Times New Roman" w:cs="Times New Roman"/>
          <w:lang w:eastAsia="en-AU"/>
        </w:rPr>
        <w:t>-retained funds to make a particular payment under s</w:t>
      </w:r>
      <w:r>
        <w:rPr>
          <w:rFonts w:ascii="Times New Roman" w:eastAsia="Times New Roman" w:hAnsi="Times New Roman" w:cs="Times New Roman"/>
          <w:lang w:eastAsia="en-AU"/>
        </w:rPr>
        <w:t>ubs</w:t>
      </w:r>
      <w:r w:rsidRPr="00E21E8C">
        <w:rPr>
          <w:rFonts w:ascii="Times New Roman" w:eastAsia="Times New Roman" w:hAnsi="Times New Roman" w:cs="Times New Roman"/>
          <w:lang w:eastAsia="en-AU"/>
        </w:rPr>
        <w:t xml:space="preserve">ection 90C(1), the Commonwealth </w:t>
      </w:r>
      <w:r>
        <w:rPr>
          <w:rFonts w:ascii="Times New Roman" w:eastAsia="Times New Roman" w:hAnsi="Times New Roman" w:cs="Times New Roman"/>
          <w:lang w:eastAsia="en-AU"/>
        </w:rPr>
        <w:t xml:space="preserve">is to make </w:t>
      </w:r>
      <w:r w:rsidR="00490941">
        <w:rPr>
          <w:rFonts w:ascii="Times New Roman" w:eastAsia="Times New Roman" w:hAnsi="Times New Roman" w:cs="Times New Roman"/>
          <w:lang w:eastAsia="en-AU"/>
        </w:rPr>
        <w:t>funds </w:t>
      </w:r>
      <w:r>
        <w:rPr>
          <w:rFonts w:ascii="Times New Roman" w:eastAsia="Times New Roman" w:hAnsi="Times New Roman" w:cs="Times New Roman"/>
          <w:lang w:eastAsia="en-AU"/>
        </w:rPr>
        <w:t xml:space="preserve">available to </w:t>
      </w:r>
      <w:proofErr w:type="spellStart"/>
      <w:r w:rsidRPr="00E21E8C">
        <w:rPr>
          <w:rFonts w:ascii="Times New Roman" w:eastAsia="Times New Roman" w:hAnsi="Times New Roman" w:cs="Times New Roman"/>
          <w:lang w:eastAsia="en-AU"/>
        </w:rPr>
        <w:t>Comcare</w:t>
      </w:r>
      <w:proofErr w:type="spellEnd"/>
      <w:r w:rsidRPr="00E21E8C">
        <w:rPr>
          <w:rFonts w:ascii="Times New Roman" w:eastAsia="Times New Roman" w:hAnsi="Times New Roman" w:cs="Times New Roman"/>
          <w:lang w:eastAsia="en-AU"/>
        </w:rPr>
        <w:t xml:space="preserve"> as is necessary to enable </w:t>
      </w:r>
      <w:proofErr w:type="spellStart"/>
      <w:r w:rsidRPr="00E21E8C">
        <w:rPr>
          <w:rFonts w:ascii="Times New Roman" w:eastAsia="Times New Roman" w:hAnsi="Times New Roman" w:cs="Times New Roman"/>
          <w:lang w:eastAsia="en-AU"/>
        </w:rPr>
        <w:t>Comcare</w:t>
      </w:r>
      <w:proofErr w:type="spellEnd"/>
      <w:r w:rsidRPr="00E21E8C">
        <w:rPr>
          <w:rFonts w:ascii="Times New Roman" w:eastAsia="Times New Roman" w:hAnsi="Times New Roman" w:cs="Times New Roman"/>
          <w:lang w:eastAsia="en-AU"/>
        </w:rPr>
        <w:t xml:space="preserve"> to make that payment.</w:t>
      </w:r>
    </w:p>
    <w:p w14:paraId="4C43B2F9" w14:textId="77777777" w:rsidR="00BC7A70" w:rsidRPr="00E21E8C" w:rsidRDefault="00BC7A70" w:rsidP="00490941">
      <w:pPr>
        <w:shd w:val="clear" w:color="auto" w:fill="FFFFFF"/>
        <w:spacing w:after="120"/>
        <w:rPr>
          <w:rFonts w:ascii="Times New Roman" w:eastAsia="Times New Roman" w:hAnsi="Times New Roman" w:cs="Times New Roman"/>
          <w:lang w:eastAsia="en-AU"/>
        </w:rPr>
      </w:pPr>
      <w:r w:rsidRPr="00E21E8C">
        <w:rPr>
          <w:rFonts w:ascii="Times New Roman" w:eastAsia="Times New Roman" w:hAnsi="Times New Roman" w:cs="Times New Roman"/>
          <w:lang w:eastAsia="en-AU"/>
        </w:rPr>
        <w:t>S</w:t>
      </w:r>
      <w:r>
        <w:rPr>
          <w:rFonts w:ascii="Times New Roman" w:eastAsia="Times New Roman" w:hAnsi="Times New Roman" w:cs="Times New Roman"/>
          <w:lang w:eastAsia="en-AU"/>
        </w:rPr>
        <w:t>ubs</w:t>
      </w:r>
      <w:r w:rsidRPr="00E21E8C">
        <w:rPr>
          <w:rFonts w:ascii="Times New Roman" w:eastAsia="Times New Roman" w:hAnsi="Times New Roman" w:cs="Times New Roman"/>
          <w:lang w:eastAsia="en-AU"/>
        </w:rPr>
        <w:t xml:space="preserve">ection </w:t>
      </w:r>
      <w:proofErr w:type="gramStart"/>
      <w:r w:rsidRPr="00E21E8C">
        <w:rPr>
          <w:rFonts w:ascii="Times New Roman" w:eastAsia="Times New Roman" w:hAnsi="Times New Roman" w:cs="Times New Roman"/>
          <w:lang w:eastAsia="en-AU"/>
        </w:rPr>
        <w:t>90C(</w:t>
      </w:r>
      <w:proofErr w:type="gramEnd"/>
      <w:r w:rsidRPr="00E21E8C">
        <w:rPr>
          <w:rFonts w:ascii="Times New Roman" w:eastAsia="Times New Roman" w:hAnsi="Times New Roman" w:cs="Times New Roman"/>
          <w:lang w:eastAsia="en-AU"/>
        </w:rPr>
        <w:t>3) states that such payment will not be made</w:t>
      </w:r>
      <w:r>
        <w:rPr>
          <w:rFonts w:ascii="Times New Roman" w:eastAsia="Times New Roman" w:hAnsi="Times New Roman" w:cs="Times New Roman"/>
          <w:lang w:eastAsia="en-AU"/>
        </w:rPr>
        <w:t xml:space="preserve"> by the Commonwealth</w:t>
      </w:r>
      <w:r w:rsidRPr="00E21E8C">
        <w:rPr>
          <w:rFonts w:ascii="Times New Roman" w:eastAsia="Times New Roman" w:hAnsi="Times New Roman" w:cs="Times New Roman"/>
          <w:lang w:eastAsia="en-AU"/>
        </w:rPr>
        <w:t xml:space="preserve"> to </w:t>
      </w:r>
      <w:proofErr w:type="spellStart"/>
      <w:r w:rsidRPr="00E21E8C">
        <w:rPr>
          <w:rFonts w:ascii="Times New Roman" w:eastAsia="Times New Roman" w:hAnsi="Times New Roman" w:cs="Times New Roman"/>
          <w:lang w:eastAsia="en-AU"/>
        </w:rPr>
        <w:t>Comcare</w:t>
      </w:r>
      <w:proofErr w:type="spellEnd"/>
      <w:r w:rsidRPr="00E21E8C">
        <w:rPr>
          <w:rFonts w:ascii="Times New Roman" w:eastAsia="Times New Roman" w:hAnsi="Times New Roman" w:cs="Times New Roman"/>
          <w:lang w:eastAsia="en-AU"/>
        </w:rPr>
        <w:t xml:space="preserve"> under s</w:t>
      </w:r>
      <w:r>
        <w:rPr>
          <w:rFonts w:ascii="Times New Roman" w:eastAsia="Times New Roman" w:hAnsi="Times New Roman" w:cs="Times New Roman"/>
          <w:lang w:eastAsia="en-AU"/>
        </w:rPr>
        <w:t>ubsection</w:t>
      </w:r>
      <w:r w:rsidRPr="00E21E8C">
        <w:rPr>
          <w:rFonts w:ascii="Times New Roman" w:eastAsia="Times New Roman" w:hAnsi="Times New Roman" w:cs="Times New Roman"/>
          <w:lang w:eastAsia="en-AU"/>
        </w:rPr>
        <w:t xml:space="preserve"> 90C(2) if it would exceed the amount worked out using the formula: premiums received + notional interest – previous payments. </w:t>
      </w:r>
    </w:p>
    <w:p w14:paraId="5C35D472" w14:textId="6AA968FB" w:rsidR="00BC7A70" w:rsidRPr="00E21E8C" w:rsidRDefault="00BC7A70" w:rsidP="00490941">
      <w:pPr>
        <w:shd w:val="clear" w:color="auto" w:fill="FFFFFF"/>
        <w:spacing w:after="120"/>
        <w:rPr>
          <w:rFonts w:ascii="Times New Roman" w:hAnsi="Times New Roman" w:cs="Times New Roman"/>
        </w:rPr>
      </w:pPr>
      <w:r w:rsidRPr="00E21E8C">
        <w:rPr>
          <w:rFonts w:ascii="Times New Roman" w:eastAsia="Times New Roman" w:hAnsi="Times New Roman" w:cs="Times New Roman"/>
          <w:lang w:eastAsia="en-AU"/>
        </w:rPr>
        <w:t xml:space="preserve">For the purposes of this formula, </w:t>
      </w:r>
      <w:r>
        <w:rPr>
          <w:rFonts w:ascii="Times New Roman" w:eastAsia="Times New Roman" w:hAnsi="Times New Roman" w:cs="Times New Roman"/>
          <w:lang w:eastAsia="en-AU"/>
        </w:rPr>
        <w:t>‘</w:t>
      </w:r>
      <w:r w:rsidRPr="00E21E8C">
        <w:rPr>
          <w:rFonts w:ascii="Times New Roman" w:eastAsia="Times New Roman" w:hAnsi="Times New Roman" w:cs="Times New Roman"/>
          <w:lang w:eastAsia="en-AU"/>
        </w:rPr>
        <w:t>notional interest</w:t>
      </w:r>
      <w:r>
        <w:rPr>
          <w:rFonts w:ascii="Times New Roman" w:eastAsia="Times New Roman" w:hAnsi="Times New Roman" w:cs="Times New Roman"/>
          <w:lang w:eastAsia="en-AU"/>
        </w:rPr>
        <w:t>’</w:t>
      </w:r>
      <w:r w:rsidRPr="00E21E8C">
        <w:rPr>
          <w:rFonts w:ascii="Times New Roman" w:eastAsia="Times New Roman" w:hAnsi="Times New Roman" w:cs="Times New Roman"/>
          <w:lang w:eastAsia="en-AU"/>
        </w:rPr>
        <w:t xml:space="preserve"> is defined to mean </w:t>
      </w:r>
      <w:r w:rsidRPr="00E21E8C">
        <w:rPr>
          <w:rFonts w:ascii="Times New Roman" w:hAnsi="Times New Roman" w:cs="Times New Roman"/>
        </w:rPr>
        <w:t xml:space="preserve">the interest at such rates as </w:t>
      </w:r>
      <w:r w:rsidR="00DD7BA2" w:rsidRPr="00E21E8C">
        <w:rPr>
          <w:rFonts w:ascii="Times New Roman" w:hAnsi="Times New Roman" w:cs="Times New Roman"/>
        </w:rPr>
        <w:t>are</w:t>
      </w:r>
      <w:r w:rsidR="00DD7BA2">
        <w:rPr>
          <w:rFonts w:ascii="Times New Roman" w:hAnsi="Times New Roman" w:cs="Times New Roman"/>
        </w:rPr>
        <w:t> </w:t>
      </w:r>
      <w:r w:rsidRPr="00E21E8C">
        <w:rPr>
          <w:rFonts w:ascii="Times New Roman" w:hAnsi="Times New Roman" w:cs="Times New Roman"/>
        </w:rPr>
        <w:t xml:space="preserve">from time to time determined by the Finance Minister that would have accrued, on or after </w:t>
      </w:r>
      <w:r>
        <w:rPr>
          <w:rFonts w:ascii="Times New Roman" w:hAnsi="Times New Roman" w:cs="Times New Roman"/>
        </w:rPr>
        <w:br/>
      </w:r>
      <w:r w:rsidRPr="00E21E8C">
        <w:rPr>
          <w:rFonts w:ascii="Times New Roman" w:hAnsi="Times New Roman" w:cs="Times New Roman"/>
        </w:rPr>
        <w:t xml:space="preserve">1 July 1989 and before the relevant payment is made, in respect of the premiums received if </w:t>
      </w:r>
      <w:r w:rsidR="00490941" w:rsidRPr="00E21E8C">
        <w:rPr>
          <w:rFonts w:ascii="Times New Roman" w:hAnsi="Times New Roman" w:cs="Times New Roman"/>
        </w:rPr>
        <w:t>such</w:t>
      </w:r>
      <w:r w:rsidR="00490941">
        <w:rPr>
          <w:rFonts w:ascii="Times New Roman" w:hAnsi="Times New Roman" w:cs="Times New Roman"/>
        </w:rPr>
        <w:t> </w:t>
      </w:r>
      <w:r w:rsidRPr="00E21E8C">
        <w:rPr>
          <w:rFonts w:ascii="Times New Roman" w:hAnsi="Times New Roman" w:cs="Times New Roman"/>
        </w:rPr>
        <w:t xml:space="preserve">interest had been payable to the previous Commission and to </w:t>
      </w:r>
      <w:proofErr w:type="spellStart"/>
      <w:r w:rsidRPr="00E21E8C">
        <w:rPr>
          <w:rFonts w:ascii="Times New Roman" w:hAnsi="Times New Roman" w:cs="Times New Roman"/>
        </w:rPr>
        <w:t>Comcare</w:t>
      </w:r>
      <w:proofErr w:type="spellEnd"/>
      <w:r w:rsidRPr="00E21E8C">
        <w:rPr>
          <w:rFonts w:ascii="Times New Roman" w:hAnsi="Times New Roman" w:cs="Times New Roman"/>
        </w:rPr>
        <w:t>.</w:t>
      </w:r>
    </w:p>
    <w:p w14:paraId="1823F906" w14:textId="656F9CFA" w:rsidR="00BC7A70" w:rsidRDefault="00BC7A70" w:rsidP="00490941">
      <w:pPr>
        <w:shd w:val="clear" w:color="auto" w:fill="FFFFFF"/>
        <w:spacing w:after="120"/>
        <w:rPr>
          <w:rFonts w:ascii="Times New Roman" w:eastAsia="Times New Roman" w:hAnsi="Times New Roman" w:cs="Times New Roman"/>
          <w:lang w:eastAsia="en-AU"/>
        </w:rPr>
      </w:pPr>
      <w:r w:rsidRPr="007C5F93">
        <w:rPr>
          <w:rFonts w:ascii="Times New Roman" w:eastAsia="Times New Roman" w:hAnsi="Times New Roman" w:cs="Times New Roman"/>
          <w:lang w:eastAsia="en-AU"/>
        </w:rPr>
        <w:t xml:space="preserve">Pursuant to </w:t>
      </w:r>
      <w:r>
        <w:rPr>
          <w:rFonts w:ascii="Times New Roman" w:eastAsia="Times New Roman" w:hAnsi="Times New Roman" w:cs="Times New Roman"/>
          <w:lang w:eastAsia="en-AU"/>
        </w:rPr>
        <w:t xml:space="preserve">subsection </w:t>
      </w:r>
      <w:proofErr w:type="gramStart"/>
      <w:r>
        <w:rPr>
          <w:rFonts w:ascii="Times New Roman" w:eastAsia="Times New Roman" w:hAnsi="Times New Roman" w:cs="Times New Roman"/>
          <w:lang w:eastAsia="en-AU"/>
        </w:rPr>
        <w:t>90C(</w:t>
      </w:r>
      <w:proofErr w:type="gramEnd"/>
      <w:r>
        <w:rPr>
          <w:rFonts w:ascii="Times New Roman" w:eastAsia="Times New Roman" w:hAnsi="Times New Roman" w:cs="Times New Roman"/>
          <w:lang w:eastAsia="en-AU"/>
        </w:rPr>
        <w:t xml:space="preserve">3), the </w:t>
      </w:r>
      <w:r w:rsidRPr="00E21E8C">
        <w:rPr>
          <w:rFonts w:ascii="Times New Roman" w:hAnsi="Times New Roman" w:cs="Times New Roman"/>
        </w:rPr>
        <w:t>Finance Minister</w:t>
      </w:r>
      <w:r>
        <w:rPr>
          <w:rFonts w:ascii="Times New Roman" w:hAnsi="Times New Roman" w:cs="Times New Roman"/>
        </w:rPr>
        <w:t xml:space="preserve"> determines in this instrument </w:t>
      </w:r>
      <w:r w:rsidR="00490941">
        <w:rPr>
          <w:rFonts w:ascii="Times New Roman" w:hAnsi="Times New Roman" w:cs="Times New Roman"/>
        </w:rPr>
        <w:t xml:space="preserve">the </w:t>
      </w:r>
      <w:r w:rsidRPr="007C5F93">
        <w:rPr>
          <w:rFonts w:ascii="Times New Roman" w:eastAsia="Times New Roman" w:hAnsi="Times New Roman" w:cs="Times New Roman"/>
          <w:lang w:eastAsia="en-AU"/>
        </w:rPr>
        <w:t>‘</w:t>
      </w:r>
      <w:r w:rsidR="00DD7BA2" w:rsidRPr="00E21E8C">
        <w:rPr>
          <w:rFonts w:ascii="Times New Roman" w:eastAsia="Times New Roman" w:hAnsi="Times New Roman" w:cs="Times New Roman"/>
          <w:lang w:eastAsia="en-AU"/>
        </w:rPr>
        <w:t>notional</w:t>
      </w:r>
      <w:r w:rsidR="00490941">
        <w:rPr>
          <w:rFonts w:ascii="Times New Roman" w:eastAsia="Times New Roman" w:hAnsi="Times New Roman" w:cs="Times New Roman"/>
          <w:lang w:eastAsia="en-AU"/>
        </w:rPr>
        <w:t xml:space="preserve"> </w:t>
      </w:r>
      <w:r w:rsidRPr="00E21E8C">
        <w:rPr>
          <w:rFonts w:ascii="Times New Roman" w:eastAsia="Times New Roman" w:hAnsi="Times New Roman" w:cs="Times New Roman"/>
          <w:lang w:eastAsia="en-AU"/>
        </w:rPr>
        <w:t>interest</w:t>
      </w:r>
      <w:r>
        <w:rPr>
          <w:rFonts w:ascii="Times New Roman" w:eastAsia="Times New Roman" w:hAnsi="Times New Roman" w:cs="Times New Roman"/>
          <w:lang w:eastAsia="en-AU"/>
        </w:rPr>
        <w:t>’ to be applied in the following periods:</w:t>
      </w:r>
    </w:p>
    <w:p w14:paraId="37152C54" w14:textId="77777777" w:rsidR="00BC7A70" w:rsidRDefault="00BC7A70" w:rsidP="00490941">
      <w:pPr>
        <w:pStyle w:val="ListParagraph"/>
        <w:numPr>
          <w:ilvl w:val="0"/>
          <w:numId w:val="3"/>
        </w:numPr>
        <w:shd w:val="clear" w:color="auto" w:fill="FFFFFF"/>
        <w:spacing w:after="120"/>
        <w:rPr>
          <w:rFonts w:ascii="Times New Roman" w:eastAsia="Times New Roman" w:hAnsi="Times New Roman" w:cs="Times New Roman"/>
          <w:lang w:eastAsia="en-AU"/>
        </w:rPr>
      </w:pPr>
      <w:r>
        <w:rPr>
          <w:rFonts w:ascii="Times New Roman" w:eastAsia="Times New Roman" w:hAnsi="Times New Roman" w:cs="Times New Roman"/>
          <w:lang w:eastAsia="en-AU"/>
        </w:rPr>
        <w:t>1 July 1989 to 30 June 2000;</w:t>
      </w:r>
    </w:p>
    <w:p w14:paraId="4252617D" w14:textId="77777777" w:rsidR="00BC7A70" w:rsidRDefault="00BC7A70" w:rsidP="00490941">
      <w:pPr>
        <w:pStyle w:val="ListParagraph"/>
        <w:numPr>
          <w:ilvl w:val="0"/>
          <w:numId w:val="3"/>
        </w:numPr>
        <w:shd w:val="clear" w:color="auto" w:fill="FFFFFF"/>
        <w:spacing w:after="120"/>
        <w:rPr>
          <w:rFonts w:ascii="Times New Roman" w:eastAsia="Times New Roman" w:hAnsi="Times New Roman" w:cs="Times New Roman"/>
          <w:lang w:eastAsia="en-AU"/>
        </w:rPr>
      </w:pPr>
      <w:r>
        <w:rPr>
          <w:rFonts w:ascii="Times New Roman" w:eastAsia="Times New Roman" w:hAnsi="Times New Roman" w:cs="Times New Roman"/>
          <w:lang w:eastAsia="en-AU"/>
        </w:rPr>
        <w:t>1 July 2000 to 19 June 2002;</w:t>
      </w:r>
    </w:p>
    <w:p w14:paraId="6D72E37B" w14:textId="77777777" w:rsidR="00BC7A70" w:rsidRDefault="00BC7A70" w:rsidP="00490941">
      <w:pPr>
        <w:pStyle w:val="ListParagraph"/>
        <w:numPr>
          <w:ilvl w:val="0"/>
          <w:numId w:val="3"/>
        </w:numPr>
        <w:shd w:val="clear" w:color="auto" w:fill="FFFFFF"/>
        <w:spacing w:after="120"/>
        <w:rPr>
          <w:rFonts w:ascii="Times New Roman" w:eastAsia="Times New Roman" w:hAnsi="Times New Roman" w:cs="Times New Roman"/>
          <w:lang w:eastAsia="en-AU"/>
        </w:rPr>
      </w:pPr>
      <w:r>
        <w:rPr>
          <w:rFonts w:ascii="Times New Roman" w:eastAsia="Times New Roman" w:hAnsi="Times New Roman" w:cs="Times New Roman"/>
          <w:lang w:eastAsia="en-AU"/>
        </w:rPr>
        <w:t>20 June 2002 to 31 October 2018; and</w:t>
      </w:r>
    </w:p>
    <w:p w14:paraId="6B8DD52D" w14:textId="77777777" w:rsidR="00BC7A70" w:rsidRPr="00943C7F" w:rsidRDefault="00BC7A70" w:rsidP="00490941">
      <w:pPr>
        <w:pStyle w:val="ListParagraph"/>
        <w:numPr>
          <w:ilvl w:val="0"/>
          <w:numId w:val="3"/>
        </w:numPr>
        <w:shd w:val="clear" w:color="auto" w:fill="FFFFFF"/>
        <w:spacing w:after="120"/>
        <w:rPr>
          <w:lang w:eastAsia="en-AU"/>
        </w:rPr>
      </w:pPr>
      <w:proofErr w:type="gramStart"/>
      <w:r>
        <w:rPr>
          <w:rFonts w:ascii="Times New Roman" w:eastAsia="Times New Roman" w:hAnsi="Times New Roman" w:cs="Times New Roman"/>
          <w:lang w:eastAsia="en-AU"/>
        </w:rPr>
        <w:t>from</w:t>
      </w:r>
      <w:proofErr w:type="gramEnd"/>
      <w:r>
        <w:rPr>
          <w:rFonts w:ascii="Times New Roman" w:eastAsia="Times New Roman" w:hAnsi="Times New Roman" w:cs="Times New Roman"/>
          <w:lang w:eastAsia="en-AU"/>
        </w:rPr>
        <w:t xml:space="preserve"> 1 November 2018 onwards.</w:t>
      </w:r>
    </w:p>
    <w:p w14:paraId="3B3803FA" w14:textId="05E60355" w:rsidR="00BC7A70" w:rsidRPr="005477B6" w:rsidRDefault="00BC7A70" w:rsidP="00490941">
      <w:pPr>
        <w:spacing w:after="120"/>
        <w:rPr>
          <w:rFonts w:ascii="Times New Roman" w:hAnsi="Times New Roman" w:cs="Times New Roman"/>
        </w:rPr>
      </w:pPr>
      <w:r w:rsidRPr="005477B6">
        <w:rPr>
          <w:rFonts w:ascii="Times New Roman" w:hAnsi="Times New Roman" w:cs="Times New Roman"/>
        </w:rPr>
        <w:t>This instrument applies the same notional interest rate for the period</w:t>
      </w:r>
      <w:r>
        <w:rPr>
          <w:rFonts w:ascii="Times New Roman" w:hAnsi="Times New Roman" w:cs="Times New Roman"/>
        </w:rPr>
        <w:t xml:space="preserve"> </w:t>
      </w:r>
      <w:r w:rsidRPr="005477B6">
        <w:rPr>
          <w:rFonts w:ascii="Times New Roman" w:eastAsia="Times New Roman" w:hAnsi="Times New Roman" w:cs="Times New Roman"/>
          <w:lang w:eastAsia="en-AU"/>
        </w:rPr>
        <w:t xml:space="preserve">1 July 2000 to 19 June 2002, and the period 20 June 2002 to 31 October 2018 as specified in the preceding </w:t>
      </w:r>
      <w:r w:rsidRPr="005477B6">
        <w:rPr>
          <w:rFonts w:ascii="Times New Roman" w:hAnsi="Times New Roman" w:cs="Times New Roman"/>
          <w:i/>
        </w:rPr>
        <w:t>Safety, Rehabilitation and Compensation (Notional Interest) Determination 2003</w:t>
      </w:r>
      <w:r>
        <w:rPr>
          <w:rFonts w:ascii="Times New Roman" w:hAnsi="Times New Roman" w:cs="Times New Roman"/>
        </w:rPr>
        <w:t>. Prior to 30 June 2000 the notional interest rate was determined to be zero per cent.</w:t>
      </w:r>
    </w:p>
    <w:p w14:paraId="6EFD658F" w14:textId="77777777" w:rsidR="00BC7A70" w:rsidRDefault="00BC7A70" w:rsidP="00490941">
      <w:pPr>
        <w:spacing w:after="120"/>
        <w:rPr>
          <w:rFonts w:ascii="Times New Roman" w:hAnsi="Times New Roman" w:cs="Times New Roman"/>
        </w:rPr>
      </w:pPr>
      <w:r w:rsidRPr="00FF1889">
        <w:rPr>
          <w:rFonts w:ascii="Times New Roman" w:hAnsi="Times New Roman" w:cs="Times New Roman"/>
        </w:rPr>
        <w:t>The change to the notional interest rate</w:t>
      </w:r>
      <w:r>
        <w:rPr>
          <w:rFonts w:ascii="Times New Roman" w:hAnsi="Times New Roman" w:cs="Times New Roman"/>
        </w:rPr>
        <w:t xml:space="preserve"> from 1 November 2018 to the Bloomberg </w:t>
      </w:r>
      <w:proofErr w:type="spellStart"/>
      <w:r>
        <w:rPr>
          <w:rFonts w:ascii="Times New Roman" w:hAnsi="Times New Roman" w:cs="Times New Roman"/>
        </w:rPr>
        <w:t>AusBond</w:t>
      </w:r>
      <w:proofErr w:type="spellEnd"/>
      <w:r>
        <w:rPr>
          <w:rFonts w:ascii="Times New Roman" w:hAnsi="Times New Roman" w:cs="Times New Roman"/>
        </w:rPr>
        <w:t xml:space="preserve"> Treasury 5+ Year Index will </w:t>
      </w:r>
      <w:r w:rsidRPr="006B1D3F">
        <w:rPr>
          <w:rFonts w:ascii="Times New Roman" w:hAnsi="Times New Roman" w:cs="Times New Roman"/>
        </w:rPr>
        <w:t xml:space="preserve">enable closer duration matching of </w:t>
      </w:r>
      <w:proofErr w:type="spellStart"/>
      <w:r w:rsidRPr="006B1D3F">
        <w:rPr>
          <w:rFonts w:ascii="Times New Roman" w:hAnsi="Times New Roman" w:cs="Times New Roman"/>
        </w:rPr>
        <w:t>Comcare</w:t>
      </w:r>
      <w:proofErr w:type="spellEnd"/>
      <w:r w:rsidRPr="006B1D3F">
        <w:rPr>
          <w:rFonts w:ascii="Times New Roman" w:hAnsi="Times New Roman" w:cs="Times New Roman"/>
        </w:rPr>
        <w:t xml:space="preserve"> premium scheme assets and liabilities, creating greater stability in </w:t>
      </w:r>
      <w:proofErr w:type="spellStart"/>
      <w:r w:rsidRPr="006B1D3F">
        <w:rPr>
          <w:rFonts w:ascii="Times New Roman" w:hAnsi="Times New Roman" w:cs="Times New Roman"/>
        </w:rPr>
        <w:t>Comcare’s</w:t>
      </w:r>
      <w:proofErr w:type="spellEnd"/>
      <w:r w:rsidRPr="006B1D3F">
        <w:rPr>
          <w:rFonts w:ascii="Times New Roman" w:hAnsi="Times New Roman" w:cs="Times New Roman"/>
        </w:rPr>
        <w:t xml:space="preserve"> funding ratio and reducing the risk of premiums being significantly impacted by interest rates.</w:t>
      </w:r>
      <w:r>
        <w:rPr>
          <w:rFonts w:ascii="Times New Roman" w:hAnsi="Times New Roman" w:cs="Times New Roman"/>
        </w:rPr>
        <w:t xml:space="preserve"> </w:t>
      </w:r>
    </w:p>
    <w:p w14:paraId="0A2E13B1" w14:textId="77777777" w:rsidR="00BC7A70" w:rsidRDefault="00BC7A70" w:rsidP="00490941">
      <w:pPr>
        <w:spacing w:after="120"/>
        <w:rPr>
          <w:rFonts w:ascii="Times New Roman" w:hAnsi="Times New Roman" w:cs="Times New Roman"/>
        </w:rPr>
      </w:pPr>
      <w:r>
        <w:rPr>
          <w:rFonts w:ascii="Times New Roman" w:hAnsi="Times New Roman" w:cs="Times New Roman"/>
        </w:rPr>
        <w:t xml:space="preserve">The instrument has retrospective application but operates on the same terms as previous determinations made under subsection </w:t>
      </w:r>
      <w:proofErr w:type="gramStart"/>
      <w:r>
        <w:rPr>
          <w:rFonts w:ascii="Times New Roman" w:hAnsi="Times New Roman" w:cs="Times New Roman"/>
        </w:rPr>
        <w:t>90C(</w:t>
      </w:r>
      <w:proofErr w:type="gramEnd"/>
      <w:r>
        <w:rPr>
          <w:rFonts w:ascii="Times New Roman" w:hAnsi="Times New Roman" w:cs="Times New Roman"/>
        </w:rPr>
        <w:t>3) of the SRC Act were understood to operate.</w:t>
      </w:r>
    </w:p>
    <w:p w14:paraId="24B620C7" w14:textId="6AAA6A00" w:rsidR="00BC7A70" w:rsidRPr="00576C44" w:rsidRDefault="00BC7A70" w:rsidP="00490941">
      <w:pPr>
        <w:spacing w:after="120"/>
        <w:rPr>
          <w:rFonts w:ascii="Times New Roman" w:hAnsi="Times New Roman" w:cs="Times New Roman"/>
        </w:rPr>
      </w:pPr>
      <w:r>
        <w:rPr>
          <w:rFonts w:ascii="Times New Roman" w:hAnsi="Times New Roman" w:cs="Times New Roman"/>
        </w:rPr>
        <w:t xml:space="preserve">Subsection 12(1A) of the </w:t>
      </w:r>
      <w:r>
        <w:rPr>
          <w:rFonts w:ascii="Times New Roman" w:hAnsi="Times New Roman" w:cs="Times New Roman"/>
          <w:i/>
        </w:rPr>
        <w:t xml:space="preserve">Legislation Act 2003 </w:t>
      </w:r>
      <w:r>
        <w:rPr>
          <w:rFonts w:ascii="Times New Roman" w:hAnsi="Times New Roman" w:cs="Times New Roman"/>
        </w:rPr>
        <w:t xml:space="preserve">provides that a legislative instrument may provide that the instrument commences before it is registered. However, subsection 12(2) of that Act provides that </w:t>
      </w:r>
      <w:r>
        <w:rPr>
          <w:rFonts w:ascii="Times New Roman" w:hAnsi="Times New Roman" w:cs="Times New Roman"/>
        </w:rPr>
        <w:lastRenderedPageBreak/>
        <w:t>the retrospective commencement of an instrument is to have no effect if it would disadvantage the</w:t>
      </w:r>
      <w:r w:rsidR="00DD7BA2">
        <w:rPr>
          <w:rFonts w:ascii="Times New Roman" w:hAnsi="Times New Roman" w:cs="Times New Roman"/>
        </w:rPr>
        <w:t> </w:t>
      </w:r>
      <w:r>
        <w:rPr>
          <w:rFonts w:ascii="Times New Roman" w:hAnsi="Times New Roman" w:cs="Times New Roman"/>
        </w:rPr>
        <w:t xml:space="preserve">rights of a person or impose liabilities on a person in respect of anything done or omitted to </w:t>
      </w:r>
      <w:r w:rsidR="00DD7BA2">
        <w:rPr>
          <w:rFonts w:ascii="Times New Roman" w:hAnsi="Times New Roman" w:cs="Times New Roman"/>
        </w:rPr>
        <w:t>be </w:t>
      </w:r>
      <w:r>
        <w:rPr>
          <w:rFonts w:ascii="Times New Roman" w:hAnsi="Times New Roman" w:cs="Times New Roman"/>
        </w:rPr>
        <w:t>done prior to the registration of the instrument.</w:t>
      </w:r>
    </w:p>
    <w:p w14:paraId="7A1443F6" w14:textId="2348008A" w:rsidR="00BC7A70" w:rsidRDefault="00BC7A70" w:rsidP="00490941">
      <w:pPr>
        <w:spacing w:after="120"/>
        <w:rPr>
          <w:rFonts w:ascii="Times New Roman" w:hAnsi="Times New Roman" w:cs="Times New Roman"/>
        </w:rPr>
      </w:pPr>
      <w:r>
        <w:rPr>
          <w:rFonts w:ascii="Times New Roman" w:hAnsi="Times New Roman" w:cs="Times New Roman"/>
        </w:rPr>
        <w:t xml:space="preserve">While the instrument commences on the day after it is registered on the Federal Register of Legislation, it has retrospective application with notional interest rates determined for periods dating back to 1 July 1989. This will not disadvantage any person other than the Commonwealth. </w:t>
      </w:r>
      <w:r w:rsidR="00490941">
        <w:rPr>
          <w:rFonts w:ascii="Times New Roman" w:hAnsi="Times New Roman" w:cs="Times New Roman"/>
        </w:rPr>
        <w:t>The effect </w:t>
      </w:r>
      <w:r>
        <w:rPr>
          <w:rFonts w:ascii="Times New Roman" w:hAnsi="Times New Roman" w:cs="Times New Roman"/>
        </w:rPr>
        <w:t xml:space="preserve">of the instrument is to apply a notional interest rate to </w:t>
      </w:r>
      <w:r w:rsidRPr="00576C44">
        <w:rPr>
          <w:rFonts w:ascii="Times New Roman" w:hAnsi="Times New Roman" w:cs="Times New Roman"/>
        </w:rPr>
        <w:t xml:space="preserve">funds </w:t>
      </w:r>
      <w:r>
        <w:rPr>
          <w:rFonts w:ascii="Times New Roman" w:hAnsi="Times New Roman" w:cs="Times New Roman"/>
        </w:rPr>
        <w:t xml:space="preserve">to be made available to </w:t>
      </w:r>
      <w:proofErr w:type="spellStart"/>
      <w:r>
        <w:rPr>
          <w:rFonts w:ascii="Times New Roman" w:hAnsi="Times New Roman" w:cs="Times New Roman"/>
        </w:rPr>
        <w:t>Comcare</w:t>
      </w:r>
      <w:proofErr w:type="spellEnd"/>
      <w:r>
        <w:rPr>
          <w:rFonts w:ascii="Times New Roman" w:hAnsi="Times New Roman" w:cs="Times New Roman"/>
        </w:rPr>
        <w:t xml:space="preserve">, </w:t>
      </w:r>
      <w:r w:rsidR="00DD7BA2">
        <w:rPr>
          <w:rFonts w:ascii="Times New Roman" w:hAnsi="Times New Roman" w:cs="Times New Roman"/>
        </w:rPr>
        <w:t>a </w:t>
      </w:r>
      <w:r>
        <w:rPr>
          <w:rFonts w:ascii="Times New Roman" w:hAnsi="Times New Roman" w:cs="Times New Roman"/>
        </w:rPr>
        <w:t xml:space="preserve">Commonwealth authority, to meet its liabilities and other expenses. This impacts </w:t>
      </w:r>
      <w:r w:rsidR="00490941">
        <w:rPr>
          <w:rFonts w:ascii="Times New Roman" w:hAnsi="Times New Roman" w:cs="Times New Roman"/>
        </w:rPr>
        <w:t>the </w:t>
      </w:r>
      <w:r>
        <w:rPr>
          <w:rFonts w:ascii="Times New Roman" w:hAnsi="Times New Roman" w:cs="Times New Roman"/>
        </w:rPr>
        <w:t>Commonwealth only.</w:t>
      </w:r>
    </w:p>
    <w:p w14:paraId="7680341E" w14:textId="42239353" w:rsidR="00BC7A70" w:rsidRDefault="00BC7A70" w:rsidP="00490941">
      <w:pPr>
        <w:spacing w:after="120"/>
        <w:rPr>
          <w:rFonts w:ascii="Times New Roman" w:hAnsi="Times New Roman" w:cs="Times New Roman"/>
        </w:rPr>
      </w:pPr>
      <w:r w:rsidRPr="00576C44">
        <w:rPr>
          <w:rFonts w:ascii="Times New Roman" w:hAnsi="Times New Roman" w:cs="Times New Roman"/>
        </w:rPr>
        <w:t>Under s</w:t>
      </w:r>
      <w:r>
        <w:rPr>
          <w:rFonts w:ascii="Times New Roman" w:hAnsi="Times New Roman" w:cs="Times New Roman"/>
        </w:rPr>
        <w:t xml:space="preserve">ection </w:t>
      </w:r>
      <w:r w:rsidRPr="00576C44">
        <w:rPr>
          <w:rFonts w:ascii="Times New Roman" w:hAnsi="Times New Roman" w:cs="Times New Roman"/>
        </w:rPr>
        <w:t xml:space="preserve">90C of the SRC Act, </w:t>
      </w:r>
      <w:proofErr w:type="spellStart"/>
      <w:r w:rsidRPr="00576C44">
        <w:rPr>
          <w:rFonts w:ascii="Times New Roman" w:hAnsi="Times New Roman" w:cs="Times New Roman"/>
        </w:rPr>
        <w:t>Comcare</w:t>
      </w:r>
      <w:proofErr w:type="spellEnd"/>
      <w:r w:rsidRPr="00576C44">
        <w:rPr>
          <w:rFonts w:ascii="Times New Roman" w:hAnsi="Times New Roman" w:cs="Times New Roman"/>
        </w:rPr>
        <w:t xml:space="preserve"> pays the future cost of claims from cash reserves. </w:t>
      </w:r>
      <w:r w:rsidR="00DD7BA2" w:rsidRPr="00576C44">
        <w:rPr>
          <w:rFonts w:ascii="Times New Roman" w:hAnsi="Times New Roman" w:cs="Times New Roman"/>
        </w:rPr>
        <w:t>A</w:t>
      </w:r>
      <w:r w:rsidR="00DD7BA2">
        <w:rPr>
          <w:rFonts w:ascii="Times New Roman" w:hAnsi="Times New Roman" w:cs="Times New Roman"/>
        </w:rPr>
        <w:t> </w:t>
      </w:r>
      <w:r w:rsidR="00DD7BA2" w:rsidRPr="00576C44">
        <w:rPr>
          <w:rFonts w:ascii="Times New Roman" w:hAnsi="Times New Roman" w:cs="Times New Roman"/>
        </w:rPr>
        <w:t>new</w:t>
      </w:r>
      <w:r w:rsidR="00DD7BA2">
        <w:rPr>
          <w:rFonts w:ascii="Times New Roman" w:hAnsi="Times New Roman" w:cs="Times New Roman"/>
        </w:rPr>
        <w:t> </w:t>
      </w:r>
      <w:r w:rsidRPr="00576C44">
        <w:rPr>
          <w:rFonts w:ascii="Times New Roman" w:hAnsi="Times New Roman" w:cs="Times New Roman"/>
        </w:rPr>
        <w:t xml:space="preserve">determination </w:t>
      </w:r>
      <w:r>
        <w:rPr>
          <w:rFonts w:ascii="Times New Roman" w:hAnsi="Times New Roman" w:cs="Times New Roman"/>
        </w:rPr>
        <w:t xml:space="preserve">of the notional interest rate applicable to these funds </w:t>
      </w:r>
      <w:r w:rsidRPr="00576C44">
        <w:rPr>
          <w:rFonts w:ascii="Times New Roman" w:hAnsi="Times New Roman" w:cs="Times New Roman"/>
        </w:rPr>
        <w:t xml:space="preserve">will only impact </w:t>
      </w:r>
      <w:r w:rsidR="00490941" w:rsidRPr="00576C44">
        <w:rPr>
          <w:rFonts w:ascii="Times New Roman" w:hAnsi="Times New Roman" w:cs="Times New Roman"/>
        </w:rPr>
        <w:t>the</w:t>
      </w:r>
      <w:r w:rsidR="00490941">
        <w:rPr>
          <w:rFonts w:ascii="Times New Roman" w:hAnsi="Times New Roman" w:cs="Times New Roman"/>
        </w:rPr>
        <w:t> </w:t>
      </w:r>
      <w:r w:rsidRPr="00576C44">
        <w:rPr>
          <w:rFonts w:ascii="Times New Roman" w:hAnsi="Times New Roman" w:cs="Times New Roman"/>
        </w:rPr>
        <w:t xml:space="preserve">notional value of </w:t>
      </w:r>
      <w:proofErr w:type="spellStart"/>
      <w:r w:rsidRPr="00576C44">
        <w:rPr>
          <w:rFonts w:ascii="Times New Roman" w:hAnsi="Times New Roman" w:cs="Times New Roman"/>
        </w:rPr>
        <w:t>Comcare</w:t>
      </w:r>
      <w:proofErr w:type="spellEnd"/>
      <w:r w:rsidRPr="00576C44">
        <w:rPr>
          <w:rFonts w:ascii="Times New Roman" w:hAnsi="Times New Roman" w:cs="Times New Roman"/>
        </w:rPr>
        <w:t xml:space="preserve"> funds </w:t>
      </w:r>
      <w:r>
        <w:rPr>
          <w:rFonts w:ascii="Times New Roman" w:hAnsi="Times New Roman" w:cs="Times New Roman"/>
        </w:rPr>
        <w:t xml:space="preserve">held in the Consolidated Revenue Fund (CRF), </w:t>
      </w:r>
      <w:r w:rsidRPr="00576C44">
        <w:rPr>
          <w:rFonts w:ascii="Times New Roman" w:hAnsi="Times New Roman" w:cs="Times New Roman"/>
        </w:rPr>
        <w:t>but</w:t>
      </w:r>
      <w:r>
        <w:rPr>
          <w:rFonts w:ascii="Times New Roman" w:hAnsi="Times New Roman" w:cs="Times New Roman"/>
        </w:rPr>
        <w:t xml:space="preserve"> </w:t>
      </w:r>
      <w:r w:rsidRPr="00576C44">
        <w:rPr>
          <w:rFonts w:ascii="Times New Roman" w:hAnsi="Times New Roman" w:cs="Times New Roman"/>
        </w:rPr>
        <w:t xml:space="preserve">will have </w:t>
      </w:r>
      <w:r w:rsidR="00490941">
        <w:rPr>
          <w:rFonts w:ascii="Times New Roman" w:hAnsi="Times New Roman" w:cs="Times New Roman"/>
        </w:rPr>
        <w:t>no </w:t>
      </w:r>
      <w:r w:rsidRPr="00576C44">
        <w:rPr>
          <w:rFonts w:ascii="Times New Roman" w:hAnsi="Times New Roman" w:cs="Times New Roman"/>
        </w:rPr>
        <w:t>impact on underlying cash</w:t>
      </w:r>
      <w:r>
        <w:rPr>
          <w:rFonts w:ascii="Times New Roman" w:hAnsi="Times New Roman" w:cs="Times New Roman"/>
        </w:rPr>
        <w:t xml:space="preserve"> balances</w:t>
      </w:r>
      <w:r w:rsidRPr="00576C44">
        <w:rPr>
          <w:rFonts w:ascii="Times New Roman" w:hAnsi="Times New Roman" w:cs="Times New Roman"/>
        </w:rPr>
        <w:t xml:space="preserve">. </w:t>
      </w:r>
    </w:p>
    <w:p w14:paraId="2F9B531F" w14:textId="77777777" w:rsidR="00890D4E" w:rsidRDefault="00890D4E" w:rsidP="00490941">
      <w:pPr>
        <w:spacing w:after="120"/>
        <w:rPr>
          <w:rFonts w:ascii="Times New Roman" w:hAnsi="Times New Roman" w:cs="Times New Roman"/>
        </w:rPr>
      </w:pPr>
      <w:r w:rsidRPr="00890D4E">
        <w:rPr>
          <w:rFonts w:ascii="Times New Roman" w:hAnsi="Times New Roman" w:cs="Times New Roman"/>
        </w:rPr>
        <w:t>Specifying the notional interest rates for prior periods confirms the applicable rates over previous periods.</w:t>
      </w:r>
    </w:p>
    <w:p w14:paraId="0498021D" w14:textId="14482AB6" w:rsidR="00BC7A70" w:rsidRPr="005477B6" w:rsidRDefault="00BC7A70" w:rsidP="00490941">
      <w:pPr>
        <w:spacing w:after="120"/>
        <w:rPr>
          <w:rFonts w:ascii="Times New Roman" w:eastAsia="Times New Roman" w:hAnsi="Times New Roman" w:cs="Times New Roman"/>
          <w:lang w:eastAsia="en-AU"/>
        </w:rPr>
      </w:pPr>
      <w:r w:rsidRPr="00FF1889">
        <w:rPr>
          <w:rFonts w:ascii="Times New Roman" w:hAnsi="Times New Roman" w:cs="Times New Roman"/>
        </w:rPr>
        <w:t xml:space="preserve">The instrument is a disallowable legislative instrument for the purposes of section 42 of </w:t>
      </w:r>
      <w:r w:rsidR="00DD7BA2" w:rsidRPr="00FF1889">
        <w:rPr>
          <w:rFonts w:ascii="Times New Roman" w:hAnsi="Times New Roman" w:cs="Times New Roman"/>
        </w:rPr>
        <w:t>the</w:t>
      </w:r>
      <w:r w:rsidR="00DD7BA2">
        <w:rPr>
          <w:rFonts w:ascii="Times New Roman" w:hAnsi="Times New Roman" w:cs="Times New Roman"/>
        </w:rPr>
        <w:t> </w:t>
      </w:r>
      <w:r w:rsidRPr="00FF1889">
        <w:rPr>
          <w:rFonts w:ascii="Times New Roman" w:hAnsi="Times New Roman" w:cs="Times New Roman"/>
          <w:i/>
        </w:rPr>
        <w:t>Legislation Act 2003</w:t>
      </w:r>
      <w:r w:rsidRPr="00FF1889">
        <w:rPr>
          <w:rFonts w:ascii="Times New Roman" w:hAnsi="Times New Roman" w:cs="Times New Roman"/>
        </w:rPr>
        <w:t>.</w:t>
      </w:r>
    </w:p>
    <w:p w14:paraId="280B00B5" w14:textId="77777777" w:rsidR="00D9450D" w:rsidRPr="007C5F93" w:rsidRDefault="00D9450D" w:rsidP="00DD7BA2">
      <w:pPr>
        <w:spacing w:after="120"/>
        <w:rPr>
          <w:rFonts w:ascii="Times New Roman" w:hAnsi="Times New Roman" w:cs="Times New Roman"/>
          <w:b/>
        </w:rPr>
      </w:pPr>
      <w:r w:rsidRPr="007C5F93">
        <w:rPr>
          <w:rFonts w:ascii="Times New Roman" w:hAnsi="Times New Roman" w:cs="Times New Roman"/>
          <w:b/>
        </w:rPr>
        <w:t>Human rights implications</w:t>
      </w:r>
    </w:p>
    <w:p w14:paraId="4926E211" w14:textId="7460E45C" w:rsidR="00E051C4" w:rsidRPr="007C5F93" w:rsidRDefault="00E051C4" w:rsidP="00490941">
      <w:pPr>
        <w:spacing w:after="120"/>
        <w:rPr>
          <w:rFonts w:ascii="Times New Roman" w:eastAsia="Times New Roman" w:hAnsi="Times New Roman" w:cs="Times New Roman"/>
          <w:bCs/>
          <w:lang w:eastAsia="en-AU"/>
        </w:rPr>
      </w:pPr>
      <w:r w:rsidRPr="007C5F93">
        <w:rPr>
          <w:rFonts w:ascii="Times New Roman" w:hAnsi="Times New Roman" w:cs="Times New Roman"/>
        </w:rPr>
        <w:t xml:space="preserve">Article 9 of the </w:t>
      </w:r>
      <w:r w:rsidRPr="007C5F93">
        <w:rPr>
          <w:rFonts w:ascii="Times New Roman" w:hAnsi="Times New Roman" w:cs="Times New Roman"/>
          <w:i/>
          <w:iCs/>
        </w:rPr>
        <w:t xml:space="preserve">International Covenant on Economic, Social and Cultural Rights </w:t>
      </w:r>
      <w:r w:rsidRPr="007C5F93">
        <w:rPr>
          <w:rFonts w:ascii="Times New Roman" w:hAnsi="Times New Roman" w:cs="Times New Roman"/>
        </w:rPr>
        <w:t xml:space="preserve">provides for </w:t>
      </w:r>
      <w:r w:rsidR="00DD7BA2" w:rsidRPr="007C5F93">
        <w:rPr>
          <w:rFonts w:ascii="Times New Roman" w:hAnsi="Times New Roman" w:cs="Times New Roman"/>
        </w:rPr>
        <w:t>the</w:t>
      </w:r>
      <w:r w:rsidR="00DD7BA2">
        <w:rPr>
          <w:rFonts w:ascii="Times New Roman" w:hAnsi="Times New Roman" w:cs="Times New Roman"/>
        </w:rPr>
        <w:t> </w:t>
      </w:r>
      <w:r w:rsidRPr="007C5F93">
        <w:rPr>
          <w:rFonts w:ascii="Times New Roman" w:hAnsi="Times New Roman" w:cs="Times New Roman"/>
        </w:rPr>
        <w:t xml:space="preserve">right of everyone to social security, including social insurance. General Comment 19 by </w:t>
      </w:r>
      <w:r w:rsidR="00DD7BA2" w:rsidRPr="007C5F93">
        <w:rPr>
          <w:rFonts w:ascii="Times New Roman" w:hAnsi="Times New Roman" w:cs="Times New Roman"/>
        </w:rPr>
        <w:t>the</w:t>
      </w:r>
      <w:r w:rsidR="00DD7BA2">
        <w:rPr>
          <w:rFonts w:ascii="Times New Roman" w:hAnsi="Times New Roman" w:cs="Times New Roman"/>
        </w:rPr>
        <w:t> </w:t>
      </w:r>
      <w:r w:rsidRPr="007C5F93">
        <w:rPr>
          <w:rFonts w:ascii="Times New Roman" w:hAnsi="Times New Roman" w:cs="Times New Roman"/>
        </w:rPr>
        <w:t xml:space="preserve">Committee on Economic, Social and Cultural Rights elaborates on Article 9, stating that </w:t>
      </w:r>
      <w:r w:rsidR="00DD7BA2" w:rsidRPr="007C5F93">
        <w:rPr>
          <w:rFonts w:ascii="Times New Roman" w:hAnsi="Times New Roman" w:cs="Times New Roman"/>
        </w:rPr>
        <w:t>the</w:t>
      </w:r>
      <w:r w:rsidR="00DD7BA2">
        <w:rPr>
          <w:rFonts w:ascii="Times New Roman" w:hAnsi="Times New Roman" w:cs="Times New Roman"/>
        </w:rPr>
        <w:t> </w:t>
      </w:r>
      <w:r w:rsidRPr="007C5F93">
        <w:rPr>
          <w:rFonts w:ascii="Times New Roman" w:hAnsi="Times New Roman" w:cs="Times New Roman"/>
        </w:rPr>
        <w:t xml:space="preserve">‘States parties should ensure the protection of workers who are injured in the course of employment or other productive </w:t>
      </w:r>
      <w:r w:rsidRPr="007C5F93">
        <w:rPr>
          <w:rFonts w:ascii="Times New Roman" w:eastAsia="Times New Roman" w:hAnsi="Times New Roman" w:cs="Times New Roman"/>
          <w:bCs/>
          <w:lang w:eastAsia="en-AU"/>
        </w:rPr>
        <w:t>work’.</w:t>
      </w:r>
      <w:r w:rsidRPr="007C5F93">
        <w:rPr>
          <w:rFonts w:ascii="Times New Roman" w:eastAsia="Times New Roman" w:hAnsi="Times New Roman" w:cs="Times New Roman"/>
          <w:bCs/>
          <w:vertAlign w:val="superscript"/>
          <w:lang w:eastAsia="en-AU"/>
        </w:rPr>
        <w:footnoteReference w:customMarkFollows="1" w:id="1"/>
        <w:t>1</w:t>
      </w:r>
      <w:r w:rsidRPr="007C5F93">
        <w:rPr>
          <w:rFonts w:ascii="Times New Roman" w:eastAsia="Times New Roman" w:hAnsi="Times New Roman" w:cs="Times New Roman"/>
          <w:bCs/>
          <w:lang w:eastAsia="en-AU"/>
        </w:rPr>
        <w:t xml:space="preserve"> </w:t>
      </w:r>
    </w:p>
    <w:p w14:paraId="73BB767F" w14:textId="77777777" w:rsidR="00E051C4" w:rsidRPr="007C5F93" w:rsidRDefault="00E051C4" w:rsidP="00490941">
      <w:pPr>
        <w:spacing w:after="120"/>
        <w:rPr>
          <w:rFonts w:ascii="Times New Roman" w:hAnsi="Times New Roman" w:cs="Times New Roman"/>
        </w:rPr>
      </w:pPr>
      <w:r w:rsidRPr="007C5F93">
        <w:rPr>
          <w:rFonts w:ascii="Times New Roman" w:hAnsi="Times New Roman" w:cs="Times New Roman"/>
        </w:rPr>
        <w:t>Workers’ compensation</w:t>
      </w:r>
      <w:r w:rsidR="00B91654">
        <w:rPr>
          <w:rFonts w:ascii="Times New Roman" w:hAnsi="Times New Roman" w:cs="Times New Roman"/>
        </w:rPr>
        <w:t xml:space="preserve">, such as that provided through </w:t>
      </w:r>
      <w:proofErr w:type="spellStart"/>
      <w:r w:rsidR="00B91654">
        <w:rPr>
          <w:rFonts w:ascii="Times New Roman" w:hAnsi="Times New Roman" w:cs="Times New Roman"/>
        </w:rPr>
        <w:t>Comcare</w:t>
      </w:r>
      <w:proofErr w:type="spellEnd"/>
      <w:r w:rsidR="00B91654">
        <w:rPr>
          <w:rFonts w:ascii="Times New Roman" w:hAnsi="Times New Roman" w:cs="Times New Roman"/>
        </w:rPr>
        <w:t>,</w:t>
      </w:r>
      <w:r w:rsidRPr="007C5F93">
        <w:rPr>
          <w:rFonts w:ascii="Times New Roman" w:hAnsi="Times New Roman" w:cs="Times New Roman"/>
        </w:rPr>
        <w:t xml:space="preserve"> is analogous to social insurance in that it provides payment of wages and medical costs to employees for injuries occurring as a result of their employment. </w:t>
      </w:r>
    </w:p>
    <w:p w14:paraId="79BDDB8C" w14:textId="37F65FB5" w:rsidR="001C2543" w:rsidRDefault="00767E56" w:rsidP="00490941">
      <w:pPr>
        <w:spacing w:after="120"/>
        <w:rPr>
          <w:rFonts w:ascii="Times New Roman" w:hAnsi="Times New Roman" w:cs="Times New Roman"/>
        </w:rPr>
      </w:pPr>
      <w:r>
        <w:rPr>
          <w:rFonts w:ascii="Times New Roman" w:hAnsi="Times New Roman" w:cs="Times New Roman"/>
        </w:rPr>
        <w:t xml:space="preserve">This instrument does not raise any </w:t>
      </w:r>
      <w:r w:rsidRPr="007C5F93">
        <w:rPr>
          <w:rFonts w:ascii="Times New Roman" w:hAnsi="Times New Roman" w:cs="Times New Roman"/>
        </w:rPr>
        <w:t>human rights issues</w:t>
      </w:r>
      <w:r>
        <w:rPr>
          <w:rFonts w:ascii="Times New Roman" w:hAnsi="Times New Roman" w:cs="Times New Roman"/>
        </w:rPr>
        <w:t xml:space="preserve"> because it determines the extent of </w:t>
      </w:r>
      <w:r w:rsidR="00DD7BA2">
        <w:rPr>
          <w:rFonts w:ascii="Times New Roman" w:hAnsi="Times New Roman" w:cs="Times New Roman"/>
        </w:rPr>
        <w:t>the </w:t>
      </w:r>
      <w:r>
        <w:rPr>
          <w:rFonts w:ascii="Times New Roman" w:hAnsi="Times New Roman" w:cs="Times New Roman"/>
        </w:rPr>
        <w:t xml:space="preserve">Commonwealth’s liability to pay money to </w:t>
      </w:r>
      <w:proofErr w:type="spellStart"/>
      <w:r>
        <w:rPr>
          <w:rFonts w:ascii="Times New Roman" w:hAnsi="Times New Roman" w:cs="Times New Roman"/>
        </w:rPr>
        <w:t>Comcare</w:t>
      </w:r>
      <w:proofErr w:type="spellEnd"/>
      <w:r>
        <w:rPr>
          <w:rFonts w:ascii="Times New Roman" w:hAnsi="Times New Roman" w:cs="Times New Roman"/>
        </w:rPr>
        <w:t xml:space="preserve"> in circumstances in which </w:t>
      </w:r>
      <w:r w:rsidR="007D3B88" w:rsidRPr="007D3B88">
        <w:rPr>
          <w:rFonts w:ascii="Times New Roman" w:hAnsi="Times New Roman" w:cs="Times New Roman"/>
        </w:rPr>
        <w:t xml:space="preserve">there </w:t>
      </w:r>
      <w:r w:rsidR="00490941" w:rsidRPr="007D3B88">
        <w:rPr>
          <w:rFonts w:ascii="Times New Roman" w:hAnsi="Times New Roman" w:cs="Times New Roman"/>
        </w:rPr>
        <w:t>is</w:t>
      </w:r>
      <w:r w:rsidR="00490941">
        <w:rPr>
          <w:rFonts w:ascii="Times New Roman" w:hAnsi="Times New Roman" w:cs="Times New Roman"/>
        </w:rPr>
        <w:t> </w:t>
      </w:r>
      <w:r w:rsidR="007D3B88" w:rsidRPr="007D3B88">
        <w:rPr>
          <w:rFonts w:ascii="Times New Roman" w:hAnsi="Times New Roman" w:cs="Times New Roman"/>
        </w:rPr>
        <w:t xml:space="preserve">insufficient money in </w:t>
      </w:r>
      <w:proofErr w:type="spellStart"/>
      <w:r w:rsidR="007D3B88" w:rsidRPr="007D3B88">
        <w:rPr>
          <w:rFonts w:ascii="Times New Roman" w:hAnsi="Times New Roman" w:cs="Times New Roman"/>
        </w:rPr>
        <w:t>Comcare</w:t>
      </w:r>
      <w:proofErr w:type="spellEnd"/>
      <w:r w:rsidR="007D3B88" w:rsidRPr="007D3B88">
        <w:rPr>
          <w:rFonts w:ascii="Times New Roman" w:hAnsi="Times New Roman" w:cs="Times New Roman"/>
        </w:rPr>
        <w:t>-retained funds to make a relevant payment</w:t>
      </w:r>
      <w:r w:rsidR="000C6366">
        <w:rPr>
          <w:rFonts w:ascii="Times New Roman" w:hAnsi="Times New Roman" w:cs="Times New Roman"/>
        </w:rPr>
        <w:t xml:space="preserve"> under the SRC Act.</w:t>
      </w:r>
      <w:r w:rsidR="00B91654">
        <w:rPr>
          <w:rFonts w:ascii="Times New Roman" w:hAnsi="Times New Roman" w:cs="Times New Roman"/>
        </w:rPr>
        <w:t xml:space="preserve"> </w:t>
      </w:r>
      <w:r w:rsidR="00BC7A70" w:rsidRPr="00DD7BA2">
        <w:rPr>
          <w:rFonts w:ascii="Times New Roman" w:hAnsi="Times New Roman" w:cs="Times New Roman"/>
        </w:rPr>
        <w:t>The</w:t>
      </w:r>
      <w:r w:rsidR="00DD7BA2">
        <w:rPr>
          <w:rFonts w:ascii="Times New Roman" w:hAnsi="Times New Roman" w:cs="Times New Roman"/>
        </w:rPr>
        <w:t> </w:t>
      </w:r>
      <w:r w:rsidR="00BC7A70" w:rsidRPr="00DD7BA2">
        <w:rPr>
          <w:rFonts w:ascii="Times New Roman" w:hAnsi="Times New Roman" w:cs="Times New Roman"/>
        </w:rPr>
        <w:t xml:space="preserve">change to the proposed rate will provide greater stability of the scheme by mirroring the return on the CRF to the fluctuations in the value of the scheme’s liabilities, thus reducing volatility in </w:t>
      </w:r>
      <w:proofErr w:type="spellStart"/>
      <w:r w:rsidR="00BC7A70" w:rsidRPr="00DD7BA2">
        <w:rPr>
          <w:rFonts w:ascii="Times New Roman" w:hAnsi="Times New Roman" w:cs="Times New Roman"/>
        </w:rPr>
        <w:t>Comcare’s</w:t>
      </w:r>
      <w:proofErr w:type="spellEnd"/>
      <w:r w:rsidR="00BC7A70" w:rsidRPr="00DD7BA2">
        <w:rPr>
          <w:rFonts w:ascii="Times New Roman" w:hAnsi="Times New Roman" w:cs="Times New Roman"/>
        </w:rPr>
        <w:t xml:space="preserve"> premiums for Commonwealth employers.</w:t>
      </w:r>
      <w:r w:rsidR="006663F0">
        <w:rPr>
          <w:rFonts w:ascii="Times New Roman" w:hAnsi="Times New Roman" w:cs="Times New Roman"/>
        </w:rPr>
        <w:t xml:space="preserve"> The greater stability will increase the protection of workers’ right to social security (including social insurance).</w:t>
      </w:r>
    </w:p>
    <w:p w14:paraId="039C7BFB" w14:textId="01C273E8" w:rsidR="00A54FFC" w:rsidRPr="00B91654" w:rsidRDefault="00B91654" w:rsidP="00490941">
      <w:pPr>
        <w:spacing w:after="120"/>
        <w:rPr>
          <w:rFonts w:ascii="Times New Roman" w:hAnsi="Times New Roman" w:cs="Times New Roman"/>
        </w:rPr>
      </w:pPr>
      <w:r>
        <w:rPr>
          <w:rFonts w:ascii="Times New Roman" w:hAnsi="Times New Roman" w:cs="Times New Roman"/>
        </w:rPr>
        <w:t xml:space="preserve">Where the Commonwealth’s liability to pay money to </w:t>
      </w:r>
      <w:proofErr w:type="spellStart"/>
      <w:r>
        <w:rPr>
          <w:rFonts w:ascii="Times New Roman" w:hAnsi="Times New Roman" w:cs="Times New Roman"/>
        </w:rPr>
        <w:t>Comcare</w:t>
      </w:r>
      <w:proofErr w:type="spellEnd"/>
      <w:r>
        <w:rPr>
          <w:rFonts w:ascii="Times New Roman" w:hAnsi="Times New Roman" w:cs="Times New Roman"/>
        </w:rPr>
        <w:t xml:space="preserve"> through this mechanism is exceeded, there are other methods available in the </w:t>
      </w:r>
      <w:r>
        <w:rPr>
          <w:rFonts w:ascii="Times New Roman" w:hAnsi="Times New Roman" w:cs="Times New Roman"/>
          <w:i/>
        </w:rPr>
        <w:t>Safety, Rehabilitation and Compensation Act 1988</w:t>
      </w:r>
      <w:r>
        <w:rPr>
          <w:rFonts w:ascii="Times New Roman" w:hAnsi="Times New Roman" w:cs="Times New Roman"/>
        </w:rPr>
        <w:t xml:space="preserve"> which would enable </w:t>
      </w:r>
      <w:r w:rsidR="00CC4D82">
        <w:rPr>
          <w:rFonts w:ascii="Times New Roman" w:hAnsi="Times New Roman" w:cs="Times New Roman"/>
        </w:rPr>
        <w:t xml:space="preserve">the payment of money to </w:t>
      </w:r>
      <w:proofErr w:type="spellStart"/>
      <w:r w:rsidR="00CC4D82">
        <w:rPr>
          <w:rFonts w:ascii="Times New Roman" w:hAnsi="Times New Roman" w:cs="Times New Roman"/>
        </w:rPr>
        <w:t>Comcare</w:t>
      </w:r>
      <w:proofErr w:type="spellEnd"/>
      <w:r w:rsidR="00CC4D82">
        <w:rPr>
          <w:rFonts w:ascii="Times New Roman" w:hAnsi="Times New Roman" w:cs="Times New Roman"/>
        </w:rPr>
        <w:t xml:space="preserve"> as appropriated by the Parliament</w:t>
      </w:r>
      <w:r>
        <w:rPr>
          <w:rFonts w:ascii="Times New Roman" w:hAnsi="Times New Roman" w:cs="Times New Roman"/>
        </w:rPr>
        <w:t xml:space="preserve"> </w:t>
      </w:r>
      <w:r w:rsidR="00CC4D82">
        <w:rPr>
          <w:rFonts w:ascii="Times New Roman" w:hAnsi="Times New Roman" w:cs="Times New Roman"/>
        </w:rPr>
        <w:t xml:space="preserve">to ensure that </w:t>
      </w:r>
      <w:r w:rsidR="00DD7BA2">
        <w:rPr>
          <w:rFonts w:ascii="Times New Roman" w:hAnsi="Times New Roman" w:cs="Times New Roman"/>
        </w:rPr>
        <w:t>a </w:t>
      </w:r>
      <w:r w:rsidR="00CC4D82">
        <w:rPr>
          <w:rFonts w:ascii="Times New Roman" w:hAnsi="Times New Roman" w:cs="Times New Roman"/>
        </w:rPr>
        <w:t>workers’ right to social security (including social insurance) is not affected.</w:t>
      </w:r>
    </w:p>
    <w:p w14:paraId="2CC2BE5D" w14:textId="77777777" w:rsidR="00490941" w:rsidRDefault="00490941">
      <w:pPr>
        <w:spacing w:after="160" w:line="259" w:lineRule="auto"/>
        <w:rPr>
          <w:rFonts w:ascii="Times New Roman" w:hAnsi="Times New Roman" w:cs="Times New Roman"/>
          <w:b/>
        </w:rPr>
      </w:pPr>
      <w:r>
        <w:rPr>
          <w:rFonts w:ascii="Times New Roman" w:hAnsi="Times New Roman" w:cs="Times New Roman"/>
          <w:b/>
        </w:rPr>
        <w:br w:type="page"/>
      </w:r>
    </w:p>
    <w:p w14:paraId="254CF1E0" w14:textId="466506CD" w:rsidR="00D9450D" w:rsidRPr="007C5F93" w:rsidRDefault="00D9450D" w:rsidP="00490941">
      <w:pPr>
        <w:spacing w:after="120"/>
        <w:rPr>
          <w:rFonts w:ascii="Times New Roman" w:hAnsi="Times New Roman" w:cs="Times New Roman"/>
          <w:b/>
        </w:rPr>
      </w:pPr>
      <w:r w:rsidRPr="007C5F93">
        <w:rPr>
          <w:rFonts w:ascii="Times New Roman" w:hAnsi="Times New Roman" w:cs="Times New Roman"/>
          <w:b/>
        </w:rPr>
        <w:lastRenderedPageBreak/>
        <w:t xml:space="preserve">Conclusion </w:t>
      </w:r>
    </w:p>
    <w:p w14:paraId="13E7DFDE" w14:textId="77777777" w:rsidR="00D9450D" w:rsidRPr="007C5F93" w:rsidRDefault="00E051C4" w:rsidP="00490941">
      <w:pPr>
        <w:spacing w:after="120"/>
        <w:rPr>
          <w:rFonts w:ascii="Times New Roman" w:hAnsi="Times New Roman" w:cs="Times New Roman"/>
        </w:rPr>
      </w:pPr>
      <w:r w:rsidRPr="007C5F93">
        <w:rPr>
          <w:rFonts w:ascii="Times New Roman" w:hAnsi="Times New Roman" w:cs="Times New Roman"/>
        </w:rPr>
        <w:t>This legislative instrument is compatible with human rights</w:t>
      </w:r>
      <w:r w:rsidR="00372C9F" w:rsidRPr="007C5F93">
        <w:rPr>
          <w:rFonts w:ascii="Times New Roman" w:hAnsi="Times New Roman" w:cs="Times New Roman"/>
        </w:rPr>
        <w:t xml:space="preserve"> because it does not raise any human rights issues</w:t>
      </w:r>
      <w:r w:rsidRPr="007C5F93">
        <w:rPr>
          <w:rFonts w:ascii="Times New Roman" w:hAnsi="Times New Roman" w:cs="Times New Roman"/>
        </w:rPr>
        <w:t>.</w:t>
      </w:r>
    </w:p>
    <w:p w14:paraId="4183F1AF" w14:textId="77777777" w:rsidR="00E051C4" w:rsidRDefault="00E051C4" w:rsidP="00D9450D">
      <w:pPr>
        <w:spacing w:after="120"/>
        <w:rPr>
          <w:rFonts w:ascii="Times New Roman" w:hAnsi="Times New Roman" w:cs="Times New Roman"/>
        </w:rPr>
      </w:pPr>
    </w:p>
    <w:p w14:paraId="7DDB9C97" w14:textId="77777777" w:rsidR="00BF2F01" w:rsidRDefault="00BF2F01" w:rsidP="00D9450D">
      <w:pPr>
        <w:spacing w:after="120"/>
        <w:rPr>
          <w:rFonts w:ascii="Times New Roman" w:hAnsi="Times New Roman" w:cs="Times New Roman"/>
        </w:rPr>
      </w:pPr>
    </w:p>
    <w:p w14:paraId="6D133AC6" w14:textId="77777777" w:rsidR="00BF2F01" w:rsidRDefault="00BF2F01" w:rsidP="00D9450D">
      <w:pPr>
        <w:spacing w:after="120"/>
        <w:rPr>
          <w:rFonts w:ascii="Times New Roman" w:hAnsi="Times New Roman" w:cs="Times New Roman"/>
        </w:rPr>
      </w:pPr>
    </w:p>
    <w:p w14:paraId="15C2A9C1" w14:textId="77777777" w:rsidR="00BF2F01" w:rsidRPr="007C5F93" w:rsidRDefault="00BF2F01" w:rsidP="00D9450D">
      <w:pPr>
        <w:spacing w:after="120"/>
        <w:rPr>
          <w:rFonts w:ascii="Times New Roman" w:hAnsi="Times New Roman" w:cs="Times New Roman"/>
        </w:rPr>
      </w:pPr>
    </w:p>
    <w:p w14:paraId="67F71346" w14:textId="77777777" w:rsidR="00D9450D" w:rsidRPr="007C5F93" w:rsidRDefault="0090339E" w:rsidP="00E051C4">
      <w:pPr>
        <w:spacing w:after="120"/>
        <w:jc w:val="center"/>
        <w:rPr>
          <w:rFonts w:ascii="Times New Roman" w:hAnsi="Times New Roman" w:cs="Times New Roman"/>
          <w:b/>
        </w:rPr>
      </w:pPr>
      <w:r w:rsidRPr="000C6366">
        <w:rPr>
          <w:rFonts w:ascii="Times New Roman" w:hAnsi="Times New Roman" w:cs="Times New Roman"/>
          <w:b/>
        </w:rPr>
        <w:t>Sen</w:t>
      </w:r>
      <w:r w:rsidR="00251870" w:rsidRPr="000C6366">
        <w:rPr>
          <w:rFonts w:ascii="Times New Roman" w:hAnsi="Times New Roman" w:cs="Times New Roman"/>
          <w:b/>
        </w:rPr>
        <w:t>ator</w:t>
      </w:r>
      <w:r w:rsidRPr="000C6366">
        <w:rPr>
          <w:rFonts w:ascii="Times New Roman" w:hAnsi="Times New Roman" w:cs="Times New Roman"/>
          <w:b/>
        </w:rPr>
        <w:t xml:space="preserve"> the </w:t>
      </w:r>
      <w:r w:rsidR="00D9450D" w:rsidRPr="000C6366">
        <w:rPr>
          <w:rFonts w:ascii="Times New Roman" w:hAnsi="Times New Roman" w:cs="Times New Roman"/>
          <w:b/>
        </w:rPr>
        <w:t xml:space="preserve">Hon </w:t>
      </w:r>
      <w:r w:rsidR="000C6366">
        <w:rPr>
          <w:rFonts w:ascii="Times New Roman" w:hAnsi="Times New Roman" w:cs="Times New Roman"/>
          <w:b/>
        </w:rPr>
        <w:t>Simon Birmingham</w:t>
      </w:r>
    </w:p>
    <w:p w14:paraId="0CAB4D2F" w14:textId="77777777" w:rsidR="00D9450D" w:rsidRPr="007C5F93" w:rsidRDefault="00D9450D" w:rsidP="00D9450D">
      <w:pPr>
        <w:spacing w:after="120"/>
        <w:jc w:val="center"/>
        <w:rPr>
          <w:rFonts w:ascii="Times New Roman" w:hAnsi="Times New Roman" w:cs="Times New Roman"/>
        </w:rPr>
      </w:pPr>
      <w:r w:rsidRPr="007C5F93">
        <w:rPr>
          <w:rFonts w:ascii="Times New Roman" w:hAnsi="Times New Roman" w:cs="Times New Roman"/>
        </w:rPr>
        <w:t xml:space="preserve">Minister for </w:t>
      </w:r>
      <w:r w:rsidR="00501F09">
        <w:rPr>
          <w:rFonts w:ascii="Times New Roman" w:hAnsi="Times New Roman" w:cs="Times New Roman"/>
        </w:rPr>
        <w:t>Finance</w:t>
      </w:r>
      <w:r w:rsidRPr="007C5F93">
        <w:rPr>
          <w:rFonts w:ascii="Times New Roman" w:hAnsi="Times New Roman" w:cs="Times New Roman"/>
        </w:rPr>
        <w:t xml:space="preserve"> </w:t>
      </w:r>
    </w:p>
    <w:p w14:paraId="22BCB501" w14:textId="77777777" w:rsidR="00D9450D" w:rsidRPr="007C5F93" w:rsidRDefault="00D9450D" w:rsidP="00D9450D">
      <w:pPr>
        <w:spacing w:after="120"/>
        <w:jc w:val="center"/>
        <w:rPr>
          <w:rFonts w:ascii="Times New Roman" w:hAnsi="Times New Roman" w:cs="Times New Roman"/>
          <w:b/>
        </w:rPr>
      </w:pPr>
    </w:p>
    <w:p w14:paraId="3C78B24B" w14:textId="77777777" w:rsidR="00D9450D" w:rsidRPr="007C5F93" w:rsidRDefault="00D9450D" w:rsidP="00D9450D">
      <w:pPr>
        <w:spacing w:after="120"/>
        <w:jc w:val="center"/>
        <w:rPr>
          <w:rFonts w:ascii="Times New Roman" w:hAnsi="Times New Roman" w:cs="Times New Roman"/>
          <w:b/>
        </w:rPr>
      </w:pPr>
    </w:p>
    <w:p w14:paraId="7D5CB34B" w14:textId="77777777" w:rsidR="002E0E7E" w:rsidRPr="007C5F93" w:rsidRDefault="002E0E7E" w:rsidP="00D9450D">
      <w:pPr>
        <w:spacing w:after="120"/>
        <w:jc w:val="center"/>
        <w:rPr>
          <w:rFonts w:ascii="Times New Roman" w:hAnsi="Times New Roman" w:cs="Times New Roman"/>
          <w:b/>
        </w:rPr>
      </w:pPr>
    </w:p>
    <w:p w14:paraId="68575275" w14:textId="77777777" w:rsidR="003A1A2A" w:rsidRPr="007C5F93" w:rsidRDefault="003A1A2A" w:rsidP="002E0E7E">
      <w:pPr>
        <w:spacing w:after="120"/>
        <w:rPr>
          <w:rFonts w:ascii="Times New Roman" w:hAnsi="Times New Roman" w:cs="Times New Roman"/>
          <w:b/>
        </w:rPr>
      </w:pPr>
    </w:p>
    <w:sectPr w:rsidR="003A1A2A" w:rsidRPr="007C5F9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13DDA4" w14:textId="77777777" w:rsidR="00A54B8B" w:rsidRDefault="00A54B8B" w:rsidP="00D9450D">
      <w:pPr>
        <w:spacing w:after="0" w:line="240" w:lineRule="auto"/>
      </w:pPr>
      <w:r>
        <w:separator/>
      </w:r>
    </w:p>
  </w:endnote>
  <w:endnote w:type="continuationSeparator" w:id="0">
    <w:p w14:paraId="439FBB55" w14:textId="77777777" w:rsidR="00A54B8B" w:rsidRDefault="00A54B8B" w:rsidP="00D94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9265456"/>
      <w:docPartObj>
        <w:docPartGallery w:val="Page Numbers (Bottom of Page)"/>
        <w:docPartUnique/>
      </w:docPartObj>
    </w:sdtPr>
    <w:sdtEndPr>
      <w:rPr>
        <w:rFonts w:ascii="Times New Roman" w:hAnsi="Times New Roman" w:cs="Times New Roman"/>
        <w:noProof/>
      </w:rPr>
    </w:sdtEndPr>
    <w:sdtContent>
      <w:p w14:paraId="502EF2E8" w14:textId="457217ED" w:rsidR="00A35C2F" w:rsidRPr="00A35C2F" w:rsidRDefault="00A35C2F">
        <w:pPr>
          <w:pStyle w:val="Footer"/>
          <w:jc w:val="center"/>
          <w:rPr>
            <w:rFonts w:ascii="Times New Roman" w:hAnsi="Times New Roman" w:cs="Times New Roman"/>
          </w:rPr>
        </w:pPr>
        <w:r w:rsidRPr="00A35C2F">
          <w:rPr>
            <w:rFonts w:ascii="Times New Roman" w:hAnsi="Times New Roman" w:cs="Times New Roman"/>
          </w:rPr>
          <w:fldChar w:fldCharType="begin"/>
        </w:r>
        <w:r w:rsidRPr="00A35C2F">
          <w:rPr>
            <w:rFonts w:ascii="Times New Roman" w:hAnsi="Times New Roman" w:cs="Times New Roman"/>
          </w:rPr>
          <w:instrText xml:space="preserve"> PAGE   \* MERGEFORMAT </w:instrText>
        </w:r>
        <w:r w:rsidRPr="00A35C2F">
          <w:rPr>
            <w:rFonts w:ascii="Times New Roman" w:hAnsi="Times New Roman" w:cs="Times New Roman"/>
          </w:rPr>
          <w:fldChar w:fldCharType="separate"/>
        </w:r>
        <w:r w:rsidR="00890D4E">
          <w:rPr>
            <w:rFonts w:ascii="Times New Roman" w:hAnsi="Times New Roman" w:cs="Times New Roman"/>
            <w:noProof/>
          </w:rPr>
          <w:t>1</w:t>
        </w:r>
        <w:r w:rsidRPr="00A35C2F">
          <w:rPr>
            <w:rFonts w:ascii="Times New Roman" w:hAnsi="Times New Roman" w:cs="Times New Roman"/>
            <w:noProof/>
          </w:rPr>
          <w:fldChar w:fldCharType="end"/>
        </w:r>
      </w:p>
    </w:sdtContent>
  </w:sdt>
  <w:p w14:paraId="342990F7" w14:textId="77777777" w:rsidR="00A35C2F" w:rsidRDefault="00A35C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8D11CF" w14:textId="77777777" w:rsidR="00A54B8B" w:rsidRDefault="00A54B8B" w:rsidP="00D9450D">
      <w:pPr>
        <w:spacing w:after="0" w:line="240" w:lineRule="auto"/>
      </w:pPr>
      <w:r>
        <w:separator/>
      </w:r>
    </w:p>
  </w:footnote>
  <w:footnote w:type="continuationSeparator" w:id="0">
    <w:p w14:paraId="6DF4DDFC" w14:textId="77777777" w:rsidR="00A54B8B" w:rsidRDefault="00A54B8B" w:rsidP="00D9450D">
      <w:pPr>
        <w:spacing w:after="0" w:line="240" w:lineRule="auto"/>
      </w:pPr>
      <w:r>
        <w:continuationSeparator/>
      </w:r>
    </w:p>
  </w:footnote>
  <w:footnote w:id="1">
    <w:p w14:paraId="2F425D7F" w14:textId="77777777" w:rsidR="00E051C4" w:rsidRDefault="00E051C4" w:rsidP="00E051C4">
      <w:pPr>
        <w:pStyle w:val="FootnoteText"/>
      </w:pPr>
      <w:r>
        <w:rPr>
          <w:rStyle w:val="FootnoteReference"/>
        </w:rPr>
        <w:t>1</w:t>
      </w:r>
      <w:r>
        <w:t xml:space="preserve"> </w:t>
      </w:r>
      <w:r w:rsidRPr="006A3185">
        <w:rPr>
          <w:rFonts w:cstheme="minorHAnsi"/>
          <w:sz w:val="16"/>
        </w:rPr>
        <w:t xml:space="preserve">Committee on Economic, Social and Cultural Rights, </w:t>
      </w:r>
      <w:r w:rsidRPr="006A3185">
        <w:rPr>
          <w:rFonts w:cstheme="minorHAnsi"/>
          <w:i/>
          <w:sz w:val="16"/>
        </w:rPr>
        <w:t>General Comment 19: The Right to Social Security (art. 9)</w:t>
      </w:r>
      <w:r w:rsidRPr="006A3185">
        <w:rPr>
          <w:rFonts w:cstheme="minorHAnsi"/>
          <w:sz w:val="16"/>
        </w:rPr>
        <w:t>, U.N. Doc E/C.12/GC/19 (2008), [17].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8C117A"/>
    <w:multiLevelType w:val="hybridMultilevel"/>
    <w:tmpl w:val="71429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3ED57F7"/>
    <w:multiLevelType w:val="hybridMultilevel"/>
    <w:tmpl w:val="2644601E"/>
    <w:lvl w:ilvl="0" w:tplc="5C605E7C">
      <w:start w:val="1"/>
      <w:numFmt w:val="lowerLetter"/>
      <w:lvlText w:val="(%1)"/>
      <w:lvlJc w:val="left"/>
      <w:pPr>
        <w:ind w:left="930" w:hanging="375"/>
      </w:pPr>
      <w:rPr>
        <w:rFonts w:hint="default"/>
      </w:rPr>
    </w:lvl>
    <w:lvl w:ilvl="1" w:tplc="0C090019" w:tentative="1">
      <w:start w:val="1"/>
      <w:numFmt w:val="lowerLetter"/>
      <w:lvlText w:val="%2."/>
      <w:lvlJc w:val="left"/>
      <w:pPr>
        <w:ind w:left="1635" w:hanging="360"/>
      </w:pPr>
    </w:lvl>
    <w:lvl w:ilvl="2" w:tplc="0C09001B" w:tentative="1">
      <w:start w:val="1"/>
      <w:numFmt w:val="lowerRoman"/>
      <w:lvlText w:val="%3."/>
      <w:lvlJc w:val="right"/>
      <w:pPr>
        <w:ind w:left="2355" w:hanging="180"/>
      </w:pPr>
    </w:lvl>
    <w:lvl w:ilvl="3" w:tplc="0C09000F" w:tentative="1">
      <w:start w:val="1"/>
      <w:numFmt w:val="decimal"/>
      <w:lvlText w:val="%4."/>
      <w:lvlJc w:val="left"/>
      <w:pPr>
        <w:ind w:left="3075" w:hanging="360"/>
      </w:pPr>
    </w:lvl>
    <w:lvl w:ilvl="4" w:tplc="0C090019" w:tentative="1">
      <w:start w:val="1"/>
      <w:numFmt w:val="lowerLetter"/>
      <w:lvlText w:val="%5."/>
      <w:lvlJc w:val="left"/>
      <w:pPr>
        <w:ind w:left="3795" w:hanging="360"/>
      </w:pPr>
    </w:lvl>
    <w:lvl w:ilvl="5" w:tplc="0C09001B" w:tentative="1">
      <w:start w:val="1"/>
      <w:numFmt w:val="lowerRoman"/>
      <w:lvlText w:val="%6."/>
      <w:lvlJc w:val="right"/>
      <w:pPr>
        <w:ind w:left="4515" w:hanging="180"/>
      </w:pPr>
    </w:lvl>
    <w:lvl w:ilvl="6" w:tplc="0C09000F" w:tentative="1">
      <w:start w:val="1"/>
      <w:numFmt w:val="decimal"/>
      <w:lvlText w:val="%7."/>
      <w:lvlJc w:val="left"/>
      <w:pPr>
        <w:ind w:left="5235" w:hanging="360"/>
      </w:pPr>
    </w:lvl>
    <w:lvl w:ilvl="7" w:tplc="0C090019" w:tentative="1">
      <w:start w:val="1"/>
      <w:numFmt w:val="lowerLetter"/>
      <w:lvlText w:val="%8."/>
      <w:lvlJc w:val="left"/>
      <w:pPr>
        <w:ind w:left="5955" w:hanging="360"/>
      </w:pPr>
    </w:lvl>
    <w:lvl w:ilvl="8" w:tplc="0C09001B" w:tentative="1">
      <w:start w:val="1"/>
      <w:numFmt w:val="lowerRoman"/>
      <w:lvlText w:val="%9."/>
      <w:lvlJc w:val="right"/>
      <w:pPr>
        <w:ind w:left="6675" w:hanging="180"/>
      </w:pPr>
    </w:lvl>
  </w:abstractNum>
  <w:abstractNum w:abstractNumId="2" w15:restartNumberingAfterBreak="0">
    <w:nsid w:val="6D6B6DE4"/>
    <w:multiLevelType w:val="hybridMultilevel"/>
    <w:tmpl w:val="43128F2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50D"/>
    <w:rsid w:val="00041F34"/>
    <w:rsid w:val="00045981"/>
    <w:rsid w:val="000618EF"/>
    <w:rsid w:val="000815CA"/>
    <w:rsid w:val="00081A47"/>
    <w:rsid w:val="000A20CF"/>
    <w:rsid w:val="000A2E8E"/>
    <w:rsid w:val="000C0F99"/>
    <w:rsid w:val="000C6366"/>
    <w:rsid w:val="000D257D"/>
    <w:rsid w:val="001156E6"/>
    <w:rsid w:val="0019193B"/>
    <w:rsid w:val="001A0380"/>
    <w:rsid w:val="001C2543"/>
    <w:rsid w:val="001C2D31"/>
    <w:rsid w:val="00224682"/>
    <w:rsid w:val="002428DE"/>
    <w:rsid w:val="00251870"/>
    <w:rsid w:val="00253102"/>
    <w:rsid w:val="002826B7"/>
    <w:rsid w:val="002D6843"/>
    <w:rsid w:val="002D6ACC"/>
    <w:rsid w:val="002E0E7E"/>
    <w:rsid w:val="002E77DE"/>
    <w:rsid w:val="002F7D7B"/>
    <w:rsid w:val="00310CE0"/>
    <w:rsid w:val="003134AB"/>
    <w:rsid w:val="0031425B"/>
    <w:rsid w:val="00347E5B"/>
    <w:rsid w:val="00372C9F"/>
    <w:rsid w:val="0037775E"/>
    <w:rsid w:val="0039288E"/>
    <w:rsid w:val="003A1A2A"/>
    <w:rsid w:val="003B05BB"/>
    <w:rsid w:val="003D0EBC"/>
    <w:rsid w:val="003D4B6B"/>
    <w:rsid w:val="003F13D4"/>
    <w:rsid w:val="00404952"/>
    <w:rsid w:val="00425E88"/>
    <w:rsid w:val="00436FEE"/>
    <w:rsid w:val="00451C77"/>
    <w:rsid w:val="004665DE"/>
    <w:rsid w:val="0048585A"/>
    <w:rsid w:val="00490941"/>
    <w:rsid w:val="004955A5"/>
    <w:rsid w:val="004F2723"/>
    <w:rsid w:val="00501F09"/>
    <w:rsid w:val="00511276"/>
    <w:rsid w:val="005226B7"/>
    <w:rsid w:val="005477B6"/>
    <w:rsid w:val="00547867"/>
    <w:rsid w:val="00554DAF"/>
    <w:rsid w:val="00566C59"/>
    <w:rsid w:val="00576C44"/>
    <w:rsid w:val="0058274C"/>
    <w:rsid w:val="005862D5"/>
    <w:rsid w:val="005A1E1E"/>
    <w:rsid w:val="005C643F"/>
    <w:rsid w:val="00640497"/>
    <w:rsid w:val="006409D8"/>
    <w:rsid w:val="00656FAE"/>
    <w:rsid w:val="006663F0"/>
    <w:rsid w:val="00686C3D"/>
    <w:rsid w:val="006B1D3F"/>
    <w:rsid w:val="006B4F7F"/>
    <w:rsid w:val="006D4EBC"/>
    <w:rsid w:val="00713149"/>
    <w:rsid w:val="00735A9F"/>
    <w:rsid w:val="00745786"/>
    <w:rsid w:val="0074684B"/>
    <w:rsid w:val="00767E56"/>
    <w:rsid w:val="0079380C"/>
    <w:rsid w:val="00793DBF"/>
    <w:rsid w:val="00796FE2"/>
    <w:rsid w:val="007C5F93"/>
    <w:rsid w:val="007D3B88"/>
    <w:rsid w:val="007E0021"/>
    <w:rsid w:val="007F0E76"/>
    <w:rsid w:val="007F6FF4"/>
    <w:rsid w:val="00801386"/>
    <w:rsid w:val="00811377"/>
    <w:rsid w:val="008309DF"/>
    <w:rsid w:val="00835845"/>
    <w:rsid w:val="008462FB"/>
    <w:rsid w:val="008828B2"/>
    <w:rsid w:val="008875B0"/>
    <w:rsid w:val="00890D4E"/>
    <w:rsid w:val="008C43D9"/>
    <w:rsid w:val="008E0783"/>
    <w:rsid w:val="008E197B"/>
    <w:rsid w:val="00902A7E"/>
    <w:rsid w:val="0090339E"/>
    <w:rsid w:val="00910DE5"/>
    <w:rsid w:val="00920FCB"/>
    <w:rsid w:val="00941481"/>
    <w:rsid w:val="00943C7F"/>
    <w:rsid w:val="0095078B"/>
    <w:rsid w:val="00971603"/>
    <w:rsid w:val="009A3625"/>
    <w:rsid w:val="009B23CA"/>
    <w:rsid w:val="009C4B6E"/>
    <w:rsid w:val="009F5457"/>
    <w:rsid w:val="00A23F82"/>
    <w:rsid w:val="00A30A12"/>
    <w:rsid w:val="00A35C2F"/>
    <w:rsid w:val="00A52AC8"/>
    <w:rsid w:val="00A54B8B"/>
    <w:rsid w:val="00A54FFC"/>
    <w:rsid w:val="00A82299"/>
    <w:rsid w:val="00A8693B"/>
    <w:rsid w:val="00AC0F1D"/>
    <w:rsid w:val="00AD4481"/>
    <w:rsid w:val="00AF0EBF"/>
    <w:rsid w:val="00B008E3"/>
    <w:rsid w:val="00B01DB3"/>
    <w:rsid w:val="00B1118F"/>
    <w:rsid w:val="00B167EA"/>
    <w:rsid w:val="00B2307F"/>
    <w:rsid w:val="00B437CB"/>
    <w:rsid w:val="00B61E5C"/>
    <w:rsid w:val="00B91654"/>
    <w:rsid w:val="00BA2FE2"/>
    <w:rsid w:val="00BB1666"/>
    <w:rsid w:val="00BC7A70"/>
    <w:rsid w:val="00BD3D81"/>
    <w:rsid w:val="00BF2F01"/>
    <w:rsid w:val="00C01CE9"/>
    <w:rsid w:val="00C04AC9"/>
    <w:rsid w:val="00C85928"/>
    <w:rsid w:val="00C91110"/>
    <w:rsid w:val="00CA1AFE"/>
    <w:rsid w:val="00CB0908"/>
    <w:rsid w:val="00CC4D82"/>
    <w:rsid w:val="00CD4965"/>
    <w:rsid w:val="00D23AB8"/>
    <w:rsid w:val="00D30E62"/>
    <w:rsid w:val="00D476B5"/>
    <w:rsid w:val="00D7070F"/>
    <w:rsid w:val="00D9450D"/>
    <w:rsid w:val="00DA1E38"/>
    <w:rsid w:val="00DA2565"/>
    <w:rsid w:val="00DD7BA2"/>
    <w:rsid w:val="00DE3928"/>
    <w:rsid w:val="00DE550F"/>
    <w:rsid w:val="00DF135E"/>
    <w:rsid w:val="00DF7216"/>
    <w:rsid w:val="00E051C4"/>
    <w:rsid w:val="00E21051"/>
    <w:rsid w:val="00E21E8C"/>
    <w:rsid w:val="00E268E0"/>
    <w:rsid w:val="00E5130A"/>
    <w:rsid w:val="00E757C9"/>
    <w:rsid w:val="00E7612D"/>
    <w:rsid w:val="00EA58C9"/>
    <w:rsid w:val="00EB60DC"/>
    <w:rsid w:val="00EB7F32"/>
    <w:rsid w:val="00EC7D1A"/>
    <w:rsid w:val="00ED0065"/>
    <w:rsid w:val="00ED71E5"/>
    <w:rsid w:val="00ED7F77"/>
    <w:rsid w:val="00EE6BBD"/>
    <w:rsid w:val="00F0318A"/>
    <w:rsid w:val="00F04A00"/>
    <w:rsid w:val="00F05BD6"/>
    <w:rsid w:val="00F44CA8"/>
    <w:rsid w:val="00F50EEF"/>
    <w:rsid w:val="00F53184"/>
    <w:rsid w:val="00F61BAB"/>
    <w:rsid w:val="00F7521D"/>
    <w:rsid w:val="00F948C6"/>
    <w:rsid w:val="00FA3173"/>
    <w:rsid w:val="00FB1AB3"/>
    <w:rsid w:val="00FC52B5"/>
    <w:rsid w:val="00FD37CB"/>
    <w:rsid w:val="00FE03A4"/>
    <w:rsid w:val="00FF188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BF04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450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D9450D"/>
    <w:pPr>
      <w:spacing w:after="0" w:line="240" w:lineRule="auto"/>
    </w:pPr>
    <w:rPr>
      <w:sz w:val="20"/>
      <w:szCs w:val="20"/>
    </w:rPr>
  </w:style>
  <w:style w:type="character" w:customStyle="1" w:styleId="FootnoteTextChar">
    <w:name w:val="Footnote Text Char"/>
    <w:basedOn w:val="DefaultParagraphFont"/>
    <w:link w:val="FootnoteText"/>
    <w:rsid w:val="00D9450D"/>
    <w:rPr>
      <w:sz w:val="20"/>
      <w:szCs w:val="20"/>
    </w:rPr>
  </w:style>
  <w:style w:type="character" w:styleId="FootnoteReference">
    <w:name w:val="footnote reference"/>
    <w:basedOn w:val="DefaultParagraphFont"/>
    <w:unhideWhenUsed/>
    <w:rsid w:val="00D9450D"/>
    <w:rPr>
      <w:vertAlign w:val="superscript"/>
    </w:rPr>
  </w:style>
  <w:style w:type="paragraph" w:customStyle="1" w:styleId="subsection">
    <w:name w:val="subsection"/>
    <w:aliases w:val="ss"/>
    <w:basedOn w:val="Normal"/>
    <w:link w:val="subsectionChar"/>
    <w:rsid w:val="00FA3173"/>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FA3173"/>
    <w:rPr>
      <w:rFonts w:ascii="Times New Roman" w:eastAsia="Times New Roman" w:hAnsi="Times New Roman" w:cs="Times New Roman"/>
      <w:szCs w:val="20"/>
      <w:lang w:eastAsia="en-AU"/>
    </w:rPr>
  </w:style>
  <w:style w:type="paragraph" w:customStyle="1" w:styleId="Default">
    <w:name w:val="Default"/>
    <w:rsid w:val="004955A5"/>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semiHidden/>
    <w:unhideWhenUsed/>
    <w:rsid w:val="00E051C4"/>
    <w:rPr>
      <w:sz w:val="16"/>
      <w:szCs w:val="16"/>
    </w:rPr>
  </w:style>
  <w:style w:type="paragraph" w:styleId="CommentText">
    <w:name w:val="annotation text"/>
    <w:basedOn w:val="Normal"/>
    <w:link w:val="CommentTextChar"/>
    <w:uiPriority w:val="99"/>
    <w:unhideWhenUsed/>
    <w:rsid w:val="00E051C4"/>
    <w:pPr>
      <w:spacing w:line="240" w:lineRule="auto"/>
    </w:pPr>
    <w:rPr>
      <w:sz w:val="20"/>
      <w:szCs w:val="20"/>
    </w:rPr>
  </w:style>
  <w:style w:type="character" w:customStyle="1" w:styleId="CommentTextChar">
    <w:name w:val="Comment Text Char"/>
    <w:basedOn w:val="DefaultParagraphFont"/>
    <w:link w:val="CommentText"/>
    <w:uiPriority w:val="99"/>
    <w:rsid w:val="00E051C4"/>
    <w:rPr>
      <w:sz w:val="20"/>
      <w:szCs w:val="20"/>
    </w:rPr>
  </w:style>
  <w:style w:type="paragraph" w:styleId="CommentSubject">
    <w:name w:val="annotation subject"/>
    <w:basedOn w:val="CommentText"/>
    <w:next w:val="CommentText"/>
    <w:link w:val="CommentSubjectChar"/>
    <w:uiPriority w:val="99"/>
    <w:semiHidden/>
    <w:unhideWhenUsed/>
    <w:rsid w:val="00E051C4"/>
    <w:rPr>
      <w:b/>
      <w:bCs/>
    </w:rPr>
  </w:style>
  <w:style w:type="character" w:customStyle="1" w:styleId="CommentSubjectChar">
    <w:name w:val="Comment Subject Char"/>
    <w:basedOn w:val="CommentTextChar"/>
    <w:link w:val="CommentSubject"/>
    <w:uiPriority w:val="99"/>
    <w:semiHidden/>
    <w:rsid w:val="00E051C4"/>
    <w:rPr>
      <w:b/>
      <w:bCs/>
      <w:sz w:val="20"/>
      <w:szCs w:val="20"/>
    </w:rPr>
  </w:style>
  <w:style w:type="paragraph" w:styleId="BalloonText">
    <w:name w:val="Balloon Text"/>
    <w:basedOn w:val="Normal"/>
    <w:link w:val="BalloonTextChar"/>
    <w:uiPriority w:val="99"/>
    <w:semiHidden/>
    <w:unhideWhenUsed/>
    <w:rsid w:val="00E051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1C4"/>
    <w:rPr>
      <w:rFonts w:ascii="Segoe UI" w:hAnsi="Segoe UI" w:cs="Segoe UI"/>
      <w:sz w:val="18"/>
      <w:szCs w:val="18"/>
    </w:rPr>
  </w:style>
  <w:style w:type="table" w:styleId="TableGrid">
    <w:name w:val="Table Grid"/>
    <w:basedOn w:val="TableNormal"/>
    <w:uiPriority w:val="39"/>
    <w:rsid w:val="00392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Normal"/>
    <w:rsid w:val="0039288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letext">
    <w:name w:val="tabletext"/>
    <w:basedOn w:val="Normal"/>
    <w:rsid w:val="0039288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legsubtitle1">
    <w:name w:val="legsubtitle1"/>
    <w:basedOn w:val="DefaultParagraphFont"/>
    <w:rsid w:val="0039288E"/>
  </w:style>
  <w:style w:type="paragraph" w:styleId="Header">
    <w:name w:val="header"/>
    <w:basedOn w:val="Normal"/>
    <w:link w:val="HeaderChar"/>
    <w:uiPriority w:val="99"/>
    <w:unhideWhenUsed/>
    <w:rsid w:val="00A35C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5C2F"/>
  </w:style>
  <w:style w:type="paragraph" w:styleId="Footer">
    <w:name w:val="footer"/>
    <w:basedOn w:val="Normal"/>
    <w:link w:val="FooterChar"/>
    <w:uiPriority w:val="99"/>
    <w:unhideWhenUsed/>
    <w:rsid w:val="00A35C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5C2F"/>
  </w:style>
  <w:style w:type="character" w:styleId="Hyperlink">
    <w:name w:val="Hyperlink"/>
    <w:basedOn w:val="DefaultParagraphFont"/>
    <w:uiPriority w:val="99"/>
    <w:semiHidden/>
    <w:unhideWhenUsed/>
    <w:rsid w:val="00511276"/>
    <w:rPr>
      <w:color w:val="0563C1"/>
      <w:u w:val="single"/>
    </w:rPr>
  </w:style>
  <w:style w:type="paragraph" w:customStyle="1" w:styleId="paragraph">
    <w:name w:val="paragraph"/>
    <w:basedOn w:val="Normal"/>
    <w:uiPriority w:val="99"/>
    <w:rsid w:val="00511276"/>
    <w:pPr>
      <w:spacing w:before="100" w:beforeAutospacing="1" w:after="100" w:afterAutospacing="1" w:line="240" w:lineRule="auto"/>
    </w:pPr>
    <w:rPr>
      <w:rFonts w:ascii="Calibri" w:hAnsi="Calibri" w:cs="Calibri"/>
      <w:sz w:val="20"/>
      <w:szCs w:val="20"/>
      <w:lang w:eastAsia="en-AU"/>
    </w:rPr>
  </w:style>
  <w:style w:type="paragraph" w:styleId="ListParagraph">
    <w:name w:val="List Paragraph"/>
    <w:basedOn w:val="Normal"/>
    <w:uiPriority w:val="34"/>
    <w:qFormat/>
    <w:rsid w:val="00F04A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866832">
      <w:bodyDiv w:val="1"/>
      <w:marLeft w:val="0"/>
      <w:marRight w:val="0"/>
      <w:marTop w:val="0"/>
      <w:marBottom w:val="0"/>
      <w:divBdr>
        <w:top w:val="none" w:sz="0" w:space="0" w:color="auto"/>
        <w:left w:val="none" w:sz="0" w:space="0" w:color="auto"/>
        <w:bottom w:val="none" w:sz="0" w:space="0" w:color="auto"/>
        <w:right w:val="none" w:sz="0" w:space="0" w:color="auto"/>
      </w:divBdr>
    </w:div>
    <w:div w:id="1039015389">
      <w:bodyDiv w:val="1"/>
      <w:marLeft w:val="0"/>
      <w:marRight w:val="0"/>
      <w:marTop w:val="0"/>
      <w:marBottom w:val="0"/>
      <w:divBdr>
        <w:top w:val="none" w:sz="0" w:space="0" w:color="auto"/>
        <w:left w:val="none" w:sz="0" w:space="0" w:color="auto"/>
        <w:bottom w:val="none" w:sz="0" w:space="0" w:color="auto"/>
        <w:right w:val="none" w:sz="0" w:space="0" w:color="auto"/>
      </w:divBdr>
      <w:divsChild>
        <w:div w:id="1305889455">
          <w:marLeft w:val="0"/>
          <w:marRight w:val="0"/>
          <w:marTop w:val="0"/>
          <w:marBottom w:val="0"/>
          <w:divBdr>
            <w:top w:val="none" w:sz="0" w:space="0" w:color="auto"/>
            <w:left w:val="none" w:sz="0" w:space="0" w:color="auto"/>
            <w:bottom w:val="none" w:sz="0" w:space="0" w:color="auto"/>
            <w:right w:val="none" w:sz="0" w:space="0" w:color="auto"/>
          </w:divBdr>
          <w:divsChild>
            <w:div w:id="1130971763">
              <w:marLeft w:val="0"/>
              <w:marRight w:val="0"/>
              <w:marTop w:val="0"/>
              <w:marBottom w:val="0"/>
              <w:divBdr>
                <w:top w:val="none" w:sz="0" w:space="0" w:color="auto"/>
                <w:left w:val="none" w:sz="0" w:space="0" w:color="auto"/>
                <w:bottom w:val="none" w:sz="0" w:space="0" w:color="auto"/>
                <w:right w:val="none" w:sz="0" w:space="0" w:color="auto"/>
              </w:divBdr>
              <w:divsChild>
                <w:div w:id="1047756340">
                  <w:marLeft w:val="0"/>
                  <w:marRight w:val="0"/>
                  <w:marTop w:val="0"/>
                  <w:marBottom w:val="0"/>
                  <w:divBdr>
                    <w:top w:val="none" w:sz="0" w:space="0" w:color="auto"/>
                    <w:left w:val="none" w:sz="0" w:space="0" w:color="auto"/>
                    <w:bottom w:val="none" w:sz="0" w:space="0" w:color="auto"/>
                    <w:right w:val="none" w:sz="0" w:space="0" w:color="auto"/>
                  </w:divBdr>
                  <w:divsChild>
                    <w:div w:id="853763848">
                      <w:marLeft w:val="0"/>
                      <w:marRight w:val="0"/>
                      <w:marTop w:val="0"/>
                      <w:marBottom w:val="0"/>
                      <w:divBdr>
                        <w:top w:val="none" w:sz="0" w:space="0" w:color="auto"/>
                        <w:left w:val="none" w:sz="0" w:space="0" w:color="auto"/>
                        <w:bottom w:val="none" w:sz="0" w:space="0" w:color="auto"/>
                        <w:right w:val="none" w:sz="0" w:space="0" w:color="auto"/>
                      </w:divBdr>
                      <w:divsChild>
                        <w:div w:id="648831084">
                          <w:marLeft w:val="0"/>
                          <w:marRight w:val="0"/>
                          <w:marTop w:val="0"/>
                          <w:marBottom w:val="0"/>
                          <w:divBdr>
                            <w:top w:val="none" w:sz="0" w:space="0" w:color="auto"/>
                            <w:left w:val="none" w:sz="0" w:space="0" w:color="auto"/>
                            <w:bottom w:val="none" w:sz="0" w:space="0" w:color="auto"/>
                            <w:right w:val="none" w:sz="0" w:space="0" w:color="auto"/>
                          </w:divBdr>
                          <w:divsChild>
                            <w:div w:id="1918973703">
                              <w:marLeft w:val="0"/>
                              <w:marRight w:val="0"/>
                              <w:marTop w:val="0"/>
                              <w:marBottom w:val="0"/>
                              <w:divBdr>
                                <w:top w:val="none" w:sz="0" w:space="0" w:color="auto"/>
                                <w:left w:val="none" w:sz="0" w:space="0" w:color="auto"/>
                                <w:bottom w:val="none" w:sz="0" w:space="0" w:color="auto"/>
                                <w:right w:val="none" w:sz="0" w:space="0" w:color="auto"/>
                              </w:divBdr>
                              <w:divsChild>
                                <w:div w:id="571547052">
                                  <w:marLeft w:val="0"/>
                                  <w:marRight w:val="0"/>
                                  <w:marTop w:val="0"/>
                                  <w:marBottom w:val="0"/>
                                  <w:divBdr>
                                    <w:top w:val="none" w:sz="0" w:space="0" w:color="auto"/>
                                    <w:left w:val="none" w:sz="0" w:space="0" w:color="auto"/>
                                    <w:bottom w:val="none" w:sz="0" w:space="0" w:color="auto"/>
                                    <w:right w:val="none" w:sz="0" w:space="0" w:color="auto"/>
                                  </w:divBdr>
                                  <w:divsChild>
                                    <w:div w:id="369040160">
                                      <w:marLeft w:val="0"/>
                                      <w:marRight w:val="0"/>
                                      <w:marTop w:val="0"/>
                                      <w:marBottom w:val="0"/>
                                      <w:divBdr>
                                        <w:top w:val="none" w:sz="0" w:space="0" w:color="auto"/>
                                        <w:left w:val="none" w:sz="0" w:space="0" w:color="auto"/>
                                        <w:bottom w:val="none" w:sz="0" w:space="0" w:color="auto"/>
                                        <w:right w:val="none" w:sz="0" w:space="0" w:color="auto"/>
                                      </w:divBdr>
                                      <w:divsChild>
                                        <w:div w:id="1780954994">
                                          <w:marLeft w:val="0"/>
                                          <w:marRight w:val="0"/>
                                          <w:marTop w:val="0"/>
                                          <w:marBottom w:val="0"/>
                                          <w:divBdr>
                                            <w:top w:val="none" w:sz="0" w:space="0" w:color="auto"/>
                                            <w:left w:val="none" w:sz="0" w:space="0" w:color="auto"/>
                                            <w:bottom w:val="none" w:sz="0" w:space="0" w:color="auto"/>
                                            <w:right w:val="none" w:sz="0" w:space="0" w:color="auto"/>
                                          </w:divBdr>
                                          <w:divsChild>
                                            <w:div w:id="97413961">
                                              <w:marLeft w:val="0"/>
                                              <w:marRight w:val="0"/>
                                              <w:marTop w:val="0"/>
                                              <w:marBottom w:val="0"/>
                                              <w:divBdr>
                                                <w:top w:val="none" w:sz="0" w:space="0" w:color="auto"/>
                                                <w:left w:val="none" w:sz="0" w:space="0" w:color="auto"/>
                                                <w:bottom w:val="none" w:sz="0" w:space="0" w:color="auto"/>
                                                <w:right w:val="none" w:sz="0" w:space="0" w:color="auto"/>
                                              </w:divBdr>
                                              <w:divsChild>
                                                <w:div w:id="97943518">
                                                  <w:marLeft w:val="0"/>
                                                  <w:marRight w:val="0"/>
                                                  <w:marTop w:val="0"/>
                                                  <w:marBottom w:val="0"/>
                                                  <w:divBdr>
                                                    <w:top w:val="none" w:sz="0" w:space="0" w:color="auto"/>
                                                    <w:left w:val="none" w:sz="0" w:space="0" w:color="auto"/>
                                                    <w:bottom w:val="none" w:sz="0" w:space="0" w:color="auto"/>
                                                    <w:right w:val="none" w:sz="0" w:space="0" w:color="auto"/>
                                                  </w:divBdr>
                                                  <w:divsChild>
                                                    <w:div w:id="1224826286">
                                                      <w:marLeft w:val="0"/>
                                                      <w:marRight w:val="0"/>
                                                      <w:marTop w:val="0"/>
                                                      <w:marBottom w:val="0"/>
                                                      <w:divBdr>
                                                        <w:top w:val="none" w:sz="0" w:space="0" w:color="auto"/>
                                                        <w:left w:val="none" w:sz="0" w:space="0" w:color="auto"/>
                                                        <w:bottom w:val="none" w:sz="0" w:space="0" w:color="auto"/>
                                                        <w:right w:val="none" w:sz="0" w:space="0" w:color="auto"/>
                                                      </w:divBdr>
                                                      <w:divsChild>
                                                        <w:div w:id="107454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1386815">
      <w:bodyDiv w:val="1"/>
      <w:marLeft w:val="0"/>
      <w:marRight w:val="0"/>
      <w:marTop w:val="0"/>
      <w:marBottom w:val="0"/>
      <w:divBdr>
        <w:top w:val="none" w:sz="0" w:space="0" w:color="auto"/>
        <w:left w:val="none" w:sz="0" w:space="0" w:color="auto"/>
        <w:bottom w:val="none" w:sz="0" w:space="0" w:color="auto"/>
        <w:right w:val="none" w:sz="0" w:space="0" w:color="auto"/>
      </w:divBdr>
    </w:div>
    <w:div w:id="198188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8ADCB-52A9-42B8-9192-C95D35C29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1910</Words>
  <Characters>10889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2022-01-27T03:49:00Z</dcterms:created>
  <dcterms:modified xsi:type="dcterms:W3CDTF">2022-02-03T07:08:00Z</dcterms:modified>
</cp:coreProperties>
</file>