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4F0FF" w14:textId="77777777" w:rsidR="00FB640B" w:rsidRPr="00382105" w:rsidRDefault="0057002B" w:rsidP="00BB0CF2">
      <w:pPr>
        <w:pStyle w:val="ESTitleHeader"/>
      </w:pPr>
      <w:bookmarkStart w:id="0" w:name="_GoBack"/>
      <w:bookmarkEnd w:id="0"/>
      <w:r w:rsidRPr="00382105">
        <w:t>EXPLANATORY STATEMENT</w:t>
      </w:r>
    </w:p>
    <w:p w14:paraId="54BE4C77" w14:textId="77777777" w:rsidR="0057002B" w:rsidRPr="00382105" w:rsidRDefault="006E04EE" w:rsidP="00BB0CF2">
      <w:pPr>
        <w:pStyle w:val="ESTitleDecisionMaker"/>
      </w:pPr>
      <w:r w:rsidRPr="00382105">
        <w:t>Issued by authority of the Minister for Immigration, Citizenship, Migrant Services and Multicultural Affairs</w:t>
      </w:r>
    </w:p>
    <w:p w14:paraId="2388454D" w14:textId="77777777" w:rsidR="0057002B" w:rsidRPr="00382105" w:rsidRDefault="00604E06" w:rsidP="00BB0CF2">
      <w:pPr>
        <w:pStyle w:val="ESTitleEnablingLegislation"/>
      </w:pPr>
      <w:r w:rsidRPr="00382105">
        <w:t>Migration Act 1958</w:t>
      </w:r>
    </w:p>
    <w:p w14:paraId="3DD76D2B" w14:textId="77777777" w:rsidR="0057002B" w:rsidRPr="00382105" w:rsidRDefault="0057002B" w:rsidP="00915032">
      <w:pPr>
        <w:spacing w:line="276" w:lineRule="auto"/>
        <w:jc w:val="center"/>
        <w:rPr>
          <w:rFonts w:ascii="Times New Roman" w:hAnsi="Times New Roman" w:cs="Times New Roman"/>
          <w:i/>
        </w:rPr>
      </w:pPr>
      <w:r w:rsidRPr="00382105">
        <w:rPr>
          <w:rFonts w:ascii="Times New Roman" w:hAnsi="Times New Roman" w:cs="Times New Roman"/>
          <w:i/>
        </w:rPr>
        <w:t>Migration Regulations 1994</w:t>
      </w:r>
    </w:p>
    <w:p w14:paraId="0C83EE6E" w14:textId="540C1947" w:rsidR="0057002B" w:rsidRPr="00382105" w:rsidRDefault="00055E0F" w:rsidP="00BB0CF2">
      <w:pPr>
        <w:pStyle w:val="ESTitleInstrumentName"/>
      </w:pPr>
      <w:r w:rsidRPr="00382105">
        <w:t>Migration (D</w:t>
      </w:r>
      <w:r w:rsidR="00BC5B66" w:rsidRPr="00382105">
        <w:t>esignated regional areas for certain skilled and temporary graduate visas) Instrument (LIN</w:t>
      </w:r>
      <w:r w:rsidR="0096736F" w:rsidRPr="00382105">
        <w:t> </w:t>
      </w:r>
      <w:r w:rsidR="00BC5B66" w:rsidRPr="00382105">
        <w:t>2</w:t>
      </w:r>
      <w:r w:rsidR="0045006E" w:rsidRPr="00382105">
        <w:t>2</w:t>
      </w:r>
      <w:r w:rsidR="00BC5B66" w:rsidRPr="00382105">
        <w:t>/0</w:t>
      </w:r>
      <w:r w:rsidR="0045006E" w:rsidRPr="00382105">
        <w:t>22</w:t>
      </w:r>
      <w:r w:rsidR="00BC5B66" w:rsidRPr="00382105">
        <w:t>) 202</w:t>
      </w:r>
      <w:r w:rsidR="0045006E" w:rsidRPr="00382105">
        <w:t>2</w:t>
      </w:r>
    </w:p>
    <w:p w14:paraId="3C5EA357" w14:textId="05E4B7DA" w:rsidR="0057002B" w:rsidRPr="00382105" w:rsidRDefault="0057002B" w:rsidP="002D167E">
      <w:pPr>
        <w:pStyle w:val="ESPara"/>
      </w:pPr>
      <w:r w:rsidRPr="00382105">
        <w:t>The inst</w:t>
      </w:r>
      <w:r w:rsidR="00A65084" w:rsidRPr="00382105">
        <w:t xml:space="preserve">rument, Departmental reference </w:t>
      </w:r>
      <w:r w:rsidRPr="00382105">
        <w:t>LIN</w:t>
      </w:r>
      <w:r w:rsidR="00A65084" w:rsidRPr="00382105">
        <w:t xml:space="preserve"> 2</w:t>
      </w:r>
      <w:r w:rsidR="0045006E" w:rsidRPr="00382105">
        <w:t>2</w:t>
      </w:r>
      <w:r w:rsidR="00A65084" w:rsidRPr="00382105">
        <w:t>/0</w:t>
      </w:r>
      <w:r w:rsidR="0045006E" w:rsidRPr="00382105">
        <w:t>22</w:t>
      </w:r>
      <w:r w:rsidRPr="00382105">
        <w:t>, i</w:t>
      </w:r>
      <w:r w:rsidR="00790B5C" w:rsidRPr="00382105">
        <w:t xml:space="preserve">s made under subregulations 1.15M(1) and (2), the definition of </w:t>
      </w:r>
      <w:r w:rsidR="00790B5C" w:rsidRPr="00382105">
        <w:rPr>
          <w:b/>
          <w:i/>
        </w:rPr>
        <w:t>regional Australia</w:t>
      </w:r>
      <w:r w:rsidR="00790B5C" w:rsidRPr="00382105">
        <w:t xml:space="preserve"> in subregulation 5.19(16) and subparagraph 888.226(2)(c)(i) and paragraph 892.213(3)(b) of Schedule 2 to the</w:t>
      </w:r>
      <w:r w:rsidRPr="00382105">
        <w:t xml:space="preserve"> </w:t>
      </w:r>
      <w:r w:rsidRPr="00382105">
        <w:rPr>
          <w:i/>
        </w:rPr>
        <w:t>Migration Regulations 1994</w:t>
      </w:r>
      <w:r w:rsidR="005F0B6D" w:rsidRPr="00382105">
        <w:t xml:space="preserve"> (the Regulations)</w:t>
      </w:r>
      <w:r w:rsidRPr="00382105">
        <w:t xml:space="preserve">.  </w:t>
      </w:r>
    </w:p>
    <w:p w14:paraId="15AD0EFC" w14:textId="34B1D047" w:rsidR="00EA12C9" w:rsidRPr="00382105" w:rsidRDefault="00EA12C9" w:rsidP="002D167E">
      <w:pPr>
        <w:pStyle w:val="ESPara"/>
      </w:pPr>
      <w:r w:rsidRPr="00382105">
        <w:t>The instrument</w:t>
      </w:r>
      <w:r w:rsidR="00190EA2" w:rsidRPr="00382105">
        <w:t xml:space="preserve"> repeals</w:t>
      </w:r>
      <w:r w:rsidRPr="00382105">
        <w:t xml:space="preserve"> </w:t>
      </w:r>
      <w:r w:rsidR="00614B66" w:rsidRPr="00382105">
        <w:rPr>
          <w:i/>
        </w:rPr>
        <w:t>Migration (Regional Areas) Instrument (LIN 20/292) 2020</w:t>
      </w:r>
      <w:r w:rsidR="00614B66" w:rsidRPr="00382105">
        <w:t xml:space="preserve"> (F2021L00044) </w:t>
      </w:r>
      <w:r w:rsidR="00190EA2" w:rsidRPr="00382105">
        <w:t>(LIN 20/292)</w:t>
      </w:r>
      <w:r w:rsidR="00614B66" w:rsidRPr="00382105">
        <w:t xml:space="preserve"> </w:t>
      </w:r>
      <w:r w:rsidRPr="00382105">
        <w:t xml:space="preserve">in accordance with subsection 33(3) of the </w:t>
      </w:r>
      <w:r w:rsidRPr="00382105">
        <w:rPr>
          <w:i/>
        </w:rPr>
        <w:t>Acts Interpretation Act 1901</w:t>
      </w:r>
      <w:r w:rsidRPr="00382105">
        <w:t xml:space="preserve">.  That subsection provides that </w:t>
      </w:r>
      <w:r w:rsidR="00100DFC" w:rsidRPr="00382105">
        <w:t>a power to make a legislative instrument includes a power to amend or repeal that instrument in the same manner, and subject to the same conditions, as the power to make the instrument</w:t>
      </w:r>
      <w:r w:rsidR="00BD598E" w:rsidRPr="00382105">
        <w:t xml:space="preserve">.  </w:t>
      </w:r>
    </w:p>
    <w:p w14:paraId="2B248CE0" w14:textId="5D596A4A" w:rsidR="00BD598E" w:rsidRPr="00382105" w:rsidRDefault="00614B66" w:rsidP="002D167E">
      <w:pPr>
        <w:pStyle w:val="ESPara"/>
      </w:pPr>
      <w:r w:rsidRPr="00382105">
        <w:t xml:space="preserve">The instrument commences on </w:t>
      </w:r>
      <w:r w:rsidR="00050E74" w:rsidRPr="00382105">
        <w:t>5 March 2022</w:t>
      </w:r>
      <w:r w:rsidR="00AA4557" w:rsidRPr="00382105">
        <w:t>, and i</w:t>
      </w:r>
      <w:r w:rsidR="00BD598E" w:rsidRPr="00382105">
        <w:t xml:space="preserve">s a </w:t>
      </w:r>
      <w:r w:rsidR="00AA4557" w:rsidRPr="00382105">
        <w:t>legislative</w:t>
      </w:r>
      <w:r w:rsidR="00BD598E" w:rsidRPr="00382105">
        <w:t xml:space="preserve"> instrument for </w:t>
      </w:r>
      <w:r w:rsidR="00B75478" w:rsidRPr="00382105">
        <w:t xml:space="preserve">the </w:t>
      </w:r>
      <w:r w:rsidR="00100DFC" w:rsidRPr="00382105">
        <w:rPr>
          <w:i/>
        </w:rPr>
        <w:t>Legislation Act 2003</w:t>
      </w:r>
      <w:r w:rsidR="00100DFC" w:rsidRPr="00382105">
        <w:t xml:space="preserve"> (the Legislation Act)</w:t>
      </w:r>
      <w:r w:rsidR="00BD598E" w:rsidRPr="00382105">
        <w:t xml:space="preserve">.  </w:t>
      </w:r>
    </w:p>
    <w:p w14:paraId="343D311C" w14:textId="77777777" w:rsidR="00EA12C9" w:rsidRPr="00382105" w:rsidRDefault="00BD598E" w:rsidP="00100DFC">
      <w:pPr>
        <w:pStyle w:val="ESHeading"/>
      </w:pPr>
      <w:r w:rsidRPr="00382105">
        <w:t>Purpose</w:t>
      </w:r>
      <w:r w:rsidR="00BB0CF2" w:rsidRPr="00382105">
        <w:t xml:space="preserve"> </w:t>
      </w:r>
    </w:p>
    <w:p w14:paraId="2A91E0CE" w14:textId="6290A647" w:rsidR="00A65084" w:rsidRPr="00382105" w:rsidRDefault="00A65084" w:rsidP="002D167E">
      <w:pPr>
        <w:pStyle w:val="ESPara"/>
      </w:pPr>
      <w:r w:rsidRPr="00382105">
        <w:t xml:space="preserve">The purpose of the instrument is to </w:t>
      </w:r>
      <w:r w:rsidR="00190EA2" w:rsidRPr="00382105">
        <w:t xml:space="preserve">expand the parts </w:t>
      </w:r>
      <w:r w:rsidR="00D226F5" w:rsidRPr="00382105">
        <w:t xml:space="preserve">and areas </w:t>
      </w:r>
      <w:r w:rsidR="00190EA2" w:rsidRPr="00382105">
        <w:t xml:space="preserve">of Australia that are </w:t>
      </w:r>
      <w:r w:rsidRPr="00382105">
        <w:t>specified for subregulation 1.15M(1)</w:t>
      </w:r>
      <w:r w:rsidR="00050E74" w:rsidRPr="00382105">
        <w:t>,</w:t>
      </w:r>
      <w:r w:rsidR="00171AAF" w:rsidRPr="00382105">
        <w:t xml:space="preserve"> </w:t>
      </w:r>
      <w:r w:rsidRPr="00382105">
        <w:t xml:space="preserve">the definition of </w:t>
      </w:r>
      <w:r w:rsidRPr="00382105">
        <w:rPr>
          <w:b/>
          <w:i/>
        </w:rPr>
        <w:t>regional Australia</w:t>
      </w:r>
      <w:r w:rsidRPr="00382105">
        <w:t xml:space="preserve"> in subregulation 5.19(16)</w:t>
      </w:r>
      <w:r w:rsidR="00190EA2" w:rsidRPr="00382105">
        <w:t>,</w:t>
      </w:r>
      <w:r w:rsidRPr="00382105">
        <w:t xml:space="preserve"> and for subparagraph 888.226(2)(c)(i) and paragraph 892.213(3)(b) of Schedule 2 to the Regulations.  The instrument </w:t>
      </w:r>
      <w:r w:rsidR="00DE1C45" w:rsidRPr="00382105">
        <w:t>adds</w:t>
      </w:r>
      <w:r w:rsidR="002464B9" w:rsidRPr="00382105">
        <w:t xml:space="preserve"> postcodes in the</w:t>
      </w:r>
      <w:r w:rsidR="00DE1C45" w:rsidRPr="00382105">
        <w:t xml:space="preserve"> </w:t>
      </w:r>
      <w:r w:rsidR="00D226F5" w:rsidRPr="00382105">
        <w:t xml:space="preserve">local government </w:t>
      </w:r>
      <w:r w:rsidR="00DE1C45" w:rsidRPr="00382105">
        <w:t>areas of Moreton Bay and Ipswich, Queensland as specified</w:t>
      </w:r>
      <w:r w:rsidR="002464B9" w:rsidRPr="00382105">
        <w:t xml:space="preserve"> parts and</w:t>
      </w:r>
      <w:r w:rsidR="00DE1C45" w:rsidRPr="00382105">
        <w:t xml:space="preserve"> area</w:t>
      </w:r>
      <w:r w:rsidR="00317212" w:rsidRPr="00382105">
        <w:t>s</w:t>
      </w:r>
      <w:r w:rsidR="002464B9" w:rsidRPr="00382105">
        <w:t xml:space="preserve"> of Australia</w:t>
      </w:r>
      <w:r w:rsidR="00317212" w:rsidRPr="00382105">
        <w:t xml:space="preserve"> for </w:t>
      </w:r>
      <w:r w:rsidR="00190EA2" w:rsidRPr="00382105">
        <w:t>this purpose</w:t>
      </w:r>
      <w:r w:rsidR="00DE1C45" w:rsidRPr="00382105">
        <w:t xml:space="preserve">. </w:t>
      </w:r>
      <w:r w:rsidR="00B15013" w:rsidRPr="00382105">
        <w:t xml:space="preserve"> </w:t>
      </w:r>
    </w:p>
    <w:p w14:paraId="396A0C50" w14:textId="37BD876F" w:rsidR="00DE1C45" w:rsidRPr="00382105" w:rsidRDefault="00DE1C45" w:rsidP="002D167E">
      <w:pPr>
        <w:pStyle w:val="ESPara"/>
      </w:pPr>
      <w:r w:rsidRPr="00382105">
        <w:t xml:space="preserve">The </w:t>
      </w:r>
      <w:r w:rsidR="00177B5F" w:rsidRPr="00382105">
        <w:t>instrument</w:t>
      </w:r>
      <w:r w:rsidRPr="00382105">
        <w:t xml:space="preserve"> also specifies </w:t>
      </w:r>
      <w:r w:rsidR="00D226F5" w:rsidRPr="00382105">
        <w:t xml:space="preserve">parts of Australia </w:t>
      </w:r>
      <w:r w:rsidRPr="00382105">
        <w:t xml:space="preserve">for </w:t>
      </w:r>
      <w:r w:rsidR="00177B5F" w:rsidRPr="00382105">
        <w:t>subregulation</w:t>
      </w:r>
      <w:r w:rsidRPr="00382105">
        <w:t xml:space="preserve"> 1.15M(2) of the </w:t>
      </w:r>
      <w:r w:rsidR="00177B5F" w:rsidRPr="00382105">
        <w:t>Regulations</w:t>
      </w:r>
      <w:r w:rsidR="004E5BA3" w:rsidRPr="00382105">
        <w:t>.  The instrument operates such that</w:t>
      </w:r>
      <w:r w:rsidRPr="00382105">
        <w:t xml:space="preserve"> those </w:t>
      </w:r>
      <w:r w:rsidR="00D226F5" w:rsidRPr="00382105">
        <w:t xml:space="preserve">parts of Australia </w:t>
      </w:r>
      <w:r w:rsidRPr="00382105">
        <w:t xml:space="preserve">are also specified for the definition of </w:t>
      </w:r>
      <w:r w:rsidRPr="00382105">
        <w:rPr>
          <w:b/>
          <w:i/>
        </w:rPr>
        <w:t>regional Australia</w:t>
      </w:r>
      <w:r w:rsidRPr="00382105">
        <w:t xml:space="preserve"> in subregulation 5.19(16) and </w:t>
      </w:r>
      <w:r w:rsidR="00D226F5" w:rsidRPr="00382105">
        <w:t xml:space="preserve">as areas for </w:t>
      </w:r>
      <w:r w:rsidRPr="00382105">
        <w:t>subparagraph</w:t>
      </w:r>
      <w:r w:rsidR="00606D5F" w:rsidRPr="00382105">
        <w:t> </w:t>
      </w:r>
      <w:r w:rsidRPr="00382105">
        <w:t>888.226(2)(c)(i) and paragraph</w:t>
      </w:r>
      <w:r w:rsidR="00171AAF" w:rsidRPr="00382105">
        <w:t> </w:t>
      </w:r>
      <w:r w:rsidRPr="00382105">
        <w:t xml:space="preserve">892.213(3)(b) of Schedule 2 to the Regulations.  The </w:t>
      </w:r>
      <w:r w:rsidR="00D226F5" w:rsidRPr="00382105">
        <w:t>parts of Australia</w:t>
      </w:r>
      <w:r w:rsidRPr="00382105">
        <w:t xml:space="preserve"> </w:t>
      </w:r>
      <w:r w:rsidR="00177B5F" w:rsidRPr="00382105">
        <w:t>specified</w:t>
      </w:r>
      <w:r w:rsidRPr="00382105">
        <w:t xml:space="preserve"> for </w:t>
      </w:r>
      <w:r w:rsidR="00190EA2" w:rsidRPr="00382105">
        <w:t xml:space="preserve">the subregulation 1.15M(2) </w:t>
      </w:r>
      <w:r w:rsidR="00B04CC0" w:rsidRPr="00382105">
        <w:t xml:space="preserve">are </w:t>
      </w:r>
      <w:r w:rsidR="00D226F5" w:rsidRPr="00382105">
        <w:t>unchanged from</w:t>
      </w:r>
      <w:r w:rsidRPr="00382105">
        <w:t xml:space="preserve"> </w:t>
      </w:r>
      <w:r w:rsidR="00317212" w:rsidRPr="00382105">
        <w:t>LIN </w:t>
      </w:r>
      <w:r w:rsidRPr="00382105">
        <w:t xml:space="preserve">20/292.  </w:t>
      </w:r>
    </w:p>
    <w:p w14:paraId="321A23BF" w14:textId="1B26C984" w:rsidR="0008792E" w:rsidRPr="00382105" w:rsidRDefault="00461F79" w:rsidP="00CA45F9">
      <w:pPr>
        <w:pStyle w:val="ESPara"/>
      </w:pPr>
      <w:r w:rsidRPr="00382105">
        <w:t>T</w:t>
      </w:r>
      <w:r w:rsidR="0008792E" w:rsidRPr="00382105">
        <w:t xml:space="preserve">he instrument </w:t>
      </w:r>
      <w:r w:rsidR="00BE6901" w:rsidRPr="00382105">
        <w:t>includes a</w:t>
      </w:r>
      <w:r w:rsidR="00050E74" w:rsidRPr="00382105">
        <w:t xml:space="preserve">n </w:t>
      </w:r>
      <w:r w:rsidR="00EE6AF7" w:rsidRPr="00382105">
        <w:t>updated application</w:t>
      </w:r>
      <w:r w:rsidR="00BE6901" w:rsidRPr="00382105">
        <w:t xml:space="preserve"> section from </w:t>
      </w:r>
      <w:r w:rsidR="002815BC" w:rsidRPr="00382105">
        <w:t>LIN </w:t>
      </w:r>
      <w:r w:rsidR="00BE6901" w:rsidRPr="00382105">
        <w:t>20/292.  This reflects that applications for a Subclass 189 (Skilled—Independent) visa or Subclass 190 (Skilled—Nominated)</w:t>
      </w:r>
      <w:r w:rsidR="008F3807" w:rsidRPr="00382105">
        <w:t xml:space="preserve"> </w:t>
      </w:r>
      <w:r w:rsidR="00BE6901" w:rsidRPr="00382105">
        <w:t xml:space="preserve">visa are covered by assessments made under section 93 of the </w:t>
      </w:r>
      <w:r w:rsidR="00BE6901" w:rsidRPr="00382105">
        <w:rPr>
          <w:i/>
        </w:rPr>
        <w:t>Migration Act 1958</w:t>
      </w:r>
      <w:r w:rsidR="00BE6901" w:rsidRPr="00382105">
        <w:t xml:space="preserve"> (the Act).  </w:t>
      </w:r>
    </w:p>
    <w:p w14:paraId="5823BA48" w14:textId="514890C1" w:rsidR="0008792E" w:rsidRPr="00382105" w:rsidRDefault="0008792E" w:rsidP="0008792E">
      <w:pPr>
        <w:pStyle w:val="ESSubHeading"/>
      </w:pPr>
      <w:r w:rsidRPr="00382105">
        <w:t xml:space="preserve">Operation of the authorising provisions </w:t>
      </w:r>
    </w:p>
    <w:p w14:paraId="34672BDC" w14:textId="2FEB8D52" w:rsidR="00DE1C45" w:rsidRPr="00382105" w:rsidRDefault="00177B5F" w:rsidP="002D167E">
      <w:pPr>
        <w:pStyle w:val="ESPara"/>
      </w:pPr>
      <w:r w:rsidRPr="00382105">
        <w:t>Subregulation</w:t>
      </w:r>
      <w:r w:rsidR="00D226F5" w:rsidRPr="00382105">
        <w:t>s</w:t>
      </w:r>
      <w:r w:rsidR="009E4877" w:rsidRPr="00382105">
        <w:t xml:space="preserve"> 1.15M(1) </w:t>
      </w:r>
      <w:r w:rsidR="00D226F5" w:rsidRPr="00382105">
        <w:t xml:space="preserve">and (2) </w:t>
      </w:r>
      <w:r w:rsidR="009E4877" w:rsidRPr="00382105">
        <w:t xml:space="preserve">of the </w:t>
      </w:r>
      <w:r w:rsidRPr="00382105">
        <w:t>Regulations</w:t>
      </w:r>
      <w:r w:rsidR="009E4877" w:rsidRPr="00382105">
        <w:t xml:space="preserve"> provide the Minister may </w:t>
      </w:r>
      <w:r w:rsidRPr="00382105">
        <w:t>specify</w:t>
      </w:r>
      <w:r w:rsidR="009E4877" w:rsidRPr="00382105">
        <w:t xml:space="preserve"> by </w:t>
      </w:r>
      <w:r w:rsidRPr="00382105">
        <w:t>legislative</w:t>
      </w:r>
      <w:r w:rsidR="009E4877" w:rsidRPr="00382105">
        <w:t xml:space="preserve"> </w:t>
      </w:r>
      <w:r w:rsidRPr="00382105">
        <w:t>instrument</w:t>
      </w:r>
      <w:r w:rsidR="009E4877" w:rsidRPr="00382105">
        <w:t xml:space="preserve"> a part of Australia to be a </w:t>
      </w:r>
      <w:r w:rsidR="004E5BA3" w:rsidRPr="00382105">
        <w:rPr>
          <w:b/>
          <w:i/>
        </w:rPr>
        <w:t>designated city or</w:t>
      </w:r>
      <w:r w:rsidR="009E4877" w:rsidRPr="00382105">
        <w:rPr>
          <w:b/>
          <w:i/>
        </w:rPr>
        <w:t xml:space="preserve"> major regional centre</w:t>
      </w:r>
      <w:r w:rsidR="00D226F5" w:rsidRPr="00382105">
        <w:t xml:space="preserve"> or</w:t>
      </w:r>
      <w:r w:rsidRPr="00382105">
        <w:t xml:space="preserve"> a </w:t>
      </w:r>
      <w:r w:rsidRPr="00382105">
        <w:rPr>
          <w:b/>
          <w:i/>
        </w:rPr>
        <w:t>regional centre or other regional area</w:t>
      </w:r>
      <w:r w:rsidR="00D226F5" w:rsidRPr="00382105">
        <w:t xml:space="preserve"> respectively</w:t>
      </w:r>
      <w:r w:rsidRPr="00382105">
        <w:t xml:space="preserve">.  </w:t>
      </w:r>
      <w:r w:rsidR="00D226F5" w:rsidRPr="00382105">
        <w:t xml:space="preserve">Any part of Australia specified to be </w:t>
      </w:r>
      <w:r w:rsidR="00B04CC0" w:rsidRPr="00382105">
        <w:t xml:space="preserve">a </w:t>
      </w:r>
      <w:r w:rsidRPr="00382105">
        <w:t>designated city or major regional</w:t>
      </w:r>
      <w:r w:rsidR="004E5BA3" w:rsidRPr="00382105">
        <w:t xml:space="preserve"> centre or a regional centre or</w:t>
      </w:r>
      <w:r w:rsidRPr="00382105">
        <w:t xml:space="preserve"> other regional area </w:t>
      </w:r>
      <w:r w:rsidR="00D226F5" w:rsidRPr="00382105">
        <w:t xml:space="preserve">is </w:t>
      </w:r>
      <w:r w:rsidR="004E5BA3" w:rsidRPr="00382105">
        <w:t>also</w:t>
      </w:r>
      <w:r w:rsidR="00D226F5" w:rsidRPr="00382105">
        <w:t xml:space="preserve"> a</w:t>
      </w:r>
      <w:r w:rsidRPr="00382105">
        <w:t xml:space="preserve"> </w:t>
      </w:r>
      <w:r w:rsidRPr="00382105">
        <w:rPr>
          <w:b/>
          <w:i/>
        </w:rPr>
        <w:t>designated regional area</w:t>
      </w:r>
      <w:r w:rsidRPr="00382105">
        <w:t>—see th</w:t>
      </w:r>
      <w:r w:rsidR="00871C88" w:rsidRPr="00382105">
        <w:t>e</w:t>
      </w:r>
      <w:r w:rsidRPr="00382105">
        <w:t xml:space="preserve"> definition in regulation 1.03 of the Regulations. </w:t>
      </w:r>
    </w:p>
    <w:p w14:paraId="750A65BE" w14:textId="0CF05D9D" w:rsidR="00317212" w:rsidRPr="00382105" w:rsidRDefault="00317212" w:rsidP="002D167E">
      <w:pPr>
        <w:pStyle w:val="ESPara"/>
      </w:pPr>
      <w:r w:rsidRPr="00382105">
        <w:lastRenderedPageBreak/>
        <w:t xml:space="preserve">Subregulation 5.19(16) </w:t>
      </w:r>
      <w:r w:rsidR="00D226F5" w:rsidRPr="00382105">
        <w:t xml:space="preserve">defines </w:t>
      </w:r>
      <w:r w:rsidRPr="00382105">
        <w:t>that</w:t>
      </w:r>
      <w:r w:rsidR="00D226F5" w:rsidRPr="00382105">
        <w:t>, for regulation 5.19,</w:t>
      </w:r>
      <w:r w:rsidRPr="00382105">
        <w:t xml:space="preserve"> </w:t>
      </w:r>
      <w:r w:rsidRPr="00382105">
        <w:rPr>
          <w:b/>
          <w:i/>
        </w:rPr>
        <w:t>regional Australia</w:t>
      </w:r>
      <w:r w:rsidRPr="00382105">
        <w:t xml:space="preserve"> means a part of Australia specified in a legislative instrument made by the Minister for the </w:t>
      </w:r>
      <w:r w:rsidR="00D226F5" w:rsidRPr="00382105">
        <w:t>purpose of that definition</w:t>
      </w:r>
      <w:r w:rsidRPr="00382105">
        <w:t xml:space="preserve">. </w:t>
      </w:r>
    </w:p>
    <w:p w14:paraId="2AEE2D86" w14:textId="5F4BA352" w:rsidR="00317212" w:rsidRPr="00382105" w:rsidRDefault="00317212" w:rsidP="00317212">
      <w:pPr>
        <w:pStyle w:val="ESPara"/>
      </w:pPr>
      <w:r w:rsidRPr="00382105">
        <w:t xml:space="preserve">Subparagraph 888.226(2)(c)(i) </w:t>
      </w:r>
      <w:r w:rsidR="00CD042C" w:rsidRPr="00382105">
        <w:t xml:space="preserve">of Schedule 2 </w:t>
      </w:r>
      <w:r w:rsidR="00D226F5" w:rsidRPr="00382105">
        <w:t xml:space="preserve">provides that </w:t>
      </w:r>
      <w:r w:rsidRPr="00382105">
        <w:t xml:space="preserve">an applicant must reside in </w:t>
      </w:r>
      <w:r w:rsidR="00CD042C" w:rsidRPr="00382105">
        <w:t xml:space="preserve">an area specified by the Minister in a legislative instrument </w:t>
      </w:r>
      <w:r w:rsidRPr="00382105">
        <w:t xml:space="preserve">when applying for a </w:t>
      </w:r>
      <w:r w:rsidR="008831AD" w:rsidRPr="00382105">
        <w:t>Subclass 888 (Business Innovation and Investment (Permanent))</w:t>
      </w:r>
      <w:r w:rsidRPr="00382105">
        <w:t xml:space="preserve"> visa in</w:t>
      </w:r>
      <w:r w:rsidR="008831AD" w:rsidRPr="00382105">
        <w:t xml:space="preserve"> the</w:t>
      </w:r>
      <w:r w:rsidRPr="00382105">
        <w:t xml:space="preserve"> Business Innovation stream. </w:t>
      </w:r>
      <w:r w:rsidR="00CD042C" w:rsidRPr="00382105">
        <w:t xml:space="preserve"> Similarly, paragraph 892.213(3)(b) of Schedule 2 provides that an applicant must reside in, or operate their main business in, an area specified by the Minister in a legislative instrument when applying for a </w:t>
      </w:r>
      <w:r w:rsidR="008831AD" w:rsidRPr="00382105">
        <w:t>Subclass</w:t>
      </w:r>
      <w:r w:rsidR="00DE734A" w:rsidRPr="00382105">
        <w:t> </w:t>
      </w:r>
      <w:r w:rsidR="008831AD" w:rsidRPr="00382105">
        <w:t>892</w:t>
      </w:r>
      <w:r w:rsidR="00CD042C" w:rsidRPr="00382105">
        <w:t xml:space="preserve"> </w:t>
      </w:r>
      <w:r w:rsidR="008831AD" w:rsidRPr="00382105">
        <w:t xml:space="preserve">(State/Territory Sponsored Business Owner) </w:t>
      </w:r>
      <w:r w:rsidR="00CD042C" w:rsidRPr="00382105">
        <w:t xml:space="preserve">visa.  </w:t>
      </w:r>
    </w:p>
    <w:p w14:paraId="77639978" w14:textId="00214447" w:rsidR="008B24C8" w:rsidRPr="00382105" w:rsidRDefault="008B24C8" w:rsidP="00100DFC">
      <w:pPr>
        <w:pStyle w:val="ESHeading"/>
      </w:pPr>
      <w:r w:rsidRPr="00382105">
        <w:t>Consultation</w:t>
      </w:r>
    </w:p>
    <w:p w14:paraId="7BFAD867" w14:textId="2481CD2D" w:rsidR="00C301D9" w:rsidRPr="00382105" w:rsidRDefault="00A919B2" w:rsidP="00A919B2">
      <w:pPr>
        <w:pStyle w:val="ESPara"/>
      </w:pPr>
      <w:r w:rsidRPr="00382105">
        <w:t>State and territor</w:t>
      </w:r>
      <w:r w:rsidR="00CD042C" w:rsidRPr="00382105">
        <w:t>y governments</w:t>
      </w:r>
      <w:r w:rsidRPr="00382105">
        <w:t xml:space="preserve"> were consulted on the effectiveness of regional</w:t>
      </w:r>
      <w:r w:rsidR="00C301D9" w:rsidRPr="00382105">
        <w:t xml:space="preserve"> migration</w:t>
      </w:r>
      <w:r w:rsidRPr="00382105">
        <w:t xml:space="preserve"> initiatives during a 2019 review process. </w:t>
      </w:r>
      <w:r w:rsidR="00C301D9" w:rsidRPr="00382105">
        <w:t xml:space="preserve"> </w:t>
      </w:r>
      <w:r w:rsidRPr="00382105">
        <w:t xml:space="preserve">Consultation occurred with </w:t>
      </w:r>
      <w:r w:rsidR="00017F25" w:rsidRPr="00382105">
        <w:t xml:space="preserve">the following </w:t>
      </w:r>
      <w:r w:rsidRPr="00382105">
        <w:t xml:space="preserve">state and territory </w:t>
      </w:r>
      <w:r w:rsidR="00CD042C" w:rsidRPr="00382105">
        <w:t xml:space="preserve">government agencies </w:t>
      </w:r>
      <w:r w:rsidR="00017F25" w:rsidRPr="00382105">
        <w:t xml:space="preserve">on expanding the parts and areas of Australia covered by subsections </w:t>
      </w:r>
      <w:r w:rsidR="00C277B9" w:rsidRPr="00382105">
        <w:t>3</w:t>
      </w:r>
      <w:r w:rsidR="00017F25" w:rsidRPr="00382105">
        <w:t>(1)</w:t>
      </w:r>
      <w:r w:rsidR="00B04CC0" w:rsidRPr="00382105">
        <w:t> </w:t>
      </w:r>
      <w:r w:rsidR="00017F25" w:rsidRPr="00382105">
        <w:t>and</w:t>
      </w:r>
      <w:r w:rsidR="00B04CC0" w:rsidRPr="00382105">
        <w:t> </w:t>
      </w:r>
      <w:r w:rsidR="00776F29" w:rsidRPr="00382105">
        <w:t>(</w:t>
      </w:r>
      <w:r w:rsidR="00017F25" w:rsidRPr="00382105">
        <w:t>3</w:t>
      </w:r>
      <w:r w:rsidR="00776F29" w:rsidRPr="00382105">
        <w:t>)</w:t>
      </w:r>
      <w:r w:rsidR="00017F25" w:rsidRPr="00382105">
        <w:t xml:space="preserve"> of the instrument</w:t>
      </w:r>
      <w:r w:rsidRPr="00382105">
        <w:t xml:space="preserve">: </w:t>
      </w:r>
    </w:p>
    <w:p w14:paraId="657B9E31" w14:textId="43BFF384" w:rsidR="00C301D9" w:rsidRPr="00382105" w:rsidRDefault="00A919B2" w:rsidP="00F84968">
      <w:pPr>
        <w:pStyle w:val="ESSubparaList"/>
        <w:spacing w:after="0"/>
      </w:pPr>
      <w:r w:rsidRPr="00382105">
        <w:t xml:space="preserve">Australian Capital Territory–Chief Minister, Treasury and Economic Development Directorate; </w:t>
      </w:r>
    </w:p>
    <w:p w14:paraId="4958A7FE" w14:textId="00006857" w:rsidR="00C301D9" w:rsidRPr="00382105" w:rsidRDefault="00A919B2" w:rsidP="00F84968">
      <w:pPr>
        <w:pStyle w:val="ESSubparaList"/>
        <w:spacing w:before="0" w:after="0"/>
      </w:pPr>
      <w:r w:rsidRPr="00382105">
        <w:t xml:space="preserve">Queensland–Department of Employment, Small Business and Training; </w:t>
      </w:r>
    </w:p>
    <w:p w14:paraId="2FB09A02" w14:textId="2A85C8D2" w:rsidR="00C301D9" w:rsidRPr="00382105" w:rsidRDefault="00A919B2" w:rsidP="00F84968">
      <w:pPr>
        <w:pStyle w:val="ESSubparaList"/>
        <w:spacing w:before="0" w:after="0"/>
      </w:pPr>
      <w:r w:rsidRPr="00382105">
        <w:t xml:space="preserve">New South Wales–Department of Planning, Industry and Environment; </w:t>
      </w:r>
    </w:p>
    <w:p w14:paraId="1A307823" w14:textId="6CC1E467" w:rsidR="00C301D9" w:rsidRPr="00382105" w:rsidRDefault="00A919B2" w:rsidP="00F84968">
      <w:pPr>
        <w:pStyle w:val="ESSubparaList"/>
        <w:spacing w:before="0" w:after="0"/>
      </w:pPr>
      <w:r w:rsidRPr="00382105">
        <w:t xml:space="preserve">South Australia–Department for Innovation and Skills; </w:t>
      </w:r>
    </w:p>
    <w:p w14:paraId="7D9B0F68" w14:textId="4E1C2F34" w:rsidR="00C301D9" w:rsidRPr="00382105" w:rsidRDefault="00A919B2" w:rsidP="00F84968">
      <w:pPr>
        <w:pStyle w:val="ESSubparaList"/>
        <w:spacing w:before="0" w:after="0"/>
      </w:pPr>
      <w:r w:rsidRPr="00382105">
        <w:t xml:space="preserve">Victoria–Department of Jobs, Precincts and Regions; </w:t>
      </w:r>
    </w:p>
    <w:p w14:paraId="6E786C5A" w14:textId="376F601D" w:rsidR="00606D5F" w:rsidRPr="00382105" w:rsidRDefault="00A919B2" w:rsidP="00F84968">
      <w:pPr>
        <w:pStyle w:val="ESSubparaList"/>
        <w:spacing w:before="0" w:after="0"/>
      </w:pPr>
      <w:r w:rsidRPr="00382105">
        <w:t xml:space="preserve">Western Australia–Department of Training and Workforce Development; </w:t>
      </w:r>
    </w:p>
    <w:p w14:paraId="7AAA32B4" w14:textId="5BF3B73F" w:rsidR="00C301D9" w:rsidRPr="00382105" w:rsidRDefault="00A919B2" w:rsidP="00F84968">
      <w:pPr>
        <w:pStyle w:val="ESSubparaList"/>
        <w:spacing w:before="0" w:after="0"/>
      </w:pPr>
      <w:r w:rsidRPr="00382105">
        <w:t xml:space="preserve">Northern Territory–Department of Industry, Tourism and Trade; </w:t>
      </w:r>
    </w:p>
    <w:p w14:paraId="4303918C" w14:textId="6D9BC0BF" w:rsidR="00A919B2" w:rsidRPr="00382105" w:rsidRDefault="00A919B2" w:rsidP="00F84968">
      <w:pPr>
        <w:pStyle w:val="ESSubparaList"/>
        <w:spacing w:before="0"/>
      </w:pPr>
      <w:r w:rsidRPr="00382105">
        <w:t xml:space="preserve">Tasmania–Department of State Growth. </w:t>
      </w:r>
    </w:p>
    <w:p w14:paraId="0D7194F4" w14:textId="3346CBD3" w:rsidR="00017F25" w:rsidRPr="00382105" w:rsidRDefault="00017F25">
      <w:pPr>
        <w:pStyle w:val="ESPara"/>
      </w:pPr>
      <w:r w:rsidRPr="00382105">
        <w:t>This consultation demonstrated support for expanding these parts and areas of regional Australia</w:t>
      </w:r>
      <w:r w:rsidR="00C277B9" w:rsidRPr="00382105">
        <w:t>,</w:t>
      </w:r>
      <w:r w:rsidRPr="00382105">
        <w:t xml:space="preserve"> as doing so would allow more business to attract and retain skilled migrants. </w:t>
      </w:r>
    </w:p>
    <w:p w14:paraId="7E994E94" w14:textId="429EEB0A" w:rsidR="00CD042C" w:rsidRPr="00382105" w:rsidRDefault="00C301D9">
      <w:pPr>
        <w:pStyle w:val="ESPara"/>
      </w:pPr>
      <w:r w:rsidRPr="00382105">
        <w:t>C</w:t>
      </w:r>
      <w:r w:rsidR="00A919B2" w:rsidRPr="00382105">
        <w:t xml:space="preserve">onsultation </w:t>
      </w:r>
      <w:r w:rsidRPr="00382105">
        <w:t xml:space="preserve">was also undertaken </w:t>
      </w:r>
      <w:r w:rsidR="00A919B2" w:rsidRPr="00382105">
        <w:t xml:space="preserve">with the Centre for Population on </w:t>
      </w:r>
      <w:r w:rsidR="00017F25" w:rsidRPr="00382105">
        <w:t xml:space="preserve">expanding these parts and areas of Australia.  </w:t>
      </w:r>
    </w:p>
    <w:p w14:paraId="2331F2C3" w14:textId="11CF5C73" w:rsidR="00017F25" w:rsidRPr="00382105" w:rsidRDefault="00017F25">
      <w:pPr>
        <w:pStyle w:val="ESPara"/>
      </w:pPr>
      <w:r w:rsidRPr="00382105">
        <w:t xml:space="preserve">The measures implemented in the instrument are consistent with the outcomes of consultation. </w:t>
      </w:r>
    </w:p>
    <w:p w14:paraId="687EDBD2" w14:textId="3F043FC8" w:rsidR="008B24C8" w:rsidRPr="00382105" w:rsidRDefault="008B24C8" w:rsidP="00F711E0">
      <w:pPr>
        <w:pStyle w:val="ESPara"/>
      </w:pPr>
      <w:r w:rsidRPr="00382105">
        <w:t xml:space="preserve">The Office of Best Practice Regulation (OBPR) was also consulted and considered that the instrument dealt with matters of a </w:t>
      </w:r>
      <w:r w:rsidR="001842B9" w:rsidRPr="00382105">
        <w:t>minor</w:t>
      </w:r>
      <w:r w:rsidRPr="00382105">
        <w:t xml:space="preserve"> nature and no regulatory impact statement was required.  The OBPR re</w:t>
      </w:r>
      <w:r w:rsidR="00A919B2" w:rsidRPr="00382105">
        <w:t>ference number is 44201</w:t>
      </w:r>
      <w:r w:rsidRPr="00382105">
        <w:t>.</w:t>
      </w:r>
    </w:p>
    <w:p w14:paraId="65C3FB80" w14:textId="77777777" w:rsidR="00AA4557" w:rsidRPr="00382105" w:rsidRDefault="00464080" w:rsidP="00100DFC">
      <w:pPr>
        <w:pStyle w:val="ESHeading"/>
      </w:pPr>
      <w:r w:rsidRPr="00382105">
        <w:t>Details</w:t>
      </w:r>
      <w:r w:rsidR="00AA4557" w:rsidRPr="00382105">
        <w:t xml:space="preserve"> of the instrument</w:t>
      </w:r>
    </w:p>
    <w:p w14:paraId="2A945324" w14:textId="77777777" w:rsidR="00E12157" w:rsidRPr="00382105" w:rsidRDefault="00E12157" w:rsidP="00100DFC">
      <w:pPr>
        <w:pStyle w:val="ESPara"/>
      </w:pPr>
      <w:r w:rsidRPr="00382105">
        <w:t xml:space="preserve">Details of the instrument are set out in </w:t>
      </w:r>
      <w:r w:rsidRPr="00382105">
        <w:rPr>
          <w:b/>
          <w:u w:val="single"/>
        </w:rPr>
        <w:t xml:space="preserve">Attachment </w:t>
      </w:r>
      <w:r w:rsidR="009200F4" w:rsidRPr="00382105">
        <w:rPr>
          <w:b/>
          <w:u w:val="single"/>
        </w:rPr>
        <w:t>A.</w:t>
      </w:r>
      <w:r w:rsidRPr="00382105">
        <w:t xml:space="preserve">  </w:t>
      </w:r>
    </w:p>
    <w:p w14:paraId="1746464D" w14:textId="77777777" w:rsidR="00AA4557" w:rsidRPr="00382105" w:rsidRDefault="00AA4557" w:rsidP="00100DFC">
      <w:pPr>
        <w:pStyle w:val="ESHeading"/>
      </w:pPr>
      <w:r w:rsidRPr="00382105">
        <w:t xml:space="preserve">Parliamentary scrutiny etc.  </w:t>
      </w:r>
    </w:p>
    <w:p w14:paraId="7E03B09D" w14:textId="0A377373" w:rsidR="00E03DCC" w:rsidRPr="00382105" w:rsidRDefault="00E03DCC" w:rsidP="002D167E">
      <w:pPr>
        <w:pStyle w:val="ESPara"/>
      </w:pPr>
      <w:r w:rsidRPr="00382105">
        <w:t xml:space="preserve">The instrument is exempt from disallowance under section 42 of the Legislation Act.  This is because it </w:t>
      </w:r>
      <w:r w:rsidR="009200F4" w:rsidRPr="00382105">
        <w:t xml:space="preserve">is </w:t>
      </w:r>
      <w:r w:rsidRPr="00382105">
        <w:t xml:space="preserve">prescribed in </w:t>
      </w:r>
      <w:r w:rsidR="00C277B9" w:rsidRPr="00382105">
        <w:t xml:space="preserve">paragraph (b) of item </w:t>
      </w:r>
      <w:r w:rsidR="009200F4" w:rsidRPr="00382105">
        <w:t xml:space="preserve">20 of </w:t>
      </w:r>
      <w:r w:rsidRPr="00382105">
        <w:t xml:space="preserve">section 10 of the </w:t>
      </w:r>
      <w:r w:rsidRPr="00382105">
        <w:rPr>
          <w:i/>
        </w:rPr>
        <w:t>Legislation (Exemption</w:t>
      </w:r>
      <w:r w:rsidR="009200F4" w:rsidRPr="00382105">
        <w:rPr>
          <w:i/>
        </w:rPr>
        <w:t>s and Other Matters) Regulation </w:t>
      </w:r>
      <w:r w:rsidRPr="00382105">
        <w:rPr>
          <w:i/>
        </w:rPr>
        <w:t>2015</w:t>
      </w:r>
      <w:r w:rsidRPr="00382105">
        <w:t xml:space="preserve">.  </w:t>
      </w:r>
    </w:p>
    <w:p w14:paraId="5F119BB2" w14:textId="5AA3D680" w:rsidR="007E4691" w:rsidRPr="00382105" w:rsidRDefault="00B75478" w:rsidP="00F84968">
      <w:pPr>
        <w:pStyle w:val="ESPara"/>
      </w:pPr>
      <w:r w:rsidRPr="00382105">
        <w:lastRenderedPageBreak/>
        <w:t xml:space="preserve">The instrument was made by </w:t>
      </w:r>
      <w:r w:rsidR="00AD2A6F" w:rsidRPr="00382105">
        <w:t>the Minister for Immigration, Citizenship, Migrant Services and Multicultural Affairs</w:t>
      </w:r>
      <w:r w:rsidRPr="00382105">
        <w:t xml:space="preserve"> in accordance with </w:t>
      </w:r>
      <w:r w:rsidR="00C16DA8" w:rsidRPr="00382105">
        <w:t>subregulations</w:t>
      </w:r>
      <w:r w:rsidR="009200F4" w:rsidRPr="00382105">
        <w:t xml:space="preserve"> 1.15M(1) and (2), the definition of </w:t>
      </w:r>
      <w:r w:rsidR="009200F4" w:rsidRPr="00382105">
        <w:rPr>
          <w:b/>
          <w:i/>
        </w:rPr>
        <w:t>regional Australia</w:t>
      </w:r>
      <w:r w:rsidR="009200F4" w:rsidRPr="00382105">
        <w:t xml:space="preserve"> in subregulation 5.19(16)</w:t>
      </w:r>
      <w:r w:rsidR="00344BA9" w:rsidRPr="00382105">
        <w:t>,</w:t>
      </w:r>
      <w:r w:rsidR="009200F4" w:rsidRPr="00382105">
        <w:t xml:space="preserve"> and subparagraph 888.226(2)(c)(i) and paragraph 892.213(3)(b) of Schedule 2 to the Regulations</w:t>
      </w:r>
      <w:r w:rsidRPr="00382105">
        <w:t xml:space="preserve">.  </w:t>
      </w:r>
    </w:p>
    <w:p w14:paraId="418EEAC8" w14:textId="77777777" w:rsidR="004F5CE4" w:rsidRPr="00382105" w:rsidRDefault="007E4691" w:rsidP="00F84968">
      <w:pPr>
        <w:pStyle w:val="ESAttAttName"/>
        <w:pageBreakBefore/>
      </w:pPr>
      <w:r w:rsidRPr="00382105">
        <w:lastRenderedPageBreak/>
        <w:t xml:space="preserve">Attachment </w:t>
      </w:r>
      <w:r w:rsidR="009200F4" w:rsidRPr="00382105">
        <w:t>A</w:t>
      </w:r>
    </w:p>
    <w:p w14:paraId="22D1E2CF" w14:textId="0B96761F" w:rsidR="009200F4" w:rsidRPr="00382105" w:rsidRDefault="007E4691" w:rsidP="00100DFC">
      <w:pPr>
        <w:pStyle w:val="ESAttHeading"/>
      </w:pPr>
      <w:r w:rsidRPr="00382105">
        <w:t>Details of the</w:t>
      </w:r>
      <w:r w:rsidR="009200F4" w:rsidRPr="00382105">
        <w:rPr>
          <w:i/>
        </w:rPr>
        <w:t xml:space="preserve"> </w:t>
      </w:r>
      <w:r w:rsidR="00C16DA8" w:rsidRPr="00382105">
        <w:rPr>
          <w:i/>
        </w:rPr>
        <w:t>Migration (D</w:t>
      </w:r>
      <w:r w:rsidR="0096736F" w:rsidRPr="00382105">
        <w:rPr>
          <w:i/>
        </w:rPr>
        <w:t>esignated regional areas for certain skilled and temporary graduate visas) Instrument (LIN 2</w:t>
      </w:r>
      <w:r w:rsidR="0045006E" w:rsidRPr="00382105">
        <w:rPr>
          <w:i/>
        </w:rPr>
        <w:t>2</w:t>
      </w:r>
      <w:r w:rsidR="0096736F" w:rsidRPr="00382105">
        <w:rPr>
          <w:i/>
        </w:rPr>
        <w:t>/0</w:t>
      </w:r>
      <w:r w:rsidR="0045006E" w:rsidRPr="00382105">
        <w:rPr>
          <w:i/>
        </w:rPr>
        <w:t>22</w:t>
      </w:r>
      <w:r w:rsidR="0096736F" w:rsidRPr="00382105">
        <w:rPr>
          <w:i/>
        </w:rPr>
        <w:t>) 202</w:t>
      </w:r>
      <w:r w:rsidR="0045006E" w:rsidRPr="00382105">
        <w:rPr>
          <w:i/>
        </w:rPr>
        <w:t>2</w:t>
      </w:r>
    </w:p>
    <w:p w14:paraId="68F6E51B" w14:textId="77777777" w:rsidR="007E4691" w:rsidRPr="00382105" w:rsidRDefault="007E4691" w:rsidP="00100DFC">
      <w:pPr>
        <w:pStyle w:val="ESAttHeading"/>
        <w:rPr>
          <w:b w:val="0"/>
        </w:rPr>
      </w:pPr>
      <w:r w:rsidRPr="00382105">
        <w:t>Section 1</w:t>
      </w:r>
      <w:r w:rsidRPr="00382105">
        <w:tab/>
        <w:t>Name</w:t>
      </w:r>
    </w:p>
    <w:p w14:paraId="62C028B4" w14:textId="7DEA9286" w:rsidR="007E4691" w:rsidRPr="00382105" w:rsidRDefault="007E4691" w:rsidP="00100DFC">
      <w:pPr>
        <w:pStyle w:val="ESAttNormal"/>
      </w:pPr>
      <w:r w:rsidRPr="00382105">
        <w:t xml:space="preserve">This section provides that the name of the instrument is the </w:t>
      </w:r>
      <w:r w:rsidR="0096736F" w:rsidRPr="00382105">
        <w:rPr>
          <w:i/>
        </w:rPr>
        <w:t>Migration</w:t>
      </w:r>
      <w:r w:rsidR="001232AD" w:rsidRPr="00382105">
        <w:rPr>
          <w:i/>
        </w:rPr>
        <w:t xml:space="preserve"> (D</w:t>
      </w:r>
      <w:r w:rsidR="0096736F" w:rsidRPr="00382105">
        <w:rPr>
          <w:i/>
        </w:rPr>
        <w:t>esignated regional areas for certain skilled and temporary graduate visas) Instrument (LIN 2</w:t>
      </w:r>
      <w:r w:rsidR="0045006E" w:rsidRPr="00382105">
        <w:rPr>
          <w:i/>
        </w:rPr>
        <w:t>2</w:t>
      </w:r>
      <w:r w:rsidR="0096736F" w:rsidRPr="00382105">
        <w:rPr>
          <w:i/>
        </w:rPr>
        <w:t>/</w:t>
      </w:r>
      <w:r w:rsidR="0045006E" w:rsidRPr="00382105">
        <w:rPr>
          <w:i/>
        </w:rPr>
        <w:t>022</w:t>
      </w:r>
      <w:r w:rsidR="0096736F" w:rsidRPr="00382105">
        <w:rPr>
          <w:i/>
        </w:rPr>
        <w:t>) 202</w:t>
      </w:r>
      <w:r w:rsidR="0045006E" w:rsidRPr="00382105">
        <w:rPr>
          <w:i/>
        </w:rPr>
        <w:t>2</w:t>
      </w:r>
      <w:r w:rsidR="00420F58" w:rsidRPr="00382105">
        <w:t>.</w:t>
      </w:r>
    </w:p>
    <w:p w14:paraId="00E670D0" w14:textId="77777777" w:rsidR="007E4691" w:rsidRPr="00382105" w:rsidRDefault="007E4691" w:rsidP="00100DFC">
      <w:pPr>
        <w:pStyle w:val="ESAttHeading"/>
        <w:rPr>
          <w:b w:val="0"/>
        </w:rPr>
      </w:pPr>
      <w:r w:rsidRPr="00382105">
        <w:t>Section 2</w:t>
      </w:r>
      <w:r w:rsidRPr="00382105">
        <w:tab/>
        <w:t>Commencement</w:t>
      </w:r>
    </w:p>
    <w:p w14:paraId="238292DD" w14:textId="75FD5775" w:rsidR="00915032" w:rsidRPr="00382105" w:rsidRDefault="007E4691" w:rsidP="00100DFC">
      <w:pPr>
        <w:pStyle w:val="ESAttNormal"/>
      </w:pPr>
      <w:r w:rsidRPr="00382105">
        <w:t xml:space="preserve">This section provides that the instrument commences on </w:t>
      </w:r>
      <w:r w:rsidR="00050E74" w:rsidRPr="00382105">
        <w:t>5 March 2022</w:t>
      </w:r>
      <w:r w:rsidR="009200F4" w:rsidRPr="00382105">
        <w:t xml:space="preserve">. </w:t>
      </w:r>
    </w:p>
    <w:p w14:paraId="6348DDB5" w14:textId="77777777" w:rsidR="00915032" w:rsidRPr="00382105" w:rsidRDefault="00915032" w:rsidP="00100DFC">
      <w:pPr>
        <w:pStyle w:val="ESAttHeading"/>
      </w:pPr>
      <w:r w:rsidRPr="00382105">
        <w:t>Section 3</w:t>
      </w:r>
      <w:r w:rsidRPr="00382105">
        <w:tab/>
      </w:r>
      <w:r w:rsidR="009200F4" w:rsidRPr="00382105">
        <w:t xml:space="preserve">Regional areas </w:t>
      </w:r>
    </w:p>
    <w:p w14:paraId="7D6E61A6" w14:textId="312C7EFF" w:rsidR="00E12157" w:rsidRPr="00382105" w:rsidRDefault="00E12157" w:rsidP="009200F4">
      <w:pPr>
        <w:pStyle w:val="ESAttNormal"/>
      </w:pPr>
      <w:r w:rsidRPr="00382105">
        <w:t xml:space="preserve">Section 3 </w:t>
      </w:r>
      <w:r w:rsidR="00344BA9" w:rsidRPr="00382105">
        <w:t>specifies</w:t>
      </w:r>
      <w:r w:rsidRPr="00382105">
        <w:t xml:space="preserve"> </w:t>
      </w:r>
      <w:r w:rsidR="00344BA9" w:rsidRPr="00382105">
        <w:t>parts and areas of</w:t>
      </w:r>
      <w:r w:rsidRPr="00382105">
        <w:t xml:space="preserve"> Australia for subregulations 1.15M(1) and (2)</w:t>
      </w:r>
      <w:r w:rsidR="00344BA9" w:rsidRPr="00382105">
        <w:t>,</w:t>
      </w:r>
      <w:r w:rsidRPr="00382105">
        <w:t xml:space="preserve"> the definition of </w:t>
      </w:r>
      <w:r w:rsidRPr="00382105">
        <w:rPr>
          <w:b/>
          <w:i/>
        </w:rPr>
        <w:t>regional Australia</w:t>
      </w:r>
      <w:r w:rsidRPr="00382105">
        <w:t xml:space="preserve"> in subregulation 5.19(16)</w:t>
      </w:r>
      <w:r w:rsidR="00344BA9" w:rsidRPr="00382105">
        <w:t>,</w:t>
      </w:r>
      <w:r w:rsidRPr="00382105">
        <w:t xml:space="preserve"> subparagraph 888.226(2)(c)(i) and paragraph</w:t>
      </w:r>
      <w:r w:rsidR="00D30D04" w:rsidRPr="00382105">
        <w:t> </w:t>
      </w:r>
      <w:r w:rsidR="00635555" w:rsidRPr="00382105">
        <w:t>892.213(3)(b) of Schedule </w:t>
      </w:r>
      <w:r w:rsidRPr="00382105">
        <w:t xml:space="preserve">2 to the Regulations. </w:t>
      </w:r>
    </w:p>
    <w:p w14:paraId="0EA50D40" w14:textId="5F62FFA5" w:rsidR="00E12157" w:rsidRPr="00382105" w:rsidRDefault="00E12157" w:rsidP="009200F4">
      <w:pPr>
        <w:pStyle w:val="ESAttNormal"/>
      </w:pPr>
      <w:r w:rsidRPr="00382105">
        <w:t>Subsection 3(1) provides that</w:t>
      </w:r>
      <w:r w:rsidR="00344BA9" w:rsidRPr="00382105">
        <w:t>,</w:t>
      </w:r>
      <w:r w:rsidRPr="00382105">
        <w:t xml:space="preserve"> for subregulation 1.15M(1) of the Regula</w:t>
      </w:r>
      <w:r w:rsidR="009200F4" w:rsidRPr="00382105">
        <w:t xml:space="preserve">tions, a part of Australia </w:t>
      </w:r>
      <w:r w:rsidRPr="00382105">
        <w:t>within a postcode mentioned in</w:t>
      </w:r>
      <w:r w:rsidR="00B33D49" w:rsidRPr="00382105">
        <w:t xml:space="preserve"> the table </w:t>
      </w:r>
      <w:r w:rsidR="00344BA9" w:rsidRPr="00382105">
        <w:t xml:space="preserve">in </w:t>
      </w:r>
      <w:r w:rsidR="00C277B9" w:rsidRPr="00382105">
        <w:t xml:space="preserve">that </w:t>
      </w:r>
      <w:r w:rsidR="00344BA9" w:rsidRPr="00382105">
        <w:t xml:space="preserve">provision </w:t>
      </w:r>
      <w:r w:rsidR="00B33D49" w:rsidRPr="00382105">
        <w:t xml:space="preserve">is specified as a </w:t>
      </w:r>
      <w:r w:rsidRPr="00382105">
        <w:rPr>
          <w:b/>
          <w:i/>
        </w:rPr>
        <w:t>designa</w:t>
      </w:r>
      <w:r w:rsidR="00B33D49" w:rsidRPr="00382105">
        <w:rPr>
          <w:b/>
          <w:i/>
        </w:rPr>
        <w:t>ted city or major regional area</w:t>
      </w:r>
      <w:r w:rsidRPr="00382105">
        <w:t>.  For exa</w:t>
      </w:r>
      <w:r w:rsidR="009200F4" w:rsidRPr="00382105">
        <w:t xml:space="preserve">mple, </w:t>
      </w:r>
      <w:r w:rsidR="00943ADF" w:rsidRPr="00382105">
        <w:t xml:space="preserve">a </w:t>
      </w:r>
      <w:r w:rsidR="00344BA9" w:rsidRPr="00382105">
        <w:t>part</w:t>
      </w:r>
      <w:r w:rsidR="009200F4" w:rsidRPr="00382105">
        <w:t xml:space="preserve"> of Australia </w:t>
      </w:r>
      <w:r w:rsidRPr="00382105">
        <w:t xml:space="preserve">within the postcode 2259 in New South Wales, 3211 in Victoria, 4207 in Queensland, 6214 in Western Australia, 5173 in South Australia, 7004 in Tasmania or any postcode area in the Australian Capital Territory </w:t>
      </w:r>
      <w:r w:rsidR="00943ADF" w:rsidRPr="00382105">
        <w:t xml:space="preserve">is </w:t>
      </w:r>
      <w:r w:rsidR="00420F58" w:rsidRPr="00382105">
        <w:t xml:space="preserve">a </w:t>
      </w:r>
      <w:r w:rsidRPr="00382105">
        <w:t>designated city or major regional area</w:t>
      </w:r>
      <w:r w:rsidR="00B33D49" w:rsidRPr="00382105">
        <w:t xml:space="preserve">.  </w:t>
      </w:r>
      <w:r w:rsidR="00BE6C3E" w:rsidRPr="00382105">
        <w:t>Th</w:t>
      </w:r>
      <w:r w:rsidR="00F84968" w:rsidRPr="00382105">
        <w:t>e</w:t>
      </w:r>
      <w:r w:rsidR="00BE6C3E" w:rsidRPr="00382105">
        <w:t xml:space="preserve"> parts that are specified for this purpose have been expanded to include </w:t>
      </w:r>
      <w:r w:rsidR="003221A2" w:rsidRPr="00382105">
        <w:t xml:space="preserve">postcodes in </w:t>
      </w:r>
      <w:r w:rsidR="00BE6C3E" w:rsidRPr="00382105">
        <w:t xml:space="preserve">the local government areas of </w:t>
      </w:r>
      <w:r w:rsidR="003221A2" w:rsidRPr="00382105">
        <w:t xml:space="preserve">Ipswich and Moreton Bay in Queensland. </w:t>
      </w:r>
      <w:r w:rsidR="00420F58" w:rsidRPr="00382105">
        <w:t xml:space="preserve"> </w:t>
      </w:r>
    </w:p>
    <w:p w14:paraId="6CFA121C" w14:textId="7BCBDFA4" w:rsidR="00E12157" w:rsidRPr="00382105" w:rsidRDefault="00E12157" w:rsidP="009200F4">
      <w:pPr>
        <w:pStyle w:val="ESAttNormal"/>
      </w:pPr>
      <w:r w:rsidRPr="00382105">
        <w:t>Subsection 3(2) provides that</w:t>
      </w:r>
      <w:r w:rsidR="00344BA9" w:rsidRPr="00382105">
        <w:t>,</w:t>
      </w:r>
      <w:r w:rsidRPr="00382105">
        <w:t xml:space="preserve"> for subregulation 1.15M(2) of the Regula</w:t>
      </w:r>
      <w:r w:rsidR="004559EA" w:rsidRPr="00382105">
        <w:t xml:space="preserve">tions, a part of Australia </w:t>
      </w:r>
      <w:r w:rsidRPr="00382105">
        <w:t>within a postcode mentioned in</w:t>
      </w:r>
      <w:r w:rsidR="00B33D49" w:rsidRPr="00382105">
        <w:t xml:space="preserve"> the table </w:t>
      </w:r>
      <w:r w:rsidR="00C277B9" w:rsidRPr="00382105">
        <w:t xml:space="preserve">in that provision </w:t>
      </w:r>
      <w:r w:rsidR="00B33D49" w:rsidRPr="00382105">
        <w:t>is specified</w:t>
      </w:r>
      <w:r w:rsidR="00943ADF" w:rsidRPr="00382105">
        <w:t xml:space="preserve"> as a</w:t>
      </w:r>
      <w:r w:rsidR="00B33D49" w:rsidRPr="00382105">
        <w:t xml:space="preserve"> </w:t>
      </w:r>
      <w:r w:rsidRPr="00382105">
        <w:rPr>
          <w:b/>
          <w:i/>
        </w:rPr>
        <w:t>regiona</w:t>
      </w:r>
      <w:r w:rsidR="00B33D49" w:rsidRPr="00382105">
        <w:rPr>
          <w:b/>
          <w:i/>
        </w:rPr>
        <w:t>l centre or other regional area</w:t>
      </w:r>
      <w:r w:rsidRPr="00382105">
        <w:t>.  For exa</w:t>
      </w:r>
      <w:r w:rsidR="005B2B53" w:rsidRPr="00382105">
        <w:t xml:space="preserve">mple, </w:t>
      </w:r>
      <w:r w:rsidR="00344BA9" w:rsidRPr="00382105">
        <w:t>a part</w:t>
      </w:r>
      <w:r w:rsidR="005B2B53" w:rsidRPr="00382105">
        <w:t xml:space="preserve"> of Australia </w:t>
      </w:r>
      <w:r w:rsidRPr="00382105">
        <w:t>within the postcode 2527 in New South Wales is a regional centre or other regional area.</w:t>
      </w:r>
      <w:r w:rsidR="00B33D49" w:rsidRPr="00382105">
        <w:t xml:space="preserve"> </w:t>
      </w:r>
      <w:r w:rsidRPr="00382105">
        <w:t xml:space="preserve"> </w:t>
      </w:r>
      <w:r w:rsidR="00BE6C3E" w:rsidRPr="00382105">
        <w:t>There is no change to the parts of Australia specified</w:t>
      </w:r>
      <w:r w:rsidR="00420F58" w:rsidRPr="00382105">
        <w:t xml:space="preserve"> for this purpose from LIN 20/29</w:t>
      </w:r>
      <w:r w:rsidR="00BE6C3E" w:rsidRPr="00382105">
        <w:t xml:space="preserve">2.  </w:t>
      </w:r>
    </w:p>
    <w:p w14:paraId="0BA23D31" w14:textId="0B53D203" w:rsidR="00344BA9" w:rsidRPr="00382105" w:rsidRDefault="00344BA9" w:rsidP="009200F4">
      <w:pPr>
        <w:pStyle w:val="ESAttNormal"/>
      </w:pPr>
      <w:r w:rsidRPr="00382105">
        <w:t xml:space="preserve">The parts of Australia specified in subsections 3(1) and 3(2) are also defined to be </w:t>
      </w:r>
      <w:r w:rsidRPr="00382105">
        <w:rPr>
          <w:b/>
          <w:i/>
        </w:rPr>
        <w:t>designated regional areas</w:t>
      </w:r>
      <w:r w:rsidRPr="00382105">
        <w:t xml:space="preserve"> (see regul</w:t>
      </w:r>
      <w:r w:rsidR="00BE6C3E" w:rsidRPr="00382105">
        <w:t>ation 1.03 of the Regulations)</w:t>
      </w:r>
      <w:r w:rsidRPr="00382105">
        <w:t xml:space="preserve">.  </w:t>
      </w:r>
    </w:p>
    <w:p w14:paraId="587762E1" w14:textId="77777777" w:rsidR="00BE6C3E" w:rsidRPr="00382105" w:rsidRDefault="00E12157" w:rsidP="009200F4">
      <w:pPr>
        <w:pStyle w:val="ESAttNormal"/>
      </w:pPr>
      <w:r w:rsidRPr="00382105">
        <w:t xml:space="preserve">Subsection 3(3) provides that </w:t>
      </w:r>
      <w:r w:rsidR="00BE6C3E" w:rsidRPr="00382105">
        <w:t xml:space="preserve">the parts of Australia specified in subsections (1) and (2) are also: </w:t>
      </w:r>
    </w:p>
    <w:p w14:paraId="0CF9324C" w14:textId="77777777" w:rsidR="00BE6C3E" w:rsidRPr="00382105" w:rsidRDefault="00BE6C3E" w:rsidP="00A230A2">
      <w:pPr>
        <w:pStyle w:val="ESSubparaList"/>
      </w:pPr>
      <w:r w:rsidRPr="00382105">
        <w:t xml:space="preserve">specified parts of Australia </w:t>
      </w:r>
      <w:r w:rsidR="00E12157" w:rsidRPr="00382105">
        <w:t xml:space="preserve">for the definition of </w:t>
      </w:r>
      <w:r w:rsidR="00E12157" w:rsidRPr="00382105">
        <w:rPr>
          <w:b/>
          <w:i/>
        </w:rPr>
        <w:t>regional Australia</w:t>
      </w:r>
      <w:r w:rsidR="00E12157" w:rsidRPr="00382105">
        <w:t xml:space="preserve"> in subregulation 5.19(16)</w:t>
      </w:r>
      <w:r w:rsidRPr="00382105">
        <w:t xml:space="preserve"> of the Regulations;</w:t>
      </w:r>
      <w:r w:rsidR="00E12157" w:rsidRPr="00382105">
        <w:t xml:space="preserve"> and </w:t>
      </w:r>
    </w:p>
    <w:p w14:paraId="5802FF9C" w14:textId="76724A96" w:rsidR="00BE6C3E" w:rsidRPr="00382105" w:rsidRDefault="00BE6C3E" w:rsidP="00A230A2">
      <w:pPr>
        <w:pStyle w:val="ESSubparaList"/>
      </w:pPr>
      <w:r w:rsidRPr="00382105">
        <w:t xml:space="preserve">specified areas </w:t>
      </w:r>
      <w:r w:rsidR="004559EA" w:rsidRPr="00382105">
        <w:t xml:space="preserve">for </w:t>
      </w:r>
      <w:r w:rsidR="00E12157" w:rsidRPr="00382105">
        <w:t>subparagraph 888.226(2)(c)(i) and paragraph 892.213(3)(b) of Schedule 2 to the</w:t>
      </w:r>
      <w:r w:rsidR="004559EA" w:rsidRPr="00382105">
        <w:t xml:space="preserve"> </w:t>
      </w:r>
      <w:r w:rsidR="00E12157" w:rsidRPr="00382105">
        <w:t xml:space="preserve">Regulations.  </w:t>
      </w:r>
    </w:p>
    <w:p w14:paraId="50315FBB" w14:textId="77777777" w:rsidR="00F84968" w:rsidRPr="00382105" w:rsidRDefault="00BE6C3E" w:rsidP="004A761D">
      <w:pPr>
        <w:pStyle w:val="ESAttNormal"/>
      </w:pPr>
      <w:r w:rsidRPr="00382105">
        <w:t xml:space="preserve">The specification in subsection (3) applies despite any overlap between subsections (1) and (2). </w:t>
      </w:r>
    </w:p>
    <w:p w14:paraId="1668F9CF" w14:textId="77777777" w:rsidR="00F84968" w:rsidRPr="00382105" w:rsidRDefault="00F84968" w:rsidP="00F84968">
      <w:pPr>
        <w:pStyle w:val="ESAttHeading"/>
        <w:rPr>
          <w:b w:val="0"/>
        </w:rPr>
      </w:pPr>
      <w:r w:rsidRPr="00382105">
        <w:t>Section 4</w:t>
      </w:r>
      <w:r w:rsidRPr="00382105">
        <w:tab/>
        <w:t xml:space="preserve">Application </w:t>
      </w:r>
    </w:p>
    <w:p w14:paraId="5444371D" w14:textId="3E7CA3F2" w:rsidR="00F84968" w:rsidRPr="00382105" w:rsidRDefault="00F84968" w:rsidP="00F84968">
      <w:pPr>
        <w:pStyle w:val="ESAttNormal"/>
      </w:pPr>
      <w:r w:rsidRPr="00382105">
        <w:t>Section 4 sets out how the instrument applies to different mechanisms relating to visa</w:t>
      </w:r>
      <w:r w:rsidR="00CC1996" w:rsidRPr="00382105">
        <w:t xml:space="preserve"> nominations,</w:t>
      </w:r>
      <w:r w:rsidR="00420F58" w:rsidRPr="00382105">
        <w:t xml:space="preserve"> applications, </w:t>
      </w:r>
      <w:r w:rsidRPr="00382105">
        <w:t>grants</w:t>
      </w:r>
      <w:r w:rsidR="00C16DA8" w:rsidRPr="00382105">
        <w:t xml:space="preserve"> and poin</w:t>
      </w:r>
      <w:r w:rsidR="00420F58" w:rsidRPr="00382105">
        <w:t>ts test assessments</w:t>
      </w:r>
      <w:r w:rsidRPr="00382105">
        <w:t xml:space="preserve"> </w:t>
      </w:r>
      <w:r w:rsidR="00654A97" w:rsidRPr="00382105">
        <w:t xml:space="preserve">after the </w:t>
      </w:r>
      <w:r w:rsidR="00B90539" w:rsidRPr="00382105">
        <w:t>commencement of the</w:t>
      </w:r>
      <w:r w:rsidR="00654A97" w:rsidRPr="00382105">
        <w:t xml:space="preserve"> instrument</w:t>
      </w:r>
      <w:r w:rsidRPr="00382105">
        <w:t xml:space="preserve">.  </w:t>
      </w:r>
    </w:p>
    <w:p w14:paraId="58034739" w14:textId="77777777" w:rsidR="00F84968" w:rsidRPr="00382105" w:rsidRDefault="00F84968" w:rsidP="00F84968">
      <w:pPr>
        <w:pStyle w:val="ESSubHeading"/>
      </w:pPr>
      <w:r w:rsidRPr="00382105">
        <w:lastRenderedPageBreak/>
        <w:t xml:space="preserve">Nominations under paragraph 140GB(1)(b) of the Migration Act </w:t>
      </w:r>
    </w:p>
    <w:p w14:paraId="10D040EF" w14:textId="1C66C2EE" w:rsidR="00F84968" w:rsidRPr="00382105" w:rsidRDefault="00F84968" w:rsidP="00F84968">
      <w:pPr>
        <w:pStyle w:val="ESAttNormal"/>
      </w:pPr>
      <w:r w:rsidRPr="00382105">
        <w:t xml:space="preserve">Paragraph 4(a) sets out that the instrument applies to nominations made under paragraph 140GB(1)(b) of the Act, </w:t>
      </w:r>
      <w:r w:rsidR="00B90539" w:rsidRPr="00382105">
        <w:t>after the</w:t>
      </w:r>
      <w:r w:rsidR="000B534D" w:rsidRPr="00382105">
        <w:t xml:space="preserve"> instrument</w:t>
      </w:r>
      <w:r w:rsidR="00B90539" w:rsidRPr="00382105">
        <w:t xml:space="preserve"> commence</w:t>
      </w:r>
      <w:r w:rsidR="000B534D" w:rsidRPr="00382105">
        <w:t>s</w:t>
      </w:r>
      <w:r w:rsidR="00B90539" w:rsidRPr="00382105">
        <w:t xml:space="preserve">, </w:t>
      </w:r>
      <w:r w:rsidRPr="00382105">
        <w:t>which are required in relation to Subclass 494 (Skilled Employer Sponsored Regional (Provisional))</w:t>
      </w:r>
      <w:r w:rsidR="00943ADF" w:rsidRPr="00382105">
        <w:t xml:space="preserve"> (Subclass 494 visa)</w:t>
      </w:r>
      <w:r w:rsidRPr="00382105">
        <w:t xml:space="preserve"> and Subclass 482 (Temporary Skill Shortage)</w:t>
      </w:r>
      <w:r w:rsidR="00943ADF" w:rsidRPr="00382105">
        <w:t xml:space="preserve"> (Subclass 482 visa)</w:t>
      </w:r>
      <w:r w:rsidRPr="00382105">
        <w:t xml:space="preserve"> visas. </w:t>
      </w:r>
      <w:r w:rsidR="002815BC" w:rsidRPr="00382105">
        <w:t xml:space="preserve"> </w:t>
      </w:r>
      <w:r w:rsidR="00EE528B" w:rsidRPr="00382105">
        <w:t>Before an application for the Subclass 494 visa</w:t>
      </w:r>
      <w:r w:rsidRPr="00382105">
        <w:t xml:space="preserve"> can be made the Minister must, amongst other requirements, be satisfied that the proposed position for the visa applicant is located in </w:t>
      </w:r>
      <w:r w:rsidRPr="00382105">
        <w:rPr>
          <w:b/>
          <w:i/>
        </w:rPr>
        <w:t>regional Australia</w:t>
      </w:r>
      <w:r w:rsidRPr="00382105">
        <w:t xml:space="preserve">.  </w:t>
      </w:r>
      <w:r w:rsidR="00EE528B" w:rsidRPr="00382105">
        <w:t xml:space="preserve">Before an application for the Subclass 482 visa can be made for a nomination for an occupation on the Regional Occupation List the Minister must, amongst other requirements, be satisfied that the proposed position for the visa applicant is located in </w:t>
      </w:r>
      <w:r w:rsidR="00EE528B" w:rsidRPr="00382105">
        <w:rPr>
          <w:b/>
          <w:i/>
        </w:rPr>
        <w:t>regional Australia</w:t>
      </w:r>
      <w:r w:rsidR="00EE528B" w:rsidRPr="00382105">
        <w:t xml:space="preserve">.  For the Regional Occupation List for the Subclass 482 visa, see </w:t>
      </w:r>
      <w:r w:rsidR="00EE528B" w:rsidRPr="00382105">
        <w:rPr>
          <w:i/>
        </w:rPr>
        <w:t>Migration (LIN 19/048: Specification of Occupations—Subclass 482 Visa) Instrument 2019</w:t>
      </w:r>
      <w:r w:rsidR="00EE528B" w:rsidRPr="00382105">
        <w:t>,</w:t>
      </w:r>
      <w:r w:rsidR="00EE528B" w:rsidRPr="00382105">
        <w:rPr>
          <w:rStyle w:val="FootnoteReference"/>
        </w:rPr>
        <w:footnoteReference w:id="1"/>
      </w:r>
      <w:r w:rsidR="00EE528B" w:rsidRPr="00382105">
        <w:t xml:space="preserve"> current at the time of making the instrument. </w:t>
      </w:r>
    </w:p>
    <w:p w14:paraId="2057C188" w14:textId="4F37A4FF" w:rsidR="00F84968" w:rsidRPr="00382105" w:rsidRDefault="00F84968" w:rsidP="00F84968">
      <w:pPr>
        <w:pStyle w:val="ESSubHeading"/>
      </w:pPr>
      <w:r w:rsidRPr="00382105">
        <w:t xml:space="preserve">Application for approval of a nomination under subregulation 5.19(1) of the Regulations </w:t>
      </w:r>
    </w:p>
    <w:p w14:paraId="61A8346E" w14:textId="6394052B" w:rsidR="00F84968" w:rsidRPr="00382105" w:rsidRDefault="00F84968" w:rsidP="00F84968">
      <w:pPr>
        <w:pStyle w:val="ESAttNormal"/>
      </w:pPr>
      <w:r w:rsidRPr="00382105">
        <w:t xml:space="preserve">Paragraph 4(b) provides that the instrument applies to applications for approval of a nomination under subregulation 5.19(1) of the Regulations made </w:t>
      </w:r>
      <w:r w:rsidR="00B90539" w:rsidRPr="00382105">
        <w:t xml:space="preserve">after the </w:t>
      </w:r>
      <w:r w:rsidR="00E849A5" w:rsidRPr="00382105">
        <w:t xml:space="preserve">instrument </w:t>
      </w:r>
      <w:r w:rsidR="00B90539" w:rsidRPr="00382105">
        <w:t>commence</w:t>
      </w:r>
      <w:r w:rsidR="00E849A5" w:rsidRPr="00382105">
        <w:t>s</w:t>
      </w:r>
      <w:r w:rsidR="00943ADF" w:rsidRPr="00382105">
        <w:t>.</w:t>
      </w:r>
      <w:r w:rsidRPr="00382105">
        <w:t xml:space="preserve"> </w:t>
      </w:r>
      <w:r w:rsidR="00943ADF" w:rsidRPr="00382105">
        <w:t xml:space="preserve"> This </w:t>
      </w:r>
      <w:r w:rsidRPr="00382105">
        <w:t xml:space="preserve">relevantly relates to a Subclass 187 (Regional Sponsored Migration Scheme) visa in the Temporary Residence Transition stream. </w:t>
      </w:r>
      <w:r w:rsidR="00B85203" w:rsidRPr="00382105">
        <w:t xml:space="preserve"> </w:t>
      </w:r>
      <w:r w:rsidRPr="00382105">
        <w:t xml:space="preserve">An application for this type of visa can be made if the Minister has approved the nomination of the proposed position under subregulation 5.19(1), and the proposed position is located in </w:t>
      </w:r>
      <w:r w:rsidRPr="00382105">
        <w:rPr>
          <w:b/>
          <w:i/>
        </w:rPr>
        <w:t>regional Australia</w:t>
      </w:r>
      <w:r w:rsidRPr="00382105">
        <w:t xml:space="preserve"> (see also subclause 187.223(4) of Schedule 2 of the Regulations). </w:t>
      </w:r>
      <w:r w:rsidR="00943ADF" w:rsidRPr="00382105">
        <w:t xml:space="preserve"> </w:t>
      </w:r>
      <w:r w:rsidRPr="00382105">
        <w:t xml:space="preserve">An approved nomination under subregulation 5.19(1) is also required before making an application for a Subclass 186 (Employer Nomination Scheme) visa in either the Temporary Residence Transition or Labour </w:t>
      </w:r>
      <w:r w:rsidR="00750135" w:rsidRPr="00382105">
        <w:t>Agreement</w:t>
      </w:r>
      <w:r w:rsidRPr="00382105">
        <w:t xml:space="preserve"> streams. </w:t>
      </w:r>
      <w:r w:rsidR="00B85203" w:rsidRPr="00382105">
        <w:t xml:space="preserve"> </w:t>
      </w:r>
      <w:r w:rsidRPr="00382105">
        <w:t xml:space="preserve">There is no charge for this approval where the proposed position is in </w:t>
      </w:r>
      <w:r w:rsidRPr="00382105">
        <w:rPr>
          <w:b/>
          <w:i/>
        </w:rPr>
        <w:t>regional Australia</w:t>
      </w:r>
      <w:r w:rsidRPr="00382105">
        <w:t xml:space="preserve">.  </w:t>
      </w:r>
    </w:p>
    <w:p w14:paraId="0CF03861" w14:textId="77777777" w:rsidR="00F84968" w:rsidRPr="00382105" w:rsidRDefault="00F84968" w:rsidP="00F84968">
      <w:pPr>
        <w:pStyle w:val="ESSubHeading"/>
      </w:pPr>
      <w:r w:rsidRPr="00382105">
        <w:t xml:space="preserve">Visa applications </w:t>
      </w:r>
    </w:p>
    <w:p w14:paraId="76AFA199" w14:textId="270BC01E" w:rsidR="00F84968" w:rsidRPr="00382105" w:rsidRDefault="00F84968" w:rsidP="00F84968">
      <w:pPr>
        <w:pStyle w:val="ESAttNormal"/>
      </w:pPr>
      <w:r w:rsidRPr="00382105">
        <w:t>Paragraph 4(c) sets out that the in</w:t>
      </w:r>
      <w:r w:rsidR="00750135" w:rsidRPr="00382105">
        <w:t xml:space="preserve">strument applies to </w:t>
      </w:r>
      <w:r w:rsidR="00A30278" w:rsidRPr="00382105">
        <w:t>applications</w:t>
      </w:r>
      <w:r w:rsidRPr="00382105">
        <w:t xml:space="preserve"> for </w:t>
      </w:r>
      <w:r w:rsidR="00750135" w:rsidRPr="00382105">
        <w:t xml:space="preserve">a second </w:t>
      </w:r>
      <w:r w:rsidRPr="00382105">
        <w:t>Subclass 485 (Tem</w:t>
      </w:r>
      <w:r w:rsidR="00A30278" w:rsidRPr="00382105">
        <w:t>porary Graduate) visa</w:t>
      </w:r>
      <w:r w:rsidRPr="00382105">
        <w:t xml:space="preserve"> </w:t>
      </w:r>
      <w:r w:rsidR="00B262AB" w:rsidRPr="00382105">
        <w:t>in the Post-Study Work stream</w:t>
      </w:r>
      <w:r w:rsidR="00943ADF" w:rsidRPr="00382105">
        <w:t xml:space="preserve"> (Subclass 485 visa)</w:t>
      </w:r>
      <w:r w:rsidR="00B262AB" w:rsidRPr="00382105">
        <w:t xml:space="preserve">, </w:t>
      </w:r>
      <w:r w:rsidR="00A30278" w:rsidRPr="00382105">
        <w:t xml:space="preserve">a </w:t>
      </w:r>
      <w:r w:rsidRPr="00382105">
        <w:t>Subclass 491 (Skilled Wo</w:t>
      </w:r>
      <w:r w:rsidR="00A30278" w:rsidRPr="00382105">
        <w:t>rk Regional (Provisional)) visa</w:t>
      </w:r>
      <w:r w:rsidR="00943ADF" w:rsidRPr="00382105">
        <w:t xml:space="preserve"> (Subclass 491 visa)</w:t>
      </w:r>
      <w:r w:rsidRPr="00382105">
        <w:t xml:space="preserve">, </w:t>
      </w:r>
      <w:r w:rsidR="00A30278" w:rsidRPr="00382105">
        <w:t xml:space="preserve">a </w:t>
      </w:r>
      <w:r w:rsidRPr="00382105">
        <w:t>Subclass 888 (Business Innovation and Investment (Permanent)</w:t>
      </w:r>
      <w:r w:rsidR="00D30D04" w:rsidRPr="00382105">
        <w:t>) visa</w:t>
      </w:r>
      <w:r w:rsidRPr="00382105">
        <w:t xml:space="preserve"> </w:t>
      </w:r>
      <w:r w:rsidR="00943ADF" w:rsidRPr="00382105">
        <w:t xml:space="preserve">(Subclass 888 visa) </w:t>
      </w:r>
      <w:r w:rsidRPr="00382105">
        <w:t xml:space="preserve">and </w:t>
      </w:r>
      <w:r w:rsidR="00A30278" w:rsidRPr="00382105">
        <w:t xml:space="preserve">a </w:t>
      </w:r>
      <w:r w:rsidRPr="00382105">
        <w:t>Subclass 892 (State/Territory</w:t>
      </w:r>
      <w:r w:rsidR="00A30278" w:rsidRPr="00382105">
        <w:t xml:space="preserve"> Sponsored Business Owner) visa</w:t>
      </w:r>
      <w:r w:rsidR="00943ADF" w:rsidRPr="00382105">
        <w:t xml:space="preserve"> (</w:t>
      </w:r>
      <w:r w:rsidR="002815BC" w:rsidRPr="00382105">
        <w:t>S</w:t>
      </w:r>
      <w:r w:rsidR="00943ADF" w:rsidRPr="00382105">
        <w:t>ubclass 892 visa)</w:t>
      </w:r>
      <w:r w:rsidRPr="00382105">
        <w:t xml:space="preserve"> made </w:t>
      </w:r>
      <w:r w:rsidR="00B90539" w:rsidRPr="00382105">
        <w:t>after the commencement of the instrument</w:t>
      </w:r>
      <w:r w:rsidRPr="00382105">
        <w:t xml:space="preserve">.  </w:t>
      </w:r>
    </w:p>
    <w:p w14:paraId="4AD76BE8" w14:textId="6229D814" w:rsidR="00F84968" w:rsidRPr="00382105" w:rsidRDefault="00F84968" w:rsidP="00F84968">
      <w:pPr>
        <w:pStyle w:val="ESAttNormal"/>
      </w:pPr>
      <w:r w:rsidRPr="00382105">
        <w:t xml:space="preserve">Certain eligibility requirements relating to the location of study or work for an application for a </w:t>
      </w:r>
      <w:r w:rsidR="00E849A5" w:rsidRPr="00382105">
        <w:br/>
        <w:t>s</w:t>
      </w:r>
      <w:r w:rsidR="002815BC" w:rsidRPr="00382105">
        <w:t xml:space="preserve">ubclass </w:t>
      </w:r>
      <w:r w:rsidRPr="00382105">
        <w:t xml:space="preserve">485 or 491 visa are imposed by reference to </w:t>
      </w:r>
      <w:r w:rsidRPr="00382105">
        <w:rPr>
          <w:b/>
          <w:i/>
        </w:rPr>
        <w:t>regional centre or other regional area</w:t>
      </w:r>
      <w:r w:rsidRPr="00382105">
        <w:t xml:space="preserve"> and </w:t>
      </w:r>
      <w:r w:rsidRPr="00382105">
        <w:rPr>
          <w:b/>
          <w:i/>
        </w:rPr>
        <w:t xml:space="preserve">designated regional area </w:t>
      </w:r>
      <w:r w:rsidRPr="00382105">
        <w:t xml:space="preserve">(see clauses 485.232, 485.233 and 491.217 of Schedule 2 to the Regulations). </w:t>
      </w:r>
    </w:p>
    <w:p w14:paraId="455390E7" w14:textId="56622C69" w:rsidR="00F84968" w:rsidRPr="00382105" w:rsidRDefault="00F84968" w:rsidP="00F84968">
      <w:pPr>
        <w:pStyle w:val="ESAttNormal"/>
      </w:pPr>
      <w:r w:rsidRPr="00382105">
        <w:t xml:space="preserve">The instrument also specifies the </w:t>
      </w:r>
      <w:r w:rsidR="00C16DA8" w:rsidRPr="00382105">
        <w:t>area in which a visa applicants</w:t>
      </w:r>
      <w:r w:rsidRPr="00382105">
        <w:t xml:space="preserve"> must reside to be eligible to apply for a </w:t>
      </w:r>
      <w:r w:rsidR="00E849A5" w:rsidRPr="00382105">
        <w:t>s</w:t>
      </w:r>
      <w:r w:rsidR="002815BC" w:rsidRPr="00382105">
        <w:t>ubclass</w:t>
      </w:r>
      <w:r w:rsidR="00E849A5" w:rsidRPr="00382105">
        <w:t> </w:t>
      </w:r>
      <w:r w:rsidRPr="00382105">
        <w:t>888</w:t>
      </w:r>
      <w:r w:rsidR="00E849A5" w:rsidRPr="00382105">
        <w:t> </w:t>
      </w:r>
      <w:r w:rsidRPr="00382105">
        <w:t>or</w:t>
      </w:r>
      <w:r w:rsidR="00E849A5" w:rsidRPr="00382105">
        <w:t> </w:t>
      </w:r>
      <w:r w:rsidRPr="00382105">
        <w:t xml:space="preserve">892 visa (see clauses 888.226 and 892.213 of Schedule 2 to the Regulations). </w:t>
      </w:r>
      <w:r w:rsidR="00B85203" w:rsidRPr="00382105">
        <w:t xml:space="preserve"> </w:t>
      </w:r>
      <w:r w:rsidRPr="00382105">
        <w:t xml:space="preserve">For a </w:t>
      </w:r>
      <w:r w:rsidR="002815BC" w:rsidRPr="00382105">
        <w:t>Subclass </w:t>
      </w:r>
      <w:r w:rsidRPr="00382105">
        <w:t xml:space="preserve">892 visa, the applicant must also operate their main business or businesses in </w:t>
      </w:r>
      <w:r w:rsidR="00B262AB" w:rsidRPr="00382105">
        <w:t>a</w:t>
      </w:r>
      <w:r w:rsidRPr="00382105">
        <w:t xml:space="preserve"> specified area.  </w:t>
      </w:r>
    </w:p>
    <w:p w14:paraId="31EABDCB" w14:textId="77777777" w:rsidR="00F84968" w:rsidRPr="00382105" w:rsidRDefault="00F84968" w:rsidP="00F84968">
      <w:pPr>
        <w:pStyle w:val="ESSubHeading"/>
      </w:pPr>
      <w:r w:rsidRPr="00382105">
        <w:lastRenderedPageBreak/>
        <w:t xml:space="preserve">Assessments made under section 93 of the Migration Act </w:t>
      </w:r>
    </w:p>
    <w:p w14:paraId="157FE05A" w14:textId="6CEF8E70" w:rsidR="00F84968" w:rsidRPr="00382105" w:rsidRDefault="00F84968" w:rsidP="00871C88">
      <w:pPr>
        <w:pStyle w:val="ESAttNormal"/>
        <w:keepNext/>
      </w:pPr>
      <w:r w:rsidRPr="00382105">
        <w:t xml:space="preserve">Paragraph 4(d) sets out that the instrument applies to assessments under section 93 of the Act </w:t>
      </w:r>
      <w:r w:rsidR="00B90539" w:rsidRPr="00382105">
        <w:t>after the  instrument</w:t>
      </w:r>
      <w:r w:rsidR="00E849A5" w:rsidRPr="00382105">
        <w:t xml:space="preserve"> commences</w:t>
      </w:r>
      <w:r w:rsidRPr="00382105">
        <w:t xml:space="preserve">.  Under subsection 93(1) of the Act, the Minister makes assessments on a points based system that relate to applications for the following:   </w:t>
      </w:r>
    </w:p>
    <w:p w14:paraId="65CE9ABC" w14:textId="39262B62" w:rsidR="00F84968" w:rsidRPr="00382105" w:rsidRDefault="00F84968" w:rsidP="00F84968">
      <w:pPr>
        <w:pStyle w:val="ESAttNormal"/>
        <w:numPr>
          <w:ilvl w:val="0"/>
          <w:numId w:val="10"/>
        </w:numPr>
      </w:pPr>
      <w:r w:rsidRPr="00382105">
        <w:t xml:space="preserve">Subclass 189 (Skilled—Independent) visa in the Points-tested stream; </w:t>
      </w:r>
    </w:p>
    <w:p w14:paraId="22900A87" w14:textId="2CEEBFEE" w:rsidR="005405FA" w:rsidRPr="00382105" w:rsidRDefault="00F84968" w:rsidP="005405FA">
      <w:pPr>
        <w:pStyle w:val="ESAttNormal"/>
        <w:numPr>
          <w:ilvl w:val="0"/>
          <w:numId w:val="10"/>
        </w:numPr>
      </w:pPr>
      <w:r w:rsidRPr="00382105">
        <w:t xml:space="preserve">Subclass 190 (Skilled—Nominated) visa; </w:t>
      </w:r>
    </w:p>
    <w:p w14:paraId="6F108E00" w14:textId="0B97736B" w:rsidR="00F84968" w:rsidRPr="00382105" w:rsidRDefault="005405FA" w:rsidP="00F84968">
      <w:pPr>
        <w:pStyle w:val="ESAttNormal"/>
        <w:numPr>
          <w:ilvl w:val="0"/>
          <w:numId w:val="10"/>
        </w:numPr>
      </w:pPr>
      <w:r w:rsidRPr="00382105">
        <w:t>Subclass 491</w:t>
      </w:r>
      <w:r w:rsidR="00F84968" w:rsidRPr="00382105">
        <w:t xml:space="preserve">.  </w:t>
      </w:r>
    </w:p>
    <w:p w14:paraId="6924990C" w14:textId="77109AE6" w:rsidR="00F84968" w:rsidRPr="00382105" w:rsidRDefault="00F84968" w:rsidP="00F84968">
      <w:pPr>
        <w:pStyle w:val="ESAttNormal"/>
      </w:pPr>
      <w:r w:rsidRPr="00382105">
        <w:t xml:space="preserve">A prescribed number of ‘points’ need to be obtained before a person can apply for these types of visas. </w:t>
      </w:r>
      <w:r w:rsidR="00943ADF" w:rsidRPr="00382105">
        <w:t xml:space="preserve"> </w:t>
      </w:r>
      <w:r w:rsidRPr="00382105">
        <w:t xml:space="preserve">Applicants </w:t>
      </w:r>
      <w:r w:rsidR="00EE6AF7" w:rsidRPr="00382105">
        <w:t xml:space="preserve">receive </w:t>
      </w:r>
      <w:r w:rsidRPr="00382105">
        <w:t xml:space="preserve">five points if they studied in a </w:t>
      </w:r>
      <w:r w:rsidRPr="00382105">
        <w:rPr>
          <w:b/>
          <w:i/>
        </w:rPr>
        <w:t>designated regional area</w:t>
      </w:r>
      <w:r w:rsidRPr="00382105">
        <w:t xml:space="preserve"> (see item 6D101 of Schedule 6D to the Regulations).  </w:t>
      </w:r>
    </w:p>
    <w:p w14:paraId="3C1055B9" w14:textId="2763308A" w:rsidR="00F84968" w:rsidRPr="00382105" w:rsidRDefault="00F84968" w:rsidP="00F84968">
      <w:pPr>
        <w:pStyle w:val="ESSubHeading"/>
      </w:pPr>
      <w:r w:rsidRPr="00382105">
        <w:t xml:space="preserve">Visas </w:t>
      </w:r>
      <w:r w:rsidR="00943ADF" w:rsidRPr="00382105">
        <w:t>granted after</w:t>
      </w:r>
      <w:r w:rsidR="00B90539" w:rsidRPr="00382105">
        <w:t xml:space="preserve"> the </w:t>
      </w:r>
      <w:r w:rsidR="00EE6AF7" w:rsidRPr="00382105">
        <w:t xml:space="preserve">instrument </w:t>
      </w:r>
      <w:r w:rsidR="00B90539" w:rsidRPr="00382105">
        <w:t>commence</w:t>
      </w:r>
      <w:r w:rsidR="00EE6AF7" w:rsidRPr="00382105">
        <w:t>s</w:t>
      </w:r>
      <w:r w:rsidR="00B90539" w:rsidRPr="00382105">
        <w:t xml:space="preserve"> </w:t>
      </w:r>
    </w:p>
    <w:p w14:paraId="59B5776B" w14:textId="5CDFFBA5" w:rsidR="00F84968" w:rsidRPr="00382105" w:rsidRDefault="00F84968" w:rsidP="00F84968">
      <w:pPr>
        <w:pStyle w:val="ESAttNormal"/>
      </w:pPr>
      <w:r w:rsidRPr="00382105">
        <w:t xml:space="preserve">Paragraph 4(e) sets out the instrument applies to </w:t>
      </w:r>
      <w:r w:rsidR="005405FA" w:rsidRPr="00382105">
        <w:t>a</w:t>
      </w:r>
      <w:r w:rsidR="006F55D0" w:rsidRPr="00382105">
        <w:t xml:space="preserve"> grant</w:t>
      </w:r>
      <w:r w:rsidR="00654A97" w:rsidRPr="00382105">
        <w:t>,</w:t>
      </w:r>
      <w:r w:rsidR="006F55D0" w:rsidRPr="00382105">
        <w:t xml:space="preserve"> </w:t>
      </w:r>
      <w:r w:rsidR="00B90539" w:rsidRPr="00382105">
        <w:t xml:space="preserve">after the </w:t>
      </w:r>
      <w:r w:rsidR="00EE6AF7" w:rsidRPr="00382105">
        <w:t xml:space="preserve">instrument </w:t>
      </w:r>
      <w:r w:rsidR="00B90539" w:rsidRPr="00382105">
        <w:t>commence</w:t>
      </w:r>
      <w:r w:rsidR="00EE6AF7" w:rsidRPr="00382105">
        <w:t>s</w:t>
      </w:r>
      <w:r w:rsidR="00654A97" w:rsidRPr="00382105">
        <w:t>,</w:t>
      </w:r>
      <w:r w:rsidR="006F55D0" w:rsidRPr="00382105">
        <w:t xml:space="preserve"> of a</w:t>
      </w:r>
      <w:r w:rsidR="005405FA" w:rsidRPr="00382105">
        <w:t xml:space="preserve"> second </w:t>
      </w:r>
      <w:r w:rsidRPr="00382105">
        <w:t>Subclass 485</w:t>
      </w:r>
      <w:r w:rsidR="002E6025" w:rsidRPr="00382105">
        <w:t xml:space="preserve"> </w:t>
      </w:r>
      <w:r w:rsidR="005405FA" w:rsidRPr="00382105">
        <w:t>visa</w:t>
      </w:r>
      <w:r w:rsidR="00B85203" w:rsidRPr="00382105">
        <w:t xml:space="preserve">, </w:t>
      </w:r>
      <w:r w:rsidR="006F55D0" w:rsidRPr="00382105">
        <w:t>a</w:t>
      </w:r>
      <w:r w:rsidR="00B85203" w:rsidRPr="00382105">
        <w:t xml:space="preserve"> </w:t>
      </w:r>
      <w:r w:rsidR="00EE6AF7" w:rsidRPr="00382105">
        <w:t>Subclass 489 (Skilled—Regional (Provisional)) visa</w:t>
      </w:r>
      <w:r w:rsidR="00EE6AF7" w:rsidRPr="00382105" w:rsidDel="00EE6AF7">
        <w:t xml:space="preserve"> </w:t>
      </w:r>
      <w:r w:rsidR="006F55D0" w:rsidRPr="00382105">
        <w:t>or</w:t>
      </w:r>
      <w:r w:rsidRPr="00382105">
        <w:t xml:space="preserve"> </w:t>
      </w:r>
      <w:r w:rsidR="005405FA" w:rsidRPr="00382105">
        <w:t xml:space="preserve">a </w:t>
      </w:r>
      <w:r w:rsidRPr="00382105">
        <w:t xml:space="preserve">Subclass 491 </w:t>
      </w:r>
      <w:r w:rsidR="00776F29" w:rsidRPr="00382105">
        <w:t>visa</w:t>
      </w:r>
      <w:r w:rsidRPr="00382105">
        <w:t xml:space="preserve">. </w:t>
      </w:r>
      <w:r w:rsidR="002E6025" w:rsidRPr="00382105">
        <w:t xml:space="preserve"> </w:t>
      </w:r>
      <w:r w:rsidR="00B459BD" w:rsidRPr="00382105">
        <w:t>Visa holders must live, work and study either only in a part of Australia that was a designated regional centre or other regional area or was a designated regional area at the time the visa was granted (</w:t>
      </w:r>
      <w:r w:rsidR="00776F29" w:rsidRPr="00382105">
        <w:t xml:space="preserve">see </w:t>
      </w:r>
      <w:r w:rsidR="00B459BD" w:rsidRPr="00382105">
        <w:t>clauses 485.613</w:t>
      </w:r>
      <w:r w:rsidR="00B85203" w:rsidRPr="00382105">
        <w:t>, 489.613</w:t>
      </w:r>
      <w:r w:rsidR="00C16DA8" w:rsidRPr="00382105">
        <w:t xml:space="preserve"> </w:t>
      </w:r>
      <w:r w:rsidR="00B459BD" w:rsidRPr="00382105">
        <w:t>and</w:t>
      </w:r>
      <w:r w:rsidR="00C16DA8" w:rsidRPr="00382105">
        <w:t xml:space="preserve"> 491.612</w:t>
      </w:r>
      <w:r w:rsidR="00B459BD" w:rsidRPr="00382105">
        <w:t xml:space="preserve"> of Schedule</w:t>
      </w:r>
      <w:r w:rsidR="00B85203" w:rsidRPr="00382105">
        <w:t xml:space="preserve"> 2</w:t>
      </w:r>
      <w:r w:rsidR="00B459BD" w:rsidRPr="00382105">
        <w:t xml:space="preserve"> to the Regulations and c</w:t>
      </w:r>
      <w:r w:rsidR="002E6025" w:rsidRPr="00382105">
        <w:t>onditions</w:t>
      </w:r>
      <w:r w:rsidR="00B459BD" w:rsidRPr="00382105">
        <w:t xml:space="preserve"> 8610</w:t>
      </w:r>
      <w:r w:rsidR="00B85203" w:rsidRPr="00382105">
        <w:t>, 8539</w:t>
      </w:r>
      <w:r w:rsidR="00B459BD" w:rsidRPr="00382105">
        <w:t xml:space="preserve"> and 8579). </w:t>
      </w:r>
      <w:r w:rsidR="002E6025" w:rsidRPr="00382105">
        <w:t xml:space="preserve"> </w:t>
      </w:r>
    </w:p>
    <w:p w14:paraId="7735277E" w14:textId="7BE4A032" w:rsidR="00915032" w:rsidRPr="00382105" w:rsidRDefault="004559EA" w:rsidP="00100DFC">
      <w:pPr>
        <w:pStyle w:val="ESAttHeading"/>
      </w:pPr>
      <w:r w:rsidRPr="00382105">
        <w:t xml:space="preserve">Section </w:t>
      </w:r>
      <w:r w:rsidR="00F84968" w:rsidRPr="00382105">
        <w:t>5</w:t>
      </w:r>
      <w:r w:rsidR="00915032" w:rsidRPr="00382105">
        <w:tab/>
        <w:t>Repeal</w:t>
      </w:r>
    </w:p>
    <w:p w14:paraId="4D390C00" w14:textId="77777777" w:rsidR="00915032" w:rsidRPr="00382105" w:rsidRDefault="004559EA" w:rsidP="00100DFC">
      <w:pPr>
        <w:pStyle w:val="ESAttNormal"/>
        <w:rPr>
          <w:b/>
        </w:rPr>
      </w:pPr>
      <w:r w:rsidRPr="00382105">
        <w:t xml:space="preserve">The </w:t>
      </w:r>
      <w:r w:rsidRPr="00382105">
        <w:rPr>
          <w:i/>
        </w:rPr>
        <w:t>Migration (Regional Areas) Instrument (LIN 20/292) 2020</w:t>
      </w:r>
      <w:r w:rsidRPr="00382105">
        <w:t xml:space="preserve"> (F2021L00044) </w:t>
      </w:r>
      <w:r w:rsidR="00915032" w:rsidRPr="00382105">
        <w:t xml:space="preserve">is repealed under this section.  </w:t>
      </w:r>
      <w:r w:rsidRPr="00382105">
        <w:t>It</w:t>
      </w:r>
      <w:r w:rsidR="004F5CE4" w:rsidRPr="00382105">
        <w:t xml:space="preserve"> i</w:t>
      </w:r>
      <w:r w:rsidRPr="00382105">
        <w:t>s</w:t>
      </w:r>
      <w:r w:rsidR="004F5CE4" w:rsidRPr="00382105">
        <w:t xml:space="preserve"> being replaced by operativ</w:t>
      </w:r>
      <w:r w:rsidRPr="00382105">
        <w:t>e provisions of this instrument.</w:t>
      </w:r>
    </w:p>
    <w:sectPr w:rsidR="00915032" w:rsidRPr="00382105" w:rsidSect="004F5CE4">
      <w:footerReference w:type="default" r:id="rId8"/>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35B2A" w14:textId="77777777" w:rsidR="00344BA9" w:rsidRDefault="00344BA9" w:rsidP="00344BA9">
      <w:pPr>
        <w:spacing w:after="0" w:line="240" w:lineRule="auto"/>
      </w:pPr>
      <w:r>
        <w:separator/>
      </w:r>
    </w:p>
  </w:endnote>
  <w:endnote w:type="continuationSeparator" w:id="0">
    <w:p w14:paraId="1E3E12A2" w14:textId="77777777" w:rsidR="00344BA9" w:rsidRDefault="00344BA9" w:rsidP="0034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401D5" w14:textId="713D85E4" w:rsidR="00344BA9" w:rsidRPr="007B26CC" w:rsidRDefault="00344BA9" w:rsidP="007B26CC">
    <w:pPr>
      <w:pStyle w:val="Footer"/>
      <w:jc w:val="right"/>
      <w:rPr>
        <w:rFonts w:ascii="Times New Roman" w:hAnsi="Times New Roman" w:cs="Times New Roman"/>
      </w:rPr>
    </w:pPr>
    <w:r w:rsidRPr="007B26CC">
      <w:rPr>
        <w:rFonts w:ascii="Times New Roman" w:hAnsi="Times New Roman" w:cs="Times New Roman"/>
      </w:rPr>
      <w:fldChar w:fldCharType="begin"/>
    </w:r>
    <w:r w:rsidRPr="00CA45F9">
      <w:rPr>
        <w:rFonts w:ascii="Times New Roman" w:hAnsi="Times New Roman" w:cs="Times New Roman"/>
      </w:rPr>
      <w:instrText xml:space="preserve"> PAGE   \* MERGEFORMAT </w:instrText>
    </w:r>
    <w:r w:rsidRPr="007B26CC">
      <w:rPr>
        <w:rFonts w:ascii="Times New Roman" w:hAnsi="Times New Roman" w:cs="Times New Roman"/>
      </w:rPr>
      <w:fldChar w:fldCharType="separate"/>
    </w:r>
    <w:r w:rsidR="00CA477C">
      <w:rPr>
        <w:rFonts w:ascii="Times New Roman" w:hAnsi="Times New Roman" w:cs="Times New Roman"/>
        <w:noProof/>
      </w:rPr>
      <w:t>2</w:t>
    </w:r>
    <w:r w:rsidRPr="007B26CC">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1251B" w14:textId="77777777" w:rsidR="00344BA9" w:rsidRDefault="00344BA9" w:rsidP="00344BA9">
      <w:pPr>
        <w:spacing w:after="0" w:line="240" w:lineRule="auto"/>
      </w:pPr>
      <w:r>
        <w:separator/>
      </w:r>
    </w:p>
  </w:footnote>
  <w:footnote w:type="continuationSeparator" w:id="0">
    <w:p w14:paraId="13C42446" w14:textId="77777777" w:rsidR="00344BA9" w:rsidRDefault="00344BA9" w:rsidP="00344BA9">
      <w:pPr>
        <w:spacing w:after="0" w:line="240" w:lineRule="auto"/>
      </w:pPr>
      <w:r>
        <w:continuationSeparator/>
      </w:r>
    </w:p>
  </w:footnote>
  <w:footnote w:id="1">
    <w:p w14:paraId="26B4DB0F" w14:textId="3C7D3055" w:rsidR="00EE528B" w:rsidRDefault="00EE528B">
      <w:pPr>
        <w:pStyle w:val="FootnoteText"/>
      </w:pPr>
      <w:r>
        <w:rPr>
          <w:rStyle w:val="FootnoteReference"/>
        </w:rPr>
        <w:footnoteRef/>
      </w:r>
      <w:r>
        <w:t xml:space="preserve"> That instrument is available at </w:t>
      </w:r>
      <w:hyperlink r:id="rId1" w:history="1">
        <w:r>
          <w:rPr>
            <w:rStyle w:val="Hyperlink"/>
          </w:rPr>
          <w:t>Migration (LIN 19/048: Specification of Occupations—Subclass 482 Visa) Instrument 2019 (legislation.gov.au)</w:t>
        </w:r>
      </w:hyperlink>
      <w:r>
        <w:t xml:space="preserve"> at the time of making </w:t>
      </w:r>
      <w:r w:rsidR="00B83EA0">
        <w:t>LIN 2</w:t>
      </w:r>
      <w:r w:rsidR="0045006E">
        <w:t>2</w:t>
      </w:r>
      <w:r w:rsidR="00B83EA0">
        <w:t>/0</w:t>
      </w:r>
      <w:r w:rsidR="0045006E">
        <w:t>22</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B7661"/>
    <w:multiLevelType w:val="hybridMultilevel"/>
    <w:tmpl w:val="6C624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F4945FD"/>
    <w:multiLevelType w:val="hybridMultilevel"/>
    <w:tmpl w:val="EBE8E1C2"/>
    <w:lvl w:ilvl="0" w:tplc="77DCB5D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14C6060"/>
    <w:multiLevelType w:val="hybridMultilevel"/>
    <w:tmpl w:val="1032B1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2"/>
  </w:num>
  <w:num w:numId="4">
    <w:abstractNumId w:val="2"/>
  </w:num>
  <w:num w:numId="5">
    <w:abstractNumId w:val="1"/>
  </w:num>
  <w:num w:numId="6">
    <w:abstractNumId w:val="0"/>
  </w:num>
  <w:num w:numId="7">
    <w:abstractNumId w:val="4"/>
  </w:num>
  <w:num w:numId="8">
    <w:abstractNumId w:val="1"/>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ocumentProtection w:edit="trackedChanges"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EE"/>
    <w:rsid w:val="00017F25"/>
    <w:rsid w:val="0002179A"/>
    <w:rsid w:val="00050E74"/>
    <w:rsid w:val="00055E0F"/>
    <w:rsid w:val="00076927"/>
    <w:rsid w:val="000866B6"/>
    <w:rsid w:val="0008792E"/>
    <w:rsid w:val="000B1030"/>
    <w:rsid w:val="000B534D"/>
    <w:rsid w:val="000C050E"/>
    <w:rsid w:val="000C6B7E"/>
    <w:rsid w:val="000D014F"/>
    <w:rsid w:val="000E620B"/>
    <w:rsid w:val="000E76B4"/>
    <w:rsid w:val="000F4585"/>
    <w:rsid w:val="00100DFC"/>
    <w:rsid w:val="001232AD"/>
    <w:rsid w:val="00123370"/>
    <w:rsid w:val="0013774F"/>
    <w:rsid w:val="00140C4F"/>
    <w:rsid w:val="0016695C"/>
    <w:rsid w:val="00171AAF"/>
    <w:rsid w:val="001779FF"/>
    <w:rsid w:val="00177B5F"/>
    <w:rsid w:val="001842B9"/>
    <w:rsid w:val="00190EA2"/>
    <w:rsid w:val="0019164E"/>
    <w:rsid w:val="001E193A"/>
    <w:rsid w:val="0022721E"/>
    <w:rsid w:val="00235F1A"/>
    <w:rsid w:val="002363DB"/>
    <w:rsid w:val="002402E0"/>
    <w:rsid w:val="002464B9"/>
    <w:rsid w:val="002500EE"/>
    <w:rsid w:val="00254CA6"/>
    <w:rsid w:val="00254D47"/>
    <w:rsid w:val="00273768"/>
    <w:rsid w:val="002815BC"/>
    <w:rsid w:val="002946B6"/>
    <w:rsid w:val="002C1962"/>
    <w:rsid w:val="002D167E"/>
    <w:rsid w:val="002E6025"/>
    <w:rsid w:val="002F0EF3"/>
    <w:rsid w:val="002F6E01"/>
    <w:rsid w:val="00317212"/>
    <w:rsid w:val="00321CBF"/>
    <w:rsid w:val="003221A2"/>
    <w:rsid w:val="00344BA9"/>
    <w:rsid w:val="00382105"/>
    <w:rsid w:val="00391500"/>
    <w:rsid w:val="003A41F8"/>
    <w:rsid w:val="003A533C"/>
    <w:rsid w:val="003B59BD"/>
    <w:rsid w:val="003E4363"/>
    <w:rsid w:val="003E468D"/>
    <w:rsid w:val="003F25D4"/>
    <w:rsid w:val="003F44F1"/>
    <w:rsid w:val="004025BF"/>
    <w:rsid w:val="00414C6B"/>
    <w:rsid w:val="00420F58"/>
    <w:rsid w:val="00424E03"/>
    <w:rsid w:val="004269C3"/>
    <w:rsid w:val="0043166D"/>
    <w:rsid w:val="00441171"/>
    <w:rsid w:val="004441A8"/>
    <w:rsid w:val="0045006E"/>
    <w:rsid w:val="004559EA"/>
    <w:rsid w:val="00457D4A"/>
    <w:rsid w:val="00461692"/>
    <w:rsid w:val="00461F79"/>
    <w:rsid w:val="00464080"/>
    <w:rsid w:val="00496E2A"/>
    <w:rsid w:val="00497F01"/>
    <w:rsid w:val="004A761D"/>
    <w:rsid w:val="004C0F92"/>
    <w:rsid w:val="004C7E66"/>
    <w:rsid w:val="004E5BA3"/>
    <w:rsid w:val="004F5CE4"/>
    <w:rsid w:val="0050514E"/>
    <w:rsid w:val="005076FE"/>
    <w:rsid w:val="005405FA"/>
    <w:rsid w:val="00560B24"/>
    <w:rsid w:val="00565DC1"/>
    <w:rsid w:val="0057002B"/>
    <w:rsid w:val="005805C6"/>
    <w:rsid w:val="0059287A"/>
    <w:rsid w:val="005962A9"/>
    <w:rsid w:val="005A4F2C"/>
    <w:rsid w:val="005A63A8"/>
    <w:rsid w:val="005B2B53"/>
    <w:rsid w:val="005B2E4F"/>
    <w:rsid w:val="005E31EC"/>
    <w:rsid w:val="005F0B6D"/>
    <w:rsid w:val="005F1F32"/>
    <w:rsid w:val="005F6BBC"/>
    <w:rsid w:val="00604E06"/>
    <w:rsid w:val="00606D5F"/>
    <w:rsid w:val="00614B66"/>
    <w:rsid w:val="00617D26"/>
    <w:rsid w:val="00635555"/>
    <w:rsid w:val="00645AB5"/>
    <w:rsid w:val="00650D32"/>
    <w:rsid w:val="00654A97"/>
    <w:rsid w:val="00673CFE"/>
    <w:rsid w:val="006E04EE"/>
    <w:rsid w:val="006E5565"/>
    <w:rsid w:val="006E69A1"/>
    <w:rsid w:val="006F07DC"/>
    <w:rsid w:val="006F39D6"/>
    <w:rsid w:val="006F55D0"/>
    <w:rsid w:val="00726B4F"/>
    <w:rsid w:val="00730D54"/>
    <w:rsid w:val="00750135"/>
    <w:rsid w:val="00776F29"/>
    <w:rsid w:val="00790B5C"/>
    <w:rsid w:val="007A08E8"/>
    <w:rsid w:val="007A6537"/>
    <w:rsid w:val="007A7ECF"/>
    <w:rsid w:val="007B0D3A"/>
    <w:rsid w:val="007B26CC"/>
    <w:rsid w:val="007E4691"/>
    <w:rsid w:val="007F6AAF"/>
    <w:rsid w:val="0083132F"/>
    <w:rsid w:val="00844920"/>
    <w:rsid w:val="0085648B"/>
    <w:rsid w:val="00871C88"/>
    <w:rsid w:val="008831AD"/>
    <w:rsid w:val="00883FAB"/>
    <w:rsid w:val="0088407D"/>
    <w:rsid w:val="0088559C"/>
    <w:rsid w:val="0089146B"/>
    <w:rsid w:val="008B24C8"/>
    <w:rsid w:val="008D57FD"/>
    <w:rsid w:val="008E0E40"/>
    <w:rsid w:val="008F3807"/>
    <w:rsid w:val="00915032"/>
    <w:rsid w:val="009200F4"/>
    <w:rsid w:val="009403BC"/>
    <w:rsid w:val="00943ADF"/>
    <w:rsid w:val="0096736F"/>
    <w:rsid w:val="0098382F"/>
    <w:rsid w:val="00997260"/>
    <w:rsid w:val="009D0D31"/>
    <w:rsid w:val="009E1287"/>
    <w:rsid w:val="009E4877"/>
    <w:rsid w:val="00A045C3"/>
    <w:rsid w:val="00A07148"/>
    <w:rsid w:val="00A230A2"/>
    <w:rsid w:val="00A30278"/>
    <w:rsid w:val="00A3378D"/>
    <w:rsid w:val="00A351DA"/>
    <w:rsid w:val="00A65084"/>
    <w:rsid w:val="00A67659"/>
    <w:rsid w:val="00A919B2"/>
    <w:rsid w:val="00AA4557"/>
    <w:rsid w:val="00AD2A6F"/>
    <w:rsid w:val="00AE1554"/>
    <w:rsid w:val="00AE5C23"/>
    <w:rsid w:val="00B04CC0"/>
    <w:rsid w:val="00B15013"/>
    <w:rsid w:val="00B262AB"/>
    <w:rsid w:val="00B33D49"/>
    <w:rsid w:val="00B445D9"/>
    <w:rsid w:val="00B44FBF"/>
    <w:rsid w:val="00B459BD"/>
    <w:rsid w:val="00B47BB2"/>
    <w:rsid w:val="00B57198"/>
    <w:rsid w:val="00B5727E"/>
    <w:rsid w:val="00B61770"/>
    <w:rsid w:val="00B65A06"/>
    <w:rsid w:val="00B75478"/>
    <w:rsid w:val="00B80D4E"/>
    <w:rsid w:val="00B83EA0"/>
    <w:rsid w:val="00B85203"/>
    <w:rsid w:val="00B90539"/>
    <w:rsid w:val="00BB0CF2"/>
    <w:rsid w:val="00BC5B66"/>
    <w:rsid w:val="00BD598E"/>
    <w:rsid w:val="00BE6901"/>
    <w:rsid w:val="00BE6C3E"/>
    <w:rsid w:val="00BF376C"/>
    <w:rsid w:val="00C12DC4"/>
    <w:rsid w:val="00C16DA8"/>
    <w:rsid w:val="00C277B9"/>
    <w:rsid w:val="00C301D9"/>
    <w:rsid w:val="00C5749F"/>
    <w:rsid w:val="00C81A5E"/>
    <w:rsid w:val="00C930F2"/>
    <w:rsid w:val="00CA45F9"/>
    <w:rsid w:val="00CA477C"/>
    <w:rsid w:val="00CC10F8"/>
    <w:rsid w:val="00CC1996"/>
    <w:rsid w:val="00CD042C"/>
    <w:rsid w:val="00CD2424"/>
    <w:rsid w:val="00CD3006"/>
    <w:rsid w:val="00D17442"/>
    <w:rsid w:val="00D226F5"/>
    <w:rsid w:val="00D30D04"/>
    <w:rsid w:val="00D40E1E"/>
    <w:rsid w:val="00D84229"/>
    <w:rsid w:val="00DA02A9"/>
    <w:rsid w:val="00DC5354"/>
    <w:rsid w:val="00DD6D2C"/>
    <w:rsid w:val="00DE1C45"/>
    <w:rsid w:val="00DE5AD3"/>
    <w:rsid w:val="00DE734A"/>
    <w:rsid w:val="00E00EF4"/>
    <w:rsid w:val="00E03DCC"/>
    <w:rsid w:val="00E12157"/>
    <w:rsid w:val="00E171EE"/>
    <w:rsid w:val="00E45E80"/>
    <w:rsid w:val="00E45FE2"/>
    <w:rsid w:val="00E83742"/>
    <w:rsid w:val="00E84524"/>
    <w:rsid w:val="00E849A5"/>
    <w:rsid w:val="00EA12C9"/>
    <w:rsid w:val="00EA7D6C"/>
    <w:rsid w:val="00EE528B"/>
    <w:rsid w:val="00EE6AF7"/>
    <w:rsid w:val="00F05D1B"/>
    <w:rsid w:val="00F22680"/>
    <w:rsid w:val="00F276DA"/>
    <w:rsid w:val="00F508D4"/>
    <w:rsid w:val="00F50AE1"/>
    <w:rsid w:val="00F84968"/>
    <w:rsid w:val="00F84CEE"/>
    <w:rsid w:val="00FB4036"/>
    <w:rsid w:val="00FE0FEE"/>
    <w:rsid w:val="00FF2880"/>
    <w:rsid w:val="00FF3E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7E10EEE"/>
  <w15:chartTrackingRefBased/>
  <w15:docId w15:val="{155726E6-23E6-477F-A8C1-F9C691C7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ind w:left="720" w:hanging="36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DE5AD3"/>
    <w:rPr>
      <w:sz w:val="16"/>
      <w:szCs w:val="16"/>
    </w:rPr>
  </w:style>
  <w:style w:type="paragraph" w:styleId="CommentText">
    <w:name w:val="annotation text"/>
    <w:basedOn w:val="Normal"/>
    <w:link w:val="CommentTextChar"/>
    <w:uiPriority w:val="99"/>
    <w:semiHidden/>
    <w:unhideWhenUsed/>
    <w:rsid w:val="00DE5AD3"/>
    <w:pPr>
      <w:spacing w:line="240" w:lineRule="auto"/>
    </w:pPr>
    <w:rPr>
      <w:sz w:val="20"/>
      <w:szCs w:val="20"/>
    </w:rPr>
  </w:style>
  <w:style w:type="character" w:customStyle="1" w:styleId="CommentTextChar">
    <w:name w:val="Comment Text Char"/>
    <w:basedOn w:val="DefaultParagraphFont"/>
    <w:link w:val="CommentText"/>
    <w:uiPriority w:val="99"/>
    <w:semiHidden/>
    <w:rsid w:val="00DE5AD3"/>
    <w:rPr>
      <w:sz w:val="20"/>
      <w:szCs w:val="20"/>
    </w:rPr>
  </w:style>
  <w:style w:type="paragraph" w:styleId="CommentSubject">
    <w:name w:val="annotation subject"/>
    <w:basedOn w:val="CommentText"/>
    <w:next w:val="CommentText"/>
    <w:link w:val="CommentSubjectChar"/>
    <w:uiPriority w:val="99"/>
    <w:semiHidden/>
    <w:unhideWhenUsed/>
    <w:rsid w:val="00DE5AD3"/>
    <w:rPr>
      <w:b/>
      <w:bCs/>
    </w:rPr>
  </w:style>
  <w:style w:type="character" w:customStyle="1" w:styleId="CommentSubjectChar">
    <w:name w:val="Comment Subject Char"/>
    <w:basedOn w:val="CommentTextChar"/>
    <w:link w:val="CommentSubject"/>
    <w:uiPriority w:val="99"/>
    <w:semiHidden/>
    <w:rsid w:val="00DE5AD3"/>
    <w:rPr>
      <w:b/>
      <w:bCs/>
      <w:sz w:val="20"/>
      <w:szCs w:val="20"/>
    </w:rPr>
  </w:style>
  <w:style w:type="paragraph" w:styleId="BalloonText">
    <w:name w:val="Balloon Text"/>
    <w:basedOn w:val="Normal"/>
    <w:link w:val="BalloonTextChar"/>
    <w:uiPriority w:val="99"/>
    <w:semiHidden/>
    <w:unhideWhenUsed/>
    <w:rsid w:val="00DE5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AD3"/>
    <w:rPr>
      <w:rFonts w:ascii="Segoe UI" w:hAnsi="Segoe UI" w:cs="Segoe UI"/>
      <w:sz w:val="18"/>
      <w:szCs w:val="18"/>
    </w:rPr>
  </w:style>
  <w:style w:type="paragraph" w:styleId="Header">
    <w:name w:val="header"/>
    <w:basedOn w:val="Normal"/>
    <w:link w:val="HeaderChar"/>
    <w:uiPriority w:val="99"/>
    <w:unhideWhenUsed/>
    <w:rsid w:val="00344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BA9"/>
  </w:style>
  <w:style w:type="paragraph" w:styleId="Footer">
    <w:name w:val="footer"/>
    <w:basedOn w:val="Normal"/>
    <w:link w:val="FooterChar"/>
    <w:uiPriority w:val="99"/>
    <w:unhideWhenUsed/>
    <w:rsid w:val="00344B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BA9"/>
  </w:style>
  <w:style w:type="paragraph" w:styleId="FootnoteText">
    <w:name w:val="footnote text"/>
    <w:basedOn w:val="Normal"/>
    <w:link w:val="FootnoteTextChar"/>
    <w:uiPriority w:val="99"/>
    <w:semiHidden/>
    <w:unhideWhenUsed/>
    <w:rsid w:val="00EE52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528B"/>
    <w:rPr>
      <w:sz w:val="20"/>
      <w:szCs w:val="20"/>
    </w:rPr>
  </w:style>
  <w:style w:type="character" w:styleId="FootnoteReference">
    <w:name w:val="footnote reference"/>
    <w:basedOn w:val="DefaultParagraphFont"/>
    <w:uiPriority w:val="99"/>
    <w:semiHidden/>
    <w:unhideWhenUsed/>
    <w:rsid w:val="00EE528B"/>
    <w:rPr>
      <w:vertAlign w:val="superscript"/>
    </w:rPr>
  </w:style>
  <w:style w:type="character" w:styleId="Hyperlink">
    <w:name w:val="Hyperlink"/>
    <w:basedOn w:val="DefaultParagraphFont"/>
    <w:uiPriority w:val="99"/>
    <w:semiHidden/>
    <w:unhideWhenUsed/>
    <w:rsid w:val="00EE528B"/>
    <w:rPr>
      <w:color w:val="0000FF"/>
      <w:u w:val="single"/>
    </w:rPr>
  </w:style>
  <w:style w:type="paragraph" w:styleId="Revision">
    <w:name w:val="Revision"/>
    <w:hidden/>
    <w:uiPriority w:val="99"/>
    <w:semiHidden/>
    <w:rsid w:val="00382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20C011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49AZ\AppData\Local\Temp\1\Temp1_Current%20templates%20-%20MAY2021.zip\ES%20template%202103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C49DC-896C-436C-9ED1-4D33E13F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 template 210325</Template>
  <TotalTime>0</TotalTime>
  <Pages>6</Pages>
  <Words>1920</Words>
  <Characters>10946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 KOMINIARSKI</dc:creator>
  <cp:keywords/>
  <dc:description/>
  <cp:lastModifiedBy>Thomas BURBURY</cp:lastModifiedBy>
  <cp:revision>2</cp:revision>
  <cp:lastPrinted>2021-11-15T21:26:00Z</cp:lastPrinted>
  <dcterms:created xsi:type="dcterms:W3CDTF">2022-03-01T02:39:00Z</dcterms:created>
  <dcterms:modified xsi:type="dcterms:W3CDTF">2022-03-01T02:39:00Z</dcterms:modified>
</cp:coreProperties>
</file>