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0383"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745AE39" w14:textId="5333E36C"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A1AAA0F5617B452AB33476ED1688D9F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750149">
            <w:rPr>
              <w:sz w:val="24"/>
              <w:szCs w:val="24"/>
            </w:rPr>
            <w:t>Assistant Treasurer, Minister for Housing and Minister for Homelessness, Social and Community Housing</w:t>
          </w:r>
        </w:sdtContent>
      </w:sdt>
    </w:p>
    <w:p w14:paraId="4739C7CD" w14:textId="690FA3C0" w:rsidR="00F109D4" w:rsidRDefault="00EE6A97" w:rsidP="003C7907">
      <w:pPr>
        <w:spacing w:before="240" w:after="240"/>
        <w:jc w:val="center"/>
        <w:rPr>
          <w:i/>
        </w:rPr>
      </w:pPr>
      <w:r w:rsidRPr="00EE6A97">
        <w:rPr>
          <w:i/>
          <w:iCs/>
        </w:rPr>
        <w:t>Taxation Administration Act 1953</w:t>
      </w:r>
    </w:p>
    <w:p w14:paraId="0EB2F07F" w14:textId="7EA368F4" w:rsidR="00F109D4" w:rsidRPr="00EE6A97" w:rsidRDefault="00EE6A97" w:rsidP="00EE6A97">
      <w:pPr>
        <w:spacing w:before="240" w:after="240"/>
        <w:jc w:val="center"/>
        <w:rPr>
          <w:i/>
          <w:iCs/>
        </w:rPr>
      </w:pPr>
      <w:bookmarkStart w:id="0" w:name="_Hlk77334834"/>
      <w:r w:rsidRPr="00EE6A97">
        <w:rPr>
          <w:i/>
          <w:iCs/>
        </w:rPr>
        <w:t>Taxation Administration (Public Ancillary Fund)</w:t>
      </w:r>
      <w:r>
        <w:rPr>
          <w:i/>
          <w:iCs/>
        </w:rPr>
        <w:t xml:space="preserve"> </w:t>
      </w:r>
      <w:r w:rsidRPr="00EE6A97">
        <w:rPr>
          <w:i/>
          <w:iCs/>
        </w:rPr>
        <w:t>Guidelines 2022</w:t>
      </w:r>
    </w:p>
    <w:p w14:paraId="709336D9" w14:textId="20F229E2" w:rsidR="00A36FFC" w:rsidRDefault="00A36FFC" w:rsidP="00647BB7">
      <w:pPr>
        <w:spacing w:before="240"/>
      </w:pPr>
      <w:bookmarkStart w:id="1" w:name="_Hlk77333674"/>
      <w:bookmarkEnd w:id="0"/>
      <w:r w:rsidRPr="00A36FFC">
        <w:t xml:space="preserve">The </w:t>
      </w:r>
      <w:r w:rsidRPr="0024331A">
        <w:rPr>
          <w:i/>
          <w:iCs/>
        </w:rPr>
        <w:t>Taxation Administration Act 1953</w:t>
      </w:r>
      <w:r w:rsidRPr="00A36FFC">
        <w:t xml:space="preserve"> (the Act) </w:t>
      </w:r>
      <w:r>
        <w:t xml:space="preserve">contains the administrative framework for </w:t>
      </w:r>
      <w:r w:rsidR="00433ECC">
        <w:t>the taxation and superannuation law</w:t>
      </w:r>
      <w:r w:rsidRPr="00A36FFC">
        <w:t xml:space="preserve"> in Australia.</w:t>
      </w:r>
    </w:p>
    <w:p w14:paraId="134113B9" w14:textId="78736CEA" w:rsidR="00EE6A97" w:rsidRDefault="00474855" w:rsidP="00647BB7">
      <w:pPr>
        <w:spacing w:before="240"/>
      </w:pPr>
      <w:r>
        <w:t xml:space="preserve">Section 426-103 in Schedule 1 to the </w:t>
      </w:r>
      <w:bookmarkEnd w:id="1"/>
      <w:r w:rsidR="007244A6" w:rsidRPr="007244A6">
        <w:t>Act</w:t>
      </w:r>
      <w:r w:rsidR="007244A6">
        <w:rPr>
          <w:i/>
          <w:iCs/>
        </w:rPr>
        <w:t xml:space="preserve"> </w:t>
      </w:r>
      <w:r>
        <w:t>provides that the Minister must formulate guidelines setting out rules for p</w:t>
      </w:r>
      <w:r w:rsidR="007D1779">
        <w:t>ublic</w:t>
      </w:r>
      <w:r>
        <w:t xml:space="preserve"> ancillary funds and their trustees if the funds are to be, or are to remain, endorsed as deductible gift recipients</w:t>
      </w:r>
      <w:r w:rsidR="00433ECC">
        <w:t xml:space="preserve"> under the taxation law</w:t>
      </w:r>
      <w:r>
        <w:t>.</w:t>
      </w:r>
      <w:r w:rsidR="00E81EB8">
        <w:t xml:space="preserve"> </w:t>
      </w:r>
      <w:r w:rsidR="00E81EB8" w:rsidRPr="00E10AE6">
        <w:t>A deductible gift recipient is an entity or fund that can receive tax deductible gifts</w:t>
      </w:r>
      <w:r w:rsidR="00E81EB8">
        <w:t>.</w:t>
      </w:r>
    </w:p>
    <w:p w14:paraId="41F1A9FD" w14:textId="4F1B8910" w:rsidR="00CD48E8" w:rsidRDefault="00E56908" w:rsidP="00E56908">
      <w:pPr>
        <w:spacing w:before="240"/>
      </w:pPr>
      <w:r>
        <w:t xml:space="preserve">The </w:t>
      </w:r>
      <w:r w:rsidRPr="00EE6A97">
        <w:rPr>
          <w:i/>
          <w:iCs/>
        </w:rPr>
        <w:t>Taxation Administration (Public Ancillary Fund)</w:t>
      </w:r>
      <w:r w:rsidRPr="00E56908">
        <w:rPr>
          <w:i/>
          <w:iCs/>
        </w:rPr>
        <w:t xml:space="preserve"> Guidelines 2022</w:t>
      </w:r>
      <w:r>
        <w:rPr>
          <w:i/>
          <w:iCs/>
        </w:rPr>
        <w:t xml:space="preserve"> </w:t>
      </w:r>
      <w:r w:rsidRPr="00E56908">
        <w:t>(</w:t>
      </w:r>
      <w:r w:rsidR="00584916">
        <w:t>the 2022</w:t>
      </w:r>
      <w:r w:rsidR="00AB2AD4">
        <w:t> </w:t>
      </w:r>
      <w:r w:rsidR="00584916">
        <w:t>G</w:t>
      </w:r>
      <w:r w:rsidRPr="00E56908">
        <w:t xml:space="preserve">uidelines) </w:t>
      </w:r>
      <w:r w:rsidR="00A317B8">
        <w:t xml:space="preserve">remakes and </w:t>
      </w:r>
      <w:r>
        <w:t xml:space="preserve">updates </w:t>
      </w:r>
      <w:bookmarkStart w:id="2" w:name="_Hlk77587876"/>
      <w:r w:rsidRPr="0024331A">
        <w:t>the</w:t>
      </w:r>
      <w:r w:rsidRPr="00E56908">
        <w:rPr>
          <w:i/>
          <w:iCs/>
        </w:rPr>
        <w:t xml:space="preserve"> Public Ancillary Fund Guidelines 2011</w:t>
      </w:r>
      <w:r w:rsidRPr="00E56908">
        <w:t xml:space="preserve"> </w:t>
      </w:r>
      <w:r w:rsidR="00A317B8">
        <w:t xml:space="preserve">(2011 Guidelines) </w:t>
      </w:r>
      <w:r w:rsidRPr="00E56908">
        <w:t>which sunset on 1 April 2022</w:t>
      </w:r>
      <w:bookmarkEnd w:id="2"/>
      <w:r w:rsidR="00CD48E8">
        <w:t>.</w:t>
      </w:r>
    </w:p>
    <w:p w14:paraId="02DAB726" w14:textId="79BD6697" w:rsidR="00CD48E8" w:rsidRDefault="007244A6" w:rsidP="00E56908">
      <w:pPr>
        <w:spacing w:before="240"/>
      </w:pPr>
      <w:r>
        <w:t>S</w:t>
      </w:r>
      <w:r w:rsidRPr="007244A6">
        <w:t xml:space="preserve">ection 50 </w:t>
      </w:r>
      <w:r>
        <w:t>of the</w:t>
      </w:r>
      <w:r w:rsidR="00CD48E8">
        <w:t xml:space="preserve"> </w:t>
      </w:r>
      <w:r w:rsidR="00CD48E8" w:rsidRPr="0024331A">
        <w:rPr>
          <w:i/>
          <w:iCs/>
        </w:rPr>
        <w:t>Legislation Act 2003</w:t>
      </w:r>
      <w:r w:rsidR="00CD48E8">
        <w:t xml:space="preserve"> provides that all legislative instruments, other than exempt instruments, progressively sunset according to </w:t>
      </w:r>
      <w:r>
        <w:t>a</w:t>
      </w:r>
      <w:r w:rsidR="00CD48E8">
        <w:t xml:space="preserve"> </w:t>
      </w:r>
      <w:r>
        <w:t xml:space="preserve">prescribed </w:t>
      </w:r>
      <w:r w:rsidR="00CD48E8">
        <w:t>timetable. Legislative instruments generally cease to have effect after 10 years unless their operation is extended such as by remaking the instrument. The 2011 Guidelines automatically repeal on 1 April 2022.</w:t>
      </w:r>
    </w:p>
    <w:p w14:paraId="5DCD9CE3" w14:textId="0D7B3209" w:rsidR="00CD56DC" w:rsidRDefault="00411CDD" w:rsidP="00E56908">
      <w:pPr>
        <w:spacing w:before="240"/>
      </w:pPr>
      <w:r>
        <w:t xml:space="preserve">The 2022 Guidelines remake the 2011 Guidelines with minimal changes to substantive requirements. </w:t>
      </w:r>
      <w:r w:rsidR="00CD56DC">
        <w:t>Further explanation of the minor changes in the</w:t>
      </w:r>
      <w:bookmarkStart w:id="3" w:name="_Hlk78296480"/>
      <w:r w:rsidR="007244A6">
        <w:t xml:space="preserve"> </w:t>
      </w:r>
      <w:r w:rsidR="00CD56DC" w:rsidRPr="003D1C8A">
        <w:t>2</w:t>
      </w:r>
      <w:r w:rsidR="00CD56DC">
        <w:t>02</w:t>
      </w:r>
      <w:r w:rsidR="00851345">
        <w:t>2</w:t>
      </w:r>
      <w:r w:rsidR="007244A6">
        <w:t xml:space="preserve"> </w:t>
      </w:r>
      <w:r w:rsidR="00CD56DC">
        <w:t>Guidelines</w:t>
      </w:r>
      <w:bookmarkEnd w:id="3"/>
      <w:r w:rsidR="00CD56DC">
        <w:t xml:space="preserve"> from the 2011 Guidelines are set out </w:t>
      </w:r>
      <w:r>
        <w:t>at</w:t>
      </w:r>
      <w:r w:rsidR="00CD56DC">
        <w:t xml:space="preserve"> </w:t>
      </w:r>
      <w:r w:rsidR="00CD56DC" w:rsidRPr="00411CDD">
        <w:rPr>
          <w:u w:val="single"/>
        </w:rPr>
        <w:t>Attachment A</w:t>
      </w:r>
      <w:r w:rsidR="00CD56DC">
        <w:t>.</w:t>
      </w:r>
      <w:r w:rsidR="004C66B3">
        <w:t xml:space="preserve">  The 2022</w:t>
      </w:r>
      <w:r w:rsidR="007244A6">
        <w:t xml:space="preserve"> </w:t>
      </w:r>
      <w:r w:rsidR="004C66B3">
        <w:t>Guidelines broadly follow the same structure of the 2011 Guidelines.</w:t>
      </w:r>
    </w:p>
    <w:p w14:paraId="6D4409F4" w14:textId="07E395C7" w:rsidR="00CD56DC" w:rsidRDefault="00CD56DC" w:rsidP="00E56908">
      <w:pPr>
        <w:spacing w:before="240"/>
      </w:pPr>
      <w:r>
        <w:t>Detailed information on</w:t>
      </w:r>
      <w:r w:rsidR="00764DAA">
        <w:t xml:space="preserve"> the establishment</w:t>
      </w:r>
      <w:r w:rsidR="00B72B72">
        <w:t>, operation,</w:t>
      </w:r>
      <w:r w:rsidR="00764DAA">
        <w:t xml:space="preserve"> and </w:t>
      </w:r>
      <w:r>
        <w:t xml:space="preserve">compliance </w:t>
      </w:r>
      <w:r w:rsidR="00764DAA">
        <w:t xml:space="preserve">requirements of </w:t>
      </w:r>
      <w:r w:rsidR="00411CDD">
        <w:t xml:space="preserve">public ancillary funds as set out in the 2011 Guidelines </w:t>
      </w:r>
      <w:r w:rsidR="00764DAA">
        <w:t xml:space="preserve">can be found on the </w:t>
      </w:r>
      <w:r w:rsidR="002C29C6">
        <w:t>Australian Taxation Office (</w:t>
      </w:r>
      <w:r w:rsidR="00764DAA">
        <w:t>ATO</w:t>
      </w:r>
      <w:r w:rsidR="002C29C6">
        <w:t>)</w:t>
      </w:r>
      <w:r w:rsidR="00764DAA">
        <w:t xml:space="preserve"> website</w:t>
      </w:r>
      <w:r w:rsidR="002E1862">
        <w:t>.</w:t>
      </w:r>
    </w:p>
    <w:p w14:paraId="1A30CB58" w14:textId="12CDE427" w:rsidR="00E56908" w:rsidRDefault="004C66B3" w:rsidP="00647BB7">
      <w:pPr>
        <w:spacing w:before="240"/>
      </w:pPr>
      <w:r>
        <w:t>One substantive change included in t</w:t>
      </w:r>
      <w:r w:rsidR="00A92D22">
        <w:t xml:space="preserve">he 2022 Guidelines </w:t>
      </w:r>
      <w:r>
        <w:t>is the availability of</w:t>
      </w:r>
      <w:r w:rsidR="00A92D22">
        <w:t xml:space="preserve"> merits review of the Commissioner</w:t>
      </w:r>
      <w:r w:rsidR="00583DF0">
        <w:t xml:space="preserve"> of Taxation</w:t>
      </w:r>
      <w:r w:rsidR="00A92D22">
        <w:t>’s</w:t>
      </w:r>
      <w:r w:rsidR="000D3496">
        <w:t xml:space="preserve"> </w:t>
      </w:r>
      <w:r w:rsidR="00A53A07">
        <w:t>(the Commissioner)</w:t>
      </w:r>
      <w:r w:rsidR="00A92D22">
        <w:t xml:space="preserve"> decision</w:t>
      </w:r>
      <w:r w:rsidR="00583DF0">
        <w:t>s on</w:t>
      </w:r>
      <w:r w:rsidR="00A92D22">
        <w:t xml:space="preserve"> applications for a lower minimum annual distribution rate. </w:t>
      </w:r>
      <w:r w:rsidR="00B57D8E">
        <w:t xml:space="preserve">This is consistent with the Government’s intention to have administrative decisions subject to independent review to ensure that decisions are made correctly under the law and to ensure that there is accountability for decisions made by </w:t>
      </w:r>
      <w:r>
        <w:t>public officials</w:t>
      </w:r>
      <w:r w:rsidR="00B57D8E">
        <w:t>.</w:t>
      </w:r>
    </w:p>
    <w:p w14:paraId="01E9B350" w14:textId="018F6FAD" w:rsidR="00E56908" w:rsidRDefault="00A92D22" w:rsidP="00647BB7">
      <w:pPr>
        <w:spacing w:before="240"/>
      </w:pPr>
      <w:r w:rsidRPr="00A92D22">
        <w:t xml:space="preserve">The instrument also amends the </w:t>
      </w:r>
      <w:r w:rsidR="00193477" w:rsidRPr="0099357C">
        <w:rPr>
          <w:i/>
          <w:iCs/>
        </w:rPr>
        <w:t>Taxation Administration (Private Ancillary Fund) Guidelines 201</w:t>
      </w:r>
      <w:r w:rsidR="00193477">
        <w:rPr>
          <w:i/>
          <w:iCs/>
        </w:rPr>
        <w:t>9</w:t>
      </w:r>
      <w:r w:rsidR="00B36999">
        <w:t xml:space="preserve"> </w:t>
      </w:r>
      <w:r w:rsidRPr="00A92D22">
        <w:t xml:space="preserve">to </w:t>
      </w:r>
      <w:r w:rsidR="004C66B3">
        <w:t xml:space="preserve">also </w:t>
      </w:r>
      <w:r w:rsidRPr="00A92D22">
        <w:t>allow merits review for private funds seeking a reduced annual distribution rate.</w:t>
      </w:r>
    </w:p>
    <w:p w14:paraId="4BEAACFB" w14:textId="0AE9B30C" w:rsidR="00851345" w:rsidRDefault="00851345" w:rsidP="00647BB7">
      <w:pPr>
        <w:spacing w:before="240"/>
      </w:pPr>
      <w:r>
        <w:t xml:space="preserve">The 2022 Guidelines are a legislative instrument for the purposes of the </w:t>
      </w:r>
      <w:r w:rsidRPr="0024331A">
        <w:rPr>
          <w:i/>
          <w:iCs/>
        </w:rPr>
        <w:t>Legislation Act 2003</w:t>
      </w:r>
      <w:r>
        <w:t>.</w:t>
      </w:r>
    </w:p>
    <w:p w14:paraId="0DF52978" w14:textId="3196771E" w:rsidR="006557B2" w:rsidRDefault="00F147E4" w:rsidP="00647BB7">
      <w:pPr>
        <w:spacing w:before="240"/>
      </w:pPr>
      <w:r>
        <w:lastRenderedPageBreak/>
        <w:t>Further details of the 202</w:t>
      </w:r>
      <w:r w:rsidR="00851345">
        <w:t>2</w:t>
      </w:r>
      <w:r>
        <w:t xml:space="preserve"> </w:t>
      </w:r>
      <w:r w:rsidR="00851345">
        <w:t>Guidelines</w:t>
      </w:r>
      <w:r>
        <w:t xml:space="preserve"> are in </w:t>
      </w:r>
      <w:r w:rsidRPr="00851345">
        <w:rPr>
          <w:u w:val="single"/>
        </w:rPr>
        <w:t>Attachment A.</w:t>
      </w:r>
      <w:r w:rsidR="0068102E" w:rsidRPr="0068102E">
        <w:t xml:space="preserve">  Finding </w:t>
      </w:r>
      <w:r w:rsidR="0068102E">
        <w:t xml:space="preserve">tables have been included at </w:t>
      </w:r>
      <w:r w:rsidR="0068102E" w:rsidRPr="0068102E">
        <w:rPr>
          <w:u w:val="single"/>
        </w:rPr>
        <w:t>Attachment B</w:t>
      </w:r>
      <w:r w:rsidR="0068102E">
        <w:t xml:space="preserve"> </w:t>
      </w:r>
      <w:r w:rsidR="0068102E" w:rsidRPr="00B50BAF">
        <w:rPr>
          <w:color w:val="000000"/>
          <w:szCs w:val="24"/>
        </w:rPr>
        <w:t xml:space="preserve">to assist in identifying </w:t>
      </w:r>
      <w:r w:rsidR="0068102E">
        <w:rPr>
          <w:color w:val="000000"/>
          <w:szCs w:val="24"/>
        </w:rPr>
        <w:t xml:space="preserve">the corresponding </w:t>
      </w:r>
      <w:r w:rsidR="0068102E" w:rsidRPr="00B50BAF">
        <w:rPr>
          <w:color w:val="000000"/>
          <w:szCs w:val="24"/>
        </w:rPr>
        <w:t>provision</w:t>
      </w:r>
      <w:r w:rsidR="0068102E">
        <w:rPr>
          <w:color w:val="000000"/>
          <w:szCs w:val="24"/>
        </w:rPr>
        <w:t>s</w:t>
      </w:r>
      <w:r w:rsidR="0068102E" w:rsidRPr="00B50BAF">
        <w:rPr>
          <w:color w:val="000000"/>
          <w:szCs w:val="24"/>
        </w:rPr>
        <w:t xml:space="preserve"> in the 20</w:t>
      </w:r>
      <w:r w:rsidR="0068102E">
        <w:rPr>
          <w:color w:val="000000"/>
          <w:szCs w:val="24"/>
        </w:rPr>
        <w:t xml:space="preserve">22 </w:t>
      </w:r>
      <w:r w:rsidR="0068102E" w:rsidRPr="00B50BAF">
        <w:rPr>
          <w:color w:val="000000"/>
          <w:szCs w:val="24"/>
        </w:rPr>
        <w:t xml:space="preserve">Guidelines </w:t>
      </w:r>
      <w:r w:rsidR="0068102E">
        <w:rPr>
          <w:color w:val="000000"/>
          <w:szCs w:val="24"/>
        </w:rPr>
        <w:t>to</w:t>
      </w:r>
      <w:r w:rsidR="0068102E" w:rsidRPr="00B50BAF">
        <w:rPr>
          <w:color w:val="000000"/>
          <w:szCs w:val="24"/>
        </w:rPr>
        <w:t xml:space="preserve"> the 20</w:t>
      </w:r>
      <w:r w:rsidR="0068102E">
        <w:rPr>
          <w:color w:val="000000"/>
          <w:szCs w:val="24"/>
        </w:rPr>
        <w:t>11</w:t>
      </w:r>
      <w:r w:rsidR="0068102E" w:rsidRPr="00B50BAF">
        <w:rPr>
          <w:color w:val="000000"/>
          <w:szCs w:val="24"/>
        </w:rPr>
        <w:t xml:space="preserve"> Guidelines</w:t>
      </w:r>
      <w:r w:rsidR="0068102E">
        <w:rPr>
          <w:color w:val="000000"/>
          <w:szCs w:val="24"/>
        </w:rPr>
        <w:t>.</w:t>
      </w:r>
    </w:p>
    <w:p w14:paraId="37B1F554" w14:textId="5658F645" w:rsidR="00F432BE" w:rsidRDefault="00F432BE" w:rsidP="00B72B72">
      <w:pPr>
        <w:spacing w:before="240"/>
      </w:pPr>
      <w:r>
        <w:t xml:space="preserve">The </w:t>
      </w:r>
      <w:r w:rsidR="00B859B8">
        <w:t>2022 G</w:t>
      </w:r>
      <w:r>
        <w:t>uidelines commenced and applied from the day after their registration.</w:t>
      </w:r>
      <w:r w:rsidR="003917EF">
        <w:t xml:space="preserve"> </w:t>
      </w:r>
      <w:r w:rsidR="004C66B3">
        <w:t xml:space="preserve">The 2022 Guidelines also </w:t>
      </w:r>
      <w:r w:rsidR="003917EF">
        <w:t>repeal</w:t>
      </w:r>
      <w:r w:rsidR="00B859B8">
        <w:t>ed</w:t>
      </w:r>
      <w:r w:rsidR="003917EF">
        <w:t xml:space="preserve"> the 2011 Guidelines from the </w:t>
      </w:r>
      <w:r w:rsidR="00AE1AFA">
        <w:t>commencement of the 2022 Guidelines.</w:t>
      </w:r>
    </w:p>
    <w:p w14:paraId="2A28C61D" w14:textId="4EA5526C" w:rsidR="00F432BE" w:rsidRDefault="00F432BE" w:rsidP="002C226C">
      <w:pPr>
        <w:spacing w:before="240"/>
        <w:rPr>
          <w:b/>
          <w:bCs/>
        </w:rPr>
      </w:pPr>
      <w:r>
        <w:t xml:space="preserve">The Act does not specify any conditions that need to be met before the power to make the </w:t>
      </w:r>
      <w:r w:rsidR="004C66B3">
        <w:t>instrument</w:t>
      </w:r>
      <w:r>
        <w:t xml:space="preserve"> may be exercised.</w:t>
      </w:r>
    </w:p>
    <w:p w14:paraId="5AC0CFF9" w14:textId="50AE0903" w:rsidR="008C60DB" w:rsidRDefault="008A09F2" w:rsidP="002C226C">
      <w:pPr>
        <w:spacing w:before="240"/>
      </w:pPr>
      <w:r>
        <w:t xml:space="preserve">A public </w:t>
      </w:r>
      <w:r w:rsidR="001F2712">
        <w:t xml:space="preserve">consultation </w:t>
      </w:r>
      <w:r>
        <w:t xml:space="preserve">process was run </w:t>
      </w:r>
      <w:r w:rsidR="001F2712">
        <w:t xml:space="preserve">from </w:t>
      </w:r>
      <w:r w:rsidR="000A3975" w:rsidRPr="000A3975">
        <w:t>18 November 2021 </w:t>
      </w:r>
      <w:r>
        <w:t>to</w:t>
      </w:r>
      <w:r w:rsidRPr="000A3975">
        <w:t> </w:t>
      </w:r>
      <w:r w:rsidR="000A3975" w:rsidRPr="000A3975">
        <w:t>09 December 2021</w:t>
      </w:r>
      <w:r w:rsidR="000A3975">
        <w:t xml:space="preserve">. </w:t>
      </w:r>
      <w:r w:rsidR="001F2712">
        <w:t xml:space="preserve">There were </w:t>
      </w:r>
      <w:r w:rsidR="00223C34">
        <w:t>4</w:t>
      </w:r>
      <w:r w:rsidR="000A3975">
        <w:t>0</w:t>
      </w:r>
      <w:r w:rsidR="001F2712">
        <w:t xml:space="preserve"> submissions</w:t>
      </w:r>
      <w:r>
        <w:t xml:space="preserve"> received</w:t>
      </w:r>
      <w:r w:rsidR="001F2712">
        <w:t xml:space="preserve">. </w:t>
      </w:r>
      <w:r w:rsidR="008C60DB">
        <w:t xml:space="preserve">Stakeholder feedback was </w:t>
      </w:r>
      <w:r w:rsidR="00127424">
        <w:t>broadly</w:t>
      </w:r>
      <w:r w:rsidR="008C60DB">
        <w:t xml:space="preserve"> supportive of the draft 2022 Guidelines. However, </w:t>
      </w:r>
      <w:r>
        <w:t xml:space="preserve">refinements to the draft guidelines have been made in response to </w:t>
      </w:r>
      <w:r w:rsidR="008C60DB">
        <w:t>some</w:t>
      </w:r>
      <w:r w:rsidR="001F2712">
        <w:t xml:space="preserve"> stakeholders</w:t>
      </w:r>
      <w:r w:rsidR="00127424">
        <w:t>’</w:t>
      </w:r>
      <w:r w:rsidR="001F2712">
        <w:t xml:space="preserve"> concern regarding the restrictions on who can act as a </w:t>
      </w:r>
      <w:r w:rsidR="008C60DB">
        <w:t>r</w:t>
      </w:r>
      <w:r w:rsidR="001F2712">
        <w:t xml:space="preserve">esponsible </w:t>
      </w:r>
      <w:r w:rsidR="008C60DB">
        <w:t>p</w:t>
      </w:r>
      <w:r w:rsidR="001F2712">
        <w:t>erson</w:t>
      </w:r>
      <w:r w:rsidR="00303FD5">
        <w:t>.</w:t>
      </w:r>
    </w:p>
    <w:p w14:paraId="02A34729" w14:textId="3A6B20C5" w:rsidR="001F2712" w:rsidRDefault="00303FD5" w:rsidP="002C226C">
      <w:pPr>
        <w:spacing w:before="240"/>
      </w:pPr>
      <w:r>
        <w:t>The 2022 Guidelines have been amended to reflect stakeholder feedback.</w:t>
      </w:r>
    </w:p>
    <w:p w14:paraId="07BFC663" w14:textId="0381A9E9" w:rsidR="00AB2AD4" w:rsidRDefault="00AB2AD4" w:rsidP="00647BB7">
      <w:pPr>
        <w:spacing w:before="240"/>
      </w:pPr>
      <w:r>
        <w:t>Prior to the making of the Guidelines and in accordance with the Office of Best Practice Regulation’s Guidance Note on sunsetting instruments, the Department of the Treasury self-assessed that the 2011 Guidelines were operating effectively and efficiently, and therefore a Regulation Impact Statement was not required. This assessment was informed by the public consultation on the exposure draft Guidelines.</w:t>
      </w:r>
    </w:p>
    <w:p w14:paraId="5CF5885A" w14:textId="4FE7B962" w:rsidR="00EB2AEF" w:rsidRPr="00013390" w:rsidRDefault="00EB2AEF" w:rsidP="00647BB7">
      <w:pPr>
        <w:spacing w:before="240"/>
      </w:pPr>
      <w:r>
        <w:t xml:space="preserve">A </w:t>
      </w:r>
      <w:r w:rsidR="00F35E2C">
        <w:t>S</w:t>
      </w:r>
      <w:r>
        <w:t xml:space="preserve">tatement of Compatibility with Human Rights is at </w:t>
      </w:r>
      <w:r w:rsidRPr="000B39A1">
        <w:rPr>
          <w:u w:val="single"/>
        </w:rPr>
        <w:t xml:space="preserve">Attachment </w:t>
      </w:r>
      <w:r w:rsidR="00B50BAF">
        <w:rPr>
          <w:u w:val="single"/>
        </w:rPr>
        <w:t>C</w:t>
      </w:r>
      <w:r w:rsidR="00A317B8">
        <w:rPr>
          <w:u w:val="single"/>
        </w:rPr>
        <w:t>.</w:t>
      </w:r>
    </w:p>
    <w:p w14:paraId="527CD264" w14:textId="59187AB1" w:rsidR="00EA4DD8" w:rsidRDefault="00EA4DD8" w:rsidP="00EA4DD8">
      <w:pPr>
        <w:pageBreakBefore/>
        <w:spacing w:before="240"/>
        <w:jc w:val="right"/>
        <w:rPr>
          <w:b/>
          <w:u w:val="single"/>
        </w:rPr>
      </w:pPr>
      <w:r w:rsidRPr="007B335E">
        <w:rPr>
          <w:b/>
          <w:u w:val="single"/>
        </w:rPr>
        <w:lastRenderedPageBreak/>
        <w:t xml:space="preserve">ATTACHMENT </w:t>
      </w:r>
      <w:r w:rsidR="0019094D">
        <w:rPr>
          <w:b/>
          <w:u w:val="single"/>
        </w:rPr>
        <w:t>A</w:t>
      </w:r>
    </w:p>
    <w:p w14:paraId="19A01D2C" w14:textId="20824F50" w:rsidR="00EA4DD8" w:rsidRDefault="00EA4DD8" w:rsidP="00EA4DD8">
      <w:pPr>
        <w:spacing w:before="240"/>
        <w:ind w:right="91"/>
        <w:rPr>
          <w:b/>
          <w:i/>
          <w:iCs/>
          <w:u w:val="single"/>
        </w:rPr>
      </w:pPr>
      <w:r>
        <w:rPr>
          <w:b/>
          <w:bCs/>
          <w:u w:val="single"/>
        </w:rPr>
        <w:t xml:space="preserve">Details of the </w:t>
      </w:r>
      <w:bookmarkStart w:id="4" w:name="_Hlk77335958"/>
      <w:r w:rsidR="00393BF6" w:rsidRPr="00EE6A97">
        <w:rPr>
          <w:b/>
          <w:i/>
          <w:iCs/>
          <w:u w:val="single"/>
        </w:rPr>
        <w:t>Taxation Administration (Public Ancillary Fund)</w:t>
      </w:r>
      <w:r w:rsidR="00393BF6" w:rsidRPr="00393BF6">
        <w:rPr>
          <w:b/>
          <w:i/>
          <w:iCs/>
          <w:u w:val="single"/>
        </w:rPr>
        <w:t xml:space="preserve"> Guidelines 2022</w:t>
      </w:r>
      <w:bookmarkEnd w:id="4"/>
    </w:p>
    <w:p w14:paraId="598C7F4C" w14:textId="7C013335" w:rsidR="00B17F80" w:rsidRDefault="00B17F80" w:rsidP="00EA4DD8">
      <w:pPr>
        <w:spacing w:before="240"/>
        <w:ind w:right="91"/>
      </w:pPr>
      <w:r>
        <w:t xml:space="preserve">This Attachment sets out further details of the </w:t>
      </w:r>
      <w:r w:rsidRPr="0024331A">
        <w:rPr>
          <w:i/>
          <w:iCs/>
        </w:rPr>
        <w:t>Taxation Administration (Public Ancillary Fund) Guidelines 2022</w:t>
      </w:r>
      <w:r>
        <w:t xml:space="preserve"> (the </w:t>
      </w:r>
      <w:bookmarkStart w:id="5" w:name="_Hlk78536493"/>
      <w:r>
        <w:t>2022 Guidelines</w:t>
      </w:r>
      <w:bookmarkEnd w:id="5"/>
      <w:r>
        <w:t>). All references are to the 2022 Guidelines unless otherwise stated</w:t>
      </w:r>
      <w:r w:rsidR="00A317B8">
        <w:t>.</w:t>
      </w:r>
    </w:p>
    <w:p w14:paraId="559FA91F" w14:textId="59A539A9" w:rsidR="00E61F21" w:rsidRDefault="00851345" w:rsidP="00EA4DD8">
      <w:pPr>
        <w:spacing w:before="240"/>
        <w:ind w:right="91"/>
      </w:pPr>
      <w:r>
        <w:t xml:space="preserve">All sections in the 2022 Guidelines replicate (and in some cases consolidate) the corresponding provisions in the </w:t>
      </w:r>
      <w:r w:rsidR="00594F9A" w:rsidRPr="00E56908">
        <w:rPr>
          <w:i/>
          <w:iCs/>
        </w:rPr>
        <w:t>Public Ancillary Fund Guidelines 2011</w:t>
      </w:r>
      <w:r w:rsidR="00594F9A" w:rsidRPr="00E56908">
        <w:t xml:space="preserve"> </w:t>
      </w:r>
      <w:r w:rsidR="00594F9A">
        <w:t>(</w:t>
      </w:r>
      <w:r>
        <w:t>2011</w:t>
      </w:r>
      <w:r w:rsidR="00AB2AD4">
        <w:t> </w:t>
      </w:r>
      <w:r w:rsidR="00E61F21">
        <w:t>Guidelines</w:t>
      </w:r>
      <w:r w:rsidR="00594F9A">
        <w:t>)</w:t>
      </w:r>
      <w:r w:rsidR="00E61F21">
        <w:t xml:space="preserve"> but</w:t>
      </w:r>
      <w:r>
        <w:t xml:space="preserve"> have been updated in accordance with current drafting practice.</w:t>
      </w:r>
    </w:p>
    <w:p w14:paraId="23DF5C42" w14:textId="387D2E0E" w:rsidR="00B17F80" w:rsidRDefault="00E61F21" w:rsidP="00EA4DD8">
      <w:pPr>
        <w:spacing w:before="240"/>
        <w:ind w:right="91"/>
      </w:pPr>
      <w:r>
        <w:t>This Attachment does not catalogue changes of a minor or machinery nature, such as references to ‘section’ rather than ‘guideline’. Where changes are made that require further explanation, these are identified and explained in this Attachment.</w:t>
      </w:r>
    </w:p>
    <w:p w14:paraId="2E8BE878" w14:textId="2ADF265E" w:rsidR="00EA4DD8" w:rsidRPr="00B92608" w:rsidRDefault="00EA4DD8" w:rsidP="00EA4DD8">
      <w:pPr>
        <w:spacing w:before="240"/>
        <w:rPr>
          <w:u w:val="single"/>
        </w:rPr>
      </w:pPr>
      <w:r w:rsidRPr="00B92608">
        <w:rPr>
          <w:u w:val="single"/>
        </w:rPr>
        <w:t>Section 1</w:t>
      </w:r>
      <w:r w:rsidR="00B92608">
        <w:rPr>
          <w:u w:val="single"/>
        </w:rPr>
        <w:t xml:space="preserve"> –</w:t>
      </w:r>
      <w:r w:rsidR="006815D3" w:rsidRPr="00B92608">
        <w:rPr>
          <w:u w:val="single"/>
        </w:rPr>
        <w:t xml:space="preserve"> Name</w:t>
      </w:r>
    </w:p>
    <w:p w14:paraId="48620202" w14:textId="058B5820" w:rsidR="00EA4DD8" w:rsidRPr="00B92608" w:rsidRDefault="00B92608" w:rsidP="00556979">
      <w:pPr>
        <w:spacing w:before="240"/>
        <w:ind w:right="91"/>
        <w:rPr>
          <w:b/>
          <w:u w:val="single"/>
        </w:rPr>
      </w:pPr>
      <w:r>
        <w:t xml:space="preserve">This section provides that the name of the instrument is the </w:t>
      </w:r>
      <w:r w:rsidRPr="0024331A">
        <w:rPr>
          <w:i/>
          <w:iCs/>
        </w:rPr>
        <w:t>Taxation Administration (Public Ancillary Fund) Guidelines 2022</w:t>
      </w:r>
      <w:r>
        <w:t>.</w:t>
      </w:r>
    </w:p>
    <w:p w14:paraId="72F3EC54" w14:textId="77777777" w:rsidR="00EA4DD8" w:rsidRPr="00B92608" w:rsidRDefault="00EA4DD8" w:rsidP="00B92608">
      <w:pPr>
        <w:spacing w:before="240"/>
        <w:rPr>
          <w:u w:val="single"/>
        </w:rPr>
      </w:pPr>
      <w:r w:rsidRPr="00B92608">
        <w:rPr>
          <w:u w:val="single"/>
        </w:rPr>
        <w:t>Section 2 – Commencement</w:t>
      </w:r>
    </w:p>
    <w:p w14:paraId="12BE380C" w14:textId="44657DD1" w:rsidR="00EA4DD8" w:rsidRDefault="00556979" w:rsidP="00EA4DD8">
      <w:pPr>
        <w:spacing w:before="240"/>
        <w:ind w:right="91"/>
      </w:pPr>
      <w:r>
        <w:t>Th</w:t>
      </w:r>
      <w:r w:rsidR="00B92608">
        <w:t>is section prescribes that the</w:t>
      </w:r>
      <w:r>
        <w:t xml:space="preserve"> </w:t>
      </w:r>
      <w:r w:rsidR="00B92608">
        <w:t>instrument</w:t>
      </w:r>
      <w:r>
        <w:t xml:space="preserve"> commence</w:t>
      </w:r>
      <w:r w:rsidR="00B92608">
        <w:t>s</w:t>
      </w:r>
      <w:r>
        <w:t xml:space="preserve"> the day after </w:t>
      </w:r>
      <w:r w:rsidR="00B92608">
        <w:t>it is</w:t>
      </w:r>
      <w:r>
        <w:t xml:space="preserve"> registered</w:t>
      </w:r>
      <w:r w:rsidR="00B92608">
        <w:t xml:space="preserve"> on the Federal Register of Legislation</w:t>
      </w:r>
      <w:r>
        <w:t>.</w:t>
      </w:r>
    </w:p>
    <w:p w14:paraId="2678DCA2" w14:textId="77777777" w:rsidR="00EA4DD8" w:rsidRPr="00644B55" w:rsidRDefault="00EA4DD8" w:rsidP="00644B55">
      <w:pPr>
        <w:spacing w:before="240"/>
        <w:rPr>
          <w:u w:val="single"/>
        </w:rPr>
      </w:pPr>
      <w:r w:rsidRPr="00644B55">
        <w:rPr>
          <w:u w:val="single"/>
        </w:rPr>
        <w:t>Section 3 – Authority</w:t>
      </w:r>
    </w:p>
    <w:p w14:paraId="05B4F624" w14:textId="0594EE3D" w:rsidR="00EA4DD8" w:rsidRDefault="00EA4DD8" w:rsidP="00EA4DD8">
      <w:pPr>
        <w:spacing w:before="240"/>
        <w:ind w:right="91"/>
      </w:pPr>
      <w:r>
        <w:t xml:space="preserve">The </w:t>
      </w:r>
      <w:r w:rsidR="00644B55">
        <w:t>instrument is</w:t>
      </w:r>
      <w:r>
        <w:t xml:space="preserve"> made under</w:t>
      </w:r>
      <w:r w:rsidR="00393BF6">
        <w:t xml:space="preserve"> </w:t>
      </w:r>
      <w:r w:rsidR="00973C7A">
        <w:t>s</w:t>
      </w:r>
      <w:r w:rsidR="00393BF6" w:rsidRPr="00393BF6">
        <w:t xml:space="preserve">ection 426-103 in Schedule 1 to the </w:t>
      </w:r>
      <w:r w:rsidR="00393BF6" w:rsidRPr="0024331A">
        <w:rPr>
          <w:i/>
          <w:iCs/>
        </w:rPr>
        <w:t>Taxation Administration Act 1953</w:t>
      </w:r>
      <w:r>
        <w:t xml:space="preserve"> (the Act).</w:t>
      </w:r>
    </w:p>
    <w:p w14:paraId="0A537AE7" w14:textId="168060B4" w:rsidR="00EA4DD8" w:rsidRPr="00644B55" w:rsidRDefault="00EA4DD8" w:rsidP="00644B55">
      <w:pPr>
        <w:spacing w:before="240"/>
        <w:rPr>
          <w:u w:val="single"/>
        </w:rPr>
      </w:pPr>
      <w:r w:rsidRPr="00644B55">
        <w:rPr>
          <w:u w:val="single"/>
        </w:rPr>
        <w:t>Section 4 – Schedul</w:t>
      </w:r>
      <w:r w:rsidR="006815D3" w:rsidRPr="00644B55">
        <w:rPr>
          <w:u w:val="single"/>
        </w:rPr>
        <w:t>es</w:t>
      </w:r>
    </w:p>
    <w:p w14:paraId="560F94E3" w14:textId="0B37DDAA" w:rsidR="006B000C" w:rsidRDefault="00644B55" w:rsidP="00EA4DD8">
      <w:pPr>
        <w:spacing w:after="0"/>
        <w:ind w:right="91"/>
      </w:pPr>
      <w:r>
        <w:t>This section provides that existing instruments set out in a Schedule are amended or repealed in accordance with the details set out in the Schedule.</w:t>
      </w:r>
    </w:p>
    <w:p w14:paraId="15BA5EB8" w14:textId="476A158B" w:rsidR="00A2461E" w:rsidRDefault="00A2461E" w:rsidP="00EA4DD8">
      <w:pPr>
        <w:spacing w:after="0"/>
        <w:ind w:right="91"/>
        <w:rPr>
          <w:u w:val="single"/>
        </w:rPr>
      </w:pPr>
      <w:r w:rsidRPr="00E51467">
        <w:rPr>
          <w:u w:val="single"/>
        </w:rPr>
        <w:t>Section 5 – Definitions</w:t>
      </w:r>
    </w:p>
    <w:p w14:paraId="4BC95A0D" w14:textId="793F6C91" w:rsidR="00E51467" w:rsidRDefault="00E51467" w:rsidP="00EA4DD8">
      <w:pPr>
        <w:spacing w:after="0"/>
        <w:ind w:right="91"/>
      </w:pPr>
      <w:r w:rsidRPr="00E51467">
        <w:t xml:space="preserve">This </w:t>
      </w:r>
      <w:r>
        <w:t>section sets out the definitions used in the 2022 Guidelines.</w:t>
      </w:r>
    </w:p>
    <w:p w14:paraId="4DD7B465" w14:textId="77777777" w:rsidR="00F02DC1" w:rsidRDefault="00F02DC1" w:rsidP="00F02DC1">
      <w:pPr>
        <w:spacing w:before="0" w:after="0"/>
      </w:pPr>
    </w:p>
    <w:p w14:paraId="516E578C" w14:textId="2CC9ABED" w:rsidR="00F02DC1" w:rsidRDefault="00F02DC1" w:rsidP="00F02DC1">
      <w:pPr>
        <w:spacing w:before="0" w:after="0"/>
      </w:pPr>
      <w:r>
        <w:t>Further, e</w:t>
      </w:r>
      <w:r w:rsidRPr="00AF183E">
        <w:t xml:space="preserve">xpressions have the same meaning in </w:t>
      </w:r>
      <w:r>
        <w:t xml:space="preserve">the </w:t>
      </w:r>
      <w:r w:rsidRPr="00573501">
        <w:t>2022 Guidelines</w:t>
      </w:r>
      <w:r w:rsidRPr="00AF183E">
        <w:t xml:space="preserve"> as in the </w:t>
      </w:r>
      <w:r w:rsidRPr="00AF183E">
        <w:rPr>
          <w:i/>
          <w:iCs/>
        </w:rPr>
        <w:t>Income Tax Assessment Act 1997</w:t>
      </w:r>
      <w:r>
        <w:rPr>
          <w:i/>
          <w:iCs/>
        </w:rPr>
        <w:t>.</w:t>
      </w:r>
    </w:p>
    <w:p w14:paraId="3E8D184B" w14:textId="7BEC6F77" w:rsidR="00A2461E" w:rsidRDefault="00A2461E" w:rsidP="00EA4DD8">
      <w:pPr>
        <w:spacing w:after="0"/>
        <w:ind w:right="91"/>
      </w:pPr>
      <w:r w:rsidRPr="00A2461E">
        <w:t>This section replicates the corresponding provision in the 20</w:t>
      </w:r>
      <w:r>
        <w:t>11</w:t>
      </w:r>
      <w:r w:rsidRPr="00A2461E">
        <w:t xml:space="preserve"> Guidelines but has been updated in accordance with current drafting practice. To improve clarity, </w:t>
      </w:r>
      <w:r w:rsidRPr="0087592B">
        <w:t>section 5 now</w:t>
      </w:r>
      <w:r w:rsidRPr="00A2461E">
        <w:t xml:space="preserve"> includes definitions of key terms previously included in later provisions of the 20</w:t>
      </w:r>
      <w:r>
        <w:t>11</w:t>
      </w:r>
      <w:r w:rsidRPr="00A2461E">
        <w:t xml:space="preserve"> Guidelines, as follows: </w:t>
      </w:r>
    </w:p>
    <w:p w14:paraId="364CEA12" w14:textId="139B10C3" w:rsidR="00A2461E" w:rsidRDefault="00A2461E" w:rsidP="00A2461E">
      <w:pPr>
        <w:spacing w:after="0"/>
        <w:ind w:right="91" w:firstLine="720"/>
      </w:pPr>
      <w:r w:rsidRPr="00A2461E">
        <w:t>• the definitions of ‘distribution’ and ‘responsible person’; and</w:t>
      </w:r>
    </w:p>
    <w:p w14:paraId="3DBC1BBE" w14:textId="45E9D2E8" w:rsidR="006815D3" w:rsidRPr="00A2461E" w:rsidRDefault="00A2461E" w:rsidP="00A2461E">
      <w:pPr>
        <w:spacing w:after="0"/>
        <w:ind w:left="720" w:right="91"/>
        <w:rPr>
          <w:i/>
          <w:iCs/>
        </w:rPr>
      </w:pPr>
      <w:r w:rsidRPr="00A2461E">
        <w:t xml:space="preserve">• ‘governing rules’ is defined to have the same meaning as in the </w:t>
      </w:r>
      <w:r w:rsidRPr="00A2461E">
        <w:rPr>
          <w:i/>
          <w:iCs/>
        </w:rPr>
        <w:t>Australian Charities and Not-for-profits Commission Act 2012.</w:t>
      </w:r>
    </w:p>
    <w:p w14:paraId="53DCFD75" w14:textId="13A0C69A" w:rsidR="005B1D4E" w:rsidRDefault="00F02DC1" w:rsidP="00EA4DD8">
      <w:pPr>
        <w:spacing w:after="0"/>
        <w:ind w:right="91"/>
      </w:pPr>
      <w:r>
        <w:lastRenderedPageBreak/>
        <w:t>There ha</w:t>
      </w:r>
      <w:r w:rsidR="006A5C50">
        <w:t>ve</w:t>
      </w:r>
      <w:r>
        <w:t xml:space="preserve"> not been </w:t>
      </w:r>
      <w:r w:rsidR="006A5C50">
        <w:t>any</w:t>
      </w:r>
      <w:r>
        <w:t xml:space="preserve"> substantive changes to the existing meanings attributable to definitions now included in section 5.</w:t>
      </w:r>
    </w:p>
    <w:p w14:paraId="23C0B878" w14:textId="3529FE27" w:rsidR="007F5BBD" w:rsidRPr="00315705" w:rsidRDefault="00B81080" w:rsidP="00EA4DD8">
      <w:pPr>
        <w:spacing w:after="0"/>
        <w:ind w:right="91"/>
        <w:rPr>
          <w:u w:val="single"/>
        </w:rPr>
      </w:pPr>
      <w:r w:rsidRPr="00315705">
        <w:rPr>
          <w:u w:val="single"/>
        </w:rPr>
        <w:t>Section 6 – Penalties</w:t>
      </w:r>
    </w:p>
    <w:p w14:paraId="3008F645" w14:textId="7AF0C31C" w:rsidR="007F5BBD" w:rsidRPr="00D37D64" w:rsidRDefault="007F5BBD" w:rsidP="00EA4DD8">
      <w:pPr>
        <w:spacing w:after="0"/>
        <w:ind w:right="91"/>
      </w:pPr>
      <w:r w:rsidRPr="007F5BBD">
        <w:t xml:space="preserve">The </w:t>
      </w:r>
      <w:r w:rsidR="00E66A5B">
        <w:t>imposition of</w:t>
      </w:r>
      <w:r>
        <w:t xml:space="preserve"> </w:t>
      </w:r>
      <w:r w:rsidR="00962B75">
        <w:t xml:space="preserve">administrative </w:t>
      </w:r>
      <w:r>
        <w:t>penalt</w:t>
      </w:r>
      <w:r w:rsidR="00FC2647">
        <w:t>ies</w:t>
      </w:r>
      <w:r w:rsidR="00AF0750">
        <w:t xml:space="preserve"> </w:t>
      </w:r>
      <w:r>
        <w:t>for non</w:t>
      </w:r>
      <w:r w:rsidR="00973C7A">
        <w:t>-</w:t>
      </w:r>
      <w:r>
        <w:t xml:space="preserve">compliance with the </w:t>
      </w:r>
      <w:r w:rsidR="00BA7769">
        <w:t>2022</w:t>
      </w:r>
      <w:r w:rsidR="00E66A5B">
        <w:t> </w:t>
      </w:r>
      <w:r>
        <w:t xml:space="preserve">Guidelines </w:t>
      </w:r>
      <w:r w:rsidR="00973C7A">
        <w:t xml:space="preserve">is provided </w:t>
      </w:r>
      <w:r w:rsidR="00E66A5B">
        <w:t>for in paragraph</w:t>
      </w:r>
      <w:r w:rsidR="00176DF4" w:rsidRPr="00B619CF">
        <w:t xml:space="preserve"> </w:t>
      </w:r>
      <w:r w:rsidR="00D37D64" w:rsidRPr="0057190B">
        <w:t>426</w:t>
      </w:r>
      <w:r w:rsidR="00973C7A" w:rsidRPr="0057190B">
        <w:t>-</w:t>
      </w:r>
      <w:r w:rsidR="00D37D64" w:rsidRPr="0057190B">
        <w:t>103</w:t>
      </w:r>
      <w:r w:rsidR="00E66A5B">
        <w:t>(1)</w:t>
      </w:r>
      <w:r w:rsidR="00D37D64" w:rsidRPr="0057190B">
        <w:t>(b)</w:t>
      </w:r>
      <w:r w:rsidR="00D37D64">
        <w:t xml:space="preserve"> </w:t>
      </w:r>
      <w:r w:rsidR="00E66A5B">
        <w:t>in Schedule 1 to</w:t>
      </w:r>
      <w:r w:rsidR="00D37D64">
        <w:t xml:space="preserve"> the Act. </w:t>
      </w:r>
      <w:r w:rsidR="00962B75" w:rsidRPr="00962B75">
        <w:t xml:space="preserve">While the </w:t>
      </w:r>
      <w:r w:rsidR="00962B75">
        <w:t xml:space="preserve">Act </w:t>
      </w:r>
      <w:r w:rsidR="00962B75" w:rsidRPr="00962B75">
        <w:t xml:space="preserve">imposes the penalty, the </w:t>
      </w:r>
      <w:r w:rsidR="00B36999">
        <w:t>g</w:t>
      </w:r>
      <w:r w:rsidR="00962B75" w:rsidRPr="00962B75">
        <w:t xml:space="preserve">uidelines determine the amount of the </w:t>
      </w:r>
      <w:r w:rsidR="000B65B0">
        <w:t xml:space="preserve">administrative </w:t>
      </w:r>
      <w:r w:rsidR="00962B75" w:rsidRPr="00962B75">
        <w:t>penalty</w:t>
      </w:r>
      <w:r w:rsidR="000B65B0">
        <w:t xml:space="preserve"> for non-compliance with </w:t>
      </w:r>
      <w:proofErr w:type="gramStart"/>
      <w:r w:rsidR="000B65B0">
        <w:t>particular sections</w:t>
      </w:r>
      <w:proofErr w:type="gramEnd"/>
      <w:r w:rsidR="000B65B0">
        <w:t xml:space="preserve"> of the instrument</w:t>
      </w:r>
      <w:r w:rsidR="00962B75" w:rsidRPr="00962B75">
        <w:t>.</w:t>
      </w:r>
    </w:p>
    <w:p w14:paraId="38025DB6" w14:textId="0B07AE7F" w:rsidR="00B81080" w:rsidRDefault="007F5BBD" w:rsidP="00EA4DD8">
      <w:pPr>
        <w:spacing w:after="0"/>
        <w:ind w:right="91"/>
      </w:pPr>
      <w:r>
        <w:t>S</w:t>
      </w:r>
      <w:r w:rsidR="00B81080" w:rsidRPr="00B81080">
        <w:t xml:space="preserve">ection </w:t>
      </w:r>
      <w:r w:rsidR="00313836">
        <w:t xml:space="preserve">6 </w:t>
      </w:r>
      <w:r w:rsidR="00B81080" w:rsidRPr="00B81080">
        <w:t>replicates the corresponding provision in the 20</w:t>
      </w:r>
      <w:r w:rsidR="00B81080">
        <w:t>11</w:t>
      </w:r>
      <w:r w:rsidR="00B81080" w:rsidRPr="00B81080">
        <w:t xml:space="preserve"> Guidelines but has been updated to reflect current drafting practice. Section 6 provides that the amount of an administrative penalty imposed for a breach of </w:t>
      </w:r>
      <w:r w:rsidR="003F0B7D">
        <w:t>a</w:t>
      </w:r>
      <w:r w:rsidR="00B81080" w:rsidRPr="00B81080">
        <w:t xml:space="preserve"> </w:t>
      </w:r>
      <w:r w:rsidR="003F0B7D">
        <w:t>g</w:t>
      </w:r>
      <w:r w:rsidR="00B81080" w:rsidRPr="00B81080">
        <w:t>uideline is set out, or worked out, in accordance with the relevant provision of the 20</w:t>
      </w:r>
      <w:r w:rsidR="00B81080">
        <w:t>22</w:t>
      </w:r>
      <w:r w:rsidR="00B81080" w:rsidRPr="00B81080">
        <w:t xml:space="preserve"> Guidelines which has</w:t>
      </w:r>
      <w:r w:rsidR="003F0B7D">
        <w:t xml:space="preserve"> not</w:t>
      </w:r>
      <w:r w:rsidR="00B81080" w:rsidRPr="00B81080">
        <w:t xml:space="preserve"> </w:t>
      </w:r>
      <w:r w:rsidR="002C29C6">
        <w:t>been c</w:t>
      </w:r>
      <w:r w:rsidR="002C29C6" w:rsidRPr="002C29C6">
        <w:t>omplied with</w:t>
      </w:r>
      <w:r w:rsidR="002C29C6">
        <w:t>.</w:t>
      </w:r>
    </w:p>
    <w:p w14:paraId="7C9D0B4C" w14:textId="3EB4A681" w:rsidR="007A4448" w:rsidRDefault="00DE12A1" w:rsidP="00EA4DD8">
      <w:pPr>
        <w:spacing w:after="0"/>
        <w:ind w:right="91"/>
      </w:pPr>
      <w:r>
        <w:t xml:space="preserve">The Government consulted extensively in 2010 on the new regulatory framework for public ancillary funds.  </w:t>
      </w:r>
      <w:r w:rsidR="007A4448">
        <w:t xml:space="preserve">The rate of penalty for non-compliance </w:t>
      </w:r>
      <w:r w:rsidR="007A4448" w:rsidRPr="007A4448">
        <w:t xml:space="preserve">has not </w:t>
      </w:r>
      <w:r w:rsidR="00A536F8">
        <w:t>altered</w:t>
      </w:r>
      <w:r w:rsidR="007A4448" w:rsidRPr="007A4448">
        <w:t xml:space="preserve"> from the 2011 to the 2022 Guidelines.</w:t>
      </w:r>
    </w:p>
    <w:p w14:paraId="08A332C1" w14:textId="57153F6C" w:rsidR="00FC2647" w:rsidRPr="00E20DDE" w:rsidRDefault="007A4448" w:rsidP="00EA4DD8">
      <w:pPr>
        <w:spacing w:after="0"/>
        <w:ind w:right="91"/>
      </w:pPr>
      <w:r>
        <w:t>In addition, the rate of penalty applied in the 2022 Guidelines for non</w:t>
      </w:r>
      <w:r w:rsidR="00F34311">
        <w:noBreakHyphen/>
      </w:r>
      <w:r>
        <w:t xml:space="preserve">compliance </w:t>
      </w:r>
      <w:r w:rsidR="00C15F50">
        <w:t>remains</w:t>
      </w:r>
      <w:r>
        <w:t xml:space="preserve"> </w:t>
      </w:r>
      <w:r w:rsidR="00490228">
        <w:t xml:space="preserve">consistent with </w:t>
      </w:r>
      <w:r w:rsidR="00FC2647">
        <w:t xml:space="preserve">penalties applied for similar breaches </w:t>
      </w:r>
      <w:r w:rsidR="00490228">
        <w:t xml:space="preserve">in the Act. </w:t>
      </w:r>
      <w:r w:rsidR="00313836">
        <w:t xml:space="preserve">The level of penalty imposed is also consistent with the principles </w:t>
      </w:r>
      <w:r w:rsidR="00FC2647">
        <w:t xml:space="preserve">outlined in the </w:t>
      </w:r>
      <w:r w:rsidR="00E20DDE" w:rsidRPr="00E20DDE">
        <w:t>Attorney</w:t>
      </w:r>
      <w:r w:rsidR="00C15F50">
        <w:noBreakHyphen/>
      </w:r>
      <w:r w:rsidR="00E20DDE" w:rsidRPr="00E20DDE">
        <w:t>General's Department</w:t>
      </w:r>
      <w:r w:rsidR="00E20DDE">
        <w:t xml:space="preserve">’s </w:t>
      </w:r>
      <w:r w:rsidR="00FC2647" w:rsidRPr="00FC2647">
        <w:rPr>
          <w:i/>
          <w:iCs/>
        </w:rPr>
        <w:t>Guide to Framing Commonwealth Offences, Infringement Notices and Enforcement Powers</w:t>
      </w:r>
      <w:r w:rsidR="00FC2647">
        <w:rPr>
          <w:i/>
          <w:iCs/>
        </w:rPr>
        <w:t xml:space="preserve">. </w:t>
      </w:r>
      <w:r w:rsidR="00E20DDE" w:rsidRPr="00E20DDE">
        <w:t xml:space="preserve">This </w:t>
      </w:r>
      <w:r w:rsidR="00E20DDE">
        <w:t xml:space="preserve">guide </w:t>
      </w:r>
      <w:r w:rsidR="00C15F50">
        <w:t>is</w:t>
      </w:r>
      <w:r w:rsidR="00E20DDE">
        <w:t xml:space="preserve"> free</w:t>
      </w:r>
      <w:r w:rsidR="00C15F50">
        <w:t>ly</w:t>
      </w:r>
      <w:r w:rsidR="00E20DDE">
        <w:t xml:space="preserve"> </w:t>
      </w:r>
      <w:r w:rsidR="00C15F50">
        <w:t>available on the</w:t>
      </w:r>
      <w:r w:rsidR="00E20DDE">
        <w:t xml:space="preserve"> Attorney-General’s Department website.</w:t>
      </w:r>
    </w:p>
    <w:p w14:paraId="28FBB94C" w14:textId="113C0BCC" w:rsidR="00962B75" w:rsidRDefault="00962B75" w:rsidP="00962B75">
      <w:pPr>
        <w:spacing w:after="0"/>
        <w:ind w:right="91"/>
      </w:pPr>
      <w:r w:rsidRPr="00BA7769">
        <w:t>The</w:t>
      </w:r>
      <w:r w:rsidR="0078794F">
        <w:t xml:space="preserve"> </w:t>
      </w:r>
      <w:r w:rsidR="001047CA">
        <w:t>penalties</w:t>
      </w:r>
      <w:r w:rsidR="0078794F">
        <w:t xml:space="preserve"> in the 2022 Guidelines </w:t>
      </w:r>
      <w:r w:rsidRPr="00BA7769">
        <w:t xml:space="preserve">complement other administrative powers of </w:t>
      </w:r>
      <w:r w:rsidR="002C29C6">
        <w:t xml:space="preserve">the Commissioner </w:t>
      </w:r>
      <w:r w:rsidRPr="00BA7769">
        <w:t>that are contained in the</w:t>
      </w:r>
      <w:r w:rsidR="001047CA">
        <w:t xml:space="preserve"> </w:t>
      </w:r>
      <w:r w:rsidR="00075D3B" w:rsidRPr="00075D3B">
        <w:t>Act</w:t>
      </w:r>
      <w:r w:rsidRPr="00BA7769">
        <w:t xml:space="preserve">, such as those to suspend, remove or replace trustees of private ancillary funds that </w:t>
      </w:r>
      <w:r w:rsidR="001047CA">
        <w:t>intentionally disregard the guidelines</w:t>
      </w:r>
      <w:r w:rsidRPr="00BA7769">
        <w:t xml:space="preserve"> or other relevant Australian laws.</w:t>
      </w:r>
    </w:p>
    <w:p w14:paraId="33321D86" w14:textId="7A9A323F" w:rsidR="00922B5B" w:rsidRDefault="005D0021" w:rsidP="00922B5B">
      <w:r>
        <w:t xml:space="preserve">The amount for the </w:t>
      </w:r>
      <w:r w:rsidR="0097008E">
        <w:t>penalty</w:t>
      </w:r>
      <w:r w:rsidR="0078794F">
        <w:t xml:space="preserve"> </w:t>
      </w:r>
      <w:r>
        <w:t xml:space="preserve">outlined in the 2022 Guidelines is consistent with the principles established by the </w:t>
      </w:r>
      <w:r w:rsidRPr="00E9271D">
        <w:t>Australian Law Reform Commission</w:t>
      </w:r>
      <w:r>
        <w:t xml:space="preserve"> </w:t>
      </w:r>
      <w:r w:rsidRPr="00F2543D">
        <w:rPr>
          <w:i/>
          <w:iCs/>
        </w:rPr>
        <w:t>Report 95: Principled Regulation: Federal Civil and Administrative Penalties in Australia</w:t>
      </w:r>
      <w:r>
        <w:t>.</w:t>
      </w:r>
      <w:r w:rsidR="004F7BC7">
        <w:t xml:space="preserve"> </w:t>
      </w:r>
      <w:r w:rsidR="00922B5B">
        <w:t>Public confidence is built slowly but lost quickly.  The administrative penalties imposed for bre</w:t>
      </w:r>
      <w:r w:rsidR="0078794F">
        <w:t>a</w:t>
      </w:r>
      <w:r w:rsidR="00922B5B">
        <w:t xml:space="preserve">ches reflect a desire to protect public </w:t>
      </w:r>
      <w:r w:rsidR="00204AB3">
        <w:t xml:space="preserve">trust and </w:t>
      </w:r>
      <w:r w:rsidR="00922B5B">
        <w:t xml:space="preserve">confidence by </w:t>
      </w:r>
      <w:r w:rsidR="00204AB3">
        <w:t>ensuring</w:t>
      </w:r>
      <w:r w:rsidR="00922B5B">
        <w:t xml:space="preserve"> credible and effective deterrents</w:t>
      </w:r>
      <w:r w:rsidR="00204AB3">
        <w:t xml:space="preserve"> are in place</w:t>
      </w:r>
      <w:r w:rsidR="00922B5B">
        <w:t>.</w:t>
      </w:r>
    </w:p>
    <w:p w14:paraId="36EA8271" w14:textId="2427EC77" w:rsidR="007A4448" w:rsidRDefault="00922B5B" w:rsidP="00AB1834">
      <w:r>
        <w:t xml:space="preserve">Trust in the integrity of </w:t>
      </w:r>
      <w:r w:rsidR="0078794F">
        <w:t>a public ancillary</w:t>
      </w:r>
      <w:r>
        <w:t xml:space="preserve"> fund and the responsible persons administering that fund is critical, and the level of administrative penalt</w:t>
      </w:r>
      <w:r w:rsidR="00471BCD">
        <w:t>ies maintained</w:t>
      </w:r>
      <w:r>
        <w:t xml:space="preserve"> in the 2022 Guidelines </w:t>
      </w:r>
      <w:r w:rsidR="00471BCD">
        <w:t>continue</w:t>
      </w:r>
      <w:r w:rsidR="009D4E0D">
        <w:t>s to</w:t>
      </w:r>
      <w:r w:rsidR="00471BCD">
        <w:t xml:space="preserve"> </w:t>
      </w:r>
      <w:r>
        <w:t>reflect this.</w:t>
      </w:r>
    </w:p>
    <w:p w14:paraId="70C3E2EF" w14:textId="3462D051" w:rsidR="005B1D4E" w:rsidRPr="00B81080" w:rsidRDefault="00B81080" w:rsidP="00EA4DD8">
      <w:pPr>
        <w:spacing w:after="0"/>
        <w:ind w:right="91"/>
        <w:rPr>
          <w:b/>
          <w:bCs/>
          <w:u w:val="single"/>
        </w:rPr>
      </w:pPr>
      <w:r w:rsidRPr="00B81080">
        <w:rPr>
          <w:b/>
          <w:bCs/>
          <w:u w:val="single"/>
        </w:rPr>
        <w:t>Part 2—Rules for establishing and maintaining p</w:t>
      </w:r>
      <w:r w:rsidR="007D1779">
        <w:rPr>
          <w:b/>
          <w:bCs/>
          <w:u w:val="single"/>
        </w:rPr>
        <w:t>ublic</w:t>
      </w:r>
      <w:r w:rsidRPr="00B81080">
        <w:rPr>
          <w:b/>
          <w:bCs/>
          <w:u w:val="single"/>
        </w:rPr>
        <w:t xml:space="preserve"> ancillary funds as deductible gift recipients</w:t>
      </w:r>
    </w:p>
    <w:p w14:paraId="7FB21E62" w14:textId="3B914CF1" w:rsidR="00B81080" w:rsidRPr="008E4917" w:rsidRDefault="00B81080" w:rsidP="00EA4DD8">
      <w:pPr>
        <w:spacing w:after="0"/>
        <w:ind w:right="91"/>
        <w:rPr>
          <w:u w:val="single"/>
        </w:rPr>
      </w:pPr>
      <w:r w:rsidRPr="008E4917">
        <w:rPr>
          <w:u w:val="single"/>
        </w:rPr>
        <w:t>Sections 7 and 8 – Object and general principles</w:t>
      </w:r>
    </w:p>
    <w:p w14:paraId="4A945B6D" w14:textId="12D140BD" w:rsidR="00CC0FDE" w:rsidRDefault="00B81080" w:rsidP="00EA4DD8">
      <w:pPr>
        <w:spacing w:after="0"/>
        <w:ind w:right="91"/>
      </w:pPr>
      <w:r>
        <w:t>These sections replicate the corresponding provisions in the 2011 Guidelines but have been updated in accordance with current drafting practice.</w:t>
      </w:r>
    </w:p>
    <w:p w14:paraId="47951B3E" w14:textId="00AD3C2D" w:rsidR="00CC0FDE" w:rsidRDefault="00B81080" w:rsidP="00EA4DD8">
      <w:pPr>
        <w:spacing w:after="0"/>
        <w:ind w:right="91"/>
      </w:pPr>
      <w:r>
        <w:t>Section 7 provides that the object of Part 2 is to set minimum standards for the governance and conduct of p</w:t>
      </w:r>
      <w:r w:rsidR="00CC0FDE">
        <w:t>ublic</w:t>
      </w:r>
      <w:r>
        <w:t xml:space="preserve"> ancillary funds.</w:t>
      </w:r>
    </w:p>
    <w:p w14:paraId="5191D017" w14:textId="4C4B9338" w:rsidR="005B1D4E" w:rsidRDefault="00B81080" w:rsidP="00EA4DD8">
      <w:pPr>
        <w:spacing w:after="0"/>
        <w:ind w:right="91"/>
      </w:pPr>
      <w:r>
        <w:t xml:space="preserve">Section 8 establishes general principles </w:t>
      </w:r>
      <w:r w:rsidR="00B33710">
        <w:t xml:space="preserve">or objects </w:t>
      </w:r>
      <w:r>
        <w:t>which</w:t>
      </w:r>
      <w:r w:rsidR="00B33710">
        <w:t xml:space="preserve"> underpin</w:t>
      </w:r>
      <w:r>
        <w:t xml:space="preserve"> </w:t>
      </w:r>
      <w:r w:rsidR="00B33710">
        <w:t>rules contained within the guidelines</w:t>
      </w:r>
      <w:r>
        <w:t>.</w:t>
      </w:r>
    </w:p>
    <w:p w14:paraId="0A5B9647" w14:textId="76A0C77B" w:rsidR="006F4780" w:rsidRDefault="006F4780" w:rsidP="00EA4DD8">
      <w:pPr>
        <w:spacing w:after="0"/>
        <w:ind w:right="91"/>
      </w:pPr>
    </w:p>
    <w:p w14:paraId="131F1A1A" w14:textId="71542F3C" w:rsidR="000B6A38" w:rsidRPr="00B33710" w:rsidRDefault="000B6A38" w:rsidP="00EA4DD8">
      <w:pPr>
        <w:spacing w:after="0"/>
        <w:ind w:right="91"/>
        <w:rPr>
          <w:u w:val="single"/>
        </w:rPr>
      </w:pPr>
      <w:r w:rsidRPr="00B33710">
        <w:rPr>
          <w:u w:val="single"/>
        </w:rPr>
        <w:lastRenderedPageBreak/>
        <w:t>Sections 9, 10 and 11 – Establishing a public ancillary fund</w:t>
      </w:r>
    </w:p>
    <w:p w14:paraId="0CC5BB93" w14:textId="52008C35" w:rsidR="000F53DB" w:rsidRDefault="000B6A38" w:rsidP="00EA4DD8">
      <w:pPr>
        <w:spacing w:after="0"/>
        <w:ind w:right="91"/>
      </w:pPr>
      <w:r w:rsidRPr="000B6A38">
        <w:t>These sections replicate the corresponding provisions in the 20</w:t>
      </w:r>
      <w:r w:rsidR="000F53DB">
        <w:t>11</w:t>
      </w:r>
      <w:r w:rsidRPr="000B6A38">
        <w:t xml:space="preserve"> Guidelines that set out rules for establishing and operating a p</w:t>
      </w:r>
      <w:r w:rsidR="000F53DB">
        <w:t>ublic</w:t>
      </w:r>
      <w:r w:rsidRPr="000B6A38">
        <w:t xml:space="preserve"> ancillary fund but have been updated in accordance with current drafting practice.</w:t>
      </w:r>
    </w:p>
    <w:p w14:paraId="47F62BF4" w14:textId="331D9A93" w:rsidR="000F53DB" w:rsidRDefault="000B6A38" w:rsidP="00EA4DD8">
      <w:pPr>
        <w:spacing w:after="0"/>
        <w:ind w:right="91"/>
      </w:pPr>
      <w:r w:rsidRPr="000B6A38">
        <w:t>Section 9 provides that a p</w:t>
      </w:r>
      <w:r w:rsidR="000F53DB">
        <w:t xml:space="preserve">ublic </w:t>
      </w:r>
      <w:r w:rsidRPr="000B6A38">
        <w:t xml:space="preserve">ancillary fund must be established and maintained, under a will or an instrument of trust, as a valid trust. This provision no longer refers to ‘a valid trust under State law or Territory law’. The reference to State or Territory law has been removed because the trustee must comply with all relevant laws </w:t>
      </w:r>
      <w:r w:rsidR="00E10FBC">
        <w:t>about</w:t>
      </w:r>
      <w:r w:rsidRPr="000B6A38">
        <w:t xml:space="preserve"> a trust’s validity including common law, State law, Territory law, Commonwealth law and, where relevant, foreign law. The additional text merely created unnecessary confusion and was therefore removed (similar references to State or Territory law have also been removed </w:t>
      </w:r>
      <w:r w:rsidR="00B33710">
        <w:t>in</w:t>
      </w:r>
      <w:r w:rsidRPr="000B6A38">
        <w:t xml:space="preserve"> section 25).</w:t>
      </w:r>
    </w:p>
    <w:p w14:paraId="1E5A089C" w14:textId="11BFC7C8" w:rsidR="00606908" w:rsidRDefault="000B6A38" w:rsidP="00EA4DD8">
      <w:pPr>
        <w:spacing w:after="0"/>
        <w:ind w:right="91"/>
      </w:pPr>
      <w:r w:rsidRPr="000B6A38">
        <w:t>Section 10 provides that a p</w:t>
      </w:r>
      <w:r w:rsidR="000F53DB">
        <w:t>ublic</w:t>
      </w:r>
      <w:r w:rsidRPr="000B6A38">
        <w:t xml:space="preserve"> ancillary fund must be established and operated as a not-for-profit entity.</w:t>
      </w:r>
    </w:p>
    <w:p w14:paraId="589C1738" w14:textId="7637CEB1" w:rsidR="00193477" w:rsidRPr="007E7090" w:rsidRDefault="000B6A38" w:rsidP="00EA4DD8">
      <w:pPr>
        <w:spacing w:after="0"/>
        <w:ind w:right="91"/>
      </w:pPr>
      <w:r w:rsidRPr="000B6A38">
        <w:t>Section 11 provides that a p</w:t>
      </w:r>
      <w:r w:rsidR="00012F56">
        <w:t>ublic</w:t>
      </w:r>
      <w:r w:rsidRPr="000B6A38">
        <w:t xml:space="preserve"> ancillary fund must be established and operated in </w:t>
      </w:r>
      <w:r w:rsidR="008E1B90" w:rsidRPr="000B6A38">
        <w:t>Australia and</w:t>
      </w:r>
      <w:r w:rsidRPr="000B6A38">
        <w:t xml:space="preserve"> clarifies that this does not prevent </w:t>
      </w:r>
      <w:r w:rsidR="002873CF">
        <w:t>a public ancillary</w:t>
      </w:r>
      <w:r w:rsidRPr="000B6A38">
        <w:t xml:space="preserve"> fund from making a distribution to an eligible deductible gift recipient that operates outside Australia.</w:t>
      </w:r>
    </w:p>
    <w:p w14:paraId="174B8215" w14:textId="29EA404A" w:rsidR="00606908" w:rsidRPr="00B33710" w:rsidRDefault="00606908" w:rsidP="00EA4DD8">
      <w:pPr>
        <w:spacing w:after="0"/>
        <w:ind w:right="91"/>
        <w:rPr>
          <w:u w:val="single"/>
        </w:rPr>
      </w:pPr>
      <w:r w:rsidRPr="00B33710">
        <w:rPr>
          <w:u w:val="single"/>
        </w:rPr>
        <w:t>Section 12 – Trustees of p</w:t>
      </w:r>
      <w:r w:rsidR="00E10FBC" w:rsidRPr="00B33710">
        <w:rPr>
          <w:u w:val="single"/>
        </w:rPr>
        <w:t>ublic</w:t>
      </w:r>
      <w:r w:rsidRPr="00B33710">
        <w:rPr>
          <w:u w:val="single"/>
        </w:rPr>
        <w:t xml:space="preserve"> ancillary funds </w:t>
      </w:r>
    </w:p>
    <w:p w14:paraId="22682465" w14:textId="381A10B8" w:rsidR="00AB2BF3" w:rsidRDefault="00606908" w:rsidP="00EA4DD8">
      <w:pPr>
        <w:spacing w:after="0"/>
        <w:ind w:right="91"/>
      </w:pPr>
      <w:r w:rsidRPr="00606908">
        <w:t>This section replicates and consolidates the corresponding provisions in the 20</w:t>
      </w:r>
      <w:r>
        <w:t>11 Guidelines concerning trustees of public ancillary funds but has been updated in accordance with current drafting practice.</w:t>
      </w:r>
    </w:p>
    <w:p w14:paraId="208801C0" w14:textId="25A50403" w:rsidR="000B6A38" w:rsidRDefault="00606908" w:rsidP="00EA4DD8">
      <w:pPr>
        <w:spacing w:after="0"/>
        <w:ind w:right="91"/>
      </w:pPr>
      <w:r>
        <w:t xml:space="preserve">In addition, a definition of ‘responsible person’ has been included at </w:t>
      </w:r>
      <w:r w:rsidR="00B33710">
        <w:t>sub</w:t>
      </w:r>
      <w:r w:rsidRPr="00F34311">
        <w:t>section 12(7)</w:t>
      </w:r>
      <w:r>
        <w:t xml:space="preserve"> to improve clarity and readability. </w:t>
      </w:r>
    </w:p>
    <w:p w14:paraId="4ED98304" w14:textId="0E27CEA2" w:rsidR="00910199" w:rsidRPr="00B33710" w:rsidRDefault="00910199" w:rsidP="00EA4DD8">
      <w:pPr>
        <w:spacing w:after="0"/>
        <w:ind w:right="91"/>
        <w:rPr>
          <w:u w:val="single"/>
        </w:rPr>
      </w:pPr>
      <w:r w:rsidRPr="00B33710">
        <w:rPr>
          <w:u w:val="single"/>
        </w:rPr>
        <w:t>Section 13 and 14 – Governing rules of public ancillary funds</w:t>
      </w:r>
    </w:p>
    <w:p w14:paraId="28E3A234" w14:textId="3FD2743D" w:rsidR="00B33710" w:rsidRDefault="00910199" w:rsidP="00EA4DD8">
      <w:pPr>
        <w:spacing w:after="0"/>
        <w:ind w:right="91"/>
      </w:pPr>
      <w:r>
        <w:t>These sections replicate the corresponding provisions in the 2011 Guidelines but have been updated in accordance with current drafting practice.</w:t>
      </w:r>
    </w:p>
    <w:p w14:paraId="2C398AE0" w14:textId="2AA746CE" w:rsidR="00910199" w:rsidRDefault="00910199" w:rsidP="00EA4DD8">
      <w:pPr>
        <w:spacing w:after="0"/>
        <w:ind w:right="91"/>
      </w:pPr>
      <w:r>
        <w:t xml:space="preserve">Section 13 requires a trustee to notify the Commissioner of any changes </w:t>
      </w:r>
      <w:r w:rsidR="002873CF">
        <w:t>a public ancillary</w:t>
      </w:r>
      <w:r>
        <w:t xml:space="preserve"> fund’s </w:t>
      </w:r>
      <w:proofErr w:type="gramStart"/>
      <w:r>
        <w:t>governing rules</w:t>
      </w:r>
      <w:proofErr w:type="gramEnd"/>
      <w:r>
        <w:t>.</w:t>
      </w:r>
    </w:p>
    <w:p w14:paraId="61A70650" w14:textId="44481D5F" w:rsidR="00606908" w:rsidRDefault="00910199" w:rsidP="00EA4DD8">
      <w:pPr>
        <w:spacing w:after="0"/>
        <w:ind w:right="91"/>
      </w:pPr>
      <w:r>
        <w:t>Section 14 prohibits a public ancillary fund from indemnifying a trustee against losses due to their decisions in certain situations where the trustee’s behaviour is considered highly inappropriate.</w:t>
      </w:r>
    </w:p>
    <w:p w14:paraId="48579374" w14:textId="15B2DDC1" w:rsidR="0002111C" w:rsidRPr="00B33710" w:rsidRDefault="007E5F87" w:rsidP="00EA4DD8">
      <w:pPr>
        <w:spacing w:after="0"/>
        <w:ind w:right="91"/>
        <w:rPr>
          <w:u w:val="single"/>
        </w:rPr>
      </w:pPr>
      <w:r w:rsidRPr="00B33710">
        <w:rPr>
          <w:u w:val="single"/>
        </w:rPr>
        <w:t>Section 15 – Minimum annual distribution</w:t>
      </w:r>
    </w:p>
    <w:p w14:paraId="047DB8EB" w14:textId="396C2CC5" w:rsidR="00E63D94" w:rsidRDefault="0002111C" w:rsidP="00EA4DD8">
      <w:pPr>
        <w:spacing w:after="0"/>
        <w:ind w:right="91"/>
      </w:pPr>
      <w:r>
        <w:t>This section replicates the corresponding provision in the 20</w:t>
      </w:r>
      <w:r w:rsidR="00E63D94">
        <w:t>11</w:t>
      </w:r>
      <w:r>
        <w:t xml:space="preserve"> </w:t>
      </w:r>
      <w:r w:rsidR="00E63D94">
        <w:t>Guidelines but</w:t>
      </w:r>
      <w:r>
        <w:t xml:space="preserve"> has been updated in line with current drafting practice.</w:t>
      </w:r>
      <w:r w:rsidR="00B33710">
        <w:t xml:space="preserve">  A further change from 2011 Guidelines is also outlined below.</w:t>
      </w:r>
    </w:p>
    <w:p w14:paraId="5B8F867C" w14:textId="5F7B36D1" w:rsidR="006A5C50" w:rsidRPr="006A5C50" w:rsidRDefault="006A5C50" w:rsidP="006A5C50">
      <w:pPr>
        <w:spacing w:after="0"/>
        <w:ind w:right="91"/>
        <w:rPr>
          <w:bCs/>
        </w:rPr>
      </w:pPr>
      <w:r w:rsidRPr="006A5C50">
        <w:rPr>
          <w:bCs/>
        </w:rPr>
        <w:t>Section 15 requires a public ancillary fund to distribute a proportion of its income and assets each year to eligible deductible gift recipients. An important change is the inclusion of a definition of ‘distribution’ in subsection 15(4) to improve clarity (this definition is also referenced in section</w:t>
      </w:r>
      <w:r>
        <w:rPr>
          <w:bCs/>
        </w:rPr>
        <w:t xml:space="preserve"> </w:t>
      </w:r>
      <w:r w:rsidRPr="006A5C50">
        <w:rPr>
          <w:bCs/>
        </w:rPr>
        <w:t>5). The definition does not alter the substantive effect of the rewritten section</w:t>
      </w:r>
    </w:p>
    <w:p w14:paraId="06E3CAB5" w14:textId="6B833810" w:rsidR="008833BD" w:rsidRDefault="008833BD" w:rsidP="00EA4DD8">
      <w:pPr>
        <w:spacing w:after="0"/>
        <w:ind w:right="91"/>
      </w:pPr>
      <w:r>
        <w:t xml:space="preserve">A key change in the 2022 Guidelines is that </w:t>
      </w:r>
      <w:r w:rsidRPr="0042436A">
        <w:t>section 15</w:t>
      </w:r>
      <w:r w:rsidR="00CC1AFC">
        <w:t xml:space="preserve"> now</w:t>
      </w:r>
      <w:r>
        <w:t xml:space="preserve"> provides for a public ancillary fund seeking a reduction in</w:t>
      </w:r>
      <w:r w:rsidR="00CC1AFC">
        <w:t xml:space="preserve"> their</w:t>
      </w:r>
      <w:r>
        <w:t xml:space="preserve"> annual distribution rate</w:t>
      </w:r>
      <w:r w:rsidR="00CC1AFC">
        <w:t>,</w:t>
      </w:r>
      <w:r>
        <w:t xml:space="preserve"> </w:t>
      </w:r>
      <w:r w:rsidR="00CC1AFC">
        <w:t>and that</w:t>
      </w:r>
      <w:r>
        <w:t xml:space="preserve"> is dissatisfied with a decision of the Commissioner</w:t>
      </w:r>
      <w:r w:rsidR="009D4E0D">
        <w:t xml:space="preserve"> to reject a request for a distribution rate below the minimum annual distribution rate</w:t>
      </w:r>
      <w:r w:rsidR="00CC1AFC">
        <w:t>, with the ability to seek</w:t>
      </w:r>
      <w:r>
        <w:t xml:space="preserve"> merits </w:t>
      </w:r>
      <w:r>
        <w:lastRenderedPageBreak/>
        <w:t>review of this decision</w:t>
      </w:r>
      <w:r w:rsidR="00CC1AFC">
        <w:t>, in accordance with the standard procedures for taxation decisions set out in Part IVC of the Act</w:t>
      </w:r>
      <w:r>
        <w:t>.</w:t>
      </w:r>
    </w:p>
    <w:p w14:paraId="7E074E9F" w14:textId="6B945ED3" w:rsidR="00606908" w:rsidRDefault="00C87351" w:rsidP="00EA4DD8">
      <w:pPr>
        <w:spacing w:after="0"/>
        <w:ind w:right="91"/>
      </w:pPr>
      <w:r>
        <w:t xml:space="preserve">Similarly, amendments set out in Schedule 1 </w:t>
      </w:r>
      <w:r w:rsidR="00B82653">
        <w:t>to</w:t>
      </w:r>
      <w:r>
        <w:t xml:space="preserve"> the </w:t>
      </w:r>
      <w:r w:rsidR="00584916">
        <w:t>2022</w:t>
      </w:r>
      <w:r>
        <w:t xml:space="preserve"> Guidelines provide private ancillary fund</w:t>
      </w:r>
      <w:r w:rsidR="002C29C6">
        <w:t>s</w:t>
      </w:r>
      <w:r>
        <w:t xml:space="preserve"> </w:t>
      </w:r>
      <w:r w:rsidR="00B82653">
        <w:t>with</w:t>
      </w:r>
      <w:r w:rsidR="008B76C0">
        <w:t xml:space="preserve"> the ability to seek</w:t>
      </w:r>
      <w:r w:rsidR="00B82653">
        <w:t xml:space="preserve"> </w:t>
      </w:r>
      <w:r>
        <w:t xml:space="preserve">merits review </w:t>
      </w:r>
      <w:r w:rsidR="00B82653">
        <w:t xml:space="preserve">in relation to </w:t>
      </w:r>
      <w:r>
        <w:t xml:space="preserve">Commissioner’s decision </w:t>
      </w:r>
      <w:r w:rsidR="00E10FBC">
        <w:t>on</w:t>
      </w:r>
      <w:r>
        <w:t xml:space="preserve"> </w:t>
      </w:r>
      <w:r w:rsidRPr="00C87351">
        <w:t>applications for a lower minimum annual distribution rate.</w:t>
      </w:r>
      <w:r>
        <w:t xml:space="preserve"> </w:t>
      </w:r>
    </w:p>
    <w:p w14:paraId="6E8A593C" w14:textId="3F8F60D5" w:rsidR="00B12E1C" w:rsidRPr="00B82653" w:rsidRDefault="00B12E1C" w:rsidP="00EA4DD8">
      <w:pPr>
        <w:spacing w:after="0"/>
        <w:ind w:right="91"/>
        <w:rPr>
          <w:u w:val="single"/>
        </w:rPr>
      </w:pPr>
      <w:r w:rsidRPr="00B82653">
        <w:rPr>
          <w:u w:val="single"/>
        </w:rPr>
        <w:t>Section 16 – Valuations</w:t>
      </w:r>
    </w:p>
    <w:p w14:paraId="7B0E2544" w14:textId="325DC8E9" w:rsidR="00606908" w:rsidRDefault="00B12E1C" w:rsidP="00A66985">
      <w:pPr>
        <w:spacing w:after="0"/>
        <w:ind w:right="91"/>
        <w:jc w:val="both"/>
      </w:pPr>
      <w:r>
        <w:t>This section replicates and consolidates the</w:t>
      </w:r>
      <w:r w:rsidR="00A66985">
        <w:t xml:space="preserve"> </w:t>
      </w:r>
      <w:r w:rsidR="00C11E62">
        <w:t xml:space="preserve">corresponding provision </w:t>
      </w:r>
      <w:r>
        <w:t>in the 2011 Guidelines that prescribe procedures for working out the market value of a public ancillary fund’s assets but has been updated in accordance with current drafting practice.</w:t>
      </w:r>
    </w:p>
    <w:p w14:paraId="560AB563" w14:textId="4738CEB1" w:rsidR="006B000C" w:rsidRPr="00B82653" w:rsidRDefault="00B12E1C" w:rsidP="00EA4DD8">
      <w:pPr>
        <w:spacing w:after="0"/>
        <w:ind w:right="91"/>
        <w:rPr>
          <w:u w:val="single"/>
        </w:rPr>
      </w:pPr>
      <w:r w:rsidRPr="00B82653">
        <w:rPr>
          <w:u w:val="single"/>
        </w:rPr>
        <w:t>Sections 17, 18 and 19 – Record keeping, financial reporting and audits</w:t>
      </w:r>
    </w:p>
    <w:p w14:paraId="54DEC366" w14:textId="695E2A60" w:rsidR="006B000C" w:rsidRDefault="0099357C" w:rsidP="00EA4DD8">
      <w:pPr>
        <w:spacing w:after="0"/>
        <w:ind w:right="91"/>
        <w:rPr>
          <w:i/>
          <w:iCs/>
        </w:rPr>
      </w:pPr>
      <w:r>
        <w:t xml:space="preserve">These sections replicate and consolidate the </w:t>
      </w:r>
      <w:r w:rsidRPr="0028222C">
        <w:t>corresponding</w:t>
      </w:r>
      <w:r>
        <w:t xml:space="preserve"> provisions in the 2011 Guidelines that set out the rules for record keeping, financial reporting and audits, but have been updated to reflect current drafting practice and to provide greater consistency with </w:t>
      </w:r>
      <w:r w:rsidR="000C2A85">
        <w:t xml:space="preserve">the </w:t>
      </w:r>
      <w:r w:rsidRPr="0099357C">
        <w:rPr>
          <w:i/>
          <w:iCs/>
        </w:rPr>
        <w:t>Taxation Administration (Private Ancillary Fund) Guidelines 201</w:t>
      </w:r>
      <w:r w:rsidR="0028222C">
        <w:rPr>
          <w:i/>
          <w:iCs/>
        </w:rPr>
        <w:t>9</w:t>
      </w:r>
      <w:r>
        <w:rPr>
          <w:i/>
          <w:iCs/>
        </w:rPr>
        <w:t>.</w:t>
      </w:r>
    </w:p>
    <w:p w14:paraId="5258E60A" w14:textId="0D9D40AA" w:rsidR="00CF360B" w:rsidRDefault="00AF0750" w:rsidP="00AF0750">
      <w:r w:rsidRPr="00741817">
        <w:t xml:space="preserve">The </w:t>
      </w:r>
      <w:r w:rsidR="00F9299F">
        <w:t>penalties</w:t>
      </w:r>
      <w:r>
        <w:t xml:space="preserve"> in the 2022 Guidelines recognise the important place directors and responsible persons have in the operation of a charity. They further support the policy objective of protecting public trust and confidence in the charitable sector. This is consistent with the reforms arising from the </w:t>
      </w:r>
      <w:r w:rsidR="0021119B" w:rsidRPr="00AF0750">
        <w:rPr>
          <w:i/>
          <w:iCs/>
        </w:rPr>
        <w:t>Strengthening for Purpose: Australian Charities and Not-for-profits Commission Legislative Review 2018</w:t>
      </w:r>
      <w:r>
        <w:rPr>
          <w:i/>
          <w:iCs/>
        </w:rPr>
        <w:t xml:space="preserve"> </w:t>
      </w:r>
      <w:r w:rsidRPr="00AF0750">
        <w:t>(the Review)</w:t>
      </w:r>
      <w:r>
        <w:t xml:space="preserve">. </w:t>
      </w:r>
    </w:p>
    <w:p w14:paraId="7E9B97CD" w14:textId="755234FB" w:rsidR="00AF0750" w:rsidRPr="00AA03C3" w:rsidRDefault="00AF0750" w:rsidP="00EA4DD8">
      <w:pPr>
        <w:spacing w:after="0"/>
        <w:ind w:right="91"/>
        <w:rPr>
          <w:i/>
          <w:iCs/>
        </w:rPr>
      </w:pPr>
      <w:r>
        <w:t>The fines in the 2022 Guidelines are consistent with the</w:t>
      </w:r>
      <w:r w:rsidRPr="00AF0750">
        <w:t xml:space="preserve"> </w:t>
      </w:r>
      <w:r>
        <w:t xml:space="preserve">principles and amounts recommended in the </w:t>
      </w:r>
      <w:r w:rsidRPr="00AF0750">
        <w:t>Attorney General’s Department’s</w:t>
      </w:r>
      <w:r>
        <w:t xml:space="preserve"> </w:t>
      </w:r>
      <w:r w:rsidRPr="00AF0750">
        <w:rPr>
          <w:i/>
          <w:iCs/>
        </w:rPr>
        <w:t>Guide to Framing Commonwealth Offences, Infringement Notices and Enforcement Powers (the Guide to Framing Commonwealth Offences)</w:t>
      </w:r>
      <w:r>
        <w:rPr>
          <w:i/>
          <w:iCs/>
        </w:rPr>
        <w:t>.</w:t>
      </w:r>
      <w:r>
        <w:t xml:space="preserve"> </w:t>
      </w:r>
      <w:r w:rsidRPr="005A0E28">
        <w:rPr>
          <w:i/>
          <w:iCs/>
        </w:rPr>
        <w:t>Penalty Comparisons across Commonwealth Legislation</w:t>
      </w:r>
      <w:r>
        <w:t xml:space="preserve"> are found in Annexure A of </w:t>
      </w:r>
      <w:r w:rsidRPr="00AF0750">
        <w:t xml:space="preserve">the </w:t>
      </w:r>
      <w:r w:rsidRPr="00AA03C3">
        <w:rPr>
          <w:i/>
          <w:iCs/>
        </w:rPr>
        <w:t xml:space="preserve">Guide to Framing Commonwealth Offences. </w:t>
      </w:r>
    </w:p>
    <w:p w14:paraId="4EEB8648" w14:textId="4E16B466" w:rsidR="00A66985" w:rsidRPr="00F9299F" w:rsidRDefault="0099357C" w:rsidP="00EA4DD8">
      <w:pPr>
        <w:spacing w:after="0"/>
        <w:ind w:right="91"/>
        <w:rPr>
          <w:i/>
          <w:iCs/>
          <w:u w:val="single"/>
        </w:rPr>
      </w:pPr>
      <w:r w:rsidRPr="00F9299F">
        <w:rPr>
          <w:u w:val="single"/>
        </w:rPr>
        <w:t>Sections 20 and 21 – Investment strategy and limitations</w:t>
      </w:r>
    </w:p>
    <w:p w14:paraId="769F9E97" w14:textId="1768775F" w:rsidR="00A66985" w:rsidRDefault="0099357C" w:rsidP="00EA4DD8">
      <w:pPr>
        <w:spacing w:after="0"/>
        <w:ind w:right="91"/>
      </w:pPr>
      <w:r>
        <w:t>These sections replicate and consolidate the corresponding provisions in the 20</w:t>
      </w:r>
      <w:r w:rsidR="00F1052D">
        <w:t xml:space="preserve">11 </w:t>
      </w:r>
      <w:r>
        <w:t>Guidelines that require the trustee of a p</w:t>
      </w:r>
      <w:r w:rsidR="00F1052D">
        <w:t>ublic</w:t>
      </w:r>
      <w:r>
        <w:t xml:space="preserve"> ancillary fund to implement an investment strategy and comply with certain investment limitations to protect a fund’s philanthropic </w:t>
      </w:r>
      <w:r w:rsidR="00C77BC0">
        <w:t>assets but</w:t>
      </w:r>
      <w:r>
        <w:t xml:space="preserve"> have been updated in line with current drafting practice.</w:t>
      </w:r>
    </w:p>
    <w:p w14:paraId="1EDF709D" w14:textId="05B43BC2" w:rsidR="00A66985" w:rsidRPr="00F9299F" w:rsidRDefault="00F1052D" w:rsidP="00EA4DD8">
      <w:pPr>
        <w:spacing w:after="0"/>
        <w:ind w:right="91"/>
        <w:rPr>
          <w:u w:val="single"/>
        </w:rPr>
      </w:pPr>
      <w:r w:rsidRPr="00F9299F">
        <w:rPr>
          <w:u w:val="single"/>
        </w:rPr>
        <w:t>Section 22 – Uncommercial transactions and benefits to founders and donors</w:t>
      </w:r>
    </w:p>
    <w:p w14:paraId="57A0397D" w14:textId="6CAD3F6C" w:rsidR="00922B5B" w:rsidRDefault="00F1052D" w:rsidP="00EA4DD8">
      <w:pPr>
        <w:spacing w:after="0"/>
        <w:ind w:right="91"/>
      </w:pPr>
      <w:r>
        <w:t xml:space="preserve">This section replicates and consolidates the corresponding provisions in the 2011 Guidelines that generally prohibit the trustee of a public ancillary fund from </w:t>
      </w:r>
      <w:proofErr w:type="gramStart"/>
      <w:r>
        <w:t>entering into</w:t>
      </w:r>
      <w:proofErr w:type="gramEnd"/>
      <w:r>
        <w:t xml:space="preserve"> uncommercial transactions or providing benefits to founders and donors but has been updated in accordance with current drafting practice.</w:t>
      </w:r>
    </w:p>
    <w:p w14:paraId="204BE0AF" w14:textId="739EAD6C" w:rsidR="00E87CDE" w:rsidRPr="00F9299F" w:rsidRDefault="00E87CDE" w:rsidP="00EA4DD8">
      <w:pPr>
        <w:spacing w:after="0"/>
        <w:ind w:right="91"/>
        <w:rPr>
          <w:u w:val="single"/>
        </w:rPr>
      </w:pPr>
      <w:r w:rsidRPr="00F9299F">
        <w:rPr>
          <w:u w:val="single"/>
        </w:rPr>
        <w:t>Section 23 – Fees and expenses</w:t>
      </w:r>
    </w:p>
    <w:p w14:paraId="5281D112" w14:textId="04229F9C" w:rsidR="00A66985" w:rsidRDefault="00E87CDE" w:rsidP="00EA4DD8">
      <w:pPr>
        <w:spacing w:after="0"/>
        <w:ind w:right="91"/>
      </w:pPr>
      <w:r w:rsidRPr="00E87CDE">
        <w:t>This section replicates the corresponding provision in the 20</w:t>
      </w:r>
      <w:r>
        <w:t>11</w:t>
      </w:r>
      <w:r w:rsidRPr="00E87CDE">
        <w:t xml:space="preserve"> Guidelines that allows a trustee of a p</w:t>
      </w:r>
      <w:r>
        <w:t>ublic</w:t>
      </w:r>
      <w:r w:rsidRPr="00E87CDE">
        <w:t xml:space="preserve"> ancillary fund to be reimbursed or remunerated out of </w:t>
      </w:r>
      <w:r w:rsidR="002873CF">
        <w:t xml:space="preserve">a public ancillary </w:t>
      </w:r>
      <w:r w:rsidRPr="00E87CDE">
        <w:t>fund’s income or capital but has been updated in accordance with current drafting practice.</w:t>
      </w:r>
    </w:p>
    <w:p w14:paraId="3F51C757" w14:textId="77777777" w:rsidR="0061381E" w:rsidRDefault="0061381E" w:rsidP="00EA4DD8">
      <w:pPr>
        <w:spacing w:after="0"/>
        <w:ind w:right="91"/>
      </w:pPr>
    </w:p>
    <w:p w14:paraId="0EED931B" w14:textId="658A6D69" w:rsidR="00E87CDE" w:rsidRPr="00F9299F" w:rsidRDefault="00E87CDE" w:rsidP="00EA4DD8">
      <w:pPr>
        <w:spacing w:after="0"/>
        <w:ind w:right="91"/>
        <w:rPr>
          <w:u w:val="single"/>
        </w:rPr>
      </w:pPr>
      <w:r w:rsidRPr="00F9299F">
        <w:rPr>
          <w:u w:val="single"/>
        </w:rPr>
        <w:lastRenderedPageBreak/>
        <w:t>Section 24 – Donors</w:t>
      </w:r>
    </w:p>
    <w:p w14:paraId="0B98B085" w14:textId="0A94502E" w:rsidR="00606908" w:rsidRDefault="00E87CDE" w:rsidP="00EA4DD8">
      <w:pPr>
        <w:spacing w:after="0"/>
        <w:ind w:right="91"/>
      </w:pPr>
      <w:r>
        <w:t>This section replicates and consolidates the corresponding provisions in the 2011 Guidelines.</w:t>
      </w:r>
    </w:p>
    <w:p w14:paraId="271ACF94" w14:textId="6476EC27" w:rsidR="00EE1641" w:rsidRDefault="00AA52D2" w:rsidP="00EA4DD8">
      <w:pPr>
        <w:spacing w:after="0"/>
        <w:ind w:right="91"/>
      </w:pPr>
      <w:r>
        <w:t xml:space="preserve">A public fund is public by nature, and this section makes clear that the public must be regularly invited to contribute to </w:t>
      </w:r>
      <w:r w:rsidR="002873CF">
        <w:t>a public ancillary</w:t>
      </w:r>
      <w:r>
        <w:t xml:space="preserve"> fund. </w:t>
      </w:r>
      <w:r w:rsidR="00A07306">
        <w:t xml:space="preserve">Failure to </w:t>
      </w:r>
      <w:r w:rsidR="00030A4F">
        <w:t>compl</w:t>
      </w:r>
      <w:r w:rsidR="00A07306">
        <w:t>y</w:t>
      </w:r>
      <w:r>
        <w:t xml:space="preserve"> with this directive will result in 30 penalty units, </w:t>
      </w:r>
      <w:r w:rsidR="00F9299F">
        <w:t>which is an addition from the</w:t>
      </w:r>
      <w:r>
        <w:t xml:space="preserve"> 20</w:t>
      </w:r>
      <w:r w:rsidR="00F9299F">
        <w:t>11</w:t>
      </w:r>
      <w:r>
        <w:t xml:space="preserve"> Guidelines</w:t>
      </w:r>
      <w:r w:rsidR="00EE1641">
        <w:t>.</w:t>
      </w:r>
    </w:p>
    <w:p w14:paraId="2517B305" w14:textId="4191E818" w:rsidR="00F46491" w:rsidRDefault="000B59A2" w:rsidP="00EA4DD8">
      <w:pPr>
        <w:spacing w:after="0"/>
        <w:ind w:right="91"/>
      </w:pPr>
      <w:r>
        <w:t>Th</w:t>
      </w:r>
      <w:r w:rsidR="00F9299F">
        <w:t>e</w:t>
      </w:r>
      <w:r>
        <w:t xml:space="preserve"> </w:t>
      </w:r>
      <w:r w:rsidR="00F9299F">
        <w:t xml:space="preserve">introduction of a specific administrative </w:t>
      </w:r>
      <w:r>
        <w:t xml:space="preserve">penalty </w:t>
      </w:r>
      <w:r w:rsidR="00F9299F">
        <w:t xml:space="preserve">amount for this requirement </w:t>
      </w:r>
      <w:r>
        <w:t xml:space="preserve">reflects the importance of a public fund being </w:t>
      </w:r>
      <w:r w:rsidR="00F9299F">
        <w:t xml:space="preserve">open, </w:t>
      </w:r>
      <w:r w:rsidR="00075D3B">
        <w:t>accountable,</w:t>
      </w:r>
      <w:r w:rsidR="00A53A07">
        <w:t xml:space="preserve"> and</w:t>
      </w:r>
      <w:r w:rsidR="00F9299F">
        <w:t xml:space="preserve"> marketed as </w:t>
      </w:r>
      <w:r>
        <w:t>public.</w:t>
      </w:r>
      <w:r w:rsidR="00DE12A1">
        <w:t xml:space="preserve"> This is a fundamental and critical tenet of a public ancillary fund. </w:t>
      </w:r>
      <w:r>
        <w:t xml:space="preserve"> Awareness and trust are critical for public ancillary </w:t>
      </w:r>
      <w:proofErr w:type="gramStart"/>
      <w:r>
        <w:t>funds</w:t>
      </w:r>
      <w:proofErr w:type="gramEnd"/>
      <w:r>
        <w:t xml:space="preserve"> and both are linked. Higher awareness and knowledge of the fund and its activities can </w:t>
      </w:r>
      <w:r w:rsidR="00C86530">
        <w:t xml:space="preserve">contribute to higher trust. The importance of trust in the charitable giving sector is demonstrated in </w:t>
      </w:r>
      <w:r w:rsidR="00833E71">
        <w:t xml:space="preserve">the </w:t>
      </w:r>
      <w:r w:rsidR="00C86530">
        <w:t xml:space="preserve">paragraphs above </w:t>
      </w:r>
      <w:r w:rsidR="00833E71">
        <w:t xml:space="preserve">under </w:t>
      </w:r>
      <w:r w:rsidR="00F9299F">
        <w:t>the explanation for s</w:t>
      </w:r>
      <w:r w:rsidR="00C86530">
        <w:t>ection 6. The Report makes clear that trust in the charitable giving sector is in decline.</w:t>
      </w:r>
    </w:p>
    <w:p w14:paraId="65C44F6A" w14:textId="3E7DF72B" w:rsidR="00C86530" w:rsidRDefault="00F46491" w:rsidP="00EA4DD8">
      <w:pPr>
        <w:spacing w:after="0"/>
        <w:ind w:right="91"/>
      </w:pPr>
      <w:r>
        <w:t xml:space="preserve">The amount of penalty units is set at a level to increase accountability, awareness, and integrity. It </w:t>
      </w:r>
      <w:r w:rsidR="00F64F75">
        <w:t xml:space="preserve">is </w:t>
      </w:r>
      <w:r>
        <w:t xml:space="preserve">also </w:t>
      </w:r>
      <w:r w:rsidR="00A11EF1">
        <w:t xml:space="preserve">consistent with similar </w:t>
      </w:r>
      <w:r w:rsidR="00456E5A">
        <w:t>offences and bre</w:t>
      </w:r>
      <w:r w:rsidR="00833E71">
        <w:t>a</w:t>
      </w:r>
      <w:r w:rsidR="00456E5A">
        <w:t xml:space="preserve">ches in the </w:t>
      </w:r>
      <w:r w:rsidR="008B76C0" w:rsidRPr="008B76C0">
        <w:t xml:space="preserve">Act </w:t>
      </w:r>
      <w:r w:rsidR="00D27562" w:rsidRPr="00D27562">
        <w:t>and the</w:t>
      </w:r>
      <w:r w:rsidR="00D27562">
        <w:rPr>
          <w:i/>
          <w:iCs/>
        </w:rPr>
        <w:t xml:space="preserve"> Corporations Act 2001</w:t>
      </w:r>
      <w:r w:rsidR="00456E5A">
        <w:rPr>
          <w:i/>
          <w:iCs/>
        </w:rPr>
        <w:t xml:space="preserve">. </w:t>
      </w:r>
      <w:r w:rsidR="00456E5A">
        <w:t xml:space="preserve">Further discussion of the rate of penalties can be found in the </w:t>
      </w:r>
      <w:r w:rsidR="0016704D">
        <w:t>explanation for</w:t>
      </w:r>
      <w:r w:rsidR="00D27562">
        <w:t xml:space="preserve"> </w:t>
      </w:r>
      <w:r w:rsidR="00456E5A">
        <w:t>section 6.</w:t>
      </w:r>
    </w:p>
    <w:p w14:paraId="654C9A10" w14:textId="6BC76960" w:rsidR="006A5C50" w:rsidRDefault="006A5C50" w:rsidP="00EA4DD8">
      <w:pPr>
        <w:spacing w:after="0"/>
        <w:ind w:right="91"/>
      </w:pPr>
      <w:r w:rsidRPr="006A5C50">
        <w:rPr>
          <w:bCs/>
        </w:rPr>
        <w:t xml:space="preserve">Section 30-228 of the </w:t>
      </w:r>
      <w:r w:rsidRPr="006A5C50">
        <w:rPr>
          <w:bCs/>
          <w:i/>
          <w:iCs/>
        </w:rPr>
        <w:t>Income Tax Assessment Act 1997</w:t>
      </w:r>
      <w:r w:rsidRPr="006A5C50">
        <w:rPr>
          <w:bCs/>
        </w:rPr>
        <w:t xml:space="preserve"> provides further rules about receipts </w:t>
      </w:r>
      <w:r w:rsidR="00B920D4">
        <w:rPr>
          <w:bCs/>
        </w:rPr>
        <w:t>for</w:t>
      </w:r>
      <w:r w:rsidRPr="006A5C50">
        <w:rPr>
          <w:bCs/>
        </w:rPr>
        <w:t xml:space="preserve"> deductible gift recipient.</w:t>
      </w:r>
    </w:p>
    <w:p w14:paraId="4DD8A631" w14:textId="032B22D1" w:rsidR="00E87CDE" w:rsidRPr="0016704D" w:rsidRDefault="001F6875" w:rsidP="00EA4DD8">
      <w:pPr>
        <w:spacing w:after="0"/>
        <w:ind w:right="91"/>
        <w:rPr>
          <w:u w:val="single"/>
        </w:rPr>
      </w:pPr>
      <w:r w:rsidRPr="0016704D">
        <w:rPr>
          <w:u w:val="single"/>
        </w:rPr>
        <w:t>Section 25 – Compliance with all relevant laws</w:t>
      </w:r>
    </w:p>
    <w:p w14:paraId="08DAEC9A" w14:textId="7FCC891E" w:rsidR="001F6875" w:rsidRDefault="001F6875" w:rsidP="00EA4DD8">
      <w:pPr>
        <w:spacing w:after="0"/>
        <w:ind w:right="91"/>
      </w:pPr>
      <w:r w:rsidRPr="001F6875">
        <w:t>This section replicates the corresponding provisions in the 20</w:t>
      </w:r>
      <w:r>
        <w:t xml:space="preserve">11 </w:t>
      </w:r>
      <w:r w:rsidRPr="001F6875">
        <w:t>Guidelines that require the trustee of a p</w:t>
      </w:r>
      <w:r>
        <w:t xml:space="preserve">ublic </w:t>
      </w:r>
      <w:r w:rsidRPr="001F6875">
        <w:t xml:space="preserve">ancillary fund to comply and ensure </w:t>
      </w:r>
      <w:r w:rsidR="002873CF">
        <w:t>a public ancillary</w:t>
      </w:r>
      <w:r w:rsidRPr="001F6875">
        <w:t xml:space="preserve"> fund compli</w:t>
      </w:r>
      <w:r w:rsidR="000F38D5">
        <w:t>es</w:t>
      </w:r>
      <w:r w:rsidRPr="001F6875">
        <w:t xml:space="preserve"> with all relevant Australian </w:t>
      </w:r>
      <w:r w:rsidR="00C77BC0" w:rsidRPr="001F6875">
        <w:t>laws</w:t>
      </w:r>
      <w:r w:rsidR="00C77BC0">
        <w:t xml:space="preserve"> but</w:t>
      </w:r>
      <w:r w:rsidRPr="001F6875">
        <w:t xml:space="preserve"> has been updated in accordance with current drafting practice. </w:t>
      </w:r>
    </w:p>
    <w:p w14:paraId="5B587489" w14:textId="30392115" w:rsidR="00E87CDE" w:rsidRDefault="001F6875" w:rsidP="00EA4DD8">
      <w:pPr>
        <w:spacing w:after="0"/>
        <w:ind w:right="91"/>
      </w:pPr>
      <w:r w:rsidRPr="001F6875">
        <w:t xml:space="preserve">Consistent with the removal of unnecessary references to State or Territory law at section 9, similar references have also been removed from </w:t>
      </w:r>
      <w:r w:rsidR="0038474D">
        <w:t xml:space="preserve">those contained in </w:t>
      </w:r>
      <w:r w:rsidRPr="001F6875">
        <w:t>th</w:t>
      </w:r>
      <w:r w:rsidR="0038474D">
        <w:t>e 2011 Guidelines as they are</w:t>
      </w:r>
      <w:r w:rsidRPr="001F6875">
        <w:t xml:space="preserve"> </w:t>
      </w:r>
      <w:r w:rsidR="00F7426F">
        <w:t xml:space="preserve">duplicative and </w:t>
      </w:r>
      <w:r w:rsidRPr="001F6875">
        <w:t>unnecessary</w:t>
      </w:r>
      <w:r w:rsidR="00A317B8">
        <w:t>.</w:t>
      </w:r>
    </w:p>
    <w:p w14:paraId="47DF76F9" w14:textId="42867A8C" w:rsidR="00845768" w:rsidRPr="00F7426F" w:rsidRDefault="00845768" w:rsidP="00EA4DD8">
      <w:pPr>
        <w:spacing w:after="0"/>
        <w:ind w:right="91"/>
        <w:rPr>
          <w:u w:val="single"/>
        </w:rPr>
      </w:pPr>
      <w:r w:rsidRPr="00F7426F">
        <w:rPr>
          <w:u w:val="single"/>
        </w:rPr>
        <w:t>Sections 26 and 27 – Winding up, or ceasing to be, a public ancillary fund</w:t>
      </w:r>
      <w:r w:rsidR="00812E43" w:rsidRPr="00F7426F">
        <w:rPr>
          <w:u w:val="single"/>
        </w:rPr>
        <w:t xml:space="preserve"> and portability</w:t>
      </w:r>
    </w:p>
    <w:p w14:paraId="61D15543" w14:textId="5C093BCD" w:rsidR="00845768" w:rsidRDefault="00845768" w:rsidP="00EA4DD8">
      <w:pPr>
        <w:spacing w:after="0"/>
        <w:ind w:right="91"/>
      </w:pPr>
      <w:r>
        <w:t>These sections replicate the corresponding provisions in the 2011 Guidelines concerning winding up, or ceasing to be, a public ancillary fund, and portability of assets, but have been updated in line with current drafting practice</w:t>
      </w:r>
      <w:r w:rsidR="00A317B8">
        <w:t>.</w:t>
      </w:r>
    </w:p>
    <w:p w14:paraId="64E00ABC" w14:textId="746D009E" w:rsidR="009A7F8E" w:rsidRPr="00F7426F" w:rsidRDefault="00845768" w:rsidP="00EA4DD8">
      <w:pPr>
        <w:spacing w:after="0"/>
        <w:ind w:right="91"/>
        <w:rPr>
          <w:u w:val="single"/>
        </w:rPr>
      </w:pPr>
      <w:r w:rsidRPr="00F7426F">
        <w:rPr>
          <w:u w:val="single"/>
        </w:rPr>
        <w:t xml:space="preserve">Section 28 </w:t>
      </w:r>
      <w:r w:rsidR="00CA654E" w:rsidRPr="00F7426F">
        <w:rPr>
          <w:u w:val="single"/>
        </w:rPr>
        <w:t>–</w:t>
      </w:r>
      <w:r w:rsidRPr="00F7426F">
        <w:rPr>
          <w:u w:val="single"/>
        </w:rPr>
        <w:t xml:space="preserve"> </w:t>
      </w:r>
      <w:r w:rsidR="00F203A8" w:rsidRPr="00F7426F">
        <w:rPr>
          <w:u w:val="single"/>
        </w:rPr>
        <w:t>R</w:t>
      </w:r>
      <w:r w:rsidR="00CA654E" w:rsidRPr="00F7426F">
        <w:rPr>
          <w:u w:val="single"/>
        </w:rPr>
        <w:t>ules inconsistent with these guidelines</w:t>
      </w:r>
    </w:p>
    <w:p w14:paraId="2C6B5BF1" w14:textId="76121B04" w:rsidR="00E10AE6" w:rsidRDefault="00014761" w:rsidP="00EA4DD8">
      <w:pPr>
        <w:spacing w:after="0"/>
        <w:ind w:right="91"/>
      </w:pPr>
      <w:r>
        <w:t>Part 3 outline</w:t>
      </w:r>
      <w:r w:rsidR="000C2A85">
        <w:t>s</w:t>
      </w:r>
      <w:r>
        <w:t xml:space="preserve"> application and transitional provisions.</w:t>
      </w:r>
    </w:p>
    <w:p w14:paraId="34AB09FA" w14:textId="2FA369A1" w:rsidR="002930D8" w:rsidRDefault="00527848" w:rsidP="00EA4DD8">
      <w:pPr>
        <w:spacing w:after="0"/>
        <w:ind w:right="91"/>
      </w:pPr>
      <w:r>
        <w:t>Section 28</w:t>
      </w:r>
      <w:r w:rsidR="009A7F8E" w:rsidRPr="009A7F8E">
        <w:t xml:space="preserve"> </w:t>
      </w:r>
      <w:r w:rsidR="009A7F8E">
        <w:t xml:space="preserve">sets out </w:t>
      </w:r>
      <w:r w:rsidR="002930D8">
        <w:t>rules for maintaining public ancillary funds as deductible gift recipients</w:t>
      </w:r>
      <w:r w:rsidR="00E10AE6">
        <w:t xml:space="preserve">. Section 28 specifically </w:t>
      </w:r>
      <w:r w:rsidR="00490E56">
        <w:t xml:space="preserve">addresses the requirements for funds that were </w:t>
      </w:r>
      <w:r w:rsidR="002930D8">
        <w:t>endorsed as a deductible gift recipient before 30 December 2011. This captures the period before the 2011 Guidelines came into effect.</w:t>
      </w:r>
    </w:p>
    <w:p w14:paraId="1E3C31A9" w14:textId="5851215C" w:rsidR="00845768" w:rsidRDefault="002930D8" w:rsidP="00EA4DD8">
      <w:pPr>
        <w:spacing w:after="0"/>
        <w:ind w:right="91"/>
      </w:pPr>
      <w:r>
        <w:t xml:space="preserve">A public ancillary fund endorsed </w:t>
      </w:r>
      <w:r w:rsidR="00E10AE6">
        <w:t>before 30 December 2011 must have one trustee that is a constitutional corporation</w:t>
      </w:r>
      <w:r w:rsidR="006D67EC" w:rsidRPr="006D67EC">
        <w:t xml:space="preserve"> </w:t>
      </w:r>
      <w:r w:rsidR="006D67EC">
        <w:t xml:space="preserve">otherwise it </w:t>
      </w:r>
      <w:r w:rsidR="006D67EC" w:rsidRPr="006D67EC">
        <w:t>is in breach of the 2022 Guidelines</w:t>
      </w:r>
      <w:r w:rsidR="006D67EC">
        <w:t xml:space="preserve">, unless it is a </w:t>
      </w:r>
      <w:r w:rsidR="00597394">
        <w:t>fund established by a will or trust as specified in s</w:t>
      </w:r>
      <w:r w:rsidR="006D67EC" w:rsidRPr="006D67EC">
        <w:t>ection 30-15 of the</w:t>
      </w:r>
      <w:r w:rsidR="006D67EC">
        <w:rPr>
          <w:i/>
          <w:iCs/>
        </w:rPr>
        <w:t xml:space="preserve"> </w:t>
      </w:r>
      <w:r w:rsidR="00490E56" w:rsidRPr="00490E56">
        <w:rPr>
          <w:i/>
          <w:iCs/>
        </w:rPr>
        <w:t>Income Tax Assessment Act 1997</w:t>
      </w:r>
      <w:r w:rsidR="00597394">
        <w:rPr>
          <w:i/>
          <w:iCs/>
        </w:rPr>
        <w:t>.</w:t>
      </w:r>
    </w:p>
    <w:p w14:paraId="33E2242C" w14:textId="39C50564" w:rsidR="00597394" w:rsidRDefault="00597394" w:rsidP="00EA4DD8">
      <w:pPr>
        <w:spacing w:after="0"/>
        <w:ind w:right="91"/>
      </w:pPr>
      <w:r>
        <w:lastRenderedPageBreak/>
        <w:t xml:space="preserve">Section 21(1) </w:t>
      </w:r>
      <w:r w:rsidR="00F7426F">
        <w:t>limits</w:t>
      </w:r>
      <w:r>
        <w:t xml:space="preserve"> a trustee of a public ancillary fund </w:t>
      </w:r>
      <w:r w:rsidR="0004471D">
        <w:t>from certain borrowing</w:t>
      </w:r>
      <w:r w:rsidR="00F7426F">
        <w:t>s</w:t>
      </w:r>
      <w:r w:rsidR="0004471D">
        <w:t xml:space="preserve"> of money or </w:t>
      </w:r>
      <w:r w:rsidR="0040272D">
        <w:t>maintaining an existing borrowing</w:t>
      </w:r>
      <w:r w:rsidR="0004471D">
        <w:t xml:space="preserve">. </w:t>
      </w:r>
      <w:r w:rsidR="00F7426F">
        <w:t>H</w:t>
      </w:r>
      <w:r w:rsidR="0040272D">
        <w:t>owever</w:t>
      </w:r>
      <w:r w:rsidR="00F7426F">
        <w:t>, subsection 28(2)</w:t>
      </w:r>
      <w:r w:rsidR="0040272D">
        <w:t xml:space="preserve"> facilitates a public ancillary fund that had an existing borrowing on 30 December 2011 maintaining and repaying that borrowing. However, a public ancillary fund with a borrowing pre-dating the 2011 Guidelines may not alter the terms of the borrowing with</w:t>
      </w:r>
      <w:r w:rsidR="00E225F6">
        <w:t>out</w:t>
      </w:r>
      <w:r w:rsidR="0040272D">
        <w:t xml:space="preserve"> the prior agreement of the Commissioner.</w:t>
      </w:r>
    </w:p>
    <w:p w14:paraId="59EB4FC0" w14:textId="3BFB8E76" w:rsidR="00845768" w:rsidRPr="00F7426F" w:rsidRDefault="00CA654E" w:rsidP="00EA4DD8">
      <w:pPr>
        <w:spacing w:after="0"/>
        <w:ind w:right="91"/>
        <w:rPr>
          <w:i/>
          <w:iCs/>
          <w:u w:val="single"/>
        </w:rPr>
      </w:pPr>
      <w:r w:rsidRPr="00F7426F">
        <w:rPr>
          <w:u w:val="single"/>
        </w:rPr>
        <w:t xml:space="preserve">Section 29- transitioning seamlessly from the </w:t>
      </w:r>
      <w:r w:rsidRPr="00E560BB">
        <w:rPr>
          <w:i/>
          <w:iCs/>
          <w:u w:val="single"/>
        </w:rPr>
        <w:t>Public Ancillary Fund Guidelines 2011</w:t>
      </w:r>
      <w:r w:rsidRPr="00F7426F">
        <w:rPr>
          <w:u w:val="single"/>
        </w:rPr>
        <w:t xml:space="preserve"> to </w:t>
      </w:r>
      <w:r w:rsidRPr="00F7426F">
        <w:rPr>
          <w:i/>
          <w:iCs/>
          <w:u w:val="single"/>
        </w:rPr>
        <w:t>Taxation Administration (Public Ancillary Fund) Guidelines 2022</w:t>
      </w:r>
    </w:p>
    <w:p w14:paraId="1C34F7EA" w14:textId="5D486519" w:rsidR="00672FB3" w:rsidRDefault="00672FB3" w:rsidP="00EA4DD8">
      <w:pPr>
        <w:spacing w:after="0"/>
        <w:ind w:right="91"/>
      </w:pPr>
      <w:r>
        <w:t>Section 29 provides guidance for how r</w:t>
      </w:r>
      <w:r w:rsidRPr="00E81EB8">
        <w:t xml:space="preserve">ules for </w:t>
      </w:r>
      <w:r>
        <w:t>establishing and maintaining public ancillary funds as deductible gift recipients transition from the 2011 Guidelines to 2022 Guidelines.</w:t>
      </w:r>
    </w:p>
    <w:p w14:paraId="5ADB6907" w14:textId="58F55210" w:rsidR="00DB6487" w:rsidRPr="00CC2CAE" w:rsidRDefault="00CA654E" w:rsidP="00EA4DD8">
      <w:pPr>
        <w:spacing w:after="0"/>
        <w:ind w:right="91"/>
      </w:pPr>
      <w:r w:rsidRPr="00DB6487">
        <w:t>This section provides certainty that any</w:t>
      </w:r>
      <w:r w:rsidR="00963F0A">
        <w:t>thing such as a notice or application made under</w:t>
      </w:r>
      <w:r w:rsidRPr="00DB6487">
        <w:t xml:space="preserve"> the 2011 Guidelines</w:t>
      </w:r>
      <w:r w:rsidR="00963F0A">
        <w:t xml:space="preserve"> as in force immediately prior to repeal</w:t>
      </w:r>
      <w:r w:rsidRPr="00DB6487">
        <w:t xml:space="preserve"> </w:t>
      </w:r>
      <w:r w:rsidR="000C2A85">
        <w:t xml:space="preserve">continues to </w:t>
      </w:r>
      <w:r w:rsidR="004702A9">
        <w:t xml:space="preserve">operate </w:t>
      </w:r>
      <w:r w:rsidRPr="00DB6487">
        <w:t xml:space="preserve">under the 2022 Guidelines. </w:t>
      </w:r>
      <w:r w:rsidR="00672FB3">
        <w:t xml:space="preserve">This section works to ensure that there is a seamless transition from the 2011 Guidelines to the 2022 Guidelines. </w:t>
      </w:r>
    </w:p>
    <w:p w14:paraId="0EB05B38" w14:textId="1A5A8E07" w:rsidR="00845768" w:rsidRPr="00F7426F" w:rsidRDefault="00F203A8" w:rsidP="00EA4DD8">
      <w:pPr>
        <w:spacing w:after="0"/>
        <w:ind w:right="91"/>
        <w:rPr>
          <w:u w:val="single"/>
        </w:rPr>
      </w:pPr>
      <w:r w:rsidRPr="00F7426F">
        <w:rPr>
          <w:u w:val="single"/>
        </w:rPr>
        <w:t xml:space="preserve">Section 30- Carry forward credit for distributions </w:t>
      </w:r>
      <w:proofErr w:type="gramStart"/>
      <w:r w:rsidRPr="00F7426F">
        <w:rPr>
          <w:u w:val="single"/>
        </w:rPr>
        <w:t>in excess of</w:t>
      </w:r>
      <w:proofErr w:type="gramEnd"/>
      <w:r w:rsidRPr="00F7426F">
        <w:rPr>
          <w:u w:val="single"/>
        </w:rPr>
        <w:t xml:space="preserve"> minimum</w:t>
      </w:r>
    </w:p>
    <w:p w14:paraId="67424BF2" w14:textId="3C043332" w:rsidR="00BF1A63" w:rsidRDefault="00BF1A63" w:rsidP="003E12F5">
      <w:pPr>
        <w:spacing w:after="0"/>
        <w:ind w:right="91"/>
      </w:pPr>
      <w:r>
        <w:t>Under section 15</w:t>
      </w:r>
      <w:r w:rsidR="00021A20">
        <w:t>,</w:t>
      </w:r>
      <w:r>
        <w:t xml:space="preserve"> a p</w:t>
      </w:r>
      <w:r w:rsidR="00F95500">
        <w:t xml:space="preserve">ublic ancillary fund must typically distribute a minimum amount </w:t>
      </w:r>
      <w:r>
        <w:t xml:space="preserve">of at least 4 per cent of the market value of its net assets </w:t>
      </w:r>
      <w:r w:rsidR="00F95500">
        <w:t>each financial year</w:t>
      </w:r>
      <w:r>
        <w:t xml:space="preserve"> (other than in the first four financial years following the financial year in which it was established)</w:t>
      </w:r>
      <w:r w:rsidR="00F95500">
        <w:t>.</w:t>
      </w:r>
    </w:p>
    <w:p w14:paraId="7929DD56" w14:textId="056A85D2" w:rsidR="007807B9" w:rsidRDefault="00BF1A63" w:rsidP="003E12F5">
      <w:pPr>
        <w:spacing w:after="0"/>
        <w:ind w:right="91"/>
      </w:pPr>
      <w:r>
        <w:t>However,</w:t>
      </w:r>
      <w:r w:rsidR="003349D3">
        <w:t xml:space="preserve"> </w:t>
      </w:r>
      <w:r w:rsidR="00657FDE">
        <w:t xml:space="preserve">section 30 </w:t>
      </w:r>
      <w:r>
        <w:t xml:space="preserve">provides a transitional rule </w:t>
      </w:r>
      <w:r w:rsidR="00753591">
        <w:t xml:space="preserve">that </w:t>
      </w:r>
      <w:r w:rsidR="001D6A51">
        <w:t xml:space="preserve">was </w:t>
      </w:r>
      <w:r w:rsidR="00021A20">
        <w:t>introduced</w:t>
      </w:r>
      <w:r w:rsidR="001D6A51">
        <w:t xml:space="preserve"> by the</w:t>
      </w:r>
      <w:r w:rsidR="000F3ECF" w:rsidRPr="00B619CF">
        <w:rPr>
          <w:i/>
          <w:iCs/>
        </w:rPr>
        <w:t xml:space="preserve"> </w:t>
      </w:r>
      <w:r w:rsidR="001D6A51" w:rsidRPr="00B619CF">
        <w:rPr>
          <w:i/>
          <w:iCs/>
        </w:rPr>
        <w:t>Taxation Administration (Coronavirus Economic Response Package—Ancillary Funds) Amendment Guidelines 2020</w:t>
      </w:r>
      <w:r w:rsidR="001D6A51">
        <w:rPr>
          <w:i/>
          <w:iCs/>
        </w:rPr>
        <w:t>.</w:t>
      </w:r>
      <w:r w:rsidR="00753591">
        <w:t xml:space="preserve"> </w:t>
      </w:r>
      <w:r w:rsidR="001D6A51" w:rsidRPr="001D6A51">
        <w:t>The amendments encourage</w:t>
      </w:r>
      <w:r w:rsidR="001D6A51">
        <w:t>d</w:t>
      </w:r>
      <w:r w:rsidR="001D6A51" w:rsidRPr="001D6A51">
        <w:t xml:space="preserve"> additional giving by these funds in </w:t>
      </w:r>
      <w:r w:rsidR="00753591">
        <w:t xml:space="preserve">the </w:t>
      </w:r>
      <w:r w:rsidR="001D6A51" w:rsidRPr="001D6A51">
        <w:t>2019-20 and 2020</w:t>
      </w:r>
      <w:r w:rsidR="001D6A51">
        <w:noBreakHyphen/>
      </w:r>
      <w:r w:rsidR="001D6A51" w:rsidRPr="001D6A51">
        <w:t xml:space="preserve">21 financial years. It </w:t>
      </w:r>
      <w:r w:rsidR="00657FDE">
        <w:t xml:space="preserve">did this by </w:t>
      </w:r>
      <w:r w:rsidR="00753591">
        <w:t>allow</w:t>
      </w:r>
      <w:r w:rsidR="00657FDE">
        <w:t xml:space="preserve">ing </w:t>
      </w:r>
      <w:r w:rsidR="001D6A51" w:rsidRPr="001D6A51">
        <w:t>funds</w:t>
      </w:r>
      <w:r w:rsidR="00753591">
        <w:t xml:space="preserve"> </w:t>
      </w:r>
      <w:r w:rsidR="00657FDE">
        <w:t>that made</w:t>
      </w:r>
      <w:r w:rsidR="001D6A51" w:rsidRPr="001D6A51">
        <w:t xml:space="preserve"> donations that sufficiently exceed</w:t>
      </w:r>
      <w:r w:rsidR="00657FDE">
        <w:t>ed</w:t>
      </w:r>
      <w:r w:rsidR="001D6A51" w:rsidRPr="001D6A51">
        <w:t xml:space="preserve"> the minimum required distributions under the Guidelines for the 2019‑20 and 2020-21 financial years to benefit from a reduced minimum annual distribution rate in the 2021-22 financial year and potentially later financial years.</w:t>
      </w:r>
    </w:p>
    <w:p w14:paraId="4373A89D" w14:textId="4B37A456" w:rsidR="0070157B" w:rsidRDefault="00021A20" w:rsidP="003E12F5">
      <w:pPr>
        <w:spacing w:after="0"/>
        <w:ind w:right="91"/>
      </w:pPr>
      <w:r>
        <w:t>The rule is maintained in the 2022 Guidelines to allow funds to continue to carry forward any unused credits.</w:t>
      </w:r>
    </w:p>
    <w:p w14:paraId="43B6E889" w14:textId="57F58B39" w:rsidR="005E6919" w:rsidRPr="005E6919" w:rsidRDefault="005E6919" w:rsidP="003E12F5">
      <w:pPr>
        <w:spacing w:after="0"/>
        <w:ind w:right="91"/>
        <w:rPr>
          <w:b/>
          <w:bCs/>
        </w:rPr>
      </w:pPr>
      <w:r w:rsidRPr="005E6919">
        <w:rPr>
          <w:b/>
          <w:bCs/>
        </w:rPr>
        <w:t xml:space="preserve">Repealed sections </w:t>
      </w:r>
    </w:p>
    <w:p w14:paraId="3B892A7E" w14:textId="1348F45D" w:rsidR="00434D14" w:rsidRDefault="0068102E" w:rsidP="0068102E">
      <w:pPr>
        <w:shd w:val="clear" w:color="auto" w:fill="FFFFFF"/>
      </w:pPr>
      <w:r w:rsidRPr="0068102E">
        <w:rPr>
          <w:color w:val="000000"/>
          <w:szCs w:val="24"/>
        </w:rPr>
        <w:t xml:space="preserve">Some </w:t>
      </w:r>
      <w:r>
        <w:rPr>
          <w:color w:val="000000"/>
          <w:szCs w:val="24"/>
        </w:rPr>
        <w:t>provisions in the 2011 Guidelines were not rewritten into the 2022 Guidelines as they were identified as spent or redundant.</w:t>
      </w:r>
    </w:p>
    <w:p w14:paraId="1B02FCBA" w14:textId="3F3CA7E6" w:rsidR="00CC0FDE" w:rsidRPr="00845768" w:rsidRDefault="00E63D94" w:rsidP="00EA4DD8">
      <w:pPr>
        <w:spacing w:after="0"/>
        <w:ind w:right="91"/>
        <w:rPr>
          <w:b/>
          <w:bCs/>
        </w:rPr>
      </w:pPr>
      <w:r w:rsidRPr="00845768">
        <w:rPr>
          <w:b/>
          <w:bCs/>
        </w:rPr>
        <w:t xml:space="preserve">Schedule 1-Amendments </w:t>
      </w:r>
    </w:p>
    <w:p w14:paraId="1501F368" w14:textId="04A743E5" w:rsidR="00E63D94" w:rsidRPr="0068102E" w:rsidRDefault="007377B1" w:rsidP="00EA4DD8">
      <w:pPr>
        <w:spacing w:after="0"/>
        <w:ind w:right="91"/>
      </w:pPr>
      <w:r>
        <w:t xml:space="preserve">Schedule 1 makes amendments to the corresponding </w:t>
      </w:r>
      <w:r w:rsidRPr="00FB6BE6">
        <w:rPr>
          <w:i/>
          <w:iCs/>
        </w:rPr>
        <w:t>Taxation Administration (Private Ancillary Fund) Guidelines 2019</w:t>
      </w:r>
      <w:r w:rsidR="00176DF4">
        <w:rPr>
          <w:i/>
          <w:iCs/>
        </w:rPr>
        <w:t xml:space="preserve"> </w:t>
      </w:r>
      <w:r w:rsidR="00176DF4">
        <w:t>that apply to private ancillary funds</w:t>
      </w:r>
      <w:r w:rsidR="0068102E">
        <w:rPr>
          <w:i/>
          <w:iCs/>
        </w:rPr>
        <w:t xml:space="preserve"> </w:t>
      </w:r>
      <w:r w:rsidR="0068102E">
        <w:t>to exten</w:t>
      </w:r>
      <w:r w:rsidR="00E560BB">
        <w:t>d</w:t>
      </w:r>
      <w:r w:rsidR="0068102E">
        <w:t xml:space="preserve"> merits review to </w:t>
      </w:r>
      <w:r w:rsidR="00D96D95">
        <w:t xml:space="preserve">a </w:t>
      </w:r>
      <w:r w:rsidR="0068102E" w:rsidRPr="0052536C">
        <w:t>p</w:t>
      </w:r>
      <w:r w:rsidR="0068102E">
        <w:t xml:space="preserve">rivate </w:t>
      </w:r>
      <w:r w:rsidR="0068102E" w:rsidRPr="0052536C">
        <w:t>ancillary fund that is dissatisfied with a decision of the Commissioner</w:t>
      </w:r>
      <w:r w:rsidR="0068102E">
        <w:t xml:space="preserve"> in relation to </w:t>
      </w:r>
      <w:r w:rsidR="00E560BB">
        <w:t xml:space="preserve">an </w:t>
      </w:r>
      <w:r w:rsidR="0068102E">
        <w:t xml:space="preserve">application for a lower </w:t>
      </w:r>
      <w:r w:rsidR="0068102E" w:rsidRPr="0052536C">
        <w:t>minimum annual distribution rate</w:t>
      </w:r>
      <w:r w:rsidR="0068102E">
        <w:t>.</w:t>
      </w:r>
    </w:p>
    <w:p w14:paraId="1990E788" w14:textId="77777777" w:rsidR="00FB2E63" w:rsidRDefault="00FB2E63">
      <w:pPr>
        <w:spacing w:before="0" w:after="0"/>
        <w:rPr>
          <w:b/>
          <w:bCs/>
          <w:u w:val="single"/>
        </w:rPr>
      </w:pPr>
      <w:r>
        <w:rPr>
          <w:b/>
          <w:bCs/>
          <w:u w:val="single"/>
        </w:rPr>
        <w:br w:type="page"/>
      </w:r>
    </w:p>
    <w:p w14:paraId="18E9295A" w14:textId="468C9084" w:rsidR="00B50BAF" w:rsidRPr="00B50BAF" w:rsidRDefault="00B50BAF" w:rsidP="00B50BAF">
      <w:pPr>
        <w:pStyle w:val="base-text-paragraph"/>
        <w:ind w:left="5213" w:firstLine="1267"/>
        <w:rPr>
          <w:b/>
          <w:bCs/>
          <w:u w:val="single"/>
        </w:rPr>
      </w:pPr>
      <w:r w:rsidRPr="00B50BAF">
        <w:rPr>
          <w:b/>
          <w:bCs/>
          <w:u w:val="single"/>
        </w:rPr>
        <w:lastRenderedPageBreak/>
        <w:t>Attachment B</w:t>
      </w:r>
    </w:p>
    <w:p w14:paraId="3F7E0020" w14:textId="7B19CFDD" w:rsidR="0073751B" w:rsidRDefault="0073751B" w:rsidP="0073751B">
      <w:pPr>
        <w:pStyle w:val="base-text-paragraph"/>
        <w:ind w:left="0"/>
        <w:rPr>
          <w:b/>
          <w:bCs/>
        </w:rPr>
      </w:pPr>
      <w:r w:rsidRPr="0073751B">
        <w:rPr>
          <w:b/>
          <w:bCs/>
        </w:rPr>
        <w:t>Finding table</w:t>
      </w:r>
      <w:r>
        <w:rPr>
          <w:b/>
          <w:bCs/>
        </w:rPr>
        <w:t>s</w:t>
      </w:r>
    </w:p>
    <w:p w14:paraId="7C6AD550" w14:textId="360405AE" w:rsidR="00B50BAF" w:rsidRPr="00B50BAF" w:rsidRDefault="00B50BAF" w:rsidP="00B50BAF">
      <w:pPr>
        <w:shd w:val="clear" w:color="auto" w:fill="FFFFFF"/>
        <w:spacing w:before="200"/>
        <w:rPr>
          <w:color w:val="000000"/>
          <w:szCs w:val="24"/>
        </w:rPr>
      </w:pPr>
      <w:r w:rsidRPr="00B50BAF">
        <w:rPr>
          <w:color w:val="000000"/>
          <w:szCs w:val="24"/>
        </w:rPr>
        <w:t>As a result of changes described at </w:t>
      </w:r>
      <w:r w:rsidRPr="00B50BAF">
        <w:rPr>
          <w:color w:val="000000"/>
          <w:szCs w:val="24"/>
          <w:u w:val="single"/>
        </w:rPr>
        <w:t>Attachment A</w:t>
      </w:r>
      <w:r w:rsidRPr="00B50BAF">
        <w:rPr>
          <w:color w:val="000000"/>
          <w:szCs w:val="24"/>
        </w:rPr>
        <w:t xml:space="preserve">, it </w:t>
      </w:r>
      <w:r w:rsidR="008B7964">
        <w:rPr>
          <w:color w:val="000000"/>
          <w:szCs w:val="24"/>
        </w:rPr>
        <w:t>i</w:t>
      </w:r>
      <w:r w:rsidRPr="00B50BAF">
        <w:rPr>
          <w:color w:val="000000"/>
          <w:szCs w:val="24"/>
        </w:rPr>
        <w:t>s necessary to renumber the provisions in the 20</w:t>
      </w:r>
      <w:r>
        <w:rPr>
          <w:color w:val="000000"/>
          <w:szCs w:val="24"/>
        </w:rPr>
        <w:t>22</w:t>
      </w:r>
      <w:r w:rsidRPr="00B50BAF">
        <w:rPr>
          <w:color w:val="000000"/>
          <w:szCs w:val="24"/>
        </w:rPr>
        <w:t xml:space="preserve"> Guidelines. This Attachment includes finding tables to assist in identifying </w:t>
      </w:r>
      <w:r w:rsidR="00821F77">
        <w:rPr>
          <w:color w:val="000000"/>
          <w:szCs w:val="24"/>
        </w:rPr>
        <w:t xml:space="preserve">the corresponding </w:t>
      </w:r>
      <w:r w:rsidRPr="00B50BAF">
        <w:rPr>
          <w:color w:val="000000"/>
          <w:szCs w:val="24"/>
        </w:rPr>
        <w:t>provision</w:t>
      </w:r>
      <w:r w:rsidR="00821F77">
        <w:rPr>
          <w:color w:val="000000"/>
          <w:szCs w:val="24"/>
        </w:rPr>
        <w:t>s</w:t>
      </w:r>
      <w:r w:rsidRPr="00B50BAF">
        <w:rPr>
          <w:color w:val="000000"/>
          <w:szCs w:val="24"/>
        </w:rPr>
        <w:t xml:space="preserve"> in the 20</w:t>
      </w:r>
      <w:r>
        <w:rPr>
          <w:color w:val="000000"/>
          <w:szCs w:val="24"/>
        </w:rPr>
        <w:t xml:space="preserve">22 </w:t>
      </w:r>
      <w:r w:rsidRPr="00B50BAF">
        <w:rPr>
          <w:color w:val="000000"/>
          <w:szCs w:val="24"/>
        </w:rPr>
        <w:t xml:space="preserve">Guidelines </w:t>
      </w:r>
      <w:r w:rsidR="00821F77">
        <w:rPr>
          <w:color w:val="000000"/>
          <w:szCs w:val="24"/>
        </w:rPr>
        <w:t>to</w:t>
      </w:r>
      <w:r w:rsidRPr="00B50BAF">
        <w:rPr>
          <w:color w:val="000000"/>
          <w:szCs w:val="24"/>
        </w:rPr>
        <w:t xml:space="preserve"> the 20</w:t>
      </w:r>
      <w:r>
        <w:rPr>
          <w:color w:val="000000"/>
          <w:szCs w:val="24"/>
        </w:rPr>
        <w:t>11</w:t>
      </w:r>
      <w:r w:rsidRPr="00B50BAF">
        <w:rPr>
          <w:color w:val="000000"/>
          <w:szCs w:val="24"/>
        </w:rPr>
        <w:t xml:space="preserve"> Guidelines that ha</w:t>
      </w:r>
      <w:r w:rsidR="008B7964">
        <w:rPr>
          <w:color w:val="000000"/>
          <w:szCs w:val="24"/>
        </w:rPr>
        <w:t>ve</w:t>
      </w:r>
      <w:r w:rsidRPr="00B50BAF">
        <w:rPr>
          <w:color w:val="000000"/>
          <w:szCs w:val="24"/>
        </w:rPr>
        <w:t xml:space="preserve"> been rewritten or consolidated, and vice versa. Tables 1 and 2 (below) locate the provisions of the 20</w:t>
      </w:r>
      <w:r w:rsidR="0010200D">
        <w:rPr>
          <w:color w:val="000000"/>
          <w:szCs w:val="24"/>
        </w:rPr>
        <w:t>22</w:t>
      </w:r>
      <w:r w:rsidRPr="00B50BAF">
        <w:rPr>
          <w:color w:val="000000"/>
          <w:szCs w:val="24"/>
        </w:rPr>
        <w:t xml:space="preserve"> Guidelines in relation to the corresponding provisions in the 20</w:t>
      </w:r>
      <w:r w:rsidR="0010200D">
        <w:rPr>
          <w:color w:val="000000"/>
          <w:szCs w:val="24"/>
        </w:rPr>
        <w:t>11</w:t>
      </w:r>
      <w:r w:rsidRPr="00B50BAF">
        <w:rPr>
          <w:color w:val="000000"/>
          <w:szCs w:val="24"/>
        </w:rPr>
        <w:t xml:space="preserve"> Guidelines.</w:t>
      </w:r>
    </w:p>
    <w:p w14:paraId="29865A98" w14:textId="479EA8CD" w:rsidR="00B50BAF" w:rsidRPr="00B50BAF" w:rsidRDefault="00B50BAF" w:rsidP="00B50BAF">
      <w:pPr>
        <w:shd w:val="clear" w:color="auto" w:fill="FFFFFF"/>
        <w:spacing w:before="200"/>
        <w:rPr>
          <w:color w:val="000000"/>
          <w:szCs w:val="24"/>
        </w:rPr>
      </w:pPr>
      <w:r w:rsidRPr="00B50BAF">
        <w:rPr>
          <w:color w:val="000000"/>
          <w:szCs w:val="24"/>
        </w:rPr>
        <w:t>In the finding tables, in the ‘20</w:t>
      </w:r>
      <w:r w:rsidR="0010200D">
        <w:rPr>
          <w:color w:val="000000"/>
          <w:szCs w:val="24"/>
        </w:rPr>
        <w:t>11</w:t>
      </w:r>
      <w:r w:rsidRPr="00B50BAF">
        <w:rPr>
          <w:color w:val="000000"/>
          <w:szCs w:val="24"/>
        </w:rPr>
        <w:t xml:space="preserve"> Guidelines’ column, ‘</w:t>
      </w:r>
      <w:r w:rsidRPr="00B50BAF">
        <w:rPr>
          <w:i/>
          <w:iCs/>
          <w:color w:val="000000"/>
          <w:szCs w:val="24"/>
        </w:rPr>
        <w:t>no equivalent’</w:t>
      </w:r>
      <w:r w:rsidRPr="00B50BAF">
        <w:rPr>
          <w:color w:val="000000"/>
          <w:szCs w:val="24"/>
        </w:rPr>
        <w:t> means this is a new provision that has no corresponding provision in the 20</w:t>
      </w:r>
      <w:r w:rsidR="0010200D">
        <w:rPr>
          <w:color w:val="000000"/>
          <w:szCs w:val="24"/>
        </w:rPr>
        <w:t>11</w:t>
      </w:r>
      <w:r w:rsidRPr="00B50BAF">
        <w:rPr>
          <w:color w:val="000000"/>
          <w:szCs w:val="24"/>
        </w:rPr>
        <w:t xml:space="preserve"> Guidelines. In the ‘20</w:t>
      </w:r>
      <w:r w:rsidR="0010200D">
        <w:rPr>
          <w:color w:val="000000"/>
          <w:szCs w:val="24"/>
        </w:rPr>
        <w:t>22</w:t>
      </w:r>
      <w:r w:rsidRPr="00B50BAF">
        <w:rPr>
          <w:color w:val="000000"/>
          <w:szCs w:val="24"/>
        </w:rPr>
        <w:t xml:space="preserve"> Guidelines’ column, ‘omitted’ means that the section from the 20</w:t>
      </w:r>
      <w:r w:rsidR="0010200D">
        <w:rPr>
          <w:color w:val="000000"/>
          <w:szCs w:val="24"/>
        </w:rPr>
        <w:t>11</w:t>
      </w:r>
      <w:r w:rsidRPr="00B50BAF">
        <w:rPr>
          <w:color w:val="000000"/>
          <w:szCs w:val="24"/>
        </w:rPr>
        <w:t xml:space="preserve"> Guidelines has not been remade. Typically, these are </w:t>
      </w:r>
      <w:r w:rsidR="00821F77">
        <w:rPr>
          <w:color w:val="000000"/>
          <w:szCs w:val="24"/>
        </w:rPr>
        <w:t>redundant</w:t>
      </w:r>
      <w:r w:rsidR="004461F8">
        <w:rPr>
          <w:color w:val="000000"/>
          <w:szCs w:val="24"/>
        </w:rPr>
        <w:t xml:space="preserve"> </w:t>
      </w:r>
      <w:r w:rsidRPr="00B50BAF">
        <w:rPr>
          <w:color w:val="000000"/>
          <w:szCs w:val="24"/>
        </w:rPr>
        <w:t>provisions.</w:t>
      </w:r>
    </w:p>
    <w:p w14:paraId="5205F739" w14:textId="535AA792" w:rsidR="0010200D" w:rsidRPr="0010200D" w:rsidRDefault="0010200D" w:rsidP="0010200D">
      <w:pPr>
        <w:shd w:val="clear" w:color="auto" w:fill="FFFFFF"/>
        <w:spacing w:before="200"/>
        <w:jc w:val="center"/>
        <w:rPr>
          <w:color w:val="000000"/>
          <w:szCs w:val="24"/>
        </w:rPr>
      </w:pPr>
      <w:bookmarkStart w:id="6" w:name="_Hlk77758096"/>
      <w:r w:rsidRPr="0010200D">
        <w:rPr>
          <w:b/>
          <w:bCs/>
          <w:color w:val="000000"/>
          <w:szCs w:val="24"/>
        </w:rPr>
        <w:t xml:space="preserve">Table 1: </w:t>
      </w:r>
      <w:r w:rsidR="00A317B8">
        <w:rPr>
          <w:b/>
          <w:bCs/>
          <w:color w:val="000000"/>
          <w:szCs w:val="24"/>
        </w:rPr>
        <w:t xml:space="preserve">Section in </w:t>
      </w:r>
      <w:r w:rsidRPr="0010200D">
        <w:rPr>
          <w:b/>
          <w:bCs/>
          <w:color w:val="000000"/>
          <w:szCs w:val="24"/>
        </w:rPr>
        <w:t>20</w:t>
      </w:r>
      <w:r>
        <w:rPr>
          <w:b/>
          <w:bCs/>
          <w:color w:val="000000"/>
          <w:szCs w:val="24"/>
        </w:rPr>
        <w:t>22</w:t>
      </w:r>
      <w:r w:rsidRPr="0010200D">
        <w:rPr>
          <w:b/>
          <w:bCs/>
          <w:color w:val="000000"/>
          <w:szCs w:val="24"/>
        </w:rPr>
        <w:t xml:space="preserve"> Guidelines </w:t>
      </w:r>
      <w:r w:rsidR="00A317B8">
        <w:rPr>
          <w:b/>
          <w:bCs/>
          <w:color w:val="000000"/>
          <w:szCs w:val="24"/>
        </w:rPr>
        <w:t xml:space="preserve">corresponding </w:t>
      </w:r>
      <w:r w:rsidRPr="0010200D">
        <w:rPr>
          <w:b/>
          <w:bCs/>
          <w:color w:val="000000"/>
          <w:szCs w:val="24"/>
        </w:rPr>
        <w:t>to 20</w:t>
      </w:r>
      <w:r>
        <w:rPr>
          <w:b/>
          <w:bCs/>
          <w:color w:val="000000"/>
          <w:szCs w:val="24"/>
        </w:rPr>
        <w:t>11</w:t>
      </w:r>
      <w:r w:rsidRPr="0010200D">
        <w:rPr>
          <w:b/>
          <w:bCs/>
          <w:color w:val="000000"/>
          <w:szCs w:val="24"/>
        </w:rPr>
        <w:t xml:space="preserve"> Guidelines</w:t>
      </w:r>
    </w:p>
    <w:tbl>
      <w:tblPr>
        <w:tblW w:w="5000" w:type="pct"/>
        <w:jc w:val="center"/>
        <w:tblCellMar>
          <w:left w:w="0" w:type="dxa"/>
          <w:right w:w="0" w:type="dxa"/>
        </w:tblCellMar>
        <w:tblLook w:val="04A0" w:firstRow="1" w:lastRow="0" w:firstColumn="1" w:lastColumn="0" w:noHBand="0" w:noVBand="1"/>
      </w:tblPr>
      <w:tblGrid>
        <w:gridCol w:w="1922"/>
        <w:gridCol w:w="1920"/>
        <w:gridCol w:w="605"/>
        <w:gridCol w:w="1921"/>
        <w:gridCol w:w="1918"/>
      </w:tblGrid>
      <w:tr w:rsidR="0010200D" w:rsidRPr="0010200D" w14:paraId="4C3EA83C" w14:textId="77777777" w:rsidTr="0010200D">
        <w:trPr>
          <w:tblHeader/>
          <w:jc w:val="center"/>
        </w:trPr>
        <w:tc>
          <w:tcPr>
            <w:tcW w:w="19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EA1D73" w14:textId="6B60A70C" w:rsidR="0010200D" w:rsidRPr="0010200D" w:rsidRDefault="0010200D" w:rsidP="0010200D">
            <w:pPr>
              <w:spacing w:before="40" w:after="40"/>
              <w:jc w:val="center"/>
              <w:rPr>
                <w:szCs w:val="24"/>
              </w:rPr>
            </w:pPr>
            <w:r w:rsidRPr="0010200D">
              <w:rPr>
                <w:b/>
                <w:bCs/>
                <w:szCs w:val="24"/>
              </w:rPr>
              <w:t>20</w:t>
            </w:r>
            <w:r>
              <w:rPr>
                <w:b/>
                <w:bCs/>
                <w:szCs w:val="24"/>
              </w:rPr>
              <w:t>22</w:t>
            </w:r>
            <w:r w:rsidRPr="0010200D">
              <w:rPr>
                <w:b/>
                <w:bCs/>
                <w:szCs w:val="24"/>
              </w:rPr>
              <w:t xml:space="preserve"> Guidelines</w:t>
            </w:r>
          </w:p>
        </w:tc>
        <w:tc>
          <w:tcPr>
            <w:tcW w:w="19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5789327" w14:textId="66E7805F" w:rsidR="0010200D" w:rsidRPr="0010200D" w:rsidRDefault="0010200D" w:rsidP="0010200D">
            <w:pPr>
              <w:spacing w:before="40" w:after="40"/>
              <w:jc w:val="center"/>
              <w:rPr>
                <w:szCs w:val="24"/>
              </w:rPr>
            </w:pPr>
            <w:r w:rsidRPr="0010200D">
              <w:rPr>
                <w:b/>
                <w:bCs/>
                <w:szCs w:val="24"/>
              </w:rPr>
              <w:t>20</w:t>
            </w:r>
            <w:r>
              <w:rPr>
                <w:b/>
                <w:bCs/>
                <w:szCs w:val="24"/>
              </w:rPr>
              <w:t>11</w:t>
            </w:r>
            <w:r w:rsidRPr="0010200D">
              <w:rPr>
                <w:b/>
                <w:bCs/>
                <w:szCs w:val="24"/>
              </w:rPr>
              <w:t xml:space="preserve"> Guidelines</w:t>
            </w:r>
          </w:p>
        </w:tc>
        <w:tc>
          <w:tcPr>
            <w:tcW w:w="60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DB218DB" w14:textId="77777777" w:rsidR="0010200D" w:rsidRPr="0010200D" w:rsidRDefault="0010200D" w:rsidP="0010200D">
            <w:pPr>
              <w:spacing w:before="40" w:after="40"/>
              <w:jc w:val="center"/>
              <w:rPr>
                <w:szCs w:val="24"/>
              </w:rPr>
            </w:pPr>
            <w:r w:rsidRPr="0010200D">
              <w:rPr>
                <w:b/>
                <w:bCs/>
                <w:szCs w:val="24"/>
              </w:rPr>
              <w:t> </w:t>
            </w:r>
          </w:p>
        </w:tc>
        <w:tc>
          <w:tcPr>
            <w:tcW w:w="19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073A8" w14:textId="5AB18B94" w:rsidR="0010200D" w:rsidRPr="0010200D" w:rsidRDefault="0010200D" w:rsidP="0010200D">
            <w:pPr>
              <w:spacing w:before="40" w:after="40"/>
              <w:jc w:val="center"/>
              <w:rPr>
                <w:szCs w:val="24"/>
              </w:rPr>
            </w:pPr>
            <w:r w:rsidRPr="0010200D">
              <w:rPr>
                <w:b/>
                <w:bCs/>
                <w:szCs w:val="24"/>
              </w:rPr>
              <w:t>20</w:t>
            </w:r>
            <w:r>
              <w:rPr>
                <w:b/>
                <w:bCs/>
                <w:szCs w:val="24"/>
              </w:rPr>
              <w:t>22</w:t>
            </w:r>
            <w:r w:rsidRPr="0010200D">
              <w:rPr>
                <w:b/>
                <w:bCs/>
                <w:szCs w:val="24"/>
              </w:rPr>
              <w:t xml:space="preserve"> Guidelines</w:t>
            </w:r>
          </w:p>
        </w:tc>
        <w:tc>
          <w:tcPr>
            <w:tcW w:w="19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11D5AA" w14:textId="068C52A4" w:rsidR="0010200D" w:rsidRPr="0010200D" w:rsidRDefault="0010200D" w:rsidP="0010200D">
            <w:pPr>
              <w:spacing w:before="40" w:after="40"/>
              <w:jc w:val="center"/>
              <w:rPr>
                <w:szCs w:val="24"/>
              </w:rPr>
            </w:pPr>
            <w:r w:rsidRPr="0010200D">
              <w:rPr>
                <w:b/>
                <w:bCs/>
                <w:szCs w:val="24"/>
              </w:rPr>
              <w:t>20</w:t>
            </w:r>
            <w:r>
              <w:rPr>
                <w:b/>
                <w:bCs/>
                <w:szCs w:val="24"/>
              </w:rPr>
              <w:t>11</w:t>
            </w:r>
            <w:r w:rsidRPr="0010200D">
              <w:rPr>
                <w:b/>
                <w:bCs/>
                <w:szCs w:val="24"/>
              </w:rPr>
              <w:t xml:space="preserve"> Guidelines</w:t>
            </w:r>
          </w:p>
        </w:tc>
      </w:tr>
      <w:tr w:rsidR="0010200D" w:rsidRPr="0010200D" w14:paraId="7BCC21B3"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8D898" w14:textId="77777777" w:rsidR="0010200D" w:rsidRPr="0010200D" w:rsidRDefault="0010200D" w:rsidP="0010200D">
            <w:pPr>
              <w:spacing w:before="40" w:after="40"/>
              <w:jc w:val="center"/>
              <w:rPr>
                <w:szCs w:val="24"/>
              </w:rPr>
            </w:pPr>
            <w:r w:rsidRPr="0010200D">
              <w:rPr>
                <w:szCs w:val="24"/>
              </w:rPr>
              <w:t>1</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262A0E0C" w14:textId="77777777" w:rsidR="0010200D" w:rsidRPr="0010200D" w:rsidRDefault="0010200D" w:rsidP="0010200D">
            <w:pPr>
              <w:spacing w:before="40" w:after="40"/>
              <w:jc w:val="center"/>
              <w:rPr>
                <w:szCs w:val="24"/>
              </w:rPr>
            </w:pPr>
            <w:r w:rsidRPr="0010200D">
              <w:rPr>
                <w:szCs w:val="24"/>
              </w:rPr>
              <w:t>1</w:t>
            </w:r>
          </w:p>
        </w:tc>
        <w:tc>
          <w:tcPr>
            <w:tcW w:w="606" w:type="dxa"/>
            <w:tcBorders>
              <w:top w:val="nil"/>
              <w:left w:val="nil"/>
              <w:bottom w:val="nil"/>
              <w:right w:val="single" w:sz="8" w:space="0" w:color="auto"/>
            </w:tcBorders>
            <w:tcMar>
              <w:top w:w="0" w:type="dxa"/>
              <w:left w:w="108" w:type="dxa"/>
              <w:bottom w:w="0" w:type="dxa"/>
              <w:right w:w="108" w:type="dxa"/>
            </w:tcMar>
            <w:hideMark/>
          </w:tcPr>
          <w:p w14:paraId="36699922"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C247EBA" w14:textId="77777777" w:rsidR="0010200D" w:rsidRPr="0010200D" w:rsidRDefault="0010200D" w:rsidP="0010200D">
            <w:pPr>
              <w:spacing w:before="40" w:after="40"/>
              <w:jc w:val="center"/>
              <w:rPr>
                <w:szCs w:val="24"/>
              </w:rPr>
            </w:pPr>
            <w:r w:rsidRPr="0010200D">
              <w:rPr>
                <w:szCs w:val="24"/>
              </w:rPr>
              <w:t>18</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6F1E6315" w14:textId="77777777" w:rsidR="0010200D" w:rsidRPr="0010200D" w:rsidRDefault="0010200D" w:rsidP="0010200D">
            <w:pPr>
              <w:spacing w:before="40" w:after="40"/>
              <w:jc w:val="center"/>
              <w:rPr>
                <w:szCs w:val="24"/>
              </w:rPr>
            </w:pPr>
            <w:r w:rsidRPr="0010200D">
              <w:rPr>
                <w:szCs w:val="24"/>
              </w:rPr>
              <w:t>26 and 27</w:t>
            </w:r>
          </w:p>
        </w:tc>
      </w:tr>
      <w:tr w:rsidR="0010200D" w:rsidRPr="0010200D" w14:paraId="17BD8A75"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5C0A5" w14:textId="77777777" w:rsidR="0010200D" w:rsidRPr="0010200D" w:rsidRDefault="0010200D" w:rsidP="0010200D">
            <w:pPr>
              <w:spacing w:before="40" w:after="40"/>
              <w:jc w:val="center"/>
              <w:rPr>
                <w:szCs w:val="24"/>
              </w:rPr>
            </w:pPr>
            <w:r w:rsidRPr="0010200D">
              <w:rPr>
                <w:szCs w:val="24"/>
              </w:rPr>
              <w:t>2</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662C5414" w14:textId="77777777" w:rsidR="0010200D" w:rsidRPr="0010200D" w:rsidRDefault="0010200D" w:rsidP="0010200D">
            <w:pPr>
              <w:spacing w:before="40" w:after="40"/>
              <w:jc w:val="center"/>
              <w:rPr>
                <w:szCs w:val="24"/>
              </w:rPr>
            </w:pPr>
            <w:r w:rsidRPr="0010200D">
              <w:rPr>
                <w:szCs w:val="24"/>
              </w:rPr>
              <w:t>2</w:t>
            </w:r>
          </w:p>
        </w:tc>
        <w:tc>
          <w:tcPr>
            <w:tcW w:w="606" w:type="dxa"/>
            <w:tcBorders>
              <w:top w:val="nil"/>
              <w:left w:val="nil"/>
              <w:bottom w:val="nil"/>
              <w:right w:val="single" w:sz="8" w:space="0" w:color="auto"/>
            </w:tcBorders>
            <w:tcMar>
              <w:top w:w="0" w:type="dxa"/>
              <w:left w:w="108" w:type="dxa"/>
              <w:bottom w:w="0" w:type="dxa"/>
              <w:right w:w="108" w:type="dxa"/>
            </w:tcMar>
            <w:hideMark/>
          </w:tcPr>
          <w:p w14:paraId="4DA270CF"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6BCEA477" w14:textId="77777777" w:rsidR="0010200D" w:rsidRPr="0010200D" w:rsidRDefault="0010200D" w:rsidP="0010200D">
            <w:pPr>
              <w:spacing w:before="40" w:after="40"/>
              <w:jc w:val="center"/>
              <w:rPr>
                <w:szCs w:val="24"/>
              </w:rPr>
            </w:pPr>
            <w:r w:rsidRPr="0010200D">
              <w:rPr>
                <w:szCs w:val="24"/>
              </w:rPr>
              <w:t>19</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71885F51" w14:textId="77777777" w:rsidR="0010200D" w:rsidRPr="0010200D" w:rsidRDefault="0010200D" w:rsidP="0010200D">
            <w:pPr>
              <w:spacing w:before="40" w:after="40"/>
              <w:jc w:val="center"/>
              <w:rPr>
                <w:szCs w:val="24"/>
              </w:rPr>
            </w:pPr>
            <w:r w:rsidRPr="0010200D">
              <w:rPr>
                <w:szCs w:val="24"/>
              </w:rPr>
              <w:t>28 and 29</w:t>
            </w:r>
          </w:p>
        </w:tc>
      </w:tr>
      <w:tr w:rsidR="0010200D" w:rsidRPr="0010200D" w14:paraId="6295708F"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570DC" w14:textId="77777777" w:rsidR="0010200D" w:rsidRPr="0010200D" w:rsidRDefault="0010200D" w:rsidP="0010200D">
            <w:pPr>
              <w:spacing w:before="40" w:after="40"/>
              <w:jc w:val="center"/>
              <w:rPr>
                <w:szCs w:val="24"/>
              </w:rPr>
            </w:pPr>
            <w:r w:rsidRPr="0010200D">
              <w:rPr>
                <w:szCs w:val="24"/>
              </w:rPr>
              <w:t>3</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7D779743" w14:textId="77777777" w:rsidR="0010200D" w:rsidRPr="0010200D" w:rsidRDefault="0010200D" w:rsidP="0010200D">
            <w:pPr>
              <w:spacing w:before="40" w:after="40"/>
              <w:jc w:val="center"/>
              <w:rPr>
                <w:szCs w:val="24"/>
              </w:rPr>
            </w:pPr>
            <w:r w:rsidRPr="0010200D">
              <w:rPr>
                <w:i/>
                <w:iCs/>
                <w:szCs w:val="24"/>
              </w:rPr>
              <w:t>No equivalent</w:t>
            </w:r>
          </w:p>
        </w:tc>
        <w:tc>
          <w:tcPr>
            <w:tcW w:w="606" w:type="dxa"/>
            <w:tcBorders>
              <w:top w:val="nil"/>
              <w:left w:val="nil"/>
              <w:bottom w:val="nil"/>
              <w:right w:val="single" w:sz="8" w:space="0" w:color="auto"/>
            </w:tcBorders>
            <w:tcMar>
              <w:top w:w="0" w:type="dxa"/>
              <w:left w:w="108" w:type="dxa"/>
              <w:bottom w:w="0" w:type="dxa"/>
              <w:right w:w="108" w:type="dxa"/>
            </w:tcMar>
            <w:hideMark/>
          </w:tcPr>
          <w:p w14:paraId="6FF2E264"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53E41CAC" w14:textId="77777777" w:rsidR="0010200D" w:rsidRPr="0010200D" w:rsidRDefault="0010200D" w:rsidP="0010200D">
            <w:pPr>
              <w:spacing w:before="40" w:after="40"/>
              <w:jc w:val="center"/>
              <w:rPr>
                <w:szCs w:val="24"/>
              </w:rPr>
            </w:pPr>
            <w:r w:rsidRPr="0010200D">
              <w:rPr>
                <w:szCs w:val="24"/>
              </w:rPr>
              <w:t>20</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712CE68C" w14:textId="77777777" w:rsidR="0010200D" w:rsidRPr="0010200D" w:rsidRDefault="0010200D" w:rsidP="0010200D">
            <w:pPr>
              <w:spacing w:before="40" w:after="40"/>
              <w:jc w:val="center"/>
              <w:rPr>
                <w:szCs w:val="24"/>
              </w:rPr>
            </w:pPr>
            <w:r w:rsidRPr="0010200D">
              <w:rPr>
                <w:szCs w:val="24"/>
              </w:rPr>
              <w:t>30 to 32</w:t>
            </w:r>
          </w:p>
        </w:tc>
      </w:tr>
      <w:tr w:rsidR="0010200D" w:rsidRPr="0010200D" w14:paraId="0998F861"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C06C7" w14:textId="77777777" w:rsidR="0010200D" w:rsidRPr="0010200D" w:rsidRDefault="0010200D" w:rsidP="0010200D">
            <w:pPr>
              <w:spacing w:before="40" w:after="40"/>
              <w:jc w:val="center"/>
              <w:rPr>
                <w:szCs w:val="24"/>
              </w:rPr>
            </w:pPr>
            <w:r w:rsidRPr="0010200D">
              <w:rPr>
                <w:szCs w:val="24"/>
              </w:rPr>
              <w:t>4</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5A6CB830" w14:textId="77777777" w:rsidR="0010200D" w:rsidRPr="0010200D" w:rsidRDefault="0010200D" w:rsidP="0010200D">
            <w:pPr>
              <w:spacing w:before="40" w:after="40"/>
              <w:jc w:val="center"/>
              <w:rPr>
                <w:szCs w:val="24"/>
              </w:rPr>
            </w:pPr>
            <w:r w:rsidRPr="0010200D">
              <w:rPr>
                <w:i/>
                <w:iCs/>
                <w:szCs w:val="24"/>
              </w:rPr>
              <w:t>No equivalent</w:t>
            </w:r>
          </w:p>
        </w:tc>
        <w:tc>
          <w:tcPr>
            <w:tcW w:w="606" w:type="dxa"/>
            <w:tcBorders>
              <w:top w:val="nil"/>
              <w:left w:val="nil"/>
              <w:bottom w:val="nil"/>
              <w:right w:val="single" w:sz="8" w:space="0" w:color="auto"/>
            </w:tcBorders>
            <w:tcMar>
              <w:top w:w="0" w:type="dxa"/>
              <w:left w:w="108" w:type="dxa"/>
              <w:bottom w:w="0" w:type="dxa"/>
              <w:right w:w="108" w:type="dxa"/>
            </w:tcMar>
            <w:hideMark/>
          </w:tcPr>
          <w:p w14:paraId="17E2F69C"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791B8B18" w14:textId="77777777" w:rsidR="0010200D" w:rsidRPr="0010200D" w:rsidRDefault="0010200D" w:rsidP="0010200D">
            <w:pPr>
              <w:spacing w:before="40" w:after="40"/>
              <w:jc w:val="center"/>
              <w:rPr>
                <w:szCs w:val="24"/>
              </w:rPr>
            </w:pPr>
            <w:r w:rsidRPr="0010200D">
              <w:rPr>
                <w:szCs w:val="24"/>
              </w:rPr>
              <w:t>21</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30B4226A" w14:textId="77777777" w:rsidR="0010200D" w:rsidRPr="0010200D" w:rsidRDefault="0010200D" w:rsidP="0010200D">
            <w:pPr>
              <w:spacing w:before="40" w:after="40"/>
              <w:jc w:val="center"/>
              <w:rPr>
                <w:szCs w:val="24"/>
              </w:rPr>
            </w:pPr>
            <w:r w:rsidRPr="0010200D">
              <w:rPr>
                <w:szCs w:val="24"/>
              </w:rPr>
              <w:t>33 to 40</w:t>
            </w:r>
          </w:p>
        </w:tc>
      </w:tr>
      <w:tr w:rsidR="0010200D" w:rsidRPr="0010200D" w14:paraId="35BF4928"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D59BC" w14:textId="77777777" w:rsidR="0010200D" w:rsidRPr="0010200D" w:rsidRDefault="0010200D" w:rsidP="0010200D">
            <w:pPr>
              <w:spacing w:before="40" w:after="40"/>
              <w:jc w:val="center"/>
              <w:rPr>
                <w:szCs w:val="24"/>
              </w:rPr>
            </w:pPr>
            <w:r w:rsidRPr="0010200D">
              <w:rPr>
                <w:szCs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7FE8597C" w14:textId="77777777" w:rsidR="0010200D" w:rsidRPr="0010200D" w:rsidRDefault="0010200D" w:rsidP="0010200D">
            <w:pPr>
              <w:spacing w:before="40" w:after="40"/>
              <w:jc w:val="center"/>
              <w:rPr>
                <w:szCs w:val="24"/>
              </w:rPr>
            </w:pPr>
            <w:r w:rsidRPr="0010200D">
              <w:rPr>
                <w:szCs w:val="24"/>
              </w:rPr>
              <w:t>3</w:t>
            </w:r>
          </w:p>
        </w:tc>
        <w:tc>
          <w:tcPr>
            <w:tcW w:w="606" w:type="dxa"/>
            <w:tcBorders>
              <w:top w:val="nil"/>
              <w:left w:val="nil"/>
              <w:bottom w:val="nil"/>
              <w:right w:val="single" w:sz="8" w:space="0" w:color="auto"/>
            </w:tcBorders>
            <w:tcMar>
              <w:top w:w="0" w:type="dxa"/>
              <w:left w:w="108" w:type="dxa"/>
              <w:bottom w:w="0" w:type="dxa"/>
              <w:right w:w="108" w:type="dxa"/>
            </w:tcMar>
            <w:hideMark/>
          </w:tcPr>
          <w:p w14:paraId="0FBDE23C"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29CD8C4" w14:textId="77777777" w:rsidR="0010200D" w:rsidRPr="0010200D" w:rsidRDefault="0010200D" w:rsidP="0010200D">
            <w:pPr>
              <w:spacing w:before="40" w:after="40"/>
              <w:jc w:val="center"/>
              <w:rPr>
                <w:szCs w:val="24"/>
              </w:rPr>
            </w:pPr>
            <w:r w:rsidRPr="0010200D">
              <w:rPr>
                <w:szCs w:val="24"/>
              </w:rPr>
              <w:t>22</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563476D2" w14:textId="77777777" w:rsidR="0010200D" w:rsidRPr="0010200D" w:rsidRDefault="0010200D" w:rsidP="0010200D">
            <w:pPr>
              <w:spacing w:before="40" w:after="40"/>
              <w:jc w:val="center"/>
              <w:rPr>
                <w:szCs w:val="24"/>
              </w:rPr>
            </w:pPr>
            <w:r w:rsidRPr="0010200D">
              <w:rPr>
                <w:szCs w:val="24"/>
              </w:rPr>
              <w:t>41 and 42</w:t>
            </w:r>
          </w:p>
        </w:tc>
      </w:tr>
      <w:tr w:rsidR="0010200D" w:rsidRPr="0010200D" w14:paraId="77737B55"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65F79" w14:textId="77777777" w:rsidR="0010200D" w:rsidRPr="0010200D" w:rsidRDefault="0010200D" w:rsidP="0010200D">
            <w:pPr>
              <w:spacing w:before="40" w:after="40"/>
              <w:jc w:val="center"/>
              <w:rPr>
                <w:szCs w:val="24"/>
              </w:rPr>
            </w:pPr>
            <w:r w:rsidRPr="0010200D">
              <w:rPr>
                <w:szCs w:val="24"/>
              </w:rPr>
              <w:t>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20695391" w14:textId="77777777" w:rsidR="0010200D" w:rsidRPr="0010200D" w:rsidRDefault="0010200D" w:rsidP="0010200D">
            <w:pPr>
              <w:spacing w:before="40" w:after="40"/>
              <w:jc w:val="center"/>
              <w:rPr>
                <w:szCs w:val="24"/>
              </w:rPr>
            </w:pPr>
            <w:r w:rsidRPr="0010200D">
              <w:rPr>
                <w:szCs w:val="24"/>
              </w:rPr>
              <w:t>4</w:t>
            </w:r>
          </w:p>
        </w:tc>
        <w:tc>
          <w:tcPr>
            <w:tcW w:w="606" w:type="dxa"/>
            <w:tcBorders>
              <w:top w:val="nil"/>
              <w:left w:val="nil"/>
              <w:bottom w:val="nil"/>
              <w:right w:val="single" w:sz="8" w:space="0" w:color="auto"/>
            </w:tcBorders>
            <w:tcMar>
              <w:top w:w="0" w:type="dxa"/>
              <w:left w:w="108" w:type="dxa"/>
              <w:bottom w:w="0" w:type="dxa"/>
              <w:right w:w="108" w:type="dxa"/>
            </w:tcMar>
            <w:hideMark/>
          </w:tcPr>
          <w:p w14:paraId="03B79468"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34C50C22" w14:textId="77777777" w:rsidR="0010200D" w:rsidRPr="0010200D" w:rsidRDefault="0010200D" w:rsidP="0010200D">
            <w:pPr>
              <w:spacing w:before="40" w:after="40"/>
              <w:jc w:val="center"/>
              <w:rPr>
                <w:szCs w:val="24"/>
              </w:rPr>
            </w:pPr>
            <w:r w:rsidRPr="0010200D">
              <w:rPr>
                <w:szCs w:val="24"/>
              </w:rPr>
              <w:t>23</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066F5098" w14:textId="77777777" w:rsidR="0010200D" w:rsidRPr="0010200D" w:rsidRDefault="0010200D" w:rsidP="0010200D">
            <w:pPr>
              <w:spacing w:before="40" w:after="40"/>
              <w:jc w:val="center"/>
              <w:rPr>
                <w:szCs w:val="24"/>
              </w:rPr>
            </w:pPr>
            <w:r w:rsidRPr="0010200D">
              <w:rPr>
                <w:szCs w:val="24"/>
              </w:rPr>
              <w:t>43</w:t>
            </w:r>
          </w:p>
        </w:tc>
      </w:tr>
      <w:tr w:rsidR="0010200D" w:rsidRPr="0010200D" w14:paraId="144C0B35"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F5ADA" w14:textId="77777777" w:rsidR="0010200D" w:rsidRPr="0010200D" w:rsidRDefault="0010200D" w:rsidP="0010200D">
            <w:pPr>
              <w:spacing w:before="40" w:after="40"/>
              <w:jc w:val="center"/>
              <w:rPr>
                <w:szCs w:val="24"/>
              </w:rPr>
            </w:pPr>
            <w:r w:rsidRPr="0010200D">
              <w:rPr>
                <w:szCs w:val="24"/>
              </w:rPr>
              <w:t>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135D1120" w14:textId="77777777" w:rsidR="0010200D" w:rsidRPr="0010200D" w:rsidRDefault="0010200D" w:rsidP="0010200D">
            <w:pPr>
              <w:spacing w:before="40" w:after="40"/>
              <w:jc w:val="center"/>
              <w:rPr>
                <w:szCs w:val="24"/>
              </w:rPr>
            </w:pPr>
            <w:r w:rsidRPr="0010200D">
              <w:rPr>
                <w:szCs w:val="24"/>
              </w:rPr>
              <w:t>7</w:t>
            </w:r>
          </w:p>
        </w:tc>
        <w:tc>
          <w:tcPr>
            <w:tcW w:w="606" w:type="dxa"/>
            <w:tcBorders>
              <w:top w:val="nil"/>
              <w:left w:val="nil"/>
              <w:bottom w:val="nil"/>
              <w:right w:val="single" w:sz="8" w:space="0" w:color="auto"/>
            </w:tcBorders>
            <w:tcMar>
              <w:top w:w="0" w:type="dxa"/>
              <w:left w:w="108" w:type="dxa"/>
              <w:bottom w:w="0" w:type="dxa"/>
              <w:right w:w="108" w:type="dxa"/>
            </w:tcMar>
            <w:hideMark/>
          </w:tcPr>
          <w:p w14:paraId="7466A761"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1301B44" w14:textId="77777777" w:rsidR="0010200D" w:rsidRPr="0010200D" w:rsidRDefault="0010200D" w:rsidP="0010200D">
            <w:pPr>
              <w:spacing w:before="40" w:after="40"/>
              <w:jc w:val="center"/>
              <w:rPr>
                <w:szCs w:val="24"/>
              </w:rPr>
            </w:pPr>
            <w:r w:rsidRPr="0010200D">
              <w:rPr>
                <w:szCs w:val="24"/>
              </w:rPr>
              <w:t>24</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4D92D040" w14:textId="08BD48FC" w:rsidR="0010200D" w:rsidRPr="0010200D" w:rsidRDefault="0010200D" w:rsidP="0010200D">
            <w:pPr>
              <w:spacing w:before="40" w:after="40"/>
              <w:jc w:val="center"/>
              <w:rPr>
                <w:szCs w:val="24"/>
              </w:rPr>
            </w:pPr>
            <w:r w:rsidRPr="0010200D">
              <w:rPr>
                <w:szCs w:val="24"/>
              </w:rPr>
              <w:t>44 to 4</w:t>
            </w:r>
            <w:r w:rsidR="000543FA">
              <w:rPr>
                <w:szCs w:val="24"/>
              </w:rPr>
              <w:t>6.1</w:t>
            </w:r>
          </w:p>
        </w:tc>
      </w:tr>
      <w:tr w:rsidR="0010200D" w:rsidRPr="0010200D" w14:paraId="35062858"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AF92" w14:textId="77777777" w:rsidR="0010200D" w:rsidRPr="0010200D" w:rsidRDefault="0010200D" w:rsidP="0010200D">
            <w:pPr>
              <w:spacing w:before="40" w:after="40"/>
              <w:jc w:val="center"/>
              <w:rPr>
                <w:szCs w:val="24"/>
              </w:rPr>
            </w:pPr>
            <w:r w:rsidRPr="0010200D">
              <w:rPr>
                <w:szCs w:val="24"/>
              </w:rPr>
              <w:t>8</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4C9A3A2C" w14:textId="77777777" w:rsidR="0010200D" w:rsidRPr="0010200D" w:rsidRDefault="0010200D" w:rsidP="0010200D">
            <w:pPr>
              <w:spacing w:before="40" w:after="40"/>
              <w:jc w:val="center"/>
              <w:rPr>
                <w:szCs w:val="24"/>
              </w:rPr>
            </w:pPr>
            <w:r w:rsidRPr="0010200D">
              <w:rPr>
                <w:szCs w:val="24"/>
              </w:rPr>
              <w:t>8</w:t>
            </w:r>
          </w:p>
        </w:tc>
        <w:tc>
          <w:tcPr>
            <w:tcW w:w="606" w:type="dxa"/>
            <w:tcBorders>
              <w:top w:val="nil"/>
              <w:left w:val="nil"/>
              <w:bottom w:val="nil"/>
              <w:right w:val="single" w:sz="8" w:space="0" w:color="auto"/>
            </w:tcBorders>
            <w:tcMar>
              <w:top w:w="0" w:type="dxa"/>
              <w:left w:w="108" w:type="dxa"/>
              <w:bottom w:w="0" w:type="dxa"/>
              <w:right w:w="108" w:type="dxa"/>
            </w:tcMar>
            <w:hideMark/>
          </w:tcPr>
          <w:p w14:paraId="53B6846C"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C03064B" w14:textId="77777777" w:rsidR="0010200D" w:rsidRPr="0010200D" w:rsidRDefault="0010200D" w:rsidP="0010200D">
            <w:pPr>
              <w:spacing w:before="40" w:after="40"/>
              <w:jc w:val="center"/>
              <w:rPr>
                <w:szCs w:val="24"/>
              </w:rPr>
            </w:pPr>
            <w:r w:rsidRPr="0010200D">
              <w:rPr>
                <w:szCs w:val="24"/>
              </w:rPr>
              <w:t>25</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3B1523AB" w14:textId="6E28155A" w:rsidR="0010200D" w:rsidRPr="0010200D" w:rsidRDefault="0010200D" w:rsidP="0010200D">
            <w:pPr>
              <w:spacing w:before="40" w:after="40"/>
              <w:jc w:val="center"/>
              <w:rPr>
                <w:szCs w:val="24"/>
              </w:rPr>
            </w:pPr>
            <w:r w:rsidRPr="0010200D">
              <w:rPr>
                <w:szCs w:val="24"/>
              </w:rPr>
              <w:t>4</w:t>
            </w:r>
            <w:r w:rsidR="000543FA">
              <w:rPr>
                <w:szCs w:val="24"/>
              </w:rPr>
              <w:t>7</w:t>
            </w:r>
            <w:r w:rsidRPr="0010200D">
              <w:rPr>
                <w:szCs w:val="24"/>
              </w:rPr>
              <w:t xml:space="preserve"> and 4</w:t>
            </w:r>
            <w:r w:rsidR="000543FA">
              <w:rPr>
                <w:szCs w:val="24"/>
              </w:rPr>
              <w:t>8</w:t>
            </w:r>
          </w:p>
        </w:tc>
      </w:tr>
      <w:tr w:rsidR="0010200D" w:rsidRPr="0010200D" w14:paraId="0EB15E83"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68DE9" w14:textId="77777777" w:rsidR="0010200D" w:rsidRPr="0010200D" w:rsidRDefault="0010200D" w:rsidP="0010200D">
            <w:pPr>
              <w:spacing w:before="40" w:after="40"/>
              <w:jc w:val="center"/>
              <w:rPr>
                <w:szCs w:val="24"/>
              </w:rPr>
            </w:pPr>
            <w:r w:rsidRPr="0010200D">
              <w:rPr>
                <w:szCs w:val="24"/>
              </w:rPr>
              <w:t>9</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55BF0A98" w14:textId="77777777" w:rsidR="0010200D" w:rsidRPr="0010200D" w:rsidRDefault="0010200D" w:rsidP="0010200D">
            <w:pPr>
              <w:spacing w:before="40" w:after="40"/>
              <w:jc w:val="center"/>
              <w:rPr>
                <w:szCs w:val="24"/>
              </w:rPr>
            </w:pPr>
            <w:r w:rsidRPr="0010200D">
              <w:rPr>
                <w:szCs w:val="24"/>
              </w:rPr>
              <w:t>9 and 10</w:t>
            </w:r>
          </w:p>
        </w:tc>
        <w:tc>
          <w:tcPr>
            <w:tcW w:w="606" w:type="dxa"/>
            <w:tcBorders>
              <w:top w:val="nil"/>
              <w:left w:val="nil"/>
              <w:bottom w:val="nil"/>
              <w:right w:val="single" w:sz="8" w:space="0" w:color="auto"/>
            </w:tcBorders>
            <w:tcMar>
              <w:top w:w="0" w:type="dxa"/>
              <w:left w:w="108" w:type="dxa"/>
              <w:bottom w:w="0" w:type="dxa"/>
              <w:right w:w="108" w:type="dxa"/>
            </w:tcMar>
            <w:hideMark/>
          </w:tcPr>
          <w:p w14:paraId="1D065917"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794821A" w14:textId="77777777" w:rsidR="0010200D" w:rsidRPr="0010200D" w:rsidRDefault="0010200D" w:rsidP="0010200D">
            <w:pPr>
              <w:spacing w:before="40" w:after="40"/>
              <w:jc w:val="center"/>
              <w:rPr>
                <w:szCs w:val="24"/>
              </w:rPr>
            </w:pPr>
            <w:r w:rsidRPr="0010200D">
              <w:rPr>
                <w:szCs w:val="24"/>
              </w:rPr>
              <w:t>26</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374FE282" w14:textId="1B4D31E7" w:rsidR="0010200D" w:rsidRPr="0010200D" w:rsidRDefault="000543FA" w:rsidP="0010200D">
            <w:pPr>
              <w:spacing w:before="40" w:after="40"/>
              <w:jc w:val="center"/>
              <w:rPr>
                <w:szCs w:val="24"/>
              </w:rPr>
            </w:pPr>
            <w:r>
              <w:rPr>
                <w:szCs w:val="24"/>
              </w:rPr>
              <w:t>49</w:t>
            </w:r>
          </w:p>
        </w:tc>
      </w:tr>
      <w:tr w:rsidR="0010200D" w:rsidRPr="0010200D" w14:paraId="444FCEC5"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36D6E" w14:textId="77777777" w:rsidR="0010200D" w:rsidRPr="0010200D" w:rsidRDefault="0010200D" w:rsidP="0010200D">
            <w:pPr>
              <w:spacing w:before="40" w:after="40"/>
              <w:jc w:val="center"/>
              <w:rPr>
                <w:szCs w:val="24"/>
              </w:rPr>
            </w:pPr>
            <w:r w:rsidRPr="0010200D">
              <w:rPr>
                <w:szCs w:val="24"/>
              </w:rPr>
              <w:t>10</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5E09E462" w14:textId="77777777" w:rsidR="0010200D" w:rsidRPr="0010200D" w:rsidRDefault="0010200D" w:rsidP="0010200D">
            <w:pPr>
              <w:spacing w:before="40" w:after="40"/>
              <w:jc w:val="center"/>
              <w:rPr>
                <w:szCs w:val="24"/>
              </w:rPr>
            </w:pPr>
            <w:r w:rsidRPr="0010200D">
              <w:rPr>
                <w:szCs w:val="24"/>
              </w:rPr>
              <w:t>11</w:t>
            </w:r>
          </w:p>
        </w:tc>
        <w:tc>
          <w:tcPr>
            <w:tcW w:w="606" w:type="dxa"/>
            <w:tcBorders>
              <w:top w:val="nil"/>
              <w:left w:val="nil"/>
              <w:bottom w:val="nil"/>
              <w:right w:val="single" w:sz="8" w:space="0" w:color="auto"/>
            </w:tcBorders>
            <w:tcMar>
              <w:top w:w="0" w:type="dxa"/>
              <w:left w:w="108" w:type="dxa"/>
              <w:bottom w:w="0" w:type="dxa"/>
              <w:right w:w="108" w:type="dxa"/>
            </w:tcMar>
            <w:hideMark/>
          </w:tcPr>
          <w:p w14:paraId="3C8B721F"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CA5E607" w14:textId="77777777" w:rsidR="0010200D" w:rsidRPr="0010200D" w:rsidRDefault="0010200D" w:rsidP="0010200D">
            <w:pPr>
              <w:spacing w:before="40" w:after="40"/>
              <w:jc w:val="center"/>
              <w:rPr>
                <w:szCs w:val="24"/>
              </w:rPr>
            </w:pPr>
            <w:r w:rsidRPr="0010200D">
              <w:rPr>
                <w:szCs w:val="24"/>
              </w:rPr>
              <w:t>27</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1376816C" w14:textId="7DE4114F" w:rsidR="0010200D" w:rsidRPr="0010200D" w:rsidRDefault="0010200D" w:rsidP="0010200D">
            <w:pPr>
              <w:spacing w:before="40" w:after="40"/>
              <w:jc w:val="center"/>
              <w:rPr>
                <w:szCs w:val="24"/>
              </w:rPr>
            </w:pPr>
            <w:r w:rsidRPr="0010200D">
              <w:rPr>
                <w:szCs w:val="24"/>
              </w:rPr>
              <w:t>5</w:t>
            </w:r>
            <w:r w:rsidR="000543FA">
              <w:rPr>
                <w:szCs w:val="24"/>
              </w:rPr>
              <w:t>0</w:t>
            </w:r>
          </w:p>
        </w:tc>
      </w:tr>
      <w:tr w:rsidR="0010200D" w:rsidRPr="0010200D" w14:paraId="68398010"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C40CB" w14:textId="77777777" w:rsidR="0010200D" w:rsidRPr="0010200D" w:rsidRDefault="0010200D" w:rsidP="0010200D">
            <w:pPr>
              <w:spacing w:before="40" w:after="40"/>
              <w:jc w:val="center"/>
              <w:rPr>
                <w:szCs w:val="24"/>
              </w:rPr>
            </w:pPr>
            <w:r w:rsidRPr="0010200D">
              <w:rPr>
                <w:szCs w:val="24"/>
              </w:rPr>
              <w:t>11</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050E94CD" w14:textId="77777777" w:rsidR="0010200D" w:rsidRPr="0010200D" w:rsidRDefault="0010200D" w:rsidP="0010200D">
            <w:pPr>
              <w:spacing w:before="40" w:after="40"/>
              <w:jc w:val="center"/>
              <w:rPr>
                <w:szCs w:val="24"/>
              </w:rPr>
            </w:pPr>
            <w:r w:rsidRPr="0010200D">
              <w:rPr>
                <w:szCs w:val="24"/>
              </w:rPr>
              <w:t>12</w:t>
            </w:r>
          </w:p>
        </w:tc>
        <w:tc>
          <w:tcPr>
            <w:tcW w:w="606" w:type="dxa"/>
            <w:tcBorders>
              <w:top w:val="nil"/>
              <w:left w:val="nil"/>
              <w:bottom w:val="nil"/>
              <w:right w:val="single" w:sz="8" w:space="0" w:color="auto"/>
            </w:tcBorders>
            <w:tcMar>
              <w:top w:w="0" w:type="dxa"/>
              <w:left w:w="108" w:type="dxa"/>
              <w:bottom w:w="0" w:type="dxa"/>
              <w:right w:w="108" w:type="dxa"/>
            </w:tcMar>
            <w:hideMark/>
          </w:tcPr>
          <w:p w14:paraId="1B6F22EA"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19B2574" w14:textId="77777777" w:rsidR="0010200D" w:rsidRPr="0010200D" w:rsidRDefault="0010200D" w:rsidP="0010200D">
            <w:pPr>
              <w:spacing w:before="40" w:after="40"/>
              <w:jc w:val="center"/>
              <w:rPr>
                <w:szCs w:val="24"/>
              </w:rPr>
            </w:pPr>
            <w:r w:rsidRPr="0010200D">
              <w:rPr>
                <w:szCs w:val="24"/>
              </w:rPr>
              <w:t>28</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07F8A0B2" w14:textId="4E0E38FC" w:rsidR="0010200D" w:rsidRPr="0010200D" w:rsidRDefault="0010200D" w:rsidP="0010200D">
            <w:pPr>
              <w:spacing w:before="40" w:after="40"/>
              <w:jc w:val="center"/>
              <w:rPr>
                <w:szCs w:val="24"/>
              </w:rPr>
            </w:pPr>
            <w:r w:rsidRPr="0010200D">
              <w:rPr>
                <w:szCs w:val="24"/>
              </w:rPr>
              <w:t>5</w:t>
            </w:r>
            <w:r w:rsidR="00634652">
              <w:rPr>
                <w:szCs w:val="24"/>
              </w:rPr>
              <w:t>4</w:t>
            </w:r>
            <w:r w:rsidR="00C20E3B">
              <w:rPr>
                <w:szCs w:val="24"/>
              </w:rPr>
              <w:t xml:space="preserve"> to </w:t>
            </w:r>
            <w:r w:rsidR="00634652">
              <w:rPr>
                <w:szCs w:val="24"/>
              </w:rPr>
              <w:t>57</w:t>
            </w:r>
          </w:p>
        </w:tc>
      </w:tr>
      <w:tr w:rsidR="0010200D" w:rsidRPr="0010200D" w14:paraId="1DCF28A9"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2D6E2" w14:textId="77777777" w:rsidR="0010200D" w:rsidRPr="0010200D" w:rsidRDefault="0010200D" w:rsidP="0010200D">
            <w:pPr>
              <w:spacing w:before="40" w:after="40"/>
              <w:jc w:val="center"/>
              <w:rPr>
                <w:szCs w:val="24"/>
              </w:rPr>
            </w:pPr>
            <w:r w:rsidRPr="0010200D">
              <w:rPr>
                <w:szCs w:val="24"/>
              </w:rPr>
              <w:t>12</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7F2A533F" w14:textId="77777777" w:rsidR="0010200D" w:rsidRPr="0010200D" w:rsidRDefault="0010200D" w:rsidP="0010200D">
            <w:pPr>
              <w:spacing w:before="40" w:after="40"/>
              <w:jc w:val="center"/>
              <w:rPr>
                <w:szCs w:val="24"/>
              </w:rPr>
            </w:pPr>
            <w:r w:rsidRPr="0010200D">
              <w:rPr>
                <w:szCs w:val="24"/>
              </w:rPr>
              <w:t>13 to 16</w:t>
            </w:r>
          </w:p>
        </w:tc>
        <w:tc>
          <w:tcPr>
            <w:tcW w:w="606" w:type="dxa"/>
            <w:tcBorders>
              <w:top w:val="nil"/>
              <w:left w:val="nil"/>
              <w:bottom w:val="nil"/>
              <w:right w:val="single" w:sz="8" w:space="0" w:color="auto"/>
            </w:tcBorders>
            <w:tcMar>
              <w:top w:w="0" w:type="dxa"/>
              <w:left w:w="108" w:type="dxa"/>
              <w:bottom w:w="0" w:type="dxa"/>
              <w:right w:w="108" w:type="dxa"/>
            </w:tcMar>
            <w:hideMark/>
          </w:tcPr>
          <w:p w14:paraId="15C88C1B"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9B39C55" w14:textId="77777777" w:rsidR="0010200D" w:rsidRPr="0010200D" w:rsidRDefault="0010200D" w:rsidP="0010200D">
            <w:pPr>
              <w:spacing w:before="40" w:after="40"/>
              <w:jc w:val="center"/>
              <w:rPr>
                <w:szCs w:val="24"/>
              </w:rPr>
            </w:pPr>
            <w:r w:rsidRPr="0010200D">
              <w:rPr>
                <w:szCs w:val="24"/>
              </w:rPr>
              <w:t>29</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0A814F62" w14:textId="124FE3CD" w:rsidR="0010200D" w:rsidRPr="0010200D" w:rsidRDefault="00634652" w:rsidP="0010200D">
            <w:pPr>
              <w:spacing w:before="40" w:after="40"/>
              <w:jc w:val="center"/>
              <w:rPr>
                <w:szCs w:val="24"/>
              </w:rPr>
            </w:pPr>
            <w:r w:rsidRPr="0010200D">
              <w:rPr>
                <w:i/>
                <w:iCs/>
                <w:szCs w:val="24"/>
              </w:rPr>
              <w:t>No equivalent</w:t>
            </w:r>
          </w:p>
        </w:tc>
      </w:tr>
      <w:tr w:rsidR="0010200D" w:rsidRPr="0010200D" w14:paraId="7B7A9680"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7AEDE" w14:textId="77777777" w:rsidR="0010200D" w:rsidRPr="0010200D" w:rsidRDefault="0010200D" w:rsidP="0010200D">
            <w:pPr>
              <w:spacing w:before="40" w:after="40"/>
              <w:jc w:val="center"/>
              <w:rPr>
                <w:szCs w:val="24"/>
              </w:rPr>
            </w:pPr>
            <w:r w:rsidRPr="0010200D">
              <w:rPr>
                <w:szCs w:val="24"/>
              </w:rPr>
              <w:t>13</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51DC3B76" w14:textId="77777777" w:rsidR="0010200D" w:rsidRPr="0010200D" w:rsidRDefault="0010200D" w:rsidP="0010200D">
            <w:pPr>
              <w:spacing w:before="40" w:after="40"/>
              <w:jc w:val="center"/>
              <w:rPr>
                <w:szCs w:val="24"/>
              </w:rPr>
            </w:pPr>
            <w:r w:rsidRPr="0010200D">
              <w:rPr>
                <w:szCs w:val="24"/>
              </w:rPr>
              <w:t>17</w:t>
            </w:r>
          </w:p>
        </w:tc>
        <w:tc>
          <w:tcPr>
            <w:tcW w:w="606" w:type="dxa"/>
            <w:tcBorders>
              <w:top w:val="nil"/>
              <w:left w:val="nil"/>
              <w:bottom w:val="nil"/>
              <w:right w:val="single" w:sz="8" w:space="0" w:color="auto"/>
            </w:tcBorders>
            <w:tcMar>
              <w:top w:w="0" w:type="dxa"/>
              <w:left w:w="108" w:type="dxa"/>
              <w:bottom w:w="0" w:type="dxa"/>
              <w:right w:w="108" w:type="dxa"/>
            </w:tcMar>
            <w:hideMark/>
          </w:tcPr>
          <w:p w14:paraId="08E1FC48"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60980489" w14:textId="77777777" w:rsidR="0010200D" w:rsidRPr="0010200D" w:rsidRDefault="0010200D" w:rsidP="0010200D">
            <w:pPr>
              <w:spacing w:before="40" w:after="40"/>
              <w:jc w:val="center"/>
              <w:rPr>
                <w:szCs w:val="24"/>
              </w:rPr>
            </w:pPr>
            <w:r w:rsidRPr="0010200D">
              <w:rPr>
                <w:szCs w:val="24"/>
              </w:rPr>
              <w:t>30</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42F2E651" w14:textId="77777777" w:rsidR="0010200D" w:rsidRPr="0010200D" w:rsidRDefault="0010200D" w:rsidP="0010200D">
            <w:pPr>
              <w:spacing w:before="40" w:after="40"/>
              <w:jc w:val="center"/>
              <w:rPr>
                <w:szCs w:val="24"/>
              </w:rPr>
            </w:pPr>
            <w:r w:rsidRPr="0010200D">
              <w:rPr>
                <w:i/>
                <w:iCs/>
                <w:szCs w:val="24"/>
              </w:rPr>
              <w:t>No equivalent</w:t>
            </w:r>
          </w:p>
        </w:tc>
      </w:tr>
      <w:tr w:rsidR="0010200D" w:rsidRPr="0010200D" w14:paraId="746E790D"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CADFA" w14:textId="77777777" w:rsidR="0010200D" w:rsidRPr="0010200D" w:rsidRDefault="0010200D" w:rsidP="0010200D">
            <w:pPr>
              <w:spacing w:before="40" w:after="40"/>
              <w:jc w:val="center"/>
              <w:rPr>
                <w:szCs w:val="24"/>
              </w:rPr>
            </w:pPr>
            <w:r w:rsidRPr="0010200D">
              <w:rPr>
                <w:szCs w:val="24"/>
              </w:rPr>
              <w:t>14</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1ADB24DE" w14:textId="77777777" w:rsidR="0010200D" w:rsidRPr="0010200D" w:rsidRDefault="0010200D" w:rsidP="0010200D">
            <w:pPr>
              <w:spacing w:before="40" w:after="40"/>
              <w:jc w:val="center"/>
              <w:rPr>
                <w:szCs w:val="24"/>
              </w:rPr>
            </w:pPr>
            <w:r w:rsidRPr="0010200D">
              <w:rPr>
                <w:szCs w:val="24"/>
              </w:rPr>
              <w:t>18</w:t>
            </w:r>
          </w:p>
        </w:tc>
        <w:tc>
          <w:tcPr>
            <w:tcW w:w="606" w:type="dxa"/>
            <w:tcBorders>
              <w:top w:val="nil"/>
              <w:left w:val="nil"/>
              <w:bottom w:val="nil"/>
              <w:right w:val="single" w:sz="8" w:space="0" w:color="auto"/>
            </w:tcBorders>
            <w:tcMar>
              <w:top w:w="0" w:type="dxa"/>
              <w:left w:w="108" w:type="dxa"/>
              <w:bottom w:w="0" w:type="dxa"/>
              <w:right w:w="108" w:type="dxa"/>
            </w:tcMar>
            <w:hideMark/>
          </w:tcPr>
          <w:p w14:paraId="64221257"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A268E91" w14:textId="77777777" w:rsidR="0010200D" w:rsidRPr="0010200D" w:rsidRDefault="0010200D" w:rsidP="0010200D">
            <w:pPr>
              <w:spacing w:before="40" w:after="40"/>
              <w:jc w:val="center"/>
              <w:rPr>
                <w:szCs w:val="24"/>
              </w:rPr>
            </w:pPr>
            <w:r w:rsidRPr="0010200D">
              <w:rPr>
                <w:szCs w:val="24"/>
              </w:rPr>
              <w:t>Schedule 1</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043806EE" w14:textId="77777777" w:rsidR="0010200D" w:rsidRPr="0010200D" w:rsidRDefault="0010200D" w:rsidP="0010200D">
            <w:pPr>
              <w:spacing w:before="40" w:after="40"/>
              <w:jc w:val="center"/>
              <w:rPr>
                <w:szCs w:val="24"/>
              </w:rPr>
            </w:pPr>
            <w:r w:rsidRPr="0010200D">
              <w:rPr>
                <w:i/>
                <w:iCs/>
                <w:szCs w:val="24"/>
              </w:rPr>
              <w:t>No equivalent</w:t>
            </w:r>
          </w:p>
        </w:tc>
      </w:tr>
      <w:tr w:rsidR="0010200D" w:rsidRPr="0010200D" w14:paraId="34D63A80"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6E873" w14:textId="77777777" w:rsidR="0010200D" w:rsidRPr="0010200D" w:rsidRDefault="0010200D" w:rsidP="0010200D">
            <w:pPr>
              <w:spacing w:before="40" w:after="40"/>
              <w:jc w:val="center"/>
              <w:rPr>
                <w:szCs w:val="24"/>
              </w:rPr>
            </w:pPr>
            <w:r w:rsidRPr="0010200D">
              <w:rPr>
                <w:szCs w:val="24"/>
              </w:rPr>
              <w:t>15</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68B06003" w14:textId="77777777" w:rsidR="0010200D" w:rsidRPr="0010200D" w:rsidRDefault="0010200D" w:rsidP="0010200D">
            <w:pPr>
              <w:spacing w:before="40" w:after="40"/>
              <w:jc w:val="center"/>
              <w:rPr>
                <w:szCs w:val="24"/>
              </w:rPr>
            </w:pPr>
            <w:r w:rsidRPr="0010200D">
              <w:rPr>
                <w:szCs w:val="24"/>
              </w:rPr>
              <w:t>19</w:t>
            </w:r>
          </w:p>
        </w:tc>
        <w:tc>
          <w:tcPr>
            <w:tcW w:w="606" w:type="dxa"/>
            <w:tcBorders>
              <w:top w:val="nil"/>
              <w:left w:val="nil"/>
              <w:bottom w:val="nil"/>
              <w:right w:val="single" w:sz="8" w:space="0" w:color="auto"/>
            </w:tcBorders>
            <w:tcMar>
              <w:top w:w="0" w:type="dxa"/>
              <w:left w:w="108" w:type="dxa"/>
              <w:bottom w:w="0" w:type="dxa"/>
              <w:right w:w="108" w:type="dxa"/>
            </w:tcMar>
            <w:hideMark/>
          </w:tcPr>
          <w:p w14:paraId="516043EE"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751AF06D" w14:textId="77777777" w:rsidR="0010200D" w:rsidRPr="0010200D" w:rsidRDefault="0010200D" w:rsidP="0010200D">
            <w:pPr>
              <w:spacing w:before="40" w:after="40"/>
              <w:jc w:val="center"/>
              <w:rPr>
                <w:szCs w:val="24"/>
              </w:rPr>
            </w:pPr>
            <w:r w:rsidRPr="0010200D">
              <w:rPr>
                <w:i/>
                <w:iCs/>
                <w:szCs w:val="24"/>
              </w:rPr>
              <w:t>omitted</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2586862D" w14:textId="77777777" w:rsidR="0010200D" w:rsidRPr="0010200D" w:rsidRDefault="0010200D" w:rsidP="0010200D">
            <w:pPr>
              <w:spacing w:before="40" w:after="40"/>
              <w:jc w:val="center"/>
              <w:rPr>
                <w:szCs w:val="24"/>
              </w:rPr>
            </w:pPr>
            <w:r w:rsidRPr="0010200D">
              <w:rPr>
                <w:szCs w:val="24"/>
              </w:rPr>
              <w:t>5</w:t>
            </w:r>
          </w:p>
        </w:tc>
      </w:tr>
      <w:tr w:rsidR="0010200D" w:rsidRPr="0010200D" w14:paraId="2411CAD7"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F0549" w14:textId="77777777" w:rsidR="0010200D" w:rsidRPr="0010200D" w:rsidRDefault="0010200D" w:rsidP="0010200D">
            <w:pPr>
              <w:spacing w:before="40" w:after="40"/>
              <w:jc w:val="center"/>
              <w:rPr>
                <w:szCs w:val="24"/>
              </w:rPr>
            </w:pPr>
            <w:r w:rsidRPr="0010200D">
              <w:rPr>
                <w:szCs w:val="24"/>
              </w:rPr>
              <w:t>16</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1ECA919F" w14:textId="77777777" w:rsidR="0010200D" w:rsidRPr="0010200D" w:rsidRDefault="0010200D" w:rsidP="0010200D">
            <w:pPr>
              <w:spacing w:before="40" w:after="40"/>
              <w:jc w:val="center"/>
              <w:rPr>
                <w:szCs w:val="24"/>
              </w:rPr>
            </w:pPr>
            <w:r w:rsidRPr="0010200D">
              <w:rPr>
                <w:szCs w:val="24"/>
              </w:rPr>
              <w:t>20 to 23</w:t>
            </w:r>
          </w:p>
        </w:tc>
        <w:tc>
          <w:tcPr>
            <w:tcW w:w="606" w:type="dxa"/>
            <w:tcBorders>
              <w:top w:val="nil"/>
              <w:left w:val="nil"/>
              <w:bottom w:val="nil"/>
              <w:right w:val="single" w:sz="8" w:space="0" w:color="auto"/>
            </w:tcBorders>
            <w:tcMar>
              <w:top w:w="0" w:type="dxa"/>
              <w:left w:w="108" w:type="dxa"/>
              <w:bottom w:w="0" w:type="dxa"/>
              <w:right w:w="108" w:type="dxa"/>
            </w:tcMar>
            <w:hideMark/>
          </w:tcPr>
          <w:p w14:paraId="5C413AE8"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D7DAE52" w14:textId="77777777" w:rsidR="0010200D" w:rsidRPr="0010200D" w:rsidRDefault="0010200D" w:rsidP="0010200D">
            <w:pPr>
              <w:spacing w:before="40" w:after="40"/>
              <w:jc w:val="center"/>
              <w:rPr>
                <w:szCs w:val="24"/>
              </w:rPr>
            </w:pPr>
            <w:r w:rsidRPr="0010200D">
              <w:rPr>
                <w:i/>
                <w:iCs/>
                <w:szCs w:val="24"/>
              </w:rPr>
              <w:t>omitted</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14:paraId="69956A09" w14:textId="77777777" w:rsidR="0010200D" w:rsidRPr="0010200D" w:rsidRDefault="0010200D" w:rsidP="0010200D">
            <w:pPr>
              <w:spacing w:before="40" w:after="40"/>
              <w:jc w:val="center"/>
              <w:rPr>
                <w:szCs w:val="24"/>
              </w:rPr>
            </w:pPr>
            <w:r w:rsidRPr="0010200D">
              <w:rPr>
                <w:szCs w:val="24"/>
              </w:rPr>
              <w:t>6</w:t>
            </w:r>
          </w:p>
        </w:tc>
      </w:tr>
      <w:tr w:rsidR="0010200D" w:rsidRPr="0010200D" w14:paraId="69C224C5" w14:textId="77777777" w:rsidTr="0010200D">
        <w:trPr>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F5F57" w14:textId="77777777" w:rsidR="0010200D" w:rsidRPr="0010200D" w:rsidRDefault="0010200D" w:rsidP="0010200D">
            <w:pPr>
              <w:spacing w:before="40" w:after="40"/>
              <w:jc w:val="center"/>
              <w:rPr>
                <w:szCs w:val="24"/>
              </w:rPr>
            </w:pPr>
            <w:r w:rsidRPr="0010200D">
              <w:rPr>
                <w:szCs w:val="24"/>
              </w:rPr>
              <w:t>17</w:t>
            </w:r>
          </w:p>
        </w:tc>
        <w:tc>
          <w:tcPr>
            <w:tcW w:w="1922" w:type="dxa"/>
            <w:tcBorders>
              <w:top w:val="nil"/>
              <w:left w:val="nil"/>
              <w:bottom w:val="single" w:sz="8" w:space="0" w:color="auto"/>
              <w:right w:val="single" w:sz="8" w:space="0" w:color="auto"/>
            </w:tcBorders>
            <w:tcMar>
              <w:top w:w="0" w:type="dxa"/>
              <w:left w:w="108" w:type="dxa"/>
              <w:bottom w:w="0" w:type="dxa"/>
              <w:right w:w="108" w:type="dxa"/>
            </w:tcMar>
            <w:hideMark/>
          </w:tcPr>
          <w:p w14:paraId="52196026" w14:textId="77777777" w:rsidR="0010200D" w:rsidRPr="0010200D" w:rsidRDefault="0010200D" w:rsidP="0010200D">
            <w:pPr>
              <w:spacing w:before="40" w:after="40"/>
              <w:jc w:val="center"/>
              <w:rPr>
                <w:szCs w:val="24"/>
              </w:rPr>
            </w:pPr>
            <w:r w:rsidRPr="0010200D">
              <w:rPr>
                <w:szCs w:val="24"/>
              </w:rPr>
              <w:t>24 and 25</w:t>
            </w:r>
          </w:p>
        </w:tc>
        <w:tc>
          <w:tcPr>
            <w:tcW w:w="606" w:type="dxa"/>
            <w:tcBorders>
              <w:top w:val="nil"/>
              <w:left w:val="nil"/>
              <w:bottom w:val="nil"/>
              <w:right w:val="nil"/>
            </w:tcBorders>
            <w:tcMar>
              <w:top w:w="0" w:type="dxa"/>
              <w:left w:w="108" w:type="dxa"/>
              <w:bottom w:w="0" w:type="dxa"/>
              <w:right w:w="108" w:type="dxa"/>
            </w:tcMar>
            <w:hideMark/>
          </w:tcPr>
          <w:p w14:paraId="328A7FF3" w14:textId="77777777" w:rsidR="0010200D" w:rsidRPr="0010200D" w:rsidRDefault="0010200D" w:rsidP="0010200D">
            <w:pPr>
              <w:spacing w:before="40" w:after="40"/>
              <w:jc w:val="center"/>
              <w:rPr>
                <w:szCs w:val="24"/>
              </w:rPr>
            </w:pPr>
            <w:r w:rsidRPr="0010200D">
              <w:rPr>
                <w:szCs w:val="24"/>
              </w:rPr>
              <w:t> </w:t>
            </w:r>
          </w:p>
        </w:tc>
        <w:tc>
          <w:tcPr>
            <w:tcW w:w="1923" w:type="dxa"/>
            <w:tcBorders>
              <w:top w:val="nil"/>
              <w:left w:val="nil"/>
              <w:bottom w:val="nil"/>
              <w:right w:val="nil"/>
            </w:tcBorders>
            <w:tcMar>
              <w:top w:w="0" w:type="dxa"/>
              <w:left w:w="108" w:type="dxa"/>
              <w:bottom w:w="0" w:type="dxa"/>
              <w:right w:w="108" w:type="dxa"/>
            </w:tcMar>
            <w:hideMark/>
          </w:tcPr>
          <w:p w14:paraId="065B6792" w14:textId="77777777" w:rsidR="0010200D" w:rsidRPr="0010200D" w:rsidRDefault="0010200D" w:rsidP="0010200D">
            <w:pPr>
              <w:spacing w:before="40" w:after="40"/>
              <w:jc w:val="center"/>
              <w:rPr>
                <w:szCs w:val="24"/>
              </w:rPr>
            </w:pPr>
            <w:r w:rsidRPr="0010200D">
              <w:rPr>
                <w:szCs w:val="24"/>
              </w:rPr>
              <w:t> </w:t>
            </w:r>
          </w:p>
        </w:tc>
        <w:tc>
          <w:tcPr>
            <w:tcW w:w="1920" w:type="dxa"/>
            <w:tcBorders>
              <w:top w:val="nil"/>
              <w:left w:val="nil"/>
              <w:bottom w:val="nil"/>
              <w:right w:val="nil"/>
            </w:tcBorders>
            <w:tcMar>
              <w:top w:w="0" w:type="dxa"/>
              <w:left w:w="108" w:type="dxa"/>
              <w:bottom w:w="0" w:type="dxa"/>
              <w:right w:w="108" w:type="dxa"/>
            </w:tcMar>
            <w:hideMark/>
          </w:tcPr>
          <w:p w14:paraId="7BA0FACA" w14:textId="77777777" w:rsidR="0010200D" w:rsidRPr="0010200D" w:rsidRDefault="0010200D" w:rsidP="0010200D">
            <w:pPr>
              <w:spacing w:before="40" w:after="40"/>
              <w:jc w:val="center"/>
              <w:rPr>
                <w:szCs w:val="24"/>
              </w:rPr>
            </w:pPr>
            <w:r w:rsidRPr="0010200D">
              <w:rPr>
                <w:szCs w:val="24"/>
              </w:rPr>
              <w:t> </w:t>
            </w:r>
          </w:p>
        </w:tc>
      </w:tr>
    </w:tbl>
    <w:p w14:paraId="3E7817AE" w14:textId="77777777" w:rsidR="00F9026A" w:rsidRDefault="00F9026A" w:rsidP="0010200D">
      <w:pPr>
        <w:shd w:val="clear" w:color="auto" w:fill="FFFFFF"/>
        <w:jc w:val="center"/>
        <w:rPr>
          <w:b/>
          <w:bCs/>
          <w:color w:val="000000"/>
          <w:szCs w:val="24"/>
        </w:rPr>
      </w:pPr>
      <w:bookmarkStart w:id="7" w:name="_Hlk77689255"/>
      <w:bookmarkEnd w:id="6"/>
    </w:p>
    <w:p w14:paraId="7D17216D" w14:textId="57DB7131" w:rsidR="00F9026A" w:rsidRPr="0010200D" w:rsidRDefault="00F9026A" w:rsidP="00F9026A">
      <w:pPr>
        <w:shd w:val="clear" w:color="auto" w:fill="FFFFFF"/>
        <w:jc w:val="center"/>
        <w:rPr>
          <w:color w:val="000000"/>
          <w:szCs w:val="24"/>
        </w:rPr>
      </w:pPr>
      <w:r w:rsidRPr="0010200D">
        <w:rPr>
          <w:b/>
          <w:bCs/>
          <w:color w:val="000000"/>
          <w:szCs w:val="24"/>
        </w:rPr>
        <w:t xml:space="preserve">Table 2: </w:t>
      </w:r>
      <w:r w:rsidR="00A317B8">
        <w:rPr>
          <w:b/>
          <w:bCs/>
          <w:color w:val="000000"/>
          <w:szCs w:val="24"/>
        </w:rPr>
        <w:t xml:space="preserve">Section in </w:t>
      </w:r>
      <w:r w:rsidRPr="0010200D">
        <w:rPr>
          <w:b/>
          <w:bCs/>
          <w:color w:val="000000"/>
          <w:szCs w:val="24"/>
        </w:rPr>
        <w:t>20</w:t>
      </w:r>
      <w:r>
        <w:rPr>
          <w:b/>
          <w:bCs/>
          <w:color w:val="000000"/>
          <w:szCs w:val="24"/>
        </w:rPr>
        <w:t>11</w:t>
      </w:r>
      <w:r w:rsidRPr="0010200D">
        <w:rPr>
          <w:b/>
          <w:bCs/>
          <w:color w:val="000000"/>
          <w:szCs w:val="24"/>
        </w:rPr>
        <w:t xml:space="preserve"> Guidelines </w:t>
      </w:r>
      <w:r w:rsidR="00A317B8">
        <w:rPr>
          <w:b/>
          <w:bCs/>
          <w:color w:val="000000"/>
          <w:szCs w:val="24"/>
        </w:rPr>
        <w:t xml:space="preserve">corresponding </w:t>
      </w:r>
      <w:r w:rsidRPr="0010200D">
        <w:rPr>
          <w:b/>
          <w:bCs/>
          <w:color w:val="000000"/>
          <w:szCs w:val="24"/>
        </w:rPr>
        <w:t>to 20</w:t>
      </w:r>
      <w:r>
        <w:rPr>
          <w:b/>
          <w:bCs/>
          <w:color w:val="000000"/>
          <w:szCs w:val="24"/>
        </w:rPr>
        <w:t>22</w:t>
      </w:r>
      <w:r w:rsidRPr="0010200D">
        <w:rPr>
          <w:b/>
          <w:bCs/>
          <w:color w:val="000000"/>
          <w:szCs w:val="24"/>
        </w:rPr>
        <w:t xml:space="preserve"> Guidelines</w:t>
      </w:r>
    </w:p>
    <w:tbl>
      <w:tblPr>
        <w:tblW w:w="5212" w:type="pct"/>
        <w:jc w:val="center"/>
        <w:tblCellMar>
          <w:left w:w="0" w:type="dxa"/>
          <w:right w:w="0" w:type="dxa"/>
        </w:tblCellMar>
        <w:tblLook w:val="04A0" w:firstRow="1" w:lastRow="0" w:firstColumn="1" w:lastColumn="0" w:noHBand="0" w:noVBand="1"/>
      </w:tblPr>
      <w:tblGrid>
        <w:gridCol w:w="1919"/>
        <w:gridCol w:w="1923"/>
        <w:gridCol w:w="826"/>
        <w:gridCol w:w="1985"/>
        <w:gridCol w:w="1984"/>
      </w:tblGrid>
      <w:tr w:rsidR="00F9026A" w:rsidRPr="0010200D" w14:paraId="1664E45C" w14:textId="77777777" w:rsidTr="008513E3">
        <w:trPr>
          <w:tblHeader/>
          <w:jc w:val="center"/>
        </w:trPr>
        <w:tc>
          <w:tcPr>
            <w:tcW w:w="19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6A5FE9" w14:textId="77777777" w:rsidR="00F9026A" w:rsidRPr="0010200D" w:rsidRDefault="00F9026A" w:rsidP="00A07306">
            <w:pPr>
              <w:spacing w:before="40" w:after="40"/>
              <w:jc w:val="center"/>
              <w:rPr>
                <w:szCs w:val="24"/>
              </w:rPr>
            </w:pPr>
            <w:r w:rsidRPr="0010200D">
              <w:rPr>
                <w:b/>
                <w:bCs/>
                <w:szCs w:val="24"/>
              </w:rPr>
              <w:t>20</w:t>
            </w:r>
            <w:r>
              <w:rPr>
                <w:b/>
                <w:bCs/>
                <w:szCs w:val="24"/>
              </w:rPr>
              <w:t>11</w:t>
            </w:r>
            <w:r w:rsidRPr="0010200D">
              <w:rPr>
                <w:b/>
                <w:bCs/>
                <w:szCs w:val="24"/>
              </w:rPr>
              <w:t xml:space="preserve"> Guidelines</w:t>
            </w:r>
          </w:p>
        </w:tc>
        <w:tc>
          <w:tcPr>
            <w:tcW w:w="192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AEE5DAA" w14:textId="77777777" w:rsidR="00F9026A" w:rsidRPr="0010200D" w:rsidRDefault="00F9026A" w:rsidP="00A07306">
            <w:pPr>
              <w:spacing w:before="40" w:after="40"/>
              <w:jc w:val="center"/>
              <w:rPr>
                <w:szCs w:val="24"/>
              </w:rPr>
            </w:pPr>
            <w:r w:rsidRPr="0010200D">
              <w:rPr>
                <w:b/>
                <w:bCs/>
                <w:szCs w:val="24"/>
              </w:rPr>
              <w:t>20</w:t>
            </w:r>
            <w:r>
              <w:rPr>
                <w:b/>
                <w:bCs/>
                <w:szCs w:val="24"/>
              </w:rPr>
              <w:t>22</w:t>
            </w:r>
            <w:r w:rsidRPr="0010200D">
              <w:rPr>
                <w:b/>
                <w:bCs/>
                <w:szCs w:val="24"/>
              </w:rPr>
              <w:t xml:space="preserve"> Guidelines</w:t>
            </w:r>
          </w:p>
        </w:tc>
        <w:tc>
          <w:tcPr>
            <w:tcW w:w="82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658C0B83" w14:textId="77777777" w:rsidR="00F9026A" w:rsidRPr="0010200D" w:rsidRDefault="00F9026A" w:rsidP="00A07306">
            <w:pPr>
              <w:spacing w:before="40" w:after="40"/>
              <w:jc w:val="center"/>
              <w:rPr>
                <w:szCs w:val="24"/>
              </w:rPr>
            </w:pPr>
            <w:r w:rsidRPr="0010200D">
              <w:rPr>
                <w:b/>
                <w:bCs/>
                <w:szCs w:val="24"/>
              </w:rPr>
              <w:t> </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8A288BD" w14:textId="77777777" w:rsidR="00F9026A" w:rsidRPr="0010200D" w:rsidRDefault="00F9026A" w:rsidP="00A07306">
            <w:pPr>
              <w:spacing w:before="40" w:after="40"/>
              <w:jc w:val="center"/>
              <w:rPr>
                <w:szCs w:val="24"/>
              </w:rPr>
            </w:pPr>
            <w:r w:rsidRPr="0010200D">
              <w:rPr>
                <w:b/>
                <w:bCs/>
                <w:szCs w:val="24"/>
              </w:rPr>
              <w:t>20</w:t>
            </w:r>
            <w:r>
              <w:rPr>
                <w:b/>
                <w:bCs/>
                <w:szCs w:val="24"/>
              </w:rPr>
              <w:t>11</w:t>
            </w:r>
            <w:r w:rsidRPr="0010200D">
              <w:rPr>
                <w:b/>
                <w:bCs/>
                <w:szCs w:val="24"/>
              </w:rPr>
              <w:t xml:space="preserve"> Guidelines</w:t>
            </w:r>
          </w:p>
        </w:tc>
        <w:tc>
          <w:tcPr>
            <w:tcW w:w="19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E64A6EF" w14:textId="77777777" w:rsidR="00F9026A" w:rsidRPr="0010200D" w:rsidRDefault="00F9026A" w:rsidP="00A07306">
            <w:pPr>
              <w:spacing w:before="40" w:after="40"/>
              <w:jc w:val="center"/>
              <w:rPr>
                <w:szCs w:val="24"/>
              </w:rPr>
            </w:pPr>
            <w:r w:rsidRPr="0010200D">
              <w:rPr>
                <w:b/>
                <w:bCs/>
                <w:szCs w:val="24"/>
              </w:rPr>
              <w:t>20</w:t>
            </w:r>
            <w:r>
              <w:rPr>
                <w:b/>
                <w:bCs/>
                <w:szCs w:val="24"/>
              </w:rPr>
              <w:t>22</w:t>
            </w:r>
            <w:r w:rsidRPr="0010200D">
              <w:rPr>
                <w:b/>
                <w:bCs/>
                <w:szCs w:val="24"/>
              </w:rPr>
              <w:t xml:space="preserve"> Guidelines</w:t>
            </w:r>
          </w:p>
        </w:tc>
      </w:tr>
      <w:tr w:rsidR="00F9026A" w:rsidRPr="0010200D" w14:paraId="431406FD"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9667A" w14:textId="77777777" w:rsidR="00F9026A" w:rsidRPr="0010200D" w:rsidRDefault="00F9026A" w:rsidP="00A07306">
            <w:pPr>
              <w:spacing w:before="40" w:after="40"/>
              <w:jc w:val="center"/>
              <w:rPr>
                <w:szCs w:val="24"/>
              </w:rPr>
            </w:pPr>
            <w:r w:rsidRPr="0010200D">
              <w:rPr>
                <w:szCs w:val="24"/>
              </w:rPr>
              <w:t>1</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2FD33FC" w14:textId="77777777" w:rsidR="00F9026A" w:rsidRPr="0010200D" w:rsidRDefault="00F9026A" w:rsidP="00A07306">
            <w:pPr>
              <w:spacing w:before="40" w:after="40"/>
              <w:jc w:val="center"/>
              <w:rPr>
                <w:szCs w:val="24"/>
              </w:rPr>
            </w:pPr>
            <w:r w:rsidRPr="0010200D">
              <w:rPr>
                <w:szCs w:val="24"/>
              </w:rPr>
              <w:t>1</w:t>
            </w:r>
          </w:p>
        </w:tc>
        <w:tc>
          <w:tcPr>
            <w:tcW w:w="826" w:type="dxa"/>
            <w:tcBorders>
              <w:top w:val="nil"/>
              <w:left w:val="nil"/>
              <w:bottom w:val="nil"/>
              <w:right w:val="single" w:sz="8" w:space="0" w:color="auto"/>
            </w:tcBorders>
            <w:tcMar>
              <w:top w:w="0" w:type="dxa"/>
              <w:left w:w="108" w:type="dxa"/>
              <w:bottom w:w="0" w:type="dxa"/>
              <w:right w:w="108" w:type="dxa"/>
            </w:tcMar>
            <w:hideMark/>
          </w:tcPr>
          <w:p w14:paraId="16BFFFF9"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ECBBA7D" w14:textId="77777777" w:rsidR="00F9026A" w:rsidRPr="0010200D" w:rsidRDefault="00F9026A" w:rsidP="00A07306">
            <w:pPr>
              <w:spacing w:before="40" w:after="40"/>
              <w:jc w:val="center"/>
              <w:rPr>
                <w:szCs w:val="24"/>
              </w:rPr>
            </w:pPr>
            <w:r w:rsidRPr="0010200D">
              <w:rPr>
                <w:szCs w:val="24"/>
              </w:rPr>
              <w:t>26 and 27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8BE2EBE" w14:textId="77777777" w:rsidR="00F9026A" w:rsidRPr="0010200D" w:rsidRDefault="00F9026A" w:rsidP="00A07306">
            <w:pPr>
              <w:spacing w:before="40" w:after="40"/>
              <w:jc w:val="center"/>
              <w:rPr>
                <w:szCs w:val="24"/>
              </w:rPr>
            </w:pPr>
            <w:r w:rsidRPr="0010200D">
              <w:rPr>
                <w:szCs w:val="24"/>
              </w:rPr>
              <w:t>18</w:t>
            </w:r>
          </w:p>
        </w:tc>
      </w:tr>
      <w:tr w:rsidR="00F9026A" w:rsidRPr="0010200D" w14:paraId="200C1BDC"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CFB30" w14:textId="77777777" w:rsidR="00F9026A" w:rsidRPr="0010200D" w:rsidRDefault="00F9026A" w:rsidP="00A07306">
            <w:pPr>
              <w:spacing w:before="40" w:after="40"/>
              <w:jc w:val="center"/>
              <w:rPr>
                <w:szCs w:val="24"/>
              </w:rPr>
            </w:pPr>
            <w:r w:rsidRPr="0010200D">
              <w:rPr>
                <w:szCs w:val="24"/>
              </w:rPr>
              <w:t>2</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741D5420" w14:textId="77777777" w:rsidR="00F9026A" w:rsidRPr="0010200D" w:rsidRDefault="00F9026A" w:rsidP="00A07306">
            <w:pPr>
              <w:spacing w:before="40" w:after="40"/>
              <w:jc w:val="center"/>
              <w:rPr>
                <w:szCs w:val="24"/>
              </w:rPr>
            </w:pPr>
            <w:r w:rsidRPr="0010200D">
              <w:rPr>
                <w:szCs w:val="24"/>
              </w:rPr>
              <w:t>2</w:t>
            </w:r>
          </w:p>
        </w:tc>
        <w:tc>
          <w:tcPr>
            <w:tcW w:w="826" w:type="dxa"/>
            <w:tcBorders>
              <w:top w:val="nil"/>
              <w:left w:val="nil"/>
              <w:bottom w:val="nil"/>
              <w:right w:val="single" w:sz="8" w:space="0" w:color="auto"/>
            </w:tcBorders>
            <w:tcMar>
              <w:top w:w="0" w:type="dxa"/>
              <w:left w:w="108" w:type="dxa"/>
              <w:bottom w:w="0" w:type="dxa"/>
              <w:right w:w="108" w:type="dxa"/>
            </w:tcMar>
            <w:hideMark/>
          </w:tcPr>
          <w:p w14:paraId="24313AD9"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FAB6DFA" w14:textId="77777777" w:rsidR="00F9026A" w:rsidRPr="0010200D" w:rsidRDefault="00F9026A" w:rsidP="00A07306">
            <w:pPr>
              <w:spacing w:before="40" w:after="40"/>
              <w:jc w:val="center"/>
              <w:rPr>
                <w:szCs w:val="24"/>
              </w:rPr>
            </w:pPr>
            <w:r w:rsidRPr="0010200D">
              <w:rPr>
                <w:szCs w:val="24"/>
              </w:rPr>
              <w:t>28 and 29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EA6CCD0" w14:textId="77777777" w:rsidR="00F9026A" w:rsidRPr="0010200D" w:rsidRDefault="00F9026A" w:rsidP="00A07306">
            <w:pPr>
              <w:spacing w:before="40" w:after="40"/>
              <w:jc w:val="center"/>
              <w:rPr>
                <w:szCs w:val="24"/>
              </w:rPr>
            </w:pPr>
            <w:r w:rsidRPr="0010200D">
              <w:rPr>
                <w:szCs w:val="24"/>
              </w:rPr>
              <w:t>19</w:t>
            </w:r>
          </w:p>
        </w:tc>
      </w:tr>
      <w:tr w:rsidR="00F9026A" w:rsidRPr="0010200D" w14:paraId="061BE82D"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587AA" w14:textId="77777777" w:rsidR="00F9026A" w:rsidRPr="0010200D" w:rsidRDefault="00F9026A" w:rsidP="00A07306">
            <w:pPr>
              <w:spacing w:before="40" w:after="40"/>
              <w:jc w:val="center"/>
              <w:rPr>
                <w:szCs w:val="24"/>
              </w:rPr>
            </w:pPr>
            <w:r w:rsidRPr="0010200D">
              <w:rPr>
                <w:szCs w:val="24"/>
              </w:rPr>
              <w:t>3</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28235D7" w14:textId="77777777" w:rsidR="00F9026A" w:rsidRPr="0010200D" w:rsidRDefault="00F9026A" w:rsidP="00A07306">
            <w:pPr>
              <w:spacing w:before="40" w:after="40"/>
              <w:jc w:val="center"/>
              <w:rPr>
                <w:szCs w:val="24"/>
              </w:rPr>
            </w:pPr>
            <w:r w:rsidRPr="0010200D">
              <w:rPr>
                <w:szCs w:val="24"/>
              </w:rPr>
              <w:t>5</w:t>
            </w:r>
          </w:p>
        </w:tc>
        <w:tc>
          <w:tcPr>
            <w:tcW w:w="826" w:type="dxa"/>
            <w:tcBorders>
              <w:top w:val="nil"/>
              <w:left w:val="nil"/>
              <w:bottom w:val="nil"/>
              <w:right w:val="single" w:sz="8" w:space="0" w:color="auto"/>
            </w:tcBorders>
            <w:tcMar>
              <w:top w:w="0" w:type="dxa"/>
              <w:left w:w="108" w:type="dxa"/>
              <w:bottom w:w="0" w:type="dxa"/>
              <w:right w:w="108" w:type="dxa"/>
            </w:tcMar>
            <w:hideMark/>
          </w:tcPr>
          <w:p w14:paraId="58582B9B"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98DC37C" w14:textId="77777777" w:rsidR="00F9026A" w:rsidRPr="0010200D" w:rsidRDefault="00F9026A" w:rsidP="00A07306">
            <w:pPr>
              <w:spacing w:before="40" w:after="40"/>
              <w:jc w:val="center"/>
              <w:rPr>
                <w:szCs w:val="24"/>
              </w:rPr>
            </w:pPr>
            <w:r w:rsidRPr="0010200D">
              <w:rPr>
                <w:szCs w:val="24"/>
              </w:rPr>
              <w:t>30 to 32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E914549" w14:textId="77777777" w:rsidR="00F9026A" w:rsidRPr="0010200D" w:rsidRDefault="00F9026A" w:rsidP="00A07306">
            <w:pPr>
              <w:spacing w:before="40" w:after="40"/>
              <w:jc w:val="center"/>
              <w:rPr>
                <w:szCs w:val="24"/>
              </w:rPr>
            </w:pPr>
            <w:r w:rsidRPr="0010200D">
              <w:rPr>
                <w:szCs w:val="24"/>
              </w:rPr>
              <w:t>20</w:t>
            </w:r>
          </w:p>
        </w:tc>
      </w:tr>
      <w:tr w:rsidR="00F9026A" w:rsidRPr="0010200D" w14:paraId="646E8EB7"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6B3FA" w14:textId="77777777" w:rsidR="00F9026A" w:rsidRPr="0010200D" w:rsidRDefault="00F9026A" w:rsidP="00A07306">
            <w:pPr>
              <w:spacing w:before="40" w:after="40"/>
              <w:jc w:val="center"/>
              <w:rPr>
                <w:szCs w:val="24"/>
              </w:rPr>
            </w:pPr>
            <w:r w:rsidRPr="0010200D">
              <w:rPr>
                <w:szCs w:val="24"/>
              </w:rPr>
              <w:lastRenderedPageBreak/>
              <w:t>4</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51536F69" w14:textId="77777777" w:rsidR="00F9026A" w:rsidRPr="0010200D" w:rsidRDefault="00F9026A" w:rsidP="00A07306">
            <w:pPr>
              <w:spacing w:before="40" w:after="40"/>
              <w:jc w:val="center"/>
              <w:rPr>
                <w:szCs w:val="24"/>
              </w:rPr>
            </w:pPr>
            <w:r w:rsidRPr="0010200D">
              <w:rPr>
                <w:szCs w:val="24"/>
              </w:rPr>
              <w:t>6</w:t>
            </w:r>
          </w:p>
        </w:tc>
        <w:tc>
          <w:tcPr>
            <w:tcW w:w="826" w:type="dxa"/>
            <w:tcBorders>
              <w:top w:val="nil"/>
              <w:left w:val="nil"/>
              <w:bottom w:val="nil"/>
              <w:right w:val="single" w:sz="8" w:space="0" w:color="auto"/>
            </w:tcBorders>
            <w:tcMar>
              <w:top w:w="0" w:type="dxa"/>
              <w:left w:w="108" w:type="dxa"/>
              <w:bottom w:w="0" w:type="dxa"/>
              <w:right w:w="108" w:type="dxa"/>
            </w:tcMar>
            <w:hideMark/>
          </w:tcPr>
          <w:p w14:paraId="08E5F713"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94444E7" w14:textId="77777777" w:rsidR="00F9026A" w:rsidRPr="0010200D" w:rsidRDefault="00F9026A" w:rsidP="00A07306">
            <w:pPr>
              <w:spacing w:before="40" w:after="40"/>
              <w:jc w:val="center"/>
              <w:rPr>
                <w:szCs w:val="24"/>
              </w:rPr>
            </w:pPr>
            <w:r w:rsidRPr="0010200D">
              <w:rPr>
                <w:szCs w:val="24"/>
              </w:rPr>
              <w:t>33 to 40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B144A2D" w14:textId="77777777" w:rsidR="00F9026A" w:rsidRPr="0010200D" w:rsidRDefault="00F9026A" w:rsidP="00A07306">
            <w:pPr>
              <w:spacing w:before="40" w:after="40"/>
              <w:jc w:val="center"/>
              <w:rPr>
                <w:szCs w:val="24"/>
              </w:rPr>
            </w:pPr>
            <w:r w:rsidRPr="0010200D">
              <w:rPr>
                <w:szCs w:val="24"/>
              </w:rPr>
              <w:t>21</w:t>
            </w:r>
          </w:p>
        </w:tc>
      </w:tr>
      <w:tr w:rsidR="00F9026A" w:rsidRPr="0010200D" w14:paraId="69D90C42"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5F1AE" w14:textId="77777777" w:rsidR="00F9026A" w:rsidRPr="0010200D" w:rsidRDefault="00F9026A" w:rsidP="00A07306">
            <w:pPr>
              <w:spacing w:before="40" w:after="40"/>
              <w:jc w:val="center"/>
              <w:rPr>
                <w:szCs w:val="24"/>
              </w:rPr>
            </w:pPr>
            <w:r w:rsidRPr="0010200D">
              <w:rPr>
                <w:szCs w:val="24"/>
              </w:rPr>
              <w:t>5</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61F5429A" w14:textId="77777777" w:rsidR="00F9026A" w:rsidRPr="0010200D" w:rsidRDefault="00F9026A" w:rsidP="00A07306">
            <w:pPr>
              <w:spacing w:before="40" w:after="40"/>
              <w:jc w:val="center"/>
              <w:rPr>
                <w:szCs w:val="24"/>
              </w:rPr>
            </w:pPr>
            <w:r w:rsidRPr="0010200D">
              <w:rPr>
                <w:i/>
                <w:iCs/>
                <w:szCs w:val="24"/>
              </w:rPr>
              <w:t>omitted</w:t>
            </w:r>
          </w:p>
        </w:tc>
        <w:tc>
          <w:tcPr>
            <w:tcW w:w="826" w:type="dxa"/>
            <w:tcBorders>
              <w:top w:val="nil"/>
              <w:left w:val="nil"/>
              <w:bottom w:val="nil"/>
              <w:right w:val="single" w:sz="8" w:space="0" w:color="auto"/>
            </w:tcBorders>
            <w:tcMar>
              <w:top w:w="0" w:type="dxa"/>
              <w:left w:w="108" w:type="dxa"/>
              <w:bottom w:w="0" w:type="dxa"/>
              <w:right w:w="108" w:type="dxa"/>
            </w:tcMar>
            <w:hideMark/>
          </w:tcPr>
          <w:p w14:paraId="1908F61A"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7D5F161" w14:textId="77777777" w:rsidR="00F9026A" w:rsidRPr="0010200D" w:rsidRDefault="00F9026A" w:rsidP="00A07306">
            <w:pPr>
              <w:spacing w:before="40" w:after="40"/>
              <w:jc w:val="center"/>
              <w:rPr>
                <w:szCs w:val="24"/>
              </w:rPr>
            </w:pPr>
            <w:r w:rsidRPr="0010200D">
              <w:rPr>
                <w:szCs w:val="24"/>
              </w:rPr>
              <w:t>41 and 42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599D6FA" w14:textId="77777777" w:rsidR="00F9026A" w:rsidRPr="0010200D" w:rsidRDefault="00F9026A" w:rsidP="00A07306">
            <w:pPr>
              <w:spacing w:before="40" w:after="40"/>
              <w:jc w:val="center"/>
              <w:rPr>
                <w:szCs w:val="24"/>
              </w:rPr>
            </w:pPr>
            <w:r w:rsidRPr="0010200D">
              <w:rPr>
                <w:szCs w:val="24"/>
              </w:rPr>
              <w:t>22</w:t>
            </w:r>
          </w:p>
        </w:tc>
      </w:tr>
      <w:tr w:rsidR="00F9026A" w:rsidRPr="0010200D" w14:paraId="4523C1CF"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3F34" w14:textId="77777777" w:rsidR="00F9026A" w:rsidRPr="0010200D" w:rsidRDefault="00F9026A" w:rsidP="00A07306">
            <w:pPr>
              <w:spacing w:before="40" w:after="40"/>
              <w:jc w:val="center"/>
              <w:rPr>
                <w:szCs w:val="24"/>
              </w:rPr>
            </w:pPr>
            <w:r w:rsidRPr="0010200D">
              <w:rPr>
                <w:szCs w:val="24"/>
              </w:rPr>
              <w:t>6</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55D9811" w14:textId="77777777" w:rsidR="00F9026A" w:rsidRPr="0010200D" w:rsidRDefault="00F9026A" w:rsidP="00A07306">
            <w:pPr>
              <w:spacing w:before="40" w:after="40"/>
              <w:jc w:val="center"/>
              <w:rPr>
                <w:szCs w:val="24"/>
              </w:rPr>
            </w:pPr>
            <w:r w:rsidRPr="0010200D">
              <w:rPr>
                <w:i/>
                <w:iCs/>
                <w:szCs w:val="24"/>
              </w:rPr>
              <w:t>omitted</w:t>
            </w:r>
          </w:p>
        </w:tc>
        <w:tc>
          <w:tcPr>
            <w:tcW w:w="826" w:type="dxa"/>
            <w:tcBorders>
              <w:top w:val="nil"/>
              <w:left w:val="nil"/>
              <w:bottom w:val="nil"/>
              <w:right w:val="single" w:sz="8" w:space="0" w:color="auto"/>
            </w:tcBorders>
            <w:tcMar>
              <w:top w:w="0" w:type="dxa"/>
              <w:left w:w="108" w:type="dxa"/>
              <w:bottom w:w="0" w:type="dxa"/>
              <w:right w:w="108" w:type="dxa"/>
            </w:tcMar>
            <w:hideMark/>
          </w:tcPr>
          <w:p w14:paraId="129F866A"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CF459DE" w14:textId="77777777" w:rsidR="00F9026A" w:rsidRPr="0010200D" w:rsidRDefault="00F9026A" w:rsidP="00A07306">
            <w:pPr>
              <w:spacing w:before="40" w:after="40"/>
              <w:jc w:val="center"/>
              <w:rPr>
                <w:szCs w:val="24"/>
              </w:rPr>
            </w:pPr>
            <w:r w:rsidRPr="0010200D">
              <w:rPr>
                <w:szCs w:val="24"/>
              </w:rPr>
              <w:t>43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284675" w14:textId="77777777" w:rsidR="00F9026A" w:rsidRPr="0010200D" w:rsidRDefault="00F9026A" w:rsidP="00A07306">
            <w:pPr>
              <w:spacing w:before="40" w:after="40"/>
              <w:jc w:val="center"/>
              <w:rPr>
                <w:szCs w:val="24"/>
              </w:rPr>
            </w:pPr>
            <w:r w:rsidRPr="0010200D">
              <w:rPr>
                <w:szCs w:val="24"/>
              </w:rPr>
              <w:t>23</w:t>
            </w:r>
          </w:p>
        </w:tc>
      </w:tr>
      <w:tr w:rsidR="00F9026A" w:rsidRPr="0010200D" w14:paraId="1D9842E1"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EEABC" w14:textId="77777777" w:rsidR="00F9026A" w:rsidRPr="0010200D" w:rsidRDefault="00F9026A" w:rsidP="00A07306">
            <w:pPr>
              <w:spacing w:before="40" w:after="40"/>
              <w:jc w:val="center"/>
              <w:rPr>
                <w:szCs w:val="24"/>
              </w:rPr>
            </w:pPr>
            <w:r w:rsidRPr="0010200D">
              <w:rPr>
                <w:szCs w:val="24"/>
              </w:rPr>
              <w:t>7</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80FDB2E" w14:textId="77777777" w:rsidR="00F9026A" w:rsidRPr="0010200D" w:rsidRDefault="00F9026A" w:rsidP="00A07306">
            <w:pPr>
              <w:spacing w:before="40" w:after="40"/>
              <w:jc w:val="center"/>
              <w:rPr>
                <w:szCs w:val="24"/>
              </w:rPr>
            </w:pPr>
            <w:r w:rsidRPr="0010200D">
              <w:rPr>
                <w:szCs w:val="24"/>
              </w:rPr>
              <w:t>7</w:t>
            </w:r>
          </w:p>
        </w:tc>
        <w:tc>
          <w:tcPr>
            <w:tcW w:w="826" w:type="dxa"/>
            <w:tcBorders>
              <w:top w:val="nil"/>
              <w:left w:val="nil"/>
              <w:bottom w:val="nil"/>
              <w:right w:val="single" w:sz="8" w:space="0" w:color="auto"/>
            </w:tcBorders>
            <w:tcMar>
              <w:top w:w="0" w:type="dxa"/>
              <w:left w:w="108" w:type="dxa"/>
              <w:bottom w:w="0" w:type="dxa"/>
              <w:right w:w="108" w:type="dxa"/>
            </w:tcMar>
            <w:hideMark/>
          </w:tcPr>
          <w:p w14:paraId="035845FC"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C8198F4" w14:textId="77777777" w:rsidR="00F9026A" w:rsidRPr="00BF7C1B" w:rsidRDefault="00F9026A" w:rsidP="00A07306">
            <w:pPr>
              <w:spacing w:before="40" w:after="40"/>
              <w:jc w:val="center"/>
              <w:rPr>
                <w:szCs w:val="24"/>
              </w:rPr>
            </w:pPr>
            <w:r w:rsidRPr="00BF7C1B">
              <w:rPr>
                <w:szCs w:val="24"/>
              </w:rPr>
              <w:t>44 to 46.1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D5C2A0" w14:textId="77777777" w:rsidR="00F9026A" w:rsidRPr="00BF7C1B" w:rsidRDefault="00F9026A" w:rsidP="00A07306">
            <w:pPr>
              <w:spacing w:before="40" w:after="40"/>
              <w:jc w:val="center"/>
              <w:rPr>
                <w:szCs w:val="24"/>
              </w:rPr>
            </w:pPr>
            <w:r w:rsidRPr="00BF7C1B">
              <w:rPr>
                <w:szCs w:val="24"/>
              </w:rPr>
              <w:t>24</w:t>
            </w:r>
          </w:p>
        </w:tc>
      </w:tr>
      <w:tr w:rsidR="00F9026A" w:rsidRPr="0010200D" w14:paraId="7FAB8EB5"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A618A" w14:textId="77777777" w:rsidR="00F9026A" w:rsidRPr="0010200D" w:rsidRDefault="00F9026A" w:rsidP="00A07306">
            <w:pPr>
              <w:spacing w:before="40" w:after="40"/>
              <w:jc w:val="center"/>
              <w:rPr>
                <w:szCs w:val="24"/>
              </w:rPr>
            </w:pPr>
            <w:r w:rsidRPr="0010200D">
              <w:rPr>
                <w:szCs w:val="24"/>
              </w:rPr>
              <w:t>8</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18CE6FD" w14:textId="77777777" w:rsidR="00F9026A" w:rsidRPr="0010200D" w:rsidRDefault="00F9026A" w:rsidP="00A07306">
            <w:pPr>
              <w:spacing w:before="40" w:after="40"/>
              <w:jc w:val="center"/>
              <w:rPr>
                <w:szCs w:val="24"/>
              </w:rPr>
            </w:pPr>
            <w:r w:rsidRPr="0010200D">
              <w:rPr>
                <w:szCs w:val="24"/>
              </w:rPr>
              <w:t>8</w:t>
            </w:r>
          </w:p>
        </w:tc>
        <w:tc>
          <w:tcPr>
            <w:tcW w:w="826" w:type="dxa"/>
            <w:tcBorders>
              <w:top w:val="nil"/>
              <w:left w:val="nil"/>
              <w:bottom w:val="nil"/>
              <w:right w:val="single" w:sz="8" w:space="0" w:color="auto"/>
            </w:tcBorders>
            <w:tcMar>
              <w:top w:w="0" w:type="dxa"/>
              <w:left w:w="108" w:type="dxa"/>
              <w:bottom w:w="0" w:type="dxa"/>
              <w:right w:w="108" w:type="dxa"/>
            </w:tcMar>
            <w:hideMark/>
          </w:tcPr>
          <w:p w14:paraId="55865B7D" w14:textId="77777777" w:rsidR="00F9026A" w:rsidRPr="008513E3" w:rsidRDefault="00F9026A" w:rsidP="00A07306">
            <w:pPr>
              <w:spacing w:before="40" w:after="40"/>
              <w:jc w:val="center"/>
              <w:rPr>
                <w:szCs w:val="24"/>
              </w:rPr>
            </w:pPr>
            <w:r w:rsidRPr="008513E3">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E70B39D" w14:textId="77777777" w:rsidR="00F9026A" w:rsidRPr="00BF7C1B" w:rsidRDefault="00F9026A" w:rsidP="00A07306">
            <w:pPr>
              <w:spacing w:before="40" w:after="40"/>
              <w:jc w:val="center"/>
              <w:rPr>
                <w:szCs w:val="24"/>
              </w:rPr>
            </w:pPr>
            <w:r w:rsidRPr="00BF7C1B">
              <w:rPr>
                <w:szCs w:val="24"/>
              </w:rPr>
              <w:t>47 and 48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4A74268" w14:textId="77777777" w:rsidR="00F9026A" w:rsidRPr="00BF7C1B" w:rsidRDefault="00F9026A" w:rsidP="00A07306">
            <w:pPr>
              <w:spacing w:before="40" w:after="40"/>
              <w:jc w:val="center"/>
              <w:rPr>
                <w:szCs w:val="24"/>
              </w:rPr>
            </w:pPr>
            <w:r w:rsidRPr="00BF7C1B">
              <w:rPr>
                <w:szCs w:val="24"/>
              </w:rPr>
              <w:t>25</w:t>
            </w:r>
          </w:p>
        </w:tc>
      </w:tr>
      <w:tr w:rsidR="00F9026A" w:rsidRPr="0010200D" w14:paraId="04093CE1"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EAA6A" w14:textId="77777777" w:rsidR="00F9026A" w:rsidRPr="0010200D" w:rsidRDefault="00F9026A" w:rsidP="00A07306">
            <w:pPr>
              <w:spacing w:before="40" w:after="40"/>
              <w:jc w:val="center"/>
              <w:rPr>
                <w:szCs w:val="24"/>
              </w:rPr>
            </w:pPr>
            <w:r w:rsidRPr="0010200D">
              <w:rPr>
                <w:szCs w:val="24"/>
              </w:rPr>
              <w:t>9 and 10</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432C9DAB" w14:textId="77777777" w:rsidR="00F9026A" w:rsidRPr="0010200D" w:rsidRDefault="00F9026A" w:rsidP="00A07306">
            <w:pPr>
              <w:spacing w:before="40" w:after="40"/>
              <w:jc w:val="center"/>
              <w:rPr>
                <w:szCs w:val="24"/>
              </w:rPr>
            </w:pPr>
            <w:r w:rsidRPr="0010200D">
              <w:rPr>
                <w:szCs w:val="24"/>
              </w:rPr>
              <w:t>9</w:t>
            </w:r>
          </w:p>
        </w:tc>
        <w:tc>
          <w:tcPr>
            <w:tcW w:w="826" w:type="dxa"/>
            <w:tcBorders>
              <w:top w:val="nil"/>
              <w:left w:val="nil"/>
              <w:bottom w:val="nil"/>
              <w:right w:val="single" w:sz="8" w:space="0" w:color="auto"/>
            </w:tcBorders>
            <w:tcMar>
              <w:top w:w="0" w:type="dxa"/>
              <w:left w:w="108" w:type="dxa"/>
              <w:bottom w:w="0" w:type="dxa"/>
              <w:right w:w="108" w:type="dxa"/>
            </w:tcMar>
            <w:hideMark/>
          </w:tcPr>
          <w:p w14:paraId="21A97806"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D6E3BEB" w14:textId="77777777" w:rsidR="00F9026A" w:rsidRPr="00BF7C1B" w:rsidRDefault="00F9026A" w:rsidP="00A07306">
            <w:pPr>
              <w:spacing w:before="40" w:after="40"/>
              <w:jc w:val="center"/>
              <w:rPr>
                <w:szCs w:val="24"/>
              </w:rPr>
            </w:pPr>
            <w:r w:rsidRPr="00BF7C1B">
              <w:rPr>
                <w:szCs w:val="24"/>
              </w:rPr>
              <w:t>49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8FD99FD" w14:textId="77777777" w:rsidR="00F9026A" w:rsidRPr="00BF7C1B" w:rsidRDefault="00F9026A" w:rsidP="00A07306">
            <w:pPr>
              <w:spacing w:before="40" w:after="40"/>
              <w:jc w:val="center"/>
              <w:rPr>
                <w:szCs w:val="24"/>
              </w:rPr>
            </w:pPr>
            <w:r w:rsidRPr="00BF7C1B">
              <w:rPr>
                <w:szCs w:val="24"/>
              </w:rPr>
              <w:t>26</w:t>
            </w:r>
          </w:p>
        </w:tc>
      </w:tr>
      <w:tr w:rsidR="00F9026A" w:rsidRPr="0010200D" w14:paraId="6DBDC9BD"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13F87" w14:textId="77777777" w:rsidR="00F9026A" w:rsidRPr="0010200D" w:rsidRDefault="00F9026A" w:rsidP="00A07306">
            <w:pPr>
              <w:spacing w:before="40" w:after="40"/>
              <w:jc w:val="center"/>
              <w:rPr>
                <w:szCs w:val="24"/>
              </w:rPr>
            </w:pPr>
            <w:r w:rsidRPr="0010200D">
              <w:rPr>
                <w:szCs w:val="24"/>
              </w:rPr>
              <w:t>11</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09F1C4D" w14:textId="77777777" w:rsidR="00F9026A" w:rsidRPr="0010200D" w:rsidRDefault="00F9026A" w:rsidP="00A07306">
            <w:pPr>
              <w:spacing w:before="40" w:after="40"/>
              <w:jc w:val="center"/>
              <w:rPr>
                <w:szCs w:val="24"/>
              </w:rPr>
            </w:pPr>
            <w:r w:rsidRPr="0010200D">
              <w:rPr>
                <w:szCs w:val="24"/>
              </w:rPr>
              <w:t>10</w:t>
            </w:r>
          </w:p>
        </w:tc>
        <w:tc>
          <w:tcPr>
            <w:tcW w:w="826" w:type="dxa"/>
            <w:tcBorders>
              <w:top w:val="nil"/>
              <w:left w:val="nil"/>
              <w:bottom w:val="nil"/>
              <w:right w:val="single" w:sz="8" w:space="0" w:color="auto"/>
            </w:tcBorders>
            <w:tcMar>
              <w:top w:w="0" w:type="dxa"/>
              <w:left w:w="108" w:type="dxa"/>
              <w:bottom w:w="0" w:type="dxa"/>
              <w:right w:w="108" w:type="dxa"/>
            </w:tcMar>
            <w:hideMark/>
          </w:tcPr>
          <w:p w14:paraId="130D6C00"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4F4EE0E" w14:textId="77777777" w:rsidR="00F9026A" w:rsidRPr="0010200D" w:rsidRDefault="00F9026A" w:rsidP="00A07306">
            <w:pPr>
              <w:spacing w:before="40" w:after="40"/>
              <w:jc w:val="center"/>
              <w:rPr>
                <w:szCs w:val="24"/>
              </w:rPr>
            </w:pPr>
            <w:r w:rsidRPr="0010200D">
              <w:rPr>
                <w:szCs w:val="24"/>
              </w:rPr>
              <w:t>5</w:t>
            </w:r>
            <w:r>
              <w:rPr>
                <w:szCs w:val="24"/>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5D4F73" w14:textId="77777777" w:rsidR="00F9026A" w:rsidRPr="0010200D" w:rsidRDefault="00F9026A" w:rsidP="00A07306">
            <w:pPr>
              <w:spacing w:before="40" w:after="40"/>
              <w:jc w:val="center"/>
              <w:rPr>
                <w:szCs w:val="24"/>
              </w:rPr>
            </w:pPr>
            <w:r w:rsidRPr="0010200D">
              <w:rPr>
                <w:szCs w:val="24"/>
              </w:rPr>
              <w:t>27</w:t>
            </w:r>
          </w:p>
        </w:tc>
      </w:tr>
      <w:tr w:rsidR="00F9026A" w:rsidRPr="0010200D" w14:paraId="754A195C"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14522" w14:textId="77777777" w:rsidR="00F9026A" w:rsidRPr="0010200D" w:rsidRDefault="00F9026A" w:rsidP="00A07306">
            <w:pPr>
              <w:spacing w:before="40" w:after="40"/>
              <w:jc w:val="center"/>
              <w:rPr>
                <w:szCs w:val="24"/>
              </w:rPr>
            </w:pPr>
            <w:r w:rsidRPr="0010200D">
              <w:rPr>
                <w:szCs w:val="24"/>
              </w:rPr>
              <w:t>12</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56F5EB5D" w14:textId="77777777" w:rsidR="00F9026A" w:rsidRPr="0010200D" w:rsidRDefault="00F9026A" w:rsidP="00A07306">
            <w:pPr>
              <w:spacing w:before="40" w:after="40"/>
              <w:jc w:val="center"/>
              <w:rPr>
                <w:szCs w:val="24"/>
              </w:rPr>
            </w:pPr>
            <w:r w:rsidRPr="0010200D">
              <w:rPr>
                <w:szCs w:val="24"/>
              </w:rPr>
              <w:t>11</w:t>
            </w:r>
          </w:p>
        </w:tc>
        <w:tc>
          <w:tcPr>
            <w:tcW w:w="826" w:type="dxa"/>
            <w:tcBorders>
              <w:top w:val="nil"/>
              <w:left w:val="nil"/>
              <w:bottom w:val="nil"/>
              <w:right w:val="single" w:sz="8" w:space="0" w:color="auto"/>
            </w:tcBorders>
            <w:tcMar>
              <w:top w:w="0" w:type="dxa"/>
              <w:left w:w="108" w:type="dxa"/>
              <w:bottom w:w="0" w:type="dxa"/>
              <w:right w:w="108" w:type="dxa"/>
            </w:tcMar>
            <w:hideMark/>
          </w:tcPr>
          <w:p w14:paraId="33532999"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86FB21E" w14:textId="77777777" w:rsidR="00F9026A" w:rsidRPr="0010200D" w:rsidRDefault="00F9026A" w:rsidP="00A07306">
            <w:pPr>
              <w:spacing w:before="40" w:after="40"/>
              <w:jc w:val="center"/>
              <w:rPr>
                <w:szCs w:val="24"/>
              </w:rPr>
            </w:pPr>
            <w:r w:rsidRPr="0010200D">
              <w:rPr>
                <w:szCs w:val="24"/>
              </w:rPr>
              <w:t>51A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010F315" w14:textId="77777777" w:rsidR="00F9026A" w:rsidRPr="0010200D" w:rsidRDefault="00F9026A" w:rsidP="00A07306">
            <w:pPr>
              <w:spacing w:before="40" w:after="40"/>
              <w:jc w:val="center"/>
              <w:rPr>
                <w:szCs w:val="24"/>
              </w:rPr>
            </w:pPr>
            <w:r w:rsidRPr="0010200D">
              <w:rPr>
                <w:szCs w:val="24"/>
              </w:rPr>
              <w:t>28</w:t>
            </w:r>
          </w:p>
        </w:tc>
      </w:tr>
      <w:tr w:rsidR="00F9026A" w:rsidRPr="0010200D" w14:paraId="46E18CFB"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C91F" w14:textId="77777777" w:rsidR="00F9026A" w:rsidRPr="0010200D" w:rsidRDefault="00F9026A" w:rsidP="00A07306">
            <w:pPr>
              <w:spacing w:before="40" w:after="40"/>
              <w:jc w:val="center"/>
              <w:rPr>
                <w:szCs w:val="24"/>
              </w:rPr>
            </w:pPr>
            <w:r w:rsidRPr="0010200D">
              <w:rPr>
                <w:szCs w:val="24"/>
              </w:rPr>
              <w:t>13 to 16</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5D1F76E9" w14:textId="77777777" w:rsidR="00F9026A" w:rsidRPr="0010200D" w:rsidRDefault="00F9026A" w:rsidP="00A07306">
            <w:pPr>
              <w:spacing w:before="40" w:after="40"/>
              <w:jc w:val="center"/>
              <w:rPr>
                <w:szCs w:val="24"/>
              </w:rPr>
            </w:pPr>
            <w:r w:rsidRPr="0010200D">
              <w:rPr>
                <w:szCs w:val="24"/>
              </w:rPr>
              <w:t>12</w:t>
            </w:r>
          </w:p>
        </w:tc>
        <w:tc>
          <w:tcPr>
            <w:tcW w:w="826" w:type="dxa"/>
            <w:tcBorders>
              <w:top w:val="nil"/>
              <w:left w:val="nil"/>
              <w:bottom w:val="nil"/>
              <w:right w:val="single" w:sz="8" w:space="0" w:color="auto"/>
            </w:tcBorders>
            <w:tcMar>
              <w:top w:w="0" w:type="dxa"/>
              <w:left w:w="108" w:type="dxa"/>
              <w:bottom w:w="0" w:type="dxa"/>
              <w:right w:w="108" w:type="dxa"/>
            </w:tcMar>
            <w:hideMark/>
          </w:tcPr>
          <w:p w14:paraId="1B21C1E2"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917AA87" w14:textId="77777777" w:rsidR="00F9026A" w:rsidRPr="0010200D" w:rsidRDefault="00F9026A" w:rsidP="00A07306">
            <w:pPr>
              <w:spacing w:before="40" w:after="40"/>
              <w:jc w:val="center"/>
              <w:rPr>
                <w:szCs w:val="24"/>
              </w:rPr>
            </w:pPr>
            <w:r w:rsidRPr="0010200D">
              <w:rPr>
                <w:i/>
                <w:iCs/>
                <w:szCs w:val="24"/>
              </w:rPr>
              <w:t>No equivalent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BF5FC6C" w14:textId="77777777" w:rsidR="00F9026A" w:rsidRPr="0010200D" w:rsidRDefault="00F9026A" w:rsidP="00A07306">
            <w:pPr>
              <w:spacing w:before="40" w:after="40"/>
              <w:jc w:val="center"/>
              <w:rPr>
                <w:szCs w:val="24"/>
              </w:rPr>
            </w:pPr>
            <w:r w:rsidRPr="0010200D">
              <w:rPr>
                <w:szCs w:val="24"/>
              </w:rPr>
              <w:t>29</w:t>
            </w:r>
          </w:p>
        </w:tc>
      </w:tr>
      <w:tr w:rsidR="00F9026A" w:rsidRPr="0010200D" w14:paraId="0B17F66C"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A598A" w14:textId="77777777" w:rsidR="00F9026A" w:rsidRPr="0010200D" w:rsidRDefault="00F9026A" w:rsidP="00A07306">
            <w:pPr>
              <w:spacing w:before="40" w:after="40"/>
              <w:jc w:val="center"/>
              <w:rPr>
                <w:szCs w:val="24"/>
              </w:rPr>
            </w:pPr>
            <w:r w:rsidRPr="0010200D">
              <w:rPr>
                <w:szCs w:val="24"/>
              </w:rPr>
              <w:t>17</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1A79F39A" w14:textId="77777777" w:rsidR="00F9026A" w:rsidRPr="0010200D" w:rsidRDefault="00F9026A" w:rsidP="00A07306">
            <w:pPr>
              <w:spacing w:before="40" w:after="40"/>
              <w:jc w:val="center"/>
              <w:rPr>
                <w:szCs w:val="24"/>
              </w:rPr>
            </w:pPr>
            <w:r w:rsidRPr="0010200D">
              <w:rPr>
                <w:szCs w:val="24"/>
              </w:rPr>
              <w:t>13</w:t>
            </w:r>
          </w:p>
        </w:tc>
        <w:tc>
          <w:tcPr>
            <w:tcW w:w="826" w:type="dxa"/>
            <w:tcBorders>
              <w:top w:val="nil"/>
              <w:left w:val="nil"/>
              <w:bottom w:val="nil"/>
              <w:right w:val="single" w:sz="8" w:space="0" w:color="auto"/>
            </w:tcBorders>
            <w:tcMar>
              <w:top w:w="0" w:type="dxa"/>
              <w:left w:w="108" w:type="dxa"/>
              <w:bottom w:w="0" w:type="dxa"/>
              <w:right w:w="108" w:type="dxa"/>
            </w:tcMar>
            <w:hideMark/>
          </w:tcPr>
          <w:p w14:paraId="53832712"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97ECC5B" w14:textId="77777777" w:rsidR="00F9026A" w:rsidRPr="0010200D" w:rsidRDefault="00F9026A" w:rsidP="00A07306">
            <w:pPr>
              <w:spacing w:before="40" w:after="40"/>
              <w:jc w:val="center"/>
              <w:rPr>
                <w:szCs w:val="24"/>
              </w:rPr>
            </w:pPr>
            <w:r w:rsidRPr="0010200D">
              <w:rPr>
                <w:i/>
                <w:iCs/>
                <w:szCs w:val="24"/>
              </w:rPr>
              <w:t>No equivalent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72B1B3" w14:textId="77777777" w:rsidR="00F9026A" w:rsidRPr="0010200D" w:rsidRDefault="00F9026A" w:rsidP="00A07306">
            <w:pPr>
              <w:spacing w:before="40" w:after="40"/>
              <w:jc w:val="center"/>
              <w:rPr>
                <w:szCs w:val="24"/>
              </w:rPr>
            </w:pPr>
            <w:r w:rsidRPr="0010200D">
              <w:rPr>
                <w:szCs w:val="24"/>
              </w:rPr>
              <w:t>30</w:t>
            </w:r>
          </w:p>
        </w:tc>
      </w:tr>
      <w:tr w:rsidR="00F9026A" w:rsidRPr="0010200D" w14:paraId="56CA47D2"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55145" w14:textId="77777777" w:rsidR="00F9026A" w:rsidRPr="0010200D" w:rsidRDefault="00F9026A" w:rsidP="00A07306">
            <w:pPr>
              <w:spacing w:before="40" w:after="40"/>
              <w:jc w:val="center"/>
              <w:rPr>
                <w:szCs w:val="24"/>
              </w:rPr>
            </w:pPr>
            <w:r w:rsidRPr="0010200D">
              <w:rPr>
                <w:szCs w:val="24"/>
              </w:rPr>
              <w:t>18</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311B9B36" w14:textId="77777777" w:rsidR="00F9026A" w:rsidRPr="0010200D" w:rsidRDefault="00F9026A" w:rsidP="00A07306">
            <w:pPr>
              <w:spacing w:before="40" w:after="40"/>
              <w:jc w:val="center"/>
              <w:rPr>
                <w:szCs w:val="24"/>
              </w:rPr>
            </w:pPr>
            <w:r w:rsidRPr="0010200D">
              <w:rPr>
                <w:szCs w:val="24"/>
              </w:rPr>
              <w:t>14</w:t>
            </w:r>
          </w:p>
        </w:tc>
        <w:tc>
          <w:tcPr>
            <w:tcW w:w="826" w:type="dxa"/>
            <w:tcBorders>
              <w:top w:val="nil"/>
              <w:left w:val="nil"/>
              <w:bottom w:val="nil"/>
              <w:right w:val="single" w:sz="8" w:space="0" w:color="auto"/>
            </w:tcBorders>
            <w:tcMar>
              <w:top w:w="0" w:type="dxa"/>
              <w:left w:w="108" w:type="dxa"/>
              <w:bottom w:w="0" w:type="dxa"/>
              <w:right w:w="108" w:type="dxa"/>
            </w:tcMar>
            <w:hideMark/>
          </w:tcPr>
          <w:p w14:paraId="0B1E239D"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E48EBF8" w14:textId="77777777" w:rsidR="00F9026A" w:rsidRPr="0010200D" w:rsidRDefault="00F9026A" w:rsidP="00A07306">
            <w:pPr>
              <w:spacing w:before="40" w:after="40"/>
              <w:jc w:val="center"/>
              <w:rPr>
                <w:szCs w:val="24"/>
              </w:rPr>
            </w:pPr>
            <w:r w:rsidRPr="0010200D">
              <w:rPr>
                <w:i/>
                <w:iCs/>
                <w:szCs w:val="24"/>
              </w:rPr>
              <w:t>No equivalent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E9149D4" w14:textId="77777777" w:rsidR="00F9026A" w:rsidRPr="0010200D" w:rsidRDefault="00F9026A" w:rsidP="00A07306">
            <w:pPr>
              <w:spacing w:before="40" w:after="40"/>
              <w:jc w:val="center"/>
              <w:rPr>
                <w:szCs w:val="24"/>
              </w:rPr>
            </w:pPr>
            <w:r w:rsidRPr="0010200D">
              <w:rPr>
                <w:szCs w:val="24"/>
              </w:rPr>
              <w:t>Schedule 1</w:t>
            </w:r>
          </w:p>
        </w:tc>
      </w:tr>
      <w:tr w:rsidR="00F9026A" w:rsidRPr="0010200D" w14:paraId="1A3A7DFA"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1C3B" w14:textId="77777777" w:rsidR="00F9026A" w:rsidRPr="0010200D" w:rsidRDefault="00F9026A" w:rsidP="00A07306">
            <w:pPr>
              <w:spacing w:before="40" w:after="40"/>
              <w:jc w:val="center"/>
              <w:rPr>
                <w:szCs w:val="24"/>
              </w:rPr>
            </w:pPr>
            <w:r w:rsidRPr="0010200D">
              <w:rPr>
                <w:szCs w:val="24"/>
              </w:rPr>
              <w:t>19</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0271CE37" w14:textId="77777777" w:rsidR="00F9026A" w:rsidRPr="0010200D" w:rsidRDefault="00F9026A" w:rsidP="00A07306">
            <w:pPr>
              <w:spacing w:before="40" w:after="40"/>
              <w:jc w:val="center"/>
              <w:rPr>
                <w:szCs w:val="24"/>
              </w:rPr>
            </w:pPr>
            <w:r w:rsidRPr="0010200D">
              <w:rPr>
                <w:szCs w:val="24"/>
              </w:rPr>
              <w:t>15</w:t>
            </w:r>
          </w:p>
        </w:tc>
        <w:tc>
          <w:tcPr>
            <w:tcW w:w="826" w:type="dxa"/>
            <w:tcBorders>
              <w:top w:val="nil"/>
              <w:left w:val="nil"/>
              <w:bottom w:val="nil"/>
              <w:right w:val="single" w:sz="8" w:space="0" w:color="auto"/>
            </w:tcBorders>
            <w:tcMar>
              <w:top w:w="0" w:type="dxa"/>
              <w:left w:w="108" w:type="dxa"/>
              <w:bottom w:w="0" w:type="dxa"/>
              <w:right w:w="108" w:type="dxa"/>
            </w:tcMar>
            <w:hideMark/>
          </w:tcPr>
          <w:p w14:paraId="6300D218"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188D2D1" w14:textId="77777777" w:rsidR="00F9026A" w:rsidRPr="0010200D" w:rsidRDefault="00F9026A" w:rsidP="00A07306">
            <w:pPr>
              <w:spacing w:before="40" w:after="40"/>
              <w:jc w:val="center"/>
              <w:rPr>
                <w:szCs w:val="24"/>
              </w:rPr>
            </w:pPr>
            <w:r w:rsidRPr="0010200D">
              <w:rPr>
                <w:i/>
                <w:iCs/>
                <w:szCs w:val="24"/>
              </w:rPr>
              <w:t>No equivalent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0C5C36" w14:textId="77777777" w:rsidR="00F9026A" w:rsidRPr="0010200D" w:rsidRDefault="00F9026A" w:rsidP="00A07306">
            <w:pPr>
              <w:spacing w:before="40" w:after="40"/>
              <w:jc w:val="center"/>
              <w:rPr>
                <w:szCs w:val="24"/>
              </w:rPr>
            </w:pPr>
            <w:r w:rsidRPr="0010200D">
              <w:rPr>
                <w:szCs w:val="24"/>
              </w:rPr>
              <w:t>3</w:t>
            </w:r>
          </w:p>
        </w:tc>
      </w:tr>
      <w:tr w:rsidR="00F9026A" w:rsidRPr="0010200D" w14:paraId="76F8CF7C"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AB0C" w14:textId="77777777" w:rsidR="00F9026A" w:rsidRPr="0010200D" w:rsidRDefault="00F9026A" w:rsidP="00A07306">
            <w:pPr>
              <w:spacing w:before="40" w:after="40"/>
              <w:jc w:val="center"/>
              <w:rPr>
                <w:szCs w:val="24"/>
              </w:rPr>
            </w:pPr>
            <w:r w:rsidRPr="0010200D">
              <w:rPr>
                <w:szCs w:val="24"/>
              </w:rPr>
              <w:t>20 to 23</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7B51D348" w14:textId="77777777" w:rsidR="00F9026A" w:rsidRPr="0010200D" w:rsidRDefault="00F9026A" w:rsidP="00A07306">
            <w:pPr>
              <w:spacing w:before="40" w:after="40"/>
              <w:jc w:val="center"/>
              <w:rPr>
                <w:szCs w:val="24"/>
              </w:rPr>
            </w:pPr>
            <w:r w:rsidRPr="0010200D">
              <w:rPr>
                <w:szCs w:val="24"/>
              </w:rPr>
              <w:t>16</w:t>
            </w:r>
          </w:p>
        </w:tc>
        <w:tc>
          <w:tcPr>
            <w:tcW w:w="826" w:type="dxa"/>
            <w:tcBorders>
              <w:top w:val="nil"/>
              <w:left w:val="nil"/>
              <w:bottom w:val="nil"/>
              <w:right w:val="single" w:sz="8" w:space="0" w:color="auto"/>
            </w:tcBorders>
            <w:tcMar>
              <w:top w:w="0" w:type="dxa"/>
              <w:left w:w="108" w:type="dxa"/>
              <w:bottom w:w="0" w:type="dxa"/>
              <w:right w:w="108" w:type="dxa"/>
            </w:tcMar>
            <w:hideMark/>
          </w:tcPr>
          <w:p w14:paraId="0D236EE4"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361CC83" w14:textId="77777777" w:rsidR="00F9026A" w:rsidRPr="0010200D" w:rsidRDefault="00F9026A" w:rsidP="00A07306">
            <w:pPr>
              <w:spacing w:before="40" w:after="40"/>
              <w:jc w:val="center"/>
              <w:rPr>
                <w:szCs w:val="24"/>
              </w:rPr>
            </w:pPr>
            <w:r w:rsidRPr="0010200D">
              <w:rPr>
                <w:i/>
                <w:iCs/>
                <w:szCs w:val="24"/>
              </w:rPr>
              <w:t>No equivalent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9EF9374" w14:textId="77777777" w:rsidR="00F9026A" w:rsidRPr="0010200D" w:rsidRDefault="00F9026A" w:rsidP="00A07306">
            <w:pPr>
              <w:spacing w:before="40" w:after="40"/>
              <w:jc w:val="center"/>
              <w:rPr>
                <w:szCs w:val="24"/>
              </w:rPr>
            </w:pPr>
            <w:r w:rsidRPr="0010200D">
              <w:rPr>
                <w:szCs w:val="24"/>
              </w:rPr>
              <w:t>4</w:t>
            </w:r>
          </w:p>
        </w:tc>
      </w:tr>
      <w:tr w:rsidR="00F9026A" w:rsidRPr="0010200D" w14:paraId="641AD8C8" w14:textId="77777777" w:rsidTr="008513E3">
        <w:trPr>
          <w:jc w:val="center"/>
        </w:trPr>
        <w:tc>
          <w:tcPr>
            <w:tcW w:w="19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BC1C" w14:textId="77777777" w:rsidR="00F9026A" w:rsidRPr="0010200D" w:rsidRDefault="00F9026A" w:rsidP="00A07306">
            <w:pPr>
              <w:spacing w:before="40" w:after="40"/>
              <w:jc w:val="center"/>
              <w:rPr>
                <w:szCs w:val="24"/>
              </w:rPr>
            </w:pPr>
            <w:r w:rsidRPr="0010200D">
              <w:rPr>
                <w:szCs w:val="24"/>
              </w:rPr>
              <w:t>24 and 25</w:t>
            </w:r>
          </w:p>
        </w:tc>
        <w:tc>
          <w:tcPr>
            <w:tcW w:w="1923" w:type="dxa"/>
            <w:tcBorders>
              <w:top w:val="nil"/>
              <w:left w:val="nil"/>
              <w:bottom w:val="single" w:sz="8" w:space="0" w:color="auto"/>
              <w:right w:val="single" w:sz="8" w:space="0" w:color="auto"/>
            </w:tcBorders>
            <w:tcMar>
              <w:top w:w="0" w:type="dxa"/>
              <w:left w:w="108" w:type="dxa"/>
              <w:bottom w:w="0" w:type="dxa"/>
              <w:right w:w="108" w:type="dxa"/>
            </w:tcMar>
            <w:hideMark/>
          </w:tcPr>
          <w:p w14:paraId="2F0965F3" w14:textId="77777777" w:rsidR="00F9026A" w:rsidRPr="0010200D" w:rsidRDefault="00F9026A" w:rsidP="00A07306">
            <w:pPr>
              <w:spacing w:before="40" w:after="40"/>
              <w:jc w:val="center"/>
              <w:rPr>
                <w:szCs w:val="24"/>
              </w:rPr>
            </w:pPr>
            <w:r w:rsidRPr="0010200D">
              <w:rPr>
                <w:szCs w:val="24"/>
              </w:rPr>
              <w:t>17</w:t>
            </w:r>
          </w:p>
        </w:tc>
        <w:tc>
          <w:tcPr>
            <w:tcW w:w="826" w:type="dxa"/>
            <w:tcBorders>
              <w:top w:val="nil"/>
              <w:left w:val="nil"/>
              <w:bottom w:val="nil"/>
              <w:right w:val="nil"/>
            </w:tcBorders>
            <w:tcMar>
              <w:top w:w="0" w:type="dxa"/>
              <w:left w:w="108" w:type="dxa"/>
              <w:bottom w:w="0" w:type="dxa"/>
              <w:right w:w="108" w:type="dxa"/>
            </w:tcMar>
            <w:hideMark/>
          </w:tcPr>
          <w:p w14:paraId="1698E4B6" w14:textId="77777777" w:rsidR="00F9026A" w:rsidRPr="0010200D" w:rsidRDefault="00F9026A" w:rsidP="00A07306">
            <w:pPr>
              <w:spacing w:before="40" w:after="40"/>
              <w:jc w:val="center"/>
              <w:rPr>
                <w:szCs w:val="24"/>
              </w:rPr>
            </w:pPr>
            <w:r w:rsidRPr="0010200D">
              <w:rPr>
                <w:szCs w:val="24"/>
              </w:rPr>
              <w:t> </w:t>
            </w:r>
          </w:p>
        </w:tc>
        <w:tc>
          <w:tcPr>
            <w:tcW w:w="1985" w:type="dxa"/>
            <w:tcBorders>
              <w:top w:val="nil"/>
              <w:left w:val="nil"/>
              <w:bottom w:val="nil"/>
              <w:right w:val="nil"/>
            </w:tcBorders>
            <w:tcMar>
              <w:top w:w="0" w:type="dxa"/>
              <w:left w:w="108" w:type="dxa"/>
              <w:bottom w:w="0" w:type="dxa"/>
              <w:right w:w="108" w:type="dxa"/>
            </w:tcMar>
            <w:hideMark/>
          </w:tcPr>
          <w:p w14:paraId="028ACDE6" w14:textId="77777777" w:rsidR="00F9026A" w:rsidRPr="0010200D" w:rsidRDefault="00F9026A" w:rsidP="00A07306">
            <w:pPr>
              <w:spacing w:before="40" w:after="40"/>
              <w:jc w:val="center"/>
              <w:rPr>
                <w:szCs w:val="24"/>
              </w:rPr>
            </w:pPr>
            <w:r w:rsidRPr="0010200D">
              <w:rPr>
                <w:szCs w:val="24"/>
              </w:rPr>
              <w:t> </w:t>
            </w:r>
          </w:p>
        </w:tc>
        <w:tc>
          <w:tcPr>
            <w:tcW w:w="1984" w:type="dxa"/>
            <w:tcBorders>
              <w:top w:val="nil"/>
              <w:left w:val="nil"/>
              <w:bottom w:val="nil"/>
              <w:right w:val="nil"/>
            </w:tcBorders>
            <w:tcMar>
              <w:top w:w="0" w:type="dxa"/>
              <w:left w:w="108" w:type="dxa"/>
              <w:bottom w:w="0" w:type="dxa"/>
              <w:right w:w="108" w:type="dxa"/>
            </w:tcMar>
            <w:hideMark/>
          </w:tcPr>
          <w:p w14:paraId="22099160" w14:textId="77777777" w:rsidR="00F9026A" w:rsidRPr="0010200D" w:rsidRDefault="00F9026A" w:rsidP="00A07306">
            <w:pPr>
              <w:spacing w:before="40" w:after="40"/>
              <w:jc w:val="center"/>
              <w:rPr>
                <w:szCs w:val="24"/>
              </w:rPr>
            </w:pPr>
            <w:r w:rsidRPr="0010200D">
              <w:rPr>
                <w:szCs w:val="24"/>
              </w:rPr>
              <w:t> </w:t>
            </w:r>
          </w:p>
        </w:tc>
      </w:tr>
    </w:tbl>
    <w:bookmarkEnd w:id="7"/>
    <w:p w14:paraId="2C31885F" w14:textId="12264794" w:rsidR="004C3583" w:rsidRDefault="004C3583" w:rsidP="00D27562">
      <w:pPr>
        <w:pageBreakBefore/>
        <w:spacing w:before="240"/>
        <w:jc w:val="right"/>
        <w:rPr>
          <w:b/>
          <w:u w:val="single"/>
        </w:rPr>
      </w:pPr>
      <w:r w:rsidRPr="007B335E">
        <w:rPr>
          <w:b/>
          <w:u w:val="single"/>
        </w:rPr>
        <w:lastRenderedPageBreak/>
        <w:t xml:space="preserve">ATTACHMENT </w:t>
      </w:r>
      <w:r w:rsidR="00B50BAF">
        <w:rPr>
          <w:b/>
          <w:u w:val="single"/>
        </w:rPr>
        <w:t>C</w:t>
      </w:r>
    </w:p>
    <w:p w14:paraId="7AEBE697" w14:textId="635D8010" w:rsidR="00E4438C" w:rsidRPr="00462095" w:rsidRDefault="00E4438C" w:rsidP="003E1CE3">
      <w:pPr>
        <w:pStyle w:val="Heading3"/>
      </w:pPr>
      <w:r w:rsidRPr="00462095">
        <w:t>Statement of Compatibility with Human Rights</w:t>
      </w:r>
    </w:p>
    <w:p w14:paraId="46FA3401"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7A9DBAA" w14:textId="5A4AA309" w:rsidR="00E4438C" w:rsidRPr="00474855" w:rsidRDefault="00474855" w:rsidP="00474855">
      <w:pPr>
        <w:pStyle w:val="Heading3"/>
        <w:rPr>
          <w:i/>
          <w:iCs/>
        </w:rPr>
      </w:pPr>
      <w:bookmarkStart w:id="8" w:name="_Hlk77592912"/>
      <w:r w:rsidRPr="00474855">
        <w:rPr>
          <w:i/>
          <w:iCs/>
        </w:rPr>
        <w:t>Taxation Administration (Public Ancillary Fund) Guidelines 2022</w:t>
      </w:r>
    </w:p>
    <w:bookmarkEnd w:id="8"/>
    <w:p w14:paraId="702ACD7F" w14:textId="1A55DB25" w:rsidR="002F3AC4"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2135CF0" w14:textId="2C5CF7ED" w:rsidR="002F3AC4" w:rsidRDefault="002F3AC4" w:rsidP="002F3AC4">
      <w:r>
        <w:t xml:space="preserve">The </w:t>
      </w:r>
      <w:r w:rsidRPr="00D27562">
        <w:rPr>
          <w:bCs/>
          <w:i/>
          <w:iCs/>
        </w:rPr>
        <w:t>Taxation Administration (Public Ancillary Fund) Guidelines 2022</w:t>
      </w:r>
      <w:r>
        <w:rPr>
          <w:b/>
          <w:i/>
          <w:iCs/>
        </w:rPr>
        <w:t xml:space="preserve"> </w:t>
      </w:r>
      <w:r w:rsidR="00821F77">
        <w:rPr>
          <w:bCs/>
        </w:rPr>
        <w:t xml:space="preserve">(2022 Guidelines) </w:t>
      </w:r>
      <w:r w:rsidRPr="002F3AC4">
        <w:t xml:space="preserve">remake the </w:t>
      </w:r>
      <w:r w:rsidRPr="00D27562">
        <w:rPr>
          <w:i/>
          <w:iCs/>
        </w:rPr>
        <w:t>Public Ancillary Fund Guidelines 2011</w:t>
      </w:r>
      <w:r w:rsidRPr="002F3AC4">
        <w:t xml:space="preserve"> (20</w:t>
      </w:r>
      <w:r>
        <w:t>11</w:t>
      </w:r>
      <w:r w:rsidRPr="002F3AC4">
        <w:t xml:space="preserve"> Guidelines) before </w:t>
      </w:r>
      <w:proofErr w:type="gramStart"/>
      <w:r>
        <w:t>they</w:t>
      </w:r>
      <w:proofErr w:type="gramEnd"/>
      <w:r w:rsidRPr="002F3AC4">
        <w:t xml:space="preserve"> sunset. The </w:t>
      </w:r>
      <w:r w:rsidR="00821F77">
        <w:t xml:space="preserve">2022 </w:t>
      </w:r>
      <w:r w:rsidRPr="002F3AC4">
        <w:t>Guidelines set minimum standards for the governance and conduct of p</w:t>
      </w:r>
      <w:r>
        <w:t xml:space="preserve">ublic </w:t>
      </w:r>
      <w:r w:rsidRPr="002F3AC4">
        <w:t xml:space="preserve">ancillary funds and their trustees. The </w:t>
      </w:r>
      <w:r w:rsidR="00821F77">
        <w:t xml:space="preserve">2022 </w:t>
      </w:r>
      <w:r w:rsidRPr="002F3AC4">
        <w:t xml:space="preserve">Guidelines </w:t>
      </w:r>
      <w:r w:rsidR="00821F77">
        <w:t>operate</w:t>
      </w:r>
      <w:r w:rsidRPr="002F3AC4">
        <w:t xml:space="preserve"> to ensure that p</w:t>
      </w:r>
      <w:r>
        <w:t>ublic</w:t>
      </w:r>
      <w:r w:rsidRPr="002F3AC4">
        <w:t xml:space="preserve"> ancillary funds are properly accountable and act in the </w:t>
      </w:r>
      <w:r w:rsidR="00FC1F24">
        <w:t>high standards</w:t>
      </w:r>
      <w:r w:rsidRPr="002F3AC4">
        <w:t xml:space="preserve"> expected of an entity holding philanthropic funds</w:t>
      </w:r>
      <w:r w:rsidR="00FC1F24">
        <w:t xml:space="preserve"> contributed by the public</w:t>
      </w:r>
      <w:r w:rsidRPr="002F3AC4">
        <w:t xml:space="preserve"> for a broad public benefit.</w:t>
      </w:r>
    </w:p>
    <w:p w14:paraId="2E898A53" w14:textId="6F0EF610" w:rsidR="00D2319D" w:rsidRPr="00E61F21" w:rsidRDefault="002F3AC4" w:rsidP="00E61F21">
      <w:pPr>
        <w:rPr>
          <w:b/>
          <w:i/>
          <w:iCs/>
        </w:rPr>
      </w:pPr>
      <w:r w:rsidRPr="002F3AC4">
        <w:t>A p</w:t>
      </w:r>
      <w:r>
        <w:t>ublic</w:t>
      </w:r>
      <w:r w:rsidRPr="002F3AC4">
        <w:t xml:space="preserve"> ancillary fund is a</w:t>
      </w:r>
      <w:r w:rsidR="00FC1F24">
        <w:t xml:space="preserve">n </w:t>
      </w:r>
      <w:r w:rsidRPr="002F3AC4">
        <w:t>ancillary trust fund designed to</w:t>
      </w:r>
      <w:r>
        <w:t xml:space="preserve"> support and facilitate</w:t>
      </w:r>
      <w:r w:rsidRPr="002F3AC4">
        <w:t xml:space="preserve"> </w:t>
      </w:r>
      <w:r>
        <w:t xml:space="preserve">public </w:t>
      </w:r>
      <w:r w:rsidRPr="002F3AC4">
        <w:t xml:space="preserve">philanthropy by providing </w:t>
      </w:r>
      <w:r>
        <w:t xml:space="preserve">the public a vehicle to contribute to </w:t>
      </w:r>
      <w:r w:rsidRPr="002F3AC4">
        <w:t>philanthropic purposes. The 20</w:t>
      </w:r>
      <w:r>
        <w:t>22</w:t>
      </w:r>
      <w:r w:rsidRPr="002F3AC4">
        <w:t xml:space="preserve"> Guidelines remake the 20</w:t>
      </w:r>
      <w:r>
        <w:t xml:space="preserve">11 </w:t>
      </w:r>
      <w:r w:rsidRPr="002F3AC4">
        <w:t xml:space="preserve">Guidelines but with simplified language and with consolidated and restructured provisions for ease of comprehension and navigation. These changes are not intended to affect the substantive meaning, </w:t>
      </w:r>
      <w:r w:rsidR="00E61F21" w:rsidRPr="002F3AC4">
        <w:t>operation,</w:t>
      </w:r>
      <w:r w:rsidRPr="002F3AC4">
        <w:t xml:space="preserve"> or the legal effect of the provisions of the 20</w:t>
      </w:r>
      <w:r>
        <w:t>11</w:t>
      </w:r>
      <w:r w:rsidRPr="002F3AC4">
        <w:t xml:space="preserve"> Guidelines</w:t>
      </w:r>
      <w:r w:rsidR="00FC1F24">
        <w:t xml:space="preserve"> unless specifically noted</w:t>
      </w:r>
      <w:r w:rsidR="00A317B8">
        <w:t>.</w:t>
      </w:r>
    </w:p>
    <w:p w14:paraId="49B8A13C" w14:textId="77777777" w:rsidR="00E4438C" w:rsidRPr="00647BB7" w:rsidRDefault="00E4438C" w:rsidP="003E1CE3">
      <w:pPr>
        <w:pStyle w:val="Heading3"/>
      </w:pPr>
      <w:r w:rsidRPr="00647BB7">
        <w:t>Human rights implications</w:t>
      </w:r>
    </w:p>
    <w:p w14:paraId="4B0E5D8D" w14:textId="77777777" w:rsidR="00E4438C" w:rsidRPr="00647BB7" w:rsidRDefault="00E4438C" w:rsidP="00647BB7">
      <w:pPr>
        <w:spacing w:before="240"/>
      </w:pPr>
      <w:r w:rsidRPr="00647BB7">
        <w:t>This Legislative Instrument does not engage any of the applicable rights or freedoms.</w:t>
      </w:r>
    </w:p>
    <w:p w14:paraId="0127D380" w14:textId="77777777" w:rsidR="00E4438C" w:rsidRPr="00647BB7" w:rsidRDefault="00E4438C" w:rsidP="003E1CE3">
      <w:pPr>
        <w:pStyle w:val="Heading3"/>
      </w:pPr>
      <w:r w:rsidRPr="00647BB7">
        <w:t>Conclusion</w:t>
      </w:r>
    </w:p>
    <w:p w14:paraId="6E6682E9" w14:textId="1B47CBAA" w:rsidR="00482B81" w:rsidRDefault="00E4438C" w:rsidP="00765C40">
      <w:pPr>
        <w:spacing w:before="240"/>
      </w:pPr>
      <w:r w:rsidRPr="00647BB7">
        <w:t>This Legislative Instrument is compatible with human rights as it does not raise any human rights issues.</w:t>
      </w:r>
    </w:p>
    <w:sectPr w:rsidR="00482B81"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94B8" w14:textId="77777777" w:rsidR="00356BDC" w:rsidRDefault="00356BDC" w:rsidP="00954679">
      <w:pPr>
        <w:spacing w:before="0" w:after="0"/>
      </w:pPr>
      <w:r>
        <w:separator/>
      </w:r>
    </w:p>
  </w:endnote>
  <w:endnote w:type="continuationSeparator" w:id="0">
    <w:p w14:paraId="61215B2C" w14:textId="77777777" w:rsidR="00356BDC" w:rsidRDefault="00356BDC" w:rsidP="00954679">
      <w:pPr>
        <w:spacing w:before="0" w:after="0"/>
      </w:pPr>
      <w:r>
        <w:continuationSeparator/>
      </w:r>
    </w:p>
  </w:endnote>
  <w:endnote w:type="continuationNotice" w:id="1">
    <w:p w14:paraId="1E67590C" w14:textId="77777777" w:rsidR="00356BDC" w:rsidRDefault="00356B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45BF309" w14:textId="77777777" w:rsidR="00177703" w:rsidRDefault="0017770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6C29" w14:textId="77777777" w:rsidR="00356BDC" w:rsidRDefault="00356BDC" w:rsidP="00954679">
      <w:pPr>
        <w:spacing w:before="0" w:after="0"/>
      </w:pPr>
      <w:r>
        <w:separator/>
      </w:r>
    </w:p>
  </w:footnote>
  <w:footnote w:type="continuationSeparator" w:id="0">
    <w:p w14:paraId="4F9C46CD" w14:textId="77777777" w:rsidR="00356BDC" w:rsidRDefault="00356BDC" w:rsidP="00954679">
      <w:pPr>
        <w:spacing w:before="0" w:after="0"/>
      </w:pPr>
      <w:r>
        <w:continuationSeparator/>
      </w:r>
    </w:p>
  </w:footnote>
  <w:footnote w:type="continuationNotice" w:id="1">
    <w:p w14:paraId="100D6B4D" w14:textId="77777777" w:rsidR="00356BDC" w:rsidRDefault="00356BD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72"/>
    <w:rsid w:val="00001BD1"/>
    <w:rsid w:val="00012F56"/>
    <w:rsid w:val="00013390"/>
    <w:rsid w:val="00014761"/>
    <w:rsid w:val="00015B1A"/>
    <w:rsid w:val="00016EA2"/>
    <w:rsid w:val="0002111C"/>
    <w:rsid w:val="00021A20"/>
    <w:rsid w:val="00030A4F"/>
    <w:rsid w:val="00036CC9"/>
    <w:rsid w:val="0004471D"/>
    <w:rsid w:val="000543FA"/>
    <w:rsid w:val="00072190"/>
    <w:rsid w:val="00075D3B"/>
    <w:rsid w:val="00076178"/>
    <w:rsid w:val="00076699"/>
    <w:rsid w:val="000771A3"/>
    <w:rsid w:val="00095211"/>
    <w:rsid w:val="000A3975"/>
    <w:rsid w:val="000B39A1"/>
    <w:rsid w:val="000B59A2"/>
    <w:rsid w:val="000B65B0"/>
    <w:rsid w:val="000B6A38"/>
    <w:rsid w:val="000C10DF"/>
    <w:rsid w:val="000C2A85"/>
    <w:rsid w:val="000C6935"/>
    <w:rsid w:val="000D3496"/>
    <w:rsid w:val="000E2520"/>
    <w:rsid w:val="000E32E3"/>
    <w:rsid w:val="000F38D5"/>
    <w:rsid w:val="000F3ECF"/>
    <w:rsid w:val="000F53DB"/>
    <w:rsid w:val="0010200D"/>
    <w:rsid w:val="001047CA"/>
    <w:rsid w:val="00105649"/>
    <w:rsid w:val="00106685"/>
    <w:rsid w:val="00113B45"/>
    <w:rsid w:val="00127424"/>
    <w:rsid w:val="0016541A"/>
    <w:rsid w:val="0016704D"/>
    <w:rsid w:val="00176DF4"/>
    <w:rsid w:val="00177703"/>
    <w:rsid w:val="0019094D"/>
    <w:rsid w:val="00193477"/>
    <w:rsid w:val="001B06B5"/>
    <w:rsid w:val="001B7535"/>
    <w:rsid w:val="001C3AB0"/>
    <w:rsid w:val="001C6044"/>
    <w:rsid w:val="001D4325"/>
    <w:rsid w:val="001D6A51"/>
    <w:rsid w:val="001E6A74"/>
    <w:rsid w:val="001F2712"/>
    <w:rsid w:val="001F41D0"/>
    <w:rsid w:val="001F6875"/>
    <w:rsid w:val="00204AB3"/>
    <w:rsid w:val="0021119B"/>
    <w:rsid w:val="00220F16"/>
    <w:rsid w:val="00223C34"/>
    <w:rsid w:val="00240A75"/>
    <w:rsid w:val="0024331A"/>
    <w:rsid w:val="00253D60"/>
    <w:rsid w:val="00254C5B"/>
    <w:rsid w:val="0028222C"/>
    <w:rsid w:val="00285E92"/>
    <w:rsid w:val="002873CF"/>
    <w:rsid w:val="002930D8"/>
    <w:rsid w:val="002A0DF2"/>
    <w:rsid w:val="002A6262"/>
    <w:rsid w:val="002A7E1F"/>
    <w:rsid w:val="002C226C"/>
    <w:rsid w:val="002C29C6"/>
    <w:rsid w:val="002C48DE"/>
    <w:rsid w:val="002E1862"/>
    <w:rsid w:val="002E4407"/>
    <w:rsid w:val="002E5FF3"/>
    <w:rsid w:val="002F3AC4"/>
    <w:rsid w:val="002F60E0"/>
    <w:rsid w:val="0030313B"/>
    <w:rsid w:val="00303FD5"/>
    <w:rsid w:val="003041FA"/>
    <w:rsid w:val="00307A1C"/>
    <w:rsid w:val="0031006E"/>
    <w:rsid w:val="00312863"/>
    <w:rsid w:val="003132E9"/>
    <w:rsid w:val="00313836"/>
    <w:rsid w:val="00315705"/>
    <w:rsid w:val="003272F8"/>
    <w:rsid w:val="003342CD"/>
    <w:rsid w:val="003349D3"/>
    <w:rsid w:val="00335042"/>
    <w:rsid w:val="003517D9"/>
    <w:rsid w:val="00356BDC"/>
    <w:rsid w:val="003570C8"/>
    <w:rsid w:val="00362B70"/>
    <w:rsid w:val="00362FD0"/>
    <w:rsid w:val="0036698F"/>
    <w:rsid w:val="0038474D"/>
    <w:rsid w:val="003917EF"/>
    <w:rsid w:val="00392BBA"/>
    <w:rsid w:val="00393BF6"/>
    <w:rsid w:val="003954FD"/>
    <w:rsid w:val="003A485B"/>
    <w:rsid w:val="003C7907"/>
    <w:rsid w:val="003D1C8A"/>
    <w:rsid w:val="003D2470"/>
    <w:rsid w:val="003D60D7"/>
    <w:rsid w:val="003D7B1D"/>
    <w:rsid w:val="003E12F5"/>
    <w:rsid w:val="003E1CE3"/>
    <w:rsid w:val="003E51A5"/>
    <w:rsid w:val="003F0B7D"/>
    <w:rsid w:val="003F2CB5"/>
    <w:rsid w:val="0040272D"/>
    <w:rsid w:val="00411CDD"/>
    <w:rsid w:val="0042436A"/>
    <w:rsid w:val="00433ECC"/>
    <w:rsid w:val="00434D14"/>
    <w:rsid w:val="0044532C"/>
    <w:rsid w:val="004461F8"/>
    <w:rsid w:val="00456E5A"/>
    <w:rsid w:val="00462095"/>
    <w:rsid w:val="00463E18"/>
    <w:rsid w:val="004702A9"/>
    <w:rsid w:val="00471BCD"/>
    <w:rsid w:val="00474855"/>
    <w:rsid w:val="00475425"/>
    <w:rsid w:val="00482B81"/>
    <w:rsid w:val="00482D4C"/>
    <w:rsid w:val="0048441B"/>
    <w:rsid w:val="00490228"/>
    <w:rsid w:val="00490E56"/>
    <w:rsid w:val="004A28CF"/>
    <w:rsid w:val="004B0D2D"/>
    <w:rsid w:val="004B3C0F"/>
    <w:rsid w:val="004B7A9D"/>
    <w:rsid w:val="004C05E4"/>
    <w:rsid w:val="004C3583"/>
    <w:rsid w:val="004C66B3"/>
    <w:rsid w:val="004D2089"/>
    <w:rsid w:val="004E39E1"/>
    <w:rsid w:val="004F56D0"/>
    <w:rsid w:val="004F7BC7"/>
    <w:rsid w:val="0050074A"/>
    <w:rsid w:val="00502C00"/>
    <w:rsid w:val="00503E44"/>
    <w:rsid w:val="00515283"/>
    <w:rsid w:val="0052536C"/>
    <w:rsid w:val="00527848"/>
    <w:rsid w:val="00533926"/>
    <w:rsid w:val="0055675D"/>
    <w:rsid w:val="00556979"/>
    <w:rsid w:val="0056318C"/>
    <w:rsid w:val="00566E8F"/>
    <w:rsid w:val="00570158"/>
    <w:rsid w:val="0057190B"/>
    <w:rsid w:val="00573501"/>
    <w:rsid w:val="0057422E"/>
    <w:rsid w:val="00580488"/>
    <w:rsid w:val="005833BE"/>
    <w:rsid w:val="00583DF0"/>
    <w:rsid w:val="00584916"/>
    <w:rsid w:val="00594F9A"/>
    <w:rsid w:val="0059639F"/>
    <w:rsid w:val="00597394"/>
    <w:rsid w:val="005A0E28"/>
    <w:rsid w:val="005A46B8"/>
    <w:rsid w:val="005A7EF4"/>
    <w:rsid w:val="005B1D4E"/>
    <w:rsid w:val="005C77EA"/>
    <w:rsid w:val="005D0021"/>
    <w:rsid w:val="005D3F72"/>
    <w:rsid w:val="005D47B3"/>
    <w:rsid w:val="005D7D5A"/>
    <w:rsid w:val="005E4BAC"/>
    <w:rsid w:val="005E6919"/>
    <w:rsid w:val="0060130D"/>
    <w:rsid w:val="00604702"/>
    <w:rsid w:val="00606908"/>
    <w:rsid w:val="0061381E"/>
    <w:rsid w:val="00630E77"/>
    <w:rsid w:val="00634652"/>
    <w:rsid w:val="0064129F"/>
    <w:rsid w:val="00644B55"/>
    <w:rsid w:val="00647BB7"/>
    <w:rsid w:val="00654BD9"/>
    <w:rsid w:val="006557B2"/>
    <w:rsid w:val="00657FDE"/>
    <w:rsid w:val="00672FB3"/>
    <w:rsid w:val="006748E5"/>
    <w:rsid w:val="00680297"/>
    <w:rsid w:val="0068102E"/>
    <w:rsid w:val="006815D3"/>
    <w:rsid w:val="0068394E"/>
    <w:rsid w:val="006873CE"/>
    <w:rsid w:val="00697184"/>
    <w:rsid w:val="006A0786"/>
    <w:rsid w:val="006A1873"/>
    <w:rsid w:val="006A5C50"/>
    <w:rsid w:val="006B000C"/>
    <w:rsid w:val="006D67EC"/>
    <w:rsid w:val="006F4780"/>
    <w:rsid w:val="006F6D31"/>
    <w:rsid w:val="00700F61"/>
    <w:rsid w:val="0070157B"/>
    <w:rsid w:val="00710E94"/>
    <w:rsid w:val="00712DA0"/>
    <w:rsid w:val="007244A6"/>
    <w:rsid w:val="00727D8A"/>
    <w:rsid w:val="00731FEA"/>
    <w:rsid w:val="00736F61"/>
    <w:rsid w:val="0073751B"/>
    <w:rsid w:val="007377B1"/>
    <w:rsid w:val="00742253"/>
    <w:rsid w:val="00750149"/>
    <w:rsid w:val="007504B8"/>
    <w:rsid w:val="00753591"/>
    <w:rsid w:val="0076150E"/>
    <w:rsid w:val="00763318"/>
    <w:rsid w:val="00764DAA"/>
    <w:rsid w:val="00765C40"/>
    <w:rsid w:val="007662C7"/>
    <w:rsid w:val="00776306"/>
    <w:rsid w:val="007807B9"/>
    <w:rsid w:val="0078794F"/>
    <w:rsid w:val="00787ABB"/>
    <w:rsid w:val="007A4448"/>
    <w:rsid w:val="007A55A7"/>
    <w:rsid w:val="007B1F10"/>
    <w:rsid w:val="007B335E"/>
    <w:rsid w:val="007B6124"/>
    <w:rsid w:val="007D1779"/>
    <w:rsid w:val="007D6C7F"/>
    <w:rsid w:val="007E018D"/>
    <w:rsid w:val="007E01B3"/>
    <w:rsid w:val="007E5F87"/>
    <w:rsid w:val="007E7090"/>
    <w:rsid w:val="007F1B71"/>
    <w:rsid w:val="007F5BBD"/>
    <w:rsid w:val="00801BB4"/>
    <w:rsid w:val="00805E1A"/>
    <w:rsid w:val="00807D08"/>
    <w:rsid w:val="00807E7D"/>
    <w:rsid w:val="0081241E"/>
    <w:rsid w:val="00812E43"/>
    <w:rsid w:val="00821C93"/>
    <w:rsid w:val="00821F77"/>
    <w:rsid w:val="0082384F"/>
    <w:rsid w:val="00831675"/>
    <w:rsid w:val="00833E71"/>
    <w:rsid w:val="00845768"/>
    <w:rsid w:val="00847577"/>
    <w:rsid w:val="00851345"/>
    <w:rsid w:val="008513E3"/>
    <w:rsid w:val="0087265D"/>
    <w:rsid w:val="00873136"/>
    <w:rsid w:val="0087592B"/>
    <w:rsid w:val="008833BD"/>
    <w:rsid w:val="0088467C"/>
    <w:rsid w:val="00891B65"/>
    <w:rsid w:val="00894579"/>
    <w:rsid w:val="008A09F2"/>
    <w:rsid w:val="008A5B67"/>
    <w:rsid w:val="008B76C0"/>
    <w:rsid w:val="008B7964"/>
    <w:rsid w:val="008C33AB"/>
    <w:rsid w:val="008C60DB"/>
    <w:rsid w:val="008D16F7"/>
    <w:rsid w:val="008E1427"/>
    <w:rsid w:val="008E1B90"/>
    <w:rsid w:val="008E4917"/>
    <w:rsid w:val="008E5019"/>
    <w:rsid w:val="00904DC2"/>
    <w:rsid w:val="009069A9"/>
    <w:rsid w:val="00906EEF"/>
    <w:rsid w:val="00910199"/>
    <w:rsid w:val="009143A0"/>
    <w:rsid w:val="00922B5B"/>
    <w:rsid w:val="00935620"/>
    <w:rsid w:val="00936902"/>
    <w:rsid w:val="00954679"/>
    <w:rsid w:val="00962B75"/>
    <w:rsid w:val="00963F0A"/>
    <w:rsid w:val="009677C6"/>
    <w:rsid w:val="0097008E"/>
    <w:rsid w:val="00971BEF"/>
    <w:rsid w:val="00973C7A"/>
    <w:rsid w:val="00973FAE"/>
    <w:rsid w:val="00990725"/>
    <w:rsid w:val="0099357C"/>
    <w:rsid w:val="009A03C3"/>
    <w:rsid w:val="009A7F8E"/>
    <w:rsid w:val="009C6A1E"/>
    <w:rsid w:val="009D4E0D"/>
    <w:rsid w:val="009E2F86"/>
    <w:rsid w:val="009F6E4E"/>
    <w:rsid w:val="009F7D65"/>
    <w:rsid w:val="00A023DA"/>
    <w:rsid w:val="00A05748"/>
    <w:rsid w:val="00A07306"/>
    <w:rsid w:val="00A1156A"/>
    <w:rsid w:val="00A11EF1"/>
    <w:rsid w:val="00A12209"/>
    <w:rsid w:val="00A1233D"/>
    <w:rsid w:val="00A16AD2"/>
    <w:rsid w:val="00A2461E"/>
    <w:rsid w:val="00A317B8"/>
    <w:rsid w:val="00A35729"/>
    <w:rsid w:val="00A36DF3"/>
    <w:rsid w:val="00A36FFC"/>
    <w:rsid w:val="00A532DD"/>
    <w:rsid w:val="00A536F8"/>
    <w:rsid w:val="00A53A07"/>
    <w:rsid w:val="00A66985"/>
    <w:rsid w:val="00A72203"/>
    <w:rsid w:val="00A80BCF"/>
    <w:rsid w:val="00A8369C"/>
    <w:rsid w:val="00A92D22"/>
    <w:rsid w:val="00A966E6"/>
    <w:rsid w:val="00AA03C3"/>
    <w:rsid w:val="00AA1689"/>
    <w:rsid w:val="00AA52D2"/>
    <w:rsid w:val="00AA5770"/>
    <w:rsid w:val="00AB1834"/>
    <w:rsid w:val="00AB2AD4"/>
    <w:rsid w:val="00AB2BF3"/>
    <w:rsid w:val="00AC1D15"/>
    <w:rsid w:val="00AC4E0F"/>
    <w:rsid w:val="00AE1AFA"/>
    <w:rsid w:val="00AE2D57"/>
    <w:rsid w:val="00AE51BF"/>
    <w:rsid w:val="00AF0750"/>
    <w:rsid w:val="00AF183E"/>
    <w:rsid w:val="00AF5DF8"/>
    <w:rsid w:val="00B0272B"/>
    <w:rsid w:val="00B03BB6"/>
    <w:rsid w:val="00B07B0C"/>
    <w:rsid w:val="00B12E1C"/>
    <w:rsid w:val="00B17F80"/>
    <w:rsid w:val="00B25563"/>
    <w:rsid w:val="00B25D8C"/>
    <w:rsid w:val="00B26D48"/>
    <w:rsid w:val="00B315EC"/>
    <w:rsid w:val="00B33710"/>
    <w:rsid w:val="00B36999"/>
    <w:rsid w:val="00B42EE1"/>
    <w:rsid w:val="00B50BAF"/>
    <w:rsid w:val="00B57D8E"/>
    <w:rsid w:val="00B619CF"/>
    <w:rsid w:val="00B72B72"/>
    <w:rsid w:val="00B757DE"/>
    <w:rsid w:val="00B81080"/>
    <w:rsid w:val="00B82653"/>
    <w:rsid w:val="00B8293D"/>
    <w:rsid w:val="00B859B8"/>
    <w:rsid w:val="00B920D4"/>
    <w:rsid w:val="00B92478"/>
    <w:rsid w:val="00B92608"/>
    <w:rsid w:val="00BA6188"/>
    <w:rsid w:val="00BA7769"/>
    <w:rsid w:val="00BB46F3"/>
    <w:rsid w:val="00BC0327"/>
    <w:rsid w:val="00BC1E21"/>
    <w:rsid w:val="00BD61A2"/>
    <w:rsid w:val="00BE484D"/>
    <w:rsid w:val="00BF1A63"/>
    <w:rsid w:val="00BF7686"/>
    <w:rsid w:val="00BF7C1B"/>
    <w:rsid w:val="00C10EEA"/>
    <w:rsid w:val="00C11E62"/>
    <w:rsid w:val="00C15F50"/>
    <w:rsid w:val="00C16792"/>
    <w:rsid w:val="00C20E3B"/>
    <w:rsid w:val="00C27E81"/>
    <w:rsid w:val="00C37E05"/>
    <w:rsid w:val="00C442A0"/>
    <w:rsid w:val="00C44387"/>
    <w:rsid w:val="00C55D29"/>
    <w:rsid w:val="00C57C7B"/>
    <w:rsid w:val="00C77BC0"/>
    <w:rsid w:val="00C86530"/>
    <w:rsid w:val="00C87351"/>
    <w:rsid w:val="00CA0BE9"/>
    <w:rsid w:val="00CA138D"/>
    <w:rsid w:val="00CA654E"/>
    <w:rsid w:val="00CB54E0"/>
    <w:rsid w:val="00CC0FDE"/>
    <w:rsid w:val="00CC1AFC"/>
    <w:rsid w:val="00CC2CAE"/>
    <w:rsid w:val="00CC565F"/>
    <w:rsid w:val="00CC7641"/>
    <w:rsid w:val="00CD48E8"/>
    <w:rsid w:val="00CD56DC"/>
    <w:rsid w:val="00CD690B"/>
    <w:rsid w:val="00CF360B"/>
    <w:rsid w:val="00D01D63"/>
    <w:rsid w:val="00D13794"/>
    <w:rsid w:val="00D2319D"/>
    <w:rsid w:val="00D24052"/>
    <w:rsid w:val="00D24386"/>
    <w:rsid w:val="00D27562"/>
    <w:rsid w:val="00D31575"/>
    <w:rsid w:val="00D34626"/>
    <w:rsid w:val="00D34FB4"/>
    <w:rsid w:val="00D35C73"/>
    <w:rsid w:val="00D37D64"/>
    <w:rsid w:val="00D4257A"/>
    <w:rsid w:val="00D52DBF"/>
    <w:rsid w:val="00D62665"/>
    <w:rsid w:val="00D77B13"/>
    <w:rsid w:val="00D82E47"/>
    <w:rsid w:val="00D902FA"/>
    <w:rsid w:val="00D96D95"/>
    <w:rsid w:val="00DB12BB"/>
    <w:rsid w:val="00DB6487"/>
    <w:rsid w:val="00DC0CDE"/>
    <w:rsid w:val="00DC3C33"/>
    <w:rsid w:val="00DC4D72"/>
    <w:rsid w:val="00DC506E"/>
    <w:rsid w:val="00DD16EA"/>
    <w:rsid w:val="00DD4071"/>
    <w:rsid w:val="00DE12A1"/>
    <w:rsid w:val="00DE2F56"/>
    <w:rsid w:val="00DE547C"/>
    <w:rsid w:val="00DF55FC"/>
    <w:rsid w:val="00E02F33"/>
    <w:rsid w:val="00E03D71"/>
    <w:rsid w:val="00E0624D"/>
    <w:rsid w:val="00E10AE6"/>
    <w:rsid w:val="00E10FBC"/>
    <w:rsid w:val="00E20DDE"/>
    <w:rsid w:val="00E225F6"/>
    <w:rsid w:val="00E311E5"/>
    <w:rsid w:val="00E37543"/>
    <w:rsid w:val="00E4438C"/>
    <w:rsid w:val="00E457F3"/>
    <w:rsid w:val="00E51467"/>
    <w:rsid w:val="00E560BB"/>
    <w:rsid w:val="00E56908"/>
    <w:rsid w:val="00E61F21"/>
    <w:rsid w:val="00E630D5"/>
    <w:rsid w:val="00E63D94"/>
    <w:rsid w:val="00E66A5B"/>
    <w:rsid w:val="00E7349A"/>
    <w:rsid w:val="00E81EB8"/>
    <w:rsid w:val="00E87CDE"/>
    <w:rsid w:val="00E92CE9"/>
    <w:rsid w:val="00EA4DD8"/>
    <w:rsid w:val="00EB1CFE"/>
    <w:rsid w:val="00EB2AEF"/>
    <w:rsid w:val="00EB7E71"/>
    <w:rsid w:val="00EC3B74"/>
    <w:rsid w:val="00EE1641"/>
    <w:rsid w:val="00EE6A97"/>
    <w:rsid w:val="00F02DC1"/>
    <w:rsid w:val="00F1052D"/>
    <w:rsid w:val="00F1071D"/>
    <w:rsid w:val="00F109D4"/>
    <w:rsid w:val="00F147E4"/>
    <w:rsid w:val="00F15EE9"/>
    <w:rsid w:val="00F203A8"/>
    <w:rsid w:val="00F24124"/>
    <w:rsid w:val="00F34311"/>
    <w:rsid w:val="00F35E2C"/>
    <w:rsid w:val="00F432BE"/>
    <w:rsid w:val="00F46491"/>
    <w:rsid w:val="00F47585"/>
    <w:rsid w:val="00F64F75"/>
    <w:rsid w:val="00F7426F"/>
    <w:rsid w:val="00F8203A"/>
    <w:rsid w:val="00F85E6F"/>
    <w:rsid w:val="00F9026A"/>
    <w:rsid w:val="00F9299F"/>
    <w:rsid w:val="00F95088"/>
    <w:rsid w:val="00F95500"/>
    <w:rsid w:val="00FB2E63"/>
    <w:rsid w:val="00FB6BE6"/>
    <w:rsid w:val="00FC1F24"/>
    <w:rsid w:val="00FC2647"/>
    <w:rsid w:val="00FD4DC2"/>
    <w:rsid w:val="00FE04E4"/>
    <w:rsid w:val="00FE3529"/>
    <w:rsid w:val="00FE3F9B"/>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0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paragraph">
    <w:name w:val="paragraph"/>
    <w:basedOn w:val="Normal"/>
    <w:rsid w:val="0016541A"/>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AF183E"/>
    <w:pPr>
      <w:spacing w:before="0" w:after="0"/>
    </w:pPr>
    <w:rPr>
      <w:sz w:val="20"/>
    </w:rPr>
  </w:style>
  <w:style w:type="character" w:customStyle="1" w:styleId="FootnoteTextChar">
    <w:name w:val="Footnote Text Char"/>
    <w:basedOn w:val="DefaultParagraphFont"/>
    <w:link w:val="FootnoteText"/>
    <w:uiPriority w:val="99"/>
    <w:semiHidden/>
    <w:rsid w:val="00AF183E"/>
  </w:style>
  <w:style w:type="character" w:styleId="FootnoteReference">
    <w:name w:val="footnote reference"/>
    <w:basedOn w:val="DefaultParagraphFont"/>
    <w:uiPriority w:val="99"/>
    <w:semiHidden/>
    <w:unhideWhenUsed/>
    <w:rsid w:val="00AF183E"/>
    <w:rPr>
      <w:vertAlign w:val="superscript"/>
    </w:rPr>
  </w:style>
  <w:style w:type="character" w:styleId="UnresolvedMention">
    <w:name w:val="Unresolved Mention"/>
    <w:basedOn w:val="DefaultParagraphFont"/>
    <w:uiPriority w:val="99"/>
    <w:semiHidden/>
    <w:unhideWhenUsed/>
    <w:rsid w:val="00B72B72"/>
    <w:rPr>
      <w:color w:val="605E5C"/>
      <w:shd w:val="clear" w:color="auto" w:fill="E1DFDD"/>
    </w:rPr>
  </w:style>
  <w:style w:type="paragraph" w:customStyle="1" w:styleId="acthead5">
    <w:name w:val="acthead5"/>
    <w:basedOn w:val="Normal"/>
    <w:rsid w:val="00FB6BE6"/>
    <w:pPr>
      <w:spacing w:before="100" w:beforeAutospacing="1" w:after="100" w:afterAutospacing="1"/>
    </w:pPr>
    <w:rPr>
      <w:szCs w:val="24"/>
    </w:rPr>
  </w:style>
  <w:style w:type="character" w:customStyle="1" w:styleId="charsectno">
    <w:name w:val="charsectno"/>
    <w:basedOn w:val="DefaultParagraphFont"/>
    <w:rsid w:val="00FB6BE6"/>
  </w:style>
  <w:style w:type="paragraph" w:customStyle="1" w:styleId="subsection">
    <w:name w:val="subsection"/>
    <w:basedOn w:val="Normal"/>
    <w:rsid w:val="00FB6BE6"/>
    <w:pPr>
      <w:spacing w:before="100" w:beforeAutospacing="1" w:after="100" w:afterAutospacing="1"/>
    </w:pPr>
    <w:rPr>
      <w:szCs w:val="24"/>
    </w:rPr>
  </w:style>
  <w:style w:type="paragraph" w:customStyle="1" w:styleId="notetext">
    <w:name w:val="notetext"/>
    <w:basedOn w:val="Normal"/>
    <w:rsid w:val="00FB6BE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537">
      <w:bodyDiv w:val="1"/>
      <w:marLeft w:val="0"/>
      <w:marRight w:val="0"/>
      <w:marTop w:val="0"/>
      <w:marBottom w:val="0"/>
      <w:divBdr>
        <w:top w:val="none" w:sz="0" w:space="0" w:color="auto"/>
        <w:left w:val="none" w:sz="0" w:space="0" w:color="auto"/>
        <w:bottom w:val="none" w:sz="0" w:space="0" w:color="auto"/>
        <w:right w:val="none" w:sz="0" w:space="0" w:color="auto"/>
      </w:divBdr>
    </w:div>
    <w:div w:id="130907817">
      <w:bodyDiv w:val="1"/>
      <w:marLeft w:val="0"/>
      <w:marRight w:val="0"/>
      <w:marTop w:val="0"/>
      <w:marBottom w:val="0"/>
      <w:divBdr>
        <w:top w:val="none" w:sz="0" w:space="0" w:color="auto"/>
        <w:left w:val="none" w:sz="0" w:space="0" w:color="auto"/>
        <w:bottom w:val="none" w:sz="0" w:space="0" w:color="auto"/>
        <w:right w:val="none" w:sz="0" w:space="0" w:color="auto"/>
      </w:divBdr>
    </w:div>
    <w:div w:id="158810061">
      <w:bodyDiv w:val="1"/>
      <w:marLeft w:val="0"/>
      <w:marRight w:val="0"/>
      <w:marTop w:val="0"/>
      <w:marBottom w:val="0"/>
      <w:divBdr>
        <w:top w:val="none" w:sz="0" w:space="0" w:color="auto"/>
        <w:left w:val="none" w:sz="0" w:space="0" w:color="auto"/>
        <w:bottom w:val="none" w:sz="0" w:space="0" w:color="auto"/>
        <w:right w:val="none" w:sz="0" w:space="0" w:color="auto"/>
      </w:divBdr>
    </w:div>
    <w:div w:id="197132336">
      <w:bodyDiv w:val="1"/>
      <w:marLeft w:val="0"/>
      <w:marRight w:val="0"/>
      <w:marTop w:val="0"/>
      <w:marBottom w:val="0"/>
      <w:divBdr>
        <w:top w:val="none" w:sz="0" w:space="0" w:color="auto"/>
        <w:left w:val="none" w:sz="0" w:space="0" w:color="auto"/>
        <w:bottom w:val="none" w:sz="0" w:space="0" w:color="auto"/>
        <w:right w:val="none" w:sz="0" w:space="0" w:color="auto"/>
      </w:divBdr>
    </w:div>
    <w:div w:id="421026915">
      <w:bodyDiv w:val="1"/>
      <w:marLeft w:val="0"/>
      <w:marRight w:val="0"/>
      <w:marTop w:val="0"/>
      <w:marBottom w:val="0"/>
      <w:divBdr>
        <w:top w:val="none" w:sz="0" w:space="0" w:color="auto"/>
        <w:left w:val="none" w:sz="0" w:space="0" w:color="auto"/>
        <w:bottom w:val="none" w:sz="0" w:space="0" w:color="auto"/>
        <w:right w:val="none" w:sz="0" w:space="0" w:color="auto"/>
      </w:divBdr>
    </w:div>
    <w:div w:id="550574286">
      <w:bodyDiv w:val="1"/>
      <w:marLeft w:val="0"/>
      <w:marRight w:val="0"/>
      <w:marTop w:val="0"/>
      <w:marBottom w:val="0"/>
      <w:divBdr>
        <w:top w:val="none" w:sz="0" w:space="0" w:color="auto"/>
        <w:left w:val="none" w:sz="0" w:space="0" w:color="auto"/>
        <w:bottom w:val="none" w:sz="0" w:space="0" w:color="auto"/>
        <w:right w:val="none" w:sz="0" w:space="0" w:color="auto"/>
      </w:divBdr>
    </w:div>
    <w:div w:id="83310394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99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AA0F5617B452AB33476ED1688D9FB"/>
        <w:category>
          <w:name w:val="General"/>
          <w:gallery w:val="placeholder"/>
        </w:category>
        <w:types>
          <w:type w:val="bbPlcHdr"/>
        </w:types>
        <w:behaviors>
          <w:behavior w:val="content"/>
        </w:behaviors>
        <w:guid w:val="{D3AAEFBE-1CB2-495B-A4B8-FDF14FECF8CB}"/>
      </w:docPartPr>
      <w:docPartBody>
        <w:p w:rsidR="004974A1" w:rsidRDefault="004974A1">
          <w:pPr>
            <w:pStyle w:val="A1AAA0F5617B452AB33476ED1688D9F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A1"/>
    <w:rsid w:val="000655EB"/>
    <w:rsid w:val="003422BC"/>
    <w:rsid w:val="00355C03"/>
    <w:rsid w:val="00421BC3"/>
    <w:rsid w:val="004974A1"/>
    <w:rsid w:val="00802906"/>
    <w:rsid w:val="00C574FC"/>
    <w:rsid w:val="00CE2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5EB"/>
    <w:rPr>
      <w:color w:val="808080"/>
    </w:rPr>
  </w:style>
  <w:style w:type="paragraph" w:customStyle="1" w:styleId="A1AAA0F5617B452AB33476ED1688D9FB">
    <w:name w:val="A1AAA0F5617B452AB33476ED1688D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2022-02-18T00:03:00Z</dcterms:created>
  <dcterms:modified xsi:type="dcterms:W3CDTF">2022-02-18T00:03:00Z</dcterms:modified>
</cp:coreProperties>
</file>