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B61CF" w14:textId="059FF4E6" w:rsidR="00A419EA" w:rsidRDefault="00ED081D" w:rsidP="001A7C14">
      <w:pPr>
        <w:autoSpaceDE w:val="0"/>
        <w:autoSpaceDN w:val="0"/>
        <w:adjustRightInd w:val="0"/>
        <w:spacing w:after="0"/>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E</w:t>
      </w:r>
      <w:r w:rsidR="00A419EA" w:rsidRPr="00A419EA">
        <w:rPr>
          <w:rFonts w:ascii="Times New Roman" w:eastAsia="Times New Roman" w:hAnsi="Times New Roman" w:cs="Times New Roman"/>
          <w:b/>
          <w:bCs/>
          <w:sz w:val="24"/>
          <w:szCs w:val="24"/>
          <w:u w:val="single"/>
          <w:lang w:eastAsia="en-AU"/>
        </w:rPr>
        <w:t>XPLANATORY STATEMENT</w:t>
      </w:r>
    </w:p>
    <w:p w14:paraId="6482C0DE" w14:textId="77777777" w:rsidR="00AD562B" w:rsidRDefault="00AD562B" w:rsidP="001A7C14">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p>
    <w:p w14:paraId="7A143476" w14:textId="228C7309" w:rsidR="00B60F0C" w:rsidRDefault="00B60F0C" w:rsidP="001A7C14">
      <w:pPr>
        <w:autoSpaceDE w:val="0"/>
        <w:autoSpaceDN w:val="0"/>
        <w:adjustRightInd w:val="0"/>
        <w:spacing w:after="0"/>
        <w:jc w:val="center"/>
        <w:rPr>
          <w:rFonts w:ascii="Times New Roman" w:hAnsi="Times New Roman"/>
          <w:bCs/>
          <w:i/>
          <w:iCs/>
          <w:szCs w:val="24"/>
        </w:rPr>
      </w:pPr>
      <w:r w:rsidRPr="00625284">
        <w:rPr>
          <w:rFonts w:ascii="Times New Roman" w:hAnsi="Times New Roman"/>
          <w:bCs/>
          <w:i/>
          <w:iCs/>
          <w:szCs w:val="24"/>
        </w:rPr>
        <w:t>Therapeutic Goods Act 1989</w:t>
      </w:r>
    </w:p>
    <w:p w14:paraId="0125EA61" w14:textId="77777777" w:rsidR="00AD562B" w:rsidRPr="00625284" w:rsidRDefault="00AD562B" w:rsidP="001A7C14">
      <w:pPr>
        <w:autoSpaceDE w:val="0"/>
        <w:autoSpaceDN w:val="0"/>
        <w:adjustRightInd w:val="0"/>
        <w:spacing w:after="0" w:line="240" w:lineRule="auto"/>
        <w:jc w:val="center"/>
        <w:rPr>
          <w:rFonts w:ascii="Times New Roman" w:hAnsi="Times New Roman"/>
          <w:bCs/>
          <w:i/>
          <w:iCs/>
          <w:szCs w:val="24"/>
        </w:rPr>
      </w:pPr>
    </w:p>
    <w:p w14:paraId="742D9337" w14:textId="46A54867" w:rsidR="00EF1F18" w:rsidRDefault="00EF1F18"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r w:rsidRPr="008727AB">
        <w:rPr>
          <w:rFonts w:ascii="Times New Roman" w:eastAsia="Times New Roman" w:hAnsi="Times New Roman" w:cs="Times New Roman"/>
          <w:bCs/>
          <w:i/>
          <w:sz w:val="24"/>
          <w:szCs w:val="24"/>
          <w:lang w:eastAsia="en-AU"/>
        </w:rPr>
        <w:t>Therapeutic Goods</w:t>
      </w:r>
      <w:r w:rsidR="008727AB" w:rsidRPr="008727AB">
        <w:rPr>
          <w:rFonts w:ascii="Times New Roman" w:eastAsia="Times New Roman" w:hAnsi="Times New Roman" w:cs="Times New Roman"/>
          <w:bCs/>
          <w:i/>
          <w:sz w:val="24"/>
          <w:szCs w:val="24"/>
          <w:lang w:eastAsia="en-AU"/>
        </w:rPr>
        <w:t xml:space="preserve"> </w:t>
      </w:r>
      <w:r w:rsidRPr="008727AB">
        <w:rPr>
          <w:rFonts w:ascii="Times New Roman" w:eastAsia="Times New Roman" w:hAnsi="Times New Roman" w:cs="Times New Roman"/>
          <w:bCs/>
          <w:i/>
          <w:sz w:val="24"/>
          <w:szCs w:val="24"/>
          <w:lang w:eastAsia="en-AU"/>
        </w:rPr>
        <w:t>(Permissible Ingredients) Determination </w:t>
      </w:r>
      <w:r w:rsidR="00045C71">
        <w:rPr>
          <w:rFonts w:ascii="Times New Roman" w:eastAsia="Times New Roman" w:hAnsi="Times New Roman" w:cs="Times New Roman"/>
          <w:bCs/>
          <w:i/>
          <w:sz w:val="24"/>
          <w:szCs w:val="24"/>
          <w:lang w:eastAsia="en-AU"/>
        </w:rPr>
        <w:t>(No.</w:t>
      </w:r>
      <w:r w:rsidR="00B60F0C">
        <w:rPr>
          <w:rFonts w:ascii="Times New Roman" w:eastAsia="Times New Roman" w:hAnsi="Times New Roman" w:cs="Times New Roman"/>
          <w:bCs/>
          <w:i/>
          <w:sz w:val="24"/>
          <w:szCs w:val="24"/>
          <w:lang w:eastAsia="en-AU"/>
        </w:rPr>
        <w:t xml:space="preserve"> </w:t>
      </w:r>
      <w:r w:rsidR="00272777">
        <w:rPr>
          <w:rFonts w:ascii="Times New Roman" w:eastAsia="Times New Roman" w:hAnsi="Times New Roman" w:cs="Times New Roman"/>
          <w:bCs/>
          <w:i/>
          <w:sz w:val="24"/>
          <w:szCs w:val="24"/>
          <w:lang w:eastAsia="en-AU"/>
        </w:rPr>
        <w:t>2</w:t>
      </w:r>
      <w:r w:rsidR="00045C71">
        <w:rPr>
          <w:rFonts w:ascii="Times New Roman" w:eastAsia="Times New Roman" w:hAnsi="Times New Roman" w:cs="Times New Roman"/>
          <w:bCs/>
          <w:i/>
          <w:sz w:val="24"/>
          <w:szCs w:val="24"/>
          <w:lang w:eastAsia="en-AU"/>
        </w:rPr>
        <w:t xml:space="preserve">) </w:t>
      </w:r>
      <w:r w:rsidR="00685980" w:rsidRPr="008727AB">
        <w:rPr>
          <w:rFonts w:ascii="Times New Roman" w:eastAsia="Times New Roman" w:hAnsi="Times New Roman" w:cs="Times New Roman"/>
          <w:bCs/>
          <w:i/>
          <w:sz w:val="24"/>
          <w:szCs w:val="24"/>
          <w:lang w:eastAsia="en-AU"/>
        </w:rPr>
        <w:t>20</w:t>
      </w:r>
      <w:r w:rsidR="009A1C10">
        <w:rPr>
          <w:rFonts w:ascii="Times New Roman" w:eastAsia="Times New Roman" w:hAnsi="Times New Roman" w:cs="Times New Roman"/>
          <w:bCs/>
          <w:i/>
          <w:sz w:val="24"/>
          <w:szCs w:val="24"/>
          <w:lang w:eastAsia="en-AU"/>
        </w:rPr>
        <w:t>2</w:t>
      </w:r>
      <w:r w:rsidR="0050390C">
        <w:rPr>
          <w:rFonts w:ascii="Times New Roman" w:eastAsia="Times New Roman" w:hAnsi="Times New Roman" w:cs="Times New Roman"/>
          <w:bCs/>
          <w:i/>
          <w:sz w:val="24"/>
          <w:szCs w:val="24"/>
          <w:lang w:eastAsia="en-AU"/>
        </w:rPr>
        <w:t>2</w:t>
      </w:r>
    </w:p>
    <w:p w14:paraId="2685996F" w14:textId="77777777" w:rsidR="00AD562B" w:rsidRPr="008727AB" w:rsidRDefault="00AD562B" w:rsidP="001A7C14">
      <w:pPr>
        <w:autoSpaceDE w:val="0"/>
        <w:autoSpaceDN w:val="0"/>
        <w:adjustRightInd w:val="0"/>
        <w:spacing w:after="0" w:line="240" w:lineRule="auto"/>
        <w:jc w:val="center"/>
        <w:rPr>
          <w:rFonts w:ascii="Times New Roman" w:eastAsia="Times New Roman" w:hAnsi="Times New Roman" w:cs="Times New Roman"/>
          <w:bCs/>
          <w:i/>
          <w:sz w:val="24"/>
          <w:szCs w:val="24"/>
          <w:lang w:eastAsia="en-AU"/>
        </w:rPr>
      </w:pPr>
    </w:p>
    <w:p w14:paraId="1375AB08" w14:textId="2DD56D9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8727AB">
        <w:rPr>
          <w:rFonts w:ascii="Times New Roman" w:eastAsia="Times New Roman" w:hAnsi="Times New Roman" w:cs="Times New Roman"/>
          <w:i/>
          <w:sz w:val="24"/>
          <w:szCs w:val="24"/>
          <w:lang w:eastAsia="en-AU"/>
        </w:rPr>
        <w:t>Therapeutic Goods Act 1989</w:t>
      </w:r>
      <w:r>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w:t>
      </w:r>
      <w:r w:rsidR="00B60F0C">
        <w:rPr>
          <w:rFonts w:ascii="Times New Roman" w:eastAsia="Times New Roman" w:hAnsi="Times New Roman" w:cs="Times New Roman"/>
          <w:sz w:val="24"/>
          <w:szCs w:val="24"/>
          <w:lang w:eastAsia="en-AU"/>
        </w:rPr>
        <w:t>TGA</w:t>
      </w:r>
      <w:r>
        <w:rPr>
          <w:rFonts w:ascii="Times New Roman" w:eastAsia="Times New Roman" w:hAnsi="Times New Roman" w:cs="Times New Roman"/>
          <w:sz w:val="24"/>
          <w:szCs w:val="24"/>
          <w:lang w:eastAsia="en-AU"/>
        </w:rPr>
        <w:t>”) within the Australian Government Department of Health.</w:t>
      </w:r>
    </w:p>
    <w:p w14:paraId="242F03BC" w14:textId="77777777"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p>
    <w:p w14:paraId="3AAF151F" w14:textId="0E7BCBE6" w:rsidR="008727AB" w:rsidRDefault="008727AB"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26BB of the Act relevantly provides that the Minister </w:t>
      </w:r>
      <w:r w:rsidR="00F80329">
        <w:rPr>
          <w:rFonts w:ascii="Times New Roman" w:eastAsia="Times New Roman" w:hAnsi="Times New Roman" w:cs="Times New Roman"/>
          <w:sz w:val="24"/>
          <w:szCs w:val="24"/>
          <w:lang w:eastAsia="en-AU"/>
        </w:rPr>
        <w:t>for</w:t>
      </w:r>
      <w:r>
        <w:rPr>
          <w:rFonts w:ascii="Times New Roman" w:eastAsia="Times New Roman" w:hAnsi="Times New Roman" w:cs="Times New Roman"/>
          <w:sz w:val="24"/>
          <w:szCs w:val="24"/>
          <w:lang w:eastAsia="en-AU"/>
        </w:rPr>
        <w:t xml:space="preserve"> Health </w:t>
      </w:r>
      <w:r w:rsidR="00F80329">
        <w:rPr>
          <w:rFonts w:ascii="Times New Roman" w:eastAsia="Times New Roman" w:hAnsi="Times New Roman" w:cs="Times New Roman"/>
          <w:sz w:val="24"/>
          <w:szCs w:val="24"/>
          <w:lang w:eastAsia="en-AU"/>
        </w:rPr>
        <w:t xml:space="preserve">and Aged Care </w:t>
      </w:r>
      <w:r>
        <w:rPr>
          <w:rFonts w:ascii="Times New Roman" w:eastAsia="Times New Roman" w:hAnsi="Times New Roman" w:cs="Times New Roman"/>
          <w:sz w:val="24"/>
          <w:szCs w:val="24"/>
          <w:lang w:eastAsia="en-AU"/>
        </w:rPr>
        <w:t xml:space="preserve">may, by legislative instrument, </w:t>
      </w:r>
      <w:proofErr w:type="gramStart"/>
      <w:r>
        <w:rPr>
          <w:rFonts w:ascii="Times New Roman" w:eastAsia="Times New Roman" w:hAnsi="Times New Roman" w:cs="Times New Roman"/>
          <w:sz w:val="24"/>
          <w:szCs w:val="24"/>
          <w:lang w:eastAsia="en-AU"/>
        </w:rPr>
        <w:t>make a determination</w:t>
      </w:r>
      <w:proofErr w:type="gramEnd"/>
      <w:r>
        <w:rPr>
          <w:rFonts w:ascii="Times New Roman" w:eastAsia="Times New Roman" w:hAnsi="Times New Roman" w:cs="Times New Roman"/>
          <w:sz w:val="24"/>
          <w:szCs w:val="24"/>
          <w:lang w:eastAsia="en-AU"/>
        </w:rPr>
        <w:t xml:space="preserve"> </w:t>
      </w:r>
      <w:r w:rsidR="004E05C9">
        <w:rPr>
          <w:rFonts w:ascii="Times New Roman" w:eastAsia="Times New Roman" w:hAnsi="Times New Roman" w:cs="Times New Roman"/>
          <w:sz w:val="24"/>
          <w:szCs w:val="24"/>
          <w:lang w:eastAsia="en-AU"/>
        </w:rPr>
        <w:t>specifying ingredients and, for some or all of those ingredients, requirements in relation to those ingredients being contained in a medicine.  Under subsections 26BB(2), (2A) and (3) of the Act, such requirements may relate to particular ingredients not being con</w:t>
      </w:r>
      <w:r w:rsidR="00226F3C">
        <w:rPr>
          <w:rFonts w:ascii="Times New Roman" w:eastAsia="Times New Roman" w:hAnsi="Times New Roman" w:cs="Times New Roman"/>
          <w:sz w:val="24"/>
          <w:szCs w:val="24"/>
          <w:lang w:eastAsia="en-AU"/>
        </w:rPr>
        <w:t xml:space="preserve">tained in particular medicines or </w:t>
      </w:r>
      <w:r w:rsidR="004E05C9">
        <w:rPr>
          <w:rFonts w:ascii="Times New Roman" w:eastAsia="Times New Roman" w:hAnsi="Times New Roman" w:cs="Times New Roman"/>
          <w:sz w:val="24"/>
          <w:szCs w:val="24"/>
          <w:lang w:eastAsia="en-AU"/>
        </w:rPr>
        <w:t>being contained in p</w:t>
      </w:r>
      <w:r w:rsidR="00226F3C">
        <w:rPr>
          <w:rFonts w:ascii="Times New Roman" w:eastAsia="Times New Roman" w:hAnsi="Times New Roman" w:cs="Times New Roman"/>
          <w:sz w:val="24"/>
          <w:szCs w:val="24"/>
          <w:lang w:eastAsia="en-AU"/>
        </w:rPr>
        <w:t xml:space="preserve">articular medicines only in specified </w:t>
      </w:r>
      <w:r w:rsidR="004E05C9">
        <w:rPr>
          <w:rFonts w:ascii="Times New Roman" w:eastAsia="Times New Roman" w:hAnsi="Times New Roman" w:cs="Times New Roman"/>
          <w:sz w:val="24"/>
          <w:szCs w:val="24"/>
          <w:lang w:eastAsia="en-AU"/>
        </w:rPr>
        <w:t>circumstances or to permitted concentrations or total amounts of an ingredient in a medicine.</w:t>
      </w:r>
    </w:p>
    <w:p w14:paraId="69CA0739"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0684020F" w14:textId="77777777" w:rsidR="004E05C9" w:rsidRDefault="00226F3C"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L</w:t>
      </w:r>
      <w:r w:rsidR="004E05C9">
        <w:rPr>
          <w:rFonts w:ascii="Times New Roman" w:eastAsia="Times New Roman" w:hAnsi="Times New Roman" w:cs="Times New Roman"/>
          <w:sz w:val="24"/>
          <w:szCs w:val="24"/>
          <w:lang w:eastAsia="en-AU"/>
        </w:rPr>
        <w:t xml:space="preserve">egislative instruments made </w:t>
      </w:r>
      <w:r>
        <w:rPr>
          <w:rFonts w:ascii="Times New Roman" w:eastAsia="Times New Roman" w:hAnsi="Times New Roman" w:cs="Times New Roman"/>
          <w:sz w:val="24"/>
          <w:szCs w:val="24"/>
          <w:lang w:eastAsia="en-AU"/>
        </w:rPr>
        <w:t>under section 26BB of the Act are designed</w:t>
      </w:r>
      <w:r w:rsidR="004E05C9">
        <w:rPr>
          <w:rFonts w:ascii="Times New Roman" w:eastAsia="Times New Roman" w:hAnsi="Times New Roman" w:cs="Times New Roman"/>
          <w:sz w:val="24"/>
          <w:szCs w:val="24"/>
          <w:lang w:eastAsia="en-AU"/>
        </w:rPr>
        <w:t xml:space="preserve"> to specify those ingredients that may be contained in a medicine that is listed in the Australian Register of Therapeutic Goods (“the Register”) under section 26A or 26AE of the Act, and </w:t>
      </w:r>
      <w:r>
        <w:rPr>
          <w:rFonts w:ascii="Times New Roman" w:eastAsia="Times New Roman" w:hAnsi="Times New Roman" w:cs="Times New Roman"/>
          <w:sz w:val="24"/>
          <w:szCs w:val="24"/>
          <w:lang w:eastAsia="en-AU"/>
        </w:rPr>
        <w:t xml:space="preserve">to specify </w:t>
      </w:r>
      <w:r w:rsidR="004E05C9">
        <w:rPr>
          <w:rFonts w:ascii="Times New Roman" w:eastAsia="Times New Roman" w:hAnsi="Times New Roman" w:cs="Times New Roman"/>
          <w:sz w:val="24"/>
          <w:szCs w:val="24"/>
          <w:lang w:eastAsia="en-AU"/>
        </w:rPr>
        <w:t>requirements in relation to the inclusion of those ingredients in such medicines.</w:t>
      </w:r>
    </w:p>
    <w:p w14:paraId="114F9F97" w14:textId="77777777"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p>
    <w:p w14:paraId="441C0023" w14:textId="5D5B8496" w:rsidR="004E05C9" w:rsidRDefault="004E05C9" w:rsidP="009A530B">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E60C26" w:rsidRPr="008727AB">
        <w:rPr>
          <w:rFonts w:ascii="Times New Roman" w:eastAsia="Times New Roman" w:hAnsi="Times New Roman" w:cs="Times New Roman"/>
          <w:bCs/>
          <w:i/>
          <w:sz w:val="24"/>
          <w:szCs w:val="24"/>
          <w:lang w:eastAsia="en-AU"/>
        </w:rPr>
        <w:t>Therapeutic Goods (Permiss</w:t>
      </w:r>
      <w:r w:rsidR="00E60C26">
        <w:rPr>
          <w:rFonts w:ascii="Times New Roman" w:eastAsia="Times New Roman" w:hAnsi="Times New Roman" w:cs="Times New Roman"/>
          <w:bCs/>
          <w:i/>
          <w:sz w:val="24"/>
          <w:szCs w:val="24"/>
          <w:lang w:eastAsia="en-AU"/>
        </w:rPr>
        <w:t>ible Ingredients) Determination (No.</w:t>
      </w:r>
      <w:r w:rsidR="00540CD5">
        <w:rPr>
          <w:rFonts w:ascii="Times New Roman" w:eastAsia="Times New Roman" w:hAnsi="Times New Roman" w:cs="Times New Roman"/>
          <w:bCs/>
          <w:i/>
          <w:sz w:val="24"/>
          <w:szCs w:val="24"/>
          <w:lang w:eastAsia="en-AU"/>
        </w:rPr>
        <w:t xml:space="preserve"> </w:t>
      </w:r>
      <w:r w:rsidR="00272777">
        <w:rPr>
          <w:rFonts w:ascii="Times New Roman" w:eastAsia="Times New Roman" w:hAnsi="Times New Roman" w:cs="Times New Roman"/>
          <w:bCs/>
          <w:i/>
          <w:sz w:val="24"/>
          <w:szCs w:val="24"/>
          <w:lang w:eastAsia="en-AU"/>
        </w:rPr>
        <w:t>2</w:t>
      </w:r>
      <w:r w:rsidR="00E60C26">
        <w:rPr>
          <w:rFonts w:ascii="Times New Roman" w:eastAsia="Times New Roman" w:hAnsi="Times New Roman" w:cs="Times New Roman"/>
          <w:bCs/>
          <w:i/>
          <w:sz w:val="24"/>
          <w:szCs w:val="24"/>
          <w:lang w:eastAsia="en-AU"/>
        </w:rPr>
        <w:t xml:space="preserve">) </w:t>
      </w:r>
      <w:r w:rsidR="00F6166F" w:rsidRPr="008727AB">
        <w:rPr>
          <w:rFonts w:ascii="Times New Roman" w:eastAsia="Times New Roman" w:hAnsi="Times New Roman" w:cs="Times New Roman"/>
          <w:bCs/>
          <w:i/>
          <w:sz w:val="24"/>
          <w:szCs w:val="24"/>
          <w:lang w:eastAsia="en-AU"/>
        </w:rPr>
        <w:t>20</w:t>
      </w:r>
      <w:r w:rsidR="00F6166F">
        <w:rPr>
          <w:rFonts w:ascii="Times New Roman" w:eastAsia="Times New Roman" w:hAnsi="Times New Roman" w:cs="Times New Roman"/>
          <w:bCs/>
          <w:i/>
          <w:sz w:val="24"/>
          <w:szCs w:val="24"/>
          <w:lang w:eastAsia="en-AU"/>
        </w:rPr>
        <w:t>2</w:t>
      </w:r>
      <w:r w:rsidR="00960E9A">
        <w:rPr>
          <w:rFonts w:ascii="Times New Roman" w:eastAsia="Times New Roman" w:hAnsi="Times New Roman" w:cs="Times New Roman"/>
          <w:bCs/>
          <w:i/>
          <w:sz w:val="24"/>
          <w:szCs w:val="24"/>
          <w:lang w:eastAsia="en-AU"/>
        </w:rPr>
        <w:t>2</w:t>
      </w:r>
      <w:r w:rsidR="00F6166F">
        <w:rPr>
          <w:rFonts w:ascii="Times New Roman" w:eastAsia="Times New Roman" w:hAnsi="Times New Roman" w:cs="Times New Roman"/>
          <w:bCs/>
          <w:i/>
          <w:sz w:val="24"/>
          <w:szCs w:val="24"/>
          <w:lang w:eastAsia="en-AU"/>
        </w:rPr>
        <w:t xml:space="preserve"> </w:t>
      </w:r>
      <w:r w:rsidR="00E60C26" w:rsidRPr="00E60C26">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sz w:val="24"/>
          <w:szCs w:val="24"/>
          <w:lang w:eastAsia="en-AU"/>
        </w:rPr>
        <w:t>Determination</w:t>
      </w:r>
      <w:r w:rsidR="00E60C2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67371">
        <w:rPr>
          <w:rFonts w:ascii="Times New Roman" w:eastAsia="Times New Roman" w:hAnsi="Times New Roman" w:cs="Times New Roman"/>
          <w:sz w:val="24"/>
          <w:szCs w:val="24"/>
          <w:lang w:eastAsia="en-AU"/>
        </w:rPr>
        <w:t>repeal</w:t>
      </w:r>
      <w:r w:rsidR="007C503B">
        <w:rPr>
          <w:rFonts w:ascii="Times New Roman" w:eastAsia="Times New Roman" w:hAnsi="Times New Roman" w:cs="Times New Roman"/>
          <w:sz w:val="24"/>
          <w:szCs w:val="24"/>
          <w:lang w:eastAsia="en-AU"/>
        </w:rPr>
        <w:t xml:space="preserve">s </w:t>
      </w:r>
      <w:r w:rsidR="00E67371">
        <w:rPr>
          <w:rFonts w:ascii="Times New Roman" w:eastAsia="Times New Roman" w:hAnsi="Times New Roman" w:cs="Times New Roman"/>
          <w:sz w:val="24"/>
          <w:szCs w:val="24"/>
          <w:lang w:eastAsia="en-AU"/>
        </w:rPr>
        <w:t>and replace</w:t>
      </w:r>
      <w:r w:rsidR="007C503B">
        <w:rPr>
          <w:rFonts w:ascii="Times New Roman" w:eastAsia="Times New Roman" w:hAnsi="Times New Roman" w:cs="Times New Roman"/>
          <w:sz w:val="24"/>
          <w:szCs w:val="24"/>
          <w:lang w:eastAsia="en-AU"/>
        </w:rPr>
        <w:t>s</w:t>
      </w:r>
      <w:r w:rsidR="00E673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Pr="004E05C9">
        <w:rPr>
          <w:rFonts w:ascii="Times New Roman" w:eastAsia="Times New Roman" w:hAnsi="Times New Roman" w:cs="Times New Roman"/>
          <w:i/>
          <w:sz w:val="24"/>
          <w:szCs w:val="24"/>
          <w:lang w:eastAsia="en-AU"/>
        </w:rPr>
        <w:t>Therapeutic Goods</w:t>
      </w:r>
      <w:r w:rsidR="001C38AF">
        <w:rPr>
          <w:rFonts w:ascii="Times New Roman" w:eastAsia="Times New Roman" w:hAnsi="Times New Roman" w:cs="Times New Roman"/>
          <w:i/>
          <w:sz w:val="24"/>
          <w:szCs w:val="24"/>
          <w:lang w:eastAsia="en-AU"/>
        </w:rPr>
        <w:t xml:space="preserve"> </w:t>
      </w:r>
      <w:r w:rsidRPr="004E05C9">
        <w:rPr>
          <w:rFonts w:ascii="Times New Roman" w:eastAsia="Times New Roman" w:hAnsi="Times New Roman" w:cs="Times New Roman"/>
          <w:i/>
          <w:sz w:val="24"/>
          <w:szCs w:val="24"/>
          <w:lang w:eastAsia="en-AU"/>
        </w:rPr>
        <w:t>(Permissible Ingredients) Determination (No.</w:t>
      </w:r>
      <w:r w:rsidR="00B60F0C">
        <w:rPr>
          <w:rFonts w:ascii="Times New Roman" w:eastAsia="Times New Roman" w:hAnsi="Times New Roman" w:cs="Times New Roman"/>
          <w:i/>
          <w:sz w:val="24"/>
          <w:szCs w:val="24"/>
          <w:lang w:eastAsia="en-AU"/>
        </w:rPr>
        <w:t xml:space="preserve"> </w:t>
      </w:r>
      <w:r w:rsidR="00272777">
        <w:rPr>
          <w:rFonts w:ascii="Times New Roman" w:eastAsia="Times New Roman" w:hAnsi="Times New Roman" w:cs="Times New Roman"/>
          <w:i/>
          <w:sz w:val="24"/>
          <w:szCs w:val="24"/>
          <w:lang w:eastAsia="en-AU"/>
        </w:rPr>
        <w:t>1</w:t>
      </w:r>
      <w:r w:rsidRPr="004E05C9">
        <w:rPr>
          <w:rFonts w:ascii="Times New Roman" w:eastAsia="Times New Roman" w:hAnsi="Times New Roman" w:cs="Times New Roman"/>
          <w:i/>
          <w:sz w:val="24"/>
          <w:szCs w:val="24"/>
          <w:lang w:eastAsia="en-AU"/>
        </w:rPr>
        <w:t>) 20</w:t>
      </w:r>
      <w:r w:rsidR="00272777">
        <w:rPr>
          <w:rFonts w:ascii="Times New Roman" w:eastAsia="Times New Roman" w:hAnsi="Times New Roman" w:cs="Times New Roman"/>
          <w:i/>
          <w:sz w:val="24"/>
          <w:szCs w:val="24"/>
          <w:lang w:eastAsia="en-AU"/>
        </w:rPr>
        <w:t>22</w:t>
      </w:r>
      <w:r w:rsidR="00B60F0C">
        <w:rPr>
          <w:rFonts w:ascii="Times New Roman" w:eastAsia="Times New Roman" w:hAnsi="Times New Roman" w:cs="Times New Roman"/>
          <w:i/>
          <w:sz w:val="24"/>
          <w:szCs w:val="24"/>
          <w:lang w:eastAsia="en-AU"/>
        </w:rPr>
        <w:t xml:space="preserve"> </w:t>
      </w:r>
      <w:r w:rsidR="00B60F0C">
        <w:rPr>
          <w:rFonts w:ascii="Times New Roman" w:eastAsia="Times New Roman" w:hAnsi="Times New Roman" w:cs="Times New Roman"/>
          <w:sz w:val="24"/>
          <w:szCs w:val="24"/>
          <w:lang w:eastAsia="en-AU"/>
        </w:rPr>
        <w:t xml:space="preserve">(“the </w:t>
      </w:r>
      <w:r w:rsidR="00E67371">
        <w:rPr>
          <w:rFonts w:ascii="Times New Roman" w:eastAsia="Times New Roman" w:hAnsi="Times New Roman" w:cs="Times New Roman"/>
          <w:sz w:val="24"/>
          <w:szCs w:val="24"/>
          <w:lang w:eastAsia="en-AU"/>
        </w:rPr>
        <w:t xml:space="preserve">former </w:t>
      </w:r>
      <w:r w:rsidR="00B60F0C">
        <w:rPr>
          <w:rFonts w:ascii="Times New Roman" w:eastAsia="Times New Roman" w:hAnsi="Times New Roman" w:cs="Times New Roman"/>
          <w:sz w:val="24"/>
          <w:szCs w:val="24"/>
          <w:lang w:eastAsia="en-AU"/>
        </w:rPr>
        <w:t>Determination”)</w:t>
      </w:r>
      <w:r w:rsidR="007C503B">
        <w:rPr>
          <w:rFonts w:ascii="Times New Roman" w:eastAsia="Times New Roman" w:hAnsi="Times New Roman" w:cs="Times New Roman"/>
          <w:sz w:val="24"/>
          <w:szCs w:val="24"/>
          <w:lang w:eastAsia="en-AU"/>
        </w:rPr>
        <w:t>, and specifies those ingredients that may be contained in a medicine that is listed in the Register and requirements in relation to the inclusion of those ingredients in such medicines</w:t>
      </w:r>
      <w:r w:rsidR="001C38AF">
        <w:rPr>
          <w:rFonts w:ascii="Times New Roman" w:eastAsia="Times New Roman" w:hAnsi="Times New Roman" w:cs="Times New Roman"/>
          <w:sz w:val="24"/>
          <w:szCs w:val="24"/>
          <w:lang w:eastAsia="en-AU"/>
        </w:rPr>
        <w:t>.</w:t>
      </w:r>
    </w:p>
    <w:p w14:paraId="44353B94" w14:textId="77777777" w:rsidR="005B70D2" w:rsidRDefault="005B70D2" w:rsidP="009A530B">
      <w:pPr>
        <w:autoSpaceDE w:val="0"/>
        <w:autoSpaceDN w:val="0"/>
        <w:adjustRightInd w:val="0"/>
        <w:spacing w:after="0"/>
        <w:rPr>
          <w:rFonts w:ascii="Times New Roman" w:eastAsia="Times New Roman" w:hAnsi="Times New Roman" w:cs="Times New Roman"/>
          <w:sz w:val="24"/>
          <w:szCs w:val="24"/>
          <w:lang w:eastAsia="en-AU"/>
        </w:rPr>
      </w:pPr>
    </w:p>
    <w:p w14:paraId="013E1782" w14:textId="761B1BF5" w:rsidR="00EF1F18" w:rsidRDefault="00EF1F18" w:rsidP="001A7C14">
      <w:pPr>
        <w:autoSpaceDE w:val="0"/>
        <w:autoSpaceDN w:val="0"/>
        <w:adjustRightInd w:val="0"/>
        <w:spacing w:after="0"/>
        <w:rPr>
          <w:rFonts w:ascii="Times New Roman" w:eastAsia="Times New Roman" w:hAnsi="Times New Roman" w:cs="Times New Roman"/>
          <w:b/>
          <w:bCs/>
          <w:sz w:val="24"/>
          <w:szCs w:val="24"/>
          <w:lang w:eastAsia="en-AU"/>
        </w:rPr>
      </w:pPr>
      <w:r w:rsidRPr="00B028DC">
        <w:rPr>
          <w:rFonts w:ascii="Times New Roman" w:eastAsia="Times New Roman" w:hAnsi="Times New Roman" w:cs="Times New Roman"/>
          <w:b/>
          <w:bCs/>
          <w:sz w:val="24"/>
          <w:szCs w:val="24"/>
          <w:lang w:eastAsia="en-AU"/>
        </w:rPr>
        <w:t>B</w:t>
      </w:r>
      <w:r w:rsidR="00E01934" w:rsidRPr="00B028DC">
        <w:rPr>
          <w:rFonts w:ascii="Times New Roman" w:eastAsia="Times New Roman" w:hAnsi="Times New Roman" w:cs="Times New Roman"/>
          <w:b/>
          <w:bCs/>
          <w:sz w:val="24"/>
          <w:szCs w:val="24"/>
          <w:lang w:eastAsia="en-AU"/>
        </w:rPr>
        <w:t>ackground</w:t>
      </w:r>
    </w:p>
    <w:p w14:paraId="090C8A55" w14:textId="77777777" w:rsidR="005B70D2" w:rsidRPr="00B028DC" w:rsidRDefault="005B70D2" w:rsidP="001A7C14">
      <w:pPr>
        <w:autoSpaceDE w:val="0"/>
        <w:autoSpaceDN w:val="0"/>
        <w:adjustRightInd w:val="0"/>
        <w:spacing w:after="0"/>
        <w:rPr>
          <w:rFonts w:ascii="Times New Roman" w:eastAsia="Times New Roman" w:hAnsi="Times New Roman" w:cs="Times New Roman"/>
          <w:sz w:val="24"/>
          <w:szCs w:val="24"/>
          <w:lang w:val="en-US" w:eastAsia="en-AU"/>
        </w:rPr>
      </w:pPr>
    </w:p>
    <w:p w14:paraId="46189311" w14:textId="7CDD84D4"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Medicines that are listed in the Register under section 26A of the Act are considered to be low risk and are not individually evaluated before those medicines are listed.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w:t>
      </w:r>
      <w:r w:rsidR="00B60F0C">
        <w:rPr>
          <w:rFonts w:ascii="Times New Roman" w:eastAsia="Times New Roman" w:hAnsi="Times New Roman" w:cs="Times New Roman"/>
          <w:sz w:val="24"/>
          <w:szCs w:val="24"/>
          <w:lang w:eastAsia="en-AU"/>
        </w:rPr>
        <w:t xml:space="preserve">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When listed under section 26AE, these listed medicines are commonly referred to as ‘assessed listed medicines’.</w:t>
      </w:r>
    </w:p>
    <w:p w14:paraId="593DB8C4"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37CEDFE6" w14:textId="48FA808C"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As the safety and quality of medicines listed under section</w:t>
      </w:r>
      <w:r w:rsidR="00B60F0C">
        <w:rPr>
          <w:rFonts w:ascii="Times New Roman" w:eastAsia="Times New Roman" w:hAnsi="Times New Roman" w:cs="Times New Roman"/>
          <w:sz w:val="24"/>
          <w:szCs w:val="24"/>
          <w:lang w:eastAsia="en-AU"/>
        </w:rPr>
        <w:t>s</w:t>
      </w:r>
      <w:r w:rsidRPr="00D4773E">
        <w:rPr>
          <w:rFonts w:ascii="Times New Roman" w:eastAsia="Times New Roman" w:hAnsi="Times New Roman" w:cs="Times New Roman"/>
          <w:sz w:val="24"/>
          <w:szCs w:val="24"/>
          <w:lang w:eastAsia="en-AU"/>
        </w:rPr>
        <w:t xml:space="preserve"> 26A and 26AE are not evaluated by the TGA before being given marketing approval, the Act contains mechanisms to help ensure that those medicines are of appropriate quality and able to be used safely by consumers.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In particular, medicines listed under section 26A and 26AE may only contain </w:t>
      </w:r>
      <w:r w:rsidRPr="00D4773E">
        <w:rPr>
          <w:rFonts w:ascii="Times New Roman" w:eastAsia="Times New Roman" w:hAnsi="Times New Roman" w:cs="Times New Roman"/>
          <w:sz w:val="24"/>
          <w:szCs w:val="24"/>
          <w:lang w:eastAsia="en-AU"/>
        </w:rPr>
        <w:lastRenderedPageBreak/>
        <w:t xml:space="preserve">ingredients from an approved list of ingredients that have been evaluated in relation to their quality and safety and suitability for use in such medicines.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Sponsors of such medicines may </w:t>
      </w:r>
      <w:r w:rsidR="008E082F">
        <w:rPr>
          <w:rFonts w:ascii="Times New Roman" w:eastAsia="Times New Roman" w:hAnsi="Times New Roman" w:cs="Times New Roman"/>
          <w:sz w:val="24"/>
          <w:szCs w:val="24"/>
          <w:lang w:eastAsia="en-AU"/>
        </w:rPr>
        <w:t xml:space="preserve">also </w:t>
      </w:r>
      <w:r w:rsidRPr="00D4773E">
        <w:rPr>
          <w:rFonts w:ascii="Times New Roman" w:eastAsia="Times New Roman" w:hAnsi="Times New Roman" w:cs="Times New Roman"/>
          <w:sz w:val="24"/>
          <w:szCs w:val="24"/>
          <w:lang w:eastAsia="en-AU"/>
        </w:rPr>
        <w:t>only use indications (statements of therapeutic use) from a list of pre-approved low level indications to ensure that these products do not overstate their therapeutic benefits.</w:t>
      </w:r>
    </w:p>
    <w:p w14:paraId="4D224BDB" w14:textId="77777777" w:rsidR="005B70D2" w:rsidRPr="001A7C1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16704F00" w14:textId="502C1451"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Under paragraphs 26A(2)(ca) and (cb)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 </w:t>
      </w:r>
      <w:r w:rsidR="00E60C26">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 xml:space="preserve">Paragraphs 26AB(2)(d) and (e) contain equivalent certification requirements for applicants seeking marketing approval in relation to assessed listed medicines. </w:t>
      </w:r>
      <w:r w:rsidR="00AC4380">
        <w:rPr>
          <w:rFonts w:ascii="Times New Roman" w:eastAsia="Times New Roman" w:hAnsi="Times New Roman" w:cs="Times New Roman"/>
          <w:sz w:val="24"/>
          <w:szCs w:val="24"/>
          <w:lang w:eastAsia="en-AU"/>
        </w:rPr>
        <w:t xml:space="preserve"> </w:t>
      </w:r>
      <w:r w:rsidRPr="00D4773E">
        <w:rPr>
          <w:rFonts w:ascii="Times New Roman" w:eastAsia="Times New Roman" w:hAnsi="Times New Roman" w:cs="Times New Roman"/>
          <w:sz w:val="24"/>
          <w:szCs w:val="24"/>
          <w:lang w:eastAsia="en-AU"/>
        </w:rPr>
        <w:t>A listed (or assessed listed) medicine may be cancelled from the Register if it appears to the Secretary that such a certification is incorrect.</w:t>
      </w:r>
    </w:p>
    <w:p w14:paraId="4614586B"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6D9381AC" w14:textId="371F5E9E" w:rsidR="00D4773E" w:rsidRDefault="00D4773E" w:rsidP="001A7C14">
      <w:pPr>
        <w:autoSpaceDE w:val="0"/>
        <w:autoSpaceDN w:val="0"/>
        <w:adjustRightInd w:val="0"/>
        <w:spacing w:after="0"/>
        <w:rPr>
          <w:rFonts w:ascii="Times New Roman" w:eastAsia="Times New Roman" w:hAnsi="Times New Roman" w:cs="Times New Roman"/>
          <w:sz w:val="24"/>
          <w:szCs w:val="24"/>
          <w:lang w:eastAsia="en-AU"/>
        </w:rPr>
      </w:pPr>
      <w:r w:rsidRPr="00D4773E">
        <w:rPr>
          <w:rFonts w:ascii="Times New Roman" w:eastAsia="Times New Roman" w:hAnsi="Times New Roman" w:cs="Times New Roman"/>
          <w:sz w:val="24"/>
          <w:szCs w:val="24"/>
          <w:lang w:eastAsia="en-AU"/>
        </w:rPr>
        <w:t xml:space="preserve">Separately, items 3, 4A, 5, 7 and 8 of Schedule 4 to the </w:t>
      </w:r>
      <w:r w:rsidRPr="00D4773E">
        <w:rPr>
          <w:rFonts w:ascii="Times New Roman" w:eastAsia="Times New Roman" w:hAnsi="Times New Roman" w:cs="Times New Roman"/>
          <w:i/>
          <w:iCs/>
          <w:sz w:val="24"/>
          <w:szCs w:val="24"/>
          <w:lang w:eastAsia="en-AU"/>
        </w:rPr>
        <w:t>Therapeutic Goods Regulations 1990</w:t>
      </w:r>
      <w:r w:rsidR="00877FA7">
        <w:rPr>
          <w:rFonts w:ascii="Times New Roman" w:eastAsia="Times New Roman" w:hAnsi="Times New Roman" w:cs="Times New Roman"/>
          <w:iCs/>
          <w:sz w:val="24"/>
          <w:szCs w:val="24"/>
          <w:lang w:eastAsia="en-AU"/>
        </w:rPr>
        <w:t xml:space="preserve"> (“the Regulations”)</w:t>
      </w:r>
      <w:r w:rsidRPr="00D4773E">
        <w:rPr>
          <w:rFonts w:ascii="Times New Roman" w:eastAsia="Times New Roman" w:hAnsi="Times New Roman" w:cs="Times New Roman"/>
          <w:sz w:val="24"/>
          <w:szCs w:val="24"/>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 and must not contravene a requirement in such a determination.</w:t>
      </w:r>
    </w:p>
    <w:p w14:paraId="497DAAC4" w14:textId="77777777" w:rsidR="005B70D2" w:rsidRPr="00712EA4" w:rsidRDefault="005B70D2" w:rsidP="001A7C14">
      <w:pPr>
        <w:autoSpaceDE w:val="0"/>
        <w:autoSpaceDN w:val="0"/>
        <w:adjustRightInd w:val="0"/>
        <w:spacing w:after="0"/>
        <w:rPr>
          <w:rFonts w:ascii="Times New Roman" w:eastAsia="Times New Roman" w:hAnsi="Times New Roman" w:cs="Times New Roman"/>
          <w:sz w:val="24"/>
          <w:szCs w:val="24"/>
          <w:lang w:eastAsia="en-AU"/>
        </w:rPr>
      </w:pPr>
    </w:p>
    <w:p w14:paraId="4EE2990C" w14:textId="57E8D02B" w:rsidR="00D4773E" w:rsidRDefault="00226F3C"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such, determinations </w:t>
      </w:r>
      <w:r w:rsidR="0062190F">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section 26BB are</w:t>
      </w:r>
      <w:r w:rsidR="00D4773E" w:rsidRPr="00D4773E">
        <w:rPr>
          <w:rFonts w:ascii="Times New Roman" w:eastAsia="Times New Roman" w:hAnsi="Times New Roman" w:cs="Times New Roman"/>
          <w:sz w:val="24"/>
          <w:szCs w:val="24"/>
          <w:lang w:eastAsia="en-AU"/>
        </w:rPr>
        <w:t xml:space="preserve"> designed to provide a comprehensive list of ingredients which have been assessed or otherwise considered to be safe for use in listed medicines (including assessed listed medicines), and associated requirements to be followed when using particular ingredients in such products.</w:t>
      </w:r>
      <w:r w:rsidR="00D4773E">
        <w:rPr>
          <w:rFonts w:ascii="Times New Roman" w:eastAsia="Times New Roman" w:hAnsi="Times New Roman" w:cs="Times New Roman"/>
          <w:sz w:val="24"/>
          <w:szCs w:val="24"/>
          <w:lang w:eastAsia="en-AU"/>
        </w:rPr>
        <w:t xml:space="preserve">  These requirements may relate to a range of matters including, for example, </w:t>
      </w:r>
      <w:r>
        <w:rPr>
          <w:rFonts w:ascii="Times New Roman" w:eastAsia="Times New Roman" w:hAnsi="Times New Roman" w:cs="Times New Roman"/>
          <w:sz w:val="24"/>
          <w:szCs w:val="24"/>
          <w:lang w:eastAsia="en-AU"/>
        </w:rPr>
        <w:t xml:space="preserve">how an ingredient may be used in a medicine or </w:t>
      </w:r>
      <w:r w:rsidR="00D4773E">
        <w:rPr>
          <w:rFonts w:ascii="Times New Roman" w:eastAsia="Times New Roman" w:hAnsi="Times New Roman" w:cs="Times New Roman"/>
          <w:sz w:val="24"/>
          <w:szCs w:val="24"/>
          <w:lang w:eastAsia="en-AU"/>
        </w:rPr>
        <w:t>the inclusion of relevant safety information on product labels</w:t>
      </w:r>
      <w:r>
        <w:rPr>
          <w:rFonts w:ascii="Times New Roman" w:eastAsia="Times New Roman" w:hAnsi="Times New Roman" w:cs="Times New Roman"/>
          <w:sz w:val="24"/>
          <w:szCs w:val="24"/>
          <w:lang w:eastAsia="en-AU"/>
        </w:rPr>
        <w:t>.</w:t>
      </w:r>
    </w:p>
    <w:p w14:paraId="1986DC36" w14:textId="77777777" w:rsidR="005B70D2" w:rsidRDefault="005B70D2" w:rsidP="001A7C14">
      <w:pPr>
        <w:autoSpaceDE w:val="0"/>
        <w:autoSpaceDN w:val="0"/>
        <w:adjustRightInd w:val="0"/>
        <w:spacing w:after="0" w:line="240" w:lineRule="auto"/>
        <w:rPr>
          <w:rFonts w:ascii="Times New Roman" w:eastAsia="Times New Roman" w:hAnsi="Times New Roman" w:cs="Times New Roman"/>
          <w:sz w:val="24"/>
          <w:szCs w:val="24"/>
          <w:lang w:eastAsia="en-AU"/>
        </w:rPr>
      </w:pPr>
    </w:p>
    <w:p w14:paraId="2B026CDA" w14:textId="3E49F771" w:rsidR="00A4560C" w:rsidRPr="00A4560C" w:rsidRDefault="00A4560C" w:rsidP="001A7C14">
      <w:pPr>
        <w:spacing w:after="120"/>
        <w:rPr>
          <w:rFonts w:ascii="Arial" w:eastAsia="Times New Roman" w:hAnsi="Arial" w:cs="Arial"/>
          <w:sz w:val="19"/>
          <w:szCs w:val="19"/>
          <w:lang w:val="en-US" w:eastAsia="en-AU"/>
        </w:rPr>
      </w:pPr>
      <w:r w:rsidRPr="00A4560C">
        <w:rPr>
          <w:rFonts w:ascii="Times New Roman" w:eastAsia="Times New Roman" w:hAnsi="Times New Roman" w:cs="Times New Roman"/>
          <w:sz w:val="24"/>
          <w:szCs w:val="24"/>
          <w:lang w:eastAsia="en-AU"/>
        </w:rPr>
        <w:t xml:space="preserve">The requirements imposed under the Determination </w:t>
      </w:r>
      <w:r w:rsidR="007C503B">
        <w:rPr>
          <w:rFonts w:ascii="Times New Roman" w:eastAsia="Times New Roman" w:hAnsi="Times New Roman" w:cs="Times New Roman"/>
          <w:sz w:val="24"/>
          <w:szCs w:val="24"/>
          <w:lang w:eastAsia="en-AU"/>
        </w:rPr>
        <w:t xml:space="preserve">are </w:t>
      </w:r>
      <w:r w:rsidRPr="00A4560C">
        <w:rPr>
          <w:rFonts w:ascii="Times New Roman" w:eastAsia="Times New Roman" w:hAnsi="Times New Roman" w:cs="Times New Roman"/>
          <w:sz w:val="24"/>
          <w:szCs w:val="24"/>
          <w:lang w:eastAsia="en-AU"/>
        </w:rPr>
        <w:t xml:space="preserve">principally </w:t>
      </w:r>
      <w:r w:rsidR="007C503B">
        <w:rPr>
          <w:rFonts w:ascii="Times New Roman" w:eastAsia="Times New Roman" w:hAnsi="Times New Roman" w:cs="Times New Roman"/>
          <w:sz w:val="24"/>
          <w:szCs w:val="24"/>
          <w:lang w:eastAsia="en-AU"/>
        </w:rPr>
        <w:t>designed to</w:t>
      </w:r>
      <w:r w:rsidRPr="00A4560C">
        <w:rPr>
          <w:rFonts w:ascii="Times New Roman" w:eastAsia="Times New Roman" w:hAnsi="Times New Roman" w:cs="Times New Roman"/>
          <w:sz w:val="24"/>
          <w:szCs w:val="24"/>
          <w:lang w:eastAsia="en-AU"/>
        </w:rPr>
        <w:t xml:space="preserve"> ensur</w:t>
      </w:r>
      <w:r w:rsidR="007C503B">
        <w:rPr>
          <w:rFonts w:ascii="Times New Roman" w:eastAsia="Times New Roman" w:hAnsi="Times New Roman" w:cs="Times New Roman"/>
          <w:sz w:val="24"/>
          <w:szCs w:val="24"/>
          <w:lang w:eastAsia="en-AU"/>
        </w:rPr>
        <w:t>e</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 xml:space="preserve">or support </w:t>
      </w:r>
      <w:r w:rsidRPr="00A4560C">
        <w:rPr>
          <w:rFonts w:ascii="Times New Roman" w:eastAsia="Times New Roman" w:hAnsi="Times New Roman" w:cs="Times New Roman"/>
          <w:sz w:val="24"/>
          <w:szCs w:val="24"/>
          <w:lang w:eastAsia="en-AU"/>
        </w:rPr>
        <w:t xml:space="preserve">the quality and safety of </w:t>
      </w:r>
      <w:r w:rsidR="007C503B">
        <w:rPr>
          <w:rFonts w:ascii="Times New Roman" w:eastAsia="Times New Roman" w:hAnsi="Times New Roman" w:cs="Times New Roman"/>
          <w:sz w:val="24"/>
          <w:szCs w:val="24"/>
          <w:lang w:eastAsia="en-AU"/>
        </w:rPr>
        <w:t xml:space="preserve">listed medicines that contain permitted </w:t>
      </w:r>
      <w:r w:rsidRPr="00A4560C">
        <w:rPr>
          <w:rFonts w:ascii="Times New Roman" w:eastAsia="Times New Roman" w:hAnsi="Times New Roman" w:cs="Times New Roman"/>
          <w:sz w:val="24"/>
          <w:szCs w:val="24"/>
          <w:lang w:eastAsia="en-AU"/>
        </w:rPr>
        <w:t>ingredient</w:t>
      </w:r>
      <w:r w:rsidR="007C503B">
        <w:rPr>
          <w:rFonts w:ascii="Times New Roman" w:eastAsia="Times New Roman" w:hAnsi="Times New Roman" w:cs="Times New Roman"/>
          <w:sz w:val="24"/>
          <w:szCs w:val="24"/>
          <w:lang w:eastAsia="en-AU"/>
        </w:rPr>
        <w:t>s</w:t>
      </w:r>
      <w:r w:rsidRPr="00A4560C">
        <w:rPr>
          <w:rFonts w:ascii="Times New Roman" w:eastAsia="Times New Roman" w:hAnsi="Times New Roman" w:cs="Times New Roman"/>
          <w:sz w:val="24"/>
          <w:szCs w:val="24"/>
          <w:lang w:eastAsia="en-AU"/>
        </w:rPr>
        <w:t>.</w:t>
      </w:r>
      <w:r w:rsidR="00E60C26">
        <w:rPr>
          <w:rFonts w:ascii="Times New Roman" w:eastAsia="Times New Roman" w:hAnsi="Times New Roman" w:cs="Times New Roman"/>
          <w:sz w:val="24"/>
          <w:szCs w:val="24"/>
          <w:lang w:eastAsia="en-AU"/>
        </w:rPr>
        <w:t xml:space="preserve"> </w:t>
      </w:r>
      <w:r w:rsidRPr="00A4560C">
        <w:rPr>
          <w:rFonts w:ascii="Times New Roman" w:eastAsia="Times New Roman" w:hAnsi="Times New Roman" w:cs="Times New Roman"/>
          <w:sz w:val="24"/>
          <w:szCs w:val="24"/>
          <w:lang w:eastAsia="en-AU"/>
        </w:rPr>
        <w:t xml:space="preserve"> </w:t>
      </w:r>
      <w:r w:rsidR="007C503B">
        <w:rPr>
          <w:rFonts w:ascii="Times New Roman" w:eastAsia="Times New Roman" w:hAnsi="Times New Roman" w:cs="Times New Roman"/>
          <w:sz w:val="24"/>
          <w:szCs w:val="24"/>
          <w:lang w:eastAsia="en-AU"/>
        </w:rPr>
        <w:t>The r</w:t>
      </w:r>
      <w:r w:rsidRPr="00A4560C">
        <w:rPr>
          <w:rFonts w:ascii="Times New Roman" w:eastAsia="Times New Roman" w:hAnsi="Times New Roman" w:cs="Times New Roman"/>
          <w:sz w:val="24"/>
          <w:szCs w:val="24"/>
          <w:lang w:eastAsia="en-AU"/>
        </w:rPr>
        <w:t>equirements may relate, for example</w:t>
      </w:r>
      <w:r w:rsidR="00A14C5D">
        <w:rPr>
          <w:rFonts w:ascii="Times New Roman" w:eastAsia="Times New Roman" w:hAnsi="Times New Roman" w:cs="Times New Roman"/>
          <w:sz w:val="24"/>
          <w:szCs w:val="24"/>
          <w:lang w:eastAsia="en-AU"/>
        </w:rPr>
        <w:t>, to</w:t>
      </w:r>
      <w:r w:rsidRPr="00A4560C">
        <w:rPr>
          <w:rFonts w:ascii="Times New Roman" w:eastAsia="Times New Roman" w:hAnsi="Times New Roman" w:cs="Times New Roman"/>
          <w:sz w:val="24"/>
          <w:szCs w:val="24"/>
          <w:lang w:eastAsia="en-AU"/>
        </w:rPr>
        <w:t>:</w:t>
      </w:r>
    </w:p>
    <w:p w14:paraId="1716BFC3" w14:textId="62D153A4" w:rsidR="00A4560C" w:rsidRPr="00AF44AF" w:rsidRDefault="00A4560C" w:rsidP="00B95A3B">
      <w:pPr>
        <w:pStyle w:val="ListParagraph"/>
        <w:numPr>
          <w:ilvl w:val="0"/>
          <w:numId w:val="11"/>
        </w:numPr>
        <w:spacing w:before="0" w:beforeAutospacing="0" w:after="120" w:afterAutospacing="0" w:line="276" w:lineRule="auto"/>
        <w:ind w:left="714" w:hanging="357"/>
      </w:pPr>
      <w:r w:rsidRPr="00AF44AF">
        <w:t xml:space="preserve">how </w:t>
      </w:r>
      <w:r w:rsidR="007C503B">
        <w:t>a permitted</w:t>
      </w:r>
      <w:r w:rsidRPr="00AF44AF">
        <w:t xml:space="preserve"> ingredient is to be used in the medicine, that is, as an active, homoeopathic or excipient ingredient;</w:t>
      </w:r>
    </w:p>
    <w:p w14:paraId="5EC76A23" w14:textId="0AA1EE28"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intended method of ingestion or application of the medicine, for example, oral or topical use;</w:t>
      </w:r>
    </w:p>
    <w:p w14:paraId="233FB9CD" w14:textId="2FEF7CF5"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the source of the ingredient, or procedures to be followed in its manufacture;</w:t>
      </w:r>
    </w:p>
    <w:p w14:paraId="5EC7B554" w14:textId="4DFA7DF1" w:rsidR="00A4560C" w:rsidRPr="00AF44AF" w:rsidRDefault="00A4560C" w:rsidP="00AF44AF">
      <w:pPr>
        <w:pStyle w:val="ListParagraph"/>
        <w:numPr>
          <w:ilvl w:val="0"/>
          <w:numId w:val="11"/>
        </w:numPr>
        <w:spacing w:before="120" w:beforeAutospacing="0" w:after="120" w:afterAutospacing="0" w:line="276" w:lineRule="auto"/>
        <w:ind w:left="714" w:hanging="357"/>
      </w:pPr>
      <w:r w:rsidRPr="00AF44AF">
        <w:t>appropriate limits on the volume or concentration of an ingredient; and</w:t>
      </w:r>
    </w:p>
    <w:p w14:paraId="2FA4BD86" w14:textId="746ABECD" w:rsidR="00A4560C" w:rsidRPr="00AF44AF" w:rsidRDefault="00A4560C" w:rsidP="001A7C14">
      <w:pPr>
        <w:pStyle w:val="ListParagraph"/>
        <w:numPr>
          <w:ilvl w:val="0"/>
          <w:numId w:val="11"/>
        </w:numPr>
        <w:spacing w:before="120" w:beforeAutospacing="0" w:after="0" w:afterAutospacing="0" w:line="276" w:lineRule="auto"/>
        <w:ind w:left="714" w:hanging="357"/>
      </w:pPr>
      <w:r w:rsidRPr="00AF44AF">
        <w:t>the inclusion of relevant safety information on product labels, for example, allergen advice or advice about the use of medicine containing the ingredient for susceptible members of the population such as children and pregnant women.</w:t>
      </w:r>
    </w:p>
    <w:p w14:paraId="08E44D00" w14:textId="77777777" w:rsidR="005B70D2" w:rsidRDefault="005B70D2" w:rsidP="001A7C14">
      <w:pPr>
        <w:keepNext/>
        <w:spacing w:after="0"/>
        <w:contextualSpacing/>
        <w:rPr>
          <w:rFonts w:ascii="Times New Roman" w:eastAsia="Times New Roman" w:hAnsi="Times New Roman" w:cs="Times New Roman"/>
          <w:sz w:val="24"/>
          <w:szCs w:val="24"/>
          <w:lang w:eastAsia="en-AU"/>
        </w:rPr>
      </w:pPr>
    </w:p>
    <w:p w14:paraId="54DA8C27" w14:textId="2A552622" w:rsidR="00826DE8" w:rsidRDefault="006D4AB8" w:rsidP="002000F0">
      <w:pPr>
        <w:rPr>
          <w:rFonts w:ascii="Times New Roman" w:eastAsia="Times New Roman" w:hAnsi="Times New Roman" w:cs="Times New Roman"/>
          <w:sz w:val="24"/>
          <w:szCs w:val="24"/>
          <w:lang w:eastAsia="en-AU"/>
        </w:rPr>
      </w:pPr>
      <w:r w:rsidRPr="002000F0">
        <w:rPr>
          <w:rFonts w:ascii="Times New Roman" w:eastAsia="Times New Roman" w:hAnsi="Times New Roman" w:cs="Times New Roman"/>
          <w:sz w:val="24"/>
          <w:szCs w:val="24"/>
          <w:lang w:eastAsia="en-AU"/>
        </w:rPr>
        <w:t>The Determination incorporates a number of changes in comparison to the former Determination, including in particular:</w:t>
      </w:r>
    </w:p>
    <w:p w14:paraId="2FB17973" w14:textId="5B66B267" w:rsidR="00096077" w:rsidRDefault="00096077" w:rsidP="00F94A9F">
      <w:pPr>
        <w:pStyle w:val="ListParagraph"/>
        <w:numPr>
          <w:ilvl w:val="0"/>
          <w:numId w:val="11"/>
        </w:numPr>
      </w:pPr>
      <w:bookmarkStart w:id="0" w:name="_Hlk78988040"/>
      <w:r>
        <w:t xml:space="preserve">the addition of new ingredient </w:t>
      </w:r>
      <w:r w:rsidR="00607B58">
        <w:t>‘</w:t>
      </w:r>
      <w:r w:rsidRPr="003846D3">
        <w:rPr>
          <w:i/>
          <w:iCs/>
        </w:rPr>
        <w:t>Euglena</w:t>
      </w:r>
      <w:r w:rsidRPr="003846D3">
        <w:t xml:space="preserve"> </w:t>
      </w:r>
      <w:proofErr w:type="spellStart"/>
      <w:r w:rsidRPr="003846D3">
        <w:rPr>
          <w:i/>
          <w:iCs/>
        </w:rPr>
        <w:t>gracilis</w:t>
      </w:r>
      <w:proofErr w:type="spellEnd"/>
      <w:r w:rsidRPr="003846D3">
        <w:t xml:space="preserve"> whole cell dry</w:t>
      </w:r>
      <w:r>
        <w:t>’</w:t>
      </w:r>
      <w:r w:rsidRPr="003846D3">
        <w:t xml:space="preserve"> for use in listed and assessed listed </w:t>
      </w:r>
      <w:proofErr w:type="gramStart"/>
      <w:r w:rsidRPr="003846D3">
        <w:t>medicines</w:t>
      </w:r>
      <w:r>
        <w:t>;</w:t>
      </w:r>
      <w:proofErr w:type="gramEnd"/>
    </w:p>
    <w:p w14:paraId="2D86732F" w14:textId="367C5C31" w:rsidR="00096077" w:rsidRDefault="00096077" w:rsidP="00F94A9F">
      <w:pPr>
        <w:pStyle w:val="ListParagraph"/>
        <w:numPr>
          <w:ilvl w:val="0"/>
          <w:numId w:val="11"/>
        </w:numPr>
      </w:pPr>
      <w:r>
        <w:t>u</w:t>
      </w:r>
      <w:r w:rsidRPr="003846D3">
        <w:t>pdat</w:t>
      </w:r>
      <w:r>
        <w:t>es to</w:t>
      </w:r>
      <w:r w:rsidRPr="003846D3">
        <w:t xml:space="preserve"> the ingredient name ‘</w:t>
      </w:r>
      <w:r w:rsidRPr="003846D3">
        <w:rPr>
          <w:i/>
          <w:iCs/>
        </w:rPr>
        <w:t>Cistus ladaniferus</w:t>
      </w:r>
      <w:r w:rsidRPr="003846D3">
        <w:t>’ to ‘</w:t>
      </w:r>
      <w:r w:rsidRPr="003846D3">
        <w:rPr>
          <w:i/>
          <w:iCs/>
        </w:rPr>
        <w:t>Cistus ladanifer</w:t>
      </w:r>
      <w:r w:rsidRPr="003846D3">
        <w:t xml:space="preserve">’ to align </w:t>
      </w:r>
      <w:r>
        <w:t xml:space="preserve">the name of this ingredient in the Determination </w:t>
      </w:r>
      <w:r w:rsidRPr="003846D3">
        <w:t>with the Australian Approved Names List</w:t>
      </w:r>
      <w:r>
        <w:t>; and</w:t>
      </w:r>
    </w:p>
    <w:p w14:paraId="7BF0CE0D" w14:textId="57D55F2F" w:rsidR="00F94A9F" w:rsidRPr="003846D3" w:rsidRDefault="00F94A9F" w:rsidP="00F94A9F">
      <w:pPr>
        <w:pStyle w:val="ListParagraph"/>
        <w:numPr>
          <w:ilvl w:val="0"/>
          <w:numId w:val="11"/>
        </w:numPr>
      </w:pPr>
      <w:r w:rsidRPr="003846D3">
        <w:t>updates to applicable requirements for the following ingredients:</w:t>
      </w:r>
    </w:p>
    <w:p w14:paraId="601DB3F2" w14:textId="77777777" w:rsidR="00F94A9F" w:rsidRPr="003846D3" w:rsidRDefault="00F94A9F" w:rsidP="003846D3">
      <w:pPr>
        <w:pStyle w:val="ListParagraph"/>
        <w:numPr>
          <w:ilvl w:val="1"/>
          <w:numId w:val="11"/>
        </w:numPr>
      </w:pPr>
      <w:r w:rsidRPr="003846D3">
        <w:rPr>
          <w:i/>
          <w:iCs/>
        </w:rPr>
        <w:t xml:space="preserve">Andrographis paniculata, </w:t>
      </w:r>
      <w:r w:rsidRPr="003846D3">
        <w:t>and 17 inorganic magnesium salts, to reflect the expiry of transition periods for requirements relating to those </w:t>
      </w:r>
      <w:proofErr w:type="gramStart"/>
      <w:r w:rsidRPr="003846D3">
        <w:t>ingredients;</w:t>
      </w:r>
      <w:proofErr w:type="gramEnd"/>
    </w:p>
    <w:p w14:paraId="7B6287F4" w14:textId="182B215A" w:rsidR="00F94A9F" w:rsidRPr="003846D3" w:rsidRDefault="002903C8" w:rsidP="00F94A9F">
      <w:pPr>
        <w:pStyle w:val="ListParagraph"/>
        <w:numPr>
          <w:ilvl w:val="1"/>
          <w:numId w:val="11"/>
        </w:numPr>
        <w:spacing w:before="0" w:beforeAutospacing="0" w:after="120" w:afterAutospacing="0"/>
        <w:contextualSpacing/>
        <w:rPr>
          <w:lang w:eastAsia="en-US"/>
        </w:rPr>
      </w:pPr>
      <w:r>
        <w:rPr>
          <w:lang w:eastAsia="en-US"/>
        </w:rPr>
        <w:t>‘s</w:t>
      </w:r>
      <w:r w:rsidR="00F94A9F" w:rsidRPr="003846D3">
        <w:rPr>
          <w:lang w:eastAsia="en-US"/>
        </w:rPr>
        <w:t>pray-dried glucose syrup</w:t>
      </w:r>
      <w:r>
        <w:rPr>
          <w:lang w:eastAsia="en-US"/>
        </w:rPr>
        <w:t>’</w:t>
      </w:r>
      <w:r w:rsidR="00F94A9F" w:rsidRPr="003846D3">
        <w:rPr>
          <w:lang w:eastAsia="en-US"/>
        </w:rPr>
        <w:t xml:space="preserve"> and </w:t>
      </w:r>
      <w:r>
        <w:rPr>
          <w:lang w:eastAsia="en-US"/>
        </w:rPr>
        <w:t>‘s</w:t>
      </w:r>
      <w:r w:rsidR="00F94A9F" w:rsidRPr="003846D3">
        <w:rPr>
          <w:lang w:eastAsia="en-US"/>
        </w:rPr>
        <w:t>pray-dried liquid glucose</w:t>
      </w:r>
      <w:r>
        <w:rPr>
          <w:lang w:eastAsia="en-US"/>
        </w:rPr>
        <w:t>’</w:t>
      </w:r>
      <w:r w:rsidR="00F94A9F" w:rsidRPr="003846D3">
        <w:rPr>
          <w:lang w:eastAsia="en-US"/>
        </w:rPr>
        <w:t xml:space="preserve">, to reflect </w:t>
      </w:r>
      <w:r w:rsidR="00A14C5D">
        <w:rPr>
          <w:lang w:eastAsia="en-US"/>
        </w:rPr>
        <w:t xml:space="preserve">that these ingredients </w:t>
      </w:r>
      <w:r w:rsidR="00096077">
        <w:rPr>
          <w:lang w:eastAsia="en-US"/>
        </w:rPr>
        <w:t xml:space="preserve">have been evaluated for, and </w:t>
      </w:r>
      <w:r w:rsidR="00A14C5D">
        <w:rPr>
          <w:lang w:eastAsia="en-US"/>
        </w:rPr>
        <w:t>are considered safe and suitable</w:t>
      </w:r>
      <w:r w:rsidR="00F94A9F" w:rsidRPr="003846D3">
        <w:rPr>
          <w:lang w:eastAsia="en-US"/>
        </w:rPr>
        <w:t xml:space="preserve"> for</w:t>
      </w:r>
      <w:r w:rsidR="00096077">
        <w:rPr>
          <w:lang w:eastAsia="en-US"/>
        </w:rPr>
        <w:t>,</w:t>
      </w:r>
      <w:r w:rsidR="00F94A9F" w:rsidRPr="003846D3">
        <w:rPr>
          <w:lang w:eastAsia="en-US"/>
        </w:rPr>
        <w:t xml:space="preserve"> general use as an excipient for oral routes of administration</w:t>
      </w:r>
      <w:r w:rsidR="00096077">
        <w:rPr>
          <w:lang w:eastAsia="en-US"/>
        </w:rPr>
        <w:t xml:space="preserve"> in listed and assessed listed </w:t>
      </w:r>
      <w:proofErr w:type="gramStart"/>
      <w:r w:rsidR="00096077">
        <w:rPr>
          <w:lang w:eastAsia="en-US"/>
        </w:rPr>
        <w:t>medicines</w:t>
      </w:r>
      <w:r w:rsidR="008D2A3F">
        <w:rPr>
          <w:lang w:eastAsia="en-US"/>
        </w:rPr>
        <w:t>;</w:t>
      </w:r>
      <w:proofErr w:type="gramEnd"/>
    </w:p>
    <w:p w14:paraId="2152BD46" w14:textId="54B118F2" w:rsidR="0055672F" w:rsidRPr="003846D3" w:rsidRDefault="002903C8" w:rsidP="0055672F">
      <w:pPr>
        <w:pStyle w:val="ListParagraph"/>
        <w:numPr>
          <w:ilvl w:val="1"/>
          <w:numId w:val="11"/>
        </w:numPr>
        <w:shd w:val="clear" w:color="auto" w:fill="FFFFFF"/>
      </w:pPr>
      <w:r>
        <w:t>‘</w:t>
      </w:r>
      <w:r w:rsidR="0055672F" w:rsidRPr="003846D3">
        <w:t>benzalkonium chloride</w:t>
      </w:r>
      <w:r>
        <w:t>’</w:t>
      </w:r>
      <w:r w:rsidR="0055672F" w:rsidRPr="003846D3">
        <w:t xml:space="preserve">, to reflect an identified risk of bronchospasm associated with that ingredient when used in nasal </w:t>
      </w:r>
      <w:proofErr w:type="gramStart"/>
      <w:r w:rsidR="0055672F" w:rsidRPr="003846D3">
        <w:t>sprays;</w:t>
      </w:r>
      <w:proofErr w:type="gramEnd"/>
    </w:p>
    <w:p w14:paraId="7E33D94D" w14:textId="77777777" w:rsidR="0055672F" w:rsidRPr="003846D3" w:rsidRDefault="0055672F" w:rsidP="0055672F">
      <w:pPr>
        <w:pStyle w:val="ListParagraph"/>
        <w:numPr>
          <w:ilvl w:val="1"/>
          <w:numId w:val="11"/>
        </w:numPr>
        <w:shd w:val="clear" w:color="auto" w:fill="FFFFFF"/>
      </w:pPr>
      <w:r w:rsidRPr="003846D3">
        <w:t>8 mollusc and mollusc-derived ingredients, to reflect an identified risk of allergenicity associated with those ingredients;</w:t>
      </w:r>
    </w:p>
    <w:p w14:paraId="26246BFD" w14:textId="7DEDC597" w:rsidR="0055672F" w:rsidRPr="003846D3" w:rsidRDefault="002903C8" w:rsidP="0055672F">
      <w:pPr>
        <w:pStyle w:val="ListParagraph"/>
        <w:numPr>
          <w:ilvl w:val="1"/>
          <w:numId w:val="11"/>
        </w:numPr>
        <w:shd w:val="clear" w:color="auto" w:fill="FFFFFF"/>
      </w:pPr>
      <w:r>
        <w:t>‘</w:t>
      </w:r>
      <w:r w:rsidR="0055672F" w:rsidRPr="003846D3">
        <w:t>pyridoxal 5-phosphate</w:t>
      </w:r>
      <w:r>
        <w:t>’</w:t>
      </w:r>
      <w:r w:rsidR="0055672F" w:rsidRPr="003846D3">
        <w:t xml:space="preserve">, </w:t>
      </w:r>
      <w:r>
        <w:t>‘</w:t>
      </w:r>
      <w:r w:rsidR="0055672F" w:rsidRPr="003846D3">
        <w:t>pyridoxal 5-phosphate monohydrate</w:t>
      </w:r>
      <w:r>
        <w:t>’</w:t>
      </w:r>
      <w:r w:rsidR="0055672F" w:rsidRPr="003846D3">
        <w:t xml:space="preserve">, and </w:t>
      </w:r>
      <w:r>
        <w:t>‘</w:t>
      </w:r>
      <w:r w:rsidR="0055672F" w:rsidRPr="003846D3">
        <w:t>pyridoxine hydrochloride</w:t>
      </w:r>
      <w:r>
        <w:t>’</w:t>
      </w:r>
      <w:r w:rsidR="0055672F" w:rsidRPr="003846D3">
        <w:t>, to reflect an identified risk of neuropathy associated with those ingredients;</w:t>
      </w:r>
    </w:p>
    <w:p w14:paraId="5E4F9D0E" w14:textId="0B887C93" w:rsidR="0055672F" w:rsidRDefault="0055672F" w:rsidP="0055672F">
      <w:pPr>
        <w:pStyle w:val="ListParagraph"/>
        <w:numPr>
          <w:ilvl w:val="1"/>
          <w:numId w:val="11"/>
        </w:numPr>
        <w:shd w:val="clear" w:color="auto" w:fill="FFFFFF"/>
      </w:pPr>
      <w:r w:rsidRPr="003846D3">
        <w:t xml:space="preserve">4 </w:t>
      </w:r>
      <w:r w:rsidRPr="003846D3">
        <w:rPr>
          <w:i/>
          <w:iCs/>
        </w:rPr>
        <w:t xml:space="preserve">Artemisia </w:t>
      </w:r>
      <w:r w:rsidRPr="003846D3">
        <w:t>species known to contain artemisinin, to reflect an identified risk of embryotoxicity associated with that substance;</w:t>
      </w:r>
      <w:r w:rsidR="00096077">
        <w:t xml:space="preserve"> and</w:t>
      </w:r>
    </w:p>
    <w:p w14:paraId="1A5C9D2D" w14:textId="2F0DBDE4" w:rsidR="00F94A9F" w:rsidRPr="003846D3" w:rsidRDefault="005A33B7" w:rsidP="00562910">
      <w:pPr>
        <w:pStyle w:val="ListParagraph"/>
        <w:numPr>
          <w:ilvl w:val="1"/>
          <w:numId w:val="11"/>
        </w:numPr>
        <w:shd w:val="clear" w:color="auto" w:fill="FFFFFF"/>
      </w:pPr>
      <w:r w:rsidRPr="003846D3">
        <w:t>‘</w:t>
      </w:r>
      <w:r w:rsidRPr="003846D3">
        <w:rPr>
          <w:i/>
          <w:iCs/>
        </w:rPr>
        <w:t>Cassia fistula’</w:t>
      </w:r>
      <w:r w:rsidR="00096077">
        <w:t>, to reflect that this ingredient has been evaluated for, and is considered safe and suitable for,</w:t>
      </w:r>
      <w:r w:rsidRPr="003846D3">
        <w:rPr>
          <w:i/>
          <w:iCs/>
        </w:rPr>
        <w:t xml:space="preserve"> </w:t>
      </w:r>
      <w:r w:rsidRPr="003846D3">
        <w:t>use as part of flavour and fragrance proprietary excipient formulations</w:t>
      </w:r>
      <w:r w:rsidR="00096077">
        <w:t xml:space="preserve"> in listed and assessed listed medicines.</w:t>
      </w:r>
    </w:p>
    <w:p w14:paraId="0A144AB2" w14:textId="77777777" w:rsidR="005A33B7" w:rsidRPr="00562910" w:rsidRDefault="005A33B7" w:rsidP="00562910">
      <w:pPr>
        <w:spacing w:after="120"/>
        <w:contextualSpacing/>
        <w:rPr>
          <w:b/>
        </w:rPr>
      </w:pPr>
    </w:p>
    <w:bookmarkEnd w:id="0"/>
    <w:p w14:paraId="43BACDC7" w14:textId="19913CC2" w:rsidR="00EF1F18" w:rsidRDefault="00EF1F18" w:rsidP="001B6A8A">
      <w:pPr>
        <w:keepNext/>
        <w:rPr>
          <w:rFonts w:ascii="Times New Roman" w:eastAsia="Times New Roman" w:hAnsi="Times New Roman" w:cs="Times New Roman"/>
          <w:b/>
          <w:bCs/>
          <w:sz w:val="24"/>
          <w:szCs w:val="24"/>
          <w:lang w:eastAsia="en-AU"/>
        </w:rPr>
      </w:pPr>
      <w:r w:rsidRPr="0026650C">
        <w:rPr>
          <w:rFonts w:ascii="Times New Roman" w:eastAsia="Times New Roman" w:hAnsi="Times New Roman" w:cs="Times New Roman"/>
          <w:b/>
          <w:bCs/>
          <w:sz w:val="24"/>
          <w:szCs w:val="24"/>
          <w:lang w:eastAsia="en-AU"/>
        </w:rPr>
        <w:t>C</w:t>
      </w:r>
      <w:r w:rsidR="00E1152E" w:rsidRPr="0026650C">
        <w:rPr>
          <w:rFonts w:ascii="Times New Roman" w:eastAsia="Times New Roman" w:hAnsi="Times New Roman" w:cs="Times New Roman"/>
          <w:b/>
          <w:bCs/>
          <w:sz w:val="24"/>
          <w:szCs w:val="24"/>
          <w:lang w:eastAsia="en-AU"/>
        </w:rPr>
        <w:t>onsultation</w:t>
      </w:r>
    </w:p>
    <w:p w14:paraId="10FC5204" w14:textId="3BA96C82" w:rsidR="00EE5F22" w:rsidRDefault="003E5AEA">
      <w:pPr>
        <w:autoSpaceDE w:val="0"/>
        <w:autoSpaceDN w:val="0"/>
        <w:adjustRightInd w:val="0"/>
        <w:spacing w:after="0"/>
        <w:rPr>
          <w:rFonts w:ascii="Times New Roman" w:eastAsia="Times New Roman" w:hAnsi="Times New Roman" w:cs="Times New Roman"/>
          <w:sz w:val="24"/>
          <w:szCs w:val="24"/>
          <w:lang w:eastAsia="en-AU"/>
        </w:rPr>
      </w:pPr>
      <w:r w:rsidRPr="00807896">
        <w:rPr>
          <w:rFonts w:ascii="Times New Roman" w:eastAsia="Times New Roman" w:hAnsi="Times New Roman" w:cs="Times New Roman"/>
          <w:sz w:val="24"/>
          <w:szCs w:val="24"/>
          <w:lang w:eastAsia="en-AU"/>
        </w:rPr>
        <w:t xml:space="preserve">The </w:t>
      </w:r>
      <w:r w:rsidR="005873CF" w:rsidRPr="005873CF">
        <w:rPr>
          <w:rFonts w:ascii="Times New Roman" w:eastAsia="Times New Roman" w:hAnsi="Times New Roman" w:cs="Times New Roman"/>
          <w:sz w:val="24"/>
          <w:szCs w:val="24"/>
          <w:lang w:eastAsia="en-AU"/>
        </w:rPr>
        <w:t>Office of Best Practice Regulation</w:t>
      </w:r>
      <w:r w:rsidR="005873C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OBPR</w:t>
      </w:r>
      <w:r w:rsidR="005873C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807896">
        <w:rPr>
          <w:rFonts w:ascii="Times New Roman" w:eastAsia="Times New Roman" w:hAnsi="Times New Roman" w:cs="Times New Roman"/>
          <w:sz w:val="24"/>
          <w:szCs w:val="24"/>
          <w:lang w:eastAsia="en-AU"/>
        </w:rPr>
        <w:t>has previously advised that a regulatory impact statement is not required for updates to determinations made under section 26BB of the Act that are minor or machinery in nature</w:t>
      </w:r>
      <w:r>
        <w:rPr>
          <w:rFonts w:ascii="Times New Roman" w:eastAsia="Times New Roman" w:hAnsi="Times New Roman" w:cs="Times New Roman"/>
          <w:sz w:val="24"/>
          <w:szCs w:val="24"/>
          <w:lang w:eastAsia="en-AU"/>
        </w:rPr>
        <w:t>, including</w:t>
      </w:r>
      <w:r w:rsidRPr="00807896">
        <w:rPr>
          <w:rFonts w:ascii="Times New Roman" w:eastAsia="Times New Roman" w:hAnsi="Times New Roman" w:cs="Times New Roman"/>
          <w:sz w:val="24"/>
          <w:szCs w:val="24"/>
          <w:lang w:eastAsia="en-AU"/>
        </w:rPr>
        <w:t xml:space="preserve"> the introduction of new permitted ingredients, corrections of errors, clarifications of requirements and ingredient names, changes to reflect scheduling decisions in the Poisons Standard </w:t>
      </w:r>
      <w:r w:rsidR="00FF6ED6">
        <w:rPr>
          <w:rFonts w:ascii="Times New Roman" w:eastAsia="Times New Roman" w:hAnsi="Times New Roman" w:cs="Times New Roman"/>
          <w:sz w:val="24"/>
          <w:szCs w:val="24"/>
          <w:lang w:eastAsia="en-AU"/>
        </w:rPr>
        <w:t>and</w:t>
      </w:r>
      <w:r w:rsidRPr="00807896">
        <w:rPr>
          <w:rFonts w:ascii="Times New Roman" w:eastAsia="Times New Roman" w:hAnsi="Times New Roman" w:cs="Times New Roman"/>
          <w:sz w:val="24"/>
          <w:szCs w:val="24"/>
          <w:lang w:eastAsia="en-AU"/>
        </w:rPr>
        <w:t xml:space="preserve"> the outcomes of TGA safety evaluations where the regulatory impacts are minor or machinery in nature (OBPR references 14416, 20999 and 21645</w:t>
      </w:r>
      <w:r>
        <w:rPr>
          <w:rFonts w:ascii="Times New Roman" w:eastAsia="Times New Roman" w:hAnsi="Times New Roman" w:cs="Times New Roman"/>
          <w:sz w:val="24"/>
          <w:szCs w:val="24"/>
          <w:lang w:eastAsia="en-AU"/>
        </w:rPr>
        <w:t>).</w:t>
      </w:r>
    </w:p>
    <w:p w14:paraId="6DB48453" w14:textId="77777777" w:rsidR="004C0638" w:rsidRPr="002000F0" w:rsidRDefault="004C0638">
      <w:pPr>
        <w:autoSpaceDE w:val="0"/>
        <w:autoSpaceDN w:val="0"/>
        <w:adjustRightInd w:val="0"/>
        <w:spacing w:after="0"/>
        <w:rPr>
          <w:rFonts w:ascii="Times New Roman" w:eastAsia="Times New Roman" w:hAnsi="Times New Roman" w:cs="Times New Roman"/>
          <w:sz w:val="24"/>
          <w:szCs w:val="24"/>
          <w:lang w:eastAsia="en-AU"/>
        </w:rPr>
      </w:pPr>
    </w:p>
    <w:p w14:paraId="60CB3D79" w14:textId="361FA065" w:rsidR="0055672F" w:rsidRPr="00F94A9F" w:rsidRDefault="00384E0A" w:rsidP="00567254">
      <w:pPr>
        <w:rPr>
          <w:rFonts w:ascii="Times New Roman" w:hAnsi="Times New Roman" w:cs="Times New Roman"/>
          <w:sz w:val="24"/>
          <w:szCs w:val="24"/>
        </w:rPr>
      </w:pPr>
      <w:r>
        <w:rPr>
          <w:rFonts w:ascii="Times New Roman" w:hAnsi="Times New Roman" w:cs="Times New Roman"/>
          <w:sz w:val="24"/>
          <w:szCs w:val="24"/>
        </w:rPr>
        <w:t>Between 4 August 2021 and 29 September 2021 t</w:t>
      </w:r>
      <w:r w:rsidR="0055672F" w:rsidRPr="00F94A9F">
        <w:rPr>
          <w:rFonts w:ascii="Times New Roman" w:hAnsi="Times New Roman" w:cs="Times New Roman"/>
          <w:sz w:val="24"/>
          <w:szCs w:val="24"/>
        </w:rPr>
        <w:t xml:space="preserve">he TGA conducted a </w:t>
      </w:r>
      <w:hyperlink r:id="rId8" w:history="1">
        <w:r w:rsidR="0055672F" w:rsidRPr="00F94A9F">
          <w:rPr>
            <w:rStyle w:val="Hyperlink"/>
            <w:rFonts w:ascii="Times New Roman" w:hAnsi="Times New Roman" w:cs="Times New Roman"/>
            <w:sz w:val="24"/>
            <w:szCs w:val="24"/>
          </w:rPr>
          <w:t>public consultation</w:t>
        </w:r>
      </w:hyperlink>
      <w:r w:rsidR="0055672F" w:rsidRPr="00F94A9F">
        <w:rPr>
          <w:rFonts w:ascii="Times New Roman" w:hAnsi="Times New Roman" w:cs="Times New Roman"/>
          <w:sz w:val="24"/>
          <w:szCs w:val="24"/>
        </w:rPr>
        <w:t xml:space="preserve"> regarding proposed changes to the Determination relating to allergenicity of molluscs and mollusc-derived ingredients, neuropathy associated with vitamin B6 supplementation, bronchospasm associated with use of benzalkonium chloride in nasal sprays, and embryotoxicity associated with artemisinin, a substance found in certain species of </w:t>
      </w:r>
      <w:r w:rsidR="0055672F" w:rsidRPr="00F94A9F">
        <w:rPr>
          <w:rFonts w:ascii="Times New Roman" w:hAnsi="Times New Roman" w:cs="Times New Roman"/>
          <w:i/>
          <w:iCs/>
          <w:sz w:val="24"/>
          <w:szCs w:val="24"/>
        </w:rPr>
        <w:t xml:space="preserve">Artemisia </w:t>
      </w:r>
      <w:r w:rsidR="0055672F" w:rsidRPr="00F94A9F">
        <w:rPr>
          <w:rFonts w:ascii="Times New Roman" w:hAnsi="Times New Roman" w:cs="Times New Roman"/>
          <w:sz w:val="24"/>
          <w:szCs w:val="24"/>
        </w:rPr>
        <w:t xml:space="preserve">plant. Twenty submissions were received. Some respondents supported some or </w:t>
      </w:r>
      <w:proofErr w:type="gramStart"/>
      <w:r w:rsidR="0055672F" w:rsidRPr="00F94A9F">
        <w:rPr>
          <w:rFonts w:ascii="Times New Roman" w:hAnsi="Times New Roman" w:cs="Times New Roman"/>
          <w:sz w:val="24"/>
          <w:szCs w:val="24"/>
        </w:rPr>
        <w:t>all of</w:t>
      </w:r>
      <w:proofErr w:type="gramEnd"/>
      <w:r w:rsidR="0055672F" w:rsidRPr="00F94A9F">
        <w:rPr>
          <w:rFonts w:ascii="Times New Roman" w:hAnsi="Times New Roman" w:cs="Times New Roman"/>
          <w:sz w:val="24"/>
          <w:szCs w:val="24"/>
        </w:rPr>
        <w:t xml:space="preserve"> the changes, some did not support some or all of the changes, and others provided further safety information and requested the reconsideration of specific proposals and clarifications. This </w:t>
      </w:r>
      <w:r w:rsidR="0055672F" w:rsidRPr="00F94A9F">
        <w:rPr>
          <w:rFonts w:ascii="Times New Roman" w:hAnsi="Times New Roman" w:cs="Times New Roman"/>
          <w:sz w:val="24"/>
          <w:szCs w:val="24"/>
        </w:rPr>
        <w:lastRenderedPageBreak/>
        <w:t xml:space="preserve">feedback was considered and incorporated in the notice outlining the </w:t>
      </w:r>
      <w:hyperlink r:id="rId9" w:history="1">
        <w:r w:rsidR="0055672F" w:rsidRPr="00F94A9F">
          <w:rPr>
            <w:rStyle w:val="Hyperlink"/>
            <w:rFonts w:ascii="Times New Roman" w:hAnsi="Times New Roman" w:cs="Times New Roman"/>
            <w:sz w:val="24"/>
            <w:szCs w:val="24"/>
          </w:rPr>
          <w:t>final decisions</w:t>
        </w:r>
      </w:hyperlink>
      <w:r w:rsidR="0055672F" w:rsidRPr="00F94A9F">
        <w:rPr>
          <w:rFonts w:ascii="Times New Roman" w:hAnsi="Times New Roman" w:cs="Times New Roman"/>
          <w:sz w:val="24"/>
          <w:szCs w:val="24"/>
        </w:rPr>
        <w:t xml:space="preserve"> for these ingredients, which was published </w:t>
      </w:r>
      <w:r>
        <w:rPr>
          <w:rFonts w:ascii="Times New Roman" w:hAnsi="Times New Roman" w:cs="Times New Roman"/>
          <w:sz w:val="24"/>
          <w:szCs w:val="24"/>
        </w:rPr>
        <w:t>on</w:t>
      </w:r>
      <w:r w:rsidR="0055672F" w:rsidRPr="00F94A9F">
        <w:rPr>
          <w:rFonts w:ascii="Times New Roman" w:hAnsi="Times New Roman" w:cs="Times New Roman"/>
          <w:sz w:val="24"/>
          <w:szCs w:val="24"/>
        </w:rPr>
        <w:t xml:space="preserve"> the TGA Consultation Hub </w:t>
      </w:r>
      <w:r>
        <w:rPr>
          <w:rFonts w:ascii="Times New Roman" w:hAnsi="Times New Roman" w:cs="Times New Roman"/>
          <w:sz w:val="24"/>
          <w:szCs w:val="24"/>
        </w:rPr>
        <w:t>on the TGA website (</w:t>
      </w:r>
      <w:hyperlink r:id="rId10" w:history="1">
        <w:r w:rsidRPr="00A1725F">
          <w:rPr>
            <w:rStyle w:val="Hyperlink"/>
            <w:rFonts w:ascii="Times New Roman" w:hAnsi="Times New Roman" w:cs="Times New Roman"/>
            <w:sz w:val="24"/>
            <w:szCs w:val="24"/>
          </w:rPr>
          <w:t>www.tga.gov.au</w:t>
        </w:r>
      </w:hyperlink>
      <w:r>
        <w:rPr>
          <w:rFonts w:ascii="Times New Roman" w:hAnsi="Times New Roman" w:cs="Times New Roman"/>
          <w:sz w:val="24"/>
          <w:szCs w:val="24"/>
        </w:rPr>
        <w:t xml:space="preserve">) </w:t>
      </w:r>
      <w:r w:rsidR="0055672F" w:rsidRPr="00F94A9F">
        <w:rPr>
          <w:rFonts w:ascii="Times New Roman" w:hAnsi="Times New Roman" w:cs="Times New Roman"/>
          <w:sz w:val="24"/>
          <w:szCs w:val="24"/>
        </w:rPr>
        <w:t>on 10 December 2021. In this notice, the TGA committed to implementing these changes by 1 March 2022.</w:t>
      </w:r>
    </w:p>
    <w:p w14:paraId="28613D5A" w14:textId="49265050" w:rsidR="005B70D2" w:rsidRPr="00F94A9F" w:rsidRDefault="00A723F8" w:rsidP="00567254">
      <w:pPr>
        <w:rPr>
          <w:rFonts w:ascii="Times New Roman" w:hAnsi="Times New Roman" w:cs="Times New Roman"/>
          <w:sz w:val="24"/>
          <w:szCs w:val="24"/>
        </w:rPr>
      </w:pPr>
      <w:r w:rsidRPr="00F94A9F">
        <w:rPr>
          <w:rFonts w:ascii="Times New Roman" w:hAnsi="Times New Roman" w:cs="Times New Roman"/>
          <w:sz w:val="24"/>
          <w:szCs w:val="24"/>
        </w:rPr>
        <w:t xml:space="preserve">Between May 2021 and January 2022, the TGA engaged directly with the applicant who applied for the approval of the ingredient </w:t>
      </w:r>
      <w:r w:rsidRPr="00F94A9F">
        <w:rPr>
          <w:rFonts w:ascii="Times New Roman" w:hAnsi="Times New Roman" w:cs="Times New Roman"/>
          <w:i/>
          <w:iCs/>
          <w:sz w:val="24"/>
          <w:szCs w:val="24"/>
        </w:rPr>
        <w:t xml:space="preserve">Euglena gracilis </w:t>
      </w:r>
      <w:r w:rsidRPr="00F94A9F">
        <w:rPr>
          <w:rFonts w:ascii="Times New Roman" w:hAnsi="Times New Roman" w:cs="Times New Roman"/>
          <w:sz w:val="24"/>
          <w:szCs w:val="24"/>
        </w:rPr>
        <w:t>whole cell dry</w:t>
      </w:r>
      <w:r w:rsidRPr="00F94A9F">
        <w:rPr>
          <w:rFonts w:ascii="Times New Roman" w:hAnsi="Times New Roman" w:cs="Times New Roman"/>
          <w:i/>
          <w:iCs/>
          <w:sz w:val="24"/>
          <w:szCs w:val="24"/>
        </w:rPr>
        <w:t xml:space="preserve">, </w:t>
      </w:r>
      <w:r w:rsidRPr="00F94A9F">
        <w:rPr>
          <w:rFonts w:ascii="Times New Roman" w:hAnsi="Times New Roman" w:cs="Times New Roman"/>
          <w:sz w:val="24"/>
          <w:szCs w:val="24"/>
        </w:rPr>
        <w:t>in connection with the application.</w:t>
      </w:r>
    </w:p>
    <w:p w14:paraId="7A00BF75" w14:textId="02ADDD4F" w:rsidR="0050197A" w:rsidRDefault="0050197A" w:rsidP="000152DF">
      <w:pPr>
        <w:keepNext/>
        <w:autoSpaceDE w:val="0"/>
        <w:autoSpaceDN w:val="0"/>
        <w:adjustRightInd w:val="0"/>
        <w:spacing w:after="0"/>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Incorporation</w:t>
      </w:r>
      <w:r>
        <w:rPr>
          <w:rFonts w:ascii="Times New Roman" w:hAnsi="Times New Roman" w:cs="Times New Roman"/>
          <w:b/>
          <w:sz w:val="24"/>
          <w:szCs w:val="24"/>
          <w:lang w:eastAsia="en-AU"/>
        </w:rPr>
        <w:t xml:space="preserve"> by reference</w:t>
      </w:r>
    </w:p>
    <w:p w14:paraId="630FC084" w14:textId="77777777" w:rsidR="005B70D2" w:rsidRPr="001A7C14" w:rsidRDefault="005B70D2" w:rsidP="000152DF">
      <w:pPr>
        <w:keepNext/>
        <w:autoSpaceDE w:val="0"/>
        <w:autoSpaceDN w:val="0"/>
        <w:adjustRightInd w:val="0"/>
        <w:spacing w:after="0"/>
        <w:rPr>
          <w:rFonts w:ascii="Times New Roman" w:eastAsia="Times New Roman" w:hAnsi="Times New Roman" w:cs="Times New Roman"/>
          <w:b/>
          <w:bCs/>
          <w:sz w:val="24"/>
          <w:szCs w:val="24"/>
          <w:lang w:eastAsia="en-AU"/>
        </w:rPr>
      </w:pPr>
    </w:p>
    <w:p w14:paraId="09BDDD8C" w14:textId="7F27DB71"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w:t>
      </w:r>
      <w:r w:rsidRPr="0034672A">
        <w:rPr>
          <w:rFonts w:ascii="Times New Roman" w:eastAsia="Times New Roman" w:hAnsi="Times New Roman" w:cs="Times New Roman"/>
          <w:sz w:val="24"/>
          <w:szCs w:val="24"/>
          <w:lang w:eastAsia="en-AU"/>
        </w:rPr>
        <w:t>Determination</w:t>
      </w:r>
      <w:r>
        <w:rPr>
          <w:rFonts w:ascii="Times New Roman" w:hAnsi="Times New Roman" w:cs="Times New Roman"/>
          <w:sz w:val="24"/>
          <w:szCs w:val="24"/>
        </w:rPr>
        <w:t xml:space="preserve"> references each of the British Pharmacopoeia, European Pharmacopoeia and United States Pharmacopeia-National Formulary, and the note in section 4 of the Determination makes it clear that each of these pharmacopoeia are those as defined in subsection 3(1) of the Act.</w:t>
      </w:r>
    </w:p>
    <w:p w14:paraId="371A8AD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3E90904" w14:textId="6F2E0151"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definitions of the pharmacopoeia in subsection 3(1) of the Act refer to the publications of each as in effect immediately before the commencement of the relevant definition in the Act, and to any subsequent amendments or editions. </w:t>
      </w:r>
      <w:r w:rsidR="00E60C26">
        <w:rPr>
          <w:rFonts w:ascii="Times New Roman" w:hAnsi="Times New Roman" w:cs="Times New Roman"/>
          <w:sz w:val="24"/>
          <w:szCs w:val="24"/>
        </w:rPr>
        <w:t xml:space="preserve"> </w:t>
      </w:r>
      <w:r>
        <w:rPr>
          <w:rFonts w:ascii="Times New Roman" w:hAnsi="Times New Roman" w:cs="Times New Roman"/>
          <w:sz w:val="24"/>
          <w:szCs w:val="24"/>
        </w:rPr>
        <w:t xml:space="preserve">The intention in this Determination is therefore to adopt the defined meaning of the pharmacopoeia as set out in subsection 3(1) of the Act (an approach permitted by subsection </w:t>
      </w:r>
      <w:r w:rsidR="004E2CE6">
        <w:rPr>
          <w:rFonts w:ascii="Times New Roman" w:hAnsi="Times New Roman" w:cs="Times New Roman"/>
          <w:sz w:val="24"/>
          <w:szCs w:val="24"/>
        </w:rPr>
        <w:t>26BB</w:t>
      </w:r>
      <w:r>
        <w:rPr>
          <w:rFonts w:ascii="Times New Roman" w:hAnsi="Times New Roman" w:cs="Times New Roman"/>
          <w:sz w:val="24"/>
          <w:szCs w:val="24"/>
        </w:rPr>
        <w:t>(</w:t>
      </w:r>
      <w:r w:rsidR="004E2CE6">
        <w:rPr>
          <w:rFonts w:ascii="Times New Roman" w:hAnsi="Times New Roman" w:cs="Times New Roman"/>
          <w:sz w:val="24"/>
          <w:szCs w:val="24"/>
        </w:rPr>
        <w:t>8</w:t>
      </w:r>
      <w:r>
        <w:rPr>
          <w:rFonts w:ascii="Times New Roman" w:hAnsi="Times New Roman" w:cs="Times New Roman"/>
          <w:sz w:val="24"/>
          <w:szCs w:val="24"/>
        </w:rPr>
        <w:t xml:space="preserve">) of the Act). </w:t>
      </w:r>
      <w:r w:rsidR="00E60C26">
        <w:rPr>
          <w:rFonts w:ascii="Times New Roman" w:hAnsi="Times New Roman" w:cs="Times New Roman"/>
          <w:sz w:val="24"/>
          <w:szCs w:val="24"/>
        </w:rPr>
        <w:t xml:space="preserve"> </w:t>
      </w:r>
      <w:proofErr w:type="gramStart"/>
      <w:r>
        <w:rPr>
          <w:rFonts w:ascii="Times New Roman" w:hAnsi="Times New Roman" w:cs="Times New Roman"/>
          <w:sz w:val="24"/>
          <w:szCs w:val="24"/>
        </w:rPr>
        <w:t>Th</w:t>
      </w:r>
      <w:r w:rsidR="008C2503">
        <w:rPr>
          <w:rFonts w:ascii="Times New Roman" w:hAnsi="Times New Roman" w:cs="Times New Roman"/>
          <w:sz w:val="24"/>
          <w:szCs w:val="24"/>
        </w:rPr>
        <w:t>ose</w:t>
      </w:r>
      <w:r>
        <w:rPr>
          <w:rFonts w:ascii="Times New Roman" w:hAnsi="Times New Roman" w:cs="Times New Roman"/>
          <w:sz w:val="24"/>
          <w:szCs w:val="24"/>
        </w:rPr>
        <w:t xml:space="preserve"> pharmacopoeia</w:t>
      </w:r>
      <w:proofErr w:type="gramEnd"/>
      <w:r>
        <w:rPr>
          <w:rFonts w:ascii="Times New Roman" w:hAnsi="Times New Roman" w:cs="Times New Roman"/>
          <w:sz w:val="24"/>
          <w:szCs w:val="24"/>
        </w:rPr>
        <w:t xml:space="preserve"> may be accessed from </w:t>
      </w:r>
      <w:hyperlink r:id="rId11" w:history="1">
        <w:r w:rsidRPr="00BB66B5">
          <w:rPr>
            <w:rStyle w:val="Hyperlink"/>
            <w:rFonts w:ascii="Times New Roman" w:hAnsi="Times New Roman" w:cs="Times New Roman"/>
            <w:sz w:val="24"/>
            <w:szCs w:val="24"/>
          </w:rPr>
          <w:t>www.pharmacopoeia.com/</w:t>
        </w:r>
      </w:hyperlink>
      <w:r>
        <w:rPr>
          <w:rFonts w:ascii="Times New Roman" w:hAnsi="Times New Roman" w:cs="Times New Roman"/>
          <w:sz w:val="24"/>
          <w:szCs w:val="24"/>
        </w:rPr>
        <w:t xml:space="preserve">, </w:t>
      </w:r>
      <w:hyperlink r:id="rId12" w:history="1">
        <w:r w:rsidR="00EF4059" w:rsidRPr="00061A97">
          <w:rPr>
            <w:rStyle w:val="Hyperlink"/>
            <w:rFonts w:ascii="Times New Roman" w:hAnsi="Times New Roman" w:cs="Times New Roman"/>
            <w:sz w:val="24"/>
            <w:szCs w:val="24"/>
          </w:rPr>
          <w:t>https://pheur.edqm.eu/home</w:t>
        </w:r>
      </w:hyperlink>
      <w:r>
        <w:rPr>
          <w:rFonts w:ascii="Times New Roman" w:hAnsi="Times New Roman" w:cs="Times New Roman"/>
          <w:sz w:val="24"/>
          <w:szCs w:val="24"/>
        </w:rPr>
        <w:t xml:space="preserve"> and </w:t>
      </w:r>
      <w:hyperlink r:id="rId13" w:history="1">
        <w:r w:rsidRPr="00BB66B5">
          <w:rPr>
            <w:rStyle w:val="Hyperlink"/>
            <w:rFonts w:ascii="Times New Roman" w:hAnsi="Times New Roman" w:cs="Times New Roman"/>
            <w:sz w:val="24"/>
            <w:szCs w:val="24"/>
          </w:rPr>
          <w:t>www.uspnf.com/</w:t>
        </w:r>
      </w:hyperlink>
      <w:r>
        <w:rPr>
          <w:rFonts w:ascii="Times New Roman" w:hAnsi="Times New Roman" w:cs="Times New Roman"/>
          <w:sz w:val="24"/>
          <w:szCs w:val="24"/>
        </w:rPr>
        <w:t>.</w:t>
      </w:r>
    </w:p>
    <w:p w14:paraId="322983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E0BD165" w14:textId="6B8A9C6E" w:rsidR="0050197A" w:rsidRPr="00361A1D" w:rsidRDefault="0050197A" w:rsidP="001A7C14">
      <w:pPr>
        <w:autoSpaceDE w:val="0"/>
        <w:autoSpaceDN w:val="0"/>
        <w:adjustRightInd w:val="0"/>
        <w:spacing w:after="0"/>
        <w:rPr>
          <w:rStyle w:val="Hyperlink"/>
          <w:color w:val="auto"/>
        </w:rPr>
      </w:pPr>
      <w:r>
        <w:rPr>
          <w:rFonts w:ascii="Times New Roman" w:hAnsi="Times New Roman" w:cs="Times New Roman"/>
          <w:sz w:val="24"/>
          <w:szCs w:val="24"/>
        </w:rPr>
        <w:t xml:space="preserve">The Determination also adopts the </w:t>
      </w:r>
      <w:r w:rsidRPr="006B644D">
        <w:rPr>
          <w:rFonts w:ascii="Times New Roman" w:hAnsi="Times New Roman" w:cs="Times New Roman"/>
          <w:sz w:val="24"/>
          <w:szCs w:val="24"/>
        </w:rPr>
        <w:t>Food Chemicals Codex (</w:t>
      </w:r>
      <w:r>
        <w:rPr>
          <w:rFonts w:ascii="Times New Roman" w:hAnsi="Times New Roman" w:cs="Times New Roman"/>
          <w:sz w:val="24"/>
          <w:szCs w:val="24"/>
        </w:rPr>
        <w:t xml:space="preserve">“the </w:t>
      </w:r>
      <w:r w:rsidRPr="006B644D">
        <w:rPr>
          <w:rFonts w:ascii="Times New Roman" w:hAnsi="Times New Roman" w:cs="Times New Roman"/>
          <w:sz w:val="24"/>
          <w:szCs w:val="24"/>
        </w:rPr>
        <w:t>FCC</w:t>
      </w:r>
      <w:r>
        <w:rPr>
          <w:rFonts w:ascii="Times New Roman" w:hAnsi="Times New Roman" w:cs="Times New Roman"/>
          <w:sz w:val="24"/>
          <w:szCs w:val="24"/>
        </w:rPr>
        <w:t>”</w:t>
      </w:r>
      <w:r w:rsidRPr="006B644D">
        <w:rPr>
          <w:rFonts w:ascii="Times New Roman" w:hAnsi="Times New Roman" w:cs="Times New Roman"/>
          <w:sz w:val="24"/>
          <w:szCs w:val="24"/>
        </w:rPr>
        <w:t>) published by the United States Pharmacopeial Convention</w:t>
      </w:r>
      <w:r>
        <w:rPr>
          <w:rFonts w:ascii="Times New Roman" w:hAnsi="Times New Roman" w:cs="Times New Roman"/>
          <w:sz w:val="24"/>
          <w:szCs w:val="24"/>
        </w:rPr>
        <w:t xml:space="preserve"> (available at </w:t>
      </w:r>
      <w:hyperlink r:id="rId14" w:history="1">
        <w:r w:rsidR="00A177A5" w:rsidRPr="00A177A5">
          <w:rPr>
            <w:rStyle w:val="Hyperlink"/>
            <w:rFonts w:ascii="Times New Roman" w:hAnsi="Times New Roman" w:cs="Times New Roman"/>
            <w:sz w:val="24"/>
            <w:szCs w:val="24"/>
          </w:rPr>
          <w:t>www.foodchemicalscodex.org/</w:t>
        </w:r>
      </w:hyperlink>
      <w:r>
        <w:rPr>
          <w:rFonts w:ascii="Times New Roman" w:hAnsi="Times New Roman" w:cs="Times New Roman"/>
          <w:sz w:val="24"/>
          <w:szCs w:val="24"/>
        </w:rPr>
        <w:t xml:space="preserve">). </w:t>
      </w:r>
      <w:r w:rsidR="004E2CE6">
        <w:rPr>
          <w:rFonts w:ascii="Times New Roman" w:hAnsi="Times New Roman" w:cs="Times New Roman"/>
          <w:sz w:val="24"/>
          <w:szCs w:val="24"/>
        </w:rPr>
        <w:t xml:space="preserve"> </w:t>
      </w:r>
      <w:r>
        <w:rPr>
          <w:rFonts w:ascii="Times New Roman" w:hAnsi="Times New Roman" w:cs="Times New Roman"/>
          <w:sz w:val="24"/>
          <w:szCs w:val="24"/>
        </w:rPr>
        <w:t>The intended manner of adoption of the FCC is also as it is in force or existing from time to time</w:t>
      </w:r>
      <w:r w:rsidR="004E2CE6">
        <w:rPr>
          <w:rFonts w:ascii="Times New Roman" w:hAnsi="Times New Roman" w:cs="Times New Roman"/>
          <w:sz w:val="24"/>
          <w:szCs w:val="24"/>
        </w:rPr>
        <w:t>, as permitted by subsection 26BB(8) of the Act</w:t>
      </w:r>
      <w:r>
        <w:rPr>
          <w:rFonts w:ascii="Times New Roman" w:hAnsi="Times New Roman" w:cs="Times New Roman"/>
          <w:sz w:val="24"/>
          <w:szCs w:val="24"/>
        </w:rPr>
        <w:t xml:space="preserve">. </w:t>
      </w:r>
      <w:r w:rsidR="00E60C26">
        <w:rPr>
          <w:rFonts w:ascii="Times New Roman" w:hAnsi="Times New Roman" w:cs="Times New Roman"/>
          <w:sz w:val="24"/>
          <w:szCs w:val="24"/>
        </w:rPr>
        <w:t xml:space="preserve"> </w:t>
      </w:r>
      <w:r w:rsidRPr="00A2081A">
        <w:rPr>
          <w:rFonts w:ascii="Times New Roman" w:hAnsi="Times New Roman" w:cs="Times New Roman"/>
          <w:sz w:val="24"/>
          <w:szCs w:val="24"/>
          <w:lang w:eastAsia="en-AU"/>
        </w:rPr>
        <w:t xml:space="preserve">The Determination </w:t>
      </w:r>
      <w:r>
        <w:rPr>
          <w:rFonts w:ascii="Times New Roman" w:hAnsi="Times New Roman" w:cs="Times New Roman"/>
          <w:sz w:val="24"/>
          <w:szCs w:val="24"/>
          <w:lang w:eastAsia="en-AU"/>
        </w:rPr>
        <w:t xml:space="preserve">adopts each of the </w:t>
      </w:r>
      <w:r w:rsidRPr="00361A1D">
        <w:rPr>
          <w:rStyle w:val="Hyperlink"/>
          <w:rFonts w:ascii="Times New Roman" w:hAnsi="Times New Roman" w:cs="Times New Roman"/>
          <w:i/>
          <w:color w:val="auto"/>
          <w:sz w:val="24"/>
          <w:szCs w:val="24"/>
          <w:u w:val="none"/>
        </w:rPr>
        <w:t>Animal Products Act 1999</w:t>
      </w:r>
      <w:r w:rsidRPr="00361A1D">
        <w:rPr>
          <w:rStyle w:val="Hyperlink"/>
          <w:color w:val="auto"/>
          <w:u w:val="none"/>
        </w:rPr>
        <w:t xml:space="preserve"> </w:t>
      </w:r>
      <w:r w:rsidRPr="00361A1D">
        <w:rPr>
          <w:rStyle w:val="Hyperlink"/>
          <w:rFonts w:ascii="Times New Roman" w:hAnsi="Times New Roman" w:cs="Times New Roman"/>
          <w:color w:val="auto"/>
          <w:sz w:val="24"/>
          <w:szCs w:val="24"/>
          <w:u w:val="none"/>
        </w:rPr>
        <w:t xml:space="preserve">and the </w:t>
      </w:r>
      <w:r w:rsidRPr="00361A1D">
        <w:rPr>
          <w:rStyle w:val="Hyperlink"/>
          <w:rFonts w:ascii="Times New Roman" w:hAnsi="Times New Roman" w:cs="Times New Roman"/>
          <w:i/>
          <w:color w:val="auto"/>
          <w:sz w:val="24"/>
          <w:szCs w:val="24"/>
          <w:u w:val="none"/>
        </w:rPr>
        <w:t>Animal Welfare Act 1999</w:t>
      </w:r>
      <w:r w:rsidRPr="00361A1D">
        <w:rPr>
          <w:rStyle w:val="Hyperlink"/>
          <w:rFonts w:ascii="Times New Roman" w:hAnsi="Times New Roman" w:cs="Times New Roman"/>
          <w:color w:val="auto"/>
          <w:sz w:val="24"/>
          <w:szCs w:val="24"/>
          <w:u w:val="none"/>
        </w:rPr>
        <w:t xml:space="preserve"> </w:t>
      </w:r>
      <w:r>
        <w:rPr>
          <w:rFonts w:ascii="Times New Roman" w:hAnsi="Times New Roman" w:cs="Times New Roman"/>
          <w:sz w:val="24"/>
          <w:szCs w:val="24"/>
          <w:lang w:eastAsia="en-AU"/>
        </w:rPr>
        <w:t xml:space="preserve">of New Zealand on the same basis. </w:t>
      </w:r>
      <w:r w:rsidR="004E2CE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These Acts are available for free from </w:t>
      </w:r>
      <w:hyperlink r:id="rId15" w:history="1">
        <w:r w:rsidRPr="00BB66B5">
          <w:rPr>
            <w:rStyle w:val="Hyperlink"/>
            <w:rFonts w:ascii="Times New Roman" w:hAnsi="Times New Roman" w:cs="Times New Roman"/>
            <w:sz w:val="24"/>
            <w:szCs w:val="24"/>
          </w:rPr>
          <w:t>www.legislation.govt.nz/</w:t>
        </w:r>
      </w:hyperlink>
      <w:r w:rsidRPr="00361A1D">
        <w:rPr>
          <w:rStyle w:val="Hyperlink"/>
          <w:color w:val="auto"/>
        </w:rPr>
        <w:t>.</w:t>
      </w:r>
    </w:p>
    <w:p w14:paraId="7D08AC7D"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66CDB99" w14:textId="037AAE44"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The Determination also includes a reference to a World Health Organization publication ‘</w:t>
      </w:r>
      <w:r w:rsidRPr="00B94E86">
        <w:rPr>
          <w:rFonts w:ascii="Times New Roman" w:hAnsi="Times New Roman" w:cs="Times New Roman"/>
          <w:i/>
          <w:sz w:val="24"/>
          <w:szCs w:val="24"/>
          <w:lang w:eastAsia="en-AU"/>
        </w:rPr>
        <w:t>Expert consultation on oral rehydration salts formulation</w:t>
      </w:r>
      <w:r>
        <w:rPr>
          <w:rFonts w:ascii="Times New Roman" w:hAnsi="Times New Roman" w:cs="Times New Roman"/>
          <w:sz w:val="24"/>
          <w:szCs w:val="24"/>
          <w:lang w:eastAsia="en-AU"/>
        </w:rPr>
        <w:t>’, dated 18 July 2001.</w:t>
      </w:r>
      <w:r w:rsidR="00E60C2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 This document is available for free from</w:t>
      </w:r>
      <w:r w:rsidRPr="00CC73D8">
        <w:rPr>
          <w:rFonts w:ascii="Times New Roman" w:hAnsi="Times New Roman" w:cs="Times New Roman"/>
          <w:sz w:val="24"/>
          <w:szCs w:val="24"/>
          <w:lang w:eastAsia="en-AU"/>
        </w:rPr>
        <w:t xml:space="preserve"> </w:t>
      </w:r>
      <w:hyperlink r:id="rId16" w:history="1">
        <w:r w:rsidRPr="00BB66B5">
          <w:rPr>
            <w:rStyle w:val="Hyperlink"/>
            <w:rFonts w:ascii="Times New Roman" w:hAnsi="Times New Roman" w:cs="Times New Roman"/>
            <w:sz w:val="24"/>
            <w:szCs w:val="24"/>
          </w:rPr>
          <w:t>www.rehydrate.org/ors/expert-consultation.html</w:t>
        </w:r>
      </w:hyperlink>
      <w:r w:rsidRPr="00CC73D8">
        <w:rPr>
          <w:rFonts w:ascii="Times New Roman" w:hAnsi="Times New Roman" w:cs="Times New Roman"/>
          <w:sz w:val="24"/>
          <w:szCs w:val="24"/>
        </w:rPr>
        <w:t>.</w:t>
      </w:r>
    </w:p>
    <w:p w14:paraId="147C2040" w14:textId="77777777" w:rsidR="005B70D2" w:rsidRPr="001A7C14"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69313021" w14:textId="62FB30B8"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the persons most affected by their adoption in this Determination (</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w:t>
      </w:r>
      <w:r>
        <w:rPr>
          <w:rFonts w:ascii="Times New Roman" w:hAnsi="Times New Roman" w:cs="Times New Roman"/>
          <w:sz w:val="24"/>
          <w:szCs w:val="24"/>
          <w:lang w:eastAsia="en-AU"/>
        </w:rPr>
        <w:t> </w:t>
      </w:r>
      <w:r w:rsidRPr="00A2081A">
        <w:rPr>
          <w:rFonts w:ascii="Times New Roman" w:hAnsi="Times New Roman" w:cs="Times New Roman"/>
          <w:sz w:val="24"/>
          <w:szCs w:val="24"/>
          <w:lang w:eastAsia="en-AU"/>
        </w:rPr>
        <w:t>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Pr>
          <w:rFonts w:ascii="Times New Roman" w:hAnsi="Times New Roman" w:cs="Times New Roman"/>
          <w:sz w:val="24"/>
          <w:szCs w:val="24"/>
          <w:lang w:eastAsia="en-AU"/>
        </w:rPr>
        <w:t xml:space="preserve">s industry using the Determination), </w:t>
      </w:r>
      <w:r w:rsidRPr="00A2081A">
        <w:rPr>
          <w:rFonts w:ascii="Times New Roman" w:hAnsi="Times New Roman" w:cs="Times New Roman"/>
          <w:sz w:val="24"/>
          <w:szCs w:val="24"/>
          <w:lang w:eastAsia="en-AU"/>
        </w:rPr>
        <w:t xml:space="preserve">would be in possession of these </w:t>
      </w:r>
      <w:r>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in order to manufacture 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or ingredients</w:t>
      </w:r>
      <w:r>
        <w:rPr>
          <w:rFonts w:ascii="Times New Roman" w:hAnsi="Times New Roman" w:cs="Times New Roman"/>
          <w:sz w:val="24"/>
          <w:szCs w:val="24"/>
          <w:lang w:eastAsia="en-AU"/>
        </w:rPr>
        <w:t>.</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As important international benchmarks for the safety and quality of therapeutic goods, it would be </w:t>
      </w:r>
      <w:r>
        <w:rPr>
          <w:rFonts w:ascii="Times New Roman" w:hAnsi="Times New Roman" w:cs="Times New Roman"/>
          <w:sz w:val="24"/>
          <w:szCs w:val="24"/>
        </w:rPr>
        <w:t>in</w:t>
      </w:r>
      <w:r w:rsidRPr="00B13B06">
        <w:rPr>
          <w:rFonts w:ascii="Times New Roman" w:hAnsi="Times New Roman" w:cs="Times New Roman"/>
          <w:sz w:val="24"/>
          <w:szCs w:val="24"/>
        </w:rPr>
        <w:t xml:space="preserve">feasible from a regulatory perspective </w:t>
      </w:r>
      <w:r>
        <w:rPr>
          <w:rFonts w:ascii="Times New Roman" w:hAnsi="Times New Roman" w:cs="Times New Roman"/>
          <w:sz w:val="24"/>
          <w:szCs w:val="24"/>
        </w:rPr>
        <w:t xml:space="preserve">(particularly in relation to the safety of listed medicines that are not, for the most part, evaluated before being given marketing approval) </w:t>
      </w:r>
      <w:r w:rsidRPr="00B13B06">
        <w:rPr>
          <w:rFonts w:ascii="Times New Roman" w:hAnsi="Times New Roman" w:cs="Times New Roman"/>
          <w:sz w:val="24"/>
          <w:szCs w:val="24"/>
        </w:rPr>
        <w:t xml:space="preserve">to not adopt such benchmarks </w:t>
      </w:r>
      <w:r>
        <w:rPr>
          <w:rFonts w:ascii="Times New Roman" w:hAnsi="Times New Roman" w:cs="Times New Roman"/>
          <w:sz w:val="24"/>
          <w:szCs w:val="24"/>
        </w:rPr>
        <w:t>on the basis that</w:t>
      </w:r>
      <w:r w:rsidRPr="00B13B06">
        <w:rPr>
          <w:rFonts w:ascii="Times New Roman" w:hAnsi="Times New Roman" w:cs="Times New Roman"/>
          <w:sz w:val="24"/>
          <w:szCs w:val="24"/>
        </w:rPr>
        <w:t xml:space="preserve"> the</w:t>
      </w:r>
      <w:r>
        <w:rPr>
          <w:rFonts w:ascii="Times New Roman" w:hAnsi="Times New Roman" w:cs="Times New Roman"/>
          <w:sz w:val="24"/>
          <w:szCs w:val="24"/>
        </w:rPr>
        <w:t xml:space="preserve"> publications</w:t>
      </w:r>
      <w:r w:rsidRPr="00B13B06">
        <w:rPr>
          <w:rFonts w:ascii="Times New Roman" w:hAnsi="Times New Roman" w:cs="Times New Roman"/>
          <w:sz w:val="24"/>
          <w:szCs w:val="24"/>
        </w:rPr>
        <w:t xml:space="preserve"> are not available for free.</w:t>
      </w:r>
    </w:p>
    <w:p w14:paraId="5988E2FA"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350BBCA7" w14:textId="73E9EAB5" w:rsidR="00E715AB" w:rsidRDefault="00E715AB" w:rsidP="001A7C14">
      <w:pPr>
        <w:autoSpaceDE w:val="0"/>
        <w:autoSpaceDN w:val="0"/>
        <w:adjustRightInd w:val="0"/>
        <w:spacing w:after="0"/>
        <w:rPr>
          <w:rFonts w:ascii="Times New Roman" w:hAnsi="Times New Roman" w:cs="Times New Roman"/>
          <w:sz w:val="24"/>
          <w:szCs w:val="24"/>
        </w:rPr>
      </w:pPr>
      <w:r w:rsidRPr="00CA165D">
        <w:rPr>
          <w:rFonts w:ascii="Times New Roman" w:hAnsi="Times New Roman" w:cs="Times New Roman"/>
          <w:sz w:val="24"/>
          <w:szCs w:val="24"/>
        </w:rPr>
        <w:lastRenderedPageBreak/>
        <w:t>However, by prior written arrangement</w:t>
      </w:r>
      <w:r>
        <w:rPr>
          <w:rFonts w:ascii="Times New Roman" w:hAnsi="Times New Roman" w:cs="Times New Roman"/>
          <w:sz w:val="24"/>
          <w:szCs w:val="24"/>
        </w:rPr>
        <w:t xml:space="preserve"> with the TGA</w:t>
      </w:r>
      <w:r w:rsidRPr="00CA165D">
        <w:rPr>
          <w:rFonts w:ascii="Times New Roman" w:hAnsi="Times New Roman" w:cs="Times New Roman"/>
          <w:sz w:val="24"/>
          <w:szCs w:val="24"/>
        </w:rPr>
        <w:t xml:space="preserve">, </w:t>
      </w:r>
      <w:r>
        <w:rPr>
          <w:rFonts w:ascii="Times New Roman" w:hAnsi="Times New Roman" w:cs="Times New Roman"/>
          <w:sz w:val="24"/>
          <w:szCs w:val="24"/>
        </w:rPr>
        <w:t>members of the public may request to view the</w:t>
      </w:r>
      <w:r w:rsidRPr="00CA165D">
        <w:rPr>
          <w:rFonts w:ascii="Times New Roman" w:hAnsi="Times New Roman" w:cs="Times New Roman"/>
          <w:sz w:val="24"/>
          <w:szCs w:val="24"/>
        </w:rPr>
        <w:t xml:space="preserve"> pharmacopoeia </w:t>
      </w:r>
      <w:r>
        <w:rPr>
          <w:rFonts w:ascii="Times New Roman" w:hAnsi="Times New Roman" w:cs="Times New Roman"/>
          <w:sz w:val="24"/>
          <w:szCs w:val="24"/>
        </w:rPr>
        <w:t xml:space="preserve">and the FCC without charge </w:t>
      </w:r>
      <w:r w:rsidRPr="00CA165D">
        <w:rPr>
          <w:rFonts w:ascii="Times New Roman" w:hAnsi="Times New Roman" w:cs="Times New Roman"/>
          <w:sz w:val="24"/>
          <w:szCs w:val="24"/>
        </w:rPr>
        <w:t>at the TGA office in Symonston, ACT.</w:t>
      </w:r>
    </w:p>
    <w:p w14:paraId="6FDE1CA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1F1060FE" w14:textId="025BA7AF" w:rsidR="0050197A" w:rsidRDefault="0050197A" w:rsidP="001A7C14">
      <w:pPr>
        <w:autoSpaceDE w:val="0"/>
        <w:autoSpaceDN w:val="0"/>
        <w:adjustRightInd w:val="0"/>
        <w:spacing w:after="0"/>
        <w:rPr>
          <w:rFonts w:ascii="Times New Roman" w:hAnsi="Times New Roman" w:cs="Times New Roman"/>
          <w:sz w:val="24"/>
          <w:szCs w:val="24"/>
        </w:rPr>
      </w:pPr>
      <w:r w:rsidRPr="00B13B06">
        <w:rPr>
          <w:rFonts w:ascii="Times New Roman" w:hAnsi="Times New Roman" w:cs="Times New Roman"/>
          <w:sz w:val="24"/>
          <w:szCs w:val="24"/>
        </w:rPr>
        <w:t xml:space="preserve">It should </w:t>
      </w:r>
      <w:r>
        <w:rPr>
          <w:rFonts w:ascii="Times New Roman" w:hAnsi="Times New Roman" w:cs="Times New Roman"/>
          <w:sz w:val="24"/>
          <w:szCs w:val="24"/>
        </w:rPr>
        <w:t xml:space="preserve">also </w:t>
      </w:r>
      <w:r w:rsidRPr="00B13B06">
        <w:rPr>
          <w:rFonts w:ascii="Times New Roman" w:hAnsi="Times New Roman" w:cs="Times New Roman"/>
          <w:sz w:val="24"/>
          <w:szCs w:val="24"/>
        </w:rPr>
        <w:t>be noted</w:t>
      </w:r>
      <w:r w:rsidR="00DC56A0">
        <w:rPr>
          <w:rFonts w:ascii="Times New Roman" w:hAnsi="Times New Roman" w:cs="Times New Roman"/>
          <w:sz w:val="24"/>
          <w:szCs w:val="24"/>
        </w:rPr>
        <w:t>, in relation to the pharmacopoeia,</w:t>
      </w:r>
      <w:r w:rsidRPr="00B13B06">
        <w:rPr>
          <w:rFonts w:ascii="Times New Roman" w:hAnsi="Times New Roman" w:cs="Times New Roman"/>
          <w:sz w:val="24"/>
          <w:szCs w:val="24"/>
        </w:rPr>
        <w:t xml:space="preserve"> that the National Library’s Trove online system (</w:t>
      </w:r>
      <w:hyperlink r:id="rId17" w:history="1">
        <w:r w:rsidRPr="00BB66B5">
          <w:rPr>
            <w:rStyle w:val="Hyperlink"/>
            <w:rFonts w:ascii="Times New Roman" w:hAnsi="Times New Roman" w:cs="Times New Roman"/>
            <w:sz w:val="24"/>
            <w:szCs w:val="24"/>
          </w:rPr>
          <w:t>www.trove.nla.gov.au/</w:t>
        </w:r>
      </w:hyperlink>
      <w:r w:rsidRPr="00B13B06">
        <w:rPr>
          <w:rFonts w:ascii="Times New Roman" w:hAnsi="Times New Roman" w:cs="Times New Roman"/>
          <w:sz w:val="24"/>
          <w:szCs w:val="24"/>
        </w:rPr>
        <w:t>) allows users to identify libraries in Australia that are 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 xml:space="preserve">of the pharmacopoeia may be viewed (for example, the University of Tasmania or the University of Western Australia in relation to the </w:t>
      </w:r>
      <w:r>
        <w:rPr>
          <w:rFonts w:ascii="Times New Roman" w:hAnsi="Times New Roman" w:cs="Times New Roman"/>
          <w:sz w:val="24"/>
          <w:szCs w:val="24"/>
        </w:rPr>
        <w:t>British Pharmacopoeia</w:t>
      </w:r>
      <w:r w:rsidRPr="00B13B06">
        <w:rPr>
          <w:rFonts w:ascii="Times New Roman" w:hAnsi="Times New Roman" w:cs="Times New Roman"/>
          <w:sz w:val="24"/>
          <w:szCs w:val="24"/>
        </w:rPr>
        <w:t xml:space="preserve">). </w:t>
      </w:r>
      <w:r w:rsidR="00E60C26">
        <w:rPr>
          <w:rFonts w:ascii="Times New Roman" w:hAnsi="Times New Roman" w:cs="Times New Roman"/>
          <w:sz w:val="24"/>
          <w:szCs w:val="24"/>
        </w:rPr>
        <w:t xml:space="preserve"> </w:t>
      </w:r>
      <w:r w:rsidRPr="00B13B06">
        <w:rPr>
          <w:rFonts w:ascii="Times New Roman" w:hAnsi="Times New Roman" w:cs="Times New Roman"/>
          <w:sz w:val="24"/>
          <w:szCs w:val="24"/>
        </w:rPr>
        <w:t xml:space="preserve">Members of the public may also approach any library that participates in inter-library loans </w:t>
      </w:r>
      <w:r>
        <w:rPr>
          <w:rFonts w:ascii="Times New Roman" w:hAnsi="Times New Roman" w:cs="Times New Roman"/>
          <w:sz w:val="24"/>
          <w:szCs w:val="24"/>
        </w:rPr>
        <w:t xml:space="preserve">with those university libraries </w:t>
      </w:r>
      <w:r w:rsidRPr="00B13B06">
        <w:rPr>
          <w:rFonts w:ascii="Times New Roman" w:hAnsi="Times New Roman" w:cs="Times New Roman"/>
          <w:sz w:val="24"/>
          <w:szCs w:val="24"/>
        </w:rPr>
        <w:t xml:space="preserve">to request an inter-library loan, </w:t>
      </w:r>
      <w:r>
        <w:rPr>
          <w:rFonts w:ascii="Times New Roman" w:hAnsi="Times New Roman" w:cs="Times New Roman"/>
          <w:sz w:val="24"/>
          <w:szCs w:val="24"/>
        </w:rPr>
        <w:t xml:space="preserve">or </w:t>
      </w:r>
      <w:r w:rsidRPr="00B13B06">
        <w:rPr>
          <w:rFonts w:ascii="Times New Roman" w:hAnsi="Times New Roman" w:cs="Times New Roman"/>
          <w:sz w:val="24"/>
          <w:szCs w:val="24"/>
        </w:rPr>
        <w:t>to obtain a photocopy of a particular part or monograph for personal study or research (but not for commercial purposes), at a usual cost of $16.50 per request (enquiries should be made with local libraries, State libraries and the National Library).</w:t>
      </w:r>
    </w:p>
    <w:p w14:paraId="113CA7A3"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5265C58B" w14:textId="56DB8B99" w:rsidR="0050197A" w:rsidRDefault="0050197A" w:rsidP="001A7C1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2004 version of the European Pharmacopoeia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8" w:history="1">
        <w:r w:rsidRPr="00BB66B5">
          <w:rPr>
            <w:rStyle w:val="Hyperlink"/>
            <w:rFonts w:ascii="Times New Roman" w:hAnsi="Times New Roman" w:cs="Times New Roman"/>
            <w:sz w:val="24"/>
            <w:szCs w:val="24"/>
          </w:rPr>
          <w:t>www.openlibrary.org/books/OL22071008M/European_pharmacopoeia</w:t>
        </w:r>
      </w:hyperlink>
      <w:r w:rsidRPr="00331C88">
        <w:rPr>
          <w:rFonts w:ascii="Times New Roman" w:hAnsi="Times New Roman" w:cs="Times New Roman"/>
          <w:sz w:val="24"/>
          <w:szCs w:val="24"/>
        </w:rPr>
        <w:t>),</w:t>
      </w:r>
      <w:r>
        <w:rPr>
          <w:rFonts w:ascii="Times New Roman" w:hAnsi="Times New Roman" w:cs="Times New Roman"/>
          <w:sz w:val="24"/>
          <w:szCs w:val="24"/>
        </w:rPr>
        <w:t xml:space="preserve"> </w:t>
      </w:r>
      <w:r w:rsidRPr="00331C88">
        <w:rPr>
          <w:rFonts w:ascii="Times New Roman" w:hAnsi="Times New Roman" w:cs="Times New Roman"/>
          <w:sz w:val="24"/>
          <w:szCs w:val="24"/>
        </w:rPr>
        <w:t>and that access to</w:t>
      </w:r>
      <w:r>
        <w:rPr>
          <w:rFonts w:ascii="Times New Roman" w:hAnsi="Times New Roman" w:cs="Times New Roman"/>
          <w:sz w:val="24"/>
          <w:szCs w:val="24"/>
        </w:rPr>
        <w:t> </w:t>
      </w:r>
      <w:r w:rsidRPr="00331C88">
        <w:rPr>
          <w:rFonts w:ascii="Times New Roman" w:hAnsi="Times New Roman" w:cs="Times New Roman"/>
          <w:sz w:val="24"/>
          <w:szCs w:val="24"/>
        </w:rPr>
        <w:t>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Western Sydney University</w:t>
      </w:r>
      <w:r>
        <w:rPr>
          <w:rFonts w:ascii="Times New Roman" w:hAnsi="Times New Roman" w:cs="Times New Roman"/>
          <w:sz w:val="24"/>
          <w:szCs w:val="24"/>
        </w:rPr>
        <w:t>, which are</w:t>
      </w:r>
      <w:r w:rsidRPr="00331C88">
        <w:rPr>
          <w:rFonts w:ascii="Times New Roman" w:hAnsi="Times New Roman" w:cs="Times New Roman"/>
          <w:sz w:val="24"/>
          <w:szCs w:val="24"/>
        </w:rPr>
        <w:t xml:space="preserve"> both open to the public.</w:t>
      </w:r>
    </w:p>
    <w:p w14:paraId="7C177C36"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25583419" w14:textId="0BB66386"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Details of the Determination are set out in </w:t>
      </w:r>
      <w:r w:rsidRPr="006B644D">
        <w:rPr>
          <w:rFonts w:ascii="Times New Roman" w:hAnsi="Times New Roman" w:cs="Times New Roman"/>
          <w:b/>
          <w:sz w:val="24"/>
          <w:szCs w:val="24"/>
        </w:rPr>
        <w:t>Attachment A</w:t>
      </w:r>
      <w:r w:rsidRPr="00953BDD">
        <w:rPr>
          <w:rFonts w:ascii="Times New Roman" w:hAnsi="Times New Roman" w:cs="Times New Roman"/>
          <w:sz w:val="24"/>
          <w:szCs w:val="24"/>
        </w:rPr>
        <w:t>.</w:t>
      </w:r>
    </w:p>
    <w:p w14:paraId="6F14BAE2"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3D36B50" w14:textId="216C7BAB" w:rsidR="0050197A" w:rsidRDefault="0050197A" w:rsidP="001A7C14">
      <w:pPr>
        <w:autoSpaceDE w:val="0"/>
        <w:autoSpaceDN w:val="0"/>
        <w:adjustRightInd w:val="0"/>
        <w:spacing w:after="0"/>
        <w:rPr>
          <w:rFonts w:ascii="Times New Roman" w:hAnsi="Times New Roman" w:cs="Times New Roman"/>
          <w:sz w:val="24"/>
          <w:szCs w:val="24"/>
        </w:rPr>
      </w:pPr>
      <w:r w:rsidRPr="00953BDD">
        <w:rPr>
          <w:rFonts w:ascii="Times New Roman" w:hAnsi="Times New Roman" w:cs="Times New Roman"/>
          <w:sz w:val="24"/>
          <w:szCs w:val="24"/>
        </w:rPr>
        <w:t xml:space="preserve">The Determination is compatible with the human rights and freedoms recognised or declared under section 3 of the </w:t>
      </w:r>
      <w:r w:rsidRPr="00953BDD">
        <w:rPr>
          <w:rFonts w:ascii="Times New Roman" w:hAnsi="Times New Roman" w:cs="Times New Roman"/>
          <w:i/>
          <w:sz w:val="24"/>
          <w:szCs w:val="24"/>
        </w:rPr>
        <w:t>Human Rights (Parliamentary Scrutiny) Act 2011</w:t>
      </w:r>
      <w:r w:rsidRPr="00953BDD">
        <w:rPr>
          <w:rFonts w:ascii="Times New Roman" w:hAnsi="Times New Roman" w:cs="Times New Roman"/>
          <w:sz w:val="24"/>
          <w:szCs w:val="24"/>
        </w:rPr>
        <w:t>.</w:t>
      </w:r>
      <w:r w:rsidR="00E60C26">
        <w:rPr>
          <w:rFonts w:ascii="Times New Roman" w:hAnsi="Times New Roman" w:cs="Times New Roman"/>
          <w:sz w:val="24"/>
          <w:szCs w:val="24"/>
        </w:rPr>
        <w:t xml:space="preserve"> </w:t>
      </w:r>
      <w:r w:rsidRPr="00953BDD">
        <w:rPr>
          <w:rFonts w:ascii="Times New Roman" w:hAnsi="Times New Roman" w:cs="Times New Roman"/>
          <w:sz w:val="24"/>
          <w:szCs w:val="24"/>
        </w:rPr>
        <w:t xml:space="preserve"> A full statement of compatibility is set out in </w:t>
      </w:r>
      <w:r w:rsidRPr="006B644D">
        <w:rPr>
          <w:rFonts w:ascii="Times New Roman" w:hAnsi="Times New Roman" w:cs="Times New Roman"/>
          <w:b/>
          <w:sz w:val="24"/>
          <w:szCs w:val="24"/>
        </w:rPr>
        <w:t>Attachment B</w:t>
      </w:r>
      <w:r w:rsidRPr="00953BDD">
        <w:rPr>
          <w:rFonts w:ascii="Times New Roman" w:hAnsi="Times New Roman" w:cs="Times New Roman"/>
          <w:sz w:val="24"/>
          <w:szCs w:val="24"/>
        </w:rPr>
        <w:t>.</w:t>
      </w:r>
    </w:p>
    <w:p w14:paraId="59D103B8" w14:textId="77777777" w:rsidR="005B70D2" w:rsidRPr="007A52D3" w:rsidRDefault="005B70D2" w:rsidP="001A7C14">
      <w:pPr>
        <w:autoSpaceDE w:val="0"/>
        <w:autoSpaceDN w:val="0"/>
        <w:adjustRightInd w:val="0"/>
        <w:spacing w:after="0"/>
        <w:rPr>
          <w:rFonts w:ascii="Times New Roman" w:hAnsi="Times New Roman" w:cs="Times New Roman"/>
          <w:sz w:val="24"/>
          <w:szCs w:val="24"/>
        </w:rPr>
      </w:pPr>
    </w:p>
    <w:p w14:paraId="42B80A9F" w14:textId="52F58174" w:rsidR="005B70D2"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953BDD">
        <w:rPr>
          <w:rFonts w:ascii="Times New Roman" w:hAnsi="Times New Roman" w:cs="Times New Roman"/>
          <w:sz w:val="24"/>
          <w:szCs w:val="24"/>
        </w:rPr>
        <w:t xml:space="preserve">This Determination is a disallowable legislative </w:t>
      </w:r>
      <w:r w:rsidRPr="008929E8">
        <w:rPr>
          <w:rFonts w:ascii="Times New Roman" w:hAnsi="Times New Roman" w:cs="Times New Roman"/>
          <w:sz w:val="24"/>
          <w:szCs w:val="24"/>
        </w:rPr>
        <w:t xml:space="preserve">instrument </w:t>
      </w:r>
      <w:r w:rsidRPr="00D01BFB">
        <w:rPr>
          <w:rFonts w:ascii="Times New Roman" w:hAnsi="Times New Roman" w:cs="Times New Roman"/>
          <w:sz w:val="24"/>
          <w:szCs w:val="24"/>
        </w:rPr>
        <w:t xml:space="preserve">for the purposes of the </w:t>
      </w:r>
      <w:r w:rsidRPr="00D01BFB">
        <w:rPr>
          <w:rFonts w:ascii="Times New Roman" w:hAnsi="Times New Roman" w:cs="Times New Roman"/>
          <w:i/>
          <w:sz w:val="24"/>
          <w:szCs w:val="24"/>
        </w:rPr>
        <w:t>Legislation Act 2003</w:t>
      </w:r>
      <w:r w:rsidRPr="008929E8">
        <w:rPr>
          <w:rFonts w:ascii="Times New Roman" w:hAnsi="Times New Roman" w:cs="Times New Roman"/>
          <w:sz w:val="24"/>
          <w:szCs w:val="24"/>
        </w:rPr>
        <w:t>,</w:t>
      </w:r>
      <w:r>
        <w:rPr>
          <w:rFonts w:ascii="Times New Roman" w:hAnsi="Times New Roman" w:cs="Times New Roman"/>
          <w:sz w:val="24"/>
          <w:szCs w:val="24"/>
        </w:rPr>
        <w:t xml:space="preserve"> </w:t>
      </w:r>
      <w:r w:rsidRPr="009F78E6">
        <w:rPr>
          <w:rFonts w:ascii="Times New Roman" w:hAnsi="Times New Roman" w:cs="Times New Roman"/>
          <w:sz w:val="24"/>
          <w:szCs w:val="24"/>
        </w:rPr>
        <w:t xml:space="preserve">and </w:t>
      </w:r>
      <w:r w:rsidRPr="00B16682">
        <w:rPr>
          <w:rFonts w:ascii="Times New Roman" w:hAnsi="Times New Roman" w:cs="Times New Roman"/>
          <w:sz w:val="24"/>
          <w:szCs w:val="24"/>
        </w:rPr>
        <w:t xml:space="preserve">commences </w:t>
      </w:r>
      <w:r w:rsidR="005119A8">
        <w:rPr>
          <w:rFonts w:ascii="Times New Roman" w:hAnsi="Times New Roman" w:cs="Times New Roman"/>
          <w:sz w:val="24"/>
          <w:szCs w:val="24"/>
        </w:rPr>
        <w:t xml:space="preserve">on </w:t>
      </w:r>
      <w:r w:rsidR="008C2503">
        <w:rPr>
          <w:rFonts w:ascii="Times New Roman" w:hAnsi="Times New Roman" w:cs="Times New Roman"/>
          <w:sz w:val="24"/>
          <w:szCs w:val="24"/>
        </w:rPr>
        <w:t>1 March 2022</w:t>
      </w:r>
      <w:r w:rsidRPr="00B16682">
        <w:rPr>
          <w:rFonts w:ascii="Times New Roman" w:eastAsia="Times New Roman" w:hAnsi="Times New Roman" w:cs="Times New Roman"/>
          <w:sz w:val="24"/>
          <w:szCs w:val="24"/>
          <w:lang w:eastAsia="en-AU"/>
        </w:rPr>
        <w:t>.</w:t>
      </w:r>
    </w:p>
    <w:p w14:paraId="4F8CA9DD" w14:textId="5306B0C3" w:rsidR="0029115B" w:rsidRDefault="0050197A" w:rsidP="00ED7851">
      <w:pPr>
        <w:spacing w:before="100" w:beforeAutospacing="1" w:after="100" w:afterAutospacing="1" w:line="240" w:lineRule="auto"/>
        <w:jc w:val="right"/>
        <w:rPr>
          <w:rFonts w:ascii="Times New Roman" w:eastAsia="Times New Roman" w:hAnsi="Times New Roman" w:cs="Times New Roman"/>
          <w:b/>
          <w:sz w:val="24"/>
          <w:szCs w:val="24"/>
          <w:lang w:eastAsia="en-AU"/>
        </w:rPr>
      </w:pPr>
      <w:r w:rsidRPr="00CF4F5B">
        <w:rPr>
          <w:rFonts w:ascii="Times New Roman" w:eastAsia="Times New Roman" w:hAnsi="Times New Roman" w:cs="Times New Roman"/>
          <w:sz w:val="24"/>
          <w:szCs w:val="24"/>
          <w:lang w:eastAsia="en-AU"/>
        </w:rPr>
        <w:br w:type="page"/>
      </w:r>
      <w:r w:rsidR="0040312B" w:rsidRPr="0040312B">
        <w:rPr>
          <w:rFonts w:ascii="Times New Roman" w:eastAsia="Times New Roman" w:hAnsi="Times New Roman" w:cs="Times New Roman"/>
          <w:b/>
          <w:sz w:val="24"/>
          <w:szCs w:val="24"/>
          <w:lang w:eastAsia="en-AU"/>
        </w:rPr>
        <w:lastRenderedPageBreak/>
        <w:t>Attachment A</w:t>
      </w:r>
    </w:p>
    <w:p w14:paraId="625D6C8F" w14:textId="6F497AB2" w:rsidR="0040312B" w:rsidRDefault="0040312B" w:rsidP="0040312B">
      <w:pPr>
        <w:spacing w:before="100" w:beforeAutospacing="1" w:after="100" w:afterAutospacing="1"/>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w:t>
      </w:r>
      <w:r w:rsidRPr="0040312B">
        <w:rPr>
          <w:rFonts w:ascii="Times New Roman" w:eastAsia="Times New Roman" w:hAnsi="Times New Roman" w:cs="Times New Roman"/>
          <w:b/>
          <w:i/>
          <w:sz w:val="24"/>
          <w:szCs w:val="24"/>
          <w:lang w:eastAsia="en-AU"/>
        </w:rPr>
        <w:t xml:space="preserve">Therapeutic Goods (Permissible Ingredients) Determination </w:t>
      </w:r>
      <w:r w:rsidR="00045C71">
        <w:rPr>
          <w:rFonts w:ascii="Times New Roman" w:eastAsia="Times New Roman" w:hAnsi="Times New Roman" w:cs="Times New Roman"/>
          <w:b/>
          <w:i/>
          <w:sz w:val="24"/>
          <w:szCs w:val="24"/>
          <w:lang w:eastAsia="en-AU"/>
        </w:rPr>
        <w:t>(No.</w:t>
      </w:r>
      <w:r w:rsidR="00C92827">
        <w:rPr>
          <w:rFonts w:ascii="Times New Roman" w:eastAsia="Times New Roman" w:hAnsi="Times New Roman" w:cs="Times New Roman"/>
          <w:b/>
          <w:i/>
          <w:sz w:val="24"/>
          <w:szCs w:val="24"/>
          <w:lang w:eastAsia="en-AU"/>
        </w:rPr>
        <w:t xml:space="preserve"> </w:t>
      </w:r>
      <w:r w:rsidR="00272777">
        <w:rPr>
          <w:rFonts w:ascii="Times New Roman" w:eastAsia="Times New Roman" w:hAnsi="Times New Roman" w:cs="Times New Roman"/>
          <w:b/>
          <w:i/>
          <w:sz w:val="24"/>
          <w:szCs w:val="24"/>
          <w:lang w:eastAsia="en-AU"/>
        </w:rPr>
        <w:t>2</w:t>
      </w:r>
      <w:r w:rsidR="00045C71">
        <w:rPr>
          <w:rFonts w:ascii="Times New Roman" w:eastAsia="Times New Roman" w:hAnsi="Times New Roman" w:cs="Times New Roman"/>
          <w:b/>
          <w:i/>
          <w:sz w:val="24"/>
          <w:szCs w:val="24"/>
          <w:lang w:eastAsia="en-AU"/>
        </w:rPr>
        <w:t xml:space="preserve">) </w:t>
      </w:r>
      <w:r w:rsidRPr="0040312B">
        <w:rPr>
          <w:rFonts w:ascii="Times New Roman" w:eastAsia="Times New Roman" w:hAnsi="Times New Roman" w:cs="Times New Roman"/>
          <w:b/>
          <w:i/>
          <w:sz w:val="24"/>
          <w:szCs w:val="24"/>
          <w:lang w:eastAsia="en-AU"/>
        </w:rPr>
        <w:t>20</w:t>
      </w:r>
      <w:r w:rsidR="009A1C10">
        <w:rPr>
          <w:rFonts w:ascii="Times New Roman" w:eastAsia="Times New Roman" w:hAnsi="Times New Roman" w:cs="Times New Roman"/>
          <w:b/>
          <w:i/>
          <w:sz w:val="24"/>
          <w:szCs w:val="24"/>
          <w:lang w:eastAsia="en-AU"/>
        </w:rPr>
        <w:t>2</w:t>
      </w:r>
      <w:r w:rsidR="0050390C">
        <w:rPr>
          <w:rFonts w:ascii="Times New Roman" w:eastAsia="Times New Roman" w:hAnsi="Times New Roman" w:cs="Times New Roman"/>
          <w:b/>
          <w:i/>
          <w:sz w:val="24"/>
          <w:szCs w:val="24"/>
          <w:lang w:eastAsia="en-AU"/>
        </w:rPr>
        <w:t>2</w:t>
      </w:r>
    </w:p>
    <w:p w14:paraId="351A8BA8" w14:textId="5C42663F"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1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Name</w:t>
      </w:r>
    </w:p>
    <w:p w14:paraId="7A596BC1" w14:textId="77777777" w:rsidR="005B70D2" w:rsidRPr="00AD562B" w:rsidRDefault="005B70D2" w:rsidP="001A7C14">
      <w:pPr>
        <w:autoSpaceDE w:val="0"/>
        <w:autoSpaceDN w:val="0"/>
        <w:adjustRightInd w:val="0"/>
        <w:spacing w:after="0"/>
        <w:rPr>
          <w:rFonts w:ascii="Times New Roman" w:eastAsia="Times New Roman" w:hAnsi="Times New Roman" w:cs="Times New Roman"/>
          <w:b/>
          <w:bCs/>
          <w:sz w:val="24"/>
          <w:szCs w:val="24"/>
          <w:lang w:eastAsia="en-AU"/>
        </w:rPr>
      </w:pPr>
    </w:p>
    <w:p w14:paraId="566C8079" w14:textId="7D0E5400"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name of the </w:t>
      </w:r>
      <w:r w:rsidR="00C92827">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is the </w:t>
      </w:r>
      <w:r w:rsidRPr="00AE2E87">
        <w:rPr>
          <w:rFonts w:ascii="Times New Roman" w:eastAsia="Times New Roman" w:hAnsi="Times New Roman" w:cs="Times New Roman"/>
          <w:i/>
          <w:sz w:val="24"/>
          <w:szCs w:val="24"/>
          <w:lang w:eastAsia="en-AU"/>
        </w:rPr>
        <w:t xml:space="preserve">Therapeutic Goods (Permissible Ingredients) Determination </w:t>
      </w:r>
      <w:r w:rsidR="00045C71">
        <w:rPr>
          <w:rFonts w:ascii="Times New Roman" w:eastAsia="Times New Roman" w:hAnsi="Times New Roman" w:cs="Times New Roman"/>
          <w:i/>
          <w:sz w:val="24"/>
          <w:szCs w:val="24"/>
          <w:lang w:eastAsia="en-AU"/>
        </w:rPr>
        <w:t>(No.</w:t>
      </w:r>
      <w:r w:rsidR="00C92827">
        <w:rPr>
          <w:rFonts w:ascii="Times New Roman" w:eastAsia="Times New Roman" w:hAnsi="Times New Roman" w:cs="Times New Roman"/>
          <w:i/>
          <w:sz w:val="24"/>
          <w:szCs w:val="24"/>
          <w:lang w:eastAsia="en-AU"/>
        </w:rPr>
        <w:t xml:space="preserve"> </w:t>
      </w:r>
      <w:r w:rsidR="00272777">
        <w:rPr>
          <w:rFonts w:ascii="Times New Roman" w:eastAsia="Times New Roman" w:hAnsi="Times New Roman" w:cs="Times New Roman"/>
          <w:i/>
          <w:sz w:val="24"/>
          <w:szCs w:val="24"/>
          <w:lang w:eastAsia="en-AU"/>
        </w:rPr>
        <w:t>2</w:t>
      </w:r>
      <w:r w:rsidR="00045C71">
        <w:rPr>
          <w:rFonts w:ascii="Times New Roman" w:eastAsia="Times New Roman" w:hAnsi="Times New Roman" w:cs="Times New Roman"/>
          <w:i/>
          <w:sz w:val="24"/>
          <w:szCs w:val="24"/>
          <w:lang w:eastAsia="en-AU"/>
        </w:rPr>
        <w:t xml:space="preserve">) </w:t>
      </w:r>
      <w:r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50390C">
        <w:rPr>
          <w:rFonts w:ascii="Times New Roman" w:eastAsia="Times New Roman" w:hAnsi="Times New Roman" w:cs="Times New Roman"/>
          <w:i/>
          <w:sz w:val="24"/>
          <w:szCs w:val="24"/>
          <w:lang w:eastAsia="en-AU"/>
        </w:rPr>
        <w:t>2</w:t>
      </w:r>
      <w:r w:rsidR="00AE2E87">
        <w:rPr>
          <w:rFonts w:ascii="Times New Roman" w:eastAsia="Times New Roman" w:hAnsi="Times New Roman" w:cs="Times New Roman"/>
          <w:sz w:val="24"/>
          <w:szCs w:val="24"/>
          <w:lang w:eastAsia="en-AU"/>
        </w:rPr>
        <w:t xml:space="preserve"> (“the Determination”)</w:t>
      </w:r>
      <w:r>
        <w:rPr>
          <w:rFonts w:ascii="Times New Roman" w:eastAsia="Times New Roman" w:hAnsi="Times New Roman" w:cs="Times New Roman"/>
          <w:sz w:val="24"/>
          <w:szCs w:val="24"/>
          <w:lang w:eastAsia="en-AU"/>
        </w:rPr>
        <w:t>.</w:t>
      </w:r>
    </w:p>
    <w:p w14:paraId="2D769B9C"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1B8996FF" w14:textId="470210B1"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Section 2</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 xml:space="preserve"> Commencement</w:t>
      </w:r>
    </w:p>
    <w:p w14:paraId="3547213B" w14:textId="77777777" w:rsidR="0036611B" w:rsidRPr="00AD562B" w:rsidRDefault="0036611B" w:rsidP="001A7C14">
      <w:pPr>
        <w:autoSpaceDE w:val="0"/>
        <w:autoSpaceDN w:val="0"/>
        <w:adjustRightInd w:val="0"/>
        <w:spacing w:after="0"/>
        <w:rPr>
          <w:rFonts w:ascii="Times New Roman" w:eastAsia="Times New Roman" w:hAnsi="Times New Roman" w:cs="Times New Roman"/>
          <w:b/>
          <w:bCs/>
          <w:sz w:val="24"/>
          <w:szCs w:val="24"/>
          <w:lang w:eastAsia="en-AU"/>
        </w:rPr>
      </w:pPr>
    </w:p>
    <w:p w14:paraId="087283D7" w14:textId="2F7410E4" w:rsidR="0050197A" w:rsidRPr="007A52D3" w:rsidRDefault="0050197A" w:rsidP="001A7C14">
      <w:pPr>
        <w:autoSpaceDE w:val="0"/>
        <w:autoSpaceDN w:val="0"/>
        <w:adjustRightInd w:val="0"/>
        <w:spacing w:after="0"/>
        <w:rPr>
          <w:rFonts w:ascii="Times New Roman" w:eastAsia="Times New Roman" w:hAnsi="Times New Roman" w:cs="Times New Roman"/>
          <w:sz w:val="24"/>
          <w:szCs w:val="24"/>
          <w:lang w:eastAsia="en-AU"/>
        </w:rPr>
      </w:pPr>
      <w:r w:rsidRPr="00607014">
        <w:rPr>
          <w:rFonts w:ascii="Times New Roman" w:eastAsia="Times New Roman" w:hAnsi="Times New Roman" w:cs="Times New Roman"/>
          <w:sz w:val="24"/>
          <w:szCs w:val="24"/>
          <w:lang w:eastAsia="en-AU"/>
        </w:rPr>
        <w:t xml:space="preserve">This section provides that the Determination </w:t>
      </w:r>
      <w:r w:rsidR="00FB4355" w:rsidRPr="00607014">
        <w:rPr>
          <w:rFonts w:ascii="Times New Roman" w:eastAsia="Times New Roman" w:hAnsi="Times New Roman" w:cs="Times New Roman"/>
          <w:sz w:val="24"/>
          <w:szCs w:val="24"/>
          <w:lang w:eastAsia="en-AU"/>
        </w:rPr>
        <w:t xml:space="preserve">commences </w:t>
      </w:r>
      <w:r w:rsidR="00C978DE">
        <w:rPr>
          <w:rFonts w:ascii="Times New Roman" w:eastAsia="Times New Roman" w:hAnsi="Times New Roman" w:cs="Times New Roman"/>
          <w:sz w:val="24"/>
          <w:szCs w:val="24"/>
          <w:lang w:eastAsia="en-AU"/>
        </w:rPr>
        <w:t xml:space="preserve">on </w:t>
      </w:r>
      <w:r w:rsidR="00384E0A">
        <w:rPr>
          <w:rFonts w:ascii="Times New Roman" w:eastAsia="Times New Roman" w:hAnsi="Times New Roman" w:cs="Times New Roman"/>
          <w:sz w:val="24"/>
          <w:szCs w:val="24"/>
          <w:lang w:eastAsia="en-AU"/>
        </w:rPr>
        <w:t>1 March 2022</w:t>
      </w:r>
      <w:r w:rsidRPr="00607014">
        <w:rPr>
          <w:rFonts w:ascii="Times New Roman" w:eastAsia="Times New Roman" w:hAnsi="Times New Roman" w:cs="Times New Roman"/>
          <w:sz w:val="24"/>
          <w:szCs w:val="24"/>
          <w:lang w:eastAsia="en-AU"/>
        </w:rPr>
        <w:t>.</w:t>
      </w:r>
    </w:p>
    <w:p w14:paraId="0771BF32" w14:textId="77777777" w:rsidR="0036611B" w:rsidRPr="007A52D3"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EEDC031" w14:textId="3B94520C"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40312B">
        <w:rPr>
          <w:rFonts w:ascii="Times New Roman" w:eastAsia="Times New Roman" w:hAnsi="Times New Roman" w:cs="Times New Roman"/>
          <w:b/>
          <w:sz w:val="24"/>
          <w:szCs w:val="24"/>
          <w:lang w:eastAsia="en-AU"/>
        </w:rPr>
        <w:t xml:space="preserve">Section 3 </w:t>
      </w:r>
      <w:r w:rsidR="008F4502">
        <w:rPr>
          <w:rFonts w:ascii="Times New Roman" w:eastAsia="Times New Roman" w:hAnsi="Times New Roman" w:cs="Times New Roman"/>
          <w:b/>
          <w:sz w:val="24"/>
          <w:szCs w:val="24"/>
          <w:lang w:eastAsia="en-AU"/>
        </w:rPr>
        <w:t xml:space="preserve"> </w:t>
      </w:r>
      <w:r w:rsidRPr="0040312B">
        <w:rPr>
          <w:rFonts w:ascii="Times New Roman" w:eastAsia="Times New Roman" w:hAnsi="Times New Roman" w:cs="Times New Roman"/>
          <w:b/>
          <w:sz w:val="24"/>
          <w:szCs w:val="24"/>
          <w:lang w:eastAsia="en-AU"/>
        </w:rPr>
        <w:t>Authority</w:t>
      </w:r>
    </w:p>
    <w:p w14:paraId="441C748B" w14:textId="77777777" w:rsidR="0036611B" w:rsidRPr="00AD562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51F2D730" w14:textId="73ADCB18" w:rsidR="0040312B" w:rsidRDefault="0040312B"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w:t>
      </w:r>
      <w:r w:rsidR="00FB4355">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26B</w:t>
      </w:r>
      <w:r w:rsidR="001B7ED3">
        <w:rPr>
          <w:rFonts w:ascii="Times New Roman" w:eastAsia="Times New Roman" w:hAnsi="Times New Roman" w:cs="Times New Roman"/>
          <w:sz w:val="24"/>
          <w:szCs w:val="24"/>
          <w:lang w:eastAsia="en-AU"/>
        </w:rPr>
        <w:t>B(1)</w:t>
      </w:r>
      <w:r>
        <w:rPr>
          <w:rFonts w:ascii="Times New Roman" w:eastAsia="Times New Roman" w:hAnsi="Times New Roman" w:cs="Times New Roman"/>
          <w:sz w:val="24"/>
          <w:szCs w:val="24"/>
          <w:lang w:eastAsia="en-AU"/>
        </w:rPr>
        <w:t xml:space="preserve"> of the</w:t>
      </w:r>
      <w:r w:rsidR="00C92827">
        <w:rPr>
          <w:rFonts w:ascii="Times New Roman" w:eastAsia="Times New Roman" w:hAnsi="Times New Roman" w:cs="Times New Roman"/>
          <w:sz w:val="24"/>
          <w:szCs w:val="24"/>
          <w:lang w:eastAsia="en-AU"/>
        </w:rPr>
        <w:t xml:space="preserve"> </w:t>
      </w:r>
      <w:r w:rsidR="00C92827" w:rsidRPr="00AC41A5">
        <w:rPr>
          <w:rFonts w:ascii="Times New Roman" w:eastAsia="Times New Roman" w:hAnsi="Times New Roman" w:cs="Times New Roman"/>
          <w:i/>
          <w:sz w:val="24"/>
          <w:szCs w:val="24"/>
          <w:lang w:eastAsia="en-AU"/>
        </w:rPr>
        <w:t>Therapeutic Goods Act 1989</w:t>
      </w:r>
      <w:r w:rsidR="00C92827">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Act</w:t>
      </w:r>
      <w:r w:rsidR="00C9282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6D555B37"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6C363FE6" w14:textId="0C7158C5" w:rsidR="0040312B" w:rsidRDefault="0040312B"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Section 4</w:t>
      </w:r>
      <w:r w:rsidR="001B7ED3">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001B7ED3">
        <w:rPr>
          <w:rFonts w:ascii="Times New Roman" w:eastAsia="Times New Roman" w:hAnsi="Times New Roman" w:cs="Times New Roman"/>
          <w:b/>
          <w:sz w:val="24"/>
          <w:szCs w:val="24"/>
          <w:lang w:eastAsia="en-AU"/>
        </w:rPr>
        <w:t>Interpretation</w:t>
      </w:r>
    </w:p>
    <w:p w14:paraId="736737B5" w14:textId="77777777" w:rsidR="0036611B" w:rsidRPr="00AE2E87"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D82FB5D" w14:textId="309C7F8A"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4(1) provides definitions for a number of terms used in the Determination. These include ‘code tables’, ‘excipient’, ‘homoeopathic preparation ingredient’ and ‘TGA eBusiness Services’.</w:t>
      </w:r>
    </w:p>
    <w:p w14:paraId="7ED596F6"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DCB529C" w14:textId="6879ABE9" w:rsidR="0091180B"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The note to this section also makes it clear that a number of expressions used in the Determination have the same meaning as in the Act, for example ‘British Pharmacopoeia’, ‘European Pharmacopoeia’ and ‘United States Pharmacopeia-National Formulary’.</w:t>
      </w:r>
    </w:p>
    <w:p w14:paraId="1EC4FFBC" w14:textId="77777777" w:rsidR="0036611B" w:rsidRPr="0091180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783E573B" w14:textId="618F20D8" w:rsidR="00AE2E87" w:rsidRDefault="0091180B" w:rsidP="001A7C14">
      <w:pPr>
        <w:autoSpaceDE w:val="0"/>
        <w:autoSpaceDN w:val="0"/>
        <w:adjustRightInd w:val="0"/>
        <w:spacing w:after="0"/>
        <w:rPr>
          <w:rFonts w:ascii="Times New Roman" w:eastAsia="Times New Roman" w:hAnsi="Times New Roman" w:cs="Times New Roman"/>
          <w:sz w:val="24"/>
          <w:szCs w:val="24"/>
          <w:lang w:eastAsia="en-AU"/>
        </w:rPr>
      </w:pPr>
      <w:r w:rsidRPr="0091180B">
        <w:rPr>
          <w:rFonts w:ascii="Times New Roman" w:eastAsia="Times New Roman" w:hAnsi="Times New Roman" w:cs="Times New Roman"/>
          <w:sz w:val="24"/>
          <w:szCs w:val="24"/>
          <w:lang w:eastAsia="en-AU"/>
        </w:rPr>
        <w:t>Subsection 4(2) provides that the terms set out in closed brackets in column 4 of the table in Schedule 1 to the Determination that are associated with warning statements in relation to particular ingredients, are terms from the code tables under the heading ‘Product Warning’, and are not required to be included on the label of the medicine.</w:t>
      </w:r>
    </w:p>
    <w:p w14:paraId="4AEBDA41"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0AA57C3B" w14:textId="7B18BDB4"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5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 xml:space="preserve">Permissible ingredients </w:t>
      </w:r>
    </w:p>
    <w:p w14:paraId="7F32AE94"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99B9869" w14:textId="3750F3C7"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the ingredients specified in column 2 of the table in Schedule 1 to the Determination are specified for the purposes of paragraph 26BB(1)(a) of the Act.</w:t>
      </w:r>
    </w:p>
    <w:p w14:paraId="37A4E30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132B7BB" w14:textId="224EC9A9"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6B644D">
        <w:rPr>
          <w:rFonts w:ascii="Times New Roman" w:eastAsia="Times New Roman" w:hAnsi="Times New Roman" w:cs="Times New Roman"/>
          <w:b/>
          <w:sz w:val="24"/>
          <w:szCs w:val="24"/>
          <w:lang w:eastAsia="en-AU"/>
        </w:rPr>
        <w:t>Section 6</w:t>
      </w:r>
      <w:r w:rsidR="008F4502">
        <w:rPr>
          <w:rFonts w:ascii="Times New Roman" w:eastAsia="Times New Roman" w:hAnsi="Times New Roman" w:cs="Times New Roman"/>
          <w:b/>
          <w:sz w:val="24"/>
          <w:szCs w:val="24"/>
          <w:lang w:eastAsia="en-AU"/>
        </w:rPr>
        <w:t xml:space="preserve"> </w:t>
      </w:r>
      <w:r w:rsidRPr="006B644D">
        <w:rPr>
          <w:rFonts w:ascii="Times New Roman" w:eastAsia="Times New Roman" w:hAnsi="Times New Roman" w:cs="Times New Roman"/>
          <w:b/>
          <w:sz w:val="24"/>
          <w:szCs w:val="24"/>
          <w:lang w:eastAsia="en-AU"/>
        </w:rPr>
        <w:t xml:space="preserve"> Requirements in relation to permissible ingredients being contained in medicine</w:t>
      </w:r>
    </w:p>
    <w:p w14:paraId="439B1FCD" w14:textId="77777777" w:rsidR="0036611B" w:rsidRPr="006B644D"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01BF54A2" w14:textId="17C1522B"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for an ingredient mentioned in column 2 of an item in the table in Schedule 1 to the Determination, the requirements in paragraphs 6(a) to (c) are specified for the purposes of paragraph 26BB(1)(b) of the Act. </w:t>
      </w:r>
      <w:r w:rsidR="00E60C2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These include, for example, that the </w:t>
      </w:r>
      <w:r>
        <w:rPr>
          <w:rFonts w:ascii="Times New Roman" w:eastAsia="Times New Roman" w:hAnsi="Times New Roman" w:cs="Times New Roman"/>
          <w:sz w:val="24"/>
          <w:szCs w:val="24"/>
          <w:lang w:eastAsia="en-AU"/>
        </w:rPr>
        <w:lastRenderedPageBreak/>
        <w:t>ingredient must only be used in a medicine for a purpose specified in relation to the ingredient in column 3 of that item.</w:t>
      </w:r>
    </w:p>
    <w:p w14:paraId="6E79FE28"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241E7A35" w14:textId="620957B2" w:rsidR="001B7ED3" w:rsidRDefault="001B7ED3" w:rsidP="001A7C14">
      <w:pPr>
        <w:autoSpaceDE w:val="0"/>
        <w:autoSpaceDN w:val="0"/>
        <w:adjustRightInd w:val="0"/>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r>
        <w:rPr>
          <w:rFonts w:ascii="Times New Roman" w:eastAsia="Times New Roman" w:hAnsi="Times New Roman" w:cs="Times New Roman"/>
          <w:b/>
          <w:sz w:val="24"/>
          <w:szCs w:val="24"/>
          <w:lang w:eastAsia="en-AU"/>
        </w:rPr>
        <w:t>7</w:t>
      </w:r>
      <w:r w:rsidRPr="007B443E">
        <w:rPr>
          <w:rFonts w:ascii="Times New Roman" w:eastAsia="Times New Roman" w:hAnsi="Times New Roman" w:cs="Times New Roman"/>
          <w:b/>
          <w:sz w:val="24"/>
          <w:szCs w:val="24"/>
          <w:lang w:eastAsia="en-AU"/>
        </w:rPr>
        <w:t xml:space="preserve"> </w:t>
      </w:r>
      <w:r w:rsidR="008F4502">
        <w:rPr>
          <w:rFonts w:ascii="Times New Roman" w:eastAsia="Times New Roman" w:hAnsi="Times New Roman" w:cs="Times New Roman"/>
          <w:b/>
          <w:sz w:val="24"/>
          <w:szCs w:val="24"/>
          <w:lang w:eastAsia="en-AU"/>
        </w:rPr>
        <w:t xml:space="preserve"> </w:t>
      </w:r>
      <w:r w:rsidRPr="007B443E">
        <w:rPr>
          <w:rFonts w:ascii="Times New Roman" w:eastAsia="Times New Roman" w:hAnsi="Times New Roman" w:cs="Times New Roman"/>
          <w:b/>
          <w:sz w:val="24"/>
          <w:szCs w:val="24"/>
          <w:lang w:eastAsia="en-AU"/>
        </w:rPr>
        <w:t>Repeals</w:t>
      </w:r>
    </w:p>
    <w:p w14:paraId="1B762AF2" w14:textId="77777777" w:rsidR="0036611B" w:rsidRPr="007B443E"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4043154E" w14:textId="50AA2038" w:rsidR="001B7ED3" w:rsidRDefault="001B7ED3" w:rsidP="001A7C14">
      <w:pPr>
        <w:autoSpaceDE w:val="0"/>
        <w:autoSpaceDN w:val="0"/>
        <w:adjustRightInd w:val="0"/>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w:t>
      </w:r>
      <w:r w:rsidR="00410762">
        <w:rPr>
          <w:rFonts w:ascii="Times New Roman" w:eastAsia="Times New Roman" w:hAnsi="Times New Roman" w:cs="Times New Roman"/>
          <w:sz w:val="24"/>
          <w:szCs w:val="24"/>
          <w:lang w:eastAsia="en-AU"/>
        </w:rPr>
        <w:t xml:space="preserve">the </w:t>
      </w:r>
      <w:r w:rsidR="00410762" w:rsidRPr="00CA2F70">
        <w:rPr>
          <w:rFonts w:ascii="Times New Roman" w:eastAsia="Times New Roman" w:hAnsi="Times New Roman" w:cs="Times New Roman"/>
          <w:i/>
          <w:iCs/>
          <w:sz w:val="24"/>
          <w:szCs w:val="24"/>
          <w:lang w:eastAsia="en-AU"/>
        </w:rPr>
        <w:t>Therapeutic Goods (Permissible Ingredients) Determination (No. </w:t>
      </w:r>
      <w:r w:rsidR="00272777">
        <w:rPr>
          <w:rFonts w:ascii="Times New Roman" w:eastAsia="Times New Roman" w:hAnsi="Times New Roman" w:cs="Times New Roman"/>
          <w:i/>
          <w:iCs/>
          <w:sz w:val="24"/>
          <w:szCs w:val="24"/>
          <w:lang w:eastAsia="en-AU"/>
        </w:rPr>
        <w:t>1</w:t>
      </w:r>
      <w:r w:rsidR="00410762" w:rsidRPr="00CA2F70">
        <w:rPr>
          <w:rFonts w:ascii="Times New Roman" w:eastAsia="Times New Roman" w:hAnsi="Times New Roman" w:cs="Times New Roman"/>
          <w:i/>
          <w:iCs/>
          <w:sz w:val="24"/>
          <w:szCs w:val="24"/>
          <w:lang w:eastAsia="en-AU"/>
        </w:rPr>
        <w:t>) 20</w:t>
      </w:r>
      <w:r w:rsidR="00410762">
        <w:rPr>
          <w:rFonts w:ascii="Times New Roman" w:eastAsia="Times New Roman" w:hAnsi="Times New Roman" w:cs="Times New Roman"/>
          <w:i/>
          <w:iCs/>
          <w:sz w:val="24"/>
          <w:szCs w:val="24"/>
          <w:lang w:eastAsia="en-AU"/>
        </w:rPr>
        <w:t>2</w:t>
      </w:r>
      <w:r w:rsidR="00272777">
        <w:rPr>
          <w:rFonts w:ascii="Times New Roman" w:eastAsia="Times New Roman" w:hAnsi="Times New Roman" w:cs="Times New Roman"/>
          <w:i/>
          <w:iCs/>
          <w:sz w:val="24"/>
          <w:szCs w:val="24"/>
          <w:lang w:eastAsia="en-AU"/>
        </w:rPr>
        <w:t>2</w:t>
      </w:r>
      <w:r w:rsidR="00444DEC">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sz w:val="24"/>
          <w:szCs w:val="24"/>
          <w:lang w:eastAsia="en-AU"/>
        </w:rPr>
        <w:t>is repealed.</w:t>
      </w:r>
    </w:p>
    <w:p w14:paraId="74A903C6" w14:textId="77777777" w:rsidR="0036611B" w:rsidRDefault="0036611B" w:rsidP="001A7C14">
      <w:pPr>
        <w:autoSpaceDE w:val="0"/>
        <w:autoSpaceDN w:val="0"/>
        <w:adjustRightInd w:val="0"/>
        <w:spacing w:after="0"/>
        <w:rPr>
          <w:rFonts w:ascii="Times New Roman" w:eastAsia="Times New Roman" w:hAnsi="Times New Roman" w:cs="Times New Roman"/>
          <w:sz w:val="24"/>
          <w:szCs w:val="24"/>
          <w:lang w:eastAsia="en-AU"/>
        </w:rPr>
      </w:pPr>
    </w:p>
    <w:p w14:paraId="3AC09063" w14:textId="3016E9C9" w:rsidR="00AE2E87" w:rsidRDefault="00AE2E87" w:rsidP="001A7C14">
      <w:pPr>
        <w:autoSpaceDE w:val="0"/>
        <w:autoSpaceDN w:val="0"/>
        <w:adjustRightInd w:val="0"/>
        <w:spacing w:after="0"/>
        <w:rPr>
          <w:rFonts w:ascii="Times New Roman" w:eastAsia="Times New Roman" w:hAnsi="Times New Roman" w:cs="Times New Roman"/>
          <w:b/>
          <w:sz w:val="24"/>
          <w:szCs w:val="24"/>
          <w:lang w:eastAsia="en-AU"/>
        </w:rPr>
      </w:pPr>
      <w:r w:rsidRPr="00AE2E87">
        <w:rPr>
          <w:rFonts w:ascii="Times New Roman" w:eastAsia="Times New Roman" w:hAnsi="Times New Roman" w:cs="Times New Roman"/>
          <w:b/>
          <w:sz w:val="24"/>
          <w:szCs w:val="24"/>
          <w:lang w:eastAsia="en-AU"/>
        </w:rPr>
        <w:t xml:space="preserve">Schedule 1 </w:t>
      </w:r>
      <w:r>
        <w:rPr>
          <w:rFonts w:ascii="Times New Roman" w:eastAsia="Times New Roman" w:hAnsi="Times New Roman" w:cs="Times New Roman"/>
          <w:b/>
          <w:sz w:val="24"/>
          <w:szCs w:val="24"/>
          <w:lang w:eastAsia="en-AU"/>
        </w:rPr>
        <w:t>–</w:t>
      </w:r>
      <w:r w:rsidRPr="00AE2E87">
        <w:rPr>
          <w:rFonts w:ascii="Times New Roman" w:eastAsia="Times New Roman" w:hAnsi="Times New Roman" w:cs="Times New Roman"/>
          <w:b/>
          <w:sz w:val="24"/>
          <w:szCs w:val="24"/>
          <w:lang w:eastAsia="en-AU"/>
        </w:rPr>
        <w:t xml:space="preserve"> </w:t>
      </w:r>
      <w:r w:rsidR="0091180B" w:rsidRPr="0091180B">
        <w:rPr>
          <w:rFonts w:ascii="Times New Roman" w:eastAsia="Times New Roman" w:hAnsi="Times New Roman" w:cs="Times New Roman"/>
          <w:b/>
          <w:sz w:val="24"/>
          <w:szCs w:val="24"/>
          <w:lang w:eastAsia="en-AU"/>
        </w:rPr>
        <w:t>Specified permissible ingredients and requirements applying to these ingredients when contained in a medicine</w:t>
      </w:r>
    </w:p>
    <w:p w14:paraId="7A138953" w14:textId="77777777" w:rsidR="0036611B" w:rsidRDefault="0036611B" w:rsidP="001A7C14">
      <w:pPr>
        <w:autoSpaceDE w:val="0"/>
        <w:autoSpaceDN w:val="0"/>
        <w:adjustRightInd w:val="0"/>
        <w:spacing w:after="0"/>
        <w:rPr>
          <w:rFonts w:ascii="Times New Roman" w:eastAsia="Times New Roman" w:hAnsi="Times New Roman" w:cs="Times New Roman"/>
          <w:b/>
          <w:sz w:val="24"/>
          <w:szCs w:val="24"/>
          <w:lang w:eastAsia="en-AU"/>
        </w:rPr>
      </w:pPr>
    </w:p>
    <w:p w14:paraId="443DB472" w14:textId="12B8B4D3" w:rsidR="0036611B" w:rsidRPr="00607014" w:rsidRDefault="00CA2F70" w:rsidP="001A7C14">
      <w:pPr>
        <w:autoSpaceDE w:val="0"/>
        <w:autoSpaceDN w:val="0"/>
        <w:adjustRightInd w:val="0"/>
        <w:spacing w:after="0"/>
        <w:rPr>
          <w:rFonts w:ascii="Times New Roman" w:eastAsia="Times New Roman" w:hAnsi="Times New Roman" w:cs="Times New Roman"/>
          <w:sz w:val="24"/>
          <w:szCs w:val="24"/>
          <w:lang w:eastAsia="en-AU"/>
        </w:rPr>
      </w:pPr>
      <w:r w:rsidRPr="00CA2F70">
        <w:rPr>
          <w:rFonts w:ascii="Times New Roman" w:eastAsia="Times New Roman" w:hAnsi="Times New Roman" w:cs="Times New Roman"/>
          <w:sz w:val="24"/>
          <w:szCs w:val="24"/>
          <w:lang w:eastAsia="en-AU"/>
        </w:rPr>
        <w:t>This Schedule specifies ingredients and related requirements for the purposes of sections 5 and 6 of the Determination.</w:t>
      </w:r>
    </w:p>
    <w:p w14:paraId="54F027CA" w14:textId="77777777" w:rsidR="00EF1F18" w:rsidRDefault="00EF1F18">
      <w:pPr>
        <w:spacing w:before="100" w:beforeAutospacing="1" w:after="100" w:afterAutospacing="1"/>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sz w:val="24"/>
          <w:szCs w:val="24"/>
          <w:lang w:eastAsia="en-AU"/>
        </w:rPr>
        <w:br w:type="page"/>
      </w:r>
    </w:p>
    <w:p w14:paraId="1C3354F0" w14:textId="77777777" w:rsidR="005F2423" w:rsidRPr="00A419EA" w:rsidRDefault="005F2423" w:rsidP="00607014">
      <w:pPr>
        <w:spacing w:before="100" w:beforeAutospacing="1" w:after="100" w:afterAutospacing="1"/>
        <w:jc w:val="right"/>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lastRenderedPageBreak/>
        <w:t>Attachment B</w:t>
      </w:r>
    </w:p>
    <w:p w14:paraId="784E4BE2" w14:textId="77777777" w:rsidR="00EF1F18" w:rsidRDefault="00EF1F18" w:rsidP="00720518">
      <w:pPr>
        <w:spacing w:before="120" w:after="0"/>
        <w:jc w:val="center"/>
        <w:rPr>
          <w:rFonts w:ascii="Times New Roman" w:eastAsia="Times New Roman" w:hAnsi="Times New Roman" w:cs="Times New Roman"/>
          <w:b/>
          <w:bCs/>
          <w:sz w:val="24"/>
          <w:szCs w:val="24"/>
          <w:lang w:eastAsia="en-AU"/>
        </w:rPr>
      </w:pPr>
      <w:r w:rsidRPr="005F2423">
        <w:rPr>
          <w:rFonts w:ascii="Times New Roman" w:eastAsia="Times New Roman" w:hAnsi="Times New Roman" w:cs="Times New Roman"/>
          <w:b/>
          <w:bCs/>
          <w:sz w:val="24"/>
          <w:szCs w:val="24"/>
          <w:lang w:eastAsia="en-AU"/>
        </w:rPr>
        <w:t>Statement of Compatibility with Human Rights</w:t>
      </w:r>
    </w:p>
    <w:p w14:paraId="6EC20EFD" w14:textId="77777777" w:rsidR="00510EB5" w:rsidRPr="005F2423" w:rsidRDefault="00510EB5" w:rsidP="00720518">
      <w:pPr>
        <w:spacing w:after="0"/>
        <w:jc w:val="center"/>
        <w:rPr>
          <w:rFonts w:ascii="Times New Roman" w:eastAsia="Times New Roman" w:hAnsi="Times New Roman" w:cs="Times New Roman"/>
          <w:sz w:val="24"/>
          <w:szCs w:val="24"/>
          <w:lang w:val="en-US" w:eastAsia="en-AU"/>
        </w:rPr>
      </w:pPr>
    </w:p>
    <w:p w14:paraId="25C603B6" w14:textId="52FDCCC1" w:rsidR="00510EB5" w:rsidRDefault="00EF1F18" w:rsidP="00510EB5">
      <w:pPr>
        <w:spacing w:after="0"/>
        <w:jc w:val="center"/>
        <w:rPr>
          <w:rFonts w:ascii="Times New Roman" w:eastAsia="Times New Roman" w:hAnsi="Times New Roman" w:cs="Times New Roman"/>
          <w:sz w:val="24"/>
          <w:szCs w:val="24"/>
          <w:lang w:eastAsia="en-AU"/>
        </w:rPr>
      </w:pPr>
      <w:r w:rsidRPr="00361A1D">
        <w:rPr>
          <w:rFonts w:ascii="Times New Roman" w:eastAsia="Times New Roman" w:hAnsi="Times New Roman" w:cs="Times New Roman"/>
          <w:sz w:val="24"/>
          <w:szCs w:val="24"/>
          <w:lang w:eastAsia="en-AU"/>
        </w:rPr>
        <w:t>Prepared in accordance with Part 3 of the</w:t>
      </w:r>
      <w:r>
        <w:rPr>
          <w:rFonts w:ascii="Times New Roman" w:eastAsia="Times New Roman" w:hAnsi="Times New Roman" w:cs="Times New Roman"/>
          <w:i/>
          <w:iCs/>
          <w:sz w:val="24"/>
          <w:szCs w:val="24"/>
          <w:lang w:eastAsia="en-AU"/>
        </w:rPr>
        <w:t xml:space="preserv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sidR="00207B8A">
        <w:rPr>
          <w:rFonts w:ascii="Times New Roman" w:eastAsia="Times New Roman" w:hAnsi="Times New Roman" w:cs="Times New Roman"/>
          <w:i/>
          <w:iCs/>
          <w:sz w:val="24"/>
          <w:szCs w:val="24"/>
          <w:lang w:eastAsia="en-AU"/>
        </w:rPr>
        <w:t>.</w:t>
      </w:r>
    </w:p>
    <w:p w14:paraId="38892413" w14:textId="77777777" w:rsidR="00510EB5" w:rsidRPr="00A419EA" w:rsidRDefault="00510EB5" w:rsidP="00720518">
      <w:pPr>
        <w:spacing w:after="0"/>
        <w:jc w:val="center"/>
        <w:rPr>
          <w:rFonts w:ascii="Times New Roman" w:eastAsia="Times New Roman" w:hAnsi="Times New Roman" w:cs="Times New Roman"/>
          <w:sz w:val="24"/>
          <w:szCs w:val="24"/>
          <w:lang w:val="en-US" w:eastAsia="en-AU"/>
        </w:rPr>
      </w:pPr>
    </w:p>
    <w:p w14:paraId="0039C745" w14:textId="6B76FD1C" w:rsidR="005F2423" w:rsidRDefault="005F2423" w:rsidP="00720518">
      <w:pPr>
        <w:spacing w:after="0"/>
        <w:jc w:val="center"/>
        <w:rPr>
          <w:rFonts w:ascii="Times New Roman" w:eastAsia="Times New Roman" w:hAnsi="Times New Roman" w:cs="Times New Roman"/>
          <w:sz w:val="24"/>
          <w:szCs w:val="24"/>
          <w:lang w:eastAsia="en-AU"/>
        </w:rPr>
      </w:pPr>
      <w:r w:rsidRPr="005F2423">
        <w:rPr>
          <w:rFonts w:ascii="Times New Roman" w:eastAsia="Times New Roman" w:hAnsi="Times New Roman" w:cs="Times New Roman"/>
          <w:b/>
          <w:i/>
          <w:sz w:val="24"/>
          <w:szCs w:val="24"/>
          <w:lang w:eastAsia="en-AU"/>
        </w:rPr>
        <w:t>Therapeutic Goods (Permissible Ingredients) Determination (No.</w:t>
      </w:r>
      <w:r w:rsidR="00C92827">
        <w:rPr>
          <w:rFonts w:ascii="Times New Roman" w:eastAsia="Times New Roman" w:hAnsi="Times New Roman" w:cs="Times New Roman"/>
          <w:b/>
          <w:i/>
          <w:sz w:val="24"/>
          <w:szCs w:val="24"/>
          <w:lang w:eastAsia="en-AU"/>
        </w:rPr>
        <w:t xml:space="preserve"> </w:t>
      </w:r>
      <w:r w:rsidR="00272777">
        <w:rPr>
          <w:rFonts w:ascii="Times New Roman" w:eastAsia="Times New Roman" w:hAnsi="Times New Roman" w:cs="Times New Roman"/>
          <w:b/>
          <w:i/>
          <w:sz w:val="24"/>
          <w:szCs w:val="24"/>
          <w:lang w:eastAsia="en-AU"/>
        </w:rPr>
        <w:t>2</w:t>
      </w:r>
      <w:r w:rsidRPr="005F2423">
        <w:rPr>
          <w:rFonts w:ascii="Times New Roman" w:eastAsia="Times New Roman" w:hAnsi="Times New Roman" w:cs="Times New Roman"/>
          <w:b/>
          <w:i/>
          <w:sz w:val="24"/>
          <w:szCs w:val="24"/>
          <w:lang w:eastAsia="en-AU"/>
        </w:rPr>
        <w:t>) 20</w:t>
      </w:r>
      <w:r w:rsidR="009A1C10">
        <w:rPr>
          <w:rFonts w:ascii="Times New Roman" w:eastAsia="Times New Roman" w:hAnsi="Times New Roman" w:cs="Times New Roman"/>
          <w:b/>
          <w:i/>
          <w:sz w:val="24"/>
          <w:szCs w:val="24"/>
          <w:lang w:eastAsia="en-AU"/>
        </w:rPr>
        <w:t>2</w:t>
      </w:r>
      <w:r w:rsidR="0050390C">
        <w:rPr>
          <w:rFonts w:ascii="Times New Roman" w:eastAsia="Times New Roman" w:hAnsi="Times New Roman" w:cs="Times New Roman"/>
          <w:b/>
          <w:i/>
          <w:sz w:val="24"/>
          <w:szCs w:val="24"/>
          <w:lang w:eastAsia="en-AU"/>
        </w:rPr>
        <w:t>2</w:t>
      </w:r>
    </w:p>
    <w:p w14:paraId="439E57CA" w14:textId="77777777" w:rsidR="004761AE" w:rsidRDefault="004761AE" w:rsidP="00720518">
      <w:pPr>
        <w:spacing w:after="0"/>
        <w:rPr>
          <w:rFonts w:ascii="Times New Roman" w:eastAsia="Times New Roman" w:hAnsi="Times New Roman" w:cs="Times New Roman"/>
          <w:sz w:val="24"/>
          <w:szCs w:val="24"/>
          <w:lang w:eastAsia="en-AU"/>
        </w:rPr>
      </w:pPr>
    </w:p>
    <w:p w14:paraId="2C9AC34B" w14:textId="18487A94" w:rsidR="00510EB5" w:rsidRDefault="00EF1F18" w:rsidP="00510EB5">
      <w:pPr>
        <w:spacing w:after="0"/>
        <w:contextualSpacing/>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This </w:t>
      </w:r>
      <w:r w:rsidR="005F2423">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 Rights (Parliamentary Scrutiny) Act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14:paraId="4842CD1E" w14:textId="77777777" w:rsidR="00EF1F18" w:rsidRPr="00A419EA" w:rsidRDefault="00EF1F18" w:rsidP="00720518">
      <w:pPr>
        <w:spacing w:after="0"/>
        <w:rPr>
          <w:rFonts w:ascii="Times New Roman" w:eastAsia="Times New Roman" w:hAnsi="Times New Roman" w:cs="Times New Roman"/>
          <w:sz w:val="24"/>
          <w:szCs w:val="24"/>
          <w:lang w:val="en-US" w:eastAsia="en-AU"/>
        </w:rPr>
      </w:pPr>
    </w:p>
    <w:p w14:paraId="45C3CC91" w14:textId="77777777" w:rsidR="00EF1F18" w:rsidRDefault="00EF1F18" w:rsidP="00720518">
      <w:pPr>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Overview of the Legislative Instrument</w:t>
      </w:r>
    </w:p>
    <w:p w14:paraId="038BBA42" w14:textId="77777777" w:rsidR="00005653" w:rsidRPr="00A419EA" w:rsidRDefault="00005653" w:rsidP="00720518">
      <w:pPr>
        <w:spacing w:after="0"/>
        <w:rPr>
          <w:rFonts w:ascii="Times New Roman" w:eastAsia="Times New Roman" w:hAnsi="Times New Roman" w:cs="Times New Roman"/>
          <w:sz w:val="24"/>
          <w:szCs w:val="24"/>
          <w:lang w:val="en-US" w:eastAsia="en-AU"/>
        </w:rPr>
      </w:pPr>
    </w:p>
    <w:p w14:paraId="227538D1" w14:textId="6DA4FA9A" w:rsidR="00B82A8D" w:rsidRDefault="00EF1F18" w:rsidP="002D67DA">
      <w:pPr>
        <w:autoSpaceDE w:val="0"/>
        <w:autoSpaceDN w:val="0"/>
        <w:adjustRightInd w:val="0"/>
        <w:spacing w:after="0"/>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005F2423" w:rsidRPr="00AE2E87">
        <w:rPr>
          <w:rFonts w:ascii="Times New Roman" w:eastAsia="Times New Roman" w:hAnsi="Times New Roman" w:cs="Times New Roman"/>
          <w:i/>
          <w:sz w:val="24"/>
          <w:szCs w:val="24"/>
          <w:lang w:eastAsia="en-AU"/>
        </w:rPr>
        <w:t xml:space="preserve">Therapeutic Goods (Permissible Ingredients) Determination </w:t>
      </w:r>
      <w:r w:rsidR="005F2423">
        <w:rPr>
          <w:rFonts w:ascii="Times New Roman" w:eastAsia="Times New Roman" w:hAnsi="Times New Roman" w:cs="Times New Roman"/>
          <w:i/>
          <w:sz w:val="24"/>
          <w:szCs w:val="24"/>
          <w:lang w:eastAsia="en-AU"/>
        </w:rPr>
        <w:t>(No.</w:t>
      </w:r>
      <w:r w:rsidR="0046549C">
        <w:rPr>
          <w:rFonts w:ascii="Times New Roman" w:eastAsia="Times New Roman" w:hAnsi="Times New Roman" w:cs="Times New Roman"/>
          <w:i/>
          <w:sz w:val="24"/>
          <w:szCs w:val="24"/>
          <w:lang w:eastAsia="en-AU"/>
        </w:rPr>
        <w:t xml:space="preserve"> </w:t>
      </w:r>
      <w:r w:rsidR="004C0638">
        <w:rPr>
          <w:rFonts w:ascii="Times New Roman" w:eastAsia="Times New Roman" w:hAnsi="Times New Roman" w:cs="Times New Roman"/>
          <w:i/>
          <w:sz w:val="24"/>
          <w:szCs w:val="24"/>
          <w:lang w:eastAsia="en-AU"/>
        </w:rPr>
        <w:t>2</w:t>
      </w:r>
      <w:r w:rsidR="005F2423">
        <w:rPr>
          <w:rFonts w:ascii="Times New Roman" w:eastAsia="Times New Roman" w:hAnsi="Times New Roman" w:cs="Times New Roman"/>
          <w:i/>
          <w:sz w:val="24"/>
          <w:szCs w:val="24"/>
          <w:lang w:eastAsia="en-AU"/>
        </w:rPr>
        <w:t xml:space="preserve">) </w:t>
      </w:r>
      <w:r w:rsidR="005F2423" w:rsidRPr="00AE2E87">
        <w:rPr>
          <w:rFonts w:ascii="Times New Roman" w:eastAsia="Times New Roman" w:hAnsi="Times New Roman" w:cs="Times New Roman"/>
          <w:i/>
          <w:sz w:val="24"/>
          <w:szCs w:val="24"/>
          <w:lang w:eastAsia="en-AU"/>
        </w:rPr>
        <w:t>20</w:t>
      </w:r>
      <w:r w:rsidR="009A1C10">
        <w:rPr>
          <w:rFonts w:ascii="Times New Roman" w:eastAsia="Times New Roman" w:hAnsi="Times New Roman" w:cs="Times New Roman"/>
          <w:i/>
          <w:sz w:val="24"/>
          <w:szCs w:val="24"/>
          <w:lang w:eastAsia="en-AU"/>
        </w:rPr>
        <w:t>2</w:t>
      </w:r>
      <w:r w:rsidR="0050390C">
        <w:rPr>
          <w:rFonts w:ascii="Times New Roman" w:eastAsia="Times New Roman" w:hAnsi="Times New Roman" w:cs="Times New Roman"/>
          <w:i/>
          <w:sz w:val="24"/>
          <w:szCs w:val="24"/>
          <w:lang w:eastAsia="en-AU"/>
        </w:rPr>
        <w:t>2</w:t>
      </w:r>
      <w:r w:rsidR="005F2423">
        <w:rPr>
          <w:rFonts w:ascii="Times New Roman" w:eastAsia="Times New Roman" w:hAnsi="Times New Roman" w:cs="Times New Roman"/>
          <w:sz w:val="24"/>
          <w:szCs w:val="24"/>
          <w:lang w:eastAsia="en-AU"/>
        </w:rPr>
        <w:t xml:space="preserve"> (“the instrument”)</w:t>
      </w:r>
      <w:r w:rsidRPr="00A419EA">
        <w:rPr>
          <w:rFonts w:ascii="Times New Roman" w:eastAsia="Times New Roman" w:hAnsi="Times New Roman" w:cs="Times New Roman"/>
          <w:sz w:val="24"/>
          <w:szCs w:val="24"/>
          <w:lang w:eastAsia="en-AU"/>
        </w:rPr>
        <w:t xml:space="preserve"> is made by </w:t>
      </w:r>
      <w:r w:rsidR="008E75B9">
        <w:rPr>
          <w:rFonts w:ascii="Times New Roman" w:eastAsia="Times New Roman" w:hAnsi="Times New Roman" w:cs="Times New Roman"/>
          <w:sz w:val="24"/>
          <w:szCs w:val="24"/>
          <w:lang w:eastAsia="en-AU"/>
        </w:rPr>
        <w:t xml:space="preserve">a delegate of </w:t>
      </w:r>
      <w:r w:rsidRPr="00A419EA">
        <w:rPr>
          <w:rFonts w:ascii="Times New Roman" w:eastAsia="Times New Roman" w:hAnsi="Times New Roman" w:cs="Times New Roman"/>
          <w:sz w:val="24"/>
          <w:szCs w:val="24"/>
          <w:lang w:eastAsia="en-AU"/>
        </w:rPr>
        <w:t xml:space="preserve">the Minister under </w:t>
      </w:r>
      <w:r w:rsidR="008E75B9">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section 26</w:t>
      </w:r>
      <w:proofErr w:type="gramStart"/>
      <w:r>
        <w:rPr>
          <w:rFonts w:ascii="Times New Roman" w:eastAsia="Times New Roman" w:hAnsi="Times New Roman" w:cs="Times New Roman"/>
          <w:sz w:val="24"/>
          <w:szCs w:val="24"/>
          <w:lang w:eastAsia="en-AU"/>
        </w:rPr>
        <w:t>B</w:t>
      </w:r>
      <w:r w:rsidR="001B7ED3">
        <w:rPr>
          <w:rFonts w:ascii="Times New Roman" w:eastAsia="Times New Roman" w:hAnsi="Times New Roman" w:cs="Times New Roman"/>
          <w:sz w:val="24"/>
          <w:szCs w:val="24"/>
          <w:lang w:eastAsia="en-AU"/>
        </w:rPr>
        <w:t>B</w:t>
      </w:r>
      <w:r w:rsidR="008E75B9">
        <w:rPr>
          <w:rFonts w:ascii="Times New Roman" w:eastAsia="Times New Roman" w:hAnsi="Times New Roman" w:cs="Times New Roman"/>
          <w:sz w:val="24"/>
          <w:szCs w:val="24"/>
          <w:lang w:eastAsia="en-AU"/>
        </w:rPr>
        <w:t>(</w:t>
      </w:r>
      <w:proofErr w:type="gramEnd"/>
      <w:r w:rsidR="008E75B9">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of the </w:t>
      </w:r>
      <w:r>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the Act</w:t>
      </w:r>
      <w:r w:rsidR="00B82A8D">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w:t>
      </w:r>
      <w:r w:rsidRPr="00A419EA">
        <w:rPr>
          <w:rFonts w:ascii="Times New Roman" w:eastAsia="Times New Roman" w:hAnsi="Times New Roman" w:cs="Times New Roman"/>
          <w:i/>
          <w:iCs/>
          <w:sz w:val="24"/>
          <w:szCs w:val="24"/>
          <w:lang w:eastAsia="en-AU"/>
        </w:rPr>
        <w:t>.</w:t>
      </w:r>
    </w:p>
    <w:p w14:paraId="7918988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99ABA85" w14:textId="79C70A34"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purpose of the instrument is to specify those ingredients that may be contained in a medicine that is listed in the Australian Register of Therapeutic Goods (“the Register”) under section 26A or 26AE of the Act, and requirements in relation to the inclusion of those ingredients in such medicines.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The instrument repeals and replaces the existing </w:t>
      </w:r>
      <w:r w:rsidRPr="00D731D4">
        <w:rPr>
          <w:rFonts w:ascii="Times New Roman" w:eastAsia="Times New Roman" w:hAnsi="Times New Roman" w:cs="Times New Roman"/>
          <w:i/>
          <w:iCs/>
          <w:sz w:val="24"/>
          <w:szCs w:val="24"/>
          <w:lang w:eastAsia="en-AU"/>
        </w:rPr>
        <w:t>Therapeutic Goods (Permissible I</w:t>
      </w:r>
      <w:r>
        <w:rPr>
          <w:rFonts w:ascii="Times New Roman" w:eastAsia="Times New Roman" w:hAnsi="Times New Roman" w:cs="Times New Roman"/>
          <w:i/>
          <w:iCs/>
          <w:sz w:val="24"/>
          <w:szCs w:val="24"/>
          <w:lang w:eastAsia="en-AU"/>
        </w:rPr>
        <w:t xml:space="preserve">ngredients) Determination (No. </w:t>
      </w:r>
      <w:r w:rsidR="004C0638">
        <w:rPr>
          <w:rFonts w:ascii="Times New Roman" w:eastAsia="Times New Roman" w:hAnsi="Times New Roman" w:cs="Times New Roman"/>
          <w:i/>
          <w:iCs/>
          <w:sz w:val="24"/>
          <w:szCs w:val="24"/>
          <w:lang w:eastAsia="en-AU"/>
        </w:rPr>
        <w:t>1</w:t>
      </w:r>
      <w:r w:rsidRPr="00D731D4">
        <w:rPr>
          <w:rFonts w:ascii="Times New Roman" w:eastAsia="Times New Roman" w:hAnsi="Times New Roman" w:cs="Times New Roman"/>
          <w:i/>
          <w:iCs/>
          <w:sz w:val="24"/>
          <w:szCs w:val="24"/>
          <w:lang w:eastAsia="en-AU"/>
        </w:rPr>
        <w:t xml:space="preserve">) </w:t>
      </w:r>
      <w:r w:rsidR="004C0638" w:rsidRPr="00361A1D">
        <w:rPr>
          <w:rFonts w:ascii="Times New Roman" w:eastAsia="Times New Roman" w:hAnsi="Times New Roman" w:cs="Times New Roman"/>
          <w:i/>
          <w:iCs/>
          <w:sz w:val="24"/>
          <w:szCs w:val="24"/>
          <w:lang w:eastAsia="en-AU"/>
        </w:rPr>
        <w:t>2022</w:t>
      </w:r>
      <w:r w:rsidR="004C0638" w:rsidRPr="00D731D4">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(“the former instrument”).</w:t>
      </w:r>
    </w:p>
    <w:p w14:paraId="666DC18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3FF27308" w14:textId="1A338E7E"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Medicines that are listed in the Register under section 26A of the Act are considered to be low risk and are not individually evaluated before they are listed.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When listed under section 26AE, these listed medicines are commonly referred to as ‘assessed listed medicines’.</w:t>
      </w:r>
    </w:p>
    <w:p w14:paraId="2B17E1A6"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5333D757" w14:textId="22BA20B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As the safety and quality of medicines listed under section 26A and 26AE are not evaluated by the Therapeutic Goods Administration (“the TGA”) before being given marketing approval, the Act contains mechanisms to help ensure that listed medicines are of appropriate quality and able to be used safely by consumers. </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In particular, listed medicines may only contain ingredients from an approved list of ingredients that have been evaluated in relation to their quality and safety and suitability for use in such medicines.</w:t>
      </w:r>
    </w:p>
    <w:p w14:paraId="34F8E975"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6D911DB" w14:textId="12BA5272"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Under paragraphs 26A(2)(ca) and (cb) of the Act,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specified in such a determination.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Paragraphs 26AB(2)(d) and (e) set out equivalent certification requirements for applicants seeking marketing approval for an assessed listed medicine.</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 xml:space="preserve"> A listed (or </w:t>
      </w:r>
      <w:r w:rsidRPr="00D731D4">
        <w:rPr>
          <w:rFonts w:ascii="Times New Roman" w:eastAsia="Times New Roman" w:hAnsi="Times New Roman" w:cs="Times New Roman"/>
          <w:sz w:val="24"/>
          <w:szCs w:val="24"/>
          <w:lang w:eastAsia="en-AU"/>
        </w:rPr>
        <w:lastRenderedPageBreak/>
        <w:t>assessed listed) medicine may be cancelled from the Register if it appears to the Secretary that such a certification is incorrect.</w:t>
      </w:r>
    </w:p>
    <w:p w14:paraId="328560A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08BDDD60" w14:textId="73BE044B"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Compliance with the instrument is also an important part of the criteria for eligibility for listing of medicines in the Register set out in Schedule 4 to the </w:t>
      </w:r>
      <w:r w:rsidRPr="00D731D4">
        <w:rPr>
          <w:rFonts w:ascii="Times New Roman" w:eastAsia="Times New Roman" w:hAnsi="Times New Roman" w:cs="Times New Roman"/>
          <w:i/>
          <w:iCs/>
          <w:sz w:val="24"/>
          <w:szCs w:val="24"/>
          <w:lang w:eastAsia="en-AU"/>
        </w:rPr>
        <w:t>Therapeutic Goods Regulations 1990</w:t>
      </w:r>
      <w:r w:rsidRPr="00D731D4">
        <w:rPr>
          <w:rFonts w:ascii="Times New Roman" w:eastAsia="Times New Roman" w:hAnsi="Times New Roman" w:cs="Times New Roman"/>
          <w:sz w:val="24"/>
          <w:szCs w:val="24"/>
          <w:lang w:eastAsia="en-AU"/>
        </w:rPr>
        <w:t xml:space="preserve">. </w:t>
      </w:r>
      <w:r w:rsidR="00E60C26">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Medicines that are not eligible for listing because those medicines do not comply with these criteria (including compliance with the instrument) would be required to be registered, rather than listed, in the Register (a considerably more lengthy and costly exercise).</w:t>
      </w:r>
    </w:p>
    <w:p w14:paraId="09E316CB"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76E2595A" w14:textId="5D831C57" w:rsidR="00D731D4" w:rsidRPr="00D731D4" w:rsidRDefault="00D731D4" w:rsidP="00D731D4">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The instrument is designed to provide a comprehensive list of ingredients which have been assessed or otherwise considered to be safe for use in listed (and assessed listed) medicines, and associated requirements to be followed when using particular ingredients in such products, to support the overall safety of these products for consumers.</w:t>
      </w:r>
    </w:p>
    <w:p w14:paraId="70D604CD" w14:textId="77777777"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648ADBB6" w14:textId="04A7890C" w:rsidR="00D731D4" w:rsidRPr="00D731D4" w:rsidRDefault="00D731D4" w:rsidP="00AB76CE">
      <w:pPr>
        <w:autoSpaceDE w:val="0"/>
        <w:autoSpaceDN w:val="0"/>
        <w:adjustRightInd w:val="0"/>
        <w:spacing w:after="0"/>
        <w:rPr>
          <w:rFonts w:ascii="Times New Roman" w:eastAsia="Times New Roman" w:hAnsi="Times New Roman" w:cs="Times New Roman"/>
          <w:sz w:val="24"/>
          <w:szCs w:val="24"/>
          <w:lang w:val="en-US" w:eastAsia="en-AU"/>
        </w:rPr>
      </w:pPr>
      <w:r w:rsidRPr="00D731D4">
        <w:rPr>
          <w:rFonts w:ascii="Times New Roman" w:eastAsia="Times New Roman" w:hAnsi="Times New Roman" w:cs="Times New Roman"/>
          <w:sz w:val="24"/>
          <w:szCs w:val="24"/>
          <w:lang w:eastAsia="en-AU"/>
        </w:rPr>
        <w:t xml:space="preserve">The requirements imposed under the instrument principally relate to ensuring the quality and safety of the ingredient when used. </w:t>
      </w:r>
      <w:r w:rsidR="00B8782A">
        <w:rPr>
          <w:rFonts w:ascii="Times New Roman" w:eastAsia="Times New Roman" w:hAnsi="Times New Roman" w:cs="Times New Roman"/>
          <w:sz w:val="24"/>
          <w:szCs w:val="24"/>
          <w:lang w:eastAsia="en-AU"/>
        </w:rPr>
        <w:t xml:space="preserve"> </w:t>
      </w:r>
      <w:r w:rsidRPr="00D731D4">
        <w:rPr>
          <w:rFonts w:ascii="Times New Roman" w:eastAsia="Times New Roman" w:hAnsi="Times New Roman" w:cs="Times New Roman"/>
          <w:sz w:val="24"/>
          <w:szCs w:val="24"/>
          <w:lang w:eastAsia="en-AU"/>
        </w:rPr>
        <w:t>Requirements may relate, for example, to:</w:t>
      </w:r>
    </w:p>
    <w:p w14:paraId="3E1BC56F" w14:textId="6C8A965F" w:rsidR="00D731D4" w:rsidRPr="00A521FE" w:rsidRDefault="00D731D4">
      <w:pPr>
        <w:pStyle w:val="ListParagraph"/>
        <w:numPr>
          <w:ilvl w:val="0"/>
          <w:numId w:val="12"/>
        </w:numPr>
        <w:autoSpaceDE w:val="0"/>
        <w:autoSpaceDN w:val="0"/>
        <w:adjustRightInd w:val="0"/>
        <w:spacing w:before="120" w:beforeAutospacing="0" w:after="120" w:afterAutospacing="0"/>
        <w:ind w:left="714" w:hanging="357"/>
        <w:rPr>
          <w:lang w:val="en-US"/>
        </w:rPr>
      </w:pPr>
      <w:r w:rsidRPr="00A521FE">
        <w:t>how the ingredient is to be used in the medicine, that is, as an active, homoeopathic or excipient ingredient;</w:t>
      </w:r>
    </w:p>
    <w:p w14:paraId="4A7217E1" w14:textId="7254D24B"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intended method of ingestion or application of the medicine, for example, oral or topical use;</w:t>
      </w:r>
    </w:p>
    <w:p w14:paraId="160AE370" w14:textId="2FBDB112"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source of the ingredient, or procedures to be followed in its manufacture;</w:t>
      </w:r>
    </w:p>
    <w:p w14:paraId="3AC40B37" w14:textId="547C978A"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appropriate limits on the volume or concentration of an ingredient; and</w:t>
      </w:r>
    </w:p>
    <w:p w14:paraId="0DEF1A6B" w14:textId="6C97C687" w:rsidR="00D731D4" w:rsidRPr="00A521FE" w:rsidRDefault="00D731D4" w:rsidP="008E75B9">
      <w:pPr>
        <w:pStyle w:val="ListParagraph"/>
        <w:numPr>
          <w:ilvl w:val="0"/>
          <w:numId w:val="12"/>
        </w:numPr>
        <w:autoSpaceDE w:val="0"/>
        <w:autoSpaceDN w:val="0"/>
        <w:adjustRightInd w:val="0"/>
        <w:spacing w:before="120" w:beforeAutospacing="0" w:after="120" w:afterAutospacing="0"/>
        <w:ind w:left="714" w:hanging="357"/>
        <w:rPr>
          <w:lang w:val="en-US"/>
        </w:rPr>
      </w:pPr>
      <w:r w:rsidRPr="00A521FE">
        <w:t>the inclusion of relevant safety information on product labels, for example, allergen advice or advice about the use of medicine containing the ingredient for susceptible members of the population such as children and pregnant women.</w:t>
      </w:r>
    </w:p>
    <w:p w14:paraId="3589B9EF" w14:textId="4993939A" w:rsidR="00D731D4" w:rsidRDefault="00D731D4" w:rsidP="00D731D4">
      <w:pPr>
        <w:autoSpaceDE w:val="0"/>
        <w:autoSpaceDN w:val="0"/>
        <w:adjustRightInd w:val="0"/>
        <w:spacing w:after="0"/>
        <w:rPr>
          <w:rFonts w:ascii="Times New Roman" w:eastAsia="Times New Roman" w:hAnsi="Times New Roman" w:cs="Times New Roman"/>
          <w:sz w:val="24"/>
          <w:szCs w:val="24"/>
          <w:lang w:eastAsia="en-AU"/>
        </w:rPr>
      </w:pPr>
    </w:p>
    <w:p w14:paraId="353B4AD1" w14:textId="2BED89AC" w:rsidR="00410762" w:rsidRDefault="00410762" w:rsidP="00361A1D">
      <w:pPr>
        <w:spacing w:after="0"/>
        <w:rPr>
          <w:rFonts w:ascii="Times New Roman" w:eastAsia="Times New Roman" w:hAnsi="Times New Roman" w:cs="Times New Roman"/>
          <w:sz w:val="24"/>
          <w:szCs w:val="24"/>
          <w:lang w:eastAsia="en-AU"/>
        </w:rPr>
      </w:pPr>
      <w:r w:rsidRPr="002000F0">
        <w:rPr>
          <w:rFonts w:ascii="Times New Roman" w:eastAsia="Times New Roman" w:hAnsi="Times New Roman" w:cs="Times New Roman"/>
          <w:sz w:val="24"/>
          <w:szCs w:val="24"/>
          <w:lang w:eastAsia="en-AU"/>
        </w:rPr>
        <w:t xml:space="preserve">The </w:t>
      </w:r>
      <w:r w:rsidR="00386656">
        <w:rPr>
          <w:rFonts w:ascii="Times New Roman" w:eastAsia="Times New Roman" w:hAnsi="Times New Roman" w:cs="Times New Roman"/>
          <w:sz w:val="24"/>
          <w:szCs w:val="24"/>
          <w:lang w:eastAsia="en-AU"/>
        </w:rPr>
        <w:t>instrument</w:t>
      </w:r>
      <w:r w:rsidRPr="002000F0">
        <w:rPr>
          <w:rFonts w:ascii="Times New Roman" w:eastAsia="Times New Roman" w:hAnsi="Times New Roman" w:cs="Times New Roman"/>
          <w:sz w:val="24"/>
          <w:szCs w:val="24"/>
          <w:lang w:eastAsia="en-AU"/>
        </w:rPr>
        <w:t xml:space="preserve"> incorporates a number of changes in comparison to the former </w:t>
      </w:r>
      <w:r w:rsidR="00386656">
        <w:rPr>
          <w:rFonts w:ascii="Times New Roman" w:eastAsia="Times New Roman" w:hAnsi="Times New Roman" w:cs="Times New Roman"/>
          <w:sz w:val="24"/>
          <w:szCs w:val="24"/>
          <w:lang w:eastAsia="en-AU"/>
        </w:rPr>
        <w:t>instrument</w:t>
      </w:r>
      <w:r w:rsidRPr="002000F0">
        <w:rPr>
          <w:rFonts w:ascii="Times New Roman" w:eastAsia="Times New Roman" w:hAnsi="Times New Roman" w:cs="Times New Roman"/>
          <w:sz w:val="24"/>
          <w:szCs w:val="24"/>
          <w:lang w:eastAsia="en-AU"/>
        </w:rPr>
        <w:t>, including in particular:</w:t>
      </w:r>
    </w:p>
    <w:p w14:paraId="79EAE4A6" w14:textId="77777777" w:rsidR="00361A1D" w:rsidRDefault="00361A1D" w:rsidP="00361A1D">
      <w:pPr>
        <w:pStyle w:val="ListParagraph"/>
        <w:numPr>
          <w:ilvl w:val="0"/>
          <w:numId w:val="11"/>
        </w:numPr>
      </w:pPr>
      <w:r>
        <w:t>the addition of new ingredient ‘</w:t>
      </w:r>
      <w:r w:rsidRPr="003846D3">
        <w:rPr>
          <w:i/>
          <w:iCs/>
        </w:rPr>
        <w:t>Euglena</w:t>
      </w:r>
      <w:r w:rsidRPr="003846D3">
        <w:t xml:space="preserve"> </w:t>
      </w:r>
      <w:proofErr w:type="spellStart"/>
      <w:r w:rsidRPr="003846D3">
        <w:rPr>
          <w:i/>
          <w:iCs/>
        </w:rPr>
        <w:t>gracilis</w:t>
      </w:r>
      <w:proofErr w:type="spellEnd"/>
      <w:r w:rsidRPr="003846D3">
        <w:t xml:space="preserve"> whole cell dry</w:t>
      </w:r>
      <w:r>
        <w:t>’</w:t>
      </w:r>
      <w:r w:rsidRPr="003846D3">
        <w:t xml:space="preserve"> for use in listed and assessed listed </w:t>
      </w:r>
      <w:proofErr w:type="gramStart"/>
      <w:r w:rsidRPr="003846D3">
        <w:t>medicines</w:t>
      </w:r>
      <w:r>
        <w:t>;</w:t>
      </w:r>
      <w:proofErr w:type="gramEnd"/>
    </w:p>
    <w:p w14:paraId="4352BA34" w14:textId="77777777" w:rsidR="00361A1D" w:rsidRDefault="00361A1D" w:rsidP="00361A1D">
      <w:pPr>
        <w:pStyle w:val="ListParagraph"/>
        <w:numPr>
          <w:ilvl w:val="0"/>
          <w:numId w:val="11"/>
        </w:numPr>
      </w:pPr>
      <w:r>
        <w:t>u</w:t>
      </w:r>
      <w:r w:rsidRPr="003846D3">
        <w:t>pdat</w:t>
      </w:r>
      <w:r>
        <w:t>es to</w:t>
      </w:r>
      <w:r w:rsidRPr="003846D3">
        <w:t xml:space="preserve"> the ingredient name ‘</w:t>
      </w:r>
      <w:r w:rsidRPr="003846D3">
        <w:rPr>
          <w:i/>
          <w:iCs/>
        </w:rPr>
        <w:t xml:space="preserve">Cistus </w:t>
      </w:r>
      <w:proofErr w:type="spellStart"/>
      <w:r w:rsidRPr="003846D3">
        <w:rPr>
          <w:i/>
          <w:iCs/>
        </w:rPr>
        <w:t>ladaniferus</w:t>
      </w:r>
      <w:proofErr w:type="spellEnd"/>
      <w:r w:rsidRPr="003846D3">
        <w:t>’ to ‘</w:t>
      </w:r>
      <w:r w:rsidRPr="003846D3">
        <w:rPr>
          <w:i/>
          <w:iCs/>
        </w:rPr>
        <w:t xml:space="preserve">Cistus </w:t>
      </w:r>
      <w:proofErr w:type="spellStart"/>
      <w:r w:rsidRPr="003846D3">
        <w:rPr>
          <w:i/>
          <w:iCs/>
        </w:rPr>
        <w:t>ladanifer</w:t>
      </w:r>
      <w:proofErr w:type="spellEnd"/>
      <w:r w:rsidRPr="003846D3">
        <w:t xml:space="preserve">’ to align </w:t>
      </w:r>
      <w:r>
        <w:t xml:space="preserve">the name of this ingredient in the Determination </w:t>
      </w:r>
      <w:r w:rsidRPr="003846D3">
        <w:t>with the Australian Approved Names List</w:t>
      </w:r>
      <w:r>
        <w:t>; and</w:t>
      </w:r>
    </w:p>
    <w:p w14:paraId="57BE2725" w14:textId="77777777" w:rsidR="00361A1D" w:rsidRPr="003846D3" w:rsidRDefault="00361A1D" w:rsidP="00361A1D">
      <w:pPr>
        <w:pStyle w:val="ListParagraph"/>
        <w:numPr>
          <w:ilvl w:val="0"/>
          <w:numId w:val="11"/>
        </w:numPr>
      </w:pPr>
      <w:r w:rsidRPr="003846D3">
        <w:t>updates to applicable requirements for the following ingredients:</w:t>
      </w:r>
    </w:p>
    <w:p w14:paraId="34F09082" w14:textId="77777777" w:rsidR="00361A1D" w:rsidRPr="003846D3" w:rsidRDefault="00361A1D" w:rsidP="00361A1D">
      <w:pPr>
        <w:pStyle w:val="ListParagraph"/>
        <w:numPr>
          <w:ilvl w:val="1"/>
          <w:numId w:val="11"/>
        </w:numPr>
      </w:pPr>
      <w:r w:rsidRPr="003846D3">
        <w:rPr>
          <w:i/>
          <w:iCs/>
        </w:rPr>
        <w:t xml:space="preserve">Andrographis </w:t>
      </w:r>
      <w:proofErr w:type="spellStart"/>
      <w:r w:rsidRPr="003846D3">
        <w:rPr>
          <w:i/>
          <w:iCs/>
        </w:rPr>
        <w:t>paniculata</w:t>
      </w:r>
      <w:proofErr w:type="spellEnd"/>
      <w:r w:rsidRPr="003846D3">
        <w:rPr>
          <w:i/>
          <w:iCs/>
        </w:rPr>
        <w:t xml:space="preserve">, </w:t>
      </w:r>
      <w:r w:rsidRPr="003846D3">
        <w:t>and 17 inorganic magnesium salts, to reflect the expiry of transition periods for requirements relating to those </w:t>
      </w:r>
      <w:proofErr w:type="gramStart"/>
      <w:r w:rsidRPr="003846D3">
        <w:t>ingredients;</w:t>
      </w:r>
      <w:proofErr w:type="gramEnd"/>
    </w:p>
    <w:p w14:paraId="0BE48B72" w14:textId="77777777" w:rsidR="00361A1D" w:rsidRPr="003846D3" w:rsidRDefault="00361A1D" w:rsidP="00361A1D">
      <w:pPr>
        <w:pStyle w:val="ListParagraph"/>
        <w:numPr>
          <w:ilvl w:val="1"/>
          <w:numId w:val="11"/>
        </w:numPr>
        <w:spacing w:before="0" w:beforeAutospacing="0" w:after="120" w:afterAutospacing="0"/>
        <w:contextualSpacing/>
        <w:rPr>
          <w:lang w:eastAsia="en-US"/>
        </w:rPr>
      </w:pPr>
      <w:r>
        <w:rPr>
          <w:lang w:eastAsia="en-US"/>
        </w:rPr>
        <w:t>‘s</w:t>
      </w:r>
      <w:r w:rsidRPr="003846D3">
        <w:rPr>
          <w:lang w:eastAsia="en-US"/>
        </w:rPr>
        <w:t>pray-dried glucose syrup</w:t>
      </w:r>
      <w:r>
        <w:rPr>
          <w:lang w:eastAsia="en-US"/>
        </w:rPr>
        <w:t>’</w:t>
      </w:r>
      <w:r w:rsidRPr="003846D3">
        <w:rPr>
          <w:lang w:eastAsia="en-US"/>
        </w:rPr>
        <w:t xml:space="preserve"> and </w:t>
      </w:r>
      <w:r>
        <w:rPr>
          <w:lang w:eastAsia="en-US"/>
        </w:rPr>
        <w:t>‘s</w:t>
      </w:r>
      <w:r w:rsidRPr="003846D3">
        <w:rPr>
          <w:lang w:eastAsia="en-US"/>
        </w:rPr>
        <w:t>pray-dried liquid glucose</w:t>
      </w:r>
      <w:r>
        <w:rPr>
          <w:lang w:eastAsia="en-US"/>
        </w:rPr>
        <w:t>’</w:t>
      </w:r>
      <w:r w:rsidRPr="003846D3">
        <w:rPr>
          <w:lang w:eastAsia="en-US"/>
        </w:rPr>
        <w:t xml:space="preserve">, to reflect </w:t>
      </w:r>
      <w:r>
        <w:rPr>
          <w:lang w:eastAsia="en-US"/>
        </w:rPr>
        <w:t>that these ingredients have been evaluated for, and are considered safe and suitable</w:t>
      </w:r>
      <w:r w:rsidRPr="003846D3">
        <w:rPr>
          <w:lang w:eastAsia="en-US"/>
        </w:rPr>
        <w:t xml:space="preserve"> for</w:t>
      </w:r>
      <w:r>
        <w:rPr>
          <w:lang w:eastAsia="en-US"/>
        </w:rPr>
        <w:t>,</w:t>
      </w:r>
      <w:r w:rsidRPr="003846D3">
        <w:rPr>
          <w:lang w:eastAsia="en-US"/>
        </w:rPr>
        <w:t xml:space="preserve"> general use as an excipient for oral routes of administration</w:t>
      </w:r>
      <w:r>
        <w:rPr>
          <w:lang w:eastAsia="en-US"/>
        </w:rPr>
        <w:t xml:space="preserve"> in listed and assessed listed </w:t>
      </w:r>
      <w:proofErr w:type="gramStart"/>
      <w:r>
        <w:rPr>
          <w:lang w:eastAsia="en-US"/>
        </w:rPr>
        <w:t>medicines;</w:t>
      </w:r>
      <w:proofErr w:type="gramEnd"/>
    </w:p>
    <w:p w14:paraId="59C63B13" w14:textId="77777777" w:rsidR="00361A1D" w:rsidRPr="003846D3" w:rsidRDefault="00361A1D" w:rsidP="00361A1D">
      <w:pPr>
        <w:pStyle w:val="ListParagraph"/>
        <w:numPr>
          <w:ilvl w:val="1"/>
          <w:numId w:val="11"/>
        </w:numPr>
        <w:shd w:val="clear" w:color="auto" w:fill="FFFFFF"/>
      </w:pPr>
      <w:r>
        <w:t>‘</w:t>
      </w:r>
      <w:r w:rsidRPr="003846D3">
        <w:t>benzalkonium chloride</w:t>
      </w:r>
      <w:r>
        <w:t>’</w:t>
      </w:r>
      <w:r w:rsidRPr="003846D3">
        <w:t xml:space="preserve">, to reflect an identified risk of bronchospasm associated with that ingredient when used in nasal </w:t>
      </w:r>
      <w:proofErr w:type="gramStart"/>
      <w:r w:rsidRPr="003846D3">
        <w:t>sprays;</w:t>
      </w:r>
      <w:proofErr w:type="gramEnd"/>
    </w:p>
    <w:p w14:paraId="24D53D9E" w14:textId="77777777" w:rsidR="00361A1D" w:rsidRPr="003846D3" w:rsidRDefault="00361A1D" w:rsidP="00361A1D">
      <w:pPr>
        <w:pStyle w:val="ListParagraph"/>
        <w:numPr>
          <w:ilvl w:val="1"/>
          <w:numId w:val="11"/>
        </w:numPr>
        <w:shd w:val="clear" w:color="auto" w:fill="FFFFFF"/>
      </w:pPr>
      <w:r w:rsidRPr="003846D3">
        <w:lastRenderedPageBreak/>
        <w:t xml:space="preserve">8 mollusc and mollusc-derived ingredients, to reflect an identified risk of allergenicity associated with those </w:t>
      </w:r>
      <w:proofErr w:type="gramStart"/>
      <w:r w:rsidRPr="003846D3">
        <w:t>ingredients;</w:t>
      </w:r>
      <w:proofErr w:type="gramEnd"/>
    </w:p>
    <w:p w14:paraId="23A99797" w14:textId="77777777" w:rsidR="00361A1D" w:rsidRPr="003846D3" w:rsidRDefault="00361A1D" w:rsidP="00361A1D">
      <w:pPr>
        <w:pStyle w:val="ListParagraph"/>
        <w:numPr>
          <w:ilvl w:val="1"/>
          <w:numId w:val="11"/>
        </w:numPr>
        <w:shd w:val="clear" w:color="auto" w:fill="FFFFFF"/>
      </w:pPr>
      <w:r>
        <w:t>‘</w:t>
      </w:r>
      <w:r w:rsidRPr="003846D3">
        <w:t>pyridoxal 5-phosphate</w:t>
      </w:r>
      <w:r>
        <w:t>’</w:t>
      </w:r>
      <w:r w:rsidRPr="003846D3">
        <w:t xml:space="preserve">, </w:t>
      </w:r>
      <w:r>
        <w:t>‘</w:t>
      </w:r>
      <w:r w:rsidRPr="003846D3">
        <w:t>pyridoxal 5-phosphate monohydrate</w:t>
      </w:r>
      <w:r>
        <w:t>’</w:t>
      </w:r>
      <w:r w:rsidRPr="003846D3">
        <w:t xml:space="preserve">, and </w:t>
      </w:r>
      <w:r>
        <w:t>‘</w:t>
      </w:r>
      <w:r w:rsidRPr="003846D3">
        <w:t>pyridoxine hydrochloride</w:t>
      </w:r>
      <w:r>
        <w:t>’</w:t>
      </w:r>
      <w:r w:rsidRPr="003846D3">
        <w:t xml:space="preserve">, to reflect an identified risk of neuropathy associated with those </w:t>
      </w:r>
      <w:proofErr w:type="gramStart"/>
      <w:r w:rsidRPr="003846D3">
        <w:t>ingredients;</w:t>
      </w:r>
      <w:proofErr w:type="gramEnd"/>
    </w:p>
    <w:p w14:paraId="3C293061" w14:textId="77777777" w:rsidR="00361A1D" w:rsidRDefault="00361A1D" w:rsidP="00361A1D">
      <w:pPr>
        <w:pStyle w:val="ListParagraph"/>
        <w:numPr>
          <w:ilvl w:val="1"/>
          <w:numId w:val="11"/>
        </w:numPr>
        <w:shd w:val="clear" w:color="auto" w:fill="FFFFFF"/>
      </w:pPr>
      <w:r w:rsidRPr="003846D3">
        <w:t xml:space="preserve">4 </w:t>
      </w:r>
      <w:r w:rsidRPr="003846D3">
        <w:rPr>
          <w:i/>
          <w:iCs/>
        </w:rPr>
        <w:t xml:space="preserve">Artemisia </w:t>
      </w:r>
      <w:r w:rsidRPr="003846D3">
        <w:t>species known to contain artemisinin, to reflect an identified risk of embryotoxicity associated with that substance;</w:t>
      </w:r>
      <w:r>
        <w:t xml:space="preserve"> and</w:t>
      </w:r>
    </w:p>
    <w:p w14:paraId="1331DFBE" w14:textId="77777777" w:rsidR="00361A1D" w:rsidRPr="003846D3" w:rsidRDefault="00361A1D" w:rsidP="00361A1D">
      <w:pPr>
        <w:pStyle w:val="ListParagraph"/>
        <w:numPr>
          <w:ilvl w:val="1"/>
          <w:numId w:val="11"/>
        </w:numPr>
        <w:shd w:val="clear" w:color="auto" w:fill="FFFFFF"/>
      </w:pPr>
      <w:r w:rsidRPr="003846D3">
        <w:t>‘</w:t>
      </w:r>
      <w:r w:rsidRPr="003846D3">
        <w:rPr>
          <w:i/>
          <w:iCs/>
        </w:rPr>
        <w:t>Cassia fistula’</w:t>
      </w:r>
      <w:r>
        <w:t>, to reflect that this ingredient has been evaluated for, and is considered safe and suitable for,</w:t>
      </w:r>
      <w:r w:rsidRPr="003846D3">
        <w:rPr>
          <w:i/>
          <w:iCs/>
        </w:rPr>
        <w:t xml:space="preserve"> </w:t>
      </w:r>
      <w:r w:rsidRPr="003846D3">
        <w:t>use as part of flavour and fragrance proprietary excipient formulations</w:t>
      </w:r>
      <w:r>
        <w:t xml:space="preserve"> in listed and assessed listed medicines.</w:t>
      </w:r>
    </w:p>
    <w:p w14:paraId="4931EE39" w14:textId="77777777" w:rsidR="00410762" w:rsidRPr="00E011DB" w:rsidRDefault="00410762" w:rsidP="00410762">
      <w:pPr>
        <w:autoSpaceDE w:val="0"/>
        <w:autoSpaceDN w:val="0"/>
        <w:adjustRightInd w:val="0"/>
        <w:spacing w:before="120" w:after="0" w:line="240" w:lineRule="auto"/>
      </w:pPr>
    </w:p>
    <w:p w14:paraId="685A0A7D" w14:textId="0429FBDE" w:rsidR="00EF1F18" w:rsidRDefault="00EF1F18" w:rsidP="00F111D7">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Human rights implications</w:t>
      </w:r>
    </w:p>
    <w:p w14:paraId="61514795" w14:textId="77777777" w:rsidR="00510EB5" w:rsidRPr="00A419EA" w:rsidRDefault="00510EB5" w:rsidP="00F111D7">
      <w:pPr>
        <w:keepNext/>
        <w:spacing w:after="0"/>
        <w:rPr>
          <w:rFonts w:ascii="Times New Roman" w:eastAsia="Times New Roman" w:hAnsi="Times New Roman" w:cs="Times New Roman"/>
          <w:sz w:val="24"/>
          <w:szCs w:val="24"/>
          <w:lang w:val="en-US" w:eastAsia="en-AU"/>
        </w:rPr>
      </w:pPr>
    </w:p>
    <w:p w14:paraId="063407BC" w14:textId="03838DED" w:rsidR="00510EB5" w:rsidRDefault="008F596A" w:rsidP="00510EB5">
      <w:pPr>
        <w:spacing w:after="0"/>
        <w:contextualSpacing/>
        <w:rPr>
          <w:rFonts w:ascii="Times New Roman" w:eastAsia="Times New Roman" w:hAnsi="Times New Roman" w:cs="Times New Roman"/>
          <w:sz w:val="24"/>
          <w:szCs w:val="24"/>
          <w:lang w:eastAsia="en-AU"/>
        </w:rPr>
      </w:pPr>
      <w:r w:rsidRPr="00B94E86">
        <w:rPr>
          <w:rFonts w:ascii="Times New Roman" w:hAnsi="Times New Roman" w:cs="Times New Roman"/>
          <w:bCs/>
          <w:sz w:val="24"/>
          <w:szCs w:val="24"/>
        </w:rPr>
        <w:t xml:space="preserve">The </w:t>
      </w:r>
      <w:r>
        <w:rPr>
          <w:rFonts w:ascii="Times New Roman" w:hAnsi="Times New Roman" w:cs="Times New Roman"/>
          <w:bCs/>
          <w:sz w:val="24"/>
          <w:szCs w:val="24"/>
        </w:rPr>
        <w:t>instrument</w:t>
      </w:r>
      <w:r w:rsidRPr="00B94E86">
        <w:rPr>
          <w:rFonts w:ascii="Times New Roman" w:hAnsi="Times New Roman" w:cs="Times New Roman"/>
          <w:bCs/>
          <w:sz w:val="24"/>
          <w:szCs w:val="24"/>
        </w:rPr>
        <w:t xml:space="preserve"> </w:t>
      </w:r>
      <w:r>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Pr>
          <w:rFonts w:ascii="Times New Roman" w:hAnsi="Times New Roman" w:cs="Times New Roman"/>
          <w:bCs/>
          <w:sz w:val="24"/>
          <w:szCs w:val="24"/>
        </w:rPr>
        <w:t>“</w:t>
      </w:r>
      <w:r w:rsidRPr="00B94E86">
        <w:rPr>
          <w:rFonts w:ascii="Times New Roman" w:hAnsi="Times New Roman" w:cs="Times New Roman"/>
          <w:bCs/>
          <w:sz w:val="24"/>
          <w:szCs w:val="24"/>
        </w:rPr>
        <w:t>the ICESCR</w:t>
      </w:r>
      <w:r>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sidR="00B8782A">
        <w:rPr>
          <w:rFonts w:ascii="Times New Roman" w:hAnsi="Times New Roman" w:cs="Times New Roman"/>
          <w:bCs/>
          <w:sz w:val="24"/>
          <w:szCs w:val="24"/>
        </w:rPr>
        <w:t xml:space="preserve"> </w:t>
      </w:r>
      <w:r>
        <w:rPr>
          <w:rFonts w:ascii="Times New Roman" w:hAnsi="Times New Roman" w:cs="Times New Roman"/>
          <w:bCs/>
          <w:sz w:val="24"/>
          <w:szCs w:val="24"/>
        </w:rPr>
        <w:t xml:space="preserve">Article 12 of the ICESCR promotes the right of all individuals to enjoy the highest attainable standard of physical and mental health, and includes an obligation to take reasonable measures within available resources to progressively secure broader enjoyment of the right. </w:t>
      </w:r>
      <w:r w:rsidR="00E60C26">
        <w:rPr>
          <w:rFonts w:ascii="Times New Roman" w:hAnsi="Times New Roman" w:cs="Times New Roman"/>
          <w:bCs/>
          <w:sz w:val="24"/>
          <w:szCs w:val="24"/>
        </w:rPr>
        <w:t xml:space="preserve"> </w:t>
      </w: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5195A4B" w14:textId="77777777" w:rsidR="00510EB5" w:rsidRDefault="00510EB5" w:rsidP="00510EB5">
      <w:pPr>
        <w:spacing w:after="0"/>
        <w:contextualSpacing/>
        <w:rPr>
          <w:rFonts w:ascii="Times New Roman" w:hAnsi="Times New Roman" w:cs="Times New Roman"/>
          <w:sz w:val="24"/>
          <w:szCs w:val="24"/>
        </w:rPr>
      </w:pPr>
    </w:p>
    <w:p w14:paraId="163E7727" w14:textId="0AC97341" w:rsidR="00DD5F7F" w:rsidRPr="00DD5F7F" w:rsidRDefault="00DD5F7F" w:rsidP="00DD5F7F">
      <w:pPr>
        <w:spacing w:after="0"/>
        <w:contextualSpacing/>
        <w:rPr>
          <w:rFonts w:ascii="Times New Roman" w:hAnsi="Times New Roman" w:cs="Times New Roman"/>
          <w:sz w:val="24"/>
          <w:szCs w:val="24"/>
        </w:rPr>
      </w:pPr>
      <w:r w:rsidRPr="00DD5F7F">
        <w:rPr>
          <w:rFonts w:ascii="Times New Roman" w:hAnsi="Times New Roman" w:cs="Times New Roman"/>
          <w:sz w:val="24"/>
          <w:szCs w:val="24"/>
        </w:rPr>
        <w:t xml:space="preserve">The instrument takes positive steps to promote the right to health by ensuring the safety and quality of therapeutic goods that are listed medicines. </w:t>
      </w:r>
      <w:r w:rsidR="00E60C26">
        <w:rPr>
          <w:rFonts w:ascii="Times New Roman" w:hAnsi="Times New Roman" w:cs="Times New Roman"/>
          <w:sz w:val="24"/>
          <w:szCs w:val="24"/>
        </w:rPr>
        <w:t xml:space="preserve"> </w:t>
      </w:r>
      <w:r w:rsidRPr="00DD5F7F">
        <w:rPr>
          <w:rFonts w:ascii="Times New Roman" w:hAnsi="Times New Roman" w:cs="Times New Roman"/>
          <w:sz w:val="24"/>
          <w:szCs w:val="24"/>
        </w:rPr>
        <w:t>By prescribing those ingredients that are considered to be safe for use in listed medicines, and by setting out important requirements relating to the use of those ingredients in such medicines (such requirements may relate, for example, to maximum concentrations of such ingredients in listed medicines, or to the inclusion of warning statements on medicine labels such as ‘Keep out of reach of children’ for relevant ingredients), the safety of Australian consumers will be better protected, and they will be better able to make informed decisions about such medicines.</w:t>
      </w:r>
    </w:p>
    <w:p w14:paraId="756DBF00" w14:textId="77777777" w:rsidR="00DD5F7F" w:rsidRPr="00DD5F7F" w:rsidRDefault="00DD5F7F" w:rsidP="00DD5F7F">
      <w:pPr>
        <w:spacing w:after="0"/>
        <w:contextualSpacing/>
        <w:rPr>
          <w:rFonts w:ascii="Times New Roman" w:hAnsi="Times New Roman" w:cs="Times New Roman"/>
          <w:sz w:val="24"/>
          <w:szCs w:val="24"/>
        </w:rPr>
      </w:pPr>
    </w:p>
    <w:p w14:paraId="30FFB6E5" w14:textId="3BFFAF81" w:rsidR="00510EB5" w:rsidRDefault="008F596A" w:rsidP="00510EB5">
      <w:pPr>
        <w:spacing w:after="0"/>
        <w:contextualSpacing/>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This is particularly important for listed medicines, given that those medicines are not evaluated for safety and quality by the TGA prior to listing in the </w:t>
      </w:r>
      <w:r w:rsidR="00A34A44">
        <w:rPr>
          <w:rFonts w:ascii="Times New Roman" w:hAnsi="Times New Roman" w:cs="Times New Roman"/>
          <w:sz w:val="24"/>
          <w:szCs w:val="24"/>
        </w:rPr>
        <w:t>Register</w:t>
      </w:r>
      <w:r>
        <w:rPr>
          <w:rFonts w:ascii="Times New Roman" w:hAnsi="Times New Roman" w:cs="Times New Roman"/>
          <w:sz w:val="24"/>
          <w:szCs w:val="24"/>
        </w:rPr>
        <w:t>, and as they are usually available for self-selection by consumers without a requirement to first obtain the advice or prescription of a registered medical doctor, or the advice of a pharmacist.</w:t>
      </w:r>
    </w:p>
    <w:p w14:paraId="5D183399" w14:textId="77777777" w:rsidR="00510EB5" w:rsidRDefault="00510EB5" w:rsidP="00712EA4">
      <w:pPr>
        <w:spacing w:after="0" w:line="240" w:lineRule="auto"/>
        <w:contextualSpacing/>
        <w:rPr>
          <w:rFonts w:ascii="Times New Roman" w:eastAsia="Times New Roman" w:hAnsi="Times New Roman" w:cs="Times New Roman"/>
          <w:sz w:val="24"/>
          <w:szCs w:val="24"/>
          <w:lang w:eastAsia="en-AU"/>
        </w:rPr>
      </w:pPr>
    </w:p>
    <w:p w14:paraId="04806E92" w14:textId="0627CB69" w:rsidR="00EF1F18" w:rsidRDefault="00EF1F18" w:rsidP="001A7C14">
      <w:pPr>
        <w:keepNext/>
        <w:spacing w:after="0"/>
        <w:rPr>
          <w:rFonts w:ascii="Times New Roman" w:eastAsia="Times New Roman" w:hAnsi="Times New Roman" w:cs="Times New Roman"/>
          <w:b/>
          <w:bCs/>
          <w:sz w:val="24"/>
          <w:szCs w:val="24"/>
          <w:lang w:eastAsia="en-AU"/>
        </w:rPr>
      </w:pPr>
      <w:r w:rsidRPr="00A419EA">
        <w:rPr>
          <w:rFonts w:ascii="Times New Roman" w:eastAsia="Times New Roman" w:hAnsi="Times New Roman" w:cs="Times New Roman"/>
          <w:b/>
          <w:bCs/>
          <w:sz w:val="24"/>
          <w:szCs w:val="24"/>
          <w:lang w:eastAsia="en-AU"/>
        </w:rPr>
        <w:t>Conclusion</w:t>
      </w:r>
    </w:p>
    <w:p w14:paraId="3FB3203C" w14:textId="77777777" w:rsidR="00712EA4" w:rsidRPr="00A419EA" w:rsidRDefault="00712EA4" w:rsidP="001A7C14">
      <w:pPr>
        <w:keepNext/>
        <w:spacing w:after="0" w:line="240" w:lineRule="auto"/>
        <w:rPr>
          <w:rFonts w:ascii="Times New Roman" w:eastAsia="Times New Roman" w:hAnsi="Times New Roman" w:cs="Times New Roman"/>
          <w:sz w:val="24"/>
          <w:szCs w:val="24"/>
          <w:lang w:val="en-US" w:eastAsia="en-AU"/>
        </w:rPr>
      </w:pPr>
    </w:p>
    <w:p w14:paraId="63D98AB2" w14:textId="7B614214" w:rsidR="008C0845" w:rsidRDefault="00EF1F18" w:rsidP="00361A1D">
      <w:pPr>
        <w:spacing w:after="0"/>
        <w:contextualSpacing/>
      </w:pPr>
      <w:r w:rsidRPr="0034672A">
        <w:rPr>
          <w:rFonts w:ascii="Times New Roman" w:hAnsi="Times New Roman" w:cs="Times New Roman"/>
          <w:sz w:val="24"/>
          <w:szCs w:val="24"/>
        </w:rPr>
        <w:t>This legislative instrument is compatible with human rights</w:t>
      </w:r>
      <w:r w:rsidR="00A34A44" w:rsidRPr="0034672A">
        <w:rPr>
          <w:rFonts w:ascii="Times New Roman" w:hAnsi="Times New Roman" w:cs="Times New Roman"/>
          <w:sz w:val="24"/>
          <w:szCs w:val="24"/>
        </w:rPr>
        <w:t xml:space="preserve"> because it promotes the right to health in Article 12 of the ICESCR and </w:t>
      </w:r>
      <w:r w:rsidRPr="0034672A">
        <w:rPr>
          <w:rFonts w:ascii="Times New Roman" w:hAnsi="Times New Roman" w:cs="Times New Roman"/>
          <w:sz w:val="24"/>
          <w:szCs w:val="24"/>
        </w:rPr>
        <w:t xml:space="preserve">does not raise any </w:t>
      </w:r>
      <w:r w:rsidR="00A34A44" w:rsidRPr="0034672A">
        <w:rPr>
          <w:rFonts w:ascii="Times New Roman" w:hAnsi="Times New Roman" w:cs="Times New Roman"/>
          <w:sz w:val="24"/>
          <w:szCs w:val="24"/>
        </w:rPr>
        <w:t xml:space="preserve">other </w:t>
      </w:r>
      <w:r w:rsidRPr="0034672A">
        <w:rPr>
          <w:rFonts w:ascii="Times New Roman" w:hAnsi="Times New Roman" w:cs="Times New Roman"/>
          <w:sz w:val="24"/>
          <w:szCs w:val="24"/>
        </w:rPr>
        <w:t>human rights issues.</w:t>
      </w:r>
    </w:p>
    <w:sectPr w:rsidR="008C0845" w:rsidSect="00680B29">
      <w:footerReference w:type="default" r:id="rId1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FF8F0" w14:textId="77777777" w:rsidR="00DF25C4" w:rsidRDefault="00DF25C4" w:rsidP="008939B1">
      <w:pPr>
        <w:spacing w:after="0" w:line="240" w:lineRule="auto"/>
      </w:pPr>
      <w:r>
        <w:separator/>
      </w:r>
    </w:p>
    <w:p w14:paraId="4D4DE79A" w14:textId="77777777" w:rsidR="00DF25C4" w:rsidRDefault="00DF25C4"/>
  </w:endnote>
  <w:endnote w:type="continuationSeparator" w:id="0">
    <w:p w14:paraId="5D09D272" w14:textId="77777777" w:rsidR="00DF25C4" w:rsidRDefault="00DF25C4" w:rsidP="008939B1">
      <w:pPr>
        <w:spacing w:after="0" w:line="240" w:lineRule="auto"/>
      </w:pPr>
      <w:r>
        <w:continuationSeparator/>
      </w:r>
    </w:p>
    <w:p w14:paraId="5CDB4CE2" w14:textId="77777777" w:rsidR="00DF25C4" w:rsidRDefault="00DF2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2084" w14:textId="253FEAF3" w:rsidR="004A79B9" w:rsidRPr="00AC5813" w:rsidRDefault="004A79B9"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66F675D6" w14:textId="77777777" w:rsidR="004A79B9" w:rsidRDefault="004A7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D9DA5" w14:textId="77777777" w:rsidR="00DF25C4" w:rsidRDefault="00DF25C4" w:rsidP="008939B1">
      <w:pPr>
        <w:spacing w:after="0" w:line="240" w:lineRule="auto"/>
      </w:pPr>
      <w:r>
        <w:separator/>
      </w:r>
    </w:p>
    <w:p w14:paraId="19E5C219" w14:textId="77777777" w:rsidR="00DF25C4" w:rsidRDefault="00DF25C4"/>
  </w:footnote>
  <w:footnote w:type="continuationSeparator" w:id="0">
    <w:p w14:paraId="16112B54" w14:textId="77777777" w:rsidR="00DF25C4" w:rsidRDefault="00DF25C4" w:rsidP="008939B1">
      <w:pPr>
        <w:spacing w:after="0" w:line="240" w:lineRule="auto"/>
      </w:pPr>
      <w:r>
        <w:continuationSeparator/>
      </w:r>
    </w:p>
    <w:p w14:paraId="2BB7FA60" w14:textId="77777777" w:rsidR="00DF25C4" w:rsidRDefault="00DF25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56482"/>
    <w:multiLevelType w:val="hybridMultilevel"/>
    <w:tmpl w:val="244C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85E7C"/>
    <w:multiLevelType w:val="hybridMultilevel"/>
    <w:tmpl w:val="09B2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96B46"/>
    <w:multiLevelType w:val="hybridMultilevel"/>
    <w:tmpl w:val="1E5631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57DC1554">
      <w:numFmt w:val="bullet"/>
      <w:lvlText w:val="-"/>
      <w:lvlJc w:val="left"/>
      <w:pPr>
        <w:ind w:left="3240" w:hanging="360"/>
      </w:pPr>
      <w:rPr>
        <w:rFonts w:ascii="Times New Roman" w:eastAsiaTheme="minorHAnsi"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AA55E2"/>
    <w:multiLevelType w:val="hybridMultilevel"/>
    <w:tmpl w:val="2A543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7A1138"/>
    <w:multiLevelType w:val="hybridMultilevel"/>
    <w:tmpl w:val="78D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F1B3A"/>
    <w:multiLevelType w:val="hybridMultilevel"/>
    <w:tmpl w:val="FE04A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6E8023C"/>
    <w:multiLevelType w:val="hybridMultilevel"/>
    <w:tmpl w:val="60AABDE4"/>
    <w:lvl w:ilvl="0" w:tplc="899A42F0">
      <w:start w:val="1"/>
      <w:numFmt w:val="lowerRom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15150C"/>
    <w:multiLevelType w:val="hybridMultilevel"/>
    <w:tmpl w:val="4C98D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4B2776"/>
    <w:multiLevelType w:val="hybridMultilevel"/>
    <w:tmpl w:val="07C8F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A25DF2"/>
    <w:multiLevelType w:val="hybridMultilevel"/>
    <w:tmpl w:val="AE568F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7F4187"/>
    <w:multiLevelType w:val="hybridMultilevel"/>
    <w:tmpl w:val="54B6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0940BB"/>
    <w:multiLevelType w:val="hybridMultilevel"/>
    <w:tmpl w:val="1CAE94E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C829A9"/>
    <w:multiLevelType w:val="hybridMultilevel"/>
    <w:tmpl w:val="1C94A412"/>
    <w:lvl w:ilvl="0" w:tplc="6B1A1AB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27649B"/>
    <w:multiLevelType w:val="hybridMultilevel"/>
    <w:tmpl w:val="D1207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4C22FD"/>
    <w:multiLevelType w:val="hybridMultilevel"/>
    <w:tmpl w:val="1F0C8A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8167AC"/>
    <w:multiLevelType w:val="hybridMultilevel"/>
    <w:tmpl w:val="CC708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486BBA"/>
    <w:multiLevelType w:val="hybridMultilevel"/>
    <w:tmpl w:val="1A128E2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376964"/>
    <w:multiLevelType w:val="hybridMultilevel"/>
    <w:tmpl w:val="15523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3023C3"/>
    <w:multiLevelType w:val="hybridMultilevel"/>
    <w:tmpl w:val="3774E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FC2670"/>
    <w:multiLevelType w:val="hybridMultilevel"/>
    <w:tmpl w:val="BD6A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4A1391"/>
    <w:multiLevelType w:val="hybridMultilevel"/>
    <w:tmpl w:val="BECC2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DB41DF"/>
    <w:multiLevelType w:val="hybridMultilevel"/>
    <w:tmpl w:val="A7C0D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082C98"/>
    <w:multiLevelType w:val="hybridMultilevel"/>
    <w:tmpl w:val="0B10D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B46092"/>
    <w:multiLevelType w:val="hybridMultilevel"/>
    <w:tmpl w:val="1CFE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31743A"/>
    <w:multiLevelType w:val="hybridMultilevel"/>
    <w:tmpl w:val="76CE1FC2"/>
    <w:lvl w:ilvl="0" w:tplc="875661EE">
      <w:start w:val="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397FC3"/>
    <w:multiLevelType w:val="hybridMultilevel"/>
    <w:tmpl w:val="5D14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F94564"/>
    <w:multiLevelType w:val="hybridMultilevel"/>
    <w:tmpl w:val="C6AA1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6231DB"/>
    <w:multiLevelType w:val="hybridMultilevel"/>
    <w:tmpl w:val="AB22C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947FEA"/>
    <w:multiLevelType w:val="hybridMultilevel"/>
    <w:tmpl w:val="156ADE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5B64DB"/>
    <w:multiLevelType w:val="hybridMultilevel"/>
    <w:tmpl w:val="004469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B96A9A"/>
    <w:multiLevelType w:val="hybridMultilevel"/>
    <w:tmpl w:val="B262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6208A2"/>
    <w:multiLevelType w:val="hybridMultilevel"/>
    <w:tmpl w:val="916455EE"/>
    <w:lvl w:ilvl="0" w:tplc="DC76463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6137580"/>
    <w:multiLevelType w:val="hybridMultilevel"/>
    <w:tmpl w:val="1318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8C7775"/>
    <w:multiLevelType w:val="hybridMultilevel"/>
    <w:tmpl w:val="325C5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33"/>
  </w:num>
  <w:num w:numId="4">
    <w:abstractNumId w:val="1"/>
  </w:num>
  <w:num w:numId="5">
    <w:abstractNumId w:val="4"/>
  </w:num>
  <w:num w:numId="6">
    <w:abstractNumId w:val="12"/>
  </w:num>
  <w:num w:numId="7">
    <w:abstractNumId w:val="26"/>
  </w:num>
  <w:num w:numId="8">
    <w:abstractNumId w:val="23"/>
  </w:num>
  <w:num w:numId="9">
    <w:abstractNumId w:val="5"/>
  </w:num>
  <w:num w:numId="10">
    <w:abstractNumId w:val="15"/>
  </w:num>
  <w:num w:numId="11">
    <w:abstractNumId w:val="17"/>
  </w:num>
  <w:num w:numId="12">
    <w:abstractNumId w:val="34"/>
  </w:num>
  <w:num w:numId="13">
    <w:abstractNumId w:val="3"/>
  </w:num>
  <w:num w:numId="14">
    <w:abstractNumId w:val="2"/>
  </w:num>
  <w:num w:numId="15">
    <w:abstractNumId w:val="18"/>
  </w:num>
  <w:num w:numId="16">
    <w:abstractNumId w:val="8"/>
  </w:num>
  <w:num w:numId="17">
    <w:abstractNumId w:val="24"/>
  </w:num>
  <w:num w:numId="18">
    <w:abstractNumId w:val="32"/>
  </w:num>
  <w:num w:numId="19">
    <w:abstractNumId w:val="25"/>
  </w:num>
  <w:num w:numId="20">
    <w:abstractNumId w:val="16"/>
  </w:num>
  <w:num w:numId="21">
    <w:abstractNumId w:val="17"/>
  </w:num>
  <w:num w:numId="22">
    <w:abstractNumId w:val="9"/>
  </w:num>
  <w:num w:numId="23">
    <w:abstractNumId w:val="22"/>
  </w:num>
  <w:num w:numId="24">
    <w:abstractNumId w:val="6"/>
  </w:num>
  <w:num w:numId="25">
    <w:abstractNumId w:val="13"/>
  </w:num>
  <w:num w:numId="26">
    <w:abstractNumId w:val="11"/>
  </w:num>
  <w:num w:numId="27">
    <w:abstractNumId w:val="30"/>
  </w:num>
  <w:num w:numId="28">
    <w:abstractNumId w:val="28"/>
  </w:num>
  <w:num w:numId="29">
    <w:abstractNumId w:val="14"/>
  </w:num>
  <w:num w:numId="30">
    <w:abstractNumId w:val="29"/>
  </w:num>
  <w:num w:numId="31">
    <w:abstractNumId w:val="20"/>
  </w:num>
  <w:num w:numId="32">
    <w:abstractNumId w:val="0"/>
  </w:num>
  <w:num w:numId="33">
    <w:abstractNumId w:val="31"/>
  </w:num>
  <w:num w:numId="34">
    <w:abstractNumId w:val="7"/>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45"/>
    <w:rsid w:val="00000508"/>
    <w:rsid w:val="000011FE"/>
    <w:rsid w:val="00005653"/>
    <w:rsid w:val="00007539"/>
    <w:rsid w:val="00014A86"/>
    <w:rsid w:val="000152DF"/>
    <w:rsid w:val="000178FF"/>
    <w:rsid w:val="00020744"/>
    <w:rsid w:val="000253EC"/>
    <w:rsid w:val="00027571"/>
    <w:rsid w:val="00032FAE"/>
    <w:rsid w:val="0003396A"/>
    <w:rsid w:val="000374FB"/>
    <w:rsid w:val="00042274"/>
    <w:rsid w:val="00045778"/>
    <w:rsid w:val="00045C71"/>
    <w:rsid w:val="00050B0F"/>
    <w:rsid w:val="00055505"/>
    <w:rsid w:val="00055DF5"/>
    <w:rsid w:val="0006051F"/>
    <w:rsid w:val="00062590"/>
    <w:rsid w:val="000637B0"/>
    <w:rsid w:val="00063951"/>
    <w:rsid w:val="00064FDE"/>
    <w:rsid w:val="00066B2F"/>
    <w:rsid w:val="00066CCA"/>
    <w:rsid w:val="000727D2"/>
    <w:rsid w:val="00072A36"/>
    <w:rsid w:val="00073166"/>
    <w:rsid w:val="00073AFE"/>
    <w:rsid w:val="000743AA"/>
    <w:rsid w:val="000805C8"/>
    <w:rsid w:val="00082CAB"/>
    <w:rsid w:val="00083EC1"/>
    <w:rsid w:val="00092EDD"/>
    <w:rsid w:val="0009412D"/>
    <w:rsid w:val="00096077"/>
    <w:rsid w:val="000A6A62"/>
    <w:rsid w:val="000A7327"/>
    <w:rsid w:val="000B0556"/>
    <w:rsid w:val="000B2796"/>
    <w:rsid w:val="000B55C8"/>
    <w:rsid w:val="000C363D"/>
    <w:rsid w:val="000D25BE"/>
    <w:rsid w:val="000D3185"/>
    <w:rsid w:val="000D3F52"/>
    <w:rsid w:val="000D444D"/>
    <w:rsid w:val="000D45A0"/>
    <w:rsid w:val="000D56EB"/>
    <w:rsid w:val="000E1C1C"/>
    <w:rsid w:val="000E3020"/>
    <w:rsid w:val="000F4D51"/>
    <w:rsid w:val="000F7DDF"/>
    <w:rsid w:val="00102F88"/>
    <w:rsid w:val="00104D9E"/>
    <w:rsid w:val="00113AE2"/>
    <w:rsid w:val="0011431C"/>
    <w:rsid w:val="00114578"/>
    <w:rsid w:val="001160DE"/>
    <w:rsid w:val="00123510"/>
    <w:rsid w:val="001260D9"/>
    <w:rsid w:val="00126D3F"/>
    <w:rsid w:val="001323EA"/>
    <w:rsid w:val="0013266B"/>
    <w:rsid w:val="0013620C"/>
    <w:rsid w:val="00141384"/>
    <w:rsid w:val="00142FE8"/>
    <w:rsid w:val="00143BEC"/>
    <w:rsid w:val="00145ED6"/>
    <w:rsid w:val="001503DB"/>
    <w:rsid w:val="0015083D"/>
    <w:rsid w:val="00151A1A"/>
    <w:rsid w:val="00151C11"/>
    <w:rsid w:val="0015421F"/>
    <w:rsid w:val="001632C0"/>
    <w:rsid w:val="00166D53"/>
    <w:rsid w:val="00176A8B"/>
    <w:rsid w:val="00177681"/>
    <w:rsid w:val="00180117"/>
    <w:rsid w:val="00187288"/>
    <w:rsid w:val="001874DF"/>
    <w:rsid w:val="00187B3D"/>
    <w:rsid w:val="0019081E"/>
    <w:rsid w:val="00192658"/>
    <w:rsid w:val="0019281D"/>
    <w:rsid w:val="00197C3F"/>
    <w:rsid w:val="00197FE9"/>
    <w:rsid w:val="001A1891"/>
    <w:rsid w:val="001A3695"/>
    <w:rsid w:val="001A4346"/>
    <w:rsid w:val="001A4696"/>
    <w:rsid w:val="001A727D"/>
    <w:rsid w:val="001A7C14"/>
    <w:rsid w:val="001B0FC8"/>
    <w:rsid w:val="001B101E"/>
    <w:rsid w:val="001B2279"/>
    <w:rsid w:val="001B4017"/>
    <w:rsid w:val="001B6A8A"/>
    <w:rsid w:val="001B7598"/>
    <w:rsid w:val="001B7ED3"/>
    <w:rsid w:val="001C1EC4"/>
    <w:rsid w:val="001C3292"/>
    <w:rsid w:val="001C38AF"/>
    <w:rsid w:val="001C5A13"/>
    <w:rsid w:val="001C5E65"/>
    <w:rsid w:val="001D15A8"/>
    <w:rsid w:val="001D3782"/>
    <w:rsid w:val="001D5FD1"/>
    <w:rsid w:val="001D6B26"/>
    <w:rsid w:val="001D75F6"/>
    <w:rsid w:val="001D7A4F"/>
    <w:rsid w:val="001D7F8A"/>
    <w:rsid w:val="001E00EE"/>
    <w:rsid w:val="001E0B7A"/>
    <w:rsid w:val="001F063F"/>
    <w:rsid w:val="001F1830"/>
    <w:rsid w:val="001F626E"/>
    <w:rsid w:val="002000F0"/>
    <w:rsid w:val="0020180F"/>
    <w:rsid w:val="00201DC1"/>
    <w:rsid w:val="00202641"/>
    <w:rsid w:val="0020404A"/>
    <w:rsid w:val="00207B8A"/>
    <w:rsid w:val="00210E3C"/>
    <w:rsid w:val="00211A66"/>
    <w:rsid w:val="0021326F"/>
    <w:rsid w:val="002156A0"/>
    <w:rsid w:val="00216B37"/>
    <w:rsid w:val="00226F3C"/>
    <w:rsid w:val="002323CF"/>
    <w:rsid w:val="00232972"/>
    <w:rsid w:val="00233242"/>
    <w:rsid w:val="00236ECD"/>
    <w:rsid w:val="0023720D"/>
    <w:rsid w:val="002374AC"/>
    <w:rsid w:val="002409CB"/>
    <w:rsid w:val="00240AAA"/>
    <w:rsid w:val="002429EA"/>
    <w:rsid w:val="00244DF3"/>
    <w:rsid w:val="002476F4"/>
    <w:rsid w:val="00247B5E"/>
    <w:rsid w:val="00252CA4"/>
    <w:rsid w:val="00254970"/>
    <w:rsid w:val="0025627C"/>
    <w:rsid w:val="0025799D"/>
    <w:rsid w:val="00260B5E"/>
    <w:rsid w:val="0026142F"/>
    <w:rsid w:val="0026500F"/>
    <w:rsid w:val="00265FB2"/>
    <w:rsid w:val="0026650C"/>
    <w:rsid w:val="002667CB"/>
    <w:rsid w:val="00272777"/>
    <w:rsid w:val="00272FA2"/>
    <w:rsid w:val="002751D3"/>
    <w:rsid w:val="00275D92"/>
    <w:rsid w:val="00284FF6"/>
    <w:rsid w:val="002855E1"/>
    <w:rsid w:val="0028568A"/>
    <w:rsid w:val="00285CFE"/>
    <w:rsid w:val="00287D9F"/>
    <w:rsid w:val="002903C8"/>
    <w:rsid w:val="0029115B"/>
    <w:rsid w:val="00293C0C"/>
    <w:rsid w:val="002968E0"/>
    <w:rsid w:val="0029743B"/>
    <w:rsid w:val="00297C07"/>
    <w:rsid w:val="002B4F6A"/>
    <w:rsid w:val="002B741E"/>
    <w:rsid w:val="002B7A34"/>
    <w:rsid w:val="002C1322"/>
    <w:rsid w:val="002C4652"/>
    <w:rsid w:val="002D1160"/>
    <w:rsid w:val="002D2381"/>
    <w:rsid w:val="002D3CD4"/>
    <w:rsid w:val="002D3CE9"/>
    <w:rsid w:val="002D67DA"/>
    <w:rsid w:val="002D6999"/>
    <w:rsid w:val="002E6160"/>
    <w:rsid w:val="002F4835"/>
    <w:rsid w:val="002F5583"/>
    <w:rsid w:val="002F6548"/>
    <w:rsid w:val="00301DC3"/>
    <w:rsid w:val="00311A86"/>
    <w:rsid w:val="00312C88"/>
    <w:rsid w:val="00316B98"/>
    <w:rsid w:val="00322EC3"/>
    <w:rsid w:val="0032369E"/>
    <w:rsid w:val="00324BC0"/>
    <w:rsid w:val="003260F5"/>
    <w:rsid w:val="003307B8"/>
    <w:rsid w:val="003327D3"/>
    <w:rsid w:val="0033487C"/>
    <w:rsid w:val="003364B2"/>
    <w:rsid w:val="00337FDB"/>
    <w:rsid w:val="00340F3C"/>
    <w:rsid w:val="00345822"/>
    <w:rsid w:val="0034672A"/>
    <w:rsid w:val="00360394"/>
    <w:rsid w:val="00361A1D"/>
    <w:rsid w:val="003650CC"/>
    <w:rsid w:val="0036611B"/>
    <w:rsid w:val="003661A6"/>
    <w:rsid w:val="003811C0"/>
    <w:rsid w:val="00381A1B"/>
    <w:rsid w:val="0038203D"/>
    <w:rsid w:val="00383396"/>
    <w:rsid w:val="003846D3"/>
    <w:rsid w:val="00384E0A"/>
    <w:rsid w:val="00386656"/>
    <w:rsid w:val="00386781"/>
    <w:rsid w:val="003A0BFB"/>
    <w:rsid w:val="003A20C5"/>
    <w:rsid w:val="003A2811"/>
    <w:rsid w:val="003A3B5E"/>
    <w:rsid w:val="003A3E75"/>
    <w:rsid w:val="003A4D8C"/>
    <w:rsid w:val="003A533A"/>
    <w:rsid w:val="003A59EA"/>
    <w:rsid w:val="003A7110"/>
    <w:rsid w:val="003A73A0"/>
    <w:rsid w:val="003B332D"/>
    <w:rsid w:val="003B4176"/>
    <w:rsid w:val="003B4F23"/>
    <w:rsid w:val="003B6684"/>
    <w:rsid w:val="003B7DAB"/>
    <w:rsid w:val="003C0D62"/>
    <w:rsid w:val="003C657E"/>
    <w:rsid w:val="003C6D6E"/>
    <w:rsid w:val="003C7446"/>
    <w:rsid w:val="003D0612"/>
    <w:rsid w:val="003D610C"/>
    <w:rsid w:val="003E0EA1"/>
    <w:rsid w:val="003E1A83"/>
    <w:rsid w:val="003E4B2A"/>
    <w:rsid w:val="003E5AEA"/>
    <w:rsid w:val="003E61CF"/>
    <w:rsid w:val="003F01C5"/>
    <w:rsid w:val="004028BD"/>
    <w:rsid w:val="00402AD7"/>
    <w:rsid w:val="0040312B"/>
    <w:rsid w:val="004031E5"/>
    <w:rsid w:val="00403263"/>
    <w:rsid w:val="00403C15"/>
    <w:rsid w:val="00403F5E"/>
    <w:rsid w:val="004041EC"/>
    <w:rsid w:val="0040435E"/>
    <w:rsid w:val="0040482D"/>
    <w:rsid w:val="00405991"/>
    <w:rsid w:val="00406536"/>
    <w:rsid w:val="00406749"/>
    <w:rsid w:val="00410762"/>
    <w:rsid w:val="00410B09"/>
    <w:rsid w:val="00410EC3"/>
    <w:rsid w:val="004140E5"/>
    <w:rsid w:val="00414CD9"/>
    <w:rsid w:val="00422C56"/>
    <w:rsid w:val="00424E87"/>
    <w:rsid w:val="0042665D"/>
    <w:rsid w:val="004325B5"/>
    <w:rsid w:val="00432CF7"/>
    <w:rsid w:val="004341E5"/>
    <w:rsid w:val="004343F8"/>
    <w:rsid w:val="004369BE"/>
    <w:rsid w:val="0043784D"/>
    <w:rsid w:val="00437C00"/>
    <w:rsid w:val="00437C42"/>
    <w:rsid w:val="00443793"/>
    <w:rsid w:val="00444741"/>
    <w:rsid w:val="00444DEC"/>
    <w:rsid w:val="0044599A"/>
    <w:rsid w:val="00446A54"/>
    <w:rsid w:val="00446EA8"/>
    <w:rsid w:val="00456FF8"/>
    <w:rsid w:val="0046157C"/>
    <w:rsid w:val="0046185B"/>
    <w:rsid w:val="00461ED8"/>
    <w:rsid w:val="00465227"/>
    <w:rsid w:val="0046549C"/>
    <w:rsid w:val="00473C48"/>
    <w:rsid w:val="004761AE"/>
    <w:rsid w:val="00477283"/>
    <w:rsid w:val="00482136"/>
    <w:rsid w:val="00490585"/>
    <w:rsid w:val="004937A4"/>
    <w:rsid w:val="00495C5F"/>
    <w:rsid w:val="0049672B"/>
    <w:rsid w:val="004A092E"/>
    <w:rsid w:val="004A4AB5"/>
    <w:rsid w:val="004A68BB"/>
    <w:rsid w:val="004A79B9"/>
    <w:rsid w:val="004A7F16"/>
    <w:rsid w:val="004B0B99"/>
    <w:rsid w:val="004B4DF3"/>
    <w:rsid w:val="004B798D"/>
    <w:rsid w:val="004C0638"/>
    <w:rsid w:val="004C6EFE"/>
    <w:rsid w:val="004D4BA4"/>
    <w:rsid w:val="004D7D5D"/>
    <w:rsid w:val="004E03D6"/>
    <w:rsid w:val="004E05C9"/>
    <w:rsid w:val="004E2CE6"/>
    <w:rsid w:val="004F11F8"/>
    <w:rsid w:val="004F2366"/>
    <w:rsid w:val="004F52D9"/>
    <w:rsid w:val="004F5517"/>
    <w:rsid w:val="004F5754"/>
    <w:rsid w:val="004F601B"/>
    <w:rsid w:val="0050197A"/>
    <w:rsid w:val="0050390C"/>
    <w:rsid w:val="0050391D"/>
    <w:rsid w:val="00503A36"/>
    <w:rsid w:val="00504F4D"/>
    <w:rsid w:val="005058A2"/>
    <w:rsid w:val="005107B9"/>
    <w:rsid w:val="00510EB5"/>
    <w:rsid w:val="005110EF"/>
    <w:rsid w:val="005119A8"/>
    <w:rsid w:val="00511E85"/>
    <w:rsid w:val="00516446"/>
    <w:rsid w:val="00522A66"/>
    <w:rsid w:val="00527073"/>
    <w:rsid w:val="005278A0"/>
    <w:rsid w:val="005300AF"/>
    <w:rsid w:val="00530B7D"/>
    <w:rsid w:val="00530C81"/>
    <w:rsid w:val="0053757F"/>
    <w:rsid w:val="00537597"/>
    <w:rsid w:val="00540CD5"/>
    <w:rsid w:val="00543F77"/>
    <w:rsid w:val="00546044"/>
    <w:rsid w:val="00546C0E"/>
    <w:rsid w:val="0055006E"/>
    <w:rsid w:val="00553D8E"/>
    <w:rsid w:val="00554CD2"/>
    <w:rsid w:val="0055672F"/>
    <w:rsid w:val="00562910"/>
    <w:rsid w:val="005647D9"/>
    <w:rsid w:val="00567254"/>
    <w:rsid w:val="00567C3B"/>
    <w:rsid w:val="00567F6F"/>
    <w:rsid w:val="00571AF3"/>
    <w:rsid w:val="00574882"/>
    <w:rsid w:val="005764DE"/>
    <w:rsid w:val="0057657A"/>
    <w:rsid w:val="00576EB4"/>
    <w:rsid w:val="0058050E"/>
    <w:rsid w:val="00586A79"/>
    <w:rsid w:val="00586D07"/>
    <w:rsid w:val="005873CF"/>
    <w:rsid w:val="00587C76"/>
    <w:rsid w:val="005950FC"/>
    <w:rsid w:val="005975B8"/>
    <w:rsid w:val="005A33B7"/>
    <w:rsid w:val="005A5867"/>
    <w:rsid w:val="005A5B1A"/>
    <w:rsid w:val="005B58AB"/>
    <w:rsid w:val="005B70D2"/>
    <w:rsid w:val="005C1073"/>
    <w:rsid w:val="005C1E01"/>
    <w:rsid w:val="005C30DC"/>
    <w:rsid w:val="005C3927"/>
    <w:rsid w:val="005C475C"/>
    <w:rsid w:val="005D2839"/>
    <w:rsid w:val="005D7A92"/>
    <w:rsid w:val="005E0079"/>
    <w:rsid w:val="005E1A47"/>
    <w:rsid w:val="005E4E3D"/>
    <w:rsid w:val="005F1175"/>
    <w:rsid w:val="005F192D"/>
    <w:rsid w:val="005F2423"/>
    <w:rsid w:val="005F3B1B"/>
    <w:rsid w:val="005F516E"/>
    <w:rsid w:val="005F524B"/>
    <w:rsid w:val="006003F5"/>
    <w:rsid w:val="0060048F"/>
    <w:rsid w:val="0060127F"/>
    <w:rsid w:val="00601754"/>
    <w:rsid w:val="00603428"/>
    <w:rsid w:val="006064B2"/>
    <w:rsid w:val="006068A0"/>
    <w:rsid w:val="00607014"/>
    <w:rsid w:val="00607B58"/>
    <w:rsid w:val="00614793"/>
    <w:rsid w:val="006161DC"/>
    <w:rsid w:val="0062124D"/>
    <w:rsid w:val="0062190F"/>
    <w:rsid w:val="00622033"/>
    <w:rsid w:val="006320B2"/>
    <w:rsid w:val="00632471"/>
    <w:rsid w:val="00632A23"/>
    <w:rsid w:val="00633529"/>
    <w:rsid w:val="00634921"/>
    <w:rsid w:val="0063789C"/>
    <w:rsid w:val="00644F7C"/>
    <w:rsid w:val="00644F8E"/>
    <w:rsid w:val="006469D8"/>
    <w:rsid w:val="006514AF"/>
    <w:rsid w:val="00652960"/>
    <w:rsid w:val="00652BA7"/>
    <w:rsid w:val="00653B08"/>
    <w:rsid w:val="00662750"/>
    <w:rsid w:val="00663231"/>
    <w:rsid w:val="00664338"/>
    <w:rsid w:val="00664CE0"/>
    <w:rsid w:val="006657E3"/>
    <w:rsid w:val="00665E71"/>
    <w:rsid w:val="00667CD4"/>
    <w:rsid w:val="00670213"/>
    <w:rsid w:val="00673DE0"/>
    <w:rsid w:val="00674D24"/>
    <w:rsid w:val="00680B29"/>
    <w:rsid w:val="006850DB"/>
    <w:rsid w:val="00685980"/>
    <w:rsid w:val="00686884"/>
    <w:rsid w:val="00690886"/>
    <w:rsid w:val="0069146E"/>
    <w:rsid w:val="00696602"/>
    <w:rsid w:val="00696C07"/>
    <w:rsid w:val="006A3A8C"/>
    <w:rsid w:val="006A6288"/>
    <w:rsid w:val="006A63BE"/>
    <w:rsid w:val="006B6D92"/>
    <w:rsid w:val="006B6E14"/>
    <w:rsid w:val="006C1D61"/>
    <w:rsid w:val="006C6DF0"/>
    <w:rsid w:val="006C704D"/>
    <w:rsid w:val="006D03F1"/>
    <w:rsid w:val="006D48D4"/>
    <w:rsid w:val="006D4AB8"/>
    <w:rsid w:val="006D5E19"/>
    <w:rsid w:val="006D694B"/>
    <w:rsid w:val="006D768D"/>
    <w:rsid w:val="006E0828"/>
    <w:rsid w:val="006E29EE"/>
    <w:rsid w:val="006E3745"/>
    <w:rsid w:val="006E6BF8"/>
    <w:rsid w:val="006E787D"/>
    <w:rsid w:val="006F0BA2"/>
    <w:rsid w:val="006F49F6"/>
    <w:rsid w:val="006F4A40"/>
    <w:rsid w:val="006F6F98"/>
    <w:rsid w:val="007011A9"/>
    <w:rsid w:val="0070320C"/>
    <w:rsid w:val="007040CD"/>
    <w:rsid w:val="0070680E"/>
    <w:rsid w:val="00706B96"/>
    <w:rsid w:val="007075E6"/>
    <w:rsid w:val="00712EA4"/>
    <w:rsid w:val="00716D98"/>
    <w:rsid w:val="00720518"/>
    <w:rsid w:val="007228A6"/>
    <w:rsid w:val="00726DAE"/>
    <w:rsid w:val="00727228"/>
    <w:rsid w:val="00730B3D"/>
    <w:rsid w:val="007310BB"/>
    <w:rsid w:val="007313BA"/>
    <w:rsid w:val="007323F5"/>
    <w:rsid w:val="0073245E"/>
    <w:rsid w:val="00737E1D"/>
    <w:rsid w:val="00740B2A"/>
    <w:rsid w:val="0074268C"/>
    <w:rsid w:val="007445FE"/>
    <w:rsid w:val="0074493B"/>
    <w:rsid w:val="007457D2"/>
    <w:rsid w:val="00751232"/>
    <w:rsid w:val="0075281F"/>
    <w:rsid w:val="007537FC"/>
    <w:rsid w:val="00753C5B"/>
    <w:rsid w:val="007541DC"/>
    <w:rsid w:val="00761A63"/>
    <w:rsid w:val="00763767"/>
    <w:rsid w:val="00764B50"/>
    <w:rsid w:val="00766F34"/>
    <w:rsid w:val="0077437F"/>
    <w:rsid w:val="0077454E"/>
    <w:rsid w:val="00774E0F"/>
    <w:rsid w:val="00781FEC"/>
    <w:rsid w:val="00784A51"/>
    <w:rsid w:val="00786056"/>
    <w:rsid w:val="007925F3"/>
    <w:rsid w:val="00792F28"/>
    <w:rsid w:val="00793EFA"/>
    <w:rsid w:val="00794D3C"/>
    <w:rsid w:val="0079657C"/>
    <w:rsid w:val="007A06F8"/>
    <w:rsid w:val="007A0C05"/>
    <w:rsid w:val="007A251F"/>
    <w:rsid w:val="007A3CC7"/>
    <w:rsid w:val="007A52D3"/>
    <w:rsid w:val="007A6B81"/>
    <w:rsid w:val="007B019E"/>
    <w:rsid w:val="007B1478"/>
    <w:rsid w:val="007B2709"/>
    <w:rsid w:val="007B76BB"/>
    <w:rsid w:val="007C503B"/>
    <w:rsid w:val="007C5ACA"/>
    <w:rsid w:val="007C6937"/>
    <w:rsid w:val="007C7B0A"/>
    <w:rsid w:val="007D0041"/>
    <w:rsid w:val="007D161A"/>
    <w:rsid w:val="007E1071"/>
    <w:rsid w:val="007E62AA"/>
    <w:rsid w:val="007E7331"/>
    <w:rsid w:val="007F2ED8"/>
    <w:rsid w:val="007F3304"/>
    <w:rsid w:val="007F6345"/>
    <w:rsid w:val="00804BAA"/>
    <w:rsid w:val="00807896"/>
    <w:rsid w:val="00810644"/>
    <w:rsid w:val="00810BFB"/>
    <w:rsid w:val="00814F7B"/>
    <w:rsid w:val="00815399"/>
    <w:rsid w:val="0082133F"/>
    <w:rsid w:val="00822DF8"/>
    <w:rsid w:val="008238B7"/>
    <w:rsid w:val="00826DE8"/>
    <w:rsid w:val="008403C0"/>
    <w:rsid w:val="00841194"/>
    <w:rsid w:val="008416DD"/>
    <w:rsid w:val="008452B5"/>
    <w:rsid w:val="00845A4E"/>
    <w:rsid w:val="00845A80"/>
    <w:rsid w:val="00850146"/>
    <w:rsid w:val="008501F3"/>
    <w:rsid w:val="008515B1"/>
    <w:rsid w:val="00851813"/>
    <w:rsid w:val="00852814"/>
    <w:rsid w:val="00856471"/>
    <w:rsid w:val="008610A0"/>
    <w:rsid w:val="008666FC"/>
    <w:rsid w:val="00871271"/>
    <w:rsid w:val="008727AB"/>
    <w:rsid w:val="00873010"/>
    <w:rsid w:val="00873780"/>
    <w:rsid w:val="00873CEF"/>
    <w:rsid w:val="0087413C"/>
    <w:rsid w:val="008771C7"/>
    <w:rsid w:val="00877FA7"/>
    <w:rsid w:val="008833F0"/>
    <w:rsid w:val="0088566B"/>
    <w:rsid w:val="00887720"/>
    <w:rsid w:val="00890B01"/>
    <w:rsid w:val="008930BD"/>
    <w:rsid w:val="008939B1"/>
    <w:rsid w:val="00893D80"/>
    <w:rsid w:val="00894393"/>
    <w:rsid w:val="00895420"/>
    <w:rsid w:val="008957CE"/>
    <w:rsid w:val="008A3BF9"/>
    <w:rsid w:val="008A5EAC"/>
    <w:rsid w:val="008B20FC"/>
    <w:rsid w:val="008B341F"/>
    <w:rsid w:val="008B47AF"/>
    <w:rsid w:val="008C0845"/>
    <w:rsid w:val="008C1892"/>
    <w:rsid w:val="008C2503"/>
    <w:rsid w:val="008C64E0"/>
    <w:rsid w:val="008C7CA5"/>
    <w:rsid w:val="008D089E"/>
    <w:rsid w:val="008D09AA"/>
    <w:rsid w:val="008D19CC"/>
    <w:rsid w:val="008D2A3F"/>
    <w:rsid w:val="008D2E76"/>
    <w:rsid w:val="008D3A14"/>
    <w:rsid w:val="008D4189"/>
    <w:rsid w:val="008E082F"/>
    <w:rsid w:val="008E298E"/>
    <w:rsid w:val="008E5682"/>
    <w:rsid w:val="008E6A84"/>
    <w:rsid w:val="008E75B9"/>
    <w:rsid w:val="008F25EE"/>
    <w:rsid w:val="008F4502"/>
    <w:rsid w:val="008F596A"/>
    <w:rsid w:val="008F5C4E"/>
    <w:rsid w:val="008F68DE"/>
    <w:rsid w:val="00903A99"/>
    <w:rsid w:val="0090458F"/>
    <w:rsid w:val="00905BC7"/>
    <w:rsid w:val="00907B73"/>
    <w:rsid w:val="00910190"/>
    <w:rsid w:val="0091110C"/>
    <w:rsid w:val="0091180B"/>
    <w:rsid w:val="009127C8"/>
    <w:rsid w:val="00912C13"/>
    <w:rsid w:val="009139B4"/>
    <w:rsid w:val="00913CF7"/>
    <w:rsid w:val="0091505A"/>
    <w:rsid w:val="00916D96"/>
    <w:rsid w:val="00917AD5"/>
    <w:rsid w:val="00934D7F"/>
    <w:rsid w:val="009357A3"/>
    <w:rsid w:val="0094113C"/>
    <w:rsid w:val="0094479A"/>
    <w:rsid w:val="00945858"/>
    <w:rsid w:val="00950992"/>
    <w:rsid w:val="00955B2F"/>
    <w:rsid w:val="00955E93"/>
    <w:rsid w:val="0095646F"/>
    <w:rsid w:val="00960091"/>
    <w:rsid w:val="00960206"/>
    <w:rsid w:val="00960E9A"/>
    <w:rsid w:val="009629C3"/>
    <w:rsid w:val="00962BDC"/>
    <w:rsid w:val="00963DE6"/>
    <w:rsid w:val="00967425"/>
    <w:rsid w:val="00972F19"/>
    <w:rsid w:val="009766DD"/>
    <w:rsid w:val="00977431"/>
    <w:rsid w:val="00977EF7"/>
    <w:rsid w:val="00987467"/>
    <w:rsid w:val="00987533"/>
    <w:rsid w:val="00990D02"/>
    <w:rsid w:val="00994FE1"/>
    <w:rsid w:val="009959B1"/>
    <w:rsid w:val="00996D14"/>
    <w:rsid w:val="009A1C10"/>
    <w:rsid w:val="009A32B6"/>
    <w:rsid w:val="009A530B"/>
    <w:rsid w:val="009A537D"/>
    <w:rsid w:val="009A7678"/>
    <w:rsid w:val="009B0688"/>
    <w:rsid w:val="009B1DA1"/>
    <w:rsid w:val="009B31D6"/>
    <w:rsid w:val="009B36E4"/>
    <w:rsid w:val="009C086A"/>
    <w:rsid w:val="009D11A4"/>
    <w:rsid w:val="009D2FD9"/>
    <w:rsid w:val="009D3627"/>
    <w:rsid w:val="009D51D2"/>
    <w:rsid w:val="009E5A87"/>
    <w:rsid w:val="009F1E49"/>
    <w:rsid w:val="009F2BD2"/>
    <w:rsid w:val="009F3149"/>
    <w:rsid w:val="009F3777"/>
    <w:rsid w:val="009F78E6"/>
    <w:rsid w:val="00A01E31"/>
    <w:rsid w:val="00A03B13"/>
    <w:rsid w:val="00A04B65"/>
    <w:rsid w:val="00A06715"/>
    <w:rsid w:val="00A0787D"/>
    <w:rsid w:val="00A10B2D"/>
    <w:rsid w:val="00A10F78"/>
    <w:rsid w:val="00A11A09"/>
    <w:rsid w:val="00A14C5D"/>
    <w:rsid w:val="00A14E6A"/>
    <w:rsid w:val="00A177A5"/>
    <w:rsid w:val="00A23B8A"/>
    <w:rsid w:val="00A268EA"/>
    <w:rsid w:val="00A34A44"/>
    <w:rsid w:val="00A366AA"/>
    <w:rsid w:val="00A409E1"/>
    <w:rsid w:val="00A419EA"/>
    <w:rsid w:val="00A441FF"/>
    <w:rsid w:val="00A4560C"/>
    <w:rsid w:val="00A46E76"/>
    <w:rsid w:val="00A47C69"/>
    <w:rsid w:val="00A521FE"/>
    <w:rsid w:val="00A55498"/>
    <w:rsid w:val="00A62B26"/>
    <w:rsid w:val="00A63D97"/>
    <w:rsid w:val="00A63F95"/>
    <w:rsid w:val="00A641CC"/>
    <w:rsid w:val="00A65E7A"/>
    <w:rsid w:val="00A65FD1"/>
    <w:rsid w:val="00A679F3"/>
    <w:rsid w:val="00A70EDF"/>
    <w:rsid w:val="00A723F8"/>
    <w:rsid w:val="00A73FA2"/>
    <w:rsid w:val="00A84DEA"/>
    <w:rsid w:val="00A8608C"/>
    <w:rsid w:val="00A92408"/>
    <w:rsid w:val="00A94F6E"/>
    <w:rsid w:val="00AA06AE"/>
    <w:rsid w:val="00AA0ED7"/>
    <w:rsid w:val="00AB0696"/>
    <w:rsid w:val="00AB4D85"/>
    <w:rsid w:val="00AB76CE"/>
    <w:rsid w:val="00AB7E03"/>
    <w:rsid w:val="00AC0E83"/>
    <w:rsid w:val="00AC3DBC"/>
    <w:rsid w:val="00AC41A5"/>
    <w:rsid w:val="00AC4380"/>
    <w:rsid w:val="00AC5813"/>
    <w:rsid w:val="00AC7BC0"/>
    <w:rsid w:val="00AD01A3"/>
    <w:rsid w:val="00AD13D6"/>
    <w:rsid w:val="00AD562B"/>
    <w:rsid w:val="00AE2955"/>
    <w:rsid w:val="00AE2E87"/>
    <w:rsid w:val="00AF143A"/>
    <w:rsid w:val="00AF2374"/>
    <w:rsid w:val="00AF3859"/>
    <w:rsid w:val="00AF44AF"/>
    <w:rsid w:val="00AF4882"/>
    <w:rsid w:val="00AF6578"/>
    <w:rsid w:val="00AF70C1"/>
    <w:rsid w:val="00B01795"/>
    <w:rsid w:val="00B028DC"/>
    <w:rsid w:val="00B03322"/>
    <w:rsid w:val="00B0343E"/>
    <w:rsid w:val="00B043F6"/>
    <w:rsid w:val="00B06A14"/>
    <w:rsid w:val="00B136FA"/>
    <w:rsid w:val="00B141F3"/>
    <w:rsid w:val="00B16543"/>
    <w:rsid w:val="00B16682"/>
    <w:rsid w:val="00B17AB3"/>
    <w:rsid w:val="00B229D8"/>
    <w:rsid w:val="00B245F6"/>
    <w:rsid w:val="00B4014F"/>
    <w:rsid w:val="00B43CEF"/>
    <w:rsid w:val="00B4506D"/>
    <w:rsid w:val="00B46639"/>
    <w:rsid w:val="00B5769D"/>
    <w:rsid w:val="00B60F0C"/>
    <w:rsid w:val="00B61C45"/>
    <w:rsid w:val="00B6562E"/>
    <w:rsid w:val="00B66E04"/>
    <w:rsid w:val="00B7018A"/>
    <w:rsid w:val="00B72803"/>
    <w:rsid w:val="00B74B1A"/>
    <w:rsid w:val="00B74C77"/>
    <w:rsid w:val="00B760E1"/>
    <w:rsid w:val="00B7641E"/>
    <w:rsid w:val="00B80545"/>
    <w:rsid w:val="00B82A8D"/>
    <w:rsid w:val="00B830CE"/>
    <w:rsid w:val="00B877B0"/>
    <w:rsid w:val="00B8782A"/>
    <w:rsid w:val="00B913B5"/>
    <w:rsid w:val="00B923F2"/>
    <w:rsid w:val="00B944DB"/>
    <w:rsid w:val="00B95A3B"/>
    <w:rsid w:val="00BA016B"/>
    <w:rsid w:val="00BA150B"/>
    <w:rsid w:val="00BA3FDB"/>
    <w:rsid w:val="00BA7D51"/>
    <w:rsid w:val="00BB0C79"/>
    <w:rsid w:val="00BB2ED1"/>
    <w:rsid w:val="00BB3518"/>
    <w:rsid w:val="00BB4A8F"/>
    <w:rsid w:val="00BB668F"/>
    <w:rsid w:val="00BC1EFA"/>
    <w:rsid w:val="00BC40E4"/>
    <w:rsid w:val="00BD02A2"/>
    <w:rsid w:val="00BD2902"/>
    <w:rsid w:val="00BD2F63"/>
    <w:rsid w:val="00BD5A0C"/>
    <w:rsid w:val="00BE184C"/>
    <w:rsid w:val="00BE58EA"/>
    <w:rsid w:val="00BE7EA1"/>
    <w:rsid w:val="00BF0F92"/>
    <w:rsid w:val="00BF7DD9"/>
    <w:rsid w:val="00C05FEB"/>
    <w:rsid w:val="00C1038C"/>
    <w:rsid w:val="00C10BAC"/>
    <w:rsid w:val="00C1184F"/>
    <w:rsid w:val="00C15104"/>
    <w:rsid w:val="00C15D1A"/>
    <w:rsid w:val="00C30116"/>
    <w:rsid w:val="00C37C77"/>
    <w:rsid w:val="00C37F4E"/>
    <w:rsid w:val="00C41DD4"/>
    <w:rsid w:val="00C500A1"/>
    <w:rsid w:val="00C531BD"/>
    <w:rsid w:val="00C55EE9"/>
    <w:rsid w:val="00C56A85"/>
    <w:rsid w:val="00C56E2C"/>
    <w:rsid w:val="00C666E3"/>
    <w:rsid w:val="00C712EC"/>
    <w:rsid w:val="00C72397"/>
    <w:rsid w:val="00C72689"/>
    <w:rsid w:val="00C72817"/>
    <w:rsid w:val="00C73115"/>
    <w:rsid w:val="00C748F3"/>
    <w:rsid w:val="00C74D38"/>
    <w:rsid w:val="00C75B7D"/>
    <w:rsid w:val="00C77F38"/>
    <w:rsid w:val="00C85FBC"/>
    <w:rsid w:val="00C86005"/>
    <w:rsid w:val="00C87CCD"/>
    <w:rsid w:val="00C92827"/>
    <w:rsid w:val="00C93C1A"/>
    <w:rsid w:val="00C978DE"/>
    <w:rsid w:val="00CA2F70"/>
    <w:rsid w:val="00CA566F"/>
    <w:rsid w:val="00CA6D4A"/>
    <w:rsid w:val="00CA768A"/>
    <w:rsid w:val="00CC09B3"/>
    <w:rsid w:val="00CC6EC4"/>
    <w:rsid w:val="00CC7D63"/>
    <w:rsid w:val="00CD2579"/>
    <w:rsid w:val="00CD268A"/>
    <w:rsid w:val="00CD3676"/>
    <w:rsid w:val="00CD6D87"/>
    <w:rsid w:val="00CE0B2D"/>
    <w:rsid w:val="00CE1E8C"/>
    <w:rsid w:val="00CE49AE"/>
    <w:rsid w:val="00CE5103"/>
    <w:rsid w:val="00CF4EB0"/>
    <w:rsid w:val="00D0076F"/>
    <w:rsid w:val="00D00D43"/>
    <w:rsid w:val="00D054A9"/>
    <w:rsid w:val="00D064A3"/>
    <w:rsid w:val="00D06C24"/>
    <w:rsid w:val="00D104BF"/>
    <w:rsid w:val="00D132B4"/>
    <w:rsid w:val="00D16B3C"/>
    <w:rsid w:val="00D202AD"/>
    <w:rsid w:val="00D231C8"/>
    <w:rsid w:val="00D25169"/>
    <w:rsid w:val="00D25D18"/>
    <w:rsid w:val="00D2675E"/>
    <w:rsid w:val="00D31199"/>
    <w:rsid w:val="00D3180C"/>
    <w:rsid w:val="00D40842"/>
    <w:rsid w:val="00D41BAB"/>
    <w:rsid w:val="00D434D2"/>
    <w:rsid w:val="00D43F14"/>
    <w:rsid w:val="00D450ED"/>
    <w:rsid w:val="00D45F42"/>
    <w:rsid w:val="00D460EB"/>
    <w:rsid w:val="00D4773E"/>
    <w:rsid w:val="00D506AB"/>
    <w:rsid w:val="00D5212F"/>
    <w:rsid w:val="00D566B6"/>
    <w:rsid w:val="00D7100E"/>
    <w:rsid w:val="00D71DFE"/>
    <w:rsid w:val="00D731D4"/>
    <w:rsid w:val="00D732D5"/>
    <w:rsid w:val="00D73363"/>
    <w:rsid w:val="00D73E6B"/>
    <w:rsid w:val="00D84DF2"/>
    <w:rsid w:val="00D8538B"/>
    <w:rsid w:val="00D86E21"/>
    <w:rsid w:val="00D91242"/>
    <w:rsid w:val="00D92BE7"/>
    <w:rsid w:val="00D9710A"/>
    <w:rsid w:val="00DA0372"/>
    <w:rsid w:val="00DA2CCD"/>
    <w:rsid w:val="00DA4B10"/>
    <w:rsid w:val="00DA5DA3"/>
    <w:rsid w:val="00DB09C5"/>
    <w:rsid w:val="00DB1E17"/>
    <w:rsid w:val="00DB3697"/>
    <w:rsid w:val="00DB706A"/>
    <w:rsid w:val="00DB7FF6"/>
    <w:rsid w:val="00DC0563"/>
    <w:rsid w:val="00DC1C4C"/>
    <w:rsid w:val="00DC20E6"/>
    <w:rsid w:val="00DC4741"/>
    <w:rsid w:val="00DC4C8C"/>
    <w:rsid w:val="00DC56A0"/>
    <w:rsid w:val="00DD12DA"/>
    <w:rsid w:val="00DD5989"/>
    <w:rsid w:val="00DD5F7F"/>
    <w:rsid w:val="00DD7962"/>
    <w:rsid w:val="00DE0E9F"/>
    <w:rsid w:val="00DE1DDB"/>
    <w:rsid w:val="00DE1E4F"/>
    <w:rsid w:val="00DE4154"/>
    <w:rsid w:val="00DE6363"/>
    <w:rsid w:val="00DE75E4"/>
    <w:rsid w:val="00DE79DF"/>
    <w:rsid w:val="00DF0880"/>
    <w:rsid w:val="00DF112F"/>
    <w:rsid w:val="00DF25C4"/>
    <w:rsid w:val="00DF5293"/>
    <w:rsid w:val="00DF6C2A"/>
    <w:rsid w:val="00E011DB"/>
    <w:rsid w:val="00E016C3"/>
    <w:rsid w:val="00E01934"/>
    <w:rsid w:val="00E0403C"/>
    <w:rsid w:val="00E040B3"/>
    <w:rsid w:val="00E0554F"/>
    <w:rsid w:val="00E05ACE"/>
    <w:rsid w:val="00E06731"/>
    <w:rsid w:val="00E1152E"/>
    <w:rsid w:val="00E11FD7"/>
    <w:rsid w:val="00E1463E"/>
    <w:rsid w:val="00E16E69"/>
    <w:rsid w:val="00E2024D"/>
    <w:rsid w:val="00E20723"/>
    <w:rsid w:val="00E20AC6"/>
    <w:rsid w:val="00E21E29"/>
    <w:rsid w:val="00E32ED1"/>
    <w:rsid w:val="00E33DD5"/>
    <w:rsid w:val="00E35A16"/>
    <w:rsid w:val="00E36564"/>
    <w:rsid w:val="00E368A6"/>
    <w:rsid w:val="00E3727D"/>
    <w:rsid w:val="00E41C3E"/>
    <w:rsid w:val="00E436CF"/>
    <w:rsid w:val="00E46FD1"/>
    <w:rsid w:val="00E501C6"/>
    <w:rsid w:val="00E50E9C"/>
    <w:rsid w:val="00E516A3"/>
    <w:rsid w:val="00E5765F"/>
    <w:rsid w:val="00E6002F"/>
    <w:rsid w:val="00E60C26"/>
    <w:rsid w:val="00E6549D"/>
    <w:rsid w:val="00E663A0"/>
    <w:rsid w:val="00E67371"/>
    <w:rsid w:val="00E706A5"/>
    <w:rsid w:val="00E715AB"/>
    <w:rsid w:val="00E73DAE"/>
    <w:rsid w:val="00E757B0"/>
    <w:rsid w:val="00E77437"/>
    <w:rsid w:val="00E82B82"/>
    <w:rsid w:val="00E83143"/>
    <w:rsid w:val="00E85F25"/>
    <w:rsid w:val="00E86C51"/>
    <w:rsid w:val="00E87D5E"/>
    <w:rsid w:val="00E93B09"/>
    <w:rsid w:val="00E94368"/>
    <w:rsid w:val="00E9519B"/>
    <w:rsid w:val="00E96741"/>
    <w:rsid w:val="00E97E68"/>
    <w:rsid w:val="00EA670C"/>
    <w:rsid w:val="00EB1BE3"/>
    <w:rsid w:val="00EB25AF"/>
    <w:rsid w:val="00EB2B31"/>
    <w:rsid w:val="00EB2B99"/>
    <w:rsid w:val="00EB32C8"/>
    <w:rsid w:val="00EB4211"/>
    <w:rsid w:val="00EB67BE"/>
    <w:rsid w:val="00EC37BF"/>
    <w:rsid w:val="00EC4FAB"/>
    <w:rsid w:val="00EC55C2"/>
    <w:rsid w:val="00EC7788"/>
    <w:rsid w:val="00EC7FEA"/>
    <w:rsid w:val="00ED02ED"/>
    <w:rsid w:val="00ED081D"/>
    <w:rsid w:val="00ED0A40"/>
    <w:rsid w:val="00ED0E94"/>
    <w:rsid w:val="00ED137F"/>
    <w:rsid w:val="00ED2878"/>
    <w:rsid w:val="00ED3578"/>
    <w:rsid w:val="00ED6FC9"/>
    <w:rsid w:val="00ED7851"/>
    <w:rsid w:val="00EE4214"/>
    <w:rsid w:val="00EE5F22"/>
    <w:rsid w:val="00EE71BE"/>
    <w:rsid w:val="00EF01F6"/>
    <w:rsid w:val="00EF1AE8"/>
    <w:rsid w:val="00EF1F18"/>
    <w:rsid w:val="00EF2A8C"/>
    <w:rsid w:val="00EF4059"/>
    <w:rsid w:val="00EF5F76"/>
    <w:rsid w:val="00EF617F"/>
    <w:rsid w:val="00EF6D39"/>
    <w:rsid w:val="00EF6E66"/>
    <w:rsid w:val="00F0557E"/>
    <w:rsid w:val="00F07674"/>
    <w:rsid w:val="00F111D7"/>
    <w:rsid w:val="00F125E1"/>
    <w:rsid w:val="00F12793"/>
    <w:rsid w:val="00F211CC"/>
    <w:rsid w:val="00F2418E"/>
    <w:rsid w:val="00F340FC"/>
    <w:rsid w:val="00F3590F"/>
    <w:rsid w:val="00F3676C"/>
    <w:rsid w:val="00F37123"/>
    <w:rsid w:val="00F40C0D"/>
    <w:rsid w:val="00F464DC"/>
    <w:rsid w:val="00F52A03"/>
    <w:rsid w:val="00F56EA0"/>
    <w:rsid w:val="00F610A7"/>
    <w:rsid w:val="00F6166F"/>
    <w:rsid w:val="00F6741C"/>
    <w:rsid w:val="00F67EF7"/>
    <w:rsid w:val="00F70C6F"/>
    <w:rsid w:val="00F74283"/>
    <w:rsid w:val="00F80329"/>
    <w:rsid w:val="00F84B7B"/>
    <w:rsid w:val="00F856F9"/>
    <w:rsid w:val="00F86FEE"/>
    <w:rsid w:val="00F94A9F"/>
    <w:rsid w:val="00F951C9"/>
    <w:rsid w:val="00F954D2"/>
    <w:rsid w:val="00F961BF"/>
    <w:rsid w:val="00F96347"/>
    <w:rsid w:val="00F96537"/>
    <w:rsid w:val="00F977F5"/>
    <w:rsid w:val="00FA19D6"/>
    <w:rsid w:val="00FA555C"/>
    <w:rsid w:val="00FA7084"/>
    <w:rsid w:val="00FB1FD6"/>
    <w:rsid w:val="00FB27F5"/>
    <w:rsid w:val="00FB4355"/>
    <w:rsid w:val="00FB538B"/>
    <w:rsid w:val="00FB59B2"/>
    <w:rsid w:val="00FC0F15"/>
    <w:rsid w:val="00FC1764"/>
    <w:rsid w:val="00FC26CD"/>
    <w:rsid w:val="00FC38CE"/>
    <w:rsid w:val="00FC394E"/>
    <w:rsid w:val="00FC54A7"/>
    <w:rsid w:val="00FD4785"/>
    <w:rsid w:val="00FD7BDC"/>
    <w:rsid w:val="00FE5514"/>
    <w:rsid w:val="00FE687B"/>
    <w:rsid w:val="00FF6ED6"/>
    <w:rsid w:val="00FF7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6D3F3"/>
  <w15:docId w15:val="{782704DC-CAEC-4F0D-BE5C-75028727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8957CE"/>
    <w:rPr>
      <w:color w:val="800080" w:themeColor="followedHyperlink"/>
      <w:u w:val="single"/>
    </w:rPr>
  </w:style>
  <w:style w:type="character" w:styleId="UnresolvedMention">
    <w:name w:val="Unresolved Mention"/>
    <w:basedOn w:val="DefaultParagraphFont"/>
    <w:uiPriority w:val="99"/>
    <w:semiHidden/>
    <w:unhideWhenUsed/>
    <w:rsid w:val="00A177A5"/>
    <w:rPr>
      <w:color w:val="605E5C"/>
      <w:shd w:val="clear" w:color="auto" w:fill="E1DFDD"/>
    </w:rPr>
  </w:style>
  <w:style w:type="character" w:customStyle="1" w:styleId="ListParagraphChar">
    <w:name w:val="List Paragraph Char"/>
    <w:basedOn w:val="DefaultParagraphFont"/>
    <w:link w:val="ListParagraph"/>
    <w:uiPriority w:val="34"/>
    <w:rsid w:val="00FD7BD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5854">
      <w:bodyDiv w:val="1"/>
      <w:marLeft w:val="0"/>
      <w:marRight w:val="0"/>
      <w:marTop w:val="0"/>
      <w:marBottom w:val="0"/>
      <w:divBdr>
        <w:top w:val="none" w:sz="0" w:space="0" w:color="auto"/>
        <w:left w:val="none" w:sz="0" w:space="0" w:color="auto"/>
        <w:bottom w:val="none" w:sz="0" w:space="0" w:color="auto"/>
        <w:right w:val="none" w:sz="0" w:space="0" w:color="auto"/>
      </w:divBdr>
      <w:divsChild>
        <w:div w:id="408774573">
          <w:marLeft w:val="0"/>
          <w:marRight w:val="0"/>
          <w:marTop w:val="0"/>
          <w:marBottom w:val="0"/>
          <w:divBdr>
            <w:top w:val="none" w:sz="0" w:space="0" w:color="auto"/>
            <w:left w:val="none" w:sz="0" w:space="0" w:color="auto"/>
            <w:bottom w:val="none" w:sz="0" w:space="0" w:color="auto"/>
            <w:right w:val="none" w:sz="0" w:space="0" w:color="auto"/>
          </w:divBdr>
          <w:divsChild>
            <w:div w:id="1633904388">
              <w:marLeft w:val="0"/>
              <w:marRight w:val="0"/>
              <w:marTop w:val="0"/>
              <w:marBottom w:val="0"/>
              <w:divBdr>
                <w:top w:val="none" w:sz="0" w:space="0" w:color="auto"/>
                <w:left w:val="none" w:sz="0" w:space="0" w:color="auto"/>
                <w:bottom w:val="none" w:sz="0" w:space="0" w:color="auto"/>
                <w:right w:val="none" w:sz="0" w:space="0" w:color="auto"/>
              </w:divBdr>
              <w:divsChild>
                <w:div w:id="640383788">
                  <w:marLeft w:val="0"/>
                  <w:marRight w:val="0"/>
                  <w:marTop w:val="0"/>
                  <w:marBottom w:val="0"/>
                  <w:divBdr>
                    <w:top w:val="none" w:sz="0" w:space="0" w:color="auto"/>
                    <w:left w:val="none" w:sz="0" w:space="0" w:color="auto"/>
                    <w:bottom w:val="none" w:sz="0" w:space="0" w:color="auto"/>
                    <w:right w:val="none" w:sz="0" w:space="0" w:color="auto"/>
                  </w:divBdr>
                  <w:divsChild>
                    <w:div w:id="1939364908">
                      <w:marLeft w:val="0"/>
                      <w:marRight w:val="0"/>
                      <w:marTop w:val="0"/>
                      <w:marBottom w:val="0"/>
                      <w:divBdr>
                        <w:top w:val="none" w:sz="0" w:space="0" w:color="auto"/>
                        <w:left w:val="none" w:sz="0" w:space="0" w:color="auto"/>
                        <w:bottom w:val="none" w:sz="0" w:space="0" w:color="auto"/>
                        <w:right w:val="none" w:sz="0" w:space="0" w:color="auto"/>
                      </w:divBdr>
                      <w:divsChild>
                        <w:div w:id="529879996">
                          <w:marLeft w:val="0"/>
                          <w:marRight w:val="0"/>
                          <w:marTop w:val="0"/>
                          <w:marBottom w:val="0"/>
                          <w:divBdr>
                            <w:top w:val="none" w:sz="0" w:space="0" w:color="auto"/>
                            <w:left w:val="none" w:sz="0" w:space="0" w:color="auto"/>
                            <w:bottom w:val="none" w:sz="0" w:space="0" w:color="auto"/>
                            <w:right w:val="none" w:sz="0" w:space="0" w:color="auto"/>
                          </w:divBdr>
                          <w:divsChild>
                            <w:div w:id="844243010">
                              <w:marLeft w:val="0"/>
                              <w:marRight w:val="0"/>
                              <w:marTop w:val="0"/>
                              <w:marBottom w:val="0"/>
                              <w:divBdr>
                                <w:top w:val="none" w:sz="0" w:space="0" w:color="auto"/>
                                <w:left w:val="none" w:sz="0" w:space="0" w:color="auto"/>
                                <w:bottom w:val="none" w:sz="0" w:space="0" w:color="auto"/>
                                <w:right w:val="none" w:sz="0" w:space="0" w:color="auto"/>
                              </w:divBdr>
                              <w:divsChild>
                                <w:div w:id="2075228430">
                                  <w:marLeft w:val="0"/>
                                  <w:marRight w:val="0"/>
                                  <w:marTop w:val="0"/>
                                  <w:marBottom w:val="0"/>
                                  <w:divBdr>
                                    <w:top w:val="none" w:sz="0" w:space="0" w:color="auto"/>
                                    <w:left w:val="none" w:sz="0" w:space="0" w:color="auto"/>
                                    <w:bottom w:val="none" w:sz="0" w:space="0" w:color="auto"/>
                                    <w:right w:val="none" w:sz="0" w:space="0" w:color="auto"/>
                                  </w:divBdr>
                                  <w:divsChild>
                                    <w:div w:id="2024623853">
                                      <w:marLeft w:val="0"/>
                                      <w:marRight w:val="0"/>
                                      <w:marTop w:val="0"/>
                                      <w:marBottom w:val="0"/>
                                      <w:divBdr>
                                        <w:top w:val="none" w:sz="0" w:space="0" w:color="auto"/>
                                        <w:left w:val="none" w:sz="0" w:space="0" w:color="auto"/>
                                        <w:bottom w:val="none" w:sz="0" w:space="0" w:color="auto"/>
                                        <w:right w:val="none" w:sz="0" w:space="0" w:color="auto"/>
                                      </w:divBdr>
                                      <w:divsChild>
                                        <w:div w:id="351348919">
                                          <w:marLeft w:val="0"/>
                                          <w:marRight w:val="0"/>
                                          <w:marTop w:val="0"/>
                                          <w:marBottom w:val="0"/>
                                          <w:divBdr>
                                            <w:top w:val="none" w:sz="0" w:space="0" w:color="auto"/>
                                            <w:left w:val="none" w:sz="0" w:space="0" w:color="auto"/>
                                            <w:bottom w:val="none" w:sz="0" w:space="0" w:color="auto"/>
                                            <w:right w:val="none" w:sz="0" w:space="0" w:color="auto"/>
                                          </w:divBdr>
                                          <w:divsChild>
                                            <w:div w:id="1651013067">
                                              <w:marLeft w:val="0"/>
                                              <w:marRight w:val="0"/>
                                              <w:marTop w:val="0"/>
                                              <w:marBottom w:val="0"/>
                                              <w:divBdr>
                                                <w:top w:val="none" w:sz="0" w:space="0" w:color="auto"/>
                                                <w:left w:val="none" w:sz="0" w:space="0" w:color="auto"/>
                                                <w:bottom w:val="none" w:sz="0" w:space="0" w:color="auto"/>
                                                <w:right w:val="none" w:sz="0" w:space="0" w:color="auto"/>
                                              </w:divBdr>
                                              <w:divsChild>
                                                <w:div w:id="1451779252">
                                                  <w:marLeft w:val="0"/>
                                                  <w:marRight w:val="0"/>
                                                  <w:marTop w:val="0"/>
                                                  <w:marBottom w:val="0"/>
                                                  <w:divBdr>
                                                    <w:top w:val="none" w:sz="0" w:space="0" w:color="auto"/>
                                                    <w:left w:val="none" w:sz="0" w:space="0" w:color="auto"/>
                                                    <w:bottom w:val="none" w:sz="0" w:space="0" w:color="auto"/>
                                                    <w:right w:val="none" w:sz="0" w:space="0" w:color="auto"/>
                                                  </w:divBdr>
                                                  <w:divsChild>
                                                    <w:div w:id="748234530">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87668">
      <w:bodyDiv w:val="1"/>
      <w:marLeft w:val="0"/>
      <w:marRight w:val="0"/>
      <w:marTop w:val="0"/>
      <w:marBottom w:val="0"/>
      <w:divBdr>
        <w:top w:val="none" w:sz="0" w:space="0" w:color="auto"/>
        <w:left w:val="none" w:sz="0" w:space="0" w:color="auto"/>
        <w:bottom w:val="none" w:sz="0" w:space="0" w:color="auto"/>
        <w:right w:val="none" w:sz="0" w:space="0" w:color="auto"/>
      </w:divBdr>
      <w:divsChild>
        <w:div w:id="567114701">
          <w:marLeft w:val="0"/>
          <w:marRight w:val="0"/>
          <w:marTop w:val="0"/>
          <w:marBottom w:val="0"/>
          <w:divBdr>
            <w:top w:val="none" w:sz="0" w:space="0" w:color="auto"/>
            <w:left w:val="none" w:sz="0" w:space="0" w:color="auto"/>
            <w:bottom w:val="none" w:sz="0" w:space="0" w:color="auto"/>
            <w:right w:val="none" w:sz="0" w:space="0" w:color="auto"/>
          </w:divBdr>
          <w:divsChild>
            <w:div w:id="1585605544">
              <w:marLeft w:val="0"/>
              <w:marRight w:val="0"/>
              <w:marTop w:val="0"/>
              <w:marBottom w:val="0"/>
              <w:divBdr>
                <w:top w:val="none" w:sz="0" w:space="0" w:color="auto"/>
                <w:left w:val="none" w:sz="0" w:space="0" w:color="auto"/>
                <w:bottom w:val="none" w:sz="0" w:space="0" w:color="auto"/>
                <w:right w:val="none" w:sz="0" w:space="0" w:color="auto"/>
              </w:divBdr>
              <w:divsChild>
                <w:div w:id="1787844246">
                  <w:marLeft w:val="0"/>
                  <w:marRight w:val="0"/>
                  <w:marTop w:val="0"/>
                  <w:marBottom w:val="0"/>
                  <w:divBdr>
                    <w:top w:val="none" w:sz="0" w:space="0" w:color="auto"/>
                    <w:left w:val="none" w:sz="0" w:space="0" w:color="auto"/>
                    <w:bottom w:val="none" w:sz="0" w:space="0" w:color="auto"/>
                    <w:right w:val="none" w:sz="0" w:space="0" w:color="auto"/>
                  </w:divBdr>
                  <w:divsChild>
                    <w:div w:id="207033768">
                      <w:marLeft w:val="0"/>
                      <w:marRight w:val="0"/>
                      <w:marTop w:val="0"/>
                      <w:marBottom w:val="0"/>
                      <w:divBdr>
                        <w:top w:val="none" w:sz="0" w:space="0" w:color="auto"/>
                        <w:left w:val="none" w:sz="0" w:space="0" w:color="auto"/>
                        <w:bottom w:val="none" w:sz="0" w:space="0" w:color="auto"/>
                        <w:right w:val="none" w:sz="0" w:space="0" w:color="auto"/>
                      </w:divBdr>
                      <w:divsChild>
                        <w:div w:id="1948540865">
                          <w:marLeft w:val="0"/>
                          <w:marRight w:val="0"/>
                          <w:marTop w:val="0"/>
                          <w:marBottom w:val="0"/>
                          <w:divBdr>
                            <w:top w:val="none" w:sz="0" w:space="0" w:color="auto"/>
                            <w:left w:val="none" w:sz="0" w:space="0" w:color="auto"/>
                            <w:bottom w:val="none" w:sz="0" w:space="0" w:color="auto"/>
                            <w:right w:val="none" w:sz="0" w:space="0" w:color="auto"/>
                          </w:divBdr>
                          <w:divsChild>
                            <w:div w:id="1814176079">
                              <w:marLeft w:val="0"/>
                              <w:marRight w:val="0"/>
                              <w:marTop w:val="0"/>
                              <w:marBottom w:val="0"/>
                              <w:divBdr>
                                <w:top w:val="none" w:sz="0" w:space="0" w:color="auto"/>
                                <w:left w:val="none" w:sz="0" w:space="0" w:color="auto"/>
                                <w:bottom w:val="none" w:sz="0" w:space="0" w:color="auto"/>
                                <w:right w:val="none" w:sz="0" w:space="0" w:color="auto"/>
                              </w:divBdr>
                              <w:divsChild>
                                <w:div w:id="1768648928">
                                  <w:marLeft w:val="0"/>
                                  <w:marRight w:val="0"/>
                                  <w:marTop w:val="0"/>
                                  <w:marBottom w:val="0"/>
                                  <w:divBdr>
                                    <w:top w:val="none" w:sz="0" w:space="0" w:color="auto"/>
                                    <w:left w:val="none" w:sz="0" w:space="0" w:color="auto"/>
                                    <w:bottom w:val="none" w:sz="0" w:space="0" w:color="auto"/>
                                    <w:right w:val="none" w:sz="0" w:space="0" w:color="auto"/>
                                  </w:divBdr>
                                  <w:divsChild>
                                    <w:div w:id="138422544">
                                      <w:marLeft w:val="0"/>
                                      <w:marRight w:val="0"/>
                                      <w:marTop w:val="0"/>
                                      <w:marBottom w:val="0"/>
                                      <w:divBdr>
                                        <w:top w:val="none" w:sz="0" w:space="0" w:color="auto"/>
                                        <w:left w:val="none" w:sz="0" w:space="0" w:color="auto"/>
                                        <w:bottom w:val="none" w:sz="0" w:space="0" w:color="auto"/>
                                        <w:right w:val="none" w:sz="0" w:space="0" w:color="auto"/>
                                      </w:divBdr>
                                      <w:divsChild>
                                        <w:div w:id="1573657962">
                                          <w:marLeft w:val="0"/>
                                          <w:marRight w:val="0"/>
                                          <w:marTop w:val="0"/>
                                          <w:marBottom w:val="0"/>
                                          <w:divBdr>
                                            <w:top w:val="none" w:sz="0" w:space="0" w:color="auto"/>
                                            <w:left w:val="none" w:sz="0" w:space="0" w:color="auto"/>
                                            <w:bottom w:val="none" w:sz="0" w:space="0" w:color="auto"/>
                                            <w:right w:val="none" w:sz="0" w:space="0" w:color="auto"/>
                                          </w:divBdr>
                                          <w:divsChild>
                                            <w:div w:id="777067264">
                                              <w:marLeft w:val="0"/>
                                              <w:marRight w:val="0"/>
                                              <w:marTop w:val="0"/>
                                              <w:marBottom w:val="0"/>
                                              <w:divBdr>
                                                <w:top w:val="none" w:sz="0" w:space="0" w:color="auto"/>
                                                <w:left w:val="none" w:sz="0" w:space="0" w:color="auto"/>
                                                <w:bottom w:val="none" w:sz="0" w:space="0" w:color="auto"/>
                                                <w:right w:val="none" w:sz="0" w:space="0" w:color="auto"/>
                                              </w:divBdr>
                                              <w:divsChild>
                                                <w:div w:id="1056004223">
                                                  <w:marLeft w:val="0"/>
                                                  <w:marRight w:val="0"/>
                                                  <w:marTop w:val="0"/>
                                                  <w:marBottom w:val="0"/>
                                                  <w:divBdr>
                                                    <w:top w:val="none" w:sz="0" w:space="0" w:color="auto"/>
                                                    <w:left w:val="none" w:sz="0" w:space="0" w:color="auto"/>
                                                    <w:bottom w:val="none" w:sz="0" w:space="0" w:color="auto"/>
                                                    <w:right w:val="none" w:sz="0" w:space="0" w:color="auto"/>
                                                  </w:divBdr>
                                                  <w:divsChild>
                                                    <w:div w:id="1776901135">
                                                      <w:marLeft w:val="0"/>
                                                      <w:marRight w:val="0"/>
                                                      <w:marTop w:val="0"/>
                                                      <w:marBottom w:val="0"/>
                                                      <w:divBdr>
                                                        <w:top w:val="none" w:sz="0" w:space="0" w:color="auto"/>
                                                        <w:left w:val="none" w:sz="0" w:space="0" w:color="auto"/>
                                                        <w:bottom w:val="none" w:sz="0" w:space="0" w:color="auto"/>
                                                        <w:right w:val="none" w:sz="0" w:space="0" w:color="auto"/>
                                                      </w:divBdr>
                                                      <w:divsChild>
                                                        <w:div w:id="126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763868">
      <w:bodyDiv w:val="1"/>
      <w:marLeft w:val="0"/>
      <w:marRight w:val="0"/>
      <w:marTop w:val="0"/>
      <w:marBottom w:val="0"/>
      <w:divBdr>
        <w:top w:val="none" w:sz="0" w:space="0" w:color="auto"/>
        <w:left w:val="none" w:sz="0" w:space="0" w:color="auto"/>
        <w:bottom w:val="none" w:sz="0" w:space="0" w:color="auto"/>
        <w:right w:val="none" w:sz="0" w:space="0" w:color="auto"/>
      </w:divBdr>
      <w:divsChild>
        <w:div w:id="1760832696">
          <w:marLeft w:val="0"/>
          <w:marRight w:val="0"/>
          <w:marTop w:val="0"/>
          <w:marBottom w:val="0"/>
          <w:divBdr>
            <w:top w:val="none" w:sz="0" w:space="0" w:color="auto"/>
            <w:left w:val="none" w:sz="0" w:space="0" w:color="auto"/>
            <w:bottom w:val="none" w:sz="0" w:space="0" w:color="auto"/>
            <w:right w:val="none" w:sz="0" w:space="0" w:color="auto"/>
          </w:divBdr>
          <w:divsChild>
            <w:div w:id="52241436">
              <w:marLeft w:val="0"/>
              <w:marRight w:val="0"/>
              <w:marTop w:val="0"/>
              <w:marBottom w:val="0"/>
              <w:divBdr>
                <w:top w:val="none" w:sz="0" w:space="0" w:color="auto"/>
                <w:left w:val="none" w:sz="0" w:space="0" w:color="auto"/>
                <w:bottom w:val="none" w:sz="0" w:space="0" w:color="auto"/>
                <w:right w:val="none" w:sz="0" w:space="0" w:color="auto"/>
              </w:divBdr>
              <w:divsChild>
                <w:div w:id="1533030293">
                  <w:marLeft w:val="0"/>
                  <w:marRight w:val="0"/>
                  <w:marTop w:val="0"/>
                  <w:marBottom w:val="0"/>
                  <w:divBdr>
                    <w:top w:val="none" w:sz="0" w:space="0" w:color="auto"/>
                    <w:left w:val="none" w:sz="0" w:space="0" w:color="auto"/>
                    <w:bottom w:val="none" w:sz="0" w:space="0" w:color="auto"/>
                    <w:right w:val="none" w:sz="0" w:space="0" w:color="auto"/>
                  </w:divBdr>
                  <w:divsChild>
                    <w:div w:id="1875926585">
                      <w:marLeft w:val="0"/>
                      <w:marRight w:val="0"/>
                      <w:marTop w:val="0"/>
                      <w:marBottom w:val="0"/>
                      <w:divBdr>
                        <w:top w:val="none" w:sz="0" w:space="0" w:color="auto"/>
                        <w:left w:val="none" w:sz="0" w:space="0" w:color="auto"/>
                        <w:bottom w:val="none" w:sz="0" w:space="0" w:color="auto"/>
                        <w:right w:val="none" w:sz="0" w:space="0" w:color="auto"/>
                      </w:divBdr>
                      <w:divsChild>
                        <w:div w:id="1845826888">
                          <w:marLeft w:val="0"/>
                          <w:marRight w:val="0"/>
                          <w:marTop w:val="0"/>
                          <w:marBottom w:val="0"/>
                          <w:divBdr>
                            <w:top w:val="none" w:sz="0" w:space="0" w:color="auto"/>
                            <w:left w:val="none" w:sz="0" w:space="0" w:color="auto"/>
                            <w:bottom w:val="none" w:sz="0" w:space="0" w:color="auto"/>
                            <w:right w:val="none" w:sz="0" w:space="0" w:color="auto"/>
                          </w:divBdr>
                          <w:divsChild>
                            <w:div w:id="1207643112">
                              <w:marLeft w:val="0"/>
                              <w:marRight w:val="0"/>
                              <w:marTop w:val="0"/>
                              <w:marBottom w:val="0"/>
                              <w:divBdr>
                                <w:top w:val="none" w:sz="0" w:space="0" w:color="auto"/>
                                <w:left w:val="none" w:sz="0" w:space="0" w:color="auto"/>
                                <w:bottom w:val="none" w:sz="0" w:space="0" w:color="auto"/>
                                <w:right w:val="none" w:sz="0" w:space="0" w:color="auto"/>
                              </w:divBdr>
                              <w:divsChild>
                                <w:div w:id="585267407">
                                  <w:marLeft w:val="0"/>
                                  <w:marRight w:val="0"/>
                                  <w:marTop w:val="0"/>
                                  <w:marBottom w:val="0"/>
                                  <w:divBdr>
                                    <w:top w:val="none" w:sz="0" w:space="0" w:color="auto"/>
                                    <w:left w:val="none" w:sz="0" w:space="0" w:color="auto"/>
                                    <w:bottom w:val="none" w:sz="0" w:space="0" w:color="auto"/>
                                    <w:right w:val="none" w:sz="0" w:space="0" w:color="auto"/>
                                  </w:divBdr>
                                  <w:divsChild>
                                    <w:div w:id="1190680823">
                                      <w:marLeft w:val="0"/>
                                      <w:marRight w:val="0"/>
                                      <w:marTop w:val="0"/>
                                      <w:marBottom w:val="0"/>
                                      <w:divBdr>
                                        <w:top w:val="none" w:sz="0" w:space="0" w:color="auto"/>
                                        <w:left w:val="none" w:sz="0" w:space="0" w:color="auto"/>
                                        <w:bottom w:val="none" w:sz="0" w:space="0" w:color="auto"/>
                                        <w:right w:val="none" w:sz="0" w:space="0" w:color="auto"/>
                                      </w:divBdr>
                                      <w:divsChild>
                                        <w:div w:id="1861119853">
                                          <w:marLeft w:val="0"/>
                                          <w:marRight w:val="0"/>
                                          <w:marTop w:val="0"/>
                                          <w:marBottom w:val="0"/>
                                          <w:divBdr>
                                            <w:top w:val="none" w:sz="0" w:space="0" w:color="auto"/>
                                            <w:left w:val="none" w:sz="0" w:space="0" w:color="auto"/>
                                            <w:bottom w:val="none" w:sz="0" w:space="0" w:color="auto"/>
                                            <w:right w:val="none" w:sz="0" w:space="0" w:color="auto"/>
                                          </w:divBdr>
                                          <w:divsChild>
                                            <w:div w:id="1277329316">
                                              <w:marLeft w:val="0"/>
                                              <w:marRight w:val="0"/>
                                              <w:marTop w:val="0"/>
                                              <w:marBottom w:val="0"/>
                                              <w:divBdr>
                                                <w:top w:val="none" w:sz="0" w:space="0" w:color="auto"/>
                                                <w:left w:val="none" w:sz="0" w:space="0" w:color="auto"/>
                                                <w:bottom w:val="none" w:sz="0" w:space="0" w:color="auto"/>
                                                <w:right w:val="none" w:sz="0" w:space="0" w:color="auto"/>
                                              </w:divBdr>
                                              <w:divsChild>
                                                <w:div w:id="1431463531">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sChild>
                                                        <w:div w:id="20846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909549">
      <w:bodyDiv w:val="1"/>
      <w:marLeft w:val="0"/>
      <w:marRight w:val="0"/>
      <w:marTop w:val="0"/>
      <w:marBottom w:val="0"/>
      <w:divBdr>
        <w:top w:val="none" w:sz="0" w:space="0" w:color="auto"/>
        <w:left w:val="none" w:sz="0" w:space="0" w:color="auto"/>
        <w:bottom w:val="none" w:sz="0" w:space="0" w:color="auto"/>
        <w:right w:val="none" w:sz="0" w:space="0" w:color="auto"/>
      </w:divBdr>
    </w:div>
    <w:div w:id="608513464">
      <w:bodyDiv w:val="1"/>
      <w:marLeft w:val="0"/>
      <w:marRight w:val="0"/>
      <w:marTop w:val="0"/>
      <w:marBottom w:val="0"/>
      <w:divBdr>
        <w:top w:val="none" w:sz="0" w:space="0" w:color="auto"/>
        <w:left w:val="none" w:sz="0" w:space="0" w:color="auto"/>
        <w:bottom w:val="none" w:sz="0" w:space="0" w:color="auto"/>
        <w:right w:val="none" w:sz="0" w:space="0" w:color="auto"/>
      </w:divBdr>
      <w:divsChild>
        <w:div w:id="183515981">
          <w:marLeft w:val="0"/>
          <w:marRight w:val="0"/>
          <w:marTop w:val="0"/>
          <w:marBottom w:val="0"/>
          <w:divBdr>
            <w:top w:val="none" w:sz="0" w:space="0" w:color="auto"/>
            <w:left w:val="none" w:sz="0" w:space="0" w:color="auto"/>
            <w:bottom w:val="none" w:sz="0" w:space="0" w:color="auto"/>
            <w:right w:val="none" w:sz="0" w:space="0" w:color="auto"/>
          </w:divBdr>
          <w:divsChild>
            <w:div w:id="1753046460">
              <w:marLeft w:val="0"/>
              <w:marRight w:val="0"/>
              <w:marTop w:val="0"/>
              <w:marBottom w:val="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542325642">
                      <w:marLeft w:val="0"/>
                      <w:marRight w:val="0"/>
                      <w:marTop w:val="0"/>
                      <w:marBottom w:val="0"/>
                      <w:divBdr>
                        <w:top w:val="none" w:sz="0" w:space="0" w:color="auto"/>
                        <w:left w:val="none" w:sz="0" w:space="0" w:color="auto"/>
                        <w:bottom w:val="none" w:sz="0" w:space="0" w:color="auto"/>
                        <w:right w:val="none" w:sz="0" w:space="0" w:color="auto"/>
                      </w:divBdr>
                      <w:divsChild>
                        <w:div w:id="86999572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sChild>
                                            <w:div w:id="487212837">
                                              <w:marLeft w:val="0"/>
                                              <w:marRight w:val="0"/>
                                              <w:marTop w:val="0"/>
                                              <w:marBottom w:val="0"/>
                                              <w:divBdr>
                                                <w:top w:val="none" w:sz="0" w:space="0" w:color="auto"/>
                                                <w:left w:val="none" w:sz="0" w:space="0" w:color="auto"/>
                                                <w:bottom w:val="none" w:sz="0" w:space="0" w:color="auto"/>
                                                <w:right w:val="none" w:sz="0" w:space="0" w:color="auto"/>
                                              </w:divBdr>
                                              <w:divsChild>
                                                <w:div w:id="1901397794">
                                                  <w:marLeft w:val="0"/>
                                                  <w:marRight w:val="0"/>
                                                  <w:marTop w:val="0"/>
                                                  <w:marBottom w:val="0"/>
                                                  <w:divBdr>
                                                    <w:top w:val="none" w:sz="0" w:space="0" w:color="auto"/>
                                                    <w:left w:val="none" w:sz="0" w:space="0" w:color="auto"/>
                                                    <w:bottom w:val="none" w:sz="0" w:space="0" w:color="auto"/>
                                                    <w:right w:val="none" w:sz="0" w:space="0" w:color="auto"/>
                                                  </w:divBdr>
                                                  <w:divsChild>
                                                    <w:div w:id="2074349372">
                                                      <w:marLeft w:val="0"/>
                                                      <w:marRight w:val="0"/>
                                                      <w:marTop w:val="0"/>
                                                      <w:marBottom w:val="0"/>
                                                      <w:divBdr>
                                                        <w:top w:val="none" w:sz="0" w:space="0" w:color="auto"/>
                                                        <w:left w:val="none" w:sz="0" w:space="0" w:color="auto"/>
                                                        <w:bottom w:val="none" w:sz="0" w:space="0" w:color="auto"/>
                                                        <w:right w:val="none" w:sz="0" w:space="0" w:color="auto"/>
                                                      </w:divBdr>
                                                      <w:divsChild>
                                                        <w:div w:id="188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194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05">
          <w:marLeft w:val="0"/>
          <w:marRight w:val="0"/>
          <w:marTop w:val="0"/>
          <w:marBottom w:val="0"/>
          <w:divBdr>
            <w:top w:val="none" w:sz="0" w:space="0" w:color="auto"/>
            <w:left w:val="none" w:sz="0" w:space="0" w:color="auto"/>
            <w:bottom w:val="none" w:sz="0" w:space="0" w:color="auto"/>
            <w:right w:val="none" w:sz="0" w:space="0" w:color="auto"/>
          </w:divBdr>
          <w:divsChild>
            <w:div w:id="834536123">
              <w:marLeft w:val="0"/>
              <w:marRight w:val="0"/>
              <w:marTop w:val="0"/>
              <w:marBottom w:val="0"/>
              <w:divBdr>
                <w:top w:val="none" w:sz="0" w:space="0" w:color="auto"/>
                <w:left w:val="none" w:sz="0" w:space="0" w:color="auto"/>
                <w:bottom w:val="none" w:sz="0" w:space="0" w:color="auto"/>
                <w:right w:val="none" w:sz="0" w:space="0" w:color="auto"/>
              </w:divBdr>
              <w:divsChild>
                <w:div w:id="372048287">
                  <w:marLeft w:val="0"/>
                  <w:marRight w:val="0"/>
                  <w:marTop w:val="0"/>
                  <w:marBottom w:val="0"/>
                  <w:divBdr>
                    <w:top w:val="none" w:sz="0" w:space="0" w:color="auto"/>
                    <w:left w:val="none" w:sz="0" w:space="0" w:color="auto"/>
                    <w:bottom w:val="none" w:sz="0" w:space="0" w:color="auto"/>
                    <w:right w:val="none" w:sz="0" w:space="0" w:color="auto"/>
                  </w:divBdr>
                  <w:divsChild>
                    <w:div w:id="1675106867">
                      <w:marLeft w:val="0"/>
                      <w:marRight w:val="0"/>
                      <w:marTop w:val="0"/>
                      <w:marBottom w:val="0"/>
                      <w:divBdr>
                        <w:top w:val="none" w:sz="0" w:space="0" w:color="auto"/>
                        <w:left w:val="none" w:sz="0" w:space="0" w:color="auto"/>
                        <w:bottom w:val="none" w:sz="0" w:space="0" w:color="auto"/>
                        <w:right w:val="none" w:sz="0" w:space="0" w:color="auto"/>
                      </w:divBdr>
                      <w:divsChild>
                        <w:div w:id="1993873179">
                          <w:marLeft w:val="0"/>
                          <w:marRight w:val="0"/>
                          <w:marTop w:val="0"/>
                          <w:marBottom w:val="0"/>
                          <w:divBdr>
                            <w:top w:val="none" w:sz="0" w:space="0" w:color="auto"/>
                            <w:left w:val="none" w:sz="0" w:space="0" w:color="auto"/>
                            <w:bottom w:val="none" w:sz="0" w:space="0" w:color="auto"/>
                            <w:right w:val="none" w:sz="0" w:space="0" w:color="auto"/>
                          </w:divBdr>
                          <w:divsChild>
                            <w:div w:id="1657103090">
                              <w:marLeft w:val="0"/>
                              <w:marRight w:val="0"/>
                              <w:marTop w:val="0"/>
                              <w:marBottom w:val="0"/>
                              <w:divBdr>
                                <w:top w:val="none" w:sz="0" w:space="0" w:color="auto"/>
                                <w:left w:val="none" w:sz="0" w:space="0" w:color="auto"/>
                                <w:bottom w:val="none" w:sz="0" w:space="0" w:color="auto"/>
                                <w:right w:val="none" w:sz="0" w:space="0" w:color="auto"/>
                              </w:divBdr>
                              <w:divsChild>
                                <w:div w:id="1068184612">
                                  <w:marLeft w:val="0"/>
                                  <w:marRight w:val="0"/>
                                  <w:marTop w:val="0"/>
                                  <w:marBottom w:val="0"/>
                                  <w:divBdr>
                                    <w:top w:val="none" w:sz="0" w:space="0" w:color="auto"/>
                                    <w:left w:val="none" w:sz="0" w:space="0" w:color="auto"/>
                                    <w:bottom w:val="none" w:sz="0" w:space="0" w:color="auto"/>
                                    <w:right w:val="none" w:sz="0" w:space="0" w:color="auto"/>
                                  </w:divBdr>
                                  <w:divsChild>
                                    <w:div w:id="2141266905">
                                      <w:marLeft w:val="0"/>
                                      <w:marRight w:val="0"/>
                                      <w:marTop w:val="0"/>
                                      <w:marBottom w:val="0"/>
                                      <w:divBdr>
                                        <w:top w:val="none" w:sz="0" w:space="0" w:color="auto"/>
                                        <w:left w:val="none" w:sz="0" w:space="0" w:color="auto"/>
                                        <w:bottom w:val="none" w:sz="0" w:space="0" w:color="auto"/>
                                        <w:right w:val="none" w:sz="0" w:space="0" w:color="auto"/>
                                      </w:divBdr>
                                      <w:divsChild>
                                        <w:div w:id="273564937">
                                          <w:marLeft w:val="0"/>
                                          <w:marRight w:val="0"/>
                                          <w:marTop w:val="0"/>
                                          <w:marBottom w:val="0"/>
                                          <w:divBdr>
                                            <w:top w:val="none" w:sz="0" w:space="0" w:color="auto"/>
                                            <w:left w:val="none" w:sz="0" w:space="0" w:color="auto"/>
                                            <w:bottom w:val="none" w:sz="0" w:space="0" w:color="auto"/>
                                            <w:right w:val="none" w:sz="0" w:space="0" w:color="auto"/>
                                          </w:divBdr>
                                          <w:divsChild>
                                            <w:div w:id="1421833605">
                                              <w:marLeft w:val="0"/>
                                              <w:marRight w:val="0"/>
                                              <w:marTop w:val="0"/>
                                              <w:marBottom w:val="0"/>
                                              <w:divBdr>
                                                <w:top w:val="none" w:sz="0" w:space="0" w:color="auto"/>
                                                <w:left w:val="none" w:sz="0" w:space="0" w:color="auto"/>
                                                <w:bottom w:val="none" w:sz="0" w:space="0" w:color="auto"/>
                                                <w:right w:val="none" w:sz="0" w:space="0" w:color="auto"/>
                                              </w:divBdr>
                                              <w:divsChild>
                                                <w:div w:id="802385503">
                                                  <w:marLeft w:val="0"/>
                                                  <w:marRight w:val="0"/>
                                                  <w:marTop w:val="0"/>
                                                  <w:marBottom w:val="0"/>
                                                  <w:divBdr>
                                                    <w:top w:val="none" w:sz="0" w:space="0" w:color="auto"/>
                                                    <w:left w:val="none" w:sz="0" w:space="0" w:color="auto"/>
                                                    <w:bottom w:val="none" w:sz="0" w:space="0" w:color="auto"/>
                                                    <w:right w:val="none" w:sz="0" w:space="0" w:color="auto"/>
                                                  </w:divBdr>
                                                  <w:divsChild>
                                                    <w:div w:id="2122872184">
                                                      <w:marLeft w:val="0"/>
                                                      <w:marRight w:val="0"/>
                                                      <w:marTop w:val="0"/>
                                                      <w:marBottom w:val="0"/>
                                                      <w:divBdr>
                                                        <w:top w:val="none" w:sz="0" w:space="0" w:color="auto"/>
                                                        <w:left w:val="none" w:sz="0" w:space="0" w:color="auto"/>
                                                        <w:bottom w:val="none" w:sz="0" w:space="0" w:color="auto"/>
                                                        <w:right w:val="none" w:sz="0" w:space="0" w:color="auto"/>
                                                      </w:divBdr>
                                                      <w:divsChild>
                                                        <w:div w:id="3235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799338">
      <w:bodyDiv w:val="1"/>
      <w:marLeft w:val="0"/>
      <w:marRight w:val="0"/>
      <w:marTop w:val="0"/>
      <w:marBottom w:val="0"/>
      <w:divBdr>
        <w:top w:val="none" w:sz="0" w:space="0" w:color="auto"/>
        <w:left w:val="none" w:sz="0" w:space="0" w:color="auto"/>
        <w:bottom w:val="none" w:sz="0" w:space="0" w:color="auto"/>
        <w:right w:val="none" w:sz="0" w:space="0" w:color="auto"/>
      </w:divBdr>
    </w:div>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029898">
      <w:bodyDiv w:val="1"/>
      <w:marLeft w:val="0"/>
      <w:marRight w:val="0"/>
      <w:marTop w:val="0"/>
      <w:marBottom w:val="0"/>
      <w:divBdr>
        <w:top w:val="none" w:sz="0" w:space="0" w:color="auto"/>
        <w:left w:val="none" w:sz="0" w:space="0" w:color="auto"/>
        <w:bottom w:val="none" w:sz="0" w:space="0" w:color="auto"/>
        <w:right w:val="none" w:sz="0" w:space="0" w:color="auto"/>
      </w:divBdr>
    </w:div>
    <w:div w:id="1282151935">
      <w:bodyDiv w:val="1"/>
      <w:marLeft w:val="0"/>
      <w:marRight w:val="0"/>
      <w:marTop w:val="0"/>
      <w:marBottom w:val="0"/>
      <w:divBdr>
        <w:top w:val="none" w:sz="0" w:space="0" w:color="auto"/>
        <w:left w:val="none" w:sz="0" w:space="0" w:color="auto"/>
        <w:bottom w:val="none" w:sz="0" w:space="0" w:color="auto"/>
        <w:right w:val="none" w:sz="0" w:space="0" w:color="auto"/>
      </w:divBdr>
    </w:div>
    <w:div w:id="1305348669">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933829">
      <w:bodyDiv w:val="1"/>
      <w:marLeft w:val="0"/>
      <w:marRight w:val="0"/>
      <w:marTop w:val="0"/>
      <w:marBottom w:val="0"/>
      <w:divBdr>
        <w:top w:val="none" w:sz="0" w:space="0" w:color="auto"/>
        <w:left w:val="none" w:sz="0" w:space="0" w:color="auto"/>
        <w:bottom w:val="none" w:sz="0" w:space="0" w:color="auto"/>
        <w:right w:val="none" w:sz="0" w:space="0" w:color="auto"/>
      </w:divBdr>
      <w:divsChild>
        <w:div w:id="1368338882">
          <w:marLeft w:val="0"/>
          <w:marRight w:val="0"/>
          <w:marTop w:val="0"/>
          <w:marBottom w:val="0"/>
          <w:divBdr>
            <w:top w:val="none" w:sz="0" w:space="0" w:color="auto"/>
            <w:left w:val="none" w:sz="0" w:space="0" w:color="auto"/>
            <w:bottom w:val="none" w:sz="0" w:space="0" w:color="auto"/>
            <w:right w:val="none" w:sz="0" w:space="0" w:color="auto"/>
          </w:divBdr>
          <w:divsChild>
            <w:div w:id="1241409008">
              <w:marLeft w:val="0"/>
              <w:marRight w:val="0"/>
              <w:marTop w:val="0"/>
              <w:marBottom w:val="0"/>
              <w:divBdr>
                <w:top w:val="none" w:sz="0" w:space="0" w:color="auto"/>
                <w:left w:val="none" w:sz="0" w:space="0" w:color="auto"/>
                <w:bottom w:val="none" w:sz="0" w:space="0" w:color="auto"/>
                <w:right w:val="none" w:sz="0" w:space="0" w:color="auto"/>
              </w:divBdr>
              <w:divsChild>
                <w:div w:id="1774592034">
                  <w:marLeft w:val="0"/>
                  <w:marRight w:val="0"/>
                  <w:marTop w:val="0"/>
                  <w:marBottom w:val="0"/>
                  <w:divBdr>
                    <w:top w:val="none" w:sz="0" w:space="0" w:color="auto"/>
                    <w:left w:val="none" w:sz="0" w:space="0" w:color="auto"/>
                    <w:bottom w:val="none" w:sz="0" w:space="0" w:color="auto"/>
                    <w:right w:val="none" w:sz="0" w:space="0" w:color="auto"/>
                  </w:divBdr>
                  <w:divsChild>
                    <w:div w:id="1521893270">
                      <w:marLeft w:val="0"/>
                      <w:marRight w:val="0"/>
                      <w:marTop w:val="0"/>
                      <w:marBottom w:val="0"/>
                      <w:divBdr>
                        <w:top w:val="none" w:sz="0" w:space="0" w:color="auto"/>
                        <w:left w:val="none" w:sz="0" w:space="0" w:color="auto"/>
                        <w:bottom w:val="none" w:sz="0" w:space="0" w:color="auto"/>
                        <w:right w:val="none" w:sz="0" w:space="0" w:color="auto"/>
                      </w:divBdr>
                      <w:divsChild>
                        <w:div w:id="1656831750">
                          <w:marLeft w:val="0"/>
                          <w:marRight w:val="0"/>
                          <w:marTop w:val="0"/>
                          <w:marBottom w:val="0"/>
                          <w:divBdr>
                            <w:top w:val="none" w:sz="0" w:space="0" w:color="auto"/>
                            <w:left w:val="none" w:sz="0" w:space="0" w:color="auto"/>
                            <w:bottom w:val="none" w:sz="0" w:space="0" w:color="auto"/>
                            <w:right w:val="none" w:sz="0" w:space="0" w:color="auto"/>
                          </w:divBdr>
                          <w:divsChild>
                            <w:div w:id="2022971626">
                              <w:marLeft w:val="0"/>
                              <w:marRight w:val="0"/>
                              <w:marTop w:val="0"/>
                              <w:marBottom w:val="0"/>
                              <w:divBdr>
                                <w:top w:val="none" w:sz="0" w:space="0" w:color="auto"/>
                                <w:left w:val="none" w:sz="0" w:space="0" w:color="auto"/>
                                <w:bottom w:val="none" w:sz="0" w:space="0" w:color="auto"/>
                                <w:right w:val="none" w:sz="0" w:space="0" w:color="auto"/>
                              </w:divBdr>
                              <w:divsChild>
                                <w:div w:id="1894267648">
                                  <w:marLeft w:val="0"/>
                                  <w:marRight w:val="0"/>
                                  <w:marTop w:val="0"/>
                                  <w:marBottom w:val="0"/>
                                  <w:divBdr>
                                    <w:top w:val="none" w:sz="0" w:space="0" w:color="auto"/>
                                    <w:left w:val="none" w:sz="0" w:space="0" w:color="auto"/>
                                    <w:bottom w:val="none" w:sz="0" w:space="0" w:color="auto"/>
                                    <w:right w:val="none" w:sz="0" w:space="0" w:color="auto"/>
                                  </w:divBdr>
                                  <w:divsChild>
                                    <w:div w:id="1077478230">
                                      <w:marLeft w:val="0"/>
                                      <w:marRight w:val="0"/>
                                      <w:marTop w:val="0"/>
                                      <w:marBottom w:val="0"/>
                                      <w:divBdr>
                                        <w:top w:val="none" w:sz="0" w:space="0" w:color="auto"/>
                                        <w:left w:val="none" w:sz="0" w:space="0" w:color="auto"/>
                                        <w:bottom w:val="none" w:sz="0" w:space="0" w:color="auto"/>
                                        <w:right w:val="none" w:sz="0" w:space="0" w:color="auto"/>
                                      </w:divBdr>
                                      <w:divsChild>
                                        <w:div w:id="1546478260">
                                          <w:marLeft w:val="0"/>
                                          <w:marRight w:val="0"/>
                                          <w:marTop w:val="0"/>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sChild>
                                                <w:div w:id="249317046">
                                                  <w:marLeft w:val="0"/>
                                                  <w:marRight w:val="0"/>
                                                  <w:marTop w:val="0"/>
                                                  <w:marBottom w:val="0"/>
                                                  <w:divBdr>
                                                    <w:top w:val="none" w:sz="0" w:space="0" w:color="auto"/>
                                                    <w:left w:val="none" w:sz="0" w:space="0" w:color="auto"/>
                                                    <w:bottom w:val="none" w:sz="0" w:space="0" w:color="auto"/>
                                                    <w:right w:val="none" w:sz="0" w:space="0" w:color="auto"/>
                                                  </w:divBdr>
                                                  <w:divsChild>
                                                    <w:div w:id="1627196717">
                                                      <w:marLeft w:val="0"/>
                                                      <w:marRight w:val="0"/>
                                                      <w:marTop w:val="0"/>
                                                      <w:marBottom w:val="0"/>
                                                      <w:divBdr>
                                                        <w:top w:val="none" w:sz="0" w:space="0" w:color="auto"/>
                                                        <w:left w:val="none" w:sz="0" w:space="0" w:color="auto"/>
                                                        <w:bottom w:val="none" w:sz="0" w:space="0" w:color="auto"/>
                                                        <w:right w:val="none" w:sz="0" w:space="0" w:color="auto"/>
                                                      </w:divBdr>
                                                      <w:divsChild>
                                                        <w:div w:id="151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8784">
      <w:bodyDiv w:val="1"/>
      <w:marLeft w:val="0"/>
      <w:marRight w:val="0"/>
      <w:marTop w:val="0"/>
      <w:marBottom w:val="0"/>
      <w:divBdr>
        <w:top w:val="none" w:sz="0" w:space="0" w:color="auto"/>
        <w:left w:val="none" w:sz="0" w:space="0" w:color="auto"/>
        <w:bottom w:val="none" w:sz="0" w:space="0" w:color="auto"/>
        <w:right w:val="none" w:sz="0" w:space="0" w:color="auto"/>
      </w:divBdr>
    </w:div>
    <w:div w:id="2002391318">
      <w:bodyDiv w:val="1"/>
      <w:marLeft w:val="0"/>
      <w:marRight w:val="0"/>
      <w:marTop w:val="0"/>
      <w:marBottom w:val="0"/>
      <w:divBdr>
        <w:top w:val="none" w:sz="0" w:space="0" w:color="auto"/>
        <w:left w:val="none" w:sz="0" w:space="0" w:color="auto"/>
        <w:bottom w:val="none" w:sz="0" w:space="0" w:color="auto"/>
        <w:right w:val="none" w:sz="0" w:space="0" w:color="auto"/>
      </w:divBdr>
      <w:divsChild>
        <w:div w:id="143593826">
          <w:marLeft w:val="0"/>
          <w:marRight w:val="0"/>
          <w:marTop w:val="0"/>
          <w:marBottom w:val="0"/>
          <w:divBdr>
            <w:top w:val="none" w:sz="0" w:space="0" w:color="auto"/>
            <w:left w:val="none" w:sz="0" w:space="0" w:color="auto"/>
            <w:bottom w:val="none" w:sz="0" w:space="0" w:color="auto"/>
            <w:right w:val="none" w:sz="0" w:space="0" w:color="auto"/>
          </w:divBdr>
          <w:divsChild>
            <w:div w:id="1492065649">
              <w:marLeft w:val="0"/>
              <w:marRight w:val="0"/>
              <w:marTop w:val="0"/>
              <w:marBottom w:val="0"/>
              <w:divBdr>
                <w:top w:val="none" w:sz="0" w:space="0" w:color="auto"/>
                <w:left w:val="none" w:sz="0" w:space="0" w:color="auto"/>
                <w:bottom w:val="none" w:sz="0" w:space="0" w:color="auto"/>
                <w:right w:val="none" w:sz="0" w:space="0" w:color="auto"/>
              </w:divBdr>
              <w:divsChild>
                <w:div w:id="1718435199">
                  <w:marLeft w:val="0"/>
                  <w:marRight w:val="0"/>
                  <w:marTop w:val="0"/>
                  <w:marBottom w:val="0"/>
                  <w:divBdr>
                    <w:top w:val="none" w:sz="0" w:space="0" w:color="auto"/>
                    <w:left w:val="none" w:sz="0" w:space="0" w:color="auto"/>
                    <w:bottom w:val="none" w:sz="0" w:space="0" w:color="auto"/>
                    <w:right w:val="none" w:sz="0" w:space="0" w:color="auto"/>
                  </w:divBdr>
                  <w:divsChild>
                    <w:div w:id="77021605">
                      <w:marLeft w:val="0"/>
                      <w:marRight w:val="0"/>
                      <w:marTop w:val="0"/>
                      <w:marBottom w:val="0"/>
                      <w:divBdr>
                        <w:top w:val="none" w:sz="0" w:space="0" w:color="auto"/>
                        <w:left w:val="none" w:sz="0" w:space="0" w:color="auto"/>
                        <w:bottom w:val="none" w:sz="0" w:space="0" w:color="auto"/>
                        <w:right w:val="none" w:sz="0" w:space="0" w:color="auto"/>
                      </w:divBdr>
                      <w:divsChild>
                        <w:div w:id="967590396">
                          <w:marLeft w:val="0"/>
                          <w:marRight w:val="0"/>
                          <w:marTop w:val="0"/>
                          <w:marBottom w:val="0"/>
                          <w:divBdr>
                            <w:top w:val="none" w:sz="0" w:space="0" w:color="auto"/>
                            <w:left w:val="none" w:sz="0" w:space="0" w:color="auto"/>
                            <w:bottom w:val="none" w:sz="0" w:space="0" w:color="auto"/>
                            <w:right w:val="none" w:sz="0" w:space="0" w:color="auto"/>
                          </w:divBdr>
                          <w:divsChild>
                            <w:div w:id="227427321">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sChild>
                                    <w:div w:id="496657306">
                                      <w:marLeft w:val="0"/>
                                      <w:marRight w:val="0"/>
                                      <w:marTop w:val="0"/>
                                      <w:marBottom w:val="0"/>
                                      <w:divBdr>
                                        <w:top w:val="none" w:sz="0" w:space="0" w:color="auto"/>
                                        <w:left w:val="none" w:sz="0" w:space="0" w:color="auto"/>
                                        <w:bottom w:val="none" w:sz="0" w:space="0" w:color="auto"/>
                                        <w:right w:val="none" w:sz="0" w:space="0" w:color="auto"/>
                                      </w:divBdr>
                                      <w:divsChild>
                                        <w:div w:id="459880392">
                                          <w:marLeft w:val="0"/>
                                          <w:marRight w:val="0"/>
                                          <w:marTop w:val="0"/>
                                          <w:marBottom w:val="0"/>
                                          <w:divBdr>
                                            <w:top w:val="none" w:sz="0" w:space="0" w:color="auto"/>
                                            <w:left w:val="none" w:sz="0" w:space="0" w:color="auto"/>
                                            <w:bottom w:val="none" w:sz="0" w:space="0" w:color="auto"/>
                                            <w:right w:val="none" w:sz="0" w:space="0" w:color="auto"/>
                                          </w:divBdr>
                                          <w:divsChild>
                                            <w:div w:id="2014338495">
                                              <w:marLeft w:val="0"/>
                                              <w:marRight w:val="0"/>
                                              <w:marTop w:val="0"/>
                                              <w:marBottom w:val="0"/>
                                              <w:divBdr>
                                                <w:top w:val="none" w:sz="0" w:space="0" w:color="auto"/>
                                                <w:left w:val="none" w:sz="0" w:space="0" w:color="auto"/>
                                                <w:bottom w:val="none" w:sz="0" w:space="0" w:color="auto"/>
                                                <w:right w:val="none" w:sz="0" w:space="0" w:color="auto"/>
                                              </w:divBdr>
                                              <w:divsChild>
                                                <w:div w:id="1917085940">
                                                  <w:marLeft w:val="0"/>
                                                  <w:marRight w:val="0"/>
                                                  <w:marTop w:val="0"/>
                                                  <w:marBottom w:val="0"/>
                                                  <w:divBdr>
                                                    <w:top w:val="none" w:sz="0" w:space="0" w:color="auto"/>
                                                    <w:left w:val="none" w:sz="0" w:space="0" w:color="auto"/>
                                                    <w:bottom w:val="none" w:sz="0" w:space="0" w:color="auto"/>
                                                    <w:right w:val="none" w:sz="0" w:space="0" w:color="auto"/>
                                                  </w:divBdr>
                                                  <w:divsChild>
                                                    <w:div w:id="1608390437">
                                                      <w:marLeft w:val="0"/>
                                                      <w:marRight w:val="0"/>
                                                      <w:marTop w:val="0"/>
                                                      <w:marBottom w:val="0"/>
                                                      <w:divBdr>
                                                        <w:top w:val="none" w:sz="0" w:space="0" w:color="auto"/>
                                                        <w:left w:val="none" w:sz="0" w:space="0" w:color="auto"/>
                                                        <w:bottom w:val="none" w:sz="0" w:space="0" w:color="auto"/>
                                                        <w:right w:val="none" w:sz="0" w:space="0" w:color="auto"/>
                                                      </w:divBdr>
                                                      <w:divsChild>
                                                        <w:div w:id="7126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s.tga.gov.au/medicines-regulation-division/low-neg-risk-2021-2022/" TargetMode="External"/><Relationship Id="rId13" Type="http://schemas.openxmlformats.org/officeDocument/2006/relationships/hyperlink" Target="http://www.uspnf.com/" TargetMode="External"/><Relationship Id="rId18" Type="http://schemas.openxmlformats.org/officeDocument/2006/relationships/hyperlink" Target="http://www.openlibrary.org/books/OL22071008M/European_pharmacopoei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heur.edqm.eu/home" TargetMode="External"/><Relationship Id="rId17" Type="http://schemas.openxmlformats.org/officeDocument/2006/relationships/hyperlink" Target="http://www.trove.nla.gov.au/" TargetMode="External"/><Relationship Id="rId2" Type="http://schemas.openxmlformats.org/officeDocument/2006/relationships/numbering" Target="numbering.xml"/><Relationship Id="rId16" Type="http://schemas.openxmlformats.org/officeDocument/2006/relationships/hyperlink" Target="http://www.rehydrate.org/ors/expert-consultatio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macopoeia.com/" TargetMode="External"/><Relationship Id="rId5" Type="http://schemas.openxmlformats.org/officeDocument/2006/relationships/webSettings" Target="webSettings.xml"/><Relationship Id="rId15" Type="http://schemas.openxmlformats.org/officeDocument/2006/relationships/hyperlink" Target="http://www.legislation.govt.nz/" TargetMode="External"/><Relationship Id="rId10" Type="http://schemas.openxmlformats.org/officeDocument/2006/relationships/hyperlink" Target="http://www.tga.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sultations.tga.gov.au/medicines-regulation-division/low-neg-risk-2021-2022/user_uploads/low-negligible-risk-annual-consultation-2021-2022---final-decisions.pdf" TargetMode="External"/><Relationship Id="rId14" Type="http://schemas.openxmlformats.org/officeDocument/2006/relationships/hyperlink" Target="http://www.foodchemicalscod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3A3B-FAFB-4980-A65B-B4ED773A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3750</Words>
  <Characters>21380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DEEBLE, Susan</dc:creator>
  <cp:lastModifiedBy>CARTER, Bless</cp:lastModifiedBy>
  <cp:revision>2</cp:revision>
  <dcterms:created xsi:type="dcterms:W3CDTF">2022-02-21T00:26:00Z</dcterms:created>
  <dcterms:modified xsi:type="dcterms:W3CDTF">2022-02-21T00:26:00Z</dcterms:modified>
</cp:coreProperties>
</file>