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CE35EB" w:rsidRDefault="00FA6784" w:rsidP="00FA6784">
      <w:pPr>
        <w:pStyle w:val="H3"/>
        <w:jc w:val="center"/>
        <w:rPr>
          <w:sz w:val="24"/>
          <w:szCs w:val="24"/>
        </w:rPr>
      </w:pPr>
      <w:r w:rsidRPr="00CE35EB">
        <w:rPr>
          <w:sz w:val="24"/>
          <w:szCs w:val="24"/>
        </w:rPr>
        <w:t>EXPLANATORY STATEMENT</w:t>
      </w:r>
    </w:p>
    <w:p w14:paraId="2412D122" w14:textId="77777777" w:rsidR="00FA6784" w:rsidRPr="00CE35EB" w:rsidRDefault="00FA6784" w:rsidP="00010616">
      <w:pPr>
        <w:rPr>
          <w:i/>
          <w:iCs/>
          <w:sz w:val="20"/>
        </w:rPr>
      </w:pPr>
    </w:p>
    <w:p w14:paraId="2412D123" w14:textId="77777777" w:rsidR="00FA6784" w:rsidRPr="00CE35EB" w:rsidRDefault="00FA6784" w:rsidP="00FA6784">
      <w:pPr>
        <w:jc w:val="center"/>
        <w:rPr>
          <w:i/>
          <w:iCs/>
        </w:rPr>
      </w:pPr>
      <w:r w:rsidRPr="00CE35EB">
        <w:rPr>
          <w:i/>
          <w:iCs/>
        </w:rPr>
        <w:t>Health Insurance Act 1973</w:t>
      </w:r>
    </w:p>
    <w:p w14:paraId="2412D124" w14:textId="77777777" w:rsidR="00A1739A" w:rsidRPr="00CE35EB" w:rsidRDefault="00A1739A" w:rsidP="00A1739A">
      <w:pPr>
        <w:rPr>
          <w:szCs w:val="24"/>
          <w:u w:val="single"/>
        </w:rPr>
      </w:pPr>
    </w:p>
    <w:p w14:paraId="2838A7B4" w14:textId="72A32216" w:rsidR="00FD602D" w:rsidRPr="00CE35EB" w:rsidRDefault="000E3270" w:rsidP="00961795">
      <w:pPr>
        <w:ind w:right="84"/>
        <w:jc w:val="center"/>
        <w:rPr>
          <w:szCs w:val="24"/>
        </w:rPr>
      </w:pPr>
      <w:r w:rsidRPr="00CE35EB">
        <w:rPr>
          <w:i/>
          <w:iCs/>
        </w:rPr>
        <w:t>Health Insurance Legislation Amendment (2022 Measures No. 1) Determination 2022</w:t>
      </w:r>
    </w:p>
    <w:p w14:paraId="052E97C1" w14:textId="77777777" w:rsidR="00164A69" w:rsidRPr="00CE35EB"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22D7EAD6" w:rsidR="00164A69" w:rsidRPr="00CE35EB"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CE35EB">
        <w:rPr>
          <w:shd w:val="clear" w:color="auto" w:fill="FFFFFF"/>
        </w:rPr>
        <w:t xml:space="preserve">Subsection 3C(1) of the </w:t>
      </w:r>
      <w:r w:rsidRPr="00CE35EB">
        <w:rPr>
          <w:i/>
          <w:shd w:val="clear" w:color="auto" w:fill="FFFFFF"/>
        </w:rPr>
        <w:t>Health Insurance Act 1973</w:t>
      </w:r>
      <w:r w:rsidRPr="00CE35EB">
        <w:rPr>
          <w:shd w:val="clear" w:color="auto" w:fill="FFFFFF"/>
        </w:rPr>
        <w:t xml:space="preserve"> (the Act) </w:t>
      </w:r>
      <w:r w:rsidR="00477C74" w:rsidRPr="00CE35EB">
        <w:rPr>
          <w:shd w:val="clear" w:color="auto" w:fill="FFFFFF"/>
        </w:rPr>
        <w:t>provide</w:t>
      </w:r>
      <w:r w:rsidR="002E5708" w:rsidRPr="00CE35EB">
        <w:rPr>
          <w:shd w:val="clear" w:color="auto" w:fill="FFFFFF"/>
        </w:rPr>
        <w:t>s</w:t>
      </w:r>
      <w:r w:rsidR="00477C74" w:rsidRPr="00CE35EB">
        <w:rPr>
          <w:shd w:val="clear" w:color="auto" w:fill="FFFFFF"/>
        </w:rPr>
        <w:t xml:space="preserve"> that</w:t>
      </w:r>
      <w:r w:rsidRPr="00CE35EB">
        <w:rPr>
          <w:shd w:val="clear" w:color="auto" w:fill="FFFFFF"/>
        </w:rPr>
        <w:t xml:space="preserve"> the Minister </w:t>
      </w:r>
      <w:r w:rsidR="00477C74" w:rsidRPr="00CE35EB">
        <w:rPr>
          <w:shd w:val="clear" w:color="auto" w:fill="FFFFFF"/>
        </w:rPr>
        <w:t>may</w:t>
      </w:r>
      <w:r w:rsidRPr="00CE35EB">
        <w:rPr>
          <w:shd w:val="clear" w:color="auto" w:fill="FFFFFF"/>
        </w:rPr>
        <w:t xml:space="preserve">, by legislative instrument, determine that a health service not specified in an item in the </w:t>
      </w:r>
      <w:r w:rsidR="00010616" w:rsidRPr="00CE35EB">
        <w:rPr>
          <w:shd w:val="clear" w:color="auto" w:fill="FFFFFF"/>
        </w:rPr>
        <w:t>general medical</w:t>
      </w:r>
      <w:r w:rsidRPr="00CE35EB">
        <w:rPr>
          <w:shd w:val="clear" w:color="auto" w:fill="FFFFFF"/>
        </w:rPr>
        <w:t xml:space="preserve"> services table </w:t>
      </w:r>
      <w:r w:rsidR="00D01D5A" w:rsidRPr="00CE35EB">
        <w:rPr>
          <w:shd w:val="clear" w:color="auto" w:fill="FFFFFF"/>
        </w:rPr>
        <w:t xml:space="preserve">(the Table) </w:t>
      </w:r>
      <w:r w:rsidRPr="00CE35EB">
        <w:rPr>
          <w:shd w:val="clear" w:color="auto" w:fill="FFFFFF"/>
        </w:rPr>
        <w:t xml:space="preserve">shall, in specified circumstances and for specified statutory provisions, be treated as if it were specified in the </w:t>
      </w:r>
      <w:r w:rsidR="00D01D5A" w:rsidRPr="00CE35EB">
        <w:rPr>
          <w:shd w:val="clear" w:color="auto" w:fill="FFFFFF"/>
        </w:rPr>
        <w:t xml:space="preserve">Table. </w:t>
      </w:r>
      <w:r w:rsidRPr="00CE35EB">
        <w:rPr>
          <w:shd w:val="clear" w:color="auto" w:fill="FFFFFF"/>
        </w:rPr>
        <w:t xml:space="preserve">  </w:t>
      </w:r>
    </w:p>
    <w:p w14:paraId="7DB18649" w14:textId="77777777" w:rsidR="00841EDA" w:rsidRPr="00CE35EB"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1A850E20" w:rsidR="00050623" w:rsidRPr="00CE35E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E35EB">
        <w:t xml:space="preserve">The </w:t>
      </w:r>
      <w:r w:rsidR="00D01D5A" w:rsidRPr="00CE35EB">
        <w:t>Table</w:t>
      </w:r>
      <w:r w:rsidRPr="00CE35EB">
        <w:t xml:space="preserve"> is set out in the regulations made under subsection 4</w:t>
      </w:r>
      <w:r w:rsidR="00010616" w:rsidRPr="00CE35EB">
        <w:t>(1)</w:t>
      </w:r>
      <w:r w:rsidRPr="00CE35EB">
        <w:t xml:space="preserve"> of the Act.  The</w:t>
      </w:r>
      <w:r w:rsidR="003D00D5" w:rsidRPr="00CE35EB">
        <w:t> </w:t>
      </w:r>
      <w:r w:rsidRPr="00CE35EB">
        <w:t xml:space="preserve">most recent version of the regulations is the </w:t>
      </w:r>
      <w:r w:rsidR="00010616" w:rsidRPr="00CE35EB">
        <w:rPr>
          <w:i/>
          <w:iCs/>
        </w:rPr>
        <w:t>Health Insurance (General Medical Services Table) Regulations 2021</w:t>
      </w:r>
      <w:r w:rsidR="00D01D5A" w:rsidRPr="00CE35EB">
        <w:t>.</w:t>
      </w:r>
      <w:r w:rsidRPr="00CE35EB">
        <w:t xml:space="preserve"> </w:t>
      </w:r>
    </w:p>
    <w:p w14:paraId="2E6FE463" w14:textId="77777777" w:rsidR="00050623" w:rsidRPr="00CE35E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66AE52A0" w:rsidR="00050623" w:rsidRPr="00CE35E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E35EB">
        <w:t xml:space="preserve">This instrument relies on subsection 33(3) of the </w:t>
      </w:r>
      <w:r w:rsidRPr="00CE35EB">
        <w:rPr>
          <w:i/>
        </w:rPr>
        <w:t>Acts Interpretation Act 1901</w:t>
      </w:r>
      <w:r w:rsidRPr="00CE35EB">
        <w:t xml:space="preserve"> (AIA).  Subsection 33(3) of the AIA</w:t>
      </w:r>
      <w:r w:rsidRPr="00CE35EB">
        <w:rPr>
          <w:i/>
        </w:rPr>
        <w:t xml:space="preserve"> </w:t>
      </w:r>
      <w:r w:rsidRPr="00CE35E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8A4C4BD" w14:textId="741C6B83" w:rsidR="008C136E" w:rsidRPr="00CE35EB" w:rsidRDefault="008C136E"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0432BA4" w14:textId="77777777" w:rsidR="003D2E86" w:rsidRPr="00CE35EB" w:rsidRDefault="008C136E" w:rsidP="008C13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E35EB">
        <w:t>Subsection 12(</w:t>
      </w:r>
      <w:r w:rsidR="003D2E86" w:rsidRPr="00CE35EB">
        <w:t>1A</w:t>
      </w:r>
      <w:r w:rsidRPr="00CE35EB">
        <w:t xml:space="preserve">) of the </w:t>
      </w:r>
      <w:r w:rsidRPr="00CE35EB">
        <w:rPr>
          <w:i/>
          <w:iCs/>
        </w:rPr>
        <w:t>Legislation Act 2003</w:t>
      </w:r>
      <w:r w:rsidRPr="00CE35EB">
        <w:t xml:space="preserve"> provides a registered legislative instrument may have a commencement date prior to the date of registration (retrospective commencement)</w:t>
      </w:r>
      <w:r w:rsidR="003D2E86" w:rsidRPr="00CE35EB">
        <w:t xml:space="preserve">. </w:t>
      </w:r>
    </w:p>
    <w:p w14:paraId="0154909D" w14:textId="77777777" w:rsidR="003D2E86" w:rsidRPr="00CE35EB" w:rsidRDefault="003D2E86" w:rsidP="008C13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45499F60" w14:textId="4BEDEAC6" w:rsidR="008C136E" w:rsidRPr="00CE35EB" w:rsidRDefault="003D2E86" w:rsidP="008C13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E35EB">
        <w:t>Subsection 12(2) provides</w:t>
      </w:r>
      <w:r w:rsidR="008C136E" w:rsidRPr="00CE35EB">
        <w:t xml:space="preserve"> </w:t>
      </w:r>
      <w:r w:rsidRPr="00CE35EB">
        <w:t>this is subject to the conditions it</w:t>
      </w:r>
      <w:r w:rsidR="008C136E" w:rsidRPr="00CE35EB">
        <w:t xml:space="preserve"> does not disadvantage a person (other than the Commonwealth) or impose a liability on a person (other than the Commonwealth). Subsection 12(4) of the </w:t>
      </w:r>
      <w:r w:rsidR="008C136E" w:rsidRPr="00CE35EB">
        <w:rPr>
          <w:i/>
          <w:iCs/>
        </w:rPr>
        <w:t xml:space="preserve">Legislation Act 2003 </w:t>
      </w:r>
      <w:r w:rsidR="008C136E" w:rsidRPr="00CE35EB">
        <w:t xml:space="preserve">provides the effect of subsection (2) in relation to an instrument is subject to any contrary provision in an Act. </w:t>
      </w:r>
    </w:p>
    <w:p w14:paraId="34740BC8" w14:textId="77777777" w:rsidR="008C136E" w:rsidRPr="00CE35EB" w:rsidRDefault="008C136E" w:rsidP="008C13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62F4B7CB" w14:textId="243C92FB" w:rsidR="008C136E" w:rsidRPr="00CE35EB" w:rsidRDefault="008C136E" w:rsidP="008C136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E35EB">
        <w:t>Subsection 3C(2) of the Act expressly excludes subsection 12(2) of the</w:t>
      </w:r>
      <w:r w:rsidRPr="00CE35EB">
        <w:rPr>
          <w:i/>
          <w:iCs/>
        </w:rPr>
        <w:t xml:space="preserve"> Legislation Act 2003</w:t>
      </w:r>
      <w:r w:rsidRPr="00CE35EB">
        <w:t xml:space="preserve"> from applying to determinations made under section 3C(1) of the Act.</w:t>
      </w:r>
      <w:r w:rsidR="003D2E86" w:rsidRPr="00CE35EB">
        <w:t xml:space="preserve"> </w:t>
      </w:r>
      <w:r w:rsidRPr="00CE35EB">
        <w:t xml:space="preserve">However, this instrument will not impose a liability or disadvantage a person other than the Commonwealth, consistent with the intent of </w:t>
      </w:r>
      <w:r w:rsidRPr="00CE35EB">
        <w:rPr>
          <w:i/>
          <w:iCs/>
        </w:rPr>
        <w:t>Legislation Act 2003</w:t>
      </w:r>
      <w:r w:rsidRPr="00CE35EB">
        <w:t>.</w:t>
      </w:r>
    </w:p>
    <w:p w14:paraId="2412D129" w14:textId="2D4AC742" w:rsidR="008C5F1C" w:rsidRPr="00CE35EB" w:rsidRDefault="008C5F1C" w:rsidP="00D33180">
      <w:pPr>
        <w:autoSpaceDE w:val="0"/>
        <w:autoSpaceDN w:val="0"/>
        <w:adjustRightInd w:val="0"/>
        <w:ind w:right="-483"/>
        <w:rPr>
          <w:szCs w:val="24"/>
        </w:rPr>
      </w:pPr>
    </w:p>
    <w:p w14:paraId="2412D12A" w14:textId="77777777" w:rsidR="00BB00BA" w:rsidRPr="00CE35EB" w:rsidRDefault="00A1739A" w:rsidP="00BB00BA">
      <w:pPr>
        <w:rPr>
          <w:b/>
          <w:szCs w:val="24"/>
          <w:lang w:val="en-US" w:eastAsia="en-US"/>
        </w:rPr>
      </w:pPr>
      <w:r w:rsidRPr="00CE35EB">
        <w:rPr>
          <w:b/>
          <w:szCs w:val="24"/>
          <w:lang w:val="en-US" w:eastAsia="en-US"/>
        </w:rPr>
        <w:t>Purpose</w:t>
      </w:r>
    </w:p>
    <w:p w14:paraId="171FBE9D" w14:textId="77777777" w:rsidR="00771109" w:rsidRPr="00CE35EB" w:rsidRDefault="00010616" w:rsidP="000D7E8F">
      <w:pPr>
        <w:ind w:right="-483"/>
        <w:rPr>
          <w:shd w:val="clear" w:color="auto" w:fill="FFFFFF"/>
        </w:rPr>
      </w:pPr>
      <w:r w:rsidRPr="00CE35EB">
        <w:rPr>
          <w:shd w:val="clear" w:color="auto" w:fill="FFFFFF"/>
        </w:rPr>
        <w:t xml:space="preserve">Since 13 March 2020, the Australian Government has been providing temporary access to </w:t>
      </w:r>
      <w:r w:rsidR="00244276" w:rsidRPr="00CE35EB">
        <w:rPr>
          <w:shd w:val="clear" w:color="auto" w:fill="FFFFFF"/>
        </w:rPr>
        <w:t>m</w:t>
      </w:r>
      <w:r w:rsidRPr="00CE35EB">
        <w:rPr>
          <w:shd w:val="clear" w:color="auto" w:fill="FFFFFF"/>
        </w:rPr>
        <w:t>edicare benefits for certain medical services to protect Australians during the coronavirus (COVID-19) pandemic.</w:t>
      </w:r>
      <w:r w:rsidR="00426BB0" w:rsidRPr="00CE35EB">
        <w:rPr>
          <w:shd w:val="clear" w:color="auto" w:fill="FFFFFF"/>
        </w:rPr>
        <w:t xml:space="preserve"> </w:t>
      </w:r>
    </w:p>
    <w:p w14:paraId="3436CF4F" w14:textId="77777777" w:rsidR="00771109" w:rsidRPr="00CE35EB" w:rsidRDefault="00771109" w:rsidP="000D7E8F">
      <w:pPr>
        <w:ind w:right="-483"/>
        <w:rPr>
          <w:shd w:val="clear" w:color="auto" w:fill="FFFFFF"/>
        </w:rPr>
      </w:pPr>
    </w:p>
    <w:p w14:paraId="116CCF96" w14:textId="0DCBF9B3" w:rsidR="000D7E8F" w:rsidRPr="00CE35EB" w:rsidRDefault="00C26EA8" w:rsidP="000D7E8F">
      <w:pPr>
        <w:ind w:right="-483"/>
        <w:rPr>
          <w:shd w:val="clear" w:color="auto" w:fill="FFFFFF"/>
        </w:rPr>
      </w:pPr>
      <w:r w:rsidRPr="00CE35EB">
        <w:rPr>
          <w:shd w:val="clear" w:color="auto" w:fill="FFFFFF"/>
        </w:rPr>
        <w:t xml:space="preserve">On 16 January 2022, the Australian Government announced, in response to the recent surge in Omicron COVID-19 cases, it will invest an additional $24 million to introduce critical changes to the </w:t>
      </w:r>
      <w:r w:rsidR="000D7E8F" w:rsidRPr="00CE35EB">
        <w:rPr>
          <w:szCs w:val="24"/>
        </w:rPr>
        <w:t xml:space="preserve">Medicare Benefits Schedule (MBS) </w:t>
      </w:r>
      <w:r w:rsidRPr="00CE35EB">
        <w:rPr>
          <w:shd w:val="clear" w:color="auto" w:fill="FFFFFF"/>
        </w:rPr>
        <w:t xml:space="preserve">to support their continued response to COVID-19. The changes include temporarily reinstating 75 telehealth and phone services to enable practitioners to support their patients during the current increase in </w:t>
      </w:r>
      <w:r w:rsidR="00771109" w:rsidRPr="00CE35EB">
        <w:rPr>
          <w:shd w:val="clear" w:color="auto" w:fill="FFFFFF"/>
        </w:rPr>
        <w:t xml:space="preserve">Omicron </w:t>
      </w:r>
      <w:r w:rsidRPr="00CE35EB">
        <w:rPr>
          <w:shd w:val="clear" w:color="auto" w:fill="FFFFFF"/>
        </w:rPr>
        <w:t xml:space="preserve">COVID-19 cases. </w:t>
      </w:r>
    </w:p>
    <w:p w14:paraId="54DF81C4" w14:textId="77777777" w:rsidR="00C26EA8" w:rsidRPr="00CE35EB" w:rsidRDefault="00C26EA8" w:rsidP="00010616">
      <w:pPr>
        <w:ind w:right="-483"/>
        <w:rPr>
          <w:shd w:val="clear" w:color="auto" w:fill="FFFFFF"/>
        </w:rPr>
      </w:pPr>
    </w:p>
    <w:p w14:paraId="267DEF0D" w14:textId="10131D9E" w:rsidR="003D2E86" w:rsidRPr="00CE35EB" w:rsidRDefault="00C75E05" w:rsidP="00010616">
      <w:pPr>
        <w:ind w:right="-483"/>
        <w:rPr>
          <w:shd w:val="clear" w:color="auto" w:fill="FFFFFF"/>
        </w:rPr>
      </w:pPr>
      <w:r w:rsidRPr="00CE35EB">
        <w:rPr>
          <w:shd w:val="clear" w:color="auto" w:fill="FFFFFF"/>
        </w:rPr>
        <w:t>The purpose of</w:t>
      </w:r>
      <w:r w:rsidR="00EB3D02" w:rsidRPr="00CE35EB">
        <w:rPr>
          <w:shd w:val="clear" w:color="auto" w:fill="FFFFFF"/>
        </w:rPr>
        <w:t xml:space="preserve"> Schedule 1 of</w:t>
      </w:r>
      <w:r w:rsidRPr="00CE35EB">
        <w:rPr>
          <w:shd w:val="clear" w:color="auto" w:fill="FFFFFF"/>
        </w:rPr>
        <w:t xml:space="preserve"> the </w:t>
      </w:r>
      <w:r w:rsidR="003D2E86" w:rsidRPr="00CE35EB">
        <w:rPr>
          <w:i/>
          <w:iCs/>
        </w:rPr>
        <w:t xml:space="preserve">Health Insurance Legislation Amendment (2022 Measures No. 1) Determination 2022 </w:t>
      </w:r>
      <w:r w:rsidRPr="00CE35EB">
        <w:t xml:space="preserve">(the Amendment Determination) is </w:t>
      </w:r>
      <w:r w:rsidR="005E08DA" w:rsidRPr="00CE35EB">
        <w:t>to</w:t>
      </w:r>
      <w:r w:rsidR="00EB3D02" w:rsidRPr="00CE35EB">
        <w:t xml:space="preserve"> </w:t>
      </w:r>
      <w:r w:rsidR="00EB3D02" w:rsidRPr="00CE35EB">
        <w:rPr>
          <w:szCs w:val="24"/>
        </w:rPr>
        <w:t xml:space="preserve">give effect to these temporary telehealth and phone items from 1 January 2022 to 30 June 2022. The items include: </w:t>
      </w:r>
    </w:p>
    <w:p w14:paraId="38B17C44" w14:textId="196E6382" w:rsidR="00EB3D02" w:rsidRPr="00CE35EB" w:rsidRDefault="000D7E8F" w:rsidP="00EB3D02">
      <w:pPr>
        <w:pStyle w:val="ListParagraph"/>
        <w:numPr>
          <w:ilvl w:val="0"/>
          <w:numId w:val="37"/>
        </w:numPr>
        <w:ind w:right="-483"/>
      </w:pPr>
      <w:r w:rsidRPr="00CE35EB">
        <w:t xml:space="preserve">reinstate </w:t>
      </w:r>
      <w:r w:rsidR="00944007" w:rsidRPr="00CE35EB">
        <w:t>40</w:t>
      </w:r>
      <w:r w:rsidR="00C75E05" w:rsidRPr="00CE35EB">
        <w:t xml:space="preserve"> </w:t>
      </w:r>
      <w:r w:rsidR="0096641C" w:rsidRPr="00CE35EB">
        <w:t>temporary</w:t>
      </w:r>
      <w:r w:rsidR="00C75E05" w:rsidRPr="00CE35EB">
        <w:t xml:space="preserve"> items for </w:t>
      </w:r>
      <w:r w:rsidR="00494973" w:rsidRPr="00CE35EB">
        <w:t xml:space="preserve">specialist </w:t>
      </w:r>
      <w:r w:rsidR="00C75E05" w:rsidRPr="00CE35EB">
        <w:t>telehealth and phone services</w:t>
      </w:r>
      <w:r w:rsidR="00F47506" w:rsidRPr="00CE35EB">
        <w:t xml:space="preserve"> p</w:t>
      </w:r>
      <w:r w:rsidR="006E60AC" w:rsidRPr="00CE35EB">
        <w:t>erformed by the admitting medical practitioner</w:t>
      </w:r>
      <w:r w:rsidR="002078B9" w:rsidRPr="00CE35EB">
        <w:t xml:space="preserve"> or admitting dental practitioner</w:t>
      </w:r>
      <w:r w:rsidR="001B1BF0" w:rsidRPr="00CE35EB">
        <w:t xml:space="preserve"> </w:t>
      </w:r>
      <w:r w:rsidR="006E60AC" w:rsidRPr="00CE35EB">
        <w:t>for private</w:t>
      </w:r>
      <w:r w:rsidR="001B1BF0" w:rsidRPr="00CE35EB">
        <w:t xml:space="preserve"> patient</w:t>
      </w:r>
      <w:r w:rsidR="006E60AC" w:rsidRPr="00CE35EB">
        <w:t>s</w:t>
      </w:r>
      <w:r w:rsidR="001B1BF0" w:rsidRPr="00CE35EB">
        <w:t xml:space="preserve"> </w:t>
      </w:r>
      <w:r w:rsidR="00E828FF" w:rsidRPr="00CE35EB">
        <w:t>admitted to</w:t>
      </w:r>
      <w:r w:rsidR="001B1BF0" w:rsidRPr="00CE35EB">
        <w:t xml:space="preserve"> hospital</w:t>
      </w:r>
      <w:r w:rsidR="00494973" w:rsidRPr="00CE35EB">
        <w:t xml:space="preserve">. </w:t>
      </w:r>
      <w:r w:rsidR="00EB3D02" w:rsidRPr="00CE35EB">
        <w:t xml:space="preserve">These services can be rendered by practitioners who are in isolation or quarantine because of a State or Territory public health order. The services covered by the 40 new telehealth and phone items will not be considered hospital treatment for the purposes of the </w:t>
      </w:r>
      <w:r w:rsidR="00EB3D02" w:rsidRPr="00CE35EB">
        <w:rPr>
          <w:i/>
          <w:iCs/>
        </w:rPr>
        <w:t>Private Health Insurance Act 2007</w:t>
      </w:r>
      <w:r w:rsidR="00EB3D02" w:rsidRPr="00CE35EB">
        <w:t xml:space="preserve"> by rules made under that Act. This means that the items will have a medicare benefit of 85% of the schedule fee and will not attract a private health insurance benefit; and</w:t>
      </w:r>
    </w:p>
    <w:p w14:paraId="6A64AC63" w14:textId="6922B3D6" w:rsidR="00EB3D02" w:rsidRPr="00CE35EB" w:rsidRDefault="00EB3D02" w:rsidP="00EB3D02">
      <w:pPr>
        <w:pStyle w:val="ListParagraph"/>
        <w:numPr>
          <w:ilvl w:val="0"/>
          <w:numId w:val="37"/>
        </w:numPr>
        <w:ind w:right="-483"/>
      </w:pPr>
      <w:r w:rsidRPr="00CE35EB">
        <w:t>reinstate 33 temporary items for initial phone attendances for specialists and consultant physicians; and</w:t>
      </w:r>
    </w:p>
    <w:p w14:paraId="345A59AB" w14:textId="2A3019D0" w:rsidR="00490B79" w:rsidRPr="00CE35EB" w:rsidRDefault="00EB3D02" w:rsidP="00EB3D02">
      <w:pPr>
        <w:pStyle w:val="ListParagraph"/>
        <w:numPr>
          <w:ilvl w:val="0"/>
          <w:numId w:val="37"/>
        </w:numPr>
        <w:ind w:right="-483"/>
        <w:rPr>
          <w:color w:val="FF0000"/>
        </w:rPr>
      </w:pPr>
      <w:r w:rsidRPr="00CE35EB">
        <w:t>reinstate 2 GP phone attendances lasting at least 20 minutes if the service is performed by the patient’s usual medical practitioner.</w:t>
      </w:r>
    </w:p>
    <w:p w14:paraId="0EED3126" w14:textId="3C83332E" w:rsidR="002C37C2" w:rsidRPr="00CE35EB" w:rsidRDefault="002C37C2" w:rsidP="00010616">
      <w:pPr>
        <w:ind w:right="-483"/>
        <w:rPr>
          <w:color w:val="FF0000"/>
        </w:rPr>
      </w:pPr>
    </w:p>
    <w:p w14:paraId="6824614E" w14:textId="31FE7445" w:rsidR="00771109" w:rsidRPr="00CE35EB" w:rsidRDefault="002C37C2" w:rsidP="00EB3D02">
      <w:pPr>
        <w:ind w:right="-483"/>
      </w:pPr>
      <w:r w:rsidRPr="00CE35EB">
        <w:t xml:space="preserve">The </w:t>
      </w:r>
      <w:r w:rsidR="00EB3D02" w:rsidRPr="00CE35EB">
        <w:t xml:space="preserve">purpose of Schedule 2 of the Amendment Determination is to </w:t>
      </w:r>
      <w:r w:rsidR="00EB3D02" w:rsidRPr="00CE35EB">
        <w:rPr>
          <w:shd w:val="clear" w:color="auto" w:fill="FFFFFF"/>
        </w:rPr>
        <w:t xml:space="preserve">make a consequential change to the vaccine assessment items to update the co-claim </w:t>
      </w:r>
      <w:r w:rsidR="008422B1" w:rsidRPr="00CE35EB">
        <w:rPr>
          <w:shd w:val="clear" w:color="auto" w:fill="FFFFFF"/>
        </w:rPr>
        <w:t>limitation</w:t>
      </w:r>
      <w:r w:rsidR="00EB3D02" w:rsidRPr="00CE35EB">
        <w:rPr>
          <w:shd w:val="clear" w:color="auto" w:fill="FFFFFF"/>
        </w:rPr>
        <w:t xml:space="preserve">. The </w:t>
      </w:r>
      <w:r w:rsidR="008422B1" w:rsidRPr="00CE35EB">
        <w:rPr>
          <w:shd w:val="clear" w:color="auto" w:fill="FFFFFF"/>
        </w:rPr>
        <w:t xml:space="preserve">co-claim limitation, which prevents the vaccine assessment items from being co-claimed with the bulk-billing incentive items in the Table, will be updated to include the new bulk-billing incentives that were listed on 1 January 2022. </w:t>
      </w:r>
    </w:p>
    <w:p w14:paraId="2412D131" w14:textId="27EF2D7D" w:rsidR="001865F8" w:rsidRPr="00CE35EB" w:rsidRDefault="00A1739A" w:rsidP="00D46EB9">
      <w:pPr>
        <w:shd w:val="clear" w:color="auto" w:fill="FFFFFF"/>
        <w:spacing w:before="100" w:beforeAutospacing="1"/>
        <w:rPr>
          <w:rFonts w:ascii="Helvetica Neue" w:hAnsi="Helvetica Neue"/>
          <w:szCs w:val="24"/>
          <w:lang w:val="en-US"/>
        </w:rPr>
      </w:pPr>
      <w:r w:rsidRPr="00CE35EB">
        <w:rPr>
          <w:b/>
        </w:rPr>
        <w:t>Consultation</w:t>
      </w:r>
    </w:p>
    <w:p w14:paraId="2DF6DB81" w14:textId="24AEA3D3" w:rsidR="00F45544" w:rsidRPr="00CE35EB" w:rsidRDefault="00F45544" w:rsidP="00F45544">
      <w:pPr>
        <w:shd w:val="clear" w:color="auto" w:fill="FFFFFF"/>
        <w:rPr>
          <w:shd w:val="clear" w:color="auto" w:fill="FFFFFF"/>
        </w:rPr>
      </w:pPr>
      <w:r w:rsidRPr="00CE35EB">
        <w:rPr>
          <w:shd w:val="clear" w:color="auto" w:fill="FFFFFF"/>
        </w:rPr>
        <w:t xml:space="preserve">Considering the nature of the instrument and due to the short timeframe in </w:t>
      </w:r>
      <w:r w:rsidR="00610F4E" w:rsidRPr="00CE35EB">
        <w:rPr>
          <w:shd w:val="clear" w:color="auto" w:fill="FFFFFF"/>
        </w:rPr>
        <w:t>drafting the Amendment Determination</w:t>
      </w:r>
      <w:r w:rsidRPr="00CE35EB">
        <w:rPr>
          <w:shd w:val="clear" w:color="auto" w:fill="FFFFFF"/>
        </w:rPr>
        <w:t xml:space="preserve">, it was not reasonably practicable to undertake </w:t>
      </w:r>
      <w:r w:rsidR="00610F4E" w:rsidRPr="00CE35EB">
        <w:rPr>
          <w:shd w:val="clear" w:color="auto" w:fill="FFFFFF"/>
        </w:rPr>
        <w:t xml:space="preserve">broader </w:t>
      </w:r>
      <w:r w:rsidRPr="00CE35EB">
        <w:rPr>
          <w:shd w:val="clear" w:color="auto" w:fill="FFFFFF"/>
        </w:rPr>
        <w:t xml:space="preserve">consultation </w:t>
      </w:r>
      <w:r w:rsidR="00610F4E" w:rsidRPr="00CE35EB">
        <w:rPr>
          <w:shd w:val="clear" w:color="auto" w:fill="FFFFFF"/>
        </w:rPr>
        <w:t>on it</w:t>
      </w:r>
      <w:r w:rsidRPr="00CE35EB">
        <w:rPr>
          <w:shd w:val="clear" w:color="auto" w:fill="FFFFFF"/>
        </w:rPr>
        <w:t>.</w:t>
      </w:r>
    </w:p>
    <w:p w14:paraId="5ACF98F0" w14:textId="692B0D5F" w:rsidR="002627DA" w:rsidRPr="00CE35EB" w:rsidRDefault="002627DA" w:rsidP="00F45544">
      <w:pPr>
        <w:shd w:val="clear" w:color="auto" w:fill="FFFFFF"/>
        <w:rPr>
          <w:shd w:val="clear" w:color="auto" w:fill="FFFFFF"/>
        </w:rPr>
      </w:pPr>
    </w:p>
    <w:p w14:paraId="33ACDBB7" w14:textId="0B65C49E" w:rsidR="002627DA" w:rsidRPr="00CE35EB" w:rsidRDefault="002627DA" w:rsidP="00F45544">
      <w:pPr>
        <w:shd w:val="clear" w:color="auto" w:fill="FFFFFF"/>
        <w:rPr>
          <w:shd w:val="clear" w:color="auto" w:fill="FFFFFF"/>
        </w:rPr>
      </w:pPr>
      <w:r w:rsidRPr="00CE35EB">
        <w:rPr>
          <w:shd w:val="clear" w:color="auto" w:fill="FFFFFF"/>
        </w:rPr>
        <w:t xml:space="preserve">However health stakeholders, including the Australian Medical Association and the Royal Australian College of General Practitioners, have welcomed the Government’s decision to provide greater support and flexibility to manage COVID-19 positive patients in the community. </w:t>
      </w:r>
    </w:p>
    <w:p w14:paraId="1A87E606" w14:textId="4EE15013" w:rsidR="009348B0" w:rsidRPr="00CE35EB" w:rsidRDefault="009348B0" w:rsidP="002806A1">
      <w:pPr>
        <w:shd w:val="clear" w:color="auto" w:fill="FFFFFF"/>
        <w:rPr>
          <w:szCs w:val="24"/>
        </w:rPr>
      </w:pPr>
    </w:p>
    <w:p w14:paraId="2412D134" w14:textId="2FE64DBD" w:rsidR="00967E51" w:rsidRPr="00CE35EB" w:rsidRDefault="00A1739A" w:rsidP="000337CB">
      <w:pPr>
        <w:rPr>
          <w:szCs w:val="24"/>
        </w:rPr>
      </w:pPr>
      <w:r w:rsidRPr="00CE35EB">
        <w:rPr>
          <w:szCs w:val="24"/>
        </w:rPr>
        <w:t xml:space="preserve">Details of the </w:t>
      </w:r>
      <w:r w:rsidR="00426BB0" w:rsidRPr="00CE35EB">
        <w:rPr>
          <w:szCs w:val="24"/>
        </w:rPr>
        <w:t xml:space="preserve">Amendment </w:t>
      </w:r>
      <w:r w:rsidR="00574E71" w:rsidRPr="00CE35EB">
        <w:rPr>
          <w:szCs w:val="24"/>
        </w:rPr>
        <w:t>Determination</w:t>
      </w:r>
      <w:r w:rsidRPr="00CE35EB">
        <w:rPr>
          <w:szCs w:val="24"/>
        </w:rPr>
        <w:t xml:space="preserve"> are set out in the </w:t>
      </w:r>
      <w:r w:rsidRPr="00CE35EB">
        <w:rPr>
          <w:szCs w:val="24"/>
          <w:u w:val="single"/>
        </w:rPr>
        <w:t>Attachment</w:t>
      </w:r>
      <w:r w:rsidRPr="00CE35EB">
        <w:rPr>
          <w:szCs w:val="24"/>
        </w:rPr>
        <w:t>.</w:t>
      </w:r>
    </w:p>
    <w:p w14:paraId="2412D135" w14:textId="3ECC2E9F" w:rsidR="006C138D" w:rsidRPr="00CE35EB" w:rsidRDefault="00297AD0" w:rsidP="006C138D">
      <w:pPr>
        <w:tabs>
          <w:tab w:val="left" w:pos="567"/>
        </w:tabs>
        <w:spacing w:before="240"/>
        <w:rPr>
          <w:szCs w:val="24"/>
        </w:rPr>
      </w:pPr>
      <w:r w:rsidRPr="00CE35EB">
        <w:rPr>
          <w:szCs w:val="24"/>
        </w:rPr>
        <w:t xml:space="preserve">The </w:t>
      </w:r>
      <w:r w:rsidR="00426BB0" w:rsidRPr="00CE35EB">
        <w:rPr>
          <w:szCs w:val="24"/>
        </w:rPr>
        <w:t xml:space="preserve">Amendment </w:t>
      </w:r>
      <w:r w:rsidR="00967E51" w:rsidRPr="00CE35EB">
        <w:rPr>
          <w:szCs w:val="24"/>
        </w:rPr>
        <w:t>Determination</w:t>
      </w:r>
      <w:r w:rsidRPr="00CE35EB">
        <w:rPr>
          <w:szCs w:val="24"/>
        </w:rPr>
        <w:t xml:space="preserve"> </w:t>
      </w:r>
      <w:r w:rsidR="007524B0" w:rsidRPr="00CE35EB">
        <w:rPr>
          <w:szCs w:val="24"/>
        </w:rPr>
        <w:t xml:space="preserve">commences </w:t>
      </w:r>
      <w:r w:rsidR="00726F5E" w:rsidRPr="00CE35EB">
        <w:rPr>
          <w:szCs w:val="24"/>
        </w:rPr>
        <w:t xml:space="preserve">immediately after registration. Schedule 1 of this instrument is taken to have commenced </w:t>
      </w:r>
      <w:r w:rsidR="00C63FDC" w:rsidRPr="00CE35EB">
        <w:rPr>
          <w:szCs w:val="24"/>
        </w:rPr>
        <w:t xml:space="preserve">on </w:t>
      </w:r>
      <w:r w:rsidR="002C37C2" w:rsidRPr="00CE35EB">
        <w:rPr>
          <w:szCs w:val="24"/>
        </w:rPr>
        <w:t>1 January 2022</w:t>
      </w:r>
      <w:r w:rsidR="00426BB0" w:rsidRPr="00CE35EB">
        <w:rPr>
          <w:szCs w:val="24"/>
        </w:rPr>
        <w:t>.</w:t>
      </w:r>
      <w:r w:rsidR="00726F5E" w:rsidRPr="00CE35EB">
        <w:rPr>
          <w:szCs w:val="24"/>
        </w:rPr>
        <w:t xml:space="preserve"> Schedule 2 of this instrument will commence the day after registration.</w:t>
      </w:r>
    </w:p>
    <w:p w14:paraId="2412D136" w14:textId="77777777" w:rsidR="00236DF2" w:rsidRPr="00CE35EB" w:rsidRDefault="00236DF2" w:rsidP="00574E71">
      <w:pPr>
        <w:rPr>
          <w:szCs w:val="24"/>
        </w:rPr>
      </w:pPr>
    </w:p>
    <w:p w14:paraId="2412D138" w14:textId="263C536A" w:rsidR="00574E71" w:rsidRPr="00CE35EB" w:rsidRDefault="0002728B" w:rsidP="00DE07E4">
      <w:pPr>
        <w:spacing w:after="200" w:line="276" w:lineRule="auto"/>
        <w:rPr>
          <w:szCs w:val="24"/>
        </w:rPr>
      </w:pPr>
      <w:r w:rsidRPr="00CE35EB">
        <w:rPr>
          <w:szCs w:val="24"/>
        </w:rPr>
        <w:t>T</w:t>
      </w:r>
      <w:r w:rsidR="00574E71" w:rsidRPr="00CE35EB">
        <w:rPr>
          <w:szCs w:val="24"/>
        </w:rPr>
        <w:t xml:space="preserve">he </w:t>
      </w:r>
      <w:r w:rsidR="00426BB0" w:rsidRPr="00CE35EB">
        <w:rPr>
          <w:szCs w:val="24"/>
        </w:rPr>
        <w:t xml:space="preserve">Amendment </w:t>
      </w:r>
      <w:r w:rsidR="00574E71" w:rsidRPr="00CE35EB">
        <w:rPr>
          <w:szCs w:val="24"/>
        </w:rPr>
        <w:t xml:space="preserve">Determination is </w:t>
      </w:r>
      <w:r w:rsidR="004417A2" w:rsidRPr="00CE35EB">
        <w:rPr>
          <w:szCs w:val="24"/>
        </w:rPr>
        <w:t xml:space="preserve">a </w:t>
      </w:r>
      <w:r w:rsidR="00574E71" w:rsidRPr="00CE35EB">
        <w:rPr>
          <w:szCs w:val="24"/>
        </w:rPr>
        <w:t xml:space="preserve">legislative instrument for the purposes of the </w:t>
      </w:r>
      <w:r w:rsidR="00574E71" w:rsidRPr="00CE35EB">
        <w:rPr>
          <w:i/>
        </w:rPr>
        <w:t>Legislation Act 2003</w:t>
      </w:r>
      <w:r w:rsidR="00574E71" w:rsidRPr="00CE35EB">
        <w:rPr>
          <w:szCs w:val="24"/>
        </w:rPr>
        <w:t>.</w:t>
      </w:r>
    </w:p>
    <w:p w14:paraId="2412D139" w14:textId="77777777" w:rsidR="00A1739A" w:rsidRPr="00CE35EB" w:rsidRDefault="00A1739A" w:rsidP="000337CB">
      <w:pPr>
        <w:ind w:left="6663" w:hanging="3119"/>
        <w:rPr>
          <w:szCs w:val="24"/>
        </w:rPr>
      </w:pPr>
      <w:r w:rsidRPr="00CE35EB">
        <w:rPr>
          <w:szCs w:val="24"/>
        </w:rPr>
        <w:t xml:space="preserve">           </w:t>
      </w:r>
    </w:p>
    <w:p w14:paraId="2412D13A" w14:textId="77777777" w:rsidR="00A1739A" w:rsidRPr="00CE35EB" w:rsidRDefault="00A1739A" w:rsidP="000337CB">
      <w:pPr>
        <w:ind w:left="6663" w:hanging="3119"/>
        <w:rPr>
          <w:szCs w:val="24"/>
        </w:rPr>
      </w:pPr>
      <w:r w:rsidRPr="00CE35EB">
        <w:rPr>
          <w:szCs w:val="24"/>
          <w:u w:val="single"/>
        </w:rPr>
        <w:t>Authority</w:t>
      </w:r>
      <w:r w:rsidR="00967E51" w:rsidRPr="00CE35EB">
        <w:rPr>
          <w:szCs w:val="24"/>
        </w:rPr>
        <w:t xml:space="preserve">:     Subsection </w:t>
      </w:r>
      <w:r w:rsidRPr="00CE35EB">
        <w:rPr>
          <w:szCs w:val="24"/>
        </w:rPr>
        <w:t>3</w:t>
      </w:r>
      <w:r w:rsidR="00967E51" w:rsidRPr="00CE35EB">
        <w:rPr>
          <w:szCs w:val="24"/>
        </w:rPr>
        <w:t>C</w:t>
      </w:r>
      <w:r w:rsidRPr="00CE35EB">
        <w:rPr>
          <w:szCs w:val="24"/>
        </w:rPr>
        <w:t xml:space="preserve">(1) of the </w:t>
      </w:r>
    </w:p>
    <w:p w14:paraId="2412D13B" w14:textId="0596CD30" w:rsidR="00A1739A" w:rsidRPr="00CE35EB" w:rsidRDefault="00A1739A" w:rsidP="000337CB">
      <w:pPr>
        <w:tabs>
          <w:tab w:val="left" w:pos="4820"/>
        </w:tabs>
        <w:rPr>
          <w:szCs w:val="24"/>
        </w:rPr>
        <w:sectPr w:rsidR="00A1739A" w:rsidRPr="00CE35EB" w:rsidSect="00235B6C">
          <w:headerReference w:type="default" r:id="rId11"/>
          <w:pgSz w:w="11906" w:h="16838"/>
          <w:pgMar w:top="1440" w:right="1800" w:bottom="1135" w:left="1800" w:header="708" w:footer="708" w:gutter="0"/>
          <w:pgNumType w:start="1"/>
          <w:cols w:space="708"/>
          <w:docGrid w:linePitch="360"/>
        </w:sectPr>
      </w:pPr>
      <w:r w:rsidRPr="00CE35EB">
        <w:rPr>
          <w:i/>
          <w:szCs w:val="24"/>
        </w:rPr>
        <w:tab/>
        <w:t>Health Insurance Act 1973</w:t>
      </w:r>
    </w:p>
    <w:p w14:paraId="2412D13D" w14:textId="77777777" w:rsidR="006D5816" w:rsidRPr="00CE35EB" w:rsidRDefault="006D5816" w:rsidP="000337CB">
      <w:pPr>
        <w:pStyle w:val="BodyText"/>
        <w:jc w:val="right"/>
        <w:rPr>
          <w:szCs w:val="24"/>
        </w:rPr>
      </w:pPr>
      <w:r w:rsidRPr="00CE35EB">
        <w:rPr>
          <w:szCs w:val="24"/>
        </w:rPr>
        <w:lastRenderedPageBreak/>
        <w:t>ATTACHMENT</w:t>
      </w:r>
    </w:p>
    <w:p w14:paraId="2412D13E" w14:textId="77777777" w:rsidR="006D5816" w:rsidRPr="00CE35EB" w:rsidRDefault="006D5816" w:rsidP="000337CB">
      <w:pPr>
        <w:pStyle w:val="BodyText"/>
        <w:rPr>
          <w:szCs w:val="24"/>
          <w:u w:val="single"/>
        </w:rPr>
      </w:pPr>
    </w:p>
    <w:p w14:paraId="5B0C808A" w14:textId="7A9AFF0D" w:rsidR="00215191" w:rsidRPr="00CE35EB" w:rsidRDefault="00A41364" w:rsidP="00186752">
      <w:pPr>
        <w:pStyle w:val="BodyText"/>
        <w:rPr>
          <w:i/>
          <w:iCs/>
        </w:rPr>
      </w:pPr>
      <w:r w:rsidRPr="00CE35EB">
        <w:rPr>
          <w:szCs w:val="24"/>
        </w:rPr>
        <w:t xml:space="preserve">Details of the </w:t>
      </w:r>
      <w:r w:rsidR="00350FE7" w:rsidRPr="00CE35EB">
        <w:rPr>
          <w:i/>
          <w:iCs/>
        </w:rPr>
        <w:t>Health Insurance Legislation Amendment (2022 Measures No. 1) Determination 2022</w:t>
      </w:r>
    </w:p>
    <w:p w14:paraId="7BBEB147" w14:textId="720F9678" w:rsidR="00E70355" w:rsidRPr="00CE35EB" w:rsidRDefault="00E70355" w:rsidP="000337CB">
      <w:pPr>
        <w:pStyle w:val="BodyText"/>
        <w:rPr>
          <w:b w:val="0"/>
          <w:i/>
          <w:szCs w:val="24"/>
        </w:rPr>
      </w:pPr>
    </w:p>
    <w:p w14:paraId="2412D141" w14:textId="7C34D5F4" w:rsidR="00FE02C2" w:rsidRPr="00CE35EB" w:rsidRDefault="001B0111" w:rsidP="000337CB">
      <w:pPr>
        <w:pStyle w:val="BodyText"/>
        <w:rPr>
          <w:b w:val="0"/>
          <w:szCs w:val="24"/>
          <w:u w:val="single"/>
        </w:rPr>
      </w:pPr>
      <w:r w:rsidRPr="00CE35EB">
        <w:rPr>
          <w:b w:val="0"/>
          <w:szCs w:val="24"/>
          <w:u w:val="single"/>
        </w:rPr>
        <w:t>Section 1 – Name</w:t>
      </w:r>
    </w:p>
    <w:p w14:paraId="2412D142" w14:textId="77777777" w:rsidR="00FE02C2" w:rsidRPr="00CE35EB" w:rsidRDefault="00FE02C2" w:rsidP="000337CB">
      <w:pPr>
        <w:pStyle w:val="BodyText"/>
        <w:rPr>
          <w:b w:val="0"/>
          <w:szCs w:val="24"/>
          <w:u w:val="single"/>
        </w:rPr>
      </w:pPr>
    </w:p>
    <w:p w14:paraId="2412D144" w14:textId="4B9F97AE" w:rsidR="00F83B6F" w:rsidRPr="00CE35EB" w:rsidRDefault="00BC7397" w:rsidP="00C67BC7">
      <w:pPr>
        <w:pStyle w:val="BodyText"/>
      </w:pPr>
      <w:r w:rsidRPr="00CE35EB">
        <w:rPr>
          <w:b w:val="0"/>
          <w:szCs w:val="24"/>
        </w:rPr>
        <w:t>S</w:t>
      </w:r>
      <w:r w:rsidR="00FE02C2" w:rsidRPr="00CE35EB">
        <w:rPr>
          <w:b w:val="0"/>
          <w:szCs w:val="24"/>
        </w:rPr>
        <w:t xml:space="preserve">ection </w:t>
      </w:r>
      <w:r w:rsidRPr="00CE35EB">
        <w:rPr>
          <w:b w:val="0"/>
          <w:szCs w:val="24"/>
        </w:rPr>
        <w:t xml:space="preserve">1 </w:t>
      </w:r>
      <w:r w:rsidR="00FE02C2" w:rsidRPr="00CE35EB">
        <w:rPr>
          <w:b w:val="0"/>
          <w:szCs w:val="24"/>
        </w:rPr>
        <w:t>provides</w:t>
      </w:r>
      <w:r w:rsidR="008B683E" w:rsidRPr="00CE35EB">
        <w:rPr>
          <w:b w:val="0"/>
          <w:szCs w:val="24"/>
        </w:rPr>
        <w:t xml:space="preserve"> for the </w:t>
      </w:r>
      <w:r w:rsidR="00121017" w:rsidRPr="00CE35EB">
        <w:rPr>
          <w:b w:val="0"/>
          <w:szCs w:val="24"/>
        </w:rPr>
        <w:t>instrument</w:t>
      </w:r>
      <w:r w:rsidR="00FE02C2" w:rsidRPr="00CE35EB">
        <w:rPr>
          <w:b w:val="0"/>
          <w:szCs w:val="24"/>
        </w:rPr>
        <w:t xml:space="preserve"> to be referred to as the </w:t>
      </w:r>
      <w:r w:rsidR="00350FE7" w:rsidRPr="00CE35EB">
        <w:rPr>
          <w:b w:val="0"/>
          <w:i/>
          <w:iCs/>
          <w:szCs w:val="24"/>
        </w:rPr>
        <w:t>Health Insurance Legislation Amendment (2022 Measures No. 1) Determination 2022</w:t>
      </w:r>
      <w:r w:rsidR="00121017" w:rsidRPr="00CE35EB">
        <w:rPr>
          <w:b w:val="0"/>
          <w:i/>
          <w:iCs/>
          <w:szCs w:val="24"/>
        </w:rPr>
        <w:t xml:space="preserve"> </w:t>
      </w:r>
      <w:r w:rsidR="00121017" w:rsidRPr="00CE35EB">
        <w:rPr>
          <w:b w:val="0"/>
          <w:szCs w:val="24"/>
        </w:rPr>
        <w:t>(the Amendment Determination).</w:t>
      </w:r>
    </w:p>
    <w:p w14:paraId="68DAA207" w14:textId="77777777" w:rsidR="00FD602D" w:rsidRPr="00CE35EB" w:rsidRDefault="00FD602D" w:rsidP="00FD602D"/>
    <w:p w14:paraId="49D1E050" w14:textId="77777777" w:rsidR="007A4089" w:rsidRPr="00CE35EB" w:rsidRDefault="00FE02C2" w:rsidP="000337CB">
      <w:pPr>
        <w:pStyle w:val="BodyText"/>
        <w:rPr>
          <w:b w:val="0"/>
          <w:szCs w:val="24"/>
          <w:u w:val="single"/>
        </w:rPr>
      </w:pPr>
      <w:r w:rsidRPr="00CE35EB">
        <w:rPr>
          <w:b w:val="0"/>
          <w:szCs w:val="24"/>
          <w:u w:val="single"/>
        </w:rPr>
        <w:t xml:space="preserve">Section 2 – Commencement </w:t>
      </w:r>
    </w:p>
    <w:p w14:paraId="2DCE2ED0" w14:textId="77777777" w:rsidR="007A4089" w:rsidRPr="00CE35EB" w:rsidRDefault="007A4089" w:rsidP="000337CB">
      <w:pPr>
        <w:pStyle w:val="BodyText"/>
        <w:rPr>
          <w:b w:val="0"/>
          <w:szCs w:val="24"/>
          <w:u w:val="single"/>
        </w:rPr>
      </w:pPr>
    </w:p>
    <w:p w14:paraId="2412D148" w14:textId="0B07B9C0" w:rsidR="00510A4F" w:rsidRPr="00CE35EB" w:rsidRDefault="00510A4F" w:rsidP="000337CB">
      <w:pPr>
        <w:pStyle w:val="BodyText"/>
        <w:rPr>
          <w:b w:val="0"/>
          <w:szCs w:val="24"/>
        </w:rPr>
      </w:pPr>
      <w:r w:rsidRPr="00CE35EB">
        <w:rPr>
          <w:b w:val="0"/>
          <w:szCs w:val="24"/>
        </w:rPr>
        <w:t xml:space="preserve">Section 2 </w:t>
      </w:r>
      <w:r w:rsidR="00404F11" w:rsidRPr="00CE35EB">
        <w:rPr>
          <w:b w:val="0"/>
          <w:szCs w:val="24"/>
        </w:rPr>
        <w:t xml:space="preserve">provides that </w:t>
      </w:r>
      <w:r w:rsidR="008C136E" w:rsidRPr="00CE35EB">
        <w:rPr>
          <w:b w:val="0"/>
          <w:szCs w:val="24"/>
        </w:rPr>
        <w:t xml:space="preserve">Sections 1 to 4 of the </w:t>
      </w:r>
      <w:r w:rsidR="00610F4E" w:rsidRPr="00CE35EB">
        <w:rPr>
          <w:b w:val="0"/>
          <w:szCs w:val="24"/>
        </w:rPr>
        <w:t xml:space="preserve">Amendment </w:t>
      </w:r>
      <w:r w:rsidR="008B2094" w:rsidRPr="00CE35EB">
        <w:rPr>
          <w:b w:val="0"/>
          <w:szCs w:val="24"/>
        </w:rPr>
        <w:t xml:space="preserve">Determination </w:t>
      </w:r>
      <w:r w:rsidR="00404F11" w:rsidRPr="00CE35EB">
        <w:rPr>
          <w:b w:val="0"/>
          <w:szCs w:val="24"/>
        </w:rPr>
        <w:t>commence</w:t>
      </w:r>
      <w:r w:rsidR="004D5193" w:rsidRPr="00CE35EB">
        <w:rPr>
          <w:b w:val="0"/>
          <w:szCs w:val="24"/>
        </w:rPr>
        <w:t xml:space="preserve"> </w:t>
      </w:r>
      <w:r w:rsidR="008C136E" w:rsidRPr="00CE35EB">
        <w:rPr>
          <w:b w:val="0"/>
          <w:szCs w:val="24"/>
        </w:rPr>
        <w:t xml:space="preserve">immediately after registration. Schedule 1 is taken to have commenced retrospectively from </w:t>
      </w:r>
      <w:r w:rsidR="008C136E" w:rsidRPr="00CE35EB">
        <w:rPr>
          <w:b w:val="0"/>
          <w:szCs w:val="24"/>
        </w:rPr>
        <w:br/>
        <w:t>1 January 2022</w:t>
      </w:r>
      <w:r w:rsidR="00C63FDC" w:rsidRPr="00CE35EB">
        <w:rPr>
          <w:b w:val="0"/>
          <w:szCs w:val="24"/>
        </w:rPr>
        <w:t xml:space="preserve">. </w:t>
      </w:r>
      <w:r w:rsidR="008C136E" w:rsidRPr="00CE35EB">
        <w:rPr>
          <w:b w:val="0"/>
          <w:szCs w:val="24"/>
        </w:rPr>
        <w:t xml:space="preserve">Schedule 2 of the Amendment Determination commences the day after registration. </w:t>
      </w:r>
    </w:p>
    <w:p w14:paraId="16C03200" w14:textId="77777777" w:rsidR="007E0017" w:rsidRPr="00CE35EB" w:rsidRDefault="007E0017" w:rsidP="000337CB">
      <w:pPr>
        <w:pStyle w:val="BodyText"/>
        <w:rPr>
          <w:b w:val="0"/>
          <w:szCs w:val="24"/>
        </w:rPr>
      </w:pPr>
    </w:p>
    <w:p w14:paraId="005D5660" w14:textId="77777777" w:rsidR="007A4089" w:rsidRPr="00CE35EB" w:rsidRDefault="00FE02C2" w:rsidP="000337CB">
      <w:pPr>
        <w:pStyle w:val="BodyText"/>
        <w:rPr>
          <w:b w:val="0"/>
          <w:szCs w:val="24"/>
          <w:u w:val="single"/>
        </w:rPr>
      </w:pPr>
      <w:r w:rsidRPr="00CE35EB">
        <w:rPr>
          <w:b w:val="0"/>
          <w:szCs w:val="24"/>
          <w:u w:val="single"/>
        </w:rPr>
        <w:t xml:space="preserve">Section 3 – </w:t>
      </w:r>
      <w:r w:rsidR="00E5798A" w:rsidRPr="00CE35EB">
        <w:rPr>
          <w:b w:val="0"/>
          <w:szCs w:val="24"/>
          <w:u w:val="single"/>
        </w:rPr>
        <w:t>Authority</w:t>
      </w:r>
    </w:p>
    <w:p w14:paraId="53BFA098" w14:textId="77777777" w:rsidR="007A4089" w:rsidRPr="00CE35EB" w:rsidRDefault="007A4089" w:rsidP="000337CB">
      <w:pPr>
        <w:pStyle w:val="BodyText"/>
        <w:rPr>
          <w:b w:val="0"/>
          <w:szCs w:val="24"/>
          <w:u w:val="single"/>
        </w:rPr>
      </w:pPr>
    </w:p>
    <w:p w14:paraId="2412D14B" w14:textId="36BD20F4" w:rsidR="00FE02C2" w:rsidRPr="00CE35EB" w:rsidRDefault="00F83B6F" w:rsidP="000337CB">
      <w:pPr>
        <w:pStyle w:val="BodyText"/>
        <w:rPr>
          <w:b w:val="0"/>
        </w:rPr>
      </w:pPr>
      <w:r w:rsidRPr="00CE35EB">
        <w:rPr>
          <w:b w:val="0"/>
        </w:rPr>
        <w:t xml:space="preserve">Section 3 provides that the </w:t>
      </w:r>
      <w:r w:rsidR="00610F4E" w:rsidRPr="00CE35EB">
        <w:rPr>
          <w:b w:val="0"/>
        </w:rPr>
        <w:t xml:space="preserve">Amendment </w:t>
      </w:r>
      <w:r w:rsidR="008B2094" w:rsidRPr="00CE35EB">
        <w:rPr>
          <w:b w:val="0"/>
          <w:szCs w:val="24"/>
        </w:rPr>
        <w:t xml:space="preserve">Determination </w:t>
      </w:r>
      <w:r w:rsidR="00E5798A" w:rsidRPr="00CE35EB">
        <w:rPr>
          <w:b w:val="0"/>
        </w:rPr>
        <w:t xml:space="preserve">is made under </w:t>
      </w:r>
      <w:r w:rsidR="00367440" w:rsidRPr="00CE35EB">
        <w:rPr>
          <w:b w:val="0"/>
        </w:rPr>
        <w:t xml:space="preserve">subsection </w:t>
      </w:r>
      <w:r w:rsidR="00E5798A" w:rsidRPr="00CE35EB">
        <w:rPr>
          <w:b w:val="0"/>
        </w:rPr>
        <w:t xml:space="preserve">3C(1) of the </w:t>
      </w:r>
      <w:r w:rsidR="00E5798A" w:rsidRPr="00CE35EB">
        <w:rPr>
          <w:b w:val="0"/>
          <w:i/>
        </w:rPr>
        <w:t>Health Insurance Act 1973</w:t>
      </w:r>
      <w:r w:rsidR="00E5798A" w:rsidRPr="00CE35EB">
        <w:rPr>
          <w:b w:val="0"/>
        </w:rPr>
        <w:t>.</w:t>
      </w:r>
    </w:p>
    <w:p w14:paraId="0DBF1241" w14:textId="77777777" w:rsidR="00E70355" w:rsidRPr="00CE35EB" w:rsidRDefault="00E70355" w:rsidP="000337CB">
      <w:pPr>
        <w:pStyle w:val="BodyText"/>
        <w:rPr>
          <w:b w:val="0"/>
        </w:rPr>
      </w:pPr>
    </w:p>
    <w:p w14:paraId="20CBF84A" w14:textId="77777777" w:rsidR="00C63FDC" w:rsidRPr="00CE35EB" w:rsidRDefault="00C63FDC" w:rsidP="00C63FDC">
      <w:pPr>
        <w:pStyle w:val="BodyText"/>
        <w:rPr>
          <w:b w:val="0"/>
          <w:szCs w:val="24"/>
          <w:u w:val="single"/>
        </w:rPr>
      </w:pPr>
      <w:r w:rsidRPr="00CE35EB">
        <w:rPr>
          <w:b w:val="0"/>
          <w:szCs w:val="24"/>
          <w:u w:val="single"/>
        </w:rPr>
        <w:t>Section 4 – Schedules</w:t>
      </w:r>
    </w:p>
    <w:p w14:paraId="4C010161" w14:textId="77777777" w:rsidR="00C63FDC" w:rsidRPr="00CE35EB" w:rsidRDefault="00C63FDC" w:rsidP="00C63FDC">
      <w:pPr>
        <w:pStyle w:val="BodyText"/>
        <w:rPr>
          <w:b w:val="0"/>
          <w:szCs w:val="24"/>
          <w:u w:val="single"/>
        </w:rPr>
      </w:pPr>
    </w:p>
    <w:p w14:paraId="5D9EBF8D" w14:textId="72EAF0B1" w:rsidR="00C63FDC" w:rsidRPr="00CE35EB" w:rsidRDefault="00C63FDC" w:rsidP="00C63FDC">
      <w:pPr>
        <w:pStyle w:val="BodyText"/>
        <w:rPr>
          <w:b w:val="0"/>
          <w:szCs w:val="24"/>
        </w:rPr>
      </w:pPr>
      <w:r w:rsidRPr="00CE35EB">
        <w:rPr>
          <w:b w:val="0"/>
          <w:szCs w:val="24"/>
        </w:rPr>
        <w:t xml:space="preserve">Section 4 provides that each instrument that is specified in a Schedule to this </w:t>
      </w:r>
      <w:r w:rsidR="00DF7FA3" w:rsidRPr="00CE35EB">
        <w:rPr>
          <w:b w:val="0"/>
          <w:szCs w:val="24"/>
        </w:rPr>
        <w:t>instrument</w:t>
      </w:r>
      <w:r w:rsidRPr="00CE35EB">
        <w:rPr>
          <w:b w:val="0"/>
          <w:szCs w:val="24"/>
        </w:rPr>
        <w:t xml:space="preserve"> is amended or repealed as set out in the applicable items in the Schedule concerned, and any other item in a Schedule to this </w:t>
      </w:r>
      <w:r w:rsidR="00DF7FA3" w:rsidRPr="00CE35EB">
        <w:rPr>
          <w:b w:val="0"/>
          <w:szCs w:val="24"/>
        </w:rPr>
        <w:t>instrument</w:t>
      </w:r>
      <w:r w:rsidRPr="00CE35EB">
        <w:rPr>
          <w:b w:val="0"/>
          <w:szCs w:val="24"/>
        </w:rPr>
        <w:t xml:space="preserve"> has effect according to its terms.</w:t>
      </w:r>
    </w:p>
    <w:p w14:paraId="17D2CF69" w14:textId="77777777" w:rsidR="007E0017" w:rsidRPr="00CE35EB" w:rsidRDefault="007E0017" w:rsidP="00404F11">
      <w:pPr>
        <w:pStyle w:val="BodyText"/>
        <w:rPr>
          <w:b w:val="0"/>
          <w:szCs w:val="24"/>
        </w:rPr>
      </w:pPr>
    </w:p>
    <w:p w14:paraId="768D340E" w14:textId="1E7C6663" w:rsidR="00C63FDC" w:rsidRPr="00CE35EB" w:rsidRDefault="00C63FDC" w:rsidP="00C63FDC">
      <w:pPr>
        <w:pStyle w:val="Header"/>
        <w:tabs>
          <w:tab w:val="num" w:pos="1080"/>
        </w:tabs>
        <w:rPr>
          <w:szCs w:val="24"/>
          <w:u w:val="single"/>
        </w:rPr>
      </w:pPr>
      <w:r w:rsidRPr="00CE35EB">
        <w:rPr>
          <w:szCs w:val="24"/>
          <w:u w:val="single"/>
        </w:rPr>
        <w:t>Schedule 1 – Amendments</w:t>
      </w:r>
      <w:r w:rsidR="00E23C9F" w:rsidRPr="00CE35EB">
        <w:rPr>
          <w:szCs w:val="24"/>
          <w:u w:val="single"/>
        </w:rPr>
        <w:t xml:space="preserve"> to remote service options</w:t>
      </w:r>
    </w:p>
    <w:p w14:paraId="2212E577" w14:textId="54987140" w:rsidR="00C63FDC" w:rsidRPr="00CE35EB" w:rsidRDefault="00C63FDC" w:rsidP="00C63FDC">
      <w:pPr>
        <w:pStyle w:val="Header"/>
        <w:tabs>
          <w:tab w:val="num" w:pos="1080"/>
        </w:tabs>
        <w:rPr>
          <w:szCs w:val="24"/>
          <w:u w:val="single"/>
        </w:rPr>
      </w:pPr>
    </w:p>
    <w:p w14:paraId="773D8F3F" w14:textId="4093A2BB" w:rsidR="004D5193" w:rsidRPr="00CE35EB" w:rsidRDefault="00610F4E" w:rsidP="00C63FDC">
      <w:pPr>
        <w:pStyle w:val="Header"/>
        <w:tabs>
          <w:tab w:val="num" w:pos="1080"/>
        </w:tabs>
        <w:rPr>
          <w:iCs/>
          <w:szCs w:val="24"/>
          <w:u w:val="single"/>
        </w:rPr>
      </w:pPr>
      <w:r w:rsidRPr="00CE35EB">
        <w:rPr>
          <w:iCs/>
          <w:szCs w:val="24"/>
        </w:rPr>
        <w:t xml:space="preserve">Schedule 1 makes amendments to the </w:t>
      </w:r>
      <w:r w:rsidR="004D5193" w:rsidRPr="00CE35EB">
        <w:rPr>
          <w:i/>
          <w:szCs w:val="24"/>
        </w:rPr>
        <w:t>Health Insurance (Section 3C General Medical Services –Telehealth and Telephone Attendances) Determination 202</w:t>
      </w:r>
      <w:r w:rsidR="008C136E" w:rsidRPr="00CE35EB">
        <w:rPr>
          <w:i/>
          <w:szCs w:val="24"/>
        </w:rPr>
        <w:t>2</w:t>
      </w:r>
      <w:r w:rsidR="004D5193" w:rsidRPr="00CE35EB">
        <w:rPr>
          <w:iCs/>
          <w:szCs w:val="24"/>
        </w:rPr>
        <w:t xml:space="preserve"> (Principal</w:t>
      </w:r>
      <w:r w:rsidR="00DF7FA3" w:rsidRPr="00CE35EB">
        <w:rPr>
          <w:iCs/>
          <w:szCs w:val="24"/>
        </w:rPr>
        <w:t xml:space="preserve"> Remote Service</w:t>
      </w:r>
      <w:r w:rsidR="004D5193" w:rsidRPr="00CE35EB">
        <w:rPr>
          <w:iCs/>
          <w:szCs w:val="24"/>
        </w:rPr>
        <w:t xml:space="preserve"> Determination)</w:t>
      </w:r>
      <w:r w:rsidRPr="00CE35EB">
        <w:rPr>
          <w:iCs/>
          <w:szCs w:val="24"/>
        </w:rPr>
        <w:t>.</w:t>
      </w:r>
    </w:p>
    <w:p w14:paraId="1FF6A804" w14:textId="77777777" w:rsidR="004D5193" w:rsidRPr="00CE35EB" w:rsidRDefault="004D5193" w:rsidP="00C63FDC">
      <w:pPr>
        <w:pStyle w:val="Header"/>
        <w:tabs>
          <w:tab w:val="num" w:pos="1080"/>
        </w:tabs>
        <w:rPr>
          <w:szCs w:val="24"/>
          <w:u w:val="single"/>
        </w:rPr>
      </w:pPr>
    </w:p>
    <w:p w14:paraId="36151E55" w14:textId="1CCD0A6C" w:rsidR="008C136E" w:rsidRPr="00CE35EB" w:rsidRDefault="00DF7FA3" w:rsidP="00505F9A">
      <w:pPr>
        <w:pStyle w:val="Header"/>
        <w:tabs>
          <w:tab w:val="num" w:pos="1080"/>
        </w:tabs>
        <w:rPr>
          <w:b/>
          <w:bCs/>
          <w:iCs/>
        </w:rPr>
      </w:pPr>
      <w:r w:rsidRPr="00CE35EB">
        <w:rPr>
          <w:b/>
          <w:bCs/>
          <w:iCs/>
        </w:rPr>
        <w:t>Amendment i</w:t>
      </w:r>
      <w:r w:rsidR="008C136E" w:rsidRPr="00CE35EB">
        <w:rPr>
          <w:b/>
          <w:bCs/>
          <w:iCs/>
        </w:rPr>
        <w:t xml:space="preserve">tem 1 – </w:t>
      </w:r>
      <w:r w:rsidRPr="00CE35EB">
        <w:rPr>
          <w:b/>
          <w:bCs/>
          <w:iCs/>
        </w:rPr>
        <w:t>s</w:t>
      </w:r>
      <w:r w:rsidR="008C136E" w:rsidRPr="00CE35EB">
        <w:rPr>
          <w:b/>
          <w:bCs/>
          <w:iCs/>
        </w:rPr>
        <w:t xml:space="preserve">ection 4 </w:t>
      </w:r>
    </w:p>
    <w:p w14:paraId="616E8930" w14:textId="667F231A" w:rsidR="008C136E" w:rsidRPr="00CE35EB" w:rsidRDefault="00DF7FA3" w:rsidP="00505F9A">
      <w:pPr>
        <w:pStyle w:val="Header"/>
        <w:tabs>
          <w:tab w:val="num" w:pos="1080"/>
        </w:tabs>
        <w:rPr>
          <w:iCs/>
        </w:rPr>
      </w:pPr>
      <w:r w:rsidRPr="00CE35EB">
        <w:rPr>
          <w:iCs/>
        </w:rPr>
        <w:t xml:space="preserve">Item 1 will amend the cessation provision to automatically revoke the specialist in-hospital services items (Schedule 6), the specialist initial </w:t>
      </w:r>
      <w:r w:rsidR="00CE41EB" w:rsidRPr="00CE35EB">
        <w:rPr>
          <w:iCs/>
        </w:rPr>
        <w:t xml:space="preserve">and complex </w:t>
      </w:r>
      <w:r w:rsidRPr="00CE35EB">
        <w:rPr>
          <w:iCs/>
        </w:rPr>
        <w:t>phone services items (Schedule 7) and the COVID-19 impacted GP phone services (Schedule 8) from the end of 30 June 2022. There is no change to the date of the cessation for the items in Schedule 5 of the Principal Remote Service Determination</w:t>
      </w:r>
      <w:r w:rsidR="00121017" w:rsidRPr="00CE35EB">
        <w:rPr>
          <w:iCs/>
        </w:rPr>
        <w:t>.</w:t>
      </w:r>
    </w:p>
    <w:p w14:paraId="3D885E9C" w14:textId="33A26BD3" w:rsidR="008C136E" w:rsidRPr="00CE35EB" w:rsidRDefault="008C136E" w:rsidP="00505F9A">
      <w:pPr>
        <w:pStyle w:val="Header"/>
        <w:tabs>
          <w:tab w:val="num" w:pos="1080"/>
        </w:tabs>
        <w:rPr>
          <w:b/>
          <w:bCs/>
          <w:iCs/>
        </w:rPr>
      </w:pPr>
    </w:p>
    <w:p w14:paraId="127D7193" w14:textId="29A2400D" w:rsidR="00610F4E" w:rsidRPr="00CE35EB" w:rsidRDefault="00DF7FA3" w:rsidP="00505F9A">
      <w:pPr>
        <w:pStyle w:val="Header"/>
        <w:tabs>
          <w:tab w:val="num" w:pos="1080"/>
        </w:tabs>
        <w:rPr>
          <w:b/>
          <w:bCs/>
          <w:iCs/>
        </w:rPr>
      </w:pPr>
      <w:r w:rsidRPr="00CE35EB">
        <w:rPr>
          <w:b/>
          <w:bCs/>
          <w:iCs/>
        </w:rPr>
        <w:t>Amendment i</w:t>
      </w:r>
      <w:r w:rsidR="004D5193" w:rsidRPr="00CE35EB">
        <w:rPr>
          <w:b/>
          <w:bCs/>
          <w:iCs/>
        </w:rPr>
        <w:t xml:space="preserve">tem </w:t>
      </w:r>
      <w:r w:rsidR="008C136E" w:rsidRPr="00CE35EB">
        <w:rPr>
          <w:b/>
          <w:bCs/>
          <w:iCs/>
        </w:rPr>
        <w:t>2</w:t>
      </w:r>
      <w:r w:rsidR="00A272AB" w:rsidRPr="00CE35EB">
        <w:rPr>
          <w:b/>
          <w:bCs/>
          <w:iCs/>
        </w:rPr>
        <w:t xml:space="preserve"> – </w:t>
      </w:r>
      <w:r w:rsidRPr="00CE35EB">
        <w:rPr>
          <w:b/>
          <w:bCs/>
          <w:iCs/>
        </w:rPr>
        <w:t>s</w:t>
      </w:r>
      <w:r w:rsidR="00A272AB" w:rsidRPr="00CE35EB">
        <w:rPr>
          <w:b/>
          <w:bCs/>
          <w:iCs/>
        </w:rPr>
        <w:t>ubsection 5(1)</w:t>
      </w:r>
    </w:p>
    <w:p w14:paraId="6765D78B" w14:textId="5A76EFE1" w:rsidR="001C0810" w:rsidRPr="00CE35EB" w:rsidRDefault="00DF7FA3" w:rsidP="00505F9A">
      <w:pPr>
        <w:pStyle w:val="Header"/>
        <w:tabs>
          <w:tab w:val="num" w:pos="1080"/>
        </w:tabs>
        <w:rPr>
          <w:iCs/>
        </w:rPr>
      </w:pPr>
      <w:r w:rsidRPr="00CE35EB">
        <w:rPr>
          <w:iCs/>
        </w:rPr>
        <w:t>It</w:t>
      </w:r>
      <w:r w:rsidR="00610F4E" w:rsidRPr="00CE35EB">
        <w:rPr>
          <w:iCs/>
        </w:rPr>
        <w:t xml:space="preserve">em </w:t>
      </w:r>
      <w:r w:rsidRPr="00CE35EB">
        <w:rPr>
          <w:iCs/>
        </w:rPr>
        <w:t>2</w:t>
      </w:r>
      <w:r w:rsidR="00610F4E" w:rsidRPr="00CE35EB">
        <w:rPr>
          <w:iCs/>
        </w:rPr>
        <w:t xml:space="preserve"> </w:t>
      </w:r>
      <w:r w:rsidR="001C0810" w:rsidRPr="00CE35EB">
        <w:rPr>
          <w:iCs/>
        </w:rPr>
        <w:t xml:space="preserve">inserts definitions for </w:t>
      </w:r>
      <w:r w:rsidR="00EF6B7F" w:rsidRPr="00CE35EB">
        <w:rPr>
          <w:b/>
          <w:bCs/>
          <w:i/>
        </w:rPr>
        <w:t>admit</w:t>
      </w:r>
      <w:r w:rsidR="001C0810" w:rsidRPr="00CE35EB">
        <w:rPr>
          <w:b/>
          <w:bCs/>
          <w:i/>
        </w:rPr>
        <w:t>ting dental practitioner</w:t>
      </w:r>
      <w:r w:rsidR="001C0810" w:rsidRPr="00CE35EB">
        <w:rPr>
          <w:iCs/>
        </w:rPr>
        <w:t xml:space="preserve"> and </w:t>
      </w:r>
      <w:r w:rsidR="00EF6B7F" w:rsidRPr="00CE35EB">
        <w:rPr>
          <w:b/>
          <w:bCs/>
          <w:i/>
        </w:rPr>
        <w:t>admit</w:t>
      </w:r>
      <w:r w:rsidR="001C0810" w:rsidRPr="00CE35EB">
        <w:rPr>
          <w:b/>
          <w:bCs/>
          <w:i/>
        </w:rPr>
        <w:t>ting medical practitioner</w:t>
      </w:r>
      <w:r w:rsidRPr="00CE35EB">
        <w:rPr>
          <w:b/>
          <w:bCs/>
          <w:i/>
        </w:rPr>
        <w:t xml:space="preserve"> </w:t>
      </w:r>
      <w:r w:rsidRPr="00CE35EB">
        <w:rPr>
          <w:iCs/>
        </w:rPr>
        <w:t>in s</w:t>
      </w:r>
      <w:r w:rsidR="00A272AB" w:rsidRPr="00CE35EB">
        <w:rPr>
          <w:iCs/>
        </w:rPr>
        <w:t>ubsection 5(1)</w:t>
      </w:r>
      <w:r w:rsidRPr="00CE35EB">
        <w:rPr>
          <w:iCs/>
        </w:rPr>
        <w:t>. A</w:t>
      </w:r>
      <w:r w:rsidR="00EF6B7F" w:rsidRPr="00CE35EB">
        <w:rPr>
          <w:b/>
          <w:bCs/>
          <w:i/>
        </w:rPr>
        <w:t>dmit</w:t>
      </w:r>
      <w:r w:rsidR="001C0810" w:rsidRPr="00CE35EB">
        <w:rPr>
          <w:b/>
          <w:bCs/>
          <w:i/>
        </w:rPr>
        <w:t>ting medical practitioner</w:t>
      </w:r>
      <w:r w:rsidR="001C0810" w:rsidRPr="00CE35EB">
        <w:rPr>
          <w:i/>
        </w:rPr>
        <w:t xml:space="preserve"> </w:t>
      </w:r>
      <w:r w:rsidR="001C0810" w:rsidRPr="00CE35EB">
        <w:rPr>
          <w:iCs/>
        </w:rPr>
        <w:t>means the medical practitioner responsible for the patient’</w:t>
      </w:r>
      <w:r w:rsidR="00610F4E" w:rsidRPr="00CE35EB">
        <w:rPr>
          <w:iCs/>
        </w:rPr>
        <w:t>s</w:t>
      </w:r>
      <w:r w:rsidR="001C0810" w:rsidRPr="00CE35EB">
        <w:rPr>
          <w:iCs/>
        </w:rPr>
        <w:t xml:space="preserve"> treatment </w:t>
      </w:r>
      <w:r w:rsidR="00610F4E" w:rsidRPr="00CE35EB">
        <w:rPr>
          <w:iCs/>
        </w:rPr>
        <w:t>at</w:t>
      </w:r>
      <w:r w:rsidR="001C0810" w:rsidRPr="00CE35EB">
        <w:rPr>
          <w:iCs/>
        </w:rPr>
        <w:t xml:space="preserve"> the time </w:t>
      </w:r>
      <w:r w:rsidR="00610F4E" w:rsidRPr="00CE35EB">
        <w:rPr>
          <w:iCs/>
        </w:rPr>
        <w:t>the patient is admitted</w:t>
      </w:r>
      <w:r w:rsidR="001C0810" w:rsidRPr="00CE35EB">
        <w:rPr>
          <w:iCs/>
        </w:rPr>
        <w:t xml:space="preserve"> to hospital and </w:t>
      </w:r>
      <w:r w:rsidR="00EF6B7F" w:rsidRPr="00CE35EB">
        <w:rPr>
          <w:b/>
          <w:bCs/>
          <w:i/>
        </w:rPr>
        <w:t>admit</w:t>
      </w:r>
      <w:r w:rsidR="001C0810" w:rsidRPr="00CE35EB">
        <w:rPr>
          <w:b/>
          <w:bCs/>
          <w:i/>
        </w:rPr>
        <w:t>ting dental practitioner</w:t>
      </w:r>
      <w:r w:rsidR="001C0810" w:rsidRPr="00CE35EB">
        <w:rPr>
          <w:b/>
          <w:bCs/>
          <w:iCs/>
        </w:rPr>
        <w:t xml:space="preserve"> </w:t>
      </w:r>
      <w:r w:rsidR="001C0810" w:rsidRPr="00CE35EB">
        <w:rPr>
          <w:iCs/>
        </w:rPr>
        <w:t>means the</w:t>
      </w:r>
      <w:r w:rsidR="00944007" w:rsidRPr="00CE35EB">
        <w:rPr>
          <w:szCs w:val="22"/>
        </w:rPr>
        <w:t xml:space="preserve"> dental practitioner responsible for the patient’s treatment </w:t>
      </w:r>
      <w:r w:rsidR="00610F4E" w:rsidRPr="00CE35EB">
        <w:rPr>
          <w:szCs w:val="22"/>
        </w:rPr>
        <w:t>at</w:t>
      </w:r>
      <w:r w:rsidR="00944007" w:rsidRPr="00CE35EB">
        <w:rPr>
          <w:szCs w:val="22"/>
        </w:rPr>
        <w:t xml:space="preserve"> the time </w:t>
      </w:r>
      <w:r w:rsidR="00610F4E" w:rsidRPr="00CE35EB">
        <w:rPr>
          <w:szCs w:val="22"/>
        </w:rPr>
        <w:t>the patient is admitted</w:t>
      </w:r>
      <w:r w:rsidR="00944007" w:rsidRPr="00CE35EB">
        <w:rPr>
          <w:szCs w:val="22"/>
        </w:rPr>
        <w:t xml:space="preserve"> to hospital.</w:t>
      </w:r>
      <w:r w:rsidRPr="00CE35EB">
        <w:rPr>
          <w:szCs w:val="22"/>
        </w:rPr>
        <w:t xml:space="preserve"> These definitions are used to apply a requirement for the </w:t>
      </w:r>
      <w:r w:rsidRPr="00CE35EB">
        <w:rPr>
          <w:iCs/>
        </w:rPr>
        <w:t>specialist in-hospital services items in Schedule 6</w:t>
      </w:r>
      <w:r w:rsidR="00A50E4E" w:rsidRPr="00CE35EB">
        <w:rPr>
          <w:iCs/>
        </w:rPr>
        <w:t>.</w:t>
      </w:r>
    </w:p>
    <w:p w14:paraId="27294621" w14:textId="75743182" w:rsidR="00DF7FA3" w:rsidRPr="00CE35EB" w:rsidRDefault="00DF7FA3" w:rsidP="00505F9A">
      <w:pPr>
        <w:pStyle w:val="Header"/>
        <w:tabs>
          <w:tab w:val="num" w:pos="1080"/>
        </w:tabs>
        <w:rPr>
          <w:iCs/>
        </w:rPr>
      </w:pPr>
    </w:p>
    <w:p w14:paraId="049FA361" w14:textId="5E74DE55" w:rsidR="00A272AB" w:rsidRPr="00CE35EB" w:rsidRDefault="00DF7FA3" w:rsidP="00505F9A">
      <w:pPr>
        <w:pStyle w:val="Header"/>
        <w:tabs>
          <w:tab w:val="num" w:pos="1080"/>
        </w:tabs>
        <w:rPr>
          <w:b/>
          <w:bCs/>
          <w:iCs/>
        </w:rPr>
      </w:pPr>
      <w:r w:rsidRPr="00CE35EB">
        <w:rPr>
          <w:b/>
          <w:bCs/>
          <w:iCs/>
        </w:rPr>
        <w:lastRenderedPageBreak/>
        <w:t>Amendment i</w:t>
      </w:r>
      <w:r w:rsidR="001C0810" w:rsidRPr="00CE35EB">
        <w:rPr>
          <w:b/>
          <w:bCs/>
          <w:iCs/>
        </w:rPr>
        <w:t xml:space="preserve">tem </w:t>
      </w:r>
      <w:r w:rsidR="008C136E" w:rsidRPr="00CE35EB">
        <w:rPr>
          <w:b/>
          <w:bCs/>
          <w:iCs/>
        </w:rPr>
        <w:t>3</w:t>
      </w:r>
      <w:r w:rsidR="00A272AB" w:rsidRPr="00CE35EB">
        <w:rPr>
          <w:b/>
          <w:bCs/>
          <w:iCs/>
        </w:rPr>
        <w:t xml:space="preserve"> –</w:t>
      </w:r>
      <w:r w:rsidRPr="00CE35EB">
        <w:rPr>
          <w:b/>
          <w:bCs/>
          <w:iCs/>
        </w:rPr>
        <w:t xml:space="preserve"> subsection 5(1), </w:t>
      </w:r>
      <w:r w:rsidR="008C136E" w:rsidRPr="00CE35EB">
        <w:rPr>
          <w:b/>
          <w:bCs/>
          <w:iCs/>
        </w:rPr>
        <w:t xml:space="preserve">definition of </w:t>
      </w:r>
      <w:r w:rsidR="008C136E" w:rsidRPr="00CE35EB">
        <w:rPr>
          <w:b/>
          <w:bCs/>
          <w:i/>
        </w:rPr>
        <w:t>psychiatrist assessment and management plan</w:t>
      </w:r>
    </w:p>
    <w:p w14:paraId="2C4FDEA9" w14:textId="33919CEC" w:rsidR="00876C62" w:rsidRPr="00CE35EB" w:rsidRDefault="00A272AB" w:rsidP="00505F9A">
      <w:pPr>
        <w:pStyle w:val="Header"/>
        <w:tabs>
          <w:tab w:val="num" w:pos="1080"/>
        </w:tabs>
        <w:rPr>
          <w:iCs/>
        </w:rPr>
      </w:pPr>
      <w:r w:rsidRPr="00CE35EB">
        <w:rPr>
          <w:iCs/>
        </w:rPr>
        <w:t xml:space="preserve">Item </w:t>
      </w:r>
      <w:r w:rsidR="008C136E" w:rsidRPr="00CE35EB">
        <w:rPr>
          <w:iCs/>
        </w:rPr>
        <w:t>3</w:t>
      </w:r>
      <w:r w:rsidRPr="00CE35EB">
        <w:rPr>
          <w:iCs/>
        </w:rPr>
        <w:t xml:space="preserve"> </w:t>
      </w:r>
      <w:r w:rsidR="007C29B2" w:rsidRPr="00CE35EB">
        <w:rPr>
          <w:iCs/>
        </w:rPr>
        <w:t>omits and substitutes</w:t>
      </w:r>
      <w:r w:rsidR="008622CB" w:rsidRPr="00CE35EB">
        <w:rPr>
          <w:iCs/>
        </w:rPr>
        <w:t xml:space="preserve"> the definition of </w:t>
      </w:r>
      <w:r w:rsidR="008622CB" w:rsidRPr="00CE35EB">
        <w:rPr>
          <w:b/>
          <w:bCs/>
          <w:iCs/>
        </w:rPr>
        <w:t>psychiatrist assessment and management plan</w:t>
      </w:r>
      <w:r w:rsidR="008622CB" w:rsidRPr="00CE35EB">
        <w:rPr>
          <w:iCs/>
        </w:rPr>
        <w:t xml:space="preserve"> to </w:t>
      </w:r>
      <w:r w:rsidR="007C29B2" w:rsidRPr="00CE35EB">
        <w:rPr>
          <w:iCs/>
        </w:rPr>
        <w:t>include</w:t>
      </w:r>
      <w:r w:rsidR="00876C62" w:rsidRPr="00CE35EB">
        <w:rPr>
          <w:iCs/>
        </w:rPr>
        <w:t xml:space="preserve"> the consultant psychiatrist phone services 92475</w:t>
      </w:r>
      <w:r w:rsidR="007C29B2" w:rsidRPr="00CE35EB">
        <w:rPr>
          <w:iCs/>
        </w:rPr>
        <w:t xml:space="preserve"> which is listed by this instrument</w:t>
      </w:r>
      <w:r w:rsidR="00876C62" w:rsidRPr="00CE35EB">
        <w:rPr>
          <w:iCs/>
        </w:rPr>
        <w:t>. This item is equivalent to telehealth item 92435 which is currently included in the definition</w:t>
      </w:r>
      <w:r w:rsidR="007C29B2" w:rsidRPr="00CE35EB">
        <w:rPr>
          <w:iCs/>
        </w:rPr>
        <w:t xml:space="preserve"> in the Principal Remote Service Determination</w:t>
      </w:r>
      <w:r w:rsidR="00876C62" w:rsidRPr="00CE35EB">
        <w:rPr>
          <w:iCs/>
        </w:rPr>
        <w:t>. A psychiatrist assessment and management plan enables patients to access a range of mental health treatment services performed by allied health providers.</w:t>
      </w:r>
    </w:p>
    <w:p w14:paraId="02F05C7F" w14:textId="77777777" w:rsidR="00876C62" w:rsidRPr="00CE35EB" w:rsidRDefault="00876C62" w:rsidP="00505F9A">
      <w:pPr>
        <w:pStyle w:val="Header"/>
        <w:tabs>
          <w:tab w:val="num" w:pos="1080"/>
        </w:tabs>
        <w:rPr>
          <w:iCs/>
        </w:rPr>
      </w:pPr>
    </w:p>
    <w:p w14:paraId="58EE74B1" w14:textId="264967E4" w:rsidR="008622CB" w:rsidRPr="00CE35EB" w:rsidRDefault="007C29B2" w:rsidP="00C63FDC">
      <w:pPr>
        <w:pStyle w:val="Header"/>
        <w:tabs>
          <w:tab w:val="num" w:pos="1080"/>
        </w:tabs>
        <w:rPr>
          <w:b/>
          <w:bCs/>
          <w:szCs w:val="24"/>
        </w:rPr>
      </w:pPr>
      <w:r w:rsidRPr="00CE35EB">
        <w:rPr>
          <w:b/>
          <w:bCs/>
          <w:szCs w:val="24"/>
        </w:rPr>
        <w:t>Amendment i</w:t>
      </w:r>
      <w:r w:rsidR="006035CC" w:rsidRPr="00CE35EB">
        <w:rPr>
          <w:b/>
          <w:bCs/>
          <w:szCs w:val="24"/>
        </w:rPr>
        <w:t xml:space="preserve">tem </w:t>
      </w:r>
      <w:r w:rsidR="008622CB" w:rsidRPr="00CE35EB">
        <w:rPr>
          <w:b/>
          <w:bCs/>
          <w:szCs w:val="24"/>
        </w:rPr>
        <w:t>4</w:t>
      </w:r>
      <w:r w:rsidR="00A272AB" w:rsidRPr="00CE35EB">
        <w:rPr>
          <w:b/>
          <w:bCs/>
          <w:szCs w:val="24"/>
        </w:rPr>
        <w:t xml:space="preserve"> – After </w:t>
      </w:r>
      <w:r w:rsidR="008622CB" w:rsidRPr="00CE35EB">
        <w:rPr>
          <w:b/>
          <w:bCs/>
          <w:szCs w:val="24"/>
        </w:rPr>
        <w:t xml:space="preserve">subsection 7(1) </w:t>
      </w:r>
    </w:p>
    <w:p w14:paraId="5BC13554" w14:textId="369260E1" w:rsidR="008622CB" w:rsidRPr="00CE35EB" w:rsidRDefault="00A272AB" w:rsidP="00C63FDC">
      <w:pPr>
        <w:pStyle w:val="Header"/>
        <w:tabs>
          <w:tab w:val="num" w:pos="1080"/>
        </w:tabs>
        <w:rPr>
          <w:szCs w:val="24"/>
        </w:rPr>
      </w:pPr>
      <w:r w:rsidRPr="00CE35EB">
        <w:rPr>
          <w:szCs w:val="24"/>
        </w:rPr>
        <w:t xml:space="preserve">Item </w:t>
      </w:r>
      <w:r w:rsidR="007C29B2" w:rsidRPr="00CE35EB">
        <w:rPr>
          <w:szCs w:val="24"/>
        </w:rPr>
        <w:t>4</w:t>
      </w:r>
      <w:r w:rsidR="006035CC" w:rsidRPr="00CE35EB">
        <w:rPr>
          <w:b/>
          <w:bCs/>
          <w:szCs w:val="24"/>
        </w:rPr>
        <w:t xml:space="preserve"> </w:t>
      </w:r>
      <w:r w:rsidR="006035CC" w:rsidRPr="00CE35EB">
        <w:rPr>
          <w:szCs w:val="24"/>
        </w:rPr>
        <w:t xml:space="preserve">inserts </w:t>
      </w:r>
      <w:r w:rsidR="008622CB" w:rsidRPr="00CE35EB">
        <w:rPr>
          <w:szCs w:val="24"/>
        </w:rPr>
        <w:t xml:space="preserve">subsection (1A) </w:t>
      </w:r>
      <w:r w:rsidR="007C29B2" w:rsidRPr="00CE35EB">
        <w:rPr>
          <w:szCs w:val="24"/>
        </w:rPr>
        <w:t xml:space="preserve">to exclude items in Schedule 6 from having application to the general rule that the services cannot be provided to admitted patients, as defined in section 5 of the </w:t>
      </w:r>
      <w:r w:rsidR="007C29B2" w:rsidRPr="00CE35EB">
        <w:rPr>
          <w:iCs/>
        </w:rPr>
        <w:t>Principal Remote Service Determination</w:t>
      </w:r>
      <w:r w:rsidR="007C29B2" w:rsidRPr="00CE35EB">
        <w:rPr>
          <w:szCs w:val="24"/>
        </w:rPr>
        <w:t>. This instrument will list Schedule 6 which contains items that can only be performed on admitted patients</w:t>
      </w:r>
      <w:r w:rsidR="00A50E4E" w:rsidRPr="00CE35EB">
        <w:rPr>
          <w:szCs w:val="24"/>
        </w:rPr>
        <w:t>.</w:t>
      </w:r>
      <w:r w:rsidR="007C29B2" w:rsidRPr="00CE35EB">
        <w:rPr>
          <w:szCs w:val="24"/>
        </w:rPr>
        <w:t xml:space="preserve"> </w:t>
      </w:r>
    </w:p>
    <w:p w14:paraId="0B106275" w14:textId="24E8136A" w:rsidR="00861C33" w:rsidRPr="00CE35EB" w:rsidRDefault="00861C33" w:rsidP="00C63FDC">
      <w:pPr>
        <w:pStyle w:val="Header"/>
        <w:tabs>
          <w:tab w:val="num" w:pos="1080"/>
        </w:tabs>
        <w:rPr>
          <w:szCs w:val="24"/>
        </w:rPr>
      </w:pPr>
    </w:p>
    <w:p w14:paraId="4BC05019" w14:textId="42D65F80" w:rsidR="006F5BFD" w:rsidRPr="00CE35EB" w:rsidRDefault="006F5BFD" w:rsidP="006F5BFD">
      <w:pPr>
        <w:pStyle w:val="Header"/>
        <w:tabs>
          <w:tab w:val="num" w:pos="1080"/>
        </w:tabs>
        <w:rPr>
          <w:b/>
          <w:bCs/>
          <w:szCs w:val="24"/>
        </w:rPr>
      </w:pPr>
      <w:r w:rsidRPr="00CE35EB">
        <w:rPr>
          <w:b/>
          <w:bCs/>
          <w:szCs w:val="24"/>
        </w:rPr>
        <w:t xml:space="preserve">Amendment item 5 – subsection 7(4) </w:t>
      </w:r>
    </w:p>
    <w:p w14:paraId="763D9016" w14:textId="1F4C8C04" w:rsidR="006F5BFD" w:rsidRPr="00CE35EB" w:rsidRDefault="006F5BFD" w:rsidP="00C63FDC">
      <w:pPr>
        <w:pStyle w:val="Header"/>
        <w:tabs>
          <w:tab w:val="num" w:pos="1080"/>
        </w:tabs>
        <w:rPr>
          <w:szCs w:val="24"/>
        </w:rPr>
      </w:pPr>
      <w:r w:rsidRPr="00CE35EB">
        <w:rPr>
          <w:szCs w:val="24"/>
        </w:rPr>
        <w:t xml:space="preserve">Item 5 omits and substitutes the specified text to capture the new group psychotherapy items (92495 to 92497). Including these items in subsection 7(4) will exclude them from the general rule in subsection 7(3) that an item in the </w:t>
      </w:r>
      <w:r w:rsidRPr="00CE35EB">
        <w:rPr>
          <w:iCs/>
        </w:rPr>
        <w:t xml:space="preserve">Principal Remote Service Determination only applies to a service that is an attendance by a single health professional on a single person. </w:t>
      </w:r>
    </w:p>
    <w:p w14:paraId="158934EE" w14:textId="77777777" w:rsidR="006F5BFD" w:rsidRPr="00CE35EB" w:rsidRDefault="006F5BFD" w:rsidP="00C63FDC">
      <w:pPr>
        <w:pStyle w:val="Header"/>
        <w:tabs>
          <w:tab w:val="num" w:pos="1080"/>
        </w:tabs>
        <w:rPr>
          <w:szCs w:val="24"/>
        </w:rPr>
      </w:pPr>
    </w:p>
    <w:p w14:paraId="5688E27A" w14:textId="0D55795C" w:rsidR="00861C33" w:rsidRPr="00CE35EB" w:rsidRDefault="00C80A20" w:rsidP="00C63FDC">
      <w:pPr>
        <w:pStyle w:val="Header"/>
        <w:tabs>
          <w:tab w:val="num" w:pos="1080"/>
        </w:tabs>
        <w:rPr>
          <w:b/>
          <w:bCs/>
          <w:szCs w:val="24"/>
        </w:rPr>
      </w:pPr>
      <w:r w:rsidRPr="00CE35EB">
        <w:rPr>
          <w:b/>
          <w:bCs/>
          <w:szCs w:val="24"/>
        </w:rPr>
        <w:t>Amendment i</w:t>
      </w:r>
      <w:r w:rsidR="00861C33" w:rsidRPr="00CE35EB">
        <w:rPr>
          <w:b/>
          <w:bCs/>
          <w:szCs w:val="24"/>
        </w:rPr>
        <w:t xml:space="preserve">tem </w:t>
      </w:r>
      <w:r w:rsidR="00DC06BB" w:rsidRPr="00CE35EB">
        <w:rPr>
          <w:b/>
          <w:bCs/>
          <w:szCs w:val="24"/>
        </w:rPr>
        <w:t>6</w:t>
      </w:r>
      <w:r w:rsidR="00861C33" w:rsidRPr="00CE35EB">
        <w:rPr>
          <w:b/>
          <w:bCs/>
          <w:szCs w:val="24"/>
        </w:rPr>
        <w:t xml:space="preserve"> – </w:t>
      </w:r>
      <w:r w:rsidR="00DC06BB" w:rsidRPr="00CE35EB">
        <w:rPr>
          <w:b/>
          <w:bCs/>
          <w:szCs w:val="24"/>
        </w:rPr>
        <w:t>Schedule 2 (item 92624, cell at column 2)</w:t>
      </w:r>
      <w:r w:rsidR="00861C33" w:rsidRPr="00CE35EB">
        <w:rPr>
          <w:b/>
          <w:bCs/>
          <w:szCs w:val="24"/>
        </w:rPr>
        <w:t xml:space="preserve"> </w:t>
      </w:r>
    </w:p>
    <w:p w14:paraId="0F91CA08" w14:textId="2616D3DA" w:rsidR="00861C33" w:rsidRPr="00CE35EB" w:rsidRDefault="00861C33" w:rsidP="00C63FDC">
      <w:pPr>
        <w:pStyle w:val="Header"/>
        <w:tabs>
          <w:tab w:val="num" w:pos="1080"/>
        </w:tabs>
        <w:rPr>
          <w:color w:val="000000"/>
          <w:shd w:val="clear" w:color="auto" w:fill="FFFFFF"/>
        </w:rPr>
      </w:pPr>
      <w:r w:rsidRPr="00CE35EB">
        <w:rPr>
          <w:szCs w:val="24"/>
        </w:rPr>
        <w:t xml:space="preserve">Item </w:t>
      </w:r>
      <w:r w:rsidR="00DC06BB" w:rsidRPr="00CE35EB">
        <w:rPr>
          <w:szCs w:val="24"/>
        </w:rPr>
        <w:t xml:space="preserve">6 </w:t>
      </w:r>
      <w:r w:rsidR="00121017" w:rsidRPr="00CE35EB">
        <w:rPr>
          <w:szCs w:val="24"/>
        </w:rPr>
        <w:t xml:space="preserve">amends </w:t>
      </w:r>
      <w:r w:rsidR="00DC06BB" w:rsidRPr="00CE35EB">
        <w:rPr>
          <w:szCs w:val="24"/>
        </w:rPr>
        <w:t>the descriptor of item 92624 to capture the new geriatrician phone management plan service (92628), which is equivalent to the telehealth item 92623. These items are required to be specified in the descriptor of item 92624 to enable patients to access a review of their geriatrician management plan.</w:t>
      </w:r>
    </w:p>
    <w:p w14:paraId="1D3FE851" w14:textId="37C01BFB" w:rsidR="00861C33" w:rsidRPr="00CE35EB" w:rsidRDefault="00861C33" w:rsidP="00C63FDC">
      <w:pPr>
        <w:pStyle w:val="Header"/>
        <w:tabs>
          <w:tab w:val="num" w:pos="1080"/>
        </w:tabs>
        <w:rPr>
          <w:color w:val="000000"/>
          <w:shd w:val="clear" w:color="auto" w:fill="FFFFFF"/>
        </w:rPr>
      </w:pPr>
    </w:p>
    <w:p w14:paraId="1A88151A" w14:textId="77777777" w:rsidR="005F657C" w:rsidRPr="00CE35EB" w:rsidRDefault="00C50B7E" w:rsidP="00C63FDC">
      <w:pPr>
        <w:pStyle w:val="Header"/>
        <w:tabs>
          <w:tab w:val="num" w:pos="1080"/>
        </w:tabs>
        <w:rPr>
          <w:b/>
          <w:bCs/>
          <w:color w:val="000000"/>
          <w:shd w:val="clear" w:color="auto" w:fill="FFFFFF"/>
        </w:rPr>
      </w:pPr>
      <w:r w:rsidRPr="00CE35EB">
        <w:rPr>
          <w:b/>
          <w:bCs/>
          <w:color w:val="000000"/>
          <w:shd w:val="clear" w:color="auto" w:fill="FFFFFF"/>
        </w:rPr>
        <w:t>Amendment i</w:t>
      </w:r>
      <w:r w:rsidR="00861C33" w:rsidRPr="00CE35EB">
        <w:rPr>
          <w:b/>
          <w:bCs/>
          <w:color w:val="000000"/>
          <w:shd w:val="clear" w:color="auto" w:fill="FFFFFF"/>
        </w:rPr>
        <w:t xml:space="preserve">tem </w:t>
      </w:r>
      <w:r w:rsidRPr="00CE35EB">
        <w:rPr>
          <w:b/>
          <w:bCs/>
          <w:color w:val="000000"/>
          <w:shd w:val="clear" w:color="auto" w:fill="FFFFFF"/>
        </w:rPr>
        <w:t>7</w:t>
      </w:r>
      <w:r w:rsidR="00861C33" w:rsidRPr="00CE35EB">
        <w:rPr>
          <w:b/>
          <w:bCs/>
          <w:color w:val="000000"/>
          <w:shd w:val="clear" w:color="auto" w:fill="FFFFFF"/>
        </w:rPr>
        <w:t xml:space="preserve"> – Schedule 3 (</w:t>
      </w:r>
      <w:r w:rsidR="005F657C" w:rsidRPr="00CE35EB">
        <w:rPr>
          <w:b/>
          <w:bCs/>
          <w:color w:val="000000"/>
          <w:shd w:val="clear" w:color="auto" w:fill="FFFFFF"/>
        </w:rPr>
        <w:t>clauses 3.1.2, 3.1.3 and 3.1.5)</w:t>
      </w:r>
    </w:p>
    <w:p w14:paraId="5FFE3AA2" w14:textId="02384769" w:rsidR="00861C33" w:rsidRPr="00CE35EB" w:rsidRDefault="005F657C" w:rsidP="00C63FDC">
      <w:pPr>
        <w:pStyle w:val="Header"/>
        <w:tabs>
          <w:tab w:val="num" w:pos="1080"/>
        </w:tabs>
        <w:rPr>
          <w:color w:val="000000"/>
          <w:shd w:val="clear" w:color="auto" w:fill="FFFFFF"/>
        </w:rPr>
      </w:pPr>
      <w:r w:rsidRPr="00CE35EB">
        <w:rPr>
          <w:color w:val="000000"/>
          <w:shd w:val="clear" w:color="auto" w:fill="FFFFFF"/>
        </w:rPr>
        <w:t>In the Principal Remote Service Determination:</w:t>
      </w:r>
    </w:p>
    <w:p w14:paraId="44183693" w14:textId="2014ED8B" w:rsidR="005F657C" w:rsidRPr="00CE35EB" w:rsidRDefault="005F657C" w:rsidP="005F657C">
      <w:pPr>
        <w:pStyle w:val="Header"/>
        <w:numPr>
          <w:ilvl w:val="0"/>
          <w:numId w:val="35"/>
        </w:numPr>
        <w:rPr>
          <w:color w:val="000000"/>
          <w:shd w:val="clear" w:color="auto" w:fill="FFFFFF"/>
        </w:rPr>
      </w:pPr>
      <w:r w:rsidRPr="00CE35EB">
        <w:rPr>
          <w:color w:val="000000"/>
          <w:shd w:val="clear" w:color="auto" w:fill="FFFFFF"/>
        </w:rPr>
        <w:t>Clause 3.1.2 includes conditions on referrals by psychiatrists and paediatricians for patients accessing a pervasive developmental disorder service in Subgroups 15 and 16 of Group M18.</w:t>
      </w:r>
    </w:p>
    <w:p w14:paraId="5CC2B3A4" w14:textId="52B138FD" w:rsidR="005F657C" w:rsidRPr="00CE35EB" w:rsidRDefault="005F657C" w:rsidP="005F657C">
      <w:pPr>
        <w:pStyle w:val="Header"/>
        <w:numPr>
          <w:ilvl w:val="0"/>
          <w:numId w:val="35"/>
        </w:numPr>
        <w:rPr>
          <w:color w:val="000000"/>
          <w:shd w:val="clear" w:color="auto" w:fill="FFFFFF"/>
        </w:rPr>
      </w:pPr>
      <w:r w:rsidRPr="00CE35EB">
        <w:rPr>
          <w:color w:val="000000"/>
          <w:shd w:val="clear" w:color="auto" w:fill="FFFFFF"/>
        </w:rPr>
        <w:t>Clause 3.1.3 includes conditions on referrals by specialists, consultant physicians and general practitioners for patients accessing a disability service in Subgroups 15 and 16 of Group M18.</w:t>
      </w:r>
    </w:p>
    <w:p w14:paraId="73E432D3" w14:textId="50D6D3A3" w:rsidR="005F657C" w:rsidRPr="00CE35EB" w:rsidRDefault="005F657C" w:rsidP="005F657C">
      <w:pPr>
        <w:pStyle w:val="Header"/>
        <w:numPr>
          <w:ilvl w:val="0"/>
          <w:numId w:val="35"/>
        </w:numPr>
        <w:rPr>
          <w:color w:val="000000"/>
          <w:shd w:val="clear" w:color="auto" w:fill="FFFFFF"/>
        </w:rPr>
      </w:pPr>
      <w:r w:rsidRPr="00CE35EB">
        <w:rPr>
          <w:color w:val="000000"/>
          <w:shd w:val="clear" w:color="auto" w:fill="FFFFFF"/>
        </w:rPr>
        <w:t>Clause 3.1.5 includes conditions on referrals by specialists, consultant physicians and general practitioners for patients accessing a psychological therapy and focussed psychological strategies therapy health service items 91166 to 91176 and 91181 to 91188.</w:t>
      </w:r>
    </w:p>
    <w:p w14:paraId="5C81F5C5" w14:textId="00BE7371" w:rsidR="005F657C" w:rsidRPr="00CE35EB" w:rsidRDefault="005F657C" w:rsidP="005F657C">
      <w:pPr>
        <w:pStyle w:val="Header"/>
        <w:rPr>
          <w:color w:val="000000"/>
          <w:shd w:val="clear" w:color="auto" w:fill="FFFFFF"/>
        </w:rPr>
      </w:pPr>
    </w:p>
    <w:p w14:paraId="255F669B" w14:textId="7BD7073B" w:rsidR="005F657C" w:rsidRPr="00CE35EB" w:rsidRDefault="005F657C" w:rsidP="005F657C">
      <w:pPr>
        <w:pStyle w:val="Header"/>
        <w:rPr>
          <w:color w:val="000000"/>
          <w:shd w:val="clear" w:color="auto" w:fill="FFFFFF"/>
        </w:rPr>
      </w:pPr>
      <w:r w:rsidRPr="00CE35EB">
        <w:rPr>
          <w:color w:val="000000"/>
          <w:shd w:val="clear" w:color="auto" w:fill="FFFFFF"/>
        </w:rPr>
        <w:t xml:space="preserve">The purpose of amendment item 7 is to repeal and substitute the clauses to include the initial phone items that are equivalent to telehealth or face-to-face items </w:t>
      </w:r>
      <w:r w:rsidR="00121017" w:rsidRPr="00CE35EB">
        <w:rPr>
          <w:color w:val="000000"/>
          <w:shd w:val="clear" w:color="auto" w:fill="FFFFFF"/>
        </w:rPr>
        <w:t xml:space="preserve">referenced in those clauses </w:t>
      </w:r>
      <w:r w:rsidRPr="00CE35EB">
        <w:rPr>
          <w:color w:val="000000"/>
          <w:shd w:val="clear" w:color="auto" w:fill="FFFFFF"/>
        </w:rPr>
        <w:t xml:space="preserve">in the Principal Remote Service Determination. This will enable patients to be referred for the specified pervasive developmental disorder, disability service or psychological therapy and focussed psychological strategies therapy health services </w:t>
      </w:r>
      <w:r w:rsidR="006E1A2A" w:rsidRPr="00CE35EB">
        <w:rPr>
          <w:color w:val="000000"/>
          <w:shd w:val="clear" w:color="auto" w:fill="FFFFFF"/>
        </w:rPr>
        <w:t>under the new phone items.</w:t>
      </w:r>
    </w:p>
    <w:p w14:paraId="74823150" w14:textId="41AAB30A" w:rsidR="006E1A2A" w:rsidRPr="00CE35EB" w:rsidRDefault="006E1A2A" w:rsidP="005F657C">
      <w:pPr>
        <w:pStyle w:val="Header"/>
        <w:rPr>
          <w:color w:val="000000"/>
          <w:shd w:val="clear" w:color="auto" w:fill="FFFFFF"/>
        </w:rPr>
      </w:pPr>
    </w:p>
    <w:p w14:paraId="2FBC3608" w14:textId="02158242" w:rsidR="006E1A2A" w:rsidRPr="00CE35EB" w:rsidRDefault="006E1A2A" w:rsidP="006E1A2A">
      <w:pPr>
        <w:pStyle w:val="Header"/>
        <w:tabs>
          <w:tab w:val="num" w:pos="1080"/>
        </w:tabs>
        <w:rPr>
          <w:b/>
          <w:bCs/>
          <w:color w:val="000000"/>
          <w:shd w:val="clear" w:color="auto" w:fill="FFFFFF"/>
        </w:rPr>
      </w:pPr>
      <w:r w:rsidRPr="00CE35EB">
        <w:rPr>
          <w:b/>
          <w:bCs/>
          <w:color w:val="000000"/>
          <w:shd w:val="clear" w:color="auto" w:fill="FFFFFF"/>
        </w:rPr>
        <w:t>Amendment item 8 – Schedule 3 (subclause 3.1.7(6))</w:t>
      </w:r>
    </w:p>
    <w:p w14:paraId="16C9962E" w14:textId="486FB8F8" w:rsidR="001A62C3" w:rsidRPr="00CE35EB" w:rsidRDefault="006E1A2A" w:rsidP="00C63FDC">
      <w:pPr>
        <w:pStyle w:val="Header"/>
        <w:tabs>
          <w:tab w:val="num" w:pos="1080"/>
        </w:tabs>
        <w:rPr>
          <w:color w:val="000000"/>
          <w:shd w:val="clear" w:color="auto" w:fill="FFFFFF"/>
        </w:rPr>
      </w:pPr>
      <w:r w:rsidRPr="00CE35EB">
        <w:rPr>
          <w:color w:val="000000"/>
          <w:shd w:val="clear" w:color="auto" w:fill="FFFFFF"/>
        </w:rPr>
        <w:t xml:space="preserve">In the Principal Remote Service Determination, subclause 3.1.7(6) includes conditions on referrals for patients to access eating disorder treatment services in Subgroups 19 to 22 of Group M18. The purpose of amendment item 8 is to repeal and substitute the subclause to include the </w:t>
      </w:r>
      <w:r w:rsidRPr="00CE35EB">
        <w:rPr>
          <w:color w:val="000000"/>
          <w:shd w:val="clear" w:color="auto" w:fill="FFFFFF"/>
        </w:rPr>
        <w:lastRenderedPageBreak/>
        <w:t>initial</w:t>
      </w:r>
      <w:r w:rsidR="00CE41EB" w:rsidRPr="00CE35EB">
        <w:rPr>
          <w:color w:val="000000"/>
          <w:shd w:val="clear" w:color="auto" w:fill="FFFFFF"/>
        </w:rPr>
        <w:t xml:space="preserve"> and complex</w:t>
      </w:r>
      <w:r w:rsidRPr="00CE35EB">
        <w:rPr>
          <w:color w:val="000000"/>
          <w:shd w:val="clear" w:color="auto" w:fill="FFFFFF"/>
        </w:rPr>
        <w:t xml:space="preserve"> phone items that are equivalent to telehealth or face-to-face items</w:t>
      </w:r>
      <w:r w:rsidR="00121017" w:rsidRPr="00CE35EB">
        <w:rPr>
          <w:color w:val="000000"/>
          <w:shd w:val="clear" w:color="auto" w:fill="FFFFFF"/>
        </w:rPr>
        <w:t xml:space="preserve"> referenced in those clauses</w:t>
      </w:r>
      <w:r w:rsidRPr="00CE35EB">
        <w:rPr>
          <w:color w:val="000000"/>
          <w:shd w:val="clear" w:color="auto" w:fill="FFFFFF"/>
        </w:rPr>
        <w:t xml:space="preserve"> in the Principal Remote Service Determination. This will enable patients to be referred for the eating disorder treatment services under the new phone items.</w:t>
      </w:r>
    </w:p>
    <w:p w14:paraId="0AF9A545" w14:textId="77777777" w:rsidR="006E1A2A" w:rsidRPr="00CE35EB" w:rsidRDefault="006E1A2A" w:rsidP="00C63FDC">
      <w:pPr>
        <w:pStyle w:val="Header"/>
        <w:tabs>
          <w:tab w:val="num" w:pos="1080"/>
        </w:tabs>
        <w:rPr>
          <w:color w:val="000000"/>
          <w:shd w:val="clear" w:color="auto" w:fill="FFFFFF"/>
        </w:rPr>
      </w:pPr>
    </w:p>
    <w:p w14:paraId="7510931D" w14:textId="35D6B280" w:rsidR="008622CB" w:rsidRPr="00CE35EB" w:rsidRDefault="006E1A2A" w:rsidP="006E1A2A">
      <w:pPr>
        <w:pStyle w:val="Header"/>
        <w:tabs>
          <w:tab w:val="num" w:pos="1080"/>
        </w:tabs>
        <w:rPr>
          <w:b/>
          <w:bCs/>
          <w:szCs w:val="24"/>
        </w:rPr>
      </w:pPr>
      <w:r w:rsidRPr="00CE35EB">
        <w:rPr>
          <w:b/>
          <w:bCs/>
          <w:szCs w:val="24"/>
        </w:rPr>
        <w:t>Amendment i</w:t>
      </w:r>
      <w:r w:rsidR="001A62C3" w:rsidRPr="00CE35EB">
        <w:rPr>
          <w:b/>
          <w:bCs/>
          <w:szCs w:val="24"/>
        </w:rPr>
        <w:t xml:space="preserve">tem </w:t>
      </w:r>
      <w:r w:rsidRPr="00CE35EB">
        <w:rPr>
          <w:b/>
          <w:bCs/>
          <w:szCs w:val="24"/>
        </w:rPr>
        <w:t>9</w:t>
      </w:r>
      <w:r w:rsidR="001A62C3" w:rsidRPr="00CE35EB">
        <w:rPr>
          <w:b/>
          <w:bCs/>
          <w:szCs w:val="24"/>
        </w:rPr>
        <w:t xml:space="preserve"> </w:t>
      </w:r>
      <w:r w:rsidR="00FF01E8" w:rsidRPr="00CE35EB">
        <w:rPr>
          <w:b/>
          <w:bCs/>
          <w:szCs w:val="24"/>
        </w:rPr>
        <w:t xml:space="preserve">– </w:t>
      </w:r>
      <w:r w:rsidRPr="00CE35EB">
        <w:rPr>
          <w:b/>
          <w:bCs/>
          <w:szCs w:val="24"/>
        </w:rPr>
        <w:t>at the end of the instrument</w:t>
      </w:r>
      <w:r w:rsidR="00FF01E8" w:rsidRPr="00CE35EB">
        <w:rPr>
          <w:b/>
          <w:bCs/>
          <w:szCs w:val="24"/>
        </w:rPr>
        <w:t xml:space="preserve"> </w:t>
      </w:r>
    </w:p>
    <w:p w14:paraId="4F7242EF" w14:textId="05E857E5" w:rsidR="00FF01E8" w:rsidRPr="00CE35EB" w:rsidRDefault="006E1A2A" w:rsidP="006E1A2A">
      <w:pPr>
        <w:spacing w:line="276" w:lineRule="auto"/>
        <w:rPr>
          <w:szCs w:val="24"/>
        </w:rPr>
      </w:pPr>
      <w:r w:rsidRPr="00CE35EB">
        <w:rPr>
          <w:szCs w:val="24"/>
        </w:rPr>
        <w:t xml:space="preserve">Item 6 inserts three new Schedules (6, 7 and 8) </w:t>
      </w:r>
      <w:r w:rsidR="00121017" w:rsidRPr="00CE35EB">
        <w:rPr>
          <w:szCs w:val="24"/>
        </w:rPr>
        <w:t xml:space="preserve">to </w:t>
      </w:r>
      <w:r w:rsidRPr="00CE35EB">
        <w:rPr>
          <w:szCs w:val="24"/>
        </w:rPr>
        <w:t xml:space="preserve">list in-hospital services items (Schedule 6), the specialist initial phone services items (Schedule 7) and the COVID-19 impacted GP phone services (Schedule 8). </w:t>
      </w:r>
    </w:p>
    <w:p w14:paraId="38684C20" w14:textId="77777777" w:rsidR="006E1A2A" w:rsidRPr="00CE35EB" w:rsidRDefault="006E1A2A" w:rsidP="006E1A2A">
      <w:pPr>
        <w:spacing w:line="276" w:lineRule="auto"/>
        <w:rPr>
          <w:szCs w:val="24"/>
        </w:rPr>
      </w:pPr>
    </w:p>
    <w:p w14:paraId="6B9F880B" w14:textId="52A52BE6" w:rsidR="00FF01E8" w:rsidRPr="00CE35EB" w:rsidRDefault="00FF01E8" w:rsidP="00C63FDC">
      <w:pPr>
        <w:pStyle w:val="Header"/>
        <w:tabs>
          <w:tab w:val="num" w:pos="1080"/>
        </w:tabs>
        <w:rPr>
          <w:szCs w:val="24"/>
          <w:u w:val="single"/>
        </w:rPr>
      </w:pPr>
      <w:r w:rsidRPr="00CE35EB">
        <w:rPr>
          <w:szCs w:val="24"/>
          <w:u w:val="single"/>
        </w:rPr>
        <w:t>Schedule 6 – Specialist in-hospital services</w:t>
      </w:r>
    </w:p>
    <w:p w14:paraId="2C197525" w14:textId="58A87AB0" w:rsidR="00D5525C" w:rsidRPr="00CE35EB" w:rsidRDefault="006035CC" w:rsidP="00C63FDC">
      <w:pPr>
        <w:pStyle w:val="Header"/>
        <w:tabs>
          <w:tab w:val="num" w:pos="1080"/>
        </w:tabs>
        <w:rPr>
          <w:szCs w:val="24"/>
        </w:rPr>
      </w:pPr>
      <w:r w:rsidRPr="00CE35EB">
        <w:rPr>
          <w:szCs w:val="24"/>
        </w:rPr>
        <w:t xml:space="preserve">Schedule </w:t>
      </w:r>
      <w:r w:rsidR="00FF01E8" w:rsidRPr="00CE35EB">
        <w:rPr>
          <w:szCs w:val="24"/>
        </w:rPr>
        <w:t>6</w:t>
      </w:r>
      <w:r w:rsidRPr="00CE35EB">
        <w:rPr>
          <w:szCs w:val="24"/>
        </w:rPr>
        <w:t xml:space="preserve"> </w:t>
      </w:r>
      <w:r w:rsidR="00E24959" w:rsidRPr="00CE35EB">
        <w:rPr>
          <w:szCs w:val="24"/>
        </w:rPr>
        <w:t>list</w:t>
      </w:r>
      <w:r w:rsidR="00FF01E8" w:rsidRPr="00CE35EB">
        <w:rPr>
          <w:szCs w:val="24"/>
        </w:rPr>
        <w:t>s</w:t>
      </w:r>
      <w:r w:rsidRPr="00CE35EB">
        <w:rPr>
          <w:szCs w:val="24"/>
        </w:rPr>
        <w:t xml:space="preserve"> </w:t>
      </w:r>
      <w:r w:rsidR="00944007" w:rsidRPr="00CE35EB">
        <w:rPr>
          <w:szCs w:val="24"/>
        </w:rPr>
        <w:t>40</w:t>
      </w:r>
      <w:r w:rsidRPr="00CE35EB">
        <w:rPr>
          <w:szCs w:val="24"/>
        </w:rPr>
        <w:t xml:space="preserve"> temporary items for specialist telehealth and phone services provided to private patients who are being treated in a public or private hospital</w:t>
      </w:r>
      <w:r w:rsidR="00983D11" w:rsidRPr="00CE35EB">
        <w:rPr>
          <w:szCs w:val="24"/>
        </w:rPr>
        <w:t>, including 3</w:t>
      </w:r>
      <w:r w:rsidR="00944007" w:rsidRPr="00CE35EB">
        <w:rPr>
          <w:szCs w:val="24"/>
        </w:rPr>
        <w:t>6</w:t>
      </w:r>
      <w:r w:rsidR="00983D11" w:rsidRPr="00CE35EB">
        <w:rPr>
          <w:szCs w:val="24"/>
        </w:rPr>
        <w:t xml:space="preserve"> </w:t>
      </w:r>
      <w:r w:rsidR="00E24959" w:rsidRPr="00CE35EB">
        <w:rPr>
          <w:szCs w:val="24"/>
        </w:rPr>
        <w:t>specialist, consultant physician and consultant psychiatrist</w:t>
      </w:r>
      <w:r w:rsidR="00983D11" w:rsidRPr="00CE35EB">
        <w:rPr>
          <w:szCs w:val="24"/>
        </w:rPr>
        <w:t xml:space="preserve"> items </w:t>
      </w:r>
      <w:r w:rsidR="00A272AB" w:rsidRPr="00CE35EB">
        <w:rPr>
          <w:szCs w:val="24"/>
        </w:rPr>
        <w:t xml:space="preserve">that will be treated as if they are included </w:t>
      </w:r>
      <w:r w:rsidR="00983D11" w:rsidRPr="00CE35EB">
        <w:rPr>
          <w:szCs w:val="24"/>
        </w:rPr>
        <w:t>in Group A40</w:t>
      </w:r>
      <w:r w:rsidR="00A272AB" w:rsidRPr="00CE35EB">
        <w:rPr>
          <w:szCs w:val="24"/>
        </w:rPr>
        <w:t xml:space="preserve"> of the general medical services table (</w:t>
      </w:r>
      <w:r w:rsidR="00BC311F" w:rsidRPr="00CE35EB">
        <w:rPr>
          <w:szCs w:val="24"/>
        </w:rPr>
        <w:t>the Table</w:t>
      </w:r>
      <w:r w:rsidR="00A272AB" w:rsidRPr="00CE35EB">
        <w:rPr>
          <w:szCs w:val="24"/>
        </w:rPr>
        <w:t>)</w:t>
      </w:r>
      <w:r w:rsidR="00983D11" w:rsidRPr="00CE35EB">
        <w:rPr>
          <w:szCs w:val="24"/>
        </w:rPr>
        <w:t xml:space="preserve"> and four new items</w:t>
      </w:r>
      <w:r w:rsidR="007A244C" w:rsidRPr="00CE35EB">
        <w:rPr>
          <w:szCs w:val="24"/>
        </w:rPr>
        <w:t xml:space="preserve"> for dental practitioner</w:t>
      </w:r>
      <w:r w:rsidR="008C014C" w:rsidRPr="00CE35EB">
        <w:rPr>
          <w:szCs w:val="24"/>
        </w:rPr>
        <w:t>s</w:t>
      </w:r>
      <w:r w:rsidR="007A244C" w:rsidRPr="00CE35EB">
        <w:rPr>
          <w:szCs w:val="24"/>
        </w:rPr>
        <w:t xml:space="preserve"> </w:t>
      </w:r>
      <w:r w:rsidR="007A244C" w:rsidRPr="00CE35EB">
        <w:t>in the practice of oral and maxillofacial surgery</w:t>
      </w:r>
      <w:r w:rsidR="00A272AB" w:rsidRPr="00CE35EB">
        <w:t xml:space="preserve"> that will be treated as if they are included</w:t>
      </w:r>
      <w:r w:rsidR="00983D11" w:rsidRPr="00CE35EB">
        <w:rPr>
          <w:szCs w:val="24"/>
        </w:rPr>
        <w:t xml:space="preserve"> in Group O1</w:t>
      </w:r>
      <w:r w:rsidR="00A272AB" w:rsidRPr="00CE35EB">
        <w:rPr>
          <w:szCs w:val="24"/>
        </w:rPr>
        <w:t xml:space="preserve"> of the </w:t>
      </w:r>
      <w:r w:rsidR="00BC311F" w:rsidRPr="00CE35EB">
        <w:rPr>
          <w:szCs w:val="24"/>
        </w:rPr>
        <w:t>Table</w:t>
      </w:r>
      <w:r w:rsidR="000611F9" w:rsidRPr="00CE35EB">
        <w:rPr>
          <w:szCs w:val="24"/>
        </w:rPr>
        <w:t xml:space="preserve">. </w:t>
      </w:r>
    </w:p>
    <w:p w14:paraId="4B123A8B" w14:textId="155CD4F1" w:rsidR="006E1A2A" w:rsidRPr="00CE35EB" w:rsidRDefault="006E1A2A" w:rsidP="00C63FDC">
      <w:pPr>
        <w:pStyle w:val="Header"/>
        <w:tabs>
          <w:tab w:val="num" w:pos="1080"/>
        </w:tabs>
        <w:rPr>
          <w:szCs w:val="24"/>
        </w:rPr>
      </w:pPr>
    </w:p>
    <w:p w14:paraId="575698D9" w14:textId="26E03491" w:rsidR="006E1A2A" w:rsidRPr="00CE35EB" w:rsidRDefault="006E1A2A" w:rsidP="00C63FDC">
      <w:pPr>
        <w:pStyle w:val="Header"/>
        <w:tabs>
          <w:tab w:val="num" w:pos="1080"/>
        </w:tabs>
        <w:rPr>
          <w:szCs w:val="24"/>
        </w:rPr>
      </w:pPr>
      <w:r w:rsidRPr="00CE35EB">
        <w:rPr>
          <w:szCs w:val="24"/>
        </w:rPr>
        <w:t>The items can be claimed if all of the following apply:</w:t>
      </w:r>
    </w:p>
    <w:p w14:paraId="46ECA6A0" w14:textId="77777777" w:rsidR="006E1A2A" w:rsidRPr="00CE35EB" w:rsidRDefault="006E1A2A" w:rsidP="006E1A2A">
      <w:pPr>
        <w:pStyle w:val="Header"/>
        <w:numPr>
          <w:ilvl w:val="0"/>
          <w:numId w:val="36"/>
        </w:numPr>
        <w:rPr>
          <w:szCs w:val="24"/>
        </w:rPr>
      </w:pPr>
      <w:r w:rsidRPr="00CE35EB">
        <w:rPr>
          <w:szCs w:val="24"/>
        </w:rPr>
        <w:t>the patient who receives the service is admitted to hospital;</w:t>
      </w:r>
    </w:p>
    <w:p w14:paraId="6CEC97A3" w14:textId="09E1AB36" w:rsidR="006E1A2A" w:rsidRPr="00CE35EB" w:rsidRDefault="006E1A2A" w:rsidP="006E1A2A">
      <w:pPr>
        <w:pStyle w:val="Header"/>
        <w:numPr>
          <w:ilvl w:val="0"/>
          <w:numId w:val="36"/>
        </w:numPr>
        <w:rPr>
          <w:szCs w:val="24"/>
        </w:rPr>
      </w:pPr>
      <w:r w:rsidRPr="00CE35EB">
        <w:rPr>
          <w:szCs w:val="24"/>
        </w:rPr>
        <w:t xml:space="preserve">the medical or dental practitioner who performs the service is in isolation or quarantine because of a State or Territory public health order; </w:t>
      </w:r>
    </w:p>
    <w:p w14:paraId="4AF77096" w14:textId="53969208" w:rsidR="00D5525C" w:rsidRPr="00CE35EB" w:rsidRDefault="006E1A2A" w:rsidP="00D5525C">
      <w:pPr>
        <w:pStyle w:val="Header"/>
        <w:numPr>
          <w:ilvl w:val="0"/>
          <w:numId w:val="36"/>
        </w:numPr>
        <w:rPr>
          <w:szCs w:val="24"/>
        </w:rPr>
      </w:pPr>
      <w:r w:rsidRPr="00CE35EB">
        <w:rPr>
          <w:szCs w:val="24"/>
        </w:rPr>
        <w:t>the medical or dental practitioner was responsible for the patient’s treatment at the time the patient was admitted to hospital.</w:t>
      </w:r>
    </w:p>
    <w:p w14:paraId="20A16014" w14:textId="77777777" w:rsidR="006E1A2A" w:rsidRPr="00CE35EB" w:rsidRDefault="006E1A2A" w:rsidP="006E1A2A">
      <w:pPr>
        <w:pStyle w:val="Header"/>
        <w:ind w:left="720"/>
        <w:rPr>
          <w:szCs w:val="24"/>
        </w:rPr>
      </w:pPr>
    </w:p>
    <w:p w14:paraId="1FFA3F20" w14:textId="3F94E64D" w:rsidR="00A272AB" w:rsidRPr="00CE35EB" w:rsidRDefault="00A272AB" w:rsidP="00D5525C">
      <w:pPr>
        <w:pStyle w:val="Header"/>
      </w:pPr>
      <w:r w:rsidRPr="00CE35EB">
        <w:rPr>
          <w:szCs w:val="24"/>
        </w:rPr>
        <w:t xml:space="preserve">The </w:t>
      </w:r>
      <w:r w:rsidRPr="00CE35EB">
        <w:rPr>
          <w:i/>
          <w:iCs/>
          <w:szCs w:val="24"/>
        </w:rPr>
        <w:t>Private Health Insurance (Health Insurance Business) Rules 2018</w:t>
      </w:r>
      <w:r w:rsidRPr="00CE35EB">
        <w:rPr>
          <w:szCs w:val="24"/>
        </w:rPr>
        <w:t xml:space="preserve"> will be amended to specify that the treatments covered by the new items are not hospital treatment for the purposes of the </w:t>
      </w:r>
      <w:r w:rsidRPr="00CE35EB">
        <w:rPr>
          <w:i/>
          <w:iCs/>
          <w:szCs w:val="24"/>
        </w:rPr>
        <w:t>Private Health Insurance Act 2007</w:t>
      </w:r>
      <w:r w:rsidRPr="00CE35EB">
        <w:rPr>
          <w:szCs w:val="24"/>
        </w:rPr>
        <w:t xml:space="preserve">. As services that attract </w:t>
      </w:r>
      <w:r w:rsidR="006E1A2A" w:rsidRPr="00CE35EB">
        <w:rPr>
          <w:szCs w:val="24"/>
        </w:rPr>
        <w:t>M</w:t>
      </w:r>
      <w:r w:rsidRPr="00CE35EB">
        <w:rPr>
          <w:szCs w:val="24"/>
        </w:rPr>
        <w:t>edicare benefit, the services will also not be general treatment.</w:t>
      </w:r>
    </w:p>
    <w:p w14:paraId="6B65F603" w14:textId="77777777" w:rsidR="00A272AB" w:rsidRPr="00CE35EB" w:rsidRDefault="00A272AB" w:rsidP="00D5525C">
      <w:pPr>
        <w:pStyle w:val="Header"/>
      </w:pPr>
    </w:p>
    <w:p w14:paraId="76EDA17C" w14:textId="17A16E2D" w:rsidR="00263685" w:rsidRPr="00CE35EB" w:rsidRDefault="00A272AB" w:rsidP="00D5525C">
      <w:pPr>
        <w:pStyle w:val="Header"/>
        <w:rPr>
          <w:szCs w:val="24"/>
        </w:rPr>
      </w:pPr>
      <w:r w:rsidRPr="00CE35EB">
        <w:t>As services that are not hospital treatment or hospital</w:t>
      </w:r>
      <w:r w:rsidR="006E1A2A" w:rsidRPr="00CE35EB">
        <w:t>-</w:t>
      </w:r>
      <w:r w:rsidRPr="00CE35EB">
        <w:t>substitute treatment, t</w:t>
      </w:r>
      <w:r w:rsidR="00263685" w:rsidRPr="00CE35EB">
        <w:t xml:space="preserve">he </w:t>
      </w:r>
      <w:r w:rsidR="006E1A2A" w:rsidRPr="00CE35EB">
        <w:t>M</w:t>
      </w:r>
      <w:r w:rsidR="00263685" w:rsidRPr="00CE35EB">
        <w:t>edicare benefit for these items will be paid at 85% of the schedule fee</w:t>
      </w:r>
      <w:r w:rsidR="00263685" w:rsidRPr="00CE35EB">
        <w:rPr>
          <w:szCs w:val="24"/>
        </w:rPr>
        <w:t>.</w:t>
      </w:r>
    </w:p>
    <w:p w14:paraId="01BC8058" w14:textId="77777777" w:rsidR="00B6571A" w:rsidRPr="00CE35EB" w:rsidRDefault="00B6571A" w:rsidP="00EE4A74">
      <w:pPr>
        <w:rPr>
          <w:szCs w:val="24"/>
          <w:u w:val="single"/>
        </w:rPr>
      </w:pPr>
    </w:p>
    <w:p w14:paraId="3976A941" w14:textId="32AF14C4" w:rsidR="00FF01E8" w:rsidRPr="00CE35EB" w:rsidRDefault="00FF01E8" w:rsidP="00EE4A74">
      <w:pPr>
        <w:rPr>
          <w:szCs w:val="24"/>
          <w:u w:val="single"/>
        </w:rPr>
      </w:pPr>
      <w:r w:rsidRPr="00CE35EB">
        <w:rPr>
          <w:szCs w:val="24"/>
          <w:u w:val="single"/>
        </w:rPr>
        <w:t xml:space="preserve">Schedule 7 - Specialists initial Phone Services </w:t>
      </w:r>
    </w:p>
    <w:p w14:paraId="770BBC40" w14:textId="0117CC4E" w:rsidR="00B60B1B" w:rsidRPr="00CE35EB" w:rsidRDefault="00FF01E8" w:rsidP="00EE4A74">
      <w:r w:rsidRPr="00CE35EB">
        <w:rPr>
          <w:szCs w:val="24"/>
        </w:rPr>
        <w:t xml:space="preserve">Schedule 7 lists 33 temporary phone services for initial </w:t>
      </w:r>
      <w:r w:rsidRPr="00CE35EB">
        <w:t>COVID-19 specialist services for initial, more complex telehealth services</w:t>
      </w:r>
      <w:r w:rsidR="00A14849" w:rsidRPr="00CE35EB">
        <w:t xml:space="preserve"> for specialists, consultant physicians, psychiatrists, paediatricians, geriatricians, public health physicians, neurosurgeons and anaesthetists.   </w:t>
      </w:r>
    </w:p>
    <w:p w14:paraId="45BFF5CF" w14:textId="77777777" w:rsidR="00EE4A74" w:rsidRPr="00CE35EB" w:rsidRDefault="00EE4A74" w:rsidP="00EE4A74"/>
    <w:p w14:paraId="2A479BBE" w14:textId="77777777" w:rsidR="00FF01E8" w:rsidRPr="00CE35EB" w:rsidRDefault="00FF01E8" w:rsidP="00EE4A74">
      <w:pPr>
        <w:rPr>
          <w:szCs w:val="24"/>
          <w:u w:val="single"/>
        </w:rPr>
      </w:pPr>
      <w:r w:rsidRPr="00CE35EB">
        <w:rPr>
          <w:szCs w:val="24"/>
          <w:u w:val="single"/>
        </w:rPr>
        <w:t xml:space="preserve">Schedule 8 – COVID-19 impacted GP phone services </w:t>
      </w:r>
    </w:p>
    <w:p w14:paraId="1B1E9B0C" w14:textId="77777777" w:rsidR="00E23C9F" w:rsidRPr="00CE35EB" w:rsidRDefault="00771109" w:rsidP="00EE4A74">
      <w:pPr>
        <w:rPr>
          <w:szCs w:val="24"/>
        </w:rPr>
      </w:pPr>
      <w:r w:rsidRPr="00CE35EB">
        <w:rPr>
          <w:szCs w:val="24"/>
        </w:rPr>
        <w:t xml:space="preserve">Schedule 8 lists </w:t>
      </w:r>
      <w:r w:rsidR="00EE4A74" w:rsidRPr="00CE35EB">
        <w:rPr>
          <w:szCs w:val="24"/>
        </w:rPr>
        <w:t xml:space="preserve">2 temporary items for GPs (92746) or other medical practitioners in general practice (92747) to perform a phone attendance lasting at least 20 minutes. These services are subject to the usual medical practitioner requirement, per subsection 7(5) of the </w:t>
      </w:r>
      <w:r w:rsidR="00EE4A74" w:rsidRPr="00CE35EB">
        <w:rPr>
          <w:color w:val="000000"/>
          <w:shd w:val="clear" w:color="auto" w:fill="FFFFFF"/>
        </w:rPr>
        <w:t>Principal Remote Service Determination.</w:t>
      </w:r>
      <w:r w:rsidR="00EE4A74" w:rsidRPr="00CE35EB">
        <w:rPr>
          <w:szCs w:val="24"/>
        </w:rPr>
        <w:br/>
      </w:r>
    </w:p>
    <w:p w14:paraId="002EE1A6" w14:textId="70FCAC10" w:rsidR="00E23C9F" w:rsidRPr="00CE35EB" w:rsidRDefault="00E23C9F" w:rsidP="00E23C9F">
      <w:pPr>
        <w:pStyle w:val="Header"/>
        <w:tabs>
          <w:tab w:val="num" w:pos="1080"/>
        </w:tabs>
        <w:rPr>
          <w:szCs w:val="24"/>
          <w:u w:val="single"/>
        </w:rPr>
      </w:pPr>
      <w:r w:rsidRPr="00CE35EB">
        <w:rPr>
          <w:szCs w:val="24"/>
          <w:u w:val="single"/>
        </w:rPr>
        <w:t>Schedule 2 – Amendments to vaccine suitability service</w:t>
      </w:r>
    </w:p>
    <w:p w14:paraId="21934FF5" w14:textId="77777777" w:rsidR="00E23C9F" w:rsidRPr="00CE35EB" w:rsidRDefault="00E23C9F" w:rsidP="00E23C9F">
      <w:pPr>
        <w:pStyle w:val="Header"/>
        <w:tabs>
          <w:tab w:val="num" w:pos="1080"/>
        </w:tabs>
        <w:rPr>
          <w:szCs w:val="24"/>
          <w:u w:val="single"/>
        </w:rPr>
      </w:pPr>
    </w:p>
    <w:p w14:paraId="77FFE3ED" w14:textId="38A742E5" w:rsidR="00E23C9F" w:rsidRPr="00CE35EB" w:rsidRDefault="00E23C9F" w:rsidP="00E23C9F">
      <w:pPr>
        <w:pStyle w:val="Header"/>
        <w:tabs>
          <w:tab w:val="num" w:pos="1080"/>
        </w:tabs>
        <w:rPr>
          <w:iCs/>
        </w:rPr>
      </w:pPr>
      <w:r w:rsidRPr="00CE35EB">
        <w:rPr>
          <w:iCs/>
          <w:szCs w:val="24"/>
        </w:rPr>
        <w:t xml:space="preserve">This Schedule will amend the </w:t>
      </w:r>
      <w:r w:rsidRPr="00CE35EB">
        <w:rPr>
          <w:i/>
          <w:szCs w:val="24"/>
        </w:rPr>
        <w:t xml:space="preserve">Health Insurance (Section 3C General Medical Services – General Practice Attendance for Assessing Patient Suitability for a COVID-19 Vaccine) Determination 2021 </w:t>
      </w:r>
      <w:r w:rsidRPr="00CE35EB">
        <w:rPr>
          <w:iCs/>
          <w:szCs w:val="24"/>
        </w:rPr>
        <w:t xml:space="preserve">to apply a co-claim restriction on the vaccine assessment items and the bulk-billing incentive items in the general medical services table. This amendment is required to </w:t>
      </w:r>
      <w:r w:rsidRPr="00CE35EB">
        <w:rPr>
          <w:iCs/>
          <w:szCs w:val="24"/>
        </w:rPr>
        <w:lastRenderedPageBreak/>
        <w:t>capture the new bulk-billing incentive items, which were listed on 1 January 2022 but were inadvertently omitted from being included in this limitation.</w:t>
      </w:r>
    </w:p>
    <w:p w14:paraId="21DF9DDC" w14:textId="02769AD5" w:rsidR="00331752" w:rsidRPr="00CE35EB" w:rsidRDefault="00EE4A74" w:rsidP="00EE4A74">
      <w:pPr>
        <w:rPr>
          <w:szCs w:val="24"/>
        </w:rPr>
      </w:pPr>
      <w:r w:rsidRPr="00CE35EB">
        <w:rPr>
          <w:szCs w:val="24"/>
        </w:rPr>
        <w:br/>
      </w:r>
      <w:r w:rsidR="00331752" w:rsidRPr="00CE35EB">
        <w:rPr>
          <w:szCs w:val="24"/>
        </w:rPr>
        <w:br w:type="page"/>
      </w:r>
    </w:p>
    <w:p w14:paraId="2412D14E" w14:textId="632B4BE9" w:rsidR="00A17F2C" w:rsidRPr="00CE35EB" w:rsidRDefault="00A17F2C" w:rsidP="008D136F">
      <w:pPr>
        <w:pStyle w:val="Header"/>
        <w:tabs>
          <w:tab w:val="num" w:pos="1080"/>
        </w:tabs>
        <w:jc w:val="center"/>
        <w:rPr>
          <w:b/>
          <w:sz w:val="28"/>
          <w:szCs w:val="28"/>
        </w:rPr>
      </w:pPr>
      <w:r w:rsidRPr="00CE35EB">
        <w:rPr>
          <w:b/>
          <w:sz w:val="28"/>
          <w:szCs w:val="28"/>
        </w:rPr>
        <w:lastRenderedPageBreak/>
        <w:t>Statement of Compatibility with Human Rights</w:t>
      </w:r>
    </w:p>
    <w:p w14:paraId="2412D14F" w14:textId="77777777" w:rsidR="00A17F2C" w:rsidRPr="00CE35EB" w:rsidRDefault="00A17F2C" w:rsidP="000337CB">
      <w:pPr>
        <w:spacing w:before="120" w:after="120"/>
        <w:jc w:val="center"/>
        <w:rPr>
          <w:szCs w:val="24"/>
        </w:rPr>
      </w:pPr>
      <w:r w:rsidRPr="00CE35EB">
        <w:rPr>
          <w:i/>
          <w:szCs w:val="24"/>
        </w:rPr>
        <w:t>Prepared in accordance with Part 3 of the Human Rights (Parliamentary Scrutiny) Act 2011</w:t>
      </w:r>
    </w:p>
    <w:p w14:paraId="751DE726" w14:textId="77777777" w:rsidR="002A6C77" w:rsidRPr="00CE35EB" w:rsidRDefault="002A6C77" w:rsidP="000337CB">
      <w:pPr>
        <w:tabs>
          <w:tab w:val="left" w:pos="1418"/>
        </w:tabs>
        <w:ind w:left="851"/>
        <w:jc w:val="center"/>
        <w:rPr>
          <w:b/>
          <w:i/>
          <w:iCs/>
        </w:rPr>
      </w:pPr>
    </w:p>
    <w:p w14:paraId="1BF56C38" w14:textId="4E9A2424" w:rsidR="007708B3" w:rsidRPr="00CE35EB" w:rsidRDefault="008422B1" w:rsidP="000337CB">
      <w:pPr>
        <w:tabs>
          <w:tab w:val="left" w:pos="1418"/>
        </w:tabs>
        <w:ind w:left="851"/>
        <w:jc w:val="center"/>
        <w:rPr>
          <w:b/>
          <w:i/>
          <w:szCs w:val="24"/>
        </w:rPr>
      </w:pPr>
      <w:r w:rsidRPr="00CE35EB">
        <w:rPr>
          <w:i/>
          <w:iCs/>
          <w:szCs w:val="24"/>
        </w:rPr>
        <w:t>Health Insurance Legislation Amendment (2022 Measures No. 1) Determination 2022</w:t>
      </w:r>
    </w:p>
    <w:p w14:paraId="6FA66455" w14:textId="77777777" w:rsidR="00C9127E" w:rsidRPr="00CE35EB" w:rsidRDefault="00C9127E" w:rsidP="000337CB">
      <w:pPr>
        <w:jc w:val="center"/>
        <w:rPr>
          <w:szCs w:val="24"/>
        </w:rPr>
      </w:pPr>
    </w:p>
    <w:p w14:paraId="2412D153" w14:textId="20D03C4F" w:rsidR="00A17F2C" w:rsidRPr="00CE35EB" w:rsidRDefault="00A17F2C" w:rsidP="00D312E4">
      <w:pPr>
        <w:jc w:val="center"/>
        <w:rPr>
          <w:szCs w:val="24"/>
        </w:rPr>
      </w:pPr>
      <w:r w:rsidRPr="00CE35EB">
        <w:rPr>
          <w:szCs w:val="24"/>
        </w:rPr>
        <w:t xml:space="preserve">This </w:t>
      </w:r>
      <w:r w:rsidR="0046022A" w:rsidRPr="00CE35EB">
        <w:rPr>
          <w:szCs w:val="24"/>
        </w:rPr>
        <w:t>instrument</w:t>
      </w:r>
      <w:r w:rsidRPr="00CE35EB">
        <w:rPr>
          <w:szCs w:val="24"/>
        </w:rPr>
        <w:t xml:space="preserve"> is compatible with the human rights and freedoms recognised or declared in the international instruments listed in section 3 of the </w:t>
      </w:r>
      <w:r w:rsidRPr="00CE35EB">
        <w:rPr>
          <w:i/>
          <w:szCs w:val="24"/>
        </w:rPr>
        <w:t>Human Rights (Parliamentary Scrutiny) Act 2011</w:t>
      </w:r>
      <w:r w:rsidRPr="00CE35EB">
        <w:rPr>
          <w:szCs w:val="24"/>
        </w:rPr>
        <w:t>.</w:t>
      </w:r>
    </w:p>
    <w:p w14:paraId="7EDA9098" w14:textId="306A78E1" w:rsidR="006E6BBF" w:rsidRPr="00CE35EB" w:rsidRDefault="006E6BBF" w:rsidP="008734F5">
      <w:pPr>
        <w:spacing w:before="120" w:after="120"/>
        <w:rPr>
          <w:b/>
          <w:szCs w:val="24"/>
        </w:rPr>
      </w:pPr>
      <w:r w:rsidRPr="00CE35EB">
        <w:rPr>
          <w:b/>
          <w:szCs w:val="24"/>
        </w:rPr>
        <w:t xml:space="preserve">Overview of the </w:t>
      </w:r>
      <w:r w:rsidR="00B86A9F" w:rsidRPr="00CE35EB">
        <w:rPr>
          <w:b/>
          <w:szCs w:val="24"/>
        </w:rPr>
        <w:t>Determination</w:t>
      </w:r>
    </w:p>
    <w:p w14:paraId="5599F965" w14:textId="205C7498" w:rsidR="008422B1" w:rsidRPr="00CE35EB" w:rsidRDefault="008422B1" w:rsidP="008422B1">
      <w:pPr>
        <w:spacing w:before="120" w:after="120"/>
        <w:ind w:right="-482"/>
        <w:rPr>
          <w:shd w:val="clear" w:color="auto" w:fill="FFFFFF"/>
        </w:rPr>
      </w:pPr>
      <w:r w:rsidRPr="00CE35EB">
        <w:rPr>
          <w:shd w:val="clear" w:color="auto" w:fill="FFFFFF"/>
        </w:rPr>
        <w:t xml:space="preserve">Since 13 March 2020, the Australian Government has been providing temporary access to medicare benefits for certain medical services to protect Australians during the coronavirus (COVID-19) pandemic. </w:t>
      </w:r>
    </w:p>
    <w:p w14:paraId="46EB8EE1" w14:textId="15F1AB6F" w:rsidR="008422B1" w:rsidRPr="00CE35EB" w:rsidRDefault="008422B1" w:rsidP="008422B1">
      <w:pPr>
        <w:spacing w:before="120" w:after="120"/>
        <w:ind w:right="-482"/>
        <w:rPr>
          <w:shd w:val="clear" w:color="auto" w:fill="FFFFFF"/>
        </w:rPr>
      </w:pPr>
      <w:r w:rsidRPr="00CE35EB">
        <w:rPr>
          <w:shd w:val="clear" w:color="auto" w:fill="FFFFFF"/>
        </w:rPr>
        <w:t xml:space="preserve">On 16 January 2022, the Australian Government announced, in response to the recent surge in Omicron COVID-19 cases, it will invest an additional $24 million to introduce critical changes to the </w:t>
      </w:r>
      <w:r w:rsidRPr="00CE35EB">
        <w:rPr>
          <w:szCs w:val="24"/>
        </w:rPr>
        <w:t xml:space="preserve">Medicare Benefits Schedule (MBS) </w:t>
      </w:r>
      <w:r w:rsidRPr="00CE35EB">
        <w:rPr>
          <w:shd w:val="clear" w:color="auto" w:fill="FFFFFF"/>
        </w:rPr>
        <w:t xml:space="preserve">to support their continued response to COVID-19. The changes include temporarily reinstating 75 telehealth and phone services to enable practitioners to support their patients during the current increase in Omicron COVID-19 cases. </w:t>
      </w:r>
    </w:p>
    <w:p w14:paraId="55D51C1D" w14:textId="77777777" w:rsidR="008422B1" w:rsidRPr="00CE35EB" w:rsidRDefault="008422B1" w:rsidP="008422B1">
      <w:pPr>
        <w:ind w:right="-483"/>
        <w:rPr>
          <w:shd w:val="clear" w:color="auto" w:fill="FFFFFF"/>
        </w:rPr>
      </w:pPr>
      <w:r w:rsidRPr="00CE35EB">
        <w:rPr>
          <w:shd w:val="clear" w:color="auto" w:fill="FFFFFF"/>
        </w:rPr>
        <w:t xml:space="preserve">The purpose of Schedule 1 of the </w:t>
      </w:r>
      <w:r w:rsidRPr="00CE35EB">
        <w:rPr>
          <w:i/>
          <w:iCs/>
        </w:rPr>
        <w:t xml:space="preserve">Health Insurance Legislation Amendment (2022 Measures No. 1) Determination 2022 </w:t>
      </w:r>
      <w:r w:rsidRPr="00CE35EB">
        <w:t xml:space="preserve">(the Amendment Determination) is to </w:t>
      </w:r>
      <w:r w:rsidRPr="00CE35EB">
        <w:rPr>
          <w:szCs w:val="24"/>
        </w:rPr>
        <w:t xml:space="preserve">give effect to these temporary telehealth and phone items from 1 January 2022 to 30 June 2022. The items include: </w:t>
      </w:r>
    </w:p>
    <w:p w14:paraId="6BA45E39" w14:textId="77777777" w:rsidR="008422B1" w:rsidRPr="00CE35EB" w:rsidRDefault="008422B1" w:rsidP="008422B1">
      <w:pPr>
        <w:pStyle w:val="ListParagraph"/>
        <w:numPr>
          <w:ilvl w:val="0"/>
          <w:numId w:val="37"/>
        </w:numPr>
        <w:ind w:right="-483"/>
      </w:pPr>
      <w:r w:rsidRPr="00CE35EB">
        <w:t xml:space="preserve">reinstate 40 temporary items for specialist telehealth and phone services performed by the admitting medical practitioner or admitting dental practitioner for private patients admitted to hospital. These services can be rendered by practitioners who are in isolation or quarantine because of a State or Territory public health order. The services covered by the 40 new telehealth and phone items will not be considered hospital treatment for the purposes of the </w:t>
      </w:r>
      <w:r w:rsidRPr="00CE35EB">
        <w:rPr>
          <w:i/>
          <w:iCs/>
        </w:rPr>
        <w:t>Private Health Insurance Act 2007</w:t>
      </w:r>
      <w:r w:rsidRPr="00CE35EB">
        <w:t xml:space="preserve"> by rules made under that Act. This means that the items will have a medicare benefit of 85% of the schedule fee and will not attract a private health insurance benefit; and</w:t>
      </w:r>
    </w:p>
    <w:p w14:paraId="1BBF9ACF" w14:textId="77777777" w:rsidR="008422B1" w:rsidRPr="00CE35EB" w:rsidRDefault="008422B1" w:rsidP="008422B1">
      <w:pPr>
        <w:pStyle w:val="ListParagraph"/>
        <w:numPr>
          <w:ilvl w:val="0"/>
          <w:numId w:val="37"/>
        </w:numPr>
        <w:ind w:right="-483"/>
      </w:pPr>
      <w:r w:rsidRPr="00CE35EB">
        <w:t>reinstate 33 temporary items for initial phone attendances for specialists and consultant physicians; and</w:t>
      </w:r>
    </w:p>
    <w:p w14:paraId="1CA57312" w14:textId="519E55AF" w:rsidR="008422B1" w:rsidRPr="00CE35EB" w:rsidRDefault="008422B1" w:rsidP="008422B1">
      <w:pPr>
        <w:pStyle w:val="ListParagraph"/>
        <w:numPr>
          <w:ilvl w:val="0"/>
          <w:numId w:val="37"/>
        </w:numPr>
        <w:ind w:right="-483"/>
        <w:rPr>
          <w:color w:val="FF0000"/>
        </w:rPr>
      </w:pPr>
      <w:r w:rsidRPr="00CE35EB">
        <w:t>reinstate 2 GP phone attendances lasting at least 20 minutes if the service is performed by the patient’s usual medical practitioner.</w:t>
      </w:r>
    </w:p>
    <w:p w14:paraId="31515278" w14:textId="683CB49E" w:rsidR="007708B3" w:rsidRPr="00CE35EB" w:rsidRDefault="008422B1" w:rsidP="008422B1">
      <w:pPr>
        <w:spacing w:before="120" w:after="240"/>
        <w:ind w:right="-482"/>
      </w:pPr>
      <w:r w:rsidRPr="00CE35EB">
        <w:t xml:space="preserve">The purpose of Schedule 2 of the Amendment Determination is to </w:t>
      </w:r>
      <w:r w:rsidRPr="00CE35EB">
        <w:rPr>
          <w:shd w:val="clear" w:color="auto" w:fill="FFFFFF"/>
        </w:rPr>
        <w:t>make a consequential change to the vaccine assessment items to update the co-claim limitation. The co-claim limitation, which prevents the vaccine assessment items from being co-claimed with the bulk-billing incentive items in the Table, will be updated to include the new bulk-billing incentives that were listed on 1 January 2022. Schedule 2 will have effect the day after registration of the Amendment Determination.</w:t>
      </w:r>
    </w:p>
    <w:p w14:paraId="2412D15C" w14:textId="50D38E8B" w:rsidR="00A17F2C" w:rsidRPr="00CE35EB" w:rsidRDefault="00A17F2C" w:rsidP="002A6C77">
      <w:pPr>
        <w:ind w:right="-482"/>
        <w:rPr>
          <w:b/>
          <w:szCs w:val="24"/>
        </w:rPr>
      </w:pPr>
      <w:r w:rsidRPr="00CE35EB">
        <w:rPr>
          <w:b/>
          <w:szCs w:val="24"/>
        </w:rPr>
        <w:t>Human rights implications</w:t>
      </w:r>
    </w:p>
    <w:p w14:paraId="449665F0" w14:textId="2ED3F54B" w:rsidR="00806020" w:rsidRPr="00CE35EB" w:rsidRDefault="00806020" w:rsidP="00806020">
      <w:pPr>
        <w:spacing w:before="120" w:after="120"/>
        <w:rPr>
          <w:szCs w:val="24"/>
        </w:rPr>
      </w:pPr>
      <w:r w:rsidRPr="00CE35EB">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CE35EB" w:rsidRDefault="00A17F2C" w:rsidP="00806020">
      <w:pPr>
        <w:spacing w:before="120" w:after="120"/>
        <w:rPr>
          <w:i/>
          <w:szCs w:val="24"/>
        </w:rPr>
      </w:pPr>
      <w:r w:rsidRPr="00CE35EB">
        <w:rPr>
          <w:i/>
          <w:szCs w:val="24"/>
        </w:rPr>
        <w:t>The Right to Health</w:t>
      </w:r>
    </w:p>
    <w:p w14:paraId="2412D15F" w14:textId="77777777" w:rsidR="00A17F2C" w:rsidRPr="00CE35EB" w:rsidRDefault="00A17F2C" w:rsidP="000337CB">
      <w:pPr>
        <w:spacing w:before="120" w:after="120"/>
        <w:rPr>
          <w:szCs w:val="24"/>
        </w:rPr>
      </w:pPr>
      <w:r w:rsidRPr="00CE35E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Pr="00CE35EB">
        <w:rPr>
          <w:szCs w:val="24"/>
        </w:rPr>
        <w:lastRenderedPageBreak/>
        <w:t xml:space="preserve">healthy, but is a right to a system of health protection which provides equality of opportunity for people to enjoy the highest attainable level of health. </w:t>
      </w:r>
    </w:p>
    <w:p w14:paraId="2412D160" w14:textId="77777777" w:rsidR="00A17F2C" w:rsidRPr="00CE35EB" w:rsidRDefault="00A17F2C" w:rsidP="000337CB">
      <w:pPr>
        <w:spacing w:before="120" w:after="120"/>
        <w:rPr>
          <w:szCs w:val="24"/>
        </w:rPr>
      </w:pPr>
      <w:r w:rsidRPr="00CE35EB">
        <w:rPr>
          <w:szCs w:val="24"/>
        </w:rPr>
        <w:t xml:space="preserve">The Committee reports that the </w:t>
      </w:r>
      <w:r w:rsidRPr="00CE35EB">
        <w:rPr>
          <w:i/>
          <w:szCs w:val="24"/>
        </w:rPr>
        <w:t>‘highest attainable standard of health’</w:t>
      </w:r>
      <w:r w:rsidRPr="00CE35E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CE35EB" w:rsidRDefault="00A17F2C" w:rsidP="000337CB">
      <w:pPr>
        <w:spacing w:before="120" w:after="120"/>
        <w:rPr>
          <w:i/>
          <w:szCs w:val="24"/>
        </w:rPr>
      </w:pPr>
      <w:r w:rsidRPr="00CE35EB">
        <w:rPr>
          <w:i/>
          <w:szCs w:val="24"/>
        </w:rPr>
        <w:t xml:space="preserve">The Right to Social Security </w:t>
      </w:r>
    </w:p>
    <w:p w14:paraId="2412D162" w14:textId="77777777" w:rsidR="00A17F2C" w:rsidRPr="00CE35EB" w:rsidRDefault="00A17F2C" w:rsidP="000337CB">
      <w:pPr>
        <w:spacing w:before="120" w:after="120"/>
        <w:rPr>
          <w:szCs w:val="24"/>
        </w:rPr>
      </w:pPr>
      <w:r w:rsidRPr="00CE35EB">
        <w:rPr>
          <w:szCs w:val="24"/>
        </w:rPr>
        <w:t>The right to social security is contained in Article 9 of the ICESCR. It requires that a country must, within its maximum available resources, ensure access to a social security scheme that</w:t>
      </w:r>
      <w:r w:rsidR="00BA69CB" w:rsidRPr="00CE35EB">
        <w:rPr>
          <w:szCs w:val="24"/>
        </w:rPr>
        <w:t xml:space="preserve"> </w:t>
      </w:r>
      <w:r w:rsidRPr="00CE35E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6FC6343" w14:textId="7BE9FC8B" w:rsidR="00B612B5" w:rsidRPr="00CE35EB" w:rsidRDefault="00A17F2C" w:rsidP="000337CB">
      <w:pPr>
        <w:spacing w:before="120" w:after="120"/>
        <w:rPr>
          <w:szCs w:val="24"/>
        </w:rPr>
      </w:pPr>
      <w:r w:rsidRPr="00CE35E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70E20E1" w14:textId="77777777" w:rsidR="008422B1" w:rsidRPr="00CE35EB" w:rsidRDefault="008422B1" w:rsidP="008422B1">
      <w:pPr>
        <w:shd w:val="clear" w:color="auto" w:fill="FFFFFF"/>
        <w:spacing w:before="120" w:after="120"/>
        <w:rPr>
          <w:szCs w:val="24"/>
          <w:lang w:val="en-US"/>
        </w:rPr>
      </w:pPr>
      <w:r w:rsidRPr="00CE35EB">
        <w:rPr>
          <w:i/>
          <w:iCs/>
          <w:color w:val="000000"/>
          <w:szCs w:val="24"/>
        </w:rPr>
        <w:t>The right of equality and non-discrimination</w:t>
      </w:r>
    </w:p>
    <w:p w14:paraId="54103E2A" w14:textId="77777777" w:rsidR="008422B1" w:rsidRPr="00CE35EB" w:rsidRDefault="008422B1" w:rsidP="008422B1">
      <w:pPr>
        <w:shd w:val="clear" w:color="auto" w:fill="FFFFFF"/>
        <w:spacing w:before="120" w:after="120"/>
        <w:rPr>
          <w:szCs w:val="24"/>
          <w:lang w:val="en-US"/>
        </w:rPr>
      </w:pPr>
      <w:r w:rsidRPr="00CE35EB">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CE35EB" w:rsidRDefault="00A17F2C" w:rsidP="000337CB">
      <w:pPr>
        <w:spacing w:before="120" w:after="120"/>
        <w:rPr>
          <w:szCs w:val="24"/>
          <w:u w:val="single"/>
        </w:rPr>
      </w:pPr>
      <w:r w:rsidRPr="00CE35EB">
        <w:rPr>
          <w:szCs w:val="24"/>
          <w:u w:val="single"/>
        </w:rPr>
        <w:t xml:space="preserve">Analysis </w:t>
      </w:r>
    </w:p>
    <w:p w14:paraId="20E6265C" w14:textId="10A9112A" w:rsidR="008D7485" w:rsidRPr="00CE35EB" w:rsidRDefault="008422B1" w:rsidP="00302F5C">
      <w:pPr>
        <w:rPr>
          <w:szCs w:val="24"/>
        </w:rPr>
      </w:pPr>
      <w:r w:rsidRPr="00CE35EB">
        <w:rPr>
          <w:szCs w:val="24"/>
        </w:rPr>
        <w:t xml:space="preserve">This instrument maintains the rights to health and social security and the right of equality and non-discrimination by providing patients and medical practitioners with an increased range of remote service options on a temporary basis. This will enable patients to continue to receive access to timely and quality medical care and provide practitioners with options in determining the appropriate means for patients to receive medical care. </w:t>
      </w:r>
      <w:r w:rsidR="00C4327D" w:rsidRPr="00CE35EB">
        <w:rPr>
          <w:szCs w:val="24"/>
        </w:rPr>
        <w:t>Any Medicare-eligible person who meets the requirements of the items and receives a service is eligible for a medicare benefit. This provides universal access to health care.</w:t>
      </w:r>
    </w:p>
    <w:p w14:paraId="2412D166" w14:textId="1973400E" w:rsidR="00A17F2C" w:rsidRPr="00CE35EB" w:rsidRDefault="00A17F2C" w:rsidP="004B7CB9">
      <w:pPr>
        <w:spacing w:before="120" w:after="120" w:line="276" w:lineRule="auto"/>
        <w:rPr>
          <w:rFonts w:eastAsia="Calibri"/>
          <w:b/>
          <w:szCs w:val="24"/>
          <w:lang w:eastAsia="en-US"/>
        </w:rPr>
      </w:pPr>
      <w:r w:rsidRPr="00CE35EB">
        <w:rPr>
          <w:rFonts w:eastAsia="Calibri"/>
          <w:b/>
          <w:szCs w:val="24"/>
          <w:lang w:eastAsia="en-US"/>
        </w:rPr>
        <w:t xml:space="preserve">Conclusion </w:t>
      </w:r>
    </w:p>
    <w:p w14:paraId="2412D168" w14:textId="1E950E78" w:rsidR="00F15284" w:rsidRPr="00CE35EB" w:rsidRDefault="00C4327D" w:rsidP="000337CB">
      <w:pPr>
        <w:rPr>
          <w:szCs w:val="24"/>
        </w:rPr>
      </w:pPr>
      <w:r w:rsidRPr="00CE35EB">
        <w:rPr>
          <w:szCs w:val="24"/>
        </w:rPr>
        <w:t>This instrument is compatible with human rights as it maintains the right to health, the right to social security and the right of equality and non-discrimination.</w:t>
      </w:r>
    </w:p>
    <w:p w14:paraId="5758D1BB" w14:textId="77777777" w:rsidR="00C4327D" w:rsidRPr="00CE35EB" w:rsidRDefault="00C4327D" w:rsidP="000337CB">
      <w:pPr>
        <w:rPr>
          <w:szCs w:val="24"/>
        </w:rPr>
      </w:pPr>
    </w:p>
    <w:p w14:paraId="6AD7D010" w14:textId="21886F1D" w:rsidR="001B1BF0" w:rsidRPr="00CE35EB" w:rsidRDefault="00C4327D" w:rsidP="001B6095">
      <w:pPr>
        <w:shd w:val="clear" w:color="auto" w:fill="FFFFFF"/>
        <w:spacing w:line="240" w:lineRule="atLeast"/>
        <w:ind w:right="-23"/>
        <w:jc w:val="center"/>
        <w:rPr>
          <w:b/>
          <w:bCs/>
          <w:szCs w:val="22"/>
        </w:rPr>
      </w:pPr>
      <w:r w:rsidRPr="00CE35EB">
        <w:rPr>
          <w:b/>
          <w:bCs/>
          <w:szCs w:val="22"/>
        </w:rPr>
        <w:t>Louise Riley</w:t>
      </w:r>
    </w:p>
    <w:p w14:paraId="481CE820" w14:textId="77777777" w:rsidR="001B1BF0" w:rsidRPr="00CE35EB" w:rsidRDefault="001B1BF0" w:rsidP="001B6095">
      <w:pPr>
        <w:shd w:val="clear" w:color="auto" w:fill="FFFFFF"/>
        <w:spacing w:line="240" w:lineRule="atLeast"/>
        <w:ind w:right="-23"/>
        <w:jc w:val="center"/>
        <w:rPr>
          <w:b/>
          <w:bCs/>
          <w:szCs w:val="22"/>
        </w:rPr>
      </w:pPr>
      <w:r w:rsidRPr="00CE35EB">
        <w:rPr>
          <w:b/>
          <w:bCs/>
          <w:szCs w:val="22"/>
        </w:rPr>
        <w:t>Acting First Assistant Secretary</w:t>
      </w:r>
    </w:p>
    <w:p w14:paraId="71D4F8B6" w14:textId="77777777" w:rsidR="002058F8" w:rsidRPr="00CE35EB" w:rsidRDefault="001B1BF0" w:rsidP="001B6095">
      <w:pPr>
        <w:shd w:val="clear" w:color="auto" w:fill="FFFFFF"/>
        <w:spacing w:line="240" w:lineRule="atLeast"/>
        <w:ind w:right="-23"/>
        <w:jc w:val="center"/>
        <w:rPr>
          <w:b/>
          <w:bCs/>
          <w:szCs w:val="22"/>
        </w:rPr>
      </w:pPr>
      <w:r w:rsidRPr="00CE35EB">
        <w:rPr>
          <w:b/>
          <w:bCs/>
          <w:szCs w:val="22"/>
        </w:rPr>
        <w:t>Medical Benefits Division</w:t>
      </w:r>
    </w:p>
    <w:p w14:paraId="42E9857F" w14:textId="5DA0832B" w:rsidR="001B6095" w:rsidRPr="00CE35EB" w:rsidRDefault="001B1BF0" w:rsidP="001B6095">
      <w:pPr>
        <w:shd w:val="clear" w:color="auto" w:fill="FFFFFF"/>
        <w:spacing w:line="240" w:lineRule="atLeast"/>
        <w:ind w:right="-23"/>
        <w:jc w:val="center"/>
        <w:rPr>
          <w:b/>
          <w:bCs/>
          <w:szCs w:val="22"/>
        </w:rPr>
      </w:pPr>
      <w:r w:rsidRPr="00CE35EB">
        <w:rPr>
          <w:b/>
          <w:bCs/>
          <w:szCs w:val="22"/>
        </w:rPr>
        <w:t>Health Resourcing Group</w:t>
      </w:r>
    </w:p>
    <w:p w14:paraId="2412D16E" w14:textId="1D75709D" w:rsidR="00636C51" w:rsidRPr="009171F8" w:rsidRDefault="000F2948" w:rsidP="001B6095">
      <w:pPr>
        <w:jc w:val="center"/>
        <w:rPr>
          <w:rFonts w:eastAsia="Calibri"/>
          <w:szCs w:val="24"/>
          <w:lang w:eastAsia="en-US"/>
        </w:rPr>
      </w:pPr>
      <w:r w:rsidRPr="00CE35EB">
        <w:rPr>
          <w:b/>
          <w:bCs/>
        </w:rPr>
        <w:t>Department of Health</w:t>
      </w:r>
    </w:p>
    <w:sectPr w:rsidR="00636C51" w:rsidRPr="009171F8"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F3FBE" w14:textId="77777777" w:rsidR="00907123" w:rsidRDefault="00907123">
      <w:r>
        <w:separator/>
      </w:r>
    </w:p>
  </w:endnote>
  <w:endnote w:type="continuationSeparator" w:id="0">
    <w:p w14:paraId="70288C4D" w14:textId="77777777" w:rsidR="00907123" w:rsidRDefault="0090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B27FB" w14:textId="77777777" w:rsidR="00907123" w:rsidRDefault="00907123">
      <w:r>
        <w:separator/>
      </w:r>
    </w:p>
  </w:footnote>
  <w:footnote w:type="continuationSeparator" w:id="0">
    <w:p w14:paraId="5B06C8AF" w14:textId="77777777" w:rsidR="00907123" w:rsidRDefault="0090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F97412"/>
    <w:multiLevelType w:val="hybridMultilevel"/>
    <w:tmpl w:val="54E8A180"/>
    <w:lvl w:ilvl="0" w:tplc="3F9495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222F8"/>
    <w:multiLevelType w:val="hybridMultilevel"/>
    <w:tmpl w:val="69E86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C51E12"/>
    <w:multiLevelType w:val="hybridMultilevel"/>
    <w:tmpl w:val="CF5CB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F144E8"/>
    <w:multiLevelType w:val="hybridMultilevel"/>
    <w:tmpl w:val="5DB0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9D24D0"/>
    <w:multiLevelType w:val="hybridMultilevel"/>
    <w:tmpl w:val="8CBA2B18"/>
    <w:lvl w:ilvl="0" w:tplc="4C0E33C0">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45FC5DA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
  </w:num>
  <w:num w:numId="4">
    <w:abstractNumId w:val="13"/>
  </w:num>
  <w:num w:numId="5">
    <w:abstractNumId w:val="20"/>
  </w:num>
  <w:num w:numId="6">
    <w:abstractNumId w:val="10"/>
  </w:num>
  <w:num w:numId="7">
    <w:abstractNumId w:val="31"/>
  </w:num>
  <w:num w:numId="8">
    <w:abstractNumId w:val="6"/>
  </w:num>
  <w:num w:numId="9">
    <w:abstractNumId w:val="5"/>
  </w:num>
  <w:num w:numId="10">
    <w:abstractNumId w:val="35"/>
  </w:num>
  <w:num w:numId="11">
    <w:abstractNumId w:val="30"/>
  </w:num>
  <w:num w:numId="12">
    <w:abstractNumId w:val="14"/>
  </w:num>
  <w:num w:numId="13">
    <w:abstractNumId w:val="16"/>
  </w:num>
  <w:num w:numId="14">
    <w:abstractNumId w:val="28"/>
  </w:num>
  <w:num w:numId="15">
    <w:abstractNumId w:val="7"/>
  </w:num>
  <w:num w:numId="16">
    <w:abstractNumId w:val="22"/>
  </w:num>
  <w:num w:numId="17">
    <w:abstractNumId w:val="25"/>
  </w:num>
  <w:num w:numId="18">
    <w:abstractNumId w:val="23"/>
  </w:num>
  <w:num w:numId="19">
    <w:abstractNumId w:val="3"/>
  </w:num>
  <w:num w:numId="20">
    <w:abstractNumId w:val="1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9"/>
  </w:num>
  <w:num w:numId="26">
    <w:abstractNumId w:val="4"/>
  </w:num>
  <w:num w:numId="27">
    <w:abstractNumId w:val="17"/>
  </w:num>
  <w:num w:numId="28">
    <w:abstractNumId w:val="34"/>
  </w:num>
  <w:num w:numId="29">
    <w:abstractNumId w:val="19"/>
  </w:num>
  <w:num w:numId="30">
    <w:abstractNumId w:val="29"/>
  </w:num>
  <w:num w:numId="31">
    <w:abstractNumId w:val="15"/>
  </w:num>
  <w:num w:numId="32">
    <w:abstractNumId w:val="27"/>
  </w:num>
  <w:num w:numId="33">
    <w:abstractNumId w:val="18"/>
  </w:num>
  <w:num w:numId="34">
    <w:abstractNumId w:val="33"/>
  </w:num>
  <w:num w:numId="35">
    <w:abstractNumId w:val="32"/>
  </w:num>
  <w:num w:numId="36">
    <w:abstractNumId w:val="12"/>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0F0E"/>
    <w:rsid w:val="00001CCE"/>
    <w:rsid w:val="00003D66"/>
    <w:rsid w:val="0000441D"/>
    <w:rsid w:val="00004E17"/>
    <w:rsid w:val="00005906"/>
    <w:rsid w:val="00007B65"/>
    <w:rsid w:val="00010199"/>
    <w:rsid w:val="00010616"/>
    <w:rsid w:val="00012B9E"/>
    <w:rsid w:val="00014639"/>
    <w:rsid w:val="00014B38"/>
    <w:rsid w:val="00014E40"/>
    <w:rsid w:val="00016774"/>
    <w:rsid w:val="000203B4"/>
    <w:rsid w:val="00021EFA"/>
    <w:rsid w:val="00024158"/>
    <w:rsid w:val="00024A1D"/>
    <w:rsid w:val="00024F67"/>
    <w:rsid w:val="00025F64"/>
    <w:rsid w:val="0002704E"/>
    <w:rsid w:val="0002728B"/>
    <w:rsid w:val="00027830"/>
    <w:rsid w:val="000319EF"/>
    <w:rsid w:val="00033034"/>
    <w:rsid w:val="000337CB"/>
    <w:rsid w:val="0003591F"/>
    <w:rsid w:val="00041849"/>
    <w:rsid w:val="0004426E"/>
    <w:rsid w:val="00044A2A"/>
    <w:rsid w:val="00050623"/>
    <w:rsid w:val="000509BA"/>
    <w:rsid w:val="000514E0"/>
    <w:rsid w:val="0005224B"/>
    <w:rsid w:val="00054F46"/>
    <w:rsid w:val="0005533C"/>
    <w:rsid w:val="00057EE7"/>
    <w:rsid w:val="000611F9"/>
    <w:rsid w:val="00063242"/>
    <w:rsid w:val="00063712"/>
    <w:rsid w:val="000640CF"/>
    <w:rsid w:val="00064BA4"/>
    <w:rsid w:val="00067F59"/>
    <w:rsid w:val="000710DD"/>
    <w:rsid w:val="0007187A"/>
    <w:rsid w:val="00072230"/>
    <w:rsid w:val="0007236F"/>
    <w:rsid w:val="000727E0"/>
    <w:rsid w:val="00073983"/>
    <w:rsid w:val="00073BC9"/>
    <w:rsid w:val="000743CF"/>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D7E8F"/>
    <w:rsid w:val="000E0C87"/>
    <w:rsid w:val="000E1ACD"/>
    <w:rsid w:val="000E1EB3"/>
    <w:rsid w:val="000E3270"/>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017"/>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27B8"/>
    <w:rsid w:val="00154FC4"/>
    <w:rsid w:val="001551C6"/>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62C3"/>
    <w:rsid w:val="001A7249"/>
    <w:rsid w:val="001A7EF8"/>
    <w:rsid w:val="001B0111"/>
    <w:rsid w:val="001B1BF0"/>
    <w:rsid w:val="001B3714"/>
    <w:rsid w:val="001B5ED9"/>
    <w:rsid w:val="001B6095"/>
    <w:rsid w:val="001B66AF"/>
    <w:rsid w:val="001B7092"/>
    <w:rsid w:val="001C0810"/>
    <w:rsid w:val="001C1B86"/>
    <w:rsid w:val="001C35BC"/>
    <w:rsid w:val="001C51D8"/>
    <w:rsid w:val="001C5FC1"/>
    <w:rsid w:val="001C6713"/>
    <w:rsid w:val="001D0C04"/>
    <w:rsid w:val="001D368B"/>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58F8"/>
    <w:rsid w:val="002078B9"/>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276"/>
    <w:rsid w:val="00244D84"/>
    <w:rsid w:val="00250061"/>
    <w:rsid w:val="00250642"/>
    <w:rsid w:val="00251E4A"/>
    <w:rsid w:val="00251F50"/>
    <w:rsid w:val="002538F6"/>
    <w:rsid w:val="00253E30"/>
    <w:rsid w:val="0025493F"/>
    <w:rsid w:val="00257459"/>
    <w:rsid w:val="00257E4D"/>
    <w:rsid w:val="002627DA"/>
    <w:rsid w:val="00262865"/>
    <w:rsid w:val="00263279"/>
    <w:rsid w:val="00263685"/>
    <w:rsid w:val="002643FC"/>
    <w:rsid w:val="00274073"/>
    <w:rsid w:val="0027545F"/>
    <w:rsid w:val="0027610D"/>
    <w:rsid w:val="002806A1"/>
    <w:rsid w:val="00281918"/>
    <w:rsid w:val="00284483"/>
    <w:rsid w:val="00284749"/>
    <w:rsid w:val="00285256"/>
    <w:rsid w:val="00287AEF"/>
    <w:rsid w:val="00287B08"/>
    <w:rsid w:val="00290B98"/>
    <w:rsid w:val="00294347"/>
    <w:rsid w:val="002944D4"/>
    <w:rsid w:val="00296763"/>
    <w:rsid w:val="0029737E"/>
    <w:rsid w:val="00297AD0"/>
    <w:rsid w:val="002A0CC8"/>
    <w:rsid w:val="002A1E2C"/>
    <w:rsid w:val="002A3243"/>
    <w:rsid w:val="002A5CDF"/>
    <w:rsid w:val="002A68B3"/>
    <w:rsid w:val="002A6C77"/>
    <w:rsid w:val="002B18A7"/>
    <w:rsid w:val="002B2AC5"/>
    <w:rsid w:val="002B2E78"/>
    <w:rsid w:val="002B49DE"/>
    <w:rsid w:val="002B4E4D"/>
    <w:rsid w:val="002B53D3"/>
    <w:rsid w:val="002B7177"/>
    <w:rsid w:val="002C1BFE"/>
    <w:rsid w:val="002C37C2"/>
    <w:rsid w:val="002C3C9B"/>
    <w:rsid w:val="002C4F5B"/>
    <w:rsid w:val="002C54A1"/>
    <w:rsid w:val="002C5DCD"/>
    <w:rsid w:val="002D03AB"/>
    <w:rsid w:val="002D2A4E"/>
    <w:rsid w:val="002D41D1"/>
    <w:rsid w:val="002D5294"/>
    <w:rsid w:val="002D59E0"/>
    <w:rsid w:val="002D5DFC"/>
    <w:rsid w:val="002D5E92"/>
    <w:rsid w:val="002D6269"/>
    <w:rsid w:val="002D629A"/>
    <w:rsid w:val="002D7DB5"/>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4B62"/>
    <w:rsid w:val="00337DE1"/>
    <w:rsid w:val="00340BDB"/>
    <w:rsid w:val="00340E39"/>
    <w:rsid w:val="00341145"/>
    <w:rsid w:val="003412CB"/>
    <w:rsid w:val="00350FE7"/>
    <w:rsid w:val="0035214B"/>
    <w:rsid w:val="003527D6"/>
    <w:rsid w:val="00353351"/>
    <w:rsid w:val="00353622"/>
    <w:rsid w:val="0035389C"/>
    <w:rsid w:val="00357CD8"/>
    <w:rsid w:val="0036001E"/>
    <w:rsid w:val="0036105C"/>
    <w:rsid w:val="00361184"/>
    <w:rsid w:val="00361ADE"/>
    <w:rsid w:val="00363306"/>
    <w:rsid w:val="0036426C"/>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5C67"/>
    <w:rsid w:val="003A6230"/>
    <w:rsid w:val="003A6299"/>
    <w:rsid w:val="003B1976"/>
    <w:rsid w:val="003B1D46"/>
    <w:rsid w:val="003B27BA"/>
    <w:rsid w:val="003B366C"/>
    <w:rsid w:val="003B38C1"/>
    <w:rsid w:val="003B59A9"/>
    <w:rsid w:val="003B6B63"/>
    <w:rsid w:val="003B7C31"/>
    <w:rsid w:val="003C02D4"/>
    <w:rsid w:val="003C0BFF"/>
    <w:rsid w:val="003C37E3"/>
    <w:rsid w:val="003C4CBD"/>
    <w:rsid w:val="003C546B"/>
    <w:rsid w:val="003C7719"/>
    <w:rsid w:val="003D00D5"/>
    <w:rsid w:val="003D0FBD"/>
    <w:rsid w:val="003D2A6D"/>
    <w:rsid w:val="003D2E86"/>
    <w:rsid w:val="003D6334"/>
    <w:rsid w:val="003E005B"/>
    <w:rsid w:val="003E04DA"/>
    <w:rsid w:val="003E1249"/>
    <w:rsid w:val="003E3544"/>
    <w:rsid w:val="003E35A8"/>
    <w:rsid w:val="003E3ADE"/>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26BB0"/>
    <w:rsid w:val="00430861"/>
    <w:rsid w:val="00432D4D"/>
    <w:rsid w:val="00433573"/>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56E28"/>
    <w:rsid w:val="0046022A"/>
    <w:rsid w:val="004636B4"/>
    <w:rsid w:val="004641DC"/>
    <w:rsid w:val="00464AC7"/>
    <w:rsid w:val="004669A4"/>
    <w:rsid w:val="00466A5B"/>
    <w:rsid w:val="00467662"/>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0B79"/>
    <w:rsid w:val="00492341"/>
    <w:rsid w:val="00492DBE"/>
    <w:rsid w:val="00494973"/>
    <w:rsid w:val="004962CC"/>
    <w:rsid w:val="00497EC1"/>
    <w:rsid w:val="004A0129"/>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5193"/>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573CC"/>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41F"/>
    <w:rsid w:val="005A3D73"/>
    <w:rsid w:val="005A3D8D"/>
    <w:rsid w:val="005A445D"/>
    <w:rsid w:val="005A783B"/>
    <w:rsid w:val="005B0EA3"/>
    <w:rsid w:val="005B1B0A"/>
    <w:rsid w:val="005B5062"/>
    <w:rsid w:val="005B6234"/>
    <w:rsid w:val="005B7596"/>
    <w:rsid w:val="005C19A3"/>
    <w:rsid w:val="005C4A91"/>
    <w:rsid w:val="005C5824"/>
    <w:rsid w:val="005C6118"/>
    <w:rsid w:val="005D3575"/>
    <w:rsid w:val="005D3CED"/>
    <w:rsid w:val="005D538F"/>
    <w:rsid w:val="005D58C0"/>
    <w:rsid w:val="005D63D9"/>
    <w:rsid w:val="005D68D1"/>
    <w:rsid w:val="005E08DA"/>
    <w:rsid w:val="005E293A"/>
    <w:rsid w:val="005E44A6"/>
    <w:rsid w:val="005E49E7"/>
    <w:rsid w:val="005E56FE"/>
    <w:rsid w:val="005E62D6"/>
    <w:rsid w:val="005E6A82"/>
    <w:rsid w:val="005E7398"/>
    <w:rsid w:val="005F04DC"/>
    <w:rsid w:val="005F0F6C"/>
    <w:rsid w:val="005F1A7F"/>
    <w:rsid w:val="005F657C"/>
    <w:rsid w:val="00601165"/>
    <w:rsid w:val="006035CC"/>
    <w:rsid w:val="00606608"/>
    <w:rsid w:val="00607971"/>
    <w:rsid w:val="00610F4E"/>
    <w:rsid w:val="00611A4E"/>
    <w:rsid w:val="006122C0"/>
    <w:rsid w:val="0061281D"/>
    <w:rsid w:val="00613C46"/>
    <w:rsid w:val="00614085"/>
    <w:rsid w:val="00616889"/>
    <w:rsid w:val="00617F77"/>
    <w:rsid w:val="00623004"/>
    <w:rsid w:val="006237CC"/>
    <w:rsid w:val="00627C91"/>
    <w:rsid w:val="00632D13"/>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1B28"/>
    <w:rsid w:val="0068274B"/>
    <w:rsid w:val="00685515"/>
    <w:rsid w:val="0068642A"/>
    <w:rsid w:val="00690EE3"/>
    <w:rsid w:val="00694C76"/>
    <w:rsid w:val="00694F4A"/>
    <w:rsid w:val="006A029B"/>
    <w:rsid w:val="006A17A1"/>
    <w:rsid w:val="006A61C5"/>
    <w:rsid w:val="006B0F31"/>
    <w:rsid w:val="006B13BC"/>
    <w:rsid w:val="006B1992"/>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2A"/>
    <w:rsid w:val="006E1A62"/>
    <w:rsid w:val="006E320C"/>
    <w:rsid w:val="006E3D84"/>
    <w:rsid w:val="006E50B0"/>
    <w:rsid w:val="006E527B"/>
    <w:rsid w:val="006E5C6B"/>
    <w:rsid w:val="006E60AC"/>
    <w:rsid w:val="006E6377"/>
    <w:rsid w:val="006E6640"/>
    <w:rsid w:val="006E6BBF"/>
    <w:rsid w:val="006E7529"/>
    <w:rsid w:val="006F2E4F"/>
    <w:rsid w:val="006F5BFD"/>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206E"/>
    <w:rsid w:val="0072331C"/>
    <w:rsid w:val="00726CFA"/>
    <w:rsid w:val="00726F5E"/>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082"/>
    <w:rsid w:val="0077044D"/>
    <w:rsid w:val="007708B3"/>
    <w:rsid w:val="007710A8"/>
    <w:rsid w:val="00771109"/>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244C"/>
    <w:rsid w:val="007A4089"/>
    <w:rsid w:val="007A5936"/>
    <w:rsid w:val="007A5B55"/>
    <w:rsid w:val="007A5F41"/>
    <w:rsid w:val="007A5FEC"/>
    <w:rsid w:val="007B08D1"/>
    <w:rsid w:val="007B161A"/>
    <w:rsid w:val="007B29C6"/>
    <w:rsid w:val="007B37E0"/>
    <w:rsid w:val="007B4EAA"/>
    <w:rsid w:val="007B790F"/>
    <w:rsid w:val="007C20FA"/>
    <w:rsid w:val="007C27D3"/>
    <w:rsid w:val="007C29B2"/>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2D7E"/>
    <w:rsid w:val="00804A3C"/>
    <w:rsid w:val="00804A98"/>
    <w:rsid w:val="00805C3A"/>
    <w:rsid w:val="00806020"/>
    <w:rsid w:val="008061B8"/>
    <w:rsid w:val="008100CF"/>
    <w:rsid w:val="008129B1"/>
    <w:rsid w:val="00816EF6"/>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22B1"/>
    <w:rsid w:val="00843425"/>
    <w:rsid w:val="00845708"/>
    <w:rsid w:val="00846239"/>
    <w:rsid w:val="00846484"/>
    <w:rsid w:val="008478EE"/>
    <w:rsid w:val="00852FB1"/>
    <w:rsid w:val="0085475F"/>
    <w:rsid w:val="00855C39"/>
    <w:rsid w:val="00856225"/>
    <w:rsid w:val="0085681C"/>
    <w:rsid w:val="008604B1"/>
    <w:rsid w:val="008609B1"/>
    <w:rsid w:val="00861C33"/>
    <w:rsid w:val="008622CB"/>
    <w:rsid w:val="008645C4"/>
    <w:rsid w:val="00867884"/>
    <w:rsid w:val="008734F5"/>
    <w:rsid w:val="00874DE6"/>
    <w:rsid w:val="00875104"/>
    <w:rsid w:val="00876C62"/>
    <w:rsid w:val="008774D2"/>
    <w:rsid w:val="00877BAA"/>
    <w:rsid w:val="00880E40"/>
    <w:rsid w:val="00883771"/>
    <w:rsid w:val="00883C9D"/>
    <w:rsid w:val="00883EFE"/>
    <w:rsid w:val="008869CA"/>
    <w:rsid w:val="008870CD"/>
    <w:rsid w:val="00887892"/>
    <w:rsid w:val="008905BA"/>
    <w:rsid w:val="0089375C"/>
    <w:rsid w:val="0089513F"/>
    <w:rsid w:val="00895699"/>
    <w:rsid w:val="008A153F"/>
    <w:rsid w:val="008A54A9"/>
    <w:rsid w:val="008A6188"/>
    <w:rsid w:val="008A79C6"/>
    <w:rsid w:val="008B2094"/>
    <w:rsid w:val="008B28F2"/>
    <w:rsid w:val="008B444F"/>
    <w:rsid w:val="008B683E"/>
    <w:rsid w:val="008C014C"/>
    <w:rsid w:val="008C0EF7"/>
    <w:rsid w:val="008C11A2"/>
    <w:rsid w:val="008C136E"/>
    <w:rsid w:val="008C20F7"/>
    <w:rsid w:val="008C5F1C"/>
    <w:rsid w:val="008D06D8"/>
    <w:rsid w:val="008D136F"/>
    <w:rsid w:val="008D1A49"/>
    <w:rsid w:val="008D1B01"/>
    <w:rsid w:val="008D25D7"/>
    <w:rsid w:val="008D2A83"/>
    <w:rsid w:val="008D2D7B"/>
    <w:rsid w:val="008D2D98"/>
    <w:rsid w:val="008D44EB"/>
    <w:rsid w:val="008D5F2A"/>
    <w:rsid w:val="008D6051"/>
    <w:rsid w:val="008D7485"/>
    <w:rsid w:val="008E3E1A"/>
    <w:rsid w:val="008E4039"/>
    <w:rsid w:val="008E4452"/>
    <w:rsid w:val="008F1AA9"/>
    <w:rsid w:val="008F7C5B"/>
    <w:rsid w:val="00901C4E"/>
    <w:rsid w:val="00904502"/>
    <w:rsid w:val="009049C0"/>
    <w:rsid w:val="0090615C"/>
    <w:rsid w:val="00906257"/>
    <w:rsid w:val="009069D6"/>
    <w:rsid w:val="00907123"/>
    <w:rsid w:val="00910EF6"/>
    <w:rsid w:val="00911B1A"/>
    <w:rsid w:val="00912380"/>
    <w:rsid w:val="009124F6"/>
    <w:rsid w:val="00912BC1"/>
    <w:rsid w:val="00913B67"/>
    <w:rsid w:val="0091520D"/>
    <w:rsid w:val="00915B08"/>
    <w:rsid w:val="009171F8"/>
    <w:rsid w:val="00921DD1"/>
    <w:rsid w:val="009225FE"/>
    <w:rsid w:val="009229E9"/>
    <w:rsid w:val="00923D31"/>
    <w:rsid w:val="00923F94"/>
    <w:rsid w:val="00926DD3"/>
    <w:rsid w:val="00927228"/>
    <w:rsid w:val="009348B0"/>
    <w:rsid w:val="00935308"/>
    <w:rsid w:val="009361FD"/>
    <w:rsid w:val="009406D2"/>
    <w:rsid w:val="00940F17"/>
    <w:rsid w:val="009414C5"/>
    <w:rsid w:val="009427F2"/>
    <w:rsid w:val="00944007"/>
    <w:rsid w:val="00944F64"/>
    <w:rsid w:val="00945CE1"/>
    <w:rsid w:val="009467A8"/>
    <w:rsid w:val="00946A7F"/>
    <w:rsid w:val="00951A0B"/>
    <w:rsid w:val="00953383"/>
    <w:rsid w:val="009537E3"/>
    <w:rsid w:val="009574A8"/>
    <w:rsid w:val="009574C6"/>
    <w:rsid w:val="00961795"/>
    <w:rsid w:val="009632FC"/>
    <w:rsid w:val="009648F3"/>
    <w:rsid w:val="00964D68"/>
    <w:rsid w:val="00965025"/>
    <w:rsid w:val="009654C8"/>
    <w:rsid w:val="0096641C"/>
    <w:rsid w:val="009664A8"/>
    <w:rsid w:val="00967E51"/>
    <w:rsid w:val="00971039"/>
    <w:rsid w:val="00971B7B"/>
    <w:rsid w:val="00971D3B"/>
    <w:rsid w:val="00972D48"/>
    <w:rsid w:val="00975E68"/>
    <w:rsid w:val="00977A95"/>
    <w:rsid w:val="00982585"/>
    <w:rsid w:val="00983D11"/>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3F"/>
    <w:rsid w:val="009F4352"/>
    <w:rsid w:val="009F45FE"/>
    <w:rsid w:val="009F4E4E"/>
    <w:rsid w:val="009F5D5C"/>
    <w:rsid w:val="009F6717"/>
    <w:rsid w:val="00A01F6A"/>
    <w:rsid w:val="00A0321B"/>
    <w:rsid w:val="00A045CA"/>
    <w:rsid w:val="00A04DC3"/>
    <w:rsid w:val="00A0597B"/>
    <w:rsid w:val="00A05DAD"/>
    <w:rsid w:val="00A06FB4"/>
    <w:rsid w:val="00A14849"/>
    <w:rsid w:val="00A14878"/>
    <w:rsid w:val="00A1707B"/>
    <w:rsid w:val="00A1739A"/>
    <w:rsid w:val="00A17694"/>
    <w:rsid w:val="00A17F2C"/>
    <w:rsid w:val="00A232B9"/>
    <w:rsid w:val="00A24F4B"/>
    <w:rsid w:val="00A272AB"/>
    <w:rsid w:val="00A3185E"/>
    <w:rsid w:val="00A33893"/>
    <w:rsid w:val="00A34C9A"/>
    <w:rsid w:val="00A34D89"/>
    <w:rsid w:val="00A3611E"/>
    <w:rsid w:val="00A41364"/>
    <w:rsid w:val="00A41F72"/>
    <w:rsid w:val="00A4278E"/>
    <w:rsid w:val="00A4292D"/>
    <w:rsid w:val="00A44A25"/>
    <w:rsid w:val="00A50E4E"/>
    <w:rsid w:val="00A54891"/>
    <w:rsid w:val="00A54CA1"/>
    <w:rsid w:val="00A56516"/>
    <w:rsid w:val="00A62031"/>
    <w:rsid w:val="00A65D80"/>
    <w:rsid w:val="00A66849"/>
    <w:rsid w:val="00A672A7"/>
    <w:rsid w:val="00A71091"/>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46F6"/>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D9E"/>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0E1D"/>
    <w:rsid w:val="00AF134A"/>
    <w:rsid w:val="00AF3563"/>
    <w:rsid w:val="00AF3BCE"/>
    <w:rsid w:val="00AF421C"/>
    <w:rsid w:val="00AF5C05"/>
    <w:rsid w:val="00AF7622"/>
    <w:rsid w:val="00B00238"/>
    <w:rsid w:val="00B019A9"/>
    <w:rsid w:val="00B03218"/>
    <w:rsid w:val="00B03273"/>
    <w:rsid w:val="00B039EC"/>
    <w:rsid w:val="00B048A5"/>
    <w:rsid w:val="00B07EFF"/>
    <w:rsid w:val="00B10984"/>
    <w:rsid w:val="00B109B2"/>
    <w:rsid w:val="00B10D67"/>
    <w:rsid w:val="00B110B5"/>
    <w:rsid w:val="00B14C3A"/>
    <w:rsid w:val="00B15781"/>
    <w:rsid w:val="00B167A2"/>
    <w:rsid w:val="00B174E3"/>
    <w:rsid w:val="00B20415"/>
    <w:rsid w:val="00B276B4"/>
    <w:rsid w:val="00B2772E"/>
    <w:rsid w:val="00B27A5B"/>
    <w:rsid w:val="00B316E7"/>
    <w:rsid w:val="00B3398C"/>
    <w:rsid w:val="00B34BDE"/>
    <w:rsid w:val="00B34EF9"/>
    <w:rsid w:val="00B3578F"/>
    <w:rsid w:val="00B35DAD"/>
    <w:rsid w:val="00B36EB3"/>
    <w:rsid w:val="00B40807"/>
    <w:rsid w:val="00B40E17"/>
    <w:rsid w:val="00B41AE8"/>
    <w:rsid w:val="00B445D0"/>
    <w:rsid w:val="00B45C4D"/>
    <w:rsid w:val="00B50E59"/>
    <w:rsid w:val="00B53FF2"/>
    <w:rsid w:val="00B54620"/>
    <w:rsid w:val="00B558A4"/>
    <w:rsid w:val="00B55CDD"/>
    <w:rsid w:val="00B56E4F"/>
    <w:rsid w:val="00B60B1B"/>
    <w:rsid w:val="00B612B5"/>
    <w:rsid w:val="00B63345"/>
    <w:rsid w:val="00B63A7A"/>
    <w:rsid w:val="00B652B0"/>
    <w:rsid w:val="00B6571A"/>
    <w:rsid w:val="00B70D13"/>
    <w:rsid w:val="00B7119B"/>
    <w:rsid w:val="00B71CF1"/>
    <w:rsid w:val="00B72847"/>
    <w:rsid w:val="00B73A3D"/>
    <w:rsid w:val="00B74168"/>
    <w:rsid w:val="00B746F1"/>
    <w:rsid w:val="00B7481E"/>
    <w:rsid w:val="00B748AE"/>
    <w:rsid w:val="00B75DB2"/>
    <w:rsid w:val="00B763ED"/>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311F"/>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072"/>
    <w:rsid w:val="00BF3B3D"/>
    <w:rsid w:val="00BF564D"/>
    <w:rsid w:val="00BF591D"/>
    <w:rsid w:val="00BF5A87"/>
    <w:rsid w:val="00BF6341"/>
    <w:rsid w:val="00C0045E"/>
    <w:rsid w:val="00C00FC7"/>
    <w:rsid w:val="00C00FD8"/>
    <w:rsid w:val="00C05E84"/>
    <w:rsid w:val="00C073E4"/>
    <w:rsid w:val="00C07C34"/>
    <w:rsid w:val="00C130A8"/>
    <w:rsid w:val="00C13962"/>
    <w:rsid w:val="00C154E6"/>
    <w:rsid w:val="00C158B5"/>
    <w:rsid w:val="00C16E23"/>
    <w:rsid w:val="00C17ED8"/>
    <w:rsid w:val="00C2082B"/>
    <w:rsid w:val="00C20DBA"/>
    <w:rsid w:val="00C23920"/>
    <w:rsid w:val="00C26EA8"/>
    <w:rsid w:val="00C31827"/>
    <w:rsid w:val="00C33771"/>
    <w:rsid w:val="00C3411B"/>
    <w:rsid w:val="00C34230"/>
    <w:rsid w:val="00C3661B"/>
    <w:rsid w:val="00C42064"/>
    <w:rsid w:val="00C42112"/>
    <w:rsid w:val="00C4327D"/>
    <w:rsid w:val="00C435EB"/>
    <w:rsid w:val="00C45768"/>
    <w:rsid w:val="00C4692B"/>
    <w:rsid w:val="00C46A0C"/>
    <w:rsid w:val="00C473F7"/>
    <w:rsid w:val="00C501E5"/>
    <w:rsid w:val="00C50B7E"/>
    <w:rsid w:val="00C5100A"/>
    <w:rsid w:val="00C51884"/>
    <w:rsid w:val="00C549BC"/>
    <w:rsid w:val="00C54F71"/>
    <w:rsid w:val="00C56251"/>
    <w:rsid w:val="00C5667B"/>
    <w:rsid w:val="00C56A65"/>
    <w:rsid w:val="00C56FE0"/>
    <w:rsid w:val="00C6072B"/>
    <w:rsid w:val="00C6094D"/>
    <w:rsid w:val="00C62733"/>
    <w:rsid w:val="00C62FDC"/>
    <w:rsid w:val="00C63FDC"/>
    <w:rsid w:val="00C6548C"/>
    <w:rsid w:val="00C66DA8"/>
    <w:rsid w:val="00C67BC7"/>
    <w:rsid w:val="00C7235F"/>
    <w:rsid w:val="00C724F5"/>
    <w:rsid w:val="00C73066"/>
    <w:rsid w:val="00C743D2"/>
    <w:rsid w:val="00C75E05"/>
    <w:rsid w:val="00C77A1F"/>
    <w:rsid w:val="00C80647"/>
    <w:rsid w:val="00C80836"/>
    <w:rsid w:val="00C80A20"/>
    <w:rsid w:val="00C84DDE"/>
    <w:rsid w:val="00C85162"/>
    <w:rsid w:val="00C87864"/>
    <w:rsid w:val="00C90EAC"/>
    <w:rsid w:val="00C9127E"/>
    <w:rsid w:val="00C917FD"/>
    <w:rsid w:val="00C93D01"/>
    <w:rsid w:val="00C958FA"/>
    <w:rsid w:val="00C96958"/>
    <w:rsid w:val="00C96A6B"/>
    <w:rsid w:val="00CA62C0"/>
    <w:rsid w:val="00CA73CB"/>
    <w:rsid w:val="00CA79BB"/>
    <w:rsid w:val="00CB4161"/>
    <w:rsid w:val="00CB43A2"/>
    <w:rsid w:val="00CB6DE1"/>
    <w:rsid w:val="00CB7730"/>
    <w:rsid w:val="00CC0CC2"/>
    <w:rsid w:val="00CC12A0"/>
    <w:rsid w:val="00CC26A8"/>
    <w:rsid w:val="00CC4CED"/>
    <w:rsid w:val="00CC6EBB"/>
    <w:rsid w:val="00CD4A21"/>
    <w:rsid w:val="00CE35EB"/>
    <w:rsid w:val="00CE3A6F"/>
    <w:rsid w:val="00CE41EB"/>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03AC"/>
    <w:rsid w:val="00D114E6"/>
    <w:rsid w:val="00D1198D"/>
    <w:rsid w:val="00D15F17"/>
    <w:rsid w:val="00D161BE"/>
    <w:rsid w:val="00D162D9"/>
    <w:rsid w:val="00D17BDD"/>
    <w:rsid w:val="00D24F7B"/>
    <w:rsid w:val="00D30F03"/>
    <w:rsid w:val="00D312E4"/>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525C"/>
    <w:rsid w:val="00D56338"/>
    <w:rsid w:val="00D565F8"/>
    <w:rsid w:val="00D56ABB"/>
    <w:rsid w:val="00D57189"/>
    <w:rsid w:val="00D571B1"/>
    <w:rsid w:val="00D57944"/>
    <w:rsid w:val="00D57EFC"/>
    <w:rsid w:val="00D602E0"/>
    <w:rsid w:val="00D60C7B"/>
    <w:rsid w:val="00D63EFF"/>
    <w:rsid w:val="00D64096"/>
    <w:rsid w:val="00D644BD"/>
    <w:rsid w:val="00D65500"/>
    <w:rsid w:val="00D65F8F"/>
    <w:rsid w:val="00D664A9"/>
    <w:rsid w:val="00D66520"/>
    <w:rsid w:val="00D66C5B"/>
    <w:rsid w:val="00D671E2"/>
    <w:rsid w:val="00D67DAC"/>
    <w:rsid w:val="00D67E0A"/>
    <w:rsid w:val="00D712E9"/>
    <w:rsid w:val="00D7566A"/>
    <w:rsid w:val="00D85008"/>
    <w:rsid w:val="00D872AA"/>
    <w:rsid w:val="00D87426"/>
    <w:rsid w:val="00D8754D"/>
    <w:rsid w:val="00D8778C"/>
    <w:rsid w:val="00D92717"/>
    <w:rsid w:val="00D92BA4"/>
    <w:rsid w:val="00D93E05"/>
    <w:rsid w:val="00D9515D"/>
    <w:rsid w:val="00DA3A08"/>
    <w:rsid w:val="00DA4715"/>
    <w:rsid w:val="00DA62DF"/>
    <w:rsid w:val="00DA7354"/>
    <w:rsid w:val="00DA7439"/>
    <w:rsid w:val="00DB0DA9"/>
    <w:rsid w:val="00DB108A"/>
    <w:rsid w:val="00DC06BB"/>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DF7FA3"/>
    <w:rsid w:val="00E004EF"/>
    <w:rsid w:val="00E04B6F"/>
    <w:rsid w:val="00E05ECF"/>
    <w:rsid w:val="00E13833"/>
    <w:rsid w:val="00E17001"/>
    <w:rsid w:val="00E17406"/>
    <w:rsid w:val="00E20AE5"/>
    <w:rsid w:val="00E20F00"/>
    <w:rsid w:val="00E21297"/>
    <w:rsid w:val="00E23A38"/>
    <w:rsid w:val="00E23B6B"/>
    <w:rsid w:val="00E23C9F"/>
    <w:rsid w:val="00E24721"/>
    <w:rsid w:val="00E24959"/>
    <w:rsid w:val="00E25139"/>
    <w:rsid w:val="00E265A0"/>
    <w:rsid w:val="00E266DE"/>
    <w:rsid w:val="00E311F5"/>
    <w:rsid w:val="00E34BF8"/>
    <w:rsid w:val="00E35B1E"/>
    <w:rsid w:val="00E4250F"/>
    <w:rsid w:val="00E4488C"/>
    <w:rsid w:val="00E44A7E"/>
    <w:rsid w:val="00E46A7E"/>
    <w:rsid w:val="00E46CE8"/>
    <w:rsid w:val="00E51559"/>
    <w:rsid w:val="00E548DB"/>
    <w:rsid w:val="00E552BD"/>
    <w:rsid w:val="00E55649"/>
    <w:rsid w:val="00E56A50"/>
    <w:rsid w:val="00E5798A"/>
    <w:rsid w:val="00E57A3E"/>
    <w:rsid w:val="00E628D9"/>
    <w:rsid w:val="00E63ADA"/>
    <w:rsid w:val="00E640E0"/>
    <w:rsid w:val="00E6435A"/>
    <w:rsid w:val="00E645F6"/>
    <w:rsid w:val="00E64C5F"/>
    <w:rsid w:val="00E664F4"/>
    <w:rsid w:val="00E70355"/>
    <w:rsid w:val="00E726BB"/>
    <w:rsid w:val="00E72855"/>
    <w:rsid w:val="00E72E5D"/>
    <w:rsid w:val="00E7377F"/>
    <w:rsid w:val="00E74710"/>
    <w:rsid w:val="00E74C1D"/>
    <w:rsid w:val="00E75ACC"/>
    <w:rsid w:val="00E81B2F"/>
    <w:rsid w:val="00E828FF"/>
    <w:rsid w:val="00E844ED"/>
    <w:rsid w:val="00E85810"/>
    <w:rsid w:val="00E85B0A"/>
    <w:rsid w:val="00E90558"/>
    <w:rsid w:val="00E909CD"/>
    <w:rsid w:val="00E92248"/>
    <w:rsid w:val="00E92BD1"/>
    <w:rsid w:val="00E935A1"/>
    <w:rsid w:val="00E93FB6"/>
    <w:rsid w:val="00E94BB6"/>
    <w:rsid w:val="00E97FB5"/>
    <w:rsid w:val="00EA1715"/>
    <w:rsid w:val="00EA2EE8"/>
    <w:rsid w:val="00EA31FD"/>
    <w:rsid w:val="00EA4349"/>
    <w:rsid w:val="00EA4EE4"/>
    <w:rsid w:val="00EA5A32"/>
    <w:rsid w:val="00EB2F51"/>
    <w:rsid w:val="00EB3BF0"/>
    <w:rsid w:val="00EB3D02"/>
    <w:rsid w:val="00EB4DA6"/>
    <w:rsid w:val="00EB601D"/>
    <w:rsid w:val="00EB6CCD"/>
    <w:rsid w:val="00EC0273"/>
    <w:rsid w:val="00EC25BA"/>
    <w:rsid w:val="00ED0AD5"/>
    <w:rsid w:val="00ED1DE2"/>
    <w:rsid w:val="00ED1F31"/>
    <w:rsid w:val="00ED3630"/>
    <w:rsid w:val="00ED7140"/>
    <w:rsid w:val="00ED77E5"/>
    <w:rsid w:val="00EE009C"/>
    <w:rsid w:val="00EE026E"/>
    <w:rsid w:val="00EE03A4"/>
    <w:rsid w:val="00EE3C59"/>
    <w:rsid w:val="00EE4A74"/>
    <w:rsid w:val="00EE5B70"/>
    <w:rsid w:val="00EE66B6"/>
    <w:rsid w:val="00EE6E63"/>
    <w:rsid w:val="00EE7B48"/>
    <w:rsid w:val="00EF0AFA"/>
    <w:rsid w:val="00EF38E5"/>
    <w:rsid w:val="00EF5C33"/>
    <w:rsid w:val="00EF629C"/>
    <w:rsid w:val="00EF6508"/>
    <w:rsid w:val="00EF6AB8"/>
    <w:rsid w:val="00EF6B7F"/>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61C"/>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3EF6"/>
    <w:rsid w:val="00F45470"/>
    <w:rsid w:val="00F45544"/>
    <w:rsid w:val="00F464FE"/>
    <w:rsid w:val="00F465F9"/>
    <w:rsid w:val="00F47506"/>
    <w:rsid w:val="00F47621"/>
    <w:rsid w:val="00F570AB"/>
    <w:rsid w:val="00F571A5"/>
    <w:rsid w:val="00F57A71"/>
    <w:rsid w:val="00F61C28"/>
    <w:rsid w:val="00F61E69"/>
    <w:rsid w:val="00F633B7"/>
    <w:rsid w:val="00F645F1"/>
    <w:rsid w:val="00F6591A"/>
    <w:rsid w:val="00F70D35"/>
    <w:rsid w:val="00F7546C"/>
    <w:rsid w:val="00F77B00"/>
    <w:rsid w:val="00F817AE"/>
    <w:rsid w:val="00F83B6F"/>
    <w:rsid w:val="00F84470"/>
    <w:rsid w:val="00F857BC"/>
    <w:rsid w:val="00F90273"/>
    <w:rsid w:val="00F90BD0"/>
    <w:rsid w:val="00F91A5F"/>
    <w:rsid w:val="00F93ACB"/>
    <w:rsid w:val="00F93C4F"/>
    <w:rsid w:val="00F95994"/>
    <w:rsid w:val="00F9747B"/>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052F"/>
    <w:rsid w:val="00FE2D34"/>
    <w:rsid w:val="00FE780C"/>
    <w:rsid w:val="00FF01E8"/>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1E8"/>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946A7F"/>
    <w:rPr>
      <w:color w:val="605E5C"/>
      <w:shd w:val="clear" w:color="auto" w:fill="E1DFDD"/>
    </w:rPr>
  </w:style>
  <w:style w:type="character" w:styleId="Strong">
    <w:name w:val="Strong"/>
    <w:basedOn w:val="DefaultParagraphFont"/>
    <w:uiPriority w:val="22"/>
    <w:qFormat/>
    <w:rsid w:val="00C26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14179535">
      <w:bodyDiv w:val="1"/>
      <w:marLeft w:val="0"/>
      <w:marRight w:val="0"/>
      <w:marTop w:val="0"/>
      <w:marBottom w:val="0"/>
      <w:divBdr>
        <w:top w:val="none" w:sz="0" w:space="0" w:color="auto"/>
        <w:left w:val="none" w:sz="0" w:space="0" w:color="auto"/>
        <w:bottom w:val="none" w:sz="0" w:space="0" w:color="auto"/>
        <w:right w:val="none" w:sz="0" w:space="0" w:color="auto"/>
      </w:divBdr>
      <w:divsChild>
        <w:div w:id="972948914">
          <w:marLeft w:val="0"/>
          <w:marRight w:val="0"/>
          <w:marTop w:val="0"/>
          <w:marBottom w:val="0"/>
          <w:divBdr>
            <w:top w:val="none" w:sz="0" w:space="0" w:color="auto"/>
            <w:left w:val="none" w:sz="0" w:space="0" w:color="auto"/>
            <w:bottom w:val="none" w:sz="0" w:space="0" w:color="auto"/>
            <w:right w:val="none" w:sz="0" w:space="0" w:color="auto"/>
          </w:divBdr>
          <w:divsChild>
            <w:div w:id="1467429403">
              <w:marLeft w:val="0"/>
              <w:marRight w:val="0"/>
              <w:marTop w:val="0"/>
              <w:marBottom w:val="0"/>
              <w:divBdr>
                <w:top w:val="none" w:sz="0" w:space="0" w:color="auto"/>
                <w:left w:val="none" w:sz="0" w:space="0" w:color="auto"/>
                <w:bottom w:val="none" w:sz="0" w:space="0" w:color="auto"/>
                <w:right w:val="none" w:sz="0" w:space="0" w:color="auto"/>
              </w:divBdr>
              <w:divsChild>
                <w:div w:id="1142311116">
                  <w:marLeft w:val="0"/>
                  <w:marRight w:val="0"/>
                  <w:marTop w:val="0"/>
                  <w:marBottom w:val="0"/>
                  <w:divBdr>
                    <w:top w:val="none" w:sz="0" w:space="0" w:color="auto"/>
                    <w:left w:val="none" w:sz="0" w:space="0" w:color="auto"/>
                    <w:bottom w:val="none" w:sz="0" w:space="0" w:color="auto"/>
                    <w:right w:val="none" w:sz="0" w:space="0" w:color="auto"/>
                  </w:divBdr>
                  <w:divsChild>
                    <w:div w:id="1902147">
                      <w:marLeft w:val="0"/>
                      <w:marRight w:val="0"/>
                      <w:marTop w:val="0"/>
                      <w:marBottom w:val="0"/>
                      <w:divBdr>
                        <w:top w:val="none" w:sz="0" w:space="0" w:color="auto"/>
                        <w:left w:val="none" w:sz="0" w:space="0" w:color="auto"/>
                        <w:bottom w:val="none" w:sz="0" w:space="0" w:color="auto"/>
                        <w:right w:val="none" w:sz="0" w:space="0" w:color="auto"/>
                      </w:divBdr>
                      <w:divsChild>
                        <w:div w:id="61562313">
                          <w:marLeft w:val="0"/>
                          <w:marRight w:val="0"/>
                          <w:marTop w:val="0"/>
                          <w:marBottom w:val="0"/>
                          <w:divBdr>
                            <w:top w:val="none" w:sz="0" w:space="0" w:color="auto"/>
                            <w:left w:val="none" w:sz="0" w:space="0" w:color="auto"/>
                            <w:bottom w:val="none" w:sz="0" w:space="0" w:color="auto"/>
                            <w:right w:val="none" w:sz="0" w:space="0" w:color="auto"/>
                          </w:divBdr>
                          <w:divsChild>
                            <w:div w:id="324287449">
                              <w:marLeft w:val="0"/>
                              <w:marRight w:val="0"/>
                              <w:marTop w:val="0"/>
                              <w:marBottom w:val="0"/>
                              <w:divBdr>
                                <w:top w:val="none" w:sz="0" w:space="0" w:color="auto"/>
                                <w:left w:val="none" w:sz="0" w:space="0" w:color="auto"/>
                                <w:bottom w:val="none" w:sz="0" w:space="0" w:color="auto"/>
                                <w:right w:val="none" w:sz="0" w:space="0" w:color="auto"/>
                              </w:divBdr>
                              <w:divsChild>
                                <w:div w:id="595289996">
                                  <w:marLeft w:val="0"/>
                                  <w:marRight w:val="0"/>
                                  <w:marTop w:val="0"/>
                                  <w:marBottom w:val="0"/>
                                  <w:divBdr>
                                    <w:top w:val="none" w:sz="0" w:space="0" w:color="auto"/>
                                    <w:left w:val="none" w:sz="0" w:space="0" w:color="auto"/>
                                    <w:bottom w:val="none" w:sz="0" w:space="0" w:color="auto"/>
                                    <w:right w:val="none" w:sz="0" w:space="0" w:color="auto"/>
                                  </w:divBdr>
                                  <w:divsChild>
                                    <w:div w:id="1296376001">
                                      <w:marLeft w:val="0"/>
                                      <w:marRight w:val="0"/>
                                      <w:marTop w:val="0"/>
                                      <w:marBottom w:val="0"/>
                                      <w:divBdr>
                                        <w:top w:val="none" w:sz="0" w:space="0" w:color="auto"/>
                                        <w:left w:val="none" w:sz="0" w:space="0" w:color="auto"/>
                                        <w:bottom w:val="none" w:sz="0" w:space="0" w:color="auto"/>
                                        <w:right w:val="none" w:sz="0" w:space="0" w:color="auto"/>
                                      </w:divBdr>
                                      <w:divsChild>
                                        <w:div w:id="2070222301">
                                          <w:marLeft w:val="0"/>
                                          <w:marRight w:val="0"/>
                                          <w:marTop w:val="0"/>
                                          <w:marBottom w:val="0"/>
                                          <w:divBdr>
                                            <w:top w:val="none" w:sz="0" w:space="0" w:color="auto"/>
                                            <w:left w:val="none" w:sz="0" w:space="0" w:color="auto"/>
                                            <w:bottom w:val="none" w:sz="0" w:space="0" w:color="auto"/>
                                            <w:right w:val="none" w:sz="0" w:space="0" w:color="auto"/>
                                          </w:divBdr>
                                          <w:divsChild>
                                            <w:div w:id="1103191016">
                                              <w:marLeft w:val="0"/>
                                              <w:marRight w:val="0"/>
                                              <w:marTop w:val="0"/>
                                              <w:marBottom w:val="0"/>
                                              <w:divBdr>
                                                <w:top w:val="none" w:sz="0" w:space="0" w:color="auto"/>
                                                <w:left w:val="none" w:sz="0" w:space="0" w:color="auto"/>
                                                <w:bottom w:val="none" w:sz="0" w:space="0" w:color="auto"/>
                                                <w:right w:val="none" w:sz="0" w:space="0" w:color="auto"/>
                                              </w:divBdr>
                                              <w:divsChild>
                                                <w:div w:id="2026402879">
                                                  <w:marLeft w:val="0"/>
                                                  <w:marRight w:val="0"/>
                                                  <w:marTop w:val="0"/>
                                                  <w:marBottom w:val="0"/>
                                                  <w:divBdr>
                                                    <w:top w:val="none" w:sz="0" w:space="0" w:color="auto"/>
                                                    <w:left w:val="none" w:sz="0" w:space="0" w:color="auto"/>
                                                    <w:bottom w:val="none" w:sz="0" w:space="0" w:color="auto"/>
                                                    <w:right w:val="none" w:sz="0" w:space="0" w:color="auto"/>
                                                  </w:divBdr>
                                                  <w:divsChild>
                                                    <w:div w:id="1556043718">
                                                      <w:marLeft w:val="0"/>
                                                      <w:marRight w:val="0"/>
                                                      <w:marTop w:val="0"/>
                                                      <w:marBottom w:val="0"/>
                                                      <w:divBdr>
                                                        <w:top w:val="none" w:sz="0" w:space="0" w:color="auto"/>
                                                        <w:left w:val="none" w:sz="0" w:space="0" w:color="auto"/>
                                                        <w:bottom w:val="none" w:sz="0" w:space="0" w:color="auto"/>
                                                        <w:right w:val="none" w:sz="0" w:space="0" w:color="auto"/>
                                                      </w:divBdr>
                                                      <w:divsChild>
                                                        <w:div w:id="10375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19568991">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2B13C29E-D991-4DB9-A13E-7C1AA632889D}">
  <ds:schemaRefs>
    <ds:schemaRef ds:uri="http://schemas.microsoft.com/office/2006/documentManagement/typ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3066</Words>
  <Characters>17480</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2</cp:revision>
  <cp:lastPrinted>2019-09-23T06:46:00Z</cp:lastPrinted>
  <dcterms:created xsi:type="dcterms:W3CDTF">2022-01-17T08:13:00Z</dcterms:created>
  <dcterms:modified xsi:type="dcterms:W3CDTF">2022-01-17T08:13:00Z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