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A9E7" w14:textId="77777777" w:rsidR="00B903EB" w:rsidRDefault="00A05F4E">
      <w:pPr>
        <w:pStyle w:val="BodyText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29AA3C" wp14:editId="4E29AA3D">
            <wp:extent cx="1388092" cy="10652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092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9A9E8" w14:textId="77777777" w:rsidR="00B903EB" w:rsidRDefault="00B903EB">
      <w:pPr>
        <w:pStyle w:val="BodyText"/>
        <w:spacing w:before="9"/>
        <w:rPr>
          <w:rFonts w:ascii="Times New Roman"/>
          <w:sz w:val="25"/>
        </w:rPr>
      </w:pPr>
    </w:p>
    <w:p w14:paraId="4E29A9E9" w14:textId="77777777" w:rsidR="00B903EB" w:rsidRDefault="00A05F4E">
      <w:pPr>
        <w:spacing w:before="88"/>
        <w:ind w:left="100"/>
        <w:rPr>
          <w:b/>
          <w:sz w:val="40"/>
        </w:rPr>
      </w:pPr>
      <w:r>
        <w:rPr>
          <w:b/>
          <w:sz w:val="40"/>
        </w:rPr>
        <w:t>Approval to hold a stake in a financial sector company of more than 20% – No. 9 of 2021</w:t>
      </w:r>
    </w:p>
    <w:p w14:paraId="4E29A9EA" w14:textId="48283D9F" w:rsidR="00B903EB" w:rsidRDefault="00A05F4E">
      <w:pPr>
        <w:pBdr>
          <w:bottom w:val="single" w:sz="6" w:space="1" w:color="auto"/>
        </w:pBdr>
        <w:spacing w:before="358"/>
        <w:ind w:left="100"/>
        <w:rPr>
          <w:b/>
          <w:i/>
          <w:sz w:val="32"/>
        </w:rPr>
      </w:pPr>
      <w:r>
        <w:rPr>
          <w:b/>
          <w:i/>
          <w:sz w:val="32"/>
        </w:rPr>
        <w:t>Financial Sector (Shareholdings) Act 1998</w:t>
      </w:r>
    </w:p>
    <w:p w14:paraId="4E29A9EB" w14:textId="77777777" w:rsidR="00B903EB" w:rsidRDefault="00B903EB">
      <w:pPr>
        <w:pStyle w:val="BodyText"/>
        <w:spacing w:before="3"/>
        <w:rPr>
          <w:b/>
          <w:i/>
          <w:sz w:val="29"/>
        </w:rPr>
      </w:pPr>
    </w:p>
    <w:p w14:paraId="4E29A9EC" w14:textId="77777777" w:rsidR="00B903EB" w:rsidRDefault="00A05F4E">
      <w:pPr>
        <w:pStyle w:val="BodyText"/>
        <w:tabs>
          <w:tab w:val="left" w:pos="666"/>
        </w:tabs>
        <w:spacing w:line="477" w:lineRule="auto"/>
        <w:ind w:left="100" w:right="3573"/>
      </w:pPr>
      <w:r>
        <w:t>To:</w:t>
      </w:r>
      <w:r>
        <w:tab/>
        <w:t>The persons named in Schedule 1 ('the applicants') SINCE:</w:t>
      </w:r>
    </w:p>
    <w:p w14:paraId="4E29A9ED" w14:textId="77777777" w:rsidR="00B903EB" w:rsidRDefault="00A05F4E">
      <w:pPr>
        <w:pStyle w:val="ListParagraph"/>
        <w:numPr>
          <w:ilvl w:val="0"/>
          <w:numId w:val="3"/>
        </w:numPr>
        <w:tabs>
          <w:tab w:val="left" w:pos="461"/>
        </w:tabs>
        <w:spacing w:before="4"/>
        <w:ind w:right="113"/>
        <w:jc w:val="both"/>
      </w:pPr>
      <w:r>
        <w:t xml:space="preserve">It is proposed that </w:t>
      </w:r>
      <w:proofErr w:type="spellStart"/>
      <w:r>
        <w:t>Farmcove</w:t>
      </w:r>
      <w:proofErr w:type="spellEnd"/>
      <w:r>
        <w:t xml:space="preserve"> Investment Holdings Pty Ltd ACN 159 553 330 (as trustee for </w:t>
      </w:r>
      <w:proofErr w:type="spellStart"/>
      <w:r>
        <w:t>Farmcove</w:t>
      </w:r>
      <w:proofErr w:type="spellEnd"/>
      <w:r>
        <w:t xml:space="preserve"> Investment Trust III) (</w:t>
      </w:r>
      <w:proofErr w:type="spellStart"/>
      <w:r>
        <w:t>Farmcove</w:t>
      </w:r>
      <w:proofErr w:type="spellEnd"/>
      <w:r>
        <w:t>) will acquire the shares in St Andrew’s Australia Services Pty Ltd ABN 75 097 464 616 that holds 100% shares of St Andrew’s Li</w:t>
      </w:r>
      <w:r>
        <w:t>fe</w:t>
      </w:r>
      <w:r>
        <w:rPr>
          <w:spacing w:val="-10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Pty</w:t>
      </w:r>
      <w:r>
        <w:rPr>
          <w:spacing w:val="-8"/>
        </w:rPr>
        <w:t xml:space="preserve"> </w:t>
      </w:r>
      <w:r>
        <w:t>Ltd</w:t>
      </w:r>
      <w:r>
        <w:rPr>
          <w:spacing w:val="-6"/>
        </w:rPr>
        <w:t xml:space="preserve"> </w:t>
      </w:r>
      <w:r>
        <w:t>ABN</w:t>
      </w:r>
      <w:r>
        <w:rPr>
          <w:spacing w:val="-7"/>
        </w:rPr>
        <w:t xml:space="preserve"> </w:t>
      </w:r>
      <w:r>
        <w:t>98</w:t>
      </w:r>
      <w:r>
        <w:rPr>
          <w:spacing w:val="-7"/>
        </w:rPr>
        <w:t xml:space="preserve"> </w:t>
      </w:r>
      <w:r>
        <w:t>105</w:t>
      </w:r>
      <w:r>
        <w:rPr>
          <w:spacing w:val="-6"/>
        </w:rPr>
        <w:t xml:space="preserve"> </w:t>
      </w:r>
      <w:r>
        <w:t>176</w:t>
      </w:r>
      <w:r>
        <w:rPr>
          <w:spacing w:val="-6"/>
        </w:rPr>
        <w:t xml:space="preserve"> </w:t>
      </w:r>
      <w:r>
        <w:t>243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Andrew’s</w:t>
      </w:r>
      <w:r>
        <w:rPr>
          <w:spacing w:val="-6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(Australia)</w:t>
      </w:r>
      <w:r>
        <w:rPr>
          <w:spacing w:val="-6"/>
        </w:rPr>
        <w:t xml:space="preserve"> </w:t>
      </w:r>
      <w:r>
        <w:t>Pty</w:t>
      </w:r>
      <w:r>
        <w:rPr>
          <w:spacing w:val="-8"/>
        </w:rPr>
        <w:t xml:space="preserve"> </w:t>
      </w:r>
      <w:r>
        <w:t>Ltd ABN 89 075 044 656 (together the St Andrew’s</w:t>
      </w:r>
      <w:r>
        <w:rPr>
          <w:spacing w:val="-10"/>
        </w:rPr>
        <w:t xml:space="preserve"> </w:t>
      </w:r>
      <w:r>
        <w:t>group).</w:t>
      </w:r>
    </w:p>
    <w:p w14:paraId="4E29A9EE" w14:textId="77777777" w:rsidR="00B903EB" w:rsidRDefault="00B903EB">
      <w:pPr>
        <w:pStyle w:val="BodyText"/>
        <w:spacing w:before="11"/>
        <w:rPr>
          <w:sz w:val="23"/>
        </w:rPr>
      </w:pPr>
    </w:p>
    <w:p w14:paraId="4E29A9EF" w14:textId="77777777" w:rsidR="00B903EB" w:rsidRDefault="00A05F4E">
      <w:pPr>
        <w:pStyle w:val="ListParagraph"/>
        <w:numPr>
          <w:ilvl w:val="0"/>
          <w:numId w:val="3"/>
        </w:numPr>
        <w:tabs>
          <w:tab w:val="left" w:pos="461"/>
        </w:tabs>
        <w:ind w:hanging="361"/>
      </w:pPr>
      <w:r>
        <w:t>On 13 October</w:t>
      </w:r>
      <w:r>
        <w:rPr>
          <w:spacing w:val="-2"/>
        </w:rPr>
        <w:t xml:space="preserve"> </w:t>
      </w:r>
      <w:r>
        <w:t>2021:</w:t>
      </w:r>
    </w:p>
    <w:p w14:paraId="4E29A9F0" w14:textId="77777777" w:rsidR="00B903EB" w:rsidRDefault="00B903EB">
      <w:pPr>
        <w:pStyle w:val="BodyText"/>
      </w:pPr>
    </w:p>
    <w:p w14:paraId="4E29A9F1" w14:textId="77777777" w:rsidR="00B903EB" w:rsidRDefault="00A05F4E">
      <w:pPr>
        <w:pStyle w:val="ListParagraph"/>
        <w:numPr>
          <w:ilvl w:val="1"/>
          <w:numId w:val="3"/>
        </w:numPr>
        <w:tabs>
          <w:tab w:val="left" w:pos="953"/>
        </w:tabs>
        <w:ind w:right="112"/>
        <w:jc w:val="both"/>
      </w:pPr>
      <w:r>
        <w:t>the applicants listed in item 1 and 2 of Schedule 1 applied to the Treasurer under section 13(1</w:t>
      </w:r>
      <w:r>
        <w:t>) of the Act for approval to</w:t>
      </w:r>
      <w:r>
        <w:rPr>
          <w:spacing w:val="-5"/>
        </w:rPr>
        <w:t xml:space="preserve"> </w:t>
      </w:r>
      <w:r>
        <w:t>hold:</w:t>
      </w:r>
    </w:p>
    <w:p w14:paraId="4E29A9F2" w14:textId="77777777" w:rsidR="00B903EB" w:rsidRDefault="00B903EB">
      <w:pPr>
        <w:pStyle w:val="BodyText"/>
      </w:pPr>
    </w:p>
    <w:p w14:paraId="4E29A9F3" w14:textId="77777777" w:rsidR="00B903EB" w:rsidRDefault="00A05F4E">
      <w:pPr>
        <w:pStyle w:val="ListParagraph"/>
        <w:numPr>
          <w:ilvl w:val="2"/>
          <w:numId w:val="3"/>
        </w:numPr>
        <w:tabs>
          <w:tab w:val="left" w:pos="1377"/>
          <w:tab w:val="left" w:pos="1378"/>
        </w:tabs>
        <w:ind w:right="116"/>
      </w:pPr>
      <w:r>
        <w:t>an</w:t>
      </w:r>
      <w:r>
        <w:rPr>
          <w:spacing w:val="-9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stake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Farmcove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</w:t>
      </w:r>
      <w:r>
        <w:rPr>
          <w:spacing w:val="-7"/>
        </w:rPr>
        <w:t xml:space="preserve"> </w:t>
      </w:r>
      <w:r>
        <w:t>Andrew’s</w:t>
      </w:r>
      <w:r>
        <w:rPr>
          <w:spacing w:val="-8"/>
        </w:rPr>
        <w:t xml:space="preserve"> </w:t>
      </w:r>
      <w:r>
        <w:t>group,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financial sector company under the Act;</w:t>
      </w:r>
      <w:r>
        <w:rPr>
          <w:spacing w:val="-2"/>
        </w:rPr>
        <w:t xml:space="preserve"> </w:t>
      </w:r>
      <w:r>
        <w:t>and</w:t>
      </w:r>
    </w:p>
    <w:p w14:paraId="4E29A9F4" w14:textId="77777777" w:rsidR="00B903EB" w:rsidRDefault="00B903EB">
      <w:pPr>
        <w:pStyle w:val="BodyText"/>
        <w:spacing w:before="1"/>
        <w:rPr>
          <w:sz w:val="24"/>
        </w:rPr>
      </w:pPr>
    </w:p>
    <w:p w14:paraId="4E29A9F5" w14:textId="77777777" w:rsidR="00B903EB" w:rsidRDefault="00A05F4E">
      <w:pPr>
        <w:pStyle w:val="ListParagraph"/>
        <w:numPr>
          <w:ilvl w:val="2"/>
          <w:numId w:val="3"/>
        </w:numPr>
        <w:tabs>
          <w:tab w:val="left" w:pos="1377"/>
          <w:tab w:val="left" w:pos="1378"/>
        </w:tabs>
        <w:ind w:right="114" w:hanging="442"/>
      </w:pPr>
      <w:r>
        <w:t>a</w:t>
      </w:r>
      <w:r>
        <w:rPr>
          <w:spacing w:val="-5"/>
        </w:rPr>
        <w:t xml:space="preserve"> </w:t>
      </w:r>
      <w:r>
        <w:t>stake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Andrew’s</w:t>
      </w:r>
      <w:r>
        <w:rPr>
          <w:spacing w:val="-5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under the Act.</w:t>
      </w:r>
    </w:p>
    <w:p w14:paraId="4E29A9F6" w14:textId="77777777" w:rsidR="00B903EB" w:rsidRDefault="00B903EB">
      <w:pPr>
        <w:pStyle w:val="BodyText"/>
        <w:rPr>
          <w:sz w:val="24"/>
        </w:rPr>
      </w:pPr>
    </w:p>
    <w:p w14:paraId="4E29A9F7" w14:textId="77777777" w:rsidR="00B903EB" w:rsidRDefault="00A05F4E">
      <w:pPr>
        <w:pStyle w:val="ListParagraph"/>
        <w:numPr>
          <w:ilvl w:val="1"/>
          <w:numId w:val="3"/>
        </w:numPr>
        <w:tabs>
          <w:tab w:val="left" w:pos="953"/>
        </w:tabs>
        <w:ind w:right="116"/>
        <w:jc w:val="both"/>
      </w:pPr>
      <w:r>
        <w:t xml:space="preserve">the applicant listed in item 3 of Schedule 1 applied to the Treasurer under section 13(1) of the Act for approval to hold a stake of 100% in St Andrew’s Life Insurance Pty Ltd ABN 98 105 176 243 and St Andrew’s Insurance (Australia) Pty Ltd ABN 89 075 044 </w:t>
      </w:r>
      <w:r>
        <w:t>656, each a financial sector company under the</w:t>
      </w:r>
      <w:r>
        <w:rPr>
          <w:spacing w:val="-9"/>
        </w:rPr>
        <w:t xml:space="preserve"> </w:t>
      </w:r>
      <w:r>
        <w:t>Act.</w:t>
      </w:r>
    </w:p>
    <w:p w14:paraId="4E29A9F8" w14:textId="77777777" w:rsidR="00B903EB" w:rsidRDefault="00B903EB">
      <w:pPr>
        <w:pStyle w:val="BodyText"/>
        <w:spacing w:before="1"/>
        <w:rPr>
          <w:sz w:val="24"/>
        </w:rPr>
      </w:pPr>
    </w:p>
    <w:p w14:paraId="4E29A9F9" w14:textId="77777777" w:rsidR="00B903EB" w:rsidRDefault="00A05F4E">
      <w:pPr>
        <w:pStyle w:val="ListParagraph"/>
        <w:numPr>
          <w:ilvl w:val="0"/>
          <w:numId w:val="3"/>
        </w:numPr>
        <w:tabs>
          <w:tab w:val="left" w:pos="461"/>
        </w:tabs>
        <w:ind w:right="115"/>
        <w:jc w:val="both"/>
      </w:pPr>
      <w:r>
        <w:t>It is proposed that following the holding of the initial stake in the St Andrews group, the applicants listed in items 1 and 2 of Schedule 1 will undertake a</w:t>
      </w:r>
      <w:r>
        <w:rPr>
          <w:spacing w:val="-11"/>
        </w:rPr>
        <w:t xml:space="preserve"> </w:t>
      </w:r>
      <w:r>
        <w:t>divestment.</w:t>
      </w:r>
    </w:p>
    <w:p w14:paraId="4E29A9FA" w14:textId="77777777" w:rsidR="00B903EB" w:rsidRDefault="00B903EB">
      <w:pPr>
        <w:pStyle w:val="BodyText"/>
      </w:pPr>
    </w:p>
    <w:p w14:paraId="4E29A9FB" w14:textId="77777777" w:rsidR="00B903EB" w:rsidRDefault="00A05F4E">
      <w:pPr>
        <w:pStyle w:val="ListParagraph"/>
        <w:numPr>
          <w:ilvl w:val="0"/>
          <w:numId w:val="3"/>
        </w:numPr>
        <w:tabs>
          <w:tab w:val="left" w:pos="461"/>
        </w:tabs>
        <w:ind w:hanging="361"/>
      </w:pPr>
      <w:r>
        <w:t>I am satisfied it is in the nati</w:t>
      </w:r>
      <w:r>
        <w:t>onal interest to grant the</w:t>
      </w:r>
      <w:r>
        <w:rPr>
          <w:spacing w:val="-7"/>
        </w:rPr>
        <w:t xml:space="preserve"> </w:t>
      </w:r>
      <w:r>
        <w:t>approval.</w:t>
      </w:r>
    </w:p>
    <w:p w14:paraId="4E29A9FC" w14:textId="77777777" w:rsidR="00B903EB" w:rsidRDefault="00B903EB">
      <w:pPr>
        <w:pStyle w:val="BodyText"/>
        <w:spacing w:before="1"/>
      </w:pPr>
    </w:p>
    <w:p w14:paraId="4E29A9FD" w14:textId="77777777" w:rsidR="00B903EB" w:rsidRDefault="00A05F4E">
      <w:pPr>
        <w:pStyle w:val="BodyText"/>
        <w:ind w:left="100" w:right="112"/>
        <w:jc w:val="both"/>
      </w:pPr>
      <w:r>
        <w:t xml:space="preserve">I, Sharyn Reichstein, a delegate of the Treasurer, under section 14(1) of the Act, approve the applicants holding a stake in the St Andrew’s group in the manner specified in Schedule 2, subject to the condition imposed, under section 16(1) of the Act, set </w:t>
      </w:r>
      <w:r>
        <w:t>out in Schedule 3.</w:t>
      </w:r>
    </w:p>
    <w:p w14:paraId="4E29A9FE" w14:textId="77777777" w:rsidR="00B903EB" w:rsidRDefault="00B903EB">
      <w:pPr>
        <w:jc w:val="both"/>
        <w:sectPr w:rsidR="00B903EB">
          <w:footerReference w:type="default" r:id="rId13"/>
          <w:type w:val="continuous"/>
          <w:pgSz w:w="11910" w:h="16840"/>
          <w:pgMar w:top="940" w:right="1320" w:bottom="900" w:left="1340" w:header="720" w:footer="707" w:gutter="0"/>
          <w:pgNumType w:start="1"/>
          <w:cols w:space="720"/>
        </w:sectPr>
      </w:pPr>
    </w:p>
    <w:p w14:paraId="4E29A9FF" w14:textId="41A14B9F" w:rsidR="00B903EB" w:rsidRDefault="00A05F4E">
      <w:pPr>
        <w:pStyle w:val="BodyText"/>
        <w:spacing w:before="73" w:line="480" w:lineRule="auto"/>
        <w:ind w:left="100" w:right="1071"/>
      </w:pPr>
      <w:r>
        <w:lastRenderedPageBreak/>
        <w:t>This instrument commences on the day it is made and remains in force indefinitely. Dated: 19 October 2021</w:t>
      </w:r>
    </w:p>
    <w:p w14:paraId="63DEE52E" w14:textId="31976CCC" w:rsidR="00A05F4E" w:rsidRDefault="00A05F4E">
      <w:pPr>
        <w:pStyle w:val="BodyText"/>
        <w:spacing w:before="73" w:line="480" w:lineRule="auto"/>
        <w:ind w:left="100" w:right="1071"/>
      </w:pPr>
      <w:r>
        <w:t>[Signed]</w:t>
      </w:r>
    </w:p>
    <w:p w14:paraId="4E29AA00" w14:textId="77777777" w:rsidR="00B903EB" w:rsidRDefault="00B903EB">
      <w:pPr>
        <w:pStyle w:val="BodyText"/>
        <w:spacing w:before="6"/>
        <w:rPr>
          <w:sz w:val="25"/>
        </w:rPr>
      </w:pPr>
    </w:p>
    <w:p w14:paraId="10BCBA79" w14:textId="77777777" w:rsidR="00A05F4E" w:rsidRDefault="00A05F4E">
      <w:pPr>
        <w:pStyle w:val="BodyText"/>
        <w:ind w:left="100" w:right="6685"/>
      </w:pPr>
      <w:r>
        <w:t xml:space="preserve">Sharyn </w:t>
      </w:r>
      <w:r>
        <w:t xml:space="preserve">Reichstein </w:t>
      </w:r>
    </w:p>
    <w:p w14:paraId="4E29AA01" w14:textId="371A8DBF" w:rsidR="00B903EB" w:rsidRDefault="00A05F4E">
      <w:pPr>
        <w:pStyle w:val="BodyText"/>
        <w:ind w:left="100" w:right="6685"/>
      </w:pPr>
      <w:bookmarkStart w:id="0" w:name="_GoBack"/>
      <w:bookmarkEnd w:id="0"/>
      <w:r>
        <w:t>Acting Executive Director Insurance</w:t>
      </w:r>
      <w:r>
        <w:rPr>
          <w:spacing w:val="-3"/>
        </w:rPr>
        <w:t xml:space="preserve"> </w:t>
      </w:r>
      <w:r>
        <w:t>Division</w:t>
      </w:r>
    </w:p>
    <w:p w14:paraId="4E29AA02" w14:textId="77777777" w:rsidR="00B903EB" w:rsidRDefault="00B903EB">
      <w:pPr>
        <w:pStyle w:val="BodyText"/>
        <w:rPr>
          <w:sz w:val="24"/>
        </w:rPr>
      </w:pPr>
    </w:p>
    <w:p w14:paraId="4E29AA03" w14:textId="77777777" w:rsidR="00B903EB" w:rsidRDefault="00B903EB">
      <w:pPr>
        <w:pStyle w:val="BodyText"/>
        <w:rPr>
          <w:sz w:val="24"/>
        </w:rPr>
      </w:pPr>
    </w:p>
    <w:p w14:paraId="4E29AA04" w14:textId="77777777" w:rsidR="00B903EB" w:rsidRDefault="00B903EB">
      <w:pPr>
        <w:pStyle w:val="BodyText"/>
        <w:rPr>
          <w:sz w:val="24"/>
        </w:rPr>
      </w:pPr>
    </w:p>
    <w:p w14:paraId="4E29AA05" w14:textId="77777777" w:rsidR="00B903EB" w:rsidRDefault="00B903EB">
      <w:pPr>
        <w:pStyle w:val="BodyText"/>
        <w:rPr>
          <w:sz w:val="24"/>
        </w:rPr>
      </w:pPr>
    </w:p>
    <w:p w14:paraId="4E29AA06" w14:textId="77777777" w:rsidR="00B903EB" w:rsidRDefault="00B903EB">
      <w:pPr>
        <w:pStyle w:val="BodyText"/>
        <w:rPr>
          <w:sz w:val="24"/>
        </w:rPr>
      </w:pPr>
    </w:p>
    <w:p w14:paraId="4E29AA07" w14:textId="77777777" w:rsidR="00B903EB" w:rsidRDefault="00B903EB">
      <w:pPr>
        <w:pStyle w:val="BodyText"/>
        <w:rPr>
          <w:sz w:val="24"/>
        </w:rPr>
      </w:pPr>
    </w:p>
    <w:p w14:paraId="4E29AA08" w14:textId="77777777" w:rsidR="00B903EB" w:rsidRDefault="00A05F4E">
      <w:pPr>
        <w:pStyle w:val="Heading1"/>
      </w:pPr>
      <w:r>
        <w:t>Interpretation</w:t>
      </w:r>
    </w:p>
    <w:p w14:paraId="4E29AA09" w14:textId="77777777" w:rsidR="00B903EB" w:rsidRDefault="00B903EB">
      <w:pPr>
        <w:pStyle w:val="BodyText"/>
        <w:spacing w:before="9"/>
        <w:rPr>
          <w:b/>
          <w:sz w:val="21"/>
        </w:rPr>
      </w:pPr>
    </w:p>
    <w:p w14:paraId="4E29AA0A" w14:textId="77777777" w:rsidR="00B903EB" w:rsidRDefault="00A05F4E">
      <w:pPr>
        <w:spacing w:before="1"/>
        <w:ind w:left="10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4E29AA0B" w14:textId="77777777" w:rsidR="00B903EB" w:rsidRDefault="00A05F4E">
      <w:pPr>
        <w:pStyle w:val="BodyText"/>
        <w:spacing w:before="1" w:line="252" w:lineRule="exact"/>
        <w:ind w:left="10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4E29AA0C" w14:textId="77777777" w:rsidR="00B903EB" w:rsidRDefault="00A05F4E">
      <w:pPr>
        <w:spacing w:line="252" w:lineRule="exact"/>
        <w:ind w:left="100"/>
      </w:pPr>
      <w:r>
        <w:rPr>
          <w:b/>
          <w:i/>
        </w:rPr>
        <w:t xml:space="preserve">direct control interest </w:t>
      </w:r>
      <w:r>
        <w:t>has the meaning given in claus</w:t>
      </w:r>
      <w:r>
        <w:t>e 11 of Schedule 1 of the Act.</w:t>
      </w:r>
    </w:p>
    <w:p w14:paraId="4E29AA0D" w14:textId="77777777" w:rsidR="00B903EB" w:rsidRDefault="00A05F4E">
      <w:pPr>
        <w:spacing w:before="1" w:line="252" w:lineRule="exact"/>
        <w:ind w:left="10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4E29AA0E" w14:textId="77777777" w:rsidR="00B903EB" w:rsidRDefault="00A05F4E">
      <w:pPr>
        <w:pStyle w:val="BodyText"/>
        <w:spacing w:line="252" w:lineRule="exact"/>
        <w:ind w:left="10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4E29AA0F" w14:textId="77777777" w:rsidR="00B903EB" w:rsidRDefault="00B903EB">
      <w:pPr>
        <w:pStyle w:val="BodyText"/>
      </w:pPr>
    </w:p>
    <w:p w14:paraId="4E29AA10" w14:textId="77777777" w:rsidR="00B903EB" w:rsidRDefault="00A05F4E">
      <w:pPr>
        <w:ind w:left="100"/>
        <w:rPr>
          <w:b/>
          <w:sz w:val="18"/>
        </w:rPr>
      </w:pPr>
      <w:r>
        <w:rPr>
          <w:b/>
          <w:sz w:val="18"/>
        </w:rPr>
        <w:t>Notes</w:t>
      </w:r>
    </w:p>
    <w:p w14:paraId="4E29AA11" w14:textId="77777777" w:rsidR="00B903EB" w:rsidRDefault="00B903EB">
      <w:pPr>
        <w:pStyle w:val="BodyText"/>
        <w:spacing w:before="1"/>
        <w:rPr>
          <w:b/>
        </w:rPr>
      </w:pPr>
    </w:p>
    <w:p w14:paraId="4E29AA12" w14:textId="77777777" w:rsidR="00B903EB" w:rsidRDefault="00A05F4E">
      <w:pPr>
        <w:ind w:left="100" w:right="191"/>
        <w:rPr>
          <w:sz w:val="16"/>
        </w:rPr>
      </w:pPr>
      <w:r>
        <w:rPr>
          <w:i/>
          <w:sz w:val="16"/>
        </w:rPr>
        <w:t xml:space="preserve">Note: </w:t>
      </w:r>
      <w:r>
        <w:rPr>
          <w:sz w:val="16"/>
        </w:rPr>
        <w:t xml:space="preserve">A copy of this approval must be provided to the persons who applied for the approval and the financial sector companies concerned. A notice of this approval will be registered on the </w:t>
      </w:r>
      <w:r>
        <w:rPr>
          <w:i/>
          <w:sz w:val="16"/>
        </w:rPr>
        <w:t xml:space="preserve">Federal Register of Legislation </w:t>
      </w:r>
      <w:r>
        <w:rPr>
          <w:sz w:val="16"/>
        </w:rPr>
        <w:t>as a notifiable instrument.</w:t>
      </w:r>
    </w:p>
    <w:p w14:paraId="4E29AA13" w14:textId="77777777" w:rsidR="00B903EB" w:rsidRDefault="00B903EB">
      <w:pPr>
        <w:rPr>
          <w:sz w:val="16"/>
        </w:rPr>
        <w:sectPr w:rsidR="00B903EB">
          <w:pgSz w:w="11910" w:h="16840"/>
          <w:pgMar w:top="1080" w:right="1320" w:bottom="900" w:left="1340" w:header="0" w:footer="707" w:gutter="0"/>
          <w:cols w:space="720"/>
        </w:sectPr>
      </w:pPr>
    </w:p>
    <w:p w14:paraId="4E29AA14" w14:textId="77777777" w:rsidR="00B903EB" w:rsidRDefault="00A05F4E">
      <w:pPr>
        <w:pStyle w:val="Heading1"/>
        <w:spacing w:before="81"/>
      </w:pPr>
      <w:r>
        <w:lastRenderedPageBreak/>
        <w:t>Schedule 1 – the applicants:</w:t>
      </w:r>
    </w:p>
    <w:p w14:paraId="4E29AA15" w14:textId="77777777" w:rsidR="00B903EB" w:rsidRDefault="00A05F4E">
      <w:pPr>
        <w:pStyle w:val="ListParagraph"/>
        <w:numPr>
          <w:ilvl w:val="0"/>
          <w:numId w:val="2"/>
        </w:numPr>
        <w:tabs>
          <w:tab w:val="left" w:pos="821"/>
        </w:tabs>
        <w:spacing w:before="169"/>
        <w:ind w:hanging="361"/>
      </w:pPr>
      <w:r>
        <w:t>Matthew</w:t>
      </w:r>
      <w:r>
        <w:rPr>
          <w:spacing w:val="-3"/>
        </w:rPr>
        <w:t xml:space="preserve"> </w:t>
      </w:r>
      <w:r>
        <w:t>Lancaster;</w:t>
      </w:r>
    </w:p>
    <w:p w14:paraId="4E29AA16" w14:textId="77777777" w:rsidR="00B903EB" w:rsidRDefault="00B903EB">
      <w:pPr>
        <w:pStyle w:val="BodyText"/>
        <w:spacing w:before="1"/>
      </w:pPr>
    </w:p>
    <w:p w14:paraId="4E29AA17" w14:textId="77777777" w:rsidR="00B903EB" w:rsidRDefault="00A05F4E">
      <w:pPr>
        <w:pStyle w:val="ListParagraph"/>
        <w:numPr>
          <w:ilvl w:val="0"/>
          <w:numId w:val="2"/>
        </w:numPr>
        <w:tabs>
          <w:tab w:val="left" w:pos="821"/>
        </w:tabs>
        <w:ind w:right="449"/>
      </w:pPr>
      <w:proofErr w:type="spellStart"/>
      <w:r>
        <w:t>Farmcove</w:t>
      </w:r>
      <w:proofErr w:type="spellEnd"/>
      <w:r>
        <w:t xml:space="preserve"> Investment Holdings Pty Ltd ACN 159 553 330 as trustee for </w:t>
      </w:r>
      <w:proofErr w:type="spellStart"/>
      <w:r>
        <w:t>Farmcove</w:t>
      </w:r>
      <w:proofErr w:type="spellEnd"/>
      <w:r>
        <w:t xml:space="preserve"> Investment Trust III;</w:t>
      </w:r>
      <w:r>
        <w:rPr>
          <w:spacing w:val="-4"/>
        </w:rPr>
        <w:t xml:space="preserve"> </w:t>
      </w:r>
      <w:r>
        <w:t>and</w:t>
      </w:r>
    </w:p>
    <w:p w14:paraId="4E29AA18" w14:textId="77777777" w:rsidR="00B903EB" w:rsidRDefault="00B903EB">
      <w:pPr>
        <w:pStyle w:val="BodyText"/>
        <w:spacing w:before="11"/>
        <w:rPr>
          <w:sz w:val="21"/>
        </w:rPr>
      </w:pPr>
    </w:p>
    <w:p w14:paraId="4E29AA19" w14:textId="77777777" w:rsidR="00B903EB" w:rsidRDefault="00A05F4E">
      <w:pPr>
        <w:pStyle w:val="ListParagraph"/>
        <w:numPr>
          <w:ilvl w:val="0"/>
          <w:numId w:val="2"/>
        </w:numPr>
        <w:tabs>
          <w:tab w:val="left" w:pos="821"/>
        </w:tabs>
        <w:ind w:hanging="361"/>
      </w:pPr>
      <w:r>
        <w:t>St Andrew’s Australia Services Pty Ltd ABN 75 097 464</w:t>
      </w:r>
      <w:r>
        <w:rPr>
          <w:spacing w:val="-5"/>
        </w:rPr>
        <w:t xml:space="preserve"> </w:t>
      </w:r>
      <w:r>
        <w:t>616.</w:t>
      </w:r>
    </w:p>
    <w:p w14:paraId="4E29AA1A" w14:textId="77777777" w:rsidR="00B903EB" w:rsidRDefault="00B903EB">
      <w:pPr>
        <w:pStyle w:val="BodyText"/>
        <w:rPr>
          <w:sz w:val="21"/>
        </w:rPr>
      </w:pPr>
    </w:p>
    <w:p w14:paraId="4E29AA1B" w14:textId="77777777" w:rsidR="00B903EB" w:rsidRDefault="00A05F4E">
      <w:pPr>
        <w:pStyle w:val="Heading1"/>
      </w:pPr>
      <w:r>
        <w:t>Schedule 2 – the approval:</w:t>
      </w:r>
    </w:p>
    <w:p w14:paraId="4E29AA1C" w14:textId="77777777" w:rsidR="00B903EB" w:rsidRDefault="00A05F4E">
      <w:pPr>
        <w:pStyle w:val="ListParagraph"/>
        <w:numPr>
          <w:ilvl w:val="0"/>
          <w:numId w:val="1"/>
        </w:numPr>
        <w:tabs>
          <w:tab w:val="left" w:pos="821"/>
        </w:tabs>
        <w:spacing w:before="169"/>
        <w:ind w:hanging="361"/>
      </w:pPr>
      <w:r>
        <w:t>From approval commencement up to and including 30 November</w:t>
      </w:r>
      <w:r>
        <w:rPr>
          <w:spacing w:val="-7"/>
        </w:rPr>
        <w:t xml:space="preserve"> </w:t>
      </w:r>
      <w:r>
        <w:t>2021:</w:t>
      </w:r>
    </w:p>
    <w:p w14:paraId="4E29AA1D" w14:textId="77777777" w:rsidR="00B903EB" w:rsidRDefault="00B903EB">
      <w:pPr>
        <w:pStyle w:val="BodyText"/>
        <w:spacing w:after="1"/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1584"/>
      </w:tblGrid>
      <w:tr w:rsidR="00B903EB" w14:paraId="4E29AA20" w14:textId="77777777">
        <w:trPr>
          <w:trHeight w:val="374"/>
        </w:trPr>
        <w:tc>
          <w:tcPr>
            <w:tcW w:w="4213" w:type="dxa"/>
          </w:tcPr>
          <w:p w14:paraId="4E29AA1E" w14:textId="77777777" w:rsidR="00B903EB" w:rsidRDefault="00A05F4E">
            <w:pPr>
              <w:pStyle w:val="TableParagraph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1584" w:type="dxa"/>
          </w:tcPr>
          <w:p w14:paraId="4E29AA1F" w14:textId="77777777" w:rsidR="00B903EB" w:rsidRDefault="00A05F4E">
            <w:pPr>
              <w:pStyle w:val="TableParagraph"/>
              <w:rPr>
                <w:b/>
              </w:rPr>
            </w:pPr>
            <w:r>
              <w:rPr>
                <w:b/>
              </w:rPr>
              <w:t>Stake</w:t>
            </w:r>
          </w:p>
        </w:tc>
      </w:tr>
      <w:tr w:rsidR="00B903EB" w14:paraId="4E29AA23" w14:textId="77777777">
        <w:trPr>
          <w:trHeight w:val="371"/>
        </w:trPr>
        <w:tc>
          <w:tcPr>
            <w:tcW w:w="4213" w:type="dxa"/>
          </w:tcPr>
          <w:p w14:paraId="4E29AA21" w14:textId="77777777" w:rsidR="00B903EB" w:rsidRDefault="00A05F4E">
            <w:pPr>
              <w:pStyle w:val="TableParagraph"/>
            </w:pPr>
            <w:r>
              <w:t>Matthew Lancaster</w:t>
            </w:r>
          </w:p>
        </w:tc>
        <w:tc>
          <w:tcPr>
            <w:tcW w:w="1584" w:type="dxa"/>
          </w:tcPr>
          <w:p w14:paraId="4E29AA22" w14:textId="77777777" w:rsidR="00B903EB" w:rsidRDefault="00A05F4E">
            <w:pPr>
              <w:pStyle w:val="TableParagraph"/>
            </w:pPr>
            <w:r>
              <w:t>100%</w:t>
            </w:r>
          </w:p>
        </w:tc>
      </w:tr>
      <w:tr w:rsidR="00B903EB" w14:paraId="4E29AA26" w14:textId="77777777">
        <w:trPr>
          <w:trHeight w:val="880"/>
        </w:trPr>
        <w:tc>
          <w:tcPr>
            <w:tcW w:w="4213" w:type="dxa"/>
          </w:tcPr>
          <w:p w14:paraId="4E29AA24" w14:textId="77777777" w:rsidR="00B903EB" w:rsidRDefault="00A05F4E">
            <w:pPr>
              <w:pStyle w:val="TableParagraph"/>
              <w:ind w:right="297"/>
            </w:pPr>
            <w:proofErr w:type="spellStart"/>
            <w:r>
              <w:t>Farmcove</w:t>
            </w:r>
            <w:proofErr w:type="spellEnd"/>
            <w:r>
              <w:t xml:space="preserve"> Investment Holdings Pty Ltd ACN 159 553 330 as trustee for </w:t>
            </w:r>
            <w:proofErr w:type="spellStart"/>
            <w:r>
              <w:t>Farmcove</w:t>
            </w:r>
            <w:proofErr w:type="spellEnd"/>
            <w:r>
              <w:t xml:space="preserve"> Investment Trust III</w:t>
            </w:r>
          </w:p>
        </w:tc>
        <w:tc>
          <w:tcPr>
            <w:tcW w:w="1584" w:type="dxa"/>
          </w:tcPr>
          <w:p w14:paraId="4E29AA25" w14:textId="77777777" w:rsidR="00B903EB" w:rsidRDefault="00A05F4E">
            <w:pPr>
              <w:pStyle w:val="TableParagraph"/>
            </w:pPr>
            <w:r>
              <w:t>100%</w:t>
            </w:r>
          </w:p>
        </w:tc>
      </w:tr>
      <w:tr w:rsidR="00B903EB" w14:paraId="4E29AA29" w14:textId="77777777">
        <w:trPr>
          <w:trHeight w:val="626"/>
        </w:trPr>
        <w:tc>
          <w:tcPr>
            <w:tcW w:w="4213" w:type="dxa"/>
          </w:tcPr>
          <w:p w14:paraId="4E29AA27" w14:textId="77777777" w:rsidR="00B903EB" w:rsidRDefault="00A05F4E">
            <w:pPr>
              <w:pStyle w:val="TableParagraph"/>
              <w:ind w:right="334"/>
            </w:pPr>
            <w:r>
              <w:t>St Andrew’s Australia Services Pty Ltd ABN 75 097 464 616</w:t>
            </w:r>
          </w:p>
        </w:tc>
        <w:tc>
          <w:tcPr>
            <w:tcW w:w="1584" w:type="dxa"/>
          </w:tcPr>
          <w:p w14:paraId="4E29AA28" w14:textId="77777777" w:rsidR="00B903EB" w:rsidRDefault="00A05F4E">
            <w:pPr>
              <w:pStyle w:val="TableParagraph"/>
            </w:pPr>
            <w:r>
              <w:t>100%</w:t>
            </w:r>
          </w:p>
        </w:tc>
      </w:tr>
    </w:tbl>
    <w:p w14:paraId="4E29AA2A" w14:textId="77777777" w:rsidR="00B903EB" w:rsidRDefault="00B903EB">
      <w:pPr>
        <w:pStyle w:val="BodyText"/>
        <w:spacing w:before="10"/>
        <w:rPr>
          <w:sz w:val="21"/>
        </w:rPr>
      </w:pPr>
    </w:p>
    <w:p w14:paraId="4E29AA2B" w14:textId="77777777" w:rsidR="00B903EB" w:rsidRDefault="00A05F4E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After 30 November 2021:</w:t>
      </w:r>
    </w:p>
    <w:p w14:paraId="4E29AA2C" w14:textId="77777777" w:rsidR="00B903EB" w:rsidRDefault="00B903EB">
      <w:pPr>
        <w:pStyle w:val="BodyText"/>
        <w:spacing w:after="1"/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1584"/>
      </w:tblGrid>
      <w:tr w:rsidR="00B903EB" w14:paraId="4E29AA2F" w14:textId="77777777">
        <w:trPr>
          <w:trHeight w:val="373"/>
        </w:trPr>
        <w:tc>
          <w:tcPr>
            <w:tcW w:w="4213" w:type="dxa"/>
          </w:tcPr>
          <w:p w14:paraId="4E29AA2D" w14:textId="77777777" w:rsidR="00B903EB" w:rsidRDefault="00A05F4E">
            <w:pPr>
              <w:pStyle w:val="TableParagraph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1584" w:type="dxa"/>
          </w:tcPr>
          <w:p w14:paraId="4E29AA2E" w14:textId="77777777" w:rsidR="00B903EB" w:rsidRDefault="00A05F4E">
            <w:pPr>
              <w:pStyle w:val="TableParagraph"/>
              <w:rPr>
                <w:b/>
              </w:rPr>
            </w:pPr>
            <w:r>
              <w:rPr>
                <w:b/>
              </w:rPr>
              <w:t>Stake</w:t>
            </w:r>
          </w:p>
        </w:tc>
      </w:tr>
      <w:tr w:rsidR="00B903EB" w14:paraId="4E29AA32" w14:textId="77777777">
        <w:trPr>
          <w:trHeight w:val="371"/>
        </w:trPr>
        <w:tc>
          <w:tcPr>
            <w:tcW w:w="4213" w:type="dxa"/>
          </w:tcPr>
          <w:p w14:paraId="4E29AA30" w14:textId="77777777" w:rsidR="00B903EB" w:rsidRDefault="00A05F4E">
            <w:pPr>
              <w:pStyle w:val="TableParagraph"/>
            </w:pPr>
            <w:r>
              <w:t>Matthew Lancaster</w:t>
            </w:r>
          </w:p>
        </w:tc>
        <w:tc>
          <w:tcPr>
            <w:tcW w:w="1584" w:type="dxa"/>
          </w:tcPr>
          <w:p w14:paraId="4E29AA31" w14:textId="77777777" w:rsidR="00B903EB" w:rsidRDefault="00A05F4E">
            <w:pPr>
              <w:pStyle w:val="TableParagraph"/>
            </w:pPr>
            <w:r>
              <w:t>50%</w:t>
            </w:r>
          </w:p>
        </w:tc>
      </w:tr>
      <w:tr w:rsidR="00B903EB" w14:paraId="4E29AA35" w14:textId="77777777">
        <w:trPr>
          <w:trHeight w:val="880"/>
        </w:trPr>
        <w:tc>
          <w:tcPr>
            <w:tcW w:w="4213" w:type="dxa"/>
          </w:tcPr>
          <w:p w14:paraId="4E29AA33" w14:textId="77777777" w:rsidR="00B903EB" w:rsidRDefault="00A05F4E">
            <w:pPr>
              <w:pStyle w:val="TableParagraph"/>
              <w:ind w:right="297"/>
            </w:pPr>
            <w:proofErr w:type="spellStart"/>
            <w:r>
              <w:t>Farmcove</w:t>
            </w:r>
            <w:proofErr w:type="spellEnd"/>
            <w:r>
              <w:t xml:space="preserve"> Investment Holdings Pty Ltd ACN 159 553 330 as trustee for </w:t>
            </w:r>
            <w:proofErr w:type="spellStart"/>
            <w:r>
              <w:t>Farmcove</w:t>
            </w:r>
            <w:proofErr w:type="spellEnd"/>
            <w:r>
              <w:t xml:space="preserve"> Investment Trust III</w:t>
            </w:r>
          </w:p>
        </w:tc>
        <w:tc>
          <w:tcPr>
            <w:tcW w:w="1584" w:type="dxa"/>
          </w:tcPr>
          <w:p w14:paraId="4E29AA34" w14:textId="77777777" w:rsidR="00B903EB" w:rsidRDefault="00A05F4E">
            <w:pPr>
              <w:pStyle w:val="TableParagraph"/>
            </w:pPr>
            <w:r>
              <w:t>50%</w:t>
            </w:r>
          </w:p>
        </w:tc>
      </w:tr>
      <w:tr w:rsidR="00B903EB" w14:paraId="4E29AA38" w14:textId="77777777">
        <w:trPr>
          <w:trHeight w:val="626"/>
        </w:trPr>
        <w:tc>
          <w:tcPr>
            <w:tcW w:w="4213" w:type="dxa"/>
          </w:tcPr>
          <w:p w14:paraId="4E29AA36" w14:textId="77777777" w:rsidR="00B903EB" w:rsidRDefault="00A05F4E">
            <w:pPr>
              <w:pStyle w:val="TableParagraph"/>
              <w:ind w:right="334"/>
            </w:pPr>
            <w:r>
              <w:t>St Andrew’s Australia Services Pty Ltd ABN 75 097 464 616</w:t>
            </w:r>
          </w:p>
        </w:tc>
        <w:tc>
          <w:tcPr>
            <w:tcW w:w="1584" w:type="dxa"/>
          </w:tcPr>
          <w:p w14:paraId="4E29AA37" w14:textId="77777777" w:rsidR="00B903EB" w:rsidRDefault="00A05F4E">
            <w:pPr>
              <w:pStyle w:val="TableParagraph"/>
            </w:pPr>
            <w:r>
              <w:t>100%</w:t>
            </w:r>
          </w:p>
        </w:tc>
      </w:tr>
    </w:tbl>
    <w:p w14:paraId="4E29AA39" w14:textId="77777777" w:rsidR="00B903EB" w:rsidRDefault="00B903EB">
      <w:pPr>
        <w:pStyle w:val="BodyText"/>
        <w:spacing w:before="10"/>
        <w:rPr>
          <w:sz w:val="20"/>
        </w:rPr>
      </w:pPr>
    </w:p>
    <w:p w14:paraId="4E29AA3A" w14:textId="77777777" w:rsidR="00B903EB" w:rsidRDefault="00A05F4E">
      <w:pPr>
        <w:pStyle w:val="Heading1"/>
      </w:pPr>
      <w:r>
        <w:t>Schedule 3 – the condition imposed on the approval</w:t>
      </w:r>
    </w:p>
    <w:p w14:paraId="4E29AA3B" w14:textId="77777777" w:rsidR="00B903EB" w:rsidRDefault="00A05F4E">
      <w:pPr>
        <w:pStyle w:val="BodyText"/>
        <w:spacing w:before="169"/>
        <w:ind w:left="882" w:right="116" w:hanging="360"/>
        <w:jc w:val="both"/>
      </w:pPr>
      <w:r>
        <w:t>1. The applicants listed in items 1 and 2 of Schedule 1 approved to hold a stake of 50% after 30 November 2021 must not hold a direct contro</w:t>
      </w:r>
      <w:r>
        <w:t>l interest in the St Andrew’s group of more than 40%.</w:t>
      </w:r>
    </w:p>
    <w:sectPr w:rsidR="00B903EB">
      <w:pgSz w:w="11910" w:h="16840"/>
      <w:pgMar w:top="820" w:right="1320" w:bottom="900" w:left="134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AA46" w14:textId="77777777" w:rsidR="00000000" w:rsidRDefault="00A05F4E">
      <w:r>
        <w:separator/>
      </w:r>
    </w:p>
  </w:endnote>
  <w:endnote w:type="continuationSeparator" w:id="0">
    <w:p w14:paraId="4E29AA48" w14:textId="77777777" w:rsidR="00000000" w:rsidRDefault="00A0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AA41" w14:textId="77777777" w:rsidR="00B903EB" w:rsidRDefault="00A05F4E">
    <w:pPr>
      <w:pStyle w:val="BodyText"/>
      <w:spacing w:line="14" w:lineRule="auto"/>
      <w:rPr>
        <w:sz w:val="20"/>
      </w:rPr>
    </w:pPr>
    <w:r>
      <w:pict w14:anchorId="4E29AA4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35pt;margin-top:795.55pt;width:48.2pt;height:12.1pt;z-index:-251658752;mso-position-horizontal-relative:page;mso-position-vertical-relative:page" filled="f" stroked="f">
          <v:textbox inset="0,0,0,0">
            <w:txbxContent>
              <w:p w14:paraId="4E29AA43" w14:textId="77777777" w:rsidR="00B903EB" w:rsidRDefault="00A05F4E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AA42" w14:textId="77777777" w:rsidR="00000000" w:rsidRDefault="00A05F4E">
      <w:r>
        <w:separator/>
      </w:r>
    </w:p>
  </w:footnote>
  <w:footnote w:type="continuationSeparator" w:id="0">
    <w:p w14:paraId="4E29AA44" w14:textId="77777777" w:rsidR="00000000" w:rsidRDefault="00A0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3E66"/>
    <w:multiLevelType w:val="hybridMultilevel"/>
    <w:tmpl w:val="430C9162"/>
    <w:lvl w:ilvl="0" w:tplc="E20A4E9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7222DB96">
      <w:numFmt w:val="bullet"/>
      <w:lvlText w:val="•"/>
      <w:lvlJc w:val="left"/>
      <w:pPr>
        <w:ind w:left="1662" w:hanging="360"/>
      </w:pPr>
      <w:rPr>
        <w:rFonts w:hint="default"/>
        <w:lang w:val="en-AU" w:eastAsia="en-AU" w:bidi="en-AU"/>
      </w:rPr>
    </w:lvl>
    <w:lvl w:ilvl="2" w:tplc="9F40DFC0">
      <w:numFmt w:val="bullet"/>
      <w:lvlText w:val="•"/>
      <w:lvlJc w:val="left"/>
      <w:pPr>
        <w:ind w:left="2505" w:hanging="360"/>
      </w:pPr>
      <w:rPr>
        <w:rFonts w:hint="default"/>
        <w:lang w:val="en-AU" w:eastAsia="en-AU" w:bidi="en-AU"/>
      </w:rPr>
    </w:lvl>
    <w:lvl w:ilvl="3" w:tplc="5E00B6C6">
      <w:numFmt w:val="bullet"/>
      <w:lvlText w:val="•"/>
      <w:lvlJc w:val="left"/>
      <w:pPr>
        <w:ind w:left="3347" w:hanging="360"/>
      </w:pPr>
      <w:rPr>
        <w:rFonts w:hint="default"/>
        <w:lang w:val="en-AU" w:eastAsia="en-AU" w:bidi="en-AU"/>
      </w:rPr>
    </w:lvl>
    <w:lvl w:ilvl="4" w:tplc="63E4A1F0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5" w:tplc="15C2F09A">
      <w:numFmt w:val="bullet"/>
      <w:lvlText w:val="•"/>
      <w:lvlJc w:val="left"/>
      <w:pPr>
        <w:ind w:left="5033" w:hanging="360"/>
      </w:pPr>
      <w:rPr>
        <w:rFonts w:hint="default"/>
        <w:lang w:val="en-AU" w:eastAsia="en-AU" w:bidi="en-AU"/>
      </w:rPr>
    </w:lvl>
    <w:lvl w:ilvl="6" w:tplc="F00C954E">
      <w:numFmt w:val="bullet"/>
      <w:lvlText w:val="•"/>
      <w:lvlJc w:val="left"/>
      <w:pPr>
        <w:ind w:left="5875" w:hanging="360"/>
      </w:pPr>
      <w:rPr>
        <w:rFonts w:hint="default"/>
        <w:lang w:val="en-AU" w:eastAsia="en-AU" w:bidi="en-AU"/>
      </w:rPr>
    </w:lvl>
    <w:lvl w:ilvl="7" w:tplc="80C46900">
      <w:numFmt w:val="bullet"/>
      <w:lvlText w:val="•"/>
      <w:lvlJc w:val="left"/>
      <w:pPr>
        <w:ind w:left="6718" w:hanging="360"/>
      </w:pPr>
      <w:rPr>
        <w:rFonts w:hint="default"/>
        <w:lang w:val="en-AU" w:eastAsia="en-AU" w:bidi="en-AU"/>
      </w:rPr>
    </w:lvl>
    <w:lvl w:ilvl="8" w:tplc="A990734E">
      <w:numFmt w:val="bullet"/>
      <w:lvlText w:val="•"/>
      <w:lvlJc w:val="left"/>
      <w:pPr>
        <w:ind w:left="7561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6EE059A9"/>
    <w:multiLevelType w:val="hybridMultilevel"/>
    <w:tmpl w:val="E6B2F7B0"/>
    <w:lvl w:ilvl="0" w:tplc="D33AF750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7554A418">
      <w:start w:val="1"/>
      <w:numFmt w:val="lowerLetter"/>
      <w:lvlText w:val="%2."/>
      <w:lvlJc w:val="left"/>
      <w:pPr>
        <w:ind w:left="952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2" w:tplc="A3E079C6">
      <w:start w:val="1"/>
      <w:numFmt w:val="lowerRoman"/>
      <w:lvlText w:val="%3."/>
      <w:lvlJc w:val="left"/>
      <w:pPr>
        <w:ind w:left="1377" w:hanging="39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AU" w:eastAsia="en-AU" w:bidi="en-AU"/>
      </w:rPr>
    </w:lvl>
    <w:lvl w:ilvl="3" w:tplc="05281274">
      <w:numFmt w:val="bullet"/>
      <w:lvlText w:val="•"/>
      <w:lvlJc w:val="left"/>
      <w:pPr>
        <w:ind w:left="2363" w:hanging="394"/>
      </w:pPr>
      <w:rPr>
        <w:rFonts w:hint="default"/>
        <w:lang w:val="en-AU" w:eastAsia="en-AU" w:bidi="en-AU"/>
      </w:rPr>
    </w:lvl>
    <w:lvl w:ilvl="4" w:tplc="690EA6F0">
      <w:numFmt w:val="bullet"/>
      <w:lvlText w:val="•"/>
      <w:lvlJc w:val="left"/>
      <w:pPr>
        <w:ind w:left="3346" w:hanging="394"/>
      </w:pPr>
      <w:rPr>
        <w:rFonts w:hint="default"/>
        <w:lang w:val="en-AU" w:eastAsia="en-AU" w:bidi="en-AU"/>
      </w:rPr>
    </w:lvl>
    <w:lvl w:ilvl="5" w:tplc="B5EE00FA">
      <w:numFmt w:val="bullet"/>
      <w:lvlText w:val="•"/>
      <w:lvlJc w:val="left"/>
      <w:pPr>
        <w:ind w:left="4329" w:hanging="394"/>
      </w:pPr>
      <w:rPr>
        <w:rFonts w:hint="default"/>
        <w:lang w:val="en-AU" w:eastAsia="en-AU" w:bidi="en-AU"/>
      </w:rPr>
    </w:lvl>
    <w:lvl w:ilvl="6" w:tplc="D9A4E3CC">
      <w:numFmt w:val="bullet"/>
      <w:lvlText w:val="•"/>
      <w:lvlJc w:val="left"/>
      <w:pPr>
        <w:ind w:left="5313" w:hanging="394"/>
      </w:pPr>
      <w:rPr>
        <w:rFonts w:hint="default"/>
        <w:lang w:val="en-AU" w:eastAsia="en-AU" w:bidi="en-AU"/>
      </w:rPr>
    </w:lvl>
    <w:lvl w:ilvl="7" w:tplc="AF468A26">
      <w:numFmt w:val="bullet"/>
      <w:lvlText w:val="•"/>
      <w:lvlJc w:val="left"/>
      <w:pPr>
        <w:ind w:left="6296" w:hanging="394"/>
      </w:pPr>
      <w:rPr>
        <w:rFonts w:hint="default"/>
        <w:lang w:val="en-AU" w:eastAsia="en-AU" w:bidi="en-AU"/>
      </w:rPr>
    </w:lvl>
    <w:lvl w:ilvl="8" w:tplc="501EEEB8">
      <w:numFmt w:val="bullet"/>
      <w:lvlText w:val="•"/>
      <w:lvlJc w:val="left"/>
      <w:pPr>
        <w:ind w:left="7279" w:hanging="394"/>
      </w:pPr>
      <w:rPr>
        <w:rFonts w:hint="default"/>
        <w:lang w:val="en-AU" w:eastAsia="en-AU" w:bidi="en-AU"/>
      </w:rPr>
    </w:lvl>
  </w:abstractNum>
  <w:abstractNum w:abstractNumId="2" w15:restartNumberingAfterBreak="0">
    <w:nsid w:val="703606C9"/>
    <w:multiLevelType w:val="hybridMultilevel"/>
    <w:tmpl w:val="016E14F8"/>
    <w:lvl w:ilvl="0" w:tplc="B1A8032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63A64E86">
      <w:numFmt w:val="bullet"/>
      <w:lvlText w:val="•"/>
      <w:lvlJc w:val="left"/>
      <w:pPr>
        <w:ind w:left="1662" w:hanging="360"/>
      </w:pPr>
      <w:rPr>
        <w:rFonts w:hint="default"/>
        <w:lang w:val="en-AU" w:eastAsia="en-AU" w:bidi="en-AU"/>
      </w:rPr>
    </w:lvl>
    <w:lvl w:ilvl="2" w:tplc="F8E898F6">
      <w:numFmt w:val="bullet"/>
      <w:lvlText w:val="•"/>
      <w:lvlJc w:val="left"/>
      <w:pPr>
        <w:ind w:left="2505" w:hanging="360"/>
      </w:pPr>
      <w:rPr>
        <w:rFonts w:hint="default"/>
        <w:lang w:val="en-AU" w:eastAsia="en-AU" w:bidi="en-AU"/>
      </w:rPr>
    </w:lvl>
    <w:lvl w:ilvl="3" w:tplc="C20CCA2A">
      <w:numFmt w:val="bullet"/>
      <w:lvlText w:val="•"/>
      <w:lvlJc w:val="left"/>
      <w:pPr>
        <w:ind w:left="3347" w:hanging="360"/>
      </w:pPr>
      <w:rPr>
        <w:rFonts w:hint="default"/>
        <w:lang w:val="en-AU" w:eastAsia="en-AU" w:bidi="en-AU"/>
      </w:rPr>
    </w:lvl>
    <w:lvl w:ilvl="4" w:tplc="53345F6A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5" w:tplc="C34607F2">
      <w:numFmt w:val="bullet"/>
      <w:lvlText w:val="•"/>
      <w:lvlJc w:val="left"/>
      <w:pPr>
        <w:ind w:left="5033" w:hanging="360"/>
      </w:pPr>
      <w:rPr>
        <w:rFonts w:hint="default"/>
        <w:lang w:val="en-AU" w:eastAsia="en-AU" w:bidi="en-AU"/>
      </w:rPr>
    </w:lvl>
    <w:lvl w:ilvl="6" w:tplc="118C9B92">
      <w:numFmt w:val="bullet"/>
      <w:lvlText w:val="•"/>
      <w:lvlJc w:val="left"/>
      <w:pPr>
        <w:ind w:left="5875" w:hanging="360"/>
      </w:pPr>
      <w:rPr>
        <w:rFonts w:hint="default"/>
        <w:lang w:val="en-AU" w:eastAsia="en-AU" w:bidi="en-AU"/>
      </w:rPr>
    </w:lvl>
    <w:lvl w:ilvl="7" w:tplc="9E2C6FCA">
      <w:numFmt w:val="bullet"/>
      <w:lvlText w:val="•"/>
      <w:lvlJc w:val="left"/>
      <w:pPr>
        <w:ind w:left="6718" w:hanging="360"/>
      </w:pPr>
      <w:rPr>
        <w:rFonts w:hint="default"/>
        <w:lang w:val="en-AU" w:eastAsia="en-AU" w:bidi="en-AU"/>
      </w:rPr>
    </w:lvl>
    <w:lvl w:ilvl="8" w:tplc="291C91C6">
      <w:numFmt w:val="bullet"/>
      <w:lvlText w:val="•"/>
      <w:lvlJc w:val="left"/>
      <w:pPr>
        <w:ind w:left="7561" w:hanging="360"/>
      </w:pPr>
      <w:rPr>
        <w:rFonts w:hint="default"/>
        <w:lang w:val="en-AU" w:eastAsia="en-AU" w:bidi="en-A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EB"/>
    <w:rsid w:val="00A05F4E"/>
    <w:rsid w:val="00B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9A9E7"/>
  <w15:docId w15:val="{5709495D-158F-4B9A-A8B3-E0BABA9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b37d8d7e823543f58f89056343a9035c xmlns="814d62cb-2db6-4c25-ab62-b9075facbc11">
      <Terms xmlns="http://schemas.microsoft.com/office/infopath/2007/PartnerControls"/>
    </b37d8d7e823543f58f89056343a9035c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_dlc_DocId xmlns="814d62cb-2db6-4c25-ab62-b9075facbc11">5JENXJJSCC7A-445999044-11570</_dlc_DocId>
    <TaxCatchAll xmlns="814d62cb-2db6-4c25-ab62-b9075facbc11">
      <Value>24</Value>
      <Value>83</Value>
      <Value>134</Value>
      <Value>26</Value>
      <Value>109</Value>
      <Value>93</Value>
      <Value>58</Value>
      <Value>230</Value>
      <Value>4</Value>
      <Value>19</Value>
    </TaxCatchAll>
    <_dlc_DocIdUrl xmlns="814d62cb-2db6-4c25-ab62-b9075facbc11">
      <Url>https://im/teams/LEGAL/_layouts/15/DocIdRedir.aspx?ID=5JENXJJSCC7A-445999044-11570</Url>
      <Description>5JENXJJSCC7A-445999044-11570</Description>
    </_dlc_DocIdUr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Approval to hold a stake in a financial sector company of more than 20% – No. 9 of 2021</APRADescription>
    <APRAActivityID xmlns="814d62cb-2db6-4c25-ab62-b9075facbc11" xsi:nil="true"/>
    <APRADocScanCheck xmlns="814d62cb-2db6-4c25-ab62-b9075facbc11">false</APRADocScanCheck>
  </documentManagement>
</p:properties>
</file>

<file path=customXml/itemProps1.xml><?xml version="1.0" encoding="utf-8"?>
<ds:datastoreItem xmlns:ds="http://schemas.openxmlformats.org/officeDocument/2006/customXml" ds:itemID="{78752D6B-68E3-4169-89EB-C0AB2E263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6305A-524A-4198-8A9A-E2AE5D72A4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FDFE61-B612-490A-AE65-901C374BD9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051CA8D-0F55-46B4-AC1B-0C72CD0A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C11F86-EFDE-47CA-BBDB-048199E3C65D}">
  <ds:schemaRefs>
    <ds:schemaRef ds:uri="814d62cb-2db6-4c25-ab62-b9075facbc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2961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Andrews Insurance  - FSSA - 191021</dc:title>
  <cp:keywords> [SEC=OFFICIAL]</cp:keywords>
  <cp:lastModifiedBy>Michalis, Toni</cp:lastModifiedBy>
  <cp:revision>2</cp:revision>
  <dcterms:created xsi:type="dcterms:W3CDTF">2021-10-20T01:14:00Z</dcterms:created>
  <dcterms:modified xsi:type="dcterms:W3CDTF">2021-10-20T01:15:00Z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2021-10-20T00:00:00Z</vt:filetime>
  </property>
  <property fmtid="{D5CDD505-2E9C-101B-9397-08002B2CF9AE}" pid="4" name="APRAPeriod">
    <vt:lpwstr/>
  </property>
  <property fmtid="{D5CDD505-2E9C-101B-9397-08002B2CF9AE}" pid="5" name="APRACostCentre">
    <vt:lpwstr>24;#Legal - ADI|652d8d2a-ab45-47b4-ac6e-fe6ac9299b39;#83;#Legal - Insurance: Life|56f18b50-6605-4f3f-97e3-cad1cb5394e0;#93;#Legal - Insurance: Health|21611e62-d688-4f0d-8807-02701cc43699;#26;#Legal - Insurance: General|8229dc1a-d7f2-47b2-844a-b026fed0c13d;#134;#Legal - Superannuation|cce3181d-fd23-4eee-94d3-c66abc2350cf;#4;#Legal - Resolution ＆ Corporate|696624b1-19f4-47b2-a07b-57868a922a96</vt:lpwstr>
  </property>
  <property fmtid="{D5CDD505-2E9C-101B-9397-08002B2CF9AE}" pid="6" name="APRALegislation">
    <vt:lpwstr/>
  </property>
  <property fmtid="{D5CDD505-2E9C-101B-9397-08002B2CF9AE}" pid="7" name="APRAYear">
    <vt:lpwstr>230;#2021|0e1e43df-81ea-47af-89d8-970d5d5956ff</vt:lpwstr>
  </property>
  <property fmtid="{D5CDD505-2E9C-101B-9397-08002B2CF9AE}" pid="8" name="APRAIndustry">
    <vt:lpwstr/>
  </property>
  <property fmtid="{D5CDD505-2E9C-101B-9397-08002B2CF9AE}" pid="9" name="ContentTypeId">
    <vt:lpwstr>0x0101008CA7A4F8331B45C7B0D3158B4994D0CA0200577EC0F5A1FBFC498F9A8436B963F8A6</vt:lpwstr>
  </property>
  <property fmtid="{D5CDD505-2E9C-101B-9397-08002B2CF9AE}" pid="10" name="_dlc_DocIdItemGuid">
    <vt:lpwstr>d796b17d-d0f7-48a2-9ee4-a99ebf91b84d</vt:lpwstr>
  </property>
  <property fmtid="{D5CDD505-2E9C-101B-9397-08002B2CF9AE}" pid="11" name="APRAPRSG">
    <vt:lpwstr/>
  </property>
  <property fmtid="{D5CDD505-2E9C-101B-9397-08002B2CF9AE}" pid="12" name="IsLocked">
    <vt:lpwstr>False</vt:lpwstr>
  </property>
  <property fmtid="{D5CDD505-2E9C-101B-9397-08002B2CF9AE}" pid="13" name="APRAStatus">
    <vt:lpwstr>19;#Final|84d6b2d0-8498-4d62-bf46-bab38babbe9e</vt:lpwstr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Caveats_Count">
    <vt:lpwstr>0</vt:lpwstr>
  </property>
  <property fmtid="{D5CDD505-2E9C-101B-9397-08002B2CF9AE}" pid="16" name="PM_DisplayValueSecClassificationWithQualifier">
    <vt:lpwstr>OFFICIAL</vt:lpwstr>
  </property>
  <property fmtid="{D5CDD505-2E9C-101B-9397-08002B2CF9AE}" pid="17" name="PM_Qualifier">
    <vt:lpwstr/>
  </property>
  <property fmtid="{D5CDD505-2E9C-101B-9397-08002B2CF9AE}" pid="18" name="PM_SecurityClassification">
    <vt:lpwstr>OFFICIAL</vt:lpwstr>
  </property>
  <property fmtid="{D5CDD505-2E9C-101B-9397-08002B2CF9AE}" pid="19" name="PM_InsertionValue">
    <vt:lpwstr>OFFICIAL</vt:lpwstr>
  </property>
  <property fmtid="{D5CDD505-2E9C-101B-9397-08002B2CF9AE}" pid="20" name="PM_Originating_FileId">
    <vt:lpwstr>24FD1E16A49D4A109E36B086D0FD1CD1</vt:lpwstr>
  </property>
  <property fmtid="{D5CDD505-2E9C-101B-9397-08002B2CF9AE}" pid="21" name="PM_ProtectiveMarkingValue_Footer">
    <vt:lpwstr>OFFICIAL</vt:lpwstr>
  </property>
  <property fmtid="{D5CDD505-2E9C-101B-9397-08002B2CF9AE}" pid="22" name="PM_Originator_Hash_SHA1">
    <vt:lpwstr>C3AD57350F36D8E1BD75F8F67CB06D435C9C43CA</vt:lpwstr>
  </property>
  <property fmtid="{D5CDD505-2E9C-101B-9397-08002B2CF9AE}" pid="23" name="PM_OriginationTimeStamp">
    <vt:lpwstr>2021-10-20T01:15:49Z</vt:lpwstr>
  </property>
  <property fmtid="{D5CDD505-2E9C-101B-9397-08002B2CF9AE}" pid="24" name="PM_ProtectiveMarkingValue_Header">
    <vt:lpwstr>OFFICIAL</vt:lpwstr>
  </property>
  <property fmtid="{D5CDD505-2E9C-101B-9397-08002B2CF9AE}" pid="25" name="PM_ProtectiveMarkingImage_Footer">
    <vt:lpwstr>C:\Program Files\Common Files\janusNET Shared\janusSEAL\Images\DocumentSlashBlue.png</vt:lpwstr>
  </property>
  <property fmtid="{D5CDD505-2E9C-101B-9397-08002B2CF9AE}" pid="26" name="PM_Namespace">
    <vt:lpwstr>gov.au</vt:lpwstr>
  </property>
  <property fmtid="{D5CDD505-2E9C-101B-9397-08002B2CF9AE}" pid="27" name="PM_Version">
    <vt:lpwstr>2018.3</vt:lpwstr>
  </property>
  <property fmtid="{D5CDD505-2E9C-101B-9397-08002B2CF9AE}" pid="28" name="PM_Note">
    <vt:lpwstr/>
  </property>
  <property fmtid="{D5CDD505-2E9C-101B-9397-08002B2CF9AE}" pid="29" name="PM_Markers">
    <vt:lpwstr/>
  </property>
  <property fmtid="{D5CDD505-2E9C-101B-9397-08002B2CF9AE}" pid="30" name="PM_Hash_Version">
    <vt:lpwstr>2018.0</vt:lpwstr>
  </property>
  <property fmtid="{D5CDD505-2E9C-101B-9397-08002B2CF9AE}" pid="31" name="PM_Hash_Salt_Prev">
    <vt:lpwstr>4D061654B1C62AC876A8005FD614A6E8</vt:lpwstr>
  </property>
  <property fmtid="{D5CDD505-2E9C-101B-9397-08002B2CF9AE}" pid="32" name="PM_Hash_Salt">
    <vt:lpwstr>F7177FD90EA940E1AC8DB6171DA8AED3</vt:lpwstr>
  </property>
  <property fmtid="{D5CDD505-2E9C-101B-9397-08002B2CF9AE}" pid="33" name="PM_Hash_SHA1">
    <vt:lpwstr>F11AF55F24AEACB1B247F137518BD2750DAA323E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IT system type">
    <vt:lpwstr/>
  </property>
  <property fmtid="{D5CDD505-2E9C-101B-9397-08002B2CF9AE}" pid="37" name="APRACategory">
    <vt:lpwstr/>
  </property>
  <property fmtid="{D5CDD505-2E9C-101B-9397-08002B2CF9AE}" pid="38" name="APRADocumentType">
    <vt:lpwstr>58;#Legal instrument|71fd6ed3-d6d6-4975-ba99-bfe45802e734</vt:lpwstr>
  </property>
  <property fmtid="{D5CDD505-2E9C-101B-9397-08002B2CF9AE}" pid="39" name="APRAActivity">
    <vt:lpwstr>109;#Statutory instrument|fe68928c-5a9c-4caf-bc8c-6c18cedcb17f</vt:lpwstr>
  </property>
  <property fmtid="{D5CDD505-2E9C-101B-9397-08002B2CF9AE}" pid="40" name="APRAEntityAdviceSupport">
    <vt:lpwstr/>
  </property>
  <property fmtid="{D5CDD505-2E9C-101B-9397-08002B2CF9AE}" pid="41" name="APRAExternalOrganisation">
    <vt:lpwstr/>
  </property>
  <property fmtid="{D5CDD505-2E9C-101B-9397-08002B2CF9AE}" pid="42" name="APRAIRTR">
    <vt:lpwstr/>
  </property>
  <property fmtid="{D5CDD505-2E9C-101B-9397-08002B2CF9AE}" pid="43" name="RecordPoint_WorkflowType">
    <vt:lpwstr>ActiveSubmitStub</vt:lpwstr>
  </property>
  <property fmtid="{D5CDD505-2E9C-101B-9397-08002B2CF9AE}" pid="44" name="RecordPoint_ActiveItemSiteId">
    <vt:lpwstr>{88691c01-5bbb-4215-adc0-66cb7065b0af}</vt:lpwstr>
  </property>
  <property fmtid="{D5CDD505-2E9C-101B-9397-08002B2CF9AE}" pid="45" name="RecordPoint_ActiveItemListId">
    <vt:lpwstr>{0e59e171-09d8-4401-800a-327154450cb3}</vt:lpwstr>
  </property>
  <property fmtid="{D5CDD505-2E9C-101B-9397-08002B2CF9AE}" pid="46" name="RecordPoint_ActiveItemUniqueId">
    <vt:lpwstr>{d796b17d-d0f7-48a2-9ee4-a99ebf91b84d}</vt:lpwstr>
  </property>
  <property fmtid="{D5CDD505-2E9C-101B-9397-08002B2CF9AE}" pid="47" name="RecordPoint_ActiveItemWebId">
    <vt:lpwstr>{75a71c27-8d66-4282-ae60-1bfc22a83be1}</vt:lpwstr>
  </property>
</Properties>
</file>