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28068" w14:textId="5E4FB3DF" w:rsidR="00B36247" w:rsidRPr="005222E7" w:rsidRDefault="00BE6075" w:rsidP="00B36247">
      <w:pPr>
        <w:jc w:val="right"/>
      </w:pPr>
      <w:r w:rsidRPr="005222E7">
        <w:t>Health ref. no.</w:t>
      </w:r>
      <w:r w:rsidR="00A3784A" w:rsidRPr="005222E7">
        <w:t>815</w:t>
      </w:r>
    </w:p>
    <w:p w14:paraId="7A84BCE4" w14:textId="77777777" w:rsidR="00B36247" w:rsidRPr="005222E7" w:rsidRDefault="00B36247" w:rsidP="00B36247">
      <w:pPr>
        <w:jc w:val="center"/>
      </w:pPr>
    </w:p>
    <w:p w14:paraId="514F6FFD" w14:textId="77777777" w:rsidR="00B36247" w:rsidRPr="005222E7" w:rsidRDefault="00B36247" w:rsidP="00B36247">
      <w:pPr>
        <w:jc w:val="center"/>
      </w:pPr>
    </w:p>
    <w:p w14:paraId="6F880BCF" w14:textId="77777777" w:rsidR="00B36247" w:rsidRPr="005222E7" w:rsidRDefault="00B36247" w:rsidP="00B36247">
      <w:pPr>
        <w:spacing w:after="120"/>
        <w:jc w:val="center"/>
        <w:rPr>
          <w:b/>
        </w:rPr>
      </w:pPr>
      <w:r w:rsidRPr="005222E7">
        <w:rPr>
          <w:b/>
        </w:rPr>
        <w:t>AUSTRALIAN GOVERNMENT</w:t>
      </w:r>
    </w:p>
    <w:p w14:paraId="5139E84D" w14:textId="77777777" w:rsidR="00B36247" w:rsidRPr="005222E7" w:rsidRDefault="00B36247" w:rsidP="00B36247">
      <w:pPr>
        <w:spacing w:after="120"/>
        <w:jc w:val="center"/>
        <w:rPr>
          <w:b/>
          <w:i/>
        </w:rPr>
      </w:pPr>
      <w:r w:rsidRPr="005222E7">
        <w:rPr>
          <w:b/>
          <w:i/>
        </w:rPr>
        <w:t>HEALTH INSURANCE ACT 1973</w:t>
      </w:r>
    </w:p>
    <w:p w14:paraId="3591C597" w14:textId="77777777" w:rsidR="00B36247" w:rsidRPr="005222E7" w:rsidRDefault="00905961" w:rsidP="00B36247">
      <w:pPr>
        <w:jc w:val="center"/>
        <w:rPr>
          <w:b/>
        </w:rPr>
      </w:pPr>
      <w:r w:rsidRPr="005222E7">
        <w:rPr>
          <w:b/>
        </w:rPr>
        <w:t>Health Insurance (Eligible persons</w:t>
      </w:r>
      <w:r w:rsidR="00803EFB" w:rsidRPr="005222E7">
        <w:rPr>
          <w:b/>
        </w:rPr>
        <w:t xml:space="preserve"> -</w:t>
      </w:r>
      <w:r w:rsidRPr="005222E7">
        <w:rPr>
          <w:b/>
        </w:rPr>
        <w:t xml:space="preserve"> holders of Humanitarian Stay (Temporary) </w:t>
      </w:r>
      <w:r w:rsidR="007E3630" w:rsidRPr="005222E7">
        <w:rPr>
          <w:b/>
        </w:rPr>
        <w:t>V</w:t>
      </w:r>
      <w:r w:rsidRPr="005222E7">
        <w:rPr>
          <w:b/>
        </w:rPr>
        <w:t>isa</w:t>
      </w:r>
      <w:r w:rsidR="007E3630" w:rsidRPr="005222E7">
        <w:rPr>
          <w:b/>
        </w:rPr>
        <w:t xml:space="preserve"> (Subclass 449</w:t>
      </w:r>
      <w:r w:rsidRPr="005222E7">
        <w:rPr>
          <w:b/>
        </w:rPr>
        <w:t>)</w:t>
      </w:r>
      <w:r w:rsidR="007E3630" w:rsidRPr="005222E7">
        <w:rPr>
          <w:b/>
        </w:rPr>
        <w:t>)</w:t>
      </w:r>
      <w:r w:rsidRPr="005222E7">
        <w:rPr>
          <w:b/>
        </w:rPr>
        <w:t xml:space="preserve"> Order 20</w:t>
      </w:r>
      <w:r w:rsidR="007E3630" w:rsidRPr="005222E7">
        <w:rPr>
          <w:b/>
        </w:rPr>
        <w:t>21</w:t>
      </w:r>
    </w:p>
    <w:p w14:paraId="3455EFBF" w14:textId="77777777" w:rsidR="00B36247" w:rsidRPr="005222E7" w:rsidRDefault="00B36247" w:rsidP="00B36247">
      <w:pPr>
        <w:jc w:val="center"/>
        <w:rPr>
          <w:b/>
        </w:rPr>
      </w:pPr>
    </w:p>
    <w:p w14:paraId="5FDB4D93" w14:textId="77777777" w:rsidR="00667A60" w:rsidRPr="005222E7" w:rsidRDefault="00667A60">
      <w:pPr>
        <w:jc w:val="center"/>
      </w:pPr>
    </w:p>
    <w:p w14:paraId="4283AA72" w14:textId="77777777" w:rsidR="00667A60" w:rsidRPr="005222E7" w:rsidRDefault="00667A60"/>
    <w:p w14:paraId="502EAC75" w14:textId="77777777" w:rsidR="00667A60" w:rsidRPr="005222E7" w:rsidRDefault="008250A2">
      <w:r w:rsidRPr="005222E7">
        <w:t xml:space="preserve">I, </w:t>
      </w:r>
      <w:r w:rsidR="00C01247" w:rsidRPr="005222E7">
        <w:t>TRAVIS HASLAM</w:t>
      </w:r>
      <w:r w:rsidR="00D370BE" w:rsidRPr="005222E7">
        <w:t xml:space="preserve">, </w:t>
      </w:r>
      <w:r w:rsidR="00C01247" w:rsidRPr="005222E7">
        <w:t xml:space="preserve">Acting First Assistant Secretary, Medical Benefits Division, Health Resourcing Group, delegate for the </w:t>
      </w:r>
      <w:r w:rsidR="00D370BE" w:rsidRPr="005222E7">
        <w:t>Minister for Health</w:t>
      </w:r>
      <w:r w:rsidR="007E3630" w:rsidRPr="005222E7">
        <w:t xml:space="preserve"> and Aged Care</w:t>
      </w:r>
      <w:r w:rsidR="007A519A" w:rsidRPr="005222E7">
        <w:t>, pursuant to</w:t>
      </w:r>
      <w:r w:rsidR="00B36247" w:rsidRPr="005222E7">
        <w:t xml:space="preserve"> subsection 6</w:t>
      </w:r>
      <w:r w:rsidR="00667A60" w:rsidRPr="005222E7">
        <w:t xml:space="preserve">(1) of the </w:t>
      </w:r>
      <w:r w:rsidR="00667A60" w:rsidRPr="005222E7">
        <w:rPr>
          <w:i/>
        </w:rPr>
        <w:t>Health Insurance Act 1973</w:t>
      </w:r>
      <w:r w:rsidR="00667A60" w:rsidRPr="005222E7">
        <w:t xml:space="preserve"> (the Act) hereby</w:t>
      </w:r>
      <w:r w:rsidR="00B36247" w:rsidRPr="005222E7">
        <w:t xml:space="preserve"> DECLARE that: </w:t>
      </w:r>
    </w:p>
    <w:p w14:paraId="299AE490" w14:textId="77777777" w:rsidR="00667A60" w:rsidRPr="005222E7" w:rsidRDefault="00667A60"/>
    <w:p w14:paraId="363F3CE8" w14:textId="77777777" w:rsidR="008B1A82" w:rsidRPr="005222E7" w:rsidRDefault="00B36247" w:rsidP="008B1A82">
      <w:pPr>
        <w:pStyle w:val="ListParagraph"/>
        <w:numPr>
          <w:ilvl w:val="0"/>
          <w:numId w:val="3"/>
        </w:numPr>
        <w:ind w:left="567" w:hanging="567"/>
      </w:pPr>
      <w:r w:rsidRPr="005222E7">
        <w:t>E</w:t>
      </w:r>
      <w:r w:rsidR="00667A60" w:rsidRPr="005222E7">
        <w:t>very person included in the specified class of persons</w:t>
      </w:r>
      <w:r w:rsidR="006B1303" w:rsidRPr="005222E7">
        <w:t xml:space="preserve"> to whom clause (2) applies, being a person who, but for this Order, would not be an eligible person for the purposes of the Act shall, during any period in which the person is in Australia, be treated as being an eligible person for the purposes of the Act. </w:t>
      </w:r>
    </w:p>
    <w:p w14:paraId="33106CE5" w14:textId="77777777" w:rsidR="006B1303" w:rsidRPr="005222E7" w:rsidRDefault="006B1303" w:rsidP="006B1303">
      <w:pPr>
        <w:pStyle w:val="ListParagraph"/>
        <w:ind w:left="567"/>
      </w:pPr>
    </w:p>
    <w:p w14:paraId="182E5427" w14:textId="77777777" w:rsidR="008B1A82" w:rsidRPr="005222E7" w:rsidRDefault="006B1303" w:rsidP="00124B55">
      <w:pPr>
        <w:pStyle w:val="ListParagraph"/>
        <w:numPr>
          <w:ilvl w:val="0"/>
          <w:numId w:val="3"/>
        </w:numPr>
        <w:ind w:left="567" w:hanging="567"/>
      </w:pPr>
      <w:r w:rsidRPr="005222E7">
        <w:t>This clause applies to a person who:</w:t>
      </w:r>
    </w:p>
    <w:p w14:paraId="445F102B" w14:textId="25D81056" w:rsidR="007E3630" w:rsidRPr="005222E7" w:rsidRDefault="00BC55DB" w:rsidP="00AE4A7B">
      <w:pPr>
        <w:pStyle w:val="BodyText"/>
        <w:widowControl w:val="0"/>
        <w:numPr>
          <w:ilvl w:val="0"/>
          <w:numId w:val="6"/>
        </w:numPr>
        <w:tabs>
          <w:tab w:val="left" w:pos="1514"/>
        </w:tabs>
        <w:spacing w:before="120" w:after="0"/>
        <w:ind w:left="1281" w:hanging="714"/>
      </w:pPr>
      <w:r w:rsidRPr="005222E7">
        <w:t>is t</w:t>
      </w:r>
      <w:r w:rsidR="008B1A82" w:rsidRPr="005222E7">
        <w:t>he</w:t>
      </w:r>
      <w:r w:rsidR="008B1A82" w:rsidRPr="005222E7">
        <w:rPr>
          <w:spacing w:val="-3"/>
        </w:rPr>
        <w:t xml:space="preserve"> </w:t>
      </w:r>
      <w:r w:rsidR="008B1A82" w:rsidRPr="005222E7">
        <w:t>holder</w:t>
      </w:r>
      <w:r w:rsidR="008B1A82" w:rsidRPr="005222E7">
        <w:rPr>
          <w:spacing w:val="6"/>
        </w:rPr>
        <w:t xml:space="preserve"> </w:t>
      </w:r>
      <w:r w:rsidR="008B1A82" w:rsidRPr="005222E7">
        <w:t>of</w:t>
      </w:r>
      <w:r w:rsidR="008B1A82" w:rsidRPr="005222E7">
        <w:rPr>
          <w:spacing w:val="-1"/>
        </w:rPr>
        <w:t xml:space="preserve"> </w:t>
      </w:r>
      <w:r w:rsidR="008B1A82" w:rsidRPr="005222E7">
        <w:t>a</w:t>
      </w:r>
      <w:r w:rsidR="008B1A82" w:rsidRPr="005222E7">
        <w:rPr>
          <w:spacing w:val="-15"/>
        </w:rPr>
        <w:t xml:space="preserve"> </w:t>
      </w:r>
      <w:r w:rsidR="008B1A82" w:rsidRPr="005222E7">
        <w:t>Humanitarian</w:t>
      </w:r>
      <w:r w:rsidR="008B1A82" w:rsidRPr="005222E7">
        <w:rPr>
          <w:spacing w:val="28"/>
        </w:rPr>
        <w:t xml:space="preserve"> </w:t>
      </w:r>
      <w:r w:rsidR="008B1A82" w:rsidRPr="005222E7">
        <w:t>Stay</w:t>
      </w:r>
      <w:r w:rsidR="008B1A82" w:rsidRPr="005222E7">
        <w:rPr>
          <w:spacing w:val="-8"/>
        </w:rPr>
        <w:t xml:space="preserve"> </w:t>
      </w:r>
      <w:r w:rsidR="008B1A82" w:rsidRPr="005222E7">
        <w:t>(Temporary)</w:t>
      </w:r>
      <w:r w:rsidR="008B1A82" w:rsidRPr="005222E7">
        <w:rPr>
          <w:w w:val="102"/>
        </w:rPr>
        <w:t xml:space="preserve"> </w:t>
      </w:r>
      <w:r w:rsidR="008B1A82" w:rsidRPr="005222E7">
        <w:t>visa</w:t>
      </w:r>
      <w:r w:rsidR="008B1A82" w:rsidRPr="005222E7">
        <w:rPr>
          <w:spacing w:val="11"/>
        </w:rPr>
        <w:t xml:space="preserve"> </w:t>
      </w:r>
      <w:r w:rsidR="008B1A82" w:rsidRPr="005222E7">
        <w:t>(Subclass</w:t>
      </w:r>
      <w:r w:rsidR="008B1A82" w:rsidRPr="005222E7">
        <w:rPr>
          <w:spacing w:val="11"/>
        </w:rPr>
        <w:t xml:space="preserve"> </w:t>
      </w:r>
      <w:r w:rsidR="008B1A82" w:rsidRPr="005222E7">
        <w:t>449)</w:t>
      </w:r>
      <w:r w:rsidR="007E3630" w:rsidRPr="005222E7">
        <w:t xml:space="preserve"> that was </w:t>
      </w:r>
      <w:r w:rsidR="00191931" w:rsidRPr="005222E7">
        <w:t xml:space="preserve">granted </w:t>
      </w:r>
      <w:r w:rsidR="007E3630" w:rsidRPr="005222E7">
        <w:t>on or after 19 August 2021</w:t>
      </w:r>
      <w:r w:rsidR="009D163D" w:rsidRPr="005222E7">
        <w:t xml:space="preserve"> </w:t>
      </w:r>
      <w:r w:rsidR="00A60CDF" w:rsidRPr="005222E7">
        <w:t>and the circumstances in which, or reasons why, the visa holder or other member of the family unit met the primary criteria for the visa relate directly or indirectly to the deteriorating security situation in Afghanistan</w:t>
      </w:r>
      <w:r w:rsidR="0058205E" w:rsidRPr="005222E7">
        <w:t>;</w:t>
      </w:r>
      <w:r w:rsidR="00A60CDF" w:rsidRPr="005222E7">
        <w:t xml:space="preserve"> </w:t>
      </w:r>
      <w:r w:rsidR="007E3630" w:rsidRPr="005222E7">
        <w:t>or</w:t>
      </w:r>
    </w:p>
    <w:p w14:paraId="0DFC1DB6" w14:textId="77777777" w:rsidR="007E3630" w:rsidRPr="005222E7" w:rsidRDefault="007E3630" w:rsidP="007E3630">
      <w:pPr>
        <w:pStyle w:val="BodyText"/>
        <w:widowControl w:val="0"/>
        <w:numPr>
          <w:ilvl w:val="0"/>
          <w:numId w:val="6"/>
        </w:numPr>
        <w:tabs>
          <w:tab w:val="left" w:pos="1514"/>
        </w:tabs>
        <w:spacing w:before="120" w:after="0"/>
        <w:ind w:left="1281" w:hanging="714"/>
      </w:pPr>
      <w:r w:rsidRPr="005222E7">
        <w:t>the child of a person mentioned in subclause (1)(a) and who:</w:t>
      </w:r>
    </w:p>
    <w:p w14:paraId="1C0C8BA9" w14:textId="77777777" w:rsidR="007E3630" w:rsidRPr="005222E7" w:rsidRDefault="007E3630" w:rsidP="00C75BAB">
      <w:pPr>
        <w:pStyle w:val="BodyText"/>
        <w:widowControl w:val="0"/>
        <w:numPr>
          <w:ilvl w:val="1"/>
          <w:numId w:val="6"/>
        </w:numPr>
        <w:tabs>
          <w:tab w:val="left" w:pos="1843"/>
        </w:tabs>
        <w:spacing w:before="120" w:after="0"/>
        <w:ind w:hanging="573"/>
      </w:pPr>
      <w:r w:rsidRPr="005222E7">
        <w:t>was born in Australia; and</w:t>
      </w:r>
    </w:p>
    <w:p w14:paraId="2856A33E" w14:textId="77777777" w:rsidR="006B1303" w:rsidRPr="005222E7" w:rsidRDefault="007E3630" w:rsidP="00C75BAB">
      <w:pPr>
        <w:pStyle w:val="BodyText"/>
        <w:widowControl w:val="0"/>
        <w:numPr>
          <w:ilvl w:val="1"/>
          <w:numId w:val="6"/>
        </w:numPr>
        <w:tabs>
          <w:tab w:val="left" w:pos="1514"/>
        </w:tabs>
        <w:spacing w:before="120" w:after="0"/>
        <w:ind w:hanging="573"/>
      </w:pPr>
      <w:r w:rsidRPr="005222E7">
        <w:t>is taken to have been granted a Humanitarian</w:t>
      </w:r>
      <w:r w:rsidRPr="005222E7">
        <w:rPr>
          <w:spacing w:val="28"/>
        </w:rPr>
        <w:t xml:space="preserve"> </w:t>
      </w:r>
      <w:r w:rsidRPr="005222E7">
        <w:t>Stay</w:t>
      </w:r>
      <w:r w:rsidRPr="005222E7">
        <w:rPr>
          <w:spacing w:val="-8"/>
        </w:rPr>
        <w:t xml:space="preserve"> </w:t>
      </w:r>
      <w:r w:rsidRPr="005222E7">
        <w:t>(Temporary)</w:t>
      </w:r>
      <w:r w:rsidRPr="005222E7">
        <w:rPr>
          <w:w w:val="102"/>
        </w:rPr>
        <w:t xml:space="preserve"> </w:t>
      </w:r>
      <w:r w:rsidRPr="005222E7">
        <w:t>visa</w:t>
      </w:r>
      <w:r w:rsidRPr="005222E7">
        <w:rPr>
          <w:spacing w:val="11"/>
        </w:rPr>
        <w:t xml:space="preserve"> </w:t>
      </w:r>
      <w:r w:rsidRPr="005222E7">
        <w:t>(Subclass</w:t>
      </w:r>
      <w:r w:rsidRPr="005222E7">
        <w:rPr>
          <w:spacing w:val="11"/>
        </w:rPr>
        <w:t xml:space="preserve"> </w:t>
      </w:r>
      <w:r w:rsidRPr="005222E7">
        <w:t xml:space="preserve">449) because of section 78 of the </w:t>
      </w:r>
      <w:r w:rsidRPr="005222E7">
        <w:rPr>
          <w:i/>
          <w:iCs/>
        </w:rPr>
        <w:t>Migration Act 1958</w:t>
      </w:r>
      <w:r w:rsidR="006B1303" w:rsidRPr="005222E7">
        <w:t xml:space="preserve">. </w:t>
      </w:r>
    </w:p>
    <w:p w14:paraId="1EC15AFD" w14:textId="4457DFE3" w:rsidR="008B1A82" w:rsidRPr="005222E7" w:rsidRDefault="006B1303" w:rsidP="006B1303">
      <w:pPr>
        <w:pStyle w:val="BodyText"/>
        <w:widowControl w:val="0"/>
        <w:numPr>
          <w:ilvl w:val="0"/>
          <w:numId w:val="3"/>
        </w:numPr>
        <w:tabs>
          <w:tab w:val="left" w:pos="1514"/>
        </w:tabs>
        <w:spacing w:before="120" w:after="0"/>
        <w:ind w:left="567" w:hanging="567"/>
      </w:pPr>
      <w:r w:rsidRPr="005222E7">
        <w:t xml:space="preserve">However, clause (2) does not apply to a person who is </w:t>
      </w:r>
      <w:r w:rsidR="00A521BD" w:rsidRPr="005222E7">
        <w:t xml:space="preserve">an </w:t>
      </w:r>
      <w:r w:rsidRPr="005222E7">
        <w:rPr>
          <w:i/>
          <w:iCs/>
        </w:rPr>
        <w:t>unauthorised maritime arrival</w:t>
      </w:r>
      <w:r w:rsidRPr="005222E7">
        <w:t xml:space="preserve"> or who was not </w:t>
      </w:r>
      <w:r w:rsidRPr="005222E7">
        <w:rPr>
          <w:i/>
          <w:iCs/>
        </w:rPr>
        <w:t>immigration cleared</w:t>
      </w:r>
      <w:r w:rsidR="00A521BD" w:rsidRPr="005222E7">
        <w:t xml:space="preserve"> </w:t>
      </w:r>
      <w:r w:rsidRPr="005222E7">
        <w:t>on their last entry to Australia</w:t>
      </w:r>
      <w:r w:rsidR="00A521BD" w:rsidRPr="005222E7">
        <w:t xml:space="preserve">, as those terms are defined in the </w:t>
      </w:r>
      <w:r w:rsidR="00A521BD" w:rsidRPr="005222E7">
        <w:rPr>
          <w:i/>
          <w:iCs/>
        </w:rPr>
        <w:t>Migration Act 1958</w:t>
      </w:r>
      <w:r w:rsidRPr="005222E7">
        <w:t xml:space="preserve">. </w:t>
      </w:r>
    </w:p>
    <w:p w14:paraId="7ACC711A" w14:textId="77777777" w:rsidR="008B1A82" w:rsidRPr="005222E7" w:rsidRDefault="008B1A82" w:rsidP="008B1A82">
      <w:pPr>
        <w:pStyle w:val="ListParagraph"/>
        <w:ind w:left="567"/>
      </w:pPr>
    </w:p>
    <w:p w14:paraId="101BE071" w14:textId="0AB51B32" w:rsidR="00667A60" w:rsidRPr="005222E7" w:rsidRDefault="00B10910" w:rsidP="008B1A82">
      <w:pPr>
        <w:pStyle w:val="ListParagraph"/>
        <w:numPr>
          <w:ilvl w:val="0"/>
          <w:numId w:val="3"/>
        </w:numPr>
        <w:ind w:left="567" w:hanging="567"/>
      </w:pPr>
      <w:r w:rsidRPr="005222E7">
        <w:t>T</w:t>
      </w:r>
      <w:r w:rsidR="00667A60" w:rsidRPr="005222E7">
        <w:t>his Order shall</w:t>
      </w:r>
      <w:r w:rsidR="004610D6" w:rsidRPr="005222E7">
        <w:t xml:space="preserve"> </w:t>
      </w:r>
      <w:r w:rsidR="00CF49D2" w:rsidRPr="005222E7">
        <w:t xml:space="preserve">be taken to have commenced on </w:t>
      </w:r>
      <w:r w:rsidR="009D163D" w:rsidRPr="005222E7">
        <w:t>19 August 2021</w:t>
      </w:r>
    </w:p>
    <w:p w14:paraId="187E1B68" w14:textId="77777777" w:rsidR="00667A60" w:rsidRPr="005222E7" w:rsidRDefault="00667A60"/>
    <w:p w14:paraId="38EE1BC8" w14:textId="77777777" w:rsidR="00667A60" w:rsidRPr="005222E7" w:rsidRDefault="00667A60"/>
    <w:p w14:paraId="21AC8792" w14:textId="1E85FE04" w:rsidR="00C60531" w:rsidRPr="005222E7" w:rsidRDefault="004610D6" w:rsidP="00C60531">
      <w:r w:rsidRPr="005222E7">
        <w:t>Dated this</w:t>
      </w:r>
      <w:r w:rsidR="007E3630" w:rsidRPr="005222E7">
        <w:tab/>
      </w:r>
      <w:r w:rsidR="007E3630" w:rsidRPr="005222E7">
        <w:tab/>
      </w:r>
      <w:r w:rsidR="005222E7" w:rsidRPr="005222E7">
        <w:t>3rd</w:t>
      </w:r>
      <w:r w:rsidR="007E3630" w:rsidRPr="005222E7">
        <w:t xml:space="preserve"> </w:t>
      </w:r>
      <w:r w:rsidRPr="005222E7">
        <w:t xml:space="preserve">day of </w:t>
      </w:r>
      <w:r w:rsidR="007818BE" w:rsidRPr="005222E7">
        <w:t xml:space="preserve">September </w:t>
      </w:r>
      <w:r w:rsidRPr="005222E7">
        <w:t>20</w:t>
      </w:r>
      <w:r w:rsidR="007E3630" w:rsidRPr="005222E7">
        <w:t>21</w:t>
      </w:r>
      <w:r w:rsidRPr="005222E7">
        <w:t xml:space="preserve"> </w:t>
      </w:r>
    </w:p>
    <w:p w14:paraId="72D9C38D" w14:textId="77777777" w:rsidR="00667A60" w:rsidRPr="005222E7" w:rsidRDefault="00667A60"/>
    <w:p w14:paraId="774034FF" w14:textId="6E2C65AA" w:rsidR="00667A60" w:rsidRPr="005222E7" w:rsidRDefault="00A521BD">
      <w:pPr>
        <w:rPr>
          <w:sz w:val="22"/>
          <w:szCs w:val="22"/>
        </w:rPr>
      </w:pPr>
      <w:r w:rsidRPr="005222E7">
        <w:rPr>
          <w:sz w:val="22"/>
          <w:szCs w:val="22"/>
        </w:rPr>
        <w:t xml:space="preserve">Note:  See the </w:t>
      </w:r>
      <w:r w:rsidRPr="005222E7">
        <w:rPr>
          <w:i/>
          <w:iCs/>
          <w:sz w:val="22"/>
          <w:szCs w:val="22"/>
        </w:rPr>
        <w:t>Health Insurance (Eligible persons unauthorised maritime arrivals and holders of Humanitarian Stay (Temporary) visa) Order 2017</w:t>
      </w:r>
      <w:r w:rsidRPr="005222E7">
        <w:rPr>
          <w:sz w:val="22"/>
          <w:szCs w:val="22"/>
        </w:rPr>
        <w:t xml:space="preserve"> in relation to persons who are unauthorised maritime arrival</w:t>
      </w:r>
      <w:r w:rsidR="002A3C87" w:rsidRPr="005222E7">
        <w:rPr>
          <w:sz w:val="22"/>
          <w:szCs w:val="22"/>
        </w:rPr>
        <w:t>s</w:t>
      </w:r>
      <w:r w:rsidRPr="005222E7">
        <w:rPr>
          <w:sz w:val="22"/>
          <w:szCs w:val="22"/>
        </w:rPr>
        <w:t xml:space="preserve"> or who w</w:t>
      </w:r>
      <w:r w:rsidR="00CF49D2" w:rsidRPr="005222E7">
        <w:rPr>
          <w:sz w:val="22"/>
          <w:szCs w:val="22"/>
        </w:rPr>
        <w:t>ere</w:t>
      </w:r>
      <w:r w:rsidRPr="005222E7">
        <w:rPr>
          <w:sz w:val="22"/>
          <w:szCs w:val="22"/>
        </w:rPr>
        <w:t xml:space="preserve"> not immigration cleared on their last entry to Australia</w:t>
      </w:r>
      <w:r w:rsidR="00CF49D2" w:rsidRPr="005222E7">
        <w:rPr>
          <w:sz w:val="22"/>
          <w:szCs w:val="22"/>
        </w:rPr>
        <w:t>.</w:t>
      </w:r>
    </w:p>
    <w:p w14:paraId="753E0A94" w14:textId="77777777" w:rsidR="00667A60" w:rsidRPr="005222E7" w:rsidRDefault="00667A60"/>
    <w:p w14:paraId="6828B7FD" w14:textId="7BF56DD3" w:rsidR="00667A60" w:rsidRPr="005222E7" w:rsidRDefault="00667A60"/>
    <w:p w14:paraId="118333A9" w14:textId="34764990" w:rsidR="00A60CDF" w:rsidRPr="005222E7" w:rsidRDefault="00A60CDF"/>
    <w:p w14:paraId="38F0F8C6" w14:textId="77777777" w:rsidR="00A60CDF" w:rsidRPr="005222E7" w:rsidRDefault="00A60CDF"/>
    <w:p w14:paraId="4A18CCD1" w14:textId="77777777" w:rsidR="00A60CDF" w:rsidRPr="005222E7" w:rsidRDefault="00A60CDF"/>
    <w:p w14:paraId="7D275839" w14:textId="77777777" w:rsidR="00EF50BB" w:rsidRPr="005222E7" w:rsidRDefault="00EF50BB"/>
    <w:p w14:paraId="69707173" w14:textId="77777777" w:rsidR="008250A2" w:rsidRPr="005222E7" w:rsidRDefault="00C01247" w:rsidP="008250A2">
      <w:pPr>
        <w:pStyle w:val="ListParagraph"/>
        <w:ind w:left="0"/>
      </w:pPr>
      <w:r w:rsidRPr="005222E7">
        <w:t xml:space="preserve">TRAVIS HASLAM </w:t>
      </w:r>
    </w:p>
    <w:p w14:paraId="19BD349A" w14:textId="77777777" w:rsidR="00C01247" w:rsidRPr="005222E7" w:rsidRDefault="00C01247" w:rsidP="00C01247">
      <w:pPr>
        <w:pStyle w:val="ListParagraph"/>
        <w:ind w:left="0"/>
      </w:pPr>
      <w:r w:rsidRPr="005222E7">
        <w:t>DELEGATE OF THE MINISTER FOR HEALTH</w:t>
      </w:r>
    </w:p>
    <w:p w14:paraId="0A97BA09" w14:textId="77777777" w:rsidR="004610D6" w:rsidRPr="005222E7" w:rsidRDefault="004610D6"/>
    <w:p w14:paraId="79C8A6AF" w14:textId="77777777" w:rsidR="004610D6" w:rsidRPr="005222E7" w:rsidRDefault="004610D6"/>
    <w:p w14:paraId="21AF895A" w14:textId="77777777" w:rsidR="004610D6" w:rsidRPr="005222E7" w:rsidRDefault="004610D6"/>
    <w:p w14:paraId="66350C3F" w14:textId="77777777" w:rsidR="004610D6" w:rsidRPr="005222E7" w:rsidRDefault="004610D6" w:rsidP="004610D6">
      <w:pPr>
        <w:jc w:val="center"/>
        <w:rPr>
          <w:b/>
          <w:bCs/>
          <w:iCs/>
        </w:rPr>
      </w:pPr>
      <w:r w:rsidRPr="005222E7">
        <w:rPr>
          <w:b/>
          <w:bCs/>
          <w:iCs/>
        </w:rPr>
        <w:t>ATTACHMENT - STATEMENT OF REASONS</w:t>
      </w:r>
    </w:p>
    <w:p w14:paraId="1C23C2D4" w14:textId="77777777" w:rsidR="004610D6" w:rsidRPr="005222E7" w:rsidRDefault="004610D6" w:rsidP="004610D6">
      <w:pPr>
        <w:jc w:val="center"/>
        <w:rPr>
          <w:b/>
          <w:bCs/>
          <w:i/>
          <w:iCs/>
        </w:rPr>
      </w:pPr>
    </w:p>
    <w:p w14:paraId="22F5EEBF" w14:textId="77777777" w:rsidR="004610D6" w:rsidRPr="005222E7" w:rsidRDefault="004610D6" w:rsidP="004610D6">
      <w:pPr>
        <w:jc w:val="center"/>
        <w:rPr>
          <w:i/>
          <w:iCs/>
        </w:rPr>
      </w:pPr>
      <w:r w:rsidRPr="005222E7">
        <w:rPr>
          <w:i/>
          <w:iCs/>
        </w:rPr>
        <w:t>Health Insurance Act 1973</w:t>
      </w:r>
    </w:p>
    <w:p w14:paraId="4FD4E3E9" w14:textId="77777777" w:rsidR="004610D6" w:rsidRPr="005222E7" w:rsidRDefault="004610D6" w:rsidP="004610D6">
      <w:pPr>
        <w:jc w:val="center"/>
        <w:rPr>
          <w:iCs/>
        </w:rPr>
      </w:pPr>
      <w:r w:rsidRPr="005222E7">
        <w:rPr>
          <w:iCs/>
        </w:rPr>
        <w:t>Class Order under Subsection 6(1)</w:t>
      </w:r>
    </w:p>
    <w:p w14:paraId="35384945" w14:textId="77777777" w:rsidR="004610D6" w:rsidRPr="005222E7" w:rsidRDefault="004610D6" w:rsidP="004610D6">
      <w:pPr>
        <w:jc w:val="center"/>
        <w:rPr>
          <w:i/>
          <w:iCs/>
        </w:rPr>
      </w:pPr>
    </w:p>
    <w:p w14:paraId="4B5FBDEC" w14:textId="77777777" w:rsidR="004610D6" w:rsidRPr="005222E7" w:rsidRDefault="004610D6" w:rsidP="004610D6">
      <w:pPr>
        <w:jc w:val="center"/>
        <w:rPr>
          <w:i/>
          <w:iCs/>
        </w:rPr>
      </w:pPr>
    </w:p>
    <w:p w14:paraId="3305E91E" w14:textId="77777777" w:rsidR="004610D6" w:rsidRPr="005222E7" w:rsidRDefault="004610D6" w:rsidP="004610D6">
      <w:pPr>
        <w:tabs>
          <w:tab w:val="left" w:pos="4536"/>
        </w:tabs>
        <w:rPr>
          <w:b/>
          <w:bCs/>
        </w:rPr>
      </w:pPr>
    </w:p>
    <w:p w14:paraId="04CCEA56" w14:textId="3552402E" w:rsidR="004610D6" w:rsidRPr="005222E7" w:rsidRDefault="004610D6" w:rsidP="004610D6">
      <w:pPr>
        <w:tabs>
          <w:tab w:val="left" w:pos="4536"/>
        </w:tabs>
      </w:pPr>
      <w:r w:rsidRPr="005222E7">
        <w:rPr>
          <w:b/>
          <w:bCs/>
        </w:rPr>
        <w:t>ORDER NO:</w:t>
      </w:r>
      <w:r w:rsidRPr="005222E7">
        <w:rPr>
          <w:b/>
          <w:bCs/>
        </w:rPr>
        <w:tab/>
      </w:r>
      <w:r w:rsidR="000F5F48" w:rsidRPr="005222E7">
        <w:rPr>
          <w:b/>
          <w:bCs/>
        </w:rPr>
        <w:t>815</w:t>
      </w:r>
    </w:p>
    <w:p w14:paraId="44468ED4" w14:textId="77777777" w:rsidR="004610D6" w:rsidRPr="005222E7" w:rsidRDefault="004610D6" w:rsidP="004610D6">
      <w:pPr>
        <w:tabs>
          <w:tab w:val="left" w:pos="4536"/>
        </w:tabs>
      </w:pPr>
    </w:p>
    <w:p w14:paraId="61E22D96" w14:textId="3D54AE3D" w:rsidR="004610D6" w:rsidRPr="005222E7" w:rsidRDefault="004610D6" w:rsidP="004610D6">
      <w:pPr>
        <w:pStyle w:val="Heading5"/>
        <w:rPr>
          <w:b w:val="0"/>
          <w:bCs/>
        </w:rPr>
      </w:pPr>
      <w:r w:rsidRPr="005222E7">
        <w:t>DATE OF ORDER:</w:t>
      </w:r>
      <w:r w:rsidRPr="005222E7">
        <w:rPr>
          <w:b w:val="0"/>
        </w:rPr>
        <w:tab/>
      </w:r>
      <w:r w:rsidR="005222E7" w:rsidRPr="005222E7">
        <w:rPr>
          <w:b w:val="0"/>
        </w:rPr>
        <w:t>3/9/</w:t>
      </w:r>
      <w:r w:rsidRPr="005222E7">
        <w:rPr>
          <w:b w:val="0"/>
        </w:rPr>
        <w:t>20</w:t>
      </w:r>
      <w:r w:rsidR="00D70181" w:rsidRPr="005222E7">
        <w:rPr>
          <w:b w:val="0"/>
        </w:rPr>
        <w:t>21</w:t>
      </w:r>
    </w:p>
    <w:p w14:paraId="3CFBB3C7" w14:textId="77777777" w:rsidR="004610D6" w:rsidRPr="005222E7" w:rsidRDefault="004610D6" w:rsidP="004610D6">
      <w:pPr>
        <w:tabs>
          <w:tab w:val="left" w:pos="4536"/>
        </w:tabs>
      </w:pPr>
    </w:p>
    <w:p w14:paraId="1F2C9C6E" w14:textId="2F750033" w:rsidR="004610D6" w:rsidRPr="005222E7" w:rsidRDefault="004610D6" w:rsidP="004610D6">
      <w:pPr>
        <w:tabs>
          <w:tab w:val="left" w:pos="4536"/>
        </w:tabs>
      </w:pPr>
      <w:r w:rsidRPr="005222E7">
        <w:rPr>
          <w:b/>
          <w:bCs/>
        </w:rPr>
        <w:t>RELATED ORDER:</w:t>
      </w:r>
      <w:r w:rsidRPr="005222E7">
        <w:tab/>
      </w:r>
      <w:r w:rsidR="000F5F48" w:rsidRPr="005222E7">
        <w:t>808</w:t>
      </w:r>
    </w:p>
    <w:p w14:paraId="0D79F836" w14:textId="77777777" w:rsidR="004610D6" w:rsidRPr="005222E7" w:rsidRDefault="004610D6" w:rsidP="004610D6">
      <w:pPr>
        <w:tabs>
          <w:tab w:val="left" w:pos="4536"/>
        </w:tabs>
      </w:pPr>
    </w:p>
    <w:p w14:paraId="1B33F7B3" w14:textId="4B154027" w:rsidR="004610D6" w:rsidRPr="005222E7" w:rsidRDefault="004610D6" w:rsidP="004610D6">
      <w:pPr>
        <w:tabs>
          <w:tab w:val="left" w:pos="4536"/>
        </w:tabs>
        <w:ind w:left="4530" w:hanging="4530"/>
        <w:rPr>
          <w:lang w:val="en"/>
        </w:rPr>
      </w:pPr>
      <w:r w:rsidRPr="005222E7">
        <w:rPr>
          <w:b/>
          <w:bCs/>
        </w:rPr>
        <w:t>NAME OF PERSON/GROUP:</w:t>
      </w:r>
      <w:r w:rsidRPr="005222E7">
        <w:rPr>
          <w:b/>
          <w:bCs/>
        </w:rPr>
        <w:tab/>
      </w:r>
      <w:r w:rsidRPr="005222E7">
        <w:rPr>
          <w:b/>
          <w:bCs/>
        </w:rPr>
        <w:tab/>
      </w:r>
      <w:r w:rsidR="00A90E6C" w:rsidRPr="005222E7">
        <w:t>Persons who have been granted a</w:t>
      </w:r>
      <w:r w:rsidR="00A90E6C" w:rsidRPr="005222E7">
        <w:rPr>
          <w:b/>
          <w:bCs/>
        </w:rPr>
        <w:t xml:space="preserve"> </w:t>
      </w:r>
      <w:r w:rsidR="00A90E6C" w:rsidRPr="005222E7">
        <w:t>Humanitarian</w:t>
      </w:r>
      <w:r w:rsidR="00A54320" w:rsidRPr="005222E7">
        <w:rPr>
          <w:lang w:val="en"/>
        </w:rPr>
        <w:t xml:space="preserve"> Stay (Temporary) </w:t>
      </w:r>
      <w:r w:rsidR="00A90E6C" w:rsidRPr="005222E7">
        <w:rPr>
          <w:lang w:val="en"/>
        </w:rPr>
        <w:t>V</w:t>
      </w:r>
      <w:r w:rsidR="00A54320" w:rsidRPr="005222E7">
        <w:rPr>
          <w:lang w:val="en"/>
        </w:rPr>
        <w:t>isa (Subclass 449)</w:t>
      </w:r>
      <w:r w:rsidR="00A90E6C" w:rsidRPr="005222E7">
        <w:rPr>
          <w:lang w:val="en"/>
        </w:rPr>
        <w:t xml:space="preserve"> by the Australian Government as part </w:t>
      </w:r>
      <w:r w:rsidR="00DB159E" w:rsidRPr="005222E7">
        <w:rPr>
          <w:lang w:val="en"/>
        </w:rPr>
        <w:t>o</w:t>
      </w:r>
      <w:r w:rsidR="00A90E6C" w:rsidRPr="005222E7">
        <w:rPr>
          <w:lang w:val="en"/>
        </w:rPr>
        <w:t>f its response to the deteriorating security situation in Afghanistan.</w:t>
      </w:r>
    </w:p>
    <w:p w14:paraId="33B25DD4" w14:textId="77777777" w:rsidR="004610D6" w:rsidRPr="005222E7" w:rsidRDefault="004610D6" w:rsidP="004610D6">
      <w:pPr>
        <w:tabs>
          <w:tab w:val="left" w:pos="4536"/>
        </w:tabs>
        <w:ind w:left="4530" w:hanging="4530"/>
      </w:pPr>
    </w:p>
    <w:p w14:paraId="5CC652A6" w14:textId="77777777" w:rsidR="004610D6" w:rsidRPr="005222E7" w:rsidRDefault="004610D6" w:rsidP="004610D6">
      <w:pPr>
        <w:tabs>
          <w:tab w:val="left" w:pos="4536"/>
        </w:tabs>
        <w:rPr>
          <w:b/>
          <w:bCs/>
        </w:rPr>
      </w:pPr>
      <w:r w:rsidRPr="005222E7">
        <w:rPr>
          <w:b/>
          <w:bCs/>
        </w:rPr>
        <w:t>REASON FOR APPROVAL:</w:t>
      </w:r>
    </w:p>
    <w:p w14:paraId="3F5D92D4" w14:textId="77777777" w:rsidR="004610D6" w:rsidRPr="005222E7" w:rsidRDefault="004610D6" w:rsidP="004610D6">
      <w:pPr>
        <w:tabs>
          <w:tab w:val="left" w:pos="4536"/>
        </w:tabs>
      </w:pPr>
    </w:p>
    <w:p w14:paraId="03D6B7C5" w14:textId="77777777" w:rsidR="00A47C10" w:rsidRPr="005222E7" w:rsidRDefault="00A47C10" w:rsidP="00A47C10">
      <w:pPr>
        <w:rPr>
          <w:szCs w:val="24"/>
          <w:lang w:val="en"/>
        </w:rPr>
      </w:pPr>
      <w:r w:rsidRPr="005222E7">
        <w:rPr>
          <w:szCs w:val="24"/>
          <w:lang w:val="en"/>
        </w:rPr>
        <w:t xml:space="preserve">The Humanitarian Stay (Temporary) visa (Subclass 449) (HSTV) is a subclass of the Temporary Safe Haven (Class UJ) visa. It is a generic humanitarian visa that provides temporary stay in Australia primarily for persons displaced or likely to be displaced and who have grave fears for their personal safety. </w:t>
      </w:r>
    </w:p>
    <w:p w14:paraId="5F54B17E" w14:textId="77777777" w:rsidR="00A47C10" w:rsidRPr="005222E7" w:rsidRDefault="00A47C10" w:rsidP="00A47C10">
      <w:pPr>
        <w:rPr>
          <w:color w:val="000000"/>
          <w:szCs w:val="24"/>
          <w:shd w:val="clear" w:color="auto" w:fill="FFFFFF"/>
        </w:rPr>
      </w:pPr>
    </w:p>
    <w:p w14:paraId="4F2A2010" w14:textId="27A95720" w:rsidR="00A47C10" w:rsidRPr="005222E7" w:rsidRDefault="00A47C10" w:rsidP="00A47C10">
      <w:pPr>
        <w:autoSpaceDE w:val="0"/>
        <w:autoSpaceDN w:val="0"/>
        <w:adjustRightInd w:val="0"/>
        <w:rPr>
          <w:color w:val="000000"/>
          <w:szCs w:val="24"/>
          <w:shd w:val="clear" w:color="auto" w:fill="FFFFFF"/>
        </w:rPr>
      </w:pPr>
      <w:r w:rsidRPr="005222E7">
        <w:rPr>
          <w:color w:val="000000"/>
          <w:szCs w:val="24"/>
          <w:shd w:val="clear" w:color="auto" w:fill="FFFFFF"/>
        </w:rPr>
        <w:t xml:space="preserve">Under subsection 6(1) of the </w:t>
      </w:r>
      <w:r w:rsidRPr="005222E7">
        <w:rPr>
          <w:i/>
          <w:iCs/>
          <w:color w:val="000000"/>
          <w:szCs w:val="24"/>
          <w:shd w:val="clear" w:color="auto" w:fill="FFFFFF"/>
        </w:rPr>
        <w:t>Health Insurance Act 1973</w:t>
      </w:r>
      <w:r w:rsidRPr="005222E7">
        <w:rPr>
          <w:color w:val="000000"/>
          <w:szCs w:val="24"/>
          <w:shd w:val="clear" w:color="auto" w:fill="FFFFFF"/>
        </w:rPr>
        <w:t xml:space="preserve">, the Minister for Health has a discretionary power to declare certain people </w:t>
      </w:r>
      <w:r w:rsidR="00EA7C39" w:rsidRPr="005222E7">
        <w:rPr>
          <w:color w:val="000000"/>
          <w:szCs w:val="24"/>
          <w:shd w:val="clear" w:color="auto" w:fill="FFFFFF"/>
        </w:rPr>
        <w:t xml:space="preserve">or classes of people </w:t>
      </w:r>
      <w:r w:rsidRPr="005222E7">
        <w:rPr>
          <w:color w:val="000000"/>
          <w:szCs w:val="24"/>
          <w:shd w:val="clear" w:color="auto" w:fill="FFFFFF"/>
        </w:rPr>
        <w:t>eligible for Medicare in specified circumstances.</w:t>
      </w:r>
    </w:p>
    <w:p w14:paraId="1E1CF83B" w14:textId="77777777" w:rsidR="00A47C10" w:rsidRPr="005222E7" w:rsidRDefault="00A47C10" w:rsidP="00A47C10">
      <w:pPr>
        <w:rPr>
          <w:color w:val="000000"/>
          <w:szCs w:val="24"/>
          <w:shd w:val="clear" w:color="auto" w:fill="FFFFFF"/>
        </w:rPr>
      </w:pPr>
    </w:p>
    <w:p w14:paraId="586BB0EB" w14:textId="77777777" w:rsidR="00A47C10" w:rsidRPr="005222E7" w:rsidRDefault="00A47C10" w:rsidP="00A47C10">
      <w:pPr>
        <w:pStyle w:val="Default"/>
        <w:rPr>
          <w:rFonts w:ascii="Times New Roman" w:eastAsia="Times New Roman" w:hAnsi="Times New Roman" w:cs="Times New Roman"/>
          <w:shd w:val="clear" w:color="auto" w:fill="FFFFFF"/>
          <w:lang w:eastAsia="en-AU"/>
        </w:rPr>
      </w:pPr>
      <w:r w:rsidRPr="005222E7">
        <w:rPr>
          <w:rFonts w:ascii="Times New Roman" w:eastAsia="Times New Roman" w:hAnsi="Times New Roman" w:cs="Times New Roman"/>
          <w:shd w:val="clear" w:color="auto" w:fill="FFFFFF"/>
          <w:lang w:eastAsia="en-AU"/>
        </w:rPr>
        <w:t xml:space="preserve">The </w:t>
      </w:r>
      <w:r w:rsidRPr="005222E7">
        <w:rPr>
          <w:rFonts w:ascii="Times New Roman" w:eastAsia="Times New Roman" w:hAnsi="Times New Roman" w:cs="Times New Roman"/>
          <w:i/>
          <w:iCs/>
          <w:shd w:val="clear" w:color="auto" w:fill="FFFFFF"/>
          <w:lang w:eastAsia="en-AU"/>
        </w:rPr>
        <w:t xml:space="preserve">Health Insurance (Eligible persons </w:t>
      </w:r>
      <w:r w:rsidR="0076396B" w:rsidRPr="005222E7">
        <w:rPr>
          <w:rFonts w:ascii="Times New Roman" w:eastAsia="Times New Roman" w:hAnsi="Times New Roman" w:cs="Times New Roman"/>
          <w:i/>
          <w:iCs/>
          <w:shd w:val="clear" w:color="auto" w:fill="FFFFFF"/>
          <w:lang w:eastAsia="en-AU"/>
        </w:rPr>
        <w:t xml:space="preserve">- </w:t>
      </w:r>
      <w:r w:rsidRPr="005222E7">
        <w:rPr>
          <w:rFonts w:ascii="Times New Roman" w:eastAsia="Times New Roman" w:hAnsi="Times New Roman" w:cs="Times New Roman"/>
          <w:i/>
          <w:iCs/>
          <w:shd w:val="clear" w:color="auto" w:fill="FFFFFF"/>
          <w:lang w:eastAsia="en-AU"/>
        </w:rPr>
        <w:t>holders of Humanitarian Stay (Temporary) Visa (Subclass 449)) Order 2021</w:t>
      </w:r>
      <w:r w:rsidRPr="005222E7">
        <w:rPr>
          <w:rFonts w:ascii="Times New Roman" w:eastAsia="Times New Roman" w:hAnsi="Times New Roman" w:cs="Times New Roman"/>
          <w:shd w:val="clear" w:color="auto" w:fill="FFFFFF"/>
          <w:lang w:eastAsia="en-AU"/>
        </w:rPr>
        <w:t xml:space="preserve"> provides immediate access to Medicare for </w:t>
      </w:r>
      <w:r w:rsidR="0076396B" w:rsidRPr="005222E7">
        <w:rPr>
          <w:rFonts w:ascii="Times New Roman" w:eastAsia="Times New Roman" w:hAnsi="Times New Roman" w:cs="Times New Roman"/>
          <w:shd w:val="clear" w:color="auto" w:fill="FFFFFF"/>
          <w:lang w:eastAsia="en-AU"/>
        </w:rPr>
        <w:t>persons</w:t>
      </w:r>
      <w:r w:rsidRPr="005222E7">
        <w:rPr>
          <w:rFonts w:ascii="Times New Roman" w:eastAsia="Times New Roman" w:hAnsi="Times New Roman" w:cs="Times New Roman"/>
          <w:shd w:val="clear" w:color="auto" w:fill="FFFFFF"/>
          <w:lang w:eastAsia="en-AU"/>
        </w:rPr>
        <w:t xml:space="preserve"> who have been granted subclass 449 visas by the Australian Government as part of its response to the deteriorating security situation in Afghanistan.</w:t>
      </w:r>
    </w:p>
    <w:p w14:paraId="366F1E22" w14:textId="77777777" w:rsidR="00A47C10" w:rsidRPr="005222E7" w:rsidRDefault="00A47C10" w:rsidP="00A47C10">
      <w:pPr>
        <w:pStyle w:val="Default"/>
        <w:rPr>
          <w:rFonts w:ascii="Times New Roman" w:hAnsi="Times New Roman" w:cs="Times New Roman"/>
          <w:lang w:val="en"/>
        </w:rPr>
      </w:pPr>
    </w:p>
    <w:p w14:paraId="5FE3D45E" w14:textId="161975F5" w:rsidR="0076396B" w:rsidRPr="005222E7" w:rsidRDefault="0076396B" w:rsidP="00A47C10">
      <w:pPr>
        <w:autoSpaceDE w:val="0"/>
        <w:autoSpaceDN w:val="0"/>
        <w:adjustRightInd w:val="0"/>
        <w:rPr>
          <w:color w:val="333333"/>
          <w:szCs w:val="24"/>
          <w:shd w:val="clear" w:color="auto" w:fill="FFFFFF"/>
        </w:rPr>
      </w:pPr>
      <w:r w:rsidRPr="005222E7">
        <w:rPr>
          <w:color w:val="000000"/>
          <w:szCs w:val="24"/>
          <w:shd w:val="clear" w:color="auto" w:fill="FFFFFF"/>
        </w:rPr>
        <w:t xml:space="preserve">The </w:t>
      </w:r>
      <w:r w:rsidRPr="005222E7">
        <w:rPr>
          <w:i/>
          <w:iCs/>
          <w:szCs w:val="24"/>
          <w:shd w:val="clear" w:color="auto" w:fill="FFFFFF"/>
        </w:rPr>
        <w:t>Health Insurance (Eligible persons - holders of Humanitarian Stay (Temporary) Visa (Subclass 449)) Order 2021</w:t>
      </w:r>
      <w:r w:rsidRPr="005222E7">
        <w:rPr>
          <w:szCs w:val="24"/>
          <w:shd w:val="clear" w:color="auto" w:fill="FFFFFF"/>
        </w:rPr>
        <w:t xml:space="preserve"> </w:t>
      </w:r>
      <w:r w:rsidR="00EA7C39" w:rsidRPr="005222E7">
        <w:rPr>
          <w:szCs w:val="24"/>
          <w:shd w:val="clear" w:color="auto" w:fill="FFFFFF"/>
        </w:rPr>
        <w:t>will take effect retrospectively on 19 August 2021</w:t>
      </w:r>
      <w:r w:rsidRPr="005222E7">
        <w:rPr>
          <w:color w:val="000000"/>
          <w:szCs w:val="24"/>
          <w:shd w:val="clear" w:color="auto" w:fill="FFFFFF"/>
        </w:rPr>
        <w:t>.</w:t>
      </w:r>
      <w:r w:rsidRPr="005222E7">
        <w:rPr>
          <w:i/>
          <w:iCs/>
          <w:color w:val="000000"/>
          <w:szCs w:val="24"/>
          <w:shd w:val="clear" w:color="auto" w:fill="FFFFFF"/>
        </w:rPr>
        <w:t xml:space="preserve"> </w:t>
      </w:r>
      <w:r w:rsidR="00EA7C39" w:rsidRPr="005222E7">
        <w:rPr>
          <w:color w:val="000000"/>
          <w:szCs w:val="24"/>
          <w:shd w:val="clear" w:color="auto" w:fill="FFFFFF"/>
        </w:rPr>
        <w:t xml:space="preserve">However, </w:t>
      </w:r>
      <w:r w:rsidR="00EA7C39" w:rsidRPr="005222E7">
        <w:rPr>
          <w:szCs w:val="24"/>
        </w:rPr>
        <w:t>n</w:t>
      </w:r>
      <w:r w:rsidRPr="005222E7">
        <w:rPr>
          <w:szCs w:val="24"/>
        </w:rPr>
        <w:t xml:space="preserve">o person will have </w:t>
      </w:r>
      <w:r w:rsidR="003A1CA1" w:rsidRPr="005222E7">
        <w:rPr>
          <w:szCs w:val="24"/>
        </w:rPr>
        <w:t>their rights</w:t>
      </w:r>
      <w:r w:rsidR="004532C7" w:rsidRPr="005222E7">
        <w:rPr>
          <w:szCs w:val="24"/>
        </w:rPr>
        <w:t>,</w:t>
      </w:r>
      <w:r w:rsidRPr="005222E7">
        <w:rPr>
          <w:szCs w:val="24"/>
        </w:rPr>
        <w:t xml:space="preserve"> as existing at the time the order takes effect</w:t>
      </w:r>
      <w:r w:rsidR="004532C7" w:rsidRPr="005222E7">
        <w:rPr>
          <w:szCs w:val="24"/>
        </w:rPr>
        <w:t>,</w:t>
      </w:r>
      <w:r w:rsidRPr="005222E7">
        <w:rPr>
          <w:szCs w:val="24"/>
        </w:rPr>
        <w:t xml:space="preserve"> affected </w:t>
      </w:r>
      <w:proofErr w:type="gramStart"/>
      <w:r w:rsidRPr="005222E7">
        <w:rPr>
          <w:szCs w:val="24"/>
        </w:rPr>
        <w:t>so as to</w:t>
      </w:r>
      <w:proofErr w:type="gramEnd"/>
      <w:r w:rsidRPr="005222E7">
        <w:rPr>
          <w:szCs w:val="24"/>
        </w:rPr>
        <w:t xml:space="preserve"> disadvantage them, </w:t>
      </w:r>
      <w:r w:rsidR="00EA7C39" w:rsidRPr="005222E7">
        <w:rPr>
          <w:szCs w:val="24"/>
        </w:rPr>
        <w:t xml:space="preserve">or liabilities imposed on them, </w:t>
      </w:r>
      <w:r w:rsidRPr="005222E7">
        <w:rPr>
          <w:szCs w:val="24"/>
        </w:rPr>
        <w:t>other than the Commonwealth.</w:t>
      </w:r>
    </w:p>
    <w:p w14:paraId="42570812" w14:textId="77777777" w:rsidR="0076396B" w:rsidRPr="005222E7" w:rsidRDefault="0076396B" w:rsidP="00A47C10">
      <w:pPr>
        <w:autoSpaceDE w:val="0"/>
        <w:autoSpaceDN w:val="0"/>
        <w:adjustRightInd w:val="0"/>
        <w:rPr>
          <w:color w:val="333333"/>
          <w:szCs w:val="24"/>
          <w:shd w:val="clear" w:color="auto" w:fill="FFFFFF"/>
        </w:rPr>
      </w:pPr>
    </w:p>
    <w:p w14:paraId="1FDD5FED" w14:textId="69CEED50" w:rsidR="00A47C10" w:rsidRPr="003A1CA1" w:rsidRDefault="00A47C10" w:rsidP="00A47C10">
      <w:pPr>
        <w:autoSpaceDE w:val="0"/>
        <w:autoSpaceDN w:val="0"/>
        <w:adjustRightInd w:val="0"/>
        <w:rPr>
          <w:color w:val="000000"/>
          <w:szCs w:val="24"/>
        </w:rPr>
      </w:pPr>
      <w:r w:rsidRPr="005222E7">
        <w:rPr>
          <w:szCs w:val="24"/>
        </w:rPr>
        <w:t xml:space="preserve">Related order number 808, the </w:t>
      </w:r>
      <w:r w:rsidRPr="005222E7">
        <w:rPr>
          <w:i/>
          <w:iCs/>
          <w:szCs w:val="24"/>
        </w:rPr>
        <w:t>Health Insurance (Eligible persons unauthorised maritime arrivals and holders of Humanitarian Stay (Temporary) visa) Order 2017,</w:t>
      </w:r>
      <w:r w:rsidRPr="005222E7">
        <w:rPr>
          <w:szCs w:val="24"/>
        </w:rPr>
        <w:t xml:space="preserve"> provides access to Medicare in relation to persons who are unauthorised maritime arrival</w:t>
      </w:r>
      <w:r w:rsidR="004532C7" w:rsidRPr="005222E7">
        <w:rPr>
          <w:szCs w:val="24"/>
        </w:rPr>
        <w:t>s</w:t>
      </w:r>
      <w:r w:rsidRPr="005222E7">
        <w:rPr>
          <w:szCs w:val="24"/>
        </w:rPr>
        <w:t xml:space="preserve"> or who were not immigration cleared on their last entry to Australia.</w:t>
      </w:r>
    </w:p>
    <w:p w14:paraId="0AB5C238" w14:textId="77777777" w:rsidR="00803EFB" w:rsidRPr="003A1CA1" w:rsidRDefault="00803EFB" w:rsidP="00A47C10">
      <w:pPr>
        <w:rPr>
          <w:color w:val="000000"/>
          <w:szCs w:val="24"/>
        </w:rPr>
      </w:pPr>
    </w:p>
    <w:sectPr w:rsidR="00803EFB" w:rsidRPr="003A1CA1" w:rsidSect="00C01247">
      <w:pgSz w:w="11906" w:h="16838" w:code="9"/>
      <w:pgMar w:top="1440"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C00"/>
    <w:multiLevelType w:val="hybridMultilevel"/>
    <w:tmpl w:val="C17C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C0E1B"/>
    <w:multiLevelType w:val="hybridMultilevel"/>
    <w:tmpl w:val="ADC2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A6FD5"/>
    <w:multiLevelType w:val="hybridMultilevel"/>
    <w:tmpl w:val="F38CCC76"/>
    <w:lvl w:ilvl="0" w:tplc="DECE3E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753FF"/>
    <w:multiLevelType w:val="singleLevel"/>
    <w:tmpl w:val="0C090019"/>
    <w:lvl w:ilvl="0">
      <w:start w:val="1"/>
      <w:numFmt w:val="lowerLetter"/>
      <w:lvlText w:val="(%1)"/>
      <w:lvlJc w:val="left"/>
      <w:pPr>
        <w:tabs>
          <w:tab w:val="num" w:pos="360"/>
        </w:tabs>
        <w:ind w:left="360" w:hanging="360"/>
      </w:pPr>
    </w:lvl>
  </w:abstractNum>
  <w:abstractNum w:abstractNumId="4" w15:restartNumberingAfterBreak="0">
    <w:nsid w:val="313151FA"/>
    <w:multiLevelType w:val="hybridMultilevel"/>
    <w:tmpl w:val="85C6A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275C7"/>
    <w:multiLevelType w:val="singleLevel"/>
    <w:tmpl w:val="45A2C704"/>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5DBC3D55"/>
    <w:multiLevelType w:val="hybridMultilevel"/>
    <w:tmpl w:val="4DA6408E"/>
    <w:lvl w:ilvl="0" w:tplc="DA94EA5A">
      <w:start w:val="1"/>
      <w:numFmt w:val="decimal"/>
      <w:lvlText w:val="(%1)"/>
      <w:lvlJc w:val="left"/>
      <w:pPr>
        <w:ind w:left="734" w:hanging="556"/>
      </w:pPr>
      <w:rPr>
        <w:rFonts w:ascii="Times New Roman" w:eastAsia="Times New Roman" w:hAnsi="Times New Roman" w:hint="default"/>
        <w:w w:val="98"/>
        <w:sz w:val="23"/>
        <w:szCs w:val="23"/>
      </w:rPr>
    </w:lvl>
    <w:lvl w:ilvl="1" w:tplc="2676C77E">
      <w:start w:val="1"/>
      <w:numFmt w:val="bullet"/>
      <w:lvlText w:val="·"/>
      <w:lvlJc w:val="left"/>
      <w:pPr>
        <w:ind w:left="1479" w:hanging="115"/>
      </w:pPr>
      <w:rPr>
        <w:rFonts w:ascii="Times New Roman" w:eastAsia="Times New Roman" w:hAnsi="Times New Roman" w:hint="default"/>
        <w:w w:val="38"/>
        <w:sz w:val="23"/>
        <w:szCs w:val="23"/>
      </w:rPr>
    </w:lvl>
    <w:lvl w:ilvl="2" w:tplc="A7923F04">
      <w:start w:val="1"/>
      <w:numFmt w:val="bullet"/>
      <w:lvlText w:val="•"/>
      <w:lvlJc w:val="left"/>
      <w:pPr>
        <w:ind w:left="2341" w:hanging="115"/>
      </w:pPr>
      <w:rPr>
        <w:rFonts w:hint="default"/>
      </w:rPr>
    </w:lvl>
    <w:lvl w:ilvl="3" w:tplc="D90E6C1C">
      <w:start w:val="1"/>
      <w:numFmt w:val="bullet"/>
      <w:lvlText w:val="•"/>
      <w:lvlJc w:val="left"/>
      <w:pPr>
        <w:ind w:left="3203" w:hanging="115"/>
      </w:pPr>
      <w:rPr>
        <w:rFonts w:hint="default"/>
      </w:rPr>
    </w:lvl>
    <w:lvl w:ilvl="4" w:tplc="10D2C414">
      <w:start w:val="1"/>
      <w:numFmt w:val="bullet"/>
      <w:lvlText w:val="•"/>
      <w:lvlJc w:val="left"/>
      <w:pPr>
        <w:ind w:left="4066" w:hanging="115"/>
      </w:pPr>
      <w:rPr>
        <w:rFonts w:hint="default"/>
      </w:rPr>
    </w:lvl>
    <w:lvl w:ilvl="5" w:tplc="A7FCDA6C">
      <w:start w:val="1"/>
      <w:numFmt w:val="bullet"/>
      <w:lvlText w:val="•"/>
      <w:lvlJc w:val="left"/>
      <w:pPr>
        <w:ind w:left="4928" w:hanging="115"/>
      </w:pPr>
      <w:rPr>
        <w:rFonts w:hint="default"/>
      </w:rPr>
    </w:lvl>
    <w:lvl w:ilvl="6" w:tplc="E7EE5D3E">
      <w:start w:val="1"/>
      <w:numFmt w:val="bullet"/>
      <w:lvlText w:val="•"/>
      <w:lvlJc w:val="left"/>
      <w:pPr>
        <w:ind w:left="5790" w:hanging="115"/>
      </w:pPr>
      <w:rPr>
        <w:rFonts w:hint="default"/>
      </w:rPr>
    </w:lvl>
    <w:lvl w:ilvl="7" w:tplc="A7145D1E">
      <w:start w:val="1"/>
      <w:numFmt w:val="bullet"/>
      <w:lvlText w:val="•"/>
      <w:lvlJc w:val="left"/>
      <w:pPr>
        <w:ind w:left="6653" w:hanging="115"/>
      </w:pPr>
      <w:rPr>
        <w:rFonts w:hint="default"/>
      </w:rPr>
    </w:lvl>
    <w:lvl w:ilvl="8" w:tplc="B3BCE30C">
      <w:start w:val="1"/>
      <w:numFmt w:val="bullet"/>
      <w:lvlText w:val="•"/>
      <w:lvlJc w:val="left"/>
      <w:pPr>
        <w:ind w:left="7515" w:hanging="115"/>
      </w:pPr>
      <w:rPr>
        <w:rFonts w:hint="default"/>
      </w:rPr>
    </w:lvl>
  </w:abstractNum>
  <w:abstractNum w:abstractNumId="7" w15:restartNumberingAfterBreak="0">
    <w:nsid w:val="5FB31FD8"/>
    <w:multiLevelType w:val="hybridMultilevel"/>
    <w:tmpl w:val="9652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1E68FE"/>
    <w:multiLevelType w:val="hybridMultilevel"/>
    <w:tmpl w:val="3508D4E6"/>
    <w:lvl w:ilvl="0" w:tplc="DECE3ED2">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9" w15:restartNumberingAfterBreak="0">
    <w:nsid w:val="676D0DBF"/>
    <w:multiLevelType w:val="hybridMultilevel"/>
    <w:tmpl w:val="04186BB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A96215"/>
    <w:multiLevelType w:val="hybridMultilevel"/>
    <w:tmpl w:val="9A0EA606"/>
    <w:lvl w:ilvl="0" w:tplc="557AA0B4">
      <w:start w:val="1"/>
      <w:numFmt w:val="decimal"/>
      <w:lvlText w:val="%1."/>
      <w:lvlJc w:val="left"/>
      <w:pPr>
        <w:ind w:left="360" w:hanging="360"/>
      </w:pPr>
      <w:rPr>
        <w:b w:val="0"/>
        <w:i w:val="0"/>
      </w:rPr>
    </w:lvl>
    <w:lvl w:ilvl="1" w:tplc="2CF2B4F8">
      <w:start w:val="1"/>
      <w:numFmt w:val="lowerLetter"/>
      <w:lvlText w:val="%2."/>
      <w:lvlJc w:val="left"/>
      <w:pPr>
        <w:ind w:left="1211" w:hanging="360"/>
      </w:pPr>
    </w:lvl>
    <w:lvl w:ilvl="2" w:tplc="44F6EF6C">
      <w:start w:val="1"/>
      <w:numFmt w:val="lowerRoman"/>
      <w:lvlText w:val="%3."/>
      <w:lvlJc w:val="right"/>
      <w:pPr>
        <w:ind w:left="2585" w:hanging="180"/>
      </w:pPr>
    </w:lvl>
    <w:lvl w:ilvl="3" w:tplc="C6F66460">
      <w:start w:val="1"/>
      <w:numFmt w:val="decimal"/>
      <w:lvlText w:val="%4."/>
      <w:lvlJc w:val="left"/>
      <w:pPr>
        <w:ind w:left="3305" w:hanging="360"/>
      </w:pPr>
    </w:lvl>
    <w:lvl w:ilvl="4" w:tplc="55E6AD7A">
      <w:start w:val="1"/>
      <w:numFmt w:val="lowerLetter"/>
      <w:lvlText w:val="%5."/>
      <w:lvlJc w:val="left"/>
      <w:pPr>
        <w:ind w:left="4025" w:hanging="360"/>
      </w:pPr>
    </w:lvl>
    <w:lvl w:ilvl="5" w:tplc="D818C6AE">
      <w:start w:val="1"/>
      <w:numFmt w:val="lowerRoman"/>
      <w:lvlText w:val="%6."/>
      <w:lvlJc w:val="right"/>
      <w:pPr>
        <w:ind w:left="4745" w:hanging="180"/>
      </w:pPr>
    </w:lvl>
    <w:lvl w:ilvl="6" w:tplc="94CE088C">
      <w:start w:val="1"/>
      <w:numFmt w:val="decimal"/>
      <w:lvlText w:val="%7."/>
      <w:lvlJc w:val="left"/>
      <w:pPr>
        <w:ind w:left="5465" w:hanging="360"/>
      </w:pPr>
    </w:lvl>
    <w:lvl w:ilvl="7" w:tplc="56C8B064">
      <w:start w:val="1"/>
      <w:numFmt w:val="lowerLetter"/>
      <w:lvlText w:val="%8."/>
      <w:lvlJc w:val="left"/>
      <w:pPr>
        <w:ind w:left="6185" w:hanging="360"/>
      </w:pPr>
    </w:lvl>
    <w:lvl w:ilvl="8" w:tplc="856C0862">
      <w:start w:val="1"/>
      <w:numFmt w:val="lowerRoman"/>
      <w:lvlText w:val="%9."/>
      <w:lvlJc w:val="right"/>
      <w:pPr>
        <w:ind w:left="6905" w:hanging="180"/>
      </w:pPr>
    </w:lvl>
  </w:abstractNum>
  <w:abstractNum w:abstractNumId="11" w15:restartNumberingAfterBreak="0">
    <w:nsid w:val="7A9B5F2F"/>
    <w:multiLevelType w:val="hybridMultilevel"/>
    <w:tmpl w:val="A852E614"/>
    <w:lvl w:ilvl="0" w:tplc="32E25B54">
      <w:start w:val="1"/>
      <w:numFmt w:val="lowerLetter"/>
      <w:lvlText w:val="(%1)"/>
      <w:lvlJc w:val="left"/>
      <w:pPr>
        <w:ind w:left="942" w:hanging="715"/>
      </w:pPr>
      <w:rPr>
        <w:rFonts w:ascii="Times New Roman" w:eastAsia="Times New Roman" w:hAnsi="Times New Roman" w:hint="default"/>
        <w:w w:val="101"/>
        <w:sz w:val="23"/>
        <w:szCs w:val="23"/>
      </w:rPr>
    </w:lvl>
    <w:lvl w:ilvl="1" w:tplc="301041D0">
      <w:start w:val="1"/>
      <w:numFmt w:val="lowerRoman"/>
      <w:lvlText w:val="(%2)"/>
      <w:lvlJc w:val="left"/>
      <w:pPr>
        <w:ind w:left="1849" w:hanging="715"/>
      </w:pPr>
      <w:rPr>
        <w:rFonts w:ascii="Times New Roman" w:eastAsia="Times New Roman" w:hAnsi="Times New Roman" w:hint="default"/>
        <w:w w:val="103"/>
        <w:sz w:val="23"/>
        <w:szCs w:val="23"/>
      </w:rPr>
    </w:lvl>
    <w:lvl w:ilvl="2" w:tplc="5DF048FA">
      <w:start w:val="1"/>
      <w:numFmt w:val="bullet"/>
      <w:lvlText w:val="•"/>
      <w:lvlJc w:val="left"/>
      <w:pPr>
        <w:ind w:left="2372" w:hanging="715"/>
      </w:pPr>
      <w:rPr>
        <w:rFonts w:hint="default"/>
      </w:rPr>
    </w:lvl>
    <w:lvl w:ilvl="3" w:tplc="2A72C764">
      <w:start w:val="1"/>
      <w:numFmt w:val="bullet"/>
      <w:lvlText w:val="•"/>
      <w:lvlJc w:val="left"/>
      <w:pPr>
        <w:ind w:left="3238" w:hanging="715"/>
      </w:pPr>
      <w:rPr>
        <w:rFonts w:hint="default"/>
      </w:rPr>
    </w:lvl>
    <w:lvl w:ilvl="4" w:tplc="EDD246D4">
      <w:start w:val="1"/>
      <w:numFmt w:val="bullet"/>
      <w:lvlText w:val="•"/>
      <w:lvlJc w:val="left"/>
      <w:pPr>
        <w:ind w:left="4104" w:hanging="715"/>
      </w:pPr>
      <w:rPr>
        <w:rFonts w:hint="default"/>
      </w:rPr>
    </w:lvl>
    <w:lvl w:ilvl="5" w:tplc="B22E1422">
      <w:start w:val="1"/>
      <w:numFmt w:val="bullet"/>
      <w:lvlText w:val="•"/>
      <w:lvlJc w:val="left"/>
      <w:pPr>
        <w:ind w:left="4970" w:hanging="715"/>
      </w:pPr>
      <w:rPr>
        <w:rFonts w:hint="default"/>
      </w:rPr>
    </w:lvl>
    <w:lvl w:ilvl="6" w:tplc="AB046D80">
      <w:start w:val="1"/>
      <w:numFmt w:val="bullet"/>
      <w:lvlText w:val="•"/>
      <w:lvlJc w:val="left"/>
      <w:pPr>
        <w:ind w:left="5836" w:hanging="715"/>
      </w:pPr>
      <w:rPr>
        <w:rFonts w:hint="default"/>
      </w:rPr>
    </w:lvl>
    <w:lvl w:ilvl="7" w:tplc="489E39B6">
      <w:start w:val="1"/>
      <w:numFmt w:val="bullet"/>
      <w:lvlText w:val="•"/>
      <w:lvlJc w:val="left"/>
      <w:pPr>
        <w:ind w:left="6702" w:hanging="715"/>
      </w:pPr>
      <w:rPr>
        <w:rFonts w:hint="default"/>
      </w:rPr>
    </w:lvl>
    <w:lvl w:ilvl="8" w:tplc="8304974E">
      <w:start w:val="1"/>
      <w:numFmt w:val="bullet"/>
      <w:lvlText w:val="•"/>
      <w:lvlJc w:val="left"/>
      <w:pPr>
        <w:ind w:left="7568" w:hanging="715"/>
      </w:pPr>
      <w:rPr>
        <w:rFonts w:hint="default"/>
      </w:rPr>
    </w:lvl>
  </w:abstractNum>
  <w:abstractNum w:abstractNumId="12" w15:restartNumberingAfterBreak="0">
    <w:nsid w:val="7CF2246E"/>
    <w:multiLevelType w:val="hybridMultilevel"/>
    <w:tmpl w:val="B51EDE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9"/>
  </w:num>
  <w:num w:numId="6">
    <w:abstractNumId w:val="11"/>
  </w:num>
  <w:num w:numId="7">
    <w:abstractNumId w:val="12"/>
  </w:num>
  <w:num w:numId="8">
    <w:abstractNumId w:val="8"/>
  </w:num>
  <w:num w:numId="9">
    <w:abstractNumId w:val="7"/>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60"/>
    <w:rsid w:val="00020C01"/>
    <w:rsid w:val="00024E99"/>
    <w:rsid w:val="00092E1C"/>
    <w:rsid w:val="000C405F"/>
    <w:rsid w:val="000F270C"/>
    <w:rsid w:val="000F5F48"/>
    <w:rsid w:val="00104C96"/>
    <w:rsid w:val="00117162"/>
    <w:rsid w:val="0018592D"/>
    <w:rsid w:val="00191931"/>
    <w:rsid w:val="001F7FDB"/>
    <w:rsid w:val="002552CE"/>
    <w:rsid w:val="002A3C87"/>
    <w:rsid w:val="00304DF9"/>
    <w:rsid w:val="00310B98"/>
    <w:rsid w:val="00350B3F"/>
    <w:rsid w:val="00393A1B"/>
    <w:rsid w:val="003A082F"/>
    <w:rsid w:val="003A1CA1"/>
    <w:rsid w:val="003C530C"/>
    <w:rsid w:val="004532C7"/>
    <w:rsid w:val="004610D6"/>
    <w:rsid w:val="004A473D"/>
    <w:rsid w:val="004B6A40"/>
    <w:rsid w:val="0051094E"/>
    <w:rsid w:val="005222E7"/>
    <w:rsid w:val="0058205E"/>
    <w:rsid w:val="005B16D9"/>
    <w:rsid w:val="005B7AAC"/>
    <w:rsid w:val="00600156"/>
    <w:rsid w:val="006020D8"/>
    <w:rsid w:val="00667A60"/>
    <w:rsid w:val="006B1303"/>
    <w:rsid w:val="006B58CB"/>
    <w:rsid w:val="006D74C0"/>
    <w:rsid w:val="006F6C08"/>
    <w:rsid w:val="007225E2"/>
    <w:rsid w:val="007434D5"/>
    <w:rsid w:val="0076396B"/>
    <w:rsid w:val="007818BE"/>
    <w:rsid w:val="007A519A"/>
    <w:rsid w:val="007D4573"/>
    <w:rsid w:val="007E2DA7"/>
    <w:rsid w:val="007E3630"/>
    <w:rsid w:val="00803EFB"/>
    <w:rsid w:val="008250A2"/>
    <w:rsid w:val="00825442"/>
    <w:rsid w:val="00843A05"/>
    <w:rsid w:val="008923F6"/>
    <w:rsid w:val="008B1A82"/>
    <w:rsid w:val="008B6CD0"/>
    <w:rsid w:val="008D2F8B"/>
    <w:rsid w:val="008E75D8"/>
    <w:rsid w:val="008E7B85"/>
    <w:rsid w:val="00902B60"/>
    <w:rsid w:val="00905520"/>
    <w:rsid w:val="00905961"/>
    <w:rsid w:val="0093723E"/>
    <w:rsid w:val="009753DB"/>
    <w:rsid w:val="009B0A3D"/>
    <w:rsid w:val="009B62AF"/>
    <w:rsid w:val="009C6373"/>
    <w:rsid w:val="009D163D"/>
    <w:rsid w:val="009D2A14"/>
    <w:rsid w:val="009E17AF"/>
    <w:rsid w:val="00A1523F"/>
    <w:rsid w:val="00A3784A"/>
    <w:rsid w:val="00A46606"/>
    <w:rsid w:val="00A47C10"/>
    <w:rsid w:val="00A521BD"/>
    <w:rsid w:val="00A54320"/>
    <w:rsid w:val="00A60CDF"/>
    <w:rsid w:val="00A64CD5"/>
    <w:rsid w:val="00A90E6C"/>
    <w:rsid w:val="00AE7902"/>
    <w:rsid w:val="00B10910"/>
    <w:rsid w:val="00B13EE0"/>
    <w:rsid w:val="00B36247"/>
    <w:rsid w:val="00B37E11"/>
    <w:rsid w:val="00B632F0"/>
    <w:rsid w:val="00B63BAA"/>
    <w:rsid w:val="00B76FF1"/>
    <w:rsid w:val="00B822E3"/>
    <w:rsid w:val="00B84516"/>
    <w:rsid w:val="00BC55DB"/>
    <w:rsid w:val="00BE6075"/>
    <w:rsid w:val="00C01247"/>
    <w:rsid w:val="00C145A9"/>
    <w:rsid w:val="00C31777"/>
    <w:rsid w:val="00C52A5E"/>
    <w:rsid w:val="00C60531"/>
    <w:rsid w:val="00C61106"/>
    <w:rsid w:val="00C75BAB"/>
    <w:rsid w:val="00C93C6D"/>
    <w:rsid w:val="00CF49D2"/>
    <w:rsid w:val="00D240F8"/>
    <w:rsid w:val="00D370BE"/>
    <w:rsid w:val="00D44B9A"/>
    <w:rsid w:val="00D70181"/>
    <w:rsid w:val="00D70826"/>
    <w:rsid w:val="00DB159E"/>
    <w:rsid w:val="00EA7C39"/>
    <w:rsid w:val="00EF50BB"/>
    <w:rsid w:val="00FD34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C93F"/>
  <w15:docId w15:val="{375F45CE-69C1-47EF-8A97-38ED977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5">
    <w:name w:val="heading 5"/>
    <w:basedOn w:val="Normal"/>
    <w:next w:val="Normal"/>
    <w:qFormat/>
    <w:rsid w:val="009C6373"/>
    <w:pPr>
      <w:keepNext/>
      <w:tabs>
        <w:tab w:val="left"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paragraph" w:styleId="ListParagraph">
    <w:name w:val="List Paragraph"/>
    <w:basedOn w:val="Normal"/>
    <w:uiPriority w:val="34"/>
    <w:qFormat/>
    <w:rsid w:val="00B36247"/>
    <w:pPr>
      <w:ind w:left="720"/>
      <w:contextualSpacing/>
    </w:pPr>
  </w:style>
  <w:style w:type="paragraph" w:styleId="BalloonText">
    <w:name w:val="Balloon Text"/>
    <w:basedOn w:val="Normal"/>
    <w:link w:val="BalloonTextChar"/>
    <w:rsid w:val="00A64CD5"/>
    <w:rPr>
      <w:rFonts w:ascii="Tahoma" w:hAnsi="Tahoma" w:cs="Tahoma"/>
      <w:sz w:val="16"/>
      <w:szCs w:val="16"/>
    </w:rPr>
  </w:style>
  <w:style w:type="character" w:customStyle="1" w:styleId="BalloonTextChar">
    <w:name w:val="Balloon Text Char"/>
    <w:basedOn w:val="DefaultParagraphFont"/>
    <w:link w:val="BalloonText"/>
    <w:rsid w:val="00A64CD5"/>
    <w:rPr>
      <w:rFonts w:ascii="Tahoma" w:hAnsi="Tahoma" w:cs="Tahoma"/>
      <w:sz w:val="16"/>
      <w:szCs w:val="16"/>
    </w:rPr>
  </w:style>
  <w:style w:type="paragraph" w:styleId="BodyText">
    <w:name w:val="Body Text"/>
    <w:basedOn w:val="Normal"/>
    <w:link w:val="BodyTextChar"/>
    <w:rsid w:val="006F6C08"/>
    <w:pPr>
      <w:spacing w:after="120"/>
    </w:pPr>
  </w:style>
  <w:style w:type="character" w:customStyle="1" w:styleId="BodyTextChar">
    <w:name w:val="Body Text Char"/>
    <w:basedOn w:val="DefaultParagraphFont"/>
    <w:link w:val="BodyText"/>
    <w:rsid w:val="006F6C08"/>
    <w:rPr>
      <w:sz w:val="24"/>
    </w:rPr>
  </w:style>
  <w:style w:type="character" w:styleId="CommentReference">
    <w:name w:val="annotation reference"/>
    <w:basedOn w:val="DefaultParagraphFont"/>
    <w:semiHidden/>
    <w:unhideWhenUsed/>
    <w:rsid w:val="00A46606"/>
    <w:rPr>
      <w:sz w:val="16"/>
      <w:szCs w:val="16"/>
    </w:rPr>
  </w:style>
  <w:style w:type="paragraph" w:styleId="CommentText">
    <w:name w:val="annotation text"/>
    <w:basedOn w:val="Normal"/>
    <w:link w:val="CommentTextChar"/>
    <w:unhideWhenUsed/>
    <w:rsid w:val="00A46606"/>
    <w:rPr>
      <w:sz w:val="20"/>
    </w:rPr>
  </w:style>
  <w:style w:type="character" w:customStyle="1" w:styleId="CommentTextChar">
    <w:name w:val="Comment Text Char"/>
    <w:basedOn w:val="DefaultParagraphFont"/>
    <w:link w:val="CommentText"/>
    <w:rsid w:val="00A46606"/>
  </w:style>
  <w:style w:type="paragraph" w:styleId="CommentSubject">
    <w:name w:val="annotation subject"/>
    <w:basedOn w:val="CommentText"/>
    <w:next w:val="CommentText"/>
    <w:link w:val="CommentSubjectChar"/>
    <w:semiHidden/>
    <w:unhideWhenUsed/>
    <w:rsid w:val="00A46606"/>
    <w:rPr>
      <w:b/>
      <w:bCs/>
    </w:rPr>
  </w:style>
  <w:style w:type="character" w:customStyle="1" w:styleId="CommentSubjectChar">
    <w:name w:val="Comment Subject Char"/>
    <w:basedOn w:val="CommentTextChar"/>
    <w:link w:val="CommentSubject"/>
    <w:semiHidden/>
    <w:rsid w:val="00A46606"/>
    <w:rPr>
      <w:b/>
      <w:bCs/>
    </w:rPr>
  </w:style>
  <w:style w:type="paragraph" w:customStyle="1" w:styleId="Default">
    <w:name w:val="Default"/>
    <w:basedOn w:val="Normal"/>
    <w:rsid w:val="00C01247"/>
    <w:pPr>
      <w:autoSpaceDE w:val="0"/>
      <w:autoSpaceDN w:val="0"/>
    </w:pPr>
    <w:rPr>
      <w:rFonts w:ascii="Arial" w:eastAsiaTheme="minorHAnsi" w:hAnsi="Arial" w:cs="Arial"/>
      <w:color w:val="000000"/>
      <w:szCs w:val="24"/>
      <w:lang w:eastAsia="en-US"/>
    </w:rPr>
  </w:style>
  <w:style w:type="paragraph" w:customStyle="1" w:styleId="BodyText10">
    <w:name w:val="Body Text1_0"/>
    <w:basedOn w:val="Normal"/>
    <w:uiPriority w:val="99"/>
    <w:rsid w:val="00C31777"/>
    <w:pPr>
      <w:spacing w:before="24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01576">
      <w:bodyDiv w:val="1"/>
      <w:marLeft w:val="0"/>
      <w:marRight w:val="0"/>
      <w:marTop w:val="0"/>
      <w:marBottom w:val="0"/>
      <w:divBdr>
        <w:top w:val="none" w:sz="0" w:space="0" w:color="auto"/>
        <w:left w:val="none" w:sz="0" w:space="0" w:color="auto"/>
        <w:bottom w:val="none" w:sz="0" w:space="0" w:color="auto"/>
        <w:right w:val="none" w:sz="0" w:space="0" w:color="auto"/>
      </w:divBdr>
    </w:div>
    <w:div w:id="1116563412">
      <w:bodyDiv w:val="1"/>
      <w:marLeft w:val="0"/>
      <w:marRight w:val="0"/>
      <w:marTop w:val="0"/>
      <w:marBottom w:val="0"/>
      <w:divBdr>
        <w:top w:val="none" w:sz="0" w:space="0" w:color="auto"/>
        <w:left w:val="none" w:sz="0" w:space="0" w:color="auto"/>
        <w:bottom w:val="none" w:sz="0" w:space="0" w:color="auto"/>
        <w:right w:val="none" w:sz="0" w:space="0" w:color="auto"/>
      </w:divBdr>
    </w:div>
    <w:div w:id="1255821835">
      <w:bodyDiv w:val="1"/>
      <w:marLeft w:val="0"/>
      <w:marRight w:val="0"/>
      <w:marTop w:val="0"/>
      <w:marBottom w:val="0"/>
      <w:divBdr>
        <w:top w:val="none" w:sz="0" w:space="0" w:color="auto"/>
        <w:left w:val="none" w:sz="0" w:space="0" w:color="auto"/>
        <w:bottom w:val="none" w:sz="0" w:space="0" w:color="auto"/>
        <w:right w:val="none" w:sz="0" w:space="0" w:color="auto"/>
      </w:divBdr>
    </w:div>
    <w:div w:id="17863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3AA3-C621-46A3-ACC2-A0DE3C4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HFS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dc:creator>
  <cp:lastModifiedBy>NG, Jason</cp:lastModifiedBy>
  <cp:revision>3</cp:revision>
  <cp:lastPrinted>2018-06-21T04:49:00Z</cp:lastPrinted>
  <dcterms:created xsi:type="dcterms:W3CDTF">2021-09-03T02:10:00Z</dcterms:created>
  <dcterms:modified xsi:type="dcterms:W3CDTF">2021-09-03T06:22:00Z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