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BF902" w14:textId="77777777" w:rsidR="00CD3630" w:rsidRDefault="002B7350">
      <w:pPr>
        <w:pStyle w:val="BodyText"/>
        <w:ind w:left="1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0BF94D" wp14:editId="6E0BF94E">
            <wp:extent cx="1383351" cy="10652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51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BF903" w14:textId="77777777" w:rsidR="00CD3630" w:rsidRDefault="00CD3630">
      <w:pPr>
        <w:pStyle w:val="BodyText"/>
        <w:spacing w:before="2"/>
        <w:rPr>
          <w:rFonts w:ascii="Times New Roman"/>
          <w:sz w:val="25"/>
        </w:rPr>
      </w:pPr>
    </w:p>
    <w:p w14:paraId="6E0BF904" w14:textId="77777777" w:rsidR="00CD3630" w:rsidRDefault="002B7350">
      <w:pPr>
        <w:spacing w:before="90"/>
        <w:ind w:left="100"/>
        <w:rPr>
          <w:b/>
          <w:sz w:val="32"/>
        </w:rPr>
      </w:pPr>
      <w:r>
        <w:rPr>
          <w:b/>
          <w:sz w:val="32"/>
        </w:rPr>
        <w:t>Approval to hold the transferring business of a financial sector company No. 3 of 2021</w:t>
      </w:r>
    </w:p>
    <w:p w14:paraId="6E0BF905" w14:textId="77777777" w:rsidR="00CD3630" w:rsidRDefault="00CD3630">
      <w:pPr>
        <w:pStyle w:val="BodyText"/>
        <w:spacing w:before="5"/>
        <w:rPr>
          <w:b/>
          <w:sz w:val="31"/>
        </w:rPr>
      </w:pPr>
    </w:p>
    <w:p w14:paraId="6E0BF906" w14:textId="4F10C53D" w:rsidR="00CD3630" w:rsidRDefault="002B7350">
      <w:pPr>
        <w:pBdr>
          <w:bottom w:val="single" w:sz="6" w:space="1" w:color="auto"/>
        </w:pBdr>
        <w:ind w:left="100"/>
        <w:rPr>
          <w:b/>
          <w:i/>
          <w:sz w:val="32"/>
        </w:rPr>
      </w:pPr>
      <w:r>
        <w:rPr>
          <w:b/>
          <w:i/>
          <w:sz w:val="32"/>
        </w:rPr>
        <w:t>Financial Sector (Shareholdings) Act 1998</w:t>
      </w:r>
    </w:p>
    <w:p w14:paraId="516B9106" w14:textId="77777777" w:rsidR="002B7350" w:rsidRDefault="002B7350">
      <w:pPr>
        <w:pBdr>
          <w:bottom w:val="single" w:sz="6" w:space="1" w:color="auto"/>
        </w:pBdr>
        <w:ind w:left="100"/>
        <w:rPr>
          <w:b/>
          <w:i/>
          <w:sz w:val="32"/>
        </w:rPr>
      </w:pPr>
      <w:bookmarkStart w:id="0" w:name="_GoBack"/>
      <w:bookmarkEnd w:id="0"/>
    </w:p>
    <w:p w14:paraId="4EE55593" w14:textId="77777777" w:rsidR="002B7350" w:rsidRDefault="002B7350">
      <w:pPr>
        <w:pStyle w:val="BodyText"/>
        <w:spacing w:before="11"/>
        <w:rPr>
          <w:b/>
          <w:i/>
          <w:sz w:val="21"/>
        </w:rPr>
      </w:pPr>
    </w:p>
    <w:p w14:paraId="6E0BF908" w14:textId="77777777" w:rsidR="00CD3630" w:rsidRDefault="00CD3630">
      <w:pPr>
        <w:pStyle w:val="BodyText"/>
        <w:spacing w:before="7"/>
        <w:rPr>
          <w:b/>
          <w:i/>
          <w:sz w:val="49"/>
        </w:rPr>
      </w:pPr>
    </w:p>
    <w:p w14:paraId="6E0BF909" w14:textId="77777777" w:rsidR="00CD3630" w:rsidRDefault="002B7350">
      <w:pPr>
        <w:pStyle w:val="Heading1"/>
        <w:tabs>
          <w:tab w:val="left" w:pos="667"/>
        </w:tabs>
        <w:spacing w:line="482" w:lineRule="auto"/>
        <w:ind w:right="2046"/>
      </w:pPr>
      <w:r>
        <w:t>To:</w:t>
      </w:r>
      <w:r>
        <w:tab/>
        <w:t>Teachers Mutual Bank Limited ABN 30 087 650 459 (the applicant) SINCE:</w:t>
      </w:r>
    </w:p>
    <w:p w14:paraId="6E0BF90A" w14:textId="77777777" w:rsidR="00CD3630" w:rsidRDefault="002B7350">
      <w:pPr>
        <w:pStyle w:val="ListParagraph"/>
        <w:numPr>
          <w:ilvl w:val="0"/>
          <w:numId w:val="3"/>
        </w:numPr>
        <w:tabs>
          <w:tab w:val="left" w:pos="811"/>
        </w:tabs>
        <w:ind w:right="114"/>
        <w:jc w:val="both"/>
      </w:pPr>
      <w:r>
        <w:t xml:space="preserve">the applicant has applied to the Treasurer under subsection 13(1) of the </w:t>
      </w:r>
      <w:r>
        <w:rPr>
          <w:i/>
        </w:rPr>
        <w:t xml:space="preserve">Financial Sector (Shareholdings) Act 1998 </w:t>
      </w:r>
      <w:r>
        <w:t>(the Act) for approval to hold a stake of more than 20% in Pulse Credit Union Ltd ABN 35 087 651 670 (the financial sector</w:t>
      </w:r>
      <w:r>
        <w:rPr>
          <w:spacing w:val="-17"/>
        </w:rPr>
        <w:t xml:space="preserve"> </w:t>
      </w:r>
      <w:r>
        <w:t>company);</w:t>
      </w:r>
    </w:p>
    <w:p w14:paraId="6E0BF90B" w14:textId="77777777" w:rsidR="00CD3630" w:rsidRDefault="00CD3630">
      <w:pPr>
        <w:pStyle w:val="BodyText"/>
        <w:spacing w:before="8"/>
        <w:rPr>
          <w:sz w:val="21"/>
        </w:rPr>
      </w:pPr>
    </w:p>
    <w:p w14:paraId="6E0BF90C" w14:textId="77777777" w:rsidR="00CD3630" w:rsidRDefault="002B7350">
      <w:pPr>
        <w:pStyle w:val="ListParagraph"/>
        <w:numPr>
          <w:ilvl w:val="0"/>
          <w:numId w:val="3"/>
        </w:numPr>
        <w:tabs>
          <w:tab w:val="left" w:pos="811"/>
        </w:tabs>
        <w:ind w:right="115"/>
        <w:jc w:val="both"/>
      </w:pPr>
      <w:r>
        <w:t>100% of</w:t>
      </w:r>
      <w:r>
        <w:t xml:space="preserve"> the gross assets and liabilities of the financial sector company are to be transferred to the applicant as a voluntary transfer of business under the </w:t>
      </w:r>
      <w:r>
        <w:rPr>
          <w:i/>
        </w:rPr>
        <w:t>Financial Sector (Transfer and Restructure) Act 1999</w:t>
      </w:r>
      <w:r>
        <w:t>;</w:t>
      </w:r>
      <w:r>
        <w:rPr>
          <w:spacing w:val="-8"/>
        </w:rPr>
        <w:t xml:space="preserve"> </w:t>
      </w:r>
      <w:r>
        <w:t>and</w:t>
      </w:r>
    </w:p>
    <w:p w14:paraId="6E0BF90D" w14:textId="77777777" w:rsidR="00CD3630" w:rsidRDefault="00CD3630">
      <w:pPr>
        <w:pStyle w:val="BodyText"/>
        <w:spacing w:before="1"/>
        <w:rPr>
          <w:sz w:val="22"/>
        </w:rPr>
      </w:pPr>
    </w:p>
    <w:p w14:paraId="6E0BF90E" w14:textId="77777777" w:rsidR="00CD3630" w:rsidRDefault="002B7350">
      <w:pPr>
        <w:pStyle w:val="Heading1"/>
        <w:numPr>
          <w:ilvl w:val="0"/>
          <w:numId w:val="3"/>
        </w:numPr>
        <w:tabs>
          <w:tab w:val="left" w:pos="811"/>
        </w:tabs>
        <w:ind w:right="114"/>
        <w:jc w:val="both"/>
      </w:pPr>
      <w:r>
        <w:t>I am satisfied that it is in the national inte</w:t>
      </w:r>
      <w:r>
        <w:t>rest to approve the applicant holding a stake of more than 20% in the financial sector</w:t>
      </w:r>
      <w:r>
        <w:rPr>
          <w:spacing w:val="-5"/>
        </w:rPr>
        <w:t xml:space="preserve"> </w:t>
      </w:r>
      <w:r>
        <w:t>company,</w:t>
      </w:r>
    </w:p>
    <w:p w14:paraId="6E0BF90F" w14:textId="77777777" w:rsidR="00CD3630" w:rsidRDefault="00CD3630">
      <w:pPr>
        <w:pStyle w:val="BodyText"/>
        <w:spacing w:before="3"/>
        <w:rPr>
          <w:sz w:val="31"/>
        </w:rPr>
      </w:pPr>
    </w:p>
    <w:p w14:paraId="6E0BF910" w14:textId="77777777" w:rsidR="00CD3630" w:rsidRDefault="002B7350">
      <w:pPr>
        <w:ind w:left="100"/>
      </w:pPr>
      <w:r>
        <w:t>I, Lara Douglas, a delegate of the Treasurer, under paragraph 14(1)(a) of the Act, APPROVE the applicant holding a stake of 100% in the financial sector compan</w:t>
      </w:r>
      <w:r>
        <w:t>y.</w:t>
      </w:r>
    </w:p>
    <w:p w14:paraId="6E0BF911" w14:textId="77777777" w:rsidR="00CD3630" w:rsidRDefault="00CD3630">
      <w:pPr>
        <w:pStyle w:val="BodyText"/>
        <w:spacing w:before="1"/>
        <w:rPr>
          <w:sz w:val="22"/>
        </w:rPr>
      </w:pPr>
    </w:p>
    <w:p w14:paraId="6E0BF912" w14:textId="77777777" w:rsidR="00CD3630" w:rsidRDefault="002B7350">
      <w:pPr>
        <w:spacing w:line="480" w:lineRule="auto"/>
        <w:ind w:left="100" w:right="1132"/>
      </w:pPr>
      <w:r>
        <w:t>This instrument takes effect on the day it is made and remains in force indefinitely. Dated: 3 August 2021</w:t>
      </w:r>
    </w:p>
    <w:p w14:paraId="6E0BF913" w14:textId="77777777" w:rsidR="00CD3630" w:rsidRDefault="00CD3630">
      <w:pPr>
        <w:pStyle w:val="BodyText"/>
        <w:rPr>
          <w:sz w:val="24"/>
        </w:rPr>
      </w:pPr>
    </w:p>
    <w:p w14:paraId="6E0BF914" w14:textId="77777777" w:rsidR="00CD3630" w:rsidRDefault="00CD3630">
      <w:pPr>
        <w:pStyle w:val="BodyText"/>
        <w:rPr>
          <w:sz w:val="20"/>
        </w:rPr>
      </w:pPr>
    </w:p>
    <w:p w14:paraId="6E0BF915" w14:textId="77777777" w:rsidR="00CD3630" w:rsidRDefault="002B7350">
      <w:pPr>
        <w:ind w:left="100" w:right="7417"/>
      </w:pPr>
      <w:r>
        <w:t>Lara Douglas General Manager Banking Division</w:t>
      </w:r>
    </w:p>
    <w:p w14:paraId="6E0BF916" w14:textId="77777777" w:rsidR="00CD3630" w:rsidRDefault="00CD3630">
      <w:pPr>
        <w:pStyle w:val="BodyText"/>
        <w:rPr>
          <w:sz w:val="24"/>
        </w:rPr>
      </w:pPr>
    </w:p>
    <w:p w14:paraId="6E0BF917" w14:textId="77777777" w:rsidR="00CD3630" w:rsidRDefault="002B7350">
      <w:pPr>
        <w:spacing w:before="202"/>
        <w:ind w:left="100"/>
        <w:rPr>
          <w:b/>
        </w:rPr>
      </w:pPr>
      <w:r>
        <w:rPr>
          <w:b/>
        </w:rPr>
        <w:t>Interpretation</w:t>
      </w:r>
    </w:p>
    <w:p w14:paraId="6E0BF918" w14:textId="77777777" w:rsidR="00CD3630" w:rsidRDefault="002B7350">
      <w:pPr>
        <w:pStyle w:val="Heading1"/>
        <w:spacing w:before="122"/>
      </w:pPr>
      <w:r>
        <w:t>In this instrument:</w:t>
      </w:r>
    </w:p>
    <w:p w14:paraId="6E0BF919" w14:textId="77777777" w:rsidR="00CD3630" w:rsidRDefault="002B7350">
      <w:pPr>
        <w:spacing w:before="120"/>
        <w:ind w:left="10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6E0BF91A" w14:textId="77777777" w:rsidR="00CD3630" w:rsidRDefault="002B7350">
      <w:pPr>
        <w:pStyle w:val="Heading1"/>
        <w:spacing w:before="12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6E0BF91B" w14:textId="77777777" w:rsidR="00CD3630" w:rsidRDefault="00CD3630">
      <w:pPr>
        <w:sectPr w:rsidR="00CD3630">
          <w:type w:val="continuous"/>
          <w:pgSz w:w="11910" w:h="16840"/>
          <w:pgMar w:top="1460" w:right="1320" w:bottom="280" w:left="1340" w:header="720" w:footer="720" w:gutter="0"/>
          <w:cols w:space="720"/>
        </w:sectPr>
      </w:pPr>
    </w:p>
    <w:p w14:paraId="6E0BF91C" w14:textId="77777777" w:rsidR="00CD3630" w:rsidRDefault="002B7350">
      <w:pPr>
        <w:spacing w:before="76"/>
        <w:ind w:left="100"/>
        <w:rPr>
          <w:b/>
          <w:sz w:val="18"/>
        </w:rPr>
      </w:pPr>
      <w:r>
        <w:rPr>
          <w:b/>
          <w:sz w:val="18"/>
        </w:rPr>
        <w:lastRenderedPageBreak/>
        <w:t>Notes</w:t>
      </w:r>
    </w:p>
    <w:p w14:paraId="6E0BF91D" w14:textId="77777777" w:rsidR="00CD3630" w:rsidRDefault="002B7350">
      <w:pPr>
        <w:pStyle w:val="BodyText"/>
        <w:spacing w:before="3"/>
        <w:ind w:left="100"/>
      </w:pPr>
      <w:r>
        <w:rPr>
          <w:i/>
        </w:rPr>
        <w:t xml:space="preserve">Note 1 </w:t>
      </w:r>
      <w:r>
        <w:t>A person who holds an Approval under section 14 of the Act may apply to the Treasurer u</w:t>
      </w:r>
      <w:r>
        <w:t>nder subsection 17(1) of the Act, to vary the percentage specified in the Approval.</w:t>
      </w:r>
    </w:p>
    <w:p w14:paraId="6E0BF91E" w14:textId="77777777" w:rsidR="00CD3630" w:rsidRDefault="00CD3630">
      <w:pPr>
        <w:pStyle w:val="BodyText"/>
        <w:spacing w:before="9"/>
        <w:rPr>
          <w:sz w:val="20"/>
        </w:rPr>
      </w:pPr>
    </w:p>
    <w:p w14:paraId="6E0BF91F" w14:textId="77777777" w:rsidR="00CD3630" w:rsidRDefault="002B7350">
      <w:pPr>
        <w:pStyle w:val="BodyText"/>
        <w:ind w:left="100" w:right="117"/>
        <w:jc w:val="both"/>
      </w:pPr>
      <w:r>
        <w:rPr>
          <w:i/>
        </w:rPr>
        <w:t xml:space="preserve">Note 2 </w:t>
      </w:r>
      <w:r>
        <w:t>Under subsection 17(6) of the Act, the Treasurer may, on the Treasurer’s own initiative, by written notice given to a person who holds an Approval under section 14,</w:t>
      </w:r>
      <w:r>
        <w:t xml:space="preserve"> vary the percentage specified in the Approval if the Treasurer is satisfied it is in the national interest to do so.</w:t>
      </w:r>
    </w:p>
    <w:p w14:paraId="6E0BF920" w14:textId="77777777" w:rsidR="00CD3630" w:rsidRDefault="00CD3630">
      <w:pPr>
        <w:pStyle w:val="BodyText"/>
        <w:rPr>
          <w:sz w:val="21"/>
        </w:rPr>
      </w:pPr>
    </w:p>
    <w:p w14:paraId="6E0BF921" w14:textId="77777777" w:rsidR="00CD3630" w:rsidRDefault="002B7350">
      <w:pPr>
        <w:pStyle w:val="BodyText"/>
        <w:ind w:left="100" w:right="117"/>
        <w:jc w:val="both"/>
      </w:pPr>
      <w:r>
        <w:rPr>
          <w:i/>
        </w:rPr>
        <w:t xml:space="preserve">Note 3 </w:t>
      </w:r>
      <w:r>
        <w:t>The circumstances in which the Treasurer may revoke a person’s Approval under section 14 are set out in subsection 18(1) of the Ac</w:t>
      </w:r>
      <w:r>
        <w:t>t.</w:t>
      </w:r>
    </w:p>
    <w:p w14:paraId="6E0BF922" w14:textId="77777777" w:rsidR="00CD3630" w:rsidRDefault="00CD3630">
      <w:pPr>
        <w:pStyle w:val="BodyText"/>
        <w:spacing w:before="8"/>
        <w:rPr>
          <w:sz w:val="20"/>
        </w:rPr>
      </w:pPr>
    </w:p>
    <w:p w14:paraId="6E0BF923" w14:textId="77777777" w:rsidR="00CD3630" w:rsidRDefault="002B7350">
      <w:pPr>
        <w:pStyle w:val="BodyText"/>
        <w:spacing w:before="1"/>
        <w:ind w:left="100" w:right="118"/>
        <w:jc w:val="both"/>
      </w:pPr>
      <w:r>
        <w:rPr>
          <w:i/>
        </w:rPr>
        <w:t xml:space="preserve">Note 4 </w:t>
      </w:r>
      <w:r>
        <w:t xml:space="preserve">Section 19 of the Act provides for flow-on approvals. If an Approval has been granted for the holding of a stake in a financial sector company and the financial sector company is a holding company for an </w:t>
      </w:r>
      <w:proofErr w:type="spellStart"/>
      <w:r>
        <w:t>authorised</w:t>
      </w:r>
      <w:proofErr w:type="spellEnd"/>
      <w:r>
        <w:t xml:space="preserve"> deposit-taking institution or an </w:t>
      </w:r>
      <w:proofErr w:type="spellStart"/>
      <w:r>
        <w:t>authoris</w:t>
      </w:r>
      <w:r>
        <w:t>ed</w:t>
      </w:r>
      <w:proofErr w:type="spellEnd"/>
      <w:r>
        <w:t xml:space="preserve"> insurance company, then an approval is taken to exist for the holding of a stake of equal value in each financial sector company that is a 100% subsidiary of the holding company.</w:t>
      </w:r>
    </w:p>
    <w:p w14:paraId="6E0BF924" w14:textId="77777777" w:rsidR="00CD3630" w:rsidRDefault="00CD3630">
      <w:pPr>
        <w:pStyle w:val="BodyText"/>
        <w:rPr>
          <w:sz w:val="21"/>
        </w:rPr>
      </w:pPr>
    </w:p>
    <w:p w14:paraId="6E0BF925" w14:textId="77777777" w:rsidR="00CD3630" w:rsidRDefault="002B7350">
      <w:pPr>
        <w:pStyle w:val="BodyText"/>
        <w:ind w:left="100" w:right="115"/>
        <w:jc w:val="both"/>
      </w:pPr>
      <w:r>
        <w:rPr>
          <w:i/>
        </w:rPr>
        <w:t xml:space="preserve">Note 5 </w:t>
      </w:r>
      <w:r>
        <w:t>Under section 14 of the Act, the Treasurer must give written notic</w:t>
      </w:r>
      <w:r>
        <w:t>e of this Approval to the applicant and financial</w:t>
      </w:r>
      <w:r>
        <w:rPr>
          <w:spacing w:val="-4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instrument will</w:t>
      </w:r>
      <w:r>
        <w:rPr>
          <w:spacing w:val="-3"/>
        </w:rPr>
        <w:t xml:space="preserve"> </w:t>
      </w:r>
      <w:r>
        <w:t>be registered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as a notifiable</w:t>
      </w:r>
      <w:r>
        <w:rPr>
          <w:spacing w:val="-1"/>
        </w:rPr>
        <w:t xml:space="preserve"> </w:t>
      </w:r>
      <w:r>
        <w:t>instrument.</w:t>
      </w:r>
    </w:p>
    <w:p w14:paraId="6E0BF926" w14:textId="77777777" w:rsidR="00CD3630" w:rsidRDefault="00CD3630">
      <w:pPr>
        <w:pStyle w:val="BodyText"/>
        <w:spacing w:before="10"/>
        <w:rPr>
          <w:sz w:val="20"/>
        </w:rPr>
      </w:pPr>
    </w:p>
    <w:p w14:paraId="6E0BF927" w14:textId="77777777" w:rsidR="00CD3630" w:rsidRDefault="002B7350">
      <w:pPr>
        <w:pStyle w:val="BodyText"/>
        <w:ind w:left="100" w:right="115"/>
        <w:jc w:val="both"/>
      </w:pPr>
      <w:r>
        <w:rPr>
          <w:i/>
        </w:rPr>
        <w:t xml:space="preserve">Note 6 </w:t>
      </w:r>
      <w:r>
        <w:t>Under section 11 of the Act, a person or 2 or more persons under an</w:t>
      </w:r>
      <w:r>
        <w:t xml:space="preserve"> arrangement are guilty of an offence if the person(s) acquires shares in a company and the acquisition has the result, in relation to a financial sector company, that:</w:t>
      </w:r>
    </w:p>
    <w:p w14:paraId="6E0BF928" w14:textId="77777777" w:rsidR="00CD3630" w:rsidRDefault="00CD3630">
      <w:pPr>
        <w:pStyle w:val="BodyText"/>
        <w:spacing w:before="9"/>
        <w:rPr>
          <w:sz w:val="20"/>
        </w:rPr>
      </w:pPr>
    </w:p>
    <w:p w14:paraId="6E0BF929" w14:textId="77777777" w:rsidR="00CD3630" w:rsidRDefault="002B7350">
      <w:pPr>
        <w:pStyle w:val="ListParagraph"/>
        <w:numPr>
          <w:ilvl w:val="0"/>
          <w:numId w:val="2"/>
        </w:numPr>
        <w:tabs>
          <w:tab w:val="left" w:pos="311"/>
        </w:tabs>
        <w:rPr>
          <w:sz w:val="18"/>
        </w:rPr>
      </w:pPr>
      <w:r>
        <w:rPr>
          <w:sz w:val="18"/>
        </w:rPr>
        <w:t>an unacceptable shareholding situation comes into existence;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</w:p>
    <w:p w14:paraId="6E0BF92A" w14:textId="77777777" w:rsidR="00CD3630" w:rsidRDefault="00CD3630">
      <w:pPr>
        <w:pStyle w:val="BodyText"/>
        <w:spacing w:before="10"/>
        <w:rPr>
          <w:sz w:val="20"/>
        </w:rPr>
      </w:pPr>
    </w:p>
    <w:p w14:paraId="6E0BF92B" w14:textId="77777777" w:rsidR="00CD3630" w:rsidRDefault="002B7350">
      <w:pPr>
        <w:pStyle w:val="ListParagraph"/>
        <w:numPr>
          <w:ilvl w:val="0"/>
          <w:numId w:val="2"/>
        </w:numPr>
        <w:tabs>
          <w:tab w:val="left" w:pos="358"/>
        </w:tabs>
        <w:ind w:left="100" w:right="118" w:firstLine="0"/>
        <w:rPr>
          <w:sz w:val="18"/>
        </w:rPr>
      </w:pPr>
      <w:r>
        <w:rPr>
          <w:sz w:val="18"/>
        </w:rPr>
        <w:t>if an unacceptable shareholding situation already exists in relation to the company and in relation to a person there is an increase in the stake held by the person in the</w:t>
      </w:r>
      <w:r>
        <w:rPr>
          <w:spacing w:val="-18"/>
          <w:sz w:val="18"/>
        </w:rPr>
        <w:t xml:space="preserve"> </w:t>
      </w:r>
      <w:r>
        <w:rPr>
          <w:sz w:val="18"/>
        </w:rPr>
        <w:t>company;</w:t>
      </w:r>
    </w:p>
    <w:p w14:paraId="6E0BF92C" w14:textId="77777777" w:rsidR="00CD3630" w:rsidRDefault="00CD3630">
      <w:pPr>
        <w:pStyle w:val="BodyText"/>
        <w:rPr>
          <w:sz w:val="21"/>
        </w:rPr>
      </w:pPr>
    </w:p>
    <w:p w14:paraId="6E0BF92D" w14:textId="77777777" w:rsidR="00CD3630" w:rsidRDefault="002B7350">
      <w:pPr>
        <w:pStyle w:val="BodyText"/>
        <w:ind w:left="100" w:right="116"/>
        <w:jc w:val="both"/>
      </w:pPr>
      <w:r>
        <w:t>and the person(s) was reckless as to whether the acquisition would have th</w:t>
      </w:r>
      <w:r>
        <w:t>at result. A maximum penalty of 400 penalty units applies or by virtue of subsection 4</w:t>
      </w:r>
      <w:proofErr w:type="gramStart"/>
      <w:r>
        <w:t>B(</w:t>
      </w:r>
      <w:proofErr w:type="gramEnd"/>
      <w:r>
        <w:t xml:space="preserve">3) of the Crimes Act 1914, in the case of a body corporate, a penalty not exceeding 2,000 penalty units. By virtue of section 39 of the Act, an offence against section </w:t>
      </w:r>
      <w:r>
        <w:t>11 is an indictable offence.</w:t>
      </w:r>
    </w:p>
    <w:p w14:paraId="6E0BF92E" w14:textId="77777777" w:rsidR="00CD3630" w:rsidRDefault="00CD3630">
      <w:pPr>
        <w:pStyle w:val="BodyText"/>
        <w:spacing w:before="10"/>
        <w:rPr>
          <w:sz w:val="20"/>
        </w:rPr>
      </w:pPr>
    </w:p>
    <w:p w14:paraId="6E0BF92F" w14:textId="77777777" w:rsidR="00CD3630" w:rsidRDefault="002B7350">
      <w:pPr>
        <w:pStyle w:val="BodyText"/>
        <w:ind w:left="100" w:right="118"/>
        <w:jc w:val="both"/>
      </w:pPr>
      <w:r>
        <w:rPr>
          <w:i/>
        </w:rPr>
        <w:t xml:space="preserve">Note 7 </w:t>
      </w:r>
      <w:r>
        <w:t>Under subsection 32(3) of the Act, if a person has engaged in or is proposing to engage in any conduct in contravention of a condition to which an approval under section 14 is subject, the Federal Court may, on the appl</w:t>
      </w:r>
      <w:r>
        <w:t>ication of the Treasurer, grant an injunction:</w:t>
      </w:r>
    </w:p>
    <w:p w14:paraId="6E0BF930" w14:textId="77777777" w:rsidR="00CD3630" w:rsidRDefault="00CD3630">
      <w:pPr>
        <w:pStyle w:val="BodyText"/>
        <w:spacing w:before="9"/>
        <w:rPr>
          <w:sz w:val="20"/>
        </w:rPr>
      </w:pPr>
    </w:p>
    <w:p w14:paraId="6E0BF931" w14:textId="77777777" w:rsidR="00CD3630" w:rsidRDefault="002B7350">
      <w:pPr>
        <w:pStyle w:val="ListParagraph"/>
        <w:numPr>
          <w:ilvl w:val="0"/>
          <w:numId w:val="1"/>
        </w:numPr>
        <w:tabs>
          <w:tab w:val="left" w:pos="311"/>
        </w:tabs>
        <w:rPr>
          <w:sz w:val="18"/>
        </w:rPr>
      </w:pPr>
      <w:r>
        <w:rPr>
          <w:sz w:val="18"/>
        </w:rPr>
        <w:t>restraining the person engaging in the conduct;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</w:p>
    <w:p w14:paraId="6E0BF932" w14:textId="77777777" w:rsidR="00CD3630" w:rsidRDefault="00CD3630">
      <w:pPr>
        <w:pStyle w:val="BodyText"/>
        <w:spacing w:before="10"/>
        <w:rPr>
          <w:sz w:val="20"/>
        </w:rPr>
      </w:pPr>
    </w:p>
    <w:p w14:paraId="6E0BF933" w14:textId="77777777" w:rsidR="00CD3630" w:rsidRDefault="002B7350">
      <w:pPr>
        <w:pStyle w:val="ListParagraph"/>
        <w:numPr>
          <w:ilvl w:val="0"/>
          <w:numId w:val="1"/>
        </w:numPr>
        <w:tabs>
          <w:tab w:val="left" w:pos="351"/>
        </w:tabs>
        <w:spacing w:before="1"/>
        <w:ind w:left="350" w:hanging="251"/>
        <w:rPr>
          <w:sz w:val="18"/>
        </w:rPr>
      </w:pPr>
      <w:r>
        <w:rPr>
          <w:sz w:val="18"/>
        </w:rPr>
        <w:t>if in the Court’s opinion, it is desirable to do so, requiring the person to do</w:t>
      </w:r>
      <w:r>
        <w:rPr>
          <w:spacing w:val="-19"/>
          <w:sz w:val="18"/>
        </w:rPr>
        <w:t xml:space="preserve"> </w:t>
      </w:r>
      <w:r>
        <w:rPr>
          <w:sz w:val="18"/>
        </w:rPr>
        <w:t>something.</w:t>
      </w:r>
    </w:p>
    <w:p w14:paraId="6E0BF934" w14:textId="77777777" w:rsidR="00CD3630" w:rsidRDefault="00CD3630">
      <w:pPr>
        <w:pStyle w:val="BodyText"/>
        <w:rPr>
          <w:sz w:val="20"/>
        </w:rPr>
      </w:pPr>
    </w:p>
    <w:p w14:paraId="6E0BF935" w14:textId="77777777" w:rsidR="00CD3630" w:rsidRDefault="00CD3630">
      <w:pPr>
        <w:pStyle w:val="BodyText"/>
        <w:rPr>
          <w:sz w:val="20"/>
        </w:rPr>
      </w:pPr>
    </w:p>
    <w:p w14:paraId="6E0BF936" w14:textId="77777777" w:rsidR="00CD3630" w:rsidRDefault="00CD3630">
      <w:pPr>
        <w:pStyle w:val="BodyText"/>
        <w:rPr>
          <w:sz w:val="20"/>
        </w:rPr>
      </w:pPr>
    </w:p>
    <w:p w14:paraId="6E0BF937" w14:textId="77777777" w:rsidR="00CD3630" w:rsidRDefault="00CD3630">
      <w:pPr>
        <w:pStyle w:val="BodyText"/>
        <w:rPr>
          <w:sz w:val="20"/>
        </w:rPr>
      </w:pPr>
    </w:p>
    <w:p w14:paraId="6E0BF938" w14:textId="77777777" w:rsidR="00CD3630" w:rsidRDefault="00CD3630">
      <w:pPr>
        <w:pStyle w:val="BodyText"/>
        <w:rPr>
          <w:sz w:val="20"/>
        </w:rPr>
      </w:pPr>
    </w:p>
    <w:p w14:paraId="6E0BF939" w14:textId="77777777" w:rsidR="00CD3630" w:rsidRDefault="00CD3630">
      <w:pPr>
        <w:pStyle w:val="BodyText"/>
        <w:rPr>
          <w:sz w:val="20"/>
        </w:rPr>
      </w:pPr>
    </w:p>
    <w:p w14:paraId="6E0BF93A" w14:textId="77777777" w:rsidR="00CD3630" w:rsidRDefault="00CD3630">
      <w:pPr>
        <w:pStyle w:val="BodyText"/>
        <w:rPr>
          <w:sz w:val="20"/>
        </w:rPr>
      </w:pPr>
    </w:p>
    <w:p w14:paraId="6E0BF93B" w14:textId="77777777" w:rsidR="00CD3630" w:rsidRDefault="00CD3630">
      <w:pPr>
        <w:pStyle w:val="BodyText"/>
        <w:rPr>
          <w:sz w:val="20"/>
        </w:rPr>
      </w:pPr>
    </w:p>
    <w:p w14:paraId="6E0BF93C" w14:textId="77777777" w:rsidR="00CD3630" w:rsidRDefault="00CD3630">
      <w:pPr>
        <w:pStyle w:val="BodyText"/>
        <w:rPr>
          <w:sz w:val="20"/>
        </w:rPr>
      </w:pPr>
    </w:p>
    <w:p w14:paraId="6E0BF93D" w14:textId="77777777" w:rsidR="00CD3630" w:rsidRDefault="00CD3630">
      <w:pPr>
        <w:pStyle w:val="BodyText"/>
        <w:rPr>
          <w:sz w:val="20"/>
        </w:rPr>
      </w:pPr>
    </w:p>
    <w:p w14:paraId="6E0BF93E" w14:textId="77777777" w:rsidR="00CD3630" w:rsidRDefault="00CD3630">
      <w:pPr>
        <w:pStyle w:val="BodyText"/>
        <w:rPr>
          <w:sz w:val="20"/>
        </w:rPr>
      </w:pPr>
    </w:p>
    <w:p w14:paraId="6E0BF93F" w14:textId="77777777" w:rsidR="00CD3630" w:rsidRDefault="00CD3630">
      <w:pPr>
        <w:pStyle w:val="BodyText"/>
        <w:rPr>
          <w:sz w:val="20"/>
        </w:rPr>
      </w:pPr>
    </w:p>
    <w:p w14:paraId="6E0BF940" w14:textId="77777777" w:rsidR="00CD3630" w:rsidRDefault="00CD3630">
      <w:pPr>
        <w:pStyle w:val="BodyText"/>
        <w:rPr>
          <w:sz w:val="20"/>
        </w:rPr>
      </w:pPr>
    </w:p>
    <w:p w14:paraId="6E0BF941" w14:textId="77777777" w:rsidR="00CD3630" w:rsidRDefault="00CD3630">
      <w:pPr>
        <w:pStyle w:val="BodyText"/>
        <w:rPr>
          <w:sz w:val="20"/>
        </w:rPr>
      </w:pPr>
    </w:p>
    <w:p w14:paraId="6E0BF942" w14:textId="77777777" w:rsidR="00CD3630" w:rsidRDefault="00CD3630">
      <w:pPr>
        <w:pStyle w:val="BodyText"/>
        <w:rPr>
          <w:sz w:val="20"/>
        </w:rPr>
      </w:pPr>
    </w:p>
    <w:p w14:paraId="6E0BF943" w14:textId="77777777" w:rsidR="00CD3630" w:rsidRDefault="00CD3630">
      <w:pPr>
        <w:pStyle w:val="BodyText"/>
        <w:rPr>
          <w:sz w:val="20"/>
        </w:rPr>
      </w:pPr>
    </w:p>
    <w:p w14:paraId="6E0BF944" w14:textId="77777777" w:rsidR="00CD3630" w:rsidRDefault="00CD3630">
      <w:pPr>
        <w:pStyle w:val="BodyText"/>
        <w:rPr>
          <w:sz w:val="20"/>
        </w:rPr>
      </w:pPr>
    </w:p>
    <w:p w14:paraId="6E0BF945" w14:textId="77777777" w:rsidR="00CD3630" w:rsidRDefault="00CD3630">
      <w:pPr>
        <w:pStyle w:val="BodyText"/>
        <w:rPr>
          <w:sz w:val="20"/>
        </w:rPr>
      </w:pPr>
    </w:p>
    <w:p w14:paraId="6E0BF946" w14:textId="77777777" w:rsidR="00CD3630" w:rsidRDefault="00CD3630">
      <w:pPr>
        <w:pStyle w:val="BodyText"/>
        <w:rPr>
          <w:sz w:val="20"/>
        </w:rPr>
      </w:pPr>
    </w:p>
    <w:p w14:paraId="6E0BF947" w14:textId="77777777" w:rsidR="00CD3630" w:rsidRDefault="00CD3630">
      <w:pPr>
        <w:pStyle w:val="BodyText"/>
        <w:rPr>
          <w:sz w:val="20"/>
        </w:rPr>
      </w:pPr>
    </w:p>
    <w:p w14:paraId="6E0BF948" w14:textId="77777777" w:rsidR="00CD3630" w:rsidRDefault="00CD3630">
      <w:pPr>
        <w:pStyle w:val="BodyText"/>
        <w:rPr>
          <w:sz w:val="20"/>
        </w:rPr>
      </w:pPr>
    </w:p>
    <w:p w14:paraId="6E0BF949" w14:textId="77777777" w:rsidR="00CD3630" w:rsidRDefault="00CD3630">
      <w:pPr>
        <w:pStyle w:val="BodyText"/>
        <w:rPr>
          <w:sz w:val="20"/>
        </w:rPr>
      </w:pPr>
    </w:p>
    <w:p w14:paraId="6E0BF94A" w14:textId="77777777" w:rsidR="00CD3630" w:rsidRDefault="00CD3630">
      <w:pPr>
        <w:pStyle w:val="BodyText"/>
        <w:rPr>
          <w:sz w:val="20"/>
        </w:rPr>
      </w:pPr>
    </w:p>
    <w:p w14:paraId="6E0BF94B" w14:textId="77777777" w:rsidR="00CD3630" w:rsidRDefault="00CD3630">
      <w:pPr>
        <w:pStyle w:val="BodyText"/>
        <w:spacing w:before="3"/>
      </w:pPr>
    </w:p>
    <w:p w14:paraId="6E0BF94C" w14:textId="77777777" w:rsidR="00CD3630" w:rsidRDefault="002B7350">
      <w:pPr>
        <w:spacing w:before="95"/>
        <w:ind w:right="114"/>
        <w:jc w:val="right"/>
        <w:rPr>
          <w:sz w:val="16"/>
        </w:rPr>
      </w:pPr>
      <w:r>
        <w:rPr>
          <w:sz w:val="16"/>
        </w:rPr>
        <w:t>Page 2 of 2</w:t>
      </w:r>
    </w:p>
    <w:sectPr w:rsidR="00CD3630"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4C1FA" w14:textId="77777777" w:rsidR="002B7350" w:rsidRDefault="002B7350" w:rsidP="002B7350">
      <w:r>
        <w:separator/>
      </w:r>
    </w:p>
  </w:endnote>
  <w:endnote w:type="continuationSeparator" w:id="0">
    <w:p w14:paraId="1B73E3CB" w14:textId="77777777" w:rsidR="002B7350" w:rsidRDefault="002B7350" w:rsidP="002B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3E6AA" w14:textId="77777777" w:rsidR="002B7350" w:rsidRDefault="002B7350" w:rsidP="002B7350">
      <w:r>
        <w:separator/>
      </w:r>
    </w:p>
  </w:footnote>
  <w:footnote w:type="continuationSeparator" w:id="0">
    <w:p w14:paraId="7DD61F3C" w14:textId="77777777" w:rsidR="002B7350" w:rsidRDefault="002B7350" w:rsidP="002B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0E25"/>
    <w:multiLevelType w:val="hybridMultilevel"/>
    <w:tmpl w:val="C62C2CD8"/>
    <w:lvl w:ilvl="0" w:tplc="B65A382C">
      <w:start w:val="1"/>
      <w:numFmt w:val="lowerRoman"/>
      <w:lvlText w:val="(%1)"/>
      <w:lvlJc w:val="left"/>
      <w:pPr>
        <w:ind w:left="310" w:hanging="211"/>
        <w:jc w:val="left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1" w:tplc="42C639D0">
      <w:numFmt w:val="bullet"/>
      <w:lvlText w:val="•"/>
      <w:lvlJc w:val="left"/>
      <w:pPr>
        <w:ind w:left="1212" w:hanging="211"/>
      </w:pPr>
      <w:rPr>
        <w:rFonts w:hint="default"/>
        <w:lang w:val="en-US" w:eastAsia="en-US" w:bidi="en-US"/>
      </w:rPr>
    </w:lvl>
    <w:lvl w:ilvl="2" w:tplc="353A4AE2">
      <w:numFmt w:val="bullet"/>
      <w:lvlText w:val="•"/>
      <w:lvlJc w:val="left"/>
      <w:pPr>
        <w:ind w:left="2105" w:hanging="211"/>
      </w:pPr>
      <w:rPr>
        <w:rFonts w:hint="default"/>
        <w:lang w:val="en-US" w:eastAsia="en-US" w:bidi="en-US"/>
      </w:rPr>
    </w:lvl>
    <w:lvl w:ilvl="3" w:tplc="5532E242">
      <w:numFmt w:val="bullet"/>
      <w:lvlText w:val="•"/>
      <w:lvlJc w:val="left"/>
      <w:pPr>
        <w:ind w:left="2997" w:hanging="211"/>
      </w:pPr>
      <w:rPr>
        <w:rFonts w:hint="default"/>
        <w:lang w:val="en-US" w:eastAsia="en-US" w:bidi="en-US"/>
      </w:rPr>
    </w:lvl>
    <w:lvl w:ilvl="4" w:tplc="BA9EB124">
      <w:numFmt w:val="bullet"/>
      <w:lvlText w:val="•"/>
      <w:lvlJc w:val="left"/>
      <w:pPr>
        <w:ind w:left="3890" w:hanging="211"/>
      </w:pPr>
      <w:rPr>
        <w:rFonts w:hint="default"/>
        <w:lang w:val="en-US" w:eastAsia="en-US" w:bidi="en-US"/>
      </w:rPr>
    </w:lvl>
    <w:lvl w:ilvl="5" w:tplc="2DB252D6">
      <w:numFmt w:val="bullet"/>
      <w:lvlText w:val="•"/>
      <w:lvlJc w:val="left"/>
      <w:pPr>
        <w:ind w:left="4782" w:hanging="211"/>
      </w:pPr>
      <w:rPr>
        <w:rFonts w:hint="default"/>
        <w:lang w:val="en-US" w:eastAsia="en-US" w:bidi="en-US"/>
      </w:rPr>
    </w:lvl>
    <w:lvl w:ilvl="6" w:tplc="7688ADC8">
      <w:numFmt w:val="bullet"/>
      <w:lvlText w:val="•"/>
      <w:lvlJc w:val="left"/>
      <w:pPr>
        <w:ind w:left="5675" w:hanging="211"/>
      </w:pPr>
      <w:rPr>
        <w:rFonts w:hint="default"/>
        <w:lang w:val="en-US" w:eastAsia="en-US" w:bidi="en-US"/>
      </w:rPr>
    </w:lvl>
    <w:lvl w:ilvl="7" w:tplc="8210FD96">
      <w:numFmt w:val="bullet"/>
      <w:lvlText w:val="•"/>
      <w:lvlJc w:val="left"/>
      <w:pPr>
        <w:ind w:left="6567" w:hanging="211"/>
      </w:pPr>
      <w:rPr>
        <w:rFonts w:hint="default"/>
        <w:lang w:val="en-US" w:eastAsia="en-US" w:bidi="en-US"/>
      </w:rPr>
    </w:lvl>
    <w:lvl w:ilvl="8" w:tplc="2A7C3372">
      <w:numFmt w:val="bullet"/>
      <w:lvlText w:val="•"/>
      <w:lvlJc w:val="left"/>
      <w:pPr>
        <w:ind w:left="7460" w:hanging="211"/>
      </w:pPr>
      <w:rPr>
        <w:rFonts w:hint="default"/>
        <w:lang w:val="en-US" w:eastAsia="en-US" w:bidi="en-US"/>
      </w:rPr>
    </w:lvl>
  </w:abstractNum>
  <w:abstractNum w:abstractNumId="1" w15:restartNumberingAfterBreak="0">
    <w:nsid w:val="089A3881"/>
    <w:multiLevelType w:val="hybridMultilevel"/>
    <w:tmpl w:val="D0909938"/>
    <w:lvl w:ilvl="0" w:tplc="A0D0BDFA">
      <w:start w:val="1"/>
      <w:numFmt w:val="upperLetter"/>
      <w:lvlText w:val="%1."/>
      <w:lvlJc w:val="left"/>
      <w:pPr>
        <w:ind w:left="810" w:hanging="710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9FCCD93C">
      <w:numFmt w:val="bullet"/>
      <w:lvlText w:val="•"/>
      <w:lvlJc w:val="left"/>
      <w:pPr>
        <w:ind w:left="1662" w:hanging="710"/>
      </w:pPr>
      <w:rPr>
        <w:rFonts w:hint="default"/>
        <w:lang w:val="en-US" w:eastAsia="en-US" w:bidi="en-US"/>
      </w:rPr>
    </w:lvl>
    <w:lvl w:ilvl="2" w:tplc="6690FE0A">
      <w:numFmt w:val="bullet"/>
      <w:lvlText w:val="•"/>
      <w:lvlJc w:val="left"/>
      <w:pPr>
        <w:ind w:left="2505" w:hanging="710"/>
      </w:pPr>
      <w:rPr>
        <w:rFonts w:hint="default"/>
        <w:lang w:val="en-US" w:eastAsia="en-US" w:bidi="en-US"/>
      </w:rPr>
    </w:lvl>
    <w:lvl w:ilvl="3" w:tplc="901CFBE6">
      <w:numFmt w:val="bullet"/>
      <w:lvlText w:val="•"/>
      <w:lvlJc w:val="left"/>
      <w:pPr>
        <w:ind w:left="3347" w:hanging="710"/>
      </w:pPr>
      <w:rPr>
        <w:rFonts w:hint="default"/>
        <w:lang w:val="en-US" w:eastAsia="en-US" w:bidi="en-US"/>
      </w:rPr>
    </w:lvl>
    <w:lvl w:ilvl="4" w:tplc="587ACBB8">
      <w:numFmt w:val="bullet"/>
      <w:lvlText w:val="•"/>
      <w:lvlJc w:val="left"/>
      <w:pPr>
        <w:ind w:left="4190" w:hanging="710"/>
      </w:pPr>
      <w:rPr>
        <w:rFonts w:hint="default"/>
        <w:lang w:val="en-US" w:eastAsia="en-US" w:bidi="en-US"/>
      </w:rPr>
    </w:lvl>
    <w:lvl w:ilvl="5" w:tplc="FC889C32">
      <w:numFmt w:val="bullet"/>
      <w:lvlText w:val="•"/>
      <w:lvlJc w:val="left"/>
      <w:pPr>
        <w:ind w:left="5032" w:hanging="710"/>
      </w:pPr>
      <w:rPr>
        <w:rFonts w:hint="default"/>
        <w:lang w:val="en-US" w:eastAsia="en-US" w:bidi="en-US"/>
      </w:rPr>
    </w:lvl>
    <w:lvl w:ilvl="6" w:tplc="D2EEA5EC">
      <w:numFmt w:val="bullet"/>
      <w:lvlText w:val="•"/>
      <w:lvlJc w:val="left"/>
      <w:pPr>
        <w:ind w:left="5875" w:hanging="710"/>
      </w:pPr>
      <w:rPr>
        <w:rFonts w:hint="default"/>
        <w:lang w:val="en-US" w:eastAsia="en-US" w:bidi="en-US"/>
      </w:rPr>
    </w:lvl>
    <w:lvl w:ilvl="7" w:tplc="B70CC1E8">
      <w:numFmt w:val="bullet"/>
      <w:lvlText w:val="•"/>
      <w:lvlJc w:val="left"/>
      <w:pPr>
        <w:ind w:left="6717" w:hanging="710"/>
      </w:pPr>
      <w:rPr>
        <w:rFonts w:hint="default"/>
        <w:lang w:val="en-US" w:eastAsia="en-US" w:bidi="en-US"/>
      </w:rPr>
    </w:lvl>
    <w:lvl w:ilvl="8" w:tplc="6BDC517E">
      <w:numFmt w:val="bullet"/>
      <w:lvlText w:val="•"/>
      <w:lvlJc w:val="left"/>
      <w:pPr>
        <w:ind w:left="7560" w:hanging="710"/>
      </w:pPr>
      <w:rPr>
        <w:rFonts w:hint="default"/>
        <w:lang w:val="en-US" w:eastAsia="en-US" w:bidi="en-US"/>
      </w:rPr>
    </w:lvl>
  </w:abstractNum>
  <w:abstractNum w:abstractNumId="2" w15:restartNumberingAfterBreak="0">
    <w:nsid w:val="5C5B6A04"/>
    <w:multiLevelType w:val="hybridMultilevel"/>
    <w:tmpl w:val="B0AADDCC"/>
    <w:lvl w:ilvl="0" w:tplc="958C8746">
      <w:start w:val="1"/>
      <w:numFmt w:val="lowerRoman"/>
      <w:lvlText w:val="(%1)"/>
      <w:lvlJc w:val="left"/>
      <w:pPr>
        <w:ind w:left="310" w:hanging="211"/>
        <w:jc w:val="left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1" w:tplc="170CA4C4">
      <w:numFmt w:val="bullet"/>
      <w:lvlText w:val="•"/>
      <w:lvlJc w:val="left"/>
      <w:pPr>
        <w:ind w:left="1212" w:hanging="211"/>
      </w:pPr>
      <w:rPr>
        <w:rFonts w:hint="default"/>
        <w:lang w:val="en-US" w:eastAsia="en-US" w:bidi="en-US"/>
      </w:rPr>
    </w:lvl>
    <w:lvl w:ilvl="2" w:tplc="A492F288">
      <w:numFmt w:val="bullet"/>
      <w:lvlText w:val="•"/>
      <w:lvlJc w:val="left"/>
      <w:pPr>
        <w:ind w:left="2105" w:hanging="211"/>
      </w:pPr>
      <w:rPr>
        <w:rFonts w:hint="default"/>
        <w:lang w:val="en-US" w:eastAsia="en-US" w:bidi="en-US"/>
      </w:rPr>
    </w:lvl>
    <w:lvl w:ilvl="3" w:tplc="D804BC46">
      <w:numFmt w:val="bullet"/>
      <w:lvlText w:val="•"/>
      <w:lvlJc w:val="left"/>
      <w:pPr>
        <w:ind w:left="2997" w:hanging="211"/>
      </w:pPr>
      <w:rPr>
        <w:rFonts w:hint="default"/>
        <w:lang w:val="en-US" w:eastAsia="en-US" w:bidi="en-US"/>
      </w:rPr>
    </w:lvl>
    <w:lvl w:ilvl="4" w:tplc="7F624B36">
      <w:numFmt w:val="bullet"/>
      <w:lvlText w:val="•"/>
      <w:lvlJc w:val="left"/>
      <w:pPr>
        <w:ind w:left="3890" w:hanging="211"/>
      </w:pPr>
      <w:rPr>
        <w:rFonts w:hint="default"/>
        <w:lang w:val="en-US" w:eastAsia="en-US" w:bidi="en-US"/>
      </w:rPr>
    </w:lvl>
    <w:lvl w:ilvl="5" w:tplc="E906488C">
      <w:numFmt w:val="bullet"/>
      <w:lvlText w:val="•"/>
      <w:lvlJc w:val="left"/>
      <w:pPr>
        <w:ind w:left="4782" w:hanging="211"/>
      </w:pPr>
      <w:rPr>
        <w:rFonts w:hint="default"/>
        <w:lang w:val="en-US" w:eastAsia="en-US" w:bidi="en-US"/>
      </w:rPr>
    </w:lvl>
    <w:lvl w:ilvl="6" w:tplc="8D881744">
      <w:numFmt w:val="bullet"/>
      <w:lvlText w:val="•"/>
      <w:lvlJc w:val="left"/>
      <w:pPr>
        <w:ind w:left="5675" w:hanging="211"/>
      </w:pPr>
      <w:rPr>
        <w:rFonts w:hint="default"/>
        <w:lang w:val="en-US" w:eastAsia="en-US" w:bidi="en-US"/>
      </w:rPr>
    </w:lvl>
    <w:lvl w:ilvl="7" w:tplc="D8B637F4">
      <w:numFmt w:val="bullet"/>
      <w:lvlText w:val="•"/>
      <w:lvlJc w:val="left"/>
      <w:pPr>
        <w:ind w:left="6567" w:hanging="211"/>
      </w:pPr>
      <w:rPr>
        <w:rFonts w:hint="default"/>
        <w:lang w:val="en-US" w:eastAsia="en-US" w:bidi="en-US"/>
      </w:rPr>
    </w:lvl>
    <w:lvl w:ilvl="8" w:tplc="F9086D0E">
      <w:numFmt w:val="bullet"/>
      <w:lvlText w:val="•"/>
      <w:lvlJc w:val="left"/>
      <w:pPr>
        <w:ind w:left="7460" w:hanging="21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630"/>
    <w:rsid w:val="002B7350"/>
    <w:rsid w:val="00CD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BF902"/>
  <w15:docId w15:val="{364411A6-5C54-4004-B32D-1AA5E9C4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10" w:hanging="7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_dlc_DocId xmlns="814d62cb-2db6-4c25-ab62-b9075facbc11">5JENXJJSCC7A-445999044-11516</_dlc_DocId>
    <TaxCatchAll xmlns="814d62cb-2db6-4c25-ab62-b9075facbc11">
      <Value>24</Value>
      <Value>83</Value>
      <Value>134</Value>
      <Value>26</Value>
      <Value>109</Value>
      <Value>93</Value>
      <Value>58</Value>
      <Value>230</Value>
      <Value>4</Value>
      <Value>19</Value>
    </TaxCatchAll>
    <_dlc_DocIdUrl xmlns="814d62cb-2db6-4c25-ab62-b9075facbc11">
      <Url>https://im/teams/LEGAL/_layouts/15/DocIdRedir.aspx?ID=5JENXJJSCC7A-445999044-11516</Url>
      <Description>5JENXJJSCC7A-445999044-11516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Approval to hold the transferring business of a financial sector company No. 3 of 2021</APRADescription>
    <APRAActivityID xmlns="814d62cb-2db6-4c25-ab62-b9075facbc11" xsi:nil="true"/>
    <APRADocScanCheck xmlns="814d62cb-2db6-4c25-ab62-b9075facbc11">false</APRADocScanChec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C2480D-191C-42FA-877F-C06B3F94937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D3217A3-A0BB-47E4-B01A-377927139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4363D-02AA-4ED5-9F7A-5B60A9D2EF6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814d62cb-2db6-4c25-ab62-b9075facbc11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7C1266D-F761-44E0-9364-C844524AD9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8E0757-A2B6-41A7-9F5D-756B4CBEFCC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3252</Characters>
  <Application>Microsoft Office Word</Application>
  <DocSecurity>0</DocSecurity>
  <Lines>104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Teacher's mutual - Approval to hold the transferring business</vt:lpstr>
    </vt:vector>
  </TitlesOfParts>
  <Company>APRA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 Mutual Bank Limited - FSSA - 030821</dc:title>
  <dc:creator>Li, Joanne</dc:creator>
  <cp:keywords> [SEC=OFFICIAL]</cp:keywords>
  <cp:lastModifiedBy>Michalis, Toni</cp:lastModifiedBy>
  <cp:revision>2</cp:revision>
  <dcterms:created xsi:type="dcterms:W3CDTF">2021-08-06T07:41:00Z</dcterms:created>
  <dcterms:modified xsi:type="dcterms:W3CDTF">2021-08-06T07:43:00Z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2021-08-06T00:00:00Z</vt:filetime>
  </property>
  <property fmtid="{D5CDD505-2E9C-101B-9397-08002B2CF9AE}" pid="5" name="APRAPeriod">
    <vt:lpwstr/>
  </property>
  <property fmtid="{D5CDD505-2E9C-101B-9397-08002B2CF9AE}" pid="6" name="APRACostCentre">
    <vt:lpwstr>24;#Legal - ADI|652d8d2a-ab45-47b4-ac6e-fe6ac9299b39;#83;#Legal - Insurance: Life|56f18b50-6605-4f3f-97e3-cad1cb5394e0;#93;#Legal - Insurance: Health|21611e62-d688-4f0d-8807-02701cc43699;#26;#Legal - Insurance: General|8229dc1a-d7f2-47b2-844a-b026fed0c13d;#134;#Legal - Superannuation|cce3181d-fd23-4eee-94d3-c66abc2350cf;#4;#Legal - Resolution ＆ Corporate|696624b1-19f4-47b2-a07b-57868a922a96</vt:lpwstr>
  </property>
  <property fmtid="{D5CDD505-2E9C-101B-9397-08002B2CF9AE}" pid="7" name="APRALegislation">
    <vt:lpwstr/>
  </property>
  <property fmtid="{D5CDD505-2E9C-101B-9397-08002B2CF9AE}" pid="8" name="APRAYear">
    <vt:lpwstr>230;#2021|0e1e43df-81ea-47af-89d8-970d5d5956ff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849069fd-27f2-4502-8dea-b3d75977a192</vt:lpwstr>
  </property>
  <property fmtid="{D5CDD505-2E9C-101B-9397-08002B2CF9AE}" pid="12" name="APRAPRSG">
    <vt:lpwstr/>
  </property>
  <property fmtid="{D5CDD505-2E9C-101B-9397-08002B2CF9AE}" pid="13" name="IsLocked">
    <vt:lpwstr>False</vt:lpwstr>
  </property>
  <property fmtid="{D5CDD505-2E9C-101B-9397-08002B2CF9AE}" pid="14" name="APRAStatus">
    <vt:lpwstr>19;#Final|84d6b2d0-8498-4d62-bf46-bab38babbe9e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E08437C43BC544FFAF428D9C552CF964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OriginationTimeStamp">
    <vt:lpwstr>2021-08-06T07:43:09Z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2018.3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Hash_Version">
    <vt:lpwstr>2018.0</vt:lpwstr>
  </property>
  <property fmtid="{D5CDD505-2E9C-101B-9397-08002B2CF9AE}" pid="32" name="PM_Hash_Salt_Prev">
    <vt:lpwstr>A2638417DBD2A8041EB1B7935DA2B2EC</vt:lpwstr>
  </property>
  <property fmtid="{D5CDD505-2E9C-101B-9397-08002B2CF9AE}" pid="33" name="PM_Hash_Salt">
    <vt:lpwstr>DF7B7ECA6751D3B05BFD0227E52A4C6D</vt:lpwstr>
  </property>
  <property fmtid="{D5CDD505-2E9C-101B-9397-08002B2CF9AE}" pid="34" name="PM_Hash_SHA1">
    <vt:lpwstr>19FD60387108415CEB539349CB12FB470DF7C190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IT system type">
    <vt:lpwstr/>
  </property>
  <property fmtid="{D5CDD505-2E9C-101B-9397-08002B2CF9AE}" pid="38" name="APRACategory">
    <vt:lpwstr/>
  </property>
  <property fmtid="{D5CDD505-2E9C-101B-9397-08002B2CF9AE}" pid="39" name="APRADocumentType">
    <vt:lpwstr>58;#Legal instrument|71fd6ed3-d6d6-4975-ba99-bfe45802e734</vt:lpwstr>
  </property>
  <property fmtid="{D5CDD505-2E9C-101B-9397-08002B2CF9AE}" pid="40" name="APRAActivity">
    <vt:lpwstr>109;#Statutory instrument|fe68928c-5a9c-4caf-bc8c-6c18cedcb17f</vt:lpwstr>
  </property>
  <property fmtid="{D5CDD505-2E9C-101B-9397-08002B2CF9AE}" pid="41" name="APRAEntityAdviceSupport">
    <vt:lpwstr/>
  </property>
  <property fmtid="{D5CDD505-2E9C-101B-9397-08002B2CF9AE}" pid="42" name="APRAExternalOrganisation">
    <vt:lpwstr/>
  </property>
  <property fmtid="{D5CDD505-2E9C-101B-9397-08002B2CF9AE}" pid="43" name="APRAIRTR">
    <vt:lpwstr/>
  </property>
  <property fmtid="{D5CDD505-2E9C-101B-9397-08002B2CF9AE}" pid="44" name="RecordPoint_WorkflowType">
    <vt:lpwstr>ActiveSubmitStub</vt:lpwstr>
  </property>
  <property fmtid="{D5CDD505-2E9C-101B-9397-08002B2CF9AE}" pid="45" name="RecordPoint_ActiveItemSiteId">
    <vt:lpwstr>{88691c01-5bbb-4215-adc0-66cb7065b0af}</vt:lpwstr>
  </property>
  <property fmtid="{D5CDD505-2E9C-101B-9397-08002B2CF9AE}" pid="46" name="RecordPoint_ActiveItemListId">
    <vt:lpwstr>{0e59e171-09d8-4401-800a-327154450cb3}</vt:lpwstr>
  </property>
  <property fmtid="{D5CDD505-2E9C-101B-9397-08002B2CF9AE}" pid="47" name="RecordPoint_ActiveItemUniqueId">
    <vt:lpwstr>{849069fd-27f2-4502-8dea-b3d75977a192}</vt:lpwstr>
  </property>
  <property fmtid="{D5CDD505-2E9C-101B-9397-08002B2CF9AE}" pid="48" name="RecordPoint_ActiveItemWebId">
    <vt:lpwstr>{75a71c27-8d66-4282-ae60-1bfc22a83be1}</vt:lpwstr>
  </property>
</Properties>
</file>