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A30" w:rsidRDefault="006C4A30" w:rsidP="006C4A30">
      <w:pPr>
        <w:pStyle w:val="ttCrest"/>
        <w:rPr>
          <w:sz w:val="19"/>
        </w:rPr>
      </w:pPr>
      <w:r>
        <w:rPr>
          <w:noProof/>
          <w:lang w:eastAsia="en-AU"/>
        </w:rPr>
        <w:drawing>
          <wp:inline distT="0" distB="0" distL="0" distR="0" wp14:anchorId="7533ECE0" wp14:editId="7533ECE1">
            <wp:extent cx="1498600" cy="110172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p>
    <w:p w:rsidR="00F81A21" w:rsidRDefault="00634D19" w:rsidP="00F81A21">
      <w:pPr>
        <w:pStyle w:val="ShortT"/>
      </w:pPr>
      <w:r>
        <w:t>Fuel Security</w:t>
      </w:r>
      <w:r w:rsidR="00225D68">
        <w:t xml:space="preserve"> (</w:t>
      </w:r>
      <w:r>
        <w:t>Fuel Security Services Payment</w:t>
      </w:r>
      <w:r w:rsidR="00225D68">
        <w:t xml:space="preserve">) </w:t>
      </w:r>
      <w:r w:rsidR="00D537D2">
        <w:t>Guidelines</w:t>
      </w:r>
      <w:r>
        <w:t xml:space="preserve"> 2021</w:t>
      </w:r>
    </w:p>
    <w:p w:rsidR="00F81A21" w:rsidRPr="002A0313" w:rsidRDefault="00F81A21" w:rsidP="00F81A21">
      <w:pPr>
        <w:pStyle w:val="SignCoverPageStart"/>
        <w:rPr>
          <w:szCs w:val="22"/>
        </w:rPr>
      </w:pPr>
      <w:r w:rsidRPr="002A0313">
        <w:rPr>
          <w:szCs w:val="22"/>
        </w:rPr>
        <w:t xml:space="preserve">I, </w:t>
      </w:r>
      <w:r w:rsidR="00634D19">
        <w:rPr>
          <w:szCs w:val="22"/>
        </w:rPr>
        <w:t>Angus Taylor</w:t>
      </w:r>
      <w:r w:rsidRPr="002A0313">
        <w:rPr>
          <w:szCs w:val="22"/>
        </w:rPr>
        <w:t xml:space="preserve">, Minister for </w:t>
      </w:r>
      <w:r w:rsidR="00634D19">
        <w:rPr>
          <w:szCs w:val="22"/>
        </w:rPr>
        <w:t>Energy and Emissions Reduction</w:t>
      </w:r>
      <w:r w:rsidRPr="002A0313">
        <w:rPr>
          <w:szCs w:val="22"/>
        </w:rPr>
        <w:t xml:space="preserve">, make the following </w:t>
      </w:r>
      <w:r w:rsidR="00634D19">
        <w:rPr>
          <w:szCs w:val="22"/>
        </w:rPr>
        <w:t>instrument</w:t>
      </w:r>
      <w:r w:rsidRPr="002A0313">
        <w:rPr>
          <w:szCs w:val="22"/>
        </w:rPr>
        <w:t>.</w:t>
      </w:r>
    </w:p>
    <w:p w:rsidR="00F81A21" w:rsidRPr="002A0313" w:rsidRDefault="00F81A21" w:rsidP="00F81A21">
      <w:pPr>
        <w:keepNext/>
        <w:spacing w:before="300" w:line="240" w:lineRule="atLeast"/>
        <w:ind w:right="397"/>
        <w:jc w:val="both"/>
        <w:rPr>
          <w:szCs w:val="22"/>
        </w:rPr>
      </w:pPr>
      <w:r w:rsidRPr="002A0313">
        <w:rPr>
          <w:szCs w:val="22"/>
        </w:rPr>
        <w:t>Dated</w:t>
      </w:r>
      <w:r w:rsidR="002A591D">
        <w:rPr>
          <w:szCs w:val="22"/>
        </w:rPr>
        <w:t>: 21 July 2021</w:t>
      </w:r>
      <w:bookmarkStart w:id="0" w:name="_GoBack"/>
      <w:bookmarkEnd w:id="0"/>
      <w:r w:rsidRPr="002A0313">
        <w:rPr>
          <w:szCs w:val="22"/>
        </w:rPr>
        <w:tab/>
      </w:r>
      <w:r w:rsidRPr="002A0313">
        <w:rPr>
          <w:szCs w:val="22"/>
        </w:rPr>
        <w:tab/>
      </w:r>
      <w:r w:rsidRPr="002A0313">
        <w:rPr>
          <w:szCs w:val="22"/>
        </w:rPr>
        <w:tab/>
      </w:r>
      <w:r w:rsidRPr="002A0313">
        <w:rPr>
          <w:szCs w:val="22"/>
        </w:rPr>
        <w:tab/>
      </w:r>
      <w:bookmarkStart w:id="1" w:name="BKCheck15B_1"/>
      <w:bookmarkEnd w:id="1"/>
    </w:p>
    <w:p w:rsidR="00F81A21" w:rsidRPr="002A0313" w:rsidRDefault="00634D19" w:rsidP="009121A5">
      <w:pPr>
        <w:keepNext/>
        <w:tabs>
          <w:tab w:val="left" w:pos="3402"/>
        </w:tabs>
        <w:spacing w:before="1440" w:line="300" w:lineRule="atLeast"/>
        <w:ind w:right="397"/>
        <w:rPr>
          <w:szCs w:val="22"/>
        </w:rPr>
      </w:pPr>
      <w:r>
        <w:rPr>
          <w:szCs w:val="22"/>
        </w:rPr>
        <w:t>Angus Taylor</w:t>
      </w:r>
      <w:r w:rsidR="00F81A21" w:rsidRPr="002A0313">
        <w:rPr>
          <w:szCs w:val="22"/>
        </w:rPr>
        <w:t xml:space="preserve"> </w:t>
      </w:r>
    </w:p>
    <w:p w:rsidR="00F81A21" w:rsidRPr="002A0313" w:rsidRDefault="00F81A21" w:rsidP="00F81A21">
      <w:pPr>
        <w:pStyle w:val="SignCoverPageEnd"/>
        <w:rPr>
          <w:szCs w:val="22"/>
        </w:rPr>
      </w:pPr>
      <w:r w:rsidRPr="002A0313">
        <w:rPr>
          <w:szCs w:val="22"/>
        </w:rPr>
        <w:t xml:space="preserve">Minister for </w:t>
      </w:r>
      <w:r w:rsidR="00634D19">
        <w:rPr>
          <w:szCs w:val="22"/>
        </w:rPr>
        <w:t>Energy and Emissions Reduction</w:t>
      </w:r>
    </w:p>
    <w:p w:rsidR="00F47AAB" w:rsidRDefault="00F47AAB">
      <w:pPr>
        <w:spacing w:line="240" w:lineRule="auto"/>
      </w:pPr>
      <w:r>
        <w:br w:type="page"/>
      </w:r>
    </w:p>
    <w:p w:rsidR="00F81A21" w:rsidRPr="002A0313" w:rsidRDefault="00F81A21" w:rsidP="00F81A21"/>
    <w:p w:rsidR="00F81A21" w:rsidRPr="002A0313" w:rsidRDefault="00F81A21" w:rsidP="00F81A21">
      <w:pPr>
        <w:pStyle w:val="Header"/>
        <w:tabs>
          <w:tab w:val="clear" w:pos="4150"/>
          <w:tab w:val="clear" w:pos="8307"/>
        </w:tabs>
      </w:pPr>
      <w:r w:rsidRPr="002A0313">
        <w:rPr>
          <w:rStyle w:val="CharChapNo"/>
        </w:rPr>
        <w:t xml:space="preserve"> </w:t>
      </w:r>
      <w:r w:rsidRPr="002A0313">
        <w:rPr>
          <w:rStyle w:val="CharChapText"/>
        </w:rPr>
        <w:t xml:space="preserve"> </w:t>
      </w:r>
    </w:p>
    <w:p w:rsidR="00F47AAB" w:rsidRPr="002A0313" w:rsidRDefault="00F47AAB" w:rsidP="00F47AAB">
      <w:pPr>
        <w:rPr>
          <w:sz w:val="36"/>
        </w:rPr>
      </w:pPr>
      <w:r w:rsidRPr="002A0313">
        <w:rPr>
          <w:sz w:val="36"/>
        </w:rPr>
        <w:t>Contents</w:t>
      </w:r>
    </w:p>
    <w:p w:rsidR="00B272E4" w:rsidRDefault="00B272E4">
      <w:pPr>
        <w:pStyle w:val="TOC2"/>
        <w:rPr>
          <w:rFonts w:asciiTheme="minorHAnsi" w:eastAsiaTheme="minorEastAsia" w:hAnsiTheme="minorHAnsi" w:cstheme="minorBidi"/>
          <w:b w:val="0"/>
          <w:noProof/>
          <w:kern w:val="0"/>
          <w:sz w:val="22"/>
          <w:szCs w:val="22"/>
        </w:rPr>
      </w:pPr>
      <w:bookmarkStart w:id="2" w:name="BKCheck15B_2"/>
      <w:bookmarkEnd w:id="2"/>
      <w:r>
        <w:rPr>
          <w:noProof/>
        </w:rPr>
        <w:t>Part 1 —Preliminary</w:t>
      </w:r>
      <w:r>
        <w:rPr>
          <w:noProof/>
        </w:rPr>
        <w:tab/>
      </w:r>
      <w:r w:rsidR="0005174C">
        <w:rPr>
          <w:noProof/>
        </w:rPr>
        <w:t>3</w:t>
      </w:r>
    </w:p>
    <w:p w:rsidR="00B272E4" w:rsidRDefault="00B272E4">
      <w:pPr>
        <w:pStyle w:val="TOC5"/>
        <w:rPr>
          <w:rFonts w:asciiTheme="minorHAnsi" w:eastAsiaTheme="minorEastAsia" w:hAnsiTheme="minorHAnsi" w:cstheme="minorBidi"/>
          <w:noProof/>
          <w:kern w:val="0"/>
          <w:sz w:val="22"/>
          <w:szCs w:val="22"/>
        </w:rPr>
      </w:pPr>
      <w:r>
        <w:rPr>
          <w:noProof/>
        </w:rPr>
        <w:t>1  Name</w:t>
      </w:r>
      <w:r>
        <w:rPr>
          <w:noProof/>
        </w:rPr>
        <w:tab/>
      </w:r>
      <w:r>
        <w:rPr>
          <w:noProof/>
        </w:rPr>
        <w:tab/>
      </w:r>
      <w:r w:rsidR="0005174C">
        <w:rPr>
          <w:noProof/>
        </w:rPr>
        <w:t>3</w:t>
      </w:r>
    </w:p>
    <w:p w:rsidR="00B272E4" w:rsidRDefault="00B272E4">
      <w:pPr>
        <w:pStyle w:val="TOC5"/>
        <w:rPr>
          <w:rFonts w:asciiTheme="minorHAnsi" w:eastAsiaTheme="minorEastAsia" w:hAnsiTheme="minorHAnsi" w:cstheme="minorBidi"/>
          <w:noProof/>
          <w:kern w:val="0"/>
          <w:sz w:val="22"/>
          <w:szCs w:val="22"/>
        </w:rPr>
      </w:pPr>
      <w:r>
        <w:rPr>
          <w:noProof/>
        </w:rPr>
        <w:t>2  Commencement</w:t>
      </w:r>
      <w:r>
        <w:rPr>
          <w:noProof/>
        </w:rPr>
        <w:tab/>
      </w:r>
      <w:r w:rsidR="0005174C">
        <w:rPr>
          <w:noProof/>
        </w:rPr>
        <w:t>3</w:t>
      </w:r>
    </w:p>
    <w:p w:rsidR="00B272E4" w:rsidRDefault="00B272E4">
      <w:pPr>
        <w:pStyle w:val="TOC5"/>
        <w:rPr>
          <w:rFonts w:asciiTheme="minorHAnsi" w:eastAsiaTheme="minorEastAsia" w:hAnsiTheme="minorHAnsi" w:cstheme="minorBidi"/>
          <w:noProof/>
          <w:kern w:val="0"/>
          <w:sz w:val="22"/>
          <w:szCs w:val="22"/>
        </w:rPr>
      </w:pPr>
      <w:r>
        <w:rPr>
          <w:noProof/>
        </w:rPr>
        <w:t>3  Authority</w:t>
      </w:r>
      <w:r>
        <w:rPr>
          <w:noProof/>
        </w:rPr>
        <w:tab/>
      </w:r>
      <w:r w:rsidR="0005174C">
        <w:rPr>
          <w:noProof/>
        </w:rPr>
        <w:t>3</w:t>
      </w:r>
    </w:p>
    <w:p w:rsidR="00B272E4" w:rsidRDefault="00B272E4">
      <w:pPr>
        <w:pStyle w:val="TOC5"/>
        <w:rPr>
          <w:rFonts w:asciiTheme="minorHAnsi" w:eastAsiaTheme="minorEastAsia" w:hAnsiTheme="minorHAnsi" w:cstheme="minorBidi"/>
          <w:noProof/>
          <w:kern w:val="0"/>
          <w:sz w:val="22"/>
          <w:szCs w:val="22"/>
        </w:rPr>
      </w:pPr>
      <w:r>
        <w:rPr>
          <w:noProof/>
        </w:rPr>
        <w:t>4  Definitions</w:t>
      </w:r>
      <w:r>
        <w:rPr>
          <w:noProof/>
        </w:rPr>
        <w:tab/>
      </w:r>
      <w:r w:rsidR="0005174C">
        <w:rPr>
          <w:noProof/>
        </w:rPr>
        <w:t>3</w:t>
      </w:r>
    </w:p>
    <w:p w:rsidR="00B272E4" w:rsidRDefault="00B272E4">
      <w:pPr>
        <w:pStyle w:val="TOC2"/>
        <w:rPr>
          <w:rFonts w:asciiTheme="minorHAnsi" w:eastAsiaTheme="minorEastAsia" w:hAnsiTheme="minorHAnsi" w:cstheme="minorBidi"/>
          <w:b w:val="0"/>
          <w:noProof/>
          <w:kern w:val="0"/>
          <w:sz w:val="22"/>
          <w:szCs w:val="22"/>
        </w:rPr>
      </w:pPr>
      <w:r>
        <w:rPr>
          <w:noProof/>
        </w:rPr>
        <w:t>Part 2 —Objective of Method for Fuel Security Services Payments</w:t>
      </w:r>
      <w:r>
        <w:rPr>
          <w:noProof/>
        </w:rPr>
        <w:tab/>
      </w:r>
      <w:r w:rsidR="0005174C">
        <w:rPr>
          <w:noProof/>
        </w:rPr>
        <w:t>3</w:t>
      </w:r>
    </w:p>
    <w:p w:rsidR="00B272E4" w:rsidRDefault="00B272E4">
      <w:pPr>
        <w:pStyle w:val="TOC5"/>
        <w:rPr>
          <w:rFonts w:asciiTheme="minorHAnsi" w:eastAsiaTheme="minorEastAsia" w:hAnsiTheme="minorHAnsi" w:cstheme="minorBidi"/>
          <w:noProof/>
          <w:kern w:val="0"/>
          <w:sz w:val="22"/>
          <w:szCs w:val="22"/>
        </w:rPr>
      </w:pPr>
      <w:r>
        <w:rPr>
          <w:noProof/>
        </w:rPr>
        <w:t>5  Objective</w:t>
      </w:r>
      <w:r>
        <w:rPr>
          <w:noProof/>
        </w:rPr>
        <w:tab/>
      </w:r>
      <w:r w:rsidR="0005174C">
        <w:rPr>
          <w:noProof/>
        </w:rPr>
        <w:t>3</w:t>
      </w:r>
    </w:p>
    <w:p w:rsidR="00B272E4" w:rsidRDefault="00B272E4">
      <w:pPr>
        <w:pStyle w:val="TOC2"/>
        <w:rPr>
          <w:rFonts w:asciiTheme="minorHAnsi" w:eastAsiaTheme="minorEastAsia" w:hAnsiTheme="minorHAnsi" w:cstheme="minorBidi"/>
          <w:b w:val="0"/>
          <w:noProof/>
          <w:kern w:val="0"/>
          <w:sz w:val="22"/>
          <w:szCs w:val="22"/>
        </w:rPr>
      </w:pPr>
      <w:r>
        <w:rPr>
          <w:noProof/>
        </w:rPr>
        <w:t>Part 3 —Margin Marker</w:t>
      </w:r>
      <w:r>
        <w:rPr>
          <w:noProof/>
        </w:rPr>
        <w:tab/>
      </w:r>
      <w:r w:rsidR="0005174C">
        <w:rPr>
          <w:noProof/>
        </w:rPr>
        <w:t>4</w:t>
      </w:r>
    </w:p>
    <w:p w:rsidR="00B272E4" w:rsidRDefault="00B272E4">
      <w:pPr>
        <w:pStyle w:val="TOC5"/>
        <w:rPr>
          <w:rFonts w:asciiTheme="minorHAnsi" w:eastAsiaTheme="minorEastAsia" w:hAnsiTheme="minorHAnsi" w:cstheme="minorBidi"/>
          <w:noProof/>
          <w:kern w:val="0"/>
          <w:sz w:val="22"/>
          <w:szCs w:val="22"/>
        </w:rPr>
      </w:pPr>
      <w:r>
        <w:rPr>
          <w:noProof/>
        </w:rPr>
        <w:t>6  Margin marker</w:t>
      </w:r>
      <w:r>
        <w:rPr>
          <w:noProof/>
        </w:rPr>
        <w:tab/>
      </w:r>
      <w:r w:rsidR="0005174C">
        <w:rPr>
          <w:noProof/>
        </w:rPr>
        <w:t>4</w:t>
      </w:r>
    </w:p>
    <w:p w:rsidR="00B272E4" w:rsidRDefault="00B272E4">
      <w:pPr>
        <w:pStyle w:val="TOC5"/>
        <w:rPr>
          <w:rFonts w:asciiTheme="minorHAnsi" w:eastAsiaTheme="minorEastAsia" w:hAnsiTheme="minorHAnsi" w:cstheme="minorBidi"/>
          <w:noProof/>
          <w:kern w:val="0"/>
          <w:sz w:val="22"/>
          <w:szCs w:val="22"/>
        </w:rPr>
      </w:pPr>
      <w:r>
        <w:rPr>
          <w:noProof/>
        </w:rPr>
        <w:t>7  FSSP fuel and fuel oil prices.</w:t>
      </w:r>
      <w:r>
        <w:rPr>
          <w:noProof/>
        </w:rPr>
        <w:tab/>
      </w:r>
      <w:r w:rsidR="0005174C">
        <w:rPr>
          <w:noProof/>
        </w:rPr>
        <w:t>4</w:t>
      </w:r>
    </w:p>
    <w:p w:rsidR="00B272E4" w:rsidRDefault="00B272E4">
      <w:pPr>
        <w:pStyle w:val="TOC5"/>
        <w:rPr>
          <w:rFonts w:asciiTheme="minorHAnsi" w:eastAsiaTheme="minorEastAsia" w:hAnsiTheme="minorHAnsi" w:cstheme="minorBidi"/>
          <w:noProof/>
          <w:kern w:val="0"/>
          <w:sz w:val="22"/>
          <w:szCs w:val="22"/>
        </w:rPr>
      </w:pPr>
      <w:r>
        <w:rPr>
          <w:noProof/>
        </w:rPr>
        <w:t>8  Costs of transporting refined fuel from Singapore</w:t>
      </w:r>
      <w:r>
        <w:rPr>
          <w:noProof/>
        </w:rPr>
        <w:tab/>
      </w:r>
      <w:r w:rsidR="0005174C">
        <w:rPr>
          <w:noProof/>
        </w:rPr>
        <w:t>5</w:t>
      </w:r>
    </w:p>
    <w:p w:rsidR="00B272E4" w:rsidRDefault="00B272E4">
      <w:pPr>
        <w:pStyle w:val="TOC5"/>
        <w:rPr>
          <w:rFonts w:asciiTheme="minorHAnsi" w:eastAsiaTheme="minorEastAsia" w:hAnsiTheme="minorHAnsi" w:cstheme="minorBidi"/>
          <w:noProof/>
          <w:kern w:val="0"/>
          <w:sz w:val="22"/>
          <w:szCs w:val="22"/>
        </w:rPr>
      </w:pPr>
      <w:r>
        <w:rPr>
          <w:noProof/>
        </w:rPr>
        <w:t>9  Crude oil prices</w:t>
      </w:r>
      <w:r>
        <w:rPr>
          <w:noProof/>
        </w:rPr>
        <w:tab/>
      </w:r>
      <w:r w:rsidR="0005174C">
        <w:rPr>
          <w:noProof/>
        </w:rPr>
        <w:t>5</w:t>
      </w:r>
    </w:p>
    <w:p w:rsidR="00B272E4" w:rsidRDefault="00B272E4">
      <w:pPr>
        <w:pStyle w:val="TOC5"/>
        <w:rPr>
          <w:rFonts w:asciiTheme="minorHAnsi" w:eastAsiaTheme="minorEastAsia" w:hAnsiTheme="minorHAnsi" w:cstheme="minorBidi"/>
          <w:noProof/>
          <w:kern w:val="0"/>
          <w:sz w:val="22"/>
          <w:szCs w:val="22"/>
        </w:rPr>
      </w:pPr>
      <w:r>
        <w:rPr>
          <w:noProof/>
        </w:rPr>
        <w:t>10  Costs of transporting crude oil from Indonesia</w:t>
      </w:r>
      <w:r>
        <w:rPr>
          <w:noProof/>
        </w:rPr>
        <w:tab/>
      </w:r>
      <w:r w:rsidR="0005174C">
        <w:rPr>
          <w:noProof/>
        </w:rPr>
        <w:t>5</w:t>
      </w:r>
    </w:p>
    <w:p w:rsidR="00B272E4" w:rsidRDefault="00B272E4">
      <w:pPr>
        <w:pStyle w:val="TOC5"/>
        <w:rPr>
          <w:rFonts w:asciiTheme="minorHAnsi" w:eastAsiaTheme="minorEastAsia" w:hAnsiTheme="minorHAnsi" w:cstheme="minorBidi"/>
          <w:noProof/>
          <w:kern w:val="0"/>
          <w:sz w:val="22"/>
          <w:szCs w:val="22"/>
        </w:rPr>
      </w:pPr>
      <w:r>
        <w:rPr>
          <w:noProof/>
        </w:rPr>
        <w:t>11  Refinery yields</w:t>
      </w:r>
      <w:r>
        <w:rPr>
          <w:noProof/>
        </w:rPr>
        <w:tab/>
      </w:r>
      <w:r w:rsidR="0005174C">
        <w:rPr>
          <w:noProof/>
        </w:rPr>
        <w:t>5</w:t>
      </w:r>
    </w:p>
    <w:p w:rsidR="00B272E4" w:rsidRDefault="00B272E4">
      <w:pPr>
        <w:pStyle w:val="TOC5"/>
        <w:rPr>
          <w:rFonts w:asciiTheme="minorHAnsi" w:eastAsiaTheme="minorEastAsia" w:hAnsiTheme="minorHAnsi" w:cstheme="minorBidi"/>
          <w:noProof/>
          <w:kern w:val="0"/>
          <w:sz w:val="22"/>
          <w:szCs w:val="22"/>
        </w:rPr>
      </w:pPr>
      <w:r>
        <w:rPr>
          <w:noProof/>
        </w:rPr>
        <w:t>12  Basis differential</w:t>
      </w:r>
      <w:r>
        <w:rPr>
          <w:noProof/>
        </w:rPr>
        <w:tab/>
      </w:r>
      <w:r w:rsidR="0005174C">
        <w:rPr>
          <w:noProof/>
        </w:rPr>
        <w:t>6</w:t>
      </w:r>
    </w:p>
    <w:p w:rsidR="00B272E4" w:rsidRDefault="00B272E4">
      <w:pPr>
        <w:pStyle w:val="TOC5"/>
        <w:rPr>
          <w:rFonts w:asciiTheme="minorHAnsi" w:eastAsiaTheme="minorEastAsia" w:hAnsiTheme="minorHAnsi" w:cstheme="minorBidi"/>
          <w:noProof/>
          <w:kern w:val="0"/>
          <w:sz w:val="22"/>
          <w:szCs w:val="22"/>
        </w:rPr>
      </w:pPr>
      <w:r>
        <w:rPr>
          <w:noProof/>
        </w:rPr>
        <w:t>13  Exchange rate</w:t>
      </w:r>
      <w:r>
        <w:rPr>
          <w:noProof/>
        </w:rPr>
        <w:tab/>
      </w:r>
      <w:r w:rsidR="0005174C">
        <w:rPr>
          <w:noProof/>
        </w:rPr>
        <w:t>6</w:t>
      </w:r>
    </w:p>
    <w:p w:rsidR="00B272E4" w:rsidRDefault="00B272E4">
      <w:pPr>
        <w:pStyle w:val="TOC2"/>
        <w:rPr>
          <w:rFonts w:asciiTheme="minorHAnsi" w:eastAsiaTheme="minorEastAsia" w:hAnsiTheme="minorHAnsi" w:cstheme="minorBidi"/>
          <w:b w:val="0"/>
          <w:noProof/>
          <w:kern w:val="0"/>
          <w:sz w:val="22"/>
          <w:szCs w:val="22"/>
        </w:rPr>
      </w:pPr>
      <w:r>
        <w:rPr>
          <w:noProof/>
        </w:rPr>
        <w:t>Part 4 —Milestone report</w:t>
      </w:r>
      <w:r>
        <w:rPr>
          <w:noProof/>
        </w:rPr>
        <w:tab/>
      </w:r>
      <w:r w:rsidR="0005174C">
        <w:rPr>
          <w:noProof/>
        </w:rPr>
        <w:t>6</w:t>
      </w:r>
    </w:p>
    <w:p w:rsidR="00B272E4" w:rsidRDefault="00B272E4">
      <w:pPr>
        <w:pStyle w:val="TOC5"/>
        <w:rPr>
          <w:rFonts w:asciiTheme="minorHAnsi" w:eastAsiaTheme="minorEastAsia" w:hAnsiTheme="minorHAnsi" w:cstheme="minorBidi"/>
          <w:noProof/>
          <w:kern w:val="0"/>
          <w:sz w:val="22"/>
          <w:szCs w:val="22"/>
        </w:rPr>
      </w:pPr>
      <w:r>
        <w:rPr>
          <w:noProof/>
        </w:rPr>
        <w:t>14  Milestone report</w:t>
      </w:r>
      <w:r>
        <w:rPr>
          <w:noProof/>
        </w:rPr>
        <w:tab/>
      </w:r>
      <w:r w:rsidR="0005174C">
        <w:rPr>
          <w:noProof/>
        </w:rPr>
        <w:t>6</w:t>
      </w:r>
    </w:p>
    <w:p w:rsidR="00536929" w:rsidRDefault="00536929" w:rsidP="00536929">
      <w:pPr>
        <w:spacing w:line="240" w:lineRule="auto"/>
      </w:pPr>
      <w:r>
        <w:br w:type="page"/>
      </w:r>
    </w:p>
    <w:p w:rsidR="00F47AAB" w:rsidRDefault="0005174C" w:rsidP="00C46149">
      <w:pPr>
        <w:pStyle w:val="h2Part"/>
      </w:pPr>
      <w:bookmarkStart w:id="3" w:name="_Toc74671589"/>
      <w:r>
        <w:lastRenderedPageBreak/>
        <w:t>Part 1</w:t>
      </w:r>
      <w:r w:rsidR="00C46149">
        <w:t>—</w:t>
      </w:r>
      <w:bookmarkStart w:id="4" w:name="_Toc405889304"/>
      <w:r w:rsidR="00F47AAB">
        <w:t>Preliminary</w:t>
      </w:r>
      <w:bookmarkEnd w:id="3"/>
      <w:bookmarkEnd w:id="4"/>
    </w:p>
    <w:p w:rsidR="00F47AAB" w:rsidRPr="002A0313" w:rsidRDefault="0005174C" w:rsidP="00AD7BE4">
      <w:pPr>
        <w:pStyle w:val="h5Section"/>
      </w:pPr>
      <w:bookmarkStart w:id="5" w:name="_Toc405889305"/>
      <w:bookmarkStart w:id="6" w:name="_Toc74671590"/>
      <w:proofErr w:type="gramStart"/>
      <w:r>
        <w:t>1</w:t>
      </w:r>
      <w:r w:rsidR="00AD7BE4">
        <w:t xml:space="preserve"> </w:t>
      </w:r>
      <w:r w:rsidR="004040B2">
        <w:t xml:space="preserve"> </w:t>
      </w:r>
      <w:r w:rsidR="00F47AAB" w:rsidRPr="002A0313">
        <w:t>Name</w:t>
      </w:r>
      <w:bookmarkEnd w:id="5"/>
      <w:bookmarkEnd w:id="6"/>
      <w:proofErr w:type="gramEnd"/>
    </w:p>
    <w:p w:rsidR="00F47AAB" w:rsidRDefault="00F47AAB" w:rsidP="00F47AAB">
      <w:pPr>
        <w:pStyle w:val="tMain"/>
      </w:pPr>
      <w:r w:rsidRPr="002A0313">
        <w:tab/>
      </w:r>
      <w:r w:rsidRPr="002A0313">
        <w:tab/>
        <w:t>This</w:t>
      </w:r>
      <w:r w:rsidR="001E0380">
        <w:t xml:space="preserve"> instrument</w:t>
      </w:r>
      <w:r w:rsidRPr="002A0313">
        <w:t xml:space="preserve"> is the </w:t>
      </w:r>
      <w:bookmarkStart w:id="7" w:name="BKCheck15B_3"/>
      <w:bookmarkEnd w:id="7"/>
      <w:r w:rsidR="0005174C">
        <w:rPr>
          <w:i/>
          <w:noProof/>
        </w:rPr>
        <w:t>Fuel Security (Fuel Security Services Payment) Guidelines 2021</w:t>
      </w:r>
      <w:r w:rsidRPr="002A0313">
        <w:t>.</w:t>
      </w:r>
    </w:p>
    <w:p w:rsidR="00AD7BE4" w:rsidRPr="002A0313" w:rsidRDefault="0005174C" w:rsidP="00AD7BE4">
      <w:pPr>
        <w:pStyle w:val="h5Section"/>
      </w:pPr>
      <w:bookmarkStart w:id="8" w:name="_Toc405889306"/>
      <w:bookmarkStart w:id="9" w:name="_Toc74671591"/>
      <w:proofErr w:type="gramStart"/>
      <w:r>
        <w:t>2</w:t>
      </w:r>
      <w:r w:rsidR="00AD7BE4">
        <w:t xml:space="preserve">  </w:t>
      </w:r>
      <w:r w:rsidR="00AD7BE4" w:rsidRPr="002A0313">
        <w:t>Commencement</w:t>
      </w:r>
      <w:bookmarkEnd w:id="8"/>
      <w:bookmarkEnd w:id="9"/>
      <w:proofErr w:type="gramEnd"/>
    </w:p>
    <w:p w:rsidR="00AD7BE4" w:rsidRPr="002A0313" w:rsidRDefault="00AD7BE4" w:rsidP="00AD7BE4">
      <w:pPr>
        <w:pStyle w:val="tMain"/>
      </w:pPr>
      <w:r>
        <w:tab/>
      </w:r>
      <w:r>
        <w:tab/>
      </w:r>
      <w:r w:rsidRPr="002A0313">
        <w:t xml:space="preserve">This </w:t>
      </w:r>
      <w:r w:rsidR="00634D19">
        <w:t>instrument</w:t>
      </w:r>
      <w:r w:rsidR="00D537D2">
        <w:t xml:space="preserve"> commences immediately after it is made</w:t>
      </w:r>
      <w:r w:rsidRPr="002A0313">
        <w:t>.</w:t>
      </w:r>
    </w:p>
    <w:p w:rsidR="00AD7BE4" w:rsidRPr="002A0313" w:rsidRDefault="0005174C" w:rsidP="00AD7BE4">
      <w:pPr>
        <w:pStyle w:val="h5Section"/>
      </w:pPr>
      <w:bookmarkStart w:id="10" w:name="_Toc405889307"/>
      <w:bookmarkStart w:id="11" w:name="_Toc74671592"/>
      <w:proofErr w:type="gramStart"/>
      <w:r>
        <w:t>3</w:t>
      </w:r>
      <w:r w:rsidR="00AD7BE4">
        <w:t xml:space="preserve">  </w:t>
      </w:r>
      <w:r w:rsidR="00AD7BE4" w:rsidRPr="002A0313">
        <w:t>Authority</w:t>
      </w:r>
      <w:bookmarkEnd w:id="10"/>
      <w:bookmarkEnd w:id="11"/>
      <w:proofErr w:type="gramEnd"/>
    </w:p>
    <w:p w:rsidR="00AD7BE4" w:rsidRPr="002A0313" w:rsidRDefault="00AD7BE4" w:rsidP="00AD7BE4">
      <w:pPr>
        <w:pStyle w:val="tMain"/>
      </w:pPr>
      <w:r>
        <w:tab/>
      </w:r>
      <w:r>
        <w:tab/>
      </w:r>
      <w:r w:rsidRPr="002A0313">
        <w:t xml:space="preserve">This </w:t>
      </w:r>
      <w:r w:rsidR="00634D19">
        <w:t xml:space="preserve">instrument is made </w:t>
      </w:r>
      <w:r w:rsidR="00D537D2">
        <w:t>under subsection 43(4</w:t>
      </w:r>
      <w:r w:rsidRPr="002A0313">
        <w:t xml:space="preserve">) of the </w:t>
      </w:r>
      <w:r w:rsidR="00634D19">
        <w:rPr>
          <w:i/>
        </w:rPr>
        <w:t>Fuel Security Act 2021</w:t>
      </w:r>
      <w:r w:rsidRPr="002A0313">
        <w:t>.</w:t>
      </w:r>
    </w:p>
    <w:p w:rsidR="00AD7BE4" w:rsidRPr="002A0313" w:rsidRDefault="0005174C" w:rsidP="00AD7BE4">
      <w:pPr>
        <w:pStyle w:val="h5Section"/>
      </w:pPr>
      <w:bookmarkStart w:id="12" w:name="_Toc405889309"/>
      <w:bookmarkStart w:id="13" w:name="_Toc74671593"/>
      <w:proofErr w:type="gramStart"/>
      <w:r>
        <w:t>4</w:t>
      </w:r>
      <w:r w:rsidR="00AD7BE4">
        <w:t xml:space="preserve">  </w:t>
      </w:r>
      <w:r w:rsidR="00AD7BE4" w:rsidRPr="002A0313">
        <w:t>Definitions</w:t>
      </w:r>
      <w:bookmarkEnd w:id="12"/>
      <w:bookmarkEnd w:id="13"/>
      <w:proofErr w:type="gramEnd"/>
    </w:p>
    <w:p w:rsidR="00380FB2" w:rsidRDefault="00AD7BE4" w:rsidP="00DF0EE1">
      <w:pPr>
        <w:pStyle w:val="tMain"/>
      </w:pPr>
      <w:r>
        <w:tab/>
      </w:r>
      <w:r>
        <w:tab/>
      </w:r>
      <w:r w:rsidRPr="002A0313">
        <w:t xml:space="preserve">In this </w:t>
      </w:r>
      <w:r w:rsidR="00372DF1">
        <w:t>instrument</w:t>
      </w:r>
      <w:r w:rsidRPr="002A0313">
        <w:t>:</w:t>
      </w:r>
    </w:p>
    <w:p w:rsidR="00380FB2" w:rsidRDefault="00380FB2" w:rsidP="00380FB2">
      <w:pPr>
        <w:pStyle w:val="tDefn"/>
      </w:pPr>
      <w:r w:rsidRPr="00380FB2">
        <w:rPr>
          <w:b/>
          <w:i/>
        </w:rPr>
        <w:t>Act</w:t>
      </w:r>
      <w:r w:rsidRPr="002A0313">
        <w:t xml:space="preserve"> means </w:t>
      </w:r>
      <w:r w:rsidRPr="009E1396">
        <w:t xml:space="preserve">the </w:t>
      </w:r>
      <w:r w:rsidR="00634D19" w:rsidRPr="00634D19">
        <w:rPr>
          <w:i/>
        </w:rPr>
        <w:t>Fuel Security Act 2021</w:t>
      </w:r>
      <w:r w:rsidRPr="002A0313">
        <w:t>.</w:t>
      </w:r>
    </w:p>
    <w:p w:rsidR="008B397E" w:rsidRDefault="008B397E" w:rsidP="00D537D2">
      <w:pPr>
        <w:pStyle w:val="tDefn"/>
        <w:rPr>
          <w:b/>
          <w:i/>
        </w:rPr>
      </w:pPr>
      <w:proofErr w:type="gramStart"/>
      <w:r>
        <w:rPr>
          <w:b/>
          <w:i/>
        </w:rPr>
        <w:t>basis</w:t>
      </w:r>
      <w:proofErr w:type="gramEnd"/>
      <w:r>
        <w:rPr>
          <w:b/>
          <w:i/>
        </w:rPr>
        <w:t xml:space="preserve"> differential</w:t>
      </w:r>
      <w:r w:rsidRPr="008B397E">
        <w:t>—see subsection 6(4)</w:t>
      </w:r>
      <w:r>
        <w:t xml:space="preserve"> and section 12</w:t>
      </w:r>
      <w:r w:rsidRPr="008B397E">
        <w:t>.</w:t>
      </w:r>
    </w:p>
    <w:p w:rsidR="00D537D2" w:rsidRDefault="00CD18AA" w:rsidP="00D537D2">
      <w:pPr>
        <w:pStyle w:val="tDefn"/>
      </w:pPr>
      <w:proofErr w:type="spellStart"/>
      <w:proofErr w:type="gramStart"/>
      <w:r>
        <w:rPr>
          <w:b/>
          <w:i/>
        </w:rPr>
        <w:t>cpl</w:t>
      </w:r>
      <w:proofErr w:type="spellEnd"/>
      <w:proofErr w:type="gramEnd"/>
      <w:r>
        <w:rPr>
          <w:b/>
          <w:i/>
        </w:rPr>
        <w:t xml:space="preserve"> </w:t>
      </w:r>
      <w:r>
        <w:t>means cents per litre.</w:t>
      </w:r>
    </w:p>
    <w:p w:rsidR="00830051" w:rsidRDefault="00830051" w:rsidP="00D537D2">
      <w:pPr>
        <w:pStyle w:val="tDefn"/>
      </w:pPr>
      <w:r w:rsidRPr="00830051">
        <w:rPr>
          <w:b/>
          <w:i/>
        </w:rPr>
        <w:t>Geelong refinery</w:t>
      </w:r>
      <w:r>
        <w:t xml:space="preserve"> means the petroleum refinery located in Geelong, Victoria. </w:t>
      </w:r>
    </w:p>
    <w:p w:rsidR="00830051" w:rsidRDefault="00830051" w:rsidP="00830051">
      <w:pPr>
        <w:pStyle w:val="tDefn"/>
      </w:pPr>
      <w:r w:rsidRPr="00830051">
        <w:rPr>
          <w:b/>
          <w:i/>
        </w:rPr>
        <w:t>Lytton refinery</w:t>
      </w:r>
      <w:r>
        <w:t xml:space="preserve"> means the petroleum refinery located in Lytton, Queensland.</w:t>
      </w:r>
    </w:p>
    <w:p w:rsidR="008B397E" w:rsidRPr="005949C0" w:rsidRDefault="008B397E" w:rsidP="00830051">
      <w:pPr>
        <w:pStyle w:val="tDefn"/>
      </w:pPr>
      <w:proofErr w:type="gramStart"/>
      <w:r w:rsidRPr="008B397E">
        <w:rPr>
          <w:b/>
          <w:i/>
        </w:rPr>
        <w:t>yield</w:t>
      </w:r>
      <w:r>
        <w:t>—</w:t>
      </w:r>
      <w:proofErr w:type="gramEnd"/>
      <w:r>
        <w:t>see section 11.</w:t>
      </w:r>
    </w:p>
    <w:p w:rsidR="00380FB2" w:rsidRPr="002A0313" w:rsidRDefault="0005174C" w:rsidP="00372DF1">
      <w:pPr>
        <w:pStyle w:val="h2Part"/>
      </w:pPr>
      <w:bookmarkStart w:id="14" w:name="_Toc405889310"/>
      <w:bookmarkStart w:id="15" w:name="_Toc74671594"/>
      <w:r>
        <w:rPr>
          <w:rStyle w:val="CharPartNo"/>
        </w:rPr>
        <w:t>Part 2</w:t>
      </w:r>
      <w:r w:rsidR="00380FB2">
        <w:rPr>
          <w:rStyle w:val="CharPartNo"/>
        </w:rPr>
        <w:t>—</w:t>
      </w:r>
      <w:bookmarkEnd w:id="14"/>
      <w:r w:rsidR="00D537D2">
        <w:rPr>
          <w:rStyle w:val="CharPartText"/>
        </w:rPr>
        <w:t>Object</w:t>
      </w:r>
      <w:r w:rsidR="00353926">
        <w:rPr>
          <w:rStyle w:val="CharPartText"/>
        </w:rPr>
        <w:t>ive</w:t>
      </w:r>
      <w:r w:rsidR="00D537D2">
        <w:rPr>
          <w:rStyle w:val="CharPartText"/>
        </w:rPr>
        <w:t xml:space="preserve"> of Method for Fuel Security Services Payments</w:t>
      </w:r>
      <w:bookmarkEnd w:id="15"/>
      <w:r w:rsidR="00380FB2" w:rsidRPr="002A0313">
        <w:rPr>
          <w:rStyle w:val="CharDivText"/>
        </w:rPr>
        <w:t xml:space="preserve"> </w:t>
      </w:r>
    </w:p>
    <w:p w:rsidR="00380FB2" w:rsidRPr="002A0313" w:rsidRDefault="0005174C" w:rsidP="00380FB2">
      <w:pPr>
        <w:pStyle w:val="h5Section"/>
      </w:pPr>
      <w:bookmarkStart w:id="16" w:name="_Toc405889311"/>
      <w:bookmarkStart w:id="17" w:name="_Toc74671595"/>
      <w:proofErr w:type="gramStart"/>
      <w:r>
        <w:t>5</w:t>
      </w:r>
      <w:r w:rsidR="00380FB2">
        <w:t xml:space="preserve">  </w:t>
      </w:r>
      <w:bookmarkEnd w:id="16"/>
      <w:r w:rsidR="00D537D2">
        <w:t>Objective</w:t>
      </w:r>
      <w:bookmarkEnd w:id="17"/>
      <w:proofErr w:type="gramEnd"/>
    </w:p>
    <w:p w:rsidR="00AD7BE4" w:rsidRDefault="000E2406" w:rsidP="000E2406">
      <w:pPr>
        <w:pStyle w:val="tMain"/>
      </w:pPr>
      <w:r>
        <w:tab/>
      </w:r>
      <w:r w:rsidR="0005174C">
        <w:t>(1)</w:t>
      </w:r>
      <w:r>
        <w:tab/>
      </w:r>
      <w:r w:rsidR="00D537D2">
        <w:t>Under subsection 43(5) of the Act, the key considerations for determining the calculation method for fuel security services payments are:</w:t>
      </w:r>
    </w:p>
    <w:p w:rsidR="00D537D2" w:rsidRDefault="00D537D2" w:rsidP="00D537D2">
      <w:pPr>
        <w:pStyle w:val="tPara"/>
      </w:pPr>
      <w:r>
        <w:tab/>
      </w:r>
      <w:r w:rsidR="0005174C">
        <w:t>(a)</w:t>
      </w:r>
      <w:r>
        <w:tab/>
        <w:t>the determination by the Minister</w:t>
      </w:r>
      <w:r w:rsidR="0074676E">
        <w:t xml:space="preserve"> under subsection 44(1) of the Act</w:t>
      </w:r>
      <w:r>
        <w:t xml:space="preserve"> that 6.4 </w:t>
      </w:r>
      <w:proofErr w:type="spellStart"/>
      <w:r>
        <w:t>cpl</w:t>
      </w:r>
      <w:proofErr w:type="spellEnd"/>
      <w:r>
        <w:t xml:space="preserve"> is, at the </w:t>
      </w:r>
      <w:r w:rsidR="00B470D5">
        <w:t>time of that determination,</w:t>
      </w:r>
      <w:r w:rsidRPr="00D537D2">
        <w:t xml:space="preserve"> the margin sufficient to ensure that refineries operating in Australia over the</w:t>
      </w:r>
      <w:r w:rsidR="00B470D5">
        <w:t xml:space="preserve"> period starting on </w:t>
      </w:r>
      <w:r w:rsidR="00006837">
        <w:t>30 June 2021</w:t>
      </w:r>
      <w:r w:rsidRPr="00D537D2">
        <w:t xml:space="preserve"> and ending on </w:t>
      </w:r>
      <w:r>
        <w:t>30 June 2027 do not make a loss; and</w:t>
      </w:r>
    </w:p>
    <w:p w:rsidR="00D537D2" w:rsidRDefault="00D537D2" w:rsidP="00D537D2">
      <w:pPr>
        <w:pStyle w:val="tPara"/>
        <w:rPr>
          <w:color w:val="000000"/>
          <w:szCs w:val="22"/>
          <w:shd w:val="clear" w:color="auto" w:fill="FFFFFF"/>
        </w:rPr>
      </w:pPr>
      <w:r>
        <w:tab/>
      </w:r>
      <w:r w:rsidR="0005174C">
        <w:t>(b)</w:t>
      </w:r>
      <w:r>
        <w:tab/>
      </w:r>
      <w:r>
        <w:rPr>
          <w:color w:val="000000"/>
          <w:szCs w:val="22"/>
          <w:shd w:val="clear" w:color="auto" w:fill="FFFFFF"/>
        </w:rPr>
        <w:t>the principle that (</w:t>
      </w:r>
      <w:r w:rsidR="0074676E">
        <w:rPr>
          <w:color w:val="000000"/>
          <w:szCs w:val="22"/>
          <w:shd w:val="clear" w:color="auto" w:fill="FFFFFF"/>
        </w:rPr>
        <w:t xml:space="preserve">subject to the cap of 1.8 </w:t>
      </w:r>
      <w:proofErr w:type="spellStart"/>
      <w:r w:rsidR="0074676E">
        <w:rPr>
          <w:color w:val="000000"/>
          <w:szCs w:val="22"/>
          <w:shd w:val="clear" w:color="auto" w:fill="FFFFFF"/>
        </w:rPr>
        <w:t>cpl</w:t>
      </w:r>
      <w:proofErr w:type="spellEnd"/>
      <w:r>
        <w:rPr>
          <w:color w:val="000000"/>
          <w:szCs w:val="22"/>
          <w:shd w:val="clear" w:color="auto" w:fill="FFFFFF"/>
        </w:rPr>
        <w:t>) the amount of fuel security services payment paid to a person for quarters ending in the person’s commitment period should be guided by the margin that is sufficient to ensure that refineries operating in Australia over the person’s commitment period do not make a loss.</w:t>
      </w:r>
    </w:p>
    <w:p w:rsidR="0074676E" w:rsidRDefault="0074676E" w:rsidP="0074676E">
      <w:pPr>
        <w:pStyle w:val="tMain"/>
      </w:pPr>
      <w:r>
        <w:tab/>
      </w:r>
      <w:r w:rsidR="0005174C">
        <w:t>(2)</w:t>
      </w:r>
      <w:r>
        <w:tab/>
        <w:t xml:space="preserve">Under subsection 43(6) of the Act </w:t>
      </w:r>
      <w:r w:rsidRPr="00D537D2">
        <w:rPr>
          <w:b/>
          <w:i/>
        </w:rPr>
        <w:t>margin</w:t>
      </w:r>
      <w:r>
        <w:t xml:space="preserve"> is defined as </w:t>
      </w:r>
      <w:r w:rsidRPr="00D537D2">
        <w:t>the excess of the sale price of FSSP fuels and fuel oils refined by the refineries over the costs of feedstock and transport in relation to FSSP fuels, expressed in cents per litre</w:t>
      </w:r>
      <w:r>
        <w:t>. Subsection 43(7) of the Act sets out the following matters relevant to the refinery’s margin for a period:</w:t>
      </w:r>
    </w:p>
    <w:p w:rsidR="0074676E" w:rsidRPr="00C8016B" w:rsidRDefault="0074676E" w:rsidP="0074676E">
      <w:pPr>
        <w:pStyle w:val="tPara"/>
      </w:pPr>
      <w:r w:rsidRPr="00C8016B">
        <w:tab/>
        <w:t>(a)</w:t>
      </w:r>
      <w:r w:rsidRPr="00C8016B">
        <w:tab/>
      </w:r>
      <w:proofErr w:type="gramStart"/>
      <w:r w:rsidRPr="00C8016B">
        <w:t>government</w:t>
      </w:r>
      <w:proofErr w:type="gramEnd"/>
      <w:r w:rsidRPr="00C8016B">
        <w:t xml:space="preserve"> payments and benefits other than fuel security services payment in relation to the period;</w:t>
      </w:r>
    </w:p>
    <w:p w:rsidR="0074676E" w:rsidRPr="00C8016B" w:rsidRDefault="0074676E" w:rsidP="0074676E">
      <w:pPr>
        <w:pStyle w:val="tPara"/>
      </w:pPr>
      <w:r w:rsidRPr="00C8016B">
        <w:tab/>
        <w:t>(b)</w:t>
      </w:r>
      <w:r w:rsidRPr="00C8016B">
        <w:tab/>
      </w:r>
      <w:proofErr w:type="gramStart"/>
      <w:r w:rsidRPr="00C8016B">
        <w:t>costs</w:t>
      </w:r>
      <w:proofErr w:type="gramEnd"/>
      <w:r w:rsidRPr="00C8016B">
        <w:t xml:space="preserve"> of operating the refinery incurred in relation to the period;</w:t>
      </w:r>
    </w:p>
    <w:p w:rsidR="0074676E" w:rsidRPr="00C8016B" w:rsidRDefault="0074676E" w:rsidP="0074676E">
      <w:pPr>
        <w:pStyle w:val="tPara"/>
      </w:pPr>
      <w:r w:rsidRPr="00C8016B">
        <w:tab/>
        <w:t>(c)</w:t>
      </w:r>
      <w:r w:rsidRPr="00C8016B">
        <w:tab/>
      </w:r>
      <w:proofErr w:type="gramStart"/>
      <w:r w:rsidRPr="00C8016B">
        <w:t>capital</w:t>
      </w:r>
      <w:proofErr w:type="gramEnd"/>
      <w:r w:rsidRPr="00C8016B">
        <w:t xml:space="preserve"> expenditure in relation to the period;</w:t>
      </w:r>
    </w:p>
    <w:p w:rsidR="0074676E" w:rsidRPr="0074676E" w:rsidRDefault="0074676E" w:rsidP="0074676E">
      <w:pPr>
        <w:pStyle w:val="tPara"/>
      </w:pPr>
      <w:r w:rsidRPr="00C8016B">
        <w:tab/>
        <w:t>(d)</w:t>
      </w:r>
      <w:r w:rsidRPr="00C8016B">
        <w:tab/>
      </w:r>
      <w:proofErr w:type="gramStart"/>
      <w:r w:rsidRPr="00C8016B">
        <w:t>any</w:t>
      </w:r>
      <w:proofErr w:type="gramEnd"/>
      <w:r w:rsidRPr="00C8016B">
        <w:t xml:space="preserve"> other matters the Minister considers relevant.</w:t>
      </w:r>
    </w:p>
    <w:p w:rsidR="00D963F1" w:rsidRDefault="00D963F1" w:rsidP="00D963F1">
      <w:pPr>
        <w:pStyle w:val="tMain"/>
      </w:pPr>
      <w:r>
        <w:lastRenderedPageBreak/>
        <w:tab/>
      </w:r>
      <w:r w:rsidR="0005174C">
        <w:t>(3)</w:t>
      </w:r>
      <w:r w:rsidR="0074676E">
        <w:tab/>
        <w:t>The</w:t>
      </w:r>
      <w:r>
        <w:t xml:space="preserve"> considerations </w:t>
      </w:r>
      <w:r w:rsidR="0074676E">
        <w:t>are to be given effect</w:t>
      </w:r>
      <w:r>
        <w:t xml:space="preserve"> by calculating a single rate of</w:t>
      </w:r>
      <w:r w:rsidR="0074676E">
        <w:t xml:space="preserve"> fuel security services payment</w:t>
      </w:r>
      <w:r>
        <w:t xml:space="preserve"> for each litre of FSSP fuel refined</w:t>
      </w:r>
      <w:r w:rsidR="0074676E">
        <w:t xml:space="preserve"> at a committed refinery in a</w:t>
      </w:r>
      <w:r>
        <w:t xml:space="preserve"> quarter based on a margin marke</w:t>
      </w:r>
      <w:r w:rsidR="0074676E">
        <w:t>r calculated for the quarter for</w:t>
      </w:r>
      <w:r>
        <w:t xml:space="preserve"> each committed refinery.</w:t>
      </w:r>
      <w:r w:rsidR="00B313BD">
        <w:t xml:space="preserve"> The basis for the margin marker is set out in Part 3 of this instrument.</w:t>
      </w:r>
    </w:p>
    <w:p w:rsidR="00132835" w:rsidRDefault="00D963F1" w:rsidP="00D963F1">
      <w:pPr>
        <w:pStyle w:val="tMain"/>
      </w:pPr>
      <w:r>
        <w:tab/>
      </w:r>
      <w:r w:rsidR="0005174C">
        <w:t>(4)</w:t>
      </w:r>
      <w:r>
        <w:tab/>
        <w:t>The fuel security services payments are intended to address</w:t>
      </w:r>
      <w:r w:rsidR="003B68A3">
        <w:t xml:space="preserve"> refinery operators’</w:t>
      </w:r>
      <w:r>
        <w:t xml:space="preserve"> downside risk of losses during a quarter</w:t>
      </w:r>
      <w:r w:rsidR="003B68A3">
        <w:t xml:space="preserve"> in their commitment period</w:t>
      </w:r>
      <w:r>
        <w:t xml:space="preserve">, but are capped at 1.8 </w:t>
      </w:r>
      <w:proofErr w:type="spellStart"/>
      <w:r>
        <w:t>cpl</w:t>
      </w:r>
      <w:proofErr w:type="spellEnd"/>
      <w:r>
        <w:t xml:space="preserve"> under paragraph 43(2)(a) of the Act.</w:t>
      </w:r>
      <w:r w:rsidR="00132835">
        <w:t xml:space="preserve"> Therefore:</w:t>
      </w:r>
      <w:r w:rsidR="0093796A">
        <w:t xml:space="preserve"> </w:t>
      </w:r>
    </w:p>
    <w:p w:rsidR="00132835" w:rsidRDefault="00132835" w:rsidP="00132835">
      <w:pPr>
        <w:pStyle w:val="tPara"/>
      </w:pPr>
      <w:r>
        <w:tab/>
      </w:r>
      <w:r w:rsidR="0005174C">
        <w:t>(a)</w:t>
      </w:r>
      <w:r>
        <w:tab/>
      </w:r>
      <w:proofErr w:type="gramStart"/>
      <w:r w:rsidR="0093796A">
        <w:t>a</w:t>
      </w:r>
      <w:proofErr w:type="gramEnd"/>
      <w:r w:rsidR="0093796A">
        <w:t xml:space="preserve"> margin marker of 6.4 </w:t>
      </w:r>
      <w:proofErr w:type="spellStart"/>
      <w:r w:rsidR="0093796A">
        <w:t>cpl</w:t>
      </w:r>
      <w:proofErr w:type="spellEnd"/>
      <w:r w:rsidR="0093796A">
        <w:t xml:space="preserve"> is the collar when payments start to be made</w:t>
      </w:r>
      <w:r>
        <w:t>;</w:t>
      </w:r>
      <w:r w:rsidR="0093796A">
        <w:t xml:space="preserve"> and </w:t>
      </w:r>
    </w:p>
    <w:p w:rsidR="00D963F1" w:rsidRDefault="00132835" w:rsidP="00132835">
      <w:pPr>
        <w:pStyle w:val="tPara"/>
      </w:pPr>
      <w:r>
        <w:tab/>
      </w:r>
      <w:r w:rsidR="0005174C">
        <w:t>(b)</w:t>
      </w:r>
      <w:r>
        <w:tab/>
      </w:r>
      <w:proofErr w:type="gramStart"/>
      <w:r w:rsidR="0093796A">
        <w:t>at</w:t>
      </w:r>
      <w:proofErr w:type="gramEnd"/>
      <w:r w:rsidR="0093796A">
        <w:t xml:space="preserve"> </w:t>
      </w:r>
      <w:r w:rsidR="00816DBB">
        <w:t xml:space="preserve">a margin marker of </w:t>
      </w:r>
      <w:r w:rsidR="0093796A">
        <w:t xml:space="preserve">4.6 </w:t>
      </w:r>
      <w:proofErr w:type="spellStart"/>
      <w:r w:rsidR="0093796A">
        <w:t>cpl</w:t>
      </w:r>
      <w:proofErr w:type="spellEnd"/>
      <w:r w:rsidR="0093796A">
        <w:t xml:space="preserve"> the payments are capped at 1.8 </w:t>
      </w:r>
      <w:proofErr w:type="spellStart"/>
      <w:r w:rsidR="0093796A">
        <w:t>cpl.</w:t>
      </w:r>
      <w:proofErr w:type="spellEnd"/>
      <w:r w:rsidR="0093796A">
        <w:t xml:space="preserve"> </w:t>
      </w:r>
    </w:p>
    <w:p w:rsidR="00B313BD" w:rsidRDefault="00B313BD" w:rsidP="00B313BD">
      <w:pPr>
        <w:pStyle w:val="tMain"/>
      </w:pPr>
      <w:r>
        <w:tab/>
      </w:r>
      <w:r w:rsidR="0005174C">
        <w:t>(5)</w:t>
      </w:r>
      <w:r>
        <w:tab/>
        <w:t xml:space="preserve">Under subsection 43(4) of the Act, the Minister must take these guidelines into account in making rules for subsection 43(1) of the Act to prescribe the calculation methods for fuel security services payment for a quarter. </w:t>
      </w:r>
    </w:p>
    <w:p w:rsidR="00B93555" w:rsidRPr="005949C0" w:rsidRDefault="0005174C" w:rsidP="00B93555">
      <w:pPr>
        <w:pStyle w:val="h2Part"/>
        <w:rPr>
          <w:rStyle w:val="CharPartText"/>
        </w:rPr>
      </w:pPr>
      <w:bookmarkStart w:id="18" w:name="_Toc74671596"/>
      <w:r>
        <w:rPr>
          <w:rStyle w:val="CharPartNo"/>
        </w:rPr>
        <w:t>Part 3</w:t>
      </w:r>
      <w:r w:rsidR="00B93555" w:rsidRPr="005949C0">
        <w:rPr>
          <w:rStyle w:val="CharPartNo"/>
        </w:rPr>
        <w:t>—</w:t>
      </w:r>
      <w:r w:rsidR="00D963F1">
        <w:rPr>
          <w:rStyle w:val="CharPartText"/>
        </w:rPr>
        <w:t>Margin Marker</w:t>
      </w:r>
      <w:bookmarkEnd w:id="18"/>
    </w:p>
    <w:p w:rsidR="00DB1461" w:rsidRDefault="0005174C" w:rsidP="00DB1461">
      <w:pPr>
        <w:pStyle w:val="h5Section"/>
      </w:pPr>
      <w:bookmarkStart w:id="19" w:name="_Toc74671597"/>
      <w:proofErr w:type="gramStart"/>
      <w:r>
        <w:t>6</w:t>
      </w:r>
      <w:r w:rsidR="00DB1461" w:rsidRPr="005949C0">
        <w:t xml:space="preserve">  </w:t>
      </w:r>
      <w:r w:rsidR="00D963F1">
        <w:t>Margin</w:t>
      </w:r>
      <w:proofErr w:type="gramEnd"/>
      <w:r w:rsidR="00D963F1">
        <w:t xml:space="preserve"> marker</w:t>
      </w:r>
      <w:bookmarkEnd w:id="19"/>
    </w:p>
    <w:p w:rsidR="003B68A3" w:rsidRPr="005949C0" w:rsidRDefault="003B68A3" w:rsidP="003B68A3">
      <w:pPr>
        <w:pStyle w:val="tMain"/>
      </w:pPr>
      <w:r w:rsidRPr="005949C0">
        <w:tab/>
      </w:r>
      <w:r w:rsidR="0005174C">
        <w:t>(1)</w:t>
      </w:r>
      <w:r w:rsidRPr="005949C0">
        <w:tab/>
      </w:r>
      <w:r>
        <w:t>The margin marker is intended to reflect refining market conditions in a quarter based on prevailing FSSP fuel, fuel oil, crude oil and transport prices</w:t>
      </w:r>
      <w:r w:rsidRPr="005949C0">
        <w:t>.</w:t>
      </w:r>
      <w:r>
        <w:t xml:space="preserve"> In doing so it should maintain incentives for efficient refinery operations. </w:t>
      </w:r>
    </w:p>
    <w:p w:rsidR="00267238" w:rsidRDefault="003B68A3" w:rsidP="003B68A3">
      <w:pPr>
        <w:pStyle w:val="tMain"/>
      </w:pPr>
      <w:r w:rsidRPr="005949C0">
        <w:tab/>
      </w:r>
      <w:r w:rsidR="0005174C">
        <w:t>(2)</w:t>
      </w:r>
      <w:r w:rsidRPr="005949C0">
        <w:tab/>
      </w:r>
      <w:r>
        <w:t>The margin marker should be calculated based on the price of FSSP fuels and fuel oils obtained from Singapore and the cost of shipping those fuels to Australia, less the price of crude oil and the costs of shipping crude oil from Indonesia</w:t>
      </w:r>
      <w:r w:rsidR="00267238">
        <w:t xml:space="preserve"> so that:</w:t>
      </w:r>
      <w:r>
        <w:t xml:space="preserve"> </w:t>
      </w:r>
    </w:p>
    <w:p w:rsidR="00267238" w:rsidRDefault="00267238" w:rsidP="00267238">
      <w:pPr>
        <w:pStyle w:val="tPara"/>
      </w:pPr>
      <w:r>
        <w:tab/>
      </w:r>
      <w:r w:rsidR="0005174C">
        <w:t>(a)</w:t>
      </w:r>
      <w:r>
        <w:tab/>
      </w:r>
      <w:proofErr w:type="gramStart"/>
      <w:r>
        <w:t>t</w:t>
      </w:r>
      <w:r w:rsidR="003B68A3">
        <w:t>he</w:t>
      </w:r>
      <w:proofErr w:type="gramEnd"/>
      <w:r w:rsidR="003B68A3">
        <w:t xml:space="preserve"> application of the margin marker to each committed refinery should reflect differences in refinery configuration and the resu</w:t>
      </w:r>
      <w:r>
        <w:t>ltant refined product mix/yield; and</w:t>
      </w:r>
      <w:r w:rsidR="003B68A3">
        <w:t xml:space="preserve"> </w:t>
      </w:r>
    </w:p>
    <w:p w:rsidR="003B68A3" w:rsidRDefault="00267238" w:rsidP="00267238">
      <w:pPr>
        <w:pStyle w:val="tPara"/>
      </w:pPr>
      <w:r>
        <w:tab/>
      </w:r>
      <w:r w:rsidR="0005174C">
        <w:t>(b)</w:t>
      </w:r>
      <w:r>
        <w:tab/>
      </w:r>
      <w:proofErr w:type="gramStart"/>
      <w:r>
        <w:t>t</w:t>
      </w:r>
      <w:r w:rsidR="003B68A3">
        <w:t>he</w:t>
      </w:r>
      <w:proofErr w:type="gramEnd"/>
      <w:r w:rsidR="003B68A3">
        <w:t xml:space="preserve"> calculation should be based on verifiable market data to promote investment certainty for each committed refinery.</w:t>
      </w:r>
    </w:p>
    <w:p w:rsidR="003B68A3" w:rsidRDefault="003B68A3" w:rsidP="003B68A3">
      <w:pPr>
        <w:pStyle w:val="tMain"/>
      </w:pPr>
      <w:r>
        <w:tab/>
      </w:r>
      <w:r w:rsidR="0005174C">
        <w:t>(3)</w:t>
      </w:r>
      <w:r>
        <w:tab/>
        <w:t xml:space="preserve">The margin marker calculation under subsection (2) should be calibrated to available financial and operational information for each refinery to determine the relationship between the </w:t>
      </w:r>
      <w:proofErr w:type="gramStart"/>
      <w:r>
        <w:t>margin</w:t>
      </w:r>
      <w:proofErr w:type="gramEnd"/>
      <w:r>
        <w:t xml:space="preserve"> calculated by the variables used in the marker and unique operating conditions and estimated actual margins of the refinery. This is known as the </w:t>
      </w:r>
      <w:r w:rsidRPr="008B397E">
        <w:rPr>
          <w:b/>
          <w:i/>
        </w:rPr>
        <w:t>basis differential</w:t>
      </w:r>
      <w:r>
        <w:t xml:space="preserve">. </w:t>
      </w:r>
    </w:p>
    <w:p w:rsidR="001179AC" w:rsidRPr="005949C0" w:rsidRDefault="003B68A3" w:rsidP="003B68A3">
      <w:pPr>
        <w:pStyle w:val="tMain"/>
      </w:pPr>
      <w:r>
        <w:tab/>
      </w:r>
      <w:r w:rsidR="0005174C">
        <w:t>(4)</w:t>
      </w:r>
      <w:r>
        <w:tab/>
        <w:t>The calibrated</w:t>
      </w:r>
      <w:r w:rsidRPr="001179AC">
        <w:t xml:space="preserve"> margin marker</w:t>
      </w:r>
      <w:r>
        <w:t xml:space="preserve"> calculation which incorporates the basis differential should then be used to calculate the rate of fuel security services payments for each committed refinery. </w:t>
      </w:r>
      <w:r w:rsidRPr="005949C0">
        <w:t>The</w:t>
      </w:r>
      <w:r>
        <w:t xml:space="preserve"> difference between the calibrated margin marker for each committed refinery and the 6.4 </w:t>
      </w:r>
      <w:proofErr w:type="spellStart"/>
      <w:r>
        <w:t>cpl</w:t>
      </w:r>
      <w:proofErr w:type="spellEnd"/>
      <w:r>
        <w:t xml:space="preserve"> margin determined by the Minister is the rate of fuel security services payments (up to 1.8 </w:t>
      </w:r>
      <w:proofErr w:type="spellStart"/>
      <w:r>
        <w:t>cpl</w:t>
      </w:r>
      <w:proofErr w:type="spellEnd"/>
      <w:r>
        <w:t xml:space="preserve">) and reflected in legislative rules under the Act. </w:t>
      </w:r>
      <w:r w:rsidR="00353926">
        <w:t xml:space="preserve"> </w:t>
      </w:r>
    </w:p>
    <w:p w:rsidR="00B93555" w:rsidRPr="005949C0" w:rsidRDefault="0005174C" w:rsidP="00B93555">
      <w:pPr>
        <w:pStyle w:val="h5Section"/>
      </w:pPr>
      <w:bookmarkStart w:id="20" w:name="_Toc74671598"/>
      <w:proofErr w:type="gramStart"/>
      <w:r>
        <w:t>7</w:t>
      </w:r>
      <w:r w:rsidR="00B93555" w:rsidRPr="005949C0">
        <w:t xml:space="preserve">  </w:t>
      </w:r>
      <w:r w:rsidR="00016915">
        <w:t>FSSP</w:t>
      </w:r>
      <w:proofErr w:type="gramEnd"/>
      <w:r w:rsidR="00016915">
        <w:t xml:space="preserve"> fuel and fuel oil prices</w:t>
      </w:r>
      <w:r w:rsidR="00DB1461" w:rsidRPr="005949C0">
        <w:t>.</w:t>
      </w:r>
      <w:bookmarkEnd w:id="20"/>
      <w:r w:rsidR="00DB1461" w:rsidRPr="005949C0">
        <w:t xml:space="preserve"> </w:t>
      </w:r>
    </w:p>
    <w:p w:rsidR="00B93555" w:rsidRPr="005949C0" w:rsidRDefault="00B93555" w:rsidP="00B93555">
      <w:pPr>
        <w:pStyle w:val="tMain"/>
      </w:pPr>
      <w:r w:rsidRPr="005949C0">
        <w:tab/>
      </w:r>
      <w:r w:rsidR="0005174C">
        <w:t>(1)</w:t>
      </w:r>
      <w:r w:rsidR="00016915">
        <w:tab/>
        <w:t>T</w:t>
      </w:r>
      <w:r w:rsidR="00186896">
        <w:t>he prices</w:t>
      </w:r>
      <w:r w:rsidR="00016915">
        <w:t xml:space="preserve"> of FSSP fuels and fuel oil obtained from Singapore</w:t>
      </w:r>
      <w:r w:rsidR="001A1A0B">
        <w:t xml:space="preserve"> should be based on published prices for those fuels, converted to </w:t>
      </w:r>
      <w:proofErr w:type="spellStart"/>
      <w:r w:rsidR="001A1A0B">
        <w:t>cpl</w:t>
      </w:r>
      <w:r w:rsidRPr="005949C0">
        <w:t>.</w:t>
      </w:r>
      <w:proofErr w:type="spellEnd"/>
    </w:p>
    <w:p w:rsidR="00926D9B" w:rsidRDefault="00B93555" w:rsidP="00071808">
      <w:pPr>
        <w:pStyle w:val="tMain"/>
      </w:pPr>
      <w:r w:rsidRPr="005949C0">
        <w:tab/>
      </w:r>
      <w:r w:rsidR="0005174C">
        <w:t>(2)</w:t>
      </w:r>
      <w:r w:rsidR="009A2840" w:rsidRPr="005949C0">
        <w:tab/>
      </w:r>
      <w:proofErr w:type="gramStart"/>
      <w:r w:rsidR="00AE34A9" w:rsidRPr="005949C0">
        <w:t>The</w:t>
      </w:r>
      <w:proofErr w:type="gramEnd"/>
      <w:r w:rsidR="00AE34A9" w:rsidRPr="005949C0">
        <w:t xml:space="preserve"> </w:t>
      </w:r>
      <w:r w:rsidR="001A1A0B">
        <w:t>most relevant data set of these prices is as follows:</w:t>
      </w:r>
      <w:r w:rsidR="00AE34A9" w:rsidRPr="005949C0">
        <w:t xml:space="preserve"> </w:t>
      </w:r>
    </w:p>
    <w:p w:rsidR="001A1A0B" w:rsidRDefault="001A1A0B" w:rsidP="001A1A0B">
      <w:pPr>
        <w:pStyle w:val="tPara"/>
      </w:pPr>
      <w:r>
        <w:tab/>
        <w:t>(a)</w:t>
      </w:r>
      <w:r>
        <w:tab/>
      </w:r>
      <w:proofErr w:type="gramStart"/>
      <w:r>
        <w:t>for</w:t>
      </w:r>
      <w:proofErr w:type="gramEnd"/>
      <w:r>
        <w:t xml:space="preserve"> gasoline—“G</w:t>
      </w:r>
      <w:r w:rsidRPr="00D3052B">
        <w:t xml:space="preserve">asoline </w:t>
      </w:r>
      <w:proofErr w:type="spellStart"/>
      <w:r w:rsidRPr="00D3052B">
        <w:t>Unl</w:t>
      </w:r>
      <w:proofErr w:type="spellEnd"/>
      <w:r w:rsidRPr="00D3052B">
        <w:t xml:space="preserve"> 95 FOB Spore Cargo</w:t>
      </w:r>
      <w:r>
        <w:t xml:space="preserve">” published by S&amp;P Global </w:t>
      </w:r>
      <w:proofErr w:type="spellStart"/>
      <w:r>
        <w:t>Platts</w:t>
      </w:r>
      <w:proofErr w:type="spellEnd"/>
      <w:r>
        <w:t xml:space="preserve"> (</w:t>
      </w:r>
      <w:proofErr w:type="spellStart"/>
      <w:r w:rsidRPr="00D3052B">
        <w:t>Platts</w:t>
      </w:r>
      <w:proofErr w:type="spellEnd"/>
      <w:r w:rsidRPr="00D3052B">
        <w:t xml:space="preserve"> code: </w:t>
      </w:r>
      <w:r>
        <w:t>PGAEZ00) in United States dollars per barrel;</w:t>
      </w:r>
    </w:p>
    <w:p w:rsidR="001A1A0B" w:rsidRDefault="001A1A0B" w:rsidP="001A1A0B">
      <w:pPr>
        <w:pStyle w:val="tPara"/>
      </w:pPr>
      <w:r>
        <w:tab/>
        <w:t>(b)</w:t>
      </w:r>
      <w:r>
        <w:tab/>
      </w:r>
      <w:proofErr w:type="gramStart"/>
      <w:r>
        <w:t>for</w:t>
      </w:r>
      <w:proofErr w:type="gramEnd"/>
      <w:r>
        <w:t xml:space="preserve"> diesel—“Gasoil 0.001% S (10 ppm) FOB Spore Cargo” published by S&amp;P Global </w:t>
      </w:r>
      <w:proofErr w:type="spellStart"/>
      <w:r>
        <w:t>Platts</w:t>
      </w:r>
      <w:proofErr w:type="spellEnd"/>
      <w:r>
        <w:t xml:space="preserve"> (</w:t>
      </w:r>
      <w:proofErr w:type="spellStart"/>
      <w:r w:rsidRPr="00D3052B">
        <w:t>Platts</w:t>
      </w:r>
      <w:proofErr w:type="spellEnd"/>
      <w:r w:rsidRPr="00D3052B">
        <w:t xml:space="preserve"> code: </w:t>
      </w:r>
      <w:r w:rsidRPr="002C39A1">
        <w:t>AAOVC00</w:t>
      </w:r>
      <w:r>
        <w:t>) in United States dollars per barrel;</w:t>
      </w:r>
    </w:p>
    <w:p w:rsidR="001A1A0B" w:rsidRDefault="001A1A0B" w:rsidP="001A1A0B">
      <w:pPr>
        <w:pStyle w:val="tPara"/>
      </w:pPr>
      <w:r>
        <w:lastRenderedPageBreak/>
        <w:tab/>
        <w:t>(c)</w:t>
      </w:r>
      <w:r>
        <w:tab/>
      </w:r>
      <w:proofErr w:type="gramStart"/>
      <w:r>
        <w:t>for</w:t>
      </w:r>
      <w:proofErr w:type="gramEnd"/>
      <w:r>
        <w:t xml:space="preserve"> kerosene—“Jet </w:t>
      </w:r>
      <w:proofErr w:type="spellStart"/>
      <w:r>
        <w:t>Kero</w:t>
      </w:r>
      <w:proofErr w:type="spellEnd"/>
      <w:r>
        <w:t xml:space="preserve"> FOB Spore Cargo” published by S&amp;P Global </w:t>
      </w:r>
      <w:proofErr w:type="spellStart"/>
      <w:r>
        <w:t>Platts</w:t>
      </w:r>
      <w:proofErr w:type="spellEnd"/>
      <w:r>
        <w:t xml:space="preserve"> (</w:t>
      </w:r>
      <w:proofErr w:type="spellStart"/>
      <w:r w:rsidRPr="00D3052B">
        <w:t>Platts</w:t>
      </w:r>
      <w:proofErr w:type="spellEnd"/>
      <w:r w:rsidRPr="00D3052B">
        <w:t xml:space="preserve"> code: </w:t>
      </w:r>
      <w:r w:rsidRPr="002C39A1">
        <w:t>PJABF00</w:t>
      </w:r>
      <w:r>
        <w:t>) in United States dollars per barrel;</w:t>
      </w:r>
    </w:p>
    <w:p w:rsidR="001A1A0B" w:rsidRDefault="001A1A0B" w:rsidP="001A1A0B">
      <w:pPr>
        <w:pStyle w:val="tPara"/>
      </w:pPr>
      <w:r>
        <w:tab/>
        <w:t>(d)</w:t>
      </w:r>
      <w:r>
        <w:tab/>
      </w:r>
      <w:proofErr w:type="gramStart"/>
      <w:r>
        <w:t>for</w:t>
      </w:r>
      <w:proofErr w:type="gramEnd"/>
      <w:r>
        <w:t xml:space="preserve"> fuel oil—“FO 380 CST 3.5% S FOB Spore Cargo” published by S&amp;P Global </w:t>
      </w:r>
      <w:proofErr w:type="spellStart"/>
      <w:r>
        <w:t>Platts</w:t>
      </w:r>
      <w:proofErr w:type="spellEnd"/>
      <w:r>
        <w:t xml:space="preserve"> (</w:t>
      </w:r>
      <w:proofErr w:type="spellStart"/>
      <w:r w:rsidRPr="00D3052B">
        <w:t>Platts</w:t>
      </w:r>
      <w:proofErr w:type="spellEnd"/>
      <w:r w:rsidRPr="00D3052B">
        <w:t xml:space="preserve"> code: </w:t>
      </w:r>
      <w:r>
        <w:t>PPXDK00) in United States dollars per tonne;</w:t>
      </w:r>
    </w:p>
    <w:p w:rsidR="001A1A0B" w:rsidRDefault="001A1A0B" w:rsidP="001A1A0B">
      <w:pPr>
        <w:pStyle w:val="tPara"/>
      </w:pPr>
      <w:r>
        <w:tab/>
        <w:t>(e)</w:t>
      </w:r>
      <w:r>
        <w:tab/>
      </w:r>
      <w:proofErr w:type="gramStart"/>
      <w:r>
        <w:t>for</w:t>
      </w:r>
      <w:proofErr w:type="gramEnd"/>
      <w:r>
        <w:t xml:space="preserve"> marine fuel oil—“FOB Spore Marine Fuel 0.5% Cargo” published by S&amp;P Global </w:t>
      </w:r>
      <w:proofErr w:type="spellStart"/>
      <w:r>
        <w:t>Platts</w:t>
      </w:r>
      <w:proofErr w:type="spellEnd"/>
      <w:r>
        <w:t xml:space="preserve"> (</w:t>
      </w:r>
      <w:proofErr w:type="spellStart"/>
      <w:r w:rsidRPr="00D3052B">
        <w:t>Platts</w:t>
      </w:r>
      <w:proofErr w:type="spellEnd"/>
      <w:r w:rsidRPr="00D3052B">
        <w:t xml:space="preserve"> code:</w:t>
      </w:r>
      <w:r>
        <w:t xml:space="preserve"> AMFSA00) in United States dollars per tonne.</w:t>
      </w:r>
    </w:p>
    <w:p w:rsidR="001A1A0B" w:rsidRDefault="001A1A0B" w:rsidP="001A1A0B">
      <w:pPr>
        <w:pStyle w:val="tMain"/>
      </w:pPr>
      <w:r>
        <w:tab/>
      </w:r>
      <w:r w:rsidR="0005174C">
        <w:t>(3)</w:t>
      </w:r>
      <w:r>
        <w:tab/>
        <w:t xml:space="preserve">The yield of each fuel for the refinery needs to be taken into account to determine the overall input to the margin marker for each refinery of the fuel types. </w:t>
      </w:r>
    </w:p>
    <w:p w:rsidR="00186896" w:rsidRPr="005949C0" w:rsidRDefault="0005174C" w:rsidP="00186896">
      <w:pPr>
        <w:pStyle w:val="h5Section"/>
      </w:pPr>
      <w:bookmarkStart w:id="21" w:name="_Toc74671599"/>
      <w:proofErr w:type="gramStart"/>
      <w:r>
        <w:t>8</w:t>
      </w:r>
      <w:r w:rsidR="00186896" w:rsidRPr="005949C0">
        <w:t xml:space="preserve">  </w:t>
      </w:r>
      <w:r w:rsidR="00186896">
        <w:t>Costs</w:t>
      </w:r>
      <w:proofErr w:type="gramEnd"/>
      <w:r w:rsidR="00186896">
        <w:t xml:space="preserve"> of transporting refined fuel from Singapore</w:t>
      </w:r>
      <w:bookmarkEnd w:id="21"/>
    </w:p>
    <w:p w:rsidR="00186896" w:rsidRPr="005949C0" w:rsidRDefault="00186896" w:rsidP="00186896">
      <w:pPr>
        <w:pStyle w:val="tMain"/>
      </w:pPr>
      <w:r w:rsidRPr="005949C0">
        <w:tab/>
      </w:r>
      <w:r w:rsidR="0005174C">
        <w:t>(1)</w:t>
      </w:r>
      <w:r w:rsidRPr="005949C0">
        <w:tab/>
      </w:r>
      <w:r>
        <w:t xml:space="preserve">The costs of transporting refined fuel from Singapore should be based on published prices for the transport of refined fuels to Australia, converted to </w:t>
      </w:r>
      <w:proofErr w:type="spellStart"/>
      <w:r>
        <w:t>cpl.</w:t>
      </w:r>
      <w:proofErr w:type="spellEnd"/>
    </w:p>
    <w:p w:rsidR="00186896" w:rsidRPr="005949C0" w:rsidRDefault="00186896" w:rsidP="00186896">
      <w:pPr>
        <w:pStyle w:val="tMain"/>
      </w:pPr>
      <w:r w:rsidRPr="005949C0">
        <w:tab/>
      </w:r>
      <w:r w:rsidR="0005174C">
        <w:t>(2)</w:t>
      </w:r>
      <w:r w:rsidRPr="005949C0">
        <w:tab/>
      </w:r>
      <w:proofErr w:type="gramStart"/>
      <w:r w:rsidRPr="005949C0">
        <w:t>The</w:t>
      </w:r>
      <w:proofErr w:type="gramEnd"/>
      <w:r w:rsidRPr="005949C0">
        <w:t xml:space="preserve"> </w:t>
      </w:r>
      <w:r>
        <w:t xml:space="preserve">most relevant data set is </w:t>
      </w:r>
      <w:r w:rsidRPr="001A1A0B">
        <w:t>the daily “Clean Singapore-Australia 30kt MR $/</w:t>
      </w:r>
      <w:proofErr w:type="spellStart"/>
      <w:r w:rsidRPr="001A1A0B">
        <w:t>mt</w:t>
      </w:r>
      <w:proofErr w:type="spellEnd"/>
      <w:r w:rsidRPr="001A1A0B">
        <w:t xml:space="preserve">” price published by S&amp;P Global </w:t>
      </w:r>
      <w:proofErr w:type="spellStart"/>
      <w:r w:rsidRPr="001A1A0B">
        <w:t>Platts</w:t>
      </w:r>
      <w:proofErr w:type="spellEnd"/>
      <w:r w:rsidRPr="001A1A0B">
        <w:t xml:space="preserve"> (</w:t>
      </w:r>
      <w:proofErr w:type="spellStart"/>
      <w:r w:rsidRPr="001A1A0B">
        <w:t>Platts</w:t>
      </w:r>
      <w:proofErr w:type="spellEnd"/>
      <w:r w:rsidRPr="001A1A0B">
        <w:t xml:space="preserve"> code: AAJPV00) in United States dollars per tonne of refined fuel.</w:t>
      </w:r>
    </w:p>
    <w:p w:rsidR="00186896" w:rsidRPr="005949C0" w:rsidRDefault="00186896" w:rsidP="00353926">
      <w:pPr>
        <w:pStyle w:val="tMain"/>
      </w:pPr>
      <w:r w:rsidRPr="005949C0">
        <w:tab/>
      </w:r>
      <w:r w:rsidR="0005174C">
        <w:t>(3)</w:t>
      </w:r>
      <w:r>
        <w:tab/>
        <w:t>The p</w:t>
      </w:r>
      <w:r w:rsidR="003B68A3">
        <w:t>rice obtained under subsection 8</w:t>
      </w:r>
      <w:r>
        <w:t>(2) needs to be weighted by the yield of each fuel for the refinery.</w:t>
      </w:r>
    </w:p>
    <w:p w:rsidR="00634D19" w:rsidRPr="005949C0" w:rsidRDefault="0005174C" w:rsidP="00634D19">
      <w:pPr>
        <w:pStyle w:val="h5Section"/>
      </w:pPr>
      <w:bookmarkStart w:id="22" w:name="_Toc74671600"/>
      <w:proofErr w:type="gramStart"/>
      <w:r>
        <w:t>9</w:t>
      </w:r>
      <w:r w:rsidR="00634D19" w:rsidRPr="005949C0">
        <w:t xml:space="preserve">  </w:t>
      </w:r>
      <w:r w:rsidR="001A1A0B">
        <w:t>Crude</w:t>
      </w:r>
      <w:proofErr w:type="gramEnd"/>
      <w:r w:rsidR="001A1A0B">
        <w:t xml:space="preserve"> oil</w:t>
      </w:r>
      <w:r w:rsidR="008B397E">
        <w:t xml:space="preserve"> prices</w:t>
      </w:r>
      <w:bookmarkEnd w:id="22"/>
    </w:p>
    <w:p w:rsidR="001A1A0B" w:rsidRPr="005949C0" w:rsidRDefault="001A1A0B" w:rsidP="001A1A0B">
      <w:pPr>
        <w:pStyle w:val="tMain"/>
      </w:pPr>
      <w:r>
        <w:tab/>
      </w:r>
      <w:r w:rsidR="0005174C">
        <w:t>(1)</w:t>
      </w:r>
      <w:r>
        <w:tab/>
        <w:t xml:space="preserve">The </w:t>
      </w:r>
      <w:r w:rsidR="00186896">
        <w:t>price of</w:t>
      </w:r>
      <w:r>
        <w:t xml:space="preserve"> crude oil should be based on published prices for crude oil, converted to </w:t>
      </w:r>
      <w:proofErr w:type="spellStart"/>
      <w:r>
        <w:t>cpl.</w:t>
      </w:r>
      <w:proofErr w:type="spellEnd"/>
    </w:p>
    <w:p w:rsidR="001A1A0B" w:rsidRDefault="001A1A0B" w:rsidP="001A1A0B">
      <w:pPr>
        <w:pStyle w:val="tMain"/>
      </w:pPr>
      <w:r w:rsidRPr="005949C0">
        <w:tab/>
      </w:r>
      <w:r w:rsidR="0005174C">
        <w:t>(2)</w:t>
      </w:r>
      <w:r w:rsidRPr="005949C0">
        <w:tab/>
        <w:t xml:space="preserve">The </w:t>
      </w:r>
      <w:r>
        <w:t xml:space="preserve">most relevant data set is </w:t>
      </w:r>
      <w:r w:rsidRPr="005949C0">
        <w:t>the daily “</w:t>
      </w:r>
      <w:proofErr w:type="spellStart"/>
      <w:r w:rsidRPr="005949C0">
        <w:t>Kimanis</w:t>
      </w:r>
      <w:proofErr w:type="spellEnd"/>
      <w:r w:rsidRPr="005949C0">
        <w:t xml:space="preserve"> (Asia close)” price published by S&amp;P Global </w:t>
      </w:r>
      <w:proofErr w:type="spellStart"/>
      <w:r w:rsidRPr="005949C0">
        <w:t>Platts</w:t>
      </w:r>
      <w:proofErr w:type="spellEnd"/>
      <w:r w:rsidRPr="005949C0">
        <w:t xml:space="preserve"> (</w:t>
      </w:r>
      <w:proofErr w:type="spellStart"/>
      <w:r w:rsidRPr="005949C0">
        <w:t>Platts</w:t>
      </w:r>
      <w:proofErr w:type="spellEnd"/>
      <w:r w:rsidRPr="005949C0">
        <w:t xml:space="preserve"> code: AASCL00) in U</w:t>
      </w:r>
      <w:r>
        <w:t>nited States dollars per barrel</w:t>
      </w:r>
      <w:r w:rsidRPr="005949C0">
        <w:t xml:space="preserve">. </w:t>
      </w:r>
    </w:p>
    <w:p w:rsidR="004F0D3F" w:rsidRPr="005949C0" w:rsidRDefault="0005174C" w:rsidP="004F0D3F">
      <w:pPr>
        <w:pStyle w:val="h5Section"/>
      </w:pPr>
      <w:bookmarkStart w:id="23" w:name="_Toc74671601"/>
      <w:proofErr w:type="gramStart"/>
      <w:r>
        <w:t>10</w:t>
      </w:r>
      <w:r w:rsidR="004F0D3F" w:rsidRPr="005949C0">
        <w:t xml:space="preserve">  </w:t>
      </w:r>
      <w:r w:rsidR="004F0D3F">
        <w:t>Costs</w:t>
      </w:r>
      <w:proofErr w:type="gramEnd"/>
      <w:r w:rsidR="004F0D3F">
        <w:t xml:space="preserve"> of transporting crude oil from Indonesia</w:t>
      </w:r>
      <w:bookmarkEnd w:id="23"/>
    </w:p>
    <w:p w:rsidR="004F0D3F" w:rsidRPr="005949C0" w:rsidRDefault="004F0D3F" w:rsidP="004F0D3F">
      <w:pPr>
        <w:pStyle w:val="tMain"/>
      </w:pPr>
      <w:r w:rsidRPr="005949C0">
        <w:tab/>
      </w:r>
      <w:r w:rsidR="0005174C">
        <w:t>(1)</w:t>
      </w:r>
      <w:r w:rsidRPr="005949C0">
        <w:tab/>
      </w:r>
      <w:r>
        <w:t xml:space="preserve">The costs of transporting crude oil from Indonesia should be based on published prices for the transport of crude oil to Australia, converted to </w:t>
      </w:r>
      <w:proofErr w:type="spellStart"/>
      <w:r>
        <w:t>cpl.</w:t>
      </w:r>
      <w:proofErr w:type="spellEnd"/>
    </w:p>
    <w:p w:rsidR="004F0D3F" w:rsidRDefault="004F0D3F" w:rsidP="004F0D3F">
      <w:pPr>
        <w:pStyle w:val="tMain"/>
      </w:pPr>
      <w:r>
        <w:tab/>
      </w:r>
      <w:r w:rsidR="0005174C">
        <w:t>(2)</w:t>
      </w:r>
      <w:r>
        <w:tab/>
      </w:r>
      <w:proofErr w:type="gramStart"/>
      <w:r w:rsidRPr="005949C0">
        <w:t>The</w:t>
      </w:r>
      <w:proofErr w:type="gramEnd"/>
      <w:r w:rsidRPr="005949C0">
        <w:t xml:space="preserve"> </w:t>
      </w:r>
      <w:r>
        <w:t>most relevant data set is</w:t>
      </w:r>
      <w:r w:rsidRPr="001A1A0B">
        <w:t xml:space="preserve"> </w:t>
      </w:r>
      <w:r>
        <w:t>the daily “Dirty Indonesia-Australia 80kt $/</w:t>
      </w:r>
      <w:proofErr w:type="spellStart"/>
      <w:r>
        <w:t>mt</w:t>
      </w:r>
      <w:proofErr w:type="spellEnd"/>
      <w:r>
        <w:t xml:space="preserve">” price published by S&amp;P Global </w:t>
      </w:r>
      <w:proofErr w:type="spellStart"/>
      <w:r>
        <w:t>Platts</w:t>
      </w:r>
      <w:proofErr w:type="spellEnd"/>
      <w:r>
        <w:t xml:space="preserve"> (</w:t>
      </w:r>
      <w:proofErr w:type="spellStart"/>
      <w:r w:rsidRPr="00D3052B">
        <w:t>Platts</w:t>
      </w:r>
      <w:proofErr w:type="spellEnd"/>
      <w:r w:rsidRPr="00D3052B">
        <w:t xml:space="preserve"> code: </w:t>
      </w:r>
      <w:r>
        <w:t>TDABC00) in United States dollars per tonne of crude oil.</w:t>
      </w:r>
    </w:p>
    <w:p w:rsidR="004F0D3F" w:rsidRPr="005949C0" w:rsidRDefault="0005174C" w:rsidP="004F0D3F">
      <w:pPr>
        <w:pStyle w:val="h5Section"/>
      </w:pPr>
      <w:bookmarkStart w:id="24" w:name="_Toc74671602"/>
      <w:proofErr w:type="gramStart"/>
      <w:r>
        <w:t>11</w:t>
      </w:r>
      <w:r w:rsidR="004F0D3F" w:rsidRPr="005949C0">
        <w:t xml:space="preserve">  </w:t>
      </w:r>
      <w:r w:rsidR="004F0D3F">
        <w:t>Refinery</w:t>
      </w:r>
      <w:proofErr w:type="gramEnd"/>
      <w:r w:rsidR="004F0D3F">
        <w:t xml:space="preserve"> yields</w:t>
      </w:r>
      <w:bookmarkEnd w:id="24"/>
    </w:p>
    <w:p w:rsidR="004F0D3F" w:rsidRPr="005949C0" w:rsidRDefault="004F0D3F" w:rsidP="004F0D3F">
      <w:pPr>
        <w:pStyle w:val="tMain"/>
      </w:pPr>
      <w:r w:rsidRPr="005949C0">
        <w:tab/>
      </w:r>
      <w:r w:rsidR="0005174C">
        <w:t>(1)</w:t>
      </w:r>
      <w:r w:rsidRPr="005949C0">
        <w:tab/>
      </w:r>
      <w:r>
        <w:t xml:space="preserve">For the above calculations, the yield of each </w:t>
      </w:r>
      <w:r w:rsidR="00F97904">
        <w:t xml:space="preserve">fuel for the </w:t>
      </w:r>
      <w:r>
        <w:t>refinery</w:t>
      </w:r>
      <w:r w:rsidR="00362FF8">
        <w:t>, as a percentage</w:t>
      </w:r>
      <w:r w:rsidR="0093796A">
        <w:t xml:space="preserve"> of the</w:t>
      </w:r>
      <w:r w:rsidR="00830051">
        <w:t xml:space="preserve"> volume of</w:t>
      </w:r>
      <w:r w:rsidR="0093796A">
        <w:t xml:space="preserve"> </w:t>
      </w:r>
      <w:r w:rsidR="00830051">
        <w:t>refined fuel</w:t>
      </w:r>
      <w:r w:rsidR="008B397E">
        <w:t xml:space="preserve"> from</w:t>
      </w:r>
      <w:r w:rsidR="0093796A">
        <w:t xml:space="preserve"> an equivalent volume of crude oil</w:t>
      </w:r>
      <w:r w:rsidR="00362FF8">
        <w:t>,</w:t>
      </w:r>
      <w:r>
        <w:t xml:space="preserve"> should be fixed for the commitment period, based upon historical and expected future </w:t>
      </w:r>
      <w:r w:rsidR="008B397E">
        <w:t>output of the refinery</w:t>
      </w:r>
      <w:r>
        <w:t>.</w:t>
      </w:r>
    </w:p>
    <w:p w:rsidR="004F0D3F" w:rsidRDefault="004F0D3F" w:rsidP="004F0D3F">
      <w:pPr>
        <w:pStyle w:val="tMain"/>
      </w:pPr>
      <w:r>
        <w:tab/>
      </w:r>
      <w:r w:rsidR="0005174C">
        <w:t>(2)</w:t>
      </w:r>
      <w:r>
        <w:tab/>
        <w:t xml:space="preserve">For the </w:t>
      </w:r>
      <w:r w:rsidR="000A1BBC">
        <w:t>Geelong</w:t>
      </w:r>
      <w:r>
        <w:t xml:space="preserve"> refinery, the yields are determined to be</w:t>
      </w:r>
      <w:r w:rsidR="00A73C57">
        <w:t xml:space="preserve"> the following</w:t>
      </w:r>
      <w:r>
        <w:t>:</w:t>
      </w:r>
    </w:p>
    <w:p w:rsidR="004F0D3F" w:rsidRDefault="004F0D3F" w:rsidP="004F0D3F">
      <w:pPr>
        <w:pStyle w:val="tPara"/>
      </w:pPr>
      <w:r>
        <w:tab/>
      </w:r>
      <w:r w:rsidR="0005174C">
        <w:t>(a)</w:t>
      </w:r>
      <w:r>
        <w:tab/>
      </w:r>
      <w:proofErr w:type="gramStart"/>
      <w:r>
        <w:t>gasoline—</w:t>
      </w:r>
      <w:proofErr w:type="gramEnd"/>
      <w:r>
        <w:t>37%;</w:t>
      </w:r>
    </w:p>
    <w:p w:rsidR="004F0D3F" w:rsidRDefault="004F0D3F" w:rsidP="004F0D3F">
      <w:pPr>
        <w:pStyle w:val="tPara"/>
      </w:pPr>
      <w:r>
        <w:tab/>
      </w:r>
      <w:r w:rsidR="0005174C">
        <w:t>(b)</w:t>
      </w:r>
      <w:r>
        <w:tab/>
      </w:r>
      <w:proofErr w:type="gramStart"/>
      <w:r>
        <w:t>diesel—</w:t>
      </w:r>
      <w:proofErr w:type="gramEnd"/>
      <w:r>
        <w:t>37%;</w:t>
      </w:r>
    </w:p>
    <w:p w:rsidR="004F0D3F" w:rsidRDefault="004F0D3F" w:rsidP="004F0D3F">
      <w:pPr>
        <w:pStyle w:val="tPara"/>
      </w:pPr>
      <w:r>
        <w:tab/>
      </w:r>
      <w:r w:rsidR="0005174C">
        <w:t>(c)</w:t>
      </w:r>
      <w:r>
        <w:tab/>
      </w:r>
      <w:proofErr w:type="gramStart"/>
      <w:r>
        <w:t>kerosene—</w:t>
      </w:r>
      <w:proofErr w:type="gramEnd"/>
      <w:r>
        <w:t>12%;</w:t>
      </w:r>
    </w:p>
    <w:p w:rsidR="004F0D3F" w:rsidRDefault="004F0D3F" w:rsidP="004F0D3F">
      <w:pPr>
        <w:pStyle w:val="tPara"/>
      </w:pPr>
      <w:r>
        <w:tab/>
      </w:r>
      <w:r w:rsidR="0005174C">
        <w:t>(</w:t>
      </w:r>
      <w:proofErr w:type="gramStart"/>
      <w:r w:rsidR="0005174C">
        <w:t>d</w:t>
      </w:r>
      <w:proofErr w:type="gramEnd"/>
      <w:r w:rsidR="0005174C">
        <w:t>)</w:t>
      </w:r>
      <w:r>
        <w:tab/>
        <w:t>fuel oil—10%;</w:t>
      </w:r>
    </w:p>
    <w:p w:rsidR="004F0D3F" w:rsidRPr="005949C0" w:rsidRDefault="004F0D3F" w:rsidP="004F0D3F">
      <w:pPr>
        <w:pStyle w:val="tPara"/>
      </w:pPr>
      <w:r>
        <w:tab/>
      </w:r>
      <w:r w:rsidR="0005174C">
        <w:t>(e)</w:t>
      </w:r>
      <w:r>
        <w:tab/>
      </w:r>
      <w:proofErr w:type="gramStart"/>
      <w:r>
        <w:t>marine</w:t>
      </w:r>
      <w:proofErr w:type="gramEnd"/>
      <w:r>
        <w:t xml:space="preserve"> fuel oil—3%.</w:t>
      </w:r>
    </w:p>
    <w:p w:rsidR="004F0D3F" w:rsidRDefault="004F0D3F" w:rsidP="004F0D3F">
      <w:pPr>
        <w:pStyle w:val="tMain"/>
      </w:pPr>
      <w:r>
        <w:tab/>
      </w:r>
      <w:r w:rsidR="0005174C">
        <w:t>(3)</w:t>
      </w:r>
      <w:r>
        <w:tab/>
        <w:t xml:space="preserve">For the </w:t>
      </w:r>
      <w:r w:rsidR="000A1BBC">
        <w:t>Lytton</w:t>
      </w:r>
      <w:r>
        <w:t xml:space="preserve"> refinery, </w:t>
      </w:r>
      <w:r w:rsidR="00A73C57">
        <w:t>the yields are determined to be the following:</w:t>
      </w:r>
    </w:p>
    <w:p w:rsidR="004F0D3F" w:rsidRDefault="004F0D3F" w:rsidP="004F0D3F">
      <w:pPr>
        <w:pStyle w:val="tPara"/>
      </w:pPr>
      <w:r>
        <w:tab/>
      </w:r>
      <w:r w:rsidR="0005174C">
        <w:t>(a)</w:t>
      </w:r>
      <w:r>
        <w:tab/>
      </w:r>
      <w:proofErr w:type="gramStart"/>
      <w:r>
        <w:t>gasoline—</w:t>
      </w:r>
      <w:proofErr w:type="gramEnd"/>
      <w:r>
        <w:t>48%;</w:t>
      </w:r>
    </w:p>
    <w:p w:rsidR="004F0D3F" w:rsidRDefault="004F0D3F" w:rsidP="004F0D3F">
      <w:pPr>
        <w:pStyle w:val="tPara"/>
      </w:pPr>
      <w:r>
        <w:tab/>
      </w:r>
      <w:r w:rsidR="0005174C">
        <w:t>(b)</w:t>
      </w:r>
      <w:r>
        <w:tab/>
      </w:r>
      <w:proofErr w:type="gramStart"/>
      <w:r>
        <w:t>diesel—</w:t>
      </w:r>
      <w:proofErr w:type="gramEnd"/>
      <w:r>
        <w:t>40%;</w:t>
      </w:r>
    </w:p>
    <w:p w:rsidR="004F0D3F" w:rsidRDefault="004F0D3F" w:rsidP="00816DBB">
      <w:pPr>
        <w:pStyle w:val="tPara"/>
        <w:tabs>
          <w:tab w:val="left" w:pos="1700"/>
          <w:tab w:val="left" w:pos="2125"/>
          <w:tab w:val="left" w:pos="2550"/>
          <w:tab w:val="left" w:pos="2975"/>
          <w:tab w:val="left" w:pos="6315"/>
        </w:tabs>
      </w:pPr>
      <w:r>
        <w:tab/>
      </w:r>
      <w:r w:rsidR="0005174C">
        <w:t>(c)</w:t>
      </w:r>
      <w:r>
        <w:tab/>
      </w:r>
      <w:proofErr w:type="gramStart"/>
      <w:r>
        <w:t>kerosene—</w:t>
      </w:r>
      <w:proofErr w:type="gramEnd"/>
      <w:r>
        <w:t>9%;</w:t>
      </w:r>
      <w:r w:rsidR="00816DBB">
        <w:tab/>
      </w:r>
    </w:p>
    <w:p w:rsidR="004F0D3F" w:rsidRDefault="004F0D3F" w:rsidP="004F0D3F">
      <w:pPr>
        <w:pStyle w:val="tPara"/>
      </w:pPr>
      <w:r>
        <w:lastRenderedPageBreak/>
        <w:tab/>
      </w:r>
      <w:r w:rsidR="0005174C">
        <w:t>(</w:t>
      </w:r>
      <w:proofErr w:type="gramStart"/>
      <w:r w:rsidR="0005174C">
        <w:t>d</w:t>
      </w:r>
      <w:proofErr w:type="gramEnd"/>
      <w:r w:rsidR="0005174C">
        <w:t>)</w:t>
      </w:r>
      <w:r>
        <w:tab/>
        <w:t>fuel oil—2%;</w:t>
      </w:r>
    </w:p>
    <w:p w:rsidR="004F0D3F" w:rsidRDefault="004F0D3F" w:rsidP="004F0D3F">
      <w:pPr>
        <w:pStyle w:val="tPara"/>
      </w:pPr>
      <w:r>
        <w:tab/>
      </w:r>
      <w:r w:rsidR="0005174C">
        <w:t>(e)</w:t>
      </w:r>
      <w:r>
        <w:tab/>
      </w:r>
      <w:proofErr w:type="gramStart"/>
      <w:r>
        <w:t>marine</w:t>
      </w:r>
      <w:proofErr w:type="gramEnd"/>
      <w:r>
        <w:t xml:space="preserve"> fuel oil—0%.</w:t>
      </w:r>
    </w:p>
    <w:p w:rsidR="001A5B78" w:rsidRPr="005949C0" w:rsidRDefault="0005174C" w:rsidP="001A5B78">
      <w:pPr>
        <w:pStyle w:val="h5Section"/>
      </w:pPr>
      <w:bookmarkStart w:id="25" w:name="_Toc74671603"/>
      <w:proofErr w:type="gramStart"/>
      <w:r>
        <w:t>12</w:t>
      </w:r>
      <w:r w:rsidR="001A5B78" w:rsidRPr="005949C0">
        <w:t xml:space="preserve">  </w:t>
      </w:r>
      <w:r w:rsidR="001A5B78">
        <w:t>Basis</w:t>
      </w:r>
      <w:proofErr w:type="gramEnd"/>
      <w:r w:rsidR="001A5B78">
        <w:t xml:space="preserve"> differential</w:t>
      </w:r>
      <w:bookmarkEnd w:id="25"/>
    </w:p>
    <w:p w:rsidR="001A5B78" w:rsidRPr="005949C0" w:rsidRDefault="001A5B78" w:rsidP="001A5B78">
      <w:pPr>
        <w:pStyle w:val="tMain"/>
      </w:pPr>
      <w:r w:rsidRPr="005949C0">
        <w:tab/>
      </w:r>
      <w:r w:rsidR="0005174C">
        <w:t>(1)</w:t>
      </w:r>
      <w:r w:rsidRPr="005949C0">
        <w:tab/>
      </w:r>
      <w:r>
        <w:t>The basis differential should reflect the difference between the calculated margin marker and the margins of the refinery, based upon historical financial information and the operating environment of the refinery.</w:t>
      </w:r>
      <w:r w:rsidR="00A73C57">
        <w:t xml:space="preserve"> This includes</w:t>
      </w:r>
      <w:r w:rsidR="00F97904">
        <w:t xml:space="preserve"> the</w:t>
      </w:r>
      <w:r w:rsidR="00A73C57">
        <w:t xml:space="preserve"> ability to source alternative crude oil and constraints such as the depth of shipping berths</w:t>
      </w:r>
      <w:r w:rsidR="003B68A3">
        <w:t xml:space="preserve"> that are available to the committed refinery</w:t>
      </w:r>
      <w:r w:rsidR="00A73C57">
        <w:t>.</w:t>
      </w:r>
    </w:p>
    <w:p w:rsidR="001A5B78" w:rsidRPr="005949C0" w:rsidRDefault="001A5B78" w:rsidP="001A5B78">
      <w:pPr>
        <w:pStyle w:val="tMain"/>
      </w:pPr>
      <w:r>
        <w:tab/>
      </w:r>
      <w:r w:rsidR="0005174C">
        <w:t>(2)</w:t>
      </w:r>
      <w:r w:rsidR="000A1BBC">
        <w:tab/>
        <w:t>For the Geelong</w:t>
      </w:r>
      <w:r>
        <w:t xml:space="preserve"> refinery, the basis differential is determined to be $1.80 per barrel</w:t>
      </w:r>
      <w:r w:rsidR="00353926">
        <w:t xml:space="preserve"> of </w:t>
      </w:r>
      <w:r w:rsidR="008B397E">
        <w:t>FSSP fuel</w:t>
      </w:r>
      <w:r>
        <w:t>.</w:t>
      </w:r>
    </w:p>
    <w:p w:rsidR="001A5B78" w:rsidRDefault="001A5B78" w:rsidP="001A5B78">
      <w:pPr>
        <w:pStyle w:val="tMain"/>
      </w:pPr>
      <w:r>
        <w:tab/>
      </w:r>
      <w:r w:rsidR="0005174C">
        <w:t>(3)</w:t>
      </w:r>
      <w:r>
        <w:tab/>
        <w:t xml:space="preserve">For the </w:t>
      </w:r>
      <w:r w:rsidR="000A1BBC">
        <w:t>Lytton</w:t>
      </w:r>
      <w:r>
        <w:t xml:space="preserve"> refinery, the basis differential is determined to be $3.10 per barrel</w:t>
      </w:r>
      <w:r w:rsidR="00353926">
        <w:t xml:space="preserve"> of </w:t>
      </w:r>
      <w:r w:rsidR="008B397E">
        <w:t>FSSP fuel</w:t>
      </w:r>
      <w:r>
        <w:t>.</w:t>
      </w:r>
    </w:p>
    <w:p w:rsidR="00B272E4" w:rsidRPr="005949C0" w:rsidRDefault="0005174C" w:rsidP="00B272E4">
      <w:pPr>
        <w:pStyle w:val="h5Section"/>
      </w:pPr>
      <w:bookmarkStart w:id="26" w:name="_Toc74671604"/>
      <w:proofErr w:type="gramStart"/>
      <w:r>
        <w:t>13</w:t>
      </w:r>
      <w:r w:rsidR="00B272E4" w:rsidRPr="005949C0">
        <w:t xml:space="preserve">  </w:t>
      </w:r>
      <w:r w:rsidR="00B272E4">
        <w:t>Exchange</w:t>
      </w:r>
      <w:proofErr w:type="gramEnd"/>
      <w:r w:rsidR="00B272E4">
        <w:t xml:space="preserve"> rate</w:t>
      </w:r>
      <w:bookmarkEnd w:id="26"/>
    </w:p>
    <w:p w:rsidR="00B272E4" w:rsidRDefault="00B272E4" w:rsidP="00B272E4">
      <w:pPr>
        <w:pStyle w:val="tMain"/>
      </w:pPr>
      <w:r w:rsidRPr="005949C0">
        <w:tab/>
      </w:r>
      <w:r w:rsidRPr="005949C0">
        <w:tab/>
      </w:r>
      <w:r>
        <w:t>Where values are based on United States dollars, those values should be converted to Australian dollars based on the exchange rates published by the Reserve Bank of Australia</w:t>
      </w:r>
      <w:r w:rsidR="003B68A3">
        <w:t xml:space="preserve"> for each month</w:t>
      </w:r>
      <w:r>
        <w:t>.</w:t>
      </w:r>
    </w:p>
    <w:p w:rsidR="00A73C57" w:rsidRDefault="0005174C" w:rsidP="00A73C57">
      <w:pPr>
        <w:pStyle w:val="h2Part"/>
      </w:pPr>
      <w:bookmarkStart w:id="27" w:name="_Toc74671605"/>
      <w:r>
        <w:rPr>
          <w:rStyle w:val="CharPartNo"/>
        </w:rPr>
        <w:t>Part 4</w:t>
      </w:r>
      <w:r w:rsidR="00A73C57" w:rsidRPr="005949C0">
        <w:rPr>
          <w:rStyle w:val="CharPartNo"/>
        </w:rPr>
        <w:t>—</w:t>
      </w:r>
      <w:r w:rsidR="00A73C57">
        <w:rPr>
          <w:rStyle w:val="CharPartText"/>
        </w:rPr>
        <w:t>Milestone report</w:t>
      </w:r>
      <w:bookmarkEnd w:id="27"/>
    </w:p>
    <w:p w:rsidR="00A73C57" w:rsidRDefault="0005174C" w:rsidP="00A73C57">
      <w:pPr>
        <w:pStyle w:val="h5Section"/>
      </w:pPr>
      <w:bookmarkStart w:id="28" w:name="_Toc74671606"/>
      <w:proofErr w:type="gramStart"/>
      <w:r>
        <w:t>14</w:t>
      </w:r>
      <w:r w:rsidR="00A73C57" w:rsidRPr="005949C0">
        <w:t xml:space="preserve">  </w:t>
      </w:r>
      <w:r w:rsidR="00A73C57">
        <w:t>Milestone</w:t>
      </w:r>
      <w:proofErr w:type="gramEnd"/>
      <w:r w:rsidR="00A73C57">
        <w:t xml:space="preserve"> report</w:t>
      </w:r>
      <w:bookmarkEnd w:id="28"/>
    </w:p>
    <w:p w:rsidR="00A73C57" w:rsidRPr="005949C0" w:rsidRDefault="00A73C57" w:rsidP="00A73C57">
      <w:pPr>
        <w:pStyle w:val="tMain"/>
      </w:pPr>
      <w:r>
        <w:tab/>
      </w:r>
      <w:r>
        <w:tab/>
      </w:r>
      <w:r w:rsidRPr="00A73C57">
        <w:t>The method for determining the rate</w:t>
      </w:r>
      <w:r w:rsidR="00830051">
        <w:t xml:space="preserve"> of fuel security services payments</w:t>
      </w:r>
      <w:r w:rsidRPr="00A73C57">
        <w:t xml:space="preserve"> will be subject to a milestone report after two years to ensure it is still appropriate for Australian market conditions.</w:t>
      </w:r>
    </w:p>
    <w:p w:rsidR="00634D19" w:rsidRDefault="00634D19" w:rsidP="00634D19">
      <w:pPr>
        <w:pStyle w:val="tMain"/>
      </w:pPr>
    </w:p>
    <w:p w:rsidR="007D6E07" w:rsidRPr="00B8447E" w:rsidRDefault="007D6E07" w:rsidP="005E6942">
      <w:pPr>
        <w:spacing w:line="240" w:lineRule="auto"/>
        <w:rPr>
          <w:rFonts w:ascii="Arial" w:hAnsi="Arial"/>
          <w:b/>
          <w:color w:val="7030A0"/>
          <w:sz w:val="28"/>
          <w:szCs w:val="28"/>
        </w:rPr>
      </w:pPr>
    </w:p>
    <w:sectPr w:rsidR="007D6E07" w:rsidRPr="00B8447E" w:rsidSect="00B13564">
      <w:footerReference w:type="default" r:id="rId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FDF" w:rsidRDefault="009C5FDF">
      <w:r>
        <w:separator/>
      </w:r>
    </w:p>
  </w:endnote>
  <w:endnote w:type="continuationSeparator" w:id="0">
    <w:p w:rsidR="009C5FDF" w:rsidRDefault="009C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7939"/>
      <w:docPartObj>
        <w:docPartGallery w:val="Page Numbers (Bottom of Page)"/>
        <w:docPartUnique/>
      </w:docPartObj>
    </w:sdtPr>
    <w:sdtEndPr/>
    <w:sdtContent>
      <w:p w:rsidR="00D537D2" w:rsidRDefault="00D537D2" w:rsidP="009818F6">
        <w:pPr>
          <w:pStyle w:val="Footer"/>
          <w:pBdr>
            <w:top w:val="single" w:sz="4" w:space="1" w:color="auto"/>
          </w:pBdr>
          <w:jc w:val="right"/>
        </w:pPr>
        <w:r>
          <w:rPr>
            <w:noProof/>
          </w:rPr>
          <w:fldChar w:fldCharType="begin"/>
        </w:r>
        <w:r>
          <w:rPr>
            <w:noProof/>
          </w:rPr>
          <w:instrText xml:space="preserve"> PAGE   \* MERGEFORMAT </w:instrText>
        </w:r>
        <w:r>
          <w:rPr>
            <w:noProof/>
          </w:rPr>
          <w:fldChar w:fldCharType="separate"/>
        </w:r>
        <w:r w:rsidR="002A591D">
          <w:rPr>
            <w:noProof/>
          </w:rPr>
          <w:t>2</w:t>
        </w:r>
        <w:r>
          <w:rPr>
            <w:noProof/>
          </w:rPr>
          <w:fldChar w:fldCharType="end"/>
        </w:r>
      </w:p>
    </w:sdtContent>
  </w:sdt>
  <w:p w:rsidR="00D537D2" w:rsidRDefault="00D537D2" w:rsidP="007C3545">
    <w:pPr>
      <w:pStyle w:val="Header"/>
    </w:pPr>
    <w:r>
      <w:rPr>
        <w:noProof/>
      </w:rPr>
      <w:fldChar w:fldCharType="begin"/>
    </w:r>
    <w:r>
      <w:rPr>
        <w:noProof/>
      </w:rPr>
      <w:instrText xml:space="preserve"> STYLEREF  ShortT  \* MERGEFORMAT </w:instrText>
    </w:r>
    <w:r>
      <w:rPr>
        <w:noProof/>
      </w:rPr>
      <w:fldChar w:fldCharType="separate"/>
    </w:r>
    <w:r w:rsidR="002A591D">
      <w:rPr>
        <w:noProof/>
      </w:rPr>
      <w:t>Fuel Security (Fuel Security Services Payment) Guidelines 2021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FDF" w:rsidRDefault="009C5FDF">
      <w:r>
        <w:separator/>
      </w:r>
    </w:p>
  </w:footnote>
  <w:footnote w:type="continuationSeparator" w:id="0">
    <w:p w:rsidR="009C5FDF" w:rsidRDefault="009C5F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FA819C"/>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15:restartNumberingAfterBreak="0">
    <w:nsid w:val="FFFFFF7F"/>
    <w:multiLevelType w:val="singleLevel"/>
    <w:tmpl w:val="FDA2FC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78B6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67B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AB2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F651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7005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427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11" w15:restartNumberingAfterBreak="0">
    <w:nsid w:val="1A9A3EDC"/>
    <w:multiLevelType w:val="multilevel"/>
    <w:tmpl w:val="A7A0206E"/>
    <w:lvl w:ilvl="0">
      <w:start w:val="1"/>
      <w:numFmt w:val="decimal"/>
      <w:lvlRestart w:val="0"/>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ind w:left="0" w:firstLine="0"/>
      </w:pPr>
      <w:rPr>
        <w:rFonts w:hint="default"/>
      </w:rPr>
    </w:lvl>
  </w:abstractNum>
  <w:abstractNum w:abstractNumId="12" w15:restartNumberingAfterBreak="0">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17" w15:restartNumberingAfterBreak="0">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8"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A4E7422"/>
    <w:multiLevelType w:val="hybridMultilevel"/>
    <w:tmpl w:val="1840D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1"/>
  </w:num>
  <w:num w:numId="4">
    <w:abstractNumId w:val="32"/>
  </w:num>
  <w:num w:numId="5">
    <w:abstractNumId w:val="26"/>
  </w:num>
  <w:num w:numId="6">
    <w:abstractNumId w:val="20"/>
  </w:num>
  <w:num w:numId="7">
    <w:abstractNumId w:val="13"/>
  </w:num>
  <w:num w:numId="8">
    <w:abstractNumId w:val="19"/>
  </w:num>
  <w:num w:numId="9">
    <w:abstractNumId w:val="33"/>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0"/>
  </w:num>
  <w:num w:numId="19">
    <w:abstractNumId w:val="10"/>
  </w:num>
  <w:num w:numId="20">
    <w:abstractNumId w:val="12"/>
  </w:num>
  <w:num w:numId="21">
    <w:abstractNumId w:val="17"/>
  </w:num>
  <w:num w:numId="22">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425"/>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8EB"/>
    <w:rsid w:val="00001B29"/>
    <w:rsid w:val="00002024"/>
    <w:rsid w:val="000039D7"/>
    <w:rsid w:val="00006837"/>
    <w:rsid w:val="00012088"/>
    <w:rsid w:val="00012B72"/>
    <w:rsid w:val="00014257"/>
    <w:rsid w:val="00016915"/>
    <w:rsid w:val="000248C7"/>
    <w:rsid w:val="000258A0"/>
    <w:rsid w:val="00030FCF"/>
    <w:rsid w:val="00031189"/>
    <w:rsid w:val="000320F2"/>
    <w:rsid w:val="00036984"/>
    <w:rsid w:val="0003757F"/>
    <w:rsid w:val="0003764D"/>
    <w:rsid w:val="00041037"/>
    <w:rsid w:val="00041E62"/>
    <w:rsid w:val="0004373B"/>
    <w:rsid w:val="0004479F"/>
    <w:rsid w:val="00044D8C"/>
    <w:rsid w:val="000453D0"/>
    <w:rsid w:val="00046216"/>
    <w:rsid w:val="00050664"/>
    <w:rsid w:val="0005174C"/>
    <w:rsid w:val="00051826"/>
    <w:rsid w:val="00051EA8"/>
    <w:rsid w:val="0005423E"/>
    <w:rsid w:val="00056020"/>
    <w:rsid w:val="00057DAB"/>
    <w:rsid w:val="00057DAD"/>
    <w:rsid w:val="00060287"/>
    <w:rsid w:val="00063C97"/>
    <w:rsid w:val="00064F51"/>
    <w:rsid w:val="00066A91"/>
    <w:rsid w:val="00071808"/>
    <w:rsid w:val="000731B2"/>
    <w:rsid w:val="00074AB4"/>
    <w:rsid w:val="000813F8"/>
    <w:rsid w:val="00082BCD"/>
    <w:rsid w:val="00090D8B"/>
    <w:rsid w:val="000967FA"/>
    <w:rsid w:val="00097203"/>
    <w:rsid w:val="000974E1"/>
    <w:rsid w:val="000978C5"/>
    <w:rsid w:val="000A1BBC"/>
    <w:rsid w:val="000A25C2"/>
    <w:rsid w:val="000A4314"/>
    <w:rsid w:val="000A71D4"/>
    <w:rsid w:val="000A7903"/>
    <w:rsid w:val="000B042A"/>
    <w:rsid w:val="000B177D"/>
    <w:rsid w:val="000B1CC9"/>
    <w:rsid w:val="000B2B15"/>
    <w:rsid w:val="000B3F0C"/>
    <w:rsid w:val="000B4DA5"/>
    <w:rsid w:val="000B58A6"/>
    <w:rsid w:val="000B5DCB"/>
    <w:rsid w:val="000B6E1F"/>
    <w:rsid w:val="000C2287"/>
    <w:rsid w:val="000C2440"/>
    <w:rsid w:val="000C61CF"/>
    <w:rsid w:val="000D117C"/>
    <w:rsid w:val="000D2D22"/>
    <w:rsid w:val="000D2FFA"/>
    <w:rsid w:val="000D40E2"/>
    <w:rsid w:val="000D5F02"/>
    <w:rsid w:val="000D628D"/>
    <w:rsid w:val="000D7205"/>
    <w:rsid w:val="000E2406"/>
    <w:rsid w:val="000E2AF3"/>
    <w:rsid w:val="000E2E9E"/>
    <w:rsid w:val="000E2F82"/>
    <w:rsid w:val="000E4D39"/>
    <w:rsid w:val="000E750C"/>
    <w:rsid w:val="000F0319"/>
    <w:rsid w:val="000F081D"/>
    <w:rsid w:val="000F2EBE"/>
    <w:rsid w:val="000F3049"/>
    <w:rsid w:val="000F31F8"/>
    <w:rsid w:val="000F39FE"/>
    <w:rsid w:val="001002F7"/>
    <w:rsid w:val="001008C7"/>
    <w:rsid w:val="00102896"/>
    <w:rsid w:val="001032F0"/>
    <w:rsid w:val="001074B3"/>
    <w:rsid w:val="00107E81"/>
    <w:rsid w:val="001104D5"/>
    <w:rsid w:val="0011343D"/>
    <w:rsid w:val="001179AC"/>
    <w:rsid w:val="00120518"/>
    <w:rsid w:val="00121A23"/>
    <w:rsid w:val="00123118"/>
    <w:rsid w:val="00124559"/>
    <w:rsid w:val="001245D0"/>
    <w:rsid w:val="001300B0"/>
    <w:rsid w:val="00132835"/>
    <w:rsid w:val="00133C9C"/>
    <w:rsid w:val="001369B9"/>
    <w:rsid w:val="00137A06"/>
    <w:rsid w:val="00140EBC"/>
    <w:rsid w:val="00142EC4"/>
    <w:rsid w:val="0014387D"/>
    <w:rsid w:val="001443B4"/>
    <w:rsid w:val="00144E82"/>
    <w:rsid w:val="001476F6"/>
    <w:rsid w:val="001532D6"/>
    <w:rsid w:val="00154AA1"/>
    <w:rsid w:val="00170675"/>
    <w:rsid w:val="001719D0"/>
    <w:rsid w:val="00172839"/>
    <w:rsid w:val="00174847"/>
    <w:rsid w:val="0017505D"/>
    <w:rsid w:val="001776B2"/>
    <w:rsid w:val="00182E3C"/>
    <w:rsid w:val="00182E6C"/>
    <w:rsid w:val="00184268"/>
    <w:rsid w:val="00184B5E"/>
    <w:rsid w:val="001859C6"/>
    <w:rsid w:val="00186896"/>
    <w:rsid w:val="00187A61"/>
    <w:rsid w:val="00190AB5"/>
    <w:rsid w:val="00194039"/>
    <w:rsid w:val="00195069"/>
    <w:rsid w:val="00196DA5"/>
    <w:rsid w:val="001979DC"/>
    <w:rsid w:val="001A0018"/>
    <w:rsid w:val="001A15AC"/>
    <w:rsid w:val="001A1A0B"/>
    <w:rsid w:val="001A562A"/>
    <w:rsid w:val="001A5B78"/>
    <w:rsid w:val="001A5CB2"/>
    <w:rsid w:val="001B0571"/>
    <w:rsid w:val="001B0B41"/>
    <w:rsid w:val="001B2D72"/>
    <w:rsid w:val="001B4173"/>
    <w:rsid w:val="001B644D"/>
    <w:rsid w:val="001B7250"/>
    <w:rsid w:val="001B7C15"/>
    <w:rsid w:val="001C0768"/>
    <w:rsid w:val="001C1A73"/>
    <w:rsid w:val="001C1D02"/>
    <w:rsid w:val="001C3392"/>
    <w:rsid w:val="001C3788"/>
    <w:rsid w:val="001C6AD2"/>
    <w:rsid w:val="001D07AE"/>
    <w:rsid w:val="001D61EF"/>
    <w:rsid w:val="001E0380"/>
    <w:rsid w:val="001E0958"/>
    <w:rsid w:val="001E0960"/>
    <w:rsid w:val="001E1B02"/>
    <w:rsid w:val="001E3998"/>
    <w:rsid w:val="001E4824"/>
    <w:rsid w:val="001E647F"/>
    <w:rsid w:val="001F373E"/>
    <w:rsid w:val="001F43D4"/>
    <w:rsid w:val="001F50EC"/>
    <w:rsid w:val="001F5AF2"/>
    <w:rsid w:val="00201A33"/>
    <w:rsid w:val="00210328"/>
    <w:rsid w:val="00210C28"/>
    <w:rsid w:val="0021145F"/>
    <w:rsid w:val="00213788"/>
    <w:rsid w:val="002146BA"/>
    <w:rsid w:val="002150E5"/>
    <w:rsid w:val="0021764C"/>
    <w:rsid w:val="00217A90"/>
    <w:rsid w:val="00217C89"/>
    <w:rsid w:val="00220F1C"/>
    <w:rsid w:val="00221B3D"/>
    <w:rsid w:val="002221BC"/>
    <w:rsid w:val="00223A01"/>
    <w:rsid w:val="00225D68"/>
    <w:rsid w:val="0022621E"/>
    <w:rsid w:val="00226E7C"/>
    <w:rsid w:val="002274CF"/>
    <w:rsid w:val="002309B3"/>
    <w:rsid w:val="00232329"/>
    <w:rsid w:val="002323DB"/>
    <w:rsid w:val="00233BC0"/>
    <w:rsid w:val="00234173"/>
    <w:rsid w:val="00235E1E"/>
    <w:rsid w:val="00236630"/>
    <w:rsid w:val="00240E9E"/>
    <w:rsid w:val="0024155A"/>
    <w:rsid w:val="00241798"/>
    <w:rsid w:val="002432A9"/>
    <w:rsid w:val="00243924"/>
    <w:rsid w:val="00246A83"/>
    <w:rsid w:val="00246C4C"/>
    <w:rsid w:val="002472BC"/>
    <w:rsid w:val="00254817"/>
    <w:rsid w:val="00255070"/>
    <w:rsid w:val="00255165"/>
    <w:rsid w:val="00257896"/>
    <w:rsid w:val="002642D5"/>
    <w:rsid w:val="00265192"/>
    <w:rsid w:val="00265CB8"/>
    <w:rsid w:val="00266DC8"/>
    <w:rsid w:val="00267238"/>
    <w:rsid w:val="00274E2B"/>
    <w:rsid w:val="00280B8E"/>
    <w:rsid w:val="002832F4"/>
    <w:rsid w:val="0028502C"/>
    <w:rsid w:val="00286557"/>
    <w:rsid w:val="0028786B"/>
    <w:rsid w:val="00293143"/>
    <w:rsid w:val="00293320"/>
    <w:rsid w:val="00294058"/>
    <w:rsid w:val="00294245"/>
    <w:rsid w:val="00294DE8"/>
    <w:rsid w:val="002A053A"/>
    <w:rsid w:val="002A0596"/>
    <w:rsid w:val="002A18C9"/>
    <w:rsid w:val="002A2E80"/>
    <w:rsid w:val="002A3283"/>
    <w:rsid w:val="002A5322"/>
    <w:rsid w:val="002A591D"/>
    <w:rsid w:val="002A6992"/>
    <w:rsid w:val="002A7E6F"/>
    <w:rsid w:val="002B0EAC"/>
    <w:rsid w:val="002B172D"/>
    <w:rsid w:val="002B292B"/>
    <w:rsid w:val="002B3521"/>
    <w:rsid w:val="002C037D"/>
    <w:rsid w:val="002C3465"/>
    <w:rsid w:val="002C39A1"/>
    <w:rsid w:val="002C5E7F"/>
    <w:rsid w:val="002C7581"/>
    <w:rsid w:val="002C79B3"/>
    <w:rsid w:val="002D675F"/>
    <w:rsid w:val="002E2E64"/>
    <w:rsid w:val="002E39E0"/>
    <w:rsid w:val="002E7EE0"/>
    <w:rsid w:val="002F0C47"/>
    <w:rsid w:val="002F11C8"/>
    <w:rsid w:val="002F242B"/>
    <w:rsid w:val="002F467E"/>
    <w:rsid w:val="002F4A68"/>
    <w:rsid w:val="002F5F38"/>
    <w:rsid w:val="002F664A"/>
    <w:rsid w:val="00301367"/>
    <w:rsid w:val="00301C22"/>
    <w:rsid w:val="00306EFA"/>
    <w:rsid w:val="0031117B"/>
    <w:rsid w:val="003127F8"/>
    <w:rsid w:val="00321884"/>
    <w:rsid w:val="00322CCD"/>
    <w:rsid w:val="0032396F"/>
    <w:rsid w:val="003257CA"/>
    <w:rsid w:val="0032598E"/>
    <w:rsid w:val="00327822"/>
    <w:rsid w:val="00331757"/>
    <w:rsid w:val="0033258A"/>
    <w:rsid w:val="00332C68"/>
    <w:rsid w:val="00333A4F"/>
    <w:rsid w:val="00335540"/>
    <w:rsid w:val="00340AA4"/>
    <w:rsid w:val="0034760F"/>
    <w:rsid w:val="00350078"/>
    <w:rsid w:val="0035186D"/>
    <w:rsid w:val="00352B83"/>
    <w:rsid w:val="00352DE5"/>
    <w:rsid w:val="00353926"/>
    <w:rsid w:val="00354E4F"/>
    <w:rsid w:val="00362FF8"/>
    <w:rsid w:val="00364922"/>
    <w:rsid w:val="00371E2D"/>
    <w:rsid w:val="00372DF1"/>
    <w:rsid w:val="00377DAC"/>
    <w:rsid w:val="00380FB2"/>
    <w:rsid w:val="00382276"/>
    <w:rsid w:val="00386680"/>
    <w:rsid w:val="0039016F"/>
    <w:rsid w:val="003902F7"/>
    <w:rsid w:val="00390A97"/>
    <w:rsid w:val="00390B03"/>
    <w:rsid w:val="003939A2"/>
    <w:rsid w:val="003953F7"/>
    <w:rsid w:val="0039749E"/>
    <w:rsid w:val="00397CC2"/>
    <w:rsid w:val="003A080E"/>
    <w:rsid w:val="003A34AE"/>
    <w:rsid w:val="003A4CFF"/>
    <w:rsid w:val="003A5620"/>
    <w:rsid w:val="003A6158"/>
    <w:rsid w:val="003A644D"/>
    <w:rsid w:val="003A72A8"/>
    <w:rsid w:val="003B114C"/>
    <w:rsid w:val="003B2DC6"/>
    <w:rsid w:val="003B3DB9"/>
    <w:rsid w:val="003B4E23"/>
    <w:rsid w:val="003B68A3"/>
    <w:rsid w:val="003B7386"/>
    <w:rsid w:val="003B777A"/>
    <w:rsid w:val="003C1E61"/>
    <w:rsid w:val="003C32EE"/>
    <w:rsid w:val="003C3997"/>
    <w:rsid w:val="003C452F"/>
    <w:rsid w:val="003D1FE2"/>
    <w:rsid w:val="003D799A"/>
    <w:rsid w:val="003D7C75"/>
    <w:rsid w:val="003E0AF3"/>
    <w:rsid w:val="003E1765"/>
    <w:rsid w:val="003E2DCB"/>
    <w:rsid w:val="003E3108"/>
    <w:rsid w:val="003E352A"/>
    <w:rsid w:val="003E49CC"/>
    <w:rsid w:val="003E5C76"/>
    <w:rsid w:val="003E6641"/>
    <w:rsid w:val="003E7BF9"/>
    <w:rsid w:val="003F58A1"/>
    <w:rsid w:val="003F61C0"/>
    <w:rsid w:val="003F7EF1"/>
    <w:rsid w:val="0040186F"/>
    <w:rsid w:val="00402812"/>
    <w:rsid w:val="004040B2"/>
    <w:rsid w:val="00404E41"/>
    <w:rsid w:val="0040665C"/>
    <w:rsid w:val="00406C4A"/>
    <w:rsid w:val="004074D0"/>
    <w:rsid w:val="004077A2"/>
    <w:rsid w:val="00407A73"/>
    <w:rsid w:val="00412098"/>
    <w:rsid w:val="00412EE5"/>
    <w:rsid w:val="00416635"/>
    <w:rsid w:val="004209C2"/>
    <w:rsid w:val="00423DA5"/>
    <w:rsid w:val="00430D5F"/>
    <w:rsid w:val="0043183D"/>
    <w:rsid w:val="004327A6"/>
    <w:rsid w:val="00433AE2"/>
    <w:rsid w:val="00435726"/>
    <w:rsid w:val="00435DA0"/>
    <w:rsid w:val="00436098"/>
    <w:rsid w:val="00436219"/>
    <w:rsid w:val="00436C5C"/>
    <w:rsid w:val="00437592"/>
    <w:rsid w:val="00441379"/>
    <w:rsid w:val="00442227"/>
    <w:rsid w:val="004428F7"/>
    <w:rsid w:val="00442D45"/>
    <w:rsid w:val="00444507"/>
    <w:rsid w:val="00444584"/>
    <w:rsid w:val="004503EC"/>
    <w:rsid w:val="00452C13"/>
    <w:rsid w:val="00454D4A"/>
    <w:rsid w:val="00463E97"/>
    <w:rsid w:val="00475CF2"/>
    <w:rsid w:val="00476141"/>
    <w:rsid w:val="00476C74"/>
    <w:rsid w:val="00477BB5"/>
    <w:rsid w:val="004803D4"/>
    <w:rsid w:val="004833DB"/>
    <w:rsid w:val="004842E7"/>
    <w:rsid w:val="00487B34"/>
    <w:rsid w:val="00491433"/>
    <w:rsid w:val="004938A3"/>
    <w:rsid w:val="004971E4"/>
    <w:rsid w:val="004A0C1B"/>
    <w:rsid w:val="004A37E5"/>
    <w:rsid w:val="004B4EA7"/>
    <w:rsid w:val="004B5B4A"/>
    <w:rsid w:val="004B644E"/>
    <w:rsid w:val="004C1309"/>
    <w:rsid w:val="004C144E"/>
    <w:rsid w:val="004C1A87"/>
    <w:rsid w:val="004C5AFE"/>
    <w:rsid w:val="004C6902"/>
    <w:rsid w:val="004D256F"/>
    <w:rsid w:val="004E1067"/>
    <w:rsid w:val="004F0122"/>
    <w:rsid w:val="004F0D3F"/>
    <w:rsid w:val="004F17F7"/>
    <w:rsid w:val="004F2FAE"/>
    <w:rsid w:val="004F5362"/>
    <w:rsid w:val="00500012"/>
    <w:rsid w:val="00502DD0"/>
    <w:rsid w:val="00505FCA"/>
    <w:rsid w:val="00507791"/>
    <w:rsid w:val="00511EAF"/>
    <w:rsid w:val="00517E97"/>
    <w:rsid w:val="00521933"/>
    <w:rsid w:val="00522647"/>
    <w:rsid w:val="00526A27"/>
    <w:rsid w:val="005276E4"/>
    <w:rsid w:val="00531C0C"/>
    <w:rsid w:val="00532D74"/>
    <w:rsid w:val="005352DD"/>
    <w:rsid w:val="00536929"/>
    <w:rsid w:val="00537B4E"/>
    <w:rsid w:val="00540465"/>
    <w:rsid w:val="00547E30"/>
    <w:rsid w:val="0055370A"/>
    <w:rsid w:val="00554B06"/>
    <w:rsid w:val="00555654"/>
    <w:rsid w:val="005556A2"/>
    <w:rsid w:val="00556A40"/>
    <w:rsid w:val="00562634"/>
    <w:rsid w:val="00571ACA"/>
    <w:rsid w:val="00574D2B"/>
    <w:rsid w:val="00582C28"/>
    <w:rsid w:val="00583629"/>
    <w:rsid w:val="00584F3F"/>
    <w:rsid w:val="0058653A"/>
    <w:rsid w:val="00586C23"/>
    <w:rsid w:val="00592607"/>
    <w:rsid w:val="00594537"/>
    <w:rsid w:val="005949C0"/>
    <w:rsid w:val="00595849"/>
    <w:rsid w:val="005A0240"/>
    <w:rsid w:val="005A0814"/>
    <w:rsid w:val="005A6EA9"/>
    <w:rsid w:val="005B29AD"/>
    <w:rsid w:val="005B42FE"/>
    <w:rsid w:val="005B4588"/>
    <w:rsid w:val="005B45A0"/>
    <w:rsid w:val="005B5048"/>
    <w:rsid w:val="005B52E3"/>
    <w:rsid w:val="005B5536"/>
    <w:rsid w:val="005B63B2"/>
    <w:rsid w:val="005B7033"/>
    <w:rsid w:val="005D1FCA"/>
    <w:rsid w:val="005D4CA5"/>
    <w:rsid w:val="005D7C25"/>
    <w:rsid w:val="005E017E"/>
    <w:rsid w:val="005E0910"/>
    <w:rsid w:val="005E3F4F"/>
    <w:rsid w:val="005E4601"/>
    <w:rsid w:val="005E6942"/>
    <w:rsid w:val="005E736A"/>
    <w:rsid w:val="005F1DF4"/>
    <w:rsid w:val="005F253E"/>
    <w:rsid w:val="005F27EF"/>
    <w:rsid w:val="005F60DB"/>
    <w:rsid w:val="006006CF"/>
    <w:rsid w:val="00601F58"/>
    <w:rsid w:val="00602E88"/>
    <w:rsid w:val="00604125"/>
    <w:rsid w:val="00605ADC"/>
    <w:rsid w:val="00606ADD"/>
    <w:rsid w:val="00610DA3"/>
    <w:rsid w:val="006122E1"/>
    <w:rsid w:val="006147BE"/>
    <w:rsid w:val="006161F8"/>
    <w:rsid w:val="00616491"/>
    <w:rsid w:val="00623FA5"/>
    <w:rsid w:val="0062440A"/>
    <w:rsid w:val="0062512C"/>
    <w:rsid w:val="0063445A"/>
    <w:rsid w:val="00634D19"/>
    <w:rsid w:val="006376CC"/>
    <w:rsid w:val="00641007"/>
    <w:rsid w:val="00642695"/>
    <w:rsid w:val="00642C1E"/>
    <w:rsid w:val="006448E4"/>
    <w:rsid w:val="0064647A"/>
    <w:rsid w:val="0064667D"/>
    <w:rsid w:val="00646D73"/>
    <w:rsid w:val="0065130D"/>
    <w:rsid w:val="00652BBE"/>
    <w:rsid w:val="0065413D"/>
    <w:rsid w:val="006574AB"/>
    <w:rsid w:val="00662B72"/>
    <w:rsid w:val="006630BA"/>
    <w:rsid w:val="00663ADA"/>
    <w:rsid w:val="00665AEC"/>
    <w:rsid w:val="00666AB2"/>
    <w:rsid w:val="0066733F"/>
    <w:rsid w:val="00671A7E"/>
    <w:rsid w:val="006738A8"/>
    <w:rsid w:val="006775C7"/>
    <w:rsid w:val="00680B7C"/>
    <w:rsid w:val="0068239C"/>
    <w:rsid w:val="006829B7"/>
    <w:rsid w:val="0068442B"/>
    <w:rsid w:val="00685DC9"/>
    <w:rsid w:val="00691D8F"/>
    <w:rsid w:val="00692892"/>
    <w:rsid w:val="006937F1"/>
    <w:rsid w:val="006948D4"/>
    <w:rsid w:val="00695E89"/>
    <w:rsid w:val="006961BC"/>
    <w:rsid w:val="006A0E83"/>
    <w:rsid w:val="006A1924"/>
    <w:rsid w:val="006A37A5"/>
    <w:rsid w:val="006A44B5"/>
    <w:rsid w:val="006A45FF"/>
    <w:rsid w:val="006B17DB"/>
    <w:rsid w:val="006B404D"/>
    <w:rsid w:val="006C030F"/>
    <w:rsid w:val="006C1EA8"/>
    <w:rsid w:val="006C2838"/>
    <w:rsid w:val="006C4A30"/>
    <w:rsid w:val="006C5823"/>
    <w:rsid w:val="006C685B"/>
    <w:rsid w:val="006C7992"/>
    <w:rsid w:val="006C7EEA"/>
    <w:rsid w:val="006D0A68"/>
    <w:rsid w:val="006D315F"/>
    <w:rsid w:val="006D6000"/>
    <w:rsid w:val="006D7611"/>
    <w:rsid w:val="006E12A9"/>
    <w:rsid w:val="006E2406"/>
    <w:rsid w:val="006E29CF"/>
    <w:rsid w:val="006F05FC"/>
    <w:rsid w:val="006F166C"/>
    <w:rsid w:val="006F1BB4"/>
    <w:rsid w:val="006F335D"/>
    <w:rsid w:val="006F39FC"/>
    <w:rsid w:val="006F3F95"/>
    <w:rsid w:val="006F59B9"/>
    <w:rsid w:val="006F6600"/>
    <w:rsid w:val="006F6CBF"/>
    <w:rsid w:val="006F7EF6"/>
    <w:rsid w:val="00700043"/>
    <w:rsid w:val="00701FD7"/>
    <w:rsid w:val="007042B4"/>
    <w:rsid w:val="00711DAC"/>
    <w:rsid w:val="00720B8F"/>
    <w:rsid w:val="00722E06"/>
    <w:rsid w:val="0072459D"/>
    <w:rsid w:val="007249E6"/>
    <w:rsid w:val="0072656B"/>
    <w:rsid w:val="007275FE"/>
    <w:rsid w:val="0073065D"/>
    <w:rsid w:val="00730DC0"/>
    <w:rsid w:val="007330A3"/>
    <w:rsid w:val="00734F95"/>
    <w:rsid w:val="007351F3"/>
    <w:rsid w:val="00736F58"/>
    <w:rsid w:val="00741738"/>
    <w:rsid w:val="0074676E"/>
    <w:rsid w:val="00746DC8"/>
    <w:rsid w:val="00747AD3"/>
    <w:rsid w:val="00754E6A"/>
    <w:rsid w:val="007551B7"/>
    <w:rsid w:val="007557A9"/>
    <w:rsid w:val="00756155"/>
    <w:rsid w:val="00757BFF"/>
    <w:rsid w:val="007661CD"/>
    <w:rsid w:val="00767F90"/>
    <w:rsid w:val="007701BF"/>
    <w:rsid w:val="0077116C"/>
    <w:rsid w:val="0077150B"/>
    <w:rsid w:val="0077308C"/>
    <w:rsid w:val="00774156"/>
    <w:rsid w:val="00775C14"/>
    <w:rsid w:val="007760FD"/>
    <w:rsid w:val="00777BB6"/>
    <w:rsid w:val="00783B24"/>
    <w:rsid w:val="00785341"/>
    <w:rsid w:val="007856B2"/>
    <w:rsid w:val="007934F1"/>
    <w:rsid w:val="0079534B"/>
    <w:rsid w:val="007963EC"/>
    <w:rsid w:val="00797355"/>
    <w:rsid w:val="007A15D9"/>
    <w:rsid w:val="007A2B63"/>
    <w:rsid w:val="007A337B"/>
    <w:rsid w:val="007A4C5E"/>
    <w:rsid w:val="007A567A"/>
    <w:rsid w:val="007A5A4C"/>
    <w:rsid w:val="007A6FD4"/>
    <w:rsid w:val="007B0407"/>
    <w:rsid w:val="007B1945"/>
    <w:rsid w:val="007B1C64"/>
    <w:rsid w:val="007B5D87"/>
    <w:rsid w:val="007C1C1D"/>
    <w:rsid w:val="007C31EF"/>
    <w:rsid w:val="007C3545"/>
    <w:rsid w:val="007C5D94"/>
    <w:rsid w:val="007C6401"/>
    <w:rsid w:val="007C6E3D"/>
    <w:rsid w:val="007D6E07"/>
    <w:rsid w:val="007D7127"/>
    <w:rsid w:val="007D729A"/>
    <w:rsid w:val="007D798D"/>
    <w:rsid w:val="007E238A"/>
    <w:rsid w:val="007E4FBF"/>
    <w:rsid w:val="007E6966"/>
    <w:rsid w:val="007E753F"/>
    <w:rsid w:val="007F096A"/>
    <w:rsid w:val="007F11B3"/>
    <w:rsid w:val="007F3D55"/>
    <w:rsid w:val="007F434A"/>
    <w:rsid w:val="007F4381"/>
    <w:rsid w:val="0080020C"/>
    <w:rsid w:val="00805150"/>
    <w:rsid w:val="0080541C"/>
    <w:rsid w:val="00806905"/>
    <w:rsid w:val="008077BA"/>
    <w:rsid w:val="00810255"/>
    <w:rsid w:val="00812F65"/>
    <w:rsid w:val="008145A8"/>
    <w:rsid w:val="0081483E"/>
    <w:rsid w:val="00814DB1"/>
    <w:rsid w:val="00816DBB"/>
    <w:rsid w:val="00817727"/>
    <w:rsid w:val="0081779B"/>
    <w:rsid w:val="008205BA"/>
    <w:rsid w:val="00821543"/>
    <w:rsid w:val="0082171E"/>
    <w:rsid w:val="00822056"/>
    <w:rsid w:val="00822585"/>
    <w:rsid w:val="00824B62"/>
    <w:rsid w:val="00830051"/>
    <w:rsid w:val="00831BAE"/>
    <w:rsid w:val="0083235A"/>
    <w:rsid w:val="00832BF7"/>
    <w:rsid w:val="00834A7E"/>
    <w:rsid w:val="00851E2D"/>
    <w:rsid w:val="00852773"/>
    <w:rsid w:val="00852794"/>
    <w:rsid w:val="00855DE5"/>
    <w:rsid w:val="00856E2A"/>
    <w:rsid w:val="00857B4E"/>
    <w:rsid w:val="00862F94"/>
    <w:rsid w:val="00863979"/>
    <w:rsid w:val="00866271"/>
    <w:rsid w:val="008671B1"/>
    <w:rsid w:val="008678EB"/>
    <w:rsid w:val="00870824"/>
    <w:rsid w:val="00872A40"/>
    <w:rsid w:val="00873E84"/>
    <w:rsid w:val="00876AE2"/>
    <w:rsid w:val="00877559"/>
    <w:rsid w:val="00880AB9"/>
    <w:rsid w:val="008858BF"/>
    <w:rsid w:val="00886D9E"/>
    <w:rsid w:val="00895A75"/>
    <w:rsid w:val="00897BB9"/>
    <w:rsid w:val="008A1585"/>
    <w:rsid w:val="008A17E3"/>
    <w:rsid w:val="008A28B4"/>
    <w:rsid w:val="008A4262"/>
    <w:rsid w:val="008B23EF"/>
    <w:rsid w:val="008B3176"/>
    <w:rsid w:val="008B3541"/>
    <w:rsid w:val="008B3830"/>
    <w:rsid w:val="008B397E"/>
    <w:rsid w:val="008B3BA5"/>
    <w:rsid w:val="008B5D95"/>
    <w:rsid w:val="008C4A9D"/>
    <w:rsid w:val="008C6C78"/>
    <w:rsid w:val="008C7668"/>
    <w:rsid w:val="008D3B2B"/>
    <w:rsid w:val="008D6654"/>
    <w:rsid w:val="008D6A9D"/>
    <w:rsid w:val="008E1B23"/>
    <w:rsid w:val="008E1C73"/>
    <w:rsid w:val="008E24DA"/>
    <w:rsid w:val="008E38D7"/>
    <w:rsid w:val="008F3A94"/>
    <w:rsid w:val="008F55EC"/>
    <w:rsid w:val="008F58D2"/>
    <w:rsid w:val="0090080B"/>
    <w:rsid w:val="00901012"/>
    <w:rsid w:val="00902A2B"/>
    <w:rsid w:val="00902AC2"/>
    <w:rsid w:val="00903370"/>
    <w:rsid w:val="00904115"/>
    <w:rsid w:val="0090466A"/>
    <w:rsid w:val="00905441"/>
    <w:rsid w:val="00910CDE"/>
    <w:rsid w:val="009121A5"/>
    <w:rsid w:val="00912F84"/>
    <w:rsid w:val="00913D7D"/>
    <w:rsid w:val="00915D39"/>
    <w:rsid w:val="0091668E"/>
    <w:rsid w:val="0091674D"/>
    <w:rsid w:val="00917469"/>
    <w:rsid w:val="00917C4D"/>
    <w:rsid w:val="009218BA"/>
    <w:rsid w:val="009249F0"/>
    <w:rsid w:val="00926D9B"/>
    <w:rsid w:val="00931772"/>
    <w:rsid w:val="009317A2"/>
    <w:rsid w:val="0093199E"/>
    <w:rsid w:val="009319D5"/>
    <w:rsid w:val="00933869"/>
    <w:rsid w:val="0093516C"/>
    <w:rsid w:val="0093569B"/>
    <w:rsid w:val="009359F9"/>
    <w:rsid w:val="0093796A"/>
    <w:rsid w:val="00945645"/>
    <w:rsid w:val="00945E70"/>
    <w:rsid w:val="00952109"/>
    <w:rsid w:val="00953469"/>
    <w:rsid w:val="0095384A"/>
    <w:rsid w:val="00953ABB"/>
    <w:rsid w:val="00962A76"/>
    <w:rsid w:val="009646BA"/>
    <w:rsid w:val="00964948"/>
    <w:rsid w:val="009676EF"/>
    <w:rsid w:val="009679CE"/>
    <w:rsid w:val="00974EE4"/>
    <w:rsid w:val="009768DD"/>
    <w:rsid w:val="0097758B"/>
    <w:rsid w:val="009778BB"/>
    <w:rsid w:val="009817E2"/>
    <w:rsid w:val="009818F6"/>
    <w:rsid w:val="00981B44"/>
    <w:rsid w:val="00982D68"/>
    <w:rsid w:val="0098596B"/>
    <w:rsid w:val="009917F3"/>
    <w:rsid w:val="00993854"/>
    <w:rsid w:val="00996158"/>
    <w:rsid w:val="009A0F10"/>
    <w:rsid w:val="009A0FFB"/>
    <w:rsid w:val="009A274B"/>
    <w:rsid w:val="009A2840"/>
    <w:rsid w:val="009B0BA1"/>
    <w:rsid w:val="009B36F4"/>
    <w:rsid w:val="009B4188"/>
    <w:rsid w:val="009C2745"/>
    <w:rsid w:val="009C5FDF"/>
    <w:rsid w:val="009C6F1A"/>
    <w:rsid w:val="009D0428"/>
    <w:rsid w:val="009D7DF2"/>
    <w:rsid w:val="009E012E"/>
    <w:rsid w:val="009E1396"/>
    <w:rsid w:val="009E1A71"/>
    <w:rsid w:val="009E5AE6"/>
    <w:rsid w:val="009E5F58"/>
    <w:rsid w:val="009E7EF5"/>
    <w:rsid w:val="009F02DE"/>
    <w:rsid w:val="009F3A92"/>
    <w:rsid w:val="009F6BF2"/>
    <w:rsid w:val="009F75F7"/>
    <w:rsid w:val="00A0120A"/>
    <w:rsid w:val="00A03D2A"/>
    <w:rsid w:val="00A1077C"/>
    <w:rsid w:val="00A11EA3"/>
    <w:rsid w:val="00A14C78"/>
    <w:rsid w:val="00A15B9D"/>
    <w:rsid w:val="00A170DC"/>
    <w:rsid w:val="00A20C49"/>
    <w:rsid w:val="00A22771"/>
    <w:rsid w:val="00A22C2F"/>
    <w:rsid w:val="00A2382C"/>
    <w:rsid w:val="00A24756"/>
    <w:rsid w:val="00A252F3"/>
    <w:rsid w:val="00A265A4"/>
    <w:rsid w:val="00A362C4"/>
    <w:rsid w:val="00A3639A"/>
    <w:rsid w:val="00A41D37"/>
    <w:rsid w:val="00A42666"/>
    <w:rsid w:val="00A42F93"/>
    <w:rsid w:val="00A44801"/>
    <w:rsid w:val="00A44F49"/>
    <w:rsid w:val="00A46D59"/>
    <w:rsid w:val="00A5656D"/>
    <w:rsid w:val="00A56B83"/>
    <w:rsid w:val="00A607E1"/>
    <w:rsid w:val="00A60A98"/>
    <w:rsid w:val="00A66511"/>
    <w:rsid w:val="00A67FE0"/>
    <w:rsid w:val="00A73C57"/>
    <w:rsid w:val="00A7572D"/>
    <w:rsid w:val="00A77A5B"/>
    <w:rsid w:val="00A80659"/>
    <w:rsid w:val="00A81153"/>
    <w:rsid w:val="00A81445"/>
    <w:rsid w:val="00A81C2C"/>
    <w:rsid w:val="00A82DA0"/>
    <w:rsid w:val="00A8320B"/>
    <w:rsid w:val="00A853AC"/>
    <w:rsid w:val="00A8563B"/>
    <w:rsid w:val="00A86F09"/>
    <w:rsid w:val="00A87458"/>
    <w:rsid w:val="00A874C1"/>
    <w:rsid w:val="00A97217"/>
    <w:rsid w:val="00AA013F"/>
    <w:rsid w:val="00AA1056"/>
    <w:rsid w:val="00AA1B9A"/>
    <w:rsid w:val="00AA27E9"/>
    <w:rsid w:val="00AA5BA0"/>
    <w:rsid w:val="00AA795C"/>
    <w:rsid w:val="00AB20E2"/>
    <w:rsid w:val="00AB24D7"/>
    <w:rsid w:val="00AB3A76"/>
    <w:rsid w:val="00AB55B1"/>
    <w:rsid w:val="00AB6123"/>
    <w:rsid w:val="00AB734B"/>
    <w:rsid w:val="00AC2FC4"/>
    <w:rsid w:val="00AC386C"/>
    <w:rsid w:val="00AC4663"/>
    <w:rsid w:val="00AC5CE2"/>
    <w:rsid w:val="00AC7BFF"/>
    <w:rsid w:val="00AD012D"/>
    <w:rsid w:val="00AD2D6F"/>
    <w:rsid w:val="00AD69C3"/>
    <w:rsid w:val="00AD6B86"/>
    <w:rsid w:val="00AD7BE4"/>
    <w:rsid w:val="00AD7C65"/>
    <w:rsid w:val="00AE0494"/>
    <w:rsid w:val="00AE0499"/>
    <w:rsid w:val="00AE34A9"/>
    <w:rsid w:val="00AE5361"/>
    <w:rsid w:val="00AF0943"/>
    <w:rsid w:val="00AF1FE5"/>
    <w:rsid w:val="00AF2EE9"/>
    <w:rsid w:val="00AF61A3"/>
    <w:rsid w:val="00B011A0"/>
    <w:rsid w:val="00B0289B"/>
    <w:rsid w:val="00B035A6"/>
    <w:rsid w:val="00B035DD"/>
    <w:rsid w:val="00B03609"/>
    <w:rsid w:val="00B041FA"/>
    <w:rsid w:val="00B0477A"/>
    <w:rsid w:val="00B07066"/>
    <w:rsid w:val="00B11161"/>
    <w:rsid w:val="00B11DFD"/>
    <w:rsid w:val="00B1217F"/>
    <w:rsid w:val="00B12B69"/>
    <w:rsid w:val="00B131A2"/>
    <w:rsid w:val="00B13564"/>
    <w:rsid w:val="00B14C0F"/>
    <w:rsid w:val="00B213B0"/>
    <w:rsid w:val="00B242D8"/>
    <w:rsid w:val="00B26513"/>
    <w:rsid w:val="00B272E4"/>
    <w:rsid w:val="00B313BD"/>
    <w:rsid w:val="00B34972"/>
    <w:rsid w:val="00B34B31"/>
    <w:rsid w:val="00B3769C"/>
    <w:rsid w:val="00B427F4"/>
    <w:rsid w:val="00B429AE"/>
    <w:rsid w:val="00B435E8"/>
    <w:rsid w:val="00B4554B"/>
    <w:rsid w:val="00B470D5"/>
    <w:rsid w:val="00B47F12"/>
    <w:rsid w:val="00B50554"/>
    <w:rsid w:val="00B515EC"/>
    <w:rsid w:val="00B52136"/>
    <w:rsid w:val="00B53A6F"/>
    <w:rsid w:val="00B57BDA"/>
    <w:rsid w:val="00B63CFC"/>
    <w:rsid w:val="00B65044"/>
    <w:rsid w:val="00B66073"/>
    <w:rsid w:val="00B67AB5"/>
    <w:rsid w:val="00B67F74"/>
    <w:rsid w:val="00B74C48"/>
    <w:rsid w:val="00B81F73"/>
    <w:rsid w:val="00B83263"/>
    <w:rsid w:val="00B83E51"/>
    <w:rsid w:val="00B8447E"/>
    <w:rsid w:val="00B85F75"/>
    <w:rsid w:val="00B9319C"/>
    <w:rsid w:val="00B93555"/>
    <w:rsid w:val="00B9396B"/>
    <w:rsid w:val="00B949E1"/>
    <w:rsid w:val="00B95097"/>
    <w:rsid w:val="00B9645B"/>
    <w:rsid w:val="00B9648D"/>
    <w:rsid w:val="00B97EC5"/>
    <w:rsid w:val="00BA2BA8"/>
    <w:rsid w:val="00BA538F"/>
    <w:rsid w:val="00BB0081"/>
    <w:rsid w:val="00BB66BB"/>
    <w:rsid w:val="00BB6C06"/>
    <w:rsid w:val="00BC08D8"/>
    <w:rsid w:val="00BC1CEF"/>
    <w:rsid w:val="00BC3CF2"/>
    <w:rsid w:val="00BC5541"/>
    <w:rsid w:val="00BC5BAD"/>
    <w:rsid w:val="00BD028E"/>
    <w:rsid w:val="00BD0966"/>
    <w:rsid w:val="00BD1DEF"/>
    <w:rsid w:val="00BD3EFC"/>
    <w:rsid w:val="00BD4771"/>
    <w:rsid w:val="00BE19D1"/>
    <w:rsid w:val="00BE2F59"/>
    <w:rsid w:val="00BE3866"/>
    <w:rsid w:val="00BE4B17"/>
    <w:rsid w:val="00BE4D1D"/>
    <w:rsid w:val="00BE5C95"/>
    <w:rsid w:val="00BE5ECB"/>
    <w:rsid w:val="00BE69A3"/>
    <w:rsid w:val="00BF0B49"/>
    <w:rsid w:val="00BF267A"/>
    <w:rsid w:val="00BF3151"/>
    <w:rsid w:val="00BF5A69"/>
    <w:rsid w:val="00C015F9"/>
    <w:rsid w:val="00C0452A"/>
    <w:rsid w:val="00C10D9D"/>
    <w:rsid w:val="00C15E51"/>
    <w:rsid w:val="00C24192"/>
    <w:rsid w:val="00C24200"/>
    <w:rsid w:val="00C24437"/>
    <w:rsid w:val="00C25DDA"/>
    <w:rsid w:val="00C30B6A"/>
    <w:rsid w:val="00C32253"/>
    <w:rsid w:val="00C3317E"/>
    <w:rsid w:val="00C354F5"/>
    <w:rsid w:val="00C40C10"/>
    <w:rsid w:val="00C4311A"/>
    <w:rsid w:val="00C448DB"/>
    <w:rsid w:val="00C46149"/>
    <w:rsid w:val="00C4661A"/>
    <w:rsid w:val="00C4706E"/>
    <w:rsid w:val="00C4756B"/>
    <w:rsid w:val="00C51861"/>
    <w:rsid w:val="00C53AF7"/>
    <w:rsid w:val="00C557D7"/>
    <w:rsid w:val="00C557E3"/>
    <w:rsid w:val="00C55AEA"/>
    <w:rsid w:val="00C56940"/>
    <w:rsid w:val="00C65A78"/>
    <w:rsid w:val="00C70056"/>
    <w:rsid w:val="00C70F97"/>
    <w:rsid w:val="00C746A5"/>
    <w:rsid w:val="00C75BDA"/>
    <w:rsid w:val="00C823F0"/>
    <w:rsid w:val="00C84119"/>
    <w:rsid w:val="00C84788"/>
    <w:rsid w:val="00C857AB"/>
    <w:rsid w:val="00C919B2"/>
    <w:rsid w:val="00C9544E"/>
    <w:rsid w:val="00C958CD"/>
    <w:rsid w:val="00C96C6E"/>
    <w:rsid w:val="00CA010F"/>
    <w:rsid w:val="00CA18FA"/>
    <w:rsid w:val="00CA38F1"/>
    <w:rsid w:val="00CA63C6"/>
    <w:rsid w:val="00CA6694"/>
    <w:rsid w:val="00CA7091"/>
    <w:rsid w:val="00CA72BF"/>
    <w:rsid w:val="00CB0DAA"/>
    <w:rsid w:val="00CB1905"/>
    <w:rsid w:val="00CB5128"/>
    <w:rsid w:val="00CB57BD"/>
    <w:rsid w:val="00CB6981"/>
    <w:rsid w:val="00CC0A47"/>
    <w:rsid w:val="00CC1713"/>
    <w:rsid w:val="00CC1C01"/>
    <w:rsid w:val="00CC4FB2"/>
    <w:rsid w:val="00CC525F"/>
    <w:rsid w:val="00CC66AF"/>
    <w:rsid w:val="00CC7A76"/>
    <w:rsid w:val="00CC7D50"/>
    <w:rsid w:val="00CD18AA"/>
    <w:rsid w:val="00CD41FC"/>
    <w:rsid w:val="00CD52AD"/>
    <w:rsid w:val="00CD718B"/>
    <w:rsid w:val="00CD7982"/>
    <w:rsid w:val="00CE0E1B"/>
    <w:rsid w:val="00CE4770"/>
    <w:rsid w:val="00CE53C6"/>
    <w:rsid w:val="00CF0278"/>
    <w:rsid w:val="00CF0D0C"/>
    <w:rsid w:val="00CF1717"/>
    <w:rsid w:val="00D037C8"/>
    <w:rsid w:val="00D07184"/>
    <w:rsid w:val="00D11105"/>
    <w:rsid w:val="00D11416"/>
    <w:rsid w:val="00D1186A"/>
    <w:rsid w:val="00D11A96"/>
    <w:rsid w:val="00D130AB"/>
    <w:rsid w:val="00D14D2D"/>
    <w:rsid w:val="00D15268"/>
    <w:rsid w:val="00D1660C"/>
    <w:rsid w:val="00D17C79"/>
    <w:rsid w:val="00D22A70"/>
    <w:rsid w:val="00D27AE6"/>
    <w:rsid w:val="00D3052B"/>
    <w:rsid w:val="00D34349"/>
    <w:rsid w:val="00D36752"/>
    <w:rsid w:val="00D45207"/>
    <w:rsid w:val="00D45CD7"/>
    <w:rsid w:val="00D518B9"/>
    <w:rsid w:val="00D52AF5"/>
    <w:rsid w:val="00D5358F"/>
    <w:rsid w:val="00D537D2"/>
    <w:rsid w:val="00D613F8"/>
    <w:rsid w:val="00D62499"/>
    <w:rsid w:val="00D65D78"/>
    <w:rsid w:val="00D67B29"/>
    <w:rsid w:val="00D714B9"/>
    <w:rsid w:val="00D71798"/>
    <w:rsid w:val="00D7186D"/>
    <w:rsid w:val="00D74CD2"/>
    <w:rsid w:val="00D76B53"/>
    <w:rsid w:val="00D77B2A"/>
    <w:rsid w:val="00D80172"/>
    <w:rsid w:val="00D84041"/>
    <w:rsid w:val="00D863DB"/>
    <w:rsid w:val="00D868F7"/>
    <w:rsid w:val="00D87FA9"/>
    <w:rsid w:val="00D91AFB"/>
    <w:rsid w:val="00D95B92"/>
    <w:rsid w:val="00D963F1"/>
    <w:rsid w:val="00DA741B"/>
    <w:rsid w:val="00DB1461"/>
    <w:rsid w:val="00DB33AC"/>
    <w:rsid w:val="00DB51E8"/>
    <w:rsid w:val="00DB6A32"/>
    <w:rsid w:val="00DC1DD3"/>
    <w:rsid w:val="00DC26AB"/>
    <w:rsid w:val="00DC518B"/>
    <w:rsid w:val="00DC51B8"/>
    <w:rsid w:val="00DC5391"/>
    <w:rsid w:val="00DC7F39"/>
    <w:rsid w:val="00DD179D"/>
    <w:rsid w:val="00DD1855"/>
    <w:rsid w:val="00DD19B7"/>
    <w:rsid w:val="00DD2247"/>
    <w:rsid w:val="00DD320E"/>
    <w:rsid w:val="00DD409F"/>
    <w:rsid w:val="00DD6301"/>
    <w:rsid w:val="00DD7FCE"/>
    <w:rsid w:val="00DE004B"/>
    <w:rsid w:val="00DE0439"/>
    <w:rsid w:val="00DE26BB"/>
    <w:rsid w:val="00DE2A48"/>
    <w:rsid w:val="00DE398E"/>
    <w:rsid w:val="00DE4D9D"/>
    <w:rsid w:val="00DE54F4"/>
    <w:rsid w:val="00DE6D67"/>
    <w:rsid w:val="00DE763F"/>
    <w:rsid w:val="00DE781C"/>
    <w:rsid w:val="00DF0EE1"/>
    <w:rsid w:val="00DF4B1F"/>
    <w:rsid w:val="00DF6B41"/>
    <w:rsid w:val="00DF6D02"/>
    <w:rsid w:val="00E03555"/>
    <w:rsid w:val="00E05CDC"/>
    <w:rsid w:val="00E062EC"/>
    <w:rsid w:val="00E071E3"/>
    <w:rsid w:val="00E1180C"/>
    <w:rsid w:val="00E12419"/>
    <w:rsid w:val="00E126A8"/>
    <w:rsid w:val="00E1350C"/>
    <w:rsid w:val="00E1642F"/>
    <w:rsid w:val="00E21569"/>
    <w:rsid w:val="00E223E4"/>
    <w:rsid w:val="00E24217"/>
    <w:rsid w:val="00E24EB7"/>
    <w:rsid w:val="00E2567C"/>
    <w:rsid w:val="00E2756B"/>
    <w:rsid w:val="00E3004D"/>
    <w:rsid w:val="00E3018C"/>
    <w:rsid w:val="00E4038B"/>
    <w:rsid w:val="00E44A6C"/>
    <w:rsid w:val="00E456B7"/>
    <w:rsid w:val="00E4776F"/>
    <w:rsid w:val="00E500A9"/>
    <w:rsid w:val="00E53849"/>
    <w:rsid w:val="00E55C03"/>
    <w:rsid w:val="00E61DB3"/>
    <w:rsid w:val="00E66C13"/>
    <w:rsid w:val="00E67D61"/>
    <w:rsid w:val="00E70D20"/>
    <w:rsid w:val="00E71606"/>
    <w:rsid w:val="00E721F7"/>
    <w:rsid w:val="00E751CC"/>
    <w:rsid w:val="00E75C0C"/>
    <w:rsid w:val="00E76371"/>
    <w:rsid w:val="00E77A18"/>
    <w:rsid w:val="00E85790"/>
    <w:rsid w:val="00E86BC7"/>
    <w:rsid w:val="00E86D84"/>
    <w:rsid w:val="00E90330"/>
    <w:rsid w:val="00E91055"/>
    <w:rsid w:val="00E91CA9"/>
    <w:rsid w:val="00E929A7"/>
    <w:rsid w:val="00E95A42"/>
    <w:rsid w:val="00E95AD0"/>
    <w:rsid w:val="00EA1C89"/>
    <w:rsid w:val="00EA2681"/>
    <w:rsid w:val="00EB1039"/>
    <w:rsid w:val="00EB46A7"/>
    <w:rsid w:val="00EB5317"/>
    <w:rsid w:val="00EB580C"/>
    <w:rsid w:val="00EB6664"/>
    <w:rsid w:val="00EC1DDF"/>
    <w:rsid w:val="00EC3426"/>
    <w:rsid w:val="00EC4093"/>
    <w:rsid w:val="00EC4E1C"/>
    <w:rsid w:val="00EC5385"/>
    <w:rsid w:val="00EC69E0"/>
    <w:rsid w:val="00ED045B"/>
    <w:rsid w:val="00ED3ACF"/>
    <w:rsid w:val="00ED3F58"/>
    <w:rsid w:val="00ED7A59"/>
    <w:rsid w:val="00EE0535"/>
    <w:rsid w:val="00EE21DA"/>
    <w:rsid w:val="00EE252D"/>
    <w:rsid w:val="00EE2A83"/>
    <w:rsid w:val="00EE680B"/>
    <w:rsid w:val="00EF158B"/>
    <w:rsid w:val="00EF1AA1"/>
    <w:rsid w:val="00EF2A67"/>
    <w:rsid w:val="00EF3ED7"/>
    <w:rsid w:val="00EF577F"/>
    <w:rsid w:val="00F00132"/>
    <w:rsid w:val="00F00AF4"/>
    <w:rsid w:val="00F01417"/>
    <w:rsid w:val="00F02887"/>
    <w:rsid w:val="00F036E7"/>
    <w:rsid w:val="00F05AF8"/>
    <w:rsid w:val="00F071AA"/>
    <w:rsid w:val="00F07FCE"/>
    <w:rsid w:val="00F1019A"/>
    <w:rsid w:val="00F10AF5"/>
    <w:rsid w:val="00F11AA5"/>
    <w:rsid w:val="00F14C10"/>
    <w:rsid w:val="00F154C9"/>
    <w:rsid w:val="00F23209"/>
    <w:rsid w:val="00F24565"/>
    <w:rsid w:val="00F258D4"/>
    <w:rsid w:val="00F27A4B"/>
    <w:rsid w:val="00F31F0D"/>
    <w:rsid w:val="00F32661"/>
    <w:rsid w:val="00F363D1"/>
    <w:rsid w:val="00F36BF5"/>
    <w:rsid w:val="00F36BF7"/>
    <w:rsid w:val="00F36D5D"/>
    <w:rsid w:val="00F44F07"/>
    <w:rsid w:val="00F47AAB"/>
    <w:rsid w:val="00F53F72"/>
    <w:rsid w:val="00F54777"/>
    <w:rsid w:val="00F55476"/>
    <w:rsid w:val="00F56B03"/>
    <w:rsid w:val="00F607B3"/>
    <w:rsid w:val="00F67704"/>
    <w:rsid w:val="00F70555"/>
    <w:rsid w:val="00F7166E"/>
    <w:rsid w:val="00F71C56"/>
    <w:rsid w:val="00F72871"/>
    <w:rsid w:val="00F72BBC"/>
    <w:rsid w:val="00F74A75"/>
    <w:rsid w:val="00F75E3A"/>
    <w:rsid w:val="00F76C83"/>
    <w:rsid w:val="00F77994"/>
    <w:rsid w:val="00F81A21"/>
    <w:rsid w:val="00F821B6"/>
    <w:rsid w:val="00F8292D"/>
    <w:rsid w:val="00F82AEF"/>
    <w:rsid w:val="00F852F2"/>
    <w:rsid w:val="00F86E27"/>
    <w:rsid w:val="00F874F7"/>
    <w:rsid w:val="00F87CFE"/>
    <w:rsid w:val="00F87E5A"/>
    <w:rsid w:val="00F9005A"/>
    <w:rsid w:val="00F91213"/>
    <w:rsid w:val="00F91E13"/>
    <w:rsid w:val="00F9743A"/>
    <w:rsid w:val="00F97904"/>
    <w:rsid w:val="00FA07AA"/>
    <w:rsid w:val="00FA59B5"/>
    <w:rsid w:val="00FA5BB2"/>
    <w:rsid w:val="00FB0858"/>
    <w:rsid w:val="00FB19D9"/>
    <w:rsid w:val="00FB2137"/>
    <w:rsid w:val="00FB6A2B"/>
    <w:rsid w:val="00FC06EF"/>
    <w:rsid w:val="00FC08C9"/>
    <w:rsid w:val="00FC10AD"/>
    <w:rsid w:val="00FC2312"/>
    <w:rsid w:val="00FC2581"/>
    <w:rsid w:val="00FC3534"/>
    <w:rsid w:val="00FC56C6"/>
    <w:rsid w:val="00FC6116"/>
    <w:rsid w:val="00FC7871"/>
    <w:rsid w:val="00FD1BA2"/>
    <w:rsid w:val="00FD279E"/>
    <w:rsid w:val="00FD3A91"/>
    <w:rsid w:val="00FD3F90"/>
    <w:rsid w:val="00FD5602"/>
    <w:rsid w:val="00FD6428"/>
    <w:rsid w:val="00FD6C39"/>
    <w:rsid w:val="00FD7512"/>
    <w:rsid w:val="00FE005B"/>
    <w:rsid w:val="00FE522A"/>
    <w:rsid w:val="00FE63E0"/>
    <w:rsid w:val="00FF167D"/>
    <w:rsid w:val="00FF1EB0"/>
    <w:rsid w:val="00FF47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8" w:unhideWhenUsed="1"/>
    <w:lsdException w:name="heading 7" w:semiHidden="1" w:uiPriority="9" w:unhideWhenUsed="1"/>
    <w:lsdException w:name="heading 8" w:semiHidden="1" w:uiPriority="9"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7B29"/>
    <w:pPr>
      <w:spacing w:line="260" w:lineRule="atLeast"/>
    </w:pPr>
    <w:rPr>
      <w:rFonts w:eastAsia="Calibri"/>
      <w:sz w:val="22"/>
      <w:lang w:eastAsia="en-US"/>
    </w:rPr>
  </w:style>
  <w:style w:type="paragraph" w:styleId="Heading1">
    <w:name w:val="heading 1"/>
    <w:basedOn w:val="Normal"/>
    <w:next w:val="Normal"/>
    <w:link w:val="Heading1Char"/>
    <w:uiPriority w:val="99"/>
    <w:semiHidden/>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9"/>
    <w:semiHidden/>
    <w:rsid w:val="00F71C56"/>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9"/>
    <w:semiHidden/>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9"/>
    <w:semiHidden/>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9"/>
    <w:semiHidden/>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4C144E"/>
    <w:rPr>
      <w:rFonts w:ascii="Arial" w:hAnsi="Arial" w:cs="Arial"/>
      <w:b/>
      <w:bCs/>
      <w:caps/>
      <w:kern w:val="32"/>
      <w:szCs w:val="32"/>
    </w:rPr>
  </w:style>
  <w:style w:type="character" w:customStyle="1" w:styleId="Heading2Char">
    <w:name w:val="Heading 2 Char"/>
    <w:basedOn w:val="DefaultParagraphFont"/>
    <w:link w:val="Heading2"/>
    <w:uiPriority w:val="99"/>
    <w:semiHidden/>
    <w:rsid w:val="004C144E"/>
    <w:rPr>
      <w:rFonts w:ascii="Arial" w:hAnsi="Arial" w:cs="Arial"/>
      <w:b/>
      <w:bCs/>
      <w:iCs/>
      <w:sz w:val="22"/>
      <w:szCs w:val="28"/>
    </w:rPr>
  </w:style>
  <w:style w:type="character" w:customStyle="1" w:styleId="Heading3Char">
    <w:name w:val="Heading 3 Char"/>
    <w:basedOn w:val="DefaultParagraphFont"/>
    <w:link w:val="Heading3"/>
    <w:uiPriority w:val="99"/>
    <w:semiHidden/>
    <w:rsid w:val="004C144E"/>
    <w:rPr>
      <w:rFonts w:ascii="Arial" w:hAnsi="Arial" w:cs="Arial"/>
      <w:b/>
      <w:bCs/>
      <w:i/>
      <w:szCs w:val="26"/>
    </w:rPr>
  </w:style>
  <w:style w:type="character" w:customStyle="1" w:styleId="Heading4Char">
    <w:name w:val="Heading 4 Char"/>
    <w:basedOn w:val="DefaultParagraphFont"/>
    <w:link w:val="Heading4"/>
    <w:uiPriority w:val="99"/>
    <w:semiHidden/>
    <w:rsid w:val="004C144E"/>
    <w:rPr>
      <w:rFonts w:ascii="Arial" w:hAnsi="Arial" w:cs="Arial"/>
      <w:bCs/>
      <w:i/>
      <w:szCs w:val="28"/>
    </w:rPr>
  </w:style>
  <w:style w:type="character" w:customStyle="1" w:styleId="Heading5Char">
    <w:name w:val="Heading 5 Char"/>
    <w:basedOn w:val="DefaultParagraphFont"/>
    <w:link w:val="Heading5"/>
    <w:uiPriority w:val="9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uiPriority w:val="99"/>
    <w:rsid w:val="00D67B29"/>
    <w:pPr>
      <w:tabs>
        <w:tab w:val="center" w:pos="4153"/>
        <w:tab w:val="right" w:pos="8306"/>
      </w:tabs>
    </w:pPr>
    <w:rPr>
      <w:sz w:val="22"/>
      <w:szCs w:val="24"/>
    </w:rPr>
  </w:style>
  <w:style w:type="character" w:customStyle="1" w:styleId="FooterChar">
    <w:name w:val="Footer Char"/>
    <w:basedOn w:val="DefaultParagraphFont"/>
    <w:link w:val="Footer"/>
    <w:uiPriority w:val="99"/>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rsid w:val="00D67B2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67B2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67B2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D67B2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121A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67B2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D67B2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D67B2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67B29"/>
    <w:pPr>
      <w:keepLines/>
      <w:tabs>
        <w:tab w:val="right" w:pos="8278"/>
      </w:tabs>
      <w:spacing w:before="80" w:line="240" w:lineRule="auto"/>
      <w:ind w:left="851" w:right="567"/>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semiHidden/>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uiPriority w:val="98"/>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
    <w:basedOn w:val="OPCParaBase"/>
    <w:next w:val="Normal"/>
    <w:qFormat/>
    <w:rsid w:val="00D67B29"/>
    <w:pPr>
      <w:keepNext/>
      <w:keepLines/>
      <w:spacing w:line="240" w:lineRule="auto"/>
      <w:ind w:left="1134" w:hanging="1134"/>
      <w:outlineLvl w:val="0"/>
    </w:pPr>
    <w:rPr>
      <w:b/>
      <w:kern w:val="28"/>
      <w:sz w:val="36"/>
    </w:rPr>
  </w:style>
  <w:style w:type="paragraph" w:customStyle="1" w:styleId="h2Part">
    <w:name w:val="h2_Part"/>
    <w:aliases w:val="ActHead 2"/>
    <w:basedOn w:val="OPCParaBase"/>
    <w:next w:val="Normal"/>
    <w:qFormat/>
    <w:rsid w:val="00D67B29"/>
    <w:pPr>
      <w:keepNext/>
      <w:keepLines/>
      <w:spacing w:before="280" w:line="240" w:lineRule="auto"/>
      <w:ind w:left="1134" w:hanging="1134"/>
      <w:outlineLvl w:val="1"/>
    </w:pPr>
    <w:rPr>
      <w:b/>
      <w:kern w:val="28"/>
      <w:sz w:val="32"/>
    </w:rPr>
  </w:style>
  <w:style w:type="paragraph" w:customStyle="1" w:styleId="h3Div">
    <w:name w:val="h3_Div"/>
    <w:aliases w:val="ActHead 3"/>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
    <w:basedOn w:val="OPCParaBase"/>
    <w:next w:val="Normal"/>
    <w:qFormat/>
    <w:rsid w:val="00D67B29"/>
    <w:pPr>
      <w:keepNext/>
      <w:keepLines/>
      <w:spacing w:before="280" w:line="240" w:lineRule="auto"/>
      <w:ind w:left="1134" w:hanging="1134"/>
      <w:outlineLvl w:val="4"/>
    </w:pPr>
    <w:rPr>
      <w:b/>
      <w:kern w:val="28"/>
      <w:sz w:val="24"/>
    </w:rPr>
  </w:style>
  <w:style w:type="paragraph" w:customStyle="1" w:styleId="ActHead6">
    <w:name w:val="ActHead 6"/>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uiPriority w:val="1"/>
    <w:qFormat/>
    <w:rsid w:val="00D67B29"/>
  </w:style>
  <w:style w:type="character" w:customStyle="1" w:styleId="CharAmSchText">
    <w:name w:val="CharAmSchText"/>
    <w:basedOn w:val="OPCCharBase"/>
    <w:uiPriority w:val="1"/>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iPriority w:val="99"/>
    <w:semiHidden/>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semiHidden/>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
    <w:basedOn w:val="OPCParaBase"/>
    <w:rsid w:val="00F67704"/>
    <w:pPr>
      <w:tabs>
        <w:tab w:val="left" w:pos="709"/>
      </w:tabs>
      <w:spacing w:before="120" w:line="240" w:lineRule="auto"/>
      <w:ind w:left="709" w:hanging="709"/>
    </w:pPr>
    <w:rPr>
      <w:sz w:val="18"/>
    </w:rPr>
  </w:style>
  <w:style w:type="paragraph" w:customStyle="1" w:styleId="nPara">
    <w:name w:val="n_Para"/>
    <w:aliases w:val="na"/>
    <w:basedOn w:val="OPCParaBase"/>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
    <w:basedOn w:val="OPCParaBase"/>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
    <w:basedOn w:val="OPCParaBase"/>
    <w:rsid w:val="00D67B29"/>
    <w:pPr>
      <w:tabs>
        <w:tab w:val="right" w:pos="1985"/>
      </w:tabs>
      <w:spacing w:before="40" w:line="240" w:lineRule="auto"/>
      <w:ind w:left="2098" w:hanging="2098"/>
    </w:pPr>
  </w:style>
  <w:style w:type="paragraph" w:customStyle="1" w:styleId="tSubsub">
    <w:name w:val="t_Subsub"/>
    <w:aliases w:val="paragraph(sub-sub)"/>
    <w:basedOn w:val="OPCParaBase"/>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Subsection"/>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
    <w:basedOn w:val="OPCParaBase"/>
    <w:next w:val="tMain"/>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iPriority w:val="99"/>
    <w:semiHidden/>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C518B"/>
    <w:pPr>
      <w:spacing w:after="120"/>
    </w:pPr>
  </w:style>
  <w:style w:type="character" w:customStyle="1" w:styleId="BodyTextChar">
    <w:name w:val="Body Text Char"/>
    <w:basedOn w:val="DefaultParagraphFont"/>
    <w:link w:val="BodyText"/>
    <w:uiPriority w:val="99"/>
    <w:semiHidden/>
    <w:rsid w:val="00DC518B"/>
    <w:rPr>
      <w:rFonts w:eastAsia="Calibri"/>
      <w:sz w:val="22"/>
      <w:lang w:eastAsia="en-US"/>
    </w:rPr>
  </w:style>
  <w:style w:type="paragraph" w:styleId="BodyText2">
    <w:name w:val="Body Text 2"/>
    <w:basedOn w:val="Normal"/>
    <w:link w:val="BodyText2Char"/>
    <w:uiPriority w:val="99"/>
    <w:semiHidden/>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iPriority w:val="99"/>
    <w:semiHidden/>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uiPriority w:val="99"/>
    <w:semiHidden/>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rPr>
      <w:rFonts w:eastAsia="Calibri"/>
      <w:sz w:val="22"/>
      <w:lang w:eastAsia="en-US"/>
    </w:rPr>
  </w:style>
  <w:style w:type="paragraph" w:styleId="BodyTextIndent">
    <w:name w:val="Body Text Indent"/>
    <w:basedOn w:val="Normal"/>
    <w:link w:val="BodyTextIndentChar"/>
    <w:uiPriority w:val="99"/>
    <w:semiHidden/>
    <w:unhideWhenUsed/>
    <w:rsid w:val="00DC518B"/>
    <w:pPr>
      <w:spacing w:after="120"/>
      <w:ind w:left="283"/>
    </w:pPr>
  </w:style>
  <w:style w:type="character" w:customStyle="1" w:styleId="BodyTextIndentChar">
    <w:name w:val="Body Text Indent Char"/>
    <w:basedOn w:val="DefaultParagraphFont"/>
    <w:link w:val="BodyTextIndent"/>
    <w:uiPriority w:val="99"/>
    <w:semiHidden/>
    <w:rsid w:val="00DC518B"/>
    <w:rPr>
      <w:rFonts w:eastAsia="Calibri"/>
      <w:sz w:val="22"/>
      <w:lang w:eastAsia="en-US"/>
    </w:rPr>
  </w:style>
  <w:style w:type="paragraph" w:styleId="BodyTextFirstIndent2">
    <w:name w:val="Body Text First Indent 2"/>
    <w:basedOn w:val="BodyTextIndent"/>
    <w:link w:val="BodyTextFirstIndent2Char"/>
    <w:uiPriority w:val="99"/>
    <w:semiHidden/>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iPriority w:val="99"/>
    <w:semiHidden/>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iPriority w:val="99"/>
    <w:semiHidden/>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iPriority w:val="35"/>
    <w:semiHidden/>
    <w:unhideWhenUsed/>
    <w:rsid w:val="00DC518B"/>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semiHidden/>
    <w:unhideWhenUsed/>
    <w:rsid w:val="00DC518B"/>
    <w:pPr>
      <w:spacing w:line="240" w:lineRule="auto"/>
    </w:pPr>
    <w:rPr>
      <w:sz w:val="20"/>
    </w:rPr>
  </w:style>
  <w:style w:type="character" w:customStyle="1" w:styleId="CommentTextChar">
    <w:name w:val="Comment Text Char"/>
    <w:basedOn w:val="DefaultParagraphFont"/>
    <w:link w:val="CommentText"/>
    <w:uiPriority w:val="99"/>
    <w:semiHidden/>
    <w:rsid w:val="00DC518B"/>
    <w:rPr>
      <w:rFonts w:eastAsia="Calibri"/>
      <w:lang w:eastAsia="en-US"/>
    </w:rPr>
  </w:style>
  <w:style w:type="paragraph" w:styleId="CommentSubject">
    <w:name w:val="annotation subject"/>
    <w:basedOn w:val="CommentText"/>
    <w:next w:val="CommentText"/>
    <w:link w:val="CommentSubjectChar"/>
    <w:uiPriority w:val="99"/>
    <w:semiHidden/>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uiPriority w:val="99"/>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iPriority w:val="99"/>
    <w:semiHidden/>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iPriority w:val="99"/>
    <w:semiHidden/>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iPriority w:val="99"/>
    <w:semiHidden/>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iPriority w:val="99"/>
    <w:semiHidden/>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iPriority w:val="99"/>
    <w:semiHidden/>
    <w:unhideWhenUsed/>
    <w:rsid w:val="00DC518B"/>
    <w:pPr>
      <w:spacing w:line="240" w:lineRule="auto"/>
      <w:ind w:left="220" w:hanging="220"/>
    </w:pPr>
  </w:style>
  <w:style w:type="paragraph" w:styleId="Index2">
    <w:name w:val="index 2"/>
    <w:basedOn w:val="Normal"/>
    <w:next w:val="Normal"/>
    <w:autoRedefine/>
    <w:uiPriority w:val="99"/>
    <w:semiHidden/>
    <w:unhideWhenUsed/>
    <w:rsid w:val="00DC518B"/>
    <w:pPr>
      <w:spacing w:line="240" w:lineRule="auto"/>
      <w:ind w:left="440" w:hanging="220"/>
    </w:pPr>
  </w:style>
  <w:style w:type="paragraph" w:styleId="Index3">
    <w:name w:val="index 3"/>
    <w:basedOn w:val="Normal"/>
    <w:next w:val="Normal"/>
    <w:autoRedefine/>
    <w:uiPriority w:val="99"/>
    <w:semiHidden/>
    <w:unhideWhenUsed/>
    <w:rsid w:val="00DC518B"/>
    <w:pPr>
      <w:spacing w:line="240" w:lineRule="auto"/>
      <w:ind w:left="660" w:hanging="220"/>
    </w:pPr>
  </w:style>
  <w:style w:type="paragraph" w:styleId="Index4">
    <w:name w:val="index 4"/>
    <w:basedOn w:val="Normal"/>
    <w:next w:val="Normal"/>
    <w:autoRedefine/>
    <w:uiPriority w:val="99"/>
    <w:semiHidden/>
    <w:unhideWhenUsed/>
    <w:rsid w:val="00DC518B"/>
    <w:pPr>
      <w:spacing w:line="240" w:lineRule="auto"/>
      <w:ind w:left="880" w:hanging="220"/>
    </w:pPr>
  </w:style>
  <w:style w:type="paragraph" w:styleId="Index5">
    <w:name w:val="index 5"/>
    <w:basedOn w:val="Normal"/>
    <w:next w:val="Normal"/>
    <w:autoRedefine/>
    <w:uiPriority w:val="99"/>
    <w:semiHidden/>
    <w:unhideWhenUsed/>
    <w:rsid w:val="00DC518B"/>
    <w:pPr>
      <w:spacing w:line="240" w:lineRule="auto"/>
      <w:ind w:left="1100" w:hanging="220"/>
    </w:pPr>
  </w:style>
  <w:style w:type="paragraph" w:styleId="Index6">
    <w:name w:val="index 6"/>
    <w:basedOn w:val="Normal"/>
    <w:next w:val="Normal"/>
    <w:autoRedefine/>
    <w:uiPriority w:val="99"/>
    <w:semiHidden/>
    <w:unhideWhenUsed/>
    <w:rsid w:val="00DC518B"/>
    <w:pPr>
      <w:spacing w:line="240" w:lineRule="auto"/>
      <w:ind w:left="1320" w:hanging="220"/>
    </w:pPr>
  </w:style>
  <w:style w:type="paragraph" w:styleId="Index7">
    <w:name w:val="index 7"/>
    <w:basedOn w:val="Normal"/>
    <w:next w:val="Normal"/>
    <w:autoRedefine/>
    <w:uiPriority w:val="99"/>
    <w:semiHidden/>
    <w:unhideWhenUsed/>
    <w:rsid w:val="00DC518B"/>
    <w:pPr>
      <w:spacing w:line="240" w:lineRule="auto"/>
      <w:ind w:left="1540" w:hanging="220"/>
    </w:pPr>
  </w:style>
  <w:style w:type="paragraph" w:styleId="Index8">
    <w:name w:val="index 8"/>
    <w:basedOn w:val="Normal"/>
    <w:next w:val="Normal"/>
    <w:autoRedefine/>
    <w:uiPriority w:val="99"/>
    <w:semiHidden/>
    <w:unhideWhenUsed/>
    <w:rsid w:val="00DC518B"/>
    <w:pPr>
      <w:spacing w:line="240" w:lineRule="auto"/>
      <w:ind w:left="1760" w:hanging="220"/>
    </w:pPr>
  </w:style>
  <w:style w:type="paragraph" w:styleId="Index9">
    <w:name w:val="index 9"/>
    <w:basedOn w:val="Normal"/>
    <w:next w:val="Normal"/>
    <w:autoRedefine/>
    <w:uiPriority w:val="99"/>
    <w:semiHidden/>
    <w:unhideWhenUsed/>
    <w:rsid w:val="00DC518B"/>
    <w:pPr>
      <w:spacing w:line="240" w:lineRule="auto"/>
      <w:ind w:left="1980" w:hanging="220"/>
    </w:pPr>
  </w:style>
  <w:style w:type="paragraph" w:styleId="IndexHeading">
    <w:name w:val="index heading"/>
    <w:basedOn w:val="Normal"/>
    <w:next w:val="Index1"/>
    <w:uiPriority w:val="99"/>
    <w:semiHidden/>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iPriority w:val="99"/>
    <w:semiHidden/>
    <w:unhideWhenUsed/>
    <w:rsid w:val="00DC518B"/>
    <w:pPr>
      <w:ind w:left="283" w:hanging="283"/>
      <w:contextualSpacing/>
    </w:pPr>
  </w:style>
  <w:style w:type="paragraph" w:styleId="List2">
    <w:name w:val="List 2"/>
    <w:basedOn w:val="Normal"/>
    <w:uiPriority w:val="99"/>
    <w:semiHidden/>
    <w:unhideWhenUsed/>
    <w:rsid w:val="00DC518B"/>
    <w:pPr>
      <w:ind w:left="566" w:hanging="283"/>
      <w:contextualSpacing/>
    </w:pPr>
  </w:style>
  <w:style w:type="paragraph" w:styleId="List3">
    <w:name w:val="List 3"/>
    <w:basedOn w:val="Normal"/>
    <w:uiPriority w:val="99"/>
    <w:semiHidden/>
    <w:unhideWhenUsed/>
    <w:rsid w:val="00DC518B"/>
    <w:pPr>
      <w:ind w:left="849" w:hanging="283"/>
      <w:contextualSpacing/>
    </w:pPr>
  </w:style>
  <w:style w:type="paragraph" w:styleId="List4">
    <w:name w:val="List 4"/>
    <w:basedOn w:val="Normal"/>
    <w:uiPriority w:val="99"/>
    <w:semiHidden/>
    <w:rsid w:val="00DC518B"/>
    <w:pPr>
      <w:ind w:left="1132" w:hanging="283"/>
      <w:contextualSpacing/>
    </w:pPr>
  </w:style>
  <w:style w:type="paragraph" w:styleId="List5">
    <w:name w:val="List 5"/>
    <w:basedOn w:val="Normal"/>
    <w:uiPriority w:val="99"/>
    <w:semiHidden/>
    <w:rsid w:val="00DC518B"/>
    <w:pPr>
      <w:ind w:left="1415" w:hanging="283"/>
      <w:contextualSpacing/>
    </w:pPr>
  </w:style>
  <w:style w:type="paragraph" w:styleId="ListBullet">
    <w:name w:val="List Bullet"/>
    <w:basedOn w:val="Normal"/>
    <w:uiPriority w:val="99"/>
    <w:semiHidden/>
    <w:unhideWhenUsed/>
    <w:rsid w:val="00DC518B"/>
    <w:pPr>
      <w:contextualSpacing/>
    </w:pPr>
  </w:style>
  <w:style w:type="paragraph" w:styleId="ListBullet2">
    <w:name w:val="List Bullet 2"/>
    <w:basedOn w:val="Normal"/>
    <w:uiPriority w:val="99"/>
    <w:semiHidden/>
    <w:unhideWhenUsed/>
    <w:rsid w:val="00DC518B"/>
    <w:pPr>
      <w:contextualSpacing/>
    </w:pPr>
  </w:style>
  <w:style w:type="paragraph" w:styleId="ListBullet3">
    <w:name w:val="List Bullet 3"/>
    <w:basedOn w:val="Normal"/>
    <w:uiPriority w:val="99"/>
    <w:semiHidden/>
    <w:unhideWhenUsed/>
    <w:rsid w:val="00DC518B"/>
    <w:pPr>
      <w:contextualSpacing/>
    </w:pPr>
  </w:style>
  <w:style w:type="paragraph" w:styleId="ListBullet4">
    <w:name w:val="List Bullet 4"/>
    <w:basedOn w:val="Normal"/>
    <w:uiPriority w:val="99"/>
    <w:semiHidden/>
    <w:unhideWhenUsed/>
    <w:rsid w:val="00DC518B"/>
    <w:pPr>
      <w:contextualSpacing/>
    </w:pPr>
  </w:style>
  <w:style w:type="paragraph" w:styleId="ListBullet5">
    <w:name w:val="List Bullet 5"/>
    <w:basedOn w:val="Normal"/>
    <w:uiPriority w:val="99"/>
    <w:semiHidden/>
    <w:unhideWhenUsed/>
    <w:rsid w:val="00DC518B"/>
    <w:pPr>
      <w:contextualSpacing/>
    </w:pPr>
  </w:style>
  <w:style w:type="paragraph" w:styleId="ListContinue">
    <w:name w:val="List Continue"/>
    <w:basedOn w:val="Normal"/>
    <w:uiPriority w:val="99"/>
    <w:semiHidden/>
    <w:unhideWhenUsed/>
    <w:rsid w:val="00DC518B"/>
    <w:pPr>
      <w:spacing w:after="120"/>
      <w:ind w:left="283"/>
      <w:contextualSpacing/>
    </w:pPr>
  </w:style>
  <w:style w:type="paragraph" w:styleId="ListContinue2">
    <w:name w:val="List Continue 2"/>
    <w:basedOn w:val="Normal"/>
    <w:uiPriority w:val="99"/>
    <w:semiHidden/>
    <w:unhideWhenUsed/>
    <w:rsid w:val="00DC518B"/>
    <w:pPr>
      <w:spacing w:after="120"/>
      <w:ind w:left="566"/>
      <w:contextualSpacing/>
    </w:pPr>
  </w:style>
  <w:style w:type="paragraph" w:styleId="ListContinue3">
    <w:name w:val="List Continue 3"/>
    <w:basedOn w:val="Normal"/>
    <w:uiPriority w:val="99"/>
    <w:semiHidden/>
    <w:unhideWhenUsed/>
    <w:rsid w:val="00DC518B"/>
    <w:pPr>
      <w:spacing w:after="120"/>
      <w:ind w:left="849"/>
      <w:contextualSpacing/>
    </w:pPr>
  </w:style>
  <w:style w:type="paragraph" w:styleId="ListContinue4">
    <w:name w:val="List Continue 4"/>
    <w:basedOn w:val="Normal"/>
    <w:uiPriority w:val="99"/>
    <w:semiHidden/>
    <w:unhideWhenUsed/>
    <w:rsid w:val="00DC518B"/>
    <w:pPr>
      <w:spacing w:after="120"/>
      <w:ind w:left="1132"/>
      <w:contextualSpacing/>
    </w:pPr>
  </w:style>
  <w:style w:type="paragraph" w:styleId="ListContinue5">
    <w:name w:val="List Continue 5"/>
    <w:basedOn w:val="Normal"/>
    <w:uiPriority w:val="99"/>
    <w:semiHidden/>
    <w:unhideWhenUsed/>
    <w:rsid w:val="00DC518B"/>
    <w:pPr>
      <w:spacing w:after="120"/>
      <w:ind w:left="1415"/>
      <w:contextualSpacing/>
    </w:pPr>
  </w:style>
  <w:style w:type="paragraph" w:styleId="ListNumber">
    <w:name w:val="List Number"/>
    <w:basedOn w:val="Normal"/>
    <w:uiPriority w:val="98"/>
    <w:semiHidden/>
    <w:rsid w:val="00DC518B"/>
    <w:pPr>
      <w:contextualSpacing/>
    </w:pPr>
  </w:style>
  <w:style w:type="paragraph" w:styleId="ListNumber2">
    <w:name w:val="List Number 2"/>
    <w:basedOn w:val="Normal"/>
    <w:uiPriority w:val="98"/>
    <w:semiHidden/>
    <w:unhideWhenUsed/>
    <w:rsid w:val="00DC518B"/>
    <w:pPr>
      <w:contextualSpacing/>
    </w:pPr>
  </w:style>
  <w:style w:type="paragraph" w:styleId="ListNumber3">
    <w:name w:val="List Number 3"/>
    <w:basedOn w:val="Normal"/>
    <w:uiPriority w:val="98"/>
    <w:semiHidden/>
    <w:unhideWhenUsed/>
    <w:rsid w:val="00DC518B"/>
    <w:pPr>
      <w:contextualSpacing/>
    </w:pPr>
  </w:style>
  <w:style w:type="paragraph" w:styleId="ListNumber4">
    <w:name w:val="List Number 4"/>
    <w:basedOn w:val="Normal"/>
    <w:uiPriority w:val="98"/>
    <w:semiHidden/>
    <w:unhideWhenUsed/>
    <w:rsid w:val="00DC518B"/>
    <w:pPr>
      <w:contextualSpacing/>
    </w:pPr>
  </w:style>
  <w:style w:type="paragraph" w:styleId="ListNumber5">
    <w:name w:val="List Number 5"/>
    <w:basedOn w:val="Normal"/>
    <w:uiPriority w:val="98"/>
    <w:semiHidden/>
    <w:unhideWhenUsed/>
    <w:rsid w:val="00DC518B"/>
    <w:pPr>
      <w:contextualSpacing/>
    </w:pPr>
  </w:style>
  <w:style w:type="paragraph" w:styleId="MacroText">
    <w:name w:val="macro"/>
    <w:link w:val="MacroTextChar"/>
    <w:uiPriority w:val="99"/>
    <w:semiHidden/>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iPriority w:val="99"/>
    <w:semiHidden/>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DC518B"/>
    <w:rPr>
      <w:rFonts w:eastAsia="Calibri"/>
      <w:sz w:val="22"/>
      <w:lang w:eastAsia="en-US"/>
    </w:rPr>
  </w:style>
  <w:style w:type="paragraph" w:styleId="NormalWeb">
    <w:name w:val="Normal (Web)"/>
    <w:basedOn w:val="Normal"/>
    <w:uiPriority w:val="99"/>
    <w:semiHidden/>
    <w:unhideWhenUsed/>
    <w:rsid w:val="00DC518B"/>
    <w:rPr>
      <w:sz w:val="24"/>
      <w:szCs w:val="24"/>
    </w:rPr>
  </w:style>
  <w:style w:type="paragraph" w:styleId="NormalIndent">
    <w:name w:val="Normal Indent"/>
    <w:basedOn w:val="Normal"/>
    <w:uiPriority w:val="99"/>
    <w:semiHidden/>
    <w:unhideWhenUsed/>
    <w:rsid w:val="00DC518B"/>
    <w:pPr>
      <w:ind w:left="720"/>
    </w:pPr>
  </w:style>
  <w:style w:type="paragraph" w:styleId="NoteHeading">
    <w:name w:val="Note Heading"/>
    <w:basedOn w:val="Normal"/>
    <w:next w:val="Normal"/>
    <w:link w:val="NoteHeadingChar"/>
    <w:uiPriority w:val="99"/>
    <w:semiHidden/>
    <w:unhideWhenUsed/>
    <w:rsid w:val="00DC518B"/>
    <w:pPr>
      <w:spacing w:line="240" w:lineRule="auto"/>
    </w:pPr>
  </w:style>
  <w:style w:type="character" w:customStyle="1" w:styleId="NoteHeadingChar">
    <w:name w:val="Note Heading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iPriority w:val="99"/>
    <w:semiHidden/>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uiPriority w:val="99"/>
    <w:semiHidden/>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iPriority w:val="99"/>
    <w:semiHidden/>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uiPriority w:val="99"/>
    <w:semiHidden/>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iPriority w:val="99"/>
    <w:semiHidden/>
    <w:unhideWhenUsed/>
    <w:rsid w:val="00DC518B"/>
    <w:pPr>
      <w:ind w:left="220" w:hanging="220"/>
    </w:pPr>
  </w:style>
  <w:style w:type="paragraph" w:styleId="TableofFigures">
    <w:name w:val="table of figures"/>
    <w:basedOn w:val="Normal"/>
    <w:next w:val="Normal"/>
    <w:uiPriority w:val="99"/>
    <w:semiHidden/>
    <w:unhideWhenUsed/>
    <w:rsid w:val="00DC518B"/>
  </w:style>
  <w:style w:type="paragraph" w:styleId="Title">
    <w:name w:val="Title"/>
    <w:basedOn w:val="Normal"/>
    <w:next w:val="Normal"/>
    <w:link w:val="TitleChar"/>
    <w:uiPriority w:val="98"/>
    <w:semiHidden/>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8"/>
    <w:semiHidden/>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character" w:customStyle="1" w:styleId="subsectionChar">
    <w:name w:val="subsection Char"/>
    <w:aliases w:val="ss Char"/>
    <w:link w:val="tMain"/>
    <w:locked/>
    <w:rsid w:val="00783B24"/>
    <w:rPr>
      <w:sz w:val="22"/>
    </w:rPr>
  </w:style>
  <w:style w:type="character" w:customStyle="1" w:styleId="charSubscript">
    <w:name w:val="charSubscript"/>
    <w:rsid w:val="00783B24"/>
    <w:rPr>
      <w:color w:val="auto"/>
      <w:sz w:val="20"/>
      <w:vertAlign w:val="subscript"/>
    </w:rPr>
  </w:style>
  <w:style w:type="character" w:styleId="CommentReference">
    <w:name w:val="annotation reference"/>
    <w:basedOn w:val="DefaultParagraphFont"/>
    <w:uiPriority w:val="99"/>
    <w:semiHidden/>
    <w:unhideWhenUsed/>
    <w:rsid w:val="00ED3ACF"/>
    <w:rPr>
      <w:sz w:val="16"/>
      <w:szCs w:val="16"/>
    </w:rPr>
  </w:style>
  <w:style w:type="character" w:customStyle="1" w:styleId="paragraphChar">
    <w:name w:val="paragraph Char"/>
    <w:aliases w:val="a Char"/>
    <w:link w:val="tPara"/>
    <w:rsid w:val="0074676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861893345">
      <w:bodyDiv w:val="1"/>
      <w:marLeft w:val="0"/>
      <w:marRight w:val="0"/>
      <w:marTop w:val="0"/>
      <w:marBottom w:val="0"/>
      <w:divBdr>
        <w:top w:val="none" w:sz="0" w:space="0" w:color="auto"/>
        <w:left w:val="none" w:sz="0" w:space="0" w:color="auto"/>
        <w:bottom w:val="none" w:sz="0" w:space="0" w:color="auto"/>
        <w:right w:val="none" w:sz="0" w:space="0" w:color="auto"/>
      </w:divBdr>
    </w:div>
    <w:div w:id="1244222442">
      <w:bodyDiv w:val="1"/>
      <w:marLeft w:val="0"/>
      <w:marRight w:val="0"/>
      <w:marTop w:val="0"/>
      <w:marBottom w:val="0"/>
      <w:divBdr>
        <w:top w:val="none" w:sz="0" w:space="0" w:color="auto"/>
        <w:left w:val="none" w:sz="0" w:space="0" w:color="auto"/>
        <w:bottom w:val="none" w:sz="0" w:space="0" w:color="auto"/>
        <w:right w:val="none" w:sz="0" w:space="0" w:color="auto"/>
      </w:divBdr>
    </w:div>
    <w:div w:id="1623458728">
      <w:bodyDiv w:val="1"/>
      <w:marLeft w:val="0"/>
      <w:marRight w:val="0"/>
      <w:marTop w:val="0"/>
      <w:marBottom w:val="0"/>
      <w:divBdr>
        <w:top w:val="none" w:sz="0" w:space="0" w:color="auto"/>
        <w:left w:val="none" w:sz="0" w:space="0" w:color="auto"/>
        <w:bottom w:val="none" w:sz="0" w:space="0" w:color="auto"/>
        <w:right w:val="none" w:sz="0" w:space="0" w:color="auto"/>
      </w:divBdr>
    </w:div>
    <w:div w:id="165884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D0124-9E1B-4570-BD07-7D470A850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2021-07-07T23:56:00Z</dcterms:created>
  <dcterms:modified xsi:type="dcterms:W3CDTF">2021-07-22T02:39:00Z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ies>
</file>