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0F2A8" w14:textId="77777777" w:rsidR="002B1402" w:rsidRDefault="005E2B6E">
      <w:pPr>
        <w:pStyle w:val="BodyText"/>
        <w:ind w:left="161"/>
        <w:rPr>
          <w:rFonts w:ascii="Times New Roman"/>
          <w:sz w:val="20"/>
        </w:rPr>
      </w:pPr>
      <w:r>
        <w:rPr>
          <w:rFonts w:ascii="Times New Roman"/>
          <w:noProof/>
          <w:sz w:val="20"/>
        </w:rPr>
        <w:drawing>
          <wp:inline distT="0" distB="0" distL="0" distR="0" wp14:anchorId="23B0F2C9" wp14:editId="23B0F2CA">
            <wp:extent cx="1383351" cy="10652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383351" cy="1065276"/>
                    </a:xfrm>
                    <a:prstGeom prst="rect">
                      <a:avLst/>
                    </a:prstGeom>
                  </pic:spPr>
                </pic:pic>
              </a:graphicData>
            </a:graphic>
          </wp:inline>
        </w:drawing>
      </w:r>
    </w:p>
    <w:p w14:paraId="23B0F2A9" w14:textId="77777777" w:rsidR="002B1402" w:rsidRDefault="002B1402">
      <w:pPr>
        <w:pStyle w:val="BodyText"/>
        <w:rPr>
          <w:rFonts w:ascii="Times New Roman"/>
          <w:sz w:val="20"/>
        </w:rPr>
      </w:pPr>
    </w:p>
    <w:p w14:paraId="23B0F2AA" w14:textId="77777777" w:rsidR="002B1402" w:rsidRDefault="002B1402">
      <w:pPr>
        <w:pStyle w:val="BodyText"/>
        <w:spacing w:before="10"/>
        <w:rPr>
          <w:rFonts w:ascii="Times New Roman"/>
          <w:sz w:val="15"/>
        </w:rPr>
      </w:pPr>
    </w:p>
    <w:p w14:paraId="23B0F2AB" w14:textId="77777777" w:rsidR="002B1402" w:rsidRDefault="005E2B6E">
      <w:pPr>
        <w:spacing w:before="87"/>
        <w:ind w:left="140"/>
        <w:rPr>
          <w:b/>
          <w:sz w:val="40"/>
        </w:rPr>
      </w:pPr>
      <w:r>
        <w:rPr>
          <w:b/>
          <w:sz w:val="40"/>
        </w:rPr>
        <w:t>Approval to hold a stake of more than 20% in a financial sector company No. 6 of 2021</w:t>
      </w:r>
    </w:p>
    <w:p w14:paraId="23B0F2AC" w14:textId="7193541C" w:rsidR="002B1402" w:rsidRDefault="005E2B6E">
      <w:pPr>
        <w:pBdr>
          <w:bottom w:val="single" w:sz="6" w:space="1" w:color="auto"/>
        </w:pBdr>
        <w:spacing w:before="361"/>
        <w:ind w:left="140"/>
        <w:rPr>
          <w:i/>
          <w:sz w:val="28"/>
        </w:rPr>
      </w:pPr>
      <w:r>
        <w:rPr>
          <w:i/>
          <w:sz w:val="28"/>
        </w:rPr>
        <w:t>Financial Sector (Shareholdings) Act 1998</w:t>
      </w:r>
    </w:p>
    <w:p w14:paraId="23B0F2AD" w14:textId="3AD9E680" w:rsidR="002B1402" w:rsidRDefault="002B1402">
      <w:pPr>
        <w:pStyle w:val="BodyText"/>
        <w:spacing w:before="10"/>
        <w:rPr>
          <w:i/>
          <w:sz w:val="9"/>
        </w:rPr>
      </w:pPr>
    </w:p>
    <w:p w14:paraId="546C9690" w14:textId="77777777" w:rsidR="005E2B6E" w:rsidRDefault="005E2B6E">
      <w:pPr>
        <w:pStyle w:val="BodyText"/>
        <w:spacing w:before="10"/>
        <w:rPr>
          <w:i/>
          <w:sz w:val="9"/>
        </w:rPr>
      </w:pPr>
      <w:bookmarkStart w:id="0" w:name="_GoBack"/>
      <w:bookmarkEnd w:id="0"/>
    </w:p>
    <w:p w14:paraId="23B0F2AE" w14:textId="77777777" w:rsidR="002B1402" w:rsidRDefault="005E2B6E">
      <w:pPr>
        <w:pStyle w:val="BodyText"/>
        <w:tabs>
          <w:tab w:val="left" w:pos="707"/>
        </w:tabs>
        <w:spacing w:before="93" w:line="468" w:lineRule="auto"/>
        <w:ind w:left="140" w:right="1978"/>
      </w:pPr>
      <w:r>
        <w:t>To:</w:t>
      </w:r>
      <w:r>
        <w:tab/>
        <w:t>National Australia Bank Limited ABN 12 004 044 937 (the applicant) SINCE:</w:t>
      </w:r>
    </w:p>
    <w:p w14:paraId="23B0F2AF" w14:textId="77777777" w:rsidR="002B1402" w:rsidRDefault="005E2B6E">
      <w:pPr>
        <w:pStyle w:val="ListParagraph"/>
        <w:numPr>
          <w:ilvl w:val="0"/>
          <w:numId w:val="1"/>
        </w:numPr>
        <w:tabs>
          <w:tab w:val="left" w:pos="708"/>
        </w:tabs>
        <w:spacing w:before="11"/>
        <w:jc w:val="both"/>
      </w:pPr>
      <w:r>
        <w:t>the</w:t>
      </w:r>
      <w:r>
        <w:rPr>
          <w:spacing w:val="-15"/>
        </w:rPr>
        <w:t xml:space="preserve"> </w:t>
      </w:r>
      <w:r>
        <w:t>applicant</w:t>
      </w:r>
      <w:r>
        <w:rPr>
          <w:spacing w:val="-15"/>
        </w:rPr>
        <w:t xml:space="preserve"> </w:t>
      </w:r>
      <w:r>
        <w:t>has</w:t>
      </w:r>
      <w:r>
        <w:rPr>
          <w:spacing w:val="-15"/>
        </w:rPr>
        <w:t xml:space="preserve"> </w:t>
      </w:r>
      <w:r>
        <w:t>applied</w:t>
      </w:r>
      <w:r>
        <w:rPr>
          <w:spacing w:val="-14"/>
        </w:rPr>
        <w:t xml:space="preserve"> </w:t>
      </w:r>
      <w:r>
        <w:t>to</w:t>
      </w:r>
      <w:r>
        <w:rPr>
          <w:spacing w:val="-14"/>
        </w:rPr>
        <w:t xml:space="preserve"> </w:t>
      </w:r>
      <w:r>
        <w:t>the</w:t>
      </w:r>
      <w:r>
        <w:rPr>
          <w:spacing w:val="-15"/>
        </w:rPr>
        <w:t xml:space="preserve"> </w:t>
      </w:r>
      <w:r>
        <w:t>Treasurer</w:t>
      </w:r>
      <w:r>
        <w:rPr>
          <w:spacing w:val="-15"/>
        </w:rPr>
        <w:t xml:space="preserve"> </w:t>
      </w:r>
      <w:r>
        <w:t>under</w:t>
      </w:r>
      <w:r>
        <w:rPr>
          <w:spacing w:val="-14"/>
        </w:rPr>
        <w:t xml:space="preserve"> </w:t>
      </w:r>
      <w:r>
        <w:t>subsection</w:t>
      </w:r>
      <w:r>
        <w:rPr>
          <w:spacing w:val="-14"/>
        </w:rPr>
        <w:t xml:space="preserve"> </w:t>
      </w:r>
      <w:r>
        <w:t>13(1)</w:t>
      </w:r>
      <w:r>
        <w:rPr>
          <w:spacing w:val="-15"/>
        </w:rPr>
        <w:t xml:space="preserve"> </w:t>
      </w:r>
      <w:r>
        <w:t>of</w:t>
      </w:r>
      <w:r>
        <w:rPr>
          <w:spacing w:val="-11"/>
        </w:rPr>
        <w:t xml:space="preserve"> </w:t>
      </w:r>
      <w:r>
        <w:t>the</w:t>
      </w:r>
      <w:r>
        <w:rPr>
          <w:spacing w:val="-12"/>
        </w:rPr>
        <w:t xml:space="preserve"> </w:t>
      </w:r>
      <w:r>
        <w:rPr>
          <w:i/>
        </w:rPr>
        <w:t>Financial</w:t>
      </w:r>
      <w:r>
        <w:rPr>
          <w:i/>
          <w:spacing w:val="-14"/>
        </w:rPr>
        <w:t xml:space="preserve"> </w:t>
      </w:r>
      <w:r>
        <w:rPr>
          <w:i/>
        </w:rPr>
        <w:t xml:space="preserve">Sector (Shareholdings) Act 1998 </w:t>
      </w:r>
      <w:r>
        <w:t xml:space="preserve">(the Act) for approval to hold a stake of more than 20% </w:t>
      </w:r>
      <w:proofErr w:type="gramStart"/>
      <w:r>
        <w:t>in  86</w:t>
      </w:r>
      <w:proofErr w:type="gramEnd"/>
      <w:r>
        <w:t xml:space="preserve"> 400 Holdings Ltd ABN 36 621 802 097 (the financial sector company);</w:t>
      </w:r>
      <w:r>
        <w:rPr>
          <w:spacing w:val="-11"/>
        </w:rPr>
        <w:t xml:space="preserve"> </w:t>
      </w:r>
      <w:r>
        <w:t>and</w:t>
      </w:r>
    </w:p>
    <w:p w14:paraId="23B0F2B0" w14:textId="77777777" w:rsidR="002B1402" w:rsidRDefault="002B1402">
      <w:pPr>
        <w:pStyle w:val="BodyText"/>
        <w:rPr>
          <w:sz w:val="24"/>
        </w:rPr>
      </w:pPr>
    </w:p>
    <w:p w14:paraId="23B0F2B1" w14:textId="77777777" w:rsidR="002B1402" w:rsidRDefault="005E2B6E">
      <w:pPr>
        <w:pStyle w:val="ListParagraph"/>
        <w:numPr>
          <w:ilvl w:val="0"/>
          <w:numId w:val="1"/>
        </w:numPr>
        <w:tabs>
          <w:tab w:val="left" w:pos="708"/>
        </w:tabs>
        <w:ind w:right="137"/>
        <w:jc w:val="both"/>
      </w:pPr>
      <w:r>
        <w:t>I</w:t>
      </w:r>
      <w:r>
        <w:rPr>
          <w:spacing w:val="-9"/>
        </w:rPr>
        <w:t xml:space="preserve"> </w:t>
      </w:r>
      <w:r>
        <w:t>am</w:t>
      </w:r>
      <w:r>
        <w:rPr>
          <w:spacing w:val="-2"/>
        </w:rPr>
        <w:t xml:space="preserve"> </w:t>
      </w:r>
      <w:r>
        <w:t>satisfied</w:t>
      </w:r>
      <w:r>
        <w:rPr>
          <w:spacing w:val="-7"/>
        </w:rPr>
        <w:t xml:space="preserve"> </w:t>
      </w:r>
      <w:r>
        <w:t>that</w:t>
      </w:r>
      <w:r>
        <w:rPr>
          <w:spacing w:val="-5"/>
        </w:rPr>
        <w:t xml:space="preserve"> </w:t>
      </w:r>
      <w:r>
        <w:t>it</w:t>
      </w:r>
      <w:r>
        <w:rPr>
          <w:spacing w:val="-6"/>
        </w:rPr>
        <w:t xml:space="preserve"> </w:t>
      </w:r>
      <w:r>
        <w:t>is</w:t>
      </w:r>
      <w:r>
        <w:rPr>
          <w:spacing w:val="-8"/>
        </w:rPr>
        <w:t xml:space="preserve"> </w:t>
      </w:r>
      <w:r>
        <w:t>in</w:t>
      </w:r>
      <w:r>
        <w:rPr>
          <w:spacing w:val="-4"/>
        </w:rPr>
        <w:t xml:space="preserve"> </w:t>
      </w:r>
      <w:r>
        <w:t>the</w:t>
      </w:r>
      <w:r>
        <w:rPr>
          <w:spacing w:val="-6"/>
        </w:rPr>
        <w:t xml:space="preserve"> </w:t>
      </w:r>
      <w:r>
        <w:t>national</w:t>
      </w:r>
      <w:r>
        <w:rPr>
          <w:spacing w:val="-6"/>
        </w:rPr>
        <w:t xml:space="preserve"> </w:t>
      </w:r>
      <w:r>
        <w:t>interest</w:t>
      </w:r>
      <w:r>
        <w:rPr>
          <w:spacing w:val="-5"/>
        </w:rPr>
        <w:t xml:space="preserve"> </w:t>
      </w:r>
      <w:r>
        <w:t>to</w:t>
      </w:r>
      <w:r>
        <w:rPr>
          <w:spacing w:val="-4"/>
        </w:rPr>
        <w:t xml:space="preserve"> </w:t>
      </w:r>
      <w:r>
        <w:t>approve</w:t>
      </w:r>
      <w:r>
        <w:rPr>
          <w:spacing w:val="-3"/>
        </w:rPr>
        <w:t xml:space="preserve"> </w:t>
      </w:r>
      <w:r>
        <w:t>the</w:t>
      </w:r>
      <w:r>
        <w:rPr>
          <w:spacing w:val="-1"/>
        </w:rPr>
        <w:t xml:space="preserve"> </w:t>
      </w:r>
      <w:r>
        <w:t>applicant</w:t>
      </w:r>
      <w:r>
        <w:rPr>
          <w:spacing w:val="-4"/>
        </w:rPr>
        <w:t xml:space="preserve"> </w:t>
      </w:r>
      <w:r>
        <w:t>holding</w:t>
      </w:r>
      <w:r>
        <w:rPr>
          <w:spacing w:val="-7"/>
        </w:rPr>
        <w:t xml:space="preserve"> </w:t>
      </w:r>
      <w:r>
        <w:t>a</w:t>
      </w:r>
      <w:r>
        <w:rPr>
          <w:spacing w:val="-6"/>
        </w:rPr>
        <w:t xml:space="preserve"> </w:t>
      </w:r>
      <w:r>
        <w:t>stake</w:t>
      </w:r>
      <w:r>
        <w:rPr>
          <w:spacing w:val="-6"/>
        </w:rPr>
        <w:t xml:space="preserve"> </w:t>
      </w:r>
      <w:r>
        <w:t>of more than 20% in the financial sector</w:t>
      </w:r>
      <w:r>
        <w:rPr>
          <w:spacing w:val="-5"/>
        </w:rPr>
        <w:t xml:space="preserve"> </w:t>
      </w:r>
      <w:r>
        <w:t>company,</w:t>
      </w:r>
    </w:p>
    <w:p w14:paraId="23B0F2B2" w14:textId="77777777" w:rsidR="002B1402" w:rsidRDefault="002B1402">
      <w:pPr>
        <w:pStyle w:val="BodyText"/>
        <w:spacing w:before="6"/>
        <w:rPr>
          <w:sz w:val="31"/>
        </w:rPr>
      </w:pPr>
    </w:p>
    <w:p w14:paraId="23B0F2B3" w14:textId="77777777" w:rsidR="002B1402" w:rsidRDefault="005E2B6E">
      <w:pPr>
        <w:pStyle w:val="BodyText"/>
        <w:ind w:left="140"/>
      </w:pPr>
      <w:r>
        <w:t>I,</w:t>
      </w:r>
      <w:r>
        <w:rPr>
          <w:spacing w:val="-11"/>
        </w:rPr>
        <w:t xml:space="preserve"> </w:t>
      </w:r>
      <w:r>
        <w:t>Therese</w:t>
      </w:r>
      <w:r>
        <w:rPr>
          <w:spacing w:val="-10"/>
        </w:rPr>
        <w:t xml:space="preserve"> </w:t>
      </w:r>
      <w:r>
        <w:t>McCarthy</w:t>
      </w:r>
      <w:r>
        <w:rPr>
          <w:spacing w:val="-12"/>
        </w:rPr>
        <w:t xml:space="preserve"> </w:t>
      </w:r>
      <w:r>
        <w:t>Hockey,</w:t>
      </w:r>
      <w:r>
        <w:rPr>
          <w:spacing w:val="-9"/>
        </w:rPr>
        <w:t xml:space="preserve"> </w:t>
      </w:r>
      <w:r>
        <w:t>a</w:t>
      </w:r>
      <w:r>
        <w:rPr>
          <w:spacing w:val="-10"/>
        </w:rPr>
        <w:t xml:space="preserve"> </w:t>
      </w:r>
      <w:r>
        <w:t>delegate</w:t>
      </w:r>
      <w:r>
        <w:rPr>
          <w:spacing w:val="-10"/>
        </w:rPr>
        <w:t xml:space="preserve"> </w:t>
      </w:r>
      <w:r>
        <w:t>of</w:t>
      </w:r>
      <w:r>
        <w:rPr>
          <w:spacing w:val="-8"/>
        </w:rPr>
        <w:t xml:space="preserve"> </w:t>
      </w:r>
      <w:r>
        <w:t>the</w:t>
      </w:r>
      <w:r>
        <w:rPr>
          <w:spacing w:val="-10"/>
        </w:rPr>
        <w:t xml:space="preserve"> </w:t>
      </w:r>
      <w:r>
        <w:t>Treasurer</w:t>
      </w:r>
      <w:r>
        <w:rPr>
          <w:spacing w:val="-10"/>
        </w:rPr>
        <w:t xml:space="preserve"> </w:t>
      </w:r>
      <w:r>
        <w:t>under</w:t>
      </w:r>
      <w:r>
        <w:rPr>
          <w:spacing w:val="-10"/>
        </w:rPr>
        <w:t xml:space="preserve"> </w:t>
      </w:r>
      <w:r>
        <w:t>paragraph</w:t>
      </w:r>
      <w:r>
        <w:rPr>
          <w:spacing w:val="-10"/>
        </w:rPr>
        <w:t xml:space="preserve"> </w:t>
      </w:r>
      <w:r>
        <w:t>14(1)(a)</w:t>
      </w:r>
      <w:r>
        <w:rPr>
          <w:spacing w:val="-11"/>
        </w:rPr>
        <w:t xml:space="preserve"> </w:t>
      </w:r>
      <w:r>
        <w:t>of</w:t>
      </w:r>
      <w:r>
        <w:rPr>
          <w:spacing w:val="-8"/>
        </w:rPr>
        <w:t xml:space="preserve"> </w:t>
      </w:r>
      <w:r>
        <w:t>the</w:t>
      </w:r>
      <w:r>
        <w:rPr>
          <w:spacing w:val="-10"/>
        </w:rPr>
        <w:t xml:space="preserve"> </w:t>
      </w:r>
      <w:r>
        <w:t>Act, APPROVE the applicant holding a stake of 100% in the financial</w:t>
      </w:r>
      <w:r>
        <w:t xml:space="preserve"> sector</w:t>
      </w:r>
      <w:r>
        <w:rPr>
          <w:spacing w:val="-14"/>
        </w:rPr>
        <w:t xml:space="preserve"> </w:t>
      </w:r>
      <w:r>
        <w:t>company.</w:t>
      </w:r>
    </w:p>
    <w:p w14:paraId="23B0F2B4" w14:textId="77777777" w:rsidR="002B1402" w:rsidRDefault="002B1402">
      <w:pPr>
        <w:pStyle w:val="BodyText"/>
        <w:spacing w:before="10"/>
        <w:rPr>
          <w:sz w:val="21"/>
        </w:rPr>
      </w:pPr>
    </w:p>
    <w:p w14:paraId="23B0F2B5" w14:textId="77777777" w:rsidR="002B1402" w:rsidRDefault="005E2B6E">
      <w:pPr>
        <w:pStyle w:val="BodyText"/>
        <w:ind w:left="140"/>
      </w:pPr>
      <w:r>
        <w:t>Under subsection 16(1) of the Act, this approval is subject to the condition set out in the schedule.</w:t>
      </w:r>
    </w:p>
    <w:p w14:paraId="23B0F2B6" w14:textId="77777777" w:rsidR="002B1402" w:rsidRDefault="002B1402">
      <w:pPr>
        <w:pStyle w:val="BodyText"/>
        <w:spacing w:before="1"/>
      </w:pPr>
    </w:p>
    <w:p w14:paraId="23B0F2B7" w14:textId="77777777" w:rsidR="002B1402" w:rsidRDefault="005E2B6E">
      <w:pPr>
        <w:pStyle w:val="BodyText"/>
        <w:spacing w:line="717" w:lineRule="auto"/>
        <w:ind w:left="140" w:right="370"/>
      </w:pPr>
      <w:r>
        <w:t>This instrument commences on the day it is made and remains in force until 30 April 2024. Dated: 27 April 2021</w:t>
      </w:r>
    </w:p>
    <w:p w14:paraId="23B0F2B8" w14:textId="77777777" w:rsidR="002B1402" w:rsidRDefault="002B1402">
      <w:pPr>
        <w:pStyle w:val="BodyText"/>
        <w:spacing w:before="4"/>
        <w:rPr>
          <w:sz w:val="24"/>
        </w:rPr>
      </w:pPr>
    </w:p>
    <w:p w14:paraId="23B0F2B9" w14:textId="77777777" w:rsidR="002B1402" w:rsidRDefault="005E2B6E">
      <w:pPr>
        <w:pStyle w:val="BodyText"/>
        <w:ind w:left="140" w:right="6558"/>
      </w:pPr>
      <w:r>
        <w:t>Therese McCarthy Hockey Executive Director Banking</w:t>
      </w:r>
      <w:r>
        <w:rPr>
          <w:spacing w:val="-2"/>
        </w:rPr>
        <w:t xml:space="preserve"> </w:t>
      </w:r>
      <w:r>
        <w:t>Division</w:t>
      </w:r>
    </w:p>
    <w:p w14:paraId="23B0F2BA" w14:textId="77777777" w:rsidR="002B1402" w:rsidRDefault="002B1402">
      <w:pPr>
        <w:pStyle w:val="BodyText"/>
        <w:rPr>
          <w:sz w:val="24"/>
        </w:rPr>
      </w:pPr>
    </w:p>
    <w:p w14:paraId="23B0F2BB" w14:textId="77777777" w:rsidR="002B1402" w:rsidRDefault="005E2B6E">
      <w:pPr>
        <w:spacing w:before="205"/>
        <w:ind w:left="140"/>
        <w:rPr>
          <w:b/>
        </w:rPr>
      </w:pPr>
      <w:r>
        <w:rPr>
          <w:b/>
        </w:rPr>
        <w:t>Interpretation</w:t>
      </w:r>
    </w:p>
    <w:p w14:paraId="23B0F2BC" w14:textId="77777777" w:rsidR="002B1402" w:rsidRDefault="005E2B6E">
      <w:pPr>
        <w:pStyle w:val="BodyText"/>
        <w:spacing w:before="120"/>
        <w:ind w:left="140"/>
      </w:pPr>
      <w:r>
        <w:t>In this instrument:</w:t>
      </w:r>
    </w:p>
    <w:p w14:paraId="23B0F2BD" w14:textId="77777777" w:rsidR="002B1402" w:rsidRDefault="005E2B6E">
      <w:pPr>
        <w:pStyle w:val="BodyText"/>
        <w:spacing w:before="119"/>
        <w:ind w:left="140"/>
      </w:pPr>
      <w:r>
        <w:rPr>
          <w:b/>
          <w:i/>
        </w:rPr>
        <w:t xml:space="preserve">APRA </w:t>
      </w:r>
      <w:r>
        <w:t>means the Australian Prudential Regulation Authority.</w:t>
      </w:r>
    </w:p>
    <w:p w14:paraId="23B0F2BE" w14:textId="77777777" w:rsidR="002B1402" w:rsidRDefault="005E2B6E">
      <w:pPr>
        <w:spacing w:before="122"/>
        <w:ind w:left="140"/>
      </w:pPr>
      <w:r>
        <w:rPr>
          <w:b/>
          <w:i/>
        </w:rPr>
        <w:t xml:space="preserve">financial sector company </w:t>
      </w:r>
      <w:r>
        <w:t>has the meaning given in section 3 of the Act.</w:t>
      </w:r>
    </w:p>
    <w:p w14:paraId="23B0F2BF" w14:textId="77777777" w:rsidR="002B1402" w:rsidRDefault="005E2B6E">
      <w:pPr>
        <w:pStyle w:val="BodyText"/>
        <w:spacing w:before="120"/>
        <w:ind w:left="140"/>
      </w:pPr>
      <w:r>
        <w:rPr>
          <w:b/>
          <w:i/>
        </w:rPr>
        <w:t xml:space="preserve">stake </w:t>
      </w:r>
      <w:r>
        <w:t>in relation to a compan</w:t>
      </w:r>
      <w:r>
        <w:t>y, has the meaning given in clause 10 of Schedule 1 to the Act.</w:t>
      </w:r>
    </w:p>
    <w:p w14:paraId="23B0F2C0" w14:textId="77777777" w:rsidR="002B1402" w:rsidRDefault="002B1402">
      <w:pPr>
        <w:sectPr w:rsidR="002B1402">
          <w:type w:val="continuous"/>
          <w:pgSz w:w="11910" w:h="16840"/>
          <w:pgMar w:top="1460" w:right="1300" w:bottom="280" w:left="1300" w:header="720" w:footer="720" w:gutter="0"/>
          <w:cols w:space="720"/>
        </w:sectPr>
      </w:pPr>
    </w:p>
    <w:p w14:paraId="23B0F2C1" w14:textId="77777777" w:rsidR="002B1402" w:rsidRDefault="005E2B6E">
      <w:pPr>
        <w:spacing w:before="76"/>
        <w:ind w:left="140"/>
        <w:rPr>
          <w:b/>
          <w:sz w:val="18"/>
        </w:rPr>
      </w:pPr>
      <w:r>
        <w:rPr>
          <w:b/>
          <w:sz w:val="18"/>
        </w:rPr>
        <w:lastRenderedPageBreak/>
        <w:t>Notes</w:t>
      </w:r>
    </w:p>
    <w:p w14:paraId="23B0F2C2" w14:textId="77777777" w:rsidR="002B1402" w:rsidRDefault="005E2B6E">
      <w:pPr>
        <w:spacing w:before="123"/>
        <w:ind w:left="140"/>
        <w:rPr>
          <w:sz w:val="18"/>
        </w:rPr>
      </w:pPr>
      <w:r>
        <w:rPr>
          <w:sz w:val="18"/>
        </w:rPr>
        <w:t>This instrument will be registered on the Federal Register of Legislation as a notifiable instrument.</w:t>
      </w:r>
    </w:p>
    <w:p w14:paraId="23B0F2C3" w14:textId="77777777" w:rsidR="002B1402" w:rsidRDefault="005E2B6E">
      <w:pPr>
        <w:spacing w:before="121"/>
        <w:ind w:left="140"/>
        <w:rPr>
          <w:sz w:val="18"/>
        </w:rPr>
      </w:pPr>
      <w:r>
        <w:rPr>
          <w:sz w:val="18"/>
        </w:rPr>
        <w:t>The Treasurer or the Treasurer’s delegate is required to give a copy</w:t>
      </w:r>
      <w:r>
        <w:rPr>
          <w:sz w:val="18"/>
        </w:rPr>
        <w:t xml:space="preserve"> of this instrument to the financial sector company.</w:t>
      </w:r>
    </w:p>
    <w:p w14:paraId="23B0F2C4" w14:textId="77777777" w:rsidR="002B1402" w:rsidRDefault="005E2B6E">
      <w:pPr>
        <w:spacing w:before="119"/>
        <w:ind w:left="140" w:right="135"/>
        <w:jc w:val="both"/>
        <w:rPr>
          <w:sz w:val="18"/>
        </w:rPr>
      </w:pPr>
      <w:r>
        <w:rPr>
          <w:sz w:val="18"/>
        </w:rPr>
        <w:t>Section 19 of the Act provides for flow-on approvals for an approval under paragraph 14(1)(a) of the Act. If the approval</w:t>
      </w:r>
      <w:r>
        <w:rPr>
          <w:spacing w:val="-4"/>
          <w:sz w:val="18"/>
        </w:rPr>
        <w:t xml:space="preserve"> </w:t>
      </w:r>
      <w:r>
        <w:rPr>
          <w:sz w:val="18"/>
        </w:rPr>
        <w:t>relates</w:t>
      </w:r>
      <w:r>
        <w:rPr>
          <w:spacing w:val="-3"/>
          <w:sz w:val="18"/>
        </w:rPr>
        <w:t xml:space="preserve"> </w:t>
      </w:r>
      <w:r>
        <w:rPr>
          <w:sz w:val="18"/>
        </w:rPr>
        <w:t>to</w:t>
      </w:r>
      <w:r>
        <w:rPr>
          <w:spacing w:val="-3"/>
          <w:sz w:val="18"/>
        </w:rPr>
        <w:t xml:space="preserve"> </w:t>
      </w:r>
      <w:r>
        <w:rPr>
          <w:sz w:val="18"/>
        </w:rPr>
        <w:t>a</w:t>
      </w:r>
      <w:r>
        <w:rPr>
          <w:spacing w:val="-9"/>
          <w:sz w:val="18"/>
        </w:rPr>
        <w:t xml:space="preserve"> </w:t>
      </w:r>
      <w:r>
        <w:rPr>
          <w:sz w:val="18"/>
        </w:rPr>
        <w:t>financial</w:t>
      </w:r>
      <w:r>
        <w:rPr>
          <w:spacing w:val="-3"/>
          <w:sz w:val="18"/>
        </w:rPr>
        <w:t xml:space="preserve"> </w:t>
      </w:r>
      <w:r>
        <w:rPr>
          <w:sz w:val="18"/>
        </w:rPr>
        <w:t>sector</w:t>
      </w:r>
      <w:r>
        <w:rPr>
          <w:spacing w:val="-3"/>
          <w:sz w:val="18"/>
        </w:rPr>
        <w:t xml:space="preserve"> </w:t>
      </w:r>
      <w:r>
        <w:rPr>
          <w:sz w:val="18"/>
        </w:rPr>
        <w:t>company</w:t>
      </w:r>
      <w:r>
        <w:rPr>
          <w:spacing w:val="-5"/>
          <w:sz w:val="18"/>
        </w:rPr>
        <w:t xml:space="preserve"> </w:t>
      </w:r>
      <w:r>
        <w:rPr>
          <w:sz w:val="18"/>
        </w:rPr>
        <w:t>that</w:t>
      </w:r>
      <w:r>
        <w:rPr>
          <w:spacing w:val="-4"/>
          <w:sz w:val="18"/>
        </w:rPr>
        <w:t xml:space="preserve"> </w:t>
      </w:r>
      <w:r>
        <w:rPr>
          <w:sz w:val="18"/>
        </w:rPr>
        <w:t>is</w:t>
      </w:r>
      <w:r>
        <w:rPr>
          <w:spacing w:val="-3"/>
          <w:sz w:val="18"/>
        </w:rPr>
        <w:t xml:space="preserve"> </w:t>
      </w:r>
      <w:r>
        <w:rPr>
          <w:sz w:val="18"/>
        </w:rPr>
        <w:t>a</w:t>
      </w:r>
      <w:r>
        <w:rPr>
          <w:spacing w:val="-3"/>
          <w:sz w:val="18"/>
        </w:rPr>
        <w:t xml:space="preserve"> </w:t>
      </w:r>
      <w:r>
        <w:rPr>
          <w:sz w:val="18"/>
        </w:rPr>
        <w:t>holding</w:t>
      </w:r>
      <w:r>
        <w:rPr>
          <w:spacing w:val="-3"/>
          <w:sz w:val="18"/>
        </w:rPr>
        <w:t xml:space="preserve"> </w:t>
      </w:r>
      <w:r>
        <w:rPr>
          <w:sz w:val="18"/>
        </w:rPr>
        <w:t>company</w:t>
      </w:r>
      <w:r>
        <w:rPr>
          <w:spacing w:val="-6"/>
          <w:sz w:val="18"/>
        </w:rPr>
        <w:t xml:space="preserve"> </w:t>
      </w:r>
      <w:r>
        <w:rPr>
          <w:sz w:val="18"/>
        </w:rPr>
        <w:t>of</w:t>
      </w:r>
      <w:r>
        <w:rPr>
          <w:spacing w:val="-1"/>
          <w:sz w:val="18"/>
        </w:rPr>
        <w:t xml:space="preserve"> </w:t>
      </w:r>
      <w:r>
        <w:rPr>
          <w:sz w:val="18"/>
        </w:rPr>
        <w:t>an</w:t>
      </w:r>
      <w:r>
        <w:rPr>
          <w:spacing w:val="-3"/>
          <w:sz w:val="18"/>
        </w:rPr>
        <w:t xml:space="preserve"> </w:t>
      </w:r>
      <w:proofErr w:type="spellStart"/>
      <w:r>
        <w:rPr>
          <w:sz w:val="18"/>
        </w:rPr>
        <w:t>authorised</w:t>
      </w:r>
      <w:proofErr w:type="spellEnd"/>
      <w:r>
        <w:rPr>
          <w:spacing w:val="-3"/>
          <w:sz w:val="18"/>
        </w:rPr>
        <w:t xml:space="preserve"> </w:t>
      </w:r>
      <w:r>
        <w:rPr>
          <w:sz w:val="18"/>
        </w:rPr>
        <w:t>deposit-taking</w:t>
      </w:r>
      <w:r>
        <w:rPr>
          <w:spacing w:val="-4"/>
          <w:sz w:val="18"/>
        </w:rPr>
        <w:t xml:space="preserve"> </w:t>
      </w:r>
      <w:r>
        <w:rPr>
          <w:sz w:val="18"/>
        </w:rPr>
        <w:t xml:space="preserve">institution or </w:t>
      </w:r>
      <w:proofErr w:type="spellStart"/>
      <w:r>
        <w:rPr>
          <w:sz w:val="18"/>
        </w:rPr>
        <w:t>authorised</w:t>
      </w:r>
      <w:proofErr w:type="spellEnd"/>
      <w:r>
        <w:rPr>
          <w:sz w:val="18"/>
        </w:rPr>
        <w:t xml:space="preserve"> insurance company, subsection 19(1) provides for flow-on approvals that relate to each financial sector</w:t>
      </w:r>
      <w:r>
        <w:rPr>
          <w:spacing w:val="-11"/>
          <w:sz w:val="18"/>
        </w:rPr>
        <w:t xml:space="preserve"> </w:t>
      </w:r>
      <w:r>
        <w:rPr>
          <w:sz w:val="18"/>
        </w:rPr>
        <w:t>company</w:t>
      </w:r>
      <w:r>
        <w:rPr>
          <w:spacing w:val="-14"/>
          <w:sz w:val="18"/>
        </w:rPr>
        <w:t xml:space="preserve"> </w:t>
      </w:r>
      <w:r>
        <w:rPr>
          <w:sz w:val="18"/>
        </w:rPr>
        <w:t>that</w:t>
      </w:r>
      <w:r>
        <w:rPr>
          <w:spacing w:val="-10"/>
          <w:sz w:val="18"/>
        </w:rPr>
        <w:t xml:space="preserve"> </w:t>
      </w:r>
      <w:r>
        <w:rPr>
          <w:sz w:val="18"/>
        </w:rPr>
        <w:t>is</w:t>
      </w:r>
      <w:r>
        <w:rPr>
          <w:spacing w:val="-11"/>
          <w:sz w:val="18"/>
        </w:rPr>
        <w:t xml:space="preserve"> </w:t>
      </w:r>
      <w:r>
        <w:rPr>
          <w:sz w:val="18"/>
        </w:rPr>
        <w:t>a</w:t>
      </w:r>
      <w:r>
        <w:rPr>
          <w:spacing w:val="-11"/>
          <w:sz w:val="18"/>
        </w:rPr>
        <w:t xml:space="preserve"> </w:t>
      </w:r>
      <w:r>
        <w:rPr>
          <w:sz w:val="18"/>
        </w:rPr>
        <w:t>100%</w:t>
      </w:r>
      <w:r>
        <w:rPr>
          <w:spacing w:val="-11"/>
          <w:sz w:val="18"/>
        </w:rPr>
        <w:t xml:space="preserve"> </w:t>
      </w:r>
      <w:r>
        <w:rPr>
          <w:sz w:val="18"/>
        </w:rPr>
        <w:t>subsidiary</w:t>
      </w:r>
      <w:r>
        <w:rPr>
          <w:spacing w:val="-12"/>
          <w:sz w:val="18"/>
        </w:rPr>
        <w:t xml:space="preserve"> </w:t>
      </w:r>
      <w:r>
        <w:rPr>
          <w:sz w:val="18"/>
        </w:rPr>
        <w:t>of</w:t>
      </w:r>
      <w:r>
        <w:rPr>
          <w:spacing w:val="-9"/>
          <w:sz w:val="18"/>
        </w:rPr>
        <w:t xml:space="preserve"> </w:t>
      </w:r>
      <w:r>
        <w:rPr>
          <w:sz w:val="18"/>
        </w:rPr>
        <w:t>the</w:t>
      </w:r>
      <w:r>
        <w:rPr>
          <w:spacing w:val="-11"/>
          <w:sz w:val="18"/>
        </w:rPr>
        <w:t xml:space="preserve"> </w:t>
      </w:r>
      <w:r>
        <w:rPr>
          <w:sz w:val="18"/>
        </w:rPr>
        <w:t>holding</w:t>
      </w:r>
      <w:r>
        <w:rPr>
          <w:spacing w:val="-11"/>
          <w:sz w:val="18"/>
        </w:rPr>
        <w:t xml:space="preserve"> </w:t>
      </w:r>
      <w:r>
        <w:rPr>
          <w:sz w:val="18"/>
        </w:rPr>
        <w:t>company.</w:t>
      </w:r>
      <w:r>
        <w:rPr>
          <w:spacing w:val="-10"/>
          <w:sz w:val="18"/>
        </w:rPr>
        <w:t xml:space="preserve"> </w:t>
      </w:r>
      <w:r>
        <w:rPr>
          <w:sz w:val="18"/>
        </w:rPr>
        <w:t>If</w:t>
      </w:r>
      <w:r>
        <w:rPr>
          <w:spacing w:val="-9"/>
          <w:sz w:val="18"/>
        </w:rPr>
        <w:t xml:space="preserve"> </w:t>
      </w:r>
      <w:r>
        <w:rPr>
          <w:sz w:val="18"/>
        </w:rPr>
        <w:t>the</w:t>
      </w:r>
      <w:r>
        <w:rPr>
          <w:spacing w:val="-11"/>
          <w:sz w:val="18"/>
        </w:rPr>
        <w:t xml:space="preserve"> </w:t>
      </w:r>
      <w:r>
        <w:rPr>
          <w:sz w:val="18"/>
        </w:rPr>
        <w:t>approval</w:t>
      </w:r>
      <w:r>
        <w:rPr>
          <w:spacing w:val="-11"/>
          <w:sz w:val="18"/>
        </w:rPr>
        <w:t xml:space="preserve"> </w:t>
      </w:r>
      <w:r>
        <w:rPr>
          <w:sz w:val="18"/>
        </w:rPr>
        <w:t>is</w:t>
      </w:r>
      <w:r>
        <w:rPr>
          <w:spacing w:val="-10"/>
          <w:sz w:val="18"/>
        </w:rPr>
        <w:t xml:space="preserve"> </w:t>
      </w:r>
      <w:r>
        <w:rPr>
          <w:sz w:val="18"/>
        </w:rPr>
        <w:t>held</w:t>
      </w:r>
      <w:r>
        <w:rPr>
          <w:spacing w:val="-11"/>
          <w:sz w:val="18"/>
        </w:rPr>
        <w:t xml:space="preserve"> </w:t>
      </w:r>
      <w:r>
        <w:rPr>
          <w:sz w:val="18"/>
        </w:rPr>
        <w:t>by</w:t>
      </w:r>
      <w:r>
        <w:rPr>
          <w:spacing w:val="-13"/>
          <w:sz w:val="18"/>
        </w:rPr>
        <w:t xml:space="preserve"> </w:t>
      </w:r>
      <w:r>
        <w:rPr>
          <w:sz w:val="18"/>
        </w:rPr>
        <w:t>a</w:t>
      </w:r>
      <w:r>
        <w:rPr>
          <w:spacing w:val="-10"/>
          <w:sz w:val="18"/>
        </w:rPr>
        <w:t xml:space="preserve"> </w:t>
      </w:r>
      <w:r>
        <w:rPr>
          <w:sz w:val="18"/>
        </w:rPr>
        <w:t>company,</w:t>
      </w:r>
      <w:r>
        <w:rPr>
          <w:spacing w:val="-11"/>
          <w:sz w:val="18"/>
        </w:rPr>
        <w:t xml:space="preserve"> </w:t>
      </w:r>
      <w:r>
        <w:rPr>
          <w:sz w:val="18"/>
        </w:rPr>
        <w:t>subsection 19(3) provides for flow-on approvals to be held by each officer of the</w:t>
      </w:r>
      <w:r>
        <w:rPr>
          <w:spacing w:val="-23"/>
          <w:sz w:val="18"/>
        </w:rPr>
        <w:t xml:space="preserve"> </w:t>
      </w:r>
      <w:r>
        <w:rPr>
          <w:sz w:val="18"/>
        </w:rPr>
        <w:t>company.</w:t>
      </w:r>
    </w:p>
    <w:p w14:paraId="23B0F2C5" w14:textId="77777777" w:rsidR="002B1402" w:rsidRDefault="002B1402">
      <w:pPr>
        <w:pStyle w:val="BodyText"/>
        <w:rPr>
          <w:sz w:val="20"/>
        </w:rPr>
      </w:pPr>
    </w:p>
    <w:p w14:paraId="23B0F2C6" w14:textId="77777777" w:rsidR="002B1402" w:rsidRDefault="002B1402">
      <w:pPr>
        <w:pStyle w:val="BodyText"/>
        <w:rPr>
          <w:sz w:val="20"/>
        </w:rPr>
      </w:pPr>
    </w:p>
    <w:p w14:paraId="23B0F2C7" w14:textId="77777777" w:rsidR="002B1402" w:rsidRDefault="005E2B6E">
      <w:pPr>
        <w:spacing w:before="146"/>
        <w:ind w:left="140"/>
        <w:jc w:val="both"/>
        <w:rPr>
          <w:b/>
          <w:sz w:val="32"/>
        </w:rPr>
      </w:pPr>
      <w:r>
        <w:rPr>
          <w:b/>
          <w:sz w:val="32"/>
        </w:rPr>
        <w:t>Schedule – the condition</w:t>
      </w:r>
    </w:p>
    <w:p w14:paraId="23B0F2C8" w14:textId="77777777" w:rsidR="002B1402" w:rsidRDefault="005E2B6E">
      <w:pPr>
        <w:pStyle w:val="BodyText"/>
        <w:spacing w:before="243"/>
        <w:ind w:left="140" w:right="135"/>
        <w:jc w:val="both"/>
      </w:pPr>
      <w:r>
        <w:t xml:space="preserve">This approval is conditional upon the approval by the Federal Court of Australia of a scheme of arrangement under Part 5.1 of the </w:t>
      </w:r>
      <w:r>
        <w:rPr>
          <w:i/>
        </w:rPr>
        <w:t>Corporat</w:t>
      </w:r>
      <w:r>
        <w:rPr>
          <w:i/>
        </w:rPr>
        <w:t xml:space="preserve">ions Act 2001 </w:t>
      </w:r>
      <w:r>
        <w:t xml:space="preserve">between the financial sector company and its members, in relation to the proposed acquisition of all of the issued share capital in the financial sector company by the applicant which the applicant does not already hold, and which relates to </w:t>
      </w:r>
      <w:r>
        <w:t>applications filed with the Federal Court in March 2021.</w:t>
      </w:r>
    </w:p>
    <w:sectPr w:rsidR="002B1402">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87744" w14:textId="77777777" w:rsidR="005E2B6E" w:rsidRDefault="005E2B6E" w:rsidP="005E2B6E">
      <w:r>
        <w:separator/>
      </w:r>
    </w:p>
  </w:endnote>
  <w:endnote w:type="continuationSeparator" w:id="0">
    <w:p w14:paraId="6D8B85EE" w14:textId="77777777" w:rsidR="005E2B6E" w:rsidRDefault="005E2B6E" w:rsidP="005E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9078D" w14:textId="77777777" w:rsidR="005E2B6E" w:rsidRDefault="005E2B6E" w:rsidP="005E2B6E">
      <w:r>
        <w:separator/>
      </w:r>
    </w:p>
  </w:footnote>
  <w:footnote w:type="continuationSeparator" w:id="0">
    <w:p w14:paraId="712F2058" w14:textId="77777777" w:rsidR="005E2B6E" w:rsidRDefault="005E2B6E" w:rsidP="005E2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95007"/>
    <w:multiLevelType w:val="hybridMultilevel"/>
    <w:tmpl w:val="B86CA2CA"/>
    <w:lvl w:ilvl="0" w:tplc="A050BEE4">
      <w:start w:val="1"/>
      <w:numFmt w:val="upperLetter"/>
      <w:lvlText w:val="%1."/>
      <w:lvlJc w:val="left"/>
      <w:pPr>
        <w:ind w:left="708" w:hanging="568"/>
        <w:jc w:val="left"/>
      </w:pPr>
      <w:rPr>
        <w:rFonts w:ascii="Arial" w:eastAsia="Arial" w:hAnsi="Arial" w:cs="Arial" w:hint="default"/>
        <w:w w:val="100"/>
        <w:sz w:val="22"/>
        <w:szCs w:val="22"/>
        <w:lang w:val="en-US" w:eastAsia="en-US" w:bidi="en-US"/>
      </w:rPr>
    </w:lvl>
    <w:lvl w:ilvl="1" w:tplc="D890A6B0">
      <w:numFmt w:val="bullet"/>
      <w:lvlText w:val="•"/>
      <w:lvlJc w:val="left"/>
      <w:pPr>
        <w:ind w:left="1560" w:hanging="568"/>
      </w:pPr>
      <w:rPr>
        <w:rFonts w:hint="default"/>
        <w:lang w:val="en-US" w:eastAsia="en-US" w:bidi="en-US"/>
      </w:rPr>
    </w:lvl>
    <w:lvl w:ilvl="2" w:tplc="4DECCC9C">
      <w:numFmt w:val="bullet"/>
      <w:lvlText w:val="•"/>
      <w:lvlJc w:val="left"/>
      <w:pPr>
        <w:ind w:left="2421" w:hanging="568"/>
      </w:pPr>
      <w:rPr>
        <w:rFonts w:hint="default"/>
        <w:lang w:val="en-US" w:eastAsia="en-US" w:bidi="en-US"/>
      </w:rPr>
    </w:lvl>
    <w:lvl w:ilvl="3" w:tplc="008A05E4">
      <w:numFmt w:val="bullet"/>
      <w:lvlText w:val="•"/>
      <w:lvlJc w:val="left"/>
      <w:pPr>
        <w:ind w:left="3281" w:hanging="568"/>
      </w:pPr>
      <w:rPr>
        <w:rFonts w:hint="default"/>
        <w:lang w:val="en-US" w:eastAsia="en-US" w:bidi="en-US"/>
      </w:rPr>
    </w:lvl>
    <w:lvl w:ilvl="4" w:tplc="48D0E0C0">
      <w:numFmt w:val="bullet"/>
      <w:lvlText w:val="•"/>
      <w:lvlJc w:val="left"/>
      <w:pPr>
        <w:ind w:left="4142" w:hanging="568"/>
      </w:pPr>
      <w:rPr>
        <w:rFonts w:hint="default"/>
        <w:lang w:val="en-US" w:eastAsia="en-US" w:bidi="en-US"/>
      </w:rPr>
    </w:lvl>
    <w:lvl w:ilvl="5" w:tplc="AA12FFBA">
      <w:numFmt w:val="bullet"/>
      <w:lvlText w:val="•"/>
      <w:lvlJc w:val="left"/>
      <w:pPr>
        <w:ind w:left="5002" w:hanging="568"/>
      </w:pPr>
      <w:rPr>
        <w:rFonts w:hint="default"/>
        <w:lang w:val="en-US" w:eastAsia="en-US" w:bidi="en-US"/>
      </w:rPr>
    </w:lvl>
    <w:lvl w:ilvl="6" w:tplc="46548FDC">
      <w:numFmt w:val="bullet"/>
      <w:lvlText w:val="•"/>
      <w:lvlJc w:val="left"/>
      <w:pPr>
        <w:ind w:left="5863" w:hanging="568"/>
      </w:pPr>
      <w:rPr>
        <w:rFonts w:hint="default"/>
        <w:lang w:val="en-US" w:eastAsia="en-US" w:bidi="en-US"/>
      </w:rPr>
    </w:lvl>
    <w:lvl w:ilvl="7" w:tplc="736466C0">
      <w:numFmt w:val="bullet"/>
      <w:lvlText w:val="•"/>
      <w:lvlJc w:val="left"/>
      <w:pPr>
        <w:ind w:left="6723" w:hanging="568"/>
      </w:pPr>
      <w:rPr>
        <w:rFonts w:hint="default"/>
        <w:lang w:val="en-US" w:eastAsia="en-US" w:bidi="en-US"/>
      </w:rPr>
    </w:lvl>
    <w:lvl w:ilvl="8" w:tplc="38A69182">
      <w:numFmt w:val="bullet"/>
      <w:lvlText w:val="•"/>
      <w:lvlJc w:val="left"/>
      <w:pPr>
        <w:ind w:left="7584" w:hanging="56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B1402"/>
    <w:rsid w:val="002B1402"/>
    <w:rsid w:val="005E2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0F2A8"/>
  <w15:docId w15:val="{3D09C5D9-0B59-4296-9636-BD3653F5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08" w:right="136" w:hanging="56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_dlc_DocId xmlns="814d62cb-2db6-4c25-ab62-b9075facbc11">5JENXJJSCC7A-445999044-11466</_dlc_DocId>
    <TaxCatchAll xmlns="814d62cb-2db6-4c25-ab62-b9075facbc11">
      <Value>24</Value>
      <Value>83</Value>
      <Value>134</Value>
      <Value>26</Value>
      <Value>109</Value>
      <Value>93</Value>
      <Value>58</Value>
      <Value>230</Value>
      <Value>4</Value>
      <Value>19</Value>
    </TaxCatchAll>
    <_dlc_DocIdUrl xmlns="814d62cb-2db6-4c25-ab62-b9075facbc11">
      <Url>https://im/teams/LEGAL/_layouts/15/DocIdRedir.aspx?ID=5JENXJJSCC7A-445999044-11466</Url>
      <Description>5JENXJJSCC7A-445999044-11466</Description>
    </_dlc_DocIdUr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APRADescription xmlns="814d62cb-2db6-4c25-ab62-b9075facbc11">Approval to hold a stake of more than 20% in a
financial sector company No. 6 of 2021</APRADescription>
    <APRAActivityID xmlns="814d62cb-2db6-4c25-ab62-b9075facbc11" xsi:nil="true"/>
    <APRADocScanCheck xmlns="814d62cb-2db6-4c25-ab62-b9075facbc11">false</APRADocScanCheck>
  </documentManagement>
</p:properties>
</file>

<file path=customXml/itemProps1.xml><?xml version="1.0" encoding="utf-8"?>
<ds:datastoreItem xmlns:ds="http://schemas.openxmlformats.org/officeDocument/2006/customXml" ds:itemID="{C7C5C167-E9FB-49F7-B90A-9F1A4048BC14}">
  <ds:schemaRefs>
    <ds:schemaRef ds:uri="http://schemas.microsoft.com/sharepoint/v3/contenttype/forms"/>
  </ds:schemaRefs>
</ds:datastoreItem>
</file>

<file path=customXml/itemProps2.xml><?xml version="1.0" encoding="utf-8"?>
<ds:datastoreItem xmlns:ds="http://schemas.openxmlformats.org/officeDocument/2006/customXml" ds:itemID="{DBA0F0A9-250E-41FB-BBEA-91869A3944EE}">
  <ds:schemaRefs>
    <ds:schemaRef ds:uri="http://schemas.microsoft.com/sharepoint/events"/>
  </ds:schemaRefs>
</ds:datastoreItem>
</file>

<file path=customXml/itemProps3.xml><?xml version="1.0" encoding="utf-8"?>
<ds:datastoreItem xmlns:ds="http://schemas.openxmlformats.org/officeDocument/2006/customXml" ds:itemID="{FDCBC8FE-487E-4014-B361-31FED7A8455C}">
  <ds:schemaRefs>
    <ds:schemaRef ds:uri="Microsoft.SharePoint.Taxonomy.ContentTypeSync"/>
  </ds:schemaRefs>
</ds:datastoreItem>
</file>

<file path=customXml/itemProps4.xml><?xml version="1.0" encoding="utf-8"?>
<ds:datastoreItem xmlns:ds="http://schemas.openxmlformats.org/officeDocument/2006/customXml" ds:itemID="{1A6C387F-BA4B-4978-A0DB-B3AA00F31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7964C7-AF1E-4BDD-A366-4D7C69867569}">
  <ds:schemaRef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terms/"/>
    <ds:schemaRef ds:uri="814d62cb-2db6-4c25-ab62-b9075facbc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2131</Characters>
  <Application>Microsoft Office Word</Application>
  <DocSecurity>0</DocSecurity>
  <Lines>53</Lines>
  <Paragraphs>23</Paragraphs>
  <ScaleCrop>false</ScaleCrop>
  <HeadingPairs>
    <vt:vector size="2" baseType="variant">
      <vt:variant>
        <vt:lpstr>Title</vt:lpstr>
      </vt:variant>
      <vt:variant>
        <vt:i4>1</vt:i4>
      </vt:variant>
    </vt:vector>
  </HeadingPairs>
  <TitlesOfParts>
    <vt:vector size="1" baseType="lpstr">
      <vt:lpstr>FSSA s14(1)(a) approval - NAB Limited</vt:lpstr>
    </vt:vector>
  </TitlesOfParts>
  <Company>APRA</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Australia Bank Limited - FSSA - 270421</dc:title>
  <dc:creator>Tran, Nicky</dc:creator>
  <cp:keywords> [SEC=OFFICIAL]</cp:keywords>
  <cp:lastModifiedBy>Michalis, Toni</cp:lastModifiedBy>
  <cp:revision>2</cp:revision>
  <dcterms:created xsi:type="dcterms:W3CDTF">2021-04-28T00:14:00Z</dcterms:created>
  <dcterms:modified xsi:type="dcterms:W3CDTF">2021-04-28T00:15:00Z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vt:lpwstr>
  </property>
  <property fmtid="{D5CDD505-2E9C-101B-9397-08002B2CF9AE}" pid="4" name="LastSaved">
    <vt:filetime>2021-04-28T00:00:00Z</vt:filetime>
  </property>
  <property fmtid="{D5CDD505-2E9C-101B-9397-08002B2CF9AE}" pid="5" name="APRAPeriod">
    <vt:lpwstr/>
  </property>
  <property fmtid="{D5CDD505-2E9C-101B-9397-08002B2CF9AE}" pid="6" name="APRACostCentre">
    <vt:lpwstr>24;#Legal - ADI|652d8d2a-ab45-47b4-ac6e-fe6ac9299b39;#83;#Legal - Insurance: Life|56f18b50-6605-4f3f-97e3-cad1cb5394e0;#93;#Legal - Insurance: Health|21611e62-d688-4f0d-8807-02701cc43699;#26;#Legal - Insurance: General|8229dc1a-d7f2-47b2-844a-b026fed0c13d;#134;#Legal - Superannuation|cce3181d-fd23-4eee-94d3-c66abc2350cf;#4;#Legal - Resolution ＆ Corporate|696624b1-19f4-47b2-a07b-57868a922a96</vt:lpwstr>
  </property>
  <property fmtid="{D5CDD505-2E9C-101B-9397-08002B2CF9AE}" pid="7" name="APRALegislation">
    <vt:lpwstr/>
  </property>
  <property fmtid="{D5CDD505-2E9C-101B-9397-08002B2CF9AE}" pid="8" name="APRAYear">
    <vt:lpwstr>230;#2021|0e1e43df-81ea-47af-89d8-970d5d5956ff</vt:lpwstr>
  </property>
  <property fmtid="{D5CDD505-2E9C-101B-9397-08002B2CF9AE}" pid="9" name="APRAIndustry">
    <vt:lpwstr/>
  </property>
  <property fmtid="{D5CDD505-2E9C-101B-9397-08002B2CF9AE}" pid="10" name="ContentTypeId">
    <vt:lpwstr>0x0101008CA7A4F8331B45C7B0D3158B4994D0CA0200577EC0F5A1FBFC498F9A8436B963F8A6</vt:lpwstr>
  </property>
  <property fmtid="{D5CDD505-2E9C-101B-9397-08002B2CF9AE}" pid="11" name="_dlc_DocIdItemGuid">
    <vt:lpwstr>07b9bf5d-6268-4ba5-aef1-f82939574f9b</vt:lpwstr>
  </property>
  <property fmtid="{D5CDD505-2E9C-101B-9397-08002B2CF9AE}" pid="12" name="APRAPRSG">
    <vt:lpwstr/>
  </property>
  <property fmtid="{D5CDD505-2E9C-101B-9397-08002B2CF9AE}" pid="13" name="IsLocked">
    <vt:lpwstr>False</vt:lpwstr>
  </property>
  <property fmtid="{D5CDD505-2E9C-101B-9397-08002B2CF9AE}" pid="14" name="APRAStatus">
    <vt:lpwstr>19;#Final|84d6b2d0-8498-4d62-bf46-bab38babbe9e</vt:lpwstr>
  </property>
  <property fmtid="{D5CDD505-2E9C-101B-9397-08002B2CF9AE}" pid="15" name="PM_ProtectiveMarkingImage_Header">
    <vt:lpwstr>C:\Program Files\Common Files\janusNET Shared\janusSEAL\Images\DocumentSlashBlue.png</vt:lpwstr>
  </property>
  <property fmtid="{D5CDD505-2E9C-101B-9397-08002B2CF9AE}" pid="16" name="PM_Caveats_Count">
    <vt:lpwstr>0</vt:lpwstr>
  </property>
  <property fmtid="{D5CDD505-2E9C-101B-9397-08002B2CF9AE}" pid="17" name="PM_DisplayValueSecClassificationWithQualifier">
    <vt:lpwstr>OFFICIAL</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InsertionValue">
    <vt:lpwstr>OFFICIAL</vt:lpwstr>
  </property>
  <property fmtid="{D5CDD505-2E9C-101B-9397-08002B2CF9AE}" pid="21" name="PM_Originating_FileId">
    <vt:lpwstr>FCA14401CA094B1D8ED563477CD7EDDB</vt:lpwstr>
  </property>
  <property fmtid="{D5CDD505-2E9C-101B-9397-08002B2CF9AE}" pid="22" name="PM_ProtectiveMarkingValue_Footer">
    <vt:lpwstr>OFFICIAL</vt:lpwstr>
  </property>
  <property fmtid="{D5CDD505-2E9C-101B-9397-08002B2CF9AE}" pid="23" name="PM_Originator_Hash_SHA1">
    <vt:lpwstr>C3AD57350F36D8E1BD75F8F67CB06D435C9C43CA</vt:lpwstr>
  </property>
  <property fmtid="{D5CDD505-2E9C-101B-9397-08002B2CF9AE}" pid="24" name="PM_OriginationTimeStamp">
    <vt:lpwstr>2021-04-28T00:15:59Z</vt:lpwstr>
  </property>
  <property fmtid="{D5CDD505-2E9C-101B-9397-08002B2CF9AE}" pid="25" name="PM_ProtectiveMarkingValue_Header">
    <vt:lpwstr>OFFICIAL</vt:lpwstr>
  </property>
  <property fmtid="{D5CDD505-2E9C-101B-9397-08002B2CF9AE}" pid="26" name="PM_ProtectiveMarkingImage_Footer">
    <vt:lpwstr>C:\Program Files\Common Files\janusNET Shared\janusSEAL\Images\DocumentSlashBlue.png</vt:lpwstr>
  </property>
  <property fmtid="{D5CDD505-2E9C-101B-9397-08002B2CF9AE}" pid="27" name="PM_Namespace">
    <vt:lpwstr>gov.au</vt:lpwstr>
  </property>
  <property fmtid="{D5CDD505-2E9C-101B-9397-08002B2CF9AE}" pid="28" name="PM_Version">
    <vt:lpwstr>2018.3</vt:lpwstr>
  </property>
  <property fmtid="{D5CDD505-2E9C-101B-9397-08002B2CF9AE}" pid="29" name="PM_Note">
    <vt:lpwstr/>
  </property>
  <property fmtid="{D5CDD505-2E9C-101B-9397-08002B2CF9AE}" pid="30" name="PM_Markers">
    <vt:lpwstr/>
  </property>
  <property fmtid="{D5CDD505-2E9C-101B-9397-08002B2CF9AE}" pid="31" name="PM_Hash_Version">
    <vt:lpwstr>2018.0</vt:lpwstr>
  </property>
  <property fmtid="{D5CDD505-2E9C-101B-9397-08002B2CF9AE}" pid="32" name="PM_Hash_Salt_Prev">
    <vt:lpwstr>C78A567DD7058E4489D4BDBAF33B54CF</vt:lpwstr>
  </property>
  <property fmtid="{D5CDD505-2E9C-101B-9397-08002B2CF9AE}" pid="33" name="PM_Hash_Salt">
    <vt:lpwstr>B956CE4CB008C6DF38E0E953400D0570</vt:lpwstr>
  </property>
  <property fmtid="{D5CDD505-2E9C-101B-9397-08002B2CF9AE}" pid="34" name="PM_Hash_SHA1">
    <vt:lpwstr>B02F5A0778FC06D8537A799B8CBA25B91B3716C9</vt:lpwstr>
  </property>
  <property fmtid="{D5CDD505-2E9C-101B-9397-08002B2CF9AE}" pid="35" name="PM_SecurityClassification_Prev">
    <vt:lpwstr>OFFICIAL</vt:lpwstr>
  </property>
  <property fmtid="{D5CDD505-2E9C-101B-9397-08002B2CF9AE}" pid="36" name="PM_Qualifier_Prev">
    <vt:lpwstr/>
  </property>
  <property fmtid="{D5CDD505-2E9C-101B-9397-08002B2CF9AE}" pid="37" name="IT system type">
    <vt:lpwstr/>
  </property>
  <property fmtid="{D5CDD505-2E9C-101B-9397-08002B2CF9AE}" pid="38" name="APRACategory">
    <vt:lpwstr/>
  </property>
  <property fmtid="{D5CDD505-2E9C-101B-9397-08002B2CF9AE}" pid="39" name="APRADocumentType">
    <vt:lpwstr>58;#Legal instrument|71fd6ed3-d6d6-4975-ba99-bfe45802e734</vt:lpwstr>
  </property>
  <property fmtid="{D5CDD505-2E9C-101B-9397-08002B2CF9AE}" pid="40" name="APRAActivity">
    <vt:lpwstr>109;#Statutory instrument|fe68928c-5a9c-4caf-bc8c-6c18cedcb17f</vt:lpwstr>
  </property>
  <property fmtid="{D5CDD505-2E9C-101B-9397-08002B2CF9AE}" pid="41" name="APRAEntityAdviceSupport">
    <vt:lpwstr/>
  </property>
  <property fmtid="{D5CDD505-2E9C-101B-9397-08002B2CF9AE}" pid="42" name="APRAExternalOrganisation">
    <vt:lpwstr/>
  </property>
  <property fmtid="{D5CDD505-2E9C-101B-9397-08002B2CF9AE}" pid="43" name="APRAIRTR">
    <vt:lpwstr/>
  </property>
  <property fmtid="{D5CDD505-2E9C-101B-9397-08002B2CF9AE}" pid="44" name="RecordPoint_WorkflowType">
    <vt:lpwstr>ActiveSubmitStub</vt:lpwstr>
  </property>
  <property fmtid="{D5CDD505-2E9C-101B-9397-08002B2CF9AE}" pid="45" name="RecordPoint_ActiveItemSiteId">
    <vt:lpwstr>{88691c01-5bbb-4215-adc0-66cb7065b0af}</vt:lpwstr>
  </property>
  <property fmtid="{D5CDD505-2E9C-101B-9397-08002B2CF9AE}" pid="46" name="RecordPoint_ActiveItemListId">
    <vt:lpwstr>{0e59e171-09d8-4401-800a-327154450cb3}</vt:lpwstr>
  </property>
  <property fmtid="{D5CDD505-2E9C-101B-9397-08002B2CF9AE}" pid="47" name="RecordPoint_ActiveItemUniqueId">
    <vt:lpwstr>{07b9bf5d-6268-4ba5-aef1-f82939574f9b}</vt:lpwstr>
  </property>
  <property fmtid="{D5CDD505-2E9C-101B-9397-08002B2CF9AE}" pid="48" name="RecordPoint_ActiveItemWebId">
    <vt:lpwstr>{75a71c27-8d66-4282-ae60-1bfc22a83be1}</vt:lpwstr>
  </property>
</Properties>
</file>