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434B" w14:textId="77777777" w:rsidR="0067799B" w:rsidRDefault="0067799B">
      <w:pPr>
        <w:pStyle w:val="BodyText"/>
        <w:spacing w:before="6" w:after="1"/>
        <w:rPr>
          <w:rFonts w:ascii="Times New Roman"/>
          <w:sz w:val="27"/>
        </w:rPr>
      </w:pPr>
    </w:p>
    <w:p w14:paraId="5039434C" w14:textId="77777777" w:rsidR="0067799B" w:rsidRDefault="00692102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394383" wp14:editId="50394384">
            <wp:extent cx="1416123" cy="11018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9434D" w14:textId="77777777" w:rsidR="0067799B" w:rsidRDefault="0067799B">
      <w:pPr>
        <w:pStyle w:val="BodyText"/>
        <w:spacing w:before="5"/>
        <w:rPr>
          <w:rFonts w:ascii="Times New Roman"/>
          <w:sz w:val="23"/>
        </w:rPr>
      </w:pPr>
    </w:p>
    <w:p w14:paraId="5039434E" w14:textId="77777777" w:rsidR="0067799B" w:rsidRDefault="00692102">
      <w:pPr>
        <w:spacing w:before="90"/>
        <w:ind w:left="140"/>
        <w:rPr>
          <w:b/>
          <w:sz w:val="32"/>
        </w:rPr>
      </w:pPr>
      <w:r>
        <w:rPr>
          <w:b/>
          <w:sz w:val="32"/>
        </w:rPr>
        <w:t>Approval to hold the transferring business of a financial sector company No. 1 of 2021</w:t>
      </w:r>
    </w:p>
    <w:p w14:paraId="5039434F" w14:textId="77777777" w:rsidR="0067799B" w:rsidRDefault="0067799B">
      <w:pPr>
        <w:pStyle w:val="BodyText"/>
        <w:spacing w:before="5"/>
        <w:rPr>
          <w:b/>
          <w:sz w:val="31"/>
        </w:rPr>
      </w:pPr>
    </w:p>
    <w:p w14:paraId="50394350" w14:textId="77777777" w:rsidR="0067799B" w:rsidRDefault="00692102">
      <w:pPr>
        <w:ind w:left="140"/>
        <w:rPr>
          <w:b/>
          <w:i/>
          <w:sz w:val="32"/>
        </w:rPr>
      </w:pPr>
      <w:r>
        <w:rPr>
          <w:b/>
          <w:i/>
          <w:sz w:val="32"/>
        </w:rPr>
        <w:t>Financial Sector (Shareholdings) Act 1998</w:t>
      </w:r>
    </w:p>
    <w:p w14:paraId="50394351" w14:textId="77777777" w:rsidR="0067799B" w:rsidRDefault="00692102">
      <w:pPr>
        <w:pStyle w:val="BodyText"/>
        <w:spacing w:before="9"/>
        <w:rPr>
          <w:b/>
          <w:i/>
          <w:sz w:val="21"/>
        </w:rPr>
      </w:pPr>
      <w:r>
        <w:pict w14:anchorId="50394385">
          <v:group id="_x0000_s1026" style="position:absolute;margin-left:72.5pt;margin-top:14.5pt;width:446.9pt;height:1.5pt;z-index:-251658240;mso-wrap-distance-left:0;mso-wrap-distance-right:0;mso-position-horizontal-relative:page" coordorigin="1450,290" coordsize="8938,30">
            <v:rect id="_x0000_s1028" style="position:absolute;left:1450;top:290;width:8933;height:21" fillcolor="#7e7e7e" stroked="f"/>
            <v:rect id="_x0000_s1027" style="position:absolute;left:1455;top:299;width:8933;height:21" fillcolor="#d3d0c7" stroked="f"/>
            <w10:wrap type="topAndBottom" anchorx="page"/>
          </v:group>
        </w:pict>
      </w:r>
    </w:p>
    <w:p w14:paraId="50394352" w14:textId="77777777" w:rsidR="0067799B" w:rsidRDefault="0067799B">
      <w:pPr>
        <w:pStyle w:val="BodyText"/>
        <w:spacing w:before="3"/>
        <w:rPr>
          <w:b/>
          <w:i/>
          <w:sz w:val="39"/>
        </w:rPr>
      </w:pPr>
    </w:p>
    <w:p w14:paraId="50394353" w14:textId="77777777" w:rsidR="0067799B" w:rsidRDefault="00692102">
      <w:pPr>
        <w:pStyle w:val="Heading1"/>
        <w:tabs>
          <w:tab w:val="left" w:pos="707"/>
        </w:tabs>
        <w:spacing w:line="480" w:lineRule="auto"/>
        <w:ind w:right="2046"/>
      </w:pPr>
      <w:r>
        <w:t>To:</w:t>
      </w:r>
      <w:r>
        <w:tab/>
        <w:t>Teachers Mutual Bank Limited ABN 30 087 650 459 (the applicant) SINCE:</w:t>
      </w:r>
    </w:p>
    <w:p w14:paraId="50394354" w14:textId="77777777" w:rsidR="0067799B" w:rsidRDefault="00692102">
      <w:pPr>
        <w:pStyle w:val="ListParagraph"/>
        <w:numPr>
          <w:ilvl w:val="0"/>
          <w:numId w:val="3"/>
        </w:numPr>
        <w:tabs>
          <w:tab w:val="left" w:pos="851"/>
        </w:tabs>
        <w:spacing w:before="1"/>
        <w:ind w:right="114"/>
        <w:jc w:val="both"/>
      </w:pPr>
      <w:r>
        <w:t xml:space="preserve">the applicant has applied to the Treasurer under subsection 13(1) of the </w:t>
      </w:r>
      <w:r>
        <w:rPr>
          <w:i/>
        </w:rPr>
        <w:t xml:space="preserve">Financial Sector (Shareholdings) Act 1998 </w:t>
      </w:r>
      <w:r>
        <w:t>(the Act) for approval to hold a stake of more than 20% in Firefighters &amp; Affiliate Credit Co-operative Limited ABN 68 087 651 429 (the finan</w:t>
      </w:r>
      <w:r>
        <w:t>cial sector</w:t>
      </w:r>
      <w:r>
        <w:rPr>
          <w:spacing w:val="-3"/>
        </w:rPr>
        <w:t xml:space="preserve"> </w:t>
      </w:r>
      <w:r>
        <w:t>company);</w:t>
      </w:r>
    </w:p>
    <w:p w14:paraId="50394355" w14:textId="77777777" w:rsidR="0067799B" w:rsidRDefault="0067799B">
      <w:pPr>
        <w:pStyle w:val="BodyText"/>
        <w:rPr>
          <w:sz w:val="22"/>
        </w:rPr>
      </w:pPr>
    </w:p>
    <w:p w14:paraId="50394356" w14:textId="77777777" w:rsidR="0067799B" w:rsidRDefault="00692102">
      <w:pPr>
        <w:pStyle w:val="ListParagraph"/>
        <w:numPr>
          <w:ilvl w:val="0"/>
          <w:numId w:val="3"/>
        </w:numPr>
        <w:tabs>
          <w:tab w:val="left" w:pos="851"/>
        </w:tabs>
        <w:spacing w:before="1"/>
        <w:ind w:right="115"/>
        <w:jc w:val="both"/>
      </w:pPr>
      <w:r>
        <w:t xml:space="preserve">100% of the gross assets and liabilities of the financial sector company are to be transferred to the applicant as a voluntary transfer of business under the </w:t>
      </w:r>
      <w:r>
        <w:rPr>
          <w:i/>
        </w:rPr>
        <w:t>Financial Sector (Transfer and Restructure) Act 1999</w:t>
      </w:r>
      <w:r>
        <w:t>;</w:t>
      </w:r>
      <w:r>
        <w:rPr>
          <w:spacing w:val="-7"/>
        </w:rPr>
        <w:t xml:space="preserve"> </w:t>
      </w:r>
      <w:r>
        <w:t>and</w:t>
      </w:r>
    </w:p>
    <w:p w14:paraId="50394357" w14:textId="77777777" w:rsidR="0067799B" w:rsidRDefault="0067799B">
      <w:pPr>
        <w:pStyle w:val="BodyText"/>
        <w:spacing w:before="9"/>
        <w:rPr>
          <w:sz w:val="21"/>
        </w:rPr>
      </w:pPr>
    </w:p>
    <w:p w14:paraId="50394358" w14:textId="77777777" w:rsidR="0067799B" w:rsidRDefault="00692102">
      <w:pPr>
        <w:pStyle w:val="Heading1"/>
        <w:numPr>
          <w:ilvl w:val="0"/>
          <w:numId w:val="3"/>
        </w:numPr>
        <w:tabs>
          <w:tab w:val="left" w:pos="851"/>
        </w:tabs>
        <w:spacing w:line="242" w:lineRule="auto"/>
        <w:ind w:right="114"/>
        <w:jc w:val="both"/>
      </w:pPr>
      <w:r>
        <w:t>I am satisfied t</w:t>
      </w:r>
      <w:r>
        <w:t>hat it is in the national interest to approve the applicant holding a stake of more than 20% in the financial sector</w:t>
      </w:r>
      <w:r>
        <w:rPr>
          <w:spacing w:val="-5"/>
        </w:rPr>
        <w:t xml:space="preserve"> </w:t>
      </w:r>
      <w:r>
        <w:t>company,</w:t>
      </w:r>
    </w:p>
    <w:p w14:paraId="50394359" w14:textId="77777777" w:rsidR="0067799B" w:rsidRDefault="0067799B">
      <w:pPr>
        <w:pStyle w:val="BodyText"/>
        <w:rPr>
          <w:sz w:val="31"/>
        </w:rPr>
      </w:pPr>
    </w:p>
    <w:p w14:paraId="5039435A" w14:textId="77777777" w:rsidR="0067799B" w:rsidRDefault="00692102">
      <w:pPr>
        <w:ind w:left="140"/>
      </w:pPr>
      <w:r>
        <w:t xml:space="preserve">I, Lara Douglas, a delegate of the Treasurer, under paragraph 14(1)(a) of the Act, APPROVE the applicant holding a stake of 100% </w:t>
      </w:r>
      <w:r>
        <w:t>in the financial sector company.</w:t>
      </w:r>
    </w:p>
    <w:p w14:paraId="5039435B" w14:textId="77777777" w:rsidR="0067799B" w:rsidRDefault="0067799B">
      <w:pPr>
        <w:pStyle w:val="BodyText"/>
        <w:spacing w:before="10"/>
        <w:rPr>
          <w:sz w:val="21"/>
        </w:rPr>
      </w:pPr>
    </w:p>
    <w:p w14:paraId="5039435C" w14:textId="2361D8B2" w:rsidR="0067799B" w:rsidRDefault="00692102">
      <w:pPr>
        <w:spacing w:line="482" w:lineRule="auto"/>
        <w:ind w:left="140" w:right="1132"/>
      </w:pPr>
      <w:r>
        <w:t>This instrument takes effect on the day it is made and remains in force indefinitely. Dated: 12 February 2021</w:t>
      </w:r>
    </w:p>
    <w:p w14:paraId="5039435F" w14:textId="78A47AD6" w:rsidR="0067799B" w:rsidRDefault="00692102" w:rsidP="00692102">
      <w:pPr>
        <w:spacing w:line="482" w:lineRule="auto"/>
        <w:ind w:left="140" w:right="1132"/>
        <w:rPr>
          <w:sz w:val="23"/>
        </w:rPr>
      </w:pPr>
      <w:r>
        <w:t>[Signed]</w:t>
      </w:r>
    </w:p>
    <w:p w14:paraId="50394360" w14:textId="77777777" w:rsidR="0067799B" w:rsidRDefault="00692102">
      <w:pPr>
        <w:ind w:left="140" w:right="7417"/>
      </w:pPr>
      <w:r>
        <w:t>L</w:t>
      </w:r>
      <w:r>
        <w:t>ara Douglas General Manager Banking Division</w:t>
      </w:r>
    </w:p>
    <w:p w14:paraId="50394361" w14:textId="77777777" w:rsidR="0067799B" w:rsidRDefault="0067799B">
      <w:pPr>
        <w:pStyle w:val="BodyText"/>
        <w:rPr>
          <w:sz w:val="24"/>
        </w:rPr>
      </w:pPr>
    </w:p>
    <w:p w14:paraId="50394362" w14:textId="77777777" w:rsidR="0067799B" w:rsidRDefault="00692102">
      <w:pPr>
        <w:spacing w:before="206"/>
        <w:ind w:left="140"/>
        <w:rPr>
          <w:b/>
        </w:rPr>
      </w:pPr>
      <w:r>
        <w:rPr>
          <w:b/>
        </w:rPr>
        <w:t>Interpretation</w:t>
      </w:r>
    </w:p>
    <w:p w14:paraId="50394363" w14:textId="77777777" w:rsidR="0067799B" w:rsidRDefault="00692102">
      <w:pPr>
        <w:pStyle w:val="Heading1"/>
        <w:spacing w:before="119"/>
      </w:pPr>
      <w:r>
        <w:t>In this instrument:</w:t>
      </w:r>
    </w:p>
    <w:p w14:paraId="50394364" w14:textId="77777777" w:rsidR="0067799B" w:rsidRDefault="00692102">
      <w:pPr>
        <w:spacing w:before="120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50394365" w14:textId="77777777" w:rsidR="0067799B" w:rsidRDefault="0067799B">
      <w:pPr>
        <w:sectPr w:rsidR="0067799B">
          <w:type w:val="continuous"/>
          <w:pgSz w:w="11910" w:h="16840"/>
          <w:pgMar w:top="1580" w:right="1320" w:bottom="280" w:left="1300" w:header="720" w:footer="720" w:gutter="0"/>
          <w:cols w:space="720"/>
        </w:sectPr>
      </w:pPr>
    </w:p>
    <w:p w14:paraId="50394366" w14:textId="54CB3502" w:rsidR="0067799B" w:rsidRDefault="0067799B">
      <w:pPr>
        <w:pStyle w:val="BodyText"/>
        <w:ind w:left="5708"/>
        <w:rPr>
          <w:noProof/>
          <w:sz w:val="20"/>
        </w:rPr>
      </w:pPr>
    </w:p>
    <w:p w14:paraId="12BD81DE" w14:textId="5AEE809A" w:rsidR="00692102" w:rsidRDefault="00692102">
      <w:pPr>
        <w:pStyle w:val="BodyText"/>
        <w:ind w:left="5708"/>
        <w:rPr>
          <w:sz w:val="20"/>
        </w:rPr>
      </w:pPr>
    </w:p>
    <w:p w14:paraId="0AC87D99" w14:textId="48870E67" w:rsidR="00692102" w:rsidRDefault="00692102">
      <w:pPr>
        <w:pStyle w:val="BodyText"/>
        <w:ind w:left="5708"/>
        <w:rPr>
          <w:sz w:val="20"/>
        </w:rPr>
      </w:pPr>
    </w:p>
    <w:p w14:paraId="00406BA0" w14:textId="77777777" w:rsidR="00692102" w:rsidRDefault="00692102">
      <w:pPr>
        <w:pStyle w:val="BodyText"/>
        <w:ind w:left="5708"/>
        <w:rPr>
          <w:sz w:val="20"/>
        </w:rPr>
      </w:pPr>
      <w:bookmarkStart w:id="0" w:name="_GoBack"/>
      <w:bookmarkEnd w:id="0"/>
    </w:p>
    <w:p w14:paraId="50394367" w14:textId="77777777" w:rsidR="0067799B" w:rsidRDefault="00692102">
      <w:pPr>
        <w:pStyle w:val="Heading1"/>
        <w:spacing w:before="135"/>
        <w:jc w:val="both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50394368" w14:textId="77777777" w:rsidR="0067799B" w:rsidRDefault="0067799B">
      <w:pPr>
        <w:pStyle w:val="BodyText"/>
        <w:spacing w:before="7"/>
        <w:rPr>
          <w:sz w:val="20"/>
        </w:rPr>
      </w:pPr>
    </w:p>
    <w:p w14:paraId="50394369" w14:textId="77777777" w:rsidR="0067799B" w:rsidRDefault="00692102">
      <w:pPr>
        <w:spacing w:before="1"/>
        <w:ind w:left="140"/>
        <w:jc w:val="both"/>
        <w:rPr>
          <w:b/>
          <w:sz w:val="18"/>
        </w:rPr>
      </w:pPr>
      <w:r>
        <w:rPr>
          <w:b/>
          <w:sz w:val="18"/>
        </w:rPr>
        <w:t>Notes</w:t>
      </w:r>
    </w:p>
    <w:p w14:paraId="5039436A" w14:textId="77777777" w:rsidR="0067799B" w:rsidRDefault="0067799B">
      <w:pPr>
        <w:pStyle w:val="BodyText"/>
        <w:rPr>
          <w:b/>
          <w:sz w:val="20"/>
        </w:rPr>
      </w:pPr>
    </w:p>
    <w:p w14:paraId="5039436B" w14:textId="77777777" w:rsidR="0067799B" w:rsidRDefault="0067799B">
      <w:pPr>
        <w:pStyle w:val="BodyText"/>
        <w:spacing w:before="1"/>
        <w:rPr>
          <w:b/>
          <w:sz w:val="19"/>
        </w:rPr>
      </w:pPr>
    </w:p>
    <w:p w14:paraId="5039436C" w14:textId="77777777" w:rsidR="0067799B" w:rsidRDefault="00692102">
      <w:pPr>
        <w:pStyle w:val="BodyText"/>
        <w:spacing w:before="1"/>
        <w:ind w:left="140" w:right="116"/>
        <w:jc w:val="both"/>
      </w:pPr>
      <w:r>
        <w:rPr>
          <w:i/>
        </w:rPr>
        <w:t xml:space="preserve">Note 1 </w:t>
      </w:r>
      <w:r>
        <w:t>A person who holds an Approval under section 14 of the Act may apply to the Treasu</w:t>
      </w:r>
      <w:r>
        <w:t>rer under subsection 17(1) of the Act, to vary the percentage specified in the Approval.</w:t>
      </w:r>
    </w:p>
    <w:p w14:paraId="5039436D" w14:textId="77777777" w:rsidR="0067799B" w:rsidRDefault="0067799B">
      <w:pPr>
        <w:pStyle w:val="BodyText"/>
        <w:spacing w:before="8"/>
        <w:rPr>
          <w:sz w:val="20"/>
        </w:rPr>
      </w:pPr>
    </w:p>
    <w:p w14:paraId="5039436E" w14:textId="77777777" w:rsidR="0067799B" w:rsidRDefault="00692102">
      <w:pPr>
        <w:pStyle w:val="BodyText"/>
        <w:ind w:left="140" w:right="117"/>
        <w:jc w:val="both"/>
      </w:pPr>
      <w:r>
        <w:rPr>
          <w:i/>
        </w:rPr>
        <w:t xml:space="preserve">Note 2 </w:t>
      </w:r>
      <w:r>
        <w:t>Under subsection 17(6) of the Act, the Treasurer may, on the Treasurer’s own initiative, by written notice given to a person who holds an Approval under section 14, vary the percentage specified in the Approval if the Treasurer is satisfied it is in the na</w:t>
      </w:r>
      <w:r>
        <w:t>tional interest to do so.</w:t>
      </w:r>
    </w:p>
    <w:p w14:paraId="5039436F" w14:textId="77777777" w:rsidR="0067799B" w:rsidRDefault="0067799B">
      <w:pPr>
        <w:pStyle w:val="BodyText"/>
        <w:rPr>
          <w:sz w:val="21"/>
        </w:rPr>
      </w:pPr>
    </w:p>
    <w:p w14:paraId="50394370" w14:textId="77777777" w:rsidR="0067799B" w:rsidRDefault="00692102">
      <w:pPr>
        <w:pStyle w:val="BodyText"/>
        <w:spacing w:before="1"/>
        <w:ind w:left="140" w:right="117"/>
        <w:jc w:val="both"/>
      </w:pPr>
      <w:r>
        <w:rPr>
          <w:i/>
        </w:rPr>
        <w:t xml:space="preserve">Note 3 </w:t>
      </w:r>
      <w:r>
        <w:t>The circumstances in which the Treasurer may revoke a person’s Approval under section 14 are set out in subsection 18(1) of the Act.</w:t>
      </w:r>
    </w:p>
    <w:p w14:paraId="50394371" w14:textId="77777777" w:rsidR="0067799B" w:rsidRDefault="0067799B">
      <w:pPr>
        <w:pStyle w:val="BodyText"/>
        <w:spacing w:before="8"/>
        <w:rPr>
          <w:sz w:val="20"/>
        </w:rPr>
      </w:pPr>
    </w:p>
    <w:p w14:paraId="50394372" w14:textId="77777777" w:rsidR="0067799B" w:rsidRDefault="00692102">
      <w:pPr>
        <w:pStyle w:val="BodyText"/>
        <w:ind w:left="140" w:right="119"/>
        <w:jc w:val="both"/>
      </w:pPr>
      <w:r>
        <w:rPr>
          <w:i/>
        </w:rPr>
        <w:t xml:space="preserve">Note 4 </w:t>
      </w:r>
      <w:r>
        <w:t>Section 19 of the Act provides for flow-on approvals. If an Approval has been gra</w:t>
      </w:r>
      <w:r>
        <w:t xml:space="preserve">nted for the holding of a stake in a financial sector company and the financial sector company is a holding company for an </w:t>
      </w:r>
      <w:proofErr w:type="spellStart"/>
      <w:r>
        <w:t>authorised</w:t>
      </w:r>
      <w:proofErr w:type="spellEnd"/>
      <w:r>
        <w:t xml:space="preserve"> deposit-taking institution or an </w:t>
      </w:r>
      <w:proofErr w:type="spellStart"/>
      <w:r>
        <w:t>authorised</w:t>
      </w:r>
      <w:proofErr w:type="spellEnd"/>
      <w:r>
        <w:t xml:space="preserve"> insurance company, then an approval is taken to exist for the holding of a sta</w:t>
      </w:r>
      <w:r>
        <w:t>ke of equal value in each financial sector company that is a 100% subsidiary of the holding company.</w:t>
      </w:r>
    </w:p>
    <w:p w14:paraId="50394373" w14:textId="77777777" w:rsidR="0067799B" w:rsidRDefault="0067799B">
      <w:pPr>
        <w:pStyle w:val="BodyText"/>
        <w:spacing w:before="10"/>
        <w:rPr>
          <w:sz w:val="20"/>
        </w:rPr>
      </w:pPr>
    </w:p>
    <w:p w14:paraId="50394374" w14:textId="77777777" w:rsidR="0067799B" w:rsidRDefault="00692102">
      <w:pPr>
        <w:pStyle w:val="BodyText"/>
        <w:ind w:left="140" w:right="115"/>
        <w:jc w:val="both"/>
      </w:pPr>
      <w:r>
        <w:rPr>
          <w:i/>
        </w:rPr>
        <w:t xml:space="preserve">Note 5 </w:t>
      </w:r>
      <w:r>
        <w:t>Under section 14 of the Act, the Treasurer must give written notice of this Approval to the applicant and financial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</w:t>
      </w:r>
      <w:r>
        <w:t>is</w:t>
      </w:r>
      <w:r>
        <w:rPr>
          <w:spacing w:val="-4"/>
        </w:rPr>
        <w:t xml:space="preserve"> </w:t>
      </w:r>
      <w:r>
        <w:t>instrument will</w:t>
      </w:r>
      <w:r>
        <w:rPr>
          <w:spacing w:val="-3"/>
        </w:rPr>
        <w:t xml:space="preserve"> </w:t>
      </w:r>
      <w:r>
        <w:t>be registered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as a notifiable</w:t>
      </w:r>
      <w:r>
        <w:rPr>
          <w:spacing w:val="-1"/>
        </w:rPr>
        <w:t xml:space="preserve"> </w:t>
      </w:r>
      <w:r>
        <w:t>instrument.</w:t>
      </w:r>
    </w:p>
    <w:p w14:paraId="50394375" w14:textId="77777777" w:rsidR="0067799B" w:rsidRDefault="0067799B">
      <w:pPr>
        <w:pStyle w:val="BodyText"/>
        <w:rPr>
          <w:sz w:val="21"/>
        </w:rPr>
      </w:pPr>
    </w:p>
    <w:p w14:paraId="50394376" w14:textId="77777777" w:rsidR="0067799B" w:rsidRDefault="00692102">
      <w:pPr>
        <w:pStyle w:val="BodyText"/>
        <w:ind w:left="140" w:right="116"/>
        <w:jc w:val="both"/>
      </w:pPr>
      <w:r>
        <w:rPr>
          <w:i/>
        </w:rPr>
        <w:t xml:space="preserve">Note 6 </w:t>
      </w:r>
      <w:r>
        <w:t>Under section 11 of the Act, a person or 2 or more persons under an arrangement are guilty of an offence if the person(s) acquires shares in a company and the acquisition has the result, in relation to a financial sector company, that:</w:t>
      </w:r>
    </w:p>
    <w:p w14:paraId="50394377" w14:textId="77777777" w:rsidR="0067799B" w:rsidRDefault="0067799B">
      <w:pPr>
        <w:pStyle w:val="BodyText"/>
        <w:spacing w:before="9"/>
        <w:rPr>
          <w:sz w:val="20"/>
        </w:rPr>
      </w:pPr>
    </w:p>
    <w:p w14:paraId="50394378" w14:textId="77777777" w:rsidR="0067799B" w:rsidRDefault="00692102">
      <w:pPr>
        <w:pStyle w:val="ListParagraph"/>
        <w:numPr>
          <w:ilvl w:val="0"/>
          <w:numId w:val="2"/>
        </w:numPr>
        <w:tabs>
          <w:tab w:val="left" w:pos="351"/>
        </w:tabs>
        <w:spacing w:before="1"/>
        <w:ind w:hanging="210"/>
        <w:jc w:val="both"/>
        <w:rPr>
          <w:sz w:val="18"/>
        </w:rPr>
      </w:pPr>
      <w:r>
        <w:rPr>
          <w:sz w:val="18"/>
        </w:rPr>
        <w:t>an unacceptable sha</w:t>
      </w:r>
      <w:r>
        <w:rPr>
          <w:sz w:val="18"/>
        </w:rPr>
        <w:t>reholding situation comes into existence;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</w:p>
    <w:p w14:paraId="50394379" w14:textId="77777777" w:rsidR="0067799B" w:rsidRDefault="0067799B">
      <w:pPr>
        <w:pStyle w:val="BodyText"/>
        <w:spacing w:before="10"/>
        <w:rPr>
          <w:sz w:val="20"/>
        </w:rPr>
      </w:pPr>
    </w:p>
    <w:p w14:paraId="5039437A" w14:textId="77777777" w:rsidR="0067799B" w:rsidRDefault="00692102">
      <w:pPr>
        <w:pStyle w:val="ListParagraph"/>
        <w:numPr>
          <w:ilvl w:val="0"/>
          <w:numId w:val="2"/>
        </w:numPr>
        <w:tabs>
          <w:tab w:val="left" w:pos="398"/>
        </w:tabs>
        <w:ind w:left="140" w:right="118" w:firstLine="0"/>
        <w:jc w:val="both"/>
        <w:rPr>
          <w:sz w:val="18"/>
        </w:rPr>
      </w:pPr>
      <w:r>
        <w:rPr>
          <w:sz w:val="18"/>
        </w:rPr>
        <w:t>if an unacceptable shareholding situation already exists in relation to the company and in relation to a person there is an increase in the stake held by the person in the</w:t>
      </w:r>
      <w:r>
        <w:rPr>
          <w:spacing w:val="-18"/>
          <w:sz w:val="18"/>
        </w:rPr>
        <w:t xml:space="preserve"> </w:t>
      </w:r>
      <w:r>
        <w:rPr>
          <w:sz w:val="18"/>
        </w:rPr>
        <w:t>company;</w:t>
      </w:r>
    </w:p>
    <w:p w14:paraId="5039437B" w14:textId="77777777" w:rsidR="0067799B" w:rsidRDefault="0067799B">
      <w:pPr>
        <w:pStyle w:val="BodyText"/>
        <w:spacing w:before="9"/>
        <w:rPr>
          <w:sz w:val="20"/>
        </w:rPr>
      </w:pPr>
    </w:p>
    <w:p w14:paraId="5039437C" w14:textId="77777777" w:rsidR="0067799B" w:rsidRDefault="00692102">
      <w:pPr>
        <w:pStyle w:val="BodyText"/>
        <w:ind w:left="140" w:right="116"/>
        <w:jc w:val="both"/>
      </w:pPr>
      <w:r>
        <w:t>and the person(s) was reckless as to whether the acquisition would have that result. A maximum penalty of 400 penalty units applies or by virtue of subsection 4</w:t>
      </w:r>
      <w:proofErr w:type="gramStart"/>
      <w:r>
        <w:t>B(</w:t>
      </w:r>
      <w:proofErr w:type="gramEnd"/>
      <w:r>
        <w:t>3) of the Crimes Act 1914, in the case of a body corporate, a penalty not exceeding 2,000 pena</w:t>
      </w:r>
      <w:r>
        <w:t>lty units. By virtue of section 39 of the Act, an offence against section 11 is an indictable offence.</w:t>
      </w:r>
    </w:p>
    <w:p w14:paraId="5039437D" w14:textId="77777777" w:rsidR="0067799B" w:rsidRDefault="0067799B">
      <w:pPr>
        <w:pStyle w:val="BodyText"/>
        <w:rPr>
          <w:sz w:val="21"/>
        </w:rPr>
      </w:pPr>
    </w:p>
    <w:p w14:paraId="5039437E" w14:textId="77777777" w:rsidR="0067799B" w:rsidRDefault="00692102">
      <w:pPr>
        <w:pStyle w:val="BodyText"/>
        <w:ind w:left="140" w:right="116"/>
        <w:jc w:val="both"/>
      </w:pPr>
      <w:r>
        <w:rPr>
          <w:i/>
        </w:rPr>
        <w:t xml:space="preserve">Note 7 </w:t>
      </w:r>
      <w:r>
        <w:t>Under subsection 32(3) of the Act, if a person has engaged in or is proposing to engage in any conduct in contravention of a condition to which a</w:t>
      </w:r>
      <w:r>
        <w:t>n approval under section 14 is subject, the Federal Court may, on the application of the Treasurer, grant an injunction:</w:t>
      </w:r>
    </w:p>
    <w:p w14:paraId="5039437F" w14:textId="77777777" w:rsidR="0067799B" w:rsidRDefault="0067799B">
      <w:pPr>
        <w:pStyle w:val="BodyText"/>
        <w:spacing w:before="9"/>
        <w:rPr>
          <w:sz w:val="20"/>
        </w:rPr>
      </w:pPr>
    </w:p>
    <w:p w14:paraId="50394380" w14:textId="77777777" w:rsidR="0067799B" w:rsidRDefault="00692102">
      <w:pPr>
        <w:pStyle w:val="ListParagraph"/>
        <w:numPr>
          <w:ilvl w:val="0"/>
          <w:numId w:val="1"/>
        </w:numPr>
        <w:tabs>
          <w:tab w:val="left" w:pos="351"/>
        </w:tabs>
        <w:ind w:hanging="210"/>
        <w:jc w:val="both"/>
        <w:rPr>
          <w:sz w:val="18"/>
        </w:rPr>
      </w:pPr>
      <w:r>
        <w:rPr>
          <w:sz w:val="18"/>
        </w:rPr>
        <w:t>restraining the person engaging in the conduct;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</w:p>
    <w:p w14:paraId="50394381" w14:textId="77777777" w:rsidR="0067799B" w:rsidRDefault="0067799B">
      <w:pPr>
        <w:pStyle w:val="BodyText"/>
        <w:spacing w:before="11"/>
        <w:rPr>
          <w:sz w:val="20"/>
        </w:rPr>
      </w:pPr>
    </w:p>
    <w:p w14:paraId="50394382" w14:textId="77777777" w:rsidR="0067799B" w:rsidRDefault="00692102">
      <w:pPr>
        <w:pStyle w:val="ListParagraph"/>
        <w:numPr>
          <w:ilvl w:val="0"/>
          <w:numId w:val="1"/>
        </w:numPr>
        <w:tabs>
          <w:tab w:val="left" w:pos="391"/>
        </w:tabs>
        <w:ind w:left="390" w:hanging="250"/>
        <w:jc w:val="both"/>
        <w:rPr>
          <w:sz w:val="18"/>
        </w:rPr>
      </w:pPr>
      <w:r>
        <w:rPr>
          <w:sz w:val="18"/>
        </w:rPr>
        <w:t>if in the Court’s opinion, it is desirable to do so, requiring the person to do</w:t>
      </w:r>
      <w:r>
        <w:rPr>
          <w:spacing w:val="-19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omething.</w:t>
      </w:r>
    </w:p>
    <w:sectPr w:rsidR="0067799B">
      <w:pgSz w:w="11910" w:h="16840"/>
      <w:pgMar w:top="132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5A49" w14:textId="77777777" w:rsidR="00692102" w:rsidRDefault="00692102" w:rsidP="00692102">
      <w:r>
        <w:separator/>
      </w:r>
    </w:p>
  </w:endnote>
  <w:endnote w:type="continuationSeparator" w:id="0">
    <w:p w14:paraId="4857E816" w14:textId="77777777" w:rsidR="00692102" w:rsidRDefault="00692102" w:rsidP="0069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7A0BD" w14:textId="77777777" w:rsidR="00692102" w:rsidRDefault="00692102" w:rsidP="00692102">
      <w:r>
        <w:separator/>
      </w:r>
    </w:p>
  </w:footnote>
  <w:footnote w:type="continuationSeparator" w:id="0">
    <w:p w14:paraId="4EE69DA8" w14:textId="77777777" w:rsidR="00692102" w:rsidRDefault="00692102" w:rsidP="0069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74A"/>
    <w:multiLevelType w:val="hybridMultilevel"/>
    <w:tmpl w:val="7FA41CDE"/>
    <w:lvl w:ilvl="0" w:tplc="DEFC0CE8">
      <w:start w:val="1"/>
      <w:numFmt w:val="lowerRoman"/>
      <w:lvlText w:val="(%1)"/>
      <w:lvlJc w:val="left"/>
      <w:pPr>
        <w:ind w:left="350" w:hanging="211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78306D80">
      <w:numFmt w:val="bullet"/>
      <w:lvlText w:val="•"/>
      <w:lvlJc w:val="left"/>
      <w:pPr>
        <w:ind w:left="1252" w:hanging="211"/>
      </w:pPr>
      <w:rPr>
        <w:rFonts w:hint="default"/>
        <w:lang w:val="en-US" w:eastAsia="en-US" w:bidi="en-US"/>
      </w:rPr>
    </w:lvl>
    <w:lvl w:ilvl="2" w:tplc="5E101CBA">
      <w:numFmt w:val="bullet"/>
      <w:lvlText w:val="•"/>
      <w:lvlJc w:val="left"/>
      <w:pPr>
        <w:ind w:left="2145" w:hanging="211"/>
      </w:pPr>
      <w:rPr>
        <w:rFonts w:hint="default"/>
        <w:lang w:val="en-US" w:eastAsia="en-US" w:bidi="en-US"/>
      </w:rPr>
    </w:lvl>
    <w:lvl w:ilvl="3" w:tplc="8AFEAB06">
      <w:numFmt w:val="bullet"/>
      <w:lvlText w:val="•"/>
      <w:lvlJc w:val="left"/>
      <w:pPr>
        <w:ind w:left="3037" w:hanging="211"/>
      </w:pPr>
      <w:rPr>
        <w:rFonts w:hint="default"/>
        <w:lang w:val="en-US" w:eastAsia="en-US" w:bidi="en-US"/>
      </w:rPr>
    </w:lvl>
    <w:lvl w:ilvl="4" w:tplc="B9AA2C1C">
      <w:numFmt w:val="bullet"/>
      <w:lvlText w:val="•"/>
      <w:lvlJc w:val="left"/>
      <w:pPr>
        <w:ind w:left="3930" w:hanging="211"/>
      </w:pPr>
      <w:rPr>
        <w:rFonts w:hint="default"/>
        <w:lang w:val="en-US" w:eastAsia="en-US" w:bidi="en-US"/>
      </w:rPr>
    </w:lvl>
    <w:lvl w:ilvl="5" w:tplc="7DE096DC">
      <w:numFmt w:val="bullet"/>
      <w:lvlText w:val="•"/>
      <w:lvlJc w:val="left"/>
      <w:pPr>
        <w:ind w:left="4822" w:hanging="211"/>
      </w:pPr>
      <w:rPr>
        <w:rFonts w:hint="default"/>
        <w:lang w:val="en-US" w:eastAsia="en-US" w:bidi="en-US"/>
      </w:rPr>
    </w:lvl>
    <w:lvl w:ilvl="6" w:tplc="E37CA788">
      <w:numFmt w:val="bullet"/>
      <w:lvlText w:val="•"/>
      <w:lvlJc w:val="left"/>
      <w:pPr>
        <w:ind w:left="5715" w:hanging="211"/>
      </w:pPr>
      <w:rPr>
        <w:rFonts w:hint="default"/>
        <w:lang w:val="en-US" w:eastAsia="en-US" w:bidi="en-US"/>
      </w:rPr>
    </w:lvl>
    <w:lvl w:ilvl="7" w:tplc="7B62DEE4">
      <w:numFmt w:val="bullet"/>
      <w:lvlText w:val="•"/>
      <w:lvlJc w:val="left"/>
      <w:pPr>
        <w:ind w:left="6607" w:hanging="211"/>
      </w:pPr>
      <w:rPr>
        <w:rFonts w:hint="default"/>
        <w:lang w:val="en-US" w:eastAsia="en-US" w:bidi="en-US"/>
      </w:rPr>
    </w:lvl>
    <w:lvl w:ilvl="8" w:tplc="89308CE6">
      <w:numFmt w:val="bullet"/>
      <w:lvlText w:val="•"/>
      <w:lvlJc w:val="left"/>
      <w:pPr>
        <w:ind w:left="7500" w:hanging="211"/>
      </w:pPr>
      <w:rPr>
        <w:rFonts w:hint="default"/>
        <w:lang w:val="en-US" w:eastAsia="en-US" w:bidi="en-US"/>
      </w:rPr>
    </w:lvl>
  </w:abstractNum>
  <w:abstractNum w:abstractNumId="1" w15:restartNumberingAfterBreak="0">
    <w:nsid w:val="3FD749AE"/>
    <w:multiLevelType w:val="hybridMultilevel"/>
    <w:tmpl w:val="C1DA4402"/>
    <w:lvl w:ilvl="0" w:tplc="8FC4E2E4">
      <w:start w:val="1"/>
      <w:numFmt w:val="lowerRoman"/>
      <w:lvlText w:val="(%1)"/>
      <w:lvlJc w:val="left"/>
      <w:pPr>
        <w:ind w:left="350" w:hanging="211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F53C9A38">
      <w:numFmt w:val="bullet"/>
      <w:lvlText w:val="•"/>
      <w:lvlJc w:val="left"/>
      <w:pPr>
        <w:ind w:left="1252" w:hanging="211"/>
      </w:pPr>
      <w:rPr>
        <w:rFonts w:hint="default"/>
        <w:lang w:val="en-US" w:eastAsia="en-US" w:bidi="en-US"/>
      </w:rPr>
    </w:lvl>
    <w:lvl w:ilvl="2" w:tplc="F6166A70">
      <w:numFmt w:val="bullet"/>
      <w:lvlText w:val="•"/>
      <w:lvlJc w:val="left"/>
      <w:pPr>
        <w:ind w:left="2145" w:hanging="211"/>
      </w:pPr>
      <w:rPr>
        <w:rFonts w:hint="default"/>
        <w:lang w:val="en-US" w:eastAsia="en-US" w:bidi="en-US"/>
      </w:rPr>
    </w:lvl>
    <w:lvl w:ilvl="3" w:tplc="D49015AC">
      <w:numFmt w:val="bullet"/>
      <w:lvlText w:val="•"/>
      <w:lvlJc w:val="left"/>
      <w:pPr>
        <w:ind w:left="3037" w:hanging="211"/>
      </w:pPr>
      <w:rPr>
        <w:rFonts w:hint="default"/>
        <w:lang w:val="en-US" w:eastAsia="en-US" w:bidi="en-US"/>
      </w:rPr>
    </w:lvl>
    <w:lvl w:ilvl="4" w:tplc="AA04EA26">
      <w:numFmt w:val="bullet"/>
      <w:lvlText w:val="•"/>
      <w:lvlJc w:val="left"/>
      <w:pPr>
        <w:ind w:left="3930" w:hanging="211"/>
      </w:pPr>
      <w:rPr>
        <w:rFonts w:hint="default"/>
        <w:lang w:val="en-US" w:eastAsia="en-US" w:bidi="en-US"/>
      </w:rPr>
    </w:lvl>
    <w:lvl w:ilvl="5" w:tplc="4E800290">
      <w:numFmt w:val="bullet"/>
      <w:lvlText w:val="•"/>
      <w:lvlJc w:val="left"/>
      <w:pPr>
        <w:ind w:left="4822" w:hanging="211"/>
      </w:pPr>
      <w:rPr>
        <w:rFonts w:hint="default"/>
        <w:lang w:val="en-US" w:eastAsia="en-US" w:bidi="en-US"/>
      </w:rPr>
    </w:lvl>
    <w:lvl w:ilvl="6" w:tplc="B0CC291A">
      <w:numFmt w:val="bullet"/>
      <w:lvlText w:val="•"/>
      <w:lvlJc w:val="left"/>
      <w:pPr>
        <w:ind w:left="5715" w:hanging="211"/>
      </w:pPr>
      <w:rPr>
        <w:rFonts w:hint="default"/>
        <w:lang w:val="en-US" w:eastAsia="en-US" w:bidi="en-US"/>
      </w:rPr>
    </w:lvl>
    <w:lvl w:ilvl="7" w:tplc="1904F5CC">
      <w:numFmt w:val="bullet"/>
      <w:lvlText w:val="•"/>
      <w:lvlJc w:val="left"/>
      <w:pPr>
        <w:ind w:left="6607" w:hanging="211"/>
      </w:pPr>
      <w:rPr>
        <w:rFonts w:hint="default"/>
        <w:lang w:val="en-US" w:eastAsia="en-US" w:bidi="en-US"/>
      </w:rPr>
    </w:lvl>
    <w:lvl w:ilvl="8" w:tplc="4860DC40">
      <w:numFmt w:val="bullet"/>
      <w:lvlText w:val="•"/>
      <w:lvlJc w:val="left"/>
      <w:pPr>
        <w:ind w:left="7500" w:hanging="211"/>
      </w:pPr>
      <w:rPr>
        <w:rFonts w:hint="default"/>
        <w:lang w:val="en-US" w:eastAsia="en-US" w:bidi="en-US"/>
      </w:rPr>
    </w:lvl>
  </w:abstractNum>
  <w:abstractNum w:abstractNumId="2" w15:restartNumberingAfterBreak="0">
    <w:nsid w:val="5EBD4475"/>
    <w:multiLevelType w:val="hybridMultilevel"/>
    <w:tmpl w:val="EA00B244"/>
    <w:lvl w:ilvl="0" w:tplc="58B0A972">
      <w:start w:val="1"/>
      <w:numFmt w:val="upperLetter"/>
      <w:lvlText w:val="%1."/>
      <w:lvlJc w:val="left"/>
      <w:pPr>
        <w:ind w:left="850" w:hanging="71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91C979C">
      <w:numFmt w:val="bullet"/>
      <w:lvlText w:val="•"/>
      <w:lvlJc w:val="left"/>
      <w:pPr>
        <w:ind w:left="1702" w:hanging="710"/>
      </w:pPr>
      <w:rPr>
        <w:rFonts w:hint="default"/>
        <w:lang w:val="en-US" w:eastAsia="en-US" w:bidi="en-US"/>
      </w:rPr>
    </w:lvl>
    <w:lvl w:ilvl="2" w:tplc="DCCADA92">
      <w:numFmt w:val="bullet"/>
      <w:lvlText w:val="•"/>
      <w:lvlJc w:val="left"/>
      <w:pPr>
        <w:ind w:left="2545" w:hanging="710"/>
      </w:pPr>
      <w:rPr>
        <w:rFonts w:hint="default"/>
        <w:lang w:val="en-US" w:eastAsia="en-US" w:bidi="en-US"/>
      </w:rPr>
    </w:lvl>
    <w:lvl w:ilvl="3" w:tplc="9CC26554">
      <w:numFmt w:val="bullet"/>
      <w:lvlText w:val="•"/>
      <w:lvlJc w:val="left"/>
      <w:pPr>
        <w:ind w:left="3387" w:hanging="710"/>
      </w:pPr>
      <w:rPr>
        <w:rFonts w:hint="default"/>
        <w:lang w:val="en-US" w:eastAsia="en-US" w:bidi="en-US"/>
      </w:rPr>
    </w:lvl>
    <w:lvl w:ilvl="4" w:tplc="DD6CF2DA">
      <w:numFmt w:val="bullet"/>
      <w:lvlText w:val="•"/>
      <w:lvlJc w:val="left"/>
      <w:pPr>
        <w:ind w:left="4230" w:hanging="710"/>
      </w:pPr>
      <w:rPr>
        <w:rFonts w:hint="default"/>
        <w:lang w:val="en-US" w:eastAsia="en-US" w:bidi="en-US"/>
      </w:rPr>
    </w:lvl>
    <w:lvl w:ilvl="5" w:tplc="569AE7F8">
      <w:numFmt w:val="bullet"/>
      <w:lvlText w:val="•"/>
      <w:lvlJc w:val="left"/>
      <w:pPr>
        <w:ind w:left="5072" w:hanging="710"/>
      </w:pPr>
      <w:rPr>
        <w:rFonts w:hint="default"/>
        <w:lang w:val="en-US" w:eastAsia="en-US" w:bidi="en-US"/>
      </w:rPr>
    </w:lvl>
    <w:lvl w:ilvl="6" w:tplc="BCF2154C">
      <w:numFmt w:val="bullet"/>
      <w:lvlText w:val="•"/>
      <w:lvlJc w:val="left"/>
      <w:pPr>
        <w:ind w:left="5915" w:hanging="710"/>
      </w:pPr>
      <w:rPr>
        <w:rFonts w:hint="default"/>
        <w:lang w:val="en-US" w:eastAsia="en-US" w:bidi="en-US"/>
      </w:rPr>
    </w:lvl>
    <w:lvl w:ilvl="7" w:tplc="7160CB00">
      <w:numFmt w:val="bullet"/>
      <w:lvlText w:val="•"/>
      <w:lvlJc w:val="left"/>
      <w:pPr>
        <w:ind w:left="6757" w:hanging="710"/>
      </w:pPr>
      <w:rPr>
        <w:rFonts w:hint="default"/>
        <w:lang w:val="en-US" w:eastAsia="en-US" w:bidi="en-US"/>
      </w:rPr>
    </w:lvl>
    <w:lvl w:ilvl="8" w:tplc="4AB2E6F0">
      <w:numFmt w:val="bullet"/>
      <w:lvlText w:val="•"/>
      <w:lvlJc w:val="left"/>
      <w:pPr>
        <w:ind w:left="7600" w:hanging="71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9B"/>
    <w:rsid w:val="0067799B"/>
    <w:rsid w:val="006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9434B"/>
  <w15:docId w15:val="{0792F490-BF39-42BE-9440-880EDA3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50" w:hanging="7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5JENXJJSCC7A-445999044-11429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https://im/teams/LEGAL/_layouts/15/DocIdRedir.aspx?ID=5JENXJJSCC7A-445999044-11429</Url>
      <Description>5JENXJJSCC7A-445999044-11429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the transferring business of a financial
sector company No. 1 of 2021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E71FE-BE83-4534-99DC-96EDFE98F0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C98BCF-373C-41C0-916A-FE37531808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89FD415-D075-4AD0-AF60-B72B8CBD4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7DC4E-B329-480A-B6C0-B241F00BD5D3}">
  <ds:schemaRefs>
    <ds:schemaRef ds:uri="http://www.w3.org/XML/1998/namespace"/>
    <ds:schemaRef ds:uri="814d62cb-2db6-4c25-ab62-b9075facbc11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4EE514-850E-4868-AA50-847F2B759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3287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s14(1) application approval</vt:lpstr>
    </vt:vector>
  </TitlesOfParts>
  <Company>APRA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Mutual Bank Limited - FSSA - 120221</dc:title>
  <dc:creator>Kim, Vicky</dc:creator>
  <cp:keywords> [SEC=OFFICIAL]</cp:keywords>
  <cp:lastModifiedBy>Michalis, Toni</cp:lastModifiedBy>
  <cp:revision>2</cp:revision>
  <dcterms:created xsi:type="dcterms:W3CDTF">2021-02-12T09:05:00Z</dcterms:created>
  <dcterms:modified xsi:type="dcterms:W3CDTF">2021-02-12T09:07:00Z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2021-02-12T00:00:00Z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87d091af-9082-43aa-a874-cb57b250d84c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BBBFBCAFC7C3475DB1F8494B1673D3C8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2021-02-12T09:07:52Z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3AD795535F2D7124AC63D90FE5E63D7E</vt:lpwstr>
  </property>
  <property fmtid="{D5CDD505-2E9C-101B-9397-08002B2CF9AE}" pid="33" name="PM_Hash_Salt">
    <vt:lpwstr>A98B7CB79752D4E983DB988149EED5B7</vt:lpwstr>
  </property>
  <property fmtid="{D5CDD505-2E9C-101B-9397-08002B2CF9AE}" pid="34" name="PM_Hash_SHA1">
    <vt:lpwstr>2CC8D2DE252925D9B573928C3E2236C65DE175E0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{87d091af-9082-43aa-a874-cb57b250d84c}</vt:lpwstr>
  </property>
  <property fmtid="{D5CDD505-2E9C-101B-9397-08002B2CF9AE}" pid="48" name="RecordPoint_ActiveItemWebId">
    <vt:lpwstr>{75a71c27-8d66-4282-ae60-1bfc22a83be1}</vt:lpwstr>
  </property>
  <property fmtid="{D5CDD505-2E9C-101B-9397-08002B2CF9AE}" pid="49" name="RecordPoint_RecordNumberSubmitted">
    <vt:lpwstr>R0001276126</vt:lpwstr>
  </property>
  <property fmtid="{D5CDD505-2E9C-101B-9397-08002B2CF9AE}" pid="50" name="RecordPoint_SubmissionCompleted">
    <vt:lpwstr>2021-02-12T20:21:50.5928610+11:00</vt:lpwstr>
  </property>
</Properties>
</file>