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D805B" w14:textId="77777777" w:rsidR="00173080" w:rsidRDefault="00C710F9">
      <w:pPr>
        <w:pStyle w:val="BodyText"/>
        <w:ind w:left="100"/>
        <w:rPr>
          <w:rFonts w:ascii="Times New Roman"/>
          <w:sz w:val="20"/>
        </w:rPr>
      </w:pPr>
      <w:r>
        <w:rPr>
          <w:rFonts w:ascii="Times New Roman"/>
          <w:noProof/>
          <w:sz w:val="20"/>
        </w:rPr>
        <w:drawing>
          <wp:inline distT="0" distB="0" distL="0" distR="0" wp14:anchorId="096D80C5" wp14:editId="096D80C6">
            <wp:extent cx="1415960" cy="11018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415960" cy="1101852"/>
                    </a:xfrm>
                    <a:prstGeom prst="rect">
                      <a:avLst/>
                    </a:prstGeom>
                  </pic:spPr>
                </pic:pic>
              </a:graphicData>
            </a:graphic>
          </wp:inline>
        </w:drawing>
      </w:r>
    </w:p>
    <w:p w14:paraId="096D805C" w14:textId="77777777" w:rsidR="00173080" w:rsidRDefault="00173080">
      <w:pPr>
        <w:pStyle w:val="BodyText"/>
        <w:spacing w:before="4"/>
        <w:rPr>
          <w:rFonts w:ascii="Times New Roman"/>
          <w:sz w:val="23"/>
        </w:rPr>
      </w:pPr>
    </w:p>
    <w:p w14:paraId="096D805D" w14:textId="77777777" w:rsidR="00173080" w:rsidRDefault="00C710F9">
      <w:pPr>
        <w:spacing w:before="89"/>
        <w:ind w:left="100"/>
        <w:rPr>
          <w:b/>
          <w:sz w:val="32"/>
        </w:rPr>
      </w:pPr>
      <w:r>
        <w:rPr>
          <w:b/>
          <w:sz w:val="32"/>
        </w:rPr>
        <w:t>Approval to hold a stake in a financial sector company of more than 20% - No. 4 of 2020</w:t>
      </w:r>
    </w:p>
    <w:p w14:paraId="096D805E" w14:textId="77777777" w:rsidR="00173080" w:rsidRDefault="00173080">
      <w:pPr>
        <w:pStyle w:val="BodyText"/>
        <w:spacing w:before="2"/>
        <w:rPr>
          <w:b/>
          <w:sz w:val="31"/>
        </w:rPr>
      </w:pPr>
    </w:p>
    <w:p w14:paraId="096D805F" w14:textId="77777777" w:rsidR="00173080" w:rsidRDefault="00C710F9">
      <w:pPr>
        <w:ind w:left="100"/>
        <w:rPr>
          <w:b/>
          <w:i/>
          <w:sz w:val="32"/>
        </w:rPr>
      </w:pPr>
      <w:r>
        <w:rPr>
          <w:b/>
          <w:i/>
          <w:sz w:val="32"/>
        </w:rPr>
        <w:t>Financial Sector (Shareholdings) Act 1998</w:t>
      </w:r>
    </w:p>
    <w:p w14:paraId="096D8060" w14:textId="77777777" w:rsidR="00173080" w:rsidRDefault="00C710F9">
      <w:pPr>
        <w:pStyle w:val="BodyText"/>
        <w:spacing w:before="1"/>
        <w:rPr>
          <w:b/>
          <w:i/>
        </w:rPr>
      </w:pPr>
      <w:r>
        <w:pict w14:anchorId="096D80C7">
          <v:group id="_x0000_s1027" style="position:absolute;margin-left:72.5pt;margin-top:14.7pt;width:446.9pt;height:1.5pt;z-index:-251658752;mso-wrap-distance-left:0;mso-wrap-distance-right:0;mso-position-horizontal-relative:page" coordorigin="1450,294" coordsize="8938,30">
            <v:rect id="_x0000_s1029" style="position:absolute;left:1450;top:293;width:8933;height:21" fillcolor="#7e7e7e" stroked="f"/>
            <v:rect id="_x0000_s1028" style="position:absolute;left:1455;top:302;width:8933;height:21" fillcolor="#d3d0c7" stroked="f"/>
            <w10:wrap type="topAndBottom" anchorx="page"/>
          </v:group>
        </w:pict>
      </w:r>
    </w:p>
    <w:p w14:paraId="096D8061" w14:textId="77777777" w:rsidR="00173080" w:rsidRDefault="00173080">
      <w:pPr>
        <w:pStyle w:val="BodyText"/>
        <w:spacing w:before="5"/>
        <w:rPr>
          <w:b/>
          <w:i/>
          <w:sz w:val="39"/>
        </w:rPr>
      </w:pPr>
    </w:p>
    <w:p w14:paraId="096D8062" w14:textId="77777777" w:rsidR="00173080" w:rsidRDefault="00C710F9">
      <w:pPr>
        <w:pStyle w:val="BodyText"/>
        <w:tabs>
          <w:tab w:val="left" w:pos="666"/>
        </w:tabs>
        <w:ind w:left="666" w:right="116" w:hanging="567"/>
      </w:pPr>
      <w:r>
        <w:t>To:</w:t>
      </w:r>
      <w:r>
        <w:tab/>
        <w:t>The</w:t>
      </w:r>
      <w:r>
        <w:rPr>
          <w:spacing w:val="-7"/>
        </w:rPr>
        <w:t xml:space="preserve"> </w:t>
      </w:r>
      <w:r>
        <w:t>persons</w:t>
      </w:r>
      <w:r>
        <w:rPr>
          <w:spacing w:val="-5"/>
        </w:rPr>
        <w:t xml:space="preserve"> </w:t>
      </w:r>
      <w:r>
        <w:t>listed</w:t>
      </w:r>
      <w:r>
        <w:rPr>
          <w:spacing w:val="-3"/>
        </w:rPr>
        <w:t xml:space="preserve"> </w:t>
      </w:r>
      <w:r>
        <w:t>in</w:t>
      </w:r>
      <w:r>
        <w:rPr>
          <w:spacing w:val="-6"/>
        </w:rPr>
        <w:t xml:space="preserve"> </w:t>
      </w:r>
      <w:r>
        <w:t>Schedule</w:t>
      </w:r>
      <w:r>
        <w:rPr>
          <w:spacing w:val="-3"/>
        </w:rPr>
        <w:t xml:space="preserve"> </w:t>
      </w:r>
      <w:r>
        <w:t>1</w:t>
      </w:r>
      <w:r>
        <w:rPr>
          <w:spacing w:val="-5"/>
        </w:rPr>
        <w:t xml:space="preserve"> </w:t>
      </w:r>
      <w:r>
        <w:t>(the</w:t>
      </w:r>
      <w:r>
        <w:rPr>
          <w:spacing w:val="-6"/>
        </w:rPr>
        <w:t xml:space="preserve"> </w:t>
      </w:r>
      <w:r>
        <w:t>Existing</w:t>
      </w:r>
      <w:r>
        <w:rPr>
          <w:spacing w:val="-3"/>
        </w:rPr>
        <w:t xml:space="preserve"> </w:t>
      </w:r>
      <w:r>
        <w:t>Approval</w:t>
      </w:r>
      <w:r>
        <w:rPr>
          <w:spacing w:val="-4"/>
        </w:rPr>
        <w:t xml:space="preserve"> </w:t>
      </w:r>
      <w:r>
        <w:t>Holders)</w:t>
      </w:r>
      <w:r>
        <w:rPr>
          <w:spacing w:val="-4"/>
        </w:rPr>
        <w:t xml:space="preserve"> </w:t>
      </w:r>
      <w:r>
        <w:t>and</w:t>
      </w:r>
      <w:r>
        <w:rPr>
          <w:spacing w:val="-6"/>
        </w:rPr>
        <w:t xml:space="preserve"> </w:t>
      </w:r>
      <w:r>
        <w:t>the</w:t>
      </w:r>
      <w:r>
        <w:rPr>
          <w:spacing w:val="-8"/>
        </w:rPr>
        <w:t xml:space="preserve"> </w:t>
      </w:r>
      <w:r>
        <w:t>persons</w:t>
      </w:r>
      <w:r>
        <w:rPr>
          <w:spacing w:val="-5"/>
        </w:rPr>
        <w:t xml:space="preserve"> </w:t>
      </w:r>
      <w:r>
        <w:t>listed in Schedule 2 (the</w:t>
      </w:r>
      <w:r>
        <w:rPr>
          <w:spacing w:val="-2"/>
        </w:rPr>
        <w:t xml:space="preserve"> </w:t>
      </w:r>
      <w:r>
        <w:t>Applicants)</w:t>
      </w:r>
    </w:p>
    <w:p w14:paraId="096D8063" w14:textId="77777777" w:rsidR="00173080" w:rsidRDefault="00173080">
      <w:pPr>
        <w:pStyle w:val="BodyText"/>
      </w:pPr>
    </w:p>
    <w:p w14:paraId="096D8064" w14:textId="77777777" w:rsidR="00173080" w:rsidRDefault="00C710F9">
      <w:pPr>
        <w:pStyle w:val="BodyText"/>
        <w:ind w:left="100"/>
      </w:pPr>
      <w:r>
        <w:t>SINCE:</w:t>
      </w:r>
    </w:p>
    <w:p w14:paraId="096D8065" w14:textId="77777777" w:rsidR="00173080" w:rsidRDefault="00173080">
      <w:pPr>
        <w:pStyle w:val="BodyText"/>
      </w:pPr>
    </w:p>
    <w:p w14:paraId="096D8066" w14:textId="77777777" w:rsidR="00173080" w:rsidRDefault="00C710F9">
      <w:pPr>
        <w:pStyle w:val="BodyText"/>
        <w:ind w:left="873" w:right="286" w:hanging="360"/>
      </w:pPr>
      <w:r>
        <w:t xml:space="preserve">A. On 20 February 2014, the Existing Approval Holders were granted approval under section 14(1) of the </w:t>
      </w:r>
      <w:r>
        <w:rPr>
          <w:i/>
        </w:rPr>
        <w:t xml:space="preserve">Financial Sector (Shareholdings) Act 1998 </w:t>
      </w:r>
      <w:r>
        <w:t>(the Act) to hold a 100% stake in Quaker Partners LLC (5071296, Delaware, USA) and LFI Gro</w:t>
      </w:r>
      <w:r>
        <w:t>up Pty Ltd ABN 31 138 903 581 (LFI), each a financial sector company under the Act (the Existing Approval);</w:t>
      </w:r>
    </w:p>
    <w:p w14:paraId="096D8067" w14:textId="77777777" w:rsidR="00173080" w:rsidRDefault="00173080">
      <w:pPr>
        <w:pStyle w:val="BodyText"/>
        <w:rPr>
          <w:sz w:val="24"/>
        </w:rPr>
      </w:pPr>
    </w:p>
    <w:p w14:paraId="096D8068" w14:textId="77777777" w:rsidR="00173080" w:rsidRDefault="00C710F9">
      <w:pPr>
        <w:pStyle w:val="ListParagraph"/>
        <w:numPr>
          <w:ilvl w:val="0"/>
          <w:numId w:val="3"/>
        </w:numPr>
        <w:tabs>
          <w:tab w:val="left" w:pos="821"/>
        </w:tabs>
        <w:ind w:right="755"/>
      </w:pPr>
      <w:r>
        <w:t>On 19 January 2021, the Existing Approval Holders requested that the Existing Approval be</w:t>
      </w:r>
      <w:r>
        <w:rPr>
          <w:spacing w:val="-1"/>
        </w:rPr>
        <w:t xml:space="preserve"> </w:t>
      </w:r>
      <w:r>
        <w:t>revoked;</w:t>
      </w:r>
    </w:p>
    <w:p w14:paraId="096D8069" w14:textId="77777777" w:rsidR="00173080" w:rsidRDefault="00173080">
      <w:pPr>
        <w:pStyle w:val="BodyText"/>
        <w:spacing w:before="11"/>
        <w:rPr>
          <w:sz w:val="21"/>
        </w:rPr>
      </w:pPr>
    </w:p>
    <w:p w14:paraId="096D806A" w14:textId="77777777" w:rsidR="00173080" w:rsidRDefault="00C710F9">
      <w:pPr>
        <w:pStyle w:val="ListParagraph"/>
        <w:numPr>
          <w:ilvl w:val="0"/>
          <w:numId w:val="3"/>
        </w:numPr>
        <w:tabs>
          <w:tab w:val="left" w:pos="821"/>
        </w:tabs>
        <w:ind w:right="202"/>
        <w:jc w:val="both"/>
      </w:pPr>
      <w:r>
        <w:t>On 19 January 2021, the Applicants applied to the Treasurer under section 13 of the Act for approval to hold a 100% stake in Liberty Financial Group Pty Ltd ABN 59 125 611 574 (LFG) and LFI, each a financial sector company under the Act;</w:t>
      </w:r>
      <w:r>
        <w:rPr>
          <w:spacing w:val="-13"/>
        </w:rPr>
        <w:t xml:space="preserve"> </w:t>
      </w:r>
      <w:r>
        <w:t>and</w:t>
      </w:r>
    </w:p>
    <w:p w14:paraId="096D806B" w14:textId="77777777" w:rsidR="00173080" w:rsidRDefault="00173080">
      <w:pPr>
        <w:pStyle w:val="BodyText"/>
        <w:spacing w:before="1"/>
      </w:pPr>
    </w:p>
    <w:p w14:paraId="096D806C" w14:textId="77777777" w:rsidR="00173080" w:rsidRDefault="00C710F9">
      <w:pPr>
        <w:pStyle w:val="ListParagraph"/>
        <w:numPr>
          <w:ilvl w:val="0"/>
          <w:numId w:val="3"/>
        </w:numPr>
        <w:tabs>
          <w:tab w:val="left" w:pos="821"/>
        </w:tabs>
        <w:ind w:right="417"/>
      </w:pPr>
      <w:r>
        <w:t>I am satisfied it is in the national interest for the Applicants to hold a 100% stake in each of LFG and</w:t>
      </w:r>
      <w:r>
        <w:rPr>
          <w:spacing w:val="1"/>
        </w:rPr>
        <w:t xml:space="preserve"> </w:t>
      </w:r>
      <w:r>
        <w:t>LFI,</w:t>
      </w:r>
    </w:p>
    <w:p w14:paraId="096D806D" w14:textId="77777777" w:rsidR="00173080" w:rsidRDefault="00173080">
      <w:pPr>
        <w:pStyle w:val="BodyText"/>
      </w:pPr>
    </w:p>
    <w:p w14:paraId="096D806E" w14:textId="77777777" w:rsidR="00173080" w:rsidRDefault="00C710F9">
      <w:pPr>
        <w:pStyle w:val="BodyText"/>
        <w:ind w:left="100"/>
      </w:pPr>
      <w:r>
        <w:t>I, Sharyn Reichstein, General Manager:</w:t>
      </w:r>
    </w:p>
    <w:p w14:paraId="096D806F" w14:textId="77777777" w:rsidR="00173080" w:rsidRDefault="00173080">
      <w:pPr>
        <w:pStyle w:val="BodyText"/>
      </w:pPr>
    </w:p>
    <w:p w14:paraId="096D8070" w14:textId="77777777" w:rsidR="00173080" w:rsidRDefault="00C710F9">
      <w:pPr>
        <w:pStyle w:val="ListParagraph"/>
        <w:numPr>
          <w:ilvl w:val="0"/>
          <w:numId w:val="2"/>
        </w:numPr>
        <w:tabs>
          <w:tab w:val="left" w:pos="960"/>
        </w:tabs>
        <w:ind w:hanging="434"/>
      </w:pPr>
      <w:r>
        <w:t>under section 18(3) of the Act, REVOKE the Existing Approval;</w:t>
      </w:r>
      <w:r>
        <w:rPr>
          <w:spacing w:val="-3"/>
        </w:rPr>
        <w:t xml:space="preserve"> </w:t>
      </w:r>
      <w:r>
        <w:t>and</w:t>
      </w:r>
    </w:p>
    <w:p w14:paraId="096D8071" w14:textId="77777777" w:rsidR="00173080" w:rsidRDefault="00173080">
      <w:pPr>
        <w:pStyle w:val="BodyText"/>
        <w:spacing w:before="1"/>
      </w:pPr>
    </w:p>
    <w:p w14:paraId="096D8072" w14:textId="77777777" w:rsidR="00173080" w:rsidRDefault="00C710F9">
      <w:pPr>
        <w:pStyle w:val="ListParagraph"/>
        <w:numPr>
          <w:ilvl w:val="0"/>
          <w:numId w:val="2"/>
        </w:numPr>
        <w:tabs>
          <w:tab w:val="left" w:pos="953"/>
        </w:tabs>
        <w:ind w:right="658" w:hanging="434"/>
      </w:pPr>
      <w:r>
        <w:t>under section 14(1) of the Act, APPROV</w:t>
      </w:r>
      <w:r>
        <w:t>E the Applicants to hold a 100% stake in each of LFG and</w:t>
      </w:r>
      <w:r>
        <w:rPr>
          <w:spacing w:val="2"/>
        </w:rPr>
        <w:t xml:space="preserve"> </w:t>
      </w:r>
      <w:r>
        <w:t>LFI.</w:t>
      </w:r>
    </w:p>
    <w:p w14:paraId="096D8073" w14:textId="77777777" w:rsidR="00173080" w:rsidRDefault="00173080">
      <w:pPr>
        <w:pStyle w:val="BodyText"/>
        <w:spacing w:before="10"/>
        <w:rPr>
          <w:sz w:val="21"/>
        </w:rPr>
      </w:pPr>
    </w:p>
    <w:p w14:paraId="096D8074" w14:textId="6AC8BFC4" w:rsidR="00173080" w:rsidRDefault="00C710F9">
      <w:pPr>
        <w:pStyle w:val="BodyText"/>
        <w:spacing w:before="1" w:line="480" w:lineRule="auto"/>
        <w:ind w:left="100" w:right="900"/>
      </w:pPr>
      <w:r>
        <w:t>This instrument commences on the date it is signed and remains in force indefinitely. Dated: 11 February 2021</w:t>
      </w:r>
    </w:p>
    <w:p w14:paraId="096D8077" w14:textId="3535C490" w:rsidR="00173080" w:rsidRDefault="00C710F9" w:rsidP="00C710F9">
      <w:pPr>
        <w:pStyle w:val="BodyText"/>
        <w:spacing w:before="1" w:line="480" w:lineRule="auto"/>
        <w:ind w:left="100" w:right="900"/>
        <w:rPr>
          <w:sz w:val="26"/>
        </w:rPr>
      </w:pPr>
      <w:bookmarkStart w:id="0" w:name="_GoBack"/>
      <w:bookmarkEnd w:id="0"/>
      <w:r>
        <w:t>[Signed]</w:t>
      </w:r>
    </w:p>
    <w:p w14:paraId="096D8078" w14:textId="77777777" w:rsidR="00173080" w:rsidRDefault="00C710F9">
      <w:pPr>
        <w:pStyle w:val="BodyText"/>
        <w:ind w:left="100" w:right="7266"/>
      </w:pPr>
      <w:r>
        <w:t>Sharyn Reichstein</w:t>
      </w:r>
      <w:r>
        <w:rPr>
          <w:color w:val="585858"/>
          <w:position w:val="8"/>
          <w:sz w:val="14"/>
        </w:rPr>
        <w:t xml:space="preserve">1 </w:t>
      </w:r>
      <w:r>
        <w:t>General Manager Insurance</w:t>
      </w:r>
    </w:p>
    <w:p w14:paraId="096D8079" w14:textId="77777777" w:rsidR="00173080" w:rsidRDefault="00C710F9">
      <w:pPr>
        <w:pStyle w:val="BodyText"/>
        <w:spacing w:before="11"/>
        <w:rPr>
          <w:sz w:val="15"/>
        </w:rPr>
      </w:pPr>
      <w:r>
        <w:pict w14:anchorId="096D80CA">
          <v:line id="_x0000_s1026" style="position:absolute;z-index:-251657728;mso-wrap-distance-left:0;mso-wrap-distance-right:0;mso-position-horizontal-relative:page" from="1in,11.45pt" to="216.05pt,11.45pt" strokeweight=".6pt">
            <w10:wrap type="topAndBottom" anchorx="page"/>
          </v:line>
        </w:pict>
      </w:r>
    </w:p>
    <w:p w14:paraId="096D807A" w14:textId="77777777" w:rsidR="00173080" w:rsidRDefault="00C710F9">
      <w:pPr>
        <w:spacing w:before="59"/>
        <w:ind w:left="100"/>
        <w:rPr>
          <w:sz w:val="16"/>
        </w:rPr>
      </w:pPr>
      <w:r>
        <w:rPr>
          <w:color w:val="585858"/>
          <w:position w:val="6"/>
          <w:sz w:val="10"/>
        </w:rPr>
        <w:t xml:space="preserve">1 </w:t>
      </w:r>
      <w:r>
        <w:rPr>
          <w:sz w:val="16"/>
        </w:rPr>
        <w:t>A delegate of the Treasurer.</w:t>
      </w:r>
    </w:p>
    <w:p w14:paraId="096D807B" w14:textId="77777777" w:rsidR="00173080" w:rsidRDefault="00173080">
      <w:pPr>
        <w:rPr>
          <w:sz w:val="16"/>
        </w:rPr>
        <w:sectPr w:rsidR="00173080">
          <w:type w:val="continuous"/>
          <w:pgSz w:w="11910" w:h="16840"/>
          <w:pgMar w:top="1260" w:right="1320" w:bottom="280" w:left="1340" w:header="720" w:footer="720" w:gutter="0"/>
          <w:cols w:space="720"/>
        </w:sectPr>
      </w:pPr>
    </w:p>
    <w:p w14:paraId="096D807C" w14:textId="77777777" w:rsidR="00173080" w:rsidRDefault="00173080">
      <w:pPr>
        <w:pStyle w:val="BodyText"/>
        <w:spacing w:before="2"/>
        <w:rPr>
          <w:sz w:val="26"/>
        </w:rPr>
      </w:pPr>
    </w:p>
    <w:p w14:paraId="096D807D" w14:textId="77777777" w:rsidR="00173080" w:rsidRDefault="00C710F9">
      <w:pPr>
        <w:spacing w:before="94"/>
        <w:ind w:left="100"/>
        <w:rPr>
          <w:b/>
        </w:rPr>
      </w:pPr>
      <w:r>
        <w:rPr>
          <w:b/>
        </w:rPr>
        <w:t>Interpretation</w:t>
      </w:r>
    </w:p>
    <w:p w14:paraId="096D807E" w14:textId="77777777" w:rsidR="00173080" w:rsidRDefault="00173080">
      <w:pPr>
        <w:pStyle w:val="BodyText"/>
        <w:spacing w:before="2"/>
        <w:rPr>
          <w:b/>
        </w:rPr>
      </w:pPr>
    </w:p>
    <w:p w14:paraId="096D807F" w14:textId="77777777" w:rsidR="00173080" w:rsidRDefault="00C710F9">
      <w:pPr>
        <w:pStyle w:val="BodyText"/>
        <w:spacing w:before="1"/>
        <w:ind w:left="100"/>
      </w:pPr>
      <w:r>
        <w:t>In this Notice:</w:t>
      </w:r>
    </w:p>
    <w:p w14:paraId="096D8080" w14:textId="77777777" w:rsidR="00173080" w:rsidRDefault="00173080">
      <w:pPr>
        <w:pStyle w:val="BodyText"/>
      </w:pPr>
    </w:p>
    <w:p w14:paraId="096D8081" w14:textId="77777777" w:rsidR="00173080" w:rsidRDefault="00C710F9">
      <w:pPr>
        <w:spacing w:line="252" w:lineRule="exact"/>
        <w:ind w:left="100"/>
      </w:pPr>
      <w:r>
        <w:rPr>
          <w:b/>
          <w:i/>
        </w:rPr>
        <w:t xml:space="preserve">Act </w:t>
      </w:r>
      <w:r>
        <w:t xml:space="preserve">means the </w:t>
      </w:r>
      <w:r>
        <w:rPr>
          <w:i/>
        </w:rPr>
        <w:t>Financial Sector (Shareholdings) Act 1998</w:t>
      </w:r>
      <w:r>
        <w:t>.</w:t>
      </w:r>
    </w:p>
    <w:p w14:paraId="096D8082" w14:textId="77777777" w:rsidR="00173080" w:rsidRDefault="00C710F9">
      <w:pPr>
        <w:pStyle w:val="BodyText"/>
        <w:spacing w:line="252" w:lineRule="exact"/>
        <w:ind w:left="100"/>
      </w:pPr>
      <w:r>
        <w:rPr>
          <w:b/>
          <w:i/>
        </w:rPr>
        <w:t xml:space="preserve">APRA </w:t>
      </w:r>
      <w:r>
        <w:t>means the Australian Prudential Regulation Authority.</w:t>
      </w:r>
    </w:p>
    <w:p w14:paraId="096D8083" w14:textId="77777777" w:rsidR="00173080" w:rsidRDefault="00C710F9">
      <w:pPr>
        <w:spacing w:before="2" w:line="252" w:lineRule="exact"/>
        <w:ind w:left="100"/>
      </w:pPr>
      <w:r>
        <w:rPr>
          <w:b/>
          <w:i/>
        </w:rPr>
        <w:t xml:space="preserve">financial sector company </w:t>
      </w:r>
      <w:r>
        <w:t>has the meaning given in section 3 of the Act.</w:t>
      </w:r>
    </w:p>
    <w:p w14:paraId="096D8084" w14:textId="77777777" w:rsidR="00173080" w:rsidRDefault="00C710F9">
      <w:pPr>
        <w:pStyle w:val="BodyText"/>
        <w:spacing w:line="252" w:lineRule="exact"/>
        <w:ind w:left="100"/>
      </w:pPr>
      <w:r>
        <w:rPr>
          <w:b/>
          <w:i/>
        </w:rPr>
        <w:t xml:space="preserve">stake </w:t>
      </w:r>
      <w:r>
        <w:t>in relation to a company, has the meaning given in clause 10 of Schedule 1 to the Act.</w:t>
      </w:r>
    </w:p>
    <w:p w14:paraId="096D8085" w14:textId="77777777" w:rsidR="00173080" w:rsidRDefault="00C710F9">
      <w:pPr>
        <w:spacing w:before="1"/>
        <w:ind w:left="100"/>
      </w:pPr>
      <w:r>
        <w:rPr>
          <w:b/>
          <w:i/>
        </w:rPr>
        <w:t xml:space="preserve">unacceptable shareholding situation </w:t>
      </w:r>
      <w:r>
        <w:t>has the meaning given in section 10 of the Act.</w:t>
      </w:r>
    </w:p>
    <w:p w14:paraId="096D8086" w14:textId="77777777" w:rsidR="00173080" w:rsidRDefault="00173080">
      <w:pPr>
        <w:pStyle w:val="BodyText"/>
        <w:spacing w:before="8"/>
        <w:rPr>
          <w:sz w:val="21"/>
        </w:rPr>
      </w:pPr>
    </w:p>
    <w:p w14:paraId="096D8087" w14:textId="77777777" w:rsidR="00173080" w:rsidRDefault="00C710F9">
      <w:pPr>
        <w:spacing w:before="1"/>
        <w:ind w:left="100" w:right="555"/>
        <w:rPr>
          <w:sz w:val="18"/>
        </w:rPr>
      </w:pPr>
      <w:r>
        <w:rPr>
          <w:i/>
          <w:sz w:val="18"/>
        </w:rPr>
        <w:t xml:space="preserve">Note 1 </w:t>
      </w:r>
      <w:r>
        <w:rPr>
          <w:sz w:val="18"/>
        </w:rPr>
        <w:t>Under paragraph 16(2)(a) of the Act, the Treasurer may, by written notice giv</w:t>
      </w:r>
      <w:r>
        <w:rPr>
          <w:sz w:val="18"/>
        </w:rPr>
        <w:t>en to a person who holds an Approval under section 14, impose one or more conditions or further conditions to which the Approval is subject. Under paragraph 16(2)(b) of the Act, the Treasurer may revoke or vary any conditions imposed under paragraph 16(2)(</w:t>
      </w:r>
      <w:r>
        <w:rPr>
          <w:sz w:val="18"/>
        </w:rPr>
        <w:t>a) of the Act or specified in the Notice of Approval. The Treasurer’s powers under subsection 16(2) of the Act may be exercised on the Treasurer’s own initiative or on application made</w:t>
      </w:r>
    </w:p>
    <w:p w14:paraId="096D8088" w14:textId="77777777" w:rsidR="00173080" w:rsidRDefault="00C710F9">
      <w:pPr>
        <w:spacing w:before="5"/>
        <w:ind w:left="100" w:right="165"/>
        <w:rPr>
          <w:sz w:val="18"/>
        </w:rPr>
      </w:pPr>
      <w:r>
        <w:rPr>
          <w:sz w:val="18"/>
        </w:rPr>
        <w:t>to the Treasurer in accordance with the requirements of subsection 16(4</w:t>
      </w:r>
      <w:r>
        <w:rPr>
          <w:sz w:val="18"/>
        </w:rPr>
        <w:t>) of the Act, by the person who holds the Approval (see subsection 16(3) of the Act).</w:t>
      </w:r>
    </w:p>
    <w:p w14:paraId="096D8089" w14:textId="77777777" w:rsidR="00173080" w:rsidRDefault="00173080">
      <w:pPr>
        <w:pStyle w:val="BodyText"/>
        <w:spacing w:before="7"/>
        <w:rPr>
          <w:sz w:val="17"/>
        </w:rPr>
      </w:pPr>
    </w:p>
    <w:p w14:paraId="096D808A" w14:textId="77777777" w:rsidR="00173080" w:rsidRDefault="00C710F9">
      <w:pPr>
        <w:spacing w:line="244" w:lineRule="auto"/>
        <w:ind w:left="100" w:right="1055"/>
        <w:rPr>
          <w:sz w:val="18"/>
        </w:rPr>
      </w:pPr>
      <w:r>
        <w:rPr>
          <w:i/>
          <w:sz w:val="18"/>
        </w:rPr>
        <w:t xml:space="preserve">Note 2 </w:t>
      </w:r>
      <w:r>
        <w:rPr>
          <w:sz w:val="18"/>
        </w:rPr>
        <w:t>A person who holds an Approval under section 14 of the Act may apply to the Treasurer under subsection 17(1) of the Act, to vary the percentage specified in the A</w:t>
      </w:r>
      <w:r>
        <w:rPr>
          <w:sz w:val="18"/>
        </w:rPr>
        <w:t>pproval.</w:t>
      </w:r>
    </w:p>
    <w:p w14:paraId="096D808B" w14:textId="77777777" w:rsidR="00173080" w:rsidRDefault="00173080">
      <w:pPr>
        <w:pStyle w:val="BodyText"/>
        <w:spacing w:before="4"/>
        <w:rPr>
          <w:sz w:val="17"/>
        </w:rPr>
      </w:pPr>
    </w:p>
    <w:p w14:paraId="096D808C" w14:textId="77777777" w:rsidR="00173080" w:rsidRDefault="00C710F9">
      <w:pPr>
        <w:ind w:left="100" w:right="305"/>
        <w:rPr>
          <w:sz w:val="18"/>
        </w:rPr>
      </w:pPr>
      <w:r>
        <w:rPr>
          <w:i/>
          <w:sz w:val="18"/>
        </w:rPr>
        <w:t xml:space="preserve">Note 3 </w:t>
      </w:r>
      <w:r>
        <w:rPr>
          <w:sz w:val="18"/>
        </w:rPr>
        <w:t>Under subsection 17(6) of the Act, the Treasurer may, on the Treasurer’s own initiative, by written notice</w:t>
      </w:r>
      <w:r>
        <w:rPr>
          <w:spacing w:val="-3"/>
          <w:sz w:val="18"/>
        </w:rPr>
        <w:t xml:space="preserve"> </w:t>
      </w:r>
      <w:r>
        <w:rPr>
          <w:sz w:val="18"/>
        </w:rPr>
        <w:t>given</w:t>
      </w:r>
      <w:r>
        <w:rPr>
          <w:spacing w:val="-2"/>
          <w:sz w:val="18"/>
        </w:rPr>
        <w:t xml:space="preserve"> </w:t>
      </w:r>
      <w:r>
        <w:rPr>
          <w:sz w:val="18"/>
        </w:rPr>
        <w:t>to</w:t>
      </w:r>
      <w:r>
        <w:rPr>
          <w:spacing w:val="-5"/>
          <w:sz w:val="18"/>
        </w:rPr>
        <w:t xml:space="preserve"> </w:t>
      </w:r>
      <w:r>
        <w:rPr>
          <w:sz w:val="18"/>
        </w:rPr>
        <w:t>a</w:t>
      </w:r>
      <w:r>
        <w:rPr>
          <w:spacing w:val="-2"/>
          <w:sz w:val="18"/>
        </w:rPr>
        <w:t xml:space="preserve"> </w:t>
      </w:r>
      <w:r>
        <w:rPr>
          <w:sz w:val="18"/>
        </w:rPr>
        <w:t>person</w:t>
      </w:r>
      <w:r>
        <w:rPr>
          <w:spacing w:val="-3"/>
          <w:sz w:val="18"/>
        </w:rPr>
        <w:t xml:space="preserve"> </w:t>
      </w:r>
      <w:r>
        <w:rPr>
          <w:sz w:val="18"/>
        </w:rPr>
        <w:t>who</w:t>
      </w:r>
      <w:r>
        <w:rPr>
          <w:spacing w:val="-2"/>
          <w:sz w:val="18"/>
        </w:rPr>
        <w:t xml:space="preserve"> </w:t>
      </w:r>
      <w:r>
        <w:rPr>
          <w:sz w:val="18"/>
        </w:rPr>
        <w:t>holds</w:t>
      </w:r>
      <w:r>
        <w:rPr>
          <w:spacing w:val="-5"/>
          <w:sz w:val="18"/>
        </w:rPr>
        <w:t xml:space="preserve"> </w:t>
      </w:r>
      <w:r>
        <w:rPr>
          <w:sz w:val="18"/>
        </w:rPr>
        <w:t>an</w:t>
      </w:r>
      <w:r>
        <w:rPr>
          <w:spacing w:val="-2"/>
          <w:sz w:val="18"/>
        </w:rPr>
        <w:t xml:space="preserve"> </w:t>
      </w:r>
      <w:r>
        <w:rPr>
          <w:sz w:val="18"/>
        </w:rPr>
        <w:t>Approval</w:t>
      </w:r>
      <w:r>
        <w:rPr>
          <w:spacing w:val="-4"/>
          <w:sz w:val="18"/>
        </w:rPr>
        <w:t xml:space="preserve"> </w:t>
      </w:r>
      <w:r>
        <w:rPr>
          <w:sz w:val="18"/>
        </w:rPr>
        <w:t>under</w:t>
      </w:r>
      <w:r>
        <w:rPr>
          <w:spacing w:val="-3"/>
          <w:sz w:val="18"/>
        </w:rPr>
        <w:t xml:space="preserve"> </w:t>
      </w:r>
      <w:r>
        <w:rPr>
          <w:sz w:val="18"/>
        </w:rPr>
        <w:t>section</w:t>
      </w:r>
      <w:r>
        <w:rPr>
          <w:spacing w:val="-2"/>
          <w:sz w:val="18"/>
        </w:rPr>
        <w:t xml:space="preserve"> </w:t>
      </w:r>
      <w:r>
        <w:rPr>
          <w:sz w:val="18"/>
        </w:rPr>
        <w:t>14,</w:t>
      </w:r>
      <w:r>
        <w:rPr>
          <w:spacing w:val="-3"/>
          <w:sz w:val="18"/>
        </w:rPr>
        <w:t xml:space="preserve"> </w:t>
      </w:r>
      <w:r>
        <w:rPr>
          <w:sz w:val="18"/>
        </w:rPr>
        <w:t>vary</w:t>
      </w:r>
      <w:r>
        <w:rPr>
          <w:spacing w:val="-4"/>
          <w:sz w:val="18"/>
        </w:rPr>
        <w:t xml:space="preserve"> </w:t>
      </w:r>
      <w:r>
        <w:rPr>
          <w:sz w:val="18"/>
        </w:rPr>
        <w:t>the</w:t>
      </w:r>
      <w:r>
        <w:rPr>
          <w:spacing w:val="-3"/>
          <w:sz w:val="18"/>
        </w:rPr>
        <w:t xml:space="preserve"> </w:t>
      </w:r>
      <w:r>
        <w:rPr>
          <w:sz w:val="18"/>
        </w:rPr>
        <w:t>percentage</w:t>
      </w:r>
      <w:r>
        <w:rPr>
          <w:spacing w:val="-4"/>
          <w:sz w:val="18"/>
        </w:rPr>
        <w:t xml:space="preserve"> </w:t>
      </w:r>
      <w:r>
        <w:rPr>
          <w:sz w:val="18"/>
        </w:rPr>
        <w:t>specified</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Approval if the Treasurer is satisfied it is in the national interest to do</w:t>
      </w:r>
      <w:r>
        <w:rPr>
          <w:spacing w:val="-19"/>
          <w:sz w:val="18"/>
        </w:rPr>
        <w:t xml:space="preserve"> </w:t>
      </w:r>
      <w:r>
        <w:rPr>
          <w:sz w:val="18"/>
        </w:rPr>
        <w:t>so.</w:t>
      </w:r>
    </w:p>
    <w:p w14:paraId="096D808D" w14:textId="77777777" w:rsidR="00173080" w:rsidRDefault="00173080">
      <w:pPr>
        <w:pStyle w:val="BodyText"/>
        <w:rPr>
          <w:sz w:val="18"/>
        </w:rPr>
      </w:pPr>
    </w:p>
    <w:p w14:paraId="096D808E" w14:textId="77777777" w:rsidR="00173080" w:rsidRDefault="00C710F9">
      <w:pPr>
        <w:ind w:left="100" w:right="305"/>
        <w:rPr>
          <w:sz w:val="18"/>
        </w:rPr>
      </w:pPr>
      <w:r>
        <w:rPr>
          <w:i/>
          <w:sz w:val="18"/>
        </w:rPr>
        <w:t xml:space="preserve">Note 4 </w:t>
      </w:r>
      <w:r>
        <w:rPr>
          <w:sz w:val="18"/>
        </w:rPr>
        <w:t>The circumstances in which the Treasurer may revoke a person’s Approval under section 14 are set out in subsection 18(1) of the Act.</w:t>
      </w:r>
    </w:p>
    <w:p w14:paraId="096D808F" w14:textId="77777777" w:rsidR="00173080" w:rsidRDefault="00173080">
      <w:pPr>
        <w:pStyle w:val="BodyText"/>
        <w:rPr>
          <w:sz w:val="18"/>
        </w:rPr>
      </w:pPr>
    </w:p>
    <w:p w14:paraId="096D8090" w14:textId="77777777" w:rsidR="00173080" w:rsidRDefault="00C710F9">
      <w:pPr>
        <w:ind w:left="100" w:right="584"/>
        <w:rPr>
          <w:sz w:val="18"/>
        </w:rPr>
      </w:pPr>
      <w:r>
        <w:rPr>
          <w:i/>
          <w:sz w:val="18"/>
        </w:rPr>
        <w:t xml:space="preserve">Note 5 </w:t>
      </w:r>
      <w:r>
        <w:rPr>
          <w:sz w:val="18"/>
        </w:rPr>
        <w:t>Section 19 of the Act provi</w:t>
      </w:r>
      <w:r>
        <w:rPr>
          <w:sz w:val="18"/>
        </w:rPr>
        <w:t>des for flow-on approvals. If an Approval has been granted for the holding of a stake in a financial sector company and the financial sector company is a holding company for</w:t>
      </w:r>
      <w:r>
        <w:rPr>
          <w:spacing w:val="-34"/>
          <w:sz w:val="18"/>
        </w:rPr>
        <w:t xml:space="preserve"> </w:t>
      </w:r>
      <w:r>
        <w:rPr>
          <w:sz w:val="18"/>
        </w:rPr>
        <w:t>an</w:t>
      </w:r>
    </w:p>
    <w:p w14:paraId="096D8091" w14:textId="77777777" w:rsidR="00173080" w:rsidRDefault="00C710F9">
      <w:pPr>
        <w:spacing w:before="2"/>
        <w:ind w:left="100" w:right="286"/>
        <w:rPr>
          <w:sz w:val="18"/>
        </w:rPr>
      </w:pPr>
      <w:r>
        <w:rPr>
          <w:sz w:val="18"/>
        </w:rPr>
        <w:t>authorised</w:t>
      </w:r>
      <w:r>
        <w:rPr>
          <w:spacing w:val="-3"/>
          <w:sz w:val="18"/>
        </w:rPr>
        <w:t xml:space="preserve"> </w:t>
      </w:r>
      <w:r>
        <w:rPr>
          <w:sz w:val="18"/>
        </w:rPr>
        <w:t>deposit-taking</w:t>
      </w:r>
      <w:r>
        <w:rPr>
          <w:spacing w:val="-3"/>
          <w:sz w:val="18"/>
        </w:rPr>
        <w:t xml:space="preserve"> </w:t>
      </w:r>
      <w:r>
        <w:rPr>
          <w:sz w:val="18"/>
        </w:rPr>
        <w:t>institution</w:t>
      </w:r>
      <w:r>
        <w:rPr>
          <w:spacing w:val="-4"/>
          <w:sz w:val="18"/>
        </w:rPr>
        <w:t xml:space="preserve"> </w:t>
      </w:r>
      <w:r>
        <w:rPr>
          <w:sz w:val="18"/>
        </w:rPr>
        <w:t>or</w:t>
      </w:r>
      <w:r>
        <w:rPr>
          <w:spacing w:val="-3"/>
          <w:sz w:val="18"/>
        </w:rPr>
        <w:t xml:space="preserve"> </w:t>
      </w:r>
      <w:r>
        <w:rPr>
          <w:sz w:val="18"/>
        </w:rPr>
        <w:t>an</w:t>
      </w:r>
      <w:r>
        <w:rPr>
          <w:spacing w:val="-2"/>
          <w:sz w:val="18"/>
        </w:rPr>
        <w:t xml:space="preserve"> </w:t>
      </w:r>
      <w:r>
        <w:rPr>
          <w:sz w:val="18"/>
        </w:rPr>
        <w:t>authorised</w:t>
      </w:r>
      <w:r>
        <w:rPr>
          <w:spacing w:val="-5"/>
          <w:sz w:val="18"/>
        </w:rPr>
        <w:t xml:space="preserve"> </w:t>
      </w:r>
      <w:r>
        <w:rPr>
          <w:sz w:val="18"/>
        </w:rPr>
        <w:t>insurance</w:t>
      </w:r>
      <w:r>
        <w:rPr>
          <w:spacing w:val="-2"/>
          <w:sz w:val="18"/>
        </w:rPr>
        <w:t xml:space="preserve"> </w:t>
      </w:r>
      <w:r>
        <w:rPr>
          <w:sz w:val="18"/>
        </w:rPr>
        <w:t>company,</w:t>
      </w:r>
      <w:r>
        <w:rPr>
          <w:spacing w:val="-3"/>
          <w:sz w:val="18"/>
        </w:rPr>
        <w:t xml:space="preserve"> </w:t>
      </w:r>
      <w:r>
        <w:rPr>
          <w:sz w:val="18"/>
        </w:rPr>
        <w:t>then</w:t>
      </w:r>
      <w:r>
        <w:rPr>
          <w:spacing w:val="-2"/>
          <w:sz w:val="18"/>
        </w:rPr>
        <w:t xml:space="preserve"> </w:t>
      </w:r>
      <w:r>
        <w:rPr>
          <w:sz w:val="18"/>
        </w:rPr>
        <w:t>an</w:t>
      </w:r>
      <w:r>
        <w:rPr>
          <w:spacing w:val="-3"/>
          <w:sz w:val="18"/>
        </w:rPr>
        <w:t xml:space="preserve"> </w:t>
      </w:r>
      <w:r>
        <w:rPr>
          <w:sz w:val="18"/>
        </w:rPr>
        <w:t>approval</w:t>
      </w:r>
      <w:r>
        <w:rPr>
          <w:spacing w:val="-4"/>
          <w:sz w:val="18"/>
        </w:rPr>
        <w:t xml:space="preserve"> </w:t>
      </w:r>
      <w:r>
        <w:rPr>
          <w:sz w:val="18"/>
        </w:rPr>
        <w:t>is</w:t>
      </w:r>
      <w:r>
        <w:rPr>
          <w:spacing w:val="-2"/>
          <w:sz w:val="18"/>
        </w:rPr>
        <w:t xml:space="preserve"> </w:t>
      </w:r>
      <w:r>
        <w:rPr>
          <w:sz w:val="18"/>
        </w:rPr>
        <w:t>taken</w:t>
      </w:r>
      <w:r>
        <w:rPr>
          <w:spacing w:val="-2"/>
          <w:sz w:val="18"/>
        </w:rPr>
        <w:t xml:space="preserve"> </w:t>
      </w:r>
      <w:r>
        <w:rPr>
          <w:sz w:val="18"/>
        </w:rPr>
        <w:t>to</w:t>
      </w:r>
      <w:r>
        <w:rPr>
          <w:spacing w:val="-5"/>
          <w:sz w:val="18"/>
        </w:rPr>
        <w:t xml:space="preserve"> </w:t>
      </w:r>
      <w:r>
        <w:rPr>
          <w:sz w:val="18"/>
        </w:rPr>
        <w:t>exist</w:t>
      </w:r>
      <w:r>
        <w:rPr>
          <w:spacing w:val="-2"/>
          <w:sz w:val="18"/>
        </w:rPr>
        <w:t xml:space="preserve"> </w:t>
      </w:r>
      <w:r>
        <w:rPr>
          <w:sz w:val="18"/>
        </w:rPr>
        <w:t>for the holding of a stake of equal value in each financial sector company that is a 100% subsidiary of</w:t>
      </w:r>
      <w:r>
        <w:rPr>
          <w:spacing w:val="-32"/>
          <w:sz w:val="18"/>
        </w:rPr>
        <w:t xml:space="preserve"> </w:t>
      </w:r>
      <w:r>
        <w:rPr>
          <w:sz w:val="18"/>
        </w:rPr>
        <w:t>the</w:t>
      </w:r>
    </w:p>
    <w:p w14:paraId="096D8092" w14:textId="77777777" w:rsidR="00173080" w:rsidRDefault="00C710F9">
      <w:pPr>
        <w:spacing w:before="1"/>
        <w:ind w:left="100"/>
        <w:rPr>
          <w:sz w:val="18"/>
        </w:rPr>
      </w:pPr>
      <w:r>
        <w:rPr>
          <w:sz w:val="18"/>
        </w:rPr>
        <w:t>holding company.</w:t>
      </w:r>
    </w:p>
    <w:p w14:paraId="096D8093" w14:textId="77777777" w:rsidR="00173080" w:rsidRDefault="00173080">
      <w:pPr>
        <w:pStyle w:val="BodyText"/>
        <w:spacing w:before="8"/>
        <w:rPr>
          <w:sz w:val="17"/>
        </w:rPr>
      </w:pPr>
    </w:p>
    <w:p w14:paraId="096D8094" w14:textId="77777777" w:rsidR="00173080" w:rsidRDefault="00C710F9">
      <w:pPr>
        <w:spacing w:line="207" w:lineRule="exact"/>
        <w:ind w:left="100"/>
        <w:rPr>
          <w:sz w:val="18"/>
        </w:rPr>
      </w:pPr>
      <w:r>
        <w:rPr>
          <w:i/>
          <w:sz w:val="18"/>
        </w:rPr>
        <w:t xml:space="preserve">Note 6 </w:t>
      </w:r>
      <w:r>
        <w:rPr>
          <w:sz w:val="18"/>
        </w:rPr>
        <w:t>Under section 14 of the Act, the Treasurer must give written notice of this Approval to the</w:t>
      </w:r>
    </w:p>
    <w:p w14:paraId="096D8095" w14:textId="77777777" w:rsidR="00173080" w:rsidRDefault="00C710F9">
      <w:pPr>
        <w:ind w:left="100" w:right="295"/>
        <w:rPr>
          <w:sz w:val="18"/>
        </w:rPr>
      </w:pPr>
      <w:r>
        <w:rPr>
          <w:sz w:val="18"/>
        </w:rPr>
        <w:t>a</w:t>
      </w:r>
      <w:r>
        <w:rPr>
          <w:sz w:val="18"/>
        </w:rPr>
        <w:t xml:space="preserve">pplicant and financial sector company concerned and this instrument will be registered in the </w:t>
      </w:r>
      <w:r>
        <w:rPr>
          <w:i/>
          <w:sz w:val="18"/>
        </w:rPr>
        <w:t xml:space="preserve">Federal Register of Legislation </w:t>
      </w:r>
      <w:r>
        <w:rPr>
          <w:sz w:val="18"/>
        </w:rPr>
        <w:t>as a notifiable instrument.</w:t>
      </w:r>
    </w:p>
    <w:p w14:paraId="096D8096" w14:textId="77777777" w:rsidR="00173080" w:rsidRDefault="00173080">
      <w:pPr>
        <w:pStyle w:val="BodyText"/>
        <w:rPr>
          <w:sz w:val="18"/>
        </w:rPr>
      </w:pPr>
    </w:p>
    <w:p w14:paraId="096D8097" w14:textId="77777777" w:rsidR="00173080" w:rsidRDefault="00C710F9">
      <w:pPr>
        <w:spacing w:before="1"/>
        <w:ind w:left="100" w:right="224"/>
        <w:rPr>
          <w:sz w:val="18"/>
        </w:rPr>
      </w:pPr>
      <w:r>
        <w:rPr>
          <w:i/>
          <w:sz w:val="18"/>
        </w:rPr>
        <w:t xml:space="preserve">Note 7 </w:t>
      </w:r>
      <w:r>
        <w:rPr>
          <w:sz w:val="18"/>
        </w:rPr>
        <w:t xml:space="preserve">Under section 11 of the Act, a person or 2 or more persons under an arrangement are guilty of </w:t>
      </w:r>
      <w:r>
        <w:rPr>
          <w:sz w:val="18"/>
        </w:rPr>
        <w:t>an offence if the person(s) acquires shares in a company and the acquisition has the result, in relation to a financial sector company, that:</w:t>
      </w:r>
    </w:p>
    <w:p w14:paraId="096D8098" w14:textId="77777777" w:rsidR="00173080" w:rsidRDefault="00C710F9">
      <w:pPr>
        <w:pStyle w:val="ListParagraph"/>
        <w:numPr>
          <w:ilvl w:val="1"/>
          <w:numId w:val="2"/>
        </w:numPr>
        <w:tabs>
          <w:tab w:val="left" w:pos="1031"/>
        </w:tabs>
        <w:spacing w:before="3" w:line="207" w:lineRule="exact"/>
        <w:rPr>
          <w:sz w:val="18"/>
        </w:rPr>
      </w:pPr>
      <w:r>
        <w:rPr>
          <w:sz w:val="18"/>
        </w:rPr>
        <w:t>an unacceptable shareholding situation comes into existence;</w:t>
      </w:r>
      <w:r>
        <w:rPr>
          <w:spacing w:val="-10"/>
          <w:sz w:val="18"/>
        </w:rPr>
        <w:t xml:space="preserve"> </w:t>
      </w:r>
      <w:r>
        <w:rPr>
          <w:sz w:val="18"/>
        </w:rPr>
        <w:t>or</w:t>
      </w:r>
    </w:p>
    <w:p w14:paraId="096D8099" w14:textId="77777777" w:rsidR="00173080" w:rsidRDefault="00C710F9">
      <w:pPr>
        <w:pStyle w:val="ListParagraph"/>
        <w:numPr>
          <w:ilvl w:val="1"/>
          <w:numId w:val="2"/>
        </w:numPr>
        <w:tabs>
          <w:tab w:val="left" w:pos="1072"/>
        </w:tabs>
        <w:ind w:left="820" w:right="475" w:firstLine="0"/>
        <w:rPr>
          <w:sz w:val="18"/>
        </w:rPr>
      </w:pPr>
      <w:r>
        <w:rPr>
          <w:sz w:val="18"/>
        </w:rPr>
        <w:t>if</w:t>
      </w:r>
      <w:r>
        <w:rPr>
          <w:spacing w:val="-4"/>
          <w:sz w:val="18"/>
        </w:rPr>
        <w:t xml:space="preserve"> </w:t>
      </w:r>
      <w:r>
        <w:rPr>
          <w:sz w:val="18"/>
        </w:rPr>
        <w:t>an</w:t>
      </w:r>
      <w:r>
        <w:rPr>
          <w:spacing w:val="-4"/>
          <w:sz w:val="18"/>
        </w:rPr>
        <w:t xml:space="preserve"> </w:t>
      </w:r>
      <w:r>
        <w:rPr>
          <w:sz w:val="18"/>
        </w:rPr>
        <w:t>unacceptable</w:t>
      </w:r>
      <w:r>
        <w:rPr>
          <w:spacing w:val="-4"/>
          <w:sz w:val="18"/>
        </w:rPr>
        <w:t xml:space="preserve"> </w:t>
      </w:r>
      <w:r>
        <w:rPr>
          <w:sz w:val="18"/>
        </w:rPr>
        <w:t>shareholding</w:t>
      </w:r>
      <w:r>
        <w:rPr>
          <w:spacing w:val="-3"/>
          <w:sz w:val="18"/>
        </w:rPr>
        <w:t xml:space="preserve"> </w:t>
      </w:r>
      <w:r>
        <w:rPr>
          <w:sz w:val="18"/>
        </w:rPr>
        <w:t>situation</w:t>
      </w:r>
      <w:r>
        <w:rPr>
          <w:spacing w:val="-2"/>
          <w:sz w:val="18"/>
        </w:rPr>
        <w:t xml:space="preserve"> </w:t>
      </w:r>
      <w:r>
        <w:rPr>
          <w:sz w:val="18"/>
        </w:rPr>
        <w:t>already</w:t>
      </w:r>
      <w:r>
        <w:rPr>
          <w:spacing w:val="-4"/>
          <w:sz w:val="18"/>
        </w:rPr>
        <w:t xml:space="preserve"> </w:t>
      </w:r>
      <w:r>
        <w:rPr>
          <w:sz w:val="18"/>
        </w:rPr>
        <w:t>exists in</w:t>
      </w:r>
      <w:r>
        <w:rPr>
          <w:spacing w:val="-6"/>
          <w:sz w:val="18"/>
        </w:rPr>
        <w:t xml:space="preserve"> </w:t>
      </w:r>
      <w:r>
        <w:rPr>
          <w:sz w:val="18"/>
        </w:rPr>
        <w:t>relation</w:t>
      </w:r>
      <w:r>
        <w:rPr>
          <w:spacing w:val="-2"/>
          <w:sz w:val="18"/>
        </w:rPr>
        <w:t xml:space="preserve"> </w:t>
      </w:r>
      <w:r>
        <w:rPr>
          <w:sz w:val="18"/>
        </w:rPr>
        <w:t>to</w:t>
      </w:r>
      <w:r>
        <w:rPr>
          <w:spacing w:val="-2"/>
          <w:sz w:val="18"/>
        </w:rPr>
        <w:t xml:space="preserve"> </w:t>
      </w:r>
      <w:r>
        <w:rPr>
          <w:sz w:val="18"/>
        </w:rPr>
        <w:t>the</w:t>
      </w:r>
      <w:r>
        <w:rPr>
          <w:spacing w:val="-3"/>
          <w:sz w:val="18"/>
        </w:rPr>
        <w:t xml:space="preserve"> </w:t>
      </w:r>
      <w:r>
        <w:rPr>
          <w:sz w:val="18"/>
        </w:rPr>
        <w:t>company</w:t>
      </w:r>
      <w:r>
        <w:rPr>
          <w:spacing w:val="-4"/>
          <w:sz w:val="18"/>
        </w:rPr>
        <w:t xml:space="preserve"> </w:t>
      </w:r>
      <w:r>
        <w:rPr>
          <w:sz w:val="18"/>
        </w:rPr>
        <w:t>and</w:t>
      </w:r>
      <w:r>
        <w:rPr>
          <w:spacing w:val="-4"/>
          <w:sz w:val="18"/>
        </w:rPr>
        <w:t xml:space="preserve"> </w:t>
      </w:r>
      <w:r>
        <w:rPr>
          <w:sz w:val="18"/>
        </w:rPr>
        <w:t>in</w:t>
      </w:r>
      <w:r>
        <w:rPr>
          <w:spacing w:val="-3"/>
          <w:sz w:val="18"/>
        </w:rPr>
        <w:t xml:space="preserve"> </w:t>
      </w:r>
      <w:r>
        <w:rPr>
          <w:sz w:val="18"/>
        </w:rPr>
        <w:t>relation to a person – there is an increase in the stake held by the person in the</w:t>
      </w:r>
      <w:r>
        <w:rPr>
          <w:spacing w:val="-19"/>
          <w:sz w:val="18"/>
        </w:rPr>
        <w:t xml:space="preserve"> </w:t>
      </w:r>
      <w:r>
        <w:rPr>
          <w:sz w:val="18"/>
        </w:rPr>
        <w:t>company;</w:t>
      </w:r>
    </w:p>
    <w:p w14:paraId="096D809A" w14:textId="77777777" w:rsidR="00173080" w:rsidRDefault="00C710F9">
      <w:pPr>
        <w:spacing w:before="1"/>
        <w:ind w:left="100" w:right="283"/>
        <w:jc w:val="both"/>
        <w:rPr>
          <w:sz w:val="18"/>
        </w:rPr>
      </w:pPr>
      <w:r>
        <w:rPr>
          <w:sz w:val="18"/>
        </w:rPr>
        <w:t>and the person(s) was reckless as to whether the acquisition would have that result. A maximum penalty of 400 penalty units applies or by virtue of subsection 4</w:t>
      </w:r>
      <w:proofErr w:type="gramStart"/>
      <w:r>
        <w:rPr>
          <w:sz w:val="18"/>
        </w:rPr>
        <w:t>B(</w:t>
      </w:r>
      <w:proofErr w:type="gramEnd"/>
      <w:r>
        <w:rPr>
          <w:sz w:val="18"/>
        </w:rPr>
        <w:t xml:space="preserve">3) of the </w:t>
      </w:r>
      <w:r>
        <w:rPr>
          <w:i/>
          <w:sz w:val="18"/>
        </w:rPr>
        <w:t>Crimes Act 1914</w:t>
      </w:r>
      <w:r>
        <w:rPr>
          <w:sz w:val="18"/>
        </w:rPr>
        <w:t>, in the case of a body corporate, a penalty not exceeding 2,000 pena</w:t>
      </w:r>
      <w:r>
        <w:rPr>
          <w:sz w:val="18"/>
        </w:rPr>
        <w:t>lty units. By virtue of section 39 of the Act, an offence against section 11 is an indictable offence.</w:t>
      </w:r>
    </w:p>
    <w:p w14:paraId="096D809B" w14:textId="77777777" w:rsidR="00173080" w:rsidRDefault="00173080">
      <w:pPr>
        <w:pStyle w:val="BodyText"/>
        <w:spacing w:before="9"/>
        <w:rPr>
          <w:sz w:val="17"/>
        </w:rPr>
      </w:pPr>
    </w:p>
    <w:p w14:paraId="096D809C" w14:textId="77777777" w:rsidR="00173080" w:rsidRDefault="00C710F9">
      <w:pPr>
        <w:ind w:left="100" w:right="555"/>
        <w:rPr>
          <w:sz w:val="18"/>
        </w:rPr>
      </w:pPr>
      <w:r>
        <w:rPr>
          <w:i/>
          <w:sz w:val="18"/>
        </w:rPr>
        <w:t xml:space="preserve">Note 8 </w:t>
      </w:r>
      <w:r>
        <w:rPr>
          <w:sz w:val="18"/>
        </w:rPr>
        <w:t>Under subsection 32(3) of the Act, if a person has engaged in or is proposing to engage in any conduct in contravention of a condition to which a</w:t>
      </w:r>
      <w:r>
        <w:rPr>
          <w:sz w:val="18"/>
        </w:rPr>
        <w:t>n approval under section 14 is subject, the Federal Court may, on the application of the Treasurer, grant an injunction:</w:t>
      </w:r>
    </w:p>
    <w:p w14:paraId="096D809D" w14:textId="77777777" w:rsidR="00173080" w:rsidRDefault="00C710F9">
      <w:pPr>
        <w:pStyle w:val="ListParagraph"/>
        <w:numPr>
          <w:ilvl w:val="0"/>
          <w:numId w:val="1"/>
        </w:numPr>
        <w:tabs>
          <w:tab w:val="left" w:pos="312"/>
        </w:tabs>
        <w:spacing w:before="3" w:line="207" w:lineRule="exact"/>
        <w:rPr>
          <w:sz w:val="18"/>
        </w:rPr>
      </w:pPr>
      <w:r>
        <w:rPr>
          <w:sz w:val="18"/>
        </w:rPr>
        <w:t>restraining the person engaging in the conduct;</w:t>
      </w:r>
      <w:r>
        <w:rPr>
          <w:spacing w:val="-13"/>
          <w:sz w:val="18"/>
        </w:rPr>
        <w:t xml:space="preserve"> </w:t>
      </w:r>
      <w:r>
        <w:rPr>
          <w:sz w:val="18"/>
        </w:rPr>
        <w:t>and</w:t>
      </w:r>
    </w:p>
    <w:p w14:paraId="096D809E" w14:textId="77777777" w:rsidR="00173080" w:rsidRDefault="00C710F9">
      <w:pPr>
        <w:pStyle w:val="ListParagraph"/>
        <w:numPr>
          <w:ilvl w:val="0"/>
          <w:numId w:val="1"/>
        </w:numPr>
        <w:tabs>
          <w:tab w:val="left" w:pos="352"/>
        </w:tabs>
        <w:spacing w:line="207" w:lineRule="exact"/>
        <w:ind w:left="351" w:hanging="251"/>
        <w:rPr>
          <w:sz w:val="18"/>
        </w:rPr>
      </w:pPr>
      <w:r>
        <w:rPr>
          <w:sz w:val="18"/>
        </w:rPr>
        <w:t>if in the Court’s opinion, it is desirable to do so, requiring the person to do</w:t>
      </w:r>
      <w:r>
        <w:rPr>
          <w:spacing w:val="-19"/>
          <w:sz w:val="18"/>
        </w:rPr>
        <w:t xml:space="preserve"> </w:t>
      </w:r>
      <w:r>
        <w:rPr>
          <w:sz w:val="18"/>
        </w:rPr>
        <w:t>som</w:t>
      </w:r>
      <w:r>
        <w:rPr>
          <w:sz w:val="18"/>
        </w:rPr>
        <w:t>ething.</w:t>
      </w:r>
    </w:p>
    <w:p w14:paraId="096D809F" w14:textId="77777777" w:rsidR="00173080" w:rsidRDefault="00173080">
      <w:pPr>
        <w:spacing w:line="207" w:lineRule="exact"/>
        <w:rPr>
          <w:sz w:val="18"/>
        </w:rPr>
        <w:sectPr w:rsidR="00173080">
          <w:headerReference w:type="default" r:id="rId13"/>
          <w:footerReference w:type="default" r:id="rId14"/>
          <w:pgSz w:w="11910" w:h="16840"/>
          <w:pgMar w:top="2240" w:right="1320" w:bottom="900" w:left="1340" w:header="1339" w:footer="707" w:gutter="0"/>
          <w:pgNumType w:start="2"/>
          <w:cols w:space="720"/>
        </w:sectPr>
      </w:pPr>
    </w:p>
    <w:p w14:paraId="096D80A0" w14:textId="77777777" w:rsidR="00173080" w:rsidRDefault="00173080">
      <w:pPr>
        <w:pStyle w:val="BodyText"/>
        <w:rPr>
          <w:sz w:val="20"/>
        </w:rPr>
      </w:pPr>
    </w:p>
    <w:p w14:paraId="096D80A1" w14:textId="77777777" w:rsidR="00173080" w:rsidRDefault="00173080">
      <w:pPr>
        <w:pStyle w:val="BodyText"/>
        <w:rPr>
          <w:sz w:val="20"/>
        </w:rPr>
      </w:pPr>
    </w:p>
    <w:p w14:paraId="096D80A2" w14:textId="77777777" w:rsidR="00173080" w:rsidRDefault="00173080">
      <w:pPr>
        <w:pStyle w:val="BodyText"/>
        <w:spacing w:before="5"/>
        <w:rPr>
          <w:sz w:val="20"/>
        </w:rPr>
      </w:pPr>
    </w:p>
    <w:p w14:paraId="096D80A3" w14:textId="77777777" w:rsidR="00173080" w:rsidRDefault="00C710F9">
      <w:pPr>
        <w:pStyle w:val="Heading1"/>
      </w:pPr>
      <w:r>
        <w:t>Schedule 1 – the Existing Approval Holders</w:t>
      </w:r>
    </w:p>
    <w:p w14:paraId="096D80A4" w14:textId="77777777" w:rsidR="00173080" w:rsidRDefault="00173080">
      <w:pPr>
        <w:pStyle w:val="BodyText"/>
        <w:spacing w:before="1"/>
        <w:rPr>
          <w:b/>
        </w:rPr>
      </w:pPr>
    </w:p>
    <w:p w14:paraId="096D80A5" w14:textId="77777777" w:rsidR="00173080" w:rsidRDefault="00C710F9">
      <w:pPr>
        <w:pStyle w:val="BodyText"/>
        <w:ind w:left="100"/>
      </w:pPr>
      <w:r>
        <w:t>US Trust Company of Delaware (3185789, Delaware, USA) as trustee of the Ma Family Trust Cooperative Minerva and Artemis Holdings UA (34228087, Netherlands)</w:t>
      </w:r>
    </w:p>
    <w:p w14:paraId="096D80A6" w14:textId="77777777" w:rsidR="00173080" w:rsidRDefault="00C710F9">
      <w:pPr>
        <w:pStyle w:val="BodyText"/>
        <w:spacing w:before="1"/>
        <w:ind w:left="100"/>
      </w:pPr>
      <w:proofErr w:type="spellStart"/>
      <w:r>
        <w:t>Zayucel</w:t>
      </w:r>
      <w:proofErr w:type="spellEnd"/>
      <w:r>
        <w:t xml:space="preserve"> Limited (14613, British Virgin Islands)</w:t>
      </w:r>
    </w:p>
    <w:p w14:paraId="096D80A7" w14:textId="77777777" w:rsidR="00173080" w:rsidRDefault="00C710F9">
      <w:pPr>
        <w:pStyle w:val="BodyText"/>
        <w:spacing w:before="1"/>
        <w:ind w:left="100" w:right="1255"/>
      </w:pPr>
      <w:r>
        <w:t>Isocrates Limited (123699, British Virgin Islands) a</w:t>
      </w:r>
      <w:r>
        <w:t>s trustee of the Isocrates Trust Sherman Ma</w:t>
      </w:r>
    </w:p>
    <w:p w14:paraId="096D80A8" w14:textId="77777777" w:rsidR="00173080" w:rsidRDefault="00C710F9">
      <w:pPr>
        <w:pStyle w:val="BodyText"/>
        <w:spacing w:line="251" w:lineRule="exact"/>
        <w:ind w:left="100"/>
      </w:pPr>
      <w:r>
        <w:t>Assured Credit Management Pty Ltd ABN 23 096 859 782</w:t>
      </w:r>
    </w:p>
    <w:p w14:paraId="096D80A9" w14:textId="77777777" w:rsidR="00173080" w:rsidRDefault="00C710F9">
      <w:pPr>
        <w:pStyle w:val="BodyText"/>
        <w:spacing w:before="2" w:line="252" w:lineRule="exact"/>
        <w:ind w:left="100"/>
      </w:pPr>
      <w:r>
        <w:t>Beat Association Limited ABN 48 122 079 994</w:t>
      </w:r>
    </w:p>
    <w:p w14:paraId="096D80AA" w14:textId="77777777" w:rsidR="00173080" w:rsidRDefault="00C710F9">
      <w:pPr>
        <w:pStyle w:val="BodyText"/>
        <w:spacing w:line="242" w:lineRule="auto"/>
        <w:ind w:left="100" w:right="4922"/>
      </w:pPr>
      <w:r>
        <w:t xml:space="preserve">Beat Services Pty Ltd ABN 65 121 451 803 Hestia Holdings </w:t>
      </w:r>
      <w:proofErr w:type="spellStart"/>
      <w:r>
        <w:t>Sarl</w:t>
      </w:r>
      <w:proofErr w:type="spellEnd"/>
      <w:r>
        <w:t xml:space="preserve"> (Luxembourg)</w:t>
      </w:r>
    </w:p>
    <w:p w14:paraId="096D80AB" w14:textId="77777777" w:rsidR="00173080" w:rsidRDefault="00C710F9">
      <w:pPr>
        <w:pStyle w:val="BodyText"/>
        <w:ind w:left="100" w:right="5804"/>
      </w:pPr>
      <w:r>
        <w:t>Jupiter Holdings BV (Netherlands) Juno H</w:t>
      </w:r>
      <w:r>
        <w:t xml:space="preserve">oldings </w:t>
      </w:r>
      <w:proofErr w:type="spellStart"/>
      <w:r>
        <w:t>Sarl</w:t>
      </w:r>
      <w:proofErr w:type="spellEnd"/>
      <w:r>
        <w:t xml:space="preserve"> (Luxembourg)</w:t>
      </w:r>
    </w:p>
    <w:p w14:paraId="096D80AC" w14:textId="77777777" w:rsidR="00173080" w:rsidRDefault="00C710F9">
      <w:pPr>
        <w:pStyle w:val="BodyText"/>
        <w:spacing w:line="252" w:lineRule="exact"/>
        <w:ind w:left="100"/>
      </w:pPr>
      <w:r>
        <w:t>LFI Group Pty Ltd ABN 31 138 903 581</w:t>
      </w:r>
    </w:p>
    <w:p w14:paraId="096D80AD" w14:textId="77777777" w:rsidR="00173080" w:rsidRDefault="00C710F9">
      <w:pPr>
        <w:pStyle w:val="BodyText"/>
        <w:ind w:left="100" w:right="2771"/>
      </w:pPr>
      <w:r>
        <w:t>Liberty Credit Enhancement Company NZ Limited (New Zealand) Liberty Credit Enhancement Company Pty Ltd ACN 107 301 646 Liberty Fiduciary Ltd ABN 80 119 884 623</w:t>
      </w:r>
    </w:p>
    <w:p w14:paraId="096D80AE" w14:textId="77777777" w:rsidR="00173080" w:rsidRDefault="00C710F9">
      <w:pPr>
        <w:pStyle w:val="BodyText"/>
        <w:ind w:left="100" w:right="4690"/>
      </w:pPr>
      <w:r>
        <w:t>Liberty Financial Limited (New Ze</w:t>
      </w:r>
      <w:r>
        <w:t>aland) Liberty Financial Pty Ltd ABN 55 077 248 983 Liberty Funding Limited (New Zealand) Liberty Funding Pty Ltd ABN 49 128 856</w:t>
      </w:r>
      <w:r>
        <w:rPr>
          <w:spacing w:val="-9"/>
        </w:rPr>
        <w:t xml:space="preserve"> </w:t>
      </w:r>
      <w:r>
        <w:t>422</w:t>
      </w:r>
    </w:p>
    <w:p w14:paraId="096D80AF" w14:textId="77777777" w:rsidR="00173080" w:rsidRDefault="00C710F9">
      <w:pPr>
        <w:pStyle w:val="BodyText"/>
        <w:spacing w:line="252" w:lineRule="exact"/>
        <w:ind w:left="100"/>
      </w:pPr>
      <w:r>
        <w:t>Liberty Network Services Pty. Ltd. ABN 65 151 158 628</w:t>
      </w:r>
    </w:p>
    <w:p w14:paraId="096D80B0" w14:textId="77777777" w:rsidR="00173080" w:rsidRDefault="00C710F9">
      <w:pPr>
        <w:pStyle w:val="BodyText"/>
        <w:spacing w:line="252" w:lineRule="exact"/>
        <w:ind w:left="100"/>
      </w:pPr>
      <w:proofErr w:type="spellStart"/>
      <w:r>
        <w:t>Loannet</w:t>
      </w:r>
      <w:proofErr w:type="spellEnd"/>
      <w:r>
        <w:t xml:space="preserve"> Pty Ltd ABN 18 077 898 027</w:t>
      </w:r>
    </w:p>
    <w:p w14:paraId="096D80B1" w14:textId="77777777" w:rsidR="00173080" w:rsidRDefault="00C710F9">
      <w:pPr>
        <w:pStyle w:val="BodyText"/>
        <w:spacing w:line="252" w:lineRule="exact"/>
        <w:ind w:left="100"/>
      </w:pPr>
      <w:r>
        <w:t>Minerva Financial Group Pty Limited ABN 43 124 171 759</w:t>
      </w:r>
    </w:p>
    <w:p w14:paraId="096D80B2" w14:textId="77777777" w:rsidR="00173080" w:rsidRDefault="00C710F9">
      <w:pPr>
        <w:pStyle w:val="BodyText"/>
        <w:spacing w:line="252" w:lineRule="exact"/>
        <w:ind w:left="100"/>
      </w:pPr>
      <w:r>
        <w:t>Minerva Funding Pty Ltd ACN 150 500 271</w:t>
      </w:r>
    </w:p>
    <w:p w14:paraId="096D80B3" w14:textId="77777777" w:rsidR="00173080" w:rsidRDefault="00C710F9">
      <w:pPr>
        <w:pStyle w:val="BodyText"/>
        <w:spacing w:line="252" w:lineRule="exact"/>
        <w:ind w:left="100"/>
      </w:pPr>
      <w:r>
        <w:t>Minerva Funds Management Limited ABN 81 119 873 282</w:t>
      </w:r>
    </w:p>
    <w:p w14:paraId="096D80B4" w14:textId="77777777" w:rsidR="00173080" w:rsidRDefault="00C710F9">
      <w:pPr>
        <w:pStyle w:val="BodyText"/>
        <w:ind w:left="100" w:right="606"/>
      </w:pPr>
      <w:r>
        <w:t>Minerva Technology Pty Ltd (now Liberty Financial Group Pty Ltd) ABN 59 125 611 574 MPMH Limited (New Zealand</w:t>
      </w:r>
      <w:r>
        <w:t>)</w:t>
      </w:r>
    </w:p>
    <w:p w14:paraId="096D80B5" w14:textId="77777777" w:rsidR="00173080" w:rsidRDefault="00C710F9">
      <w:pPr>
        <w:pStyle w:val="BodyText"/>
        <w:ind w:left="100" w:right="4764"/>
      </w:pPr>
      <w:r>
        <w:t>Mike Pero Group Limited (New Zealand) Mike Pero Mortgages Limited (New Zealand)</w:t>
      </w:r>
    </w:p>
    <w:p w14:paraId="096D80B6" w14:textId="77777777" w:rsidR="00173080" w:rsidRDefault="00C710F9">
      <w:pPr>
        <w:pStyle w:val="BodyText"/>
        <w:ind w:left="100" w:right="4361"/>
      </w:pPr>
      <w:r>
        <w:t>Mike Pero (New Zealand) Limited (New Zealand) Mike Pero Insurances Limited (New Zealand) Quaker Partners LLC (5071296, Delaware, USA) Secure Credit Pty Ltd ABN 45 124 171 768</w:t>
      </w:r>
    </w:p>
    <w:p w14:paraId="096D80B7" w14:textId="77777777" w:rsidR="00173080" w:rsidRDefault="00C710F9">
      <w:pPr>
        <w:pStyle w:val="BodyText"/>
        <w:ind w:left="100" w:right="4727"/>
      </w:pPr>
      <w:r>
        <w:t>Secure Funding Pty Ltd ABN 25 081 982 872 Secure Funding Limited (New Zealand)</w:t>
      </w:r>
    </w:p>
    <w:p w14:paraId="096D80B8" w14:textId="77777777" w:rsidR="00173080" w:rsidRDefault="00C710F9">
      <w:pPr>
        <w:pStyle w:val="BodyText"/>
        <w:ind w:left="100" w:right="4629"/>
      </w:pPr>
      <w:r>
        <w:t>Trail Finance Group Pty Ltd ACN 143 003 758 Vesta Financial BV (Netherlands)</w:t>
      </w:r>
    </w:p>
    <w:p w14:paraId="096D80B9" w14:textId="77777777" w:rsidR="00173080" w:rsidRDefault="00C710F9">
      <w:pPr>
        <w:pStyle w:val="BodyText"/>
        <w:ind w:left="100"/>
      </w:pPr>
      <w:r>
        <w:t>Vesta Funding BV (Netherlands)</w:t>
      </w:r>
    </w:p>
    <w:p w14:paraId="096D80BA" w14:textId="77777777" w:rsidR="00173080" w:rsidRDefault="00173080">
      <w:pPr>
        <w:sectPr w:rsidR="00173080">
          <w:pgSz w:w="11910" w:h="16840"/>
          <w:pgMar w:top="2240" w:right="1320" w:bottom="900" w:left="1340" w:header="1339" w:footer="707" w:gutter="0"/>
          <w:cols w:space="720"/>
        </w:sectPr>
      </w:pPr>
    </w:p>
    <w:p w14:paraId="096D80BB" w14:textId="77777777" w:rsidR="00173080" w:rsidRDefault="00173080">
      <w:pPr>
        <w:pStyle w:val="BodyText"/>
        <w:rPr>
          <w:sz w:val="20"/>
        </w:rPr>
      </w:pPr>
    </w:p>
    <w:p w14:paraId="096D80BC" w14:textId="77777777" w:rsidR="00173080" w:rsidRDefault="00173080">
      <w:pPr>
        <w:pStyle w:val="BodyText"/>
        <w:rPr>
          <w:sz w:val="20"/>
        </w:rPr>
      </w:pPr>
    </w:p>
    <w:p w14:paraId="096D80BD" w14:textId="77777777" w:rsidR="00173080" w:rsidRDefault="00173080">
      <w:pPr>
        <w:pStyle w:val="BodyText"/>
        <w:spacing w:before="5"/>
        <w:rPr>
          <w:sz w:val="20"/>
        </w:rPr>
      </w:pPr>
    </w:p>
    <w:p w14:paraId="096D80BE" w14:textId="77777777" w:rsidR="00173080" w:rsidRDefault="00C710F9">
      <w:pPr>
        <w:pStyle w:val="Heading1"/>
      </w:pPr>
      <w:r>
        <w:t>Schedule 2 – the Applicants</w:t>
      </w:r>
    </w:p>
    <w:p w14:paraId="096D80BF" w14:textId="77777777" w:rsidR="00173080" w:rsidRDefault="00173080">
      <w:pPr>
        <w:pStyle w:val="BodyText"/>
        <w:spacing w:before="2"/>
        <w:rPr>
          <w:b/>
          <w:sz w:val="24"/>
        </w:rPr>
      </w:pPr>
    </w:p>
    <w:p w14:paraId="096D80C0" w14:textId="77777777" w:rsidR="00173080" w:rsidRDefault="00C710F9">
      <w:pPr>
        <w:pStyle w:val="BodyText"/>
        <w:ind w:left="100"/>
      </w:pPr>
      <w:r>
        <w:t>US Trust Company o</w:t>
      </w:r>
      <w:r>
        <w:t xml:space="preserve">f Delaware (3185789, Delaware, USA) as trustee of the Ma Family Trust </w:t>
      </w:r>
      <w:proofErr w:type="spellStart"/>
      <w:r>
        <w:t>Zayucel</w:t>
      </w:r>
      <w:proofErr w:type="spellEnd"/>
      <w:r>
        <w:t xml:space="preserve"> Limited (14613, British Virgin Islands)</w:t>
      </w:r>
    </w:p>
    <w:p w14:paraId="096D80C1" w14:textId="77777777" w:rsidR="00173080" w:rsidRDefault="00C710F9">
      <w:pPr>
        <w:pStyle w:val="BodyText"/>
        <w:spacing w:before="1"/>
        <w:ind w:left="100" w:right="1255"/>
      </w:pPr>
      <w:r>
        <w:t>Isocrates Limited (123699, British Virgin Islands) as trustee of the Isocrates Trust Sherman Ma</w:t>
      </w:r>
    </w:p>
    <w:p w14:paraId="096D80C2" w14:textId="77777777" w:rsidR="00173080" w:rsidRDefault="00C710F9">
      <w:pPr>
        <w:pStyle w:val="BodyText"/>
        <w:ind w:left="100" w:right="4764"/>
      </w:pPr>
      <w:r>
        <w:t>Z-LF Holdco LLC (7701992, Delaware, USA) H</w:t>
      </w:r>
      <w:r>
        <w:t>estia Holdings BV (Netherlands)</w:t>
      </w:r>
    </w:p>
    <w:p w14:paraId="096D80C3" w14:textId="77777777" w:rsidR="00173080" w:rsidRDefault="00C710F9">
      <w:pPr>
        <w:pStyle w:val="BodyText"/>
        <w:ind w:left="100" w:right="5877"/>
      </w:pPr>
      <w:r>
        <w:t>Vesta Financial BV (Netherlands) Vesta Funding BV (Netherlands)</w:t>
      </w:r>
    </w:p>
    <w:p w14:paraId="096D80C4" w14:textId="77777777" w:rsidR="00173080" w:rsidRDefault="00C710F9">
      <w:pPr>
        <w:pStyle w:val="BodyText"/>
        <w:ind w:left="100"/>
      </w:pPr>
      <w:r>
        <w:t>Liberty Financial Group Pty Ltd ABN 59 125 611 574</w:t>
      </w:r>
    </w:p>
    <w:sectPr w:rsidR="00173080">
      <w:pgSz w:w="11910" w:h="16840"/>
      <w:pgMar w:top="2240" w:right="1320" w:bottom="900" w:left="1340" w:header="1339"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D80D1" w14:textId="77777777" w:rsidR="00000000" w:rsidRDefault="00C710F9">
      <w:r>
        <w:separator/>
      </w:r>
    </w:p>
  </w:endnote>
  <w:endnote w:type="continuationSeparator" w:id="0">
    <w:p w14:paraId="096D80D3" w14:textId="77777777" w:rsidR="00000000" w:rsidRDefault="00C7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80CC" w14:textId="77777777" w:rsidR="00173080" w:rsidRDefault="00C710F9">
    <w:pPr>
      <w:pStyle w:val="BodyText"/>
      <w:spacing w:line="14" w:lineRule="auto"/>
      <w:rPr>
        <w:sz w:val="20"/>
      </w:rPr>
    </w:pPr>
    <w:r>
      <w:pict w14:anchorId="096D80CF">
        <v:shapetype id="_x0000_t202" coordsize="21600,21600" o:spt="202" path="m,l,21600r21600,l21600,xe">
          <v:stroke joinstyle="miter"/>
          <v:path gradientshapeok="t" o:connecttype="rect"/>
        </v:shapetype>
        <v:shape id="_x0000_s2049" type="#_x0000_t202" style="position:absolute;margin-left:476.35pt;margin-top:795.55pt;width:48.2pt;height:12.1pt;z-index:-251658240;mso-position-horizontal-relative:page;mso-position-vertical-relative:page" filled="f" stroked="f">
          <v:textbox inset="0,0,0,0">
            <w:txbxContent>
              <w:p w14:paraId="096D80D0" w14:textId="77777777" w:rsidR="00173080" w:rsidRDefault="00C710F9">
                <w:pPr>
                  <w:spacing w:before="14"/>
                  <w:ind w:left="20"/>
                  <w:rPr>
                    <w:sz w:val="18"/>
                  </w:rPr>
                </w:pPr>
                <w:r>
                  <w:rPr>
                    <w:sz w:val="18"/>
                  </w:rPr>
                  <w:t xml:space="preserve">Page </w:t>
                </w:r>
                <w:r>
                  <w:fldChar w:fldCharType="begin"/>
                </w:r>
                <w:r>
                  <w:rPr>
                    <w:sz w:val="18"/>
                  </w:rPr>
                  <w:instrText xml:space="preserve"> PAGE </w:instrText>
                </w:r>
                <w:r>
                  <w:fldChar w:fldCharType="separate"/>
                </w:r>
                <w:r>
                  <w:t>2</w:t>
                </w:r>
                <w:r>
                  <w:fldChar w:fldCharType="end"/>
                </w:r>
                <w:r>
                  <w:rPr>
                    <w:sz w:val="18"/>
                  </w:rPr>
                  <w:t xml:space="preserve"> of 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D80CD" w14:textId="77777777" w:rsidR="00000000" w:rsidRDefault="00C710F9">
      <w:r>
        <w:separator/>
      </w:r>
    </w:p>
  </w:footnote>
  <w:footnote w:type="continuationSeparator" w:id="0">
    <w:p w14:paraId="096D80CF" w14:textId="77777777" w:rsidR="00000000" w:rsidRDefault="00C7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80CB" w14:textId="77777777" w:rsidR="00173080" w:rsidRDefault="00C710F9">
    <w:pPr>
      <w:pStyle w:val="BodyText"/>
      <w:spacing w:line="14" w:lineRule="auto"/>
      <w:rPr>
        <w:sz w:val="20"/>
      </w:rPr>
    </w:pPr>
    <w:r>
      <w:rPr>
        <w:noProof/>
      </w:rPr>
      <w:drawing>
        <wp:anchor distT="0" distB="0" distL="0" distR="0" simplePos="0" relativeHeight="251657216" behindDoc="1" locked="0" layoutInCell="1" allowOverlap="1" wp14:anchorId="096D80CD" wp14:editId="096D80CE">
          <wp:simplePos x="0" y="0"/>
          <wp:positionH relativeFrom="page">
            <wp:posOffset>4450331</wp:posOffset>
          </wp:positionH>
          <wp:positionV relativeFrom="page">
            <wp:posOffset>850438</wp:posOffset>
          </wp:positionV>
          <wp:extent cx="2191768" cy="58448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2191768" cy="5844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B10DA"/>
    <w:multiLevelType w:val="hybridMultilevel"/>
    <w:tmpl w:val="775C9838"/>
    <w:lvl w:ilvl="0" w:tplc="18CA79F4">
      <w:start w:val="1"/>
      <w:numFmt w:val="lowerLetter"/>
      <w:lvlText w:val="(%1)"/>
      <w:lvlJc w:val="left"/>
      <w:pPr>
        <w:ind w:left="959" w:hanging="435"/>
        <w:jc w:val="left"/>
      </w:pPr>
      <w:rPr>
        <w:rFonts w:ascii="Arial" w:eastAsia="Arial" w:hAnsi="Arial" w:cs="Arial" w:hint="default"/>
        <w:w w:val="100"/>
        <w:sz w:val="22"/>
        <w:szCs w:val="22"/>
        <w:lang w:val="en-AU" w:eastAsia="en-AU" w:bidi="en-AU"/>
      </w:rPr>
    </w:lvl>
    <w:lvl w:ilvl="1" w:tplc="E5384E04">
      <w:start w:val="1"/>
      <w:numFmt w:val="lowerRoman"/>
      <w:lvlText w:val="(%2)"/>
      <w:lvlJc w:val="left"/>
      <w:pPr>
        <w:ind w:left="1031" w:hanging="211"/>
        <w:jc w:val="left"/>
      </w:pPr>
      <w:rPr>
        <w:rFonts w:ascii="Arial" w:eastAsia="Arial" w:hAnsi="Arial" w:cs="Arial" w:hint="default"/>
        <w:spacing w:val="-4"/>
        <w:w w:val="99"/>
        <w:sz w:val="18"/>
        <w:szCs w:val="18"/>
        <w:lang w:val="en-AU" w:eastAsia="en-AU" w:bidi="en-AU"/>
      </w:rPr>
    </w:lvl>
    <w:lvl w:ilvl="2" w:tplc="4B427C00">
      <w:numFmt w:val="bullet"/>
      <w:lvlText w:val="•"/>
      <w:lvlJc w:val="left"/>
      <w:pPr>
        <w:ind w:left="1951" w:hanging="211"/>
      </w:pPr>
      <w:rPr>
        <w:rFonts w:hint="default"/>
        <w:lang w:val="en-AU" w:eastAsia="en-AU" w:bidi="en-AU"/>
      </w:rPr>
    </w:lvl>
    <w:lvl w:ilvl="3" w:tplc="88F823D6">
      <w:numFmt w:val="bullet"/>
      <w:lvlText w:val="•"/>
      <w:lvlJc w:val="left"/>
      <w:pPr>
        <w:ind w:left="2863" w:hanging="211"/>
      </w:pPr>
      <w:rPr>
        <w:rFonts w:hint="default"/>
        <w:lang w:val="en-AU" w:eastAsia="en-AU" w:bidi="en-AU"/>
      </w:rPr>
    </w:lvl>
    <w:lvl w:ilvl="4" w:tplc="28DE454A">
      <w:numFmt w:val="bullet"/>
      <w:lvlText w:val="•"/>
      <w:lvlJc w:val="left"/>
      <w:pPr>
        <w:ind w:left="3775" w:hanging="211"/>
      </w:pPr>
      <w:rPr>
        <w:rFonts w:hint="default"/>
        <w:lang w:val="en-AU" w:eastAsia="en-AU" w:bidi="en-AU"/>
      </w:rPr>
    </w:lvl>
    <w:lvl w:ilvl="5" w:tplc="BCE4FD88">
      <w:numFmt w:val="bullet"/>
      <w:lvlText w:val="•"/>
      <w:lvlJc w:val="left"/>
      <w:pPr>
        <w:ind w:left="4687" w:hanging="211"/>
      </w:pPr>
      <w:rPr>
        <w:rFonts w:hint="default"/>
        <w:lang w:val="en-AU" w:eastAsia="en-AU" w:bidi="en-AU"/>
      </w:rPr>
    </w:lvl>
    <w:lvl w:ilvl="6" w:tplc="EC8EBD24">
      <w:numFmt w:val="bullet"/>
      <w:lvlText w:val="•"/>
      <w:lvlJc w:val="left"/>
      <w:pPr>
        <w:ind w:left="5599" w:hanging="211"/>
      </w:pPr>
      <w:rPr>
        <w:rFonts w:hint="default"/>
        <w:lang w:val="en-AU" w:eastAsia="en-AU" w:bidi="en-AU"/>
      </w:rPr>
    </w:lvl>
    <w:lvl w:ilvl="7" w:tplc="88849DF4">
      <w:numFmt w:val="bullet"/>
      <w:lvlText w:val="•"/>
      <w:lvlJc w:val="left"/>
      <w:pPr>
        <w:ind w:left="6510" w:hanging="211"/>
      </w:pPr>
      <w:rPr>
        <w:rFonts w:hint="default"/>
        <w:lang w:val="en-AU" w:eastAsia="en-AU" w:bidi="en-AU"/>
      </w:rPr>
    </w:lvl>
    <w:lvl w:ilvl="8" w:tplc="0EFC14EA">
      <w:numFmt w:val="bullet"/>
      <w:lvlText w:val="•"/>
      <w:lvlJc w:val="left"/>
      <w:pPr>
        <w:ind w:left="7422" w:hanging="211"/>
      </w:pPr>
      <w:rPr>
        <w:rFonts w:hint="default"/>
        <w:lang w:val="en-AU" w:eastAsia="en-AU" w:bidi="en-AU"/>
      </w:rPr>
    </w:lvl>
  </w:abstractNum>
  <w:abstractNum w:abstractNumId="1" w15:restartNumberingAfterBreak="0">
    <w:nsid w:val="48E1189A"/>
    <w:multiLevelType w:val="hybridMultilevel"/>
    <w:tmpl w:val="DD128634"/>
    <w:lvl w:ilvl="0" w:tplc="11ECEE04">
      <w:start w:val="1"/>
      <w:numFmt w:val="lowerRoman"/>
      <w:lvlText w:val="(%1)"/>
      <w:lvlJc w:val="left"/>
      <w:pPr>
        <w:ind w:left="311" w:hanging="211"/>
        <w:jc w:val="left"/>
      </w:pPr>
      <w:rPr>
        <w:rFonts w:ascii="Arial" w:eastAsia="Arial" w:hAnsi="Arial" w:cs="Arial" w:hint="default"/>
        <w:spacing w:val="-2"/>
        <w:w w:val="99"/>
        <w:sz w:val="18"/>
        <w:szCs w:val="18"/>
        <w:lang w:val="en-AU" w:eastAsia="en-AU" w:bidi="en-AU"/>
      </w:rPr>
    </w:lvl>
    <w:lvl w:ilvl="1" w:tplc="D1007CDC">
      <w:numFmt w:val="bullet"/>
      <w:lvlText w:val="•"/>
      <w:lvlJc w:val="left"/>
      <w:pPr>
        <w:ind w:left="1212" w:hanging="211"/>
      </w:pPr>
      <w:rPr>
        <w:rFonts w:hint="default"/>
        <w:lang w:val="en-AU" w:eastAsia="en-AU" w:bidi="en-AU"/>
      </w:rPr>
    </w:lvl>
    <w:lvl w:ilvl="2" w:tplc="647E8E30">
      <w:numFmt w:val="bullet"/>
      <w:lvlText w:val="•"/>
      <w:lvlJc w:val="left"/>
      <w:pPr>
        <w:ind w:left="2105" w:hanging="211"/>
      </w:pPr>
      <w:rPr>
        <w:rFonts w:hint="default"/>
        <w:lang w:val="en-AU" w:eastAsia="en-AU" w:bidi="en-AU"/>
      </w:rPr>
    </w:lvl>
    <w:lvl w:ilvl="3" w:tplc="33A802FE">
      <w:numFmt w:val="bullet"/>
      <w:lvlText w:val="•"/>
      <w:lvlJc w:val="left"/>
      <w:pPr>
        <w:ind w:left="2997" w:hanging="211"/>
      </w:pPr>
      <w:rPr>
        <w:rFonts w:hint="default"/>
        <w:lang w:val="en-AU" w:eastAsia="en-AU" w:bidi="en-AU"/>
      </w:rPr>
    </w:lvl>
    <w:lvl w:ilvl="4" w:tplc="106A0624">
      <w:numFmt w:val="bullet"/>
      <w:lvlText w:val="•"/>
      <w:lvlJc w:val="left"/>
      <w:pPr>
        <w:ind w:left="3890" w:hanging="211"/>
      </w:pPr>
      <w:rPr>
        <w:rFonts w:hint="default"/>
        <w:lang w:val="en-AU" w:eastAsia="en-AU" w:bidi="en-AU"/>
      </w:rPr>
    </w:lvl>
    <w:lvl w:ilvl="5" w:tplc="E46A7560">
      <w:numFmt w:val="bullet"/>
      <w:lvlText w:val="•"/>
      <w:lvlJc w:val="left"/>
      <w:pPr>
        <w:ind w:left="4783" w:hanging="211"/>
      </w:pPr>
      <w:rPr>
        <w:rFonts w:hint="default"/>
        <w:lang w:val="en-AU" w:eastAsia="en-AU" w:bidi="en-AU"/>
      </w:rPr>
    </w:lvl>
    <w:lvl w:ilvl="6" w:tplc="4C26D942">
      <w:numFmt w:val="bullet"/>
      <w:lvlText w:val="•"/>
      <w:lvlJc w:val="left"/>
      <w:pPr>
        <w:ind w:left="5675" w:hanging="211"/>
      </w:pPr>
      <w:rPr>
        <w:rFonts w:hint="default"/>
        <w:lang w:val="en-AU" w:eastAsia="en-AU" w:bidi="en-AU"/>
      </w:rPr>
    </w:lvl>
    <w:lvl w:ilvl="7" w:tplc="69E29748">
      <w:numFmt w:val="bullet"/>
      <w:lvlText w:val="•"/>
      <w:lvlJc w:val="left"/>
      <w:pPr>
        <w:ind w:left="6568" w:hanging="211"/>
      </w:pPr>
      <w:rPr>
        <w:rFonts w:hint="default"/>
        <w:lang w:val="en-AU" w:eastAsia="en-AU" w:bidi="en-AU"/>
      </w:rPr>
    </w:lvl>
    <w:lvl w:ilvl="8" w:tplc="543034F2">
      <w:numFmt w:val="bullet"/>
      <w:lvlText w:val="•"/>
      <w:lvlJc w:val="left"/>
      <w:pPr>
        <w:ind w:left="7461" w:hanging="211"/>
      </w:pPr>
      <w:rPr>
        <w:rFonts w:hint="default"/>
        <w:lang w:val="en-AU" w:eastAsia="en-AU" w:bidi="en-AU"/>
      </w:rPr>
    </w:lvl>
  </w:abstractNum>
  <w:abstractNum w:abstractNumId="2" w15:restartNumberingAfterBreak="0">
    <w:nsid w:val="6E4C316A"/>
    <w:multiLevelType w:val="hybridMultilevel"/>
    <w:tmpl w:val="E1B2081A"/>
    <w:lvl w:ilvl="0" w:tplc="08200DA0">
      <w:start w:val="1"/>
      <w:numFmt w:val="upperLetter"/>
      <w:lvlText w:val="%1."/>
      <w:lvlJc w:val="left"/>
      <w:pPr>
        <w:ind w:left="820" w:hanging="360"/>
        <w:jc w:val="left"/>
      </w:pPr>
      <w:rPr>
        <w:rFonts w:ascii="Arial" w:eastAsia="Arial" w:hAnsi="Arial" w:cs="Arial" w:hint="default"/>
        <w:spacing w:val="-1"/>
        <w:w w:val="100"/>
        <w:sz w:val="22"/>
        <w:szCs w:val="22"/>
        <w:lang w:val="en-AU" w:eastAsia="en-AU" w:bidi="en-AU"/>
      </w:rPr>
    </w:lvl>
    <w:lvl w:ilvl="1" w:tplc="2C20138C">
      <w:numFmt w:val="bullet"/>
      <w:lvlText w:val="•"/>
      <w:lvlJc w:val="left"/>
      <w:pPr>
        <w:ind w:left="1662" w:hanging="360"/>
      </w:pPr>
      <w:rPr>
        <w:rFonts w:hint="default"/>
        <w:lang w:val="en-AU" w:eastAsia="en-AU" w:bidi="en-AU"/>
      </w:rPr>
    </w:lvl>
    <w:lvl w:ilvl="2" w:tplc="4BAC6B1E">
      <w:numFmt w:val="bullet"/>
      <w:lvlText w:val="•"/>
      <w:lvlJc w:val="left"/>
      <w:pPr>
        <w:ind w:left="2505" w:hanging="360"/>
      </w:pPr>
      <w:rPr>
        <w:rFonts w:hint="default"/>
        <w:lang w:val="en-AU" w:eastAsia="en-AU" w:bidi="en-AU"/>
      </w:rPr>
    </w:lvl>
    <w:lvl w:ilvl="3" w:tplc="EE909FEC">
      <w:numFmt w:val="bullet"/>
      <w:lvlText w:val="•"/>
      <w:lvlJc w:val="left"/>
      <w:pPr>
        <w:ind w:left="3347" w:hanging="360"/>
      </w:pPr>
      <w:rPr>
        <w:rFonts w:hint="default"/>
        <w:lang w:val="en-AU" w:eastAsia="en-AU" w:bidi="en-AU"/>
      </w:rPr>
    </w:lvl>
    <w:lvl w:ilvl="4" w:tplc="C81C6842">
      <w:numFmt w:val="bullet"/>
      <w:lvlText w:val="•"/>
      <w:lvlJc w:val="left"/>
      <w:pPr>
        <w:ind w:left="4190" w:hanging="360"/>
      </w:pPr>
      <w:rPr>
        <w:rFonts w:hint="default"/>
        <w:lang w:val="en-AU" w:eastAsia="en-AU" w:bidi="en-AU"/>
      </w:rPr>
    </w:lvl>
    <w:lvl w:ilvl="5" w:tplc="293A1734">
      <w:numFmt w:val="bullet"/>
      <w:lvlText w:val="•"/>
      <w:lvlJc w:val="left"/>
      <w:pPr>
        <w:ind w:left="5033" w:hanging="360"/>
      </w:pPr>
      <w:rPr>
        <w:rFonts w:hint="default"/>
        <w:lang w:val="en-AU" w:eastAsia="en-AU" w:bidi="en-AU"/>
      </w:rPr>
    </w:lvl>
    <w:lvl w:ilvl="6" w:tplc="8514DB18">
      <w:numFmt w:val="bullet"/>
      <w:lvlText w:val="•"/>
      <w:lvlJc w:val="left"/>
      <w:pPr>
        <w:ind w:left="5875" w:hanging="360"/>
      </w:pPr>
      <w:rPr>
        <w:rFonts w:hint="default"/>
        <w:lang w:val="en-AU" w:eastAsia="en-AU" w:bidi="en-AU"/>
      </w:rPr>
    </w:lvl>
    <w:lvl w:ilvl="7" w:tplc="E00A59F4">
      <w:numFmt w:val="bullet"/>
      <w:lvlText w:val="•"/>
      <w:lvlJc w:val="left"/>
      <w:pPr>
        <w:ind w:left="6718" w:hanging="360"/>
      </w:pPr>
      <w:rPr>
        <w:rFonts w:hint="default"/>
        <w:lang w:val="en-AU" w:eastAsia="en-AU" w:bidi="en-AU"/>
      </w:rPr>
    </w:lvl>
    <w:lvl w:ilvl="8" w:tplc="63BEE782">
      <w:numFmt w:val="bullet"/>
      <w:lvlText w:val="•"/>
      <w:lvlJc w:val="left"/>
      <w:pPr>
        <w:ind w:left="7561" w:hanging="360"/>
      </w:pPr>
      <w:rPr>
        <w:rFonts w:hint="default"/>
        <w:lang w:val="en-AU" w:eastAsia="en-AU" w:bidi="en-AU"/>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73080"/>
    <w:rsid w:val="00173080"/>
    <w:rsid w:val="00C71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6D805B"/>
  <w15:docId w15:val="{BF64F3BF-3A67-46C1-8EBC-FA1E79A2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s>
    </p10c80fc2da942ae8f2ea9b33b6ea0ba>
    <_dlc_DocId xmlns="814d62cb-2db6-4c25-ab62-b9075facbc11">5JENXJJSCC7A-445999044-11428</_dlc_DocId>
    <TaxCatchAll xmlns="814d62cb-2db6-4c25-ab62-b9075facbc11">
      <Value>24</Value>
      <Value>83</Value>
      <Value>109</Value>
      <Value>26</Value>
      <Value>93</Value>
      <Value>58</Value>
      <Value>19</Value>
      <Value>229</Value>
    </TaxCatchAll>
    <_dlc_DocIdUrl xmlns="814d62cb-2db6-4c25-ab62-b9075facbc11">
      <Url>https://im/teams/LEGAL/_layouts/15/DocIdRedir.aspx?ID=5JENXJJSCC7A-445999044-11428</Url>
      <Description>5JENXJJSCC7A-445999044-11428</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Approval to hold a stake in a financial sector company of
more than 20% - No. 4 of 2020</APRADescription>
    <APRAActivityID xmlns="814d62cb-2db6-4c25-ab62-b9075facbc11" xsi:nil="true"/>
    <APRADocScanCheck xmlns="814d62cb-2db6-4c25-ab62-b9075facbc11">false</APRADocScanCheck>
  </documentManagement>
</p:properties>
</file>

<file path=customXml/itemProps1.xml><?xml version="1.0" encoding="utf-8"?>
<ds:datastoreItem xmlns:ds="http://schemas.openxmlformats.org/officeDocument/2006/customXml" ds:itemID="{B9827758-79B3-445E-8FB4-A92217761024}">
  <ds:schemaRefs>
    <ds:schemaRef ds:uri="http://schemas.microsoft.com/sharepoint/v3/contenttype/forms"/>
  </ds:schemaRefs>
</ds:datastoreItem>
</file>

<file path=customXml/itemProps2.xml><?xml version="1.0" encoding="utf-8"?>
<ds:datastoreItem xmlns:ds="http://schemas.openxmlformats.org/officeDocument/2006/customXml" ds:itemID="{9BE1C8E9-A19C-4BBF-8B10-F0418DB070B2}">
  <ds:schemaRefs>
    <ds:schemaRef ds:uri="http://schemas.microsoft.com/sharepoint/events"/>
  </ds:schemaRefs>
</ds:datastoreItem>
</file>

<file path=customXml/itemProps3.xml><?xml version="1.0" encoding="utf-8"?>
<ds:datastoreItem xmlns:ds="http://schemas.openxmlformats.org/officeDocument/2006/customXml" ds:itemID="{EA601171-332D-45B5-9B3C-C1D5D61058A2}">
  <ds:schemaRefs>
    <ds:schemaRef ds:uri="Microsoft.SharePoint.Taxonomy.ContentTypeSync"/>
  </ds:schemaRefs>
</ds:datastoreItem>
</file>

<file path=customXml/itemProps4.xml><?xml version="1.0" encoding="utf-8"?>
<ds:datastoreItem xmlns:ds="http://schemas.openxmlformats.org/officeDocument/2006/customXml" ds:itemID="{C8A5410C-5A9C-4F16-840A-121D521EE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2416F8-8D79-442F-BFBF-82CEAFEBA1EB}">
  <ds:schemaRef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14d62cb-2db6-4c25-ab62-b9075facbc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1245</Words>
  <Characters>6080</Characters>
  <Application>Microsoft Office Word</Application>
  <DocSecurity>0</DocSecurity>
  <Lines>160</Lines>
  <Paragraphs>80</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LFI Group Pty Ltd and Liberty Financial Group Pty Ltd - FSSA - 110221</dc:title>
  <cp:keywords> [SEC=OFFICIAL]</cp:keywords>
  <cp:lastModifiedBy>Michalis, Toni</cp:lastModifiedBy>
  <cp:revision>2</cp:revision>
  <dcterms:created xsi:type="dcterms:W3CDTF">2021-02-11T08:56:00Z</dcterms:created>
  <dcterms:modified xsi:type="dcterms:W3CDTF">2021-02-11T08:58:00Z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LastSaved">
    <vt:filetime>2021-02-11T00:00:00Z</vt:filetime>
  </property>
  <property fmtid="{D5CDD505-2E9C-101B-9397-08002B2CF9AE}" pid="4" name="APRAPeriod">
    <vt:lpwstr/>
  </property>
  <property fmtid="{D5CDD505-2E9C-101B-9397-08002B2CF9AE}" pid="5" name="APRACostCentre">
    <vt:lpwstr>24;#Legal - ADI|652d8d2a-ab45-47b4-ac6e-fe6ac9299b39;#26;#Legal - Insurance: General|8229dc1a-d7f2-47b2-844a-b026fed0c13d;#83;#Legal - Insurance: Life|56f18b50-6605-4f3f-97e3-cad1cb5394e0;#93;#Legal - Insurance: Health|21611e62-d688-4f0d-8807-02701cc43699</vt:lpwstr>
  </property>
  <property fmtid="{D5CDD505-2E9C-101B-9397-08002B2CF9AE}" pid="6" name="APRALegislation">
    <vt:lpwstr/>
  </property>
  <property fmtid="{D5CDD505-2E9C-101B-9397-08002B2CF9AE}" pid="7" name="APRAYear">
    <vt:lpwstr>229;#2020|29ca90e3-c619-4296-b1bf-6e33e4d24a28</vt:lpwstr>
  </property>
  <property fmtid="{D5CDD505-2E9C-101B-9397-08002B2CF9AE}" pid="8" name="APRAIndustry">
    <vt:lpwstr/>
  </property>
  <property fmtid="{D5CDD505-2E9C-101B-9397-08002B2CF9AE}" pid="9" name="ContentTypeId">
    <vt:lpwstr>0x0101008CA7A4F8331B45C7B0D3158B4994D0CA0200577EC0F5A1FBFC498F9A8436B963F8A6</vt:lpwstr>
  </property>
  <property fmtid="{D5CDD505-2E9C-101B-9397-08002B2CF9AE}" pid="10" name="_dlc_DocIdItemGuid">
    <vt:lpwstr>48dfe88e-da90-48d3-b669-91415e9fbc69</vt:lpwstr>
  </property>
  <property fmtid="{D5CDD505-2E9C-101B-9397-08002B2CF9AE}" pid="11" name="APRAPRSG">
    <vt:lpwstr/>
  </property>
  <property fmtid="{D5CDD505-2E9C-101B-9397-08002B2CF9AE}" pid="12" name="IsLocked">
    <vt:lpwstr>False</vt:lpwstr>
  </property>
  <property fmtid="{D5CDD505-2E9C-101B-9397-08002B2CF9AE}" pid="13" name="APRAStatus">
    <vt:lpwstr>19;#Final|84d6b2d0-8498-4d62-bf46-bab38babbe9e</vt:lpwstr>
  </property>
  <property fmtid="{D5CDD505-2E9C-101B-9397-08002B2CF9AE}" pid="14" name="PM_ProtectiveMarkingImage_Header">
    <vt:lpwstr>C:\Program Files\Common Files\janusNET Shared\janusSEAL\Images\DocumentSlashBlue.png</vt:lpwstr>
  </property>
  <property fmtid="{D5CDD505-2E9C-101B-9397-08002B2CF9AE}" pid="15" name="PM_Caveats_Count">
    <vt:lpwstr>0</vt:lpwstr>
  </property>
  <property fmtid="{D5CDD505-2E9C-101B-9397-08002B2CF9AE}" pid="16" name="PM_DisplayValueSecClassificationWithQualifier">
    <vt:lpwstr>OFFICIAL</vt:lpwstr>
  </property>
  <property fmtid="{D5CDD505-2E9C-101B-9397-08002B2CF9AE}" pid="17" name="PM_Qualifier">
    <vt:lpwstr/>
  </property>
  <property fmtid="{D5CDD505-2E9C-101B-9397-08002B2CF9AE}" pid="18" name="PM_SecurityClassification">
    <vt:lpwstr>OFFICIAL</vt:lpwstr>
  </property>
  <property fmtid="{D5CDD505-2E9C-101B-9397-08002B2CF9AE}" pid="19" name="PM_InsertionValue">
    <vt:lpwstr>OFFICIAL</vt:lpwstr>
  </property>
  <property fmtid="{D5CDD505-2E9C-101B-9397-08002B2CF9AE}" pid="20" name="PM_Originating_FileId">
    <vt:lpwstr>E4669A9B1D6F4EF1AE548688F0E718E8</vt:lpwstr>
  </property>
  <property fmtid="{D5CDD505-2E9C-101B-9397-08002B2CF9AE}" pid="21" name="PM_ProtectiveMarkingValue_Footer">
    <vt:lpwstr>OFFICIAL</vt:lpwstr>
  </property>
  <property fmtid="{D5CDD505-2E9C-101B-9397-08002B2CF9AE}" pid="22" name="PM_Originator_Hash_SHA1">
    <vt:lpwstr>C3AD57350F36D8E1BD75F8F67CB06D435C9C43CA</vt:lpwstr>
  </property>
  <property fmtid="{D5CDD505-2E9C-101B-9397-08002B2CF9AE}" pid="23" name="PM_OriginationTimeStamp">
    <vt:lpwstr>2021-02-11T08:58:37Z</vt:lpwstr>
  </property>
  <property fmtid="{D5CDD505-2E9C-101B-9397-08002B2CF9AE}" pid="24" name="PM_ProtectiveMarkingValue_Header">
    <vt:lpwstr>OFFICIAL</vt:lpwstr>
  </property>
  <property fmtid="{D5CDD505-2E9C-101B-9397-08002B2CF9AE}" pid="25" name="PM_ProtectiveMarkingImage_Footer">
    <vt:lpwstr>C:\Program Files\Common Files\janusNET Shared\janusSEAL\Images\DocumentSlashBlue.png</vt:lpwstr>
  </property>
  <property fmtid="{D5CDD505-2E9C-101B-9397-08002B2CF9AE}" pid="26" name="PM_Namespace">
    <vt:lpwstr>gov.au</vt:lpwstr>
  </property>
  <property fmtid="{D5CDD505-2E9C-101B-9397-08002B2CF9AE}" pid="27" name="PM_Version">
    <vt:lpwstr>2018.3</vt:lpwstr>
  </property>
  <property fmtid="{D5CDD505-2E9C-101B-9397-08002B2CF9AE}" pid="28" name="PM_Note">
    <vt:lpwstr/>
  </property>
  <property fmtid="{D5CDD505-2E9C-101B-9397-08002B2CF9AE}" pid="29" name="PM_Markers">
    <vt:lpwstr/>
  </property>
  <property fmtid="{D5CDD505-2E9C-101B-9397-08002B2CF9AE}" pid="30" name="PM_Hash_Version">
    <vt:lpwstr>2018.0</vt:lpwstr>
  </property>
  <property fmtid="{D5CDD505-2E9C-101B-9397-08002B2CF9AE}" pid="31" name="PM_Hash_Salt_Prev">
    <vt:lpwstr>820ECDEE94B2C8B693C47E6800C0A3B6</vt:lpwstr>
  </property>
  <property fmtid="{D5CDD505-2E9C-101B-9397-08002B2CF9AE}" pid="32" name="PM_Hash_Salt">
    <vt:lpwstr>249E3D726C8AEED61BE8234F8027E1B1</vt:lpwstr>
  </property>
  <property fmtid="{D5CDD505-2E9C-101B-9397-08002B2CF9AE}" pid="33" name="PM_Hash_SHA1">
    <vt:lpwstr>C9D16AEC6127C4039352949C5980561245339B3C</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IT system type">
    <vt:lpwstr/>
  </property>
  <property fmtid="{D5CDD505-2E9C-101B-9397-08002B2CF9AE}" pid="37" name="APRACategory">
    <vt:lpwstr/>
  </property>
  <property fmtid="{D5CDD505-2E9C-101B-9397-08002B2CF9AE}" pid="38" name="APRADocumentType">
    <vt:lpwstr>58;#Legal instrument|71fd6ed3-d6d6-4975-ba99-bfe45802e734</vt:lpwstr>
  </property>
  <property fmtid="{D5CDD505-2E9C-101B-9397-08002B2CF9AE}" pid="39" name="APRAActivity">
    <vt:lpwstr>109;#Statutory instrument|fe68928c-5a9c-4caf-bc8c-6c18cedcb17f</vt:lpwstr>
  </property>
  <property fmtid="{D5CDD505-2E9C-101B-9397-08002B2CF9AE}" pid="40" name="APRAEntityAdviceSupport">
    <vt:lpwstr/>
  </property>
  <property fmtid="{D5CDD505-2E9C-101B-9397-08002B2CF9AE}" pid="41" name="APRAExternalOrganisation">
    <vt:lpwstr/>
  </property>
  <property fmtid="{D5CDD505-2E9C-101B-9397-08002B2CF9AE}" pid="42" name="APRAIRTR">
    <vt:lpwstr/>
  </property>
  <property fmtid="{D5CDD505-2E9C-101B-9397-08002B2CF9AE}" pid="43" name="RecordPoint_WorkflowType">
    <vt:lpwstr>ActiveSubmitStub</vt:lpwstr>
  </property>
  <property fmtid="{D5CDD505-2E9C-101B-9397-08002B2CF9AE}" pid="44" name="RecordPoint_ActiveItemSiteId">
    <vt:lpwstr>{88691c01-5bbb-4215-adc0-66cb7065b0af}</vt:lpwstr>
  </property>
  <property fmtid="{D5CDD505-2E9C-101B-9397-08002B2CF9AE}" pid="45" name="RecordPoint_ActiveItemListId">
    <vt:lpwstr>{0e59e171-09d8-4401-800a-327154450cb3}</vt:lpwstr>
  </property>
  <property fmtid="{D5CDD505-2E9C-101B-9397-08002B2CF9AE}" pid="46" name="RecordPoint_ActiveItemUniqueId">
    <vt:lpwstr>{48dfe88e-da90-48d3-b669-91415e9fbc69}</vt:lpwstr>
  </property>
  <property fmtid="{D5CDD505-2E9C-101B-9397-08002B2CF9AE}" pid="47" name="RecordPoint_ActiveItemWebId">
    <vt:lpwstr>{75a71c27-8d66-4282-ae60-1bfc22a83be1}</vt:lpwstr>
  </property>
</Properties>
</file>