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15444" w14:textId="77777777" w:rsidR="00BC3821" w:rsidRDefault="009A690F" w:rsidP="00D63915">
      <w:pPr>
        <w:keepNext/>
        <w:jc w:val="center"/>
        <w:outlineLvl w:val="4"/>
      </w:pPr>
      <w:r>
        <w:pict w14:anchorId="4CB154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71.25pt" fillcolor="window">
            <v:imagedata r:id="rId10" o:title=""/>
          </v:shape>
        </w:pict>
      </w:r>
    </w:p>
    <w:p w14:paraId="4CB15445" w14:textId="77777777" w:rsidR="00BC3821" w:rsidRDefault="00BC3821" w:rsidP="00D63915">
      <w:pPr>
        <w:pStyle w:val="Title"/>
        <w:keepNext/>
        <w:ind w:right="0"/>
        <w:outlineLvl w:val="4"/>
        <w:rPr>
          <w:sz w:val="24"/>
        </w:rPr>
      </w:pPr>
      <w:r>
        <w:rPr>
          <w:sz w:val="24"/>
        </w:rPr>
        <w:t>COMMONWEALTH OF AUSTRALIA</w:t>
      </w:r>
    </w:p>
    <w:p w14:paraId="0854AFDD" w14:textId="77777777" w:rsidR="00CF5312" w:rsidRDefault="00CF5312" w:rsidP="00D63915">
      <w:pPr>
        <w:pStyle w:val="Title"/>
        <w:keepNext/>
        <w:ind w:right="0"/>
        <w:outlineLvl w:val="4"/>
        <w:rPr>
          <w:sz w:val="24"/>
        </w:rPr>
      </w:pPr>
    </w:p>
    <w:p w14:paraId="4CB15446" w14:textId="77777777" w:rsidR="00BC3821" w:rsidRPr="00CF5312" w:rsidRDefault="00BC3821" w:rsidP="00D63915">
      <w:pPr>
        <w:pStyle w:val="Heading5"/>
        <w:ind w:left="0"/>
        <w:jc w:val="center"/>
        <w:rPr>
          <w:b/>
          <w:sz w:val="24"/>
        </w:rPr>
      </w:pPr>
      <w:r w:rsidRPr="00CF5312">
        <w:rPr>
          <w:b/>
          <w:sz w:val="24"/>
        </w:rPr>
        <w:t>Environment Protection and Biodiversity Conservation Act 1999</w:t>
      </w:r>
    </w:p>
    <w:p w14:paraId="4CB15447" w14:textId="77777777" w:rsidR="00BC3821" w:rsidRDefault="00BC3821" w:rsidP="00D63915">
      <w:pPr>
        <w:keepNext/>
        <w:jc w:val="center"/>
        <w:outlineLvl w:val="4"/>
      </w:pPr>
    </w:p>
    <w:p w14:paraId="4CB15448" w14:textId="27AE9704" w:rsidR="00BC3821" w:rsidRPr="00881248" w:rsidRDefault="00BC3821" w:rsidP="00D63915">
      <w:pPr>
        <w:pStyle w:val="Heading6"/>
        <w:jc w:val="center"/>
        <w:rPr>
          <w:sz w:val="24"/>
          <w:szCs w:val="24"/>
        </w:rPr>
      </w:pPr>
      <w:r w:rsidRPr="00881248">
        <w:rPr>
          <w:sz w:val="24"/>
          <w:szCs w:val="24"/>
        </w:rPr>
        <w:t>DECLARATION OF AN APPROVED WILDLIFE TRADE OPERATION</w:t>
      </w:r>
      <w:r w:rsidR="001437D5" w:rsidRPr="00881248">
        <w:rPr>
          <w:sz w:val="24"/>
          <w:szCs w:val="24"/>
        </w:rPr>
        <w:t xml:space="preserve"> </w:t>
      </w:r>
      <w:r w:rsidR="001437D5" w:rsidRPr="00881248">
        <w:rPr>
          <w:snapToGrid w:val="0"/>
          <w:sz w:val="24"/>
          <w:szCs w:val="24"/>
        </w:rPr>
        <w:t xml:space="preserve">– </w:t>
      </w:r>
      <w:r w:rsidR="001D69AA">
        <w:rPr>
          <w:snapToGrid w:val="0"/>
          <w:sz w:val="24"/>
          <w:szCs w:val="24"/>
        </w:rPr>
        <w:t xml:space="preserve">COMMONWEALTH </w:t>
      </w:r>
      <w:r w:rsidR="001D69AA" w:rsidRPr="001D69AA">
        <w:rPr>
          <w:snapToGrid w:val="0"/>
          <w:sz w:val="24"/>
          <w:szCs w:val="24"/>
        </w:rPr>
        <w:t>CORAL SEA FISHERY</w:t>
      </w:r>
      <w:r w:rsidR="001437D5" w:rsidRPr="001D69AA">
        <w:rPr>
          <w:snapToGrid w:val="0"/>
          <w:sz w:val="24"/>
          <w:szCs w:val="24"/>
        </w:rPr>
        <w:t xml:space="preserve">, </w:t>
      </w:r>
      <w:r w:rsidR="00766925">
        <w:rPr>
          <w:caps/>
          <w:snapToGrid w:val="0"/>
          <w:sz w:val="24"/>
          <w:szCs w:val="24"/>
        </w:rPr>
        <w:t>January 2021</w:t>
      </w:r>
    </w:p>
    <w:p w14:paraId="4CB15449" w14:textId="77777777" w:rsidR="00BC3821" w:rsidRPr="009C5305" w:rsidRDefault="00BC3821" w:rsidP="009C5305">
      <w:pPr>
        <w:jc w:val="center"/>
        <w:rPr>
          <w:b/>
          <w:sz w:val="22"/>
          <w:szCs w:val="22"/>
        </w:rPr>
      </w:pPr>
    </w:p>
    <w:p w14:paraId="0B988075" w14:textId="269AFAB8" w:rsidR="004C3DEE" w:rsidRPr="00BC1AA5" w:rsidRDefault="00BC3821" w:rsidP="009C5305">
      <w:pPr>
        <w:rPr>
          <w:sz w:val="22"/>
          <w:szCs w:val="22"/>
        </w:rPr>
      </w:pPr>
      <w:r w:rsidRPr="00BC1AA5">
        <w:rPr>
          <w:sz w:val="22"/>
          <w:szCs w:val="22"/>
        </w:rPr>
        <w:t xml:space="preserve">I, </w:t>
      </w:r>
      <w:bookmarkStart w:id="0" w:name="_Hlk40258623"/>
      <w:r w:rsidR="00581628" w:rsidRPr="00BC1AA5">
        <w:rPr>
          <w:caps/>
          <w:sz w:val="22"/>
          <w:szCs w:val="22"/>
        </w:rPr>
        <w:t>L</w:t>
      </w:r>
      <w:r w:rsidR="009C5305" w:rsidRPr="00BC1AA5">
        <w:rPr>
          <w:caps/>
          <w:sz w:val="22"/>
          <w:szCs w:val="22"/>
        </w:rPr>
        <w:t>AURA TIMMINS</w:t>
      </w:r>
      <w:r w:rsidR="00581628" w:rsidRPr="00BC1AA5">
        <w:rPr>
          <w:sz w:val="22"/>
          <w:szCs w:val="22"/>
        </w:rPr>
        <w:t xml:space="preserve">, </w:t>
      </w:r>
      <w:r w:rsidR="009C5305" w:rsidRPr="00BC1AA5">
        <w:rPr>
          <w:sz w:val="22"/>
          <w:szCs w:val="22"/>
        </w:rPr>
        <w:t>Senior Director</w:t>
      </w:r>
      <w:r w:rsidR="00581628" w:rsidRPr="00BC1AA5">
        <w:rPr>
          <w:sz w:val="22"/>
          <w:szCs w:val="22"/>
        </w:rPr>
        <w:t xml:space="preserve">, Wildlife </w:t>
      </w:r>
      <w:r w:rsidR="009C5305" w:rsidRPr="00BC1AA5">
        <w:rPr>
          <w:sz w:val="22"/>
          <w:szCs w:val="22"/>
        </w:rPr>
        <w:t>Trade</w:t>
      </w:r>
      <w:r w:rsidR="00A10051">
        <w:rPr>
          <w:sz w:val="22"/>
          <w:szCs w:val="22"/>
        </w:rPr>
        <w:t xml:space="preserve"> Office</w:t>
      </w:r>
      <w:r w:rsidR="00581628" w:rsidRPr="00BC1AA5">
        <w:rPr>
          <w:sz w:val="22"/>
          <w:szCs w:val="22"/>
        </w:rPr>
        <w:t>, as Delegate of the</w:t>
      </w:r>
      <w:bookmarkEnd w:id="0"/>
      <w:r w:rsidR="00C8489C" w:rsidRPr="00BC1AA5">
        <w:rPr>
          <w:sz w:val="22"/>
          <w:szCs w:val="22"/>
        </w:rPr>
        <w:t xml:space="preserve"> M</w:t>
      </w:r>
      <w:r w:rsidR="00581628" w:rsidRPr="00BC1AA5">
        <w:rPr>
          <w:sz w:val="22"/>
          <w:szCs w:val="22"/>
        </w:rPr>
        <w:t xml:space="preserve">inister </w:t>
      </w:r>
      <w:r w:rsidR="004C3DEE" w:rsidRPr="00BC1AA5">
        <w:rPr>
          <w:sz w:val="22"/>
          <w:szCs w:val="22"/>
        </w:rPr>
        <w:t>for the Environment</w:t>
      </w:r>
      <w:r w:rsidR="00FA278A" w:rsidRPr="00BC1AA5">
        <w:rPr>
          <w:sz w:val="22"/>
          <w:szCs w:val="22"/>
        </w:rPr>
        <w:t>,</w:t>
      </w:r>
      <w:r w:rsidRPr="00BC1AA5">
        <w:rPr>
          <w:snapToGrid w:val="0"/>
          <w:sz w:val="22"/>
          <w:szCs w:val="22"/>
        </w:rPr>
        <w:t xml:space="preserve"> </w:t>
      </w:r>
      <w:r w:rsidRPr="00BC1AA5">
        <w:rPr>
          <w:sz w:val="22"/>
          <w:szCs w:val="22"/>
        </w:rPr>
        <w:t>have consid</w:t>
      </w:r>
      <w:r w:rsidR="009B0E50" w:rsidRPr="00BC1AA5">
        <w:rPr>
          <w:sz w:val="22"/>
          <w:szCs w:val="22"/>
        </w:rPr>
        <w:t>ered in accordance with section </w:t>
      </w:r>
      <w:r w:rsidRPr="00BC1AA5">
        <w:rPr>
          <w:sz w:val="22"/>
          <w:szCs w:val="22"/>
        </w:rPr>
        <w:t xml:space="preserve">303FN of the </w:t>
      </w:r>
      <w:r w:rsidRPr="00BC1AA5">
        <w:rPr>
          <w:i/>
          <w:sz w:val="22"/>
          <w:szCs w:val="22"/>
        </w:rPr>
        <w:t>Environment Protection and</w:t>
      </w:r>
      <w:r w:rsidRPr="00BC1AA5">
        <w:rPr>
          <w:sz w:val="22"/>
          <w:szCs w:val="22"/>
        </w:rPr>
        <w:t xml:space="preserve"> </w:t>
      </w:r>
      <w:r w:rsidR="009B0E50" w:rsidRPr="006E4F16">
        <w:rPr>
          <w:i/>
          <w:sz w:val="22"/>
          <w:szCs w:val="22"/>
        </w:rPr>
        <w:t>Biodiversity Conservation Act </w:t>
      </w:r>
      <w:r w:rsidRPr="006E4F16">
        <w:rPr>
          <w:i/>
          <w:sz w:val="22"/>
          <w:szCs w:val="22"/>
        </w:rPr>
        <w:t xml:space="preserve">1999 </w:t>
      </w:r>
      <w:r w:rsidR="009B0E50" w:rsidRPr="006E4F16">
        <w:rPr>
          <w:sz w:val="22"/>
          <w:szCs w:val="22"/>
        </w:rPr>
        <w:t>(EPBC </w:t>
      </w:r>
      <w:r w:rsidRPr="006E4F16">
        <w:rPr>
          <w:sz w:val="22"/>
          <w:szCs w:val="22"/>
        </w:rPr>
        <w:t xml:space="preserve">Act) the application from the </w:t>
      </w:r>
      <w:bookmarkStart w:id="1" w:name="_Hlk58507695"/>
      <w:r w:rsidR="001D69AA" w:rsidRPr="006E4F16">
        <w:t>Commonwealth Coral Sea Fishery</w:t>
      </w:r>
      <w:bookmarkEnd w:id="1"/>
      <w:r w:rsidRPr="006E4F16">
        <w:rPr>
          <w:sz w:val="22"/>
          <w:szCs w:val="22"/>
        </w:rPr>
        <w:t xml:space="preserve">, public comments on the proposal </w:t>
      </w:r>
      <w:r w:rsidR="00693DD6" w:rsidRPr="006E4F16">
        <w:rPr>
          <w:sz w:val="22"/>
          <w:szCs w:val="22"/>
        </w:rPr>
        <w:t>as required</w:t>
      </w:r>
      <w:r w:rsidR="00693DD6" w:rsidRPr="00BC1AA5">
        <w:rPr>
          <w:sz w:val="22"/>
          <w:szCs w:val="22"/>
        </w:rPr>
        <w:t xml:space="preserve"> under section 303FR </w:t>
      </w:r>
      <w:r w:rsidRPr="00BC1AA5">
        <w:rPr>
          <w:sz w:val="22"/>
          <w:szCs w:val="22"/>
        </w:rPr>
        <w:t>and advice on the ecological sustainability of the operation. I</w:t>
      </w:r>
      <w:r w:rsidR="009B0E50" w:rsidRPr="00BC1AA5">
        <w:rPr>
          <w:sz w:val="22"/>
          <w:szCs w:val="22"/>
        </w:rPr>
        <w:t> </w:t>
      </w:r>
      <w:r w:rsidRPr="00BC1AA5">
        <w:rPr>
          <w:sz w:val="22"/>
          <w:szCs w:val="22"/>
        </w:rPr>
        <w:t>am satisfied on those matters specifi</w:t>
      </w:r>
      <w:r w:rsidR="009B0E50" w:rsidRPr="00BC1AA5">
        <w:rPr>
          <w:sz w:val="22"/>
          <w:szCs w:val="22"/>
        </w:rPr>
        <w:t>ed in section </w:t>
      </w:r>
      <w:r w:rsidR="00C665C2" w:rsidRPr="00BC1AA5">
        <w:rPr>
          <w:sz w:val="22"/>
          <w:szCs w:val="22"/>
        </w:rPr>
        <w:t>303FN of the EPBC </w:t>
      </w:r>
      <w:r w:rsidRPr="00BC1AA5">
        <w:rPr>
          <w:sz w:val="22"/>
          <w:szCs w:val="22"/>
        </w:rPr>
        <w:t>Act. I</w:t>
      </w:r>
      <w:r w:rsidR="009B0E50" w:rsidRPr="00BC1AA5">
        <w:rPr>
          <w:sz w:val="22"/>
          <w:szCs w:val="22"/>
        </w:rPr>
        <w:t> </w:t>
      </w:r>
      <w:r w:rsidRPr="00BC1AA5">
        <w:rPr>
          <w:sz w:val="22"/>
          <w:szCs w:val="22"/>
        </w:rPr>
        <w:t xml:space="preserve">hereby declare the operations for the harvesting of </w:t>
      </w:r>
      <w:r w:rsidR="004C3DEE" w:rsidRPr="00BC1AA5">
        <w:rPr>
          <w:sz w:val="22"/>
          <w:szCs w:val="22"/>
        </w:rPr>
        <w:t xml:space="preserve">specimens </w:t>
      </w:r>
      <w:r w:rsidR="004C3DEE" w:rsidRPr="00BC1AA5">
        <w:rPr>
          <w:snapToGrid w:val="0"/>
          <w:sz w:val="22"/>
          <w:szCs w:val="22"/>
        </w:rPr>
        <w:t>that are</w:t>
      </w:r>
      <w:r w:rsidR="00A10051">
        <w:rPr>
          <w:snapToGrid w:val="0"/>
          <w:sz w:val="22"/>
          <w:szCs w:val="22"/>
        </w:rPr>
        <w:t>,</w:t>
      </w:r>
      <w:r w:rsidR="004C3DEE" w:rsidRPr="00BC1AA5">
        <w:rPr>
          <w:snapToGrid w:val="0"/>
          <w:sz w:val="22"/>
          <w:szCs w:val="22"/>
        </w:rPr>
        <w:t xml:space="preserve"> or are derived</w:t>
      </w:r>
      <w:r w:rsidR="00A10051">
        <w:rPr>
          <w:snapToGrid w:val="0"/>
          <w:sz w:val="22"/>
          <w:szCs w:val="22"/>
        </w:rPr>
        <w:t>,</w:t>
      </w:r>
      <w:r w:rsidR="004C3DEE" w:rsidRPr="00BC1AA5">
        <w:rPr>
          <w:snapToGrid w:val="0"/>
          <w:sz w:val="22"/>
          <w:szCs w:val="22"/>
        </w:rPr>
        <w:t xml:space="preserve"> from fish or invertebrates taken in the </w:t>
      </w:r>
      <w:r w:rsidR="001D69AA" w:rsidRPr="00BC1AA5">
        <w:rPr>
          <w:sz w:val="22"/>
          <w:szCs w:val="22"/>
        </w:rPr>
        <w:t xml:space="preserve">Commonwealth Coral Sea Fishery </w:t>
      </w:r>
      <w:r w:rsidR="004C3DEE" w:rsidRPr="00BC1AA5">
        <w:rPr>
          <w:snapToGrid w:val="0"/>
          <w:sz w:val="22"/>
          <w:szCs w:val="22"/>
        </w:rPr>
        <w:t xml:space="preserve">as defined </w:t>
      </w:r>
      <w:r w:rsidR="004C3DEE" w:rsidRPr="00BC1AA5">
        <w:rPr>
          <w:sz w:val="22"/>
          <w:szCs w:val="22"/>
        </w:rPr>
        <w:t xml:space="preserve">under </w:t>
      </w:r>
      <w:r w:rsidR="00923C5D" w:rsidRPr="00BC1AA5">
        <w:rPr>
          <w:sz w:val="22"/>
          <w:szCs w:val="22"/>
        </w:rPr>
        <w:t xml:space="preserve">the </w:t>
      </w:r>
      <w:r w:rsidR="001D69AA" w:rsidRPr="00BC1AA5">
        <w:rPr>
          <w:i/>
          <w:iCs/>
          <w:sz w:val="22"/>
          <w:szCs w:val="22"/>
        </w:rPr>
        <w:t>Fisheries Management Act 1991</w:t>
      </w:r>
      <w:r w:rsidR="001D69AA" w:rsidRPr="00BC1AA5">
        <w:rPr>
          <w:sz w:val="22"/>
          <w:szCs w:val="22"/>
        </w:rPr>
        <w:t xml:space="preserve"> (Cth) and the Fisheries Management Regulations </w:t>
      </w:r>
      <w:r w:rsidR="00BC1AA5">
        <w:rPr>
          <w:sz w:val="22"/>
          <w:szCs w:val="22"/>
        </w:rPr>
        <w:t>2019</w:t>
      </w:r>
      <w:r w:rsidR="001D69AA" w:rsidRPr="00BC1AA5">
        <w:rPr>
          <w:sz w:val="22"/>
          <w:szCs w:val="22"/>
        </w:rPr>
        <w:t xml:space="preserve"> (Cth)</w:t>
      </w:r>
      <w:r w:rsidR="00923C5D" w:rsidRPr="00BC1AA5">
        <w:rPr>
          <w:sz w:val="22"/>
          <w:szCs w:val="22"/>
        </w:rPr>
        <w:t xml:space="preserve">, </w:t>
      </w:r>
      <w:r w:rsidR="00923C5D" w:rsidRPr="00BC1AA5">
        <w:rPr>
          <w:snapToGrid w:val="0"/>
          <w:sz w:val="22"/>
          <w:szCs w:val="22"/>
        </w:rPr>
        <w:t>but not including</w:t>
      </w:r>
    </w:p>
    <w:p w14:paraId="5FD497D5" w14:textId="77777777" w:rsidR="00D63915" w:rsidRPr="00BC1AA5" w:rsidRDefault="00D63915" w:rsidP="009C5305">
      <w:pPr>
        <w:pStyle w:val="Stylea"/>
        <w:numPr>
          <w:ilvl w:val="0"/>
          <w:numId w:val="14"/>
        </w:numPr>
        <w:ind w:left="357" w:hanging="357"/>
        <w:rPr>
          <w:color w:val="auto"/>
          <w:sz w:val="22"/>
          <w:szCs w:val="22"/>
        </w:rPr>
      </w:pPr>
      <w:r w:rsidRPr="00BC1AA5">
        <w:rPr>
          <w:color w:val="auto"/>
          <w:sz w:val="22"/>
          <w:szCs w:val="22"/>
        </w:rPr>
        <w:t xml:space="preserve">specimens that belong to taxa listed under section 209 of the EPBC Act (Australia’s List of Migratory Species), or </w:t>
      </w:r>
    </w:p>
    <w:p w14:paraId="79D1A65C" w14:textId="77777777" w:rsidR="00D63915" w:rsidRPr="00BC1AA5" w:rsidRDefault="00D63915" w:rsidP="009C5305">
      <w:pPr>
        <w:pStyle w:val="Stylea"/>
        <w:numPr>
          <w:ilvl w:val="0"/>
          <w:numId w:val="14"/>
        </w:numPr>
        <w:ind w:left="357" w:hanging="357"/>
        <w:rPr>
          <w:color w:val="auto"/>
          <w:sz w:val="22"/>
          <w:szCs w:val="22"/>
        </w:rPr>
      </w:pPr>
      <w:r w:rsidRPr="00BC1AA5">
        <w:rPr>
          <w:color w:val="auto"/>
          <w:sz w:val="22"/>
          <w:szCs w:val="22"/>
        </w:rPr>
        <w:t>specimens that belong to taxa listed under section 248 of the EPBC Act (Australia’s List of Marine Species), or</w:t>
      </w:r>
    </w:p>
    <w:p w14:paraId="7AE80B68" w14:textId="7B67A7BF" w:rsidR="00D63915" w:rsidRPr="00BC1AA5" w:rsidRDefault="00D63915" w:rsidP="009C5305">
      <w:pPr>
        <w:pStyle w:val="Stylea"/>
        <w:numPr>
          <w:ilvl w:val="0"/>
          <w:numId w:val="14"/>
        </w:numPr>
        <w:ind w:left="357" w:hanging="357"/>
        <w:rPr>
          <w:color w:val="auto"/>
          <w:sz w:val="22"/>
          <w:szCs w:val="22"/>
        </w:rPr>
      </w:pPr>
      <w:r w:rsidRPr="00BC1AA5">
        <w:rPr>
          <w:color w:val="auto"/>
          <w:sz w:val="22"/>
          <w:szCs w:val="22"/>
        </w:rPr>
        <w:t>specimens that belong to eligible listed threatened species, as defined under section</w:t>
      </w:r>
      <w:r w:rsidR="009C5305" w:rsidRPr="00BC1AA5">
        <w:rPr>
          <w:color w:val="auto"/>
          <w:sz w:val="22"/>
          <w:szCs w:val="22"/>
        </w:rPr>
        <w:t> </w:t>
      </w:r>
      <w:r w:rsidRPr="00BC1AA5">
        <w:rPr>
          <w:color w:val="auto"/>
          <w:sz w:val="22"/>
          <w:szCs w:val="22"/>
        </w:rPr>
        <w:t>303BC of the EPBC Act, or</w:t>
      </w:r>
    </w:p>
    <w:p w14:paraId="330A9BE1" w14:textId="77777777" w:rsidR="00D63915" w:rsidRPr="00BC1AA5" w:rsidRDefault="00D63915" w:rsidP="009C5305">
      <w:pPr>
        <w:pStyle w:val="Stylea"/>
        <w:numPr>
          <w:ilvl w:val="0"/>
          <w:numId w:val="14"/>
        </w:numPr>
        <w:ind w:left="357" w:hanging="357"/>
        <w:rPr>
          <w:color w:val="auto"/>
          <w:sz w:val="22"/>
          <w:szCs w:val="22"/>
        </w:rPr>
      </w:pPr>
      <w:r w:rsidRPr="00BC1AA5">
        <w:rPr>
          <w:color w:val="auto"/>
          <w:sz w:val="22"/>
          <w:szCs w:val="22"/>
        </w:rPr>
        <w:t>specimens that belong to taxa listed under section 303CA of the EPBC Act (Australia’s CITES List).</w:t>
      </w:r>
    </w:p>
    <w:p w14:paraId="4CB1544A" w14:textId="2F2DD030" w:rsidR="00BC3821" w:rsidRPr="00BC1AA5" w:rsidRDefault="00BC3821" w:rsidP="009C5305">
      <w:pPr>
        <w:rPr>
          <w:sz w:val="22"/>
          <w:szCs w:val="22"/>
        </w:rPr>
      </w:pPr>
      <w:r w:rsidRPr="00BC1AA5">
        <w:rPr>
          <w:sz w:val="22"/>
          <w:szCs w:val="22"/>
        </w:rPr>
        <w:t xml:space="preserve">to be an approved </w:t>
      </w:r>
      <w:r w:rsidR="00C665C2" w:rsidRPr="00BC1AA5">
        <w:rPr>
          <w:sz w:val="22"/>
          <w:szCs w:val="22"/>
        </w:rPr>
        <w:t>w</w:t>
      </w:r>
      <w:r w:rsidRPr="00BC1AA5">
        <w:rPr>
          <w:sz w:val="22"/>
          <w:szCs w:val="22"/>
        </w:rPr>
        <w:t xml:space="preserve">ildlife </w:t>
      </w:r>
      <w:r w:rsidR="00C665C2" w:rsidRPr="00BC1AA5">
        <w:rPr>
          <w:sz w:val="22"/>
          <w:szCs w:val="22"/>
        </w:rPr>
        <w:t>t</w:t>
      </w:r>
      <w:r w:rsidRPr="00BC1AA5">
        <w:rPr>
          <w:sz w:val="22"/>
          <w:szCs w:val="22"/>
        </w:rPr>
        <w:t xml:space="preserve">rade </w:t>
      </w:r>
      <w:r w:rsidR="00C665C2" w:rsidRPr="00BC1AA5">
        <w:rPr>
          <w:sz w:val="22"/>
          <w:szCs w:val="22"/>
        </w:rPr>
        <w:t>o</w:t>
      </w:r>
      <w:r w:rsidRPr="00BC1AA5">
        <w:rPr>
          <w:sz w:val="22"/>
          <w:szCs w:val="22"/>
        </w:rPr>
        <w:t>peration, in a</w:t>
      </w:r>
      <w:r w:rsidR="0067129A" w:rsidRPr="00BC1AA5">
        <w:rPr>
          <w:sz w:val="22"/>
          <w:szCs w:val="22"/>
        </w:rPr>
        <w:t>ccordance with subsection 303FN(2) and paragraph </w:t>
      </w:r>
      <w:r w:rsidRPr="00BC1AA5">
        <w:rPr>
          <w:sz w:val="22"/>
          <w:szCs w:val="22"/>
        </w:rPr>
        <w:t>303FN(10)(d</w:t>
      </w:r>
      <w:r w:rsidR="009132FA" w:rsidRPr="00BC1AA5">
        <w:rPr>
          <w:sz w:val="22"/>
          <w:szCs w:val="22"/>
        </w:rPr>
        <w:t>), for the purposes of the EPBC </w:t>
      </w:r>
      <w:r w:rsidRPr="00BC1AA5">
        <w:rPr>
          <w:sz w:val="22"/>
          <w:szCs w:val="22"/>
        </w:rPr>
        <w:t>Act.</w:t>
      </w:r>
    </w:p>
    <w:p w14:paraId="4CB1544B" w14:textId="77777777" w:rsidR="00BC3821" w:rsidRPr="00BC1AA5" w:rsidRDefault="00BC3821" w:rsidP="009C5305">
      <w:pPr>
        <w:rPr>
          <w:sz w:val="22"/>
          <w:szCs w:val="22"/>
        </w:rPr>
      </w:pPr>
    </w:p>
    <w:p w14:paraId="4CB1544C" w14:textId="77777777" w:rsidR="00BC3821" w:rsidRPr="00072889" w:rsidRDefault="00BC3821" w:rsidP="009C5305">
      <w:pPr>
        <w:rPr>
          <w:sz w:val="22"/>
          <w:szCs w:val="22"/>
        </w:rPr>
      </w:pPr>
      <w:r w:rsidRPr="009C5305">
        <w:rPr>
          <w:sz w:val="22"/>
          <w:szCs w:val="22"/>
        </w:rPr>
        <w:t xml:space="preserve">Unless </w:t>
      </w:r>
      <w:r w:rsidRPr="00072889">
        <w:rPr>
          <w:sz w:val="22"/>
          <w:szCs w:val="22"/>
        </w:rPr>
        <w:t>amended or revoked, this declaration:</w:t>
      </w:r>
    </w:p>
    <w:p w14:paraId="4CB1544D" w14:textId="61A50772" w:rsidR="00BC3821" w:rsidRPr="004979A8" w:rsidRDefault="00BC3821" w:rsidP="009C5305">
      <w:pPr>
        <w:numPr>
          <w:ilvl w:val="0"/>
          <w:numId w:val="1"/>
        </w:numPr>
        <w:tabs>
          <w:tab w:val="num" w:pos="567"/>
        </w:tabs>
        <w:ind w:left="0" w:firstLine="0"/>
        <w:rPr>
          <w:sz w:val="22"/>
          <w:szCs w:val="22"/>
        </w:rPr>
      </w:pPr>
      <w:r w:rsidRPr="00072889">
        <w:rPr>
          <w:sz w:val="22"/>
          <w:szCs w:val="22"/>
        </w:rPr>
        <w:t xml:space="preserve">is valid until </w:t>
      </w:r>
      <w:r w:rsidR="00222D1E">
        <w:rPr>
          <w:snapToGrid w:val="0"/>
          <w:sz w:val="22"/>
          <w:szCs w:val="22"/>
        </w:rPr>
        <w:t>7</w:t>
      </w:r>
      <w:r w:rsidR="00766925" w:rsidRPr="004979A8">
        <w:rPr>
          <w:snapToGrid w:val="0"/>
          <w:sz w:val="22"/>
          <w:szCs w:val="22"/>
        </w:rPr>
        <w:t xml:space="preserve"> January 202</w:t>
      </w:r>
      <w:r w:rsidR="0072524E">
        <w:rPr>
          <w:snapToGrid w:val="0"/>
          <w:sz w:val="22"/>
          <w:szCs w:val="22"/>
        </w:rPr>
        <w:t xml:space="preserve">4 </w:t>
      </w:r>
      <w:r w:rsidRPr="004979A8">
        <w:rPr>
          <w:sz w:val="22"/>
          <w:szCs w:val="22"/>
        </w:rPr>
        <w:t>and;</w:t>
      </w:r>
    </w:p>
    <w:p w14:paraId="4CB1544E" w14:textId="77777777" w:rsidR="00BC3821" w:rsidRPr="00072889" w:rsidRDefault="00BC3821" w:rsidP="009C5305">
      <w:pPr>
        <w:numPr>
          <w:ilvl w:val="0"/>
          <w:numId w:val="1"/>
        </w:numPr>
        <w:tabs>
          <w:tab w:val="num" w:pos="567"/>
        </w:tabs>
        <w:ind w:left="0" w:firstLine="0"/>
        <w:rPr>
          <w:sz w:val="22"/>
          <w:szCs w:val="22"/>
        </w:rPr>
      </w:pPr>
      <w:r w:rsidRPr="004979A8">
        <w:rPr>
          <w:sz w:val="22"/>
          <w:szCs w:val="22"/>
        </w:rPr>
        <w:t>is subject to the conditions applied</w:t>
      </w:r>
      <w:r w:rsidRPr="00072889">
        <w:rPr>
          <w:sz w:val="22"/>
          <w:szCs w:val="22"/>
        </w:rPr>
        <w:t xml:space="preserve"> under</w:t>
      </w:r>
      <w:r w:rsidR="00F96DC0" w:rsidRPr="00072889">
        <w:rPr>
          <w:sz w:val="22"/>
          <w:szCs w:val="22"/>
        </w:rPr>
        <w:t xml:space="preserve"> section 303FT specified in the </w:t>
      </w:r>
      <w:r w:rsidRPr="00072889">
        <w:rPr>
          <w:sz w:val="22"/>
          <w:szCs w:val="22"/>
        </w:rPr>
        <w:t>Schedule.</w:t>
      </w:r>
    </w:p>
    <w:p w14:paraId="4CB1544F" w14:textId="77777777" w:rsidR="00BC3821" w:rsidRPr="00072889" w:rsidRDefault="00BC3821" w:rsidP="009C5305">
      <w:pPr>
        <w:pStyle w:val="indenta"/>
        <w:spacing w:before="0" w:line="240" w:lineRule="auto"/>
        <w:ind w:left="0" w:firstLine="0"/>
        <w:rPr>
          <w:rFonts w:ascii="Times New Roman" w:hAnsi="Times New Roman"/>
          <w:szCs w:val="22"/>
        </w:rPr>
      </w:pPr>
    </w:p>
    <w:p w14:paraId="4CB15450" w14:textId="77777777" w:rsidR="00BC3821" w:rsidRPr="00072889" w:rsidRDefault="00BC3821" w:rsidP="009C5305">
      <w:pPr>
        <w:jc w:val="center"/>
        <w:rPr>
          <w:sz w:val="22"/>
          <w:szCs w:val="22"/>
        </w:rPr>
      </w:pPr>
    </w:p>
    <w:p w14:paraId="4CB15451" w14:textId="4698B8E6" w:rsidR="00BC3821" w:rsidRPr="00072889" w:rsidRDefault="00AD5D3C" w:rsidP="009C5305">
      <w:pPr>
        <w:jc w:val="center"/>
        <w:rPr>
          <w:sz w:val="22"/>
          <w:szCs w:val="22"/>
        </w:rPr>
      </w:pPr>
      <w:r w:rsidRPr="00072889">
        <w:rPr>
          <w:sz w:val="22"/>
          <w:szCs w:val="22"/>
        </w:rPr>
        <w:t>Dated this</w:t>
      </w:r>
      <w:r w:rsidR="009A690F">
        <w:rPr>
          <w:sz w:val="22"/>
          <w:szCs w:val="22"/>
        </w:rPr>
        <w:t xml:space="preserve"> 7 </w:t>
      </w:r>
      <w:r w:rsidRPr="00072889">
        <w:rPr>
          <w:sz w:val="22"/>
          <w:szCs w:val="22"/>
        </w:rPr>
        <w:t>day of</w:t>
      </w:r>
      <w:r w:rsidR="009A690F">
        <w:rPr>
          <w:sz w:val="22"/>
          <w:szCs w:val="22"/>
        </w:rPr>
        <w:t xml:space="preserve"> J</w:t>
      </w:r>
      <w:bookmarkStart w:id="2" w:name="_GoBack"/>
      <w:bookmarkEnd w:id="2"/>
      <w:r w:rsidR="009A690F">
        <w:rPr>
          <w:sz w:val="22"/>
          <w:szCs w:val="22"/>
        </w:rPr>
        <w:t xml:space="preserve">anuary </w:t>
      </w:r>
      <w:r w:rsidR="004979A8">
        <w:rPr>
          <w:sz w:val="22"/>
          <w:szCs w:val="22"/>
        </w:rPr>
        <w:t>2021</w:t>
      </w:r>
    </w:p>
    <w:p w14:paraId="4CB15452" w14:textId="77777777" w:rsidR="00BC3821" w:rsidRPr="00072889" w:rsidRDefault="00BC3821" w:rsidP="009C5305">
      <w:pPr>
        <w:rPr>
          <w:sz w:val="22"/>
          <w:szCs w:val="22"/>
        </w:rPr>
      </w:pPr>
    </w:p>
    <w:p w14:paraId="4CB15453" w14:textId="77777777" w:rsidR="00BC3821" w:rsidRPr="00072889" w:rsidRDefault="00BC3821" w:rsidP="009C5305">
      <w:pPr>
        <w:rPr>
          <w:sz w:val="22"/>
          <w:szCs w:val="22"/>
        </w:rPr>
      </w:pPr>
    </w:p>
    <w:p w14:paraId="4CB15454" w14:textId="77777777" w:rsidR="008F2EEC" w:rsidRPr="00072889" w:rsidRDefault="008F2EEC" w:rsidP="009C5305">
      <w:pPr>
        <w:rPr>
          <w:sz w:val="22"/>
          <w:szCs w:val="22"/>
        </w:rPr>
      </w:pPr>
    </w:p>
    <w:p w14:paraId="4CB15455" w14:textId="7304111C" w:rsidR="008F2EEC" w:rsidRPr="00072889" w:rsidRDefault="00B47049" w:rsidP="00B47049">
      <w:pPr>
        <w:jc w:val="center"/>
        <w:rPr>
          <w:sz w:val="22"/>
          <w:szCs w:val="22"/>
        </w:rPr>
      </w:pPr>
      <w:r>
        <w:rPr>
          <w:sz w:val="22"/>
          <w:szCs w:val="22"/>
        </w:rPr>
        <w:t>Laura Timmins</w:t>
      </w:r>
    </w:p>
    <w:p w14:paraId="4CB15456" w14:textId="77777777" w:rsidR="00BC3821" w:rsidRPr="00072889" w:rsidRDefault="00BC3821" w:rsidP="009C5305">
      <w:pPr>
        <w:jc w:val="center"/>
        <w:rPr>
          <w:sz w:val="22"/>
          <w:szCs w:val="22"/>
        </w:rPr>
      </w:pPr>
      <w:r w:rsidRPr="00072889">
        <w:rPr>
          <w:sz w:val="22"/>
          <w:szCs w:val="22"/>
        </w:rPr>
        <w:t>………….…….………………………………</w:t>
      </w:r>
      <w:r w:rsidR="00BF533B" w:rsidRPr="00072889">
        <w:rPr>
          <w:sz w:val="22"/>
          <w:szCs w:val="22"/>
        </w:rPr>
        <w:t>…</w:t>
      </w:r>
    </w:p>
    <w:p w14:paraId="4CB15457" w14:textId="05561579" w:rsidR="00BC3821" w:rsidRPr="00072889" w:rsidRDefault="00BC3821" w:rsidP="009C5305">
      <w:pPr>
        <w:jc w:val="center"/>
        <w:rPr>
          <w:snapToGrid w:val="0"/>
          <w:sz w:val="22"/>
          <w:szCs w:val="22"/>
        </w:rPr>
      </w:pPr>
      <w:bookmarkStart w:id="3" w:name="_Hlk40258754"/>
      <w:r w:rsidRPr="00072889">
        <w:rPr>
          <w:snapToGrid w:val="0"/>
          <w:sz w:val="22"/>
          <w:szCs w:val="22"/>
        </w:rPr>
        <w:t xml:space="preserve">Delegate of the Minister for </w:t>
      </w:r>
      <w:r w:rsidR="00614914" w:rsidRPr="00072889">
        <w:rPr>
          <w:sz w:val="22"/>
          <w:szCs w:val="22"/>
        </w:rPr>
        <w:t xml:space="preserve">the </w:t>
      </w:r>
      <w:r w:rsidR="00BF533B" w:rsidRPr="00072889">
        <w:rPr>
          <w:sz w:val="22"/>
          <w:szCs w:val="22"/>
        </w:rPr>
        <w:t>Environment</w:t>
      </w:r>
      <w:r w:rsidR="00B364D4" w:rsidRPr="00072889">
        <w:rPr>
          <w:sz w:val="22"/>
          <w:szCs w:val="22"/>
        </w:rPr>
        <w:t xml:space="preserve"> </w:t>
      </w:r>
    </w:p>
    <w:bookmarkEnd w:id="3"/>
    <w:p w14:paraId="4CB15458" w14:textId="77777777" w:rsidR="00BC3821" w:rsidRPr="00072889" w:rsidRDefault="00BC3821" w:rsidP="009C5305">
      <w:pPr>
        <w:jc w:val="center"/>
        <w:rPr>
          <w:snapToGrid w:val="0"/>
          <w:sz w:val="22"/>
          <w:szCs w:val="22"/>
        </w:rPr>
      </w:pPr>
    </w:p>
    <w:p w14:paraId="0489F55D" w14:textId="77777777" w:rsidR="00B85719" w:rsidRPr="00072889" w:rsidRDefault="00B85719" w:rsidP="00B85719">
      <w:pPr>
        <w:rPr>
          <w:sz w:val="18"/>
          <w:szCs w:val="18"/>
        </w:rPr>
      </w:pPr>
      <w:r w:rsidRPr="00072889">
        <w:rPr>
          <w:sz w:val="18"/>
          <w:szCs w:val="18"/>
        </w:rPr>
        <w:t xml:space="preserve">Notes:                                                                                                                                                                           </w:t>
      </w:r>
    </w:p>
    <w:p w14:paraId="3B9694FA" w14:textId="77777777" w:rsidR="00B85719" w:rsidRPr="009C5305" w:rsidRDefault="00B85719" w:rsidP="00B85719">
      <w:pPr>
        <w:ind w:left="720" w:hanging="720"/>
        <w:rPr>
          <w:sz w:val="18"/>
          <w:szCs w:val="18"/>
        </w:rPr>
      </w:pPr>
      <w:r w:rsidRPr="00072889">
        <w:rPr>
          <w:sz w:val="18"/>
          <w:szCs w:val="18"/>
        </w:rPr>
        <w:t>1.</w:t>
      </w:r>
      <w:r w:rsidRPr="00072889">
        <w:rPr>
          <w:sz w:val="18"/>
          <w:szCs w:val="18"/>
        </w:rPr>
        <w:tab/>
        <w:t xml:space="preserve">Under the Administrative Appeals Tribunal Act 1975, a person whose interests are affected by this decision may apply for a statement of reasons and for independent review of the decision. An application for a statement of reasons may be made in writing to the </w:t>
      </w:r>
      <w:bookmarkStart w:id="4" w:name="_Hlk40258863"/>
      <w:r w:rsidRPr="00072889">
        <w:rPr>
          <w:sz w:val="18"/>
          <w:szCs w:val="18"/>
        </w:rPr>
        <w:t xml:space="preserve">Department of Agriculture, Water and the Environment </w:t>
      </w:r>
      <w:bookmarkEnd w:id="4"/>
      <w:r w:rsidRPr="00072889">
        <w:rPr>
          <w:sz w:val="18"/>
          <w:szCs w:val="18"/>
        </w:rPr>
        <w:t>within 28 days of the date of the declaration. An application for independent review may be made to the Administrative Appeals Tribunal on payment of the relevant fee within 28 days of the date of the declaration, or if reasons are sought, within 28 days of receipt of reasons. Further information may be obtained from the Director, Wildlife Trade Assessments Section</w:t>
      </w:r>
      <w:r w:rsidRPr="00072889">
        <w:rPr>
          <w:color w:val="000000"/>
          <w:sz w:val="18"/>
          <w:szCs w:val="18"/>
        </w:rPr>
        <w:t xml:space="preserve">, </w:t>
      </w:r>
      <w:r w:rsidRPr="00072889">
        <w:rPr>
          <w:sz w:val="18"/>
          <w:szCs w:val="18"/>
        </w:rPr>
        <w:t>Department of Agriculture, Water and the Environment</w:t>
      </w:r>
      <w:r w:rsidRPr="00072889">
        <w:rPr>
          <w:snapToGrid w:val="0"/>
          <w:sz w:val="18"/>
          <w:szCs w:val="18"/>
        </w:rPr>
        <w:t>, Telephone</w:t>
      </w:r>
      <w:r w:rsidRPr="009C5305">
        <w:rPr>
          <w:snapToGrid w:val="0"/>
          <w:sz w:val="18"/>
          <w:szCs w:val="18"/>
        </w:rPr>
        <w:t>: (02) 6274 1917 Email: sustainablefisheries@environment.gov.au.</w:t>
      </w:r>
      <w:r w:rsidRPr="009C5305">
        <w:rPr>
          <w:sz w:val="18"/>
          <w:szCs w:val="18"/>
        </w:rPr>
        <w:t>.</w:t>
      </w:r>
    </w:p>
    <w:p w14:paraId="1ADE0A66" w14:textId="77777777" w:rsidR="00B85719" w:rsidRPr="009C5305" w:rsidRDefault="00B85719" w:rsidP="00B85719">
      <w:pPr>
        <w:rPr>
          <w:sz w:val="18"/>
          <w:szCs w:val="18"/>
        </w:rPr>
      </w:pPr>
    </w:p>
    <w:p w14:paraId="53419AC8" w14:textId="32FCDB41" w:rsidR="00B85719" w:rsidRDefault="00B85719" w:rsidP="00B85719">
      <w:pPr>
        <w:tabs>
          <w:tab w:val="num" w:pos="360"/>
        </w:tabs>
        <w:ind w:left="720" w:hanging="720"/>
        <w:rPr>
          <w:sz w:val="18"/>
          <w:szCs w:val="18"/>
        </w:rPr>
      </w:pPr>
      <w:r w:rsidRPr="00764F14">
        <w:rPr>
          <w:sz w:val="18"/>
          <w:szCs w:val="18"/>
        </w:rPr>
        <w:t>2.</w:t>
      </w:r>
      <w:r w:rsidR="009C5305">
        <w:rPr>
          <w:sz w:val="18"/>
          <w:szCs w:val="18"/>
        </w:rPr>
        <w:tab/>
      </w:r>
      <w:r w:rsidRPr="00764F14">
        <w:rPr>
          <w:sz w:val="18"/>
          <w:szCs w:val="18"/>
        </w:rPr>
        <w:tab/>
        <w:t xml:space="preserve">Australia’s obligations under the Convention on International Trade in Endangered Species of Wild Fauna and Flora (CITES) are met through Part 13A of the EPBC Act. Specimens of species listed in Appendix II of </w:t>
      </w:r>
      <w:r w:rsidRPr="00764F14">
        <w:rPr>
          <w:sz w:val="18"/>
          <w:szCs w:val="18"/>
        </w:rPr>
        <w:lastRenderedPageBreak/>
        <w:t>Australia’s CITES list under section 303CA of the EPBC Act may only be exported, under a CITES export permit issued under the EPBC Act, if Australia’s CITES Scientific Authority has issued a non-detriment finding for that species. Further information, including a list of species for which non detriment findings have been issued and the fisheries from which they may be sourced, is available from htttp://www.environment.gov.au/topics/biodiversity/wildlife-trade/internationally-endangered-plants-and-animals-cites/how-export.</w:t>
      </w:r>
    </w:p>
    <w:p w14:paraId="16DBDF8C" w14:textId="77777777" w:rsidR="00B85719" w:rsidRDefault="00B85719" w:rsidP="00B85719">
      <w:pPr>
        <w:tabs>
          <w:tab w:val="num" w:pos="360"/>
        </w:tabs>
        <w:ind w:left="720" w:hanging="720"/>
        <w:rPr>
          <w:sz w:val="18"/>
          <w:szCs w:val="18"/>
        </w:rPr>
      </w:pPr>
    </w:p>
    <w:p w14:paraId="4CB15462" w14:textId="77777777" w:rsidR="00BC3821" w:rsidRPr="00D63915" w:rsidRDefault="00BC3821" w:rsidP="00D63915">
      <w:pPr>
        <w:spacing w:line="276" w:lineRule="auto"/>
        <w:jc w:val="center"/>
      </w:pPr>
    </w:p>
    <w:p w14:paraId="4CB15463" w14:textId="22FCB27D" w:rsidR="00BC3821" w:rsidRPr="009C5305" w:rsidRDefault="00B85719" w:rsidP="009C5305">
      <w:pPr>
        <w:pStyle w:val="BlockText"/>
        <w:spacing w:line="240" w:lineRule="auto"/>
        <w:ind w:left="0" w:right="0"/>
        <w:rPr>
          <w:szCs w:val="24"/>
        </w:rPr>
      </w:pPr>
      <w:r w:rsidRPr="009C5305">
        <w:rPr>
          <w:szCs w:val="24"/>
        </w:rPr>
        <w:br w:type="page"/>
      </w:r>
      <w:r w:rsidR="00BC3821" w:rsidRPr="009C5305">
        <w:rPr>
          <w:szCs w:val="24"/>
        </w:rPr>
        <w:lastRenderedPageBreak/>
        <w:t xml:space="preserve">Declaration of the </w:t>
      </w:r>
      <w:r w:rsidR="00D63915" w:rsidRPr="009C5305">
        <w:rPr>
          <w:szCs w:val="24"/>
        </w:rPr>
        <w:t>h</w:t>
      </w:r>
      <w:r w:rsidR="00BC3821" w:rsidRPr="009C5305">
        <w:rPr>
          <w:szCs w:val="24"/>
        </w:rPr>
        <w:t xml:space="preserve">arvest </w:t>
      </w:r>
      <w:r w:rsidR="00D63915" w:rsidRPr="009C5305">
        <w:rPr>
          <w:szCs w:val="24"/>
        </w:rPr>
        <w:t>o</w:t>
      </w:r>
      <w:r w:rsidR="00BC3821" w:rsidRPr="009C5305">
        <w:rPr>
          <w:szCs w:val="24"/>
        </w:rPr>
        <w:t>perations of the</w:t>
      </w:r>
      <w:r w:rsidR="00050471" w:rsidRPr="00050471">
        <w:t xml:space="preserve"> </w:t>
      </w:r>
      <w:r w:rsidR="00050471" w:rsidRPr="00050471">
        <w:rPr>
          <w:szCs w:val="24"/>
        </w:rPr>
        <w:t xml:space="preserve">Commonwealth Coral Sea Fishery </w:t>
      </w:r>
      <w:r w:rsidR="00BC3821" w:rsidRPr="009C5305">
        <w:rPr>
          <w:szCs w:val="24"/>
        </w:rPr>
        <w:t xml:space="preserve">as an approved </w:t>
      </w:r>
      <w:r w:rsidR="00C665C2" w:rsidRPr="009C5305">
        <w:rPr>
          <w:szCs w:val="24"/>
        </w:rPr>
        <w:t>w</w:t>
      </w:r>
      <w:r w:rsidR="00BC3821" w:rsidRPr="009C5305">
        <w:rPr>
          <w:szCs w:val="24"/>
        </w:rPr>
        <w:t xml:space="preserve">ildlife </w:t>
      </w:r>
      <w:r w:rsidR="00C665C2" w:rsidRPr="009C5305">
        <w:rPr>
          <w:szCs w:val="24"/>
        </w:rPr>
        <w:t>t</w:t>
      </w:r>
      <w:r w:rsidR="00BC3821" w:rsidRPr="009C5305">
        <w:rPr>
          <w:szCs w:val="24"/>
        </w:rPr>
        <w:t xml:space="preserve">rade </w:t>
      </w:r>
      <w:r w:rsidR="00C665C2" w:rsidRPr="009C5305">
        <w:rPr>
          <w:szCs w:val="24"/>
        </w:rPr>
        <w:t>o</w:t>
      </w:r>
      <w:r w:rsidR="00BC3821" w:rsidRPr="009C5305">
        <w:rPr>
          <w:szCs w:val="24"/>
        </w:rPr>
        <w:t xml:space="preserve">peration, </w:t>
      </w:r>
      <w:r w:rsidR="00CE4204">
        <w:rPr>
          <w:szCs w:val="24"/>
        </w:rPr>
        <w:t>January 2021</w:t>
      </w:r>
    </w:p>
    <w:p w14:paraId="4CB15464" w14:textId="77777777" w:rsidR="00BC3821" w:rsidRPr="009C5305" w:rsidRDefault="00BC3821" w:rsidP="009C5305">
      <w:pPr>
        <w:jc w:val="center"/>
      </w:pPr>
    </w:p>
    <w:p w14:paraId="4CB15465" w14:textId="77777777" w:rsidR="00BC3821" w:rsidRPr="009C5305" w:rsidRDefault="00BC3821" w:rsidP="009C5305">
      <w:pPr>
        <w:rPr>
          <w:b/>
          <w:bCs/>
        </w:rPr>
      </w:pPr>
      <w:r w:rsidRPr="009C5305">
        <w:rPr>
          <w:b/>
          <w:bCs/>
        </w:rPr>
        <w:t>ADDITIONAL PROVISIONS (section 303FT)</w:t>
      </w:r>
    </w:p>
    <w:p w14:paraId="4CB15466" w14:textId="77777777" w:rsidR="00BC3821" w:rsidRPr="009C5305" w:rsidRDefault="00BC3821" w:rsidP="009C5305">
      <w:pPr>
        <w:rPr>
          <w:b/>
          <w:bCs/>
        </w:rPr>
      </w:pPr>
    </w:p>
    <w:p w14:paraId="4CB15467" w14:textId="36DB7DD5" w:rsidR="00BC3821" w:rsidRPr="009C5305" w:rsidRDefault="00BC3821" w:rsidP="009C5305">
      <w:r w:rsidRPr="009C5305">
        <w:t xml:space="preserve">Relating to the harvesting of fish </w:t>
      </w:r>
      <w:r w:rsidRPr="009C5305">
        <w:rPr>
          <w:snapToGrid w:val="0"/>
        </w:rPr>
        <w:t xml:space="preserve">specimens that are, or are derived from, fish or invertebrates, other than </w:t>
      </w:r>
      <w:r w:rsidRPr="009C5305">
        <w:t xml:space="preserve">specimens of species listed under Part 13 </w:t>
      </w:r>
      <w:r w:rsidR="00CF5312" w:rsidRPr="009C5305">
        <w:t>and</w:t>
      </w:r>
      <w:r w:rsidR="00DA6600" w:rsidRPr="009C5305">
        <w:t xml:space="preserve"> Part 13A </w:t>
      </w:r>
      <w:r w:rsidRPr="009C5305">
        <w:t xml:space="preserve">of the </w:t>
      </w:r>
      <w:r w:rsidR="00C665C2" w:rsidRPr="009C5305">
        <w:rPr>
          <w:i/>
        </w:rPr>
        <w:t>Environment</w:t>
      </w:r>
      <w:r w:rsidR="001754B3" w:rsidRPr="009C5305">
        <w:rPr>
          <w:i/>
        </w:rPr>
        <w:t xml:space="preserve"> </w:t>
      </w:r>
      <w:r w:rsidRPr="009C5305">
        <w:rPr>
          <w:i/>
        </w:rPr>
        <w:t>Protection and Biodiversity Conservation Act 1999</w:t>
      </w:r>
      <w:r w:rsidRPr="009C5305">
        <w:t xml:space="preserve"> (EPBC Act),</w:t>
      </w:r>
      <w:r w:rsidRPr="009C5305">
        <w:rPr>
          <w:snapToGrid w:val="0"/>
        </w:rPr>
        <w:t xml:space="preserve"> taken in the </w:t>
      </w:r>
      <w:r w:rsidR="00072889">
        <w:t>Commonwealth Coral Sea Fishery</w:t>
      </w:r>
      <w:r w:rsidRPr="009C5305">
        <w:t>:</w:t>
      </w:r>
    </w:p>
    <w:p w14:paraId="4CB15468" w14:textId="77777777" w:rsidR="00BC3821" w:rsidRPr="009C5305" w:rsidRDefault="00BC3821" w:rsidP="009C5305">
      <w:pPr>
        <w:rPr>
          <w:i/>
        </w:rPr>
      </w:pPr>
    </w:p>
    <w:p w14:paraId="4E6ACB2F" w14:textId="60986092" w:rsidR="00072889" w:rsidRDefault="00072889" w:rsidP="00072889">
      <w:pPr>
        <w:numPr>
          <w:ilvl w:val="0"/>
          <w:numId w:val="4"/>
        </w:numPr>
        <w:spacing w:after="120"/>
        <w:ind w:left="357" w:hanging="357"/>
      </w:pPr>
      <w:r>
        <w:t xml:space="preserve">The Australian Fisheries Management Authority must ensure that operation of the Coral Sea Fishery is carried out in accordance with </w:t>
      </w:r>
      <w:r w:rsidR="009A4F4F">
        <w:t>the management arrangements defined under</w:t>
      </w:r>
      <w:r>
        <w:t xml:space="preserve"> the </w:t>
      </w:r>
      <w:r w:rsidRPr="00072889">
        <w:rPr>
          <w:i/>
          <w:iCs/>
        </w:rPr>
        <w:t>Fisheries Management Act 1991</w:t>
      </w:r>
      <w:r w:rsidR="008860EB">
        <w:rPr>
          <w:i/>
          <w:iCs/>
        </w:rPr>
        <w:t xml:space="preserve"> (CTH)</w:t>
      </w:r>
      <w:r>
        <w:t>,</w:t>
      </w:r>
      <w:r w:rsidR="00C810AA">
        <w:t xml:space="preserve"> and</w:t>
      </w:r>
      <w:r>
        <w:t xml:space="preserve"> the Fisheries Management Regulations 2019</w:t>
      </w:r>
      <w:r w:rsidR="008860EB">
        <w:t xml:space="preserve"> (CTH)</w:t>
      </w:r>
      <w:r>
        <w:t xml:space="preserve">. </w:t>
      </w:r>
    </w:p>
    <w:p w14:paraId="72AAE801" w14:textId="77777777" w:rsidR="00072889" w:rsidRPr="00072889" w:rsidRDefault="00072889" w:rsidP="00072889">
      <w:pPr>
        <w:numPr>
          <w:ilvl w:val="0"/>
          <w:numId w:val="4"/>
        </w:numPr>
        <w:spacing w:after="120"/>
        <w:ind w:left="357" w:hanging="357"/>
      </w:pPr>
      <w:r>
        <w:t xml:space="preserve">The Australian Fisheries Management Authority must inform the Department of </w:t>
      </w:r>
      <w:r w:rsidRPr="00072889">
        <w:t xml:space="preserve">Agriculture, Water and the Environment of any intended material changes to the Coral Sea Fishery’s management arrangements that may affect the assessment against which </w:t>
      </w:r>
      <w:r w:rsidRPr="00072889">
        <w:rPr>
          <w:i/>
          <w:iCs/>
        </w:rPr>
        <w:t>Environment Protection and Biodiversity Conservation Act 1999</w:t>
      </w:r>
      <w:r w:rsidRPr="00072889">
        <w:t xml:space="preserve"> decisions are made.</w:t>
      </w:r>
    </w:p>
    <w:p w14:paraId="5CD4FFB5" w14:textId="48D28446" w:rsidR="00CF5312" w:rsidRPr="00072889" w:rsidRDefault="00072889" w:rsidP="00072889">
      <w:pPr>
        <w:numPr>
          <w:ilvl w:val="0"/>
          <w:numId w:val="4"/>
        </w:numPr>
        <w:spacing w:after="120"/>
        <w:ind w:left="357" w:hanging="357"/>
      </w:pPr>
      <w:r w:rsidRPr="00072889">
        <w:t>The Australian Fisheries Management Authority must inform the Department of Agriculture, Water and the Environment of any intended changes to fisheries legislation that may affect the legislative instruments relevant to this approval.</w:t>
      </w:r>
    </w:p>
    <w:p w14:paraId="06CFDE92" w14:textId="77777777" w:rsidR="00072889" w:rsidRPr="00630785" w:rsidRDefault="00072889" w:rsidP="00072889">
      <w:pPr>
        <w:numPr>
          <w:ilvl w:val="0"/>
          <w:numId w:val="4"/>
        </w:numPr>
        <w:spacing w:after="120"/>
        <w:ind w:left="357" w:hanging="357"/>
      </w:pPr>
      <w:r w:rsidRPr="00072889">
        <w:t xml:space="preserve">The Australian Fisheries Management Authority must provide reports to the Department of Agriculture, Water and the Environment annually as per Appendix B of the </w:t>
      </w:r>
      <w:r w:rsidRPr="00687501">
        <w:rPr>
          <w:i/>
          <w:iCs/>
        </w:rPr>
        <w:t xml:space="preserve">Guidelines </w:t>
      </w:r>
      <w:r w:rsidRPr="00630785">
        <w:rPr>
          <w:i/>
          <w:iCs/>
        </w:rPr>
        <w:t>for the Ecologically Sustainable Management of Fisheries - 2nd Edition</w:t>
      </w:r>
      <w:r w:rsidRPr="00630785">
        <w:t>.</w:t>
      </w:r>
    </w:p>
    <w:p w14:paraId="5AC7A73E" w14:textId="020693DF" w:rsidR="00072889" w:rsidRPr="00A61C3A" w:rsidRDefault="00D339C7" w:rsidP="00072889">
      <w:pPr>
        <w:numPr>
          <w:ilvl w:val="0"/>
          <w:numId w:val="4"/>
        </w:numPr>
        <w:spacing w:after="120"/>
        <w:ind w:left="357" w:hanging="357"/>
      </w:pPr>
      <w:r w:rsidRPr="00A61C3A">
        <w:rPr>
          <w:rFonts w:cs="Arial"/>
        </w:rPr>
        <w:t xml:space="preserve">The </w:t>
      </w:r>
      <w:r w:rsidR="00072889" w:rsidRPr="00A61C3A">
        <w:rPr>
          <w:rFonts w:cs="Arial"/>
        </w:rPr>
        <w:t>Australian Fisheries Management Authority must limit the take of species listed under the Convention on the International Trade of Endangered Species (CITES), from the area of the Coral Sea Fishery to no more than:</w:t>
      </w:r>
    </w:p>
    <w:p w14:paraId="3867D210" w14:textId="5D25942F" w:rsidR="00072889" w:rsidRPr="00630785" w:rsidRDefault="00072889" w:rsidP="00630785">
      <w:pPr>
        <w:numPr>
          <w:ilvl w:val="0"/>
          <w:numId w:val="22"/>
        </w:numPr>
        <w:spacing w:after="120"/>
        <w:rPr>
          <w:rFonts w:cs="Arial"/>
        </w:rPr>
      </w:pPr>
      <w:r w:rsidRPr="00630785">
        <w:rPr>
          <w:rFonts w:cs="Arial"/>
        </w:rPr>
        <w:t>40 tonnes</w:t>
      </w:r>
      <w:r w:rsidR="00630785" w:rsidRPr="00630785">
        <w:rPr>
          <w:rFonts w:cs="Arial"/>
        </w:rPr>
        <w:t xml:space="preserve"> per year (1 July – 30 June)</w:t>
      </w:r>
      <w:r w:rsidRPr="00630785">
        <w:rPr>
          <w:rFonts w:cs="Arial"/>
        </w:rPr>
        <w:t xml:space="preserve"> of any mixture of species belonging to the family Acroporidae.</w:t>
      </w:r>
    </w:p>
    <w:p w14:paraId="01F26FCE" w14:textId="7A8AA50D" w:rsidR="00072889" w:rsidRPr="00630785" w:rsidRDefault="00072889" w:rsidP="00630785">
      <w:pPr>
        <w:numPr>
          <w:ilvl w:val="0"/>
          <w:numId w:val="22"/>
        </w:numPr>
        <w:spacing w:after="120"/>
        <w:rPr>
          <w:rFonts w:cs="Arial"/>
        </w:rPr>
      </w:pPr>
      <w:r w:rsidRPr="00630785">
        <w:rPr>
          <w:rFonts w:cs="Arial"/>
        </w:rPr>
        <w:t xml:space="preserve">50 individual </w:t>
      </w:r>
      <w:r w:rsidR="008860EB">
        <w:rPr>
          <w:rFonts w:cs="Arial"/>
        </w:rPr>
        <w:t>H</w:t>
      </w:r>
      <w:r w:rsidRPr="00630785">
        <w:rPr>
          <w:rFonts w:cs="Arial"/>
        </w:rPr>
        <w:t xml:space="preserve">umphead Maori </w:t>
      </w:r>
      <w:r w:rsidR="008860EB">
        <w:rPr>
          <w:rFonts w:cs="Arial"/>
        </w:rPr>
        <w:t>W</w:t>
      </w:r>
      <w:r w:rsidRPr="00630785">
        <w:rPr>
          <w:rFonts w:cs="Arial"/>
        </w:rPr>
        <w:t>rasse (</w:t>
      </w:r>
      <w:r w:rsidRPr="00630785">
        <w:rPr>
          <w:rFonts w:cs="Arial"/>
          <w:i/>
          <w:iCs/>
        </w:rPr>
        <w:t>Cheilinus undulates</w:t>
      </w:r>
      <w:r w:rsidRPr="00630785">
        <w:rPr>
          <w:rFonts w:cs="Arial"/>
        </w:rPr>
        <w:t xml:space="preserve">) per year </w:t>
      </w:r>
      <w:r w:rsidR="008860EB">
        <w:rPr>
          <w:rFonts w:cs="Arial"/>
        </w:rPr>
        <w:br/>
      </w:r>
      <w:r w:rsidRPr="00630785">
        <w:rPr>
          <w:rFonts w:cs="Arial"/>
        </w:rPr>
        <w:t>(1 July – 30 June)</w:t>
      </w:r>
      <w:r w:rsidR="00630785">
        <w:rPr>
          <w:rFonts w:cs="Arial"/>
        </w:rPr>
        <w:t xml:space="preserve">. </w:t>
      </w:r>
      <w:r w:rsidR="00630785" w:rsidRPr="00630785">
        <w:rPr>
          <w:rFonts w:cs="Arial"/>
        </w:rPr>
        <w:t xml:space="preserve">Consistent with the trigger limits in the relevant Harvest Strategy, no more than 10 individuals can be caught without assessment of the catch. </w:t>
      </w:r>
      <w:r w:rsidR="008E6D21">
        <w:rPr>
          <w:rFonts w:cs="Arial"/>
        </w:rPr>
        <w:t>The assessment</w:t>
      </w:r>
      <w:r w:rsidR="00630785" w:rsidRPr="00630785">
        <w:rPr>
          <w:rFonts w:cs="Arial"/>
        </w:rPr>
        <w:t xml:space="preserve"> must be done in consultation with the CITES Scientific Authority.</w:t>
      </w:r>
    </w:p>
    <w:p w14:paraId="5DF9DE06" w14:textId="4F06B28D" w:rsidR="00630785" w:rsidRPr="00630785" w:rsidRDefault="00630785" w:rsidP="00630785">
      <w:pPr>
        <w:numPr>
          <w:ilvl w:val="0"/>
          <w:numId w:val="22"/>
        </w:numPr>
        <w:spacing w:after="120"/>
        <w:rPr>
          <w:rFonts w:cs="Arial"/>
        </w:rPr>
      </w:pPr>
      <w:r w:rsidRPr="00630785">
        <w:rPr>
          <w:rFonts w:cs="Arial"/>
        </w:rPr>
        <w:t>1 tonne per year of Black Teatfish (</w:t>
      </w:r>
      <w:r w:rsidRPr="00630785">
        <w:rPr>
          <w:rFonts w:cs="Arial"/>
          <w:i/>
          <w:iCs/>
        </w:rPr>
        <w:t>H. whitmaei</w:t>
      </w:r>
      <w:r w:rsidRPr="00630785">
        <w:rPr>
          <w:rFonts w:cs="Arial"/>
        </w:rPr>
        <w:t>)</w:t>
      </w:r>
    </w:p>
    <w:p w14:paraId="3AAF7716" w14:textId="2928237F" w:rsidR="004979A8" w:rsidRDefault="004979A8" w:rsidP="00630785">
      <w:pPr>
        <w:numPr>
          <w:ilvl w:val="0"/>
          <w:numId w:val="4"/>
        </w:numPr>
        <w:spacing w:after="120"/>
        <w:rPr>
          <w:rFonts w:cs="Arial"/>
        </w:rPr>
      </w:pPr>
      <w:r w:rsidRPr="004979A8">
        <w:rPr>
          <w:rFonts w:cs="Arial"/>
        </w:rPr>
        <w:t>By 1 December 2021, the Australian Fisheries Management Authority must review the science underpinning the catch limit for Humphead Maori Wrasse (</w:t>
      </w:r>
      <w:r w:rsidRPr="004979A8">
        <w:rPr>
          <w:rFonts w:cs="Arial"/>
          <w:i/>
          <w:iCs/>
        </w:rPr>
        <w:t>Cheilinus undulatus</w:t>
      </w:r>
      <w:r w:rsidRPr="004979A8">
        <w:rPr>
          <w:rFonts w:cs="Arial"/>
        </w:rPr>
        <w:t>). This review must include independent, expert scientific advice.</w:t>
      </w:r>
    </w:p>
    <w:p w14:paraId="76B12A9A" w14:textId="333CB318" w:rsidR="00630785" w:rsidRPr="00630785" w:rsidRDefault="00630785" w:rsidP="00630785">
      <w:pPr>
        <w:numPr>
          <w:ilvl w:val="0"/>
          <w:numId w:val="4"/>
        </w:numPr>
        <w:spacing w:after="120"/>
        <w:rPr>
          <w:rFonts w:cs="Arial"/>
        </w:rPr>
      </w:pPr>
      <w:r w:rsidRPr="00630785">
        <w:rPr>
          <w:rFonts w:cs="Arial"/>
        </w:rPr>
        <w:t xml:space="preserve">As part of the annual reporting requirement referred to in Condition 4, </w:t>
      </w:r>
      <w:bookmarkStart w:id="5" w:name="_Hlk60738670"/>
      <w:r w:rsidRPr="00630785">
        <w:rPr>
          <w:rFonts w:cs="Arial"/>
        </w:rPr>
        <w:t>the Australian Fisheries Management Authority</w:t>
      </w:r>
      <w:bookmarkEnd w:id="5"/>
      <w:r w:rsidRPr="00630785">
        <w:rPr>
          <w:rFonts w:cs="Arial"/>
        </w:rPr>
        <w:t xml:space="preserve"> must report the following to the Department of Agriculture, Water and the Environment, as the CITES Scientific Authority of Australia:</w:t>
      </w:r>
    </w:p>
    <w:p w14:paraId="05BC5973" w14:textId="77777777" w:rsidR="00630785" w:rsidRPr="00630785" w:rsidRDefault="00630785" w:rsidP="004979A8">
      <w:pPr>
        <w:numPr>
          <w:ilvl w:val="0"/>
          <w:numId w:val="24"/>
        </w:numPr>
        <w:spacing w:after="120"/>
        <w:rPr>
          <w:rFonts w:cs="Arial"/>
        </w:rPr>
      </w:pPr>
      <w:r w:rsidRPr="00630785">
        <w:rPr>
          <w:rFonts w:cs="Arial"/>
        </w:rPr>
        <w:t>the harvested weight and locations of harvest for each coral species. This reporting must be undertaken at a species-level.</w:t>
      </w:r>
    </w:p>
    <w:p w14:paraId="25C03BDD" w14:textId="10892B2F" w:rsidR="00630785" w:rsidRPr="00630785" w:rsidRDefault="00630785" w:rsidP="004979A8">
      <w:pPr>
        <w:numPr>
          <w:ilvl w:val="0"/>
          <w:numId w:val="24"/>
        </w:numPr>
        <w:spacing w:after="120"/>
        <w:rPr>
          <w:rFonts w:cs="Arial"/>
        </w:rPr>
      </w:pPr>
      <w:r w:rsidRPr="00630785">
        <w:rPr>
          <w:rFonts w:cs="Arial"/>
        </w:rPr>
        <w:t xml:space="preserve">the number of </w:t>
      </w:r>
      <w:r w:rsidRPr="009A2131">
        <w:t>individual Humphead Maori Wrasse</w:t>
      </w:r>
      <w:r w:rsidR="009A2131" w:rsidRPr="009A2131">
        <w:t xml:space="preserve"> </w:t>
      </w:r>
      <w:r w:rsidR="009A2131" w:rsidRPr="00995F0B">
        <w:rPr>
          <w:rFonts w:eastAsia="Calibri"/>
          <w:lang w:val="en-AU"/>
        </w:rPr>
        <w:t>(</w:t>
      </w:r>
      <w:r w:rsidR="009A2131" w:rsidRPr="00995F0B">
        <w:rPr>
          <w:rFonts w:eastAsia="Calibri"/>
          <w:i/>
          <w:iCs/>
          <w:lang w:val="en-AU"/>
        </w:rPr>
        <w:t>Cheilinus undulatus</w:t>
      </w:r>
      <w:r w:rsidR="009A2131" w:rsidRPr="00995F0B">
        <w:rPr>
          <w:rFonts w:eastAsia="Calibri"/>
          <w:lang w:val="en-AU"/>
        </w:rPr>
        <w:t>)</w:t>
      </w:r>
      <w:r w:rsidRPr="009A2131">
        <w:t>, their sex, lengths and locations of harvest.</w:t>
      </w:r>
    </w:p>
    <w:p w14:paraId="4F5F7A08" w14:textId="5AC551C5" w:rsidR="00630785" w:rsidRDefault="00630785" w:rsidP="004979A8">
      <w:pPr>
        <w:numPr>
          <w:ilvl w:val="0"/>
          <w:numId w:val="24"/>
        </w:numPr>
        <w:spacing w:after="120"/>
        <w:rPr>
          <w:rFonts w:cs="Arial"/>
        </w:rPr>
      </w:pPr>
      <w:r w:rsidRPr="00630785">
        <w:rPr>
          <w:rFonts w:cs="Arial"/>
        </w:rPr>
        <w:t>any assessments, management changes or findings relevant to the management of CITES-listed species in the Coral Sea Fishery</w:t>
      </w:r>
    </w:p>
    <w:p w14:paraId="6BDC3E74" w14:textId="52210390" w:rsidR="004979A8" w:rsidRDefault="004979A8" w:rsidP="00630785">
      <w:pPr>
        <w:numPr>
          <w:ilvl w:val="0"/>
          <w:numId w:val="4"/>
        </w:numPr>
        <w:spacing w:after="120"/>
        <w:rPr>
          <w:rFonts w:cs="Arial"/>
        </w:rPr>
      </w:pPr>
      <w:r>
        <w:rPr>
          <w:rFonts w:cs="Arial"/>
        </w:rPr>
        <w:lastRenderedPageBreak/>
        <w:t>T</w:t>
      </w:r>
      <w:r w:rsidRPr="004979A8">
        <w:rPr>
          <w:rFonts w:cs="Arial"/>
        </w:rPr>
        <w:t xml:space="preserve">he Australian Fisheries Management Authority </w:t>
      </w:r>
      <w:r>
        <w:rPr>
          <w:rFonts w:cs="Arial"/>
        </w:rPr>
        <w:t xml:space="preserve">must </w:t>
      </w:r>
      <w:r w:rsidRPr="004979A8">
        <w:rPr>
          <w:rFonts w:cs="Arial"/>
        </w:rPr>
        <w:t>update the science underpinning the Coral Sea Fishery – Sea Cucumber Sector Harvest Strategy by December 2021, including undertaking a fishery independent survey in the area of the fishery, to ensure that the harvest strategy is supported by up to date scientific information and supports a longer-term export approval for the fishery.</w:t>
      </w:r>
    </w:p>
    <w:p w14:paraId="469737B8" w14:textId="01C83DBC" w:rsidR="00072889" w:rsidRPr="000102A6" w:rsidRDefault="00630785" w:rsidP="00630785">
      <w:pPr>
        <w:numPr>
          <w:ilvl w:val="0"/>
          <w:numId w:val="4"/>
        </w:numPr>
        <w:spacing w:after="120"/>
      </w:pPr>
      <w:r w:rsidRPr="00630785">
        <w:rPr>
          <w:rFonts w:cs="Arial"/>
        </w:rPr>
        <w:t>By 1 December 202</w:t>
      </w:r>
      <w:r w:rsidR="004979A8">
        <w:rPr>
          <w:rFonts w:cs="Arial"/>
        </w:rPr>
        <w:t>2</w:t>
      </w:r>
      <w:r w:rsidRPr="00630785">
        <w:rPr>
          <w:rFonts w:cs="Arial"/>
        </w:rPr>
        <w:t>, the Australian Fisheries Management Authority must</w:t>
      </w:r>
      <w:r w:rsidR="004979A8" w:rsidRPr="004979A8">
        <w:rPr>
          <w:rFonts w:cs="Arial"/>
        </w:rPr>
        <w:t xml:space="preserve"> complete a </w:t>
      </w:r>
      <w:r w:rsidR="004979A8" w:rsidRPr="000102A6">
        <w:t>review of the Coral Sea Fishery Harvest Strategy – Sea Cucumber Sector and develop, at a minimum:</w:t>
      </w:r>
    </w:p>
    <w:p w14:paraId="324164E9" w14:textId="5E0F39F3" w:rsidR="00072889" w:rsidRPr="000102A6" w:rsidRDefault="004979A8" w:rsidP="004979A8">
      <w:pPr>
        <w:numPr>
          <w:ilvl w:val="0"/>
          <w:numId w:val="25"/>
        </w:numPr>
        <w:spacing w:after="120"/>
      </w:pPr>
      <w:r w:rsidRPr="000102A6">
        <w:t xml:space="preserve">species-specific trigger limits </w:t>
      </w:r>
      <w:r w:rsidR="000102A6" w:rsidRPr="000102A6">
        <w:t xml:space="preserve">and reference points (or proxies) </w:t>
      </w:r>
      <w:r w:rsidRPr="000102A6">
        <w:t>for species listed under CITES; and</w:t>
      </w:r>
    </w:p>
    <w:p w14:paraId="5BD50CB6" w14:textId="247DCBAB" w:rsidR="004979A8" w:rsidRPr="000102A6" w:rsidRDefault="004979A8" w:rsidP="004979A8">
      <w:pPr>
        <w:numPr>
          <w:ilvl w:val="0"/>
          <w:numId w:val="25"/>
        </w:numPr>
        <w:spacing w:after="120"/>
      </w:pPr>
      <w:r w:rsidRPr="000102A6">
        <w:t>ongoing data collection and monitoring plans required to support ongoing fishing of these species.</w:t>
      </w:r>
    </w:p>
    <w:sectPr w:rsidR="004979A8" w:rsidRPr="000102A6" w:rsidSect="0084723E">
      <w:pgSz w:w="11909" w:h="16834" w:code="9"/>
      <w:pgMar w:top="1440" w:right="1440" w:bottom="1134"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03E3B" w16cex:dateUtc="2020-10-01T01:38:00Z"/>
  <w16cex:commentExtensible w16cex:durableId="23203C9D" w16cex:dateUtc="2020-10-01T01:3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FFF"/>
    <w:multiLevelType w:val="hybridMultilevel"/>
    <w:tmpl w:val="063213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320290"/>
    <w:multiLevelType w:val="hybridMultilevel"/>
    <w:tmpl w:val="1FB83E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BC420E"/>
    <w:multiLevelType w:val="hybridMultilevel"/>
    <w:tmpl w:val="063213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0757"/>
    <w:multiLevelType w:val="multilevel"/>
    <w:tmpl w:val="E3420B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5871AD9"/>
    <w:multiLevelType w:val="multilevel"/>
    <w:tmpl w:val="A15E1D1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A0B5E72"/>
    <w:multiLevelType w:val="hybridMultilevel"/>
    <w:tmpl w:val="E976DB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7004A7"/>
    <w:multiLevelType w:val="hybridMultilevel"/>
    <w:tmpl w:val="34FC1698"/>
    <w:lvl w:ilvl="0" w:tplc="43BCECB6">
      <w:start w:val="1"/>
      <w:numFmt w:val="lowerLetter"/>
      <w:lvlText w:val="(%1)"/>
      <w:lvlJc w:val="left"/>
      <w:pPr>
        <w:ind w:left="-288" w:hanging="360"/>
      </w:pPr>
      <w:rPr>
        <w:rFonts w:hint="default"/>
      </w:rPr>
    </w:lvl>
    <w:lvl w:ilvl="1" w:tplc="0C090019" w:tentative="1">
      <w:start w:val="1"/>
      <w:numFmt w:val="lowerLetter"/>
      <w:lvlText w:val="%2."/>
      <w:lvlJc w:val="left"/>
      <w:pPr>
        <w:ind w:left="1308" w:hanging="360"/>
      </w:pPr>
    </w:lvl>
    <w:lvl w:ilvl="2" w:tplc="0C09001B" w:tentative="1">
      <w:start w:val="1"/>
      <w:numFmt w:val="lowerRoman"/>
      <w:lvlText w:val="%3."/>
      <w:lvlJc w:val="right"/>
      <w:pPr>
        <w:ind w:left="2028" w:hanging="180"/>
      </w:pPr>
    </w:lvl>
    <w:lvl w:ilvl="3" w:tplc="0C09000F" w:tentative="1">
      <w:start w:val="1"/>
      <w:numFmt w:val="decimal"/>
      <w:lvlText w:val="%4."/>
      <w:lvlJc w:val="left"/>
      <w:pPr>
        <w:ind w:left="2748" w:hanging="360"/>
      </w:pPr>
    </w:lvl>
    <w:lvl w:ilvl="4" w:tplc="0C090019" w:tentative="1">
      <w:start w:val="1"/>
      <w:numFmt w:val="lowerLetter"/>
      <w:lvlText w:val="%5."/>
      <w:lvlJc w:val="left"/>
      <w:pPr>
        <w:ind w:left="3468" w:hanging="360"/>
      </w:pPr>
    </w:lvl>
    <w:lvl w:ilvl="5" w:tplc="0C09001B" w:tentative="1">
      <w:start w:val="1"/>
      <w:numFmt w:val="lowerRoman"/>
      <w:lvlText w:val="%6."/>
      <w:lvlJc w:val="right"/>
      <w:pPr>
        <w:ind w:left="4188" w:hanging="180"/>
      </w:pPr>
    </w:lvl>
    <w:lvl w:ilvl="6" w:tplc="0C09000F" w:tentative="1">
      <w:start w:val="1"/>
      <w:numFmt w:val="decimal"/>
      <w:lvlText w:val="%7."/>
      <w:lvlJc w:val="left"/>
      <w:pPr>
        <w:ind w:left="4908" w:hanging="360"/>
      </w:pPr>
    </w:lvl>
    <w:lvl w:ilvl="7" w:tplc="0C090019" w:tentative="1">
      <w:start w:val="1"/>
      <w:numFmt w:val="lowerLetter"/>
      <w:lvlText w:val="%8."/>
      <w:lvlJc w:val="left"/>
      <w:pPr>
        <w:ind w:left="5628" w:hanging="360"/>
      </w:pPr>
    </w:lvl>
    <w:lvl w:ilvl="8" w:tplc="0C09001B" w:tentative="1">
      <w:start w:val="1"/>
      <w:numFmt w:val="lowerRoman"/>
      <w:lvlText w:val="%9."/>
      <w:lvlJc w:val="right"/>
      <w:pPr>
        <w:ind w:left="6348" w:hanging="180"/>
      </w:pPr>
    </w:lvl>
  </w:abstractNum>
  <w:abstractNum w:abstractNumId="8" w15:restartNumberingAfterBreak="0">
    <w:nsid w:val="306C5D99"/>
    <w:multiLevelType w:val="hybridMultilevel"/>
    <w:tmpl w:val="063213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8B7104"/>
    <w:multiLevelType w:val="hybridMultilevel"/>
    <w:tmpl w:val="E1842B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41A7923"/>
    <w:multiLevelType w:val="hybridMultilevel"/>
    <w:tmpl w:val="F1284D6E"/>
    <w:lvl w:ilvl="0" w:tplc="78B63E30">
      <w:start w:val="4"/>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2" w15:restartNumberingAfterBreak="0">
    <w:nsid w:val="44617D46"/>
    <w:multiLevelType w:val="hybridMultilevel"/>
    <w:tmpl w:val="5A3073D4"/>
    <w:lvl w:ilvl="0" w:tplc="0C090017">
      <w:start w:val="1"/>
      <w:numFmt w:val="lowerLetter"/>
      <w:lvlText w:val="%1)"/>
      <w:lvlJc w:val="left"/>
      <w:pPr>
        <w:ind w:left="901" w:hanging="360"/>
      </w:pPr>
    </w:lvl>
    <w:lvl w:ilvl="1" w:tplc="0C090019" w:tentative="1">
      <w:start w:val="1"/>
      <w:numFmt w:val="lowerLetter"/>
      <w:lvlText w:val="%2."/>
      <w:lvlJc w:val="left"/>
      <w:pPr>
        <w:ind w:left="1621" w:hanging="360"/>
      </w:pPr>
    </w:lvl>
    <w:lvl w:ilvl="2" w:tplc="0C09001B" w:tentative="1">
      <w:start w:val="1"/>
      <w:numFmt w:val="lowerRoman"/>
      <w:lvlText w:val="%3."/>
      <w:lvlJc w:val="right"/>
      <w:pPr>
        <w:ind w:left="2341" w:hanging="180"/>
      </w:pPr>
    </w:lvl>
    <w:lvl w:ilvl="3" w:tplc="0C09000F" w:tentative="1">
      <w:start w:val="1"/>
      <w:numFmt w:val="decimal"/>
      <w:lvlText w:val="%4."/>
      <w:lvlJc w:val="left"/>
      <w:pPr>
        <w:ind w:left="3061" w:hanging="360"/>
      </w:pPr>
    </w:lvl>
    <w:lvl w:ilvl="4" w:tplc="0C090019" w:tentative="1">
      <w:start w:val="1"/>
      <w:numFmt w:val="lowerLetter"/>
      <w:lvlText w:val="%5."/>
      <w:lvlJc w:val="left"/>
      <w:pPr>
        <w:ind w:left="3781" w:hanging="360"/>
      </w:pPr>
    </w:lvl>
    <w:lvl w:ilvl="5" w:tplc="0C09001B" w:tentative="1">
      <w:start w:val="1"/>
      <w:numFmt w:val="lowerRoman"/>
      <w:lvlText w:val="%6."/>
      <w:lvlJc w:val="right"/>
      <w:pPr>
        <w:ind w:left="4501" w:hanging="180"/>
      </w:pPr>
    </w:lvl>
    <w:lvl w:ilvl="6" w:tplc="0C09000F" w:tentative="1">
      <w:start w:val="1"/>
      <w:numFmt w:val="decimal"/>
      <w:lvlText w:val="%7."/>
      <w:lvlJc w:val="left"/>
      <w:pPr>
        <w:ind w:left="5221" w:hanging="360"/>
      </w:pPr>
    </w:lvl>
    <w:lvl w:ilvl="7" w:tplc="0C090019" w:tentative="1">
      <w:start w:val="1"/>
      <w:numFmt w:val="lowerLetter"/>
      <w:lvlText w:val="%8."/>
      <w:lvlJc w:val="left"/>
      <w:pPr>
        <w:ind w:left="5941" w:hanging="360"/>
      </w:pPr>
    </w:lvl>
    <w:lvl w:ilvl="8" w:tplc="0C09001B" w:tentative="1">
      <w:start w:val="1"/>
      <w:numFmt w:val="lowerRoman"/>
      <w:lvlText w:val="%9."/>
      <w:lvlJc w:val="right"/>
      <w:pPr>
        <w:ind w:left="6661" w:hanging="180"/>
      </w:pPr>
    </w:lvl>
  </w:abstractNum>
  <w:abstractNum w:abstractNumId="13" w15:restartNumberingAfterBreak="0">
    <w:nsid w:val="4BAC5BBA"/>
    <w:multiLevelType w:val="hybridMultilevel"/>
    <w:tmpl w:val="816C8F3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C2A1B49"/>
    <w:multiLevelType w:val="singleLevel"/>
    <w:tmpl w:val="03B6DC94"/>
    <w:lvl w:ilvl="0">
      <w:start w:val="1"/>
      <w:numFmt w:val="lowerLetter"/>
      <w:lvlText w:val="%1)"/>
      <w:lvlJc w:val="left"/>
      <w:pPr>
        <w:tabs>
          <w:tab w:val="num" w:pos="1440"/>
        </w:tabs>
        <w:ind w:left="1440" w:hanging="720"/>
      </w:pPr>
      <w:rPr>
        <w:rFonts w:hint="default"/>
      </w:rPr>
    </w:lvl>
  </w:abstractNum>
  <w:abstractNum w:abstractNumId="15" w15:restartNumberingAfterBreak="0">
    <w:nsid w:val="4CA5294A"/>
    <w:multiLevelType w:val="hybridMultilevel"/>
    <w:tmpl w:val="5560A484"/>
    <w:lvl w:ilvl="0" w:tplc="43BCECB6">
      <w:start w:val="1"/>
      <w:numFmt w:val="lowerLetter"/>
      <w:lvlText w:val="(%1)"/>
      <w:lvlJc w:val="left"/>
      <w:pPr>
        <w:ind w:left="1267" w:hanging="360"/>
      </w:pPr>
    </w:lvl>
    <w:lvl w:ilvl="1" w:tplc="0C090019">
      <w:start w:val="1"/>
      <w:numFmt w:val="lowerLetter"/>
      <w:lvlText w:val="%2."/>
      <w:lvlJc w:val="left"/>
      <w:pPr>
        <w:ind w:left="1987" w:hanging="360"/>
      </w:pPr>
    </w:lvl>
    <w:lvl w:ilvl="2" w:tplc="0C09001B">
      <w:start w:val="1"/>
      <w:numFmt w:val="lowerRoman"/>
      <w:lvlText w:val="%3."/>
      <w:lvlJc w:val="right"/>
      <w:pPr>
        <w:ind w:left="2707" w:hanging="180"/>
      </w:pPr>
    </w:lvl>
    <w:lvl w:ilvl="3" w:tplc="0C09000F">
      <w:start w:val="1"/>
      <w:numFmt w:val="decimal"/>
      <w:lvlText w:val="%4."/>
      <w:lvlJc w:val="left"/>
      <w:pPr>
        <w:ind w:left="3427" w:hanging="360"/>
      </w:pPr>
    </w:lvl>
    <w:lvl w:ilvl="4" w:tplc="0C090019">
      <w:start w:val="1"/>
      <w:numFmt w:val="lowerLetter"/>
      <w:lvlText w:val="%5."/>
      <w:lvlJc w:val="left"/>
      <w:pPr>
        <w:ind w:left="4147" w:hanging="360"/>
      </w:pPr>
    </w:lvl>
    <w:lvl w:ilvl="5" w:tplc="0C09001B">
      <w:start w:val="1"/>
      <w:numFmt w:val="lowerRoman"/>
      <w:lvlText w:val="%6."/>
      <w:lvlJc w:val="right"/>
      <w:pPr>
        <w:ind w:left="4867" w:hanging="180"/>
      </w:pPr>
    </w:lvl>
    <w:lvl w:ilvl="6" w:tplc="0C09000F">
      <w:start w:val="1"/>
      <w:numFmt w:val="decimal"/>
      <w:lvlText w:val="%7."/>
      <w:lvlJc w:val="left"/>
      <w:pPr>
        <w:ind w:left="5587" w:hanging="360"/>
      </w:pPr>
    </w:lvl>
    <w:lvl w:ilvl="7" w:tplc="0C090019">
      <w:start w:val="1"/>
      <w:numFmt w:val="lowerLetter"/>
      <w:lvlText w:val="%8."/>
      <w:lvlJc w:val="left"/>
      <w:pPr>
        <w:ind w:left="6307" w:hanging="360"/>
      </w:pPr>
    </w:lvl>
    <w:lvl w:ilvl="8" w:tplc="0C09001B">
      <w:start w:val="1"/>
      <w:numFmt w:val="lowerRoman"/>
      <w:lvlText w:val="%9."/>
      <w:lvlJc w:val="right"/>
      <w:pPr>
        <w:ind w:left="7027" w:hanging="180"/>
      </w:pPr>
    </w:lvl>
  </w:abstractNum>
  <w:abstractNum w:abstractNumId="16" w15:restartNumberingAfterBreak="0">
    <w:nsid w:val="4F5F2F84"/>
    <w:multiLevelType w:val="hybridMultilevel"/>
    <w:tmpl w:val="1C68268E"/>
    <w:lvl w:ilvl="0" w:tplc="04090001">
      <w:start w:val="1"/>
      <w:numFmt w:val="bullet"/>
      <w:lvlText w:val=""/>
      <w:lvlJc w:val="left"/>
      <w:pPr>
        <w:tabs>
          <w:tab w:val="num" w:pos="1080"/>
        </w:tabs>
        <w:ind w:left="1080" w:hanging="360"/>
      </w:pPr>
      <w:rPr>
        <w:rFonts w:ascii="Symbol" w:hAnsi="Symbol" w:hint="default"/>
      </w:rPr>
    </w:lvl>
    <w:lvl w:ilvl="1" w:tplc="FA08C0C6">
      <w:start w:val="1"/>
      <w:numFmt w:val="decimal"/>
      <w:lvlText w:val="%2."/>
      <w:lvlJc w:val="left"/>
      <w:pPr>
        <w:tabs>
          <w:tab w:val="num" w:pos="1800"/>
        </w:tabs>
        <w:ind w:left="1800" w:hanging="360"/>
      </w:pPr>
      <w:rPr>
        <w:rFonts w:hint="default"/>
        <w:b w:val="0"/>
        <w:i w:val="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1487B67"/>
    <w:multiLevelType w:val="hybridMultilevel"/>
    <w:tmpl w:val="CF708C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037D38"/>
    <w:multiLevelType w:val="hybridMultilevel"/>
    <w:tmpl w:val="49DE296E"/>
    <w:lvl w:ilvl="0" w:tplc="98604B08">
      <w:start w:val="1"/>
      <w:numFmt w:val="decimal"/>
      <w:lvlText w:val="%1."/>
      <w:lvlJc w:val="left"/>
      <w:pPr>
        <w:tabs>
          <w:tab w:val="num" w:pos="360"/>
        </w:tabs>
        <w:ind w:left="360" w:hanging="360"/>
      </w:pPr>
    </w:lvl>
    <w:lvl w:ilvl="1" w:tplc="07E8D288">
      <w:start w:val="1"/>
      <w:numFmt w:val="lowerLetter"/>
      <w:lvlText w:val="%2)"/>
      <w:lvlJc w:val="left"/>
      <w:pPr>
        <w:tabs>
          <w:tab w:val="num" w:pos="1440"/>
        </w:tabs>
        <w:ind w:left="1440" w:hanging="360"/>
      </w:pPr>
      <w:rPr>
        <w:rFonts w:ascii="Times New Roman" w:hAnsi="Times New Roman"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273CCF"/>
    <w:multiLevelType w:val="hybridMultilevel"/>
    <w:tmpl w:val="1F44CC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21" w15:restartNumberingAfterBreak="0">
    <w:nsid w:val="6F915823"/>
    <w:multiLevelType w:val="hybridMultilevel"/>
    <w:tmpl w:val="1FB83E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6036F"/>
    <w:multiLevelType w:val="hybridMultilevel"/>
    <w:tmpl w:val="A15E1D18"/>
    <w:lvl w:ilvl="0" w:tplc="42D2E114">
      <w:start w:val="2"/>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78C44223"/>
    <w:multiLevelType w:val="hybridMultilevel"/>
    <w:tmpl w:val="16ECA17A"/>
    <w:lvl w:ilvl="0" w:tplc="6C36CD72">
      <w:start w:val="1"/>
      <w:numFmt w:val="bullet"/>
      <w:pStyle w:val="Stylea"/>
      <w:lvlText w:val=""/>
      <w:lvlJc w:val="left"/>
      <w:pPr>
        <w:ind w:left="-288" w:hanging="360"/>
      </w:pPr>
      <w:rPr>
        <w:rFonts w:ascii="Wingdings" w:hAnsi="Wingdings" w:hint="default"/>
      </w:rPr>
    </w:lvl>
    <w:lvl w:ilvl="1" w:tplc="0C090019" w:tentative="1">
      <w:start w:val="1"/>
      <w:numFmt w:val="lowerLetter"/>
      <w:lvlText w:val="%2."/>
      <w:lvlJc w:val="left"/>
      <w:pPr>
        <w:ind w:left="1308" w:hanging="360"/>
      </w:pPr>
    </w:lvl>
    <w:lvl w:ilvl="2" w:tplc="0C09001B" w:tentative="1">
      <w:start w:val="1"/>
      <w:numFmt w:val="lowerRoman"/>
      <w:lvlText w:val="%3."/>
      <w:lvlJc w:val="right"/>
      <w:pPr>
        <w:ind w:left="2028" w:hanging="180"/>
      </w:pPr>
    </w:lvl>
    <w:lvl w:ilvl="3" w:tplc="0C09000F" w:tentative="1">
      <w:start w:val="1"/>
      <w:numFmt w:val="decimal"/>
      <w:lvlText w:val="%4."/>
      <w:lvlJc w:val="left"/>
      <w:pPr>
        <w:ind w:left="2748" w:hanging="360"/>
      </w:pPr>
    </w:lvl>
    <w:lvl w:ilvl="4" w:tplc="0C090019" w:tentative="1">
      <w:start w:val="1"/>
      <w:numFmt w:val="lowerLetter"/>
      <w:lvlText w:val="%5."/>
      <w:lvlJc w:val="left"/>
      <w:pPr>
        <w:ind w:left="3468" w:hanging="360"/>
      </w:pPr>
    </w:lvl>
    <w:lvl w:ilvl="5" w:tplc="0C09001B" w:tentative="1">
      <w:start w:val="1"/>
      <w:numFmt w:val="lowerRoman"/>
      <w:lvlText w:val="%6."/>
      <w:lvlJc w:val="right"/>
      <w:pPr>
        <w:ind w:left="4188" w:hanging="180"/>
      </w:pPr>
    </w:lvl>
    <w:lvl w:ilvl="6" w:tplc="0C09000F" w:tentative="1">
      <w:start w:val="1"/>
      <w:numFmt w:val="decimal"/>
      <w:lvlText w:val="%7."/>
      <w:lvlJc w:val="left"/>
      <w:pPr>
        <w:ind w:left="4908" w:hanging="360"/>
      </w:pPr>
    </w:lvl>
    <w:lvl w:ilvl="7" w:tplc="0C090019" w:tentative="1">
      <w:start w:val="1"/>
      <w:numFmt w:val="lowerLetter"/>
      <w:lvlText w:val="%8."/>
      <w:lvlJc w:val="left"/>
      <w:pPr>
        <w:ind w:left="5628" w:hanging="360"/>
      </w:pPr>
    </w:lvl>
    <w:lvl w:ilvl="8" w:tplc="0C09001B" w:tentative="1">
      <w:start w:val="1"/>
      <w:numFmt w:val="lowerRoman"/>
      <w:lvlText w:val="%9."/>
      <w:lvlJc w:val="right"/>
      <w:pPr>
        <w:ind w:left="6348" w:hanging="180"/>
      </w:pPr>
    </w:lvl>
  </w:abstractNum>
  <w:num w:numId="1">
    <w:abstractNumId w:val="14"/>
  </w:num>
  <w:num w:numId="2">
    <w:abstractNumId w:val="20"/>
  </w:num>
  <w:num w:numId="3">
    <w:abstractNumId w:val="16"/>
  </w:num>
  <w:num w:numId="4">
    <w:abstractNumId w:val="18"/>
  </w:num>
  <w:num w:numId="5">
    <w:abstractNumId w:val="13"/>
  </w:num>
  <w:num w:numId="6">
    <w:abstractNumId w:val="22"/>
  </w:num>
  <w:num w:numId="7">
    <w:abstractNumId w:val="3"/>
  </w:num>
  <w:num w:numId="8">
    <w:abstractNumId w:val="4"/>
  </w:num>
  <w:num w:numId="9">
    <w:abstractNumId w:val="11"/>
  </w:num>
  <w:num w:numId="10">
    <w:abstractNumId w:val="6"/>
  </w:num>
  <w:num w:numId="11">
    <w:abstractNumId w:val="2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7"/>
  </w:num>
  <w:num w:numId="15">
    <w:abstractNumId w:val="10"/>
  </w:num>
  <w:num w:numId="16">
    <w:abstractNumId w:val="17"/>
  </w:num>
  <w:num w:numId="17">
    <w:abstractNumId w:val="21"/>
  </w:num>
  <w:num w:numId="18">
    <w:abstractNumId w:val="1"/>
  </w:num>
  <w:num w:numId="19">
    <w:abstractNumId w:val="5"/>
  </w:num>
  <w:num w:numId="20">
    <w:abstractNumId w:val="12"/>
  </w:num>
  <w:num w:numId="21">
    <w:abstractNumId w:val="19"/>
  </w:num>
  <w:num w:numId="22">
    <w:abstractNumId w:val="8"/>
  </w:num>
  <w:num w:numId="23">
    <w:abstractNumId w:val="9"/>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33B"/>
    <w:rsid w:val="000102A6"/>
    <w:rsid w:val="00050471"/>
    <w:rsid w:val="00072889"/>
    <w:rsid w:val="0009559B"/>
    <w:rsid w:val="000C7FD3"/>
    <w:rsid w:val="00135A54"/>
    <w:rsid w:val="00137A53"/>
    <w:rsid w:val="001437D5"/>
    <w:rsid w:val="001754B3"/>
    <w:rsid w:val="001903F6"/>
    <w:rsid w:val="001B19D0"/>
    <w:rsid w:val="001B30E9"/>
    <w:rsid w:val="001B4AC1"/>
    <w:rsid w:val="001C1983"/>
    <w:rsid w:val="001D1440"/>
    <w:rsid w:val="001D69AA"/>
    <w:rsid w:val="002143F8"/>
    <w:rsid w:val="00222D1E"/>
    <w:rsid w:val="00256F2B"/>
    <w:rsid w:val="00270AD3"/>
    <w:rsid w:val="00281A75"/>
    <w:rsid w:val="002F6AFD"/>
    <w:rsid w:val="0034188A"/>
    <w:rsid w:val="00353688"/>
    <w:rsid w:val="0036450D"/>
    <w:rsid w:val="00386540"/>
    <w:rsid w:val="00397B00"/>
    <w:rsid w:val="003B7508"/>
    <w:rsid w:val="003E5BC9"/>
    <w:rsid w:val="004440C2"/>
    <w:rsid w:val="00493C25"/>
    <w:rsid w:val="004979A8"/>
    <w:rsid w:val="004A21DD"/>
    <w:rsid w:val="004C3DEE"/>
    <w:rsid w:val="004D79A6"/>
    <w:rsid w:val="00581628"/>
    <w:rsid w:val="005A3DE7"/>
    <w:rsid w:val="00614914"/>
    <w:rsid w:val="0062178C"/>
    <w:rsid w:val="00630785"/>
    <w:rsid w:val="00645729"/>
    <w:rsid w:val="0067129A"/>
    <w:rsid w:val="00687501"/>
    <w:rsid w:val="00693DD6"/>
    <w:rsid w:val="006A1AFC"/>
    <w:rsid w:val="006E4F16"/>
    <w:rsid w:val="006F1595"/>
    <w:rsid w:val="006F7D75"/>
    <w:rsid w:val="0072524E"/>
    <w:rsid w:val="007556B5"/>
    <w:rsid w:val="00766925"/>
    <w:rsid w:val="00795D59"/>
    <w:rsid w:val="007E085C"/>
    <w:rsid w:val="00820264"/>
    <w:rsid w:val="00825EDA"/>
    <w:rsid w:val="0084723E"/>
    <w:rsid w:val="00854659"/>
    <w:rsid w:val="008716A9"/>
    <w:rsid w:val="00881248"/>
    <w:rsid w:val="008860EB"/>
    <w:rsid w:val="008B57A5"/>
    <w:rsid w:val="008E0CF5"/>
    <w:rsid w:val="008E6D21"/>
    <w:rsid w:val="008F2EEC"/>
    <w:rsid w:val="009132FA"/>
    <w:rsid w:val="00916954"/>
    <w:rsid w:val="00923C5D"/>
    <w:rsid w:val="00937413"/>
    <w:rsid w:val="009500FD"/>
    <w:rsid w:val="00954478"/>
    <w:rsid w:val="0095554D"/>
    <w:rsid w:val="00995E72"/>
    <w:rsid w:val="009A2131"/>
    <w:rsid w:val="009A4F4F"/>
    <w:rsid w:val="009A690F"/>
    <w:rsid w:val="009B0E50"/>
    <w:rsid w:val="009C5305"/>
    <w:rsid w:val="00A10051"/>
    <w:rsid w:val="00A1569D"/>
    <w:rsid w:val="00A3369E"/>
    <w:rsid w:val="00A33DED"/>
    <w:rsid w:val="00A44572"/>
    <w:rsid w:val="00A52C02"/>
    <w:rsid w:val="00A61C3A"/>
    <w:rsid w:val="00A834C5"/>
    <w:rsid w:val="00AD5D3C"/>
    <w:rsid w:val="00B06522"/>
    <w:rsid w:val="00B11A13"/>
    <w:rsid w:val="00B364D4"/>
    <w:rsid w:val="00B45ECF"/>
    <w:rsid w:val="00B47049"/>
    <w:rsid w:val="00B85719"/>
    <w:rsid w:val="00BC1AA5"/>
    <w:rsid w:val="00BC3821"/>
    <w:rsid w:val="00BE4733"/>
    <w:rsid w:val="00BF533B"/>
    <w:rsid w:val="00BF7A83"/>
    <w:rsid w:val="00C1325A"/>
    <w:rsid w:val="00C26434"/>
    <w:rsid w:val="00C40170"/>
    <w:rsid w:val="00C40E14"/>
    <w:rsid w:val="00C646AF"/>
    <w:rsid w:val="00C665C2"/>
    <w:rsid w:val="00C810AA"/>
    <w:rsid w:val="00C814B0"/>
    <w:rsid w:val="00C8489C"/>
    <w:rsid w:val="00C97B2F"/>
    <w:rsid w:val="00CE4204"/>
    <w:rsid w:val="00CF5312"/>
    <w:rsid w:val="00D339C7"/>
    <w:rsid w:val="00D43A3C"/>
    <w:rsid w:val="00D50212"/>
    <w:rsid w:val="00D63915"/>
    <w:rsid w:val="00D6769B"/>
    <w:rsid w:val="00D75ACB"/>
    <w:rsid w:val="00DA6600"/>
    <w:rsid w:val="00DD274E"/>
    <w:rsid w:val="00E442CE"/>
    <w:rsid w:val="00E46B14"/>
    <w:rsid w:val="00E54D2E"/>
    <w:rsid w:val="00ED1E08"/>
    <w:rsid w:val="00F10DF4"/>
    <w:rsid w:val="00F96DC0"/>
    <w:rsid w:val="00FA278A"/>
    <w:rsid w:val="00FB31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CB15444"/>
  <w15:docId w15:val="{F8F0E0D1-32B8-4A22-9473-D3AAA69E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88A"/>
    <w:rPr>
      <w:sz w:val="24"/>
      <w:szCs w:val="24"/>
      <w:lang w:val="en-US" w:eastAsia="en-US"/>
    </w:rPr>
  </w:style>
  <w:style w:type="paragraph" w:styleId="Heading1">
    <w:name w:val="heading 1"/>
    <w:basedOn w:val="Normal"/>
    <w:next w:val="Normal"/>
    <w:autoRedefine/>
    <w:qFormat/>
    <w:rsid w:val="0034188A"/>
    <w:pPr>
      <w:keepNext/>
      <w:jc w:val="center"/>
      <w:outlineLvl w:val="0"/>
    </w:pPr>
    <w:rPr>
      <w:bCs/>
    </w:rPr>
  </w:style>
  <w:style w:type="paragraph" w:styleId="Heading3">
    <w:name w:val="heading 3"/>
    <w:basedOn w:val="Normal"/>
    <w:next w:val="Normal"/>
    <w:link w:val="Heading3Char"/>
    <w:semiHidden/>
    <w:unhideWhenUsed/>
    <w:qFormat/>
    <w:rsid w:val="006F7D75"/>
    <w:pPr>
      <w:keepNext/>
      <w:spacing w:before="240" w:after="60"/>
      <w:outlineLvl w:val="2"/>
    </w:pPr>
    <w:rPr>
      <w:rFonts w:ascii="Cambria" w:hAnsi="Cambria"/>
      <w:b/>
      <w:bCs/>
      <w:sz w:val="26"/>
      <w:szCs w:val="26"/>
    </w:rPr>
  </w:style>
  <w:style w:type="paragraph" w:styleId="Heading5">
    <w:name w:val="heading 5"/>
    <w:basedOn w:val="Normal"/>
    <w:next w:val="Normal"/>
    <w:qFormat/>
    <w:rsid w:val="0034188A"/>
    <w:pPr>
      <w:keepNext/>
      <w:ind w:left="720"/>
      <w:outlineLvl w:val="4"/>
    </w:pPr>
    <w:rPr>
      <w:i/>
      <w:sz w:val="20"/>
      <w:szCs w:val="20"/>
      <w:lang w:val="en-AU"/>
    </w:rPr>
  </w:style>
  <w:style w:type="paragraph" w:styleId="Heading6">
    <w:name w:val="heading 6"/>
    <w:basedOn w:val="Normal"/>
    <w:next w:val="Normal"/>
    <w:qFormat/>
    <w:rsid w:val="0034188A"/>
    <w:pPr>
      <w:keepNext/>
      <w:outlineLvl w:val="5"/>
    </w:pPr>
    <w:rPr>
      <w:b/>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34188A"/>
    <w:pPr>
      <w:jc w:val="both"/>
    </w:pPr>
    <w:rPr>
      <w:szCs w:val="20"/>
      <w:lang w:val="en-GB"/>
    </w:rPr>
  </w:style>
  <w:style w:type="paragraph" w:styleId="NormalWeb">
    <w:name w:val="Normal (Web)"/>
    <w:basedOn w:val="Normal"/>
    <w:rsid w:val="0034188A"/>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34188A"/>
    <w:pPr>
      <w:ind w:right="890"/>
      <w:jc w:val="center"/>
    </w:pPr>
    <w:rPr>
      <w:b/>
      <w:sz w:val="20"/>
      <w:szCs w:val="20"/>
      <w:lang w:val="en-AU"/>
    </w:rPr>
  </w:style>
  <w:style w:type="paragraph" w:customStyle="1" w:styleId="indenta">
    <w:name w:val="indent(a)"/>
    <w:aliases w:val="a"/>
    <w:basedOn w:val="Normal"/>
    <w:rsid w:val="0034188A"/>
    <w:pPr>
      <w:tabs>
        <w:tab w:val="right" w:pos="1531"/>
      </w:tabs>
      <w:spacing w:before="40" w:line="260" w:lineRule="atLeast"/>
      <w:ind w:left="1644" w:hanging="1644"/>
    </w:pPr>
    <w:rPr>
      <w:rFonts w:ascii="Times" w:hAnsi="Times"/>
      <w:sz w:val="22"/>
      <w:szCs w:val="20"/>
      <w:lang w:val="en-AU"/>
    </w:rPr>
  </w:style>
  <w:style w:type="paragraph" w:styleId="FootnoteText">
    <w:name w:val="footnote text"/>
    <w:basedOn w:val="Normal"/>
    <w:semiHidden/>
    <w:rsid w:val="0034188A"/>
    <w:rPr>
      <w:sz w:val="20"/>
      <w:szCs w:val="20"/>
      <w:lang w:val="en-AU"/>
    </w:rPr>
  </w:style>
  <w:style w:type="paragraph" w:customStyle="1" w:styleId="normal-dot">
    <w:name w:val="normal-dot"/>
    <w:basedOn w:val="Normal"/>
    <w:rsid w:val="0034188A"/>
    <w:pPr>
      <w:numPr>
        <w:numId w:val="2"/>
      </w:numPr>
      <w:spacing w:before="120"/>
      <w:ind w:left="357" w:hanging="357"/>
    </w:pPr>
    <w:rPr>
      <w:sz w:val="22"/>
      <w:szCs w:val="20"/>
      <w:lang w:val="en-AU"/>
    </w:rPr>
  </w:style>
  <w:style w:type="paragraph" w:styleId="BlockText">
    <w:name w:val="Block Text"/>
    <w:basedOn w:val="Normal"/>
    <w:rsid w:val="0034188A"/>
    <w:pPr>
      <w:spacing w:line="220" w:lineRule="atLeast"/>
      <w:ind w:left="-567" w:right="-766"/>
      <w:jc w:val="center"/>
    </w:pPr>
    <w:rPr>
      <w:b/>
      <w:bCs/>
      <w:szCs w:val="20"/>
      <w:lang w:val="en-AU"/>
    </w:rPr>
  </w:style>
  <w:style w:type="character" w:styleId="HTMLAcronym">
    <w:name w:val="HTML Acronym"/>
    <w:basedOn w:val="DefaultParagraphFont"/>
    <w:rsid w:val="0034188A"/>
  </w:style>
  <w:style w:type="character" w:styleId="CommentReference">
    <w:name w:val="annotation reference"/>
    <w:semiHidden/>
    <w:rsid w:val="0034188A"/>
    <w:rPr>
      <w:sz w:val="16"/>
      <w:szCs w:val="16"/>
    </w:rPr>
  </w:style>
  <w:style w:type="paragraph" w:styleId="CommentText">
    <w:name w:val="annotation text"/>
    <w:basedOn w:val="Normal"/>
    <w:link w:val="CommentTextChar"/>
    <w:semiHidden/>
    <w:rsid w:val="0034188A"/>
    <w:rPr>
      <w:sz w:val="20"/>
      <w:szCs w:val="20"/>
    </w:rPr>
  </w:style>
  <w:style w:type="paragraph" w:styleId="CommentSubject">
    <w:name w:val="annotation subject"/>
    <w:basedOn w:val="CommentText"/>
    <w:next w:val="CommentText"/>
    <w:semiHidden/>
    <w:rsid w:val="0034188A"/>
    <w:rPr>
      <w:b/>
      <w:bCs/>
    </w:rPr>
  </w:style>
  <w:style w:type="paragraph" w:styleId="BalloonText">
    <w:name w:val="Balloon Text"/>
    <w:basedOn w:val="Normal"/>
    <w:semiHidden/>
    <w:rsid w:val="0034188A"/>
    <w:rPr>
      <w:rFonts w:ascii="Tahoma" w:hAnsi="Tahoma" w:cs="Tahoma"/>
      <w:sz w:val="16"/>
      <w:szCs w:val="16"/>
    </w:rPr>
  </w:style>
  <w:style w:type="character" w:customStyle="1" w:styleId="CommentTextChar">
    <w:name w:val="Comment Text Char"/>
    <w:link w:val="CommentText"/>
    <w:semiHidden/>
    <w:rsid w:val="006F1595"/>
    <w:rPr>
      <w:lang w:val="en-US" w:eastAsia="en-US"/>
    </w:rPr>
  </w:style>
  <w:style w:type="character" w:styleId="Hyperlink">
    <w:name w:val="Hyperlink"/>
    <w:rsid w:val="006F7D75"/>
    <w:rPr>
      <w:color w:val="0000FF"/>
      <w:u w:val="single"/>
    </w:rPr>
  </w:style>
  <w:style w:type="paragraph" w:customStyle="1" w:styleId="Legalclauselevel3alternate">
    <w:name w:val="Legal clause level 3 (alternate)"/>
    <w:basedOn w:val="Heading3"/>
    <w:qFormat/>
    <w:rsid w:val="006F7D75"/>
    <w:pPr>
      <w:keepNext w:val="0"/>
      <w:shd w:val="clear" w:color="auto" w:fill="B6DDE8"/>
      <w:tabs>
        <w:tab w:val="num" w:pos="964"/>
      </w:tabs>
      <w:spacing w:before="0" w:after="220"/>
    </w:pPr>
    <w:rPr>
      <w:rFonts w:ascii="Arial" w:hAnsi="Arial" w:cs="Arial"/>
      <w:b w:val="0"/>
      <w:sz w:val="22"/>
      <w:lang w:val="en-AU" w:eastAsia="en-AU"/>
    </w:rPr>
  </w:style>
  <w:style w:type="character" w:customStyle="1" w:styleId="Heading3Char">
    <w:name w:val="Heading 3 Char"/>
    <w:link w:val="Heading3"/>
    <w:semiHidden/>
    <w:rsid w:val="006F7D75"/>
    <w:rPr>
      <w:rFonts w:ascii="Cambria" w:eastAsia="Times New Roman" w:hAnsi="Cambria" w:cs="Times New Roman"/>
      <w:b/>
      <w:bCs/>
      <w:sz w:val="26"/>
      <w:szCs w:val="26"/>
      <w:lang w:val="en-US" w:eastAsia="en-US"/>
    </w:rPr>
  </w:style>
  <w:style w:type="paragraph" w:customStyle="1" w:styleId="Stylea">
    <w:name w:val="Style (a)"/>
    <w:basedOn w:val="Normal"/>
    <w:qFormat/>
    <w:rsid w:val="004C3DEE"/>
    <w:pPr>
      <w:numPr>
        <w:numId w:val="11"/>
      </w:numPr>
      <w:ind w:left="714" w:hanging="357"/>
    </w:pPr>
    <w:rPr>
      <w:snapToGrid w:val="0"/>
      <w:color w:val="FF0000"/>
      <w:lang w:val="en-AU"/>
    </w:rPr>
  </w:style>
  <w:style w:type="paragraph" w:styleId="ListParagraph">
    <w:name w:val="List Paragraph"/>
    <w:aliases w:val="AFMA List Paragraph,List Paragraph1,Recommendation,List Paragraph11,DDM Gen Text,Bullet Level 1,List Paragraph111,L,F5 List Paragraph,Dot pt,CV text,Medium Grid 1 - Accent 21,Numbered Paragraph,List Paragraph2,Bulleted Para"/>
    <w:basedOn w:val="Normal"/>
    <w:link w:val="ListParagraphChar"/>
    <w:uiPriority w:val="34"/>
    <w:qFormat/>
    <w:rsid w:val="00D63915"/>
    <w:pPr>
      <w:tabs>
        <w:tab w:val="left" w:pos="1096"/>
      </w:tabs>
      <w:spacing w:before="60" w:after="60"/>
      <w:ind w:firstLine="181"/>
    </w:pPr>
    <w:rPr>
      <w:rFonts w:eastAsia="Calibri"/>
      <w:snapToGrid w:val="0"/>
      <w:sz w:val="22"/>
      <w:szCs w:val="22"/>
      <w:lang w:val="en-AU"/>
    </w:rPr>
  </w:style>
  <w:style w:type="character" w:customStyle="1" w:styleId="ListParagraphChar">
    <w:name w:val="List Paragraph Char"/>
    <w:aliases w:val="AFMA List Paragraph Char,List Paragraph1 Char,Recommendation Char,List Paragraph11 Char,DDM Gen Text Char,Bullet Level 1 Char,List Paragraph111 Char,L Char,F5 List Paragraph Char,Dot pt Char,CV text Char,Numbered Paragraph Char"/>
    <w:link w:val="ListParagraph"/>
    <w:uiPriority w:val="34"/>
    <w:qFormat/>
    <w:rsid w:val="00072889"/>
    <w:rPr>
      <w:rFonts w:eastAsia="Calibri"/>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 xmlns="344c6e69-c594-4ca4-b341-09ae9dfc1422">Approved</Approval>
    <Function xmlns="344c6e69-c594-4ca4-b341-09ae9dfc1422">Regulation</Function>
    <IconOverlay xmlns="http://schemas.microsoft.com/sharepoint/v4" xsi:nil="true"/>
    <DocumentDescription xmlns="344c6e69-c594-4ca4-b341-09ae9dfc1422">Coral Sea Fishery - WTO Instrument</DocumentDescription>
    <RecordNumber xmlns="344c6e69-c594-4ca4-b341-09ae9dfc1422">000109706</RecordNumber>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B10AAF848ED07B47933E707564FE2E4A" ma:contentTypeVersion="9" ma:contentTypeDescription="SPIRE Document" ma:contentTypeScope="" ma:versionID="ad9b36ff9e6a165668cbd44bb20b09a3">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230f11eb476aabfcc9c24c955b6bb904"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B2BA7-2D8D-4E8A-9DF0-FE0AC89F19FC}">
  <ds:schemaRefs>
    <ds:schemaRef ds:uri="http://schemas.microsoft.com/sharepoint/events"/>
  </ds:schemaRefs>
</ds:datastoreItem>
</file>

<file path=customXml/itemProps2.xml><?xml version="1.0" encoding="utf-8"?>
<ds:datastoreItem xmlns:ds="http://schemas.openxmlformats.org/officeDocument/2006/customXml" ds:itemID="{D52C88B8-730D-42C1-B2AC-E93B065AE757}">
  <ds:schemaRefs>
    <ds:schemaRef ds:uri="http://schemas.microsoft.com/sharepoint/v3/contenttype/forms"/>
  </ds:schemaRefs>
</ds:datastoreItem>
</file>

<file path=customXml/itemProps3.xml><?xml version="1.0" encoding="utf-8"?>
<ds:datastoreItem xmlns:ds="http://schemas.openxmlformats.org/officeDocument/2006/customXml" ds:itemID="{254F61E2-7DE1-4B0F-A4B3-6DD7DF5A9E1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4"/>
    <ds:schemaRef ds:uri="http://purl.org/dc/terms/"/>
    <ds:schemaRef ds:uri="344c6e69-c594-4ca4-b341-09ae9dfc1422"/>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75EBE1B-5DD9-4FF5-A728-A4EC0E90E75B}">
  <ds:schemaRefs>
    <ds:schemaRef ds:uri="http://schemas.microsoft.com/office/2006/metadata/customXsn"/>
  </ds:schemaRefs>
</ds:datastoreItem>
</file>

<file path=customXml/itemProps5.xml><?xml version="1.0" encoding="utf-8"?>
<ds:datastoreItem xmlns:ds="http://schemas.openxmlformats.org/officeDocument/2006/customXml" ds:itemID="{E5DF44FA-129F-4D75-B293-016C5213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Brief - Att D - Coral Sea Fishery - WTO Instrument</vt:lpstr>
    </vt:vector>
  </TitlesOfParts>
  <Company>EA</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 Att D - Coral Sea Fishery - WTO Instrument</dc:title>
  <dc:creator>a12990</dc:creator>
  <cp:lastModifiedBy>Fiona Keen</cp:lastModifiedBy>
  <cp:revision>2</cp:revision>
  <cp:lastPrinted>2015-02-25T00:12:00Z</cp:lastPrinted>
  <dcterms:created xsi:type="dcterms:W3CDTF">2021-01-07T04:16:00Z</dcterms:created>
  <dcterms:modified xsi:type="dcterms:W3CDTF">2021-01-07T04:16:00Z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0x0101009DB8618430E8D149BA674DA7B0E0C3F000B10AAF848ED07B47933E707564FE2E4A</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{f76d257c-cc16-4107-918d-9d086a8dc5d0}</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ies>
</file>