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EE7F" w14:textId="6D0EE8E6" w:rsidR="007310B8" w:rsidRPr="00CF71BC" w:rsidRDefault="00D87403" w:rsidP="00CA1EA4">
      <w:pPr>
        <w:contextualSpacing/>
        <w:jc w:val="center"/>
        <w:rPr>
          <w:b/>
          <w:lang w:eastAsia="en-US"/>
        </w:rPr>
      </w:pPr>
      <w:r>
        <w:rPr>
          <w:b/>
          <w:lang w:eastAsia="en-US"/>
        </w:rPr>
        <w:t xml:space="preserve">REPLACEMENT </w:t>
      </w:r>
      <w:r w:rsidR="007310B8" w:rsidRPr="00CF71BC">
        <w:rPr>
          <w:b/>
          <w:lang w:eastAsia="en-US"/>
        </w:rPr>
        <w:t>EXPLANATORY STATEMENT</w:t>
      </w:r>
    </w:p>
    <w:p w14:paraId="4BC53369" w14:textId="6B547327" w:rsidR="007310B8" w:rsidRPr="00CF71BC" w:rsidRDefault="007310B8" w:rsidP="00CA1EA4">
      <w:pPr>
        <w:contextualSpacing/>
        <w:jc w:val="center"/>
        <w:rPr>
          <w:lang w:eastAsia="en-US"/>
        </w:rPr>
      </w:pPr>
    </w:p>
    <w:p w14:paraId="7E1B652A" w14:textId="77777777" w:rsidR="00E45282" w:rsidRDefault="00E45282" w:rsidP="00E45282">
      <w:pPr>
        <w:shd w:val="clear" w:color="auto" w:fill="FFFFFF"/>
        <w:jc w:val="center"/>
        <w:rPr>
          <w:rFonts w:ascii="Calibri" w:hAnsi="Calibri" w:cs="Calibri"/>
          <w:color w:val="000000"/>
          <w:sz w:val="22"/>
          <w:szCs w:val="22"/>
        </w:rPr>
      </w:pPr>
      <w:r>
        <w:rPr>
          <w:b/>
          <w:bCs/>
          <w:color w:val="000000"/>
        </w:rPr>
        <w:t> </w:t>
      </w:r>
    </w:p>
    <w:p w14:paraId="7C050513" w14:textId="60407E0B" w:rsidR="00E45282" w:rsidRPr="002A0FFD" w:rsidRDefault="00E45282" w:rsidP="00E45282">
      <w:pPr>
        <w:shd w:val="clear" w:color="auto" w:fill="FFFFFF"/>
        <w:rPr>
          <w:rFonts w:ascii="Calibri" w:hAnsi="Calibri" w:cs="Calibri"/>
          <w:color w:val="000000"/>
          <w:sz w:val="22"/>
          <w:szCs w:val="22"/>
        </w:rPr>
      </w:pPr>
      <w:r w:rsidRPr="007B1CE2">
        <w:rPr>
          <w:color w:val="000000"/>
          <w:highlight w:val="yellow"/>
        </w:rPr>
        <w:t xml:space="preserve">This Explanatory Statement replaces the Explanatory Statement registered on </w:t>
      </w:r>
      <w:r w:rsidR="00D32E94" w:rsidRPr="007B1CE2">
        <w:rPr>
          <w:color w:val="000000"/>
          <w:highlight w:val="yellow"/>
        </w:rPr>
        <w:t>24 December 2021</w:t>
      </w:r>
      <w:r w:rsidRPr="007B1CE2">
        <w:rPr>
          <w:color w:val="000000"/>
          <w:highlight w:val="yellow"/>
        </w:rPr>
        <w:t xml:space="preserve"> for the </w:t>
      </w:r>
      <w:r w:rsidR="004E0548" w:rsidRPr="007B1CE2">
        <w:rPr>
          <w:i/>
          <w:iCs/>
          <w:highlight w:val="yellow"/>
        </w:rPr>
        <w:t>Trade Support Loans Legislation Amendment Instrument 2021</w:t>
      </w:r>
      <w:r w:rsidR="004E0548" w:rsidRPr="007B1CE2">
        <w:rPr>
          <w:highlight w:val="yellow"/>
        </w:rPr>
        <w:t xml:space="preserve"> </w:t>
      </w:r>
      <w:r w:rsidRPr="007B1CE2">
        <w:rPr>
          <w:color w:val="000000"/>
          <w:highlight w:val="yellow"/>
        </w:rPr>
        <w:t>[F2021L01</w:t>
      </w:r>
      <w:r w:rsidR="005768E1" w:rsidRPr="007B1CE2">
        <w:rPr>
          <w:color w:val="000000"/>
          <w:highlight w:val="yellow"/>
        </w:rPr>
        <w:t>905</w:t>
      </w:r>
      <w:r w:rsidRPr="007B1CE2">
        <w:rPr>
          <w:color w:val="000000"/>
          <w:highlight w:val="yellow"/>
        </w:rPr>
        <w:t xml:space="preserve">] </w:t>
      </w:r>
      <w:r w:rsidR="00880FEC" w:rsidRPr="007B1CE2">
        <w:rPr>
          <w:highlight w:val="yellow"/>
        </w:rPr>
        <w:t xml:space="preserve">in accordance with paragraph 15J(1)(b) of the </w:t>
      </w:r>
      <w:r w:rsidR="00880FEC" w:rsidRPr="007B1CE2">
        <w:rPr>
          <w:i/>
          <w:iCs/>
          <w:highlight w:val="yellow"/>
        </w:rPr>
        <w:t>Legislation Act 2003</w:t>
      </w:r>
      <w:r w:rsidR="00880FEC" w:rsidRPr="007B1CE2">
        <w:rPr>
          <w:highlight w:val="yellow"/>
        </w:rPr>
        <w:t xml:space="preserve"> </w:t>
      </w:r>
      <w:r w:rsidRPr="007B1CE2">
        <w:rPr>
          <w:highlight w:val="yellow"/>
        </w:rPr>
        <w:t xml:space="preserve">to include </w:t>
      </w:r>
      <w:r w:rsidR="005768E1" w:rsidRPr="007B1CE2">
        <w:rPr>
          <w:highlight w:val="yellow"/>
        </w:rPr>
        <w:t xml:space="preserve">further detail about the </w:t>
      </w:r>
      <w:r w:rsidR="00C83441" w:rsidRPr="007B1CE2">
        <w:rPr>
          <w:highlight w:val="yellow"/>
        </w:rPr>
        <w:t xml:space="preserve">incorporation by reference of the </w:t>
      </w:r>
      <w:r w:rsidR="00880FEC" w:rsidRPr="007B1CE2">
        <w:rPr>
          <w:highlight w:val="yellow"/>
        </w:rPr>
        <w:t>s</w:t>
      </w:r>
      <w:r w:rsidR="00D51C53" w:rsidRPr="007B1CE2">
        <w:rPr>
          <w:highlight w:val="yellow"/>
        </w:rPr>
        <w:t>alary and wage occupation code</w:t>
      </w:r>
      <w:r w:rsidR="00D51A05" w:rsidRPr="007B1CE2">
        <w:rPr>
          <w:highlight w:val="yellow"/>
        </w:rPr>
        <w:t>s</w:t>
      </w:r>
      <w:r w:rsidR="00D51C53" w:rsidRPr="007B1CE2">
        <w:rPr>
          <w:highlight w:val="yellow"/>
        </w:rPr>
        <w:t xml:space="preserve"> 2020 and the mode of</w:t>
      </w:r>
      <w:r w:rsidR="00880FEC" w:rsidRPr="007B1CE2">
        <w:rPr>
          <w:highlight w:val="yellow"/>
        </w:rPr>
        <w:t xml:space="preserve"> it</w:t>
      </w:r>
      <w:r w:rsidR="00583B6F" w:rsidRPr="007B1CE2">
        <w:rPr>
          <w:highlight w:val="yellow"/>
        </w:rPr>
        <w:t>s</w:t>
      </w:r>
      <w:r w:rsidR="00D51C53" w:rsidRPr="007B1CE2">
        <w:rPr>
          <w:highlight w:val="yellow"/>
        </w:rPr>
        <w:t xml:space="preserve"> incorporation.</w:t>
      </w:r>
    </w:p>
    <w:p w14:paraId="55065785" w14:textId="77777777" w:rsidR="003151C7" w:rsidRPr="00CF71BC" w:rsidRDefault="003151C7" w:rsidP="002A0FFD">
      <w:pPr>
        <w:contextualSpacing/>
        <w:rPr>
          <w:b/>
          <w:i/>
          <w:caps/>
        </w:rPr>
      </w:pPr>
    </w:p>
    <w:p w14:paraId="6F586088" w14:textId="26590DF5" w:rsidR="001B5989" w:rsidRPr="00CF71BC" w:rsidRDefault="001B5989" w:rsidP="003151C7">
      <w:pPr>
        <w:contextualSpacing/>
        <w:jc w:val="center"/>
        <w:rPr>
          <w:b/>
          <w:i/>
          <w:caps/>
        </w:rPr>
      </w:pPr>
      <w:r w:rsidRPr="00CF71BC">
        <w:rPr>
          <w:b/>
          <w:i/>
          <w:caps/>
        </w:rPr>
        <w:t xml:space="preserve">Trade Support Loans </w:t>
      </w:r>
      <w:r w:rsidR="00393DE1" w:rsidRPr="00CF71BC">
        <w:rPr>
          <w:b/>
          <w:i/>
          <w:caps/>
        </w:rPr>
        <w:t>Legislation</w:t>
      </w:r>
      <w:r w:rsidRPr="00CF71BC">
        <w:rPr>
          <w:b/>
          <w:i/>
          <w:caps/>
        </w:rPr>
        <w:t xml:space="preserve"> Amendment </w:t>
      </w:r>
      <w:r w:rsidRPr="009165CC">
        <w:rPr>
          <w:b/>
          <w:i/>
          <w:caps/>
        </w:rPr>
        <w:t xml:space="preserve">Instrument </w:t>
      </w:r>
      <w:r w:rsidRPr="00F64E11">
        <w:rPr>
          <w:b/>
          <w:i/>
          <w:caps/>
        </w:rPr>
        <w:t>202</w:t>
      </w:r>
      <w:r w:rsidR="009165CC" w:rsidRPr="00F64E11">
        <w:rPr>
          <w:b/>
          <w:i/>
          <w:caps/>
        </w:rPr>
        <w:t>1</w:t>
      </w:r>
    </w:p>
    <w:p w14:paraId="56AB5254" w14:textId="2D99D41B" w:rsidR="007310B8" w:rsidRPr="00CF71BC" w:rsidRDefault="00880FEC" w:rsidP="007B1CE2">
      <w:pPr>
        <w:jc w:val="center"/>
      </w:pPr>
      <w:r w:rsidRPr="007B1CE2">
        <w:rPr>
          <w:i/>
          <w:iCs/>
          <w:highlight w:val="yellow"/>
        </w:rPr>
        <w:t>Trade Support Loans Act 2014</w:t>
      </w:r>
    </w:p>
    <w:p w14:paraId="22E09C6C" w14:textId="77777777" w:rsidR="00B132B3" w:rsidRDefault="00B132B3" w:rsidP="003151C7">
      <w:pPr>
        <w:rPr>
          <w:b/>
          <w:color w:val="000000"/>
        </w:rPr>
      </w:pPr>
    </w:p>
    <w:p w14:paraId="7F9435F5" w14:textId="300DF79A" w:rsidR="003151C7" w:rsidRPr="00CF71BC" w:rsidRDefault="003151C7" w:rsidP="003151C7">
      <w:pPr>
        <w:rPr>
          <w:b/>
          <w:color w:val="000000"/>
        </w:rPr>
      </w:pPr>
      <w:r w:rsidRPr="00CF71BC">
        <w:rPr>
          <w:b/>
          <w:color w:val="000000"/>
        </w:rPr>
        <w:t>AUTHORITY</w:t>
      </w:r>
    </w:p>
    <w:p w14:paraId="73E6F73B" w14:textId="77777777" w:rsidR="003151C7" w:rsidRPr="00CF71BC" w:rsidRDefault="003151C7" w:rsidP="003151C7">
      <w:pPr>
        <w:rPr>
          <w:b/>
          <w:color w:val="000000"/>
        </w:rPr>
      </w:pPr>
    </w:p>
    <w:p w14:paraId="7B187300" w14:textId="41793E28" w:rsidR="00223902" w:rsidRDefault="00FC5DC6" w:rsidP="004E7A65">
      <w:pPr>
        <w:spacing w:after="240"/>
      </w:pPr>
      <w:r w:rsidRPr="004E7A65">
        <w:t xml:space="preserve">The </w:t>
      </w:r>
      <w:r w:rsidRPr="004E7A65">
        <w:rPr>
          <w:i/>
          <w:iCs/>
        </w:rPr>
        <w:t xml:space="preserve">Trade Support Loans </w:t>
      </w:r>
      <w:r w:rsidR="00393DE1" w:rsidRPr="004E7A65">
        <w:rPr>
          <w:i/>
          <w:iCs/>
        </w:rPr>
        <w:t xml:space="preserve">Legislation </w:t>
      </w:r>
      <w:r w:rsidRPr="004E7A65">
        <w:rPr>
          <w:i/>
          <w:iCs/>
        </w:rPr>
        <w:t>Amendment Instrument 202</w:t>
      </w:r>
      <w:r w:rsidR="009165CC">
        <w:rPr>
          <w:i/>
          <w:iCs/>
        </w:rPr>
        <w:t>1</w:t>
      </w:r>
      <w:r w:rsidRPr="004E7A65">
        <w:t xml:space="preserve"> </w:t>
      </w:r>
      <w:r w:rsidR="00223902" w:rsidRPr="004E7A65">
        <w:t xml:space="preserve">(the </w:t>
      </w:r>
      <w:r w:rsidR="00AE2082" w:rsidRPr="004E7A65">
        <w:t>Amendment Instrument</w:t>
      </w:r>
      <w:r w:rsidR="00223902" w:rsidRPr="004E7A65">
        <w:t>) is made under section</w:t>
      </w:r>
      <w:r w:rsidR="00AF2133" w:rsidRPr="004E7A65">
        <w:t>s</w:t>
      </w:r>
      <w:r w:rsidR="00223902" w:rsidRPr="004E7A65">
        <w:t xml:space="preserve"> 105</w:t>
      </w:r>
      <w:r w:rsidR="00AF2133" w:rsidRPr="004E7A65">
        <w:t xml:space="preserve"> and 106</w:t>
      </w:r>
      <w:r w:rsidR="00223902" w:rsidRPr="004E7A65">
        <w:t xml:space="preserve"> of the </w:t>
      </w:r>
      <w:r w:rsidR="00223902" w:rsidRPr="004E7A65">
        <w:rPr>
          <w:i/>
          <w:iCs/>
        </w:rPr>
        <w:t>Trade Support Loans Act 2014</w:t>
      </w:r>
      <w:r w:rsidR="00223902" w:rsidRPr="004E7A65">
        <w:t xml:space="preserve"> (the Act)</w:t>
      </w:r>
      <w:r w:rsidR="002B25CF" w:rsidRPr="00CF71BC">
        <w:t>.</w:t>
      </w:r>
    </w:p>
    <w:p w14:paraId="63B2932A" w14:textId="7E99F536" w:rsidR="004E7A65" w:rsidRDefault="004E7A65" w:rsidP="004E7A65">
      <w:pPr>
        <w:spacing w:after="240"/>
      </w:pPr>
      <w:r>
        <w:t>S</w:t>
      </w:r>
      <w:r w:rsidRPr="00CF71BC">
        <w:t>ection 105 of the Act requires the Minister to establish and maintain the TSL Priority List, which specifies either (or both) the occupations and the qualifications for which, in the opinion of the Minister, skilled persons are a priority.</w:t>
      </w:r>
    </w:p>
    <w:p w14:paraId="1A4E677D" w14:textId="72C05DAF" w:rsidR="004E7A65" w:rsidRPr="00E05650" w:rsidRDefault="004E7A65" w:rsidP="004E7A65">
      <w:pPr>
        <w:spacing w:after="240"/>
      </w:pPr>
      <w:r w:rsidRPr="00E05650">
        <w:t>Subsection 106(1) of the Act provides that the</w:t>
      </w:r>
      <w:r w:rsidRPr="00FE4748">
        <w:rPr>
          <w:rFonts w:eastAsiaTheme="minorHAnsi"/>
          <w:color w:val="000000"/>
          <w:lang w:eastAsia="en-US"/>
        </w:rPr>
        <w:t xml:space="preserve"> Minister may, by legislative instrument, make rules prescribing matters: </w:t>
      </w:r>
    </w:p>
    <w:p w14:paraId="4CE4F48F" w14:textId="09385738" w:rsidR="004E7A65" w:rsidRPr="00FE4748" w:rsidRDefault="004E7A65" w:rsidP="004E7A65">
      <w:pPr>
        <w:pStyle w:val="ListParagraph"/>
        <w:numPr>
          <w:ilvl w:val="0"/>
          <w:numId w:val="17"/>
        </w:numPr>
        <w:autoSpaceDE w:val="0"/>
        <w:autoSpaceDN w:val="0"/>
        <w:adjustRightInd w:val="0"/>
        <w:rPr>
          <w:rFonts w:eastAsiaTheme="minorHAnsi"/>
          <w:color w:val="000000"/>
          <w:lang w:eastAsia="en-US"/>
        </w:rPr>
      </w:pPr>
      <w:r w:rsidRPr="00FE4748">
        <w:rPr>
          <w:rFonts w:eastAsiaTheme="minorHAnsi"/>
          <w:color w:val="000000"/>
          <w:lang w:eastAsia="en-US"/>
        </w:rPr>
        <w:t xml:space="preserve">required or permitted by the Act to be prescribed by the rules; or </w:t>
      </w:r>
    </w:p>
    <w:p w14:paraId="4F0759EB" w14:textId="25E0BEEA" w:rsidR="004E7A65" w:rsidRPr="007F78D4" w:rsidRDefault="004E7A65" w:rsidP="004E7A65">
      <w:pPr>
        <w:pStyle w:val="ListParagraph"/>
        <w:numPr>
          <w:ilvl w:val="0"/>
          <w:numId w:val="17"/>
        </w:numPr>
        <w:spacing w:after="240"/>
      </w:pPr>
      <w:r w:rsidRPr="00FE4748">
        <w:rPr>
          <w:rFonts w:eastAsiaTheme="minorHAnsi"/>
          <w:color w:val="000000"/>
          <w:lang w:eastAsia="en-US"/>
        </w:rPr>
        <w:t>necessary or convenient to be prescribed for carrying out or giving effect to the Act.</w:t>
      </w:r>
    </w:p>
    <w:p w14:paraId="4300876D" w14:textId="3EDC08EB" w:rsidR="002B25CF" w:rsidRPr="00CF71BC" w:rsidRDefault="002B25CF" w:rsidP="00393DE1">
      <w:pPr>
        <w:spacing w:after="240"/>
        <w:rPr>
          <w:rFonts w:eastAsia="Calibri"/>
        </w:rPr>
      </w:pPr>
      <w:r w:rsidRPr="00CF71BC">
        <w:t xml:space="preserve">Under subsection 33(3) of the </w:t>
      </w:r>
      <w:r w:rsidR="004E7A65" w:rsidRPr="004E7A65">
        <w:rPr>
          <w:i/>
          <w:iCs/>
        </w:rPr>
        <w:t>Acts Interpretation Act 1901</w:t>
      </w:r>
      <w:r w:rsidR="004E7A65" w:rsidRPr="004E7A65">
        <w:t xml:space="preserve"> (Acts Interpretation Act)</w:t>
      </w:r>
      <w:r w:rsidRPr="00CF71BC">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07CE4FF" w14:textId="37870097" w:rsidR="002B25CF" w:rsidRPr="00CF71BC" w:rsidRDefault="002B25CF" w:rsidP="008A6344">
      <w:pPr>
        <w:rPr>
          <w:rFonts w:eastAsia="Calibri"/>
          <w:b/>
          <w:bCs/>
        </w:rPr>
      </w:pPr>
      <w:r w:rsidRPr="00CF71BC">
        <w:rPr>
          <w:rFonts w:eastAsia="Calibri"/>
          <w:b/>
          <w:bCs/>
        </w:rPr>
        <w:t xml:space="preserve">PURPOSE AND OPERATION </w:t>
      </w:r>
    </w:p>
    <w:p w14:paraId="512E63EA" w14:textId="77777777" w:rsidR="008A6344" w:rsidRPr="00CF71BC" w:rsidRDefault="008A6344" w:rsidP="008A6344">
      <w:pPr>
        <w:rPr>
          <w:rFonts w:eastAsia="Calibri"/>
          <w:b/>
          <w:bCs/>
        </w:rPr>
      </w:pPr>
    </w:p>
    <w:p w14:paraId="67B41FE6" w14:textId="63524950" w:rsidR="00B62F6C" w:rsidRDefault="00B62F6C" w:rsidP="001106F0">
      <w:pPr>
        <w:spacing w:after="240"/>
      </w:pPr>
      <w:r w:rsidRPr="00CF71BC">
        <w:t xml:space="preserve">The Act enables </w:t>
      </w:r>
      <w:r w:rsidR="00AD5F13" w:rsidRPr="00CF71BC">
        <w:t>eligible apprentices</w:t>
      </w:r>
      <w:r w:rsidRPr="00CF71BC">
        <w:t xml:space="preserve"> to receive </w:t>
      </w:r>
      <w:r w:rsidR="00A7219E" w:rsidRPr="00CF71BC">
        <w:t>t</w:t>
      </w:r>
      <w:r w:rsidRPr="00CF71BC">
        <w:t xml:space="preserve">rade </w:t>
      </w:r>
      <w:r w:rsidR="00A7219E" w:rsidRPr="00CF71BC">
        <w:t>s</w:t>
      </w:r>
      <w:r w:rsidRPr="00CF71BC">
        <w:t xml:space="preserve">upport </w:t>
      </w:r>
      <w:r w:rsidR="00A7219E" w:rsidRPr="00CF71BC">
        <w:t>l</w:t>
      </w:r>
      <w:r w:rsidRPr="00CF71BC">
        <w:t xml:space="preserve">oans, which are income-contingent loans, claimed </w:t>
      </w:r>
      <w:r w:rsidRPr="007F78D4">
        <w:t xml:space="preserve">on a voluntary basis. </w:t>
      </w:r>
      <w:r w:rsidR="00AD5F13" w:rsidRPr="00FE4748">
        <w:t xml:space="preserve">Broadly, the requirements to receive trade support </w:t>
      </w:r>
      <w:r w:rsidR="00AD5F13" w:rsidRPr="007F78D4">
        <w:t>loan may be met by a person who is undertaking a qualifying apprenticeship. One of the requirements for an apprenticeship to be a qualifying apprenticeship is that</w:t>
      </w:r>
      <w:r w:rsidR="00AD5F13" w:rsidRPr="00CF71BC">
        <w:t xml:space="preserve"> i</w:t>
      </w:r>
      <w:r w:rsidR="009165CC">
        <w:t>t</w:t>
      </w:r>
      <w:r w:rsidR="00AD5F13" w:rsidRPr="00CF71BC">
        <w:t xml:space="preserve"> must lead to</w:t>
      </w:r>
      <w:r w:rsidRPr="00CF71BC">
        <w:t xml:space="preserve"> an occupation or qualification on the TSL Priority List.</w:t>
      </w:r>
    </w:p>
    <w:p w14:paraId="6261344D" w14:textId="77777777" w:rsidR="004E7A65" w:rsidRPr="00CF71BC" w:rsidRDefault="004E7A65" w:rsidP="004E7A65">
      <w:pPr>
        <w:spacing w:after="240"/>
        <w:rPr>
          <w:rFonts w:eastAsia="Calibri"/>
        </w:rPr>
      </w:pPr>
      <w:r w:rsidRPr="00CF71BC">
        <w:rPr>
          <w:rFonts w:eastAsia="Calibri"/>
        </w:rPr>
        <w:t xml:space="preserve">The </w:t>
      </w:r>
      <w:r>
        <w:rPr>
          <w:rFonts w:eastAsia="Calibri"/>
        </w:rPr>
        <w:t>Amendment Instrument</w:t>
      </w:r>
      <w:r w:rsidRPr="00CF71BC">
        <w:rPr>
          <w:rFonts w:eastAsia="Calibri"/>
        </w:rPr>
        <w:t xml:space="preserve"> amends the: </w:t>
      </w:r>
    </w:p>
    <w:p w14:paraId="462066E8" w14:textId="76EC643B" w:rsidR="004E7A65" w:rsidRPr="00CF71BC" w:rsidRDefault="004E7A65" w:rsidP="004E7A65">
      <w:pPr>
        <w:pStyle w:val="ListParagraph"/>
        <w:numPr>
          <w:ilvl w:val="0"/>
          <w:numId w:val="10"/>
        </w:numPr>
        <w:spacing w:after="240"/>
        <w:rPr>
          <w:rFonts w:eastAsia="Calibri"/>
        </w:rPr>
      </w:pPr>
      <w:r w:rsidRPr="00CF71BC">
        <w:rPr>
          <w:rFonts w:eastAsia="Calibri"/>
          <w:i/>
          <w:iCs/>
        </w:rPr>
        <w:t>Trade Support Loans Priority List 2014</w:t>
      </w:r>
      <w:r w:rsidRPr="00CF71BC">
        <w:rPr>
          <w:rFonts w:eastAsia="Calibri"/>
        </w:rPr>
        <w:t xml:space="preserve"> (F2014L01006) (TSL Priority List)</w:t>
      </w:r>
      <w:r>
        <w:rPr>
          <w:rFonts w:eastAsia="Calibri"/>
        </w:rPr>
        <w:t xml:space="preserve"> made by the Minister under section 105 of the Act</w:t>
      </w:r>
      <w:r w:rsidRPr="00CF71BC">
        <w:rPr>
          <w:rFonts w:eastAsia="Calibri"/>
        </w:rPr>
        <w:t>; and</w:t>
      </w:r>
    </w:p>
    <w:p w14:paraId="6418B290" w14:textId="4EE1B516" w:rsidR="004E7A65" w:rsidRPr="00CF71BC" w:rsidRDefault="004E7A65" w:rsidP="004E7A65">
      <w:pPr>
        <w:pStyle w:val="ListParagraph"/>
        <w:numPr>
          <w:ilvl w:val="0"/>
          <w:numId w:val="10"/>
        </w:numPr>
        <w:spacing w:after="240"/>
        <w:rPr>
          <w:rFonts w:eastAsia="Calibri"/>
        </w:rPr>
      </w:pPr>
      <w:r w:rsidRPr="00CF71BC">
        <w:rPr>
          <w:rFonts w:eastAsia="Calibri"/>
          <w:i/>
          <w:iCs/>
        </w:rPr>
        <w:t xml:space="preserve">Trade Support Loan Rules 2014 </w:t>
      </w:r>
      <w:r w:rsidRPr="00CF71BC">
        <w:rPr>
          <w:rFonts w:eastAsia="Calibri"/>
        </w:rPr>
        <w:t>(F2014</w:t>
      </w:r>
      <w:r w:rsidR="00E05650">
        <w:rPr>
          <w:rFonts w:eastAsia="Calibri"/>
        </w:rPr>
        <w:t>L</w:t>
      </w:r>
      <w:r w:rsidRPr="00CF71BC">
        <w:rPr>
          <w:rFonts w:eastAsia="Calibri"/>
        </w:rPr>
        <w:t>01007) (TSL Rules)</w:t>
      </w:r>
      <w:r>
        <w:rPr>
          <w:rFonts w:eastAsia="Calibri"/>
        </w:rPr>
        <w:t xml:space="preserve"> made under section 106 of the Act</w:t>
      </w:r>
      <w:r w:rsidRPr="00CF71BC">
        <w:rPr>
          <w:rFonts w:eastAsia="Calibri"/>
        </w:rPr>
        <w:t>.</w:t>
      </w:r>
    </w:p>
    <w:p w14:paraId="6890A901" w14:textId="35BE474A" w:rsidR="00903B88" w:rsidRPr="00BB36D1" w:rsidRDefault="004E7A65" w:rsidP="00903B88">
      <w:pPr>
        <w:spacing w:after="240"/>
      </w:pPr>
      <w:r>
        <w:t xml:space="preserve">The TSL Priority List </w:t>
      </w:r>
      <w:r w:rsidR="007310B8" w:rsidRPr="00CF71BC">
        <w:t>specifies both the occupations and the qualifications for which, in the opinion of the Minister, skilled persons are a priority.</w:t>
      </w:r>
      <w:r w:rsidR="00903B88" w:rsidRPr="00903B88">
        <w:t xml:space="preserve"> </w:t>
      </w:r>
      <w:r w:rsidR="00903B88" w:rsidRPr="00CF71BC">
        <w:t xml:space="preserve">The </w:t>
      </w:r>
      <w:r w:rsidR="00903B88">
        <w:t>Amendment Instrument</w:t>
      </w:r>
      <w:r w:rsidR="00903B88" w:rsidRPr="00CF71BC">
        <w:t xml:space="preserve"> </w:t>
      </w:r>
      <w:r w:rsidR="00903B88">
        <w:t xml:space="preserve">amends </w:t>
      </w:r>
      <w:r w:rsidR="00903B88">
        <w:lastRenderedPageBreak/>
        <w:t xml:space="preserve">the TSL Priority List to update a reference to the </w:t>
      </w:r>
      <w:r w:rsidR="00903B88" w:rsidRPr="00903B88">
        <w:rPr>
          <w:rFonts w:eastAsiaTheme="minorHAnsi"/>
          <w:color w:val="000000"/>
          <w:lang w:eastAsia="en-US"/>
        </w:rPr>
        <w:t xml:space="preserve">TSL Qualifications List, which </w:t>
      </w:r>
      <w:r w:rsidR="00DE5452">
        <w:rPr>
          <w:rFonts w:eastAsiaTheme="minorHAnsi"/>
          <w:color w:val="000000"/>
          <w:lang w:eastAsia="en-US"/>
        </w:rPr>
        <w:t xml:space="preserve">is </w:t>
      </w:r>
      <w:r w:rsidR="00903B88" w:rsidRPr="00903B88">
        <w:rPr>
          <w:rFonts w:eastAsiaTheme="minorHAnsi"/>
          <w:color w:val="000000"/>
          <w:lang w:eastAsia="en-US"/>
        </w:rPr>
        <w:t xml:space="preserve">now </w:t>
      </w:r>
      <w:r w:rsidR="00FD6683">
        <w:rPr>
          <w:rFonts w:eastAsiaTheme="minorHAnsi"/>
          <w:color w:val="000000"/>
          <w:lang w:eastAsia="en-US"/>
        </w:rPr>
        <w:t>published</w:t>
      </w:r>
      <w:r w:rsidR="00903B88" w:rsidRPr="00903B88">
        <w:rPr>
          <w:rFonts w:eastAsiaTheme="minorHAnsi"/>
          <w:color w:val="000000"/>
          <w:lang w:eastAsia="en-US"/>
        </w:rPr>
        <w:t xml:space="preserve"> on a different website</w:t>
      </w:r>
      <w:r w:rsidR="00903B88">
        <w:rPr>
          <w:rFonts w:eastAsiaTheme="minorHAnsi"/>
          <w:color w:val="000000"/>
          <w:lang w:eastAsia="en-US"/>
        </w:rPr>
        <w:t>.</w:t>
      </w:r>
    </w:p>
    <w:p w14:paraId="7667D523" w14:textId="43ECE076" w:rsidR="001C00F5" w:rsidRDefault="001106F0" w:rsidP="001106F0">
      <w:pPr>
        <w:spacing w:after="240"/>
      </w:pPr>
      <w:r w:rsidRPr="00CF71BC">
        <w:t xml:space="preserve">The TSL Rules provide for matters relating to qualification for trade support loan, determinations granting trade support loan, </w:t>
      </w:r>
      <w:r w:rsidR="008F2238">
        <w:t xml:space="preserve">lodging </w:t>
      </w:r>
      <w:r w:rsidRPr="00CF71BC">
        <w:t>application</w:t>
      </w:r>
      <w:r w:rsidR="008F2238">
        <w:t>s</w:t>
      </w:r>
      <w:r w:rsidRPr="00CF71BC">
        <w:t xml:space="preserve"> and other matters.</w:t>
      </w:r>
      <w:r w:rsidR="00903B88">
        <w:t xml:space="preserve"> The Amendment Instrument m</w:t>
      </w:r>
      <w:r w:rsidRPr="00CF71BC">
        <w:t>ake</w:t>
      </w:r>
      <w:r w:rsidR="00156236">
        <w:t>s</w:t>
      </w:r>
      <w:r w:rsidRPr="00CF71BC">
        <w:t xml:space="preserve"> </w:t>
      </w:r>
      <w:proofErr w:type="gramStart"/>
      <w:r w:rsidR="00903B88">
        <w:t>a</w:t>
      </w:r>
      <w:r w:rsidRPr="00CF71BC">
        <w:t xml:space="preserve"> number of</w:t>
      </w:r>
      <w:proofErr w:type="gramEnd"/>
      <w:r w:rsidRPr="00CF71BC">
        <w:t xml:space="preserve"> minor amendments</w:t>
      </w:r>
      <w:r w:rsidR="00DE5452">
        <w:t xml:space="preserve"> to the TSL Rules</w:t>
      </w:r>
      <w:r w:rsidR="00903B88">
        <w:t>, including:</w:t>
      </w:r>
    </w:p>
    <w:p w14:paraId="53BC06AD" w14:textId="79B6C863" w:rsidR="00DE5452" w:rsidRPr="00DE5452" w:rsidRDefault="00DE5452" w:rsidP="00BB36D1">
      <w:pPr>
        <w:pStyle w:val="ListParagraph"/>
        <w:numPr>
          <w:ilvl w:val="0"/>
          <w:numId w:val="19"/>
        </w:numPr>
        <w:spacing w:after="240"/>
      </w:pPr>
      <w:r>
        <w:t xml:space="preserve">changing the name of the TSL Rules, for consistency with the Act and TSL Priority </w:t>
      </w:r>
      <w:proofErr w:type="gramStart"/>
      <w:r>
        <w:t>list;</w:t>
      </w:r>
      <w:proofErr w:type="gramEnd"/>
    </w:p>
    <w:p w14:paraId="221A6816" w14:textId="7CFCF963" w:rsidR="00903B88" w:rsidRPr="00DE5452" w:rsidRDefault="00BB36D1" w:rsidP="00BB36D1">
      <w:pPr>
        <w:pStyle w:val="ListParagraph"/>
        <w:numPr>
          <w:ilvl w:val="0"/>
          <w:numId w:val="19"/>
        </w:numPr>
        <w:spacing w:after="240"/>
      </w:pPr>
      <w:r>
        <w:rPr>
          <w:rFonts w:eastAsiaTheme="minorHAnsi"/>
          <w:color w:val="000000"/>
          <w:lang w:eastAsia="en-US"/>
        </w:rPr>
        <w:t xml:space="preserve">updating </w:t>
      </w:r>
      <w:r w:rsidR="00DE5452">
        <w:rPr>
          <w:rFonts w:eastAsiaTheme="minorHAnsi"/>
          <w:color w:val="000000"/>
          <w:lang w:eastAsia="en-US"/>
        </w:rPr>
        <w:t xml:space="preserve">the name of the administering </w:t>
      </w:r>
      <w:proofErr w:type="gramStart"/>
      <w:r w:rsidR="00DE5452">
        <w:rPr>
          <w:rFonts w:eastAsiaTheme="minorHAnsi"/>
          <w:color w:val="000000"/>
          <w:lang w:eastAsia="en-US"/>
        </w:rPr>
        <w:t>Department</w:t>
      </w:r>
      <w:r>
        <w:rPr>
          <w:rFonts w:eastAsiaTheme="minorHAnsi"/>
          <w:color w:val="000000"/>
          <w:lang w:eastAsia="en-US"/>
        </w:rPr>
        <w:t>;</w:t>
      </w:r>
      <w:proofErr w:type="gramEnd"/>
    </w:p>
    <w:p w14:paraId="0FF83717" w14:textId="7EF19665" w:rsidR="00DE5452" w:rsidRPr="00903B88" w:rsidRDefault="00DE5452" w:rsidP="00BB36D1">
      <w:pPr>
        <w:pStyle w:val="ListParagraph"/>
        <w:numPr>
          <w:ilvl w:val="0"/>
          <w:numId w:val="19"/>
        </w:numPr>
        <w:spacing w:after="240"/>
      </w:pPr>
      <w:r>
        <w:rPr>
          <w:rFonts w:eastAsiaTheme="minorHAnsi"/>
          <w:color w:val="000000"/>
          <w:lang w:eastAsia="en-US"/>
        </w:rPr>
        <w:t xml:space="preserve">updating references to external </w:t>
      </w:r>
      <w:proofErr w:type="gramStart"/>
      <w:r>
        <w:rPr>
          <w:rFonts w:eastAsiaTheme="minorHAnsi"/>
          <w:color w:val="000000"/>
          <w:lang w:eastAsia="en-US"/>
        </w:rPr>
        <w:t>instruments;</w:t>
      </w:r>
      <w:proofErr w:type="gramEnd"/>
    </w:p>
    <w:p w14:paraId="558B15F7" w14:textId="716BF60A" w:rsidR="00DE5452" w:rsidRPr="00DE5452" w:rsidRDefault="00DE5452" w:rsidP="00BB36D1">
      <w:pPr>
        <w:pStyle w:val="ListParagraph"/>
        <w:numPr>
          <w:ilvl w:val="0"/>
          <w:numId w:val="19"/>
        </w:numPr>
        <w:spacing w:after="240"/>
      </w:pPr>
      <w:r>
        <w:t xml:space="preserve">updating the list of prescribed circumstances in which the Secretary may determine special case qualification and </w:t>
      </w:r>
      <w:proofErr w:type="spellStart"/>
      <w:r>
        <w:t>payability</w:t>
      </w:r>
      <w:proofErr w:type="spellEnd"/>
      <w:r w:rsidR="00947AF6">
        <w:t>, for consistency with amendments to section</w:t>
      </w:r>
      <w:r w:rsidR="00323A3F">
        <w:t> </w:t>
      </w:r>
      <w:r w:rsidR="00947AF6">
        <w:t xml:space="preserve">11 of the </w:t>
      </w:r>
      <w:proofErr w:type="gramStart"/>
      <w:r w:rsidR="00947AF6">
        <w:t>Act</w:t>
      </w:r>
      <w:r>
        <w:t>;</w:t>
      </w:r>
      <w:proofErr w:type="gramEnd"/>
    </w:p>
    <w:p w14:paraId="75B94D95" w14:textId="55E1A67D" w:rsidR="00F664F9" w:rsidRPr="00B16919" w:rsidRDefault="00F664F9" w:rsidP="00F664F9">
      <w:pPr>
        <w:pStyle w:val="ListParagraph"/>
        <w:numPr>
          <w:ilvl w:val="0"/>
          <w:numId w:val="19"/>
        </w:numPr>
      </w:pPr>
      <w:r w:rsidRPr="00F664F9">
        <w:t xml:space="preserve">updating the means for new </w:t>
      </w:r>
      <w:r w:rsidR="00A76F23">
        <w:t>trade support loan</w:t>
      </w:r>
      <w:r w:rsidRPr="00F664F9">
        <w:t xml:space="preserve"> recipients to lodge an application to </w:t>
      </w:r>
      <w:r w:rsidR="00584FEC">
        <w:t>receive</w:t>
      </w:r>
      <w:r w:rsidRPr="00F664F9">
        <w:t xml:space="preserve"> </w:t>
      </w:r>
      <w:r w:rsidR="00A76F23">
        <w:t xml:space="preserve">trade support </w:t>
      </w:r>
      <w:proofErr w:type="gramStart"/>
      <w:r w:rsidR="00A76F23">
        <w:t>loan</w:t>
      </w:r>
      <w:r w:rsidRPr="00F664F9">
        <w:t>;</w:t>
      </w:r>
      <w:proofErr w:type="gramEnd"/>
    </w:p>
    <w:p w14:paraId="1B91BEFD" w14:textId="4CBCEF16" w:rsidR="00903B88" w:rsidRPr="00903B88" w:rsidRDefault="00482A12" w:rsidP="00BB36D1">
      <w:pPr>
        <w:pStyle w:val="ListParagraph"/>
        <w:numPr>
          <w:ilvl w:val="0"/>
          <w:numId w:val="19"/>
        </w:numPr>
        <w:spacing w:after="240"/>
      </w:pPr>
      <w:r>
        <w:rPr>
          <w:rFonts w:eastAsiaTheme="minorHAnsi"/>
          <w:color w:val="000000"/>
          <w:lang w:eastAsia="en-US"/>
        </w:rPr>
        <w:t>updating the</w:t>
      </w:r>
      <w:r w:rsidR="00903B88">
        <w:rPr>
          <w:rFonts w:eastAsiaTheme="minorHAnsi"/>
          <w:color w:val="000000"/>
          <w:lang w:eastAsia="en-US"/>
        </w:rPr>
        <w:t xml:space="preserve"> means for existing trade support loan recipients to lodg</w:t>
      </w:r>
      <w:r w:rsidR="00B6384C">
        <w:rPr>
          <w:rFonts w:eastAsiaTheme="minorHAnsi"/>
          <w:color w:val="000000"/>
          <w:lang w:eastAsia="en-US"/>
        </w:rPr>
        <w:t>e</w:t>
      </w:r>
      <w:r w:rsidR="00903B88">
        <w:rPr>
          <w:rFonts w:eastAsiaTheme="minorHAnsi"/>
          <w:color w:val="000000"/>
          <w:lang w:eastAsia="en-US"/>
        </w:rPr>
        <w:t xml:space="preserve"> an application to receive</w:t>
      </w:r>
      <w:r w:rsidR="00584FEC">
        <w:rPr>
          <w:rFonts w:eastAsiaTheme="minorHAnsi"/>
          <w:color w:val="000000"/>
          <w:lang w:eastAsia="en-US"/>
        </w:rPr>
        <w:t xml:space="preserve"> </w:t>
      </w:r>
      <w:r w:rsidR="00E94E31">
        <w:rPr>
          <w:rFonts w:eastAsiaTheme="minorHAnsi"/>
          <w:color w:val="000000"/>
          <w:lang w:eastAsia="en-US"/>
        </w:rPr>
        <w:t>subsequent</w:t>
      </w:r>
      <w:r w:rsidR="00903B88">
        <w:rPr>
          <w:rFonts w:eastAsiaTheme="minorHAnsi"/>
          <w:color w:val="000000"/>
          <w:lang w:eastAsia="en-US"/>
        </w:rPr>
        <w:t xml:space="preserve"> trade support </w:t>
      </w:r>
      <w:proofErr w:type="gramStart"/>
      <w:r w:rsidR="00903B88">
        <w:rPr>
          <w:rFonts w:eastAsiaTheme="minorHAnsi"/>
          <w:color w:val="000000"/>
          <w:lang w:eastAsia="en-US"/>
        </w:rPr>
        <w:t>loan;</w:t>
      </w:r>
      <w:proofErr w:type="gramEnd"/>
    </w:p>
    <w:p w14:paraId="780A9ED5" w14:textId="137A4DE9" w:rsidR="00BB36D1" w:rsidRPr="00BB36D1" w:rsidRDefault="00903B88" w:rsidP="00BB36D1">
      <w:pPr>
        <w:pStyle w:val="ListParagraph"/>
        <w:numPr>
          <w:ilvl w:val="0"/>
          <w:numId w:val="19"/>
        </w:numPr>
        <w:spacing w:after="240"/>
      </w:pPr>
      <w:r>
        <w:rPr>
          <w:rFonts w:eastAsiaTheme="minorHAnsi"/>
          <w:color w:val="000000"/>
          <w:lang w:eastAsia="en-US"/>
        </w:rPr>
        <w:t xml:space="preserve">updating the list of rural and regional postcodes in Schedule 1 to the TSL </w:t>
      </w:r>
      <w:proofErr w:type="gramStart"/>
      <w:r>
        <w:rPr>
          <w:rFonts w:eastAsiaTheme="minorHAnsi"/>
          <w:color w:val="000000"/>
          <w:lang w:eastAsia="en-US"/>
        </w:rPr>
        <w:t>Rule</w:t>
      </w:r>
      <w:r w:rsidR="00DE5452">
        <w:rPr>
          <w:rFonts w:eastAsiaTheme="minorHAnsi"/>
          <w:color w:val="000000"/>
          <w:lang w:eastAsia="en-US"/>
        </w:rPr>
        <w:t>s</w:t>
      </w:r>
      <w:r>
        <w:rPr>
          <w:rFonts w:eastAsiaTheme="minorHAnsi"/>
          <w:color w:val="000000"/>
          <w:lang w:eastAsia="en-US"/>
        </w:rPr>
        <w:t>;</w:t>
      </w:r>
      <w:proofErr w:type="gramEnd"/>
      <w:r>
        <w:rPr>
          <w:rFonts w:eastAsiaTheme="minorHAnsi"/>
          <w:color w:val="000000"/>
          <w:lang w:eastAsia="en-US"/>
        </w:rPr>
        <w:t xml:space="preserve">  </w:t>
      </w:r>
      <w:r w:rsidR="00BB36D1">
        <w:rPr>
          <w:rFonts w:eastAsiaTheme="minorHAnsi"/>
          <w:color w:val="000000"/>
          <w:lang w:eastAsia="en-US"/>
        </w:rPr>
        <w:t xml:space="preserve"> </w:t>
      </w:r>
    </w:p>
    <w:p w14:paraId="1CE2EF0B" w14:textId="2EFF496F" w:rsidR="00BB36D1" w:rsidRPr="00CF71BC" w:rsidRDefault="00BB36D1" w:rsidP="00BB36D1">
      <w:pPr>
        <w:pStyle w:val="ListParagraph"/>
        <w:numPr>
          <w:ilvl w:val="0"/>
          <w:numId w:val="19"/>
        </w:numPr>
        <w:spacing w:after="240"/>
      </w:pPr>
      <w:r>
        <w:rPr>
          <w:rFonts w:eastAsiaTheme="minorHAnsi"/>
          <w:color w:val="000000"/>
          <w:lang w:eastAsia="en-US"/>
        </w:rPr>
        <w:t xml:space="preserve">other </w:t>
      </w:r>
      <w:r w:rsidR="00903B88">
        <w:rPr>
          <w:rFonts w:eastAsiaTheme="minorHAnsi"/>
          <w:color w:val="000000"/>
          <w:lang w:eastAsia="en-US"/>
        </w:rPr>
        <w:t>editorial</w:t>
      </w:r>
      <w:r>
        <w:rPr>
          <w:rFonts w:eastAsiaTheme="minorHAnsi"/>
          <w:color w:val="000000"/>
          <w:lang w:eastAsia="en-US"/>
        </w:rPr>
        <w:t xml:space="preserve"> changes to clarify the operation of the TSL Rules.</w:t>
      </w:r>
    </w:p>
    <w:p w14:paraId="72AD7D31" w14:textId="77777777" w:rsidR="001106F0" w:rsidRPr="00CF71BC" w:rsidRDefault="001106F0" w:rsidP="00CA1EA4">
      <w:pPr>
        <w:rPr>
          <w:rFonts w:eastAsia="Calibri"/>
        </w:rPr>
      </w:pPr>
    </w:p>
    <w:p w14:paraId="70749B0F" w14:textId="77777777" w:rsidR="008A6344" w:rsidRDefault="008A6344" w:rsidP="00156236">
      <w:pPr>
        <w:keepNext/>
        <w:rPr>
          <w:b/>
        </w:rPr>
      </w:pPr>
      <w:r w:rsidRPr="00CF71BC">
        <w:rPr>
          <w:b/>
        </w:rPr>
        <w:t>REGULATORY IMPACT STATEMENT</w:t>
      </w:r>
    </w:p>
    <w:p w14:paraId="3582E268" w14:textId="7D4513FA" w:rsidR="008A6344" w:rsidRDefault="008A6344" w:rsidP="00156236">
      <w:pPr>
        <w:keepNext/>
        <w:rPr>
          <w:b/>
        </w:rPr>
      </w:pPr>
    </w:p>
    <w:p w14:paraId="0125B93C" w14:textId="57B8B84A" w:rsidR="003F58E1" w:rsidRDefault="003F58E1" w:rsidP="003F58E1">
      <w:pPr>
        <w:spacing w:after="200" w:line="276" w:lineRule="auto"/>
      </w:pPr>
      <w:r>
        <w:t xml:space="preserve">The </w:t>
      </w:r>
      <w:r w:rsidR="00C3015D">
        <w:t>Office of Best Practice Regulation (</w:t>
      </w:r>
      <w:r>
        <w:t>OBPR</w:t>
      </w:r>
      <w:r w:rsidR="00C3015D">
        <w:t xml:space="preserve">) </w:t>
      </w:r>
      <w:r>
        <w:t xml:space="preserve">has advised that it considers that the </w:t>
      </w:r>
      <w:r w:rsidR="00486F6F">
        <w:t>amendments are</w:t>
      </w:r>
      <w:r>
        <w:t xml:space="preserve"> unlikely to have a more than minor regulatory impact. Therefore, the preparation of a Regulation Impact Statement is not required</w:t>
      </w:r>
      <w:r w:rsidR="00486F6F">
        <w:t>.</w:t>
      </w:r>
      <w:r w:rsidR="00F80D7E">
        <w:t xml:space="preserve"> </w:t>
      </w:r>
      <w:r>
        <w:t>The OBPR reference is ID 43378</w:t>
      </w:r>
      <w:r w:rsidR="002051A8">
        <w:t>.</w:t>
      </w:r>
    </w:p>
    <w:p w14:paraId="239B5370" w14:textId="77777777" w:rsidR="00BF4FF7" w:rsidRDefault="00BF4FF7" w:rsidP="00BF4FF7">
      <w:pPr>
        <w:rPr>
          <w:b/>
        </w:rPr>
      </w:pPr>
    </w:p>
    <w:p w14:paraId="645D9180" w14:textId="6970B34C" w:rsidR="00962350" w:rsidRDefault="00962350" w:rsidP="00962350">
      <w:pPr>
        <w:spacing w:after="200" w:line="276" w:lineRule="auto"/>
        <w:rPr>
          <w:b/>
        </w:rPr>
      </w:pPr>
      <w:r>
        <w:rPr>
          <w:b/>
        </w:rPr>
        <w:t>COMMENCEMENT</w:t>
      </w:r>
    </w:p>
    <w:p w14:paraId="74A3C8E4" w14:textId="2461711A" w:rsidR="00962350" w:rsidRDefault="00962350" w:rsidP="00962350">
      <w:pPr>
        <w:spacing w:after="200" w:line="276" w:lineRule="auto"/>
      </w:pPr>
      <w:r>
        <w:t xml:space="preserve">The </w:t>
      </w:r>
      <w:r w:rsidR="002051A8">
        <w:t xml:space="preserve">Amendment Instrument </w:t>
      </w:r>
      <w:r>
        <w:t xml:space="preserve">commences on the day after </w:t>
      </w:r>
      <w:r w:rsidR="002051A8">
        <w:t>it</w:t>
      </w:r>
      <w:r w:rsidR="00E463EC">
        <w:t xml:space="preserve"> is </w:t>
      </w:r>
      <w:r>
        <w:t>regist</w:t>
      </w:r>
      <w:r w:rsidR="00E463EC">
        <w:t>ered on the Federal Register of Legislation</w:t>
      </w:r>
      <w:r>
        <w:t>.</w:t>
      </w:r>
    </w:p>
    <w:p w14:paraId="6415EC4C" w14:textId="77777777" w:rsidR="00BF4FF7" w:rsidRDefault="00BF4FF7" w:rsidP="002E4778">
      <w:pPr>
        <w:rPr>
          <w:b/>
        </w:rPr>
      </w:pPr>
    </w:p>
    <w:p w14:paraId="6B242EE1" w14:textId="047697B4" w:rsidR="00E82824" w:rsidRDefault="00397D30" w:rsidP="002E4778">
      <w:pPr>
        <w:rPr>
          <w:b/>
        </w:rPr>
      </w:pPr>
      <w:r w:rsidRPr="001100B9">
        <w:rPr>
          <w:b/>
        </w:rPr>
        <w:t>CONSULTATION</w:t>
      </w:r>
    </w:p>
    <w:p w14:paraId="54A695A7" w14:textId="15C80987" w:rsidR="0017682D" w:rsidRDefault="0017682D" w:rsidP="002E4778">
      <w:pPr>
        <w:rPr>
          <w:b/>
        </w:rPr>
      </w:pPr>
    </w:p>
    <w:p w14:paraId="70E4FAC6" w14:textId="016ADB44" w:rsidR="00956477" w:rsidRDefault="00956477" w:rsidP="00956477">
      <w:pPr>
        <w:rPr>
          <w:bCs/>
        </w:rPr>
      </w:pPr>
      <w:r>
        <w:rPr>
          <w:bCs/>
        </w:rPr>
        <w:t xml:space="preserve">The </w:t>
      </w:r>
      <w:r w:rsidR="00B132B3" w:rsidRPr="007B1CE2">
        <w:rPr>
          <w:bCs/>
          <w:highlight w:val="yellow"/>
        </w:rPr>
        <w:t>D</w:t>
      </w:r>
      <w:r>
        <w:rPr>
          <w:bCs/>
        </w:rPr>
        <w:t xml:space="preserve">epartment’s state </w:t>
      </w:r>
      <w:r w:rsidR="006A3C37">
        <w:rPr>
          <w:bCs/>
        </w:rPr>
        <w:t>network</w:t>
      </w:r>
      <w:r>
        <w:rPr>
          <w:bCs/>
        </w:rPr>
        <w:t xml:space="preserve"> and selected network providers were consulted </w:t>
      </w:r>
      <w:r w:rsidR="006A3C37">
        <w:rPr>
          <w:bCs/>
        </w:rPr>
        <w:t xml:space="preserve">to ensure the updates </w:t>
      </w:r>
      <w:r w:rsidR="008A4EBD">
        <w:rPr>
          <w:bCs/>
        </w:rPr>
        <w:t xml:space="preserve">support and </w:t>
      </w:r>
      <w:r w:rsidR="006A3C37">
        <w:rPr>
          <w:bCs/>
        </w:rPr>
        <w:t>align with current practice.</w:t>
      </w:r>
    </w:p>
    <w:p w14:paraId="39339FB0" w14:textId="32730A2F" w:rsidR="0017682D" w:rsidRDefault="0017682D" w:rsidP="002E4778">
      <w:pPr>
        <w:rPr>
          <w:bCs/>
        </w:rPr>
      </w:pPr>
    </w:p>
    <w:p w14:paraId="717D9374" w14:textId="5F2359E4" w:rsidR="0017682D" w:rsidRDefault="0017682D" w:rsidP="002E4778">
      <w:pPr>
        <w:rPr>
          <w:bCs/>
        </w:rPr>
      </w:pPr>
      <w:r>
        <w:rPr>
          <w:bCs/>
        </w:rPr>
        <w:t>The list of postcodes has been extended with additional postcodes to align with the list used for the Australian Apprenticeships Incentives Program (AAIP).</w:t>
      </w:r>
    </w:p>
    <w:p w14:paraId="6FE7B90A" w14:textId="77777777" w:rsidR="00B4657D" w:rsidRDefault="00B4657D" w:rsidP="002E4778">
      <w:pPr>
        <w:rPr>
          <w:bCs/>
        </w:rPr>
      </w:pPr>
    </w:p>
    <w:p w14:paraId="511F550A" w14:textId="77777777" w:rsidR="00F80D7E" w:rsidRDefault="00F80D7E" w:rsidP="00F80D7E">
      <w:pPr>
        <w:rPr>
          <w:bCs/>
        </w:rPr>
      </w:pPr>
      <w:r w:rsidRPr="00782284">
        <w:rPr>
          <w:bCs/>
        </w:rPr>
        <w:t>As the amendments to the TSL Priority List and TSL Rules are minor and mainly of an administrative nature,</w:t>
      </w:r>
      <w:r>
        <w:rPr>
          <w:bCs/>
        </w:rPr>
        <w:t xml:space="preserve"> n</w:t>
      </w:r>
      <w:r w:rsidRPr="00782284">
        <w:rPr>
          <w:bCs/>
        </w:rPr>
        <w:t>o form</w:t>
      </w:r>
      <w:r w:rsidRPr="00510074">
        <w:rPr>
          <w:bCs/>
        </w:rPr>
        <w:t>al</w:t>
      </w:r>
      <w:r>
        <w:rPr>
          <w:bCs/>
        </w:rPr>
        <w:t xml:space="preserve"> stakeholder consultation was undertaken.</w:t>
      </w:r>
    </w:p>
    <w:p w14:paraId="018FF226" w14:textId="77777777" w:rsidR="00BF4FF7" w:rsidRDefault="00BF4FF7" w:rsidP="002E4778"/>
    <w:p w14:paraId="45961664" w14:textId="77777777" w:rsidR="007310B8" w:rsidRDefault="007310B8" w:rsidP="00CA1EA4">
      <w:r>
        <w:br w:type="page"/>
      </w:r>
    </w:p>
    <w:p w14:paraId="29E5CA94" w14:textId="40F73550" w:rsidR="00696FA8" w:rsidRPr="00CF71BC" w:rsidRDefault="00507152" w:rsidP="00F5325D">
      <w:pPr>
        <w:spacing w:after="200" w:line="276" w:lineRule="auto"/>
        <w:jc w:val="center"/>
        <w:rPr>
          <w:b/>
          <w:caps/>
          <w:color w:val="000000"/>
        </w:rPr>
      </w:pPr>
      <w:r w:rsidRPr="00CF71BC">
        <w:rPr>
          <w:b/>
          <w:caps/>
          <w:color w:val="000000"/>
        </w:rPr>
        <w:lastRenderedPageBreak/>
        <w:t xml:space="preserve">Trade Support Loans </w:t>
      </w:r>
      <w:r w:rsidR="00393DE1" w:rsidRPr="00CF71BC">
        <w:rPr>
          <w:b/>
          <w:caps/>
          <w:color w:val="000000"/>
        </w:rPr>
        <w:t>Legislation</w:t>
      </w:r>
      <w:r w:rsidRPr="00CF71BC">
        <w:rPr>
          <w:b/>
          <w:caps/>
          <w:color w:val="000000"/>
        </w:rPr>
        <w:t xml:space="preserve"> Amendment Instrument 202</w:t>
      </w:r>
      <w:r w:rsidR="00842CFF">
        <w:rPr>
          <w:b/>
          <w:caps/>
          <w:color w:val="000000"/>
        </w:rPr>
        <w:t>1</w:t>
      </w:r>
    </w:p>
    <w:p w14:paraId="53874E7D" w14:textId="6E7CF1BA" w:rsidR="00962350" w:rsidRPr="00CF71BC" w:rsidRDefault="00962350" w:rsidP="00F5325D">
      <w:pPr>
        <w:spacing w:after="200" w:line="276" w:lineRule="auto"/>
        <w:jc w:val="center"/>
        <w:rPr>
          <w:b/>
          <w:color w:val="000000"/>
        </w:rPr>
      </w:pPr>
      <w:r w:rsidRPr="00CF71BC">
        <w:rPr>
          <w:b/>
          <w:caps/>
          <w:color w:val="000000"/>
        </w:rPr>
        <w:t>EXPLANATION OF PROVISIONS</w:t>
      </w:r>
    </w:p>
    <w:p w14:paraId="6F99634F" w14:textId="77777777" w:rsidR="007310B8" w:rsidRPr="00CF71BC" w:rsidRDefault="007310B8" w:rsidP="00CA1EA4">
      <w:pPr>
        <w:contextualSpacing/>
        <w:rPr>
          <w:b/>
        </w:rPr>
      </w:pPr>
    </w:p>
    <w:p w14:paraId="6A83BBD7" w14:textId="6465D7FE" w:rsidR="007310B8" w:rsidRPr="00CF71BC" w:rsidRDefault="007310B8" w:rsidP="0058250B">
      <w:pPr>
        <w:pStyle w:val="ListParagraph"/>
        <w:numPr>
          <w:ilvl w:val="0"/>
          <w:numId w:val="7"/>
        </w:numPr>
        <w:rPr>
          <w:b/>
        </w:rPr>
      </w:pPr>
      <w:r w:rsidRPr="00CF71BC">
        <w:rPr>
          <w:b/>
        </w:rPr>
        <w:t xml:space="preserve">Name </w:t>
      </w:r>
    </w:p>
    <w:p w14:paraId="5ACA27E8" w14:textId="66C5265C" w:rsidR="007310B8" w:rsidRPr="00CF71BC" w:rsidRDefault="00D50AAE" w:rsidP="00FE4748">
      <w:pPr>
        <w:pStyle w:val="ListParagraph"/>
        <w:numPr>
          <w:ilvl w:val="0"/>
          <w:numId w:val="21"/>
        </w:numPr>
        <w:spacing w:before="120"/>
        <w:ind w:left="714" w:hanging="357"/>
        <w:contextualSpacing w:val="0"/>
      </w:pPr>
      <w:r w:rsidRPr="00CF71BC">
        <w:t xml:space="preserve">Section </w:t>
      </w:r>
      <w:r w:rsidR="0058250B" w:rsidRPr="00CF71BC">
        <w:t>1 establishes</w:t>
      </w:r>
      <w:r w:rsidR="007310B8" w:rsidRPr="00CF71BC">
        <w:t xml:space="preserve"> </w:t>
      </w:r>
      <w:r w:rsidR="00485578" w:rsidRPr="00CF71BC">
        <w:t>and</w:t>
      </w:r>
      <w:r w:rsidR="007310B8" w:rsidRPr="00CF71BC">
        <w:t xml:space="preserve"> names th</w:t>
      </w:r>
      <w:r w:rsidR="00801451" w:rsidRPr="00CF71BC">
        <w:t xml:space="preserve">e </w:t>
      </w:r>
      <w:r w:rsidR="00AE2082">
        <w:t>Amendment Instrument</w:t>
      </w:r>
      <w:r w:rsidR="007310B8" w:rsidRPr="00CF71BC">
        <w:t xml:space="preserve"> as </w:t>
      </w:r>
      <w:bookmarkStart w:id="0" w:name="_Hlk55486060"/>
      <w:r w:rsidR="007310B8" w:rsidRPr="00CF71BC">
        <w:t xml:space="preserve">the </w:t>
      </w:r>
      <w:r w:rsidR="000B2BEE" w:rsidRPr="007F78D4">
        <w:rPr>
          <w:i/>
          <w:iCs/>
        </w:rPr>
        <w:t xml:space="preserve">Trade Support Loans </w:t>
      </w:r>
      <w:r w:rsidR="00801451" w:rsidRPr="007F78D4">
        <w:rPr>
          <w:i/>
          <w:iCs/>
        </w:rPr>
        <w:t xml:space="preserve">Legislation </w:t>
      </w:r>
      <w:r w:rsidR="000B2BEE" w:rsidRPr="00A15C90">
        <w:rPr>
          <w:i/>
          <w:iCs/>
        </w:rPr>
        <w:t>Amendment Instrument 202</w:t>
      </w:r>
      <w:r w:rsidR="00842CFF">
        <w:rPr>
          <w:i/>
          <w:iCs/>
        </w:rPr>
        <w:t>1</w:t>
      </w:r>
      <w:bookmarkEnd w:id="0"/>
      <w:r w:rsidR="007310B8" w:rsidRPr="00CF71BC">
        <w:t xml:space="preserve">. </w:t>
      </w:r>
    </w:p>
    <w:p w14:paraId="1869D257" w14:textId="77777777" w:rsidR="004B7B9A" w:rsidRPr="00CF71BC" w:rsidRDefault="004B7B9A" w:rsidP="00CA1EA4"/>
    <w:p w14:paraId="2EB70C07" w14:textId="77777777" w:rsidR="007310B8" w:rsidRPr="00CF71BC" w:rsidRDefault="007310B8" w:rsidP="0058250B">
      <w:pPr>
        <w:pStyle w:val="ListParagraph"/>
        <w:numPr>
          <w:ilvl w:val="0"/>
          <w:numId w:val="7"/>
        </w:numPr>
        <w:rPr>
          <w:b/>
        </w:rPr>
      </w:pPr>
      <w:r w:rsidRPr="00CF71BC">
        <w:rPr>
          <w:b/>
        </w:rPr>
        <w:t>Commencement</w:t>
      </w:r>
    </w:p>
    <w:p w14:paraId="3F5539C4" w14:textId="61EA2E83" w:rsidR="007310B8" w:rsidRPr="00CF71BC" w:rsidRDefault="00D50AAE" w:rsidP="00FE4748">
      <w:pPr>
        <w:pStyle w:val="ListParagraph"/>
        <w:numPr>
          <w:ilvl w:val="0"/>
          <w:numId w:val="21"/>
        </w:numPr>
        <w:spacing w:before="120"/>
        <w:ind w:left="714" w:hanging="357"/>
        <w:contextualSpacing w:val="0"/>
      </w:pPr>
      <w:r w:rsidRPr="00CF71BC">
        <w:t xml:space="preserve">Section </w:t>
      </w:r>
      <w:r w:rsidR="00141F03" w:rsidRPr="00CF71BC">
        <w:t>2 provides</w:t>
      </w:r>
      <w:r w:rsidR="007310B8" w:rsidRPr="00CF71BC">
        <w:t xml:space="preserve"> that th</w:t>
      </w:r>
      <w:r w:rsidR="00801451" w:rsidRPr="00CF71BC">
        <w:t>e</w:t>
      </w:r>
      <w:r w:rsidR="007310B8" w:rsidRPr="00CF71BC">
        <w:t xml:space="preserve"> </w:t>
      </w:r>
      <w:r w:rsidR="00AE2082">
        <w:t>Amendment Instrument</w:t>
      </w:r>
      <w:r w:rsidR="000B2BEE" w:rsidRPr="00CF71BC">
        <w:t xml:space="preserve"> </w:t>
      </w:r>
      <w:r w:rsidR="007310B8" w:rsidRPr="00CF71BC">
        <w:t>will commence on</w:t>
      </w:r>
      <w:r w:rsidRPr="00CF71BC">
        <w:t xml:space="preserve"> the day after registration</w:t>
      </w:r>
      <w:r w:rsidR="007310B8" w:rsidRPr="00CF71BC">
        <w:t>.</w:t>
      </w:r>
    </w:p>
    <w:p w14:paraId="4395EA25" w14:textId="77777777" w:rsidR="007310B8" w:rsidRPr="00CF71BC" w:rsidRDefault="007310B8" w:rsidP="00CA1EA4"/>
    <w:p w14:paraId="476D6560" w14:textId="481E9356" w:rsidR="00AD4F48" w:rsidRDefault="007310B8" w:rsidP="00496436">
      <w:pPr>
        <w:pStyle w:val="ListParagraph"/>
        <w:numPr>
          <w:ilvl w:val="0"/>
          <w:numId w:val="7"/>
        </w:numPr>
        <w:spacing w:after="200" w:line="276" w:lineRule="auto"/>
      </w:pPr>
      <w:r w:rsidRPr="00AD4F48">
        <w:rPr>
          <w:b/>
          <w:bCs/>
        </w:rPr>
        <w:t>Authority</w:t>
      </w:r>
    </w:p>
    <w:p w14:paraId="02321033" w14:textId="7399C2BF" w:rsidR="007310B8" w:rsidRDefault="00D50AAE" w:rsidP="00FE4748">
      <w:pPr>
        <w:pStyle w:val="ListParagraph"/>
        <w:numPr>
          <w:ilvl w:val="0"/>
          <w:numId w:val="21"/>
        </w:numPr>
        <w:spacing w:before="120"/>
        <w:ind w:left="714" w:hanging="357"/>
        <w:contextualSpacing w:val="0"/>
      </w:pPr>
      <w:r w:rsidRPr="00CF71BC">
        <w:t xml:space="preserve">Section </w:t>
      </w:r>
      <w:r w:rsidR="00141F03" w:rsidRPr="00CF71BC">
        <w:t xml:space="preserve">3 provides </w:t>
      </w:r>
      <w:r w:rsidR="007310B8" w:rsidRPr="00CF71BC">
        <w:t>that the</w:t>
      </w:r>
      <w:r w:rsidR="00835756" w:rsidRPr="00CF71BC">
        <w:t xml:space="preserve"> </w:t>
      </w:r>
      <w:r w:rsidR="00AE2082">
        <w:t>Amendment Instrument</w:t>
      </w:r>
      <w:r w:rsidR="007310B8" w:rsidRPr="00CF71BC">
        <w:t xml:space="preserve"> is made under </w:t>
      </w:r>
      <w:r w:rsidR="00086280" w:rsidRPr="00CF71BC">
        <w:t>section</w:t>
      </w:r>
      <w:r w:rsidR="00801451" w:rsidRPr="00CF71BC">
        <w:t>s</w:t>
      </w:r>
      <w:r w:rsidR="00086280" w:rsidRPr="00CF71BC">
        <w:t xml:space="preserve"> 105</w:t>
      </w:r>
      <w:r w:rsidR="00801451" w:rsidRPr="00CF71BC">
        <w:t xml:space="preserve"> and 106</w:t>
      </w:r>
      <w:r w:rsidR="00086280" w:rsidRPr="00CF71BC">
        <w:t xml:space="preserve"> of </w:t>
      </w:r>
      <w:r w:rsidR="007310B8" w:rsidRPr="00CF71BC">
        <w:t xml:space="preserve">the </w:t>
      </w:r>
      <w:r w:rsidR="00801451" w:rsidRPr="00CF71BC">
        <w:t>Act</w:t>
      </w:r>
      <w:r w:rsidR="00086280" w:rsidRPr="00CF71BC">
        <w:t>.</w:t>
      </w:r>
    </w:p>
    <w:p w14:paraId="6CD0FDA3" w14:textId="77777777" w:rsidR="00A15C90" w:rsidRPr="00CF71BC" w:rsidRDefault="00A15C90" w:rsidP="00FE4748">
      <w:pPr>
        <w:pStyle w:val="ListParagraph"/>
      </w:pPr>
    </w:p>
    <w:p w14:paraId="45A26FB7" w14:textId="56109D74" w:rsidR="00D50AAE" w:rsidRPr="00CF71BC" w:rsidRDefault="00D50AAE" w:rsidP="00D50AAE">
      <w:pPr>
        <w:pStyle w:val="ListParagraph"/>
        <w:numPr>
          <w:ilvl w:val="0"/>
          <w:numId w:val="7"/>
        </w:numPr>
        <w:rPr>
          <w:b/>
          <w:bCs/>
        </w:rPr>
      </w:pPr>
      <w:r w:rsidRPr="00CF71BC">
        <w:rPr>
          <w:b/>
          <w:bCs/>
        </w:rPr>
        <w:t>Schedule</w:t>
      </w:r>
    </w:p>
    <w:p w14:paraId="7E453A0B" w14:textId="635C8486" w:rsidR="00801451" w:rsidRPr="00CF71BC" w:rsidRDefault="00D50AAE" w:rsidP="00FE4748">
      <w:pPr>
        <w:pStyle w:val="ListParagraph"/>
        <w:numPr>
          <w:ilvl w:val="0"/>
          <w:numId w:val="21"/>
        </w:numPr>
        <w:spacing w:before="120"/>
        <w:ind w:left="714" w:hanging="357"/>
        <w:contextualSpacing w:val="0"/>
      </w:pPr>
      <w:r w:rsidRPr="00CF71BC">
        <w:t xml:space="preserve">Section 4 provides that </w:t>
      </w:r>
      <w:r w:rsidR="00801451" w:rsidRPr="00CF71BC">
        <w:t xml:space="preserve">each instrument that is specified in a Schedule to the </w:t>
      </w:r>
      <w:r w:rsidR="00AE2082">
        <w:t>Amendment Instrument</w:t>
      </w:r>
      <w:r w:rsidR="00801451" w:rsidRPr="00CF71BC">
        <w:t xml:space="preserve"> is amended or repealed as set out in the applicable items in the Schedule concerned, and any other item in a Schedule to this instrument has effect according to its terms.</w:t>
      </w:r>
    </w:p>
    <w:p w14:paraId="3D8864EA" w14:textId="77777777" w:rsidR="00D50AAE" w:rsidRPr="00CF71BC" w:rsidRDefault="00D50AAE" w:rsidP="00D50AAE"/>
    <w:p w14:paraId="16B6537F" w14:textId="5916D4EF" w:rsidR="007310B8" w:rsidRPr="00CF71BC" w:rsidRDefault="000B2BEE" w:rsidP="00CA1EA4">
      <w:pPr>
        <w:rPr>
          <w:b/>
        </w:rPr>
      </w:pPr>
      <w:r w:rsidRPr="00CF71BC">
        <w:rPr>
          <w:b/>
        </w:rPr>
        <w:t xml:space="preserve">Schedule </w:t>
      </w:r>
      <w:r w:rsidR="00776422" w:rsidRPr="00CF71BC">
        <w:rPr>
          <w:b/>
        </w:rPr>
        <w:t>1</w:t>
      </w:r>
      <w:r w:rsidR="004872EA" w:rsidRPr="00CF71BC">
        <w:rPr>
          <w:b/>
        </w:rPr>
        <w:t xml:space="preserve"> – Amendments </w:t>
      </w:r>
    </w:p>
    <w:p w14:paraId="6BADE90E" w14:textId="77777777" w:rsidR="000B2BEE" w:rsidRPr="00CF71BC" w:rsidRDefault="000B2BEE" w:rsidP="00CA1EA4">
      <w:pPr>
        <w:rPr>
          <w:b/>
        </w:rPr>
      </w:pPr>
    </w:p>
    <w:p w14:paraId="68D089C1" w14:textId="5BB5D43A" w:rsidR="004872EA" w:rsidRPr="00CF71BC" w:rsidRDefault="004872EA">
      <w:pPr>
        <w:spacing w:after="200" w:line="276" w:lineRule="auto"/>
        <w:rPr>
          <w:b/>
          <w:bCs/>
          <w:i/>
          <w:iCs/>
        </w:rPr>
      </w:pPr>
      <w:r w:rsidRPr="00CF71BC">
        <w:rPr>
          <w:b/>
          <w:bCs/>
          <w:i/>
          <w:iCs/>
        </w:rPr>
        <w:t>Trade Support Loans Priority List 2014</w:t>
      </w:r>
    </w:p>
    <w:p w14:paraId="20981262" w14:textId="6960B66D" w:rsidR="00776422" w:rsidRPr="00CF71BC" w:rsidRDefault="00D50AAE">
      <w:pPr>
        <w:spacing w:after="200" w:line="276" w:lineRule="auto"/>
      </w:pPr>
      <w:r w:rsidRPr="00CF71BC">
        <w:rPr>
          <w:b/>
          <w:bCs/>
        </w:rPr>
        <w:t xml:space="preserve">Item </w:t>
      </w:r>
      <w:r w:rsidR="000B2BEE" w:rsidRPr="00CF71BC">
        <w:rPr>
          <w:b/>
          <w:bCs/>
        </w:rPr>
        <w:t>1</w:t>
      </w:r>
      <w:r w:rsidR="004872EA" w:rsidRPr="00CF71BC">
        <w:rPr>
          <w:b/>
          <w:bCs/>
        </w:rPr>
        <w:t xml:space="preserve"> </w:t>
      </w:r>
      <w:r w:rsidR="000B2BEE" w:rsidRPr="00CF71BC">
        <w:t xml:space="preserve"> </w:t>
      </w:r>
    </w:p>
    <w:p w14:paraId="2148FAD3" w14:textId="2225EBB1" w:rsidR="00D56B66" w:rsidRPr="00652410" w:rsidRDefault="00DB5FB6" w:rsidP="00FE4748">
      <w:pPr>
        <w:pStyle w:val="ListParagraph"/>
        <w:numPr>
          <w:ilvl w:val="0"/>
          <w:numId w:val="21"/>
        </w:numPr>
        <w:spacing w:before="120"/>
        <w:ind w:left="714" w:hanging="357"/>
        <w:contextualSpacing w:val="0"/>
      </w:pPr>
      <w:r w:rsidRPr="00CF71BC">
        <w:t>Section 6 of the TSL Priority List provides that, for</w:t>
      </w:r>
      <w:r w:rsidR="009B43A3">
        <w:t xml:space="preserve"> the purposes of</w:t>
      </w:r>
      <w:r w:rsidRPr="00CF71BC">
        <w:t xml:space="preserve"> paragraph</w:t>
      </w:r>
      <w:r w:rsidR="00842CFF">
        <w:t> </w:t>
      </w:r>
      <w:r w:rsidRPr="00CF71BC">
        <w:t>105(1)(b)</w:t>
      </w:r>
      <w:r w:rsidR="00E9490F" w:rsidRPr="00CF71BC">
        <w:t xml:space="preserve"> of the Act</w:t>
      </w:r>
      <w:r w:rsidRPr="00CF71BC">
        <w:t>, the list of qualifications leading to occupations for which skilled persons are a priority is specified</w:t>
      </w:r>
      <w:r w:rsidR="00E9490F" w:rsidRPr="00CF71BC">
        <w:t xml:space="preserve"> </w:t>
      </w:r>
      <w:r w:rsidR="00E9490F" w:rsidRPr="007F78D4">
        <w:rPr>
          <w:rFonts w:eastAsiaTheme="minorHAnsi"/>
          <w:color w:val="000000"/>
          <w:lang w:eastAsia="en-US"/>
        </w:rPr>
        <w:t>in</w:t>
      </w:r>
      <w:r w:rsidR="00E9490F" w:rsidRPr="00CF71BC">
        <w:t xml:space="preserve"> </w:t>
      </w:r>
      <w:r w:rsidR="00E9490F" w:rsidRPr="007F78D4">
        <w:rPr>
          <w:rFonts w:eastAsiaTheme="minorHAnsi"/>
          <w:color w:val="000000"/>
          <w:lang w:eastAsia="en-US"/>
        </w:rPr>
        <w:t xml:space="preserve">the list known as the TSL Qualifications List. </w:t>
      </w:r>
    </w:p>
    <w:p w14:paraId="63C04EBB" w14:textId="7B6A6FCE" w:rsidR="00D917C6" w:rsidRPr="00CF71BC" w:rsidRDefault="004872EA" w:rsidP="00FE4748">
      <w:pPr>
        <w:pStyle w:val="ListParagraph"/>
        <w:numPr>
          <w:ilvl w:val="0"/>
          <w:numId w:val="21"/>
        </w:numPr>
        <w:spacing w:before="120"/>
        <w:ind w:left="714" w:hanging="357"/>
        <w:contextualSpacing w:val="0"/>
      </w:pPr>
      <w:r w:rsidRPr="00CF71BC">
        <w:t>Item 1</w:t>
      </w:r>
      <w:r w:rsidR="00E9490F" w:rsidRPr="00CF71BC">
        <w:t xml:space="preserve"> of the </w:t>
      </w:r>
      <w:r w:rsidR="00AE2082">
        <w:t>Amendment Instrument</w:t>
      </w:r>
      <w:r w:rsidRPr="00CF71BC">
        <w:t xml:space="preserve"> amends section 6 of the TSL Priority List by </w:t>
      </w:r>
      <w:r w:rsidR="00D917C6" w:rsidRPr="00CF71BC">
        <w:t>replacing th</w:t>
      </w:r>
      <w:r w:rsidR="00756651">
        <w:t>e</w:t>
      </w:r>
      <w:r w:rsidR="00D917C6" w:rsidRPr="00CF71BC">
        <w:t xml:space="preserve"> website </w:t>
      </w:r>
      <w:r w:rsidR="00C7422B" w:rsidRPr="00CF71BC">
        <w:t xml:space="preserve">reference </w:t>
      </w:r>
      <w:r w:rsidR="00D917C6" w:rsidRPr="00CF71BC">
        <w:t xml:space="preserve">with </w:t>
      </w:r>
      <w:r w:rsidR="00C7422B" w:rsidRPr="00CF71BC">
        <w:t xml:space="preserve">a reference to </w:t>
      </w:r>
      <w:r w:rsidR="008E02A4" w:rsidRPr="00CF71BC">
        <w:t>the Australian Apprenticeships website,</w:t>
      </w:r>
      <w:r w:rsidR="00D00717" w:rsidRPr="00CF71BC">
        <w:t xml:space="preserve"> </w:t>
      </w:r>
      <w:hyperlink r:id="rId11" w:history="1">
        <w:r w:rsidR="00D00717" w:rsidRPr="00CF71BC">
          <w:rPr>
            <w:rStyle w:val="Hyperlink"/>
          </w:rPr>
          <w:t>www.australianapprenticeships.gov.au</w:t>
        </w:r>
      </w:hyperlink>
      <w:r w:rsidR="00C7422B" w:rsidRPr="00CF71BC">
        <w:t>.</w:t>
      </w:r>
      <w:r w:rsidR="001E5DBB" w:rsidRPr="00CF71BC">
        <w:t xml:space="preserve"> </w:t>
      </w:r>
      <w:r w:rsidR="00E9490F" w:rsidRPr="00CF71BC">
        <w:t xml:space="preserve">The Australian Apprenticeships website is hosted by the Department of </w:t>
      </w:r>
      <w:r w:rsidR="00B132B3" w:rsidRPr="007B1CE2">
        <w:rPr>
          <w:highlight w:val="yellow"/>
        </w:rPr>
        <w:t>Employment and Workplace Relations</w:t>
      </w:r>
      <w:r w:rsidR="00D917C6" w:rsidRPr="00CF71BC">
        <w:t>, which</w:t>
      </w:r>
      <w:r w:rsidR="00E9490F" w:rsidRPr="00CF71BC">
        <w:t xml:space="preserve"> is </w:t>
      </w:r>
      <w:r w:rsidR="00D917C6" w:rsidRPr="00CF71BC">
        <w:t>the agency that has</w:t>
      </w:r>
      <w:r w:rsidR="001E5DBB" w:rsidRPr="00CF71BC">
        <w:t xml:space="preserve"> portfolio responsibility </w:t>
      </w:r>
      <w:r w:rsidR="00D917C6" w:rsidRPr="00CF71BC">
        <w:t>for the Trade Support Loans Program.</w:t>
      </w:r>
      <w:r w:rsidR="001E5DBB" w:rsidRPr="00CF71BC">
        <w:t xml:space="preserve">  </w:t>
      </w:r>
    </w:p>
    <w:p w14:paraId="315A13E4" w14:textId="23CFAA63" w:rsidR="00D00717" w:rsidRPr="00FE4748" w:rsidRDefault="00D917C6" w:rsidP="00FE4748">
      <w:pPr>
        <w:pStyle w:val="ListParagraph"/>
        <w:numPr>
          <w:ilvl w:val="0"/>
          <w:numId w:val="21"/>
        </w:numPr>
        <w:spacing w:before="120"/>
        <w:ind w:left="714" w:hanging="357"/>
        <w:contextualSpacing w:val="0"/>
        <w:rPr>
          <w:sz w:val="28"/>
          <w:szCs w:val="28"/>
        </w:rPr>
      </w:pPr>
      <w:r w:rsidRPr="00CF71BC">
        <w:t xml:space="preserve">For the purposes of subsection 14(2) of the </w:t>
      </w:r>
      <w:r w:rsidRPr="007F78D4">
        <w:rPr>
          <w:i/>
          <w:iCs/>
        </w:rPr>
        <w:t xml:space="preserve">Legislation Act </w:t>
      </w:r>
      <w:r w:rsidR="00D00717" w:rsidRPr="007F78D4">
        <w:rPr>
          <w:i/>
          <w:iCs/>
        </w:rPr>
        <w:t xml:space="preserve">2003 </w:t>
      </w:r>
      <w:r w:rsidR="00D00717" w:rsidRPr="00CF71BC">
        <w:t>(Legislation Act)</w:t>
      </w:r>
      <w:r w:rsidRPr="00CF71BC">
        <w:t>, subsection 105(2) of the Act allows the</w:t>
      </w:r>
      <w:r w:rsidR="00D00717" w:rsidRPr="00CF71BC">
        <w:t xml:space="preserve"> TSL</w:t>
      </w:r>
      <w:r w:rsidRPr="00CF71BC">
        <w:t xml:space="preserve"> </w:t>
      </w:r>
      <w:r w:rsidR="00D00717" w:rsidRPr="00CF71BC">
        <w:t xml:space="preserve">Priority </w:t>
      </w:r>
      <w:r w:rsidRPr="00CF71BC">
        <w:t>List to incorporate material in another instrument (</w:t>
      </w:r>
      <w:proofErr w:type="gramStart"/>
      <w:r w:rsidRPr="00CF71BC">
        <w:t>whether or not</w:t>
      </w:r>
      <w:proofErr w:type="gramEnd"/>
      <w:r w:rsidRPr="00CF71BC">
        <w:t xml:space="preserve"> a legislative instrument) as that instrument exists from time to time. </w:t>
      </w:r>
      <w:r w:rsidR="00AB2A9E" w:rsidRPr="00CF71BC">
        <w:t>S</w:t>
      </w:r>
      <w:r w:rsidR="00D00717" w:rsidRPr="00CF71BC">
        <w:t xml:space="preserve">ection 6 of the TSL Priority List will incorporate </w:t>
      </w:r>
      <w:r w:rsidRPr="00CF71BC">
        <w:t xml:space="preserve">the TSL Qualifications List </w:t>
      </w:r>
      <w:r w:rsidR="00D00717" w:rsidRPr="00CF71BC">
        <w:t xml:space="preserve">available </w:t>
      </w:r>
      <w:r w:rsidR="003169AA">
        <w:t>through</w:t>
      </w:r>
      <w:r w:rsidR="00D00717" w:rsidRPr="00CF71BC">
        <w:t xml:space="preserve"> the Australian Apprenticeships website at it </w:t>
      </w:r>
      <w:r w:rsidRPr="00CF71BC">
        <w:t>exist</w:t>
      </w:r>
      <w:r w:rsidR="00D00717" w:rsidRPr="00CF71BC">
        <w:t>s</w:t>
      </w:r>
      <w:r w:rsidRPr="00CF71BC">
        <w:t xml:space="preserve"> from time to time</w:t>
      </w:r>
      <w:r w:rsidRPr="007F78D4">
        <w:t>.</w:t>
      </w:r>
      <w:r w:rsidRPr="007F78D4">
        <w:rPr>
          <w:rFonts w:ascii="Helvetica Neue" w:hAnsi="Helvetica Neue"/>
          <w:sz w:val="19"/>
          <w:szCs w:val="19"/>
        </w:rPr>
        <w:t xml:space="preserve"> </w:t>
      </w:r>
    </w:p>
    <w:p w14:paraId="047073E0" w14:textId="77777777" w:rsidR="00AF13B3" w:rsidRDefault="00AF13B3">
      <w:pPr>
        <w:spacing w:after="200" w:line="276" w:lineRule="auto"/>
        <w:rPr>
          <w:b/>
          <w:bCs/>
          <w:i/>
          <w:iCs/>
        </w:rPr>
      </w:pPr>
      <w:r>
        <w:rPr>
          <w:b/>
          <w:bCs/>
          <w:i/>
          <w:iCs/>
        </w:rPr>
        <w:br w:type="page"/>
      </w:r>
    </w:p>
    <w:p w14:paraId="2E5B231D" w14:textId="7E6F071A" w:rsidR="004872EA" w:rsidRPr="00CF71BC" w:rsidRDefault="004872EA">
      <w:pPr>
        <w:spacing w:after="200" w:line="276" w:lineRule="auto"/>
        <w:rPr>
          <w:rFonts w:ascii="Arial" w:hAnsi="Arial" w:cs="Arial"/>
          <w:sz w:val="19"/>
          <w:szCs w:val="19"/>
        </w:rPr>
      </w:pPr>
      <w:r w:rsidRPr="00CF71BC">
        <w:rPr>
          <w:b/>
          <w:bCs/>
          <w:i/>
          <w:iCs/>
        </w:rPr>
        <w:lastRenderedPageBreak/>
        <w:t>Trade Supp</w:t>
      </w:r>
      <w:r w:rsidR="002E4ADF" w:rsidRPr="00CF71BC">
        <w:rPr>
          <w:b/>
          <w:bCs/>
          <w:i/>
          <w:iCs/>
        </w:rPr>
        <w:t>ort Loan Rules 2014</w:t>
      </w:r>
    </w:p>
    <w:p w14:paraId="69A9D4D3" w14:textId="7BF6534A" w:rsidR="002E4ADF" w:rsidRPr="00CF71BC" w:rsidRDefault="002E4ADF">
      <w:pPr>
        <w:spacing w:after="200" w:line="276" w:lineRule="auto"/>
        <w:rPr>
          <w:b/>
          <w:bCs/>
        </w:rPr>
      </w:pPr>
      <w:r w:rsidRPr="00CF71BC">
        <w:rPr>
          <w:b/>
          <w:bCs/>
        </w:rPr>
        <w:t>Items 2 and 3</w:t>
      </w:r>
    </w:p>
    <w:p w14:paraId="7D079EC5" w14:textId="1EE513B7" w:rsidR="004872EA" w:rsidRPr="00CF71BC" w:rsidRDefault="002E4ADF" w:rsidP="008E3572">
      <w:pPr>
        <w:pStyle w:val="ListParagraph"/>
        <w:numPr>
          <w:ilvl w:val="0"/>
          <w:numId w:val="21"/>
        </w:numPr>
        <w:spacing w:before="120"/>
        <w:ind w:left="714" w:hanging="357"/>
        <w:contextualSpacing w:val="0"/>
      </w:pPr>
      <w:r w:rsidRPr="00CF71BC">
        <w:t xml:space="preserve">Items 2 and 3 amend the title and naming section of the </w:t>
      </w:r>
      <w:r w:rsidR="00F21E05" w:rsidRPr="008E3572">
        <w:rPr>
          <w:i/>
          <w:iCs/>
        </w:rPr>
        <w:t>‘Trade Support Loan Rules 2014’</w:t>
      </w:r>
      <w:r w:rsidRPr="00CF71BC">
        <w:t>, to replace the singular ‘Loan’ with the plural ‘</w:t>
      </w:r>
      <w:r w:rsidR="00AB2A9E" w:rsidRPr="00CF71BC">
        <w:t>Loans</w:t>
      </w:r>
      <w:r w:rsidRPr="00CF71BC">
        <w:t>’. Th</w:t>
      </w:r>
      <w:r w:rsidR="00B175BF" w:rsidRPr="00CF71BC">
        <w:t>ese changes</w:t>
      </w:r>
      <w:r w:rsidR="00AB2A9E" w:rsidRPr="00CF71BC">
        <w:t xml:space="preserve"> are</w:t>
      </w:r>
      <w:r w:rsidR="001C00F5" w:rsidRPr="00CF71BC">
        <w:t xml:space="preserve"> </w:t>
      </w:r>
      <w:r w:rsidR="00B175BF" w:rsidRPr="00CF71BC">
        <w:t xml:space="preserve">being made </w:t>
      </w:r>
      <w:r w:rsidRPr="00CF71BC">
        <w:t>for consistency with the</w:t>
      </w:r>
      <w:r w:rsidR="0053564F" w:rsidRPr="00CF71BC">
        <w:t xml:space="preserve"> name of the Act and TSL Priority List, which both use the plural ‘</w:t>
      </w:r>
      <w:r w:rsidR="00AB2A9E" w:rsidRPr="00CF71BC">
        <w:t>Loans</w:t>
      </w:r>
      <w:r w:rsidR="0053564F" w:rsidRPr="00CF71BC">
        <w:t>’.</w:t>
      </w:r>
    </w:p>
    <w:p w14:paraId="0DCC31DD" w14:textId="77777777" w:rsidR="00A15C90" w:rsidRDefault="00A15C90" w:rsidP="00FE4748">
      <w:pPr>
        <w:rPr>
          <w:b/>
          <w:bCs/>
        </w:rPr>
      </w:pPr>
    </w:p>
    <w:p w14:paraId="4EC0CD2C" w14:textId="459F5D54" w:rsidR="00A076CA" w:rsidRPr="00CF71BC" w:rsidRDefault="00A076CA">
      <w:pPr>
        <w:spacing w:after="200" w:line="276" w:lineRule="auto"/>
        <w:rPr>
          <w:b/>
          <w:bCs/>
        </w:rPr>
      </w:pPr>
      <w:r w:rsidRPr="00CF71BC">
        <w:rPr>
          <w:b/>
          <w:bCs/>
        </w:rPr>
        <w:t>Item 4</w:t>
      </w:r>
    </w:p>
    <w:p w14:paraId="798110C3" w14:textId="553222FA" w:rsidR="00300299" w:rsidRPr="00CF71BC" w:rsidRDefault="00300299" w:rsidP="00FE4748">
      <w:pPr>
        <w:pStyle w:val="ListParagraph"/>
        <w:numPr>
          <w:ilvl w:val="0"/>
          <w:numId w:val="21"/>
        </w:numPr>
        <w:spacing w:before="120"/>
        <w:ind w:left="714" w:hanging="357"/>
        <w:contextualSpacing w:val="0"/>
      </w:pPr>
      <w:r w:rsidRPr="00CF71BC">
        <w:t>Under Subdivision AA of the Act, a person who has an TSL debt (</w:t>
      </w:r>
      <w:proofErr w:type="gramStart"/>
      <w:r w:rsidRPr="00CF71BC">
        <w:t>i.e.</w:t>
      </w:r>
      <w:proofErr w:type="gramEnd"/>
      <w:r w:rsidRPr="00CF71BC">
        <w:t xml:space="preserve"> a debt to the Commonwealth arising from a student loan made to the person under the Act), and who is a foreign resident during a year (overseas debtor), is liable to pay the Commonwealth a levy. The amount of the levy an overseas debtor </w:t>
      </w:r>
      <w:r w:rsidR="007470DA">
        <w:t>must</w:t>
      </w:r>
      <w:r w:rsidRPr="00CF71BC">
        <w:t xml:space="preserve"> pay is contingent on the debtor’s assessed worldwide income for the year, which is essentially the sum of the debtor’s Australian income and foreign-sourced income for the year.</w:t>
      </w:r>
    </w:p>
    <w:p w14:paraId="5E458E0D" w14:textId="60287235" w:rsidR="00300299" w:rsidRPr="00CF71BC" w:rsidRDefault="00EF0BFA" w:rsidP="00FE4748">
      <w:pPr>
        <w:pStyle w:val="ListParagraph"/>
        <w:numPr>
          <w:ilvl w:val="0"/>
          <w:numId w:val="21"/>
        </w:numPr>
        <w:spacing w:before="120"/>
        <w:ind w:left="714" w:hanging="357"/>
        <w:contextualSpacing w:val="0"/>
      </w:pPr>
      <w:r w:rsidRPr="00CF71BC">
        <w:t xml:space="preserve">Rule </w:t>
      </w:r>
      <w:r w:rsidR="00FE3901">
        <w:t>1</w:t>
      </w:r>
      <w:r w:rsidRPr="00CF71BC">
        <w:t xml:space="preserve">6 of the </w:t>
      </w:r>
      <w:r w:rsidR="00300299" w:rsidRPr="00CF71BC">
        <w:t>TSL Rules provide</w:t>
      </w:r>
      <w:r w:rsidRPr="00CF71BC">
        <w:t>s</w:t>
      </w:r>
      <w:r w:rsidR="00300299" w:rsidRPr="00CF71BC">
        <w:t xml:space="preserve"> three methods for working out an overseas debtor’s foreign-sourced income. One of these methods, the simple self</w:t>
      </w:r>
      <w:r w:rsidRPr="00CF71BC">
        <w:t>-</w:t>
      </w:r>
      <w:r w:rsidR="00300299" w:rsidRPr="00CF71BC">
        <w:t xml:space="preserve">assessment method, allows an overseas debtor to advise the ATO of their gross (pre-tax) foreign-sourced income and the occupation from which they derived </w:t>
      </w:r>
      <w:proofErr w:type="gramStart"/>
      <w:r w:rsidR="00300299" w:rsidRPr="00CF71BC">
        <w:t>the majority of</w:t>
      </w:r>
      <w:proofErr w:type="gramEnd"/>
      <w:r w:rsidR="00300299" w:rsidRPr="00CF71BC">
        <w:t xml:space="preserve"> that income. The ATO then applies a standard deduction against their gross foreign-sourced income based on the nominated occupation in accordance with its own </w:t>
      </w:r>
      <w:r w:rsidRPr="00CF71BC">
        <w:t>s</w:t>
      </w:r>
      <w:r w:rsidR="00300299" w:rsidRPr="00CF71BC">
        <w:t xml:space="preserve">alary and </w:t>
      </w:r>
      <w:r w:rsidRPr="00CF71BC">
        <w:t>w</w:t>
      </w:r>
      <w:r w:rsidR="00300299" w:rsidRPr="00CF71BC">
        <w:t xml:space="preserve">ages </w:t>
      </w:r>
      <w:r w:rsidRPr="00CF71BC">
        <w:t>o</w:t>
      </w:r>
      <w:r w:rsidR="00300299" w:rsidRPr="00CF71BC">
        <w:t xml:space="preserve">ccupation </w:t>
      </w:r>
      <w:r w:rsidRPr="00CF71BC">
        <w:t>c</w:t>
      </w:r>
      <w:r w:rsidR="00300299" w:rsidRPr="00CF71BC">
        <w:t xml:space="preserve">ode. </w:t>
      </w:r>
      <w:r w:rsidR="000B638E" w:rsidRPr="00CF71BC">
        <w:t xml:space="preserve">Where the occupation has not been designated with an occupation code, the deduction is nil. </w:t>
      </w:r>
    </w:p>
    <w:p w14:paraId="2B649BE7" w14:textId="77777777" w:rsidR="00D51A05" w:rsidRPr="007B1CE2" w:rsidRDefault="003E4411" w:rsidP="00D51A05">
      <w:pPr>
        <w:pStyle w:val="ListParagraph"/>
        <w:numPr>
          <w:ilvl w:val="0"/>
          <w:numId w:val="21"/>
        </w:numPr>
        <w:spacing w:before="120"/>
        <w:contextualSpacing w:val="0"/>
        <w:rPr>
          <w:highlight w:val="yellow"/>
        </w:rPr>
      </w:pPr>
      <w:r w:rsidRPr="00CF71BC">
        <w:t xml:space="preserve">Item 4 of Schedule 1 to the </w:t>
      </w:r>
      <w:r>
        <w:t xml:space="preserve">Amendment </w:t>
      </w:r>
      <w:r w:rsidRPr="004834B2">
        <w:t xml:space="preserve">Instrument updates the definition of </w:t>
      </w:r>
      <w:r w:rsidR="00AB2A9E" w:rsidRPr="004834B2">
        <w:t>‘</w:t>
      </w:r>
      <w:r w:rsidR="00EF0BFA" w:rsidRPr="004834B2">
        <w:t>ATO Occupation Code</w:t>
      </w:r>
      <w:r w:rsidR="00AB2A9E" w:rsidRPr="004834B2">
        <w:t>’</w:t>
      </w:r>
      <w:r w:rsidR="00EF0BFA" w:rsidRPr="004834B2">
        <w:t xml:space="preserve"> in rule 4 of the TSL Rules</w:t>
      </w:r>
      <w:r w:rsidRPr="004834B2">
        <w:t>, so that it</w:t>
      </w:r>
      <w:r w:rsidR="00EF0BFA" w:rsidRPr="004834B2">
        <w:t xml:space="preserve"> refers to most recent salary and wage occupation codes published by the Australian Taxation Office in </w:t>
      </w:r>
      <w:r w:rsidR="00B16919" w:rsidRPr="004834B2">
        <w:t>Novem</w:t>
      </w:r>
      <w:r w:rsidR="002C660A" w:rsidRPr="004834B2">
        <w:t>ber 2021</w:t>
      </w:r>
      <w:r w:rsidR="00EF0BFA" w:rsidRPr="004834B2">
        <w:t xml:space="preserve">. </w:t>
      </w:r>
      <w:r w:rsidR="00D51A05" w:rsidRPr="007B1CE2">
        <w:rPr>
          <w:highlight w:val="yellow"/>
        </w:rPr>
        <w:t>Prior to the amendment specified in Item 4 of Schedule 1 of the Amendment Instrument, the term ‘ATO Occupation Code’ was defined by reference to an older version of the Code as published by the Australian Taxation Office in 2018.</w:t>
      </w:r>
    </w:p>
    <w:p w14:paraId="1C915E4D" w14:textId="0B2C9714" w:rsidR="00CC479D" w:rsidRPr="007B1CE2" w:rsidRDefault="00CC479D" w:rsidP="00D803D1">
      <w:pPr>
        <w:pStyle w:val="ListParagraph"/>
        <w:numPr>
          <w:ilvl w:val="0"/>
          <w:numId w:val="21"/>
        </w:numPr>
        <w:spacing w:before="120"/>
        <w:ind w:left="714" w:hanging="357"/>
        <w:contextualSpacing w:val="0"/>
        <w:rPr>
          <w:highlight w:val="yellow"/>
        </w:rPr>
      </w:pPr>
      <w:r w:rsidRPr="007B1CE2">
        <w:rPr>
          <w:highlight w:val="yellow"/>
        </w:rPr>
        <w:t>The ATO Occupation Code is used in the simple self-assessment method for working out a person’s foreign-sourced income for an income year (refer to subrules 16(5) and 16(6)) of the</w:t>
      </w:r>
      <w:r w:rsidRPr="007B1CE2">
        <w:rPr>
          <w:i/>
          <w:iCs/>
          <w:highlight w:val="yellow"/>
        </w:rPr>
        <w:t xml:space="preserve"> Trade Support Rules 2014</w:t>
      </w:r>
      <w:r w:rsidRPr="007B1CE2">
        <w:rPr>
          <w:highlight w:val="yellow"/>
        </w:rPr>
        <w:t xml:space="preserve">). This amount then forms one component of a person’s assessed worldwide income under section 47B of the </w:t>
      </w:r>
      <w:r w:rsidRPr="007B1CE2">
        <w:rPr>
          <w:i/>
          <w:iCs/>
          <w:highlight w:val="yellow"/>
        </w:rPr>
        <w:t xml:space="preserve">Trade Support Loans Act 2014 </w:t>
      </w:r>
      <w:r w:rsidRPr="007B1CE2">
        <w:rPr>
          <w:highlight w:val="yellow"/>
        </w:rPr>
        <w:t xml:space="preserve">(the other being the person’s repayment income for the income year). </w:t>
      </w:r>
    </w:p>
    <w:p w14:paraId="195E239E" w14:textId="7B01F88C" w:rsidR="00D51A05" w:rsidRPr="007B1CE2" w:rsidRDefault="00D51A05" w:rsidP="00D51A05">
      <w:pPr>
        <w:pStyle w:val="ListParagraph"/>
        <w:numPr>
          <w:ilvl w:val="0"/>
          <w:numId w:val="21"/>
        </w:numPr>
        <w:spacing w:before="120"/>
        <w:contextualSpacing w:val="0"/>
        <w:rPr>
          <w:highlight w:val="yellow"/>
        </w:rPr>
      </w:pPr>
      <w:r w:rsidRPr="007B1CE2">
        <w:rPr>
          <w:highlight w:val="yellow"/>
        </w:rPr>
        <w:t xml:space="preserve">A note to Item 4 of Schedule 1 explains that as of November 2021, the </w:t>
      </w:r>
      <w:r w:rsidRPr="007B1CE2">
        <w:rPr>
          <w:i/>
          <w:iCs/>
          <w:highlight w:val="yellow"/>
        </w:rPr>
        <w:t xml:space="preserve">Salary and wage occupation codes 2020 </w:t>
      </w:r>
      <w:r w:rsidRPr="007B1CE2">
        <w:rPr>
          <w:highlight w:val="yellow"/>
        </w:rPr>
        <w:t xml:space="preserve">was available at www.ato.gov.au/forms/salary-and-wage-occupation-codes-2021/.  </w:t>
      </w:r>
    </w:p>
    <w:p w14:paraId="401B8BF0" w14:textId="6A9D0A2A" w:rsidR="0069253C" w:rsidRPr="007B1CE2" w:rsidRDefault="0069253C" w:rsidP="00D803D1">
      <w:pPr>
        <w:pStyle w:val="ListParagraph"/>
        <w:numPr>
          <w:ilvl w:val="0"/>
          <w:numId w:val="21"/>
        </w:numPr>
        <w:spacing w:before="120"/>
        <w:contextualSpacing w:val="0"/>
        <w:rPr>
          <w:highlight w:val="yellow"/>
        </w:rPr>
      </w:pPr>
      <w:r w:rsidRPr="007B1CE2">
        <w:rPr>
          <w:highlight w:val="yellow"/>
        </w:rPr>
        <w:t xml:space="preserve">The </w:t>
      </w:r>
      <w:r w:rsidR="00AC142C" w:rsidRPr="007B1CE2">
        <w:rPr>
          <w:highlight w:val="yellow"/>
        </w:rPr>
        <w:t xml:space="preserve">ATO Occupation Code is incorporated by reference in </w:t>
      </w:r>
      <w:r w:rsidR="00D51A05" w:rsidRPr="007B1CE2">
        <w:rPr>
          <w:highlight w:val="yellow"/>
        </w:rPr>
        <w:t>the Amendment Instrument</w:t>
      </w:r>
      <w:r w:rsidR="00AC142C" w:rsidRPr="007B1CE2">
        <w:rPr>
          <w:highlight w:val="yellow"/>
        </w:rPr>
        <w:t>.</w:t>
      </w:r>
      <w:r w:rsidRPr="007B1CE2">
        <w:rPr>
          <w:highlight w:val="yellow"/>
        </w:rPr>
        <w:t xml:space="preserve"> Section 106 of the </w:t>
      </w:r>
      <w:r w:rsidRPr="007B1CE2">
        <w:rPr>
          <w:i/>
          <w:iCs/>
          <w:highlight w:val="yellow"/>
        </w:rPr>
        <w:t xml:space="preserve">Trade Support Loans Act 2014, </w:t>
      </w:r>
      <w:r w:rsidRPr="007B1CE2">
        <w:rPr>
          <w:highlight w:val="yellow"/>
        </w:rPr>
        <w:t xml:space="preserve">under which the </w:t>
      </w:r>
      <w:r w:rsidRPr="007B1CE2">
        <w:rPr>
          <w:i/>
          <w:iCs/>
          <w:highlight w:val="yellow"/>
        </w:rPr>
        <w:t>Trade Support Loans Rules 2014</w:t>
      </w:r>
      <w:r w:rsidRPr="007B1CE2">
        <w:rPr>
          <w:highlight w:val="yellow"/>
        </w:rPr>
        <w:t xml:space="preserve"> are made, does not contain a provision that overrides the operation of subsection 14(2) of the </w:t>
      </w:r>
      <w:r w:rsidRPr="007B1CE2">
        <w:rPr>
          <w:i/>
          <w:iCs/>
          <w:highlight w:val="yellow"/>
        </w:rPr>
        <w:t>Legislation Act 2003</w:t>
      </w:r>
      <w:r w:rsidRPr="007B1CE2">
        <w:rPr>
          <w:highlight w:val="yellow"/>
        </w:rPr>
        <w:t xml:space="preserve">. Therefore, the ATO Occupation Code is incorporated by reference only as in force or existing at or before the time the </w:t>
      </w:r>
      <w:r w:rsidRPr="007B1CE2">
        <w:rPr>
          <w:i/>
          <w:iCs/>
          <w:highlight w:val="yellow"/>
        </w:rPr>
        <w:t>Trade Support Loans Legislation Amendment Instrument 2021</w:t>
      </w:r>
      <w:r w:rsidRPr="007B1CE2">
        <w:rPr>
          <w:b/>
          <w:bCs/>
          <w:i/>
          <w:iCs/>
          <w:highlight w:val="yellow"/>
        </w:rPr>
        <w:t xml:space="preserve"> </w:t>
      </w:r>
      <w:r w:rsidRPr="007B1CE2">
        <w:rPr>
          <w:highlight w:val="yellow"/>
        </w:rPr>
        <w:t>commences</w:t>
      </w:r>
      <w:r w:rsidR="00D51A05" w:rsidRPr="007B1CE2">
        <w:rPr>
          <w:highlight w:val="yellow"/>
        </w:rPr>
        <w:t xml:space="preserve"> and is publicly accessible via the link set out in paragraph 13 above.</w:t>
      </w:r>
    </w:p>
    <w:p w14:paraId="1F2B838E" w14:textId="7BD4592A" w:rsidR="00AC142C" w:rsidRDefault="00AC142C" w:rsidP="007B1CE2">
      <w:pPr>
        <w:pStyle w:val="ListParagraph"/>
        <w:spacing w:before="100" w:beforeAutospacing="1" w:after="100" w:afterAutospacing="1"/>
      </w:pPr>
    </w:p>
    <w:p w14:paraId="7BE82F19" w14:textId="6D264EE4" w:rsidR="00761CF2" w:rsidRPr="00CF71BC" w:rsidRDefault="00610E1E" w:rsidP="00E14E8A">
      <w:pPr>
        <w:spacing w:after="200" w:line="276" w:lineRule="auto"/>
        <w:rPr>
          <w:b/>
          <w:bCs/>
        </w:rPr>
      </w:pPr>
      <w:r w:rsidRPr="00CF71BC">
        <w:rPr>
          <w:b/>
          <w:bCs/>
        </w:rPr>
        <w:lastRenderedPageBreak/>
        <w:t>Item 5</w:t>
      </w:r>
    </w:p>
    <w:p w14:paraId="1C491C19" w14:textId="26D64616" w:rsidR="00610E1E" w:rsidRPr="00CF71BC" w:rsidRDefault="00610E1E" w:rsidP="00BF7CAF">
      <w:pPr>
        <w:pStyle w:val="ListParagraph"/>
        <w:numPr>
          <w:ilvl w:val="0"/>
          <w:numId w:val="21"/>
        </w:numPr>
        <w:spacing w:before="120"/>
        <w:contextualSpacing w:val="0"/>
      </w:pPr>
      <w:r w:rsidRPr="00CF71BC">
        <w:t xml:space="preserve">Item 5 of Schedule 1 to the </w:t>
      </w:r>
      <w:r w:rsidR="00AE2082">
        <w:t>Amendment Instrument</w:t>
      </w:r>
      <w:r w:rsidRPr="00CF71BC">
        <w:t xml:space="preserve"> </w:t>
      </w:r>
      <w:r w:rsidR="00A57AC8">
        <w:t xml:space="preserve">omits and replaces </w:t>
      </w:r>
      <w:r w:rsidR="00A57AC8" w:rsidRPr="00CF71BC">
        <w:t>the definition of ‘rural or regional area’</w:t>
      </w:r>
      <w:r w:rsidR="00A57AC8">
        <w:t xml:space="preserve"> to </w:t>
      </w:r>
      <w:r w:rsidRPr="00CF71BC">
        <w:t>make minor editorial changes to th</w:t>
      </w:r>
      <w:r w:rsidR="003E4411">
        <w:t>at</w:t>
      </w:r>
      <w:r w:rsidRPr="00CF71BC">
        <w:t xml:space="preserve"> definition. The changes </w:t>
      </w:r>
      <w:r w:rsidR="00677176">
        <w:t>are made for clarity and</w:t>
      </w:r>
      <w:r w:rsidRPr="00CF71BC">
        <w:t xml:space="preserve"> do not change the operation of the definition.</w:t>
      </w:r>
    </w:p>
    <w:p w14:paraId="63AF70F7" w14:textId="77777777" w:rsidR="00A15C90" w:rsidRDefault="00A15C90" w:rsidP="00FE4748">
      <w:pPr>
        <w:rPr>
          <w:b/>
          <w:bCs/>
        </w:rPr>
      </w:pPr>
    </w:p>
    <w:p w14:paraId="578AE70F" w14:textId="254503CC" w:rsidR="00E14E8A" w:rsidRPr="00CF71BC" w:rsidRDefault="00E14E8A" w:rsidP="00E14E8A">
      <w:pPr>
        <w:spacing w:after="200" w:line="276" w:lineRule="auto"/>
        <w:rPr>
          <w:b/>
          <w:bCs/>
        </w:rPr>
      </w:pPr>
      <w:r w:rsidRPr="00CF71BC">
        <w:rPr>
          <w:b/>
          <w:bCs/>
        </w:rPr>
        <w:t xml:space="preserve">Item </w:t>
      </w:r>
      <w:r w:rsidR="00610E1E" w:rsidRPr="00CF71BC">
        <w:rPr>
          <w:b/>
          <w:bCs/>
        </w:rPr>
        <w:t>6</w:t>
      </w:r>
    </w:p>
    <w:p w14:paraId="143D41F6" w14:textId="1898F5EC" w:rsidR="00AF7CB9" w:rsidRPr="00CF71BC" w:rsidRDefault="00AF7CB9" w:rsidP="00BF7CAF">
      <w:pPr>
        <w:pStyle w:val="ListParagraph"/>
        <w:numPr>
          <w:ilvl w:val="0"/>
          <w:numId w:val="21"/>
        </w:numPr>
        <w:spacing w:before="120"/>
        <w:contextualSpacing w:val="0"/>
      </w:pPr>
      <w:r w:rsidRPr="00CF71BC">
        <w:t xml:space="preserve">Item </w:t>
      </w:r>
      <w:r w:rsidR="00610E1E" w:rsidRPr="00CF71BC">
        <w:t>6</w:t>
      </w:r>
      <w:r w:rsidR="009E1DF1" w:rsidRPr="00CF71BC">
        <w:t xml:space="preserve"> of Schedule 1 to the </w:t>
      </w:r>
      <w:r w:rsidR="00AE2082">
        <w:t>Amendment Instrument</w:t>
      </w:r>
      <w:r w:rsidRPr="00CF71BC">
        <w:t xml:space="preserve"> </w:t>
      </w:r>
      <w:r w:rsidR="009E1DF1" w:rsidRPr="00CF71BC">
        <w:t xml:space="preserve">amends paragraph 6(a) of the TSL Rules by </w:t>
      </w:r>
      <w:r w:rsidRPr="00CF71BC">
        <w:t>r</w:t>
      </w:r>
      <w:r w:rsidR="009E1DF1" w:rsidRPr="00CF71BC">
        <w:t>emoving</w:t>
      </w:r>
      <w:r w:rsidRPr="00CF71BC">
        <w:t xml:space="preserve"> a reference to Schedule 1 to the TSL </w:t>
      </w:r>
      <w:r w:rsidR="009E1DF1" w:rsidRPr="00CF71BC">
        <w:t xml:space="preserve">Priority List and replacing it with a reference to the </w:t>
      </w:r>
      <w:r w:rsidR="00581638">
        <w:t>T</w:t>
      </w:r>
      <w:r w:rsidR="009F4EE0">
        <w:t xml:space="preserve">SL </w:t>
      </w:r>
      <w:r w:rsidR="009E1DF1" w:rsidRPr="00CF71BC">
        <w:t xml:space="preserve">Priority List. This corrects an error as the TSL Priority List does not include any Schedules. </w:t>
      </w:r>
    </w:p>
    <w:p w14:paraId="3E997EE8" w14:textId="77777777" w:rsidR="00A15C90" w:rsidRDefault="00A15C90" w:rsidP="00FE4748">
      <w:pPr>
        <w:rPr>
          <w:b/>
          <w:bCs/>
        </w:rPr>
      </w:pPr>
    </w:p>
    <w:p w14:paraId="4DC012BD" w14:textId="5C8D94FC" w:rsidR="0046194B" w:rsidRPr="00CF71BC" w:rsidRDefault="009E1DF1" w:rsidP="00FE4748">
      <w:pPr>
        <w:keepNext/>
        <w:spacing w:after="200" w:line="276" w:lineRule="auto"/>
        <w:rPr>
          <w:b/>
          <w:bCs/>
        </w:rPr>
      </w:pPr>
      <w:r w:rsidRPr="00CF71BC">
        <w:rPr>
          <w:b/>
          <w:bCs/>
        </w:rPr>
        <w:t xml:space="preserve">Item </w:t>
      </w:r>
      <w:r w:rsidR="00610E1E" w:rsidRPr="00CF71BC">
        <w:rPr>
          <w:b/>
          <w:bCs/>
        </w:rPr>
        <w:t>7</w:t>
      </w:r>
    </w:p>
    <w:p w14:paraId="13BE97A5" w14:textId="7D1B38A7" w:rsidR="00AB2A9E" w:rsidRDefault="009E1DF1" w:rsidP="00BF7CAF">
      <w:pPr>
        <w:pStyle w:val="ListParagraph"/>
        <w:numPr>
          <w:ilvl w:val="0"/>
          <w:numId w:val="21"/>
        </w:numPr>
        <w:spacing w:before="120"/>
        <w:contextualSpacing w:val="0"/>
      </w:pPr>
      <w:r w:rsidRPr="00CF71BC">
        <w:t xml:space="preserve">Item </w:t>
      </w:r>
      <w:r w:rsidR="00610E1E" w:rsidRPr="00CF71BC">
        <w:t>7</w:t>
      </w:r>
      <w:r w:rsidRPr="00CF71BC">
        <w:t xml:space="preserve"> of Schedule 1 to the </w:t>
      </w:r>
      <w:r w:rsidR="00AE2082">
        <w:t>Amendment Instrument</w:t>
      </w:r>
      <w:r w:rsidRPr="00CF71BC">
        <w:t xml:space="preserve"> amends paragraph 8(b) of the TSL Rules by replacing the reference to the ‘Department of Industry’ with a reference to the ‘Department</w:t>
      </w:r>
      <w:r w:rsidR="00AB2A9E" w:rsidRPr="00CF71BC">
        <w:t>’. Item 1 of the table in subsection 19</w:t>
      </w:r>
      <w:proofErr w:type="gramStart"/>
      <w:r w:rsidR="00AB2A9E" w:rsidRPr="00CF71BC">
        <w:t>A(</w:t>
      </w:r>
      <w:proofErr w:type="gramEnd"/>
      <w:r w:rsidR="00AB2A9E" w:rsidRPr="00CF71BC">
        <w:t>1) of the Acts Interpretation Act provides that such a reference to the Department shall be taken to refer to the Department of State of the Commonwealth that is administered by the Minister or Ministers administering that provision in relation to the relevant matter, and that deals with that matte</w:t>
      </w:r>
      <w:r w:rsidR="00AB2A9E" w:rsidRPr="007470DA">
        <w:t xml:space="preserve">r. </w:t>
      </w:r>
      <w:r w:rsidR="00186383">
        <w:t xml:space="preserve">As </w:t>
      </w:r>
      <w:proofErr w:type="gramStart"/>
      <w:r w:rsidR="00186383">
        <w:t>at</w:t>
      </w:r>
      <w:proofErr w:type="gramEnd"/>
      <w:r w:rsidR="00F80D7E">
        <w:t xml:space="preserve"> </w:t>
      </w:r>
      <w:r w:rsidR="00B1292B">
        <w:t>October</w:t>
      </w:r>
      <w:r w:rsidR="004E643F" w:rsidRPr="00B1292B">
        <w:t xml:space="preserve"> </w:t>
      </w:r>
      <w:r w:rsidR="00677176" w:rsidRPr="00B1292B">
        <w:t>202</w:t>
      </w:r>
      <w:r w:rsidR="004E643F" w:rsidRPr="00B1292B">
        <w:t>1</w:t>
      </w:r>
      <w:r w:rsidR="00677176" w:rsidRPr="007470DA">
        <w:t xml:space="preserve"> this</w:t>
      </w:r>
      <w:r w:rsidR="00677176">
        <w:t xml:space="preserve"> was </w:t>
      </w:r>
      <w:r w:rsidR="00AB2A9E" w:rsidRPr="00CF71BC">
        <w:t>the Department of Education</w:t>
      </w:r>
      <w:r w:rsidR="004E643F">
        <w:t>,</w:t>
      </w:r>
      <w:r w:rsidR="00AB2A9E" w:rsidRPr="00CF71BC">
        <w:t xml:space="preserve"> Skills and Employment. </w:t>
      </w:r>
    </w:p>
    <w:p w14:paraId="1A228E03" w14:textId="77777777" w:rsidR="00A15C90" w:rsidRPr="00CF71BC" w:rsidRDefault="00A15C90" w:rsidP="00FE4748">
      <w:pPr>
        <w:pStyle w:val="ListParagraph"/>
      </w:pPr>
    </w:p>
    <w:p w14:paraId="0A39C5F9" w14:textId="5EF8355B" w:rsidR="00A076CA" w:rsidRPr="00CF71BC" w:rsidRDefault="003733D9" w:rsidP="003733D9">
      <w:pPr>
        <w:spacing w:after="200" w:line="276" w:lineRule="auto"/>
        <w:rPr>
          <w:b/>
          <w:bCs/>
        </w:rPr>
      </w:pPr>
      <w:r w:rsidRPr="00CF71BC">
        <w:rPr>
          <w:b/>
          <w:bCs/>
        </w:rPr>
        <w:t xml:space="preserve">Item </w:t>
      </w:r>
      <w:r w:rsidR="00610E1E" w:rsidRPr="00CF71BC">
        <w:rPr>
          <w:b/>
          <w:bCs/>
        </w:rPr>
        <w:t>8</w:t>
      </w:r>
    </w:p>
    <w:p w14:paraId="4905A639" w14:textId="686171D0" w:rsidR="0084119E" w:rsidRPr="00CF71BC" w:rsidRDefault="0084119E" w:rsidP="00BF7CAF">
      <w:pPr>
        <w:pStyle w:val="ListParagraph"/>
        <w:numPr>
          <w:ilvl w:val="0"/>
          <w:numId w:val="21"/>
        </w:numPr>
        <w:spacing w:before="120"/>
        <w:contextualSpacing w:val="0"/>
      </w:pPr>
      <w:r w:rsidRPr="00CF71BC">
        <w:t xml:space="preserve">In certain circumstances where an amount is wrongly paid as an instalment of </w:t>
      </w:r>
      <w:r w:rsidR="00694ECE">
        <w:t>trade support loan</w:t>
      </w:r>
      <w:r w:rsidRPr="00CF71BC">
        <w:t xml:space="preserve">, the Secretary is empowered under subsection 11(1) of the Act to </w:t>
      </w:r>
      <w:proofErr w:type="gramStart"/>
      <w:r w:rsidRPr="00CF71BC">
        <w:t>make a determination</w:t>
      </w:r>
      <w:proofErr w:type="gramEnd"/>
      <w:r w:rsidRPr="00CF71BC">
        <w:t xml:space="preserve"> that the recipient is taken to have been qualified for </w:t>
      </w:r>
      <w:r w:rsidR="00694ECE">
        <w:t xml:space="preserve">trade support loan </w:t>
      </w:r>
      <w:r w:rsidRPr="00CF71BC">
        <w:t xml:space="preserve">and </w:t>
      </w:r>
      <w:r w:rsidR="00694ECE">
        <w:t>trade support loan</w:t>
      </w:r>
      <w:r w:rsidRPr="00CF71BC">
        <w:t xml:space="preserve"> is taken to have been payable to the person. In such circumstances, the amount will not be an overpayment debt and will instead give rise to a ‘TSL debt’, recoverable through the Australian tax system.</w:t>
      </w:r>
      <w:r w:rsidR="003733D9" w:rsidRPr="00CF71BC">
        <w:t xml:space="preserve"> </w:t>
      </w:r>
      <w:r w:rsidRPr="00CF71BC">
        <w:t xml:space="preserve">Rule 11 of the TSL Rules, which is made under subsection 11(2) of the Act prescribes circumstances in which the Secretary is </w:t>
      </w:r>
      <w:r w:rsidR="00756651">
        <w:t xml:space="preserve">to </w:t>
      </w:r>
      <w:r w:rsidRPr="00CF71BC">
        <w:t xml:space="preserve">make such a determination.  </w:t>
      </w:r>
    </w:p>
    <w:p w14:paraId="5D81CB6B" w14:textId="3BAC12B4" w:rsidR="00760512" w:rsidRPr="00CF71BC" w:rsidRDefault="0084119E" w:rsidP="00BF7CAF">
      <w:pPr>
        <w:pStyle w:val="ListParagraph"/>
        <w:numPr>
          <w:ilvl w:val="0"/>
          <w:numId w:val="21"/>
        </w:numPr>
        <w:spacing w:before="120"/>
        <w:contextualSpacing w:val="0"/>
      </w:pPr>
      <w:r w:rsidRPr="00CF71BC">
        <w:t xml:space="preserve">The </w:t>
      </w:r>
      <w:r w:rsidRPr="00CF71BC">
        <w:rPr>
          <w:i/>
          <w:iCs/>
        </w:rPr>
        <w:t>Trade Support Loans Amendment (Improving Administration) Act 2020</w:t>
      </w:r>
      <w:r w:rsidRPr="00CF71BC">
        <w:t xml:space="preserve"> made amendments to the Secretary’s powers in section 11 of the Act</w:t>
      </w:r>
      <w:r w:rsidR="00EA42B2" w:rsidRPr="00CF71BC">
        <w:t>. These amendments included remov</w:t>
      </w:r>
      <w:r w:rsidR="003733D9" w:rsidRPr="00CF71BC">
        <w:t>ing</w:t>
      </w:r>
      <w:r w:rsidR="00EA42B2" w:rsidRPr="00CF71BC">
        <w:t xml:space="preserve"> the requirement that </w:t>
      </w:r>
      <w:r w:rsidR="00694ECE">
        <w:t>trade support loan</w:t>
      </w:r>
      <w:r w:rsidR="00EA42B2" w:rsidRPr="00CF71BC">
        <w:t xml:space="preserve"> was payable to the person in relation to the instalment period ending before the instalment period in which the instalment of </w:t>
      </w:r>
      <w:r w:rsidR="00694ECE">
        <w:t>trade support loan</w:t>
      </w:r>
      <w:r w:rsidR="00EA42B2" w:rsidRPr="00CF71BC">
        <w:t xml:space="preserve"> was wrongly paid</w:t>
      </w:r>
      <w:r w:rsidR="00760512" w:rsidRPr="00CF71BC">
        <w:t xml:space="preserve"> (the </w:t>
      </w:r>
      <w:r w:rsidR="00760512" w:rsidRPr="00CF71BC">
        <w:rPr>
          <w:b/>
          <w:bCs/>
          <w:i/>
          <w:iCs/>
        </w:rPr>
        <w:t>final instalment period</w:t>
      </w:r>
      <w:r w:rsidR="00760512" w:rsidRPr="00CF71BC">
        <w:t>)</w:t>
      </w:r>
      <w:r w:rsidR="00EA42B2" w:rsidRPr="00CF71BC">
        <w:t>. The removal of this limitation allow</w:t>
      </w:r>
      <w:r w:rsidR="00760512" w:rsidRPr="00CF71BC">
        <w:t>s</w:t>
      </w:r>
      <w:r w:rsidR="00EA42B2" w:rsidRPr="00CF71BC">
        <w:t xml:space="preserve"> the Secretary to make a subsection 11(1) determination in a broader range of circumstances. </w:t>
      </w:r>
    </w:p>
    <w:p w14:paraId="14300352" w14:textId="67A0361E" w:rsidR="003733D9" w:rsidRPr="00CF71BC" w:rsidRDefault="0084119E" w:rsidP="00BF7CAF">
      <w:pPr>
        <w:pStyle w:val="ListParagraph"/>
        <w:numPr>
          <w:ilvl w:val="0"/>
          <w:numId w:val="21"/>
        </w:numPr>
        <w:spacing w:before="120"/>
        <w:contextualSpacing w:val="0"/>
      </w:pPr>
      <w:r w:rsidRPr="00CF71BC">
        <w:t xml:space="preserve">Item 8 of Schedule 1 to the </w:t>
      </w:r>
      <w:r w:rsidR="00AE2082">
        <w:t>Amendment Instrument</w:t>
      </w:r>
      <w:r w:rsidR="00BE3C8E" w:rsidRPr="00CF71BC">
        <w:t xml:space="preserve"> </w:t>
      </w:r>
      <w:r w:rsidR="003733D9" w:rsidRPr="00CF71BC">
        <w:t xml:space="preserve">repeals and replaces </w:t>
      </w:r>
      <w:r w:rsidR="00EA42B2" w:rsidRPr="00CF71BC">
        <w:t>rule 11 to reflect th</w:t>
      </w:r>
      <w:r w:rsidR="003733D9" w:rsidRPr="00CF71BC">
        <w:t>e broader operation of section 11 of the Act.</w:t>
      </w:r>
      <w:r w:rsidR="00536317" w:rsidRPr="00CF71BC">
        <w:t xml:space="preserve"> </w:t>
      </w:r>
      <w:r w:rsidR="0080603B">
        <w:t>Paragraph</w:t>
      </w:r>
      <w:r w:rsidR="0080603B" w:rsidRPr="00CF71BC" w:rsidDel="0080603B">
        <w:t xml:space="preserve"> </w:t>
      </w:r>
      <w:r w:rsidR="003733D9" w:rsidRPr="00CF71BC">
        <w:t xml:space="preserve">(a) </w:t>
      </w:r>
      <w:r w:rsidR="0080603B">
        <w:t xml:space="preserve">of rule 11 </w:t>
      </w:r>
      <w:r w:rsidR="003733D9" w:rsidRPr="00CF71BC">
        <w:t xml:space="preserve">had provided for the Secretary to make a determination that </w:t>
      </w:r>
      <w:r w:rsidR="0080603B">
        <w:t>trade support loan</w:t>
      </w:r>
      <w:r w:rsidR="003733D9" w:rsidRPr="00CF71BC">
        <w:t xml:space="preserve"> is payable where, </w:t>
      </w:r>
      <w:r w:rsidR="003733D9" w:rsidRPr="003733D9">
        <w:t>before the end of the final instalment period specified in a determination made for the person under section 16 of the Act, the person ha</w:t>
      </w:r>
      <w:r w:rsidR="003733D9" w:rsidRPr="00CF71BC">
        <w:t>d</w:t>
      </w:r>
      <w:r w:rsidR="003733D9" w:rsidRPr="003733D9">
        <w:t xml:space="preserve"> notified the Secretary of a change of circumstances which would affect </w:t>
      </w:r>
      <w:proofErr w:type="spellStart"/>
      <w:r w:rsidR="003733D9" w:rsidRPr="003733D9">
        <w:t>payability</w:t>
      </w:r>
      <w:proofErr w:type="spellEnd"/>
      <w:r w:rsidR="003733D9" w:rsidRPr="003733D9">
        <w:t xml:space="preserve"> of </w:t>
      </w:r>
      <w:r w:rsidR="0080603B">
        <w:t>trade support loan</w:t>
      </w:r>
      <w:r w:rsidR="003733D9" w:rsidRPr="003733D9">
        <w:t xml:space="preserve">, but payments of </w:t>
      </w:r>
      <w:r w:rsidR="0080603B">
        <w:t>trade support loan</w:t>
      </w:r>
      <w:r w:rsidR="00756651">
        <w:t xml:space="preserve"> </w:t>
      </w:r>
      <w:r w:rsidR="003733D9" w:rsidRPr="003733D9">
        <w:t>continued to be made to the person for that perio</w:t>
      </w:r>
      <w:r w:rsidR="003733D9" w:rsidRPr="00CF71BC">
        <w:t xml:space="preserve">d. New paragraph 11(1)(a) </w:t>
      </w:r>
      <w:r w:rsidR="00112F58">
        <w:t xml:space="preserve">largely mirrors former paragraph 11(a) but </w:t>
      </w:r>
      <w:r w:rsidR="0080603B">
        <w:t>does not use the term ‘</w:t>
      </w:r>
      <w:r w:rsidR="0080603B" w:rsidRPr="00FE4748">
        <w:t>final instalment</w:t>
      </w:r>
      <w:r w:rsidR="0080603B">
        <w:t xml:space="preserve"> period’ which is no longer used in section 11 of the Act</w:t>
      </w:r>
      <w:r w:rsidR="00760512" w:rsidRPr="00CF71BC">
        <w:t xml:space="preserve">. </w:t>
      </w:r>
    </w:p>
    <w:p w14:paraId="527F750D" w14:textId="29785855" w:rsidR="00EA42B2" w:rsidRPr="00CF71BC" w:rsidRDefault="00EA42B2" w:rsidP="00BF7CAF">
      <w:pPr>
        <w:pStyle w:val="ListParagraph"/>
        <w:numPr>
          <w:ilvl w:val="0"/>
          <w:numId w:val="21"/>
        </w:numPr>
        <w:spacing w:before="120"/>
        <w:contextualSpacing w:val="0"/>
      </w:pPr>
      <w:r w:rsidRPr="00CF71BC">
        <w:lastRenderedPageBreak/>
        <w:t>New rule</w:t>
      </w:r>
      <w:r w:rsidR="00536317" w:rsidRPr="00CF71BC">
        <w:t xml:space="preserve"> 11</w:t>
      </w:r>
      <w:r w:rsidRPr="00CF71BC">
        <w:t xml:space="preserve"> does not retain paragraph (b) of </w:t>
      </w:r>
      <w:r w:rsidR="00757644">
        <w:t>the</w:t>
      </w:r>
      <w:r w:rsidR="00536317" w:rsidRPr="00CF71BC">
        <w:t xml:space="preserve"> former</w:t>
      </w:r>
      <w:r w:rsidRPr="00CF71BC">
        <w:t xml:space="preserve"> rule, which provided for the Secretary to make a determination </w:t>
      </w:r>
      <w:r w:rsidR="00536317" w:rsidRPr="00CF71BC">
        <w:t>where a person</w:t>
      </w:r>
      <w:r w:rsidRPr="00CF71BC">
        <w:t xml:space="preserve"> </w:t>
      </w:r>
      <w:r w:rsidRPr="00EA42B2">
        <w:t xml:space="preserve">has successfully completed a qualifying </w:t>
      </w:r>
      <w:proofErr w:type="gramStart"/>
      <w:r w:rsidRPr="00EA42B2">
        <w:t>apprenticeship</w:t>
      </w:r>
      <w:proofErr w:type="gramEnd"/>
      <w:r w:rsidRPr="00EA42B2">
        <w:t xml:space="preserve"> but the Secretary has not received notice from the designated State/Territory training authority, or from the person, of this completion. </w:t>
      </w:r>
      <w:r w:rsidRPr="00CF71BC">
        <w:t xml:space="preserve">It is not necessary to prescribe these circumstances, as </w:t>
      </w:r>
      <w:r w:rsidR="00371D73">
        <w:t>sub</w:t>
      </w:r>
      <w:r w:rsidRPr="00CF71BC">
        <w:t xml:space="preserve">paragraph 8(a)(iii) of the TSL </w:t>
      </w:r>
      <w:r w:rsidR="007F78D4">
        <w:t>R</w:t>
      </w:r>
      <w:r w:rsidRPr="00CF71BC">
        <w:t xml:space="preserve">ules </w:t>
      </w:r>
      <w:r w:rsidR="003733D9" w:rsidRPr="00CF71BC">
        <w:t xml:space="preserve">separately </w:t>
      </w:r>
      <w:r w:rsidRPr="00CF71BC">
        <w:t>provides that for the purposes of subsection 8(3) of the Act, a person is taken to be undertaking a qualifying apprenticeship until notice of successful completion of the apprenticeship has been received by the Secretary from State Training Authority.</w:t>
      </w:r>
    </w:p>
    <w:p w14:paraId="7288F75C" w14:textId="3AAEDA8A" w:rsidR="00536317" w:rsidRDefault="00536317" w:rsidP="00BF7CAF">
      <w:pPr>
        <w:pStyle w:val="ListParagraph"/>
        <w:numPr>
          <w:ilvl w:val="0"/>
          <w:numId w:val="21"/>
        </w:numPr>
        <w:spacing w:before="120"/>
        <w:contextualSpacing w:val="0"/>
      </w:pPr>
      <w:r w:rsidRPr="00CF71BC">
        <w:t>New paragraph (b) of rule 11 is included for the avoidance of doubt and provides that rule 11 does not prevent the Secretary from determining that subsection 11(1) of the Act applies to a person in other circumstances.</w:t>
      </w:r>
    </w:p>
    <w:p w14:paraId="6102A49E" w14:textId="77777777" w:rsidR="00A15C90" w:rsidRPr="00CF71BC" w:rsidRDefault="00A15C90" w:rsidP="00FE4748">
      <w:pPr>
        <w:pStyle w:val="ListParagraph"/>
      </w:pPr>
    </w:p>
    <w:p w14:paraId="6DFBCEEB" w14:textId="24FA65A6" w:rsidR="00A076CA" w:rsidRPr="00CF71BC" w:rsidRDefault="00CF7D3A" w:rsidP="00FE4748">
      <w:pPr>
        <w:keepNext/>
        <w:spacing w:after="200" w:line="276" w:lineRule="auto"/>
        <w:rPr>
          <w:b/>
          <w:bCs/>
        </w:rPr>
      </w:pPr>
      <w:r w:rsidRPr="00CF71BC">
        <w:rPr>
          <w:b/>
          <w:bCs/>
        </w:rPr>
        <w:t xml:space="preserve">Item </w:t>
      </w:r>
      <w:r w:rsidR="00610E1E" w:rsidRPr="00CF71BC">
        <w:rPr>
          <w:b/>
          <w:bCs/>
        </w:rPr>
        <w:t>9</w:t>
      </w:r>
    </w:p>
    <w:p w14:paraId="53024BE6" w14:textId="5F884736" w:rsidR="0027788D" w:rsidRPr="00CF71BC" w:rsidRDefault="0027788D" w:rsidP="00CD0957">
      <w:pPr>
        <w:pStyle w:val="ListParagraph"/>
        <w:numPr>
          <w:ilvl w:val="0"/>
          <w:numId w:val="21"/>
        </w:numPr>
        <w:spacing w:before="120"/>
        <w:contextualSpacing w:val="0"/>
      </w:pPr>
      <w:r w:rsidRPr="00CF71BC">
        <w:t>Subsection 13(2) of the Act provides that a person’s application for trade support loan must be ‘in a form approved by the Secretary’ (</w:t>
      </w:r>
      <w:r w:rsidR="00466619">
        <w:t xml:space="preserve">s </w:t>
      </w:r>
      <w:r w:rsidRPr="00CF71BC">
        <w:t>13(2)(a)) and ‘lodged in a manner prescribed by the rules’ (</w:t>
      </w:r>
      <w:r w:rsidR="00466619">
        <w:t xml:space="preserve">s </w:t>
      </w:r>
      <w:r w:rsidRPr="00CF71BC">
        <w:t xml:space="preserve">13(2)(b)). </w:t>
      </w:r>
    </w:p>
    <w:p w14:paraId="0163EE4E" w14:textId="39AD2AC2" w:rsidR="005B4809" w:rsidRPr="00CF71BC" w:rsidRDefault="00CF7D3A" w:rsidP="00CD0957">
      <w:pPr>
        <w:pStyle w:val="ListParagraph"/>
        <w:numPr>
          <w:ilvl w:val="0"/>
          <w:numId w:val="21"/>
        </w:numPr>
        <w:spacing w:before="120"/>
        <w:contextualSpacing w:val="0"/>
      </w:pPr>
      <w:r w:rsidRPr="00CF71BC">
        <w:t>T</w:t>
      </w:r>
      <w:r w:rsidR="0027788D" w:rsidRPr="00CF71BC">
        <w:t xml:space="preserve">wo types of application form </w:t>
      </w:r>
      <w:r w:rsidRPr="00CF71BC">
        <w:t xml:space="preserve">have been </w:t>
      </w:r>
      <w:r w:rsidR="0027788D" w:rsidRPr="00CF71BC">
        <w:t xml:space="preserve">approved by the Secretary </w:t>
      </w:r>
      <w:r w:rsidRPr="00CF71BC">
        <w:t>– the application form (Form 1289) and the opt-in form (Form 1290). Rule</w:t>
      </w:r>
      <w:r w:rsidR="00112F58">
        <w:t xml:space="preserve"> 12</w:t>
      </w:r>
      <w:r w:rsidRPr="00CF71BC">
        <w:t xml:space="preserve"> prescribes the </w:t>
      </w:r>
      <w:proofErr w:type="gramStart"/>
      <w:r w:rsidRPr="00CF71BC">
        <w:t>manner in which</w:t>
      </w:r>
      <w:proofErr w:type="gramEnd"/>
      <w:r w:rsidRPr="00CF71BC">
        <w:t xml:space="preserve"> each of these forms may be lodged.</w:t>
      </w:r>
    </w:p>
    <w:p w14:paraId="7C82357C" w14:textId="434E32BD" w:rsidR="005C3B3E" w:rsidRDefault="00610E1E" w:rsidP="00CD0957">
      <w:pPr>
        <w:pStyle w:val="ListParagraph"/>
        <w:numPr>
          <w:ilvl w:val="0"/>
          <w:numId w:val="21"/>
        </w:numPr>
        <w:spacing w:before="120"/>
        <w:contextualSpacing w:val="0"/>
      </w:pPr>
      <w:r w:rsidRPr="00CF71BC">
        <w:t>Item</w:t>
      </w:r>
      <w:r w:rsidR="00CF7D3A" w:rsidRPr="00CF71BC">
        <w:t xml:space="preserve"> </w:t>
      </w:r>
      <w:r w:rsidRPr="00CF71BC">
        <w:t>9</w:t>
      </w:r>
      <w:r w:rsidR="00CF7D3A" w:rsidRPr="00CF71BC">
        <w:t xml:space="preserve"> of</w:t>
      </w:r>
      <w:r w:rsidRPr="00CF71BC">
        <w:t xml:space="preserve"> Schedule 1 to</w:t>
      </w:r>
      <w:r w:rsidR="00CF7D3A" w:rsidRPr="00CF71BC">
        <w:t xml:space="preserve"> the </w:t>
      </w:r>
      <w:r w:rsidR="00AE2082">
        <w:t>Amendment Instrument</w:t>
      </w:r>
      <w:r w:rsidR="00CF7D3A" w:rsidRPr="00CF71BC">
        <w:t xml:space="preserve"> repeals rule 12 and substitutes it with a new rule 12, which does not refer to the two types of application form by name. The new rule 12 instead describes the </w:t>
      </w:r>
      <w:proofErr w:type="gramStart"/>
      <w:r w:rsidR="00CF7D3A" w:rsidRPr="00CF71BC">
        <w:t>particular circumstances</w:t>
      </w:r>
      <w:proofErr w:type="gramEnd"/>
      <w:r w:rsidR="00CF7D3A" w:rsidRPr="00CF71BC">
        <w:t xml:space="preserve"> in which those two forms are used.</w:t>
      </w:r>
      <w:r w:rsidR="00112F58">
        <w:t xml:space="preserve"> </w:t>
      </w:r>
      <w:r w:rsidR="00CF7D3A" w:rsidRPr="00CF71BC">
        <w:t xml:space="preserve">Prescribing the approved means of lodgement by reference to circumstances, rather than the name of the application forms, provides greater clarity. </w:t>
      </w:r>
      <w:r w:rsidR="002B502D">
        <w:t>The</w:t>
      </w:r>
      <w:r w:rsidR="00377888">
        <w:t xml:space="preserve"> </w:t>
      </w:r>
      <w:r w:rsidR="005F3649">
        <w:t xml:space="preserve">new rule 12 prescribes </w:t>
      </w:r>
      <w:r w:rsidR="002B502D">
        <w:t xml:space="preserve">additional </w:t>
      </w:r>
      <w:proofErr w:type="gramStart"/>
      <w:r w:rsidR="002B502D">
        <w:t>manner in which</w:t>
      </w:r>
      <w:proofErr w:type="gramEnd"/>
      <w:r w:rsidR="002B502D">
        <w:t xml:space="preserve"> a person may </w:t>
      </w:r>
      <w:r w:rsidR="00690EFA">
        <w:t>make an application for trade support loan</w:t>
      </w:r>
      <w:r w:rsidR="00684BD7">
        <w:t xml:space="preserve">. </w:t>
      </w:r>
      <w:r w:rsidR="00C35E55">
        <w:t xml:space="preserve">A person has the </w:t>
      </w:r>
      <w:r w:rsidR="00684BD7">
        <w:t xml:space="preserve">option to lodge a new application </w:t>
      </w:r>
      <w:r w:rsidR="00334C6C">
        <w:t xml:space="preserve">in person, by mail, </w:t>
      </w:r>
      <w:r w:rsidR="00684BD7">
        <w:t>by email</w:t>
      </w:r>
      <w:r w:rsidR="00556CE6">
        <w:t>,</w:t>
      </w:r>
      <w:r w:rsidR="00F41C0C">
        <w:t xml:space="preserve"> or electronically through a website or software program made available by the Department for that purpose. </w:t>
      </w:r>
      <w:r w:rsidR="00B922F6">
        <w:t>The electronic lodgement through a website or a software program</w:t>
      </w:r>
      <w:r w:rsidR="00AE2AAA">
        <w:t xml:space="preserve"> contemplated</w:t>
      </w:r>
      <w:r w:rsidR="00B922F6">
        <w:t xml:space="preserve"> </w:t>
      </w:r>
      <w:r w:rsidR="00FD69EA">
        <w:t>under rule 12(a)(iv)</w:t>
      </w:r>
      <w:r w:rsidR="00566783">
        <w:t xml:space="preserve"> is expected to be made available by the Department in 2023.</w:t>
      </w:r>
    </w:p>
    <w:p w14:paraId="66F5A721" w14:textId="763CE724" w:rsidR="00466619" w:rsidRDefault="00112F58" w:rsidP="00CD0957">
      <w:pPr>
        <w:pStyle w:val="ListParagraph"/>
        <w:numPr>
          <w:ilvl w:val="0"/>
          <w:numId w:val="21"/>
        </w:numPr>
        <w:spacing w:before="120"/>
        <w:contextualSpacing w:val="0"/>
      </w:pPr>
      <w:r w:rsidRPr="00466619">
        <w:t>Where a person is undertaking a qualifying apprenticeship in respect of which the Secretary has previously grant</w:t>
      </w:r>
      <w:r w:rsidR="00466619">
        <w:t xml:space="preserve">ed </w:t>
      </w:r>
      <w:r w:rsidRPr="00466619">
        <w:t>an application by the person for trade support loan, and they are continuing th</w:t>
      </w:r>
      <w:r w:rsidR="00466619" w:rsidRPr="00466619">
        <w:t>e</w:t>
      </w:r>
      <w:r w:rsidR="00466619">
        <w:t>ir apprenticeship under the same training contract</w:t>
      </w:r>
      <w:r w:rsidR="00466619" w:rsidRPr="00466619">
        <w:t xml:space="preserve">, new rule 12 </w:t>
      </w:r>
      <w:r w:rsidR="00466619">
        <w:t xml:space="preserve">prescribes </w:t>
      </w:r>
      <w:r w:rsidR="00466619" w:rsidRPr="00466619">
        <w:t xml:space="preserve">an additional </w:t>
      </w:r>
      <w:proofErr w:type="gramStart"/>
      <w:r w:rsidR="00466619">
        <w:t>manner in which</w:t>
      </w:r>
      <w:proofErr w:type="gramEnd"/>
      <w:r w:rsidR="00466619">
        <w:t xml:space="preserve"> they may </w:t>
      </w:r>
      <w:r w:rsidR="00F54A22">
        <w:t>lodge</w:t>
      </w:r>
      <w:r w:rsidR="00466619">
        <w:t xml:space="preserve"> their application </w:t>
      </w:r>
      <w:r w:rsidR="00466619" w:rsidRPr="00466619">
        <w:t>for</w:t>
      </w:r>
      <w:r w:rsidR="00466619">
        <w:t xml:space="preserve"> a</w:t>
      </w:r>
      <w:r w:rsidR="00466619" w:rsidRPr="00466619">
        <w:t xml:space="preserve"> subsequent instalment period. </w:t>
      </w:r>
      <w:r w:rsidR="00371D73">
        <w:t xml:space="preserve">The option to lodge a subsequent application via fax has been removed as applicants have shown a clear preference for other lodgement channels. </w:t>
      </w:r>
      <w:r w:rsidR="00466619" w:rsidRPr="00466619">
        <w:t xml:space="preserve">The person may now also submit their form </w:t>
      </w:r>
      <w:r w:rsidR="00BB36D1">
        <w:t xml:space="preserve">electronically </w:t>
      </w:r>
      <w:r w:rsidR="00466619" w:rsidRPr="00466619">
        <w:t>through a</w:t>
      </w:r>
      <w:r w:rsidR="00BB36D1">
        <w:t xml:space="preserve"> website or application </w:t>
      </w:r>
      <w:r w:rsidR="00466619" w:rsidRPr="00466619">
        <w:t>made available by the Department</w:t>
      </w:r>
      <w:r w:rsidR="00466619">
        <w:t xml:space="preserve"> administering the Act (r 12(b)(vi))</w:t>
      </w:r>
      <w:r w:rsidR="00466619" w:rsidRPr="00466619">
        <w:t xml:space="preserve">. </w:t>
      </w:r>
    </w:p>
    <w:p w14:paraId="6074958A" w14:textId="77777777" w:rsidR="00A15C90" w:rsidRPr="00466619" w:rsidRDefault="00A15C90" w:rsidP="00FE4748">
      <w:pPr>
        <w:pStyle w:val="ListParagraph"/>
      </w:pPr>
    </w:p>
    <w:p w14:paraId="560BF32F" w14:textId="7E3372F1" w:rsidR="00A076CA" w:rsidRPr="00CF71BC" w:rsidRDefault="00E71C53" w:rsidP="00E71C53">
      <w:pPr>
        <w:spacing w:after="200" w:line="276" w:lineRule="auto"/>
        <w:rPr>
          <w:b/>
          <w:bCs/>
        </w:rPr>
      </w:pPr>
      <w:r w:rsidRPr="00CF71BC">
        <w:rPr>
          <w:b/>
          <w:bCs/>
        </w:rPr>
        <w:t xml:space="preserve">Item </w:t>
      </w:r>
      <w:r w:rsidR="00466619">
        <w:rPr>
          <w:b/>
          <w:bCs/>
        </w:rPr>
        <w:t>10</w:t>
      </w:r>
      <w:r w:rsidR="00A076CA" w:rsidRPr="00CF71BC">
        <w:rPr>
          <w:b/>
          <w:bCs/>
        </w:rPr>
        <w:t xml:space="preserve"> </w:t>
      </w:r>
    </w:p>
    <w:p w14:paraId="0B5A23D0" w14:textId="4395F996" w:rsidR="00C94042" w:rsidRPr="00CF71BC" w:rsidRDefault="00C94042" w:rsidP="00CD0957">
      <w:pPr>
        <w:pStyle w:val="ListParagraph"/>
        <w:numPr>
          <w:ilvl w:val="0"/>
          <w:numId w:val="21"/>
        </w:numPr>
        <w:spacing w:before="120"/>
        <w:contextualSpacing w:val="0"/>
      </w:pPr>
      <w:r w:rsidRPr="00CF71BC">
        <w:t xml:space="preserve">Subsection 8(3) </w:t>
      </w:r>
      <w:r w:rsidR="00761CF2" w:rsidRPr="00CF71BC">
        <w:t xml:space="preserve">of the Act provides </w:t>
      </w:r>
      <w:r w:rsidR="00E71C53" w:rsidRPr="00CF71BC">
        <w:t>that t</w:t>
      </w:r>
      <w:r w:rsidR="00761CF2" w:rsidRPr="00CF71BC">
        <w:t>he rules may prescribe circumstances in which a person is, or is not, taken to be undertaking a qualifying apprenticeship. Pursuant to subsection 8(3), r</w:t>
      </w:r>
      <w:r w:rsidRPr="00CF71BC">
        <w:t>ule 7 of the TSL Rules provides that where a person is undertaking a qualification in the horticulture sector, as prescribed in the TSL Priority List, the person must also be working in a rural or regional area.</w:t>
      </w:r>
    </w:p>
    <w:p w14:paraId="4AFA060E" w14:textId="49C95B02" w:rsidR="00610E1E" w:rsidRPr="00CF71BC" w:rsidRDefault="00761CF2" w:rsidP="00CD0957">
      <w:pPr>
        <w:pStyle w:val="ListParagraph"/>
        <w:numPr>
          <w:ilvl w:val="0"/>
          <w:numId w:val="21"/>
        </w:numPr>
        <w:spacing w:before="120"/>
        <w:contextualSpacing w:val="0"/>
      </w:pPr>
      <w:r w:rsidRPr="00CF71BC">
        <w:lastRenderedPageBreak/>
        <w:t xml:space="preserve">Rule 4 defines ‘rural or regional area’ </w:t>
      </w:r>
      <w:r w:rsidR="00610E1E" w:rsidRPr="00CF71BC">
        <w:t xml:space="preserve">by reference to the postcodes listed in Schedule 1 to the TSL Rules. Item </w:t>
      </w:r>
      <w:r w:rsidR="00A21AB6">
        <w:t>10</w:t>
      </w:r>
      <w:r w:rsidR="00610E1E" w:rsidRPr="00CF71BC">
        <w:t xml:space="preserve"> </w:t>
      </w:r>
      <w:r w:rsidR="00E71C53" w:rsidRPr="00CF71BC">
        <w:t xml:space="preserve">of </w:t>
      </w:r>
      <w:r w:rsidR="00610E1E" w:rsidRPr="00CF71BC">
        <w:t xml:space="preserve">Schedule 1 to the </w:t>
      </w:r>
      <w:r w:rsidR="00AE2082">
        <w:t>Amendment Instrument</w:t>
      </w:r>
      <w:r w:rsidR="00610E1E" w:rsidRPr="00CF71BC">
        <w:t xml:space="preserve"> </w:t>
      </w:r>
      <w:r w:rsidR="00E71C53" w:rsidRPr="00CF71BC">
        <w:t xml:space="preserve">repeals and replaces </w:t>
      </w:r>
      <w:r w:rsidR="00610E1E" w:rsidRPr="00CF71BC">
        <w:t xml:space="preserve">Schedule 1 to the TSL Rules </w:t>
      </w:r>
      <w:r w:rsidR="00E71C53" w:rsidRPr="00CF71BC">
        <w:t xml:space="preserve">with a </w:t>
      </w:r>
      <w:r w:rsidR="00610E1E" w:rsidRPr="00CF71BC">
        <w:t>new Schedule</w:t>
      </w:r>
      <w:r w:rsidR="00E71C53" w:rsidRPr="00CF71BC">
        <w:t xml:space="preserve">. The new Schedule </w:t>
      </w:r>
      <w:r w:rsidR="00466619">
        <w:t xml:space="preserve">contains </w:t>
      </w:r>
      <w:r w:rsidR="00610E1E" w:rsidRPr="00CF71BC">
        <w:t xml:space="preserve">an updated list that </w:t>
      </w:r>
      <w:r w:rsidR="00466619">
        <w:t>includes</w:t>
      </w:r>
      <w:r w:rsidR="00610E1E" w:rsidRPr="00CF71BC">
        <w:t xml:space="preserve"> additional regional and rural postcodes</w:t>
      </w:r>
      <w:r w:rsidR="00E71C53" w:rsidRPr="00CF71BC">
        <w:t xml:space="preserve"> and corrects other editorial issues, such as duplicate postcodes.</w:t>
      </w:r>
      <w:r w:rsidR="00610E1E" w:rsidRPr="00CF71BC">
        <w:t xml:space="preserve"> </w:t>
      </w:r>
    </w:p>
    <w:p w14:paraId="2D4589D2" w14:textId="77777777" w:rsidR="00A076CA" w:rsidRPr="00CF71BC" w:rsidRDefault="00A076CA">
      <w:pPr>
        <w:spacing w:after="200" w:line="276" w:lineRule="auto"/>
        <w:rPr>
          <w:b/>
          <w:bCs/>
          <w:sz w:val="28"/>
          <w:szCs w:val="28"/>
        </w:rPr>
      </w:pPr>
      <w:r w:rsidRPr="00CF71BC">
        <w:rPr>
          <w:b/>
          <w:bCs/>
          <w:sz w:val="28"/>
          <w:szCs w:val="28"/>
        </w:rPr>
        <w:br w:type="page"/>
      </w:r>
    </w:p>
    <w:p w14:paraId="097EEF28" w14:textId="59BFC716" w:rsidR="00D60B64" w:rsidRPr="00CF71BC" w:rsidRDefault="00D60B64" w:rsidP="00D60B64">
      <w:pPr>
        <w:spacing w:before="100" w:beforeAutospacing="1" w:after="120"/>
        <w:jc w:val="center"/>
      </w:pPr>
      <w:r w:rsidRPr="00CF71BC">
        <w:rPr>
          <w:b/>
          <w:bCs/>
          <w:sz w:val="28"/>
          <w:szCs w:val="28"/>
        </w:rPr>
        <w:lastRenderedPageBreak/>
        <w:t>Statement of Compatibility with Human Rights</w:t>
      </w:r>
    </w:p>
    <w:p w14:paraId="32FBD3ED" w14:textId="77777777" w:rsidR="00D60B64" w:rsidRPr="00CF71BC" w:rsidRDefault="00D60B64" w:rsidP="00D60B64">
      <w:pPr>
        <w:spacing w:before="100" w:beforeAutospacing="1" w:after="100" w:afterAutospacing="1"/>
        <w:jc w:val="center"/>
      </w:pPr>
      <w:r w:rsidRPr="00CF71BC">
        <w:rPr>
          <w:i/>
          <w:iCs/>
        </w:rPr>
        <w:t>Prepared in accordance with Part 3 of the Human Rights (Parliamentary Scrutiny) Act 2011</w:t>
      </w:r>
    </w:p>
    <w:p w14:paraId="2AF069AF" w14:textId="4CB5448D" w:rsidR="00F5325D" w:rsidRPr="00CF71BC" w:rsidRDefault="00C54AD3" w:rsidP="004C1C53">
      <w:pPr>
        <w:jc w:val="both"/>
      </w:pPr>
      <w:r w:rsidRPr="00CF71BC">
        <w:t xml:space="preserve">The </w:t>
      </w:r>
      <w:r w:rsidR="00F5325D" w:rsidRPr="00CF71BC">
        <w:rPr>
          <w:i/>
          <w:iCs/>
        </w:rPr>
        <w:t>Trade Support Loans L</w:t>
      </w:r>
      <w:r w:rsidRPr="00CF71BC">
        <w:rPr>
          <w:i/>
          <w:iCs/>
        </w:rPr>
        <w:t xml:space="preserve">egislation </w:t>
      </w:r>
      <w:r w:rsidR="00F5325D" w:rsidRPr="00CF71BC">
        <w:rPr>
          <w:i/>
          <w:iCs/>
        </w:rPr>
        <w:t>Amendment Instrument 202</w:t>
      </w:r>
      <w:r w:rsidR="00A21AB6">
        <w:rPr>
          <w:i/>
          <w:iCs/>
        </w:rPr>
        <w:t>1</w:t>
      </w:r>
      <w:r w:rsidRPr="00CF71BC">
        <w:rPr>
          <w:i/>
          <w:iCs/>
        </w:rPr>
        <w:t xml:space="preserve"> </w:t>
      </w:r>
      <w:r w:rsidR="00F5325D" w:rsidRPr="00CF71BC">
        <w:t xml:space="preserve">(the </w:t>
      </w:r>
      <w:r w:rsidR="00AE2082">
        <w:t>Amendment Instrument</w:t>
      </w:r>
      <w:r w:rsidR="00F5325D" w:rsidRPr="00CF71BC">
        <w:t xml:space="preserve">) is compatible with the human rights and freedoms recognised or declared in the international instruments listed in section 3 of the </w:t>
      </w:r>
      <w:r w:rsidR="00F5325D" w:rsidRPr="00CF71BC">
        <w:rPr>
          <w:i/>
        </w:rPr>
        <w:t>Human Rights (Parliamentary Scrutiny) Act 2011</w:t>
      </w:r>
      <w:r w:rsidR="00F5325D" w:rsidRPr="00CF71BC">
        <w:t>.</w:t>
      </w:r>
    </w:p>
    <w:p w14:paraId="28A5C52D" w14:textId="77777777" w:rsidR="00F5325D" w:rsidRPr="00CF71BC" w:rsidRDefault="00F5325D" w:rsidP="004C1C53">
      <w:pPr>
        <w:jc w:val="both"/>
        <w:rPr>
          <w:b/>
        </w:rPr>
      </w:pPr>
    </w:p>
    <w:p w14:paraId="079D6D8C" w14:textId="3F75E382" w:rsidR="004C1C53" w:rsidRPr="00CF71BC" w:rsidRDefault="004C1C53" w:rsidP="004C1C53">
      <w:pPr>
        <w:jc w:val="both"/>
        <w:rPr>
          <w:b/>
        </w:rPr>
      </w:pPr>
      <w:r w:rsidRPr="00CF71BC">
        <w:rPr>
          <w:b/>
        </w:rPr>
        <w:t>Overview of the Legislative Instrument</w:t>
      </w:r>
    </w:p>
    <w:p w14:paraId="3D80416B" w14:textId="1566083C" w:rsidR="004C1C53" w:rsidRPr="00CF71BC" w:rsidRDefault="004C1C53" w:rsidP="004C1C53">
      <w:pPr>
        <w:jc w:val="both"/>
      </w:pPr>
    </w:p>
    <w:p w14:paraId="16202639" w14:textId="43767A11" w:rsidR="00DE5452" w:rsidRPr="006D00D6" w:rsidRDefault="00DE5452" w:rsidP="00DE5452">
      <w:pPr>
        <w:spacing w:after="240"/>
      </w:pPr>
      <w:r w:rsidRPr="006D00D6">
        <w:t xml:space="preserve">The Amendment Instrument is made under sections 105 and 106 of the </w:t>
      </w:r>
      <w:r w:rsidRPr="006D00D6">
        <w:rPr>
          <w:i/>
          <w:iCs/>
        </w:rPr>
        <w:t>Trade Support Loans Act 2014</w:t>
      </w:r>
      <w:r w:rsidRPr="006D00D6">
        <w:t xml:space="preserve"> (the Act).</w:t>
      </w:r>
    </w:p>
    <w:p w14:paraId="6A671911" w14:textId="77777777" w:rsidR="00DE5452" w:rsidRPr="006D00D6" w:rsidRDefault="00DE5452" w:rsidP="00DE5452">
      <w:pPr>
        <w:spacing w:after="240"/>
      </w:pPr>
      <w:r w:rsidRPr="006D00D6">
        <w:t>Section 105 of the Act requires the Minister to establish and maintain the TSL Priority List, which specifies either (or both) the occupations and the qualifications for which, in the opinion of the Minister, skilled persons are a priority.</w:t>
      </w:r>
    </w:p>
    <w:p w14:paraId="1039A281" w14:textId="77777777" w:rsidR="00DE5452" w:rsidRPr="006D00D6" w:rsidRDefault="00DE5452" w:rsidP="00DE5452">
      <w:pPr>
        <w:spacing w:after="240"/>
      </w:pPr>
      <w:r w:rsidRPr="006D00D6">
        <w:t>Subsection 106(1) of the Act provides that the</w:t>
      </w:r>
      <w:r w:rsidRPr="006D00D6">
        <w:rPr>
          <w:rFonts w:eastAsiaTheme="minorHAnsi"/>
          <w:color w:val="000000"/>
          <w:lang w:eastAsia="en-US"/>
        </w:rPr>
        <w:t xml:space="preserve"> Minister may, by legislative instrument, make rules prescribing matters: </w:t>
      </w:r>
    </w:p>
    <w:p w14:paraId="0E1BF5F9" w14:textId="77777777" w:rsidR="00DE5452" w:rsidRPr="006D00D6" w:rsidRDefault="00DE5452" w:rsidP="00DE5452">
      <w:pPr>
        <w:pStyle w:val="ListParagraph"/>
        <w:numPr>
          <w:ilvl w:val="0"/>
          <w:numId w:val="17"/>
        </w:numPr>
        <w:autoSpaceDE w:val="0"/>
        <w:autoSpaceDN w:val="0"/>
        <w:adjustRightInd w:val="0"/>
        <w:rPr>
          <w:rFonts w:eastAsiaTheme="minorHAnsi"/>
          <w:color w:val="000000"/>
          <w:lang w:eastAsia="en-US"/>
        </w:rPr>
      </w:pPr>
      <w:r w:rsidRPr="006D00D6">
        <w:rPr>
          <w:rFonts w:eastAsiaTheme="minorHAnsi"/>
          <w:color w:val="000000"/>
          <w:lang w:eastAsia="en-US"/>
        </w:rPr>
        <w:t xml:space="preserve">required or permitted by the Act to be prescribed by the rules; or </w:t>
      </w:r>
    </w:p>
    <w:p w14:paraId="61B81364" w14:textId="77777777" w:rsidR="00DE5452" w:rsidRPr="006D00D6" w:rsidRDefault="00DE5452" w:rsidP="00DE5452">
      <w:pPr>
        <w:pStyle w:val="ListParagraph"/>
        <w:numPr>
          <w:ilvl w:val="0"/>
          <w:numId w:val="17"/>
        </w:numPr>
        <w:spacing w:after="240"/>
      </w:pPr>
      <w:r w:rsidRPr="006D00D6">
        <w:rPr>
          <w:rFonts w:eastAsiaTheme="minorHAnsi"/>
          <w:color w:val="000000"/>
          <w:lang w:eastAsia="en-US"/>
        </w:rPr>
        <w:t>necessary or convenient to be prescribed for carrying out or giving effect to the Act.</w:t>
      </w:r>
    </w:p>
    <w:p w14:paraId="6DCCDD89" w14:textId="6113B37B" w:rsidR="00DE5452" w:rsidRPr="006D00D6" w:rsidRDefault="00DE5452" w:rsidP="00DE5452">
      <w:pPr>
        <w:spacing w:after="240"/>
        <w:rPr>
          <w:rFonts w:eastAsia="Calibri"/>
        </w:rPr>
      </w:pPr>
      <w:r w:rsidRPr="006D00D6">
        <w:t xml:space="preserve">Under subsection 33(3) of the </w:t>
      </w:r>
      <w:r w:rsidRPr="006D00D6">
        <w:rPr>
          <w:i/>
          <w:iCs/>
        </w:rPr>
        <w:t>Acts Interpretation Act 1901</w:t>
      </w:r>
      <w:r w:rsidRPr="006D00D6">
        <w:t xml:space="preserve">, where an Act confers a power to make, grant or issue any instrument of a legislative or administrative character (including rules, </w:t>
      </w:r>
      <w:proofErr w:type="gramStart"/>
      <w:r w:rsidRPr="006D00D6">
        <w:t>regulations</w:t>
      </w:r>
      <w:proofErr w:type="gramEnd"/>
      <w:r w:rsidRPr="006D00D6">
        <w:t xml:space="preserve"> or by-laws), the power shall be construed as including a power exercisable in the like manner and subject to the like conditions (if any) to repeal, rescind, revoke, amend, or vary any such instrument.</w:t>
      </w:r>
    </w:p>
    <w:p w14:paraId="4D2B28B8" w14:textId="4BD962DB" w:rsidR="00BF4FF7" w:rsidRPr="006D00D6" w:rsidRDefault="00BF4FF7" w:rsidP="00BF4FF7">
      <w:pPr>
        <w:spacing w:after="240"/>
      </w:pPr>
      <w:r w:rsidRPr="006D00D6">
        <w:t>The Act enables eligible apprentices to receive trade support loans, which are income-contingent loans, claimed on a voluntary basis. Broadly, the requirements to receive trade support loan may be met by a person who is undertaking a qualifying apprenticeship. One of the requirements for an apprenticeship to be a qualifying apprenticeship is that i</w:t>
      </w:r>
      <w:r w:rsidR="00452402">
        <w:t>t</w:t>
      </w:r>
      <w:r w:rsidRPr="006D00D6">
        <w:t xml:space="preserve"> must lead to an occupation or qualification on the TSL Priority List.</w:t>
      </w:r>
    </w:p>
    <w:p w14:paraId="1C0A2499" w14:textId="48647262" w:rsidR="00DE5452" w:rsidRPr="006D00D6" w:rsidRDefault="00DE5452" w:rsidP="00DE5452">
      <w:pPr>
        <w:spacing w:after="240"/>
      </w:pPr>
      <w:r w:rsidRPr="006D00D6">
        <w:t xml:space="preserve">The TSL Priority List specifies both the occupations and the qualifications for which, in the opinion of the Minister, skilled persons are a priority. The Amendment Instrument amends the TSL Priority List to update a reference to the </w:t>
      </w:r>
      <w:r w:rsidRPr="006D00D6">
        <w:rPr>
          <w:rFonts w:eastAsiaTheme="minorHAnsi"/>
          <w:color w:val="000000"/>
          <w:lang w:eastAsia="en-US"/>
        </w:rPr>
        <w:t xml:space="preserve">TSL Qualifications List, which is now </w:t>
      </w:r>
      <w:r w:rsidR="00FD6683" w:rsidRPr="006D00D6">
        <w:rPr>
          <w:rFonts w:eastAsiaTheme="minorHAnsi"/>
          <w:color w:val="000000"/>
          <w:lang w:eastAsia="en-US"/>
        </w:rPr>
        <w:t>published</w:t>
      </w:r>
      <w:r w:rsidRPr="006D00D6">
        <w:rPr>
          <w:rFonts w:eastAsiaTheme="minorHAnsi"/>
          <w:color w:val="000000"/>
          <w:lang w:eastAsia="en-US"/>
        </w:rPr>
        <w:t xml:space="preserve"> on a different website.</w:t>
      </w:r>
    </w:p>
    <w:p w14:paraId="4C2ACE88" w14:textId="3335A3A3" w:rsidR="00DE5452" w:rsidRPr="006D00D6" w:rsidRDefault="00DE5452" w:rsidP="00DE5452">
      <w:pPr>
        <w:spacing w:after="240"/>
      </w:pPr>
      <w:r w:rsidRPr="006D00D6">
        <w:t xml:space="preserve">The TSL Rules provide for matters relating to qualification for trade support loan, determinations granting trade support loan, </w:t>
      </w:r>
      <w:r w:rsidR="00A90793">
        <w:t xml:space="preserve">lodgement of </w:t>
      </w:r>
      <w:r w:rsidRPr="006D00D6">
        <w:t xml:space="preserve">applications and other matters. The Amendment Instrument makes </w:t>
      </w:r>
      <w:proofErr w:type="gramStart"/>
      <w:r w:rsidRPr="006D00D6">
        <w:t>a number of</w:t>
      </w:r>
      <w:proofErr w:type="gramEnd"/>
      <w:r w:rsidRPr="006D00D6">
        <w:t xml:space="preserve"> minor amendments to the TSL Rules, including:</w:t>
      </w:r>
    </w:p>
    <w:p w14:paraId="21422627" w14:textId="77777777" w:rsidR="00DE5452" w:rsidRPr="006D00D6" w:rsidRDefault="00DE5452" w:rsidP="00DE5452">
      <w:pPr>
        <w:pStyle w:val="ListParagraph"/>
        <w:numPr>
          <w:ilvl w:val="0"/>
          <w:numId w:val="19"/>
        </w:numPr>
        <w:spacing w:after="240"/>
      </w:pPr>
      <w:r w:rsidRPr="006D00D6">
        <w:t xml:space="preserve">changing the name of the TSL Rules, for consistency with the Act and TSL Priority </w:t>
      </w:r>
      <w:proofErr w:type="gramStart"/>
      <w:r w:rsidRPr="006D00D6">
        <w:t>list;</w:t>
      </w:r>
      <w:proofErr w:type="gramEnd"/>
    </w:p>
    <w:p w14:paraId="01BE6B7B"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 xml:space="preserve">updating the name of the administering </w:t>
      </w:r>
      <w:proofErr w:type="gramStart"/>
      <w:r w:rsidRPr="006D00D6">
        <w:rPr>
          <w:rFonts w:eastAsiaTheme="minorHAnsi"/>
          <w:color w:val="000000"/>
          <w:lang w:eastAsia="en-US"/>
        </w:rPr>
        <w:t>Department;</w:t>
      </w:r>
      <w:proofErr w:type="gramEnd"/>
    </w:p>
    <w:p w14:paraId="012E01D6"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 xml:space="preserve">updating references to external </w:t>
      </w:r>
      <w:proofErr w:type="gramStart"/>
      <w:r w:rsidRPr="006D00D6">
        <w:rPr>
          <w:rFonts w:eastAsiaTheme="minorHAnsi"/>
          <w:color w:val="000000"/>
          <w:lang w:eastAsia="en-US"/>
        </w:rPr>
        <w:t>instruments;</w:t>
      </w:r>
      <w:proofErr w:type="gramEnd"/>
    </w:p>
    <w:p w14:paraId="5D093267" w14:textId="5A06D3CD" w:rsidR="00DE5452" w:rsidRDefault="00DE5452" w:rsidP="00DE5452">
      <w:pPr>
        <w:pStyle w:val="ListParagraph"/>
        <w:numPr>
          <w:ilvl w:val="0"/>
          <w:numId w:val="19"/>
        </w:numPr>
        <w:spacing w:after="240"/>
      </w:pPr>
      <w:r w:rsidRPr="006D00D6">
        <w:lastRenderedPageBreak/>
        <w:t xml:space="preserve">updating the list of prescribed circumstances in which the Secretary may determine special case qualification and </w:t>
      </w:r>
      <w:proofErr w:type="spellStart"/>
      <w:r w:rsidRPr="006D00D6">
        <w:t>payability</w:t>
      </w:r>
      <w:proofErr w:type="spellEnd"/>
      <w:r w:rsidR="00947AF6">
        <w:t xml:space="preserve">, for consistency with amendments to section 11 of the </w:t>
      </w:r>
      <w:proofErr w:type="gramStart"/>
      <w:r w:rsidR="00947AF6">
        <w:t>Act</w:t>
      </w:r>
      <w:r w:rsidRPr="006D00D6">
        <w:t>;</w:t>
      </w:r>
      <w:proofErr w:type="gramEnd"/>
    </w:p>
    <w:p w14:paraId="52F8381D" w14:textId="072D0B7E" w:rsidR="00F94B77" w:rsidRPr="006D00D6" w:rsidRDefault="00F94B77" w:rsidP="00B16919">
      <w:pPr>
        <w:pStyle w:val="ListParagraph"/>
        <w:numPr>
          <w:ilvl w:val="0"/>
          <w:numId w:val="19"/>
        </w:numPr>
      </w:pPr>
      <w:r w:rsidRPr="00F664F9">
        <w:t xml:space="preserve">updating the means for new </w:t>
      </w:r>
      <w:r w:rsidR="00A76F23">
        <w:t>trade support loan</w:t>
      </w:r>
      <w:r w:rsidRPr="00F664F9">
        <w:t xml:space="preserve"> recipients to lodge an application to </w:t>
      </w:r>
      <w:r w:rsidR="00584FEC">
        <w:t>receive</w:t>
      </w:r>
      <w:r w:rsidRPr="00F664F9">
        <w:t xml:space="preserve"> </w:t>
      </w:r>
      <w:r w:rsidR="00A76F23">
        <w:t xml:space="preserve">trade support </w:t>
      </w:r>
      <w:proofErr w:type="gramStart"/>
      <w:r w:rsidR="00A76F23">
        <w:t>loan</w:t>
      </w:r>
      <w:r w:rsidRPr="00F664F9">
        <w:t>;</w:t>
      </w:r>
      <w:proofErr w:type="gramEnd"/>
    </w:p>
    <w:p w14:paraId="44DF8B14" w14:textId="661E94D9" w:rsidR="00DE5452" w:rsidRPr="006D00D6" w:rsidRDefault="00452402" w:rsidP="00DE5452">
      <w:pPr>
        <w:pStyle w:val="ListParagraph"/>
        <w:numPr>
          <w:ilvl w:val="0"/>
          <w:numId w:val="19"/>
        </w:numPr>
        <w:spacing w:after="240"/>
      </w:pPr>
      <w:r>
        <w:rPr>
          <w:rFonts w:eastAsiaTheme="minorHAnsi"/>
          <w:color w:val="000000"/>
          <w:lang w:eastAsia="en-US"/>
        </w:rPr>
        <w:t>updating the</w:t>
      </w:r>
      <w:r w:rsidR="00DE5452" w:rsidRPr="006D00D6">
        <w:rPr>
          <w:rFonts w:eastAsiaTheme="minorHAnsi"/>
          <w:color w:val="000000"/>
          <w:lang w:eastAsia="en-US"/>
        </w:rPr>
        <w:t xml:space="preserve"> means for existing trade support loan recipients to lodg</w:t>
      </w:r>
      <w:r w:rsidR="00B6384C">
        <w:rPr>
          <w:rFonts w:eastAsiaTheme="minorHAnsi"/>
          <w:color w:val="000000"/>
          <w:lang w:eastAsia="en-US"/>
        </w:rPr>
        <w:t>e</w:t>
      </w:r>
      <w:r w:rsidR="00DE5452" w:rsidRPr="006D00D6">
        <w:rPr>
          <w:rFonts w:eastAsiaTheme="minorHAnsi"/>
          <w:color w:val="000000"/>
          <w:lang w:eastAsia="en-US"/>
        </w:rPr>
        <w:t xml:space="preserve"> an application to receive </w:t>
      </w:r>
      <w:r w:rsidR="00584FEC">
        <w:rPr>
          <w:rFonts w:eastAsiaTheme="minorHAnsi"/>
          <w:color w:val="000000"/>
          <w:lang w:eastAsia="en-US"/>
        </w:rPr>
        <w:t xml:space="preserve">subsequent </w:t>
      </w:r>
      <w:r w:rsidR="00DE5452" w:rsidRPr="006D00D6">
        <w:rPr>
          <w:rFonts w:eastAsiaTheme="minorHAnsi"/>
          <w:color w:val="000000"/>
          <w:lang w:eastAsia="en-US"/>
        </w:rPr>
        <w:t xml:space="preserve">trade support </w:t>
      </w:r>
      <w:proofErr w:type="gramStart"/>
      <w:r w:rsidR="00DE5452" w:rsidRPr="006D00D6">
        <w:rPr>
          <w:rFonts w:eastAsiaTheme="minorHAnsi"/>
          <w:color w:val="000000"/>
          <w:lang w:eastAsia="en-US"/>
        </w:rPr>
        <w:t>loan;</w:t>
      </w:r>
      <w:proofErr w:type="gramEnd"/>
    </w:p>
    <w:p w14:paraId="4EE75A0D"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 xml:space="preserve">updating the list of rural and regional postcodes in Schedule 1 to the TSL </w:t>
      </w:r>
      <w:proofErr w:type="gramStart"/>
      <w:r w:rsidRPr="006D00D6">
        <w:rPr>
          <w:rFonts w:eastAsiaTheme="minorHAnsi"/>
          <w:color w:val="000000"/>
          <w:lang w:eastAsia="en-US"/>
        </w:rPr>
        <w:t>Rules;</w:t>
      </w:r>
      <w:proofErr w:type="gramEnd"/>
      <w:r w:rsidRPr="006D00D6">
        <w:rPr>
          <w:rFonts w:eastAsiaTheme="minorHAnsi"/>
          <w:color w:val="000000"/>
          <w:lang w:eastAsia="en-US"/>
        </w:rPr>
        <w:t xml:space="preserve">   </w:t>
      </w:r>
    </w:p>
    <w:p w14:paraId="1C76921F" w14:textId="77777777" w:rsidR="00DE5452" w:rsidRPr="006D00D6" w:rsidRDefault="00DE5452" w:rsidP="00DE5452">
      <w:pPr>
        <w:pStyle w:val="ListParagraph"/>
        <w:numPr>
          <w:ilvl w:val="0"/>
          <w:numId w:val="19"/>
        </w:numPr>
        <w:spacing w:after="240"/>
      </w:pPr>
      <w:r w:rsidRPr="006D00D6">
        <w:rPr>
          <w:rFonts w:eastAsiaTheme="minorHAnsi"/>
          <w:color w:val="000000"/>
          <w:lang w:eastAsia="en-US"/>
        </w:rPr>
        <w:t>other editorial changes to clarify the operation of the TSL Rules.</w:t>
      </w:r>
    </w:p>
    <w:p w14:paraId="0B7E7931" w14:textId="7939EDED" w:rsidR="00D60B64" w:rsidRDefault="00D60B64" w:rsidP="00D60B64">
      <w:pPr>
        <w:rPr>
          <w:b/>
        </w:rPr>
      </w:pPr>
      <w:r w:rsidRPr="000D2F36">
        <w:rPr>
          <w:b/>
        </w:rPr>
        <w:t>Human right implications</w:t>
      </w:r>
    </w:p>
    <w:p w14:paraId="3E699D00" w14:textId="77777777" w:rsidR="00CF71BC" w:rsidRPr="00EB64CF" w:rsidRDefault="00CF71BC" w:rsidP="00D60B64">
      <w:pPr>
        <w:rPr>
          <w:b/>
        </w:rPr>
      </w:pPr>
    </w:p>
    <w:p w14:paraId="0DFC06CC" w14:textId="6B980E84" w:rsidR="00D60B64" w:rsidRDefault="00D60B64" w:rsidP="000D2F36">
      <w:pPr>
        <w:spacing w:after="240"/>
      </w:pPr>
      <w:r w:rsidRPr="008850FB">
        <w:t xml:space="preserve">The </w:t>
      </w:r>
      <w:r w:rsidR="00AE2082">
        <w:t>Amendment Instrument</w:t>
      </w:r>
      <w:r w:rsidR="00CF71BC">
        <w:t xml:space="preserve"> </w:t>
      </w:r>
      <w:r>
        <w:t>engages</w:t>
      </w:r>
      <w:r w:rsidRPr="008850FB">
        <w:t xml:space="preserve"> the following human rights:</w:t>
      </w:r>
    </w:p>
    <w:p w14:paraId="6ECC2C1B" w14:textId="5030BDF3" w:rsidR="00D60B64" w:rsidRPr="000D2F36" w:rsidRDefault="00D60B64" w:rsidP="000D2F36">
      <w:pPr>
        <w:spacing w:after="240"/>
        <w:rPr>
          <w:i/>
          <w:iCs/>
        </w:rPr>
      </w:pPr>
      <w:r w:rsidRPr="000D2F36">
        <w:rPr>
          <w:i/>
          <w:iCs/>
        </w:rPr>
        <w:t>Right to education</w:t>
      </w:r>
      <w:r w:rsidR="00947AF6">
        <w:rPr>
          <w:i/>
          <w:iCs/>
        </w:rPr>
        <w:t xml:space="preserve"> </w:t>
      </w:r>
    </w:p>
    <w:p w14:paraId="04364AD8" w14:textId="6E8D7A8A" w:rsidR="00D60B64" w:rsidRDefault="00D53E18" w:rsidP="000D2F36">
      <w:pPr>
        <w:spacing w:after="240"/>
      </w:pPr>
      <w:r>
        <w:t>The</w:t>
      </w:r>
      <w:r w:rsidR="00F97AA2">
        <w:t xml:space="preserve"> Amendment Instrument engages the</w:t>
      </w:r>
      <w:r w:rsidR="00D60B64" w:rsidRPr="0023112D">
        <w:t xml:space="preserve"> right to education </w:t>
      </w:r>
      <w:r>
        <w:t xml:space="preserve">is </w:t>
      </w:r>
      <w:r w:rsidR="00D60B64" w:rsidRPr="0023112D">
        <w:t xml:space="preserve">contained in </w:t>
      </w:r>
      <w:r w:rsidR="00D60B64">
        <w:t>A</w:t>
      </w:r>
      <w:r w:rsidR="00D60B64" w:rsidRPr="0023112D">
        <w:t xml:space="preserve">rticle 13 of the </w:t>
      </w:r>
      <w:r w:rsidR="00D60B64" w:rsidRPr="000D2F36">
        <w:t xml:space="preserve">International Covenant on Economic, Social and Cultural Rights </w:t>
      </w:r>
      <w:r w:rsidR="00D60B64" w:rsidRPr="0023112D">
        <w:t>(</w:t>
      </w:r>
      <w:r w:rsidR="00D60B64" w:rsidRPr="000D2F36">
        <w:t>ICESCR</w:t>
      </w:r>
      <w:r w:rsidR="00D60B64" w:rsidRPr="0023112D">
        <w:t xml:space="preserve">). </w:t>
      </w:r>
    </w:p>
    <w:p w14:paraId="44DF7682" w14:textId="77777777" w:rsidR="00D60B64" w:rsidRDefault="00D60B64" w:rsidP="000D2F36">
      <w:pPr>
        <w:spacing w:after="240"/>
      </w:pPr>
      <w:proofErr w:type="gramStart"/>
      <w:r w:rsidRPr="005C5F1F">
        <w:t>In particular, Article</w:t>
      </w:r>
      <w:proofErr w:type="gramEnd"/>
      <w:r w:rsidRPr="005C5F1F">
        <w:t xml:space="preserve"> 13(2)(b) states that secondary education, including technical and vocational secondary education shall be made generally available and accessible to all by every appropriate means and in particular by the progressive introduction of free education.</w:t>
      </w:r>
    </w:p>
    <w:p w14:paraId="59A4C8DB" w14:textId="34E9B405" w:rsidR="00D60B64" w:rsidRDefault="00D60B64" w:rsidP="000D2F36">
      <w:pPr>
        <w:spacing w:after="240"/>
      </w:pPr>
      <w:r>
        <w:t xml:space="preserve">The </w:t>
      </w:r>
      <w:r w:rsidR="00947AF6">
        <w:t>Act</w:t>
      </w:r>
      <w:r w:rsidRPr="008850FB">
        <w:t xml:space="preserve"> </w:t>
      </w:r>
      <w:r w:rsidRPr="00883917">
        <w:t>promote</w:t>
      </w:r>
      <w:r w:rsidR="00947AF6">
        <w:t>s</w:t>
      </w:r>
      <w:r w:rsidRPr="00883917">
        <w:t xml:space="preserve"> an individual’s right to education by</w:t>
      </w:r>
      <w:r w:rsidRPr="008850FB">
        <w:t xml:space="preserve"> </w:t>
      </w:r>
      <w:r>
        <w:t xml:space="preserve">providing access to financial assistance, </w:t>
      </w:r>
      <w:r w:rsidR="00783206">
        <w:t xml:space="preserve">in the form of </w:t>
      </w:r>
      <w:r>
        <w:t>the loans, during an apprenticeship.</w:t>
      </w:r>
      <w:r w:rsidRPr="008850FB">
        <w:t xml:space="preserve"> The </w:t>
      </w:r>
      <w:r>
        <w:t>l</w:t>
      </w:r>
      <w:r w:rsidRPr="008850FB">
        <w:t xml:space="preserve">oans are designed to help apprentices with the everyday living expenses associated with training (technical and vocational education). </w:t>
      </w:r>
      <w:r>
        <w:t>This improve</w:t>
      </w:r>
      <w:r w:rsidR="00D53E18">
        <w:t>s</w:t>
      </w:r>
      <w:r w:rsidRPr="00883917">
        <w:t xml:space="preserve"> the accessibility of tec</w:t>
      </w:r>
      <w:r>
        <w:t>hnical and vocational education, as</w:t>
      </w:r>
      <w:r w:rsidRPr="00883917">
        <w:t xml:space="preserve"> </w:t>
      </w:r>
      <w:r>
        <w:t>i</w:t>
      </w:r>
      <w:r w:rsidRPr="00883917">
        <w:t>ndividual</w:t>
      </w:r>
      <w:r>
        <w:t>s</w:t>
      </w:r>
      <w:r w:rsidRPr="00883917">
        <w:t xml:space="preserve"> need not miss out on enrolment due to</w:t>
      </w:r>
      <w:r>
        <w:t xml:space="preserve"> the prospect of financial</w:t>
      </w:r>
      <w:r w:rsidRPr="00883917">
        <w:t xml:space="preserve"> difficulties</w:t>
      </w:r>
      <w:r>
        <w:t xml:space="preserve"> in undertaking an apprenticeship. </w:t>
      </w:r>
    </w:p>
    <w:p w14:paraId="53E678A1" w14:textId="77777777" w:rsidR="00B6384C" w:rsidRDefault="00B6384C" w:rsidP="00B6384C">
      <w:pPr>
        <w:rPr>
          <w:i/>
          <w:iCs/>
        </w:rPr>
      </w:pPr>
      <w:r>
        <w:rPr>
          <w:i/>
          <w:iCs/>
        </w:rPr>
        <w:t>Right to work</w:t>
      </w:r>
    </w:p>
    <w:p w14:paraId="4BAE995F" w14:textId="77777777" w:rsidR="00B6384C" w:rsidRDefault="00B6384C" w:rsidP="00B6384C"/>
    <w:p w14:paraId="043EA609" w14:textId="2BD3664E" w:rsidR="00B6384C" w:rsidRDefault="00B6384C" w:rsidP="00B6384C">
      <w:pPr>
        <w:spacing w:after="240"/>
      </w:pPr>
      <w:r w:rsidRPr="00E53232">
        <w:t xml:space="preserve">Article 6 of the ICESCR requires that </w:t>
      </w:r>
      <w:r>
        <w:t xml:space="preserve">State Parties recognise the right to work, including through developing policies and techniques to achieve steady economic, </w:t>
      </w:r>
      <w:proofErr w:type="gramStart"/>
      <w:r>
        <w:t>social</w:t>
      </w:r>
      <w:proofErr w:type="gramEnd"/>
      <w:r>
        <w:t xml:space="preserve"> and cultural development and full and productive employment.</w:t>
      </w:r>
    </w:p>
    <w:p w14:paraId="7274568C" w14:textId="77777777" w:rsidR="00B6384C" w:rsidRDefault="00B6384C" w:rsidP="00B6384C">
      <w:pPr>
        <w:spacing w:after="240"/>
      </w:pPr>
      <w:r w:rsidRPr="00E53232">
        <w:t xml:space="preserve">The Australian Government is maintaining its commitment to support workforce participation </w:t>
      </w:r>
      <w:r>
        <w:t xml:space="preserve">by supporting apprentices who wish to undertake occupations and qualifications that are needed in the community. </w:t>
      </w:r>
    </w:p>
    <w:p w14:paraId="74292A4C" w14:textId="77777777" w:rsidR="00B6384C" w:rsidRDefault="00B6384C" w:rsidP="00B6384C">
      <w:pPr>
        <w:spacing w:after="240"/>
      </w:pPr>
      <w:r>
        <w:t>The Act supports workforce participation of apprentices by providing financial assistance during their apprenticeship. A</w:t>
      </w:r>
      <w:r w:rsidRPr="008C56DA">
        <w:t>pprentices will only be required to begin repaying the loans once their earnings are above the repayment threshold</w:t>
      </w:r>
      <w:r>
        <w:t>. The financial assistance makes it more financially viable for apprentices to pursue their desired occupation and qualification in areas of priority and promotes their workforce participation for the benefit of the general community.</w:t>
      </w:r>
    </w:p>
    <w:p w14:paraId="6B4C4B99" w14:textId="72DA8B85" w:rsidR="00B6384C" w:rsidRPr="00B6384C" w:rsidRDefault="00B6384C" w:rsidP="00947AF6">
      <w:pPr>
        <w:spacing w:after="240"/>
        <w:rPr>
          <w:i/>
          <w:iCs/>
        </w:rPr>
      </w:pPr>
      <w:r w:rsidRPr="00B6384C">
        <w:rPr>
          <w:i/>
          <w:iCs/>
        </w:rPr>
        <w:t>Amendment Instrument</w:t>
      </w:r>
      <w:r>
        <w:rPr>
          <w:i/>
          <w:iCs/>
        </w:rPr>
        <w:t>’</w:t>
      </w:r>
      <w:r w:rsidRPr="00B6384C">
        <w:rPr>
          <w:i/>
          <w:iCs/>
        </w:rPr>
        <w:t>s engage</w:t>
      </w:r>
      <w:r>
        <w:rPr>
          <w:i/>
          <w:iCs/>
        </w:rPr>
        <w:t>ment</w:t>
      </w:r>
      <w:r w:rsidRPr="00B6384C">
        <w:rPr>
          <w:i/>
          <w:iCs/>
        </w:rPr>
        <w:t xml:space="preserve"> with the right to education and right to work</w:t>
      </w:r>
    </w:p>
    <w:p w14:paraId="40B38E89" w14:textId="389C87DB" w:rsidR="00B6384C" w:rsidRDefault="00B6384C" w:rsidP="00947AF6">
      <w:pPr>
        <w:spacing w:after="240"/>
      </w:pPr>
      <w:r>
        <w:t>The Amendment Instrument promotes both the</w:t>
      </w:r>
      <w:r w:rsidRPr="0023112D">
        <w:t xml:space="preserve"> right to education</w:t>
      </w:r>
      <w:r>
        <w:t xml:space="preserve"> and the right to </w:t>
      </w:r>
      <w:r w:rsidR="007F78D4">
        <w:t xml:space="preserve">work </w:t>
      </w:r>
      <w:r>
        <w:t>by improving access to trade support loan</w:t>
      </w:r>
      <w:r w:rsidR="009A39EB">
        <w:t>s</w:t>
      </w:r>
      <w:r>
        <w:t xml:space="preserve"> under the Act. In particular:</w:t>
      </w:r>
    </w:p>
    <w:p w14:paraId="75E86319" w14:textId="436FF762" w:rsidR="00947AF6" w:rsidRDefault="00947AF6" w:rsidP="00B6384C">
      <w:pPr>
        <w:pStyle w:val="ListParagraph"/>
        <w:numPr>
          <w:ilvl w:val="0"/>
          <w:numId w:val="20"/>
        </w:numPr>
        <w:spacing w:after="240"/>
      </w:pPr>
      <w:r>
        <w:lastRenderedPageBreak/>
        <w:t>By updating references to external documents in the TSL Priority List and TSL Rules, t</w:t>
      </w:r>
      <w:r w:rsidRPr="000D2F36">
        <w:t>he Amendment Instrument ensure</w:t>
      </w:r>
      <w:r>
        <w:t>s</w:t>
      </w:r>
      <w:r w:rsidRPr="000D2F36">
        <w:t xml:space="preserve"> that individuals have the most updated information to determine their eligibility for financial assistance when undertaking an apprenticeship.</w:t>
      </w:r>
      <w:r>
        <w:t xml:space="preserve"> </w:t>
      </w:r>
    </w:p>
    <w:p w14:paraId="4B004758" w14:textId="6D99122A" w:rsidR="00947AF6" w:rsidRDefault="00947AF6" w:rsidP="00B6384C">
      <w:pPr>
        <w:pStyle w:val="ListParagraph"/>
        <w:numPr>
          <w:ilvl w:val="0"/>
          <w:numId w:val="20"/>
        </w:numPr>
        <w:spacing w:after="240"/>
      </w:pPr>
      <w:r>
        <w:t xml:space="preserve">The changes to the list of prescribed circumstances in which the Secretary may determine special case qualification and </w:t>
      </w:r>
      <w:proofErr w:type="spellStart"/>
      <w:r>
        <w:t>payability</w:t>
      </w:r>
      <w:proofErr w:type="spellEnd"/>
      <w:r>
        <w:t xml:space="preserve"> will have neutral </w:t>
      </w:r>
      <w:r w:rsidR="00CE2D17">
        <w:t xml:space="preserve">effect </w:t>
      </w:r>
      <w:r>
        <w:t>on the right to education as it simply reflects</w:t>
      </w:r>
      <w:r w:rsidR="00A90793">
        <w:t>,</w:t>
      </w:r>
      <w:r>
        <w:t xml:space="preserve"> and does not limit</w:t>
      </w:r>
      <w:r w:rsidR="00A90793">
        <w:t>,</w:t>
      </w:r>
      <w:r>
        <w:t xml:space="preserve"> the circumstances in w</w:t>
      </w:r>
      <w:r w:rsidR="00A90793">
        <w:t>h</w:t>
      </w:r>
      <w:r>
        <w:t xml:space="preserve">ich the Secretary may determine special case qualification and </w:t>
      </w:r>
      <w:proofErr w:type="spellStart"/>
      <w:r>
        <w:t>payability</w:t>
      </w:r>
      <w:proofErr w:type="spellEnd"/>
      <w:r>
        <w:t xml:space="preserve">. </w:t>
      </w:r>
    </w:p>
    <w:p w14:paraId="3B25AB55" w14:textId="3E412BE3" w:rsidR="00281A05" w:rsidRDefault="00281A05" w:rsidP="00B16919">
      <w:pPr>
        <w:pStyle w:val="ListParagraph"/>
        <w:numPr>
          <w:ilvl w:val="0"/>
          <w:numId w:val="19"/>
        </w:numPr>
      </w:pPr>
      <w:r>
        <w:t xml:space="preserve">By </w:t>
      </w:r>
      <w:r w:rsidRPr="00F664F9">
        <w:t xml:space="preserve">updating the means for new </w:t>
      </w:r>
      <w:r>
        <w:t>trade support loan</w:t>
      </w:r>
      <w:r w:rsidRPr="00F664F9">
        <w:t xml:space="preserve"> recipients to lodge an application to </w:t>
      </w:r>
      <w:r w:rsidR="00584FEC">
        <w:t>receive</w:t>
      </w:r>
      <w:r w:rsidRPr="00F664F9">
        <w:t xml:space="preserve"> </w:t>
      </w:r>
      <w:r>
        <w:t>trade support loan.</w:t>
      </w:r>
    </w:p>
    <w:p w14:paraId="6A151A8C" w14:textId="653D823F" w:rsidR="00B6384C" w:rsidRDefault="009A39EB" w:rsidP="00B6384C">
      <w:pPr>
        <w:pStyle w:val="ListParagraph"/>
        <w:numPr>
          <w:ilvl w:val="0"/>
          <w:numId w:val="20"/>
        </w:numPr>
        <w:spacing w:after="240"/>
      </w:pPr>
      <w:r>
        <w:rPr>
          <w:rFonts w:eastAsiaTheme="minorHAnsi"/>
          <w:color w:val="000000"/>
          <w:lang w:eastAsia="en-US"/>
        </w:rPr>
        <w:t>By updating the</w:t>
      </w:r>
      <w:r w:rsidR="00947AF6" w:rsidRPr="00B6384C">
        <w:rPr>
          <w:rFonts w:eastAsiaTheme="minorHAnsi"/>
          <w:color w:val="000000"/>
          <w:lang w:eastAsia="en-US"/>
        </w:rPr>
        <w:t xml:space="preserve"> means for existing trade support loan recipients to lodg</w:t>
      </w:r>
      <w:r w:rsidR="00A90793">
        <w:rPr>
          <w:rFonts w:eastAsiaTheme="minorHAnsi"/>
          <w:color w:val="000000"/>
          <w:lang w:eastAsia="en-US"/>
        </w:rPr>
        <w:t>e</w:t>
      </w:r>
      <w:r w:rsidR="00947AF6" w:rsidRPr="00B6384C">
        <w:rPr>
          <w:rFonts w:eastAsiaTheme="minorHAnsi"/>
          <w:color w:val="000000"/>
          <w:lang w:eastAsia="en-US"/>
        </w:rPr>
        <w:t xml:space="preserve"> an application to receive</w:t>
      </w:r>
      <w:r w:rsidR="00584FEC">
        <w:rPr>
          <w:rFonts w:eastAsiaTheme="minorHAnsi"/>
          <w:color w:val="000000"/>
          <w:lang w:eastAsia="en-US"/>
        </w:rPr>
        <w:t xml:space="preserve"> subsequent</w:t>
      </w:r>
      <w:r w:rsidR="00947AF6" w:rsidRPr="00B6384C">
        <w:rPr>
          <w:rFonts w:eastAsiaTheme="minorHAnsi"/>
          <w:color w:val="000000"/>
          <w:lang w:eastAsia="en-US"/>
        </w:rPr>
        <w:t xml:space="preserve"> trade support loan,</w:t>
      </w:r>
      <w:r w:rsidR="00B6384C" w:rsidRPr="00B6384C">
        <w:rPr>
          <w:rFonts w:eastAsiaTheme="minorHAnsi"/>
          <w:color w:val="000000"/>
          <w:lang w:eastAsia="en-US"/>
        </w:rPr>
        <w:t xml:space="preserve"> </w:t>
      </w:r>
      <w:r w:rsidR="00A351FF">
        <w:rPr>
          <w:rFonts w:eastAsiaTheme="minorHAnsi"/>
          <w:color w:val="000000"/>
          <w:lang w:eastAsia="en-US"/>
        </w:rPr>
        <w:t xml:space="preserve">the Amendment Instrument </w:t>
      </w:r>
      <w:r w:rsidR="00B6384C" w:rsidRPr="00B6384C">
        <w:rPr>
          <w:rFonts w:eastAsiaTheme="minorHAnsi"/>
          <w:color w:val="000000"/>
          <w:lang w:eastAsia="en-US"/>
        </w:rPr>
        <w:t>promotes ongoing access to trade support loan.</w:t>
      </w:r>
    </w:p>
    <w:p w14:paraId="6A021FC5" w14:textId="144152AD" w:rsidR="00947AF6" w:rsidRPr="00BB36D1" w:rsidRDefault="00A351FF" w:rsidP="00B6384C">
      <w:pPr>
        <w:pStyle w:val="ListParagraph"/>
        <w:numPr>
          <w:ilvl w:val="0"/>
          <w:numId w:val="20"/>
        </w:numPr>
        <w:spacing w:after="240"/>
      </w:pPr>
      <w:r>
        <w:t>By u</w:t>
      </w:r>
      <w:r w:rsidR="00947AF6" w:rsidRPr="00B6384C">
        <w:rPr>
          <w:rFonts w:eastAsiaTheme="minorHAnsi"/>
          <w:color w:val="000000"/>
          <w:lang w:eastAsia="en-US"/>
        </w:rPr>
        <w:t>pdating the list of rural and regional postcodes in Schedule 1 to the TSL Rules</w:t>
      </w:r>
      <w:r w:rsidR="00B6384C" w:rsidRPr="00B6384C">
        <w:rPr>
          <w:rFonts w:eastAsiaTheme="minorHAnsi"/>
          <w:color w:val="000000"/>
          <w:lang w:eastAsia="en-US"/>
        </w:rPr>
        <w:t xml:space="preserve">, </w:t>
      </w:r>
      <w:r>
        <w:rPr>
          <w:rFonts w:eastAsiaTheme="minorHAnsi"/>
          <w:color w:val="000000"/>
          <w:lang w:eastAsia="en-US"/>
        </w:rPr>
        <w:t xml:space="preserve">the Amendment Instrument </w:t>
      </w:r>
      <w:r w:rsidR="00B6384C" w:rsidRPr="00B6384C">
        <w:rPr>
          <w:rFonts w:eastAsiaTheme="minorHAnsi"/>
          <w:color w:val="000000"/>
          <w:lang w:eastAsia="en-US"/>
        </w:rPr>
        <w:t>provides more persons with access to trade support loan.</w:t>
      </w:r>
      <w:r w:rsidR="00947AF6" w:rsidRPr="00B6384C">
        <w:rPr>
          <w:rFonts w:eastAsiaTheme="minorHAnsi"/>
          <w:color w:val="000000"/>
          <w:lang w:eastAsia="en-US"/>
        </w:rPr>
        <w:t xml:space="preserve">   </w:t>
      </w:r>
    </w:p>
    <w:p w14:paraId="74D60860" w14:textId="77777777" w:rsidR="00D60B64" w:rsidRPr="000D2F36" w:rsidRDefault="00D60B64" w:rsidP="000D2F36">
      <w:pPr>
        <w:spacing w:after="240"/>
        <w:rPr>
          <w:b/>
          <w:bCs/>
        </w:rPr>
      </w:pPr>
      <w:r w:rsidRPr="000D2F36">
        <w:rPr>
          <w:b/>
          <w:bCs/>
        </w:rPr>
        <w:t>Conclusion</w:t>
      </w:r>
    </w:p>
    <w:p w14:paraId="3ADD24B5" w14:textId="2A760986" w:rsidR="00D60B64" w:rsidRDefault="00D60B64" w:rsidP="000D2F36">
      <w:pPr>
        <w:spacing w:after="240"/>
      </w:pPr>
      <w:r w:rsidRPr="00234326">
        <w:t xml:space="preserve">The </w:t>
      </w:r>
      <w:r w:rsidR="00AE2082">
        <w:t>Amendment Instrument</w:t>
      </w:r>
      <w:r w:rsidR="000375A1">
        <w:t xml:space="preserve"> </w:t>
      </w:r>
      <w:r>
        <w:t>is</w:t>
      </w:r>
      <w:r w:rsidRPr="00234326">
        <w:t xml:space="preserve"> compatible with human rights. </w:t>
      </w:r>
      <w:r w:rsidR="00747818">
        <w:t>The amendment</w:t>
      </w:r>
      <w:r w:rsidR="00A90793">
        <w:t>s</w:t>
      </w:r>
      <w:r w:rsidR="00747818">
        <w:t xml:space="preserve"> ultimately promote </w:t>
      </w:r>
      <w:r w:rsidR="00B6384C">
        <w:t>the right to education and the right to work by improving access to trade support loan</w:t>
      </w:r>
      <w:r w:rsidR="00ED4740">
        <w:t>s</w:t>
      </w:r>
      <w:r w:rsidR="00B6384C">
        <w:t xml:space="preserve"> under the Act.</w:t>
      </w:r>
    </w:p>
    <w:p w14:paraId="50D5F4F1" w14:textId="77777777" w:rsidR="00D60B64" w:rsidRDefault="00D60B64" w:rsidP="00D60B64">
      <w:pPr>
        <w:jc w:val="both"/>
      </w:pPr>
    </w:p>
    <w:p w14:paraId="3B229C70" w14:textId="77777777" w:rsidR="00D60B64" w:rsidRPr="00EB64CF" w:rsidRDefault="00D60B64" w:rsidP="00D60B64">
      <w:pPr>
        <w:jc w:val="both"/>
        <w:rPr>
          <w:b/>
        </w:rPr>
      </w:pPr>
    </w:p>
    <w:p w14:paraId="39D85B31" w14:textId="4956E3B5" w:rsidR="00D60B64" w:rsidRPr="007B1CE2" w:rsidRDefault="00D60B64" w:rsidP="00D60B64">
      <w:pPr>
        <w:contextualSpacing/>
        <w:jc w:val="center"/>
        <w:rPr>
          <w:b/>
          <w:highlight w:val="yellow"/>
          <w:lang w:eastAsia="en-US"/>
        </w:rPr>
      </w:pPr>
      <w:r w:rsidRPr="007B1CE2">
        <w:rPr>
          <w:b/>
          <w:highlight w:val="yellow"/>
          <w:lang w:eastAsia="en-US"/>
        </w:rPr>
        <w:t xml:space="preserve">Minister for </w:t>
      </w:r>
      <w:r w:rsidR="00FD5CCE" w:rsidRPr="007B1CE2">
        <w:rPr>
          <w:b/>
          <w:highlight w:val="yellow"/>
          <w:lang w:eastAsia="en-US"/>
        </w:rPr>
        <w:t>Skills</w:t>
      </w:r>
      <w:r w:rsidR="00B93F89" w:rsidRPr="007B1CE2">
        <w:rPr>
          <w:b/>
          <w:highlight w:val="yellow"/>
          <w:lang w:eastAsia="en-US"/>
        </w:rPr>
        <w:t xml:space="preserve"> and Training</w:t>
      </w:r>
    </w:p>
    <w:p w14:paraId="3C2F2CDC" w14:textId="73F9F049" w:rsidR="00D60B64" w:rsidRPr="00EB64CF" w:rsidRDefault="00D60B64" w:rsidP="00D60B64">
      <w:pPr>
        <w:contextualSpacing/>
        <w:jc w:val="center"/>
        <w:rPr>
          <w:b/>
          <w:lang w:eastAsia="en-US"/>
        </w:rPr>
      </w:pPr>
      <w:r w:rsidRPr="007B1CE2">
        <w:rPr>
          <w:b/>
          <w:highlight w:val="yellow"/>
          <w:lang w:eastAsia="en-US"/>
        </w:rPr>
        <w:t xml:space="preserve">the Honourable </w:t>
      </w:r>
      <w:r w:rsidR="00B93F89" w:rsidRPr="007B1CE2">
        <w:rPr>
          <w:b/>
          <w:highlight w:val="yellow"/>
          <w:lang w:eastAsia="en-US"/>
        </w:rPr>
        <w:t>Brendan O’Connor MP</w:t>
      </w:r>
    </w:p>
    <w:p w14:paraId="78D8C764" w14:textId="77777777" w:rsidR="00D60B64" w:rsidRDefault="00D60B64" w:rsidP="00D60B64">
      <w:pPr>
        <w:jc w:val="both"/>
      </w:pPr>
    </w:p>
    <w:p w14:paraId="2F662E81" w14:textId="77777777" w:rsidR="00D60B64" w:rsidRPr="00B51080" w:rsidRDefault="00D60B64" w:rsidP="00D60B64"/>
    <w:p w14:paraId="7E12E958" w14:textId="77777777" w:rsidR="00D60B64" w:rsidRPr="00E240DC" w:rsidRDefault="00D60B64" w:rsidP="00CA1EA4">
      <w:pPr>
        <w:contextualSpacing/>
        <w:rPr>
          <w:kern w:val="28"/>
        </w:rPr>
      </w:pPr>
    </w:p>
    <w:sectPr w:rsidR="00D60B64" w:rsidRPr="00E240D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195A" w14:textId="77777777" w:rsidR="00DC473D" w:rsidRDefault="00DC473D" w:rsidP="00D60B64">
      <w:r>
        <w:separator/>
      </w:r>
    </w:p>
  </w:endnote>
  <w:endnote w:type="continuationSeparator" w:id="0">
    <w:p w14:paraId="73A9FA31" w14:textId="77777777" w:rsidR="00DC473D" w:rsidRDefault="00DC473D" w:rsidP="00D6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003353"/>
      <w:docPartObj>
        <w:docPartGallery w:val="Page Numbers (Bottom of Page)"/>
        <w:docPartUnique/>
      </w:docPartObj>
    </w:sdtPr>
    <w:sdtEndPr>
      <w:rPr>
        <w:noProof/>
      </w:rPr>
    </w:sdtEndPr>
    <w:sdtContent>
      <w:p w14:paraId="14C85110" w14:textId="7936094D" w:rsidR="0078034A" w:rsidRDefault="0078034A">
        <w:pPr>
          <w:pStyle w:val="Footer"/>
          <w:jc w:val="right"/>
        </w:pPr>
        <w:r>
          <w:fldChar w:fldCharType="begin"/>
        </w:r>
        <w:r>
          <w:instrText xml:space="preserve"> PAGE   \* MERGEFORMAT </w:instrText>
        </w:r>
        <w:r>
          <w:fldChar w:fldCharType="separate"/>
        </w:r>
        <w:r w:rsidR="00D638EE">
          <w:rPr>
            <w:noProof/>
          </w:rPr>
          <w:t>1</w:t>
        </w:r>
        <w:r>
          <w:rPr>
            <w:noProof/>
          </w:rPr>
          <w:fldChar w:fldCharType="end"/>
        </w:r>
      </w:p>
    </w:sdtContent>
  </w:sdt>
  <w:p w14:paraId="4F6180FF" w14:textId="77777777" w:rsidR="0078034A" w:rsidRDefault="00780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22EA" w14:textId="77777777" w:rsidR="00DC473D" w:rsidRDefault="00DC473D" w:rsidP="00D60B64">
      <w:r>
        <w:separator/>
      </w:r>
    </w:p>
  </w:footnote>
  <w:footnote w:type="continuationSeparator" w:id="0">
    <w:p w14:paraId="7B8A4AB4" w14:textId="77777777" w:rsidR="00DC473D" w:rsidRDefault="00DC473D" w:rsidP="00D60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C41"/>
    <w:multiLevelType w:val="hybridMultilevel"/>
    <w:tmpl w:val="BBFE8B60"/>
    <w:lvl w:ilvl="0" w:tplc="EB6C504A">
      <w:start w:val="1"/>
      <w:numFmt w:val="lowerLetter"/>
      <w:lvlText w:val="(%1)"/>
      <w:lvlJc w:val="left"/>
      <w:pPr>
        <w:ind w:left="2547" w:hanging="4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 w15:restartNumberingAfterBreak="0">
    <w:nsid w:val="00CB1B1C"/>
    <w:multiLevelType w:val="hybridMultilevel"/>
    <w:tmpl w:val="6DFE3D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CE4F49"/>
    <w:multiLevelType w:val="multilevel"/>
    <w:tmpl w:val="D98AFEB0"/>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pStyle w:val="Bullet"/>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6242D8"/>
    <w:multiLevelType w:val="hybridMultilevel"/>
    <w:tmpl w:val="BBFE8B60"/>
    <w:lvl w:ilvl="0" w:tplc="EB6C504A">
      <w:start w:val="1"/>
      <w:numFmt w:val="lowerLetter"/>
      <w:lvlText w:val="(%1)"/>
      <w:lvlJc w:val="left"/>
      <w:pPr>
        <w:ind w:left="2220" w:hanging="42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07C66408"/>
    <w:multiLevelType w:val="hybridMultilevel"/>
    <w:tmpl w:val="668A4DBE"/>
    <w:lvl w:ilvl="0" w:tplc="1894353E">
      <w:start w:val="1"/>
      <w:numFmt w:val="decimal"/>
      <w:lvlText w:val="%1."/>
      <w:lvlJc w:val="left"/>
      <w:pPr>
        <w:ind w:left="720" w:hanging="360"/>
      </w:pPr>
      <w:rPr>
        <w:b w:val="0"/>
        <w:bCs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FD5222"/>
    <w:multiLevelType w:val="hybridMultilevel"/>
    <w:tmpl w:val="77521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D61C7"/>
    <w:multiLevelType w:val="hybridMultilevel"/>
    <w:tmpl w:val="8E44367C"/>
    <w:lvl w:ilvl="0" w:tplc="BDF039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35207E"/>
    <w:multiLevelType w:val="hybridMultilevel"/>
    <w:tmpl w:val="6144D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D5D35"/>
    <w:multiLevelType w:val="hybridMultilevel"/>
    <w:tmpl w:val="EE5E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D1718"/>
    <w:multiLevelType w:val="hybridMultilevel"/>
    <w:tmpl w:val="30C42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D3065C"/>
    <w:multiLevelType w:val="hybridMultilevel"/>
    <w:tmpl w:val="365814AE"/>
    <w:lvl w:ilvl="0" w:tplc="B8DA001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FA0E22"/>
    <w:multiLevelType w:val="hybridMultilevel"/>
    <w:tmpl w:val="B0321562"/>
    <w:lvl w:ilvl="0" w:tplc="096CAE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F035A3"/>
    <w:multiLevelType w:val="hybridMultilevel"/>
    <w:tmpl w:val="6A56DB8E"/>
    <w:lvl w:ilvl="0" w:tplc="F1841240">
      <w:start w:val="1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39D6732C"/>
    <w:multiLevelType w:val="hybridMultilevel"/>
    <w:tmpl w:val="C582C5F6"/>
    <w:lvl w:ilvl="0" w:tplc="FFFFFFFF">
      <w:start w:val="1"/>
      <w:numFmt w:val="decimal"/>
      <w:lvlText w:val="%1."/>
      <w:lvlJc w:val="left"/>
      <w:pPr>
        <w:ind w:left="720" w:hanging="360"/>
      </w:pPr>
      <w:rPr>
        <w:b w:val="0"/>
        <w:b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C29E6"/>
    <w:multiLevelType w:val="hybridMultilevel"/>
    <w:tmpl w:val="D608A79A"/>
    <w:lvl w:ilvl="0" w:tplc="E1EA4E8C">
      <w:start w:val="1"/>
      <w:numFmt w:val="lowerRoman"/>
      <w:lvlText w:val="(%1)"/>
      <w:lvlJc w:val="left"/>
      <w:pPr>
        <w:ind w:left="3271" w:hanging="720"/>
      </w:pPr>
      <w:rPr>
        <w:rFonts w:hint="default"/>
      </w:rPr>
    </w:lvl>
    <w:lvl w:ilvl="1" w:tplc="0C090019" w:tentative="1">
      <w:start w:val="1"/>
      <w:numFmt w:val="lowerLetter"/>
      <w:lvlText w:val="%2."/>
      <w:lvlJc w:val="left"/>
      <w:pPr>
        <w:ind w:left="3627" w:hanging="360"/>
      </w:pPr>
    </w:lvl>
    <w:lvl w:ilvl="2" w:tplc="0C09001B" w:tentative="1">
      <w:start w:val="1"/>
      <w:numFmt w:val="lowerRoman"/>
      <w:lvlText w:val="%3."/>
      <w:lvlJc w:val="right"/>
      <w:pPr>
        <w:ind w:left="4347" w:hanging="180"/>
      </w:pPr>
    </w:lvl>
    <w:lvl w:ilvl="3" w:tplc="0C09000F" w:tentative="1">
      <w:start w:val="1"/>
      <w:numFmt w:val="decimal"/>
      <w:lvlText w:val="%4."/>
      <w:lvlJc w:val="left"/>
      <w:pPr>
        <w:ind w:left="5067" w:hanging="360"/>
      </w:pPr>
    </w:lvl>
    <w:lvl w:ilvl="4" w:tplc="0C090019" w:tentative="1">
      <w:start w:val="1"/>
      <w:numFmt w:val="lowerLetter"/>
      <w:lvlText w:val="%5."/>
      <w:lvlJc w:val="left"/>
      <w:pPr>
        <w:ind w:left="5787" w:hanging="360"/>
      </w:pPr>
    </w:lvl>
    <w:lvl w:ilvl="5" w:tplc="0C09001B" w:tentative="1">
      <w:start w:val="1"/>
      <w:numFmt w:val="lowerRoman"/>
      <w:lvlText w:val="%6."/>
      <w:lvlJc w:val="right"/>
      <w:pPr>
        <w:ind w:left="6507" w:hanging="180"/>
      </w:pPr>
    </w:lvl>
    <w:lvl w:ilvl="6" w:tplc="0C09000F" w:tentative="1">
      <w:start w:val="1"/>
      <w:numFmt w:val="decimal"/>
      <w:lvlText w:val="%7."/>
      <w:lvlJc w:val="left"/>
      <w:pPr>
        <w:ind w:left="7227" w:hanging="360"/>
      </w:pPr>
    </w:lvl>
    <w:lvl w:ilvl="7" w:tplc="0C090019" w:tentative="1">
      <w:start w:val="1"/>
      <w:numFmt w:val="lowerLetter"/>
      <w:lvlText w:val="%8."/>
      <w:lvlJc w:val="left"/>
      <w:pPr>
        <w:ind w:left="7947" w:hanging="360"/>
      </w:pPr>
    </w:lvl>
    <w:lvl w:ilvl="8" w:tplc="0C09001B" w:tentative="1">
      <w:start w:val="1"/>
      <w:numFmt w:val="lowerRoman"/>
      <w:lvlText w:val="%9."/>
      <w:lvlJc w:val="right"/>
      <w:pPr>
        <w:ind w:left="8667" w:hanging="180"/>
      </w:pPr>
    </w:lvl>
  </w:abstractNum>
  <w:abstractNum w:abstractNumId="15" w15:restartNumberingAfterBreak="0">
    <w:nsid w:val="3CBB0EE3"/>
    <w:multiLevelType w:val="hybridMultilevel"/>
    <w:tmpl w:val="8ABA670C"/>
    <w:lvl w:ilvl="0" w:tplc="07AEEACE">
      <w:start w:val="1"/>
      <w:numFmt w:val="lowerLetter"/>
      <w:lvlText w:val="(%1)"/>
      <w:lvlJc w:val="left"/>
      <w:pPr>
        <w:ind w:left="1320" w:hanging="360"/>
      </w:pPr>
      <w:rPr>
        <w:rFonts w:hint="default"/>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6" w15:restartNumberingAfterBreak="0">
    <w:nsid w:val="4D5166D2"/>
    <w:multiLevelType w:val="hybridMultilevel"/>
    <w:tmpl w:val="B8CE4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62327"/>
    <w:multiLevelType w:val="hybridMultilevel"/>
    <w:tmpl w:val="80EA2FAE"/>
    <w:lvl w:ilvl="0" w:tplc="9544BCAC">
      <w:start w:val="1"/>
      <w:numFmt w:val="decimal"/>
      <w:lvlText w:val="Claus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2058A8"/>
    <w:multiLevelType w:val="hybridMultilevel"/>
    <w:tmpl w:val="FBFA481C"/>
    <w:lvl w:ilvl="0" w:tplc="392811C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435E6B"/>
    <w:multiLevelType w:val="hybridMultilevel"/>
    <w:tmpl w:val="AF8C4026"/>
    <w:lvl w:ilvl="0" w:tplc="1D0A82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262094"/>
    <w:multiLevelType w:val="hybridMultilevel"/>
    <w:tmpl w:val="24762112"/>
    <w:lvl w:ilvl="0" w:tplc="392811CA">
      <w:start w:val="1"/>
      <w:numFmt w:val="decimal"/>
      <w:lvlText w:val="%1."/>
      <w:lvlJc w:val="left"/>
      <w:pPr>
        <w:ind w:left="36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A17B89"/>
    <w:multiLevelType w:val="hybridMultilevel"/>
    <w:tmpl w:val="DD443BDA"/>
    <w:lvl w:ilvl="0" w:tplc="5B90122E">
      <w:start w:val="1"/>
      <w:numFmt w:val="decimal"/>
      <w:lvlText w:val="(%1)"/>
      <w:lvlJc w:val="left"/>
      <w:pPr>
        <w:ind w:left="720" w:hanging="360"/>
      </w:pPr>
      <w:rPr>
        <w:rFonts w:ascii="Times New Roman" w:eastAsia="Times New Roman" w:hAnsi="Times New Roman" w:cs="Times New Roman"/>
      </w:rPr>
    </w:lvl>
    <w:lvl w:ilvl="1" w:tplc="9614249A">
      <w:start w:val="1"/>
      <w:numFmt w:val="lowerRoman"/>
      <w:pStyle w:val="ListBullet"/>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E46AF9"/>
    <w:multiLevelType w:val="hybridMultilevel"/>
    <w:tmpl w:val="5AD4E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6B7198"/>
    <w:multiLevelType w:val="hybridMultilevel"/>
    <w:tmpl w:val="D608A79A"/>
    <w:lvl w:ilvl="0" w:tplc="E1EA4E8C">
      <w:start w:val="1"/>
      <w:numFmt w:val="lowerRoman"/>
      <w:lvlText w:val="(%1)"/>
      <w:lvlJc w:val="left"/>
      <w:pPr>
        <w:ind w:left="3267" w:hanging="720"/>
      </w:pPr>
      <w:rPr>
        <w:rFonts w:hint="default"/>
      </w:rPr>
    </w:lvl>
    <w:lvl w:ilvl="1" w:tplc="0C090019" w:tentative="1">
      <w:start w:val="1"/>
      <w:numFmt w:val="lowerLetter"/>
      <w:lvlText w:val="%2."/>
      <w:lvlJc w:val="left"/>
      <w:pPr>
        <w:ind w:left="3627" w:hanging="360"/>
      </w:pPr>
    </w:lvl>
    <w:lvl w:ilvl="2" w:tplc="0C09001B" w:tentative="1">
      <w:start w:val="1"/>
      <w:numFmt w:val="lowerRoman"/>
      <w:lvlText w:val="%3."/>
      <w:lvlJc w:val="right"/>
      <w:pPr>
        <w:ind w:left="4347" w:hanging="180"/>
      </w:pPr>
    </w:lvl>
    <w:lvl w:ilvl="3" w:tplc="0C09000F" w:tentative="1">
      <w:start w:val="1"/>
      <w:numFmt w:val="decimal"/>
      <w:lvlText w:val="%4."/>
      <w:lvlJc w:val="left"/>
      <w:pPr>
        <w:ind w:left="5067" w:hanging="360"/>
      </w:pPr>
    </w:lvl>
    <w:lvl w:ilvl="4" w:tplc="0C090019" w:tentative="1">
      <w:start w:val="1"/>
      <w:numFmt w:val="lowerLetter"/>
      <w:lvlText w:val="%5."/>
      <w:lvlJc w:val="left"/>
      <w:pPr>
        <w:ind w:left="5787" w:hanging="360"/>
      </w:pPr>
    </w:lvl>
    <w:lvl w:ilvl="5" w:tplc="0C09001B" w:tentative="1">
      <w:start w:val="1"/>
      <w:numFmt w:val="lowerRoman"/>
      <w:lvlText w:val="%6."/>
      <w:lvlJc w:val="right"/>
      <w:pPr>
        <w:ind w:left="6507" w:hanging="180"/>
      </w:pPr>
    </w:lvl>
    <w:lvl w:ilvl="6" w:tplc="0C09000F" w:tentative="1">
      <w:start w:val="1"/>
      <w:numFmt w:val="decimal"/>
      <w:lvlText w:val="%7."/>
      <w:lvlJc w:val="left"/>
      <w:pPr>
        <w:ind w:left="7227" w:hanging="360"/>
      </w:pPr>
    </w:lvl>
    <w:lvl w:ilvl="7" w:tplc="0C090019" w:tentative="1">
      <w:start w:val="1"/>
      <w:numFmt w:val="lowerLetter"/>
      <w:lvlText w:val="%8."/>
      <w:lvlJc w:val="left"/>
      <w:pPr>
        <w:ind w:left="7947" w:hanging="360"/>
      </w:pPr>
    </w:lvl>
    <w:lvl w:ilvl="8" w:tplc="0C09001B" w:tentative="1">
      <w:start w:val="1"/>
      <w:numFmt w:val="lowerRoman"/>
      <w:lvlText w:val="%9."/>
      <w:lvlJc w:val="right"/>
      <w:pPr>
        <w:ind w:left="8667" w:hanging="180"/>
      </w:pPr>
    </w:lvl>
  </w:abstractNum>
  <w:num w:numId="1">
    <w:abstractNumId w:val="17"/>
  </w:num>
  <w:num w:numId="2">
    <w:abstractNumId w:val="1"/>
  </w:num>
  <w:num w:numId="3">
    <w:abstractNumId w:val="11"/>
  </w:num>
  <w:num w:numId="4">
    <w:abstractNumId w:val="15"/>
  </w:num>
  <w:num w:numId="5">
    <w:abstractNumId w:val="19"/>
  </w:num>
  <w:num w:numId="6">
    <w:abstractNumId w:val="21"/>
  </w:num>
  <w:num w:numId="7">
    <w:abstractNumId w:val="18"/>
  </w:num>
  <w:num w:numId="8">
    <w:abstractNumId w:val="2"/>
  </w:num>
  <w:num w:numId="9">
    <w:abstractNumId w:val="10"/>
  </w:num>
  <w:num w:numId="10">
    <w:abstractNumId w:val="9"/>
  </w:num>
  <w:num w:numId="11">
    <w:abstractNumId w:val="3"/>
  </w:num>
  <w:num w:numId="12">
    <w:abstractNumId w:val="0"/>
  </w:num>
  <w:num w:numId="13">
    <w:abstractNumId w:val="14"/>
  </w:num>
  <w:num w:numId="14">
    <w:abstractNumId w:val="23"/>
  </w:num>
  <w:num w:numId="15">
    <w:abstractNumId w:val="5"/>
  </w:num>
  <w:num w:numId="16">
    <w:abstractNumId w:val="12"/>
  </w:num>
  <w:num w:numId="17">
    <w:abstractNumId w:val="22"/>
  </w:num>
  <w:num w:numId="18">
    <w:abstractNumId w:val="6"/>
  </w:num>
  <w:num w:numId="19">
    <w:abstractNumId w:val="8"/>
  </w:num>
  <w:num w:numId="20">
    <w:abstractNumId w:val="16"/>
  </w:num>
  <w:num w:numId="21">
    <w:abstractNumId w:val="4"/>
  </w:num>
  <w:num w:numId="22">
    <w:abstractNumId w:val="20"/>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B8"/>
    <w:rsid w:val="00006EF8"/>
    <w:rsid w:val="000155DC"/>
    <w:rsid w:val="0002209E"/>
    <w:rsid w:val="0003376C"/>
    <w:rsid w:val="000375A1"/>
    <w:rsid w:val="00044A01"/>
    <w:rsid w:val="00047A8C"/>
    <w:rsid w:val="00057302"/>
    <w:rsid w:val="00070C52"/>
    <w:rsid w:val="00073E60"/>
    <w:rsid w:val="00082246"/>
    <w:rsid w:val="00084670"/>
    <w:rsid w:val="00086280"/>
    <w:rsid w:val="00091A99"/>
    <w:rsid w:val="00094AA9"/>
    <w:rsid w:val="000A31D8"/>
    <w:rsid w:val="000A6C2F"/>
    <w:rsid w:val="000B2BEE"/>
    <w:rsid w:val="000B638E"/>
    <w:rsid w:val="000C7231"/>
    <w:rsid w:val="000D2F36"/>
    <w:rsid w:val="000E76ED"/>
    <w:rsid w:val="00105675"/>
    <w:rsid w:val="001106F0"/>
    <w:rsid w:val="00112F58"/>
    <w:rsid w:val="001157EF"/>
    <w:rsid w:val="00141F03"/>
    <w:rsid w:val="00144A12"/>
    <w:rsid w:val="00155E41"/>
    <w:rsid w:val="00156236"/>
    <w:rsid w:val="00173C92"/>
    <w:rsid w:val="0017682D"/>
    <w:rsid w:val="00186383"/>
    <w:rsid w:val="001A06BA"/>
    <w:rsid w:val="001A07F4"/>
    <w:rsid w:val="001B0245"/>
    <w:rsid w:val="001B5989"/>
    <w:rsid w:val="001C00F5"/>
    <w:rsid w:val="001C5321"/>
    <w:rsid w:val="001D1B41"/>
    <w:rsid w:val="001D6AEB"/>
    <w:rsid w:val="001E5DBB"/>
    <w:rsid w:val="001E6A88"/>
    <w:rsid w:val="001F1DC4"/>
    <w:rsid w:val="002051A8"/>
    <w:rsid w:val="00223902"/>
    <w:rsid w:val="00224599"/>
    <w:rsid w:val="002347D9"/>
    <w:rsid w:val="002505A0"/>
    <w:rsid w:val="00264855"/>
    <w:rsid w:val="002713C6"/>
    <w:rsid w:val="0027788D"/>
    <w:rsid w:val="00281A05"/>
    <w:rsid w:val="00285757"/>
    <w:rsid w:val="002866ED"/>
    <w:rsid w:val="002930F1"/>
    <w:rsid w:val="002A0FFD"/>
    <w:rsid w:val="002B25CF"/>
    <w:rsid w:val="002B502D"/>
    <w:rsid w:val="002C660A"/>
    <w:rsid w:val="002E4778"/>
    <w:rsid w:val="002E4ADF"/>
    <w:rsid w:val="00300299"/>
    <w:rsid w:val="003151C7"/>
    <w:rsid w:val="003169AA"/>
    <w:rsid w:val="00317A1E"/>
    <w:rsid w:val="00323A3F"/>
    <w:rsid w:val="003243D7"/>
    <w:rsid w:val="00334C6C"/>
    <w:rsid w:val="003625EC"/>
    <w:rsid w:val="00371D73"/>
    <w:rsid w:val="003733D9"/>
    <w:rsid w:val="00375E38"/>
    <w:rsid w:val="00377888"/>
    <w:rsid w:val="00393DE1"/>
    <w:rsid w:val="00397D30"/>
    <w:rsid w:val="003A7CB8"/>
    <w:rsid w:val="003C4049"/>
    <w:rsid w:val="003C7358"/>
    <w:rsid w:val="003E4411"/>
    <w:rsid w:val="003F58E1"/>
    <w:rsid w:val="00402436"/>
    <w:rsid w:val="004105D2"/>
    <w:rsid w:val="004310FB"/>
    <w:rsid w:val="00452402"/>
    <w:rsid w:val="0046194B"/>
    <w:rsid w:val="00463708"/>
    <w:rsid w:val="00466619"/>
    <w:rsid w:val="00467AFB"/>
    <w:rsid w:val="00474554"/>
    <w:rsid w:val="00482A12"/>
    <w:rsid w:val="004834B2"/>
    <w:rsid w:val="00485578"/>
    <w:rsid w:val="00486F6F"/>
    <w:rsid w:val="004872EA"/>
    <w:rsid w:val="004A385D"/>
    <w:rsid w:val="004B7B9A"/>
    <w:rsid w:val="004C1C53"/>
    <w:rsid w:val="004E04EE"/>
    <w:rsid w:val="004E0548"/>
    <w:rsid w:val="004E643F"/>
    <w:rsid w:val="004E6ED7"/>
    <w:rsid w:val="004E7A65"/>
    <w:rsid w:val="0050046A"/>
    <w:rsid w:val="00507152"/>
    <w:rsid w:val="0053564F"/>
    <w:rsid w:val="00536317"/>
    <w:rsid w:val="005412DD"/>
    <w:rsid w:val="00556CE6"/>
    <w:rsid w:val="00566783"/>
    <w:rsid w:val="005768E1"/>
    <w:rsid w:val="00581638"/>
    <w:rsid w:val="0058250B"/>
    <w:rsid w:val="00583B6F"/>
    <w:rsid w:val="00584FEC"/>
    <w:rsid w:val="005A7EAA"/>
    <w:rsid w:val="005B4809"/>
    <w:rsid w:val="005C3B3E"/>
    <w:rsid w:val="005C7A9A"/>
    <w:rsid w:val="005D0CD0"/>
    <w:rsid w:val="005F055B"/>
    <w:rsid w:val="005F3649"/>
    <w:rsid w:val="00610E1E"/>
    <w:rsid w:val="00614F3E"/>
    <w:rsid w:val="00652410"/>
    <w:rsid w:val="00656016"/>
    <w:rsid w:val="0066007C"/>
    <w:rsid w:val="00675EBC"/>
    <w:rsid w:val="00677176"/>
    <w:rsid w:val="00677E32"/>
    <w:rsid w:val="00684BD7"/>
    <w:rsid w:val="00686C34"/>
    <w:rsid w:val="00687459"/>
    <w:rsid w:val="006904A9"/>
    <w:rsid w:val="00690EFA"/>
    <w:rsid w:val="0069253C"/>
    <w:rsid w:val="0069343A"/>
    <w:rsid w:val="00694ECE"/>
    <w:rsid w:val="00696FA8"/>
    <w:rsid w:val="006A249F"/>
    <w:rsid w:val="006A3C37"/>
    <w:rsid w:val="006A3EA5"/>
    <w:rsid w:val="006B5095"/>
    <w:rsid w:val="006C583A"/>
    <w:rsid w:val="006D00D6"/>
    <w:rsid w:val="006D6EA0"/>
    <w:rsid w:val="006E5774"/>
    <w:rsid w:val="00704A5C"/>
    <w:rsid w:val="00713C30"/>
    <w:rsid w:val="0072066A"/>
    <w:rsid w:val="007310B8"/>
    <w:rsid w:val="007470DA"/>
    <w:rsid w:val="00747818"/>
    <w:rsid w:val="00756651"/>
    <w:rsid w:val="00757644"/>
    <w:rsid w:val="00760512"/>
    <w:rsid w:val="00761CF2"/>
    <w:rsid w:val="007623F8"/>
    <w:rsid w:val="00776422"/>
    <w:rsid w:val="0078034A"/>
    <w:rsid w:val="00781760"/>
    <w:rsid w:val="00782284"/>
    <w:rsid w:val="00782D24"/>
    <w:rsid w:val="00783206"/>
    <w:rsid w:val="007B1CE2"/>
    <w:rsid w:val="007C2AFA"/>
    <w:rsid w:val="007D1E51"/>
    <w:rsid w:val="007E3EF7"/>
    <w:rsid w:val="007E6994"/>
    <w:rsid w:val="007F78D4"/>
    <w:rsid w:val="00801451"/>
    <w:rsid w:val="0080603B"/>
    <w:rsid w:val="00835756"/>
    <w:rsid w:val="0084119E"/>
    <w:rsid w:val="00842CFF"/>
    <w:rsid w:val="008621DB"/>
    <w:rsid w:val="00880FEC"/>
    <w:rsid w:val="00881660"/>
    <w:rsid w:val="008941BA"/>
    <w:rsid w:val="00897CB0"/>
    <w:rsid w:val="008A4EBD"/>
    <w:rsid w:val="008A6344"/>
    <w:rsid w:val="008C56DA"/>
    <w:rsid w:val="008E02A4"/>
    <w:rsid w:val="008E3572"/>
    <w:rsid w:val="008E6426"/>
    <w:rsid w:val="008F2238"/>
    <w:rsid w:val="008F7DD0"/>
    <w:rsid w:val="00900AB0"/>
    <w:rsid w:val="00902563"/>
    <w:rsid w:val="00903B88"/>
    <w:rsid w:val="009147B1"/>
    <w:rsid w:val="009165CC"/>
    <w:rsid w:val="00936324"/>
    <w:rsid w:val="00947AF6"/>
    <w:rsid w:val="00956477"/>
    <w:rsid w:val="00962350"/>
    <w:rsid w:val="009644A2"/>
    <w:rsid w:val="0098578C"/>
    <w:rsid w:val="0099055F"/>
    <w:rsid w:val="009954D1"/>
    <w:rsid w:val="009A1AAC"/>
    <w:rsid w:val="009A39EB"/>
    <w:rsid w:val="009B43A3"/>
    <w:rsid w:val="009E1DF1"/>
    <w:rsid w:val="009E4822"/>
    <w:rsid w:val="009E7B14"/>
    <w:rsid w:val="009F4EE0"/>
    <w:rsid w:val="00A061C7"/>
    <w:rsid w:val="00A076CA"/>
    <w:rsid w:val="00A15C90"/>
    <w:rsid w:val="00A20B4B"/>
    <w:rsid w:val="00A21AB6"/>
    <w:rsid w:val="00A314A6"/>
    <w:rsid w:val="00A351FF"/>
    <w:rsid w:val="00A57AC8"/>
    <w:rsid w:val="00A7219E"/>
    <w:rsid w:val="00A76F23"/>
    <w:rsid w:val="00A80C16"/>
    <w:rsid w:val="00A90793"/>
    <w:rsid w:val="00AB2A9E"/>
    <w:rsid w:val="00AB3E0C"/>
    <w:rsid w:val="00AC142C"/>
    <w:rsid w:val="00AC4BB7"/>
    <w:rsid w:val="00AD054A"/>
    <w:rsid w:val="00AD4F48"/>
    <w:rsid w:val="00AD5F13"/>
    <w:rsid w:val="00AE2082"/>
    <w:rsid w:val="00AE2AAA"/>
    <w:rsid w:val="00AF08E1"/>
    <w:rsid w:val="00AF13B3"/>
    <w:rsid w:val="00AF2133"/>
    <w:rsid w:val="00AF7CB9"/>
    <w:rsid w:val="00B11E93"/>
    <w:rsid w:val="00B1292B"/>
    <w:rsid w:val="00B132B3"/>
    <w:rsid w:val="00B16919"/>
    <w:rsid w:val="00B175BF"/>
    <w:rsid w:val="00B203F5"/>
    <w:rsid w:val="00B350EA"/>
    <w:rsid w:val="00B36B7C"/>
    <w:rsid w:val="00B454E5"/>
    <w:rsid w:val="00B4657D"/>
    <w:rsid w:val="00B62F6C"/>
    <w:rsid w:val="00B6384C"/>
    <w:rsid w:val="00B6451C"/>
    <w:rsid w:val="00B922F6"/>
    <w:rsid w:val="00B93F89"/>
    <w:rsid w:val="00B96DEE"/>
    <w:rsid w:val="00BB1414"/>
    <w:rsid w:val="00BB36D1"/>
    <w:rsid w:val="00BD0725"/>
    <w:rsid w:val="00BD1178"/>
    <w:rsid w:val="00BE3C8E"/>
    <w:rsid w:val="00BF4FF7"/>
    <w:rsid w:val="00BF7CAF"/>
    <w:rsid w:val="00C3015D"/>
    <w:rsid w:val="00C306F0"/>
    <w:rsid w:val="00C33626"/>
    <w:rsid w:val="00C35E55"/>
    <w:rsid w:val="00C54AD3"/>
    <w:rsid w:val="00C70D1F"/>
    <w:rsid w:val="00C7422B"/>
    <w:rsid w:val="00C74AE1"/>
    <w:rsid w:val="00C755EF"/>
    <w:rsid w:val="00C77532"/>
    <w:rsid w:val="00C82423"/>
    <w:rsid w:val="00C83441"/>
    <w:rsid w:val="00C94042"/>
    <w:rsid w:val="00C97196"/>
    <w:rsid w:val="00CA0B7C"/>
    <w:rsid w:val="00CA1EA4"/>
    <w:rsid w:val="00CC479D"/>
    <w:rsid w:val="00CC7DEF"/>
    <w:rsid w:val="00CD0957"/>
    <w:rsid w:val="00CE1BB3"/>
    <w:rsid w:val="00CE2D17"/>
    <w:rsid w:val="00CE6492"/>
    <w:rsid w:val="00CE7FDC"/>
    <w:rsid w:val="00CF71BC"/>
    <w:rsid w:val="00CF7D3A"/>
    <w:rsid w:val="00D00717"/>
    <w:rsid w:val="00D039A8"/>
    <w:rsid w:val="00D32E94"/>
    <w:rsid w:val="00D50AAE"/>
    <w:rsid w:val="00D51A05"/>
    <w:rsid w:val="00D51C53"/>
    <w:rsid w:val="00D53E18"/>
    <w:rsid w:val="00D56B66"/>
    <w:rsid w:val="00D60B64"/>
    <w:rsid w:val="00D638EE"/>
    <w:rsid w:val="00D67C4D"/>
    <w:rsid w:val="00D803D1"/>
    <w:rsid w:val="00D843CF"/>
    <w:rsid w:val="00D8636A"/>
    <w:rsid w:val="00D864B5"/>
    <w:rsid w:val="00D87403"/>
    <w:rsid w:val="00D917C6"/>
    <w:rsid w:val="00DA02B1"/>
    <w:rsid w:val="00DB1ADF"/>
    <w:rsid w:val="00DB5FB6"/>
    <w:rsid w:val="00DC473D"/>
    <w:rsid w:val="00DC60D8"/>
    <w:rsid w:val="00DD452C"/>
    <w:rsid w:val="00DE08DC"/>
    <w:rsid w:val="00DE5452"/>
    <w:rsid w:val="00DF1E2D"/>
    <w:rsid w:val="00DF7C3F"/>
    <w:rsid w:val="00E05650"/>
    <w:rsid w:val="00E05ED6"/>
    <w:rsid w:val="00E10777"/>
    <w:rsid w:val="00E138DB"/>
    <w:rsid w:val="00E14E8A"/>
    <w:rsid w:val="00E240DC"/>
    <w:rsid w:val="00E307E2"/>
    <w:rsid w:val="00E45282"/>
    <w:rsid w:val="00E463EC"/>
    <w:rsid w:val="00E639B2"/>
    <w:rsid w:val="00E71C53"/>
    <w:rsid w:val="00E766CC"/>
    <w:rsid w:val="00E82824"/>
    <w:rsid w:val="00E8655A"/>
    <w:rsid w:val="00E9490F"/>
    <w:rsid w:val="00E94E31"/>
    <w:rsid w:val="00EA42B2"/>
    <w:rsid w:val="00EB337E"/>
    <w:rsid w:val="00ED4740"/>
    <w:rsid w:val="00EE3FC7"/>
    <w:rsid w:val="00EF0BFA"/>
    <w:rsid w:val="00EF5615"/>
    <w:rsid w:val="00EF6E1D"/>
    <w:rsid w:val="00F21E05"/>
    <w:rsid w:val="00F41C0C"/>
    <w:rsid w:val="00F45FD4"/>
    <w:rsid w:val="00F5325D"/>
    <w:rsid w:val="00F53D02"/>
    <w:rsid w:val="00F54A22"/>
    <w:rsid w:val="00F55524"/>
    <w:rsid w:val="00F64E11"/>
    <w:rsid w:val="00F664F9"/>
    <w:rsid w:val="00F66E32"/>
    <w:rsid w:val="00F76D6A"/>
    <w:rsid w:val="00F80D7E"/>
    <w:rsid w:val="00F94B77"/>
    <w:rsid w:val="00F97AA2"/>
    <w:rsid w:val="00FA4370"/>
    <w:rsid w:val="00FA5C86"/>
    <w:rsid w:val="00FB5019"/>
    <w:rsid w:val="00FC5DC6"/>
    <w:rsid w:val="00FC7C10"/>
    <w:rsid w:val="00FD2D91"/>
    <w:rsid w:val="00FD5CCE"/>
    <w:rsid w:val="00FD6683"/>
    <w:rsid w:val="00FD69EA"/>
    <w:rsid w:val="00FE3901"/>
    <w:rsid w:val="00FE4748"/>
    <w:rsid w:val="00FF23F4"/>
    <w:rsid w:val="00FF7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69FF"/>
  <w15:docId w15:val="{6FB60358-4605-48AC-9FAB-26E509D2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B8"/>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310B8"/>
    <w:rPr>
      <w:sz w:val="16"/>
      <w:szCs w:val="16"/>
    </w:rPr>
  </w:style>
  <w:style w:type="paragraph" w:styleId="CommentText">
    <w:name w:val="annotation text"/>
    <w:basedOn w:val="Normal"/>
    <w:link w:val="CommentTextChar"/>
    <w:uiPriority w:val="99"/>
    <w:unhideWhenUsed/>
    <w:rsid w:val="007310B8"/>
    <w:rPr>
      <w:sz w:val="20"/>
      <w:szCs w:val="20"/>
    </w:rPr>
  </w:style>
  <w:style w:type="character" w:customStyle="1" w:styleId="CommentTextChar">
    <w:name w:val="Comment Text Char"/>
    <w:basedOn w:val="DefaultParagraphFont"/>
    <w:link w:val="CommentText"/>
    <w:uiPriority w:val="99"/>
    <w:rsid w:val="007310B8"/>
    <w:rPr>
      <w:rFonts w:ascii="Times New Roman" w:eastAsia="Times New Roman" w:hAnsi="Times New Roman" w:cs="Times New Roman"/>
      <w:sz w:val="20"/>
      <w:szCs w:val="20"/>
      <w:lang w:eastAsia="en-AU"/>
    </w:rPr>
  </w:style>
  <w:style w:type="character" w:customStyle="1" w:styleId="CharSectno">
    <w:name w:val="CharSectno"/>
    <w:basedOn w:val="DefaultParagraphFont"/>
    <w:qFormat/>
    <w:rsid w:val="007310B8"/>
  </w:style>
  <w:style w:type="paragraph" w:styleId="ListParagraph">
    <w:name w:val="List Paragraph"/>
    <w:basedOn w:val="Normal"/>
    <w:link w:val="ListParagraphChar"/>
    <w:uiPriority w:val="34"/>
    <w:qFormat/>
    <w:rsid w:val="007310B8"/>
    <w:pPr>
      <w:ind w:left="720"/>
      <w:contextualSpacing/>
    </w:pPr>
  </w:style>
  <w:style w:type="character" w:customStyle="1" w:styleId="CharAmSchNo">
    <w:name w:val="CharAmSchNo"/>
    <w:qFormat/>
    <w:rsid w:val="007310B8"/>
    <w:rPr>
      <w:rFonts w:cs="Times New Roman"/>
    </w:rPr>
  </w:style>
  <w:style w:type="character" w:customStyle="1" w:styleId="ListParagraphChar">
    <w:name w:val="List Paragraph Char"/>
    <w:link w:val="ListParagraph"/>
    <w:uiPriority w:val="34"/>
    <w:locked/>
    <w:rsid w:val="007310B8"/>
    <w:rPr>
      <w:rFonts w:ascii="Times New Roman" w:eastAsia="Times New Roman" w:hAnsi="Times New Roman" w:cs="Times New Roman"/>
      <w:sz w:val="24"/>
      <w:szCs w:val="24"/>
      <w:lang w:eastAsia="en-AU"/>
    </w:rPr>
  </w:style>
  <w:style w:type="paragraph" w:customStyle="1" w:styleId="R2">
    <w:name w:val="R2"/>
    <w:aliases w:val="(2)"/>
    <w:basedOn w:val="Normal"/>
    <w:rsid w:val="007310B8"/>
    <w:pPr>
      <w:keepLines/>
      <w:tabs>
        <w:tab w:val="right" w:pos="794"/>
      </w:tabs>
      <w:spacing w:before="180" w:line="260" w:lineRule="exact"/>
      <w:ind w:left="964" w:hanging="964"/>
      <w:jc w:val="both"/>
    </w:pPr>
  </w:style>
  <w:style w:type="paragraph" w:customStyle="1" w:styleId="R1">
    <w:name w:val="R1"/>
    <w:aliases w:val="1. or 1.(1)"/>
    <w:basedOn w:val="Normal"/>
    <w:next w:val="R2"/>
    <w:rsid w:val="007310B8"/>
    <w:pPr>
      <w:keepLines/>
      <w:tabs>
        <w:tab w:val="right" w:pos="794"/>
      </w:tabs>
      <w:spacing w:before="120" w:line="260" w:lineRule="exact"/>
      <w:ind w:left="964" w:hanging="964"/>
      <w:jc w:val="both"/>
    </w:pPr>
  </w:style>
  <w:style w:type="paragraph" w:styleId="BalloonText">
    <w:name w:val="Balloon Text"/>
    <w:basedOn w:val="Normal"/>
    <w:link w:val="BalloonTextChar"/>
    <w:uiPriority w:val="99"/>
    <w:semiHidden/>
    <w:unhideWhenUsed/>
    <w:rsid w:val="007310B8"/>
    <w:rPr>
      <w:rFonts w:ascii="Tahoma" w:hAnsi="Tahoma" w:cs="Tahoma"/>
      <w:sz w:val="16"/>
      <w:szCs w:val="16"/>
    </w:rPr>
  </w:style>
  <w:style w:type="character" w:customStyle="1" w:styleId="BalloonTextChar">
    <w:name w:val="Balloon Text Char"/>
    <w:basedOn w:val="DefaultParagraphFont"/>
    <w:link w:val="BalloonText"/>
    <w:uiPriority w:val="99"/>
    <w:semiHidden/>
    <w:rsid w:val="007310B8"/>
    <w:rPr>
      <w:rFonts w:ascii="Tahoma" w:eastAsia="Times New Roman" w:hAnsi="Tahoma" w:cs="Tahoma"/>
      <w:sz w:val="16"/>
      <w:szCs w:val="16"/>
      <w:lang w:eastAsia="en-AU"/>
    </w:rPr>
  </w:style>
  <w:style w:type="paragraph" w:customStyle="1" w:styleId="HR">
    <w:name w:val="HR"/>
    <w:aliases w:val="Regulation Heading"/>
    <w:basedOn w:val="Normal"/>
    <w:next w:val="R1"/>
    <w:rsid w:val="007310B8"/>
    <w:pPr>
      <w:keepNext/>
      <w:keepLines/>
      <w:spacing w:before="360"/>
      <w:ind w:left="964" w:hanging="964"/>
    </w:pPr>
    <w:rPr>
      <w:rFonts w:ascii="Arial" w:hAnsi="Arial"/>
      <w:b/>
    </w:rPr>
  </w:style>
  <w:style w:type="character" w:styleId="Hyperlink">
    <w:name w:val="Hyperlink"/>
    <w:rsid w:val="007310B8"/>
    <w:rPr>
      <w:color w:val="0000FF"/>
      <w:u w:val="single"/>
    </w:rPr>
  </w:style>
  <w:style w:type="paragraph" w:styleId="ListBullet">
    <w:name w:val="List Bullet"/>
    <w:basedOn w:val="Normal"/>
    <w:autoRedefine/>
    <w:rsid w:val="00CA1EA4"/>
    <w:pPr>
      <w:numPr>
        <w:ilvl w:val="1"/>
        <w:numId w:val="6"/>
      </w:numPr>
      <w:spacing w:after="120"/>
    </w:pPr>
  </w:style>
  <w:style w:type="paragraph" w:styleId="FootnoteText">
    <w:name w:val="footnote text"/>
    <w:basedOn w:val="Normal"/>
    <w:link w:val="FootnoteTextChar"/>
    <w:uiPriority w:val="99"/>
    <w:unhideWhenUsed/>
    <w:rsid w:val="00D60B64"/>
    <w:rPr>
      <w:sz w:val="20"/>
      <w:szCs w:val="20"/>
    </w:rPr>
  </w:style>
  <w:style w:type="character" w:customStyle="1" w:styleId="FootnoteTextChar">
    <w:name w:val="Footnote Text Char"/>
    <w:basedOn w:val="DefaultParagraphFont"/>
    <w:link w:val="FootnoteText"/>
    <w:uiPriority w:val="99"/>
    <w:rsid w:val="00D60B64"/>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D60B64"/>
    <w:rPr>
      <w:vertAlign w:val="superscript"/>
    </w:rPr>
  </w:style>
  <w:style w:type="paragraph" w:customStyle="1" w:styleId="Bullet">
    <w:name w:val="Bullet"/>
    <w:basedOn w:val="Normal"/>
    <w:link w:val="BulletChar"/>
    <w:qFormat/>
    <w:rsid w:val="00D60B64"/>
    <w:pPr>
      <w:numPr>
        <w:ilvl w:val="1"/>
        <w:numId w:val="8"/>
      </w:numPr>
      <w:tabs>
        <w:tab w:val="clear" w:pos="1134"/>
        <w:tab w:val="num" w:pos="567"/>
      </w:tabs>
      <w:spacing w:after="240"/>
      <w:ind w:left="567"/>
    </w:pPr>
    <w:rPr>
      <w:lang w:eastAsia="en-US"/>
    </w:rPr>
  </w:style>
  <w:style w:type="character" w:customStyle="1" w:styleId="BulletChar">
    <w:name w:val="Bullet Char"/>
    <w:link w:val="Bullet"/>
    <w:rsid w:val="00D60B64"/>
    <w:rPr>
      <w:rFonts w:ascii="Times New Roman" w:eastAsia="Times New Roman" w:hAnsi="Times New Roman" w:cs="Times New Roman"/>
      <w:sz w:val="24"/>
      <w:szCs w:val="24"/>
    </w:rPr>
  </w:style>
  <w:style w:type="paragraph" w:customStyle="1" w:styleId="DoubleDot">
    <w:name w:val="Double Dot"/>
    <w:basedOn w:val="Normal"/>
    <w:rsid w:val="00D60B64"/>
    <w:pPr>
      <w:numPr>
        <w:ilvl w:val="2"/>
        <w:numId w:val="8"/>
      </w:numPr>
      <w:spacing w:after="240"/>
    </w:pPr>
    <w:rPr>
      <w:lang w:eastAsia="en-US"/>
    </w:rPr>
  </w:style>
  <w:style w:type="paragraph" w:styleId="CommentSubject">
    <w:name w:val="annotation subject"/>
    <w:basedOn w:val="CommentText"/>
    <w:next w:val="CommentText"/>
    <w:link w:val="CommentSubjectChar"/>
    <w:uiPriority w:val="99"/>
    <w:semiHidden/>
    <w:unhideWhenUsed/>
    <w:rsid w:val="003151C7"/>
    <w:rPr>
      <w:b/>
      <w:bCs/>
    </w:rPr>
  </w:style>
  <w:style w:type="character" w:customStyle="1" w:styleId="CommentSubjectChar">
    <w:name w:val="Comment Subject Char"/>
    <w:basedOn w:val="CommentTextChar"/>
    <w:link w:val="CommentSubject"/>
    <w:uiPriority w:val="99"/>
    <w:semiHidden/>
    <w:rsid w:val="003151C7"/>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E307E2"/>
    <w:rPr>
      <w:color w:val="800080" w:themeColor="followedHyperlink"/>
      <w:u w:val="single"/>
    </w:rPr>
  </w:style>
  <w:style w:type="character" w:customStyle="1" w:styleId="UnresolvedMention1">
    <w:name w:val="Unresolved Mention1"/>
    <w:basedOn w:val="DefaultParagraphFont"/>
    <w:uiPriority w:val="99"/>
    <w:semiHidden/>
    <w:unhideWhenUsed/>
    <w:rsid w:val="00D8636A"/>
    <w:rPr>
      <w:color w:val="605E5C"/>
      <w:shd w:val="clear" w:color="auto" w:fill="E1DFDD"/>
    </w:rPr>
  </w:style>
  <w:style w:type="paragraph" w:customStyle="1" w:styleId="subsection">
    <w:name w:val="subsection"/>
    <w:aliases w:val="ss,Subsection"/>
    <w:basedOn w:val="Normal"/>
    <w:link w:val="subsectionChar"/>
    <w:rsid w:val="00801451"/>
    <w:pPr>
      <w:tabs>
        <w:tab w:val="right" w:pos="1021"/>
      </w:tabs>
      <w:spacing w:before="180"/>
      <w:ind w:left="1134" w:hanging="1134"/>
    </w:pPr>
    <w:rPr>
      <w:sz w:val="22"/>
      <w:szCs w:val="20"/>
    </w:rPr>
  </w:style>
  <w:style w:type="character" w:customStyle="1" w:styleId="subsectionChar">
    <w:name w:val="subsection Char"/>
    <w:aliases w:val="ss Char"/>
    <w:basedOn w:val="DefaultParagraphFont"/>
    <w:link w:val="subsection"/>
    <w:locked/>
    <w:rsid w:val="00801451"/>
    <w:rPr>
      <w:rFonts w:ascii="Times New Roman" w:eastAsia="Times New Roman" w:hAnsi="Times New Roman" w:cs="Times New Roman"/>
      <w:szCs w:val="20"/>
      <w:lang w:eastAsia="en-AU"/>
    </w:rPr>
  </w:style>
  <w:style w:type="paragraph" w:customStyle="1" w:styleId="Item">
    <w:name w:val="Item"/>
    <w:aliases w:val="i"/>
    <w:basedOn w:val="Normal"/>
    <w:next w:val="ItemHead"/>
    <w:rsid w:val="00A076CA"/>
    <w:pPr>
      <w:keepLines/>
      <w:spacing w:before="80"/>
      <w:ind w:left="709"/>
    </w:pPr>
    <w:rPr>
      <w:sz w:val="22"/>
      <w:szCs w:val="20"/>
    </w:rPr>
  </w:style>
  <w:style w:type="paragraph" w:customStyle="1" w:styleId="ItemHead">
    <w:name w:val="ItemHead"/>
    <w:aliases w:val="ih"/>
    <w:basedOn w:val="Normal"/>
    <w:next w:val="Item"/>
    <w:rsid w:val="00A076CA"/>
    <w:pPr>
      <w:keepNext/>
      <w:keepLines/>
      <w:spacing w:before="220"/>
      <w:ind w:left="709" w:hanging="709"/>
    </w:pPr>
    <w:rPr>
      <w:rFonts w:ascii="Arial" w:hAnsi="Arial"/>
      <w:b/>
      <w:kern w:val="28"/>
      <w:szCs w:val="20"/>
    </w:rPr>
  </w:style>
  <w:style w:type="paragraph" w:customStyle="1" w:styleId="Default">
    <w:name w:val="Default"/>
    <w:rsid w:val="00A076CA"/>
    <w:pPr>
      <w:autoSpaceDE w:val="0"/>
      <w:autoSpaceDN w:val="0"/>
      <w:adjustRightInd w:val="0"/>
      <w:spacing w:after="0" w:line="240" w:lineRule="auto"/>
    </w:pPr>
    <w:rPr>
      <w:rFonts w:ascii="Arial" w:hAnsi="Arial" w:cs="Arial"/>
      <w:color w:val="000000"/>
      <w:sz w:val="24"/>
      <w:szCs w:val="24"/>
    </w:rPr>
  </w:style>
  <w:style w:type="character" w:customStyle="1" w:styleId="charamschno0">
    <w:name w:val="charamschno"/>
    <w:basedOn w:val="DefaultParagraphFont"/>
    <w:rsid w:val="00DB5FB6"/>
  </w:style>
  <w:style w:type="paragraph" w:customStyle="1" w:styleId="r20">
    <w:name w:val="r2"/>
    <w:basedOn w:val="Normal"/>
    <w:rsid w:val="009E1DF1"/>
    <w:pPr>
      <w:spacing w:before="100" w:beforeAutospacing="1" w:after="100" w:afterAutospacing="1"/>
    </w:pPr>
  </w:style>
  <w:style w:type="character" w:customStyle="1" w:styleId="charsectno0">
    <w:name w:val="charsectno"/>
    <w:basedOn w:val="DefaultParagraphFont"/>
    <w:rsid w:val="009E1DF1"/>
  </w:style>
  <w:style w:type="character" w:customStyle="1" w:styleId="CharChapNo">
    <w:name w:val="CharChapNo"/>
    <w:basedOn w:val="DefaultParagraphFont"/>
    <w:uiPriority w:val="1"/>
    <w:qFormat/>
    <w:rsid w:val="00AB2A9E"/>
  </w:style>
  <w:style w:type="paragraph" w:styleId="Header">
    <w:name w:val="header"/>
    <w:basedOn w:val="Normal"/>
    <w:link w:val="HeaderChar"/>
    <w:uiPriority w:val="99"/>
    <w:unhideWhenUsed/>
    <w:rsid w:val="0078034A"/>
    <w:pPr>
      <w:tabs>
        <w:tab w:val="center" w:pos="4513"/>
        <w:tab w:val="right" w:pos="9026"/>
      </w:tabs>
    </w:pPr>
  </w:style>
  <w:style w:type="character" w:customStyle="1" w:styleId="HeaderChar">
    <w:name w:val="Header Char"/>
    <w:basedOn w:val="DefaultParagraphFont"/>
    <w:link w:val="Header"/>
    <w:uiPriority w:val="99"/>
    <w:rsid w:val="0078034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034A"/>
    <w:pPr>
      <w:tabs>
        <w:tab w:val="center" w:pos="4513"/>
        <w:tab w:val="right" w:pos="9026"/>
      </w:tabs>
    </w:pPr>
  </w:style>
  <w:style w:type="character" w:customStyle="1" w:styleId="FooterChar">
    <w:name w:val="Footer Char"/>
    <w:basedOn w:val="DefaultParagraphFont"/>
    <w:link w:val="Footer"/>
    <w:uiPriority w:val="99"/>
    <w:rsid w:val="0078034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27655">
      <w:bodyDiv w:val="1"/>
      <w:marLeft w:val="0"/>
      <w:marRight w:val="0"/>
      <w:marTop w:val="0"/>
      <w:marBottom w:val="0"/>
      <w:divBdr>
        <w:top w:val="none" w:sz="0" w:space="0" w:color="auto"/>
        <w:left w:val="none" w:sz="0" w:space="0" w:color="auto"/>
        <w:bottom w:val="none" w:sz="0" w:space="0" w:color="auto"/>
        <w:right w:val="none" w:sz="0" w:space="0" w:color="auto"/>
      </w:divBdr>
    </w:div>
    <w:div w:id="1362978153">
      <w:bodyDiv w:val="1"/>
      <w:marLeft w:val="0"/>
      <w:marRight w:val="0"/>
      <w:marTop w:val="0"/>
      <w:marBottom w:val="0"/>
      <w:divBdr>
        <w:top w:val="none" w:sz="0" w:space="0" w:color="auto"/>
        <w:left w:val="none" w:sz="0" w:space="0" w:color="auto"/>
        <w:bottom w:val="none" w:sz="0" w:space="0" w:color="auto"/>
        <w:right w:val="none" w:sz="0" w:space="0" w:color="auto"/>
      </w:divBdr>
    </w:div>
    <w:div w:id="1639140114">
      <w:bodyDiv w:val="1"/>
      <w:marLeft w:val="0"/>
      <w:marRight w:val="0"/>
      <w:marTop w:val="0"/>
      <w:marBottom w:val="0"/>
      <w:divBdr>
        <w:top w:val="none" w:sz="0" w:space="0" w:color="auto"/>
        <w:left w:val="none" w:sz="0" w:space="0" w:color="auto"/>
        <w:bottom w:val="none" w:sz="0" w:space="0" w:color="auto"/>
        <w:right w:val="none" w:sz="0" w:space="0" w:color="auto"/>
      </w:divBdr>
      <w:divsChild>
        <w:div w:id="1660570785">
          <w:marLeft w:val="0"/>
          <w:marRight w:val="0"/>
          <w:marTop w:val="0"/>
          <w:marBottom w:val="0"/>
          <w:divBdr>
            <w:top w:val="none" w:sz="0" w:space="0" w:color="auto"/>
            <w:left w:val="none" w:sz="0" w:space="0" w:color="auto"/>
            <w:bottom w:val="none" w:sz="0" w:space="0" w:color="auto"/>
            <w:right w:val="none" w:sz="0" w:space="0" w:color="auto"/>
          </w:divBdr>
          <w:divsChild>
            <w:div w:id="1976450171">
              <w:marLeft w:val="0"/>
              <w:marRight w:val="0"/>
              <w:marTop w:val="0"/>
              <w:marBottom w:val="0"/>
              <w:divBdr>
                <w:top w:val="none" w:sz="0" w:space="0" w:color="auto"/>
                <w:left w:val="none" w:sz="0" w:space="0" w:color="auto"/>
                <w:bottom w:val="none" w:sz="0" w:space="0" w:color="auto"/>
                <w:right w:val="none" w:sz="0" w:space="0" w:color="auto"/>
              </w:divBdr>
              <w:divsChild>
                <w:div w:id="1195117645">
                  <w:marLeft w:val="0"/>
                  <w:marRight w:val="0"/>
                  <w:marTop w:val="0"/>
                  <w:marBottom w:val="0"/>
                  <w:divBdr>
                    <w:top w:val="none" w:sz="0" w:space="0" w:color="auto"/>
                    <w:left w:val="none" w:sz="0" w:space="0" w:color="auto"/>
                    <w:bottom w:val="none" w:sz="0" w:space="0" w:color="auto"/>
                    <w:right w:val="none" w:sz="0" w:space="0" w:color="auto"/>
                  </w:divBdr>
                  <w:divsChild>
                    <w:div w:id="558129998">
                      <w:marLeft w:val="0"/>
                      <w:marRight w:val="0"/>
                      <w:marTop w:val="0"/>
                      <w:marBottom w:val="0"/>
                      <w:divBdr>
                        <w:top w:val="none" w:sz="0" w:space="0" w:color="auto"/>
                        <w:left w:val="none" w:sz="0" w:space="0" w:color="auto"/>
                        <w:bottom w:val="none" w:sz="0" w:space="0" w:color="auto"/>
                        <w:right w:val="none" w:sz="0" w:space="0" w:color="auto"/>
                      </w:divBdr>
                      <w:divsChild>
                        <w:div w:id="466045237">
                          <w:marLeft w:val="0"/>
                          <w:marRight w:val="0"/>
                          <w:marTop w:val="0"/>
                          <w:marBottom w:val="0"/>
                          <w:divBdr>
                            <w:top w:val="none" w:sz="0" w:space="0" w:color="auto"/>
                            <w:left w:val="none" w:sz="0" w:space="0" w:color="auto"/>
                            <w:bottom w:val="none" w:sz="0" w:space="0" w:color="auto"/>
                            <w:right w:val="none" w:sz="0" w:space="0" w:color="auto"/>
                          </w:divBdr>
                          <w:divsChild>
                            <w:div w:id="470244826">
                              <w:marLeft w:val="0"/>
                              <w:marRight w:val="0"/>
                              <w:marTop w:val="0"/>
                              <w:marBottom w:val="0"/>
                              <w:divBdr>
                                <w:top w:val="none" w:sz="0" w:space="0" w:color="auto"/>
                                <w:left w:val="none" w:sz="0" w:space="0" w:color="auto"/>
                                <w:bottom w:val="none" w:sz="0" w:space="0" w:color="auto"/>
                                <w:right w:val="none" w:sz="0" w:space="0" w:color="auto"/>
                              </w:divBdr>
                              <w:divsChild>
                                <w:div w:id="431513968">
                                  <w:marLeft w:val="0"/>
                                  <w:marRight w:val="0"/>
                                  <w:marTop w:val="0"/>
                                  <w:marBottom w:val="0"/>
                                  <w:divBdr>
                                    <w:top w:val="none" w:sz="0" w:space="0" w:color="auto"/>
                                    <w:left w:val="none" w:sz="0" w:space="0" w:color="auto"/>
                                    <w:bottom w:val="none" w:sz="0" w:space="0" w:color="auto"/>
                                    <w:right w:val="none" w:sz="0" w:space="0" w:color="auto"/>
                                  </w:divBdr>
                                  <w:divsChild>
                                    <w:div w:id="197472193">
                                      <w:marLeft w:val="0"/>
                                      <w:marRight w:val="0"/>
                                      <w:marTop w:val="0"/>
                                      <w:marBottom w:val="0"/>
                                      <w:divBdr>
                                        <w:top w:val="none" w:sz="0" w:space="0" w:color="auto"/>
                                        <w:left w:val="none" w:sz="0" w:space="0" w:color="auto"/>
                                        <w:bottom w:val="none" w:sz="0" w:space="0" w:color="auto"/>
                                        <w:right w:val="none" w:sz="0" w:space="0" w:color="auto"/>
                                      </w:divBdr>
                                      <w:divsChild>
                                        <w:div w:id="1640261506">
                                          <w:marLeft w:val="0"/>
                                          <w:marRight w:val="0"/>
                                          <w:marTop w:val="0"/>
                                          <w:marBottom w:val="0"/>
                                          <w:divBdr>
                                            <w:top w:val="none" w:sz="0" w:space="0" w:color="auto"/>
                                            <w:left w:val="none" w:sz="0" w:space="0" w:color="auto"/>
                                            <w:bottom w:val="none" w:sz="0" w:space="0" w:color="auto"/>
                                            <w:right w:val="none" w:sz="0" w:space="0" w:color="auto"/>
                                          </w:divBdr>
                                          <w:divsChild>
                                            <w:div w:id="1173030394">
                                              <w:marLeft w:val="0"/>
                                              <w:marRight w:val="0"/>
                                              <w:marTop w:val="0"/>
                                              <w:marBottom w:val="0"/>
                                              <w:divBdr>
                                                <w:top w:val="none" w:sz="0" w:space="0" w:color="auto"/>
                                                <w:left w:val="none" w:sz="0" w:space="0" w:color="auto"/>
                                                <w:bottom w:val="none" w:sz="0" w:space="0" w:color="auto"/>
                                                <w:right w:val="none" w:sz="0" w:space="0" w:color="auto"/>
                                              </w:divBdr>
                                              <w:divsChild>
                                                <w:div w:id="670989019">
                                                  <w:marLeft w:val="0"/>
                                                  <w:marRight w:val="0"/>
                                                  <w:marTop w:val="0"/>
                                                  <w:marBottom w:val="0"/>
                                                  <w:divBdr>
                                                    <w:top w:val="none" w:sz="0" w:space="0" w:color="auto"/>
                                                    <w:left w:val="none" w:sz="0" w:space="0" w:color="auto"/>
                                                    <w:bottom w:val="none" w:sz="0" w:space="0" w:color="auto"/>
                                                    <w:right w:val="none" w:sz="0" w:space="0" w:color="auto"/>
                                                  </w:divBdr>
                                                  <w:divsChild>
                                                    <w:div w:id="498009273">
                                                      <w:marLeft w:val="0"/>
                                                      <w:marRight w:val="0"/>
                                                      <w:marTop w:val="0"/>
                                                      <w:marBottom w:val="0"/>
                                                      <w:divBdr>
                                                        <w:top w:val="none" w:sz="0" w:space="0" w:color="auto"/>
                                                        <w:left w:val="none" w:sz="0" w:space="0" w:color="auto"/>
                                                        <w:bottom w:val="none" w:sz="0" w:space="0" w:color="auto"/>
                                                        <w:right w:val="none" w:sz="0" w:space="0" w:color="auto"/>
                                                      </w:divBdr>
                                                      <w:divsChild>
                                                        <w:div w:id="8576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419396">
      <w:bodyDiv w:val="1"/>
      <w:marLeft w:val="0"/>
      <w:marRight w:val="0"/>
      <w:marTop w:val="0"/>
      <w:marBottom w:val="0"/>
      <w:divBdr>
        <w:top w:val="none" w:sz="0" w:space="0" w:color="auto"/>
        <w:left w:val="none" w:sz="0" w:space="0" w:color="auto"/>
        <w:bottom w:val="none" w:sz="0" w:space="0" w:color="auto"/>
        <w:right w:val="none" w:sz="0" w:space="0" w:color="auto"/>
      </w:divBdr>
      <w:divsChild>
        <w:div w:id="278336509">
          <w:marLeft w:val="0"/>
          <w:marRight w:val="0"/>
          <w:marTop w:val="0"/>
          <w:marBottom w:val="0"/>
          <w:divBdr>
            <w:top w:val="none" w:sz="0" w:space="0" w:color="auto"/>
            <w:left w:val="none" w:sz="0" w:space="0" w:color="auto"/>
            <w:bottom w:val="none" w:sz="0" w:space="0" w:color="auto"/>
            <w:right w:val="none" w:sz="0" w:space="0" w:color="auto"/>
          </w:divBdr>
          <w:divsChild>
            <w:div w:id="523711358">
              <w:marLeft w:val="0"/>
              <w:marRight w:val="0"/>
              <w:marTop w:val="0"/>
              <w:marBottom w:val="0"/>
              <w:divBdr>
                <w:top w:val="none" w:sz="0" w:space="0" w:color="auto"/>
                <w:left w:val="none" w:sz="0" w:space="0" w:color="auto"/>
                <w:bottom w:val="none" w:sz="0" w:space="0" w:color="auto"/>
                <w:right w:val="none" w:sz="0" w:space="0" w:color="auto"/>
              </w:divBdr>
              <w:divsChild>
                <w:div w:id="1088306324">
                  <w:marLeft w:val="0"/>
                  <w:marRight w:val="0"/>
                  <w:marTop w:val="0"/>
                  <w:marBottom w:val="0"/>
                  <w:divBdr>
                    <w:top w:val="none" w:sz="0" w:space="0" w:color="auto"/>
                    <w:left w:val="none" w:sz="0" w:space="0" w:color="auto"/>
                    <w:bottom w:val="none" w:sz="0" w:space="0" w:color="auto"/>
                    <w:right w:val="none" w:sz="0" w:space="0" w:color="auto"/>
                  </w:divBdr>
                  <w:divsChild>
                    <w:div w:id="1204055733">
                      <w:marLeft w:val="0"/>
                      <w:marRight w:val="0"/>
                      <w:marTop w:val="0"/>
                      <w:marBottom w:val="0"/>
                      <w:divBdr>
                        <w:top w:val="none" w:sz="0" w:space="0" w:color="auto"/>
                        <w:left w:val="none" w:sz="0" w:space="0" w:color="auto"/>
                        <w:bottom w:val="none" w:sz="0" w:space="0" w:color="auto"/>
                        <w:right w:val="none" w:sz="0" w:space="0" w:color="auto"/>
                      </w:divBdr>
                      <w:divsChild>
                        <w:div w:id="2001813657">
                          <w:marLeft w:val="0"/>
                          <w:marRight w:val="0"/>
                          <w:marTop w:val="0"/>
                          <w:marBottom w:val="0"/>
                          <w:divBdr>
                            <w:top w:val="none" w:sz="0" w:space="0" w:color="auto"/>
                            <w:left w:val="none" w:sz="0" w:space="0" w:color="auto"/>
                            <w:bottom w:val="none" w:sz="0" w:space="0" w:color="auto"/>
                            <w:right w:val="none" w:sz="0" w:space="0" w:color="auto"/>
                          </w:divBdr>
                          <w:divsChild>
                            <w:div w:id="1219512785">
                              <w:marLeft w:val="0"/>
                              <w:marRight w:val="0"/>
                              <w:marTop w:val="0"/>
                              <w:marBottom w:val="0"/>
                              <w:divBdr>
                                <w:top w:val="none" w:sz="0" w:space="0" w:color="auto"/>
                                <w:left w:val="none" w:sz="0" w:space="0" w:color="auto"/>
                                <w:bottom w:val="none" w:sz="0" w:space="0" w:color="auto"/>
                                <w:right w:val="none" w:sz="0" w:space="0" w:color="auto"/>
                              </w:divBdr>
                              <w:divsChild>
                                <w:div w:id="1292976054">
                                  <w:marLeft w:val="0"/>
                                  <w:marRight w:val="0"/>
                                  <w:marTop w:val="0"/>
                                  <w:marBottom w:val="0"/>
                                  <w:divBdr>
                                    <w:top w:val="none" w:sz="0" w:space="0" w:color="auto"/>
                                    <w:left w:val="none" w:sz="0" w:space="0" w:color="auto"/>
                                    <w:bottom w:val="none" w:sz="0" w:space="0" w:color="auto"/>
                                    <w:right w:val="none" w:sz="0" w:space="0" w:color="auto"/>
                                  </w:divBdr>
                                  <w:divsChild>
                                    <w:div w:id="1315987591">
                                      <w:marLeft w:val="0"/>
                                      <w:marRight w:val="0"/>
                                      <w:marTop w:val="0"/>
                                      <w:marBottom w:val="0"/>
                                      <w:divBdr>
                                        <w:top w:val="none" w:sz="0" w:space="0" w:color="auto"/>
                                        <w:left w:val="none" w:sz="0" w:space="0" w:color="auto"/>
                                        <w:bottom w:val="none" w:sz="0" w:space="0" w:color="auto"/>
                                        <w:right w:val="none" w:sz="0" w:space="0" w:color="auto"/>
                                      </w:divBdr>
                                      <w:divsChild>
                                        <w:div w:id="553199661">
                                          <w:marLeft w:val="0"/>
                                          <w:marRight w:val="0"/>
                                          <w:marTop w:val="0"/>
                                          <w:marBottom w:val="0"/>
                                          <w:divBdr>
                                            <w:top w:val="none" w:sz="0" w:space="0" w:color="auto"/>
                                            <w:left w:val="none" w:sz="0" w:space="0" w:color="auto"/>
                                            <w:bottom w:val="none" w:sz="0" w:space="0" w:color="auto"/>
                                            <w:right w:val="none" w:sz="0" w:space="0" w:color="auto"/>
                                          </w:divBdr>
                                          <w:divsChild>
                                            <w:div w:id="1303578325">
                                              <w:marLeft w:val="0"/>
                                              <w:marRight w:val="0"/>
                                              <w:marTop w:val="0"/>
                                              <w:marBottom w:val="0"/>
                                              <w:divBdr>
                                                <w:top w:val="none" w:sz="0" w:space="0" w:color="auto"/>
                                                <w:left w:val="none" w:sz="0" w:space="0" w:color="auto"/>
                                                <w:bottom w:val="none" w:sz="0" w:space="0" w:color="auto"/>
                                                <w:right w:val="none" w:sz="0" w:space="0" w:color="auto"/>
                                              </w:divBdr>
                                              <w:divsChild>
                                                <w:div w:id="1084306561">
                                                  <w:marLeft w:val="0"/>
                                                  <w:marRight w:val="0"/>
                                                  <w:marTop w:val="0"/>
                                                  <w:marBottom w:val="0"/>
                                                  <w:divBdr>
                                                    <w:top w:val="none" w:sz="0" w:space="0" w:color="auto"/>
                                                    <w:left w:val="none" w:sz="0" w:space="0" w:color="auto"/>
                                                    <w:bottom w:val="none" w:sz="0" w:space="0" w:color="auto"/>
                                                    <w:right w:val="none" w:sz="0" w:space="0" w:color="auto"/>
                                                  </w:divBdr>
                                                  <w:divsChild>
                                                    <w:div w:id="1294559594">
                                                      <w:marLeft w:val="0"/>
                                                      <w:marRight w:val="0"/>
                                                      <w:marTop w:val="0"/>
                                                      <w:marBottom w:val="0"/>
                                                      <w:divBdr>
                                                        <w:top w:val="none" w:sz="0" w:space="0" w:color="auto"/>
                                                        <w:left w:val="none" w:sz="0" w:space="0" w:color="auto"/>
                                                        <w:bottom w:val="none" w:sz="0" w:space="0" w:color="auto"/>
                                                        <w:right w:val="none" w:sz="0" w:space="0" w:color="auto"/>
                                                      </w:divBdr>
                                                      <w:divsChild>
                                                        <w:div w:id="3683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669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stralianapprenticeship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7FFC0721950174D9D20BA44FCE20C8F" ma:contentTypeVersion="" ma:contentTypeDescription="PDMS Document Site Content Type" ma:contentTypeScope="" ma:versionID="305912102a7d77d25b563c2431d9e2dc">
  <xsd:schema xmlns:xsd="http://www.w3.org/2001/XMLSchema" xmlns:xs="http://www.w3.org/2001/XMLSchema" xmlns:p="http://schemas.microsoft.com/office/2006/metadata/properties" xmlns:ns2="489FDFE5-C4E4-47C3-A748-20A336A436AD" targetNamespace="http://schemas.microsoft.com/office/2006/metadata/properties" ma:root="true" ma:fieldsID="27c0b0e79508a36d90eed2d4aead04d4" ns2:_="">
    <xsd:import namespace="489FDFE5-C4E4-47C3-A748-20A336A436A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FDFE5-C4E4-47C3-A748-20A336A436A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489FDFE5-C4E4-47C3-A748-20A336A436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B404A-3853-4538-9338-0E08C9C4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FDFE5-C4E4-47C3-A748-20A336A43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A2AC5-59D5-4635-929E-5C68BAE2A4A8}">
  <ds:schemaRefs>
    <ds:schemaRef ds:uri="http://purl.org/dc/dcmitype/"/>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489FDFE5-C4E4-47C3-A748-20A336A436AD"/>
    <ds:schemaRef ds:uri="http://schemas.microsoft.com/office/2006/metadata/properties"/>
  </ds:schemaRefs>
</ds:datastoreItem>
</file>

<file path=customXml/itemProps3.xml><?xml version="1.0" encoding="utf-8"?>
<ds:datastoreItem xmlns:ds="http://schemas.openxmlformats.org/officeDocument/2006/customXml" ds:itemID="{72F93A57-C495-4784-9EE9-D6186E6F3DFD}">
  <ds:schemaRefs>
    <ds:schemaRef ds:uri="http://schemas.microsoft.com/sharepoint/v3/contenttype/forms"/>
  </ds:schemaRefs>
</ds:datastoreItem>
</file>

<file path=customXml/itemProps4.xml><?xml version="1.0" encoding="utf-8"?>
<ds:datastoreItem xmlns:ds="http://schemas.openxmlformats.org/officeDocument/2006/customXml" ds:itemID="{FB08B8E2-6B3D-4CBF-99B7-389FBB991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3706</Words>
  <Characters>19420</Characters>
  <Application>Microsoft Office Word</Application>
  <DocSecurity>0</DocSecurity>
  <Lines>473</Lines>
  <Paragraphs>391</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Pomroy</dc:creator>
  <cp:lastModifiedBy>GRAY,Linda</cp:lastModifiedBy>
  <cp:revision>2</cp:revision>
  <cp:lastPrinted>2021-11-30T04:51:00Z</cp:lastPrinted>
  <dcterms:created xsi:type="dcterms:W3CDTF">2022-12-15T23:08:00Z</dcterms:created>
  <dcterms:modified xsi:type="dcterms:W3CDTF">2022-12-15T23:08:00Z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0x010100266966F133664895A6EE3632470D45F500C7FFC0721950174D9D20BA44FCE20C8F</vt:lpwstr>
  </property>
  <property fmtid="{D5CDD505-2E9C-101B-9397-08002B2CF9AE}" pid="7" name="MSIP_Label_79d889eb-932f-4752-8739-64d25806ef64_Enabled">
    <vt:lpwstr>true</vt:lpwstr>
  </property>
  <property fmtid="{D5CDD505-2E9C-101B-9397-08002B2CF9AE}" pid="8" name="MSIP_Label_79d889eb-932f-4752-8739-64d25806ef64_SetDate">
    <vt:lpwstr>2022-11-07T04:16:59Z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4da4abf0-b3a3-471a-aa6f-ff1493f7278c</vt:lpwstr>
  </property>
  <property fmtid="{D5CDD505-2E9C-101B-9397-08002B2CF9AE}" pid="13" name="MSIP_Label_79d889eb-932f-4752-8739-64d25806ef64_ContentBits">
    <vt:lpwstr>0</vt:lpwstr>
  </property>
</Properties>
</file>