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FE8F96" w14:textId="77777777" w:rsidR="00715914" w:rsidRPr="005F1388" w:rsidRDefault="00DA186E" w:rsidP="00715914">
      <w:pPr>
        <w:rPr>
          <w:sz w:val="28"/>
        </w:rPr>
      </w:pPr>
      <w:r>
        <w:rPr>
          <w:noProof/>
          <w:lang w:eastAsia="en-AU"/>
        </w:rPr>
        <w:drawing>
          <wp:inline distT="0" distB="0" distL="0" distR="0" wp14:anchorId="236E6637" wp14:editId="5D541E40">
            <wp:extent cx="1503328" cy="1105200"/>
            <wp:effectExtent l="0" t="0" r="1905" b="0"/>
            <wp:docPr id="1" name="Picture 1" descr="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onwealth Coat of Arms"/>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503328" cy="1105200"/>
                    </a:xfrm>
                    <a:prstGeom prst="rect">
                      <a:avLst/>
                    </a:prstGeom>
                    <a:noFill/>
                    <a:ln>
                      <a:noFill/>
                    </a:ln>
                  </pic:spPr>
                </pic:pic>
              </a:graphicData>
            </a:graphic>
          </wp:inline>
        </w:drawing>
      </w:r>
    </w:p>
    <w:p w14:paraId="54D734C0" w14:textId="77777777" w:rsidR="00715914" w:rsidRPr="00E500D4" w:rsidRDefault="00715914" w:rsidP="00715914">
      <w:pPr>
        <w:rPr>
          <w:sz w:val="19"/>
        </w:rPr>
      </w:pPr>
    </w:p>
    <w:p w14:paraId="5F0F799F" w14:textId="263F1C8E" w:rsidR="00554826" w:rsidRPr="00E500D4" w:rsidRDefault="00CE452C" w:rsidP="00554826">
      <w:pPr>
        <w:pStyle w:val="ShortT"/>
      </w:pPr>
      <w:r w:rsidRPr="00CE452C">
        <w:t>Education Services for Overseas Students (TPS Levies) (Risk Rated Premium and Special Tuition Protection Components) Instrument 202</w:t>
      </w:r>
      <w:r>
        <w:t>1</w:t>
      </w:r>
    </w:p>
    <w:p w14:paraId="6FB9BABA" w14:textId="5A5C1477" w:rsidR="00554826" w:rsidRPr="00240839" w:rsidRDefault="00554826" w:rsidP="00554826">
      <w:pPr>
        <w:pStyle w:val="SignCoverPageStart"/>
        <w:spacing w:before="240"/>
        <w:ind w:right="91"/>
        <w:rPr>
          <w:szCs w:val="22"/>
        </w:rPr>
      </w:pPr>
      <w:r w:rsidRPr="00240839">
        <w:rPr>
          <w:szCs w:val="22"/>
        </w:rPr>
        <w:t>I,</w:t>
      </w:r>
      <w:r w:rsidR="00CE452C" w:rsidRPr="00240839">
        <w:rPr>
          <w:szCs w:val="22"/>
        </w:rPr>
        <w:t xml:space="preserve"> </w:t>
      </w:r>
      <w:r w:rsidR="00430BB8">
        <w:rPr>
          <w:szCs w:val="22"/>
        </w:rPr>
        <w:t>Cindy Cummins</w:t>
      </w:r>
      <w:r w:rsidRPr="00240839">
        <w:rPr>
          <w:szCs w:val="22"/>
        </w:rPr>
        <w:t>,</w:t>
      </w:r>
      <w:r w:rsidR="00240839" w:rsidRPr="00240839">
        <w:rPr>
          <w:szCs w:val="22"/>
        </w:rPr>
        <w:t xml:space="preserve"> Acting</w:t>
      </w:r>
      <w:r w:rsidRPr="00240839">
        <w:rPr>
          <w:szCs w:val="22"/>
        </w:rPr>
        <w:t xml:space="preserve"> </w:t>
      </w:r>
      <w:r w:rsidR="00CE452C" w:rsidRPr="00240839">
        <w:rPr>
          <w:szCs w:val="22"/>
        </w:rPr>
        <w:t>TPS Director</w:t>
      </w:r>
      <w:r w:rsidRPr="00240839">
        <w:rPr>
          <w:szCs w:val="22"/>
        </w:rPr>
        <w:t>, make the following</w:t>
      </w:r>
      <w:r w:rsidR="00CE452C" w:rsidRPr="00240839">
        <w:rPr>
          <w:szCs w:val="22"/>
        </w:rPr>
        <w:t xml:space="preserve"> instrument</w:t>
      </w:r>
      <w:r w:rsidRPr="00240839">
        <w:rPr>
          <w:szCs w:val="22"/>
        </w:rPr>
        <w:t>.</w:t>
      </w:r>
    </w:p>
    <w:p w14:paraId="433D55F9" w14:textId="30487BDA" w:rsidR="00554826" w:rsidRPr="00240839" w:rsidRDefault="00554826" w:rsidP="00554826">
      <w:pPr>
        <w:keepNext/>
        <w:spacing w:before="300" w:line="240" w:lineRule="atLeast"/>
        <w:ind w:right="397"/>
        <w:jc w:val="both"/>
        <w:rPr>
          <w:szCs w:val="22"/>
        </w:rPr>
      </w:pPr>
      <w:r w:rsidRPr="00240839">
        <w:rPr>
          <w:szCs w:val="22"/>
        </w:rPr>
        <w:t>Dated</w:t>
      </w:r>
      <w:r w:rsidR="00A15AD4">
        <w:rPr>
          <w:szCs w:val="22"/>
        </w:rPr>
        <w:t xml:space="preserve"> 23 December 2021</w:t>
      </w:r>
      <w:r w:rsidRPr="00240839">
        <w:rPr>
          <w:szCs w:val="22"/>
        </w:rPr>
        <w:tab/>
      </w:r>
      <w:r w:rsidRPr="00240839">
        <w:rPr>
          <w:szCs w:val="22"/>
        </w:rPr>
        <w:tab/>
      </w:r>
      <w:r w:rsidRPr="00240839">
        <w:rPr>
          <w:szCs w:val="22"/>
        </w:rPr>
        <w:tab/>
      </w:r>
      <w:r w:rsidRPr="00240839">
        <w:rPr>
          <w:szCs w:val="22"/>
        </w:rPr>
        <w:tab/>
      </w:r>
    </w:p>
    <w:p w14:paraId="23181A95" w14:textId="24FA5C17" w:rsidR="00554826" w:rsidRPr="00240839" w:rsidRDefault="00430BB8" w:rsidP="00554826">
      <w:pPr>
        <w:keepNext/>
        <w:tabs>
          <w:tab w:val="left" w:pos="3402"/>
        </w:tabs>
        <w:spacing w:before="1440" w:line="300" w:lineRule="atLeast"/>
        <w:ind w:right="397"/>
        <w:rPr>
          <w:b/>
          <w:szCs w:val="22"/>
        </w:rPr>
      </w:pPr>
      <w:r>
        <w:rPr>
          <w:szCs w:val="22"/>
        </w:rPr>
        <w:t>Cindy Cummins</w:t>
      </w:r>
      <w:r w:rsidR="00554826" w:rsidRPr="00240839">
        <w:rPr>
          <w:szCs w:val="22"/>
        </w:rPr>
        <w:t xml:space="preserve"> </w:t>
      </w:r>
    </w:p>
    <w:p w14:paraId="6EC099E5" w14:textId="362C6C88" w:rsidR="00554826" w:rsidRPr="008E0027" w:rsidRDefault="00240839" w:rsidP="00554826">
      <w:pPr>
        <w:pStyle w:val="SignCoverPageEnd"/>
        <w:ind w:right="91"/>
        <w:rPr>
          <w:sz w:val="22"/>
        </w:rPr>
      </w:pPr>
      <w:r w:rsidRPr="00240839">
        <w:rPr>
          <w:sz w:val="22"/>
        </w:rPr>
        <w:t xml:space="preserve">Acting </w:t>
      </w:r>
      <w:r w:rsidR="00CE452C" w:rsidRPr="00240839">
        <w:rPr>
          <w:sz w:val="22"/>
        </w:rPr>
        <w:t>TPS Director</w:t>
      </w:r>
    </w:p>
    <w:p w14:paraId="6DDCE93D" w14:textId="77777777" w:rsidR="00554826" w:rsidRDefault="00554826" w:rsidP="00554826"/>
    <w:p w14:paraId="4EECBD86" w14:textId="77777777" w:rsidR="00554826" w:rsidRPr="00ED79B6" w:rsidRDefault="00554826" w:rsidP="00554826"/>
    <w:p w14:paraId="6B2F9AF7" w14:textId="77777777" w:rsidR="00F6696E" w:rsidRDefault="00F6696E" w:rsidP="00F6696E"/>
    <w:p w14:paraId="1C58D50B" w14:textId="77777777" w:rsidR="00F6696E" w:rsidRDefault="00F6696E" w:rsidP="00F6696E">
      <w:pPr>
        <w:sectPr w:rsidR="00F6696E" w:rsidSect="00F6696E">
          <w:headerReference w:type="even" r:id="rId12"/>
          <w:headerReference w:type="default" r:id="rId13"/>
          <w:footerReference w:type="even" r:id="rId14"/>
          <w:footerReference w:type="default" r:id="rId15"/>
          <w:footerReference w:type="first" r:id="rId16"/>
          <w:type w:val="continuous"/>
          <w:pgSz w:w="11907" w:h="16839" w:code="9"/>
          <w:pgMar w:top="2234" w:right="1797" w:bottom="1440" w:left="1797" w:header="720" w:footer="989" w:gutter="0"/>
          <w:pgNumType w:start="1"/>
          <w:cols w:space="708"/>
          <w:titlePg/>
          <w:docGrid w:linePitch="360"/>
        </w:sectPr>
      </w:pPr>
    </w:p>
    <w:p w14:paraId="16F1BC46" w14:textId="77777777" w:rsidR="007500C8" w:rsidRDefault="00715914" w:rsidP="00715914">
      <w:pPr>
        <w:outlineLvl w:val="0"/>
        <w:rPr>
          <w:sz w:val="36"/>
        </w:rPr>
      </w:pPr>
      <w:r w:rsidRPr="007A1328">
        <w:rPr>
          <w:sz w:val="36"/>
        </w:rPr>
        <w:lastRenderedPageBreak/>
        <w:t>Contents</w:t>
      </w:r>
    </w:p>
    <w:p w14:paraId="16C2E964" w14:textId="4704EE05" w:rsidR="00C755A1" w:rsidRDefault="00B418CB">
      <w:pPr>
        <w:pStyle w:val="TOC2"/>
        <w:rPr>
          <w:rFonts w:asciiTheme="minorHAnsi" w:eastAsiaTheme="minorEastAsia" w:hAnsiTheme="minorHAnsi" w:cstheme="minorBidi"/>
          <w:b w:val="0"/>
          <w:noProof/>
          <w:kern w:val="0"/>
          <w:sz w:val="22"/>
          <w:szCs w:val="22"/>
        </w:rPr>
      </w:pPr>
      <w:r>
        <w:fldChar w:fldCharType="begin"/>
      </w:r>
      <w:r>
        <w:instrText xml:space="preserve"> TOC \o "1-9" </w:instrText>
      </w:r>
      <w:r>
        <w:fldChar w:fldCharType="separate"/>
      </w:r>
      <w:r w:rsidR="00C755A1">
        <w:rPr>
          <w:noProof/>
        </w:rPr>
        <w:t>Part 1—Introduction</w:t>
      </w:r>
      <w:r w:rsidR="00C755A1">
        <w:rPr>
          <w:noProof/>
        </w:rPr>
        <w:tab/>
      </w:r>
      <w:r w:rsidR="00C755A1">
        <w:rPr>
          <w:noProof/>
        </w:rPr>
        <w:fldChar w:fldCharType="begin"/>
      </w:r>
      <w:r w:rsidR="00C755A1">
        <w:rPr>
          <w:noProof/>
        </w:rPr>
        <w:instrText xml:space="preserve"> PAGEREF _Toc84947109 \h </w:instrText>
      </w:r>
      <w:r w:rsidR="00C755A1">
        <w:rPr>
          <w:noProof/>
        </w:rPr>
      </w:r>
      <w:r w:rsidR="00C755A1">
        <w:rPr>
          <w:noProof/>
        </w:rPr>
        <w:fldChar w:fldCharType="separate"/>
      </w:r>
      <w:r w:rsidR="00C755A1">
        <w:rPr>
          <w:noProof/>
        </w:rPr>
        <w:t>1</w:t>
      </w:r>
      <w:r w:rsidR="00C755A1">
        <w:rPr>
          <w:noProof/>
        </w:rPr>
        <w:fldChar w:fldCharType="end"/>
      </w:r>
    </w:p>
    <w:p w14:paraId="4E806A4F" w14:textId="35F5FCD5" w:rsidR="00C755A1" w:rsidRDefault="00C755A1">
      <w:pPr>
        <w:pStyle w:val="TOC5"/>
        <w:rPr>
          <w:rFonts w:asciiTheme="minorHAnsi" w:eastAsiaTheme="minorEastAsia" w:hAnsiTheme="minorHAnsi" w:cstheme="minorBidi"/>
          <w:noProof/>
          <w:kern w:val="0"/>
          <w:sz w:val="22"/>
          <w:szCs w:val="22"/>
        </w:rPr>
      </w:pPr>
      <w:r>
        <w:rPr>
          <w:noProof/>
        </w:rPr>
        <w:t>1  Name</w:t>
      </w:r>
      <w:r>
        <w:rPr>
          <w:noProof/>
        </w:rPr>
        <w:tab/>
      </w:r>
      <w:r>
        <w:rPr>
          <w:noProof/>
        </w:rPr>
        <w:fldChar w:fldCharType="begin"/>
      </w:r>
      <w:r>
        <w:rPr>
          <w:noProof/>
        </w:rPr>
        <w:instrText xml:space="preserve"> PAGEREF _Toc84947110 \h </w:instrText>
      </w:r>
      <w:r>
        <w:rPr>
          <w:noProof/>
        </w:rPr>
      </w:r>
      <w:r>
        <w:rPr>
          <w:noProof/>
        </w:rPr>
        <w:fldChar w:fldCharType="separate"/>
      </w:r>
      <w:r>
        <w:rPr>
          <w:noProof/>
        </w:rPr>
        <w:t>1</w:t>
      </w:r>
      <w:r>
        <w:rPr>
          <w:noProof/>
        </w:rPr>
        <w:fldChar w:fldCharType="end"/>
      </w:r>
    </w:p>
    <w:p w14:paraId="2F7B2F65" w14:textId="6AC05608" w:rsidR="00C755A1" w:rsidRDefault="00C755A1">
      <w:pPr>
        <w:pStyle w:val="TOC5"/>
        <w:rPr>
          <w:rFonts w:asciiTheme="minorHAnsi" w:eastAsiaTheme="minorEastAsia" w:hAnsiTheme="minorHAnsi" w:cstheme="minorBidi"/>
          <w:noProof/>
          <w:kern w:val="0"/>
          <w:sz w:val="22"/>
          <w:szCs w:val="22"/>
        </w:rPr>
      </w:pPr>
      <w:r>
        <w:rPr>
          <w:noProof/>
        </w:rPr>
        <w:t>2  Commencement</w:t>
      </w:r>
      <w:r>
        <w:rPr>
          <w:noProof/>
        </w:rPr>
        <w:tab/>
      </w:r>
      <w:r>
        <w:rPr>
          <w:noProof/>
        </w:rPr>
        <w:fldChar w:fldCharType="begin"/>
      </w:r>
      <w:r>
        <w:rPr>
          <w:noProof/>
        </w:rPr>
        <w:instrText xml:space="preserve"> PAGEREF _Toc84947111 \h </w:instrText>
      </w:r>
      <w:r>
        <w:rPr>
          <w:noProof/>
        </w:rPr>
      </w:r>
      <w:r>
        <w:rPr>
          <w:noProof/>
        </w:rPr>
        <w:fldChar w:fldCharType="separate"/>
      </w:r>
      <w:r>
        <w:rPr>
          <w:noProof/>
        </w:rPr>
        <w:t>1</w:t>
      </w:r>
      <w:r>
        <w:rPr>
          <w:noProof/>
        </w:rPr>
        <w:fldChar w:fldCharType="end"/>
      </w:r>
    </w:p>
    <w:p w14:paraId="23D5EF3D" w14:textId="439D7FD2" w:rsidR="00C755A1" w:rsidRDefault="00C755A1">
      <w:pPr>
        <w:pStyle w:val="TOC5"/>
        <w:rPr>
          <w:rFonts w:asciiTheme="minorHAnsi" w:eastAsiaTheme="minorEastAsia" w:hAnsiTheme="minorHAnsi" w:cstheme="minorBidi"/>
          <w:noProof/>
          <w:kern w:val="0"/>
          <w:sz w:val="22"/>
          <w:szCs w:val="22"/>
        </w:rPr>
      </w:pPr>
      <w:r>
        <w:rPr>
          <w:noProof/>
        </w:rPr>
        <w:t>3  Authority</w:t>
      </w:r>
      <w:r>
        <w:rPr>
          <w:noProof/>
        </w:rPr>
        <w:tab/>
      </w:r>
      <w:r>
        <w:rPr>
          <w:noProof/>
        </w:rPr>
        <w:fldChar w:fldCharType="begin"/>
      </w:r>
      <w:r>
        <w:rPr>
          <w:noProof/>
        </w:rPr>
        <w:instrText xml:space="preserve"> PAGEREF _Toc84947112 \h </w:instrText>
      </w:r>
      <w:r>
        <w:rPr>
          <w:noProof/>
        </w:rPr>
      </w:r>
      <w:r>
        <w:rPr>
          <w:noProof/>
        </w:rPr>
        <w:fldChar w:fldCharType="separate"/>
      </w:r>
      <w:r>
        <w:rPr>
          <w:noProof/>
        </w:rPr>
        <w:t>1</w:t>
      </w:r>
      <w:r>
        <w:rPr>
          <w:noProof/>
        </w:rPr>
        <w:fldChar w:fldCharType="end"/>
      </w:r>
    </w:p>
    <w:p w14:paraId="6147BDD1" w14:textId="294B5B03" w:rsidR="00C755A1" w:rsidRDefault="00C755A1">
      <w:pPr>
        <w:pStyle w:val="TOC5"/>
        <w:rPr>
          <w:rFonts w:asciiTheme="minorHAnsi" w:eastAsiaTheme="minorEastAsia" w:hAnsiTheme="minorHAnsi" w:cstheme="minorBidi"/>
          <w:noProof/>
          <w:kern w:val="0"/>
          <w:sz w:val="22"/>
          <w:szCs w:val="22"/>
        </w:rPr>
      </w:pPr>
      <w:r>
        <w:rPr>
          <w:noProof/>
        </w:rPr>
        <w:t>4  Definitions</w:t>
      </w:r>
      <w:r>
        <w:rPr>
          <w:noProof/>
        </w:rPr>
        <w:tab/>
      </w:r>
      <w:r>
        <w:rPr>
          <w:noProof/>
        </w:rPr>
        <w:fldChar w:fldCharType="begin"/>
      </w:r>
      <w:r>
        <w:rPr>
          <w:noProof/>
        </w:rPr>
        <w:instrText xml:space="preserve"> PAGEREF _Toc84947113 \h </w:instrText>
      </w:r>
      <w:r>
        <w:rPr>
          <w:noProof/>
        </w:rPr>
      </w:r>
      <w:r>
        <w:rPr>
          <w:noProof/>
        </w:rPr>
        <w:fldChar w:fldCharType="separate"/>
      </w:r>
      <w:r>
        <w:rPr>
          <w:noProof/>
        </w:rPr>
        <w:t>1</w:t>
      </w:r>
      <w:r>
        <w:rPr>
          <w:noProof/>
        </w:rPr>
        <w:fldChar w:fldCharType="end"/>
      </w:r>
    </w:p>
    <w:p w14:paraId="1849DFC8" w14:textId="7FCD46DC" w:rsidR="00C755A1" w:rsidRDefault="00C755A1">
      <w:pPr>
        <w:pStyle w:val="TOC5"/>
        <w:rPr>
          <w:rFonts w:asciiTheme="minorHAnsi" w:eastAsiaTheme="minorEastAsia" w:hAnsiTheme="minorHAnsi" w:cstheme="minorBidi"/>
          <w:noProof/>
          <w:kern w:val="0"/>
          <w:sz w:val="22"/>
          <w:szCs w:val="22"/>
        </w:rPr>
      </w:pPr>
      <w:r>
        <w:rPr>
          <w:noProof/>
        </w:rPr>
        <w:t>5  Schedules</w:t>
      </w:r>
      <w:r>
        <w:rPr>
          <w:noProof/>
        </w:rPr>
        <w:tab/>
      </w:r>
      <w:r>
        <w:rPr>
          <w:noProof/>
        </w:rPr>
        <w:fldChar w:fldCharType="begin"/>
      </w:r>
      <w:r>
        <w:rPr>
          <w:noProof/>
        </w:rPr>
        <w:instrText xml:space="preserve"> PAGEREF _Toc84947114 \h </w:instrText>
      </w:r>
      <w:r>
        <w:rPr>
          <w:noProof/>
        </w:rPr>
      </w:r>
      <w:r>
        <w:rPr>
          <w:noProof/>
        </w:rPr>
        <w:fldChar w:fldCharType="separate"/>
      </w:r>
      <w:r>
        <w:rPr>
          <w:noProof/>
        </w:rPr>
        <w:t>2</w:t>
      </w:r>
      <w:r>
        <w:rPr>
          <w:noProof/>
        </w:rPr>
        <w:fldChar w:fldCharType="end"/>
      </w:r>
    </w:p>
    <w:p w14:paraId="651AC1DD" w14:textId="17DC3595" w:rsidR="00C755A1" w:rsidRDefault="00C755A1">
      <w:pPr>
        <w:pStyle w:val="TOC2"/>
        <w:rPr>
          <w:rFonts w:asciiTheme="minorHAnsi" w:eastAsiaTheme="minorEastAsia" w:hAnsiTheme="minorHAnsi" w:cstheme="minorBidi"/>
          <w:b w:val="0"/>
          <w:noProof/>
          <w:kern w:val="0"/>
          <w:sz w:val="22"/>
          <w:szCs w:val="22"/>
        </w:rPr>
      </w:pPr>
      <w:r>
        <w:rPr>
          <w:noProof/>
        </w:rPr>
        <w:t>Part 2—Risk factors for risk rated premium component</w:t>
      </w:r>
      <w:r>
        <w:rPr>
          <w:noProof/>
        </w:rPr>
        <w:tab/>
      </w:r>
      <w:r>
        <w:rPr>
          <w:noProof/>
        </w:rPr>
        <w:fldChar w:fldCharType="begin"/>
      </w:r>
      <w:r>
        <w:rPr>
          <w:noProof/>
        </w:rPr>
        <w:instrText xml:space="preserve"> PAGEREF _Toc84947115 \h </w:instrText>
      </w:r>
      <w:r>
        <w:rPr>
          <w:noProof/>
        </w:rPr>
      </w:r>
      <w:r>
        <w:rPr>
          <w:noProof/>
        </w:rPr>
        <w:fldChar w:fldCharType="separate"/>
      </w:r>
      <w:r>
        <w:rPr>
          <w:noProof/>
        </w:rPr>
        <w:t>3</w:t>
      </w:r>
      <w:r>
        <w:rPr>
          <w:noProof/>
        </w:rPr>
        <w:fldChar w:fldCharType="end"/>
      </w:r>
    </w:p>
    <w:p w14:paraId="4E8C1CB1" w14:textId="4DEBD3BD" w:rsidR="00C755A1" w:rsidRDefault="00C755A1">
      <w:pPr>
        <w:pStyle w:val="TOC5"/>
        <w:rPr>
          <w:rFonts w:asciiTheme="minorHAnsi" w:eastAsiaTheme="minorEastAsia" w:hAnsiTheme="minorHAnsi" w:cstheme="minorBidi"/>
          <w:noProof/>
          <w:kern w:val="0"/>
          <w:sz w:val="22"/>
          <w:szCs w:val="22"/>
        </w:rPr>
      </w:pPr>
      <w:r>
        <w:rPr>
          <w:noProof/>
        </w:rPr>
        <w:t>6  Risk rated premium component</w:t>
      </w:r>
      <w:r>
        <w:rPr>
          <w:noProof/>
        </w:rPr>
        <w:tab/>
      </w:r>
      <w:r>
        <w:rPr>
          <w:noProof/>
        </w:rPr>
        <w:fldChar w:fldCharType="begin"/>
      </w:r>
      <w:r>
        <w:rPr>
          <w:noProof/>
        </w:rPr>
        <w:instrText xml:space="preserve"> PAGEREF _Toc84947116 \h </w:instrText>
      </w:r>
      <w:r>
        <w:rPr>
          <w:noProof/>
        </w:rPr>
      </w:r>
      <w:r>
        <w:rPr>
          <w:noProof/>
        </w:rPr>
        <w:fldChar w:fldCharType="separate"/>
      </w:r>
      <w:r>
        <w:rPr>
          <w:noProof/>
        </w:rPr>
        <w:t>3</w:t>
      </w:r>
      <w:r>
        <w:rPr>
          <w:noProof/>
        </w:rPr>
        <w:fldChar w:fldCharType="end"/>
      </w:r>
    </w:p>
    <w:p w14:paraId="7035913B" w14:textId="2547FD0E" w:rsidR="00C755A1" w:rsidRDefault="00C755A1">
      <w:pPr>
        <w:pStyle w:val="TOC5"/>
        <w:rPr>
          <w:rFonts w:asciiTheme="minorHAnsi" w:eastAsiaTheme="minorEastAsia" w:hAnsiTheme="minorHAnsi" w:cstheme="minorBidi"/>
          <w:noProof/>
          <w:kern w:val="0"/>
          <w:sz w:val="22"/>
          <w:szCs w:val="22"/>
        </w:rPr>
      </w:pPr>
      <w:r>
        <w:rPr>
          <w:noProof/>
        </w:rPr>
        <w:t>7  Risk factor—base risk factor</w:t>
      </w:r>
      <w:r>
        <w:rPr>
          <w:noProof/>
        </w:rPr>
        <w:tab/>
      </w:r>
      <w:r>
        <w:rPr>
          <w:noProof/>
        </w:rPr>
        <w:fldChar w:fldCharType="begin"/>
      </w:r>
      <w:r>
        <w:rPr>
          <w:noProof/>
        </w:rPr>
        <w:instrText xml:space="preserve"> PAGEREF _Toc84947117 \h </w:instrText>
      </w:r>
      <w:r>
        <w:rPr>
          <w:noProof/>
        </w:rPr>
      </w:r>
      <w:r>
        <w:rPr>
          <w:noProof/>
        </w:rPr>
        <w:fldChar w:fldCharType="separate"/>
      </w:r>
      <w:r>
        <w:rPr>
          <w:noProof/>
        </w:rPr>
        <w:t>3</w:t>
      </w:r>
      <w:r>
        <w:rPr>
          <w:noProof/>
        </w:rPr>
        <w:fldChar w:fldCharType="end"/>
      </w:r>
    </w:p>
    <w:p w14:paraId="521189F4" w14:textId="692CB8C8" w:rsidR="00C755A1" w:rsidRDefault="00C755A1">
      <w:pPr>
        <w:pStyle w:val="TOC5"/>
        <w:rPr>
          <w:rFonts w:asciiTheme="minorHAnsi" w:eastAsiaTheme="minorEastAsia" w:hAnsiTheme="minorHAnsi" w:cstheme="minorBidi"/>
          <w:noProof/>
          <w:kern w:val="0"/>
          <w:sz w:val="22"/>
          <w:szCs w:val="22"/>
        </w:rPr>
      </w:pPr>
      <w:r>
        <w:rPr>
          <w:noProof/>
        </w:rPr>
        <w:t>8  Risk factor—length of operation</w:t>
      </w:r>
      <w:r>
        <w:rPr>
          <w:noProof/>
        </w:rPr>
        <w:tab/>
      </w:r>
      <w:r>
        <w:rPr>
          <w:noProof/>
        </w:rPr>
        <w:fldChar w:fldCharType="begin"/>
      </w:r>
      <w:r>
        <w:rPr>
          <w:noProof/>
        </w:rPr>
        <w:instrText xml:space="preserve"> PAGEREF _Toc84947118 \h </w:instrText>
      </w:r>
      <w:r>
        <w:rPr>
          <w:noProof/>
        </w:rPr>
      </w:r>
      <w:r>
        <w:rPr>
          <w:noProof/>
        </w:rPr>
        <w:fldChar w:fldCharType="separate"/>
      </w:r>
      <w:r>
        <w:rPr>
          <w:noProof/>
        </w:rPr>
        <w:t>3</w:t>
      </w:r>
      <w:r>
        <w:rPr>
          <w:noProof/>
        </w:rPr>
        <w:fldChar w:fldCharType="end"/>
      </w:r>
    </w:p>
    <w:p w14:paraId="05E649DC" w14:textId="5B4B75B0" w:rsidR="00C755A1" w:rsidRDefault="00C755A1">
      <w:pPr>
        <w:pStyle w:val="TOC5"/>
        <w:rPr>
          <w:rFonts w:asciiTheme="minorHAnsi" w:eastAsiaTheme="minorEastAsia" w:hAnsiTheme="minorHAnsi" w:cstheme="minorBidi"/>
          <w:noProof/>
          <w:kern w:val="0"/>
          <w:sz w:val="22"/>
          <w:szCs w:val="22"/>
        </w:rPr>
      </w:pPr>
      <w:r>
        <w:rPr>
          <w:noProof/>
        </w:rPr>
        <w:t>9  Risk factor—volatility in overseas student enrolments</w:t>
      </w:r>
      <w:r>
        <w:rPr>
          <w:noProof/>
        </w:rPr>
        <w:tab/>
      </w:r>
      <w:r>
        <w:rPr>
          <w:noProof/>
        </w:rPr>
        <w:fldChar w:fldCharType="begin"/>
      </w:r>
      <w:r>
        <w:rPr>
          <w:noProof/>
        </w:rPr>
        <w:instrText xml:space="preserve"> PAGEREF _Toc84947119 \h </w:instrText>
      </w:r>
      <w:r>
        <w:rPr>
          <w:noProof/>
        </w:rPr>
      </w:r>
      <w:r>
        <w:rPr>
          <w:noProof/>
        </w:rPr>
        <w:fldChar w:fldCharType="separate"/>
      </w:r>
      <w:r>
        <w:rPr>
          <w:noProof/>
        </w:rPr>
        <w:t>4</w:t>
      </w:r>
      <w:r>
        <w:rPr>
          <w:noProof/>
        </w:rPr>
        <w:fldChar w:fldCharType="end"/>
      </w:r>
    </w:p>
    <w:p w14:paraId="6EAC25D5" w14:textId="7379A1A0" w:rsidR="00C755A1" w:rsidRDefault="00C755A1">
      <w:pPr>
        <w:pStyle w:val="TOC5"/>
        <w:rPr>
          <w:rFonts w:asciiTheme="minorHAnsi" w:eastAsiaTheme="minorEastAsia" w:hAnsiTheme="minorHAnsi" w:cstheme="minorBidi"/>
          <w:noProof/>
          <w:kern w:val="0"/>
          <w:sz w:val="22"/>
          <w:szCs w:val="22"/>
        </w:rPr>
      </w:pPr>
      <w:r>
        <w:rPr>
          <w:noProof/>
        </w:rPr>
        <w:t>10  Risk factor—maximum overseas source country concentration</w:t>
      </w:r>
      <w:r>
        <w:rPr>
          <w:noProof/>
        </w:rPr>
        <w:tab/>
      </w:r>
      <w:r>
        <w:rPr>
          <w:noProof/>
        </w:rPr>
        <w:fldChar w:fldCharType="begin"/>
      </w:r>
      <w:r>
        <w:rPr>
          <w:noProof/>
        </w:rPr>
        <w:instrText xml:space="preserve"> PAGEREF _Toc84947120 \h </w:instrText>
      </w:r>
      <w:r>
        <w:rPr>
          <w:noProof/>
        </w:rPr>
      </w:r>
      <w:r>
        <w:rPr>
          <w:noProof/>
        </w:rPr>
        <w:fldChar w:fldCharType="separate"/>
      </w:r>
      <w:r>
        <w:rPr>
          <w:noProof/>
        </w:rPr>
        <w:t>5</w:t>
      </w:r>
      <w:r>
        <w:rPr>
          <w:noProof/>
        </w:rPr>
        <w:fldChar w:fldCharType="end"/>
      </w:r>
    </w:p>
    <w:p w14:paraId="5D343CF6" w14:textId="48721F77" w:rsidR="00C755A1" w:rsidRDefault="00C755A1">
      <w:pPr>
        <w:pStyle w:val="TOC5"/>
        <w:rPr>
          <w:rFonts w:asciiTheme="minorHAnsi" w:eastAsiaTheme="minorEastAsia" w:hAnsiTheme="minorHAnsi" w:cstheme="minorBidi"/>
          <w:noProof/>
          <w:kern w:val="0"/>
          <w:sz w:val="22"/>
          <w:szCs w:val="22"/>
        </w:rPr>
      </w:pPr>
      <w:r>
        <w:rPr>
          <w:noProof/>
        </w:rPr>
        <w:t>11  Risk factor—non-compliance and registration renewal</w:t>
      </w:r>
      <w:r>
        <w:rPr>
          <w:noProof/>
        </w:rPr>
        <w:tab/>
      </w:r>
      <w:r>
        <w:rPr>
          <w:noProof/>
        </w:rPr>
        <w:fldChar w:fldCharType="begin"/>
      </w:r>
      <w:r>
        <w:rPr>
          <w:noProof/>
        </w:rPr>
        <w:instrText xml:space="preserve"> PAGEREF _Toc84947121 \h </w:instrText>
      </w:r>
      <w:r>
        <w:rPr>
          <w:noProof/>
        </w:rPr>
      </w:r>
      <w:r>
        <w:rPr>
          <w:noProof/>
        </w:rPr>
        <w:fldChar w:fldCharType="separate"/>
      </w:r>
      <w:r>
        <w:rPr>
          <w:noProof/>
        </w:rPr>
        <w:t>6</w:t>
      </w:r>
      <w:r>
        <w:rPr>
          <w:noProof/>
        </w:rPr>
        <w:fldChar w:fldCharType="end"/>
      </w:r>
    </w:p>
    <w:p w14:paraId="38138874" w14:textId="5C3F1EE1" w:rsidR="00C755A1" w:rsidRDefault="00C755A1">
      <w:pPr>
        <w:pStyle w:val="TOC5"/>
        <w:rPr>
          <w:rFonts w:asciiTheme="minorHAnsi" w:eastAsiaTheme="minorEastAsia" w:hAnsiTheme="minorHAnsi" w:cstheme="minorBidi"/>
          <w:noProof/>
          <w:kern w:val="0"/>
          <w:sz w:val="22"/>
          <w:szCs w:val="22"/>
        </w:rPr>
      </w:pPr>
      <w:r>
        <w:rPr>
          <w:noProof/>
        </w:rPr>
        <w:t>12  Recalculation of risk factors when registrations amalgamated and national registration on CRICOS is finalised during 2021</w:t>
      </w:r>
      <w:r>
        <w:rPr>
          <w:noProof/>
        </w:rPr>
        <w:tab/>
      </w:r>
      <w:r>
        <w:rPr>
          <w:noProof/>
        </w:rPr>
        <w:fldChar w:fldCharType="begin"/>
      </w:r>
      <w:r>
        <w:rPr>
          <w:noProof/>
        </w:rPr>
        <w:instrText xml:space="preserve"> PAGEREF _Toc84947122 \h </w:instrText>
      </w:r>
      <w:r>
        <w:rPr>
          <w:noProof/>
        </w:rPr>
      </w:r>
      <w:r>
        <w:rPr>
          <w:noProof/>
        </w:rPr>
        <w:fldChar w:fldCharType="separate"/>
      </w:r>
      <w:r>
        <w:rPr>
          <w:noProof/>
        </w:rPr>
        <w:t>7</w:t>
      </w:r>
      <w:r>
        <w:rPr>
          <w:noProof/>
        </w:rPr>
        <w:fldChar w:fldCharType="end"/>
      </w:r>
    </w:p>
    <w:p w14:paraId="606690DF" w14:textId="1C23767B" w:rsidR="00C755A1" w:rsidRDefault="00C755A1">
      <w:pPr>
        <w:pStyle w:val="TOC2"/>
        <w:rPr>
          <w:rFonts w:asciiTheme="minorHAnsi" w:eastAsiaTheme="minorEastAsia" w:hAnsiTheme="minorHAnsi" w:cstheme="minorBidi"/>
          <w:b w:val="0"/>
          <w:noProof/>
          <w:kern w:val="0"/>
          <w:sz w:val="22"/>
          <w:szCs w:val="22"/>
        </w:rPr>
      </w:pPr>
      <w:r>
        <w:rPr>
          <w:noProof/>
        </w:rPr>
        <w:t>Part 3—Special tuition protection component</w:t>
      </w:r>
      <w:r>
        <w:rPr>
          <w:noProof/>
        </w:rPr>
        <w:tab/>
      </w:r>
      <w:r>
        <w:rPr>
          <w:noProof/>
        </w:rPr>
        <w:fldChar w:fldCharType="begin"/>
      </w:r>
      <w:r>
        <w:rPr>
          <w:noProof/>
        </w:rPr>
        <w:instrText xml:space="preserve"> PAGEREF _Toc84947123 \h </w:instrText>
      </w:r>
      <w:r>
        <w:rPr>
          <w:noProof/>
        </w:rPr>
      </w:r>
      <w:r>
        <w:rPr>
          <w:noProof/>
        </w:rPr>
        <w:fldChar w:fldCharType="separate"/>
      </w:r>
      <w:r>
        <w:rPr>
          <w:noProof/>
        </w:rPr>
        <w:t>9</w:t>
      </w:r>
      <w:r>
        <w:rPr>
          <w:noProof/>
        </w:rPr>
        <w:fldChar w:fldCharType="end"/>
      </w:r>
    </w:p>
    <w:p w14:paraId="59D0A6D5" w14:textId="4B9CE081" w:rsidR="00C755A1" w:rsidRDefault="00C755A1">
      <w:pPr>
        <w:pStyle w:val="TOC5"/>
        <w:rPr>
          <w:rFonts w:asciiTheme="minorHAnsi" w:eastAsiaTheme="minorEastAsia" w:hAnsiTheme="minorHAnsi" w:cstheme="minorBidi"/>
          <w:noProof/>
          <w:kern w:val="0"/>
          <w:sz w:val="22"/>
          <w:szCs w:val="22"/>
        </w:rPr>
      </w:pPr>
      <w:r>
        <w:rPr>
          <w:noProof/>
        </w:rPr>
        <w:t>13  Special tuition protection component</w:t>
      </w:r>
      <w:r>
        <w:rPr>
          <w:noProof/>
        </w:rPr>
        <w:tab/>
      </w:r>
      <w:r>
        <w:rPr>
          <w:noProof/>
        </w:rPr>
        <w:fldChar w:fldCharType="begin"/>
      </w:r>
      <w:r>
        <w:rPr>
          <w:noProof/>
        </w:rPr>
        <w:instrText xml:space="preserve"> PAGEREF _Toc84947124 \h </w:instrText>
      </w:r>
      <w:r>
        <w:rPr>
          <w:noProof/>
        </w:rPr>
      </w:r>
      <w:r>
        <w:rPr>
          <w:noProof/>
        </w:rPr>
        <w:fldChar w:fldCharType="separate"/>
      </w:r>
      <w:r>
        <w:rPr>
          <w:noProof/>
        </w:rPr>
        <w:t>9</w:t>
      </w:r>
      <w:r>
        <w:rPr>
          <w:noProof/>
        </w:rPr>
        <w:fldChar w:fldCharType="end"/>
      </w:r>
    </w:p>
    <w:p w14:paraId="349D21D4" w14:textId="5A3CE743" w:rsidR="00C755A1" w:rsidRDefault="00C755A1">
      <w:pPr>
        <w:pStyle w:val="TOC6"/>
        <w:rPr>
          <w:rFonts w:asciiTheme="minorHAnsi" w:eastAsiaTheme="minorEastAsia" w:hAnsiTheme="minorHAnsi" w:cstheme="minorBidi"/>
          <w:b w:val="0"/>
          <w:noProof/>
          <w:kern w:val="0"/>
          <w:sz w:val="22"/>
          <w:szCs w:val="22"/>
        </w:rPr>
      </w:pPr>
      <w:r>
        <w:rPr>
          <w:noProof/>
        </w:rPr>
        <w:t>Schedule 1—Repeals</w:t>
      </w:r>
      <w:r>
        <w:rPr>
          <w:noProof/>
        </w:rPr>
        <w:tab/>
      </w:r>
      <w:r>
        <w:rPr>
          <w:noProof/>
        </w:rPr>
        <w:fldChar w:fldCharType="begin"/>
      </w:r>
      <w:r>
        <w:rPr>
          <w:noProof/>
        </w:rPr>
        <w:instrText xml:space="preserve"> PAGEREF _Toc84947125 \h </w:instrText>
      </w:r>
      <w:r>
        <w:rPr>
          <w:noProof/>
        </w:rPr>
      </w:r>
      <w:r>
        <w:rPr>
          <w:noProof/>
        </w:rPr>
        <w:fldChar w:fldCharType="separate"/>
      </w:r>
      <w:r>
        <w:rPr>
          <w:noProof/>
        </w:rPr>
        <w:t>10</w:t>
      </w:r>
      <w:r>
        <w:rPr>
          <w:noProof/>
        </w:rPr>
        <w:fldChar w:fldCharType="end"/>
      </w:r>
    </w:p>
    <w:p w14:paraId="0B27A3CD" w14:textId="5BEDF057" w:rsidR="00C755A1" w:rsidRDefault="00C755A1">
      <w:pPr>
        <w:pStyle w:val="TOC9"/>
        <w:rPr>
          <w:rFonts w:asciiTheme="minorHAnsi" w:eastAsiaTheme="minorEastAsia" w:hAnsiTheme="minorHAnsi" w:cstheme="minorBidi"/>
          <w:i w:val="0"/>
          <w:noProof/>
          <w:kern w:val="0"/>
          <w:sz w:val="22"/>
          <w:szCs w:val="22"/>
        </w:rPr>
      </w:pPr>
      <w:r>
        <w:rPr>
          <w:noProof/>
        </w:rPr>
        <w:t>Education Services for Overseas Students (TPS Levies) (Risk Rated Premium and Special Tuition Protection Components) Instrument 2020</w:t>
      </w:r>
      <w:r>
        <w:rPr>
          <w:noProof/>
        </w:rPr>
        <w:tab/>
      </w:r>
      <w:r>
        <w:rPr>
          <w:noProof/>
        </w:rPr>
        <w:fldChar w:fldCharType="begin"/>
      </w:r>
      <w:r>
        <w:rPr>
          <w:noProof/>
        </w:rPr>
        <w:instrText xml:space="preserve"> PAGEREF _Toc84947126 \h </w:instrText>
      </w:r>
      <w:r>
        <w:rPr>
          <w:noProof/>
        </w:rPr>
      </w:r>
      <w:r>
        <w:rPr>
          <w:noProof/>
        </w:rPr>
        <w:fldChar w:fldCharType="separate"/>
      </w:r>
      <w:r>
        <w:rPr>
          <w:noProof/>
        </w:rPr>
        <w:t>10</w:t>
      </w:r>
      <w:r>
        <w:rPr>
          <w:noProof/>
        </w:rPr>
        <w:fldChar w:fldCharType="end"/>
      </w:r>
    </w:p>
    <w:p w14:paraId="152DADAC" w14:textId="0AC3A487" w:rsidR="00F6696E" w:rsidRDefault="00B418CB" w:rsidP="00F6696E">
      <w:pPr>
        <w:outlineLvl w:val="0"/>
      </w:pPr>
      <w:r>
        <w:fldChar w:fldCharType="end"/>
      </w:r>
    </w:p>
    <w:p w14:paraId="146C653F" w14:textId="77777777" w:rsidR="00F6696E" w:rsidRPr="00A802BC" w:rsidRDefault="00F6696E" w:rsidP="00F6696E">
      <w:pPr>
        <w:outlineLvl w:val="0"/>
        <w:rPr>
          <w:sz w:val="20"/>
        </w:rPr>
      </w:pPr>
    </w:p>
    <w:p w14:paraId="1D74D97C" w14:textId="77777777" w:rsidR="00F6696E" w:rsidRDefault="00F6696E" w:rsidP="00F6696E">
      <w:pPr>
        <w:sectPr w:rsidR="00F6696E" w:rsidSect="00045F79">
          <w:headerReference w:type="even" r:id="rId17"/>
          <w:headerReference w:type="default" r:id="rId18"/>
          <w:footerReference w:type="even" r:id="rId19"/>
          <w:footerReference w:type="default" r:id="rId20"/>
          <w:headerReference w:type="first" r:id="rId21"/>
          <w:pgSz w:w="11907" w:h="16839"/>
          <w:pgMar w:top="2099" w:right="1797" w:bottom="1440" w:left="1797" w:header="720" w:footer="709" w:gutter="0"/>
          <w:pgNumType w:fmt="lowerRoman" w:start="1"/>
          <w:cols w:space="708"/>
          <w:docGrid w:linePitch="360"/>
        </w:sectPr>
      </w:pPr>
    </w:p>
    <w:p w14:paraId="46289505" w14:textId="6BA024C2" w:rsidR="00CE452C" w:rsidRPr="00F07621" w:rsidRDefault="00CE452C" w:rsidP="00CE452C">
      <w:pPr>
        <w:pStyle w:val="ActHead2"/>
        <w:pageBreakBefore/>
      </w:pPr>
      <w:bookmarkStart w:id="0" w:name="_Toc84947109"/>
      <w:r w:rsidRPr="00F07621">
        <w:rPr>
          <w:rStyle w:val="CharPartNo"/>
        </w:rPr>
        <w:lastRenderedPageBreak/>
        <w:t>Part </w:t>
      </w:r>
      <w:r>
        <w:rPr>
          <w:rStyle w:val="CharPartNo"/>
        </w:rPr>
        <w:t>1</w:t>
      </w:r>
      <w:r w:rsidRPr="00F07621">
        <w:t>—</w:t>
      </w:r>
      <w:r>
        <w:rPr>
          <w:rStyle w:val="CharPartText"/>
        </w:rPr>
        <w:t>Introduction</w:t>
      </w:r>
      <w:bookmarkEnd w:id="0"/>
    </w:p>
    <w:p w14:paraId="26C83B59" w14:textId="77777777" w:rsidR="00554826" w:rsidRPr="00554826" w:rsidRDefault="00554826" w:rsidP="00554826">
      <w:pPr>
        <w:pStyle w:val="ActHead5"/>
      </w:pPr>
      <w:bookmarkStart w:id="1" w:name="_Toc84947110"/>
      <w:proofErr w:type="gramStart"/>
      <w:r w:rsidRPr="00554826">
        <w:t>1  Name</w:t>
      </w:r>
      <w:bookmarkEnd w:id="1"/>
      <w:proofErr w:type="gramEnd"/>
    </w:p>
    <w:p w14:paraId="6A997BE1" w14:textId="6131788E" w:rsidR="00554826" w:rsidRDefault="00554826" w:rsidP="00554826">
      <w:pPr>
        <w:pStyle w:val="subsection"/>
      </w:pPr>
      <w:r w:rsidRPr="009C2562">
        <w:tab/>
      </w:r>
      <w:r w:rsidRPr="009C2562">
        <w:tab/>
        <w:t xml:space="preserve">This </w:t>
      </w:r>
      <w:r>
        <w:t xml:space="preserve">instrument </w:t>
      </w:r>
      <w:r w:rsidRPr="009C2562">
        <w:t>is the</w:t>
      </w:r>
      <w:r w:rsidR="00CE452C">
        <w:t xml:space="preserve"> </w:t>
      </w:r>
      <w:r w:rsidR="00CE452C" w:rsidRPr="00CE452C">
        <w:rPr>
          <w:i/>
          <w:iCs/>
        </w:rPr>
        <w:t>Education Services for Overseas Students (TPS Levies) (Risk Rated Premium and Special Tuition Protection Components) Instrument 2021</w:t>
      </w:r>
      <w:bookmarkStart w:id="2" w:name="BKCheck15B_3"/>
      <w:bookmarkEnd w:id="2"/>
      <w:r w:rsidR="00CE452C">
        <w:t>.</w:t>
      </w:r>
    </w:p>
    <w:p w14:paraId="1D324992" w14:textId="77777777" w:rsidR="00554826" w:rsidRPr="00554826" w:rsidRDefault="00554826" w:rsidP="00554826">
      <w:pPr>
        <w:pStyle w:val="ActHead5"/>
      </w:pPr>
      <w:bookmarkStart w:id="3" w:name="_Toc84947111"/>
      <w:proofErr w:type="gramStart"/>
      <w:r w:rsidRPr="00554826">
        <w:t>2  Commencement</w:t>
      </w:r>
      <w:bookmarkEnd w:id="3"/>
      <w:proofErr w:type="gramEnd"/>
    </w:p>
    <w:p w14:paraId="2D3D2FEB" w14:textId="77777777" w:rsidR="003767E2" w:rsidRPr="003422B4" w:rsidRDefault="003767E2" w:rsidP="003767E2">
      <w:pPr>
        <w:pStyle w:val="subsection"/>
      </w:pPr>
      <w:r w:rsidRPr="003422B4">
        <w:tab/>
        <w:t>(1)</w:t>
      </w:r>
      <w:r w:rsidRPr="003422B4">
        <w:tab/>
        <w:t>Each provision of this instrument specified in column 1 of the table commences, or is taken to have commenced, in accordance with column 2 of the table. Any other statement in column 2 has effect according to its terms.</w:t>
      </w:r>
    </w:p>
    <w:p w14:paraId="1F6427F5" w14:textId="77777777" w:rsidR="003767E2" w:rsidRPr="003422B4" w:rsidRDefault="003767E2" w:rsidP="003767E2">
      <w:pPr>
        <w:pStyle w:val="Tabletext"/>
      </w:pPr>
    </w:p>
    <w:tbl>
      <w:tblPr>
        <w:tblW w:w="0" w:type="auto"/>
        <w:tblInd w:w="107" w:type="dxa"/>
        <w:tblBorders>
          <w:top w:val="single" w:sz="4" w:space="0" w:color="auto"/>
          <w:bottom w:val="single" w:sz="2" w:space="0" w:color="auto"/>
          <w:insideH w:val="single" w:sz="2" w:space="0" w:color="auto"/>
        </w:tblBorders>
        <w:tblLayout w:type="fixed"/>
        <w:tblCellMar>
          <w:left w:w="107" w:type="dxa"/>
          <w:right w:w="107" w:type="dxa"/>
        </w:tblCellMar>
        <w:tblLook w:val="04A0" w:firstRow="1" w:lastRow="0" w:firstColumn="1" w:lastColumn="0" w:noHBand="0" w:noVBand="1"/>
      </w:tblPr>
      <w:tblGrid>
        <w:gridCol w:w="2127"/>
        <w:gridCol w:w="4394"/>
        <w:gridCol w:w="1843"/>
      </w:tblGrid>
      <w:tr w:rsidR="003767E2" w:rsidRPr="003422B4" w14:paraId="063B87CF" w14:textId="77777777" w:rsidTr="00045F79">
        <w:trPr>
          <w:tblHeader/>
        </w:trPr>
        <w:tc>
          <w:tcPr>
            <w:tcW w:w="8364" w:type="dxa"/>
            <w:gridSpan w:val="3"/>
            <w:tcBorders>
              <w:top w:val="single" w:sz="12" w:space="0" w:color="auto"/>
              <w:bottom w:val="single" w:sz="6" w:space="0" w:color="auto"/>
            </w:tcBorders>
            <w:shd w:val="clear" w:color="auto" w:fill="auto"/>
            <w:hideMark/>
          </w:tcPr>
          <w:p w14:paraId="605DB6D2" w14:textId="77777777" w:rsidR="003767E2" w:rsidRPr="003422B4" w:rsidRDefault="003767E2" w:rsidP="00045F79">
            <w:pPr>
              <w:pStyle w:val="TableHeading"/>
            </w:pPr>
            <w:r w:rsidRPr="003422B4">
              <w:t>Commencement information</w:t>
            </w:r>
          </w:p>
        </w:tc>
      </w:tr>
      <w:tr w:rsidR="003767E2" w:rsidRPr="003422B4" w14:paraId="7C21F93D" w14:textId="77777777" w:rsidTr="00045F79">
        <w:trPr>
          <w:tblHeader/>
        </w:trPr>
        <w:tc>
          <w:tcPr>
            <w:tcW w:w="2127" w:type="dxa"/>
            <w:tcBorders>
              <w:top w:val="single" w:sz="6" w:space="0" w:color="auto"/>
              <w:bottom w:val="single" w:sz="6" w:space="0" w:color="auto"/>
            </w:tcBorders>
            <w:shd w:val="clear" w:color="auto" w:fill="auto"/>
            <w:hideMark/>
          </w:tcPr>
          <w:p w14:paraId="34D5CACB" w14:textId="77777777" w:rsidR="003767E2" w:rsidRPr="003422B4" w:rsidRDefault="003767E2" w:rsidP="00045F79">
            <w:pPr>
              <w:pStyle w:val="TableHeading"/>
            </w:pPr>
            <w:r w:rsidRPr="003422B4">
              <w:t>Column 1</w:t>
            </w:r>
          </w:p>
        </w:tc>
        <w:tc>
          <w:tcPr>
            <w:tcW w:w="4394" w:type="dxa"/>
            <w:tcBorders>
              <w:top w:val="single" w:sz="6" w:space="0" w:color="auto"/>
              <w:bottom w:val="single" w:sz="6" w:space="0" w:color="auto"/>
            </w:tcBorders>
            <w:shd w:val="clear" w:color="auto" w:fill="auto"/>
            <w:hideMark/>
          </w:tcPr>
          <w:p w14:paraId="08D1A93D" w14:textId="77777777" w:rsidR="003767E2" w:rsidRPr="003422B4" w:rsidRDefault="003767E2" w:rsidP="00045F79">
            <w:pPr>
              <w:pStyle w:val="TableHeading"/>
            </w:pPr>
            <w:r w:rsidRPr="003422B4">
              <w:t>Column 2</w:t>
            </w:r>
          </w:p>
        </w:tc>
        <w:tc>
          <w:tcPr>
            <w:tcW w:w="1843" w:type="dxa"/>
            <w:tcBorders>
              <w:top w:val="single" w:sz="6" w:space="0" w:color="auto"/>
              <w:bottom w:val="single" w:sz="6" w:space="0" w:color="auto"/>
            </w:tcBorders>
            <w:shd w:val="clear" w:color="auto" w:fill="auto"/>
            <w:hideMark/>
          </w:tcPr>
          <w:p w14:paraId="6E563451" w14:textId="77777777" w:rsidR="003767E2" w:rsidRPr="003422B4" w:rsidRDefault="003767E2" w:rsidP="00045F79">
            <w:pPr>
              <w:pStyle w:val="TableHeading"/>
            </w:pPr>
            <w:r w:rsidRPr="003422B4">
              <w:t>Column 3</w:t>
            </w:r>
          </w:p>
        </w:tc>
      </w:tr>
      <w:tr w:rsidR="003767E2" w:rsidRPr="003422B4" w14:paraId="7EBF8362" w14:textId="77777777" w:rsidTr="00045F79">
        <w:trPr>
          <w:tblHeader/>
        </w:trPr>
        <w:tc>
          <w:tcPr>
            <w:tcW w:w="2127" w:type="dxa"/>
            <w:tcBorders>
              <w:top w:val="single" w:sz="6" w:space="0" w:color="auto"/>
              <w:bottom w:val="single" w:sz="12" w:space="0" w:color="auto"/>
            </w:tcBorders>
            <w:shd w:val="clear" w:color="auto" w:fill="auto"/>
            <w:hideMark/>
          </w:tcPr>
          <w:p w14:paraId="3E639611" w14:textId="77777777" w:rsidR="003767E2" w:rsidRPr="003422B4" w:rsidRDefault="003767E2" w:rsidP="00045F79">
            <w:pPr>
              <w:pStyle w:val="TableHeading"/>
            </w:pPr>
            <w:r w:rsidRPr="003422B4">
              <w:t>Provisions</w:t>
            </w:r>
          </w:p>
        </w:tc>
        <w:tc>
          <w:tcPr>
            <w:tcW w:w="4394" w:type="dxa"/>
            <w:tcBorders>
              <w:top w:val="single" w:sz="6" w:space="0" w:color="auto"/>
              <w:bottom w:val="single" w:sz="12" w:space="0" w:color="auto"/>
            </w:tcBorders>
            <w:shd w:val="clear" w:color="auto" w:fill="auto"/>
            <w:hideMark/>
          </w:tcPr>
          <w:p w14:paraId="0D80DC3A" w14:textId="77777777" w:rsidR="003767E2" w:rsidRPr="003422B4" w:rsidRDefault="003767E2" w:rsidP="00045F79">
            <w:pPr>
              <w:pStyle w:val="TableHeading"/>
            </w:pPr>
            <w:r w:rsidRPr="003422B4">
              <w:t>Commencement</w:t>
            </w:r>
          </w:p>
        </w:tc>
        <w:tc>
          <w:tcPr>
            <w:tcW w:w="1843" w:type="dxa"/>
            <w:tcBorders>
              <w:top w:val="single" w:sz="6" w:space="0" w:color="auto"/>
              <w:bottom w:val="single" w:sz="12" w:space="0" w:color="auto"/>
            </w:tcBorders>
            <w:shd w:val="clear" w:color="auto" w:fill="auto"/>
            <w:hideMark/>
          </w:tcPr>
          <w:p w14:paraId="238D4C94" w14:textId="77777777" w:rsidR="003767E2" w:rsidRPr="003422B4" w:rsidRDefault="003767E2" w:rsidP="00045F79">
            <w:pPr>
              <w:pStyle w:val="TableHeading"/>
            </w:pPr>
            <w:r w:rsidRPr="003422B4">
              <w:t>Date/Details</w:t>
            </w:r>
          </w:p>
        </w:tc>
      </w:tr>
      <w:tr w:rsidR="003767E2" w:rsidRPr="003422B4" w14:paraId="5C527C92" w14:textId="77777777" w:rsidTr="00045F79">
        <w:tc>
          <w:tcPr>
            <w:tcW w:w="2127" w:type="dxa"/>
            <w:tcBorders>
              <w:top w:val="single" w:sz="12" w:space="0" w:color="auto"/>
              <w:bottom w:val="single" w:sz="12" w:space="0" w:color="auto"/>
            </w:tcBorders>
            <w:shd w:val="clear" w:color="auto" w:fill="auto"/>
            <w:hideMark/>
          </w:tcPr>
          <w:p w14:paraId="14203A98" w14:textId="48BFFF85" w:rsidR="003767E2" w:rsidRPr="003A6229" w:rsidRDefault="003767E2" w:rsidP="00045F79">
            <w:pPr>
              <w:pStyle w:val="Tabletext"/>
              <w:rPr>
                <w:i/>
              </w:rPr>
            </w:pPr>
            <w:r w:rsidRPr="003422B4">
              <w:t xml:space="preserve">1. </w:t>
            </w:r>
            <w:r w:rsidR="00CE452C" w:rsidRPr="00CE452C">
              <w:rPr>
                <w:iCs/>
              </w:rPr>
              <w:t>Parts 1 to3</w:t>
            </w:r>
          </w:p>
        </w:tc>
        <w:tc>
          <w:tcPr>
            <w:tcW w:w="4394" w:type="dxa"/>
            <w:tcBorders>
              <w:top w:val="single" w:sz="12" w:space="0" w:color="auto"/>
              <w:bottom w:val="single" w:sz="12" w:space="0" w:color="auto"/>
            </w:tcBorders>
            <w:shd w:val="clear" w:color="auto" w:fill="auto"/>
            <w:hideMark/>
          </w:tcPr>
          <w:p w14:paraId="33749397" w14:textId="2C4450C8" w:rsidR="003767E2" w:rsidRPr="00CE452C" w:rsidRDefault="00CE452C" w:rsidP="00045F79">
            <w:pPr>
              <w:pStyle w:val="Tabletext"/>
              <w:rPr>
                <w:iCs/>
              </w:rPr>
            </w:pPr>
            <w:r w:rsidRPr="00CE452C">
              <w:rPr>
                <w:iCs/>
              </w:rPr>
              <w:t>31 December 2021</w:t>
            </w:r>
          </w:p>
        </w:tc>
        <w:tc>
          <w:tcPr>
            <w:tcW w:w="1843" w:type="dxa"/>
            <w:tcBorders>
              <w:top w:val="single" w:sz="12" w:space="0" w:color="auto"/>
              <w:bottom w:val="single" w:sz="12" w:space="0" w:color="auto"/>
            </w:tcBorders>
            <w:shd w:val="clear" w:color="auto" w:fill="auto"/>
          </w:tcPr>
          <w:p w14:paraId="1A4ECE71" w14:textId="44B8A3CB" w:rsidR="00CE452C" w:rsidRPr="00CE452C" w:rsidRDefault="00CE452C" w:rsidP="00045F79">
            <w:pPr>
              <w:pStyle w:val="Tabletext"/>
              <w:rPr>
                <w:iCs/>
              </w:rPr>
            </w:pPr>
            <w:r w:rsidRPr="00CE452C">
              <w:rPr>
                <w:iCs/>
              </w:rPr>
              <w:t>31 December 2021</w:t>
            </w:r>
          </w:p>
        </w:tc>
      </w:tr>
      <w:tr w:rsidR="00CE452C" w:rsidRPr="003422B4" w14:paraId="47709D1B" w14:textId="77777777" w:rsidTr="00045F79">
        <w:tc>
          <w:tcPr>
            <w:tcW w:w="2127" w:type="dxa"/>
            <w:tcBorders>
              <w:top w:val="single" w:sz="12" w:space="0" w:color="auto"/>
              <w:bottom w:val="single" w:sz="12" w:space="0" w:color="auto"/>
            </w:tcBorders>
            <w:shd w:val="clear" w:color="auto" w:fill="auto"/>
          </w:tcPr>
          <w:p w14:paraId="3507DB30" w14:textId="3618F52E" w:rsidR="00CE452C" w:rsidRPr="003422B4" w:rsidRDefault="00CE452C" w:rsidP="00045F79">
            <w:pPr>
              <w:pStyle w:val="Tabletext"/>
            </w:pPr>
            <w:r>
              <w:t>2. Schedule 1</w:t>
            </w:r>
          </w:p>
        </w:tc>
        <w:tc>
          <w:tcPr>
            <w:tcW w:w="4394" w:type="dxa"/>
            <w:tcBorders>
              <w:top w:val="single" w:sz="12" w:space="0" w:color="auto"/>
              <w:bottom w:val="single" w:sz="12" w:space="0" w:color="auto"/>
            </w:tcBorders>
            <w:shd w:val="clear" w:color="auto" w:fill="auto"/>
          </w:tcPr>
          <w:p w14:paraId="09709C01" w14:textId="548858B3" w:rsidR="00CE452C" w:rsidRPr="00CE452C" w:rsidRDefault="00CE452C" w:rsidP="00045F79">
            <w:pPr>
              <w:pStyle w:val="Tabletext"/>
              <w:rPr>
                <w:iCs/>
              </w:rPr>
            </w:pPr>
            <w:r w:rsidRPr="00CE452C">
              <w:rPr>
                <w:iCs/>
              </w:rPr>
              <w:t>1 January 2022.</w:t>
            </w:r>
          </w:p>
        </w:tc>
        <w:tc>
          <w:tcPr>
            <w:tcW w:w="1843" w:type="dxa"/>
            <w:tcBorders>
              <w:top w:val="single" w:sz="12" w:space="0" w:color="auto"/>
              <w:bottom w:val="single" w:sz="12" w:space="0" w:color="auto"/>
            </w:tcBorders>
            <w:shd w:val="clear" w:color="auto" w:fill="auto"/>
          </w:tcPr>
          <w:p w14:paraId="401D847E" w14:textId="280B8C95" w:rsidR="00CE452C" w:rsidRPr="00CE452C" w:rsidRDefault="00CE452C" w:rsidP="00045F79">
            <w:pPr>
              <w:pStyle w:val="Tabletext"/>
              <w:rPr>
                <w:iCs/>
              </w:rPr>
            </w:pPr>
            <w:r w:rsidRPr="00CE452C">
              <w:rPr>
                <w:iCs/>
              </w:rPr>
              <w:t>1 January 2022</w:t>
            </w:r>
          </w:p>
        </w:tc>
      </w:tr>
    </w:tbl>
    <w:p w14:paraId="6381DDBB" w14:textId="77777777" w:rsidR="003767E2" w:rsidRPr="003422B4" w:rsidRDefault="003767E2" w:rsidP="003767E2">
      <w:pPr>
        <w:pStyle w:val="notetext"/>
      </w:pPr>
      <w:r w:rsidRPr="003422B4">
        <w:rPr>
          <w:snapToGrid w:val="0"/>
          <w:lang w:eastAsia="en-US"/>
        </w:rPr>
        <w:t>Note:</w:t>
      </w:r>
      <w:r w:rsidRPr="003422B4">
        <w:rPr>
          <w:snapToGrid w:val="0"/>
          <w:lang w:eastAsia="en-US"/>
        </w:rPr>
        <w:tab/>
        <w:t>This table relates only to the provisions of this instrument</w:t>
      </w:r>
      <w:r w:rsidRPr="003422B4">
        <w:t xml:space="preserve"> </w:t>
      </w:r>
      <w:r w:rsidRPr="003422B4">
        <w:rPr>
          <w:snapToGrid w:val="0"/>
          <w:lang w:eastAsia="en-US"/>
        </w:rPr>
        <w:t>as originally made. It will not be amended to deal with any later amendments of this instrument.</w:t>
      </w:r>
    </w:p>
    <w:p w14:paraId="08242FF8" w14:textId="77777777" w:rsidR="003767E2" w:rsidRPr="003422B4" w:rsidRDefault="003767E2" w:rsidP="003767E2">
      <w:pPr>
        <w:pStyle w:val="subsection"/>
      </w:pPr>
      <w:r w:rsidRPr="003422B4">
        <w:tab/>
        <w:t>(2)</w:t>
      </w:r>
      <w:r w:rsidRPr="003422B4">
        <w:tab/>
        <w:t>Any information in column 3 of the table is not part of this instrument. Information may be inserted in this column, or information in it may be edited, in any published version of this instrument.</w:t>
      </w:r>
    </w:p>
    <w:p w14:paraId="6F50F92F" w14:textId="77777777" w:rsidR="00554826" w:rsidRPr="00554826" w:rsidRDefault="00554826" w:rsidP="00554826">
      <w:pPr>
        <w:pStyle w:val="ActHead5"/>
      </w:pPr>
      <w:bookmarkStart w:id="4" w:name="_Toc84947112"/>
      <w:proofErr w:type="gramStart"/>
      <w:r w:rsidRPr="00554826">
        <w:t>3  Authority</w:t>
      </w:r>
      <w:bookmarkEnd w:id="4"/>
      <w:proofErr w:type="gramEnd"/>
    </w:p>
    <w:p w14:paraId="107473D7" w14:textId="79594C2A" w:rsidR="00554826" w:rsidRPr="009C2562" w:rsidRDefault="00554826" w:rsidP="00554826">
      <w:pPr>
        <w:pStyle w:val="subsection"/>
      </w:pPr>
      <w:r w:rsidRPr="009C2562">
        <w:tab/>
      </w:r>
      <w:r w:rsidRPr="009C2562">
        <w:tab/>
        <w:t>This instrument is made under</w:t>
      </w:r>
      <w:r w:rsidR="00CE452C">
        <w:t xml:space="preserve"> </w:t>
      </w:r>
      <w:r w:rsidR="00CE452C" w:rsidRPr="00F07621">
        <w:t xml:space="preserve">sections 9 and 10 of the </w:t>
      </w:r>
      <w:r w:rsidR="00CE452C" w:rsidRPr="00F07621">
        <w:rPr>
          <w:i/>
        </w:rPr>
        <w:t>Education Services for Overseas Students (TPS Levies) Act 2012</w:t>
      </w:r>
      <w:r w:rsidR="00CE452C" w:rsidRPr="00F07621">
        <w:t>.</w:t>
      </w:r>
    </w:p>
    <w:p w14:paraId="5E8CCB02" w14:textId="77777777" w:rsidR="00554826" w:rsidRPr="00554826" w:rsidRDefault="00554826" w:rsidP="00554826">
      <w:pPr>
        <w:pStyle w:val="ActHead5"/>
      </w:pPr>
      <w:bookmarkStart w:id="5" w:name="_Toc84947113"/>
      <w:proofErr w:type="gramStart"/>
      <w:r w:rsidRPr="00554826">
        <w:t>4  Definitions</w:t>
      </w:r>
      <w:bookmarkEnd w:id="5"/>
      <w:proofErr w:type="gramEnd"/>
    </w:p>
    <w:p w14:paraId="7A6E429C" w14:textId="7BB8C937" w:rsidR="00554826" w:rsidRPr="009C2562" w:rsidRDefault="00554826" w:rsidP="00B5119B">
      <w:pPr>
        <w:pStyle w:val="notetext"/>
      </w:pPr>
      <w:r w:rsidRPr="009C2562">
        <w:t>Note:</w:t>
      </w:r>
      <w:r w:rsidRPr="009C2562">
        <w:tab/>
      </w:r>
      <w:r w:rsidR="00B5119B" w:rsidRPr="00F07621">
        <w:t>The expression</w:t>
      </w:r>
      <w:r w:rsidR="00B5119B">
        <w:t>s</w:t>
      </w:r>
      <w:r w:rsidR="00B5119B" w:rsidRPr="00F07621">
        <w:t xml:space="preserve"> </w:t>
      </w:r>
      <w:r w:rsidR="00B5119B" w:rsidRPr="00F07621">
        <w:rPr>
          <w:b/>
          <w:i/>
        </w:rPr>
        <w:t>risk rated premium component</w:t>
      </w:r>
      <w:r w:rsidR="00B5119B" w:rsidRPr="00F07621">
        <w:t xml:space="preserve"> </w:t>
      </w:r>
      <w:r w:rsidR="00B5119B">
        <w:t xml:space="preserve">and </w:t>
      </w:r>
      <w:r w:rsidR="00B5119B">
        <w:rPr>
          <w:b/>
          <w:bCs/>
          <w:i/>
          <w:iCs/>
        </w:rPr>
        <w:t xml:space="preserve">special tuition protection component </w:t>
      </w:r>
      <w:r w:rsidR="00B5119B">
        <w:t>are</w:t>
      </w:r>
      <w:r w:rsidR="00B5119B" w:rsidRPr="00F07621">
        <w:t xml:space="preserve"> used in this instrument and </w:t>
      </w:r>
      <w:r w:rsidR="00B5119B">
        <w:t>are</w:t>
      </w:r>
      <w:r w:rsidR="00B5119B" w:rsidRPr="00F07621">
        <w:t xml:space="preserve"> defined in the </w:t>
      </w:r>
      <w:r w:rsidR="00B5119B" w:rsidRPr="00F07621">
        <w:rPr>
          <w:i/>
        </w:rPr>
        <w:t>Education Services for Overseas Students (TPS Levies) Act 2012</w:t>
      </w:r>
      <w:r w:rsidR="00B5119B" w:rsidRPr="00F07621">
        <w:t>.</w:t>
      </w:r>
    </w:p>
    <w:p w14:paraId="72FE4FA2" w14:textId="77777777" w:rsidR="00554826" w:rsidRPr="009C2562" w:rsidRDefault="00554826" w:rsidP="00554826">
      <w:pPr>
        <w:pStyle w:val="subsection"/>
      </w:pPr>
      <w:r w:rsidRPr="009C2562">
        <w:tab/>
      </w:r>
      <w:r w:rsidRPr="009C2562">
        <w:tab/>
        <w:t>In this instrument:</w:t>
      </w:r>
    </w:p>
    <w:p w14:paraId="27643540" w14:textId="618DF9A3" w:rsidR="00045F79" w:rsidRPr="00F07621" w:rsidRDefault="00045F79" w:rsidP="00045F79">
      <w:pPr>
        <w:pStyle w:val="Definition"/>
      </w:pPr>
      <w:r w:rsidRPr="00F07621">
        <w:rPr>
          <w:b/>
          <w:i/>
        </w:rPr>
        <w:t>annual registration charge</w:t>
      </w:r>
      <w:r w:rsidRPr="00F07621">
        <w:t xml:space="preserve"> </w:t>
      </w:r>
      <w:r w:rsidR="00512B3A">
        <w:t xml:space="preserve">means an annual registration charge imposed by the </w:t>
      </w:r>
      <w:bookmarkStart w:id="6" w:name="_Hlk87264846"/>
      <w:r w:rsidR="00512B3A" w:rsidRPr="00EF3689">
        <w:rPr>
          <w:i/>
          <w:iCs/>
        </w:rPr>
        <w:t>E</w:t>
      </w:r>
      <w:r w:rsidR="00EF3689" w:rsidRPr="00EF3689">
        <w:rPr>
          <w:i/>
          <w:iCs/>
        </w:rPr>
        <w:t xml:space="preserve">ducation </w:t>
      </w:r>
      <w:r w:rsidR="00512B3A" w:rsidRPr="00EF3689">
        <w:rPr>
          <w:i/>
          <w:iCs/>
        </w:rPr>
        <w:t>S</w:t>
      </w:r>
      <w:r w:rsidR="00EF3689" w:rsidRPr="00EF3689">
        <w:rPr>
          <w:i/>
          <w:iCs/>
        </w:rPr>
        <w:t xml:space="preserve">ervices for </w:t>
      </w:r>
      <w:r w:rsidR="00512B3A" w:rsidRPr="00EF3689">
        <w:rPr>
          <w:i/>
          <w:iCs/>
        </w:rPr>
        <w:t>O</w:t>
      </w:r>
      <w:r w:rsidR="00EF3689" w:rsidRPr="00EF3689">
        <w:rPr>
          <w:i/>
          <w:iCs/>
        </w:rPr>
        <w:t xml:space="preserve">verseas </w:t>
      </w:r>
      <w:r w:rsidR="00512B3A" w:rsidRPr="00EF3689">
        <w:rPr>
          <w:i/>
          <w:iCs/>
        </w:rPr>
        <w:t>S</w:t>
      </w:r>
      <w:r w:rsidR="00EF3689" w:rsidRPr="00EF3689">
        <w:rPr>
          <w:i/>
          <w:iCs/>
        </w:rPr>
        <w:t>tudents</w:t>
      </w:r>
      <w:r w:rsidR="00512B3A" w:rsidRPr="00EF3689">
        <w:rPr>
          <w:i/>
          <w:iCs/>
        </w:rPr>
        <w:t xml:space="preserve"> (Registration Charges) Act 1997</w:t>
      </w:r>
      <w:r w:rsidR="00512B3A">
        <w:t xml:space="preserve"> </w:t>
      </w:r>
      <w:bookmarkEnd w:id="6"/>
      <w:r>
        <w:t xml:space="preserve">as in force </w:t>
      </w:r>
      <w:r w:rsidR="00512B3A">
        <w:t>for a year referred to in subsection 11(4)</w:t>
      </w:r>
      <w:r w:rsidRPr="00F07621">
        <w:t>.</w:t>
      </w:r>
    </w:p>
    <w:p w14:paraId="4A5BA859" w14:textId="77777777" w:rsidR="00045F79" w:rsidRPr="00F07621" w:rsidRDefault="00045F79" w:rsidP="00045F79">
      <w:pPr>
        <w:pStyle w:val="Definition"/>
        <w:rPr>
          <w:b/>
          <w:i/>
        </w:rPr>
      </w:pPr>
      <w:r w:rsidRPr="00F07621">
        <w:rPr>
          <w:b/>
          <w:i/>
        </w:rPr>
        <w:t>CRICOS</w:t>
      </w:r>
      <w:r w:rsidRPr="00F07621">
        <w:t xml:space="preserve"> means the Commonwealth Register of Institutions and Courses for Overseas Students.</w:t>
      </w:r>
    </w:p>
    <w:p w14:paraId="39563ED7" w14:textId="683798B0" w:rsidR="00045F79" w:rsidRPr="00F07621" w:rsidRDefault="00045F79" w:rsidP="00045F79">
      <w:pPr>
        <w:pStyle w:val="Definition"/>
      </w:pPr>
      <w:r w:rsidRPr="00F07621">
        <w:rPr>
          <w:b/>
          <w:i/>
        </w:rPr>
        <w:t>entry to market charge</w:t>
      </w:r>
      <w:r w:rsidRPr="00F07621">
        <w:rPr>
          <w:b/>
        </w:rPr>
        <w:t xml:space="preserve"> </w:t>
      </w:r>
      <w:r w:rsidR="00512B3A">
        <w:t xml:space="preserve">means an entry to market charge imposed by the </w:t>
      </w:r>
      <w:r w:rsidR="00EF3689" w:rsidRPr="00C7425A">
        <w:rPr>
          <w:i/>
          <w:iCs/>
        </w:rPr>
        <w:t>Education Services for Overseas Students (Registration Charges) Act 1997</w:t>
      </w:r>
      <w:r w:rsidR="00512B3A">
        <w:t xml:space="preserve"> as in force for a year referred to in subsection 11(4)</w:t>
      </w:r>
      <w:r w:rsidRPr="00F07621">
        <w:t>.</w:t>
      </w:r>
    </w:p>
    <w:p w14:paraId="3CB59626" w14:textId="77777777" w:rsidR="00045F79" w:rsidRPr="00F07621" w:rsidRDefault="00045F79" w:rsidP="00045F79">
      <w:pPr>
        <w:pStyle w:val="Definition"/>
      </w:pPr>
      <w:r w:rsidRPr="00F07621">
        <w:rPr>
          <w:b/>
          <w:i/>
        </w:rPr>
        <w:lastRenderedPageBreak/>
        <w:t>ESOS Act</w:t>
      </w:r>
      <w:r w:rsidRPr="00F07621">
        <w:t xml:space="preserve"> means the </w:t>
      </w:r>
      <w:r w:rsidRPr="00F07621">
        <w:rPr>
          <w:i/>
        </w:rPr>
        <w:t>Education Services for Overseas Students Act 2000</w:t>
      </w:r>
      <w:r w:rsidRPr="00F07621">
        <w:t>.</w:t>
      </w:r>
    </w:p>
    <w:p w14:paraId="1D4DF3B1" w14:textId="77777777" w:rsidR="00045F79" w:rsidRPr="00F07621" w:rsidRDefault="00045F79" w:rsidP="00045F79">
      <w:pPr>
        <w:pStyle w:val="Definition"/>
      </w:pPr>
      <w:r w:rsidRPr="00F07621">
        <w:rPr>
          <w:b/>
          <w:i/>
        </w:rPr>
        <w:t>ESOS (TPS Levies) Act</w:t>
      </w:r>
      <w:r w:rsidRPr="00F07621">
        <w:t xml:space="preserve"> means the </w:t>
      </w:r>
      <w:r w:rsidRPr="00F07621">
        <w:rPr>
          <w:i/>
        </w:rPr>
        <w:t>Education Services for Overseas Students (TPS Levies) Act 2012</w:t>
      </w:r>
      <w:r w:rsidRPr="00F07621">
        <w:t>.</w:t>
      </w:r>
    </w:p>
    <w:p w14:paraId="528A9681" w14:textId="77777777" w:rsidR="00045F79" w:rsidRPr="00F07621" w:rsidRDefault="00045F79" w:rsidP="00045F79">
      <w:pPr>
        <w:pStyle w:val="Definition"/>
      </w:pPr>
      <w:r w:rsidRPr="00F07621">
        <w:rPr>
          <w:b/>
          <w:i/>
        </w:rPr>
        <w:t>length of operation</w:t>
      </w:r>
      <w:r w:rsidRPr="00F07621">
        <w:t>, for a provider, means the number of years that the provider has been registered on CRICOS as a registered provider:</w:t>
      </w:r>
    </w:p>
    <w:p w14:paraId="29BCBE76" w14:textId="77777777" w:rsidR="00045F79" w:rsidRPr="00F07621" w:rsidRDefault="00045F79" w:rsidP="00045F79">
      <w:pPr>
        <w:pStyle w:val="paragraph"/>
      </w:pPr>
      <w:r w:rsidRPr="00F07621">
        <w:tab/>
        <w:t>(a)</w:t>
      </w:r>
      <w:r w:rsidRPr="00F07621">
        <w:tab/>
        <w:t>beginning at the time the provider was registered, or last registered, as a registered provider; and</w:t>
      </w:r>
    </w:p>
    <w:p w14:paraId="48E38869" w14:textId="6BB6A909" w:rsidR="00045F79" w:rsidRPr="00F07621" w:rsidRDefault="00045F79" w:rsidP="00045F79">
      <w:pPr>
        <w:pStyle w:val="paragraph"/>
      </w:pPr>
      <w:r w:rsidRPr="00F07621">
        <w:tab/>
        <w:t>(b)</w:t>
      </w:r>
      <w:r w:rsidRPr="00F07621">
        <w:tab/>
        <w:t>ending on 31 December 202</w:t>
      </w:r>
      <w:r>
        <w:t>1</w:t>
      </w:r>
      <w:r w:rsidRPr="00F07621">
        <w:t>.</w:t>
      </w:r>
    </w:p>
    <w:p w14:paraId="5BF5124A" w14:textId="6BD07569" w:rsidR="00045F79" w:rsidRPr="00C755A1" w:rsidRDefault="00045F79" w:rsidP="00045F79">
      <w:pPr>
        <w:pStyle w:val="Definition"/>
      </w:pPr>
      <w:r w:rsidRPr="00F07621">
        <w:rPr>
          <w:b/>
          <w:i/>
        </w:rPr>
        <w:t>non</w:t>
      </w:r>
      <w:r w:rsidRPr="00F07621">
        <w:rPr>
          <w:b/>
          <w:i/>
        </w:rPr>
        <w:noBreakHyphen/>
        <w:t>exempt provider</w:t>
      </w:r>
      <w:r w:rsidRPr="00F07621">
        <w:t xml:space="preserve"> means a registered provider that </w:t>
      </w:r>
      <w:r w:rsidR="00CC18B3">
        <w:t xml:space="preserve">the Minister has not exempted under subsection 12(b) of the Act </w:t>
      </w:r>
      <w:r w:rsidRPr="00F07621">
        <w:t>from the requirement to pay the risk rated premium component</w:t>
      </w:r>
      <w:r w:rsidR="00CC18B3">
        <w:t>.</w:t>
      </w:r>
    </w:p>
    <w:p w14:paraId="10411C1B" w14:textId="4964F47E" w:rsidR="00045F79" w:rsidRPr="00F07621" w:rsidRDefault="00045F79" w:rsidP="00045F79">
      <w:pPr>
        <w:pStyle w:val="Definition"/>
      </w:pPr>
      <w:r w:rsidRPr="00F07621">
        <w:rPr>
          <w:b/>
          <w:i/>
        </w:rPr>
        <w:t xml:space="preserve">overseas student enrolments </w:t>
      </w:r>
      <w:proofErr w:type="gramStart"/>
      <w:r w:rsidRPr="00F07621">
        <w:t>means</w:t>
      </w:r>
      <w:proofErr w:type="gramEnd"/>
      <w:r w:rsidRPr="00F07621">
        <w:t xml:space="preserve"> the total enrolments of overseas students for a registered provi</w:t>
      </w:r>
      <w:r w:rsidRPr="000706E4">
        <w:t>der worked out in accordance with section 4A of the ESOS (TPS Levies) Act</w:t>
      </w:r>
      <w:r w:rsidRPr="00F07621">
        <w:rPr>
          <w:i/>
        </w:rPr>
        <w:t>.</w:t>
      </w:r>
    </w:p>
    <w:p w14:paraId="2CDFF879" w14:textId="77777777" w:rsidR="00045F79" w:rsidRPr="00F07621" w:rsidRDefault="00045F79" w:rsidP="00045F79">
      <w:pPr>
        <w:pStyle w:val="Definition"/>
      </w:pPr>
      <w:r w:rsidRPr="00F07621">
        <w:rPr>
          <w:b/>
          <w:i/>
        </w:rPr>
        <w:t>provider</w:t>
      </w:r>
      <w:r w:rsidRPr="00F07621">
        <w:t xml:space="preserve"> has the same meaning as in the ESOS Act.</w:t>
      </w:r>
    </w:p>
    <w:p w14:paraId="274C0A6F" w14:textId="77777777" w:rsidR="00045F79" w:rsidRPr="00F07621" w:rsidRDefault="00045F79" w:rsidP="00045F79">
      <w:pPr>
        <w:pStyle w:val="Definition"/>
        <w:rPr>
          <w:bCs/>
          <w:iCs/>
        </w:rPr>
      </w:pPr>
      <w:r w:rsidRPr="00F07621">
        <w:rPr>
          <w:b/>
          <w:i/>
        </w:rPr>
        <w:t xml:space="preserve">Registered provider </w:t>
      </w:r>
      <w:r w:rsidRPr="00F07621">
        <w:rPr>
          <w:bCs/>
          <w:iCs/>
        </w:rPr>
        <w:t xml:space="preserve">has the same meaning as in the ESOS Act. </w:t>
      </w:r>
    </w:p>
    <w:p w14:paraId="7DA64799" w14:textId="69BDF463" w:rsidR="00583E47" w:rsidRDefault="00BE122B" w:rsidP="00583E47">
      <w:pPr>
        <w:pStyle w:val="Definition"/>
        <w:rPr>
          <w:bCs/>
          <w:iCs/>
        </w:rPr>
      </w:pPr>
      <w:r>
        <w:rPr>
          <w:b/>
          <w:i/>
        </w:rPr>
        <w:t>r</w:t>
      </w:r>
      <w:r w:rsidR="00583E47">
        <w:rPr>
          <w:b/>
          <w:i/>
        </w:rPr>
        <w:t xml:space="preserve">isk management </w:t>
      </w:r>
      <w:r w:rsidR="00583E47">
        <w:rPr>
          <w:bCs/>
          <w:iCs/>
        </w:rPr>
        <w:t>means the ESOS agency for a provider uses a risk management approach under subsection 10</w:t>
      </w:r>
      <w:proofErr w:type="gramStart"/>
      <w:r w:rsidR="00583E47">
        <w:rPr>
          <w:bCs/>
          <w:iCs/>
        </w:rPr>
        <w:t>E(</w:t>
      </w:r>
      <w:proofErr w:type="gramEnd"/>
      <w:r w:rsidR="00583E47">
        <w:rPr>
          <w:bCs/>
          <w:iCs/>
        </w:rPr>
        <w:t>2) of the ESOS Act, and as a result, decides to renew the provider’s registration for a period less than the maximum period allowed.</w:t>
      </w:r>
    </w:p>
    <w:p w14:paraId="6F15A7B3" w14:textId="5E9208FD" w:rsidR="00583E47" w:rsidRPr="00776A13" w:rsidRDefault="00583E47" w:rsidP="00583E47">
      <w:pPr>
        <w:pStyle w:val="notetext"/>
      </w:pPr>
      <w:r w:rsidRPr="00C755A1">
        <w:t>Note:</w:t>
      </w:r>
      <w:r w:rsidRPr="00C755A1">
        <w:tab/>
      </w:r>
      <w:r>
        <w:t xml:space="preserve">An ESOS agency for a provider may decide to renew a provider’s registration for a period less than the maximum period allowed for reasons that are not due to risk management. For example, a shorter registration renewal may be appropriate for administrative reasons, such as aligning or staggering a registered provider’s </w:t>
      </w:r>
      <w:r w:rsidR="00382E6F">
        <w:t xml:space="preserve">CRICOS </w:t>
      </w:r>
      <w:r>
        <w:t xml:space="preserve">period of registration with the provider’s </w:t>
      </w:r>
      <w:r w:rsidR="00382E6F">
        <w:t xml:space="preserve">domestic </w:t>
      </w:r>
      <w:r>
        <w:t xml:space="preserve">period of registration. </w:t>
      </w:r>
    </w:p>
    <w:p w14:paraId="2B38FAF3" w14:textId="178152AA" w:rsidR="00045F79" w:rsidRPr="00F07621" w:rsidRDefault="00045F79" w:rsidP="00045F79">
      <w:pPr>
        <w:pStyle w:val="Definition"/>
      </w:pPr>
      <w:r w:rsidRPr="00F07621">
        <w:rPr>
          <w:b/>
          <w:i/>
        </w:rPr>
        <w:t>TPS levy</w:t>
      </w:r>
      <w:r w:rsidRPr="00F07621">
        <w:t xml:space="preserve"> has the same meaning as in the ESOS Act.</w:t>
      </w:r>
    </w:p>
    <w:p w14:paraId="32564D53" w14:textId="008A5DD7" w:rsidR="00554826" w:rsidRDefault="00045F79" w:rsidP="00045F79">
      <w:pPr>
        <w:pStyle w:val="Definition"/>
      </w:pPr>
      <w:r w:rsidRPr="00F07621">
        <w:rPr>
          <w:b/>
          <w:i/>
        </w:rPr>
        <w:t>tuition fees</w:t>
      </w:r>
      <w:r w:rsidRPr="00F07621">
        <w:rPr>
          <w:b/>
        </w:rPr>
        <w:t xml:space="preserve"> </w:t>
      </w:r>
      <w:proofErr w:type="gramStart"/>
      <w:r w:rsidRPr="00F07621">
        <w:t>has</w:t>
      </w:r>
      <w:proofErr w:type="gramEnd"/>
      <w:r w:rsidRPr="00F07621">
        <w:t xml:space="preserve"> the same meaning as in the ESOS Act.</w:t>
      </w:r>
    </w:p>
    <w:p w14:paraId="33E12851" w14:textId="77777777" w:rsidR="00554826" w:rsidRPr="00554826" w:rsidRDefault="00554826" w:rsidP="00554826">
      <w:pPr>
        <w:pStyle w:val="ActHead5"/>
      </w:pPr>
      <w:bookmarkStart w:id="7" w:name="_Toc454781205"/>
      <w:bookmarkStart w:id="8" w:name="_Toc84947114"/>
      <w:proofErr w:type="gramStart"/>
      <w:r w:rsidRPr="00554826">
        <w:t>5  Schedules</w:t>
      </w:r>
      <w:bookmarkEnd w:id="7"/>
      <w:bookmarkEnd w:id="8"/>
      <w:proofErr w:type="gramEnd"/>
    </w:p>
    <w:p w14:paraId="5FD489FC" w14:textId="391CE990" w:rsidR="00554826" w:rsidRDefault="00554826" w:rsidP="00554826">
      <w:pPr>
        <w:pStyle w:val="subsection"/>
      </w:pPr>
      <w:r w:rsidRPr="006065DA">
        <w:tab/>
      </w:r>
      <w:r w:rsidRPr="006065DA">
        <w:tab/>
        <w:t xml:space="preserve">Each instrument that is specified in Schedule </w:t>
      </w:r>
      <w:r w:rsidR="00CE452C">
        <w:t xml:space="preserve">1 </w:t>
      </w:r>
      <w:r w:rsidRPr="006065DA">
        <w:t>to this instrument is repealed as set out in the applicable items in th</w:t>
      </w:r>
      <w:r w:rsidR="00CE452C">
        <w:t>at</w:t>
      </w:r>
      <w:r w:rsidRPr="006065DA">
        <w:t xml:space="preserve"> Schedule</w:t>
      </w:r>
      <w:r w:rsidR="00CE452C">
        <w:t>.</w:t>
      </w:r>
      <w:r w:rsidRPr="006065DA">
        <w:t xml:space="preserve"> </w:t>
      </w:r>
    </w:p>
    <w:p w14:paraId="4D3A97F4" w14:textId="6B1D1586" w:rsidR="00CE452C" w:rsidRDefault="00CE452C" w:rsidP="00B25306">
      <w:pPr>
        <w:pStyle w:val="paragraphsub"/>
      </w:pPr>
    </w:p>
    <w:p w14:paraId="7102989F" w14:textId="77777777" w:rsidR="00045F79" w:rsidRPr="00F07621" w:rsidRDefault="00045F79" w:rsidP="00045F79">
      <w:pPr>
        <w:pStyle w:val="ActHead2"/>
        <w:pageBreakBefore/>
      </w:pPr>
      <w:bookmarkStart w:id="9" w:name="_Toc56611614"/>
      <w:bookmarkStart w:id="10" w:name="_Toc84947115"/>
      <w:r w:rsidRPr="00F07621">
        <w:rPr>
          <w:rStyle w:val="CharPartNo"/>
        </w:rPr>
        <w:lastRenderedPageBreak/>
        <w:t>Part 2</w:t>
      </w:r>
      <w:r w:rsidRPr="00F07621">
        <w:t>—</w:t>
      </w:r>
      <w:r w:rsidRPr="00F07621">
        <w:rPr>
          <w:rStyle w:val="CharPartText"/>
        </w:rPr>
        <w:t>Risk factors for risk rated premium component</w:t>
      </w:r>
      <w:bookmarkEnd w:id="9"/>
      <w:bookmarkEnd w:id="10"/>
    </w:p>
    <w:p w14:paraId="0BA61050" w14:textId="77777777" w:rsidR="00045F79" w:rsidRPr="00F07621" w:rsidRDefault="00045F79" w:rsidP="00045F79">
      <w:pPr>
        <w:pStyle w:val="Header"/>
      </w:pPr>
      <w:r w:rsidRPr="00F07621">
        <w:rPr>
          <w:rStyle w:val="CharDivNo"/>
        </w:rPr>
        <w:t xml:space="preserve"> </w:t>
      </w:r>
      <w:r w:rsidRPr="00F07621">
        <w:rPr>
          <w:rStyle w:val="CharDivText"/>
        </w:rPr>
        <w:t xml:space="preserve"> </w:t>
      </w:r>
    </w:p>
    <w:p w14:paraId="7CCC8CF9" w14:textId="77777777" w:rsidR="00045F79" w:rsidRPr="00F07621" w:rsidRDefault="00045F79" w:rsidP="00045F79">
      <w:pPr>
        <w:pStyle w:val="ActHead5"/>
        <w:ind w:left="0" w:firstLine="0"/>
      </w:pPr>
      <w:bookmarkStart w:id="11" w:name="_Toc56611615"/>
      <w:bookmarkStart w:id="12" w:name="_Toc84947116"/>
      <w:proofErr w:type="gramStart"/>
      <w:r w:rsidRPr="00F07621">
        <w:rPr>
          <w:rStyle w:val="CharSectno"/>
        </w:rPr>
        <w:t>6</w:t>
      </w:r>
      <w:r w:rsidRPr="00F07621">
        <w:t xml:space="preserve">  Risk</w:t>
      </w:r>
      <w:proofErr w:type="gramEnd"/>
      <w:r w:rsidRPr="00F07621">
        <w:t xml:space="preserve"> rated premium component</w:t>
      </w:r>
      <w:bookmarkEnd w:id="11"/>
      <w:bookmarkEnd w:id="12"/>
    </w:p>
    <w:p w14:paraId="4E492A56" w14:textId="309BEE22" w:rsidR="00045F79" w:rsidRPr="00F07621" w:rsidRDefault="00045F79" w:rsidP="00045F79">
      <w:pPr>
        <w:pStyle w:val="subsection"/>
      </w:pPr>
      <w:r w:rsidRPr="00F07621">
        <w:tab/>
        <w:t>(1)</w:t>
      </w:r>
      <w:r w:rsidRPr="00F07621">
        <w:tab/>
        <w:t xml:space="preserve">For the purposes of paragraph 9(3)(a) of the </w:t>
      </w:r>
      <w:r w:rsidRPr="00F07621">
        <w:rPr>
          <w:iCs/>
        </w:rPr>
        <w:t>ESOS (TPS Levies) Act</w:t>
      </w:r>
      <w:r w:rsidRPr="00F07621">
        <w:t>, the percentage for 202</w:t>
      </w:r>
      <w:r>
        <w:t>2</w:t>
      </w:r>
      <w:r w:rsidRPr="00F07621">
        <w:t xml:space="preserve"> is 0.0</w:t>
      </w:r>
      <w:r w:rsidR="00BE122B">
        <w:t>0</w:t>
      </w:r>
      <w:r w:rsidRPr="00F07621">
        <w:t>%.</w:t>
      </w:r>
    </w:p>
    <w:p w14:paraId="67EA0513" w14:textId="77777777" w:rsidR="00045F79" w:rsidRPr="00F07621" w:rsidRDefault="00045F79" w:rsidP="00045F79">
      <w:pPr>
        <w:pStyle w:val="subsection"/>
      </w:pPr>
      <w:r w:rsidRPr="00F07621">
        <w:tab/>
        <w:t>(2)</w:t>
      </w:r>
      <w:r w:rsidRPr="00F07621">
        <w:tab/>
        <w:t xml:space="preserve">For the purposes of paragraph 9(3)(b) of the </w:t>
      </w:r>
      <w:r w:rsidRPr="00F07621">
        <w:rPr>
          <w:iCs/>
        </w:rPr>
        <w:t>ESOS (TPS Levies) Act,</w:t>
      </w:r>
      <w:r w:rsidRPr="00F07621">
        <w:t xml:space="preserve"> the following risk factors are specified:</w:t>
      </w:r>
    </w:p>
    <w:p w14:paraId="17D18FF5" w14:textId="77777777" w:rsidR="00045F79" w:rsidRPr="00F07621" w:rsidRDefault="00045F79" w:rsidP="00045F79">
      <w:pPr>
        <w:pStyle w:val="paragraph"/>
      </w:pPr>
      <w:r w:rsidRPr="00F07621">
        <w:tab/>
        <w:t>(a)</w:t>
      </w:r>
      <w:r w:rsidRPr="00F07621">
        <w:tab/>
        <w:t xml:space="preserve">base risk </w:t>
      </w:r>
      <w:proofErr w:type="gramStart"/>
      <w:r w:rsidRPr="00F07621">
        <w:t>factor;</w:t>
      </w:r>
      <w:proofErr w:type="gramEnd"/>
    </w:p>
    <w:p w14:paraId="5D8C6C9D" w14:textId="77777777" w:rsidR="00045F79" w:rsidRPr="00F07621" w:rsidRDefault="00045F79" w:rsidP="00045F79">
      <w:pPr>
        <w:pStyle w:val="paragraph"/>
      </w:pPr>
      <w:r w:rsidRPr="00F07621">
        <w:tab/>
        <w:t>(b)</w:t>
      </w:r>
      <w:r w:rsidRPr="00F07621">
        <w:tab/>
        <w:t xml:space="preserve">length of </w:t>
      </w:r>
      <w:proofErr w:type="gramStart"/>
      <w:r w:rsidRPr="00F07621">
        <w:t>operation;</w:t>
      </w:r>
      <w:proofErr w:type="gramEnd"/>
    </w:p>
    <w:p w14:paraId="6F2FAF3B" w14:textId="77777777" w:rsidR="00045F79" w:rsidRPr="00F07621" w:rsidRDefault="00045F79" w:rsidP="00045F79">
      <w:pPr>
        <w:pStyle w:val="paragraph"/>
      </w:pPr>
      <w:r w:rsidRPr="00F07621">
        <w:tab/>
        <w:t>(c)</w:t>
      </w:r>
      <w:r w:rsidRPr="00F07621">
        <w:tab/>
        <w:t xml:space="preserve">volatility in overseas student </w:t>
      </w:r>
      <w:proofErr w:type="gramStart"/>
      <w:r w:rsidRPr="00F07621">
        <w:t>enrolments;</w:t>
      </w:r>
      <w:proofErr w:type="gramEnd"/>
    </w:p>
    <w:p w14:paraId="13624F5D" w14:textId="77777777" w:rsidR="00045F79" w:rsidRPr="00F07621" w:rsidRDefault="00045F79" w:rsidP="00045F79">
      <w:pPr>
        <w:pStyle w:val="paragraph"/>
      </w:pPr>
      <w:r w:rsidRPr="00F07621">
        <w:tab/>
        <w:t>(d)</w:t>
      </w:r>
      <w:r w:rsidRPr="00F07621">
        <w:tab/>
        <w:t xml:space="preserve">maximum overseas source country </w:t>
      </w:r>
      <w:proofErr w:type="gramStart"/>
      <w:r w:rsidRPr="00F07621">
        <w:t>concentration;</w:t>
      </w:r>
      <w:proofErr w:type="gramEnd"/>
    </w:p>
    <w:p w14:paraId="3D8B7009" w14:textId="77777777" w:rsidR="00045F79" w:rsidRPr="00F07621" w:rsidRDefault="00045F79" w:rsidP="00045F79">
      <w:pPr>
        <w:pStyle w:val="paragraph"/>
      </w:pPr>
      <w:r w:rsidRPr="00F07621">
        <w:tab/>
        <w:t>(e)</w:t>
      </w:r>
      <w:r w:rsidRPr="00F07621">
        <w:tab/>
        <w:t>non-compliance and registration renewal.</w:t>
      </w:r>
    </w:p>
    <w:p w14:paraId="2955ED86" w14:textId="77777777" w:rsidR="00045F79" w:rsidRPr="00F07621" w:rsidRDefault="00045F79" w:rsidP="00045F79">
      <w:pPr>
        <w:pStyle w:val="ActHead5"/>
      </w:pPr>
      <w:bookmarkStart w:id="13" w:name="_Toc56611616"/>
      <w:bookmarkStart w:id="14" w:name="_Toc84947117"/>
      <w:proofErr w:type="gramStart"/>
      <w:r w:rsidRPr="00F07621">
        <w:rPr>
          <w:rStyle w:val="CharSectno"/>
        </w:rPr>
        <w:t>7</w:t>
      </w:r>
      <w:r w:rsidRPr="00F07621">
        <w:t xml:space="preserve">  Risk</w:t>
      </w:r>
      <w:proofErr w:type="gramEnd"/>
      <w:r w:rsidRPr="00F07621">
        <w:t xml:space="preserve"> factor—base risk factor</w:t>
      </w:r>
      <w:bookmarkEnd w:id="13"/>
      <w:bookmarkEnd w:id="14"/>
    </w:p>
    <w:p w14:paraId="608608DE" w14:textId="77777777" w:rsidR="00045F79" w:rsidRPr="00F07621" w:rsidRDefault="00045F79" w:rsidP="00045F79">
      <w:pPr>
        <w:pStyle w:val="subsection"/>
      </w:pPr>
      <w:r w:rsidRPr="00F07621">
        <w:tab/>
        <w:t>(1)</w:t>
      </w:r>
      <w:r w:rsidRPr="00F07621">
        <w:tab/>
        <w:t>The risk factor, base risk factor, applies to all non</w:t>
      </w:r>
      <w:r w:rsidRPr="00F07621">
        <w:noBreakHyphen/>
        <w:t>exempt providers.</w:t>
      </w:r>
    </w:p>
    <w:p w14:paraId="110F08AA" w14:textId="77777777" w:rsidR="00045F79" w:rsidRPr="00F07621" w:rsidRDefault="00045F79" w:rsidP="00045F79">
      <w:pPr>
        <w:pStyle w:val="subsection"/>
      </w:pPr>
      <w:r w:rsidRPr="00F07621">
        <w:tab/>
        <w:t>(2)</w:t>
      </w:r>
      <w:r w:rsidRPr="00F07621">
        <w:tab/>
        <w:t xml:space="preserve">For the purposes of paragraph 9(3)(c) of the </w:t>
      </w:r>
      <w:r w:rsidRPr="00F07621">
        <w:rPr>
          <w:iCs/>
        </w:rPr>
        <w:t>ESOS (TPS Levies) Act,</w:t>
      </w:r>
      <w:r w:rsidRPr="00F07621">
        <w:t xml:space="preserve"> the increase factor is 1.0.</w:t>
      </w:r>
    </w:p>
    <w:p w14:paraId="08CC1756" w14:textId="77777777" w:rsidR="00045F79" w:rsidRPr="00F07621" w:rsidRDefault="00045F79" w:rsidP="00045F79">
      <w:pPr>
        <w:pStyle w:val="ActHead5"/>
      </w:pPr>
      <w:bookmarkStart w:id="15" w:name="_Toc56611617"/>
      <w:bookmarkStart w:id="16" w:name="_Toc84947118"/>
      <w:proofErr w:type="gramStart"/>
      <w:r w:rsidRPr="00F07621">
        <w:rPr>
          <w:rStyle w:val="CharSectno"/>
        </w:rPr>
        <w:t>8</w:t>
      </w:r>
      <w:r w:rsidRPr="00F07621">
        <w:t xml:space="preserve">  Risk</w:t>
      </w:r>
      <w:proofErr w:type="gramEnd"/>
      <w:r w:rsidRPr="00F07621">
        <w:t xml:space="preserve"> factor—length of operation</w:t>
      </w:r>
      <w:bookmarkEnd w:id="15"/>
      <w:bookmarkEnd w:id="16"/>
    </w:p>
    <w:p w14:paraId="18A7ECDA" w14:textId="77777777" w:rsidR="00045F79" w:rsidRPr="00F07621" w:rsidRDefault="00045F79" w:rsidP="00045F79">
      <w:pPr>
        <w:pStyle w:val="SubsectionHead"/>
      </w:pPr>
      <w:r w:rsidRPr="00F07621">
        <w:t>Application</w:t>
      </w:r>
    </w:p>
    <w:p w14:paraId="7D3619EB" w14:textId="77777777" w:rsidR="00045F79" w:rsidRPr="00F07621" w:rsidRDefault="00045F79" w:rsidP="00045F79">
      <w:pPr>
        <w:pStyle w:val="subsection"/>
      </w:pPr>
      <w:r w:rsidRPr="00F07621">
        <w:tab/>
        <w:t>(1)</w:t>
      </w:r>
      <w:r w:rsidRPr="00F07621">
        <w:tab/>
        <w:t>The risk factor, length of operation, applies to all non</w:t>
      </w:r>
      <w:r w:rsidRPr="00F07621">
        <w:noBreakHyphen/>
        <w:t>exempt providers.</w:t>
      </w:r>
    </w:p>
    <w:p w14:paraId="1F8D4B74" w14:textId="77777777" w:rsidR="00045F79" w:rsidRPr="00F07621" w:rsidRDefault="00045F79" w:rsidP="00045F79">
      <w:pPr>
        <w:pStyle w:val="SubsectionHead"/>
      </w:pPr>
      <w:r w:rsidRPr="00F07621">
        <w:t>Factor by which specified percentage is multiplied</w:t>
      </w:r>
    </w:p>
    <w:p w14:paraId="0A945705" w14:textId="77777777" w:rsidR="00045F79" w:rsidRPr="00F07621" w:rsidRDefault="00045F79" w:rsidP="00045F79">
      <w:pPr>
        <w:pStyle w:val="subsection"/>
      </w:pPr>
      <w:r w:rsidRPr="00F07621">
        <w:tab/>
        <w:t>(2)</w:t>
      </w:r>
      <w:r w:rsidRPr="00F07621">
        <w:tab/>
        <w:t xml:space="preserve">For the purposes of paragraph 9(3)(c) of the </w:t>
      </w:r>
      <w:r w:rsidRPr="00F07621">
        <w:rPr>
          <w:iCs/>
        </w:rPr>
        <w:t>ESOS (TPS Levies) Act,</w:t>
      </w:r>
      <w:r w:rsidRPr="00F07621">
        <w:t xml:space="preserve"> the increase factor is that set out in the following table:</w:t>
      </w:r>
    </w:p>
    <w:p w14:paraId="77DAFEEE" w14:textId="77777777" w:rsidR="00045F79" w:rsidRPr="00F07621" w:rsidRDefault="00045F79" w:rsidP="00045F79">
      <w:pPr>
        <w:pStyle w:val="Tabletext"/>
      </w:pPr>
    </w:p>
    <w:tbl>
      <w:tblPr>
        <w:tblW w:w="7688" w:type="dxa"/>
        <w:tblInd w:w="817"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1129"/>
        <w:gridCol w:w="3974"/>
        <w:gridCol w:w="2585"/>
      </w:tblGrid>
      <w:tr w:rsidR="00045F79" w:rsidRPr="00F07621" w14:paraId="7CF2593F" w14:textId="77777777" w:rsidTr="00045F79">
        <w:trPr>
          <w:tblHeader/>
        </w:trPr>
        <w:tc>
          <w:tcPr>
            <w:tcW w:w="7688" w:type="dxa"/>
            <w:gridSpan w:val="3"/>
            <w:tcBorders>
              <w:top w:val="single" w:sz="12" w:space="0" w:color="auto"/>
              <w:bottom w:val="single" w:sz="6" w:space="0" w:color="auto"/>
            </w:tcBorders>
            <w:shd w:val="clear" w:color="auto" w:fill="auto"/>
          </w:tcPr>
          <w:p w14:paraId="2772DF6E" w14:textId="77777777" w:rsidR="00045F79" w:rsidRPr="00F07621" w:rsidRDefault="00045F79" w:rsidP="00045F79">
            <w:pPr>
              <w:pStyle w:val="TableHeading"/>
            </w:pPr>
            <w:r w:rsidRPr="00F07621">
              <w:t>Registered provider’s length of operation</w:t>
            </w:r>
          </w:p>
        </w:tc>
      </w:tr>
      <w:tr w:rsidR="00045F79" w:rsidRPr="00F07621" w14:paraId="03D13526" w14:textId="77777777" w:rsidTr="00045F79">
        <w:trPr>
          <w:tblHeader/>
        </w:trPr>
        <w:tc>
          <w:tcPr>
            <w:tcW w:w="1129" w:type="dxa"/>
            <w:tcBorders>
              <w:top w:val="single" w:sz="6" w:space="0" w:color="auto"/>
              <w:bottom w:val="single" w:sz="4" w:space="0" w:color="auto"/>
            </w:tcBorders>
            <w:shd w:val="clear" w:color="auto" w:fill="auto"/>
          </w:tcPr>
          <w:p w14:paraId="7856C15E" w14:textId="77777777" w:rsidR="00045F79" w:rsidRPr="00F07621" w:rsidRDefault="00045F79" w:rsidP="00045F79">
            <w:pPr>
              <w:pStyle w:val="TableHeading"/>
            </w:pPr>
            <w:r w:rsidRPr="00F07621">
              <w:t>Column 1</w:t>
            </w:r>
          </w:p>
        </w:tc>
        <w:tc>
          <w:tcPr>
            <w:tcW w:w="3974" w:type="dxa"/>
            <w:tcBorders>
              <w:top w:val="single" w:sz="6" w:space="0" w:color="auto"/>
              <w:bottom w:val="single" w:sz="4" w:space="0" w:color="auto"/>
            </w:tcBorders>
            <w:shd w:val="clear" w:color="auto" w:fill="auto"/>
          </w:tcPr>
          <w:p w14:paraId="33451A2D" w14:textId="77777777" w:rsidR="00045F79" w:rsidRPr="00F07621" w:rsidRDefault="00045F79" w:rsidP="00045F79">
            <w:pPr>
              <w:pStyle w:val="TableHeading"/>
            </w:pPr>
            <w:r w:rsidRPr="00F07621">
              <w:t>Column 2</w:t>
            </w:r>
          </w:p>
        </w:tc>
        <w:tc>
          <w:tcPr>
            <w:tcW w:w="2585" w:type="dxa"/>
            <w:tcBorders>
              <w:top w:val="single" w:sz="6" w:space="0" w:color="auto"/>
              <w:bottom w:val="single" w:sz="4" w:space="0" w:color="auto"/>
            </w:tcBorders>
            <w:shd w:val="clear" w:color="auto" w:fill="auto"/>
          </w:tcPr>
          <w:p w14:paraId="7D0A00E4" w14:textId="77777777" w:rsidR="00045F79" w:rsidRPr="00F07621" w:rsidRDefault="00045F79" w:rsidP="00045F79">
            <w:pPr>
              <w:pStyle w:val="TableHeading"/>
            </w:pPr>
            <w:r w:rsidRPr="00F07621">
              <w:t>Column 3</w:t>
            </w:r>
          </w:p>
        </w:tc>
      </w:tr>
      <w:tr w:rsidR="00045F79" w:rsidRPr="00F07621" w14:paraId="10D2DB74" w14:textId="77777777" w:rsidTr="00045F79">
        <w:trPr>
          <w:tblHeader/>
        </w:trPr>
        <w:tc>
          <w:tcPr>
            <w:tcW w:w="1129" w:type="dxa"/>
            <w:tcBorders>
              <w:top w:val="single" w:sz="4" w:space="0" w:color="auto"/>
              <w:bottom w:val="single" w:sz="12" w:space="0" w:color="auto"/>
            </w:tcBorders>
            <w:shd w:val="clear" w:color="auto" w:fill="auto"/>
          </w:tcPr>
          <w:p w14:paraId="0BF0B246" w14:textId="77777777" w:rsidR="00045F79" w:rsidRPr="00F07621" w:rsidRDefault="00045F79" w:rsidP="00045F79">
            <w:pPr>
              <w:pStyle w:val="TableHeading"/>
            </w:pPr>
            <w:r w:rsidRPr="00F07621">
              <w:t>Item</w:t>
            </w:r>
          </w:p>
        </w:tc>
        <w:tc>
          <w:tcPr>
            <w:tcW w:w="3974" w:type="dxa"/>
            <w:tcBorders>
              <w:top w:val="single" w:sz="4" w:space="0" w:color="auto"/>
              <w:bottom w:val="single" w:sz="12" w:space="0" w:color="auto"/>
            </w:tcBorders>
            <w:shd w:val="clear" w:color="auto" w:fill="auto"/>
          </w:tcPr>
          <w:p w14:paraId="2BF3D523" w14:textId="77777777" w:rsidR="00045F79" w:rsidRPr="00F07621" w:rsidRDefault="00045F79" w:rsidP="00045F79">
            <w:pPr>
              <w:pStyle w:val="TableHeading"/>
            </w:pPr>
            <w:r w:rsidRPr="00F07621">
              <w:t>If a registered provider’s length of operation is …</w:t>
            </w:r>
          </w:p>
        </w:tc>
        <w:tc>
          <w:tcPr>
            <w:tcW w:w="2585" w:type="dxa"/>
            <w:tcBorders>
              <w:top w:val="single" w:sz="4" w:space="0" w:color="auto"/>
              <w:bottom w:val="single" w:sz="12" w:space="0" w:color="auto"/>
            </w:tcBorders>
            <w:shd w:val="clear" w:color="auto" w:fill="auto"/>
          </w:tcPr>
          <w:p w14:paraId="444471E9" w14:textId="77777777" w:rsidR="00045F79" w:rsidRPr="00F07621" w:rsidRDefault="00045F79" w:rsidP="00045F79">
            <w:pPr>
              <w:pStyle w:val="TableHeading"/>
            </w:pPr>
            <w:r w:rsidRPr="00F07621">
              <w:t>then the factor is …</w:t>
            </w:r>
          </w:p>
        </w:tc>
      </w:tr>
      <w:tr w:rsidR="00045F79" w:rsidRPr="00F07621" w14:paraId="2DCA1D03" w14:textId="77777777" w:rsidTr="00045F79">
        <w:tc>
          <w:tcPr>
            <w:tcW w:w="1129" w:type="dxa"/>
            <w:tcBorders>
              <w:top w:val="single" w:sz="12" w:space="0" w:color="auto"/>
            </w:tcBorders>
            <w:shd w:val="clear" w:color="auto" w:fill="auto"/>
          </w:tcPr>
          <w:p w14:paraId="0439A286" w14:textId="77777777" w:rsidR="00045F79" w:rsidRPr="00F07621" w:rsidRDefault="00045F79" w:rsidP="00045F79">
            <w:pPr>
              <w:pStyle w:val="Tabletext"/>
            </w:pPr>
            <w:r w:rsidRPr="00F07621">
              <w:t>1</w:t>
            </w:r>
          </w:p>
        </w:tc>
        <w:tc>
          <w:tcPr>
            <w:tcW w:w="3974" w:type="dxa"/>
            <w:tcBorders>
              <w:top w:val="single" w:sz="12" w:space="0" w:color="auto"/>
            </w:tcBorders>
            <w:shd w:val="clear" w:color="auto" w:fill="auto"/>
          </w:tcPr>
          <w:p w14:paraId="321C96B1" w14:textId="77777777" w:rsidR="00045F79" w:rsidRPr="00F07621" w:rsidRDefault="00045F79" w:rsidP="00045F79">
            <w:pPr>
              <w:pStyle w:val="Tabletext"/>
            </w:pPr>
            <w:r w:rsidRPr="00F07621">
              <w:t>less than 1 year</w:t>
            </w:r>
          </w:p>
        </w:tc>
        <w:tc>
          <w:tcPr>
            <w:tcW w:w="2585" w:type="dxa"/>
            <w:tcBorders>
              <w:top w:val="single" w:sz="12" w:space="0" w:color="auto"/>
            </w:tcBorders>
            <w:shd w:val="clear" w:color="auto" w:fill="auto"/>
          </w:tcPr>
          <w:p w14:paraId="0DCDDDFE" w14:textId="77777777" w:rsidR="00045F79" w:rsidRPr="00F07621" w:rsidRDefault="00045F79" w:rsidP="00045F79">
            <w:pPr>
              <w:pStyle w:val="Tabletext"/>
            </w:pPr>
            <w:r w:rsidRPr="00F07621">
              <w:t>1.0</w:t>
            </w:r>
          </w:p>
        </w:tc>
      </w:tr>
      <w:tr w:rsidR="00045F79" w:rsidRPr="00F07621" w14:paraId="63C08685" w14:textId="77777777" w:rsidTr="00045F79">
        <w:tc>
          <w:tcPr>
            <w:tcW w:w="1129" w:type="dxa"/>
            <w:shd w:val="clear" w:color="auto" w:fill="auto"/>
          </w:tcPr>
          <w:p w14:paraId="3DC7B75C" w14:textId="77777777" w:rsidR="00045F79" w:rsidRPr="00F07621" w:rsidRDefault="00045F79" w:rsidP="00045F79">
            <w:pPr>
              <w:pStyle w:val="Tabletext"/>
            </w:pPr>
            <w:r w:rsidRPr="00F07621">
              <w:t>2</w:t>
            </w:r>
          </w:p>
        </w:tc>
        <w:tc>
          <w:tcPr>
            <w:tcW w:w="3974" w:type="dxa"/>
            <w:shd w:val="clear" w:color="auto" w:fill="auto"/>
          </w:tcPr>
          <w:p w14:paraId="31D211E6" w14:textId="77777777" w:rsidR="00045F79" w:rsidRPr="00F07621" w:rsidRDefault="00045F79" w:rsidP="00045F79">
            <w:pPr>
              <w:pStyle w:val="Tabletext"/>
            </w:pPr>
            <w:r w:rsidRPr="00F07621">
              <w:t>1 year or more but less than 2 years</w:t>
            </w:r>
          </w:p>
        </w:tc>
        <w:tc>
          <w:tcPr>
            <w:tcW w:w="2585" w:type="dxa"/>
            <w:shd w:val="clear" w:color="auto" w:fill="auto"/>
          </w:tcPr>
          <w:p w14:paraId="63057759" w14:textId="77777777" w:rsidR="00045F79" w:rsidRPr="00F07621" w:rsidRDefault="00045F79" w:rsidP="00045F79">
            <w:pPr>
              <w:pStyle w:val="Tabletext"/>
            </w:pPr>
            <w:r w:rsidRPr="00F07621">
              <w:t>0.5</w:t>
            </w:r>
          </w:p>
        </w:tc>
      </w:tr>
      <w:tr w:rsidR="00045F79" w:rsidRPr="00F07621" w14:paraId="0A63530C" w14:textId="77777777" w:rsidTr="00045F79">
        <w:tc>
          <w:tcPr>
            <w:tcW w:w="1129" w:type="dxa"/>
            <w:tcBorders>
              <w:top w:val="single" w:sz="2" w:space="0" w:color="auto"/>
              <w:bottom w:val="single" w:sz="12" w:space="0" w:color="auto"/>
            </w:tcBorders>
            <w:shd w:val="clear" w:color="auto" w:fill="auto"/>
          </w:tcPr>
          <w:p w14:paraId="6BF57973" w14:textId="77777777" w:rsidR="00045F79" w:rsidRPr="00F07621" w:rsidRDefault="00045F79" w:rsidP="00045F79">
            <w:pPr>
              <w:pStyle w:val="Tabletext"/>
            </w:pPr>
            <w:r w:rsidRPr="00F07621">
              <w:t>3</w:t>
            </w:r>
          </w:p>
        </w:tc>
        <w:tc>
          <w:tcPr>
            <w:tcW w:w="3974" w:type="dxa"/>
            <w:tcBorders>
              <w:top w:val="single" w:sz="2" w:space="0" w:color="auto"/>
              <w:bottom w:val="single" w:sz="12" w:space="0" w:color="auto"/>
            </w:tcBorders>
            <w:shd w:val="clear" w:color="auto" w:fill="auto"/>
          </w:tcPr>
          <w:p w14:paraId="43412883" w14:textId="77777777" w:rsidR="00045F79" w:rsidRPr="00F07621" w:rsidRDefault="00045F79" w:rsidP="00045F79">
            <w:pPr>
              <w:pStyle w:val="Tabletext"/>
            </w:pPr>
            <w:r w:rsidRPr="00F07621">
              <w:t xml:space="preserve">2 years or more </w:t>
            </w:r>
          </w:p>
        </w:tc>
        <w:tc>
          <w:tcPr>
            <w:tcW w:w="2585" w:type="dxa"/>
            <w:tcBorders>
              <w:top w:val="single" w:sz="2" w:space="0" w:color="auto"/>
              <w:bottom w:val="single" w:sz="12" w:space="0" w:color="auto"/>
            </w:tcBorders>
            <w:shd w:val="clear" w:color="auto" w:fill="auto"/>
          </w:tcPr>
          <w:p w14:paraId="35BC0D9F" w14:textId="77777777" w:rsidR="00045F79" w:rsidRPr="00F07621" w:rsidRDefault="00045F79" w:rsidP="00045F79">
            <w:pPr>
              <w:pStyle w:val="Tabletext"/>
            </w:pPr>
            <w:r w:rsidRPr="00F07621">
              <w:t>0.0</w:t>
            </w:r>
          </w:p>
        </w:tc>
      </w:tr>
    </w:tbl>
    <w:p w14:paraId="1F75B560" w14:textId="77777777" w:rsidR="00045F79" w:rsidRPr="00F07621" w:rsidRDefault="00045F79" w:rsidP="00045F79">
      <w:pPr>
        <w:pStyle w:val="Tabletext"/>
      </w:pPr>
    </w:p>
    <w:p w14:paraId="01BBD854" w14:textId="77777777" w:rsidR="00045F79" w:rsidRPr="00F07621" w:rsidRDefault="00045F79" w:rsidP="00045F79">
      <w:pPr>
        <w:pStyle w:val="ActHead5"/>
        <w:ind w:right="516"/>
      </w:pPr>
      <w:bookmarkStart w:id="17" w:name="_Toc56611618"/>
      <w:bookmarkStart w:id="18" w:name="_Toc84947119"/>
      <w:proofErr w:type="gramStart"/>
      <w:r w:rsidRPr="00F07621">
        <w:rPr>
          <w:rStyle w:val="CharSectno"/>
        </w:rPr>
        <w:lastRenderedPageBreak/>
        <w:t>9</w:t>
      </w:r>
      <w:r w:rsidRPr="00F07621">
        <w:t xml:space="preserve">  Risk</w:t>
      </w:r>
      <w:proofErr w:type="gramEnd"/>
      <w:r w:rsidRPr="00F07621">
        <w:t xml:space="preserve"> factor—volatility in overseas student enrolments</w:t>
      </w:r>
      <w:bookmarkEnd w:id="17"/>
      <w:bookmarkEnd w:id="18"/>
    </w:p>
    <w:p w14:paraId="1E66C7B0" w14:textId="77777777" w:rsidR="00045F79" w:rsidRPr="00F07621" w:rsidRDefault="00045F79" w:rsidP="00045F79">
      <w:pPr>
        <w:pStyle w:val="SubsectionHead"/>
      </w:pPr>
      <w:r w:rsidRPr="00F07621">
        <w:t>Application</w:t>
      </w:r>
    </w:p>
    <w:p w14:paraId="6807751E" w14:textId="77777777" w:rsidR="00045F79" w:rsidRPr="00F07621" w:rsidRDefault="00045F79" w:rsidP="00045F79">
      <w:pPr>
        <w:pStyle w:val="subsection"/>
      </w:pPr>
      <w:r w:rsidRPr="00F07621">
        <w:tab/>
        <w:t>(1)</w:t>
      </w:r>
      <w:r w:rsidRPr="00F07621">
        <w:tab/>
        <w:t>The risk factor, volatility in overseas student enrolments, applies to a non</w:t>
      </w:r>
      <w:r w:rsidRPr="00F07621">
        <w:noBreakHyphen/>
        <w:t>exempt provider that:</w:t>
      </w:r>
    </w:p>
    <w:p w14:paraId="0124EA00" w14:textId="77777777" w:rsidR="00045F79" w:rsidRPr="00F07621" w:rsidRDefault="00045F79" w:rsidP="00045F79">
      <w:pPr>
        <w:pStyle w:val="paragraph"/>
      </w:pPr>
      <w:r w:rsidRPr="00F07621">
        <w:tab/>
        <w:t>(a)</w:t>
      </w:r>
      <w:r w:rsidRPr="00F07621">
        <w:tab/>
        <w:t>has a length of operation of 2 years or more; and</w:t>
      </w:r>
    </w:p>
    <w:p w14:paraId="0031BD46" w14:textId="6FE8DA52" w:rsidR="00045F79" w:rsidRPr="00F07621" w:rsidRDefault="00045F79" w:rsidP="00045F79">
      <w:pPr>
        <w:pStyle w:val="paragraph"/>
      </w:pPr>
      <w:r w:rsidRPr="00F07621">
        <w:tab/>
        <w:t>(b)</w:t>
      </w:r>
      <w:r w:rsidRPr="00F07621">
        <w:tab/>
        <w:t>had either or both of the following in 202</w:t>
      </w:r>
      <w:r>
        <w:t>1</w:t>
      </w:r>
      <w:r w:rsidRPr="00F07621">
        <w:t>:</w:t>
      </w:r>
    </w:p>
    <w:p w14:paraId="0F36CD8C" w14:textId="77777777" w:rsidR="00045F79" w:rsidRPr="00F07621" w:rsidRDefault="00045F79" w:rsidP="00045F79">
      <w:pPr>
        <w:pStyle w:val="paragraphsub"/>
      </w:pPr>
      <w:r w:rsidRPr="00F07621">
        <w:tab/>
        <w:t>(</w:t>
      </w:r>
      <w:proofErr w:type="spellStart"/>
      <w:r w:rsidRPr="00F07621">
        <w:t>i</w:t>
      </w:r>
      <w:proofErr w:type="spellEnd"/>
      <w:r w:rsidRPr="00F07621">
        <w:t>)</w:t>
      </w:r>
      <w:r w:rsidRPr="00F07621">
        <w:tab/>
        <w:t xml:space="preserve">at least 20 overseas student </w:t>
      </w:r>
      <w:proofErr w:type="gramStart"/>
      <w:r w:rsidRPr="00F07621">
        <w:t>enrolments;</w:t>
      </w:r>
      <w:proofErr w:type="gramEnd"/>
    </w:p>
    <w:p w14:paraId="44782BCB" w14:textId="77777777" w:rsidR="00045F79" w:rsidRPr="00F07621" w:rsidRDefault="00045F79" w:rsidP="00045F79">
      <w:pPr>
        <w:pStyle w:val="paragraphsub"/>
      </w:pPr>
      <w:r w:rsidRPr="00F07621">
        <w:tab/>
        <w:t>(ii)</w:t>
      </w:r>
      <w:r w:rsidRPr="00F07621">
        <w:tab/>
        <w:t>$400,000 or more in tuition fee income.</w:t>
      </w:r>
    </w:p>
    <w:p w14:paraId="5134D41A" w14:textId="77777777" w:rsidR="00045F79" w:rsidRPr="00F07621" w:rsidRDefault="00045F79" w:rsidP="00045F79">
      <w:pPr>
        <w:pStyle w:val="SubsectionHead"/>
      </w:pPr>
      <w:r w:rsidRPr="00F07621">
        <w:t>Factor by which specified percentage is increased</w:t>
      </w:r>
    </w:p>
    <w:p w14:paraId="72B9BC9D" w14:textId="77777777" w:rsidR="00045F79" w:rsidRPr="00F07621" w:rsidRDefault="00045F79" w:rsidP="00045F79">
      <w:pPr>
        <w:pStyle w:val="subsection"/>
      </w:pPr>
      <w:r w:rsidRPr="00F07621">
        <w:tab/>
        <w:t>(2)</w:t>
      </w:r>
      <w:r w:rsidRPr="00F07621">
        <w:tab/>
        <w:t xml:space="preserve">For the purposes of paragraph 9(3)(c) of the </w:t>
      </w:r>
      <w:r w:rsidRPr="00F07621">
        <w:rPr>
          <w:iCs/>
        </w:rPr>
        <w:t>ESOS (TPS Levies) Act,</w:t>
      </w:r>
      <w:r w:rsidRPr="00F07621">
        <w:t xml:space="preserve"> if the provider is an expanding provider (as determined under subsection (3)) the increase factor is that set out in the following table:</w:t>
      </w:r>
    </w:p>
    <w:p w14:paraId="5A85C4B3" w14:textId="77777777" w:rsidR="00045F79" w:rsidRPr="00F07621" w:rsidRDefault="00045F79" w:rsidP="00045F79">
      <w:pPr>
        <w:pStyle w:val="Tabletext"/>
      </w:pPr>
    </w:p>
    <w:tbl>
      <w:tblPr>
        <w:tblW w:w="9923" w:type="dxa"/>
        <w:tblInd w:w="-74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1135"/>
        <w:gridCol w:w="2410"/>
        <w:gridCol w:w="1559"/>
        <w:gridCol w:w="1701"/>
        <w:gridCol w:w="1559"/>
        <w:gridCol w:w="1559"/>
      </w:tblGrid>
      <w:tr w:rsidR="00045F79" w:rsidRPr="00F07621" w14:paraId="700511D9" w14:textId="77777777" w:rsidTr="00045F79">
        <w:trPr>
          <w:tblHeader/>
        </w:trPr>
        <w:tc>
          <w:tcPr>
            <w:tcW w:w="9923" w:type="dxa"/>
            <w:gridSpan w:val="6"/>
            <w:tcBorders>
              <w:top w:val="single" w:sz="12" w:space="0" w:color="auto"/>
              <w:bottom w:val="single" w:sz="6" w:space="0" w:color="auto"/>
            </w:tcBorders>
            <w:shd w:val="clear" w:color="auto" w:fill="auto"/>
          </w:tcPr>
          <w:p w14:paraId="58D7F5FF" w14:textId="77777777" w:rsidR="00045F79" w:rsidRPr="00F07621" w:rsidRDefault="00045F79" w:rsidP="00045F79">
            <w:pPr>
              <w:pStyle w:val="TableHeading"/>
            </w:pPr>
            <w:r w:rsidRPr="00F07621">
              <w:t>Registered provider’s volatility in overseas student enrolments</w:t>
            </w:r>
          </w:p>
        </w:tc>
      </w:tr>
      <w:tr w:rsidR="00045F79" w:rsidRPr="00F07621" w14:paraId="2173E5F0" w14:textId="77777777" w:rsidTr="00045F79">
        <w:trPr>
          <w:tblHeader/>
        </w:trPr>
        <w:tc>
          <w:tcPr>
            <w:tcW w:w="1135" w:type="dxa"/>
            <w:tcBorders>
              <w:top w:val="single" w:sz="6" w:space="0" w:color="auto"/>
              <w:bottom w:val="single" w:sz="6" w:space="0" w:color="auto"/>
            </w:tcBorders>
            <w:shd w:val="clear" w:color="auto" w:fill="auto"/>
          </w:tcPr>
          <w:p w14:paraId="0D8AA659" w14:textId="77777777" w:rsidR="00045F79" w:rsidRPr="00F07621" w:rsidRDefault="00045F79" w:rsidP="00045F79">
            <w:pPr>
              <w:pStyle w:val="TableHeading"/>
              <w:ind w:left="29"/>
            </w:pPr>
            <w:r w:rsidRPr="00F07621">
              <w:t>Column 1</w:t>
            </w:r>
          </w:p>
        </w:tc>
        <w:tc>
          <w:tcPr>
            <w:tcW w:w="2410" w:type="dxa"/>
            <w:tcBorders>
              <w:top w:val="single" w:sz="6" w:space="0" w:color="auto"/>
              <w:bottom w:val="single" w:sz="6" w:space="0" w:color="auto"/>
            </w:tcBorders>
            <w:shd w:val="clear" w:color="auto" w:fill="auto"/>
          </w:tcPr>
          <w:p w14:paraId="1B1C6932" w14:textId="77777777" w:rsidR="00045F79" w:rsidRPr="00F07621" w:rsidRDefault="00045F79" w:rsidP="00045F79">
            <w:pPr>
              <w:pStyle w:val="TableHeading"/>
            </w:pPr>
            <w:r w:rsidRPr="00F07621">
              <w:t>Column 2</w:t>
            </w:r>
          </w:p>
        </w:tc>
        <w:tc>
          <w:tcPr>
            <w:tcW w:w="1559" w:type="dxa"/>
            <w:tcBorders>
              <w:top w:val="single" w:sz="6" w:space="0" w:color="auto"/>
              <w:bottom w:val="single" w:sz="6" w:space="0" w:color="auto"/>
            </w:tcBorders>
            <w:shd w:val="clear" w:color="auto" w:fill="auto"/>
          </w:tcPr>
          <w:p w14:paraId="2BFC53DE" w14:textId="77777777" w:rsidR="00045F79" w:rsidRPr="00F07621" w:rsidRDefault="00045F79" w:rsidP="00045F79">
            <w:pPr>
              <w:pStyle w:val="TableHeading"/>
            </w:pPr>
            <w:r w:rsidRPr="00F07621">
              <w:t>Column 3</w:t>
            </w:r>
          </w:p>
        </w:tc>
        <w:tc>
          <w:tcPr>
            <w:tcW w:w="1701" w:type="dxa"/>
            <w:tcBorders>
              <w:top w:val="single" w:sz="6" w:space="0" w:color="auto"/>
              <w:bottom w:val="single" w:sz="6" w:space="0" w:color="auto"/>
            </w:tcBorders>
          </w:tcPr>
          <w:p w14:paraId="0A2A480A" w14:textId="77777777" w:rsidR="00045F79" w:rsidRPr="00F07621" w:rsidRDefault="00045F79" w:rsidP="00045F79">
            <w:pPr>
              <w:pStyle w:val="TableHeading"/>
            </w:pPr>
            <w:r w:rsidRPr="00F07621">
              <w:t>Column 4</w:t>
            </w:r>
          </w:p>
        </w:tc>
        <w:tc>
          <w:tcPr>
            <w:tcW w:w="1559" w:type="dxa"/>
            <w:tcBorders>
              <w:top w:val="single" w:sz="6" w:space="0" w:color="auto"/>
              <w:bottom w:val="single" w:sz="6" w:space="0" w:color="auto"/>
            </w:tcBorders>
          </w:tcPr>
          <w:p w14:paraId="131A59B0" w14:textId="77777777" w:rsidR="00045F79" w:rsidRPr="00F07621" w:rsidRDefault="00045F79" w:rsidP="00045F79">
            <w:pPr>
              <w:pStyle w:val="TableHeading"/>
            </w:pPr>
            <w:r w:rsidRPr="00F07621">
              <w:t>Column 5</w:t>
            </w:r>
          </w:p>
        </w:tc>
        <w:tc>
          <w:tcPr>
            <w:tcW w:w="1559" w:type="dxa"/>
            <w:tcBorders>
              <w:top w:val="single" w:sz="6" w:space="0" w:color="auto"/>
              <w:bottom w:val="single" w:sz="6" w:space="0" w:color="auto"/>
            </w:tcBorders>
          </w:tcPr>
          <w:p w14:paraId="74EF754C" w14:textId="77777777" w:rsidR="00045F79" w:rsidRPr="00F07621" w:rsidRDefault="00045F79" w:rsidP="00045F79">
            <w:pPr>
              <w:pStyle w:val="TableHeading"/>
            </w:pPr>
            <w:r w:rsidRPr="00F07621">
              <w:t>Column 6</w:t>
            </w:r>
          </w:p>
        </w:tc>
      </w:tr>
      <w:tr w:rsidR="00045F79" w:rsidRPr="00F07621" w14:paraId="67706B6C" w14:textId="77777777" w:rsidTr="00045F79">
        <w:trPr>
          <w:tblHeader/>
        </w:trPr>
        <w:tc>
          <w:tcPr>
            <w:tcW w:w="1135" w:type="dxa"/>
            <w:tcBorders>
              <w:top w:val="single" w:sz="6" w:space="0" w:color="auto"/>
              <w:bottom w:val="single" w:sz="12" w:space="0" w:color="auto"/>
            </w:tcBorders>
            <w:shd w:val="clear" w:color="auto" w:fill="auto"/>
          </w:tcPr>
          <w:p w14:paraId="7648EF71" w14:textId="77777777" w:rsidR="00045F79" w:rsidRPr="00F07621" w:rsidRDefault="00045F79" w:rsidP="00045F79">
            <w:pPr>
              <w:pStyle w:val="TableHeading"/>
            </w:pPr>
            <w:r w:rsidRPr="00F07621">
              <w:t>Item</w:t>
            </w:r>
          </w:p>
        </w:tc>
        <w:tc>
          <w:tcPr>
            <w:tcW w:w="2410" w:type="dxa"/>
            <w:tcBorders>
              <w:top w:val="single" w:sz="6" w:space="0" w:color="auto"/>
              <w:bottom w:val="single" w:sz="12" w:space="0" w:color="auto"/>
            </w:tcBorders>
            <w:shd w:val="clear" w:color="auto" w:fill="auto"/>
          </w:tcPr>
          <w:p w14:paraId="6716B849" w14:textId="77777777" w:rsidR="00045F79" w:rsidRPr="00F07621" w:rsidRDefault="00045F79" w:rsidP="00045F79">
            <w:pPr>
              <w:pStyle w:val="TableHeading"/>
            </w:pPr>
            <w:r w:rsidRPr="00F07621">
              <w:t>If a registered provider’s volatility in overseas student enrolments is …</w:t>
            </w:r>
          </w:p>
        </w:tc>
        <w:tc>
          <w:tcPr>
            <w:tcW w:w="1559" w:type="dxa"/>
            <w:tcBorders>
              <w:top w:val="single" w:sz="6" w:space="0" w:color="auto"/>
              <w:bottom w:val="single" w:sz="12" w:space="0" w:color="auto"/>
            </w:tcBorders>
            <w:shd w:val="clear" w:color="auto" w:fill="auto"/>
          </w:tcPr>
          <w:p w14:paraId="6DA8BAA2" w14:textId="77777777" w:rsidR="00045F79" w:rsidRPr="00F07621" w:rsidRDefault="00045F79" w:rsidP="00045F79">
            <w:pPr>
              <w:pStyle w:val="TableHeading"/>
            </w:pPr>
            <w:r w:rsidRPr="00F07621">
              <w:t>and the provider’s length of operation is 2 years or more but less than 3 years, then the factor is …</w:t>
            </w:r>
          </w:p>
        </w:tc>
        <w:tc>
          <w:tcPr>
            <w:tcW w:w="1701" w:type="dxa"/>
            <w:tcBorders>
              <w:top w:val="single" w:sz="6" w:space="0" w:color="auto"/>
              <w:bottom w:val="single" w:sz="12" w:space="0" w:color="auto"/>
            </w:tcBorders>
          </w:tcPr>
          <w:p w14:paraId="7D0CCB30" w14:textId="77777777" w:rsidR="00045F79" w:rsidRPr="00F07621" w:rsidRDefault="00045F79" w:rsidP="00045F79">
            <w:pPr>
              <w:pStyle w:val="TableHeading"/>
            </w:pPr>
            <w:r w:rsidRPr="00F07621">
              <w:t>and the provider’s length of operation is 3 years or more but less than 4 years,</w:t>
            </w:r>
          </w:p>
          <w:p w14:paraId="6EDBF7D5" w14:textId="77777777" w:rsidR="00045F79" w:rsidRPr="00F07621" w:rsidRDefault="00045F79" w:rsidP="00045F79">
            <w:pPr>
              <w:pStyle w:val="TableHeading"/>
            </w:pPr>
            <w:r w:rsidRPr="00F07621">
              <w:t>then the factor is …</w:t>
            </w:r>
          </w:p>
        </w:tc>
        <w:tc>
          <w:tcPr>
            <w:tcW w:w="1559" w:type="dxa"/>
            <w:tcBorders>
              <w:top w:val="single" w:sz="6" w:space="0" w:color="auto"/>
              <w:bottom w:val="single" w:sz="12" w:space="0" w:color="auto"/>
            </w:tcBorders>
          </w:tcPr>
          <w:p w14:paraId="07BF88EA" w14:textId="77777777" w:rsidR="00045F79" w:rsidRPr="00F07621" w:rsidRDefault="00045F79" w:rsidP="00045F79">
            <w:pPr>
              <w:pStyle w:val="TableHeading"/>
            </w:pPr>
            <w:r w:rsidRPr="00F07621">
              <w:t xml:space="preserve">and the provider’s length of operation is 4 years or more but less than 5 years, </w:t>
            </w:r>
          </w:p>
          <w:p w14:paraId="59F42716" w14:textId="77777777" w:rsidR="00045F79" w:rsidRPr="00F07621" w:rsidRDefault="00045F79" w:rsidP="00045F79">
            <w:pPr>
              <w:pStyle w:val="TableHeading"/>
            </w:pPr>
            <w:r w:rsidRPr="00F07621">
              <w:t>then the factor is …</w:t>
            </w:r>
          </w:p>
        </w:tc>
        <w:tc>
          <w:tcPr>
            <w:tcW w:w="1559" w:type="dxa"/>
            <w:tcBorders>
              <w:top w:val="single" w:sz="6" w:space="0" w:color="auto"/>
              <w:bottom w:val="single" w:sz="12" w:space="0" w:color="auto"/>
            </w:tcBorders>
          </w:tcPr>
          <w:p w14:paraId="068C6C09" w14:textId="77777777" w:rsidR="00045F79" w:rsidRPr="00F07621" w:rsidRDefault="00045F79" w:rsidP="00045F79">
            <w:pPr>
              <w:pStyle w:val="TableHeading"/>
            </w:pPr>
            <w:r w:rsidRPr="00F07621">
              <w:t>and the provider’s length of operation is 5 years or more,</w:t>
            </w:r>
          </w:p>
          <w:p w14:paraId="54193E1B" w14:textId="77777777" w:rsidR="00045F79" w:rsidRPr="00F07621" w:rsidRDefault="00045F79" w:rsidP="00045F79">
            <w:pPr>
              <w:pStyle w:val="TableHeading"/>
            </w:pPr>
            <w:r w:rsidRPr="00F07621">
              <w:t>then the factor is …</w:t>
            </w:r>
          </w:p>
        </w:tc>
      </w:tr>
      <w:tr w:rsidR="00045F79" w:rsidRPr="00F07621" w14:paraId="0F323542" w14:textId="77777777" w:rsidTr="00045F79">
        <w:tc>
          <w:tcPr>
            <w:tcW w:w="1135" w:type="dxa"/>
            <w:tcBorders>
              <w:top w:val="single" w:sz="12" w:space="0" w:color="auto"/>
            </w:tcBorders>
            <w:shd w:val="clear" w:color="auto" w:fill="auto"/>
          </w:tcPr>
          <w:p w14:paraId="5ED5F15D" w14:textId="77777777" w:rsidR="00045F79" w:rsidRPr="00F07621" w:rsidRDefault="00045F79" w:rsidP="00045F79">
            <w:pPr>
              <w:pStyle w:val="Tabletext"/>
            </w:pPr>
            <w:r w:rsidRPr="00F07621">
              <w:t>1</w:t>
            </w:r>
          </w:p>
        </w:tc>
        <w:tc>
          <w:tcPr>
            <w:tcW w:w="2410" w:type="dxa"/>
            <w:tcBorders>
              <w:top w:val="single" w:sz="12" w:space="0" w:color="auto"/>
            </w:tcBorders>
            <w:shd w:val="clear" w:color="auto" w:fill="auto"/>
          </w:tcPr>
          <w:p w14:paraId="50996289" w14:textId="77777777" w:rsidR="00045F79" w:rsidRPr="00F07621" w:rsidRDefault="00045F79" w:rsidP="00045F79">
            <w:pPr>
              <w:pStyle w:val="Tabletext"/>
            </w:pPr>
            <w:r w:rsidRPr="00F07621">
              <w:t>120% or more</w:t>
            </w:r>
          </w:p>
        </w:tc>
        <w:tc>
          <w:tcPr>
            <w:tcW w:w="1559" w:type="dxa"/>
            <w:tcBorders>
              <w:top w:val="single" w:sz="12" w:space="0" w:color="auto"/>
            </w:tcBorders>
            <w:shd w:val="clear" w:color="auto" w:fill="auto"/>
          </w:tcPr>
          <w:p w14:paraId="2766153C" w14:textId="77777777" w:rsidR="00045F79" w:rsidRPr="00F07621" w:rsidRDefault="00045F79" w:rsidP="00045F79">
            <w:pPr>
              <w:pStyle w:val="Tabletext"/>
            </w:pPr>
            <w:r w:rsidRPr="00F07621">
              <w:t>0.9</w:t>
            </w:r>
          </w:p>
        </w:tc>
        <w:tc>
          <w:tcPr>
            <w:tcW w:w="1701" w:type="dxa"/>
            <w:tcBorders>
              <w:top w:val="single" w:sz="12" w:space="0" w:color="auto"/>
            </w:tcBorders>
          </w:tcPr>
          <w:p w14:paraId="1249751E" w14:textId="77777777" w:rsidR="00045F79" w:rsidRPr="00F07621" w:rsidRDefault="00045F79" w:rsidP="00045F79">
            <w:pPr>
              <w:pStyle w:val="Tabletext"/>
            </w:pPr>
            <w:r w:rsidRPr="00F07621">
              <w:t>1.8</w:t>
            </w:r>
          </w:p>
        </w:tc>
        <w:tc>
          <w:tcPr>
            <w:tcW w:w="1559" w:type="dxa"/>
            <w:tcBorders>
              <w:top w:val="single" w:sz="12" w:space="0" w:color="auto"/>
            </w:tcBorders>
          </w:tcPr>
          <w:p w14:paraId="271EBCF8" w14:textId="77777777" w:rsidR="00045F79" w:rsidRPr="00F07621" w:rsidRDefault="00045F79" w:rsidP="00045F79">
            <w:pPr>
              <w:pStyle w:val="Tabletext"/>
            </w:pPr>
            <w:r w:rsidRPr="00F07621">
              <w:t>2.6</w:t>
            </w:r>
          </w:p>
        </w:tc>
        <w:tc>
          <w:tcPr>
            <w:tcW w:w="1559" w:type="dxa"/>
            <w:tcBorders>
              <w:top w:val="single" w:sz="12" w:space="0" w:color="auto"/>
            </w:tcBorders>
          </w:tcPr>
          <w:p w14:paraId="61442AFE" w14:textId="77777777" w:rsidR="00045F79" w:rsidRPr="00F07621" w:rsidRDefault="00045F79" w:rsidP="00045F79">
            <w:pPr>
              <w:pStyle w:val="Tabletext"/>
            </w:pPr>
            <w:r w:rsidRPr="00F07621">
              <w:t>3.5</w:t>
            </w:r>
          </w:p>
        </w:tc>
      </w:tr>
      <w:tr w:rsidR="00045F79" w:rsidRPr="00F07621" w14:paraId="0DA32768" w14:textId="77777777" w:rsidTr="00045F79">
        <w:tc>
          <w:tcPr>
            <w:tcW w:w="1135" w:type="dxa"/>
            <w:shd w:val="clear" w:color="auto" w:fill="auto"/>
          </w:tcPr>
          <w:p w14:paraId="1431D66F" w14:textId="77777777" w:rsidR="00045F79" w:rsidRPr="00F07621" w:rsidRDefault="00045F79" w:rsidP="00045F79">
            <w:pPr>
              <w:pStyle w:val="Tabletext"/>
            </w:pPr>
            <w:r w:rsidRPr="00F07621">
              <w:t>2</w:t>
            </w:r>
          </w:p>
        </w:tc>
        <w:tc>
          <w:tcPr>
            <w:tcW w:w="2410" w:type="dxa"/>
            <w:shd w:val="clear" w:color="auto" w:fill="auto"/>
          </w:tcPr>
          <w:p w14:paraId="56FC0F4E" w14:textId="77777777" w:rsidR="00045F79" w:rsidRPr="00F07621" w:rsidRDefault="00045F79" w:rsidP="00045F79">
            <w:pPr>
              <w:pStyle w:val="Tabletext"/>
            </w:pPr>
            <w:r w:rsidRPr="00F07621">
              <w:t>105% or more but less than 120%</w:t>
            </w:r>
          </w:p>
        </w:tc>
        <w:tc>
          <w:tcPr>
            <w:tcW w:w="1559" w:type="dxa"/>
            <w:shd w:val="clear" w:color="auto" w:fill="auto"/>
          </w:tcPr>
          <w:p w14:paraId="1EE3F8E8" w14:textId="77777777" w:rsidR="00045F79" w:rsidRPr="00F07621" w:rsidRDefault="00045F79" w:rsidP="00045F79">
            <w:pPr>
              <w:pStyle w:val="Tabletext"/>
            </w:pPr>
            <w:r w:rsidRPr="00F07621">
              <w:t>0.8</w:t>
            </w:r>
          </w:p>
        </w:tc>
        <w:tc>
          <w:tcPr>
            <w:tcW w:w="1701" w:type="dxa"/>
          </w:tcPr>
          <w:p w14:paraId="2AD0A065" w14:textId="77777777" w:rsidR="00045F79" w:rsidRPr="00F07621" w:rsidRDefault="00045F79" w:rsidP="00045F79">
            <w:pPr>
              <w:pStyle w:val="Tabletext"/>
            </w:pPr>
            <w:r w:rsidRPr="00F07621">
              <w:t>1.5</w:t>
            </w:r>
          </w:p>
        </w:tc>
        <w:tc>
          <w:tcPr>
            <w:tcW w:w="1559" w:type="dxa"/>
          </w:tcPr>
          <w:p w14:paraId="20A5FA71" w14:textId="77777777" w:rsidR="00045F79" w:rsidRPr="00F07621" w:rsidRDefault="00045F79" w:rsidP="00045F79">
            <w:pPr>
              <w:pStyle w:val="Tabletext"/>
            </w:pPr>
            <w:r w:rsidRPr="00F07621">
              <w:t>2.3</w:t>
            </w:r>
          </w:p>
        </w:tc>
        <w:tc>
          <w:tcPr>
            <w:tcW w:w="1559" w:type="dxa"/>
          </w:tcPr>
          <w:p w14:paraId="1A8579ED" w14:textId="77777777" w:rsidR="00045F79" w:rsidRPr="00F07621" w:rsidRDefault="00045F79" w:rsidP="00045F79">
            <w:pPr>
              <w:pStyle w:val="Tabletext"/>
            </w:pPr>
            <w:r w:rsidRPr="00F07621">
              <w:t>3.0</w:t>
            </w:r>
          </w:p>
        </w:tc>
      </w:tr>
      <w:tr w:rsidR="00045F79" w:rsidRPr="00F07621" w14:paraId="6C5A96C5" w14:textId="77777777" w:rsidTr="00045F79">
        <w:tc>
          <w:tcPr>
            <w:tcW w:w="1135" w:type="dxa"/>
            <w:tcBorders>
              <w:bottom w:val="single" w:sz="2" w:space="0" w:color="auto"/>
            </w:tcBorders>
            <w:shd w:val="clear" w:color="auto" w:fill="auto"/>
          </w:tcPr>
          <w:p w14:paraId="472B7DFF" w14:textId="77777777" w:rsidR="00045F79" w:rsidRPr="00F07621" w:rsidRDefault="00045F79" w:rsidP="00045F79">
            <w:pPr>
              <w:pStyle w:val="Tabletext"/>
            </w:pPr>
            <w:r w:rsidRPr="00F07621">
              <w:t>3</w:t>
            </w:r>
          </w:p>
        </w:tc>
        <w:tc>
          <w:tcPr>
            <w:tcW w:w="2410" w:type="dxa"/>
            <w:tcBorders>
              <w:bottom w:val="single" w:sz="2" w:space="0" w:color="auto"/>
            </w:tcBorders>
            <w:shd w:val="clear" w:color="auto" w:fill="auto"/>
          </w:tcPr>
          <w:p w14:paraId="6A8D88D5" w14:textId="77777777" w:rsidR="00045F79" w:rsidRPr="00F07621" w:rsidRDefault="00045F79" w:rsidP="00045F79">
            <w:pPr>
              <w:pStyle w:val="Tabletext"/>
            </w:pPr>
            <w:r w:rsidRPr="00F07621">
              <w:t>90% or more but less than 105%</w:t>
            </w:r>
          </w:p>
        </w:tc>
        <w:tc>
          <w:tcPr>
            <w:tcW w:w="1559" w:type="dxa"/>
            <w:tcBorders>
              <w:bottom w:val="single" w:sz="2" w:space="0" w:color="auto"/>
            </w:tcBorders>
            <w:shd w:val="clear" w:color="auto" w:fill="auto"/>
          </w:tcPr>
          <w:p w14:paraId="52C7547B" w14:textId="77777777" w:rsidR="00045F79" w:rsidRPr="00F07621" w:rsidRDefault="00045F79" w:rsidP="00045F79">
            <w:pPr>
              <w:pStyle w:val="Tabletext"/>
            </w:pPr>
            <w:r w:rsidRPr="00F07621">
              <w:t>0.6</w:t>
            </w:r>
          </w:p>
        </w:tc>
        <w:tc>
          <w:tcPr>
            <w:tcW w:w="1701" w:type="dxa"/>
            <w:tcBorders>
              <w:bottom w:val="single" w:sz="2" w:space="0" w:color="auto"/>
            </w:tcBorders>
          </w:tcPr>
          <w:p w14:paraId="4400CB40" w14:textId="77777777" w:rsidR="00045F79" w:rsidRPr="00F07621" w:rsidRDefault="00045F79" w:rsidP="00045F79">
            <w:pPr>
              <w:pStyle w:val="Tabletext"/>
            </w:pPr>
            <w:r w:rsidRPr="00F07621">
              <w:t>1.3</w:t>
            </w:r>
          </w:p>
        </w:tc>
        <w:tc>
          <w:tcPr>
            <w:tcW w:w="1559" w:type="dxa"/>
            <w:tcBorders>
              <w:bottom w:val="single" w:sz="2" w:space="0" w:color="auto"/>
            </w:tcBorders>
          </w:tcPr>
          <w:p w14:paraId="6D82248C" w14:textId="77777777" w:rsidR="00045F79" w:rsidRPr="00F07621" w:rsidRDefault="00045F79" w:rsidP="00045F79">
            <w:pPr>
              <w:pStyle w:val="Tabletext"/>
            </w:pPr>
            <w:r w:rsidRPr="00F07621">
              <w:t>1.9</w:t>
            </w:r>
          </w:p>
        </w:tc>
        <w:tc>
          <w:tcPr>
            <w:tcW w:w="1559" w:type="dxa"/>
            <w:tcBorders>
              <w:bottom w:val="single" w:sz="2" w:space="0" w:color="auto"/>
            </w:tcBorders>
          </w:tcPr>
          <w:p w14:paraId="34C107F2" w14:textId="77777777" w:rsidR="00045F79" w:rsidRPr="00F07621" w:rsidRDefault="00045F79" w:rsidP="00045F79">
            <w:pPr>
              <w:pStyle w:val="Tabletext"/>
            </w:pPr>
            <w:r w:rsidRPr="00F07621">
              <w:t>2.5</w:t>
            </w:r>
          </w:p>
        </w:tc>
      </w:tr>
      <w:tr w:rsidR="00045F79" w:rsidRPr="00F07621" w14:paraId="330DFC82" w14:textId="77777777" w:rsidTr="00045F79">
        <w:tc>
          <w:tcPr>
            <w:tcW w:w="1135" w:type="dxa"/>
            <w:tcBorders>
              <w:top w:val="single" w:sz="2" w:space="0" w:color="auto"/>
              <w:bottom w:val="single" w:sz="2" w:space="0" w:color="auto"/>
            </w:tcBorders>
            <w:shd w:val="clear" w:color="auto" w:fill="auto"/>
          </w:tcPr>
          <w:p w14:paraId="6A56E4D2" w14:textId="77777777" w:rsidR="00045F79" w:rsidRPr="00F07621" w:rsidRDefault="00045F79" w:rsidP="00045F79">
            <w:pPr>
              <w:pStyle w:val="Tabletext"/>
            </w:pPr>
            <w:r w:rsidRPr="00F07621">
              <w:t>4</w:t>
            </w:r>
          </w:p>
        </w:tc>
        <w:tc>
          <w:tcPr>
            <w:tcW w:w="2410" w:type="dxa"/>
            <w:tcBorders>
              <w:top w:val="single" w:sz="2" w:space="0" w:color="auto"/>
              <w:bottom w:val="single" w:sz="2" w:space="0" w:color="auto"/>
            </w:tcBorders>
            <w:shd w:val="clear" w:color="auto" w:fill="auto"/>
          </w:tcPr>
          <w:p w14:paraId="229543CD" w14:textId="77777777" w:rsidR="00045F79" w:rsidRPr="00F07621" w:rsidRDefault="00045F79" w:rsidP="00045F79">
            <w:pPr>
              <w:pStyle w:val="Tabletext"/>
            </w:pPr>
            <w:r w:rsidRPr="00F07621">
              <w:t>75% or more but less than 90%</w:t>
            </w:r>
          </w:p>
        </w:tc>
        <w:tc>
          <w:tcPr>
            <w:tcW w:w="1559" w:type="dxa"/>
            <w:tcBorders>
              <w:top w:val="single" w:sz="2" w:space="0" w:color="auto"/>
              <w:bottom w:val="single" w:sz="2" w:space="0" w:color="auto"/>
            </w:tcBorders>
            <w:shd w:val="clear" w:color="auto" w:fill="auto"/>
          </w:tcPr>
          <w:p w14:paraId="5356DE72" w14:textId="77777777" w:rsidR="00045F79" w:rsidRPr="00F07621" w:rsidRDefault="00045F79" w:rsidP="00045F79">
            <w:pPr>
              <w:pStyle w:val="Tabletext"/>
            </w:pPr>
            <w:r w:rsidRPr="00F07621">
              <w:t>0.5</w:t>
            </w:r>
          </w:p>
        </w:tc>
        <w:tc>
          <w:tcPr>
            <w:tcW w:w="1701" w:type="dxa"/>
            <w:tcBorders>
              <w:top w:val="single" w:sz="2" w:space="0" w:color="auto"/>
              <w:bottom w:val="single" w:sz="2" w:space="0" w:color="auto"/>
            </w:tcBorders>
          </w:tcPr>
          <w:p w14:paraId="46A0A67D" w14:textId="77777777" w:rsidR="00045F79" w:rsidRPr="00F07621" w:rsidRDefault="00045F79" w:rsidP="00045F79">
            <w:pPr>
              <w:pStyle w:val="Tabletext"/>
            </w:pPr>
            <w:r w:rsidRPr="00F07621">
              <w:t>0.9</w:t>
            </w:r>
          </w:p>
        </w:tc>
        <w:tc>
          <w:tcPr>
            <w:tcW w:w="1559" w:type="dxa"/>
            <w:tcBorders>
              <w:top w:val="single" w:sz="2" w:space="0" w:color="auto"/>
              <w:bottom w:val="single" w:sz="2" w:space="0" w:color="auto"/>
            </w:tcBorders>
          </w:tcPr>
          <w:p w14:paraId="1C1FD28B" w14:textId="77777777" w:rsidR="00045F79" w:rsidRPr="00F07621" w:rsidRDefault="00045F79" w:rsidP="00045F79">
            <w:pPr>
              <w:pStyle w:val="Tabletext"/>
            </w:pPr>
            <w:r w:rsidRPr="00F07621">
              <w:t>1.4</w:t>
            </w:r>
          </w:p>
        </w:tc>
        <w:tc>
          <w:tcPr>
            <w:tcW w:w="1559" w:type="dxa"/>
            <w:tcBorders>
              <w:top w:val="single" w:sz="2" w:space="0" w:color="auto"/>
              <w:bottom w:val="single" w:sz="2" w:space="0" w:color="auto"/>
            </w:tcBorders>
          </w:tcPr>
          <w:p w14:paraId="0BDCDCC4" w14:textId="77777777" w:rsidR="00045F79" w:rsidRPr="00F07621" w:rsidRDefault="00045F79" w:rsidP="00045F79">
            <w:pPr>
              <w:pStyle w:val="Tabletext"/>
            </w:pPr>
            <w:r w:rsidRPr="00F07621">
              <w:t>1.8</w:t>
            </w:r>
          </w:p>
        </w:tc>
      </w:tr>
      <w:tr w:rsidR="00045F79" w:rsidRPr="00F07621" w14:paraId="6C7400D7" w14:textId="77777777" w:rsidTr="00045F79">
        <w:tc>
          <w:tcPr>
            <w:tcW w:w="1135" w:type="dxa"/>
            <w:tcBorders>
              <w:top w:val="single" w:sz="2" w:space="0" w:color="auto"/>
              <w:bottom w:val="single" w:sz="2" w:space="0" w:color="auto"/>
            </w:tcBorders>
            <w:shd w:val="clear" w:color="auto" w:fill="auto"/>
          </w:tcPr>
          <w:p w14:paraId="3A9CCEA2" w14:textId="77777777" w:rsidR="00045F79" w:rsidRPr="00F07621" w:rsidRDefault="00045F79" w:rsidP="00045F79">
            <w:pPr>
              <w:pStyle w:val="Tabletext"/>
            </w:pPr>
            <w:r w:rsidRPr="00F07621">
              <w:t>5</w:t>
            </w:r>
          </w:p>
        </w:tc>
        <w:tc>
          <w:tcPr>
            <w:tcW w:w="2410" w:type="dxa"/>
            <w:tcBorders>
              <w:top w:val="single" w:sz="2" w:space="0" w:color="auto"/>
              <w:bottom w:val="single" w:sz="2" w:space="0" w:color="auto"/>
            </w:tcBorders>
            <w:shd w:val="clear" w:color="auto" w:fill="auto"/>
          </w:tcPr>
          <w:p w14:paraId="2CAFFAAA" w14:textId="77777777" w:rsidR="00045F79" w:rsidRPr="00F07621" w:rsidRDefault="00045F79" w:rsidP="00045F79">
            <w:pPr>
              <w:pStyle w:val="Tabletext"/>
            </w:pPr>
            <w:r w:rsidRPr="00F07621">
              <w:t>60% or more but less than 75%</w:t>
            </w:r>
          </w:p>
        </w:tc>
        <w:tc>
          <w:tcPr>
            <w:tcW w:w="1559" w:type="dxa"/>
            <w:tcBorders>
              <w:top w:val="single" w:sz="2" w:space="0" w:color="auto"/>
              <w:bottom w:val="single" w:sz="2" w:space="0" w:color="auto"/>
            </w:tcBorders>
            <w:shd w:val="clear" w:color="auto" w:fill="auto"/>
          </w:tcPr>
          <w:p w14:paraId="76300F1E" w14:textId="77777777" w:rsidR="00045F79" w:rsidRPr="00F07621" w:rsidRDefault="00045F79" w:rsidP="00045F79">
            <w:pPr>
              <w:pStyle w:val="Tabletext"/>
            </w:pPr>
            <w:r w:rsidRPr="00F07621">
              <w:t>0.3</w:t>
            </w:r>
          </w:p>
        </w:tc>
        <w:tc>
          <w:tcPr>
            <w:tcW w:w="1701" w:type="dxa"/>
            <w:tcBorders>
              <w:top w:val="single" w:sz="2" w:space="0" w:color="auto"/>
              <w:bottom w:val="single" w:sz="2" w:space="0" w:color="auto"/>
            </w:tcBorders>
          </w:tcPr>
          <w:p w14:paraId="2CC0D70E" w14:textId="77777777" w:rsidR="00045F79" w:rsidRPr="00F07621" w:rsidRDefault="00045F79" w:rsidP="00045F79">
            <w:pPr>
              <w:pStyle w:val="Tabletext"/>
            </w:pPr>
            <w:r w:rsidRPr="00F07621">
              <w:t>0.6</w:t>
            </w:r>
          </w:p>
        </w:tc>
        <w:tc>
          <w:tcPr>
            <w:tcW w:w="1559" w:type="dxa"/>
            <w:tcBorders>
              <w:top w:val="single" w:sz="2" w:space="0" w:color="auto"/>
              <w:bottom w:val="single" w:sz="2" w:space="0" w:color="auto"/>
            </w:tcBorders>
          </w:tcPr>
          <w:p w14:paraId="7D06EFF3" w14:textId="77777777" w:rsidR="00045F79" w:rsidRPr="00F07621" w:rsidRDefault="00045F79" w:rsidP="00045F79">
            <w:pPr>
              <w:pStyle w:val="Tabletext"/>
            </w:pPr>
            <w:r w:rsidRPr="00F07621">
              <w:t>0.9</w:t>
            </w:r>
          </w:p>
        </w:tc>
        <w:tc>
          <w:tcPr>
            <w:tcW w:w="1559" w:type="dxa"/>
            <w:tcBorders>
              <w:top w:val="single" w:sz="2" w:space="0" w:color="auto"/>
              <w:bottom w:val="single" w:sz="2" w:space="0" w:color="auto"/>
            </w:tcBorders>
          </w:tcPr>
          <w:p w14:paraId="0E304281" w14:textId="77777777" w:rsidR="00045F79" w:rsidRPr="00F07621" w:rsidRDefault="00045F79" w:rsidP="00045F79">
            <w:pPr>
              <w:pStyle w:val="Tabletext"/>
            </w:pPr>
            <w:r w:rsidRPr="00F07621">
              <w:t>1.2</w:t>
            </w:r>
          </w:p>
        </w:tc>
      </w:tr>
      <w:tr w:rsidR="00045F79" w:rsidRPr="00F07621" w14:paraId="60D8DB4D" w14:textId="77777777" w:rsidTr="00045F79">
        <w:tc>
          <w:tcPr>
            <w:tcW w:w="1135" w:type="dxa"/>
            <w:tcBorders>
              <w:top w:val="single" w:sz="2" w:space="0" w:color="auto"/>
              <w:bottom w:val="single" w:sz="2" w:space="0" w:color="auto"/>
            </w:tcBorders>
            <w:shd w:val="clear" w:color="auto" w:fill="auto"/>
          </w:tcPr>
          <w:p w14:paraId="395117DD" w14:textId="77777777" w:rsidR="00045F79" w:rsidRPr="00F07621" w:rsidRDefault="00045F79" w:rsidP="00045F79">
            <w:pPr>
              <w:pStyle w:val="Tabletext"/>
            </w:pPr>
            <w:r w:rsidRPr="00F07621">
              <w:t>6</w:t>
            </w:r>
          </w:p>
        </w:tc>
        <w:tc>
          <w:tcPr>
            <w:tcW w:w="2410" w:type="dxa"/>
            <w:tcBorders>
              <w:top w:val="single" w:sz="2" w:space="0" w:color="auto"/>
              <w:bottom w:val="single" w:sz="2" w:space="0" w:color="auto"/>
            </w:tcBorders>
            <w:shd w:val="clear" w:color="auto" w:fill="auto"/>
          </w:tcPr>
          <w:p w14:paraId="770D5884" w14:textId="77777777" w:rsidR="00045F79" w:rsidRPr="00F07621" w:rsidRDefault="00045F79" w:rsidP="00045F79">
            <w:pPr>
              <w:pStyle w:val="Tabletext"/>
            </w:pPr>
            <w:r w:rsidRPr="00F07621">
              <w:t>45% or more but less than 60%</w:t>
            </w:r>
          </w:p>
        </w:tc>
        <w:tc>
          <w:tcPr>
            <w:tcW w:w="1559" w:type="dxa"/>
            <w:tcBorders>
              <w:top w:val="single" w:sz="2" w:space="0" w:color="auto"/>
              <w:bottom w:val="single" w:sz="2" w:space="0" w:color="auto"/>
            </w:tcBorders>
            <w:shd w:val="clear" w:color="auto" w:fill="auto"/>
          </w:tcPr>
          <w:p w14:paraId="5609BAFC" w14:textId="77777777" w:rsidR="00045F79" w:rsidRPr="00F07621" w:rsidRDefault="00045F79" w:rsidP="00045F79">
            <w:pPr>
              <w:pStyle w:val="Tabletext"/>
            </w:pPr>
            <w:r w:rsidRPr="00F07621">
              <w:t>0.2</w:t>
            </w:r>
          </w:p>
        </w:tc>
        <w:tc>
          <w:tcPr>
            <w:tcW w:w="1701" w:type="dxa"/>
            <w:tcBorders>
              <w:top w:val="single" w:sz="2" w:space="0" w:color="auto"/>
              <w:bottom w:val="single" w:sz="2" w:space="0" w:color="auto"/>
            </w:tcBorders>
          </w:tcPr>
          <w:p w14:paraId="4E573947" w14:textId="77777777" w:rsidR="00045F79" w:rsidRPr="00F07621" w:rsidRDefault="00045F79" w:rsidP="00045F79">
            <w:pPr>
              <w:pStyle w:val="Tabletext"/>
            </w:pPr>
            <w:r w:rsidRPr="00F07621">
              <w:t>0.3</w:t>
            </w:r>
          </w:p>
        </w:tc>
        <w:tc>
          <w:tcPr>
            <w:tcW w:w="1559" w:type="dxa"/>
            <w:tcBorders>
              <w:top w:val="single" w:sz="2" w:space="0" w:color="auto"/>
              <w:bottom w:val="single" w:sz="2" w:space="0" w:color="auto"/>
            </w:tcBorders>
          </w:tcPr>
          <w:p w14:paraId="033D2992" w14:textId="77777777" w:rsidR="00045F79" w:rsidRPr="00F07621" w:rsidRDefault="00045F79" w:rsidP="00045F79">
            <w:pPr>
              <w:pStyle w:val="Tabletext"/>
            </w:pPr>
            <w:r w:rsidRPr="00F07621">
              <w:t>0.5</w:t>
            </w:r>
          </w:p>
        </w:tc>
        <w:tc>
          <w:tcPr>
            <w:tcW w:w="1559" w:type="dxa"/>
            <w:tcBorders>
              <w:top w:val="single" w:sz="2" w:space="0" w:color="auto"/>
              <w:bottom w:val="single" w:sz="2" w:space="0" w:color="auto"/>
            </w:tcBorders>
          </w:tcPr>
          <w:p w14:paraId="5C70722C" w14:textId="77777777" w:rsidR="00045F79" w:rsidRPr="00F07621" w:rsidRDefault="00045F79" w:rsidP="00045F79">
            <w:pPr>
              <w:pStyle w:val="Tabletext"/>
            </w:pPr>
            <w:r w:rsidRPr="00F07621">
              <w:t>0.6</w:t>
            </w:r>
          </w:p>
        </w:tc>
      </w:tr>
      <w:tr w:rsidR="00045F79" w:rsidRPr="00F07621" w14:paraId="7F25DF09" w14:textId="77777777" w:rsidTr="00045F79">
        <w:tc>
          <w:tcPr>
            <w:tcW w:w="1135" w:type="dxa"/>
            <w:tcBorders>
              <w:top w:val="single" w:sz="2" w:space="0" w:color="auto"/>
              <w:bottom w:val="single" w:sz="2" w:space="0" w:color="auto"/>
            </w:tcBorders>
            <w:shd w:val="clear" w:color="auto" w:fill="auto"/>
          </w:tcPr>
          <w:p w14:paraId="7A61F73B" w14:textId="77777777" w:rsidR="00045F79" w:rsidRPr="00F07621" w:rsidRDefault="00045F79" w:rsidP="00045F79">
            <w:pPr>
              <w:pStyle w:val="Tabletext"/>
            </w:pPr>
            <w:r w:rsidRPr="00F07621">
              <w:t>7</w:t>
            </w:r>
          </w:p>
        </w:tc>
        <w:tc>
          <w:tcPr>
            <w:tcW w:w="2410" w:type="dxa"/>
            <w:tcBorders>
              <w:top w:val="single" w:sz="2" w:space="0" w:color="auto"/>
              <w:bottom w:val="single" w:sz="2" w:space="0" w:color="auto"/>
            </w:tcBorders>
            <w:shd w:val="clear" w:color="auto" w:fill="auto"/>
          </w:tcPr>
          <w:p w14:paraId="1B567F9B" w14:textId="77777777" w:rsidR="00045F79" w:rsidRPr="00F07621" w:rsidRDefault="00045F79" w:rsidP="00045F79">
            <w:pPr>
              <w:pStyle w:val="Tabletext"/>
            </w:pPr>
            <w:r w:rsidRPr="00F07621">
              <w:t>30% or more but less than 45%</w:t>
            </w:r>
          </w:p>
        </w:tc>
        <w:tc>
          <w:tcPr>
            <w:tcW w:w="1559" w:type="dxa"/>
            <w:tcBorders>
              <w:top w:val="single" w:sz="2" w:space="0" w:color="auto"/>
              <w:bottom w:val="single" w:sz="2" w:space="0" w:color="auto"/>
            </w:tcBorders>
            <w:shd w:val="clear" w:color="auto" w:fill="auto"/>
          </w:tcPr>
          <w:p w14:paraId="606A29CF" w14:textId="77777777" w:rsidR="00045F79" w:rsidRPr="00F07621" w:rsidRDefault="00045F79" w:rsidP="00045F79">
            <w:pPr>
              <w:pStyle w:val="Tabletext"/>
            </w:pPr>
            <w:r w:rsidRPr="00F07621">
              <w:t>0.1</w:t>
            </w:r>
          </w:p>
        </w:tc>
        <w:tc>
          <w:tcPr>
            <w:tcW w:w="1701" w:type="dxa"/>
            <w:tcBorders>
              <w:top w:val="single" w:sz="2" w:space="0" w:color="auto"/>
              <w:bottom w:val="single" w:sz="2" w:space="0" w:color="auto"/>
            </w:tcBorders>
          </w:tcPr>
          <w:p w14:paraId="63D2D57F" w14:textId="77777777" w:rsidR="00045F79" w:rsidRPr="00F07621" w:rsidRDefault="00045F79" w:rsidP="00045F79">
            <w:pPr>
              <w:pStyle w:val="Tabletext"/>
            </w:pPr>
            <w:r w:rsidRPr="00F07621">
              <w:t>0.2</w:t>
            </w:r>
          </w:p>
        </w:tc>
        <w:tc>
          <w:tcPr>
            <w:tcW w:w="1559" w:type="dxa"/>
            <w:tcBorders>
              <w:top w:val="single" w:sz="2" w:space="0" w:color="auto"/>
              <w:bottom w:val="single" w:sz="2" w:space="0" w:color="auto"/>
            </w:tcBorders>
          </w:tcPr>
          <w:p w14:paraId="2A55472C" w14:textId="77777777" w:rsidR="00045F79" w:rsidRPr="00F07621" w:rsidRDefault="00045F79" w:rsidP="00045F79">
            <w:pPr>
              <w:pStyle w:val="Tabletext"/>
            </w:pPr>
            <w:r w:rsidRPr="00F07621">
              <w:t>0.3</w:t>
            </w:r>
          </w:p>
        </w:tc>
        <w:tc>
          <w:tcPr>
            <w:tcW w:w="1559" w:type="dxa"/>
            <w:tcBorders>
              <w:top w:val="single" w:sz="2" w:space="0" w:color="auto"/>
              <w:bottom w:val="single" w:sz="2" w:space="0" w:color="auto"/>
            </w:tcBorders>
          </w:tcPr>
          <w:p w14:paraId="24983B40" w14:textId="77777777" w:rsidR="00045F79" w:rsidRPr="00F07621" w:rsidRDefault="00045F79" w:rsidP="00045F79">
            <w:pPr>
              <w:pStyle w:val="Tabletext"/>
            </w:pPr>
            <w:r w:rsidRPr="00F07621">
              <w:t>0.4</w:t>
            </w:r>
          </w:p>
        </w:tc>
      </w:tr>
      <w:tr w:rsidR="00045F79" w:rsidRPr="00F07621" w14:paraId="21EA270E" w14:textId="77777777" w:rsidTr="00045F79">
        <w:tc>
          <w:tcPr>
            <w:tcW w:w="1135" w:type="dxa"/>
            <w:tcBorders>
              <w:top w:val="single" w:sz="2" w:space="0" w:color="auto"/>
              <w:bottom w:val="single" w:sz="12" w:space="0" w:color="auto"/>
            </w:tcBorders>
            <w:shd w:val="clear" w:color="auto" w:fill="auto"/>
          </w:tcPr>
          <w:p w14:paraId="6AEA65D6" w14:textId="77777777" w:rsidR="00045F79" w:rsidRPr="00F07621" w:rsidRDefault="00045F79" w:rsidP="00045F79">
            <w:pPr>
              <w:pStyle w:val="Tabletext"/>
            </w:pPr>
            <w:r w:rsidRPr="00F07621">
              <w:t>8</w:t>
            </w:r>
          </w:p>
        </w:tc>
        <w:tc>
          <w:tcPr>
            <w:tcW w:w="2410" w:type="dxa"/>
            <w:tcBorders>
              <w:top w:val="single" w:sz="2" w:space="0" w:color="auto"/>
              <w:bottom w:val="single" w:sz="12" w:space="0" w:color="auto"/>
            </w:tcBorders>
            <w:shd w:val="clear" w:color="auto" w:fill="auto"/>
          </w:tcPr>
          <w:p w14:paraId="3D51AF77" w14:textId="77777777" w:rsidR="00045F79" w:rsidRPr="00F07621" w:rsidRDefault="00045F79" w:rsidP="00045F79">
            <w:pPr>
              <w:pStyle w:val="Tabletext"/>
            </w:pPr>
            <w:r w:rsidRPr="00F07621">
              <w:t>less than 30%</w:t>
            </w:r>
          </w:p>
        </w:tc>
        <w:tc>
          <w:tcPr>
            <w:tcW w:w="1559" w:type="dxa"/>
            <w:tcBorders>
              <w:top w:val="single" w:sz="2" w:space="0" w:color="auto"/>
              <w:bottom w:val="single" w:sz="12" w:space="0" w:color="auto"/>
            </w:tcBorders>
            <w:shd w:val="clear" w:color="auto" w:fill="auto"/>
          </w:tcPr>
          <w:p w14:paraId="01C5314A" w14:textId="77777777" w:rsidR="00045F79" w:rsidRPr="00F07621" w:rsidRDefault="00045F79" w:rsidP="00045F79">
            <w:pPr>
              <w:pStyle w:val="Tabletext"/>
            </w:pPr>
            <w:r w:rsidRPr="00F07621">
              <w:t>0.0</w:t>
            </w:r>
          </w:p>
        </w:tc>
        <w:tc>
          <w:tcPr>
            <w:tcW w:w="1701" w:type="dxa"/>
            <w:tcBorders>
              <w:top w:val="single" w:sz="2" w:space="0" w:color="auto"/>
              <w:bottom w:val="single" w:sz="12" w:space="0" w:color="auto"/>
            </w:tcBorders>
          </w:tcPr>
          <w:p w14:paraId="05009B2F" w14:textId="77777777" w:rsidR="00045F79" w:rsidRPr="00F07621" w:rsidRDefault="00045F79" w:rsidP="00045F79">
            <w:pPr>
              <w:pStyle w:val="Tabletext"/>
            </w:pPr>
            <w:r w:rsidRPr="00F07621">
              <w:t>0.0</w:t>
            </w:r>
          </w:p>
        </w:tc>
        <w:tc>
          <w:tcPr>
            <w:tcW w:w="1559" w:type="dxa"/>
            <w:tcBorders>
              <w:top w:val="single" w:sz="2" w:space="0" w:color="auto"/>
              <w:bottom w:val="single" w:sz="12" w:space="0" w:color="auto"/>
            </w:tcBorders>
          </w:tcPr>
          <w:p w14:paraId="034E0F81" w14:textId="77777777" w:rsidR="00045F79" w:rsidRPr="00F07621" w:rsidRDefault="00045F79" w:rsidP="00045F79">
            <w:pPr>
              <w:pStyle w:val="Tabletext"/>
            </w:pPr>
            <w:r w:rsidRPr="00F07621">
              <w:t>0.0</w:t>
            </w:r>
          </w:p>
        </w:tc>
        <w:tc>
          <w:tcPr>
            <w:tcW w:w="1559" w:type="dxa"/>
            <w:tcBorders>
              <w:top w:val="single" w:sz="2" w:space="0" w:color="auto"/>
              <w:bottom w:val="single" w:sz="12" w:space="0" w:color="auto"/>
            </w:tcBorders>
          </w:tcPr>
          <w:p w14:paraId="64B57F86" w14:textId="77777777" w:rsidR="00045F79" w:rsidRPr="00F07621" w:rsidRDefault="00045F79" w:rsidP="00045F79">
            <w:pPr>
              <w:pStyle w:val="Tabletext"/>
            </w:pPr>
            <w:r w:rsidRPr="00F07621">
              <w:t>0.0</w:t>
            </w:r>
          </w:p>
        </w:tc>
      </w:tr>
    </w:tbl>
    <w:p w14:paraId="2EE912D6" w14:textId="77777777" w:rsidR="00045F79" w:rsidRPr="00F07621" w:rsidRDefault="00045F79" w:rsidP="00045F79">
      <w:pPr>
        <w:pStyle w:val="SubsectionHead"/>
        <w:tabs>
          <w:tab w:val="left" w:pos="7630"/>
        </w:tabs>
      </w:pPr>
      <w:r w:rsidRPr="00F07621">
        <w:lastRenderedPageBreak/>
        <w:t>Determining whether a registered provider is an expanding provider</w:t>
      </w:r>
    </w:p>
    <w:p w14:paraId="3E8471E9" w14:textId="504D6DF0" w:rsidR="00045F79" w:rsidRPr="00F07621" w:rsidRDefault="00045F79" w:rsidP="00045F79">
      <w:pPr>
        <w:pStyle w:val="subsection"/>
      </w:pPr>
      <w:r w:rsidRPr="00F07621">
        <w:tab/>
        <w:t>(3)</w:t>
      </w:r>
      <w:r w:rsidRPr="00F07621">
        <w:tab/>
        <w:t xml:space="preserve">A registered provider is an </w:t>
      </w:r>
      <w:r w:rsidRPr="00F07621">
        <w:rPr>
          <w:b/>
          <w:bCs/>
          <w:i/>
          <w:iCs/>
        </w:rPr>
        <w:t>expanding provider</w:t>
      </w:r>
      <w:r w:rsidRPr="00F07621">
        <w:t xml:space="preserve"> if the provider had overseas student enrolments in 20</w:t>
      </w:r>
      <w:r>
        <w:t>20</w:t>
      </w:r>
      <w:r w:rsidRPr="00F07621">
        <w:t xml:space="preserve"> and the number of overseas student enrolments in 202</w:t>
      </w:r>
      <w:r>
        <w:t>1</w:t>
      </w:r>
      <w:r w:rsidRPr="00F07621">
        <w:t xml:space="preserve"> was greater than the number of enrolments in 20</w:t>
      </w:r>
      <w:r>
        <w:t>20</w:t>
      </w:r>
      <w:r w:rsidRPr="00F07621">
        <w:t>.</w:t>
      </w:r>
    </w:p>
    <w:p w14:paraId="7A12CD22" w14:textId="77777777" w:rsidR="00045F79" w:rsidRPr="00F07621" w:rsidRDefault="00045F79" w:rsidP="00045F79">
      <w:pPr>
        <w:pStyle w:val="SubsectionHead"/>
      </w:pPr>
      <w:r w:rsidRPr="00F07621">
        <w:t>Working out the percentage of a registered provider’s volatility in overseas student enrolments</w:t>
      </w:r>
    </w:p>
    <w:p w14:paraId="3E549B38" w14:textId="6B6D4BA3" w:rsidR="00045F79" w:rsidRPr="00F07621" w:rsidRDefault="00045F79" w:rsidP="00045F79">
      <w:pPr>
        <w:pStyle w:val="subsection"/>
      </w:pPr>
      <w:r w:rsidRPr="00F07621">
        <w:tab/>
        <w:t>(4)</w:t>
      </w:r>
      <w:r w:rsidRPr="00F07621">
        <w:tab/>
        <w:t>If a registered provider did not have overseas student enrolments in 20</w:t>
      </w:r>
      <w:r>
        <w:t>20</w:t>
      </w:r>
      <w:r w:rsidRPr="00F07621">
        <w:t xml:space="preserve">, </w:t>
      </w:r>
      <w:r w:rsidR="00DE6379">
        <w:t xml:space="preserve">or the provider is not an expanding provider, </w:t>
      </w:r>
      <w:r w:rsidRPr="00F07621">
        <w:t>the registered provider’s volatility in overseas student enrolments is 0</w:t>
      </w:r>
      <w:r w:rsidR="00DE6379">
        <w:t>%</w:t>
      </w:r>
      <w:r w:rsidRPr="00F07621">
        <w:t>.</w:t>
      </w:r>
    </w:p>
    <w:p w14:paraId="4ED39593" w14:textId="77777777" w:rsidR="00045F79" w:rsidRPr="00F07621" w:rsidRDefault="00045F79" w:rsidP="00045F79">
      <w:pPr>
        <w:pStyle w:val="subsection"/>
      </w:pPr>
      <w:r w:rsidRPr="00F07621">
        <w:tab/>
        <w:t>(5)</w:t>
      </w:r>
      <w:r w:rsidRPr="00F07621">
        <w:tab/>
        <w:t>If a registered provider is an expanding provider under subsection (3), the percentage of a registered provider’s volatility in overseas student enrolments is worked out using the formula:</w:t>
      </w:r>
    </w:p>
    <w:p w14:paraId="261E0743" w14:textId="3DCFBA74" w:rsidR="00045F79" w:rsidRPr="00F07621" w:rsidRDefault="00045F79" w:rsidP="00045F79">
      <w:pPr>
        <w:spacing w:before="180"/>
        <w:rPr>
          <w:rFonts w:eastAsiaTheme="minorEastAsia"/>
        </w:rPr>
      </w:pPr>
      <w:r w:rsidRPr="00F07621">
        <w:rPr>
          <w:sz w:val="24"/>
          <w:szCs w:val="24"/>
        </w:rPr>
        <w:tab/>
      </w:r>
      <w:r w:rsidRPr="00F07621">
        <w:rPr>
          <w:sz w:val="24"/>
          <w:szCs w:val="24"/>
        </w:rPr>
        <w:tab/>
      </w:r>
      <m:oMath>
        <m:d>
          <m:dPr>
            <m:begChr m:val="["/>
            <m:endChr m:val="]"/>
            <m:ctrlPr>
              <w:rPr>
                <w:rFonts w:ascii="Cambria Math" w:hAnsi="Cambria Math" w:cs="Times New Roman"/>
                <w:i/>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Number of overseas student enrolments in 2021</m:t>
                </m:r>
              </m:num>
              <m:den>
                <m:r>
                  <m:rPr>
                    <m:sty m:val="p"/>
                  </m:rPr>
                  <w:rPr>
                    <w:rFonts w:ascii="Cambria Math" w:hAnsi="Cambria Math" w:cs="Times New Roman"/>
                    <w:sz w:val="24"/>
                    <w:szCs w:val="24"/>
                  </w:rPr>
                  <m:t>Number of overseas student enrolments in 2020</m:t>
                </m:r>
              </m:den>
            </m:f>
            <m:r>
              <w:rPr>
                <w:rFonts w:ascii="Cambria Math" w:hAnsi="Cambria Math" w:cs="Times New Roman"/>
                <w:sz w:val="24"/>
                <w:szCs w:val="24"/>
              </w:rPr>
              <m:t>-1</m:t>
            </m:r>
          </m:e>
        </m:d>
      </m:oMath>
      <w:r w:rsidRPr="00F07621">
        <w:rPr>
          <w:rFonts w:eastAsiaTheme="minorEastAsia"/>
          <w:sz w:val="24"/>
          <w:szCs w:val="24"/>
        </w:rPr>
        <w:t xml:space="preserve"> </w:t>
      </w:r>
      <m:oMath>
        <m:r>
          <w:rPr>
            <w:rFonts w:ascii="Cambria Math" w:eastAsiaTheme="minorEastAsia" w:hAnsi="Cambria Math" w:cs="Times New Roman"/>
            <w:sz w:val="24"/>
            <w:szCs w:val="24"/>
          </w:rPr>
          <m:t>×</m:t>
        </m:r>
      </m:oMath>
      <w:r w:rsidRPr="00F07621">
        <w:rPr>
          <w:rFonts w:eastAsiaTheme="minorEastAsia" w:cs="Times New Roman"/>
          <w:sz w:val="24"/>
          <w:szCs w:val="24"/>
        </w:rPr>
        <w:t xml:space="preserve"> 100%</w:t>
      </w:r>
    </w:p>
    <w:p w14:paraId="69096D87" w14:textId="77777777" w:rsidR="00045F79" w:rsidRPr="00F07621" w:rsidRDefault="00045F79" w:rsidP="00045F79">
      <w:pPr>
        <w:pStyle w:val="ActHead5"/>
      </w:pPr>
      <w:bookmarkStart w:id="19" w:name="_Toc56611619"/>
      <w:bookmarkStart w:id="20" w:name="_Toc84947120"/>
      <w:proofErr w:type="gramStart"/>
      <w:r w:rsidRPr="00F07621">
        <w:rPr>
          <w:rStyle w:val="CharSectno"/>
        </w:rPr>
        <w:t>10</w:t>
      </w:r>
      <w:r w:rsidRPr="00F07621">
        <w:t xml:space="preserve">  Risk</w:t>
      </w:r>
      <w:proofErr w:type="gramEnd"/>
      <w:r w:rsidRPr="00F07621">
        <w:t xml:space="preserve"> factor—maximum overseas source country concentration</w:t>
      </w:r>
      <w:bookmarkEnd w:id="19"/>
      <w:bookmarkEnd w:id="20"/>
    </w:p>
    <w:p w14:paraId="29BBCC3B" w14:textId="77777777" w:rsidR="00045F79" w:rsidRPr="00F07621" w:rsidRDefault="00045F79" w:rsidP="00045F79">
      <w:pPr>
        <w:pStyle w:val="SubsectionHead"/>
      </w:pPr>
      <w:r w:rsidRPr="00F07621">
        <w:t>Application</w:t>
      </w:r>
    </w:p>
    <w:p w14:paraId="2496B466" w14:textId="42C682C5" w:rsidR="00045F79" w:rsidRPr="00F07621" w:rsidRDefault="00045F79" w:rsidP="00045F79">
      <w:pPr>
        <w:pStyle w:val="subsection"/>
      </w:pPr>
      <w:r w:rsidRPr="00F07621">
        <w:tab/>
        <w:t>(1)</w:t>
      </w:r>
      <w:r w:rsidRPr="00F07621">
        <w:tab/>
        <w:t>The risk factor, maximum overseas source country concentration, applies to a non</w:t>
      </w:r>
      <w:r w:rsidRPr="00F07621">
        <w:noBreakHyphen/>
        <w:t>exempt provider that had either or both of the following in 202</w:t>
      </w:r>
      <w:r>
        <w:t>1</w:t>
      </w:r>
      <w:r w:rsidRPr="00F07621">
        <w:t>:</w:t>
      </w:r>
    </w:p>
    <w:p w14:paraId="4493730A" w14:textId="77777777" w:rsidR="00045F79" w:rsidRPr="00F07621" w:rsidRDefault="00045F79" w:rsidP="00045F79">
      <w:pPr>
        <w:pStyle w:val="paragraph"/>
      </w:pPr>
      <w:r w:rsidRPr="00F07621">
        <w:tab/>
        <w:t>(a)</w:t>
      </w:r>
      <w:r w:rsidRPr="00F07621">
        <w:tab/>
        <w:t xml:space="preserve">at least 20 overseas student </w:t>
      </w:r>
      <w:proofErr w:type="gramStart"/>
      <w:r w:rsidRPr="00F07621">
        <w:t>enrolments;</w:t>
      </w:r>
      <w:proofErr w:type="gramEnd"/>
    </w:p>
    <w:p w14:paraId="67B11322" w14:textId="77777777" w:rsidR="00045F79" w:rsidRPr="00F07621" w:rsidRDefault="00045F79" w:rsidP="00045F79">
      <w:pPr>
        <w:pStyle w:val="paragraph"/>
      </w:pPr>
      <w:r w:rsidRPr="00F07621">
        <w:tab/>
        <w:t>(b)</w:t>
      </w:r>
      <w:r w:rsidRPr="00F07621">
        <w:tab/>
        <w:t>$400,000 or more in tuition fee income.</w:t>
      </w:r>
    </w:p>
    <w:p w14:paraId="0F37EAA7" w14:textId="77777777" w:rsidR="00045F79" w:rsidRPr="00F07621" w:rsidRDefault="00045F79" w:rsidP="00045F79">
      <w:pPr>
        <w:pStyle w:val="SubsectionHead"/>
      </w:pPr>
      <w:r w:rsidRPr="00F07621">
        <w:t>Factor by which specified percentage is multiplied</w:t>
      </w:r>
    </w:p>
    <w:p w14:paraId="6F31C056" w14:textId="77777777" w:rsidR="00045F79" w:rsidRPr="00F07621" w:rsidRDefault="00045F79" w:rsidP="00045F79">
      <w:pPr>
        <w:pStyle w:val="subsection"/>
      </w:pPr>
      <w:r w:rsidRPr="00F07621">
        <w:tab/>
        <w:t>(2)</w:t>
      </w:r>
      <w:r w:rsidRPr="00F07621">
        <w:tab/>
        <w:t>For the purposes of paragraph 9(3)(c) of the ESOS (TPS Levies) Act, the increase factor is that set out in the following table:</w:t>
      </w:r>
    </w:p>
    <w:p w14:paraId="62ACA1DF" w14:textId="77777777" w:rsidR="00045F79" w:rsidRPr="00F07621" w:rsidRDefault="00045F79" w:rsidP="00045F79">
      <w:pPr>
        <w:pStyle w:val="Tabletext"/>
      </w:pPr>
    </w:p>
    <w:tbl>
      <w:tblPr>
        <w:tblW w:w="7688" w:type="dxa"/>
        <w:tblInd w:w="817"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1129"/>
        <w:gridCol w:w="3974"/>
        <w:gridCol w:w="2585"/>
      </w:tblGrid>
      <w:tr w:rsidR="00045F79" w:rsidRPr="00F07621" w14:paraId="64591B6B" w14:textId="77777777" w:rsidTr="00045F79">
        <w:trPr>
          <w:tblHeader/>
        </w:trPr>
        <w:tc>
          <w:tcPr>
            <w:tcW w:w="7688" w:type="dxa"/>
            <w:gridSpan w:val="3"/>
            <w:tcBorders>
              <w:top w:val="single" w:sz="12" w:space="0" w:color="auto"/>
              <w:bottom w:val="single" w:sz="6" w:space="0" w:color="auto"/>
            </w:tcBorders>
            <w:shd w:val="clear" w:color="auto" w:fill="auto"/>
          </w:tcPr>
          <w:p w14:paraId="13CAC0F4" w14:textId="77777777" w:rsidR="00045F79" w:rsidRPr="00F07621" w:rsidRDefault="00045F79" w:rsidP="00045F79">
            <w:pPr>
              <w:pStyle w:val="TableHeading"/>
            </w:pPr>
            <w:r w:rsidRPr="00F07621">
              <w:t>Registered provider’s maximum overseas source country concentration</w:t>
            </w:r>
          </w:p>
        </w:tc>
      </w:tr>
      <w:tr w:rsidR="00045F79" w:rsidRPr="00F07621" w14:paraId="4DCE6106" w14:textId="77777777" w:rsidTr="00045F79">
        <w:trPr>
          <w:tblHeader/>
        </w:trPr>
        <w:tc>
          <w:tcPr>
            <w:tcW w:w="1129" w:type="dxa"/>
            <w:tcBorders>
              <w:top w:val="single" w:sz="6" w:space="0" w:color="auto"/>
              <w:bottom w:val="single" w:sz="6" w:space="0" w:color="auto"/>
            </w:tcBorders>
            <w:shd w:val="clear" w:color="auto" w:fill="auto"/>
          </w:tcPr>
          <w:p w14:paraId="497DBC5A" w14:textId="77777777" w:rsidR="00045F79" w:rsidRPr="00F07621" w:rsidRDefault="00045F79" w:rsidP="00045F79">
            <w:pPr>
              <w:pStyle w:val="TableHeading"/>
              <w:ind w:left="29"/>
            </w:pPr>
            <w:r w:rsidRPr="00F07621">
              <w:t>Column 1</w:t>
            </w:r>
          </w:p>
        </w:tc>
        <w:tc>
          <w:tcPr>
            <w:tcW w:w="3974" w:type="dxa"/>
            <w:tcBorders>
              <w:top w:val="single" w:sz="6" w:space="0" w:color="auto"/>
              <w:bottom w:val="single" w:sz="6" w:space="0" w:color="auto"/>
            </w:tcBorders>
            <w:shd w:val="clear" w:color="auto" w:fill="auto"/>
          </w:tcPr>
          <w:p w14:paraId="77AF926C" w14:textId="77777777" w:rsidR="00045F79" w:rsidRPr="00F07621" w:rsidRDefault="00045F79" w:rsidP="00045F79">
            <w:pPr>
              <w:pStyle w:val="TableHeading"/>
            </w:pPr>
            <w:r w:rsidRPr="00F07621">
              <w:t>Column 2</w:t>
            </w:r>
          </w:p>
        </w:tc>
        <w:tc>
          <w:tcPr>
            <w:tcW w:w="2585" w:type="dxa"/>
            <w:tcBorders>
              <w:top w:val="single" w:sz="6" w:space="0" w:color="auto"/>
              <w:bottom w:val="single" w:sz="6" w:space="0" w:color="auto"/>
            </w:tcBorders>
            <w:shd w:val="clear" w:color="auto" w:fill="auto"/>
          </w:tcPr>
          <w:p w14:paraId="25912F40" w14:textId="77777777" w:rsidR="00045F79" w:rsidRPr="00F07621" w:rsidRDefault="00045F79" w:rsidP="00045F79">
            <w:pPr>
              <w:pStyle w:val="TableHeading"/>
            </w:pPr>
            <w:r w:rsidRPr="00F07621">
              <w:t>Column 3</w:t>
            </w:r>
          </w:p>
        </w:tc>
      </w:tr>
      <w:tr w:rsidR="00045F79" w:rsidRPr="00F07621" w14:paraId="5569B940" w14:textId="77777777" w:rsidTr="00045F79">
        <w:trPr>
          <w:tblHeader/>
        </w:trPr>
        <w:tc>
          <w:tcPr>
            <w:tcW w:w="1129" w:type="dxa"/>
            <w:tcBorders>
              <w:top w:val="single" w:sz="6" w:space="0" w:color="auto"/>
              <w:bottom w:val="single" w:sz="12" w:space="0" w:color="auto"/>
            </w:tcBorders>
            <w:shd w:val="clear" w:color="auto" w:fill="auto"/>
          </w:tcPr>
          <w:p w14:paraId="016CF48E" w14:textId="77777777" w:rsidR="00045F79" w:rsidRPr="00F07621" w:rsidRDefault="00045F79" w:rsidP="00045F79">
            <w:pPr>
              <w:pStyle w:val="TableHeading"/>
            </w:pPr>
            <w:r w:rsidRPr="00F07621">
              <w:t>Item</w:t>
            </w:r>
          </w:p>
        </w:tc>
        <w:tc>
          <w:tcPr>
            <w:tcW w:w="3974" w:type="dxa"/>
            <w:tcBorders>
              <w:top w:val="single" w:sz="6" w:space="0" w:color="auto"/>
              <w:bottom w:val="single" w:sz="12" w:space="0" w:color="auto"/>
            </w:tcBorders>
            <w:shd w:val="clear" w:color="auto" w:fill="auto"/>
          </w:tcPr>
          <w:p w14:paraId="4BEEA91A" w14:textId="77777777" w:rsidR="00045F79" w:rsidRPr="00F07621" w:rsidRDefault="00045F79" w:rsidP="00045F79">
            <w:pPr>
              <w:pStyle w:val="TableHeading"/>
            </w:pPr>
            <w:r w:rsidRPr="00F07621">
              <w:t>If a registered provider’s maximum overseas source country concentration is …</w:t>
            </w:r>
          </w:p>
        </w:tc>
        <w:tc>
          <w:tcPr>
            <w:tcW w:w="2585" w:type="dxa"/>
            <w:tcBorders>
              <w:top w:val="single" w:sz="6" w:space="0" w:color="auto"/>
              <w:bottom w:val="single" w:sz="12" w:space="0" w:color="auto"/>
            </w:tcBorders>
            <w:shd w:val="clear" w:color="auto" w:fill="auto"/>
          </w:tcPr>
          <w:p w14:paraId="1DDA2929" w14:textId="77777777" w:rsidR="00045F79" w:rsidRPr="00F07621" w:rsidRDefault="00045F79" w:rsidP="00045F79">
            <w:pPr>
              <w:pStyle w:val="TableHeading"/>
            </w:pPr>
            <w:r w:rsidRPr="00F07621">
              <w:t>then the factor is …</w:t>
            </w:r>
          </w:p>
        </w:tc>
      </w:tr>
      <w:tr w:rsidR="00045F79" w:rsidRPr="00F07621" w14:paraId="3DAADCF6" w14:textId="77777777" w:rsidTr="00045F79">
        <w:tc>
          <w:tcPr>
            <w:tcW w:w="1129" w:type="dxa"/>
            <w:tcBorders>
              <w:top w:val="single" w:sz="12" w:space="0" w:color="auto"/>
            </w:tcBorders>
            <w:shd w:val="clear" w:color="auto" w:fill="auto"/>
          </w:tcPr>
          <w:p w14:paraId="53F49E4C" w14:textId="77777777" w:rsidR="00045F79" w:rsidRPr="00F07621" w:rsidRDefault="00045F79" w:rsidP="00045F79">
            <w:pPr>
              <w:pStyle w:val="Tabletext"/>
            </w:pPr>
            <w:r w:rsidRPr="00F07621">
              <w:t>1</w:t>
            </w:r>
          </w:p>
        </w:tc>
        <w:tc>
          <w:tcPr>
            <w:tcW w:w="3974" w:type="dxa"/>
            <w:tcBorders>
              <w:top w:val="single" w:sz="12" w:space="0" w:color="auto"/>
            </w:tcBorders>
            <w:shd w:val="clear" w:color="auto" w:fill="auto"/>
          </w:tcPr>
          <w:p w14:paraId="6A699F7A" w14:textId="77777777" w:rsidR="00045F79" w:rsidRPr="00F07621" w:rsidRDefault="00045F79" w:rsidP="00045F79">
            <w:pPr>
              <w:pStyle w:val="Tabletext"/>
            </w:pPr>
            <w:r w:rsidRPr="00F07621">
              <w:t>80% or more</w:t>
            </w:r>
          </w:p>
        </w:tc>
        <w:tc>
          <w:tcPr>
            <w:tcW w:w="2585" w:type="dxa"/>
            <w:tcBorders>
              <w:top w:val="single" w:sz="12" w:space="0" w:color="auto"/>
            </w:tcBorders>
            <w:shd w:val="clear" w:color="auto" w:fill="auto"/>
          </w:tcPr>
          <w:p w14:paraId="7117EB4D" w14:textId="77777777" w:rsidR="00045F79" w:rsidRPr="00F07621" w:rsidRDefault="00045F79" w:rsidP="00045F79">
            <w:pPr>
              <w:pStyle w:val="Tabletext"/>
            </w:pPr>
            <w:r w:rsidRPr="00F07621">
              <w:t>3.1</w:t>
            </w:r>
          </w:p>
        </w:tc>
      </w:tr>
      <w:tr w:rsidR="00045F79" w:rsidRPr="00F07621" w14:paraId="7864A649" w14:textId="77777777" w:rsidTr="00045F79">
        <w:tc>
          <w:tcPr>
            <w:tcW w:w="1129" w:type="dxa"/>
            <w:shd w:val="clear" w:color="auto" w:fill="auto"/>
          </w:tcPr>
          <w:p w14:paraId="5EEBAA19" w14:textId="77777777" w:rsidR="00045F79" w:rsidRPr="00F07621" w:rsidRDefault="00045F79" w:rsidP="00045F79">
            <w:pPr>
              <w:pStyle w:val="Tabletext"/>
            </w:pPr>
            <w:r w:rsidRPr="00F07621">
              <w:t>2</w:t>
            </w:r>
          </w:p>
        </w:tc>
        <w:tc>
          <w:tcPr>
            <w:tcW w:w="3974" w:type="dxa"/>
            <w:shd w:val="clear" w:color="auto" w:fill="auto"/>
          </w:tcPr>
          <w:p w14:paraId="11E96E08" w14:textId="77777777" w:rsidR="00045F79" w:rsidRPr="00F07621" w:rsidRDefault="00045F79" w:rsidP="00045F79">
            <w:pPr>
              <w:pStyle w:val="Tabletext"/>
            </w:pPr>
            <w:r w:rsidRPr="00F07621">
              <w:t>50% or more but less than 80%</w:t>
            </w:r>
          </w:p>
        </w:tc>
        <w:tc>
          <w:tcPr>
            <w:tcW w:w="2585" w:type="dxa"/>
            <w:shd w:val="clear" w:color="auto" w:fill="auto"/>
          </w:tcPr>
          <w:p w14:paraId="432EE06E" w14:textId="77777777" w:rsidR="00045F79" w:rsidRPr="00F07621" w:rsidRDefault="00045F79" w:rsidP="00045F79">
            <w:pPr>
              <w:pStyle w:val="Tabletext"/>
            </w:pPr>
            <w:r w:rsidRPr="00F07621">
              <w:t>0.7</w:t>
            </w:r>
          </w:p>
        </w:tc>
      </w:tr>
      <w:tr w:rsidR="00045F79" w:rsidRPr="00F07621" w14:paraId="5A0A7A92" w14:textId="77777777" w:rsidTr="00045F79">
        <w:tc>
          <w:tcPr>
            <w:tcW w:w="1129" w:type="dxa"/>
            <w:tcBorders>
              <w:bottom w:val="single" w:sz="2" w:space="0" w:color="auto"/>
            </w:tcBorders>
            <w:shd w:val="clear" w:color="auto" w:fill="auto"/>
          </w:tcPr>
          <w:p w14:paraId="484C45EA" w14:textId="77777777" w:rsidR="00045F79" w:rsidRPr="00F07621" w:rsidRDefault="00045F79" w:rsidP="00045F79">
            <w:pPr>
              <w:pStyle w:val="Tabletext"/>
            </w:pPr>
            <w:r w:rsidRPr="00F07621">
              <w:t>3</w:t>
            </w:r>
          </w:p>
        </w:tc>
        <w:tc>
          <w:tcPr>
            <w:tcW w:w="3974" w:type="dxa"/>
            <w:tcBorders>
              <w:bottom w:val="single" w:sz="2" w:space="0" w:color="auto"/>
            </w:tcBorders>
            <w:shd w:val="clear" w:color="auto" w:fill="auto"/>
          </w:tcPr>
          <w:p w14:paraId="3123048A" w14:textId="77777777" w:rsidR="00045F79" w:rsidRPr="00F07621" w:rsidRDefault="00045F79" w:rsidP="00045F79">
            <w:pPr>
              <w:pStyle w:val="Tabletext"/>
            </w:pPr>
            <w:r w:rsidRPr="00F07621">
              <w:t>25% or more but less than 50%</w:t>
            </w:r>
          </w:p>
        </w:tc>
        <w:tc>
          <w:tcPr>
            <w:tcW w:w="2585" w:type="dxa"/>
            <w:tcBorders>
              <w:bottom w:val="single" w:sz="2" w:space="0" w:color="auto"/>
            </w:tcBorders>
            <w:shd w:val="clear" w:color="auto" w:fill="auto"/>
          </w:tcPr>
          <w:p w14:paraId="2771F681" w14:textId="77777777" w:rsidR="00045F79" w:rsidRPr="00F07621" w:rsidRDefault="00045F79" w:rsidP="00045F79">
            <w:pPr>
              <w:pStyle w:val="Tabletext"/>
            </w:pPr>
            <w:r w:rsidRPr="00F07621">
              <w:t>0.3</w:t>
            </w:r>
          </w:p>
        </w:tc>
      </w:tr>
      <w:tr w:rsidR="00045F79" w:rsidRPr="00F07621" w14:paraId="6E02025A" w14:textId="77777777" w:rsidTr="00045F79">
        <w:tc>
          <w:tcPr>
            <w:tcW w:w="1129" w:type="dxa"/>
            <w:tcBorders>
              <w:top w:val="single" w:sz="2" w:space="0" w:color="auto"/>
              <w:bottom w:val="single" w:sz="12" w:space="0" w:color="auto"/>
            </w:tcBorders>
            <w:shd w:val="clear" w:color="auto" w:fill="auto"/>
          </w:tcPr>
          <w:p w14:paraId="5F0D065C" w14:textId="77777777" w:rsidR="00045F79" w:rsidRPr="00F07621" w:rsidRDefault="00045F79" w:rsidP="00045F79">
            <w:pPr>
              <w:pStyle w:val="Tabletext"/>
            </w:pPr>
            <w:r w:rsidRPr="00F07621">
              <w:t>4</w:t>
            </w:r>
          </w:p>
        </w:tc>
        <w:tc>
          <w:tcPr>
            <w:tcW w:w="3974" w:type="dxa"/>
            <w:tcBorders>
              <w:top w:val="single" w:sz="2" w:space="0" w:color="auto"/>
              <w:bottom w:val="single" w:sz="12" w:space="0" w:color="auto"/>
            </w:tcBorders>
            <w:shd w:val="clear" w:color="auto" w:fill="auto"/>
          </w:tcPr>
          <w:p w14:paraId="11B9D0AA" w14:textId="77777777" w:rsidR="00045F79" w:rsidRPr="00F07621" w:rsidRDefault="00045F79" w:rsidP="00045F79">
            <w:pPr>
              <w:pStyle w:val="Tabletext"/>
            </w:pPr>
            <w:r w:rsidRPr="00F07621">
              <w:t>less than 25%</w:t>
            </w:r>
          </w:p>
        </w:tc>
        <w:tc>
          <w:tcPr>
            <w:tcW w:w="2585" w:type="dxa"/>
            <w:tcBorders>
              <w:top w:val="single" w:sz="2" w:space="0" w:color="auto"/>
              <w:bottom w:val="single" w:sz="12" w:space="0" w:color="auto"/>
            </w:tcBorders>
            <w:shd w:val="clear" w:color="auto" w:fill="auto"/>
          </w:tcPr>
          <w:p w14:paraId="2086CA0C" w14:textId="77777777" w:rsidR="00045F79" w:rsidRPr="00F07621" w:rsidRDefault="00045F79" w:rsidP="00045F79">
            <w:pPr>
              <w:pStyle w:val="Tabletext"/>
            </w:pPr>
            <w:r w:rsidRPr="00F07621">
              <w:t>0.0</w:t>
            </w:r>
          </w:p>
        </w:tc>
      </w:tr>
    </w:tbl>
    <w:p w14:paraId="5E212849" w14:textId="77777777" w:rsidR="00045F79" w:rsidRPr="00F07621" w:rsidRDefault="00045F79" w:rsidP="00045F79">
      <w:pPr>
        <w:pStyle w:val="SubsectionHead"/>
      </w:pPr>
      <w:r w:rsidRPr="00F07621">
        <w:t>Working out the maximum overseas source country concentration percentage</w:t>
      </w:r>
    </w:p>
    <w:p w14:paraId="39136072" w14:textId="77777777" w:rsidR="00045F79" w:rsidRPr="00F07621" w:rsidRDefault="00045F79" w:rsidP="00045F79">
      <w:pPr>
        <w:pStyle w:val="subsection"/>
      </w:pPr>
      <w:r w:rsidRPr="00F07621">
        <w:tab/>
        <w:t>(3)</w:t>
      </w:r>
      <w:r w:rsidRPr="00F07621">
        <w:tab/>
        <w:t>A registered provider’s maximum overseas source country concentration is worked out using the formula:</w:t>
      </w:r>
    </w:p>
    <w:p w14:paraId="3767CCC8" w14:textId="77777777" w:rsidR="00045F79" w:rsidRPr="00F07621" w:rsidRDefault="00045F79" w:rsidP="00045F79">
      <w:pPr>
        <w:pStyle w:val="subsection"/>
        <w:ind w:left="1418" w:hanging="142"/>
      </w:pPr>
      <w:r w:rsidRPr="00F07621">
        <w:tab/>
      </w:r>
      <m:oMath>
        <m:d>
          <m:dPr>
            <m:begChr m:val="["/>
            <m:endChr m:val="]"/>
            <m:ctrlPr>
              <w:rPr>
                <w:rFonts w:ascii="Cambria Math" w:hAnsi="Cambria Math"/>
                <w:i/>
                <w:sz w:val="24"/>
                <w:szCs w:val="24"/>
              </w:rPr>
            </m:ctrlPr>
          </m:dPr>
          <m:e>
            <m:f>
              <m:fPr>
                <m:ctrlPr>
                  <w:rPr>
                    <w:rFonts w:ascii="Cambria Math" w:hAnsi="Cambria Math"/>
                    <w:sz w:val="24"/>
                    <w:szCs w:val="24"/>
                  </w:rPr>
                </m:ctrlPr>
              </m:fPr>
              <m:num>
                <m:r>
                  <m:rPr>
                    <m:sty m:val="p"/>
                  </m:rPr>
                  <w:rPr>
                    <w:rFonts w:ascii="Cambria Math" w:hAnsi="Cambria Math"/>
                    <w:sz w:val="24"/>
                    <w:szCs w:val="24"/>
                  </w:rPr>
                  <m:t xml:space="preserve">Largest number of overseas student enrolments for a country </m:t>
                </m:r>
              </m:num>
              <m:den>
                <m:r>
                  <m:rPr>
                    <m:sty m:val="p"/>
                  </m:rPr>
                  <w:rPr>
                    <w:rFonts w:ascii="Cambria Math" w:hAnsi="Cambria Math"/>
                    <w:sz w:val="24"/>
                    <w:szCs w:val="24"/>
                  </w:rPr>
                  <m:t>Total number of overseas student enrolments</m:t>
                </m:r>
              </m:den>
            </m:f>
          </m:e>
        </m:d>
      </m:oMath>
      <w:r w:rsidRPr="00F07621">
        <w:rPr>
          <w:rFonts w:eastAsiaTheme="minorEastAsia"/>
          <w:sz w:val="24"/>
          <w:szCs w:val="24"/>
        </w:rPr>
        <w:t xml:space="preserve"> </w:t>
      </w:r>
      <m:oMath>
        <m:r>
          <w:rPr>
            <w:rFonts w:ascii="Cambria Math" w:eastAsiaTheme="minorEastAsia" w:hAnsi="Cambria Math"/>
            <w:sz w:val="24"/>
            <w:szCs w:val="24"/>
          </w:rPr>
          <m:t>×</m:t>
        </m:r>
      </m:oMath>
      <w:r w:rsidRPr="00F07621">
        <w:rPr>
          <w:rFonts w:eastAsiaTheme="minorEastAsia"/>
          <w:sz w:val="24"/>
          <w:szCs w:val="24"/>
        </w:rPr>
        <w:t xml:space="preserve"> 100%</w:t>
      </w:r>
    </w:p>
    <w:p w14:paraId="2427E68E" w14:textId="77777777" w:rsidR="00045F79" w:rsidRPr="00F07621" w:rsidRDefault="00045F79" w:rsidP="00045F79">
      <w:pPr>
        <w:pStyle w:val="subsection"/>
      </w:pPr>
      <w:r w:rsidRPr="00F07621">
        <w:lastRenderedPageBreak/>
        <w:tab/>
        <w:t>where:</w:t>
      </w:r>
    </w:p>
    <w:p w14:paraId="29C49D85" w14:textId="53D4D922" w:rsidR="00045F79" w:rsidRPr="00F07621" w:rsidRDefault="00045F79" w:rsidP="00045F79">
      <w:pPr>
        <w:pStyle w:val="Definition"/>
      </w:pPr>
      <w:r w:rsidRPr="00F07621">
        <w:rPr>
          <w:b/>
          <w:i/>
        </w:rPr>
        <w:t>largest number of overseas student enrolments for a country</w:t>
      </w:r>
      <w:r w:rsidRPr="00F07621">
        <w:t xml:space="preserve"> means, of the number of overseas student enrolments with the registered provider for each overseas source country in 202</w:t>
      </w:r>
      <w:r w:rsidR="00C755A1">
        <w:t>1</w:t>
      </w:r>
      <w:r w:rsidRPr="00F07621">
        <w:t>, the largest number of enrolments for any of those overseas source countries in 202</w:t>
      </w:r>
      <w:r w:rsidR="00C755A1">
        <w:t>1</w:t>
      </w:r>
      <w:r w:rsidRPr="00F07621">
        <w:t>.</w:t>
      </w:r>
    </w:p>
    <w:p w14:paraId="76DBB92D" w14:textId="7325B7DC" w:rsidR="00045F79" w:rsidRPr="00F07621" w:rsidRDefault="00045F79" w:rsidP="00045F79">
      <w:pPr>
        <w:pStyle w:val="Definition"/>
      </w:pPr>
      <w:r w:rsidRPr="00F07621">
        <w:rPr>
          <w:b/>
          <w:i/>
        </w:rPr>
        <w:t>total number of overseas student enrolments</w:t>
      </w:r>
      <w:r w:rsidRPr="00F07621">
        <w:t xml:space="preserve"> means the total number of overseas student enrolments with the registered provider in 202</w:t>
      </w:r>
      <w:r w:rsidR="00C755A1">
        <w:t>1</w:t>
      </w:r>
      <w:r w:rsidRPr="00F07621">
        <w:t>.</w:t>
      </w:r>
    </w:p>
    <w:p w14:paraId="665BE696" w14:textId="77777777" w:rsidR="00045F79" w:rsidRPr="00F07621" w:rsidRDefault="00045F79" w:rsidP="00045F79">
      <w:pPr>
        <w:pStyle w:val="ActHead5"/>
      </w:pPr>
      <w:bookmarkStart w:id="21" w:name="_Toc56611620"/>
      <w:bookmarkStart w:id="22" w:name="_Toc84947121"/>
      <w:proofErr w:type="gramStart"/>
      <w:r w:rsidRPr="00F07621">
        <w:rPr>
          <w:rStyle w:val="CharSectno"/>
        </w:rPr>
        <w:t>11</w:t>
      </w:r>
      <w:r w:rsidRPr="00F07621">
        <w:t xml:space="preserve">  Risk</w:t>
      </w:r>
      <w:proofErr w:type="gramEnd"/>
      <w:r w:rsidRPr="00F07621">
        <w:t xml:space="preserve"> factor—non-compliance and registration renewal</w:t>
      </w:r>
      <w:bookmarkEnd w:id="21"/>
      <w:bookmarkEnd w:id="22"/>
      <w:r w:rsidRPr="00F07621">
        <w:t xml:space="preserve"> </w:t>
      </w:r>
    </w:p>
    <w:p w14:paraId="6EA9F06A" w14:textId="77777777" w:rsidR="00045F79" w:rsidRPr="00F07621" w:rsidRDefault="00045F79" w:rsidP="00045F79">
      <w:pPr>
        <w:pStyle w:val="SubsectionHead"/>
      </w:pPr>
      <w:r w:rsidRPr="00F07621">
        <w:t>Application</w:t>
      </w:r>
    </w:p>
    <w:p w14:paraId="0879103E" w14:textId="77777777" w:rsidR="00045F79" w:rsidRPr="00F07621" w:rsidRDefault="00045F79" w:rsidP="00045F79">
      <w:pPr>
        <w:pStyle w:val="subsection"/>
        <w:numPr>
          <w:ilvl w:val="0"/>
          <w:numId w:val="14"/>
        </w:numPr>
      </w:pPr>
      <w:r w:rsidRPr="00F07621">
        <w:t xml:space="preserve">The risk factor, </w:t>
      </w:r>
      <w:proofErr w:type="gramStart"/>
      <w:r w:rsidRPr="00F07621">
        <w:t>non-compliance</w:t>
      </w:r>
      <w:proofErr w:type="gramEnd"/>
      <w:r w:rsidRPr="00F07621">
        <w:t xml:space="preserve"> and registration renewal, applies to all non</w:t>
      </w:r>
      <w:r w:rsidRPr="00F07621">
        <w:noBreakHyphen/>
        <w:t>exempt providers.</w:t>
      </w:r>
    </w:p>
    <w:p w14:paraId="2770C635" w14:textId="77777777" w:rsidR="00045F79" w:rsidRPr="00F07621" w:rsidRDefault="00045F79" w:rsidP="00045F79">
      <w:pPr>
        <w:pStyle w:val="subsection"/>
        <w:ind w:left="1021" w:firstLine="0"/>
        <w:rPr>
          <w:iCs/>
        </w:rPr>
      </w:pPr>
      <w:r w:rsidRPr="00F07621">
        <w:rPr>
          <w:i/>
          <w:iCs/>
        </w:rPr>
        <w:t>Factor by which specified percentage is multiplied</w:t>
      </w:r>
    </w:p>
    <w:p w14:paraId="2C70B520" w14:textId="77777777" w:rsidR="00045F79" w:rsidRPr="00F07621" w:rsidRDefault="00045F79" w:rsidP="00045F79">
      <w:pPr>
        <w:pStyle w:val="subsection"/>
      </w:pPr>
      <w:r w:rsidRPr="00F07621">
        <w:tab/>
        <w:t>(2)</w:t>
      </w:r>
      <w:r w:rsidRPr="00F07621">
        <w:tab/>
        <w:t xml:space="preserve">For the purposes of paragraph 9(3)(c) of the </w:t>
      </w:r>
      <w:r w:rsidRPr="00F07621">
        <w:rPr>
          <w:iCs/>
        </w:rPr>
        <w:t>ESOS (TPS Levies) Act, the</w:t>
      </w:r>
      <w:r w:rsidRPr="00F07621">
        <w:t xml:space="preserve"> increase factor is that set out in the following table subject to subsection (3):</w:t>
      </w:r>
    </w:p>
    <w:p w14:paraId="7AE1463E" w14:textId="77777777" w:rsidR="00045F79" w:rsidRPr="00F07621" w:rsidRDefault="00045F79" w:rsidP="00045F79">
      <w:pPr>
        <w:pStyle w:val="Tabletext"/>
      </w:pPr>
    </w:p>
    <w:tbl>
      <w:tblPr>
        <w:tblW w:w="7688" w:type="dxa"/>
        <w:tblInd w:w="817"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1129"/>
        <w:gridCol w:w="3974"/>
        <w:gridCol w:w="2585"/>
      </w:tblGrid>
      <w:tr w:rsidR="00045F79" w:rsidRPr="00F07621" w14:paraId="44F6FE53" w14:textId="77777777" w:rsidTr="00045F79">
        <w:trPr>
          <w:tblHeader/>
        </w:trPr>
        <w:tc>
          <w:tcPr>
            <w:tcW w:w="7688" w:type="dxa"/>
            <w:gridSpan w:val="3"/>
            <w:tcBorders>
              <w:top w:val="single" w:sz="12" w:space="0" w:color="auto"/>
              <w:bottom w:val="single" w:sz="6" w:space="0" w:color="auto"/>
            </w:tcBorders>
            <w:shd w:val="clear" w:color="auto" w:fill="auto"/>
          </w:tcPr>
          <w:p w14:paraId="2F50AC84" w14:textId="77777777" w:rsidR="00045F79" w:rsidRPr="00F07621" w:rsidRDefault="00045F79" w:rsidP="00045F79">
            <w:pPr>
              <w:pStyle w:val="TableHeading"/>
            </w:pPr>
            <w:r w:rsidRPr="00F07621">
              <w:t>Registered provider’s non-compliance and registration renewal</w:t>
            </w:r>
          </w:p>
        </w:tc>
      </w:tr>
      <w:tr w:rsidR="00045F79" w:rsidRPr="00F07621" w14:paraId="220EF774" w14:textId="77777777" w:rsidTr="00045F79">
        <w:trPr>
          <w:tblHeader/>
        </w:trPr>
        <w:tc>
          <w:tcPr>
            <w:tcW w:w="1129" w:type="dxa"/>
            <w:tcBorders>
              <w:top w:val="single" w:sz="6" w:space="0" w:color="auto"/>
              <w:bottom w:val="single" w:sz="6" w:space="0" w:color="auto"/>
            </w:tcBorders>
            <w:shd w:val="clear" w:color="auto" w:fill="auto"/>
          </w:tcPr>
          <w:p w14:paraId="52877CBC" w14:textId="77777777" w:rsidR="00045F79" w:rsidRPr="00F07621" w:rsidRDefault="00045F79" w:rsidP="00045F79">
            <w:pPr>
              <w:pStyle w:val="TableHeading"/>
              <w:ind w:left="29"/>
            </w:pPr>
            <w:r w:rsidRPr="00F07621">
              <w:t>Column 1</w:t>
            </w:r>
          </w:p>
        </w:tc>
        <w:tc>
          <w:tcPr>
            <w:tcW w:w="3974" w:type="dxa"/>
            <w:tcBorders>
              <w:top w:val="single" w:sz="6" w:space="0" w:color="auto"/>
              <w:bottom w:val="single" w:sz="6" w:space="0" w:color="auto"/>
            </w:tcBorders>
            <w:shd w:val="clear" w:color="auto" w:fill="auto"/>
          </w:tcPr>
          <w:p w14:paraId="32C9162F" w14:textId="77777777" w:rsidR="00045F79" w:rsidRPr="00F07621" w:rsidRDefault="00045F79" w:rsidP="00045F79">
            <w:pPr>
              <w:pStyle w:val="TableHeading"/>
            </w:pPr>
            <w:r w:rsidRPr="00F07621">
              <w:t>Column 2</w:t>
            </w:r>
          </w:p>
        </w:tc>
        <w:tc>
          <w:tcPr>
            <w:tcW w:w="2585" w:type="dxa"/>
            <w:tcBorders>
              <w:top w:val="single" w:sz="6" w:space="0" w:color="auto"/>
              <w:bottom w:val="single" w:sz="6" w:space="0" w:color="auto"/>
            </w:tcBorders>
            <w:shd w:val="clear" w:color="auto" w:fill="auto"/>
          </w:tcPr>
          <w:p w14:paraId="6764D367" w14:textId="77777777" w:rsidR="00045F79" w:rsidRPr="00F07621" w:rsidRDefault="00045F79" w:rsidP="00045F79">
            <w:pPr>
              <w:pStyle w:val="TableHeading"/>
            </w:pPr>
            <w:r w:rsidRPr="00F07621">
              <w:t>Column 3</w:t>
            </w:r>
          </w:p>
        </w:tc>
      </w:tr>
      <w:tr w:rsidR="00045F79" w:rsidRPr="00F07621" w14:paraId="46C1C601" w14:textId="77777777" w:rsidTr="00045F79">
        <w:trPr>
          <w:tblHeader/>
        </w:trPr>
        <w:tc>
          <w:tcPr>
            <w:tcW w:w="1129" w:type="dxa"/>
            <w:tcBorders>
              <w:top w:val="single" w:sz="6" w:space="0" w:color="auto"/>
              <w:bottom w:val="single" w:sz="12" w:space="0" w:color="auto"/>
            </w:tcBorders>
            <w:shd w:val="clear" w:color="auto" w:fill="auto"/>
          </w:tcPr>
          <w:p w14:paraId="3337D93C" w14:textId="77777777" w:rsidR="00045F79" w:rsidRPr="00F07621" w:rsidRDefault="00045F79" w:rsidP="00045F79">
            <w:pPr>
              <w:pStyle w:val="TableHeading"/>
            </w:pPr>
            <w:r w:rsidRPr="00F07621">
              <w:t>Item</w:t>
            </w:r>
          </w:p>
        </w:tc>
        <w:tc>
          <w:tcPr>
            <w:tcW w:w="3974" w:type="dxa"/>
            <w:tcBorders>
              <w:top w:val="single" w:sz="6" w:space="0" w:color="auto"/>
              <w:bottom w:val="single" w:sz="12" w:space="0" w:color="auto"/>
            </w:tcBorders>
            <w:shd w:val="clear" w:color="auto" w:fill="auto"/>
          </w:tcPr>
          <w:p w14:paraId="0095A034" w14:textId="77777777" w:rsidR="00045F79" w:rsidRPr="00F07621" w:rsidRDefault="00045F79" w:rsidP="00045F79">
            <w:pPr>
              <w:pStyle w:val="TableHeading"/>
            </w:pPr>
            <w:r w:rsidRPr="00F07621">
              <w:t>If a registered provider …</w:t>
            </w:r>
          </w:p>
        </w:tc>
        <w:tc>
          <w:tcPr>
            <w:tcW w:w="2585" w:type="dxa"/>
            <w:tcBorders>
              <w:top w:val="single" w:sz="6" w:space="0" w:color="auto"/>
              <w:bottom w:val="single" w:sz="12" w:space="0" w:color="auto"/>
            </w:tcBorders>
            <w:shd w:val="clear" w:color="auto" w:fill="auto"/>
          </w:tcPr>
          <w:p w14:paraId="072F905C" w14:textId="77777777" w:rsidR="00045F79" w:rsidRPr="00F07621" w:rsidRDefault="00045F79" w:rsidP="00045F79">
            <w:pPr>
              <w:pStyle w:val="TableHeading"/>
            </w:pPr>
            <w:r w:rsidRPr="00F07621">
              <w:t>then the factor is …</w:t>
            </w:r>
          </w:p>
        </w:tc>
      </w:tr>
      <w:tr w:rsidR="00045F79" w:rsidRPr="00F07621" w14:paraId="1F0E9CB5" w14:textId="77777777" w:rsidTr="00045F79">
        <w:tc>
          <w:tcPr>
            <w:tcW w:w="1129" w:type="dxa"/>
            <w:tcBorders>
              <w:top w:val="single" w:sz="12" w:space="0" w:color="auto"/>
            </w:tcBorders>
            <w:shd w:val="clear" w:color="auto" w:fill="auto"/>
          </w:tcPr>
          <w:p w14:paraId="12D5FCA1" w14:textId="77777777" w:rsidR="00045F79" w:rsidRPr="00F07621" w:rsidRDefault="00045F79" w:rsidP="00045F79">
            <w:pPr>
              <w:pStyle w:val="Tabletext"/>
            </w:pPr>
            <w:r w:rsidRPr="00F07621">
              <w:t>1</w:t>
            </w:r>
          </w:p>
        </w:tc>
        <w:tc>
          <w:tcPr>
            <w:tcW w:w="3974" w:type="dxa"/>
            <w:tcBorders>
              <w:top w:val="single" w:sz="12" w:space="0" w:color="auto"/>
            </w:tcBorders>
            <w:shd w:val="clear" w:color="auto" w:fill="auto"/>
          </w:tcPr>
          <w:p w14:paraId="364969A1" w14:textId="77777777" w:rsidR="00045F79" w:rsidRPr="00F07621" w:rsidRDefault="00045F79" w:rsidP="00045F79">
            <w:pPr>
              <w:pStyle w:val="Tabletext"/>
            </w:pPr>
            <w:r w:rsidRPr="00F07621">
              <w:t>has a weighted late payment measure of 30 days or more</w:t>
            </w:r>
          </w:p>
        </w:tc>
        <w:tc>
          <w:tcPr>
            <w:tcW w:w="2585" w:type="dxa"/>
            <w:tcBorders>
              <w:top w:val="single" w:sz="12" w:space="0" w:color="auto"/>
            </w:tcBorders>
            <w:shd w:val="clear" w:color="auto" w:fill="auto"/>
          </w:tcPr>
          <w:p w14:paraId="396627B8" w14:textId="77777777" w:rsidR="00045F79" w:rsidRPr="00F07621" w:rsidRDefault="00045F79" w:rsidP="00045F79">
            <w:pPr>
              <w:pStyle w:val="Tabletext"/>
            </w:pPr>
            <w:r w:rsidRPr="00F07621">
              <w:t>2.0</w:t>
            </w:r>
          </w:p>
        </w:tc>
      </w:tr>
      <w:tr w:rsidR="00045F79" w:rsidRPr="00F07621" w14:paraId="4BBDEB5E" w14:textId="77777777" w:rsidTr="00045F79">
        <w:tc>
          <w:tcPr>
            <w:tcW w:w="1129" w:type="dxa"/>
            <w:shd w:val="clear" w:color="auto" w:fill="auto"/>
          </w:tcPr>
          <w:p w14:paraId="0E9E7D96" w14:textId="77777777" w:rsidR="00045F79" w:rsidRPr="00F07621" w:rsidRDefault="00045F79" w:rsidP="00045F79">
            <w:pPr>
              <w:pStyle w:val="Tabletext"/>
            </w:pPr>
            <w:r w:rsidRPr="00F07621">
              <w:t>2</w:t>
            </w:r>
          </w:p>
        </w:tc>
        <w:tc>
          <w:tcPr>
            <w:tcW w:w="3974" w:type="dxa"/>
            <w:shd w:val="clear" w:color="auto" w:fill="auto"/>
          </w:tcPr>
          <w:p w14:paraId="71448EF3" w14:textId="77777777" w:rsidR="00045F79" w:rsidRPr="00F07621" w:rsidRDefault="00045F79" w:rsidP="00045F79">
            <w:pPr>
              <w:pStyle w:val="Tabletext"/>
            </w:pPr>
            <w:r w:rsidRPr="00F07621">
              <w:t>has a weighted late payment measure of 15 days or more but less than 30 days</w:t>
            </w:r>
          </w:p>
        </w:tc>
        <w:tc>
          <w:tcPr>
            <w:tcW w:w="2585" w:type="dxa"/>
            <w:shd w:val="clear" w:color="auto" w:fill="auto"/>
          </w:tcPr>
          <w:p w14:paraId="6E2CE79A" w14:textId="77777777" w:rsidR="00045F79" w:rsidRPr="00F07621" w:rsidRDefault="00045F79" w:rsidP="00045F79">
            <w:pPr>
              <w:pStyle w:val="Tabletext"/>
            </w:pPr>
            <w:r w:rsidRPr="00F07621">
              <w:t>0.9</w:t>
            </w:r>
          </w:p>
        </w:tc>
      </w:tr>
      <w:tr w:rsidR="00045F79" w:rsidRPr="00F07621" w14:paraId="1D481D96" w14:textId="77777777" w:rsidTr="00045F79">
        <w:tc>
          <w:tcPr>
            <w:tcW w:w="1129" w:type="dxa"/>
            <w:tcBorders>
              <w:bottom w:val="single" w:sz="2" w:space="0" w:color="auto"/>
            </w:tcBorders>
            <w:shd w:val="clear" w:color="auto" w:fill="auto"/>
          </w:tcPr>
          <w:p w14:paraId="4FFB48B1" w14:textId="77777777" w:rsidR="00045F79" w:rsidRPr="00F07621" w:rsidRDefault="00045F79" w:rsidP="00045F79">
            <w:pPr>
              <w:pStyle w:val="Tabletext"/>
            </w:pPr>
            <w:r w:rsidRPr="00F07621">
              <w:t>3</w:t>
            </w:r>
          </w:p>
        </w:tc>
        <w:tc>
          <w:tcPr>
            <w:tcW w:w="3974" w:type="dxa"/>
            <w:tcBorders>
              <w:bottom w:val="single" w:sz="2" w:space="0" w:color="auto"/>
            </w:tcBorders>
            <w:shd w:val="clear" w:color="auto" w:fill="auto"/>
          </w:tcPr>
          <w:p w14:paraId="76209C71" w14:textId="77777777" w:rsidR="00045F79" w:rsidRPr="00F07621" w:rsidRDefault="00045F79" w:rsidP="00045F79">
            <w:pPr>
              <w:pStyle w:val="Tabletext"/>
            </w:pPr>
            <w:r w:rsidRPr="00F07621">
              <w:t>has a weighted late payment measure of 1 day or more but less than 15 days</w:t>
            </w:r>
          </w:p>
        </w:tc>
        <w:tc>
          <w:tcPr>
            <w:tcW w:w="2585" w:type="dxa"/>
            <w:tcBorders>
              <w:bottom w:val="single" w:sz="2" w:space="0" w:color="auto"/>
            </w:tcBorders>
            <w:shd w:val="clear" w:color="auto" w:fill="auto"/>
          </w:tcPr>
          <w:p w14:paraId="5C1E9BB4" w14:textId="77777777" w:rsidR="00045F79" w:rsidRPr="00F07621" w:rsidRDefault="00045F79" w:rsidP="00045F79">
            <w:pPr>
              <w:pStyle w:val="Tabletext"/>
            </w:pPr>
            <w:r w:rsidRPr="00F07621">
              <w:t>0.7</w:t>
            </w:r>
          </w:p>
        </w:tc>
      </w:tr>
      <w:tr w:rsidR="00045F79" w:rsidRPr="00F07621" w14:paraId="5FECB4DB" w14:textId="77777777" w:rsidTr="00045F79">
        <w:tc>
          <w:tcPr>
            <w:tcW w:w="1129" w:type="dxa"/>
            <w:tcBorders>
              <w:top w:val="single" w:sz="2" w:space="0" w:color="auto"/>
              <w:bottom w:val="single" w:sz="2" w:space="0" w:color="auto"/>
            </w:tcBorders>
            <w:shd w:val="clear" w:color="auto" w:fill="auto"/>
          </w:tcPr>
          <w:p w14:paraId="72A3CB1F" w14:textId="77777777" w:rsidR="00045F79" w:rsidRPr="00F07621" w:rsidRDefault="00045F79" w:rsidP="00045F79">
            <w:pPr>
              <w:pStyle w:val="Tabletext"/>
            </w:pPr>
            <w:r w:rsidRPr="00F07621">
              <w:t>4</w:t>
            </w:r>
          </w:p>
        </w:tc>
        <w:tc>
          <w:tcPr>
            <w:tcW w:w="3974" w:type="dxa"/>
            <w:tcBorders>
              <w:top w:val="single" w:sz="2" w:space="0" w:color="auto"/>
              <w:bottom w:val="single" w:sz="2" w:space="0" w:color="auto"/>
            </w:tcBorders>
            <w:shd w:val="clear" w:color="auto" w:fill="auto"/>
          </w:tcPr>
          <w:p w14:paraId="10B456FB" w14:textId="77777777" w:rsidR="00045F79" w:rsidRPr="00F07621" w:rsidRDefault="00045F79" w:rsidP="00045F79">
            <w:pPr>
              <w:pStyle w:val="Tabletext"/>
            </w:pPr>
            <w:r w:rsidRPr="00F07621">
              <w:t>does not have a weighted late payment measure (payment on time)</w:t>
            </w:r>
          </w:p>
        </w:tc>
        <w:tc>
          <w:tcPr>
            <w:tcW w:w="2585" w:type="dxa"/>
            <w:tcBorders>
              <w:top w:val="single" w:sz="2" w:space="0" w:color="auto"/>
              <w:bottom w:val="single" w:sz="2" w:space="0" w:color="auto"/>
            </w:tcBorders>
            <w:shd w:val="clear" w:color="auto" w:fill="auto"/>
          </w:tcPr>
          <w:p w14:paraId="71799241" w14:textId="77777777" w:rsidR="00045F79" w:rsidRPr="00F07621" w:rsidRDefault="00045F79" w:rsidP="00045F79">
            <w:pPr>
              <w:pStyle w:val="Tabletext"/>
            </w:pPr>
            <w:r w:rsidRPr="00F07621">
              <w:t>0.0</w:t>
            </w:r>
          </w:p>
        </w:tc>
      </w:tr>
      <w:tr w:rsidR="00045F79" w:rsidRPr="00F07621" w14:paraId="294C4F61" w14:textId="77777777" w:rsidTr="00045F79">
        <w:tc>
          <w:tcPr>
            <w:tcW w:w="1129" w:type="dxa"/>
            <w:tcBorders>
              <w:top w:val="single" w:sz="2" w:space="0" w:color="auto"/>
              <w:bottom w:val="single" w:sz="2" w:space="0" w:color="auto"/>
            </w:tcBorders>
            <w:shd w:val="clear" w:color="auto" w:fill="auto"/>
          </w:tcPr>
          <w:p w14:paraId="16E32F78" w14:textId="77777777" w:rsidR="00045F79" w:rsidRPr="00F07621" w:rsidRDefault="00045F79" w:rsidP="00045F79">
            <w:pPr>
              <w:pStyle w:val="Tabletext"/>
            </w:pPr>
            <w:r w:rsidRPr="00F07621">
              <w:t>5</w:t>
            </w:r>
          </w:p>
        </w:tc>
        <w:tc>
          <w:tcPr>
            <w:tcW w:w="3974" w:type="dxa"/>
            <w:tcBorders>
              <w:top w:val="single" w:sz="2" w:space="0" w:color="auto"/>
              <w:bottom w:val="single" w:sz="2" w:space="0" w:color="auto"/>
            </w:tcBorders>
            <w:shd w:val="clear" w:color="auto" w:fill="auto"/>
          </w:tcPr>
          <w:p w14:paraId="24A0D661" w14:textId="1C23E00C" w:rsidR="00045F79" w:rsidRPr="00F07621" w:rsidRDefault="00045F79" w:rsidP="00045F79">
            <w:pPr>
              <w:pStyle w:val="Tabletext"/>
            </w:pPr>
            <w:r w:rsidRPr="00F07621">
              <w:t>had action mentioned in section 83 of the ESOS Act taken against it in 202</w:t>
            </w:r>
            <w:r w:rsidR="00C755A1">
              <w:t>1</w:t>
            </w:r>
          </w:p>
        </w:tc>
        <w:tc>
          <w:tcPr>
            <w:tcW w:w="2585" w:type="dxa"/>
            <w:tcBorders>
              <w:top w:val="single" w:sz="2" w:space="0" w:color="auto"/>
              <w:bottom w:val="single" w:sz="2" w:space="0" w:color="auto"/>
            </w:tcBorders>
            <w:shd w:val="clear" w:color="auto" w:fill="auto"/>
          </w:tcPr>
          <w:p w14:paraId="494CFB2A" w14:textId="77777777" w:rsidR="00045F79" w:rsidRPr="00F07621" w:rsidRDefault="00045F79" w:rsidP="00045F79">
            <w:pPr>
              <w:pStyle w:val="Tabletext"/>
            </w:pPr>
            <w:r w:rsidRPr="00F07621">
              <w:t>1.0</w:t>
            </w:r>
          </w:p>
        </w:tc>
      </w:tr>
      <w:tr w:rsidR="00045F79" w:rsidRPr="00F07621" w14:paraId="538BC59A" w14:textId="77777777" w:rsidTr="00045F79">
        <w:tc>
          <w:tcPr>
            <w:tcW w:w="1129" w:type="dxa"/>
            <w:tcBorders>
              <w:top w:val="single" w:sz="2" w:space="0" w:color="auto"/>
              <w:bottom w:val="single" w:sz="12" w:space="0" w:color="auto"/>
            </w:tcBorders>
            <w:shd w:val="clear" w:color="auto" w:fill="auto"/>
          </w:tcPr>
          <w:p w14:paraId="6F8DFCE6" w14:textId="77777777" w:rsidR="00045F79" w:rsidRPr="00F07621" w:rsidRDefault="00045F79" w:rsidP="00045F79">
            <w:pPr>
              <w:pStyle w:val="Tabletext"/>
            </w:pPr>
            <w:r w:rsidRPr="00F07621">
              <w:t>6</w:t>
            </w:r>
          </w:p>
        </w:tc>
        <w:tc>
          <w:tcPr>
            <w:tcW w:w="3974" w:type="dxa"/>
            <w:tcBorders>
              <w:top w:val="single" w:sz="2" w:space="0" w:color="auto"/>
              <w:bottom w:val="single" w:sz="12" w:space="0" w:color="auto"/>
            </w:tcBorders>
            <w:shd w:val="clear" w:color="auto" w:fill="auto"/>
          </w:tcPr>
          <w:p w14:paraId="352BFA64" w14:textId="6D3456E0" w:rsidR="00045F79" w:rsidRPr="00F07621" w:rsidRDefault="00045F79" w:rsidP="00045F79">
            <w:pPr>
              <w:pStyle w:val="Tabletext"/>
            </w:pPr>
            <w:r w:rsidRPr="00F07621">
              <w:t>applied under section 10D of the ESOS Act to renew the provider’s registration and</w:t>
            </w:r>
            <w:r w:rsidR="006F7A2D">
              <w:t xml:space="preserve">, </w:t>
            </w:r>
            <w:r w:rsidR="00583E47">
              <w:t>due to</w:t>
            </w:r>
            <w:r w:rsidR="006F7A2D">
              <w:t xml:space="preserve"> risk management,</w:t>
            </w:r>
            <w:r w:rsidRPr="00F07621">
              <w:t xml:space="preserve"> the period of registration set out in the notice given in 202</w:t>
            </w:r>
            <w:r w:rsidR="00C755A1">
              <w:t>1</w:t>
            </w:r>
            <w:r w:rsidRPr="00F07621">
              <w:t xml:space="preserve"> under section 10G of that Act is less than the maximum period allowed </w:t>
            </w:r>
          </w:p>
        </w:tc>
        <w:tc>
          <w:tcPr>
            <w:tcW w:w="2585" w:type="dxa"/>
            <w:tcBorders>
              <w:top w:val="single" w:sz="2" w:space="0" w:color="auto"/>
              <w:bottom w:val="single" w:sz="12" w:space="0" w:color="auto"/>
            </w:tcBorders>
            <w:shd w:val="clear" w:color="auto" w:fill="auto"/>
          </w:tcPr>
          <w:p w14:paraId="7331AB76" w14:textId="77777777" w:rsidR="00045F79" w:rsidRPr="00F07621" w:rsidRDefault="00045F79" w:rsidP="00045F79">
            <w:pPr>
              <w:pStyle w:val="Tabletext"/>
            </w:pPr>
            <w:r w:rsidRPr="00F07621">
              <w:t>1.0</w:t>
            </w:r>
          </w:p>
        </w:tc>
      </w:tr>
    </w:tbl>
    <w:p w14:paraId="342888FA" w14:textId="77777777" w:rsidR="00045F79" w:rsidRPr="00F07621" w:rsidRDefault="00045F79" w:rsidP="00045F79">
      <w:pPr>
        <w:pStyle w:val="subsection"/>
        <w:numPr>
          <w:ilvl w:val="0"/>
          <w:numId w:val="15"/>
        </w:numPr>
      </w:pPr>
      <w:r w:rsidRPr="00F07621">
        <w:t xml:space="preserve">Where more than one item in the table at subsection (2) applies, the increase factor is the sum of the factors in column 3. </w:t>
      </w:r>
    </w:p>
    <w:p w14:paraId="121BA51B" w14:textId="77777777" w:rsidR="00045F79" w:rsidRPr="00F07621" w:rsidRDefault="00045F79" w:rsidP="00045F79">
      <w:pPr>
        <w:pStyle w:val="SubsectionHead"/>
      </w:pPr>
      <w:r w:rsidRPr="00F07621">
        <w:t>Working out the weighted late payment measure</w:t>
      </w:r>
    </w:p>
    <w:p w14:paraId="4999BED2" w14:textId="77777777" w:rsidR="00045F79" w:rsidRPr="00F07621" w:rsidRDefault="00045F79" w:rsidP="00045F79">
      <w:pPr>
        <w:pStyle w:val="subsection"/>
      </w:pPr>
      <w:r w:rsidRPr="00F07621">
        <w:tab/>
        <w:t>(4)</w:t>
      </w:r>
      <w:r w:rsidRPr="00F07621">
        <w:tab/>
        <w:t>A registered provider’s weighted late payment measure is worked out by adding the results of the calculations in the following paragraphs:</w:t>
      </w:r>
    </w:p>
    <w:p w14:paraId="2A3A591B" w14:textId="2AFA29CC" w:rsidR="00045F79" w:rsidRPr="00F07621" w:rsidRDefault="00045F79" w:rsidP="00045F79">
      <w:pPr>
        <w:pStyle w:val="paragraph"/>
      </w:pPr>
      <w:r w:rsidRPr="00F07621">
        <w:lastRenderedPageBreak/>
        <w:tab/>
        <w:t>(a)</w:t>
      </w:r>
      <w:r w:rsidRPr="00F07621">
        <w:tab/>
        <w:t>for 202</w:t>
      </w:r>
      <w:r w:rsidR="00C755A1">
        <w:t>1</w:t>
      </w:r>
      <w:r w:rsidRPr="00F07621">
        <w:t>, work out 0.7 x [ARC + EMC + TPSL</w:t>
      </w:r>
      <w:proofErr w:type="gramStart"/>
      <w:r w:rsidRPr="00F07621">
        <w:t>];</w:t>
      </w:r>
      <w:proofErr w:type="gramEnd"/>
    </w:p>
    <w:p w14:paraId="1B7919FB" w14:textId="15914C47" w:rsidR="00045F79" w:rsidRPr="00F07621" w:rsidRDefault="00045F79" w:rsidP="00045F79">
      <w:pPr>
        <w:pStyle w:val="paragraph"/>
      </w:pPr>
      <w:r w:rsidRPr="00F07621">
        <w:tab/>
        <w:t>(b)</w:t>
      </w:r>
      <w:r w:rsidRPr="00F07621">
        <w:tab/>
        <w:t>for 20</w:t>
      </w:r>
      <w:r w:rsidR="00C755A1">
        <w:t>20</w:t>
      </w:r>
      <w:r w:rsidRPr="00F07621">
        <w:t>, work out 0.2 x [ARC + EMC + TPSL</w:t>
      </w:r>
      <w:proofErr w:type="gramStart"/>
      <w:r w:rsidRPr="00F07621">
        <w:t>];</w:t>
      </w:r>
      <w:proofErr w:type="gramEnd"/>
    </w:p>
    <w:p w14:paraId="0FE67C5E" w14:textId="6AE67DF5" w:rsidR="00045F79" w:rsidRPr="00F07621" w:rsidRDefault="00045F79" w:rsidP="00045F79">
      <w:pPr>
        <w:pStyle w:val="paragraph"/>
      </w:pPr>
      <w:r w:rsidRPr="00F07621">
        <w:tab/>
        <w:t>(c)</w:t>
      </w:r>
      <w:r w:rsidRPr="00F07621">
        <w:tab/>
        <w:t>for 20</w:t>
      </w:r>
      <w:r w:rsidR="00C755A1">
        <w:t>19</w:t>
      </w:r>
      <w:r w:rsidRPr="00F07621">
        <w:t>, work out 0.1 x [ARC + EMC + TPSL</w:t>
      </w:r>
      <w:proofErr w:type="gramStart"/>
      <w:r w:rsidRPr="00F07621">
        <w:t>];</w:t>
      </w:r>
      <w:proofErr w:type="gramEnd"/>
    </w:p>
    <w:p w14:paraId="183DCEE2" w14:textId="77777777" w:rsidR="00045F79" w:rsidRPr="00F07621" w:rsidRDefault="00045F79" w:rsidP="00045F79">
      <w:pPr>
        <w:pStyle w:val="subsection2"/>
      </w:pPr>
      <w:r w:rsidRPr="00F07621">
        <w:t>where:</w:t>
      </w:r>
    </w:p>
    <w:p w14:paraId="16367870" w14:textId="77777777" w:rsidR="00045F79" w:rsidRPr="00F07621" w:rsidRDefault="00045F79" w:rsidP="00045F79">
      <w:pPr>
        <w:pStyle w:val="Definition"/>
      </w:pPr>
      <w:r w:rsidRPr="00F07621">
        <w:rPr>
          <w:b/>
          <w:i/>
        </w:rPr>
        <w:t>ARC</w:t>
      </w:r>
      <w:r w:rsidRPr="00F07621">
        <w:t>, for a year, means:</w:t>
      </w:r>
    </w:p>
    <w:p w14:paraId="42B72D57" w14:textId="77777777" w:rsidR="00045F79" w:rsidRPr="00F07621" w:rsidRDefault="00045F79" w:rsidP="00045F79">
      <w:pPr>
        <w:pStyle w:val="paragraph"/>
      </w:pPr>
      <w:r w:rsidRPr="00F07621">
        <w:tab/>
        <w:t>(a)</w:t>
      </w:r>
      <w:r w:rsidRPr="00F07621">
        <w:tab/>
        <w:t>the number of days after the due date on which the annual registration charge for that year was received; or</w:t>
      </w:r>
    </w:p>
    <w:p w14:paraId="0853357B" w14:textId="77777777" w:rsidR="00045F79" w:rsidRPr="00F07621" w:rsidRDefault="00045F79" w:rsidP="00045F79">
      <w:pPr>
        <w:pStyle w:val="paragraph"/>
      </w:pPr>
      <w:r w:rsidRPr="00F07621">
        <w:tab/>
        <w:t>(b)</w:t>
      </w:r>
      <w:r w:rsidRPr="00F07621">
        <w:tab/>
        <w:t>if payment was received on or before the due date—zero.</w:t>
      </w:r>
    </w:p>
    <w:p w14:paraId="7B375F1C" w14:textId="2C4B5C2D" w:rsidR="00045F79" w:rsidRPr="00F07621" w:rsidRDefault="00045F79" w:rsidP="00045F79">
      <w:pPr>
        <w:pStyle w:val="Definition"/>
      </w:pPr>
      <w:r w:rsidRPr="00F07621">
        <w:rPr>
          <w:b/>
          <w:i/>
        </w:rPr>
        <w:t>EMC</w:t>
      </w:r>
      <w:r w:rsidRPr="00F07621">
        <w:t>, for a year, means:</w:t>
      </w:r>
    </w:p>
    <w:p w14:paraId="1648B48E" w14:textId="77777777" w:rsidR="00045F79" w:rsidRPr="00F07621" w:rsidRDefault="00045F79" w:rsidP="00045F79">
      <w:pPr>
        <w:pStyle w:val="paragraph"/>
      </w:pPr>
      <w:r w:rsidRPr="00F07621">
        <w:tab/>
        <w:t>(a)</w:t>
      </w:r>
      <w:r w:rsidRPr="00F07621">
        <w:tab/>
        <w:t>the number of days after the due date on which the entry to market charge for that year was received; or</w:t>
      </w:r>
    </w:p>
    <w:p w14:paraId="7E4356F7" w14:textId="77777777" w:rsidR="00045F79" w:rsidRPr="00F07621" w:rsidRDefault="00045F79" w:rsidP="00045F79">
      <w:pPr>
        <w:pStyle w:val="paragraph"/>
      </w:pPr>
      <w:r w:rsidRPr="00F07621">
        <w:tab/>
        <w:t>(b)</w:t>
      </w:r>
      <w:r w:rsidRPr="00F07621">
        <w:tab/>
        <w:t>if the payment was received on or before the due date—zero.</w:t>
      </w:r>
    </w:p>
    <w:p w14:paraId="786C4873" w14:textId="77777777" w:rsidR="00045F79" w:rsidRPr="00F07621" w:rsidRDefault="00045F79" w:rsidP="00045F79">
      <w:pPr>
        <w:pStyle w:val="Definition"/>
      </w:pPr>
      <w:r w:rsidRPr="00F07621">
        <w:rPr>
          <w:b/>
          <w:i/>
        </w:rPr>
        <w:t>TPSL</w:t>
      </w:r>
      <w:r w:rsidRPr="00F07621">
        <w:t>, for a year, means:</w:t>
      </w:r>
    </w:p>
    <w:p w14:paraId="6D245464" w14:textId="77777777" w:rsidR="00045F79" w:rsidRPr="00F07621" w:rsidRDefault="00045F79" w:rsidP="00045F79">
      <w:pPr>
        <w:pStyle w:val="paragraph"/>
      </w:pPr>
      <w:r w:rsidRPr="00F07621">
        <w:tab/>
        <w:t>(a)</w:t>
      </w:r>
      <w:r w:rsidRPr="00F07621">
        <w:tab/>
        <w:t>the number of days after the due date on which the TPS levy payable for that year was received; or</w:t>
      </w:r>
    </w:p>
    <w:p w14:paraId="25C680D5" w14:textId="77777777" w:rsidR="00045F79" w:rsidRPr="00F07621" w:rsidRDefault="00045F79" w:rsidP="00045F79">
      <w:pPr>
        <w:pStyle w:val="paragraph"/>
      </w:pPr>
      <w:r w:rsidRPr="00F07621">
        <w:tab/>
        <w:t>(b)</w:t>
      </w:r>
      <w:r w:rsidRPr="00F07621">
        <w:tab/>
        <w:t>if the TPS levy was received on or before the due date—zero.</w:t>
      </w:r>
    </w:p>
    <w:p w14:paraId="4B4932A3" w14:textId="1FF9F5A1" w:rsidR="00045F79" w:rsidRPr="00F07621" w:rsidRDefault="00045F79" w:rsidP="00045F79">
      <w:pPr>
        <w:pStyle w:val="ActHead5"/>
      </w:pPr>
      <w:bookmarkStart w:id="23" w:name="_Toc56611621"/>
      <w:bookmarkStart w:id="24" w:name="_Toc84947122"/>
      <w:proofErr w:type="gramStart"/>
      <w:r w:rsidRPr="00F07621">
        <w:rPr>
          <w:rStyle w:val="CharSectno"/>
        </w:rPr>
        <w:t>12</w:t>
      </w:r>
      <w:r w:rsidRPr="00F07621">
        <w:t xml:space="preserve">  Recalculation</w:t>
      </w:r>
      <w:proofErr w:type="gramEnd"/>
      <w:r w:rsidRPr="00F07621">
        <w:t xml:space="preserve"> of risk factors when registrations amalgamated and national registration on CRICOS is finalised during 202</w:t>
      </w:r>
      <w:r w:rsidR="00C755A1">
        <w:t>1</w:t>
      </w:r>
      <w:bookmarkEnd w:id="23"/>
      <w:bookmarkEnd w:id="24"/>
    </w:p>
    <w:p w14:paraId="52286716" w14:textId="77777777" w:rsidR="00045F79" w:rsidRPr="00F07621" w:rsidRDefault="00045F79" w:rsidP="00045F79">
      <w:pPr>
        <w:pStyle w:val="subsection"/>
      </w:pPr>
      <w:r w:rsidRPr="00F07621">
        <w:tab/>
        <w:t>(1)</w:t>
      </w:r>
      <w:r w:rsidRPr="00F07621">
        <w:tab/>
        <w:t>This section applies if a provider amalgamates 2 or more registrations on CRICOS into a single registration through the national registration process in 2020.</w:t>
      </w:r>
    </w:p>
    <w:p w14:paraId="7307A8F5" w14:textId="77777777" w:rsidR="00045F79" w:rsidRPr="00F07621" w:rsidRDefault="00045F79" w:rsidP="00045F79">
      <w:pPr>
        <w:pStyle w:val="notetext"/>
      </w:pPr>
      <w:r w:rsidRPr="00F07621">
        <w:t>Note:</w:t>
      </w:r>
      <w:r w:rsidRPr="00F07621">
        <w:tab/>
        <w:t xml:space="preserve">For the process to request amalgamation, see item 96 of Schedule 2 to the </w:t>
      </w:r>
      <w:r w:rsidRPr="00F07621">
        <w:rPr>
          <w:i/>
        </w:rPr>
        <w:t>Education Services for Overseas Students Legislation Amendment (Tuition Protection Service and Other Measures) Act 2012</w:t>
      </w:r>
      <w:r w:rsidRPr="00F07621">
        <w:t>.</w:t>
      </w:r>
    </w:p>
    <w:p w14:paraId="07E9A369" w14:textId="77777777" w:rsidR="00045F79" w:rsidRPr="00F07621" w:rsidRDefault="00045F79" w:rsidP="00045F79">
      <w:pPr>
        <w:pStyle w:val="subsection"/>
        <w:rPr>
          <w:rFonts w:ascii="Calibri" w:eastAsiaTheme="minorHAnsi" w:hAnsi="Calibri"/>
          <w:sz w:val="20"/>
        </w:rPr>
      </w:pPr>
      <w:r w:rsidRPr="00F07621">
        <w:tab/>
        <w:t>(2)</w:t>
      </w:r>
      <w:r w:rsidRPr="00F07621">
        <w:tab/>
        <w:t>If this section applies to a provider, the provider’s risk factors in sections 7 to 11 are to be recalculated as applicable:</w:t>
      </w:r>
    </w:p>
    <w:p w14:paraId="292EB5E8" w14:textId="77777777" w:rsidR="00045F79" w:rsidRPr="00F07621" w:rsidRDefault="00045F79" w:rsidP="00045F79">
      <w:pPr>
        <w:pStyle w:val="paragraph"/>
        <w:rPr>
          <w:rFonts w:eastAsiaTheme="minorHAnsi"/>
        </w:rPr>
      </w:pPr>
      <w:r w:rsidRPr="00F07621">
        <w:tab/>
      </w:r>
      <w:r w:rsidRPr="00F07621">
        <w:rPr>
          <w:rFonts w:eastAsiaTheme="minorHAnsi"/>
        </w:rPr>
        <w:t>(a)</w:t>
      </w:r>
      <w:r w:rsidRPr="00F07621">
        <w:rPr>
          <w:rFonts w:eastAsiaTheme="minorHAnsi"/>
        </w:rPr>
        <w:tab/>
        <w:t>the risk factor length of operation is to be calculated in respect of the resultant amalgamated registration for the period:</w:t>
      </w:r>
    </w:p>
    <w:p w14:paraId="0005590E" w14:textId="77777777" w:rsidR="00045F79" w:rsidRPr="00F07621" w:rsidRDefault="00045F79" w:rsidP="00045F79">
      <w:pPr>
        <w:pStyle w:val="paragraphsub"/>
        <w:rPr>
          <w:rFonts w:eastAsiaTheme="minorHAnsi"/>
        </w:rPr>
      </w:pPr>
      <w:r w:rsidRPr="00F07621">
        <w:rPr>
          <w:rFonts w:eastAsiaTheme="minorHAnsi"/>
        </w:rPr>
        <w:tab/>
        <w:t>(</w:t>
      </w:r>
      <w:proofErr w:type="spellStart"/>
      <w:r w:rsidRPr="00F07621">
        <w:rPr>
          <w:rFonts w:eastAsiaTheme="minorHAnsi"/>
        </w:rPr>
        <w:t>i</w:t>
      </w:r>
      <w:proofErr w:type="spellEnd"/>
      <w:r w:rsidRPr="00F07621">
        <w:rPr>
          <w:rFonts w:eastAsiaTheme="minorHAnsi"/>
        </w:rPr>
        <w:t>)</w:t>
      </w:r>
      <w:r w:rsidRPr="00F07621">
        <w:rPr>
          <w:rFonts w:eastAsiaTheme="minorHAnsi"/>
        </w:rPr>
        <w:tab/>
        <w:t>beginning at the start of the longest</w:t>
      </w:r>
      <w:r w:rsidRPr="00F07621">
        <w:rPr>
          <w:rFonts w:eastAsiaTheme="minorHAnsi"/>
        </w:rPr>
        <w:noBreakHyphen/>
        <w:t>running registration in the amalgamation; and</w:t>
      </w:r>
    </w:p>
    <w:p w14:paraId="68362468" w14:textId="05F5EA15" w:rsidR="00045F79" w:rsidRPr="00F07621" w:rsidRDefault="00045F79" w:rsidP="00045F79">
      <w:pPr>
        <w:pStyle w:val="paragraphsub"/>
        <w:rPr>
          <w:rFonts w:eastAsiaTheme="minorHAnsi"/>
        </w:rPr>
      </w:pPr>
      <w:r w:rsidRPr="00F07621">
        <w:rPr>
          <w:rFonts w:eastAsiaTheme="minorHAnsi"/>
        </w:rPr>
        <w:tab/>
        <w:t>(ii)</w:t>
      </w:r>
      <w:r w:rsidRPr="00F07621">
        <w:rPr>
          <w:rFonts w:eastAsiaTheme="minorHAnsi"/>
        </w:rPr>
        <w:tab/>
        <w:t xml:space="preserve">ending on 31 December </w:t>
      </w:r>
      <w:proofErr w:type="gramStart"/>
      <w:r w:rsidRPr="00F07621">
        <w:rPr>
          <w:rFonts w:eastAsiaTheme="minorHAnsi"/>
        </w:rPr>
        <w:t>202</w:t>
      </w:r>
      <w:r w:rsidR="00C755A1">
        <w:rPr>
          <w:rFonts w:eastAsiaTheme="minorHAnsi"/>
        </w:rPr>
        <w:t>1</w:t>
      </w:r>
      <w:r w:rsidRPr="00F07621">
        <w:rPr>
          <w:rFonts w:eastAsiaTheme="minorHAnsi"/>
        </w:rPr>
        <w:t>;</w:t>
      </w:r>
      <w:proofErr w:type="gramEnd"/>
    </w:p>
    <w:p w14:paraId="001F9E13" w14:textId="77777777" w:rsidR="00045F79" w:rsidRPr="00F07621" w:rsidRDefault="00045F79" w:rsidP="00045F79">
      <w:pPr>
        <w:pStyle w:val="paragraph"/>
        <w:rPr>
          <w:rFonts w:eastAsiaTheme="minorHAnsi"/>
        </w:rPr>
      </w:pPr>
      <w:r w:rsidRPr="00F07621">
        <w:rPr>
          <w:rFonts w:eastAsiaTheme="minorHAnsi"/>
        </w:rPr>
        <w:tab/>
        <w:t>(b)</w:t>
      </w:r>
      <w:r w:rsidRPr="00F07621">
        <w:rPr>
          <w:rFonts w:eastAsiaTheme="minorHAnsi"/>
        </w:rPr>
        <w:tab/>
        <w:t xml:space="preserve">the risk factor volatility in overseas student enrolments is to be calculated using subsections 9(4) to 9(5), but treating the number of overseas student enrolments for a year as the sum of student enrolments for all registrations in that year that were amalgamated into the single </w:t>
      </w:r>
      <w:proofErr w:type="gramStart"/>
      <w:r w:rsidRPr="00F07621">
        <w:rPr>
          <w:rFonts w:eastAsiaTheme="minorHAnsi"/>
        </w:rPr>
        <w:t>registration;</w:t>
      </w:r>
      <w:proofErr w:type="gramEnd"/>
    </w:p>
    <w:p w14:paraId="57FFFCA4" w14:textId="77777777" w:rsidR="00045F79" w:rsidRPr="00F07621" w:rsidRDefault="00045F79" w:rsidP="00045F79">
      <w:pPr>
        <w:pStyle w:val="paragraph"/>
        <w:rPr>
          <w:rFonts w:eastAsiaTheme="minorHAnsi"/>
        </w:rPr>
      </w:pPr>
      <w:r w:rsidRPr="00F07621">
        <w:rPr>
          <w:rFonts w:eastAsiaTheme="minorHAnsi"/>
        </w:rPr>
        <w:tab/>
        <w:t>(c)</w:t>
      </w:r>
      <w:r w:rsidRPr="00F07621">
        <w:rPr>
          <w:rFonts w:eastAsiaTheme="minorHAnsi"/>
        </w:rPr>
        <w:tab/>
        <w:t>the risk factor maximum overseas students source country concentration is to be calculated using subsection 10(3), as follows:</w:t>
      </w:r>
    </w:p>
    <w:p w14:paraId="128C1332" w14:textId="77777777" w:rsidR="00045F79" w:rsidRPr="00F07621" w:rsidRDefault="00045F79" w:rsidP="00045F79">
      <w:pPr>
        <w:pStyle w:val="paragraphsub"/>
      </w:pPr>
      <w:r w:rsidRPr="00F07621">
        <w:tab/>
        <w:t>(</w:t>
      </w:r>
      <w:proofErr w:type="spellStart"/>
      <w:r w:rsidRPr="00F07621">
        <w:t>i</w:t>
      </w:r>
      <w:proofErr w:type="spellEnd"/>
      <w:r w:rsidRPr="00F07621">
        <w:t>)</w:t>
      </w:r>
      <w:r w:rsidRPr="00F07621">
        <w:tab/>
        <w:t xml:space="preserve">the number of enrolments for each overseas source country is to be calculated as the sum of the enrolments for that overseas source country with each of the registrations that were amalgamated into the single </w:t>
      </w:r>
      <w:proofErr w:type="gramStart"/>
      <w:r w:rsidRPr="00F07621">
        <w:t>registration;</w:t>
      </w:r>
      <w:proofErr w:type="gramEnd"/>
    </w:p>
    <w:p w14:paraId="22C93171" w14:textId="77777777" w:rsidR="00045F79" w:rsidRPr="00F07621" w:rsidRDefault="00045F79" w:rsidP="00045F79">
      <w:pPr>
        <w:pStyle w:val="paragraphsub"/>
      </w:pPr>
      <w:r w:rsidRPr="00F07621">
        <w:lastRenderedPageBreak/>
        <w:tab/>
        <w:t>(ii)</w:t>
      </w:r>
      <w:r w:rsidRPr="00F07621">
        <w:tab/>
        <w:t xml:space="preserve">the total number of enrolments is to be calculated as the sum of the total number of enrolments for all registrations that were amalgamated into the single </w:t>
      </w:r>
      <w:proofErr w:type="gramStart"/>
      <w:r w:rsidRPr="00F07621">
        <w:t>registration;</w:t>
      </w:r>
      <w:proofErr w:type="gramEnd"/>
    </w:p>
    <w:p w14:paraId="1B7A9272" w14:textId="7C620715" w:rsidR="00045F79" w:rsidRPr="00F07621" w:rsidRDefault="00045F79" w:rsidP="00045F79">
      <w:pPr>
        <w:pStyle w:val="paragraph"/>
        <w:rPr>
          <w:rFonts w:eastAsiaTheme="minorHAnsi"/>
        </w:rPr>
      </w:pPr>
      <w:r w:rsidRPr="00F07621">
        <w:rPr>
          <w:rFonts w:eastAsiaTheme="minorHAnsi"/>
        </w:rPr>
        <w:tab/>
        <w:t>(d)</w:t>
      </w:r>
      <w:r w:rsidRPr="00F07621">
        <w:rPr>
          <w:rFonts w:eastAsiaTheme="minorHAnsi"/>
        </w:rPr>
        <w:tab/>
        <w:t xml:space="preserve">the risk factor non-compliance and registration renewal </w:t>
      </w:r>
      <w:proofErr w:type="gramStart"/>
      <w:r w:rsidRPr="00F07621">
        <w:rPr>
          <w:rFonts w:eastAsiaTheme="minorHAnsi"/>
        </w:rPr>
        <w:t>is</w:t>
      </w:r>
      <w:proofErr w:type="gramEnd"/>
      <w:r w:rsidRPr="00F07621">
        <w:rPr>
          <w:rFonts w:eastAsiaTheme="minorHAnsi"/>
        </w:rPr>
        <w:t xml:space="preserve"> to be calculated for the resultant amalgamated registration in respect to the weighted late payment measure and </w:t>
      </w:r>
      <w:r w:rsidRPr="00F07621">
        <w:t>actions under section 83 of the ESOS Act for the provider, in the 202</w:t>
      </w:r>
      <w:r w:rsidR="00C755A1">
        <w:t>1</w:t>
      </w:r>
      <w:r w:rsidRPr="00F07621">
        <w:t xml:space="preserve"> year</w:t>
      </w:r>
      <w:r w:rsidRPr="00F07621">
        <w:rPr>
          <w:rFonts w:eastAsiaTheme="minorHAnsi"/>
        </w:rPr>
        <w:t xml:space="preserve">; </w:t>
      </w:r>
    </w:p>
    <w:p w14:paraId="4850E373" w14:textId="5CE239C3" w:rsidR="00045F79" w:rsidRPr="00F07621" w:rsidRDefault="00045F79" w:rsidP="00045F79">
      <w:pPr>
        <w:pStyle w:val="paragraph"/>
        <w:rPr>
          <w:rFonts w:eastAsiaTheme="minorHAnsi"/>
        </w:rPr>
      </w:pPr>
      <w:r w:rsidRPr="00F07621">
        <w:rPr>
          <w:rFonts w:eastAsiaTheme="minorHAnsi"/>
        </w:rPr>
        <w:tab/>
        <w:t>(e)</w:t>
      </w:r>
      <w:r w:rsidRPr="00F07621">
        <w:rPr>
          <w:rFonts w:eastAsiaTheme="minorHAnsi"/>
        </w:rPr>
        <w:tab/>
        <w:t>the overseas students’ tuition fee income for 202</w:t>
      </w:r>
      <w:r w:rsidR="00C755A1">
        <w:rPr>
          <w:rFonts w:eastAsiaTheme="minorHAnsi"/>
        </w:rPr>
        <w:t>1</w:t>
      </w:r>
      <w:r w:rsidRPr="00F07621">
        <w:rPr>
          <w:rFonts w:eastAsiaTheme="minorHAnsi"/>
        </w:rPr>
        <w:t xml:space="preserve"> is to be calculated as the sum of the overseas students’ tuition fee income for the courses in relation to all registrations that were amalgamated into the single registration.</w:t>
      </w:r>
    </w:p>
    <w:p w14:paraId="55CFAC97" w14:textId="77777777" w:rsidR="00CE452C" w:rsidRPr="00B25306" w:rsidRDefault="00CE452C" w:rsidP="00B25306">
      <w:pPr>
        <w:pStyle w:val="paragraphsub"/>
      </w:pPr>
    </w:p>
    <w:p w14:paraId="302DD6F4" w14:textId="77777777" w:rsidR="00CE452C" w:rsidRPr="00F07621" w:rsidRDefault="00CE452C" w:rsidP="00CE452C">
      <w:pPr>
        <w:pStyle w:val="ActHead2"/>
        <w:pageBreakBefore/>
      </w:pPr>
      <w:bookmarkStart w:id="25" w:name="_Toc56611622"/>
      <w:bookmarkStart w:id="26" w:name="_Toc84947123"/>
      <w:r w:rsidRPr="00F07621">
        <w:rPr>
          <w:rStyle w:val="CharPartNo"/>
        </w:rPr>
        <w:lastRenderedPageBreak/>
        <w:t>Part 3</w:t>
      </w:r>
      <w:r w:rsidRPr="00F07621">
        <w:t>—</w:t>
      </w:r>
      <w:r w:rsidRPr="00F07621">
        <w:rPr>
          <w:rStyle w:val="CharPartText"/>
        </w:rPr>
        <w:t>Special tuition protection component</w:t>
      </w:r>
      <w:bookmarkEnd w:id="25"/>
      <w:bookmarkEnd w:id="26"/>
    </w:p>
    <w:p w14:paraId="699C17B2" w14:textId="77777777" w:rsidR="00CE452C" w:rsidRPr="00F07621" w:rsidRDefault="00CE452C" w:rsidP="00CE452C">
      <w:pPr>
        <w:pStyle w:val="Header"/>
      </w:pPr>
      <w:r w:rsidRPr="00F07621">
        <w:rPr>
          <w:rStyle w:val="CharDivNo"/>
        </w:rPr>
        <w:t xml:space="preserve"> </w:t>
      </w:r>
      <w:r w:rsidRPr="00F07621">
        <w:rPr>
          <w:rStyle w:val="CharDivText"/>
        </w:rPr>
        <w:t xml:space="preserve"> </w:t>
      </w:r>
    </w:p>
    <w:p w14:paraId="2445E554" w14:textId="77777777" w:rsidR="00CE452C" w:rsidRPr="00F07621" w:rsidRDefault="00CE452C" w:rsidP="00CE452C">
      <w:pPr>
        <w:pStyle w:val="ActHead5"/>
      </w:pPr>
      <w:bookmarkStart w:id="27" w:name="_Toc56611623"/>
      <w:bookmarkStart w:id="28" w:name="_Toc84947124"/>
      <w:proofErr w:type="gramStart"/>
      <w:r w:rsidRPr="00F07621">
        <w:rPr>
          <w:rStyle w:val="CharSectno"/>
        </w:rPr>
        <w:t>13</w:t>
      </w:r>
      <w:r w:rsidRPr="00F07621">
        <w:t xml:space="preserve">  Special</w:t>
      </w:r>
      <w:proofErr w:type="gramEnd"/>
      <w:r w:rsidRPr="00F07621">
        <w:t xml:space="preserve"> tuition protection component</w:t>
      </w:r>
      <w:bookmarkEnd w:id="27"/>
      <w:bookmarkEnd w:id="28"/>
    </w:p>
    <w:p w14:paraId="287B7CF1" w14:textId="4A54A5B3" w:rsidR="00CE452C" w:rsidRPr="00F07621" w:rsidRDefault="00CE452C" w:rsidP="00CE452C">
      <w:pPr>
        <w:pStyle w:val="subsection"/>
      </w:pPr>
      <w:r w:rsidRPr="00F07621">
        <w:tab/>
      </w:r>
      <w:r w:rsidRPr="00F07621">
        <w:tab/>
        <w:t xml:space="preserve">For the purposes of subsection 10(2) of the </w:t>
      </w:r>
      <w:r w:rsidRPr="00F07621">
        <w:rPr>
          <w:iCs/>
        </w:rPr>
        <w:t>ESOS (TPS Levies) Act,</w:t>
      </w:r>
      <w:r w:rsidRPr="00F07621">
        <w:t xml:space="preserve"> the specified percentage for 202</w:t>
      </w:r>
      <w:r w:rsidR="00C755A1">
        <w:t>1</w:t>
      </w:r>
      <w:r w:rsidRPr="00F07621">
        <w:t xml:space="preserve"> is 0.</w:t>
      </w:r>
    </w:p>
    <w:p w14:paraId="24CB0208" w14:textId="77777777" w:rsidR="00554826" w:rsidRDefault="00554826" w:rsidP="00554826">
      <w:pPr>
        <w:spacing w:line="240" w:lineRule="auto"/>
        <w:rPr>
          <w:rFonts w:eastAsia="Times New Roman" w:cs="Times New Roman"/>
          <w:lang w:eastAsia="en-AU"/>
        </w:rPr>
      </w:pPr>
      <w:r>
        <w:br w:type="page"/>
      </w:r>
    </w:p>
    <w:p w14:paraId="1B19A34F" w14:textId="77777777" w:rsidR="00D6537E" w:rsidRPr="004E1307" w:rsidRDefault="004E1307" w:rsidP="00D6537E">
      <w:pPr>
        <w:pStyle w:val="ActHead6"/>
      </w:pPr>
      <w:bookmarkStart w:id="29" w:name="_Toc84947125"/>
      <w:r>
        <w:lastRenderedPageBreak/>
        <w:t xml:space="preserve">Schedule </w:t>
      </w:r>
      <w:r w:rsidR="00D6537E" w:rsidRPr="004E1307">
        <w:t>1—Repeals</w:t>
      </w:r>
      <w:bookmarkEnd w:id="29"/>
    </w:p>
    <w:p w14:paraId="419ABC3B" w14:textId="04540B8B" w:rsidR="00D6537E" w:rsidRPr="00D6537E" w:rsidRDefault="00CE452C" w:rsidP="00CE452C">
      <w:pPr>
        <w:pStyle w:val="ActHead9"/>
        <w:ind w:left="0" w:firstLine="0"/>
      </w:pPr>
      <w:bookmarkStart w:id="30" w:name="_Toc84947126"/>
      <w:r w:rsidRPr="00CE452C">
        <w:t>Education Services for Overseas Students (TPS Levies) (Risk Rated Premium and Special Tuition Protection Components) Instrument 2020</w:t>
      </w:r>
      <w:bookmarkEnd w:id="30"/>
    </w:p>
    <w:p w14:paraId="6833F58E" w14:textId="77777777" w:rsidR="00D6537E" w:rsidRDefault="00D6537E" w:rsidP="00D6537E">
      <w:pPr>
        <w:pStyle w:val="ItemHead"/>
      </w:pPr>
      <w:proofErr w:type="gramStart"/>
      <w:r w:rsidRPr="00B1728A">
        <w:t xml:space="preserve">1  </w:t>
      </w:r>
      <w:r w:rsidR="00BB1533">
        <w:t>The</w:t>
      </w:r>
      <w:proofErr w:type="gramEnd"/>
      <w:r w:rsidR="00BB1533">
        <w:t xml:space="preserve"> w</w:t>
      </w:r>
      <w:r>
        <w:t>hole of the instrument</w:t>
      </w:r>
    </w:p>
    <w:p w14:paraId="2C60256C" w14:textId="77777777" w:rsidR="004E1307" w:rsidRDefault="00D6537E" w:rsidP="00D6537E">
      <w:pPr>
        <w:pStyle w:val="Item"/>
      </w:pPr>
      <w:r>
        <w:t>Repeal the instrument</w:t>
      </w:r>
    </w:p>
    <w:p w14:paraId="7F887C18" w14:textId="77777777" w:rsidR="00554826" w:rsidRPr="00554826" w:rsidRDefault="00554826" w:rsidP="00554826"/>
    <w:p w14:paraId="5539BF58" w14:textId="34ED4DE1" w:rsidR="00A75FE9" w:rsidRDefault="00A75FE9" w:rsidP="00A86729">
      <w:pPr>
        <w:spacing w:line="240" w:lineRule="auto"/>
      </w:pPr>
    </w:p>
    <w:sectPr w:rsidR="00A75FE9" w:rsidSect="008C2EAC">
      <w:headerReference w:type="even" r:id="rId22"/>
      <w:headerReference w:type="default" r:id="rId23"/>
      <w:footerReference w:type="even" r:id="rId24"/>
      <w:footerReference w:type="default" r:id="rId25"/>
      <w:pgSz w:w="11907" w:h="16839" w:code="9"/>
      <w:pgMar w:top="2234" w:right="1797" w:bottom="1440" w:left="1797" w:header="720"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F90A8C" w14:textId="77777777" w:rsidR="00CC18B3" w:rsidRDefault="00CC18B3" w:rsidP="00715914">
      <w:pPr>
        <w:spacing w:line="240" w:lineRule="auto"/>
      </w:pPr>
      <w:r>
        <w:separator/>
      </w:r>
    </w:p>
  </w:endnote>
  <w:endnote w:type="continuationSeparator" w:id="0">
    <w:p w14:paraId="78BAA3DC" w14:textId="77777777" w:rsidR="00CC18B3" w:rsidRDefault="00CC18B3" w:rsidP="007159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embedRegular r:id="rId1" w:fontKey="{7F76292A-FA8B-4AE4-A118-17DB207A270C}"/>
    <w:embedItalic r:id="rId2" w:fontKey="{FC149A53-D489-4AB7-860A-3DBA75D88B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626DBD" w14:textId="77777777" w:rsidR="00CC18B3" w:rsidRPr="00E33C1C" w:rsidRDefault="00CC18B3" w:rsidP="00D6537E">
    <w:pPr>
      <w:pBdr>
        <w:top w:val="single" w:sz="6" w:space="1" w:color="auto"/>
      </w:pBdr>
      <w:spacing w:before="120" w:line="0" w:lineRule="atLeast"/>
      <w:rPr>
        <w:sz w:val="16"/>
        <w:szCs w:val="16"/>
      </w:rPr>
    </w:pPr>
  </w:p>
  <w:tbl>
    <w:tblPr>
      <w:tblStyle w:val="TableGrid"/>
      <w:tblW w:w="0" w:type="auto"/>
      <w:tblLayout w:type="fixed"/>
      <w:tblLook w:val="04A0" w:firstRow="1" w:lastRow="0" w:firstColumn="1" w:lastColumn="0" w:noHBand="0" w:noVBand="1"/>
    </w:tblPr>
    <w:tblGrid>
      <w:gridCol w:w="709"/>
      <w:gridCol w:w="6379"/>
      <w:gridCol w:w="1384"/>
    </w:tblGrid>
    <w:tr w:rsidR="00CC18B3" w14:paraId="45EA1658" w14:textId="77777777" w:rsidTr="00B33709">
      <w:tc>
        <w:tcPr>
          <w:tcW w:w="709" w:type="dxa"/>
          <w:tcBorders>
            <w:top w:val="nil"/>
            <w:left w:val="nil"/>
            <w:bottom w:val="nil"/>
            <w:right w:val="nil"/>
          </w:tcBorders>
        </w:tcPr>
        <w:p w14:paraId="5C18D6F5" w14:textId="77777777" w:rsidR="00CC18B3" w:rsidRDefault="00CC18B3" w:rsidP="00A369E3">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i</w:t>
          </w:r>
          <w:r w:rsidRPr="00ED79B6">
            <w:rPr>
              <w:i/>
              <w:sz w:val="18"/>
            </w:rPr>
            <w:fldChar w:fldCharType="end"/>
          </w:r>
        </w:p>
      </w:tc>
      <w:tc>
        <w:tcPr>
          <w:tcW w:w="6379" w:type="dxa"/>
          <w:tcBorders>
            <w:top w:val="nil"/>
            <w:left w:val="nil"/>
            <w:bottom w:val="nil"/>
            <w:right w:val="nil"/>
          </w:tcBorders>
        </w:tcPr>
        <w:p w14:paraId="3FFB530A" w14:textId="77777777" w:rsidR="00CC18B3" w:rsidRPr="004E1307" w:rsidRDefault="00CC18B3" w:rsidP="00A369E3">
          <w:pPr>
            <w:spacing w:line="0" w:lineRule="atLeast"/>
            <w:jc w:val="center"/>
            <w:rPr>
              <w:i/>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Pr>
              <w:i/>
              <w:noProof/>
              <w:sz w:val="18"/>
            </w:rPr>
            <w:t>Act Name (Subject Matter) Kind of Instrument Year</w:t>
          </w:r>
          <w:r w:rsidRPr="004E1307">
            <w:rPr>
              <w:i/>
              <w:sz w:val="18"/>
            </w:rPr>
            <w:fldChar w:fldCharType="end"/>
          </w:r>
        </w:p>
      </w:tc>
      <w:tc>
        <w:tcPr>
          <w:tcW w:w="1383" w:type="dxa"/>
          <w:tcBorders>
            <w:top w:val="nil"/>
            <w:left w:val="nil"/>
            <w:bottom w:val="nil"/>
            <w:right w:val="nil"/>
          </w:tcBorders>
        </w:tcPr>
        <w:p w14:paraId="27AD7EE6" w14:textId="77777777" w:rsidR="00CC18B3" w:rsidRDefault="00CC18B3" w:rsidP="00A369E3">
          <w:pPr>
            <w:spacing w:line="0" w:lineRule="atLeast"/>
            <w:jc w:val="right"/>
            <w:rPr>
              <w:sz w:val="18"/>
            </w:rPr>
          </w:pPr>
        </w:p>
      </w:tc>
    </w:tr>
    <w:tr w:rsidR="00CC18B3" w14:paraId="7367B1B4" w14:textId="77777777" w:rsidTr="00B337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72" w:type="dxa"/>
          <w:gridSpan w:val="3"/>
        </w:tcPr>
        <w:p w14:paraId="4068112D" w14:textId="77777777" w:rsidR="00CC18B3" w:rsidRDefault="00CC18B3" w:rsidP="00A369E3">
          <w:pPr>
            <w:jc w:val="right"/>
            <w:rPr>
              <w:sz w:val="18"/>
            </w:rPr>
          </w:pPr>
        </w:p>
      </w:tc>
    </w:tr>
  </w:tbl>
  <w:p w14:paraId="6C1935BB" w14:textId="77777777" w:rsidR="00CC18B3" w:rsidRPr="00ED79B6" w:rsidRDefault="00CC18B3" w:rsidP="007500C8">
    <w:pPr>
      <w:rPr>
        <w:i/>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55E0A3" w14:textId="77777777" w:rsidR="00CC18B3" w:rsidRPr="00E33C1C" w:rsidRDefault="00CC18B3" w:rsidP="00D6537E">
    <w:pPr>
      <w:pBdr>
        <w:top w:val="single" w:sz="6" w:space="1" w:color="auto"/>
      </w:pBdr>
      <w:spacing w:before="120" w:line="0" w:lineRule="atLeast"/>
      <w:rPr>
        <w:sz w:val="16"/>
        <w:szCs w:val="16"/>
      </w:rPr>
    </w:pPr>
  </w:p>
  <w:tbl>
    <w:tblPr>
      <w:tblStyle w:val="TableGrid"/>
      <w:tblW w:w="0" w:type="auto"/>
      <w:tblLook w:val="04A0" w:firstRow="1" w:lastRow="0" w:firstColumn="1" w:lastColumn="0" w:noHBand="0" w:noVBand="1"/>
    </w:tblPr>
    <w:tblGrid>
      <w:gridCol w:w="1357"/>
      <w:gridCol w:w="6256"/>
      <w:gridCol w:w="700"/>
    </w:tblGrid>
    <w:tr w:rsidR="00CC18B3" w14:paraId="7AD1C763" w14:textId="77777777" w:rsidTr="00A369E3">
      <w:tc>
        <w:tcPr>
          <w:tcW w:w="1384" w:type="dxa"/>
          <w:tcBorders>
            <w:top w:val="nil"/>
            <w:left w:val="nil"/>
            <w:bottom w:val="nil"/>
            <w:right w:val="nil"/>
          </w:tcBorders>
        </w:tcPr>
        <w:p w14:paraId="77979298" w14:textId="77777777" w:rsidR="00CC18B3" w:rsidRDefault="00CC18B3" w:rsidP="00A369E3">
          <w:pPr>
            <w:spacing w:line="0" w:lineRule="atLeast"/>
            <w:rPr>
              <w:sz w:val="18"/>
            </w:rPr>
          </w:pPr>
        </w:p>
      </w:tc>
      <w:tc>
        <w:tcPr>
          <w:tcW w:w="6379" w:type="dxa"/>
          <w:tcBorders>
            <w:top w:val="nil"/>
            <w:left w:val="nil"/>
            <w:bottom w:val="nil"/>
            <w:right w:val="nil"/>
          </w:tcBorders>
        </w:tcPr>
        <w:p w14:paraId="0CDFD911" w14:textId="77777777" w:rsidR="00CC18B3" w:rsidRDefault="00CC18B3" w:rsidP="00A369E3">
          <w:pPr>
            <w:spacing w:line="0" w:lineRule="atLeast"/>
            <w:jc w:val="center"/>
            <w:rPr>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Pr>
              <w:i/>
              <w:noProof/>
              <w:sz w:val="18"/>
            </w:rPr>
            <w:t>Act Name (Subject Matter) Kind of Instrument Year</w:t>
          </w:r>
          <w:r w:rsidRPr="004E1307">
            <w:rPr>
              <w:i/>
              <w:sz w:val="18"/>
            </w:rPr>
            <w:fldChar w:fldCharType="end"/>
          </w:r>
        </w:p>
      </w:tc>
      <w:tc>
        <w:tcPr>
          <w:tcW w:w="709" w:type="dxa"/>
          <w:tcBorders>
            <w:top w:val="nil"/>
            <w:left w:val="nil"/>
            <w:bottom w:val="nil"/>
            <w:right w:val="nil"/>
          </w:tcBorders>
        </w:tcPr>
        <w:p w14:paraId="029720CB" w14:textId="77777777" w:rsidR="00CC18B3" w:rsidRDefault="00CC18B3" w:rsidP="00A369E3">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1</w:t>
          </w:r>
          <w:r w:rsidRPr="00ED79B6">
            <w:rPr>
              <w:i/>
              <w:sz w:val="18"/>
            </w:rPr>
            <w:fldChar w:fldCharType="end"/>
          </w:r>
        </w:p>
      </w:tc>
    </w:tr>
    <w:tr w:rsidR="00CC18B3" w14:paraId="5B32F2B6" w14:textId="77777777" w:rsidTr="00A36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72" w:type="dxa"/>
          <w:gridSpan w:val="3"/>
        </w:tcPr>
        <w:p w14:paraId="5CDB1149" w14:textId="77777777" w:rsidR="00CC18B3" w:rsidRDefault="00CC18B3" w:rsidP="00A369E3">
          <w:pPr>
            <w:rPr>
              <w:sz w:val="18"/>
            </w:rPr>
          </w:pPr>
        </w:p>
      </w:tc>
    </w:tr>
  </w:tbl>
  <w:p w14:paraId="4C961E1D" w14:textId="77777777" w:rsidR="00CC18B3" w:rsidRPr="00ED79B6" w:rsidRDefault="00CC18B3" w:rsidP="00472DBE">
    <w:pPr>
      <w:rPr>
        <w:i/>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C483D3" w14:textId="77777777" w:rsidR="00CC18B3" w:rsidRPr="00E33C1C" w:rsidRDefault="00CC18B3" w:rsidP="00F6696E">
    <w:pPr>
      <w:spacing w:line="0" w:lineRule="atLeast"/>
      <w:rPr>
        <w:sz w:val="16"/>
        <w:szCs w:val="16"/>
      </w:rPr>
    </w:pPr>
  </w:p>
  <w:tbl>
    <w:tblPr>
      <w:tblStyle w:val="TableGrid"/>
      <w:tblW w:w="0" w:type="auto"/>
      <w:tblLook w:val="04A0" w:firstRow="1" w:lastRow="0" w:firstColumn="1" w:lastColumn="0" w:noHBand="0" w:noVBand="1"/>
    </w:tblPr>
    <w:tblGrid>
      <w:gridCol w:w="1360"/>
      <w:gridCol w:w="6254"/>
      <w:gridCol w:w="699"/>
    </w:tblGrid>
    <w:tr w:rsidR="00CC18B3" w14:paraId="4BA7FAB8" w14:textId="77777777" w:rsidTr="00B33709">
      <w:tc>
        <w:tcPr>
          <w:tcW w:w="1384" w:type="dxa"/>
          <w:tcBorders>
            <w:top w:val="nil"/>
            <w:left w:val="nil"/>
            <w:bottom w:val="nil"/>
            <w:right w:val="nil"/>
          </w:tcBorders>
        </w:tcPr>
        <w:p w14:paraId="35021BEE" w14:textId="77777777" w:rsidR="00CC18B3" w:rsidRDefault="00CC18B3" w:rsidP="00A369E3">
          <w:pPr>
            <w:spacing w:line="0" w:lineRule="atLeast"/>
            <w:rPr>
              <w:sz w:val="18"/>
            </w:rPr>
          </w:pPr>
        </w:p>
      </w:tc>
      <w:tc>
        <w:tcPr>
          <w:tcW w:w="6379" w:type="dxa"/>
          <w:tcBorders>
            <w:top w:val="nil"/>
            <w:left w:val="nil"/>
            <w:bottom w:val="nil"/>
            <w:right w:val="nil"/>
          </w:tcBorders>
        </w:tcPr>
        <w:p w14:paraId="2CF650FB" w14:textId="77777777" w:rsidR="00CC18B3" w:rsidRDefault="00CC18B3" w:rsidP="00A369E3">
          <w:pPr>
            <w:spacing w:line="0" w:lineRule="atLeast"/>
            <w:jc w:val="center"/>
            <w:rPr>
              <w:sz w:val="18"/>
            </w:rPr>
          </w:pPr>
        </w:p>
      </w:tc>
      <w:tc>
        <w:tcPr>
          <w:tcW w:w="709" w:type="dxa"/>
          <w:tcBorders>
            <w:top w:val="nil"/>
            <w:left w:val="nil"/>
            <w:bottom w:val="nil"/>
            <w:right w:val="nil"/>
          </w:tcBorders>
        </w:tcPr>
        <w:p w14:paraId="008D66A8" w14:textId="77777777" w:rsidR="00CC18B3" w:rsidRDefault="00CC18B3" w:rsidP="00A369E3">
          <w:pPr>
            <w:spacing w:line="0" w:lineRule="atLeast"/>
            <w:jc w:val="right"/>
            <w:rPr>
              <w:sz w:val="18"/>
            </w:rPr>
          </w:pPr>
        </w:p>
      </w:tc>
    </w:tr>
  </w:tbl>
  <w:p w14:paraId="064A4DD3" w14:textId="77777777" w:rsidR="00CC18B3" w:rsidRPr="00ED79B6" w:rsidRDefault="00CC18B3" w:rsidP="007500C8">
    <w:pPr>
      <w:rPr>
        <w:i/>
        <w:sz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69F34D" w14:textId="77777777" w:rsidR="00CC18B3" w:rsidRPr="002B0EA5" w:rsidRDefault="00CC18B3" w:rsidP="00045F79">
    <w:pPr>
      <w:pBdr>
        <w:top w:val="single" w:sz="6" w:space="1" w:color="auto"/>
      </w:pBdr>
      <w:spacing w:before="120"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7"/>
      <w:gridCol w:w="6132"/>
      <w:gridCol w:w="1574"/>
    </w:tblGrid>
    <w:tr w:rsidR="00CC18B3" w14:paraId="1F0444D6" w14:textId="77777777" w:rsidTr="00045F79">
      <w:tc>
        <w:tcPr>
          <w:tcW w:w="365" w:type="pct"/>
        </w:tcPr>
        <w:p w14:paraId="6FA77CBA" w14:textId="77777777" w:rsidR="00CC18B3" w:rsidRDefault="00CC18B3" w:rsidP="00045F79">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2</w:t>
          </w:r>
          <w:r w:rsidRPr="00ED79B6">
            <w:rPr>
              <w:i/>
              <w:sz w:val="18"/>
            </w:rPr>
            <w:fldChar w:fldCharType="end"/>
          </w:r>
        </w:p>
      </w:tc>
      <w:tc>
        <w:tcPr>
          <w:tcW w:w="3688" w:type="pct"/>
        </w:tcPr>
        <w:p w14:paraId="0768EEC6" w14:textId="77777777" w:rsidR="00CC18B3" w:rsidRDefault="00CC18B3" w:rsidP="00045F79">
          <w:pPr>
            <w:spacing w:line="0" w:lineRule="atLeast"/>
            <w:jc w:val="center"/>
            <w:rPr>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Pr>
              <w:i/>
              <w:noProof/>
              <w:sz w:val="18"/>
            </w:rPr>
            <w:t>Act Name (Subject Matter) Kind of Instrument Year</w:t>
          </w:r>
          <w:r w:rsidRPr="004E1307">
            <w:rPr>
              <w:i/>
              <w:sz w:val="18"/>
            </w:rPr>
            <w:fldChar w:fldCharType="end"/>
          </w:r>
        </w:p>
      </w:tc>
      <w:tc>
        <w:tcPr>
          <w:tcW w:w="947" w:type="pct"/>
        </w:tcPr>
        <w:p w14:paraId="5F9CD780" w14:textId="77777777" w:rsidR="00CC18B3" w:rsidRDefault="00CC18B3" w:rsidP="00045F79">
          <w:pPr>
            <w:spacing w:line="0" w:lineRule="atLeast"/>
            <w:jc w:val="right"/>
            <w:rPr>
              <w:sz w:val="18"/>
            </w:rPr>
          </w:pPr>
        </w:p>
      </w:tc>
    </w:tr>
    <w:tr w:rsidR="00CC18B3" w14:paraId="5C076C4F" w14:textId="77777777" w:rsidTr="00045F79">
      <w:tc>
        <w:tcPr>
          <w:tcW w:w="5000" w:type="pct"/>
          <w:gridSpan w:val="3"/>
        </w:tcPr>
        <w:p w14:paraId="01D17879" w14:textId="77777777" w:rsidR="00CC18B3" w:rsidRDefault="00CC18B3" w:rsidP="00045F79">
          <w:pPr>
            <w:jc w:val="right"/>
            <w:rPr>
              <w:sz w:val="18"/>
            </w:rPr>
          </w:pPr>
        </w:p>
      </w:tc>
    </w:tr>
  </w:tbl>
  <w:p w14:paraId="23D2EEF1" w14:textId="77777777" w:rsidR="00CC18B3" w:rsidRPr="00ED79B6" w:rsidRDefault="00CC18B3" w:rsidP="00045F79">
    <w:pPr>
      <w:rPr>
        <w:i/>
        <w:sz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47DC06" w14:textId="77777777" w:rsidR="00CC18B3" w:rsidRPr="002B0EA5" w:rsidRDefault="00CC18B3" w:rsidP="00045F79">
    <w:pPr>
      <w:pBdr>
        <w:top w:val="single" w:sz="6" w:space="1" w:color="auto"/>
      </w:pBdr>
      <w:spacing w:before="120"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4"/>
      <w:gridCol w:w="6132"/>
      <w:gridCol w:w="607"/>
    </w:tblGrid>
    <w:tr w:rsidR="00CC18B3" w14:paraId="1C8882F2" w14:textId="77777777" w:rsidTr="00045F79">
      <w:tc>
        <w:tcPr>
          <w:tcW w:w="947" w:type="pct"/>
        </w:tcPr>
        <w:p w14:paraId="67D0AD37" w14:textId="77777777" w:rsidR="00CC18B3" w:rsidRDefault="00CC18B3" w:rsidP="00045F79">
          <w:pPr>
            <w:spacing w:line="0" w:lineRule="atLeast"/>
            <w:rPr>
              <w:sz w:val="18"/>
            </w:rPr>
          </w:pPr>
        </w:p>
      </w:tc>
      <w:tc>
        <w:tcPr>
          <w:tcW w:w="3688" w:type="pct"/>
        </w:tcPr>
        <w:p w14:paraId="4B920B6B" w14:textId="7F247132" w:rsidR="00CC18B3" w:rsidRDefault="00CC18B3" w:rsidP="00045F79">
          <w:pPr>
            <w:spacing w:line="0" w:lineRule="atLeast"/>
            <w:jc w:val="center"/>
            <w:rPr>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sidR="000A4267">
            <w:rPr>
              <w:i/>
              <w:noProof/>
              <w:sz w:val="18"/>
            </w:rPr>
            <w:t>Education Services for Overseas Students (TPS Levies) (Risk Rated Premium and Special Tuition Protection Components) Instrument 2021</w:t>
          </w:r>
          <w:r w:rsidRPr="004E1307">
            <w:rPr>
              <w:i/>
              <w:sz w:val="18"/>
            </w:rPr>
            <w:fldChar w:fldCharType="end"/>
          </w:r>
        </w:p>
      </w:tc>
      <w:tc>
        <w:tcPr>
          <w:tcW w:w="365" w:type="pct"/>
        </w:tcPr>
        <w:p w14:paraId="3CCCEC0D" w14:textId="77777777" w:rsidR="00CC18B3" w:rsidRDefault="00CC18B3" w:rsidP="00045F79">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i</w:t>
          </w:r>
          <w:r w:rsidRPr="00ED79B6">
            <w:rPr>
              <w:i/>
              <w:sz w:val="18"/>
            </w:rPr>
            <w:fldChar w:fldCharType="end"/>
          </w:r>
        </w:p>
      </w:tc>
    </w:tr>
    <w:tr w:rsidR="00CC18B3" w14:paraId="6EA91022" w14:textId="77777777" w:rsidTr="00045F79">
      <w:tc>
        <w:tcPr>
          <w:tcW w:w="5000" w:type="pct"/>
          <w:gridSpan w:val="3"/>
        </w:tcPr>
        <w:p w14:paraId="3C1437AF" w14:textId="77777777" w:rsidR="00CC18B3" w:rsidRDefault="00CC18B3" w:rsidP="00045F79">
          <w:pPr>
            <w:rPr>
              <w:sz w:val="18"/>
            </w:rPr>
          </w:pPr>
        </w:p>
      </w:tc>
    </w:tr>
  </w:tbl>
  <w:p w14:paraId="66DCE734" w14:textId="77777777" w:rsidR="00CC18B3" w:rsidRPr="00ED79B6" w:rsidRDefault="00CC18B3" w:rsidP="00045F79">
    <w:pPr>
      <w:rPr>
        <w:i/>
        <w:sz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30D526" w14:textId="77777777" w:rsidR="00CC18B3" w:rsidRPr="002B0EA5" w:rsidRDefault="00CC18B3" w:rsidP="00045F79">
    <w:pPr>
      <w:pBdr>
        <w:top w:val="single" w:sz="6" w:space="1" w:color="auto"/>
      </w:pBdr>
      <w:spacing w:before="120"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7"/>
      <w:gridCol w:w="6132"/>
      <w:gridCol w:w="1574"/>
    </w:tblGrid>
    <w:tr w:rsidR="00CC18B3" w14:paraId="6EB14E1A" w14:textId="77777777" w:rsidTr="00045F79">
      <w:tc>
        <w:tcPr>
          <w:tcW w:w="365" w:type="pct"/>
        </w:tcPr>
        <w:p w14:paraId="5B6DD929" w14:textId="77777777" w:rsidR="00CC18B3" w:rsidRDefault="00CC18B3" w:rsidP="00045F79">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6</w:t>
          </w:r>
          <w:r w:rsidRPr="00ED79B6">
            <w:rPr>
              <w:i/>
              <w:sz w:val="18"/>
            </w:rPr>
            <w:fldChar w:fldCharType="end"/>
          </w:r>
        </w:p>
      </w:tc>
      <w:tc>
        <w:tcPr>
          <w:tcW w:w="3688" w:type="pct"/>
        </w:tcPr>
        <w:p w14:paraId="2030E93E" w14:textId="73F90393" w:rsidR="00CC18B3" w:rsidRDefault="00CC18B3" w:rsidP="00045F79">
          <w:pPr>
            <w:spacing w:line="0" w:lineRule="atLeast"/>
            <w:jc w:val="center"/>
            <w:rPr>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sidR="000A4267">
            <w:rPr>
              <w:i/>
              <w:noProof/>
              <w:sz w:val="18"/>
            </w:rPr>
            <w:t>Education Services for Overseas Students (TPS Levies) (Risk Rated Premium and Special Tuition Protection Components) Instrument 2021</w:t>
          </w:r>
          <w:r w:rsidRPr="004E1307">
            <w:rPr>
              <w:i/>
              <w:sz w:val="18"/>
            </w:rPr>
            <w:fldChar w:fldCharType="end"/>
          </w:r>
        </w:p>
      </w:tc>
      <w:tc>
        <w:tcPr>
          <w:tcW w:w="947" w:type="pct"/>
        </w:tcPr>
        <w:p w14:paraId="0F709FDB" w14:textId="77777777" w:rsidR="00CC18B3" w:rsidRDefault="00CC18B3" w:rsidP="00045F79">
          <w:pPr>
            <w:spacing w:line="0" w:lineRule="atLeast"/>
            <w:jc w:val="right"/>
            <w:rPr>
              <w:sz w:val="18"/>
            </w:rPr>
          </w:pPr>
        </w:p>
      </w:tc>
    </w:tr>
    <w:tr w:rsidR="00CC18B3" w14:paraId="71334228" w14:textId="77777777" w:rsidTr="00045F79">
      <w:tc>
        <w:tcPr>
          <w:tcW w:w="5000" w:type="pct"/>
          <w:gridSpan w:val="3"/>
        </w:tcPr>
        <w:p w14:paraId="230E2878" w14:textId="77777777" w:rsidR="00CC18B3" w:rsidRDefault="00CC18B3" w:rsidP="00045F79">
          <w:pPr>
            <w:jc w:val="right"/>
            <w:rPr>
              <w:sz w:val="18"/>
            </w:rPr>
          </w:pPr>
        </w:p>
      </w:tc>
    </w:tr>
  </w:tbl>
  <w:p w14:paraId="567DEC12" w14:textId="77777777" w:rsidR="00CC18B3" w:rsidRPr="00ED79B6" w:rsidRDefault="00CC18B3" w:rsidP="00045F79">
    <w:pPr>
      <w:rPr>
        <w:i/>
        <w:sz w:val="1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2D7CB4" w14:textId="77777777" w:rsidR="00CC18B3" w:rsidRPr="002B0EA5" w:rsidRDefault="00CC18B3" w:rsidP="00045F79">
    <w:pPr>
      <w:pBdr>
        <w:top w:val="single" w:sz="6" w:space="1" w:color="auto"/>
      </w:pBdr>
      <w:spacing w:before="120"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4"/>
      <w:gridCol w:w="6132"/>
      <w:gridCol w:w="607"/>
    </w:tblGrid>
    <w:tr w:rsidR="00CC18B3" w14:paraId="51FEBE50" w14:textId="77777777" w:rsidTr="00045F79">
      <w:tc>
        <w:tcPr>
          <w:tcW w:w="947" w:type="pct"/>
        </w:tcPr>
        <w:p w14:paraId="7315D8C8" w14:textId="77777777" w:rsidR="00CC18B3" w:rsidRDefault="00CC18B3" w:rsidP="00045F79">
          <w:pPr>
            <w:spacing w:line="0" w:lineRule="atLeast"/>
            <w:rPr>
              <w:sz w:val="18"/>
            </w:rPr>
          </w:pPr>
        </w:p>
      </w:tc>
      <w:tc>
        <w:tcPr>
          <w:tcW w:w="3688" w:type="pct"/>
        </w:tcPr>
        <w:p w14:paraId="282A773B" w14:textId="39B87764" w:rsidR="00CC18B3" w:rsidRDefault="00CC18B3" w:rsidP="00045F79">
          <w:pPr>
            <w:spacing w:line="0" w:lineRule="atLeast"/>
            <w:jc w:val="center"/>
            <w:rPr>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sidR="000A4267">
            <w:rPr>
              <w:i/>
              <w:noProof/>
              <w:sz w:val="18"/>
            </w:rPr>
            <w:t>Education Services for Overseas Students (TPS Levies) (Risk Rated Premium and Special Tuition Protection Components) Instrument 2021</w:t>
          </w:r>
          <w:r w:rsidRPr="004E1307">
            <w:rPr>
              <w:i/>
              <w:sz w:val="18"/>
            </w:rPr>
            <w:fldChar w:fldCharType="end"/>
          </w:r>
        </w:p>
      </w:tc>
      <w:tc>
        <w:tcPr>
          <w:tcW w:w="365" w:type="pct"/>
        </w:tcPr>
        <w:p w14:paraId="002CCE9B" w14:textId="77777777" w:rsidR="00CC18B3" w:rsidRDefault="00CC18B3" w:rsidP="00045F79">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5</w:t>
          </w:r>
          <w:r w:rsidRPr="00ED79B6">
            <w:rPr>
              <w:i/>
              <w:sz w:val="18"/>
            </w:rPr>
            <w:fldChar w:fldCharType="end"/>
          </w:r>
        </w:p>
      </w:tc>
    </w:tr>
    <w:tr w:rsidR="00CC18B3" w14:paraId="5B4A870F" w14:textId="77777777" w:rsidTr="00045F79">
      <w:tc>
        <w:tcPr>
          <w:tcW w:w="5000" w:type="pct"/>
          <w:gridSpan w:val="3"/>
        </w:tcPr>
        <w:p w14:paraId="34D7F122" w14:textId="77777777" w:rsidR="00CC18B3" w:rsidRDefault="00CC18B3" w:rsidP="00045F79">
          <w:pPr>
            <w:rPr>
              <w:sz w:val="18"/>
            </w:rPr>
          </w:pPr>
        </w:p>
      </w:tc>
    </w:tr>
  </w:tbl>
  <w:p w14:paraId="552C1EE4" w14:textId="77777777" w:rsidR="00CC18B3" w:rsidRPr="00ED79B6" w:rsidRDefault="00CC18B3" w:rsidP="00045F79">
    <w:pPr>
      <w:rPr>
        <w:i/>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EDA08F" w14:textId="77777777" w:rsidR="00CC18B3" w:rsidRDefault="00CC18B3" w:rsidP="00715914">
      <w:pPr>
        <w:spacing w:line="240" w:lineRule="auto"/>
      </w:pPr>
      <w:r>
        <w:separator/>
      </w:r>
    </w:p>
  </w:footnote>
  <w:footnote w:type="continuationSeparator" w:id="0">
    <w:p w14:paraId="7C2EB2CA" w14:textId="77777777" w:rsidR="00CC18B3" w:rsidRDefault="00CC18B3" w:rsidP="0071591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77D033" w14:textId="77777777" w:rsidR="00CC18B3" w:rsidRPr="005F1388" w:rsidRDefault="00CC18B3" w:rsidP="00715914">
    <w:pPr>
      <w:pStyle w:val="Header"/>
      <w:tabs>
        <w:tab w:val="clear" w:pos="4150"/>
        <w:tab w:val="clear" w:pos="8307"/>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AF6BA8" w14:textId="77777777" w:rsidR="00CC18B3" w:rsidRPr="005F1388" w:rsidRDefault="00CC18B3" w:rsidP="00715914">
    <w:pPr>
      <w:pStyle w:val="Header"/>
      <w:tabs>
        <w:tab w:val="clear" w:pos="4150"/>
        <w:tab w:val="clear" w:pos="8307"/>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3F5167" w14:textId="77777777" w:rsidR="00CC18B3" w:rsidRPr="00ED79B6" w:rsidRDefault="00CC18B3" w:rsidP="00045F79">
    <w:pPr>
      <w:pBdr>
        <w:bottom w:val="single" w:sz="6" w:space="1" w:color="auto"/>
      </w:pBdr>
      <w:spacing w:before="1000" w:line="240"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0FC421" w14:textId="77777777" w:rsidR="00CC18B3" w:rsidRPr="00ED79B6" w:rsidRDefault="00CC18B3" w:rsidP="00045F79">
    <w:pPr>
      <w:pBdr>
        <w:bottom w:val="single" w:sz="6" w:space="1" w:color="auto"/>
      </w:pBdr>
      <w:spacing w:before="1000" w:line="240"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F96835" w14:textId="77777777" w:rsidR="00CC18B3" w:rsidRPr="00ED79B6" w:rsidRDefault="00CC18B3" w:rsidP="00715914">
    <w:pPr>
      <w:pStyle w:val="Header"/>
      <w:tabs>
        <w:tab w:val="clear" w:pos="4150"/>
        <w:tab w:val="clear" w:pos="8307"/>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FC7831" w14:textId="77777777" w:rsidR="00CC18B3" w:rsidRDefault="00CC18B3" w:rsidP="00715914">
    <w:pPr>
      <w:rPr>
        <w:sz w:val="20"/>
      </w:rPr>
    </w:pPr>
  </w:p>
  <w:p w14:paraId="609BABAB" w14:textId="77777777" w:rsidR="00CC18B3" w:rsidRDefault="00CC18B3" w:rsidP="00715914">
    <w:pPr>
      <w:rPr>
        <w:sz w:val="20"/>
      </w:rPr>
    </w:pPr>
  </w:p>
  <w:p w14:paraId="4F159DFB" w14:textId="77777777" w:rsidR="00CC18B3" w:rsidRPr="007A1328" w:rsidRDefault="00CC18B3" w:rsidP="00715914">
    <w:pPr>
      <w:rPr>
        <w:sz w:val="20"/>
      </w:rPr>
    </w:pPr>
  </w:p>
  <w:p w14:paraId="0B5A7E61" w14:textId="77777777" w:rsidR="00CC18B3" w:rsidRPr="007A1328" w:rsidRDefault="00CC18B3" w:rsidP="00715914">
    <w:pPr>
      <w:rPr>
        <w:b/>
        <w:sz w:val="24"/>
      </w:rPr>
    </w:pPr>
  </w:p>
  <w:p w14:paraId="29AEFAB3" w14:textId="77777777" w:rsidR="00CC18B3" w:rsidRPr="007A1328" w:rsidRDefault="00CC18B3" w:rsidP="00D6537E">
    <w:pPr>
      <w:pBdr>
        <w:bottom w:val="single" w:sz="6" w:space="1" w:color="auto"/>
      </w:pBdr>
      <w:spacing w:after="120"/>
      <w:rPr>
        <w:sz w:val="2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598742" w14:textId="77777777" w:rsidR="00CC18B3" w:rsidRPr="007A1328" w:rsidRDefault="00CC18B3" w:rsidP="00715914">
    <w:pPr>
      <w:jc w:val="right"/>
      <w:rPr>
        <w:sz w:val="20"/>
      </w:rPr>
    </w:pPr>
  </w:p>
  <w:p w14:paraId="50A6BB7A" w14:textId="77777777" w:rsidR="00CC18B3" w:rsidRPr="007A1328" w:rsidRDefault="00CC18B3" w:rsidP="00715914">
    <w:pPr>
      <w:jc w:val="right"/>
      <w:rPr>
        <w:sz w:val="20"/>
      </w:rPr>
    </w:pPr>
  </w:p>
  <w:p w14:paraId="2773229F" w14:textId="77777777" w:rsidR="00CC18B3" w:rsidRPr="007A1328" w:rsidRDefault="00CC18B3" w:rsidP="00715914">
    <w:pPr>
      <w:jc w:val="right"/>
      <w:rPr>
        <w:sz w:val="20"/>
      </w:rPr>
    </w:pPr>
  </w:p>
  <w:p w14:paraId="0703E570" w14:textId="77777777" w:rsidR="00CC18B3" w:rsidRPr="007A1328" w:rsidRDefault="00CC18B3" w:rsidP="00715914">
    <w:pPr>
      <w:jc w:val="right"/>
      <w:rPr>
        <w:b/>
        <w:sz w:val="24"/>
      </w:rPr>
    </w:pPr>
  </w:p>
  <w:p w14:paraId="3B85AB97" w14:textId="77777777" w:rsidR="00CC18B3" w:rsidRPr="007A1328" w:rsidRDefault="00CC18B3" w:rsidP="00D6537E">
    <w:pPr>
      <w:pBdr>
        <w:bottom w:val="single" w:sz="6" w:space="1" w:color="auto"/>
      </w:pBdr>
      <w:spacing w:after="120"/>
      <w:jc w:val="right"/>
      <w:rPr>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E14F53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D72A7C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D204F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6AE5B8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D82A8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8DE603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E9662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6C0ECF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778BA4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F6C98E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03710E"/>
    <w:multiLevelType w:val="multilevel"/>
    <w:tmpl w:val="6F7076BC"/>
    <w:styleLink w:val="OPCBodyList"/>
    <w:lvl w:ilvl="0">
      <w:start w:val="1"/>
      <w:numFmt w:val="decimal"/>
      <w:pStyle w:val="BodyNum"/>
      <w:lvlText w:val="%1"/>
      <w:lvlJc w:val="left"/>
      <w:pPr>
        <w:tabs>
          <w:tab w:val="num" w:pos="720"/>
        </w:tabs>
        <w:ind w:left="0" w:firstLine="0"/>
      </w:pPr>
      <w:rPr>
        <w:rFonts w:hint="default"/>
      </w:rPr>
    </w:lvl>
    <w:lvl w:ilvl="1">
      <w:start w:val="1"/>
      <w:numFmt w:val="lowerLetter"/>
      <w:pStyle w:val="BodyPara"/>
      <w:lvlText w:val="(%2)"/>
      <w:lvlJc w:val="left"/>
      <w:pPr>
        <w:tabs>
          <w:tab w:val="num" w:pos="1440"/>
        </w:tabs>
        <w:ind w:left="1440" w:hanging="720"/>
      </w:pPr>
      <w:rPr>
        <w:rFonts w:hint="default"/>
      </w:rPr>
    </w:lvl>
    <w:lvl w:ilvl="2">
      <w:start w:val="1"/>
      <w:numFmt w:val="bullet"/>
      <w:lvlText w:val=""/>
      <w:lvlJc w:val="left"/>
      <w:pPr>
        <w:tabs>
          <w:tab w:val="num" w:pos="1440"/>
        </w:tabs>
        <w:ind w:left="1440" w:hanging="720"/>
      </w:pPr>
      <w:rPr>
        <w:rFonts w:ascii="Symbol" w:hAnsi="Symbol" w:hint="default"/>
      </w:rPr>
    </w:lvl>
    <w:lvl w:ilvl="3">
      <w:start w:val="1"/>
      <w:numFmt w:val="lowerRoman"/>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5585B3D"/>
    <w:multiLevelType w:val="hybridMultilevel"/>
    <w:tmpl w:val="6A22F2A0"/>
    <w:lvl w:ilvl="0" w:tplc="A676AB40">
      <w:start w:val="1"/>
      <w:numFmt w:val="decimal"/>
      <w:lvlText w:val="(%1)"/>
      <w:lvlJc w:val="left"/>
      <w:pPr>
        <w:ind w:left="1130" w:hanging="360"/>
      </w:pPr>
      <w:rPr>
        <w:rFonts w:hint="default"/>
      </w:rPr>
    </w:lvl>
    <w:lvl w:ilvl="1" w:tplc="0C090019" w:tentative="1">
      <w:start w:val="1"/>
      <w:numFmt w:val="lowerLetter"/>
      <w:lvlText w:val="%2."/>
      <w:lvlJc w:val="left"/>
      <w:pPr>
        <w:ind w:left="1850" w:hanging="360"/>
      </w:pPr>
    </w:lvl>
    <w:lvl w:ilvl="2" w:tplc="0C09001B" w:tentative="1">
      <w:start w:val="1"/>
      <w:numFmt w:val="lowerRoman"/>
      <w:lvlText w:val="%3."/>
      <w:lvlJc w:val="right"/>
      <w:pPr>
        <w:ind w:left="2570" w:hanging="180"/>
      </w:pPr>
    </w:lvl>
    <w:lvl w:ilvl="3" w:tplc="0C09000F" w:tentative="1">
      <w:start w:val="1"/>
      <w:numFmt w:val="decimal"/>
      <w:lvlText w:val="%4."/>
      <w:lvlJc w:val="left"/>
      <w:pPr>
        <w:ind w:left="3290" w:hanging="360"/>
      </w:pPr>
    </w:lvl>
    <w:lvl w:ilvl="4" w:tplc="0C090019" w:tentative="1">
      <w:start w:val="1"/>
      <w:numFmt w:val="lowerLetter"/>
      <w:lvlText w:val="%5."/>
      <w:lvlJc w:val="left"/>
      <w:pPr>
        <w:ind w:left="4010" w:hanging="360"/>
      </w:pPr>
    </w:lvl>
    <w:lvl w:ilvl="5" w:tplc="0C09001B" w:tentative="1">
      <w:start w:val="1"/>
      <w:numFmt w:val="lowerRoman"/>
      <w:lvlText w:val="%6."/>
      <w:lvlJc w:val="right"/>
      <w:pPr>
        <w:ind w:left="4730" w:hanging="180"/>
      </w:pPr>
    </w:lvl>
    <w:lvl w:ilvl="6" w:tplc="0C09000F" w:tentative="1">
      <w:start w:val="1"/>
      <w:numFmt w:val="decimal"/>
      <w:lvlText w:val="%7."/>
      <w:lvlJc w:val="left"/>
      <w:pPr>
        <w:ind w:left="5450" w:hanging="360"/>
      </w:pPr>
    </w:lvl>
    <w:lvl w:ilvl="7" w:tplc="0C090019" w:tentative="1">
      <w:start w:val="1"/>
      <w:numFmt w:val="lowerLetter"/>
      <w:lvlText w:val="%8."/>
      <w:lvlJc w:val="left"/>
      <w:pPr>
        <w:ind w:left="6170" w:hanging="360"/>
      </w:pPr>
    </w:lvl>
    <w:lvl w:ilvl="8" w:tplc="0C09001B" w:tentative="1">
      <w:start w:val="1"/>
      <w:numFmt w:val="lowerRoman"/>
      <w:lvlText w:val="%9."/>
      <w:lvlJc w:val="right"/>
      <w:pPr>
        <w:ind w:left="6890" w:hanging="180"/>
      </w:pPr>
    </w:lvl>
  </w:abstractNum>
  <w:abstractNum w:abstractNumId="13" w15:restartNumberingAfterBreak="0">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14" w15:restartNumberingAfterBreak="0">
    <w:nsid w:val="7A5B5A92"/>
    <w:multiLevelType w:val="hybridMultilevel"/>
    <w:tmpl w:val="81A2AA7E"/>
    <w:lvl w:ilvl="0" w:tplc="A676AB40">
      <w:start w:val="3"/>
      <w:numFmt w:val="decimal"/>
      <w:lvlText w:val="(%1)"/>
      <w:lvlJc w:val="left"/>
      <w:pPr>
        <w:ind w:left="1130" w:hanging="360"/>
      </w:pPr>
      <w:rPr>
        <w:rFonts w:hint="default"/>
      </w:rPr>
    </w:lvl>
    <w:lvl w:ilvl="1" w:tplc="0C090019" w:tentative="1">
      <w:start w:val="1"/>
      <w:numFmt w:val="lowerLetter"/>
      <w:lvlText w:val="%2."/>
      <w:lvlJc w:val="left"/>
      <w:pPr>
        <w:ind w:left="1850" w:hanging="360"/>
      </w:pPr>
    </w:lvl>
    <w:lvl w:ilvl="2" w:tplc="0C09001B" w:tentative="1">
      <w:start w:val="1"/>
      <w:numFmt w:val="lowerRoman"/>
      <w:lvlText w:val="%3."/>
      <w:lvlJc w:val="right"/>
      <w:pPr>
        <w:ind w:left="2570" w:hanging="180"/>
      </w:pPr>
    </w:lvl>
    <w:lvl w:ilvl="3" w:tplc="0C09000F" w:tentative="1">
      <w:start w:val="1"/>
      <w:numFmt w:val="decimal"/>
      <w:lvlText w:val="%4."/>
      <w:lvlJc w:val="left"/>
      <w:pPr>
        <w:ind w:left="3290" w:hanging="360"/>
      </w:pPr>
    </w:lvl>
    <w:lvl w:ilvl="4" w:tplc="0C090019" w:tentative="1">
      <w:start w:val="1"/>
      <w:numFmt w:val="lowerLetter"/>
      <w:lvlText w:val="%5."/>
      <w:lvlJc w:val="left"/>
      <w:pPr>
        <w:ind w:left="4010" w:hanging="360"/>
      </w:pPr>
    </w:lvl>
    <w:lvl w:ilvl="5" w:tplc="0C09001B" w:tentative="1">
      <w:start w:val="1"/>
      <w:numFmt w:val="lowerRoman"/>
      <w:lvlText w:val="%6."/>
      <w:lvlJc w:val="right"/>
      <w:pPr>
        <w:ind w:left="4730" w:hanging="180"/>
      </w:pPr>
    </w:lvl>
    <w:lvl w:ilvl="6" w:tplc="0C09000F" w:tentative="1">
      <w:start w:val="1"/>
      <w:numFmt w:val="decimal"/>
      <w:lvlText w:val="%7."/>
      <w:lvlJc w:val="left"/>
      <w:pPr>
        <w:ind w:left="5450" w:hanging="360"/>
      </w:pPr>
    </w:lvl>
    <w:lvl w:ilvl="7" w:tplc="0C090019" w:tentative="1">
      <w:start w:val="1"/>
      <w:numFmt w:val="lowerLetter"/>
      <w:lvlText w:val="%8."/>
      <w:lvlJc w:val="left"/>
      <w:pPr>
        <w:ind w:left="6170" w:hanging="360"/>
      </w:pPr>
    </w:lvl>
    <w:lvl w:ilvl="8" w:tplc="0C09001B" w:tentative="1">
      <w:start w:val="1"/>
      <w:numFmt w:val="lowerRoman"/>
      <w:lvlText w:val="%9."/>
      <w:lvlJc w:val="right"/>
      <w:pPr>
        <w:ind w:left="689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0"/>
  </w:num>
  <w:num w:numId="13">
    <w:abstractNumId w:val="11"/>
  </w:num>
  <w:num w:numId="14">
    <w:abstractNumId w:val="12"/>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embedTrueTypeFonts/>
  <w:saveSubset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10"/>
  <w:displayHorizontalDrawingGridEvery w:val="2"/>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452C"/>
    <w:rsid w:val="00004174"/>
    <w:rsid w:val="00004470"/>
    <w:rsid w:val="000136AF"/>
    <w:rsid w:val="000258B1"/>
    <w:rsid w:val="00040A89"/>
    <w:rsid w:val="000437C1"/>
    <w:rsid w:val="0004455A"/>
    <w:rsid w:val="00045F79"/>
    <w:rsid w:val="0005365D"/>
    <w:rsid w:val="000614BF"/>
    <w:rsid w:val="0006709C"/>
    <w:rsid w:val="000706E4"/>
    <w:rsid w:val="00074376"/>
    <w:rsid w:val="000978F5"/>
    <w:rsid w:val="000A4267"/>
    <w:rsid w:val="000B15CD"/>
    <w:rsid w:val="000B35EB"/>
    <w:rsid w:val="000D05EF"/>
    <w:rsid w:val="000D5DD9"/>
    <w:rsid w:val="000E2261"/>
    <w:rsid w:val="000E78B7"/>
    <w:rsid w:val="000F21C1"/>
    <w:rsid w:val="0010745C"/>
    <w:rsid w:val="00132CEB"/>
    <w:rsid w:val="001339B0"/>
    <w:rsid w:val="00142B62"/>
    <w:rsid w:val="001441B7"/>
    <w:rsid w:val="00145036"/>
    <w:rsid w:val="001516CB"/>
    <w:rsid w:val="00152336"/>
    <w:rsid w:val="00157B8B"/>
    <w:rsid w:val="00166C2F"/>
    <w:rsid w:val="00167526"/>
    <w:rsid w:val="001809D7"/>
    <w:rsid w:val="001939E1"/>
    <w:rsid w:val="00194C3E"/>
    <w:rsid w:val="00195382"/>
    <w:rsid w:val="001B2CB6"/>
    <w:rsid w:val="001C61C5"/>
    <w:rsid w:val="001C69C4"/>
    <w:rsid w:val="001D37EF"/>
    <w:rsid w:val="001E2C7E"/>
    <w:rsid w:val="001E3590"/>
    <w:rsid w:val="001E7407"/>
    <w:rsid w:val="001F5D5E"/>
    <w:rsid w:val="001F6219"/>
    <w:rsid w:val="001F6CD4"/>
    <w:rsid w:val="00206C4D"/>
    <w:rsid w:val="00215AF1"/>
    <w:rsid w:val="002321E8"/>
    <w:rsid w:val="00232984"/>
    <w:rsid w:val="0024010F"/>
    <w:rsid w:val="00240749"/>
    <w:rsid w:val="00240839"/>
    <w:rsid w:val="00243018"/>
    <w:rsid w:val="002564A4"/>
    <w:rsid w:val="0026736C"/>
    <w:rsid w:val="00281308"/>
    <w:rsid w:val="00284719"/>
    <w:rsid w:val="00297ECB"/>
    <w:rsid w:val="002A7BCF"/>
    <w:rsid w:val="002C3FD1"/>
    <w:rsid w:val="002D043A"/>
    <w:rsid w:val="002D266B"/>
    <w:rsid w:val="002D6224"/>
    <w:rsid w:val="002F2234"/>
    <w:rsid w:val="00304F8B"/>
    <w:rsid w:val="00333E17"/>
    <w:rsid w:val="00335BC6"/>
    <w:rsid w:val="003415D3"/>
    <w:rsid w:val="00344338"/>
    <w:rsid w:val="00344701"/>
    <w:rsid w:val="00352B0F"/>
    <w:rsid w:val="00360459"/>
    <w:rsid w:val="003767E2"/>
    <w:rsid w:val="0038049F"/>
    <w:rsid w:val="00382E6F"/>
    <w:rsid w:val="003C6231"/>
    <w:rsid w:val="003D0BFE"/>
    <w:rsid w:val="003D5700"/>
    <w:rsid w:val="003E341B"/>
    <w:rsid w:val="003E4D00"/>
    <w:rsid w:val="004116CD"/>
    <w:rsid w:val="00417EB9"/>
    <w:rsid w:val="00424CA9"/>
    <w:rsid w:val="004276DF"/>
    <w:rsid w:val="00430BB8"/>
    <w:rsid w:val="00431E9B"/>
    <w:rsid w:val="004379E3"/>
    <w:rsid w:val="0044015E"/>
    <w:rsid w:val="0044291A"/>
    <w:rsid w:val="00467661"/>
    <w:rsid w:val="00472DBE"/>
    <w:rsid w:val="00474A19"/>
    <w:rsid w:val="00477284"/>
    <w:rsid w:val="00477830"/>
    <w:rsid w:val="00487764"/>
    <w:rsid w:val="00496C42"/>
    <w:rsid w:val="00496F97"/>
    <w:rsid w:val="004B6C48"/>
    <w:rsid w:val="004C4E59"/>
    <w:rsid w:val="004C6809"/>
    <w:rsid w:val="004E063A"/>
    <w:rsid w:val="004E1307"/>
    <w:rsid w:val="004E7BEC"/>
    <w:rsid w:val="00505D3D"/>
    <w:rsid w:val="00506AF6"/>
    <w:rsid w:val="00512B3A"/>
    <w:rsid w:val="00516B8D"/>
    <w:rsid w:val="005303C8"/>
    <w:rsid w:val="00537FBC"/>
    <w:rsid w:val="00554826"/>
    <w:rsid w:val="00562877"/>
    <w:rsid w:val="00583E47"/>
    <w:rsid w:val="00584811"/>
    <w:rsid w:val="00585784"/>
    <w:rsid w:val="00593AA6"/>
    <w:rsid w:val="00594161"/>
    <w:rsid w:val="00594749"/>
    <w:rsid w:val="005A65D5"/>
    <w:rsid w:val="005B24DA"/>
    <w:rsid w:val="005B4067"/>
    <w:rsid w:val="005C3F41"/>
    <w:rsid w:val="005D1D92"/>
    <w:rsid w:val="005D2D09"/>
    <w:rsid w:val="00600219"/>
    <w:rsid w:val="00604F2A"/>
    <w:rsid w:val="00620076"/>
    <w:rsid w:val="00627E0A"/>
    <w:rsid w:val="0065488B"/>
    <w:rsid w:val="00670EA1"/>
    <w:rsid w:val="00677CC2"/>
    <w:rsid w:val="0068744B"/>
    <w:rsid w:val="006905DE"/>
    <w:rsid w:val="0069207B"/>
    <w:rsid w:val="006A154F"/>
    <w:rsid w:val="006A437B"/>
    <w:rsid w:val="006B5789"/>
    <w:rsid w:val="006C30C5"/>
    <w:rsid w:val="006C7F8C"/>
    <w:rsid w:val="006E2E1C"/>
    <w:rsid w:val="006E6246"/>
    <w:rsid w:val="006E69C2"/>
    <w:rsid w:val="006E6DCC"/>
    <w:rsid w:val="006F318F"/>
    <w:rsid w:val="006F7A2D"/>
    <w:rsid w:val="0070017E"/>
    <w:rsid w:val="00700B2C"/>
    <w:rsid w:val="007050A2"/>
    <w:rsid w:val="00713084"/>
    <w:rsid w:val="00714F20"/>
    <w:rsid w:val="0071590F"/>
    <w:rsid w:val="00715914"/>
    <w:rsid w:val="0072147A"/>
    <w:rsid w:val="00723791"/>
    <w:rsid w:val="00731E00"/>
    <w:rsid w:val="007334DB"/>
    <w:rsid w:val="007440B7"/>
    <w:rsid w:val="007500C8"/>
    <w:rsid w:val="007515F6"/>
    <w:rsid w:val="00756272"/>
    <w:rsid w:val="00762D38"/>
    <w:rsid w:val="007715C9"/>
    <w:rsid w:val="00771613"/>
    <w:rsid w:val="00774EDD"/>
    <w:rsid w:val="007757EC"/>
    <w:rsid w:val="00776A13"/>
    <w:rsid w:val="00783E89"/>
    <w:rsid w:val="00793915"/>
    <w:rsid w:val="007A645C"/>
    <w:rsid w:val="007C2253"/>
    <w:rsid w:val="007D415D"/>
    <w:rsid w:val="007D7911"/>
    <w:rsid w:val="007E163D"/>
    <w:rsid w:val="007E667A"/>
    <w:rsid w:val="007F28C9"/>
    <w:rsid w:val="007F51B2"/>
    <w:rsid w:val="008040DD"/>
    <w:rsid w:val="008117E9"/>
    <w:rsid w:val="00824498"/>
    <w:rsid w:val="00826BD1"/>
    <w:rsid w:val="00841777"/>
    <w:rsid w:val="00854D0B"/>
    <w:rsid w:val="00856A31"/>
    <w:rsid w:val="00860B4E"/>
    <w:rsid w:val="00867B37"/>
    <w:rsid w:val="008754D0"/>
    <w:rsid w:val="00875D13"/>
    <w:rsid w:val="008855C9"/>
    <w:rsid w:val="00886456"/>
    <w:rsid w:val="00896176"/>
    <w:rsid w:val="008A46E1"/>
    <w:rsid w:val="008A4F43"/>
    <w:rsid w:val="008B2706"/>
    <w:rsid w:val="008C2EAC"/>
    <w:rsid w:val="008D0EE0"/>
    <w:rsid w:val="008E0027"/>
    <w:rsid w:val="008E6067"/>
    <w:rsid w:val="008F54E7"/>
    <w:rsid w:val="00903422"/>
    <w:rsid w:val="009254C3"/>
    <w:rsid w:val="00932377"/>
    <w:rsid w:val="00941236"/>
    <w:rsid w:val="00943FD5"/>
    <w:rsid w:val="00947D5A"/>
    <w:rsid w:val="009532A5"/>
    <w:rsid w:val="009545BD"/>
    <w:rsid w:val="00964CF0"/>
    <w:rsid w:val="00977806"/>
    <w:rsid w:val="00982242"/>
    <w:rsid w:val="009868E9"/>
    <w:rsid w:val="009900A3"/>
    <w:rsid w:val="009C3413"/>
    <w:rsid w:val="009C67B1"/>
    <w:rsid w:val="00A0441E"/>
    <w:rsid w:val="00A12128"/>
    <w:rsid w:val="00A15AD4"/>
    <w:rsid w:val="00A22C98"/>
    <w:rsid w:val="00A231E2"/>
    <w:rsid w:val="00A369E3"/>
    <w:rsid w:val="00A40EF6"/>
    <w:rsid w:val="00A57600"/>
    <w:rsid w:val="00A64912"/>
    <w:rsid w:val="00A70A74"/>
    <w:rsid w:val="00A75FE9"/>
    <w:rsid w:val="00A86729"/>
    <w:rsid w:val="00AD53CC"/>
    <w:rsid w:val="00AD5641"/>
    <w:rsid w:val="00AF06CF"/>
    <w:rsid w:val="00B07CDB"/>
    <w:rsid w:val="00B16A31"/>
    <w:rsid w:val="00B17DFD"/>
    <w:rsid w:val="00B25306"/>
    <w:rsid w:val="00B27831"/>
    <w:rsid w:val="00B308FE"/>
    <w:rsid w:val="00B33709"/>
    <w:rsid w:val="00B33B3C"/>
    <w:rsid w:val="00B36392"/>
    <w:rsid w:val="00B418CB"/>
    <w:rsid w:val="00B47444"/>
    <w:rsid w:val="00B50ADC"/>
    <w:rsid w:val="00B5119B"/>
    <w:rsid w:val="00B566B1"/>
    <w:rsid w:val="00B63834"/>
    <w:rsid w:val="00B80199"/>
    <w:rsid w:val="00B83204"/>
    <w:rsid w:val="00B856E7"/>
    <w:rsid w:val="00BA220B"/>
    <w:rsid w:val="00BA3A57"/>
    <w:rsid w:val="00BB1533"/>
    <w:rsid w:val="00BB4E1A"/>
    <w:rsid w:val="00BC015E"/>
    <w:rsid w:val="00BC76AC"/>
    <w:rsid w:val="00BD0ECB"/>
    <w:rsid w:val="00BE122B"/>
    <w:rsid w:val="00BE2155"/>
    <w:rsid w:val="00BE719A"/>
    <w:rsid w:val="00BE720A"/>
    <w:rsid w:val="00BF0D73"/>
    <w:rsid w:val="00BF2465"/>
    <w:rsid w:val="00C16619"/>
    <w:rsid w:val="00C25E7F"/>
    <w:rsid w:val="00C2746F"/>
    <w:rsid w:val="00C323D6"/>
    <w:rsid w:val="00C324A0"/>
    <w:rsid w:val="00C42BF8"/>
    <w:rsid w:val="00C50043"/>
    <w:rsid w:val="00C755A1"/>
    <w:rsid w:val="00C7573B"/>
    <w:rsid w:val="00C97A54"/>
    <w:rsid w:val="00CA5B23"/>
    <w:rsid w:val="00CB602E"/>
    <w:rsid w:val="00CB7E90"/>
    <w:rsid w:val="00CC18B3"/>
    <w:rsid w:val="00CD08ED"/>
    <w:rsid w:val="00CE051D"/>
    <w:rsid w:val="00CE1335"/>
    <w:rsid w:val="00CE452C"/>
    <w:rsid w:val="00CE493D"/>
    <w:rsid w:val="00CF07FA"/>
    <w:rsid w:val="00CF0BB2"/>
    <w:rsid w:val="00CF3EE8"/>
    <w:rsid w:val="00D13441"/>
    <w:rsid w:val="00D150E7"/>
    <w:rsid w:val="00D52DC2"/>
    <w:rsid w:val="00D53BCC"/>
    <w:rsid w:val="00D54C9E"/>
    <w:rsid w:val="00D6537E"/>
    <w:rsid w:val="00D70DFB"/>
    <w:rsid w:val="00D766DF"/>
    <w:rsid w:val="00D8206C"/>
    <w:rsid w:val="00D91F10"/>
    <w:rsid w:val="00DA186E"/>
    <w:rsid w:val="00DA4116"/>
    <w:rsid w:val="00DB251C"/>
    <w:rsid w:val="00DB4630"/>
    <w:rsid w:val="00DC4F88"/>
    <w:rsid w:val="00DE107C"/>
    <w:rsid w:val="00DE6379"/>
    <w:rsid w:val="00DF122D"/>
    <w:rsid w:val="00DF2388"/>
    <w:rsid w:val="00DF5896"/>
    <w:rsid w:val="00E03E22"/>
    <w:rsid w:val="00E05704"/>
    <w:rsid w:val="00E338EF"/>
    <w:rsid w:val="00E33C92"/>
    <w:rsid w:val="00E544BB"/>
    <w:rsid w:val="00E620A7"/>
    <w:rsid w:val="00E74DC7"/>
    <w:rsid w:val="00E8075A"/>
    <w:rsid w:val="00E87830"/>
    <w:rsid w:val="00E940D8"/>
    <w:rsid w:val="00E94D5E"/>
    <w:rsid w:val="00EA7100"/>
    <w:rsid w:val="00EA7F9F"/>
    <w:rsid w:val="00EB1274"/>
    <w:rsid w:val="00ED2BB6"/>
    <w:rsid w:val="00ED34E1"/>
    <w:rsid w:val="00ED3B8D"/>
    <w:rsid w:val="00EE5E36"/>
    <w:rsid w:val="00EF1D93"/>
    <w:rsid w:val="00EF2E3A"/>
    <w:rsid w:val="00EF3689"/>
    <w:rsid w:val="00F02C7C"/>
    <w:rsid w:val="00F072A7"/>
    <w:rsid w:val="00F078DC"/>
    <w:rsid w:val="00F32BA8"/>
    <w:rsid w:val="00F32EE0"/>
    <w:rsid w:val="00F349F1"/>
    <w:rsid w:val="00F4350D"/>
    <w:rsid w:val="00F479C4"/>
    <w:rsid w:val="00F567F7"/>
    <w:rsid w:val="00F6696E"/>
    <w:rsid w:val="00F73BD6"/>
    <w:rsid w:val="00F83989"/>
    <w:rsid w:val="00F85099"/>
    <w:rsid w:val="00F9379C"/>
    <w:rsid w:val="00F9632C"/>
    <w:rsid w:val="00FA1E52"/>
    <w:rsid w:val="00FB5A08"/>
    <w:rsid w:val="00FC6A80"/>
    <w:rsid w:val="00FE4688"/>
    <w:rsid w:val="00FF57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2CFB228C"/>
  <w15:docId w15:val="{2DB46FD4-790D-4C36-AF5A-403C4E845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lang w:val="en-AU"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E6067"/>
    <w:pPr>
      <w:spacing w:line="260" w:lineRule="atLeast"/>
    </w:pPr>
    <w:rPr>
      <w:sz w:val="22"/>
    </w:rPr>
  </w:style>
  <w:style w:type="paragraph" w:styleId="Heading1">
    <w:name w:val="heading 1"/>
    <w:basedOn w:val="Normal"/>
    <w:next w:val="Normal"/>
    <w:link w:val="Heading1Char"/>
    <w:uiPriority w:val="9"/>
    <w:qFormat/>
    <w:rsid w:val="0015233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15233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5233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52336"/>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52336"/>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152336"/>
    <w:pPr>
      <w:keepNext/>
      <w:keepLines/>
      <w:spacing w:line="240" w:lineRule="auto"/>
      <w:ind w:left="1134" w:hanging="1134"/>
      <w:outlineLvl w:val="5"/>
    </w:pPr>
    <w:rPr>
      <w:rFonts w:ascii="Arial" w:eastAsia="Times New Roman" w:hAnsi="Arial" w:cs="Times New Roman"/>
      <w:b/>
      <w:kern w:val="28"/>
      <w:sz w:val="32"/>
      <w:lang w:eastAsia="en-AU"/>
    </w:rPr>
  </w:style>
  <w:style w:type="paragraph" w:styleId="Heading7">
    <w:name w:val="heading 7"/>
    <w:basedOn w:val="Normal"/>
    <w:next w:val="Normal"/>
    <w:link w:val="Heading7Char"/>
    <w:uiPriority w:val="9"/>
    <w:semiHidden/>
    <w:unhideWhenUsed/>
    <w:qFormat/>
    <w:rsid w:val="00152336"/>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52336"/>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1523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PCCharBase">
    <w:name w:val="OPCCharBase"/>
    <w:uiPriority w:val="1"/>
    <w:qFormat/>
    <w:rsid w:val="00A231E2"/>
  </w:style>
  <w:style w:type="paragraph" w:customStyle="1" w:styleId="OPCParaBase">
    <w:name w:val="OPCParaBase"/>
    <w:qFormat/>
    <w:rsid w:val="00A231E2"/>
    <w:pPr>
      <w:spacing w:line="260" w:lineRule="atLeast"/>
    </w:pPr>
    <w:rPr>
      <w:rFonts w:eastAsia="Times New Roman" w:cs="Times New Roman"/>
      <w:sz w:val="22"/>
      <w:lang w:eastAsia="en-AU"/>
    </w:rPr>
  </w:style>
  <w:style w:type="paragraph" w:customStyle="1" w:styleId="ShortT">
    <w:name w:val="ShortT"/>
    <w:basedOn w:val="OPCParaBase"/>
    <w:next w:val="Normal"/>
    <w:qFormat/>
    <w:rsid w:val="00A231E2"/>
    <w:pPr>
      <w:spacing w:line="240" w:lineRule="auto"/>
    </w:pPr>
    <w:rPr>
      <w:b/>
      <w:sz w:val="40"/>
    </w:rPr>
  </w:style>
  <w:style w:type="paragraph" w:customStyle="1" w:styleId="ActHead1">
    <w:name w:val="ActHead 1"/>
    <w:aliases w:val="c"/>
    <w:basedOn w:val="OPCParaBase"/>
    <w:next w:val="Normal"/>
    <w:qFormat/>
    <w:rsid w:val="00A231E2"/>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6C7F8C"/>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6C7F8C"/>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6C7F8C"/>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1E7407"/>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E7407"/>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774EDD"/>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774EDD"/>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774EDD"/>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A231E2"/>
  </w:style>
  <w:style w:type="paragraph" w:customStyle="1" w:styleId="Blocks">
    <w:name w:val="Blocks"/>
    <w:aliases w:val="bb"/>
    <w:basedOn w:val="OPCParaBase"/>
    <w:qFormat/>
    <w:rsid w:val="00A231E2"/>
    <w:pPr>
      <w:spacing w:line="240" w:lineRule="auto"/>
    </w:pPr>
    <w:rPr>
      <w:sz w:val="24"/>
    </w:rPr>
  </w:style>
  <w:style w:type="paragraph" w:customStyle="1" w:styleId="BoxText">
    <w:name w:val="BoxText"/>
    <w:aliases w:val="bt"/>
    <w:basedOn w:val="OPCParaBase"/>
    <w:qFormat/>
    <w:rsid w:val="00240749"/>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A231E2"/>
    <w:rPr>
      <w:b/>
    </w:rPr>
  </w:style>
  <w:style w:type="paragraph" w:customStyle="1" w:styleId="BoxHeadItalic">
    <w:name w:val="BoxHeadItalic"/>
    <w:aliases w:val="bhi"/>
    <w:basedOn w:val="BoxText"/>
    <w:next w:val="BoxStep"/>
    <w:qFormat/>
    <w:rsid w:val="00A231E2"/>
    <w:rPr>
      <w:i/>
    </w:rPr>
  </w:style>
  <w:style w:type="paragraph" w:customStyle="1" w:styleId="BoxList">
    <w:name w:val="BoxList"/>
    <w:aliases w:val="bl"/>
    <w:basedOn w:val="BoxText"/>
    <w:qFormat/>
    <w:rsid w:val="00A231E2"/>
    <w:pPr>
      <w:ind w:left="1559" w:hanging="425"/>
    </w:pPr>
  </w:style>
  <w:style w:type="paragraph" w:customStyle="1" w:styleId="BoxNote">
    <w:name w:val="BoxNote"/>
    <w:aliases w:val="bn"/>
    <w:basedOn w:val="BoxText"/>
    <w:qFormat/>
    <w:rsid w:val="00A231E2"/>
    <w:pPr>
      <w:tabs>
        <w:tab w:val="left" w:pos="1985"/>
      </w:tabs>
      <w:spacing w:before="122" w:line="198" w:lineRule="exact"/>
      <w:ind w:left="2948" w:hanging="1814"/>
    </w:pPr>
    <w:rPr>
      <w:sz w:val="18"/>
    </w:rPr>
  </w:style>
  <w:style w:type="paragraph" w:customStyle="1" w:styleId="BoxPara">
    <w:name w:val="BoxPara"/>
    <w:aliases w:val="bp"/>
    <w:basedOn w:val="BoxText"/>
    <w:qFormat/>
    <w:rsid w:val="00A231E2"/>
    <w:pPr>
      <w:tabs>
        <w:tab w:val="right" w:pos="2268"/>
      </w:tabs>
      <w:ind w:left="2552" w:hanging="1418"/>
    </w:pPr>
  </w:style>
  <w:style w:type="paragraph" w:customStyle="1" w:styleId="BoxStep">
    <w:name w:val="BoxStep"/>
    <w:aliases w:val="bs"/>
    <w:basedOn w:val="BoxText"/>
    <w:qFormat/>
    <w:rsid w:val="00A231E2"/>
    <w:pPr>
      <w:ind w:left="1985" w:hanging="851"/>
    </w:pPr>
  </w:style>
  <w:style w:type="character" w:customStyle="1" w:styleId="CharAmPartNo">
    <w:name w:val="CharAmPartNo"/>
    <w:basedOn w:val="OPCCharBase"/>
    <w:uiPriority w:val="1"/>
    <w:qFormat/>
    <w:rsid w:val="00A231E2"/>
  </w:style>
  <w:style w:type="character" w:customStyle="1" w:styleId="CharAmPartText">
    <w:name w:val="CharAmPartText"/>
    <w:basedOn w:val="OPCCharBase"/>
    <w:uiPriority w:val="1"/>
    <w:qFormat/>
    <w:rsid w:val="00A231E2"/>
  </w:style>
  <w:style w:type="character" w:customStyle="1" w:styleId="CharAmSchNo">
    <w:name w:val="CharAmSchNo"/>
    <w:basedOn w:val="OPCCharBase"/>
    <w:uiPriority w:val="1"/>
    <w:qFormat/>
    <w:rsid w:val="00A231E2"/>
  </w:style>
  <w:style w:type="character" w:customStyle="1" w:styleId="CharAmSchText">
    <w:name w:val="CharAmSchText"/>
    <w:basedOn w:val="OPCCharBase"/>
    <w:uiPriority w:val="1"/>
    <w:qFormat/>
    <w:rsid w:val="00A231E2"/>
  </w:style>
  <w:style w:type="character" w:customStyle="1" w:styleId="CharBoldItalic">
    <w:name w:val="CharBoldItalic"/>
    <w:basedOn w:val="OPCCharBase"/>
    <w:uiPriority w:val="1"/>
    <w:qFormat/>
    <w:rsid w:val="00A231E2"/>
    <w:rPr>
      <w:b/>
      <w:i/>
    </w:rPr>
  </w:style>
  <w:style w:type="character" w:customStyle="1" w:styleId="CharChapNo">
    <w:name w:val="CharChapNo"/>
    <w:basedOn w:val="OPCCharBase"/>
    <w:qFormat/>
    <w:rsid w:val="00A231E2"/>
  </w:style>
  <w:style w:type="character" w:customStyle="1" w:styleId="CharChapText">
    <w:name w:val="CharChapText"/>
    <w:basedOn w:val="OPCCharBase"/>
    <w:qFormat/>
    <w:rsid w:val="00A231E2"/>
  </w:style>
  <w:style w:type="character" w:customStyle="1" w:styleId="CharDivNo">
    <w:name w:val="CharDivNo"/>
    <w:basedOn w:val="OPCCharBase"/>
    <w:uiPriority w:val="1"/>
    <w:qFormat/>
    <w:rsid w:val="00A231E2"/>
  </w:style>
  <w:style w:type="character" w:customStyle="1" w:styleId="CharDivText">
    <w:name w:val="CharDivText"/>
    <w:basedOn w:val="OPCCharBase"/>
    <w:uiPriority w:val="1"/>
    <w:qFormat/>
    <w:rsid w:val="00A231E2"/>
  </w:style>
  <w:style w:type="character" w:customStyle="1" w:styleId="CharItalic">
    <w:name w:val="CharItalic"/>
    <w:basedOn w:val="OPCCharBase"/>
    <w:uiPriority w:val="1"/>
    <w:qFormat/>
    <w:rsid w:val="00A231E2"/>
    <w:rPr>
      <w:i/>
    </w:rPr>
  </w:style>
  <w:style w:type="character" w:customStyle="1" w:styleId="CharPartNo">
    <w:name w:val="CharPartNo"/>
    <w:basedOn w:val="OPCCharBase"/>
    <w:uiPriority w:val="1"/>
    <w:qFormat/>
    <w:rsid w:val="00A231E2"/>
  </w:style>
  <w:style w:type="character" w:customStyle="1" w:styleId="CharPartText">
    <w:name w:val="CharPartText"/>
    <w:basedOn w:val="OPCCharBase"/>
    <w:uiPriority w:val="1"/>
    <w:qFormat/>
    <w:rsid w:val="00A231E2"/>
  </w:style>
  <w:style w:type="character" w:customStyle="1" w:styleId="CharSectno">
    <w:name w:val="CharSectno"/>
    <w:basedOn w:val="OPCCharBase"/>
    <w:qFormat/>
    <w:rsid w:val="00A231E2"/>
  </w:style>
  <w:style w:type="character" w:customStyle="1" w:styleId="CharSubdNo">
    <w:name w:val="CharSubdNo"/>
    <w:basedOn w:val="OPCCharBase"/>
    <w:uiPriority w:val="1"/>
    <w:qFormat/>
    <w:rsid w:val="00A231E2"/>
  </w:style>
  <w:style w:type="character" w:customStyle="1" w:styleId="CharSubdText">
    <w:name w:val="CharSubdText"/>
    <w:basedOn w:val="OPCCharBase"/>
    <w:uiPriority w:val="1"/>
    <w:qFormat/>
    <w:rsid w:val="00A231E2"/>
  </w:style>
  <w:style w:type="paragraph" w:customStyle="1" w:styleId="CTA--">
    <w:name w:val="CTA --"/>
    <w:basedOn w:val="OPCParaBase"/>
    <w:next w:val="Normal"/>
    <w:rsid w:val="00166C2F"/>
    <w:pPr>
      <w:spacing w:before="60" w:line="240" w:lineRule="atLeast"/>
      <w:ind w:left="142" w:hanging="142"/>
    </w:pPr>
    <w:rPr>
      <w:sz w:val="20"/>
    </w:rPr>
  </w:style>
  <w:style w:type="paragraph" w:customStyle="1" w:styleId="CTA-">
    <w:name w:val="CTA -"/>
    <w:basedOn w:val="OPCParaBase"/>
    <w:rsid w:val="00677CC2"/>
    <w:pPr>
      <w:spacing w:before="60" w:line="240" w:lineRule="atLeast"/>
      <w:ind w:left="85" w:hanging="85"/>
    </w:pPr>
    <w:rPr>
      <w:sz w:val="20"/>
    </w:rPr>
  </w:style>
  <w:style w:type="paragraph" w:customStyle="1" w:styleId="CTA---">
    <w:name w:val="CTA ---"/>
    <w:basedOn w:val="OPCParaBase"/>
    <w:next w:val="Normal"/>
    <w:rsid w:val="00677CC2"/>
    <w:pPr>
      <w:spacing w:before="60" w:line="240" w:lineRule="atLeast"/>
      <w:ind w:left="198" w:hanging="198"/>
    </w:pPr>
    <w:rPr>
      <w:sz w:val="20"/>
    </w:rPr>
  </w:style>
  <w:style w:type="paragraph" w:customStyle="1" w:styleId="CTA----">
    <w:name w:val="CTA ----"/>
    <w:basedOn w:val="OPCParaBase"/>
    <w:next w:val="Normal"/>
    <w:rsid w:val="00677CC2"/>
    <w:pPr>
      <w:spacing w:before="60" w:line="240" w:lineRule="atLeast"/>
      <w:ind w:left="255" w:hanging="255"/>
    </w:pPr>
    <w:rPr>
      <w:sz w:val="20"/>
    </w:rPr>
  </w:style>
  <w:style w:type="paragraph" w:customStyle="1" w:styleId="CTA1a">
    <w:name w:val="CTA 1(a)"/>
    <w:basedOn w:val="OPCParaBase"/>
    <w:rsid w:val="00A70A74"/>
    <w:pPr>
      <w:tabs>
        <w:tab w:val="right" w:pos="414"/>
      </w:tabs>
      <w:spacing w:before="40" w:line="240" w:lineRule="atLeast"/>
      <w:ind w:left="675" w:hanging="675"/>
    </w:pPr>
    <w:rPr>
      <w:sz w:val="20"/>
    </w:rPr>
  </w:style>
  <w:style w:type="paragraph" w:customStyle="1" w:styleId="CTA1ai">
    <w:name w:val="CTA 1(a)(i)"/>
    <w:basedOn w:val="OPCParaBase"/>
    <w:rsid w:val="00A70A74"/>
    <w:pPr>
      <w:tabs>
        <w:tab w:val="right" w:pos="1004"/>
      </w:tabs>
      <w:spacing w:before="40" w:line="240" w:lineRule="atLeast"/>
      <w:ind w:left="1253" w:hanging="1253"/>
    </w:pPr>
    <w:rPr>
      <w:sz w:val="20"/>
    </w:rPr>
  </w:style>
  <w:style w:type="paragraph" w:customStyle="1" w:styleId="CTA2a">
    <w:name w:val="CTA 2(a)"/>
    <w:basedOn w:val="OPCParaBase"/>
    <w:rsid w:val="00297ECB"/>
    <w:pPr>
      <w:tabs>
        <w:tab w:val="right" w:pos="482"/>
      </w:tabs>
      <w:spacing w:before="40" w:line="240" w:lineRule="atLeast"/>
      <w:ind w:left="748" w:hanging="748"/>
    </w:pPr>
    <w:rPr>
      <w:sz w:val="20"/>
    </w:rPr>
  </w:style>
  <w:style w:type="paragraph" w:customStyle="1" w:styleId="CTA2ai">
    <w:name w:val="CTA 2(a)(i)"/>
    <w:basedOn w:val="OPCParaBase"/>
    <w:rsid w:val="00297ECB"/>
    <w:pPr>
      <w:tabs>
        <w:tab w:val="right" w:pos="1089"/>
      </w:tabs>
      <w:spacing w:before="40" w:line="240" w:lineRule="atLeast"/>
      <w:ind w:left="1327" w:hanging="1327"/>
    </w:pPr>
    <w:rPr>
      <w:sz w:val="20"/>
    </w:rPr>
  </w:style>
  <w:style w:type="paragraph" w:customStyle="1" w:styleId="CTA3a">
    <w:name w:val="CTA 3(a)"/>
    <w:basedOn w:val="OPCParaBase"/>
    <w:rsid w:val="00297ECB"/>
    <w:pPr>
      <w:tabs>
        <w:tab w:val="right" w:pos="556"/>
      </w:tabs>
      <w:spacing w:before="40" w:line="240" w:lineRule="atLeast"/>
      <w:ind w:left="805" w:hanging="805"/>
    </w:pPr>
    <w:rPr>
      <w:sz w:val="20"/>
    </w:rPr>
  </w:style>
  <w:style w:type="paragraph" w:customStyle="1" w:styleId="CTA3ai">
    <w:name w:val="CTA 3(a)(i)"/>
    <w:basedOn w:val="OPCParaBase"/>
    <w:rsid w:val="00297ECB"/>
    <w:pPr>
      <w:tabs>
        <w:tab w:val="right" w:pos="1140"/>
      </w:tabs>
      <w:spacing w:before="40" w:line="240" w:lineRule="atLeast"/>
      <w:ind w:left="1361" w:hanging="1361"/>
    </w:pPr>
    <w:rPr>
      <w:sz w:val="20"/>
    </w:rPr>
  </w:style>
  <w:style w:type="paragraph" w:customStyle="1" w:styleId="CTA4a">
    <w:name w:val="CTA 4(a)"/>
    <w:basedOn w:val="OPCParaBase"/>
    <w:rsid w:val="00297ECB"/>
    <w:pPr>
      <w:tabs>
        <w:tab w:val="right" w:pos="624"/>
      </w:tabs>
      <w:spacing w:before="40" w:line="240" w:lineRule="atLeast"/>
      <w:ind w:left="873" w:hanging="873"/>
    </w:pPr>
    <w:rPr>
      <w:sz w:val="20"/>
    </w:rPr>
  </w:style>
  <w:style w:type="paragraph" w:customStyle="1" w:styleId="CTA4ai">
    <w:name w:val="CTA 4(a)(i)"/>
    <w:basedOn w:val="OPCParaBase"/>
    <w:rsid w:val="00297ECB"/>
    <w:pPr>
      <w:tabs>
        <w:tab w:val="right" w:pos="1213"/>
      </w:tabs>
      <w:spacing w:before="40" w:line="240" w:lineRule="atLeast"/>
      <w:ind w:left="1452" w:hanging="1452"/>
    </w:pPr>
    <w:rPr>
      <w:sz w:val="20"/>
    </w:rPr>
  </w:style>
  <w:style w:type="paragraph" w:customStyle="1" w:styleId="CTACAPS">
    <w:name w:val="CTA CAPS"/>
    <w:basedOn w:val="OPCParaBase"/>
    <w:rsid w:val="00B33B3C"/>
    <w:pPr>
      <w:spacing w:before="60" w:line="240" w:lineRule="atLeast"/>
    </w:pPr>
    <w:rPr>
      <w:sz w:val="20"/>
    </w:rPr>
  </w:style>
  <w:style w:type="paragraph" w:customStyle="1" w:styleId="CTAright">
    <w:name w:val="CTA right"/>
    <w:basedOn w:val="OPCParaBase"/>
    <w:rsid w:val="003415D3"/>
    <w:pPr>
      <w:spacing w:before="60" w:line="240" w:lineRule="auto"/>
      <w:jc w:val="right"/>
    </w:pPr>
    <w:rPr>
      <w:sz w:val="20"/>
    </w:rPr>
  </w:style>
  <w:style w:type="paragraph" w:customStyle="1" w:styleId="subsection">
    <w:name w:val="subsection"/>
    <w:aliases w:val="ss,Subsection"/>
    <w:basedOn w:val="OPCParaBase"/>
    <w:link w:val="subsectionChar"/>
    <w:rsid w:val="00600219"/>
    <w:pPr>
      <w:tabs>
        <w:tab w:val="right" w:pos="1021"/>
      </w:tabs>
      <w:spacing w:before="180" w:line="240" w:lineRule="auto"/>
      <w:ind w:left="1134" w:hanging="1134"/>
    </w:pPr>
  </w:style>
  <w:style w:type="paragraph" w:customStyle="1" w:styleId="Definition">
    <w:name w:val="Definition"/>
    <w:aliases w:val="dd"/>
    <w:basedOn w:val="OPCParaBase"/>
    <w:rsid w:val="00600219"/>
    <w:pPr>
      <w:spacing w:before="180" w:line="240" w:lineRule="auto"/>
      <w:ind w:left="1134"/>
    </w:pPr>
  </w:style>
  <w:style w:type="paragraph" w:customStyle="1" w:styleId="EndNotespara">
    <w:name w:val="EndNotes(para)"/>
    <w:aliases w:val="eta"/>
    <w:basedOn w:val="OPCParaBase"/>
    <w:next w:val="EndNotessubpara"/>
    <w:rsid w:val="00F32BA8"/>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F32BA8"/>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F32BA8"/>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F32BA8"/>
    <w:pPr>
      <w:tabs>
        <w:tab w:val="right" w:pos="1412"/>
      </w:tabs>
      <w:spacing w:before="60" w:line="240" w:lineRule="auto"/>
      <w:ind w:left="1525" w:hanging="1525"/>
    </w:pPr>
    <w:rPr>
      <w:sz w:val="20"/>
    </w:rPr>
  </w:style>
  <w:style w:type="paragraph" w:customStyle="1" w:styleId="Formula">
    <w:name w:val="Formula"/>
    <w:basedOn w:val="OPCParaBase"/>
    <w:rsid w:val="00BE720A"/>
    <w:pPr>
      <w:spacing w:line="240" w:lineRule="auto"/>
      <w:ind w:left="1134"/>
    </w:pPr>
    <w:rPr>
      <w:sz w:val="20"/>
    </w:rPr>
  </w:style>
  <w:style w:type="paragraph" w:styleId="Header">
    <w:name w:val="header"/>
    <w:basedOn w:val="OPCParaBase"/>
    <w:link w:val="HeaderChar"/>
    <w:unhideWhenUsed/>
    <w:rsid w:val="001C69C4"/>
    <w:pPr>
      <w:keepNext/>
      <w:keepLines/>
      <w:tabs>
        <w:tab w:val="center" w:pos="4150"/>
        <w:tab w:val="right" w:pos="8307"/>
      </w:tabs>
      <w:spacing w:line="160" w:lineRule="exact"/>
    </w:pPr>
    <w:rPr>
      <w:sz w:val="16"/>
    </w:rPr>
  </w:style>
  <w:style w:type="character" w:customStyle="1" w:styleId="HeaderChar">
    <w:name w:val="Header Char"/>
    <w:basedOn w:val="DefaultParagraphFont"/>
    <w:link w:val="Header"/>
    <w:rsid w:val="001C69C4"/>
    <w:rPr>
      <w:rFonts w:eastAsia="Times New Roman" w:cs="Times New Roman"/>
      <w:sz w:val="16"/>
      <w:lang w:eastAsia="en-AU"/>
    </w:rPr>
  </w:style>
  <w:style w:type="paragraph" w:customStyle="1" w:styleId="House">
    <w:name w:val="House"/>
    <w:basedOn w:val="OPCParaBase"/>
    <w:rsid w:val="001C69C4"/>
    <w:pPr>
      <w:spacing w:line="240" w:lineRule="auto"/>
    </w:pPr>
    <w:rPr>
      <w:sz w:val="28"/>
    </w:rPr>
  </w:style>
  <w:style w:type="paragraph" w:customStyle="1" w:styleId="Item">
    <w:name w:val="Item"/>
    <w:aliases w:val="i"/>
    <w:basedOn w:val="OPCParaBase"/>
    <w:next w:val="ItemHead"/>
    <w:rsid w:val="00C42BF8"/>
    <w:pPr>
      <w:keepLines/>
      <w:spacing w:before="80" w:line="240" w:lineRule="auto"/>
      <w:ind w:left="709"/>
    </w:pPr>
  </w:style>
  <w:style w:type="paragraph" w:customStyle="1" w:styleId="ItemHead">
    <w:name w:val="ItemHead"/>
    <w:aliases w:val="ih"/>
    <w:basedOn w:val="OPCParaBase"/>
    <w:next w:val="Item"/>
    <w:rsid w:val="00824498"/>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0D05EF"/>
    <w:pPr>
      <w:spacing w:line="240" w:lineRule="auto"/>
    </w:pPr>
    <w:rPr>
      <w:b/>
      <w:sz w:val="32"/>
    </w:rPr>
  </w:style>
  <w:style w:type="paragraph" w:customStyle="1" w:styleId="notedraft">
    <w:name w:val="note(draft)"/>
    <w:aliases w:val="nd"/>
    <w:basedOn w:val="OPCParaBase"/>
    <w:rsid w:val="000D05EF"/>
    <w:pPr>
      <w:spacing w:before="240" w:line="240" w:lineRule="auto"/>
      <w:ind w:left="284" w:hanging="284"/>
    </w:pPr>
    <w:rPr>
      <w:i/>
      <w:sz w:val="24"/>
    </w:rPr>
  </w:style>
  <w:style w:type="paragraph" w:customStyle="1" w:styleId="notemargin">
    <w:name w:val="note(margin)"/>
    <w:aliases w:val="nm"/>
    <w:basedOn w:val="OPCParaBase"/>
    <w:rsid w:val="000D05EF"/>
    <w:pPr>
      <w:tabs>
        <w:tab w:val="left" w:pos="709"/>
      </w:tabs>
      <w:spacing w:before="122" w:line="198" w:lineRule="exact"/>
      <w:ind w:left="709" w:hanging="709"/>
    </w:pPr>
    <w:rPr>
      <w:sz w:val="18"/>
    </w:rPr>
  </w:style>
  <w:style w:type="paragraph" w:customStyle="1" w:styleId="noteToPara">
    <w:name w:val="noteToPara"/>
    <w:aliases w:val="ntp"/>
    <w:basedOn w:val="OPCParaBase"/>
    <w:rsid w:val="00594749"/>
    <w:pPr>
      <w:spacing w:before="122" w:line="198" w:lineRule="exact"/>
      <w:ind w:left="2353" w:hanging="709"/>
    </w:pPr>
    <w:rPr>
      <w:sz w:val="18"/>
    </w:rPr>
  </w:style>
  <w:style w:type="paragraph" w:customStyle="1" w:styleId="noteParlAmend">
    <w:name w:val="note(ParlAmend)"/>
    <w:aliases w:val="npp"/>
    <w:basedOn w:val="OPCParaBase"/>
    <w:next w:val="ParlAmend"/>
    <w:rsid w:val="00594749"/>
    <w:pPr>
      <w:spacing w:line="240" w:lineRule="auto"/>
      <w:jc w:val="right"/>
    </w:pPr>
    <w:rPr>
      <w:rFonts w:ascii="Arial" w:hAnsi="Arial"/>
      <w:b/>
      <w:i/>
    </w:rPr>
  </w:style>
  <w:style w:type="paragraph" w:customStyle="1" w:styleId="notetext">
    <w:name w:val="note(text)"/>
    <w:aliases w:val="n"/>
    <w:basedOn w:val="OPCParaBase"/>
    <w:link w:val="notetextChar"/>
    <w:rsid w:val="00594749"/>
    <w:pPr>
      <w:spacing w:before="122" w:line="198" w:lineRule="exact"/>
      <w:ind w:left="1985" w:hanging="851"/>
    </w:pPr>
    <w:rPr>
      <w:sz w:val="18"/>
    </w:rPr>
  </w:style>
  <w:style w:type="paragraph" w:customStyle="1" w:styleId="Page1">
    <w:name w:val="Page1"/>
    <w:basedOn w:val="OPCParaBase"/>
    <w:rsid w:val="00195382"/>
    <w:pPr>
      <w:spacing w:before="5600" w:line="240" w:lineRule="auto"/>
    </w:pPr>
    <w:rPr>
      <w:b/>
      <w:sz w:val="32"/>
    </w:rPr>
  </w:style>
  <w:style w:type="paragraph" w:customStyle="1" w:styleId="PageBreak">
    <w:name w:val="PageBreak"/>
    <w:aliases w:val="pb"/>
    <w:basedOn w:val="OPCParaBase"/>
    <w:rsid w:val="00CF3EE8"/>
    <w:pPr>
      <w:spacing w:line="240" w:lineRule="auto"/>
    </w:pPr>
    <w:rPr>
      <w:sz w:val="20"/>
    </w:rPr>
  </w:style>
  <w:style w:type="paragraph" w:customStyle="1" w:styleId="paragraphsub">
    <w:name w:val="paragraph(sub)"/>
    <w:aliases w:val="aa"/>
    <w:basedOn w:val="OPCParaBase"/>
    <w:rsid w:val="00A64912"/>
    <w:pPr>
      <w:tabs>
        <w:tab w:val="right" w:pos="1985"/>
      </w:tabs>
      <w:spacing w:before="40" w:line="240" w:lineRule="auto"/>
      <w:ind w:left="2098" w:hanging="2098"/>
    </w:pPr>
  </w:style>
  <w:style w:type="paragraph" w:customStyle="1" w:styleId="paragraphsub-sub">
    <w:name w:val="paragraph(sub-sub)"/>
    <w:aliases w:val="aaa"/>
    <w:basedOn w:val="OPCParaBase"/>
    <w:rsid w:val="00AD5641"/>
    <w:pPr>
      <w:tabs>
        <w:tab w:val="right" w:pos="2722"/>
      </w:tabs>
      <w:spacing w:before="40" w:line="240" w:lineRule="auto"/>
      <w:ind w:left="2835" w:hanging="2835"/>
    </w:pPr>
  </w:style>
  <w:style w:type="paragraph" w:customStyle="1" w:styleId="paragraph">
    <w:name w:val="paragraph"/>
    <w:aliases w:val="a"/>
    <w:basedOn w:val="OPCParaBase"/>
    <w:link w:val="paragraphChar"/>
    <w:rsid w:val="00AD5641"/>
    <w:pPr>
      <w:tabs>
        <w:tab w:val="right" w:pos="1531"/>
      </w:tabs>
      <w:spacing w:before="40" w:line="240" w:lineRule="auto"/>
      <w:ind w:left="1644" w:hanging="1644"/>
    </w:pPr>
  </w:style>
  <w:style w:type="paragraph" w:customStyle="1" w:styleId="ParlAmend">
    <w:name w:val="ParlAmend"/>
    <w:aliases w:val="pp"/>
    <w:basedOn w:val="OPCParaBase"/>
    <w:rsid w:val="00AD5641"/>
    <w:pPr>
      <w:spacing w:before="240" w:line="240" w:lineRule="atLeast"/>
      <w:ind w:hanging="567"/>
    </w:pPr>
    <w:rPr>
      <w:sz w:val="24"/>
    </w:rPr>
  </w:style>
  <w:style w:type="paragraph" w:customStyle="1" w:styleId="Penalty">
    <w:name w:val="Penalty"/>
    <w:basedOn w:val="OPCParaBase"/>
    <w:rsid w:val="00496F97"/>
    <w:pPr>
      <w:tabs>
        <w:tab w:val="left" w:pos="2977"/>
      </w:tabs>
      <w:spacing w:before="180" w:line="240" w:lineRule="auto"/>
      <w:ind w:left="1985" w:hanging="851"/>
    </w:pPr>
  </w:style>
  <w:style w:type="paragraph" w:customStyle="1" w:styleId="Portfolio">
    <w:name w:val="Portfolio"/>
    <w:basedOn w:val="OPCParaBase"/>
    <w:rsid w:val="00352B0F"/>
    <w:pPr>
      <w:spacing w:line="240" w:lineRule="auto"/>
    </w:pPr>
    <w:rPr>
      <w:i/>
      <w:sz w:val="20"/>
    </w:rPr>
  </w:style>
  <w:style w:type="paragraph" w:customStyle="1" w:styleId="Preamble">
    <w:name w:val="Preamble"/>
    <w:basedOn w:val="OPCParaBase"/>
    <w:next w:val="Normal"/>
    <w:rsid w:val="00352B0F"/>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352B0F"/>
    <w:pPr>
      <w:spacing w:line="240" w:lineRule="auto"/>
    </w:pPr>
    <w:rPr>
      <w:i/>
      <w:sz w:val="20"/>
    </w:rPr>
  </w:style>
  <w:style w:type="paragraph" w:customStyle="1" w:styleId="Session">
    <w:name w:val="Session"/>
    <w:basedOn w:val="OPCParaBase"/>
    <w:rsid w:val="000136AF"/>
    <w:pPr>
      <w:spacing w:line="240" w:lineRule="auto"/>
    </w:pPr>
    <w:rPr>
      <w:sz w:val="28"/>
    </w:rPr>
  </w:style>
  <w:style w:type="paragraph" w:customStyle="1" w:styleId="Sponsor">
    <w:name w:val="Sponsor"/>
    <w:basedOn w:val="OPCParaBase"/>
    <w:rsid w:val="000136AF"/>
    <w:pPr>
      <w:spacing w:line="240" w:lineRule="auto"/>
    </w:pPr>
    <w:rPr>
      <w:i/>
    </w:rPr>
  </w:style>
  <w:style w:type="paragraph" w:customStyle="1" w:styleId="Subitem">
    <w:name w:val="Subitem"/>
    <w:aliases w:val="iss"/>
    <w:basedOn w:val="OPCParaBase"/>
    <w:rsid w:val="000136AF"/>
    <w:pPr>
      <w:spacing w:before="180" w:line="240" w:lineRule="auto"/>
      <w:ind w:left="709" w:hanging="709"/>
    </w:pPr>
  </w:style>
  <w:style w:type="paragraph" w:customStyle="1" w:styleId="SubitemHead">
    <w:name w:val="SubitemHead"/>
    <w:aliases w:val="issh"/>
    <w:basedOn w:val="OPCParaBase"/>
    <w:rsid w:val="000136AF"/>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C7573B"/>
    <w:pPr>
      <w:spacing w:before="40" w:line="240" w:lineRule="auto"/>
      <w:ind w:left="1134"/>
    </w:pPr>
  </w:style>
  <w:style w:type="paragraph" w:customStyle="1" w:styleId="SubsectionHead">
    <w:name w:val="SubsectionHead"/>
    <w:aliases w:val="ssh"/>
    <w:basedOn w:val="OPCParaBase"/>
    <w:next w:val="subsection"/>
    <w:rsid w:val="00C7573B"/>
    <w:pPr>
      <w:keepNext/>
      <w:keepLines/>
      <w:spacing w:before="240" w:line="240" w:lineRule="auto"/>
      <w:ind w:left="1134"/>
    </w:pPr>
    <w:rPr>
      <w:i/>
    </w:rPr>
  </w:style>
  <w:style w:type="paragraph" w:customStyle="1" w:styleId="Tablea">
    <w:name w:val="Table(a)"/>
    <w:aliases w:val="ta"/>
    <w:basedOn w:val="OPCParaBase"/>
    <w:rsid w:val="00537FBC"/>
    <w:pPr>
      <w:spacing w:before="60" w:line="240" w:lineRule="auto"/>
      <w:ind w:left="284" w:hanging="284"/>
    </w:pPr>
    <w:rPr>
      <w:sz w:val="20"/>
    </w:rPr>
  </w:style>
  <w:style w:type="paragraph" w:customStyle="1" w:styleId="TableAA">
    <w:name w:val="Table(AA)"/>
    <w:aliases w:val="taaa"/>
    <w:basedOn w:val="OPCParaBase"/>
    <w:rsid w:val="00BE719A"/>
    <w:pPr>
      <w:tabs>
        <w:tab w:val="left" w:pos="-6543"/>
        <w:tab w:val="left" w:pos="-6260"/>
      </w:tabs>
      <w:spacing w:line="240" w:lineRule="exact"/>
      <w:ind w:left="1055" w:hanging="284"/>
    </w:pPr>
    <w:rPr>
      <w:sz w:val="20"/>
    </w:rPr>
  </w:style>
  <w:style w:type="paragraph" w:customStyle="1" w:styleId="Tablei">
    <w:name w:val="Table(i)"/>
    <w:aliases w:val="taa"/>
    <w:basedOn w:val="OPCParaBase"/>
    <w:rsid w:val="00BE719A"/>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BE719A"/>
    <w:pPr>
      <w:spacing w:before="60" w:line="240" w:lineRule="atLeast"/>
    </w:pPr>
    <w:rPr>
      <w:sz w:val="20"/>
    </w:rPr>
  </w:style>
  <w:style w:type="paragraph" w:customStyle="1" w:styleId="TLPBoxTextnote">
    <w:name w:val="TLPBoxText(note"/>
    <w:aliases w:val="right)"/>
    <w:basedOn w:val="OPCParaBase"/>
    <w:rsid w:val="00731E00"/>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8D0EE0"/>
    <w:pPr>
      <w:numPr>
        <w:numId w:val="11"/>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594161"/>
    <w:pPr>
      <w:spacing w:before="122" w:line="198" w:lineRule="exact"/>
      <w:ind w:left="1985" w:hanging="851"/>
      <w:jc w:val="right"/>
    </w:pPr>
    <w:rPr>
      <w:sz w:val="18"/>
    </w:rPr>
  </w:style>
  <w:style w:type="paragraph" w:customStyle="1" w:styleId="TLPTableBullet">
    <w:name w:val="TLPTableBullet"/>
    <w:aliases w:val="ttb"/>
    <w:basedOn w:val="OPCParaBase"/>
    <w:rsid w:val="0044291A"/>
    <w:pPr>
      <w:spacing w:line="240" w:lineRule="exact"/>
      <w:ind w:left="284" w:hanging="284"/>
    </w:pPr>
    <w:rPr>
      <w:sz w:val="20"/>
    </w:rPr>
  </w:style>
  <w:style w:type="paragraph" w:styleId="TOC1">
    <w:name w:val="toc 1"/>
    <w:basedOn w:val="OPCParaBase"/>
    <w:next w:val="Normal"/>
    <w:uiPriority w:val="39"/>
    <w:unhideWhenUsed/>
    <w:rsid w:val="006B5789"/>
    <w:pPr>
      <w:keepNext/>
      <w:keepLines/>
      <w:tabs>
        <w:tab w:val="right" w:pos="8278"/>
      </w:tabs>
      <w:spacing w:before="120" w:line="240" w:lineRule="auto"/>
      <w:ind w:left="1474" w:right="567" w:hanging="1474"/>
    </w:pPr>
    <w:rPr>
      <w:b/>
      <w:kern w:val="28"/>
      <w:sz w:val="28"/>
    </w:rPr>
  </w:style>
  <w:style w:type="paragraph" w:styleId="TOC2">
    <w:name w:val="toc 2"/>
    <w:basedOn w:val="OPCParaBase"/>
    <w:next w:val="Normal"/>
    <w:uiPriority w:val="39"/>
    <w:unhideWhenUsed/>
    <w:rsid w:val="006B5789"/>
    <w:pPr>
      <w:keepNext/>
      <w:keepLines/>
      <w:tabs>
        <w:tab w:val="right" w:pos="8278"/>
      </w:tabs>
      <w:spacing w:before="120" w:line="240" w:lineRule="auto"/>
      <w:ind w:left="879" w:right="567" w:hanging="879"/>
    </w:pPr>
    <w:rPr>
      <w:b/>
      <w:kern w:val="28"/>
      <w:sz w:val="24"/>
    </w:rPr>
  </w:style>
  <w:style w:type="paragraph" w:styleId="TOC3">
    <w:name w:val="toc 3"/>
    <w:basedOn w:val="OPCParaBase"/>
    <w:next w:val="Normal"/>
    <w:uiPriority w:val="39"/>
    <w:unhideWhenUsed/>
    <w:rsid w:val="006B5789"/>
    <w:pPr>
      <w:keepNext/>
      <w:keepLines/>
      <w:tabs>
        <w:tab w:val="right" w:pos="8278"/>
      </w:tabs>
      <w:spacing w:before="80" w:line="240" w:lineRule="auto"/>
      <w:ind w:left="1604" w:right="567" w:hanging="1179"/>
    </w:pPr>
    <w:rPr>
      <w:b/>
      <w:kern w:val="28"/>
    </w:rPr>
  </w:style>
  <w:style w:type="paragraph" w:styleId="TOC4">
    <w:name w:val="toc 4"/>
    <w:basedOn w:val="OPCParaBase"/>
    <w:next w:val="Normal"/>
    <w:uiPriority w:val="39"/>
    <w:semiHidden/>
    <w:unhideWhenUsed/>
    <w:rsid w:val="006B5789"/>
    <w:pPr>
      <w:keepLines/>
      <w:tabs>
        <w:tab w:val="right" w:pos="8278"/>
      </w:tabs>
      <w:spacing w:before="80" w:line="240" w:lineRule="auto"/>
      <w:ind w:left="2183" w:right="567" w:hanging="1332"/>
    </w:pPr>
    <w:rPr>
      <w:b/>
      <w:kern w:val="28"/>
      <w:sz w:val="20"/>
    </w:rPr>
  </w:style>
  <w:style w:type="paragraph" w:styleId="TOC5">
    <w:name w:val="toc 5"/>
    <w:basedOn w:val="OPCParaBase"/>
    <w:next w:val="Normal"/>
    <w:uiPriority w:val="39"/>
    <w:unhideWhenUsed/>
    <w:rsid w:val="004E1307"/>
    <w:pPr>
      <w:keepLines/>
      <w:tabs>
        <w:tab w:val="right" w:leader="dot" w:pos="8278"/>
      </w:tabs>
      <w:spacing w:before="40" w:line="240" w:lineRule="auto"/>
      <w:ind w:left="1985" w:right="567" w:hanging="567"/>
    </w:pPr>
    <w:rPr>
      <w:kern w:val="28"/>
      <w:sz w:val="18"/>
    </w:rPr>
  </w:style>
  <w:style w:type="paragraph" w:styleId="TOC6">
    <w:name w:val="toc 6"/>
    <w:basedOn w:val="OPCParaBase"/>
    <w:next w:val="Normal"/>
    <w:uiPriority w:val="39"/>
    <w:unhideWhenUsed/>
    <w:rsid w:val="006B5789"/>
    <w:pPr>
      <w:keepLines/>
      <w:tabs>
        <w:tab w:val="right" w:pos="8278"/>
      </w:tabs>
      <w:spacing w:before="120" w:line="240" w:lineRule="auto"/>
      <w:ind w:left="1344" w:right="567" w:hanging="1344"/>
    </w:pPr>
    <w:rPr>
      <w:b/>
      <w:kern w:val="28"/>
      <w:sz w:val="24"/>
    </w:rPr>
  </w:style>
  <w:style w:type="paragraph" w:styleId="TOC7">
    <w:name w:val="toc 7"/>
    <w:basedOn w:val="OPCParaBase"/>
    <w:next w:val="Normal"/>
    <w:uiPriority w:val="39"/>
    <w:semiHidden/>
    <w:unhideWhenUsed/>
    <w:rsid w:val="006B5789"/>
    <w:pPr>
      <w:keepLines/>
      <w:tabs>
        <w:tab w:val="right" w:pos="8278"/>
      </w:tabs>
      <w:spacing w:before="120" w:line="240" w:lineRule="auto"/>
      <w:ind w:left="1253" w:right="567" w:hanging="828"/>
    </w:pPr>
    <w:rPr>
      <w:kern w:val="28"/>
      <w:sz w:val="24"/>
    </w:rPr>
  </w:style>
  <w:style w:type="paragraph" w:styleId="TOC8">
    <w:name w:val="toc 8"/>
    <w:basedOn w:val="OPCParaBase"/>
    <w:next w:val="Normal"/>
    <w:uiPriority w:val="39"/>
    <w:semiHidden/>
    <w:unhideWhenUsed/>
    <w:rsid w:val="006B5789"/>
    <w:pPr>
      <w:keepLines/>
      <w:tabs>
        <w:tab w:val="right" w:pos="8278"/>
      </w:tabs>
      <w:spacing w:before="80" w:line="240" w:lineRule="auto"/>
      <w:ind w:left="1900" w:right="567" w:hanging="1049"/>
    </w:pPr>
    <w:rPr>
      <w:kern w:val="28"/>
      <w:sz w:val="20"/>
    </w:rPr>
  </w:style>
  <w:style w:type="paragraph" w:styleId="TOC9">
    <w:name w:val="toc 9"/>
    <w:basedOn w:val="OPCParaBase"/>
    <w:next w:val="Normal"/>
    <w:uiPriority w:val="39"/>
    <w:unhideWhenUsed/>
    <w:rsid w:val="006B5789"/>
    <w:pPr>
      <w:keepLines/>
      <w:tabs>
        <w:tab w:val="right" w:pos="827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516B8D"/>
    <w:pPr>
      <w:keepLines/>
      <w:spacing w:before="240" w:after="120" w:line="240" w:lineRule="auto"/>
      <w:ind w:left="794"/>
    </w:pPr>
    <w:rPr>
      <w:b/>
      <w:kern w:val="28"/>
      <w:sz w:val="20"/>
    </w:rPr>
  </w:style>
  <w:style w:type="paragraph" w:customStyle="1" w:styleId="TofSectsHeading">
    <w:name w:val="TofSects(Heading)"/>
    <w:basedOn w:val="OPCParaBase"/>
    <w:rsid w:val="00856A31"/>
    <w:pPr>
      <w:spacing w:before="240" w:after="120" w:line="240" w:lineRule="auto"/>
    </w:pPr>
    <w:rPr>
      <w:b/>
      <w:sz w:val="24"/>
    </w:rPr>
  </w:style>
  <w:style w:type="paragraph" w:customStyle="1" w:styleId="TofSectsSection">
    <w:name w:val="TofSects(Section)"/>
    <w:basedOn w:val="OPCParaBase"/>
    <w:rsid w:val="00856A31"/>
    <w:pPr>
      <w:keepLines/>
      <w:spacing w:before="40" w:line="240" w:lineRule="auto"/>
      <w:ind w:left="1588" w:hanging="794"/>
    </w:pPr>
    <w:rPr>
      <w:kern w:val="28"/>
      <w:sz w:val="18"/>
    </w:rPr>
  </w:style>
  <w:style w:type="paragraph" w:customStyle="1" w:styleId="TofSectsSubdiv">
    <w:name w:val="TofSects(Subdiv)"/>
    <w:basedOn w:val="OPCParaBase"/>
    <w:rsid w:val="00856A31"/>
    <w:pPr>
      <w:keepLines/>
      <w:spacing w:before="80" w:line="240" w:lineRule="auto"/>
      <w:ind w:left="1588" w:hanging="794"/>
    </w:pPr>
    <w:rPr>
      <w:kern w:val="28"/>
    </w:rPr>
  </w:style>
  <w:style w:type="paragraph" w:customStyle="1" w:styleId="WRStyle">
    <w:name w:val="WR Style"/>
    <w:aliases w:val="WR"/>
    <w:basedOn w:val="OPCParaBase"/>
    <w:rsid w:val="00856A31"/>
    <w:pPr>
      <w:spacing w:before="240" w:line="240" w:lineRule="auto"/>
      <w:ind w:left="284" w:hanging="284"/>
    </w:pPr>
    <w:rPr>
      <w:b/>
      <w:i/>
      <w:kern w:val="28"/>
      <w:sz w:val="24"/>
    </w:rPr>
  </w:style>
  <w:style w:type="paragraph" w:customStyle="1" w:styleId="notepara">
    <w:name w:val="note(para)"/>
    <w:aliases w:val="na"/>
    <w:basedOn w:val="OPCParaBase"/>
    <w:rsid w:val="005C3F41"/>
    <w:pPr>
      <w:spacing w:before="40" w:line="198" w:lineRule="exact"/>
      <w:ind w:left="2354" w:hanging="369"/>
    </w:pPr>
    <w:rPr>
      <w:sz w:val="18"/>
    </w:rPr>
  </w:style>
  <w:style w:type="paragraph" w:styleId="Footer">
    <w:name w:val="footer"/>
    <w:link w:val="FooterChar"/>
    <w:rsid w:val="00715914"/>
    <w:pPr>
      <w:tabs>
        <w:tab w:val="center" w:pos="4153"/>
        <w:tab w:val="right" w:pos="8306"/>
      </w:tabs>
    </w:pPr>
    <w:rPr>
      <w:rFonts w:eastAsia="Times New Roman" w:cs="Times New Roman"/>
      <w:sz w:val="22"/>
      <w:szCs w:val="24"/>
      <w:lang w:eastAsia="en-AU"/>
    </w:rPr>
  </w:style>
  <w:style w:type="character" w:customStyle="1" w:styleId="FooterChar">
    <w:name w:val="Footer Char"/>
    <w:basedOn w:val="DefaultParagraphFont"/>
    <w:link w:val="Footer"/>
    <w:rsid w:val="00715914"/>
    <w:rPr>
      <w:rFonts w:eastAsia="Times New Roman" w:cs="Times New Roman"/>
      <w:sz w:val="22"/>
      <w:szCs w:val="24"/>
      <w:lang w:eastAsia="en-AU"/>
    </w:rPr>
  </w:style>
  <w:style w:type="character" w:styleId="LineNumber">
    <w:name w:val="line number"/>
    <w:basedOn w:val="OPCCharBase"/>
    <w:uiPriority w:val="99"/>
    <w:semiHidden/>
    <w:unhideWhenUsed/>
    <w:rsid w:val="002564A4"/>
    <w:rPr>
      <w:sz w:val="16"/>
    </w:rPr>
  </w:style>
  <w:style w:type="table" w:customStyle="1" w:styleId="CFlag">
    <w:name w:val="CFlag"/>
    <w:basedOn w:val="TableNormal"/>
    <w:uiPriority w:val="99"/>
    <w:rsid w:val="000E2261"/>
    <w:rPr>
      <w:rFonts w:eastAsia="Times New Roman" w:cs="Times New Roman"/>
      <w:lang w:eastAsia="en-AU"/>
    </w:rPr>
    <w:tblPr/>
  </w:style>
  <w:style w:type="paragraph" w:styleId="BalloonText">
    <w:name w:val="Balloon Text"/>
    <w:basedOn w:val="Normal"/>
    <w:link w:val="BalloonTextChar"/>
    <w:uiPriority w:val="99"/>
    <w:semiHidden/>
    <w:unhideWhenUsed/>
    <w:rsid w:val="00DA186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186E"/>
    <w:rPr>
      <w:rFonts w:ascii="Tahoma" w:hAnsi="Tahoma" w:cs="Tahoma"/>
      <w:sz w:val="16"/>
      <w:szCs w:val="16"/>
    </w:rPr>
  </w:style>
  <w:style w:type="table" w:styleId="TableGrid">
    <w:name w:val="Table Grid"/>
    <w:basedOn w:val="TableNormal"/>
    <w:uiPriority w:val="59"/>
    <w:rsid w:val="007500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No">
    <w:name w:val="InstNo"/>
    <w:basedOn w:val="OPCParaBase"/>
    <w:next w:val="Normal"/>
    <w:rsid w:val="00A12128"/>
    <w:rPr>
      <w:b/>
      <w:sz w:val="28"/>
      <w:szCs w:val="32"/>
    </w:rPr>
  </w:style>
  <w:style w:type="paragraph" w:customStyle="1" w:styleId="LegislationMadeUnder">
    <w:name w:val="LegislationMadeUnder"/>
    <w:basedOn w:val="OPCParaBase"/>
    <w:next w:val="Normal"/>
    <w:rsid w:val="00D150E7"/>
    <w:rPr>
      <w:i/>
      <w:sz w:val="32"/>
      <w:szCs w:val="32"/>
    </w:rPr>
  </w:style>
  <w:style w:type="paragraph" w:customStyle="1" w:styleId="SignCoverPageEnd">
    <w:name w:val="SignCoverPageEnd"/>
    <w:basedOn w:val="OPCParaBase"/>
    <w:next w:val="Normal"/>
    <w:rsid w:val="0070017E"/>
    <w:pPr>
      <w:keepNext/>
      <w:pBdr>
        <w:bottom w:val="single" w:sz="4" w:space="12" w:color="auto"/>
      </w:pBdr>
      <w:tabs>
        <w:tab w:val="left" w:pos="3402"/>
      </w:tabs>
      <w:spacing w:line="300" w:lineRule="atLeast"/>
      <w:ind w:right="397"/>
    </w:pPr>
    <w:rPr>
      <w:sz w:val="24"/>
    </w:rPr>
  </w:style>
  <w:style w:type="paragraph" w:customStyle="1" w:styleId="SignCoverPageStart">
    <w:name w:val="SignCoverPageStart"/>
    <w:basedOn w:val="OPCParaBase"/>
    <w:next w:val="Normal"/>
    <w:rsid w:val="00B16A31"/>
    <w:pPr>
      <w:pBdr>
        <w:top w:val="single" w:sz="4" w:space="1" w:color="auto"/>
      </w:pBdr>
      <w:spacing w:before="360"/>
      <w:ind w:right="397"/>
      <w:jc w:val="both"/>
    </w:pPr>
  </w:style>
  <w:style w:type="paragraph" w:customStyle="1" w:styleId="NotesHeading1">
    <w:name w:val="NotesHeading 1"/>
    <w:basedOn w:val="OPCParaBase"/>
    <w:next w:val="Normal"/>
    <w:rsid w:val="008A46E1"/>
    <w:pPr>
      <w:outlineLvl w:val="0"/>
    </w:pPr>
    <w:rPr>
      <w:b/>
      <w:sz w:val="28"/>
      <w:szCs w:val="28"/>
    </w:rPr>
  </w:style>
  <w:style w:type="paragraph" w:customStyle="1" w:styleId="NotesHeading2">
    <w:name w:val="NotesHeading 2"/>
    <w:basedOn w:val="OPCParaBase"/>
    <w:next w:val="Normal"/>
    <w:rsid w:val="00B16A31"/>
    <w:rPr>
      <w:b/>
      <w:sz w:val="28"/>
      <w:szCs w:val="28"/>
    </w:rPr>
  </w:style>
  <w:style w:type="paragraph" w:customStyle="1" w:styleId="CompiledActNo">
    <w:name w:val="CompiledActNo"/>
    <w:basedOn w:val="OPCParaBase"/>
    <w:next w:val="Normal"/>
    <w:rsid w:val="00F349F1"/>
    <w:rPr>
      <w:b/>
      <w:sz w:val="24"/>
      <w:szCs w:val="24"/>
    </w:rPr>
  </w:style>
  <w:style w:type="paragraph" w:customStyle="1" w:styleId="ENotesText">
    <w:name w:val="ENotesText"/>
    <w:aliases w:val="Ent"/>
    <w:basedOn w:val="OPCParaBase"/>
    <w:next w:val="Normal"/>
    <w:rsid w:val="0026736C"/>
    <w:pPr>
      <w:spacing w:before="120"/>
    </w:pPr>
  </w:style>
  <w:style w:type="paragraph" w:customStyle="1" w:styleId="CompiledMadeUnder">
    <w:name w:val="CompiledMadeUnder"/>
    <w:basedOn w:val="OPCParaBase"/>
    <w:next w:val="Normal"/>
    <w:rsid w:val="00F349F1"/>
    <w:rPr>
      <w:i/>
      <w:sz w:val="24"/>
      <w:szCs w:val="24"/>
    </w:rPr>
  </w:style>
  <w:style w:type="paragraph" w:customStyle="1" w:styleId="Paragraphsub-sub-sub">
    <w:name w:val="Paragraph(sub-sub-sub)"/>
    <w:aliases w:val="aaaa"/>
    <w:basedOn w:val="OPCParaBase"/>
    <w:rsid w:val="00B308FE"/>
    <w:pPr>
      <w:tabs>
        <w:tab w:val="right" w:pos="3402"/>
      </w:tabs>
      <w:spacing w:before="40" w:line="240" w:lineRule="auto"/>
      <w:ind w:left="3402" w:hanging="3402"/>
    </w:pPr>
  </w:style>
  <w:style w:type="paragraph" w:customStyle="1" w:styleId="TableTextEndNotes">
    <w:name w:val="TableTextEndNotes"/>
    <w:aliases w:val="Tten"/>
    <w:basedOn w:val="Normal"/>
    <w:rsid w:val="0026736C"/>
    <w:pPr>
      <w:spacing w:before="60" w:line="240" w:lineRule="auto"/>
    </w:pPr>
    <w:rPr>
      <w:rFonts w:cs="Arial"/>
      <w:sz w:val="20"/>
      <w:szCs w:val="22"/>
    </w:rPr>
  </w:style>
  <w:style w:type="paragraph" w:customStyle="1" w:styleId="NoteToSubpara">
    <w:name w:val="NoteToSubpara"/>
    <w:aliases w:val="nts"/>
    <w:basedOn w:val="OPCParaBase"/>
    <w:rsid w:val="007F28C9"/>
    <w:pPr>
      <w:spacing w:before="40" w:line="198" w:lineRule="exact"/>
      <w:ind w:left="2835" w:hanging="709"/>
    </w:pPr>
    <w:rPr>
      <w:sz w:val="18"/>
    </w:rPr>
  </w:style>
  <w:style w:type="paragraph" w:customStyle="1" w:styleId="ENoteTableHeading">
    <w:name w:val="ENoteTableHeading"/>
    <w:aliases w:val="enth"/>
    <w:basedOn w:val="OPCParaBase"/>
    <w:rsid w:val="00215AF1"/>
    <w:pPr>
      <w:keepNext/>
      <w:spacing w:before="60" w:line="240" w:lineRule="atLeast"/>
    </w:pPr>
    <w:rPr>
      <w:rFonts w:ascii="Arial" w:hAnsi="Arial"/>
      <w:b/>
      <w:sz w:val="16"/>
    </w:rPr>
  </w:style>
  <w:style w:type="paragraph" w:customStyle="1" w:styleId="ENoteTTi">
    <w:name w:val="ENoteTTi"/>
    <w:aliases w:val="entti"/>
    <w:basedOn w:val="OPCParaBase"/>
    <w:rsid w:val="00215AF1"/>
    <w:pPr>
      <w:keepNext/>
      <w:spacing w:before="60" w:line="240" w:lineRule="atLeast"/>
      <w:ind w:left="170"/>
    </w:pPr>
    <w:rPr>
      <w:sz w:val="16"/>
    </w:rPr>
  </w:style>
  <w:style w:type="paragraph" w:customStyle="1" w:styleId="ENotesHeading1">
    <w:name w:val="ENotesHeading 1"/>
    <w:aliases w:val="Enh1"/>
    <w:basedOn w:val="OPCParaBase"/>
    <w:next w:val="Normal"/>
    <w:rsid w:val="00FE4688"/>
    <w:pPr>
      <w:spacing w:before="120"/>
      <w:outlineLvl w:val="1"/>
    </w:pPr>
    <w:rPr>
      <w:b/>
      <w:sz w:val="28"/>
      <w:szCs w:val="28"/>
    </w:rPr>
  </w:style>
  <w:style w:type="paragraph" w:customStyle="1" w:styleId="ENotesHeading2">
    <w:name w:val="ENotesHeading 2"/>
    <w:aliases w:val="Enh2"/>
    <w:basedOn w:val="OPCParaBase"/>
    <w:next w:val="Normal"/>
    <w:rsid w:val="00004470"/>
    <w:pPr>
      <w:spacing w:before="120" w:after="120"/>
      <w:outlineLvl w:val="2"/>
    </w:pPr>
    <w:rPr>
      <w:b/>
      <w:sz w:val="24"/>
      <w:szCs w:val="28"/>
    </w:rPr>
  </w:style>
  <w:style w:type="paragraph" w:customStyle="1" w:styleId="ENoteTTIndentHeading">
    <w:name w:val="ENoteTTIndentHeading"/>
    <w:aliases w:val="enTTHi"/>
    <w:basedOn w:val="OPCParaBase"/>
    <w:rsid w:val="00783E89"/>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8855C9"/>
    <w:pPr>
      <w:spacing w:before="60" w:line="240" w:lineRule="atLeast"/>
    </w:pPr>
    <w:rPr>
      <w:sz w:val="16"/>
    </w:rPr>
  </w:style>
  <w:style w:type="paragraph" w:customStyle="1" w:styleId="MadeunderText">
    <w:name w:val="MadeunderText"/>
    <w:basedOn w:val="OPCParaBase"/>
    <w:next w:val="CompiledMadeUnder"/>
    <w:rsid w:val="00132CEB"/>
    <w:pPr>
      <w:spacing w:before="240"/>
    </w:pPr>
    <w:rPr>
      <w:sz w:val="24"/>
      <w:szCs w:val="24"/>
    </w:rPr>
  </w:style>
  <w:style w:type="paragraph" w:customStyle="1" w:styleId="ENotesHeading3">
    <w:name w:val="ENotesHeading 3"/>
    <w:aliases w:val="Enh3"/>
    <w:basedOn w:val="OPCParaBase"/>
    <w:next w:val="Normal"/>
    <w:rsid w:val="00771613"/>
    <w:pPr>
      <w:keepNext/>
      <w:spacing w:before="120" w:line="240" w:lineRule="auto"/>
      <w:outlineLvl w:val="4"/>
    </w:pPr>
    <w:rPr>
      <w:b/>
      <w:szCs w:val="24"/>
    </w:rPr>
  </w:style>
  <w:style w:type="paragraph" w:customStyle="1" w:styleId="SubPartCASA">
    <w:name w:val="SubPart(CASA)"/>
    <w:aliases w:val="csp"/>
    <w:basedOn w:val="OPCParaBase"/>
    <w:next w:val="ActHead3"/>
    <w:rsid w:val="00344701"/>
    <w:pPr>
      <w:keepNext/>
      <w:keepLines/>
      <w:spacing w:before="280"/>
      <w:outlineLvl w:val="1"/>
    </w:pPr>
    <w:rPr>
      <w:b/>
      <w:kern w:val="28"/>
      <w:sz w:val="32"/>
    </w:rPr>
  </w:style>
  <w:style w:type="character" w:customStyle="1" w:styleId="CharSubPartTextCASA">
    <w:name w:val="CharSubPartText(CASA)"/>
    <w:basedOn w:val="OPCCharBase"/>
    <w:uiPriority w:val="1"/>
    <w:rsid w:val="00474A19"/>
  </w:style>
  <w:style w:type="character" w:customStyle="1" w:styleId="CharSubPartNoCASA">
    <w:name w:val="CharSubPartNo(CASA)"/>
    <w:basedOn w:val="OPCCharBase"/>
    <w:uiPriority w:val="1"/>
    <w:rsid w:val="00DB4630"/>
  </w:style>
  <w:style w:type="paragraph" w:customStyle="1" w:styleId="ENoteTTIndentHeadingSub">
    <w:name w:val="ENoteTTIndentHeadingSub"/>
    <w:aliases w:val="enTTHis"/>
    <w:basedOn w:val="OPCParaBase"/>
    <w:rsid w:val="00BD0ECB"/>
    <w:pPr>
      <w:keepNext/>
      <w:spacing w:before="60" w:line="240" w:lineRule="atLeast"/>
      <w:ind w:left="340"/>
    </w:pPr>
    <w:rPr>
      <w:b/>
      <w:sz w:val="16"/>
    </w:rPr>
  </w:style>
  <w:style w:type="paragraph" w:customStyle="1" w:styleId="ENoteTTiSub">
    <w:name w:val="ENoteTTiSub"/>
    <w:aliases w:val="enttis"/>
    <w:basedOn w:val="OPCParaBase"/>
    <w:rsid w:val="002321E8"/>
    <w:pPr>
      <w:keepNext/>
      <w:spacing w:before="60" w:line="240" w:lineRule="atLeast"/>
      <w:ind w:left="340"/>
    </w:pPr>
    <w:rPr>
      <w:sz w:val="16"/>
    </w:rPr>
  </w:style>
  <w:style w:type="paragraph" w:customStyle="1" w:styleId="SubDivisionMigration">
    <w:name w:val="SubDivisionMigration"/>
    <w:aliases w:val="sdm"/>
    <w:basedOn w:val="OPCParaBase"/>
    <w:rsid w:val="00CF07FA"/>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B83204"/>
    <w:pPr>
      <w:keepNext/>
      <w:keepLines/>
      <w:spacing w:before="240" w:line="240" w:lineRule="auto"/>
      <w:ind w:left="1134" w:hanging="1134"/>
    </w:pPr>
    <w:rPr>
      <w:b/>
      <w:sz w:val="28"/>
    </w:rPr>
  </w:style>
  <w:style w:type="paragraph" w:customStyle="1" w:styleId="FreeForm">
    <w:name w:val="FreeForm"/>
    <w:rsid w:val="005D1D92"/>
    <w:rPr>
      <w:rFonts w:ascii="Arial" w:hAnsi="Arial"/>
      <w:sz w:val="22"/>
    </w:rPr>
  </w:style>
  <w:style w:type="paragraph" w:customStyle="1" w:styleId="SOText">
    <w:name w:val="SO Text"/>
    <w:aliases w:val="sot"/>
    <w:link w:val="SOTextChar"/>
    <w:rsid w:val="00004174"/>
    <w:pPr>
      <w:pBdr>
        <w:top w:val="single" w:sz="6" w:space="5" w:color="auto"/>
        <w:left w:val="single" w:sz="6" w:space="5" w:color="auto"/>
        <w:bottom w:val="single" w:sz="6" w:space="5" w:color="auto"/>
        <w:right w:val="single" w:sz="6" w:space="5" w:color="auto"/>
      </w:pBdr>
      <w:spacing w:before="240"/>
      <w:ind w:left="1134"/>
    </w:pPr>
    <w:rPr>
      <w:sz w:val="22"/>
    </w:rPr>
  </w:style>
  <w:style w:type="character" w:customStyle="1" w:styleId="SOTextChar">
    <w:name w:val="SO Text Char"/>
    <w:aliases w:val="sot Char"/>
    <w:basedOn w:val="DefaultParagraphFont"/>
    <w:link w:val="SOText"/>
    <w:rsid w:val="00004174"/>
    <w:rPr>
      <w:sz w:val="22"/>
    </w:rPr>
  </w:style>
  <w:style w:type="paragraph" w:customStyle="1" w:styleId="SOTextNote">
    <w:name w:val="SO TextNote"/>
    <w:aliases w:val="sont"/>
    <w:basedOn w:val="SOText"/>
    <w:qFormat/>
    <w:rsid w:val="00AD53CC"/>
    <w:pPr>
      <w:spacing w:before="122" w:line="198" w:lineRule="exact"/>
      <w:ind w:left="1843" w:hanging="709"/>
    </w:pPr>
    <w:rPr>
      <w:sz w:val="18"/>
    </w:rPr>
  </w:style>
  <w:style w:type="paragraph" w:customStyle="1" w:styleId="SOPara">
    <w:name w:val="SO Para"/>
    <w:aliases w:val="soa"/>
    <w:basedOn w:val="SOText"/>
    <w:link w:val="SOParaChar"/>
    <w:qFormat/>
    <w:rsid w:val="000E78B7"/>
    <w:pPr>
      <w:tabs>
        <w:tab w:val="right" w:pos="1786"/>
      </w:tabs>
      <w:spacing w:before="40"/>
      <w:ind w:left="2070" w:hanging="936"/>
    </w:pPr>
  </w:style>
  <w:style w:type="character" w:customStyle="1" w:styleId="SOParaChar">
    <w:name w:val="SO Para Char"/>
    <w:aliases w:val="soa Char"/>
    <w:basedOn w:val="DefaultParagraphFont"/>
    <w:link w:val="SOPara"/>
    <w:rsid w:val="000E78B7"/>
    <w:rPr>
      <w:sz w:val="22"/>
    </w:rPr>
  </w:style>
  <w:style w:type="paragraph" w:customStyle="1" w:styleId="FileName">
    <w:name w:val="FileName"/>
    <w:basedOn w:val="Normal"/>
    <w:rsid w:val="000258B1"/>
  </w:style>
  <w:style w:type="paragraph" w:customStyle="1" w:styleId="TableHeading">
    <w:name w:val="TableHeading"/>
    <w:aliases w:val="th"/>
    <w:basedOn w:val="OPCParaBase"/>
    <w:next w:val="Tabletext"/>
    <w:rsid w:val="00896176"/>
    <w:pPr>
      <w:keepNext/>
      <w:spacing w:before="60" w:line="240" w:lineRule="atLeast"/>
    </w:pPr>
    <w:rPr>
      <w:b/>
      <w:sz w:val="20"/>
    </w:rPr>
  </w:style>
  <w:style w:type="paragraph" w:customStyle="1" w:styleId="SOHeadBold">
    <w:name w:val="SO HeadBold"/>
    <w:aliases w:val="sohb"/>
    <w:basedOn w:val="SOText"/>
    <w:next w:val="SOText"/>
    <w:link w:val="SOHeadBoldChar"/>
    <w:qFormat/>
    <w:rsid w:val="009C3413"/>
    <w:rPr>
      <w:b/>
    </w:rPr>
  </w:style>
  <w:style w:type="character" w:customStyle="1" w:styleId="SOHeadBoldChar">
    <w:name w:val="SO HeadBold Char"/>
    <w:aliases w:val="sohb Char"/>
    <w:basedOn w:val="DefaultParagraphFont"/>
    <w:link w:val="SOHeadBold"/>
    <w:rsid w:val="009C3413"/>
    <w:rPr>
      <w:b/>
      <w:sz w:val="22"/>
    </w:rPr>
  </w:style>
  <w:style w:type="paragraph" w:customStyle="1" w:styleId="SOHeadItalic">
    <w:name w:val="SO HeadItalic"/>
    <w:aliases w:val="sohi"/>
    <w:basedOn w:val="SOText"/>
    <w:next w:val="SOText"/>
    <w:link w:val="SOHeadItalicChar"/>
    <w:qFormat/>
    <w:rsid w:val="00477830"/>
    <w:rPr>
      <w:i/>
    </w:rPr>
  </w:style>
  <w:style w:type="character" w:customStyle="1" w:styleId="SOHeadItalicChar">
    <w:name w:val="SO HeadItalic Char"/>
    <w:aliases w:val="sohi Char"/>
    <w:basedOn w:val="DefaultParagraphFont"/>
    <w:link w:val="SOHeadItalic"/>
    <w:rsid w:val="00477830"/>
    <w:rPr>
      <w:i/>
      <w:sz w:val="22"/>
    </w:rPr>
  </w:style>
  <w:style w:type="paragraph" w:customStyle="1" w:styleId="SOBullet">
    <w:name w:val="SO Bullet"/>
    <w:aliases w:val="sotb"/>
    <w:basedOn w:val="SOText"/>
    <w:link w:val="SOBulletChar"/>
    <w:qFormat/>
    <w:rsid w:val="006E2E1C"/>
    <w:pPr>
      <w:ind w:left="1559" w:hanging="425"/>
    </w:pPr>
  </w:style>
  <w:style w:type="character" w:customStyle="1" w:styleId="SOBulletChar">
    <w:name w:val="SO Bullet Char"/>
    <w:aliases w:val="sotb Char"/>
    <w:basedOn w:val="DefaultParagraphFont"/>
    <w:link w:val="SOBullet"/>
    <w:rsid w:val="006E2E1C"/>
    <w:rPr>
      <w:sz w:val="22"/>
    </w:rPr>
  </w:style>
  <w:style w:type="paragraph" w:customStyle="1" w:styleId="SOBulletNote">
    <w:name w:val="SO BulletNote"/>
    <w:aliases w:val="sonb"/>
    <w:basedOn w:val="SOTextNote"/>
    <w:link w:val="SOBulletNoteChar"/>
    <w:qFormat/>
    <w:rsid w:val="000978F5"/>
    <w:pPr>
      <w:tabs>
        <w:tab w:val="left" w:pos="1560"/>
      </w:tabs>
      <w:ind w:left="2268" w:hanging="1134"/>
    </w:pPr>
  </w:style>
  <w:style w:type="character" w:customStyle="1" w:styleId="SOBulletNoteChar">
    <w:name w:val="SO BulletNote Char"/>
    <w:aliases w:val="sonb Char"/>
    <w:basedOn w:val="DefaultParagraphFont"/>
    <w:link w:val="SOBulletNote"/>
    <w:rsid w:val="000978F5"/>
    <w:rPr>
      <w:sz w:val="18"/>
    </w:rPr>
  </w:style>
  <w:style w:type="character" w:customStyle="1" w:styleId="subsectionChar">
    <w:name w:val="subsection Char"/>
    <w:aliases w:val="ss Char"/>
    <w:basedOn w:val="DefaultParagraphFont"/>
    <w:link w:val="subsection"/>
    <w:locked/>
    <w:rsid w:val="00A75FE9"/>
    <w:rPr>
      <w:rFonts w:eastAsia="Times New Roman" w:cs="Times New Roman"/>
      <w:sz w:val="22"/>
      <w:lang w:eastAsia="en-AU"/>
    </w:rPr>
  </w:style>
  <w:style w:type="character" w:customStyle="1" w:styleId="notetextChar">
    <w:name w:val="note(text) Char"/>
    <w:aliases w:val="n Char"/>
    <w:basedOn w:val="DefaultParagraphFont"/>
    <w:link w:val="notetext"/>
    <w:rsid w:val="00A75FE9"/>
    <w:rPr>
      <w:rFonts w:eastAsia="Times New Roman" w:cs="Times New Roman"/>
      <w:sz w:val="18"/>
      <w:lang w:eastAsia="en-AU"/>
    </w:rPr>
  </w:style>
  <w:style w:type="paragraph" w:customStyle="1" w:styleId="BodyNum">
    <w:name w:val="BodyNum"/>
    <w:aliases w:val="b1"/>
    <w:basedOn w:val="OPCParaBase"/>
    <w:rsid w:val="00CA5B23"/>
    <w:pPr>
      <w:numPr>
        <w:numId w:val="13"/>
      </w:numPr>
      <w:spacing w:before="240" w:line="240" w:lineRule="auto"/>
    </w:pPr>
    <w:rPr>
      <w:sz w:val="24"/>
    </w:rPr>
  </w:style>
  <w:style w:type="paragraph" w:customStyle="1" w:styleId="BodyPara">
    <w:name w:val="BodyPara"/>
    <w:aliases w:val="ba"/>
    <w:basedOn w:val="OPCParaBase"/>
    <w:rsid w:val="00CA5B23"/>
    <w:pPr>
      <w:numPr>
        <w:ilvl w:val="1"/>
        <w:numId w:val="13"/>
      </w:numPr>
      <w:spacing w:before="240" w:line="240" w:lineRule="auto"/>
    </w:pPr>
    <w:rPr>
      <w:sz w:val="24"/>
    </w:rPr>
  </w:style>
  <w:style w:type="numbering" w:customStyle="1" w:styleId="OPCBodyList">
    <w:name w:val="OPCBodyList"/>
    <w:uiPriority w:val="99"/>
    <w:rsid w:val="00CA5B23"/>
    <w:pPr>
      <w:numPr>
        <w:numId w:val="13"/>
      </w:numPr>
    </w:pPr>
  </w:style>
  <w:style w:type="paragraph" w:customStyle="1" w:styleId="Head1">
    <w:name w:val="Head 1"/>
    <w:aliases w:val="1"/>
    <w:basedOn w:val="OPCParaBase"/>
    <w:next w:val="BodyNum"/>
    <w:rsid w:val="00CA5B23"/>
    <w:pPr>
      <w:keepNext/>
      <w:spacing w:before="240" w:after="60" w:line="240" w:lineRule="auto"/>
      <w:outlineLvl w:val="0"/>
    </w:pPr>
    <w:rPr>
      <w:rFonts w:ascii="Arial" w:hAnsi="Arial"/>
      <w:b/>
      <w:kern w:val="28"/>
      <w:sz w:val="36"/>
    </w:rPr>
  </w:style>
  <w:style w:type="paragraph" w:customStyle="1" w:styleId="Head2">
    <w:name w:val="Head 2"/>
    <w:aliases w:val="2"/>
    <w:basedOn w:val="OPCParaBase"/>
    <w:next w:val="BodyNum"/>
    <w:rsid w:val="00CA5B23"/>
    <w:pPr>
      <w:keepNext/>
      <w:spacing w:before="240" w:after="60" w:line="240" w:lineRule="auto"/>
      <w:outlineLvl w:val="1"/>
    </w:pPr>
    <w:rPr>
      <w:rFonts w:ascii="Arial" w:hAnsi="Arial"/>
      <w:b/>
      <w:kern w:val="28"/>
      <w:sz w:val="28"/>
    </w:rPr>
  </w:style>
  <w:style w:type="paragraph" w:customStyle="1" w:styleId="Head3">
    <w:name w:val="Head 3"/>
    <w:aliases w:val="3"/>
    <w:basedOn w:val="OPCParaBase"/>
    <w:next w:val="BodyNum"/>
    <w:rsid w:val="00CA5B23"/>
    <w:pPr>
      <w:keepNext/>
      <w:spacing w:before="240" w:after="60" w:line="240" w:lineRule="auto"/>
      <w:outlineLvl w:val="2"/>
    </w:pPr>
    <w:rPr>
      <w:rFonts w:ascii="Arial" w:hAnsi="Arial"/>
      <w:b/>
      <w:i/>
      <w:kern w:val="28"/>
      <w:sz w:val="26"/>
    </w:rPr>
  </w:style>
  <w:style w:type="character" w:customStyle="1" w:styleId="Heading6Char">
    <w:name w:val="Heading 6 Char"/>
    <w:basedOn w:val="DefaultParagraphFont"/>
    <w:link w:val="Heading6"/>
    <w:rsid w:val="00152336"/>
    <w:rPr>
      <w:rFonts w:ascii="Arial" w:eastAsia="Times New Roman" w:hAnsi="Arial" w:cs="Times New Roman"/>
      <w:b/>
      <w:kern w:val="28"/>
      <w:sz w:val="32"/>
      <w:lang w:eastAsia="en-AU"/>
    </w:rPr>
  </w:style>
  <w:style w:type="character" w:customStyle="1" w:styleId="Heading1Char">
    <w:name w:val="Heading 1 Char"/>
    <w:basedOn w:val="DefaultParagraphFont"/>
    <w:link w:val="Heading1"/>
    <w:uiPriority w:val="9"/>
    <w:rsid w:val="0015233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15233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152336"/>
    <w:rPr>
      <w:rFonts w:asciiTheme="majorHAnsi" w:eastAsiaTheme="majorEastAsia" w:hAnsiTheme="majorHAnsi" w:cstheme="majorBidi"/>
      <w:b/>
      <w:bCs/>
      <w:color w:val="4F81BD" w:themeColor="accent1"/>
      <w:sz w:val="22"/>
    </w:rPr>
  </w:style>
  <w:style w:type="character" w:customStyle="1" w:styleId="Heading4Char">
    <w:name w:val="Heading 4 Char"/>
    <w:basedOn w:val="DefaultParagraphFont"/>
    <w:link w:val="Heading4"/>
    <w:uiPriority w:val="9"/>
    <w:semiHidden/>
    <w:rsid w:val="00152336"/>
    <w:rPr>
      <w:rFonts w:asciiTheme="majorHAnsi" w:eastAsiaTheme="majorEastAsia" w:hAnsiTheme="majorHAnsi" w:cstheme="majorBidi"/>
      <w:b/>
      <w:bCs/>
      <w:i/>
      <w:iCs/>
      <w:color w:val="4F81BD" w:themeColor="accent1"/>
      <w:sz w:val="22"/>
    </w:rPr>
  </w:style>
  <w:style w:type="character" w:customStyle="1" w:styleId="Heading5Char">
    <w:name w:val="Heading 5 Char"/>
    <w:basedOn w:val="DefaultParagraphFont"/>
    <w:link w:val="Heading5"/>
    <w:uiPriority w:val="9"/>
    <w:semiHidden/>
    <w:rsid w:val="00152336"/>
    <w:rPr>
      <w:rFonts w:asciiTheme="majorHAnsi" w:eastAsiaTheme="majorEastAsia" w:hAnsiTheme="majorHAnsi" w:cstheme="majorBidi"/>
      <w:color w:val="243F60" w:themeColor="accent1" w:themeShade="7F"/>
      <w:sz w:val="22"/>
    </w:rPr>
  </w:style>
  <w:style w:type="character" w:customStyle="1" w:styleId="Heading7Char">
    <w:name w:val="Heading 7 Char"/>
    <w:basedOn w:val="DefaultParagraphFont"/>
    <w:link w:val="Heading7"/>
    <w:uiPriority w:val="9"/>
    <w:semiHidden/>
    <w:rsid w:val="00152336"/>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152336"/>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152336"/>
    <w:rPr>
      <w:rFonts w:asciiTheme="majorHAnsi" w:eastAsiaTheme="majorEastAsia" w:hAnsiTheme="majorHAnsi" w:cstheme="majorBidi"/>
      <w:i/>
      <w:iCs/>
      <w:color w:val="404040" w:themeColor="text1" w:themeTint="BF"/>
    </w:rPr>
  </w:style>
  <w:style w:type="character" w:customStyle="1" w:styleId="ActHead5Char">
    <w:name w:val="ActHead 5 Char"/>
    <w:aliases w:val="s Char"/>
    <w:basedOn w:val="DefaultParagraphFont"/>
    <w:link w:val="ActHead5"/>
    <w:rsid w:val="00CE452C"/>
    <w:rPr>
      <w:rFonts w:eastAsia="Times New Roman" w:cs="Times New Roman"/>
      <w:b/>
      <w:kern w:val="28"/>
      <w:sz w:val="24"/>
      <w:lang w:eastAsia="en-AU"/>
    </w:rPr>
  </w:style>
  <w:style w:type="character" w:customStyle="1" w:styleId="paragraphChar">
    <w:name w:val="paragraph Char"/>
    <w:aliases w:val="a Char"/>
    <w:basedOn w:val="DefaultParagraphFont"/>
    <w:link w:val="paragraph"/>
    <w:rsid w:val="00045F79"/>
    <w:rPr>
      <w:rFonts w:eastAsia="Times New Roman" w:cs="Times New Roman"/>
      <w:sz w:val="22"/>
      <w:lang w:eastAsia="en-AU"/>
    </w:rPr>
  </w:style>
  <w:style w:type="character" w:styleId="CommentReference">
    <w:name w:val="annotation reference"/>
    <w:basedOn w:val="DefaultParagraphFont"/>
    <w:uiPriority w:val="99"/>
    <w:semiHidden/>
    <w:unhideWhenUsed/>
    <w:rsid w:val="00C755A1"/>
    <w:rPr>
      <w:sz w:val="16"/>
      <w:szCs w:val="16"/>
    </w:rPr>
  </w:style>
  <w:style w:type="paragraph" w:styleId="CommentText">
    <w:name w:val="annotation text"/>
    <w:basedOn w:val="Normal"/>
    <w:link w:val="CommentTextChar"/>
    <w:uiPriority w:val="99"/>
    <w:semiHidden/>
    <w:unhideWhenUsed/>
    <w:rsid w:val="00C755A1"/>
    <w:pPr>
      <w:spacing w:line="240" w:lineRule="auto"/>
    </w:pPr>
    <w:rPr>
      <w:sz w:val="20"/>
    </w:rPr>
  </w:style>
  <w:style w:type="character" w:customStyle="1" w:styleId="CommentTextChar">
    <w:name w:val="Comment Text Char"/>
    <w:basedOn w:val="DefaultParagraphFont"/>
    <w:link w:val="CommentText"/>
    <w:uiPriority w:val="99"/>
    <w:semiHidden/>
    <w:rsid w:val="00C755A1"/>
  </w:style>
  <w:style w:type="paragraph" w:styleId="CommentSubject">
    <w:name w:val="annotation subject"/>
    <w:basedOn w:val="CommentText"/>
    <w:next w:val="CommentText"/>
    <w:link w:val="CommentSubjectChar"/>
    <w:uiPriority w:val="99"/>
    <w:semiHidden/>
    <w:unhideWhenUsed/>
    <w:rsid w:val="00C755A1"/>
    <w:rPr>
      <w:b/>
      <w:bCs/>
    </w:rPr>
  </w:style>
  <w:style w:type="character" w:customStyle="1" w:styleId="CommentSubjectChar">
    <w:name w:val="Comment Subject Char"/>
    <w:basedOn w:val="CommentTextChar"/>
    <w:link w:val="CommentSubject"/>
    <w:uiPriority w:val="99"/>
    <w:semiHidden/>
    <w:rsid w:val="00C755A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P3327\AppData\Local\Temp\1\MicrosoftEdgeDownloads\575de20e-b169-4c4c-9687-a64bf9bdb3a6\template_-_principal_instrument_0%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DMS Document" ma:contentTypeID="0x010100266966F133664895A6EE3632470D45F50013F4A5B8B247DA42A90616C93A3546DA" ma:contentTypeVersion="" ma:contentTypeDescription="PDMS Document Site Content Type" ma:contentTypeScope="" ma:versionID="212853c33fe57c45f8a38b116981ede7">
  <xsd:schema xmlns:xsd="http://www.w3.org/2001/XMLSchema" xmlns:xs="http://www.w3.org/2001/XMLSchema" xmlns:p="http://schemas.microsoft.com/office/2006/metadata/properties" xmlns:ns2="ACCEFB8A-43A4-4461-A392-BF585A308207" targetNamespace="http://schemas.microsoft.com/office/2006/metadata/properties" ma:root="true" ma:fieldsID="8cb2ff2d3d21c4e4e45643d3aff4ae41" ns2:_="">
    <xsd:import namespace="ACCEFB8A-43A4-4461-A392-BF585A308207"/>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CEFB8A-43A4-4461-A392-BF585A308207"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SecurityClassification xmlns="ACCEFB8A-43A4-4461-A392-BF585A308207"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A5D4F84-D206-4439-B2AF-662BD18274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CEFB8A-43A4-4461-A392-BF585A3082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E75A569-9F84-4416-92C9-E3FD6C16F70E}">
  <ds:schemaRefs>
    <ds:schemaRef ds:uri="http://schemas.openxmlformats.org/officeDocument/2006/bibliography"/>
  </ds:schemaRefs>
</ds:datastoreItem>
</file>

<file path=customXml/itemProps3.xml><?xml version="1.0" encoding="utf-8"?>
<ds:datastoreItem xmlns:ds="http://schemas.openxmlformats.org/officeDocument/2006/customXml" ds:itemID="{B142F237-A977-44E0-B734-76287F8B9666}">
  <ds:schemaRefs>
    <ds:schemaRef ds:uri="http://purl.org/dc/dcmitype/"/>
    <ds:schemaRef ds:uri="http://schemas.microsoft.com/office/2006/documentManagement/types"/>
    <ds:schemaRef ds:uri="http://purl.org/dc/terms/"/>
    <ds:schemaRef ds:uri="http://schemas.microsoft.com/office/2006/metadata/properties"/>
    <ds:schemaRef ds:uri="http://schemas.microsoft.com/office/infopath/2007/PartnerControls"/>
    <ds:schemaRef ds:uri="http://www.w3.org/XML/1998/namespace"/>
    <ds:schemaRef ds:uri="http://purl.org/dc/elements/1.1/"/>
    <ds:schemaRef ds:uri="http://schemas.openxmlformats.org/package/2006/metadata/core-properties"/>
    <ds:schemaRef ds:uri="ACCEFB8A-43A4-4461-A392-BF585A308207"/>
  </ds:schemaRefs>
</ds:datastoreItem>
</file>

<file path=customXml/itemProps4.xml><?xml version="1.0" encoding="utf-8"?>
<ds:datastoreItem xmlns:ds="http://schemas.openxmlformats.org/officeDocument/2006/customXml" ds:itemID="{9163D9C7-9FA3-41BC-B660-4176868E544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template_-_principal_instrument_0 (1).dotx</Template>
  <TotalTime>4</TotalTime>
  <Pages>14</Pages>
  <Words>2295</Words>
  <Characters>13086</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Presneill, Asher</dc:creator>
  <cp:lastModifiedBy>PALENSCHUS,Johanna</cp:lastModifiedBy>
  <cp:revision>8</cp:revision>
  <dcterms:created xsi:type="dcterms:W3CDTF">2021-12-20T01:04:00Z</dcterms:created>
  <dcterms:modified xsi:type="dcterms:W3CDTF">2021-12-23T00:34:00Z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0x010100266966F133664895A6EE3632470D45F50013F4A5B8B247DA42A90616C93A3546DA</vt:lpwstr>
  </property>
</Properties>
</file>