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12D11F" w14:textId="77777777" w:rsidR="00FA6784" w:rsidRPr="00481B03" w:rsidRDefault="00FA6784" w:rsidP="00FA6784">
      <w:pPr>
        <w:pStyle w:val="H3"/>
        <w:jc w:val="center"/>
        <w:rPr>
          <w:sz w:val="24"/>
          <w:szCs w:val="24"/>
        </w:rPr>
      </w:pPr>
      <w:r w:rsidRPr="00481B03">
        <w:rPr>
          <w:sz w:val="24"/>
          <w:szCs w:val="24"/>
        </w:rPr>
        <w:t>EXPLANATORY STATEMENT</w:t>
      </w:r>
    </w:p>
    <w:p w14:paraId="2412D120" w14:textId="77777777" w:rsidR="00FA6784" w:rsidRPr="00481B03" w:rsidRDefault="00FA6784" w:rsidP="00FA6784">
      <w:pPr>
        <w:jc w:val="center"/>
        <w:rPr>
          <w:sz w:val="22"/>
          <w:szCs w:val="22"/>
        </w:rPr>
      </w:pPr>
    </w:p>
    <w:p w14:paraId="2412D123" w14:textId="77777777" w:rsidR="00FA6784" w:rsidRPr="00481B03" w:rsidRDefault="00FA6784" w:rsidP="00FA6784">
      <w:pPr>
        <w:jc w:val="center"/>
        <w:rPr>
          <w:i/>
          <w:iCs/>
        </w:rPr>
      </w:pPr>
      <w:r w:rsidRPr="00481B03">
        <w:rPr>
          <w:i/>
          <w:iCs/>
        </w:rPr>
        <w:t>Health Insurance Act 1973</w:t>
      </w:r>
    </w:p>
    <w:p w14:paraId="2412D124" w14:textId="77777777" w:rsidR="00A1739A" w:rsidRPr="00481B03" w:rsidRDefault="00A1739A" w:rsidP="00A1739A">
      <w:pPr>
        <w:rPr>
          <w:szCs w:val="24"/>
          <w:u w:val="single"/>
        </w:rPr>
      </w:pPr>
    </w:p>
    <w:p w14:paraId="7BC8DE06" w14:textId="710DBFDD" w:rsidR="00352DDE" w:rsidRPr="00481B03" w:rsidRDefault="00175DFF" w:rsidP="00175DFF">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jc w:val="center"/>
        <w:rPr>
          <w:i/>
          <w:iCs/>
          <w:color w:val="000000" w:themeColor="text1"/>
        </w:rPr>
      </w:pPr>
      <w:r w:rsidRPr="00481B03">
        <w:rPr>
          <w:i/>
          <w:iCs/>
          <w:color w:val="000000" w:themeColor="text1"/>
        </w:rPr>
        <w:t xml:space="preserve">Health Insurance (Section 3C General Medical Services – Transcatheter Aortic Valve Implantation) Amendment (Limit to Intermediate and </w:t>
      </w:r>
      <w:proofErr w:type="gramStart"/>
      <w:r w:rsidRPr="00481B03">
        <w:rPr>
          <w:i/>
          <w:iCs/>
          <w:color w:val="000000" w:themeColor="text1"/>
        </w:rPr>
        <w:t>High Risk</w:t>
      </w:r>
      <w:proofErr w:type="gramEnd"/>
      <w:r w:rsidRPr="00481B03">
        <w:rPr>
          <w:i/>
          <w:iCs/>
          <w:color w:val="000000" w:themeColor="text1"/>
        </w:rPr>
        <w:t xml:space="preserve"> Surgical Patients) Determination 2021</w:t>
      </w:r>
    </w:p>
    <w:p w14:paraId="37866757" w14:textId="77777777" w:rsidR="00175DFF" w:rsidRPr="00481B03" w:rsidRDefault="00175DFF" w:rsidP="00175DFF">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jc w:val="center"/>
        <w:rPr>
          <w:color w:val="000000"/>
          <w:shd w:val="clear" w:color="auto" w:fill="FFFFFF"/>
        </w:rPr>
      </w:pPr>
    </w:p>
    <w:p w14:paraId="30CCE728" w14:textId="2ACC23C1" w:rsidR="00164A69" w:rsidRPr="00481B03" w:rsidRDefault="00164A69" w:rsidP="00164A69">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color w:val="FF0000"/>
          <w:shd w:val="clear" w:color="auto" w:fill="FFFFFF"/>
        </w:rPr>
      </w:pPr>
      <w:r w:rsidRPr="00481B03">
        <w:rPr>
          <w:color w:val="000000"/>
          <w:shd w:val="clear" w:color="auto" w:fill="FFFFFF"/>
        </w:rPr>
        <w:t xml:space="preserve">Subsection 3C(1) of the </w:t>
      </w:r>
      <w:r w:rsidRPr="00481B03">
        <w:rPr>
          <w:i/>
          <w:color w:val="000000"/>
          <w:shd w:val="clear" w:color="auto" w:fill="FFFFFF"/>
        </w:rPr>
        <w:t>Health Insurance Act 1973</w:t>
      </w:r>
      <w:r w:rsidRPr="00481B03">
        <w:rPr>
          <w:color w:val="000000"/>
          <w:shd w:val="clear" w:color="auto" w:fill="FFFFFF"/>
        </w:rPr>
        <w:t xml:space="preserve"> (the Act) </w:t>
      </w:r>
      <w:r w:rsidR="00477C74" w:rsidRPr="00481B03">
        <w:rPr>
          <w:color w:val="000000"/>
          <w:shd w:val="clear" w:color="auto" w:fill="FFFFFF"/>
        </w:rPr>
        <w:t>provide</w:t>
      </w:r>
      <w:r w:rsidR="002E5708" w:rsidRPr="00481B03">
        <w:rPr>
          <w:color w:val="000000"/>
          <w:shd w:val="clear" w:color="auto" w:fill="FFFFFF"/>
        </w:rPr>
        <w:t>s</w:t>
      </w:r>
      <w:r w:rsidR="00477C74" w:rsidRPr="00481B03">
        <w:rPr>
          <w:color w:val="000000"/>
          <w:shd w:val="clear" w:color="auto" w:fill="FFFFFF"/>
        </w:rPr>
        <w:t xml:space="preserve"> that</w:t>
      </w:r>
      <w:r w:rsidRPr="00481B03">
        <w:rPr>
          <w:color w:val="000000"/>
          <w:shd w:val="clear" w:color="auto" w:fill="FFFFFF"/>
        </w:rPr>
        <w:t xml:space="preserve"> the Minister </w:t>
      </w:r>
      <w:r w:rsidR="00477C74" w:rsidRPr="00481B03">
        <w:rPr>
          <w:color w:val="000000"/>
          <w:shd w:val="clear" w:color="auto" w:fill="FFFFFF"/>
        </w:rPr>
        <w:t>may</w:t>
      </w:r>
      <w:r w:rsidRPr="00481B03">
        <w:rPr>
          <w:color w:val="000000"/>
          <w:shd w:val="clear" w:color="auto" w:fill="FFFFFF"/>
        </w:rPr>
        <w:t xml:space="preserve">, by legislative instrument, determine that a health service not specified in an item in the </w:t>
      </w:r>
      <w:r w:rsidR="00352DDE" w:rsidRPr="00481B03">
        <w:rPr>
          <w:color w:val="000000"/>
          <w:shd w:val="clear" w:color="auto" w:fill="FFFFFF"/>
        </w:rPr>
        <w:t>general medical services table</w:t>
      </w:r>
      <w:r w:rsidRPr="00481B03">
        <w:rPr>
          <w:color w:val="000000"/>
          <w:shd w:val="clear" w:color="auto" w:fill="FFFFFF"/>
        </w:rPr>
        <w:t xml:space="preserve"> </w:t>
      </w:r>
      <w:r w:rsidR="00D01D5A" w:rsidRPr="00481B03">
        <w:rPr>
          <w:color w:val="000000"/>
          <w:shd w:val="clear" w:color="auto" w:fill="FFFFFF"/>
        </w:rPr>
        <w:t xml:space="preserve">(the Table) </w:t>
      </w:r>
      <w:r w:rsidRPr="00481B03">
        <w:rPr>
          <w:color w:val="000000"/>
          <w:shd w:val="clear" w:color="auto" w:fill="FFFFFF"/>
        </w:rPr>
        <w:t xml:space="preserve">shall, in specified circumstances and for specified statutory provisions, be treated as if it were specified in the </w:t>
      </w:r>
      <w:r w:rsidR="00D01D5A" w:rsidRPr="00481B03">
        <w:rPr>
          <w:color w:val="000000"/>
          <w:shd w:val="clear" w:color="auto" w:fill="FFFFFF"/>
        </w:rPr>
        <w:t xml:space="preserve">Table. </w:t>
      </w:r>
      <w:r w:rsidRPr="00481B03">
        <w:rPr>
          <w:color w:val="FF0000"/>
          <w:shd w:val="clear" w:color="auto" w:fill="FFFFFF"/>
        </w:rPr>
        <w:t xml:space="preserve">  </w:t>
      </w:r>
    </w:p>
    <w:p w14:paraId="7DB18649" w14:textId="77777777" w:rsidR="00841EDA" w:rsidRPr="00481B03" w:rsidRDefault="00841EDA" w:rsidP="004C6AE7">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color w:val="000000"/>
          <w:shd w:val="clear" w:color="auto" w:fill="FFFFFF"/>
        </w:rPr>
      </w:pPr>
    </w:p>
    <w:p w14:paraId="0CD04EE8" w14:textId="41B9D47A" w:rsidR="00050623" w:rsidRPr="00481B03" w:rsidRDefault="00050623" w:rsidP="00050623">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color w:val="FF0000"/>
        </w:rPr>
      </w:pPr>
      <w:r w:rsidRPr="00481B03">
        <w:t xml:space="preserve">The </w:t>
      </w:r>
      <w:r w:rsidR="00D01D5A" w:rsidRPr="00481B03">
        <w:t>Table</w:t>
      </w:r>
      <w:r w:rsidRPr="00481B03">
        <w:t xml:space="preserve"> is set out in the regulations made under subsection 4</w:t>
      </w:r>
      <w:r w:rsidR="00352DDE" w:rsidRPr="00481B03">
        <w:t>(1)</w:t>
      </w:r>
      <w:r w:rsidRPr="00481B03">
        <w:t xml:space="preserve"> of the Act.  The most recent version of the regulations is the </w:t>
      </w:r>
      <w:r w:rsidR="00352DDE" w:rsidRPr="00481B03">
        <w:rPr>
          <w:i/>
          <w:iCs/>
          <w:color w:val="000000" w:themeColor="text1"/>
        </w:rPr>
        <w:t>Health Insurance (General Medical Services Table) Regulations 2021</w:t>
      </w:r>
      <w:r w:rsidR="00D01D5A" w:rsidRPr="00481B03">
        <w:rPr>
          <w:color w:val="FF0000"/>
        </w:rPr>
        <w:t>.</w:t>
      </w:r>
      <w:r w:rsidRPr="00481B03">
        <w:rPr>
          <w:color w:val="FF0000"/>
        </w:rPr>
        <w:t xml:space="preserve"> </w:t>
      </w:r>
    </w:p>
    <w:p w14:paraId="2E6FE463" w14:textId="77777777" w:rsidR="00050623" w:rsidRPr="00481B03" w:rsidRDefault="00050623" w:rsidP="00050623">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pPr>
    </w:p>
    <w:p w14:paraId="15997618" w14:textId="77777777" w:rsidR="00050623" w:rsidRPr="00481B03" w:rsidRDefault="00050623" w:rsidP="00050623">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pPr>
      <w:r w:rsidRPr="00481B03">
        <w:t xml:space="preserve">This instrument relies on subsection 33(3) of the </w:t>
      </w:r>
      <w:r w:rsidRPr="00481B03">
        <w:rPr>
          <w:i/>
        </w:rPr>
        <w:t>Acts Interpretation Act 1901</w:t>
      </w:r>
      <w:r w:rsidRPr="00481B03">
        <w:t xml:space="preserve"> (AIA).  Subsection 33(3) of the AIA</w:t>
      </w:r>
      <w:r w:rsidRPr="00481B03">
        <w:rPr>
          <w:i/>
        </w:rPr>
        <w:t xml:space="preserve"> </w:t>
      </w:r>
      <w:r w:rsidRPr="00481B03">
        <w:t>provides that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p>
    <w:p w14:paraId="2412D129" w14:textId="2D4AC742" w:rsidR="008C5F1C" w:rsidRPr="00481B03" w:rsidRDefault="008C5F1C" w:rsidP="00D33180">
      <w:pPr>
        <w:autoSpaceDE w:val="0"/>
        <w:autoSpaceDN w:val="0"/>
        <w:adjustRightInd w:val="0"/>
        <w:ind w:right="-483"/>
        <w:rPr>
          <w:szCs w:val="24"/>
        </w:rPr>
      </w:pPr>
    </w:p>
    <w:p w14:paraId="2412D12A" w14:textId="77777777" w:rsidR="00BB00BA" w:rsidRPr="00481B03" w:rsidRDefault="00A1739A" w:rsidP="00BB00BA">
      <w:pPr>
        <w:rPr>
          <w:b/>
          <w:szCs w:val="24"/>
          <w:lang w:val="en-US" w:eastAsia="en-US"/>
        </w:rPr>
      </w:pPr>
      <w:r w:rsidRPr="00481B03">
        <w:rPr>
          <w:b/>
          <w:szCs w:val="24"/>
          <w:lang w:val="en-US" w:eastAsia="en-US"/>
        </w:rPr>
        <w:t>Purpose</w:t>
      </w:r>
    </w:p>
    <w:p w14:paraId="12E6C56D" w14:textId="67BFE616" w:rsidR="00732494" w:rsidRPr="00481B03" w:rsidRDefault="00352DDE" w:rsidP="00352DDE">
      <w:pPr>
        <w:ind w:right="-483"/>
        <w:rPr>
          <w:color w:val="000000" w:themeColor="text1"/>
          <w:szCs w:val="24"/>
        </w:rPr>
      </w:pPr>
      <w:r w:rsidRPr="00481B03">
        <w:rPr>
          <w:color w:val="000000" w:themeColor="text1"/>
          <w:szCs w:val="24"/>
        </w:rPr>
        <w:t xml:space="preserve">The purpose of the </w:t>
      </w:r>
      <w:r w:rsidR="00175DFF" w:rsidRPr="00481B03">
        <w:rPr>
          <w:i/>
          <w:iCs/>
          <w:color w:val="000000" w:themeColor="text1"/>
          <w:szCs w:val="24"/>
        </w:rPr>
        <w:t xml:space="preserve">Health Insurance (Section 3C General Medical Services – Transcatheter Aortic Valve Implantation) Amendment (Limit to Intermediate and High Risk Surgical Patients) Determination 2021 </w:t>
      </w:r>
      <w:r w:rsidRPr="00481B03">
        <w:rPr>
          <w:color w:val="000000" w:themeColor="text1"/>
          <w:szCs w:val="24"/>
        </w:rPr>
        <w:t xml:space="preserve">(the </w:t>
      </w:r>
      <w:bookmarkStart w:id="0" w:name="_Hlk90370187"/>
      <w:r w:rsidR="00732494" w:rsidRPr="00481B03">
        <w:rPr>
          <w:color w:val="000000" w:themeColor="text1"/>
          <w:szCs w:val="24"/>
        </w:rPr>
        <w:t xml:space="preserve">Amendment </w:t>
      </w:r>
      <w:r w:rsidRPr="00481B03">
        <w:rPr>
          <w:color w:val="000000" w:themeColor="text1"/>
          <w:szCs w:val="24"/>
        </w:rPr>
        <w:t>Determination</w:t>
      </w:r>
      <w:bookmarkEnd w:id="0"/>
      <w:r w:rsidRPr="00481B03">
        <w:rPr>
          <w:color w:val="000000" w:themeColor="text1"/>
          <w:szCs w:val="24"/>
        </w:rPr>
        <w:t xml:space="preserve">) is to amend the </w:t>
      </w:r>
      <w:r w:rsidRPr="00481B03">
        <w:rPr>
          <w:i/>
          <w:iCs/>
          <w:color w:val="000000" w:themeColor="text1"/>
          <w:szCs w:val="24"/>
        </w:rPr>
        <w:t>Health Insurance (Section 3C General Medical Services – Transcatheter Aortic Valve Implantation) Determination 20</w:t>
      </w:r>
      <w:r w:rsidR="00B17CB2" w:rsidRPr="00481B03">
        <w:rPr>
          <w:i/>
          <w:iCs/>
          <w:color w:val="000000" w:themeColor="text1"/>
          <w:szCs w:val="24"/>
        </w:rPr>
        <w:t>18</w:t>
      </w:r>
      <w:r w:rsidRPr="00481B03">
        <w:rPr>
          <w:color w:val="000000" w:themeColor="text1"/>
          <w:szCs w:val="24"/>
        </w:rPr>
        <w:t xml:space="preserve"> </w:t>
      </w:r>
      <w:r w:rsidR="009A7E82" w:rsidRPr="00481B03">
        <w:rPr>
          <w:color w:val="000000" w:themeColor="text1"/>
          <w:szCs w:val="24"/>
        </w:rPr>
        <w:t xml:space="preserve">(the Principal Determination) to amend </w:t>
      </w:r>
      <w:r w:rsidR="00732494" w:rsidRPr="00481B03">
        <w:rPr>
          <w:color w:val="000000" w:themeColor="text1"/>
          <w:szCs w:val="24"/>
        </w:rPr>
        <w:t>transcatheter aortic valve implantation (TAVI) procedural item 38495 and introduce</w:t>
      </w:r>
      <w:r w:rsidR="00891068" w:rsidRPr="00481B03">
        <w:rPr>
          <w:color w:val="000000" w:themeColor="text1"/>
          <w:szCs w:val="24"/>
        </w:rPr>
        <w:t xml:space="preserve"> new </w:t>
      </w:r>
      <w:r w:rsidR="00732494" w:rsidRPr="00481B03">
        <w:rPr>
          <w:color w:val="000000" w:themeColor="text1"/>
          <w:szCs w:val="24"/>
        </w:rPr>
        <w:t>item 38514</w:t>
      </w:r>
      <w:r w:rsidR="00891068" w:rsidRPr="00481B03">
        <w:rPr>
          <w:color w:val="000000" w:themeColor="text1"/>
          <w:szCs w:val="24"/>
        </w:rPr>
        <w:t xml:space="preserve"> to  reflect </w:t>
      </w:r>
      <w:r w:rsidR="000B7FAE" w:rsidRPr="00481B03">
        <w:rPr>
          <w:color w:val="000000" w:themeColor="text1"/>
          <w:szCs w:val="24"/>
        </w:rPr>
        <w:t xml:space="preserve">the two separate clinical </w:t>
      </w:r>
      <w:r w:rsidR="00453151" w:rsidRPr="00481B03">
        <w:rPr>
          <w:color w:val="000000" w:themeColor="text1"/>
          <w:szCs w:val="24"/>
        </w:rPr>
        <w:t>populations</w:t>
      </w:r>
      <w:r w:rsidR="000B7FAE" w:rsidRPr="00481B03">
        <w:rPr>
          <w:color w:val="000000" w:themeColor="text1"/>
          <w:szCs w:val="24"/>
        </w:rPr>
        <w:t xml:space="preserve"> that have been supported by the MSAC for the TAVI procedure</w:t>
      </w:r>
      <w:r w:rsidR="00732494" w:rsidRPr="00481B03">
        <w:rPr>
          <w:color w:val="000000" w:themeColor="text1"/>
          <w:szCs w:val="24"/>
        </w:rPr>
        <w:t xml:space="preserve">. </w:t>
      </w:r>
    </w:p>
    <w:p w14:paraId="770F0B80" w14:textId="77777777" w:rsidR="00732494" w:rsidRPr="00481B03" w:rsidRDefault="00732494" w:rsidP="00352DDE">
      <w:pPr>
        <w:ind w:right="-483"/>
        <w:rPr>
          <w:color w:val="000000" w:themeColor="text1"/>
          <w:szCs w:val="24"/>
        </w:rPr>
      </w:pPr>
    </w:p>
    <w:p w14:paraId="5C768022" w14:textId="79673A42" w:rsidR="00E64DE6" w:rsidRPr="00481B03" w:rsidRDefault="005C4113" w:rsidP="00352DDE">
      <w:pPr>
        <w:ind w:right="-483"/>
        <w:rPr>
          <w:color w:val="000000" w:themeColor="text1"/>
          <w:szCs w:val="24"/>
        </w:rPr>
      </w:pPr>
      <w:r w:rsidRPr="00481B03">
        <w:rPr>
          <w:color w:val="000000" w:themeColor="text1"/>
          <w:szCs w:val="24"/>
        </w:rPr>
        <w:t xml:space="preserve">A TAVI procedure is </w:t>
      </w:r>
      <w:r w:rsidR="00E64DE6" w:rsidRPr="00481B03">
        <w:rPr>
          <w:color w:val="000000" w:themeColor="text1"/>
          <w:szCs w:val="24"/>
        </w:rPr>
        <w:t>performed</w:t>
      </w:r>
      <w:r w:rsidRPr="00481B03">
        <w:rPr>
          <w:color w:val="000000" w:themeColor="text1"/>
          <w:szCs w:val="24"/>
        </w:rPr>
        <w:t xml:space="preserve"> </w:t>
      </w:r>
      <w:r w:rsidR="00E64DE6" w:rsidRPr="00481B03">
        <w:rPr>
          <w:color w:val="000000" w:themeColor="text1"/>
          <w:szCs w:val="24"/>
        </w:rPr>
        <w:t>where a</w:t>
      </w:r>
      <w:r w:rsidRPr="00481B03">
        <w:rPr>
          <w:color w:val="000000" w:themeColor="text1"/>
          <w:szCs w:val="24"/>
        </w:rPr>
        <w:t xml:space="preserve"> patient</w:t>
      </w:r>
      <w:r w:rsidR="00E64DE6" w:rsidRPr="00481B03">
        <w:rPr>
          <w:color w:val="000000" w:themeColor="text1"/>
          <w:szCs w:val="24"/>
        </w:rPr>
        <w:t xml:space="preserve"> has</w:t>
      </w:r>
      <w:r w:rsidRPr="00481B03">
        <w:rPr>
          <w:color w:val="000000" w:themeColor="text1"/>
          <w:szCs w:val="24"/>
        </w:rPr>
        <w:t xml:space="preserve"> severe </w:t>
      </w:r>
      <w:r w:rsidR="000B7FAE" w:rsidRPr="00481B03">
        <w:rPr>
          <w:color w:val="000000" w:themeColor="text1"/>
          <w:szCs w:val="24"/>
        </w:rPr>
        <w:t xml:space="preserve">symptomatic </w:t>
      </w:r>
      <w:r w:rsidRPr="00481B03">
        <w:rPr>
          <w:color w:val="000000" w:themeColor="text1"/>
          <w:szCs w:val="24"/>
        </w:rPr>
        <w:t xml:space="preserve">aortic stenosis </w:t>
      </w:r>
      <w:r w:rsidR="00E64DE6" w:rsidRPr="00481B03">
        <w:rPr>
          <w:color w:val="000000" w:themeColor="text1"/>
          <w:szCs w:val="24"/>
        </w:rPr>
        <w:t xml:space="preserve">and is </w:t>
      </w:r>
      <w:r w:rsidRPr="00481B03">
        <w:rPr>
          <w:color w:val="000000" w:themeColor="text1"/>
          <w:szCs w:val="24"/>
        </w:rPr>
        <w:t>at risk</w:t>
      </w:r>
      <w:r w:rsidR="00E64DE6" w:rsidRPr="00481B03">
        <w:rPr>
          <w:color w:val="000000" w:themeColor="text1"/>
          <w:szCs w:val="24"/>
        </w:rPr>
        <w:t xml:space="preserve"> of complications from surgical aortic valve replacement (open-heart surgery).</w:t>
      </w:r>
      <w:r w:rsidR="000B7FAE" w:rsidRPr="00481B03">
        <w:rPr>
          <w:color w:val="000000" w:themeColor="text1"/>
          <w:szCs w:val="24"/>
        </w:rPr>
        <w:t xml:space="preserve"> Generally, patients with severe aortic stenosis fall into three surgical risk categories being low, </w:t>
      </w:r>
      <w:proofErr w:type="gramStart"/>
      <w:r w:rsidR="000B7FAE" w:rsidRPr="00481B03">
        <w:rPr>
          <w:color w:val="000000" w:themeColor="text1"/>
          <w:szCs w:val="24"/>
        </w:rPr>
        <w:t>intermediate</w:t>
      </w:r>
      <w:proofErr w:type="gramEnd"/>
      <w:r w:rsidR="000B7FAE" w:rsidRPr="00481B03">
        <w:rPr>
          <w:color w:val="000000" w:themeColor="text1"/>
          <w:szCs w:val="24"/>
        </w:rPr>
        <w:t xml:space="preserve"> and high risk. At this point in time TAVI procedures will only be </w:t>
      </w:r>
      <w:r w:rsidR="00453151" w:rsidRPr="00481B03">
        <w:rPr>
          <w:color w:val="000000" w:themeColor="text1"/>
          <w:szCs w:val="24"/>
        </w:rPr>
        <w:t>available</w:t>
      </w:r>
      <w:r w:rsidR="000B7FAE" w:rsidRPr="00481B03">
        <w:rPr>
          <w:color w:val="000000" w:themeColor="text1"/>
          <w:szCs w:val="24"/>
        </w:rPr>
        <w:t xml:space="preserve"> for intermediate and high surgical risk patients who are identified by specific clinical criteria. </w:t>
      </w:r>
      <w:r w:rsidR="00E64DE6" w:rsidRPr="00481B03">
        <w:rPr>
          <w:color w:val="000000" w:themeColor="text1"/>
          <w:szCs w:val="24"/>
        </w:rPr>
        <w:t xml:space="preserve"> </w:t>
      </w:r>
      <w:r w:rsidR="00732494" w:rsidRPr="00481B03">
        <w:rPr>
          <w:color w:val="000000" w:themeColor="text1"/>
          <w:szCs w:val="24"/>
        </w:rPr>
        <w:t xml:space="preserve"> </w:t>
      </w:r>
    </w:p>
    <w:p w14:paraId="300CB39A" w14:textId="77777777" w:rsidR="00E64DE6" w:rsidRPr="00481B03" w:rsidRDefault="00E64DE6" w:rsidP="00352DDE">
      <w:pPr>
        <w:ind w:right="-483"/>
        <w:rPr>
          <w:color w:val="000000" w:themeColor="text1"/>
          <w:szCs w:val="24"/>
        </w:rPr>
      </w:pPr>
    </w:p>
    <w:p w14:paraId="05CA3DCF" w14:textId="6FB270CD" w:rsidR="00140B72" w:rsidRPr="00481B03" w:rsidRDefault="00C81F7C" w:rsidP="00352DDE">
      <w:pPr>
        <w:ind w:right="-483"/>
        <w:rPr>
          <w:color w:val="000000" w:themeColor="text1"/>
          <w:szCs w:val="24"/>
        </w:rPr>
      </w:pPr>
      <w:r w:rsidRPr="00481B03">
        <w:rPr>
          <w:color w:val="000000" w:themeColor="text1"/>
          <w:szCs w:val="24"/>
        </w:rPr>
        <w:t>The Amendment Determination amends TAVI item 38</w:t>
      </w:r>
      <w:r w:rsidR="007A3468" w:rsidRPr="00481B03">
        <w:rPr>
          <w:color w:val="000000" w:themeColor="text1"/>
          <w:szCs w:val="24"/>
        </w:rPr>
        <w:t>495</w:t>
      </w:r>
      <w:r w:rsidRPr="00481B03">
        <w:rPr>
          <w:color w:val="000000" w:themeColor="text1"/>
          <w:szCs w:val="24"/>
        </w:rPr>
        <w:t xml:space="preserve"> to </w:t>
      </w:r>
      <w:r w:rsidR="00140B72" w:rsidRPr="00481B03">
        <w:rPr>
          <w:color w:val="000000" w:themeColor="text1"/>
          <w:szCs w:val="24"/>
        </w:rPr>
        <w:t>prescribe that the service applies to a patient at high risk of complications for surgery and apply a co</w:t>
      </w:r>
      <w:r w:rsidR="00140B72" w:rsidRPr="00481B03">
        <w:rPr>
          <w:color w:val="000000" w:themeColor="text1"/>
          <w:szCs w:val="24"/>
        </w:rPr>
        <w:noBreakHyphen/>
        <w:t xml:space="preserve">claiming restriction against new item 38514. This change also clarifies that a service under item 38514 must be provided in a hospital setting only. </w:t>
      </w:r>
    </w:p>
    <w:p w14:paraId="57D1DCFF" w14:textId="77777777" w:rsidR="00140B72" w:rsidRPr="00481B03" w:rsidRDefault="00140B72" w:rsidP="00352DDE">
      <w:pPr>
        <w:ind w:right="-483"/>
        <w:rPr>
          <w:color w:val="000000" w:themeColor="text1"/>
          <w:szCs w:val="24"/>
        </w:rPr>
      </w:pPr>
    </w:p>
    <w:p w14:paraId="258C25E4" w14:textId="3DFA1334" w:rsidR="00140B72" w:rsidRPr="00481B03" w:rsidRDefault="00140B72" w:rsidP="00352DDE">
      <w:pPr>
        <w:ind w:right="-483"/>
        <w:rPr>
          <w:color w:val="000000" w:themeColor="text1"/>
          <w:szCs w:val="24"/>
        </w:rPr>
      </w:pPr>
      <w:r w:rsidRPr="00481B03">
        <w:rPr>
          <w:color w:val="000000" w:themeColor="text1"/>
          <w:szCs w:val="24"/>
        </w:rPr>
        <w:t xml:space="preserve">New TAVI item 38514 is also introduced for the treatment of symptomatic severe aortic stenosis in a patient at intermediate risk of complications for surgery. A service under 38514 must </w:t>
      </w:r>
      <w:r w:rsidR="00B02D58" w:rsidRPr="00481B03">
        <w:rPr>
          <w:color w:val="000000" w:themeColor="text1"/>
          <w:szCs w:val="24"/>
        </w:rPr>
        <w:t xml:space="preserve">include all intraoperative diagnostic imaging provided for the TAVI procedure </w:t>
      </w:r>
      <w:r w:rsidR="00B02D58" w:rsidRPr="00481B03">
        <w:rPr>
          <w:color w:val="000000" w:themeColor="text1"/>
          <w:szCs w:val="24"/>
        </w:rPr>
        <w:lastRenderedPageBreak/>
        <w:t xml:space="preserve">and must </w:t>
      </w:r>
      <w:r w:rsidRPr="00481B03">
        <w:rPr>
          <w:color w:val="000000" w:themeColor="text1"/>
          <w:szCs w:val="24"/>
        </w:rPr>
        <w:t xml:space="preserve">be provided in an eligible </w:t>
      </w:r>
      <w:r w:rsidR="007458B0" w:rsidRPr="00481B03">
        <w:rPr>
          <w:color w:val="000000" w:themeColor="text1"/>
          <w:szCs w:val="24"/>
        </w:rPr>
        <w:t>h</w:t>
      </w:r>
      <w:r w:rsidRPr="00481B03">
        <w:rPr>
          <w:color w:val="000000" w:themeColor="text1"/>
          <w:szCs w:val="24"/>
        </w:rPr>
        <w:t xml:space="preserve">ospital on an eligible </w:t>
      </w:r>
      <w:r w:rsidR="007458B0" w:rsidRPr="00481B03">
        <w:rPr>
          <w:color w:val="000000" w:themeColor="text1"/>
          <w:szCs w:val="24"/>
        </w:rPr>
        <w:t>p</w:t>
      </w:r>
      <w:r w:rsidRPr="00481B03">
        <w:rPr>
          <w:color w:val="000000" w:themeColor="text1"/>
          <w:szCs w:val="24"/>
        </w:rPr>
        <w:t xml:space="preserve">atient by an eligible </w:t>
      </w:r>
      <w:r w:rsidR="007458B0" w:rsidRPr="00481B03">
        <w:rPr>
          <w:color w:val="000000" w:themeColor="text1"/>
          <w:szCs w:val="24"/>
        </w:rPr>
        <w:t>p</w:t>
      </w:r>
      <w:r w:rsidRPr="00481B03">
        <w:rPr>
          <w:color w:val="000000" w:themeColor="text1"/>
          <w:szCs w:val="24"/>
        </w:rPr>
        <w:t xml:space="preserve">ractitioner. The eligibility criteria for this service is defined within the Principal Determination. </w:t>
      </w:r>
    </w:p>
    <w:p w14:paraId="7E394BD2" w14:textId="77777777" w:rsidR="00140B72" w:rsidRPr="00481B03" w:rsidRDefault="00140B72" w:rsidP="00352DDE">
      <w:pPr>
        <w:ind w:right="-483"/>
        <w:rPr>
          <w:color w:val="000000" w:themeColor="text1"/>
          <w:szCs w:val="24"/>
        </w:rPr>
      </w:pPr>
    </w:p>
    <w:p w14:paraId="1DCB3346" w14:textId="5CC0BC38" w:rsidR="00C81F7C" w:rsidRPr="00481B03" w:rsidRDefault="00140B72" w:rsidP="00352DDE">
      <w:pPr>
        <w:ind w:right="-483"/>
        <w:rPr>
          <w:color w:val="000000" w:themeColor="text1"/>
          <w:szCs w:val="24"/>
        </w:rPr>
      </w:pPr>
      <w:r w:rsidRPr="00481B03">
        <w:rPr>
          <w:color w:val="000000" w:themeColor="text1"/>
          <w:szCs w:val="24"/>
        </w:rPr>
        <w:t>New item 38514</w:t>
      </w:r>
      <w:r w:rsidR="00455AC7" w:rsidRPr="00481B03">
        <w:rPr>
          <w:color w:val="000000" w:themeColor="text1"/>
          <w:szCs w:val="24"/>
        </w:rPr>
        <w:t xml:space="preserve"> </w:t>
      </w:r>
      <w:r w:rsidR="00363B88" w:rsidRPr="00481B03">
        <w:rPr>
          <w:color w:val="000000" w:themeColor="text1"/>
          <w:szCs w:val="24"/>
        </w:rPr>
        <w:t xml:space="preserve">provides patients </w:t>
      </w:r>
      <w:r w:rsidR="00FE0F5A" w:rsidRPr="00481B03">
        <w:rPr>
          <w:color w:val="000000" w:themeColor="text1"/>
          <w:szCs w:val="24"/>
        </w:rPr>
        <w:t xml:space="preserve">who are </w:t>
      </w:r>
      <w:r w:rsidR="00363B88" w:rsidRPr="00481B03">
        <w:rPr>
          <w:color w:val="000000" w:themeColor="text1"/>
          <w:szCs w:val="24"/>
        </w:rPr>
        <w:t xml:space="preserve">at intermediate risk of complications for surgery with a less invasive option for their aortic stenosis, which severely affects a person’s activities of daily living. New item 38514 </w:t>
      </w:r>
      <w:r w:rsidR="00455AC7" w:rsidRPr="00481B03">
        <w:rPr>
          <w:color w:val="000000" w:themeColor="text1"/>
          <w:szCs w:val="24"/>
        </w:rPr>
        <w:t>cannot be claimed if a service to which item 38514 or 38495 has been provided to the patient within the previous five years</w:t>
      </w:r>
      <w:r w:rsidR="00B02D58" w:rsidRPr="00481B03">
        <w:rPr>
          <w:color w:val="000000" w:themeColor="text1"/>
          <w:szCs w:val="24"/>
        </w:rPr>
        <w:t xml:space="preserve"> and must be provided in a hospital setting only</w:t>
      </w:r>
      <w:r w:rsidR="00455AC7" w:rsidRPr="00481B03">
        <w:rPr>
          <w:color w:val="000000" w:themeColor="text1"/>
          <w:szCs w:val="24"/>
        </w:rPr>
        <w:t xml:space="preserve">. </w:t>
      </w:r>
      <w:r w:rsidRPr="00481B03">
        <w:rPr>
          <w:color w:val="000000" w:themeColor="text1"/>
          <w:szCs w:val="24"/>
        </w:rPr>
        <w:t xml:space="preserve"> </w:t>
      </w:r>
    </w:p>
    <w:p w14:paraId="023602C0" w14:textId="6D141EB1" w:rsidR="00E54E18" w:rsidRPr="00481B03" w:rsidRDefault="00E54E18" w:rsidP="00352DDE">
      <w:pPr>
        <w:ind w:right="-483"/>
        <w:rPr>
          <w:color w:val="000000" w:themeColor="text1"/>
          <w:szCs w:val="24"/>
        </w:rPr>
      </w:pPr>
    </w:p>
    <w:p w14:paraId="37EA6D2E" w14:textId="33281452" w:rsidR="00E54E18" w:rsidRPr="00481B03" w:rsidRDefault="00E54E18" w:rsidP="00352DDE">
      <w:pPr>
        <w:ind w:right="-483"/>
        <w:rPr>
          <w:color w:val="000000" w:themeColor="text1"/>
          <w:szCs w:val="24"/>
        </w:rPr>
      </w:pPr>
      <w:r w:rsidRPr="00481B03">
        <w:rPr>
          <w:color w:val="000000" w:themeColor="text1"/>
          <w:szCs w:val="24"/>
        </w:rPr>
        <w:t>These changes recognise the differing levels of complexity</w:t>
      </w:r>
      <w:r w:rsidR="000B7FAE" w:rsidRPr="00481B03">
        <w:rPr>
          <w:color w:val="000000" w:themeColor="text1"/>
          <w:szCs w:val="24"/>
        </w:rPr>
        <w:t xml:space="preserve"> and safety risk</w:t>
      </w:r>
      <w:r w:rsidRPr="00481B03">
        <w:rPr>
          <w:color w:val="000000" w:themeColor="text1"/>
          <w:szCs w:val="24"/>
        </w:rPr>
        <w:t xml:space="preserve"> of TAVI procedures between patients with a high or intermediate risk of complications for surgery and provides access to a safe, effective, and minimally invasive treatment option for a patient cohort that suffers severe dysfunction as a result of aortic stenosis.</w:t>
      </w:r>
    </w:p>
    <w:p w14:paraId="540FA457" w14:textId="77777777" w:rsidR="00363B88" w:rsidRPr="00481B03" w:rsidRDefault="00363B88" w:rsidP="00363B88">
      <w:pPr>
        <w:ind w:right="-483"/>
        <w:rPr>
          <w:color w:val="000000" w:themeColor="text1"/>
          <w:szCs w:val="24"/>
        </w:rPr>
      </w:pPr>
    </w:p>
    <w:p w14:paraId="716BB910" w14:textId="250CB51D" w:rsidR="00363B88" w:rsidRPr="00481B03" w:rsidRDefault="00363B88" w:rsidP="00363B88">
      <w:pPr>
        <w:ind w:right="-483"/>
        <w:rPr>
          <w:color w:val="000000" w:themeColor="text1"/>
          <w:szCs w:val="24"/>
        </w:rPr>
      </w:pPr>
      <w:r w:rsidRPr="00481B03">
        <w:rPr>
          <w:color w:val="000000" w:themeColor="text1"/>
          <w:szCs w:val="24"/>
        </w:rPr>
        <w:t xml:space="preserve">These changes were recommended by the Medical Services Advisory Committee (MSAC) at their November 2020 and March-April 2021 meetings. </w:t>
      </w:r>
      <w:r w:rsidRPr="00481B03">
        <w:rPr>
          <w:color w:val="000000"/>
          <w:shd w:val="clear" w:color="auto" w:fill="FFFFFF"/>
        </w:rPr>
        <w:t>MSAC reviews new or existing medical services or technology and makes recommendations as to the circumstances under which public funding should be supported. This includes the listing of new items, or amendments to existing items on the MBS.</w:t>
      </w:r>
    </w:p>
    <w:p w14:paraId="2412D131" w14:textId="27EF2D7D" w:rsidR="001865F8" w:rsidRPr="00481B03" w:rsidRDefault="00A1739A" w:rsidP="00D46EB9">
      <w:pPr>
        <w:shd w:val="clear" w:color="auto" w:fill="FFFFFF"/>
        <w:spacing w:before="100" w:beforeAutospacing="1"/>
        <w:rPr>
          <w:rFonts w:ascii="Helvetica Neue" w:hAnsi="Helvetica Neue"/>
          <w:szCs w:val="24"/>
          <w:lang w:val="en-US"/>
        </w:rPr>
      </w:pPr>
      <w:r w:rsidRPr="00481B03">
        <w:rPr>
          <w:b/>
        </w:rPr>
        <w:t>Consultation</w:t>
      </w:r>
    </w:p>
    <w:p w14:paraId="1518D8B4" w14:textId="7FC107A5" w:rsidR="00363B88" w:rsidRPr="00481B03" w:rsidRDefault="00363B88" w:rsidP="00363B88">
      <w:pPr>
        <w:ind w:right="-483"/>
        <w:rPr>
          <w:color w:val="000000" w:themeColor="text1"/>
          <w:szCs w:val="24"/>
        </w:rPr>
      </w:pPr>
      <w:r w:rsidRPr="00481B03">
        <w:rPr>
          <w:color w:val="000000" w:themeColor="text1"/>
          <w:szCs w:val="24"/>
        </w:rPr>
        <w:t xml:space="preserve">Consultation was undertaken </w:t>
      </w:r>
      <w:r w:rsidR="000B7FAE" w:rsidRPr="00481B03">
        <w:rPr>
          <w:color w:val="000000" w:themeColor="text1"/>
          <w:szCs w:val="24"/>
        </w:rPr>
        <w:t xml:space="preserve">by the Department </w:t>
      </w:r>
      <w:r w:rsidRPr="00481B03">
        <w:rPr>
          <w:color w:val="000000" w:themeColor="text1"/>
          <w:szCs w:val="24"/>
        </w:rPr>
        <w:t xml:space="preserve">with </w:t>
      </w:r>
      <w:r w:rsidR="000B7FAE" w:rsidRPr="00481B03">
        <w:rPr>
          <w:color w:val="000000" w:themeColor="text1"/>
          <w:szCs w:val="24"/>
        </w:rPr>
        <w:t xml:space="preserve">the </w:t>
      </w:r>
      <w:r w:rsidRPr="00481B03">
        <w:rPr>
          <w:bCs/>
          <w:iCs/>
          <w:color w:val="000000" w:themeColor="text1"/>
          <w:szCs w:val="24"/>
        </w:rPr>
        <w:t>Australia</w:t>
      </w:r>
      <w:r w:rsidR="00566C1D" w:rsidRPr="00481B03">
        <w:rPr>
          <w:bCs/>
          <w:iCs/>
          <w:color w:val="000000" w:themeColor="text1"/>
          <w:szCs w:val="24"/>
        </w:rPr>
        <w:t>n</w:t>
      </w:r>
      <w:r w:rsidRPr="00481B03">
        <w:rPr>
          <w:bCs/>
          <w:iCs/>
          <w:color w:val="000000" w:themeColor="text1"/>
          <w:szCs w:val="24"/>
        </w:rPr>
        <w:t xml:space="preserve"> and New Zealand Society of Cardiac and Thoracic Surgeons, Australian Medical Association, </w:t>
      </w:r>
      <w:r w:rsidR="00566C1D" w:rsidRPr="00481B03">
        <w:rPr>
          <w:bCs/>
          <w:iCs/>
          <w:color w:val="000000" w:themeColor="text1"/>
          <w:szCs w:val="24"/>
        </w:rPr>
        <w:t xml:space="preserve">the Australian Private Hospitals Association, </w:t>
      </w:r>
      <w:r w:rsidR="00566C1D" w:rsidRPr="00481B03">
        <w:rPr>
          <w:color w:val="000000" w:themeColor="text1"/>
          <w:szCs w:val="24"/>
        </w:rPr>
        <w:t xml:space="preserve">the </w:t>
      </w:r>
      <w:r w:rsidR="00566C1D" w:rsidRPr="00481B03">
        <w:rPr>
          <w:bCs/>
          <w:iCs/>
          <w:color w:val="000000" w:themeColor="text1"/>
          <w:szCs w:val="24"/>
        </w:rPr>
        <w:t xml:space="preserve">Cardiac Society of Australia and New Zealand and </w:t>
      </w:r>
      <w:r w:rsidRPr="00481B03">
        <w:rPr>
          <w:bCs/>
          <w:iCs/>
          <w:color w:val="000000" w:themeColor="text1"/>
          <w:szCs w:val="24"/>
        </w:rPr>
        <w:t>Private Health Australia</w:t>
      </w:r>
      <w:r w:rsidR="00566C1D" w:rsidRPr="00481B03">
        <w:rPr>
          <w:bCs/>
          <w:iCs/>
          <w:color w:val="000000" w:themeColor="text1"/>
          <w:szCs w:val="24"/>
        </w:rPr>
        <w:t>, who</w:t>
      </w:r>
      <w:r w:rsidRPr="00481B03">
        <w:rPr>
          <w:bCs/>
          <w:iCs/>
          <w:color w:val="000000" w:themeColor="text1"/>
          <w:szCs w:val="24"/>
        </w:rPr>
        <w:t xml:space="preserve"> were broadly supportive of the changes. </w:t>
      </w:r>
    </w:p>
    <w:p w14:paraId="02264A85" w14:textId="77777777" w:rsidR="007708B3" w:rsidRPr="00481B03" w:rsidRDefault="007708B3" w:rsidP="002806A1">
      <w:pPr>
        <w:shd w:val="clear" w:color="auto" w:fill="FFFFFF"/>
        <w:rPr>
          <w:color w:val="000000"/>
          <w:szCs w:val="24"/>
        </w:rPr>
      </w:pPr>
    </w:p>
    <w:p w14:paraId="2412D134" w14:textId="0A8814A1" w:rsidR="00967E51" w:rsidRPr="00481B03" w:rsidRDefault="00A1739A" w:rsidP="00554026">
      <w:pPr>
        <w:rPr>
          <w:szCs w:val="24"/>
        </w:rPr>
      </w:pPr>
      <w:r w:rsidRPr="00481B03">
        <w:rPr>
          <w:szCs w:val="24"/>
        </w:rPr>
        <w:t xml:space="preserve">Details of the </w:t>
      </w:r>
      <w:r w:rsidR="00554026" w:rsidRPr="00481B03">
        <w:rPr>
          <w:szCs w:val="24"/>
        </w:rPr>
        <w:t xml:space="preserve">Amendment Determination </w:t>
      </w:r>
      <w:r w:rsidRPr="00481B03">
        <w:rPr>
          <w:szCs w:val="24"/>
        </w:rPr>
        <w:t xml:space="preserve">are set out in the </w:t>
      </w:r>
      <w:r w:rsidRPr="00481B03">
        <w:rPr>
          <w:szCs w:val="24"/>
          <w:u w:val="single"/>
        </w:rPr>
        <w:t>Attachment</w:t>
      </w:r>
      <w:r w:rsidRPr="00481B03">
        <w:rPr>
          <w:szCs w:val="24"/>
        </w:rPr>
        <w:t>.</w:t>
      </w:r>
    </w:p>
    <w:p w14:paraId="5D4E4C17" w14:textId="77777777" w:rsidR="00554026" w:rsidRPr="00481B03" w:rsidRDefault="00554026" w:rsidP="00554026">
      <w:pPr>
        <w:tabs>
          <w:tab w:val="left" w:pos="567"/>
        </w:tabs>
        <w:rPr>
          <w:szCs w:val="24"/>
        </w:rPr>
      </w:pPr>
    </w:p>
    <w:p w14:paraId="2412D135" w14:textId="7BA3FDD8" w:rsidR="006C138D" w:rsidRPr="00481B03" w:rsidRDefault="00297AD0" w:rsidP="00554026">
      <w:pPr>
        <w:tabs>
          <w:tab w:val="left" w:pos="567"/>
        </w:tabs>
        <w:rPr>
          <w:szCs w:val="24"/>
        </w:rPr>
      </w:pPr>
      <w:r w:rsidRPr="00481B03">
        <w:rPr>
          <w:szCs w:val="24"/>
        </w:rPr>
        <w:t xml:space="preserve">The </w:t>
      </w:r>
      <w:r w:rsidR="00554026" w:rsidRPr="00481B03">
        <w:rPr>
          <w:szCs w:val="24"/>
        </w:rPr>
        <w:t xml:space="preserve">Amendment Determination </w:t>
      </w:r>
      <w:r w:rsidR="007524B0" w:rsidRPr="00481B03">
        <w:rPr>
          <w:szCs w:val="24"/>
        </w:rPr>
        <w:t xml:space="preserve">commences </w:t>
      </w:r>
      <w:r w:rsidR="00C63FDC" w:rsidRPr="00481B03">
        <w:rPr>
          <w:color w:val="000000" w:themeColor="text1"/>
          <w:szCs w:val="24"/>
        </w:rPr>
        <w:t xml:space="preserve">on </w:t>
      </w:r>
      <w:r w:rsidR="006B7343" w:rsidRPr="00481B03">
        <w:rPr>
          <w:color w:val="000000" w:themeColor="text1"/>
          <w:szCs w:val="24"/>
        </w:rPr>
        <w:t xml:space="preserve">1 March 2022. </w:t>
      </w:r>
      <w:r w:rsidR="007708B3" w:rsidRPr="00481B03">
        <w:rPr>
          <w:color w:val="FF0000"/>
          <w:szCs w:val="24"/>
        </w:rPr>
        <w:t xml:space="preserve"> </w:t>
      </w:r>
    </w:p>
    <w:p w14:paraId="2412D136" w14:textId="77777777" w:rsidR="00236DF2" w:rsidRPr="00481B03" w:rsidRDefault="00236DF2" w:rsidP="00554026">
      <w:pPr>
        <w:rPr>
          <w:szCs w:val="24"/>
        </w:rPr>
      </w:pPr>
    </w:p>
    <w:p w14:paraId="2412D138" w14:textId="1A8A2487" w:rsidR="00574E71" w:rsidRPr="00481B03" w:rsidRDefault="0002728B" w:rsidP="00554026">
      <w:pPr>
        <w:spacing w:line="276" w:lineRule="auto"/>
        <w:rPr>
          <w:szCs w:val="24"/>
        </w:rPr>
      </w:pPr>
      <w:r w:rsidRPr="00481B03">
        <w:rPr>
          <w:szCs w:val="24"/>
        </w:rPr>
        <w:t>T</w:t>
      </w:r>
      <w:r w:rsidR="00574E71" w:rsidRPr="00481B03">
        <w:rPr>
          <w:szCs w:val="24"/>
        </w:rPr>
        <w:t xml:space="preserve">he </w:t>
      </w:r>
      <w:r w:rsidR="00554026" w:rsidRPr="00481B03">
        <w:rPr>
          <w:szCs w:val="24"/>
        </w:rPr>
        <w:t xml:space="preserve">Amendment Determination </w:t>
      </w:r>
      <w:r w:rsidR="00574E71" w:rsidRPr="00481B03">
        <w:rPr>
          <w:szCs w:val="24"/>
        </w:rPr>
        <w:t xml:space="preserve">is </w:t>
      </w:r>
      <w:r w:rsidR="004417A2" w:rsidRPr="00481B03">
        <w:rPr>
          <w:szCs w:val="24"/>
        </w:rPr>
        <w:t xml:space="preserve">a </w:t>
      </w:r>
      <w:r w:rsidR="00574E71" w:rsidRPr="00481B03">
        <w:rPr>
          <w:szCs w:val="24"/>
        </w:rPr>
        <w:t xml:space="preserve">legislative instrument for the purposes of the </w:t>
      </w:r>
      <w:r w:rsidR="00574E71" w:rsidRPr="00481B03">
        <w:rPr>
          <w:i/>
        </w:rPr>
        <w:t>Legislation Act 2003</w:t>
      </w:r>
      <w:r w:rsidR="00574E71" w:rsidRPr="00481B03">
        <w:rPr>
          <w:szCs w:val="24"/>
        </w:rPr>
        <w:t>.</w:t>
      </w:r>
    </w:p>
    <w:p w14:paraId="2412D139" w14:textId="77777777" w:rsidR="00A1739A" w:rsidRPr="00481B03" w:rsidRDefault="00A1739A" w:rsidP="000337CB">
      <w:pPr>
        <w:ind w:left="6663" w:hanging="3119"/>
        <w:rPr>
          <w:szCs w:val="24"/>
        </w:rPr>
      </w:pPr>
      <w:r w:rsidRPr="00481B03">
        <w:rPr>
          <w:szCs w:val="24"/>
        </w:rPr>
        <w:t xml:space="preserve">           </w:t>
      </w:r>
    </w:p>
    <w:p w14:paraId="2412D13A" w14:textId="77777777" w:rsidR="00A1739A" w:rsidRPr="00481B03" w:rsidRDefault="00A1739A" w:rsidP="000337CB">
      <w:pPr>
        <w:ind w:left="6663" w:hanging="3119"/>
        <w:rPr>
          <w:szCs w:val="24"/>
        </w:rPr>
      </w:pPr>
      <w:r w:rsidRPr="00481B03">
        <w:rPr>
          <w:szCs w:val="24"/>
          <w:u w:val="single"/>
        </w:rPr>
        <w:t>Authority</w:t>
      </w:r>
      <w:r w:rsidR="00967E51" w:rsidRPr="00481B03">
        <w:rPr>
          <w:szCs w:val="24"/>
        </w:rPr>
        <w:t xml:space="preserve">:     Subsection </w:t>
      </w:r>
      <w:r w:rsidRPr="00481B03">
        <w:rPr>
          <w:szCs w:val="24"/>
        </w:rPr>
        <w:t>3</w:t>
      </w:r>
      <w:proofErr w:type="gramStart"/>
      <w:r w:rsidR="00967E51" w:rsidRPr="00481B03">
        <w:rPr>
          <w:szCs w:val="24"/>
        </w:rPr>
        <w:t>C</w:t>
      </w:r>
      <w:r w:rsidRPr="00481B03">
        <w:rPr>
          <w:szCs w:val="24"/>
        </w:rPr>
        <w:t>(</w:t>
      </w:r>
      <w:proofErr w:type="gramEnd"/>
      <w:r w:rsidRPr="00481B03">
        <w:rPr>
          <w:szCs w:val="24"/>
        </w:rPr>
        <w:t xml:space="preserve">1) of the </w:t>
      </w:r>
    </w:p>
    <w:p w14:paraId="2412D13B" w14:textId="0596CD30" w:rsidR="00A1739A" w:rsidRPr="00481B03" w:rsidRDefault="00A1739A" w:rsidP="000337CB">
      <w:pPr>
        <w:tabs>
          <w:tab w:val="left" w:pos="4820"/>
        </w:tabs>
        <w:rPr>
          <w:szCs w:val="24"/>
        </w:rPr>
        <w:sectPr w:rsidR="00A1739A" w:rsidRPr="00481B03" w:rsidSect="00235B6C">
          <w:headerReference w:type="default" r:id="rId11"/>
          <w:pgSz w:w="11906" w:h="16838"/>
          <w:pgMar w:top="1440" w:right="1800" w:bottom="1135" w:left="1800" w:header="708" w:footer="708" w:gutter="0"/>
          <w:pgNumType w:start="1"/>
          <w:cols w:space="708"/>
          <w:docGrid w:linePitch="360"/>
        </w:sectPr>
      </w:pPr>
      <w:r w:rsidRPr="00481B03">
        <w:rPr>
          <w:i/>
          <w:szCs w:val="24"/>
        </w:rPr>
        <w:tab/>
        <w:t>Health Insurance Act 1973</w:t>
      </w:r>
    </w:p>
    <w:p w14:paraId="2412D13D" w14:textId="77777777" w:rsidR="006D5816" w:rsidRPr="00481B03" w:rsidRDefault="006D5816" w:rsidP="000337CB">
      <w:pPr>
        <w:pStyle w:val="BodyText"/>
        <w:jc w:val="right"/>
        <w:rPr>
          <w:szCs w:val="24"/>
        </w:rPr>
      </w:pPr>
      <w:r w:rsidRPr="00481B03">
        <w:rPr>
          <w:szCs w:val="24"/>
        </w:rPr>
        <w:lastRenderedPageBreak/>
        <w:t>ATTACHMENT</w:t>
      </w:r>
    </w:p>
    <w:p w14:paraId="2412D13E" w14:textId="77777777" w:rsidR="006D5816" w:rsidRPr="00481B03" w:rsidRDefault="006D5816" w:rsidP="000337CB">
      <w:pPr>
        <w:pStyle w:val="BodyText"/>
        <w:rPr>
          <w:color w:val="000000" w:themeColor="text1"/>
          <w:szCs w:val="24"/>
          <w:u w:val="single"/>
        </w:rPr>
      </w:pPr>
    </w:p>
    <w:p w14:paraId="7BBEB147" w14:textId="4E86EDB8" w:rsidR="00E70355" w:rsidRPr="00481B03" w:rsidRDefault="00A41364" w:rsidP="000337CB">
      <w:pPr>
        <w:pStyle w:val="BodyText"/>
        <w:rPr>
          <w:b w:val="0"/>
          <w:i/>
          <w:szCs w:val="24"/>
        </w:rPr>
      </w:pPr>
      <w:r w:rsidRPr="00481B03">
        <w:rPr>
          <w:color w:val="000000" w:themeColor="text1"/>
          <w:szCs w:val="24"/>
        </w:rPr>
        <w:t xml:space="preserve">Details of the </w:t>
      </w:r>
      <w:r w:rsidR="00175DFF" w:rsidRPr="00481B03">
        <w:rPr>
          <w:bCs/>
          <w:i/>
          <w:iCs/>
          <w:color w:val="000000" w:themeColor="text1"/>
        </w:rPr>
        <w:t xml:space="preserve">Health Insurance (Section 3C General Medical Services – Transcatheter Aortic Valve Implantation) Amendment (Limit to Intermediate and </w:t>
      </w:r>
      <w:proofErr w:type="gramStart"/>
      <w:r w:rsidR="00175DFF" w:rsidRPr="00481B03">
        <w:rPr>
          <w:bCs/>
          <w:i/>
          <w:iCs/>
          <w:color w:val="000000" w:themeColor="text1"/>
        </w:rPr>
        <w:t>High Risk</w:t>
      </w:r>
      <w:proofErr w:type="gramEnd"/>
      <w:r w:rsidR="00175DFF" w:rsidRPr="00481B03">
        <w:rPr>
          <w:bCs/>
          <w:i/>
          <w:iCs/>
          <w:color w:val="000000" w:themeColor="text1"/>
        </w:rPr>
        <w:t xml:space="preserve"> Surgical Patients) Determination 2021 </w:t>
      </w:r>
    </w:p>
    <w:p w14:paraId="2412D141" w14:textId="7C34D5F4" w:rsidR="00FE02C2" w:rsidRPr="00481B03" w:rsidRDefault="001B0111" w:rsidP="000337CB">
      <w:pPr>
        <w:pStyle w:val="BodyText"/>
        <w:rPr>
          <w:b w:val="0"/>
          <w:szCs w:val="24"/>
          <w:u w:val="single"/>
        </w:rPr>
      </w:pPr>
      <w:r w:rsidRPr="00481B03">
        <w:rPr>
          <w:b w:val="0"/>
          <w:szCs w:val="24"/>
          <w:u w:val="single"/>
        </w:rPr>
        <w:t>Section 1 – Name</w:t>
      </w:r>
    </w:p>
    <w:p w14:paraId="2412D142" w14:textId="77777777" w:rsidR="00FE02C2" w:rsidRPr="00481B03" w:rsidRDefault="00FE02C2" w:rsidP="000337CB">
      <w:pPr>
        <w:pStyle w:val="BodyText"/>
        <w:rPr>
          <w:b w:val="0"/>
          <w:szCs w:val="24"/>
          <w:u w:val="single"/>
        </w:rPr>
      </w:pPr>
    </w:p>
    <w:p w14:paraId="2412D144" w14:textId="6D8B830A" w:rsidR="00F83B6F" w:rsidRPr="00481B03" w:rsidRDefault="00BC7397" w:rsidP="00C67BC7">
      <w:pPr>
        <w:pStyle w:val="BodyText"/>
        <w:rPr>
          <w:i/>
          <w:iCs/>
          <w:color w:val="FF0000"/>
        </w:rPr>
      </w:pPr>
      <w:r w:rsidRPr="00481B03">
        <w:rPr>
          <w:b w:val="0"/>
          <w:szCs w:val="24"/>
        </w:rPr>
        <w:t>S</w:t>
      </w:r>
      <w:r w:rsidR="00FE02C2" w:rsidRPr="00481B03">
        <w:rPr>
          <w:b w:val="0"/>
          <w:szCs w:val="24"/>
        </w:rPr>
        <w:t xml:space="preserve">ection </w:t>
      </w:r>
      <w:r w:rsidRPr="00481B03">
        <w:rPr>
          <w:b w:val="0"/>
          <w:szCs w:val="24"/>
        </w:rPr>
        <w:t xml:space="preserve">1 </w:t>
      </w:r>
      <w:r w:rsidR="00FE02C2" w:rsidRPr="00481B03">
        <w:rPr>
          <w:b w:val="0"/>
          <w:szCs w:val="24"/>
        </w:rPr>
        <w:t>provides</w:t>
      </w:r>
      <w:r w:rsidR="008B683E" w:rsidRPr="00481B03">
        <w:rPr>
          <w:b w:val="0"/>
          <w:szCs w:val="24"/>
        </w:rPr>
        <w:t xml:space="preserve"> for the </w:t>
      </w:r>
      <w:r w:rsidR="00554026" w:rsidRPr="00481B03">
        <w:rPr>
          <w:b w:val="0"/>
          <w:szCs w:val="24"/>
        </w:rPr>
        <w:t xml:space="preserve">Amendment Determination </w:t>
      </w:r>
      <w:r w:rsidR="00FE02C2" w:rsidRPr="00481B03">
        <w:rPr>
          <w:b w:val="0"/>
          <w:szCs w:val="24"/>
        </w:rPr>
        <w:t>to be ref</w:t>
      </w:r>
      <w:r w:rsidR="00FE02C2" w:rsidRPr="00481B03">
        <w:rPr>
          <w:b w:val="0"/>
          <w:color w:val="000000" w:themeColor="text1"/>
          <w:szCs w:val="24"/>
        </w:rPr>
        <w:t xml:space="preserve">erred to as the </w:t>
      </w:r>
      <w:r w:rsidR="00175DFF" w:rsidRPr="00481B03">
        <w:rPr>
          <w:b w:val="0"/>
          <w:bCs/>
          <w:i/>
          <w:iCs/>
          <w:color w:val="000000" w:themeColor="text1"/>
          <w:szCs w:val="24"/>
        </w:rPr>
        <w:t xml:space="preserve">Health Insurance (Section 3C General Medical Services – Transcatheter Aortic Valve Implantation) Amendment (Limit to Intermediate and </w:t>
      </w:r>
      <w:proofErr w:type="gramStart"/>
      <w:r w:rsidR="00175DFF" w:rsidRPr="00481B03">
        <w:rPr>
          <w:b w:val="0"/>
          <w:bCs/>
          <w:i/>
          <w:iCs/>
          <w:color w:val="000000" w:themeColor="text1"/>
          <w:szCs w:val="24"/>
        </w:rPr>
        <w:t>High Risk</w:t>
      </w:r>
      <w:proofErr w:type="gramEnd"/>
      <w:r w:rsidR="00175DFF" w:rsidRPr="00481B03">
        <w:rPr>
          <w:b w:val="0"/>
          <w:bCs/>
          <w:i/>
          <w:iCs/>
          <w:color w:val="000000" w:themeColor="text1"/>
          <w:szCs w:val="24"/>
        </w:rPr>
        <w:t xml:space="preserve"> Surgical Patients) Determination 2021.</w:t>
      </w:r>
    </w:p>
    <w:p w14:paraId="68DAA207" w14:textId="77777777" w:rsidR="00FD602D" w:rsidRPr="00481B03" w:rsidRDefault="00FD602D" w:rsidP="00FD602D"/>
    <w:p w14:paraId="49D1E050" w14:textId="77777777" w:rsidR="007A4089" w:rsidRPr="00481B03" w:rsidRDefault="00FE02C2" w:rsidP="000337CB">
      <w:pPr>
        <w:pStyle w:val="BodyText"/>
        <w:rPr>
          <w:b w:val="0"/>
          <w:szCs w:val="24"/>
          <w:u w:val="single"/>
        </w:rPr>
      </w:pPr>
      <w:r w:rsidRPr="00481B03">
        <w:rPr>
          <w:b w:val="0"/>
          <w:szCs w:val="24"/>
          <w:u w:val="single"/>
        </w:rPr>
        <w:t xml:space="preserve">Section 2 – Commencement </w:t>
      </w:r>
    </w:p>
    <w:p w14:paraId="2DCE2ED0" w14:textId="77777777" w:rsidR="007A4089" w:rsidRPr="00481B03" w:rsidRDefault="007A4089" w:rsidP="000337CB">
      <w:pPr>
        <w:pStyle w:val="BodyText"/>
        <w:rPr>
          <w:b w:val="0"/>
          <w:szCs w:val="24"/>
          <w:u w:val="single"/>
        </w:rPr>
      </w:pPr>
    </w:p>
    <w:p w14:paraId="2412D148" w14:textId="76E3C094" w:rsidR="00510A4F" w:rsidRPr="00481B03" w:rsidRDefault="00510A4F" w:rsidP="000337CB">
      <w:pPr>
        <w:pStyle w:val="BodyText"/>
        <w:rPr>
          <w:b w:val="0"/>
          <w:color w:val="FF0000"/>
          <w:szCs w:val="24"/>
        </w:rPr>
      </w:pPr>
      <w:r w:rsidRPr="00481B03">
        <w:rPr>
          <w:b w:val="0"/>
          <w:szCs w:val="24"/>
        </w:rPr>
        <w:t xml:space="preserve">Section 2 </w:t>
      </w:r>
      <w:r w:rsidR="00404F11" w:rsidRPr="00481B03">
        <w:rPr>
          <w:b w:val="0"/>
          <w:szCs w:val="24"/>
        </w:rPr>
        <w:t xml:space="preserve">provides that the </w:t>
      </w:r>
      <w:r w:rsidR="00554026" w:rsidRPr="00481B03">
        <w:rPr>
          <w:b w:val="0"/>
          <w:szCs w:val="24"/>
        </w:rPr>
        <w:t xml:space="preserve">Amendment Determination </w:t>
      </w:r>
      <w:r w:rsidR="00404F11" w:rsidRPr="00481B03">
        <w:rPr>
          <w:b w:val="0"/>
          <w:szCs w:val="24"/>
        </w:rPr>
        <w:t>c</w:t>
      </w:r>
      <w:r w:rsidR="00404F11" w:rsidRPr="00481B03">
        <w:rPr>
          <w:b w:val="0"/>
          <w:color w:val="000000" w:themeColor="text1"/>
          <w:szCs w:val="24"/>
        </w:rPr>
        <w:t xml:space="preserve">ommences </w:t>
      </w:r>
      <w:r w:rsidR="00C63FDC" w:rsidRPr="00481B03">
        <w:rPr>
          <w:b w:val="0"/>
          <w:color w:val="000000" w:themeColor="text1"/>
          <w:szCs w:val="24"/>
        </w:rPr>
        <w:t xml:space="preserve">on </w:t>
      </w:r>
      <w:r w:rsidR="006B7343" w:rsidRPr="00481B03">
        <w:rPr>
          <w:b w:val="0"/>
          <w:color w:val="000000" w:themeColor="text1"/>
          <w:szCs w:val="24"/>
        </w:rPr>
        <w:t>1 March 2022</w:t>
      </w:r>
      <w:r w:rsidR="00C63FDC" w:rsidRPr="00481B03">
        <w:rPr>
          <w:b w:val="0"/>
          <w:color w:val="000000" w:themeColor="text1"/>
          <w:szCs w:val="24"/>
        </w:rPr>
        <w:t xml:space="preserve">. </w:t>
      </w:r>
    </w:p>
    <w:p w14:paraId="16C03200" w14:textId="77777777" w:rsidR="007E0017" w:rsidRPr="00481B03" w:rsidRDefault="007E0017" w:rsidP="000337CB">
      <w:pPr>
        <w:pStyle w:val="BodyText"/>
        <w:rPr>
          <w:b w:val="0"/>
          <w:szCs w:val="24"/>
        </w:rPr>
      </w:pPr>
    </w:p>
    <w:p w14:paraId="005D5660" w14:textId="77777777" w:rsidR="007A4089" w:rsidRPr="00481B03" w:rsidRDefault="00FE02C2" w:rsidP="000337CB">
      <w:pPr>
        <w:pStyle w:val="BodyText"/>
        <w:rPr>
          <w:b w:val="0"/>
          <w:szCs w:val="24"/>
          <w:u w:val="single"/>
        </w:rPr>
      </w:pPr>
      <w:r w:rsidRPr="00481B03">
        <w:rPr>
          <w:b w:val="0"/>
          <w:szCs w:val="24"/>
          <w:u w:val="single"/>
        </w:rPr>
        <w:t xml:space="preserve">Section 3 – </w:t>
      </w:r>
      <w:r w:rsidR="00E5798A" w:rsidRPr="00481B03">
        <w:rPr>
          <w:b w:val="0"/>
          <w:szCs w:val="24"/>
          <w:u w:val="single"/>
        </w:rPr>
        <w:t>Authority</w:t>
      </w:r>
    </w:p>
    <w:p w14:paraId="53BFA098" w14:textId="77777777" w:rsidR="007A4089" w:rsidRPr="00481B03" w:rsidRDefault="007A4089" w:rsidP="000337CB">
      <w:pPr>
        <w:pStyle w:val="BodyText"/>
        <w:rPr>
          <w:b w:val="0"/>
          <w:szCs w:val="24"/>
          <w:u w:val="single"/>
        </w:rPr>
      </w:pPr>
    </w:p>
    <w:p w14:paraId="2412D14B" w14:textId="1E1DD619" w:rsidR="00FE02C2" w:rsidRPr="00481B03" w:rsidRDefault="00F83B6F" w:rsidP="000337CB">
      <w:pPr>
        <w:pStyle w:val="BodyText"/>
        <w:rPr>
          <w:b w:val="0"/>
        </w:rPr>
      </w:pPr>
      <w:r w:rsidRPr="00481B03">
        <w:rPr>
          <w:b w:val="0"/>
        </w:rPr>
        <w:t xml:space="preserve">Section 3 provides that the </w:t>
      </w:r>
      <w:r w:rsidR="00554026" w:rsidRPr="00481B03">
        <w:rPr>
          <w:b w:val="0"/>
          <w:szCs w:val="24"/>
        </w:rPr>
        <w:t xml:space="preserve">Amendment Determination </w:t>
      </w:r>
      <w:r w:rsidR="00E5798A" w:rsidRPr="00481B03">
        <w:rPr>
          <w:b w:val="0"/>
        </w:rPr>
        <w:t xml:space="preserve">is made under </w:t>
      </w:r>
      <w:r w:rsidR="00367440" w:rsidRPr="00481B03">
        <w:rPr>
          <w:b w:val="0"/>
        </w:rPr>
        <w:t xml:space="preserve">subsection </w:t>
      </w:r>
      <w:r w:rsidR="00E5798A" w:rsidRPr="00481B03">
        <w:rPr>
          <w:b w:val="0"/>
        </w:rPr>
        <w:t>3</w:t>
      </w:r>
      <w:proofErr w:type="gramStart"/>
      <w:r w:rsidR="00E5798A" w:rsidRPr="00481B03">
        <w:rPr>
          <w:b w:val="0"/>
        </w:rPr>
        <w:t>C(</w:t>
      </w:r>
      <w:proofErr w:type="gramEnd"/>
      <w:r w:rsidR="00E5798A" w:rsidRPr="00481B03">
        <w:rPr>
          <w:b w:val="0"/>
        </w:rPr>
        <w:t xml:space="preserve">1) of the </w:t>
      </w:r>
      <w:r w:rsidR="00E5798A" w:rsidRPr="00481B03">
        <w:rPr>
          <w:b w:val="0"/>
          <w:i/>
        </w:rPr>
        <w:t>Health Insurance Act 1973</w:t>
      </w:r>
      <w:r w:rsidR="00E5798A" w:rsidRPr="00481B03">
        <w:rPr>
          <w:b w:val="0"/>
        </w:rPr>
        <w:t>.</w:t>
      </w:r>
    </w:p>
    <w:p w14:paraId="0DBF1241" w14:textId="77777777" w:rsidR="00E70355" w:rsidRPr="00481B03" w:rsidRDefault="00E70355" w:rsidP="000337CB">
      <w:pPr>
        <w:pStyle w:val="BodyText"/>
        <w:rPr>
          <w:b w:val="0"/>
        </w:rPr>
      </w:pPr>
    </w:p>
    <w:p w14:paraId="20CBF84A" w14:textId="77777777" w:rsidR="00C63FDC" w:rsidRPr="00481B03" w:rsidRDefault="00C63FDC" w:rsidP="00C63FDC">
      <w:pPr>
        <w:pStyle w:val="BodyText"/>
        <w:rPr>
          <w:b w:val="0"/>
          <w:szCs w:val="24"/>
          <w:u w:val="single"/>
        </w:rPr>
      </w:pPr>
      <w:r w:rsidRPr="00481B03">
        <w:rPr>
          <w:b w:val="0"/>
          <w:szCs w:val="24"/>
          <w:u w:val="single"/>
        </w:rPr>
        <w:t>Section 4 – Schedules</w:t>
      </w:r>
    </w:p>
    <w:p w14:paraId="4C010161" w14:textId="77777777" w:rsidR="00C63FDC" w:rsidRPr="00481B03" w:rsidRDefault="00C63FDC" w:rsidP="00C63FDC">
      <w:pPr>
        <w:pStyle w:val="BodyText"/>
        <w:rPr>
          <w:b w:val="0"/>
          <w:szCs w:val="24"/>
          <w:u w:val="single"/>
        </w:rPr>
      </w:pPr>
    </w:p>
    <w:p w14:paraId="5D9EBF8D" w14:textId="7590B3BE" w:rsidR="00C63FDC" w:rsidRPr="00481B03" w:rsidRDefault="00C63FDC" w:rsidP="00C63FDC">
      <w:pPr>
        <w:pStyle w:val="BodyText"/>
        <w:rPr>
          <w:b w:val="0"/>
          <w:szCs w:val="24"/>
        </w:rPr>
      </w:pPr>
      <w:r w:rsidRPr="00481B03">
        <w:rPr>
          <w:b w:val="0"/>
          <w:szCs w:val="24"/>
        </w:rPr>
        <w:t xml:space="preserve">Section 4 provides that each instrument that is specified in a Schedule to this </w:t>
      </w:r>
      <w:r w:rsidR="00554026" w:rsidRPr="00481B03">
        <w:rPr>
          <w:b w:val="0"/>
          <w:szCs w:val="24"/>
        </w:rPr>
        <w:t xml:space="preserve">Amendment Determination </w:t>
      </w:r>
      <w:r w:rsidRPr="00481B03">
        <w:rPr>
          <w:b w:val="0"/>
          <w:szCs w:val="24"/>
        </w:rPr>
        <w:t xml:space="preserve">is amended or repealed as set out in the applicable items in the Schedule concerned, and any other item in a Schedule to this </w:t>
      </w:r>
      <w:r w:rsidR="00554026" w:rsidRPr="00481B03">
        <w:rPr>
          <w:b w:val="0"/>
          <w:szCs w:val="24"/>
        </w:rPr>
        <w:t xml:space="preserve">Amendment Determination </w:t>
      </w:r>
      <w:r w:rsidRPr="00481B03">
        <w:rPr>
          <w:b w:val="0"/>
          <w:szCs w:val="24"/>
        </w:rPr>
        <w:t>has effect according to its terms.</w:t>
      </w:r>
    </w:p>
    <w:p w14:paraId="17D2CF69" w14:textId="77777777" w:rsidR="007E0017" w:rsidRPr="00481B03" w:rsidRDefault="007E0017" w:rsidP="00404F11">
      <w:pPr>
        <w:pStyle w:val="BodyText"/>
        <w:rPr>
          <w:b w:val="0"/>
          <w:szCs w:val="24"/>
        </w:rPr>
      </w:pPr>
    </w:p>
    <w:p w14:paraId="768D340E" w14:textId="77777777" w:rsidR="00C63FDC" w:rsidRPr="00481B03" w:rsidRDefault="00C63FDC" w:rsidP="00C63FDC">
      <w:pPr>
        <w:pStyle w:val="Header"/>
        <w:tabs>
          <w:tab w:val="num" w:pos="1080"/>
        </w:tabs>
        <w:rPr>
          <w:szCs w:val="24"/>
          <w:u w:val="single"/>
        </w:rPr>
      </w:pPr>
      <w:r w:rsidRPr="00481B03">
        <w:rPr>
          <w:szCs w:val="24"/>
          <w:u w:val="single"/>
        </w:rPr>
        <w:t>Schedule 1 – Amendments</w:t>
      </w:r>
    </w:p>
    <w:p w14:paraId="2212E577" w14:textId="77777777" w:rsidR="00C63FDC" w:rsidRPr="00481B03" w:rsidRDefault="00C63FDC" w:rsidP="00C63FDC">
      <w:pPr>
        <w:pStyle w:val="Header"/>
        <w:tabs>
          <w:tab w:val="num" w:pos="1080"/>
        </w:tabs>
        <w:rPr>
          <w:szCs w:val="24"/>
          <w:u w:val="single"/>
        </w:rPr>
      </w:pPr>
    </w:p>
    <w:p w14:paraId="4EA72CBC" w14:textId="77777777" w:rsidR="006B7343" w:rsidRPr="00481B03" w:rsidRDefault="006B7343" w:rsidP="006B7343">
      <w:pPr>
        <w:pStyle w:val="Header"/>
        <w:tabs>
          <w:tab w:val="num" w:pos="1080"/>
        </w:tabs>
        <w:rPr>
          <w:i/>
          <w:iCs/>
          <w:color w:val="000000" w:themeColor="text1"/>
        </w:rPr>
      </w:pPr>
      <w:r w:rsidRPr="00481B03">
        <w:rPr>
          <w:i/>
          <w:iCs/>
          <w:color w:val="000000" w:themeColor="text1"/>
        </w:rPr>
        <w:t>Health Insurance (Section 3C General Medical Services – Transcatheter Aortic Valve Implantation) Determination 2018</w:t>
      </w:r>
    </w:p>
    <w:p w14:paraId="0C7E649E" w14:textId="77777777" w:rsidR="00C63FDC" w:rsidRPr="00481B03" w:rsidRDefault="00C63FDC" w:rsidP="00C63FDC">
      <w:pPr>
        <w:pStyle w:val="Header"/>
        <w:tabs>
          <w:tab w:val="num" w:pos="1080"/>
        </w:tabs>
        <w:rPr>
          <w:i/>
          <w:szCs w:val="24"/>
        </w:rPr>
      </w:pPr>
    </w:p>
    <w:p w14:paraId="5A36C027" w14:textId="18FB681D" w:rsidR="007708B3" w:rsidRPr="00481B03" w:rsidRDefault="006B7343" w:rsidP="00C63FDC">
      <w:pPr>
        <w:pStyle w:val="Header"/>
        <w:tabs>
          <w:tab w:val="num" w:pos="1080"/>
        </w:tabs>
        <w:rPr>
          <w:color w:val="000000" w:themeColor="text1"/>
          <w:szCs w:val="24"/>
        </w:rPr>
      </w:pPr>
      <w:r w:rsidRPr="00481B03">
        <w:rPr>
          <w:b/>
          <w:bCs/>
          <w:color w:val="000000" w:themeColor="text1"/>
          <w:szCs w:val="24"/>
        </w:rPr>
        <w:t>Amendment item</w:t>
      </w:r>
      <w:r w:rsidR="00AB0D22" w:rsidRPr="00481B03">
        <w:rPr>
          <w:b/>
          <w:bCs/>
          <w:color w:val="000000" w:themeColor="text1"/>
          <w:szCs w:val="24"/>
        </w:rPr>
        <w:t>s</w:t>
      </w:r>
      <w:r w:rsidRPr="00481B03">
        <w:rPr>
          <w:b/>
          <w:bCs/>
          <w:color w:val="000000" w:themeColor="text1"/>
          <w:szCs w:val="24"/>
        </w:rPr>
        <w:t xml:space="preserve"> 1</w:t>
      </w:r>
      <w:r w:rsidRPr="00481B03">
        <w:rPr>
          <w:color w:val="000000" w:themeColor="text1"/>
        </w:rPr>
        <w:t xml:space="preserve"> amends the definitions of </w:t>
      </w:r>
      <w:r w:rsidR="00AB0D22" w:rsidRPr="00481B03">
        <w:rPr>
          <w:color w:val="000000" w:themeColor="text1"/>
        </w:rPr>
        <w:t>‘</w:t>
      </w:r>
      <w:r w:rsidRPr="00481B03">
        <w:rPr>
          <w:color w:val="000000" w:themeColor="text1"/>
        </w:rPr>
        <w:t>TAVI Case Conference</w:t>
      </w:r>
      <w:r w:rsidR="00AB0D22" w:rsidRPr="00481B03">
        <w:rPr>
          <w:color w:val="000000" w:themeColor="text1"/>
        </w:rPr>
        <w:t>’ and</w:t>
      </w:r>
      <w:r w:rsidRPr="00481B03">
        <w:rPr>
          <w:color w:val="000000" w:themeColor="text1"/>
        </w:rPr>
        <w:t xml:space="preserve"> </w:t>
      </w:r>
      <w:r w:rsidR="00AB0D22" w:rsidRPr="00481B03">
        <w:rPr>
          <w:color w:val="000000" w:themeColor="text1"/>
        </w:rPr>
        <w:t>‘</w:t>
      </w:r>
      <w:r w:rsidRPr="00481B03">
        <w:rPr>
          <w:color w:val="000000" w:themeColor="text1"/>
        </w:rPr>
        <w:t>TAVI Hospital</w:t>
      </w:r>
      <w:r w:rsidR="00AB0D22" w:rsidRPr="00481B03">
        <w:rPr>
          <w:color w:val="000000" w:themeColor="text1"/>
        </w:rPr>
        <w:t>’</w:t>
      </w:r>
      <w:r w:rsidRPr="00481B03">
        <w:rPr>
          <w:color w:val="000000" w:themeColor="text1"/>
        </w:rPr>
        <w:t xml:space="preserve"> to include a reference to new </w:t>
      </w:r>
      <w:r w:rsidRPr="00481B03">
        <w:rPr>
          <w:color w:val="000000" w:themeColor="text1"/>
          <w:szCs w:val="24"/>
        </w:rPr>
        <w:t xml:space="preserve">transcatheter aortic valve implantation (TAVI) procedural item 38514 (refer to </w:t>
      </w:r>
      <w:r w:rsidRPr="00481B03">
        <w:rPr>
          <w:b/>
          <w:bCs/>
          <w:color w:val="000000" w:themeColor="text1"/>
          <w:szCs w:val="24"/>
        </w:rPr>
        <w:t>amendment item 2</w:t>
      </w:r>
      <w:r w:rsidRPr="00481B03">
        <w:rPr>
          <w:color w:val="000000" w:themeColor="text1"/>
          <w:szCs w:val="24"/>
        </w:rPr>
        <w:t xml:space="preserve"> of the </w:t>
      </w:r>
      <w:r w:rsidR="00554026" w:rsidRPr="00481B03">
        <w:rPr>
          <w:color w:val="000000" w:themeColor="text1"/>
          <w:szCs w:val="24"/>
        </w:rPr>
        <w:t>Amendment Determination</w:t>
      </w:r>
      <w:r w:rsidRPr="00481B03">
        <w:rPr>
          <w:color w:val="000000" w:themeColor="text1"/>
          <w:szCs w:val="24"/>
        </w:rPr>
        <w:t xml:space="preserve">). This change is considered minor and administrative in nature. </w:t>
      </w:r>
    </w:p>
    <w:p w14:paraId="4E78EBCC" w14:textId="0FFACB8D" w:rsidR="00AB0D22" w:rsidRPr="00481B03" w:rsidRDefault="00AB0D22" w:rsidP="00C63FDC">
      <w:pPr>
        <w:pStyle w:val="Header"/>
        <w:tabs>
          <w:tab w:val="num" w:pos="1080"/>
        </w:tabs>
        <w:rPr>
          <w:color w:val="000000" w:themeColor="text1"/>
          <w:szCs w:val="24"/>
        </w:rPr>
      </w:pPr>
    </w:p>
    <w:p w14:paraId="13AA1463" w14:textId="77777777" w:rsidR="00AB0D22" w:rsidRPr="00481B03" w:rsidRDefault="00AB0D22" w:rsidP="00AB0D22">
      <w:pPr>
        <w:pStyle w:val="Header"/>
        <w:tabs>
          <w:tab w:val="num" w:pos="1080"/>
        </w:tabs>
        <w:rPr>
          <w:color w:val="000000" w:themeColor="text1"/>
          <w:szCs w:val="24"/>
        </w:rPr>
      </w:pPr>
      <w:r w:rsidRPr="00481B03">
        <w:rPr>
          <w:b/>
          <w:bCs/>
          <w:color w:val="000000" w:themeColor="text1"/>
          <w:szCs w:val="24"/>
        </w:rPr>
        <w:t xml:space="preserve">Amendment item 2 </w:t>
      </w:r>
      <w:r w:rsidRPr="00481B03">
        <w:rPr>
          <w:color w:val="000000" w:themeColor="text1"/>
          <w:szCs w:val="24"/>
        </w:rPr>
        <w:t xml:space="preserve">amends the definition of ‘TAVI Patient’ to include patients who are at an intermediate risk for surgical aortic valve replacement and </w:t>
      </w:r>
      <w:r w:rsidRPr="00481B03">
        <w:rPr>
          <w:color w:val="000000" w:themeColor="text1"/>
        </w:rPr>
        <w:t xml:space="preserve">include a reference to new </w:t>
      </w:r>
      <w:r w:rsidRPr="00481B03">
        <w:rPr>
          <w:color w:val="000000" w:themeColor="text1"/>
          <w:szCs w:val="24"/>
        </w:rPr>
        <w:t xml:space="preserve">transcatheter aortic valve implantation (TAVI) procedural item 38514. This change is considered minor and administrative in nature. </w:t>
      </w:r>
    </w:p>
    <w:p w14:paraId="525CA54A" w14:textId="473DE6AB" w:rsidR="00AB0D22" w:rsidRPr="00481B03" w:rsidRDefault="00AB0D22" w:rsidP="00C63FDC">
      <w:pPr>
        <w:pStyle w:val="Header"/>
        <w:tabs>
          <w:tab w:val="num" w:pos="1080"/>
        </w:tabs>
        <w:rPr>
          <w:color w:val="000000" w:themeColor="text1"/>
          <w:szCs w:val="24"/>
        </w:rPr>
      </w:pPr>
    </w:p>
    <w:p w14:paraId="7A8B19A6" w14:textId="77777777" w:rsidR="00AB0D22" w:rsidRPr="00481B03" w:rsidRDefault="00AB0D22" w:rsidP="00AB0D22">
      <w:pPr>
        <w:pStyle w:val="Header"/>
        <w:tabs>
          <w:tab w:val="num" w:pos="1080"/>
        </w:tabs>
        <w:rPr>
          <w:color w:val="000000" w:themeColor="text1"/>
          <w:szCs w:val="24"/>
        </w:rPr>
      </w:pPr>
      <w:r w:rsidRPr="00481B03">
        <w:rPr>
          <w:b/>
          <w:bCs/>
          <w:color w:val="000000" w:themeColor="text1"/>
          <w:szCs w:val="24"/>
        </w:rPr>
        <w:t>Amendment items 3 and 4</w:t>
      </w:r>
      <w:r w:rsidRPr="00481B03">
        <w:rPr>
          <w:color w:val="000000" w:themeColor="text1"/>
          <w:szCs w:val="24"/>
        </w:rPr>
        <w:t xml:space="preserve"> amend section 7, which provides for the application of item 38495, to </w:t>
      </w:r>
      <w:r w:rsidRPr="00481B03">
        <w:rPr>
          <w:color w:val="000000" w:themeColor="text1"/>
        </w:rPr>
        <w:t xml:space="preserve">include a reference to new </w:t>
      </w:r>
      <w:r w:rsidRPr="00481B03">
        <w:rPr>
          <w:color w:val="000000" w:themeColor="text1"/>
          <w:szCs w:val="24"/>
        </w:rPr>
        <w:t xml:space="preserve">transcatheter aortic valve implantation (TAVI) procedural item 38514. This change is considered minor and administrative in nature. </w:t>
      </w:r>
    </w:p>
    <w:p w14:paraId="487A2C51" w14:textId="120305C8" w:rsidR="006B7343" w:rsidRPr="00481B03" w:rsidRDefault="006B7343" w:rsidP="00C63FDC">
      <w:pPr>
        <w:pStyle w:val="Header"/>
        <w:tabs>
          <w:tab w:val="num" w:pos="1080"/>
        </w:tabs>
        <w:rPr>
          <w:color w:val="000000" w:themeColor="text1"/>
          <w:szCs w:val="24"/>
        </w:rPr>
      </w:pPr>
    </w:p>
    <w:p w14:paraId="11E65CFE" w14:textId="37D65165" w:rsidR="00F21754" w:rsidRPr="00481B03" w:rsidRDefault="00F21754" w:rsidP="00C63FDC">
      <w:pPr>
        <w:pStyle w:val="Header"/>
        <w:tabs>
          <w:tab w:val="num" w:pos="1080"/>
        </w:tabs>
        <w:rPr>
          <w:color w:val="000000" w:themeColor="text1"/>
          <w:szCs w:val="24"/>
        </w:rPr>
      </w:pPr>
      <w:r w:rsidRPr="00481B03">
        <w:rPr>
          <w:b/>
          <w:bCs/>
          <w:color w:val="000000" w:themeColor="text1"/>
          <w:szCs w:val="24"/>
        </w:rPr>
        <w:t>Amendment item 5</w:t>
      </w:r>
      <w:r w:rsidRPr="00481B03">
        <w:rPr>
          <w:color w:val="000000" w:themeColor="text1"/>
          <w:szCs w:val="24"/>
        </w:rPr>
        <w:t xml:space="preserve"> inserts new section 8, which provides for the meaning of the symbol “(H)”. Consistent with other MBS items, (H) denotes that the service described within an item which contains the symbol applies only to a service performed or provided in a hospital. This change </w:t>
      </w:r>
      <w:r w:rsidRPr="00481B03">
        <w:rPr>
          <w:color w:val="000000" w:themeColor="text1"/>
          <w:szCs w:val="24"/>
        </w:rPr>
        <w:lastRenderedPageBreak/>
        <w:t>does not affect the service and clarifies that a service under items 38495 and 38514 are to be provided in a hospital setting only.</w:t>
      </w:r>
    </w:p>
    <w:p w14:paraId="497928DF" w14:textId="77777777" w:rsidR="00F21754" w:rsidRPr="00481B03" w:rsidRDefault="00F21754" w:rsidP="00C63FDC">
      <w:pPr>
        <w:pStyle w:val="Header"/>
        <w:tabs>
          <w:tab w:val="num" w:pos="1080"/>
        </w:tabs>
        <w:rPr>
          <w:b/>
          <w:bCs/>
          <w:color w:val="000000" w:themeColor="text1"/>
          <w:szCs w:val="24"/>
        </w:rPr>
      </w:pPr>
    </w:p>
    <w:p w14:paraId="190181C8" w14:textId="5A7663BC" w:rsidR="006B7343" w:rsidRPr="00481B03" w:rsidRDefault="006B7343" w:rsidP="00C63FDC">
      <w:pPr>
        <w:pStyle w:val="Header"/>
        <w:tabs>
          <w:tab w:val="num" w:pos="1080"/>
        </w:tabs>
      </w:pPr>
      <w:r w:rsidRPr="00481B03">
        <w:rPr>
          <w:b/>
          <w:bCs/>
          <w:color w:val="000000" w:themeColor="text1"/>
          <w:szCs w:val="24"/>
        </w:rPr>
        <w:t xml:space="preserve">Amendment item </w:t>
      </w:r>
      <w:r w:rsidR="00F21754" w:rsidRPr="00481B03">
        <w:rPr>
          <w:b/>
          <w:bCs/>
          <w:color w:val="000000" w:themeColor="text1"/>
          <w:szCs w:val="24"/>
        </w:rPr>
        <w:t>6</w:t>
      </w:r>
      <w:r w:rsidRPr="00481B03">
        <w:t xml:space="preserve"> repeals and replaces TAVI procedural item 38495 to amend the item and insert new TAVI procedural item 38514. </w:t>
      </w:r>
    </w:p>
    <w:p w14:paraId="001D3B2A" w14:textId="7C73760C" w:rsidR="006B7343" w:rsidRPr="00481B03" w:rsidRDefault="006B7343" w:rsidP="00C63FDC">
      <w:pPr>
        <w:pStyle w:val="Header"/>
        <w:tabs>
          <w:tab w:val="num" w:pos="1080"/>
        </w:tabs>
      </w:pPr>
    </w:p>
    <w:p w14:paraId="7484A89D" w14:textId="7602C482" w:rsidR="006B7343" w:rsidRPr="00481B03" w:rsidRDefault="006B7343" w:rsidP="00C63FDC">
      <w:pPr>
        <w:pStyle w:val="Header"/>
        <w:tabs>
          <w:tab w:val="num" w:pos="1080"/>
        </w:tabs>
      </w:pPr>
      <w:r w:rsidRPr="00481B03">
        <w:t xml:space="preserve">Item 38495 </w:t>
      </w:r>
      <w:r w:rsidR="00E15792" w:rsidRPr="00481B03">
        <w:t>will be</w:t>
      </w:r>
      <w:r w:rsidRPr="00481B03">
        <w:t xml:space="preserve"> amended to prescribe that the item applies to a patient who is at high risk of complication for surgery, apply a co-claiming restriction against new item 38514 and clarify that the service is to be provided in a hospital setting only. This change recognises the higher complexity of the service when performed on a patient who is considered a high risk for surgery. </w:t>
      </w:r>
    </w:p>
    <w:p w14:paraId="20C96802" w14:textId="69A7E798" w:rsidR="006B7343" w:rsidRPr="00481B03" w:rsidRDefault="006B7343" w:rsidP="00C63FDC">
      <w:pPr>
        <w:pStyle w:val="Header"/>
        <w:tabs>
          <w:tab w:val="num" w:pos="1080"/>
        </w:tabs>
      </w:pPr>
    </w:p>
    <w:p w14:paraId="0EF3C9D1" w14:textId="34264213" w:rsidR="00FE0F5A" w:rsidRPr="00481B03" w:rsidRDefault="006B7343" w:rsidP="00FE0F5A">
      <w:pPr>
        <w:ind w:right="-483"/>
        <w:rPr>
          <w:color w:val="000000" w:themeColor="text1"/>
          <w:szCs w:val="24"/>
        </w:rPr>
      </w:pPr>
      <w:r w:rsidRPr="00481B03">
        <w:t>New item 38</w:t>
      </w:r>
      <w:r w:rsidR="00FE0F5A" w:rsidRPr="00481B03">
        <w:t xml:space="preserve">514 is for the treatment of symptomatic severe aortic stenosis by TAVI in a patient at intermediate risk of complication for surgery. </w:t>
      </w:r>
      <w:r w:rsidR="00FE0F5A" w:rsidRPr="00481B03">
        <w:rPr>
          <w:color w:val="000000" w:themeColor="text1"/>
          <w:szCs w:val="24"/>
        </w:rPr>
        <w:t>A service under 38514</w:t>
      </w:r>
      <w:r w:rsidR="00F92242" w:rsidRPr="00481B03">
        <w:rPr>
          <w:color w:val="000000" w:themeColor="text1"/>
          <w:szCs w:val="24"/>
        </w:rPr>
        <w:t xml:space="preserve"> </w:t>
      </w:r>
      <w:r w:rsidR="00FE0F5A" w:rsidRPr="00481B03">
        <w:rPr>
          <w:color w:val="000000" w:themeColor="text1"/>
          <w:szCs w:val="24"/>
        </w:rPr>
        <w:t>include</w:t>
      </w:r>
      <w:r w:rsidR="00F92242" w:rsidRPr="00481B03">
        <w:rPr>
          <w:color w:val="000000" w:themeColor="text1"/>
          <w:szCs w:val="24"/>
        </w:rPr>
        <w:t>s</w:t>
      </w:r>
      <w:r w:rsidR="00FE0F5A" w:rsidRPr="00481B03">
        <w:rPr>
          <w:color w:val="000000" w:themeColor="text1"/>
          <w:szCs w:val="24"/>
        </w:rPr>
        <w:t xml:space="preserve"> all intraoperative diagnostic imaging provided for the TAVI procedure and must be provided in a TAVI Hospital on a TAVI Patient by a TAVI Practitioner. </w:t>
      </w:r>
    </w:p>
    <w:p w14:paraId="34E4C93A" w14:textId="77777777" w:rsidR="00FE0F5A" w:rsidRPr="00481B03" w:rsidRDefault="00FE0F5A" w:rsidP="00FE0F5A">
      <w:pPr>
        <w:ind w:right="-483"/>
        <w:rPr>
          <w:color w:val="000000" w:themeColor="text1"/>
          <w:szCs w:val="24"/>
        </w:rPr>
      </w:pPr>
    </w:p>
    <w:p w14:paraId="16A391DA" w14:textId="39921963" w:rsidR="00FE0F5A" w:rsidRPr="00481B03" w:rsidRDefault="00FE0F5A" w:rsidP="00FE0F5A">
      <w:pPr>
        <w:ind w:right="-483"/>
        <w:rPr>
          <w:color w:val="000000" w:themeColor="text1"/>
          <w:szCs w:val="24"/>
        </w:rPr>
      </w:pPr>
      <w:r w:rsidRPr="00481B03">
        <w:rPr>
          <w:color w:val="000000" w:themeColor="text1"/>
          <w:szCs w:val="24"/>
        </w:rPr>
        <w:t xml:space="preserve">New item 38514 provides patients who are at intermediate risk of complications for surgery with a less invasive option for their aortic stenosis, which severely affects a person’s activities of daily living. New item 38514 cannot be claimed if a service to which item 38514 or 38495 has been provided to the patient within the previous five years and must be provided in a hospital setting only.  </w:t>
      </w:r>
    </w:p>
    <w:p w14:paraId="696CAE5F" w14:textId="1C1F2440" w:rsidR="006B7343" w:rsidRPr="00481B03" w:rsidRDefault="006B7343" w:rsidP="00C63FDC">
      <w:pPr>
        <w:pStyle w:val="Header"/>
        <w:tabs>
          <w:tab w:val="num" w:pos="1080"/>
        </w:tabs>
      </w:pPr>
    </w:p>
    <w:p w14:paraId="371F01D6" w14:textId="77777777" w:rsidR="007708B3" w:rsidRPr="00481B03" w:rsidRDefault="007708B3" w:rsidP="00C63FDC">
      <w:pPr>
        <w:pStyle w:val="Header"/>
        <w:tabs>
          <w:tab w:val="num" w:pos="1080"/>
        </w:tabs>
        <w:rPr>
          <w:b/>
          <w:szCs w:val="24"/>
        </w:rPr>
      </w:pPr>
    </w:p>
    <w:p w14:paraId="21DF9DDC" w14:textId="1767E1F1" w:rsidR="00331752" w:rsidRPr="00481B03" w:rsidRDefault="00331752">
      <w:pPr>
        <w:spacing w:after="200" w:line="276" w:lineRule="auto"/>
        <w:rPr>
          <w:szCs w:val="24"/>
          <w:u w:val="single"/>
        </w:rPr>
      </w:pPr>
      <w:r w:rsidRPr="00481B03">
        <w:rPr>
          <w:szCs w:val="24"/>
          <w:u w:val="single"/>
        </w:rPr>
        <w:br w:type="page"/>
      </w:r>
    </w:p>
    <w:p w14:paraId="2412D14E" w14:textId="632B4BE9" w:rsidR="00A17F2C" w:rsidRPr="00481B03" w:rsidRDefault="00A17F2C" w:rsidP="008D136F">
      <w:pPr>
        <w:pStyle w:val="Header"/>
        <w:tabs>
          <w:tab w:val="num" w:pos="1080"/>
        </w:tabs>
        <w:jc w:val="center"/>
        <w:rPr>
          <w:b/>
          <w:sz w:val="28"/>
          <w:szCs w:val="28"/>
        </w:rPr>
      </w:pPr>
      <w:r w:rsidRPr="00481B03">
        <w:rPr>
          <w:b/>
          <w:sz w:val="28"/>
          <w:szCs w:val="28"/>
        </w:rPr>
        <w:lastRenderedPageBreak/>
        <w:t>Statement of Compatibility with Human Rights</w:t>
      </w:r>
    </w:p>
    <w:p w14:paraId="2412D14F" w14:textId="77777777" w:rsidR="00A17F2C" w:rsidRPr="00481B03" w:rsidRDefault="00A17F2C" w:rsidP="000337CB">
      <w:pPr>
        <w:spacing w:before="120" w:after="120"/>
        <w:jc w:val="center"/>
        <w:rPr>
          <w:szCs w:val="24"/>
        </w:rPr>
      </w:pPr>
      <w:r w:rsidRPr="00481B03">
        <w:rPr>
          <w:i/>
          <w:szCs w:val="24"/>
        </w:rPr>
        <w:t>Prepared in accordance with Part 3 of the Human Rights (Parliamentary Scrutiny) Act 2011</w:t>
      </w:r>
    </w:p>
    <w:p w14:paraId="751DE726" w14:textId="77777777" w:rsidR="002A6C77" w:rsidRPr="00481B03" w:rsidRDefault="002A6C77" w:rsidP="000337CB">
      <w:pPr>
        <w:tabs>
          <w:tab w:val="left" w:pos="1418"/>
        </w:tabs>
        <w:ind w:left="851"/>
        <w:jc w:val="center"/>
        <w:rPr>
          <w:b/>
          <w:i/>
          <w:iCs/>
        </w:rPr>
      </w:pPr>
    </w:p>
    <w:p w14:paraId="5C96937C" w14:textId="27243C12" w:rsidR="00DE1B61" w:rsidRPr="00481B03" w:rsidRDefault="00175DFF" w:rsidP="000337CB">
      <w:pPr>
        <w:tabs>
          <w:tab w:val="left" w:pos="1418"/>
        </w:tabs>
        <w:ind w:left="851"/>
        <w:jc w:val="center"/>
        <w:rPr>
          <w:bCs/>
          <w:i/>
          <w:iCs/>
          <w:color w:val="000000" w:themeColor="text1"/>
        </w:rPr>
      </w:pPr>
      <w:r w:rsidRPr="00481B03">
        <w:rPr>
          <w:bCs/>
          <w:i/>
          <w:iCs/>
          <w:color w:val="000000" w:themeColor="text1"/>
        </w:rPr>
        <w:t xml:space="preserve">Health Insurance (Section 3C General Medical Services – Transcatheter Aortic Valve Implantation) Amendment (Limit to Intermediate and </w:t>
      </w:r>
      <w:proofErr w:type="gramStart"/>
      <w:r w:rsidRPr="00481B03">
        <w:rPr>
          <w:bCs/>
          <w:i/>
          <w:iCs/>
          <w:color w:val="000000" w:themeColor="text1"/>
        </w:rPr>
        <w:t>High Risk</w:t>
      </w:r>
      <w:proofErr w:type="gramEnd"/>
      <w:r w:rsidRPr="00481B03">
        <w:rPr>
          <w:bCs/>
          <w:i/>
          <w:iCs/>
          <w:color w:val="000000" w:themeColor="text1"/>
        </w:rPr>
        <w:t xml:space="preserve"> Surgical Patients) Determination 2021</w:t>
      </w:r>
    </w:p>
    <w:p w14:paraId="67AE5C9F" w14:textId="77777777" w:rsidR="00175DFF" w:rsidRPr="00481B03" w:rsidRDefault="00175DFF" w:rsidP="000337CB">
      <w:pPr>
        <w:tabs>
          <w:tab w:val="left" w:pos="1418"/>
        </w:tabs>
        <w:ind w:left="851"/>
        <w:jc w:val="center"/>
        <w:rPr>
          <w:b/>
          <w:i/>
          <w:szCs w:val="24"/>
        </w:rPr>
      </w:pPr>
    </w:p>
    <w:p w14:paraId="2412D153" w14:textId="7AFD921D" w:rsidR="00A17F2C" w:rsidRPr="00481B03" w:rsidRDefault="00A17F2C" w:rsidP="000337CB">
      <w:pPr>
        <w:jc w:val="center"/>
        <w:rPr>
          <w:szCs w:val="24"/>
        </w:rPr>
      </w:pPr>
      <w:r w:rsidRPr="00481B03">
        <w:rPr>
          <w:szCs w:val="24"/>
        </w:rPr>
        <w:t xml:space="preserve">This </w:t>
      </w:r>
      <w:r w:rsidR="0046022A" w:rsidRPr="00481B03">
        <w:rPr>
          <w:szCs w:val="24"/>
        </w:rPr>
        <w:t>instrument</w:t>
      </w:r>
      <w:r w:rsidRPr="00481B03">
        <w:rPr>
          <w:szCs w:val="24"/>
        </w:rPr>
        <w:t xml:space="preserve"> is compatible with the human rights and freedoms recognised or declared in the international instruments listed in section 3 of the </w:t>
      </w:r>
      <w:r w:rsidRPr="00481B03">
        <w:rPr>
          <w:i/>
          <w:szCs w:val="24"/>
        </w:rPr>
        <w:t>Human Rights (Parliamentary Scrutiny) Act 2011</w:t>
      </w:r>
      <w:r w:rsidRPr="00481B03">
        <w:rPr>
          <w:szCs w:val="24"/>
        </w:rPr>
        <w:t>.</w:t>
      </w:r>
    </w:p>
    <w:p w14:paraId="7EDA9098" w14:textId="306A78E1" w:rsidR="006E6BBF" w:rsidRPr="00481B03" w:rsidRDefault="006E6BBF" w:rsidP="008734F5">
      <w:pPr>
        <w:spacing w:before="120" w:after="120"/>
        <w:rPr>
          <w:b/>
          <w:szCs w:val="24"/>
        </w:rPr>
      </w:pPr>
      <w:r w:rsidRPr="00481B03">
        <w:rPr>
          <w:b/>
          <w:szCs w:val="24"/>
        </w:rPr>
        <w:t xml:space="preserve">Overview of the </w:t>
      </w:r>
      <w:r w:rsidR="00B86A9F" w:rsidRPr="00481B03">
        <w:rPr>
          <w:b/>
          <w:szCs w:val="24"/>
        </w:rPr>
        <w:t>Determination</w:t>
      </w:r>
    </w:p>
    <w:p w14:paraId="56C9698D" w14:textId="77223A76" w:rsidR="009F2F18" w:rsidRPr="00481B03" w:rsidRDefault="009F2F18" w:rsidP="00554026">
      <w:pPr>
        <w:spacing w:before="120" w:after="120"/>
        <w:ind w:right="-482"/>
        <w:rPr>
          <w:color w:val="000000" w:themeColor="text1"/>
          <w:szCs w:val="24"/>
        </w:rPr>
      </w:pPr>
      <w:r w:rsidRPr="00481B03">
        <w:rPr>
          <w:color w:val="000000" w:themeColor="text1"/>
          <w:szCs w:val="24"/>
        </w:rPr>
        <w:t xml:space="preserve">The purpose of the </w:t>
      </w:r>
      <w:r w:rsidRPr="00481B03">
        <w:rPr>
          <w:i/>
          <w:iCs/>
          <w:color w:val="000000" w:themeColor="text1"/>
          <w:szCs w:val="24"/>
        </w:rPr>
        <w:t xml:space="preserve">Health Insurance (Section 3C General Medical Services – Transcatheter Aortic Valve Implantation) Amendment Determination 2021 </w:t>
      </w:r>
      <w:r w:rsidRPr="00481B03">
        <w:rPr>
          <w:color w:val="000000" w:themeColor="text1"/>
          <w:szCs w:val="24"/>
        </w:rPr>
        <w:t xml:space="preserve">(the Amendment Determination) is to amend the </w:t>
      </w:r>
      <w:r w:rsidRPr="00481B03">
        <w:rPr>
          <w:i/>
          <w:iCs/>
          <w:color w:val="000000" w:themeColor="text1"/>
          <w:szCs w:val="24"/>
        </w:rPr>
        <w:t>Health Insurance (Section 3C General Medical Services – Transcatheter Aortic Valve Implantation) Amendment Determination 2021</w:t>
      </w:r>
      <w:r w:rsidRPr="00481B03">
        <w:rPr>
          <w:color w:val="000000" w:themeColor="text1"/>
          <w:szCs w:val="24"/>
        </w:rPr>
        <w:t xml:space="preserve"> (the Principal Determination) to amend transcatheter aortic valve implantation (TAVI) procedural item 38495 and introduce new item 38514 to  reflect the two separate clinical populations that have been supported by the MSAC for the TAVI procedure. </w:t>
      </w:r>
    </w:p>
    <w:p w14:paraId="2EC21DF4" w14:textId="7729C8EF" w:rsidR="009F2F18" w:rsidRPr="00481B03" w:rsidRDefault="009F2F18" w:rsidP="00554026">
      <w:pPr>
        <w:spacing w:before="120" w:after="120"/>
        <w:ind w:right="-482"/>
        <w:rPr>
          <w:color w:val="000000" w:themeColor="text1"/>
          <w:szCs w:val="24"/>
        </w:rPr>
      </w:pPr>
      <w:r w:rsidRPr="00481B03">
        <w:rPr>
          <w:color w:val="000000" w:themeColor="text1"/>
          <w:szCs w:val="24"/>
        </w:rPr>
        <w:t xml:space="preserve">A TAVI procedure is performed where a patient has severe symptomatic aortic stenosis and is at risk of complications from surgical aortic valve replacement (open-heart surgery). Generally, patients with severe aortic stenosis fall into three surgical risk categories being low, </w:t>
      </w:r>
      <w:proofErr w:type="gramStart"/>
      <w:r w:rsidRPr="00481B03">
        <w:rPr>
          <w:color w:val="000000" w:themeColor="text1"/>
          <w:szCs w:val="24"/>
        </w:rPr>
        <w:t>intermediate</w:t>
      </w:r>
      <w:proofErr w:type="gramEnd"/>
      <w:r w:rsidRPr="00481B03">
        <w:rPr>
          <w:color w:val="000000" w:themeColor="text1"/>
          <w:szCs w:val="24"/>
        </w:rPr>
        <w:t xml:space="preserve"> and high risk. At this point in time TAVI procedures will only be available for intermediate and high surgical risk patients who are identified by specific clinical criteria.   </w:t>
      </w:r>
    </w:p>
    <w:p w14:paraId="76F1B1C5" w14:textId="190E73A2" w:rsidR="009F2F18" w:rsidRPr="00481B03" w:rsidRDefault="009F2F18" w:rsidP="00554026">
      <w:pPr>
        <w:spacing w:before="120" w:after="120"/>
        <w:ind w:right="-482"/>
        <w:rPr>
          <w:color w:val="000000" w:themeColor="text1"/>
          <w:szCs w:val="24"/>
        </w:rPr>
      </w:pPr>
      <w:r w:rsidRPr="00481B03">
        <w:rPr>
          <w:color w:val="000000" w:themeColor="text1"/>
          <w:szCs w:val="24"/>
        </w:rPr>
        <w:t>The Amendment Determination amends TAVI item 38495 to prescribe that the service applies to a patient at high risk of complications for surgery and apply a co</w:t>
      </w:r>
      <w:r w:rsidRPr="00481B03">
        <w:rPr>
          <w:color w:val="000000" w:themeColor="text1"/>
          <w:szCs w:val="24"/>
        </w:rPr>
        <w:noBreakHyphen/>
        <w:t xml:space="preserve">claiming restriction against new item 38514. This change also clarifies that a service under item 38514 must be provided in a hospital setting only. </w:t>
      </w:r>
    </w:p>
    <w:p w14:paraId="2D135292" w14:textId="5A76DC9A" w:rsidR="009F2F18" w:rsidRPr="00481B03" w:rsidRDefault="009F2F18" w:rsidP="00554026">
      <w:pPr>
        <w:spacing w:before="120" w:after="120"/>
        <w:ind w:right="-482"/>
        <w:rPr>
          <w:color w:val="000000" w:themeColor="text1"/>
          <w:szCs w:val="24"/>
        </w:rPr>
      </w:pPr>
      <w:r w:rsidRPr="00481B03">
        <w:rPr>
          <w:color w:val="000000" w:themeColor="text1"/>
          <w:szCs w:val="24"/>
        </w:rPr>
        <w:t xml:space="preserve">New TAVI item 38514 is also introduced for the treatment of symptomatic severe aortic stenosis in a patient at intermediate risk of complications for surgery. A service under 38514 must include all intraoperative diagnostic imaging provided for the TAVI procedure and must be provided in an eligible Hospital on an eligible Patient by an eligible Practitioner. The eligibility criteria for this service is defined within the Principal Determination. </w:t>
      </w:r>
    </w:p>
    <w:p w14:paraId="73AD6273" w14:textId="1CF9D61E" w:rsidR="009F2F18" w:rsidRPr="00481B03" w:rsidRDefault="009F2F18" w:rsidP="00554026">
      <w:pPr>
        <w:spacing w:before="120" w:after="120"/>
        <w:ind w:right="-482"/>
        <w:rPr>
          <w:color w:val="000000" w:themeColor="text1"/>
          <w:szCs w:val="24"/>
        </w:rPr>
      </w:pPr>
      <w:r w:rsidRPr="00481B03">
        <w:rPr>
          <w:color w:val="000000" w:themeColor="text1"/>
          <w:szCs w:val="24"/>
        </w:rPr>
        <w:t xml:space="preserve">New item 38514 provides patients who are at intermediate risk of complications for surgery with a less invasive option for their aortic stenosis, which severely affects a person’s activities of daily living. New item 38514 cannot be claimed if a service to which item 38514 or 38495 has been provided to the patient within the previous five years and must be provided in a hospital setting only.  </w:t>
      </w:r>
    </w:p>
    <w:p w14:paraId="6571643C" w14:textId="3797EC07" w:rsidR="009F2F18" w:rsidRPr="00481B03" w:rsidRDefault="009F2F18" w:rsidP="00554026">
      <w:pPr>
        <w:spacing w:before="120" w:after="120"/>
        <w:ind w:right="-482"/>
        <w:rPr>
          <w:color w:val="000000" w:themeColor="text1"/>
          <w:szCs w:val="24"/>
        </w:rPr>
      </w:pPr>
      <w:r w:rsidRPr="00481B03">
        <w:rPr>
          <w:color w:val="000000" w:themeColor="text1"/>
          <w:szCs w:val="24"/>
        </w:rPr>
        <w:t>These changes recognise the differing levels of complexity and safety risk of TAVI procedures between patients with a high or intermediate risk of complications for surgery and provides access to a safe, effective, and minimally invasive treatment option for a patient cohort that suffers severe dysfunction as a result of aortic stenosis.</w:t>
      </w:r>
    </w:p>
    <w:p w14:paraId="31515278" w14:textId="5A46AC0C" w:rsidR="007708B3" w:rsidRPr="00481B03" w:rsidRDefault="009F2F18" w:rsidP="00554026">
      <w:pPr>
        <w:spacing w:before="120" w:after="120"/>
        <w:ind w:right="-482"/>
        <w:rPr>
          <w:color w:val="000000" w:themeColor="text1"/>
          <w:szCs w:val="24"/>
        </w:rPr>
      </w:pPr>
      <w:r w:rsidRPr="00481B03">
        <w:rPr>
          <w:color w:val="000000" w:themeColor="text1"/>
          <w:szCs w:val="24"/>
        </w:rPr>
        <w:t xml:space="preserve">These changes were recommended by the Medical Services Advisory Committee (MSAC) at their November 2020 and March-April 2021 meetings. </w:t>
      </w:r>
      <w:r w:rsidRPr="00481B03">
        <w:rPr>
          <w:color w:val="000000"/>
          <w:shd w:val="clear" w:color="auto" w:fill="FFFFFF"/>
        </w:rPr>
        <w:t>MSAC reviews new or existing medical services or technology and makes recommendations as to the circumstances under which public funding should be supported. This includes the listing of new items, or amendments to existing items on the MBS.</w:t>
      </w:r>
    </w:p>
    <w:p w14:paraId="2412D15C" w14:textId="50D38E8B" w:rsidR="00A17F2C" w:rsidRPr="00481B03" w:rsidRDefault="00A17F2C" w:rsidP="00175DFF">
      <w:pPr>
        <w:keepNext/>
        <w:keepLines/>
        <w:ind w:right="-482"/>
        <w:rPr>
          <w:b/>
          <w:szCs w:val="24"/>
        </w:rPr>
      </w:pPr>
      <w:r w:rsidRPr="00481B03">
        <w:rPr>
          <w:b/>
          <w:szCs w:val="24"/>
        </w:rPr>
        <w:lastRenderedPageBreak/>
        <w:t>Human rights implications</w:t>
      </w:r>
    </w:p>
    <w:p w14:paraId="449665F0" w14:textId="2ED3F54B" w:rsidR="00806020" w:rsidRPr="00481B03" w:rsidRDefault="00806020" w:rsidP="00175DFF">
      <w:pPr>
        <w:keepNext/>
        <w:keepLines/>
        <w:spacing w:before="120" w:after="120"/>
        <w:rPr>
          <w:szCs w:val="24"/>
        </w:rPr>
      </w:pPr>
      <w:r w:rsidRPr="00481B03">
        <w:rPr>
          <w:szCs w:val="24"/>
        </w:rPr>
        <w:t xml:space="preserve">This instrument engages Articles 9 and 12 of the International Covenant on Economic Social and Cultural Rights (ICESCR), specifically the rights to health and social security. </w:t>
      </w:r>
    </w:p>
    <w:p w14:paraId="2412D15E" w14:textId="1567A7A0" w:rsidR="00A17F2C" w:rsidRPr="00481B03" w:rsidRDefault="00A17F2C" w:rsidP="00806020">
      <w:pPr>
        <w:spacing w:before="120" w:after="120"/>
        <w:rPr>
          <w:i/>
          <w:szCs w:val="24"/>
        </w:rPr>
      </w:pPr>
      <w:r w:rsidRPr="00481B03">
        <w:rPr>
          <w:i/>
          <w:szCs w:val="24"/>
        </w:rPr>
        <w:t>The Right to Health</w:t>
      </w:r>
    </w:p>
    <w:p w14:paraId="2412D15F" w14:textId="77777777" w:rsidR="00A17F2C" w:rsidRPr="00481B03" w:rsidRDefault="00A17F2C" w:rsidP="000337CB">
      <w:pPr>
        <w:spacing w:before="120" w:after="120"/>
        <w:rPr>
          <w:szCs w:val="24"/>
        </w:rPr>
      </w:pPr>
      <w:r w:rsidRPr="00481B03">
        <w:rPr>
          <w:szCs w:val="24"/>
        </w:rPr>
        <w:t xml:space="preserve">The right to the enjoyment of the highest attainable standard of physical and mental health is contained in Article 12(1) of the ICESCR. The UN Committee on Economic Social and Cultural Rights (the Committee) has stated that the right to health is not a right for each individual to be healthy, but is a right to a system of health protection which provides equality of opportunity for people to enjoy the highest attainable level of health. </w:t>
      </w:r>
    </w:p>
    <w:p w14:paraId="2412D160" w14:textId="77777777" w:rsidR="00A17F2C" w:rsidRPr="00481B03" w:rsidRDefault="00A17F2C" w:rsidP="000337CB">
      <w:pPr>
        <w:spacing w:before="120" w:after="120"/>
        <w:rPr>
          <w:szCs w:val="24"/>
        </w:rPr>
      </w:pPr>
      <w:r w:rsidRPr="00481B03">
        <w:rPr>
          <w:szCs w:val="24"/>
        </w:rPr>
        <w:t xml:space="preserve">The Committee reports that the </w:t>
      </w:r>
      <w:r w:rsidRPr="00481B03">
        <w:rPr>
          <w:i/>
          <w:szCs w:val="24"/>
        </w:rPr>
        <w:t>‘highest attainable standard of health’</w:t>
      </w:r>
      <w:r w:rsidRPr="00481B03">
        <w:rPr>
          <w:szCs w:val="24"/>
        </w:rPr>
        <w:t xml:space="preserve"> </w:t>
      </w:r>
      <w:proofErr w:type="gramStart"/>
      <w:r w:rsidRPr="00481B03">
        <w:rPr>
          <w:szCs w:val="24"/>
        </w:rPr>
        <w:t>takes into account</w:t>
      </w:r>
      <w:proofErr w:type="gramEnd"/>
      <w:r w:rsidRPr="00481B03">
        <w:rPr>
          <w:szCs w:val="24"/>
        </w:rPr>
        <w:t xml:space="preserve"> the country’s available resources. This right may be understood as a right of access to a variety of public health and health care facilities, goods, services, programs, and conditions necessary for the realisation of the highest attainable standard of health. </w:t>
      </w:r>
    </w:p>
    <w:p w14:paraId="2412D161" w14:textId="0585490B" w:rsidR="00A17F2C" w:rsidRPr="00481B03" w:rsidRDefault="00A17F2C" w:rsidP="000337CB">
      <w:pPr>
        <w:spacing w:before="120" w:after="120"/>
        <w:rPr>
          <w:i/>
          <w:szCs w:val="24"/>
        </w:rPr>
      </w:pPr>
      <w:r w:rsidRPr="00481B03">
        <w:rPr>
          <w:i/>
          <w:szCs w:val="24"/>
        </w:rPr>
        <w:t xml:space="preserve">The Right to Social Security </w:t>
      </w:r>
    </w:p>
    <w:p w14:paraId="2412D162" w14:textId="77777777" w:rsidR="00A17F2C" w:rsidRPr="00481B03" w:rsidRDefault="00A17F2C" w:rsidP="000337CB">
      <w:pPr>
        <w:spacing w:before="120" w:after="120"/>
        <w:rPr>
          <w:szCs w:val="24"/>
        </w:rPr>
      </w:pPr>
      <w:r w:rsidRPr="00481B03">
        <w:rPr>
          <w:szCs w:val="24"/>
        </w:rPr>
        <w:t>The right to social security is contained in Article 9 of the ICESCR. It requires that a country must, within its maximum available resources, ensure access to a social security scheme that</w:t>
      </w:r>
      <w:r w:rsidR="00BA69CB" w:rsidRPr="00481B03">
        <w:rPr>
          <w:szCs w:val="24"/>
        </w:rPr>
        <w:t xml:space="preserve"> </w:t>
      </w:r>
      <w:r w:rsidRPr="00481B03">
        <w:rPr>
          <w:szCs w:val="24"/>
        </w:rPr>
        <w:t xml:space="preserve">provides a minimum essential level of benefits to all individuals and families that will enable them to acquire at least essential health care. Countries are obliged to demonstrate that every effort has been made to use all resources that are at their disposal </w:t>
      </w:r>
      <w:proofErr w:type="gramStart"/>
      <w:r w:rsidRPr="00481B03">
        <w:rPr>
          <w:szCs w:val="24"/>
        </w:rPr>
        <w:t>in an effort to</w:t>
      </w:r>
      <w:proofErr w:type="gramEnd"/>
      <w:r w:rsidRPr="00481B03">
        <w:rPr>
          <w:szCs w:val="24"/>
        </w:rPr>
        <w:t xml:space="preserve"> satisfy, as a matter of priority, this minimum obligation.</w:t>
      </w:r>
    </w:p>
    <w:p w14:paraId="0345FFEA" w14:textId="2A5A9406" w:rsidR="00A46B56" w:rsidRPr="00481B03" w:rsidRDefault="00A17F2C" w:rsidP="000337CB">
      <w:pPr>
        <w:spacing w:before="120" w:after="120"/>
        <w:rPr>
          <w:szCs w:val="24"/>
        </w:rPr>
      </w:pPr>
      <w:r w:rsidRPr="00481B03">
        <w:rPr>
          <w:szCs w:val="24"/>
        </w:rPr>
        <w:t>The Committee reports that there is a strong presumption that retrogressive measures taken in relation to the right to social security are prohibited under ICESCR. In this context, a retrogressive measure would be one taken without adequate justification that had the effect of reducing existing levels of social security benefits, or of denying benefits to persons or groups previously entitled to them. However, it is legitimate for a Government to re-direct its limited resources in ways that it considers to be more effective at meeting the general health needs of all society, particularly the needs of the more disadvantaged members of society.</w:t>
      </w:r>
    </w:p>
    <w:p w14:paraId="6F845A27" w14:textId="77777777" w:rsidR="00A46B56" w:rsidRPr="00481B03" w:rsidRDefault="00A46B56" w:rsidP="00A46B56">
      <w:pPr>
        <w:shd w:val="clear" w:color="auto" w:fill="FFFFFF"/>
        <w:spacing w:before="120" w:after="120"/>
        <w:rPr>
          <w:color w:val="000000"/>
          <w:szCs w:val="24"/>
        </w:rPr>
      </w:pPr>
      <w:r w:rsidRPr="00481B03">
        <w:rPr>
          <w:i/>
          <w:iCs/>
          <w:color w:val="000000"/>
          <w:szCs w:val="24"/>
        </w:rPr>
        <w:t>The right of equality and non-discrimination</w:t>
      </w:r>
    </w:p>
    <w:p w14:paraId="11907FD2" w14:textId="43837338" w:rsidR="00A46B56" w:rsidRPr="00481B03" w:rsidRDefault="00A46B56" w:rsidP="00A46B56">
      <w:pPr>
        <w:spacing w:before="120" w:after="120"/>
        <w:rPr>
          <w:szCs w:val="24"/>
        </w:rPr>
      </w:pPr>
      <w:r w:rsidRPr="00481B03">
        <w:rPr>
          <w:color w:val="000000"/>
          <w:szCs w:val="24"/>
        </w:rPr>
        <w:t>The rights of equality and non-discrimination are contained in articles 2, 16 and 26 of the International Covenant on Civil and Political Rights (ICCPR).  Article 26 of the ICCPR requires that all persons are equal before the law, are entitled without any discrimination to the equal protection of the law and in this respect, the law shall prohibit any discrimination and guarantee to all persons equal and effective protection against discrimination on any ground such as race, colour, sex, language, religion, political or other opinion, national or social origin, property, birth or other status.</w:t>
      </w:r>
    </w:p>
    <w:p w14:paraId="2412D164" w14:textId="1BF78036" w:rsidR="00A17F2C" w:rsidRPr="00481B03" w:rsidRDefault="00A17F2C" w:rsidP="000337CB">
      <w:pPr>
        <w:spacing w:before="120" w:after="120"/>
        <w:rPr>
          <w:szCs w:val="24"/>
          <w:u w:val="single"/>
        </w:rPr>
      </w:pPr>
      <w:r w:rsidRPr="00481B03">
        <w:rPr>
          <w:szCs w:val="24"/>
          <w:u w:val="single"/>
        </w:rPr>
        <w:t xml:space="preserve">Analysis </w:t>
      </w:r>
    </w:p>
    <w:p w14:paraId="45F68867" w14:textId="2026B073" w:rsidR="007708B3" w:rsidRPr="00481B03" w:rsidRDefault="00DE1B61" w:rsidP="00302F5C">
      <w:pPr>
        <w:rPr>
          <w:color w:val="000000" w:themeColor="text1"/>
          <w:szCs w:val="24"/>
        </w:rPr>
      </w:pPr>
      <w:r w:rsidRPr="00481B03">
        <w:rPr>
          <w:color w:val="000000" w:themeColor="text1"/>
          <w:szCs w:val="24"/>
        </w:rPr>
        <w:t>This instrument maintains the right to health</w:t>
      </w:r>
      <w:r w:rsidR="002E7932" w:rsidRPr="00481B03">
        <w:rPr>
          <w:color w:val="000000" w:themeColor="text1"/>
          <w:szCs w:val="24"/>
        </w:rPr>
        <w:t xml:space="preserve">, </w:t>
      </w:r>
      <w:r w:rsidRPr="00481B03">
        <w:rPr>
          <w:color w:val="000000" w:themeColor="text1"/>
          <w:szCs w:val="24"/>
        </w:rPr>
        <w:t xml:space="preserve">the right to social security </w:t>
      </w:r>
      <w:r w:rsidR="002E7932" w:rsidRPr="00481B03">
        <w:rPr>
          <w:color w:val="000000" w:themeColor="text1"/>
          <w:szCs w:val="24"/>
        </w:rPr>
        <w:t xml:space="preserve">and the right of equality and non-discrimination </w:t>
      </w:r>
      <w:r w:rsidRPr="00481B03">
        <w:rPr>
          <w:color w:val="000000" w:themeColor="text1"/>
          <w:szCs w:val="24"/>
        </w:rPr>
        <w:t>by providing patients at intermediate risk for surgery access to a less invasive subsidised medical service for their aortic stenosis.</w:t>
      </w:r>
    </w:p>
    <w:p w14:paraId="2412D166" w14:textId="1973400E" w:rsidR="00A17F2C" w:rsidRPr="00481B03" w:rsidRDefault="00A17F2C" w:rsidP="00175DFF">
      <w:pPr>
        <w:keepNext/>
        <w:keepLines/>
        <w:spacing w:before="120" w:after="120" w:line="276" w:lineRule="auto"/>
        <w:rPr>
          <w:rFonts w:eastAsia="Calibri"/>
          <w:b/>
          <w:szCs w:val="24"/>
          <w:lang w:eastAsia="en-US"/>
        </w:rPr>
      </w:pPr>
      <w:r w:rsidRPr="00481B03">
        <w:rPr>
          <w:rFonts w:eastAsia="Calibri"/>
          <w:b/>
          <w:szCs w:val="24"/>
          <w:lang w:eastAsia="en-US"/>
        </w:rPr>
        <w:lastRenderedPageBreak/>
        <w:t xml:space="preserve">Conclusion </w:t>
      </w:r>
    </w:p>
    <w:p w14:paraId="2412D167" w14:textId="2DEA0B5A" w:rsidR="00A17F2C" w:rsidRPr="00481B03" w:rsidRDefault="006E6BBF" w:rsidP="00175DFF">
      <w:pPr>
        <w:keepNext/>
        <w:keepLines/>
        <w:rPr>
          <w:color w:val="FF0000"/>
          <w:szCs w:val="24"/>
        </w:rPr>
      </w:pPr>
      <w:r w:rsidRPr="00481B03">
        <w:rPr>
          <w:szCs w:val="24"/>
        </w:rPr>
        <w:t xml:space="preserve">This </w:t>
      </w:r>
      <w:r w:rsidR="0046022A" w:rsidRPr="00481B03">
        <w:rPr>
          <w:szCs w:val="24"/>
        </w:rPr>
        <w:t>instrument</w:t>
      </w:r>
      <w:r w:rsidRPr="00481B03">
        <w:rPr>
          <w:szCs w:val="24"/>
        </w:rPr>
        <w:t xml:space="preserve"> </w:t>
      </w:r>
      <w:r w:rsidR="00F15284" w:rsidRPr="00481B03">
        <w:rPr>
          <w:szCs w:val="24"/>
        </w:rPr>
        <w:t xml:space="preserve">is compatible with human rights as it </w:t>
      </w:r>
      <w:r w:rsidR="007C7403" w:rsidRPr="00481B03">
        <w:rPr>
          <w:szCs w:val="24"/>
        </w:rPr>
        <w:t xml:space="preserve">maintains </w:t>
      </w:r>
      <w:r w:rsidR="002E7932" w:rsidRPr="00481B03">
        <w:rPr>
          <w:szCs w:val="24"/>
        </w:rPr>
        <w:t>the right to health, the right to social security and the right of equality and non-discrimination.</w:t>
      </w:r>
    </w:p>
    <w:p w14:paraId="2412D168" w14:textId="77777777" w:rsidR="00F15284" w:rsidRPr="00481B03" w:rsidRDefault="00F15284" w:rsidP="00175DFF">
      <w:pPr>
        <w:keepNext/>
        <w:keepLines/>
        <w:rPr>
          <w:rFonts w:eastAsia="Calibri"/>
          <w:szCs w:val="24"/>
          <w:lang w:eastAsia="en-US"/>
        </w:rPr>
      </w:pPr>
    </w:p>
    <w:p w14:paraId="75A46380" w14:textId="77777777" w:rsidR="00C67BC7" w:rsidRPr="00481B03" w:rsidRDefault="00C67BC7" w:rsidP="00175DFF">
      <w:pPr>
        <w:keepNext/>
        <w:keepLines/>
        <w:jc w:val="center"/>
        <w:rPr>
          <w:b/>
          <w:bCs/>
        </w:rPr>
      </w:pPr>
    </w:p>
    <w:p w14:paraId="1C7B127B" w14:textId="77777777" w:rsidR="00D27427" w:rsidRPr="00481B03" w:rsidRDefault="00D27427" w:rsidP="00175DFF">
      <w:pPr>
        <w:keepNext/>
        <w:keepLines/>
        <w:jc w:val="center"/>
        <w:rPr>
          <w:b/>
          <w:bCs/>
          <w:szCs w:val="22"/>
        </w:rPr>
      </w:pPr>
      <w:r w:rsidRPr="00481B03">
        <w:rPr>
          <w:b/>
          <w:bCs/>
          <w:szCs w:val="22"/>
        </w:rPr>
        <w:t>Nigel Murray</w:t>
      </w:r>
    </w:p>
    <w:p w14:paraId="3880A98A" w14:textId="77777777" w:rsidR="00D27427" w:rsidRPr="00481B03" w:rsidRDefault="00D27427" w:rsidP="00175DFF">
      <w:pPr>
        <w:keepNext/>
        <w:keepLines/>
        <w:jc w:val="center"/>
        <w:rPr>
          <w:b/>
          <w:bCs/>
          <w:szCs w:val="22"/>
        </w:rPr>
      </w:pPr>
      <w:r w:rsidRPr="00481B03">
        <w:rPr>
          <w:b/>
          <w:bCs/>
          <w:szCs w:val="22"/>
        </w:rPr>
        <w:t>Assistant Secretary</w:t>
      </w:r>
    </w:p>
    <w:p w14:paraId="3AF4D718" w14:textId="77777777" w:rsidR="00D27427" w:rsidRPr="00481B03" w:rsidRDefault="00D27427" w:rsidP="00175DFF">
      <w:pPr>
        <w:keepNext/>
        <w:keepLines/>
        <w:jc w:val="center"/>
        <w:rPr>
          <w:b/>
          <w:bCs/>
          <w:szCs w:val="22"/>
        </w:rPr>
      </w:pPr>
      <w:r w:rsidRPr="00481B03">
        <w:rPr>
          <w:b/>
          <w:bCs/>
          <w:szCs w:val="22"/>
        </w:rPr>
        <w:t>MBS Policy and Specialist Services Branch</w:t>
      </w:r>
    </w:p>
    <w:p w14:paraId="5DEC83E4" w14:textId="77777777" w:rsidR="00D27427" w:rsidRPr="00481B03" w:rsidRDefault="00D27427" w:rsidP="00175DFF">
      <w:pPr>
        <w:keepNext/>
        <w:keepLines/>
        <w:jc w:val="center"/>
        <w:rPr>
          <w:b/>
          <w:bCs/>
          <w:szCs w:val="22"/>
        </w:rPr>
      </w:pPr>
      <w:r w:rsidRPr="00481B03">
        <w:rPr>
          <w:b/>
          <w:bCs/>
          <w:szCs w:val="22"/>
        </w:rPr>
        <w:t>Medical Benefits Division</w:t>
      </w:r>
    </w:p>
    <w:p w14:paraId="558CA94E" w14:textId="77777777" w:rsidR="00D27427" w:rsidRPr="00481B03" w:rsidRDefault="00D27427" w:rsidP="00175DFF">
      <w:pPr>
        <w:keepNext/>
        <w:keepLines/>
        <w:jc w:val="center"/>
        <w:rPr>
          <w:b/>
          <w:bCs/>
          <w:szCs w:val="22"/>
        </w:rPr>
      </w:pPr>
      <w:r w:rsidRPr="00481B03">
        <w:rPr>
          <w:b/>
          <w:bCs/>
          <w:szCs w:val="22"/>
        </w:rPr>
        <w:t>Health Resourcing Group</w:t>
      </w:r>
    </w:p>
    <w:p w14:paraId="2412D16E" w14:textId="1047E942" w:rsidR="00636C51" w:rsidRPr="0020245D" w:rsidRDefault="00D27427" w:rsidP="00175DFF">
      <w:pPr>
        <w:keepNext/>
        <w:keepLines/>
        <w:jc w:val="center"/>
        <w:rPr>
          <w:rFonts w:eastAsia="Calibri"/>
          <w:szCs w:val="24"/>
          <w:lang w:eastAsia="en-US"/>
        </w:rPr>
      </w:pPr>
      <w:r w:rsidRPr="00481B03">
        <w:rPr>
          <w:b/>
          <w:bCs/>
          <w:szCs w:val="22"/>
        </w:rPr>
        <w:t>Department of Health</w:t>
      </w:r>
    </w:p>
    <w:sectPr w:rsidR="00636C51" w:rsidRPr="0020245D" w:rsidSect="00B15781">
      <w:headerReference w:type="even" r:id="rId12"/>
      <w:headerReference w:type="default" r:id="rId13"/>
      <w:headerReference w:type="first" r:id="rId14"/>
      <w:pgSz w:w="11906" w:h="16838"/>
      <w:pgMar w:top="1440" w:right="1133" w:bottom="1440" w:left="1440" w:header="720" w:footer="720" w:gutter="0"/>
      <w:paperSrc w:first="7" w:other="7"/>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7B3085" w14:textId="77777777" w:rsidR="00682763" w:rsidRDefault="00682763">
      <w:r>
        <w:separator/>
      </w:r>
    </w:p>
  </w:endnote>
  <w:endnote w:type="continuationSeparator" w:id="0">
    <w:p w14:paraId="35552B5D" w14:textId="77777777" w:rsidR="00682763" w:rsidRDefault="006827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Helvetica Neue">
    <w:altName w:val="Arial"/>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294FE5" w14:textId="77777777" w:rsidR="00682763" w:rsidRDefault="00682763">
      <w:r>
        <w:separator/>
      </w:r>
    </w:p>
  </w:footnote>
  <w:footnote w:type="continuationSeparator" w:id="0">
    <w:p w14:paraId="28605593" w14:textId="77777777" w:rsidR="00682763" w:rsidRDefault="006827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12D176" w14:textId="45DBF4EF" w:rsidR="00A1739A" w:rsidRDefault="00A1739A" w:rsidP="00BD6F5F">
    <w:pPr>
      <w:pStyle w:val="Header"/>
      <w:jc w:val="center"/>
    </w:pPr>
    <w:r>
      <w:fldChar w:fldCharType="begin"/>
    </w:r>
    <w:r>
      <w:instrText xml:space="preserve"> PAGE  \* Arabic  \* MERGEFORMAT </w:instrText>
    </w:r>
    <w:r>
      <w:fldChar w:fldCharType="separate"/>
    </w:r>
    <w:r w:rsidR="00476510">
      <w:rPr>
        <w:noProof/>
      </w:rPr>
      <w:t>1</w:t>
    </w:r>
    <w:r>
      <w:fldChar w:fldCharType="end"/>
    </w:r>
  </w:p>
  <w:p w14:paraId="2412D177" w14:textId="77777777" w:rsidR="00A1739A" w:rsidRDefault="00A173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12D178" w14:textId="77777777" w:rsidR="001C35BC" w:rsidRDefault="001C35BC" w:rsidP="009D377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2412D179" w14:textId="77777777" w:rsidR="001C35BC" w:rsidRDefault="001C35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81527589"/>
      <w:docPartObj>
        <w:docPartGallery w:val="Page Numbers (Top of Page)"/>
        <w:docPartUnique/>
      </w:docPartObj>
    </w:sdtPr>
    <w:sdtEndPr>
      <w:rPr>
        <w:noProof/>
      </w:rPr>
    </w:sdtEndPr>
    <w:sdtContent>
      <w:p w14:paraId="2412D17A" w14:textId="52942954" w:rsidR="00E23B6B" w:rsidRDefault="00E23B6B">
        <w:pPr>
          <w:pStyle w:val="Header"/>
          <w:jc w:val="center"/>
        </w:pPr>
        <w:r>
          <w:fldChar w:fldCharType="begin"/>
        </w:r>
        <w:r>
          <w:instrText xml:space="preserve"> PAGE   \* MERGEFORMAT </w:instrText>
        </w:r>
        <w:r>
          <w:fldChar w:fldCharType="separate"/>
        </w:r>
        <w:r w:rsidR="00476510">
          <w:rPr>
            <w:noProof/>
          </w:rPr>
          <w:t>4</w:t>
        </w:r>
        <w:r>
          <w:rPr>
            <w:noProof/>
          </w:rPr>
          <w:fldChar w:fldCharType="end"/>
        </w:r>
      </w:p>
    </w:sdtContent>
  </w:sdt>
  <w:p w14:paraId="2412D17B" w14:textId="77777777" w:rsidR="001C35BC" w:rsidRDefault="001C35BC" w:rsidP="00E23B6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12389212"/>
      <w:docPartObj>
        <w:docPartGallery w:val="Page Numbers (Top of Page)"/>
        <w:docPartUnique/>
      </w:docPartObj>
    </w:sdtPr>
    <w:sdtEndPr>
      <w:rPr>
        <w:noProof/>
      </w:rPr>
    </w:sdtEndPr>
    <w:sdtContent>
      <w:p w14:paraId="2412D17C" w14:textId="3EF9A7C2" w:rsidR="00E23B6B" w:rsidRDefault="00E23B6B">
        <w:pPr>
          <w:pStyle w:val="Header"/>
          <w:jc w:val="center"/>
        </w:pPr>
        <w:r>
          <w:fldChar w:fldCharType="begin"/>
        </w:r>
        <w:r>
          <w:instrText xml:space="preserve"> PAGE   \* MERGEFORMAT </w:instrText>
        </w:r>
        <w:r>
          <w:fldChar w:fldCharType="separate"/>
        </w:r>
        <w:r w:rsidR="00476510">
          <w:rPr>
            <w:noProof/>
          </w:rPr>
          <w:t>3</w:t>
        </w:r>
        <w:r>
          <w:rPr>
            <w:noProof/>
          </w:rPr>
          <w:fldChar w:fldCharType="end"/>
        </w:r>
      </w:p>
    </w:sdtContent>
  </w:sdt>
  <w:p w14:paraId="2412D17D" w14:textId="77777777" w:rsidR="00BA67DC" w:rsidRDefault="00BA67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23F34"/>
    <w:multiLevelType w:val="hybridMultilevel"/>
    <w:tmpl w:val="C76C1D78"/>
    <w:lvl w:ilvl="0" w:tplc="0CCC3EE2">
      <w:start w:val="1"/>
      <w:numFmt w:val="lowerRoman"/>
      <w:lvlText w:val="(%1)"/>
      <w:lvlJc w:val="left"/>
      <w:pPr>
        <w:ind w:left="1974" w:hanging="720"/>
      </w:pPr>
    </w:lvl>
    <w:lvl w:ilvl="1" w:tplc="0C090019">
      <w:start w:val="1"/>
      <w:numFmt w:val="lowerLetter"/>
      <w:lvlText w:val="%2."/>
      <w:lvlJc w:val="left"/>
      <w:pPr>
        <w:ind w:left="2334" w:hanging="360"/>
      </w:pPr>
    </w:lvl>
    <w:lvl w:ilvl="2" w:tplc="0C09001B">
      <w:start w:val="1"/>
      <w:numFmt w:val="lowerRoman"/>
      <w:lvlText w:val="%3."/>
      <w:lvlJc w:val="right"/>
      <w:pPr>
        <w:ind w:left="3054" w:hanging="180"/>
      </w:pPr>
    </w:lvl>
    <w:lvl w:ilvl="3" w:tplc="0C09000F">
      <w:start w:val="1"/>
      <w:numFmt w:val="decimal"/>
      <w:lvlText w:val="%4."/>
      <w:lvlJc w:val="left"/>
      <w:pPr>
        <w:ind w:left="3774" w:hanging="360"/>
      </w:pPr>
    </w:lvl>
    <w:lvl w:ilvl="4" w:tplc="0C090019">
      <w:start w:val="1"/>
      <w:numFmt w:val="lowerLetter"/>
      <w:lvlText w:val="%5."/>
      <w:lvlJc w:val="left"/>
      <w:pPr>
        <w:ind w:left="4494" w:hanging="360"/>
      </w:pPr>
    </w:lvl>
    <w:lvl w:ilvl="5" w:tplc="0C09001B">
      <w:start w:val="1"/>
      <w:numFmt w:val="lowerRoman"/>
      <w:lvlText w:val="%6."/>
      <w:lvlJc w:val="right"/>
      <w:pPr>
        <w:ind w:left="5214" w:hanging="180"/>
      </w:pPr>
    </w:lvl>
    <w:lvl w:ilvl="6" w:tplc="0C09000F">
      <w:start w:val="1"/>
      <w:numFmt w:val="decimal"/>
      <w:lvlText w:val="%7."/>
      <w:lvlJc w:val="left"/>
      <w:pPr>
        <w:ind w:left="5934" w:hanging="360"/>
      </w:pPr>
    </w:lvl>
    <w:lvl w:ilvl="7" w:tplc="0C090019">
      <w:start w:val="1"/>
      <w:numFmt w:val="lowerLetter"/>
      <w:lvlText w:val="%8."/>
      <w:lvlJc w:val="left"/>
      <w:pPr>
        <w:ind w:left="6654" w:hanging="360"/>
      </w:pPr>
    </w:lvl>
    <w:lvl w:ilvl="8" w:tplc="0C09001B">
      <w:start w:val="1"/>
      <w:numFmt w:val="lowerRoman"/>
      <w:lvlText w:val="%9."/>
      <w:lvlJc w:val="right"/>
      <w:pPr>
        <w:ind w:left="7374" w:hanging="180"/>
      </w:pPr>
    </w:lvl>
  </w:abstractNum>
  <w:abstractNum w:abstractNumId="1" w15:restartNumberingAfterBreak="0">
    <w:nsid w:val="03312BE0"/>
    <w:multiLevelType w:val="hybridMultilevel"/>
    <w:tmpl w:val="A2EA9C4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5E13706"/>
    <w:multiLevelType w:val="hybridMultilevel"/>
    <w:tmpl w:val="E49A9306"/>
    <w:lvl w:ilvl="0" w:tplc="03E61160">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15:restartNumberingAfterBreak="0">
    <w:nsid w:val="1556406F"/>
    <w:multiLevelType w:val="hybridMultilevel"/>
    <w:tmpl w:val="33245BB8"/>
    <w:lvl w:ilvl="0" w:tplc="40E4B4B0">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99E067B"/>
    <w:multiLevelType w:val="hybridMultilevel"/>
    <w:tmpl w:val="939083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AE447B6"/>
    <w:multiLevelType w:val="hybridMultilevel"/>
    <w:tmpl w:val="CD724C4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20F76946"/>
    <w:multiLevelType w:val="hybridMultilevel"/>
    <w:tmpl w:val="CAF23526"/>
    <w:lvl w:ilvl="0" w:tplc="B8F404A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16547D8"/>
    <w:multiLevelType w:val="hybridMultilevel"/>
    <w:tmpl w:val="970889D8"/>
    <w:lvl w:ilvl="0" w:tplc="E248A25E">
      <w:start w:val="6"/>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8934A34"/>
    <w:multiLevelType w:val="hybridMultilevel"/>
    <w:tmpl w:val="CD6E7E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C0B5175"/>
    <w:multiLevelType w:val="hybridMultilevel"/>
    <w:tmpl w:val="7CD0B868"/>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F423F78"/>
    <w:multiLevelType w:val="hybridMultilevel"/>
    <w:tmpl w:val="65F839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33653CE"/>
    <w:multiLevelType w:val="hybridMultilevel"/>
    <w:tmpl w:val="9E825BC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3C136E61"/>
    <w:multiLevelType w:val="hybridMultilevel"/>
    <w:tmpl w:val="05C2201A"/>
    <w:lvl w:ilvl="0" w:tplc="40E4B4B0">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C42605F"/>
    <w:multiLevelType w:val="hybridMultilevel"/>
    <w:tmpl w:val="C03899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23709A8"/>
    <w:multiLevelType w:val="hybridMultilevel"/>
    <w:tmpl w:val="6B925332"/>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2EB7FCD"/>
    <w:multiLevelType w:val="hybridMultilevel"/>
    <w:tmpl w:val="6B52B5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97B3599"/>
    <w:multiLevelType w:val="hybridMultilevel"/>
    <w:tmpl w:val="F35EF4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F0C46A6"/>
    <w:multiLevelType w:val="hybridMultilevel"/>
    <w:tmpl w:val="3B2C59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F7871D1"/>
    <w:multiLevelType w:val="hybridMultilevel"/>
    <w:tmpl w:val="6E588790"/>
    <w:lvl w:ilvl="0" w:tplc="9CFE6CFC">
      <w:start w:val="1"/>
      <w:numFmt w:val="lowerLetter"/>
      <w:lvlText w:val="(%1)"/>
      <w:lvlJc w:val="left"/>
      <w:pPr>
        <w:ind w:left="1495" w:hanging="360"/>
      </w:pPr>
      <w:rPr>
        <w:rFonts w:ascii="Times New Roman" w:hAnsi="Times New Roman" w:cs="Times New Roman" w:hint="default"/>
        <w:color w:val="000000"/>
        <w:sz w:val="22"/>
      </w:rPr>
    </w:lvl>
    <w:lvl w:ilvl="1" w:tplc="0C090019">
      <w:start w:val="1"/>
      <w:numFmt w:val="lowerLetter"/>
      <w:lvlText w:val="%2."/>
      <w:lvlJc w:val="left"/>
      <w:pPr>
        <w:ind w:left="2215" w:hanging="360"/>
      </w:pPr>
    </w:lvl>
    <w:lvl w:ilvl="2" w:tplc="0C09001B">
      <w:start w:val="1"/>
      <w:numFmt w:val="lowerRoman"/>
      <w:lvlText w:val="%3."/>
      <w:lvlJc w:val="right"/>
      <w:pPr>
        <w:ind w:left="2935" w:hanging="180"/>
      </w:pPr>
    </w:lvl>
    <w:lvl w:ilvl="3" w:tplc="0C09000F">
      <w:start w:val="1"/>
      <w:numFmt w:val="decimal"/>
      <w:lvlText w:val="%4."/>
      <w:lvlJc w:val="left"/>
      <w:pPr>
        <w:ind w:left="3655" w:hanging="360"/>
      </w:pPr>
    </w:lvl>
    <w:lvl w:ilvl="4" w:tplc="0C090019">
      <w:start w:val="1"/>
      <w:numFmt w:val="lowerLetter"/>
      <w:lvlText w:val="%5."/>
      <w:lvlJc w:val="left"/>
      <w:pPr>
        <w:ind w:left="4375" w:hanging="360"/>
      </w:pPr>
    </w:lvl>
    <w:lvl w:ilvl="5" w:tplc="0C09001B">
      <w:start w:val="1"/>
      <w:numFmt w:val="lowerRoman"/>
      <w:lvlText w:val="%6."/>
      <w:lvlJc w:val="right"/>
      <w:pPr>
        <w:ind w:left="5095" w:hanging="180"/>
      </w:pPr>
    </w:lvl>
    <w:lvl w:ilvl="6" w:tplc="0C09000F">
      <w:start w:val="1"/>
      <w:numFmt w:val="decimal"/>
      <w:lvlText w:val="%7."/>
      <w:lvlJc w:val="left"/>
      <w:pPr>
        <w:ind w:left="5815" w:hanging="360"/>
      </w:pPr>
    </w:lvl>
    <w:lvl w:ilvl="7" w:tplc="0C090019">
      <w:start w:val="1"/>
      <w:numFmt w:val="lowerLetter"/>
      <w:lvlText w:val="%8."/>
      <w:lvlJc w:val="left"/>
      <w:pPr>
        <w:ind w:left="6535" w:hanging="360"/>
      </w:pPr>
    </w:lvl>
    <w:lvl w:ilvl="8" w:tplc="0C09001B">
      <w:start w:val="1"/>
      <w:numFmt w:val="lowerRoman"/>
      <w:lvlText w:val="%9."/>
      <w:lvlJc w:val="right"/>
      <w:pPr>
        <w:ind w:left="7255" w:hanging="180"/>
      </w:pPr>
    </w:lvl>
  </w:abstractNum>
  <w:abstractNum w:abstractNumId="19" w15:restartNumberingAfterBreak="0">
    <w:nsid w:val="52B11796"/>
    <w:multiLevelType w:val="hybridMultilevel"/>
    <w:tmpl w:val="0D3E48DC"/>
    <w:lvl w:ilvl="0" w:tplc="40E4B4B0">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2D2117F"/>
    <w:multiLevelType w:val="hybridMultilevel"/>
    <w:tmpl w:val="D19CE4E0"/>
    <w:lvl w:ilvl="0" w:tplc="40E4B4B0">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2F842BB"/>
    <w:multiLevelType w:val="hybridMultilevel"/>
    <w:tmpl w:val="79A8AC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4580D81"/>
    <w:multiLevelType w:val="hybridMultilevel"/>
    <w:tmpl w:val="77A0CA76"/>
    <w:lvl w:ilvl="0" w:tplc="40E4B4B0">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62FE71A6"/>
    <w:multiLevelType w:val="hybridMultilevel"/>
    <w:tmpl w:val="DEEC8012"/>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4" w15:restartNumberingAfterBreak="0">
    <w:nsid w:val="680F4A58"/>
    <w:multiLevelType w:val="hybridMultilevel"/>
    <w:tmpl w:val="1C36CA60"/>
    <w:lvl w:ilvl="0" w:tplc="ECC29448">
      <w:start w:val="8"/>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99D779E"/>
    <w:multiLevelType w:val="hybridMultilevel"/>
    <w:tmpl w:val="F0A456B8"/>
    <w:lvl w:ilvl="0" w:tplc="6B3C780C">
      <w:start w:val="1"/>
      <w:numFmt w:val="lowerLetter"/>
      <w:lvlText w:val="(%1)"/>
      <w:lvlJc w:val="left"/>
      <w:pPr>
        <w:ind w:left="1330" w:hanging="360"/>
      </w:pPr>
      <w:rPr>
        <w:rFonts w:hint="default"/>
      </w:rPr>
    </w:lvl>
    <w:lvl w:ilvl="1" w:tplc="0C090019" w:tentative="1">
      <w:start w:val="1"/>
      <w:numFmt w:val="lowerLetter"/>
      <w:lvlText w:val="%2."/>
      <w:lvlJc w:val="left"/>
      <w:pPr>
        <w:ind w:left="2050" w:hanging="360"/>
      </w:pPr>
    </w:lvl>
    <w:lvl w:ilvl="2" w:tplc="0C09001B" w:tentative="1">
      <w:start w:val="1"/>
      <w:numFmt w:val="lowerRoman"/>
      <w:lvlText w:val="%3."/>
      <w:lvlJc w:val="right"/>
      <w:pPr>
        <w:ind w:left="2770" w:hanging="180"/>
      </w:pPr>
    </w:lvl>
    <w:lvl w:ilvl="3" w:tplc="0C09000F" w:tentative="1">
      <w:start w:val="1"/>
      <w:numFmt w:val="decimal"/>
      <w:lvlText w:val="%4."/>
      <w:lvlJc w:val="left"/>
      <w:pPr>
        <w:ind w:left="3490" w:hanging="360"/>
      </w:pPr>
    </w:lvl>
    <w:lvl w:ilvl="4" w:tplc="0C090019" w:tentative="1">
      <w:start w:val="1"/>
      <w:numFmt w:val="lowerLetter"/>
      <w:lvlText w:val="%5."/>
      <w:lvlJc w:val="left"/>
      <w:pPr>
        <w:ind w:left="4210" w:hanging="360"/>
      </w:pPr>
    </w:lvl>
    <w:lvl w:ilvl="5" w:tplc="0C09001B" w:tentative="1">
      <w:start w:val="1"/>
      <w:numFmt w:val="lowerRoman"/>
      <w:lvlText w:val="%6."/>
      <w:lvlJc w:val="right"/>
      <w:pPr>
        <w:ind w:left="4930" w:hanging="180"/>
      </w:pPr>
    </w:lvl>
    <w:lvl w:ilvl="6" w:tplc="0C09000F" w:tentative="1">
      <w:start w:val="1"/>
      <w:numFmt w:val="decimal"/>
      <w:lvlText w:val="%7."/>
      <w:lvlJc w:val="left"/>
      <w:pPr>
        <w:ind w:left="5650" w:hanging="360"/>
      </w:pPr>
    </w:lvl>
    <w:lvl w:ilvl="7" w:tplc="0C090019" w:tentative="1">
      <w:start w:val="1"/>
      <w:numFmt w:val="lowerLetter"/>
      <w:lvlText w:val="%8."/>
      <w:lvlJc w:val="left"/>
      <w:pPr>
        <w:ind w:left="6370" w:hanging="360"/>
      </w:pPr>
    </w:lvl>
    <w:lvl w:ilvl="8" w:tplc="0C09001B" w:tentative="1">
      <w:start w:val="1"/>
      <w:numFmt w:val="lowerRoman"/>
      <w:lvlText w:val="%9."/>
      <w:lvlJc w:val="right"/>
      <w:pPr>
        <w:ind w:left="7090" w:hanging="180"/>
      </w:pPr>
    </w:lvl>
  </w:abstractNum>
  <w:abstractNum w:abstractNumId="26" w15:restartNumberingAfterBreak="0">
    <w:nsid w:val="6A144E79"/>
    <w:multiLevelType w:val="hybridMultilevel"/>
    <w:tmpl w:val="76E8FF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EE05509"/>
    <w:multiLevelType w:val="hybridMultilevel"/>
    <w:tmpl w:val="FFEA3C84"/>
    <w:lvl w:ilvl="0" w:tplc="6FA0B29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FAF4D0B"/>
    <w:multiLevelType w:val="hybridMultilevel"/>
    <w:tmpl w:val="DC7C1D34"/>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8010E6E"/>
    <w:multiLevelType w:val="hybridMultilevel"/>
    <w:tmpl w:val="906633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AF00AC0"/>
    <w:multiLevelType w:val="hybridMultilevel"/>
    <w:tmpl w:val="987679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3"/>
  </w:num>
  <w:num w:numId="2">
    <w:abstractNumId w:val="1"/>
  </w:num>
  <w:num w:numId="3">
    <w:abstractNumId w:val="2"/>
  </w:num>
  <w:num w:numId="4">
    <w:abstractNumId w:val="11"/>
  </w:num>
  <w:num w:numId="5">
    <w:abstractNumId w:val="17"/>
  </w:num>
  <w:num w:numId="6">
    <w:abstractNumId w:val="9"/>
  </w:num>
  <w:num w:numId="7">
    <w:abstractNumId w:val="28"/>
  </w:num>
  <w:num w:numId="8">
    <w:abstractNumId w:val="6"/>
  </w:num>
  <w:num w:numId="9">
    <w:abstractNumId w:val="5"/>
  </w:num>
  <w:num w:numId="10">
    <w:abstractNumId w:val="30"/>
  </w:num>
  <w:num w:numId="11">
    <w:abstractNumId w:val="27"/>
  </w:num>
  <w:num w:numId="12">
    <w:abstractNumId w:val="12"/>
  </w:num>
  <w:num w:numId="13">
    <w:abstractNumId w:val="14"/>
  </w:num>
  <w:num w:numId="14">
    <w:abstractNumId w:val="25"/>
  </w:num>
  <w:num w:numId="15">
    <w:abstractNumId w:val="7"/>
  </w:num>
  <w:num w:numId="16">
    <w:abstractNumId w:val="19"/>
  </w:num>
  <w:num w:numId="17">
    <w:abstractNumId w:val="22"/>
  </w:num>
  <w:num w:numId="18">
    <w:abstractNumId w:val="20"/>
  </w:num>
  <w:num w:numId="19">
    <w:abstractNumId w:val="3"/>
  </w:num>
  <w:num w:numId="20">
    <w:abstractNumId w:val="10"/>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num>
  <w:num w:numId="24">
    <w:abstractNumId w:val="21"/>
  </w:num>
  <w:num w:numId="25">
    <w:abstractNumId w:val="8"/>
  </w:num>
  <w:num w:numId="26">
    <w:abstractNumId w:val="4"/>
  </w:num>
  <w:num w:numId="27">
    <w:abstractNumId w:val="15"/>
  </w:num>
  <w:num w:numId="28">
    <w:abstractNumId w:val="29"/>
  </w:num>
  <w:num w:numId="29">
    <w:abstractNumId w:val="16"/>
  </w:num>
  <w:num w:numId="30">
    <w:abstractNumId w:val="26"/>
  </w:num>
  <w:num w:numId="31">
    <w:abstractNumId w:val="13"/>
  </w:num>
  <w:num w:numId="32">
    <w:abstractNumId w:val="2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7"/>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6251"/>
    <w:rsid w:val="0000029E"/>
    <w:rsid w:val="00000DEE"/>
    <w:rsid w:val="00001CCE"/>
    <w:rsid w:val="00003D66"/>
    <w:rsid w:val="0000441D"/>
    <w:rsid w:val="00004E17"/>
    <w:rsid w:val="00005906"/>
    <w:rsid w:val="00007B65"/>
    <w:rsid w:val="00010199"/>
    <w:rsid w:val="00012B9E"/>
    <w:rsid w:val="00014639"/>
    <w:rsid w:val="00014B38"/>
    <w:rsid w:val="00014E40"/>
    <w:rsid w:val="00016774"/>
    <w:rsid w:val="000203B4"/>
    <w:rsid w:val="00021EFA"/>
    <w:rsid w:val="00024158"/>
    <w:rsid w:val="00024A1D"/>
    <w:rsid w:val="00025F64"/>
    <w:rsid w:val="0002704E"/>
    <w:rsid w:val="0002728B"/>
    <w:rsid w:val="00027830"/>
    <w:rsid w:val="000319EF"/>
    <w:rsid w:val="00033034"/>
    <w:rsid w:val="000337CB"/>
    <w:rsid w:val="0003591F"/>
    <w:rsid w:val="00041849"/>
    <w:rsid w:val="0004426E"/>
    <w:rsid w:val="00044A2A"/>
    <w:rsid w:val="00050623"/>
    <w:rsid w:val="000509BA"/>
    <w:rsid w:val="0005224B"/>
    <w:rsid w:val="00054F46"/>
    <w:rsid w:val="0005533C"/>
    <w:rsid w:val="0006157A"/>
    <w:rsid w:val="00063242"/>
    <w:rsid w:val="000640CF"/>
    <w:rsid w:val="00064BA4"/>
    <w:rsid w:val="00067F59"/>
    <w:rsid w:val="000710DD"/>
    <w:rsid w:val="0007187A"/>
    <w:rsid w:val="0007236F"/>
    <w:rsid w:val="000727E0"/>
    <w:rsid w:val="00073983"/>
    <w:rsid w:val="00073BC9"/>
    <w:rsid w:val="00076C34"/>
    <w:rsid w:val="00076FE3"/>
    <w:rsid w:val="00080116"/>
    <w:rsid w:val="00081188"/>
    <w:rsid w:val="00081C37"/>
    <w:rsid w:val="00082D12"/>
    <w:rsid w:val="0009514A"/>
    <w:rsid w:val="000969EF"/>
    <w:rsid w:val="000A199B"/>
    <w:rsid w:val="000A31F2"/>
    <w:rsid w:val="000A45BE"/>
    <w:rsid w:val="000A467F"/>
    <w:rsid w:val="000A6FB3"/>
    <w:rsid w:val="000A7B9B"/>
    <w:rsid w:val="000B208E"/>
    <w:rsid w:val="000B3452"/>
    <w:rsid w:val="000B7FAE"/>
    <w:rsid w:val="000C1226"/>
    <w:rsid w:val="000C12EE"/>
    <w:rsid w:val="000C3BA7"/>
    <w:rsid w:val="000C3D8A"/>
    <w:rsid w:val="000C46E6"/>
    <w:rsid w:val="000C4B3D"/>
    <w:rsid w:val="000C5BA2"/>
    <w:rsid w:val="000C6797"/>
    <w:rsid w:val="000C6FF8"/>
    <w:rsid w:val="000C7FE1"/>
    <w:rsid w:val="000D1325"/>
    <w:rsid w:val="000D1A87"/>
    <w:rsid w:val="000D2300"/>
    <w:rsid w:val="000D3B79"/>
    <w:rsid w:val="000D7803"/>
    <w:rsid w:val="000E0C87"/>
    <w:rsid w:val="000E1ACD"/>
    <w:rsid w:val="000E1EB3"/>
    <w:rsid w:val="000E3444"/>
    <w:rsid w:val="000E4AFA"/>
    <w:rsid w:val="000E534F"/>
    <w:rsid w:val="000E66FA"/>
    <w:rsid w:val="000E7163"/>
    <w:rsid w:val="000F14A0"/>
    <w:rsid w:val="000F1575"/>
    <w:rsid w:val="000F162A"/>
    <w:rsid w:val="000F1714"/>
    <w:rsid w:val="000F249E"/>
    <w:rsid w:val="000F2948"/>
    <w:rsid w:val="000F2AFC"/>
    <w:rsid w:val="000F37A0"/>
    <w:rsid w:val="000F548E"/>
    <w:rsid w:val="000F5E76"/>
    <w:rsid w:val="000F6853"/>
    <w:rsid w:val="001000CE"/>
    <w:rsid w:val="00104751"/>
    <w:rsid w:val="0010617D"/>
    <w:rsid w:val="00106763"/>
    <w:rsid w:val="00107F36"/>
    <w:rsid w:val="0011066E"/>
    <w:rsid w:val="00110D12"/>
    <w:rsid w:val="00113B2E"/>
    <w:rsid w:val="00120766"/>
    <w:rsid w:val="00121189"/>
    <w:rsid w:val="00121A66"/>
    <w:rsid w:val="00132087"/>
    <w:rsid w:val="00134B27"/>
    <w:rsid w:val="00135D0D"/>
    <w:rsid w:val="001400C4"/>
    <w:rsid w:val="00140B72"/>
    <w:rsid w:val="00141323"/>
    <w:rsid w:val="00141E8C"/>
    <w:rsid w:val="00143685"/>
    <w:rsid w:val="00143943"/>
    <w:rsid w:val="001448F2"/>
    <w:rsid w:val="00145918"/>
    <w:rsid w:val="00145D25"/>
    <w:rsid w:val="00145DED"/>
    <w:rsid w:val="001519E4"/>
    <w:rsid w:val="00154FC4"/>
    <w:rsid w:val="001551FE"/>
    <w:rsid w:val="0015521F"/>
    <w:rsid w:val="001603DB"/>
    <w:rsid w:val="001641C0"/>
    <w:rsid w:val="00164A69"/>
    <w:rsid w:val="0016646C"/>
    <w:rsid w:val="00167DA1"/>
    <w:rsid w:val="0017187F"/>
    <w:rsid w:val="00174E96"/>
    <w:rsid w:val="00175DFF"/>
    <w:rsid w:val="001770D9"/>
    <w:rsid w:val="0017759F"/>
    <w:rsid w:val="0018012F"/>
    <w:rsid w:val="00180206"/>
    <w:rsid w:val="00180742"/>
    <w:rsid w:val="00181B3E"/>
    <w:rsid w:val="00181F74"/>
    <w:rsid w:val="00183C10"/>
    <w:rsid w:val="0018451D"/>
    <w:rsid w:val="001865F8"/>
    <w:rsid w:val="00186752"/>
    <w:rsid w:val="001867EA"/>
    <w:rsid w:val="00187EE5"/>
    <w:rsid w:val="00190FC9"/>
    <w:rsid w:val="0019289B"/>
    <w:rsid w:val="001929C3"/>
    <w:rsid w:val="0019464A"/>
    <w:rsid w:val="00195A6A"/>
    <w:rsid w:val="001965DA"/>
    <w:rsid w:val="0019711F"/>
    <w:rsid w:val="001978CE"/>
    <w:rsid w:val="001A43A5"/>
    <w:rsid w:val="001A4BE2"/>
    <w:rsid w:val="001A5BC0"/>
    <w:rsid w:val="001A7249"/>
    <w:rsid w:val="001A7EF8"/>
    <w:rsid w:val="001B0111"/>
    <w:rsid w:val="001B3714"/>
    <w:rsid w:val="001B5ED9"/>
    <w:rsid w:val="001B6095"/>
    <w:rsid w:val="001B66AF"/>
    <w:rsid w:val="001B7092"/>
    <w:rsid w:val="001C1B86"/>
    <w:rsid w:val="001C35BC"/>
    <w:rsid w:val="001C51D8"/>
    <w:rsid w:val="001C5FC1"/>
    <w:rsid w:val="001C6713"/>
    <w:rsid w:val="001D0C04"/>
    <w:rsid w:val="001D6B46"/>
    <w:rsid w:val="001D778A"/>
    <w:rsid w:val="001D7D62"/>
    <w:rsid w:val="001E014D"/>
    <w:rsid w:val="001E2D6D"/>
    <w:rsid w:val="001E3B02"/>
    <w:rsid w:val="001E5391"/>
    <w:rsid w:val="001E5787"/>
    <w:rsid w:val="001E57BC"/>
    <w:rsid w:val="001E5DE7"/>
    <w:rsid w:val="001E63F3"/>
    <w:rsid w:val="001E7C25"/>
    <w:rsid w:val="001F004A"/>
    <w:rsid w:val="001F0923"/>
    <w:rsid w:val="001F1F27"/>
    <w:rsid w:val="00200145"/>
    <w:rsid w:val="002003CA"/>
    <w:rsid w:val="002003F7"/>
    <w:rsid w:val="00200971"/>
    <w:rsid w:val="00201255"/>
    <w:rsid w:val="0020245D"/>
    <w:rsid w:val="00203952"/>
    <w:rsid w:val="00203F23"/>
    <w:rsid w:val="00204413"/>
    <w:rsid w:val="00210EE7"/>
    <w:rsid w:val="00213177"/>
    <w:rsid w:val="00215191"/>
    <w:rsid w:val="00216C44"/>
    <w:rsid w:val="00217EBF"/>
    <w:rsid w:val="00220EE3"/>
    <w:rsid w:val="00221C4B"/>
    <w:rsid w:val="002227DF"/>
    <w:rsid w:val="0022342C"/>
    <w:rsid w:val="0022384B"/>
    <w:rsid w:val="00225B50"/>
    <w:rsid w:val="00225D8E"/>
    <w:rsid w:val="002264F4"/>
    <w:rsid w:val="002322A8"/>
    <w:rsid w:val="0023311C"/>
    <w:rsid w:val="00233BEB"/>
    <w:rsid w:val="00235B6C"/>
    <w:rsid w:val="00236DF2"/>
    <w:rsid w:val="0024152E"/>
    <w:rsid w:val="002427DC"/>
    <w:rsid w:val="00242974"/>
    <w:rsid w:val="00244D84"/>
    <w:rsid w:val="00250061"/>
    <w:rsid w:val="00250642"/>
    <w:rsid w:val="00251E4A"/>
    <w:rsid w:val="00251F50"/>
    <w:rsid w:val="002538F6"/>
    <w:rsid w:val="00253E30"/>
    <w:rsid w:val="0025493F"/>
    <w:rsid w:val="00257459"/>
    <w:rsid w:val="00257E4D"/>
    <w:rsid w:val="00262865"/>
    <w:rsid w:val="00263279"/>
    <w:rsid w:val="002643FC"/>
    <w:rsid w:val="00274073"/>
    <w:rsid w:val="0027545F"/>
    <w:rsid w:val="0027610D"/>
    <w:rsid w:val="002806A1"/>
    <w:rsid w:val="00281918"/>
    <w:rsid w:val="00284483"/>
    <w:rsid w:val="00284749"/>
    <w:rsid w:val="00285256"/>
    <w:rsid w:val="00287AEF"/>
    <w:rsid w:val="00287B08"/>
    <w:rsid w:val="00290B98"/>
    <w:rsid w:val="002944D4"/>
    <w:rsid w:val="00296763"/>
    <w:rsid w:val="0029737E"/>
    <w:rsid w:val="00297AD0"/>
    <w:rsid w:val="002A0CC8"/>
    <w:rsid w:val="002A1E2C"/>
    <w:rsid w:val="002A3243"/>
    <w:rsid w:val="002A5CDF"/>
    <w:rsid w:val="002A68B3"/>
    <w:rsid w:val="002A6C77"/>
    <w:rsid w:val="002B2AC5"/>
    <w:rsid w:val="002B2E78"/>
    <w:rsid w:val="002B49DE"/>
    <w:rsid w:val="002B4E4D"/>
    <w:rsid w:val="002B53D3"/>
    <w:rsid w:val="002B7177"/>
    <w:rsid w:val="002C1BFE"/>
    <w:rsid w:val="002C4F5B"/>
    <w:rsid w:val="002C54A1"/>
    <w:rsid w:val="002C5DCD"/>
    <w:rsid w:val="002D03AB"/>
    <w:rsid w:val="002D2A4E"/>
    <w:rsid w:val="002D5294"/>
    <w:rsid w:val="002D59E0"/>
    <w:rsid w:val="002D5DFC"/>
    <w:rsid w:val="002D5E92"/>
    <w:rsid w:val="002D6269"/>
    <w:rsid w:val="002D629A"/>
    <w:rsid w:val="002E12C3"/>
    <w:rsid w:val="002E3493"/>
    <w:rsid w:val="002E35BF"/>
    <w:rsid w:val="002E5708"/>
    <w:rsid w:val="002E5F5C"/>
    <w:rsid w:val="002E6FD5"/>
    <w:rsid w:val="002E7932"/>
    <w:rsid w:val="002E7D88"/>
    <w:rsid w:val="002F0434"/>
    <w:rsid w:val="002F1707"/>
    <w:rsid w:val="002F2F33"/>
    <w:rsid w:val="002F3A26"/>
    <w:rsid w:val="002F449C"/>
    <w:rsid w:val="002F4CD2"/>
    <w:rsid w:val="002F6069"/>
    <w:rsid w:val="002F70B1"/>
    <w:rsid w:val="002F7549"/>
    <w:rsid w:val="00301D49"/>
    <w:rsid w:val="003025C7"/>
    <w:rsid w:val="00302F5C"/>
    <w:rsid w:val="00304080"/>
    <w:rsid w:val="0031124D"/>
    <w:rsid w:val="00312ED1"/>
    <w:rsid w:val="00313554"/>
    <w:rsid w:val="00317B55"/>
    <w:rsid w:val="0032155B"/>
    <w:rsid w:val="003239D0"/>
    <w:rsid w:val="00324908"/>
    <w:rsid w:val="00331752"/>
    <w:rsid w:val="00332AF9"/>
    <w:rsid w:val="003332C9"/>
    <w:rsid w:val="0033493D"/>
    <w:rsid w:val="00337DE1"/>
    <w:rsid w:val="003401DE"/>
    <w:rsid w:val="00340BDB"/>
    <w:rsid w:val="00340E39"/>
    <w:rsid w:val="00341145"/>
    <w:rsid w:val="003412CB"/>
    <w:rsid w:val="0035214B"/>
    <w:rsid w:val="003527D6"/>
    <w:rsid w:val="00352DDE"/>
    <w:rsid w:val="00353351"/>
    <w:rsid w:val="00353622"/>
    <w:rsid w:val="0035389C"/>
    <w:rsid w:val="00355A9A"/>
    <w:rsid w:val="00357CD8"/>
    <w:rsid w:val="0036001E"/>
    <w:rsid w:val="0036105C"/>
    <w:rsid w:val="00361ADE"/>
    <w:rsid w:val="00363306"/>
    <w:rsid w:val="00363B88"/>
    <w:rsid w:val="0036495A"/>
    <w:rsid w:val="00366990"/>
    <w:rsid w:val="00366C2C"/>
    <w:rsid w:val="00367440"/>
    <w:rsid w:val="00370BE6"/>
    <w:rsid w:val="00371F67"/>
    <w:rsid w:val="00375E39"/>
    <w:rsid w:val="00376051"/>
    <w:rsid w:val="003760ED"/>
    <w:rsid w:val="003764AE"/>
    <w:rsid w:val="003775D7"/>
    <w:rsid w:val="00380CBA"/>
    <w:rsid w:val="00381278"/>
    <w:rsid w:val="0038127E"/>
    <w:rsid w:val="00384080"/>
    <w:rsid w:val="00386C22"/>
    <w:rsid w:val="003876E6"/>
    <w:rsid w:val="0039170C"/>
    <w:rsid w:val="00391AFA"/>
    <w:rsid w:val="003937EF"/>
    <w:rsid w:val="00393E9B"/>
    <w:rsid w:val="00397A97"/>
    <w:rsid w:val="003A280D"/>
    <w:rsid w:val="003A5A70"/>
    <w:rsid w:val="003A6230"/>
    <w:rsid w:val="003A6299"/>
    <w:rsid w:val="003B1976"/>
    <w:rsid w:val="003B1D46"/>
    <w:rsid w:val="003B27BA"/>
    <w:rsid w:val="003B366C"/>
    <w:rsid w:val="003B38C1"/>
    <w:rsid w:val="003B59A9"/>
    <w:rsid w:val="003B6B63"/>
    <w:rsid w:val="003B7C31"/>
    <w:rsid w:val="003C02D4"/>
    <w:rsid w:val="003C37E3"/>
    <w:rsid w:val="003C4CBD"/>
    <w:rsid w:val="003C546B"/>
    <w:rsid w:val="003C7719"/>
    <w:rsid w:val="003D0FBD"/>
    <w:rsid w:val="003D2A6D"/>
    <w:rsid w:val="003E005B"/>
    <w:rsid w:val="003E04DA"/>
    <w:rsid w:val="003E1249"/>
    <w:rsid w:val="003E3544"/>
    <w:rsid w:val="003E35A8"/>
    <w:rsid w:val="003E4F2D"/>
    <w:rsid w:val="003E57BE"/>
    <w:rsid w:val="003E77CB"/>
    <w:rsid w:val="003F47FD"/>
    <w:rsid w:val="003F4B52"/>
    <w:rsid w:val="003F73BA"/>
    <w:rsid w:val="003F73F0"/>
    <w:rsid w:val="00401423"/>
    <w:rsid w:val="00403105"/>
    <w:rsid w:val="00404F11"/>
    <w:rsid w:val="00405890"/>
    <w:rsid w:val="00405EF4"/>
    <w:rsid w:val="00406D7A"/>
    <w:rsid w:val="00411365"/>
    <w:rsid w:val="0041237F"/>
    <w:rsid w:val="00412B6C"/>
    <w:rsid w:val="00414613"/>
    <w:rsid w:val="00415B19"/>
    <w:rsid w:val="0041767B"/>
    <w:rsid w:val="00420205"/>
    <w:rsid w:val="00421D5F"/>
    <w:rsid w:val="004225D8"/>
    <w:rsid w:val="00422831"/>
    <w:rsid w:val="00424197"/>
    <w:rsid w:val="00425F40"/>
    <w:rsid w:val="004265AA"/>
    <w:rsid w:val="00426A8D"/>
    <w:rsid w:val="00430861"/>
    <w:rsid w:val="00432D4D"/>
    <w:rsid w:val="00433DCE"/>
    <w:rsid w:val="00437A1F"/>
    <w:rsid w:val="00437B1B"/>
    <w:rsid w:val="004405B8"/>
    <w:rsid w:val="004417A2"/>
    <w:rsid w:val="00442F9D"/>
    <w:rsid w:val="00444782"/>
    <w:rsid w:val="00444EDF"/>
    <w:rsid w:val="004456A4"/>
    <w:rsid w:val="00445A6D"/>
    <w:rsid w:val="00446A6B"/>
    <w:rsid w:val="0045189C"/>
    <w:rsid w:val="00451A88"/>
    <w:rsid w:val="004524A0"/>
    <w:rsid w:val="00453151"/>
    <w:rsid w:val="00455AC7"/>
    <w:rsid w:val="00456B1D"/>
    <w:rsid w:val="0046022A"/>
    <w:rsid w:val="004636B4"/>
    <w:rsid w:val="004641DC"/>
    <w:rsid w:val="00464AC7"/>
    <w:rsid w:val="004669A4"/>
    <w:rsid w:val="00466A5B"/>
    <w:rsid w:val="0046799A"/>
    <w:rsid w:val="0047494B"/>
    <w:rsid w:val="00475A85"/>
    <w:rsid w:val="00476510"/>
    <w:rsid w:val="00476F13"/>
    <w:rsid w:val="00477C74"/>
    <w:rsid w:val="00480561"/>
    <w:rsid w:val="004806B3"/>
    <w:rsid w:val="00481B03"/>
    <w:rsid w:val="00481E5E"/>
    <w:rsid w:val="004828A9"/>
    <w:rsid w:val="004849DE"/>
    <w:rsid w:val="00484A65"/>
    <w:rsid w:val="00484E4F"/>
    <w:rsid w:val="004876DF"/>
    <w:rsid w:val="00492341"/>
    <w:rsid w:val="00492DBE"/>
    <w:rsid w:val="004962CC"/>
    <w:rsid w:val="00497EC1"/>
    <w:rsid w:val="004A0313"/>
    <w:rsid w:val="004A0A89"/>
    <w:rsid w:val="004A0B91"/>
    <w:rsid w:val="004A0BE6"/>
    <w:rsid w:val="004A2249"/>
    <w:rsid w:val="004A26E0"/>
    <w:rsid w:val="004A524A"/>
    <w:rsid w:val="004A56D3"/>
    <w:rsid w:val="004A6B0F"/>
    <w:rsid w:val="004B1ECE"/>
    <w:rsid w:val="004B38C8"/>
    <w:rsid w:val="004B5C2E"/>
    <w:rsid w:val="004B7CB9"/>
    <w:rsid w:val="004C10BA"/>
    <w:rsid w:val="004C12BD"/>
    <w:rsid w:val="004C27EB"/>
    <w:rsid w:val="004C33D9"/>
    <w:rsid w:val="004C357A"/>
    <w:rsid w:val="004C405B"/>
    <w:rsid w:val="004C5B35"/>
    <w:rsid w:val="004C68D1"/>
    <w:rsid w:val="004C6AE7"/>
    <w:rsid w:val="004C72E8"/>
    <w:rsid w:val="004D04DF"/>
    <w:rsid w:val="004D1BF4"/>
    <w:rsid w:val="004D480B"/>
    <w:rsid w:val="004D7821"/>
    <w:rsid w:val="004E10C5"/>
    <w:rsid w:val="004E22A7"/>
    <w:rsid w:val="004E39E6"/>
    <w:rsid w:val="004E71DC"/>
    <w:rsid w:val="004E7F97"/>
    <w:rsid w:val="004F1563"/>
    <w:rsid w:val="004F20B0"/>
    <w:rsid w:val="004F4BAD"/>
    <w:rsid w:val="004F720F"/>
    <w:rsid w:val="004F7682"/>
    <w:rsid w:val="005012BC"/>
    <w:rsid w:val="00502156"/>
    <w:rsid w:val="00502277"/>
    <w:rsid w:val="005042B5"/>
    <w:rsid w:val="00505C67"/>
    <w:rsid w:val="00505F9A"/>
    <w:rsid w:val="00510A4F"/>
    <w:rsid w:val="005119E9"/>
    <w:rsid w:val="00512A65"/>
    <w:rsid w:val="005130BE"/>
    <w:rsid w:val="005140F2"/>
    <w:rsid w:val="0051709B"/>
    <w:rsid w:val="0052165A"/>
    <w:rsid w:val="00521802"/>
    <w:rsid w:val="0052430B"/>
    <w:rsid w:val="00525D51"/>
    <w:rsid w:val="00532CD3"/>
    <w:rsid w:val="005345A9"/>
    <w:rsid w:val="00534D8A"/>
    <w:rsid w:val="005378EB"/>
    <w:rsid w:val="0054004F"/>
    <w:rsid w:val="00540C67"/>
    <w:rsid w:val="00542913"/>
    <w:rsid w:val="005440E4"/>
    <w:rsid w:val="005452CD"/>
    <w:rsid w:val="0054588E"/>
    <w:rsid w:val="00546DB4"/>
    <w:rsid w:val="005474A5"/>
    <w:rsid w:val="00547D82"/>
    <w:rsid w:val="005504B4"/>
    <w:rsid w:val="00550DAB"/>
    <w:rsid w:val="00552105"/>
    <w:rsid w:val="0055354D"/>
    <w:rsid w:val="00554026"/>
    <w:rsid w:val="00554543"/>
    <w:rsid w:val="005555B8"/>
    <w:rsid w:val="005567CF"/>
    <w:rsid w:val="005642D9"/>
    <w:rsid w:val="00564C2B"/>
    <w:rsid w:val="00564C37"/>
    <w:rsid w:val="00564D84"/>
    <w:rsid w:val="00566C1D"/>
    <w:rsid w:val="00570F2B"/>
    <w:rsid w:val="0057258C"/>
    <w:rsid w:val="00573651"/>
    <w:rsid w:val="00574E71"/>
    <w:rsid w:val="005811D8"/>
    <w:rsid w:val="00581904"/>
    <w:rsid w:val="00582B3F"/>
    <w:rsid w:val="00583643"/>
    <w:rsid w:val="00585309"/>
    <w:rsid w:val="005857E8"/>
    <w:rsid w:val="005858CB"/>
    <w:rsid w:val="0058699E"/>
    <w:rsid w:val="00586CE9"/>
    <w:rsid w:val="00590B04"/>
    <w:rsid w:val="00592F78"/>
    <w:rsid w:val="00594EB6"/>
    <w:rsid w:val="0059798F"/>
    <w:rsid w:val="00597EC9"/>
    <w:rsid w:val="005A0300"/>
    <w:rsid w:val="005A163F"/>
    <w:rsid w:val="005A3D73"/>
    <w:rsid w:val="005A3D8D"/>
    <w:rsid w:val="005A445D"/>
    <w:rsid w:val="005B0EA3"/>
    <w:rsid w:val="005B1B0A"/>
    <w:rsid w:val="005B2F23"/>
    <w:rsid w:val="005B5062"/>
    <w:rsid w:val="005B6234"/>
    <w:rsid w:val="005B7596"/>
    <w:rsid w:val="005C4113"/>
    <w:rsid w:val="005C4A91"/>
    <w:rsid w:val="005C5824"/>
    <w:rsid w:val="005C6118"/>
    <w:rsid w:val="005D3575"/>
    <w:rsid w:val="005D3CED"/>
    <w:rsid w:val="005D538F"/>
    <w:rsid w:val="005D63D9"/>
    <w:rsid w:val="005D68D1"/>
    <w:rsid w:val="005E293A"/>
    <w:rsid w:val="005E44A6"/>
    <w:rsid w:val="005E49E7"/>
    <w:rsid w:val="005E56FE"/>
    <w:rsid w:val="005E62D6"/>
    <w:rsid w:val="005E6A82"/>
    <w:rsid w:val="005E7398"/>
    <w:rsid w:val="005F04DC"/>
    <w:rsid w:val="005F0F6C"/>
    <w:rsid w:val="005F1A7F"/>
    <w:rsid w:val="00601165"/>
    <w:rsid w:val="00607971"/>
    <w:rsid w:val="00611A4E"/>
    <w:rsid w:val="006122C0"/>
    <w:rsid w:val="0061281D"/>
    <w:rsid w:val="00613C46"/>
    <w:rsid w:val="00614085"/>
    <w:rsid w:val="00616889"/>
    <w:rsid w:val="00617F77"/>
    <w:rsid w:val="00623004"/>
    <w:rsid w:val="006237CC"/>
    <w:rsid w:val="00627C91"/>
    <w:rsid w:val="00635031"/>
    <w:rsid w:val="006369D4"/>
    <w:rsid w:val="00636C51"/>
    <w:rsid w:val="006407FA"/>
    <w:rsid w:val="00642537"/>
    <w:rsid w:val="006427B2"/>
    <w:rsid w:val="00642BEB"/>
    <w:rsid w:val="00647426"/>
    <w:rsid w:val="00647590"/>
    <w:rsid w:val="006526F5"/>
    <w:rsid w:val="00656275"/>
    <w:rsid w:val="00657702"/>
    <w:rsid w:val="006619F5"/>
    <w:rsid w:val="006629F9"/>
    <w:rsid w:val="006639F0"/>
    <w:rsid w:val="0066562D"/>
    <w:rsid w:val="0066727B"/>
    <w:rsid w:val="00670998"/>
    <w:rsid w:val="00672050"/>
    <w:rsid w:val="00673872"/>
    <w:rsid w:val="00674A34"/>
    <w:rsid w:val="00682763"/>
    <w:rsid w:val="00685515"/>
    <w:rsid w:val="0068642A"/>
    <w:rsid w:val="00694C76"/>
    <w:rsid w:val="00694F4A"/>
    <w:rsid w:val="006A029B"/>
    <w:rsid w:val="006A17A1"/>
    <w:rsid w:val="006A61C5"/>
    <w:rsid w:val="006B0F31"/>
    <w:rsid w:val="006B13BC"/>
    <w:rsid w:val="006B32FE"/>
    <w:rsid w:val="006B3959"/>
    <w:rsid w:val="006B4B58"/>
    <w:rsid w:val="006B6925"/>
    <w:rsid w:val="006B7343"/>
    <w:rsid w:val="006C026A"/>
    <w:rsid w:val="006C138D"/>
    <w:rsid w:val="006C3807"/>
    <w:rsid w:val="006C6821"/>
    <w:rsid w:val="006C7491"/>
    <w:rsid w:val="006C761B"/>
    <w:rsid w:val="006C76B5"/>
    <w:rsid w:val="006D03ED"/>
    <w:rsid w:val="006D28DC"/>
    <w:rsid w:val="006D2B37"/>
    <w:rsid w:val="006D3D81"/>
    <w:rsid w:val="006D46A1"/>
    <w:rsid w:val="006D4AA4"/>
    <w:rsid w:val="006D54FB"/>
    <w:rsid w:val="006D5816"/>
    <w:rsid w:val="006D627E"/>
    <w:rsid w:val="006D62D4"/>
    <w:rsid w:val="006E1A62"/>
    <w:rsid w:val="006E320C"/>
    <w:rsid w:val="006E3D84"/>
    <w:rsid w:val="006E527B"/>
    <w:rsid w:val="006E5C6B"/>
    <w:rsid w:val="006E6377"/>
    <w:rsid w:val="006E6640"/>
    <w:rsid w:val="006E6BBF"/>
    <w:rsid w:val="006E7529"/>
    <w:rsid w:val="006F2E4F"/>
    <w:rsid w:val="006F5CDC"/>
    <w:rsid w:val="006F6EC2"/>
    <w:rsid w:val="0070058D"/>
    <w:rsid w:val="00702854"/>
    <w:rsid w:val="00704585"/>
    <w:rsid w:val="00704A1A"/>
    <w:rsid w:val="00705833"/>
    <w:rsid w:val="00705924"/>
    <w:rsid w:val="00707B77"/>
    <w:rsid w:val="00707CE9"/>
    <w:rsid w:val="00710055"/>
    <w:rsid w:val="007103BC"/>
    <w:rsid w:val="0071184F"/>
    <w:rsid w:val="00712189"/>
    <w:rsid w:val="007134A2"/>
    <w:rsid w:val="00713FB2"/>
    <w:rsid w:val="00717B45"/>
    <w:rsid w:val="007202C4"/>
    <w:rsid w:val="0072331C"/>
    <w:rsid w:val="00726CFA"/>
    <w:rsid w:val="0072758A"/>
    <w:rsid w:val="007304D5"/>
    <w:rsid w:val="00730965"/>
    <w:rsid w:val="00732494"/>
    <w:rsid w:val="00733599"/>
    <w:rsid w:val="00733F09"/>
    <w:rsid w:val="00735753"/>
    <w:rsid w:val="00735CCC"/>
    <w:rsid w:val="007368DC"/>
    <w:rsid w:val="00736AC9"/>
    <w:rsid w:val="00741A4E"/>
    <w:rsid w:val="00742E97"/>
    <w:rsid w:val="007452E0"/>
    <w:rsid w:val="007458B0"/>
    <w:rsid w:val="00745BD4"/>
    <w:rsid w:val="00750378"/>
    <w:rsid w:val="007505FB"/>
    <w:rsid w:val="007524B0"/>
    <w:rsid w:val="00752997"/>
    <w:rsid w:val="007533EC"/>
    <w:rsid w:val="00756FEA"/>
    <w:rsid w:val="00757618"/>
    <w:rsid w:val="007614DB"/>
    <w:rsid w:val="00762606"/>
    <w:rsid w:val="00762B45"/>
    <w:rsid w:val="0076544A"/>
    <w:rsid w:val="00767402"/>
    <w:rsid w:val="0077044D"/>
    <w:rsid w:val="007708B3"/>
    <w:rsid w:val="007710A8"/>
    <w:rsid w:val="007721B6"/>
    <w:rsid w:val="00774454"/>
    <w:rsid w:val="00774ABF"/>
    <w:rsid w:val="00776E17"/>
    <w:rsid w:val="00782D07"/>
    <w:rsid w:val="007859F8"/>
    <w:rsid w:val="00791384"/>
    <w:rsid w:val="0079191B"/>
    <w:rsid w:val="00791C27"/>
    <w:rsid w:val="0079239C"/>
    <w:rsid w:val="007934F3"/>
    <w:rsid w:val="00795A80"/>
    <w:rsid w:val="00796464"/>
    <w:rsid w:val="00796F15"/>
    <w:rsid w:val="007A0403"/>
    <w:rsid w:val="007A12F5"/>
    <w:rsid w:val="007A3468"/>
    <w:rsid w:val="007A4089"/>
    <w:rsid w:val="007A5936"/>
    <w:rsid w:val="007A5B55"/>
    <w:rsid w:val="007A5F41"/>
    <w:rsid w:val="007A5FEC"/>
    <w:rsid w:val="007B08D1"/>
    <w:rsid w:val="007B161A"/>
    <w:rsid w:val="007B29C6"/>
    <w:rsid w:val="007B37E0"/>
    <w:rsid w:val="007B4EAA"/>
    <w:rsid w:val="007B790F"/>
    <w:rsid w:val="007C20FA"/>
    <w:rsid w:val="007C27D3"/>
    <w:rsid w:val="007C2C95"/>
    <w:rsid w:val="007C3541"/>
    <w:rsid w:val="007C6927"/>
    <w:rsid w:val="007C7403"/>
    <w:rsid w:val="007C767F"/>
    <w:rsid w:val="007C79FB"/>
    <w:rsid w:val="007D3891"/>
    <w:rsid w:val="007D4584"/>
    <w:rsid w:val="007D4A14"/>
    <w:rsid w:val="007E0017"/>
    <w:rsid w:val="007E0D9D"/>
    <w:rsid w:val="007E4B14"/>
    <w:rsid w:val="007E4B4C"/>
    <w:rsid w:val="007E7ABF"/>
    <w:rsid w:val="007F0907"/>
    <w:rsid w:val="007F0D24"/>
    <w:rsid w:val="007F10B5"/>
    <w:rsid w:val="007F1C81"/>
    <w:rsid w:val="007F6ABA"/>
    <w:rsid w:val="0080144C"/>
    <w:rsid w:val="00801B90"/>
    <w:rsid w:val="00804A3C"/>
    <w:rsid w:val="00804A98"/>
    <w:rsid w:val="00805C3A"/>
    <w:rsid w:val="00806020"/>
    <w:rsid w:val="008061B8"/>
    <w:rsid w:val="008100CF"/>
    <w:rsid w:val="008129B1"/>
    <w:rsid w:val="00817A12"/>
    <w:rsid w:val="0082437E"/>
    <w:rsid w:val="008259FD"/>
    <w:rsid w:val="00825B2C"/>
    <w:rsid w:val="00825D67"/>
    <w:rsid w:val="00826C1C"/>
    <w:rsid w:val="00832E86"/>
    <w:rsid w:val="00833BAB"/>
    <w:rsid w:val="00833FCC"/>
    <w:rsid w:val="008356E6"/>
    <w:rsid w:val="008360AA"/>
    <w:rsid w:val="00837412"/>
    <w:rsid w:val="00840877"/>
    <w:rsid w:val="0084180A"/>
    <w:rsid w:val="0084197A"/>
    <w:rsid w:val="00841EDA"/>
    <w:rsid w:val="00843425"/>
    <w:rsid w:val="00845708"/>
    <w:rsid w:val="00846239"/>
    <w:rsid w:val="00846484"/>
    <w:rsid w:val="008478EE"/>
    <w:rsid w:val="00852FB1"/>
    <w:rsid w:val="0085475F"/>
    <w:rsid w:val="00855C39"/>
    <w:rsid w:val="00856225"/>
    <w:rsid w:val="0085681C"/>
    <w:rsid w:val="008604B1"/>
    <w:rsid w:val="008609B1"/>
    <w:rsid w:val="008645C4"/>
    <w:rsid w:val="00867884"/>
    <w:rsid w:val="008734F5"/>
    <w:rsid w:val="00874DE6"/>
    <w:rsid w:val="00875104"/>
    <w:rsid w:val="008774D2"/>
    <w:rsid w:val="00880E40"/>
    <w:rsid w:val="00883771"/>
    <w:rsid w:val="00883C9D"/>
    <w:rsid w:val="00883EFE"/>
    <w:rsid w:val="008869CA"/>
    <w:rsid w:val="008870CD"/>
    <w:rsid w:val="008905BA"/>
    <w:rsid w:val="00891068"/>
    <w:rsid w:val="0089375C"/>
    <w:rsid w:val="0089513F"/>
    <w:rsid w:val="00895699"/>
    <w:rsid w:val="008A153F"/>
    <w:rsid w:val="008A54A9"/>
    <w:rsid w:val="008A6188"/>
    <w:rsid w:val="008A79C6"/>
    <w:rsid w:val="008B2094"/>
    <w:rsid w:val="008B28F2"/>
    <w:rsid w:val="008B444F"/>
    <w:rsid w:val="008B683E"/>
    <w:rsid w:val="008C0EF7"/>
    <w:rsid w:val="008C11A2"/>
    <w:rsid w:val="008C1D44"/>
    <w:rsid w:val="008C20F7"/>
    <w:rsid w:val="008C5F1C"/>
    <w:rsid w:val="008D06D8"/>
    <w:rsid w:val="008D136F"/>
    <w:rsid w:val="008D1B01"/>
    <w:rsid w:val="008D25D7"/>
    <w:rsid w:val="008D2A83"/>
    <w:rsid w:val="008D2D7B"/>
    <w:rsid w:val="008D2D98"/>
    <w:rsid w:val="008D44EB"/>
    <w:rsid w:val="008D6051"/>
    <w:rsid w:val="008E3E1A"/>
    <w:rsid w:val="008E4039"/>
    <w:rsid w:val="008F1AA9"/>
    <w:rsid w:val="008F7C5B"/>
    <w:rsid w:val="00901C4E"/>
    <w:rsid w:val="00904502"/>
    <w:rsid w:val="009049C0"/>
    <w:rsid w:val="00906257"/>
    <w:rsid w:val="009069D6"/>
    <w:rsid w:val="00910EF6"/>
    <w:rsid w:val="00912380"/>
    <w:rsid w:val="009124F6"/>
    <w:rsid w:val="00912BC1"/>
    <w:rsid w:val="00913B67"/>
    <w:rsid w:val="0091520D"/>
    <w:rsid w:val="00915B08"/>
    <w:rsid w:val="00921DD1"/>
    <w:rsid w:val="009225FE"/>
    <w:rsid w:val="009233F2"/>
    <w:rsid w:val="00923D31"/>
    <w:rsid w:val="00923F94"/>
    <w:rsid w:val="00926DD3"/>
    <w:rsid w:val="00935308"/>
    <w:rsid w:val="009361FD"/>
    <w:rsid w:val="009406D2"/>
    <w:rsid w:val="00940F17"/>
    <w:rsid w:val="009414C5"/>
    <w:rsid w:val="009427F2"/>
    <w:rsid w:val="00944F64"/>
    <w:rsid w:val="00945CE1"/>
    <w:rsid w:val="009467A8"/>
    <w:rsid w:val="00951A0B"/>
    <w:rsid w:val="00953383"/>
    <w:rsid w:val="009574A8"/>
    <w:rsid w:val="009574C6"/>
    <w:rsid w:val="00961795"/>
    <w:rsid w:val="009632FC"/>
    <w:rsid w:val="009648F3"/>
    <w:rsid w:val="00964D68"/>
    <w:rsid w:val="00965025"/>
    <w:rsid w:val="009654C8"/>
    <w:rsid w:val="00967E51"/>
    <w:rsid w:val="00971039"/>
    <w:rsid w:val="00971B7B"/>
    <w:rsid w:val="00971D3B"/>
    <w:rsid w:val="00972D48"/>
    <w:rsid w:val="00975E68"/>
    <w:rsid w:val="00977A95"/>
    <w:rsid w:val="00982585"/>
    <w:rsid w:val="00983FD9"/>
    <w:rsid w:val="00985DC9"/>
    <w:rsid w:val="00985FA9"/>
    <w:rsid w:val="00987A99"/>
    <w:rsid w:val="009902F7"/>
    <w:rsid w:val="0099448D"/>
    <w:rsid w:val="00995A06"/>
    <w:rsid w:val="00996BF2"/>
    <w:rsid w:val="009A222A"/>
    <w:rsid w:val="009A26CA"/>
    <w:rsid w:val="009A6FE7"/>
    <w:rsid w:val="009A7E82"/>
    <w:rsid w:val="009B1BCA"/>
    <w:rsid w:val="009B1FD2"/>
    <w:rsid w:val="009B3AEB"/>
    <w:rsid w:val="009B7AE2"/>
    <w:rsid w:val="009C06F5"/>
    <w:rsid w:val="009C3EB5"/>
    <w:rsid w:val="009C42BD"/>
    <w:rsid w:val="009C444B"/>
    <w:rsid w:val="009D3773"/>
    <w:rsid w:val="009D499D"/>
    <w:rsid w:val="009D72AA"/>
    <w:rsid w:val="009D7484"/>
    <w:rsid w:val="009E0078"/>
    <w:rsid w:val="009E14BA"/>
    <w:rsid w:val="009E2AEA"/>
    <w:rsid w:val="009E3183"/>
    <w:rsid w:val="009E36E1"/>
    <w:rsid w:val="009E3783"/>
    <w:rsid w:val="009E3EA3"/>
    <w:rsid w:val="009E3ED4"/>
    <w:rsid w:val="009F0715"/>
    <w:rsid w:val="009F1615"/>
    <w:rsid w:val="009F2F18"/>
    <w:rsid w:val="009F4352"/>
    <w:rsid w:val="009F45FE"/>
    <w:rsid w:val="009F4E4E"/>
    <w:rsid w:val="009F6717"/>
    <w:rsid w:val="00A01F6A"/>
    <w:rsid w:val="00A0321B"/>
    <w:rsid w:val="00A045CA"/>
    <w:rsid w:val="00A04DC3"/>
    <w:rsid w:val="00A0597B"/>
    <w:rsid w:val="00A05DAD"/>
    <w:rsid w:val="00A06FB4"/>
    <w:rsid w:val="00A14878"/>
    <w:rsid w:val="00A166B2"/>
    <w:rsid w:val="00A1707B"/>
    <w:rsid w:val="00A1739A"/>
    <w:rsid w:val="00A17694"/>
    <w:rsid w:val="00A17F2C"/>
    <w:rsid w:val="00A232B9"/>
    <w:rsid w:val="00A24F4B"/>
    <w:rsid w:val="00A3185E"/>
    <w:rsid w:val="00A33893"/>
    <w:rsid w:val="00A34C9A"/>
    <w:rsid w:val="00A34D89"/>
    <w:rsid w:val="00A3611E"/>
    <w:rsid w:val="00A41364"/>
    <w:rsid w:val="00A41F72"/>
    <w:rsid w:val="00A4278E"/>
    <w:rsid w:val="00A4292D"/>
    <w:rsid w:val="00A44A25"/>
    <w:rsid w:val="00A46B56"/>
    <w:rsid w:val="00A54891"/>
    <w:rsid w:val="00A54CA1"/>
    <w:rsid w:val="00A56516"/>
    <w:rsid w:val="00A62031"/>
    <w:rsid w:val="00A65D80"/>
    <w:rsid w:val="00A66849"/>
    <w:rsid w:val="00A672A7"/>
    <w:rsid w:val="00A714DD"/>
    <w:rsid w:val="00A73044"/>
    <w:rsid w:val="00A7379C"/>
    <w:rsid w:val="00A73CF1"/>
    <w:rsid w:val="00A75C9A"/>
    <w:rsid w:val="00A77EB0"/>
    <w:rsid w:val="00A835D4"/>
    <w:rsid w:val="00A853D1"/>
    <w:rsid w:val="00A85AA3"/>
    <w:rsid w:val="00A86302"/>
    <w:rsid w:val="00A86D69"/>
    <w:rsid w:val="00A90EE0"/>
    <w:rsid w:val="00A9123D"/>
    <w:rsid w:val="00A918D2"/>
    <w:rsid w:val="00A91DC0"/>
    <w:rsid w:val="00A91EEC"/>
    <w:rsid w:val="00A92534"/>
    <w:rsid w:val="00A927C4"/>
    <w:rsid w:val="00A92BCA"/>
    <w:rsid w:val="00A93B9E"/>
    <w:rsid w:val="00AA0F9E"/>
    <w:rsid w:val="00AA2734"/>
    <w:rsid w:val="00AA3015"/>
    <w:rsid w:val="00AA3E46"/>
    <w:rsid w:val="00AA4399"/>
    <w:rsid w:val="00AA4D97"/>
    <w:rsid w:val="00AA59AF"/>
    <w:rsid w:val="00AA74B7"/>
    <w:rsid w:val="00AB05D5"/>
    <w:rsid w:val="00AB0D22"/>
    <w:rsid w:val="00AB1416"/>
    <w:rsid w:val="00AB2611"/>
    <w:rsid w:val="00AB35DC"/>
    <w:rsid w:val="00AB419D"/>
    <w:rsid w:val="00AB52D0"/>
    <w:rsid w:val="00AC046B"/>
    <w:rsid w:val="00AC1E16"/>
    <w:rsid w:val="00AC1EDB"/>
    <w:rsid w:val="00AC3A0C"/>
    <w:rsid w:val="00AC3EEC"/>
    <w:rsid w:val="00AC50EE"/>
    <w:rsid w:val="00AC54F8"/>
    <w:rsid w:val="00AC57A5"/>
    <w:rsid w:val="00AC681D"/>
    <w:rsid w:val="00AC6FF1"/>
    <w:rsid w:val="00AD0F67"/>
    <w:rsid w:val="00AD1A30"/>
    <w:rsid w:val="00AD7E8E"/>
    <w:rsid w:val="00AE0487"/>
    <w:rsid w:val="00AE0F81"/>
    <w:rsid w:val="00AE330D"/>
    <w:rsid w:val="00AE7A51"/>
    <w:rsid w:val="00AF134A"/>
    <w:rsid w:val="00AF3563"/>
    <w:rsid w:val="00AF3BCE"/>
    <w:rsid w:val="00AF421C"/>
    <w:rsid w:val="00AF5C05"/>
    <w:rsid w:val="00AF7622"/>
    <w:rsid w:val="00B00238"/>
    <w:rsid w:val="00B019A9"/>
    <w:rsid w:val="00B02D58"/>
    <w:rsid w:val="00B03218"/>
    <w:rsid w:val="00B03273"/>
    <w:rsid w:val="00B039EC"/>
    <w:rsid w:val="00B07EFF"/>
    <w:rsid w:val="00B10984"/>
    <w:rsid w:val="00B109B2"/>
    <w:rsid w:val="00B10D67"/>
    <w:rsid w:val="00B110B5"/>
    <w:rsid w:val="00B14C3A"/>
    <w:rsid w:val="00B15781"/>
    <w:rsid w:val="00B167A2"/>
    <w:rsid w:val="00B174E3"/>
    <w:rsid w:val="00B17CB2"/>
    <w:rsid w:val="00B20415"/>
    <w:rsid w:val="00B2772E"/>
    <w:rsid w:val="00B27A5B"/>
    <w:rsid w:val="00B316E7"/>
    <w:rsid w:val="00B3398C"/>
    <w:rsid w:val="00B34BDE"/>
    <w:rsid w:val="00B34EF9"/>
    <w:rsid w:val="00B3578F"/>
    <w:rsid w:val="00B35DAD"/>
    <w:rsid w:val="00B36EB3"/>
    <w:rsid w:val="00B40E17"/>
    <w:rsid w:val="00B41AE8"/>
    <w:rsid w:val="00B445D0"/>
    <w:rsid w:val="00B45C4D"/>
    <w:rsid w:val="00B50E59"/>
    <w:rsid w:val="00B53FF2"/>
    <w:rsid w:val="00B54620"/>
    <w:rsid w:val="00B55CDD"/>
    <w:rsid w:val="00B56E4F"/>
    <w:rsid w:val="00B63345"/>
    <w:rsid w:val="00B63A7A"/>
    <w:rsid w:val="00B652B0"/>
    <w:rsid w:val="00B70D13"/>
    <w:rsid w:val="00B7119B"/>
    <w:rsid w:val="00B71CF1"/>
    <w:rsid w:val="00B72847"/>
    <w:rsid w:val="00B73A3D"/>
    <w:rsid w:val="00B74168"/>
    <w:rsid w:val="00B746F1"/>
    <w:rsid w:val="00B7481E"/>
    <w:rsid w:val="00B748AE"/>
    <w:rsid w:val="00B75DB2"/>
    <w:rsid w:val="00B7681E"/>
    <w:rsid w:val="00B81EB1"/>
    <w:rsid w:val="00B832A3"/>
    <w:rsid w:val="00B83AFF"/>
    <w:rsid w:val="00B84886"/>
    <w:rsid w:val="00B84958"/>
    <w:rsid w:val="00B86A9F"/>
    <w:rsid w:val="00B90E4C"/>
    <w:rsid w:val="00B910E8"/>
    <w:rsid w:val="00B93137"/>
    <w:rsid w:val="00B9328C"/>
    <w:rsid w:val="00B94CD8"/>
    <w:rsid w:val="00B96F16"/>
    <w:rsid w:val="00B97A54"/>
    <w:rsid w:val="00BA0974"/>
    <w:rsid w:val="00BA1526"/>
    <w:rsid w:val="00BA3D73"/>
    <w:rsid w:val="00BA5640"/>
    <w:rsid w:val="00BA58AC"/>
    <w:rsid w:val="00BA67DC"/>
    <w:rsid w:val="00BA69CB"/>
    <w:rsid w:val="00BA7C49"/>
    <w:rsid w:val="00BB00BA"/>
    <w:rsid w:val="00BB112B"/>
    <w:rsid w:val="00BB1B81"/>
    <w:rsid w:val="00BB1CDA"/>
    <w:rsid w:val="00BB25B1"/>
    <w:rsid w:val="00BB2CD8"/>
    <w:rsid w:val="00BB4114"/>
    <w:rsid w:val="00BB49CB"/>
    <w:rsid w:val="00BB6375"/>
    <w:rsid w:val="00BC2D71"/>
    <w:rsid w:val="00BC459E"/>
    <w:rsid w:val="00BC4AAE"/>
    <w:rsid w:val="00BC5DCD"/>
    <w:rsid w:val="00BC626B"/>
    <w:rsid w:val="00BC7397"/>
    <w:rsid w:val="00BD0628"/>
    <w:rsid w:val="00BD304A"/>
    <w:rsid w:val="00BD7FD9"/>
    <w:rsid w:val="00BE1022"/>
    <w:rsid w:val="00BE283F"/>
    <w:rsid w:val="00BE2ECA"/>
    <w:rsid w:val="00BE2EFA"/>
    <w:rsid w:val="00BE597C"/>
    <w:rsid w:val="00BE6870"/>
    <w:rsid w:val="00BE71FD"/>
    <w:rsid w:val="00BE7B19"/>
    <w:rsid w:val="00BF23A6"/>
    <w:rsid w:val="00BF3B3D"/>
    <w:rsid w:val="00BF564D"/>
    <w:rsid w:val="00BF591D"/>
    <w:rsid w:val="00BF5A87"/>
    <w:rsid w:val="00BF6341"/>
    <w:rsid w:val="00C0045E"/>
    <w:rsid w:val="00C00FC7"/>
    <w:rsid w:val="00C00FD8"/>
    <w:rsid w:val="00C05E84"/>
    <w:rsid w:val="00C073E4"/>
    <w:rsid w:val="00C07C34"/>
    <w:rsid w:val="00C13962"/>
    <w:rsid w:val="00C154E6"/>
    <w:rsid w:val="00C158B5"/>
    <w:rsid w:val="00C16E23"/>
    <w:rsid w:val="00C17ED8"/>
    <w:rsid w:val="00C2082B"/>
    <w:rsid w:val="00C20DBA"/>
    <w:rsid w:val="00C23920"/>
    <w:rsid w:val="00C33771"/>
    <w:rsid w:val="00C3411B"/>
    <w:rsid w:val="00C34230"/>
    <w:rsid w:val="00C3661B"/>
    <w:rsid w:val="00C42112"/>
    <w:rsid w:val="00C435EB"/>
    <w:rsid w:val="00C45768"/>
    <w:rsid w:val="00C4692B"/>
    <w:rsid w:val="00C46A0C"/>
    <w:rsid w:val="00C473F7"/>
    <w:rsid w:val="00C501E5"/>
    <w:rsid w:val="00C5100A"/>
    <w:rsid w:val="00C51884"/>
    <w:rsid w:val="00C549BC"/>
    <w:rsid w:val="00C54F71"/>
    <w:rsid w:val="00C56251"/>
    <w:rsid w:val="00C5667B"/>
    <w:rsid w:val="00C56A65"/>
    <w:rsid w:val="00C56FE0"/>
    <w:rsid w:val="00C6072B"/>
    <w:rsid w:val="00C6094D"/>
    <w:rsid w:val="00C62733"/>
    <w:rsid w:val="00C62FDC"/>
    <w:rsid w:val="00C63FDC"/>
    <w:rsid w:val="00C67BC7"/>
    <w:rsid w:val="00C724F5"/>
    <w:rsid w:val="00C73066"/>
    <w:rsid w:val="00C743D2"/>
    <w:rsid w:val="00C77A1F"/>
    <w:rsid w:val="00C80647"/>
    <w:rsid w:val="00C80836"/>
    <w:rsid w:val="00C81F7C"/>
    <w:rsid w:val="00C84DDE"/>
    <w:rsid w:val="00C85162"/>
    <w:rsid w:val="00C87864"/>
    <w:rsid w:val="00C90EAC"/>
    <w:rsid w:val="00C917FD"/>
    <w:rsid w:val="00C93D01"/>
    <w:rsid w:val="00C948AA"/>
    <w:rsid w:val="00C958FA"/>
    <w:rsid w:val="00C96958"/>
    <w:rsid w:val="00C96A6B"/>
    <w:rsid w:val="00CA62C0"/>
    <w:rsid w:val="00CA73CB"/>
    <w:rsid w:val="00CA79BB"/>
    <w:rsid w:val="00CB4161"/>
    <w:rsid w:val="00CB43A2"/>
    <w:rsid w:val="00CB6DE1"/>
    <w:rsid w:val="00CB7730"/>
    <w:rsid w:val="00CC12A0"/>
    <w:rsid w:val="00CC26A8"/>
    <w:rsid w:val="00CC4CED"/>
    <w:rsid w:val="00CC6EBB"/>
    <w:rsid w:val="00CD4A21"/>
    <w:rsid w:val="00CE3A6F"/>
    <w:rsid w:val="00CE63F9"/>
    <w:rsid w:val="00CF0A31"/>
    <w:rsid w:val="00CF1E87"/>
    <w:rsid w:val="00CF240F"/>
    <w:rsid w:val="00CF34FA"/>
    <w:rsid w:val="00CF4B5F"/>
    <w:rsid w:val="00CF4FAD"/>
    <w:rsid w:val="00CF5C15"/>
    <w:rsid w:val="00CF6201"/>
    <w:rsid w:val="00CF6B2F"/>
    <w:rsid w:val="00D01D5A"/>
    <w:rsid w:val="00D054A5"/>
    <w:rsid w:val="00D05CAA"/>
    <w:rsid w:val="00D05DD5"/>
    <w:rsid w:val="00D06129"/>
    <w:rsid w:val="00D114E6"/>
    <w:rsid w:val="00D1198D"/>
    <w:rsid w:val="00D15F17"/>
    <w:rsid w:val="00D161BE"/>
    <w:rsid w:val="00D162D9"/>
    <w:rsid w:val="00D17BDD"/>
    <w:rsid w:val="00D24F7B"/>
    <w:rsid w:val="00D27427"/>
    <w:rsid w:val="00D30F03"/>
    <w:rsid w:val="00D33180"/>
    <w:rsid w:val="00D34E5E"/>
    <w:rsid w:val="00D37CF1"/>
    <w:rsid w:val="00D4044B"/>
    <w:rsid w:val="00D4046C"/>
    <w:rsid w:val="00D41D2D"/>
    <w:rsid w:val="00D42638"/>
    <w:rsid w:val="00D44316"/>
    <w:rsid w:val="00D448E6"/>
    <w:rsid w:val="00D46EB9"/>
    <w:rsid w:val="00D4743F"/>
    <w:rsid w:val="00D5065B"/>
    <w:rsid w:val="00D51CBC"/>
    <w:rsid w:val="00D548E4"/>
    <w:rsid w:val="00D56338"/>
    <w:rsid w:val="00D565F8"/>
    <w:rsid w:val="00D56ABB"/>
    <w:rsid w:val="00D571B1"/>
    <w:rsid w:val="00D57944"/>
    <w:rsid w:val="00D57EFC"/>
    <w:rsid w:val="00D602E0"/>
    <w:rsid w:val="00D63EFF"/>
    <w:rsid w:val="00D64096"/>
    <w:rsid w:val="00D644BD"/>
    <w:rsid w:val="00D65500"/>
    <w:rsid w:val="00D65F8F"/>
    <w:rsid w:val="00D664A9"/>
    <w:rsid w:val="00D66520"/>
    <w:rsid w:val="00D66C5B"/>
    <w:rsid w:val="00D671E2"/>
    <w:rsid w:val="00D67E0A"/>
    <w:rsid w:val="00D712E9"/>
    <w:rsid w:val="00D7566A"/>
    <w:rsid w:val="00D85008"/>
    <w:rsid w:val="00D87426"/>
    <w:rsid w:val="00D8754D"/>
    <w:rsid w:val="00D92717"/>
    <w:rsid w:val="00D927FD"/>
    <w:rsid w:val="00D93E05"/>
    <w:rsid w:val="00D9515D"/>
    <w:rsid w:val="00DA3A08"/>
    <w:rsid w:val="00DA4715"/>
    <w:rsid w:val="00DA62DF"/>
    <w:rsid w:val="00DA7439"/>
    <w:rsid w:val="00DB0DA9"/>
    <w:rsid w:val="00DB108A"/>
    <w:rsid w:val="00DC1776"/>
    <w:rsid w:val="00DC33A5"/>
    <w:rsid w:val="00DC4340"/>
    <w:rsid w:val="00DC7898"/>
    <w:rsid w:val="00DD19F8"/>
    <w:rsid w:val="00DD1C70"/>
    <w:rsid w:val="00DD3239"/>
    <w:rsid w:val="00DE07E4"/>
    <w:rsid w:val="00DE0877"/>
    <w:rsid w:val="00DE0FF8"/>
    <w:rsid w:val="00DE1B61"/>
    <w:rsid w:val="00DE393F"/>
    <w:rsid w:val="00DE3EBF"/>
    <w:rsid w:val="00DE6D39"/>
    <w:rsid w:val="00DE7345"/>
    <w:rsid w:val="00DE76EB"/>
    <w:rsid w:val="00DF51CA"/>
    <w:rsid w:val="00DF5581"/>
    <w:rsid w:val="00DF7501"/>
    <w:rsid w:val="00DF7936"/>
    <w:rsid w:val="00E004EF"/>
    <w:rsid w:val="00E04B6F"/>
    <w:rsid w:val="00E13833"/>
    <w:rsid w:val="00E15792"/>
    <w:rsid w:val="00E17001"/>
    <w:rsid w:val="00E17406"/>
    <w:rsid w:val="00E20AE5"/>
    <w:rsid w:val="00E20F00"/>
    <w:rsid w:val="00E21297"/>
    <w:rsid w:val="00E23A38"/>
    <w:rsid w:val="00E23B6B"/>
    <w:rsid w:val="00E24721"/>
    <w:rsid w:val="00E25139"/>
    <w:rsid w:val="00E265A0"/>
    <w:rsid w:val="00E266DE"/>
    <w:rsid w:val="00E311F5"/>
    <w:rsid w:val="00E320EA"/>
    <w:rsid w:val="00E34BF8"/>
    <w:rsid w:val="00E35B1E"/>
    <w:rsid w:val="00E4250F"/>
    <w:rsid w:val="00E44A7E"/>
    <w:rsid w:val="00E46A7E"/>
    <w:rsid w:val="00E46CE8"/>
    <w:rsid w:val="00E51559"/>
    <w:rsid w:val="00E548DB"/>
    <w:rsid w:val="00E54E18"/>
    <w:rsid w:val="00E552BD"/>
    <w:rsid w:val="00E55649"/>
    <w:rsid w:val="00E56A50"/>
    <w:rsid w:val="00E5798A"/>
    <w:rsid w:val="00E57A3E"/>
    <w:rsid w:val="00E628D9"/>
    <w:rsid w:val="00E63ADA"/>
    <w:rsid w:val="00E640E0"/>
    <w:rsid w:val="00E645F6"/>
    <w:rsid w:val="00E64C5F"/>
    <w:rsid w:val="00E64DE6"/>
    <w:rsid w:val="00E664F4"/>
    <w:rsid w:val="00E70355"/>
    <w:rsid w:val="00E72855"/>
    <w:rsid w:val="00E72E5D"/>
    <w:rsid w:val="00E7377F"/>
    <w:rsid w:val="00E74710"/>
    <w:rsid w:val="00E74C1D"/>
    <w:rsid w:val="00E75ACC"/>
    <w:rsid w:val="00E81B2F"/>
    <w:rsid w:val="00E844ED"/>
    <w:rsid w:val="00E85810"/>
    <w:rsid w:val="00E85B0A"/>
    <w:rsid w:val="00E90558"/>
    <w:rsid w:val="00E909CD"/>
    <w:rsid w:val="00E92248"/>
    <w:rsid w:val="00E92BD1"/>
    <w:rsid w:val="00E935A1"/>
    <w:rsid w:val="00E93FB6"/>
    <w:rsid w:val="00E94BB6"/>
    <w:rsid w:val="00EA1715"/>
    <w:rsid w:val="00EA2EE8"/>
    <w:rsid w:val="00EA31FD"/>
    <w:rsid w:val="00EA4349"/>
    <w:rsid w:val="00EA4EE4"/>
    <w:rsid w:val="00EA5A32"/>
    <w:rsid w:val="00EB2F51"/>
    <w:rsid w:val="00EB3BF0"/>
    <w:rsid w:val="00EB4DA6"/>
    <w:rsid w:val="00EB601D"/>
    <w:rsid w:val="00EB6CCD"/>
    <w:rsid w:val="00EC0273"/>
    <w:rsid w:val="00EC25BA"/>
    <w:rsid w:val="00ED0AD5"/>
    <w:rsid w:val="00ED1DE2"/>
    <w:rsid w:val="00ED1F31"/>
    <w:rsid w:val="00ED3630"/>
    <w:rsid w:val="00ED7140"/>
    <w:rsid w:val="00ED77E5"/>
    <w:rsid w:val="00EE026E"/>
    <w:rsid w:val="00EE3C59"/>
    <w:rsid w:val="00EE5B70"/>
    <w:rsid w:val="00EE66B6"/>
    <w:rsid w:val="00EE7B48"/>
    <w:rsid w:val="00EF0AFA"/>
    <w:rsid w:val="00EF38E5"/>
    <w:rsid w:val="00EF5C33"/>
    <w:rsid w:val="00EF629C"/>
    <w:rsid w:val="00EF6508"/>
    <w:rsid w:val="00EF6AB8"/>
    <w:rsid w:val="00EF7C6E"/>
    <w:rsid w:val="00F012F4"/>
    <w:rsid w:val="00F01632"/>
    <w:rsid w:val="00F0546E"/>
    <w:rsid w:val="00F0625D"/>
    <w:rsid w:val="00F0672D"/>
    <w:rsid w:val="00F072E1"/>
    <w:rsid w:val="00F11185"/>
    <w:rsid w:val="00F11DDA"/>
    <w:rsid w:val="00F12E98"/>
    <w:rsid w:val="00F1446A"/>
    <w:rsid w:val="00F14DDA"/>
    <w:rsid w:val="00F15284"/>
    <w:rsid w:val="00F169CB"/>
    <w:rsid w:val="00F207AB"/>
    <w:rsid w:val="00F2161A"/>
    <w:rsid w:val="00F21724"/>
    <w:rsid w:val="00F21754"/>
    <w:rsid w:val="00F2198A"/>
    <w:rsid w:val="00F21A81"/>
    <w:rsid w:val="00F21CC1"/>
    <w:rsid w:val="00F22D61"/>
    <w:rsid w:val="00F2324D"/>
    <w:rsid w:val="00F2428F"/>
    <w:rsid w:val="00F25075"/>
    <w:rsid w:val="00F27444"/>
    <w:rsid w:val="00F317CA"/>
    <w:rsid w:val="00F319F3"/>
    <w:rsid w:val="00F31BFB"/>
    <w:rsid w:val="00F323E7"/>
    <w:rsid w:val="00F324D2"/>
    <w:rsid w:val="00F32A56"/>
    <w:rsid w:val="00F335E4"/>
    <w:rsid w:val="00F35509"/>
    <w:rsid w:val="00F358C3"/>
    <w:rsid w:val="00F413D8"/>
    <w:rsid w:val="00F42100"/>
    <w:rsid w:val="00F42A9B"/>
    <w:rsid w:val="00F45470"/>
    <w:rsid w:val="00F464FE"/>
    <w:rsid w:val="00F465F9"/>
    <w:rsid w:val="00F47621"/>
    <w:rsid w:val="00F570AB"/>
    <w:rsid w:val="00F571A5"/>
    <w:rsid w:val="00F57A71"/>
    <w:rsid w:val="00F61C28"/>
    <w:rsid w:val="00F61E69"/>
    <w:rsid w:val="00F633B7"/>
    <w:rsid w:val="00F645F1"/>
    <w:rsid w:val="00F6591A"/>
    <w:rsid w:val="00F70D35"/>
    <w:rsid w:val="00F7546C"/>
    <w:rsid w:val="00F77B00"/>
    <w:rsid w:val="00F83B6F"/>
    <w:rsid w:val="00F84470"/>
    <w:rsid w:val="00F857BC"/>
    <w:rsid w:val="00F90273"/>
    <w:rsid w:val="00F90BD0"/>
    <w:rsid w:val="00F91A5F"/>
    <w:rsid w:val="00F92242"/>
    <w:rsid w:val="00F93ACB"/>
    <w:rsid w:val="00F93C4F"/>
    <w:rsid w:val="00F95994"/>
    <w:rsid w:val="00FA2611"/>
    <w:rsid w:val="00FA29C9"/>
    <w:rsid w:val="00FA2D81"/>
    <w:rsid w:val="00FA3F17"/>
    <w:rsid w:val="00FA49C5"/>
    <w:rsid w:val="00FA5BD2"/>
    <w:rsid w:val="00FA6175"/>
    <w:rsid w:val="00FA6784"/>
    <w:rsid w:val="00FA7E00"/>
    <w:rsid w:val="00FB1780"/>
    <w:rsid w:val="00FB35C6"/>
    <w:rsid w:val="00FB4C5A"/>
    <w:rsid w:val="00FB5BFA"/>
    <w:rsid w:val="00FB6F79"/>
    <w:rsid w:val="00FC10F6"/>
    <w:rsid w:val="00FC33A2"/>
    <w:rsid w:val="00FC7C25"/>
    <w:rsid w:val="00FD1C2E"/>
    <w:rsid w:val="00FD3574"/>
    <w:rsid w:val="00FD602D"/>
    <w:rsid w:val="00FD60D2"/>
    <w:rsid w:val="00FD6A7D"/>
    <w:rsid w:val="00FD6FC9"/>
    <w:rsid w:val="00FE02C2"/>
    <w:rsid w:val="00FE0F5A"/>
    <w:rsid w:val="00FE2D34"/>
    <w:rsid w:val="00FF26F6"/>
    <w:rsid w:val="00FF35E2"/>
    <w:rsid w:val="00FF784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412D11F"/>
  <w15:docId w15:val="{E574E81B-4A76-4110-B683-FA3D0CF8E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1323"/>
    <w:pPr>
      <w:spacing w:after="0" w:line="240" w:lineRule="auto"/>
    </w:pPr>
    <w:rPr>
      <w:rFonts w:ascii="Times New Roman" w:eastAsia="Times New Roman" w:hAnsi="Times New Roman" w:cs="Times New Roman"/>
      <w:sz w:val="24"/>
      <w:szCs w:val="20"/>
      <w:lang w:eastAsia="en-AU"/>
    </w:rPr>
  </w:style>
  <w:style w:type="paragraph" w:styleId="Heading1">
    <w:name w:val="heading 1"/>
    <w:basedOn w:val="Normal"/>
    <w:next w:val="Normal"/>
    <w:link w:val="Heading1Char"/>
    <w:qFormat/>
    <w:rsid w:val="00C56251"/>
    <w:pPr>
      <w:keepNext/>
      <w:jc w:val="center"/>
      <w:outlineLvl w:val="0"/>
    </w:pPr>
    <w:rPr>
      <w:b/>
      <w:u w:val="single"/>
    </w:rPr>
  </w:style>
  <w:style w:type="paragraph" w:styleId="Heading2">
    <w:name w:val="heading 2"/>
    <w:basedOn w:val="Normal"/>
    <w:next w:val="Normal"/>
    <w:link w:val="Heading2Char"/>
    <w:uiPriority w:val="9"/>
    <w:semiHidden/>
    <w:unhideWhenUsed/>
    <w:qFormat/>
    <w:rsid w:val="00C20DB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56251"/>
    <w:rPr>
      <w:rFonts w:ascii="Times New Roman" w:eastAsia="Times New Roman" w:hAnsi="Times New Roman" w:cs="Times New Roman"/>
      <w:b/>
      <w:sz w:val="24"/>
      <w:szCs w:val="20"/>
      <w:u w:val="single"/>
      <w:lang w:eastAsia="en-AU"/>
    </w:rPr>
  </w:style>
  <w:style w:type="paragraph" w:styleId="Subtitle">
    <w:name w:val="Subtitle"/>
    <w:basedOn w:val="Normal"/>
    <w:link w:val="SubtitleChar"/>
    <w:qFormat/>
    <w:rsid w:val="00C56251"/>
    <w:rPr>
      <w:u w:val="single"/>
    </w:rPr>
  </w:style>
  <w:style w:type="character" w:customStyle="1" w:styleId="SubtitleChar">
    <w:name w:val="Subtitle Char"/>
    <w:basedOn w:val="DefaultParagraphFont"/>
    <w:link w:val="Subtitle"/>
    <w:rsid w:val="00C56251"/>
    <w:rPr>
      <w:rFonts w:ascii="Times New Roman" w:eastAsia="Times New Roman" w:hAnsi="Times New Roman" w:cs="Times New Roman"/>
      <w:sz w:val="24"/>
      <w:szCs w:val="20"/>
      <w:u w:val="single"/>
      <w:lang w:eastAsia="en-AU"/>
    </w:rPr>
  </w:style>
  <w:style w:type="paragraph" w:styleId="BodyText">
    <w:name w:val="Body Text"/>
    <w:basedOn w:val="Normal"/>
    <w:link w:val="BodyTextChar"/>
    <w:rsid w:val="00C56251"/>
    <w:rPr>
      <w:b/>
    </w:rPr>
  </w:style>
  <w:style w:type="character" w:customStyle="1" w:styleId="BodyTextChar">
    <w:name w:val="Body Text Char"/>
    <w:basedOn w:val="DefaultParagraphFont"/>
    <w:link w:val="BodyText"/>
    <w:rsid w:val="00C56251"/>
    <w:rPr>
      <w:rFonts w:ascii="Times New Roman" w:eastAsia="Times New Roman" w:hAnsi="Times New Roman" w:cs="Times New Roman"/>
      <w:b/>
      <w:sz w:val="24"/>
      <w:szCs w:val="20"/>
      <w:lang w:eastAsia="en-AU"/>
    </w:rPr>
  </w:style>
  <w:style w:type="paragraph" w:styleId="Header">
    <w:name w:val="header"/>
    <w:basedOn w:val="Normal"/>
    <w:link w:val="HeaderChar"/>
    <w:uiPriority w:val="99"/>
    <w:rsid w:val="00C56251"/>
    <w:pPr>
      <w:tabs>
        <w:tab w:val="center" w:pos="4153"/>
        <w:tab w:val="right" w:pos="8306"/>
      </w:tabs>
    </w:pPr>
  </w:style>
  <w:style w:type="character" w:customStyle="1" w:styleId="HeaderChar">
    <w:name w:val="Header Char"/>
    <w:basedOn w:val="DefaultParagraphFont"/>
    <w:link w:val="Header"/>
    <w:uiPriority w:val="99"/>
    <w:rsid w:val="00C56251"/>
    <w:rPr>
      <w:rFonts w:ascii="Times New Roman" w:eastAsia="Times New Roman" w:hAnsi="Times New Roman" w:cs="Times New Roman"/>
      <w:sz w:val="24"/>
      <w:szCs w:val="20"/>
      <w:lang w:eastAsia="en-AU"/>
    </w:rPr>
  </w:style>
  <w:style w:type="character" w:styleId="PageNumber">
    <w:name w:val="page number"/>
    <w:basedOn w:val="DefaultParagraphFont"/>
    <w:rsid w:val="00C56251"/>
  </w:style>
  <w:style w:type="paragraph" w:customStyle="1" w:styleId="CharCharChar">
    <w:name w:val="Char Char Char"/>
    <w:basedOn w:val="Normal"/>
    <w:rsid w:val="00C56251"/>
    <w:rPr>
      <w:rFonts w:ascii="Arial" w:hAnsi="Arial" w:cs="Arial"/>
      <w:sz w:val="22"/>
      <w:szCs w:val="22"/>
      <w:lang w:eastAsia="en-US"/>
    </w:rPr>
  </w:style>
  <w:style w:type="paragraph" w:styleId="ListParagraph">
    <w:name w:val="List Paragraph"/>
    <w:aliases w:val="List Paragraph1,Recommendation,List Paragraph11,dot point 1,Body text"/>
    <w:basedOn w:val="Normal"/>
    <w:link w:val="ListParagraphChar"/>
    <w:uiPriority w:val="34"/>
    <w:qFormat/>
    <w:rsid w:val="00AC681D"/>
    <w:pPr>
      <w:ind w:left="720"/>
      <w:contextualSpacing/>
    </w:pPr>
  </w:style>
  <w:style w:type="character" w:styleId="Hyperlink">
    <w:name w:val="Hyperlink"/>
    <w:basedOn w:val="DefaultParagraphFont"/>
    <w:uiPriority w:val="99"/>
    <w:unhideWhenUsed/>
    <w:rsid w:val="000710DD"/>
    <w:rPr>
      <w:color w:val="0000FF" w:themeColor="hyperlink"/>
      <w:u w:val="single"/>
    </w:rPr>
  </w:style>
  <w:style w:type="paragraph" w:customStyle="1" w:styleId="Default">
    <w:name w:val="Default"/>
    <w:rsid w:val="000710DD"/>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B08D1"/>
    <w:rPr>
      <w:rFonts w:ascii="Tahoma" w:hAnsi="Tahoma" w:cs="Tahoma"/>
      <w:sz w:val="16"/>
      <w:szCs w:val="16"/>
    </w:rPr>
  </w:style>
  <w:style w:type="character" w:customStyle="1" w:styleId="BalloonTextChar">
    <w:name w:val="Balloon Text Char"/>
    <w:basedOn w:val="DefaultParagraphFont"/>
    <w:link w:val="BalloonText"/>
    <w:uiPriority w:val="99"/>
    <w:semiHidden/>
    <w:rsid w:val="007B08D1"/>
    <w:rPr>
      <w:rFonts w:ascii="Tahoma" w:eastAsia="Times New Roman" w:hAnsi="Tahoma" w:cs="Tahoma"/>
      <w:sz w:val="16"/>
      <w:szCs w:val="16"/>
      <w:lang w:eastAsia="en-AU"/>
    </w:rPr>
  </w:style>
  <w:style w:type="character" w:styleId="CommentReference">
    <w:name w:val="annotation reference"/>
    <w:basedOn w:val="DefaultParagraphFont"/>
    <w:unhideWhenUsed/>
    <w:rsid w:val="003E35A8"/>
    <w:rPr>
      <w:sz w:val="16"/>
      <w:szCs w:val="16"/>
    </w:rPr>
  </w:style>
  <w:style w:type="paragraph" w:styleId="CommentText">
    <w:name w:val="annotation text"/>
    <w:basedOn w:val="Normal"/>
    <w:link w:val="CommentTextChar"/>
    <w:unhideWhenUsed/>
    <w:rsid w:val="003E35A8"/>
    <w:rPr>
      <w:sz w:val="20"/>
    </w:rPr>
  </w:style>
  <w:style w:type="character" w:customStyle="1" w:styleId="CommentTextChar">
    <w:name w:val="Comment Text Char"/>
    <w:basedOn w:val="DefaultParagraphFont"/>
    <w:link w:val="CommentText"/>
    <w:rsid w:val="003E35A8"/>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3E35A8"/>
    <w:rPr>
      <w:b/>
      <w:bCs/>
    </w:rPr>
  </w:style>
  <w:style w:type="character" w:customStyle="1" w:styleId="CommentSubjectChar">
    <w:name w:val="Comment Subject Char"/>
    <w:basedOn w:val="CommentTextChar"/>
    <w:link w:val="CommentSubject"/>
    <w:uiPriority w:val="99"/>
    <w:semiHidden/>
    <w:rsid w:val="003E35A8"/>
    <w:rPr>
      <w:rFonts w:ascii="Times New Roman" w:eastAsia="Times New Roman" w:hAnsi="Times New Roman" w:cs="Times New Roman"/>
      <w:b/>
      <w:bCs/>
      <w:sz w:val="20"/>
      <w:szCs w:val="20"/>
      <w:lang w:eastAsia="en-AU"/>
    </w:rPr>
  </w:style>
  <w:style w:type="paragraph" w:styleId="Revision">
    <w:name w:val="Revision"/>
    <w:hidden/>
    <w:uiPriority w:val="99"/>
    <w:semiHidden/>
    <w:rsid w:val="007D4A14"/>
    <w:pPr>
      <w:spacing w:after="0" w:line="240" w:lineRule="auto"/>
    </w:pPr>
    <w:rPr>
      <w:rFonts w:ascii="Times New Roman" w:eastAsia="Times New Roman" w:hAnsi="Times New Roman" w:cs="Times New Roman"/>
      <w:sz w:val="24"/>
      <w:szCs w:val="20"/>
      <w:lang w:eastAsia="en-AU"/>
    </w:rPr>
  </w:style>
  <w:style w:type="paragraph" w:styleId="Footer">
    <w:name w:val="footer"/>
    <w:basedOn w:val="Normal"/>
    <w:link w:val="FooterChar"/>
    <w:uiPriority w:val="99"/>
    <w:unhideWhenUsed/>
    <w:rsid w:val="00F90273"/>
    <w:pPr>
      <w:tabs>
        <w:tab w:val="center" w:pos="4513"/>
        <w:tab w:val="right" w:pos="9026"/>
      </w:tabs>
    </w:pPr>
  </w:style>
  <w:style w:type="character" w:customStyle="1" w:styleId="FooterChar">
    <w:name w:val="Footer Char"/>
    <w:basedOn w:val="DefaultParagraphFont"/>
    <w:link w:val="Footer"/>
    <w:uiPriority w:val="99"/>
    <w:rsid w:val="00F90273"/>
    <w:rPr>
      <w:rFonts w:ascii="Times New Roman" w:eastAsia="Times New Roman" w:hAnsi="Times New Roman" w:cs="Times New Roman"/>
      <w:sz w:val="24"/>
      <w:szCs w:val="20"/>
      <w:lang w:eastAsia="en-AU"/>
    </w:rPr>
  </w:style>
  <w:style w:type="character" w:styleId="IntenseReference">
    <w:name w:val="Intense Reference"/>
    <w:basedOn w:val="DefaultParagraphFont"/>
    <w:uiPriority w:val="32"/>
    <w:qFormat/>
    <w:rsid w:val="003A6230"/>
    <w:rPr>
      <w:b/>
      <w:bCs/>
      <w:i/>
      <w:smallCaps/>
      <w:color w:val="C0504D" w:themeColor="accent2"/>
      <w:spacing w:val="5"/>
      <w:u w:val="none"/>
    </w:rPr>
  </w:style>
  <w:style w:type="paragraph" w:customStyle="1" w:styleId="ActHead9">
    <w:name w:val="ActHead 9"/>
    <w:aliases w:val="aat"/>
    <w:basedOn w:val="Normal"/>
    <w:next w:val="Normal"/>
    <w:qFormat/>
    <w:rsid w:val="006D5816"/>
    <w:pPr>
      <w:keepNext/>
      <w:keepLines/>
      <w:spacing w:before="280"/>
      <w:ind w:left="1134" w:hanging="1134"/>
      <w:outlineLvl w:val="8"/>
    </w:pPr>
    <w:rPr>
      <w:b/>
      <w:i/>
      <w:kern w:val="28"/>
      <w:sz w:val="28"/>
    </w:rPr>
  </w:style>
  <w:style w:type="paragraph" w:styleId="NoSpacing">
    <w:name w:val="No Spacing"/>
    <w:uiPriority w:val="1"/>
    <w:qFormat/>
    <w:rsid w:val="00A1739A"/>
    <w:pPr>
      <w:spacing w:after="0" w:line="240" w:lineRule="auto"/>
    </w:pPr>
    <w:rPr>
      <w:rFonts w:ascii="Times New Roman" w:eastAsia="Times New Roman" w:hAnsi="Times New Roman" w:cs="Times New Roman"/>
      <w:sz w:val="24"/>
      <w:szCs w:val="24"/>
    </w:rPr>
  </w:style>
  <w:style w:type="paragraph" w:customStyle="1" w:styleId="ItemHead">
    <w:name w:val="ItemHead"/>
    <w:aliases w:val="ih"/>
    <w:basedOn w:val="Normal"/>
    <w:next w:val="Normal"/>
    <w:rsid w:val="00A1739A"/>
    <w:pPr>
      <w:keepNext/>
      <w:keepLines/>
      <w:spacing w:before="220"/>
      <w:ind w:left="709" w:hanging="709"/>
    </w:pPr>
    <w:rPr>
      <w:rFonts w:ascii="Arial" w:hAnsi="Arial"/>
      <w:b/>
      <w:kern w:val="28"/>
    </w:rPr>
  </w:style>
  <w:style w:type="paragraph" w:customStyle="1" w:styleId="Tablea">
    <w:name w:val="Table(a)"/>
    <w:aliases w:val="ta"/>
    <w:basedOn w:val="Normal"/>
    <w:rsid w:val="00A1739A"/>
    <w:pPr>
      <w:spacing w:before="60"/>
      <w:ind w:left="284" w:hanging="284"/>
    </w:pPr>
    <w:rPr>
      <w:sz w:val="20"/>
    </w:rPr>
  </w:style>
  <w:style w:type="paragraph" w:customStyle="1" w:styleId="Tabletext">
    <w:name w:val="Tabletext"/>
    <w:aliases w:val="tt"/>
    <w:basedOn w:val="Normal"/>
    <w:rsid w:val="00F90BD0"/>
    <w:pPr>
      <w:spacing w:before="60" w:line="240" w:lineRule="atLeast"/>
    </w:pPr>
    <w:rPr>
      <w:sz w:val="20"/>
    </w:rPr>
  </w:style>
  <w:style w:type="paragraph" w:customStyle="1" w:styleId="Item">
    <w:name w:val="Item"/>
    <w:aliases w:val="i"/>
    <w:basedOn w:val="Normal"/>
    <w:next w:val="ItemHead"/>
    <w:rsid w:val="00A41364"/>
    <w:pPr>
      <w:keepLines/>
      <w:spacing w:before="80"/>
      <w:ind w:left="709"/>
    </w:pPr>
    <w:rPr>
      <w:sz w:val="22"/>
    </w:rPr>
  </w:style>
  <w:style w:type="paragraph" w:styleId="PlainText">
    <w:name w:val="Plain Text"/>
    <w:basedOn w:val="Normal"/>
    <w:link w:val="PlainTextChar"/>
    <w:uiPriority w:val="99"/>
    <w:unhideWhenUsed/>
    <w:rsid w:val="001E5787"/>
    <w:rPr>
      <w:rFonts w:ascii="Calibri" w:eastAsiaTheme="minorHAnsi" w:hAnsi="Calibri"/>
      <w:sz w:val="22"/>
      <w:szCs w:val="22"/>
      <w:lang w:eastAsia="en-US"/>
    </w:rPr>
  </w:style>
  <w:style w:type="character" w:customStyle="1" w:styleId="PlainTextChar">
    <w:name w:val="Plain Text Char"/>
    <w:basedOn w:val="DefaultParagraphFont"/>
    <w:link w:val="PlainText"/>
    <w:uiPriority w:val="99"/>
    <w:rsid w:val="001E5787"/>
    <w:rPr>
      <w:rFonts w:ascii="Calibri" w:hAnsi="Calibri" w:cs="Times New Roman"/>
    </w:rPr>
  </w:style>
  <w:style w:type="paragraph" w:customStyle="1" w:styleId="H3">
    <w:name w:val="H3"/>
    <w:basedOn w:val="Normal"/>
    <w:next w:val="Normal"/>
    <w:rsid w:val="00FA6784"/>
    <w:pPr>
      <w:keepNext/>
      <w:spacing w:before="100" w:after="100"/>
      <w:outlineLvl w:val="3"/>
    </w:pPr>
    <w:rPr>
      <w:b/>
      <w:bCs/>
      <w:sz w:val="28"/>
      <w:szCs w:val="28"/>
      <w:lang w:eastAsia="en-US"/>
    </w:rPr>
  </w:style>
  <w:style w:type="paragraph" w:customStyle="1" w:styleId="pfparanumlevel10">
    <w:name w:val="pfparanumlevel10"/>
    <w:basedOn w:val="Normal"/>
    <w:rsid w:val="00DE0FF8"/>
    <w:pPr>
      <w:spacing w:before="100" w:beforeAutospacing="1" w:after="100" w:afterAutospacing="1"/>
    </w:pPr>
    <w:rPr>
      <w:szCs w:val="24"/>
    </w:rPr>
  </w:style>
  <w:style w:type="character" w:customStyle="1" w:styleId="apple-converted-space">
    <w:name w:val="apple-converted-space"/>
    <w:basedOn w:val="DefaultParagraphFont"/>
    <w:rsid w:val="00393E9B"/>
  </w:style>
  <w:style w:type="character" w:customStyle="1" w:styleId="ListParagraphChar">
    <w:name w:val="List Paragraph Char"/>
    <w:aliases w:val="List Paragraph1 Char,Recommendation Char,List Paragraph11 Char,dot point 1 Char,Body text Char"/>
    <w:link w:val="ListParagraph"/>
    <w:uiPriority w:val="34"/>
    <w:locked/>
    <w:rsid w:val="00E92248"/>
    <w:rPr>
      <w:rFonts w:ascii="Times New Roman" w:eastAsia="Times New Roman" w:hAnsi="Times New Roman" w:cs="Times New Roman"/>
      <w:sz w:val="24"/>
      <w:szCs w:val="20"/>
      <w:lang w:eastAsia="en-AU"/>
    </w:rPr>
  </w:style>
  <w:style w:type="paragraph" w:customStyle="1" w:styleId="r1">
    <w:name w:val="r1"/>
    <w:basedOn w:val="Normal"/>
    <w:rsid w:val="002E7D88"/>
    <w:pPr>
      <w:spacing w:before="100" w:beforeAutospacing="1" w:after="100" w:afterAutospacing="1"/>
    </w:pPr>
    <w:rPr>
      <w:szCs w:val="24"/>
    </w:rPr>
  </w:style>
  <w:style w:type="paragraph" w:customStyle="1" w:styleId="p1">
    <w:name w:val="p1"/>
    <w:basedOn w:val="Normal"/>
    <w:rsid w:val="002E7D88"/>
    <w:pPr>
      <w:spacing w:before="100" w:beforeAutospacing="1" w:after="100" w:afterAutospacing="1"/>
    </w:pPr>
    <w:rPr>
      <w:szCs w:val="24"/>
    </w:rPr>
  </w:style>
  <w:style w:type="paragraph" w:customStyle="1" w:styleId="p2">
    <w:name w:val="p2"/>
    <w:basedOn w:val="Normal"/>
    <w:rsid w:val="002E7D88"/>
    <w:pPr>
      <w:spacing w:before="100" w:beforeAutospacing="1" w:after="100" w:afterAutospacing="1"/>
    </w:pPr>
    <w:rPr>
      <w:szCs w:val="24"/>
    </w:rPr>
  </w:style>
  <w:style w:type="character" w:customStyle="1" w:styleId="Heading2Char">
    <w:name w:val="Heading 2 Char"/>
    <w:basedOn w:val="DefaultParagraphFont"/>
    <w:link w:val="Heading2"/>
    <w:uiPriority w:val="9"/>
    <w:semiHidden/>
    <w:rsid w:val="00C20DBA"/>
    <w:rPr>
      <w:rFonts w:asciiTheme="majorHAnsi" w:eastAsiaTheme="majorEastAsia" w:hAnsiTheme="majorHAnsi" w:cstheme="majorBidi"/>
      <w:b/>
      <w:bCs/>
      <w:color w:val="4F81BD" w:themeColor="accent1"/>
      <w:sz w:val="26"/>
      <w:szCs w:val="26"/>
      <w:lang w:eastAsia="en-AU"/>
    </w:rPr>
  </w:style>
  <w:style w:type="paragraph" w:customStyle="1" w:styleId="Tabletext0">
    <w:name w:val="Table text"/>
    <w:basedOn w:val="Normal"/>
    <w:link w:val="TabletextChar"/>
    <w:qFormat/>
    <w:rsid w:val="00E72E5D"/>
    <w:pPr>
      <w:keepLines/>
      <w:spacing w:before="40" w:after="40"/>
    </w:pPr>
    <w:rPr>
      <w:rFonts w:ascii="Arial Narrow" w:hAnsi="Arial Narrow" w:cs="Tahoma"/>
      <w:sz w:val="20"/>
      <w:lang w:val="en-GB" w:eastAsia="en-US"/>
    </w:rPr>
  </w:style>
  <w:style w:type="character" w:customStyle="1" w:styleId="TabletextChar">
    <w:name w:val="Table text Char"/>
    <w:link w:val="Tabletext0"/>
    <w:rsid w:val="00E72E5D"/>
    <w:rPr>
      <w:rFonts w:ascii="Arial Narrow" w:eastAsia="Times New Roman" w:hAnsi="Arial Narrow" w:cs="Tahoma"/>
      <w:sz w:val="20"/>
      <w:szCs w:val="20"/>
      <w:lang w:val="en-GB"/>
    </w:rPr>
  </w:style>
  <w:style w:type="paragraph" w:customStyle="1" w:styleId="paragraphsub">
    <w:name w:val="paragraphsub"/>
    <w:basedOn w:val="Normal"/>
    <w:rsid w:val="002427DC"/>
    <w:pPr>
      <w:spacing w:before="100" w:beforeAutospacing="1" w:after="100" w:afterAutospacing="1"/>
    </w:pPr>
    <w:rPr>
      <w:szCs w:val="24"/>
    </w:rPr>
  </w:style>
  <w:style w:type="paragraph" w:customStyle="1" w:styleId="paragraph">
    <w:name w:val="paragraph"/>
    <w:basedOn w:val="Normal"/>
    <w:rsid w:val="002427DC"/>
    <w:pPr>
      <w:spacing w:before="100" w:beforeAutospacing="1" w:after="100" w:afterAutospacing="1"/>
    </w:pPr>
    <w:rPr>
      <w:szCs w:val="24"/>
    </w:rPr>
  </w:style>
  <w:style w:type="paragraph" w:customStyle="1" w:styleId="Char1">
    <w:name w:val="Char1"/>
    <w:basedOn w:val="Normal"/>
    <w:rsid w:val="002806A1"/>
    <w:rPr>
      <w:rFonts w:ascii="Arial" w:hAnsi="Arial" w:cs="Arial"/>
      <w:sz w:val="22"/>
      <w:szCs w:val="22"/>
      <w:lang w:eastAsia="en-US"/>
    </w:rPr>
  </w:style>
  <w:style w:type="character" w:styleId="Emphasis">
    <w:name w:val="Emphasis"/>
    <w:basedOn w:val="DefaultParagraphFont"/>
    <w:uiPriority w:val="20"/>
    <w:qFormat/>
    <w:rsid w:val="00B1578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142790">
      <w:bodyDiv w:val="1"/>
      <w:marLeft w:val="0"/>
      <w:marRight w:val="0"/>
      <w:marTop w:val="0"/>
      <w:marBottom w:val="0"/>
      <w:divBdr>
        <w:top w:val="none" w:sz="0" w:space="0" w:color="auto"/>
        <w:left w:val="none" w:sz="0" w:space="0" w:color="auto"/>
        <w:bottom w:val="none" w:sz="0" w:space="0" w:color="auto"/>
        <w:right w:val="none" w:sz="0" w:space="0" w:color="auto"/>
      </w:divBdr>
    </w:div>
    <w:div w:id="236207998">
      <w:bodyDiv w:val="1"/>
      <w:marLeft w:val="0"/>
      <w:marRight w:val="0"/>
      <w:marTop w:val="0"/>
      <w:marBottom w:val="0"/>
      <w:divBdr>
        <w:top w:val="none" w:sz="0" w:space="0" w:color="auto"/>
        <w:left w:val="none" w:sz="0" w:space="0" w:color="auto"/>
        <w:bottom w:val="none" w:sz="0" w:space="0" w:color="auto"/>
        <w:right w:val="none" w:sz="0" w:space="0" w:color="auto"/>
      </w:divBdr>
    </w:div>
    <w:div w:id="321276056">
      <w:bodyDiv w:val="1"/>
      <w:marLeft w:val="0"/>
      <w:marRight w:val="0"/>
      <w:marTop w:val="0"/>
      <w:marBottom w:val="0"/>
      <w:divBdr>
        <w:top w:val="none" w:sz="0" w:space="0" w:color="auto"/>
        <w:left w:val="none" w:sz="0" w:space="0" w:color="auto"/>
        <w:bottom w:val="none" w:sz="0" w:space="0" w:color="auto"/>
        <w:right w:val="none" w:sz="0" w:space="0" w:color="auto"/>
      </w:divBdr>
    </w:div>
    <w:div w:id="336883452">
      <w:bodyDiv w:val="1"/>
      <w:marLeft w:val="0"/>
      <w:marRight w:val="0"/>
      <w:marTop w:val="0"/>
      <w:marBottom w:val="0"/>
      <w:divBdr>
        <w:top w:val="none" w:sz="0" w:space="0" w:color="auto"/>
        <w:left w:val="none" w:sz="0" w:space="0" w:color="auto"/>
        <w:bottom w:val="none" w:sz="0" w:space="0" w:color="auto"/>
        <w:right w:val="none" w:sz="0" w:space="0" w:color="auto"/>
      </w:divBdr>
    </w:div>
    <w:div w:id="427039913">
      <w:bodyDiv w:val="1"/>
      <w:marLeft w:val="0"/>
      <w:marRight w:val="0"/>
      <w:marTop w:val="0"/>
      <w:marBottom w:val="0"/>
      <w:divBdr>
        <w:top w:val="none" w:sz="0" w:space="0" w:color="auto"/>
        <w:left w:val="none" w:sz="0" w:space="0" w:color="auto"/>
        <w:bottom w:val="none" w:sz="0" w:space="0" w:color="auto"/>
        <w:right w:val="none" w:sz="0" w:space="0" w:color="auto"/>
      </w:divBdr>
    </w:div>
    <w:div w:id="491877123">
      <w:bodyDiv w:val="1"/>
      <w:marLeft w:val="0"/>
      <w:marRight w:val="0"/>
      <w:marTop w:val="0"/>
      <w:marBottom w:val="0"/>
      <w:divBdr>
        <w:top w:val="none" w:sz="0" w:space="0" w:color="auto"/>
        <w:left w:val="none" w:sz="0" w:space="0" w:color="auto"/>
        <w:bottom w:val="none" w:sz="0" w:space="0" w:color="auto"/>
        <w:right w:val="none" w:sz="0" w:space="0" w:color="auto"/>
      </w:divBdr>
    </w:div>
    <w:div w:id="535854373">
      <w:bodyDiv w:val="1"/>
      <w:marLeft w:val="0"/>
      <w:marRight w:val="0"/>
      <w:marTop w:val="0"/>
      <w:marBottom w:val="0"/>
      <w:divBdr>
        <w:top w:val="none" w:sz="0" w:space="0" w:color="auto"/>
        <w:left w:val="none" w:sz="0" w:space="0" w:color="auto"/>
        <w:bottom w:val="none" w:sz="0" w:space="0" w:color="auto"/>
        <w:right w:val="none" w:sz="0" w:space="0" w:color="auto"/>
      </w:divBdr>
    </w:div>
    <w:div w:id="631834190">
      <w:bodyDiv w:val="1"/>
      <w:marLeft w:val="0"/>
      <w:marRight w:val="0"/>
      <w:marTop w:val="0"/>
      <w:marBottom w:val="0"/>
      <w:divBdr>
        <w:top w:val="none" w:sz="0" w:space="0" w:color="auto"/>
        <w:left w:val="none" w:sz="0" w:space="0" w:color="auto"/>
        <w:bottom w:val="none" w:sz="0" w:space="0" w:color="auto"/>
        <w:right w:val="none" w:sz="0" w:space="0" w:color="auto"/>
      </w:divBdr>
    </w:div>
    <w:div w:id="638460004">
      <w:bodyDiv w:val="1"/>
      <w:marLeft w:val="0"/>
      <w:marRight w:val="0"/>
      <w:marTop w:val="0"/>
      <w:marBottom w:val="0"/>
      <w:divBdr>
        <w:top w:val="none" w:sz="0" w:space="0" w:color="auto"/>
        <w:left w:val="none" w:sz="0" w:space="0" w:color="auto"/>
        <w:bottom w:val="none" w:sz="0" w:space="0" w:color="auto"/>
        <w:right w:val="none" w:sz="0" w:space="0" w:color="auto"/>
      </w:divBdr>
    </w:div>
    <w:div w:id="801313901">
      <w:bodyDiv w:val="1"/>
      <w:marLeft w:val="0"/>
      <w:marRight w:val="0"/>
      <w:marTop w:val="0"/>
      <w:marBottom w:val="0"/>
      <w:divBdr>
        <w:top w:val="none" w:sz="0" w:space="0" w:color="auto"/>
        <w:left w:val="none" w:sz="0" w:space="0" w:color="auto"/>
        <w:bottom w:val="none" w:sz="0" w:space="0" w:color="auto"/>
        <w:right w:val="none" w:sz="0" w:space="0" w:color="auto"/>
      </w:divBdr>
      <w:divsChild>
        <w:div w:id="273826955">
          <w:marLeft w:val="0"/>
          <w:marRight w:val="0"/>
          <w:marTop w:val="0"/>
          <w:marBottom w:val="0"/>
          <w:divBdr>
            <w:top w:val="none" w:sz="0" w:space="0" w:color="auto"/>
            <w:left w:val="none" w:sz="0" w:space="0" w:color="auto"/>
            <w:bottom w:val="none" w:sz="0" w:space="0" w:color="auto"/>
            <w:right w:val="none" w:sz="0" w:space="0" w:color="auto"/>
          </w:divBdr>
          <w:divsChild>
            <w:div w:id="1544754915">
              <w:marLeft w:val="0"/>
              <w:marRight w:val="0"/>
              <w:marTop w:val="0"/>
              <w:marBottom w:val="0"/>
              <w:divBdr>
                <w:top w:val="none" w:sz="0" w:space="0" w:color="auto"/>
                <w:left w:val="none" w:sz="0" w:space="0" w:color="auto"/>
                <w:bottom w:val="none" w:sz="0" w:space="0" w:color="auto"/>
                <w:right w:val="none" w:sz="0" w:space="0" w:color="auto"/>
              </w:divBdr>
              <w:divsChild>
                <w:div w:id="274022750">
                  <w:marLeft w:val="0"/>
                  <w:marRight w:val="0"/>
                  <w:marTop w:val="0"/>
                  <w:marBottom w:val="0"/>
                  <w:divBdr>
                    <w:top w:val="none" w:sz="0" w:space="0" w:color="auto"/>
                    <w:left w:val="none" w:sz="0" w:space="0" w:color="auto"/>
                    <w:bottom w:val="none" w:sz="0" w:space="0" w:color="auto"/>
                    <w:right w:val="none" w:sz="0" w:space="0" w:color="auto"/>
                  </w:divBdr>
                  <w:divsChild>
                    <w:div w:id="1905868625">
                      <w:marLeft w:val="0"/>
                      <w:marRight w:val="0"/>
                      <w:marTop w:val="0"/>
                      <w:marBottom w:val="0"/>
                      <w:divBdr>
                        <w:top w:val="none" w:sz="0" w:space="0" w:color="auto"/>
                        <w:left w:val="none" w:sz="0" w:space="0" w:color="auto"/>
                        <w:bottom w:val="none" w:sz="0" w:space="0" w:color="auto"/>
                        <w:right w:val="none" w:sz="0" w:space="0" w:color="auto"/>
                      </w:divBdr>
                      <w:divsChild>
                        <w:div w:id="1726488885">
                          <w:marLeft w:val="0"/>
                          <w:marRight w:val="0"/>
                          <w:marTop w:val="0"/>
                          <w:marBottom w:val="0"/>
                          <w:divBdr>
                            <w:top w:val="none" w:sz="0" w:space="0" w:color="auto"/>
                            <w:left w:val="none" w:sz="0" w:space="0" w:color="auto"/>
                            <w:bottom w:val="none" w:sz="0" w:space="0" w:color="auto"/>
                            <w:right w:val="none" w:sz="0" w:space="0" w:color="auto"/>
                          </w:divBdr>
                          <w:divsChild>
                            <w:div w:id="967977015">
                              <w:marLeft w:val="0"/>
                              <w:marRight w:val="0"/>
                              <w:marTop w:val="0"/>
                              <w:marBottom w:val="0"/>
                              <w:divBdr>
                                <w:top w:val="none" w:sz="0" w:space="0" w:color="auto"/>
                                <w:left w:val="none" w:sz="0" w:space="0" w:color="auto"/>
                                <w:bottom w:val="none" w:sz="0" w:space="0" w:color="auto"/>
                                <w:right w:val="none" w:sz="0" w:space="0" w:color="auto"/>
                              </w:divBdr>
                              <w:divsChild>
                                <w:div w:id="19476708">
                                  <w:marLeft w:val="0"/>
                                  <w:marRight w:val="0"/>
                                  <w:marTop w:val="0"/>
                                  <w:marBottom w:val="0"/>
                                  <w:divBdr>
                                    <w:top w:val="none" w:sz="0" w:space="0" w:color="auto"/>
                                    <w:left w:val="none" w:sz="0" w:space="0" w:color="auto"/>
                                    <w:bottom w:val="none" w:sz="0" w:space="0" w:color="auto"/>
                                    <w:right w:val="none" w:sz="0" w:space="0" w:color="auto"/>
                                  </w:divBdr>
                                  <w:divsChild>
                                    <w:div w:id="402527790">
                                      <w:marLeft w:val="0"/>
                                      <w:marRight w:val="0"/>
                                      <w:marTop w:val="0"/>
                                      <w:marBottom w:val="0"/>
                                      <w:divBdr>
                                        <w:top w:val="none" w:sz="0" w:space="0" w:color="auto"/>
                                        <w:left w:val="none" w:sz="0" w:space="0" w:color="auto"/>
                                        <w:bottom w:val="none" w:sz="0" w:space="0" w:color="auto"/>
                                        <w:right w:val="none" w:sz="0" w:space="0" w:color="auto"/>
                                      </w:divBdr>
                                      <w:divsChild>
                                        <w:div w:id="332806679">
                                          <w:marLeft w:val="0"/>
                                          <w:marRight w:val="0"/>
                                          <w:marTop w:val="0"/>
                                          <w:marBottom w:val="0"/>
                                          <w:divBdr>
                                            <w:top w:val="none" w:sz="0" w:space="0" w:color="auto"/>
                                            <w:left w:val="none" w:sz="0" w:space="0" w:color="auto"/>
                                            <w:bottom w:val="none" w:sz="0" w:space="0" w:color="auto"/>
                                            <w:right w:val="none" w:sz="0" w:space="0" w:color="auto"/>
                                          </w:divBdr>
                                          <w:divsChild>
                                            <w:div w:id="1982274262">
                                              <w:marLeft w:val="0"/>
                                              <w:marRight w:val="0"/>
                                              <w:marTop w:val="0"/>
                                              <w:marBottom w:val="0"/>
                                              <w:divBdr>
                                                <w:top w:val="none" w:sz="0" w:space="0" w:color="auto"/>
                                                <w:left w:val="none" w:sz="0" w:space="0" w:color="auto"/>
                                                <w:bottom w:val="none" w:sz="0" w:space="0" w:color="auto"/>
                                                <w:right w:val="none" w:sz="0" w:space="0" w:color="auto"/>
                                              </w:divBdr>
                                              <w:divsChild>
                                                <w:div w:id="1525749501">
                                                  <w:marLeft w:val="0"/>
                                                  <w:marRight w:val="0"/>
                                                  <w:marTop w:val="0"/>
                                                  <w:marBottom w:val="0"/>
                                                  <w:divBdr>
                                                    <w:top w:val="none" w:sz="0" w:space="0" w:color="auto"/>
                                                    <w:left w:val="none" w:sz="0" w:space="0" w:color="auto"/>
                                                    <w:bottom w:val="none" w:sz="0" w:space="0" w:color="auto"/>
                                                    <w:right w:val="none" w:sz="0" w:space="0" w:color="auto"/>
                                                  </w:divBdr>
                                                  <w:divsChild>
                                                    <w:div w:id="293798688">
                                                      <w:marLeft w:val="0"/>
                                                      <w:marRight w:val="0"/>
                                                      <w:marTop w:val="0"/>
                                                      <w:marBottom w:val="0"/>
                                                      <w:divBdr>
                                                        <w:top w:val="none" w:sz="0" w:space="0" w:color="auto"/>
                                                        <w:left w:val="none" w:sz="0" w:space="0" w:color="auto"/>
                                                        <w:bottom w:val="none" w:sz="0" w:space="0" w:color="auto"/>
                                                        <w:right w:val="none" w:sz="0" w:space="0" w:color="auto"/>
                                                      </w:divBdr>
                                                      <w:divsChild>
                                                        <w:div w:id="181980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38234931">
      <w:bodyDiv w:val="1"/>
      <w:marLeft w:val="0"/>
      <w:marRight w:val="0"/>
      <w:marTop w:val="0"/>
      <w:marBottom w:val="0"/>
      <w:divBdr>
        <w:top w:val="none" w:sz="0" w:space="0" w:color="auto"/>
        <w:left w:val="none" w:sz="0" w:space="0" w:color="auto"/>
        <w:bottom w:val="none" w:sz="0" w:space="0" w:color="auto"/>
        <w:right w:val="none" w:sz="0" w:space="0" w:color="auto"/>
      </w:divBdr>
      <w:divsChild>
        <w:div w:id="103158440">
          <w:marLeft w:val="0"/>
          <w:marRight w:val="0"/>
          <w:marTop w:val="0"/>
          <w:marBottom w:val="0"/>
          <w:divBdr>
            <w:top w:val="none" w:sz="0" w:space="0" w:color="auto"/>
            <w:left w:val="none" w:sz="0" w:space="0" w:color="auto"/>
            <w:bottom w:val="none" w:sz="0" w:space="0" w:color="auto"/>
            <w:right w:val="none" w:sz="0" w:space="0" w:color="auto"/>
          </w:divBdr>
          <w:divsChild>
            <w:div w:id="1975720635">
              <w:marLeft w:val="0"/>
              <w:marRight w:val="0"/>
              <w:marTop w:val="0"/>
              <w:marBottom w:val="0"/>
              <w:divBdr>
                <w:top w:val="none" w:sz="0" w:space="0" w:color="auto"/>
                <w:left w:val="none" w:sz="0" w:space="0" w:color="auto"/>
                <w:bottom w:val="none" w:sz="0" w:space="0" w:color="auto"/>
                <w:right w:val="none" w:sz="0" w:space="0" w:color="auto"/>
              </w:divBdr>
              <w:divsChild>
                <w:div w:id="1285844245">
                  <w:marLeft w:val="0"/>
                  <w:marRight w:val="0"/>
                  <w:marTop w:val="0"/>
                  <w:marBottom w:val="0"/>
                  <w:divBdr>
                    <w:top w:val="none" w:sz="0" w:space="0" w:color="auto"/>
                    <w:left w:val="none" w:sz="0" w:space="0" w:color="auto"/>
                    <w:bottom w:val="none" w:sz="0" w:space="0" w:color="auto"/>
                    <w:right w:val="none" w:sz="0" w:space="0" w:color="auto"/>
                  </w:divBdr>
                  <w:divsChild>
                    <w:div w:id="1009257078">
                      <w:marLeft w:val="0"/>
                      <w:marRight w:val="0"/>
                      <w:marTop w:val="0"/>
                      <w:marBottom w:val="0"/>
                      <w:divBdr>
                        <w:top w:val="none" w:sz="0" w:space="0" w:color="auto"/>
                        <w:left w:val="none" w:sz="0" w:space="0" w:color="auto"/>
                        <w:bottom w:val="none" w:sz="0" w:space="0" w:color="auto"/>
                        <w:right w:val="none" w:sz="0" w:space="0" w:color="auto"/>
                      </w:divBdr>
                      <w:divsChild>
                        <w:div w:id="637418678">
                          <w:marLeft w:val="0"/>
                          <w:marRight w:val="0"/>
                          <w:marTop w:val="0"/>
                          <w:marBottom w:val="0"/>
                          <w:divBdr>
                            <w:top w:val="none" w:sz="0" w:space="0" w:color="auto"/>
                            <w:left w:val="none" w:sz="0" w:space="0" w:color="auto"/>
                            <w:bottom w:val="none" w:sz="0" w:space="0" w:color="auto"/>
                            <w:right w:val="none" w:sz="0" w:space="0" w:color="auto"/>
                          </w:divBdr>
                          <w:divsChild>
                            <w:div w:id="1215654006">
                              <w:marLeft w:val="0"/>
                              <w:marRight w:val="0"/>
                              <w:marTop w:val="0"/>
                              <w:marBottom w:val="0"/>
                              <w:divBdr>
                                <w:top w:val="none" w:sz="0" w:space="0" w:color="auto"/>
                                <w:left w:val="none" w:sz="0" w:space="0" w:color="auto"/>
                                <w:bottom w:val="none" w:sz="0" w:space="0" w:color="auto"/>
                                <w:right w:val="none" w:sz="0" w:space="0" w:color="auto"/>
                              </w:divBdr>
                              <w:divsChild>
                                <w:div w:id="1042360788">
                                  <w:marLeft w:val="0"/>
                                  <w:marRight w:val="0"/>
                                  <w:marTop w:val="0"/>
                                  <w:marBottom w:val="0"/>
                                  <w:divBdr>
                                    <w:top w:val="none" w:sz="0" w:space="0" w:color="auto"/>
                                    <w:left w:val="none" w:sz="0" w:space="0" w:color="auto"/>
                                    <w:bottom w:val="none" w:sz="0" w:space="0" w:color="auto"/>
                                    <w:right w:val="none" w:sz="0" w:space="0" w:color="auto"/>
                                  </w:divBdr>
                                  <w:divsChild>
                                    <w:div w:id="447772035">
                                      <w:marLeft w:val="0"/>
                                      <w:marRight w:val="0"/>
                                      <w:marTop w:val="0"/>
                                      <w:marBottom w:val="0"/>
                                      <w:divBdr>
                                        <w:top w:val="none" w:sz="0" w:space="0" w:color="auto"/>
                                        <w:left w:val="none" w:sz="0" w:space="0" w:color="auto"/>
                                        <w:bottom w:val="none" w:sz="0" w:space="0" w:color="auto"/>
                                        <w:right w:val="none" w:sz="0" w:space="0" w:color="auto"/>
                                      </w:divBdr>
                                      <w:divsChild>
                                        <w:div w:id="1059523645">
                                          <w:marLeft w:val="0"/>
                                          <w:marRight w:val="0"/>
                                          <w:marTop w:val="0"/>
                                          <w:marBottom w:val="0"/>
                                          <w:divBdr>
                                            <w:top w:val="none" w:sz="0" w:space="0" w:color="auto"/>
                                            <w:left w:val="none" w:sz="0" w:space="0" w:color="auto"/>
                                            <w:bottom w:val="none" w:sz="0" w:space="0" w:color="auto"/>
                                            <w:right w:val="none" w:sz="0" w:space="0" w:color="auto"/>
                                          </w:divBdr>
                                          <w:divsChild>
                                            <w:div w:id="910503621">
                                              <w:marLeft w:val="0"/>
                                              <w:marRight w:val="0"/>
                                              <w:marTop w:val="0"/>
                                              <w:marBottom w:val="0"/>
                                              <w:divBdr>
                                                <w:top w:val="none" w:sz="0" w:space="0" w:color="auto"/>
                                                <w:left w:val="none" w:sz="0" w:space="0" w:color="auto"/>
                                                <w:bottom w:val="none" w:sz="0" w:space="0" w:color="auto"/>
                                                <w:right w:val="none" w:sz="0" w:space="0" w:color="auto"/>
                                              </w:divBdr>
                                              <w:divsChild>
                                                <w:div w:id="1458521124">
                                                  <w:marLeft w:val="0"/>
                                                  <w:marRight w:val="0"/>
                                                  <w:marTop w:val="0"/>
                                                  <w:marBottom w:val="0"/>
                                                  <w:divBdr>
                                                    <w:top w:val="none" w:sz="0" w:space="0" w:color="auto"/>
                                                    <w:left w:val="none" w:sz="0" w:space="0" w:color="auto"/>
                                                    <w:bottom w:val="none" w:sz="0" w:space="0" w:color="auto"/>
                                                    <w:right w:val="none" w:sz="0" w:space="0" w:color="auto"/>
                                                  </w:divBdr>
                                                  <w:divsChild>
                                                    <w:div w:id="1765228687">
                                                      <w:marLeft w:val="0"/>
                                                      <w:marRight w:val="0"/>
                                                      <w:marTop w:val="0"/>
                                                      <w:marBottom w:val="0"/>
                                                      <w:divBdr>
                                                        <w:top w:val="none" w:sz="0" w:space="0" w:color="auto"/>
                                                        <w:left w:val="none" w:sz="0" w:space="0" w:color="auto"/>
                                                        <w:bottom w:val="none" w:sz="0" w:space="0" w:color="auto"/>
                                                        <w:right w:val="none" w:sz="0" w:space="0" w:color="auto"/>
                                                      </w:divBdr>
                                                      <w:divsChild>
                                                        <w:div w:id="40830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18335264">
      <w:bodyDiv w:val="1"/>
      <w:marLeft w:val="0"/>
      <w:marRight w:val="0"/>
      <w:marTop w:val="0"/>
      <w:marBottom w:val="0"/>
      <w:divBdr>
        <w:top w:val="none" w:sz="0" w:space="0" w:color="auto"/>
        <w:left w:val="none" w:sz="0" w:space="0" w:color="auto"/>
        <w:bottom w:val="none" w:sz="0" w:space="0" w:color="auto"/>
        <w:right w:val="none" w:sz="0" w:space="0" w:color="auto"/>
      </w:divBdr>
    </w:div>
    <w:div w:id="1239828909">
      <w:bodyDiv w:val="1"/>
      <w:marLeft w:val="0"/>
      <w:marRight w:val="0"/>
      <w:marTop w:val="0"/>
      <w:marBottom w:val="0"/>
      <w:divBdr>
        <w:top w:val="none" w:sz="0" w:space="0" w:color="auto"/>
        <w:left w:val="none" w:sz="0" w:space="0" w:color="auto"/>
        <w:bottom w:val="none" w:sz="0" w:space="0" w:color="auto"/>
        <w:right w:val="none" w:sz="0" w:space="0" w:color="auto"/>
      </w:divBdr>
      <w:divsChild>
        <w:div w:id="1176580735">
          <w:marLeft w:val="0"/>
          <w:marRight w:val="0"/>
          <w:marTop w:val="0"/>
          <w:marBottom w:val="0"/>
          <w:divBdr>
            <w:top w:val="none" w:sz="0" w:space="0" w:color="auto"/>
            <w:left w:val="none" w:sz="0" w:space="0" w:color="auto"/>
            <w:bottom w:val="none" w:sz="0" w:space="0" w:color="auto"/>
            <w:right w:val="none" w:sz="0" w:space="0" w:color="auto"/>
          </w:divBdr>
          <w:divsChild>
            <w:div w:id="766459630">
              <w:marLeft w:val="0"/>
              <w:marRight w:val="0"/>
              <w:marTop w:val="0"/>
              <w:marBottom w:val="0"/>
              <w:divBdr>
                <w:top w:val="none" w:sz="0" w:space="0" w:color="auto"/>
                <w:left w:val="none" w:sz="0" w:space="0" w:color="auto"/>
                <w:bottom w:val="none" w:sz="0" w:space="0" w:color="auto"/>
                <w:right w:val="none" w:sz="0" w:space="0" w:color="auto"/>
              </w:divBdr>
              <w:divsChild>
                <w:div w:id="625813468">
                  <w:marLeft w:val="0"/>
                  <w:marRight w:val="0"/>
                  <w:marTop w:val="0"/>
                  <w:marBottom w:val="0"/>
                  <w:divBdr>
                    <w:top w:val="none" w:sz="0" w:space="0" w:color="auto"/>
                    <w:left w:val="none" w:sz="0" w:space="0" w:color="auto"/>
                    <w:bottom w:val="none" w:sz="0" w:space="0" w:color="auto"/>
                    <w:right w:val="none" w:sz="0" w:space="0" w:color="auto"/>
                  </w:divBdr>
                  <w:divsChild>
                    <w:div w:id="1139759348">
                      <w:marLeft w:val="0"/>
                      <w:marRight w:val="0"/>
                      <w:marTop w:val="0"/>
                      <w:marBottom w:val="0"/>
                      <w:divBdr>
                        <w:top w:val="none" w:sz="0" w:space="0" w:color="auto"/>
                        <w:left w:val="none" w:sz="0" w:space="0" w:color="auto"/>
                        <w:bottom w:val="none" w:sz="0" w:space="0" w:color="auto"/>
                        <w:right w:val="none" w:sz="0" w:space="0" w:color="auto"/>
                      </w:divBdr>
                      <w:divsChild>
                        <w:div w:id="1328052494">
                          <w:marLeft w:val="0"/>
                          <w:marRight w:val="0"/>
                          <w:marTop w:val="0"/>
                          <w:marBottom w:val="0"/>
                          <w:divBdr>
                            <w:top w:val="none" w:sz="0" w:space="0" w:color="auto"/>
                            <w:left w:val="none" w:sz="0" w:space="0" w:color="auto"/>
                            <w:bottom w:val="none" w:sz="0" w:space="0" w:color="auto"/>
                            <w:right w:val="none" w:sz="0" w:space="0" w:color="auto"/>
                          </w:divBdr>
                          <w:divsChild>
                            <w:div w:id="2044673811">
                              <w:marLeft w:val="0"/>
                              <w:marRight w:val="0"/>
                              <w:marTop w:val="0"/>
                              <w:marBottom w:val="0"/>
                              <w:divBdr>
                                <w:top w:val="none" w:sz="0" w:space="0" w:color="auto"/>
                                <w:left w:val="none" w:sz="0" w:space="0" w:color="auto"/>
                                <w:bottom w:val="none" w:sz="0" w:space="0" w:color="auto"/>
                                <w:right w:val="none" w:sz="0" w:space="0" w:color="auto"/>
                              </w:divBdr>
                              <w:divsChild>
                                <w:div w:id="297885232">
                                  <w:marLeft w:val="0"/>
                                  <w:marRight w:val="0"/>
                                  <w:marTop w:val="0"/>
                                  <w:marBottom w:val="0"/>
                                  <w:divBdr>
                                    <w:top w:val="none" w:sz="0" w:space="0" w:color="auto"/>
                                    <w:left w:val="none" w:sz="0" w:space="0" w:color="auto"/>
                                    <w:bottom w:val="none" w:sz="0" w:space="0" w:color="auto"/>
                                    <w:right w:val="none" w:sz="0" w:space="0" w:color="auto"/>
                                  </w:divBdr>
                                  <w:divsChild>
                                    <w:div w:id="1257447096">
                                      <w:marLeft w:val="0"/>
                                      <w:marRight w:val="0"/>
                                      <w:marTop w:val="0"/>
                                      <w:marBottom w:val="0"/>
                                      <w:divBdr>
                                        <w:top w:val="none" w:sz="0" w:space="0" w:color="auto"/>
                                        <w:left w:val="none" w:sz="0" w:space="0" w:color="auto"/>
                                        <w:bottom w:val="none" w:sz="0" w:space="0" w:color="auto"/>
                                        <w:right w:val="none" w:sz="0" w:space="0" w:color="auto"/>
                                      </w:divBdr>
                                      <w:divsChild>
                                        <w:div w:id="2065593274">
                                          <w:marLeft w:val="0"/>
                                          <w:marRight w:val="0"/>
                                          <w:marTop w:val="0"/>
                                          <w:marBottom w:val="0"/>
                                          <w:divBdr>
                                            <w:top w:val="none" w:sz="0" w:space="0" w:color="auto"/>
                                            <w:left w:val="none" w:sz="0" w:space="0" w:color="auto"/>
                                            <w:bottom w:val="none" w:sz="0" w:space="0" w:color="auto"/>
                                            <w:right w:val="none" w:sz="0" w:space="0" w:color="auto"/>
                                          </w:divBdr>
                                          <w:divsChild>
                                            <w:div w:id="443311344">
                                              <w:marLeft w:val="0"/>
                                              <w:marRight w:val="0"/>
                                              <w:marTop w:val="0"/>
                                              <w:marBottom w:val="0"/>
                                              <w:divBdr>
                                                <w:top w:val="none" w:sz="0" w:space="0" w:color="auto"/>
                                                <w:left w:val="none" w:sz="0" w:space="0" w:color="auto"/>
                                                <w:bottom w:val="none" w:sz="0" w:space="0" w:color="auto"/>
                                                <w:right w:val="none" w:sz="0" w:space="0" w:color="auto"/>
                                              </w:divBdr>
                                              <w:divsChild>
                                                <w:div w:id="1393580753">
                                                  <w:marLeft w:val="0"/>
                                                  <w:marRight w:val="0"/>
                                                  <w:marTop w:val="0"/>
                                                  <w:marBottom w:val="0"/>
                                                  <w:divBdr>
                                                    <w:top w:val="none" w:sz="0" w:space="0" w:color="auto"/>
                                                    <w:left w:val="none" w:sz="0" w:space="0" w:color="auto"/>
                                                    <w:bottom w:val="none" w:sz="0" w:space="0" w:color="auto"/>
                                                    <w:right w:val="none" w:sz="0" w:space="0" w:color="auto"/>
                                                  </w:divBdr>
                                                  <w:divsChild>
                                                    <w:div w:id="2140027089">
                                                      <w:marLeft w:val="0"/>
                                                      <w:marRight w:val="0"/>
                                                      <w:marTop w:val="0"/>
                                                      <w:marBottom w:val="0"/>
                                                      <w:divBdr>
                                                        <w:top w:val="none" w:sz="0" w:space="0" w:color="auto"/>
                                                        <w:left w:val="none" w:sz="0" w:space="0" w:color="auto"/>
                                                        <w:bottom w:val="none" w:sz="0" w:space="0" w:color="auto"/>
                                                        <w:right w:val="none" w:sz="0" w:space="0" w:color="auto"/>
                                                      </w:divBdr>
                                                      <w:divsChild>
                                                        <w:div w:id="129237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70910966">
      <w:bodyDiv w:val="1"/>
      <w:marLeft w:val="0"/>
      <w:marRight w:val="0"/>
      <w:marTop w:val="0"/>
      <w:marBottom w:val="0"/>
      <w:divBdr>
        <w:top w:val="none" w:sz="0" w:space="0" w:color="auto"/>
        <w:left w:val="none" w:sz="0" w:space="0" w:color="auto"/>
        <w:bottom w:val="none" w:sz="0" w:space="0" w:color="auto"/>
        <w:right w:val="none" w:sz="0" w:space="0" w:color="auto"/>
      </w:divBdr>
      <w:divsChild>
        <w:div w:id="1771970544">
          <w:marLeft w:val="0"/>
          <w:marRight w:val="0"/>
          <w:marTop w:val="0"/>
          <w:marBottom w:val="0"/>
          <w:divBdr>
            <w:top w:val="none" w:sz="0" w:space="0" w:color="auto"/>
            <w:left w:val="none" w:sz="0" w:space="0" w:color="auto"/>
            <w:bottom w:val="none" w:sz="0" w:space="0" w:color="auto"/>
            <w:right w:val="none" w:sz="0" w:space="0" w:color="auto"/>
          </w:divBdr>
          <w:divsChild>
            <w:div w:id="1670595938">
              <w:marLeft w:val="0"/>
              <w:marRight w:val="0"/>
              <w:marTop w:val="0"/>
              <w:marBottom w:val="0"/>
              <w:divBdr>
                <w:top w:val="none" w:sz="0" w:space="0" w:color="auto"/>
                <w:left w:val="none" w:sz="0" w:space="0" w:color="auto"/>
                <w:bottom w:val="none" w:sz="0" w:space="0" w:color="auto"/>
                <w:right w:val="none" w:sz="0" w:space="0" w:color="auto"/>
              </w:divBdr>
              <w:divsChild>
                <w:div w:id="1869220343">
                  <w:marLeft w:val="0"/>
                  <w:marRight w:val="0"/>
                  <w:marTop w:val="0"/>
                  <w:marBottom w:val="0"/>
                  <w:divBdr>
                    <w:top w:val="none" w:sz="0" w:space="0" w:color="auto"/>
                    <w:left w:val="none" w:sz="0" w:space="0" w:color="auto"/>
                    <w:bottom w:val="none" w:sz="0" w:space="0" w:color="auto"/>
                    <w:right w:val="none" w:sz="0" w:space="0" w:color="auto"/>
                  </w:divBdr>
                  <w:divsChild>
                    <w:div w:id="1181161797">
                      <w:marLeft w:val="0"/>
                      <w:marRight w:val="0"/>
                      <w:marTop w:val="0"/>
                      <w:marBottom w:val="0"/>
                      <w:divBdr>
                        <w:top w:val="none" w:sz="0" w:space="0" w:color="auto"/>
                        <w:left w:val="none" w:sz="0" w:space="0" w:color="auto"/>
                        <w:bottom w:val="none" w:sz="0" w:space="0" w:color="auto"/>
                        <w:right w:val="none" w:sz="0" w:space="0" w:color="auto"/>
                      </w:divBdr>
                      <w:divsChild>
                        <w:div w:id="627928534">
                          <w:marLeft w:val="0"/>
                          <w:marRight w:val="0"/>
                          <w:marTop w:val="0"/>
                          <w:marBottom w:val="0"/>
                          <w:divBdr>
                            <w:top w:val="none" w:sz="0" w:space="0" w:color="auto"/>
                            <w:left w:val="none" w:sz="0" w:space="0" w:color="auto"/>
                            <w:bottom w:val="none" w:sz="0" w:space="0" w:color="auto"/>
                            <w:right w:val="none" w:sz="0" w:space="0" w:color="auto"/>
                          </w:divBdr>
                          <w:divsChild>
                            <w:div w:id="1983921637">
                              <w:marLeft w:val="0"/>
                              <w:marRight w:val="0"/>
                              <w:marTop w:val="0"/>
                              <w:marBottom w:val="0"/>
                              <w:divBdr>
                                <w:top w:val="none" w:sz="0" w:space="0" w:color="auto"/>
                                <w:left w:val="none" w:sz="0" w:space="0" w:color="auto"/>
                                <w:bottom w:val="none" w:sz="0" w:space="0" w:color="auto"/>
                                <w:right w:val="none" w:sz="0" w:space="0" w:color="auto"/>
                              </w:divBdr>
                              <w:divsChild>
                                <w:div w:id="385226643">
                                  <w:marLeft w:val="0"/>
                                  <w:marRight w:val="0"/>
                                  <w:marTop w:val="0"/>
                                  <w:marBottom w:val="0"/>
                                  <w:divBdr>
                                    <w:top w:val="none" w:sz="0" w:space="0" w:color="auto"/>
                                    <w:left w:val="none" w:sz="0" w:space="0" w:color="auto"/>
                                    <w:bottom w:val="none" w:sz="0" w:space="0" w:color="auto"/>
                                    <w:right w:val="none" w:sz="0" w:space="0" w:color="auto"/>
                                  </w:divBdr>
                                  <w:divsChild>
                                    <w:div w:id="3824493">
                                      <w:marLeft w:val="0"/>
                                      <w:marRight w:val="0"/>
                                      <w:marTop w:val="0"/>
                                      <w:marBottom w:val="0"/>
                                      <w:divBdr>
                                        <w:top w:val="none" w:sz="0" w:space="0" w:color="auto"/>
                                        <w:left w:val="none" w:sz="0" w:space="0" w:color="auto"/>
                                        <w:bottom w:val="none" w:sz="0" w:space="0" w:color="auto"/>
                                        <w:right w:val="none" w:sz="0" w:space="0" w:color="auto"/>
                                      </w:divBdr>
                                      <w:divsChild>
                                        <w:div w:id="1818262810">
                                          <w:marLeft w:val="0"/>
                                          <w:marRight w:val="0"/>
                                          <w:marTop w:val="0"/>
                                          <w:marBottom w:val="0"/>
                                          <w:divBdr>
                                            <w:top w:val="none" w:sz="0" w:space="0" w:color="auto"/>
                                            <w:left w:val="none" w:sz="0" w:space="0" w:color="auto"/>
                                            <w:bottom w:val="none" w:sz="0" w:space="0" w:color="auto"/>
                                            <w:right w:val="none" w:sz="0" w:space="0" w:color="auto"/>
                                          </w:divBdr>
                                          <w:divsChild>
                                            <w:div w:id="169935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3574671">
      <w:bodyDiv w:val="1"/>
      <w:marLeft w:val="0"/>
      <w:marRight w:val="0"/>
      <w:marTop w:val="0"/>
      <w:marBottom w:val="0"/>
      <w:divBdr>
        <w:top w:val="none" w:sz="0" w:space="0" w:color="auto"/>
        <w:left w:val="none" w:sz="0" w:space="0" w:color="auto"/>
        <w:bottom w:val="none" w:sz="0" w:space="0" w:color="auto"/>
        <w:right w:val="none" w:sz="0" w:space="0" w:color="auto"/>
      </w:divBdr>
      <w:divsChild>
        <w:div w:id="1430807174">
          <w:marLeft w:val="0"/>
          <w:marRight w:val="0"/>
          <w:marTop w:val="0"/>
          <w:marBottom w:val="0"/>
          <w:divBdr>
            <w:top w:val="none" w:sz="0" w:space="0" w:color="auto"/>
            <w:left w:val="none" w:sz="0" w:space="0" w:color="auto"/>
            <w:bottom w:val="none" w:sz="0" w:space="0" w:color="auto"/>
            <w:right w:val="none" w:sz="0" w:space="0" w:color="auto"/>
          </w:divBdr>
          <w:divsChild>
            <w:div w:id="243532155">
              <w:marLeft w:val="0"/>
              <w:marRight w:val="0"/>
              <w:marTop w:val="0"/>
              <w:marBottom w:val="0"/>
              <w:divBdr>
                <w:top w:val="none" w:sz="0" w:space="0" w:color="auto"/>
                <w:left w:val="none" w:sz="0" w:space="0" w:color="auto"/>
                <w:bottom w:val="none" w:sz="0" w:space="0" w:color="auto"/>
                <w:right w:val="none" w:sz="0" w:space="0" w:color="auto"/>
              </w:divBdr>
              <w:divsChild>
                <w:div w:id="1096439898">
                  <w:marLeft w:val="0"/>
                  <w:marRight w:val="0"/>
                  <w:marTop w:val="0"/>
                  <w:marBottom w:val="0"/>
                  <w:divBdr>
                    <w:top w:val="none" w:sz="0" w:space="0" w:color="auto"/>
                    <w:left w:val="none" w:sz="0" w:space="0" w:color="auto"/>
                    <w:bottom w:val="none" w:sz="0" w:space="0" w:color="auto"/>
                    <w:right w:val="none" w:sz="0" w:space="0" w:color="auto"/>
                  </w:divBdr>
                  <w:divsChild>
                    <w:div w:id="1393698627">
                      <w:marLeft w:val="0"/>
                      <w:marRight w:val="0"/>
                      <w:marTop w:val="0"/>
                      <w:marBottom w:val="0"/>
                      <w:divBdr>
                        <w:top w:val="none" w:sz="0" w:space="0" w:color="auto"/>
                        <w:left w:val="none" w:sz="0" w:space="0" w:color="auto"/>
                        <w:bottom w:val="none" w:sz="0" w:space="0" w:color="auto"/>
                        <w:right w:val="none" w:sz="0" w:space="0" w:color="auto"/>
                      </w:divBdr>
                      <w:divsChild>
                        <w:div w:id="1387797174">
                          <w:marLeft w:val="0"/>
                          <w:marRight w:val="0"/>
                          <w:marTop w:val="0"/>
                          <w:marBottom w:val="0"/>
                          <w:divBdr>
                            <w:top w:val="none" w:sz="0" w:space="0" w:color="auto"/>
                            <w:left w:val="none" w:sz="0" w:space="0" w:color="auto"/>
                            <w:bottom w:val="none" w:sz="0" w:space="0" w:color="auto"/>
                            <w:right w:val="none" w:sz="0" w:space="0" w:color="auto"/>
                          </w:divBdr>
                          <w:divsChild>
                            <w:div w:id="385106741">
                              <w:marLeft w:val="0"/>
                              <w:marRight w:val="0"/>
                              <w:marTop w:val="0"/>
                              <w:marBottom w:val="0"/>
                              <w:divBdr>
                                <w:top w:val="none" w:sz="0" w:space="0" w:color="auto"/>
                                <w:left w:val="none" w:sz="0" w:space="0" w:color="auto"/>
                                <w:bottom w:val="none" w:sz="0" w:space="0" w:color="auto"/>
                                <w:right w:val="none" w:sz="0" w:space="0" w:color="auto"/>
                              </w:divBdr>
                              <w:divsChild>
                                <w:div w:id="477966340">
                                  <w:marLeft w:val="0"/>
                                  <w:marRight w:val="0"/>
                                  <w:marTop w:val="0"/>
                                  <w:marBottom w:val="0"/>
                                  <w:divBdr>
                                    <w:top w:val="none" w:sz="0" w:space="0" w:color="auto"/>
                                    <w:left w:val="none" w:sz="0" w:space="0" w:color="auto"/>
                                    <w:bottom w:val="none" w:sz="0" w:space="0" w:color="auto"/>
                                    <w:right w:val="none" w:sz="0" w:space="0" w:color="auto"/>
                                  </w:divBdr>
                                  <w:divsChild>
                                    <w:div w:id="1847360628">
                                      <w:marLeft w:val="0"/>
                                      <w:marRight w:val="0"/>
                                      <w:marTop w:val="0"/>
                                      <w:marBottom w:val="0"/>
                                      <w:divBdr>
                                        <w:top w:val="none" w:sz="0" w:space="0" w:color="auto"/>
                                        <w:left w:val="none" w:sz="0" w:space="0" w:color="auto"/>
                                        <w:bottom w:val="none" w:sz="0" w:space="0" w:color="auto"/>
                                        <w:right w:val="none" w:sz="0" w:space="0" w:color="auto"/>
                                      </w:divBdr>
                                      <w:divsChild>
                                        <w:div w:id="1733041517">
                                          <w:marLeft w:val="0"/>
                                          <w:marRight w:val="0"/>
                                          <w:marTop w:val="0"/>
                                          <w:marBottom w:val="0"/>
                                          <w:divBdr>
                                            <w:top w:val="none" w:sz="0" w:space="0" w:color="auto"/>
                                            <w:left w:val="none" w:sz="0" w:space="0" w:color="auto"/>
                                            <w:bottom w:val="none" w:sz="0" w:space="0" w:color="auto"/>
                                            <w:right w:val="none" w:sz="0" w:space="0" w:color="auto"/>
                                          </w:divBdr>
                                          <w:divsChild>
                                            <w:div w:id="103044471">
                                              <w:marLeft w:val="0"/>
                                              <w:marRight w:val="0"/>
                                              <w:marTop w:val="0"/>
                                              <w:marBottom w:val="0"/>
                                              <w:divBdr>
                                                <w:top w:val="none" w:sz="0" w:space="0" w:color="auto"/>
                                                <w:left w:val="none" w:sz="0" w:space="0" w:color="auto"/>
                                                <w:bottom w:val="none" w:sz="0" w:space="0" w:color="auto"/>
                                                <w:right w:val="none" w:sz="0" w:space="0" w:color="auto"/>
                                              </w:divBdr>
                                              <w:divsChild>
                                                <w:div w:id="1163274133">
                                                  <w:marLeft w:val="0"/>
                                                  <w:marRight w:val="0"/>
                                                  <w:marTop w:val="0"/>
                                                  <w:marBottom w:val="0"/>
                                                  <w:divBdr>
                                                    <w:top w:val="none" w:sz="0" w:space="0" w:color="auto"/>
                                                    <w:left w:val="none" w:sz="0" w:space="0" w:color="auto"/>
                                                    <w:bottom w:val="none" w:sz="0" w:space="0" w:color="auto"/>
                                                    <w:right w:val="none" w:sz="0" w:space="0" w:color="auto"/>
                                                  </w:divBdr>
                                                  <w:divsChild>
                                                    <w:div w:id="1087457730">
                                                      <w:marLeft w:val="0"/>
                                                      <w:marRight w:val="0"/>
                                                      <w:marTop w:val="0"/>
                                                      <w:marBottom w:val="0"/>
                                                      <w:divBdr>
                                                        <w:top w:val="none" w:sz="0" w:space="0" w:color="auto"/>
                                                        <w:left w:val="none" w:sz="0" w:space="0" w:color="auto"/>
                                                        <w:bottom w:val="none" w:sz="0" w:space="0" w:color="auto"/>
                                                        <w:right w:val="none" w:sz="0" w:space="0" w:color="auto"/>
                                                      </w:divBdr>
                                                      <w:divsChild>
                                                        <w:div w:id="136440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05188248">
      <w:bodyDiv w:val="1"/>
      <w:marLeft w:val="0"/>
      <w:marRight w:val="0"/>
      <w:marTop w:val="0"/>
      <w:marBottom w:val="0"/>
      <w:divBdr>
        <w:top w:val="none" w:sz="0" w:space="0" w:color="auto"/>
        <w:left w:val="none" w:sz="0" w:space="0" w:color="auto"/>
        <w:bottom w:val="none" w:sz="0" w:space="0" w:color="auto"/>
        <w:right w:val="none" w:sz="0" w:space="0" w:color="auto"/>
      </w:divBdr>
      <w:divsChild>
        <w:div w:id="984120464">
          <w:marLeft w:val="0"/>
          <w:marRight w:val="0"/>
          <w:marTop w:val="0"/>
          <w:marBottom w:val="0"/>
          <w:divBdr>
            <w:top w:val="none" w:sz="0" w:space="0" w:color="auto"/>
            <w:left w:val="none" w:sz="0" w:space="0" w:color="auto"/>
            <w:bottom w:val="none" w:sz="0" w:space="0" w:color="auto"/>
            <w:right w:val="none" w:sz="0" w:space="0" w:color="auto"/>
          </w:divBdr>
          <w:divsChild>
            <w:div w:id="897321369">
              <w:marLeft w:val="0"/>
              <w:marRight w:val="0"/>
              <w:marTop w:val="0"/>
              <w:marBottom w:val="0"/>
              <w:divBdr>
                <w:top w:val="none" w:sz="0" w:space="0" w:color="auto"/>
                <w:left w:val="none" w:sz="0" w:space="0" w:color="auto"/>
                <w:bottom w:val="none" w:sz="0" w:space="0" w:color="auto"/>
                <w:right w:val="none" w:sz="0" w:space="0" w:color="auto"/>
              </w:divBdr>
              <w:divsChild>
                <w:div w:id="436607783">
                  <w:marLeft w:val="0"/>
                  <w:marRight w:val="0"/>
                  <w:marTop w:val="0"/>
                  <w:marBottom w:val="0"/>
                  <w:divBdr>
                    <w:top w:val="none" w:sz="0" w:space="0" w:color="auto"/>
                    <w:left w:val="none" w:sz="0" w:space="0" w:color="auto"/>
                    <w:bottom w:val="none" w:sz="0" w:space="0" w:color="auto"/>
                    <w:right w:val="none" w:sz="0" w:space="0" w:color="auto"/>
                  </w:divBdr>
                  <w:divsChild>
                    <w:div w:id="1948459361">
                      <w:marLeft w:val="0"/>
                      <w:marRight w:val="0"/>
                      <w:marTop w:val="0"/>
                      <w:marBottom w:val="0"/>
                      <w:divBdr>
                        <w:top w:val="none" w:sz="0" w:space="0" w:color="auto"/>
                        <w:left w:val="none" w:sz="0" w:space="0" w:color="auto"/>
                        <w:bottom w:val="none" w:sz="0" w:space="0" w:color="auto"/>
                        <w:right w:val="none" w:sz="0" w:space="0" w:color="auto"/>
                      </w:divBdr>
                      <w:divsChild>
                        <w:div w:id="1160123933">
                          <w:marLeft w:val="0"/>
                          <w:marRight w:val="0"/>
                          <w:marTop w:val="0"/>
                          <w:marBottom w:val="0"/>
                          <w:divBdr>
                            <w:top w:val="none" w:sz="0" w:space="0" w:color="auto"/>
                            <w:left w:val="none" w:sz="0" w:space="0" w:color="auto"/>
                            <w:bottom w:val="none" w:sz="0" w:space="0" w:color="auto"/>
                            <w:right w:val="none" w:sz="0" w:space="0" w:color="auto"/>
                          </w:divBdr>
                          <w:divsChild>
                            <w:div w:id="404030146">
                              <w:marLeft w:val="0"/>
                              <w:marRight w:val="0"/>
                              <w:marTop w:val="0"/>
                              <w:marBottom w:val="0"/>
                              <w:divBdr>
                                <w:top w:val="none" w:sz="0" w:space="0" w:color="auto"/>
                                <w:left w:val="none" w:sz="0" w:space="0" w:color="auto"/>
                                <w:bottom w:val="none" w:sz="0" w:space="0" w:color="auto"/>
                                <w:right w:val="none" w:sz="0" w:space="0" w:color="auto"/>
                              </w:divBdr>
                              <w:divsChild>
                                <w:div w:id="1450973420">
                                  <w:marLeft w:val="0"/>
                                  <w:marRight w:val="0"/>
                                  <w:marTop w:val="0"/>
                                  <w:marBottom w:val="0"/>
                                  <w:divBdr>
                                    <w:top w:val="none" w:sz="0" w:space="0" w:color="auto"/>
                                    <w:left w:val="none" w:sz="0" w:space="0" w:color="auto"/>
                                    <w:bottom w:val="none" w:sz="0" w:space="0" w:color="auto"/>
                                    <w:right w:val="none" w:sz="0" w:space="0" w:color="auto"/>
                                  </w:divBdr>
                                  <w:divsChild>
                                    <w:div w:id="2073311308">
                                      <w:marLeft w:val="0"/>
                                      <w:marRight w:val="0"/>
                                      <w:marTop w:val="0"/>
                                      <w:marBottom w:val="0"/>
                                      <w:divBdr>
                                        <w:top w:val="none" w:sz="0" w:space="0" w:color="auto"/>
                                        <w:left w:val="none" w:sz="0" w:space="0" w:color="auto"/>
                                        <w:bottom w:val="none" w:sz="0" w:space="0" w:color="auto"/>
                                        <w:right w:val="none" w:sz="0" w:space="0" w:color="auto"/>
                                      </w:divBdr>
                                      <w:divsChild>
                                        <w:div w:id="1128163872">
                                          <w:marLeft w:val="0"/>
                                          <w:marRight w:val="0"/>
                                          <w:marTop w:val="0"/>
                                          <w:marBottom w:val="0"/>
                                          <w:divBdr>
                                            <w:top w:val="none" w:sz="0" w:space="0" w:color="auto"/>
                                            <w:left w:val="none" w:sz="0" w:space="0" w:color="auto"/>
                                            <w:bottom w:val="none" w:sz="0" w:space="0" w:color="auto"/>
                                            <w:right w:val="none" w:sz="0" w:space="0" w:color="auto"/>
                                          </w:divBdr>
                                          <w:divsChild>
                                            <w:div w:id="1247154983">
                                              <w:marLeft w:val="0"/>
                                              <w:marRight w:val="0"/>
                                              <w:marTop w:val="0"/>
                                              <w:marBottom w:val="0"/>
                                              <w:divBdr>
                                                <w:top w:val="none" w:sz="0" w:space="0" w:color="auto"/>
                                                <w:left w:val="none" w:sz="0" w:space="0" w:color="auto"/>
                                                <w:bottom w:val="none" w:sz="0" w:space="0" w:color="auto"/>
                                                <w:right w:val="none" w:sz="0" w:space="0" w:color="auto"/>
                                              </w:divBdr>
                                              <w:divsChild>
                                                <w:div w:id="1570849028">
                                                  <w:marLeft w:val="0"/>
                                                  <w:marRight w:val="0"/>
                                                  <w:marTop w:val="0"/>
                                                  <w:marBottom w:val="0"/>
                                                  <w:divBdr>
                                                    <w:top w:val="none" w:sz="0" w:space="0" w:color="auto"/>
                                                    <w:left w:val="none" w:sz="0" w:space="0" w:color="auto"/>
                                                    <w:bottom w:val="none" w:sz="0" w:space="0" w:color="auto"/>
                                                    <w:right w:val="none" w:sz="0" w:space="0" w:color="auto"/>
                                                  </w:divBdr>
                                                  <w:divsChild>
                                                    <w:div w:id="386341188">
                                                      <w:marLeft w:val="0"/>
                                                      <w:marRight w:val="0"/>
                                                      <w:marTop w:val="0"/>
                                                      <w:marBottom w:val="0"/>
                                                      <w:divBdr>
                                                        <w:top w:val="none" w:sz="0" w:space="0" w:color="auto"/>
                                                        <w:left w:val="none" w:sz="0" w:space="0" w:color="auto"/>
                                                        <w:bottom w:val="none" w:sz="0" w:space="0" w:color="auto"/>
                                                        <w:right w:val="none" w:sz="0" w:space="0" w:color="auto"/>
                                                      </w:divBdr>
                                                      <w:divsChild>
                                                        <w:div w:id="45456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30549008">
      <w:bodyDiv w:val="1"/>
      <w:marLeft w:val="0"/>
      <w:marRight w:val="0"/>
      <w:marTop w:val="0"/>
      <w:marBottom w:val="0"/>
      <w:divBdr>
        <w:top w:val="none" w:sz="0" w:space="0" w:color="auto"/>
        <w:left w:val="none" w:sz="0" w:space="0" w:color="auto"/>
        <w:bottom w:val="none" w:sz="0" w:space="0" w:color="auto"/>
        <w:right w:val="none" w:sz="0" w:space="0" w:color="auto"/>
      </w:divBdr>
      <w:divsChild>
        <w:div w:id="1390496052">
          <w:marLeft w:val="0"/>
          <w:marRight w:val="0"/>
          <w:marTop w:val="0"/>
          <w:marBottom w:val="0"/>
          <w:divBdr>
            <w:top w:val="none" w:sz="0" w:space="0" w:color="auto"/>
            <w:left w:val="none" w:sz="0" w:space="0" w:color="auto"/>
            <w:bottom w:val="none" w:sz="0" w:space="0" w:color="auto"/>
            <w:right w:val="none" w:sz="0" w:space="0" w:color="auto"/>
          </w:divBdr>
          <w:divsChild>
            <w:div w:id="886139543">
              <w:marLeft w:val="0"/>
              <w:marRight w:val="0"/>
              <w:marTop w:val="0"/>
              <w:marBottom w:val="0"/>
              <w:divBdr>
                <w:top w:val="none" w:sz="0" w:space="0" w:color="auto"/>
                <w:left w:val="none" w:sz="0" w:space="0" w:color="auto"/>
                <w:bottom w:val="none" w:sz="0" w:space="0" w:color="auto"/>
                <w:right w:val="none" w:sz="0" w:space="0" w:color="auto"/>
              </w:divBdr>
              <w:divsChild>
                <w:div w:id="179438413">
                  <w:marLeft w:val="0"/>
                  <w:marRight w:val="0"/>
                  <w:marTop w:val="0"/>
                  <w:marBottom w:val="0"/>
                  <w:divBdr>
                    <w:top w:val="none" w:sz="0" w:space="0" w:color="auto"/>
                    <w:left w:val="none" w:sz="0" w:space="0" w:color="auto"/>
                    <w:bottom w:val="none" w:sz="0" w:space="0" w:color="auto"/>
                    <w:right w:val="none" w:sz="0" w:space="0" w:color="auto"/>
                  </w:divBdr>
                  <w:divsChild>
                    <w:div w:id="1630434823">
                      <w:marLeft w:val="0"/>
                      <w:marRight w:val="0"/>
                      <w:marTop w:val="0"/>
                      <w:marBottom w:val="0"/>
                      <w:divBdr>
                        <w:top w:val="none" w:sz="0" w:space="0" w:color="auto"/>
                        <w:left w:val="none" w:sz="0" w:space="0" w:color="auto"/>
                        <w:bottom w:val="none" w:sz="0" w:space="0" w:color="auto"/>
                        <w:right w:val="none" w:sz="0" w:space="0" w:color="auto"/>
                      </w:divBdr>
                      <w:divsChild>
                        <w:div w:id="1692028225">
                          <w:marLeft w:val="0"/>
                          <w:marRight w:val="0"/>
                          <w:marTop w:val="0"/>
                          <w:marBottom w:val="0"/>
                          <w:divBdr>
                            <w:top w:val="none" w:sz="0" w:space="0" w:color="auto"/>
                            <w:left w:val="none" w:sz="0" w:space="0" w:color="auto"/>
                            <w:bottom w:val="none" w:sz="0" w:space="0" w:color="auto"/>
                            <w:right w:val="none" w:sz="0" w:space="0" w:color="auto"/>
                          </w:divBdr>
                          <w:divsChild>
                            <w:div w:id="2044092035">
                              <w:marLeft w:val="0"/>
                              <w:marRight w:val="0"/>
                              <w:marTop w:val="0"/>
                              <w:marBottom w:val="0"/>
                              <w:divBdr>
                                <w:top w:val="none" w:sz="0" w:space="0" w:color="auto"/>
                                <w:left w:val="none" w:sz="0" w:space="0" w:color="auto"/>
                                <w:bottom w:val="none" w:sz="0" w:space="0" w:color="auto"/>
                                <w:right w:val="none" w:sz="0" w:space="0" w:color="auto"/>
                              </w:divBdr>
                              <w:divsChild>
                                <w:div w:id="13112888">
                                  <w:marLeft w:val="0"/>
                                  <w:marRight w:val="0"/>
                                  <w:marTop w:val="0"/>
                                  <w:marBottom w:val="0"/>
                                  <w:divBdr>
                                    <w:top w:val="none" w:sz="0" w:space="0" w:color="auto"/>
                                    <w:left w:val="none" w:sz="0" w:space="0" w:color="auto"/>
                                    <w:bottom w:val="none" w:sz="0" w:space="0" w:color="auto"/>
                                    <w:right w:val="none" w:sz="0" w:space="0" w:color="auto"/>
                                  </w:divBdr>
                                  <w:divsChild>
                                    <w:div w:id="237832743">
                                      <w:marLeft w:val="0"/>
                                      <w:marRight w:val="0"/>
                                      <w:marTop w:val="0"/>
                                      <w:marBottom w:val="0"/>
                                      <w:divBdr>
                                        <w:top w:val="none" w:sz="0" w:space="0" w:color="auto"/>
                                        <w:left w:val="none" w:sz="0" w:space="0" w:color="auto"/>
                                        <w:bottom w:val="none" w:sz="0" w:space="0" w:color="auto"/>
                                        <w:right w:val="none" w:sz="0" w:space="0" w:color="auto"/>
                                      </w:divBdr>
                                      <w:divsChild>
                                        <w:div w:id="2081907773">
                                          <w:marLeft w:val="0"/>
                                          <w:marRight w:val="0"/>
                                          <w:marTop w:val="0"/>
                                          <w:marBottom w:val="0"/>
                                          <w:divBdr>
                                            <w:top w:val="none" w:sz="0" w:space="0" w:color="auto"/>
                                            <w:left w:val="none" w:sz="0" w:space="0" w:color="auto"/>
                                            <w:bottom w:val="none" w:sz="0" w:space="0" w:color="auto"/>
                                            <w:right w:val="none" w:sz="0" w:space="0" w:color="auto"/>
                                          </w:divBdr>
                                          <w:divsChild>
                                            <w:div w:id="674964602">
                                              <w:marLeft w:val="0"/>
                                              <w:marRight w:val="0"/>
                                              <w:marTop w:val="0"/>
                                              <w:marBottom w:val="0"/>
                                              <w:divBdr>
                                                <w:top w:val="none" w:sz="0" w:space="0" w:color="auto"/>
                                                <w:left w:val="none" w:sz="0" w:space="0" w:color="auto"/>
                                                <w:bottom w:val="none" w:sz="0" w:space="0" w:color="auto"/>
                                                <w:right w:val="none" w:sz="0" w:space="0" w:color="auto"/>
                                              </w:divBdr>
                                              <w:divsChild>
                                                <w:div w:id="1363507356">
                                                  <w:marLeft w:val="0"/>
                                                  <w:marRight w:val="0"/>
                                                  <w:marTop w:val="0"/>
                                                  <w:marBottom w:val="0"/>
                                                  <w:divBdr>
                                                    <w:top w:val="none" w:sz="0" w:space="0" w:color="auto"/>
                                                    <w:left w:val="none" w:sz="0" w:space="0" w:color="auto"/>
                                                    <w:bottom w:val="none" w:sz="0" w:space="0" w:color="auto"/>
                                                    <w:right w:val="none" w:sz="0" w:space="0" w:color="auto"/>
                                                  </w:divBdr>
                                                  <w:divsChild>
                                                    <w:div w:id="430204740">
                                                      <w:marLeft w:val="0"/>
                                                      <w:marRight w:val="0"/>
                                                      <w:marTop w:val="0"/>
                                                      <w:marBottom w:val="0"/>
                                                      <w:divBdr>
                                                        <w:top w:val="none" w:sz="0" w:space="0" w:color="auto"/>
                                                        <w:left w:val="none" w:sz="0" w:space="0" w:color="auto"/>
                                                        <w:bottom w:val="none" w:sz="0" w:space="0" w:color="auto"/>
                                                        <w:right w:val="none" w:sz="0" w:space="0" w:color="auto"/>
                                                      </w:divBdr>
                                                      <w:divsChild>
                                                        <w:div w:id="74071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32266222">
      <w:bodyDiv w:val="1"/>
      <w:marLeft w:val="0"/>
      <w:marRight w:val="0"/>
      <w:marTop w:val="0"/>
      <w:marBottom w:val="0"/>
      <w:divBdr>
        <w:top w:val="none" w:sz="0" w:space="0" w:color="auto"/>
        <w:left w:val="none" w:sz="0" w:space="0" w:color="auto"/>
        <w:bottom w:val="none" w:sz="0" w:space="0" w:color="auto"/>
        <w:right w:val="none" w:sz="0" w:space="0" w:color="auto"/>
      </w:divBdr>
    </w:div>
    <w:div w:id="1753771209">
      <w:bodyDiv w:val="1"/>
      <w:marLeft w:val="0"/>
      <w:marRight w:val="0"/>
      <w:marTop w:val="0"/>
      <w:marBottom w:val="0"/>
      <w:divBdr>
        <w:top w:val="none" w:sz="0" w:space="0" w:color="auto"/>
        <w:left w:val="none" w:sz="0" w:space="0" w:color="auto"/>
        <w:bottom w:val="none" w:sz="0" w:space="0" w:color="auto"/>
        <w:right w:val="none" w:sz="0" w:space="0" w:color="auto"/>
      </w:divBdr>
    </w:div>
    <w:div w:id="1779527508">
      <w:bodyDiv w:val="1"/>
      <w:marLeft w:val="0"/>
      <w:marRight w:val="0"/>
      <w:marTop w:val="0"/>
      <w:marBottom w:val="0"/>
      <w:divBdr>
        <w:top w:val="none" w:sz="0" w:space="0" w:color="auto"/>
        <w:left w:val="none" w:sz="0" w:space="0" w:color="auto"/>
        <w:bottom w:val="none" w:sz="0" w:space="0" w:color="auto"/>
        <w:right w:val="none" w:sz="0" w:space="0" w:color="auto"/>
      </w:divBdr>
      <w:divsChild>
        <w:div w:id="503862300">
          <w:marLeft w:val="0"/>
          <w:marRight w:val="0"/>
          <w:marTop w:val="0"/>
          <w:marBottom w:val="0"/>
          <w:divBdr>
            <w:top w:val="none" w:sz="0" w:space="0" w:color="auto"/>
            <w:left w:val="none" w:sz="0" w:space="0" w:color="auto"/>
            <w:bottom w:val="none" w:sz="0" w:space="0" w:color="auto"/>
            <w:right w:val="none" w:sz="0" w:space="0" w:color="auto"/>
          </w:divBdr>
          <w:divsChild>
            <w:div w:id="475269338">
              <w:marLeft w:val="0"/>
              <w:marRight w:val="0"/>
              <w:marTop w:val="0"/>
              <w:marBottom w:val="0"/>
              <w:divBdr>
                <w:top w:val="none" w:sz="0" w:space="0" w:color="auto"/>
                <w:left w:val="none" w:sz="0" w:space="0" w:color="auto"/>
                <w:bottom w:val="none" w:sz="0" w:space="0" w:color="auto"/>
                <w:right w:val="none" w:sz="0" w:space="0" w:color="auto"/>
              </w:divBdr>
              <w:divsChild>
                <w:div w:id="1530218358">
                  <w:marLeft w:val="0"/>
                  <w:marRight w:val="0"/>
                  <w:marTop w:val="0"/>
                  <w:marBottom w:val="0"/>
                  <w:divBdr>
                    <w:top w:val="none" w:sz="0" w:space="0" w:color="auto"/>
                    <w:left w:val="none" w:sz="0" w:space="0" w:color="auto"/>
                    <w:bottom w:val="none" w:sz="0" w:space="0" w:color="auto"/>
                    <w:right w:val="none" w:sz="0" w:space="0" w:color="auto"/>
                  </w:divBdr>
                  <w:divsChild>
                    <w:div w:id="130052536">
                      <w:marLeft w:val="0"/>
                      <w:marRight w:val="0"/>
                      <w:marTop w:val="0"/>
                      <w:marBottom w:val="0"/>
                      <w:divBdr>
                        <w:top w:val="none" w:sz="0" w:space="0" w:color="auto"/>
                        <w:left w:val="none" w:sz="0" w:space="0" w:color="auto"/>
                        <w:bottom w:val="none" w:sz="0" w:space="0" w:color="auto"/>
                        <w:right w:val="none" w:sz="0" w:space="0" w:color="auto"/>
                      </w:divBdr>
                      <w:divsChild>
                        <w:div w:id="1829900626">
                          <w:marLeft w:val="0"/>
                          <w:marRight w:val="0"/>
                          <w:marTop w:val="0"/>
                          <w:marBottom w:val="0"/>
                          <w:divBdr>
                            <w:top w:val="none" w:sz="0" w:space="0" w:color="auto"/>
                            <w:left w:val="none" w:sz="0" w:space="0" w:color="auto"/>
                            <w:bottom w:val="none" w:sz="0" w:space="0" w:color="auto"/>
                            <w:right w:val="none" w:sz="0" w:space="0" w:color="auto"/>
                          </w:divBdr>
                          <w:divsChild>
                            <w:div w:id="644506637">
                              <w:marLeft w:val="0"/>
                              <w:marRight w:val="0"/>
                              <w:marTop w:val="0"/>
                              <w:marBottom w:val="0"/>
                              <w:divBdr>
                                <w:top w:val="none" w:sz="0" w:space="0" w:color="auto"/>
                                <w:left w:val="none" w:sz="0" w:space="0" w:color="auto"/>
                                <w:bottom w:val="none" w:sz="0" w:space="0" w:color="auto"/>
                                <w:right w:val="none" w:sz="0" w:space="0" w:color="auto"/>
                              </w:divBdr>
                              <w:divsChild>
                                <w:div w:id="39401690">
                                  <w:marLeft w:val="0"/>
                                  <w:marRight w:val="0"/>
                                  <w:marTop w:val="0"/>
                                  <w:marBottom w:val="0"/>
                                  <w:divBdr>
                                    <w:top w:val="none" w:sz="0" w:space="0" w:color="auto"/>
                                    <w:left w:val="none" w:sz="0" w:space="0" w:color="auto"/>
                                    <w:bottom w:val="none" w:sz="0" w:space="0" w:color="auto"/>
                                    <w:right w:val="none" w:sz="0" w:space="0" w:color="auto"/>
                                  </w:divBdr>
                                  <w:divsChild>
                                    <w:div w:id="2081437236">
                                      <w:marLeft w:val="0"/>
                                      <w:marRight w:val="0"/>
                                      <w:marTop w:val="0"/>
                                      <w:marBottom w:val="0"/>
                                      <w:divBdr>
                                        <w:top w:val="none" w:sz="0" w:space="0" w:color="auto"/>
                                        <w:left w:val="none" w:sz="0" w:space="0" w:color="auto"/>
                                        <w:bottom w:val="none" w:sz="0" w:space="0" w:color="auto"/>
                                        <w:right w:val="none" w:sz="0" w:space="0" w:color="auto"/>
                                      </w:divBdr>
                                      <w:divsChild>
                                        <w:div w:id="1334064365">
                                          <w:marLeft w:val="0"/>
                                          <w:marRight w:val="0"/>
                                          <w:marTop w:val="0"/>
                                          <w:marBottom w:val="0"/>
                                          <w:divBdr>
                                            <w:top w:val="none" w:sz="0" w:space="0" w:color="auto"/>
                                            <w:left w:val="none" w:sz="0" w:space="0" w:color="auto"/>
                                            <w:bottom w:val="none" w:sz="0" w:space="0" w:color="auto"/>
                                            <w:right w:val="none" w:sz="0" w:space="0" w:color="auto"/>
                                          </w:divBdr>
                                          <w:divsChild>
                                            <w:div w:id="217471535">
                                              <w:marLeft w:val="0"/>
                                              <w:marRight w:val="0"/>
                                              <w:marTop w:val="0"/>
                                              <w:marBottom w:val="0"/>
                                              <w:divBdr>
                                                <w:top w:val="none" w:sz="0" w:space="0" w:color="auto"/>
                                                <w:left w:val="none" w:sz="0" w:space="0" w:color="auto"/>
                                                <w:bottom w:val="none" w:sz="0" w:space="0" w:color="auto"/>
                                                <w:right w:val="none" w:sz="0" w:space="0" w:color="auto"/>
                                              </w:divBdr>
                                              <w:divsChild>
                                                <w:div w:id="1016224928">
                                                  <w:marLeft w:val="0"/>
                                                  <w:marRight w:val="0"/>
                                                  <w:marTop w:val="0"/>
                                                  <w:marBottom w:val="0"/>
                                                  <w:divBdr>
                                                    <w:top w:val="none" w:sz="0" w:space="0" w:color="auto"/>
                                                    <w:left w:val="none" w:sz="0" w:space="0" w:color="auto"/>
                                                    <w:bottom w:val="none" w:sz="0" w:space="0" w:color="auto"/>
                                                    <w:right w:val="none" w:sz="0" w:space="0" w:color="auto"/>
                                                  </w:divBdr>
                                                  <w:divsChild>
                                                    <w:div w:id="2094550326">
                                                      <w:marLeft w:val="0"/>
                                                      <w:marRight w:val="0"/>
                                                      <w:marTop w:val="0"/>
                                                      <w:marBottom w:val="0"/>
                                                      <w:divBdr>
                                                        <w:top w:val="none" w:sz="0" w:space="0" w:color="auto"/>
                                                        <w:left w:val="none" w:sz="0" w:space="0" w:color="auto"/>
                                                        <w:bottom w:val="none" w:sz="0" w:space="0" w:color="auto"/>
                                                        <w:right w:val="none" w:sz="0" w:space="0" w:color="auto"/>
                                                      </w:divBdr>
                                                      <w:divsChild>
                                                        <w:div w:id="23529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85463814">
      <w:bodyDiv w:val="1"/>
      <w:marLeft w:val="0"/>
      <w:marRight w:val="0"/>
      <w:marTop w:val="0"/>
      <w:marBottom w:val="0"/>
      <w:divBdr>
        <w:top w:val="none" w:sz="0" w:space="0" w:color="auto"/>
        <w:left w:val="none" w:sz="0" w:space="0" w:color="auto"/>
        <w:bottom w:val="none" w:sz="0" w:space="0" w:color="auto"/>
        <w:right w:val="none" w:sz="0" w:space="0" w:color="auto"/>
      </w:divBdr>
    </w:div>
    <w:div w:id="1836220264">
      <w:bodyDiv w:val="1"/>
      <w:marLeft w:val="0"/>
      <w:marRight w:val="0"/>
      <w:marTop w:val="0"/>
      <w:marBottom w:val="0"/>
      <w:divBdr>
        <w:top w:val="none" w:sz="0" w:space="0" w:color="auto"/>
        <w:left w:val="none" w:sz="0" w:space="0" w:color="auto"/>
        <w:bottom w:val="none" w:sz="0" w:space="0" w:color="auto"/>
        <w:right w:val="none" w:sz="0" w:space="0" w:color="auto"/>
      </w:divBdr>
    </w:div>
    <w:div w:id="2139831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4509C3D779E74F86554752994C3202" ma:contentTypeVersion="1" ma:contentTypeDescription="Create a new document." ma:contentTypeScope="" ma:versionID="cc38fab6ee7250a1ec76ade8891a3b1a">
  <xsd:schema xmlns:xsd="http://www.w3.org/2001/XMLSchema" xmlns:xs="http://www.w3.org/2001/XMLSchema" xmlns:p="http://schemas.microsoft.com/office/2006/metadata/properties" xmlns:ns2="8bd9498f-fa43-4ae2-8bb2-4c55a71680ad" targetNamespace="http://schemas.microsoft.com/office/2006/metadata/properties" ma:root="true" ma:fieldsID="242b35c5b343e57f5b0319ba383165ed" ns2:_="">
    <xsd:import namespace="8bd9498f-fa43-4ae2-8bb2-4c55a71680ad"/>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9498f-fa43-4ae2-8bb2-4c55a71680ad" elementFormDefault="qualified">
    <xsd:import namespace="http://schemas.microsoft.com/office/2006/documentManagement/types"/>
    <xsd:import namespace="http://schemas.microsoft.com/office/infopath/2007/PartnerControls"/>
    <xsd:element name="Category" ma:index="8" nillable="true" ma:displayName="Category" ma:description="brief description of document type" ma:internalName="Category">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ategory xmlns="8bd9498f-fa43-4ae2-8bb2-4c55a71680ad"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9BCE3D-4D7E-4F2D-BAFC-F3760C0233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9498f-fa43-4ae2-8bb2-4c55a71680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13C29E-D991-4DB9-A13E-7C1AA632889D}">
  <ds:schemaRefs>
    <ds:schemaRef ds:uri="http://schemas.microsoft.com/office/2006/metadata/properties"/>
    <ds:schemaRef ds:uri="http://schemas.microsoft.com/office/infopath/2007/PartnerControls"/>
    <ds:schemaRef ds:uri="8bd9498f-fa43-4ae2-8bb2-4c55a71680ad"/>
  </ds:schemaRefs>
</ds:datastoreItem>
</file>

<file path=customXml/itemProps3.xml><?xml version="1.0" encoding="utf-8"?>
<ds:datastoreItem xmlns:ds="http://schemas.openxmlformats.org/officeDocument/2006/customXml" ds:itemID="{5C3244E2-8503-4AE0-8C25-B2A32E5088FD}">
  <ds:schemaRefs>
    <ds:schemaRef ds:uri="http://schemas.openxmlformats.org/officeDocument/2006/bibliography"/>
  </ds:schemaRefs>
</ds:datastoreItem>
</file>

<file path=customXml/itemProps4.xml><?xml version="1.0" encoding="utf-8"?>
<ds:datastoreItem xmlns:ds="http://schemas.openxmlformats.org/officeDocument/2006/customXml" ds:itemID="{92302654-7AE2-4618-95A8-D8C9C03930B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207</TotalTime>
  <Pages>7</Pages>
  <Words>2317</Words>
  <Characters>13212</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
    </vt:vector>
  </TitlesOfParts>
  <Company>Dept Health And Ageing</Company>
  <LinksUpToDate>false</LinksUpToDate>
  <CharactersWithSpaces>15499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Nicoli Carol</dc:creator>
  <cp:lastModifiedBy>NG, Jason</cp:lastModifiedBy>
  <cp:revision>34</cp:revision>
  <cp:lastPrinted>2019-09-23T06:46:00Z</cp:lastPrinted>
  <dcterms:created xsi:type="dcterms:W3CDTF">2021-11-10T23:00:00Z</dcterms:created>
  <dcterms:modified xsi:type="dcterms:W3CDTF">2021-12-16T23:35:00Z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y fmtid="{D5CDD505-2E9C-101B-9397-08002B2CF9AE}" pid="8" name="ContentTypeId">
    <vt:lpwstr>0x010100DD4509C3D779E74F86554752994C3202</vt:lpwstr>
  </property>
</Properties>
</file>