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34F0C" w14:textId="474B88CC" w:rsidR="0005028B" w:rsidRPr="00BB0F5A" w:rsidRDefault="00BB0F5A" w:rsidP="001669C9">
      <w:pPr>
        <w:spacing w:line="276" w:lineRule="auto"/>
        <w:jc w:val="center"/>
        <w:rPr>
          <w:rFonts w:ascii="Times New Roman" w:hAnsi="Times New Roman" w:cs="Times New Roman"/>
          <w:b/>
          <w:bCs/>
          <w:i/>
          <w:iCs/>
          <w:sz w:val="24"/>
          <w:szCs w:val="24"/>
        </w:rPr>
      </w:pPr>
      <w:r w:rsidRPr="00BB0F5A">
        <w:rPr>
          <w:rFonts w:ascii="Times New Roman" w:hAnsi="Times New Roman" w:cs="Times New Roman"/>
          <w:b/>
          <w:bCs/>
          <w:i/>
          <w:iCs/>
          <w:sz w:val="24"/>
          <w:szCs w:val="24"/>
        </w:rPr>
        <w:t>EXPLANATORY STATEMENT</w:t>
      </w:r>
    </w:p>
    <w:p w14:paraId="71D4D56E" w14:textId="20985968" w:rsidR="00BB0F5A" w:rsidRPr="00BB0F5A" w:rsidRDefault="00BB0F5A" w:rsidP="00BB0F5A">
      <w:pPr>
        <w:spacing w:line="276" w:lineRule="auto"/>
        <w:jc w:val="center"/>
        <w:rPr>
          <w:rFonts w:ascii="Times New Roman" w:hAnsi="Times New Roman" w:cs="Times New Roman"/>
          <w:i/>
          <w:iCs/>
          <w:sz w:val="24"/>
          <w:szCs w:val="24"/>
        </w:rPr>
      </w:pPr>
      <w:r w:rsidRPr="00BB0F5A">
        <w:rPr>
          <w:rFonts w:ascii="Times New Roman" w:hAnsi="Times New Roman" w:cs="Times New Roman"/>
          <w:i/>
          <w:iCs/>
          <w:sz w:val="24"/>
          <w:szCs w:val="24"/>
        </w:rPr>
        <w:t>Renewable Energy (Method for Solar Water Heaters) Amendment (</w:t>
      </w:r>
      <w:r w:rsidR="00707B97">
        <w:rPr>
          <w:rFonts w:ascii="Times New Roman" w:hAnsi="Times New Roman" w:cs="Times New Roman"/>
          <w:i/>
          <w:iCs/>
          <w:sz w:val="24"/>
          <w:szCs w:val="24"/>
        </w:rPr>
        <w:t>Energy Savings</w:t>
      </w:r>
      <w:r w:rsidRPr="00BB0F5A">
        <w:rPr>
          <w:rFonts w:ascii="Times New Roman" w:hAnsi="Times New Roman" w:cs="Times New Roman"/>
          <w:i/>
          <w:iCs/>
          <w:sz w:val="24"/>
          <w:szCs w:val="24"/>
        </w:rPr>
        <w:t>)</w:t>
      </w:r>
      <w:r w:rsidR="007E7898">
        <w:rPr>
          <w:rFonts w:ascii="Times New Roman" w:hAnsi="Times New Roman" w:cs="Times New Roman"/>
          <w:i/>
          <w:iCs/>
          <w:sz w:val="24"/>
          <w:szCs w:val="24"/>
        </w:rPr>
        <w:t xml:space="preserve"> Determination</w:t>
      </w:r>
      <w:r w:rsidRPr="00BB0F5A">
        <w:rPr>
          <w:rFonts w:ascii="Times New Roman" w:hAnsi="Times New Roman" w:cs="Times New Roman"/>
          <w:i/>
          <w:iCs/>
          <w:sz w:val="24"/>
          <w:szCs w:val="24"/>
        </w:rPr>
        <w:t xml:space="preserve"> 2021</w:t>
      </w:r>
    </w:p>
    <w:p w14:paraId="26CDD353" w14:textId="4E233729" w:rsidR="0005028B" w:rsidRPr="001669C9" w:rsidRDefault="00BB0F5A" w:rsidP="001669C9">
      <w:pPr>
        <w:spacing w:line="276" w:lineRule="auto"/>
        <w:jc w:val="center"/>
        <w:rPr>
          <w:rFonts w:ascii="Times New Roman" w:hAnsi="Times New Roman" w:cs="Times New Roman"/>
          <w:sz w:val="24"/>
          <w:szCs w:val="24"/>
        </w:rPr>
      </w:pPr>
      <w:r w:rsidRPr="00BB0F5A">
        <w:rPr>
          <w:rFonts w:ascii="Times New Roman" w:hAnsi="Times New Roman" w:cs="Times New Roman"/>
          <w:sz w:val="24"/>
          <w:szCs w:val="24"/>
        </w:rPr>
        <w:t xml:space="preserve">This determination is made by the Clean Energy Regulator (the Regulator) under subregulation 19B(1) of the </w:t>
      </w:r>
      <w:r w:rsidRPr="00BB0F5A">
        <w:rPr>
          <w:rFonts w:ascii="Times New Roman" w:hAnsi="Times New Roman" w:cs="Times New Roman"/>
          <w:i/>
          <w:iCs/>
          <w:sz w:val="24"/>
          <w:szCs w:val="24"/>
        </w:rPr>
        <w:t>Renewable Energy (Electricity) Regulations 2001</w:t>
      </w:r>
      <w:r w:rsidRPr="00BB0F5A">
        <w:rPr>
          <w:rFonts w:ascii="Times New Roman" w:hAnsi="Times New Roman" w:cs="Times New Roman"/>
          <w:sz w:val="24"/>
          <w:szCs w:val="24"/>
        </w:rPr>
        <w:t xml:space="preserve"> (the Regulations). </w:t>
      </w:r>
    </w:p>
    <w:p w14:paraId="1B28080C" w14:textId="6209A362" w:rsidR="00BB0F5A" w:rsidRDefault="00BB0F5A" w:rsidP="00BB0F5A">
      <w:pPr>
        <w:spacing w:line="276" w:lineRule="auto"/>
        <w:rPr>
          <w:rFonts w:ascii="Times New Roman" w:hAnsi="Times New Roman" w:cs="Times New Roman"/>
          <w:b/>
          <w:bCs/>
          <w:sz w:val="24"/>
          <w:szCs w:val="24"/>
        </w:rPr>
      </w:pPr>
      <w:r w:rsidRPr="00BB0F5A">
        <w:rPr>
          <w:rFonts w:ascii="Times New Roman" w:hAnsi="Times New Roman" w:cs="Times New Roman"/>
          <w:b/>
          <w:bCs/>
          <w:sz w:val="24"/>
          <w:szCs w:val="24"/>
        </w:rPr>
        <w:t xml:space="preserve">Legislative provisions </w:t>
      </w:r>
    </w:p>
    <w:p w14:paraId="1D5CD6EB" w14:textId="0D298C08" w:rsidR="00BB0F5A" w:rsidRPr="00BB0F5A" w:rsidRDefault="00BB0F5A" w:rsidP="001669C9">
      <w:pPr>
        <w:spacing w:line="276" w:lineRule="auto"/>
        <w:jc w:val="both"/>
        <w:rPr>
          <w:rFonts w:ascii="Times New Roman" w:hAnsi="Times New Roman" w:cs="Times New Roman"/>
          <w:b/>
          <w:bCs/>
          <w:sz w:val="24"/>
          <w:szCs w:val="24"/>
        </w:rPr>
      </w:pPr>
      <w:r w:rsidRPr="00BB0F5A">
        <w:rPr>
          <w:rFonts w:ascii="Times New Roman" w:hAnsi="Times New Roman" w:cs="Times New Roman"/>
          <w:i/>
          <w:iCs/>
          <w:sz w:val="24"/>
          <w:szCs w:val="24"/>
        </w:rPr>
        <w:t>The Renewable Energy (Electricity) Act 2000</w:t>
      </w:r>
      <w:r w:rsidRPr="00BB0F5A">
        <w:rPr>
          <w:rFonts w:ascii="Times New Roman" w:hAnsi="Times New Roman" w:cs="Times New Roman"/>
          <w:sz w:val="24"/>
          <w:szCs w:val="24"/>
        </w:rPr>
        <w:t xml:space="preserve"> (the Act) grants a right to create small-scale technology certificates (‘certificates’) in relation to the installation of a solar water heater. Subsection 22(1) of the Act provides that the number of certificates that may be created for a particular installation of a solar water heater is to be determined in accordance with the </w:t>
      </w:r>
      <w:r w:rsidR="0017051C">
        <w:rPr>
          <w:rFonts w:ascii="Times New Roman" w:hAnsi="Times New Roman" w:cs="Times New Roman"/>
          <w:sz w:val="24"/>
          <w:szCs w:val="24"/>
        </w:rPr>
        <w:t>R</w:t>
      </w:r>
      <w:r w:rsidR="00E378BD">
        <w:rPr>
          <w:rFonts w:ascii="Times New Roman" w:hAnsi="Times New Roman" w:cs="Times New Roman"/>
          <w:sz w:val="24"/>
          <w:szCs w:val="24"/>
        </w:rPr>
        <w:t>e</w:t>
      </w:r>
      <w:r w:rsidRPr="00BB0F5A">
        <w:rPr>
          <w:rFonts w:ascii="Times New Roman" w:hAnsi="Times New Roman" w:cs="Times New Roman"/>
          <w:sz w:val="24"/>
          <w:szCs w:val="24"/>
        </w:rPr>
        <w:t xml:space="preserve">gulations. Subsection 22(2) of the Act permits </w:t>
      </w:r>
      <w:r w:rsidR="00E378BD">
        <w:rPr>
          <w:rFonts w:ascii="Times New Roman" w:hAnsi="Times New Roman" w:cs="Times New Roman"/>
          <w:sz w:val="24"/>
          <w:szCs w:val="24"/>
        </w:rPr>
        <w:t>R</w:t>
      </w:r>
      <w:r w:rsidRPr="00BB0F5A">
        <w:rPr>
          <w:rFonts w:ascii="Times New Roman" w:hAnsi="Times New Roman" w:cs="Times New Roman"/>
          <w:sz w:val="24"/>
          <w:szCs w:val="24"/>
        </w:rPr>
        <w:t>egulations to be made for the purposes of subsection 22(1) that may, among other things, provide for the Regulator to determine the number of certificates that may be created for a particular installation in accordance with a legislative instrument made by the Regulator.</w:t>
      </w:r>
    </w:p>
    <w:p w14:paraId="0FA286F8" w14:textId="77777777" w:rsidR="00BB0F5A" w:rsidRPr="00BB0F5A" w:rsidRDefault="00BB0F5A" w:rsidP="001669C9">
      <w:pPr>
        <w:spacing w:line="276" w:lineRule="auto"/>
        <w:jc w:val="both"/>
        <w:rPr>
          <w:rFonts w:ascii="Times New Roman" w:hAnsi="Times New Roman" w:cs="Times New Roman"/>
          <w:sz w:val="24"/>
          <w:szCs w:val="24"/>
        </w:rPr>
      </w:pPr>
      <w:r w:rsidRPr="00BB0F5A">
        <w:rPr>
          <w:rFonts w:ascii="Times New Roman" w:hAnsi="Times New Roman" w:cs="Times New Roman"/>
          <w:sz w:val="24"/>
          <w:szCs w:val="24"/>
        </w:rPr>
        <w:t>Regulation 19A of the Regulations provides that the number of certificates that may be created for a particular model of solar water heater in a particular zone and installation period is the number set out in the Register of solar water heaters applicable to the model, zone and period. The Register of solar water heaters is established and kept by the Regulator under regulation 19C of the Regulations.</w:t>
      </w:r>
    </w:p>
    <w:p w14:paraId="69209ADA" w14:textId="0705F33B" w:rsidR="00BB0F5A" w:rsidRDefault="00BB0F5A" w:rsidP="001669C9">
      <w:pPr>
        <w:spacing w:line="276" w:lineRule="auto"/>
        <w:jc w:val="both"/>
        <w:rPr>
          <w:rFonts w:ascii="Times New Roman" w:hAnsi="Times New Roman" w:cs="Times New Roman"/>
          <w:sz w:val="24"/>
          <w:szCs w:val="24"/>
        </w:rPr>
      </w:pPr>
      <w:r w:rsidRPr="00BB0F5A">
        <w:rPr>
          <w:rFonts w:ascii="Times New Roman" w:hAnsi="Times New Roman" w:cs="Times New Roman"/>
          <w:sz w:val="24"/>
          <w:szCs w:val="24"/>
        </w:rPr>
        <w:t>For the purposes of subsection 22(1) of the Act, subregulation 19B(1) of the Regulations permits the Regulator to determine the method to be used to determine the number of certificates that may be created for a particular model of solar water heater. In making the determination, the Regulator must have regard to the methods set out in the Australian Standards, as in force at the time, listed in Schedule 4 of the Regulations.</w:t>
      </w:r>
    </w:p>
    <w:p w14:paraId="0A50CDB8" w14:textId="27355042" w:rsidR="00CF287E" w:rsidRDefault="00CF287E" w:rsidP="001669C9">
      <w:pPr>
        <w:spacing w:line="276" w:lineRule="auto"/>
        <w:jc w:val="both"/>
        <w:rPr>
          <w:rFonts w:ascii="Times New Roman" w:hAnsi="Times New Roman" w:cs="Times New Roman"/>
          <w:sz w:val="24"/>
          <w:szCs w:val="24"/>
        </w:rPr>
      </w:pPr>
      <w:r w:rsidRPr="00BB0F5A">
        <w:rPr>
          <w:rFonts w:ascii="Times New Roman" w:hAnsi="Times New Roman" w:cs="Times New Roman"/>
          <w:sz w:val="24"/>
          <w:szCs w:val="24"/>
        </w:rPr>
        <w:t>Regulation 19BA provides that when an instrument under subregulation 19B(1) of the Regulations is in force, the Regulator must determine the number of certificates that may be created for a solar water heater in each of the zone mentioned in paragraph 19C(3)(b) in accordance with the determination.</w:t>
      </w:r>
    </w:p>
    <w:p w14:paraId="3C1F8684" w14:textId="77777777" w:rsidR="00640FAC" w:rsidRDefault="00982A6E" w:rsidP="001669C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Subregulation 19B(2) of the Regulations </w:t>
      </w:r>
      <w:r w:rsidR="00320652">
        <w:rPr>
          <w:rFonts w:ascii="Times New Roman" w:hAnsi="Times New Roman" w:cs="Times New Roman"/>
          <w:sz w:val="24"/>
          <w:szCs w:val="24"/>
        </w:rPr>
        <w:t>outlines</w:t>
      </w:r>
      <w:r>
        <w:rPr>
          <w:rFonts w:ascii="Times New Roman" w:hAnsi="Times New Roman" w:cs="Times New Roman"/>
          <w:sz w:val="24"/>
          <w:szCs w:val="24"/>
        </w:rPr>
        <w:t xml:space="preserve"> the determination must provide that the number of certificates that may be created is to be worked out by reference to the difference, over the number of years for the solar water heater in 19BE, between</w:t>
      </w:r>
      <w:r w:rsidR="00640FAC">
        <w:rPr>
          <w:rFonts w:ascii="Times New Roman" w:hAnsi="Times New Roman" w:cs="Times New Roman"/>
          <w:sz w:val="24"/>
          <w:szCs w:val="24"/>
        </w:rPr>
        <w:t>:</w:t>
      </w:r>
    </w:p>
    <w:p w14:paraId="6BDB7F86" w14:textId="77777777" w:rsidR="00640FAC" w:rsidRDefault="00982A6E" w:rsidP="00640FAC">
      <w:pPr>
        <w:pStyle w:val="ListParagraph"/>
        <w:numPr>
          <w:ilvl w:val="0"/>
          <w:numId w:val="2"/>
        </w:numPr>
        <w:spacing w:line="276" w:lineRule="auto"/>
        <w:jc w:val="both"/>
        <w:rPr>
          <w:rFonts w:ascii="Times New Roman" w:hAnsi="Times New Roman" w:cs="Times New Roman"/>
          <w:sz w:val="24"/>
          <w:szCs w:val="24"/>
        </w:rPr>
      </w:pPr>
      <w:r w:rsidRPr="00640FAC">
        <w:rPr>
          <w:rFonts w:ascii="Times New Roman" w:hAnsi="Times New Roman" w:cs="Times New Roman"/>
          <w:sz w:val="24"/>
          <w:szCs w:val="24"/>
        </w:rPr>
        <w:t xml:space="preserve">the energy, other than solar energy or energy collected from the latent and sensible heat of the atmosphere, to be used by the solar water heater; and </w:t>
      </w:r>
    </w:p>
    <w:p w14:paraId="51602F7B" w14:textId="4A4FA0E0" w:rsidR="001D63BD" w:rsidRPr="00640FAC" w:rsidRDefault="00982A6E" w:rsidP="00640FAC">
      <w:pPr>
        <w:pStyle w:val="ListParagraph"/>
        <w:numPr>
          <w:ilvl w:val="0"/>
          <w:numId w:val="2"/>
        </w:numPr>
        <w:spacing w:line="276" w:lineRule="auto"/>
        <w:jc w:val="both"/>
        <w:rPr>
          <w:rFonts w:ascii="Times New Roman" w:hAnsi="Times New Roman" w:cs="Times New Roman"/>
          <w:sz w:val="24"/>
          <w:szCs w:val="24"/>
        </w:rPr>
      </w:pPr>
      <w:r w:rsidRPr="00640FAC">
        <w:rPr>
          <w:rFonts w:ascii="Times New Roman" w:hAnsi="Times New Roman" w:cs="Times New Roman"/>
          <w:sz w:val="24"/>
          <w:szCs w:val="24"/>
        </w:rPr>
        <w:t xml:space="preserve">the electrical energy that would be used by an equivalent electric water heater. </w:t>
      </w:r>
    </w:p>
    <w:p w14:paraId="2B010E52" w14:textId="4A5F4880" w:rsidR="00FF1C1E" w:rsidRDefault="00BB3C04" w:rsidP="001669C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Regulation 19BE </w:t>
      </w:r>
      <w:r w:rsidR="00FF1C1E">
        <w:rPr>
          <w:rFonts w:ascii="Times New Roman" w:hAnsi="Times New Roman" w:cs="Times New Roman"/>
          <w:sz w:val="24"/>
          <w:szCs w:val="24"/>
        </w:rPr>
        <w:t xml:space="preserve">of the Regulations </w:t>
      </w:r>
      <w:r w:rsidR="00FF4B03">
        <w:rPr>
          <w:rFonts w:ascii="Times New Roman" w:hAnsi="Times New Roman" w:cs="Times New Roman"/>
          <w:sz w:val="24"/>
          <w:szCs w:val="24"/>
        </w:rPr>
        <w:t>provides</w:t>
      </w:r>
      <w:r w:rsidR="00FF1C1E">
        <w:rPr>
          <w:rFonts w:ascii="Times New Roman" w:hAnsi="Times New Roman" w:cs="Times New Roman"/>
          <w:sz w:val="24"/>
          <w:szCs w:val="24"/>
        </w:rPr>
        <w:t xml:space="preserve"> that </w:t>
      </w:r>
      <w:r w:rsidR="004549EE">
        <w:rPr>
          <w:rFonts w:ascii="Times New Roman" w:hAnsi="Times New Roman" w:cs="Times New Roman"/>
          <w:sz w:val="24"/>
          <w:szCs w:val="24"/>
        </w:rPr>
        <w:t>for the purposes of subregulation 19B(2)</w:t>
      </w:r>
      <w:r w:rsidR="00FF4B03">
        <w:rPr>
          <w:rFonts w:ascii="Times New Roman" w:hAnsi="Times New Roman" w:cs="Times New Roman"/>
          <w:sz w:val="24"/>
          <w:szCs w:val="24"/>
        </w:rPr>
        <w:t>,</w:t>
      </w:r>
      <w:r w:rsidR="004549EE">
        <w:rPr>
          <w:rFonts w:ascii="Times New Roman" w:hAnsi="Times New Roman" w:cs="Times New Roman"/>
          <w:sz w:val="24"/>
          <w:szCs w:val="24"/>
        </w:rPr>
        <w:t xml:space="preserve"> </w:t>
      </w:r>
      <w:r w:rsidR="00FF1C1E">
        <w:rPr>
          <w:rFonts w:ascii="Times New Roman" w:hAnsi="Times New Roman" w:cs="Times New Roman"/>
          <w:sz w:val="24"/>
          <w:szCs w:val="24"/>
        </w:rPr>
        <w:t xml:space="preserve">for solar water heaters installed on or before 31 December 2021 the deeming period is ten years, and that for installations during the </w:t>
      </w:r>
      <w:r w:rsidR="00FF4B03">
        <w:rPr>
          <w:rFonts w:ascii="Times New Roman" w:hAnsi="Times New Roman" w:cs="Times New Roman"/>
          <w:sz w:val="24"/>
          <w:szCs w:val="24"/>
        </w:rPr>
        <w:t>calendar</w:t>
      </w:r>
      <w:r w:rsidR="00FF1C1E">
        <w:rPr>
          <w:rFonts w:ascii="Times New Roman" w:hAnsi="Times New Roman" w:cs="Times New Roman"/>
          <w:sz w:val="24"/>
          <w:szCs w:val="24"/>
        </w:rPr>
        <w:t xml:space="preserve"> years 2022 to 2030 the deeming period for those installations is according to the </w:t>
      </w:r>
      <w:r w:rsidR="002A3833">
        <w:rPr>
          <w:rFonts w:ascii="Times New Roman" w:hAnsi="Times New Roman" w:cs="Times New Roman"/>
          <w:sz w:val="24"/>
          <w:szCs w:val="24"/>
        </w:rPr>
        <w:t>below</w:t>
      </w:r>
      <w:r w:rsidR="004549EE">
        <w:rPr>
          <w:rFonts w:ascii="Times New Roman" w:hAnsi="Times New Roman" w:cs="Times New Roman"/>
          <w:sz w:val="24"/>
          <w:szCs w:val="24"/>
        </w:rPr>
        <w:t xml:space="preserve"> </w:t>
      </w:r>
      <w:r w:rsidR="00FF1C1E">
        <w:rPr>
          <w:rFonts w:ascii="Times New Roman" w:hAnsi="Times New Roman" w:cs="Times New Roman"/>
          <w:sz w:val="24"/>
          <w:szCs w:val="24"/>
        </w:rPr>
        <w:t>table. The deeming period</w:t>
      </w:r>
      <w:r w:rsidR="004549EE">
        <w:rPr>
          <w:rFonts w:ascii="Times New Roman" w:hAnsi="Times New Roman" w:cs="Times New Roman"/>
          <w:sz w:val="24"/>
          <w:szCs w:val="24"/>
        </w:rPr>
        <w:t xml:space="preserve"> (column 2 of the table)</w:t>
      </w:r>
      <w:r w:rsidR="00FF1C1E">
        <w:rPr>
          <w:rFonts w:ascii="Times New Roman" w:hAnsi="Times New Roman" w:cs="Times New Roman"/>
          <w:sz w:val="24"/>
          <w:szCs w:val="24"/>
        </w:rPr>
        <w:t xml:space="preserve"> is reduced by one year each yea</w:t>
      </w:r>
      <w:r w:rsidR="004549EE">
        <w:rPr>
          <w:rFonts w:ascii="Times New Roman" w:hAnsi="Times New Roman" w:cs="Times New Roman"/>
          <w:sz w:val="24"/>
          <w:szCs w:val="24"/>
        </w:rPr>
        <w:t>r</w:t>
      </w:r>
      <w:r w:rsidR="00FF1C1E">
        <w:rPr>
          <w:rFonts w:ascii="Times New Roman" w:hAnsi="Times New Roman" w:cs="Times New Roman"/>
          <w:sz w:val="24"/>
          <w:szCs w:val="24"/>
        </w:rPr>
        <w:t xml:space="preserve"> so that the deeming period for eligible solar water heaters installed in 2030 is one year.  </w:t>
      </w:r>
    </w:p>
    <w:tbl>
      <w:tblPr>
        <w:tblW w:w="4819" w:type="pct"/>
        <w:tblBorders>
          <w:top w:val="single" w:sz="4" w:space="0" w:color="auto"/>
          <w:bottom w:val="single" w:sz="2" w:space="0" w:color="auto"/>
          <w:insideH w:val="single" w:sz="4" w:space="0" w:color="auto"/>
        </w:tblBorders>
        <w:tblLook w:val="04A0" w:firstRow="1" w:lastRow="0" w:firstColumn="1" w:lastColumn="0" w:noHBand="0" w:noVBand="1"/>
      </w:tblPr>
      <w:tblGrid>
        <w:gridCol w:w="1422"/>
        <w:gridCol w:w="3634"/>
        <w:gridCol w:w="3643"/>
      </w:tblGrid>
      <w:tr w:rsidR="0005028B" w:rsidRPr="005D4507" w14:paraId="5AEE1197" w14:textId="77777777" w:rsidTr="001D63BD">
        <w:trPr>
          <w:trHeight w:val="234"/>
          <w:tblHeader/>
        </w:trPr>
        <w:tc>
          <w:tcPr>
            <w:tcW w:w="5000" w:type="pct"/>
            <w:gridSpan w:val="3"/>
            <w:tcBorders>
              <w:top w:val="single" w:sz="12" w:space="0" w:color="auto"/>
              <w:left w:val="nil"/>
              <w:bottom w:val="single" w:sz="6" w:space="0" w:color="auto"/>
              <w:right w:val="nil"/>
            </w:tcBorders>
            <w:hideMark/>
          </w:tcPr>
          <w:p w14:paraId="6748478E" w14:textId="77777777" w:rsidR="0005028B" w:rsidRPr="00674520" w:rsidRDefault="0005028B" w:rsidP="00AD218C">
            <w:pPr>
              <w:pStyle w:val="TableHeading"/>
              <w:spacing w:line="240" w:lineRule="auto"/>
              <w:rPr>
                <w:sz w:val="24"/>
                <w:szCs w:val="24"/>
                <w:lang w:eastAsia="en-US"/>
              </w:rPr>
            </w:pPr>
            <w:r w:rsidRPr="00674520">
              <w:rPr>
                <w:sz w:val="24"/>
                <w:szCs w:val="24"/>
                <w:lang w:eastAsia="en-US"/>
              </w:rPr>
              <w:t>Period certificates may be created</w:t>
            </w:r>
          </w:p>
        </w:tc>
      </w:tr>
      <w:tr w:rsidR="0005028B" w:rsidRPr="005D4507" w14:paraId="6A765594" w14:textId="77777777" w:rsidTr="001D63BD">
        <w:trPr>
          <w:trHeight w:val="224"/>
          <w:tblHeader/>
        </w:trPr>
        <w:tc>
          <w:tcPr>
            <w:tcW w:w="817" w:type="pct"/>
            <w:tcBorders>
              <w:top w:val="single" w:sz="6" w:space="0" w:color="auto"/>
              <w:left w:val="nil"/>
              <w:bottom w:val="nil"/>
              <w:right w:val="nil"/>
            </w:tcBorders>
            <w:hideMark/>
          </w:tcPr>
          <w:p w14:paraId="7A25A31F" w14:textId="77777777" w:rsidR="0005028B" w:rsidRPr="00674520" w:rsidRDefault="0005028B" w:rsidP="00AD218C">
            <w:pPr>
              <w:pStyle w:val="TableHeading"/>
              <w:spacing w:line="240" w:lineRule="auto"/>
              <w:rPr>
                <w:sz w:val="24"/>
                <w:szCs w:val="24"/>
                <w:lang w:eastAsia="en-US"/>
              </w:rPr>
            </w:pPr>
            <w:r w:rsidRPr="00674520">
              <w:rPr>
                <w:sz w:val="24"/>
                <w:szCs w:val="24"/>
                <w:lang w:eastAsia="en-US"/>
              </w:rPr>
              <w:t>Item</w:t>
            </w:r>
          </w:p>
        </w:tc>
        <w:tc>
          <w:tcPr>
            <w:tcW w:w="2089" w:type="pct"/>
            <w:tcBorders>
              <w:top w:val="single" w:sz="4" w:space="0" w:color="auto"/>
              <w:left w:val="nil"/>
              <w:bottom w:val="nil"/>
              <w:right w:val="nil"/>
            </w:tcBorders>
            <w:hideMark/>
          </w:tcPr>
          <w:p w14:paraId="10EFD13A" w14:textId="77777777" w:rsidR="0005028B" w:rsidRPr="00674520" w:rsidRDefault="0005028B" w:rsidP="00AD218C">
            <w:pPr>
              <w:pStyle w:val="TableHeading"/>
              <w:spacing w:line="240" w:lineRule="auto"/>
              <w:rPr>
                <w:sz w:val="24"/>
                <w:szCs w:val="24"/>
                <w:lang w:eastAsia="en-US"/>
              </w:rPr>
            </w:pPr>
            <w:r w:rsidRPr="00674520">
              <w:rPr>
                <w:sz w:val="24"/>
                <w:szCs w:val="24"/>
                <w:lang w:eastAsia="en-US"/>
              </w:rPr>
              <w:t>Column 1</w:t>
            </w:r>
          </w:p>
        </w:tc>
        <w:tc>
          <w:tcPr>
            <w:tcW w:w="2094" w:type="pct"/>
            <w:tcBorders>
              <w:top w:val="single" w:sz="4" w:space="0" w:color="auto"/>
              <w:left w:val="nil"/>
              <w:bottom w:val="nil"/>
              <w:right w:val="nil"/>
            </w:tcBorders>
            <w:hideMark/>
          </w:tcPr>
          <w:p w14:paraId="5B3A6660" w14:textId="77777777" w:rsidR="0005028B" w:rsidRPr="00674520" w:rsidRDefault="0005028B" w:rsidP="00AD218C">
            <w:pPr>
              <w:pStyle w:val="TableHeading"/>
              <w:spacing w:line="240" w:lineRule="auto"/>
              <w:rPr>
                <w:sz w:val="24"/>
                <w:szCs w:val="24"/>
                <w:lang w:eastAsia="en-US"/>
              </w:rPr>
            </w:pPr>
            <w:r w:rsidRPr="00674520">
              <w:rPr>
                <w:sz w:val="24"/>
                <w:szCs w:val="24"/>
                <w:lang w:eastAsia="en-US"/>
              </w:rPr>
              <w:t>Column 2</w:t>
            </w:r>
          </w:p>
        </w:tc>
      </w:tr>
      <w:tr w:rsidR="0005028B" w:rsidRPr="005D4507" w14:paraId="3E70EB9B" w14:textId="77777777" w:rsidTr="001D63BD">
        <w:trPr>
          <w:trHeight w:val="224"/>
          <w:tblHeader/>
        </w:trPr>
        <w:tc>
          <w:tcPr>
            <w:tcW w:w="817" w:type="pct"/>
            <w:tcBorders>
              <w:top w:val="nil"/>
              <w:left w:val="nil"/>
              <w:bottom w:val="single" w:sz="12" w:space="0" w:color="auto"/>
              <w:right w:val="nil"/>
            </w:tcBorders>
          </w:tcPr>
          <w:p w14:paraId="58BDED66" w14:textId="77777777" w:rsidR="0005028B" w:rsidRPr="00674520" w:rsidRDefault="0005028B" w:rsidP="00AD218C">
            <w:pPr>
              <w:pStyle w:val="TableHeading"/>
              <w:spacing w:line="240" w:lineRule="auto"/>
              <w:rPr>
                <w:sz w:val="24"/>
                <w:szCs w:val="24"/>
                <w:lang w:eastAsia="en-US"/>
              </w:rPr>
            </w:pPr>
          </w:p>
        </w:tc>
        <w:tc>
          <w:tcPr>
            <w:tcW w:w="2089" w:type="pct"/>
            <w:tcBorders>
              <w:top w:val="nil"/>
              <w:left w:val="nil"/>
              <w:bottom w:val="single" w:sz="12" w:space="0" w:color="auto"/>
              <w:right w:val="nil"/>
            </w:tcBorders>
            <w:hideMark/>
          </w:tcPr>
          <w:p w14:paraId="09494BB5" w14:textId="0F6E6FCD" w:rsidR="0005028B" w:rsidRPr="00674520" w:rsidRDefault="0005028B" w:rsidP="00AD218C">
            <w:pPr>
              <w:pStyle w:val="TableHeading"/>
              <w:spacing w:line="240" w:lineRule="auto"/>
              <w:rPr>
                <w:sz w:val="24"/>
                <w:szCs w:val="24"/>
                <w:lang w:eastAsia="en-US"/>
              </w:rPr>
            </w:pPr>
            <w:r w:rsidRPr="00674520">
              <w:rPr>
                <w:sz w:val="24"/>
                <w:szCs w:val="24"/>
                <w:lang w:eastAsia="en-US"/>
              </w:rPr>
              <w:t>Y</w:t>
            </w:r>
            <w:r w:rsidR="00BF4FE9" w:rsidRPr="00674520">
              <w:rPr>
                <w:sz w:val="24"/>
                <w:szCs w:val="24"/>
                <w:lang w:eastAsia="en-US"/>
              </w:rPr>
              <w:t>ea</w:t>
            </w:r>
            <w:r w:rsidRPr="00674520">
              <w:rPr>
                <w:sz w:val="24"/>
                <w:szCs w:val="24"/>
                <w:lang w:eastAsia="en-US"/>
              </w:rPr>
              <w:t xml:space="preserve">r </w:t>
            </w:r>
            <w:r w:rsidR="009C444F" w:rsidRPr="00674520">
              <w:rPr>
                <w:sz w:val="24"/>
                <w:szCs w:val="24"/>
                <w:lang w:eastAsia="en-US"/>
              </w:rPr>
              <w:t>solar water heater</w:t>
            </w:r>
            <w:r w:rsidRPr="00674520">
              <w:rPr>
                <w:sz w:val="24"/>
                <w:szCs w:val="24"/>
                <w:lang w:eastAsia="en-US"/>
              </w:rPr>
              <w:t xml:space="preserve"> installed</w:t>
            </w:r>
          </w:p>
        </w:tc>
        <w:tc>
          <w:tcPr>
            <w:tcW w:w="2094" w:type="pct"/>
            <w:tcBorders>
              <w:top w:val="nil"/>
              <w:left w:val="nil"/>
              <w:bottom w:val="single" w:sz="12" w:space="0" w:color="auto"/>
              <w:right w:val="nil"/>
            </w:tcBorders>
            <w:hideMark/>
          </w:tcPr>
          <w:p w14:paraId="5BEA1693" w14:textId="77777777" w:rsidR="0005028B" w:rsidRPr="00674520" w:rsidRDefault="0005028B" w:rsidP="00AD218C">
            <w:pPr>
              <w:pStyle w:val="TableHeading"/>
              <w:spacing w:line="240" w:lineRule="auto"/>
              <w:rPr>
                <w:sz w:val="24"/>
                <w:szCs w:val="24"/>
                <w:lang w:eastAsia="en-US"/>
              </w:rPr>
            </w:pPr>
            <w:r w:rsidRPr="00674520">
              <w:rPr>
                <w:sz w:val="24"/>
                <w:szCs w:val="24"/>
                <w:lang w:eastAsia="en-US"/>
              </w:rPr>
              <w:t>Number of years</w:t>
            </w:r>
          </w:p>
        </w:tc>
      </w:tr>
      <w:tr w:rsidR="0005028B" w:rsidRPr="005D4507" w14:paraId="20B75234" w14:textId="77777777" w:rsidTr="001D63BD">
        <w:trPr>
          <w:trHeight w:val="234"/>
        </w:trPr>
        <w:tc>
          <w:tcPr>
            <w:tcW w:w="817" w:type="pct"/>
            <w:tcBorders>
              <w:top w:val="single" w:sz="12" w:space="0" w:color="auto"/>
              <w:left w:val="nil"/>
              <w:bottom w:val="single" w:sz="4" w:space="0" w:color="auto"/>
              <w:right w:val="nil"/>
            </w:tcBorders>
            <w:hideMark/>
          </w:tcPr>
          <w:p w14:paraId="0D0B69DC"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1</w:t>
            </w:r>
          </w:p>
        </w:tc>
        <w:tc>
          <w:tcPr>
            <w:tcW w:w="2089" w:type="pct"/>
            <w:tcBorders>
              <w:top w:val="single" w:sz="12" w:space="0" w:color="auto"/>
              <w:left w:val="nil"/>
              <w:bottom w:val="single" w:sz="4" w:space="0" w:color="auto"/>
              <w:right w:val="nil"/>
            </w:tcBorders>
            <w:hideMark/>
          </w:tcPr>
          <w:p w14:paraId="09E8DA84"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2022</w:t>
            </w:r>
          </w:p>
        </w:tc>
        <w:tc>
          <w:tcPr>
            <w:tcW w:w="2094" w:type="pct"/>
            <w:tcBorders>
              <w:top w:val="single" w:sz="12" w:space="0" w:color="auto"/>
              <w:left w:val="nil"/>
              <w:bottom w:val="single" w:sz="4" w:space="0" w:color="auto"/>
              <w:right w:val="nil"/>
            </w:tcBorders>
            <w:hideMark/>
          </w:tcPr>
          <w:p w14:paraId="4513B944"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9</w:t>
            </w:r>
          </w:p>
        </w:tc>
      </w:tr>
      <w:tr w:rsidR="0005028B" w:rsidRPr="005D4507" w14:paraId="41D1970F" w14:textId="77777777" w:rsidTr="001D63BD">
        <w:trPr>
          <w:trHeight w:val="224"/>
        </w:trPr>
        <w:tc>
          <w:tcPr>
            <w:tcW w:w="817" w:type="pct"/>
            <w:tcBorders>
              <w:top w:val="single" w:sz="4" w:space="0" w:color="auto"/>
              <w:left w:val="nil"/>
              <w:bottom w:val="single" w:sz="4" w:space="0" w:color="auto"/>
              <w:right w:val="nil"/>
            </w:tcBorders>
            <w:hideMark/>
          </w:tcPr>
          <w:p w14:paraId="33D948F8"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2</w:t>
            </w:r>
          </w:p>
        </w:tc>
        <w:tc>
          <w:tcPr>
            <w:tcW w:w="2089" w:type="pct"/>
            <w:tcBorders>
              <w:top w:val="single" w:sz="4" w:space="0" w:color="auto"/>
              <w:left w:val="nil"/>
              <w:bottom w:val="single" w:sz="4" w:space="0" w:color="auto"/>
              <w:right w:val="nil"/>
            </w:tcBorders>
            <w:hideMark/>
          </w:tcPr>
          <w:p w14:paraId="31D10EC9"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2023</w:t>
            </w:r>
          </w:p>
        </w:tc>
        <w:tc>
          <w:tcPr>
            <w:tcW w:w="2094" w:type="pct"/>
            <w:tcBorders>
              <w:top w:val="single" w:sz="4" w:space="0" w:color="auto"/>
              <w:left w:val="nil"/>
              <w:bottom w:val="single" w:sz="4" w:space="0" w:color="auto"/>
              <w:right w:val="nil"/>
            </w:tcBorders>
            <w:hideMark/>
          </w:tcPr>
          <w:p w14:paraId="3C3113CE"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8</w:t>
            </w:r>
          </w:p>
        </w:tc>
      </w:tr>
      <w:tr w:rsidR="0005028B" w:rsidRPr="005D4507" w14:paraId="3D958681" w14:textId="77777777" w:rsidTr="001D63BD">
        <w:trPr>
          <w:trHeight w:val="224"/>
        </w:trPr>
        <w:tc>
          <w:tcPr>
            <w:tcW w:w="817" w:type="pct"/>
            <w:tcBorders>
              <w:top w:val="single" w:sz="4" w:space="0" w:color="auto"/>
              <w:left w:val="nil"/>
              <w:bottom w:val="single" w:sz="4" w:space="0" w:color="auto"/>
              <w:right w:val="nil"/>
            </w:tcBorders>
            <w:hideMark/>
          </w:tcPr>
          <w:p w14:paraId="209CF065"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3</w:t>
            </w:r>
          </w:p>
        </w:tc>
        <w:tc>
          <w:tcPr>
            <w:tcW w:w="2089" w:type="pct"/>
            <w:tcBorders>
              <w:top w:val="single" w:sz="4" w:space="0" w:color="auto"/>
              <w:left w:val="nil"/>
              <w:bottom w:val="single" w:sz="4" w:space="0" w:color="auto"/>
              <w:right w:val="nil"/>
            </w:tcBorders>
            <w:hideMark/>
          </w:tcPr>
          <w:p w14:paraId="3FBF1348"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2024</w:t>
            </w:r>
          </w:p>
        </w:tc>
        <w:tc>
          <w:tcPr>
            <w:tcW w:w="2094" w:type="pct"/>
            <w:tcBorders>
              <w:top w:val="single" w:sz="4" w:space="0" w:color="auto"/>
              <w:left w:val="nil"/>
              <w:bottom w:val="single" w:sz="4" w:space="0" w:color="auto"/>
              <w:right w:val="nil"/>
            </w:tcBorders>
            <w:hideMark/>
          </w:tcPr>
          <w:p w14:paraId="20537AAA"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7</w:t>
            </w:r>
          </w:p>
        </w:tc>
      </w:tr>
      <w:tr w:rsidR="0005028B" w:rsidRPr="005D4507" w14:paraId="3603ED8D" w14:textId="77777777" w:rsidTr="001D63BD">
        <w:trPr>
          <w:trHeight w:val="215"/>
        </w:trPr>
        <w:tc>
          <w:tcPr>
            <w:tcW w:w="817" w:type="pct"/>
            <w:tcBorders>
              <w:top w:val="single" w:sz="4" w:space="0" w:color="auto"/>
              <w:left w:val="nil"/>
              <w:bottom w:val="single" w:sz="4" w:space="0" w:color="auto"/>
              <w:right w:val="nil"/>
            </w:tcBorders>
            <w:hideMark/>
          </w:tcPr>
          <w:p w14:paraId="2C55C5ED"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4</w:t>
            </w:r>
          </w:p>
        </w:tc>
        <w:tc>
          <w:tcPr>
            <w:tcW w:w="2089" w:type="pct"/>
            <w:tcBorders>
              <w:top w:val="single" w:sz="4" w:space="0" w:color="auto"/>
              <w:left w:val="nil"/>
              <w:bottom w:val="single" w:sz="4" w:space="0" w:color="auto"/>
              <w:right w:val="nil"/>
            </w:tcBorders>
            <w:hideMark/>
          </w:tcPr>
          <w:p w14:paraId="7196DE60"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2025</w:t>
            </w:r>
          </w:p>
        </w:tc>
        <w:tc>
          <w:tcPr>
            <w:tcW w:w="2094" w:type="pct"/>
            <w:tcBorders>
              <w:top w:val="single" w:sz="4" w:space="0" w:color="auto"/>
              <w:left w:val="nil"/>
              <w:bottom w:val="single" w:sz="4" w:space="0" w:color="auto"/>
              <w:right w:val="nil"/>
            </w:tcBorders>
            <w:hideMark/>
          </w:tcPr>
          <w:p w14:paraId="43DDFB71"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6</w:t>
            </w:r>
          </w:p>
        </w:tc>
      </w:tr>
      <w:tr w:rsidR="0005028B" w:rsidRPr="005D4507" w14:paraId="0E1A52EC" w14:textId="77777777" w:rsidTr="001D63BD">
        <w:trPr>
          <w:trHeight w:val="224"/>
        </w:trPr>
        <w:tc>
          <w:tcPr>
            <w:tcW w:w="817" w:type="pct"/>
            <w:tcBorders>
              <w:top w:val="single" w:sz="4" w:space="0" w:color="auto"/>
              <w:left w:val="nil"/>
              <w:bottom w:val="single" w:sz="4" w:space="0" w:color="auto"/>
              <w:right w:val="nil"/>
            </w:tcBorders>
            <w:hideMark/>
          </w:tcPr>
          <w:p w14:paraId="4FBD0959"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5</w:t>
            </w:r>
          </w:p>
        </w:tc>
        <w:tc>
          <w:tcPr>
            <w:tcW w:w="2089" w:type="pct"/>
            <w:tcBorders>
              <w:top w:val="single" w:sz="4" w:space="0" w:color="auto"/>
              <w:left w:val="nil"/>
              <w:bottom w:val="single" w:sz="4" w:space="0" w:color="auto"/>
              <w:right w:val="nil"/>
            </w:tcBorders>
            <w:hideMark/>
          </w:tcPr>
          <w:p w14:paraId="221C6DFB"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2026</w:t>
            </w:r>
          </w:p>
        </w:tc>
        <w:tc>
          <w:tcPr>
            <w:tcW w:w="2094" w:type="pct"/>
            <w:tcBorders>
              <w:top w:val="single" w:sz="4" w:space="0" w:color="auto"/>
              <w:left w:val="nil"/>
              <w:bottom w:val="single" w:sz="4" w:space="0" w:color="auto"/>
              <w:right w:val="nil"/>
            </w:tcBorders>
            <w:hideMark/>
          </w:tcPr>
          <w:p w14:paraId="37B3F713"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5</w:t>
            </w:r>
          </w:p>
        </w:tc>
      </w:tr>
      <w:tr w:rsidR="0005028B" w:rsidRPr="005D4507" w14:paraId="67E22AB6" w14:textId="77777777" w:rsidTr="001D63BD">
        <w:trPr>
          <w:trHeight w:val="224"/>
        </w:trPr>
        <w:tc>
          <w:tcPr>
            <w:tcW w:w="817" w:type="pct"/>
            <w:tcBorders>
              <w:top w:val="single" w:sz="4" w:space="0" w:color="auto"/>
              <w:left w:val="nil"/>
              <w:bottom w:val="single" w:sz="4" w:space="0" w:color="auto"/>
              <w:right w:val="nil"/>
            </w:tcBorders>
            <w:hideMark/>
          </w:tcPr>
          <w:p w14:paraId="22EBD1FF"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6</w:t>
            </w:r>
          </w:p>
        </w:tc>
        <w:tc>
          <w:tcPr>
            <w:tcW w:w="2089" w:type="pct"/>
            <w:tcBorders>
              <w:top w:val="single" w:sz="4" w:space="0" w:color="auto"/>
              <w:left w:val="nil"/>
              <w:bottom w:val="single" w:sz="4" w:space="0" w:color="auto"/>
              <w:right w:val="nil"/>
            </w:tcBorders>
            <w:hideMark/>
          </w:tcPr>
          <w:p w14:paraId="4BE3E832"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2027</w:t>
            </w:r>
          </w:p>
        </w:tc>
        <w:tc>
          <w:tcPr>
            <w:tcW w:w="2094" w:type="pct"/>
            <w:tcBorders>
              <w:top w:val="single" w:sz="4" w:space="0" w:color="auto"/>
              <w:left w:val="nil"/>
              <w:bottom w:val="single" w:sz="4" w:space="0" w:color="auto"/>
              <w:right w:val="nil"/>
            </w:tcBorders>
            <w:hideMark/>
          </w:tcPr>
          <w:p w14:paraId="014FA7BA"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4</w:t>
            </w:r>
          </w:p>
        </w:tc>
      </w:tr>
      <w:tr w:rsidR="0005028B" w:rsidRPr="005D4507" w14:paraId="187C0691" w14:textId="77777777" w:rsidTr="001D63BD">
        <w:trPr>
          <w:trHeight w:val="224"/>
        </w:trPr>
        <w:tc>
          <w:tcPr>
            <w:tcW w:w="817" w:type="pct"/>
            <w:tcBorders>
              <w:top w:val="single" w:sz="4" w:space="0" w:color="auto"/>
              <w:left w:val="nil"/>
              <w:bottom w:val="single" w:sz="4" w:space="0" w:color="auto"/>
              <w:right w:val="nil"/>
            </w:tcBorders>
            <w:hideMark/>
          </w:tcPr>
          <w:p w14:paraId="6A8D8565"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7</w:t>
            </w:r>
          </w:p>
        </w:tc>
        <w:tc>
          <w:tcPr>
            <w:tcW w:w="2089" w:type="pct"/>
            <w:tcBorders>
              <w:top w:val="single" w:sz="4" w:space="0" w:color="auto"/>
              <w:left w:val="nil"/>
              <w:bottom w:val="single" w:sz="4" w:space="0" w:color="auto"/>
              <w:right w:val="nil"/>
            </w:tcBorders>
            <w:hideMark/>
          </w:tcPr>
          <w:p w14:paraId="524373F8"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2028</w:t>
            </w:r>
          </w:p>
        </w:tc>
        <w:tc>
          <w:tcPr>
            <w:tcW w:w="2094" w:type="pct"/>
            <w:tcBorders>
              <w:top w:val="single" w:sz="4" w:space="0" w:color="auto"/>
              <w:left w:val="nil"/>
              <w:bottom w:val="single" w:sz="4" w:space="0" w:color="auto"/>
              <w:right w:val="nil"/>
            </w:tcBorders>
            <w:hideMark/>
          </w:tcPr>
          <w:p w14:paraId="00C4C9BD"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3</w:t>
            </w:r>
          </w:p>
        </w:tc>
      </w:tr>
      <w:tr w:rsidR="0005028B" w:rsidRPr="005D4507" w14:paraId="4ED8380B" w14:textId="77777777" w:rsidTr="001D63BD">
        <w:trPr>
          <w:trHeight w:val="224"/>
        </w:trPr>
        <w:tc>
          <w:tcPr>
            <w:tcW w:w="817" w:type="pct"/>
            <w:tcBorders>
              <w:top w:val="single" w:sz="4" w:space="0" w:color="auto"/>
              <w:left w:val="nil"/>
              <w:bottom w:val="single" w:sz="4" w:space="0" w:color="auto"/>
              <w:right w:val="nil"/>
            </w:tcBorders>
            <w:hideMark/>
          </w:tcPr>
          <w:p w14:paraId="6914B746"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8</w:t>
            </w:r>
          </w:p>
        </w:tc>
        <w:tc>
          <w:tcPr>
            <w:tcW w:w="2089" w:type="pct"/>
            <w:tcBorders>
              <w:top w:val="single" w:sz="4" w:space="0" w:color="auto"/>
              <w:left w:val="nil"/>
              <w:bottom w:val="single" w:sz="4" w:space="0" w:color="auto"/>
              <w:right w:val="nil"/>
            </w:tcBorders>
            <w:hideMark/>
          </w:tcPr>
          <w:p w14:paraId="5AC7F286"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2029</w:t>
            </w:r>
          </w:p>
        </w:tc>
        <w:tc>
          <w:tcPr>
            <w:tcW w:w="2094" w:type="pct"/>
            <w:tcBorders>
              <w:top w:val="single" w:sz="4" w:space="0" w:color="auto"/>
              <w:left w:val="nil"/>
              <w:bottom w:val="single" w:sz="4" w:space="0" w:color="auto"/>
              <w:right w:val="nil"/>
            </w:tcBorders>
            <w:hideMark/>
          </w:tcPr>
          <w:p w14:paraId="43AFEB07"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2</w:t>
            </w:r>
          </w:p>
        </w:tc>
      </w:tr>
      <w:tr w:rsidR="0005028B" w:rsidRPr="005D4507" w14:paraId="7439A206" w14:textId="77777777" w:rsidTr="001D63BD">
        <w:trPr>
          <w:trHeight w:val="70"/>
        </w:trPr>
        <w:tc>
          <w:tcPr>
            <w:tcW w:w="817" w:type="pct"/>
            <w:tcBorders>
              <w:top w:val="single" w:sz="4" w:space="0" w:color="auto"/>
              <w:left w:val="nil"/>
              <w:bottom w:val="single" w:sz="12" w:space="0" w:color="auto"/>
              <w:right w:val="nil"/>
            </w:tcBorders>
            <w:hideMark/>
          </w:tcPr>
          <w:p w14:paraId="57EAE94B"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9</w:t>
            </w:r>
          </w:p>
        </w:tc>
        <w:tc>
          <w:tcPr>
            <w:tcW w:w="2089" w:type="pct"/>
            <w:tcBorders>
              <w:top w:val="single" w:sz="4" w:space="0" w:color="auto"/>
              <w:left w:val="nil"/>
              <w:bottom w:val="single" w:sz="12" w:space="0" w:color="auto"/>
              <w:right w:val="nil"/>
            </w:tcBorders>
            <w:hideMark/>
          </w:tcPr>
          <w:p w14:paraId="6A04C047"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2030</w:t>
            </w:r>
          </w:p>
        </w:tc>
        <w:tc>
          <w:tcPr>
            <w:tcW w:w="2094" w:type="pct"/>
            <w:tcBorders>
              <w:top w:val="single" w:sz="4" w:space="0" w:color="auto"/>
              <w:left w:val="nil"/>
              <w:bottom w:val="single" w:sz="12" w:space="0" w:color="auto"/>
              <w:right w:val="nil"/>
            </w:tcBorders>
            <w:hideMark/>
          </w:tcPr>
          <w:p w14:paraId="5351626C" w14:textId="77777777" w:rsidR="0005028B" w:rsidRPr="00674520" w:rsidRDefault="0005028B" w:rsidP="00AD218C">
            <w:pPr>
              <w:pStyle w:val="Tabletext"/>
              <w:spacing w:line="240" w:lineRule="auto"/>
              <w:rPr>
                <w:sz w:val="24"/>
                <w:szCs w:val="24"/>
                <w:lang w:eastAsia="en-US"/>
              </w:rPr>
            </w:pPr>
            <w:r w:rsidRPr="00674520">
              <w:rPr>
                <w:sz w:val="24"/>
                <w:szCs w:val="24"/>
                <w:lang w:eastAsia="en-US"/>
              </w:rPr>
              <w:t>1</w:t>
            </w:r>
          </w:p>
        </w:tc>
      </w:tr>
    </w:tbl>
    <w:p w14:paraId="6EC0D0C9" w14:textId="77777777" w:rsidR="00674520" w:rsidRDefault="00674520" w:rsidP="00BB0F5A">
      <w:pPr>
        <w:spacing w:line="276" w:lineRule="auto"/>
        <w:rPr>
          <w:rFonts w:ascii="Times New Roman" w:hAnsi="Times New Roman" w:cs="Times New Roman"/>
          <w:b/>
          <w:bCs/>
          <w:sz w:val="24"/>
          <w:szCs w:val="24"/>
        </w:rPr>
      </w:pPr>
    </w:p>
    <w:p w14:paraId="6C7A6BBD" w14:textId="5FE1A697" w:rsidR="00BB0F5A" w:rsidRPr="00BB0F5A" w:rsidRDefault="00BB0F5A" w:rsidP="00BB0F5A">
      <w:pPr>
        <w:spacing w:line="276" w:lineRule="auto"/>
        <w:rPr>
          <w:rFonts w:ascii="Times New Roman" w:hAnsi="Times New Roman" w:cs="Times New Roman"/>
          <w:b/>
          <w:bCs/>
          <w:sz w:val="24"/>
          <w:szCs w:val="24"/>
        </w:rPr>
      </w:pPr>
      <w:r w:rsidRPr="00BB0F5A">
        <w:rPr>
          <w:rFonts w:ascii="Times New Roman" w:hAnsi="Times New Roman" w:cs="Times New Roman"/>
          <w:b/>
          <w:bCs/>
          <w:sz w:val="24"/>
          <w:szCs w:val="24"/>
        </w:rPr>
        <w:t xml:space="preserve">Purpose and operation of the instrument </w:t>
      </w:r>
    </w:p>
    <w:p w14:paraId="3C068CF0" w14:textId="356DD616" w:rsidR="002720A5" w:rsidRDefault="00BB0F5A" w:rsidP="004A1B6E">
      <w:pPr>
        <w:spacing w:line="276" w:lineRule="auto"/>
        <w:jc w:val="both"/>
        <w:rPr>
          <w:rFonts w:ascii="Times New Roman" w:hAnsi="Times New Roman" w:cs="Times New Roman"/>
          <w:sz w:val="24"/>
          <w:szCs w:val="24"/>
        </w:rPr>
      </w:pPr>
      <w:r w:rsidRPr="00BB0F5A">
        <w:rPr>
          <w:rFonts w:ascii="Times New Roman" w:hAnsi="Times New Roman" w:cs="Times New Roman"/>
          <w:sz w:val="24"/>
          <w:szCs w:val="24"/>
        </w:rPr>
        <w:t xml:space="preserve">This </w:t>
      </w:r>
      <w:r w:rsidR="005B5FDC">
        <w:rPr>
          <w:rFonts w:ascii="Times New Roman" w:hAnsi="Times New Roman" w:cs="Times New Roman"/>
          <w:sz w:val="24"/>
          <w:szCs w:val="24"/>
        </w:rPr>
        <w:t>purpose of the determination is to amend the modelling</w:t>
      </w:r>
      <w:r w:rsidR="00B7163B">
        <w:rPr>
          <w:rFonts w:ascii="Times New Roman" w:hAnsi="Times New Roman" w:cs="Times New Roman"/>
          <w:sz w:val="24"/>
          <w:szCs w:val="24"/>
        </w:rPr>
        <w:t xml:space="preserve"> </w:t>
      </w:r>
      <w:r w:rsidR="0036533D">
        <w:rPr>
          <w:rFonts w:ascii="Times New Roman" w:hAnsi="Times New Roman" w:cs="Times New Roman"/>
          <w:sz w:val="24"/>
          <w:szCs w:val="24"/>
        </w:rPr>
        <w:t xml:space="preserve">set out in </w:t>
      </w:r>
      <w:r w:rsidR="00712020">
        <w:rPr>
          <w:rFonts w:ascii="Times New Roman" w:hAnsi="Times New Roman" w:cs="Times New Roman"/>
          <w:sz w:val="24"/>
          <w:szCs w:val="24"/>
        </w:rPr>
        <w:t>th</w:t>
      </w:r>
      <w:r w:rsidR="0036533D">
        <w:rPr>
          <w:rFonts w:ascii="Times New Roman" w:hAnsi="Times New Roman" w:cs="Times New Roman"/>
          <w:sz w:val="24"/>
          <w:szCs w:val="24"/>
        </w:rPr>
        <w:t>e</w:t>
      </w:r>
      <w:r w:rsidR="00712020">
        <w:rPr>
          <w:rFonts w:ascii="Times New Roman" w:hAnsi="Times New Roman" w:cs="Times New Roman"/>
          <w:sz w:val="24"/>
          <w:szCs w:val="24"/>
        </w:rPr>
        <w:t xml:space="preserve"> </w:t>
      </w:r>
      <w:r w:rsidR="00712020" w:rsidRPr="00AA3D9E">
        <w:rPr>
          <w:rFonts w:ascii="Times New Roman" w:eastAsia="Times New Roman" w:hAnsi="Times New Roman"/>
          <w:i/>
          <w:sz w:val="24"/>
          <w:szCs w:val="24"/>
        </w:rPr>
        <w:t>Renewable Energy (Method for Solar Water Heaters) Determination 2016</w:t>
      </w:r>
      <w:r w:rsidR="00712020" w:rsidRPr="00AA3D9E">
        <w:rPr>
          <w:rFonts w:ascii="Times New Roman" w:eastAsia="Times New Roman" w:hAnsi="Times New Roman"/>
          <w:sz w:val="24"/>
          <w:szCs w:val="24"/>
        </w:rPr>
        <w:t xml:space="preserve"> (F2017L00028)</w:t>
      </w:r>
      <w:r w:rsidR="00712020">
        <w:rPr>
          <w:rFonts w:ascii="Times New Roman" w:eastAsia="Times New Roman" w:hAnsi="Times New Roman"/>
          <w:sz w:val="24"/>
          <w:szCs w:val="24"/>
        </w:rPr>
        <w:t xml:space="preserve"> (the 2016 Determination) </w:t>
      </w:r>
      <w:r w:rsidR="008B2FA4">
        <w:rPr>
          <w:rFonts w:ascii="Times New Roman" w:hAnsi="Times New Roman" w:cs="Times New Roman"/>
          <w:sz w:val="24"/>
          <w:szCs w:val="24"/>
        </w:rPr>
        <w:t>to ensure it</w:t>
      </w:r>
      <w:r w:rsidR="005B5FDC">
        <w:rPr>
          <w:rFonts w:ascii="Times New Roman" w:hAnsi="Times New Roman" w:cs="Times New Roman"/>
          <w:sz w:val="24"/>
          <w:szCs w:val="24"/>
        </w:rPr>
        <w:t xml:space="preserve"> account</w:t>
      </w:r>
      <w:r w:rsidR="008B2FA4">
        <w:rPr>
          <w:rFonts w:ascii="Times New Roman" w:hAnsi="Times New Roman" w:cs="Times New Roman"/>
          <w:sz w:val="24"/>
          <w:szCs w:val="24"/>
        </w:rPr>
        <w:t>s</w:t>
      </w:r>
      <w:r w:rsidR="005B5FDC">
        <w:rPr>
          <w:rFonts w:ascii="Times New Roman" w:hAnsi="Times New Roman" w:cs="Times New Roman"/>
          <w:sz w:val="24"/>
          <w:szCs w:val="24"/>
        </w:rPr>
        <w:t xml:space="preserve"> for the progressive reduction of certificates that may be created for solar water heater </w:t>
      </w:r>
      <w:r w:rsidR="0023775B">
        <w:rPr>
          <w:rFonts w:ascii="Times New Roman" w:hAnsi="Times New Roman" w:cs="Times New Roman"/>
          <w:sz w:val="24"/>
          <w:szCs w:val="24"/>
        </w:rPr>
        <w:t xml:space="preserve">(SWH) </w:t>
      </w:r>
      <w:r w:rsidR="005B5FDC">
        <w:rPr>
          <w:rFonts w:ascii="Times New Roman" w:hAnsi="Times New Roman" w:cs="Times New Roman"/>
          <w:sz w:val="24"/>
          <w:szCs w:val="24"/>
        </w:rPr>
        <w:t>systems installed from 1 January 202</w:t>
      </w:r>
      <w:r w:rsidR="001F5ACF">
        <w:rPr>
          <w:rFonts w:ascii="Times New Roman" w:hAnsi="Times New Roman" w:cs="Times New Roman"/>
          <w:sz w:val="24"/>
          <w:szCs w:val="24"/>
        </w:rPr>
        <w:t>2</w:t>
      </w:r>
      <w:r w:rsidR="005B5FDC">
        <w:rPr>
          <w:rFonts w:ascii="Times New Roman" w:hAnsi="Times New Roman" w:cs="Times New Roman"/>
          <w:sz w:val="24"/>
          <w:szCs w:val="24"/>
        </w:rPr>
        <w:t xml:space="preserve">, as required by regulation 19BE of the Regulations. </w:t>
      </w:r>
      <w:r w:rsidR="001316FB">
        <w:rPr>
          <w:rFonts w:ascii="Times New Roman" w:hAnsi="Times New Roman" w:cs="Times New Roman"/>
          <w:sz w:val="24"/>
          <w:szCs w:val="24"/>
        </w:rPr>
        <w:t xml:space="preserve"> </w:t>
      </w:r>
      <w:r w:rsidR="00044A28">
        <w:rPr>
          <w:rFonts w:ascii="Times New Roman" w:hAnsi="Times New Roman" w:cs="Times New Roman"/>
          <w:sz w:val="24"/>
          <w:szCs w:val="24"/>
        </w:rPr>
        <w:t xml:space="preserve">At current, the </w:t>
      </w:r>
      <w:r w:rsidR="00CA4FD2">
        <w:rPr>
          <w:rFonts w:ascii="Times New Roman" w:hAnsi="Times New Roman" w:cs="Times New Roman"/>
          <w:sz w:val="24"/>
          <w:szCs w:val="24"/>
        </w:rPr>
        <w:t xml:space="preserve">2016 Determination does not make reference to </w:t>
      </w:r>
      <w:r w:rsidR="00044A28">
        <w:rPr>
          <w:rFonts w:ascii="Times New Roman" w:hAnsi="Times New Roman" w:cs="Times New Roman"/>
          <w:sz w:val="24"/>
          <w:szCs w:val="24"/>
        </w:rPr>
        <w:t>this progressive reduction of certificates over time.</w:t>
      </w:r>
    </w:p>
    <w:p w14:paraId="50F9AA5B" w14:textId="1F2C536C" w:rsidR="00A85D4C" w:rsidRDefault="007F5AA1" w:rsidP="004E583C">
      <w:pPr>
        <w:spacing w:line="276" w:lineRule="auto"/>
        <w:jc w:val="both"/>
        <w:rPr>
          <w:rFonts w:ascii="Times New Roman" w:hAnsi="Times New Roman" w:cs="Times New Roman"/>
          <w:sz w:val="24"/>
          <w:szCs w:val="24"/>
        </w:rPr>
      </w:pPr>
      <w:r>
        <w:rPr>
          <w:rFonts w:ascii="Times New Roman" w:hAnsi="Times New Roman" w:cs="Times New Roman"/>
          <w:sz w:val="24"/>
          <w:szCs w:val="24"/>
        </w:rPr>
        <w:t>There are two</w:t>
      </w:r>
      <w:r w:rsidR="002779C7">
        <w:rPr>
          <w:rFonts w:ascii="Times New Roman" w:hAnsi="Times New Roman" w:cs="Times New Roman"/>
          <w:sz w:val="24"/>
          <w:szCs w:val="24"/>
        </w:rPr>
        <w:t xml:space="preserve"> methods</w:t>
      </w:r>
      <w:r w:rsidR="00CF5EC2">
        <w:rPr>
          <w:rFonts w:ascii="Times New Roman" w:hAnsi="Times New Roman" w:cs="Times New Roman"/>
          <w:sz w:val="24"/>
          <w:szCs w:val="24"/>
        </w:rPr>
        <w:t xml:space="preserve"> set out in </w:t>
      </w:r>
      <w:r w:rsidR="093EE98D" w:rsidRPr="79C3EE77">
        <w:rPr>
          <w:rFonts w:ascii="Times New Roman" w:hAnsi="Times New Roman" w:cs="Times New Roman"/>
          <w:sz w:val="24"/>
          <w:szCs w:val="24"/>
        </w:rPr>
        <w:t>Schedule 1 of</w:t>
      </w:r>
      <w:r w:rsidR="00CF5EC2" w:rsidRPr="79C3EE77">
        <w:rPr>
          <w:rFonts w:ascii="Times New Roman" w:hAnsi="Times New Roman" w:cs="Times New Roman"/>
          <w:sz w:val="24"/>
          <w:szCs w:val="24"/>
        </w:rPr>
        <w:t xml:space="preserve"> </w:t>
      </w:r>
      <w:r w:rsidR="00CF5EC2">
        <w:rPr>
          <w:rFonts w:ascii="Times New Roman" w:hAnsi="Times New Roman" w:cs="Times New Roman"/>
          <w:sz w:val="24"/>
          <w:szCs w:val="24"/>
        </w:rPr>
        <w:t xml:space="preserve">the </w:t>
      </w:r>
      <w:r w:rsidR="009C1671">
        <w:rPr>
          <w:rFonts w:ascii="Times New Roman" w:hAnsi="Times New Roman" w:cs="Times New Roman"/>
          <w:sz w:val="24"/>
          <w:szCs w:val="24"/>
        </w:rPr>
        <w:t xml:space="preserve">2016 </w:t>
      </w:r>
      <w:r w:rsidR="004502B2">
        <w:rPr>
          <w:rFonts w:ascii="Times New Roman" w:hAnsi="Times New Roman" w:cs="Times New Roman"/>
          <w:sz w:val="24"/>
          <w:szCs w:val="24"/>
        </w:rPr>
        <w:t>D</w:t>
      </w:r>
      <w:r w:rsidR="00CF5EC2">
        <w:rPr>
          <w:rFonts w:ascii="Times New Roman" w:hAnsi="Times New Roman" w:cs="Times New Roman"/>
          <w:sz w:val="24"/>
          <w:szCs w:val="24"/>
        </w:rPr>
        <w:t>etermination</w:t>
      </w:r>
      <w:r w:rsidR="002779C7">
        <w:rPr>
          <w:rFonts w:ascii="Times New Roman" w:hAnsi="Times New Roman" w:cs="Times New Roman"/>
          <w:sz w:val="24"/>
          <w:szCs w:val="24"/>
        </w:rPr>
        <w:t xml:space="preserve"> that are used t</w:t>
      </w:r>
      <w:r w:rsidR="004E583C">
        <w:rPr>
          <w:rFonts w:ascii="Times New Roman" w:hAnsi="Times New Roman" w:cs="Times New Roman"/>
          <w:sz w:val="24"/>
          <w:szCs w:val="24"/>
        </w:rPr>
        <w:t>o</w:t>
      </w:r>
      <w:r w:rsidR="002779C7">
        <w:rPr>
          <w:rFonts w:ascii="Times New Roman" w:hAnsi="Times New Roman" w:cs="Times New Roman"/>
          <w:sz w:val="24"/>
          <w:szCs w:val="24"/>
        </w:rPr>
        <w:t xml:space="preserve"> determine the number of certificates that may</w:t>
      </w:r>
      <w:r w:rsidR="00004611">
        <w:rPr>
          <w:rFonts w:ascii="Times New Roman" w:hAnsi="Times New Roman" w:cs="Times New Roman"/>
          <w:sz w:val="24"/>
          <w:szCs w:val="24"/>
        </w:rPr>
        <w:t xml:space="preserve"> </w:t>
      </w:r>
      <w:r w:rsidR="002779C7">
        <w:rPr>
          <w:rFonts w:ascii="Times New Roman" w:hAnsi="Times New Roman" w:cs="Times New Roman"/>
          <w:sz w:val="24"/>
          <w:szCs w:val="24"/>
        </w:rPr>
        <w:t xml:space="preserve">be created for a model of </w:t>
      </w:r>
      <w:r w:rsidR="00FC4F62">
        <w:rPr>
          <w:rFonts w:ascii="Times New Roman" w:hAnsi="Times New Roman" w:cs="Times New Roman"/>
          <w:sz w:val="24"/>
          <w:szCs w:val="24"/>
        </w:rPr>
        <w:t>SWH</w:t>
      </w:r>
      <w:r w:rsidR="002779C7">
        <w:rPr>
          <w:rFonts w:ascii="Times New Roman" w:hAnsi="Times New Roman" w:cs="Times New Roman"/>
          <w:sz w:val="24"/>
          <w:szCs w:val="24"/>
        </w:rPr>
        <w:t xml:space="preserve">, </w:t>
      </w:r>
      <w:r w:rsidR="00FC23F1">
        <w:rPr>
          <w:rFonts w:ascii="Times New Roman" w:hAnsi="Times New Roman" w:cs="Times New Roman"/>
          <w:sz w:val="24"/>
          <w:szCs w:val="24"/>
        </w:rPr>
        <w:t>de</w:t>
      </w:r>
      <w:r w:rsidR="002779C7">
        <w:rPr>
          <w:rFonts w:ascii="Times New Roman" w:hAnsi="Times New Roman" w:cs="Times New Roman"/>
          <w:sz w:val="24"/>
          <w:szCs w:val="24"/>
        </w:rPr>
        <w:t>pending on the type and volumetric capacity of the model</w:t>
      </w:r>
      <w:r w:rsidR="000F127C">
        <w:rPr>
          <w:rFonts w:ascii="Times New Roman" w:hAnsi="Times New Roman" w:cs="Times New Roman"/>
          <w:sz w:val="24"/>
          <w:szCs w:val="24"/>
        </w:rPr>
        <w:t xml:space="preserve">. There is a </w:t>
      </w:r>
      <w:r w:rsidR="00C769CA">
        <w:rPr>
          <w:rFonts w:ascii="Times New Roman" w:hAnsi="Times New Roman" w:cs="Times New Roman"/>
          <w:sz w:val="24"/>
          <w:szCs w:val="24"/>
        </w:rPr>
        <w:t xml:space="preserve">method for SWHs with a volumetric capacity up to and including 700 litres (a ‘small SWH’), as well as the method for </w:t>
      </w:r>
      <w:r w:rsidR="00DD45C1">
        <w:rPr>
          <w:rFonts w:ascii="Times New Roman" w:hAnsi="Times New Roman" w:cs="Times New Roman"/>
          <w:sz w:val="24"/>
          <w:szCs w:val="24"/>
        </w:rPr>
        <w:t>SWHs</w:t>
      </w:r>
      <w:r w:rsidR="00C769CA">
        <w:rPr>
          <w:rFonts w:ascii="Times New Roman" w:hAnsi="Times New Roman" w:cs="Times New Roman"/>
          <w:sz w:val="24"/>
          <w:szCs w:val="24"/>
        </w:rPr>
        <w:t xml:space="preserve"> with a volumetric capacity of more than 700 litres (a </w:t>
      </w:r>
      <w:r w:rsidR="00200F15">
        <w:rPr>
          <w:rFonts w:ascii="Times New Roman" w:hAnsi="Times New Roman" w:cs="Times New Roman"/>
          <w:sz w:val="24"/>
          <w:szCs w:val="24"/>
        </w:rPr>
        <w:t>‘</w:t>
      </w:r>
      <w:r w:rsidR="00C769CA">
        <w:rPr>
          <w:rFonts w:ascii="Times New Roman" w:hAnsi="Times New Roman" w:cs="Times New Roman"/>
          <w:sz w:val="24"/>
          <w:szCs w:val="24"/>
        </w:rPr>
        <w:t xml:space="preserve">large SWH’). </w:t>
      </w:r>
      <w:r>
        <w:rPr>
          <w:rFonts w:ascii="Times New Roman" w:hAnsi="Times New Roman" w:cs="Times New Roman"/>
          <w:sz w:val="24"/>
          <w:szCs w:val="24"/>
        </w:rPr>
        <w:t xml:space="preserve"> </w:t>
      </w:r>
    </w:p>
    <w:p w14:paraId="7B38D420" w14:textId="51D56660" w:rsidR="00463717" w:rsidRDefault="007F5AA1" w:rsidP="00363EE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79BADE10" w:rsidRPr="79C3EE77">
        <w:rPr>
          <w:rFonts w:ascii="Times New Roman" w:hAnsi="Times New Roman" w:cs="Times New Roman"/>
          <w:sz w:val="24"/>
          <w:szCs w:val="24"/>
        </w:rPr>
        <w:t>D</w:t>
      </w:r>
      <w:r w:rsidRPr="79C3EE77">
        <w:rPr>
          <w:rFonts w:ascii="Times New Roman" w:hAnsi="Times New Roman" w:cs="Times New Roman"/>
          <w:sz w:val="24"/>
          <w:szCs w:val="24"/>
        </w:rPr>
        <w:t>etermination</w:t>
      </w:r>
      <w:r w:rsidR="00ED07B8">
        <w:rPr>
          <w:rFonts w:ascii="Times New Roman" w:hAnsi="Times New Roman" w:cs="Times New Roman"/>
          <w:sz w:val="24"/>
          <w:szCs w:val="24"/>
        </w:rPr>
        <w:t xml:space="preserve"> repeals </w:t>
      </w:r>
      <w:r w:rsidR="007D4743">
        <w:rPr>
          <w:rFonts w:ascii="Times New Roman" w:hAnsi="Times New Roman" w:cs="Times New Roman"/>
          <w:sz w:val="24"/>
          <w:szCs w:val="24"/>
        </w:rPr>
        <w:t xml:space="preserve">one step </w:t>
      </w:r>
      <w:r w:rsidR="00ED07B8">
        <w:rPr>
          <w:rFonts w:ascii="Times New Roman" w:hAnsi="Times New Roman" w:cs="Times New Roman"/>
          <w:sz w:val="24"/>
          <w:szCs w:val="24"/>
        </w:rPr>
        <w:t>and substitutes</w:t>
      </w:r>
      <w:r w:rsidR="00463717">
        <w:rPr>
          <w:rFonts w:ascii="Times New Roman" w:hAnsi="Times New Roman" w:cs="Times New Roman"/>
          <w:sz w:val="24"/>
          <w:szCs w:val="24"/>
        </w:rPr>
        <w:t xml:space="preserve"> it </w:t>
      </w:r>
      <w:r w:rsidR="00846AF4">
        <w:rPr>
          <w:rFonts w:ascii="Times New Roman" w:hAnsi="Times New Roman" w:cs="Times New Roman"/>
          <w:sz w:val="24"/>
          <w:szCs w:val="24"/>
        </w:rPr>
        <w:t>with</w:t>
      </w:r>
      <w:r w:rsidR="00463717">
        <w:rPr>
          <w:rFonts w:ascii="Times New Roman" w:hAnsi="Times New Roman" w:cs="Times New Roman"/>
          <w:sz w:val="24"/>
          <w:szCs w:val="24"/>
        </w:rPr>
        <w:t xml:space="preserve"> two</w:t>
      </w:r>
      <w:r w:rsidR="00ED07B8">
        <w:rPr>
          <w:rFonts w:ascii="Times New Roman" w:hAnsi="Times New Roman" w:cs="Times New Roman"/>
          <w:sz w:val="24"/>
          <w:szCs w:val="24"/>
        </w:rPr>
        <w:t xml:space="preserve"> step</w:t>
      </w:r>
      <w:r w:rsidR="007D4743">
        <w:rPr>
          <w:rFonts w:ascii="Times New Roman" w:hAnsi="Times New Roman" w:cs="Times New Roman"/>
          <w:sz w:val="24"/>
          <w:szCs w:val="24"/>
        </w:rPr>
        <w:t>s</w:t>
      </w:r>
      <w:r w:rsidR="00ED07B8">
        <w:rPr>
          <w:rFonts w:ascii="Times New Roman" w:hAnsi="Times New Roman" w:cs="Times New Roman"/>
          <w:sz w:val="24"/>
          <w:szCs w:val="24"/>
        </w:rPr>
        <w:t xml:space="preserve"> in both </w:t>
      </w:r>
      <w:r w:rsidR="000B30A0">
        <w:rPr>
          <w:rFonts w:ascii="Times New Roman" w:hAnsi="Times New Roman" w:cs="Times New Roman"/>
          <w:sz w:val="24"/>
          <w:szCs w:val="24"/>
        </w:rPr>
        <w:t xml:space="preserve">of the </w:t>
      </w:r>
      <w:r w:rsidR="00C769CA">
        <w:rPr>
          <w:rFonts w:ascii="Times New Roman" w:hAnsi="Times New Roman" w:cs="Times New Roman"/>
          <w:sz w:val="24"/>
          <w:szCs w:val="24"/>
        </w:rPr>
        <w:t>methods</w:t>
      </w:r>
      <w:r w:rsidR="00755C86">
        <w:rPr>
          <w:rFonts w:ascii="Times New Roman" w:hAnsi="Times New Roman" w:cs="Times New Roman"/>
          <w:sz w:val="24"/>
          <w:szCs w:val="24"/>
        </w:rPr>
        <w:t>.</w:t>
      </w:r>
      <w:r w:rsidR="007C16CA">
        <w:rPr>
          <w:rFonts w:ascii="Times New Roman" w:hAnsi="Times New Roman" w:cs="Times New Roman"/>
          <w:sz w:val="24"/>
          <w:szCs w:val="24"/>
        </w:rPr>
        <w:t xml:space="preserve"> </w:t>
      </w:r>
      <w:r w:rsidR="00942A86">
        <w:rPr>
          <w:rFonts w:ascii="Times New Roman" w:hAnsi="Times New Roman" w:cs="Times New Roman"/>
          <w:sz w:val="24"/>
          <w:szCs w:val="24"/>
        </w:rPr>
        <w:t>Step 6 in the model for small SWH</w:t>
      </w:r>
      <w:r w:rsidR="00846AF4">
        <w:rPr>
          <w:rFonts w:ascii="Times New Roman" w:hAnsi="Times New Roman" w:cs="Times New Roman"/>
          <w:sz w:val="24"/>
          <w:szCs w:val="24"/>
        </w:rPr>
        <w:t>s</w:t>
      </w:r>
      <w:r w:rsidR="00942A86">
        <w:rPr>
          <w:rFonts w:ascii="Times New Roman" w:hAnsi="Times New Roman" w:cs="Times New Roman"/>
          <w:sz w:val="24"/>
          <w:szCs w:val="24"/>
        </w:rPr>
        <w:t xml:space="preserve"> is repealed and substituted with </w:t>
      </w:r>
      <w:r w:rsidR="00AD1E57">
        <w:rPr>
          <w:rFonts w:ascii="Times New Roman" w:hAnsi="Times New Roman" w:cs="Times New Roman"/>
          <w:sz w:val="24"/>
          <w:szCs w:val="24"/>
        </w:rPr>
        <w:t xml:space="preserve">Step 6 and </w:t>
      </w:r>
      <w:r w:rsidR="00942A86">
        <w:rPr>
          <w:rFonts w:ascii="Times New Roman" w:hAnsi="Times New Roman" w:cs="Times New Roman"/>
          <w:sz w:val="24"/>
          <w:szCs w:val="24"/>
        </w:rPr>
        <w:t>6.A</w:t>
      </w:r>
      <w:r w:rsidR="007D4743">
        <w:rPr>
          <w:rFonts w:ascii="Times New Roman" w:hAnsi="Times New Roman" w:cs="Times New Roman"/>
          <w:sz w:val="24"/>
          <w:szCs w:val="24"/>
        </w:rPr>
        <w:t xml:space="preserve">. </w:t>
      </w:r>
      <w:r w:rsidR="00942A86">
        <w:rPr>
          <w:rFonts w:ascii="Times New Roman" w:hAnsi="Times New Roman" w:cs="Times New Roman"/>
          <w:sz w:val="24"/>
          <w:szCs w:val="24"/>
        </w:rPr>
        <w:t>Step 9 of the model for large SWH</w:t>
      </w:r>
      <w:r w:rsidR="00A050D1">
        <w:rPr>
          <w:rFonts w:ascii="Times New Roman" w:hAnsi="Times New Roman" w:cs="Times New Roman"/>
          <w:sz w:val="24"/>
          <w:szCs w:val="24"/>
        </w:rPr>
        <w:t>s</w:t>
      </w:r>
      <w:r w:rsidR="00942A86">
        <w:rPr>
          <w:rFonts w:ascii="Times New Roman" w:hAnsi="Times New Roman" w:cs="Times New Roman"/>
          <w:sz w:val="24"/>
          <w:szCs w:val="24"/>
        </w:rPr>
        <w:t xml:space="preserve"> is repealed and substituted with </w:t>
      </w:r>
      <w:r w:rsidR="00AD1E57">
        <w:rPr>
          <w:rFonts w:ascii="Times New Roman" w:hAnsi="Times New Roman" w:cs="Times New Roman"/>
          <w:sz w:val="24"/>
          <w:szCs w:val="24"/>
        </w:rPr>
        <w:t xml:space="preserve">Step 9 and </w:t>
      </w:r>
      <w:r w:rsidR="00747A79">
        <w:rPr>
          <w:rFonts w:ascii="Times New Roman" w:hAnsi="Times New Roman" w:cs="Times New Roman"/>
          <w:sz w:val="24"/>
          <w:szCs w:val="24"/>
        </w:rPr>
        <w:t>9</w:t>
      </w:r>
      <w:r w:rsidR="00F1633E">
        <w:rPr>
          <w:rFonts w:ascii="Times New Roman" w:hAnsi="Times New Roman" w:cs="Times New Roman"/>
          <w:sz w:val="24"/>
          <w:szCs w:val="24"/>
        </w:rPr>
        <w:t>.</w:t>
      </w:r>
      <w:r w:rsidR="00747A79">
        <w:rPr>
          <w:rFonts w:ascii="Times New Roman" w:hAnsi="Times New Roman" w:cs="Times New Roman"/>
          <w:sz w:val="24"/>
          <w:szCs w:val="24"/>
        </w:rPr>
        <w:t xml:space="preserve">A. </w:t>
      </w:r>
    </w:p>
    <w:p w14:paraId="2E007517" w14:textId="08BD0E21" w:rsidR="00747A79" w:rsidRDefault="00747A79" w:rsidP="00363EEB">
      <w:pPr>
        <w:spacing w:line="276" w:lineRule="auto"/>
        <w:jc w:val="both"/>
        <w:rPr>
          <w:rFonts w:ascii="Times New Roman" w:hAnsi="Times New Roman" w:cs="Times New Roman"/>
          <w:sz w:val="24"/>
          <w:szCs w:val="24"/>
        </w:rPr>
      </w:pPr>
      <w:r>
        <w:rPr>
          <w:rFonts w:ascii="Times New Roman" w:hAnsi="Times New Roman" w:cs="Times New Roman"/>
          <w:sz w:val="24"/>
          <w:szCs w:val="24"/>
        </w:rPr>
        <w:t>The substituted step</w:t>
      </w:r>
      <w:r w:rsidR="00AD1E57">
        <w:rPr>
          <w:rFonts w:ascii="Times New Roman" w:hAnsi="Times New Roman" w:cs="Times New Roman"/>
          <w:sz w:val="24"/>
          <w:szCs w:val="24"/>
        </w:rPr>
        <w:t>s</w:t>
      </w:r>
      <w:r>
        <w:rPr>
          <w:rFonts w:ascii="Times New Roman" w:hAnsi="Times New Roman" w:cs="Times New Roman"/>
          <w:sz w:val="24"/>
          <w:szCs w:val="24"/>
        </w:rPr>
        <w:t xml:space="preserve"> </w:t>
      </w:r>
      <w:r w:rsidR="00AD1E57">
        <w:rPr>
          <w:rFonts w:ascii="Times New Roman" w:hAnsi="Times New Roman" w:cs="Times New Roman"/>
          <w:sz w:val="24"/>
          <w:szCs w:val="24"/>
        </w:rPr>
        <w:t>are</w:t>
      </w:r>
      <w:r>
        <w:rPr>
          <w:rFonts w:ascii="Times New Roman" w:hAnsi="Times New Roman" w:cs="Times New Roman"/>
          <w:sz w:val="24"/>
          <w:szCs w:val="24"/>
        </w:rPr>
        <w:t xml:space="preserve"> the same for both methods</w:t>
      </w:r>
      <w:r w:rsidR="00ED07B8">
        <w:rPr>
          <w:rFonts w:ascii="Times New Roman" w:hAnsi="Times New Roman" w:cs="Times New Roman"/>
          <w:sz w:val="24"/>
          <w:szCs w:val="24"/>
        </w:rPr>
        <w:t xml:space="preserve">. </w:t>
      </w:r>
      <w:r w:rsidR="00440F72">
        <w:rPr>
          <w:rFonts w:ascii="Times New Roman" w:hAnsi="Times New Roman" w:cs="Times New Roman"/>
          <w:sz w:val="24"/>
          <w:szCs w:val="24"/>
        </w:rPr>
        <w:t>The first substituted step provides</w:t>
      </w:r>
      <w:r w:rsidR="00693EAC">
        <w:rPr>
          <w:rFonts w:ascii="Times New Roman" w:hAnsi="Times New Roman" w:cs="Times New Roman"/>
          <w:sz w:val="24"/>
          <w:szCs w:val="24"/>
        </w:rPr>
        <w:t xml:space="preserve"> that</w:t>
      </w:r>
      <w:r w:rsidR="00440F72">
        <w:rPr>
          <w:rFonts w:ascii="Times New Roman" w:hAnsi="Times New Roman" w:cs="Times New Roman"/>
          <w:sz w:val="24"/>
          <w:szCs w:val="24"/>
        </w:rPr>
        <w:t xml:space="preserve"> </w:t>
      </w:r>
      <w:r w:rsidR="00463717">
        <w:rPr>
          <w:rFonts w:ascii="Times New Roman" w:hAnsi="Times New Roman" w:cs="Times New Roman"/>
          <w:sz w:val="24"/>
          <w:szCs w:val="24"/>
        </w:rPr>
        <w:t>the 10</w:t>
      </w:r>
      <w:r w:rsidR="152570AD" w:rsidRPr="41A51A67">
        <w:rPr>
          <w:rFonts w:ascii="Times New Roman" w:hAnsi="Times New Roman" w:cs="Times New Roman"/>
          <w:sz w:val="24"/>
          <w:szCs w:val="24"/>
        </w:rPr>
        <w:t>-</w:t>
      </w:r>
      <w:r w:rsidR="00463717">
        <w:rPr>
          <w:rFonts w:ascii="Times New Roman" w:hAnsi="Times New Roman" w:cs="Times New Roman"/>
          <w:sz w:val="24"/>
          <w:szCs w:val="24"/>
        </w:rPr>
        <w:t xml:space="preserve">year MWh savings should be rounded down to the nearest lower whole number. </w:t>
      </w:r>
      <w:r w:rsidR="00004611">
        <w:rPr>
          <w:rFonts w:ascii="Times New Roman" w:hAnsi="Times New Roman" w:cs="Times New Roman"/>
          <w:sz w:val="24"/>
          <w:szCs w:val="24"/>
        </w:rPr>
        <w:t xml:space="preserve">The </w:t>
      </w:r>
      <w:r w:rsidR="00463717">
        <w:rPr>
          <w:rFonts w:ascii="Times New Roman" w:hAnsi="Times New Roman" w:cs="Times New Roman"/>
          <w:sz w:val="24"/>
          <w:szCs w:val="24"/>
        </w:rPr>
        <w:t>second</w:t>
      </w:r>
      <w:r w:rsidR="00004611">
        <w:rPr>
          <w:rFonts w:ascii="Times New Roman" w:hAnsi="Times New Roman" w:cs="Times New Roman"/>
          <w:sz w:val="24"/>
          <w:szCs w:val="24"/>
        </w:rPr>
        <w:t xml:space="preserve"> step</w:t>
      </w:r>
      <w:r w:rsidR="007D4743">
        <w:rPr>
          <w:rFonts w:ascii="Times New Roman" w:hAnsi="Times New Roman" w:cs="Times New Roman"/>
          <w:sz w:val="24"/>
          <w:szCs w:val="24"/>
        </w:rPr>
        <w:t xml:space="preserve"> </w:t>
      </w:r>
      <w:r w:rsidR="00463717">
        <w:rPr>
          <w:rFonts w:ascii="Times New Roman" w:hAnsi="Times New Roman" w:cs="Times New Roman"/>
          <w:sz w:val="24"/>
          <w:szCs w:val="24"/>
        </w:rPr>
        <w:t>provides, if the SWH was installed on or after 1 January 2022,</w:t>
      </w:r>
      <w:r w:rsidR="00A007F7">
        <w:rPr>
          <w:rFonts w:ascii="Times New Roman" w:hAnsi="Times New Roman" w:cs="Times New Roman"/>
          <w:sz w:val="24"/>
          <w:szCs w:val="24"/>
        </w:rPr>
        <w:t xml:space="preserve"> </w:t>
      </w:r>
      <w:r w:rsidR="00296F32">
        <w:rPr>
          <w:rFonts w:ascii="Times New Roman" w:hAnsi="Times New Roman" w:cs="Times New Roman"/>
          <w:sz w:val="24"/>
          <w:szCs w:val="24"/>
        </w:rPr>
        <w:t>th</w:t>
      </w:r>
      <w:r w:rsidR="00A007F7">
        <w:rPr>
          <w:rFonts w:ascii="Times New Roman" w:hAnsi="Times New Roman" w:cs="Times New Roman"/>
          <w:sz w:val="24"/>
          <w:szCs w:val="24"/>
        </w:rPr>
        <w:t>e</w:t>
      </w:r>
      <w:r w:rsidR="00296F32">
        <w:rPr>
          <w:rFonts w:ascii="Times New Roman" w:hAnsi="Times New Roman" w:cs="Times New Roman"/>
          <w:sz w:val="24"/>
          <w:szCs w:val="24"/>
        </w:rPr>
        <w:t xml:space="preserve"> </w:t>
      </w:r>
      <w:r w:rsidR="004B4FFB">
        <w:rPr>
          <w:rFonts w:ascii="Times New Roman" w:hAnsi="Times New Roman" w:cs="Times New Roman"/>
          <w:sz w:val="24"/>
          <w:szCs w:val="24"/>
        </w:rPr>
        <w:t>10-year MWh savings figure calculated</w:t>
      </w:r>
      <w:r w:rsidR="00A007F7">
        <w:rPr>
          <w:rFonts w:ascii="Times New Roman" w:hAnsi="Times New Roman" w:cs="Times New Roman"/>
          <w:sz w:val="24"/>
          <w:szCs w:val="24"/>
        </w:rPr>
        <w:t xml:space="preserve"> in the previous step</w:t>
      </w:r>
      <w:r w:rsidR="00463717">
        <w:rPr>
          <w:rFonts w:ascii="Times New Roman" w:hAnsi="Times New Roman" w:cs="Times New Roman"/>
          <w:sz w:val="24"/>
          <w:szCs w:val="24"/>
        </w:rPr>
        <w:t xml:space="preserve"> </w:t>
      </w:r>
      <w:r w:rsidR="003E493F">
        <w:rPr>
          <w:rFonts w:ascii="Times New Roman" w:hAnsi="Times New Roman" w:cs="Times New Roman"/>
          <w:sz w:val="24"/>
          <w:szCs w:val="24"/>
        </w:rPr>
        <w:t xml:space="preserve">will be multiplied </w:t>
      </w:r>
      <w:r w:rsidR="00DA19F1">
        <w:rPr>
          <w:rFonts w:ascii="Times New Roman" w:hAnsi="Times New Roman" w:cs="Times New Roman"/>
          <w:sz w:val="24"/>
          <w:szCs w:val="24"/>
        </w:rPr>
        <w:t>by the factor</w:t>
      </w:r>
      <w:r w:rsidR="00E76E63">
        <w:rPr>
          <w:rFonts w:ascii="Times New Roman" w:hAnsi="Times New Roman" w:cs="Times New Roman"/>
          <w:sz w:val="24"/>
          <w:szCs w:val="24"/>
        </w:rPr>
        <w:t xml:space="preserve"> </w:t>
      </w:r>
      <w:r w:rsidR="00DA19F1">
        <w:rPr>
          <w:rFonts w:ascii="Times New Roman" w:hAnsi="Times New Roman" w:cs="Times New Roman"/>
          <w:sz w:val="24"/>
          <w:szCs w:val="24"/>
        </w:rPr>
        <w:t xml:space="preserve">specified in </w:t>
      </w:r>
      <w:r w:rsidR="00E76E63">
        <w:rPr>
          <w:rFonts w:ascii="Times New Roman" w:hAnsi="Times New Roman" w:cs="Times New Roman"/>
          <w:sz w:val="24"/>
          <w:szCs w:val="24"/>
        </w:rPr>
        <w:t>column 2</w:t>
      </w:r>
      <w:r w:rsidR="007621F9">
        <w:rPr>
          <w:rFonts w:ascii="Times New Roman" w:hAnsi="Times New Roman" w:cs="Times New Roman"/>
          <w:sz w:val="24"/>
          <w:szCs w:val="24"/>
        </w:rPr>
        <w:t xml:space="preserve"> </w:t>
      </w:r>
      <w:r w:rsidR="00E76E63">
        <w:rPr>
          <w:rFonts w:ascii="Times New Roman" w:hAnsi="Times New Roman" w:cs="Times New Roman"/>
          <w:sz w:val="24"/>
          <w:szCs w:val="24"/>
        </w:rPr>
        <w:t xml:space="preserve">of </w:t>
      </w:r>
      <w:r w:rsidR="00DA19F1">
        <w:rPr>
          <w:rFonts w:ascii="Times New Roman" w:hAnsi="Times New Roman" w:cs="Times New Roman"/>
          <w:sz w:val="24"/>
          <w:szCs w:val="24"/>
        </w:rPr>
        <w:t xml:space="preserve">the </w:t>
      </w:r>
      <w:r w:rsidR="00460D71">
        <w:rPr>
          <w:rFonts w:ascii="Times New Roman" w:hAnsi="Times New Roman" w:cs="Times New Roman"/>
          <w:sz w:val="24"/>
          <w:szCs w:val="24"/>
        </w:rPr>
        <w:t xml:space="preserve">below </w:t>
      </w:r>
      <w:r w:rsidR="00DA19F1">
        <w:rPr>
          <w:rFonts w:ascii="Times New Roman" w:hAnsi="Times New Roman" w:cs="Times New Roman"/>
          <w:sz w:val="24"/>
          <w:szCs w:val="24"/>
        </w:rPr>
        <w:t>table</w:t>
      </w:r>
      <w:r w:rsidR="004B4FFB">
        <w:rPr>
          <w:rFonts w:ascii="Times New Roman" w:hAnsi="Times New Roman" w:cs="Times New Roman"/>
          <w:sz w:val="24"/>
          <w:szCs w:val="24"/>
        </w:rPr>
        <w:t xml:space="preserve"> </w:t>
      </w:r>
      <w:r w:rsidR="002C0225">
        <w:rPr>
          <w:rFonts w:ascii="Times New Roman" w:hAnsi="Times New Roman" w:cs="Times New Roman"/>
          <w:sz w:val="24"/>
          <w:szCs w:val="24"/>
        </w:rPr>
        <w:t>and</w:t>
      </w:r>
      <w:r w:rsidR="00B87C0B">
        <w:rPr>
          <w:rFonts w:ascii="Times New Roman" w:hAnsi="Times New Roman" w:cs="Times New Roman"/>
          <w:sz w:val="24"/>
          <w:szCs w:val="24"/>
        </w:rPr>
        <w:t xml:space="preserve"> </w:t>
      </w:r>
      <w:r w:rsidR="00461192">
        <w:rPr>
          <w:rFonts w:ascii="Times New Roman" w:hAnsi="Times New Roman" w:cs="Times New Roman"/>
          <w:sz w:val="24"/>
          <w:szCs w:val="24"/>
        </w:rPr>
        <w:t xml:space="preserve">then </w:t>
      </w:r>
      <w:r w:rsidR="003E493F">
        <w:rPr>
          <w:rFonts w:ascii="Times New Roman" w:hAnsi="Times New Roman" w:cs="Times New Roman"/>
          <w:sz w:val="24"/>
          <w:szCs w:val="24"/>
        </w:rPr>
        <w:t>rounded down to the nearest lower whole number.</w:t>
      </w:r>
    </w:p>
    <w:p w14:paraId="7E6CCC1D" w14:textId="2EDF80E1" w:rsidR="00640FAC" w:rsidRDefault="00640FAC" w:rsidP="00363EEB">
      <w:pPr>
        <w:spacing w:line="276" w:lineRule="auto"/>
        <w:jc w:val="both"/>
        <w:rPr>
          <w:rFonts w:ascii="Times New Roman" w:hAnsi="Times New Roman" w:cs="Times New Roman"/>
          <w:sz w:val="24"/>
          <w:szCs w:val="24"/>
        </w:rPr>
      </w:pPr>
    </w:p>
    <w:p w14:paraId="4F5FF375" w14:textId="7616985E" w:rsidR="00640FAC" w:rsidRDefault="00640FAC" w:rsidP="00363EEB">
      <w:pPr>
        <w:spacing w:line="276" w:lineRule="auto"/>
        <w:jc w:val="both"/>
        <w:rPr>
          <w:rFonts w:ascii="Times New Roman" w:hAnsi="Times New Roman" w:cs="Times New Roman"/>
          <w:sz w:val="24"/>
          <w:szCs w:val="24"/>
        </w:rPr>
      </w:pPr>
    </w:p>
    <w:p w14:paraId="5BE036F9" w14:textId="77777777" w:rsidR="00674520" w:rsidRDefault="00674520" w:rsidP="00363EEB">
      <w:pPr>
        <w:spacing w:line="276" w:lineRule="auto"/>
        <w:jc w:val="both"/>
        <w:rPr>
          <w:rFonts w:ascii="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3825"/>
        <w:gridCol w:w="3840"/>
      </w:tblGrid>
      <w:tr w:rsidR="00640FAC" w:rsidRPr="00640FAC" w14:paraId="50A05E34" w14:textId="77777777" w:rsidTr="00640FAC">
        <w:tc>
          <w:tcPr>
            <w:tcW w:w="8520" w:type="dxa"/>
            <w:gridSpan w:val="3"/>
            <w:tcBorders>
              <w:top w:val="single" w:sz="12" w:space="0" w:color="auto"/>
              <w:left w:val="nil"/>
              <w:bottom w:val="single" w:sz="6" w:space="0" w:color="auto"/>
              <w:right w:val="nil"/>
            </w:tcBorders>
            <w:shd w:val="clear" w:color="auto" w:fill="auto"/>
            <w:hideMark/>
          </w:tcPr>
          <w:p w14:paraId="26095F79" w14:textId="77777777" w:rsidR="00640FAC" w:rsidRPr="00640FAC" w:rsidRDefault="00640FAC" w:rsidP="00640FAC">
            <w:pPr>
              <w:spacing w:after="0" w:line="240" w:lineRule="auto"/>
              <w:textAlignment w:val="baseline"/>
              <w:rPr>
                <w:rFonts w:ascii="Segoe UI" w:eastAsia="Times New Roman" w:hAnsi="Segoe UI" w:cs="Segoe UI"/>
                <w:b/>
                <w:bCs/>
                <w:sz w:val="24"/>
                <w:szCs w:val="24"/>
                <w:lang w:eastAsia="en-AU"/>
              </w:rPr>
            </w:pPr>
            <w:r w:rsidRPr="00640FAC">
              <w:rPr>
                <w:rFonts w:ascii="Times New Roman" w:eastAsia="Times New Roman" w:hAnsi="Times New Roman" w:cs="Times New Roman"/>
                <w:b/>
                <w:bCs/>
                <w:sz w:val="24"/>
                <w:szCs w:val="24"/>
                <w:lang w:eastAsia="en-AU"/>
              </w:rPr>
              <w:t>Reduction factor </w:t>
            </w:r>
          </w:p>
        </w:tc>
      </w:tr>
      <w:tr w:rsidR="00640FAC" w:rsidRPr="00640FAC" w14:paraId="2291F1BC" w14:textId="77777777" w:rsidTr="00640FAC">
        <w:tc>
          <w:tcPr>
            <w:tcW w:w="855" w:type="dxa"/>
            <w:tcBorders>
              <w:top w:val="single" w:sz="6" w:space="0" w:color="auto"/>
              <w:left w:val="nil"/>
              <w:bottom w:val="nil"/>
              <w:right w:val="nil"/>
            </w:tcBorders>
            <w:shd w:val="clear" w:color="auto" w:fill="auto"/>
            <w:hideMark/>
          </w:tcPr>
          <w:p w14:paraId="334AC20A" w14:textId="77777777" w:rsidR="00640FAC" w:rsidRPr="00640FAC" w:rsidRDefault="00640FAC" w:rsidP="00640FAC">
            <w:pPr>
              <w:spacing w:after="0" w:line="240" w:lineRule="auto"/>
              <w:textAlignment w:val="baseline"/>
              <w:rPr>
                <w:rFonts w:ascii="Segoe UI" w:eastAsia="Times New Roman" w:hAnsi="Segoe UI" w:cs="Segoe UI"/>
                <w:b/>
                <w:bCs/>
                <w:sz w:val="24"/>
                <w:szCs w:val="24"/>
                <w:lang w:eastAsia="en-AU"/>
              </w:rPr>
            </w:pPr>
            <w:r w:rsidRPr="00640FAC">
              <w:rPr>
                <w:rFonts w:ascii="Times New Roman" w:eastAsia="Times New Roman" w:hAnsi="Times New Roman" w:cs="Times New Roman"/>
                <w:b/>
                <w:bCs/>
                <w:sz w:val="24"/>
                <w:szCs w:val="24"/>
                <w:lang w:eastAsia="en-AU"/>
              </w:rPr>
              <w:t>Item </w:t>
            </w:r>
          </w:p>
        </w:tc>
        <w:tc>
          <w:tcPr>
            <w:tcW w:w="3825" w:type="dxa"/>
            <w:tcBorders>
              <w:top w:val="single" w:sz="6" w:space="0" w:color="auto"/>
              <w:left w:val="nil"/>
              <w:bottom w:val="nil"/>
              <w:right w:val="nil"/>
            </w:tcBorders>
            <w:shd w:val="clear" w:color="auto" w:fill="auto"/>
            <w:hideMark/>
          </w:tcPr>
          <w:p w14:paraId="5602C89B" w14:textId="77777777" w:rsidR="00640FAC" w:rsidRPr="00640FAC" w:rsidRDefault="00640FAC" w:rsidP="00640FAC">
            <w:pPr>
              <w:spacing w:after="0" w:line="240" w:lineRule="auto"/>
              <w:textAlignment w:val="baseline"/>
              <w:rPr>
                <w:rFonts w:ascii="Segoe UI" w:eastAsia="Times New Roman" w:hAnsi="Segoe UI" w:cs="Segoe UI"/>
                <w:b/>
                <w:bCs/>
                <w:sz w:val="24"/>
                <w:szCs w:val="24"/>
                <w:lang w:eastAsia="en-AU"/>
              </w:rPr>
            </w:pPr>
            <w:r w:rsidRPr="00640FAC">
              <w:rPr>
                <w:rFonts w:ascii="Times New Roman" w:eastAsia="Times New Roman" w:hAnsi="Times New Roman" w:cs="Times New Roman"/>
                <w:b/>
                <w:bCs/>
                <w:sz w:val="24"/>
                <w:szCs w:val="24"/>
                <w:lang w:eastAsia="en-AU"/>
              </w:rPr>
              <w:t>Column 1 </w:t>
            </w:r>
            <w:r w:rsidRPr="00640FAC">
              <w:rPr>
                <w:rFonts w:ascii="Times New Roman" w:eastAsia="Times New Roman" w:hAnsi="Times New Roman" w:cs="Times New Roman"/>
                <w:b/>
                <w:bCs/>
                <w:sz w:val="24"/>
                <w:szCs w:val="24"/>
                <w:lang w:eastAsia="en-AU"/>
              </w:rPr>
              <w:br/>
              <w:t>Year small SWH or ASHP installed </w:t>
            </w:r>
          </w:p>
        </w:tc>
        <w:tc>
          <w:tcPr>
            <w:tcW w:w="3825" w:type="dxa"/>
            <w:tcBorders>
              <w:top w:val="single" w:sz="6" w:space="0" w:color="auto"/>
              <w:left w:val="nil"/>
              <w:bottom w:val="nil"/>
              <w:right w:val="nil"/>
            </w:tcBorders>
            <w:shd w:val="clear" w:color="auto" w:fill="auto"/>
            <w:hideMark/>
          </w:tcPr>
          <w:p w14:paraId="43D6CD62" w14:textId="77777777" w:rsidR="00640FAC" w:rsidRPr="00640FAC" w:rsidRDefault="00640FAC" w:rsidP="00640FAC">
            <w:pPr>
              <w:spacing w:after="0" w:line="240" w:lineRule="auto"/>
              <w:textAlignment w:val="baseline"/>
              <w:rPr>
                <w:rFonts w:ascii="Segoe UI" w:eastAsia="Times New Roman" w:hAnsi="Segoe UI" w:cs="Segoe UI"/>
                <w:b/>
                <w:bCs/>
                <w:sz w:val="24"/>
                <w:szCs w:val="24"/>
                <w:lang w:eastAsia="en-AU"/>
              </w:rPr>
            </w:pPr>
            <w:r w:rsidRPr="00640FAC">
              <w:rPr>
                <w:rFonts w:ascii="Times New Roman" w:eastAsia="Times New Roman" w:hAnsi="Times New Roman" w:cs="Times New Roman"/>
                <w:b/>
                <w:bCs/>
                <w:sz w:val="24"/>
                <w:szCs w:val="24"/>
                <w:lang w:eastAsia="en-AU"/>
              </w:rPr>
              <w:t>Column 2 </w:t>
            </w:r>
            <w:r w:rsidRPr="00640FAC">
              <w:rPr>
                <w:rFonts w:ascii="Times New Roman" w:eastAsia="Times New Roman" w:hAnsi="Times New Roman" w:cs="Times New Roman"/>
                <w:b/>
                <w:bCs/>
                <w:sz w:val="24"/>
                <w:szCs w:val="24"/>
                <w:lang w:eastAsia="en-AU"/>
              </w:rPr>
              <w:br/>
              <w:t>Factor </w:t>
            </w:r>
          </w:p>
        </w:tc>
      </w:tr>
      <w:tr w:rsidR="00640FAC" w:rsidRPr="00640FAC" w14:paraId="710828AA" w14:textId="77777777" w:rsidTr="00640FAC">
        <w:tc>
          <w:tcPr>
            <w:tcW w:w="855" w:type="dxa"/>
            <w:tcBorders>
              <w:top w:val="single" w:sz="12" w:space="0" w:color="auto"/>
              <w:left w:val="nil"/>
              <w:bottom w:val="single" w:sz="6" w:space="0" w:color="auto"/>
              <w:right w:val="nil"/>
            </w:tcBorders>
            <w:shd w:val="clear" w:color="auto" w:fill="auto"/>
            <w:hideMark/>
          </w:tcPr>
          <w:p w14:paraId="53F37790"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1 </w:t>
            </w:r>
          </w:p>
        </w:tc>
        <w:tc>
          <w:tcPr>
            <w:tcW w:w="3825" w:type="dxa"/>
            <w:tcBorders>
              <w:top w:val="single" w:sz="12" w:space="0" w:color="auto"/>
              <w:left w:val="nil"/>
              <w:bottom w:val="single" w:sz="6" w:space="0" w:color="auto"/>
              <w:right w:val="nil"/>
            </w:tcBorders>
            <w:shd w:val="clear" w:color="auto" w:fill="auto"/>
            <w:hideMark/>
          </w:tcPr>
          <w:p w14:paraId="3E3EA6FB"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2022 </w:t>
            </w:r>
          </w:p>
        </w:tc>
        <w:tc>
          <w:tcPr>
            <w:tcW w:w="3825" w:type="dxa"/>
            <w:tcBorders>
              <w:top w:val="single" w:sz="12" w:space="0" w:color="auto"/>
              <w:left w:val="nil"/>
              <w:bottom w:val="single" w:sz="6" w:space="0" w:color="auto"/>
              <w:right w:val="nil"/>
            </w:tcBorders>
            <w:shd w:val="clear" w:color="auto" w:fill="auto"/>
            <w:hideMark/>
          </w:tcPr>
          <w:p w14:paraId="0498B298"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0.9 </w:t>
            </w:r>
          </w:p>
        </w:tc>
      </w:tr>
      <w:tr w:rsidR="00640FAC" w:rsidRPr="00640FAC" w14:paraId="1B90E278" w14:textId="77777777" w:rsidTr="00640FAC">
        <w:tc>
          <w:tcPr>
            <w:tcW w:w="855" w:type="dxa"/>
            <w:tcBorders>
              <w:top w:val="single" w:sz="6" w:space="0" w:color="auto"/>
              <w:left w:val="nil"/>
              <w:bottom w:val="single" w:sz="6" w:space="0" w:color="auto"/>
              <w:right w:val="nil"/>
            </w:tcBorders>
            <w:shd w:val="clear" w:color="auto" w:fill="auto"/>
            <w:hideMark/>
          </w:tcPr>
          <w:p w14:paraId="610CEB7B"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2 </w:t>
            </w:r>
          </w:p>
        </w:tc>
        <w:tc>
          <w:tcPr>
            <w:tcW w:w="3825" w:type="dxa"/>
            <w:tcBorders>
              <w:top w:val="single" w:sz="6" w:space="0" w:color="auto"/>
              <w:left w:val="nil"/>
              <w:bottom w:val="single" w:sz="6" w:space="0" w:color="auto"/>
              <w:right w:val="nil"/>
            </w:tcBorders>
            <w:shd w:val="clear" w:color="auto" w:fill="auto"/>
            <w:hideMark/>
          </w:tcPr>
          <w:p w14:paraId="47B2B2E9"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2023 </w:t>
            </w:r>
          </w:p>
        </w:tc>
        <w:tc>
          <w:tcPr>
            <w:tcW w:w="3825" w:type="dxa"/>
            <w:tcBorders>
              <w:top w:val="single" w:sz="6" w:space="0" w:color="auto"/>
              <w:left w:val="nil"/>
              <w:bottom w:val="single" w:sz="6" w:space="0" w:color="auto"/>
              <w:right w:val="nil"/>
            </w:tcBorders>
            <w:shd w:val="clear" w:color="auto" w:fill="auto"/>
            <w:hideMark/>
          </w:tcPr>
          <w:p w14:paraId="2D867DB2"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0.8 </w:t>
            </w:r>
          </w:p>
        </w:tc>
      </w:tr>
      <w:tr w:rsidR="00640FAC" w:rsidRPr="00640FAC" w14:paraId="39525BCF" w14:textId="77777777" w:rsidTr="00640FAC">
        <w:tc>
          <w:tcPr>
            <w:tcW w:w="855" w:type="dxa"/>
            <w:tcBorders>
              <w:top w:val="single" w:sz="6" w:space="0" w:color="auto"/>
              <w:left w:val="nil"/>
              <w:bottom w:val="single" w:sz="6" w:space="0" w:color="auto"/>
              <w:right w:val="nil"/>
            </w:tcBorders>
            <w:shd w:val="clear" w:color="auto" w:fill="auto"/>
            <w:hideMark/>
          </w:tcPr>
          <w:p w14:paraId="204CD00A"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3 </w:t>
            </w:r>
          </w:p>
        </w:tc>
        <w:tc>
          <w:tcPr>
            <w:tcW w:w="3825" w:type="dxa"/>
            <w:tcBorders>
              <w:top w:val="single" w:sz="6" w:space="0" w:color="auto"/>
              <w:left w:val="nil"/>
              <w:bottom w:val="single" w:sz="6" w:space="0" w:color="auto"/>
              <w:right w:val="nil"/>
            </w:tcBorders>
            <w:shd w:val="clear" w:color="auto" w:fill="auto"/>
            <w:hideMark/>
          </w:tcPr>
          <w:p w14:paraId="3DD5DD2F"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2024 </w:t>
            </w:r>
          </w:p>
        </w:tc>
        <w:tc>
          <w:tcPr>
            <w:tcW w:w="3825" w:type="dxa"/>
            <w:tcBorders>
              <w:top w:val="single" w:sz="6" w:space="0" w:color="auto"/>
              <w:left w:val="nil"/>
              <w:bottom w:val="single" w:sz="6" w:space="0" w:color="auto"/>
              <w:right w:val="nil"/>
            </w:tcBorders>
            <w:shd w:val="clear" w:color="auto" w:fill="auto"/>
            <w:hideMark/>
          </w:tcPr>
          <w:p w14:paraId="50932DD6"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0.7 </w:t>
            </w:r>
          </w:p>
        </w:tc>
      </w:tr>
      <w:tr w:rsidR="00640FAC" w:rsidRPr="00640FAC" w14:paraId="61FB0BBB" w14:textId="77777777" w:rsidTr="00640FAC">
        <w:tc>
          <w:tcPr>
            <w:tcW w:w="855" w:type="dxa"/>
            <w:tcBorders>
              <w:top w:val="single" w:sz="6" w:space="0" w:color="auto"/>
              <w:left w:val="nil"/>
              <w:bottom w:val="single" w:sz="6" w:space="0" w:color="auto"/>
              <w:right w:val="nil"/>
            </w:tcBorders>
            <w:shd w:val="clear" w:color="auto" w:fill="auto"/>
            <w:hideMark/>
          </w:tcPr>
          <w:p w14:paraId="2798F1B6"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4 </w:t>
            </w:r>
          </w:p>
        </w:tc>
        <w:tc>
          <w:tcPr>
            <w:tcW w:w="3825" w:type="dxa"/>
            <w:tcBorders>
              <w:top w:val="single" w:sz="6" w:space="0" w:color="auto"/>
              <w:left w:val="nil"/>
              <w:bottom w:val="single" w:sz="6" w:space="0" w:color="auto"/>
              <w:right w:val="nil"/>
            </w:tcBorders>
            <w:shd w:val="clear" w:color="auto" w:fill="auto"/>
            <w:hideMark/>
          </w:tcPr>
          <w:p w14:paraId="317DA0F8"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2025 </w:t>
            </w:r>
          </w:p>
        </w:tc>
        <w:tc>
          <w:tcPr>
            <w:tcW w:w="3825" w:type="dxa"/>
            <w:tcBorders>
              <w:top w:val="single" w:sz="6" w:space="0" w:color="auto"/>
              <w:left w:val="nil"/>
              <w:bottom w:val="single" w:sz="6" w:space="0" w:color="auto"/>
              <w:right w:val="nil"/>
            </w:tcBorders>
            <w:shd w:val="clear" w:color="auto" w:fill="auto"/>
            <w:hideMark/>
          </w:tcPr>
          <w:p w14:paraId="3B95195E"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0.6 </w:t>
            </w:r>
          </w:p>
        </w:tc>
      </w:tr>
      <w:tr w:rsidR="00640FAC" w:rsidRPr="00640FAC" w14:paraId="47F3C354" w14:textId="77777777" w:rsidTr="00640FAC">
        <w:tc>
          <w:tcPr>
            <w:tcW w:w="855" w:type="dxa"/>
            <w:tcBorders>
              <w:top w:val="single" w:sz="6" w:space="0" w:color="auto"/>
              <w:left w:val="nil"/>
              <w:bottom w:val="single" w:sz="6" w:space="0" w:color="auto"/>
              <w:right w:val="nil"/>
            </w:tcBorders>
            <w:shd w:val="clear" w:color="auto" w:fill="auto"/>
            <w:hideMark/>
          </w:tcPr>
          <w:p w14:paraId="76FDE3F1"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5 </w:t>
            </w:r>
          </w:p>
        </w:tc>
        <w:tc>
          <w:tcPr>
            <w:tcW w:w="3825" w:type="dxa"/>
            <w:tcBorders>
              <w:top w:val="single" w:sz="6" w:space="0" w:color="auto"/>
              <w:left w:val="nil"/>
              <w:bottom w:val="single" w:sz="6" w:space="0" w:color="auto"/>
              <w:right w:val="nil"/>
            </w:tcBorders>
            <w:shd w:val="clear" w:color="auto" w:fill="auto"/>
            <w:hideMark/>
          </w:tcPr>
          <w:p w14:paraId="051E7AAF"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2026 </w:t>
            </w:r>
          </w:p>
        </w:tc>
        <w:tc>
          <w:tcPr>
            <w:tcW w:w="3825" w:type="dxa"/>
            <w:tcBorders>
              <w:top w:val="single" w:sz="6" w:space="0" w:color="auto"/>
              <w:left w:val="nil"/>
              <w:bottom w:val="single" w:sz="6" w:space="0" w:color="auto"/>
              <w:right w:val="nil"/>
            </w:tcBorders>
            <w:shd w:val="clear" w:color="auto" w:fill="auto"/>
            <w:hideMark/>
          </w:tcPr>
          <w:p w14:paraId="7D552EDD"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0.5 </w:t>
            </w:r>
          </w:p>
        </w:tc>
      </w:tr>
      <w:tr w:rsidR="00640FAC" w:rsidRPr="00640FAC" w14:paraId="17C0CC66" w14:textId="77777777" w:rsidTr="00640FAC">
        <w:tc>
          <w:tcPr>
            <w:tcW w:w="855" w:type="dxa"/>
            <w:tcBorders>
              <w:top w:val="single" w:sz="6" w:space="0" w:color="auto"/>
              <w:left w:val="nil"/>
              <w:bottom w:val="single" w:sz="6" w:space="0" w:color="auto"/>
              <w:right w:val="nil"/>
            </w:tcBorders>
            <w:shd w:val="clear" w:color="auto" w:fill="auto"/>
            <w:hideMark/>
          </w:tcPr>
          <w:p w14:paraId="6D994ED8"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6 </w:t>
            </w:r>
          </w:p>
        </w:tc>
        <w:tc>
          <w:tcPr>
            <w:tcW w:w="3825" w:type="dxa"/>
            <w:tcBorders>
              <w:top w:val="single" w:sz="6" w:space="0" w:color="auto"/>
              <w:left w:val="nil"/>
              <w:bottom w:val="single" w:sz="6" w:space="0" w:color="auto"/>
              <w:right w:val="nil"/>
            </w:tcBorders>
            <w:shd w:val="clear" w:color="auto" w:fill="auto"/>
            <w:hideMark/>
          </w:tcPr>
          <w:p w14:paraId="2D72B2CD"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2027 </w:t>
            </w:r>
          </w:p>
        </w:tc>
        <w:tc>
          <w:tcPr>
            <w:tcW w:w="3825" w:type="dxa"/>
            <w:tcBorders>
              <w:top w:val="single" w:sz="6" w:space="0" w:color="auto"/>
              <w:left w:val="nil"/>
              <w:bottom w:val="single" w:sz="6" w:space="0" w:color="auto"/>
              <w:right w:val="nil"/>
            </w:tcBorders>
            <w:shd w:val="clear" w:color="auto" w:fill="auto"/>
            <w:hideMark/>
          </w:tcPr>
          <w:p w14:paraId="24421F8B"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0.4 </w:t>
            </w:r>
          </w:p>
        </w:tc>
      </w:tr>
      <w:tr w:rsidR="00640FAC" w:rsidRPr="00640FAC" w14:paraId="47F42EFE" w14:textId="77777777" w:rsidTr="00640FAC">
        <w:tc>
          <w:tcPr>
            <w:tcW w:w="855" w:type="dxa"/>
            <w:tcBorders>
              <w:top w:val="single" w:sz="6" w:space="0" w:color="auto"/>
              <w:left w:val="nil"/>
              <w:bottom w:val="single" w:sz="6" w:space="0" w:color="auto"/>
              <w:right w:val="nil"/>
            </w:tcBorders>
            <w:shd w:val="clear" w:color="auto" w:fill="auto"/>
            <w:hideMark/>
          </w:tcPr>
          <w:p w14:paraId="5A6E21AC"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7 </w:t>
            </w:r>
          </w:p>
        </w:tc>
        <w:tc>
          <w:tcPr>
            <w:tcW w:w="3825" w:type="dxa"/>
            <w:tcBorders>
              <w:top w:val="single" w:sz="6" w:space="0" w:color="auto"/>
              <w:left w:val="nil"/>
              <w:bottom w:val="single" w:sz="6" w:space="0" w:color="auto"/>
              <w:right w:val="nil"/>
            </w:tcBorders>
            <w:shd w:val="clear" w:color="auto" w:fill="auto"/>
            <w:hideMark/>
          </w:tcPr>
          <w:p w14:paraId="4E0E9B4D"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2028 </w:t>
            </w:r>
          </w:p>
        </w:tc>
        <w:tc>
          <w:tcPr>
            <w:tcW w:w="3825" w:type="dxa"/>
            <w:tcBorders>
              <w:top w:val="single" w:sz="6" w:space="0" w:color="auto"/>
              <w:left w:val="nil"/>
              <w:bottom w:val="single" w:sz="6" w:space="0" w:color="auto"/>
              <w:right w:val="nil"/>
            </w:tcBorders>
            <w:shd w:val="clear" w:color="auto" w:fill="auto"/>
            <w:hideMark/>
          </w:tcPr>
          <w:p w14:paraId="2168AE51"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0.3 </w:t>
            </w:r>
          </w:p>
        </w:tc>
      </w:tr>
      <w:tr w:rsidR="00640FAC" w:rsidRPr="00640FAC" w14:paraId="1002912F" w14:textId="77777777" w:rsidTr="00640FAC">
        <w:tc>
          <w:tcPr>
            <w:tcW w:w="855" w:type="dxa"/>
            <w:tcBorders>
              <w:top w:val="single" w:sz="6" w:space="0" w:color="auto"/>
              <w:left w:val="nil"/>
              <w:bottom w:val="single" w:sz="6" w:space="0" w:color="auto"/>
              <w:right w:val="nil"/>
            </w:tcBorders>
            <w:shd w:val="clear" w:color="auto" w:fill="auto"/>
            <w:hideMark/>
          </w:tcPr>
          <w:p w14:paraId="7DBBB0BE"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8 </w:t>
            </w:r>
          </w:p>
        </w:tc>
        <w:tc>
          <w:tcPr>
            <w:tcW w:w="3825" w:type="dxa"/>
            <w:tcBorders>
              <w:top w:val="single" w:sz="6" w:space="0" w:color="auto"/>
              <w:left w:val="nil"/>
              <w:bottom w:val="single" w:sz="6" w:space="0" w:color="auto"/>
              <w:right w:val="nil"/>
            </w:tcBorders>
            <w:shd w:val="clear" w:color="auto" w:fill="auto"/>
            <w:hideMark/>
          </w:tcPr>
          <w:p w14:paraId="24786D80"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2029 </w:t>
            </w:r>
          </w:p>
        </w:tc>
        <w:tc>
          <w:tcPr>
            <w:tcW w:w="3825" w:type="dxa"/>
            <w:tcBorders>
              <w:top w:val="single" w:sz="6" w:space="0" w:color="auto"/>
              <w:left w:val="nil"/>
              <w:bottom w:val="single" w:sz="6" w:space="0" w:color="auto"/>
              <w:right w:val="nil"/>
            </w:tcBorders>
            <w:shd w:val="clear" w:color="auto" w:fill="auto"/>
            <w:hideMark/>
          </w:tcPr>
          <w:p w14:paraId="3B0D805F"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0.2 </w:t>
            </w:r>
          </w:p>
        </w:tc>
      </w:tr>
      <w:tr w:rsidR="00640FAC" w:rsidRPr="00640FAC" w14:paraId="5BD537B6" w14:textId="77777777" w:rsidTr="00640FAC">
        <w:tc>
          <w:tcPr>
            <w:tcW w:w="855" w:type="dxa"/>
            <w:tcBorders>
              <w:top w:val="single" w:sz="6" w:space="0" w:color="auto"/>
              <w:left w:val="nil"/>
              <w:bottom w:val="single" w:sz="12" w:space="0" w:color="auto"/>
              <w:right w:val="nil"/>
            </w:tcBorders>
            <w:shd w:val="clear" w:color="auto" w:fill="auto"/>
            <w:hideMark/>
          </w:tcPr>
          <w:p w14:paraId="4D88754A"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9 </w:t>
            </w:r>
          </w:p>
        </w:tc>
        <w:tc>
          <w:tcPr>
            <w:tcW w:w="3825" w:type="dxa"/>
            <w:tcBorders>
              <w:top w:val="single" w:sz="6" w:space="0" w:color="auto"/>
              <w:left w:val="nil"/>
              <w:bottom w:val="single" w:sz="12" w:space="0" w:color="auto"/>
              <w:right w:val="nil"/>
            </w:tcBorders>
            <w:shd w:val="clear" w:color="auto" w:fill="auto"/>
            <w:hideMark/>
          </w:tcPr>
          <w:p w14:paraId="07088116"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2030 </w:t>
            </w:r>
          </w:p>
        </w:tc>
        <w:tc>
          <w:tcPr>
            <w:tcW w:w="3825" w:type="dxa"/>
            <w:tcBorders>
              <w:top w:val="single" w:sz="6" w:space="0" w:color="auto"/>
              <w:left w:val="nil"/>
              <w:bottom w:val="single" w:sz="12" w:space="0" w:color="auto"/>
              <w:right w:val="nil"/>
            </w:tcBorders>
            <w:shd w:val="clear" w:color="auto" w:fill="auto"/>
            <w:hideMark/>
          </w:tcPr>
          <w:p w14:paraId="6C4CDD5D" w14:textId="77777777" w:rsidR="00640FAC" w:rsidRPr="00640FAC" w:rsidRDefault="00640FAC" w:rsidP="00640FAC">
            <w:pPr>
              <w:spacing w:after="0" w:line="240" w:lineRule="auto"/>
              <w:textAlignment w:val="baseline"/>
              <w:rPr>
                <w:rFonts w:ascii="Segoe UI" w:eastAsia="Times New Roman" w:hAnsi="Segoe UI" w:cs="Segoe UI"/>
                <w:sz w:val="24"/>
                <w:szCs w:val="24"/>
                <w:lang w:eastAsia="en-AU"/>
              </w:rPr>
            </w:pPr>
            <w:r w:rsidRPr="00640FAC">
              <w:rPr>
                <w:rFonts w:ascii="Times New Roman" w:eastAsia="Times New Roman" w:hAnsi="Times New Roman" w:cs="Times New Roman"/>
                <w:sz w:val="24"/>
                <w:szCs w:val="24"/>
                <w:lang w:eastAsia="en-AU"/>
              </w:rPr>
              <w:t>0.1 </w:t>
            </w:r>
          </w:p>
        </w:tc>
      </w:tr>
    </w:tbl>
    <w:p w14:paraId="08C30258" w14:textId="77777777" w:rsidR="00640FAC" w:rsidRDefault="00640FAC" w:rsidP="00011102">
      <w:pPr>
        <w:spacing w:line="276" w:lineRule="auto"/>
        <w:jc w:val="both"/>
        <w:rPr>
          <w:rFonts w:ascii="Times New Roman" w:hAnsi="Times New Roman" w:cs="Times New Roman"/>
          <w:sz w:val="24"/>
          <w:szCs w:val="24"/>
        </w:rPr>
      </w:pPr>
    </w:p>
    <w:p w14:paraId="5FE2E318" w14:textId="44AE0947" w:rsidR="00011102" w:rsidRDefault="007C1F90" w:rsidP="00011102">
      <w:pPr>
        <w:spacing w:line="276" w:lineRule="auto"/>
        <w:jc w:val="both"/>
        <w:rPr>
          <w:rFonts w:ascii="Times New Roman" w:hAnsi="Times New Roman" w:cs="Times New Roman"/>
          <w:sz w:val="24"/>
          <w:szCs w:val="24"/>
        </w:rPr>
      </w:pPr>
      <w:r>
        <w:rPr>
          <w:rFonts w:ascii="Times New Roman" w:hAnsi="Times New Roman" w:cs="Times New Roman"/>
          <w:sz w:val="24"/>
          <w:szCs w:val="24"/>
        </w:rPr>
        <w:t>Once amended</w:t>
      </w:r>
      <w:r w:rsidR="0001110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606AE">
        <w:rPr>
          <w:rFonts w:ascii="Times New Roman" w:hAnsi="Times New Roman" w:cs="Times New Roman"/>
          <w:sz w:val="24"/>
          <w:szCs w:val="24"/>
        </w:rPr>
        <w:t xml:space="preserve">modelling in the </w:t>
      </w:r>
      <w:r w:rsidR="00011102">
        <w:rPr>
          <w:rFonts w:ascii="Times New Roman" w:hAnsi="Times New Roman" w:cs="Times New Roman"/>
          <w:sz w:val="24"/>
          <w:szCs w:val="24"/>
        </w:rPr>
        <w:t>d</w:t>
      </w:r>
      <w:r>
        <w:rPr>
          <w:rFonts w:ascii="Times New Roman" w:hAnsi="Times New Roman" w:cs="Times New Roman"/>
          <w:sz w:val="24"/>
          <w:szCs w:val="24"/>
        </w:rPr>
        <w:t xml:space="preserve">etermination will align with </w:t>
      </w:r>
      <w:r w:rsidR="00265BBE">
        <w:rPr>
          <w:rFonts w:ascii="Times New Roman" w:hAnsi="Times New Roman" w:cs="Times New Roman"/>
          <w:sz w:val="24"/>
          <w:szCs w:val="24"/>
        </w:rPr>
        <w:t>regulation 19BE of the Regulations</w:t>
      </w:r>
      <w:r w:rsidR="00EF41D3">
        <w:rPr>
          <w:rFonts w:ascii="Times New Roman" w:hAnsi="Times New Roman" w:cs="Times New Roman"/>
          <w:sz w:val="24"/>
          <w:szCs w:val="24"/>
        </w:rPr>
        <w:t>,</w:t>
      </w:r>
      <w:r w:rsidR="00011102">
        <w:rPr>
          <w:rFonts w:ascii="Times New Roman" w:hAnsi="Times New Roman" w:cs="Times New Roman"/>
          <w:sz w:val="24"/>
          <w:szCs w:val="24"/>
        </w:rPr>
        <w:t xml:space="preserve"> provid</w:t>
      </w:r>
      <w:r w:rsidR="00EF41D3">
        <w:rPr>
          <w:rFonts w:ascii="Times New Roman" w:hAnsi="Times New Roman" w:cs="Times New Roman"/>
          <w:sz w:val="24"/>
          <w:szCs w:val="24"/>
        </w:rPr>
        <w:t>ing</w:t>
      </w:r>
      <w:r w:rsidR="00011102">
        <w:rPr>
          <w:rFonts w:ascii="Times New Roman" w:hAnsi="Times New Roman" w:cs="Times New Roman"/>
          <w:sz w:val="24"/>
          <w:szCs w:val="24"/>
        </w:rPr>
        <w:t xml:space="preserve"> </w:t>
      </w:r>
      <w:r w:rsidR="00A6768F">
        <w:rPr>
          <w:rFonts w:ascii="Times New Roman" w:hAnsi="Times New Roman" w:cs="Times New Roman"/>
          <w:sz w:val="24"/>
          <w:szCs w:val="24"/>
        </w:rPr>
        <w:t>clarity</w:t>
      </w:r>
      <w:r w:rsidR="00011102">
        <w:rPr>
          <w:rFonts w:ascii="Times New Roman" w:hAnsi="Times New Roman" w:cs="Times New Roman"/>
          <w:sz w:val="24"/>
          <w:szCs w:val="24"/>
        </w:rPr>
        <w:t xml:space="preserve"> for the SWH manufacturing industry</w:t>
      </w:r>
      <w:r w:rsidR="00460D71">
        <w:rPr>
          <w:rFonts w:ascii="Times New Roman" w:hAnsi="Times New Roman" w:cs="Times New Roman"/>
          <w:sz w:val="24"/>
          <w:szCs w:val="24"/>
        </w:rPr>
        <w:t>.</w:t>
      </w:r>
      <w:r w:rsidR="00011102">
        <w:rPr>
          <w:rFonts w:ascii="Times New Roman" w:hAnsi="Times New Roman" w:cs="Times New Roman"/>
          <w:sz w:val="24"/>
          <w:szCs w:val="24"/>
        </w:rPr>
        <w:t xml:space="preserve"> </w:t>
      </w:r>
    </w:p>
    <w:p w14:paraId="25BBB016" w14:textId="689A0649" w:rsidR="00BB0F5A" w:rsidRPr="00141F3D" w:rsidRDefault="00BB0F5A" w:rsidP="00141F3D">
      <w:pPr>
        <w:spacing w:line="276" w:lineRule="auto"/>
        <w:jc w:val="both"/>
        <w:rPr>
          <w:rFonts w:ascii="Times New Roman" w:hAnsi="Times New Roman" w:cs="Times New Roman"/>
          <w:sz w:val="24"/>
          <w:szCs w:val="24"/>
        </w:rPr>
      </w:pPr>
      <w:r>
        <w:rPr>
          <w:rFonts w:ascii="Times New Roman" w:hAnsi="Times New Roman"/>
          <w:sz w:val="24"/>
          <w:szCs w:val="24"/>
        </w:rPr>
        <w:t xml:space="preserve">This determination is made under subregulation 19B(1) of the Regulations, as extended by subsection 33(3) of the </w:t>
      </w:r>
      <w:r w:rsidRPr="008B1A58">
        <w:rPr>
          <w:rFonts w:ascii="Times New Roman" w:hAnsi="Times New Roman"/>
          <w:i/>
          <w:sz w:val="24"/>
          <w:szCs w:val="24"/>
        </w:rPr>
        <w:t>Acts Interpretation Act 1901</w:t>
      </w:r>
      <w:r w:rsidRPr="008B1A58">
        <w:rPr>
          <w:rFonts w:ascii="Times New Roman" w:hAnsi="Times New Roman"/>
          <w:sz w:val="24"/>
          <w:szCs w:val="24"/>
        </w:rPr>
        <w:t>.</w:t>
      </w:r>
      <w:r>
        <w:rPr>
          <w:rFonts w:ascii="Times New Roman" w:hAnsi="Times New Roman"/>
          <w:sz w:val="24"/>
          <w:szCs w:val="24"/>
        </w:rPr>
        <w:t xml:space="preserve">  Subsection 33</w:t>
      </w:r>
      <w:r w:rsidRPr="008B1A58">
        <w:rPr>
          <w:rFonts w:ascii="Times New Roman" w:hAnsi="Times New Roman"/>
          <w:sz w:val="24"/>
          <w:szCs w:val="24"/>
        </w:rPr>
        <w:t xml:space="preserve">(3) </w:t>
      </w:r>
      <w:r>
        <w:rPr>
          <w:rFonts w:ascii="Times New Roman" w:hAnsi="Times New Roman"/>
          <w:sz w:val="24"/>
          <w:szCs w:val="24"/>
        </w:rPr>
        <w:t>provides that</w:t>
      </w:r>
      <w:r w:rsidRPr="008B1A58">
        <w:rPr>
          <w:rFonts w:ascii="Times New Roman" w:hAnsi="Times New Roman"/>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w:t>
      </w:r>
      <w:r>
        <w:rPr>
          <w:rFonts w:ascii="Times New Roman" w:hAnsi="Times New Roman"/>
          <w:sz w:val="24"/>
          <w:szCs w:val="24"/>
        </w:rPr>
        <w:t>, or vary any such instrument.</w:t>
      </w:r>
    </w:p>
    <w:p w14:paraId="7DBA58BF" w14:textId="77777777" w:rsidR="00B07CBB" w:rsidRDefault="00BB0F5A" w:rsidP="00B07CBB">
      <w:pPr>
        <w:spacing w:line="240" w:lineRule="auto"/>
        <w:jc w:val="both"/>
        <w:rPr>
          <w:rFonts w:ascii="Times New Roman" w:hAnsi="Times New Roman"/>
          <w:sz w:val="24"/>
        </w:rPr>
      </w:pPr>
      <w:r>
        <w:rPr>
          <w:rFonts w:ascii="Times New Roman" w:hAnsi="Times New Roman"/>
          <w:sz w:val="24"/>
        </w:rPr>
        <w:t xml:space="preserve">This determination is a legislative instrument for the purposes of the </w:t>
      </w:r>
      <w:r>
        <w:rPr>
          <w:rFonts w:ascii="Times New Roman" w:hAnsi="Times New Roman"/>
          <w:i/>
          <w:sz w:val="24"/>
        </w:rPr>
        <w:t>Legislation Act 2003</w:t>
      </w:r>
      <w:r>
        <w:rPr>
          <w:rFonts w:ascii="Times New Roman" w:hAnsi="Times New Roman"/>
          <w:sz w:val="24"/>
        </w:rPr>
        <w:t>.</w:t>
      </w:r>
    </w:p>
    <w:p w14:paraId="6156A329" w14:textId="5AEB7957" w:rsidR="00B07CBB" w:rsidRPr="00B07CBB" w:rsidRDefault="00BB0F5A" w:rsidP="00B07CBB">
      <w:pPr>
        <w:spacing w:line="240" w:lineRule="auto"/>
        <w:jc w:val="both"/>
        <w:rPr>
          <w:rFonts w:ascii="Times New Roman" w:hAnsi="Times New Roman"/>
          <w:sz w:val="24"/>
        </w:rPr>
      </w:pPr>
      <w:r>
        <w:rPr>
          <w:rFonts w:ascii="Times New Roman" w:hAnsi="Times New Roman"/>
          <w:sz w:val="24"/>
          <w:szCs w:val="24"/>
        </w:rPr>
        <w:t xml:space="preserve">This determination commences on 1 January 2022. </w:t>
      </w:r>
    </w:p>
    <w:p w14:paraId="5A3939D3" w14:textId="169AEA21" w:rsidR="00BB0F5A" w:rsidRDefault="00BB0F5A" w:rsidP="00B07CBB">
      <w:pPr>
        <w:spacing w:after="0" w:line="240" w:lineRule="auto"/>
        <w:jc w:val="both"/>
        <w:rPr>
          <w:rFonts w:ascii="Times New Roman" w:hAnsi="Times New Roman"/>
          <w:sz w:val="24"/>
        </w:rPr>
      </w:pPr>
      <w:r>
        <w:rPr>
          <w:rFonts w:ascii="Times New Roman" w:hAnsi="Times New Roman"/>
          <w:sz w:val="24"/>
        </w:rPr>
        <w:t xml:space="preserve">A statement of compatibility with human rights for the purposes of Part 3 of the </w:t>
      </w:r>
      <w:r>
        <w:rPr>
          <w:rFonts w:ascii="Times New Roman" w:hAnsi="Times New Roman"/>
          <w:i/>
          <w:sz w:val="24"/>
        </w:rPr>
        <w:t xml:space="preserve">Human Rights (Parliamentary Scrutiny) Act 2011 </w:t>
      </w:r>
      <w:r>
        <w:rPr>
          <w:rFonts w:ascii="Times New Roman" w:hAnsi="Times New Roman"/>
          <w:sz w:val="24"/>
        </w:rPr>
        <w:t xml:space="preserve">is at </w:t>
      </w:r>
      <w:r w:rsidRPr="00B14436">
        <w:rPr>
          <w:rFonts w:ascii="Times New Roman" w:hAnsi="Times New Roman"/>
          <w:sz w:val="24"/>
          <w:u w:val="single"/>
        </w:rPr>
        <w:t>Attachment A</w:t>
      </w:r>
      <w:r w:rsidRPr="004049EB">
        <w:rPr>
          <w:rFonts w:ascii="Times New Roman" w:hAnsi="Times New Roman"/>
          <w:sz w:val="24"/>
        </w:rPr>
        <w:t>.</w:t>
      </w:r>
    </w:p>
    <w:p w14:paraId="5014C090" w14:textId="77777777" w:rsidR="00B07CBB" w:rsidRPr="00B07CBB" w:rsidRDefault="00B07CBB" w:rsidP="00B07CBB">
      <w:pPr>
        <w:spacing w:after="0" w:line="240" w:lineRule="auto"/>
        <w:jc w:val="both"/>
        <w:rPr>
          <w:rFonts w:ascii="Times New Roman" w:hAnsi="Times New Roman"/>
          <w:sz w:val="24"/>
          <w:szCs w:val="24"/>
        </w:rPr>
      </w:pPr>
    </w:p>
    <w:p w14:paraId="55DD5E5D" w14:textId="4AC7EA45" w:rsidR="00BB0F5A" w:rsidRPr="00E239EB" w:rsidRDefault="00BB0F5A" w:rsidP="00896D1F">
      <w:pPr>
        <w:spacing w:line="276" w:lineRule="auto"/>
        <w:jc w:val="both"/>
        <w:rPr>
          <w:rFonts w:ascii="Times New Roman" w:hAnsi="Times New Roman"/>
          <w:b/>
          <w:bCs/>
          <w:sz w:val="24"/>
        </w:rPr>
      </w:pPr>
      <w:r w:rsidRPr="00E239EB">
        <w:rPr>
          <w:rFonts w:ascii="Times New Roman" w:hAnsi="Times New Roman"/>
          <w:b/>
          <w:bCs/>
          <w:sz w:val="24"/>
        </w:rPr>
        <w:t xml:space="preserve">Regulatory Impact </w:t>
      </w:r>
    </w:p>
    <w:p w14:paraId="7304DE70" w14:textId="605A889D" w:rsidR="00186AAC" w:rsidRDefault="00E511BC" w:rsidP="79FBFB28">
      <w:pPr>
        <w:spacing w:after="0" w:line="276" w:lineRule="auto"/>
        <w:jc w:val="both"/>
        <w:rPr>
          <w:rFonts w:ascii="Times New Roman" w:hAnsi="Times New Roman"/>
          <w:b/>
          <w:bCs/>
          <w:sz w:val="24"/>
          <w:szCs w:val="24"/>
        </w:rPr>
      </w:pPr>
      <w:r w:rsidRPr="79FBFB28">
        <w:rPr>
          <w:rFonts w:ascii="Times New Roman" w:hAnsi="Times New Roman"/>
          <w:sz w:val="24"/>
          <w:szCs w:val="24"/>
        </w:rPr>
        <w:t xml:space="preserve">The </w:t>
      </w:r>
      <w:r w:rsidR="00881949" w:rsidRPr="79FBFB28">
        <w:rPr>
          <w:rFonts w:ascii="Times New Roman" w:hAnsi="Times New Roman"/>
          <w:sz w:val="24"/>
          <w:szCs w:val="24"/>
        </w:rPr>
        <w:t xml:space="preserve">Office of Best Practice Regulation </w:t>
      </w:r>
      <w:r w:rsidR="008B6DF3" w:rsidRPr="79FBFB28">
        <w:rPr>
          <w:rFonts w:ascii="Times New Roman" w:hAnsi="Times New Roman"/>
          <w:sz w:val="24"/>
          <w:szCs w:val="24"/>
        </w:rPr>
        <w:t xml:space="preserve">(OBPR) </w:t>
      </w:r>
      <w:r w:rsidR="00AB5AB1" w:rsidRPr="79FBFB28">
        <w:rPr>
          <w:rFonts w:ascii="Times New Roman" w:hAnsi="Times New Roman"/>
          <w:sz w:val="24"/>
          <w:szCs w:val="24"/>
        </w:rPr>
        <w:t>is of the view that</w:t>
      </w:r>
      <w:r w:rsidR="00C27306" w:rsidRPr="79FBFB28">
        <w:rPr>
          <w:rFonts w:ascii="Times New Roman" w:hAnsi="Times New Roman"/>
          <w:sz w:val="24"/>
          <w:szCs w:val="24"/>
        </w:rPr>
        <w:t xml:space="preserve"> the amendment </w:t>
      </w:r>
      <w:r w:rsidR="0091048B" w:rsidRPr="79FBFB28">
        <w:rPr>
          <w:rFonts w:ascii="Times New Roman" w:hAnsi="Times New Roman"/>
          <w:sz w:val="24"/>
          <w:szCs w:val="24"/>
        </w:rPr>
        <w:t xml:space="preserve">to the </w:t>
      </w:r>
      <w:r w:rsidR="00DC6DBD" w:rsidRPr="79FBFB28">
        <w:rPr>
          <w:rFonts w:ascii="Times New Roman" w:hAnsi="Times New Roman"/>
          <w:sz w:val="24"/>
          <w:szCs w:val="24"/>
        </w:rPr>
        <w:t>d</w:t>
      </w:r>
      <w:r w:rsidR="0091048B" w:rsidRPr="79FBFB28">
        <w:rPr>
          <w:rFonts w:ascii="Times New Roman" w:hAnsi="Times New Roman"/>
          <w:sz w:val="24"/>
          <w:szCs w:val="24"/>
        </w:rPr>
        <w:t xml:space="preserve">etermination </w:t>
      </w:r>
      <w:r w:rsidR="00C27306" w:rsidRPr="79FBFB28">
        <w:rPr>
          <w:rFonts w:ascii="Times New Roman" w:hAnsi="Times New Roman"/>
          <w:sz w:val="24"/>
          <w:szCs w:val="24"/>
        </w:rPr>
        <w:t>is unlikely to have a more than minor regulatory impact, and therefore the preparation of a Regulation Impact Statement is not required</w:t>
      </w:r>
      <w:r w:rsidR="0091048B" w:rsidRPr="79FBFB28">
        <w:rPr>
          <w:rFonts w:ascii="Times New Roman" w:hAnsi="Times New Roman"/>
          <w:sz w:val="24"/>
          <w:szCs w:val="24"/>
        </w:rPr>
        <w:t>.</w:t>
      </w:r>
      <w:r w:rsidR="00DB03F1">
        <w:t xml:space="preserve"> </w:t>
      </w:r>
    </w:p>
    <w:p w14:paraId="505BACF1" w14:textId="77777777" w:rsidR="00C64998" w:rsidRDefault="00C64998" w:rsidP="79FBFB28">
      <w:pPr>
        <w:spacing w:after="0" w:line="276" w:lineRule="auto"/>
        <w:jc w:val="both"/>
        <w:rPr>
          <w:rFonts w:ascii="Times New Roman" w:hAnsi="Times New Roman"/>
          <w:b/>
          <w:bCs/>
          <w:sz w:val="24"/>
        </w:rPr>
      </w:pPr>
    </w:p>
    <w:p w14:paraId="65720A08" w14:textId="77777777" w:rsidR="00186AAC" w:rsidRDefault="00186AAC" w:rsidP="79FBFB28">
      <w:pPr>
        <w:spacing w:after="0" w:line="276" w:lineRule="auto"/>
        <w:jc w:val="both"/>
        <w:rPr>
          <w:rFonts w:ascii="Times New Roman" w:hAnsi="Times New Roman"/>
          <w:b/>
          <w:bCs/>
          <w:sz w:val="24"/>
        </w:rPr>
      </w:pPr>
      <w:r w:rsidRPr="00D00676">
        <w:rPr>
          <w:rFonts w:ascii="Times New Roman" w:hAnsi="Times New Roman"/>
          <w:b/>
          <w:bCs/>
          <w:sz w:val="24"/>
        </w:rPr>
        <w:t xml:space="preserve">Consultation on regulation 19BE of the Regulations </w:t>
      </w:r>
    </w:p>
    <w:p w14:paraId="58194BF5" w14:textId="77777777" w:rsidR="00186AAC" w:rsidRPr="002C5EEF" w:rsidRDefault="00186AAC" w:rsidP="002C5EEF">
      <w:pPr>
        <w:spacing w:line="276" w:lineRule="auto"/>
        <w:jc w:val="both"/>
        <w:rPr>
          <w:rFonts w:ascii="Times New Roman" w:hAnsi="Times New Roman"/>
          <w:sz w:val="24"/>
          <w:szCs w:val="24"/>
        </w:rPr>
      </w:pPr>
      <w:r w:rsidRPr="00624F04">
        <w:rPr>
          <w:rFonts w:ascii="Times New Roman" w:hAnsi="Times New Roman"/>
          <w:sz w:val="24"/>
          <w:szCs w:val="24"/>
        </w:rPr>
        <w:t xml:space="preserve">Regulation </w:t>
      </w:r>
      <w:r w:rsidRPr="00E52343">
        <w:rPr>
          <w:rFonts w:ascii="Times New Roman" w:hAnsi="Times New Roman"/>
          <w:sz w:val="24"/>
          <w:szCs w:val="24"/>
        </w:rPr>
        <w:t>19BE was inserted into the Regulations in 2013</w:t>
      </w:r>
      <w:r w:rsidRPr="00624F04">
        <w:rPr>
          <w:rFonts w:ascii="Times New Roman" w:hAnsi="Times New Roman"/>
          <w:sz w:val="24"/>
          <w:szCs w:val="24"/>
        </w:rPr>
        <w:t>,</w:t>
      </w:r>
      <w:r w:rsidRPr="00E52343">
        <w:rPr>
          <w:rFonts w:ascii="Times New Roman" w:hAnsi="Times New Roman"/>
          <w:sz w:val="24"/>
          <w:szCs w:val="24"/>
        </w:rPr>
        <w:t xml:space="preserve"> following the statutory review of the RET scheme</w:t>
      </w:r>
      <w:r w:rsidRPr="00186AAC">
        <w:rPr>
          <w:rFonts w:ascii="Times New Roman" w:hAnsi="Times New Roman"/>
          <w:sz w:val="24"/>
          <w:szCs w:val="24"/>
        </w:rPr>
        <w:t xml:space="preserve"> in 2012</w:t>
      </w:r>
      <w:r w:rsidRPr="003476F5">
        <w:rPr>
          <w:rFonts w:ascii="Times New Roman" w:hAnsi="Times New Roman"/>
          <w:sz w:val="24"/>
          <w:szCs w:val="24"/>
        </w:rPr>
        <w:t>. To inform the recommendations of the review, including</w:t>
      </w:r>
      <w:r w:rsidRPr="00A859AF">
        <w:rPr>
          <w:rFonts w:ascii="Times New Roman" w:hAnsi="Times New Roman"/>
          <w:sz w:val="24"/>
          <w:szCs w:val="24"/>
        </w:rPr>
        <w:t xml:space="preserve"> those implemented in the Regulation, the C</w:t>
      </w:r>
      <w:r w:rsidRPr="00207A70">
        <w:rPr>
          <w:rFonts w:ascii="Times New Roman" w:hAnsi="Times New Roman"/>
          <w:sz w:val="24"/>
          <w:szCs w:val="24"/>
        </w:rPr>
        <w:t xml:space="preserve">limate </w:t>
      </w:r>
      <w:r w:rsidRPr="00BC048B">
        <w:rPr>
          <w:rFonts w:ascii="Times New Roman" w:hAnsi="Times New Roman"/>
          <w:sz w:val="24"/>
          <w:szCs w:val="24"/>
        </w:rPr>
        <w:t>C</w:t>
      </w:r>
      <w:r w:rsidRPr="00287EC2">
        <w:rPr>
          <w:rFonts w:ascii="Times New Roman" w:hAnsi="Times New Roman"/>
          <w:sz w:val="24"/>
          <w:szCs w:val="24"/>
        </w:rPr>
        <w:t xml:space="preserve">hange </w:t>
      </w:r>
      <w:r w:rsidRPr="00237D7E">
        <w:rPr>
          <w:rFonts w:ascii="Times New Roman" w:hAnsi="Times New Roman"/>
          <w:sz w:val="24"/>
          <w:szCs w:val="24"/>
        </w:rPr>
        <w:t>A</w:t>
      </w:r>
      <w:r w:rsidRPr="00A7436B">
        <w:rPr>
          <w:rFonts w:ascii="Times New Roman" w:hAnsi="Times New Roman"/>
          <w:sz w:val="24"/>
          <w:szCs w:val="24"/>
        </w:rPr>
        <w:t>uthori</w:t>
      </w:r>
      <w:r w:rsidRPr="003750EA">
        <w:rPr>
          <w:rFonts w:ascii="Times New Roman" w:hAnsi="Times New Roman"/>
          <w:sz w:val="24"/>
          <w:szCs w:val="24"/>
        </w:rPr>
        <w:t>ty (CCA)</w:t>
      </w:r>
      <w:r w:rsidRPr="00E94F00">
        <w:rPr>
          <w:rFonts w:ascii="Times New Roman" w:hAnsi="Times New Roman"/>
          <w:sz w:val="24"/>
          <w:szCs w:val="24"/>
        </w:rPr>
        <w:t xml:space="preserve"> consulted extensively </w:t>
      </w:r>
      <w:r w:rsidRPr="002C5EEF">
        <w:rPr>
          <w:rFonts w:ascii="Times New Roman" w:hAnsi="Times New Roman"/>
          <w:sz w:val="24"/>
          <w:szCs w:val="24"/>
        </w:rPr>
        <w:t xml:space="preserve">with a wide range of business and community stakeholders. This included the </w:t>
      </w:r>
      <w:r w:rsidRPr="00A44AF3">
        <w:rPr>
          <w:rFonts w:ascii="Times New Roman" w:hAnsi="Times New Roman"/>
          <w:sz w:val="24"/>
          <w:szCs w:val="24"/>
        </w:rPr>
        <w:t xml:space="preserve">release of an issues paper which </w:t>
      </w:r>
      <w:r w:rsidRPr="00C36569">
        <w:rPr>
          <w:rFonts w:ascii="Times New Roman" w:hAnsi="Times New Roman"/>
          <w:sz w:val="24"/>
          <w:szCs w:val="24"/>
        </w:rPr>
        <w:t>generated almost 8,700 public submissions and a subsequent discussion paper with draft r</w:t>
      </w:r>
      <w:r w:rsidRPr="00C57407">
        <w:rPr>
          <w:rFonts w:ascii="Times New Roman" w:hAnsi="Times New Roman"/>
          <w:sz w:val="24"/>
          <w:szCs w:val="24"/>
        </w:rPr>
        <w:t>ecommendations and stakehold</w:t>
      </w:r>
      <w:r w:rsidRPr="00B0125D">
        <w:rPr>
          <w:rFonts w:ascii="Times New Roman" w:hAnsi="Times New Roman"/>
          <w:sz w:val="24"/>
          <w:szCs w:val="24"/>
        </w:rPr>
        <w:t>er works</w:t>
      </w:r>
      <w:r w:rsidRPr="00CC181F">
        <w:rPr>
          <w:rFonts w:ascii="Times New Roman" w:hAnsi="Times New Roman"/>
          <w:sz w:val="24"/>
          <w:szCs w:val="24"/>
        </w:rPr>
        <w:t>hops which resulted in a further 50 submissions.</w:t>
      </w:r>
      <w:r w:rsidRPr="00974B2E">
        <w:rPr>
          <w:rFonts w:ascii="Times New Roman" w:hAnsi="Times New Roman"/>
          <w:sz w:val="24"/>
          <w:szCs w:val="24"/>
        </w:rPr>
        <w:t xml:space="preserve"> Draft amendments to implement the agreed CCA recommendations were discussed with relevant industry bodies and stakeholders.</w:t>
      </w:r>
    </w:p>
    <w:p w14:paraId="58F0473C" w14:textId="77777777" w:rsidR="00C64998" w:rsidRDefault="00C64998" w:rsidP="00017E72">
      <w:pPr>
        <w:spacing w:after="0" w:line="260" w:lineRule="exact"/>
        <w:jc w:val="both"/>
        <w:rPr>
          <w:rFonts w:ascii="Times New Roman" w:hAnsi="Times New Roman"/>
          <w:b/>
          <w:bCs/>
          <w:sz w:val="24"/>
        </w:rPr>
      </w:pPr>
    </w:p>
    <w:p w14:paraId="62D76FF6" w14:textId="77777777" w:rsidR="00C64998" w:rsidRDefault="00C64998" w:rsidP="00017E72">
      <w:pPr>
        <w:spacing w:after="0" w:line="260" w:lineRule="exact"/>
        <w:jc w:val="both"/>
        <w:rPr>
          <w:rFonts w:ascii="Times New Roman" w:hAnsi="Times New Roman"/>
          <w:b/>
          <w:bCs/>
          <w:sz w:val="24"/>
        </w:rPr>
      </w:pPr>
    </w:p>
    <w:p w14:paraId="30B60287" w14:textId="65E7007D" w:rsidR="00017E72" w:rsidRDefault="00BB0F5A" w:rsidP="00017E72">
      <w:pPr>
        <w:spacing w:after="0" w:line="260" w:lineRule="exact"/>
        <w:jc w:val="both"/>
        <w:rPr>
          <w:rFonts w:ascii="Times New Roman" w:hAnsi="Times New Roman"/>
          <w:b/>
          <w:bCs/>
          <w:sz w:val="24"/>
        </w:rPr>
      </w:pPr>
      <w:r w:rsidRPr="00C95AD2">
        <w:rPr>
          <w:rFonts w:ascii="Times New Roman" w:hAnsi="Times New Roman"/>
          <w:b/>
          <w:bCs/>
          <w:sz w:val="24"/>
        </w:rPr>
        <w:t>Consultation on the 2016 Determination</w:t>
      </w:r>
    </w:p>
    <w:p w14:paraId="7A1F7632" w14:textId="77777777" w:rsidR="00017E72" w:rsidRDefault="00017E72" w:rsidP="00017E72">
      <w:pPr>
        <w:spacing w:after="0" w:line="260" w:lineRule="exact"/>
        <w:jc w:val="both"/>
        <w:rPr>
          <w:rFonts w:ascii="Times New Roman" w:hAnsi="Times New Roman"/>
          <w:b/>
          <w:bCs/>
          <w:sz w:val="24"/>
        </w:rPr>
      </w:pPr>
    </w:p>
    <w:p w14:paraId="47F33F52" w14:textId="77777777" w:rsidR="00017E72" w:rsidRPr="002C5EEF" w:rsidRDefault="00314293" w:rsidP="002C5EEF">
      <w:pPr>
        <w:spacing w:line="276" w:lineRule="auto"/>
        <w:jc w:val="both"/>
        <w:rPr>
          <w:rFonts w:ascii="Times New Roman" w:hAnsi="Times New Roman"/>
          <w:sz w:val="24"/>
          <w:szCs w:val="24"/>
        </w:rPr>
      </w:pPr>
      <w:r w:rsidRPr="00624F04">
        <w:rPr>
          <w:rFonts w:ascii="Times New Roman" w:hAnsi="Times New Roman"/>
          <w:sz w:val="24"/>
          <w:szCs w:val="24"/>
        </w:rPr>
        <w:t xml:space="preserve">In November 2013 and February 2016, the Regulator provided an exposure draft of the template files to the solar water heater industry to consult on the proposed approach and to resolve any technical issues. </w:t>
      </w:r>
    </w:p>
    <w:p w14:paraId="64DD84D9" w14:textId="3DE889E2" w:rsidR="00F93C96" w:rsidRDefault="00F93C96" w:rsidP="002C5EEF">
      <w:pPr>
        <w:spacing w:line="276" w:lineRule="auto"/>
        <w:jc w:val="both"/>
        <w:rPr>
          <w:rFonts w:ascii="Times New Roman" w:hAnsi="Times New Roman"/>
          <w:b/>
          <w:bCs/>
          <w:sz w:val="24"/>
        </w:rPr>
      </w:pPr>
      <w:r w:rsidRPr="00624F04">
        <w:rPr>
          <w:rFonts w:ascii="Times New Roman" w:hAnsi="Times New Roman"/>
          <w:sz w:val="24"/>
          <w:szCs w:val="24"/>
        </w:rPr>
        <w:t>T</w:t>
      </w:r>
      <w:r w:rsidR="00314293" w:rsidRPr="00E52343">
        <w:rPr>
          <w:rFonts w:ascii="Times New Roman" w:hAnsi="Times New Roman"/>
          <w:sz w:val="24"/>
          <w:szCs w:val="24"/>
        </w:rPr>
        <w:t>he Regulator targeted</w:t>
      </w:r>
      <w:r w:rsidR="00314293" w:rsidRPr="00AD53EF">
        <w:rPr>
          <w:rFonts w:ascii="Times New Roman" w:hAnsi="Times New Roman"/>
          <w:sz w:val="24"/>
          <w:szCs w:val="24"/>
        </w:rPr>
        <w:t xml:space="preserve"> consulta</w:t>
      </w:r>
      <w:r w:rsidR="00314293" w:rsidRPr="00186AAC">
        <w:rPr>
          <w:rFonts w:ascii="Times New Roman" w:hAnsi="Times New Roman"/>
          <w:sz w:val="24"/>
          <w:szCs w:val="24"/>
        </w:rPr>
        <w:t xml:space="preserve">tion to solar water heater manufacturers and technical experts.  The Regulator received feedback from eleven stakeholders in the first three-week consultation period </w:t>
      </w:r>
      <w:r w:rsidR="00481456" w:rsidRPr="00207A70">
        <w:rPr>
          <w:rFonts w:ascii="Times New Roman" w:hAnsi="Times New Roman"/>
          <w:sz w:val="24"/>
          <w:szCs w:val="24"/>
        </w:rPr>
        <w:t xml:space="preserve">in 2013, </w:t>
      </w:r>
      <w:r w:rsidR="00314293" w:rsidRPr="005631DE">
        <w:rPr>
          <w:rFonts w:ascii="Times New Roman" w:hAnsi="Times New Roman"/>
          <w:sz w:val="24"/>
          <w:szCs w:val="24"/>
        </w:rPr>
        <w:t>and from four stakeholders in the second consultation period</w:t>
      </w:r>
      <w:r w:rsidR="004F219E" w:rsidRPr="00342DD4">
        <w:rPr>
          <w:rFonts w:ascii="Times New Roman" w:hAnsi="Times New Roman"/>
          <w:sz w:val="24"/>
          <w:szCs w:val="24"/>
        </w:rPr>
        <w:t xml:space="preserve"> in 2016</w:t>
      </w:r>
      <w:r w:rsidR="00314293" w:rsidRPr="00BC048B">
        <w:rPr>
          <w:rFonts w:ascii="Times New Roman" w:hAnsi="Times New Roman"/>
          <w:sz w:val="24"/>
          <w:szCs w:val="24"/>
        </w:rPr>
        <w:t>.  Feedback</w:t>
      </w:r>
      <w:r w:rsidR="00314293" w:rsidRPr="00314293">
        <w:rPr>
          <w:rFonts w:ascii="Times New Roman" w:hAnsi="Times New Roman"/>
          <w:sz w:val="24"/>
        </w:rPr>
        <w:t xml:space="preserve"> was received from technical experts</w:t>
      </w:r>
      <w:r w:rsidR="004F219E">
        <w:rPr>
          <w:rFonts w:ascii="Times New Roman" w:hAnsi="Times New Roman"/>
          <w:sz w:val="24"/>
        </w:rPr>
        <w:t>, as well as</w:t>
      </w:r>
      <w:r w:rsidR="00314293" w:rsidRPr="00314293">
        <w:rPr>
          <w:rFonts w:ascii="Times New Roman" w:hAnsi="Times New Roman"/>
          <w:sz w:val="24"/>
        </w:rPr>
        <w:t xml:space="preserve"> large and small-scale Australian solar water heater manufacturers during both consultation processes</w:t>
      </w:r>
      <w:r w:rsidR="00560BE7">
        <w:rPr>
          <w:rFonts w:ascii="Times New Roman" w:hAnsi="Times New Roman"/>
          <w:sz w:val="24"/>
        </w:rPr>
        <w:t>.</w:t>
      </w:r>
    </w:p>
    <w:p w14:paraId="5E14CD85" w14:textId="6728065A" w:rsidR="00314293" w:rsidRDefault="00314293" w:rsidP="00974B2E">
      <w:pPr>
        <w:spacing w:line="276" w:lineRule="auto"/>
        <w:jc w:val="both"/>
        <w:rPr>
          <w:rFonts w:ascii="Times New Roman" w:hAnsi="Times New Roman"/>
          <w:sz w:val="24"/>
          <w:szCs w:val="24"/>
        </w:rPr>
      </w:pPr>
      <w:r w:rsidRPr="00624F04">
        <w:rPr>
          <w:rFonts w:ascii="Times New Roman" w:hAnsi="Times New Roman"/>
          <w:sz w:val="24"/>
          <w:szCs w:val="24"/>
        </w:rPr>
        <w:t>The industry was broadly supportive of the changes and identified that the proposed template files would re</w:t>
      </w:r>
      <w:r w:rsidRPr="00E52343">
        <w:rPr>
          <w:rFonts w:ascii="Times New Roman" w:hAnsi="Times New Roman"/>
          <w:sz w:val="24"/>
          <w:szCs w:val="24"/>
        </w:rPr>
        <w:t>duce administrat</w:t>
      </w:r>
      <w:r w:rsidRPr="00AD53EF">
        <w:rPr>
          <w:rFonts w:ascii="Times New Roman" w:hAnsi="Times New Roman"/>
          <w:sz w:val="24"/>
          <w:szCs w:val="24"/>
        </w:rPr>
        <w:t xml:space="preserve">ive burden and streamline their application process. The feedback and proposed changes were reviewed by a technical panel that advises the </w:t>
      </w:r>
      <w:r w:rsidR="008B697B" w:rsidRPr="00186AAC">
        <w:rPr>
          <w:rFonts w:ascii="Times New Roman" w:hAnsi="Times New Roman"/>
          <w:sz w:val="24"/>
          <w:szCs w:val="24"/>
        </w:rPr>
        <w:t>Regulator and</w:t>
      </w:r>
      <w:r w:rsidRPr="00152D40">
        <w:rPr>
          <w:rFonts w:ascii="Times New Roman" w:hAnsi="Times New Roman"/>
          <w:sz w:val="24"/>
          <w:szCs w:val="24"/>
        </w:rPr>
        <w:t xml:space="preserve"> incorporated into the revised template input files. </w:t>
      </w:r>
    </w:p>
    <w:p w14:paraId="79701FC1" w14:textId="12F047C2" w:rsidR="00974B2E" w:rsidRPr="0030426F" w:rsidRDefault="00BB0F5A" w:rsidP="0030426F">
      <w:pPr>
        <w:spacing w:line="240" w:lineRule="auto"/>
        <w:rPr>
          <w:rFonts w:ascii="Times New Roman" w:hAnsi="Times New Roman"/>
          <w:b/>
          <w:bCs/>
          <w:sz w:val="24"/>
        </w:rPr>
      </w:pPr>
      <w:r w:rsidRPr="00C95AD2">
        <w:rPr>
          <w:rFonts w:ascii="Times New Roman" w:hAnsi="Times New Roman"/>
          <w:b/>
          <w:bCs/>
          <w:sz w:val="24"/>
        </w:rPr>
        <w:t xml:space="preserve">Consultation on this </w:t>
      </w:r>
      <w:r w:rsidR="00F5203B">
        <w:rPr>
          <w:rFonts w:ascii="Times New Roman" w:hAnsi="Times New Roman"/>
          <w:b/>
          <w:bCs/>
          <w:sz w:val="24"/>
        </w:rPr>
        <w:t>D</w:t>
      </w:r>
      <w:r w:rsidRPr="00C95AD2">
        <w:rPr>
          <w:rFonts w:ascii="Times New Roman" w:hAnsi="Times New Roman"/>
          <w:b/>
          <w:bCs/>
          <w:sz w:val="24"/>
        </w:rPr>
        <w:t xml:space="preserve">etermination </w:t>
      </w:r>
    </w:p>
    <w:p w14:paraId="1B2D2013" w14:textId="19A372A3" w:rsidR="00CF5DA2" w:rsidRDefault="00CF5DA2" w:rsidP="003476F5">
      <w:pPr>
        <w:spacing w:line="276" w:lineRule="auto"/>
        <w:jc w:val="both"/>
        <w:rPr>
          <w:rFonts w:ascii="Times New Roman" w:hAnsi="Times New Roman"/>
          <w:sz w:val="24"/>
        </w:rPr>
      </w:pPr>
      <w:r>
        <w:rPr>
          <w:rFonts w:ascii="Times New Roman" w:hAnsi="Times New Roman"/>
          <w:sz w:val="24"/>
        </w:rPr>
        <w:t>The deeming period</w:t>
      </w:r>
      <w:r w:rsidR="00E121A6">
        <w:rPr>
          <w:rFonts w:ascii="Times New Roman" w:hAnsi="Times New Roman"/>
          <w:sz w:val="24"/>
        </w:rPr>
        <w:t xml:space="preserve"> in regulation 19BE </w:t>
      </w:r>
      <w:r>
        <w:rPr>
          <w:rFonts w:ascii="Times New Roman" w:hAnsi="Times New Roman"/>
          <w:sz w:val="24"/>
        </w:rPr>
        <w:t>was in</w:t>
      </w:r>
      <w:r w:rsidR="00AD46AA">
        <w:rPr>
          <w:rFonts w:ascii="Times New Roman" w:hAnsi="Times New Roman"/>
          <w:sz w:val="24"/>
        </w:rPr>
        <w:t>serted in</w:t>
      </w:r>
      <w:r w:rsidR="009D636F">
        <w:rPr>
          <w:rFonts w:ascii="Times New Roman" w:hAnsi="Times New Roman"/>
          <w:sz w:val="24"/>
        </w:rPr>
        <w:t>to</w:t>
      </w:r>
      <w:r w:rsidR="004C7CB2">
        <w:rPr>
          <w:rFonts w:ascii="Times New Roman" w:hAnsi="Times New Roman"/>
          <w:sz w:val="24"/>
        </w:rPr>
        <w:t xml:space="preserve"> </w:t>
      </w:r>
      <w:r>
        <w:rPr>
          <w:rFonts w:ascii="Times New Roman" w:hAnsi="Times New Roman"/>
          <w:sz w:val="24"/>
        </w:rPr>
        <w:t xml:space="preserve">the Regulations </w:t>
      </w:r>
      <w:r w:rsidR="009D636F">
        <w:rPr>
          <w:rFonts w:ascii="Times New Roman" w:hAnsi="Times New Roman"/>
          <w:sz w:val="24"/>
        </w:rPr>
        <w:t>in</w:t>
      </w:r>
      <w:r>
        <w:rPr>
          <w:rFonts w:ascii="Times New Roman" w:hAnsi="Times New Roman"/>
          <w:sz w:val="24"/>
        </w:rPr>
        <w:t xml:space="preserve"> 2013</w:t>
      </w:r>
      <w:r w:rsidR="008E0D96">
        <w:rPr>
          <w:rFonts w:ascii="Times New Roman" w:hAnsi="Times New Roman"/>
          <w:sz w:val="24"/>
        </w:rPr>
        <w:t>. T</w:t>
      </w:r>
      <w:r w:rsidR="0075594B">
        <w:rPr>
          <w:rFonts w:ascii="Times New Roman" w:hAnsi="Times New Roman"/>
          <w:sz w:val="24"/>
        </w:rPr>
        <w:t xml:space="preserve">he </w:t>
      </w:r>
      <w:r>
        <w:rPr>
          <w:rFonts w:ascii="Times New Roman" w:hAnsi="Times New Roman"/>
          <w:sz w:val="24"/>
        </w:rPr>
        <w:t>industry was extensively consulted at th</w:t>
      </w:r>
      <w:r w:rsidR="008E0D96">
        <w:rPr>
          <w:rFonts w:ascii="Times New Roman" w:hAnsi="Times New Roman"/>
          <w:sz w:val="24"/>
        </w:rPr>
        <w:t>at</w:t>
      </w:r>
      <w:r>
        <w:rPr>
          <w:rFonts w:ascii="Times New Roman" w:hAnsi="Times New Roman"/>
          <w:sz w:val="24"/>
        </w:rPr>
        <w:t xml:space="preserve"> time</w:t>
      </w:r>
      <w:r w:rsidR="001E4A4F">
        <w:rPr>
          <w:rFonts w:ascii="Times New Roman" w:hAnsi="Times New Roman"/>
          <w:sz w:val="24"/>
        </w:rPr>
        <w:t>.</w:t>
      </w:r>
      <w:r w:rsidR="009D636F">
        <w:rPr>
          <w:rFonts w:ascii="Times New Roman" w:hAnsi="Times New Roman"/>
          <w:sz w:val="24"/>
        </w:rPr>
        <w:t xml:space="preserve"> A</w:t>
      </w:r>
      <w:r w:rsidR="003A402E">
        <w:rPr>
          <w:rFonts w:ascii="Times New Roman" w:hAnsi="Times New Roman"/>
          <w:sz w:val="24"/>
        </w:rPr>
        <w:t>s such</w:t>
      </w:r>
      <w:r w:rsidR="009D636F">
        <w:rPr>
          <w:rFonts w:ascii="Times New Roman" w:hAnsi="Times New Roman"/>
          <w:sz w:val="24"/>
        </w:rPr>
        <w:t>,</w:t>
      </w:r>
      <w:r w:rsidR="003A402E">
        <w:rPr>
          <w:rFonts w:ascii="Times New Roman" w:hAnsi="Times New Roman"/>
          <w:sz w:val="24"/>
        </w:rPr>
        <w:t xml:space="preserve"> the industry is aware of the progressive reduction </w:t>
      </w:r>
      <w:r w:rsidR="006D41B8">
        <w:rPr>
          <w:rFonts w:ascii="Times New Roman" w:hAnsi="Times New Roman"/>
          <w:sz w:val="24"/>
        </w:rPr>
        <w:t xml:space="preserve">of </w:t>
      </w:r>
      <w:r w:rsidR="003A402E">
        <w:rPr>
          <w:rFonts w:ascii="Times New Roman" w:hAnsi="Times New Roman"/>
          <w:sz w:val="24"/>
        </w:rPr>
        <w:t xml:space="preserve">certificates that may be created for SWH systems installed from 1 January 2022. </w:t>
      </w:r>
    </w:p>
    <w:p w14:paraId="13B5E60D" w14:textId="140D2062" w:rsidR="003E59BC" w:rsidRPr="00853CF3" w:rsidRDefault="00CC181F" w:rsidP="003476F5">
      <w:pPr>
        <w:spacing w:line="276" w:lineRule="auto"/>
        <w:jc w:val="both"/>
        <w:rPr>
          <w:rFonts w:ascii="Times New Roman" w:hAnsi="Times New Roman" w:cs="Times New Roman"/>
          <w:sz w:val="24"/>
          <w:szCs w:val="24"/>
        </w:rPr>
      </w:pPr>
      <w:r w:rsidRPr="494B4959">
        <w:rPr>
          <w:rFonts w:ascii="Times New Roman" w:hAnsi="Times New Roman"/>
          <w:sz w:val="24"/>
          <w:szCs w:val="24"/>
        </w:rPr>
        <w:t>The</w:t>
      </w:r>
      <w:r w:rsidR="003476F5" w:rsidRPr="494B4959">
        <w:rPr>
          <w:rFonts w:ascii="Times New Roman" w:hAnsi="Times New Roman"/>
          <w:sz w:val="24"/>
          <w:szCs w:val="24"/>
        </w:rPr>
        <w:t xml:space="preserve"> Regulator has made efforts to </w:t>
      </w:r>
      <w:r w:rsidR="00691D7D" w:rsidRPr="494B4959">
        <w:rPr>
          <w:rFonts w:ascii="Times New Roman" w:hAnsi="Times New Roman"/>
          <w:sz w:val="24"/>
          <w:szCs w:val="24"/>
        </w:rPr>
        <w:t>remind</w:t>
      </w:r>
      <w:r w:rsidR="003476F5" w:rsidRPr="494B4959">
        <w:rPr>
          <w:rFonts w:ascii="Times New Roman" w:hAnsi="Times New Roman"/>
          <w:sz w:val="24"/>
          <w:szCs w:val="24"/>
        </w:rPr>
        <w:t xml:space="preserve"> </w:t>
      </w:r>
      <w:r w:rsidR="003F0E08" w:rsidRPr="6AC3887C">
        <w:rPr>
          <w:rFonts w:ascii="Times New Roman" w:hAnsi="Times New Roman"/>
          <w:sz w:val="24"/>
          <w:szCs w:val="24"/>
        </w:rPr>
        <w:t>industry</w:t>
      </w:r>
      <w:r w:rsidR="60284BCB" w:rsidRPr="6AC3887C">
        <w:rPr>
          <w:rFonts w:ascii="Times New Roman" w:hAnsi="Times New Roman"/>
          <w:sz w:val="24"/>
          <w:szCs w:val="24"/>
        </w:rPr>
        <w:t xml:space="preserve"> </w:t>
      </w:r>
      <w:r w:rsidR="003476F5" w:rsidRPr="6AC3887C">
        <w:rPr>
          <w:rFonts w:ascii="Times New Roman" w:hAnsi="Times New Roman"/>
          <w:sz w:val="24"/>
          <w:szCs w:val="24"/>
        </w:rPr>
        <w:t>of</w:t>
      </w:r>
      <w:r w:rsidR="003476F5" w:rsidRPr="494B4959">
        <w:rPr>
          <w:rFonts w:ascii="Times New Roman" w:hAnsi="Times New Roman"/>
          <w:sz w:val="24"/>
          <w:szCs w:val="24"/>
        </w:rPr>
        <w:t xml:space="preserve"> the progressive reduction of certificates</w:t>
      </w:r>
      <w:r w:rsidR="009D636F" w:rsidRPr="494B4959">
        <w:rPr>
          <w:rFonts w:ascii="Times New Roman" w:hAnsi="Times New Roman"/>
          <w:sz w:val="24"/>
          <w:szCs w:val="24"/>
        </w:rPr>
        <w:t xml:space="preserve"> that</w:t>
      </w:r>
      <w:r w:rsidR="00166EB7" w:rsidRPr="494B4959">
        <w:rPr>
          <w:rFonts w:ascii="Times New Roman" w:hAnsi="Times New Roman"/>
          <w:sz w:val="24"/>
          <w:szCs w:val="24"/>
        </w:rPr>
        <w:t xml:space="preserve"> may be created for SWH systems installed </w:t>
      </w:r>
      <w:r w:rsidR="009D636F" w:rsidRPr="494B4959">
        <w:rPr>
          <w:rFonts w:ascii="Times New Roman" w:hAnsi="Times New Roman"/>
          <w:sz w:val="24"/>
          <w:szCs w:val="24"/>
        </w:rPr>
        <w:t>from 1 January 2022</w:t>
      </w:r>
      <w:r w:rsidR="003476F5" w:rsidRPr="494B4959">
        <w:rPr>
          <w:rFonts w:ascii="Times New Roman" w:hAnsi="Times New Roman"/>
          <w:sz w:val="24"/>
          <w:szCs w:val="24"/>
        </w:rPr>
        <w:t>.</w:t>
      </w:r>
      <w:r w:rsidR="005F6379" w:rsidRPr="494B4959">
        <w:rPr>
          <w:rFonts w:ascii="Times New Roman" w:hAnsi="Times New Roman"/>
          <w:sz w:val="24"/>
          <w:szCs w:val="24"/>
        </w:rPr>
        <w:t xml:space="preserve"> </w:t>
      </w:r>
      <w:r w:rsidR="00C36569" w:rsidRPr="494B4959">
        <w:rPr>
          <w:rFonts w:ascii="Times New Roman" w:hAnsi="Times New Roman"/>
          <w:sz w:val="24"/>
          <w:szCs w:val="24"/>
        </w:rPr>
        <w:t>For example, o</w:t>
      </w:r>
      <w:r w:rsidR="00323FD0" w:rsidRPr="494B4959">
        <w:rPr>
          <w:rFonts w:ascii="Times New Roman" w:hAnsi="Times New Roman"/>
          <w:sz w:val="24"/>
          <w:szCs w:val="24"/>
        </w:rPr>
        <w:t>n 8 October 2020</w:t>
      </w:r>
      <w:r w:rsidR="05BEA544" w:rsidRPr="519699C6">
        <w:rPr>
          <w:rFonts w:ascii="Times New Roman" w:hAnsi="Times New Roman"/>
          <w:sz w:val="24"/>
          <w:szCs w:val="24"/>
        </w:rPr>
        <w:t>,</w:t>
      </w:r>
      <w:r w:rsidR="00323FD0" w:rsidRPr="494B4959">
        <w:rPr>
          <w:rFonts w:ascii="Times New Roman" w:hAnsi="Times New Roman"/>
          <w:sz w:val="24"/>
          <w:szCs w:val="24"/>
        </w:rPr>
        <w:t xml:space="preserve"> </w:t>
      </w:r>
      <w:r w:rsidR="00DE29B7" w:rsidRPr="494B4959">
        <w:rPr>
          <w:rFonts w:ascii="Times New Roman" w:hAnsi="Times New Roman"/>
          <w:sz w:val="24"/>
          <w:szCs w:val="24"/>
        </w:rPr>
        <w:t xml:space="preserve">the Regulator </w:t>
      </w:r>
      <w:r w:rsidR="00385ADF" w:rsidRPr="494B4959">
        <w:rPr>
          <w:rFonts w:ascii="Times New Roman" w:hAnsi="Times New Roman"/>
          <w:sz w:val="24"/>
          <w:szCs w:val="24"/>
        </w:rPr>
        <w:t>published</w:t>
      </w:r>
      <w:r w:rsidR="00B84B9F" w:rsidRPr="494B4959">
        <w:rPr>
          <w:rFonts w:ascii="Times New Roman" w:hAnsi="Times New Roman"/>
          <w:sz w:val="24"/>
          <w:szCs w:val="24"/>
        </w:rPr>
        <w:t xml:space="preserve"> </w:t>
      </w:r>
      <w:r w:rsidR="0612ABFB" w:rsidRPr="00853CF3">
        <w:rPr>
          <w:rFonts w:ascii="Times New Roman" w:hAnsi="Times New Roman" w:cs="Times New Roman"/>
          <w:sz w:val="24"/>
          <w:szCs w:val="24"/>
        </w:rPr>
        <w:t>information on</w:t>
      </w:r>
      <w:r w:rsidR="00B84B9F" w:rsidRPr="00853CF3">
        <w:rPr>
          <w:rFonts w:ascii="Times New Roman" w:hAnsi="Times New Roman" w:cs="Times New Roman"/>
          <w:sz w:val="24"/>
          <w:szCs w:val="24"/>
        </w:rPr>
        <w:t xml:space="preserve"> its </w:t>
      </w:r>
      <w:r w:rsidR="004D351C" w:rsidRPr="00853CF3">
        <w:rPr>
          <w:rFonts w:ascii="Times New Roman" w:hAnsi="Times New Roman" w:cs="Times New Roman"/>
          <w:sz w:val="24"/>
          <w:szCs w:val="24"/>
        </w:rPr>
        <w:t>website</w:t>
      </w:r>
      <w:r w:rsidR="00974B2E" w:rsidRPr="00853CF3">
        <w:rPr>
          <w:rFonts w:ascii="Times New Roman" w:hAnsi="Times New Roman" w:cs="Times New Roman"/>
          <w:sz w:val="24"/>
          <w:szCs w:val="24"/>
        </w:rPr>
        <w:t xml:space="preserve"> </w:t>
      </w:r>
      <w:r w:rsidR="000E6DDD">
        <w:rPr>
          <w:rFonts w:ascii="Times New Roman" w:hAnsi="Times New Roman" w:cs="Times New Roman"/>
          <w:sz w:val="24"/>
          <w:szCs w:val="24"/>
        </w:rPr>
        <w:t>concerning the manner</w:t>
      </w:r>
      <w:r w:rsidR="00E21CF2" w:rsidRPr="00853CF3">
        <w:rPr>
          <w:rFonts w:ascii="Times New Roman" w:hAnsi="Times New Roman" w:cs="Times New Roman"/>
          <w:sz w:val="24"/>
          <w:szCs w:val="24"/>
        </w:rPr>
        <w:t xml:space="preserve"> </w:t>
      </w:r>
      <w:r w:rsidR="00C36569" w:rsidRPr="00853CF3">
        <w:rPr>
          <w:rFonts w:ascii="Times New Roman" w:hAnsi="Times New Roman" w:cs="Times New Roman"/>
          <w:sz w:val="24"/>
          <w:szCs w:val="24"/>
        </w:rPr>
        <w:t>scheme</w:t>
      </w:r>
      <w:r w:rsidR="00E21CF2" w:rsidRPr="00853CF3">
        <w:rPr>
          <w:rFonts w:ascii="Times New Roman" w:hAnsi="Times New Roman" w:cs="Times New Roman"/>
          <w:sz w:val="24"/>
          <w:szCs w:val="24"/>
        </w:rPr>
        <w:t xml:space="preserve"> participant</w:t>
      </w:r>
      <w:r w:rsidR="00C36569" w:rsidRPr="00853CF3">
        <w:rPr>
          <w:rFonts w:ascii="Times New Roman" w:hAnsi="Times New Roman" w:cs="Times New Roman"/>
          <w:sz w:val="24"/>
          <w:szCs w:val="24"/>
        </w:rPr>
        <w:t>s</w:t>
      </w:r>
      <w:r w:rsidR="00E21CF2" w:rsidRPr="00853CF3">
        <w:rPr>
          <w:rFonts w:ascii="Times New Roman" w:hAnsi="Times New Roman" w:cs="Times New Roman"/>
          <w:sz w:val="24"/>
          <w:szCs w:val="24"/>
        </w:rPr>
        <w:t xml:space="preserve"> </w:t>
      </w:r>
      <w:r w:rsidR="00BE2B93" w:rsidRPr="00853CF3">
        <w:rPr>
          <w:rFonts w:ascii="Times New Roman" w:hAnsi="Times New Roman" w:cs="Times New Roman"/>
          <w:sz w:val="24"/>
          <w:szCs w:val="24"/>
        </w:rPr>
        <w:t xml:space="preserve">can </w:t>
      </w:r>
      <w:r w:rsidR="00E21CF2" w:rsidRPr="00853CF3">
        <w:rPr>
          <w:rFonts w:ascii="Times New Roman" w:hAnsi="Times New Roman" w:cs="Times New Roman"/>
          <w:sz w:val="24"/>
          <w:szCs w:val="24"/>
        </w:rPr>
        <w:t xml:space="preserve">determine the deemed life </w:t>
      </w:r>
      <w:r w:rsidR="002515F5" w:rsidRPr="00853CF3">
        <w:rPr>
          <w:rFonts w:ascii="Times New Roman" w:hAnsi="Times New Roman" w:cs="Times New Roman"/>
          <w:sz w:val="24"/>
          <w:szCs w:val="24"/>
        </w:rPr>
        <w:t xml:space="preserve">of </w:t>
      </w:r>
      <w:r w:rsidR="002F07F1" w:rsidRPr="00853CF3">
        <w:rPr>
          <w:rFonts w:ascii="Times New Roman" w:hAnsi="Times New Roman" w:cs="Times New Roman"/>
          <w:sz w:val="24"/>
          <w:szCs w:val="24"/>
        </w:rPr>
        <w:t>their</w:t>
      </w:r>
      <w:r w:rsidR="00B0125D" w:rsidRPr="00853CF3">
        <w:rPr>
          <w:rFonts w:ascii="Times New Roman" w:hAnsi="Times New Roman" w:cs="Times New Roman"/>
          <w:sz w:val="24"/>
          <w:szCs w:val="24"/>
        </w:rPr>
        <w:t xml:space="preserve"> </w:t>
      </w:r>
      <w:r w:rsidR="00E21CF2" w:rsidRPr="00853CF3">
        <w:rPr>
          <w:rFonts w:ascii="Times New Roman" w:hAnsi="Times New Roman" w:cs="Times New Roman"/>
          <w:sz w:val="24"/>
          <w:szCs w:val="24"/>
        </w:rPr>
        <w:t>system</w:t>
      </w:r>
      <w:r w:rsidR="002F07F1" w:rsidRPr="00853CF3">
        <w:rPr>
          <w:rFonts w:ascii="Times New Roman" w:hAnsi="Times New Roman" w:cs="Times New Roman"/>
          <w:sz w:val="24"/>
          <w:szCs w:val="24"/>
        </w:rPr>
        <w:t>s</w:t>
      </w:r>
      <w:r w:rsidR="00CE1A58" w:rsidRPr="00853CF3">
        <w:rPr>
          <w:rFonts w:ascii="Times New Roman" w:hAnsi="Times New Roman" w:cs="Times New Roman"/>
          <w:sz w:val="24"/>
          <w:szCs w:val="24"/>
        </w:rPr>
        <w:t>, which include</w:t>
      </w:r>
      <w:r w:rsidR="00C57407" w:rsidRPr="00853CF3">
        <w:rPr>
          <w:rFonts w:ascii="Times New Roman" w:hAnsi="Times New Roman" w:cs="Times New Roman"/>
          <w:sz w:val="24"/>
          <w:szCs w:val="24"/>
        </w:rPr>
        <w:t>d</w:t>
      </w:r>
      <w:r w:rsidR="00CE1A58" w:rsidRPr="00853CF3">
        <w:rPr>
          <w:rFonts w:ascii="Times New Roman" w:hAnsi="Times New Roman" w:cs="Times New Roman"/>
          <w:sz w:val="24"/>
          <w:szCs w:val="24"/>
        </w:rPr>
        <w:t xml:space="preserve"> the table of deeming provisions in regulation 19BE of the Regulations. </w:t>
      </w:r>
      <w:r w:rsidR="005B6B4F" w:rsidRPr="00853CF3">
        <w:rPr>
          <w:rFonts w:ascii="Times New Roman" w:hAnsi="Times New Roman" w:cs="Times New Roman"/>
          <w:sz w:val="24"/>
          <w:szCs w:val="24"/>
        </w:rPr>
        <w:t>Further,</w:t>
      </w:r>
      <w:r w:rsidR="006A0343" w:rsidRPr="00853CF3">
        <w:rPr>
          <w:rFonts w:ascii="Times New Roman" w:hAnsi="Times New Roman" w:cs="Times New Roman"/>
          <w:sz w:val="24"/>
          <w:szCs w:val="24"/>
        </w:rPr>
        <w:t xml:space="preserve"> on</w:t>
      </w:r>
      <w:r w:rsidR="00A2759C" w:rsidRPr="00853CF3">
        <w:rPr>
          <w:rFonts w:ascii="Times New Roman" w:hAnsi="Times New Roman" w:cs="Times New Roman"/>
          <w:sz w:val="24"/>
          <w:szCs w:val="24"/>
        </w:rPr>
        <w:t xml:space="preserve"> 1 December 2021 the </w:t>
      </w:r>
      <w:r w:rsidR="007D7669" w:rsidRPr="00853CF3">
        <w:rPr>
          <w:rFonts w:ascii="Times New Roman" w:hAnsi="Times New Roman" w:cs="Times New Roman"/>
          <w:sz w:val="24"/>
          <w:szCs w:val="24"/>
        </w:rPr>
        <w:t>Regulator published a</w:t>
      </w:r>
      <w:r w:rsidR="00F56984" w:rsidRPr="00853CF3">
        <w:rPr>
          <w:rFonts w:ascii="Times New Roman" w:hAnsi="Times New Roman" w:cs="Times New Roman"/>
          <w:sz w:val="24"/>
          <w:szCs w:val="24"/>
        </w:rPr>
        <w:t xml:space="preserve"> news article</w:t>
      </w:r>
      <w:r w:rsidR="009D636F" w:rsidRPr="00853CF3">
        <w:rPr>
          <w:rFonts w:ascii="Times New Roman" w:hAnsi="Times New Roman" w:cs="Times New Roman"/>
          <w:sz w:val="24"/>
          <w:szCs w:val="24"/>
        </w:rPr>
        <w:t xml:space="preserve"> on its website</w:t>
      </w:r>
      <w:r w:rsidR="00F56984" w:rsidRPr="00853CF3">
        <w:rPr>
          <w:rFonts w:ascii="Times New Roman" w:hAnsi="Times New Roman" w:cs="Times New Roman"/>
          <w:sz w:val="24"/>
          <w:szCs w:val="24"/>
        </w:rPr>
        <w:t xml:space="preserve"> </w:t>
      </w:r>
      <w:r w:rsidR="00782C63" w:rsidRPr="00853CF3">
        <w:rPr>
          <w:rFonts w:ascii="Times New Roman" w:hAnsi="Times New Roman" w:cs="Times New Roman"/>
          <w:sz w:val="24"/>
          <w:szCs w:val="24"/>
        </w:rPr>
        <w:t>to remind</w:t>
      </w:r>
      <w:r w:rsidR="000C7ADF" w:rsidRPr="00853CF3">
        <w:rPr>
          <w:rFonts w:ascii="Times New Roman" w:hAnsi="Times New Roman" w:cs="Times New Roman"/>
          <w:sz w:val="24"/>
          <w:szCs w:val="24"/>
        </w:rPr>
        <w:t xml:space="preserve"> scheme participants that the deeming period for SWH </w:t>
      </w:r>
      <w:r w:rsidR="004D351C" w:rsidRPr="00853CF3">
        <w:rPr>
          <w:rFonts w:ascii="Times New Roman" w:hAnsi="Times New Roman" w:cs="Times New Roman"/>
          <w:sz w:val="24"/>
          <w:szCs w:val="24"/>
        </w:rPr>
        <w:t xml:space="preserve">systems </w:t>
      </w:r>
      <w:r w:rsidR="00782C63" w:rsidRPr="00853CF3">
        <w:rPr>
          <w:rFonts w:ascii="Times New Roman" w:hAnsi="Times New Roman" w:cs="Times New Roman"/>
          <w:sz w:val="24"/>
          <w:szCs w:val="24"/>
        </w:rPr>
        <w:t>will</w:t>
      </w:r>
      <w:r w:rsidR="00564481" w:rsidRPr="00853CF3">
        <w:rPr>
          <w:rFonts w:ascii="Times New Roman" w:hAnsi="Times New Roman" w:cs="Times New Roman"/>
          <w:sz w:val="24"/>
          <w:szCs w:val="24"/>
        </w:rPr>
        <w:t xml:space="preserve"> begin</w:t>
      </w:r>
      <w:r w:rsidR="00782C63" w:rsidRPr="00853CF3">
        <w:rPr>
          <w:rFonts w:ascii="Times New Roman" w:hAnsi="Times New Roman" w:cs="Times New Roman"/>
          <w:sz w:val="24"/>
          <w:szCs w:val="24"/>
        </w:rPr>
        <w:t xml:space="preserve"> </w:t>
      </w:r>
      <w:r w:rsidR="004D351C" w:rsidRPr="00853CF3">
        <w:rPr>
          <w:rFonts w:ascii="Times New Roman" w:hAnsi="Times New Roman" w:cs="Times New Roman"/>
          <w:sz w:val="24"/>
          <w:szCs w:val="24"/>
        </w:rPr>
        <w:t xml:space="preserve">from </w:t>
      </w:r>
      <w:r w:rsidR="00782C63" w:rsidRPr="00853CF3">
        <w:rPr>
          <w:rFonts w:ascii="Times New Roman" w:hAnsi="Times New Roman" w:cs="Times New Roman"/>
          <w:sz w:val="24"/>
          <w:szCs w:val="24"/>
        </w:rPr>
        <w:t>1 January 2022.</w:t>
      </w:r>
      <w:r w:rsidR="50F14B86" w:rsidRPr="00853CF3">
        <w:rPr>
          <w:rFonts w:ascii="Times New Roman" w:hAnsi="Times New Roman" w:cs="Times New Roman"/>
          <w:sz w:val="24"/>
          <w:szCs w:val="24"/>
        </w:rPr>
        <w:t xml:space="preserve"> </w:t>
      </w:r>
      <w:r w:rsidR="00F61201">
        <w:rPr>
          <w:rFonts w:ascii="Times New Roman" w:hAnsi="Times New Roman" w:cs="Times New Roman"/>
          <w:sz w:val="24"/>
          <w:szCs w:val="24"/>
        </w:rPr>
        <w:t>V</w:t>
      </w:r>
      <w:r w:rsidR="00F61201" w:rsidRPr="00853CF3">
        <w:rPr>
          <w:rFonts w:ascii="Times New Roman" w:hAnsi="Times New Roman" w:cs="Times New Roman"/>
          <w:sz w:val="24"/>
          <w:szCs w:val="24"/>
        </w:rPr>
        <w:t>ia a calculation tool</w:t>
      </w:r>
      <w:r w:rsidR="00F61201">
        <w:rPr>
          <w:rFonts w:ascii="Times New Roman" w:hAnsi="Times New Roman" w:cs="Times New Roman"/>
          <w:sz w:val="24"/>
          <w:szCs w:val="24"/>
        </w:rPr>
        <w:t>, t</w:t>
      </w:r>
      <w:r w:rsidR="50F14B86" w:rsidRPr="00853CF3">
        <w:rPr>
          <w:rFonts w:ascii="Times New Roman" w:hAnsi="Times New Roman" w:cs="Times New Roman"/>
          <w:sz w:val="24"/>
          <w:szCs w:val="24"/>
        </w:rPr>
        <w:t xml:space="preserve">he Regulator also maintains information on its website about how to </w:t>
      </w:r>
      <w:r w:rsidR="00853CF3" w:rsidRPr="00853CF3">
        <w:rPr>
          <w:rFonts w:ascii="Times New Roman" w:eastAsia="Calibri" w:hAnsi="Times New Roman" w:cs="Times New Roman"/>
          <w:sz w:val="24"/>
          <w:szCs w:val="24"/>
        </w:rPr>
        <w:t>calculate the number of small-scale technology certificates</w:t>
      </w:r>
      <w:r w:rsidR="50F14B86" w:rsidRPr="00853CF3">
        <w:rPr>
          <w:rFonts w:ascii="Times New Roman" w:hAnsi="Times New Roman" w:cs="Times New Roman"/>
          <w:sz w:val="24"/>
          <w:szCs w:val="24"/>
        </w:rPr>
        <w:t xml:space="preserve"> </w:t>
      </w:r>
      <w:r w:rsidR="001602F5">
        <w:rPr>
          <w:rFonts w:ascii="Times New Roman" w:hAnsi="Times New Roman" w:cs="Times New Roman"/>
          <w:sz w:val="24"/>
          <w:szCs w:val="24"/>
        </w:rPr>
        <w:t xml:space="preserve">that may be created in relation to </w:t>
      </w:r>
      <w:r w:rsidR="50F14B86" w:rsidRPr="00853CF3">
        <w:rPr>
          <w:rFonts w:ascii="Times New Roman" w:hAnsi="Times New Roman" w:cs="Times New Roman"/>
          <w:sz w:val="24"/>
          <w:szCs w:val="24"/>
        </w:rPr>
        <w:t>a</w:t>
      </w:r>
      <w:r w:rsidR="001602F5">
        <w:rPr>
          <w:rFonts w:ascii="Times New Roman" w:hAnsi="Times New Roman" w:cs="Times New Roman"/>
          <w:sz w:val="24"/>
          <w:szCs w:val="24"/>
        </w:rPr>
        <w:t>n installed</w:t>
      </w:r>
      <w:r w:rsidR="50F14B86" w:rsidRPr="00853CF3">
        <w:rPr>
          <w:rFonts w:ascii="Times New Roman" w:hAnsi="Times New Roman" w:cs="Times New Roman"/>
          <w:sz w:val="24"/>
          <w:szCs w:val="24"/>
        </w:rPr>
        <w:t xml:space="preserve"> SWH</w:t>
      </w:r>
      <w:r w:rsidR="002E1E19">
        <w:rPr>
          <w:rFonts w:ascii="Times New Roman" w:hAnsi="Times New Roman" w:cs="Times New Roman"/>
          <w:sz w:val="24"/>
          <w:szCs w:val="24"/>
        </w:rPr>
        <w:t>.</w:t>
      </w:r>
    </w:p>
    <w:p w14:paraId="71F84E5A" w14:textId="5AFD8189" w:rsidR="00974B2E" w:rsidRDefault="00A7125E" w:rsidP="0E07FC05">
      <w:pPr>
        <w:spacing w:line="276" w:lineRule="auto"/>
        <w:jc w:val="both"/>
        <w:rPr>
          <w:rFonts w:ascii="Times New Roman" w:hAnsi="Times New Roman"/>
          <w:sz w:val="24"/>
          <w:szCs w:val="24"/>
        </w:rPr>
      </w:pPr>
      <w:r>
        <w:rPr>
          <w:rFonts w:ascii="Times New Roman" w:hAnsi="Times New Roman"/>
          <w:sz w:val="24"/>
          <w:szCs w:val="24"/>
        </w:rPr>
        <w:t>Given the extensive consultation,</w:t>
      </w:r>
      <w:r w:rsidR="006F5474">
        <w:rPr>
          <w:rFonts w:ascii="Times New Roman" w:hAnsi="Times New Roman"/>
          <w:sz w:val="24"/>
          <w:szCs w:val="24"/>
        </w:rPr>
        <w:t xml:space="preserve"> the availability of information in the public domain,</w:t>
      </w:r>
      <w:r>
        <w:rPr>
          <w:rFonts w:ascii="Times New Roman" w:hAnsi="Times New Roman"/>
          <w:sz w:val="24"/>
          <w:szCs w:val="24"/>
        </w:rPr>
        <w:t xml:space="preserve"> </w:t>
      </w:r>
      <w:r w:rsidR="00D146C1">
        <w:rPr>
          <w:rFonts w:ascii="Times New Roman" w:hAnsi="Times New Roman"/>
          <w:sz w:val="24"/>
          <w:szCs w:val="24"/>
        </w:rPr>
        <w:t xml:space="preserve">and the fact that </w:t>
      </w:r>
      <w:r w:rsidR="00153BC7" w:rsidRPr="0E07FC05">
        <w:rPr>
          <w:rFonts w:ascii="Times New Roman" w:hAnsi="Times New Roman"/>
          <w:sz w:val="24"/>
          <w:szCs w:val="24"/>
        </w:rPr>
        <w:t>the</w:t>
      </w:r>
      <w:r w:rsidR="00B0125D" w:rsidRPr="0E07FC05">
        <w:rPr>
          <w:rFonts w:ascii="Times New Roman" w:hAnsi="Times New Roman"/>
          <w:sz w:val="24"/>
          <w:szCs w:val="24"/>
        </w:rPr>
        <w:t xml:space="preserve"> </w:t>
      </w:r>
      <w:r w:rsidR="00F32FD7" w:rsidRPr="0E07FC05">
        <w:rPr>
          <w:rFonts w:ascii="Times New Roman" w:hAnsi="Times New Roman"/>
          <w:sz w:val="24"/>
          <w:szCs w:val="24"/>
        </w:rPr>
        <w:t xml:space="preserve">Determination </w:t>
      </w:r>
      <w:r w:rsidR="004A6829">
        <w:rPr>
          <w:rFonts w:ascii="Times New Roman" w:hAnsi="Times New Roman"/>
          <w:sz w:val="24"/>
          <w:szCs w:val="24"/>
        </w:rPr>
        <w:t xml:space="preserve">is a machinery change </w:t>
      </w:r>
      <w:r w:rsidR="00552AF1">
        <w:rPr>
          <w:rFonts w:ascii="Times New Roman" w:hAnsi="Times New Roman"/>
          <w:sz w:val="24"/>
          <w:szCs w:val="24"/>
        </w:rPr>
        <w:t xml:space="preserve">to ensure alignment with </w:t>
      </w:r>
      <w:r w:rsidR="003B4189">
        <w:rPr>
          <w:rFonts w:ascii="Times New Roman" w:hAnsi="Times New Roman"/>
          <w:sz w:val="24"/>
          <w:szCs w:val="24"/>
        </w:rPr>
        <w:t>well-known</w:t>
      </w:r>
      <w:r w:rsidR="00552AF1">
        <w:rPr>
          <w:rFonts w:ascii="Times New Roman" w:hAnsi="Times New Roman"/>
          <w:sz w:val="24"/>
          <w:szCs w:val="24"/>
        </w:rPr>
        <w:t xml:space="preserve"> and publicised Regulations, it is appropriate to </w:t>
      </w:r>
      <w:r w:rsidR="0095458F">
        <w:rPr>
          <w:rFonts w:ascii="Times New Roman" w:hAnsi="Times New Roman"/>
          <w:sz w:val="24"/>
          <w:szCs w:val="24"/>
        </w:rPr>
        <w:t xml:space="preserve">make the instrument without further consultation.  </w:t>
      </w:r>
      <w:r w:rsidR="001F7D36" w:rsidRPr="0E07FC05">
        <w:rPr>
          <w:rFonts w:ascii="Times New Roman" w:hAnsi="Times New Roman"/>
          <w:sz w:val="24"/>
          <w:szCs w:val="24"/>
        </w:rPr>
        <w:t>Further</w:t>
      </w:r>
      <w:r w:rsidR="00B80631" w:rsidRPr="0E07FC05">
        <w:rPr>
          <w:rFonts w:ascii="Times New Roman" w:hAnsi="Times New Roman"/>
          <w:sz w:val="24"/>
          <w:szCs w:val="24"/>
        </w:rPr>
        <w:t>, a</w:t>
      </w:r>
      <w:r w:rsidR="00D4497C" w:rsidRPr="0E07FC05">
        <w:rPr>
          <w:rFonts w:ascii="Times New Roman" w:hAnsi="Times New Roman"/>
          <w:sz w:val="24"/>
          <w:szCs w:val="24"/>
        </w:rPr>
        <w:t xml:space="preserve">s </w:t>
      </w:r>
      <w:r w:rsidR="003813CF" w:rsidRPr="0E07FC05">
        <w:rPr>
          <w:rFonts w:ascii="Times New Roman" w:hAnsi="Times New Roman"/>
          <w:sz w:val="24"/>
          <w:szCs w:val="24"/>
        </w:rPr>
        <w:t xml:space="preserve">the </w:t>
      </w:r>
      <w:r w:rsidR="00974B2E" w:rsidRPr="0E07FC05">
        <w:rPr>
          <w:rFonts w:ascii="Times New Roman" w:hAnsi="Times New Roman"/>
          <w:sz w:val="24"/>
          <w:szCs w:val="24"/>
        </w:rPr>
        <w:t xml:space="preserve">amendment </w:t>
      </w:r>
      <w:r w:rsidR="003813CF" w:rsidRPr="0E07FC05">
        <w:rPr>
          <w:rFonts w:ascii="Times New Roman" w:hAnsi="Times New Roman"/>
          <w:sz w:val="24"/>
          <w:szCs w:val="24"/>
        </w:rPr>
        <w:t xml:space="preserve">to the </w:t>
      </w:r>
      <w:r w:rsidR="007946E3" w:rsidRPr="0E07FC05">
        <w:rPr>
          <w:rFonts w:ascii="Times New Roman" w:hAnsi="Times New Roman"/>
          <w:sz w:val="24"/>
          <w:szCs w:val="24"/>
        </w:rPr>
        <w:t xml:space="preserve">Determination </w:t>
      </w:r>
      <w:r w:rsidR="00C763B9" w:rsidRPr="0E07FC05">
        <w:rPr>
          <w:rFonts w:ascii="Times New Roman" w:hAnsi="Times New Roman"/>
          <w:sz w:val="24"/>
          <w:szCs w:val="24"/>
        </w:rPr>
        <w:t>needs</w:t>
      </w:r>
      <w:r w:rsidR="007946E3" w:rsidRPr="0E07FC05">
        <w:rPr>
          <w:rFonts w:ascii="Times New Roman" w:hAnsi="Times New Roman"/>
          <w:sz w:val="24"/>
          <w:szCs w:val="24"/>
        </w:rPr>
        <w:t xml:space="preserve"> to be made before 1 January 2022</w:t>
      </w:r>
      <w:r w:rsidR="00B0125D" w:rsidRPr="0E07FC05">
        <w:rPr>
          <w:rFonts w:ascii="Times New Roman" w:hAnsi="Times New Roman"/>
          <w:sz w:val="24"/>
          <w:szCs w:val="24"/>
        </w:rPr>
        <w:t xml:space="preserve"> </w:t>
      </w:r>
      <w:r w:rsidR="009D636F" w:rsidRPr="0E07FC05">
        <w:rPr>
          <w:rFonts w:ascii="Times New Roman" w:hAnsi="Times New Roman"/>
          <w:sz w:val="24"/>
          <w:szCs w:val="24"/>
        </w:rPr>
        <w:t xml:space="preserve">for </w:t>
      </w:r>
      <w:r w:rsidR="004F6C53" w:rsidRPr="0E07FC05">
        <w:rPr>
          <w:rFonts w:ascii="Times New Roman" w:hAnsi="Times New Roman"/>
          <w:sz w:val="24"/>
          <w:szCs w:val="24"/>
        </w:rPr>
        <w:t xml:space="preserve">the </w:t>
      </w:r>
      <w:r w:rsidR="00B339BE" w:rsidRPr="0E07FC05">
        <w:rPr>
          <w:rFonts w:ascii="Times New Roman" w:hAnsi="Times New Roman"/>
          <w:sz w:val="24"/>
          <w:szCs w:val="24"/>
        </w:rPr>
        <w:t>modelling</w:t>
      </w:r>
      <w:r w:rsidR="004F6C53" w:rsidRPr="0E07FC05">
        <w:rPr>
          <w:rFonts w:ascii="Times New Roman" w:hAnsi="Times New Roman"/>
          <w:sz w:val="24"/>
          <w:szCs w:val="24"/>
        </w:rPr>
        <w:t xml:space="preserve"> in the </w:t>
      </w:r>
      <w:r w:rsidR="00B339BE" w:rsidRPr="0E07FC05">
        <w:rPr>
          <w:rFonts w:ascii="Times New Roman" w:hAnsi="Times New Roman"/>
          <w:sz w:val="24"/>
          <w:szCs w:val="24"/>
        </w:rPr>
        <w:t xml:space="preserve">Determination </w:t>
      </w:r>
      <w:r w:rsidR="001E4A4F" w:rsidRPr="0E07FC05">
        <w:rPr>
          <w:rFonts w:ascii="Times New Roman" w:hAnsi="Times New Roman"/>
          <w:sz w:val="24"/>
          <w:szCs w:val="24"/>
        </w:rPr>
        <w:t xml:space="preserve">to align </w:t>
      </w:r>
      <w:r w:rsidR="00B339BE" w:rsidRPr="0E07FC05">
        <w:rPr>
          <w:rFonts w:ascii="Times New Roman" w:hAnsi="Times New Roman"/>
          <w:sz w:val="24"/>
          <w:szCs w:val="24"/>
        </w:rPr>
        <w:t>with the Regulations,</w:t>
      </w:r>
      <w:r w:rsidR="007946E3" w:rsidRPr="0E07FC05">
        <w:rPr>
          <w:rFonts w:ascii="Times New Roman" w:hAnsi="Times New Roman"/>
          <w:sz w:val="24"/>
          <w:szCs w:val="24"/>
        </w:rPr>
        <w:t xml:space="preserve"> it would not be reasonably practicable to undertake</w:t>
      </w:r>
      <w:r w:rsidR="00646F13" w:rsidRPr="0E07FC05">
        <w:rPr>
          <w:rFonts w:ascii="Times New Roman" w:hAnsi="Times New Roman"/>
          <w:sz w:val="24"/>
          <w:szCs w:val="24"/>
        </w:rPr>
        <w:t xml:space="preserve"> any</w:t>
      </w:r>
      <w:r w:rsidR="007946E3" w:rsidRPr="0E07FC05">
        <w:rPr>
          <w:rFonts w:ascii="Times New Roman" w:hAnsi="Times New Roman"/>
          <w:sz w:val="24"/>
          <w:szCs w:val="24"/>
        </w:rPr>
        <w:t xml:space="preserve"> further consultation on this </w:t>
      </w:r>
      <w:r w:rsidR="005F22A7" w:rsidRPr="0E07FC05">
        <w:rPr>
          <w:rFonts w:ascii="Times New Roman" w:hAnsi="Times New Roman"/>
          <w:sz w:val="24"/>
          <w:szCs w:val="24"/>
        </w:rPr>
        <w:t>Determination</w:t>
      </w:r>
      <w:r w:rsidR="003750EA" w:rsidRPr="0E07FC05">
        <w:rPr>
          <w:rFonts w:ascii="Times New Roman" w:hAnsi="Times New Roman"/>
          <w:sz w:val="24"/>
          <w:szCs w:val="24"/>
        </w:rPr>
        <w:t xml:space="preserve">. </w:t>
      </w:r>
    </w:p>
    <w:p w14:paraId="5DCB2663" w14:textId="558C8C6A" w:rsidR="00F87B0A" w:rsidRDefault="00F87B0A">
      <w:pPr>
        <w:rPr>
          <w:rFonts w:ascii="Times New Roman" w:hAnsi="Times New Roman"/>
          <w:sz w:val="24"/>
        </w:rPr>
      </w:pPr>
      <w:r>
        <w:rPr>
          <w:rFonts w:ascii="Times New Roman" w:hAnsi="Times New Roman"/>
          <w:sz w:val="24"/>
        </w:rPr>
        <w:br w:type="page"/>
      </w:r>
    </w:p>
    <w:p w14:paraId="0BF3A04B" w14:textId="43BAA2C8" w:rsidR="00F87B0A" w:rsidRPr="00B84B9F" w:rsidRDefault="00F87B0A" w:rsidP="00B84B9F">
      <w:pPr>
        <w:spacing w:line="276" w:lineRule="auto"/>
        <w:jc w:val="both"/>
        <w:rPr>
          <w:rFonts w:ascii="Times New Roman" w:hAnsi="Times New Roman"/>
          <w:sz w:val="24"/>
        </w:rPr>
      </w:pPr>
      <w:r w:rsidRPr="005B5271">
        <w:rPr>
          <w:noProof/>
          <w:sz w:val="24"/>
          <w:szCs w:val="24"/>
          <w:lang w:eastAsia="en-AU"/>
        </w:rPr>
        <mc:AlternateContent>
          <mc:Choice Requires="wps">
            <w:drawing>
              <wp:anchor distT="45720" distB="45720" distL="114300" distR="114300" simplePos="0" relativeHeight="251658240" behindDoc="1" locked="0" layoutInCell="1" allowOverlap="1" wp14:anchorId="6A03A214" wp14:editId="20FFC0A7">
                <wp:simplePos x="0" y="0"/>
                <wp:positionH relativeFrom="page">
                  <wp:posOffset>5808269</wp:posOffset>
                </wp:positionH>
                <wp:positionV relativeFrom="paragraph">
                  <wp:posOffset>-232258</wp:posOffset>
                </wp:positionV>
                <wp:extent cx="236093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4B01FA4" w14:textId="77777777" w:rsidR="00F87B0A" w:rsidRPr="005B5271" w:rsidRDefault="00F87B0A" w:rsidP="00F87B0A">
                            <w:pPr>
                              <w:rPr>
                                <w:rFonts w:ascii="Times New Roman" w:hAnsi="Times New Roman"/>
                              </w:rPr>
                            </w:pPr>
                            <w:r w:rsidRPr="005B5271">
                              <w:rPr>
                                <w:rFonts w:ascii="Times New Roman" w:hAnsi="Times New Roman"/>
                              </w:rPr>
                              <w:t>Attachment 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03A214" id="_x0000_t202" coordsize="21600,21600" o:spt="202" path="m,l,21600r21600,l21600,xe">
                <v:stroke joinstyle="miter"/>
                <v:path gradientshapeok="t" o:connecttype="rect"/>
              </v:shapetype>
              <v:shape id="Text Box 2" o:spid="_x0000_s1026" type="#_x0000_t202" style="position:absolute;left:0;text-align:left;margin-left:457.35pt;margin-top:-18.3pt;width:185.9pt;height:110.6pt;z-index:-25165824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" filled="f" stroked="f">
                <v:textbox style="mso-fit-shape-to-text:t">
                  <w:txbxContent>
                    <w:p w14:paraId="14B01FA4" w14:textId="77777777" w:rsidR="00F87B0A" w:rsidRPr="005B5271" w:rsidRDefault="00F87B0A" w:rsidP="00F87B0A">
                      <w:pPr>
                        <w:rPr>
                          <w:rFonts w:ascii="Times New Roman" w:hAnsi="Times New Roman"/>
                        </w:rPr>
                      </w:pPr>
                      <w:r w:rsidRPr="005B5271">
                        <w:rPr>
                          <w:rFonts w:ascii="Times New Roman" w:hAnsi="Times New Roman"/>
                        </w:rPr>
                        <w:t>Attachment A</w:t>
                      </w:r>
                    </w:p>
                  </w:txbxContent>
                </v:textbox>
                <w10:wrap anchorx="page"/>
              </v:shape>
            </w:pict>
          </mc:Fallback>
        </mc:AlternateContent>
      </w:r>
    </w:p>
    <w:p w14:paraId="517B9497" w14:textId="7657C094" w:rsidR="00BB0F5A" w:rsidRPr="00356D86" w:rsidRDefault="00BB0F5A" w:rsidP="00BB0F5A">
      <w:pPr>
        <w:shd w:val="clear" w:color="auto" w:fill="FFFFFF"/>
        <w:spacing w:before="360" w:after="100" w:afterAutospacing="1"/>
        <w:jc w:val="center"/>
        <w:rPr>
          <w:rFonts w:ascii="Times New Roman" w:hAnsi="Times New Roman"/>
          <w:sz w:val="24"/>
          <w:szCs w:val="24"/>
          <w:lang w:val="en-US"/>
        </w:rPr>
      </w:pPr>
      <w:r w:rsidRPr="00356D86">
        <w:rPr>
          <w:rFonts w:ascii="Times New Roman" w:hAnsi="Times New Roman"/>
          <w:b/>
          <w:bCs/>
          <w:sz w:val="24"/>
          <w:szCs w:val="24"/>
        </w:rPr>
        <w:t>Statement of Compatibility with Human Rights</w:t>
      </w:r>
    </w:p>
    <w:p w14:paraId="0D005314" w14:textId="77777777" w:rsidR="00BB0F5A" w:rsidRPr="00356D86" w:rsidRDefault="00BB0F5A" w:rsidP="00BB0F5A">
      <w:pPr>
        <w:shd w:val="clear" w:color="auto" w:fill="FFFFFF"/>
        <w:spacing w:before="100" w:beforeAutospacing="1" w:after="100" w:afterAutospacing="1"/>
        <w:jc w:val="center"/>
        <w:rPr>
          <w:rFonts w:ascii="Times New Roman" w:hAnsi="Times New Roman"/>
          <w:sz w:val="24"/>
          <w:szCs w:val="24"/>
          <w:lang w:val="en-US"/>
        </w:rPr>
      </w:pPr>
      <w:r w:rsidRPr="00356D86">
        <w:rPr>
          <w:rFonts w:ascii="Times New Roman" w:hAnsi="Times New Roman"/>
          <w:i/>
          <w:iCs/>
          <w:sz w:val="24"/>
          <w:szCs w:val="24"/>
        </w:rPr>
        <w:t>Prepared in accordance with Part 3 of the Human Rights (Parliamentary Scrutiny) Act 2011</w:t>
      </w:r>
    </w:p>
    <w:p w14:paraId="607FE128" w14:textId="3033453F" w:rsidR="00BB0F5A" w:rsidRPr="00356D86" w:rsidRDefault="00BB0F5A" w:rsidP="00BB0F5A">
      <w:pPr>
        <w:pStyle w:val="P1"/>
        <w:ind w:left="0" w:firstLine="0"/>
        <w:jc w:val="center"/>
        <w:rPr>
          <w:rFonts w:ascii="Times New Roman" w:hAnsi="Times New Roman"/>
          <w:b/>
          <w:i/>
        </w:rPr>
      </w:pPr>
      <w:r w:rsidRPr="000F5519">
        <w:rPr>
          <w:rFonts w:ascii="Times New Roman" w:hAnsi="Times New Roman"/>
          <w:b/>
          <w:i/>
        </w:rPr>
        <w:t xml:space="preserve">Renewable Energy (Method for Solar Water Heaters) </w:t>
      </w:r>
      <w:r>
        <w:rPr>
          <w:rFonts w:ascii="Times New Roman" w:hAnsi="Times New Roman"/>
          <w:b/>
          <w:i/>
        </w:rPr>
        <w:t xml:space="preserve">Amendment </w:t>
      </w:r>
      <w:r>
        <w:rPr>
          <w:rFonts w:ascii="Times New Roman" w:hAnsi="Times New Roman"/>
          <w:b/>
          <w:i/>
        </w:rPr>
        <w:br/>
      </w:r>
      <w:r w:rsidRPr="000F5519">
        <w:rPr>
          <w:rFonts w:ascii="Times New Roman" w:hAnsi="Times New Roman"/>
          <w:b/>
          <w:i/>
        </w:rPr>
        <w:t>(</w:t>
      </w:r>
      <w:r w:rsidR="00A016B9">
        <w:rPr>
          <w:rFonts w:ascii="Times New Roman" w:hAnsi="Times New Roman"/>
          <w:b/>
          <w:i/>
        </w:rPr>
        <w:t>Energy Savings</w:t>
      </w:r>
      <w:r w:rsidRPr="000F5519">
        <w:rPr>
          <w:rFonts w:ascii="Times New Roman" w:hAnsi="Times New Roman"/>
          <w:b/>
          <w:i/>
        </w:rPr>
        <w:t xml:space="preserve">) </w:t>
      </w:r>
      <w:r w:rsidR="00E9630A">
        <w:rPr>
          <w:rFonts w:ascii="Times New Roman" w:hAnsi="Times New Roman"/>
          <w:b/>
          <w:i/>
        </w:rPr>
        <w:t xml:space="preserve">Determination </w:t>
      </w:r>
      <w:r w:rsidR="00A016B9">
        <w:rPr>
          <w:rFonts w:ascii="Times New Roman" w:hAnsi="Times New Roman"/>
          <w:b/>
          <w:i/>
        </w:rPr>
        <w:t>2021</w:t>
      </w:r>
    </w:p>
    <w:p w14:paraId="24EDB2E5" w14:textId="77777777" w:rsidR="00BB0F5A" w:rsidRPr="00C6720F" w:rsidRDefault="00BB0F5A" w:rsidP="00BB0F5A">
      <w:pPr>
        <w:shd w:val="clear" w:color="auto" w:fill="FFFFFF"/>
        <w:spacing w:before="100" w:beforeAutospacing="1" w:after="100" w:afterAutospacing="1"/>
        <w:rPr>
          <w:rFonts w:ascii="Times New Roman" w:hAnsi="Times New Roman"/>
          <w:sz w:val="24"/>
          <w:szCs w:val="24"/>
          <w:lang w:val="en-US"/>
        </w:rPr>
      </w:pPr>
      <w:r w:rsidRPr="00C6720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C6720F">
        <w:rPr>
          <w:rFonts w:ascii="Times New Roman" w:hAnsi="Times New Roman"/>
          <w:i/>
          <w:iCs/>
          <w:sz w:val="24"/>
          <w:szCs w:val="24"/>
        </w:rPr>
        <w:t>Human Rights (Parliamentary Scrutiny) Act 2011</w:t>
      </w:r>
      <w:r w:rsidRPr="00C6720F">
        <w:rPr>
          <w:rFonts w:ascii="Times New Roman" w:hAnsi="Times New Roman"/>
          <w:sz w:val="24"/>
          <w:szCs w:val="24"/>
        </w:rPr>
        <w:t>.</w:t>
      </w:r>
    </w:p>
    <w:p w14:paraId="4DF4BC3B" w14:textId="77777777" w:rsidR="00BB0F5A" w:rsidRPr="00C6720F" w:rsidRDefault="00BB0F5A" w:rsidP="00BB0F5A">
      <w:pPr>
        <w:shd w:val="clear" w:color="auto" w:fill="FFFFFF"/>
        <w:jc w:val="both"/>
        <w:rPr>
          <w:rFonts w:ascii="Times New Roman" w:hAnsi="Times New Roman"/>
          <w:sz w:val="24"/>
          <w:szCs w:val="24"/>
          <w:lang w:val="en-US"/>
        </w:rPr>
      </w:pPr>
      <w:r w:rsidRPr="00C6720F">
        <w:rPr>
          <w:rFonts w:ascii="Times New Roman" w:hAnsi="Times New Roman"/>
          <w:b/>
          <w:bCs/>
          <w:sz w:val="24"/>
          <w:szCs w:val="24"/>
        </w:rPr>
        <w:t>Overview of the Legislative Instrument</w:t>
      </w:r>
    </w:p>
    <w:p w14:paraId="40E5F063" w14:textId="77777777" w:rsidR="00BB0F5A" w:rsidRPr="00C6720F" w:rsidRDefault="00BB0F5A" w:rsidP="00BB0F5A">
      <w:pPr>
        <w:pStyle w:val="P1"/>
        <w:tabs>
          <w:tab w:val="clear" w:pos="1191"/>
        </w:tabs>
        <w:spacing w:before="0" w:after="200"/>
        <w:ind w:left="0" w:firstLine="0"/>
        <w:jc w:val="left"/>
        <w:rPr>
          <w:rFonts w:ascii="Times New Roman" w:hAnsi="Times New Roman"/>
        </w:rPr>
      </w:pPr>
      <w:r w:rsidRPr="00C6720F">
        <w:rPr>
          <w:rFonts w:ascii="Times New Roman" w:hAnsi="Times New Roman"/>
        </w:rPr>
        <w:t xml:space="preserve">The </w:t>
      </w:r>
      <w:r w:rsidRPr="00C6720F">
        <w:rPr>
          <w:rFonts w:ascii="Times New Roman" w:hAnsi="Times New Roman"/>
          <w:i/>
        </w:rPr>
        <w:t>Renewable Energy (Electricity) Act 2000</w:t>
      </w:r>
      <w:r w:rsidRPr="00C6720F">
        <w:rPr>
          <w:rFonts w:ascii="Times New Roman" w:hAnsi="Times New Roman"/>
        </w:rPr>
        <w:t xml:space="preserve"> grants a right to create small-scale technology certificates in relation to the installation of a solar water heater. </w:t>
      </w:r>
      <w:r>
        <w:rPr>
          <w:rFonts w:ascii="Times New Roman" w:hAnsi="Times New Roman"/>
        </w:rPr>
        <w:t xml:space="preserve"> </w:t>
      </w:r>
      <w:r w:rsidRPr="00C6720F">
        <w:rPr>
          <w:rFonts w:ascii="Times New Roman" w:hAnsi="Times New Roman"/>
        </w:rPr>
        <w:t xml:space="preserve">The right to create certificates vests in the owner of the solar water heater at the time it is installed and may be assigned to another person. </w:t>
      </w:r>
    </w:p>
    <w:p w14:paraId="5043CE58" w14:textId="77777777" w:rsidR="00BB0F5A" w:rsidRPr="00C6720F" w:rsidRDefault="00BB0F5A" w:rsidP="00BB0F5A">
      <w:pPr>
        <w:pStyle w:val="P1"/>
        <w:tabs>
          <w:tab w:val="clear" w:pos="1191"/>
        </w:tabs>
        <w:spacing w:before="0" w:after="200"/>
        <w:ind w:left="0" w:firstLine="0"/>
        <w:jc w:val="left"/>
        <w:rPr>
          <w:rFonts w:ascii="Times New Roman" w:hAnsi="Times New Roman"/>
        </w:rPr>
      </w:pPr>
      <w:r w:rsidRPr="00C6720F">
        <w:rPr>
          <w:rFonts w:ascii="Times New Roman" w:hAnsi="Times New Roman"/>
        </w:rPr>
        <w:t xml:space="preserve">A certificate is ‘currency’ for the purposes of the Small-scale Renewable Energy Scheme and may be traded or used to meet a liability arising under the scheme. </w:t>
      </w:r>
      <w:r>
        <w:rPr>
          <w:rFonts w:ascii="Times New Roman" w:hAnsi="Times New Roman"/>
        </w:rPr>
        <w:t xml:space="preserve"> </w:t>
      </w:r>
      <w:r w:rsidRPr="00C6720F">
        <w:rPr>
          <w:rFonts w:ascii="Times New Roman" w:hAnsi="Times New Roman"/>
        </w:rPr>
        <w:t>In practice, certificates or the right to create certificates, are generally traded to recoup a portion of the cost of purchasing or installing a solar water heater.</w:t>
      </w:r>
    </w:p>
    <w:p w14:paraId="3F276C38" w14:textId="3D6B8762" w:rsidR="00EF7EB4" w:rsidRDefault="00BB0F5A" w:rsidP="00EF7EB4">
      <w:pPr>
        <w:pStyle w:val="P1"/>
        <w:tabs>
          <w:tab w:val="clear" w:pos="1191"/>
        </w:tabs>
        <w:spacing w:before="0" w:after="200"/>
        <w:ind w:left="0" w:firstLine="0"/>
        <w:rPr>
          <w:rFonts w:ascii="Times New Roman" w:hAnsi="Times New Roman"/>
        </w:rPr>
      </w:pPr>
      <w:r>
        <w:rPr>
          <w:rFonts w:ascii="Times New Roman" w:hAnsi="Times New Roman"/>
        </w:rPr>
        <w:t xml:space="preserve">The </w:t>
      </w:r>
      <w:r w:rsidRPr="000F5519">
        <w:rPr>
          <w:rFonts w:ascii="Times New Roman" w:hAnsi="Times New Roman"/>
          <w:i/>
        </w:rPr>
        <w:t>Renewable Energy (Electricity)</w:t>
      </w:r>
      <w:r w:rsidRPr="000F5519">
        <w:rPr>
          <w:rFonts w:ascii="Times New Roman" w:hAnsi="Times New Roman"/>
          <w:b/>
          <w:i/>
        </w:rPr>
        <w:t xml:space="preserve"> </w:t>
      </w:r>
      <w:r w:rsidRPr="000F5519">
        <w:rPr>
          <w:rFonts w:ascii="Times New Roman" w:hAnsi="Times New Roman"/>
          <w:i/>
        </w:rPr>
        <w:t xml:space="preserve">(Method for Solar Water Heaters) </w:t>
      </w:r>
      <w:r>
        <w:rPr>
          <w:rFonts w:ascii="Times New Roman" w:hAnsi="Times New Roman"/>
          <w:i/>
        </w:rPr>
        <w:t>Amendment (</w:t>
      </w:r>
      <w:r w:rsidR="00707B97">
        <w:rPr>
          <w:rFonts w:ascii="Times New Roman" w:hAnsi="Times New Roman"/>
          <w:i/>
        </w:rPr>
        <w:t>E</w:t>
      </w:r>
      <w:r w:rsidR="00DD24D1">
        <w:rPr>
          <w:rFonts w:ascii="Times New Roman" w:hAnsi="Times New Roman"/>
          <w:i/>
        </w:rPr>
        <w:t>nergy Savings</w:t>
      </w:r>
      <w:r w:rsidRPr="000F5519">
        <w:rPr>
          <w:rFonts w:ascii="Times New Roman" w:hAnsi="Times New Roman"/>
          <w:i/>
        </w:rPr>
        <w:t xml:space="preserve">) Determination </w:t>
      </w:r>
      <w:r w:rsidRPr="00C6720F">
        <w:rPr>
          <w:rFonts w:ascii="Times New Roman" w:hAnsi="Times New Roman"/>
          <w:i/>
        </w:rPr>
        <w:t>20</w:t>
      </w:r>
      <w:r>
        <w:rPr>
          <w:rFonts w:ascii="Times New Roman" w:hAnsi="Times New Roman"/>
          <w:i/>
        </w:rPr>
        <w:t>21</w:t>
      </w:r>
      <w:r w:rsidRPr="00AB60AB">
        <w:rPr>
          <w:rFonts w:ascii="Times New Roman" w:hAnsi="Times New Roman"/>
        </w:rPr>
        <w:t xml:space="preserve"> amends the</w:t>
      </w:r>
      <w:r w:rsidRPr="00C6720F">
        <w:rPr>
          <w:rFonts w:ascii="Times New Roman" w:hAnsi="Times New Roman"/>
          <w:i/>
        </w:rPr>
        <w:t xml:space="preserve"> Renewable Energy (Method for Solar Water Heaters) Determination 2016 </w:t>
      </w:r>
      <w:r w:rsidRPr="00C6720F">
        <w:rPr>
          <w:rFonts w:ascii="Times New Roman" w:hAnsi="Times New Roman"/>
        </w:rPr>
        <w:t xml:space="preserve">(the </w:t>
      </w:r>
      <w:r>
        <w:rPr>
          <w:rFonts w:ascii="Times New Roman" w:hAnsi="Times New Roman"/>
        </w:rPr>
        <w:t>2016 D</w:t>
      </w:r>
      <w:r w:rsidRPr="00C6720F">
        <w:rPr>
          <w:rFonts w:ascii="Times New Roman" w:hAnsi="Times New Roman"/>
        </w:rPr>
        <w:t xml:space="preserve">etermination) </w:t>
      </w:r>
      <w:r w:rsidR="00BF2DEE">
        <w:rPr>
          <w:rFonts w:ascii="Times New Roman" w:hAnsi="Times New Roman"/>
        </w:rPr>
        <w:t>to ensure the modelling accounts for the progressive reduction of certificates that may be created for solar water heater systems installed from 1 January 2022, as required by regulation 19BE of the Renewable Energy (Electricity)</w:t>
      </w:r>
      <w:r w:rsidR="00EF7EB4">
        <w:rPr>
          <w:rFonts w:ascii="Times New Roman" w:hAnsi="Times New Roman"/>
        </w:rPr>
        <w:t xml:space="preserve">. </w:t>
      </w:r>
    </w:p>
    <w:p w14:paraId="544FF1A4" w14:textId="015BF089" w:rsidR="00BB0F5A" w:rsidRPr="00C6720F" w:rsidRDefault="00BB0F5A" w:rsidP="00EF7EB4">
      <w:pPr>
        <w:pStyle w:val="P1"/>
        <w:tabs>
          <w:tab w:val="clear" w:pos="1191"/>
        </w:tabs>
        <w:spacing w:before="0" w:after="200"/>
        <w:ind w:left="0" w:firstLine="0"/>
        <w:rPr>
          <w:rFonts w:ascii="Times New Roman" w:hAnsi="Times New Roman"/>
        </w:rPr>
      </w:pPr>
      <w:r>
        <w:rPr>
          <w:rFonts w:ascii="Times New Roman" w:hAnsi="Times New Roman"/>
        </w:rPr>
        <w:t xml:space="preserve">The 2016 Determination </w:t>
      </w:r>
      <w:r w:rsidRPr="00C6720F">
        <w:rPr>
          <w:rFonts w:ascii="Times New Roman" w:hAnsi="Times New Roman"/>
        </w:rPr>
        <w:t xml:space="preserve">sets out a method to be used to determine the number of certificates that may be created for a particular model of solar water heaters. The method in the </w:t>
      </w:r>
      <w:r>
        <w:rPr>
          <w:rFonts w:ascii="Times New Roman" w:hAnsi="Times New Roman"/>
        </w:rPr>
        <w:t>2016 D</w:t>
      </w:r>
      <w:r w:rsidRPr="00C6720F">
        <w:rPr>
          <w:rFonts w:ascii="Times New Roman" w:hAnsi="Times New Roman"/>
        </w:rPr>
        <w:t>etermination seeks to ensure that the number of certificates that may be created reflect the amount of electricity a model of solar water heater displaces.</w:t>
      </w:r>
    </w:p>
    <w:p w14:paraId="19F5FB18" w14:textId="77777777" w:rsidR="00BB0F5A" w:rsidRPr="00C6720F" w:rsidRDefault="00BB0F5A" w:rsidP="00BB0F5A">
      <w:pPr>
        <w:shd w:val="clear" w:color="auto" w:fill="FFFFFF"/>
        <w:rPr>
          <w:rFonts w:ascii="Times New Roman" w:hAnsi="Times New Roman"/>
          <w:sz w:val="24"/>
          <w:szCs w:val="24"/>
          <w:lang w:val="en-US"/>
        </w:rPr>
      </w:pPr>
      <w:r w:rsidRPr="00C6720F">
        <w:rPr>
          <w:rFonts w:ascii="Times New Roman" w:hAnsi="Times New Roman"/>
          <w:b/>
          <w:bCs/>
          <w:sz w:val="24"/>
          <w:szCs w:val="24"/>
        </w:rPr>
        <w:t>Human rights implications</w:t>
      </w:r>
    </w:p>
    <w:p w14:paraId="0CAE8B62" w14:textId="77777777" w:rsidR="00BB0F5A" w:rsidRPr="00C6720F" w:rsidRDefault="00BB0F5A" w:rsidP="00BB0F5A">
      <w:pPr>
        <w:shd w:val="clear" w:color="auto" w:fill="FFFFFF"/>
        <w:rPr>
          <w:rFonts w:ascii="Times New Roman" w:hAnsi="Times New Roman"/>
          <w:sz w:val="24"/>
          <w:szCs w:val="24"/>
          <w:lang w:val="en-US"/>
        </w:rPr>
      </w:pPr>
      <w:r w:rsidRPr="00C6720F">
        <w:rPr>
          <w:rFonts w:ascii="Times New Roman" w:hAnsi="Times New Roman"/>
          <w:sz w:val="24"/>
          <w:szCs w:val="24"/>
        </w:rPr>
        <w:t>This Legislative Instrument does not engage any of the applicable rights or freedoms.</w:t>
      </w:r>
    </w:p>
    <w:p w14:paraId="1F25E2E7" w14:textId="77777777" w:rsidR="00BB0F5A" w:rsidRPr="00C6720F" w:rsidRDefault="00BB0F5A" w:rsidP="00BB0F5A">
      <w:pPr>
        <w:shd w:val="clear" w:color="auto" w:fill="FFFFFF"/>
        <w:rPr>
          <w:rFonts w:ascii="Times New Roman" w:hAnsi="Times New Roman"/>
          <w:sz w:val="24"/>
          <w:szCs w:val="24"/>
          <w:lang w:val="en-US"/>
        </w:rPr>
      </w:pPr>
      <w:r w:rsidRPr="00C6720F">
        <w:rPr>
          <w:rFonts w:ascii="Times New Roman" w:hAnsi="Times New Roman"/>
          <w:b/>
          <w:bCs/>
          <w:sz w:val="24"/>
          <w:szCs w:val="24"/>
        </w:rPr>
        <w:t>Conclusion</w:t>
      </w:r>
    </w:p>
    <w:p w14:paraId="0B7E8985" w14:textId="77777777" w:rsidR="00BB0F5A" w:rsidRPr="00C6720F" w:rsidRDefault="00BB0F5A" w:rsidP="00BB0F5A">
      <w:pPr>
        <w:rPr>
          <w:rFonts w:ascii="Times New Roman" w:hAnsi="Times New Roman"/>
          <w:sz w:val="24"/>
          <w:szCs w:val="24"/>
        </w:rPr>
      </w:pPr>
      <w:r w:rsidRPr="00C6720F">
        <w:rPr>
          <w:rFonts w:ascii="Times New Roman" w:hAnsi="Times New Roman"/>
          <w:sz w:val="24"/>
          <w:szCs w:val="24"/>
        </w:rPr>
        <w:t>This Legislative Instrument is compatible with human rights as it does not raise any human rights issues.</w:t>
      </w:r>
    </w:p>
    <w:p w14:paraId="3CB4FA9C" w14:textId="77777777" w:rsidR="00BB0F5A" w:rsidRPr="00BB0F5A" w:rsidRDefault="00BB0F5A" w:rsidP="00BB0F5A">
      <w:pPr>
        <w:spacing w:line="276" w:lineRule="auto"/>
        <w:rPr>
          <w:rFonts w:ascii="Times New Roman" w:hAnsi="Times New Roman" w:cs="Times New Roman"/>
          <w:sz w:val="24"/>
          <w:szCs w:val="24"/>
        </w:rPr>
      </w:pPr>
    </w:p>
    <w:sectPr w:rsidR="00BB0F5A" w:rsidRPr="00BB0F5A">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5E8BF" w14:textId="77777777" w:rsidR="007C3EC4" w:rsidRDefault="007C3EC4" w:rsidP="00CC0258">
      <w:pPr>
        <w:spacing w:after="0" w:line="240" w:lineRule="auto"/>
      </w:pPr>
      <w:r>
        <w:separator/>
      </w:r>
    </w:p>
  </w:endnote>
  <w:endnote w:type="continuationSeparator" w:id="0">
    <w:p w14:paraId="5CD15D78" w14:textId="77777777" w:rsidR="007C3EC4" w:rsidRDefault="007C3EC4" w:rsidP="00CC0258">
      <w:pPr>
        <w:spacing w:after="0" w:line="240" w:lineRule="auto"/>
      </w:pPr>
      <w:r>
        <w:continuationSeparator/>
      </w:r>
    </w:p>
  </w:endnote>
  <w:endnote w:type="continuationNotice" w:id="1">
    <w:p w14:paraId="60F95777" w14:textId="77777777" w:rsidR="007C3EC4" w:rsidRDefault="007C3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B90E7" w14:textId="77777777" w:rsidR="003C0B0E" w:rsidRDefault="003C0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708B2" w14:textId="77777777" w:rsidR="003C0B0E" w:rsidRDefault="003C0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0E3E" w14:textId="77777777" w:rsidR="003C0B0E" w:rsidRDefault="003C0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5F07B" w14:textId="77777777" w:rsidR="007C3EC4" w:rsidRDefault="007C3EC4" w:rsidP="00CC0258">
      <w:pPr>
        <w:spacing w:after="0" w:line="240" w:lineRule="auto"/>
      </w:pPr>
      <w:r>
        <w:separator/>
      </w:r>
    </w:p>
  </w:footnote>
  <w:footnote w:type="continuationSeparator" w:id="0">
    <w:p w14:paraId="0F1432A9" w14:textId="77777777" w:rsidR="007C3EC4" w:rsidRDefault="007C3EC4" w:rsidP="00CC0258">
      <w:pPr>
        <w:spacing w:after="0" w:line="240" w:lineRule="auto"/>
      </w:pPr>
      <w:r>
        <w:continuationSeparator/>
      </w:r>
    </w:p>
  </w:footnote>
  <w:footnote w:type="continuationNotice" w:id="1">
    <w:p w14:paraId="29D01662" w14:textId="77777777" w:rsidR="007C3EC4" w:rsidRDefault="007C3E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F85A" w14:textId="090F43F8" w:rsidR="00CC0258" w:rsidRDefault="00CC0258" w:rsidP="00D2074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94829" w14:textId="77777777" w:rsidR="003C0B0E" w:rsidRDefault="003C0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E797D"/>
    <w:multiLevelType w:val="hybridMultilevel"/>
    <w:tmpl w:val="24621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E140D2"/>
    <w:multiLevelType w:val="hybridMultilevel"/>
    <w:tmpl w:val="2C5E95B4"/>
    <w:lvl w:ilvl="0" w:tplc="586829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FA3EDF"/>
    <w:multiLevelType w:val="hybridMultilevel"/>
    <w:tmpl w:val="8F4E3F40"/>
    <w:lvl w:ilvl="0" w:tplc="EB408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A13200"/>
    <w:multiLevelType w:val="hybridMultilevel"/>
    <w:tmpl w:val="0590AE0A"/>
    <w:lvl w:ilvl="0" w:tplc="08AADA86">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5A"/>
    <w:rsid w:val="00004611"/>
    <w:rsid w:val="00011102"/>
    <w:rsid w:val="0001144F"/>
    <w:rsid w:val="00013B00"/>
    <w:rsid w:val="00017E72"/>
    <w:rsid w:val="00027F3A"/>
    <w:rsid w:val="00027FCB"/>
    <w:rsid w:val="00032030"/>
    <w:rsid w:val="000330D5"/>
    <w:rsid w:val="0003704D"/>
    <w:rsid w:val="0003708D"/>
    <w:rsid w:val="00041483"/>
    <w:rsid w:val="00044A28"/>
    <w:rsid w:val="000456F2"/>
    <w:rsid w:val="0004573E"/>
    <w:rsid w:val="0005028B"/>
    <w:rsid w:val="00052BB8"/>
    <w:rsid w:val="00054BE7"/>
    <w:rsid w:val="000554C0"/>
    <w:rsid w:val="000558FA"/>
    <w:rsid w:val="0005643C"/>
    <w:rsid w:val="00063748"/>
    <w:rsid w:val="0007279B"/>
    <w:rsid w:val="00075E82"/>
    <w:rsid w:val="000764F4"/>
    <w:rsid w:val="000828F0"/>
    <w:rsid w:val="000830FF"/>
    <w:rsid w:val="0008412F"/>
    <w:rsid w:val="00085ACD"/>
    <w:rsid w:val="00090364"/>
    <w:rsid w:val="00090904"/>
    <w:rsid w:val="000934AD"/>
    <w:rsid w:val="0009353D"/>
    <w:rsid w:val="000A0756"/>
    <w:rsid w:val="000A1832"/>
    <w:rsid w:val="000A44A6"/>
    <w:rsid w:val="000B23B6"/>
    <w:rsid w:val="000B30A0"/>
    <w:rsid w:val="000B487C"/>
    <w:rsid w:val="000B55DC"/>
    <w:rsid w:val="000B6668"/>
    <w:rsid w:val="000B7076"/>
    <w:rsid w:val="000B7B36"/>
    <w:rsid w:val="000C087C"/>
    <w:rsid w:val="000C0DA9"/>
    <w:rsid w:val="000C6316"/>
    <w:rsid w:val="000C7320"/>
    <w:rsid w:val="000C7ADF"/>
    <w:rsid w:val="000D1A24"/>
    <w:rsid w:val="000D1BC1"/>
    <w:rsid w:val="000D43E0"/>
    <w:rsid w:val="000D7602"/>
    <w:rsid w:val="000E284D"/>
    <w:rsid w:val="000E57EB"/>
    <w:rsid w:val="000E6DDD"/>
    <w:rsid w:val="000F127C"/>
    <w:rsid w:val="000F1B42"/>
    <w:rsid w:val="000F3944"/>
    <w:rsid w:val="000F4B97"/>
    <w:rsid w:val="000F7229"/>
    <w:rsid w:val="000F7A07"/>
    <w:rsid w:val="00101453"/>
    <w:rsid w:val="00102061"/>
    <w:rsid w:val="00102429"/>
    <w:rsid w:val="00102893"/>
    <w:rsid w:val="00105281"/>
    <w:rsid w:val="0010536E"/>
    <w:rsid w:val="00110E7F"/>
    <w:rsid w:val="00113211"/>
    <w:rsid w:val="001138E7"/>
    <w:rsid w:val="00113DB0"/>
    <w:rsid w:val="0012566B"/>
    <w:rsid w:val="0012778A"/>
    <w:rsid w:val="00127E0E"/>
    <w:rsid w:val="001316FB"/>
    <w:rsid w:val="00132923"/>
    <w:rsid w:val="001330A4"/>
    <w:rsid w:val="00133AA4"/>
    <w:rsid w:val="001407D3"/>
    <w:rsid w:val="00141F3D"/>
    <w:rsid w:val="00142209"/>
    <w:rsid w:val="00143129"/>
    <w:rsid w:val="00144377"/>
    <w:rsid w:val="001473DF"/>
    <w:rsid w:val="0014743E"/>
    <w:rsid w:val="00152D40"/>
    <w:rsid w:val="00153BC7"/>
    <w:rsid w:val="001602F5"/>
    <w:rsid w:val="00162A39"/>
    <w:rsid w:val="001669C9"/>
    <w:rsid w:val="00166EB7"/>
    <w:rsid w:val="0016723F"/>
    <w:rsid w:val="0017051C"/>
    <w:rsid w:val="00171163"/>
    <w:rsid w:val="00172B8B"/>
    <w:rsid w:val="00181B8C"/>
    <w:rsid w:val="001866DA"/>
    <w:rsid w:val="00186AAC"/>
    <w:rsid w:val="0019559F"/>
    <w:rsid w:val="001A016C"/>
    <w:rsid w:val="001A16F9"/>
    <w:rsid w:val="001A4BB2"/>
    <w:rsid w:val="001A7D47"/>
    <w:rsid w:val="001C06B5"/>
    <w:rsid w:val="001C47E5"/>
    <w:rsid w:val="001C4BCE"/>
    <w:rsid w:val="001D0463"/>
    <w:rsid w:val="001D6075"/>
    <w:rsid w:val="001D63BD"/>
    <w:rsid w:val="001E15BC"/>
    <w:rsid w:val="001E2FEF"/>
    <w:rsid w:val="001E4A4F"/>
    <w:rsid w:val="001E6898"/>
    <w:rsid w:val="001E7955"/>
    <w:rsid w:val="001F2F50"/>
    <w:rsid w:val="001F3DCC"/>
    <w:rsid w:val="001F5ACF"/>
    <w:rsid w:val="001F5EDC"/>
    <w:rsid w:val="001F7D36"/>
    <w:rsid w:val="00200F15"/>
    <w:rsid w:val="002020BF"/>
    <w:rsid w:val="00202677"/>
    <w:rsid w:val="00204803"/>
    <w:rsid w:val="00206227"/>
    <w:rsid w:val="00207A70"/>
    <w:rsid w:val="00213F0D"/>
    <w:rsid w:val="0021580A"/>
    <w:rsid w:val="00221323"/>
    <w:rsid w:val="00223921"/>
    <w:rsid w:val="002252D3"/>
    <w:rsid w:val="002308E5"/>
    <w:rsid w:val="002338D8"/>
    <w:rsid w:val="0023775B"/>
    <w:rsid w:val="00237D7E"/>
    <w:rsid w:val="00241E19"/>
    <w:rsid w:val="00242347"/>
    <w:rsid w:val="002424C8"/>
    <w:rsid w:val="00242E63"/>
    <w:rsid w:val="00244447"/>
    <w:rsid w:val="00244FC9"/>
    <w:rsid w:val="00247CDA"/>
    <w:rsid w:val="002515F5"/>
    <w:rsid w:val="002558B9"/>
    <w:rsid w:val="00256B5B"/>
    <w:rsid w:val="0026189E"/>
    <w:rsid w:val="00265BBE"/>
    <w:rsid w:val="002720A5"/>
    <w:rsid w:val="00272959"/>
    <w:rsid w:val="002779C7"/>
    <w:rsid w:val="00277E9E"/>
    <w:rsid w:val="0028206C"/>
    <w:rsid w:val="00285215"/>
    <w:rsid w:val="002869AA"/>
    <w:rsid w:val="00286DAD"/>
    <w:rsid w:val="00286DAF"/>
    <w:rsid w:val="002870F3"/>
    <w:rsid w:val="00287EC2"/>
    <w:rsid w:val="00292AE7"/>
    <w:rsid w:val="00296F32"/>
    <w:rsid w:val="002A3833"/>
    <w:rsid w:val="002A577F"/>
    <w:rsid w:val="002B5C8C"/>
    <w:rsid w:val="002C0225"/>
    <w:rsid w:val="002C465A"/>
    <w:rsid w:val="002C5EEF"/>
    <w:rsid w:val="002C669E"/>
    <w:rsid w:val="002C6CBC"/>
    <w:rsid w:val="002D19D3"/>
    <w:rsid w:val="002D5140"/>
    <w:rsid w:val="002D5964"/>
    <w:rsid w:val="002D72AA"/>
    <w:rsid w:val="002E1E19"/>
    <w:rsid w:val="002E229D"/>
    <w:rsid w:val="002E4674"/>
    <w:rsid w:val="002E6D2B"/>
    <w:rsid w:val="002F07F1"/>
    <w:rsid w:val="002F1C34"/>
    <w:rsid w:val="002F68B2"/>
    <w:rsid w:val="00301271"/>
    <w:rsid w:val="0030426F"/>
    <w:rsid w:val="0031081D"/>
    <w:rsid w:val="00314293"/>
    <w:rsid w:val="00315E3E"/>
    <w:rsid w:val="00317A62"/>
    <w:rsid w:val="00320652"/>
    <w:rsid w:val="00321FB1"/>
    <w:rsid w:val="00323FD0"/>
    <w:rsid w:val="00324DD3"/>
    <w:rsid w:val="003260C7"/>
    <w:rsid w:val="00327F48"/>
    <w:rsid w:val="00340741"/>
    <w:rsid w:val="00340CC2"/>
    <w:rsid w:val="00341A76"/>
    <w:rsid w:val="00342900"/>
    <w:rsid w:val="00342DD4"/>
    <w:rsid w:val="003476F5"/>
    <w:rsid w:val="0035175E"/>
    <w:rsid w:val="00363EEB"/>
    <w:rsid w:val="003645FB"/>
    <w:rsid w:val="00364662"/>
    <w:rsid w:val="0036533D"/>
    <w:rsid w:val="00365BF6"/>
    <w:rsid w:val="003664F8"/>
    <w:rsid w:val="00373223"/>
    <w:rsid w:val="003750EA"/>
    <w:rsid w:val="003813CF"/>
    <w:rsid w:val="00383A8B"/>
    <w:rsid w:val="00383EC1"/>
    <w:rsid w:val="0038543C"/>
    <w:rsid w:val="00385ADF"/>
    <w:rsid w:val="003906AB"/>
    <w:rsid w:val="0039777B"/>
    <w:rsid w:val="003A402E"/>
    <w:rsid w:val="003B4189"/>
    <w:rsid w:val="003C0B0E"/>
    <w:rsid w:val="003C536E"/>
    <w:rsid w:val="003C6122"/>
    <w:rsid w:val="003D4A99"/>
    <w:rsid w:val="003D716B"/>
    <w:rsid w:val="003E182B"/>
    <w:rsid w:val="003E493F"/>
    <w:rsid w:val="003E59BC"/>
    <w:rsid w:val="003E7FB0"/>
    <w:rsid w:val="003F00F6"/>
    <w:rsid w:val="003F0E08"/>
    <w:rsid w:val="003F6189"/>
    <w:rsid w:val="00400D16"/>
    <w:rsid w:val="0040288E"/>
    <w:rsid w:val="004201B8"/>
    <w:rsid w:val="00430116"/>
    <w:rsid w:val="00434B96"/>
    <w:rsid w:val="00436933"/>
    <w:rsid w:val="00437E95"/>
    <w:rsid w:val="00440F72"/>
    <w:rsid w:val="004502B2"/>
    <w:rsid w:val="00452ED8"/>
    <w:rsid w:val="004549EE"/>
    <w:rsid w:val="00460D71"/>
    <w:rsid w:val="00461192"/>
    <w:rsid w:val="00463717"/>
    <w:rsid w:val="00466DD7"/>
    <w:rsid w:val="00466E14"/>
    <w:rsid w:val="004746E3"/>
    <w:rsid w:val="0047675A"/>
    <w:rsid w:val="00481456"/>
    <w:rsid w:val="004838CE"/>
    <w:rsid w:val="00484F26"/>
    <w:rsid w:val="0048543C"/>
    <w:rsid w:val="004868B4"/>
    <w:rsid w:val="00492227"/>
    <w:rsid w:val="00492DC4"/>
    <w:rsid w:val="0049715D"/>
    <w:rsid w:val="004A1B6E"/>
    <w:rsid w:val="004A41FB"/>
    <w:rsid w:val="004A45E1"/>
    <w:rsid w:val="004A6829"/>
    <w:rsid w:val="004B46DB"/>
    <w:rsid w:val="004B4EDB"/>
    <w:rsid w:val="004B4FFB"/>
    <w:rsid w:val="004C1C8B"/>
    <w:rsid w:val="004C7265"/>
    <w:rsid w:val="004C7CB2"/>
    <w:rsid w:val="004D1220"/>
    <w:rsid w:val="004D351C"/>
    <w:rsid w:val="004D462F"/>
    <w:rsid w:val="004D7D11"/>
    <w:rsid w:val="004E2EFE"/>
    <w:rsid w:val="004E3946"/>
    <w:rsid w:val="004E583C"/>
    <w:rsid w:val="004E6AA1"/>
    <w:rsid w:val="004E6C51"/>
    <w:rsid w:val="004E7444"/>
    <w:rsid w:val="004F219E"/>
    <w:rsid w:val="004F22B4"/>
    <w:rsid w:val="004F6C53"/>
    <w:rsid w:val="00514677"/>
    <w:rsid w:val="00517BF3"/>
    <w:rsid w:val="00521B88"/>
    <w:rsid w:val="00523009"/>
    <w:rsid w:val="0054210C"/>
    <w:rsid w:val="005437FF"/>
    <w:rsid w:val="00552AF1"/>
    <w:rsid w:val="00560BE7"/>
    <w:rsid w:val="00562806"/>
    <w:rsid w:val="005631DE"/>
    <w:rsid w:val="00564481"/>
    <w:rsid w:val="00571B3D"/>
    <w:rsid w:val="005878D9"/>
    <w:rsid w:val="00594783"/>
    <w:rsid w:val="0059574F"/>
    <w:rsid w:val="005A1071"/>
    <w:rsid w:val="005A7874"/>
    <w:rsid w:val="005B5EAF"/>
    <w:rsid w:val="005B5FDC"/>
    <w:rsid w:val="005B6B4F"/>
    <w:rsid w:val="005B7A80"/>
    <w:rsid w:val="005C26D7"/>
    <w:rsid w:val="005C4DBE"/>
    <w:rsid w:val="005C5526"/>
    <w:rsid w:val="005C7234"/>
    <w:rsid w:val="005D2FBC"/>
    <w:rsid w:val="005D46CD"/>
    <w:rsid w:val="005D4E1F"/>
    <w:rsid w:val="005D631C"/>
    <w:rsid w:val="005D764E"/>
    <w:rsid w:val="005E16E2"/>
    <w:rsid w:val="005E2954"/>
    <w:rsid w:val="005E697D"/>
    <w:rsid w:val="005F0870"/>
    <w:rsid w:val="005F22A7"/>
    <w:rsid w:val="005F6379"/>
    <w:rsid w:val="005F6BD8"/>
    <w:rsid w:val="00602816"/>
    <w:rsid w:val="006032BF"/>
    <w:rsid w:val="00603690"/>
    <w:rsid w:val="00606C85"/>
    <w:rsid w:val="006074B3"/>
    <w:rsid w:val="00607C9A"/>
    <w:rsid w:val="006115D6"/>
    <w:rsid w:val="00612B0D"/>
    <w:rsid w:val="00612B6A"/>
    <w:rsid w:val="00612F26"/>
    <w:rsid w:val="00613C5A"/>
    <w:rsid w:val="00615F70"/>
    <w:rsid w:val="00621EBD"/>
    <w:rsid w:val="00623F0D"/>
    <w:rsid w:val="00624F04"/>
    <w:rsid w:val="00631AF2"/>
    <w:rsid w:val="00632CAA"/>
    <w:rsid w:val="006357D5"/>
    <w:rsid w:val="00640FAC"/>
    <w:rsid w:val="00642528"/>
    <w:rsid w:val="00642F80"/>
    <w:rsid w:val="00643804"/>
    <w:rsid w:val="00646F13"/>
    <w:rsid w:val="00653A89"/>
    <w:rsid w:val="00655D4F"/>
    <w:rsid w:val="0066335E"/>
    <w:rsid w:val="00664A32"/>
    <w:rsid w:val="00670264"/>
    <w:rsid w:val="0067449E"/>
    <w:rsid w:val="00674520"/>
    <w:rsid w:val="00674D7D"/>
    <w:rsid w:val="006767E2"/>
    <w:rsid w:val="00676E12"/>
    <w:rsid w:val="006850C3"/>
    <w:rsid w:val="00691D7D"/>
    <w:rsid w:val="00693EAC"/>
    <w:rsid w:val="006A0343"/>
    <w:rsid w:val="006A10F2"/>
    <w:rsid w:val="006A2874"/>
    <w:rsid w:val="006A41FD"/>
    <w:rsid w:val="006A4BBA"/>
    <w:rsid w:val="006B2281"/>
    <w:rsid w:val="006B228B"/>
    <w:rsid w:val="006B6CCE"/>
    <w:rsid w:val="006C249E"/>
    <w:rsid w:val="006C25DF"/>
    <w:rsid w:val="006D006E"/>
    <w:rsid w:val="006D03CC"/>
    <w:rsid w:val="006D41B8"/>
    <w:rsid w:val="006D657A"/>
    <w:rsid w:val="006D79B9"/>
    <w:rsid w:val="006E1B0F"/>
    <w:rsid w:val="006E487A"/>
    <w:rsid w:val="006E4CE9"/>
    <w:rsid w:val="006E7721"/>
    <w:rsid w:val="006F3201"/>
    <w:rsid w:val="006F4F40"/>
    <w:rsid w:val="006F5474"/>
    <w:rsid w:val="006F5AE0"/>
    <w:rsid w:val="00703FC1"/>
    <w:rsid w:val="00705B3D"/>
    <w:rsid w:val="0070678A"/>
    <w:rsid w:val="00707B97"/>
    <w:rsid w:val="00712020"/>
    <w:rsid w:val="0071492D"/>
    <w:rsid w:val="00715E85"/>
    <w:rsid w:val="0071727F"/>
    <w:rsid w:val="00717E46"/>
    <w:rsid w:val="00724977"/>
    <w:rsid w:val="00730C49"/>
    <w:rsid w:val="00731059"/>
    <w:rsid w:val="0073175E"/>
    <w:rsid w:val="0073646A"/>
    <w:rsid w:val="00740BAE"/>
    <w:rsid w:val="0074404B"/>
    <w:rsid w:val="007448F8"/>
    <w:rsid w:val="00745B7C"/>
    <w:rsid w:val="00747785"/>
    <w:rsid w:val="00747A79"/>
    <w:rsid w:val="0075594B"/>
    <w:rsid w:val="00755C86"/>
    <w:rsid w:val="00755E4B"/>
    <w:rsid w:val="007621F9"/>
    <w:rsid w:val="00765155"/>
    <w:rsid w:val="00771DB6"/>
    <w:rsid w:val="0077201B"/>
    <w:rsid w:val="00774291"/>
    <w:rsid w:val="00777B47"/>
    <w:rsid w:val="0078178E"/>
    <w:rsid w:val="00782C63"/>
    <w:rsid w:val="00784A62"/>
    <w:rsid w:val="007862C8"/>
    <w:rsid w:val="0078698C"/>
    <w:rsid w:val="0079237F"/>
    <w:rsid w:val="007946E3"/>
    <w:rsid w:val="00795E73"/>
    <w:rsid w:val="007A4C18"/>
    <w:rsid w:val="007B0BA5"/>
    <w:rsid w:val="007B1366"/>
    <w:rsid w:val="007B2D61"/>
    <w:rsid w:val="007B542C"/>
    <w:rsid w:val="007B63E9"/>
    <w:rsid w:val="007B6B63"/>
    <w:rsid w:val="007C0042"/>
    <w:rsid w:val="007C16CA"/>
    <w:rsid w:val="007C1F90"/>
    <w:rsid w:val="007C3EC4"/>
    <w:rsid w:val="007C4BF6"/>
    <w:rsid w:val="007D44A9"/>
    <w:rsid w:val="007D4743"/>
    <w:rsid w:val="007D6A83"/>
    <w:rsid w:val="007D7669"/>
    <w:rsid w:val="007E0C2E"/>
    <w:rsid w:val="007E685C"/>
    <w:rsid w:val="007E7736"/>
    <w:rsid w:val="007E7898"/>
    <w:rsid w:val="007F2198"/>
    <w:rsid w:val="007F5AA1"/>
    <w:rsid w:val="008031FA"/>
    <w:rsid w:val="00804069"/>
    <w:rsid w:val="00806DD6"/>
    <w:rsid w:val="00810BC7"/>
    <w:rsid w:val="0082140B"/>
    <w:rsid w:val="00823BB0"/>
    <w:rsid w:val="00824A6E"/>
    <w:rsid w:val="00825AF6"/>
    <w:rsid w:val="00826D0B"/>
    <w:rsid w:val="008359FD"/>
    <w:rsid w:val="00836559"/>
    <w:rsid w:val="008369E0"/>
    <w:rsid w:val="00836E28"/>
    <w:rsid w:val="00846AF4"/>
    <w:rsid w:val="00847804"/>
    <w:rsid w:val="00852EA5"/>
    <w:rsid w:val="00853CF3"/>
    <w:rsid w:val="008558B5"/>
    <w:rsid w:val="00861346"/>
    <w:rsid w:val="00866D90"/>
    <w:rsid w:val="008712CF"/>
    <w:rsid w:val="0087198E"/>
    <w:rsid w:val="00873923"/>
    <w:rsid w:val="00881949"/>
    <w:rsid w:val="00882B09"/>
    <w:rsid w:val="00882DBC"/>
    <w:rsid w:val="00890682"/>
    <w:rsid w:val="00890A82"/>
    <w:rsid w:val="00895CA3"/>
    <w:rsid w:val="00896D1F"/>
    <w:rsid w:val="00897959"/>
    <w:rsid w:val="008A2F44"/>
    <w:rsid w:val="008A33C3"/>
    <w:rsid w:val="008B0D38"/>
    <w:rsid w:val="008B2FA4"/>
    <w:rsid w:val="008B3C7B"/>
    <w:rsid w:val="008B697B"/>
    <w:rsid w:val="008B6DF3"/>
    <w:rsid w:val="008C0010"/>
    <w:rsid w:val="008C18FD"/>
    <w:rsid w:val="008E0B49"/>
    <w:rsid w:val="008E0D96"/>
    <w:rsid w:val="008F2244"/>
    <w:rsid w:val="008F2899"/>
    <w:rsid w:val="008F7C8A"/>
    <w:rsid w:val="009003D5"/>
    <w:rsid w:val="0090129C"/>
    <w:rsid w:val="00904D97"/>
    <w:rsid w:val="00906219"/>
    <w:rsid w:val="0091048B"/>
    <w:rsid w:val="00913020"/>
    <w:rsid w:val="00923198"/>
    <w:rsid w:val="00923A3D"/>
    <w:rsid w:val="00926D7E"/>
    <w:rsid w:val="00930BD8"/>
    <w:rsid w:val="009322FC"/>
    <w:rsid w:val="00932405"/>
    <w:rsid w:val="00932F1E"/>
    <w:rsid w:val="009424CA"/>
    <w:rsid w:val="00942A86"/>
    <w:rsid w:val="00944AF4"/>
    <w:rsid w:val="00950405"/>
    <w:rsid w:val="00950579"/>
    <w:rsid w:val="009513D8"/>
    <w:rsid w:val="0095458F"/>
    <w:rsid w:val="009630AA"/>
    <w:rsid w:val="00965BC3"/>
    <w:rsid w:val="009662D1"/>
    <w:rsid w:val="00970124"/>
    <w:rsid w:val="00974B2E"/>
    <w:rsid w:val="009806F6"/>
    <w:rsid w:val="00980ACC"/>
    <w:rsid w:val="00980B4B"/>
    <w:rsid w:val="00982A6E"/>
    <w:rsid w:val="009849CA"/>
    <w:rsid w:val="009851EE"/>
    <w:rsid w:val="0098564D"/>
    <w:rsid w:val="00986184"/>
    <w:rsid w:val="00986F1D"/>
    <w:rsid w:val="009878E0"/>
    <w:rsid w:val="00997F3D"/>
    <w:rsid w:val="009A38F1"/>
    <w:rsid w:val="009B17D4"/>
    <w:rsid w:val="009B24BC"/>
    <w:rsid w:val="009B766D"/>
    <w:rsid w:val="009C1671"/>
    <w:rsid w:val="009C444F"/>
    <w:rsid w:val="009C621A"/>
    <w:rsid w:val="009D0BE5"/>
    <w:rsid w:val="009D4132"/>
    <w:rsid w:val="009D636F"/>
    <w:rsid w:val="009E3714"/>
    <w:rsid w:val="009E6CF6"/>
    <w:rsid w:val="009F0D16"/>
    <w:rsid w:val="009F614D"/>
    <w:rsid w:val="009F6619"/>
    <w:rsid w:val="00A007F7"/>
    <w:rsid w:val="00A0119B"/>
    <w:rsid w:val="00A016B9"/>
    <w:rsid w:val="00A01E5B"/>
    <w:rsid w:val="00A050D1"/>
    <w:rsid w:val="00A109B0"/>
    <w:rsid w:val="00A13F83"/>
    <w:rsid w:val="00A14560"/>
    <w:rsid w:val="00A1621D"/>
    <w:rsid w:val="00A20C2D"/>
    <w:rsid w:val="00A2759C"/>
    <w:rsid w:val="00A34A59"/>
    <w:rsid w:val="00A358BD"/>
    <w:rsid w:val="00A36BC7"/>
    <w:rsid w:val="00A44AF3"/>
    <w:rsid w:val="00A44F01"/>
    <w:rsid w:val="00A53086"/>
    <w:rsid w:val="00A57188"/>
    <w:rsid w:val="00A5740C"/>
    <w:rsid w:val="00A62E34"/>
    <w:rsid w:val="00A66841"/>
    <w:rsid w:val="00A6768F"/>
    <w:rsid w:val="00A7125E"/>
    <w:rsid w:val="00A7436B"/>
    <w:rsid w:val="00A74483"/>
    <w:rsid w:val="00A8079F"/>
    <w:rsid w:val="00A81C45"/>
    <w:rsid w:val="00A83A34"/>
    <w:rsid w:val="00A859AF"/>
    <w:rsid w:val="00A85D4C"/>
    <w:rsid w:val="00A91972"/>
    <w:rsid w:val="00A93739"/>
    <w:rsid w:val="00A94FBA"/>
    <w:rsid w:val="00A96D7B"/>
    <w:rsid w:val="00A9773F"/>
    <w:rsid w:val="00AA5103"/>
    <w:rsid w:val="00AB1E19"/>
    <w:rsid w:val="00AB5AB1"/>
    <w:rsid w:val="00AC6DBA"/>
    <w:rsid w:val="00AC7FDA"/>
    <w:rsid w:val="00AD063C"/>
    <w:rsid w:val="00AD1E57"/>
    <w:rsid w:val="00AD218C"/>
    <w:rsid w:val="00AD24E2"/>
    <w:rsid w:val="00AD3F1B"/>
    <w:rsid w:val="00AD46AA"/>
    <w:rsid w:val="00AD53EF"/>
    <w:rsid w:val="00AD7F83"/>
    <w:rsid w:val="00AE1D75"/>
    <w:rsid w:val="00AE4865"/>
    <w:rsid w:val="00AE4ABE"/>
    <w:rsid w:val="00AF21C8"/>
    <w:rsid w:val="00AF2373"/>
    <w:rsid w:val="00B0125D"/>
    <w:rsid w:val="00B02CF2"/>
    <w:rsid w:val="00B03A98"/>
    <w:rsid w:val="00B07CBB"/>
    <w:rsid w:val="00B10886"/>
    <w:rsid w:val="00B12328"/>
    <w:rsid w:val="00B150B5"/>
    <w:rsid w:val="00B15D3F"/>
    <w:rsid w:val="00B20293"/>
    <w:rsid w:val="00B20C9D"/>
    <w:rsid w:val="00B24857"/>
    <w:rsid w:val="00B3314A"/>
    <w:rsid w:val="00B339BE"/>
    <w:rsid w:val="00B34AC9"/>
    <w:rsid w:val="00B4018A"/>
    <w:rsid w:val="00B415AC"/>
    <w:rsid w:val="00B45E7C"/>
    <w:rsid w:val="00B55F6A"/>
    <w:rsid w:val="00B56F92"/>
    <w:rsid w:val="00B7163B"/>
    <w:rsid w:val="00B80631"/>
    <w:rsid w:val="00B83162"/>
    <w:rsid w:val="00B83A52"/>
    <w:rsid w:val="00B84B9F"/>
    <w:rsid w:val="00B8529A"/>
    <w:rsid w:val="00B868D4"/>
    <w:rsid w:val="00B87C0B"/>
    <w:rsid w:val="00B92F9A"/>
    <w:rsid w:val="00B967ED"/>
    <w:rsid w:val="00BA0BDD"/>
    <w:rsid w:val="00BA10B6"/>
    <w:rsid w:val="00BA3E73"/>
    <w:rsid w:val="00BB0F5A"/>
    <w:rsid w:val="00BB3C04"/>
    <w:rsid w:val="00BB5B15"/>
    <w:rsid w:val="00BC048B"/>
    <w:rsid w:val="00BC344E"/>
    <w:rsid w:val="00BC5571"/>
    <w:rsid w:val="00BC7029"/>
    <w:rsid w:val="00BD0F91"/>
    <w:rsid w:val="00BD1D1C"/>
    <w:rsid w:val="00BD30F9"/>
    <w:rsid w:val="00BD55A9"/>
    <w:rsid w:val="00BD776B"/>
    <w:rsid w:val="00BE0577"/>
    <w:rsid w:val="00BE1186"/>
    <w:rsid w:val="00BE1454"/>
    <w:rsid w:val="00BE28EE"/>
    <w:rsid w:val="00BE2B93"/>
    <w:rsid w:val="00BE3B51"/>
    <w:rsid w:val="00BE414C"/>
    <w:rsid w:val="00BF2DEE"/>
    <w:rsid w:val="00BF4FE9"/>
    <w:rsid w:val="00BF726F"/>
    <w:rsid w:val="00C01873"/>
    <w:rsid w:val="00C033A4"/>
    <w:rsid w:val="00C17412"/>
    <w:rsid w:val="00C210A6"/>
    <w:rsid w:val="00C27306"/>
    <w:rsid w:val="00C274C8"/>
    <w:rsid w:val="00C27FFC"/>
    <w:rsid w:val="00C33B9E"/>
    <w:rsid w:val="00C36569"/>
    <w:rsid w:val="00C40897"/>
    <w:rsid w:val="00C41424"/>
    <w:rsid w:val="00C4367E"/>
    <w:rsid w:val="00C51EEC"/>
    <w:rsid w:val="00C520E2"/>
    <w:rsid w:val="00C57407"/>
    <w:rsid w:val="00C63AEA"/>
    <w:rsid w:val="00C64319"/>
    <w:rsid w:val="00C64998"/>
    <w:rsid w:val="00C7099D"/>
    <w:rsid w:val="00C74275"/>
    <w:rsid w:val="00C74544"/>
    <w:rsid w:val="00C7576F"/>
    <w:rsid w:val="00C757FA"/>
    <w:rsid w:val="00C76177"/>
    <w:rsid w:val="00C763B9"/>
    <w:rsid w:val="00C767E2"/>
    <w:rsid w:val="00C768C2"/>
    <w:rsid w:val="00C769CA"/>
    <w:rsid w:val="00C80DC4"/>
    <w:rsid w:val="00C90DBE"/>
    <w:rsid w:val="00C92189"/>
    <w:rsid w:val="00C9590D"/>
    <w:rsid w:val="00C95AD2"/>
    <w:rsid w:val="00CA02B9"/>
    <w:rsid w:val="00CA115A"/>
    <w:rsid w:val="00CA3B24"/>
    <w:rsid w:val="00CA4D77"/>
    <w:rsid w:val="00CA4FD2"/>
    <w:rsid w:val="00CB0F22"/>
    <w:rsid w:val="00CB4B4F"/>
    <w:rsid w:val="00CC0258"/>
    <w:rsid w:val="00CC113B"/>
    <w:rsid w:val="00CC181F"/>
    <w:rsid w:val="00CC3C49"/>
    <w:rsid w:val="00CD1730"/>
    <w:rsid w:val="00CD54C8"/>
    <w:rsid w:val="00CD64E4"/>
    <w:rsid w:val="00CE1A58"/>
    <w:rsid w:val="00CE58DD"/>
    <w:rsid w:val="00CF13E2"/>
    <w:rsid w:val="00CF1EAC"/>
    <w:rsid w:val="00CF287E"/>
    <w:rsid w:val="00CF5DA2"/>
    <w:rsid w:val="00CF5EC2"/>
    <w:rsid w:val="00D00392"/>
    <w:rsid w:val="00D00676"/>
    <w:rsid w:val="00D05B58"/>
    <w:rsid w:val="00D121A7"/>
    <w:rsid w:val="00D13288"/>
    <w:rsid w:val="00D146C1"/>
    <w:rsid w:val="00D156B8"/>
    <w:rsid w:val="00D20748"/>
    <w:rsid w:val="00D25B86"/>
    <w:rsid w:val="00D27848"/>
    <w:rsid w:val="00D36E53"/>
    <w:rsid w:val="00D3729F"/>
    <w:rsid w:val="00D446FE"/>
    <w:rsid w:val="00D4497C"/>
    <w:rsid w:val="00D45877"/>
    <w:rsid w:val="00D4679E"/>
    <w:rsid w:val="00D53CC5"/>
    <w:rsid w:val="00D557AA"/>
    <w:rsid w:val="00D606AE"/>
    <w:rsid w:val="00D61B96"/>
    <w:rsid w:val="00D659D4"/>
    <w:rsid w:val="00D669F3"/>
    <w:rsid w:val="00D66C6D"/>
    <w:rsid w:val="00D6763A"/>
    <w:rsid w:val="00D72FFB"/>
    <w:rsid w:val="00D73CB6"/>
    <w:rsid w:val="00D7424A"/>
    <w:rsid w:val="00D831D3"/>
    <w:rsid w:val="00D859FD"/>
    <w:rsid w:val="00D87921"/>
    <w:rsid w:val="00D92EFB"/>
    <w:rsid w:val="00D95661"/>
    <w:rsid w:val="00DA19F1"/>
    <w:rsid w:val="00DB01AF"/>
    <w:rsid w:val="00DB037D"/>
    <w:rsid w:val="00DB03F1"/>
    <w:rsid w:val="00DB27A8"/>
    <w:rsid w:val="00DB2C93"/>
    <w:rsid w:val="00DB4652"/>
    <w:rsid w:val="00DB5585"/>
    <w:rsid w:val="00DC6DBD"/>
    <w:rsid w:val="00DD24D1"/>
    <w:rsid w:val="00DD45C1"/>
    <w:rsid w:val="00DD4AEE"/>
    <w:rsid w:val="00DD66A9"/>
    <w:rsid w:val="00DD7674"/>
    <w:rsid w:val="00DE29B7"/>
    <w:rsid w:val="00DF3069"/>
    <w:rsid w:val="00E03190"/>
    <w:rsid w:val="00E053B3"/>
    <w:rsid w:val="00E056D1"/>
    <w:rsid w:val="00E073E1"/>
    <w:rsid w:val="00E121A6"/>
    <w:rsid w:val="00E2052D"/>
    <w:rsid w:val="00E20FF7"/>
    <w:rsid w:val="00E21CF2"/>
    <w:rsid w:val="00E239EB"/>
    <w:rsid w:val="00E25FFE"/>
    <w:rsid w:val="00E26AB8"/>
    <w:rsid w:val="00E2BCF4"/>
    <w:rsid w:val="00E30352"/>
    <w:rsid w:val="00E32516"/>
    <w:rsid w:val="00E3624E"/>
    <w:rsid w:val="00E378BD"/>
    <w:rsid w:val="00E41D8A"/>
    <w:rsid w:val="00E46B32"/>
    <w:rsid w:val="00E511BC"/>
    <w:rsid w:val="00E52343"/>
    <w:rsid w:val="00E53CBF"/>
    <w:rsid w:val="00E57CE5"/>
    <w:rsid w:val="00E6359D"/>
    <w:rsid w:val="00E66B9A"/>
    <w:rsid w:val="00E73A65"/>
    <w:rsid w:val="00E76E63"/>
    <w:rsid w:val="00E81506"/>
    <w:rsid w:val="00E816BE"/>
    <w:rsid w:val="00E83B45"/>
    <w:rsid w:val="00E84A23"/>
    <w:rsid w:val="00E84F5F"/>
    <w:rsid w:val="00E94017"/>
    <w:rsid w:val="00E94F00"/>
    <w:rsid w:val="00E9630A"/>
    <w:rsid w:val="00EB19A7"/>
    <w:rsid w:val="00EC1483"/>
    <w:rsid w:val="00EC7274"/>
    <w:rsid w:val="00ED07B8"/>
    <w:rsid w:val="00ED3CB8"/>
    <w:rsid w:val="00ED7CC8"/>
    <w:rsid w:val="00EE01BF"/>
    <w:rsid w:val="00EE0D63"/>
    <w:rsid w:val="00EE37A1"/>
    <w:rsid w:val="00EE42E9"/>
    <w:rsid w:val="00EE70BD"/>
    <w:rsid w:val="00EF41D3"/>
    <w:rsid w:val="00EF7EB4"/>
    <w:rsid w:val="00F022C9"/>
    <w:rsid w:val="00F041F4"/>
    <w:rsid w:val="00F13FFE"/>
    <w:rsid w:val="00F1633E"/>
    <w:rsid w:val="00F1779F"/>
    <w:rsid w:val="00F32FD7"/>
    <w:rsid w:val="00F3650B"/>
    <w:rsid w:val="00F36FEA"/>
    <w:rsid w:val="00F40CD5"/>
    <w:rsid w:val="00F43059"/>
    <w:rsid w:val="00F5203B"/>
    <w:rsid w:val="00F5342D"/>
    <w:rsid w:val="00F56984"/>
    <w:rsid w:val="00F5766B"/>
    <w:rsid w:val="00F61201"/>
    <w:rsid w:val="00F62880"/>
    <w:rsid w:val="00F67A36"/>
    <w:rsid w:val="00F735B5"/>
    <w:rsid w:val="00F75A09"/>
    <w:rsid w:val="00F77AE4"/>
    <w:rsid w:val="00F86026"/>
    <w:rsid w:val="00F87B0A"/>
    <w:rsid w:val="00F922BF"/>
    <w:rsid w:val="00F93C96"/>
    <w:rsid w:val="00FA79BA"/>
    <w:rsid w:val="00FB0417"/>
    <w:rsid w:val="00FB42B1"/>
    <w:rsid w:val="00FB4AAD"/>
    <w:rsid w:val="00FB72CA"/>
    <w:rsid w:val="00FC0163"/>
    <w:rsid w:val="00FC23F1"/>
    <w:rsid w:val="00FC357E"/>
    <w:rsid w:val="00FC4F62"/>
    <w:rsid w:val="00FD0B2C"/>
    <w:rsid w:val="00FD2CE5"/>
    <w:rsid w:val="00FD7767"/>
    <w:rsid w:val="00FD7EAE"/>
    <w:rsid w:val="00FE04BD"/>
    <w:rsid w:val="00FE46F9"/>
    <w:rsid w:val="00FF1C1E"/>
    <w:rsid w:val="00FF4B03"/>
    <w:rsid w:val="02367F08"/>
    <w:rsid w:val="02D41ACD"/>
    <w:rsid w:val="041A343A"/>
    <w:rsid w:val="04BD0A15"/>
    <w:rsid w:val="052FE676"/>
    <w:rsid w:val="05BEA544"/>
    <w:rsid w:val="05DC11B1"/>
    <w:rsid w:val="0612ABFB"/>
    <w:rsid w:val="06A6DE03"/>
    <w:rsid w:val="0891501C"/>
    <w:rsid w:val="08EAB005"/>
    <w:rsid w:val="093EE98D"/>
    <w:rsid w:val="09EE1A38"/>
    <w:rsid w:val="0D583D17"/>
    <w:rsid w:val="0E07FC05"/>
    <w:rsid w:val="106A33AE"/>
    <w:rsid w:val="108C1FA6"/>
    <w:rsid w:val="127AC7CE"/>
    <w:rsid w:val="12D61703"/>
    <w:rsid w:val="130E05F4"/>
    <w:rsid w:val="13E2DD12"/>
    <w:rsid w:val="14445FFA"/>
    <w:rsid w:val="152570AD"/>
    <w:rsid w:val="167324A5"/>
    <w:rsid w:val="1954C69B"/>
    <w:rsid w:val="19657EE0"/>
    <w:rsid w:val="1990FB15"/>
    <w:rsid w:val="1A0E1054"/>
    <w:rsid w:val="1FB2E133"/>
    <w:rsid w:val="2184FD62"/>
    <w:rsid w:val="2194F064"/>
    <w:rsid w:val="224370A6"/>
    <w:rsid w:val="22A81BB7"/>
    <w:rsid w:val="22BCECFB"/>
    <w:rsid w:val="230E56A6"/>
    <w:rsid w:val="237B603F"/>
    <w:rsid w:val="237E2EBD"/>
    <w:rsid w:val="23E47430"/>
    <w:rsid w:val="24787A13"/>
    <w:rsid w:val="252D856D"/>
    <w:rsid w:val="254F7C61"/>
    <w:rsid w:val="256A2391"/>
    <w:rsid w:val="26CC77DA"/>
    <w:rsid w:val="275450D4"/>
    <w:rsid w:val="292E27B8"/>
    <w:rsid w:val="29EC9AFC"/>
    <w:rsid w:val="2A46632F"/>
    <w:rsid w:val="2AA3538B"/>
    <w:rsid w:val="2D1332BD"/>
    <w:rsid w:val="2D76AEDE"/>
    <w:rsid w:val="2E169CF0"/>
    <w:rsid w:val="2EE00EBD"/>
    <w:rsid w:val="321C5836"/>
    <w:rsid w:val="32BA1B39"/>
    <w:rsid w:val="33B37BB6"/>
    <w:rsid w:val="34F9994D"/>
    <w:rsid w:val="35D4988A"/>
    <w:rsid w:val="36569E80"/>
    <w:rsid w:val="36930BCE"/>
    <w:rsid w:val="39851E29"/>
    <w:rsid w:val="3A04C817"/>
    <w:rsid w:val="3C913ED5"/>
    <w:rsid w:val="3C92AB3B"/>
    <w:rsid w:val="3CBC2773"/>
    <w:rsid w:val="3F4CB6E6"/>
    <w:rsid w:val="3F4F5A5E"/>
    <w:rsid w:val="3FB376DB"/>
    <w:rsid w:val="40C99D6E"/>
    <w:rsid w:val="41A51A67"/>
    <w:rsid w:val="428A4BF5"/>
    <w:rsid w:val="42BAF4AC"/>
    <w:rsid w:val="431CF0A7"/>
    <w:rsid w:val="43A16B85"/>
    <w:rsid w:val="43CAC52F"/>
    <w:rsid w:val="44205ADA"/>
    <w:rsid w:val="44A21CA8"/>
    <w:rsid w:val="44F6C78B"/>
    <w:rsid w:val="44F9FFCC"/>
    <w:rsid w:val="45CA0C13"/>
    <w:rsid w:val="47B45480"/>
    <w:rsid w:val="48879908"/>
    <w:rsid w:val="489EF47A"/>
    <w:rsid w:val="494B4959"/>
    <w:rsid w:val="4A0D3664"/>
    <w:rsid w:val="4C9CC9B8"/>
    <w:rsid w:val="4D40C5E7"/>
    <w:rsid w:val="4DB072A3"/>
    <w:rsid w:val="4DE52ADA"/>
    <w:rsid w:val="4E56EC7A"/>
    <w:rsid w:val="4E8B71E0"/>
    <w:rsid w:val="4F324C1D"/>
    <w:rsid w:val="50D6E77B"/>
    <w:rsid w:val="50F14B86"/>
    <w:rsid w:val="519699C6"/>
    <w:rsid w:val="523224C4"/>
    <w:rsid w:val="52368C17"/>
    <w:rsid w:val="534289DB"/>
    <w:rsid w:val="5481F328"/>
    <w:rsid w:val="54FCAC9D"/>
    <w:rsid w:val="566F33C2"/>
    <w:rsid w:val="568E6469"/>
    <w:rsid w:val="57380669"/>
    <w:rsid w:val="57B26EDC"/>
    <w:rsid w:val="583B709C"/>
    <w:rsid w:val="58BD4E81"/>
    <w:rsid w:val="5926AE91"/>
    <w:rsid w:val="5A2A18C4"/>
    <w:rsid w:val="5A7E524C"/>
    <w:rsid w:val="5B5C03A1"/>
    <w:rsid w:val="5C09FE19"/>
    <w:rsid w:val="5CC18332"/>
    <w:rsid w:val="5D8C8BF1"/>
    <w:rsid w:val="5E9156F2"/>
    <w:rsid w:val="5E9968B4"/>
    <w:rsid w:val="5F4FCA36"/>
    <w:rsid w:val="60284BCB"/>
    <w:rsid w:val="61D67B5B"/>
    <w:rsid w:val="641BB375"/>
    <w:rsid w:val="65BAD52C"/>
    <w:rsid w:val="69766FAE"/>
    <w:rsid w:val="6A1F8C4D"/>
    <w:rsid w:val="6A29EDEB"/>
    <w:rsid w:val="6AC3887C"/>
    <w:rsid w:val="6C2CC11D"/>
    <w:rsid w:val="6CA3EDFB"/>
    <w:rsid w:val="6F6B1F7A"/>
    <w:rsid w:val="7090C70A"/>
    <w:rsid w:val="7092DBEE"/>
    <w:rsid w:val="71A90281"/>
    <w:rsid w:val="71DD87E7"/>
    <w:rsid w:val="73E311FA"/>
    <w:rsid w:val="7571AC0A"/>
    <w:rsid w:val="75A4F3B4"/>
    <w:rsid w:val="760DD5B7"/>
    <w:rsid w:val="76273DFD"/>
    <w:rsid w:val="7690CE4E"/>
    <w:rsid w:val="77ACDB59"/>
    <w:rsid w:val="77AEF03D"/>
    <w:rsid w:val="7854A720"/>
    <w:rsid w:val="792BAF25"/>
    <w:rsid w:val="7986B23D"/>
    <w:rsid w:val="79BADE10"/>
    <w:rsid w:val="79C3EE77"/>
    <w:rsid w:val="79FBFB28"/>
    <w:rsid w:val="7A12B4FF"/>
    <w:rsid w:val="7A9A3827"/>
    <w:rsid w:val="7E5FB981"/>
    <w:rsid w:val="7EAF0358"/>
    <w:rsid w:val="7F7CA6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71A1"/>
  <w15:chartTrackingRefBased/>
  <w15:docId w15:val="{00324755-D9E6-42FB-9CC5-AEC62D59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aliases w:val="(a)"/>
    <w:basedOn w:val="Normal"/>
    <w:link w:val="P1Char"/>
    <w:rsid w:val="00BB0F5A"/>
    <w:pPr>
      <w:tabs>
        <w:tab w:val="right" w:pos="1191"/>
      </w:tabs>
      <w:spacing w:before="60" w:after="0" w:line="260" w:lineRule="exact"/>
      <w:ind w:left="1418" w:hanging="1418"/>
      <w:jc w:val="both"/>
    </w:pPr>
    <w:rPr>
      <w:rFonts w:ascii="Calibri" w:eastAsia="Times New Roman" w:hAnsi="Calibri" w:cs="Times New Roman"/>
      <w:sz w:val="24"/>
      <w:szCs w:val="24"/>
    </w:rPr>
  </w:style>
  <w:style w:type="character" w:customStyle="1" w:styleId="P1Char">
    <w:name w:val="P1 Char"/>
    <w:aliases w:val="(a) Char"/>
    <w:basedOn w:val="DefaultParagraphFont"/>
    <w:link w:val="P1"/>
    <w:locked/>
    <w:rsid w:val="00BB0F5A"/>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982A6E"/>
    <w:rPr>
      <w:sz w:val="16"/>
      <w:szCs w:val="16"/>
    </w:rPr>
  </w:style>
  <w:style w:type="paragraph" w:styleId="CommentText">
    <w:name w:val="annotation text"/>
    <w:basedOn w:val="Normal"/>
    <w:link w:val="CommentTextChar"/>
    <w:uiPriority w:val="99"/>
    <w:semiHidden/>
    <w:unhideWhenUsed/>
    <w:rsid w:val="00982A6E"/>
    <w:pPr>
      <w:spacing w:line="240" w:lineRule="auto"/>
    </w:pPr>
    <w:rPr>
      <w:sz w:val="20"/>
      <w:szCs w:val="20"/>
    </w:rPr>
  </w:style>
  <w:style w:type="character" w:customStyle="1" w:styleId="CommentTextChar">
    <w:name w:val="Comment Text Char"/>
    <w:basedOn w:val="DefaultParagraphFont"/>
    <w:link w:val="CommentText"/>
    <w:uiPriority w:val="99"/>
    <w:semiHidden/>
    <w:rsid w:val="00982A6E"/>
    <w:rPr>
      <w:sz w:val="20"/>
      <w:szCs w:val="20"/>
    </w:rPr>
  </w:style>
  <w:style w:type="paragraph" w:styleId="CommentSubject">
    <w:name w:val="annotation subject"/>
    <w:basedOn w:val="CommentText"/>
    <w:next w:val="CommentText"/>
    <w:link w:val="CommentSubjectChar"/>
    <w:uiPriority w:val="99"/>
    <w:semiHidden/>
    <w:unhideWhenUsed/>
    <w:rsid w:val="00982A6E"/>
    <w:rPr>
      <w:b/>
      <w:bCs/>
    </w:rPr>
  </w:style>
  <w:style w:type="character" w:customStyle="1" w:styleId="CommentSubjectChar">
    <w:name w:val="Comment Subject Char"/>
    <w:basedOn w:val="CommentTextChar"/>
    <w:link w:val="CommentSubject"/>
    <w:uiPriority w:val="99"/>
    <w:semiHidden/>
    <w:rsid w:val="00982A6E"/>
    <w:rPr>
      <w:b/>
      <w:bCs/>
      <w:sz w:val="20"/>
      <w:szCs w:val="20"/>
    </w:rPr>
  </w:style>
  <w:style w:type="paragraph" w:styleId="ListParagraph">
    <w:name w:val="List Paragraph"/>
    <w:basedOn w:val="Normal"/>
    <w:uiPriority w:val="34"/>
    <w:qFormat/>
    <w:rsid w:val="00E3624E"/>
    <w:pPr>
      <w:ind w:left="720"/>
      <w:contextualSpacing/>
    </w:pPr>
  </w:style>
  <w:style w:type="paragraph" w:customStyle="1" w:styleId="Tabletext">
    <w:name w:val="Tabletext"/>
    <w:aliases w:val="tt"/>
    <w:basedOn w:val="Normal"/>
    <w:rsid w:val="0005028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05028B"/>
    <w:pPr>
      <w:keepNext/>
      <w:spacing w:before="60" w:after="0" w:line="240" w:lineRule="atLeast"/>
    </w:pPr>
    <w:rPr>
      <w:rFonts w:ascii="Times New Roman" w:eastAsia="Times New Roman" w:hAnsi="Times New Roman" w:cs="Times New Roman"/>
      <w:b/>
      <w:sz w:val="20"/>
      <w:szCs w:val="20"/>
      <w:lang w:eastAsia="en-AU"/>
    </w:rPr>
  </w:style>
  <w:style w:type="paragraph" w:customStyle="1" w:styleId="Default">
    <w:name w:val="Default"/>
    <w:rsid w:val="009849CA"/>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40F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40FAC"/>
  </w:style>
  <w:style w:type="character" w:customStyle="1" w:styleId="eop">
    <w:name w:val="eop"/>
    <w:basedOn w:val="DefaultParagraphFont"/>
    <w:rsid w:val="00640FAC"/>
  </w:style>
  <w:style w:type="character" w:customStyle="1" w:styleId="scxw132803131">
    <w:name w:val="scxw132803131"/>
    <w:basedOn w:val="DefaultParagraphFont"/>
    <w:rsid w:val="00640FAC"/>
  </w:style>
  <w:style w:type="paragraph" w:customStyle="1" w:styleId="acthead5">
    <w:name w:val="acthead5"/>
    <w:basedOn w:val="Normal"/>
    <w:rsid w:val="00C643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C64319"/>
  </w:style>
  <w:style w:type="paragraph" w:customStyle="1" w:styleId="subsection">
    <w:name w:val="subsection"/>
    <w:basedOn w:val="Normal"/>
    <w:rsid w:val="00C6431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C643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C64319"/>
    <w:rPr>
      <w:color w:val="0000FF"/>
      <w:u w:val="single"/>
    </w:rPr>
  </w:style>
  <w:style w:type="paragraph" w:styleId="Header">
    <w:name w:val="header"/>
    <w:basedOn w:val="Normal"/>
    <w:link w:val="HeaderChar"/>
    <w:uiPriority w:val="99"/>
    <w:unhideWhenUsed/>
    <w:rsid w:val="00CC0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258"/>
  </w:style>
  <w:style w:type="paragraph" w:styleId="Footer">
    <w:name w:val="footer"/>
    <w:basedOn w:val="Normal"/>
    <w:link w:val="FooterChar"/>
    <w:uiPriority w:val="99"/>
    <w:unhideWhenUsed/>
    <w:rsid w:val="00CC0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627698">
      <w:bodyDiv w:val="1"/>
      <w:marLeft w:val="0"/>
      <w:marRight w:val="0"/>
      <w:marTop w:val="0"/>
      <w:marBottom w:val="0"/>
      <w:divBdr>
        <w:top w:val="none" w:sz="0" w:space="0" w:color="auto"/>
        <w:left w:val="none" w:sz="0" w:space="0" w:color="auto"/>
        <w:bottom w:val="none" w:sz="0" w:space="0" w:color="auto"/>
        <w:right w:val="none" w:sz="0" w:space="0" w:color="auto"/>
      </w:divBdr>
    </w:div>
    <w:div w:id="1785224834">
      <w:bodyDiv w:val="1"/>
      <w:marLeft w:val="0"/>
      <w:marRight w:val="0"/>
      <w:marTop w:val="0"/>
      <w:marBottom w:val="0"/>
      <w:divBdr>
        <w:top w:val="none" w:sz="0" w:space="0" w:color="auto"/>
        <w:left w:val="none" w:sz="0" w:space="0" w:color="auto"/>
        <w:bottom w:val="none" w:sz="0" w:space="0" w:color="auto"/>
        <w:right w:val="none" w:sz="0" w:space="0" w:color="auto"/>
      </w:divBdr>
      <w:divsChild>
        <w:div w:id="6758900">
          <w:marLeft w:val="0"/>
          <w:marRight w:val="0"/>
          <w:marTop w:val="0"/>
          <w:marBottom w:val="0"/>
          <w:divBdr>
            <w:top w:val="none" w:sz="0" w:space="0" w:color="auto"/>
            <w:left w:val="none" w:sz="0" w:space="0" w:color="auto"/>
            <w:bottom w:val="none" w:sz="0" w:space="0" w:color="auto"/>
            <w:right w:val="none" w:sz="0" w:space="0" w:color="auto"/>
          </w:divBdr>
          <w:divsChild>
            <w:div w:id="1564101173">
              <w:marLeft w:val="0"/>
              <w:marRight w:val="0"/>
              <w:marTop w:val="0"/>
              <w:marBottom w:val="0"/>
              <w:divBdr>
                <w:top w:val="none" w:sz="0" w:space="0" w:color="auto"/>
                <w:left w:val="none" w:sz="0" w:space="0" w:color="auto"/>
                <w:bottom w:val="none" w:sz="0" w:space="0" w:color="auto"/>
                <w:right w:val="none" w:sz="0" w:space="0" w:color="auto"/>
              </w:divBdr>
            </w:div>
          </w:divsChild>
        </w:div>
        <w:div w:id="34277403">
          <w:marLeft w:val="0"/>
          <w:marRight w:val="0"/>
          <w:marTop w:val="0"/>
          <w:marBottom w:val="0"/>
          <w:divBdr>
            <w:top w:val="none" w:sz="0" w:space="0" w:color="auto"/>
            <w:left w:val="none" w:sz="0" w:space="0" w:color="auto"/>
            <w:bottom w:val="none" w:sz="0" w:space="0" w:color="auto"/>
            <w:right w:val="none" w:sz="0" w:space="0" w:color="auto"/>
          </w:divBdr>
          <w:divsChild>
            <w:div w:id="1000352227">
              <w:marLeft w:val="0"/>
              <w:marRight w:val="0"/>
              <w:marTop w:val="0"/>
              <w:marBottom w:val="0"/>
              <w:divBdr>
                <w:top w:val="none" w:sz="0" w:space="0" w:color="auto"/>
                <w:left w:val="none" w:sz="0" w:space="0" w:color="auto"/>
                <w:bottom w:val="none" w:sz="0" w:space="0" w:color="auto"/>
                <w:right w:val="none" w:sz="0" w:space="0" w:color="auto"/>
              </w:divBdr>
            </w:div>
          </w:divsChild>
        </w:div>
        <w:div w:id="245193772">
          <w:marLeft w:val="0"/>
          <w:marRight w:val="0"/>
          <w:marTop w:val="0"/>
          <w:marBottom w:val="0"/>
          <w:divBdr>
            <w:top w:val="none" w:sz="0" w:space="0" w:color="auto"/>
            <w:left w:val="none" w:sz="0" w:space="0" w:color="auto"/>
            <w:bottom w:val="none" w:sz="0" w:space="0" w:color="auto"/>
            <w:right w:val="none" w:sz="0" w:space="0" w:color="auto"/>
          </w:divBdr>
          <w:divsChild>
            <w:div w:id="607780868">
              <w:marLeft w:val="0"/>
              <w:marRight w:val="0"/>
              <w:marTop w:val="0"/>
              <w:marBottom w:val="0"/>
              <w:divBdr>
                <w:top w:val="none" w:sz="0" w:space="0" w:color="auto"/>
                <w:left w:val="none" w:sz="0" w:space="0" w:color="auto"/>
                <w:bottom w:val="none" w:sz="0" w:space="0" w:color="auto"/>
                <w:right w:val="none" w:sz="0" w:space="0" w:color="auto"/>
              </w:divBdr>
            </w:div>
          </w:divsChild>
        </w:div>
        <w:div w:id="364719600">
          <w:marLeft w:val="0"/>
          <w:marRight w:val="0"/>
          <w:marTop w:val="0"/>
          <w:marBottom w:val="0"/>
          <w:divBdr>
            <w:top w:val="none" w:sz="0" w:space="0" w:color="auto"/>
            <w:left w:val="none" w:sz="0" w:space="0" w:color="auto"/>
            <w:bottom w:val="none" w:sz="0" w:space="0" w:color="auto"/>
            <w:right w:val="none" w:sz="0" w:space="0" w:color="auto"/>
          </w:divBdr>
          <w:divsChild>
            <w:div w:id="244920951">
              <w:marLeft w:val="0"/>
              <w:marRight w:val="0"/>
              <w:marTop w:val="0"/>
              <w:marBottom w:val="0"/>
              <w:divBdr>
                <w:top w:val="none" w:sz="0" w:space="0" w:color="auto"/>
                <w:left w:val="none" w:sz="0" w:space="0" w:color="auto"/>
                <w:bottom w:val="none" w:sz="0" w:space="0" w:color="auto"/>
                <w:right w:val="none" w:sz="0" w:space="0" w:color="auto"/>
              </w:divBdr>
            </w:div>
          </w:divsChild>
        </w:div>
        <w:div w:id="438333102">
          <w:marLeft w:val="0"/>
          <w:marRight w:val="0"/>
          <w:marTop w:val="0"/>
          <w:marBottom w:val="0"/>
          <w:divBdr>
            <w:top w:val="none" w:sz="0" w:space="0" w:color="auto"/>
            <w:left w:val="none" w:sz="0" w:space="0" w:color="auto"/>
            <w:bottom w:val="none" w:sz="0" w:space="0" w:color="auto"/>
            <w:right w:val="none" w:sz="0" w:space="0" w:color="auto"/>
          </w:divBdr>
          <w:divsChild>
            <w:div w:id="708459021">
              <w:marLeft w:val="0"/>
              <w:marRight w:val="0"/>
              <w:marTop w:val="0"/>
              <w:marBottom w:val="0"/>
              <w:divBdr>
                <w:top w:val="none" w:sz="0" w:space="0" w:color="auto"/>
                <w:left w:val="none" w:sz="0" w:space="0" w:color="auto"/>
                <w:bottom w:val="none" w:sz="0" w:space="0" w:color="auto"/>
                <w:right w:val="none" w:sz="0" w:space="0" w:color="auto"/>
              </w:divBdr>
            </w:div>
          </w:divsChild>
        </w:div>
        <w:div w:id="453210748">
          <w:marLeft w:val="0"/>
          <w:marRight w:val="0"/>
          <w:marTop w:val="0"/>
          <w:marBottom w:val="0"/>
          <w:divBdr>
            <w:top w:val="none" w:sz="0" w:space="0" w:color="auto"/>
            <w:left w:val="none" w:sz="0" w:space="0" w:color="auto"/>
            <w:bottom w:val="none" w:sz="0" w:space="0" w:color="auto"/>
            <w:right w:val="none" w:sz="0" w:space="0" w:color="auto"/>
          </w:divBdr>
          <w:divsChild>
            <w:div w:id="1244409920">
              <w:marLeft w:val="0"/>
              <w:marRight w:val="0"/>
              <w:marTop w:val="0"/>
              <w:marBottom w:val="0"/>
              <w:divBdr>
                <w:top w:val="none" w:sz="0" w:space="0" w:color="auto"/>
                <w:left w:val="none" w:sz="0" w:space="0" w:color="auto"/>
                <w:bottom w:val="none" w:sz="0" w:space="0" w:color="auto"/>
                <w:right w:val="none" w:sz="0" w:space="0" w:color="auto"/>
              </w:divBdr>
            </w:div>
          </w:divsChild>
        </w:div>
        <w:div w:id="536430869">
          <w:marLeft w:val="0"/>
          <w:marRight w:val="0"/>
          <w:marTop w:val="0"/>
          <w:marBottom w:val="0"/>
          <w:divBdr>
            <w:top w:val="none" w:sz="0" w:space="0" w:color="auto"/>
            <w:left w:val="none" w:sz="0" w:space="0" w:color="auto"/>
            <w:bottom w:val="none" w:sz="0" w:space="0" w:color="auto"/>
            <w:right w:val="none" w:sz="0" w:space="0" w:color="auto"/>
          </w:divBdr>
          <w:divsChild>
            <w:div w:id="675691842">
              <w:marLeft w:val="0"/>
              <w:marRight w:val="0"/>
              <w:marTop w:val="0"/>
              <w:marBottom w:val="0"/>
              <w:divBdr>
                <w:top w:val="none" w:sz="0" w:space="0" w:color="auto"/>
                <w:left w:val="none" w:sz="0" w:space="0" w:color="auto"/>
                <w:bottom w:val="none" w:sz="0" w:space="0" w:color="auto"/>
                <w:right w:val="none" w:sz="0" w:space="0" w:color="auto"/>
              </w:divBdr>
            </w:div>
          </w:divsChild>
        </w:div>
        <w:div w:id="571501121">
          <w:marLeft w:val="0"/>
          <w:marRight w:val="0"/>
          <w:marTop w:val="0"/>
          <w:marBottom w:val="0"/>
          <w:divBdr>
            <w:top w:val="none" w:sz="0" w:space="0" w:color="auto"/>
            <w:left w:val="none" w:sz="0" w:space="0" w:color="auto"/>
            <w:bottom w:val="none" w:sz="0" w:space="0" w:color="auto"/>
            <w:right w:val="none" w:sz="0" w:space="0" w:color="auto"/>
          </w:divBdr>
          <w:divsChild>
            <w:div w:id="439180625">
              <w:marLeft w:val="0"/>
              <w:marRight w:val="0"/>
              <w:marTop w:val="0"/>
              <w:marBottom w:val="0"/>
              <w:divBdr>
                <w:top w:val="none" w:sz="0" w:space="0" w:color="auto"/>
                <w:left w:val="none" w:sz="0" w:space="0" w:color="auto"/>
                <w:bottom w:val="none" w:sz="0" w:space="0" w:color="auto"/>
                <w:right w:val="none" w:sz="0" w:space="0" w:color="auto"/>
              </w:divBdr>
            </w:div>
          </w:divsChild>
        </w:div>
        <w:div w:id="618411162">
          <w:marLeft w:val="0"/>
          <w:marRight w:val="0"/>
          <w:marTop w:val="0"/>
          <w:marBottom w:val="0"/>
          <w:divBdr>
            <w:top w:val="none" w:sz="0" w:space="0" w:color="auto"/>
            <w:left w:val="none" w:sz="0" w:space="0" w:color="auto"/>
            <w:bottom w:val="none" w:sz="0" w:space="0" w:color="auto"/>
            <w:right w:val="none" w:sz="0" w:space="0" w:color="auto"/>
          </w:divBdr>
          <w:divsChild>
            <w:div w:id="445539706">
              <w:marLeft w:val="0"/>
              <w:marRight w:val="0"/>
              <w:marTop w:val="0"/>
              <w:marBottom w:val="0"/>
              <w:divBdr>
                <w:top w:val="none" w:sz="0" w:space="0" w:color="auto"/>
                <w:left w:val="none" w:sz="0" w:space="0" w:color="auto"/>
                <w:bottom w:val="none" w:sz="0" w:space="0" w:color="auto"/>
                <w:right w:val="none" w:sz="0" w:space="0" w:color="auto"/>
              </w:divBdr>
            </w:div>
          </w:divsChild>
        </w:div>
        <w:div w:id="648748008">
          <w:marLeft w:val="0"/>
          <w:marRight w:val="0"/>
          <w:marTop w:val="0"/>
          <w:marBottom w:val="0"/>
          <w:divBdr>
            <w:top w:val="none" w:sz="0" w:space="0" w:color="auto"/>
            <w:left w:val="none" w:sz="0" w:space="0" w:color="auto"/>
            <w:bottom w:val="none" w:sz="0" w:space="0" w:color="auto"/>
            <w:right w:val="none" w:sz="0" w:space="0" w:color="auto"/>
          </w:divBdr>
          <w:divsChild>
            <w:div w:id="935018468">
              <w:marLeft w:val="0"/>
              <w:marRight w:val="0"/>
              <w:marTop w:val="0"/>
              <w:marBottom w:val="0"/>
              <w:divBdr>
                <w:top w:val="none" w:sz="0" w:space="0" w:color="auto"/>
                <w:left w:val="none" w:sz="0" w:space="0" w:color="auto"/>
                <w:bottom w:val="none" w:sz="0" w:space="0" w:color="auto"/>
                <w:right w:val="none" w:sz="0" w:space="0" w:color="auto"/>
              </w:divBdr>
            </w:div>
          </w:divsChild>
        </w:div>
        <w:div w:id="672148740">
          <w:marLeft w:val="0"/>
          <w:marRight w:val="0"/>
          <w:marTop w:val="0"/>
          <w:marBottom w:val="0"/>
          <w:divBdr>
            <w:top w:val="none" w:sz="0" w:space="0" w:color="auto"/>
            <w:left w:val="none" w:sz="0" w:space="0" w:color="auto"/>
            <w:bottom w:val="none" w:sz="0" w:space="0" w:color="auto"/>
            <w:right w:val="none" w:sz="0" w:space="0" w:color="auto"/>
          </w:divBdr>
          <w:divsChild>
            <w:div w:id="508525714">
              <w:marLeft w:val="0"/>
              <w:marRight w:val="0"/>
              <w:marTop w:val="0"/>
              <w:marBottom w:val="0"/>
              <w:divBdr>
                <w:top w:val="none" w:sz="0" w:space="0" w:color="auto"/>
                <w:left w:val="none" w:sz="0" w:space="0" w:color="auto"/>
                <w:bottom w:val="none" w:sz="0" w:space="0" w:color="auto"/>
                <w:right w:val="none" w:sz="0" w:space="0" w:color="auto"/>
              </w:divBdr>
            </w:div>
          </w:divsChild>
        </w:div>
        <w:div w:id="681855142">
          <w:marLeft w:val="0"/>
          <w:marRight w:val="0"/>
          <w:marTop w:val="0"/>
          <w:marBottom w:val="0"/>
          <w:divBdr>
            <w:top w:val="none" w:sz="0" w:space="0" w:color="auto"/>
            <w:left w:val="none" w:sz="0" w:space="0" w:color="auto"/>
            <w:bottom w:val="none" w:sz="0" w:space="0" w:color="auto"/>
            <w:right w:val="none" w:sz="0" w:space="0" w:color="auto"/>
          </w:divBdr>
          <w:divsChild>
            <w:div w:id="1351495407">
              <w:marLeft w:val="0"/>
              <w:marRight w:val="0"/>
              <w:marTop w:val="0"/>
              <w:marBottom w:val="0"/>
              <w:divBdr>
                <w:top w:val="none" w:sz="0" w:space="0" w:color="auto"/>
                <w:left w:val="none" w:sz="0" w:space="0" w:color="auto"/>
                <w:bottom w:val="none" w:sz="0" w:space="0" w:color="auto"/>
                <w:right w:val="none" w:sz="0" w:space="0" w:color="auto"/>
              </w:divBdr>
            </w:div>
          </w:divsChild>
        </w:div>
        <w:div w:id="825248561">
          <w:marLeft w:val="0"/>
          <w:marRight w:val="0"/>
          <w:marTop w:val="0"/>
          <w:marBottom w:val="0"/>
          <w:divBdr>
            <w:top w:val="none" w:sz="0" w:space="0" w:color="auto"/>
            <w:left w:val="none" w:sz="0" w:space="0" w:color="auto"/>
            <w:bottom w:val="none" w:sz="0" w:space="0" w:color="auto"/>
            <w:right w:val="none" w:sz="0" w:space="0" w:color="auto"/>
          </w:divBdr>
          <w:divsChild>
            <w:div w:id="1804927211">
              <w:marLeft w:val="0"/>
              <w:marRight w:val="0"/>
              <w:marTop w:val="0"/>
              <w:marBottom w:val="0"/>
              <w:divBdr>
                <w:top w:val="none" w:sz="0" w:space="0" w:color="auto"/>
                <w:left w:val="none" w:sz="0" w:space="0" w:color="auto"/>
                <w:bottom w:val="none" w:sz="0" w:space="0" w:color="auto"/>
                <w:right w:val="none" w:sz="0" w:space="0" w:color="auto"/>
              </w:divBdr>
            </w:div>
          </w:divsChild>
        </w:div>
        <w:div w:id="959192771">
          <w:marLeft w:val="0"/>
          <w:marRight w:val="0"/>
          <w:marTop w:val="0"/>
          <w:marBottom w:val="0"/>
          <w:divBdr>
            <w:top w:val="none" w:sz="0" w:space="0" w:color="auto"/>
            <w:left w:val="none" w:sz="0" w:space="0" w:color="auto"/>
            <w:bottom w:val="none" w:sz="0" w:space="0" w:color="auto"/>
            <w:right w:val="none" w:sz="0" w:space="0" w:color="auto"/>
          </w:divBdr>
          <w:divsChild>
            <w:div w:id="1690527472">
              <w:marLeft w:val="0"/>
              <w:marRight w:val="0"/>
              <w:marTop w:val="0"/>
              <w:marBottom w:val="0"/>
              <w:divBdr>
                <w:top w:val="none" w:sz="0" w:space="0" w:color="auto"/>
                <w:left w:val="none" w:sz="0" w:space="0" w:color="auto"/>
                <w:bottom w:val="none" w:sz="0" w:space="0" w:color="auto"/>
                <w:right w:val="none" w:sz="0" w:space="0" w:color="auto"/>
              </w:divBdr>
            </w:div>
          </w:divsChild>
        </w:div>
        <w:div w:id="960844585">
          <w:marLeft w:val="0"/>
          <w:marRight w:val="0"/>
          <w:marTop w:val="0"/>
          <w:marBottom w:val="0"/>
          <w:divBdr>
            <w:top w:val="none" w:sz="0" w:space="0" w:color="auto"/>
            <w:left w:val="none" w:sz="0" w:space="0" w:color="auto"/>
            <w:bottom w:val="none" w:sz="0" w:space="0" w:color="auto"/>
            <w:right w:val="none" w:sz="0" w:space="0" w:color="auto"/>
          </w:divBdr>
          <w:divsChild>
            <w:div w:id="956375314">
              <w:marLeft w:val="0"/>
              <w:marRight w:val="0"/>
              <w:marTop w:val="0"/>
              <w:marBottom w:val="0"/>
              <w:divBdr>
                <w:top w:val="none" w:sz="0" w:space="0" w:color="auto"/>
                <w:left w:val="none" w:sz="0" w:space="0" w:color="auto"/>
                <w:bottom w:val="none" w:sz="0" w:space="0" w:color="auto"/>
                <w:right w:val="none" w:sz="0" w:space="0" w:color="auto"/>
              </w:divBdr>
            </w:div>
          </w:divsChild>
        </w:div>
        <w:div w:id="970869004">
          <w:marLeft w:val="0"/>
          <w:marRight w:val="0"/>
          <w:marTop w:val="0"/>
          <w:marBottom w:val="0"/>
          <w:divBdr>
            <w:top w:val="none" w:sz="0" w:space="0" w:color="auto"/>
            <w:left w:val="none" w:sz="0" w:space="0" w:color="auto"/>
            <w:bottom w:val="none" w:sz="0" w:space="0" w:color="auto"/>
            <w:right w:val="none" w:sz="0" w:space="0" w:color="auto"/>
          </w:divBdr>
          <w:divsChild>
            <w:div w:id="453258445">
              <w:marLeft w:val="0"/>
              <w:marRight w:val="0"/>
              <w:marTop w:val="0"/>
              <w:marBottom w:val="0"/>
              <w:divBdr>
                <w:top w:val="none" w:sz="0" w:space="0" w:color="auto"/>
                <w:left w:val="none" w:sz="0" w:space="0" w:color="auto"/>
                <w:bottom w:val="none" w:sz="0" w:space="0" w:color="auto"/>
                <w:right w:val="none" w:sz="0" w:space="0" w:color="auto"/>
              </w:divBdr>
            </w:div>
          </w:divsChild>
        </w:div>
        <w:div w:id="992103300">
          <w:marLeft w:val="0"/>
          <w:marRight w:val="0"/>
          <w:marTop w:val="0"/>
          <w:marBottom w:val="0"/>
          <w:divBdr>
            <w:top w:val="none" w:sz="0" w:space="0" w:color="auto"/>
            <w:left w:val="none" w:sz="0" w:space="0" w:color="auto"/>
            <w:bottom w:val="none" w:sz="0" w:space="0" w:color="auto"/>
            <w:right w:val="none" w:sz="0" w:space="0" w:color="auto"/>
          </w:divBdr>
          <w:divsChild>
            <w:div w:id="793133556">
              <w:marLeft w:val="0"/>
              <w:marRight w:val="0"/>
              <w:marTop w:val="0"/>
              <w:marBottom w:val="0"/>
              <w:divBdr>
                <w:top w:val="none" w:sz="0" w:space="0" w:color="auto"/>
                <w:left w:val="none" w:sz="0" w:space="0" w:color="auto"/>
                <w:bottom w:val="none" w:sz="0" w:space="0" w:color="auto"/>
                <w:right w:val="none" w:sz="0" w:space="0" w:color="auto"/>
              </w:divBdr>
            </w:div>
          </w:divsChild>
        </w:div>
        <w:div w:id="1078795091">
          <w:marLeft w:val="0"/>
          <w:marRight w:val="0"/>
          <w:marTop w:val="0"/>
          <w:marBottom w:val="0"/>
          <w:divBdr>
            <w:top w:val="none" w:sz="0" w:space="0" w:color="auto"/>
            <w:left w:val="none" w:sz="0" w:space="0" w:color="auto"/>
            <w:bottom w:val="none" w:sz="0" w:space="0" w:color="auto"/>
            <w:right w:val="none" w:sz="0" w:space="0" w:color="auto"/>
          </w:divBdr>
          <w:divsChild>
            <w:div w:id="1592859261">
              <w:marLeft w:val="0"/>
              <w:marRight w:val="0"/>
              <w:marTop w:val="0"/>
              <w:marBottom w:val="0"/>
              <w:divBdr>
                <w:top w:val="none" w:sz="0" w:space="0" w:color="auto"/>
                <w:left w:val="none" w:sz="0" w:space="0" w:color="auto"/>
                <w:bottom w:val="none" w:sz="0" w:space="0" w:color="auto"/>
                <w:right w:val="none" w:sz="0" w:space="0" w:color="auto"/>
              </w:divBdr>
            </w:div>
          </w:divsChild>
        </w:div>
        <w:div w:id="1252859471">
          <w:marLeft w:val="0"/>
          <w:marRight w:val="0"/>
          <w:marTop w:val="0"/>
          <w:marBottom w:val="0"/>
          <w:divBdr>
            <w:top w:val="none" w:sz="0" w:space="0" w:color="auto"/>
            <w:left w:val="none" w:sz="0" w:space="0" w:color="auto"/>
            <w:bottom w:val="none" w:sz="0" w:space="0" w:color="auto"/>
            <w:right w:val="none" w:sz="0" w:space="0" w:color="auto"/>
          </w:divBdr>
          <w:divsChild>
            <w:div w:id="1304894488">
              <w:marLeft w:val="0"/>
              <w:marRight w:val="0"/>
              <w:marTop w:val="0"/>
              <w:marBottom w:val="0"/>
              <w:divBdr>
                <w:top w:val="none" w:sz="0" w:space="0" w:color="auto"/>
                <w:left w:val="none" w:sz="0" w:space="0" w:color="auto"/>
                <w:bottom w:val="none" w:sz="0" w:space="0" w:color="auto"/>
                <w:right w:val="none" w:sz="0" w:space="0" w:color="auto"/>
              </w:divBdr>
            </w:div>
          </w:divsChild>
        </w:div>
        <w:div w:id="1356422035">
          <w:marLeft w:val="0"/>
          <w:marRight w:val="0"/>
          <w:marTop w:val="0"/>
          <w:marBottom w:val="0"/>
          <w:divBdr>
            <w:top w:val="none" w:sz="0" w:space="0" w:color="auto"/>
            <w:left w:val="none" w:sz="0" w:space="0" w:color="auto"/>
            <w:bottom w:val="none" w:sz="0" w:space="0" w:color="auto"/>
            <w:right w:val="none" w:sz="0" w:space="0" w:color="auto"/>
          </w:divBdr>
          <w:divsChild>
            <w:div w:id="734396918">
              <w:marLeft w:val="0"/>
              <w:marRight w:val="0"/>
              <w:marTop w:val="0"/>
              <w:marBottom w:val="0"/>
              <w:divBdr>
                <w:top w:val="none" w:sz="0" w:space="0" w:color="auto"/>
                <w:left w:val="none" w:sz="0" w:space="0" w:color="auto"/>
                <w:bottom w:val="none" w:sz="0" w:space="0" w:color="auto"/>
                <w:right w:val="none" w:sz="0" w:space="0" w:color="auto"/>
              </w:divBdr>
            </w:div>
          </w:divsChild>
        </w:div>
        <w:div w:id="1408921330">
          <w:marLeft w:val="0"/>
          <w:marRight w:val="0"/>
          <w:marTop w:val="0"/>
          <w:marBottom w:val="0"/>
          <w:divBdr>
            <w:top w:val="none" w:sz="0" w:space="0" w:color="auto"/>
            <w:left w:val="none" w:sz="0" w:space="0" w:color="auto"/>
            <w:bottom w:val="none" w:sz="0" w:space="0" w:color="auto"/>
            <w:right w:val="none" w:sz="0" w:space="0" w:color="auto"/>
          </w:divBdr>
          <w:divsChild>
            <w:div w:id="1126586169">
              <w:marLeft w:val="0"/>
              <w:marRight w:val="0"/>
              <w:marTop w:val="0"/>
              <w:marBottom w:val="0"/>
              <w:divBdr>
                <w:top w:val="none" w:sz="0" w:space="0" w:color="auto"/>
                <w:left w:val="none" w:sz="0" w:space="0" w:color="auto"/>
                <w:bottom w:val="none" w:sz="0" w:space="0" w:color="auto"/>
                <w:right w:val="none" w:sz="0" w:space="0" w:color="auto"/>
              </w:divBdr>
            </w:div>
          </w:divsChild>
        </w:div>
        <w:div w:id="1436942922">
          <w:marLeft w:val="0"/>
          <w:marRight w:val="0"/>
          <w:marTop w:val="0"/>
          <w:marBottom w:val="0"/>
          <w:divBdr>
            <w:top w:val="none" w:sz="0" w:space="0" w:color="auto"/>
            <w:left w:val="none" w:sz="0" w:space="0" w:color="auto"/>
            <w:bottom w:val="none" w:sz="0" w:space="0" w:color="auto"/>
            <w:right w:val="none" w:sz="0" w:space="0" w:color="auto"/>
          </w:divBdr>
          <w:divsChild>
            <w:div w:id="1550874004">
              <w:marLeft w:val="0"/>
              <w:marRight w:val="0"/>
              <w:marTop w:val="0"/>
              <w:marBottom w:val="0"/>
              <w:divBdr>
                <w:top w:val="none" w:sz="0" w:space="0" w:color="auto"/>
                <w:left w:val="none" w:sz="0" w:space="0" w:color="auto"/>
                <w:bottom w:val="none" w:sz="0" w:space="0" w:color="auto"/>
                <w:right w:val="none" w:sz="0" w:space="0" w:color="auto"/>
              </w:divBdr>
            </w:div>
          </w:divsChild>
        </w:div>
        <w:div w:id="1441417741">
          <w:marLeft w:val="0"/>
          <w:marRight w:val="0"/>
          <w:marTop w:val="0"/>
          <w:marBottom w:val="0"/>
          <w:divBdr>
            <w:top w:val="none" w:sz="0" w:space="0" w:color="auto"/>
            <w:left w:val="none" w:sz="0" w:space="0" w:color="auto"/>
            <w:bottom w:val="none" w:sz="0" w:space="0" w:color="auto"/>
            <w:right w:val="none" w:sz="0" w:space="0" w:color="auto"/>
          </w:divBdr>
          <w:divsChild>
            <w:div w:id="2111197672">
              <w:marLeft w:val="0"/>
              <w:marRight w:val="0"/>
              <w:marTop w:val="0"/>
              <w:marBottom w:val="0"/>
              <w:divBdr>
                <w:top w:val="none" w:sz="0" w:space="0" w:color="auto"/>
                <w:left w:val="none" w:sz="0" w:space="0" w:color="auto"/>
                <w:bottom w:val="none" w:sz="0" w:space="0" w:color="auto"/>
                <w:right w:val="none" w:sz="0" w:space="0" w:color="auto"/>
              </w:divBdr>
            </w:div>
          </w:divsChild>
        </w:div>
        <w:div w:id="1574775197">
          <w:marLeft w:val="0"/>
          <w:marRight w:val="0"/>
          <w:marTop w:val="0"/>
          <w:marBottom w:val="0"/>
          <w:divBdr>
            <w:top w:val="none" w:sz="0" w:space="0" w:color="auto"/>
            <w:left w:val="none" w:sz="0" w:space="0" w:color="auto"/>
            <w:bottom w:val="none" w:sz="0" w:space="0" w:color="auto"/>
            <w:right w:val="none" w:sz="0" w:space="0" w:color="auto"/>
          </w:divBdr>
          <w:divsChild>
            <w:div w:id="2037537203">
              <w:marLeft w:val="0"/>
              <w:marRight w:val="0"/>
              <w:marTop w:val="0"/>
              <w:marBottom w:val="0"/>
              <w:divBdr>
                <w:top w:val="none" w:sz="0" w:space="0" w:color="auto"/>
                <w:left w:val="none" w:sz="0" w:space="0" w:color="auto"/>
                <w:bottom w:val="none" w:sz="0" w:space="0" w:color="auto"/>
                <w:right w:val="none" w:sz="0" w:space="0" w:color="auto"/>
              </w:divBdr>
            </w:div>
          </w:divsChild>
        </w:div>
        <w:div w:id="1662386452">
          <w:marLeft w:val="0"/>
          <w:marRight w:val="0"/>
          <w:marTop w:val="0"/>
          <w:marBottom w:val="0"/>
          <w:divBdr>
            <w:top w:val="none" w:sz="0" w:space="0" w:color="auto"/>
            <w:left w:val="none" w:sz="0" w:space="0" w:color="auto"/>
            <w:bottom w:val="none" w:sz="0" w:space="0" w:color="auto"/>
            <w:right w:val="none" w:sz="0" w:space="0" w:color="auto"/>
          </w:divBdr>
          <w:divsChild>
            <w:div w:id="212893644">
              <w:marLeft w:val="0"/>
              <w:marRight w:val="0"/>
              <w:marTop w:val="0"/>
              <w:marBottom w:val="0"/>
              <w:divBdr>
                <w:top w:val="none" w:sz="0" w:space="0" w:color="auto"/>
                <w:left w:val="none" w:sz="0" w:space="0" w:color="auto"/>
                <w:bottom w:val="none" w:sz="0" w:space="0" w:color="auto"/>
                <w:right w:val="none" w:sz="0" w:space="0" w:color="auto"/>
              </w:divBdr>
            </w:div>
          </w:divsChild>
        </w:div>
        <w:div w:id="1670907913">
          <w:marLeft w:val="0"/>
          <w:marRight w:val="0"/>
          <w:marTop w:val="0"/>
          <w:marBottom w:val="0"/>
          <w:divBdr>
            <w:top w:val="none" w:sz="0" w:space="0" w:color="auto"/>
            <w:left w:val="none" w:sz="0" w:space="0" w:color="auto"/>
            <w:bottom w:val="none" w:sz="0" w:space="0" w:color="auto"/>
            <w:right w:val="none" w:sz="0" w:space="0" w:color="auto"/>
          </w:divBdr>
          <w:divsChild>
            <w:div w:id="487019952">
              <w:marLeft w:val="0"/>
              <w:marRight w:val="0"/>
              <w:marTop w:val="0"/>
              <w:marBottom w:val="0"/>
              <w:divBdr>
                <w:top w:val="none" w:sz="0" w:space="0" w:color="auto"/>
                <w:left w:val="none" w:sz="0" w:space="0" w:color="auto"/>
                <w:bottom w:val="none" w:sz="0" w:space="0" w:color="auto"/>
                <w:right w:val="none" w:sz="0" w:space="0" w:color="auto"/>
              </w:divBdr>
            </w:div>
          </w:divsChild>
        </w:div>
        <w:div w:id="1798714040">
          <w:marLeft w:val="0"/>
          <w:marRight w:val="0"/>
          <w:marTop w:val="0"/>
          <w:marBottom w:val="0"/>
          <w:divBdr>
            <w:top w:val="none" w:sz="0" w:space="0" w:color="auto"/>
            <w:left w:val="none" w:sz="0" w:space="0" w:color="auto"/>
            <w:bottom w:val="none" w:sz="0" w:space="0" w:color="auto"/>
            <w:right w:val="none" w:sz="0" w:space="0" w:color="auto"/>
          </w:divBdr>
          <w:divsChild>
            <w:div w:id="1576746168">
              <w:marLeft w:val="0"/>
              <w:marRight w:val="0"/>
              <w:marTop w:val="0"/>
              <w:marBottom w:val="0"/>
              <w:divBdr>
                <w:top w:val="none" w:sz="0" w:space="0" w:color="auto"/>
                <w:left w:val="none" w:sz="0" w:space="0" w:color="auto"/>
                <w:bottom w:val="none" w:sz="0" w:space="0" w:color="auto"/>
                <w:right w:val="none" w:sz="0" w:space="0" w:color="auto"/>
              </w:divBdr>
            </w:div>
          </w:divsChild>
        </w:div>
        <w:div w:id="1841650858">
          <w:marLeft w:val="0"/>
          <w:marRight w:val="0"/>
          <w:marTop w:val="0"/>
          <w:marBottom w:val="0"/>
          <w:divBdr>
            <w:top w:val="none" w:sz="0" w:space="0" w:color="auto"/>
            <w:left w:val="none" w:sz="0" w:space="0" w:color="auto"/>
            <w:bottom w:val="none" w:sz="0" w:space="0" w:color="auto"/>
            <w:right w:val="none" w:sz="0" w:space="0" w:color="auto"/>
          </w:divBdr>
          <w:divsChild>
            <w:div w:id="730925423">
              <w:marLeft w:val="0"/>
              <w:marRight w:val="0"/>
              <w:marTop w:val="0"/>
              <w:marBottom w:val="0"/>
              <w:divBdr>
                <w:top w:val="none" w:sz="0" w:space="0" w:color="auto"/>
                <w:left w:val="none" w:sz="0" w:space="0" w:color="auto"/>
                <w:bottom w:val="none" w:sz="0" w:space="0" w:color="auto"/>
                <w:right w:val="none" w:sz="0" w:space="0" w:color="auto"/>
              </w:divBdr>
            </w:div>
          </w:divsChild>
        </w:div>
        <w:div w:id="1855727800">
          <w:marLeft w:val="0"/>
          <w:marRight w:val="0"/>
          <w:marTop w:val="0"/>
          <w:marBottom w:val="0"/>
          <w:divBdr>
            <w:top w:val="none" w:sz="0" w:space="0" w:color="auto"/>
            <w:left w:val="none" w:sz="0" w:space="0" w:color="auto"/>
            <w:bottom w:val="none" w:sz="0" w:space="0" w:color="auto"/>
            <w:right w:val="none" w:sz="0" w:space="0" w:color="auto"/>
          </w:divBdr>
          <w:divsChild>
            <w:div w:id="1688020053">
              <w:marLeft w:val="0"/>
              <w:marRight w:val="0"/>
              <w:marTop w:val="0"/>
              <w:marBottom w:val="0"/>
              <w:divBdr>
                <w:top w:val="none" w:sz="0" w:space="0" w:color="auto"/>
                <w:left w:val="none" w:sz="0" w:space="0" w:color="auto"/>
                <w:bottom w:val="none" w:sz="0" w:space="0" w:color="auto"/>
                <w:right w:val="none" w:sz="0" w:space="0" w:color="auto"/>
              </w:divBdr>
            </w:div>
          </w:divsChild>
        </w:div>
        <w:div w:id="2012217607">
          <w:marLeft w:val="0"/>
          <w:marRight w:val="0"/>
          <w:marTop w:val="0"/>
          <w:marBottom w:val="0"/>
          <w:divBdr>
            <w:top w:val="none" w:sz="0" w:space="0" w:color="auto"/>
            <w:left w:val="none" w:sz="0" w:space="0" w:color="auto"/>
            <w:bottom w:val="none" w:sz="0" w:space="0" w:color="auto"/>
            <w:right w:val="none" w:sz="0" w:space="0" w:color="auto"/>
          </w:divBdr>
          <w:divsChild>
            <w:div w:id="1314220950">
              <w:marLeft w:val="0"/>
              <w:marRight w:val="0"/>
              <w:marTop w:val="0"/>
              <w:marBottom w:val="0"/>
              <w:divBdr>
                <w:top w:val="none" w:sz="0" w:space="0" w:color="auto"/>
                <w:left w:val="none" w:sz="0" w:space="0" w:color="auto"/>
                <w:bottom w:val="none" w:sz="0" w:space="0" w:color="auto"/>
                <w:right w:val="none" w:sz="0" w:space="0" w:color="auto"/>
              </w:divBdr>
            </w:div>
          </w:divsChild>
        </w:div>
        <w:div w:id="2077052111">
          <w:marLeft w:val="0"/>
          <w:marRight w:val="0"/>
          <w:marTop w:val="0"/>
          <w:marBottom w:val="0"/>
          <w:divBdr>
            <w:top w:val="none" w:sz="0" w:space="0" w:color="auto"/>
            <w:left w:val="none" w:sz="0" w:space="0" w:color="auto"/>
            <w:bottom w:val="none" w:sz="0" w:space="0" w:color="auto"/>
            <w:right w:val="none" w:sz="0" w:space="0" w:color="auto"/>
          </w:divBdr>
          <w:divsChild>
            <w:div w:id="15033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88152553D164088210E03FE719BCD" ma:contentTypeVersion="817" ma:contentTypeDescription="Create a new document." ma:contentTypeScope="" ma:versionID="fa4e7a3ee65c615465403a34e2f21645">
  <xsd:schema xmlns:xsd="http://www.w3.org/2001/XMLSchema" xmlns:xs="http://www.w3.org/2001/XMLSchema" xmlns:p="http://schemas.microsoft.com/office/2006/metadata/properties" xmlns:ns2="35d7dce1-22dc-4c3f-bf90-aebce6a2395f" xmlns:ns3="3b0490d5-46fb-486a-a708-0c0692943f8d" xmlns:ns4="d9759c9b-00e1-4d5c-a157-b2367f50d71f" targetNamespace="http://schemas.microsoft.com/office/2006/metadata/properties" ma:root="true" ma:fieldsID="c31a30ed937b228e6f137d8e45eef99a" ns2:_="" ns3:_="" ns4:_="">
    <xsd:import namespace="35d7dce1-22dc-4c3f-bf90-aebce6a2395f"/>
    <xsd:import namespace="3b0490d5-46fb-486a-a708-0c0692943f8d"/>
    <xsd:import namespace="d9759c9b-00e1-4d5c-a157-b2367f50d71f"/>
    <xsd:element name="properties">
      <xsd:complexType>
        <xsd:sequence>
          <xsd:element name="documentManagement">
            <xsd:complexType>
              <xsd:all>
                <xsd:element ref="ns2:_dlc_DocId" minOccurs="0"/>
                <xsd:element ref="ns2:_dlc_DocIdUrl" minOccurs="0"/>
                <xsd:element ref="ns2:_dlc_DocIdPersistId" minOccurs="0"/>
                <xsd:element ref="ns2:jfdbf192cf3e432bae7ead6b01437832" minOccurs="0"/>
                <xsd:element ref="ns2:TaxCatchAll" minOccurs="0"/>
                <xsd:element ref="ns2:aa7cfb7b7c8a4cdc88e464a139bfbbb5" minOccurs="0"/>
                <xsd:element ref="ns2:g1c5c8a5ed744825af876dc81dccc5dd" minOccurs="0"/>
                <xsd:element ref="ns2:fbf5ba1606af44cc8a6bbbd47132b0ab" minOccurs="0"/>
                <xsd:element ref="ns2:f4c05e43aa38483aabfbb23713a55761" minOccurs="0"/>
                <xsd:element ref="ns2:c275726743ff40b1bd16afcbde5101e0" minOccurs="0"/>
                <xsd:element ref="ns2:m580224f57af48d5998ad1d627b3f8a6"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2:i0f84bba906045b4af568ee102a52dcb"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fdbf192cf3e432bae7ead6b01437832" ma:index="11" nillable="true" ma:displayName="File Keywords_0" ma:hidden="true" ma:internalName="jfdbf192cf3e432bae7ead6b01437832">
      <xsd:simpleType>
        <xsd:restriction base="dms:Note"/>
      </xsd:simpleType>
    </xsd:element>
    <xsd:element name="TaxCatchAll" ma:index="12" nillable="true" ma:displayName="Taxonomy Catch All Column" ma:hidden="true" ma:list="{258881ce-6a03-4fbe-b263-3a76663fe6a8}"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aa7cfb7b7c8a4cdc88e464a139bfbbb5" ma:index="13" nillable="true" ma:displayName="Client_0" ma:hidden="true" ma:internalName="aa7cfb7b7c8a4cdc88e464a139bfbbb5">
      <xsd:simpleType>
        <xsd:restriction base="dms:Note"/>
      </xsd:simpleType>
    </xsd:element>
    <xsd:element name="g1c5c8a5ed744825af876dc81dccc5dd" ma:index="14" nillable="true" ma:displayName="State_0" ma:hidden="true" ma:internalName="g1c5c8a5ed744825af876dc81dccc5dd">
      <xsd:simpleType>
        <xsd:restriction base="dms:Note"/>
      </xsd:simpleType>
    </xsd:element>
    <xsd:element name="fbf5ba1606af44cc8a6bbbd47132b0ab" ma:index="15" nillable="true" ma:displayName="Scheme_0" ma:hidden="true" ma:internalName="fbf5ba1606af44cc8a6bbbd47132b0ab">
      <xsd:simpleType>
        <xsd:restriction base="dms:Note"/>
      </xsd:simpleType>
    </xsd:element>
    <xsd:element name="f4c05e43aa38483aabfbb23713a55761" ma:index="16" nillable="true" ma:displayName="Legislation_0" ma:hidden="true" ma:internalName="f4c05e43aa38483aabfbb23713a55761">
      <xsd:simpleType>
        <xsd:restriction base="dms:Note"/>
      </xsd:simpleType>
    </xsd:element>
    <xsd:element name="c275726743ff40b1bd16afcbde5101e0" ma:index="17" nillable="true" ma:displayName="Document Keywords_0" ma:hidden="true" ma:internalName="c275726743ff40b1bd16afcbde5101e0">
      <xsd:simpleType>
        <xsd:restriction base="dms:Note"/>
      </xsd:simpleType>
    </xsd:element>
    <xsd:element name="m580224f57af48d5998ad1d627b3f8a6" ma:index="18" nillable="true" ma:displayName="Agency_0" ma:hidden="true" ma:internalName="m580224f57af48d5998ad1d627b3f8a6">
      <xsd:simpleType>
        <xsd:restriction base="dms:Note"/>
      </xsd:simpleType>
    </xsd:element>
    <xsd:element name="i0f84bba906045b4af568ee102a52dcb" ma:index="29" nillable="true" ma:taxonomy="true" ma:internalName="i0f84bba906045b4af568ee102a52dcb" ma:taxonomyFieldName="RevIMBCS" ma:displayName="Record Class" ma:indexed="true" ma:default="511;#62414 - 7 years|ba52a501-4ded-416f-a777-e4c56841fe1b" ma:fieldId="{20f84bba-9060-45b4-af56-8ee102a52dcb}" ma:sspId="a2e065b1-f413-4592-874b-39c3f10b47c4" ma:termSetId="60518aca-4dc9-4b56-9553-af4b9ac69072" ma:anchorId="6439e56a-46d0-4d99-ad29-ecbcdfda62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0490d5-46fb-486a-a708-0c0692943f8d"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59c9b-00e1-4d5c-a157-b2367f50d71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35d7dce1-22dc-4c3f-bf90-aebce6a2395f">
      <Terms xmlns="http://schemas.microsoft.com/office/infopath/2007/PartnerControls">
        <TermInfo xmlns="http://schemas.microsoft.com/office/infopath/2007/PartnerControls">
          <TermName xmlns="http://schemas.microsoft.com/office/infopath/2007/PartnerControls">62414 - 7 years</TermName>
          <TermId xmlns="http://schemas.microsoft.com/office/infopath/2007/PartnerControls">ba52a501-4ded-416f-a777-e4c56841fe1b</TermId>
        </TermInfo>
      </Terms>
    </i0f84bba906045b4af568ee102a52dcb>
    <g1c5c8a5ed744825af876dc81dccc5dd xmlns="35d7dce1-22dc-4c3f-bf90-aebce6a2395f">National|eb373aff-65fb-4d7c-b428-65676aae4d18</g1c5c8a5ed744825af876dc81dccc5dd>
    <jfdbf192cf3e432bae7ead6b01437832 xmlns="35d7dce1-22dc-4c3f-bf90-aebce6a2395f">Renewable Energy Target|15e64517-6a5f-4ebd-a3e8-8f9fb70ff442</jfdbf192cf3e432bae7ead6b01437832>
    <f4c05e43aa38483aabfbb23713a55761 xmlns="35d7dce1-22dc-4c3f-bf90-aebce6a2395f" xsi:nil="true"/>
    <m580224f57af48d5998ad1d627b3f8a6 xmlns="35d7dce1-22dc-4c3f-bf90-aebce6a2395f" xsi:nil="true"/>
    <TaxCatchAll xmlns="35d7dce1-22dc-4c3f-bf90-aebce6a2395f">
      <Value>544</Value>
      <Value>543</Value>
      <Value>368</Value>
      <Value>127</Value>
      <Value>511</Value>
    </TaxCatchAll>
    <aa7cfb7b7c8a4cdc88e464a139bfbbb5 xmlns="35d7dce1-22dc-4c3f-bf90-aebce6a2395f">Shane Hogan|7655a485-c0f8-4f3b-9dcd-968d36b7a59b</aa7cfb7b7c8a4cdc88e464a139bfbbb5>
    <fbf5ba1606af44cc8a6bbbd47132b0ab xmlns="35d7dce1-22dc-4c3f-bf90-aebce6a2395f">RET|a9e05a0d-e9cf-41f9-8c8f-424688151957</fbf5ba1606af44cc8a6bbbd47132b0ab>
    <c275726743ff40b1bd16afcbde5101e0 xmlns="35d7dce1-22dc-4c3f-bf90-aebce6a2395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80B6D-036E-4DE9-91DA-A82D058B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3b0490d5-46fb-486a-a708-0c0692943f8d"/>
    <ds:schemaRef ds:uri="d9759c9b-00e1-4d5c-a157-b2367f50d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AD987-039D-4EC8-A620-62AF9C039629}">
  <ds:schemaRefs>
    <ds:schemaRef ds:uri="http://schemas.microsoft.com/sharepoint/events"/>
  </ds:schemaRefs>
</ds:datastoreItem>
</file>

<file path=customXml/itemProps3.xml><?xml version="1.0" encoding="utf-8"?>
<ds:datastoreItem xmlns:ds="http://schemas.openxmlformats.org/officeDocument/2006/customXml" ds:itemID="{5502A0A9-6416-4ED2-8AA4-7671A7281631}">
  <ds:schemaRefs>
    <ds:schemaRef ds:uri="http://schemas.microsoft.com/sharepoint/v3/contenttype/forms"/>
  </ds:schemaRefs>
</ds:datastoreItem>
</file>

<file path=customXml/itemProps4.xml><?xml version="1.0" encoding="utf-8"?>
<ds:datastoreItem xmlns:ds="http://schemas.openxmlformats.org/officeDocument/2006/customXml" ds:itemID="{23F936FA-AC06-4DB5-926C-8B0D1B8E96A0}">
  <ds:schemaRefs>
    <ds:schemaRef ds:uri="http://schemas.microsoft.com/office/2006/metadata/properties"/>
    <ds:schemaRef ds:uri="http://schemas.microsoft.com/office/infopath/2007/PartnerControls"/>
    <ds:schemaRef ds:uri="35d7dce1-22dc-4c3f-bf90-aebce6a2395f"/>
  </ds:schemaRefs>
</ds:datastoreItem>
</file>

<file path=customXml/itemProps5.xml><?xml version="1.0" encoding="utf-8"?>
<ds:datastoreItem xmlns:ds="http://schemas.openxmlformats.org/officeDocument/2006/customXml" ds:itemID="{94BEA7FD-EC43-4B48-B04F-26B8232A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1794</Words>
  <Characters>10226</Characters>
  <Application>Microsoft Office Word</Application>
  <DocSecurity>0</DocSecurity>
  <Lines>85</Lines>
  <Paragraphs>23</Paragraphs>
  <ScaleCrop>false</ScaleCrop>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Rappel, Tia</dc:creator>
  <cp:keywords/>
  <dc:description/>
  <cp:lastModifiedBy>Rappel, Tia</cp:lastModifiedBy>
  <cp:revision>499</cp:revision>
  <dcterms:created xsi:type="dcterms:W3CDTF">2021-12-06T08:27:00Z</dcterms:created>
  <dcterms:modified xsi:type="dcterms:W3CDTF">2021-12-16T03:04:00Z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0x01010026888152553D164088210E03FE719BCD</vt:lpwstr>
  </property>
  <property fmtid="{D5CDD505-2E9C-101B-9397-08002B2CF9AE}" pid="3" name="CER_FileKeywords">
    <vt:lpwstr>127;#Renewable Energy Target|15e64517-6a5f-4ebd-a3e8-8f9fb70ff442</vt:lpwstr>
  </property>
  <property fmtid="{D5CDD505-2E9C-101B-9397-08002B2CF9AE}" pid="4" name="CER_DLM">
    <vt:lpwstr>Legal privilege</vt:lpwstr>
  </property>
  <property fmtid="{D5CDD505-2E9C-101B-9397-08002B2CF9AE}" pid="5" name="CER_FileStatus">
    <vt:lpwstr>Open</vt:lpwstr>
  </property>
  <property fmtid="{D5CDD505-2E9C-101B-9397-08002B2CF9AE}" pid="6" name="CER_Scheme">
    <vt:lpwstr>368;#RET|a9e05a0d-e9cf-41f9-8c8f-424688151957</vt:lpwstr>
  </property>
  <property fmtid="{D5CDD505-2E9C-101B-9397-08002B2CF9AE}" pid="7" name="CER_FileClassification">
    <vt:lpwstr>None</vt:lpwstr>
  </property>
  <property fmtid="{D5CDD505-2E9C-101B-9397-08002B2CF9AE}" pid="8" name="RevIMBCS">
    <vt:lpwstr>511;#62414 - 7 years|ba52a501-4ded-416f-a777-e4c56841fe1b</vt:lpwstr>
  </property>
  <property fmtid="{D5CDD505-2E9C-101B-9397-08002B2CF9AE}" pid="9" name="CER_Client">
    <vt:lpwstr>543;#Shane Hogan|7655a485-c0f8-4f3b-9dcd-968d36b7a59b</vt:lpwstr>
  </property>
  <property fmtid="{D5CDD505-2E9C-101B-9397-08002B2CF9AE}" pid="10" name="CER_State">
    <vt:lpwstr>544;#National|eb373aff-65fb-4d7c-b428-65676aae4d18</vt:lpwstr>
  </property>
  <property fmtid="{D5CDD505-2E9C-101B-9397-08002B2CF9AE}" pid="11" name="EDi_Legislation">
    <vt:lpwstr/>
  </property>
  <property fmtid="{D5CDD505-2E9C-101B-9397-08002B2CF9AE}" pid="12" name="CER_Agency">
    <vt:lpwstr/>
  </property>
  <property fmtid="{D5CDD505-2E9C-101B-9397-08002B2CF9AE}" pid="13" name="EDi_DocumentKeywords">
    <vt:lpwstr/>
  </property>
</Properties>
</file>