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93AC2" w14:textId="77777777" w:rsidR="00FB640B" w:rsidRPr="001368E7" w:rsidRDefault="0057002B" w:rsidP="00BB0CF2">
      <w:pPr>
        <w:pStyle w:val="ESTitleHeader"/>
      </w:pPr>
      <w:r w:rsidRPr="001368E7">
        <w:t>EXPLANATORY STATEMENT</w:t>
      </w:r>
    </w:p>
    <w:p w14:paraId="1C00036A" w14:textId="77777777" w:rsidR="0057002B" w:rsidRPr="001368E7" w:rsidRDefault="0057002B" w:rsidP="00BB0CF2">
      <w:pPr>
        <w:pStyle w:val="ESTitleDecisionMaker"/>
      </w:pPr>
      <w:r w:rsidRPr="001368E7">
        <w:t xml:space="preserve">Issued by authority of the </w:t>
      </w:r>
      <w:r w:rsidR="00F66225" w:rsidRPr="001368E7">
        <w:t>Minister for Immigration, Citizenship, Migrant Services and Multicultural Affairs</w:t>
      </w:r>
    </w:p>
    <w:p w14:paraId="478FB261" w14:textId="0492F925" w:rsidR="0057002B" w:rsidRPr="001368E7" w:rsidRDefault="0057002B" w:rsidP="00915032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1368E7">
        <w:rPr>
          <w:rFonts w:ascii="Times New Roman" w:hAnsi="Times New Roman" w:cs="Times New Roman"/>
          <w:i/>
        </w:rPr>
        <w:t>Migration Regulations</w:t>
      </w:r>
      <w:r w:rsidR="006A4941" w:rsidRPr="001368E7">
        <w:rPr>
          <w:rFonts w:ascii="Times New Roman" w:hAnsi="Times New Roman" w:cs="Times New Roman"/>
          <w:i/>
        </w:rPr>
        <w:t> </w:t>
      </w:r>
      <w:r w:rsidRPr="001368E7">
        <w:rPr>
          <w:rFonts w:ascii="Times New Roman" w:hAnsi="Times New Roman" w:cs="Times New Roman"/>
          <w:i/>
        </w:rPr>
        <w:t>1994</w:t>
      </w:r>
    </w:p>
    <w:p w14:paraId="6EBB07E8" w14:textId="1EE2C45A" w:rsidR="0057002B" w:rsidRPr="001368E7" w:rsidRDefault="001D6831" w:rsidP="00BB0CF2">
      <w:pPr>
        <w:pStyle w:val="ESTitleInstrumentName"/>
      </w:pPr>
      <w:bookmarkStart w:id="0" w:name="Title"/>
      <w:r w:rsidRPr="001368E7">
        <w:t xml:space="preserve">Migration (Arrangements for Work and Holiday (Subclass 462) </w:t>
      </w:r>
      <w:r w:rsidR="0052359D">
        <w:t>V</w:t>
      </w:r>
      <w:r w:rsidRPr="001368E7">
        <w:t xml:space="preserve">isa </w:t>
      </w:r>
      <w:r w:rsidR="0052359D">
        <w:t>A</w:t>
      </w:r>
      <w:r w:rsidRPr="001368E7">
        <w:t>pplications) Amendment Instrument (LIN</w:t>
      </w:r>
      <w:r w:rsidR="0068586B" w:rsidRPr="001368E7">
        <w:t> </w:t>
      </w:r>
      <w:r w:rsidRPr="001368E7">
        <w:t>21/085)</w:t>
      </w:r>
      <w:r w:rsidR="0068586B" w:rsidRPr="001368E7">
        <w:t> </w:t>
      </w:r>
      <w:r w:rsidRPr="001368E7">
        <w:t>2021</w:t>
      </w:r>
      <w:bookmarkEnd w:id="0"/>
    </w:p>
    <w:p w14:paraId="182B32DD" w14:textId="346F243F" w:rsidR="0057002B" w:rsidRPr="001368E7" w:rsidRDefault="0057002B" w:rsidP="00F24128">
      <w:pPr>
        <w:pStyle w:val="ESPara"/>
      </w:pPr>
      <w:r w:rsidRPr="001368E7">
        <w:t>The instrume</w:t>
      </w:r>
      <w:r w:rsidR="00F24128" w:rsidRPr="001368E7">
        <w:t>nt, Departmental reference LIN 21/085</w:t>
      </w:r>
      <w:r w:rsidRPr="001368E7">
        <w:t xml:space="preserve">, is made under </w:t>
      </w:r>
      <w:r w:rsidR="00F24128" w:rsidRPr="001368E7">
        <w:t>s</w:t>
      </w:r>
      <w:r w:rsidR="007358FB" w:rsidRPr="001368E7">
        <w:t>ubregulation 2.07(5), paragraph </w:t>
      </w:r>
      <w:proofErr w:type="gramStart"/>
      <w:r w:rsidR="00F24128" w:rsidRPr="001368E7">
        <w:t>1224A(</w:t>
      </w:r>
      <w:proofErr w:type="gramEnd"/>
      <w:r w:rsidR="00F24128" w:rsidRPr="001368E7">
        <w:t>3)(a) and subparagraph 1224A(3)(b)(iii) of Schedule 1, and paragraph 462.221(c) of Schedule 2</w:t>
      </w:r>
      <w:r w:rsidR="0052359D">
        <w:t>,</w:t>
      </w:r>
      <w:r w:rsidR="00F24128" w:rsidRPr="001368E7">
        <w:t xml:space="preserve"> to the </w:t>
      </w:r>
      <w:r w:rsidR="00F24128" w:rsidRPr="001368E7">
        <w:rPr>
          <w:i/>
        </w:rPr>
        <w:t>Migration Regulations</w:t>
      </w:r>
      <w:r w:rsidR="007358FB" w:rsidRPr="001368E7">
        <w:rPr>
          <w:i/>
        </w:rPr>
        <w:t> </w:t>
      </w:r>
      <w:r w:rsidR="00F24128" w:rsidRPr="001368E7">
        <w:rPr>
          <w:i/>
        </w:rPr>
        <w:t>1994</w:t>
      </w:r>
      <w:r w:rsidR="00F24128" w:rsidRPr="001368E7">
        <w:t xml:space="preserve"> (the Regulations)</w:t>
      </w:r>
      <w:r w:rsidRPr="001368E7">
        <w:t xml:space="preserve">.  </w:t>
      </w:r>
    </w:p>
    <w:p w14:paraId="4C4B0B32" w14:textId="39117723" w:rsidR="00EA12C9" w:rsidRPr="001368E7" w:rsidRDefault="00EA12C9" w:rsidP="00F24128">
      <w:pPr>
        <w:pStyle w:val="ESPara"/>
      </w:pPr>
      <w:r w:rsidRPr="001368E7">
        <w:t xml:space="preserve">The instrument </w:t>
      </w:r>
      <w:r w:rsidR="00F24128" w:rsidRPr="001368E7">
        <w:t xml:space="preserve">amends </w:t>
      </w:r>
      <w:r w:rsidR="00F24128" w:rsidRPr="001368E7">
        <w:rPr>
          <w:i/>
        </w:rPr>
        <w:t>Migration (Arrangements for Work and Holiday (Subclass 462) Visa Applications) Instrument (LIN 21/019)</w:t>
      </w:r>
      <w:r w:rsidR="0086001E" w:rsidRPr="001368E7">
        <w:rPr>
          <w:i/>
        </w:rPr>
        <w:t> </w:t>
      </w:r>
      <w:r w:rsidR="00F24128" w:rsidRPr="001368E7">
        <w:rPr>
          <w:i/>
        </w:rPr>
        <w:t>2021</w:t>
      </w:r>
      <w:r w:rsidR="00BD598E" w:rsidRPr="001368E7">
        <w:t xml:space="preserve"> </w:t>
      </w:r>
      <w:r w:rsidR="00B75478" w:rsidRPr="001368E7">
        <w:t>(</w:t>
      </w:r>
      <w:r w:rsidR="00F24128" w:rsidRPr="001368E7">
        <w:t>LIN 21/019</w:t>
      </w:r>
      <w:r w:rsidR="00B75478" w:rsidRPr="001368E7">
        <w:t xml:space="preserve">) </w:t>
      </w:r>
      <w:r w:rsidRPr="001368E7">
        <w:t xml:space="preserve">in accordance with subsection 33(3) of the </w:t>
      </w:r>
      <w:r w:rsidRPr="001368E7">
        <w:rPr>
          <w:i/>
        </w:rPr>
        <w:t>Acts Interpretation Act 1901</w:t>
      </w:r>
      <w:r w:rsidRPr="001368E7">
        <w:t xml:space="preserve">.  That subsection provides that </w:t>
      </w:r>
      <w:r w:rsidR="00100DFC" w:rsidRPr="001368E7">
        <w:t>a power to make a legislative instrument includes a power to amend or repeal that instrument in the same manner, and subject to the same conditions, as the power to make the instrument</w:t>
      </w:r>
      <w:r w:rsidR="00BD598E" w:rsidRPr="001368E7">
        <w:t xml:space="preserve">.  </w:t>
      </w:r>
    </w:p>
    <w:p w14:paraId="75F95EDE" w14:textId="780354AB" w:rsidR="00BD598E" w:rsidRPr="001368E7" w:rsidRDefault="00AA4557" w:rsidP="002D167E">
      <w:pPr>
        <w:pStyle w:val="ESPara"/>
      </w:pPr>
      <w:r w:rsidRPr="001368E7">
        <w:t xml:space="preserve">The instrument commences </w:t>
      </w:r>
      <w:r w:rsidR="00F24128" w:rsidRPr="001368E7">
        <w:t xml:space="preserve">on </w:t>
      </w:r>
      <w:r w:rsidR="00EA1485" w:rsidRPr="001368E7">
        <w:t>1 January 2022</w:t>
      </w:r>
      <w:r w:rsidRPr="001368E7">
        <w:t>, and i</w:t>
      </w:r>
      <w:r w:rsidR="00BD598E" w:rsidRPr="001368E7">
        <w:t xml:space="preserve">s a </w:t>
      </w:r>
      <w:r w:rsidRPr="001368E7">
        <w:t>legislative</w:t>
      </w:r>
      <w:r w:rsidR="00BD598E" w:rsidRPr="001368E7">
        <w:t xml:space="preserve"> instrument for </w:t>
      </w:r>
      <w:r w:rsidR="00B75478" w:rsidRPr="001368E7">
        <w:t xml:space="preserve">the </w:t>
      </w:r>
      <w:r w:rsidR="00100DFC" w:rsidRPr="001368E7">
        <w:rPr>
          <w:i/>
        </w:rPr>
        <w:t>Legislation Act 2003</w:t>
      </w:r>
      <w:r w:rsidR="00100DFC" w:rsidRPr="001368E7">
        <w:t xml:space="preserve"> (the Legislation Act)</w:t>
      </w:r>
      <w:r w:rsidR="00BD598E" w:rsidRPr="001368E7">
        <w:t xml:space="preserve">.  </w:t>
      </w:r>
    </w:p>
    <w:p w14:paraId="7AB96574" w14:textId="77777777" w:rsidR="00B75478" w:rsidRPr="001368E7" w:rsidRDefault="00BD598E" w:rsidP="00F24128">
      <w:pPr>
        <w:pStyle w:val="ESHeading"/>
      </w:pPr>
      <w:r w:rsidRPr="001368E7">
        <w:t>Purpose</w:t>
      </w:r>
    </w:p>
    <w:p w14:paraId="08630248" w14:textId="211F663A" w:rsidR="00B017D5" w:rsidRPr="001368E7" w:rsidRDefault="00B017D5" w:rsidP="00B017D5">
      <w:pPr>
        <w:pStyle w:val="ESSubparaHeader"/>
      </w:pPr>
      <w:r w:rsidRPr="001368E7">
        <w:t xml:space="preserve">The purpose of the instrument is to amend </w:t>
      </w:r>
      <w:r w:rsidR="00081AB5">
        <w:t xml:space="preserve">the following </w:t>
      </w:r>
      <w:r w:rsidR="0052359D">
        <w:t xml:space="preserve">requirements to make an application for, and be granted, a </w:t>
      </w:r>
      <w:r w:rsidR="00957381">
        <w:t>Subclass 462 (Work and Holiday) visa (subclass 462 visa)</w:t>
      </w:r>
      <w:r w:rsidR="00081AB5" w:rsidRPr="00081AB5">
        <w:rPr>
          <w:rStyle w:val="FootnoteReference"/>
        </w:rPr>
        <w:t xml:space="preserve"> </w:t>
      </w:r>
      <w:r w:rsidR="00081AB5">
        <w:rPr>
          <w:rStyle w:val="FootnoteReference"/>
        </w:rPr>
        <w:footnoteReference w:id="1"/>
      </w:r>
      <w:r w:rsidR="00957381">
        <w:t xml:space="preserve"> as specified in </w:t>
      </w:r>
      <w:r w:rsidRPr="001368E7">
        <w:t xml:space="preserve">LIN 21/019: </w:t>
      </w:r>
    </w:p>
    <w:p w14:paraId="595B31C9" w14:textId="026264C1" w:rsidR="00B017D5" w:rsidRDefault="00B017D5" w:rsidP="00B017D5">
      <w:pPr>
        <w:pStyle w:val="ESSubparaList"/>
      </w:pPr>
      <w:r w:rsidRPr="00E6039B">
        <w:t>the valid passports an applicant may hold</w:t>
      </w:r>
      <w:r w:rsidR="00957381">
        <w:t xml:space="preserve"> to be eligible to make an application for a subclass 462 visa</w:t>
      </w:r>
      <w:r w:rsidR="0097047B">
        <w:t xml:space="preserve"> </w:t>
      </w:r>
      <w:r w:rsidR="00957381">
        <w:t>(see paragraph 1224A(3)(a) of Schedule 1 to the Regulations)</w:t>
      </w:r>
      <w:r w:rsidRPr="00E6039B">
        <w:t xml:space="preserve">; </w:t>
      </w:r>
    </w:p>
    <w:p w14:paraId="7D1E032D" w14:textId="74CDDA1A" w:rsidR="00DE5118" w:rsidRPr="00E6039B" w:rsidRDefault="00DE5118" w:rsidP="00B017D5">
      <w:pPr>
        <w:pStyle w:val="ESSubparaList"/>
      </w:pPr>
      <w:r>
        <w:t>the age an applicant must be at the time of application (see paragraph 462.212(b) of Schedule</w:t>
      </w:r>
      <w:r w:rsidR="00067299">
        <w:t> </w:t>
      </w:r>
      <w:r>
        <w:t>2);</w:t>
      </w:r>
    </w:p>
    <w:p w14:paraId="1A91DD9D" w14:textId="18AF7A9F" w:rsidR="00B017D5" w:rsidRPr="001368E7" w:rsidRDefault="00B017D5" w:rsidP="00B017D5">
      <w:pPr>
        <w:pStyle w:val="ESSubparaList"/>
      </w:pPr>
      <w:r w:rsidRPr="001368E7">
        <w:t>the list of counties where an applicant is exempt from providing evidence of home government support</w:t>
      </w:r>
      <w:r w:rsidR="00957381">
        <w:t xml:space="preserve"> when applying for a subclass 462 visa (subparagraph 1224A(3)(b)(iii) of Schedule 1)</w:t>
      </w:r>
      <w:r w:rsidRPr="001368E7">
        <w:t xml:space="preserve">; and </w:t>
      </w:r>
    </w:p>
    <w:p w14:paraId="20E19021" w14:textId="5DB80B7F" w:rsidR="00B017D5" w:rsidRPr="001368E7" w:rsidRDefault="00B017D5" w:rsidP="00E6039B">
      <w:pPr>
        <w:pStyle w:val="ESSubparaList"/>
      </w:pPr>
      <w:proofErr w:type="gramStart"/>
      <w:r w:rsidRPr="001368E7">
        <w:t>the</w:t>
      </w:r>
      <w:proofErr w:type="gramEnd"/>
      <w:r w:rsidRPr="001368E7">
        <w:t xml:space="preserve"> educational requirements for applicants</w:t>
      </w:r>
      <w:r w:rsidR="00957381">
        <w:t xml:space="preserve"> to be granted a visa under paragraph 462.221(c) of Schedule 2 to the Regulations</w:t>
      </w:r>
      <w:r w:rsidRPr="001368E7">
        <w:t xml:space="preserve">. </w:t>
      </w:r>
    </w:p>
    <w:p w14:paraId="3EC0C951" w14:textId="77777777" w:rsidR="00067299" w:rsidRDefault="00067299" w:rsidP="00211342">
      <w:pPr>
        <w:pStyle w:val="ESSubparaHeader"/>
        <w:keepNext w:val="0"/>
      </w:pPr>
      <w:r>
        <w:t xml:space="preserve">Further information about the enabling provisions is provided in the explanatory statement to LIN 21/019.  </w:t>
      </w:r>
    </w:p>
    <w:p w14:paraId="1C6F8008" w14:textId="18350C1D" w:rsidR="0052359D" w:rsidRPr="0052359D" w:rsidRDefault="002E4EC7" w:rsidP="00211342">
      <w:pPr>
        <w:pStyle w:val="ESSubparaHeader"/>
        <w:keepNext w:val="0"/>
      </w:pPr>
      <w:r w:rsidRPr="001368E7">
        <w:t>T</w:t>
      </w:r>
      <w:r w:rsidR="001368E7" w:rsidRPr="001368E7">
        <w:t>he instrument also amends the definition section of LIN</w:t>
      </w:r>
      <w:r w:rsidR="00A80358">
        <w:t> </w:t>
      </w:r>
      <w:r w:rsidR="001368E7" w:rsidRPr="001368E7">
        <w:t>21/019 to align with similar legislative instrument</w:t>
      </w:r>
      <w:r w:rsidR="00386066">
        <w:t>s</w:t>
      </w:r>
      <w:r w:rsidR="001368E7" w:rsidRPr="001368E7">
        <w:t xml:space="preserve">.  </w:t>
      </w:r>
    </w:p>
    <w:p w14:paraId="3054B615" w14:textId="77777777" w:rsidR="008B24C8" w:rsidRPr="001368E7" w:rsidRDefault="008B24C8" w:rsidP="00100DFC">
      <w:pPr>
        <w:pStyle w:val="ESHeading"/>
      </w:pPr>
      <w:r w:rsidRPr="001368E7">
        <w:lastRenderedPageBreak/>
        <w:t>Consultation</w:t>
      </w:r>
    </w:p>
    <w:p w14:paraId="3CDA197F" w14:textId="1EDBBAB3" w:rsidR="008B24C8" w:rsidRPr="001368E7" w:rsidRDefault="00F24128" w:rsidP="001766C4">
      <w:pPr>
        <w:pStyle w:val="ESPara"/>
      </w:pPr>
      <w:r w:rsidRPr="001368E7">
        <w:t xml:space="preserve">Consultation in relation to changes to provision of government support occurred with, and was agreed to by </w:t>
      </w:r>
      <w:r w:rsidR="0052359D">
        <w:t xml:space="preserve">government representatives from </w:t>
      </w:r>
      <w:r w:rsidRPr="001368E7">
        <w:t xml:space="preserve">Switzerland, </w:t>
      </w:r>
      <w:r w:rsidR="003C656F" w:rsidRPr="001368E7">
        <w:t>Greece</w:t>
      </w:r>
      <w:r w:rsidR="001D01AA">
        <w:t xml:space="preserve">, </w:t>
      </w:r>
      <w:r w:rsidR="003C656F" w:rsidRPr="001368E7">
        <w:t>Ecuador</w:t>
      </w:r>
      <w:r w:rsidR="001D01AA">
        <w:t xml:space="preserve"> and Uruguay</w:t>
      </w:r>
      <w:r w:rsidR="001766C4" w:rsidRPr="001368E7">
        <w:t xml:space="preserve">.  </w:t>
      </w:r>
      <w:r w:rsidR="0068586B" w:rsidRPr="001368E7">
        <w:t xml:space="preserve">Department of Foreign Affairs and Trade were consulted for awareness of the changes negotiated and agreed to.  </w:t>
      </w:r>
      <w:r w:rsidR="00E931D5">
        <w:t xml:space="preserve">The </w:t>
      </w:r>
      <w:r w:rsidR="00AE4432">
        <w:t xml:space="preserve">Department of </w:t>
      </w:r>
      <w:r w:rsidR="00E931D5">
        <w:t xml:space="preserve">the </w:t>
      </w:r>
      <w:r w:rsidR="00AE4432">
        <w:t xml:space="preserve">Prime Minister and Cabinet was consulted on changes relating to Switzerland. </w:t>
      </w:r>
    </w:p>
    <w:p w14:paraId="1610FD1F" w14:textId="11082C49" w:rsidR="008B24C8" w:rsidRPr="001368E7" w:rsidRDefault="008B24C8" w:rsidP="002D167E">
      <w:pPr>
        <w:pStyle w:val="ESPara"/>
      </w:pPr>
      <w:r w:rsidRPr="001368E7">
        <w:t xml:space="preserve">The Office of Best Practice Regulation (OBPR) was also consulted and considered that the instrument dealt with matters of a </w:t>
      </w:r>
      <w:r w:rsidR="001766C4" w:rsidRPr="001368E7">
        <w:t>minor</w:t>
      </w:r>
      <w:r w:rsidRPr="001368E7">
        <w:t xml:space="preserve"> nature and no regulatory impact statement was required.  </w:t>
      </w:r>
      <w:r w:rsidR="00B06D01" w:rsidRPr="001368E7">
        <w:t>The OBPR reference number is 44625</w:t>
      </w:r>
      <w:r w:rsidRPr="001368E7">
        <w:t>.</w:t>
      </w:r>
    </w:p>
    <w:p w14:paraId="24CB5BE4" w14:textId="77777777" w:rsidR="00AA4557" w:rsidRPr="001368E7" w:rsidRDefault="00464080" w:rsidP="00100DFC">
      <w:pPr>
        <w:pStyle w:val="ESHeading"/>
      </w:pPr>
      <w:r w:rsidRPr="001368E7">
        <w:t>Details</w:t>
      </w:r>
      <w:r w:rsidR="00AA4557" w:rsidRPr="001368E7">
        <w:t xml:space="preserve"> of the instrument</w:t>
      </w:r>
    </w:p>
    <w:p w14:paraId="5BF50F1C" w14:textId="7227C43D" w:rsidR="00AA4557" w:rsidRPr="001368E7" w:rsidRDefault="00AA4557" w:rsidP="002D167E">
      <w:pPr>
        <w:pStyle w:val="ESPara"/>
      </w:pPr>
      <w:r w:rsidRPr="001368E7">
        <w:t>Section 1 sets out</w:t>
      </w:r>
      <w:r w:rsidR="00E03DCC" w:rsidRPr="001368E7">
        <w:t xml:space="preserve"> the name of the instrument. </w:t>
      </w:r>
      <w:r w:rsidR="00037C9E" w:rsidRPr="001368E7">
        <w:t xml:space="preserve"> </w:t>
      </w:r>
    </w:p>
    <w:p w14:paraId="6351830E" w14:textId="7F68729F" w:rsidR="00AA4557" w:rsidRPr="001368E7" w:rsidRDefault="00AA4557" w:rsidP="002D167E">
      <w:pPr>
        <w:pStyle w:val="ESPara"/>
      </w:pPr>
      <w:r w:rsidRPr="001368E7">
        <w:t xml:space="preserve">Section 2 provides for the commencement of the instrument on </w:t>
      </w:r>
      <w:r w:rsidR="00EB3327" w:rsidRPr="001368E7">
        <w:t>1 January 2022</w:t>
      </w:r>
      <w:r w:rsidR="00037C9E" w:rsidRPr="001368E7">
        <w:t xml:space="preserve">.  </w:t>
      </w:r>
    </w:p>
    <w:p w14:paraId="491DA0C7" w14:textId="6E86D030" w:rsidR="00E03DCC" w:rsidRPr="001368E7" w:rsidRDefault="00E03DCC" w:rsidP="002D167E">
      <w:pPr>
        <w:pStyle w:val="ESPara"/>
      </w:pPr>
      <w:r w:rsidRPr="001368E7">
        <w:t xml:space="preserve">Section 3 </w:t>
      </w:r>
      <w:r w:rsidR="00037C9E" w:rsidRPr="001368E7">
        <w:t xml:space="preserve">provides that Schedule 1 to the instrument amends LIN 21/019 as set out in the Schedule.  </w:t>
      </w:r>
    </w:p>
    <w:p w14:paraId="6BB83589" w14:textId="55F8AC27" w:rsidR="00037C9E" w:rsidRPr="001368E7" w:rsidRDefault="00037C9E" w:rsidP="002D167E">
      <w:pPr>
        <w:pStyle w:val="ESPara"/>
      </w:pPr>
      <w:r w:rsidRPr="001368E7">
        <w:t xml:space="preserve">Item 1 of Schedule 1 substitutes the definition of ‘authorising email’ </w:t>
      </w:r>
      <w:r w:rsidR="00CD0775" w:rsidRPr="001368E7">
        <w:t xml:space="preserve">with </w:t>
      </w:r>
      <w:r w:rsidRPr="001368E7">
        <w:t xml:space="preserve">‘written notice’.  </w:t>
      </w:r>
      <w:r w:rsidR="001368E7" w:rsidRPr="001368E7">
        <w:t>There is no practical effect to applicants from this change.  The definition of written notice has the same intent and function as authorising email</w:t>
      </w:r>
      <w:r w:rsidR="00E931D5">
        <w:t xml:space="preserve"> (see further </w:t>
      </w:r>
      <w:r w:rsidR="004824A6">
        <w:t>for</w:t>
      </w:r>
      <w:bookmarkStart w:id="1" w:name="_GoBack"/>
      <w:bookmarkEnd w:id="1"/>
      <w:r w:rsidR="004824A6">
        <w:t xml:space="preserve"> </w:t>
      </w:r>
      <w:r w:rsidR="00E931D5">
        <w:t>items 6 and 7 below)</w:t>
      </w:r>
      <w:r w:rsidR="001368E7" w:rsidRPr="001368E7">
        <w:t xml:space="preserve">.  </w:t>
      </w:r>
    </w:p>
    <w:p w14:paraId="60AA1862" w14:textId="206FC7A0" w:rsidR="000027C8" w:rsidRPr="001368E7" w:rsidRDefault="000027C8" w:rsidP="002D167E">
      <w:pPr>
        <w:pStyle w:val="ESPara"/>
      </w:pPr>
      <w:r w:rsidRPr="001368E7">
        <w:t xml:space="preserve">Item 2 </w:t>
      </w:r>
      <w:r w:rsidR="00E73CBD" w:rsidRPr="001368E7">
        <w:t xml:space="preserve">of Schedule 1 </w:t>
      </w:r>
      <w:r w:rsidR="003E0899" w:rsidRPr="001368E7">
        <w:t xml:space="preserve">adds </w:t>
      </w:r>
      <w:r w:rsidRPr="001368E7">
        <w:t xml:space="preserve">Switzerland </w:t>
      </w:r>
      <w:r w:rsidR="003E0899" w:rsidRPr="001368E7">
        <w:t xml:space="preserve">to </w:t>
      </w:r>
      <w:r w:rsidRPr="001368E7">
        <w:t xml:space="preserve">the table in subsection 4(2) of LIN 21/019.  </w:t>
      </w:r>
      <w:r w:rsidR="007D2DB5" w:rsidRPr="001368E7">
        <w:t>Switzerland</w:t>
      </w:r>
      <w:r w:rsidR="001368E7">
        <w:t xml:space="preserve"> is specified</w:t>
      </w:r>
      <w:r w:rsidR="007D2DB5" w:rsidRPr="001368E7">
        <w:t xml:space="preserve"> as a foreign country</w:t>
      </w:r>
      <w:r w:rsidR="00E73CBD" w:rsidRPr="001368E7">
        <w:t xml:space="preserve"> for paragraph </w:t>
      </w:r>
      <w:proofErr w:type="gramStart"/>
      <w:r w:rsidR="00E73CBD" w:rsidRPr="001368E7">
        <w:t>1224A(</w:t>
      </w:r>
      <w:proofErr w:type="gramEnd"/>
      <w:r w:rsidR="00E73CBD" w:rsidRPr="001368E7">
        <w:t xml:space="preserve">3)(a) of Schedule 1 to the Regulations.  </w:t>
      </w:r>
      <w:r w:rsidR="001368E7">
        <w:t>This change means i</w:t>
      </w:r>
      <w:r w:rsidR="00C267B1" w:rsidRPr="001368E7">
        <w:t>f a person holds a valid passport issued by Switzerland they may make an application</w:t>
      </w:r>
      <w:r w:rsidR="00787F44" w:rsidRPr="001368E7">
        <w:t xml:space="preserve"> for a </w:t>
      </w:r>
      <w:r w:rsidR="00957381">
        <w:t>subclass 462 visa</w:t>
      </w:r>
      <w:r w:rsidR="00E73CBD" w:rsidRPr="001368E7">
        <w:t xml:space="preserve">.  </w:t>
      </w:r>
      <w:r w:rsidR="00DE5118">
        <w:t xml:space="preserve">This amendment also means an </w:t>
      </w:r>
      <w:r w:rsidR="00AF1EC3">
        <w:t>applicant</w:t>
      </w:r>
      <w:r w:rsidR="00DE5118">
        <w:t xml:space="preserve"> from Switzerland </w:t>
      </w:r>
      <w:r w:rsidR="00AF1EC3">
        <w:t>must be aged at least 18 and no more than 30 years old at the time of application (see paragraph</w:t>
      </w:r>
      <w:r w:rsidR="005017D2">
        <w:t> </w:t>
      </w:r>
      <w:r w:rsidR="00AF1EC3">
        <w:t>462.212(b) of Schedule</w:t>
      </w:r>
      <w:r w:rsidR="005017D2">
        <w:t> </w:t>
      </w:r>
      <w:r w:rsidR="00AF1EC3">
        <w:t xml:space="preserve">2). </w:t>
      </w:r>
    </w:p>
    <w:p w14:paraId="49FCA7B8" w14:textId="32EF3BF3" w:rsidR="00E261F9" w:rsidRDefault="009709B8" w:rsidP="00E261F9">
      <w:pPr>
        <w:pStyle w:val="ESPara"/>
      </w:pPr>
      <w:r>
        <w:t xml:space="preserve">Item </w:t>
      </w:r>
      <w:r w:rsidR="00E261F9">
        <w:t>3</w:t>
      </w:r>
      <w:r w:rsidR="00E261F9" w:rsidRPr="001368E7">
        <w:t xml:space="preserve"> of Schedule 1 omits Ecuador</w:t>
      </w:r>
      <w:r w:rsidR="00E261F9">
        <w:t xml:space="preserve"> and </w:t>
      </w:r>
      <w:r w:rsidR="00E261F9" w:rsidRPr="001368E7">
        <w:t>Greece</w:t>
      </w:r>
      <w:r w:rsidR="00E261F9">
        <w:t xml:space="preserve"> </w:t>
      </w:r>
      <w:r w:rsidR="00E261F9" w:rsidRPr="001368E7">
        <w:t xml:space="preserve">from the table in subsection 4(3) of LIN 21/019.  This </w:t>
      </w:r>
      <w:r w:rsidR="00E931D5">
        <w:t xml:space="preserve">amendment </w:t>
      </w:r>
      <w:r w:rsidR="00E261F9" w:rsidRPr="001368E7">
        <w:t xml:space="preserve">means </w:t>
      </w:r>
      <w:r w:rsidR="00E931D5">
        <w:t xml:space="preserve">that </w:t>
      </w:r>
      <w:r w:rsidR="00E261F9" w:rsidRPr="001368E7">
        <w:t xml:space="preserve">applicants </w:t>
      </w:r>
      <w:r w:rsidR="00E261F9">
        <w:t>who hold</w:t>
      </w:r>
      <w:r w:rsidR="00E261F9" w:rsidRPr="001368E7">
        <w:t xml:space="preserve"> a passport issued by Ecuador</w:t>
      </w:r>
      <w:r w:rsidR="00E261F9">
        <w:t xml:space="preserve"> or </w:t>
      </w:r>
      <w:r w:rsidR="00E261F9" w:rsidRPr="001368E7">
        <w:t>Greece</w:t>
      </w:r>
      <w:r w:rsidR="00E261F9">
        <w:t xml:space="preserve"> will be </w:t>
      </w:r>
      <w:r w:rsidR="00E261F9" w:rsidRPr="001368E7">
        <w:t>required to provide evidence of home government support</w:t>
      </w:r>
      <w:r w:rsidR="00E261F9">
        <w:t xml:space="preserve"> </w:t>
      </w:r>
      <w:r w:rsidR="00E261F9" w:rsidRPr="001368E7">
        <w:t>(see subparagraph </w:t>
      </w:r>
      <w:proofErr w:type="gramStart"/>
      <w:r w:rsidR="00E261F9" w:rsidRPr="001368E7">
        <w:t>1224A(</w:t>
      </w:r>
      <w:proofErr w:type="gramEnd"/>
      <w:r w:rsidR="00E261F9" w:rsidRPr="001368E7">
        <w:t xml:space="preserve">3)(b)(iii) of Schedule 1 to the Regulations).  </w:t>
      </w:r>
    </w:p>
    <w:p w14:paraId="1A292627" w14:textId="63CFCF62" w:rsidR="007E2B1F" w:rsidRPr="001368E7" w:rsidRDefault="007E2B1F" w:rsidP="002D167E">
      <w:pPr>
        <w:pStyle w:val="ESPara"/>
      </w:pPr>
      <w:r w:rsidRPr="001368E7">
        <w:t>Item</w:t>
      </w:r>
      <w:r w:rsidR="00646808">
        <w:t>s</w:t>
      </w:r>
      <w:r w:rsidRPr="001368E7">
        <w:t xml:space="preserve"> </w:t>
      </w:r>
      <w:r w:rsidR="00EC4D4F">
        <w:t>4</w:t>
      </w:r>
      <w:r w:rsidR="00646808">
        <w:t xml:space="preserve"> and 5</w:t>
      </w:r>
      <w:r w:rsidRPr="001368E7">
        <w:t xml:space="preserve"> </w:t>
      </w:r>
      <w:r w:rsidR="00E73CBD" w:rsidRPr="001368E7">
        <w:t xml:space="preserve">of Schedule 1 </w:t>
      </w:r>
      <w:r w:rsidR="00293214">
        <w:t>insert</w:t>
      </w:r>
      <w:r w:rsidR="00293214" w:rsidRPr="001368E7">
        <w:t xml:space="preserve"> </w:t>
      </w:r>
      <w:r w:rsidRPr="001368E7">
        <w:t>Switzerland</w:t>
      </w:r>
      <w:r w:rsidR="00293214">
        <w:t xml:space="preserve"> and Uruguay in</w:t>
      </w:r>
      <w:r w:rsidRPr="001368E7">
        <w:t xml:space="preserve">to the table in subsection 4(3) of LIN 21/019.  </w:t>
      </w:r>
      <w:r w:rsidR="00C267B1" w:rsidRPr="001368E7">
        <w:t>A</w:t>
      </w:r>
      <w:r w:rsidR="007C7347" w:rsidRPr="001368E7">
        <w:t xml:space="preserve">pplicants who hold a valid passport issued by </w:t>
      </w:r>
      <w:r w:rsidRPr="001368E7">
        <w:t>Switzerland</w:t>
      </w:r>
      <w:r w:rsidR="00293214">
        <w:t xml:space="preserve"> or Uruguay</w:t>
      </w:r>
      <w:r w:rsidRPr="001368E7">
        <w:t xml:space="preserve"> </w:t>
      </w:r>
      <w:r w:rsidR="00C267B1" w:rsidRPr="001368E7">
        <w:t>are specified</w:t>
      </w:r>
      <w:r w:rsidR="007C7347" w:rsidRPr="001368E7">
        <w:t xml:space="preserve"> </w:t>
      </w:r>
      <w:r w:rsidR="00787F44" w:rsidRPr="001368E7">
        <w:t>for subparagraph </w:t>
      </w:r>
      <w:proofErr w:type="gramStart"/>
      <w:r w:rsidR="00787F44" w:rsidRPr="001368E7">
        <w:t>1224A(</w:t>
      </w:r>
      <w:proofErr w:type="gramEnd"/>
      <w:r w:rsidR="00787F44" w:rsidRPr="001368E7">
        <w:t>3)(b)(iii) of Schedule 1 to the Regulations</w:t>
      </w:r>
      <w:r w:rsidR="001368E7">
        <w:t xml:space="preserve"> and are</w:t>
      </w:r>
      <w:r w:rsidR="006C2F17" w:rsidRPr="001368E7">
        <w:t xml:space="preserve"> exempt from providing evidence of </w:t>
      </w:r>
      <w:r w:rsidR="00C267B1" w:rsidRPr="001368E7">
        <w:t>home government</w:t>
      </w:r>
      <w:r w:rsidR="006C2F17" w:rsidRPr="001368E7">
        <w:t xml:space="preserve"> support.  </w:t>
      </w:r>
    </w:p>
    <w:p w14:paraId="3DF80F19" w14:textId="568CA155" w:rsidR="00037C9E" w:rsidRPr="001368E7" w:rsidRDefault="00037C9E" w:rsidP="002D167E">
      <w:pPr>
        <w:pStyle w:val="ESPara"/>
      </w:pPr>
      <w:r w:rsidRPr="001368E7">
        <w:t xml:space="preserve">Items </w:t>
      </w:r>
      <w:r w:rsidR="00646808">
        <w:t>6</w:t>
      </w:r>
      <w:r w:rsidR="00293214" w:rsidRPr="001368E7">
        <w:t xml:space="preserve"> </w:t>
      </w:r>
      <w:r w:rsidRPr="001368E7">
        <w:t xml:space="preserve">and </w:t>
      </w:r>
      <w:r w:rsidR="00646808">
        <w:t>7</w:t>
      </w:r>
      <w:r w:rsidR="00293214" w:rsidRPr="001368E7">
        <w:t xml:space="preserve"> </w:t>
      </w:r>
      <w:r w:rsidR="00CD456E" w:rsidRPr="001368E7">
        <w:t>of Schedule 1</w:t>
      </w:r>
      <w:r w:rsidRPr="001368E7">
        <w:t xml:space="preserve"> </w:t>
      </w:r>
      <w:r w:rsidR="005D693A" w:rsidRPr="001368E7">
        <w:t>substitute</w:t>
      </w:r>
      <w:r w:rsidR="000027C8" w:rsidRPr="001368E7">
        <w:t xml:space="preserve"> references to</w:t>
      </w:r>
      <w:r w:rsidRPr="001368E7">
        <w:t xml:space="preserve"> </w:t>
      </w:r>
      <w:r w:rsidR="000027C8" w:rsidRPr="001368E7">
        <w:t xml:space="preserve">‘authorising email’ with ‘written notice’, </w:t>
      </w:r>
      <w:r w:rsidR="00B6030A" w:rsidRPr="001368E7">
        <w:t>consistent</w:t>
      </w:r>
      <w:r w:rsidR="000027C8" w:rsidRPr="001368E7">
        <w:t xml:space="preserve"> with the substituted definition</w:t>
      </w:r>
      <w:r w:rsidR="000027C8" w:rsidRPr="00A80358">
        <w:t xml:space="preserve">. </w:t>
      </w:r>
      <w:r w:rsidR="005D693A" w:rsidRPr="00A80358">
        <w:t xml:space="preserve"> </w:t>
      </w:r>
      <w:r w:rsidR="002833E8" w:rsidRPr="00A80358">
        <w:t xml:space="preserve">This means if an applicant has received a written notice, they may make an application for a </w:t>
      </w:r>
      <w:r w:rsidR="00646808">
        <w:t>subclass 462</w:t>
      </w:r>
      <w:r w:rsidR="002833E8" w:rsidRPr="00A80358">
        <w:t xml:space="preserve"> visa in accordance with the instructions in the written notice.</w:t>
      </w:r>
      <w:r w:rsidR="002833E8">
        <w:t xml:space="preserve">  </w:t>
      </w:r>
    </w:p>
    <w:p w14:paraId="580D5B15" w14:textId="6D1A5F88" w:rsidR="006C2F17" w:rsidRPr="001368E7" w:rsidRDefault="00CD456E">
      <w:pPr>
        <w:pStyle w:val="ESPara"/>
      </w:pPr>
      <w:r w:rsidRPr="001368E7">
        <w:t xml:space="preserve">Item </w:t>
      </w:r>
      <w:r w:rsidR="00646808">
        <w:t>8</w:t>
      </w:r>
      <w:r w:rsidR="00293214" w:rsidRPr="001368E7">
        <w:t xml:space="preserve"> </w:t>
      </w:r>
      <w:r w:rsidR="00E931D5">
        <w:t>inserts</w:t>
      </w:r>
      <w:r w:rsidR="002833E8" w:rsidRPr="001368E7">
        <w:t xml:space="preserve"> </w:t>
      </w:r>
      <w:r w:rsidR="002833E8">
        <w:t xml:space="preserve">the educational requirements for an applicant for a first visa from Switzerland </w:t>
      </w:r>
      <w:r w:rsidR="00E931D5">
        <w:t>in</w:t>
      </w:r>
      <w:r w:rsidRPr="001368E7">
        <w:t xml:space="preserve">to </w:t>
      </w:r>
      <w:r w:rsidR="00E931D5">
        <w:t xml:space="preserve">the table in </w:t>
      </w:r>
      <w:r w:rsidRPr="001368E7">
        <w:t>Schedule 2</w:t>
      </w:r>
      <w:r w:rsidR="00B6030A" w:rsidRPr="001368E7">
        <w:t xml:space="preserve"> </w:t>
      </w:r>
      <w:r w:rsidR="002833E8">
        <w:t>of</w:t>
      </w:r>
      <w:r w:rsidR="00B6030A" w:rsidRPr="001368E7">
        <w:t xml:space="preserve"> LIN</w:t>
      </w:r>
      <w:r w:rsidR="00067299">
        <w:t> </w:t>
      </w:r>
      <w:r w:rsidR="00B6030A" w:rsidRPr="001368E7">
        <w:t>21/019</w:t>
      </w:r>
      <w:r w:rsidRPr="001368E7">
        <w:t xml:space="preserve">. </w:t>
      </w:r>
      <w:r w:rsidR="004D7C7E" w:rsidRPr="001368E7">
        <w:t xml:space="preserve"> </w:t>
      </w:r>
      <w:r w:rsidR="00E931D5">
        <w:t xml:space="preserve">The effect of this amendment is that under </w:t>
      </w:r>
      <w:r w:rsidR="002833E8" w:rsidRPr="002833E8">
        <w:t>paragraph</w:t>
      </w:r>
      <w:r w:rsidR="00A80358">
        <w:t> </w:t>
      </w:r>
      <w:r w:rsidR="002833E8" w:rsidRPr="002833E8">
        <w:t>462.221(c) of Schedule 2 to the Regulation</w:t>
      </w:r>
      <w:r w:rsidR="00646808">
        <w:t>s</w:t>
      </w:r>
      <w:r w:rsidR="002833E8">
        <w:t xml:space="preserve">, Swiss </w:t>
      </w:r>
      <w:r w:rsidR="00185BAD" w:rsidRPr="001368E7">
        <w:t xml:space="preserve">applicants are required to complete 2 years of </w:t>
      </w:r>
      <w:r w:rsidR="00B60572" w:rsidRPr="001368E7">
        <w:t xml:space="preserve">study following </w:t>
      </w:r>
      <w:r w:rsidR="00185BAD" w:rsidRPr="001368E7">
        <w:t xml:space="preserve">compulsory schooling </w:t>
      </w:r>
      <w:r w:rsidR="00B60572" w:rsidRPr="001368E7">
        <w:t>in Switzerland</w:t>
      </w:r>
      <w:r w:rsidR="00185BAD" w:rsidRPr="001368E7">
        <w:t xml:space="preserve">.  </w:t>
      </w:r>
    </w:p>
    <w:p w14:paraId="09B4FA0E" w14:textId="77777777" w:rsidR="00AA4557" w:rsidRPr="001368E7" w:rsidRDefault="00AA4557" w:rsidP="00100DFC">
      <w:pPr>
        <w:pStyle w:val="ESHeading"/>
      </w:pPr>
      <w:r w:rsidRPr="001368E7">
        <w:lastRenderedPageBreak/>
        <w:t xml:space="preserve">Parliamentary scrutiny etc.  </w:t>
      </w:r>
    </w:p>
    <w:p w14:paraId="65F2EF46" w14:textId="282FECB0" w:rsidR="00E03DCC" w:rsidRPr="001368E7" w:rsidRDefault="00E03DCC" w:rsidP="00E03CF7">
      <w:pPr>
        <w:pStyle w:val="ESPara"/>
      </w:pPr>
      <w:r w:rsidRPr="001368E7">
        <w:t xml:space="preserve">The instrument is exempt from disallowance under section 42 of the Legislation Act.  </w:t>
      </w:r>
      <w:r w:rsidR="00E03CF7" w:rsidRPr="001368E7">
        <w:t xml:space="preserve">This is because instruments made under Schedules 1 and 2 to the Regulations are exempt under </w:t>
      </w:r>
      <w:r w:rsidRPr="001368E7">
        <w:t xml:space="preserve">section 10 of the </w:t>
      </w:r>
      <w:r w:rsidRPr="001368E7">
        <w:rPr>
          <w:i/>
        </w:rPr>
        <w:t>Legislation (Exemptions and Other Matters) Regulation 2015</w:t>
      </w:r>
      <w:r w:rsidRPr="001368E7">
        <w:t xml:space="preserve">.  </w:t>
      </w:r>
    </w:p>
    <w:p w14:paraId="3AF263C0" w14:textId="78A6296B" w:rsidR="00915032" w:rsidRPr="001368E7" w:rsidRDefault="00E03CF7" w:rsidP="00E03CF7">
      <w:pPr>
        <w:pStyle w:val="ESPara"/>
      </w:pPr>
      <w:r w:rsidRPr="001368E7">
        <w:t>The instrument was made by a delegate of the Minister, in accordance with subregulation 2.07(5), paragraph </w:t>
      </w:r>
      <w:proofErr w:type="gramStart"/>
      <w:r w:rsidRPr="001368E7">
        <w:t>1224A(</w:t>
      </w:r>
      <w:proofErr w:type="gramEnd"/>
      <w:r w:rsidRPr="001368E7">
        <w:t>3)(a) and subparagraph 1224A(3)(b)(iii) of Schedule 1, and paragraph 462.221(c) of Schedule 2</w:t>
      </w:r>
      <w:r w:rsidR="00370F60">
        <w:t>,</w:t>
      </w:r>
      <w:r w:rsidRPr="001368E7">
        <w:t xml:space="preserve"> to the Regulations. </w:t>
      </w:r>
      <w:r w:rsidR="00B75478" w:rsidRPr="001368E7">
        <w:t xml:space="preserve">  </w:t>
      </w:r>
    </w:p>
    <w:sectPr w:rsidR="00915032" w:rsidRPr="001368E7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2ACE" w14:textId="77777777" w:rsidR="00957381" w:rsidRDefault="00957381" w:rsidP="00957381">
      <w:pPr>
        <w:spacing w:after="0" w:line="240" w:lineRule="auto"/>
      </w:pPr>
      <w:r>
        <w:separator/>
      </w:r>
    </w:p>
  </w:endnote>
  <w:endnote w:type="continuationSeparator" w:id="0">
    <w:p w14:paraId="64B996C4" w14:textId="77777777" w:rsidR="00957381" w:rsidRDefault="00957381" w:rsidP="0095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429DE" w14:textId="77777777" w:rsidR="00957381" w:rsidRDefault="00957381" w:rsidP="00957381">
      <w:pPr>
        <w:spacing w:after="0" w:line="240" w:lineRule="auto"/>
      </w:pPr>
      <w:r>
        <w:separator/>
      </w:r>
    </w:p>
  </w:footnote>
  <w:footnote w:type="continuationSeparator" w:id="0">
    <w:p w14:paraId="6E135164" w14:textId="77777777" w:rsidR="00957381" w:rsidRDefault="00957381" w:rsidP="00957381">
      <w:pPr>
        <w:spacing w:after="0" w:line="240" w:lineRule="auto"/>
      </w:pPr>
      <w:r>
        <w:continuationSeparator/>
      </w:r>
    </w:p>
  </w:footnote>
  <w:footnote w:id="1">
    <w:p w14:paraId="0A76A582" w14:textId="4B709114" w:rsidR="00081AB5" w:rsidRPr="00957381" w:rsidRDefault="00081AB5" w:rsidP="00081AB5">
      <w:pPr>
        <w:pStyle w:val="FootnoteText"/>
        <w:rPr>
          <w:rFonts w:ascii="Times New Roman" w:hAnsi="Times New Roman" w:cs="Times New Roman"/>
        </w:rPr>
      </w:pPr>
      <w:r w:rsidRPr="00957381">
        <w:rPr>
          <w:rStyle w:val="FootnoteReference"/>
          <w:rFonts w:ascii="Times New Roman" w:hAnsi="Times New Roman" w:cs="Times New Roman"/>
        </w:rPr>
        <w:footnoteRef/>
      </w:r>
      <w:r w:rsidRPr="009573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subclass 462 visa is the only subclass of visa available under a Work and Holiday (Temporary) (Class US) visa (see item</w:t>
      </w:r>
      <w:r w:rsidR="0006729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1224A of Schedule 1 to the Regulations).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25"/>
    <w:rsid w:val="000014E9"/>
    <w:rsid w:val="000027C8"/>
    <w:rsid w:val="00037C9E"/>
    <w:rsid w:val="00067299"/>
    <w:rsid w:val="0007083E"/>
    <w:rsid w:val="00081AB5"/>
    <w:rsid w:val="000A7E83"/>
    <w:rsid w:val="000D014F"/>
    <w:rsid w:val="00100DFC"/>
    <w:rsid w:val="001368E7"/>
    <w:rsid w:val="001766C4"/>
    <w:rsid w:val="00185BAD"/>
    <w:rsid w:val="0019164E"/>
    <w:rsid w:val="001B7392"/>
    <w:rsid w:val="001D01AA"/>
    <w:rsid w:val="001D6831"/>
    <w:rsid w:val="001E4148"/>
    <w:rsid w:val="0020467A"/>
    <w:rsid w:val="00211342"/>
    <w:rsid w:val="002402E0"/>
    <w:rsid w:val="00245E99"/>
    <w:rsid w:val="00277C84"/>
    <w:rsid w:val="002833E8"/>
    <w:rsid w:val="00293214"/>
    <w:rsid w:val="002B0BEE"/>
    <w:rsid w:val="002B4079"/>
    <w:rsid w:val="002D167E"/>
    <w:rsid w:val="002E4EC7"/>
    <w:rsid w:val="00370F60"/>
    <w:rsid w:val="00386066"/>
    <w:rsid w:val="003B7B0B"/>
    <w:rsid w:val="003C656F"/>
    <w:rsid w:val="003E0899"/>
    <w:rsid w:val="00457D4A"/>
    <w:rsid w:val="00464080"/>
    <w:rsid w:val="00474C94"/>
    <w:rsid w:val="004824A6"/>
    <w:rsid w:val="004D294E"/>
    <w:rsid w:val="004D7C7E"/>
    <w:rsid w:val="004F5CE4"/>
    <w:rsid w:val="005017D2"/>
    <w:rsid w:val="0052359D"/>
    <w:rsid w:val="00560B24"/>
    <w:rsid w:val="0057002B"/>
    <w:rsid w:val="00583CED"/>
    <w:rsid w:val="005A21E6"/>
    <w:rsid w:val="005C6CE2"/>
    <w:rsid w:val="005D693A"/>
    <w:rsid w:val="00604E06"/>
    <w:rsid w:val="00610241"/>
    <w:rsid w:val="00640B4C"/>
    <w:rsid w:val="00646808"/>
    <w:rsid w:val="00647FF2"/>
    <w:rsid w:val="0068586B"/>
    <w:rsid w:val="006A4941"/>
    <w:rsid w:val="006C2F17"/>
    <w:rsid w:val="006D07E9"/>
    <w:rsid w:val="00727996"/>
    <w:rsid w:val="007358FB"/>
    <w:rsid w:val="00787F44"/>
    <w:rsid w:val="007C7347"/>
    <w:rsid w:val="007D2DB5"/>
    <w:rsid w:val="007E2B1F"/>
    <w:rsid w:val="007E4691"/>
    <w:rsid w:val="007F40C2"/>
    <w:rsid w:val="007F6A11"/>
    <w:rsid w:val="0086001E"/>
    <w:rsid w:val="0088407D"/>
    <w:rsid w:val="008907E0"/>
    <w:rsid w:val="008B24C8"/>
    <w:rsid w:val="008C5AE4"/>
    <w:rsid w:val="008E1492"/>
    <w:rsid w:val="00915032"/>
    <w:rsid w:val="00957381"/>
    <w:rsid w:val="0097047B"/>
    <w:rsid w:val="009709B8"/>
    <w:rsid w:val="00972CB9"/>
    <w:rsid w:val="00984F23"/>
    <w:rsid w:val="00A479FD"/>
    <w:rsid w:val="00A80358"/>
    <w:rsid w:val="00A81DEE"/>
    <w:rsid w:val="00A969CC"/>
    <w:rsid w:val="00A97F32"/>
    <w:rsid w:val="00AA4557"/>
    <w:rsid w:val="00AD60C0"/>
    <w:rsid w:val="00AE4432"/>
    <w:rsid w:val="00AF1EC3"/>
    <w:rsid w:val="00B017D5"/>
    <w:rsid w:val="00B06D01"/>
    <w:rsid w:val="00B17FC4"/>
    <w:rsid w:val="00B445D9"/>
    <w:rsid w:val="00B46CBB"/>
    <w:rsid w:val="00B50BE1"/>
    <w:rsid w:val="00B6030A"/>
    <w:rsid w:val="00B60572"/>
    <w:rsid w:val="00B65A06"/>
    <w:rsid w:val="00B75478"/>
    <w:rsid w:val="00BB0CF2"/>
    <w:rsid w:val="00BD598E"/>
    <w:rsid w:val="00BF1AE1"/>
    <w:rsid w:val="00C267B1"/>
    <w:rsid w:val="00C81A5E"/>
    <w:rsid w:val="00C930F2"/>
    <w:rsid w:val="00CC3422"/>
    <w:rsid w:val="00CD0775"/>
    <w:rsid w:val="00CD456E"/>
    <w:rsid w:val="00D35909"/>
    <w:rsid w:val="00D364BC"/>
    <w:rsid w:val="00D40E1E"/>
    <w:rsid w:val="00D420F6"/>
    <w:rsid w:val="00DB355F"/>
    <w:rsid w:val="00DE5118"/>
    <w:rsid w:val="00DF6B06"/>
    <w:rsid w:val="00E03CF7"/>
    <w:rsid w:val="00E03DCC"/>
    <w:rsid w:val="00E261F9"/>
    <w:rsid w:val="00E45FE2"/>
    <w:rsid w:val="00E6039B"/>
    <w:rsid w:val="00E73CBD"/>
    <w:rsid w:val="00E931D5"/>
    <w:rsid w:val="00EA12C9"/>
    <w:rsid w:val="00EA1485"/>
    <w:rsid w:val="00EB3327"/>
    <w:rsid w:val="00EC4D4F"/>
    <w:rsid w:val="00ED5F93"/>
    <w:rsid w:val="00F07D26"/>
    <w:rsid w:val="00F10FDF"/>
    <w:rsid w:val="00F16311"/>
    <w:rsid w:val="00F24128"/>
    <w:rsid w:val="00F403B0"/>
    <w:rsid w:val="00F66225"/>
    <w:rsid w:val="00FB463A"/>
    <w:rsid w:val="00FC1839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AD36"/>
  <w15:chartTrackingRefBased/>
  <w15:docId w15:val="{4F5513B0-1E9F-482C-9C1D-93644724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6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C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73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3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3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99"/>
  </w:style>
  <w:style w:type="paragraph" w:styleId="Footer">
    <w:name w:val="footer"/>
    <w:basedOn w:val="Normal"/>
    <w:link w:val="FooterChar"/>
    <w:uiPriority w:val="99"/>
    <w:unhideWhenUsed/>
    <w:rsid w:val="0006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7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7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07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13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17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9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9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4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04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ES%20template%202103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1BD6-E58C-43A0-86BF-DBCBD951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 template 210325</Template>
  <TotalTime>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Yo-ru LEE</dc:creator>
  <cp:keywords/>
  <dc:description/>
  <cp:lastModifiedBy>Jayde KOMINIARSKI</cp:lastModifiedBy>
  <cp:revision>2</cp:revision>
  <cp:lastPrinted>2021-12-09T04:48:00Z</cp:lastPrinted>
  <dcterms:created xsi:type="dcterms:W3CDTF">2021-12-15T01:03:00Z</dcterms:created>
  <dcterms:modified xsi:type="dcterms:W3CDTF">2021-12-15T01:03:00Z</dcterms:modified>
</cp:coreProperties>
</file>