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D0414B" w:rsidRDefault="00FA6784" w:rsidP="000D3062">
      <w:pPr>
        <w:pStyle w:val="H3"/>
        <w:jc w:val="center"/>
        <w:rPr>
          <w:sz w:val="24"/>
          <w:szCs w:val="24"/>
        </w:rPr>
      </w:pPr>
      <w:r w:rsidRPr="00D0414B">
        <w:rPr>
          <w:sz w:val="24"/>
          <w:szCs w:val="24"/>
        </w:rPr>
        <w:t>EXPLANATORY STATEMENT</w:t>
      </w:r>
    </w:p>
    <w:p w14:paraId="2412D122" w14:textId="77777777" w:rsidR="00FA6784" w:rsidRPr="00D0414B" w:rsidRDefault="00FA6784" w:rsidP="000D3062">
      <w:pPr>
        <w:rPr>
          <w:i/>
          <w:iCs/>
          <w:szCs w:val="24"/>
        </w:rPr>
      </w:pPr>
    </w:p>
    <w:p w14:paraId="2412D123" w14:textId="77777777" w:rsidR="00FA6784" w:rsidRPr="00D0414B" w:rsidRDefault="00FA6784" w:rsidP="000D3062">
      <w:pPr>
        <w:jc w:val="center"/>
        <w:rPr>
          <w:i/>
          <w:iCs/>
          <w:szCs w:val="24"/>
        </w:rPr>
      </w:pPr>
      <w:r w:rsidRPr="00D0414B">
        <w:rPr>
          <w:i/>
          <w:iCs/>
          <w:szCs w:val="24"/>
        </w:rPr>
        <w:t>Health Insurance Act 1973</w:t>
      </w:r>
    </w:p>
    <w:p w14:paraId="2412D124" w14:textId="77777777" w:rsidR="00A1739A" w:rsidRPr="00D0414B" w:rsidRDefault="00A1739A" w:rsidP="000D3062">
      <w:pPr>
        <w:rPr>
          <w:i/>
          <w:iCs/>
          <w:szCs w:val="24"/>
          <w:u w:val="single"/>
        </w:rPr>
      </w:pPr>
    </w:p>
    <w:p w14:paraId="052E97C1" w14:textId="4ECC88B8" w:rsidR="00164A69" w:rsidRPr="00D0414B" w:rsidRDefault="001366AA" w:rsidP="000D306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szCs w:val="24"/>
        </w:rPr>
      </w:pPr>
      <w:r w:rsidRPr="00D0414B">
        <w:rPr>
          <w:i/>
          <w:iCs/>
          <w:szCs w:val="24"/>
        </w:rPr>
        <w:t>Health Insurance (Section 3C Diagnostic Imaging – Cardiac MRI for Myocarditis) Determination 2021</w:t>
      </w:r>
    </w:p>
    <w:p w14:paraId="17A5CE04" w14:textId="77777777" w:rsidR="001366AA" w:rsidRPr="00D0414B" w:rsidRDefault="001366AA" w:rsidP="000D306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zCs w:val="24"/>
          <w:shd w:val="clear" w:color="auto" w:fill="FFFFFF"/>
        </w:rPr>
      </w:pPr>
    </w:p>
    <w:p w14:paraId="30CCE728" w14:textId="7FC5D416" w:rsidR="00164A69" w:rsidRPr="00D0414B" w:rsidRDefault="00164A69" w:rsidP="000D306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zCs w:val="24"/>
          <w:shd w:val="clear" w:color="auto" w:fill="FFFFFF"/>
        </w:rPr>
      </w:pPr>
      <w:r w:rsidRPr="00D0414B">
        <w:rPr>
          <w:color w:val="000000"/>
          <w:szCs w:val="24"/>
          <w:shd w:val="clear" w:color="auto" w:fill="FFFFFF"/>
        </w:rPr>
        <w:t xml:space="preserve">Subsection 3C(1) of the </w:t>
      </w:r>
      <w:r w:rsidRPr="00D0414B">
        <w:rPr>
          <w:i/>
          <w:color w:val="000000"/>
          <w:szCs w:val="24"/>
          <w:shd w:val="clear" w:color="auto" w:fill="FFFFFF"/>
        </w:rPr>
        <w:t>Health Insurance Act 1973</w:t>
      </w:r>
      <w:r w:rsidRPr="00D0414B">
        <w:rPr>
          <w:color w:val="000000"/>
          <w:szCs w:val="24"/>
          <w:shd w:val="clear" w:color="auto" w:fill="FFFFFF"/>
        </w:rPr>
        <w:t xml:space="preserve"> (the Act) </w:t>
      </w:r>
      <w:r w:rsidR="00477C74" w:rsidRPr="00D0414B">
        <w:rPr>
          <w:color w:val="000000"/>
          <w:szCs w:val="24"/>
          <w:shd w:val="clear" w:color="auto" w:fill="FFFFFF"/>
        </w:rPr>
        <w:t>provide</w:t>
      </w:r>
      <w:r w:rsidR="002E5708" w:rsidRPr="00D0414B">
        <w:rPr>
          <w:color w:val="000000"/>
          <w:szCs w:val="24"/>
          <w:shd w:val="clear" w:color="auto" w:fill="FFFFFF"/>
        </w:rPr>
        <w:t>s</w:t>
      </w:r>
      <w:r w:rsidR="00477C74" w:rsidRPr="00D0414B">
        <w:rPr>
          <w:color w:val="000000"/>
          <w:szCs w:val="24"/>
          <w:shd w:val="clear" w:color="auto" w:fill="FFFFFF"/>
        </w:rPr>
        <w:t xml:space="preserve"> that</w:t>
      </w:r>
      <w:r w:rsidRPr="00D0414B">
        <w:rPr>
          <w:color w:val="000000"/>
          <w:szCs w:val="24"/>
          <w:shd w:val="clear" w:color="auto" w:fill="FFFFFF"/>
        </w:rPr>
        <w:t xml:space="preserve"> the Minister </w:t>
      </w:r>
      <w:r w:rsidR="00477C74" w:rsidRPr="00D0414B">
        <w:rPr>
          <w:color w:val="000000"/>
          <w:szCs w:val="24"/>
          <w:shd w:val="clear" w:color="auto" w:fill="FFFFFF"/>
        </w:rPr>
        <w:t>may</w:t>
      </w:r>
      <w:r w:rsidRPr="00D0414B">
        <w:rPr>
          <w:color w:val="000000"/>
          <w:szCs w:val="24"/>
          <w:shd w:val="clear" w:color="auto" w:fill="FFFFFF"/>
        </w:rPr>
        <w:t xml:space="preserve">, by legislative instrument, determine that a health service not specified in an item in the </w:t>
      </w:r>
      <w:r w:rsidR="002A6079" w:rsidRPr="00D0414B">
        <w:rPr>
          <w:szCs w:val="24"/>
          <w:shd w:val="clear" w:color="auto" w:fill="FFFFFF"/>
        </w:rPr>
        <w:t>diagnostic imaging services</w:t>
      </w:r>
      <w:r w:rsidR="002A6079" w:rsidRPr="00D0414B">
        <w:rPr>
          <w:rStyle w:val="CharSectno"/>
          <w:szCs w:val="24"/>
        </w:rPr>
        <w:t xml:space="preserve"> table</w:t>
      </w:r>
      <w:r w:rsidR="002A6079" w:rsidRPr="00D0414B">
        <w:rPr>
          <w:color w:val="000000"/>
          <w:szCs w:val="24"/>
          <w:shd w:val="clear" w:color="auto" w:fill="FFFFFF"/>
        </w:rPr>
        <w:t xml:space="preserve"> </w:t>
      </w:r>
      <w:r w:rsidR="00D01D5A" w:rsidRPr="00D0414B">
        <w:rPr>
          <w:color w:val="000000"/>
          <w:szCs w:val="24"/>
          <w:shd w:val="clear" w:color="auto" w:fill="FFFFFF"/>
        </w:rPr>
        <w:t xml:space="preserve">(the Table) </w:t>
      </w:r>
      <w:r w:rsidRPr="00D0414B">
        <w:rPr>
          <w:color w:val="000000"/>
          <w:szCs w:val="24"/>
          <w:shd w:val="clear" w:color="auto" w:fill="FFFFFF"/>
        </w:rPr>
        <w:t xml:space="preserve">shall, in specified circumstances and for specified statutory provisions, be treated as if it were specified in the </w:t>
      </w:r>
      <w:r w:rsidR="00D01D5A" w:rsidRPr="00D0414B">
        <w:rPr>
          <w:color w:val="000000"/>
          <w:szCs w:val="24"/>
          <w:shd w:val="clear" w:color="auto" w:fill="FFFFFF"/>
        </w:rPr>
        <w:t xml:space="preserve">Table. </w:t>
      </w:r>
      <w:r w:rsidRPr="00D0414B">
        <w:rPr>
          <w:color w:val="FF0000"/>
          <w:szCs w:val="24"/>
          <w:shd w:val="clear" w:color="auto" w:fill="FFFFFF"/>
        </w:rPr>
        <w:t xml:space="preserve"> </w:t>
      </w:r>
    </w:p>
    <w:p w14:paraId="7DB18649" w14:textId="77777777" w:rsidR="00841EDA" w:rsidRPr="00D0414B" w:rsidRDefault="00841EDA" w:rsidP="000D306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zCs w:val="24"/>
          <w:shd w:val="clear" w:color="auto" w:fill="FFFFFF"/>
        </w:rPr>
      </w:pPr>
    </w:p>
    <w:p w14:paraId="0CD04EE8" w14:textId="08DCC2E3" w:rsidR="00050623" w:rsidRPr="00D0414B" w:rsidRDefault="00050623" w:rsidP="000D306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r w:rsidRPr="00D0414B">
        <w:rPr>
          <w:szCs w:val="24"/>
        </w:rPr>
        <w:t xml:space="preserve">The </w:t>
      </w:r>
      <w:r w:rsidR="00D01D5A" w:rsidRPr="00D0414B">
        <w:rPr>
          <w:szCs w:val="24"/>
        </w:rPr>
        <w:t>Table</w:t>
      </w:r>
      <w:r w:rsidRPr="00D0414B">
        <w:rPr>
          <w:szCs w:val="24"/>
        </w:rPr>
        <w:t xml:space="preserve"> is set out in the regulations made under subsection 4A</w:t>
      </w:r>
      <w:r w:rsidR="001E3123" w:rsidRPr="00D0414B">
        <w:rPr>
          <w:szCs w:val="24"/>
        </w:rPr>
        <w:t>A</w:t>
      </w:r>
      <w:r w:rsidRPr="00D0414B">
        <w:rPr>
          <w:szCs w:val="24"/>
        </w:rPr>
        <w:t xml:space="preserve"> of the Act.  The most recent version of the regulations is the </w:t>
      </w:r>
      <w:r w:rsidR="00413C15" w:rsidRPr="00D0414B">
        <w:rPr>
          <w:i/>
          <w:iCs/>
          <w:szCs w:val="24"/>
        </w:rPr>
        <w:t>Health Insurance (Diagnostic Imaging Services Table) Regulations (No. 2) 2020</w:t>
      </w:r>
      <w:r w:rsidR="001E3123" w:rsidRPr="00D0414B">
        <w:rPr>
          <w:i/>
          <w:iCs/>
          <w:szCs w:val="24"/>
        </w:rPr>
        <w:t>.</w:t>
      </w:r>
      <w:r w:rsidR="001E3123" w:rsidRPr="00D0414B">
        <w:rPr>
          <w:szCs w:val="24"/>
        </w:rPr>
        <w:t xml:space="preserve"> </w:t>
      </w:r>
    </w:p>
    <w:p w14:paraId="2E6FE463" w14:textId="77777777" w:rsidR="00050623" w:rsidRPr="00D0414B" w:rsidRDefault="00050623" w:rsidP="000D306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zCs w:val="24"/>
        </w:rPr>
      </w:pPr>
    </w:p>
    <w:p w14:paraId="2412D12A" w14:textId="77777777" w:rsidR="00BB00BA" w:rsidRPr="00D0414B" w:rsidRDefault="00A1739A" w:rsidP="000D3062">
      <w:pPr>
        <w:rPr>
          <w:b/>
          <w:szCs w:val="24"/>
          <w:lang w:val="en-US" w:eastAsia="en-US"/>
        </w:rPr>
      </w:pPr>
      <w:r w:rsidRPr="00D0414B">
        <w:rPr>
          <w:b/>
          <w:szCs w:val="24"/>
          <w:lang w:val="en-US" w:eastAsia="en-US"/>
        </w:rPr>
        <w:t>Purpose</w:t>
      </w:r>
    </w:p>
    <w:p w14:paraId="39DCAF00" w14:textId="643E55A8" w:rsidR="00417CB1" w:rsidRPr="00D0414B" w:rsidRDefault="00417CB1" w:rsidP="000D3062">
      <w:pPr>
        <w:rPr>
          <w:szCs w:val="24"/>
        </w:rPr>
      </w:pPr>
      <w:r w:rsidRPr="00D0414B">
        <w:rPr>
          <w:szCs w:val="24"/>
        </w:rPr>
        <w:t xml:space="preserve">The purpose of the </w:t>
      </w:r>
      <w:r w:rsidRPr="00D0414B">
        <w:rPr>
          <w:i/>
          <w:iCs/>
          <w:szCs w:val="24"/>
        </w:rPr>
        <w:t>Health Insurance (Section 3C Diagnostic Imaging – Cardiac MRI for Myocarditis) Determination 2021</w:t>
      </w:r>
      <w:r w:rsidRPr="00D0414B">
        <w:rPr>
          <w:szCs w:val="24"/>
        </w:rPr>
        <w:t xml:space="preserve"> (the Determination) is to list a new</w:t>
      </w:r>
      <w:r w:rsidR="00230AF5" w:rsidRPr="00D0414B">
        <w:rPr>
          <w:szCs w:val="24"/>
        </w:rPr>
        <w:t xml:space="preserve"> temporary</w:t>
      </w:r>
      <w:r w:rsidRPr="00D0414B">
        <w:rPr>
          <w:szCs w:val="24"/>
        </w:rPr>
        <w:t xml:space="preserve"> item for cardiac magnetic resonance imaging (MRI) to diagnose myocarditis associated with mRNA COVID-19 vaccination. The item is for use in circumstances where myocarditis cannot be definitively diagnosed using conventional imaging and other diagnostic tests. This Determination commences on 1 January 2022.</w:t>
      </w:r>
    </w:p>
    <w:p w14:paraId="5DD8F9AE" w14:textId="77777777" w:rsidR="00415A48" w:rsidRPr="00D0414B" w:rsidRDefault="00415A48" w:rsidP="000D3062">
      <w:pPr>
        <w:rPr>
          <w:szCs w:val="24"/>
        </w:rPr>
      </w:pPr>
    </w:p>
    <w:p w14:paraId="05777C1A" w14:textId="7D35D7FB" w:rsidR="005B7F06" w:rsidRPr="00D0414B" w:rsidRDefault="005B7F06" w:rsidP="000D3062">
      <w:pPr>
        <w:rPr>
          <w:szCs w:val="24"/>
        </w:rPr>
      </w:pPr>
      <w:r w:rsidRPr="00D0414B">
        <w:rPr>
          <w:szCs w:val="24"/>
        </w:rPr>
        <w:t>Myocarditis refers to inflammation of the heart muscle. It is a rare side effect that can occur after vaccination with the mRNA COVID</w:t>
      </w:r>
      <w:r w:rsidRPr="00D0414B">
        <w:rPr>
          <w:szCs w:val="24"/>
        </w:rPr>
        <w:noBreakHyphen/>
        <w:t xml:space="preserve">19 vaccines </w:t>
      </w:r>
      <w:proofErr w:type="spellStart"/>
      <w:r w:rsidRPr="00D0414B">
        <w:rPr>
          <w:szCs w:val="24"/>
        </w:rPr>
        <w:t>Comirnaty</w:t>
      </w:r>
      <w:proofErr w:type="spellEnd"/>
      <w:r w:rsidRPr="00D0414B">
        <w:rPr>
          <w:szCs w:val="24"/>
        </w:rPr>
        <w:t xml:space="preserve"> (Pfizer) and </w:t>
      </w:r>
      <w:proofErr w:type="spellStart"/>
      <w:r w:rsidRPr="00D0414B">
        <w:rPr>
          <w:szCs w:val="24"/>
        </w:rPr>
        <w:t>Spikevax</w:t>
      </w:r>
      <w:proofErr w:type="spellEnd"/>
      <w:r w:rsidRPr="00D0414B">
        <w:rPr>
          <w:szCs w:val="24"/>
        </w:rPr>
        <w:t xml:space="preserve"> (</w:t>
      </w:r>
      <w:proofErr w:type="spellStart"/>
      <w:r w:rsidRPr="00D0414B">
        <w:rPr>
          <w:szCs w:val="24"/>
        </w:rPr>
        <w:t>Moderna</w:t>
      </w:r>
      <w:proofErr w:type="spellEnd"/>
      <w:r w:rsidRPr="00D0414B">
        <w:rPr>
          <w:szCs w:val="24"/>
        </w:rPr>
        <w:t>). An increased risk of myocarditis has been observed in people who have received these vaccines compared to unvaccinated people. Severe instances of myocarditis may lead to heart failure or even death. It is most commonly reported in males under the age of 30 years, with a higher incidence after the second vaccine dose. In Australia, myocarditis is reported in approximately 1 out of every 100,000 people, across all age groups, after receiving a mRNA COVID</w:t>
      </w:r>
      <w:r w:rsidRPr="00D0414B">
        <w:rPr>
          <w:szCs w:val="24"/>
        </w:rPr>
        <w:noBreakHyphen/>
        <w:t>19 vaccine. The incidence is much higher in individuals under the age of 19 years.</w:t>
      </w:r>
    </w:p>
    <w:p w14:paraId="15ABC44E" w14:textId="77777777" w:rsidR="00415A48" w:rsidRPr="00D0414B" w:rsidRDefault="00415A48" w:rsidP="000D3062">
      <w:pPr>
        <w:rPr>
          <w:szCs w:val="24"/>
        </w:rPr>
      </w:pPr>
    </w:p>
    <w:p w14:paraId="685B8384" w14:textId="571B890A" w:rsidR="008F3378" w:rsidRPr="00D0414B" w:rsidRDefault="00966601" w:rsidP="000D3062">
      <w:pPr>
        <w:rPr>
          <w:szCs w:val="24"/>
        </w:rPr>
      </w:pPr>
      <w:r w:rsidRPr="00D0414B">
        <w:rPr>
          <w:szCs w:val="24"/>
        </w:rPr>
        <w:t>In October 2021, t</w:t>
      </w:r>
      <w:r w:rsidR="003D1704" w:rsidRPr="00D0414B">
        <w:rPr>
          <w:szCs w:val="24"/>
        </w:rPr>
        <w:t xml:space="preserve">he </w:t>
      </w:r>
      <w:r w:rsidR="005B7F06" w:rsidRPr="00D0414B">
        <w:rPr>
          <w:szCs w:val="24"/>
        </w:rPr>
        <w:t>Medical Services Advisory Committee (</w:t>
      </w:r>
      <w:r w:rsidR="003D1704" w:rsidRPr="00D0414B">
        <w:rPr>
          <w:szCs w:val="24"/>
        </w:rPr>
        <w:t>MSAC</w:t>
      </w:r>
      <w:r w:rsidR="005B7F06" w:rsidRPr="00D0414B">
        <w:rPr>
          <w:szCs w:val="24"/>
        </w:rPr>
        <w:t xml:space="preserve">) </w:t>
      </w:r>
      <w:r w:rsidR="00417CB1" w:rsidRPr="00D0414B">
        <w:rPr>
          <w:szCs w:val="24"/>
        </w:rPr>
        <w:t xml:space="preserve">Executive </w:t>
      </w:r>
      <w:r w:rsidR="003D1704" w:rsidRPr="00D0414B">
        <w:rPr>
          <w:szCs w:val="24"/>
        </w:rPr>
        <w:t xml:space="preserve">recommended introducing a new temporary item to support the diagnosis of myocarditis associated with mRNA COVID-19 vaccination using cardiac MRI. </w:t>
      </w:r>
      <w:r w:rsidR="00230AF5" w:rsidRPr="00D0414B">
        <w:rPr>
          <w:szCs w:val="24"/>
        </w:rPr>
        <w:t>The MSAC Executive supported the item being available temporarily to allow for a full health technology assessment on the use of cardiac MRI in diagnosing myocarditis more broadly to be considered.</w:t>
      </w:r>
    </w:p>
    <w:p w14:paraId="22D78664" w14:textId="77777777" w:rsidR="00415A48" w:rsidRPr="00D0414B" w:rsidRDefault="00415A48" w:rsidP="000D3062">
      <w:pPr>
        <w:rPr>
          <w:szCs w:val="24"/>
        </w:rPr>
      </w:pPr>
    </w:p>
    <w:p w14:paraId="28BDE717" w14:textId="185C19F2" w:rsidR="005B7F06" w:rsidRPr="00D0414B" w:rsidRDefault="008F3378" w:rsidP="000D3062">
      <w:pPr>
        <w:rPr>
          <w:szCs w:val="24"/>
        </w:rPr>
      </w:pPr>
      <w:r w:rsidRPr="00D0414B">
        <w:rPr>
          <w:szCs w:val="24"/>
        </w:rPr>
        <w:t xml:space="preserve">Accurate diagnosis of myocarditis associated with mRNA </w:t>
      </w:r>
      <w:r w:rsidR="00417CB1" w:rsidRPr="00D0414B">
        <w:rPr>
          <w:szCs w:val="24"/>
        </w:rPr>
        <w:t xml:space="preserve">COVID-19 </w:t>
      </w:r>
      <w:r w:rsidRPr="00D0414B">
        <w:rPr>
          <w:szCs w:val="24"/>
        </w:rPr>
        <w:t>vaccine</w:t>
      </w:r>
      <w:r w:rsidR="00417CB1" w:rsidRPr="00D0414B">
        <w:rPr>
          <w:szCs w:val="24"/>
        </w:rPr>
        <w:t>s</w:t>
      </w:r>
      <w:r w:rsidRPr="00D0414B">
        <w:rPr>
          <w:szCs w:val="24"/>
        </w:rPr>
        <w:t xml:space="preserve"> will impact the ongoing management of Australia’s COVID</w:t>
      </w:r>
      <w:r w:rsidRPr="00D0414B">
        <w:rPr>
          <w:szCs w:val="24"/>
        </w:rPr>
        <w:noBreakHyphen/>
        <w:t>19 vaccination program. This new item will provide patients with access to this service without high out-of-pocket costs if it is being accessed outside of the public hospital system.</w:t>
      </w:r>
    </w:p>
    <w:p w14:paraId="1E095225" w14:textId="77777777" w:rsidR="00415A48" w:rsidRPr="00D0414B" w:rsidRDefault="00415A48" w:rsidP="000D3062">
      <w:pPr>
        <w:rPr>
          <w:b/>
          <w:szCs w:val="24"/>
        </w:rPr>
      </w:pPr>
    </w:p>
    <w:p w14:paraId="2412D131" w14:textId="030CD30D" w:rsidR="001865F8" w:rsidRPr="00D0414B" w:rsidRDefault="00415A48" w:rsidP="000D3062">
      <w:pPr>
        <w:rPr>
          <w:szCs w:val="24"/>
          <w:lang w:val="en-US"/>
        </w:rPr>
      </w:pPr>
      <w:r w:rsidRPr="00D0414B">
        <w:rPr>
          <w:b/>
          <w:szCs w:val="24"/>
        </w:rPr>
        <w:t>C</w:t>
      </w:r>
      <w:r w:rsidR="00A1739A" w:rsidRPr="00D0414B">
        <w:rPr>
          <w:b/>
          <w:szCs w:val="24"/>
        </w:rPr>
        <w:t>onsultation</w:t>
      </w:r>
    </w:p>
    <w:p w14:paraId="7DB1662D" w14:textId="6B96650A" w:rsidR="003D1704" w:rsidRPr="00D0414B" w:rsidRDefault="008F3378" w:rsidP="000D3062">
      <w:pPr>
        <w:rPr>
          <w:szCs w:val="24"/>
        </w:rPr>
      </w:pPr>
      <w:r w:rsidRPr="00D0414B">
        <w:rPr>
          <w:szCs w:val="24"/>
        </w:rPr>
        <w:t xml:space="preserve">The introduction of a new </w:t>
      </w:r>
      <w:r w:rsidR="00417CB1" w:rsidRPr="00D0414B">
        <w:rPr>
          <w:szCs w:val="24"/>
        </w:rPr>
        <w:t xml:space="preserve">cardiac </w:t>
      </w:r>
      <w:r w:rsidR="00FD00B6" w:rsidRPr="00D0414B">
        <w:rPr>
          <w:szCs w:val="24"/>
        </w:rPr>
        <w:t xml:space="preserve">MRI </w:t>
      </w:r>
      <w:r w:rsidRPr="00D0414B">
        <w:rPr>
          <w:szCs w:val="24"/>
        </w:rPr>
        <w:t xml:space="preserve">service to identify myocarditis associated with mRNA </w:t>
      </w:r>
      <w:r w:rsidR="00417CB1" w:rsidRPr="00D0414B">
        <w:rPr>
          <w:szCs w:val="24"/>
        </w:rPr>
        <w:t xml:space="preserve">COVID-19 </w:t>
      </w:r>
      <w:r w:rsidRPr="00D0414B">
        <w:rPr>
          <w:szCs w:val="24"/>
        </w:rPr>
        <w:t>vaccin</w:t>
      </w:r>
      <w:r w:rsidR="00417CB1" w:rsidRPr="00D0414B">
        <w:rPr>
          <w:szCs w:val="24"/>
        </w:rPr>
        <w:t>ation</w:t>
      </w:r>
      <w:r w:rsidRPr="00D0414B">
        <w:rPr>
          <w:szCs w:val="24"/>
        </w:rPr>
        <w:t xml:space="preserve"> </w:t>
      </w:r>
      <w:r w:rsidR="00FD00B6" w:rsidRPr="00D0414B">
        <w:rPr>
          <w:szCs w:val="24"/>
        </w:rPr>
        <w:t>is</w:t>
      </w:r>
      <w:r w:rsidRPr="00D0414B">
        <w:rPr>
          <w:szCs w:val="24"/>
        </w:rPr>
        <w:t xml:space="preserve"> supported by </w:t>
      </w:r>
      <w:r w:rsidR="003D1704" w:rsidRPr="00D0414B">
        <w:rPr>
          <w:szCs w:val="24"/>
        </w:rPr>
        <w:t xml:space="preserve">the Cardiac Society of Australia and </w:t>
      </w:r>
      <w:r w:rsidR="003D1704" w:rsidRPr="00D0414B">
        <w:rPr>
          <w:szCs w:val="24"/>
        </w:rPr>
        <w:lastRenderedPageBreak/>
        <w:t>New Zealand (CSANZ)</w:t>
      </w:r>
      <w:r w:rsidR="00417CB1" w:rsidRPr="00D0414B">
        <w:rPr>
          <w:szCs w:val="24"/>
        </w:rPr>
        <w:t xml:space="preserve">, </w:t>
      </w:r>
      <w:r w:rsidR="009051DF" w:rsidRPr="00D0414B">
        <w:rPr>
          <w:szCs w:val="24"/>
        </w:rPr>
        <w:t>the Australian and New Zealand Working Group for Cardiovascular MRI (ANZCMR) and the Chief Medical Officer</w:t>
      </w:r>
      <w:r w:rsidR="00712FFE" w:rsidRPr="00D0414B">
        <w:rPr>
          <w:szCs w:val="24"/>
        </w:rPr>
        <w:t>.</w:t>
      </w:r>
    </w:p>
    <w:p w14:paraId="02264A85" w14:textId="77777777" w:rsidR="007708B3" w:rsidRPr="00D0414B" w:rsidRDefault="007708B3" w:rsidP="000D3062">
      <w:pPr>
        <w:rPr>
          <w:color w:val="000000"/>
          <w:szCs w:val="24"/>
        </w:rPr>
      </w:pPr>
    </w:p>
    <w:p w14:paraId="2412D134" w14:textId="77777777" w:rsidR="00967E51" w:rsidRPr="00D0414B" w:rsidRDefault="00A1739A" w:rsidP="000D3062">
      <w:pPr>
        <w:rPr>
          <w:szCs w:val="24"/>
        </w:rPr>
      </w:pPr>
      <w:r w:rsidRPr="00D0414B">
        <w:rPr>
          <w:szCs w:val="24"/>
        </w:rPr>
        <w:t xml:space="preserve">Details of the </w:t>
      </w:r>
      <w:r w:rsidR="00574E71" w:rsidRPr="00D0414B">
        <w:rPr>
          <w:szCs w:val="24"/>
        </w:rPr>
        <w:t>Determination</w:t>
      </w:r>
      <w:r w:rsidRPr="00D0414B">
        <w:rPr>
          <w:szCs w:val="24"/>
        </w:rPr>
        <w:t xml:space="preserve"> are set out in the </w:t>
      </w:r>
      <w:r w:rsidRPr="00D0414B">
        <w:rPr>
          <w:szCs w:val="24"/>
          <w:u w:val="single"/>
        </w:rPr>
        <w:t>Attachment</w:t>
      </w:r>
      <w:r w:rsidRPr="00D0414B">
        <w:rPr>
          <w:szCs w:val="24"/>
        </w:rPr>
        <w:t>.</w:t>
      </w:r>
    </w:p>
    <w:p w14:paraId="2412D135" w14:textId="4013C9F7" w:rsidR="006C138D" w:rsidRPr="00D0414B" w:rsidRDefault="00297AD0" w:rsidP="000D3062">
      <w:pPr>
        <w:tabs>
          <w:tab w:val="left" w:pos="567"/>
        </w:tabs>
        <w:spacing w:before="240"/>
        <w:rPr>
          <w:szCs w:val="24"/>
        </w:rPr>
      </w:pPr>
      <w:r w:rsidRPr="00D0414B">
        <w:rPr>
          <w:szCs w:val="24"/>
        </w:rPr>
        <w:t xml:space="preserve">The </w:t>
      </w:r>
      <w:r w:rsidR="00967E51" w:rsidRPr="00D0414B">
        <w:rPr>
          <w:szCs w:val="24"/>
        </w:rPr>
        <w:t>Determination</w:t>
      </w:r>
      <w:r w:rsidRPr="00D0414B">
        <w:rPr>
          <w:szCs w:val="24"/>
        </w:rPr>
        <w:t xml:space="preserve"> </w:t>
      </w:r>
      <w:r w:rsidR="007524B0" w:rsidRPr="00D0414B">
        <w:rPr>
          <w:szCs w:val="24"/>
        </w:rPr>
        <w:t xml:space="preserve">commences </w:t>
      </w:r>
      <w:r w:rsidR="00C63FDC" w:rsidRPr="00D0414B">
        <w:rPr>
          <w:szCs w:val="24"/>
        </w:rPr>
        <w:t xml:space="preserve">on </w:t>
      </w:r>
      <w:r w:rsidR="00EA6CA0" w:rsidRPr="00D0414B">
        <w:rPr>
          <w:color w:val="000000"/>
          <w:szCs w:val="24"/>
        </w:rPr>
        <w:t>1 January 2022.</w:t>
      </w:r>
      <w:r w:rsidR="007708B3" w:rsidRPr="00D0414B">
        <w:rPr>
          <w:color w:val="FF0000"/>
          <w:szCs w:val="24"/>
        </w:rPr>
        <w:t xml:space="preserve"> </w:t>
      </w:r>
    </w:p>
    <w:p w14:paraId="2412D136" w14:textId="77777777" w:rsidR="00236DF2" w:rsidRPr="00D0414B" w:rsidRDefault="00236DF2" w:rsidP="000D3062">
      <w:pPr>
        <w:rPr>
          <w:szCs w:val="24"/>
        </w:rPr>
      </w:pPr>
    </w:p>
    <w:p w14:paraId="2412D138" w14:textId="65B73875" w:rsidR="00574E71" w:rsidRPr="00D0414B" w:rsidRDefault="0002728B" w:rsidP="000D3062">
      <w:pPr>
        <w:spacing w:after="200" w:line="276" w:lineRule="auto"/>
        <w:rPr>
          <w:szCs w:val="24"/>
        </w:rPr>
      </w:pPr>
      <w:r w:rsidRPr="00D0414B">
        <w:rPr>
          <w:szCs w:val="24"/>
        </w:rPr>
        <w:t>T</w:t>
      </w:r>
      <w:r w:rsidR="00574E71" w:rsidRPr="00D0414B">
        <w:rPr>
          <w:szCs w:val="24"/>
        </w:rPr>
        <w:t xml:space="preserve">he Determination is </w:t>
      </w:r>
      <w:r w:rsidR="004417A2" w:rsidRPr="00D0414B">
        <w:rPr>
          <w:szCs w:val="24"/>
        </w:rPr>
        <w:t xml:space="preserve">a </w:t>
      </w:r>
      <w:r w:rsidR="00574E71" w:rsidRPr="00D0414B">
        <w:rPr>
          <w:szCs w:val="24"/>
        </w:rPr>
        <w:t xml:space="preserve">legislative instrument for the purposes of the </w:t>
      </w:r>
      <w:r w:rsidR="00574E71" w:rsidRPr="00D0414B">
        <w:rPr>
          <w:i/>
          <w:szCs w:val="24"/>
        </w:rPr>
        <w:t>Legislation Act 2003</w:t>
      </w:r>
      <w:r w:rsidR="00574E71" w:rsidRPr="00D0414B">
        <w:rPr>
          <w:szCs w:val="24"/>
        </w:rPr>
        <w:t>.</w:t>
      </w:r>
    </w:p>
    <w:p w14:paraId="2412D139" w14:textId="77777777" w:rsidR="00A1739A" w:rsidRPr="00D0414B" w:rsidRDefault="00A1739A" w:rsidP="000D3062">
      <w:pPr>
        <w:ind w:left="6663" w:hanging="3119"/>
        <w:rPr>
          <w:szCs w:val="24"/>
        </w:rPr>
      </w:pPr>
      <w:r w:rsidRPr="00D0414B">
        <w:rPr>
          <w:szCs w:val="24"/>
        </w:rPr>
        <w:t xml:space="preserve">           </w:t>
      </w:r>
    </w:p>
    <w:p w14:paraId="2412D13A" w14:textId="77777777" w:rsidR="00A1739A" w:rsidRPr="00D0414B" w:rsidRDefault="00A1739A" w:rsidP="000D3062">
      <w:pPr>
        <w:ind w:left="6663" w:hanging="3119"/>
        <w:rPr>
          <w:szCs w:val="24"/>
        </w:rPr>
      </w:pPr>
      <w:r w:rsidRPr="00D0414B">
        <w:rPr>
          <w:szCs w:val="24"/>
          <w:u w:val="single"/>
        </w:rPr>
        <w:t>Authority</w:t>
      </w:r>
      <w:r w:rsidR="00967E51" w:rsidRPr="00D0414B">
        <w:rPr>
          <w:szCs w:val="24"/>
        </w:rPr>
        <w:t xml:space="preserve">:     Subsection </w:t>
      </w:r>
      <w:r w:rsidRPr="00D0414B">
        <w:rPr>
          <w:szCs w:val="24"/>
        </w:rPr>
        <w:t>3</w:t>
      </w:r>
      <w:r w:rsidR="00967E51" w:rsidRPr="00D0414B">
        <w:rPr>
          <w:szCs w:val="24"/>
        </w:rPr>
        <w:t>C</w:t>
      </w:r>
      <w:r w:rsidRPr="00D0414B">
        <w:rPr>
          <w:szCs w:val="24"/>
        </w:rPr>
        <w:t xml:space="preserve">(1) of the </w:t>
      </w:r>
    </w:p>
    <w:p w14:paraId="2412D13B" w14:textId="0596CD30" w:rsidR="00A1739A" w:rsidRPr="00D0414B" w:rsidRDefault="00A1739A" w:rsidP="000D3062">
      <w:pPr>
        <w:tabs>
          <w:tab w:val="left" w:pos="4820"/>
        </w:tabs>
        <w:rPr>
          <w:szCs w:val="24"/>
        </w:rPr>
        <w:sectPr w:rsidR="00A1739A" w:rsidRPr="00D0414B" w:rsidSect="00235B6C">
          <w:headerReference w:type="default" r:id="rId11"/>
          <w:pgSz w:w="11906" w:h="16838"/>
          <w:pgMar w:top="1440" w:right="1800" w:bottom="1135" w:left="1800" w:header="708" w:footer="708" w:gutter="0"/>
          <w:pgNumType w:start="1"/>
          <w:cols w:space="708"/>
          <w:docGrid w:linePitch="360"/>
        </w:sectPr>
      </w:pPr>
      <w:r w:rsidRPr="00D0414B">
        <w:rPr>
          <w:i/>
          <w:szCs w:val="24"/>
        </w:rPr>
        <w:tab/>
        <w:t>Health Insurance Act 1973</w:t>
      </w:r>
    </w:p>
    <w:p w14:paraId="2412D13D" w14:textId="77777777" w:rsidR="006D5816" w:rsidRPr="00D0414B" w:rsidRDefault="006D5816" w:rsidP="000D3062">
      <w:pPr>
        <w:pStyle w:val="BodyText"/>
        <w:jc w:val="right"/>
        <w:rPr>
          <w:szCs w:val="24"/>
        </w:rPr>
      </w:pPr>
      <w:r w:rsidRPr="00D0414B">
        <w:rPr>
          <w:szCs w:val="24"/>
        </w:rPr>
        <w:lastRenderedPageBreak/>
        <w:t>ATTACHMENT</w:t>
      </w:r>
    </w:p>
    <w:p w14:paraId="2412D13E" w14:textId="77777777" w:rsidR="006D5816" w:rsidRPr="00D0414B" w:rsidRDefault="006D5816" w:rsidP="000D3062">
      <w:pPr>
        <w:pStyle w:val="BodyText"/>
        <w:rPr>
          <w:szCs w:val="24"/>
          <w:u w:val="single"/>
        </w:rPr>
      </w:pPr>
    </w:p>
    <w:p w14:paraId="7BBEB147" w14:textId="7C616833" w:rsidR="00E70355" w:rsidRPr="00D0414B" w:rsidRDefault="00415A48" w:rsidP="000D3062">
      <w:pPr>
        <w:pStyle w:val="BodyText"/>
        <w:rPr>
          <w:szCs w:val="24"/>
        </w:rPr>
      </w:pPr>
      <w:r w:rsidRPr="00D0414B">
        <w:rPr>
          <w:szCs w:val="24"/>
        </w:rPr>
        <w:t xml:space="preserve">Details of the </w:t>
      </w:r>
      <w:r w:rsidR="001366AA" w:rsidRPr="00D0414B">
        <w:rPr>
          <w:i/>
          <w:iCs/>
          <w:szCs w:val="24"/>
        </w:rPr>
        <w:t>Health Insurance (Section 3C Diagnostic Imaging – Cardiac MRI for Myocarditis) Determination 2021</w:t>
      </w:r>
    </w:p>
    <w:p w14:paraId="37DA738B" w14:textId="77777777" w:rsidR="001366AA" w:rsidRPr="00D0414B" w:rsidRDefault="001366AA" w:rsidP="000D3062">
      <w:pPr>
        <w:pStyle w:val="BodyText"/>
        <w:rPr>
          <w:b w:val="0"/>
          <w:i/>
          <w:szCs w:val="24"/>
        </w:rPr>
      </w:pPr>
    </w:p>
    <w:p w14:paraId="2412D141" w14:textId="7C34D5F4" w:rsidR="00FE02C2" w:rsidRPr="00D0414B" w:rsidRDefault="001B0111" w:rsidP="000D3062">
      <w:pPr>
        <w:pStyle w:val="BodyText"/>
        <w:rPr>
          <w:b w:val="0"/>
          <w:szCs w:val="24"/>
          <w:u w:val="single"/>
        </w:rPr>
      </w:pPr>
      <w:r w:rsidRPr="00D0414B">
        <w:rPr>
          <w:b w:val="0"/>
          <w:szCs w:val="24"/>
          <w:u w:val="single"/>
        </w:rPr>
        <w:t>Section 1 – Name</w:t>
      </w:r>
    </w:p>
    <w:p w14:paraId="2412D142" w14:textId="77777777" w:rsidR="00FE02C2" w:rsidRPr="00D0414B" w:rsidRDefault="00FE02C2" w:rsidP="000D3062">
      <w:pPr>
        <w:pStyle w:val="BodyText"/>
        <w:rPr>
          <w:b w:val="0"/>
          <w:szCs w:val="24"/>
          <w:u w:val="single"/>
        </w:rPr>
      </w:pPr>
    </w:p>
    <w:p w14:paraId="2412D144" w14:textId="56B9FFD0" w:rsidR="00F83B6F" w:rsidRPr="00D0414B" w:rsidRDefault="00BC7397" w:rsidP="000D3062">
      <w:pPr>
        <w:pStyle w:val="BodyText"/>
        <w:rPr>
          <w:b w:val="0"/>
          <w:szCs w:val="24"/>
        </w:rPr>
      </w:pPr>
      <w:r w:rsidRPr="00D0414B">
        <w:rPr>
          <w:b w:val="0"/>
          <w:szCs w:val="24"/>
        </w:rPr>
        <w:t>S</w:t>
      </w:r>
      <w:r w:rsidR="00FE02C2" w:rsidRPr="00D0414B">
        <w:rPr>
          <w:b w:val="0"/>
          <w:szCs w:val="24"/>
        </w:rPr>
        <w:t xml:space="preserve">ection </w:t>
      </w:r>
      <w:r w:rsidRPr="00D0414B">
        <w:rPr>
          <w:b w:val="0"/>
          <w:szCs w:val="24"/>
        </w:rPr>
        <w:t xml:space="preserve">1 </w:t>
      </w:r>
      <w:r w:rsidR="00FE02C2" w:rsidRPr="00D0414B">
        <w:rPr>
          <w:b w:val="0"/>
          <w:szCs w:val="24"/>
        </w:rPr>
        <w:t>provides</w:t>
      </w:r>
      <w:r w:rsidR="008B683E" w:rsidRPr="00D0414B">
        <w:rPr>
          <w:b w:val="0"/>
          <w:szCs w:val="24"/>
        </w:rPr>
        <w:t xml:space="preserve"> for the </w:t>
      </w:r>
      <w:r w:rsidR="008B2094" w:rsidRPr="00D0414B">
        <w:rPr>
          <w:b w:val="0"/>
          <w:szCs w:val="24"/>
        </w:rPr>
        <w:t>Determination</w:t>
      </w:r>
      <w:r w:rsidR="00FE02C2" w:rsidRPr="00D0414B">
        <w:rPr>
          <w:b w:val="0"/>
          <w:szCs w:val="24"/>
        </w:rPr>
        <w:t xml:space="preserve"> to be referred to as the </w:t>
      </w:r>
      <w:r w:rsidR="001366AA" w:rsidRPr="00D0414B">
        <w:rPr>
          <w:b w:val="0"/>
          <w:i/>
          <w:iCs/>
          <w:szCs w:val="24"/>
        </w:rPr>
        <w:t>Health Insurance (Section 3C Diagnostic Imaging – Cardiac MRI for Myocarditis) Determination 2021</w:t>
      </w:r>
      <w:r w:rsidR="00EA6CA0" w:rsidRPr="00D0414B">
        <w:rPr>
          <w:b w:val="0"/>
          <w:szCs w:val="24"/>
        </w:rPr>
        <w:t>.</w:t>
      </w:r>
    </w:p>
    <w:p w14:paraId="68DAA207" w14:textId="77777777" w:rsidR="00FD602D" w:rsidRPr="00D0414B" w:rsidRDefault="00FD602D" w:rsidP="000D3062">
      <w:pPr>
        <w:rPr>
          <w:szCs w:val="24"/>
        </w:rPr>
      </w:pPr>
    </w:p>
    <w:p w14:paraId="49D1E050" w14:textId="77777777" w:rsidR="007A4089" w:rsidRPr="00D0414B" w:rsidRDefault="00FE02C2" w:rsidP="000D3062">
      <w:pPr>
        <w:pStyle w:val="BodyText"/>
        <w:rPr>
          <w:b w:val="0"/>
          <w:szCs w:val="24"/>
          <w:u w:val="single"/>
        </w:rPr>
      </w:pPr>
      <w:r w:rsidRPr="00D0414B">
        <w:rPr>
          <w:b w:val="0"/>
          <w:szCs w:val="24"/>
          <w:u w:val="single"/>
        </w:rPr>
        <w:t xml:space="preserve">Section 2 – Commencement </w:t>
      </w:r>
    </w:p>
    <w:p w14:paraId="2DCE2ED0" w14:textId="77777777" w:rsidR="007A4089" w:rsidRPr="00D0414B" w:rsidRDefault="007A4089" w:rsidP="000D3062">
      <w:pPr>
        <w:pStyle w:val="BodyText"/>
        <w:rPr>
          <w:b w:val="0"/>
          <w:szCs w:val="24"/>
          <w:u w:val="single"/>
        </w:rPr>
      </w:pPr>
    </w:p>
    <w:p w14:paraId="2412D148" w14:textId="0155FCDD" w:rsidR="00510A4F" w:rsidRPr="00D0414B" w:rsidRDefault="00510A4F" w:rsidP="000D3062">
      <w:pPr>
        <w:pStyle w:val="BodyText"/>
        <w:rPr>
          <w:b w:val="0"/>
          <w:color w:val="FF0000"/>
          <w:szCs w:val="24"/>
        </w:rPr>
      </w:pPr>
      <w:r w:rsidRPr="00D0414B">
        <w:rPr>
          <w:b w:val="0"/>
          <w:szCs w:val="24"/>
        </w:rPr>
        <w:t xml:space="preserve">Section 2 </w:t>
      </w:r>
      <w:r w:rsidR="00404F11" w:rsidRPr="00D0414B">
        <w:rPr>
          <w:b w:val="0"/>
          <w:szCs w:val="24"/>
        </w:rPr>
        <w:t xml:space="preserve">provides that the </w:t>
      </w:r>
      <w:r w:rsidR="008B2094" w:rsidRPr="00D0414B">
        <w:rPr>
          <w:b w:val="0"/>
          <w:szCs w:val="24"/>
        </w:rPr>
        <w:t xml:space="preserve">Determination </w:t>
      </w:r>
      <w:r w:rsidR="00404F11" w:rsidRPr="00D0414B">
        <w:rPr>
          <w:b w:val="0"/>
          <w:szCs w:val="24"/>
        </w:rPr>
        <w:t xml:space="preserve">commences </w:t>
      </w:r>
      <w:r w:rsidR="00C63FDC" w:rsidRPr="00D0414B">
        <w:rPr>
          <w:b w:val="0"/>
          <w:szCs w:val="24"/>
        </w:rPr>
        <w:t xml:space="preserve">on </w:t>
      </w:r>
      <w:r w:rsidR="00EA6CA0" w:rsidRPr="00D0414B">
        <w:rPr>
          <w:b w:val="0"/>
          <w:szCs w:val="24"/>
        </w:rPr>
        <w:t>1 January 2022.</w:t>
      </w:r>
      <w:r w:rsidR="00C63FDC" w:rsidRPr="00D0414B">
        <w:rPr>
          <w:b w:val="0"/>
          <w:color w:val="FF0000"/>
          <w:szCs w:val="24"/>
        </w:rPr>
        <w:t xml:space="preserve"> </w:t>
      </w:r>
    </w:p>
    <w:p w14:paraId="16C03200" w14:textId="77777777" w:rsidR="007E0017" w:rsidRPr="00D0414B" w:rsidRDefault="007E0017" w:rsidP="000D3062">
      <w:pPr>
        <w:pStyle w:val="BodyText"/>
        <w:rPr>
          <w:b w:val="0"/>
          <w:szCs w:val="24"/>
        </w:rPr>
      </w:pPr>
    </w:p>
    <w:p w14:paraId="005D5660" w14:textId="77777777" w:rsidR="007A4089" w:rsidRPr="00D0414B" w:rsidRDefault="00FE02C2" w:rsidP="000D3062">
      <w:pPr>
        <w:pStyle w:val="BodyText"/>
        <w:rPr>
          <w:b w:val="0"/>
          <w:szCs w:val="24"/>
          <w:u w:val="single"/>
        </w:rPr>
      </w:pPr>
      <w:r w:rsidRPr="00D0414B">
        <w:rPr>
          <w:b w:val="0"/>
          <w:szCs w:val="24"/>
          <w:u w:val="single"/>
        </w:rPr>
        <w:t xml:space="preserve">Section 3 – </w:t>
      </w:r>
      <w:r w:rsidR="00E5798A" w:rsidRPr="00D0414B">
        <w:rPr>
          <w:b w:val="0"/>
          <w:szCs w:val="24"/>
          <w:u w:val="single"/>
        </w:rPr>
        <w:t>Authority</w:t>
      </w:r>
    </w:p>
    <w:p w14:paraId="53BFA098" w14:textId="77777777" w:rsidR="007A4089" w:rsidRPr="00D0414B" w:rsidRDefault="007A4089" w:rsidP="000D3062">
      <w:pPr>
        <w:pStyle w:val="BodyText"/>
        <w:rPr>
          <w:b w:val="0"/>
          <w:szCs w:val="24"/>
          <w:u w:val="single"/>
        </w:rPr>
      </w:pPr>
    </w:p>
    <w:p w14:paraId="2412D14B" w14:textId="60EB4E9C" w:rsidR="00FE02C2" w:rsidRPr="00D0414B" w:rsidRDefault="00F83B6F" w:rsidP="000D3062">
      <w:pPr>
        <w:pStyle w:val="BodyText"/>
        <w:rPr>
          <w:b w:val="0"/>
          <w:szCs w:val="24"/>
        </w:rPr>
      </w:pPr>
      <w:r w:rsidRPr="00D0414B">
        <w:rPr>
          <w:b w:val="0"/>
          <w:szCs w:val="24"/>
        </w:rPr>
        <w:t xml:space="preserve">Section 3 provides that the </w:t>
      </w:r>
      <w:r w:rsidR="008B2094" w:rsidRPr="00D0414B">
        <w:rPr>
          <w:b w:val="0"/>
          <w:szCs w:val="24"/>
        </w:rPr>
        <w:t xml:space="preserve">Determination </w:t>
      </w:r>
      <w:r w:rsidR="00E5798A" w:rsidRPr="00D0414B">
        <w:rPr>
          <w:b w:val="0"/>
          <w:szCs w:val="24"/>
        </w:rPr>
        <w:t xml:space="preserve">is made under </w:t>
      </w:r>
      <w:r w:rsidR="00367440" w:rsidRPr="00D0414B">
        <w:rPr>
          <w:b w:val="0"/>
          <w:szCs w:val="24"/>
        </w:rPr>
        <w:t xml:space="preserve">subsection </w:t>
      </w:r>
      <w:r w:rsidR="00E5798A" w:rsidRPr="00D0414B">
        <w:rPr>
          <w:b w:val="0"/>
          <w:szCs w:val="24"/>
        </w:rPr>
        <w:t xml:space="preserve">3C(1) of the </w:t>
      </w:r>
      <w:r w:rsidR="00E5798A" w:rsidRPr="00D0414B">
        <w:rPr>
          <w:b w:val="0"/>
          <w:i/>
          <w:szCs w:val="24"/>
        </w:rPr>
        <w:t>Health Insurance Act 1973</w:t>
      </w:r>
      <w:r w:rsidR="00E5798A" w:rsidRPr="00D0414B">
        <w:rPr>
          <w:b w:val="0"/>
          <w:szCs w:val="24"/>
        </w:rPr>
        <w:t>.</w:t>
      </w:r>
    </w:p>
    <w:p w14:paraId="759AEEC6" w14:textId="77777777" w:rsidR="001366AA" w:rsidRPr="00D0414B" w:rsidRDefault="001366AA" w:rsidP="000D3062">
      <w:pPr>
        <w:pStyle w:val="BodyText"/>
        <w:rPr>
          <w:b w:val="0"/>
          <w:szCs w:val="24"/>
        </w:rPr>
      </w:pPr>
    </w:p>
    <w:p w14:paraId="20CBF84A" w14:textId="25078B0D" w:rsidR="00C63FDC" w:rsidRPr="00D0414B" w:rsidRDefault="00C63FDC" w:rsidP="000D3062">
      <w:pPr>
        <w:pStyle w:val="BodyText"/>
        <w:rPr>
          <w:b w:val="0"/>
          <w:szCs w:val="24"/>
          <w:u w:val="single"/>
        </w:rPr>
      </w:pPr>
      <w:r w:rsidRPr="00D0414B">
        <w:rPr>
          <w:b w:val="0"/>
          <w:szCs w:val="24"/>
          <w:u w:val="single"/>
        </w:rPr>
        <w:t xml:space="preserve">Section </w:t>
      </w:r>
      <w:r w:rsidR="00230AF5" w:rsidRPr="00D0414B">
        <w:rPr>
          <w:b w:val="0"/>
          <w:szCs w:val="24"/>
          <w:u w:val="single"/>
        </w:rPr>
        <w:t>4</w:t>
      </w:r>
      <w:r w:rsidRPr="00D0414B">
        <w:rPr>
          <w:b w:val="0"/>
          <w:szCs w:val="24"/>
          <w:u w:val="single"/>
        </w:rPr>
        <w:t xml:space="preserve"> – </w:t>
      </w:r>
      <w:r w:rsidR="00AE2A1A" w:rsidRPr="00D0414B">
        <w:rPr>
          <w:b w:val="0"/>
          <w:szCs w:val="24"/>
          <w:u w:val="single"/>
        </w:rPr>
        <w:t>Definitions</w:t>
      </w:r>
    </w:p>
    <w:p w14:paraId="4C010161" w14:textId="77777777" w:rsidR="00C63FDC" w:rsidRPr="00D0414B" w:rsidRDefault="00C63FDC" w:rsidP="000D3062">
      <w:pPr>
        <w:pStyle w:val="BodyText"/>
        <w:rPr>
          <w:b w:val="0"/>
          <w:szCs w:val="24"/>
          <w:u w:val="single"/>
        </w:rPr>
      </w:pPr>
    </w:p>
    <w:p w14:paraId="5D9EBF8D" w14:textId="2D6E48DE" w:rsidR="00C63FDC" w:rsidRPr="00D0414B" w:rsidRDefault="00AE2A1A" w:rsidP="000D3062">
      <w:pPr>
        <w:pStyle w:val="BodyText"/>
        <w:rPr>
          <w:b w:val="0"/>
          <w:szCs w:val="24"/>
        </w:rPr>
      </w:pPr>
      <w:r w:rsidRPr="00D0414B">
        <w:rPr>
          <w:b w:val="0"/>
          <w:szCs w:val="24"/>
        </w:rPr>
        <w:t xml:space="preserve">Section </w:t>
      </w:r>
      <w:r w:rsidR="00230AF5" w:rsidRPr="00D0414B">
        <w:rPr>
          <w:b w:val="0"/>
          <w:szCs w:val="24"/>
        </w:rPr>
        <w:t>4</w:t>
      </w:r>
      <w:r w:rsidRPr="00D0414B">
        <w:rPr>
          <w:b w:val="0"/>
          <w:szCs w:val="24"/>
        </w:rPr>
        <w:t xml:space="preserve"> defines terms used in the Determination</w:t>
      </w:r>
      <w:r w:rsidR="00C63FDC" w:rsidRPr="00D0414B">
        <w:rPr>
          <w:b w:val="0"/>
          <w:szCs w:val="24"/>
        </w:rPr>
        <w:t>.</w:t>
      </w:r>
    </w:p>
    <w:p w14:paraId="17D2CF69" w14:textId="77777777" w:rsidR="007E0017" w:rsidRPr="00D0414B" w:rsidRDefault="007E0017" w:rsidP="000D3062">
      <w:pPr>
        <w:pStyle w:val="BodyText"/>
        <w:rPr>
          <w:b w:val="0"/>
          <w:szCs w:val="24"/>
        </w:rPr>
      </w:pPr>
    </w:p>
    <w:p w14:paraId="18694761" w14:textId="7AEE29A3" w:rsidR="00AE2A1A" w:rsidRPr="00D0414B" w:rsidRDefault="00AE2A1A" w:rsidP="000D3062">
      <w:pPr>
        <w:pStyle w:val="BodyText"/>
        <w:rPr>
          <w:b w:val="0"/>
          <w:szCs w:val="24"/>
          <w:u w:val="single"/>
        </w:rPr>
      </w:pPr>
      <w:r w:rsidRPr="00D0414B">
        <w:rPr>
          <w:b w:val="0"/>
          <w:szCs w:val="24"/>
          <w:u w:val="single"/>
        </w:rPr>
        <w:t xml:space="preserve">Section </w:t>
      </w:r>
      <w:r w:rsidR="00230AF5" w:rsidRPr="00D0414B">
        <w:rPr>
          <w:b w:val="0"/>
          <w:szCs w:val="24"/>
          <w:u w:val="single"/>
        </w:rPr>
        <w:t>5</w:t>
      </w:r>
      <w:r w:rsidRPr="00D0414B">
        <w:rPr>
          <w:b w:val="0"/>
          <w:szCs w:val="24"/>
          <w:u w:val="single"/>
        </w:rPr>
        <w:t xml:space="preserve"> – Treatment of relevant services</w:t>
      </w:r>
    </w:p>
    <w:p w14:paraId="19E420BE" w14:textId="77777777" w:rsidR="00AE2A1A" w:rsidRPr="00D0414B" w:rsidRDefault="00AE2A1A" w:rsidP="000D3062">
      <w:pPr>
        <w:pStyle w:val="BodyText"/>
        <w:rPr>
          <w:b w:val="0"/>
          <w:szCs w:val="24"/>
        </w:rPr>
      </w:pPr>
      <w:r w:rsidRPr="00D0414B">
        <w:rPr>
          <w:b w:val="0"/>
          <w:szCs w:val="24"/>
        </w:rPr>
        <w:t> </w:t>
      </w:r>
    </w:p>
    <w:p w14:paraId="5FC8DDF5" w14:textId="1DC04CE0" w:rsidR="00AE2A1A" w:rsidRPr="00D0414B" w:rsidRDefault="00AE2A1A" w:rsidP="000D3062">
      <w:pPr>
        <w:pStyle w:val="BodyText"/>
        <w:rPr>
          <w:b w:val="0"/>
          <w:szCs w:val="24"/>
        </w:rPr>
      </w:pPr>
      <w:r w:rsidRPr="00D0414B">
        <w:rPr>
          <w:b w:val="0"/>
          <w:szCs w:val="24"/>
        </w:rPr>
        <w:t xml:space="preserve">Section </w:t>
      </w:r>
      <w:r w:rsidR="00230AF5" w:rsidRPr="00D0414B">
        <w:rPr>
          <w:b w:val="0"/>
          <w:szCs w:val="24"/>
        </w:rPr>
        <w:t>5</w:t>
      </w:r>
      <w:r w:rsidRPr="00D0414B">
        <w:rPr>
          <w:b w:val="0"/>
          <w:szCs w:val="24"/>
        </w:rPr>
        <w:t xml:space="preserve"> provides that a clinically relevant service provided in accordance with the Determination shall be treated, for relevant provisions of the </w:t>
      </w:r>
      <w:r w:rsidRPr="00D0414B">
        <w:rPr>
          <w:b w:val="0"/>
          <w:i/>
          <w:iCs/>
          <w:szCs w:val="24"/>
        </w:rPr>
        <w:t>Health Insurance Act 1973</w:t>
      </w:r>
      <w:r w:rsidRPr="00D0414B">
        <w:rPr>
          <w:b w:val="0"/>
          <w:szCs w:val="24"/>
        </w:rPr>
        <w:t xml:space="preserve"> and </w:t>
      </w:r>
      <w:r w:rsidRPr="00D0414B">
        <w:rPr>
          <w:b w:val="0"/>
          <w:i/>
          <w:iCs/>
          <w:szCs w:val="24"/>
        </w:rPr>
        <w:t>National Health Act 1953</w:t>
      </w:r>
      <w:r w:rsidRPr="00D0414B">
        <w:rPr>
          <w:b w:val="0"/>
          <w:szCs w:val="24"/>
        </w:rPr>
        <w:t xml:space="preserve">, and regulations made under those Acts, as if it were both a professional service and a </w:t>
      </w:r>
      <w:r w:rsidR="00EA6CA0" w:rsidRPr="00D0414B">
        <w:rPr>
          <w:b w:val="0"/>
          <w:szCs w:val="24"/>
        </w:rPr>
        <w:t xml:space="preserve">diagnostic imaging services </w:t>
      </w:r>
      <w:r w:rsidRPr="00D0414B">
        <w:rPr>
          <w:b w:val="0"/>
          <w:szCs w:val="24"/>
        </w:rPr>
        <w:t xml:space="preserve">and as if there were an item specified in the </w:t>
      </w:r>
      <w:r w:rsidR="00EA6CA0" w:rsidRPr="00D0414B">
        <w:rPr>
          <w:b w:val="0"/>
          <w:szCs w:val="24"/>
        </w:rPr>
        <w:t xml:space="preserve">diagnostic imaging </w:t>
      </w:r>
      <w:r w:rsidRPr="00D0414B">
        <w:rPr>
          <w:b w:val="0"/>
          <w:szCs w:val="24"/>
        </w:rPr>
        <w:t xml:space="preserve">services table for the service. </w:t>
      </w:r>
    </w:p>
    <w:p w14:paraId="79D9CF31" w14:textId="77777777" w:rsidR="00AE2A1A" w:rsidRPr="00D0414B" w:rsidRDefault="00AE2A1A" w:rsidP="000D3062">
      <w:pPr>
        <w:pStyle w:val="Header"/>
        <w:tabs>
          <w:tab w:val="num" w:pos="1080"/>
        </w:tabs>
        <w:rPr>
          <w:szCs w:val="24"/>
          <w:u w:val="single"/>
        </w:rPr>
      </w:pPr>
    </w:p>
    <w:p w14:paraId="313F22ED" w14:textId="7551EE2F" w:rsidR="00AE2A1A" w:rsidRPr="00D0414B" w:rsidRDefault="00AE2A1A" w:rsidP="000D3062">
      <w:pPr>
        <w:pStyle w:val="Header"/>
        <w:tabs>
          <w:tab w:val="num" w:pos="1080"/>
        </w:tabs>
        <w:rPr>
          <w:szCs w:val="24"/>
          <w:u w:val="single"/>
        </w:rPr>
      </w:pPr>
      <w:r w:rsidRPr="00D0414B">
        <w:rPr>
          <w:szCs w:val="24"/>
          <w:u w:val="single"/>
        </w:rPr>
        <w:t xml:space="preserve">Section </w:t>
      </w:r>
      <w:r w:rsidR="00230AF5" w:rsidRPr="00D0414B">
        <w:rPr>
          <w:szCs w:val="24"/>
          <w:u w:val="single"/>
        </w:rPr>
        <w:t>6</w:t>
      </w:r>
      <w:r w:rsidRPr="00D0414B">
        <w:rPr>
          <w:szCs w:val="24"/>
          <w:u w:val="single"/>
        </w:rPr>
        <w:t xml:space="preserve"> –</w:t>
      </w:r>
      <w:r w:rsidR="00174EA0" w:rsidRPr="00D0414B">
        <w:rPr>
          <w:szCs w:val="24"/>
          <w:u w:val="single"/>
        </w:rPr>
        <w:t xml:space="preserve"> Application of provisions from the diagnostic imaging services table</w:t>
      </w:r>
    </w:p>
    <w:p w14:paraId="592AF61B" w14:textId="3639EF34" w:rsidR="00AE2A1A" w:rsidRPr="00D0414B" w:rsidRDefault="00AE2A1A" w:rsidP="000D3062">
      <w:pPr>
        <w:pStyle w:val="Header"/>
        <w:tabs>
          <w:tab w:val="num" w:pos="1080"/>
        </w:tabs>
        <w:rPr>
          <w:szCs w:val="24"/>
          <w:u w:val="single"/>
        </w:rPr>
      </w:pPr>
    </w:p>
    <w:p w14:paraId="7138BD52" w14:textId="7B5DA772" w:rsidR="002A6079" w:rsidRPr="00D0414B" w:rsidRDefault="002A6079" w:rsidP="000D3062">
      <w:pPr>
        <w:pStyle w:val="Header"/>
        <w:tabs>
          <w:tab w:val="num" w:pos="1080"/>
        </w:tabs>
        <w:rPr>
          <w:szCs w:val="24"/>
        </w:rPr>
      </w:pPr>
      <w:r w:rsidRPr="00D0414B">
        <w:rPr>
          <w:szCs w:val="24"/>
        </w:rPr>
        <w:t xml:space="preserve">Section </w:t>
      </w:r>
      <w:r w:rsidR="00230AF5" w:rsidRPr="00D0414B">
        <w:rPr>
          <w:szCs w:val="24"/>
        </w:rPr>
        <w:t>6</w:t>
      </w:r>
      <w:r w:rsidRPr="00D0414B">
        <w:rPr>
          <w:szCs w:val="24"/>
        </w:rPr>
        <w:t xml:space="preserve"> specifies provisions of the diagnostic imaging services table that apply as if item 63399 was specified in the relevant provision in the diagnostic imaging services table</w:t>
      </w:r>
      <w:r w:rsidR="00286BA9" w:rsidRPr="00D0414B">
        <w:rPr>
          <w:szCs w:val="24"/>
        </w:rPr>
        <w:t>.</w:t>
      </w:r>
    </w:p>
    <w:p w14:paraId="28C3F192" w14:textId="77777777" w:rsidR="002A6079" w:rsidRPr="00D0414B" w:rsidRDefault="002A6079" w:rsidP="000D3062">
      <w:pPr>
        <w:pStyle w:val="Header"/>
        <w:tabs>
          <w:tab w:val="num" w:pos="1080"/>
        </w:tabs>
        <w:ind w:left="720"/>
        <w:rPr>
          <w:szCs w:val="24"/>
        </w:rPr>
      </w:pPr>
    </w:p>
    <w:p w14:paraId="7C0D959A" w14:textId="48F6A67E" w:rsidR="002A6079" w:rsidRPr="00D0414B" w:rsidRDefault="002A6079" w:rsidP="000D3062">
      <w:pPr>
        <w:pStyle w:val="Header"/>
        <w:tabs>
          <w:tab w:val="num" w:pos="1080"/>
        </w:tabs>
        <w:rPr>
          <w:szCs w:val="24"/>
        </w:rPr>
      </w:pPr>
      <w:r w:rsidRPr="00D0414B">
        <w:rPr>
          <w:szCs w:val="24"/>
        </w:rPr>
        <w:t xml:space="preserve">Subsection </w:t>
      </w:r>
      <w:r w:rsidR="00230AF5" w:rsidRPr="00D0414B">
        <w:rPr>
          <w:szCs w:val="24"/>
        </w:rPr>
        <w:t>6</w:t>
      </w:r>
      <w:r w:rsidRPr="00D0414B">
        <w:rPr>
          <w:szCs w:val="24"/>
        </w:rPr>
        <w:t>(1) of the Determination provides that item 63399 will be treated as if it was specified in subclause</w:t>
      </w:r>
      <w:r w:rsidR="00415A48" w:rsidRPr="00D0414B">
        <w:rPr>
          <w:szCs w:val="24"/>
        </w:rPr>
        <w:t>s</w:t>
      </w:r>
      <w:r w:rsidRPr="00D0414B">
        <w:rPr>
          <w:szCs w:val="24"/>
        </w:rPr>
        <w:t xml:space="preserve"> 2.5.3</w:t>
      </w:r>
      <w:r w:rsidR="00415A48" w:rsidRPr="00D0414B">
        <w:rPr>
          <w:szCs w:val="24"/>
        </w:rPr>
        <w:t xml:space="preserve"> (permissible circumstances), 2.5.4 (eligible provider), </w:t>
      </w:r>
      <w:r w:rsidRPr="00D0414B">
        <w:rPr>
          <w:szCs w:val="24"/>
        </w:rPr>
        <w:t>2.5.5</w:t>
      </w:r>
      <w:r w:rsidR="00415A48" w:rsidRPr="00D0414B">
        <w:rPr>
          <w:szCs w:val="24"/>
        </w:rPr>
        <w:t xml:space="preserve"> (eligible equipment) and 2.5.6 (partial eligible equipment)</w:t>
      </w:r>
      <w:r w:rsidRPr="00D0414B">
        <w:rPr>
          <w:szCs w:val="24"/>
        </w:rPr>
        <w:t xml:space="preserve"> of the diagnostic imaging services table. </w:t>
      </w:r>
    </w:p>
    <w:p w14:paraId="395E1800" w14:textId="69CB84E0" w:rsidR="00A11F6C" w:rsidRPr="00D0414B" w:rsidRDefault="00A11F6C" w:rsidP="000D3062">
      <w:pPr>
        <w:pStyle w:val="Header"/>
        <w:tabs>
          <w:tab w:val="num" w:pos="1080"/>
        </w:tabs>
        <w:rPr>
          <w:szCs w:val="24"/>
        </w:rPr>
      </w:pPr>
    </w:p>
    <w:p w14:paraId="3FB56D27" w14:textId="059156A7" w:rsidR="00A11F6C" w:rsidRPr="00D0414B" w:rsidRDefault="00A11F6C" w:rsidP="000D3062">
      <w:pPr>
        <w:pStyle w:val="Header"/>
        <w:tabs>
          <w:tab w:val="num" w:pos="1080"/>
        </w:tabs>
        <w:rPr>
          <w:szCs w:val="24"/>
        </w:rPr>
      </w:pPr>
      <w:bookmarkStart w:id="0" w:name="_Hlk90042577"/>
      <w:r w:rsidRPr="00D0414B">
        <w:rPr>
          <w:szCs w:val="24"/>
        </w:rPr>
        <w:t xml:space="preserve">Subsection 6(2) of the Determination provides that clause 2.5.4 of the diagnostic imaging services table, which describes </w:t>
      </w:r>
      <w:r w:rsidRPr="00D0414B">
        <w:rPr>
          <w:b/>
          <w:bCs/>
          <w:i/>
          <w:iCs/>
          <w:szCs w:val="24"/>
        </w:rPr>
        <w:t>eligible provider</w:t>
      </w:r>
      <w:r w:rsidRPr="00D0414B">
        <w:rPr>
          <w:szCs w:val="24"/>
        </w:rPr>
        <w:t xml:space="preserve"> for the purposes of MRI services, will apply to item 63399 as if the item was specified in column 1 for item 1 and item 2 of table 2.5.4. Accordingly, an eligible provider for the purposes of item 63399 includes:</w:t>
      </w:r>
    </w:p>
    <w:p w14:paraId="37326D0D" w14:textId="056F49C3" w:rsidR="00A11F6C" w:rsidRPr="00D0414B" w:rsidRDefault="00A11F6C" w:rsidP="000D3062">
      <w:pPr>
        <w:pStyle w:val="Header"/>
        <w:numPr>
          <w:ilvl w:val="0"/>
          <w:numId w:val="35"/>
        </w:numPr>
        <w:rPr>
          <w:szCs w:val="24"/>
        </w:rPr>
      </w:pPr>
      <w:r w:rsidRPr="00D0414B">
        <w:rPr>
          <w:szCs w:val="24"/>
        </w:rPr>
        <w:t>a person who is a specialist in diagnostic radiology and satisfies the Chief Executive Medicare that the specialist is a participant in the Royal Australian and New Zealand College of Radiologists’ Quality and Accreditation Program; and</w:t>
      </w:r>
    </w:p>
    <w:p w14:paraId="27FD3A9D" w14:textId="1764794E" w:rsidR="00A11F6C" w:rsidRPr="00D0414B" w:rsidRDefault="00A11F6C" w:rsidP="000D3062">
      <w:pPr>
        <w:pStyle w:val="Header"/>
        <w:numPr>
          <w:ilvl w:val="0"/>
          <w:numId w:val="35"/>
        </w:numPr>
        <w:rPr>
          <w:szCs w:val="24"/>
        </w:rPr>
      </w:pPr>
      <w:r w:rsidRPr="00D0414B">
        <w:rPr>
          <w:szCs w:val="24"/>
        </w:rPr>
        <w:t>a person who is a specialist in diagnostic radiology or a consultant physician and is recognised by the Conjoint Committee for Certification in Cardiac MRI.</w:t>
      </w:r>
      <w:bookmarkEnd w:id="0"/>
    </w:p>
    <w:p w14:paraId="48E86A3B" w14:textId="541BDC90" w:rsidR="00AE2A1A" w:rsidRPr="00D0414B" w:rsidRDefault="00AE2A1A" w:rsidP="000D3062">
      <w:pPr>
        <w:pStyle w:val="Header"/>
        <w:tabs>
          <w:tab w:val="num" w:pos="1080"/>
        </w:tabs>
        <w:rPr>
          <w:szCs w:val="24"/>
          <w:u w:val="single"/>
        </w:rPr>
      </w:pPr>
    </w:p>
    <w:p w14:paraId="4D2CC370" w14:textId="6F2EB3F3" w:rsidR="001366AA" w:rsidRPr="00D0414B" w:rsidRDefault="001366AA" w:rsidP="000D3062">
      <w:pPr>
        <w:pStyle w:val="Header"/>
        <w:tabs>
          <w:tab w:val="num" w:pos="1080"/>
        </w:tabs>
        <w:rPr>
          <w:szCs w:val="24"/>
          <w:u w:val="single"/>
        </w:rPr>
      </w:pPr>
      <w:r w:rsidRPr="00D0414B">
        <w:rPr>
          <w:szCs w:val="24"/>
          <w:u w:val="single"/>
        </w:rPr>
        <w:t xml:space="preserve">Section </w:t>
      </w:r>
      <w:r w:rsidR="00230AF5" w:rsidRPr="00D0414B">
        <w:rPr>
          <w:szCs w:val="24"/>
          <w:u w:val="single"/>
        </w:rPr>
        <w:t>7</w:t>
      </w:r>
      <w:r w:rsidRPr="00D0414B">
        <w:rPr>
          <w:szCs w:val="24"/>
          <w:u w:val="single"/>
        </w:rPr>
        <w:t xml:space="preserve"> – Application of contrast</w:t>
      </w:r>
    </w:p>
    <w:p w14:paraId="49527F5F" w14:textId="77777777" w:rsidR="001366AA" w:rsidRPr="00D0414B" w:rsidRDefault="001366AA" w:rsidP="000D3062">
      <w:pPr>
        <w:pStyle w:val="Header"/>
        <w:tabs>
          <w:tab w:val="num" w:pos="1080"/>
        </w:tabs>
        <w:rPr>
          <w:szCs w:val="24"/>
          <w:u w:val="single"/>
        </w:rPr>
      </w:pPr>
    </w:p>
    <w:p w14:paraId="4BE96457" w14:textId="6DBA565A" w:rsidR="001366AA" w:rsidRPr="00D0414B" w:rsidRDefault="001366AA" w:rsidP="000D3062">
      <w:pPr>
        <w:pStyle w:val="Header"/>
        <w:tabs>
          <w:tab w:val="num" w:pos="1080"/>
        </w:tabs>
        <w:rPr>
          <w:szCs w:val="24"/>
          <w:u w:val="single"/>
        </w:rPr>
      </w:pPr>
      <w:r w:rsidRPr="00D0414B">
        <w:rPr>
          <w:szCs w:val="24"/>
        </w:rPr>
        <w:t xml:space="preserve">Section </w:t>
      </w:r>
      <w:r w:rsidR="00230AF5" w:rsidRPr="00D0414B">
        <w:rPr>
          <w:szCs w:val="24"/>
        </w:rPr>
        <w:t>7</w:t>
      </w:r>
      <w:r w:rsidRPr="00D0414B">
        <w:rPr>
          <w:szCs w:val="24"/>
        </w:rPr>
        <w:t xml:space="preserve"> specifies </w:t>
      </w:r>
      <w:r w:rsidR="00FD00B6" w:rsidRPr="00D0414B">
        <w:rPr>
          <w:color w:val="000000"/>
          <w:szCs w:val="24"/>
        </w:rPr>
        <w:t>the schedule fee in item 63491 will apply in addition to the schedule fee for item 63399</w:t>
      </w:r>
      <w:r w:rsidR="00415A48" w:rsidRPr="00D0414B">
        <w:rPr>
          <w:color w:val="000000"/>
          <w:szCs w:val="24"/>
        </w:rPr>
        <w:t xml:space="preserve">, where </w:t>
      </w:r>
      <w:r w:rsidR="00415A48" w:rsidRPr="00D0414B">
        <w:rPr>
          <w:szCs w:val="24"/>
        </w:rPr>
        <w:t xml:space="preserve">a service to which </w:t>
      </w:r>
      <w:r w:rsidR="00415A48" w:rsidRPr="00D0414B">
        <w:rPr>
          <w:color w:val="000000"/>
          <w:szCs w:val="24"/>
        </w:rPr>
        <w:t>item 63399 applies is performed using contrast</w:t>
      </w:r>
      <w:r w:rsidR="00FD00B6" w:rsidRPr="00D0414B">
        <w:rPr>
          <w:color w:val="000000"/>
          <w:szCs w:val="24"/>
        </w:rPr>
        <w:t>.</w:t>
      </w:r>
    </w:p>
    <w:p w14:paraId="531C61A0" w14:textId="77777777" w:rsidR="001366AA" w:rsidRPr="00D0414B" w:rsidRDefault="001366AA" w:rsidP="000D3062">
      <w:pPr>
        <w:pStyle w:val="Header"/>
        <w:tabs>
          <w:tab w:val="num" w:pos="1080"/>
        </w:tabs>
        <w:rPr>
          <w:szCs w:val="24"/>
          <w:u w:val="single"/>
        </w:rPr>
      </w:pPr>
    </w:p>
    <w:p w14:paraId="768D340E" w14:textId="2E8C28BE" w:rsidR="00C63FDC" w:rsidRPr="00D0414B" w:rsidRDefault="00014737" w:rsidP="000D3062">
      <w:pPr>
        <w:pStyle w:val="Header"/>
        <w:tabs>
          <w:tab w:val="num" w:pos="1080"/>
        </w:tabs>
        <w:rPr>
          <w:szCs w:val="24"/>
          <w:u w:val="single"/>
        </w:rPr>
      </w:pPr>
      <w:r w:rsidRPr="00D0414B">
        <w:rPr>
          <w:szCs w:val="24"/>
          <w:u w:val="single"/>
        </w:rPr>
        <w:t>Schedule – Relevant</w:t>
      </w:r>
      <w:r w:rsidR="00517CF3" w:rsidRPr="00D0414B">
        <w:rPr>
          <w:szCs w:val="24"/>
          <w:u w:val="single"/>
        </w:rPr>
        <w:t xml:space="preserve"> services</w:t>
      </w:r>
    </w:p>
    <w:p w14:paraId="2212E577" w14:textId="77777777" w:rsidR="00C63FDC" w:rsidRPr="00D0414B" w:rsidRDefault="00C63FDC" w:rsidP="000D3062">
      <w:pPr>
        <w:pStyle w:val="Header"/>
        <w:tabs>
          <w:tab w:val="num" w:pos="1080"/>
        </w:tabs>
        <w:rPr>
          <w:szCs w:val="24"/>
          <w:u w:val="single"/>
        </w:rPr>
      </w:pPr>
    </w:p>
    <w:p w14:paraId="371F01D6" w14:textId="74EBB647" w:rsidR="007708B3" w:rsidRPr="00D0414B" w:rsidRDefault="00517CF3" w:rsidP="000D3062">
      <w:pPr>
        <w:pStyle w:val="Header"/>
        <w:tabs>
          <w:tab w:val="num" w:pos="1080"/>
        </w:tabs>
        <w:rPr>
          <w:b/>
          <w:szCs w:val="24"/>
        </w:rPr>
      </w:pPr>
      <w:r w:rsidRPr="00D0414B">
        <w:rPr>
          <w:szCs w:val="24"/>
        </w:rPr>
        <w:t xml:space="preserve">The Schedule specifies the service and the associated fee for item </w:t>
      </w:r>
      <w:r w:rsidR="00F00DE3" w:rsidRPr="00D0414B">
        <w:rPr>
          <w:szCs w:val="24"/>
        </w:rPr>
        <w:t>63399</w:t>
      </w:r>
      <w:r w:rsidRPr="00D0414B">
        <w:rPr>
          <w:szCs w:val="24"/>
        </w:rPr>
        <w:t>.</w:t>
      </w:r>
    </w:p>
    <w:p w14:paraId="21DF9DDC" w14:textId="1767E1F1" w:rsidR="00331752" w:rsidRPr="00D0414B" w:rsidRDefault="00331752" w:rsidP="000D3062">
      <w:pPr>
        <w:spacing w:after="200" w:line="276" w:lineRule="auto"/>
        <w:rPr>
          <w:szCs w:val="24"/>
          <w:u w:val="single"/>
        </w:rPr>
      </w:pPr>
      <w:r w:rsidRPr="00D0414B">
        <w:rPr>
          <w:szCs w:val="24"/>
          <w:u w:val="single"/>
        </w:rPr>
        <w:br w:type="page"/>
      </w:r>
    </w:p>
    <w:p w14:paraId="2412D14E" w14:textId="632B4BE9" w:rsidR="00A17F2C" w:rsidRPr="00D0414B" w:rsidRDefault="00A17F2C" w:rsidP="000D3062">
      <w:pPr>
        <w:pStyle w:val="Header"/>
        <w:tabs>
          <w:tab w:val="num" w:pos="1080"/>
        </w:tabs>
        <w:jc w:val="center"/>
        <w:rPr>
          <w:b/>
          <w:szCs w:val="24"/>
        </w:rPr>
      </w:pPr>
      <w:r w:rsidRPr="00D0414B">
        <w:rPr>
          <w:b/>
          <w:szCs w:val="24"/>
        </w:rPr>
        <w:lastRenderedPageBreak/>
        <w:t>Statement of Compatibility with Human Rights</w:t>
      </w:r>
    </w:p>
    <w:p w14:paraId="2412D14F" w14:textId="77777777" w:rsidR="00A17F2C" w:rsidRPr="00D0414B" w:rsidRDefault="00A17F2C" w:rsidP="000D3062">
      <w:pPr>
        <w:spacing w:before="120" w:after="120"/>
        <w:jc w:val="center"/>
        <w:rPr>
          <w:szCs w:val="24"/>
        </w:rPr>
      </w:pPr>
      <w:r w:rsidRPr="00D0414B">
        <w:rPr>
          <w:i/>
          <w:szCs w:val="24"/>
        </w:rPr>
        <w:t>Prepared in accordance with Part 3 of the Human Rights (Parliamentary Scrutiny) Act 2011</w:t>
      </w:r>
    </w:p>
    <w:p w14:paraId="751DE726" w14:textId="77777777" w:rsidR="002A6C77" w:rsidRPr="00D0414B" w:rsidRDefault="002A6C77" w:rsidP="000D3062">
      <w:pPr>
        <w:tabs>
          <w:tab w:val="left" w:pos="1418"/>
        </w:tabs>
        <w:ind w:left="851"/>
        <w:jc w:val="center"/>
        <w:rPr>
          <w:b/>
          <w:i/>
          <w:iCs/>
          <w:szCs w:val="24"/>
        </w:rPr>
      </w:pPr>
    </w:p>
    <w:p w14:paraId="3A52A4B2" w14:textId="185A53ED" w:rsidR="00C6094D" w:rsidRPr="00D0414B" w:rsidRDefault="00F00DE3" w:rsidP="000D3062">
      <w:pPr>
        <w:tabs>
          <w:tab w:val="left" w:pos="1418"/>
        </w:tabs>
        <w:jc w:val="center"/>
        <w:rPr>
          <w:i/>
          <w:iCs/>
          <w:color w:val="FF0000"/>
          <w:szCs w:val="24"/>
        </w:rPr>
      </w:pPr>
      <w:r w:rsidRPr="00D0414B">
        <w:rPr>
          <w:i/>
          <w:iCs/>
          <w:szCs w:val="24"/>
        </w:rPr>
        <w:t xml:space="preserve">Health Insurance (Section 3C Diagnostic Imaging – Cardiac MRI </w:t>
      </w:r>
      <w:r w:rsidR="00917CD6" w:rsidRPr="00D0414B">
        <w:rPr>
          <w:i/>
          <w:iCs/>
          <w:szCs w:val="24"/>
        </w:rPr>
        <w:t>for Myocarditis</w:t>
      </w:r>
      <w:r w:rsidRPr="00D0414B">
        <w:rPr>
          <w:i/>
          <w:iCs/>
          <w:szCs w:val="24"/>
        </w:rPr>
        <w:t>) Determination 2021</w:t>
      </w:r>
    </w:p>
    <w:p w14:paraId="1BF56C38" w14:textId="77777777" w:rsidR="007708B3" w:rsidRPr="00D0414B" w:rsidRDefault="007708B3" w:rsidP="000D3062">
      <w:pPr>
        <w:tabs>
          <w:tab w:val="left" w:pos="1418"/>
        </w:tabs>
        <w:ind w:left="851"/>
        <w:jc w:val="center"/>
        <w:rPr>
          <w:b/>
          <w:i/>
          <w:szCs w:val="24"/>
        </w:rPr>
      </w:pPr>
    </w:p>
    <w:p w14:paraId="2412D153" w14:textId="7AFD921D" w:rsidR="00A17F2C" w:rsidRPr="00D0414B" w:rsidRDefault="00A17F2C" w:rsidP="000D3062">
      <w:pPr>
        <w:jc w:val="center"/>
        <w:rPr>
          <w:szCs w:val="24"/>
        </w:rPr>
      </w:pPr>
      <w:r w:rsidRPr="00D0414B">
        <w:rPr>
          <w:szCs w:val="24"/>
        </w:rPr>
        <w:t xml:space="preserve">This </w:t>
      </w:r>
      <w:r w:rsidR="0046022A" w:rsidRPr="00D0414B">
        <w:rPr>
          <w:szCs w:val="24"/>
        </w:rPr>
        <w:t>instrument</w:t>
      </w:r>
      <w:r w:rsidRPr="00D0414B">
        <w:rPr>
          <w:szCs w:val="24"/>
        </w:rPr>
        <w:t xml:space="preserve"> is compatible with the human rights and freedoms recognised or declared in the international instruments listed in section 3 of the </w:t>
      </w:r>
      <w:r w:rsidRPr="00D0414B">
        <w:rPr>
          <w:i/>
          <w:szCs w:val="24"/>
        </w:rPr>
        <w:t>Human Rights (Parliamentary Scrutiny) Act 2011</w:t>
      </w:r>
      <w:r w:rsidRPr="00D0414B">
        <w:rPr>
          <w:szCs w:val="24"/>
        </w:rPr>
        <w:t>.</w:t>
      </w:r>
    </w:p>
    <w:p w14:paraId="7EDA9098" w14:textId="306A78E1" w:rsidR="006E6BBF" w:rsidRPr="00D0414B" w:rsidRDefault="006E6BBF" w:rsidP="000D3062">
      <w:pPr>
        <w:spacing w:before="120" w:after="120"/>
        <w:rPr>
          <w:b/>
          <w:szCs w:val="24"/>
        </w:rPr>
      </w:pPr>
      <w:r w:rsidRPr="00D0414B">
        <w:rPr>
          <w:b/>
          <w:szCs w:val="24"/>
        </w:rPr>
        <w:t xml:space="preserve">Overview of the </w:t>
      </w:r>
      <w:r w:rsidR="00B86A9F" w:rsidRPr="00D0414B">
        <w:rPr>
          <w:b/>
          <w:szCs w:val="24"/>
        </w:rPr>
        <w:t>Determination</w:t>
      </w:r>
    </w:p>
    <w:p w14:paraId="73660775" w14:textId="17493609" w:rsidR="007A57CA" w:rsidRPr="00D0414B" w:rsidRDefault="007A57CA" w:rsidP="000D3062">
      <w:pPr>
        <w:spacing w:before="120" w:after="120"/>
        <w:rPr>
          <w:szCs w:val="24"/>
        </w:rPr>
      </w:pPr>
      <w:r w:rsidRPr="00D0414B">
        <w:rPr>
          <w:szCs w:val="24"/>
        </w:rPr>
        <w:t xml:space="preserve">The purpose of the </w:t>
      </w:r>
      <w:r w:rsidRPr="00D0414B">
        <w:rPr>
          <w:i/>
          <w:iCs/>
          <w:szCs w:val="24"/>
        </w:rPr>
        <w:t>Health Insurance (Section 3C Diagnostic Imaging – Cardiac MRI for Myocarditis) Determination 2021</w:t>
      </w:r>
      <w:r w:rsidRPr="00D0414B">
        <w:rPr>
          <w:szCs w:val="24"/>
        </w:rPr>
        <w:t xml:space="preserve"> (the Determination) is to list a new temporary item for cardiac magnetic resonance imaging (MRI) to diagnose myocarditis associated with mRNA COVID-19 vaccination. The item is for use in circumstances where myocarditis cannot be definitively diagnosed using conventional imaging and other diagnostic tests. This Determination commences on 1 January 2022.</w:t>
      </w:r>
    </w:p>
    <w:p w14:paraId="24BE7831" w14:textId="6EAAC4E5" w:rsidR="007A57CA" w:rsidRPr="00D0414B" w:rsidRDefault="007A57CA" w:rsidP="000D3062">
      <w:pPr>
        <w:spacing w:before="120" w:after="120"/>
        <w:rPr>
          <w:szCs w:val="24"/>
        </w:rPr>
      </w:pPr>
      <w:r w:rsidRPr="00D0414B">
        <w:rPr>
          <w:szCs w:val="24"/>
        </w:rPr>
        <w:t>Myocarditis refers to inflammation of the heart muscle. It is a rare side effect that can occur after vaccination with the mRNA COVID</w:t>
      </w:r>
      <w:r w:rsidRPr="00D0414B">
        <w:rPr>
          <w:szCs w:val="24"/>
        </w:rPr>
        <w:noBreakHyphen/>
        <w:t xml:space="preserve">19 vaccines </w:t>
      </w:r>
      <w:proofErr w:type="spellStart"/>
      <w:r w:rsidRPr="00D0414B">
        <w:rPr>
          <w:szCs w:val="24"/>
        </w:rPr>
        <w:t>Comirnaty</w:t>
      </w:r>
      <w:proofErr w:type="spellEnd"/>
      <w:r w:rsidRPr="00D0414B">
        <w:rPr>
          <w:szCs w:val="24"/>
        </w:rPr>
        <w:t xml:space="preserve"> (Pfizer) and </w:t>
      </w:r>
      <w:proofErr w:type="spellStart"/>
      <w:r w:rsidRPr="00D0414B">
        <w:rPr>
          <w:szCs w:val="24"/>
        </w:rPr>
        <w:t>Spikevax</w:t>
      </w:r>
      <w:proofErr w:type="spellEnd"/>
      <w:r w:rsidRPr="00D0414B">
        <w:rPr>
          <w:szCs w:val="24"/>
        </w:rPr>
        <w:t xml:space="preserve"> (</w:t>
      </w:r>
      <w:proofErr w:type="spellStart"/>
      <w:r w:rsidRPr="00D0414B">
        <w:rPr>
          <w:szCs w:val="24"/>
        </w:rPr>
        <w:t>Moderna</w:t>
      </w:r>
      <w:proofErr w:type="spellEnd"/>
      <w:r w:rsidRPr="00D0414B">
        <w:rPr>
          <w:szCs w:val="24"/>
        </w:rPr>
        <w:t>). An increased risk of myocarditis has been observed in people who have received these vaccines compared to unvaccinated people. Severe instances of myocarditis may lead to heart failure or even death. It is most commonly reported in males under the age of 30 years, with a higher incidence after the second vaccine dose. In Australia, myocarditis is reported in approximately 1 out of every 100,000 people, across all age groups, after receiving a mRNA COVID</w:t>
      </w:r>
      <w:r w:rsidRPr="00D0414B">
        <w:rPr>
          <w:szCs w:val="24"/>
        </w:rPr>
        <w:noBreakHyphen/>
        <w:t>19 vaccine. The incidence is much higher in individuals under the age of 19 years.</w:t>
      </w:r>
    </w:p>
    <w:p w14:paraId="6B50CA86" w14:textId="285065ED" w:rsidR="007A57CA" w:rsidRPr="00D0414B" w:rsidRDefault="007A57CA" w:rsidP="000D3062">
      <w:pPr>
        <w:spacing w:before="120" w:after="120"/>
        <w:rPr>
          <w:szCs w:val="24"/>
        </w:rPr>
      </w:pPr>
      <w:r w:rsidRPr="00D0414B">
        <w:rPr>
          <w:szCs w:val="24"/>
        </w:rPr>
        <w:t>In October 2021, the Medical Services Advisory Committee (MSAC) Executive recommended introducing a new temporary item to support the diagnosis of myocarditis associated with mRNA COVID-19 vaccination using cardiac MRI. The MSAC Executive supported the item being available temporarily to allow for a full health technology assessment on the use of cardiac MRI in diagnosing myocarditis more broadly to be considered.</w:t>
      </w:r>
    </w:p>
    <w:p w14:paraId="7B3CC876" w14:textId="2F62FBC2" w:rsidR="00FD00B6" w:rsidRPr="00D0414B" w:rsidRDefault="007A57CA" w:rsidP="000D3062">
      <w:pPr>
        <w:spacing w:before="120" w:after="120"/>
        <w:ind w:right="-482"/>
        <w:rPr>
          <w:szCs w:val="24"/>
        </w:rPr>
      </w:pPr>
      <w:r w:rsidRPr="00D0414B">
        <w:rPr>
          <w:szCs w:val="24"/>
        </w:rPr>
        <w:t>Accurate diagnosis of myocarditis associated with mRNA COVID-19 vaccines will impact the ongoing management of Australia’s COVID</w:t>
      </w:r>
      <w:r w:rsidRPr="00D0414B">
        <w:rPr>
          <w:szCs w:val="24"/>
        </w:rPr>
        <w:noBreakHyphen/>
        <w:t>19 vaccination program. This new item will provide patients with access to this service without high out-of-pocket costs if it is being accessed outside of the public hospital system.</w:t>
      </w:r>
    </w:p>
    <w:p w14:paraId="2412D15C" w14:textId="50D38E8B" w:rsidR="00A17F2C" w:rsidRPr="00D0414B" w:rsidRDefault="00A17F2C" w:rsidP="000D3062">
      <w:pPr>
        <w:spacing w:before="120" w:after="120"/>
        <w:ind w:right="-482"/>
        <w:rPr>
          <w:b/>
          <w:szCs w:val="24"/>
        </w:rPr>
      </w:pPr>
      <w:r w:rsidRPr="00D0414B">
        <w:rPr>
          <w:b/>
          <w:szCs w:val="24"/>
        </w:rPr>
        <w:t>Human rights implications</w:t>
      </w:r>
    </w:p>
    <w:p w14:paraId="60210758" w14:textId="3B48934D" w:rsidR="001346C3" w:rsidRPr="00D0414B" w:rsidRDefault="00806020" w:rsidP="000D3062">
      <w:pPr>
        <w:spacing w:before="120" w:after="120"/>
        <w:rPr>
          <w:szCs w:val="24"/>
        </w:rPr>
      </w:pPr>
      <w:r w:rsidRPr="00D0414B">
        <w:rPr>
          <w:szCs w:val="24"/>
        </w:rPr>
        <w:t>This instrument engages Articles 9 and 12 of the International Covenant on Economic</w:t>
      </w:r>
      <w:r w:rsidR="00EE27F0" w:rsidRPr="00D0414B">
        <w:rPr>
          <w:szCs w:val="24"/>
        </w:rPr>
        <w:t>,</w:t>
      </w:r>
      <w:r w:rsidRPr="00D0414B">
        <w:rPr>
          <w:szCs w:val="24"/>
        </w:rPr>
        <w:t xml:space="preserve"> Social and Cultural Rights (ICESCR), specifically the rights to health and social security. </w:t>
      </w:r>
    </w:p>
    <w:p w14:paraId="2412D15E" w14:textId="1567A7A0" w:rsidR="00A17F2C" w:rsidRPr="00D0414B" w:rsidRDefault="00A17F2C" w:rsidP="000D3062">
      <w:pPr>
        <w:spacing w:before="120" w:after="120"/>
        <w:rPr>
          <w:i/>
          <w:szCs w:val="24"/>
        </w:rPr>
      </w:pPr>
      <w:r w:rsidRPr="00D0414B">
        <w:rPr>
          <w:i/>
          <w:szCs w:val="24"/>
        </w:rPr>
        <w:t>The Right to Health</w:t>
      </w:r>
    </w:p>
    <w:p w14:paraId="2412D15F" w14:textId="0D0DCDB7" w:rsidR="00A17F2C" w:rsidRPr="00D0414B" w:rsidRDefault="00A17F2C" w:rsidP="000D3062">
      <w:pPr>
        <w:spacing w:before="120" w:after="120"/>
        <w:rPr>
          <w:szCs w:val="24"/>
        </w:rPr>
      </w:pPr>
      <w:r w:rsidRPr="00D0414B">
        <w:rPr>
          <w:szCs w:val="24"/>
        </w:rPr>
        <w:t>The right to the enjoyment of the highest attainable standard of physical and mental health is contained in Article 12(1) of the ICESCR. The UN Committee on Economic</w:t>
      </w:r>
      <w:r w:rsidR="00EE27F0" w:rsidRPr="00D0414B">
        <w:rPr>
          <w:szCs w:val="24"/>
        </w:rPr>
        <w:t>,</w:t>
      </w:r>
      <w:r w:rsidRPr="00D0414B">
        <w:rPr>
          <w:szCs w:val="24"/>
        </w:rPr>
        <w:t xml:space="preserve"> Social and Cultural Rights (the Committee) has stated that the right to health is not </w:t>
      </w:r>
      <w:r w:rsidR="00EE27F0" w:rsidRPr="00D0414B">
        <w:rPr>
          <w:szCs w:val="24"/>
        </w:rPr>
        <w:t xml:space="preserve">to be understood as </w:t>
      </w:r>
      <w:r w:rsidRPr="00D0414B">
        <w:rPr>
          <w:szCs w:val="24"/>
        </w:rPr>
        <w:t xml:space="preserve">a right for each individual to be healthy, but is a right to a system of health protection which provides equality of opportunity for people to enjoy the highest attainable level of health. </w:t>
      </w:r>
    </w:p>
    <w:p w14:paraId="1653C007" w14:textId="0360FFF9" w:rsidR="002A6079" w:rsidRPr="00D0414B" w:rsidRDefault="00A17F2C" w:rsidP="000D3062">
      <w:pPr>
        <w:spacing w:before="120" w:after="120"/>
        <w:rPr>
          <w:szCs w:val="24"/>
        </w:rPr>
      </w:pPr>
      <w:r w:rsidRPr="00D0414B">
        <w:rPr>
          <w:szCs w:val="24"/>
        </w:rPr>
        <w:t xml:space="preserve">The Committee reports that the </w:t>
      </w:r>
      <w:r w:rsidRPr="00D0414B">
        <w:rPr>
          <w:i/>
          <w:szCs w:val="24"/>
        </w:rPr>
        <w:t>‘highest attainable standard of health’</w:t>
      </w:r>
      <w:r w:rsidRPr="00D0414B">
        <w:rPr>
          <w:szCs w:val="24"/>
        </w:rPr>
        <w:t xml:space="preserve"> takes into account the country’s available resources. This right may be understood as a right of access to a variety of </w:t>
      </w:r>
      <w:r w:rsidRPr="00D0414B">
        <w:rPr>
          <w:szCs w:val="24"/>
        </w:rPr>
        <w:lastRenderedPageBreak/>
        <w:t xml:space="preserve">public health and health care facilities, goods, services, programs, and conditions necessary for the realisation of the highest attainable standard of health. </w:t>
      </w:r>
    </w:p>
    <w:p w14:paraId="2412D161" w14:textId="0585490B" w:rsidR="00A17F2C" w:rsidRPr="00D0414B" w:rsidRDefault="00A17F2C" w:rsidP="000D3062">
      <w:pPr>
        <w:spacing w:before="120" w:after="120"/>
        <w:rPr>
          <w:i/>
          <w:szCs w:val="24"/>
        </w:rPr>
      </w:pPr>
      <w:r w:rsidRPr="00D0414B">
        <w:rPr>
          <w:i/>
          <w:szCs w:val="24"/>
        </w:rPr>
        <w:t xml:space="preserve">The Right to Social Security </w:t>
      </w:r>
    </w:p>
    <w:p w14:paraId="2412D162" w14:textId="77777777" w:rsidR="00A17F2C" w:rsidRPr="00D0414B" w:rsidRDefault="00A17F2C" w:rsidP="000D3062">
      <w:pPr>
        <w:spacing w:before="120" w:after="120"/>
        <w:rPr>
          <w:szCs w:val="24"/>
        </w:rPr>
      </w:pPr>
      <w:r w:rsidRPr="00D0414B">
        <w:rPr>
          <w:szCs w:val="24"/>
        </w:rPr>
        <w:t>The right to social security is contained in Article 9 of the ICESCR. It requires that a country must, within its maximum available resources, ensure access to a social security scheme that</w:t>
      </w:r>
      <w:r w:rsidR="00BA69CB" w:rsidRPr="00D0414B">
        <w:rPr>
          <w:szCs w:val="24"/>
        </w:rPr>
        <w:t xml:space="preserve"> </w:t>
      </w:r>
      <w:r w:rsidRPr="00D0414B">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ADA4B28" w:rsidR="00735CCC" w:rsidRPr="00D0414B" w:rsidRDefault="00A17F2C" w:rsidP="000D3062">
      <w:pPr>
        <w:rPr>
          <w:szCs w:val="24"/>
        </w:rPr>
      </w:pPr>
      <w:r w:rsidRPr="00D0414B">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3E5F630" w14:textId="77777777" w:rsidR="00230AF5" w:rsidRPr="00D0414B" w:rsidRDefault="00230AF5" w:rsidP="000D3062">
      <w:pPr>
        <w:spacing w:before="120" w:after="120"/>
        <w:rPr>
          <w:szCs w:val="24"/>
        </w:rPr>
      </w:pPr>
      <w:r w:rsidRPr="00D0414B">
        <w:rPr>
          <w:i/>
          <w:iCs/>
          <w:szCs w:val="24"/>
        </w:rPr>
        <w:t>The right of equality and non-discrimination</w:t>
      </w:r>
    </w:p>
    <w:p w14:paraId="309F21F1" w14:textId="720D6656" w:rsidR="00230AF5" w:rsidRPr="00D0414B" w:rsidRDefault="00230AF5" w:rsidP="000D3062">
      <w:pPr>
        <w:rPr>
          <w:szCs w:val="24"/>
        </w:rPr>
      </w:pPr>
      <w:r w:rsidRPr="00D0414B">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D0414B" w:rsidRDefault="00A17F2C" w:rsidP="000D3062">
      <w:pPr>
        <w:spacing w:before="120" w:after="120"/>
        <w:rPr>
          <w:szCs w:val="24"/>
          <w:u w:val="single"/>
        </w:rPr>
      </w:pPr>
      <w:r w:rsidRPr="00D0414B">
        <w:rPr>
          <w:szCs w:val="24"/>
          <w:u w:val="single"/>
        </w:rPr>
        <w:t xml:space="preserve">Analysis </w:t>
      </w:r>
    </w:p>
    <w:p w14:paraId="45F68867" w14:textId="056E4302" w:rsidR="007708B3" w:rsidRPr="00D0414B" w:rsidRDefault="00FD00B6" w:rsidP="000D3062">
      <w:pPr>
        <w:rPr>
          <w:szCs w:val="24"/>
        </w:rPr>
      </w:pPr>
      <w:r w:rsidRPr="00D0414B">
        <w:rPr>
          <w:szCs w:val="24"/>
        </w:rPr>
        <w:t>This instrument advances the right to health</w:t>
      </w:r>
      <w:r w:rsidR="009051DF" w:rsidRPr="00D0414B">
        <w:rPr>
          <w:szCs w:val="24"/>
        </w:rPr>
        <w:t>, the right to</w:t>
      </w:r>
      <w:r w:rsidRPr="00D0414B">
        <w:rPr>
          <w:szCs w:val="24"/>
        </w:rPr>
        <w:t xml:space="preserve"> social security</w:t>
      </w:r>
      <w:r w:rsidR="00230AF5" w:rsidRPr="00D0414B">
        <w:rPr>
          <w:szCs w:val="24"/>
        </w:rPr>
        <w:t xml:space="preserve"> and the right of equality and non-discrimination</w:t>
      </w:r>
      <w:r w:rsidRPr="00D0414B">
        <w:rPr>
          <w:szCs w:val="24"/>
        </w:rPr>
        <w:t xml:space="preserve"> by giving patients access to cardiac MRI services for the diagnosis </w:t>
      </w:r>
      <w:r w:rsidR="00EE27F0" w:rsidRPr="00D0414B">
        <w:rPr>
          <w:szCs w:val="24"/>
        </w:rPr>
        <w:t xml:space="preserve">of </w:t>
      </w:r>
      <w:r w:rsidRPr="00D0414B">
        <w:rPr>
          <w:szCs w:val="24"/>
        </w:rPr>
        <w:t>myocarditis</w:t>
      </w:r>
      <w:r w:rsidR="00712FFE" w:rsidRPr="00D0414B">
        <w:rPr>
          <w:szCs w:val="24"/>
        </w:rPr>
        <w:t xml:space="preserve"> associated with</w:t>
      </w:r>
      <w:r w:rsidR="00966601" w:rsidRPr="00D0414B">
        <w:rPr>
          <w:szCs w:val="24"/>
        </w:rPr>
        <w:t xml:space="preserve"> a</w:t>
      </w:r>
      <w:r w:rsidR="00712FFE" w:rsidRPr="00D0414B">
        <w:rPr>
          <w:szCs w:val="24"/>
        </w:rPr>
        <w:t xml:space="preserve"> mRNA COVID-19 vaccination</w:t>
      </w:r>
      <w:r w:rsidRPr="00D0414B">
        <w:rPr>
          <w:szCs w:val="24"/>
        </w:rPr>
        <w:t xml:space="preserve"> in circumstances where it cannot be definitively diagnosed using conventional imaging and other diagnostic tests. </w:t>
      </w:r>
    </w:p>
    <w:p w14:paraId="2412D166" w14:textId="1973400E" w:rsidR="00A17F2C" w:rsidRPr="00D0414B" w:rsidRDefault="00A17F2C" w:rsidP="000D3062">
      <w:pPr>
        <w:spacing w:before="120" w:after="120" w:line="276" w:lineRule="auto"/>
        <w:rPr>
          <w:rFonts w:eastAsia="Calibri"/>
          <w:b/>
          <w:szCs w:val="24"/>
          <w:lang w:eastAsia="en-US"/>
        </w:rPr>
      </w:pPr>
      <w:r w:rsidRPr="00D0414B">
        <w:rPr>
          <w:rFonts w:eastAsia="Calibri"/>
          <w:b/>
          <w:szCs w:val="24"/>
          <w:lang w:eastAsia="en-US"/>
        </w:rPr>
        <w:t xml:space="preserve">Conclusion </w:t>
      </w:r>
    </w:p>
    <w:p w14:paraId="2412D167" w14:textId="453598F9" w:rsidR="00A17F2C" w:rsidRPr="00D0414B" w:rsidRDefault="006E6BBF" w:rsidP="000D3062">
      <w:pPr>
        <w:rPr>
          <w:color w:val="FF0000"/>
          <w:szCs w:val="24"/>
        </w:rPr>
      </w:pPr>
      <w:r w:rsidRPr="00D0414B">
        <w:rPr>
          <w:szCs w:val="24"/>
        </w:rPr>
        <w:t xml:space="preserve">This </w:t>
      </w:r>
      <w:r w:rsidR="0046022A" w:rsidRPr="00D0414B">
        <w:rPr>
          <w:szCs w:val="24"/>
        </w:rPr>
        <w:t>instrument</w:t>
      </w:r>
      <w:r w:rsidRPr="00D0414B">
        <w:rPr>
          <w:szCs w:val="24"/>
        </w:rPr>
        <w:t xml:space="preserve"> </w:t>
      </w:r>
      <w:r w:rsidR="00F15284" w:rsidRPr="00D0414B">
        <w:rPr>
          <w:szCs w:val="24"/>
        </w:rPr>
        <w:t xml:space="preserve">is compatible with human rights as it </w:t>
      </w:r>
      <w:r w:rsidR="00FD00B6" w:rsidRPr="00D0414B">
        <w:rPr>
          <w:szCs w:val="24"/>
        </w:rPr>
        <w:t>advances</w:t>
      </w:r>
      <w:r w:rsidR="007C7403" w:rsidRPr="00D0414B">
        <w:rPr>
          <w:szCs w:val="24"/>
        </w:rPr>
        <w:t xml:space="preserve"> the </w:t>
      </w:r>
      <w:r w:rsidR="00910EF6" w:rsidRPr="00D0414B">
        <w:rPr>
          <w:szCs w:val="24"/>
        </w:rPr>
        <w:t>right to health</w:t>
      </w:r>
      <w:r w:rsidR="00230AF5" w:rsidRPr="00D0414B">
        <w:rPr>
          <w:szCs w:val="24"/>
        </w:rPr>
        <w:t>,</w:t>
      </w:r>
      <w:r w:rsidR="00FD00B6" w:rsidRPr="00D0414B">
        <w:rPr>
          <w:szCs w:val="24"/>
        </w:rPr>
        <w:t xml:space="preserve"> </w:t>
      </w:r>
      <w:r w:rsidR="00910EF6" w:rsidRPr="00D0414B">
        <w:rPr>
          <w:szCs w:val="24"/>
        </w:rPr>
        <w:t>the right to social security</w:t>
      </w:r>
      <w:r w:rsidR="00230AF5" w:rsidRPr="00D0414B">
        <w:rPr>
          <w:szCs w:val="24"/>
        </w:rPr>
        <w:t xml:space="preserve"> and the right of equality and non-discrimination</w:t>
      </w:r>
      <w:r w:rsidR="00910EF6" w:rsidRPr="00D0414B">
        <w:rPr>
          <w:szCs w:val="24"/>
        </w:rPr>
        <w:t>.</w:t>
      </w:r>
    </w:p>
    <w:p w14:paraId="2412D168" w14:textId="77777777" w:rsidR="00F15284" w:rsidRPr="00D0414B" w:rsidRDefault="00F15284" w:rsidP="000D3062">
      <w:pPr>
        <w:rPr>
          <w:rFonts w:eastAsia="Calibri"/>
          <w:szCs w:val="24"/>
          <w:lang w:eastAsia="en-US"/>
        </w:rPr>
      </w:pPr>
    </w:p>
    <w:p w14:paraId="75A46380" w14:textId="77777777" w:rsidR="00C67BC7" w:rsidRPr="00D0414B" w:rsidRDefault="00C67BC7" w:rsidP="000D3062">
      <w:pPr>
        <w:jc w:val="center"/>
        <w:rPr>
          <w:b/>
          <w:bCs/>
          <w:szCs w:val="24"/>
        </w:rPr>
      </w:pPr>
    </w:p>
    <w:p w14:paraId="1F3AED68" w14:textId="3316D590" w:rsidR="00D612F7" w:rsidRPr="00D0414B" w:rsidRDefault="00690F37" w:rsidP="000D3062">
      <w:pPr>
        <w:spacing w:line="240" w:lineRule="atLeast"/>
        <w:ind w:right="397"/>
        <w:jc w:val="center"/>
        <w:rPr>
          <w:b/>
          <w:bCs/>
          <w:szCs w:val="22"/>
        </w:rPr>
      </w:pPr>
      <w:r w:rsidRPr="00D0414B">
        <w:rPr>
          <w:b/>
          <w:bCs/>
          <w:szCs w:val="22"/>
        </w:rPr>
        <w:t>Nigel Murray</w:t>
      </w:r>
    </w:p>
    <w:p w14:paraId="32B278E3" w14:textId="0E0BBD52" w:rsidR="00D612F7" w:rsidRPr="00D0414B" w:rsidRDefault="00D612F7" w:rsidP="000D3062">
      <w:pPr>
        <w:spacing w:line="240" w:lineRule="atLeast"/>
        <w:ind w:right="397"/>
        <w:jc w:val="center"/>
        <w:rPr>
          <w:b/>
          <w:bCs/>
          <w:szCs w:val="22"/>
        </w:rPr>
      </w:pPr>
      <w:r w:rsidRPr="00D0414B">
        <w:rPr>
          <w:b/>
          <w:bCs/>
          <w:szCs w:val="22"/>
        </w:rPr>
        <w:t>Assistant Secretary</w:t>
      </w:r>
    </w:p>
    <w:p w14:paraId="60AC8B84" w14:textId="1251EE9A" w:rsidR="00690F37" w:rsidRPr="00D0414B" w:rsidRDefault="00690F37" w:rsidP="000D3062">
      <w:pPr>
        <w:spacing w:line="240" w:lineRule="atLeast"/>
        <w:ind w:right="397"/>
        <w:jc w:val="center"/>
        <w:rPr>
          <w:b/>
          <w:bCs/>
          <w:szCs w:val="22"/>
        </w:rPr>
      </w:pPr>
      <w:r w:rsidRPr="00D0414B">
        <w:rPr>
          <w:b/>
          <w:bCs/>
          <w:szCs w:val="22"/>
        </w:rPr>
        <w:t>MBS Policy and Specialist Services Branch</w:t>
      </w:r>
    </w:p>
    <w:p w14:paraId="03D46899" w14:textId="736ABB9E" w:rsidR="00D612F7" w:rsidRPr="00D0414B" w:rsidRDefault="00D612F7" w:rsidP="000D3062">
      <w:pPr>
        <w:spacing w:line="240" w:lineRule="atLeast"/>
        <w:ind w:right="397"/>
        <w:jc w:val="center"/>
        <w:rPr>
          <w:b/>
          <w:bCs/>
          <w:szCs w:val="22"/>
        </w:rPr>
      </w:pPr>
      <w:r w:rsidRPr="00D0414B">
        <w:rPr>
          <w:b/>
          <w:bCs/>
          <w:szCs w:val="22"/>
        </w:rPr>
        <w:t>Medical Benefits Division</w:t>
      </w:r>
    </w:p>
    <w:p w14:paraId="37AB56E1" w14:textId="77777777" w:rsidR="00D612F7" w:rsidRPr="00D0414B" w:rsidRDefault="00D612F7" w:rsidP="000D3062">
      <w:pPr>
        <w:spacing w:line="240" w:lineRule="atLeast"/>
        <w:ind w:right="397"/>
        <w:jc w:val="center"/>
        <w:rPr>
          <w:b/>
          <w:bCs/>
          <w:szCs w:val="22"/>
        </w:rPr>
      </w:pPr>
      <w:r w:rsidRPr="00D0414B">
        <w:rPr>
          <w:b/>
          <w:bCs/>
          <w:szCs w:val="22"/>
        </w:rPr>
        <w:t>Health Resourcing Group</w:t>
      </w:r>
    </w:p>
    <w:p w14:paraId="2412D16E" w14:textId="4E629999" w:rsidR="00636C51" w:rsidRPr="00174EA0" w:rsidRDefault="000F2948" w:rsidP="000D3062">
      <w:pPr>
        <w:spacing w:line="240" w:lineRule="atLeast"/>
        <w:ind w:right="397"/>
        <w:jc w:val="center"/>
        <w:rPr>
          <w:b/>
          <w:bCs/>
          <w:szCs w:val="22"/>
        </w:rPr>
      </w:pPr>
      <w:r w:rsidRPr="00D0414B">
        <w:rPr>
          <w:b/>
          <w:bCs/>
          <w:szCs w:val="24"/>
        </w:rPr>
        <w:t>Department of Health</w:t>
      </w:r>
    </w:p>
    <w:sectPr w:rsidR="00636C51" w:rsidRPr="00174EA0"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52247" w14:textId="77777777" w:rsidR="00776543" w:rsidRDefault="00776543">
      <w:r>
        <w:separator/>
      </w:r>
    </w:p>
  </w:endnote>
  <w:endnote w:type="continuationSeparator" w:id="0">
    <w:p w14:paraId="6641A37C" w14:textId="77777777" w:rsidR="00776543" w:rsidRDefault="0077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2D3D5" w14:textId="77777777" w:rsidR="00776543" w:rsidRDefault="00776543">
      <w:r>
        <w:separator/>
      </w:r>
    </w:p>
  </w:footnote>
  <w:footnote w:type="continuationSeparator" w:id="0">
    <w:p w14:paraId="1E26BD8B" w14:textId="77777777" w:rsidR="00776543" w:rsidRDefault="00776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268D7E04" w:rsidR="00A1739A" w:rsidRDefault="00A1739A" w:rsidP="00BD6F5F">
    <w:pPr>
      <w:pStyle w:val="Header"/>
      <w:jc w:val="center"/>
    </w:pPr>
    <w:r>
      <w:fldChar w:fldCharType="begin"/>
    </w:r>
    <w:r>
      <w:instrText xml:space="preserve"> PAGE  \* Arabic  \* MERGEFORMAT </w:instrText>
    </w:r>
    <w:r>
      <w:fldChar w:fldCharType="separate"/>
    </w:r>
    <w:r w:rsidR="00DF4192">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28E515A9" w:rsidR="00E23B6B" w:rsidRDefault="00E23B6B">
        <w:pPr>
          <w:pStyle w:val="Header"/>
          <w:jc w:val="center"/>
        </w:pPr>
        <w:r>
          <w:fldChar w:fldCharType="begin"/>
        </w:r>
        <w:r>
          <w:instrText xml:space="preserve"> PAGE   \* MERGEFORMAT </w:instrText>
        </w:r>
        <w:r>
          <w:fldChar w:fldCharType="separate"/>
        </w:r>
        <w:r w:rsidR="00DF4192">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5A856DB6" w:rsidR="00E23B6B" w:rsidRDefault="00E23B6B">
        <w:pPr>
          <w:pStyle w:val="Header"/>
          <w:jc w:val="center"/>
        </w:pPr>
        <w:r>
          <w:fldChar w:fldCharType="begin"/>
        </w:r>
        <w:r>
          <w:instrText xml:space="preserve"> PAGE   \* MERGEFORMAT </w:instrText>
        </w:r>
        <w:r>
          <w:fldChar w:fldCharType="separate"/>
        </w:r>
        <w:r w:rsidR="00DF4192">
          <w:rPr>
            <w:noProof/>
          </w:rPr>
          <w:t>2</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ED57FB"/>
    <w:multiLevelType w:val="hybridMultilevel"/>
    <w:tmpl w:val="A2D08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8E0257"/>
    <w:multiLevelType w:val="hybridMultilevel"/>
    <w:tmpl w:val="D9EA7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571DAE"/>
    <w:multiLevelType w:val="hybridMultilevel"/>
    <w:tmpl w:val="2A020654"/>
    <w:lvl w:ilvl="0" w:tplc="99D2AA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2"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9"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2"/>
  </w:num>
  <w:num w:numId="4">
    <w:abstractNumId w:val="13"/>
  </w:num>
  <w:num w:numId="5">
    <w:abstractNumId w:val="20"/>
  </w:num>
  <w:num w:numId="6">
    <w:abstractNumId w:val="11"/>
  </w:num>
  <w:num w:numId="7">
    <w:abstractNumId w:val="31"/>
  </w:num>
  <w:num w:numId="8">
    <w:abstractNumId w:val="7"/>
  </w:num>
  <w:num w:numId="9">
    <w:abstractNumId w:val="6"/>
  </w:num>
  <w:num w:numId="10">
    <w:abstractNumId w:val="33"/>
  </w:num>
  <w:num w:numId="11">
    <w:abstractNumId w:val="30"/>
  </w:num>
  <w:num w:numId="12">
    <w:abstractNumId w:val="14"/>
  </w:num>
  <w:num w:numId="13">
    <w:abstractNumId w:val="16"/>
  </w:num>
  <w:num w:numId="14">
    <w:abstractNumId w:val="28"/>
  </w:num>
  <w:num w:numId="15">
    <w:abstractNumId w:val="8"/>
  </w:num>
  <w:num w:numId="16">
    <w:abstractNumId w:val="22"/>
  </w:num>
  <w:num w:numId="17">
    <w:abstractNumId w:val="25"/>
  </w:num>
  <w:num w:numId="18">
    <w:abstractNumId w:val="23"/>
  </w:num>
  <w:num w:numId="19">
    <w:abstractNumId w:val="3"/>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num>
  <w:num w:numId="25">
    <w:abstractNumId w:val="10"/>
  </w:num>
  <w:num w:numId="26">
    <w:abstractNumId w:val="5"/>
  </w:num>
  <w:num w:numId="27">
    <w:abstractNumId w:val="17"/>
  </w:num>
  <w:num w:numId="28">
    <w:abstractNumId w:val="32"/>
  </w:num>
  <w:num w:numId="29">
    <w:abstractNumId w:val="18"/>
  </w:num>
  <w:num w:numId="30">
    <w:abstractNumId w:val="29"/>
  </w:num>
  <w:num w:numId="31">
    <w:abstractNumId w:val="15"/>
  </w:num>
  <w:num w:numId="32">
    <w:abstractNumId w:val="27"/>
  </w:num>
  <w:num w:numId="33">
    <w:abstractNumId w:val="4"/>
  </w:num>
  <w:num w:numId="34">
    <w:abstractNumId w:val="19"/>
  </w:num>
  <w:num w:numId="3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737"/>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22A0"/>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062"/>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24C58"/>
    <w:rsid w:val="00132087"/>
    <w:rsid w:val="001346C3"/>
    <w:rsid w:val="00134B27"/>
    <w:rsid w:val="00135D0D"/>
    <w:rsid w:val="001366AA"/>
    <w:rsid w:val="001400C4"/>
    <w:rsid w:val="00141323"/>
    <w:rsid w:val="00141E8C"/>
    <w:rsid w:val="00143685"/>
    <w:rsid w:val="00143943"/>
    <w:rsid w:val="001448F2"/>
    <w:rsid w:val="00145918"/>
    <w:rsid w:val="00145D25"/>
    <w:rsid w:val="00145DED"/>
    <w:rsid w:val="001519E4"/>
    <w:rsid w:val="00152891"/>
    <w:rsid w:val="00154FC4"/>
    <w:rsid w:val="001551FE"/>
    <w:rsid w:val="0015521F"/>
    <w:rsid w:val="001603DB"/>
    <w:rsid w:val="001641C0"/>
    <w:rsid w:val="00164A69"/>
    <w:rsid w:val="0016646C"/>
    <w:rsid w:val="00167DA1"/>
    <w:rsid w:val="0017187F"/>
    <w:rsid w:val="00174E96"/>
    <w:rsid w:val="00174EA0"/>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4203"/>
    <w:rsid w:val="001D6B46"/>
    <w:rsid w:val="001D778A"/>
    <w:rsid w:val="001D7D62"/>
    <w:rsid w:val="001E014D"/>
    <w:rsid w:val="001E2D6D"/>
    <w:rsid w:val="001E3123"/>
    <w:rsid w:val="001E3B02"/>
    <w:rsid w:val="001E5391"/>
    <w:rsid w:val="001E5787"/>
    <w:rsid w:val="001E57BC"/>
    <w:rsid w:val="001E5DE7"/>
    <w:rsid w:val="001E63F3"/>
    <w:rsid w:val="001E7C25"/>
    <w:rsid w:val="001F004A"/>
    <w:rsid w:val="001F0923"/>
    <w:rsid w:val="001F1F27"/>
    <w:rsid w:val="001F3E8C"/>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0AF5"/>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6BA9"/>
    <w:rsid w:val="00287AEF"/>
    <w:rsid w:val="00287B08"/>
    <w:rsid w:val="00290B98"/>
    <w:rsid w:val="002944D4"/>
    <w:rsid w:val="00295F6B"/>
    <w:rsid w:val="00296763"/>
    <w:rsid w:val="0029737E"/>
    <w:rsid w:val="00297AD0"/>
    <w:rsid w:val="002A0CC8"/>
    <w:rsid w:val="002A1E2C"/>
    <w:rsid w:val="002A3243"/>
    <w:rsid w:val="002A5CDF"/>
    <w:rsid w:val="002A6079"/>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47A3"/>
    <w:rsid w:val="003B59A9"/>
    <w:rsid w:val="003B6B63"/>
    <w:rsid w:val="003B7C31"/>
    <w:rsid w:val="003C02D4"/>
    <w:rsid w:val="003C37E3"/>
    <w:rsid w:val="003C4CBD"/>
    <w:rsid w:val="003C546B"/>
    <w:rsid w:val="003C7719"/>
    <w:rsid w:val="003D0FBD"/>
    <w:rsid w:val="003D1704"/>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3C15"/>
    <w:rsid w:val="00414613"/>
    <w:rsid w:val="00415A48"/>
    <w:rsid w:val="00415B19"/>
    <w:rsid w:val="0041767B"/>
    <w:rsid w:val="00417CB1"/>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3408"/>
    <w:rsid w:val="005140F2"/>
    <w:rsid w:val="0051709B"/>
    <w:rsid w:val="00517CF3"/>
    <w:rsid w:val="0052165A"/>
    <w:rsid w:val="00521802"/>
    <w:rsid w:val="0052226D"/>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2CC5"/>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B7F0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0F37"/>
    <w:rsid w:val="00694C76"/>
    <w:rsid w:val="00694F4A"/>
    <w:rsid w:val="006A029B"/>
    <w:rsid w:val="006A17A1"/>
    <w:rsid w:val="006A61C5"/>
    <w:rsid w:val="006B0F31"/>
    <w:rsid w:val="006B13BC"/>
    <w:rsid w:val="006B32FE"/>
    <w:rsid w:val="006B3959"/>
    <w:rsid w:val="006B39AD"/>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6035"/>
    <w:rsid w:val="00707B77"/>
    <w:rsid w:val="00707CE9"/>
    <w:rsid w:val="00710055"/>
    <w:rsid w:val="007103BC"/>
    <w:rsid w:val="0071184F"/>
    <w:rsid w:val="00712189"/>
    <w:rsid w:val="00712FFE"/>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543"/>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7CA"/>
    <w:rsid w:val="007A5936"/>
    <w:rsid w:val="007A5B55"/>
    <w:rsid w:val="007A5F41"/>
    <w:rsid w:val="007A5FEC"/>
    <w:rsid w:val="007B08D1"/>
    <w:rsid w:val="007B161A"/>
    <w:rsid w:val="007B29C6"/>
    <w:rsid w:val="007B37E0"/>
    <w:rsid w:val="007B4EAA"/>
    <w:rsid w:val="007B790F"/>
    <w:rsid w:val="007C20FA"/>
    <w:rsid w:val="007C27D3"/>
    <w:rsid w:val="007C2C95"/>
    <w:rsid w:val="007C3093"/>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46"/>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69F4"/>
    <w:rsid w:val="008774D2"/>
    <w:rsid w:val="00880E40"/>
    <w:rsid w:val="00883771"/>
    <w:rsid w:val="00883C9D"/>
    <w:rsid w:val="00883EFE"/>
    <w:rsid w:val="008869CA"/>
    <w:rsid w:val="008870CD"/>
    <w:rsid w:val="008905BA"/>
    <w:rsid w:val="0089375C"/>
    <w:rsid w:val="0089513F"/>
    <w:rsid w:val="00895699"/>
    <w:rsid w:val="008A0A3D"/>
    <w:rsid w:val="008A153F"/>
    <w:rsid w:val="008A54A9"/>
    <w:rsid w:val="008A6188"/>
    <w:rsid w:val="008A79C6"/>
    <w:rsid w:val="008B2094"/>
    <w:rsid w:val="008B28F2"/>
    <w:rsid w:val="008B444F"/>
    <w:rsid w:val="008B61C7"/>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D7A4F"/>
    <w:rsid w:val="008E3E1A"/>
    <w:rsid w:val="008E4039"/>
    <w:rsid w:val="008F1AA9"/>
    <w:rsid w:val="008F3378"/>
    <w:rsid w:val="008F7C5B"/>
    <w:rsid w:val="00901C4E"/>
    <w:rsid w:val="00904502"/>
    <w:rsid w:val="009049C0"/>
    <w:rsid w:val="009051DF"/>
    <w:rsid w:val="00906257"/>
    <w:rsid w:val="009069D6"/>
    <w:rsid w:val="00910EF6"/>
    <w:rsid w:val="00912380"/>
    <w:rsid w:val="009124F6"/>
    <w:rsid w:val="00912BC1"/>
    <w:rsid w:val="00913B67"/>
    <w:rsid w:val="0091520D"/>
    <w:rsid w:val="00915B08"/>
    <w:rsid w:val="00917CD6"/>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56DE"/>
    <w:rsid w:val="009574A8"/>
    <w:rsid w:val="009574C6"/>
    <w:rsid w:val="00961795"/>
    <w:rsid w:val="009632FC"/>
    <w:rsid w:val="009648F3"/>
    <w:rsid w:val="00964D68"/>
    <w:rsid w:val="00965025"/>
    <w:rsid w:val="009654C8"/>
    <w:rsid w:val="00966601"/>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D54"/>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1F6C"/>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6736"/>
    <w:rsid w:val="00AD7E8E"/>
    <w:rsid w:val="00AE0487"/>
    <w:rsid w:val="00AE0F81"/>
    <w:rsid w:val="00AE2A1A"/>
    <w:rsid w:val="00AE330D"/>
    <w:rsid w:val="00AE7A51"/>
    <w:rsid w:val="00AF134A"/>
    <w:rsid w:val="00AF3563"/>
    <w:rsid w:val="00AF3BCE"/>
    <w:rsid w:val="00AF421C"/>
    <w:rsid w:val="00AF5C05"/>
    <w:rsid w:val="00AF7622"/>
    <w:rsid w:val="00AF7E6A"/>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283C"/>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3989"/>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2FA5"/>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414B"/>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0A06"/>
    <w:rsid w:val="00D41D2D"/>
    <w:rsid w:val="00D42504"/>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12F7"/>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4192"/>
    <w:rsid w:val="00DF51CA"/>
    <w:rsid w:val="00DF5581"/>
    <w:rsid w:val="00DF7501"/>
    <w:rsid w:val="00DF7936"/>
    <w:rsid w:val="00E004EF"/>
    <w:rsid w:val="00E04B6F"/>
    <w:rsid w:val="00E13833"/>
    <w:rsid w:val="00E17001"/>
    <w:rsid w:val="00E17406"/>
    <w:rsid w:val="00E20AE5"/>
    <w:rsid w:val="00E20F00"/>
    <w:rsid w:val="00E21297"/>
    <w:rsid w:val="00E21694"/>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A6CA0"/>
    <w:rsid w:val="00EB271A"/>
    <w:rsid w:val="00EB2F51"/>
    <w:rsid w:val="00EB3BF0"/>
    <w:rsid w:val="00EB4DA6"/>
    <w:rsid w:val="00EB601D"/>
    <w:rsid w:val="00EB6CCD"/>
    <w:rsid w:val="00EC0018"/>
    <w:rsid w:val="00EC0273"/>
    <w:rsid w:val="00EC19AA"/>
    <w:rsid w:val="00EC25BA"/>
    <w:rsid w:val="00ED0AD5"/>
    <w:rsid w:val="00ED1DE2"/>
    <w:rsid w:val="00ED1F31"/>
    <w:rsid w:val="00ED3630"/>
    <w:rsid w:val="00ED7140"/>
    <w:rsid w:val="00ED77E5"/>
    <w:rsid w:val="00EE026E"/>
    <w:rsid w:val="00EE27F0"/>
    <w:rsid w:val="00EE3C59"/>
    <w:rsid w:val="00EE5B70"/>
    <w:rsid w:val="00EE66B6"/>
    <w:rsid w:val="00EE7B48"/>
    <w:rsid w:val="00EF0AFA"/>
    <w:rsid w:val="00EF38E5"/>
    <w:rsid w:val="00EF5C33"/>
    <w:rsid w:val="00EF629C"/>
    <w:rsid w:val="00EF6508"/>
    <w:rsid w:val="00EF6AB8"/>
    <w:rsid w:val="00EF7C6E"/>
    <w:rsid w:val="00F00DE3"/>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4C2"/>
    <w:rsid w:val="00FA5BD2"/>
    <w:rsid w:val="00FA6175"/>
    <w:rsid w:val="00FA6784"/>
    <w:rsid w:val="00FA7E00"/>
    <w:rsid w:val="00FB1780"/>
    <w:rsid w:val="00FB35C6"/>
    <w:rsid w:val="00FB4C5A"/>
    <w:rsid w:val="00FB5BFA"/>
    <w:rsid w:val="00FB6F79"/>
    <w:rsid w:val="00FC10F6"/>
    <w:rsid w:val="00FC33A2"/>
    <w:rsid w:val="00FC7C25"/>
    <w:rsid w:val="00FD00B6"/>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customStyle="1" w:styleId="CharSectno">
    <w:name w:val="CharSectno"/>
    <w:basedOn w:val="DefaultParagraphFont"/>
    <w:qFormat/>
    <w:rsid w:val="001E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91981324">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13479317">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67047810">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918436">
      <w:bodyDiv w:val="1"/>
      <w:marLeft w:val="0"/>
      <w:marRight w:val="0"/>
      <w:marTop w:val="0"/>
      <w:marBottom w:val="0"/>
      <w:divBdr>
        <w:top w:val="none" w:sz="0" w:space="0" w:color="auto"/>
        <w:left w:val="none" w:sz="0" w:space="0" w:color="auto"/>
        <w:bottom w:val="none" w:sz="0" w:space="0" w:color="auto"/>
        <w:right w:val="none" w:sz="0" w:space="0" w:color="auto"/>
      </w:divBdr>
    </w:div>
    <w:div w:id="1066219725">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162983">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802096">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1589902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FFC9E480-75FC-4C98-A753-1F068610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GOLKOWSKI, Izabel</cp:lastModifiedBy>
  <cp:revision>3</cp:revision>
  <cp:lastPrinted>2019-09-23T06:46:00Z</cp:lastPrinted>
  <dcterms:created xsi:type="dcterms:W3CDTF">2021-12-16T05:34:00Z</dcterms:created>
  <dcterms:modified xsi:type="dcterms:W3CDTF">2021-12-16T05:36:00Z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