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6E65" w14:textId="77777777" w:rsidR="003D1484" w:rsidRPr="00F50670" w:rsidRDefault="003D1484" w:rsidP="003D1484">
      <w:pPr>
        <w:rPr>
          <w:sz w:val="28"/>
        </w:rPr>
      </w:pPr>
      <w:bookmarkStart w:id="0" w:name="BK_S3P5L26C1"/>
      <w:bookmarkEnd w:id="0"/>
      <w:r w:rsidRPr="00F50670">
        <w:rPr>
          <w:noProof/>
          <w:lang w:eastAsia="en-AU"/>
        </w:rPr>
        <w:drawing>
          <wp:inline distT="0" distB="0" distL="0" distR="0" wp14:anchorId="6A566E7E" wp14:editId="10D9B9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F587" w14:textId="77777777" w:rsidR="003D1484" w:rsidRPr="00F50670" w:rsidRDefault="003D1484" w:rsidP="003D1484">
      <w:pPr>
        <w:rPr>
          <w:sz w:val="19"/>
        </w:rPr>
      </w:pPr>
    </w:p>
    <w:p w14:paraId="18A717E8" w14:textId="77777777" w:rsidR="003D1484" w:rsidRPr="00F50670" w:rsidRDefault="003D1484" w:rsidP="003D1484">
      <w:pPr>
        <w:pStyle w:val="ShortT"/>
      </w:pPr>
      <w:r w:rsidRPr="00F50670">
        <w:t>Therapeutic Goods Legislation Amendment (2021 Measures No. 4) Regulations 2021</w:t>
      </w:r>
    </w:p>
    <w:p w14:paraId="5D4CED48" w14:textId="77777777" w:rsidR="003D1484" w:rsidRPr="00F50670" w:rsidRDefault="003D1484" w:rsidP="003D1484">
      <w:pPr>
        <w:pStyle w:val="SignCoverPageStart"/>
        <w:spacing w:before="240"/>
        <w:rPr>
          <w:szCs w:val="22"/>
        </w:rPr>
      </w:pPr>
      <w:r w:rsidRPr="00F50670">
        <w:rPr>
          <w:szCs w:val="22"/>
        </w:rPr>
        <w:t>I, General the Honourable David Hurley AC DSC (</w:t>
      </w:r>
      <w:proofErr w:type="spellStart"/>
      <w:r w:rsidRPr="00F50670">
        <w:rPr>
          <w:szCs w:val="22"/>
        </w:rPr>
        <w:t>Retd</w:t>
      </w:r>
      <w:proofErr w:type="spellEnd"/>
      <w:r w:rsidRPr="00F50670">
        <w:rPr>
          <w:szCs w:val="22"/>
        </w:rPr>
        <w:t>), Governor</w:t>
      </w:r>
      <w:r>
        <w:rPr>
          <w:szCs w:val="22"/>
        </w:rPr>
        <w:noBreakHyphen/>
      </w:r>
      <w:r w:rsidRPr="00F50670">
        <w:rPr>
          <w:szCs w:val="22"/>
        </w:rPr>
        <w:t>General of the Commonwealth of Australia, acting with the advice of the Federal Executive Council, make the following regulations.</w:t>
      </w:r>
    </w:p>
    <w:p w14:paraId="6B37C05D" w14:textId="1B5F43ED" w:rsidR="003D1484" w:rsidRPr="00F50670" w:rsidRDefault="003D1484" w:rsidP="003D1484">
      <w:pPr>
        <w:keepNext/>
        <w:spacing w:before="720" w:line="240" w:lineRule="atLeast"/>
        <w:ind w:right="397"/>
        <w:jc w:val="both"/>
        <w:rPr>
          <w:szCs w:val="22"/>
        </w:rPr>
      </w:pPr>
      <w:r w:rsidRPr="00F50670">
        <w:rPr>
          <w:szCs w:val="22"/>
        </w:rPr>
        <w:t xml:space="preserve">Dated </w:t>
      </w:r>
      <w:bookmarkStart w:id="1" w:name="BKCheck15B_1"/>
      <w:bookmarkEnd w:id="1"/>
      <w:r w:rsidRPr="00F50670">
        <w:rPr>
          <w:szCs w:val="22"/>
        </w:rPr>
        <w:fldChar w:fldCharType="begin"/>
      </w:r>
      <w:r w:rsidRPr="00F50670">
        <w:rPr>
          <w:szCs w:val="22"/>
        </w:rPr>
        <w:instrText xml:space="preserve"> DOCPROPERTY  DateMade </w:instrText>
      </w:r>
      <w:r w:rsidRPr="00F50670">
        <w:rPr>
          <w:szCs w:val="22"/>
        </w:rPr>
        <w:fldChar w:fldCharType="separate"/>
      </w:r>
      <w:r w:rsidR="0061273F">
        <w:rPr>
          <w:szCs w:val="22"/>
        </w:rPr>
        <w:t>16 December 2021</w:t>
      </w:r>
      <w:r w:rsidRPr="00F50670">
        <w:rPr>
          <w:szCs w:val="22"/>
        </w:rPr>
        <w:fldChar w:fldCharType="end"/>
      </w:r>
    </w:p>
    <w:p w14:paraId="54DBAE7D" w14:textId="77777777" w:rsidR="003D1484" w:rsidRPr="00F50670" w:rsidRDefault="003D1484" w:rsidP="003D148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50670">
        <w:rPr>
          <w:szCs w:val="22"/>
        </w:rPr>
        <w:t>David Hurley</w:t>
      </w:r>
    </w:p>
    <w:p w14:paraId="0AC1D13F" w14:textId="77777777" w:rsidR="003D1484" w:rsidRPr="00F50670" w:rsidRDefault="003D1484" w:rsidP="003D148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50670">
        <w:rPr>
          <w:szCs w:val="22"/>
        </w:rPr>
        <w:t>Governor</w:t>
      </w:r>
      <w:r>
        <w:rPr>
          <w:szCs w:val="22"/>
        </w:rPr>
        <w:noBreakHyphen/>
      </w:r>
      <w:r w:rsidRPr="00F50670">
        <w:rPr>
          <w:szCs w:val="22"/>
        </w:rPr>
        <w:t>General</w:t>
      </w:r>
    </w:p>
    <w:p w14:paraId="48851D93" w14:textId="77777777" w:rsidR="003D1484" w:rsidRPr="00F50670" w:rsidRDefault="003D1484" w:rsidP="003D148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50670">
        <w:rPr>
          <w:szCs w:val="22"/>
        </w:rPr>
        <w:t>By His Excellency’s Command</w:t>
      </w:r>
    </w:p>
    <w:p w14:paraId="35CC7961" w14:textId="77777777" w:rsidR="003D1484" w:rsidRPr="00F50670" w:rsidRDefault="003D1484" w:rsidP="003D148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50670">
        <w:rPr>
          <w:szCs w:val="22"/>
        </w:rPr>
        <w:t>Greg Hunt</w:t>
      </w:r>
    </w:p>
    <w:p w14:paraId="00594413" w14:textId="77777777" w:rsidR="003D1484" w:rsidRPr="00F50670" w:rsidRDefault="003D1484" w:rsidP="003D1484">
      <w:pPr>
        <w:pStyle w:val="SignCoverPageEnd"/>
        <w:rPr>
          <w:szCs w:val="22"/>
        </w:rPr>
      </w:pPr>
      <w:r w:rsidRPr="00F50670">
        <w:rPr>
          <w:szCs w:val="22"/>
        </w:rPr>
        <w:t>Minister for Health and Aged Care</w:t>
      </w:r>
    </w:p>
    <w:p w14:paraId="7B954B77" w14:textId="77777777" w:rsidR="003D1484" w:rsidRPr="00F50670" w:rsidRDefault="003D1484" w:rsidP="003D1484"/>
    <w:p w14:paraId="297D07C6" w14:textId="77777777" w:rsidR="003D1484" w:rsidRPr="00F50670" w:rsidRDefault="003D1484" w:rsidP="003D1484"/>
    <w:p w14:paraId="3C9FFC3D" w14:textId="77777777" w:rsidR="003D1484" w:rsidRPr="00F50670" w:rsidRDefault="003D1484" w:rsidP="003D1484"/>
    <w:p w14:paraId="609C8AAC" w14:textId="77777777" w:rsidR="003D1484" w:rsidRPr="001042A9" w:rsidRDefault="003D1484" w:rsidP="003D1484">
      <w:pPr>
        <w:pStyle w:val="Header"/>
        <w:tabs>
          <w:tab w:val="clear" w:pos="4150"/>
          <w:tab w:val="clear" w:pos="8307"/>
        </w:tabs>
      </w:pPr>
      <w:r w:rsidRPr="001042A9">
        <w:rPr>
          <w:rStyle w:val="CharAmSchNo"/>
        </w:rPr>
        <w:t xml:space="preserve"> </w:t>
      </w:r>
      <w:r w:rsidRPr="001042A9">
        <w:rPr>
          <w:rStyle w:val="CharAmSchText"/>
        </w:rPr>
        <w:t xml:space="preserve"> </w:t>
      </w:r>
    </w:p>
    <w:p w14:paraId="7080D281" w14:textId="77777777" w:rsidR="003D1484" w:rsidRPr="001042A9" w:rsidRDefault="003D1484" w:rsidP="003D1484">
      <w:pPr>
        <w:pStyle w:val="Header"/>
        <w:tabs>
          <w:tab w:val="clear" w:pos="4150"/>
          <w:tab w:val="clear" w:pos="8307"/>
        </w:tabs>
      </w:pPr>
      <w:r w:rsidRPr="001042A9">
        <w:rPr>
          <w:rStyle w:val="CharAmPartNo"/>
        </w:rPr>
        <w:t xml:space="preserve"> </w:t>
      </w:r>
      <w:r w:rsidRPr="001042A9">
        <w:rPr>
          <w:rStyle w:val="CharAmPartText"/>
        </w:rPr>
        <w:t xml:space="preserve"> </w:t>
      </w:r>
    </w:p>
    <w:p w14:paraId="19189FE4" w14:textId="77777777" w:rsidR="003D1484" w:rsidRPr="00F50670" w:rsidRDefault="003D1484" w:rsidP="003D1484">
      <w:pPr>
        <w:sectPr w:rsidR="003D1484" w:rsidRPr="00F50670" w:rsidSect="00E753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0BABF93" w14:textId="77777777" w:rsidR="003D1484" w:rsidRPr="00F50670" w:rsidRDefault="003D1484" w:rsidP="003D1484">
      <w:pPr>
        <w:outlineLvl w:val="0"/>
        <w:rPr>
          <w:sz w:val="36"/>
        </w:rPr>
      </w:pPr>
      <w:r w:rsidRPr="00F50670">
        <w:rPr>
          <w:sz w:val="36"/>
        </w:rPr>
        <w:lastRenderedPageBreak/>
        <w:t>Contents</w:t>
      </w:r>
    </w:p>
    <w:bookmarkStart w:id="2" w:name="BKCheck15B_2"/>
    <w:bookmarkEnd w:id="2"/>
    <w:p w14:paraId="77544AC2" w14:textId="1DA7B55D" w:rsidR="0063428F" w:rsidRDefault="00634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3428F">
        <w:rPr>
          <w:noProof/>
        </w:rPr>
        <w:tab/>
      </w:r>
      <w:r w:rsidRPr="0063428F">
        <w:rPr>
          <w:noProof/>
        </w:rPr>
        <w:fldChar w:fldCharType="begin"/>
      </w:r>
      <w:r w:rsidRPr="0063428F">
        <w:rPr>
          <w:noProof/>
        </w:rPr>
        <w:instrText xml:space="preserve"> PAGEREF _Toc88733653 \h </w:instrText>
      </w:r>
      <w:r w:rsidRPr="0063428F">
        <w:rPr>
          <w:noProof/>
        </w:rPr>
      </w:r>
      <w:r w:rsidRPr="0063428F">
        <w:rPr>
          <w:noProof/>
        </w:rPr>
        <w:fldChar w:fldCharType="separate"/>
      </w:r>
      <w:r w:rsidR="0061273F">
        <w:rPr>
          <w:noProof/>
        </w:rPr>
        <w:t>1</w:t>
      </w:r>
      <w:r w:rsidRPr="0063428F">
        <w:rPr>
          <w:noProof/>
        </w:rPr>
        <w:fldChar w:fldCharType="end"/>
      </w:r>
    </w:p>
    <w:p w14:paraId="77C4E4F1" w14:textId="0EC5332D" w:rsidR="0063428F" w:rsidRDefault="00634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3428F">
        <w:rPr>
          <w:noProof/>
        </w:rPr>
        <w:tab/>
      </w:r>
      <w:r w:rsidRPr="0063428F">
        <w:rPr>
          <w:noProof/>
        </w:rPr>
        <w:fldChar w:fldCharType="begin"/>
      </w:r>
      <w:r w:rsidRPr="0063428F">
        <w:rPr>
          <w:noProof/>
        </w:rPr>
        <w:instrText xml:space="preserve"> PAGEREF _Toc88733654 \h </w:instrText>
      </w:r>
      <w:r w:rsidRPr="0063428F">
        <w:rPr>
          <w:noProof/>
        </w:rPr>
      </w:r>
      <w:r w:rsidRPr="0063428F">
        <w:rPr>
          <w:noProof/>
        </w:rPr>
        <w:fldChar w:fldCharType="separate"/>
      </w:r>
      <w:r w:rsidR="0061273F">
        <w:rPr>
          <w:noProof/>
        </w:rPr>
        <w:t>1</w:t>
      </w:r>
      <w:r w:rsidRPr="0063428F">
        <w:rPr>
          <w:noProof/>
        </w:rPr>
        <w:fldChar w:fldCharType="end"/>
      </w:r>
    </w:p>
    <w:p w14:paraId="578FE41D" w14:textId="10AF6621" w:rsidR="0063428F" w:rsidRDefault="00634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3428F">
        <w:rPr>
          <w:noProof/>
        </w:rPr>
        <w:tab/>
      </w:r>
      <w:r w:rsidRPr="0063428F">
        <w:rPr>
          <w:noProof/>
        </w:rPr>
        <w:fldChar w:fldCharType="begin"/>
      </w:r>
      <w:r w:rsidRPr="0063428F">
        <w:rPr>
          <w:noProof/>
        </w:rPr>
        <w:instrText xml:space="preserve"> PAGEREF _Toc88733655 \h </w:instrText>
      </w:r>
      <w:r w:rsidRPr="0063428F">
        <w:rPr>
          <w:noProof/>
        </w:rPr>
      </w:r>
      <w:r w:rsidRPr="0063428F">
        <w:rPr>
          <w:noProof/>
        </w:rPr>
        <w:fldChar w:fldCharType="separate"/>
      </w:r>
      <w:r w:rsidR="0061273F">
        <w:rPr>
          <w:noProof/>
        </w:rPr>
        <w:t>1</w:t>
      </w:r>
      <w:r w:rsidRPr="0063428F">
        <w:rPr>
          <w:noProof/>
        </w:rPr>
        <w:fldChar w:fldCharType="end"/>
      </w:r>
    </w:p>
    <w:p w14:paraId="462F2266" w14:textId="41F9432B" w:rsidR="0063428F" w:rsidRDefault="00634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3428F">
        <w:rPr>
          <w:noProof/>
        </w:rPr>
        <w:tab/>
      </w:r>
      <w:r w:rsidRPr="0063428F">
        <w:rPr>
          <w:noProof/>
        </w:rPr>
        <w:fldChar w:fldCharType="begin"/>
      </w:r>
      <w:r w:rsidRPr="0063428F">
        <w:rPr>
          <w:noProof/>
        </w:rPr>
        <w:instrText xml:space="preserve"> PAGEREF _Toc88733656 \h </w:instrText>
      </w:r>
      <w:r w:rsidRPr="0063428F">
        <w:rPr>
          <w:noProof/>
        </w:rPr>
      </w:r>
      <w:r w:rsidRPr="0063428F">
        <w:rPr>
          <w:noProof/>
        </w:rPr>
        <w:fldChar w:fldCharType="separate"/>
      </w:r>
      <w:r w:rsidR="0061273F">
        <w:rPr>
          <w:noProof/>
        </w:rPr>
        <w:t>1</w:t>
      </w:r>
      <w:r w:rsidRPr="0063428F">
        <w:rPr>
          <w:noProof/>
        </w:rPr>
        <w:fldChar w:fldCharType="end"/>
      </w:r>
    </w:p>
    <w:p w14:paraId="1947722F" w14:textId="1ED9B5C2" w:rsidR="0063428F" w:rsidRDefault="006342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3428F">
        <w:rPr>
          <w:b w:val="0"/>
          <w:noProof/>
          <w:sz w:val="18"/>
        </w:rPr>
        <w:tab/>
      </w:r>
      <w:r w:rsidRPr="0063428F">
        <w:rPr>
          <w:b w:val="0"/>
          <w:noProof/>
          <w:sz w:val="18"/>
        </w:rPr>
        <w:fldChar w:fldCharType="begin"/>
      </w:r>
      <w:r w:rsidRPr="0063428F">
        <w:rPr>
          <w:b w:val="0"/>
          <w:noProof/>
          <w:sz w:val="18"/>
        </w:rPr>
        <w:instrText xml:space="preserve"> PAGEREF _Toc88733657 \h </w:instrText>
      </w:r>
      <w:r w:rsidRPr="0063428F">
        <w:rPr>
          <w:b w:val="0"/>
          <w:noProof/>
          <w:sz w:val="18"/>
        </w:rPr>
      </w:r>
      <w:r w:rsidRPr="0063428F">
        <w:rPr>
          <w:b w:val="0"/>
          <w:noProof/>
          <w:sz w:val="18"/>
        </w:rPr>
        <w:fldChar w:fldCharType="separate"/>
      </w:r>
      <w:r w:rsidR="0061273F">
        <w:rPr>
          <w:b w:val="0"/>
          <w:noProof/>
          <w:sz w:val="18"/>
        </w:rPr>
        <w:t>2</w:t>
      </w:r>
      <w:r w:rsidRPr="0063428F">
        <w:rPr>
          <w:b w:val="0"/>
          <w:noProof/>
          <w:sz w:val="18"/>
        </w:rPr>
        <w:fldChar w:fldCharType="end"/>
      </w:r>
    </w:p>
    <w:p w14:paraId="64F4215B" w14:textId="2B402F69" w:rsidR="0063428F" w:rsidRDefault="0063428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1—Medical devices</w:t>
      </w:r>
      <w:r w:rsidRPr="0063428F">
        <w:rPr>
          <w:noProof/>
          <w:sz w:val="18"/>
        </w:rPr>
        <w:tab/>
      </w:r>
      <w:r w:rsidRPr="0063428F">
        <w:rPr>
          <w:noProof/>
          <w:sz w:val="18"/>
        </w:rPr>
        <w:fldChar w:fldCharType="begin"/>
      </w:r>
      <w:r w:rsidRPr="0063428F">
        <w:rPr>
          <w:noProof/>
          <w:sz w:val="18"/>
        </w:rPr>
        <w:instrText xml:space="preserve"> PAGEREF _Toc88733658 \h </w:instrText>
      </w:r>
      <w:r w:rsidRPr="0063428F">
        <w:rPr>
          <w:noProof/>
          <w:sz w:val="18"/>
        </w:rPr>
      </w:r>
      <w:r w:rsidRPr="0063428F">
        <w:rPr>
          <w:noProof/>
          <w:sz w:val="18"/>
        </w:rPr>
        <w:fldChar w:fldCharType="separate"/>
      </w:r>
      <w:r w:rsidR="0061273F">
        <w:rPr>
          <w:noProof/>
          <w:sz w:val="18"/>
        </w:rPr>
        <w:t>2</w:t>
      </w:r>
      <w:r w:rsidRPr="0063428F">
        <w:rPr>
          <w:noProof/>
          <w:sz w:val="18"/>
        </w:rPr>
        <w:fldChar w:fldCharType="end"/>
      </w:r>
    </w:p>
    <w:p w14:paraId="04B08750" w14:textId="1766AFCA" w:rsidR="0063428F" w:rsidRDefault="006342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Devices) Regulations 2002</w:t>
      </w:r>
      <w:r w:rsidRPr="0063428F">
        <w:rPr>
          <w:i w:val="0"/>
          <w:noProof/>
          <w:sz w:val="18"/>
        </w:rPr>
        <w:tab/>
      </w:r>
      <w:r w:rsidRPr="0063428F">
        <w:rPr>
          <w:i w:val="0"/>
          <w:noProof/>
          <w:sz w:val="18"/>
        </w:rPr>
        <w:fldChar w:fldCharType="begin"/>
      </w:r>
      <w:r w:rsidRPr="0063428F">
        <w:rPr>
          <w:i w:val="0"/>
          <w:noProof/>
          <w:sz w:val="18"/>
        </w:rPr>
        <w:instrText xml:space="preserve"> PAGEREF _Toc88733659 \h </w:instrText>
      </w:r>
      <w:r w:rsidRPr="0063428F">
        <w:rPr>
          <w:i w:val="0"/>
          <w:noProof/>
          <w:sz w:val="18"/>
        </w:rPr>
      </w:r>
      <w:r w:rsidRPr="0063428F">
        <w:rPr>
          <w:i w:val="0"/>
          <w:noProof/>
          <w:sz w:val="18"/>
        </w:rPr>
        <w:fldChar w:fldCharType="separate"/>
      </w:r>
      <w:r w:rsidR="0061273F">
        <w:rPr>
          <w:i w:val="0"/>
          <w:noProof/>
          <w:sz w:val="18"/>
        </w:rPr>
        <w:t>2</w:t>
      </w:r>
      <w:r w:rsidRPr="0063428F">
        <w:rPr>
          <w:i w:val="0"/>
          <w:noProof/>
          <w:sz w:val="18"/>
        </w:rPr>
        <w:fldChar w:fldCharType="end"/>
      </w:r>
    </w:p>
    <w:p w14:paraId="0343C715" w14:textId="1A5DE93E" w:rsidR="0063428F" w:rsidRDefault="0063428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63428F">
        <w:rPr>
          <w:noProof/>
          <w:sz w:val="18"/>
        </w:rPr>
        <w:tab/>
      </w:r>
      <w:r w:rsidRPr="0063428F">
        <w:rPr>
          <w:noProof/>
          <w:sz w:val="18"/>
        </w:rPr>
        <w:fldChar w:fldCharType="begin"/>
      </w:r>
      <w:r w:rsidRPr="0063428F">
        <w:rPr>
          <w:noProof/>
          <w:sz w:val="18"/>
        </w:rPr>
        <w:instrText xml:space="preserve"> PAGEREF _Toc88733662 \h </w:instrText>
      </w:r>
      <w:r w:rsidRPr="0063428F">
        <w:rPr>
          <w:noProof/>
          <w:sz w:val="18"/>
        </w:rPr>
      </w:r>
      <w:r w:rsidRPr="0063428F">
        <w:rPr>
          <w:noProof/>
          <w:sz w:val="18"/>
        </w:rPr>
        <w:fldChar w:fldCharType="separate"/>
      </w:r>
      <w:r w:rsidR="0061273F">
        <w:rPr>
          <w:noProof/>
          <w:sz w:val="18"/>
        </w:rPr>
        <w:t>3</w:t>
      </w:r>
      <w:r w:rsidRPr="0063428F">
        <w:rPr>
          <w:noProof/>
          <w:sz w:val="18"/>
        </w:rPr>
        <w:fldChar w:fldCharType="end"/>
      </w:r>
    </w:p>
    <w:p w14:paraId="5A391AE3" w14:textId="188445E3" w:rsidR="0063428F" w:rsidRDefault="0063428F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 1—Amendments commencing on day after registration</w:t>
      </w:r>
      <w:r w:rsidRPr="0063428F">
        <w:rPr>
          <w:noProof/>
          <w:sz w:val="18"/>
        </w:rPr>
        <w:tab/>
      </w:r>
      <w:r w:rsidRPr="0063428F">
        <w:rPr>
          <w:noProof/>
          <w:sz w:val="18"/>
        </w:rPr>
        <w:fldChar w:fldCharType="begin"/>
      </w:r>
      <w:r w:rsidRPr="0063428F">
        <w:rPr>
          <w:noProof/>
          <w:sz w:val="18"/>
        </w:rPr>
        <w:instrText xml:space="preserve"> PAGEREF _Toc88733663 \h </w:instrText>
      </w:r>
      <w:r w:rsidRPr="0063428F">
        <w:rPr>
          <w:noProof/>
          <w:sz w:val="18"/>
        </w:rPr>
      </w:r>
      <w:r w:rsidRPr="0063428F">
        <w:rPr>
          <w:noProof/>
          <w:sz w:val="18"/>
        </w:rPr>
        <w:fldChar w:fldCharType="separate"/>
      </w:r>
      <w:r w:rsidR="0061273F">
        <w:rPr>
          <w:noProof/>
          <w:sz w:val="18"/>
        </w:rPr>
        <w:t>3</w:t>
      </w:r>
      <w:r w:rsidRPr="0063428F">
        <w:rPr>
          <w:noProof/>
          <w:sz w:val="18"/>
        </w:rPr>
        <w:fldChar w:fldCharType="end"/>
      </w:r>
    </w:p>
    <w:p w14:paraId="5BC96163" w14:textId="4CA5B125" w:rsidR="0063428F" w:rsidRDefault="006342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Regulations 1990</w:t>
      </w:r>
      <w:r w:rsidRPr="0063428F">
        <w:rPr>
          <w:i w:val="0"/>
          <w:noProof/>
          <w:sz w:val="18"/>
        </w:rPr>
        <w:tab/>
      </w:r>
      <w:r w:rsidRPr="0063428F">
        <w:rPr>
          <w:i w:val="0"/>
          <w:noProof/>
          <w:sz w:val="18"/>
        </w:rPr>
        <w:fldChar w:fldCharType="begin"/>
      </w:r>
      <w:r w:rsidRPr="0063428F">
        <w:rPr>
          <w:i w:val="0"/>
          <w:noProof/>
          <w:sz w:val="18"/>
        </w:rPr>
        <w:instrText xml:space="preserve"> PAGEREF _Toc88733664 \h </w:instrText>
      </w:r>
      <w:r w:rsidRPr="0063428F">
        <w:rPr>
          <w:i w:val="0"/>
          <w:noProof/>
          <w:sz w:val="18"/>
        </w:rPr>
      </w:r>
      <w:r w:rsidRPr="0063428F">
        <w:rPr>
          <w:i w:val="0"/>
          <w:noProof/>
          <w:sz w:val="18"/>
        </w:rPr>
        <w:fldChar w:fldCharType="separate"/>
      </w:r>
      <w:r w:rsidR="0061273F">
        <w:rPr>
          <w:i w:val="0"/>
          <w:noProof/>
          <w:sz w:val="18"/>
        </w:rPr>
        <w:t>3</w:t>
      </w:r>
      <w:r w:rsidRPr="0063428F">
        <w:rPr>
          <w:i w:val="0"/>
          <w:noProof/>
          <w:sz w:val="18"/>
        </w:rPr>
        <w:fldChar w:fldCharType="end"/>
      </w:r>
    </w:p>
    <w:p w14:paraId="57AA0B86" w14:textId="3C3029D6" w:rsidR="0063428F" w:rsidRDefault="0063428F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 2—Amendments commencing on 1 January 2022</w:t>
      </w:r>
      <w:r w:rsidRPr="0063428F">
        <w:rPr>
          <w:noProof/>
          <w:sz w:val="18"/>
        </w:rPr>
        <w:tab/>
      </w:r>
      <w:r w:rsidRPr="0063428F">
        <w:rPr>
          <w:noProof/>
          <w:sz w:val="18"/>
        </w:rPr>
        <w:fldChar w:fldCharType="begin"/>
      </w:r>
      <w:r w:rsidRPr="0063428F">
        <w:rPr>
          <w:noProof/>
          <w:sz w:val="18"/>
        </w:rPr>
        <w:instrText xml:space="preserve"> PAGEREF _Toc88733667 \h </w:instrText>
      </w:r>
      <w:r w:rsidRPr="0063428F">
        <w:rPr>
          <w:noProof/>
          <w:sz w:val="18"/>
        </w:rPr>
      </w:r>
      <w:r w:rsidRPr="0063428F">
        <w:rPr>
          <w:noProof/>
          <w:sz w:val="18"/>
        </w:rPr>
        <w:fldChar w:fldCharType="separate"/>
      </w:r>
      <w:r w:rsidR="0061273F">
        <w:rPr>
          <w:noProof/>
          <w:sz w:val="18"/>
        </w:rPr>
        <w:t>4</w:t>
      </w:r>
      <w:r w:rsidRPr="0063428F">
        <w:rPr>
          <w:noProof/>
          <w:sz w:val="18"/>
        </w:rPr>
        <w:fldChar w:fldCharType="end"/>
      </w:r>
    </w:p>
    <w:p w14:paraId="3188F77C" w14:textId="0E4040B9" w:rsidR="0063428F" w:rsidRDefault="006342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Regulations 1990</w:t>
      </w:r>
      <w:r w:rsidRPr="0063428F">
        <w:rPr>
          <w:i w:val="0"/>
          <w:noProof/>
          <w:sz w:val="18"/>
        </w:rPr>
        <w:tab/>
      </w:r>
      <w:r w:rsidRPr="0063428F">
        <w:rPr>
          <w:i w:val="0"/>
          <w:noProof/>
          <w:sz w:val="18"/>
        </w:rPr>
        <w:fldChar w:fldCharType="begin"/>
      </w:r>
      <w:r w:rsidRPr="0063428F">
        <w:rPr>
          <w:i w:val="0"/>
          <w:noProof/>
          <w:sz w:val="18"/>
        </w:rPr>
        <w:instrText xml:space="preserve"> PAGEREF _Toc88733668 \h </w:instrText>
      </w:r>
      <w:r w:rsidRPr="0063428F">
        <w:rPr>
          <w:i w:val="0"/>
          <w:noProof/>
          <w:sz w:val="18"/>
        </w:rPr>
      </w:r>
      <w:r w:rsidRPr="0063428F">
        <w:rPr>
          <w:i w:val="0"/>
          <w:noProof/>
          <w:sz w:val="18"/>
        </w:rPr>
        <w:fldChar w:fldCharType="separate"/>
      </w:r>
      <w:r w:rsidR="0061273F">
        <w:rPr>
          <w:i w:val="0"/>
          <w:noProof/>
          <w:sz w:val="18"/>
        </w:rPr>
        <w:t>4</w:t>
      </w:r>
      <w:r w:rsidRPr="0063428F">
        <w:rPr>
          <w:i w:val="0"/>
          <w:noProof/>
          <w:sz w:val="18"/>
        </w:rPr>
        <w:fldChar w:fldCharType="end"/>
      </w:r>
    </w:p>
    <w:p w14:paraId="6E8B27C9" w14:textId="77777777" w:rsidR="003D1484" w:rsidRPr="00F50670" w:rsidRDefault="0063428F" w:rsidP="003D1484">
      <w:r>
        <w:fldChar w:fldCharType="end"/>
      </w:r>
    </w:p>
    <w:p w14:paraId="6B823EC1" w14:textId="77777777" w:rsidR="003D1484" w:rsidRPr="00F50670" w:rsidRDefault="003D1484" w:rsidP="003D1484">
      <w:pPr>
        <w:sectPr w:rsidR="003D1484" w:rsidRPr="00F50670" w:rsidSect="00E7539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AE7250" w14:textId="77777777" w:rsidR="003D1484" w:rsidRPr="00F50670" w:rsidRDefault="003D1484" w:rsidP="003D1484">
      <w:pPr>
        <w:pStyle w:val="ActHead5"/>
      </w:pPr>
      <w:bookmarkStart w:id="3" w:name="_Toc88733653"/>
      <w:r w:rsidRPr="001042A9">
        <w:rPr>
          <w:rStyle w:val="CharSectno"/>
        </w:rPr>
        <w:lastRenderedPageBreak/>
        <w:t>1</w:t>
      </w:r>
      <w:r w:rsidRPr="00F50670">
        <w:t xml:space="preserve">  Name</w:t>
      </w:r>
      <w:bookmarkEnd w:id="3"/>
    </w:p>
    <w:p w14:paraId="05645F2D" w14:textId="77777777" w:rsidR="003D1484" w:rsidRPr="00F50670" w:rsidRDefault="003D1484" w:rsidP="003D1484">
      <w:pPr>
        <w:pStyle w:val="subsection"/>
      </w:pPr>
      <w:r w:rsidRPr="00F50670">
        <w:tab/>
      </w:r>
      <w:r w:rsidRPr="00F50670">
        <w:tab/>
        <w:t xml:space="preserve">This instrument is the </w:t>
      </w:r>
      <w:r w:rsidRPr="00F50670">
        <w:rPr>
          <w:i/>
        </w:rPr>
        <w:t>Therapeutic Goods Legislation Amendment (2021 Measures No. 4) Regulations 2021</w:t>
      </w:r>
      <w:r w:rsidRPr="00F50670">
        <w:t>.</w:t>
      </w:r>
    </w:p>
    <w:p w14:paraId="76A3FB6A" w14:textId="77777777" w:rsidR="003D1484" w:rsidRPr="00F50670" w:rsidRDefault="003D1484" w:rsidP="003D1484">
      <w:pPr>
        <w:pStyle w:val="ActHead5"/>
      </w:pPr>
      <w:bookmarkStart w:id="4" w:name="_Toc88733654"/>
      <w:r w:rsidRPr="001042A9">
        <w:rPr>
          <w:rStyle w:val="CharSectno"/>
        </w:rPr>
        <w:t>2</w:t>
      </w:r>
      <w:r w:rsidRPr="00F50670">
        <w:t xml:space="preserve">  Commencement</w:t>
      </w:r>
      <w:bookmarkEnd w:id="4"/>
    </w:p>
    <w:p w14:paraId="0BF108F2" w14:textId="77777777" w:rsidR="003D1484" w:rsidRPr="00F50670" w:rsidRDefault="003D1484" w:rsidP="003D1484">
      <w:pPr>
        <w:pStyle w:val="subsection"/>
      </w:pPr>
      <w:r w:rsidRPr="00F50670">
        <w:tab/>
        <w:t>(1)</w:t>
      </w:r>
      <w:r w:rsidRPr="00F5067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F0F412" w14:textId="77777777" w:rsidR="003D1484" w:rsidRPr="00F50670" w:rsidRDefault="003D1484" w:rsidP="003D1484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D1484" w:rsidRPr="00F50670" w14:paraId="6366F036" w14:textId="77777777" w:rsidTr="00F95C96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D02D4F" w14:textId="77777777" w:rsidR="003D1484" w:rsidRPr="00F50670" w:rsidRDefault="003D1484" w:rsidP="00F95C96">
            <w:pPr>
              <w:pStyle w:val="TableHeading"/>
            </w:pPr>
            <w:r w:rsidRPr="00F50670">
              <w:t>Commencement information</w:t>
            </w:r>
          </w:p>
        </w:tc>
      </w:tr>
      <w:tr w:rsidR="003D1484" w:rsidRPr="00F50670" w14:paraId="62302383" w14:textId="77777777" w:rsidTr="00F95C96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1A3083" w14:textId="77777777" w:rsidR="003D1484" w:rsidRPr="00F50670" w:rsidRDefault="003D1484" w:rsidP="00F95C96">
            <w:pPr>
              <w:pStyle w:val="TableHeading"/>
            </w:pPr>
            <w:r w:rsidRPr="00F50670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C41D2F" w14:textId="77777777" w:rsidR="003D1484" w:rsidRPr="00F50670" w:rsidRDefault="003D1484" w:rsidP="00F95C96">
            <w:pPr>
              <w:pStyle w:val="TableHeading"/>
            </w:pPr>
            <w:r w:rsidRPr="00F50670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A056D6" w14:textId="77777777" w:rsidR="003D1484" w:rsidRPr="00F50670" w:rsidRDefault="003D1484" w:rsidP="00F95C96">
            <w:pPr>
              <w:pStyle w:val="TableHeading"/>
            </w:pPr>
            <w:r w:rsidRPr="00F50670">
              <w:t>Column 3</w:t>
            </w:r>
          </w:p>
        </w:tc>
      </w:tr>
      <w:tr w:rsidR="003D1484" w:rsidRPr="00F50670" w14:paraId="069D0F75" w14:textId="77777777" w:rsidTr="00F95C96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CF3546" w14:textId="77777777" w:rsidR="003D1484" w:rsidRPr="00F50670" w:rsidRDefault="003D1484" w:rsidP="00F95C96">
            <w:pPr>
              <w:pStyle w:val="TableHeading"/>
            </w:pPr>
            <w:r w:rsidRPr="00F50670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3BB2B9" w14:textId="77777777" w:rsidR="003D1484" w:rsidRPr="00F50670" w:rsidRDefault="003D1484" w:rsidP="00F95C96">
            <w:pPr>
              <w:pStyle w:val="TableHeading"/>
            </w:pPr>
            <w:r w:rsidRPr="00F50670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41317" w14:textId="77777777" w:rsidR="003D1484" w:rsidRPr="00F50670" w:rsidRDefault="003D1484" w:rsidP="00F95C96">
            <w:pPr>
              <w:pStyle w:val="TableHeading"/>
            </w:pPr>
            <w:r w:rsidRPr="00F50670">
              <w:t>Date/Details</w:t>
            </w:r>
          </w:p>
        </w:tc>
      </w:tr>
      <w:tr w:rsidR="003D1484" w:rsidRPr="00F50670" w14:paraId="1BD2ED82" w14:textId="77777777" w:rsidTr="00F95C96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66B486" w14:textId="77777777" w:rsidR="003D1484" w:rsidRPr="00F50670" w:rsidRDefault="003D1484" w:rsidP="00F95C96">
            <w:pPr>
              <w:pStyle w:val="Tabletext"/>
            </w:pPr>
            <w:r w:rsidRPr="00F50670">
              <w:t>1.  Sections 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285B49" w14:textId="77777777" w:rsidR="003D1484" w:rsidRPr="00F50670" w:rsidRDefault="003D1484" w:rsidP="00F95C96">
            <w:pPr>
              <w:pStyle w:val="Tabletext"/>
            </w:pPr>
            <w:r w:rsidRPr="00F50670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42DADC" w14:textId="3D16AC5A" w:rsidR="003D1484" w:rsidRPr="00F50670" w:rsidRDefault="00B87F83" w:rsidP="00F95C96">
            <w:pPr>
              <w:pStyle w:val="Tabletext"/>
            </w:pPr>
            <w:r>
              <w:t>18 December 2021</w:t>
            </w:r>
          </w:p>
        </w:tc>
      </w:tr>
      <w:tr w:rsidR="003D1484" w:rsidRPr="00F50670" w14:paraId="2F63F94F" w14:textId="77777777" w:rsidTr="00F95C96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EE67ED" w14:textId="77777777" w:rsidR="003D1484" w:rsidRPr="00F50670" w:rsidRDefault="003D1484" w:rsidP="00F95C96">
            <w:pPr>
              <w:pStyle w:val="Tabletext"/>
            </w:pPr>
            <w:r w:rsidRPr="00F50670">
              <w:t>2.  Schedule 1, Part 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159E74" w14:textId="77777777" w:rsidR="003D1484" w:rsidRPr="00F50670" w:rsidRDefault="003D1484" w:rsidP="00F95C96">
            <w:pPr>
              <w:pStyle w:val="Tabletext"/>
            </w:pPr>
            <w:r w:rsidRPr="00F50670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6C9A30" w14:textId="40E131DC" w:rsidR="003D1484" w:rsidRPr="00F50670" w:rsidRDefault="00B87F83" w:rsidP="00F95C96">
            <w:pPr>
              <w:pStyle w:val="Tabletext"/>
            </w:pPr>
            <w:r>
              <w:t>18 December 2021</w:t>
            </w:r>
          </w:p>
        </w:tc>
      </w:tr>
      <w:tr w:rsidR="003D1484" w:rsidRPr="00F50670" w14:paraId="20F1101C" w14:textId="77777777" w:rsidTr="00F95C96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600552" w14:textId="77777777" w:rsidR="003D1484" w:rsidRPr="00F50670" w:rsidRDefault="003D1484" w:rsidP="00F95C96">
            <w:pPr>
              <w:pStyle w:val="Tabletext"/>
            </w:pPr>
            <w:r w:rsidRPr="00F50670">
              <w:t>3.  Schedule 1, Part 2, Division 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B8E86A" w14:textId="77777777" w:rsidR="003D1484" w:rsidRPr="00F50670" w:rsidRDefault="003D1484" w:rsidP="00F95C96">
            <w:pPr>
              <w:pStyle w:val="Tabletext"/>
            </w:pPr>
            <w:r w:rsidRPr="00F50670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B90B3D" w14:textId="389AE112" w:rsidR="003D1484" w:rsidRPr="00F50670" w:rsidRDefault="00B87F83" w:rsidP="00F95C96">
            <w:pPr>
              <w:pStyle w:val="Tabletext"/>
            </w:pPr>
            <w:r>
              <w:t>18 December 2021</w:t>
            </w:r>
          </w:p>
        </w:tc>
      </w:tr>
      <w:tr w:rsidR="003D1484" w:rsidRPr="00F50670" w14:paraId="351462CB" w14:textId="77777777" w:rsidTr="00F95C96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03B9B1" w14:textId="77777777" w:rsidR="003D1484" w:rsidRPr="00F50670" w:rsidRDefault="003D1484" w:rsidP="00F95C96">
            <w:pPr>
              <w:pStyle w:val="Tabletext"/>
            </w:pPr>
            <w:r w:rsidRPr="00F50670">
              <w:t>4.  Schedule 1, Part 2, Division 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8F7ABFE" w14:textId="77777777" w:rsidR="003D1484" w:rsidRPr="00F50670" w:rsidRDefault="003D1484" w:rsidP="00F95C96">
            <w:pPr>
              <w:pStyle w:val="Tabletext"/>
            </w:pPr>
            <w:r w:rsidRPr="00F50670">
              <w:t>1 January 2022.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08E104F" w14:textId="77777777" w:rsidR="003D1484" w:rsidRPr="00F50670" w:rsidRDefault="003D1484" w:rsidP="00F95C96">
            <w:pPr>
              <w:pStyle w:val="Tabletext"/>
            </w:pPr>
            <w:r w:rsidRPr="00F50670">
              <w:t>1 January 2022</w:t>
            </w:r>
            <w:bookmarkStart w:id="5" w:name="_GoBack"/>
            <w:bookmarkEnd w:id="5"/>
          </w:p>
        </w:tc>
      </w:tr>
    </w:tbl>
    <w:p w14:paraId="6A1ED325" w14:textId="77777777" w:rsidR="003D1484" w:rsidRPr="00F50670" w:rsidRDefault="003D1484" w:rsidP="003D1484">
      <w:pPr>
        <w:pStyle w:val="notetext"/>
      </w:pPr>
      <w:r w:rsidRPr="00F50670">
        <w:rPr>
          <w:snapToGrid w:val="0"/>
          <w:lang w:eastAsia="en-US"/>
        </w:rPr>
        <w:t>Note:</w:t>
      </w:r>
      <w:r w:rsidRPr="00F50670">
        <w:rPr>
          <w:snapToGrid w:val="0"/>
          <w:lang w:eastAsia="en-US"/>
        </w:rPr>
        <w:tab/>
        <w:t xml:space="preserve">This table relates only to the provisions of this </w:t>
      </w:r>
      <w:r w:rsidRPr="00F50670">
        <w:t xml:space="preserve">instrument </w:t>
      </w:r>
      <w:r w:rsidRPr="00F50670">
        <w:rPr>
          <w:snapToGrid w:val="0"/>
          <w:lang w:eastAsia="en-US"/>
        </w:rPr>
        <w:t xml:space="preserve">as originally made. It will not be amended to deal with any later amendments of this </w:t>
      </w:r>
      <w:r w:rsidRPr="00F50670">
        <w:t>instrument</w:t>
      </w:r>
      <w:r w:rsidRPr="00F50670">
        <w:rPr>
          <w:snapToGrid w:val="0"/>
          <w:lang w:eastAsia="en-US"/>
        </w:rPr>
        <w:t>.</w:t>
      </w:r>
    </w:p>
    <w:p w14:paraId="3B9724A2" w14:textId="77777777" w:rsidR="003D1484" w:rsidRPr="00F50670" w:rsidRDefault="003D1484" w:rsidP="003D1484">
      <w:pPr>
        <w:pStyle w:val="subsection"/>
      </w:pPr>
      <w:r w:rsidRPr="00F50670">
        <w:tab/>
        <w:t>(2)</w:t>
      </w:r>
      <w:r w:rsidRPr="00F5067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652DCC" w14:textId="77777777" w:rsidR="003D1484" w:rsidRPr="00F50670" w:rsidRDefault="003D1484" w:rsidP="003D1484">
      <w:pPr>
        <w:pStyle w:val="ActHead5"/>
      </w:pPr>
      <w:bookmarkStart w:id="6" w:name="_Toc88733655"/>
      <w:r w:rsidRPr="001042A9">
        <w:rPr>
          <w:rStyle w:val="CharSectno"/>
        </w:rPr>
        <w:t>3</w:t>
      </w:r>
      <w:r w:rsidRPr="00F50670">
        <w:t xml:space="preserve">  Authority</w:t>
      </w:r>
      <w:bookmarkEnd w:id="6"/>
    </w:p>
    <w:p w14:paraId="349AC7DF" w14:textId="77777777" w:rsidR="003D1484" w:rsidRPr="00F50670" w:rsidRDefault="003D1484" w:rsidP="003D1484">
      <w:pPr>
        <w:pStyle w:val="subsection"/>
      </w:pPr>
      <w:r w:rsidRPr="00F50670">
        <w:tab/>
      </w:r>
      <w:r w:rsidRPr="00F50670">
        <w:tab/>
        <w:t xml:space="preserve">This instrument is made under the </w:t>
      </w:r>
      <w:r w:rsidRPr="00F50670">
        <w:rPr>
          <w:i/>
        </w:rPr>
        <w:t>Therapeutic Goods Act 1989</w:t>
      </w:r>
      <w:r w:rsidRPr="00F50670">
        <w:t>.</w:t>
      </w:r>
    </w:p>
    <w:p w14:paraId="30F28AE8" w14:textId="77777777" w:rsidR="003D1484" w:rsidRPr="00F50670" w:rsidRDefault="003D1484" w:rsidP="003D1484">
      <w:pPr>
        <w:pStyle w:val="ActHead5"/>
      </w:pPr>
      <w:bookmarkStart w:id="7" w:name="_Toc88733656"/>
      <w:r w:rsidRPr="001042A9">
        <w:rPr>
          <w:rStyle w:val="CharSectno"/>
        </w:rPr>
        <w:t>4</w:t>
      </w:r>
      <w:r w:rsidRPr="00F50670">
        <w:t xml:space="preserve">  Schedules</w:t>
      </w:r>
      <w:bookmarkEnd w:id="7"/>
    </w:p>
    <w:p w14:paraId="63C7B867" w14:textId="77777777" w:rsidR="003D1484" w:rsidRPr="00F50670" w:rsidRDefault="003D1484" w:rsidP="003D1484">
      <w:pPr>
        <w:pStyle w:val="subsection"/>
      </w:pPr>
      <w:r w:rsidRPr="00F50670">
        <w:tab/>
      </w:r>
      <w:r w:rsidRPr="00F5067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FFA2440" w14:textId="77777777" w:rsidR="003D1484" w:rsidRPr="00F50670" w:rsidRDefault="003D1484" w:rsidP="003D1484">
      <w:pPr>
        <w:pStyle w:val="ActHead6"/>
        <w:pageBreakBefore/>
      </w:pPr>
      <w:bookmarkStart w:id="8" w:name="_Toc88733657"/>
      <w:bookmarkStart w:id="9" w:name="opcAmSched"/>
      <w:bookmarkStart w:id="10" w:name="opcCurrentFind"/>
      <w:r w:rsidRPr="001042A9">
        <w:rPr>
          <w:rStyle w:val="CharAmSchNo"/>
        </w:rPr>
        <w:lastRenderedPageBreak/>
        <w:t>Schedule 1</w:t>
      </w:r>
      <w:r w:rsidRPr="00F50670">
        <w:t>—</w:t>
      </w:r>
      <w:r w:rsidRPr="001042A9">
        <w:rPr>
          <w:rStyle w:val="CharAmSchText"/>
        </w:rPr>
        <w:t>Amendments</w:t>
      </w:r>
      <w:bookmarkEnd w:id="8"/>
    </w:p>
    <w:p w14:paraId="3A4DAD7A" w14:textId="77777777" w:rsidR="003D1484" w:rsidRPr="00F50670" w:rsidRDefault="003D1484" w:rsidP="003D1484">
      <w:pPr>
        <w:pStyle w:val="ActHead7"/>
      </w:pPr>
      <w:bookmarkStart w:id="11" w:name="_Toc88733658"/>
      <w:bookmarkEnd w:id="9"/>
      <w:bookmarkEnd w:id="10"/>
      <w:r w:rsidRPr="001042A9">
        <w:rPr>
          <w:rStyle w:val="CharAmPartNo"/>
        </w:rPr>
        <w:t>Part 1</w:t>
      </w:r>
      <w:r w:rsidRPr="00F50670">
        <w:t>—</w:t>
      </w:r>
      <w:r w:rsidRPr="001042A9">
        <w:rPr>
          <w:rStyle w:val="CharAmPartText"/>
        </w:rPr>
        <w:t>Medical devices</w:t>
      </w:r>
      <w:bookmarkEnd w:id="11"/>
    </w:p>
    <w:p w14:paraId="5104EF78" w14:textId="77777777" w:rsidR="003D1484" w:rsidRPr="00F50670" w:rsidRDefault="003D1484" w:rsidP="003D1484">
      <w:pPr>
        <w:pStyle w:val="ActHead9"/>
      </w:pPr>
      <w:bookmarkStart w:id="12" w:name="_Toc88733659"/>
      <w:r w:rsidRPr="00F50670">
        <w:t>Therapeutic Goods (Medical Devices) Regulations 2002</w:t>
      </w:r>
      <w:bookmarkEnd w:id="12"/>
    </w:p>
    <w:p w14:paraId="4563B9BE" w14:textId="77777777" w:rsidR="003D1484" w:rsidRPr="00F50670" w:rsidRDefault="003D1484" w:rsidP="003D1484">
      <w:pPr>
        <w:pStyle w:val="ItemHead"/>
        <w:rPr>
          <w:lang w:eastAsia="en-US"/>
        </w:rPr>
      </w:pPr>
      <w:r>
        <w:rPr>
          <w:lang w:eastAsia="en-US"/>
        </w:rPr>
        <w:t>1</w:t>
      </w:r>
      <w:r w:rsidRPr="00F50670">
        <w:rPr>
          <w:lang w:eastAsia="en-US"/>
        </w:rPr>
        <w:t xml:space="preserve">  In the appropriate position in Part 11</w:t>
      </w:r>
    </w:p>
    <w:p w14:paraId="1DD97E20" w14:textId="77777777" w:rsidR="003D1484" w:rsidRPr="00F50670" w:rsidRDefault="003D1484" w:rsidP="003D1484">
      <w:pPr>
        <w:pStyle w:val="Item"/>
        <w:rPr>
          <w:lang w:eastAsia="en-US"/>
        </w:rPr>
      </w:pPr>
      <w:r w:rsidRPr="00F50670">
        <w:rPr>
          <w:lang w:eastAsia="en-US"/>
        </w:rPr>
        <w:t>Insert:</w:t>
      </w:r>
    </w:p>
    <w:p w14:paraId="3BC84BC5" w14:textId="77777777" w:rsidR="003D1484" w:rsidRPr="00F50670" w:rsidRDefault="003D1484" w:rsidP="003D1484">
      <w:pPr>
        <w:pStyle w:val="ActHead3"/>
      </w:pPr>
      <w:bookmarkStart w:id="13" w:name="_Toc88733660"/>
      <w:r w:rsidRPr="001042A9">
        <w:rPr>
          <w:rStyle w:val="CharDivNo"/>
        </w:rPr>
        <w:t>Division 11.14</w:t>
      </w:r>
      <w:r w:rsidRPr="00F50670">
        <w:t>—</w:t>
      </w:r>
      <w:r w:rsidRPr="001042A9">
        <w:rPr>
          <w:rStyle w:val="CharDivText"/>
        </w:rPr>
        <w:t>Application provisions relating to the Therapeutic Goods Legislation Amendment (2021 Measures No. 4) Regulations 2021</w:t>
      </w:r>
      <w:bookmarkEnd w:id="13"/>
    </w:p>
    <w:p w14:paraId="0E0F9C9C" w14:textId="77777777" w:rsidR="003D1484" w:rsidRPr="00F50670" w:rsidRDefault="003D1484" w:rsidP="003D1484">
      <w:pPr>
        <w:pStyle w:val="ActHead5"/>
      </w:pPr>
      <w:bookmarkStart w:id="14" w:name="_Toc88733661"/>
      <w:r w:rsidRPr="001042A9">
        <w:rPr>
          <w:rStyle w:val="CharSectno"/>
        </w:rPr>
        <w:t>11.67</w:t>
      </w:r>
      <w:r w:rsidRPr="00F50670">
        <w:t xml:space="preserve">  Patient implant cards and patient information leaflets</w:t>
      </w:r>
      <w:bookmarkEnd w:id="14"/>
    </w:p>
    <w:p w14:paraId="07F7D090" w14:textId="77777777" w:rsidR="003D1484" w:rsidRPr="00F50670" w:rsidRDefault="003D1484" w:rsidP="003D1484">
      <w:pPr>
        <w:pStyle w:val="subsection"/>
      </w:pPr>
      <w:r w:rsidRPr="00F50670">
        <w:tab/>
      </w:r>
      <w:r w:rsidRPr="00F50670">
        <w:tab/>
        <w:t xml:space="preserve">The amendments of clause 13A.1 of Schedule 1 made by Part 1 of Schedule 1 to the </w:t>
      </w:r>
      <w:r w:rsidRPr="00F50670">
        <w:rPr>
          <w:i/>
        </w:rPr>
        <w:t>Therapeutic Goods Legislation Amendment (2021 Measures No. 4) Regulations 2021</w:t>
      </w:r>
      <w:r w:rsidRPr="00F50670">
        <w:t xml:space="preserve"> apply in relation to a medical device that is imported, supplied or exported on or after the commencement of that Part.</w:t>
      </w:r>
    </w:p>
    <w:p w14:paraId="4908C727" w14:textId="77777777" w:rsidR="003D1484" w:rsidRPr="00F50670" w:rsidRDefault="003D1484" w:rsidP="003D1484">
      <w:pPr>
        <w:pStyle w:val="ItemHead"/>
      </w:pPr>
      <w:r>
        <w:t>2</w:t>
      </w:r>
      <w:r w:rsidRPr="00F50670">
        <w:t xml:space="preserve">  Clause 13A.1 of Schedule 1</w:t>
      </w:r>
    </w:p>
    <w:p w14:paraId="70CD0EC3" w14:textId="77777777" w:rsidR="003D1484" w:rsidRPr="00F50670" w:rsidRDefault="003D1484" w:rsidP="003D1484">
      <w:pPr>
        <w:pStyle w:val="Item"/>
      </w:pPr>
      <w:r w:rsidRPr="00F50670">
        <w:t>Before “Clauses”, insert “(1)”.</w:t>
      </w:r>
    </w:p>
    <w:p w14:paraId="05BC48C1" w14:textId="77777777" w:rsidR="003D1484" w:rsidRPr="00F50670" w:rsidRDefault="003D1484" w:rsidP="003D1484">
      <w:pPr>
        <w:pStyle w:val="ItemHead"/>
      </w:pPr>
      <w:r>
        <w:t>3</w:t>
      </w:r>
      <w:r w:rsidRPr="00F50670">
        <w:t xml:space="preserve">  At the end of clause 13A.1 of Schedule 1</w:t>
      </w:r>
    </w:p>
    <w:p w14:paraId="233FB59C" w14:textId="77777777" w:rsidR="003D1484" w:rsidRPr="00F50670" w:rsidRDefault="003D1484" w:rsidP="003D1484">
      <w:pPr>
        <w:pStyle w:val="Item"/>
      </w:pPr>
      <w:r w:rsidRPr="00F50670">
        <w:t>Add:</w:t>
      </w:r>
    </w:p>
    <w:p w14:paraId="5E26DC90" w14:textId="77777777" w:rsidR="003D1484" w:rsidRPr="00F50670" w:rsidRDefault="003D1484" w:rsidP="003D1484">
      <w:pPr>
        <w:pStyle w:val="paragraph"/>
      </w:pPr>
      <w:r w:rsidRPr="00F50670">
        <w:tab/>
        <w:t>; and (c)</w:t>
      </w:r>
      <w:r w:rsidRPr="00F50670">
        <w:tab/>
        <w:t>not a medical device to which subclause (2) applies.</w:t>
      </w:r>
    </w:p>
    <w:p w14:paraId="13E877AD" w14:textId="77777777" w:rsidR="003D1484" w:rsidRPr="00F50670" w:rsidRDefault="003D1484" w:rsidP="003D1484">
      <w:pPr>
        <w:pStyle w:val="subsection"/>
      </w:pPr>
      <w:r w:rsidRPr="00F50670">
        <w:tab/>
        <w:t>(2)</w:t>
      </w:r>
      <w:r w:rsidRPr="00F50670">
        <w:tab/>
        <w:t xml:space="preserve">This </w:t>
      </w:r>
      <w:r>
        <w:t>sub</w:t>
      </w:r>
      <w:r w:rsidRPr="00F50670">
        <w:t>clause applies to a medical device if:</w:t>
      </w:r>
    </w:p>
    <w:p w14:paraId="5843E8E2" w14:textId="77777777" w:rsidR="003D1484" w:rsidRPr="00F50670" w:rsidRDefault="003D1484" w:rsidP="003D1484">
      <w:pPr>
        <w:pStyle w:val="paragraph"/>
      </w:pPr>
      <w:r w:rsidRPr="00F50670">
        <w:tab/>
        <w:t>(a)</w:t>
      </w:r>
      <w:r w:rsidRPr="00F50670">
        <w:tab/>
        <w:t>the medical device is intended by the manufacturer to be wholly, or mostly, absorbed by a patient’s body within 6 months of being implanted; and</w:t>
      </w:r>
    </w:p>
    <w:p w14:paraId="404A196B" w14:textId="77777777" w:rsidR="003D1484" w:rsidRPr="00F50670" w:rsidRDefault="003D1484" w:rsidP="003D1484">
      <w:pPr>
        <w:pStyle w:val="paragraph"/>
      </w:pPr>
      <w:r w:rsidRPr="00F50670">
        <w:tab/>
        <w:t>(b)</w:t>
      </w:r>
      <w:r w:rsidRPr="00F50670">
        <w:tab/>
        <w:t>the medical device is:</w:t>
      </w:r>
    </w:p>
    <w:p w14:paraId="75BDE640" w14:textId="77777777" w:rsidR="003D1484" w:rsidRPr="00F50670" w:rsidRDefault="003D1484" w:rsidP="003D1484">
      <w:pPr>
        <w:pStyle w:val="paragraphsub"/>
      </w:pPr>
      <w:r w:rsidRPr="00F50670">
        <w:tab/>
        <w:t>(</w:t>
      </w:r>
      <w:proofErr w:type="spellStart"/>
      <w:r w:rsidRPr="00F50670">
        <w:t>i</w:t>
      </w:r>
      <w:proofErr w:type="spellEnd"/>
      <w:r w:rsidRPr="00F50670">
        <w:t>)</w:t>
      </w:r>
      <w:r w:rsidRPr="00F50670">
        <w:tab/>
        <w:t>for use as a filler; or</w:t>
      </w:r>
    </w:p>
    <w:p w14:paraId="113710ED" w14:textId="77777777" w:rsidR="003D1484" w:rsidRPr="00F50670" w:rsidRDefault="003D1484" w:rsidP="003D1484">
      <w:pPr>
        <w:pStyle w:val="paragraphsub"/>
        <w:rPr>
          <w:lang w:eastAsia="en-US"/>
        </w:rPr>
      </w:pPr>
      <w:r w:rsidRPr="00F50670">
        <w:tab/>
        <w:t>(ii)</w:t>
      </w:r>
      <w:r w:rsidRPr="00F50670">
        <w:tab/>
      </w:r>
      <w:r w:rsidRPr="00F50670">
        <w:rPr>
          <w:lang w:eastAsia="en-US"/>
        </w:rPr>
        <w:t>for haemostasis; or</w:t>
      </w:r>
    </w:p>
    <w:p w14:paraId="08910854" w14:textId="77777777" w:rsidR="003D1484" w:rsidRPr="00F50670" w:rsidRDefault="003D1484" w:rsidP="003D1484">
      <w:pPr>
        <w:pStyle w:val="paragraphsub"/>
        <w:rPr>
          <w:lang w:eastAsia="en-US"/>
        </w:rPr>
      </w:pPr>
      <w:r w:rsidRPr="00F50670">
        <w:rPr>
          <w:lang w:eastAsia="en-US"/>
        </w:rPr>
        <w:tab/>
        <w:t>(iii)</w:t>
      </w:r>
      <w:r w:rsidRPr="00F50670">
        <w:rPr>
          <w:lang w:eastAsia="en-US"/>
        </w:rPr>
        <w:tab/>
        <w:t>for tissue approximation; or</w:t>
      </w:r>
    </w:p>
    <w:p w14:paraId="3EF922C8" w14:textId="77777777" w:rsidR="003D1484" w:rsidRPr="00F50670" w:rsidRDefault="003D1484" w:rsidP="003D1484">
      <w:pPr>
        <w:pStyle w:val="paragraphsub"/>
        <w:rPr>
          <w:lang w:eastAsia="en-US"/>
        </w:rPr>
      </w:pPr>
      <w:r w:rsidRPr="00F50670">
        <w:rPr>
          <w:lang w:eastAsia="en-US"/>
        </w:rPr>
        <w:tab/>
        <w:t>(iv)</w:t>
      </w:r>
      <w:r w:rsidRPr="00F50670">
        <w:rPr>
          <w:lang w:eastAsia="en-US"/>
        </w:rPr>
        <w:tab/>
        <w:t>for the fixation of other medical devices within tissue; or</w:t>
      </w:r>
    </w:p>
    <w:p w14:paraId="76B82932" w14:textId="77777777" w:rsidR="003D1484" w:rsidRPr="00F50670" w:rsidRDefault="003D1484" w:rsidP="003D1484">
      <w:pPr>
        <w:pStyle w:val="paragraphsub"/>
        <w:rPr>
          <w:lang w:eastAsia="en-US"/>
        </w:rPr>
      </w:pPr>
      <w:r w:rsidRPr="00F50670">
        <w:rPr>
          <w:lang w:eastAsia="en-US"/>
        </w:rPr>
        <w:tab/>
        <w:t>(v)</w:t>
      </w:r>
      <w:r w:rsidRPr="00F50670">
        <w:rPr>
          <w:lang w:eastAsia="en-US"/>
        </w:rPr>
        <w:tab/>
        <w:t>a similar medical device to a medical device covered by subparagraph (</w:t>
      </w:r>
      <w:proofErr w:type="spellStart"/>
      <w:r w:rsidRPr="00F50670">
        <w:rPr>
          <w:lang w:eastAsia="en-US"/>
        </w:rPr>
        <w:t>i</w:t>
      </w:r>
      <w:proofErr w:type="spellEnd"/>
      <w:r w:rsidRPr="00F50670">
        <w:rPr>
          <w:lang w:eastAsia="en-US"/>
        </w:rPr>
        <w:t>), (ii), (iii) or (iv).</w:t>
      </w:r>
    </w:p>
    <w:p w14:paraId="12115B81" w14:textId="77777777" w:rsidR="003D1484" w:rsidRPr="00F50670" w:rsidRDefault="003D1484" w:rsidP="003D1484">
      <w:pPr>
        <w:pStyle w:val="ItemHead"/>
      </w:pPr>
      <w:r>
        <w:t>4</w:t>
      </w:r>
      <w:r w:rsidRPr="00F50670">
        <w:t xml:space="preserve">  Part 2 of Schedule 4 (table item 2.16, column headed </w:t>
      </w:r>
      <w:bookmarkStart w:id="15" w:name="BK_S3P2L19C57"/>
      <w:bookmarkEnd w:id="15"/>
      <w:r w:rsidRPr="00F50670">
        <w:t>“Kinds of medical devices</w:t>
      </w:r>
      <w:bookmarkStart w:id="16" w:name="BK_S3P2L20C16"/>
      <w:bookmarkEnd w:id="16"/>
      <w:r w:rsidRPr="00F50670">
        <w:t>”, subparagraph (c)(ii))</w:t>
      </w:r>
    </w:p>
    <w:p w14:paraId="3EF00C8D" w14:textId="77777777" w:rsidR="003D1484" w:rsidRPr="00F50670" w:rsidRDefault="003D1484" w:rsidP="003D1484">
      <w:pPr>
        <w:pStyle w:val="Item"/>
        <w:rPr>
          <w:lang w:eastAsia="en-US"/>
        </w:rPr>
      </w:pPr>
      <w:r w:rsidRPr="00F50670">
        <w:t>Omit “Class I medical devices”, substitute “</w:t>
      </w:r>
      <w:r w:rsidRPr="00F50670">
        <w:rPr>
          <w:lang w:eastAsia="en-US"/>
        </w:rPr>
        <w:t xml:space="preserve">Class I, Class </w:t>
      </w:r>
      <w:proofErr w:type="spellStart"/>
      <w:r w:rsidRPr="00F50670">
        <w:rPr>
          <w:lang w:eastAsia="en-US"/>
        </w:rPr>
        <w:t>IIa</w:t>
      </w:r>
      <w:proofErr w:type="spellEnd"/>
      <w:r w:rsidRPr="00F50670">
        <w:rPr>
          <w:lang w:eastAsia="en-US"/>
        </w:rPr>
        <w:t>, Class IIb or Class III medical devices”.</w:t>
      </w:r>
    </w:p>
    <w:p w14:paraId="1A1E48E7" w14:textId="77777777" w:rsidR="003D1484" w:rsidRPr="00CD6568" w:rsidRDefault="003D1484" w:rsidP="003D1484">
      <w:pPr>
        <w:pStyle w:val="ActHead7"/>
        <w:pageBreakBefore/>
      </w:pPr>
      <w:bookmarkStart w:id="17" w:name="_Toc88733662"/>
      <w:r w:rsidRPr="001042A9">
        <w:rPr>
          <w:rStyle w:val="CharAmPartNo"/>
        </w:rPr>
        <w:lastRenderedPageBreak/>
        <w:t>Part 2</w:t>
      </w:r>
      <w:r w:rsidRPr="00F50670">
        <w:t>—</w:t>
      </w:r>
      <w:r w:rsidRPr="001042A9">
        <w:rPr>
          <w:rStyle w:val="CharAmPartText"/>
        </w:rPr>
        <w:t>Other amendments</w:t>
      </w:r>
      <w:bookmarkEnd w:id="17"/>
    </w:p>
    <w:p w14:paraId="16DF8AEE" w14:textId="77777777" w:rsidR="003D1484" w:rsidRPr="00F50670" w:rsidRDefault="003D1484" w:rsidP="003D1484">
      <w:pPr>
        <w:pStyle w:val="ActHead8"/>
      </w:pPr>
      <w:bookmarkStart w:id="18" w:name="_Toc88733663"/>
      <w:r w:rsidRPr="00F50670">
        <w:t>Division 1—Amendments commencing on day after registration</w:t>
      </w:r>
      <w:bookmarkEnd w:id="18"/>
    </w:p>
    <w:p w14:paraId="18E18B1B" w14:textId="77777777" w:rsidR="003D1484" w:rsidRPr="00F50670" w:rsidRDefault="003D1484" w:rsidP="003D1484">
      <w:pPr>
        <w:pStyle w:val="ActHead9"/>
      </w:pPr>
      <w:bookmarkStart w:id="19" w:name="_Toc88733664"/>
      <w:r w:rsidRPr="00F50670">
        <w:t>Therapeutic Goods Regulations 1990</w:t>
      </w:r>
      <w:bookmarkEnd w:id="19"/>
    </w:p>
    <w:p w14:paraId="1FA23898" w14:textId="77777777" w:rsidR="003D1484" w:rsidRPr="00F50670" w:rsidRDefault="003D1484" w:rsidP="003D1484">
      <w:pPr>
        <w:pStyle w:val="ItemHead"/>
      </w:pPr>
      <w:r w:rsidRPr="00F50670">
        <w:t>5  Paragraph 7(g)</w:t>
      </w:r>
    </w:p>
    <w:p w14:paraId="2D61D206" w14:textId="77777777" w:rsidR="003D1484" w:rsidRPr="00F50670" w:rsidRDefault="003D1484" w:rsidP="003D1484">
      <w:pPr>
        <w:pStyle w:val="Item"/>
      </w:pPr>
      <w:r w:rsidRPr="00F50670">
        <w:t xml:space="preserve">After “Part 2 of Schedule 4 to the </w:t>
      </w:r>
      <w:r w:rsidRPr="00F50670">
        <w:rPr>
          <w:i/>
        </w:rPr>
        <w:t>Therapeutic Goods (Medical Devices) Regulations 2002</w:t>
      </w:r>
      <w:r w:rsidRPr="00F50670">
        <w:t>”, insert “(except items 2.12, 2.13, 2.14 and 2.15 of that Part)”.</w:t>
      </w:r>
    </w:p>
    <w:p w14:paraId="1CC2E981" w14:textId="77777777" w:rsidR="003D1484" w:rsidRPr="00F50670" w:rsidRDefault="003D1484" w:rsidP="003D1484">
      <w:pPr>
        <w:pStyle w:val="ItemHead"/>
      </w:pPr>
      <w:r w:rsidRPr="00F50670">
        <w:t xml:space="preserve">6  </w:t>
      </w:r>
      <w:proofErr w:type="spellStart"/>
      <w:r w:rsidRPr="00F50670">
        <w:t>Subregulation</w:t>
      </w:r>
      <w:proofErr w:type="spellEnd"/>
      <w:r w:rsidRPr="00F50670">
        <w:t> 12B(1B) (cell at table item 45A, column 4)</w:t>
      </w:r>
    </w:p>
    <w:p w14:paraId="7C84AB9D" w14:textId="77777777" w:rsidR="003D1484" w:rsidRPr="00F50670" w:rsidRDefault="003D1484" w:rsidP="003D1484">
      <w:pPr>
        <w:pStyle w:val="Item"/>
      </w:pPr>
      <w:r w:rsidRPr="00F50670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3D1484" w:rsidRPr="00F50670" w14:paraId="2C8F5DC6" w14:textId="77777777" w:rsidTr="00F95C96">
        <w:trPr>
          <w:cantSplit/>
        </w:trPr>
        <w:tc>
          <w:tcPr>
            <w:tcW w:w="3675" w:type="dxa"/>
            <w:shd w:val="clear" w:color="auto" w:fill="auto"/>
          </w:tcPr>
          <w:p w14:paraId="08B89741" w14:textId="77777777" w:rsidR="003D1484" w:rsidRPr="00F50670" w:rsidRDefault="003D1484" w:rsidP="00F95C96">
            <w:pPr>
              <w:pStyle w:val="Tabletext"/>
            </w:pPr>
            <w:r w:rsidRPr="00F50670">
              <w:t>ophthalmic</w:t>
            </w:r>
          </w:p>
        </w:tc>
      </w:tr>
    </w:tbl>
    <w:p w14:paraId="130D4182" w14:textId="77777777" w:rsidR="003D1484" w:rsidRPr="00F50670" w:rsidRDefault="003D1484" w:rsidP="003D1484">
      <w:pPr>
        <w:pStyle w:val="ItemHead"/>
      </w:pPr>
      <w:bookmarkStart w:id="20" w:name="_Hlk86840635"/>
      <w:r w:rsidRPr="00F50670">
        <w:t xml:space="preserve">7  </w:t>
      </w:r>
      <w:proofErr w:type="spellStart"/>
      <w:r w:rsidRPr="00F50670">
        <w:t>Subregulation</w:t>
      </w:r>
      <w:proofErr w:type="spellEnd"/>
      <w:r w:rsidRPr="00F50670">
        <w:t> 12B(1B) (cell at table item 46B, column 2)</w:t>
      </w:r>
    </w:p>
    <w:p w14:paraId="7E96E420" w14:textId="77777777" w:rsidR="003D1484" w:rsidRPr="00F50670" w:rsidRDefault="003D1484" w:rsidP="003D1484">
      <w:pPr>
        <w:pStyle w:val="Item"/>
      </w:pPr>
      <w:r w:rsidRPr="00F50670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3D1484" w:rsidRPr="00F50670" w14:paraId="7B95398E" w14:textId="77777777" w:rsidTr="00F95C96">
        <w:trPr>
          <w:cantSplit/>
        </w:trPr>
        <w:tc>
          <w:tcPr>
            <w:tcW w:w="3675" w:type="dxa"/>
            <w:shd w:val="clear" w:color="auto" w:fill="auto"/>
          </w:tcPr>
          <w:p w14:paraId="7DBA9FE6" w14:textId="77777777" w:rsidR="003D1484" w:rsidRPr="00F50670" w:rsidRDefault="003D1484" w:rsidP="00F95C96">
            <w:pPr>
              <w:pStyle w:val="Tabletext"/>
            </w:pPr>
            <w:r w:rsidRPr="00F50670">
              <w:t>lutetium</w:t>
            </w:r>
            <w:r>
              <w:noBreakHyphen/>
            </w:r>
            <w:r w:rsidRPr="00F50670">
              <w:t>177 (Lu 177) prostate specific membrane antigen (</w:t>
            </w:r>
            <w:proofErr w:type="spellStart"/>
            <w:r w:rsidRPr="00F50670">
              <w:t>PSMA</w:t>
            </w:r>
            <w:proofErr w:type="spellEnd"/>
            <w:r w:rsidRPr="00F50670">
              <w:t>)</w:t>
            </w:r>
          </w:p>
        </w:tc>
      </w:tr>
    </w:tbl>
    <w:p w14:paraId="26CDF84B" w14:textId="77777777" w:rsidR="003D1484" w:rsidRPr="00F50670" w:rsidRDefault="003D1484" w:rsidP="003D1484">
      <w:pPr>
        <w:pStyle w:val="ItemHead"/>
      </w:pPr>
      <w:r w:rsidRPr="00F50670">
        <w:t xml:space="preserve">8  </w:t>
      </w:r>
      <w:proofErr w:type="spellStart"/>
      <w:r w:rsidRPr="00F50670">
        <w:t>Subregulation</w:t>
      </w:r>
      <w:proofErr w:type="spellEnd"/>
      <w:r w:rsidRPr="00F50670">
        <w:t> 12B(1B) (cell at table item 72A, column 2)</w:t>
      </w:r>
    </w:p>
    <w:p w14:paraId="46BB2AE4" w14:textId="77777777" w:rsidR="003D1484" w:rsidRPr="00F50670" w:rsidRDefault="003D1484" w:rsidP="003D1484">
      <w:pPr>
        <w:pStyle w:val="Item"/>
      </w:pPr>
      <w:r w:rsidRPr="00F50670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3D1484" w:rsidRPr="00F50670" w14:paraId="00929946" w14:textId="77777777" w:rsidTr="00F95C96">
        <w:trPr>
          <w:cantSplit/>
        </w:trPr>
        <w:tc>
          <w:tcPr>
            <w:tcW w:w="3675" w:type="dxa"/>
            <w:shd w:val="clear" w:color="auto" w:fill="auto"/>
          </w:tcPr>
          <w:p w14:paraId="156937E9" w14:textId="77777777" w:rsidR="003D1484" w:rsidRPr="00F50670" w:rsidRDefault="003D1484" w:rsidP="00F95C96">
            <w:pPr>
              <w:pStyle w:val="Tabletext"/>
            </w:pPr>
            <w:r w:rsidRPr="00F50670">
              <w:t>Technetium</w:t>
            </w:r>
            <w:r>
              <w:noBreakHyphen/>
            </w:r>
            <w:r w:rsidRPr="00F50670">
              <w:t>99m (99m Tc) prostate specific membrane antigen (</w:t>
            </w:r>
            <w:proofErr w:type="spellStart"/>
            <w:r w:rsidRPr="00F50670">
              <w:t>PSMA</w:t>
            </w:r>
            <w:proofErr w:type="spellEnd"/>
            <w:r w:rsidRPr="00F50670">
              <w:t>)</w:t>
            </w:r>
            <w:r>
              <w:rPr>
                <w:b/>
                <w:bCs/>
              </w:rPr>
              <w:noBreakHyphen/>
            </w:r>
            <w:proofErr w:type="spellStart"/>
            <w:r w:rsidRPr="00F50670">
              <w:t>I&amp;S</w:t>
            </w:r>
            <w:proofErr w:type="spellEnd"/>
          </w:p>
        </w:tc>
      </w:tr>
    </w:tbl>
    <w:p w14:paraId="130ECBAE" w14:textId="77777777" w:rsidR="003D1484" w:rsidRPr="00F50670" w:rsidRDefault="003D1484" w:rsidP="003D1484">
      <w:pPr>
        <w:pStyle w:val="ItemHead"/>
      </w:pPr>
      <w:r w:rsidRPr="00F50670">
        <w:t>9  In the appropriate position in Part 9</w:t>
      </w:r>
    </w:p>
    <w:p w14:paraId="39A87CFF" w14:textId="77777777" w:rsidR="003D1484" w:rsidRPr="00F50670" w:rsidRDefault="003D1484" w:rsidP="003D1484">
      <w:pPr>
        <w:pStyle w:val="Item"/>
      </w:pPr>
      <w:r w:rsidRPr="00F50670">
        <w:t>Insert:</w:t>
      </w:r>
    </w:p>
    <w:p w14:paraId="0FD01D1E" w14:textId="77777777" w:rsidR="003D1484" w:rsidRPr="00F50670" w:rsidRDefault="003D1484" w:rsidP="003D1484">
      <w:pPr>
        <w:pStyle w:val="ActHead3"/>
      </w:pPr>
      <w:bookmarkStart w:id="21" w:name="_Toc88733665"/>
      <w:r w:rsidRPr="001042A9">
        <w:rPr>
          <w:rStyle w:val="CharDivNo"/>
        </w:rPr>
        <w:t>Division 17</w:t>
      </w:r>
      <w:r w:rsidRPr="00F50670">
        <w:t>—</w:t>
      </w:r>
      <w:r w:rsidRPr="001042A9">
        <w:rPr>
          <w:rStyle w:val="CharDivText"/>
        </w:rPr>
        <w:t>Application provisions relating to the Therapeutic Goods Legislation Amendment (2021 Measures No. 4) Regulations 2021</w:t>
      </w:r>
      <w:bookmarkEnd w:id="21"/>
    </w:p>
    <w:p w14:paraId="3DF9B4DB" w14:textId="77777777" w:rsidR="003D1484" w:rsidRPr="00F50670" w:rsidRDefault="003D1484" w:rsidP="003D1484">
      <w:pPr>
        <w:pStyle w:val="ActHead5"/>
      </w:pPr>
      <w:bookmarkStart w:id="22" w:name="_Toc88733666"/>
      <w:r w:rsidRPr="001042A9">
        <w:rPr>
          <w:rStyle w:val="CharSectno"/>
        </w:rPr>
        <w:t>84</w:t>
      </w:r>
      <w:r w:rsidRPr="00F50670">
        <w:t xml:space="preserve">  Amendments made by Division 1 of Part 2</w:t>
      </w:r>
      <w:r>
        <w:t xml:space="preserve"> of Schedule 1</w:t>
      </w:r>
      <w:bookmarkEnd w:id="22"/>
    </w:p>
    <w:p w14:paraId="2F9C0ECD" w14:textId="77777777" w:rsidR="003D1484" w:rsidRPr="00F50670" w:rsidRDefault="003D1484" w:rsidP="003D1484">
      <w:pPr>
        <w:pStyle w:val="subsection"/>
      </w:pPr>
      <w:r w:rsidRPr="00F50670">
        <w:tab/>
        <w:t>(1)</w:t>
      </w:r>
      <w:r w:rsidRPr="00F50670">
        <w:tab/>
        <w:t xml:space="preserve">The amendment of paragraph 7(g) made by Division 1 of Part 2 of Schedule 1 to the </w:t>
      </w:r>
      <w:r w:rsidRPr="00F50670">
        <w:rPr>
          <w:i/>
        </w:rPr>
        <w:t>Therapeutic Goods Legislation Amendment (2021 Measures No. 4) Regulations 2021</w:t>
      </w:r>
      <w:r w:rsidRPr="00F50670">
        <w:t xml:space="preserve"> applies in relation to an advertisement that is made on or after the commencement of that amendment.</w:t>
      </w:r>
    </w:p>
    <w:p w14:paraId="10F08EC4" w14:textId="77777777" w:rsidR="003D1484" w:rsidRPr="00F50670" w:rsidRDefault="003D1484" w:rsidP="003D1484">
      <w:pPr>
        <w:pStyle w:val="subsection"/>
      </w:pPr>
      <w:r w:rsidRPr="00F50670">
        <w:tab/>
        <w:t>(2)</w:t>
      </w:r>
      <w:r w:rsidRPr="00F50670">
        <w:tab/>
        <w:t xml:space="preserve">The amendment of item 1B of the table in Schedule 5A made by Division 1 of Part 2 of Schedule 1 to the </w:t>
      </w:r>
      <w:r w:rsidRPr="00F50670">
        <w:rPr>
          <w:i/>
        </w:rPr>
        <w:t>Therapeutic Goods Legislation Amendment (2021 Measures No. 4) Regulations 2021</w:t>
      </w:r>
      <w:r w:rsidRPr="00F50670">
        <w:t xml:space="preserve"> applies in relation to therapeutic goods imported into Australia on or after the commencement of that amendment.</w:t>
      </w:r>
    </w:p>
    <w:bookmarkEnd w:id="20"/>
    <w:p w14:paraId="77A1A2D5" w14:textId="77777777" w:rsidR="003D1484" w:rsidRPr="00F50670" w:rsidRDefault="003D1484" w:rsidP="003D1484">
      <w:pPr>
        <w:pStyle w:val="ItemHead"/>
      </w:pPr>
      <w:r w:rsidRPr="00F50670">
        <w:t>10  Schedule 5A (table item 1B, column 3, paragraph (a))</w:t>
      </w:r>
    </w:p>
    <w:p w14:paraId="0EF0B6F9" w14:textId="77777777" w:rsidR="003D1484" w:rsidRPr="00F50670" w:rsidRDefault="003D1484" w:rsidP="003D1484">
      <w:pPr>
        <w:pStyle w:val="Item"/>
      </w:pPr>
      <w:r w:rsidRPr="00F50670">
        <w:t>Repeal the paragraph,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3D1484" w:rsidRPr="00F50670" w14:paraId="2647072F" w14:textId="77777777" w:rsidTr="00F95C96">
        <w:trPr>
          <w:cantSplit/>
        </w:trPr>
        <w:tc>
          <w:tcPr>
            <w:tcW w:w="3675" w:type="dxa"/>
            <w:shd w:val="clear" w:color="auto" w:fill="auto"/>
          </w:tcPr>
          <w:p w14:paraId="43A83005" w14:textId="77777777" w:rsidR="003D1484" w:rsidRPr="00F50670" w:rsidRDefault="003D1484" w:rsidP="00F95C96">
            <w:pPr>
              <w:pStyle w:val="Tablea"/>
            </w:pPr>
            <w:r w:rsidRPr="00F50670">
              <w:lastRenderedPageBreak/>
              <w:t>(a) the goods must be supplied to a person covered by column 2 in circumstances where subparagraphs 12A(2)(a)(ii) and (iii) and paragraph 12A(2)(b) of these Regulations are satisfied; and</w:t>
            </w:r>
          </w:p>
        </w:tc>
      </w:tr>
    </w:tbl>
    <w:p w14:paraId="0DEB67F9" w14:textId="77777777" w:rsidR="003D1484" w:rsidRPr="00F50670" w:rsidRDefault="003D1484" w:rsidP="003D1484">
      <w:pPr>
        <w:pStyle w:val="ActHead8"/>
      </w:pPr>
      <w:bookmarkStart w:id="23" w:name="_Toc88733667"/>
      <w:r w:rsidRPr="00F50670">
        <w:t>Division 2—Amendments commencing on 1 January 2022</w:t>
      </w:r>
      <w:bookmarkEnd w:id="23"/>
    </w:p>
    <w:p w14:paraId="1B008364" w14:textId="77777777" w:rsidR="003D1484" w:rsidRPr="00F50670" w:rsidRDefault="003D1484" w:rsidP="003D1484">
      <w:pPr>
        <w:pStyle w:val="ActHead9"/>
      </w:pPr>
      <w:bookmarkStart w:id="24" w:name="_Toc88733668"/>
      <w:r w:rsidRPr="00F50670">
        <w:t>Therapeutic Goods Regulations 1990</w:t>
      </w:r>
      <w:bookmarkEnd w:id="24"/>
    </w:p>
    <w:p w14:paraId="7DBD5530" w14:textId="77777777" w:rsidR="003D1484" w:rsidRPr="00F50670" w:rsidRDefault="003D1484" w:rsidP="003D1484">
      <w:pPr>
        <w:pStyle w:val="ItemHead"/>
      </w:pPr>
      <w:r w:rsidRPr="00F50670">
        <w:t xml:space="preserve">11  </w:t>
      </w:r>
      <w:proofErr w:type="spellStart"/>
      <w:r w:rsidRPr="00F50670">
        <w:t>Subregulation</w:t>
      </w:r>
      <w:proofErr w:type="spellEnd"/>
      <w:r w:rsidRPr="00F50670">
        <w:t> 6B(1)</w:t>
      </w:r>
    </w:p>
    <w:p w14:paraId="637A05AD" w14:textId="77777777" w:rsidR="003D1484" w:rsidRPr="00F50670" w:rsidRDefault="003D1484" w:rsidP="003D1484">
      <w:pPr>
        <w:pStyle w:val="Item"/>
      </w:pPr>
      <w:r w:rsidRPr="00F50670">
        <w:t xml:space="preserve">Repeal the </w:t>
      </w:r>
      <w:proofErr w:type="spellStart"/>
      <w:r w:rsidRPr="00F50670">
        <w:t>subregulation</w:t>
      </w:r>
      <w:proofErr w:type="spellEnd"/>
      <w:r w:rsidRPr="00F50670">
        <w:t>, substitute:</w:t>
      </w:r>
    </w:p>
    <w:p w14:paraId="5B38A5C6" w14:textId="77777777" w:rsidR="003D1484" w:rsidRPr="00F50670" w:rsidRDefault="003D1484" w:rsidP="003D1484">
      <w:pPr>
        <w:pStyle w:val="SubsectionHead"/>
      </w:pPr>
      <w:r w:rsidRPr="00F50670">
        <w:t>Prohibited representations</w:t>
      </w:r>
    </w:p>
    <w:p w14:paraId="273C744C" w14:textId="77777777" w:rsidR="003D1484" w:rsidRPr="00F50670" w:rsidRDefault="003D1484" w:rsidP="003D1484">
      <w:pPr>
        <w:pStyle w:val="subsection"/>
      </w:pPr>
      <w:r w:rsidRPr="00F50670">
        <w:tab/>
        <w:t>(1)</w:t>
      </w:r>
      <w:r w:rsidRPr="00F50670">
        <w:tab/>
        <w:t>For the purposes of subsection 42DJ(1) of the Act:</w:t>
      </w:r>
    </w:p>
    <w:p w14:paraId="55465981" w14:textId="77777777" w:rsidR="003D1484" w:rsidRPr="00F50670" w:rsidRDefault="003D1484" w:rsidP="003D1484">
      <w:pPr>
        <w:pStyle w:val="paragraph"/>
      </w:pPr>
      <w:r w:rsidRPr="00F50670">
        <w:tab/>
        <w:t>(a)</w:t>
      </w:r>
      <w:r w:rsidRPr="00F50670">
        <w:tab/>
        <w:t xml:space="preserve">the representations in column 2 of an item in the table in Part 1 of Schedule 2 are </w:t>
      </w:r>
      <w:r w:rsidR="00977EEE">
        <w:t>specified</w:t>
      </w:r>
      <w:r w:rsidRPr="00F50670">
        <w:t>; and</w:t>
      </w:r>
    </w:p>
    <w:p w14:paraId="06E49829" w14:textId="77777777" w:rsidR="003D1484" w:rsidRPr="00F50670" w:rsidRDefault="003D1484" w:rsidP="003D1484">
      <w:pPr>
        <w:pStyle w:val="paragraph"/>
      </w:pPr>
      <w:r w:rsidRPr="00F50670">
        <w:tab/>
        <w:t>(b)</w:t>
      </w:r>
      <w:r w:rsidRPr="00F50670">
        <w:tab/>
        <w:t xml:space="preserve">the therapeutic goods in column 3 of that item are </w:t>
      </w:r>
      <w:r w:rsidR="004F5AC9">
        <w:t>specified</w:t>
      </w:r>
      <w:r w:rsidRPr="00F50670">
        <w:t>.</w:t>
      </w:r>
    </w:p>
    <w:p w14:paraId="0AAE1EC3" w14:textId="77777777" w:rsidR="003D1484" w:rsidRPr="00F50670" w:rsidRDefault="003D1484" w:rsidP="003D1484">
      <w:pPr>
        <w:pStyle w:val="notetext"/>
      </w:pPr>
      <w:r w:rsidRPr="00F50670">
        <w:t>Note:</w:t>
      </w:r>
      <w:r w:rsidRPr="00F50670">
        <w:tab/>
        <w:t>Under subsection 42DJ(1) of the Act, those representations about those goods are prohibited representations.</w:t>
      </w:r>
    </w:p>
    <w:p w14:paraId="54DEC55A" w14:textId="77777777" w:rsidR="003D1484" w:rsidRPr="00F50670" w:rsidRDefault="003D1484" w:rsidP="003D1484">
      <w:pPr>
        <w:pStyle w:val="ItemHead"/>
      </w:pPr>
      <w:r w:rsidRPr="00F50670">
        <w:t xml:space="preserve">12  Before </w:t>
      </w:r>
      <w:proofErr w:type="spellStart"/>
      <w:r w:rsidRPr="00F50670">
        <w:t>subregulation</w:t>
      </w:r>
      <w:proofErr w:type="spellEnd"/>
      <w:r w:rsidRPr="00F50670">
        <w:t> 6B(2)</w:t>
      </w:r>
    </w:p>
    <w:p w14:paraId="0145F57A" w14:textId="77777777" w:rsidR="003D1484" w:rsidRPr="00F50670" w:rsidRDefault="003D1484" w:rsidP="003D1484">
      <w:pPr>
        <w:pStyle w:val="Item"/>
      </w:pPr>
      <w:r w:rsidRPr="00F50670">
        <w:t>Insert:</w:t>
      </w:r>
    </w:p>
    <w:p w14:paraId="73E6EC62" w14:textId="77777777" w:rsidR="003D1484" w:rsidRPr="00F50670" w:rsidRDefault="003D1484" w:rsidP="003D1484">
      <w:pPr>
        <w:pStyle w:val="SubsectionHead"/>
      </w:pPr>
      <w:r w:rsidRPr="00F50670">
        <w:t>Required representations</w:t>
      </w:r>
    </w:p>
    <w:p w14:paraId="7D076C1A" w14:textId="77777777" w:rsidR="003D1484" w:rsidRPr="00F50670" w:rsidRDefault="003D1484" w:rsidP="003D1484">
      <w:pPr>
        <w:pStyle w:val="ItemHead"/>
      </w:pPr>
      <w:r w:rsidRPr="00F50670">
        <w:t>13  Regulation 8</w:t>
      </w:r>
    </w:p>
    <w:p w14:paraId="20CB1A9B" w14:textId="77777777" w:rsidR="003D1484" w:rsidRPr="00F50670" w:rsidRDefault="003D1484" w:rsidP="003D1484">
      <w:pPr>
        <w:pStyle w:val="Item"/>
      </w:pPr>
      <w:r w:rsidRPr="00F50670">
        <w:t>Omit “sections 9, 10, 15, 16, 18, 19 and 21”, substitute “sections </w:t>
      </w:r>
      <w:r>
        <w:t>8</w:t>
      </w:r>
      <w:r w:rsidRPr="00F50670">
        <w:t xml:space="preserve">, </w:t>
      </w:r>
      <w:r>
        <w:t>9</w:t>
      </w:r>
      <w:r w:rsidRPr="00F50670">
        <w:t>, 1</w:t>
      </w:r>
      <w:r>
        <w:t>0</w:t>
      </w:r>
      <w:r w:rsidRPr="00F50670">
        <w:t>, 1</w:t>
      </w:r>
      <w:r>
        <w:t>1</w:t>
      </w:r>
      <w:r w:rsidRPr="00F50670">
        <w:t>, 1</w:t>
      </w:r>
      <w:r>
        <w:t>2</w:t>
      </w:r>
      <w:r w:rsidRPr="00F50670">
        <w:t>, 24 (to the extent that it relates to endorsements) and 2</w:t>
      </w:r>
      <w:r>
        <w:t>6</w:t>
      </w:r>
      <w:r w:rsidRPr="00F50670">
        <w:t>”.</w:t>
      </w:r>
    </w:p>
    <w:p w14:paraId="2AC87B36" w14:textId="77777777" w:rsidR="003D1484" w:rsidRPr="00F50670" w:rsidRDefault="003D1484" w:rsidP="003D1484">
      <w:pPr>
        <w:pStyle w:val="ItemHead"/>
      </w:pPr>
      <w:r w:rsidRPr="00F50670">
        <w:t>14  Regulation 8 (note)</w:t>
      </w:r>
    </w:p>
    <w:p w14:paraId="682B845B" w14:textId="77777777" w:rsidR="003D1484" w:rsidRPr="00F50670" w:rsidRDefault="003D1484" w:rsidP="003D1484">
      <w:pPr>
        <w:pStyle w:val="Item"/>
      </w:pPr>
      <w:r w:rsidRPr="00F50670">
        <w:t>Omit “section 6”, substitute “sections </w:t>
      </w:r>
      <w:r>
        <w:t>5</w:t>
      </w:r>
      <w:r w:rsidRPr="00F50670">
        <w:t xml:space="preserve"> and </w:t>
      </w:r>
      <w:r>
        <w:t>6</w:t>
      </w:r>
      <w:r w:rsidRPr="00F50670">
        <w:t>”.</w:t>
      </w:r>
    </w:p>
    <w:p w14:paraId="68818AAC" w14:textId="77777777" w:rsidR="003D1484" w:rsidRPr="00F50670" w:rsidRDefault="003D1484" w:rsidP="003D1484">
      <w:pPr>
        <w:pStyle w:val="ItemHead"/>
      </w:pPr>
      <w:r w:rsidRPr="00F50670">
        <w:t xml:space="preserve">15  At the end of </w:t>
      </w:r>
      <w:r w:rsidRPr="00CD6568">
        <w:t>Division 17 of</w:t>
      </w:r>
      <w:r w:rsidRPr="00F50670">
        <w:t xml:space="preserve"> Part 9</w:t>
      </w:r>
    </w:p>
    <w:p w14:paraId="4CB1CCBD" w14:textId="77777777" w:rsidR="003D1484" w:rsidRPr="00F50670" w:rsidRDefault="003D1484" w:rsidP="003D1484">
      <w:pPr>
        <w:pStyle w:val="Item"/>
      </w:pPr>
      <w:r w:rsidRPr="00F50670">
        <w:t>Add:</w:t>
      </w:r>
    </w:p>
    <w:p w14:paraId="5C0849D9" w14:textId="77777777" w:rsidR="003D1484" w:rsidRPr="00F50670" w:rsidRDefault="003D1484" w:rsidP="003D1484">
      <w:pPr>
        <w:pStyle w:val="ActHead5"/>
      </w:pPr>
      <w:bookmarkStart w:id="25" w:name="_Toc88733669"/>
      <w:r w:rsidRPr="001042A9">
        <w:rPr>
          <w:rStyle w:val="CharSectno"/>
        </w:rPr>
        <w:t>85</w:t>
      </w:r>
      <w:r w:rsidRPr="00F50670">
        <w:t xml:space="preserve">  Amendments made by Division </w:t>
      </w:r>
      <w:r>
        <w:t>2</w:t>
      </w:r>
      <w:r w:rsidRPr="00F50670">
        <w:t xml:space="preserve"> of Part 2</w:t>
      </w:r>
      <w:r>
        <w:t xml:space="preserve"> of Schedule 1</w:t>
      </w:r>
      <w:bookmarkEnd w:id="25"/>
    </w:p>
    <w:p w14:paraId="4505E5D8" w14:textId="77777777" w:rsidR="003D1484" w:rsidRPr="00F50670" w:rsidRDefault="003D1484" w:rsidP="003D1484">
      <w:pPr>
        <w:pStyle w:val="subsection"/>
      </w:pPr>
      <w:r w:rsidRPr="00F50670">
        <w:tab/>
        <w:t>(1)</w:t>
      </w:r>
      <w:r w:rsidRPr="00F50670">
        <w:tab/>
        <w:t xml:space="preserve">The amendments of regulation 6B and of Part 1 of Schedule 2 made by Division 2 of Part 2 of Schedule 1 to the </w:t>
      </w:r>
      <w:r w:rsidRPr="00F50670">
        <w:rPr>
          <w:i/>
        </w:rPr>
        <w:t>Therapeutic Goods Legislation Amendment (2021 Measures No. 4) Regulations 2021</w:t>
      </w:r>
      <w:r w:rsidRPr="00F50670">
        <w:t xml:space="preserve"> apply in relation to an advertisement that is made on or after the commencement of those amendments.</w:t>
      </w:r>
    </w:p>
    <w:p w14:paraId="0E4F6B69" w14:textId="77777777" w:rsidR="003D1484" w:rsidRPr="00F50670" w:rsidRDefault="003D1484" w:rsidP="003D1484">
      <w:pPr>
        <w:pStyle w:val="subsection"/>
      </w:pPr>
      <w:r w:rsidRPr="00F50670">
        <w:tab/>
        <w:t>(2)</w:t>
      </w:r>
      <w:r w:rsidRPr="00F50670">
        <w:tab/>
        <w:t xml:space="preserve">The amendments of regulation 8 made by Division 2 of Part 2 of Schedule 1 to the </w:t>
      </w:r>
      <w:r w:rsidRPr="00F50670">
        <w:rPr>
          <w:i/>
        </w:rPr>
        <w:t>Therapeutic Goods Legislation Amendment (2021 Measures No. 4) Regulations 2021</w:t>
      </w:r>
      <w:r w:rsidRPr="00F50670">
        <w:t xml:space="preserve"> apply in relation to the dissemination of generic information on or after the commencement of those amendments.</w:t>
      </w:r>
    </w:p>
    <w:p w14:paraId="17D849C1" w14:textId="77777777" w:rsidR="003D1484" w:rsidRPr="00F50670" w:rsidRDefault="003D1484" w:rsidP="003D1484">
      <w:pPr>
        <w:pStyle w:val="ItemHead"/>
      </w:pPr>
      <w:r w:rsidRPr="00F50670">
        <w:t>16  Part 1 of Schedule 2 (table item 4)</w:t>
      </w:r>
    </w:p>
    <w:p w14:paraId="5F9223D7" w14:textId="77777777" w:rsidR="003D1484" w:rsidRPr="00F50670" w:rsidRDefault="003D1484" w:rsidP="003D1484">
      <w:pPr>
        <w:pStyle w:val="Item"/>
      </w:pPr>
      <w:r w:rsidRPr="00F50670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9"/>
        <w:gridCol w:w="5240"/>
        <w:gridCol w:w="2040"/>
      </w:tblGrid>
      <w:tr w:rsidR="003D1484" w:rsidRPr="00F50670" w14:paraId="4679A951" w14:textId="77777777" w:rsidTr="00F95C96">
        <w:trPr>
          <w:trHeight w:val="20"/>
        </w:trPr>
        <w:tc>
          <w:tcPr>
            <w:tcW w:w="732" w:type="pct"/>
            <w:shd w:val="clear" w:color="auto" w:fill="auto"/>
          </w:tcPr>
          <w:p w14:paraId="0475C7D3" w14:textId="77777777" w:rsidR="003D1484" w:rsidRPr="00F50670" w:rsidRDefault="003D1484" w:rsidP="00F95C96">
            <w:pPr>
              <w:pStyle w:val="Tabletext"/>
            </w:pPr>
            <w:r w:rsidRPr="00F50670">
              <w:t>4</w:t>
            </w:r>
          </w:p>
        </w:tc>
        <w:tc>
          <w:tcPr>
            <w:tcW w:w="3072" w:type="pct"/>
            <w:shd w:val="clear" w:color="auto" w:fill="auto"/>
          </w:tcPr>
          <w:p w14:paraId="357F9F87" w14:textId="77777777" w:rsidR="003D1484" w:rsidRPr="00F50670" w:rsidRDefault="003D1484" w:rsidP="00F95C96">
            <w:pPr>
              <w:pStyle w:val="Tabletext"/>
            </w:pPr>
            <w:r w:rsidRPr="00F50670">
              <w:t>a representation that states or implies</w:t>
            </w:r>
            <w:r w:rsidR="00A30779">
              <w:t xml:space="preserve"> that</w:t>
            </w:r>
            <w:r w:rsidRPr="00F50670">
              <w:t>:</w:t>
            </w:r>
          </w:p>
          <w:p w14:paraId="7C17C885" w14:textId="77777777" w:rsidR="003D1484" w:rsidRPr="00F50670" w:rsidRDefault="003D1484" w:rsidP="00F95C96">
            <w:pPr>
              <w:pStyle w:val="Tablea"/>
            </w:pPr>
            <w:r w:rsidRPr="00F50670">
              <w:lastRenderedPageBreak/>
              <w:t>(a) analgesic consumption is safe; or</w:t>
            </w:r>
          </w:p>
          <w:p w14:paraId="37748549" w14:textId="77777777" w:rsidR="003D1484" w:rsidRPr="00F50670" w:rsidRDefault="003D1484" w:rsidP="00F95C96">
            <w:pPr>
              <w:pStyle w:val="Tablea"/>
            </w:pPr>
            <w:r w:rsidRPr="00F50670">
              <w:t>(b) analgesics will relax, relieve tension, sedate or stimulate</w:t>
            </w:r>
          </w:p>
        </w:tc>
        <w:tc>
          <w:tcPr>
            <w:tcW w:w="1196" w:type="pct"/>
            <w:shd w:val="clear" w:color="auto" w:fill="auto"/>
          </w:tcPr>
          <w:p w14:paraId="0C2A1BD0" w14:textId="77777777" w:rsidR="003D1484" w:rsidRPr="00F50670" w:rsidRDefault="003D1484" w:rsidP="00F95C96">
            <w:pPr>
              <w:pStyle w:val="Tabletext"/>
            </w:pPr>
            <w:r w:rsidRPr="00F50670">
              <w:lastRenderedPageBreak/>
              <w:t>analgesics</w:t>
            </w:r>
          </w:p>
        </w:tc>
      </w:tr>
    </w:tbl>
    <w:p w14:paraId="44616F74" w14:textId="77777777" w:rsidR="003D1484" w:rsidRPr="00F50670" w:rsidRDefault="003D1484" w:rsidP="003D1484">
      <w:pPr>
        <w:pStyle w:val="ItemHead"/>
      </w:pPr>
      <w:r w:rsidRPr="00F50670">
        <w:t>17  Part 1 of Schedule 2 (table item 8)</w:t>
      </w:r>
    </w:p>
    <w:p w14:paraId="68FD859D" w14:textId="77777777" w:rsidR="003D1484" w:rsidRPr="00F50670" w:rsidRDefault="003D1484" w:rsidP="003D1484">
      <w:pPr>
        <w:pStyle w:val="Item"/>
      </w:pPr>
      <w:r w:rsidRPr="00F50670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9"/>
        <w:gridCol w:w="5240"/>
        <w:gridCol w:w="2040"/>
      </w:tblGrid>
      <w:tr w:rsidR="003D1484" w:rsidRPr="00F50670" w14:paraId="240CDB32" w14:textId="77777777" w:rsidTr="00F95C96">
        <w:trPr>
          <w:trHeight w:val="20"/>
        </w:trPr>
        <w:tc>
          <w:tcPr>
            <w:tcW w:w="732" w:type="pct"/>
            <w:shd w:val="clear" w:color="auto" w:fill="auto"/>
          </w:tcPr>
          <w:p w14:paraId="60FBB505" w14:textId="77777777" w:rsidR="003D1484" w:rsidRPr="00F50670" w:rsidRDefault="003D1484" w:rsidP="00F95C96">
            <w:pPr>
              <w:pStyle w:val="Tabletext"/>
            </w:pPr>
            <w:r w:rsidRPr="00F50670">
              <w:t>8</w:t>
            </w:r>
          </w:p>
        </w:tc>
        <w:tc>
          <w:tcPr>
            <w:tcW w:w="3072" w:type="pct"/>
            <w:shd w:val="clear" w:color="auto" w:fill="auto"/>
          </w:tcPr>
          <w:p w14:paraId="335C6A9E" w14:textId="77777777" w:rsidR="003D1484" w:rsidRPr="00F50670" w:rsidRDefault="003D1484" w:rsidP="00F95C96">
            <w:pPr>
              <w:pStyle w:val="Tabletext"/>
            </w:pPr>
            <w:r w:rsidRPr="00F50670">
              <w:t>a representation that states or implies that vitamin or mineral supplements:</w:t>
            </w:r>
          </w:p>
          <w:p w14:paraId="7B72F527" w14:textId="77777777" w:rsidR="003D1484" w:rsidRPr="00F50670" w:rsidRDefault="003D1484" w:rsidP="00F95C96">
            <w:pPr>
              <w:pStyle w:val="Tablea"/>
            </w:pPr>
            <w:r w:rsidRPr="00F50670">
              <w:t>(a) are a substitute for good nutrition or a balanced diet; or</w:t>
            </w:r>
          </w:p>
          <w:p w14:paraId="0433DD7F" w14:textId="77777777" w:rsidR="003D1484" w:rsidRPr="00F50670" w:rsidRDefault="003D1484" w:rsidP="00F95C96">
            <w:pPr>
              <w:pStyle w:val="Tablea"/>
            </w:pPr>
            <w:r w:rsidRPr="00F50670">
              <w:t>(b) are in any way superior to or more beneficial than dietary nutrients</w:t>
            </w:r>
          </w:p>
        </w:tc>
        <w:tc>
          <w:tcPr>
            <w:tcW w:w="1196" w:type="pct"/>
            <w:shd w:val="clear" w:color="auto" w:fill="auto"/>
          </w:tcPr>
          <w:p w14:paraId="54C4FC38" w14:textId="77777777" w:rsidR="003D1484" w:rsidRPr="00F50670" w:rsidRDefault="003D1484" w:rsidP="00F95C96">
            <w:pPr>
              <w:pStyle w:val="Tabletext"/>
            </w:pPr>
            <w:r w:rsidRPr="00F50670">
              <w:t>vitamin or mineral supplements</w:t>
            </w:r>
          </w:p>
        </w:tc>
      </w:tr>
    </w:tbl>
    <w:p w14:paraId="1C41C164" w14:textId="77777777" w:rsidR="003D1484" w:rsidRPr="00F50670" w:rsidRDefault="003D1484" w:rsidP="003D1484">
      <w:pPr>
        <w:pStyle w:val="ItemHead"/>
      </w:pPr>
      <w:r w:rsidRPr="00F50670">
        <w:t>18  Part 1 of Schedule 2 (at the end of the table)</w:t>
      </w:r>
    </w:p>
    <w:p w14:paraId="21A4E3F5" w14:textId="77777777" w:rsidR="003D1484" w:rsidRPr="00F50670" w:rsidRDefault="003D1484" w:rsidP="003D1484">
      <w:pPr>
        <w:pStyle w:val="Item"/>
      </w:pPr>
      <w:r w:rsidRPr="00F50670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9"/>
        <w:gridCol w:w="5240"/>
        <w:gridCol w:w="2040"/>
      </w:tblGrid>
      <w:tr w:rsidR="003D1484" w:rsidRPr="00F50670" w14:paraId="5C33A6FD" w14:textId="77777777" w:rsidTr="00F95C96">
        <w:trPr>
          <w:trHeight w:val="20"/>
        </w:trPr>
        <w:tc>
          <w:tcPr>
            <w:tcW w:w="732" w:type="pct"/>
            <w:shd w:val="clear" w:color="auto" w:fill="auto"/>
          </w:tcPr>
          <w:p w14:paraId="4DCA048C" w14:textId="77777777" w:rsidR="003D1484" w:rsidRPr="00F50670" w:rsidRDefault="003D1484" w:rsidP="00F95C96">
            <w:pPr>
              <w:pStyle w:val="Tabletext"/>
            </w:pPr>
            <w:r w:rsidRPr="00F50670">
              <w:t>10</w:t>
            </w:r>
          </w:p>
        </w:tc>
        <w:tc>
          <w:tcPr>
            <w:tcW w:w="3072" w:type="pct"/>
            <w:shd w:val="clear" w:color="auto" w:fill="auto"/>
          </w:tcPr>
          <w:p w14:paraId="5A1D40D4" w14:textId="77777777" w:rsidR="003D1484" w:rsidRPr="00F50670" w:rsidRDefault="003D1484" w:rsidP="00F95C96">
            <w:pPr>
              <w:pStyle w:val="Tabletext"/>
            </w:pPr>
            <w:r w:rsidRPr="00F50670">
              <w:t>The following:</w:t>
            </w:r>
          </w:p>
          <w:p w14:paraId="2F4CFA48" w14:textId="77777777" w:rsidR="003D1484" w:rsidRPr="00F50670" w:rsidRDefault="003D1484" w:rsidP="00F95C96">
            <w:pPr>
              <w:pStyle w:val="Tablea"/>
            </w:pPr>
            <w:r w:rsidRPr="00F50670">
              <w:t>(a) a representation regarding abortifacient action;</w:t>
            </w:r>
          </w:p>
          <w:p w14:paraId="372A59E6" w14:textId="77777777" w:rsidR="003D1484" w:rsidRPr="00F50670" w:rsidRDefault="003D1484" w:rsidP="00F95C96">
            <w:pPr>
              <w:pStyle w:val="Tablea"/>
            </w:pPr>
            <w:r w:rsidRPr="00F50670">
              <w:t>(b) a representation regarding the treatment, cure, prevention, diagnosis (including screening) or monitoring of, or the susceptibility or pre</w:t>
            </w:r>
            <w:r>
              <w:noBreakHyphen/>
            </w:r>
            <w:r w:rsidRPr="00F50670">
              <w:t xml:space="preserve">disposition to, </w:t>
            </w:r>
            <w:r>
              <w:t xml:space="preserve">one or more of </w:t>
            </w:r>
            <w:r w:rsidRPr="00F50670">
              <w:t>the following:</w:t>
            </w:r>
          </w:p>
          <w:p w14:paraId="6EC799CE" w14:textId="77777777" w:rsidR="003D1484" w:rsidRPr="00F50670" w:rsidRDefault="003D1484" w:rsidP="00F95C96">
            <w:pPr>
              <w:pStyle w:val="Tablei"/>
            </w:pPr>
            <w:r w:rsidRPr="00F50670">
              <w:t>(</w:t>
            </w:r>
            <w:proofErr w:type="spellStart"/>
            <w:r w:rsidRPr="00F50670">
              <w:t>i</w:t>
            </w:r>
            <w:proofErr w:type="spellEnd"/>
            <w:r w:rsidRPr="00F50670">
              <w:t>) neoplastic disease;</w:t>
            </w:r>
          </w:p>
          <w:p w14:paraId="7A645816" w14:textId="77777777" w:rsidR="003D1484" w:rsidRPr="00F50670" w:rsidRDefault="003D1484" w:rsidP="00F95C96">
            <w:pPr>
              <w:pStyle w:val="Tablei"/>
            </w:pPr>
            <w:r w:rsidRPr="00F50670">
              <w:t>(ii) sexually transmitted diseases;</w:t>
            </w:r>
          </w:p>
          <w:p w14:paraId="769445B1" w14:textId="77777777" w:rsidR="003D1484" w:rsidRPr="00F50670" w:rsidRDefault="003D1484" w:rsidP="00F95C96">
            <w:pPr>
              <w:pStyle w:val="Tablei"/>
            </w:pPr>
            <w:r w:rsidRPr="00F50670">
              <w:t>(iii) human immunodeficiency virus (HIV</w:t>
            </w:r>
            <w:r>
              <w:t xml:space="preserve">) or </w:t>
            </w:r>
            <w:r w:rsidRPr="00F50670">
              <w:t>acquired immune deficiency syndrome (AIDS);</w:t>
            </w:r>
          </w:p>
          <w:p w14:paraId="31428153" w14:textId="77777777" w:rsidR="003D1484" w:rsidRPr="00F50670" w:rsidRDefault="003D1484" w:rsidP="00F95C96">
            <w:pPr>
              <w:pStyle w:val="Tablei"/>
            </w:pPr>
            <w:r w:rsidRPr="00F50670">
              <w:t>(iv) hepatitis C virus (HCV);</w:t>
            </w:r>
          </w:p>
          <w:p w14:paraId="5F6827E4" w14:textId="77777777" w:rsidR="003D1484" w:rsidRPr="00F50670" w:rsidRDefault="003D1484" w:rsidP="00F95C96">
            <w:pPr>
              <w:pStyle w:val="Tablei"/>
            </w:pPr>
            <w:r w:rsidRPr="00F50670">
              <w:t>(v) mental illness</w:t>
            </w:r>
          </w:p>
        </w:tc>
        <w:tc>
          <w:tcPr>
            <w:tcW w:w="1196" w:type="pct"/>
            <w:shd w:val="clear" w:color="auto" w:fill="auto"/>
          </w:tcPr>
          <w:p w14:paraId="39CF2E65" w14:textId="77777777" w:rsidR="003D1484" w:rsidRPr="00F50670" w:rsidRDefault="003D1484" w:rsidP="00F95C96">
            <w:pPr>
              <w:pStyle w:val="Tabletext"/>
            </w:pPr>
            <w:r w:rsidRPr="00F50670">
              <w:t>all therapeutic goods</w:t>
            </w:r>
          </w:p>
        </w:tc>
      </w:tr>
    </w:tbl>
    <w:p w14:paraId="449A30FF" w14:textId="77777777" w:rsidR="003D1484" w:rsidRPr="00F50670" w:rsidRDefault="003D1484" w:rsidP="003D1484">
      <w:pPr>
        <w:pStyle w:val="Tabletext"/>
      </w:pPr>
    </w:p>
    <w:sectPr w:rsidR="003D1484" w:rsidRPr="00F50670" w:rsidSect="00E7539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22A2" w14:textId="77777777" w:rsidR="00993264" w:rsidRDefault="00993264" w:rsidP="0048364F">
      <w:pPr>
        <w:spacing w:line="240" w:lineRule="auto"/>
      </w:pPr>
      <w:r>
        <w:separator/>
      </w:r>
    </w:p>
  </w:endnote>
  <w:endnote w:type="continuationSeparator" w:id="0">
    <w:p w14:paraId="23AEE1C9" w14:textId="77777777" w:rsidR="00993264" w:rsidRDefault="009932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790B" w14:textId="77777777" w:rsidR="003D1484" w:rsidRPr="00E75399" w:rsidRDefault="00E75399" w:rsidP="00E753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5399">
      <w:rPr>
        <w:i/>
        <w:sz w:val="18"/>
      </w:rPr>
      <w:t>OPC65580 -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AB39" w14:textId="77777777" w:rsidR="003D1484" w:rsidRDefault="003D1484" w:rsidP="00E97334"/>
  <w:p w14:paraId="2E727310" w14:textId="77777777" w:rsidR="003D1484" w:rsidRPr="00E75399" w:rsidRDefault="00E75399" w:rsidP="00E75399">
    <w:pPr>
      <w:rPr>
        <w:rFonts w:cs="Times New Roman"/>
        <w:i/>
        <w:sz w:val="18"/>
      </w:rPr>
    </w:pPr>
    <w:r w:rsidRPr="00E75399">
      <w:rPr>
        <w:rFonts w:cs="Times New Roman"/>
        <w:i/>
        <w:sz w:val="18"/>
      </w:rPr>
      <w:t>OPC65580 -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D2C3" w14:textId="77777777" w:rsidR="003D1484" w:rsidRPr="00E75399" w:rsidRDefault="00E75399" w:rsidP="00E753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5399">
      <w:rPr>
        <w:i/>
        <w:sz w:val="18"/>
      </w:rPr>
      <w:t>OPC65580 -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12FC" w14:textId="77777777" w:rsidR="003D1484" w:rsidRPr="00E33C1C" w:rsidRDefault="003D148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1484" w14:paraId="1E9793B0" w14:textId="77777777" w:rsidTr="00CD65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EE2B81" w14:textId="77777777" w:rsidR="003D1484" w:rsidRDefault="003D1484" w:rsidP="00B95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07EB87" w14:textId="122127C9" w:rsidR="003D1484" w:rsidRDefault="003D1484" w:rsidP="00B952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73F">
            <w:rPr>
              <w:i/>
              <w:sz w:val="18"/>
            </w:rPr>
            <w:t>Therapeutic Goods Legislation Amendment (2021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E35098" w14:textId="77777777" w:rsidR="003D1484" w:rsidRDefault="003D1484" w:rsidP="00B952EC">
          <w:pPr>
            <w:spacing w:line="0" w:lineRule="atLeast"/>
            <w:jc w:val="right"/>
            <w:rPr>
              <w:sz w:val="18"/>
            </w:rPr>
          </w:pPr>
        </w:p>
      </w:tc>
    </w:tr>
  </w:tbl>
  <w:p w14:paraId="380990D1" w14:textId="77777777" w:rsidR="003D1484" w:rsidRPr="00E75399" w:rsidRDefault="00E75399" w:rsidP="00E75399">
    <w:pPr>
      <w:rPr>
        <w:rFonts w:cs="Times New Roman"/>
        <w:i/>
        <w:sz w:val="18"/>
      </w:rPr>
    </w:pPr>
    <w:r w:rsidRPr="00E75399">
      <w:rPr>
        <w:rFonts w:cs="Times New Roman"/>
        <w:i/>
        <w:sz w:val="18"/>
      </w:rPr>
      <w:t>OPC65580 -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996A" w14:textId="77777777" w:rsidR="003D1484" w:rsidRPr="00E33C1C" w:rsidRDefault="003D148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D1484" w14:paraId="2A848AC8" w14:textId="77777777" w:rsidTr="00CD656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7F1C4D" w14:textId="77777777" w:rsidR="003D1484" w:rsidRDefault="003D1484" w:rsidP="00B952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6D7091" w14:textId="1D2E6AC8" w:rsidR="003D1484" w:rsidRDefault="003D1484" w:rsidP="00B952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73F">
            <w:rPr>
              <w:i/>
              <w:sz w:val="18"/>
            </w:rPr>
            <w:t>Therapeutic Goods Legislation Amendment (2021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1844629" w14:textId="77777777" w:rsidR="003D1484" w:rsidRDefault="003D1484" w:rsidP="00B952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CCE61C" w14:textId="77777777" w:rsidR="003D1484" w:rsidRPr="00E75399" w:rsidRDefault="00E75399" w:rsidP="00E75399">
    <w:pPr>
      <w:rPr>
        <w:rFonts w:cs="Times New Roman"/>
        <w:i/>
        <w:sz w:val="18"/>
      </w:rPr>
    </w:pPr>
    <w:r w:rsidRPr="00E75399">
      <w:rPr>
        <w:rFonts w:cs="Times New Roman"/>
        <w:i/>
        <w:sz w:val="18"/>
      </w:rPr>
      <w:t>OPC65580 -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9383" w14:textId="77777777" w:rsidR="00993264" w:rsidRPr="00E33C1C" w:rsidRDefault="009932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3264" w14:paraId="6DD4CF81" w14:textId="77777777" w:rsidTr="001042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5B5FF" w14:textId="77777777" w:rsidR="00993264" w:rsidRDefault="00993264" w:rsidP="00B95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E3D452" w14:textId="24359B44" w:rsidR="00993264" w:rsidRDefault="00993264" w:rsidP="00B952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73F">
            <w:rPr>
              <w:i/>
              <w:sz w:val="18"/>
            </w:rPr>
            <w:t>Therapeutic Goods Legislation Amendment (2021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554213" w14:textId="77777777" w:rsidR="00993264" w:rsidRDefault="00993264" w:rsidP="00B952EC">
          <w:pPr>
            <w:spacing w:line="0" w:lineRule="atLeast"/>
            <w:jc w:val="right"/>
            <w:rPr>
              <w:sz w:val="18"/>
            </w:rPr>
          </w:pPr>
        </w:p>
      </w:tc>
    </w:tr>
  </w:tbl>
  <w:p w14:paraId="18298AC4" w14:textId="77777777" w:rsidR="00993264" w:rsidRPr="00E75399" w:rsidRDefault="00E75399" w:rsidP="00E75399">
    <w:pPr>
      <w:rPr>
        <w:rFonts w:cs="Times New Roman"/>
        <w:i/>
        <w:sz w:val="18"/>
      </w:rPr>
    </w:pPr>
    <w:r w:rsidRPr="00E75399">
      <w:rPr>
        <w:rFonts w:cs="Times New Roman"/>
        <w:i/>
        <w:sz w:val="18"/>
      </w:rPr>
      <w:t>OPC65580 -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B328" w14:textId="77777777" w:rsidR="00993264" w:rsidRPr="00E33C1C" w:rsidRDefault="009932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3264" w14:paraId="1A956A60" w14:textId="77777777" w:rsidTr="00B952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4EDD20" w14:textId="77777777" w:rsidR="00993264" w:rsidRDefault="00993264" w:rsidP="00B952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5D511" w14:textId="5A9D7FBE" w:rsidR="00993264" w:rsidRDefault="00993264" w:rsidP="00B952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73F">
            <w:rPr>
              <w:i/>
              <w:sz w:val="18"/>
            </w:rPr>
            <w:t>Therapeutic Goods Legislation Amendment (2021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4BA8BF" w14:textId="77777777" w:rsidR="00993264" w:rsidRDefault="00993264" w:rsidP="00B952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1EA72F" w14:textId="77777777" w:rsidR="00993264" w:rsidRPr="00E75399" w:rsidRDefault="00E75399" w:rsidP="00E75399">
    <w:pPr>
      <w:rPr>
        <w:rFonts w:cs="Times New Roman"/>
        <w:i/>
        <w:sz w:val="18"/>
      </w:rPr>
    </w:pPr>
    <w:r w:rsidRPr="00E75399">
      <w:rPr>
        <w:rFonts w:cs="Times New Roman"/>
        <w:i/>
        <w:sz w:val="18"/>
      </w:rPr>
      <w:t>OPC65580 -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7963" w14:textId="77777777" w:rsidR="00993264" w:rsidRPr="00E33C1C" w:rsidRDefault="0099326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3264" w14:paraId="253CCF9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DA978A" w14:textId="77777777" w:rsidR="00993264" w:rsidRDefault="00993264" w:rsidP="00B952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F47B67" w14:textId="62C8239A" w:rsidR="00993264" w:rsidRDefault="00993264" w:rsidP="00B952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73F">
            <w:rPr>
              <w:i/>
              <w:sz w:val="18"/>
            </w:rPr>
            <w:t>Therapeutic Goods Legislation Amendment (2021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2ED20B" w14:textId="77777777" w:rsidR="00993264" w:rsidRDefault="00993264" w:rsidP="00B952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F549EC" w14:textId="77777777" w:rsidR="00993264" w:rsidRPr="00E75399" w:rsidRDefault="00E75399" w:rsidP="00E75399">
    <w:pPr>
      <w:rPr>
        <w:rFonts w:cs="Times New Roman"/>
        <w:i/>
        <w:sz w:val="18"/>
      </w:rPr>
    </w:pPr>
    <w:r w:rsidRPr="00E75399">
      <w:rPr>
        <w:rFonts w:cs="Times New Roman"/>
        <w:i/>
        <w:sz w:val="18"/>
      </w:rPr>
      <w:t>OPC65580 -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AFC68" w14:textId="77777777" w:rsidR="00993264" w:rsidRDefault="00993264" w:rsidP="0048364F">
      <w:pPr>
        <w:spacing w:line="240" w:lineRule="auto"/>
      </w:pPr>
      <w:r>
        <w:separator/>
      </w:r>
    </w:p>
  </w:footnote>
  <w:footnote w:type="continuationSeparator" w:id="0">
    <w:p w14:paraId="566D12AE" w14:textId="77777777" w:rsidR="00993264" w:rsidRDefault="009932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0F40" w14:textId="77777777" w:rsidR="003D1484" w:rsidRPr="005F1388" w:rsidRDefault="003D148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619A" w14:textId="77777777" w:rsidR="003D1484" w:rsidRPr="005F1388" w:rsidRDefault="003D148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31D9" w14:textId="77777777" w:rsidR="003D1484" w:rsidRPr="005F1388" w:rsidRDefault="003D148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3908" w14:textId="77777777" w:rsidR="003D1484" w:rsidRPr="00ED79B6" w:rsidRDefault="003D148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3E39" w14:textId="77777777" w:rsidR="003D1484" w:rsidRPr="00ED79B6" w:rsidRDefault="003D148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DC95" w14:textId="77777777" w:rsidR="003D1484" w:rsidRPr="00ED79B6" w:rsidRDefault="003D148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7C8A" w14:textId="5BED84FD" w:rsidR="00993264" w:rsidRPr="00A961C4" w:rsidRDefault="0099326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7F8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7F83">
      <w:rPr>
        <w:noProof/>
        <w:sz w:val="20"/>
      </w:rPr>
      <w:t>Amendments</w:t>
    </w:r>
    <w:r>
      <w:rPr>
        <w:sz w:val="20"/>
      </w:rPr>
      <w:fldChar w:fldCharType="end"/>
    </w:r>
  </w:p>
  <w:p w14:paraId="0447648C" w14:textId="16D58B21" w:rsidR="00993264" w:rsidRPr="00A961C4" w:rsidRDefault="0099326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87F83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87F83">
      <w:rPr>
        <w:noProof/>
        <w:sz w:val="20"/>
      </w:rPr>
      <w:t>Other amendments</w:t>
    </w:r>
    <w:r>
      <w:rPr>
        <w:sz w:val="20"/>
      </w:rPr>
      <w:fldChar w:fldCharType="end"/>
    </w:r>
  </w:p>
  <w:p w14:paraId="41E8FAFE" w14:textId="77777777" w:rsidR="00993264" w:rsidRPr="00A961C4" w:rsidRDefault="0099326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6571D" w14:textId="31C60E21" w:rsidR="00993264" w:rsidRPr="00A961C4" w:rsidRDefault="0099326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87F83">
      <w:rPr>
        <w:sz w:val="20"/>
      </w:rPr>
      <w:fldChar w:fldCharType="separate"/>
    </w:r>
    <w:r w:rsidR="00B87F8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87F83">
      <w:rPr>
        <w:b/>
        <w:sz w:val="20"/>
      </w:rPr>
      <w:fldChar w:fldCharType="separate"/>
    </w:r>
    <w:r w:rsidR="00B87F8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38C368" w14:textId="2497B2E6" w:rsidR="00993264" w:rsidRPr="00A961C4" w:rsidRDefault="0099326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B87F83">
      <w:rPr>
        <w:sz w:val="20"/>
      </w:rPr>
      <w:fldChar w:fldCharType="separate"/>
    </w:r>
    <w:r w:rsidR="00B87F83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B87F83">
      <w:rPr>
        <w:b/>
        <w:sz w:val="20"/>
      </w:rPr>
      <w:fldChar w:fldCharType="separate"/>
    </w:r>
    <w:r w:rsidR="00B87F83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2BAD5EC0" w14:textId="77777777" w:rsidR="00993264" w:rsidRPr="00A961C4" w:rsidRDefault="0099326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83E3" w14:textId="77777777" w:rsidR="00993264" w:rsidRPr="00A961C4" w:rsidRDefault="0099326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023F"/>
    <w:rsid w:val="00000263"/>
    <w:rsid w:val="00002C26"/>
    <w:rsid w:val="000113BC"/>
    <w:rsid w:val="000136AF"/>
    <w:rsid w:val="000369C8"/>
    <w:rsid w:val="00036E24"/>
    <w:rsid w:val="0004044E"/>
    <w:rsid w:val="00046F47"/>
    <w:rsid w:val="0005120E"/>
    <w:rsid w:val="00054577"/>
    <w:rsid w:val="000558A2"/>
    <w:rsid w:val="000614BF"/>
    <w:rsid w:val="000635E8"/>
    <w:rsid w:val="0007169C"/>
    <w:rsid w:val="00077593"/>
    <w:rsid w:val="00083F48"/>
    <w:rsid w:val="000A7DF9"/>
    <w:rsid w:val="000D05EF"/>
    <w:rsid w:val="000D5485"/>
    <w:rsid w:val="000F21C1"/>
    <w:rsid w:val="001042A9"/>
    <w:rsid w:val="00105D72"/>
    <w:rsid w:val="0010745C"/>
    <w:rsid w:val="00116A05"/>
    <w:rsid w:val="00117277"/>
    <w:rsid w:val="00160BD7"/>
    <w:rsid w:val="001614E0"/>
    <w:rsid w:val="001643C9"/>
    <w:rsid w:val="00165568"/>
    <w:rsid w:val="00166082"/>
    <w:rsid w:val="00166C2F"/>
    <w:rsid w:val="001716C9"/>
    <w:rsid w:val="001831CA"/>
    <w:rsid w:val="00184261"/>
    <w:rsid w:val="001874DA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01BF"/>
    <w:rsid w:val="001C5C12"/>
    <w:rsid w:val="001C69C4"/>
    <w:rsid w:val="001E0A8D"/>
    <w:rsid w:val="001E3590"/>
    <w:rsid w:val="001E7407"/>
    <w:rsid w:val="001F63AF"/>
    <w:rsid w:val="00201D27"/>
    <w:rsid w:val="0020300C"/>
    <w:rsid w:val="00220A0C"/>
    <w:rsid w:val="00223E4A"/>
    <w:rsid w:val="002302EA"/>
    <w:rsid w:val="00240533"/>
    <w:rsid w:val="00240749"/>
    <w:rsid w:val="002468D7"/>
    <w:rsid w:val="00285CDD"/>
    <w:rsid w:val="00291167"/>
    <w:rsid w:val="00297ECB"/>
    <w:rsid w:val="002A2EEB"/>
    <w:rsid w:val="002C152A"/>
    <w:rsid w:val="002D043A"/>
    <w:rsid w:val="002D635F"/>
    <w:rsid w:val="002F66F4"/>
    <w:rsid w:val="0031237B"/>
    <w:rsid w:val="00315A84"/>
    <w:rsid w:val="0031713F"/>
    <w:rsid w:val="00321913"/>
    <w:rsid w:val="00324EE6"/>
    <w:rsid w:val="0033081D"/>
    <w:rsid w:val="003316DC"/>
    <w:rsid w:val="00332E0D"/>
    <w:rsid w:val="00336B06"/>
    <w:rsid w:val="003415D3"/>
    <w:rsid w:val="0034382F"/>
    <w:rsid w:val="00346335"/>
    <w:rsid w:val="00351FED"/>
    <w:rsid w:val="00352B0F"/>
    <w:rsid w:val="003561B0"/>
    <w:rsid w:val="003676E4"/>
    <w:rsid w:val="00367960"/>
    <w:rsid w:val="00382A3E"/>
    <w:rsid w:val="00394FA4"/>
    <w:rsid w:val="003A15AC"/>
    <w:rsid w:val="003A56EB"/>
    <w:rsid w:val="003B0627"/>
    <w:rsid w:val="003B2EE8"/>
    <w:rsid w:val="003B58D7"/>
    <w:rsid w:val="003C5F2B"/>
    <w:rsid w:val="003D0BFE"/>
    <w:rsid w:val="003D1484"/>
    <w:rsid w:val="003D5700"/>
    <w:rsid w:val="003F0F5A"/>
    <w:rsid w:val="00400A30"/>
    <w:rsid w:val="004022CA"/>
    <w:rsid w:val="004116CD"/>
    <w:rsid w:val="00414ADE"/>
    <w:rsid w:val="00421567"/>
    <w:rsid w:val="004236E8"/>
    <w:rsid w:val="00424CA9"/>
    <w:rsid w:val="004257BB"/>
    <w:rsid w:val="004261D9"/>
    <w:rsid w:val="00442399"/>
    <w:rsid w:val="0044291A"/>
    <w:rsid w:val="00444B2B"/>
    <w:rsid w:val="00460499"/>
    <w:rsid w:val="00474835"/>
    <w:rsid w:val="004819C7"/>
    <w:rsid w:val="0048364F"/>
    <w:rsid w:val="00490F2E"/>
    <w:rsid w:val="00493E59"/>
    <w:rsid w:val="0049547E"/>
    <w:rsid w:val="00496DB3"/>
    <w:rsid w:val="00496F97"/>
    <w:rsid w:val="004A53EA"/>
    <w:rsid w:val="004B58D7"/>
    <w:rsid w:val="004C1A72"/>
    <w:rsid w:val="004F1FAC"/>
    <w:rsid w:val="004F5AC9"/>
    <w:rsid w:val="004F676E"/>
    <w:rsid w:val="00500D65"/>
    <w:rsid w:val="00516B8D"/>
    <w:rsid w:val="00523976"/>
    <w:rsid w:val="0052398D"/>
    <w:rsid w:val="0052686F"/>
    <w:rsid w:val="0052756C"/>
    <w:rsid w:val="00530230"/>
    <w:rsid w:val="00530CC9"/>
    <w:rsid w:val="005354F0"/>
    <w:rsid w:val="00537FAD"/>
    <w:rsid w:val="00537FBC"/>
    <w:rsid w:val="00541D73"/>
    <w:rsid w:val="00543469"/>
    <w:rsid w:val="005452CC"/>
    <w:rsid w:val="00545CC6"/>
    <w:rsid w:val="00546FA3"/>
    <w:rsid w:val="00552ADF"/>
    <w:rsid w:val="00554243"/>
    <w:rsid w:val="00557C7A"/>
    <w:rsid w:val="00562A58"/>
    <w:rsid w:val="00575313"/>
    <w:rsid w:val="00575DA7"/>
    <w:rsid w:val="00581211"/>
    <w:rsid w:val="00584811"/>
    <w:rsid w:val="00593AA6"/>
    <w:rsid w:val="00594161"/>
    <w:rsid w:val="00594512"/>
    <w:rsid w:val="00594749"/>
    <w:rsid w:val="005A482B"/>
    <w:rsid w:val="005A70E9"/>
    <w:rsid w:val="005B04D4"/>
    <w:rsid w:val="005B2EFD"/>
    <w:rsid w:val="005B4067"/>
    <w:rsid w:val="005C36E0"/>
    <w:rsid w:val="005C3F41"/>
    <w:rsid w:val="005D168D"/>
    <w:rsid w:val="005D5EA1"/>
    <w:rsid w:val="005E61D3"/>
    <w:rsid w:val="005F7738"/>
    <w:rsid w:val="00600219"/>
    <w:rsid w:val="0061273F"/>
    <w:rsid w:val="00613EAD"/>
    <w:rsid w:val="006158AC"/>
    <w:rsid w:val="0061624F"/>
    <w:rsid w:val="00632286"/>
    <w:rsid w:val="0063428F"/>
    <w:rsid w:val="00640402"/>
    <w:rsid w:val="00640F78"/>
    <w:rsid w:val="00646E7B"/>
    <w:rsid w:val="006539D5"/>
    <w:rsid w:val="00655D6A"/>
    <w:rsid w:val="00656DE9"/>
    <w:rsid w:val="00677CC2"/>
    <w:rsid w:val="00685F42"/>
    <w:rsid w:val="006866A1"/>
    <w:rsid w:val="0069207B"/>
    <w:rsid w:val="006A4309"/>
    <w:rsid w:val="006B0AAB"/>
    <w:rsid w:val="006B0E55"/>
    <w:rsid w:val="006B7006"/>
    <w:rsid w:val="006C2DD0"/>
    <w:rsid w:val="006C7F8C"/>
    <w:rsid w:val="006D7AB9"/>
    <w:rsid w:val="006E4D92"/>
    <w:rsid w:val="00700B2C"/>
    <w:rsid w:val="007106D2"/>
    <w:rsid w:val="00712688"/>
    <w:rsid w:val="00713084"/>
    <w:rsid w:val="0071312A"/>
    <w:rsid w:val="00720FC2"/>
    <w:rsid w:val="00722950"/>
    <w:rsid w:val="00731E00"/>
    <w:rsid w:val="00732E9D"/>
    <w:rsid w:val="0073491A"/>
    <w:rsid w:val="007440B7"/>
    <w:rsid w:val="00747993"/>
    <w:rsid w:val="0075104C"/>
    <w:rsid w:val="00751F7D"/>
    <w:rsid w:val="0075466D"/>
    <w:rsid w:val="007634AD"/>
    <w:rsid w:val="0076612D"/>
    <w:rsid w:val="007715C9"/>
    <w:rsid w:val="00774EDD"/>
    <w:rsid w:val="007757EC"/>
    <w:rsid w:val="00796815"/>
    <w:rsid w:val="007A115D"/>
    <w:rsid w:val="007A2FF8"/>
    <w:rsid w:val="007A35E6"/>
    <w:rsid w:val="007A6863"/>
    <w:rsid w:val="007C7674"/>
    <w:rsid w:val="007D45C1"/>
    <w:rsid w:val="007E7D4A"/>
    <w:rsid w:val="007F48ED"/>
    <w:rsid w:val="007F7947"/>
    <w:rsid w:val="00812F45"/>
    <w:rsid w:val="00823B55"/>
    <w:rsid w:val="0084172C"/>
    <w:rsid w:val="00853E54"/>
    <w:rsid w:val="00856A31"/>
    <w:rsid w:val="00861E2D"/>
    <w:rsid w:val="008754D0"/>
    <w:rsid w:val="00877D48"/>
    <w:rsid w:val="008816F0"/>
    <w:rsid w:val="0088345B"/>
    <w:rsid w:val="00885E80"/>
    <w:rsid w:val="008A16A5"/>
    <w:rsid w:val="008B1503"/>
    <w:rsid w:val="008B5D42"/>
    <w:rsid w:val="008B686C"/>
    <w:rsid w:val="008B7E86"/>
    <w:rsid w:val="008C2B5D"/>
    <w:rsid w:val="008D0EE0"/>
    <w:rsid w:val="008D5B99"/>
    <w:rsid w:val="008D7A27"/>
    <w:rsid w:val="008E4702"/>
    <w:rsid w:val="008E69AA"/>
    <w:rsid w:val="008F4581"/>
    <w:rsid w:val="008F4F1C"/>
    <w:rsid w:val="00922764"/>
    <w:rsid w:val="00932222"/>
    <w:rsid w:val="00932377"/>
    <w:rsid w:val="009408EA"/>
    <w:rsid w:val="00943102"/>
    <w:rsid w:val="0094523D"/>
    <w:rsid w:val="009559E6"/>
    <w:rsid w:val="00960808"/>
    <w:rsid w:val="00960F6E"/>
    <w:rsid w:val="00976A63"/>
    <w:rsid w:val="00977EEE"/>
    <w:rsid w:val="00983419"/>
    <w:rsid w:val="0099023F"/>
    <w:rsid w:val="00993264"/>
    <w:rsid w:val="00994821"/>
    <w:rsid w:val="009C3431"/>
    <w:rsid w:val="009C5989"/>
    <w:rsid w:val="009D08DA"/>
    <w:rsid w:val="009D4ED7"/>
    <w:rsid w:val="00A06860"/>
    <w:rsid w:val="00A105B4"/>
    <w:rsid w:val="00A136F5"/>
    <w:rsid w:val="00A231E2"/>
    <w:rsid w:val="00A2550D"/>
    <w:rsid w:val="00A30779"/>
    <w:rsid w:val="00A4169B"/>
    <w:rsid w:val="00A445F2"/>
    <w:rsid w:val="00A50D55"/>
    <w:rsid w:val="00A5165B"/>
    <w:rsid w:val="00A52FDA"/>
    <w:rsid w:val="00A64912"/>
    <w:rsid w:val="00A64F64"/>
    <w:rsid w:val="00A70A74"/>
    <w:rsid w:val="00A760D1"/>
    <w:rsid w:val="00A90EA8"/>
    <w:rsid w:val="00AA0343"/>
    <w:rsid w:val="00AA2A5C"/>
    <w:rsid w:val="00AB5FB9"/>
    <w:rsid w:val="00AB6F66"/>
    <w:rsid w:val="00AB78E9"/>
    <w:rsid w:val="00AC25FA"/>
    <w:rsid w:val="00AD3467"/>
    <w:rsid w:val="00AD4AAB"/>
    <w:rsid w:val="00AD5641"/>
    <w:rsid w:val="00AD7252"/>
    <w:rsid w:val="00AE0F9B"/>
    <w:rsid w:val="00AF366B"/>
    <w:rsid w:val="00AF55FF"/>
    <w:rsid w:val="00B032D8"/>
    <w:rsid w:val="00B33B3C"/>
    <w:rsid w:val="00B40D74"/>
    <w:rsid w:val="00B52663"/>
    <w:rsid w:val="00B56DCB"/>
    <w:rsid w:val="00B74212"/>
    <w:rsid w:val="00B770D2"/>
    <w:rsid w:val="00B87F83"/>
    <w:rsid w:val="00B94F68"/>
    <w:rsid w:val="00B952EC"/>
    <w:rsid w:val="00BA0FC0"/>
    <w:rsid w:val="00BA47A3"/>
    <w:rsid w:val="00BA5026"/>
    <w:rsid w:val="00BB0F80"/>
    <w:rsid w:val="00BB6E79"/>
    <w:rsid w:val="00BC56F0"/>
    <w:rsid w:val="00BD0DDF"/>
    <w:rsid w:val="00BE3B31"/>
    <w:rsid w:val="00BE719A"/>
    <w:rsid w:val="00BE720A"/>
    <w:rsid w:val="00BF49FF"/>
    <w:rsid w:val="00BF6650"/>
    <w:rsid w:val="00C067E5"/>
    <w:rsid w:val="00C13593"/>
    <w:rsid w:val="00C164CA"/>
    <w:rsid w:val="00C2358A"/>
    <w:rsid w:val="00C3502E"/>
    <w:rsid w:val="00C42BF8"/>
    <w:rsid w:val="00C460AE"/>
    <w:rsid w:val="00C50043"/>
    <w:rsid w:val="00C50A0F"/>
    <w:rsid w:val="00C524D5"/>
    <w:rsid w:val="00C526B6"/>
    <w:rsid w:val="00C6099D"/>
    <w:rsid w:val="00C7573B"/>
    <w:rsid w:val="00C76CF3"/>
    <w:rsid w:val="00CA2EB3"/>
    <w:rsid w:val="00CA7844"/>
    <w:rsid w:val="00CB58EF"/>
    <w:rsid w:val="00CE7D64"/>
    <w:rsid w:val="00CF0BB2"/>
    <w:rsid w:val="00D13441"/>
    <w:rsid w:val="00D20665"/>
    <w:rsid w:val="00D243A3"/>
    <w:rsid w:val="00D308B5"/>
    <w:rsid w:val="00D3200B"/>
    <w:rsid w:val="00D33440"/>
    <w:rsid w:val="00D33C2B"/>
    <w:rsid w:val="00D52EFE"/>
    <w:rsid w:val="00D56A0D"/>
    <w:rsid w:val="00D5767F"/>
    <w:rsid w:val="00D63EF6"/>
    <w:rsid w:val="00D66518"/>
    <w:rsid w:val="00D675E5"/>
    <w:rsid w:val="00D70DFB"/>
    <w:rsid w:val="00D71EEA"/>
    <w:rsid w:val="00D735CD"/>
    <w:rsid w:val="00D766DF"/>
    <w:rsid w:val="00D95891"/>
    <w:rsid w:val="00DB5CB4"/>
    <w:rsid w:val="00DD0F6C"/>
    <w:rsid w:val="00DE149E"/>
    <w:rsid w:val="00E05704"/>
    <w:rsid w:val="00E12F1A"/>
    <w:rsid w:val="00E15561"/>
    <w:rsid w:val="00E21CFB"/>
    <w:rsid w:val="00E22935"/>
    <w:rsid w:val="00E30A8A"/>
    <w:rsid w:val="00E452FA"/>
    <w:rsid w:val="00E54292"/>
    <w:rsid w:val="00E60191"/>
    <w:rsid w:val="00E612FD"/>
    <w:rsid w:val="00E74DC7"/>
    <w:rsid w:val="00E75399"/>
    <w:rsid w:val="00E87699"/>
    <w:rsid w:val="00E92E27"/>
    <w:rsid w:val="00E9301E"/>
    <w:rsid w:val="00E9586B"/>
    <w:rsid w:val="00E97334"/>
    <w:rsid w:val="00EA0D36"/>
    <w:rsid w:val="00ED4928"/>
    <w:rsid w:val="00EE3749"/>
    <w:rsid w:val="00EE6190"/>
    <w:rsid w:val="00EF2E3A"/>
    <w:rsid w:val="00EF5ED9"/>
    <w:rsid w:val="00EF6402"/>
    <w:rsid w:val="00F02345"/>
    <w:rsid w:val="00F025DF"/>
    <w:rsid w:val="00F047E2"/>
    <w:rsid w:val="00F04D57"/>
    <w:rsid w:val="00F078DC"/>
    <w:rsid w:val="00F136AE"/>
    <w:rsid w:val="00F13E86"/>
    <w:rsid w:val="00F32FCB"/>
    <w:rsid w:val="00F50670"/>
    <w:rsid w:val="00F6709F"/>
    <w:rsid w:val="00F677A9"/>
    <w:rsid w:val="00F723BD"/>
    <w:rsid w:val="00F73135"/>
    <w:rsid w:val="00F732EA"/>
    <w:rsid w:val="00F84CF5"/>
    <w:rsid w:val="00F8612E"/>
    <w:rsid w:val="00F95006"/>
    <w:rsid w:val="00FA0B1F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9895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F5E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E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E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E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E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5E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5E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5E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5E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5E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5ED9"/>
  </w:style>
  <w:style w:type="paragraph" w:customStyle="1" w:styleId="OPCParaBase">
    <w:name w:val="OPCParaBase"/>
    <w:qFormat/>
    <w:rsid w:val="00EF5E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5E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5E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5E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5E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5E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5E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5E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5E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5E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5E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5ED9"/>
  </w:style>
  <w:style w:type="paragraph" w:customStyle="1" w:styleId="Blocks">
    <w:name w:val="Blocks"/>
    <w:aliases w:val="bb"/>
    <w:basedOn w:val="OPCParaBase"/>
    <w:qFormat/>
    <w:rsid w:val="00EF5E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5E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5E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5ED9"/>
    <w:rPr>
      <w:i/>
    </w:rPr>
  </w:style>
  <w:style w:type="paragraph" w:customStyle="1" w:styleId="BoxList">
    <w:name w:val="BoxList"/>
    <w:aliases w:val="bl"/>
    <w:basedOn w:val="BoxText"/>
    <w:qFormat/>
    <w:rsid w:val="00EF5E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5E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5E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5ED9"/>
    <w:pPr>
      <w:ind w:left="1985" w:hanging="851"/>
    </w:pPr>
  </w:style>
  <w:style w:type="character" w:customStyle="1" w:styleId="CharAmPartNo">
    <w:name w:val="CharAmPartNo"/>
    <w:basedOn w:val="OPCCharBase"/>
    <w:qFormat/>
    <w:rsid w:val="00EF5ED9"/>
  </w:style>
  <w:style w:type="character" w:customStyle="1" w:styleId="CharAmPartText">
    <w:name w:val="CharAmPartText"/>
    <w:basedOn w:val="OPCCharBase"/>
    <w:qFormat/>
    <w:rsid w:val="00EF5ED9"/>
  </w:style>
  <w:style w:type="character" w:customStyle="1" w:styleId="CharAmSchNo">
    <w:name w:val="CharAmSchNo"/>
    <w:basedOn w:val="OPCCharBase"/>
    <w:qFormat/>
    <w:rsid w:val="00EF5ED9"/>
  </w:style>
  <w:style w:type="character" w:customStyle="1" w:styleId="CharAmSchText">
    <w:name w:val="CharAmSchText"/>
    <w:basedOn w:val="OPCCharBase"/>
    <w:qFormat/>
    <w:rsid w:val="00EF5ED9"/>
  </w:style>
  <w:style w:type="character" w:customStyle="1" w:styleId="CharBoldItalic">
    <w:name w:val="CharBoldItalic"/>
    <w:basedOn w:val="OPCCharBase"/>
    <w:uiPriority w:val="1"/>
    <w:qFormat/>
    <w:rsid w:val="00EF5E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5ED9"/>
  </w:style>
  <w:style w:type="character" w:customStyle="1" w:styleId="CharChapText">
    <w:name w:val="CharChapText"/>
    <w:basedOn w:val="OPCCharBase"/>
    <w:uiPriority w:val="1"/>
    <w:qFormat/>
    <w:rsid w:val="00EF5ED9"/>
  </w:style>
  <w:style w:type="character" w:customStyle="1" w:styleId="CharDivNo">
    <w:name w:val="CharDivNo"/>
    <w:basedOn w:val="OPCCharBase"/>
    <w:uiPriority w:val="1"/>
    <w:qFormat/>
    <w:rsid w:val="00EF5ED9"/>
  </w:style>
  <w:style w:type="character" w:customStyle="1" w:styleId="CharDivText">
    <w:name w:val="CharDivText"/>
    <w:basedOn w:val="OPCCharBase"/>
    <w:uiPriority w:val="1"/>
    <w:qFormat/>
    <w:rsid w:val="00EF5ED9"/>
  </w:style>
  <w:style w:type="character" w:customStyle="1" w:styleId="CharItalic">
    <w:name w:val="CharItalic"/>
    <w:basedOn w:val="OPCCharBase"/>
    <w:uiPriority w:val="1"/>
    <w:qFormat/>
    <w:rsid w:val="00EF5ED9"/>
    <w:rPr>
      <w:i/>
    </w:rPr>
  </w:style>
  <w:style w:type="character" w:customStyle="1" w:styleId="CharPartNo">
    <w:name w:val="CharPartNo"/>
    <w:basedOn w:val="OPCCharBase"/>
    <w:uiPriority w:val="1"/>
    <w:qFormat/>
    <w:rsid w:val="00EF5ED9"/>
  </w:style>
  <w:style w:type="character" w:customStyle="1" w:styleId="CharPartText">
    <w:name w:val="CharPartText"/>
    <w:basedOn w:val="OPCCharBase"/>
    <w:uiPriority w:val="1"/>
    <w:qFormat/>
    <w:rsid w:val="00EF5ED9"/>
  </w:style>
  <w:style w:type="character" w:customStyle="1" w:styleId="CharSectno">
    <w:name w:val="CharSectno"/>
    <w:basedOn w:val="OPCCharBase"/>
    <w:qFormat/>
    <w:rsid w:val="00EF5ED9"/>
  </w:style>
  <w:style w:type="character" w:customStyle="1" w:styleId="CharSubdNo">
    <w:name w:val="CharSubdNo"/>
    <w:basedOn w:val="OPCCharBase"/>
    <w:uiPriority w:val="1"/>
    <w:qFormat/>
    <w:rsid w:val="00EF5ED9"/>
  </w:style>
  <w:style w:type="character" w:customStyle="1" w:styleId="CharSubdText">
    <w:name w:val="CharSubdText"/>
    <w:basedOn w:val="OPCCharBase"/>
    <w:uiPriority w:val="1"/>
    <w:qFormat/>
    <w:rsid w:val="00EF5ED9"/>
  </w:style>
  <w:style w:type="paragraph" w:customStyle="1" w:styleId="CTA--">
    <w:name w:val="CTA --"/>
    <w:basedOn w:val="OPCParaBase"/>
    <w:next w:val="Normal"/>
    <w:rsid w:val="00EF5E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5E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5E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5E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5E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5E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5E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5E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5E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5E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5E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5E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5E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5E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5E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5E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5E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5E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5E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5E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5E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5E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5E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5E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EF5E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5E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5E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5E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5E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5E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5E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5E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5E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5E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5E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5E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5E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5E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5E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5E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5E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5E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5E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5E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5E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5E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5E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5E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5E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5E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5E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5E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5E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5E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5E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5E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5E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5E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5E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5E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5E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5E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5E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5E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5E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5E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5E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5E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5E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5E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5E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5E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5ED9"/>
    <w:rPr>
      <w:sz w:val="16"/>
    </w:rPr>
  </w:style>
  <w:style w:type="table" w:customStyle="1" w:styleId="CFlag">
    <w:name w:val="CFlag"/>
    <w:basedOn w:val="TableNormal"/>
    <w:uiPriority w:val="99"/>
    <w:rsid w:val="00EF5E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5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5E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5E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5E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5E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5E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5E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5E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5ED9"/>
    <w:pPr>
      <w:spacing w:before="120"/>
    </w:pPr>
  </w:style>
  <w:style w:type="paragraph" w:customStyle="1" w:styleId="CompiledActNo">
    <w:name w:val="CompiledActNo"/>
    <w:basedOn w:val="OPCParaBase"/>
    <w:next w:val="Normal"/>
    <w:rsid w:val="00EF5E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5E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5E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5E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5E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5E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5E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5E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5E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5E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5E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5E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5E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5E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5E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5E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5E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5ED9"/>
  </w:style>
  <w:style w:type="character" w:customStyle="1" w:styleId="CharSubPartNoCASA">
    <w:name w:val="CharSubPartNo(CASA)"/>
    <w:basedOn w:val="OPCCharBase"/>
    <w:uiPriority w:val="1"/>
    <w:rsid w:val="00EF5ED9"/>
  </w:style>
  <w:style w:type="paragraph" w:customStyle="1" w:styleId="ENoteTTIndentHeadingSub">
    <w:name w:val="ENoteTTIndentHeadingSub"/>
    <w:aliases w:val="enTTHis"/>
    <w:basedOn w:val="OPCParaBase"/>
    <w:rsid w:val="00EF5E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5E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5E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5E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5E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5E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5E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5ED9"/>
    <w:rPr>
      <w:sz w:val="22"/>
    </w:rPr>
  </w:style>
  <w:style w:type="paragraph" w:customStyle="1" w:styleId="SOTextNote">
    <w:name w:val="SO TextNote"/>
    <w:aliases w:val="sont"/>
    <w:basedOn w:val="SOText"/>
    <w:qFormat/>
    <w:rsid w:val="00EF5E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5E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5ED9"/>
    <w:rPr>
      <w:sz w:val="22"/>
    </w:rPr>
  </w:style>
  <w:style w:type="paragraph" w:customStyle="1" w:styleId="FileName">
    <w:name w:val="FileName"/>
    <w:basedOn w:val="Normal"/>
    <w:rsid w:val="00EF5ED9"/>
  </w:style>
  <w:style w:type="paragraph" w:customStyle="1" w:styleId="TableHeading">
    <w:name w:val="TableHeading"/>
    <w:aliases w:val="th"/>
    <w:basedOn w:val="OPCParaBase"/>
    <w:next w:val="Tabletext"/>
    <w:rsid w:val="00EF5E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5E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5E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5E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5E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5E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5E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5E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5E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5E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5E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5E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5E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5E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5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5E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5E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5E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5E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5E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5E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5E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F5ED9"/>
  </w:style>
  <w:style w:type="character" w:customStyle="1" w:styleId="charlegsubtitle1">
    <w:name w:val="charlegsubtitle1"/>
    <w:basedOn w:val="DefaultParagraphFont"/>
    <w:rsid w:val="00EF5E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5ED9"/>
    <w:pPr>
      <w:ind w:left="240" w:hanging="240"/>
    </w:pPr>
  </w:style>
  <w:style w:type="paragraph" w:styleId="Index2">
    <w:name w:val="index 2"/>
    <w:basedOn w:val="Normal"/>
    <w:next w:val="Normal"/>
    <w:autoRedefine/>
    <w:rsid w:val="00EF5ED9"/>
    <w:pPr>
      <w:ind w:left="480" w:hanging="240"/>
    </w:pPr>
  </w:style>
  <w:style w:type="paragraph" w:styleId="Index3">
    <w:name w:val="index 3"/>
    <w:basedOn w:val="Normal"/>
    <w:next w:val="Normal"/>
    <w:autoRedefine/>
    <w:rsid w:val="00EF5ED9"/>
    <w:pPr>
      <w:ind w:left="720" w:hanging="240"/>
    </w:pPr>
  </w:style>
  <w:style w:type="paragraph" w:styleId="Index4">
    <w:name w:val="index 4"/>
    <w:basedOn w:val="Normal"/>
    <w:next w:val="Normal"/>
    <w:autoRedefine/>
    <w:rsid w:val="00EF5ED9"/>
    <w:pPr>
      <w:ind w:left="960" w:hanging="240"/>
    </w:pPr>
  </w:style>
  <w:style w:type="paragraph" w:styleId="Index5">
    <w:name w:val="index 5"/>
    <w:basedOn w:val="Normal"/>
    <w:next w:val="Normal"/>
    <w:autoRedefine/>
    <w:rsid w:val="00EF5ED9"/>
    <w:pPr>
      <w:ind w:left="1200" w:hanging="240"/>
    </w:pPr>
  </w:style>
  <w:style w:type="paragraph" w:styleId="Index6">
    <w:name w:val="index 6"/>
    <w:basedOn w:val="Normal"/>
    <w:next w:val="Normal"/>
    <w:autoRedefine/>
    <w:rsid w:val="00EF5ED9"/>
    <w:pPr>
      <w:ind w:left="1440" w:hanging="240"/>
    </w:pPr>
  </w:style>
  <w:style w:type="paragraph" w:styleId="Index7">
    <w:name w:val="index 7"/>
    <w:basedOn w:val="Normal"/>
    <w:next w:val="Normal"/>
    <w:autoRedefine/>
    <w:rsid w:val="00EF5ED9"/>
    <w:pPr>
      <w:ind w:left="1680" w:hanging="240"/>
    </w:pPr>
  </w:style>
  <w:style w:type="paragraph" w:styleId="Index8">
    <w:name w:val="index 8"/>
    <w:basedOn w:val="Normal"/>
    <w:next w:val="Normal"/>
    <w:autoRedefine/>
    <w:rsid w:val="00EF5ED9"/>
    <w:pPr>
      <w:ind w:left="1920" w:hanging="240"/>
    </w:pPr>
  </w:style>
  <w:style w:type="paragraph" w:styleId="Index9">
    <w:name w:val="index 9"/>
    <w:basedOn w:val="Normal"/>
    <w:next w:val="Normal"/>
    <w:autoRedefine/>
    <w:rsid w:val="00EF5ED9"/>
    <w:pPr>
      <w:ind w:left="2160" w:hanging="240"/>
    </w:pPr>
  </w:style>
  <w:style w:type="paragraph" w:styleId="NormalIndent">
    <w:name w:val="Normal Indent"/>
    <w:basedOn w:val="Normal"/>
    <w:rsid w:val="00EF5ED9"/>
    <w:pPr>
      <w:ind w:left="720"/>
    </w:pPr>
  </w:style>
  <w:style w:type="paragraph" w:styleId="FootnoteText">
    <w:name w:val="footnote text"/>
    <w:basedOn w:val="Normal"/>
    <w:link w:val="FootnoteTextChar"/>
    <w:rsid w:val="00EF5E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5ED9"/>
  </w:style>
  <w:style w:type="paragraph" w:styleId="CommentText">
    <w:name w:val="annotation text"/>
    <w:basedOn w:val="Normal"/>
    <w:link w:val="CommentTextChar"/>
    <w:rsid w:val="00EF5E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5ED9"/>
  </w:style>
  <w:style w:type="paragraph" w:styleId="IndexHeading">
    <w:name w:val="index heading"/>
    <w:basedOn w:val="Normal"/>
    <w:next w:val="Index1"/>
    <w:rsid w:val="00EF5E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5E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5ED9"/>
    <w:pPr>
      <w:ind w:left="480" w:hanging="480"/>
    </w:pPr>
  </w:style>
  <w:style w:type="paragraph" w:styleId="EnvelopeAddress">
    <w:name w:val="envelope address"/>
    <w:basedOn w:val="Normal"/>
    <w:rsid w:val="00EF5E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5E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5E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5ED9"/>
    <w:rPr>
      <w:sz w:val="16"/>
      <w:szCs w:val="16"/>
    </w:rPr>
  </w:style>
  <w:style w:type="character" w:styleId="PageNumber">
    <w:name w:val="page number"/>
    <w:basedOn w:val="DefaultParagraphFont"/>
    <w:rsid w:val="00EF5ED9"/>
  </w:style>
  <w:style w:type="character" w:styleId="EndnoteReference">
    <w:name w:val="endnote reference"/>
    <w:basedOn w:val="DefaultParagraphFont"/>
    <w:rsid w:val="00EF5ED9"/>
    <w:rPr>
      <w:vertAlign w:val="superscript"/>
    </w:rPr>
  </w:style>
  <w:style w:type="paragraph" w:styleId="EndnoteText">
    <w:name w:val="endnote text"/>
    <w:basedOn w:val="Normal"/>
    <w:link w:val="EndnoteTextChar"/>
    <w:rsid w:val="00EF5E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5ED9"/>
  </w:style>
  <w:style w:type="paragraph" w:styleId="TableofAuthorities">
    <w:name w:val="table of authorities"/>
    <w:basedOn w:val="Normal"/>
    <w:next w:val="Normal"/>
    <w:rsid w:val="00EF5ED9"/>
    <w:pPr>
      <w:ind w:left="240" w:hanging="240"/>
    </w:pPr>
  </w:style>
  <w:style w:type="paragraph" w:styleId="MacroText">
    <w:name w:val="macro"/>
    <w:link w:val="MacroTextChar"/>
    <w:rsid w:val="00EF5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5E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5E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5ED9"/>
    <w:pPr>
      <w:ind w:left="283" w:hanging="283"/>
    </w:pPr>
  </w:style>
  <w:style w:type="paragraph" w:styleId="ListBullet">
    <w:name w:val="List Bullet"/>
    <w:basedOn w:val="Normal"/>
    <w:autoRedefine/>
    <w:rsid w:val="00EF5E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5E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5ED9"/>
    <w:pPr>
      <w:ind w:left="566" w:hanging="283"/>
    </w:pPr>
  </w:style>
  <w:style w:type="paragraph" w:styleId="List3">
    <w:name w:val="List 3"/>
    <w:basedOn w:val="Normal"/>
    <w:rsid w:val="00EF5ED9"/>
    <w:pPr>
      <w:ind w:left="849" w:hanging="283"/>
    </w:pPr>
  </w:style>
  <w:style w:type="paragraph" w:styleId="List4">
    <w:name w:val="List 4"/>
    <w:basedOn w:val="Normal"/>
    <w:rsid w:val="00EF5ED9"/>
    <w:pPr>
      <w:ind w:left="1132" w:hanging="283"/>
    </w:pPr>
  </w:style>
  <w:style w:type="paragraph" w:styleId="List5">
    <w:name w:val="List 5"/>
    <w:basedOn w:val="Normal"/>
    <w:rsid w:val="00EF5ED9"/>
    <w:pPr>
      <w:ind w:left="1415" w:hanging="283"/>
    </w:pPr>
  </w:style>
  <w:style w:type="paragraph" w:styleId="ListBullet2">
    <w:name w:val="List Bullet 2"/>
    <w:basedOn w:val="Normal"/>
    <w:autoRedefine/>
    <w:rsid w:val="00EF5E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5E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5E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5E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5E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5E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5E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5E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5E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5E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5ED9"/>
    <w:pPr>
      <w:ind w:left="4252"/>
    </w:pPr>
  </w:style>
  <w:style w:type="character" w:customStyle="1" w:styleId="ClosingChar">
    <w:name w:val="Closing Char"/>
    <w:basedOn w:val="DefaultParagraphFont"/>
    <w:link w:val="Closing"/>
    <w:rsid w:val="00EF5ED9"/>
    <w:rPr>
      <w:sz w:val="22"/>
    </w:rPr>
  </w:style>
  <w:style w:type="paragraph" w:styleId="Signature">
    <w:name w:val="Signature"/>
    <w:basedOn w:val="Normal"/>
    <w:link w:val="SignatureChar"/>
    <w:rsid w:val="00EF5E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5ED9"/>
    <w:rPr>
      <w:sz w:val="22"/>
    </w:rPr>
  </w:style>
  <w:style w:type="paragraph" w:styleId="BodyText">
    <w:name w:val="Body Text"/>
    <w:basedOn w:val="Normal"/>
    <w:link w:val="BodyTextChar"/>
    <w:rsid w:val="00EF5E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5ED9"/>
    <w:rPr>
      <w:sz w:val="22"/>
    </w:rPr>
  </w:style>
  <w:style w:type="paragraph" w:styleId="BodyTextIndent">
    <w:name w:val="Body Text Indent"/>
    <w:basedOn w:val="Normal"/>
    <w:link w:val="BodyTextIndentChar"/>
    <w:rsid w:val="00EF5E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5ED9"/>
    <w:rPr>
      <w:sz w:val="22"/>
    </w:rPr>
  </w:style>
  <w:style w:type="paragraph" w:styleId="ListContinue">
    <w:name w:val="List Continue"/>
    <w:basedOn w:val="Normal"/>
    <w:rsid w:val="00EF5ED9"/>
    <w:pPr>
      <w:spacing w:after="120"/>
      <w:ind w:left="283"/>
    </w:pPr>
  </w:style>
  <w:style w:type="paragraph" w:styleId="ListContinue2">
    <w:name w:val="List Continue 2"/>
    <w:basedOn w:val="Normal"/>
    <w:rsid w:val="00EF5ED9"/>
    <w:pPr>
      <w:spacing w:after="120"/>
      <w:ind w:left="566"/>
    </w:pPr>
  </w:style>
  <w:style w:type="paragraph" w:styleId="ListContinue3">
    <w:name w:val="List Continue 3"/>
    <w:basedOn w:val="Normal"/>
    <w:rsid w:val="00EF5ED9"/>
    <w:pPr>
      <w:spacing w:after="120"/>
      <w:ind w:left="849"/>
    </w:pPr>
  </w:style>
  <w:style w:type="paragraph" w:styleId="ListContinue4">
    <w:name w:val="List Continue 4"/>
    <w:basedOn w:val="Normal"/>
    <w:rsid w:val="00EF5ED9"/>
    <w:pPr>
      <w:spacing w:after="120"/>
      <w:ind w:left="1132"/>
    </w:pPr>
  </w:style>
  <w:style w:type="paragraph" w:styleId="ListContinue5">
    <w:name w:val="List Continue 5"/>
    <w:basedOn w:val="Normal"/>
    <w:rsid w:val="00EF5E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5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5E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5E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5E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5ED9"/>
  </w:style>
  <w:style w:type="character" w:customStyle="1" w:styleId="SalutationChar">
    <w:name w:val="Salutation Char"/>
    <w:basedOn w:val="DefaultParagraphFont"/>
    <w:link w:val="Salutation"/>
    <w:rsid w:val="00EF5ED9"/>
    <w:rPr>
      <w:sz w:val="22"/>
    </w:rPr>
  </w:style>
  <w:style w:type="paragraph" w:styleId="Date">
    <w:name w:val="Date"/>
    <w:basedOn w:val="Normal"/>
    <w:next w:val="Normal"/>
    <w:link w:val="DateChar"/>
    <w:rsid w:val="00EF5ED9"/>
  </w:style>
  <w:style w:type="character" w:customStyle="1" w:styleId="DateChar">
    <w:name w:val="Date Char"/>
    <w:basedOn w:val="DefaultParagraphFont"/>
    <w:link w:val="Date"/>
    <w:rsid w:val="00EF5ED9"/>
    <w:rPr>
      <w:sz w:val="22"/>
    </w:rPr>
  </w:style>
  <w:style w:type="paragraph" w:styleId="BodyTextFirstIndent">
    <w:name w:val="Body Text First Indent"/>
    <w:basedOn w:val="BodyText"/>
    <w:link w:val="BodyTextFirstIndentChar"/>
    <w:rsid w:val="00EF5E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5E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5E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5ED9"/>
    <w:rPr>
      <w:sz w:val="22"/>
    </w:rPr>
  </w:style>
  <w:style w:type="paragraph" w:styleId="BodyText2">
    <w:name w:val="Body Text 2"/>
    <w:basedOn w:val="Normal"/>
    <w:link w:val="BodyText2Char"/>
    <w:rsid w:val="00EF5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5ED9"/>
    <w:rPr>
      <w:sz w:val="22"/>
    </w:rPr>
  </w:style>
  <w:style w:type="paragraph" w:styleId="BodyText3">
    <w:name w:val="Body Text 3"/>
    <w:basedOn w:val="Normal"/>
    <w:link w:val="BodyText3Char"/>
    <w:rsid w:val="00EF5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5E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5E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5ED9"/>
    <w:rPr>
      <w:sz w:val="22"/>
    </w:rPr>
  </w:style>
  <w:style w:type="paragraph" w:styleId="BodyTextIndent3">
    <w:name w:val="Body Text Indent 3"/>
    <w:basedOn w:val="Normal"/>
    <w:link w:val="BodyTextIndent3Char"/>
    <w:rsid w:val="00EF5E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5ED9"/>
    <w:rPr>
      <w:sz w:val="16"/>
      <w:szCs w:val="16"/>
    </w:rPr>
  </w:style>
  <w:style w:type="paragraph" w:styleId="BlockText">
    <w:name w:val="Block Text"/>
    <w:basedOn w:val="Normal"/>
    <w:rsid w:val="00EF5ED9"/>
    <w:pPr>
      <w:spacing w:after="120"/>
      <w:ind w:left="1440" w:right="1440"/>
    </w:pPr>
  </w:style>
  <w:style w:type="character" w:styleId="Hyperlink">
    <w:name w:val="Hyperlink"/>
    <w:basedOn w:val="DefaultParagraphFont"/>
    <w:rsid w:val="00EF5ED9"/>
    <w:rPr>
      <w:color w:val="0000FF"/>
      <w:u w:val="single"/>
    </w:rPr>
  </w:style>
  <w:style w:type="character" w:styleId="FollowedHyperlink">
    <w:name w:val="FollowedHyperlink"/>
    <w:basedOn w:val="DefaultParagraphFont"/>
    <w:rsid w:val="00EF5ED9"/>
    <w:rPr>
      <w:color w:val="800080"/>
      <w:u w:val="single"/>
    </w:rPr>
  </w:style>
  <w:style w:type="character" w:styleId="Strong">
    <w:name w:val="Strong"/>
    <w:basedOn w:val="DefaultParagraphFont"/>
    <w:qFormat/>
    <w:rsid w:val="00EF5ED9"/>
    <w:rPr>
      <w:b/>
      <w:bCs/>
    </w:rPr>
  </w:style>
  <w:style w:type="character" w:styleId="Emphasis">
    <w:name w:val="Emphasis"/>
    <w:basedOn w:val="DefaultParagraphFont"/>
    <w:qFormat/>
    <w:rsid w:val="00EF5ED9"/>
    <w:rPr>
      <w:i/>
      <w:iCs/>
    </w:rPr>
  </w:style>
  <w:style w:type="paragraph" w:styleId="DocumentMap">
    <w:name w:val="Document Map"/>
    <w:basedOn w:val="Normal"/>
    <w:link w:val="DocumentMapChar"/>
    <w:rsid w:val="00EF5E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5E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5E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5E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5ED9"/>
  </w:style>
  <w:style w:type="character" w:customStyle="1" w:styleId="E-mailSignatureChar">
    <w:name w:val="E-mail Signature Char"/>
    <w:basedOn w:val="DefaultParagraphFont"/>
    <w:link w:val="E-mailSignature"/>
    <w:rsid w:val="00EF5ED9"/>
    <w:rPr>
      <w:sz w:val="22"/>
    </w:rPr>
  </w:style>
  <w:style w:type="paragraph" w:styleId="NormalWeb">
    <w:name w:val="Normal (Web)"/>
    <w:basedOn w:val="Normal"/>
    <w:rsid w:val="00EF5ED9"/>
  </w:style>
  <w:style w:type="character" w:styleId="HTMLAcronym">
    <w:name w:val="HTML Acronym"/>
    <w:basedOn w:val="DefaultParagraphFont"/>
    <w:rsid w:val="00EF5ED9"/>
  </w:style>
  <w:style w:type="paragraph" w:styleId="HTMLAddress">
    <w:name w:val="HTML Address"/>
    <w:basedOn w:val="Normal"/>
    <w:link w:val="HTMLAddressChar"/>
    <w:rsid w:val="00EF5E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5ED9"/>
    <w:rPr>
      <w:i/>
      <w:iCs/>
      <w:sz w:val="22"/>
    </w:rPr>
  </w:style>
  <w:style w:type="character" w:styleId="HTMLCite">
    <w:name w:val="HTML Cite"/>
    <w:basedOn w:val="DefaultParagraphFont"/>
    <w:rsid w:val="00EF5ED9"/>
    <w:rPr>
      <w:i/>
      <w:iCs/>
    </w:rPr>
  </w:style>
  <w:style w:type="character" w:styleId="HTMLCode">
    <w:name w:val="HTML Code"/>
    <w:basedOn w:val="DefaultParagraphFont"/>
    <w:rsid w:val="00EF5E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5ED9"/>
    <w:rPr>
      <w:i/>
      <w:iCs/>
    </w:rPr>
  </w:style>
  <w:style w:type="character" w:styleId="HTMLKeyboard">
    <w:name w:val="HTML Keyboard"/>
    <w:basedOn w:val="DefaultParagraphFont"/>
    <w:rsid w:val="00EF5E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5E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5E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5E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5E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5E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5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ED9"/>
    <w:rPr>
      <w:b/>
      <w:bCs/>
    </w:rPr>
  </w:style>
  <w:style w:type="numbering" w:styleId="1ai">
    <w:name w:val="Outline List 1"/>
    <w:basedOn w:val="NoList"/>
    <w:rsid w:val="00EF5ED9"/>
    <w:pPr>
      <w:numPr>
        <w:numId w:val="14"/>
      </w:numPr>
    </w:pPr>
  </w:style>
  <w:style w:type="numbering" w:styleId="111111">
    <w:name w:val="Outline List 2"/>
    <w:basedOn w:val="NoList"/>
    <w:rsid w:val="00EF5ED9"/>
    <w:pPr>
      <w:numPr>
        <w:numId w:val="15"/>
      </w:numPr>
    </w:pPr>
  </w:style>
  <w:style w:type="numbering" w:styleId="ArticleSection">
    <w:name w:val="Outline List 3"/>
    <w:basedOn w:val="NoList"/>
    <w:rsid w:val="00EF5ED9"/>
    <w:pPr>
      <w:numPr>
        <w:numId w:val="17"/>
      </w:numPr>
    </w:pPr>
  </w:style>
  <w:style w:type="table" w:styleId="TableSimple1">
    <w:name w:val="Table Simple 1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5E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5E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5E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5E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5E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5E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5E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5E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5E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5E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5E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5E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5E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5E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5E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5E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5E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5E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5E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5E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5E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5E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5E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5E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5E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5E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5E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5E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5E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5E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5E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5E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5E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5E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5E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5ED9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7106D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1449</Words>
  <Characters>7145</Characters>
  <Application>Microsoft Office Word</Application>
  <DocSecurity>0</DocSecurity>
  <PresentationFormat/>
  <Lines>595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Legislation Amendment (2021 Measures No. 4) Regulations 2021</vt:lpstr>
    </vt:vector>
  </TitlesOfParts>
  <Manager/>
  <Company/>
  <LinksUpToDate>false</LinksUpToDate>
  <CharactersWithSpaces>8326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2021-11-25T00:23:00Z</cp:lastPrinted>
  <dcterms:created xsi:type="dcterms:W3CDTF">2021-12-14T02:50:00Z</dcterms:created>
  <dcterms:modified xsi:type="dcterms:W3CDTF">2021-12-16T22:55:00Z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Therapeutic Goods Legislation Amendment (2021 Measures No. 4)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OPC65580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ExcoDate">
    <vt:lpwstr>16 December 2021</vt:lpwstr>
  </property>
</Properties>
</file>