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E87A8" w14:textId="0E51D21E" w:rsidR="00AA4E4C" w:rsidRDefault="00B176B7" w:rsidP="00B176B7">
      <w:pPr>
        <w:pStyle w:val="Heading1"/>
        <w:ind w:left="1440" w:firstLine="720"/>
        <w:jc w:val="left"/>
        <w:rPr>
          <w:rFonts w:ascii="Times New Roman" w:hAnsi="Times New Roman"/>
        </w:rPr>
      </w:pPr>
      <w:r>
        <w:rPr>
          <w:rFonts w:ascii="Times New Roman" w:hAnsi="Times New Roman"/>
        </w:rPr>
        <w:t xml:space="preserve">       </w:t>
      </w:r>
      <w:r w:rsidR="00963869" w:rsidRPr="00EC61E4">
        <w:rPr>
          <w:rFonts w:ascii="Times New Roman" w:hAnsi="Times New Roman"/>
        </w:rPr>
        <w:t>EXPLANATORY STATEMENT</w:t>
      </w:r>
    </w:p>
    <w:p w14:paraId="28D78D9A" w14:textId="103FE1C6" w:rsidR="0006675D" w:rsidRPr="0006675D" w:rsidRDefault="0006675D" w:rsidP="00F24F48">
      <w:pPr>
        <w:spacing w:before="0" w:after="0"/>
        <w:jc w:val="center"/>
      </w:pPr>
      <w:r>
        <w:t xml:space="preserve">Issued by the authority of the Minister </w:t>
      </w:r>
      <w:r w:rsidR="004712BB">
        <w:t>for Employment, Workforce, Skills, Small &amp; Family Business</w:t>
      </w:r>
    </w:p>
    <w:p w14:paraId="0F65C958" w14:textId="77777777" w:rsidR="00CE62DB" w:rsidRDefault="00CE62DB" w:rsidP="00F24F48">
      <w:pPr>
        <w:tabs>
          <w:tab w:val="left" w:pos="1080"/>
        </w:tabs>
        <w:spacing w:before="0" w:after="0"/>
        <w:ind w:left="960" w:hanging="960"/>
        <w:jc w:val="center"/>
        <w:rPr>
          <w:i/>
          <w:iCs/>
        </w:rPr>
      </w:pPr>
    </w:p>
    <w:p w14:paraId="6AE70AFA" w14:textId="6583E144" w:rsidR="00AA4E4C" w:rsidRPr="00EC61E4" w:rsidRDefault="00000B7F" w:rsidP="00F24F48">
      <w:pPr>
        <w:tabs>
          <w:tab w:val="left" w:pos="1080"/>
        </w:tabs>
        <w:spacing w:before="0" w:after="0"/>
        <w:ind w:left="960" w:hanging="960"/>
        <w:jc w:val="center"/>
        <w:rPr>
          <w:i/>
          <w:iCs/>
        </w:rPr>
      </w:pPr>
      <w:r w:rsidRPr="00EC61E4">
        <w:rPr>
          <w:i/>
          <w:iCs/>
        </w:rPr>
        <w:t>Australian Education Act 2013</w:t>
      </w:r>
    </w:p>
    <w:p w14:paraId="3C9D0C96" w14:textId="77777777" w:rsidR="00AA4E4C" w:rsidRPr="00EC61E4" w:rsidRDefault="00AA4E4C" w:rsidP="00F24F48">
      <w:pPr>
        <w:tabs>
          <w:tab w:val="left" w:pos="1080"/>
        </w:tabs>
        <w:spacing w:before="0" w:after="0"/>
        <w:ind w:left="960" w:hanging="960"/>
        <w:jc w:val="center"/>
        <w:rPr>
          <w:i/>
          <w:iCs/>
        </w:rPr>
      </w:pPr>
    </w:p>
    <w:p w14:paraId="6FF8A264" w14:textId="3FEB7842" w:rsidR="00747812" w:rsidRPr="00EC61E4" w:rsidRDefault="00747812" w:rsidP="00F24F48">
      <w:pPr>
        <w:spacing w:before="0" w:after="0"/>
        <w:ind w:right="-46"/>
        <w:jc w:val="center"/>
        <w:rPr>
          <w:i/>
        </w:rPr>
      </w:pPr>
      <w:r w:rsidRPr="00EC61E4">
        <w:rPr>
          <w:i/>
          <w:iCs/>
        </w:rPr>
        <w:t>Australian Education Amendment</w:t>
      </w:r>
      <w:r w:rsidR="0008359B" w:rsidRPr="00EC61E4">
        <w:rPr>
          <w:i/>
          <w:iCs/>
        </w:rPr>
        <w:t xml:space="preserve"> </w:t>
      </w:r>
      <w:r w:rsidR="000714F7" w:rsidRPr="00EC61E4">
        <w:rPr>
          <w:i/>
          <w:iCs/>
        </w:rPr>
        <w:t>(</w:t>
      </w:r>
      <w:bookmarkStart w:id="0" w:name="_Hlk81484552"/>
      <w:r w:rsidR="003C5B40" w:rsidRPr="00EC61E4">
        <w:rPr>
          <w:i/>
          <w:iCs/>
        </w:rPr>
        <w:t xml:space="preserve">Capped CTC Score </w:t>
      </w:r>
      <w:r w:rsidR="00D877F0" w:rsidRPr="00EC61E4">
        <w:rPr>
          <w:i/>
          <w:iCs/>
        </w:rPr>
        <w:t>Methodology</w:t>
      </w:r>
      <w:bookmarkEnd w:id="0"/>
      <w:r w:rsidR="00787B5F" w:rsidRPr="00EC61E4">
        <w:rPr>
          <w:i/>
          <w:iCs/>
        </w:rPr>
        <w:t>)</w:t>
      </w:r>
      <w:r w:rsidRPr="00EC61E4">
        <w:rPr>
          <w:i/>
          <w:iCs/>
        </w:rPr>
        <w:t xml:space="preserve"> Regulation</w:t>
      </w:r>
      <w:r w:rsidR="00BD2448" w:rsidRPr="00EC61E4">
        <w:rPr>
          <w:i/>
          <w:iCs/>
        </w:rPr>
        <w:t>s</w:t>
      </w:r>
      <w:r w:rsidRPr="00EC61E4">
        <w:rPr>
          <w:i/>
          <w:iCs/>
        </w:rPr>
        <w:t xml:space="preserve"> 20</w:t>
      </w:r>
      <w:r w:rsidR="000714F7" w:rsidRPr="00EC61E4">
        <w:rPr>
          <w:i/>
          <w:iCs/>
        </w:rPr>
        <w:t>2</w:t>
      </w:r>
      <w:r w:rsidR="00170212" w:rsidRPr="00EC61E4">
        <w:rPr>
          <w:i/>
          <w:iCs/>
        </w:rPr>
        <w:t>1</w:t>
      </w:r>
    </w:p>
    <w:p w14:paraId="307AD69B" w14:textId="77777777" w:rsidR="00AA4E4C" w:rsidRPr="00EC61E4" w:rsidRDefault="00AA4E4C" w:rsidP="00F24F48">
      <w:pPr>
        <w:tabs>
          <w:tab w:val="left" w:pos="1080"/>
        </w:tabs>
        <w:spacing w:before="0" w:after="0"/>
        <w:ind w:left="960" w:hanging="960"/>
        <w:rPr>
          <w:i/>
          <w:iCs/>
        </w:rPr>
      </w:pPr>
    </w:p>
    <w:p w14:paraId="7387D0F2" w14:textId="77777777" w:rsidR="0045555D" w:rsidRPr="00EC61E4" w:rsidRDefault="0045555D" w:rsidP="0045555D">
      <w:pPr>
        <w:pStyle w:val="Heading2"/>
        <w:rPr>
          <w:rFonts w:ascii="Times New Roman" w:hAnsi="Times New Roman"/>
        </w:rPr>
      </w:pPr>
      <w:r w:rsidRPr="00EC61E4">
        <w:rPr>
          <w:rFonts w:ascii="Times New Roman" w:hAnsi="Times New Roman"/>
        </w:rPr>
        <w:t>Authority</w:t>
      </w:r>
    </w:p>
    <w:p w14:paraId="3C67CF8C" w14:textId="77777777" w:rsidR="0045555D" w:rsidRPr="00EC61E4" w:rsidRDefault="0045555D" w:rsidP="0045555D">
      <w:r w:rsidRPr="00EC61E4">
        <w:t xml:space="preserve">Subsection 130(1) of the </w:t>
      </w:r>
      <w:r w:rsidRPr="00EC61E4">
        <w:rPr>
          <w:i/>
        </w:rPr>
        <w:t>Australian Education Act 2013</w:t>
      </w:r>
      <w:r w:rsidRPr="00EC61E4">
        <w:t xml:space="preserve"> (the Act) empowers the </w:t>
      </w:r>
      <w:r w:rsidR="003973EA" w:rsidRPr="00EC61E4">
        <w:t>Governor</w:t>
      </w:r>
      <w:r w:rsidR="003973EA" w:rsidRPr="00EC61E4">
        <w:noBreakHyphen/>
      </w:r>
      <w:r w:rsidRPr="00EC61E4">
        <w:t xml:space="preserve">General to make regulations prescribing matters required or permitted by the Act to be prescribed by the regulations, or necessary or convenient to be prescribed for carrying out or giving effect to the Act. </w:t>
      </w:r>
    </w:p>
    <w:p w14:paraId="7591FC9B" w14:textId="77777777" w:rsidR="0045555D" w:rsidRPr="00EC61E4" w:rsidRDefault="0045555D" w:rsidP="0045555D">
      <w:r w:rsidRPr="00EC61E4">
        <w:t xml:space="preserve">Under subsection 33(3) of the </w:t>
      </w:r>
      <w:r w:rsidRPr="00EC61E4">
        <w:rPr>
          <w:i/>
        </w:rPr>
        <w:t>Acts Interpretation Act 1901</w:t>
      </w:r>
      <w:r w:rsidRPr="00EC61E4">
        <w:t xml:space="preserve">, where an Act confers a power to make, grant or issue any instrument of a legislative or administrative character (including rules, </w:t>
      </w:r>
      <w:proofErr w:type="gramStart"/>
      <w:r w:rsidRPr="00EC61E4">
        <w:t>regulations</w:t>
      </w:r>
      <w:proofErr w:type="gramEnd"/>
      <w:r w:rsidRPr="00EC61E4">
        <w:t xml:space="preserve"> or by-laws), the power shall be construed as including a power exercisable in the like manner and subject to the like conditions (if any) to repeal, rescind, revoke, amend, or vary any such instrument.</w:t>
      </w:r>
    </w:p>
    <w:p w14:paraId="7C94C2D6" w14:textId="77777777" w:rsidR="0045555D" w:rsidRPr="00EC61E4" w:rsidRDefault="0045555D" w:rsidP="0045555D">
      <w:pPr>
        <w:pStyle w:val="Heading2"/>
        <w:rPr>
          <w:rFonts w:ascii="Times New Roman" w:hAnsi="Times New Roman"/>
        </w:rPr>
      </w:pPr>
      <w:r w:rsidRPr="00EC61E4">
        <w:rPr>
          <w:rFonts w:ascii="Times New Roman" w:hAnsi="Times New Roman"/>
        </w:rPr>
        <w:t>Legislative background</w:t>
      </w:r>
    </w:p>
    <w:p w14:paraId="053EB1D0" w14:textId="5625E79C" w:rsidR="008B4122" w:rsidRDefault="008B4122" w:rsidP="00344282">
      <w:r w:rsidRPr="00EC61E4">
        <w:t>The Act is the principal legislation by which the Australian Government provides Commonwealth financial assistance for schools.</w:t>
      </w:r>
    </w:p>
    <w:p w14:paraId="52692AC9" w14:textId="2D678DBE" w:rsidR="006B20E5" w:rsidRDefault="006B20E5" w:rsidP="00587B23">
      <w:pPr>
        <w:rPr>
          <w:lang w:val="en-US"/>
        </w:rPr>
      </w:pPr>
      <w:r w:rsidRPr="00427638">
        <w:rPr>
          <w:lang w:val="en-US"/>
        </w:rPr>
        <w:t>Under the Act, financial assistance is provided to states and territories for distribution to approved authorities for government and non-government schools</w:t>
      </w:r>
      <w:r>
        <w:rPr>
          <w:lang w:val="en-US"/>
        </w:rPr>
        <w:t xml:space="preserve">. Entities approved to receive Commonwealth financial assistance under the Act, including states and territories in their capacity as approved authorities for government schools, must meet and maintain the conditions of approval outlined in the Act. </w:t>
      </w:r>
    </w:p>
    <w:p w14:paraId="15C98301" w14:textId="61A572E5" w:rsidR="00344282" w:rsidRPr="008C5F46" w:rsidRDefault="00344282" w:rsidP="00344282">
      <w:r w:rsidRPr="00EC61E4">
        <w:t>Under section 33 of the Act, one of the factors in calculating the base amount of annual recurrent funding for a school is the school’s capacity to contribute</w:t>
      </w:r>
      <w:r w:rsidR="007F4E1D">
        <w:t xml:space="preserve"> (CTC)</w:t>
      </w:r>
      <w:r w:rsidRPr="00EC61E4">
        <w:t xml:space="preserve"> percentage. The higher a </w:t>
      </w:r>
      <w:r w:rsidRPr="008C5F46">
        <w:t xml:space="preserve">school’s </w:t>
      </w:r>
      <w:r w:rsidR="007F4E1D" w:rsidRPr="008C5F46">
        <w:t>CTC</w:t>
      </w:r>
      <w:r w:rsidRPr="008C5F46">
        <w:t xml:space="preserve"> percentage, the lower its base amount of annual recurrent funding, and conversely, the lower a school’s </w:t>
      </w:r>
      <w:r w:rsidR="007F4E1D" w:rsidRPr="008C5F46">
        <w:t>CTC</w:t>
      </w:r>
      <w:r w:rsidRPr="008C5F46">
        <w:t xml:space="preserve"> percentage, the higher its base amount of annual recurrent funding.</w:t>
      </w:r>
    </w:p>
    <w:p w14:paraId="76360BAE" w14:textId="6778C159" w:rsidR="00344282" w:rsidRDefault="00344282" w:rsidP="00344282">
      <w:r w:rsidRPr="008C5F46">
        <w:t xml:space="preserve">In accordance with subsection 54(1) of the Act, the </w:t>
      </w:r>
      <w:r w:rsidR="008C5F46" w:rsidRPr="008C5F46">
        <w:t>CTC percentage</w:t>
      </w:r>
      <w:r w:rsidRPr="008C5F46">
        <w:t xml:space="preserve"> of government, special, special assistance, majority Aboriginal and Torres Strait Islander, and sole provider non</w:t>
      </w:r>
      <w:r w:rsidR="00BB1674" w:rsidRPr="008C5F46">
        <w:t>-</w:t>
      </w:r>
      <w:r w:rsidRPr="008C5F46">
        <w:t>government schools is zero. For most non</w:t>
      </w:r>
      <w:r w:rsidR="00BB1674" w:rsidRPr="008C5F46">
        <w:t>-</w:t>
      </w:r>
      <w:r w:rsidRPr="008C5F46">
        <w:t xml:space="preserve">government schools, however, the table in subsection 54(3) of the Act sets out the school’s </w:t>
      </w:r>
      <w:r w:rsidR="007E10DF" w:rsidRPr="008C5F46">
        <w:t xml:space="preserve">CTC </w:t>
      </w:r>
      <w:r w:rsidRPr="008C5F46">
        <w:t>percentage by reference to the school’s CTC score.</w:t>
      </w:r>
    </w:p>
    <w:p w14:paraId="187B5491" w14:textId="6DAE9640" w:rsidR="00587B23" w:rsidRDefault="00587B23" w:rsidP="00587B23">
      <w:r>
        <w:t xml:space="preserve">Subsection 52(1) provides that the Minister must determine a CTC score for most non-government schools. Subsection 52(4) provides that the Minister must determine a CTC score in accordance with the regulations unless satisfied that this would result in a CTC score that does not accurately reflect the </w:t>
      </w:r>
      <w:r w:rsidR="00402B8A">
        <w:t xml:space="preserve">capacity of persons responsible for students at the </w:t>
      </w:r>
      <w:r>
        <w:t>school to contribute</w:t>
      </w:r>
      <w:r w:rsidR="00770BB3">
        <w:t xml:space="preserve"> financially to the operation of the school</w:t>
      </w:r>
      <w:r>
        <w:t xml:space="preserve">.  </w:t>
      </w:r>
    </w:p>
    <w:p w14:paraId="40A7D0A5" w14:textId="03C0ED25" w:rsidR="00A41546" w:rsidRDefault="008611D9" w:rsidP="00344282">
      <w:r w:rsidRPr="008611D9">
        <w:t xml:space="preserve">The </w:t>
      </w:r>
      <w:r w:rsidRPr="008611D9">
        <w:rPr>
          <w:i/>
          <w:iCs/>
        </w:rPr>
        <w:t>Australian Education Regulation 2013</w:t>
      </w:r>
      <w:r w:rsidRPr="008611D9">
        <w:t xml:space="preserve"> (the Principal Regulation) provides for the calculation and administration of Commonwealth financial assistance for schools, including a </w:t>
      </w:r>
      <w:r w:rsidRPr="008611D9">
        <w:lastRenderedPageBreak/>
        <w:t xml:space="preserve">methodology for working out a school’s CTC score. From 2022, an average Direct Measure of Income (DMI) score based on the median income of parents and guardians of students at the school will generally be used. A Refined Area Based (RAB) score will apply where it is not reasonably practicable to use a DMI score. </w:t>
      </w:r>
    </w:p>
    <w:p w14:paraId="4F3EEBA4" w14:textId="6AD22B55" w:rsidR="00ED1880" w:rsidRDefault="00344282" w:rsidP="00344282">
      <w:r w:rsidRPr="00EC61E4">
        <w:t>Under section 32 of the Act, one of the factors in calculating a school’s annual</w:t>
      </w:r>
      <w:r w:rsidR="00BB1674" w:rsidRPr="00EC61E4">
        <w:t xml:space="preserve"> Commonwealth</w:t>
      </w:r>
      <w:r w:rsidRPr="00EC61E4">
        <w:t xml:space="preserve"> recurrent funding is its Commonwealth share. </w:t>
      </w:r>
      <w:r w:rsidR="00ED1880" w:rsidRPr="003878CE">
        <w:t>For many schools, the change to the way the CTC score is worked out will affect their recurrent funding</w:t>
      </w:r>
      <w:r w:rsidR="00ED1880">
        <w:t xml:space="preserve"> from 2022</w:t>
      </w:r>
      <w:r w:rsidR="00ED1880" w:rsidRPr="003878CE">
        <w:t xml:space="preserve">. To manage these changes, the Commonwealth share for these schools will also be adjusted over time, in accordance with the </w:t>
      </w:r>
      <w:r w:rsidR="00ED1880">
        <w:t xml:space="preserve">Principal </w:t>
      </w:r>
      <w:r w:rsidR="00ED1880" w:rsidRPr="003878CE">
        <w:t>Regulation.</w:t>
      </w:r>
    </w:p>
    <w:p w14:paraId="0CDCCB79" w14:textId="7ECD9884" w:rsidR="00770BB3" w:rsidRDefault="00344282" w:rsidP="00770BB3">
      <w:r w:rsidRPr="00EC61E4">
        <w:t>Ordinarily, the Commonwealth share of a non-government school is 80 per cent</w:t>
      </w:r>
      <w:r w:rsidR="00AA25CE">
        <w:t xml:space="preserve"> (pa</w:t>
      </w:r>
      <w:r w:rsidRPr="00EC61E4">
        <w:t>ragraph</w:t>
      </w:r>
      <w:r w:rsidR="00AF7D65">
        <w:t> </w:t>
      </w:r>
      <w:r w:rsidRPr="00EC61E4">
        <w:t>35A(b) of the Act</w:t>
      </w:r>
      <w:r w:rsidR="00AA25CE">
        <w:t>)</w:t>
      </w:r>
      <w:r w:rsidRPr="00EC61E4">
        <w:t>. However, under section 35C of the Act, the Commonwealth share for a non</w:t>
      </w:r>
      <w:r w:rsidR="00AA25CE">
        <w:noBreakHyphen/>
      </w:r>
      <w:r w:rsidRPr="00EC61E4">
        <w:t>government school for a transition year is the percentage prescribed in, or the percentage worked out in accordance with, the Principal Regulation.</w:t>
      </w:r>
      <w:r w:rsidR="008B657B">
        <w:t xml:space="preserve"> </w:t>
      </w:r>
      <w:r w:rsidR="00770BB3">
        <w:t>E</w:t>
      </w:r>
      <w:r w:rsidR="00770BB3" w:rsidRPr="006E3ADC">
        <w:t>xisting non</w:t>
      </w:r>
      <w:r w:rsidR="00286631">
        <w:noBreakHyphen/>
      </w:r>
      <w:r w:rsidR="00770BB3" w:rsidRPr="006E3ADC">
        <w:t xml:space="preserve">government schools will transition </w:t>
      </w:r>
      <w:r w:rsidR="00770BB3">
        <w:t xml:space="preserve">to a Commonwealth share of 80 per cent </w:t>
      </w:r>
      <w:r w:rsidR="00770BB3" w:rsidRPr="006E3ADC">
        <w:t>either by 2023 (for those schools with a Commonwealth share below 80 per cent) or 2029 (for those schools with a Commonwealth share above 80 per cent)</w:t>
      </w:r>
      <w:r w:rsidR="00770BB3">
        <w:t xml:space="preserve">. </w:t>
      </w:r>
    </w:p>
    <w:p w14:paraId="0D768F91" w14:textId="2AFF360C" w:rsidR="00770BB3" w:rsidRDefault="00770BB3" w:rsidP="00770BB3">
      <w:r w:rsidRPr="00D90636">
        <w:t>Sections 19A, 19B, 19C and 19D</w:t>
      </w:r>
      <w:r>
        <w:t xml:space="preserve"> of the Principal Regulation</w:t>
      </w:r>
      <w:r w:rsidRPr="00D90636">
        <w:t xml:space="preserve"> prescribe methods to work out a non-government school’s</w:t>
      </w:r>
      <w:r>
        <w:t xml:space="preserve"> C</w:t>
      </w:r>
      <w:r w:rsidRPr="00D90636">
        <w:t>ommonwealth share for different transition years using notional starting shares</w:t>
      </w:r>
      <w:r>
        <w:t xml:space="preserve"> (defined in section 19E). This is a percentage worked out using a formula that includes the ‘CTC-adjusted amount’ for the school</w:t>
      </w:r>
      <w:r w:rsidR="00CF4DA4">
        <w:t>,</w:t>
      </w:r>
      <w:r>
        <w:t xml:space="preserve"> for the year defined in section 19F. This CTC-adjusted amount </w:t>
      </w:r>
      <w:proofErr w:type="gramStart"/>
      <w:r>
        <w:t>takes into account</w:t>
      </w:r>
      <w:proofErr w:type="gramEnd"/>
      <w:r>
        <w:t xml:space="preserve"> a school’s CTC score.</w:t>
      </w:r>
    </w:p>
    <w:p w14:paraId="0C50A529" w14:textId="2610751F" w:rsidR="00770BB3" w:rsidRPr="00EC61E4" w:rsidRDefault="00770BB3" w:rsidP="00344282">
      <w:r w:rsidRPr="005A5BB5">
        <w:t>To manage the changes to a CTC score based on an average DMI score or RAB score in 2022</w:t>
      </w:r>
      <w:r>
        <w:t xml:space="preserve">, </w:t>
      </w:r>
      <w:r w:rsidRPr="005A5BB5">
        <w:t>the Commonwealth share for an affected school will be adjusted according to s</w:t>
      </w:r>
      <w:r>
        <w:t>ection </w:t>
      </w:r>
      <w:r w:rsidRPr="005A5BB5">
        <w:t xml:space="preserve">19C of the </w:t>
      </w:r>
      <w:r>
        <w:t xml:space="preserve">Principal </w:t>
      </w:r>
      <w:r w:rsidRPr="005A5BB5">
        <w:t>Regulation and reset the school’s transition path. This new pathway will offset the fluctuation in</w:t>
      </w:r>
      <w:r>
        <w:t xml:space="preserve"> recurrent funding </w:t>
      </w:r>
      <w:r w:rsidRPr="005A5BB5">
        <w:t xml:space="preserve">from CTC score change and smooth out any funding volatility over the transition period. </w:t>
      </w:r>
    </w:p>
    <w:p w14:paraId="3BA1C5BC" w14:textId="77777777" w:rsidR="0045555D" w:rsidRPr="00EC61E4" w:rsidRDefault="0045555D" w:rsidP="0045555D">
      <w:r w:rsidRPr="00EC61E4">
        <w:t>The Act and Principal Regulation commenced on 1 January 2014.</w:t>
      </w:r>
    </w:p>
    <w:p w14:paraId="482B8AD9" w14:textId="77777777" w:rsidR="00732EB8" w:rsidRPr="00EC61E4" w:rsidRDefault="00AE456A" w:rsidP="00AD04F0">
      <w:pPr>
        <w:pStyle w:val="Heading2"/>
        <w:rPr>
          <w:rFonts w:ascii="Times New Roman" w:hAnsi="Times New Roman"/>
        </w:rPr>
      </w:pPr>
      <w:r w:rsidRPr="00EC61E4">
        <w:rPr>
          <w:rFonts w:ascii="Times New Roman" w:hAnsi="Times New Roman"/>
        </w:rPr>
        <w:t xml:space="preserve">Purpose </w:t>
      </w:r>
      <w:r w:rsidR="004902D0" w:rsidRPr="00EC61E4">
        <w:rPr>
          <w:rFonts w:ascii="Times New Roman" w:hAnsi="Times New Roman"/>
        </w:rPr>
        <w:t xml:space="preserve">and operation </w:t>
      </w:r>
      <w:r w:rsidR="00AD04F0" w:rsidRPr="00EC61E4">
        <w:rPr>
          <w:rFonts w:ascii="Times New Roman" w:hAnsi="Times New Roman"/>
        </w:rPr>
        <w:t xml:space="preserve">of </w:t>
      </w:r>
      <w:r w:rsidRPr="00EC61E4">
        <w:rPr>
          <w:rFonts w:ascii="Times New Roman" w:hAnsi="Times New Roman"/>
        </w:rPr>
        <w:t>amendments</w:t>
      </w:r>
    </w:p>
    <w:p w14:paraId="62F996FC" w14:textId="19C3B85C" w:rsidR="008814D3" w:rsidRPr="008814D3" w:rsidRDefault="00B56B4A" w:rsidP="008814D3">
      <w:pPr>
        <w:jc w:val="both"/>
      </w:pPr>
      <w:r>
        <w:t xml:space="preserve">The </w:t>
      </w:r>
      <w:r w:rsidRPr="00B56B4A">
        <w:rPr>
          <w:i/>
          <w:iCs/>
        </w:rPr>
        <w:t>Australian Education Amendment (Capped CTC Score Methodology) Regulations 2021</w:t>
      </w:r>
      <w:r>
        <w:t xml:space="preserve"> (</w:t>
      </w:r>
      <w:r w:rsidR="008814D3">
        <w:t>Amendment Regulations</w:t>
      </w:r>
      <w:r>
        <w:t>)</w:t>
      </w:r>
      <w:r w:rsidR="008814D3">
        <w:t xml:space="preserve"> introduce </w:t>
      </w:r>
      <w:r w:rsidR="00286631">
        <w:t>two</w:t>
      </w:r>
      <w:r w:rsidR="008814D3">
        <w:t xml:space="preserve"> measures to limit funding volatility resulting from the changes to the way CTC scores are worked out</w:t>
      </w:r>
      <w:r w:rsidR="00831DBA">
        <w:t xml:space="preserve"> and applied</w:t>
      </w:r>
      <w:r w:rsidR="008814D3">
        <w:t xml:space="preserve"> from 2022 for small and very small schools.</w:t>
      </w:r>
      <w:r w:rsidR="000C16D4">
        <w:t xml:space="preserve"> ‘Small schools’ and ‘very small schools’ are defined in subsection 43(1) of the Act. </w:t>
      </w:r>
    </w:p>
    <w:p w14:paraId="6649E603" w14:textId="42B98A40" w:rsidR="008814D3" w:rsidRPr="008814D3" w:rsidRDefault="008814D3" w:rsidP="008814D3">
      <w:pPr>
        <w:jc w:val="both"/>
        <w:rPr>
          <w:i/>
          <w:iCs/>
        </w:rPr>
      </w:pPr>
      <w:r w:rsidRPr="008814D3">
        <w:rPr>
          <w:i/>
          <w:iCs/>
        </w:rPr>
        <w:t>Extending the cap on movement in CTC scores from year to year</w:t>
      </w:r>
    </w:p>
    <w:p w14:paraId="107CDB0D" w14:textId="249A4C0C" w:rsidR="008814D3" w:rsidRDefault="008814D3" w:rsidP="008611D9">
      <w:r w:rsidRPr="008611D9">
        <w:t xml:space="preserve">To reduce funding </w:t>
      </w:r>
      <w:r w:rsidR="00B56B4A">
        <w:t xml:space="preserve">changes </w:t>
      </w:r>
      <w:r w:rsidRPr="008611D9">
        <w:t>from year to year for small and very small schools, the Principal Regulation contains a cap and floor on movement in CTC scores based on the average DMI methodology</w:t>
      </w:r>
      <w:r>
        <w:t xml:space="preserve"> from 2022</w:t>
      </w:r>
      <w:r w:rsidRPr="008611D9">
        <w:t>.</w:t>
      </w:r>
    </w:p>
    <w:p w14:paraId="7DCAA944" w14:textId="5382355D" w:rsidR="008611D9" w:rsidRDefault="00DB2D07" w:rsidP="008611D9">
      <w:r>
        <w:t xml:space="preserve">However, </w:t>
      </w:r>
      <w:r w:rsidR="008611D9">
        <w:t xml:space="preserve">RAB scores are inherently more volatile than average DMI scores as RAB scores are based on annual data so annual changes to student enrolments have a direct impact on a school’s recurrent funding for the year. In contrast, average DMI scores are based on a </w:t>
      </w:r>
      <w:proofErr w:type="gramStart"/>
      <w:r w:rsidR="008611D9">
        <w:t>three</w:t>
      </w:r>
      <w:r w:rsidR="006650C9">
        <w:t xml:space="preserve"> </w:t>
      </w:r>
      <w:r w:rsidR="008611D9">
        <w:t>year</w:t>
      </w:r>
      <w:proofErr w:type="gramEnd"/>
      <w:r w:rsidR="008611D9">
        <w:t xml:space="preserve"> </w:t>
      </w:r>
      <w:r w:rsidR="006650C9">
        <w:t xml:space="preserve">rolling </w:t>
      </w:r>
      <w:r w:rsidR="008611D9">
        <w:t>average which smooths the impact of annual enrolment changes.</w:t>
      </w:r>
    </w:p>
    <w:p w14:paraId="36F0F185" w14:textId="748DD7CD" w:rsidR="008611D9" w:rsidRDefault="008611D9" w:rsidP="008611D9">
      <w:r>
        <w:t xml:space="preserve">Small and very small schools are also more likely to have a RAB score applied on the basis that the number of persons responsible for students at the school for the year is too low to ensure that the </w:t>
      </w:r>
      <w:r w:rsidR="006650C9">
        <w:t xml:space="preserve">information required to calculate a </w:t>
      </w:r>
      <w:r>
        <w:t xml:space="preserve">CTC score does not identify information </w:t>
      </w:r>
      <w:r>
        <w:lastRenderedPageBreak/>
        <w:t>relating to a particular student or a person responsible for that student</w:t>
      </w:r>
      <w:r w:rsidR="00B56B4A">
        <w:t xml:space="preserve"> (see paragraph 23(1)(b) of the Principal Regulation)</w:t>
      </w:r>
      <w:r>
        <w:t>.</w:t>
      </w:r>
    </w:p>
    <w:p w14:paraId="1E542B59" w14:textId="4E643888" w:rsidR="00ED1880" w:rsidRDefault="008611D9" w:rsidP="00B911E5">
      <w:r>
        <w:t>Accordingly, t</w:t>
      </w:r>
      <w:r w:rsidR="00AB6146" w:rsidRPr="00EC61E4">
        <w:t xml:space="preserve">he purpose of the </w:t>
      </w:r>
      <w:r w:rsidR="00ED1880">
        <w:t>Amendment</w:t>
      </w:r>
      <w:r w:rsidR="00AB6146" w:rsidRPr="00EC61E4">
        <w:t xml:space="preserve"> Regulation</w:t>
      </w:r>
      <w:r w:rsidR="00A41546">
        <w:t>s</w:t>
      </w:r>
      <w:r w:rsidR="00B56B4A">
        <w:t xml:space="preserve"> </w:t>
      </w:r>
      <w:r w:rsidR="00AB6146" w:rsidRPr="00EC61E4">
        <w:t>is to</w:t>
      </w:r>
      <w:r w:rsidR="00ED1880">
        <w:t xml:space="preserve"> </w:t>
      </w:r>
      <w:r w:rsidR="00ED1880" w:rsidRPr="00ED1880">
        <w:t xml:space="preserve">apply the existing cap and floor on changes in a school’s CTC score from year to year to cover RAB scores as well as DMI scores for small and very small schools from 2022 onwards. </w:t>
      </w:r>
      <w:r w:rsidR="00AB6146" w:rsidRPr="00EC61E4">
        <w:t xml:space="preserve">This will limit funding volatility for small and very small schools. </w:t>
      </w:r>
    </w:p>
    <w:p w14:paraId="1172A5A6" w14:textId="5B8EB395" w:rsidR="008814D3" w:rsidRPr="008814D3" w:rsidRDefault="008814D3" w:rsidP="008814D3">
      <w:pPr>
        <w:rPr>
          <w:i/>
          <w:iCs/>
        </w:rPr>
      </w:pPr>
      <w:r w:rsidRPr="008814D3">
        <w:rPr>
          <w:i/>
          <w:iCs/>
        </w:rPr>
        <w:t>Ensuring a smooth transition pathway</w:t>
      </w:r>
      <w:r w:rsidR="00AF7D65">
        <w:rPr>
          <w:i/>
          <w:iCs/>
        </w:rPr>
        <w:t xml:space="preserve"> for affected schools</w:t>
      </w:r>
    </w:p>
    <w:p w14:paraId="7971646B" w14:textId="65E91BDB" w:rsidR="00AF7D65" w:rsidRDefault="008814D3" w:rsidP="008814D3">
      <w:r>
        <w:t>The Act enables the Principal Regulation to set out the Commonwealth share for non</w:t>
      </w:r>
      <w:r w:rsidR="007072B0">
        <w:noBreakHyphen/>
      </w:r>
      <w:r>
        <w:t xml:space="preserve">government schools and adjust the transition pathways of these schools to the nationally consistent Commonwealth share of 80 per cent of the Schooling Resource Standard (SRS). </w:t>
      </w:r>
    </w:p>
    <w:p w14:paraId="7BDF797D" w14:textId="0C8C3246" w:rsidR="008814D3" w:rsidRDefault="008814D3" w:rsidP="008814D3">
      <w:r>
        <w:t xml:space="preserve">To manage the impact of moving to a CTC score based on an average DMI score or RAB score in 2022, the Commonwealth share will be adjusted in accordance with the Principal Regulation and reset the school’s transition path. This is intended to offset the fluctuation in recurrent funding from the CTC score change and smooth out any funding volatility over the transition period. However, the use of a capped score would distort this transition path. </w:t>
      </w:r>
    </w:p>
    <w:p w14:paraId="32633454" w14:textId="0A5D36BD" w:rsidR="008814D3" w:rsidRDefault="008814D3" w:rsidP="008814D3">
      <w:r>
        <w:t>To ensure a more beneficial pathway for affected schools, the Amendment Regulations set the transition pathway before the application of the cap to CTC scores.</w:t>
      </w:r>
    </w:p>
    <w:p w14:paraId="7BA43848" w14:textId="1BC92A5A" w:rsidR="00B15219" w:rsidRPr="00EC61E4" w:rsidRDefault="00492EBF" w:rsidP="00AD04F0">
      <w:pPr>
        <w:pStyle w:val="Heading2"/>
        <w:rPr>
          <w:rFonts w:ascii="Times New Roman" w:hAnsi="Times New Roman"/>
        </w:rPr>
      </w:pPr>
      <w:r w:rsidRPr="00EC61E4">
        <w:rPr>
          <w:rFonts w:ascii="Times New Roman" w:hAnsi="Times New Roman"/>
        </w:rPr>
        <w:t>Regulation Impact Statement</w:t>
      </w:r>
      <w:r w:rsidR="0027396B" w:rsidRPr="00EC61E4">
        <w:rPr>
          <w:rFonts w:ascii="Times New Roman" w:hAnsi="Times New Roman"/>
        </w:rPr>
        <w:t xml:space="preserve"> </w:t>
      </w:r>
    </w:p>
    <w:p w14:paraId="66102607" w14:textId="2957A1B9" w:rsidR="005E7458" w:rsidRPr="00EC61E4" w:rsidRDefault="00E343AE" w:rsidP="00AD04F0">
      <w:r w:rsidRPr="00EC61E4">
        <w:t>The Office of Be</w:t>
      </w:r>
      <w:r w:rsidR="007A000E" w:rsidRPr="00EC61E4">
        <w:t xml:space="preserve">st Practice Regulation has agreed a </w:t>
      </w:r>
      <w:r w:rsidR="00E20047" w:rsidRPr="00EC61E4">
        <w:t xml:space="preserve">Regulation Impact Statement is not required in relation to the </w:t>
      </w:r>
      <w:r w:rsidR="00344282" w:rsidRPr="00EC61E4">
        <w:t>Amendment Regulations</w:t>
      </w:r>
      <w:r w:rsidR="00E20047" w:rsidRPr="00EC61E4">
        <w:t xml:space="preserve"> (OB</w:t>
      </w:r>
      <w:r w:rsidR="00DE0A36" w:rsidRPr="00EC61E4">
        <w:t>PR</w:t>
      </w:r>
      <w:r w:rsidR="00E20047" w:rsidRPr="00EC61E4">
        <w:t xml:space="preserve"> reference </w:t>
      </w:r>
      <w:r w:rsidR="00344282" w:rsidRPr="00EC61E4">
        <w:t>44462</w:t>
      </w:r>
      <w:r w:rsidR="00E20047" w:rsidRPr="00EC61E4">
        <w:t>).</w:t>
      </w:r>
      <w:r w:rsidR="000F7D7E" w:rsidRPr="00EC61E4">
        <w:t xml:space="preserve"> </w:t>
      </w:r>
    </w:p>
    <w:p w14:paraId="148FCEC2" w14:textId="77777777" w:rsidR="00AA4E4C" w:rsidRPr="00EC61E4" w:rsidRDefault="00AA4E4C" w:rsidP="00AD04F0">
      <w:pPr>
        <w:pStyle w:val="Heading2"/>
        <w:rPr>
          <w:rFonts w:ascii="Times New Roman" w:hAnsi="Times New Roman"/>
        </w:rPr>
      </w:pPr>
      <w:r w:rsidRPr="00EC61E4">
        <w:rPr>
          <w:rFonts w:ascii="Times New Roman" w:hAnsi="Times New Roman"/>
        </w:rPr>
        <w:t>Commencement</w:t>
      </w:r>
    </w:p>
    <w:p w14:paraId="6BFBB7C0" w14:textId="3136FAA9" w:rsidR="00105E62" w:rsidRPr="00EC61E4" w:rsidRDefault="00C65E73" w:rsidP="00AD04F0">
      <w:r w:rsidRPr="00EC61E4">
        <w:t>The</w:t>
      </w:r>
      <w:r w:rsidR="00105E62" w:rsidRPr="00EC61E4">
        <w:t xml:space="preserve"> Amendment Regulation</w:t>
      </w:r>
      <w:r w:rsidR="00AD04F0" w:rsidRPr="00EC61E4">
        <w:t>s</w:t>
      </w:r>
      <w:r w:rsidR="00105E62" w:rsidRPr="00EC61E4">
        <w:t xml:space="preserve"> </w:t>
      </w:r>
      <w:r w:rsidR="00DC3FB9" w:rsidRPr="00EC61E4">
        <w:t xml:space="preserve">will </w:t>
      </w:r>
      <w:r w:rsidR="00105E62" w:rsidRPr="00EC61E4">
        <w:t xml:space="preserve">commence on the day after </w:t>
      </w:r>
      <w:r w:rsidR="00ED1880">
        <w:t>they are</w:t>
      </w:r>
      <w:r w:rsidR="00105E62" w:rsidRPr="00EC61E4">
        <w:t xml:space="preserve"> registered on the Federal Register of Legislation.</w:t>
      </w:r>
    </w:p>
    <w:p w14:paraId="32C52155" w14:textId="77777777" w:rsidR="008D72AE" w:rsidRPr="00EC61E4" w:rsidRDefault="008D72AE" w:rsidP="00AD04F0">
      <w:pPr>
        <w:pStyle w:val="Heading2"/>
        <w:rPr>
          <w:rFonts w:ascii="Times New Roman" w:hAnsi="Times New Roman"/>
        </w:rPr>
      </w:pPr>
      <w:r w:rsidRPr="00EC61E4">
        <w:rPr>
          <w:rFonts w:ascii="Times New Roman" w:hAnsi="Times New Roman"/>
        </w:rPr>
        <w:t>Consultation</w:t>
      </w:r>
    </w:p>
    <w:p w14:paraId="45A50276" w14:textId="0908DB48" w:rsidR="000816D4" w:rsidRPr="00EC61E4" w:rsidRDefault="006B20E5" w:rsidP="008F51D3">
      <w:r w:rsidRPr="006B20E5">
        <w:t xml:space="preserve">Consultation occurred with all the state and territory education departments and with the National Catholic Education Commission and Independent Schools of Australia. The Department of Education, </w:t>
      </w:r>
      <w:r w:rsidRPr="00F33D64">
        <w:t>Skills and Employment</w:t>
      </w:r>
      <w:r w:rsidR="00AB6146" w:rsidRPr="00F33D64">
        <w:t xml:space="preserve"> received responses that were supportive of the proposed update to the Principal Regulation.</w:t>
      </w:r>
    </w:p>
    <w:p w14:paraId="665C54B0" w14:textId="77777777" w:rsidR="000816D4" w:rsidRPr="00EC61E4" w:rsidRDefault="000816D4" w:rsidP="008F51D3"/>
    <w:p w14:paraId="7F29CC62" w14:textId="77777777" w:rsidR="000816D4" w:rsidRPr="00EC61E4" w:rsidRDefault="000816D4" w:rsidP="008F51D3"/>
    <w:p w14:paraId="0192D3C0" w14:textId="77777777" w:rsidR="000816D4" w:rsidRPr="00EC61E4" w:rsidRDefault="000816D4" w:rsidP="008F51D3"/>
    <w:p w14:paraId="78D221DF" w14:textId="77777777" w:rsidR="000816D4" w:rsidRPr="00EC61E4" w:rsidRDefault="000816D4" w:rsidP="008F51D3"/>
    <w:p w14:paraId="306A5FE6" w14:textId="77777777" w:rsidR="000816D4" w:rsidRPr="00EC61E4" w:rsidRDefault="000816D4" w:rsidP="008F51D3"/>
    <w:p w14:paraId="7BEDD18B" w14:textId="77777777" w:rsidR="000816D4" w:rsidRPr="00EC61E4" w:rsidRDefault="000816D4" w:rsidP="008F51D3"/>
    <w:p w14:paraId="6D8CBD46" w14:textId="77777777" w:rsidR="000816D4" w:rsidRPr="00EC61E4" w:rsidRDefault="000816D4" w:rsidP="008F51D3"/>
    <w:p w14:paraId="4B462954" w14:textId="77777777" w:rsidR="000816D4" w:rsidRPr="00EC61E4" w:rsidRDefault="000816D4" w:rsidP="008F51D3"/>
    <w:p w14:paraId="5DAC61F1" w14:textId="77777777" w:rsidR="000816D4" w:rsidRPr="00EC61E4" w:rsidRDefault="000816D4" w:rsidP="008F51D3"/>
    <w:p w14:paraId="39364001" w14:textId="77777777" w:rsidR="000816D4" w:rsidRPr="00EC61E4" w:rsidRDefault="000816D4" w:rsidP="008F51D3"/>
    <w:p w14:paraId="71423DF4" w14:textId="77777777" w:rsidR="008F3832" w:rsidRPr="00EC61E4" w:rsidRDefault="008F3832">
      <w:pPr>
        <w:spacing w:before="0" w:after="200" w:line="276" w:lineRule="auto"/>
      </w:pPr>
      <w:r w:rsidRPr="00EC61E4">
        <w:br w:type="page"/>
      </w:r>
    </w:p>
    <w:p w14:paraId="154FA072" w14:textId="77777777" w:rsidR="004C5A9C" w:rsidRPr="00EC61E4" w:rsidRDefault="004C5A9C" w:rsidP="007E60D1"/>
    <w:p w14:paraId="2ACAF0FC" w14:textId="77777777" w:rsidR="00826B30" w:rsidRPr="00EC61E4" w:rsidRDefault="00826B30" w:rsidP="00733D9C">
      <w:pPr>
        <w:ind w:right="-285"/>
        <w:jc w:val="center"/>
        <w:rPr>
          <w:b/>
          <w:u w:val="single"/>
        </w:rPr>
      </w:pPr>
      <w:r w:rsidRPr="00EC61E4">
        <w:rPr>
          <w:b/>
          <w:u w:val="single"/>
        </w:rPr>
        <w:t>Statement of Compatibility with Human Rights</w:t>
      </w:r>
    </w:p>
    <w:p w14:paraId="468BB688" w14:textId="77777777" w:rsidR="00826B30" w:rsidRPr="00EC61E4" w:rsidRDefault="00826B30" w:rsidP="002A7ACB">
      <w:pPr>
        <w:jc w:val="center"/>
      </w:pPr>
      <w:r w:rsidRPr="00EC61E4">
        <w:t xml:space="preserve">Prepared in accordance with Part 3 of the </w:t>
      </w:r>
      <w:r w:rsidRPr="00EC61E4">
        <w:rPr>
          <w:i/>
        </w:rPr>
        <w:t>Human Rights (Parliamentary Scrutiny) Act 2011</w:t>
      </w:r>
    </w:p>
    <w:p w14:paraId="78E66814" w14:textId="21E41212" w:rsidR="00747812" w:rsidRPr="00EC61E4" w:rsidRDefault="00747812" w:rsidP="002A7ACB">
      <w:pPr>
        <w:jc w:val="center"/>
        <w:rPr>
          <w:i/>
        </w:rPr>
      </w:pPr>
      <w:r w:rsidRPr="00EC61E4">
        <w:rPr>
          <w:i/>
          <w:iCs/>
        </w:rPr>
        <w:t xml:space="preserve">Australian Education Amendment </w:t>
      </w:r>
      <w:r w:rsidR="00852AC0" w:rsidRPr="00EC61E4">
        <w:rPr>
          <w:i/>
          <w:iCs/>
        </w:rPr>
        <w:t>(</w:t>
      </w:r>
      <w:r w:rsidR="003C5B40" w:rsidRPr="00EC61E4">
        <w:rPr>
          <w:i/>
          <w:iCs/>
        </w:rPr>
        <w:t>Capped CTC Score Methodology</w:t>
      </w:r>
      <w:r w:rsidR="008A2973" w:rsidRPr="00EC61E4">
        <w:rPr>
          <w:i/>
          <w:iCs/>
        </w:rPr>
        <w:t xml:space="preserve">) </w:t>
      </w:r>
      <w:r w:rsidRPr="00EC61E4">
        <w:rPr>
          <w:i/>
          <w:iCs/>
        </w:rPr>
        <w:t>Regulation</w:t>
      </w:r>
      <w:r w:rsidR="00C90BD8" w:rsidRPr="00EC61E4">
        <w:rPr>
          <w:i/>
          <w:iCs/>
        </w:rPr>
        <w:t xml:space="preserve">s </w:t>
      </w:r>
      <w:r w:rsidRPr="00EC61E4">
        <w:rPr>
          <w:i/>
          <w:iCs/>
        </w:rPr>
        <w:t>20</w:t>
      </w:r>
      <w:r w:rsidR="00A57592" w:rsidRPr="00EC61E4">
        <w:rPr>
          <w:i/>
          <w:iCs/>
        </w:rPr>
        <w:t>2</w:t>
      </w:r>
      <w:r w:rsidR="00882D38" w:rsidRPr="00EC61E4">
        <w:rPr>
          <w:i/>
          <w:iCs/>
        </w:rPr>
        <w:t>1</w:t>
      </w:r>
    </w:p>
    <w:p w14:paraId="3A33BDF4" w14:textId="253AE16A" w:rsidR="00826B30" w:rsidRPr="00EC61E4" w:rsidRDefault="00C37AEA" w:rsidP="00733D9C">
      <w:pPr>
        <w:spacing w:before="240"/>
      </w:pPr>
      <w:r w:rsidRPr="008C5F46">
        <w:t xml:space="preserve">The </w:t>
      </w:r>
      <w:r w:rsidRPr="008C5F46">
        <w:rPr>
          <w:i/>
        </w:rPr>
        <w:t>Aus</w:t>
      </w:r>
      <w:r w:rsidR="00A57592" w:rsidRPr="008C5F46">
        <w:rPr>
          <w:i/>
        </w:rPr>
        <w:t>tralian Education Amendment (</w:t>
      </w:r>
      <w:r w:rsidR="003C5B40" w:rsidRPr="008C5F46">
        <w:rPr>
          <w:i/>
          <w:iCs/>
        </w:rPr>
        <w:t>Capped CTC Score Methodology</w:t>
      </w:r>
      <w:r w:rsidRPr="008C5F46">
        <w:rPr>
          <w:i/>
        </w:rPr>
        <w:t>) Regulations 20</w:t>
      </w:r>
      <w:r w:rsidR="00A57592" w:rsidRPr="008C5F46">
        <w:rPr>
          <w:i/>
        </w:rPr>
        <w:t>2</w:t>
      </w:r>
      <w:r w:rsidR="00882D38" w:rsidRPr="008C5F46">
        <w:rPr>
          <w:i/>
        </w:rPr>
        <w:t>1</w:t>
      </w:r>
      <w:r w:rsidRPr="008C5F46">
        <w:t xml:space="preserve"> (</w:t>
      </w:r>
      <w:r w:rsidR="007B7ED3" w:rsidRPr="008C5F46">
        <w:t>Amendment Regulations</w:t>
      </w:r>
      <w:r w:rsidRPr="008C5F46">
        <w:t>)</w:t>
      </w:r>
      <w:r w:rsidRPr="00EC61E4">
        <w:t xml:space="preserve"> </w:t>
      </w:r>
      <w:r w:rsidR="00A41546">
        <w:t>are</w:t>
      </w:r>
      <w:r w:rsidR="00A41546" w:rsidRPr="00EC61E4">
        <w:t xml:space="preserve"> </w:t>
      </w:r>
      <w:r w:rsidR="00826B30" w:rsidRPr="00EC61E4">
        <w:t xml:space="preserve">compatible with the human rights and freedoms recognised or declared in the international instruments listed in section 3 of the </w:t>
      </w:r>
      <w:r w:rsidR="00826B30" w:rsidRPr="00EC61E4">
        <w:rPr>
          <w:i/>
        </w:rPr>
        <w:t>Human Rights (Parliamentary Scrutiny) Act 2011</w:t>
      </w:r>
      <w:r w:rsidR="00826B30" w:rsidRPr="00EC61E4">
        <w:t>.</w:t>
      </w:r>
    </w:p>
    <w:p w14:paraId="6E0B08B0" w14:textId="77777777" w:rsidR="00F273A8" w:rsidRPr="00EC61E4" w:rsidRDefault="00B900C4" w:rsidP="00963869">
      <w:pPr>
        <w:pStyle w:val="Heading2"/>
        <w:rPr>
          <w:rFonts w:ascii="Times New Roman" w:hAnsi="Times New Roman"/>
        </w:rPr>
      </w:pPr>
      <w:r w:rsidRPr="00EC61E4">
        <w:rPr>
          <w:rFonts w:ascii="Times New Roman" w:hAnsi="Times New Roman"/>
        </w:rPr>
        <w:t>Overview</w:t>
      </w:r>
    </w:p>
    <w:p w14:paraId="62B1A719" w14:textId="77777777" w:rsidR="00B60E1D" w:rsidRDefault="00B60E1D" w:rsidP="00E6368A">
      <w:r>
        <w:t xml:space="preserve">The </w:t>
      </w:r>
      <w:r w:rsidRPr="00F24F48">
        <w:rPr>
          <w:i/>
          <w:iCs/>
        </w:rPr>
        <w:t>Australian Education Act 2013</w:t>
      </w:r>
      <w:r>
        <w:t xml:space="preserve"> (the Act) came into force on 1 January 2014 and is the principal legislation for Commonwealth financial assistance for schools. </w:t>
      </w:r>
    </w:p>
    <w:p w14:paraId="7A9EA691" w14:textId="77777777" w:rsidR="00B60E1D" w:rsidRDefault="00B60E1D" w:rsidP="00E6368A">
      <w:r>
        <w:t xml:space="preserve">Under the Act, the Commonwealth provides financial assistance to states and territories for distribution to approved authorities for government and non-government schools. </w:t>
      </w:r>
    </w:p>
    <w:p w14:paraId="3A8EA29C" w14:textId="77777777" w:rsidR="00B60E1D" w:rsidRDefault="00B60E1D" w:rsidP="00E6368A">
      <w:r>
        <w:t xml:space="preserve">One of the factors in calculating the base amount of annual recurrent funding for a school is the school’s capacity to contribute (CTC) percentage. The higher a school’s CTC percentage, the lower its base amount of annual recurrent funding, and conversely, the lower a school’s CTC percentage, the higher its base amount of annual recurrent funding. </w:t>
      </w:r>
    </w:p>
    <w:p w14:paraId="122DABF9" w14:textId="59F143FC" w:rsidR="00B60E1D" w:rsidRDefault="00B60E1D" w:rsidP="00E6368A">
      <w:r>
        <w:t xml:space="preserve">In accordance with the Act, the CTC percentage of government, special, special assistance, majority Aboriginal and Torres Strait Islander, and sole provider non-government schools is zero. For most non-government schools, however, the Act sets out the school’s </w:t>
      </w:r>
      <w:r w:rsidR="002D736E">
        <w:t>CTC</w:t>
      </w:r>
      <w:r>
        <w:t xml:space="preserve"> percentage by reference to the school’s CTC score. </w:t>
      </w:r>
    </w:p>
    <w:p w14:paraId="7B2508D9" w14:textId="0C9372A8" w:rsidR="00B60E1D" w:rsidRDefault="00B60E1D" w:rsidP="00E6368A">
      <w:r>
        <w:t xml:space="preserve">The </w:t>
      </w:r>
      <w:r w:rsidRPr="00F24F48">
        <w:rPr>
          <w:i/>
          <w:iCs/>
        </w:rPr>
        <w:t>Australian Education Regulation 2013</w:t>
      </w:r>
      <w:r>
        <w:t xml:space="preserve"> (the Principal Regulation) provides for the calculation and administration of Commonwealth financial assistance for schools, including a methodology for working out </w:t>
      </w:r>
      <w:r w:rsidR="00831DBA">
        <w:t xml:space="preserve">and applying </w:t>
      </w:r>
      <w:r>
        <w:t xml:space="preserve">a school’s CTC score. From 2022, an average Direct Measure of Income (DMI) score based on the median income of parents and guardians of students at the school will generally be used. A Refined Area Based (RAB) score will apply where it is not reasonably practicable to use a DMI score. To reduce funding volatility from year to year for small and very small schools, the Principal Regulation contains a cap and floor on movement in CTC scores based on the average DMI methodology. </w:t>
      </w:r>
    </w:p>
    <w:p w14:paraId="436384BD" w14:textId="77777777" w:rsidR="00B60E1D" w:rsidRPr="00F24F48" w:rsidRDefault="00B60E1D" w:rsidP="00E6368A">
      <w:pPr>
        <w:rPr>
          <w:b/>
          <w:bCs/>
        </w:rPr>
      </w:pPr>
      <w:r w:rsidRPr="00F24F48">
        <w:rPr>
          <w:b/>
          <w:bCs/>
        </w:rPr>
        <w:t xml:space="preserve">Extending the cap on movement in CTC scores from year to year </w:t>
      </w:r>
    </w:p>
    <w:p w14:paraId="20C79C0E" w14:textId="218927AD" w:rsidR="00B60E1D" w:rsidRDefault="00B60E1D" w:rsidP="00E6368A">
      <w:r>
        <w:t xml:space="preserve">RAB scores are inherently more volatile than average DMI scores as RAB scores are based on annual data so annual changes to student enrolments have a direct impact on a school’s recurrent funding for the year. In contrast, average DMI scores are based on a three-year average which smooths the impact of annual enrolment changes. Small and very small schools are also more likely to have a RAB score applied on the basis that the number of persons responsible for students at the school for the year is too low to ensure that the CTC score does not identify information relating to a particular student or a person responsible for that student. </w:t>
      </w:r>
    </w:p>
    <w:p w14:paraId="1A957ACC" w14:textId="5B01F08E" w:rsidR="00B60E1D" w:rsidRDefault="00B60E1D" w:rsidP="00E6368A">
      <w:r w:rsidRPr="008C5F46">
        <w:t xml:space="preserve">Accordingly, the purpose of the </w:t>
      </w:r>
      <w:r w:rsidR="00792B42" w:rsidRPr="008C5F46">
        <w:t xml:space="preserve">Amendment </w:t>
      </w:r>
      <w:r w:rsidRPr="008C5F46">
        <w:t>Regulations is to apply the existing cap and floor on changes in a school’s CTC score from year to year to</w:t>
      </w:r>
      <w:r>
        <w:t xml:space="preserve"> cover RAB scores as well as DMI scores for small and very small schools from 2022 onwards. </w:t>
      </w:r>
    </w:p>
    <w:p w14:paraId="1B204CA9" w14:textId="77777777" w:rsidR="00B60E1D" w:rsidRDefault="00B60E1D" w:rsidP="004B76F5">
      <w:pPr>
        <w:keepNext/>
      </w:pPr>
      <w:r w:rsidRPr="00F24F48">
        <w:rPr>
          <w:b/>
          <w:bCs/>
        </w:rPr>
        <w:lastRenderedPageBreak/>
        <w:t>Ensuring a smooth transition pathway</w:t>
      </w:r>
      <w:r>
        <w:t xml:space="preserve"> </w:t>
      </w:r>
    </w:p>
    <w:p w14:paraId="65077E6D" w14:textId="4021C9DD" w:rsidR="00B60E1D" w:rsidRDefault="00B60E1D" w:rsidP="004B76F5">
      <w:pPr>
        <w:pStyle w:val="Heading2"/>
        <w:rPr>
          <w:rFonts w:ascii="Times New Roman" w:hAnsi="Times New Roman"/>
          <w:b w:val="0"/>
          <w:szCs w:val="24"/>
        </w:rPr>
      </w:pPr>
      <w:r w:rsidRPr="00F24F48">
        <w:rPr>
          <w:rFonts w:ascii="Times New Roman" w:hAnsi="Times New Roman"/>
          <w:b w:val="0"/>
          <w:szCs w:val="24"/>
        </w:rPr>
        <w:t xml:space="preserve">For many non-government schools, the change to the way the CTC score is worked out will affect their recurrent funding. To manage these changes, the Commonwealth share for these schools will also be adjusted over time, in accordance with the Principal Regulation. The Commonwealth share for a school for a year is another factor in the calculation of recurrent funding. </w:t>
      </w:r>
    </w:p>
    <w:p w14:paraId="480350D3" w14:textId="74766D12" w:rsidR="00B60E1D" w:rsidRDefault="00B60E1D" w:rsidP="00963869">
      <w:pPr>
        <w:pStyle w:val="Heading2"/>
        <w:rPr>
          <w:rFonts w:ascii="Times New Roman" w:hAnsi="Times New Roman"/>
          <w:b w:val="0"/>
          <w:szCs w:val="24"/>
        </w:rPr>
      </w:pPr>
      <w:r w:rsidRPr="00F24F48">
        <w:rPr>
          <w:rFonts w:ascii="Times New Roman" w:hAnsi="Times New Roman"/>
          <w:b w:val="0"/>
          <w:szCs w:val="24"/>
        </w:rPr>
        <w:t>The Act enables the Principal Regulation to set out the Commonwealth share for non</w:t>
      </w:r>
      <w:r>
        <w:rPr>
          <w:rFonts w:ascii="Times New Roman" w:hAnsi="Times New Roman"/>
          <w:b w:val="0"/>
          <w:szCs w:val="24"/>
        </w:rPr>
        <w:t>-</w:t>
      </w:r>
      <w:r w:rsidRPr="00F24F48">
        <w:rPr>
          <w:rFonts w:ascii="Times New Roman" w:hAnsi="Times New Roman"/>
          <w:b w:val="0"/>
          <w:szCs w:val="24"/>
        </w:rPr>
        <w:t xml:space="preserve">government schools and adjust the transition pathways of these schools to the nationally consistent Commonwealth share of 80 per cent of the Schooling Resource Standard (SRS). To manage the impact of moving to a CTC score based on an average DMI score or RAB score in 2022, the Commonwealth share will be adjusted in accordance with the Principal Regulation and reset the school’s transition path. This is intended to offset the fluctuation in recurrent funding from the CTC score change and smooth out any funding volatility over the transition period. However, the use of a capped score would distort this transition path. To ensure a more beneficial pathway for affected schools, the </w:t>
      </w:r>
      <w:r w:rsidR="009C1FF5">
        <w:rPr>
          <w:rFonts w:ascii="Times New Roman" w:hAnsi="Times New Roman"/>
          <w:b w:val="0"/>
          <w:szCs w:val="24"/>
        </w:rPr>
        <w:t xml:space="preserve">Amendment </w:t>
      </w:r>
      <w:r w:rsidRPr="00F24F48">
        <w:rPr>
          <w:rFonts w:ascii="Times New Roman" w:hAnsi="Times New Roman"/>
          <w:b w:val="0"/>
          <w:szCs w:val="24"/>
        </w:rPr>
        <w:t xml:space="preserve">Regulations set the transition pathways before the application of the cap to CTC scores. </w:t>
      </w:r>
    </w:p>
    <w:p w14:paraId="52121757" w14:textId="005E983F" w:rsidR="00826B30" w:rsidRPr="00B60E1D" w:rsidRDefault="00826B30" w:rsidP="00963869">
      <w:pPr>
        <w:pStyle w:val="Heading2"/>
        <w:rPr>
          <w:rFonts w:ascii="Times New Roman" w:hAnsi="Times New Roman"/>
          <w:bCs/>
          <w:szCs w:val="24"/>
        </w:rPr>
      </w:pPr>
      <w:r w:rsidRPr="00B60E1D">
        <w:rPr>
          <w:rFonts w:ascii="Times New Roman" w:hAnsi="Times New Roman"/>
          <w:bCs/>
          <w:szCs w:val="24"/>
        </w:rPr>
        <w:t>Human rights implications</w:t>
      </w:r>
    </w:p>
    <w:p w14:paraId="1B16578C" w14:textId="25C3DD62" w:rsidR="00826B30" w:rsidRPr="00EC61E4" w:rsidRDefault="00826B30" w:rsidP="00733D9C">
      <w:pPr>
        <w:spacing w:before="100" w:beforeAutospacing="1"/>
      </w:pPr>
      <w:r w:rsidRPr="00EC61E4">
        <w:t>The Amendment Regulation</w:t>
      </w:r>
      <w:r w:rsidR="00963869" w:rsidRPr="00EC61E4">
        <w:t>s</w:t>
      </w:r>
      <w:r w:rsidRPr="00EC61E4">
        <w:t xml:space="preserve"> engage the </w:t>
      </w:r>
      <w:r w:rsidR="00963869" w:rsidRPr="00EC61E4">
        <w:t xml:space="preserve">right to education under Article 13 of the </w:t>
      </w:r>
      <w:r w:rsidR="00963869" w:rsidRPr="00EC61E4">
        <w:rPr>
          <w:i/>
        </w:rPr>
        <w:t>International Covenant on Economic, Social and Cultural Rights</w:t>
      </w:r>
      <w:r w:rsidR="00963869" w:rsidRPr="00EC61E4">
        <w:t xml:space="preserve"> (ICESCR), and Articles</w:t>
      </w:r>
      <w:r w:rsidR="00C47AE5">
        <w:t> </w:t>
      </w:r>
      <w:r w:rsidR="00963869" w:rsidRPr="00EC61E4">
        <w:t xml:space="preserve">28 and 29 of the </w:t>
      </w:r>
      <w:r w:rsidR="00963869" w:rsidRPr="00EC61E4">
        <w:rPr>
          <w:i/>
        </w:rPr>
        <w:t xml:space="preserve">Convention on the Rights of the Child </w:t>
      </w:r>
      <w:r w:rsidR="00963869" w:rsidRPr="00EC61E4">
        <w:t>(UNCRC).</w:t>
      </w:r>
    </w:p>
    <w:p w14:paraId="432961C3" w14:textId="77777777" w:rsidR="00D77387" w:rsidRPr="001C0253" w:rsidRDefault="00D77387" w:rsidP="00963869">
      <w:pPr>
        <w:pStyle w:val="Heading3"/>
        <w:rPr>
          <w:rFonts w:ascii="Times New Roman" w:hAnsi="Times New Roman"/>
          <w:i w:val="0"/>
          <w:sz w:val="24"/>
          <w:szCs w:val="24"/>
        </w:rPr>
      </w:pPr>
      <w:r w:rsidRPr="001C0253">
        <w:rPr>
          <w:rFonts w:ascii="Times New Roman" w:hAnsi="Times New Roman"/>
          <w:sz w:val="24"/>
          <w:szCs w:val="24"/>
        </w:rPr>
        <w:t>Right to Education</w:t>
      </w:r>
    </w:p>
    <w:p w14:paraId="49DA5730" w14:textId="77777777" w:rsidR="00E42EC7" w:rsidRDefault="00FD0ED7" w:rsidP="00733D9C">
      <w:r w:rsidRPr="00EC61E4">
        <w:t>The Amendment Regulation</w:t>
      </w:r>
      <w:r w:rsidR="00963869" w:rsidRPr="00EC61E4">
        <w:t>s</w:t>
      </w:r>
      <w:r w:rsidRPr="00EC61E4">
        <w:t xml:space="preserve"> </w:t>
      </w:r>
      <w:r w:rsidR="00D03F30" w:rsidRPr="00EC61E4">
        <w:t xml:space="preserve">positively </w:t>
      </w:r>
      <w:r w:rsidRPr="00EC61E4">
        <w:t xml:space="preserve">engage the right to education in Article 13 of the ICESCR. Article 13 recognises the right of everyone to education, which is directed towards the full development of the human personality and the sense of its dignity, and to enable all persons to participate effectively in society. </w:t>
      </w:r>
      <w:r w:rsidR="004451A0" w:rsidRPr="00EC61E4">
        <w:t xml:space="preserve">It also recognises the liberty of parents and guardians to choose non-government schools for their children’s education, provided those schools conform to minimum educational standards. </w:t>
      </w:r>
    </w:p>
    <w:p w14:paraId="25984FC1" w14:textId="70AF0C2E" w:rsidR="00FD0ED7" w:rsidRPr="00EC61E4" w:rsidRDefault="00FD0ED7" w:rsidP="00733D9C">
      <w:r w:rsidRPr="00EC61E4">
        <w:t xml:space="preserve">The right to education for children is also found in Articles 28 and 29 of the UNCRC. </w:t>
      </w:r>
      <w:r w:rsidR="00996036">
        <w:t xml:space="preserve">The </w:t>
      </w:r>
      <w:r w:rsidR="00E42EC7" w:rsidRPr="00E42EC7">
        <w:t xml:space="preserve">UNCRC contains similar provisions to article 13 of ICESCR, </w:t>
      </w:r>
      <w:proofErr w:type="gramStart"/>
      <w:r w:rsidR="00E42EC7" w:rsidRPr="00E42EC7">
        <w:t>and also</w:t>
      </w:r>
      <w:proofErr w:type="gramEnd"/>
      <w:r w:rsidR="00E42EC7" w:rsidRPr="00E42EC7">
        <w:t xml:space="preserve"> provides that the education of the child shall be directed to the development of the child's personality, talents and mental and physical abilities to their fullest potential.</w:t>
      </w:r>
    </w:p>
    <w:p w14:paraId="78973236" w14:textId="7CE4C827" w:rsidR="00E42EC7" w:rsidRDefault="00554321" w:rsidP="00BB1674">
      <w:r w:rsidRPr="00EC61E4">
        <w:t xml:space="preserve">The </w:t>
      </w:r>
      <w:r w:rsidR="00A33DEE" w:rsidRPr="00EC61E4">
        <w:t>Amendment Regulation</w:t>
      </w:r>
      <w:r w:rsidR="00680B6C" w:rsidRPr="00EC61E4">
        <w:t>s</w:t>
      </w:r>
      <w:r w:rsidR="00A33DEE" w:rsidRPr="00EC61E4">
        <w:t xml:space="preserve"> promote the right to education by</w:t>
      </w:r>
      <w:r w:rsidR="00D4752B" w:rsidRPr="00EC61E4">
        <w:t xml:space="preserve"> </w:t>
      </w:r>
      <w:r w:rsidR="00BB1674" w:rsidRPr="00EC61E4">
        <w:t xml:space="preserve">helping to ensure Australia can continue to have functioning and well-resourced educational institutions. </w:t>
      </w:r>
      <w:r w:rsidR="00E42EC7">
        <w:t xml:space="preserve">In particular, the </w:t>
      </w:r>
      <w:r w:rsidR="00AB6146" w:rsidRPr="00EC61E4">
        <w:t>Amendment Regulation</w:t>
      </w:r>
      <w:r w:rsidR="00A41546">
        <w:t>s</w:t>
      </w:r>
      <w:r w:rsidR="00AB6146" w:rsidRPr="00EC61E4">
        <w:t xml:space="preserve"> will </w:t>
      </w:r>
      <w:r w:rsidR="00E42EC7">
        <w:t>apply</w:t>
      </w:r>
      <w:r w:rsidR="00AB6146" w:rsidRPr="00EC61E4">
        <w:t xml:space="preserve"> the existing </w:t>
      </w:r>
      <w:r w:rsidR="00E42EC7" w:rsidRPr="00ED1880">
        <w:t>cap and floor on changes in a school’s CTC score from year to year</w:t>
      </w:r>
      <w:r w:rsidR="00E42EC7">
        <w:t xml:space="preserve"> </w:t>
      </w:r>
      <w:r w:rsidR="00AB6146" w:rsidRPr="00EC61E4">
        <w:t xml:space="preserve">to cover RAB scores as well as DMI scores </w:t>
      </w:r>
      <w:r w:rsidR="00E42EC7">
        <w:t xml:space="preserve">for small and very small schools. This measure </w:t>
      </w:r>
      <w:r w:rsidR="00AB6146" w:rsidRPr="00EC61E4">
        <w:t xml:space="preserve">will reduce funding volatility for small and very small schools. </w:t>
      </w:r>
    </w:p>
    <w:p w14:paraId="2D0B87A1" w14:textId="554FA527" w:rsidR="00E42EC7" w:rsidRDefault="00AB6146" w:rsidP="00BB1674">
      <w:r w:rsidRPr="00EC61E4">
        <w:t>In addition, the Amendment Regulation</w:t>
      </w:r>
      <w:r w:rsidR="00A41546">
        <w:t>s</w:t>
      </w:r>
      <w:r w:rsidRPr="00EC61E4">
        <w:t xml:space="preserve"> will set the transition pathway prior to the application of the cap which will ensure a smooth transition for the affected schools by distributing the full impact of the uncapped score over the whole transition period. </w:t>
      </w:r>
    </w:p>
    <w:p w14:paraId="09FE0B80" w14:textId="1115933A" w:rsidR="00E42EC7" w:rsidRDefault="00E42EC7" w:rsidP="00BB1674">
      <w:r>
        <w:t xml:space="preserve">By </w:t>
      </w:r>
      <w:r w:rsidR="00BB3D47">
        <w:t xml:space="preserve">supporting funding stability for </w:t>
      </w:r>
      <w:r>
        <w:t xml:space="preserve">small and very small non-government schools, this measure will </w:t>
      </w:r>
      <w:r w:rsidR="00BB3D47">
        <w:t>assist in promoting the liberty of parents and guardians to choose non</w:t>
      </w:r>
      <w:r w:rsidR="00286631">
        <w:noBreakHyphen/>
      </w:r>
      <w:r w:rsidR="00BB3D47">
        <w:t xml:space="preserve">government schools.  </w:t>
      </w:r>
    </w:p>
    <w:p w14:paraId="1E50ED64" w14:textId="2E5EE82E" w:rsidR="00BB1674" w:rsidRPr="00EC61E4" w:rsidRDefault="00BB1674" w:rsidP="00BB1674">
      <w:r w:rsidRPr="00EC61E4">
        <w:lastRenderedPageBreak/>
        <w:t>This measure thereby will have a beneficial impact on the right to education and will help to ensure Australia continues to have functioning and sufficiently supported educational institutions.</w:t>
      </w:r>
    </w:p>
    <w:p w14:paraId="1456FC62" w14:textId="77777777" w:rsidR="00826B30" w:rsidRPr="00EC61E4" w:rsidRDefault="00826B30" w:rsidP="00963869">
      <w:pPr>
        <w:pStyle w:val="Heading2"/>
        <w:rPr>
          <w:rFonts w:ascii="Times New Roman" w:hAnsi="Times New Roman"/>
        </w:rPr>
      </w:pPr>
      <w:r w:rsidRPr="00EC61E4">
        <w:rPr>
          <w:rFonts w:ascii="Times New Roman" w:hAnsi="Times New Roman"/>
        </w:rPr>
        <w:t>Conclusion</w:t>
      </w:r>
    </w:p>
    <w:p w14:paraId="681D0A33" w14:textId="77777777" w:rsidR="00C9519A" w:rsidRPr="00EC61E4" w:rsidRDefault="00C9519A" w:rsidP="00B900C4">
      <w:pPr>
        <w:spacing w:before="240"/>
      </w:pPr>
      <w:r w:rsidRPr="00EC61E4">
        <w:t>The Amendment Regulation</w:t>
      </w:r>
      <w:r w:rsidR="00963869" w:rsidRPr="00EC61E4">
        <w:t>s are</w:t>
      </w:r>
      <w:r w:rsidRPr="00EC61E4">
        <w:t xml:space="preserve"> compatible with human rights because </w:t>
      </w:r>
      <w:r w:rsidR="00963869" w:rsidRPr="00EC61E4">
        <w:t>they</w:t>
      </w:r>
      <w:r w:rsidRPr="00EC61E4">
        <w:t xml:space="preserve"> promote the right to education under the ICESCR and the UNCRC</w:t>
      </w:r>
      <w:r w:rsidR="005647AD" w:rsidRPr="00EC61E4">
        <w:t>.</w:t>
      </w:r>
    </w:p>
    <w:p w14:paraId="3D1D351F" w14:textId="77777777" w:rsidR="001544EF" w:rsidRPr="00EC61E4" w:rsidRDefault="001544EF" w:rsidP="00733D9C">
      <w:pPr>
        <w:spacing w:after="200" w:line="276" w:lineRule="auto"/>
      </w:pPr>
    </w:p>
    <w:p w14:paraId="248BC400" w14:textId="70C7D89D" w:rsidR="001544EF" w:rsidRPr="00EC61E4" w:rsidRDefault="0089022B" w:rsidP="00733D9C">
      <w:pPr>
        <w:rPr>
          <w:b/>
        </w:rPr>
      </w:pPr>
      <w:r>
        <w:rPr>
          <w:b/>
        </w:rPr>
        <w:t>Stuart Robert</w:t>
      </w:r>
    </w:p>
    <w:p w14:paraId="20EAF065" w14:textId="71BBD52A" w:rsidR="00826B30" w:rsidRPr="00EC61E4" w:rsidRDefault="001544EF" w:rsidP="00733D9C">
      <w:pPr>
        <w:spacing w:after="200" w:line="276" w:lineRule="auto"/>
        <w:rPr>
          <w:b/>
        </w:rPr>
      </w:pPr>
      <w:r w:rsidRPr="00EC61E4">
        <w:rPr>
          <w:b/>
        </w:rPr>
        <w:t xml:space="preserve">Minister for </w:t>
      </w:r>
      <w:r w:rsidR="004712BB">
        <w:rPr>
          <w:b/>
        </w:rPr>
        <w:t>Employment, Workforce, Skills, Small &amp; Family Business</w:t>
      </w:r>
      <w:r w:rsidR="00826B30" w:rsidRPr="00EC61E4">
        <w:rPr>
          <w:b/>
        </w:rPr>
        <w:br w:type="page"/>
      </w:r>
    </w:p>
    <w:p w14:paraId="4FB18125" w14:textId="7D6F66FA" w:rsidR="0006675D" w:rsidRDefault="0006675D" w:rsidP="0006675D">
      <w:pPr>
        <w:pStyle w:val="Heading2"/>
        <w:jc w:val="center"/>
        <w:rPr>
          <w:rFonts w:asciiTheme="minorHAnsi" w:hAnsiTheme="minorHAnsi" w:cstheme="minorHAnsi"/>
          <w:szCs w:val="24"/>
        </w:rPr>
      </w:pPr>
      <w:r w:rsidRPr="0006675D">
        <w:rPr>
          <w:rFonts w:asciiTheme="minorHAnsi" w:hAnsiTheme="minorHAnsi" w:cstheme="minorHAnsi"/>
          <w:szCs w:val="24"/>
        </w:rPr>
        <w:lastRenderedPageBreak/>
        <w:t>AUSTRALIAN EDUCATION AMENDMENT (CAPPED CTC SCORE METHODOLOGY) REGULATIONS 2021</w:t>
      </w:r>
    </w:p>
    <w:p w14:paraId="245E2378" w14:textId="4E8B43B6" w:rsidR="0006675D" w:rsidRPr="008134D5" w:rsidRDefault="0006675D" w:rsidP="0006675D">
      <w:pPr>
        <w:pStyle w:val="Heading2"/>
        <w:jc w:val="center"/>
        <w:rPr>
          <w:rFonts w:asciiTheme="minorHAnsi" w:hAnsiTheme="minorHAnsi" w:cstheme="minorHAnsi"/>
        </w:rPr>
      </w:pPr>
      <w:r>
        <w:rPr>
          <w:rFonts w:asciiTheme="minorHAnsi" w:hAnsiTheme="minorHAnsi" w:cstheme="minorHAnsi"/>
        </w:rPr>
        <w:t>EXPLANATION OF PROVISIONS</w:t>
      </w:r>
    </w:p>
    <w:p w14:paraId="73EA96A6" w14:textId="4DD8656E" w:rsidR="004C5E63" w:rsidRPr="00EC61E4" w:rsidRDefault="004541E9" w:rsidP="00733D9C">
      <w:pPr>
        <w:spacing w:before="240"/>
        <w:ind w:right="91"/>
        <w:rPr>
          <w:bCs/>
          <w:u w:val="single"/>
          <w:lang w:eastAsia="en-US"/>
        </w:rPr>
      </w:pPr>
      <w:r w:rsidRPr="00EC61E4">
        <w:rPr>
          <w:bCs/>
          <w:u w:val="single"/>
          <w:lang w:eastAsia="en-US"/>
        </w:rPr>
        <w:t>Section</w:t>
      </w:r>
      <w:r w:rsidR="00000B7F" w:rsidRPr="00EC61E4">
        <w:rPr>
          <w:bCs/>
          <w:u w:val="single"/>
          <w:lang w:eastAsia="en-US"/>
        </w:rPr>
        <w:t xml:space="preserve"> 1 – Name</w:t>
      </w:r>
    </w:p>
    <w:p w14:paraId="09A2591E" w14:textId="5A401535" w:rsidR="00747812" w:rsidRPr="00EC61E4" w:rsidRDefault="00000B7F" w:rsidP="00733D9C">
      <w:pPr>
        <w:spacing w:before="240"/>
        <w:ind w:right="91"/>
        <w:rPr>
          <w:bCs/>
          <w:u w:val="single"/>
          <w:lang w:eastAsia="en-US"/>
        </w:rPr>
      </w:pPr>
      <w:r w:rsidRPr="00EC61E4">
        <w:rPr>
          <w:lang w:eastAsia="en-US"/>
        </w:rPr>
        <w:t xml:space="preserve">This </w:t>
      </w:r>
      <w:r w:rsidR="004541E9" w:rsidRPr="00EC61E4">
        <w:rPr>
          <w:lang w:eastAsia="en-US"/>
        </w:rPr>
        <w:t>section</w:t>
      </w:r>
      <w:r w:rsidRPr="00EC61E4">
        <w:rPr>
          <w:lang w:eastAsia="en-US"/>
        </w:rPr>
        <w:t xml:space="preserve"> provides that the title of the </w:t>
      </w:r>
      <w:r w:rsidR="0027023E" w:rsidRPr="00EC61E4">
        <w:rPr>
          <w:lang w:eastAsia="en-US"/>
        </w:rPr>
        <w:t>Amendment Regulation</w:t>
      </w:r>
      <w:r w:rsidR="00B87D7B" w:rsidRPr="00EC61E4">
        <w:rPr>
          <w:lang w:eastAsia="en-US"/>
        </w:rPr>
        <w:t>s is</w:t>
      </w:r>
      <w:r w:rsidRPr="00EC61E4">
        <w:rPr>
          <w:lang w:eastAsia="en-US"/>
        </w:rPr>
        <w:t xml:space="preserve"> the </w:t>
      </w:r>
      <w:r w:rsidR="00747812" w:rsidRPr="00EC61E4">
        <w:rPr>
          <w:i/>
          <w:iCs/>
        </w:rPr>
        <w:t xml:space="preserve">Australian Education Amendment </w:t>
      </w:r>
      <w:r w:rsidR="00852AC0" w:rsidRPr="00EC61E4">
        <w:rPr>
          <w:i/>
          <w:iCs/>
        </w:rPr>
        <w:t>(</w:t>
      </w:r>
      <w:r w:rsidR="003C5B40" w:rsidRPr="00EC61E4">
        <w:rPr>
          <w:i/>
          <w:iCs/>
        </w:rPr>
        <w:t>Capped CTC Score Methodology</w:t>
      </w:r>
      <w:r w:rsidR="008A2973" w:rsidRPr="00EC61E4">
        <w:rPr>
          <w:i/>
          <w:iCs/>
        </w:rPr>
        <w:t xml:space="preserve">) </w:t>
      </w:r>
      <w:r w:rsidR="00747812" w:rsidRPr="00EC61E4">
        <w:rPr>
          <w:i/>
          <w:iCs/>
        </w:rPr>
        <w:t>Regulation</w:t>
      </w:r>
      <w:r w:rsidR="00C90BD8" w:rsidRPr="00EC61E4">
        <w:rPr>
          <w:i/>
          <w:iCs/>
        </w:rPr>
        <w:t>s</w:t>
      </w:r>
      <w:r w:rsidR="00747812" w:rsidRPr="00EC61E4">
        <w:rPr>
          <w:i/>
          <w:iCs/>
        </w:rPr>
        <w:t xml:space="preserve"> 20</w:t>
      </w:r>
      <w:r w:rsidR="009732CA" w:rsidRPr="00EC61E4">
        <w:rPr>
          <w:i/>
          <w:iCs/>
        </w:rPr>
        <w:t>2</w:t>
      </w:r>
      <w:r w:rsidR="00882D38" w:rsidRPr="00EC61E4">
        <w:rPr>
          <w:i/>
          <w:iCs/>
        </w:rPr>
        <w:t>1</w:t>
      </w:r>
      <w:r w:rsidR="008A2973" w:rsidRPr="00EC61E4">
        <w:rPr>
          <w:i/>
          <w:iCs/>
        </w:rPr>
        <w:t>.</w:t>
      </w:r>
    </w:p>
    <w:p w14:paraId="34417C49" w14:textId="77777777" w:rsidR="00000B7F" w:rsidRPr="00EC61E4" w:rsidRDefault="004541E9" w:rsidP="00733D9C">
      <w:pPr>
        <w:spacing w:before="240"/>
        <w:ind w:right="91"/>
        <w:rPr>
          <w:bCs/>
          <w:u w:val="single"/>
          <w:lang w:eastAsia="en-US"/>
        </w:rPr>
      </w:pPr>
      <w:r w:rsidRPr="00EC61E4">
        <w:rPr>
          <w:bCs/>
          <w:u w:val="single"/>
          <w:lang w:eastAsia="en-US"/>
        </w:rPr>
        <w:t>Section</w:t>
      </w:r>
      <w:r w:rsidR="00000B7F" w:rsidRPr="00EC61E4">
        <w:rPr>
          <w:bCs/>
          <w:u w:val="single"/>
          <w:lang w:eastAsia="en-US"/>
        </w:rPr>
        <w:t xml:space="preserve"> 2 – Commencement</w:t>
      </w:r>
    </w:p>
    <w:p w14:paraId="7C867162" w14:textId="3624F276" w:rsidR="00EC61E4" w:rsidRPr="00EC61E4" w:rsidRDefault="00EC61E4" w:rsidP="00EC61E4">
      <w:pPr>
        <w:ind w:right="91"/>
        <w:rPr>
          <w:lang w:eastAsia="en-US"/>
        </w:rPr>
      </w:pPr>
      <w:r w:rsidRPr="00EC61E4">
        <w:rPr>
          <w:lang w:eastAsia="en-US"/>
        </w:rPr>
        <w:t>The table in this section provide</w:t>
      </w:r>
      <w:r w:rsidR="0006675D">
        <w:rPr>
          <w:lang w:eastAsia="en-US"/>
        </w:rPr>
        <w:t>s</w:t>
      </w:r>
      <w:r w:rsidRPr="00EC61E4">
        <w:rPr>
          <w:lang w:eastAsia="en-US"/>
        </w:rPr>
        <w:t xml:space="preserve"> that the </w:t>
      </w:r>
      <w:r w:rsidR="0006675D">
        <w:rPr>
          <w:lang w:eastAsia="en-US"/>
        </w:rPr>
        <w:t xml:space="preserve">Amendment </w:t>
      </w:r>
      <w:r w:rsidRPr="00EC61E4">
        <w:rPr>
          <w:lang w:eastAsia="en-US"/>
        </w:rPr>
        <w:t xml:space="preserve">Regulations commence on the day after they </w:t>
      </w:r>
      <w:r w:rsidR="0006675D">
        <w:rPr>
          <w:lang w:eastAsia="en-US"/>
        </w:rPr>
        <w:t>are</w:t>
      </w:r>
      <w:r w:rsidRPr="00EC61E4">
        <w:rPr>
          <w:lang w:eastAsia="en-US"/>
        </w:rPr>
        <w:t xml:space="preserve"> registered on the Federal Register of Legislation.</w:t>
      </w:r>
    </w:p>
    <w:p w14:paraId="5E247F6E" w14:textId="77777777" w:rsidR="00000B7F" w:rsidRPr="00EC61E4" w:rsidRDefault="004541E9" w:rsidP="00733D9C">
      <w:pPr>
        <w:spacing w:before="240"/>
        <w:ind w:right="91"/>
        <w:rPr>
          <w:bCs/>
          <w:u w:val="single"/>
          <w:lang w:eastAsia="en-US"/>
        </w:rPr>
      </w:pPr>
      <w:r w:rsidRPr="00EC61E4">
        <w:rPr>
          <w:bCs/>
          <w:u w:val="single"/>
          <w:lang w:eastAsia="en-US"/>
        </w:rPr>
        <w:t>Section</w:t>
      </w:r>
      <w:r w:rsidR="00000B7F" w:rsidRPr="00EC61E4">
        <w:rPr>
          <w:bCs/>
          <w:u w:val="single"/>
          <w:lang w:eastAsia="en-US"/>
        </w:rPr>
        <w:t xml:space="preserve"> 3 – Authority</w:t>
      </w:r>
    </w:p>
    <w:p w14:paraId="6DB73A9D" w14:textId="52BE46AF" w:rsidR="00EC61E4" w:rsidRPr="00EC61E4" w:rsidRDefault="00EC61E4" w:rsidP="00EC61E4">
      <w:pPr>
        <w:ind w:right="91"/>
        <w:rPr>
          <w:lang w:eastAsia="en-US"/>
        </w:rPr>
      </w:pPr>
      <w:r w:rsidRPr="00EC61E4">
        <w:rPr>
          <w:lang w:eastAsia="en-US"/>
        </w:rPr>
        <w:t>This section provide</w:t>
      </w:r>
      <w:r w:rsidR="0006675D">
        <w:rPr>
          <w:lang w:eastAsia="en-US"/>
        </w:rPr>
        <w:t>s</w:t>
      </w:r>
      <w:r w:rsidRPr="00EC61E4">
        <w:rPr>
          <w:lang w:eastAsia="en-US"/>
        </w:rPr>
        <w:t xml:space="preserve"> that the </w:t>
      </w:r>
      <w:r w:rsidR="0006675D">
        <w:rPr>
          <w:lang w:eastAsia="en-US"/>
        </w:rPr>
        <w:t>Amendment</w:t>
      </w:r>
      <w:r w:rsidRPr="00EC61E4">
        <w:rPr>
          <w:lang w:eastAsia="en-US"/>
        </w:rPr>
        <w:t xml:space="preserve"> Regulations are made under the </w:t>
      </w:r>
      <w:r w:rsidRPr="00EC61E4">
        <w:rPr>
          <w:i/>
          <w:lang w:eastAsia="en-US"/>
        </w:rPr>
        <w:t>Australian Education Act 2013</w:t>
      </w:r>
      <w:r w:rsidRPr="00EC61E4">
        <w:rPr>
          <w:lang w:eastAsia="en-US"/>
        </w:rPr>
        <w:t xml:space="preserve"> (the Act)</w:t>
      </w:r>
      <w:r w:rsidRPr="00EC61E4">
        <w:rPr>
          <w:i/>
          <w:lang w:eastAsia="en-US"/>
        </w:rPr>
        <w:t>.</w:t>
      </w:r>
    </w:p>
    <w:p w14:paraId="6E4EF175" w14:textId="77777777" w:rsidR="006E19A9" w:rsidRPr="00EC61E4" w:rsidRDefault="004541E9" w:rsidP="00733D9C">
      <w:pPr>
        <w:spacing w:before="240"/>
        <w:ind w:right="91"/>
        <w:rPr>
          <w:u w:val="single"/>
          <w:lang w:eastAsia="en-US"/>
        </w:rPr>
      </w:pPr>
      <w:r w:rsidRPr="00EC61E4">
        <w:rPr>
          <w:u w:val="single"/>
          <w:lang w:eastAsia="en-US"/>
        </w:rPr>
        <w:t>Section</w:t>
      </w:r>
      <w:r w:rsidR="00000B7F" w:rsidRPr="00EC61E4">
        <w:rPr>
          <w:u w:val="single"/>
          <w:lang w:eastAsia="en-US"/>
        </w:rPr>
        <w:t xml:space="preserve"> 4 – Schedules</w:t>
      </w:r>
    </w:p>
    <w:p w14:paraId="7B464B08" w14:textId="1795F58B" w:rsidR="00EC61E4" w:rsidRPr="00EC61E4" w:rsidRDefault="00077354" w:rsidP="00EC61E4">
      <w:pPr>
        <w:ind w:right="91"/>
        <w:rPr>
          <w:bCs/>
          <w:u w:val="single"/>
          <w:lang w:eastAsia="en-US"/>
        </w:rPr>
      </w:pPr>
      <w:r w:rsidRPr="006C22A2">
        <w:rPr>
          <w:lang w:eastAsia="en-US"/>
        </w:rPr>
        <w:t>This section provides that each instrument that is specified in a Schedule to the instrument is amended or repealed as set out in the applicable items in the Schedule concerned, and any other item in a Schedule to the instrument has effect according to its terms</w:t>
      </w:r>
      <w:r w:rsidR="00EC61E4" w:rsidRPr="00EC61E4">
        <w:rPr>
          <w:lang w:eastAsia="en-US"/>
        </w:rPr>
        <w:t>.</w:t>
      </w:r>
    </w:p>
    <w:p w14:paraId="311829E9" w14:textId="77777777" w:rsidR="00000B7F" w:rsidRPr="00EC61E4" w:rsidRDefault="00000B7F" w:rsidP="00733D9C">
      <w:pPr>
        <w:spacing w:before="240"/>
        <w:ind w:right="91"/>
        <w:rPr>
          <w:u w:val="single"/>
          <w:lang w:eastAsia="en-US"/>
        </w:rPr>
      </w:pPr>
      <w:r w:rsidRPr="00EC61E4">
        <w:rPr>
          <w:u w:val="single"/>
          <w:lang w:eastAsia="en-US"/>
        </w:rPr>
        <w:t xml:space="preserve">Schedule 1 </w:t>
      </w:r>
      <w:r w:rsidR="009F6171" w:rsidRPr="00EC61E4">
        <w:rPr>
          <w:u w:val="single"/>
          <w:lang w:eastAsia="en-US"/>
        </w:rPr>
        <w:t>–</w:t>
      </w:r>
      <w:r w:rsidRPr="00EC61E4">
        <w:rPr>
          <w:u w:val="single"/>
          <w:lang w:eastAsia="en-US"/>
        </w:rPr>
        <w:t xml:space="preserve"> Amendments</w:t>
      </w:r>
    </w:p>
    <w:p w14:paraId="5BB118C6" w14:textId="05F37580" w:rsidR="008611D9" w:rsidRPr="00EC61E4" w:rsidRDefault="008611D9" w:rsidP="008611D9">
      <w:r w:rsidRPr="00EC61E4">
        <w:t>Under section 33 of the Act, one of the factors in calculating the base amount of annual recurrent funding for a school is the school’s capacity to contribute</w:t>
      </w:r>
      <w:r w:rsidR="006B69CC">
        <w:t xml:space="preserve"> (CTC)</w:t>
      </w:r>
      <w:r w:rsidRPr="00EC61E4">
        <w:t xml:space="preserve"> percentage. The higher a school’s </w:t>
      </w:r>
      <w:r w:rsidR="006B69CC">
        <w:t>CTC</w:t>
      </w:r>
      <w:r w:rsidRPr="00EC61E4">
        <w:t xml:space="preserve"> percentage, the lower its base amount of annual recurrent funding, and conversely, the lower a school’s </w:t>
      </w:r>
      <w:r w:rsidR="006B69CC">
        <w:t>CTC</w:t>
      </w:r>
      <w:r w:rsidRPr="00EC61E4">
        <w:t xml:space="preserve"> percentage, the higher its base amount of annual recurrent funding.</w:t>
      </w:r>
    </w:p>
    <w:p w14:paraId="34103B4C" w14:textId="1A312974" w:rsidR="008611D9" w:rsidRDefault="008611D9" w:rsidP="008611D9">
      <w:r w:rsidRPr="00EC61E4">
        <w:t xml:space="preserve">In accordance with subsection 54(1) of the Act, the </w:t>
      </w:r>
      <w:r w:rsidR="006B69CC">
        <w:t>CTC</w:t>
      </w:r>
      <w:r w:rsidRPr="00EC61E4">
        <w:t xml:space="preserve"> percentage of government, special, special assistance, majority Aboriginal and Torres Strait Islander, and sole provider non-government schools is zero.  For most non-government schools, however, the table in subsection 54(3) of the Act sets out the school’s </w:t>
      </w:r>
      <w:r w:rsidR="006B69CC">
        <w:t>CTC</w:t>
      </w:r>
      <w:r w:rsidRPr="00EC61E4">
        <w:t xml:space="preserve"> percentage by reference to the school’s CTC score.</w:t>
      </w:r>
    </w:p>
    <w:p w14:paraId="0C51AE9A" w14:textId="0C2606AD" w:rsidR="008611D9" w:rsidRDefault="008611D9" w:rsidP="008611D9">
      <w:r>
        <w:t xml:space="preserve">Subsection 52(1) of the Act provides that the Minister must determine a CTC score for most non-government schools. Subsection 52(4) provides that the Minister must determine a CTC score in accordance with the regulations unless satisfied that this would result in a CTC score that does not accurately reflect the </w:t>
      </w:r>
      <w:r w:rsidR="00402B8A">
        <w:t xml:space="preserve">capacity of persons responsible for students at the school to contribute </w:t>
      </w:r>
      <w:r w:rsidR="00770BB3">
        <w:t>financially to the operation of the school</w:t>
      </w:r>
      <w:r>
        <w:t xml:space="preserve">.  </w:t>
      </w:r>
    </w:p>
    <w:p w14:paraId="0DE1F84B" w14:textId="77777777" w:rsidR="00BE774B" w:rsidRDefault="008611D9" w:rsidP="00EC61E4">
      <w:r w:rsidRPr="00942DC8">
        <w:t>The</w:t>
      </w:r>
      <w:r>
        <w:rPr>
          <w:i/>
          <w:iCs/>
        </w:rPr>
        <w:t xml:space="preserve"> </w:t>
      </w:r>
      <w:r>
        <w:t>Principal Regulation</w:t>
      </w:r>
      <w:r w:rsidRPr="00942DC8">
        <w:t xml:space="preserve"> provides that for the purposes of </w:t>
      </w:r>
      <w:r>
        <w:t>sub</w:t>
      </w:r>
      <w:r w:rsidRPr="00942DC8">
        <w:t>s</w:t>
      </w:r>
      <w:r>
        <w:t>ection</w:t>
      </w:r>
      <w:r w:rsidRPr="00942DC8">
        <w:t xml:space="preserve"> 52</w:t>
      </w:r>
      <w:r>
        <w:t xml:space="preserve">(4) </w:t>
      </w:r>
      <w:r w:rsidRPr="00942DC8">
        <w:t>of the Act, a school’s CTC score must be worked out in accordance with s</w:t>
      </w:r>
      <w:r>
        <w:t>ection</w:t>
      </w:r>
      <w:r w:rsidRPr="00942DC8">
        <w:t xml:space="preserve"> 21 of the </w:t>
      </w:r>
      <w:r>
        <w:t xml:space="preserve">Principal </w:t>
      </w:r>
      <w:r w:rsidRPr="00942DC8">
        <w:t>Regulation.</w:t>
      </w:r>
      <w:r>
        <w:t xml:space="preserve"> </w:t>
      </w:r>
      <w:r w:rsidR="00EC61E4" w:rsidRPr="00EC61E4">
        <w:t xml:space="preserve">Under section 21 of the Principal Regulation, non-government schools will generally have a CTC score based on an average Direct Measures of Income (DMI) score from 2022. Where it is not reasonably practicable to use the average DMI score for the school for the year, a Refined Area Based (RAB) score worked out in accordance with section 23 of the Principal Regulation will be used. </w:t>
      </w:r>
    </w:p>
    <w:p w14:paraId="3747521B" w14:textId="529088EE" w:rsidR="008C3B21" w:rsidRDefault="00EC61E4" w:rsidP="00EC61E4">
      <w:r w:rsidRPr="00EC61E4">
        <w:lastRenderedPageBreak/>
        <w:t xml:space="preserve">The Commonwealth share for a school for a year is also taken into consideration in the calculation of recurrent funding in accordance with section 32 of the Act. For many schools, the change to the way the CTC score is worked out will affect their recurrent funding from 2022. To manage these changes, the Commonwealth share for these schools will also be adjusted over time, in accordance with the Principal Regulation. </w:t>
      </w:r>
    </w:p>
    <w:p w14:paraId="5103701A" w14:textId="0B711907" w:rsidR="00DD3B38" w:rsidRDefault="00DD3B38" w:rsidP="00DD3B38">
      <w:r w:rsidRPr="00012A91">
        <w:t>Ordinarily, the Commonwealth share of a non-government school is 80 per cent</w:t>
      </w:r>
      <w:r>
        <w:t xml:space="preserve"> of the Schooling Resource Standard</w:t>
      </w:r>
      <w:r w:rsidRPr="00012A91">
        <w:t xml:space="preserve">—see paragraph 35A(b) of the Act. </w:t>
      </w:r>
      <w:r>
        <w:t>E</w:t>
      </w:r>
      <w:r w:rsidRPr="006E3ADC">
        <w:t xml:space="preserve">xisting non-government schools will transition </w:t>
      </w:r>
      <w:r>
        <w:t xml:space="preserve">to a Commonwealth share of 80 per cent </w:t>
      </w:r>
      <w:r w:rsidRPr="006E3ADC">
        <w:t>either by 2023 (for those schools with a Commonwealth share below 80 per cent) or 2029 (for those schools with a Commonwealth share above 80 per cent)</w:t>
      </w:r>
      <w:r>
        <w:t xml:space="preserve">. </w:t>
      </w:r>
    </w:p>
    <w:p w14:paraId="1D7FFEF6" w14:textId="77777777" w:rsidR="00DD3B38" w:rsidRDefault="00DD3B38" w:rsidP="00DD3B38">
      <w:r>
        <w:t>U</w:t>
      </w:r>
      <w:r w:rsidRPr="00012A91">
        <w:t xml:space="preserve">nder section 35C of the Act, the Commonwealth share for a non-government school for a transition year is the percentage prescribed in, or the percentage worked out in accordance with, the </w:t>
      </w:r>
      <w:r>
        <w:t xml:space="preserve">regulations. </w:t>
      </w:r>
      <w:r w:rsidRPr="00D90636">
        <w:t>Sections 19A, 19B, 19C and 19D</w:t>
      </w:r>
      <w:r>
        <w:t xml:space="preserve"> of the Principal Regulation</w:t>
      </w:r>
      <w:r w:rsidRPr="00D90636">
        <w:t xml:space="preserve"> prescribe methods to work out a non-government school’s</w:t>
      </w:r>
      <w:r>
        <w:t xml:space="preserve"> C</w:t>
      </w:r>
      <w:r w:rsidRPr="00D90636">
        <w:t>ommonwealth share for different transition years using notional starting shares</w:t>
      </w:r>
      <w:r>
        <w:t xml:space="preserve"> (defined in section 19E). This is a percentage worked out using a formula that includes the ‘CTC-adjusted amount’ for the school for the year defined in section 19F. This CTC-adjusted amount </w:t>
      </w:r>
      <w:proofErr w:type="gramStart"/>
      <w:r>
        <w:t>takes into account</w:t>
      </w:r>
      <w:proofErr w:type="gramEnd"/>
      <w:r>
        <w:t xml:space="preserve"> a school’s CTC score.</w:t>
      </w:r>
    </w:p>
    <w:p w14:paraId="363E182A" w14:textId="7E6FB3AF" w:rsidR="008C3B21" w:rsidRDefault="00DD3B38" w:rsidP="008C3B21">
      <w:r w:rsidRPr="005A5BB5">
        <w:t>To manage the changes to a CTC score based on an average DMI score or RAB score in 2022</w:t>
      </w:r>
      <w:r>
        <w:t xml:space="preserve">, </w:t>
      </w:r>
      <w:r w:rsidRPr="005A5BB5">
        <w:t>the Commonwealth share for an affected school will be adjusted according to s</w:t>
      </w:r>
      <w:r>
        <w:t>ection </w:t>
      </w:r>
      <w:r w:rsidRPr="005A5BB5">
        <w:t xml:space="preserve">19C of the </w:t>
      </w:r>
      <w:r>
        <w:t xml:space="preserve">Principal </w:t>
      </w:r>
      <w:r w:rsidRPr="005A5BB5">
        <w:t>Regulation and reset the school’s transition path. This new pathway will offset the fluctuation in</w:t>
      </w:r>
      <w:r>
        <w:t xml:space="preserve"> recurrent funding </w:t>
      </w:r>
      <w:r w:rsidRPr="005A5BB5">
        <w:t xml:space="preserve">from CTC score change and smooth out any funding volatility over the transition period. </w:t>
      </w:r>
      <w:r w:rsidR="008C3B21">
        <w:t xml:space="preserve">However, the use of a capped </w:t>
      </w:r>
      <w:r>
        <w:t xml:space="preserve">CTC </w:t>
      </w:r>
      <w:r w:rsidR="008C3B21">
        <w:t xml:space="preserve">score would distort this transition path. </w:t>
      </w:r>
    </w:p>
    <w:p w14:paraId="383BE718" w14:textId="6FDF78CD" w:rsidR="00EC61E4" w:rsidRDefault="00EC61E4" w:rsidP="006D33B9">
      <w:r w:rsidRPr="00EC61E4">
        <w:rPr>
          <w:b/>
          <w:bCs/>
        </w:rPr>
        <w:t>Item 1 and 2</w:t>
      </w:r>
      <w:r w:rsidRPr="00EC61E4">
        <w:t xml:space="preserve"> adds subsection 19</w:t>
      </w:r>
      <w:proofErr w:type="gramStart"/>
      <w:r w:rsidRPr="00EC61E4">
        <w:t>F(</w:t>
      </w:r>
      <w:proofErr w:type="gramEnd"/>
      <w:r w:rsidRPr="00EC61E4">
        <w:t xml:space="preserve">2) into the Principal Regulation. </w:t>
      </w:r>
      <w:r w:rsidR="006D33B9">
        <w:t xml:space="preserve">This provision will </w:t>
      </w:r>
      <w:r w:rsidR="006D33B9" w:rsidRPr="006D33B9">
        <w:t xml:space="preserve">ensure that the transition pathway for non-government schools is set prior to the application of the </w:t>
      </w:r>
      <w:r w:rsidR="00B56313">
        <w:t xml:space="preserve">cap and floor on </w:t>
      </w:r>
      <w:proofErr w:type="gramStart"/>
      <w:r w:rsidR="00B56313">
        <w:t>year on year</w:t>
      </w:r>
      <w:proofErr w:type="gramEnd"/>
      <w:r w:rsidR="00B56313">
        <w:t xml:space="preserve"> changes in CTC scores </w:t>
      </w:r>
      <w:r w:rsidR="006D33B9" w:rsidRPr="006D33B9">
        <w:t>for small and very small schools</w:t>
      </w:r>
      <w:r w:rsidR="000C16D4">
        <w:t xml:space="preserve">. This will </w:t>
      </w:r>
      <w:r w:rsidR="006D33B9">
        <w:t xml:space="preserve">provide </w:t>
      </w:r>
      <w:r w:rsidRPr="00EC61E4">
        <w:t>a smooth transition for the affected schools by distributing the full impact of the uncapped score over the whole transition period.</w:t>
      </w:r>
    </w:p>
    <w:p w14:paraId="2E11CD69" w14:textId="6B2A3B65" w:rsidR="00DD3B38" w:rsidRDefault="00DD3B38" w:rsidP="00DD3B38">
      <w:r>
        <w:t xml:space="preserve">Currently, section 22(3) of the Principal Regulation limits the movement of average DMI scores for small and very small schools by imposing a cap and floor of two points from 2022 and onwards. </w:t>
      </w:r>
      <w:r w:rsidR="000C16D4">
        <w:t>‘Small schools’ and ‘very small schools’ are defined in subsection 43(1) of the Act.</w:t>
      </w:r>
    </w:p>
    <w:p w14:paraId="397B8E6C" w14:textId="345B46F0" w:rsidR="004A5B49" w:rsidRDefault="00DD3B38" w:rsidP="00EC61E4">
      <w:pPr>
        <w:rPr>
          <w:b/>
          <w:bCs/>
        </w:rPr>
      </w:pPr>
      <w:r>
        <w:t xml:space="preserve">RAB scores are </w:t>
      </w:r>
      <w:r w:rsidRPr="00B508A0">
        <w:t>more</w:t>
      </w:r>
      <w:r>
        <w:t xml:space="preserve"> volatile than average DMI scores as RAB scores are based on annual data. Average DMI scores are based on a </w:t>
      </w:r>
      <w:proofErr w:type="gramStart"/>
      <w:r>
        <w:t>three</w:t>
      </w:r>
      <w:r w:rsidR="00C47AE5">
        <w:t> </w:t>
      </w:r>
      <w:r>
        <w:t>year</w:t>
      </w:r>
      <w:proofErr w:type="gramEnd"/>
      <w:r>
        <w:t xml:space="preserve"> </w:t>
      </w:r>
      <w:r w:rsidR="006650C9">
        <w:t xml:space="preserve">rolling </w:t>
      </w:r>
      <w:r>
        <w:t xml:space="preserve">average which smooths the impact of annual enrolment changes on a school’s recurrent funding. Small and very small schools are also more likely to have a RAB score applied on the basis that the number of persons responsible for students at the school for the year is too low to ensure that the CTC score does not </w:t>
      </w:r>
      <w:r w:rsidRPr="00B508A0">
        <w:t>identify</w:t>
      </w:r>
      <w:r>
        <w:t xml:space="preserve"> information relating to a particular student or a person responsible for that student.</w:t>
      </w:r>
    </w:p>
    <w:p w14:paraId="6D1D5A42" w14:textId="739604B3" w:rsidR="00EC61E4" w:rsidRPr="00EC61E4" w:rsidRDefault="00EC61E4" w:rsidP="00EC61E4">
      <w:r w:rsidRPr="00EC61E4">
        <w:rPr>
          <w:b/>
          <w:bCs/>
        </w:rPr>
        <w:t>Item 3</w:t>
      </w:r>
      <w:r w:rsidRPr="00EC61E4">
        <w:t xml:space="preserve"> amend</w:t>
      </w:r>
      <w:r w:rsidR="000C16D4">
        <w:t>s</w:t>
      </w:r>
      <w:r w:rsidRPr="00EC61E4">
        <w:t xml:space="preserve"> section 23 of the Principal Regulation to extend the existing two-point cap</w:t>
      </w:r>
      <w:r w:rsidR="000C16D4">
        <w:t xml:space="preserve"> and floor</w:t>
      </w:r>
      <w:r w:rsidRPr="00EC61E4">
        <w:t xml:space="preserve"> on year-on-year changes to CTC scores to cover RAB scores as well as DMI scores. </w:t>
      </w:r>
    </w:p>
    <w:p w14:paraId="548C621C" w14:textId="6F2A94CA" w:rsidR="00EC61E4" w:rsidRPr="00D2583A" w:rsidRDefault="00EC61E4" w:rsidP="00EC61E4">
      <w:r w:rsidRPr="00EC61E4">
        <w:t xml:space="preserve">This will reduce the negative impacts on small and very small schools likely to experience greater </w:t>
      </w:r>
      <w:r w:rsidR="006D33B9">
        <w:t xml:space="preserve">funding </w:t>
      </w:r>
      <w:r w:rsidRPr="00EC61E4">
        <w:t>volatility due to annual changes in the student cohort.</w:t>
      </w:r>
      <w:r>
        <w:t xml:space="preserve"> </w:t>
      </w:r>
    </w:p>
    <w:p w14:paraId="36629269" w14:textId="77777777" w:rsidR="00677A1D" w:rsidRPr="006C22A2" w:rsidRDefault="00677A1D" w:rsidP="00EC61E4"/>
    <w:sectPr w:rsidR="00677A1D" w:rsidRPr="006C22A2" w:rsidSect="008960ED">
      <w:headerReference w:type="default" r:id="rId11"/>
      <w:footerReference w:type="even" r:id="rId12"/>
      <w:footerReference w:type="defaul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D5441" w14:textId="77777777" w:rsidR="000F498E" w:rsidRDefault="000F498E">
      <w:r>
        <w:separator/>
      </w:r>
    </w:p>
  </w:endnote>
  <w:endnote w:type="continuationSeparator" w:id="0">
    <w:p w14:paraId="239F6F81" w14:textId="77777777" w:rsidR="000F498E" w:rsidRDefault="000F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8AD8" w14:textId="77777777" w:rsidR="00F54EA0" w:rsidRDefault="00F54EA0"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313D16" w14:textId="77777777" w:rsidR="00F54EA0" w:rsidRDefault="00F54EA0"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C8823" w14:textId="77777777" w:rsidR="00F54EA0" w:rsidRDefault="00F54EA0" w:rsidP="0028494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6238876"/>
      <w:docPartObj>
        <w:docPartGallery w:val="Page Numbers (Bottom of Page)"/>
        <w:docPartUnique/>
      </w:docPartObj>
    </w:sdtPr>
    <w:sdtEndPr>
      <w:rPr>
        <w:noProof/>
      </w:rPr>
    </w:sdtEndPr>
    <w:sdtContent>
      <w:p w14:paraId="4C8D10AB" w14:textId="77777777" w:rsidR="00F54EA0" w:rsidRDefault="00F54E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C55DAA" w14:textId="77777777" w:rsidR="00F54EA0" w:rsidRDefault="00F5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D688B" w14:textId="77777777" w:rsidR="000F498E" w:rsidRDefault="000F498E">
      <w:r>
        <w:separator/>
      </w:r>
    </w:p>
  </w:footnote>
  <w:footnote w:type="continuationSeparator" w:id="0">
    <w:p w14:paraId="1C39A08E" w14:textId="77777777" w:rsidR="000F498E" w:rsidRDefault="000F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F9E15" w14:textId="0339C54D" w:rsidR="0089022B" w:rsidRDefault="00890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5CAFB36"/>
    <w:lvl w:ilvl="0">
      <w:start w:val="1"/>
      <w:numFmt w:val="decimal"/>
      <w:lvlText w:val="%1."/>
      <w:lvlJc w:val="left"/>
      <w:pPr>
        <w:ind w:left="851" w:hanging="851"/>
      </w:pPr>
      <w:rPr>
        <w:rFonts w:cs="Times New Roman" w:hint="default"/>
        <w:sz w:val="22"/>
        <w:szCs w:val="22"/>
      </w:rPr>
    </w:lvl>
    <w:lvl w:ilvl="1">
      <w:start w:val="1"/>
      <w:numFmt w:val="bullet"/>
      <w:lvlText w:val=""/>
      <w:lvlJc w:val="left"/>
      <w:pPr>
        <w:ind w:left="1276" w:hanging="851"/>
      </w:pPr>
      <w:rPr>
        <w:rFonts w:ascii="Symbol" w:hAnsi="Symbol" w:hint="default"/>
        <w:b w:val="0"/>
        <w:i w:val="0"/>
        <w:sz w:val="20"/>
        <w:szCs w:val="20"/>
      </w:rPr>
    </w:lvl>
    <w:lvl w:ilvl="2">
      <w:start w:val="1"/>
      <w:numFmt w:val="lowerLetter"/>
      <w:lvlText w:val="(%3)"/>
      <w:lvlJc w:val="left"/>
      <w:pPr>
        <w:ind w:left="1701" w:hanging="850"/>
      </w:pPr>
      <w:rPr>
        <w:rFonts w:ascii="Arial" w:hAnsi="Arial" w:cs="Times New Roman" w:hint="default"/>
        <w:b w:val="0"/>
        <w:i w:val="0"/>
        <w:sz w:val="20"/>
        <w:szCs w:val="20"/>
      </w:rPr>
    </w:lvl>
    <w:lvl w:ilvl="3">
      <w:start w:val="1"/>
      <w:numFmt w:val="lowerRoman"/>
      <w:pStyle w:val="Heading4"/>
      <w:lvlText w:val="(%4)"/>
      <w:lvlJc w:val="left"/>
      <w:pPr>
        <w:ind w:left="2268" w:hanging="567"/>
      </w:pPr>
      <w:rPr>
        <w:rFonts w:ascii="Arial" w:hAnsi="Arial" w:cs="Times New Roman" w:hint="default"/>
        <w:b w:val="0"/>
        <w:i w:val="0"/>
        <w:sz w:val="20"/>
        <w:szCs w:val="20"/>
      </w:rPr>
    </w:lvl>
    <w:lvl w:ilvl="4">
      <w:start w:val="1"/>
      <w:numFmt w:val="upperLetter"/>
      <w:pStyle w:val="Heading5"/>
      <w:lvlText w:val="(%5)"/>
      <w:lvlJc w:val="left"/>
      <w:pPr>
        <w:tabs>
          <w:tab w:val="num" w:pos="2835"/>
        </w:tabs>
        <w:ind w:left="2835" w:hanging="567"/>
      </w:pPr>
      <w:rPr>
        <w:rFonts w:cs="Times New Roman" w:hint="default"/>
        <w:sz w:val="20"/>
        <w:szCs w:val="20"/>
      </w:rPr>
    </w:lvl>
    <w:lvl w:ilvl="5">
      <w:start w:val="1"/>
      <w:numFmt w:val="none"/>
      <w:lvlText w:val=""/>
      <w:lvlJc w:val="left"/>
      <w:pPr>
        <w:ind w:left="0" w:firstLine="0"/>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1"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967BE6"/>
    <w:multiLevelType w:val="hybridMultilevel"/>
    <w:tmpl w:val="DD22E5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 w15:restartNumberingAfterBreak="0">
    <w:nsid w:val="48952DC8"/>
    <w:multiLevelType w:val="hybridMultilevel"/>
    <w:tmpl w:val="37FAD7FE"/>
    <w:lvl w:ilvl="0" w:tplc="9D32F2EA">
      <w:start w:val="1"/>
      <w:numFmt w:val="bullet"/>
      <w:pStyle w:val="ListParagraph"/>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F1"/>
    <w:rsid w:val="000004DD"/>
    <w:rsid w:val="00000B7F"/>
    <w:rsid w:val="00002544"/>
    <w:rsid w:val="00002F07"/>
    <w:rsid w:val="00003D1A"/>
    <w:rsid w:val="00003E8E"/>
    <w:rsid w:val="00004CAB"/>
    <w:rsid w:val="00005332"/>
    <w:rsid w:val="000059D3"/>
    <w:rsid w:val="000069B2"/>
    <w:rsid w:val="000069C4"/>
    <w:rsid w:val="00006B76"/>
    <w:rsid w:val="0000754B"/>
    <w:rsid w:val="00007A61"/>
    <w:rsid w:val="000103CB"/>
    <w:rsid w:val="00010FFA"/>
    <w:rsid w:val="0001160A"/>
    <w:rsid w:val="00011C21"/>
    <w:rsid w:val="000135C8"/>
    <w:rsid w:val="00013C6E"/>
    <w:rsid w:val="00014400"/>
    <w:rsid w:val="00014524"/>
    <w:rsid w:val="000146BC"/>
    <w:rsid w:val="00014704"/>
    <w:rsid w:val="0001513A"/>
    <w:rsid w:val="00015C94"/>
    <w:rsid w:val="00015D30"/>
    <w:rsid w:val="00016D2B"/>
    <w:rsid w:val="000214A3"/>
    <w:rsid w:val="0002170A"/>
    <w:rsid w:val="00021A18"/>
    <w:rsid w:val="0002308D"/>
    <w:rsid w:val="0002459E"/>
    <w:rsid w:val="000250D2"/>
    <w:rsid w:val="000271FD"/>
    <w:rsid w:val="00027C86"/>
    <w:rsid w:val="000304B6"/>
    <w:rsid w:val="00032038"/>
    <w:rsid w:val="00032BF3"/>
    <w:rsid w:val="00032CB9"/>
    <w:rsid w:val="00033C8F"/>
    <w:rsid w:val="000345E8"/>
    <w:rsid w:val="0003578C"/>
    <w:rsid w:val="00036404"/>
    <w:rsid w:val="00037900"/>
    <w:rsid w:val="00037F8E"/>
    <w:rsid w:val="00041867"/>
    <w:rsid w:val="00042156"/>
    <w:rsid w:val="00042D3F"/>
    <w:rsid w:val="000442FA"/>
    <w:rsid w:val="00044F2E"/>
    <w:rsid w:val="00045249"/>
    <w:rsid w:val="00045441"/>
    <w:rsid w:val="00046EAB"/>
    <w:rsid w:val="0005001C"/>
    <w:rsid w:val="00050FED"/>
    <w:rsid w:val="00051130"/>
    <w:rsid w:val="00051667"/>
    <w:rsid w:val="0005378B"/>
    <w:rsid w:val="000541BC"/>
    <w:rsid w:val="00055D4C"/>
    <w:rsid w:val="00056351"/>
    <w:rsid w:val="0006034B"/>
    <w:rsid w:val="0006124D"/>
    <w:rsid w:val="000614CF"/>
    <w:rsid w:val="00061C00"/>
    <w:rsid w:val="00062DC8"/>
    <w:rsid w:val="0006386E"/>
    <w:rsid w:val="00063941"/>
    <w:rsid w:val="0006476D"/>
    <w:rsid w:val="00064D83"/>
    <w:rsid w:val="00065172"/>
    <w:rsid w:val="00066121"/>
    <w:rsid w:val="000662B2"/>
    <w:rsid w:val="0006675D"/>
    <w:rsid w:val="000709A8"/>
    <w:rsid w:val="00070B8B"/>
    <w:rsid w:val="000712F3"/>
    <w:rsid w:val="000714F7"/>
    <w:rsid w:val="00072A59"/>
    <w:rsid w:val="00073B16"/>
    <w:rsid w:val="00074052"/>
    <w:rsid w:val="00074C21"/>
    <w:rsid w:val="00074EC2"/>
    <w:rsid w:val="000750A6"/>
    <w:rsid w:val="0007572E"/>
    <w:rsid w:val="00075DF6"/>
    <w:rsid w:val="00075FA0"/>
    <w:rsid w:val="000767AF"/>
    <w:rsid w:val="00077354"/>
    <w:rsid w:val="000775BD"/>
    <w:rsid w:val="00080FE5"/>
    <w:rsid w:val="000816D4"/>
    <w:rsid w:val="00081820"/>
    <w:rsid w:val="00082AA4"/>
    <w:rsid w:val="00082B5C"/>
    <w:rsid w:val="000833AB"/>
    <w:rsid w:val="00083507"/>
    <w:rsid w:val="0008359B"/>
    <w:rsid w:val="00083AE5"/>
    <w:rsid w:val="000848AE"/>
    <w:rsid w:val="00084E12"/>
    <w:rsid w:val="000850AD"/>
    <w:rsid w:val="00085604"/>
    <w:rsid w:val="00090DB3"/>
    <w:rsid w:val="000932B9"/>
    <w:rsid w:val="000934CB"/>
    <w:rsid w:val="00093D56"/>
    <w:rsid w:val="00093E37"/>
    <w:rsid w:val="00094D41"/>
    <w:rsid w:val="00095DE3"/>
    <w:rsid w:val="0009680C"/>
    <w:rsid w:val="0009758C"/>
    <w:rsid w:val="000977AB"/>
    <w:rsid w:val="000A19B4"/>
    <w:rsid w:val="000A2732"/>
    <w:rsid w:val="000A3650"/>
    <w:rsid w:val="000A37F0"/>
    <w:rsid w:val="000A3DCE"/>
    <w:rsid w:val="000A4BC1"/>
    <w:rsid w:val="000A4EA7"/>
    <w:rsid w:val="000A58DA"/>
    <w:rsid w:val="000A6117"/>
    <w:rsid w:val="000A690F"/>
    <w:rsid w:val="000A6F08"/>
    <w:rsid w:val="000B0DD0"/>
    <w:rsid w:val="000B0FB3"/>
    <w:rsid w:val="000B1290"/>
    <w:rsid w:val="000B2857"/>
    <w:rsid w:val="000B2EA7"/>
    <w:rsid w:val="000B3361"/>
    <w:rsid w:val="000B398E"/>
    <w:rsid w:val="000B3EE7"/>
    <w:rsid w:val="000B3FF4"/>
    <w:rsid w:val="000B46D4"/>
    <w:rsid w:val="000B5008"/>
    <w:rsid w:val="000B6385"/>
    <w:rsid w:val="000C02DE"/>
    <w:rsid w:val="000C16D4"/>
    <w:rsid w:val="000C329E"/>
    <w:rsid w:val="000C6ED1"/>
    <w:rsid w:val="000C79C6"/>
    <w:rsid w:val="000D00A0"/>
    <w:rsid w:val="000D07AC"/>
    <w:rsid w:val="000D08DE"/>
    <w:rsid w:val="000D0F18"/>
    <w:rsid w:val="000D149F"/>
    <w:rsid w:val="000D14CA"/>
    <w:rsid w:val="000D1ED4"/>
    <w:rsid w:val="000D2925"/>
    <w:rsid w:val="000D392D"/>
    <w:rsid w:val="000D492C"/>
    <w:rsid w:val="000D4E87"/>
    <w:rsid w:val="000D6A7E"/>
    <w:rsid w:val="000D7B53"/>
    <w:rsid w:val="000E0ABC"/>
    <w:rsid w:val="000E1263"/>
    <w:rsid w:val="000E334A"/>
    <w:rsid w:val="000E4B2C"/>
    <w:rsid w:val="000E5216"/>
    <w:rsid w:val="000E5A17"/>
    <w:rsid w:val="000E5FCA"/>
    <w:rsid w:val="000E668A"/>
    <w:rsid w:val="000F032B"/>
    <w:rsid w:val="000F20AB"/>
    <w:rsid w:val="000F2889"/>
    <w:rsid w:val="000F2FC8"/>
    <w:rsid w:val="000F3466"/>
    <w:rsid w:val="000F3C1E"/>
    <w:rsid w:val="000F40DD"/>
    <w:rsid w:val="000F498E"/>
    <w:rsid w:val="000F562C"/>
    <w:rsid w:val="000F727D"/>
    <w:rsid w:val="000F7D7E"/>
    <w:rsid w:val="00100188"/>
    <w:rsid w:val="001009F8"/>
    <w:rsid w:val="001026F4"/>
    <w:rsid w:val="00103224"/>
    <w:rsid w:val="00103AFD"/>
    <w:rsid w:val="00103F01"/>
    <w:rsid w:val="00105A59"/>
    <w:rsid w:val="00105BD7"/>
    <w:rsid w:val="00105E62"/>
    <w:rsid w:val="00106006"/>
    <w:rsid w:val="00110545"/>
    <w:rsid w:val="0011072F"/>
    <w:rsid w:val="00112991"/>
    <w:rsid w:val="001159F5"/>
    <w:rsid w:val="00115A17"/>
    <w:rsid w:val="00115B18"/>
    <w:rsid w:val="0011617E"/>
    <w:rsid w:val="00116799"/>
    <w:rsid w:val="0011701D"/>
    <w:rsid w:val="00122367"/>
    <w:rsid w:val="00122D7C"/>
    <w:rsid w:val="0012349B"/>
    <w:rsid w:val="00123C57"/>
    <w:rsid w:val="00125D84"/>
    <w:rsid w:val="00125EC1"/>
    <w:rsid w:val="001266E9"/>
    <w:rsid w:val="0012686F"/>
    <w:rsid w:val="00127472"/>
    <w:rsid w:val="00130520"/>
    <w:rsid w:val="001308E1"/>
    <w:rsid w:val="00130AC0"/>
    <w:rsid w:val="001313CB"/>
    <w:rsid w:val="00134829"/>
    <w:rsid w:val="001348EE"/>
    <w:rsid w:val="001349FF"/>
    <w:rsid w:val="001354C3"/>
    <w:rsid w:val="00135F64"/>
    <w:rsid w:val="00136603"/>
    <w:rsid w:val="00136885"/>
    <w:rsid w:val="001369D1"/>
    <w:rsid w:val="0013781E"/>
    <w:rsid w:val="00140B78"/>
    <w:rsid w:val="00140DD2"/>
    <w:rsid w:val="00141219"/>
    <w:rsid w:val="001415B7"/>
    <w:rsid w:val="00141943"/>
    <w:rsid w:val="00143924"/>
    <w:rsid w:val="001443A5"/>
    <w:rsid w:val="00144FFF"/>
    <w:rsid w:val="00145177"/>
    <w:rsid w:val="001502AD"/>
    <w:rsid w:val="001544EF"/>
    <w:rsid w:val="001556A3"/>
    <w:rsid w:val="0015597D"/>
    <w:rsid w:val="00155B16"/>
    <w:rsid w:val="00155D78"/>
    <w:rsid w:val="001561F2"/>
    <w:rsid w:val="00157748"/>
    <w:rsid w:val="001577AF"/>
    <w:rsid w:val="00161EA3"/>
    <w:rsid w:val="0016225B"/>
    <w:rsid w:val="00162B7C"/>
    <w:rsid w:val="0016393C"/>
    <w:rsid w:val="001640B3"/>
    <w:rsid w:val="00166EE9"/>
    <w:rsid w:val="00166F7B"/>
    <w:rsid w:val="00170212"/>
    <w:rsid w:val="001719F4"/>
    <w:rsid w:val="00172085"/>
    <w:rsid w:val="001720C2"/>
    <w:rsid w:val="00173335"/>
    <w:rsid w:val="001735AD"/>
    <w:rsid w:val="00175337"/>
    <w:rsid w:val="00176565"/>
    <w:rsid w:val="001771F4"/>
    <w:rsid w:val="001775C7"/>
    <w:rsid w:val="001801DC"/>
    <w:rsid w:val="00180903"/>
    <w:rsid w:val="00180E4B"/>
    <w:rsid w:val="00181741"/>
    <w:rsid w:val="00182056"/>
    <w:rsid w:val="00182229"/>
    <w:rsid w:val="001822E9"/>
    <w:rsid w:val="00183D67"/>
    <w:rsid w:val="0018507D"/>
    <w:rsid w:val="00186815"/>
    <w:rsid w:val="001876F5"/>
    <w:rsid w:val="0019003E"/>
    <w:rsid w:val="0019055F"/>
    <w:rsid w:val="00190F2F"/>
    <w:rsid w:val="0019246B"/>
    <w:rsid w:val="00192D8A"/>
    <w:rsid w:val="00193062"/>
    <w:rsid w:val="00193AE6"/>
    <w:rsid w:val="00194A5D"/>
    <w:rsid w:val="00196CFD"/>
    <w:rsid w:val="001A197A"/>
    <w:rsid w:val="001A1B7B"/>
    <w:rsid w:val="001A2537"/>
    <w:rsid w:val="001A306A"/>
    <w:rsid w:val="001A4118"/>
    <w:rsid w:val="001A438A"/>
    <w:rsid w:val="001A4492"/>
    <w:rsid w:val="001A46AC"/>
    <w:rsid w:val="001A5185"/>
    <w:rsid w:val="001A5CBD"/>
    <w:rsid w:val="001A7F95"/>
    <w:rsid w:val="001B01C3"/>
    <w:rsid w:val="001B0A9D"/>
    <w:rsid w:val="001B0B51"/>
    <w:rsid w:val="001B0BE0"/>
    <w:rsid w:val="001B27E4"/>
    <w:rsid w:val="001B306A"/>
    <w:rsid w:val="001B30AA"/>
    <w:rsid w:val="001B4165"/>
    <w:rsid w:val="001B4868"/>
    <w:rsid w:val="001B5436"/>
    <w:rsid w:val="001B5811"/>
    <w:rsid w:val="001B7C53"/>
    <w:rsid w:val="001B7D27"/>
    <w:rsid w:val="001C024D"/>
    <w:rsid w:val="001C0253"/>
    <w:rsid w:val="001C1198"/>
    <w:rsid w:val="001C133F"/>
    <w:rsid w:val="001C2B91"/>
    <w:rsid w:val="001C3868"/>
    <w:rsid w:val="001C4075"/>
    <w:rsid w:val="001C50CF"/>
    <w:rsid w:val="001C5751"/>
    <w:rsid w:val="001C57C3"/>
    <w:rsid w:val="001C5E87"/>
    <w:rsid w:val="001C73FD"/>
    <w:rsid w:val="001C77C4"/>
    <w:rsid w:val="001C7A0B"/>
    <w:rsid w:val="001D291A"/>
    <w:rsid w:val="001D2C76"/>
    <w:rsid w:val="001D2E43"/>
    <w:rsid w:val="001D3C17"/>
    <w:rsid w:val="001D4378"/>
    <w:rsid w:val="001D5230"/>
    <w:rsid w:val="001D6203"/>
    <w:rsid w:val="001D66A9"/>
    <w:rsid w:val="001D6B30"/>
    <w:rsid w:val="001E02AB"/>
    <w:rsid w:val="001E1038"/>
    <w:rsid w:val="001E1537"/>
    <w:rsid w:val="001E3E4F"/>
    <w:rsid w:val="001E4173"/>
    <w:rsid w:val="001E4269"/>
    <w:rsid w:val="001E4C45"/>
    <w:rsid w:val="001E5B32"/>
    <w:rsid w:val="001E64AA"/>
    <w:rsid w:val="001E6979"/>
    <w:rsid w:val="001E77EC"/>
    <w:rsid w:val="001E7E14"/>
    <w:rsid w:val="001F0132"/>
    <w:rsid w:val="001F0C99"/>
    <w:rsid w:val="001F1133"/>
    <w:rsid w:val="001F22DE"/>
    <w:rsid w:val="001F3A93"/>
    <w:rsid w:val="001F3E12"/>
    <w:rsid w:val="001F47C0"/>
    <w:rsid w:val="001F4EF4"/>
    <w:rsid w:val="001F5723"/>
    <w:rsid w:val="001F5CCC"/>
    <w:rsid w:val="001F5F36"/>
    <w:rsid w:val="001F6F11"/>
    <w:rsid w:val="001F70D5"/>
    <w:rsid w:val="0020239E"/>
    <w:rsid w:val="00203637"/>
    <w:rsid w:val="0020398B"/>
    <w:rsid w:val="0020405C"/>
    <w:rsid w:val="00205BC4"/>
    <w:rsid w:val="00210259"/>
    <w:rsid w:val="00210D23"/>
    <w:rsid w:val="00211C27"/>
    <w:rsid w:val="00212DD6"/>
    <w:rsid w:val="00213D10"/>
    <w:rsid w:val="002140FA"/>
    <w:rsid w:val="00214638"/>
    <w:rsid w:val="00215DD9"/>
    <w:rsid w:val="00217192"/>
    <w:rsid w:val="0022072D"/>
    <w:rsid w:val="00220926"/>
    <w:rsid w:val="00220C01"/>
    <w:rsid w:val="00221BD2"/>
    <w:rsid w:val="00222B5E"/>
    <w:rsid w:val="00223B3F"/>
    <w:rsid w:val="002262E3"/>
    <w:rsid w:val="00226573"/>
    <w:rsid w:val="002273EA"/>
    <w:rsid w:val="002274F0"/>
    <w:rsid w:val="00227847"/>
    <w:rsid w:val="00233934"/>
    <w:rsid w:val="0023396B"/>
    <w:rsid w:val="00234AB0"/>
    <w:rsid w:val="0023536E"/>
    <w:rsid w:val="00235A59"/>
    <w:rsid w:val="002368AE"/>
    <w:rsid w:val="00236B34"/>
    <w:rsid w:val="00237170"/>
    <w:rsid w:val="00241119"/>
    <w:rsid w:val="00243753"/>
    <w:rsid w:val="00243BB7"/>
    <w:rsid w:val="00245A6A"/>
    <w:rsid w:val="00246155"/>
    <w:rsid w:val="002469F0"/>
    <w:rsid w:val="00246D4C"/>
    <w:rsid w:val="00247549"/>
    <w:rsid w:val="00247657"/>
    <w:rsid w:val="00247D27"/>
    <w:rsid w:val="00250827"/>
    <w:rsid w:val="00252C53"/>
    <w:rsid w:val="00252FA0"/>
    <w:rsid w:val="0025313D"/>
    <w:rsid w:val="00255D4A"/>
    <w:rsid w:val="00256477"/>
    <w:rsid w:val="002611B6"/>
    <w:rsid w:val="00262093"/>
    <w:rsid w:val="002620F3"/>
    <w:rsid w:val="00262830"/>
    <w:rsid w:val="00264240"/>
    <w:rsid w:val="002642EB"/>
    <w:rsid w:val="00264E8E"/>
    <w:rsid w:val="0026543B"/>
    <w:rsid w:val="0026586F"/>
    <w:rsid w:val="002658AD"/>
    <w:rsid w:val="002670C5"/>
    <w:rsid w:val="002672FC"/>
    <w:rsid w:val="0027023E"/>
    <w:rsid w:val="002723E8"/>
    <w:rsid w:val="00272572"/>
    <w:rsid w:val="0027396B"/>
    <w:rsid w:val="002739F1"/>
    <w:rsid w:val="002746B4"/>
    <w:rsid w:val="00276F2A"/>
    <w:rsid w:val="002775D2"/>
    <w:rsid w:val="0027779F"/>
    <w:rsid w:val="00283EC4"/>
    <w:rsid w:val="00284099"/>
    <w:rsid w:val="002841C3"/>
    <w:rsid w:val="0028494E"/>
    <w:rsid w:val="002852DA"/>
    <w:rsid w:val="00285460"/>
    <w:rsid w:val="00286459"/>
    <w:rsid w:val="00286631"/>
    <w:rsid w:val="002866D9"/>
    <w:rsid w:val="00286A57"/>
    <w:rsid w:val="00286CDD"/>
    <w:rsid w:val="00286F7E"/>
    <w:rsid w:val="00287D40"/>
    <w:rsid w:val="00290480"/>
    <w:rsid w:val="00290E39"/>
    <w:rsid w:val="00291703"/>
    <w:rsid w:val="00291FCF"/>
    <w:rsid w:val="00293152"/>
    <w:rsid w:val="0029365F"/>
    <w:rsid w:val="00293C2F"/>
    <w:rsid w:val="00294051"/>
    <w:rsid w:val="00295973"/>
    <w:rsid w:val="00295A4C"/>
    <w:rsid w:val="00295F23"/>
    <w:rsid w:val="00296CA9"/>
    <w:rsid w:val="00296F9F"/>
    <w:rsid w:val="002A0122"/>
    <w:rsid w:val="002A04B3"/>
    <w:rsid w:val="002A06D2"/>
    <w:rsid w:val="002A0BE7"/>
    <w:rsid w:val="002A3D7D"/>
    <w:rsid w:val="002A5754"/>
    <w:rsid w:val="002A662D"/>
    <w:rsid w:val="002A6E39"/>
    <w:rsid w:val="002A7058"/>
    <w:rsid w:val="002A7601"/>
    <w:rsid w:val="002A7ACB"/>
    <w:rsid w:val="002B03F0"/>
    <w:rsid w:val="002B0742"/>
    <w:rsid w:val="002B1AD4"/>
    <w:rsid w:val="002B1EFE"/>
    <w:rsid w:val="002B43F7"/>
    <w:rsid w:val="002B498D"/>
    <w:rsid w:val="002B49D3"/>
    <w:rsid w:val="002C0B6A"/>
    <w:rsid w:val="002C1566"/>
    <w:rsid w:val="002C3258"/>
    <w:rsid w:val="002C4A28"/>
    <w:rsid w:val="002C4EFA"/>
    <w:rsid w:val="002C53FE"/>
    <w:rsid w:val="002C59B5"/>
    <w:rsid w:val="002C66BA"/>
    <w:rsid w:val="002C6A0E"/>
    <w:rsid w:val="002C7724"/>
    <w:rsid w:val="002D2C8F"/>
    <w:rsid w:val="002D4C0B"/>
    <w:rsid w:val="002D5D85"/>
    <w:rsid w:val="002D736E"/>
    <w:rsid w:val="002D75BF"/>
    <w:rsid w:val="002E0105"/>
    <w:rsid w:val="002E04F5"/>
    <w:rsid w:val="002E0AB6"/>
    <w:rsid w:val="002E192D"/>
    <w:rsid w:val="002E2D53"/>
    <w:rsid w:val="002E3947"/>
    <w:rsid w:val="002E44F9"/>
    <w:rsid w:val="002E62A4"/>
    <w:rsid w:val="002E648D"/>
    <w:rsid w:val="002F0B88"/>
    <w:rsid w:val="002F1E91"/>
    <w:rsid w:val="002F2837"/>
    <w:rsid w:val="002F29ED"/>
    <w:rsid w:val="002F2FBE"/>
    <w:rsid w:val="002F344C"/>
    <w:rsid w:val="002F3C01"/>
    <w:rsid w:val="002F56D3"/>
    <w:rsid w:val="002F762F"/>
    <w:rsid w:val="002F79D9"/>
    <w:rsid w:val="003008BD"/>
    <w:rsid w:val="00301835"/>
    <w:rsid w:val="003023AF"/>
    <w:rsid w:val="00302522"/>
    <w:rsid w:val="003028E4"/>
    <w:rsid w:val="00303121"/>
    <w:rsid w:val="003050A9"/>
    <w:rsid w:val="003051FF"/>
    <w:rsid w:val="00306DFC"/>
    <w:rsid w:val="00307353"/>
    <w:rsid w:val="003075B5"/>
    <w:rsid w:val="0030788C"/>
    <w:rsid w:val="0031026D"/>
    <w:rsid w:val="003108D5"/>
    <w:rsid w:val="00310D72"/>
    <w:rsid w:val="00312A21"/>
    <w:rsid w:val="00312BF1"/>
    <w:rsid w:val="00312CFD"/>
    <w:rsid w:val="0031578C"/>
    <w:rsid w:val="00316144"/>
    <w:rsid w:val="00316CEF"/>
    <w:rsid w:val="00317D5B"/>
    <w:rsid w:val="00320290"/>
    <w:rsid w:val="00320F1A"/>
    <w:rsid w:val="00321707"/>
    <w:rsid w:val="0032190D"/>
    <w:rsid w:val="00321961"/>
    <w:rsid w:val="00321962"/>
    <w:rsid w:val="00321A59"/>
    <w:rsid w:val="00321EE2"/>
    <w:rsid w:val="003232E7"/>
    <w:rsid w:val="00323A57"/>
    <w:rsid w:val="00323DA1"/>
    <w:rsid w:val="00325933"/>
    <w:rsid w:val="00325C99"/>
    <w:rsid w:val="00325FF9"/>
    <w:rsid w:val="003268AA"/>
    <w:rsid w:val="00326FF8"/>
    <w:rsid w:val="003303E9"/>
    <w:rsid w:val="00332E86"/>
    <w:rsid w:val="0033329F"/>
    <w:rsid w:val="003343F5"/>
    <w:rsid w:val="00335CB4"/>
    <w:rsid w:val="00337ADE"/>
    <w:rsid w:val="0034017D"/>
    <w:rsid w:val="00340301"/>
    <w:rsid w:val="00341707"/>
    <w:rsid w:val="00341CE4"/>
    <w:rsid w:val="00342FE3"/>
    <w:rsid w:val="00344282"/>
    <w:rsid w:val="00345B8D"/>
    <w:rsid w:val="00345D96"/>
    <w:rsid w:val="00347B80"/>
    <w:rsid w:val="00350056"/>
    <w:rsid w:val="003517BE"/>
    <w:rsid w:val="00352437"/>
    <w:rsid w:val="00352FCA"/>
    <w:rsid w:val="00353210"/>
    <w:rsid w:val="003542C9"/>
    <w:rsid w:val="003609CF"/>
    <w:rsid w:val="00361860"/>
    <w:rsid w:val="00363135"/>
    <w:rsid w:val="00363ED1"/>
    <w:rsid w:val="003649A3"/>
    <w:rsid w:val="003650B7"/>
    <w:rsid w:val="0036567A"/>
    <w:rsid w:val="003660C4"/>
    <w:rsid w:val="00366813"/>
    <w:rsid w:val="00366D16"/>
    <w:rsid w:val="003673A8"/>
    <w:rsid w:val="0037002C"/>
    <w:rsid w:val="00371065"/>
    <w:rsid w:val="00373336"/>
    <w:rsid w:val="00373D6C"/>
    <w:rsid w:val="003755DF"/>
    <w:rsid w:val="003762B2"/>
    <w:rsid w:val="00376313"/>
    <w:rsid w:val="0037775A"/>
    <w:rsid w:val="00377C2B"/>
    <w:rsid w:val="003806E4"/>
    <w:rsid w:val="0038148E"/>
    <w:rsid w:val="003816B6"/>
    <w:rsid w:val="003817E6"/>
    <w:rsid w:val="00381959"/>
    <w:rsid w:val="00382B44"/>
    <w:rsid w:val="00382F6E"/>
    <w:rsid w:val="0038479A"/>
    <w:rsid w:val="00384DB5"/>
    <w:rsid w:val="00385201"/>
    <w:rsid w:val="0038574F"/>
    <w:rsid w:val="00385D1C"/>
    <w:rsid w:val="00386994"/>
    <w:rsid w:val="003877E5"/>
    <w:rsid w:val="00387B53"/>
    <w:rsid w:val="0039018C"/>
    <w:rsid w:val="00391F33"/>
    <w:rsid w:val="003925B9"/>
    <w:rsid w:val="003925E6"/>
    <w:rsid w:val="00394C89"/>
    <w:rsid w:val="00396660"/>
    <w:rsid w:val="00396D8D"/>
    <w:rsid w:val="003973EA"/>
    <w:rsid w:val="003A158C"/>
    <w:rsid w:val="003A169E"/>
    <w:rsid w:val="003A1A37"/>
    <w:rsid w:val="003A1D18"/>
    <w:rsid w:val="003A29F8"/>
    <w:rsid w:val="003A2FE4"/>
    <w:rsid w:val="003A3645"/>
    <w:rsid w:val="003A3991"/>
    <w:rsid w:val="003A6729"/>
    <w:rsid w:val="003B3134"/>
    <w:rsid w:val="003B35AF"/>
    <w:rsid w:val="003B5B8B"/>
    <w:rsid w:val="003B763A"/>
    <w:rsid w:val="003B7FFC"/>
    <w:rsid w:val="003C1AF2"/>
    <w:rsid w:val="003C22BA"/>
    <w:rsid w:val="003C46C4"/>
    <w:rsid w:val="003C4857"/>
    <w:rsid w:val="003C4A2E"/>
    <w:rsid w:val="003C5226"/>
    <w:rsid w:val="003C5B40"/>
    <w:rsid w:val="003C7BDE"/>
    <w:rsid w:val="003C7C66"/>
    <w:rsid w:val="003D0D59"/>
    <w:rsid w:val="003D2A1A"/>
    <w:rsid w:val="003D349B"/>
    <w:rsid w:val="003D36D3"/>
    <w:rsid w:val="003D5573"/>
    <w:rsid w:val="003D6CA9"/>
    <w:rsid w:val="003D74E4"/>
    <w:rsid w:val="003E04DE"/>
    <w:rsid w:val="003E1A8C"/>
    <w:rsid w:val="003E30B9"/>
    <w:rsid w:val="003E3AA0"/>
    <w:rsid w:val="003E5989"/>
    <w:rsid w:val="003E640D"/>
    <w:rsid w:val="003F087D"/>
    <w:rsid w:val="003F153C"/>
    <w:rsid w:val="003F1A05"/>
    <w:rsid w:val="003F2327"/>
    <w:rsid w:val="003F24CF"/>
    <w:rsid w:val="003F27B4"/>
    <w:rsid w:val="003F2A79"/>
    <w:rsid w:val="003F2B44"/>
    <w:rsid w:val="003F3742"/>
    <w:rsid w:val="003F5773"/>
    <w:rsid w:val="003F6741"/>
    <w:rsid w:val="003F6A43"/>
    <w:rsid w:val="003F6DBB"/>
    <w:rsid w:val="003F7075"/>
    <w:rsid w:val="004010B2"/>
    <w:rsid w:val="00402B8A"/>
    <w:rsid w:val="00402D95"/>
    <w:rsid w:val="004033AA"/>
    <w:rsid w:val="004055B7"/>
    <w:rsid w:val="004069DC"/>
    <w:rsid w:val="004073EC"/>
    <w:rsid w:val="0041047E"/>
    <w:rsid w:val="0041062B"/>
    <w:rsid w:val="004115A9"/>
    <w:rsid w:val="00412426"/>
    <w:rsid w:val="004125CC"/>
    <w:rsid w:val="00415BBA"/>
    <w:rsid w:val="00416570"/>
    <w:rsid w:val="004165ED"/>
    <w:rsid w:val="00417FE0"/>
    <w:rsid w:val="004200CA"/>
    <w:rsid w:val="004201F3"/>
    <w:rsid w:val="004204B0"/>
    <w:rsid w:val="0042060F"/>
    <w:rsid w:val="004208BA"/>
    <w:rsid w:val="00420B0A"/>
    <w:rsid w:val="00422B59"/>
    <w:rsid w:val="004230FD"/>
    <w:rsid w:val="0042329B"/>
    <w:rsid w:val="00423B76"/>
    <w:rsid w:val="00424819"/>
    <w:rsid w:val="00425C7A"/>
    <w:rsid w:val="0042606D"/>
    <w:rsid w:val="004270C9"/>
    <w:rsid w:val="0042752E"/>
    <w:rsid w:val="00427D77"/>
    <w:rsid w:val="004301B7"/>
    <w:rsid w:val="00430584"/>
    <w:rsid w:val="00430C71"/>
    <w:rsid w:val="00430DD2"/>
    <w:rsid w:val="00431B25"/>
    <w:rsid w:val="00431C6E"/>
    <w:rsid w:val="0043259F"/>
    <w:rsid w:val="004342B0"/>
    <w:rsid w:val="00434D08"/>
    <w:rsid w:val="004353B9"/>
    <w:rsid w:val="004366B6"/>
    <w:rsid w:val="0043680F"/>
    <w:rsid w:val="00440DE2"/>
    <w:rsid w:val="00440FFF"/>
    <w:rsid w:val="00441ED1"/>
    <w:rsid w:val="00442D97"/>
    <w:rsid w:val="0044334C"/>
    <w:rsid w:val="0044347D"/>
    <w:rsid w:val="00443AC4"/>
    <w:rsid w:val="00443E40"/>
    <w:rsid w:val="004451A0"/>
    <w:rsid w:val="004453FE"/>
    <w:rsid w:val="004462CA"/>
    <w:rsid w:val="004463E7"/>
    <w:rsid w:val="00446523"/>
    <w:rsid w:val="004474F6"/>
    <w:rsid w:val="0044771B"/>
    <w:rsid w:val="00447D25"/>
    <w:rsid w:val="004503CD"/>
    <w:rsid w:val="00452532"/>
    <w:rsid w:val="004541E9"/>
    <w:rsid w:val="00455430"/>
    <w:rsid w:val="0045555D"/>
    <w:rsid w:val="00460076"/>
    <w:rsid w:val="00460A9F"/>
    <w:rsid w:val="00461066"/>
    <w:rsid w:val="00461793"/>
    <w:rsid w:val="00462A70"/>
    <w:rsid w:val="00462F6C"/>
    <w:rsid w:val="0046459D"/>
    <w:rsid w:val="00464FBC"/>
    <w:rsid w:val="004666B2"/>
    <w:rsid w:val="0046782B"/>
    <w:rsid w:val="004712BB"/>
    <w:rsid w:val="00471CFD"/>
    <w:rsid w:val="0047277C"/>
    <w:rsid w:val="00472A76"/>
    <w:rsid w:val="004731D3"/>
    <w:rsid w:val="00473FD1"/>
    <w:rsid w:val="0047648F"/>
    <w:rsid w:val="0047701A"/>
    <w:rsid w:val="00477C9E"/>
    <w:rsid w:val="00481955"/>
    <w:rsid w:val="00481DE0"/>
    <w:rsid w:val="004823C3"/>
    <w:rsid w:val="00482C36"/>
    <w:rsid w:val="00483359"/>
    <w:rsid w:val="0048385E"/>
    <w:rsid w:val="00483D60"/>
    <w:rsid w:val="00485AFA"/>
    <w:rsid w:val="00485EF5"/>
    <w:rsid w:val="00487125"/>
    <w:rsid w:val="00487190"/>
    <w:rsid w:val="0048737A"/>
    <w:rsid w:val="00490018"/>
    <w:rsid w:val="004902D0"/>
    <w:rsid w:val="00491482"/>
    <w:rsid w:val="00491A28"/>
    <w:rsid w:val="00491FDA"/>
    <w:rsid w:val="0049224C"/>
    <w:rsid w:val="00492EBF"/>
    <w:rsid w:val="0049440F"/>
    <w:rsid w:val="0049514F"/>
    <w:rsid w:val="0049516A"/>
    <w:rsid w:val="0049655A"/>
    <w:rsid w:val="0049659F"/>
    <w:rsid w:val="00496851"/>
    <w:rsid w:val="00496F2A"/>
    <w:rsid w:val="00497A5C"/>
    <w:rsid w:val="004A1AAB"/>
    <w:rsid w:val="004A2865"/>
    <w:rsid w:val="004A3081"/>
    <w:rsid w:val="004A3089"/>
    <w:rsid w:val="004A52E6"/>
    <w:rsid w:val="004A5B49"/>
    <w:rsid w:val="004A7FCC"/>
    <w:rsid w:val="004B0011"/>
    <w:rsid w:val="004B0671"/>
    <w:rsid w:val="004B1F16"/>
    <w:rsid w:val="004B28E6"/>
    <w:rsid w:val="004B3F0D"/>
    <w:rsid w:val="004B4474"/>
    <w:rsid w:val="004B4502"/>
    <w:rsid w:val="004B4F6C"/>
    <w:rsid w:val="004B5AA1"/>
    <w:rsid w:val="004B76F5"/>
    <w:rsid w:val="004C0FC0"/>
    <w:rsid w:val="004C1399"/>
    <w:rsid w:val="004C17B8"/>
    <w:rsid w:val="004C1C31"/>
    <w:rsid w:val="004C1C85"/>
    <w:rsid w:val="004C24B5"/>
    <w:rsid w:val="004C48F7"/>
    <w:rsid w:val="004C499F"/>
    <w:rsid w:val="004C49EE"/>
    <w:rsid w:val="004C5152"/>
    <w:rsid w:val="004C5A9C"/>
    <w:rsid w:val="004C5AD6"/>
    <w:rsid w:val="004C5DE1"/>
    <w:rsid w:val="004C5E63"/>
    <w:rsid w:val="004C796A"/>
    <w:rsid w:val="004D039B"/>
    <w:rsid w:val="004D0A60"/>
    <w:rsid w:val="004D14BF"/>
    <w:rsid w:val="004D196A"/>
    <w:rsid w:val="004D2653"/>
    <w:rsid w:val="004D31A7"/>
    <w:rsid w:val="004D3F60"/>
    <w:rsid w:val="004D4028"/>
    <w:rsid w:val="004D5105"/>
    <w:rsid w:val="004D519E"/>
    <w:rsid w:val="004E0C3C"/>
    <w:rsid w:val="004E26A7"/>
    <w:rsid w:val="004E36D2"/>
    <w:rsid w:val="004E3891"/>
    <w:rsid w:val="004E389E"/>
    <w:rsid w:val="004E4565"/>
    <w:rsid w:val="004E4DB8"/>
    <w:rsid w:val="004E5538"/>
    <w:rsid w:val="004E5A0A"/>
    <w:rsid w:val="004E617A"/>
    <w:rsid w:val="004E6B34"/>
    <w:rsid w:val="004E757D"/>
    <w:rsid w:val="004F2F59"/>
    <w:rsid w:val="004F3AC5"/>
    <w:rsid w:val="004F4704"/>
    <w:rsid w:val="004F5247"/>
    <w:rsid w:val="004F6949"/>
    <w:rsid w:val="004F7089"/>
    <w:rsid w:val="004F7469"/>
    <w:rsid w:val="004F746A"/>
    <w:rsid w:val="005002D9"/>
    <w:rsid w:val="00501844"/>
    <w:rsid w:val="005022A4"/>
    <w:rsid w:val="00502FC1"/>
    <w:rsid w:val="00503414"/>
    <w:rsid w:val="00503690"/>
    <w:rsid w:val="00506302"/>
    <w:rsid w:val="00506497"/>
    <w:rsid w:val="005134DF"/>
    <w:rsid w:val="00514AA3"/>
    <w:rsid w:val="00514D49"/>
    <w:rsid w:val="00516A95"/>
    <w:rsid w:val="00517658"/>
    <w:rsid w:val="0052219E"/>
    <w:rsid w:val="005234E9"/>
    <w:rsid w:val="0052366F"/>
    <w:rsid w:val="00523E4F"/>
    <w:rsid w:val="00524001"/>
    <w:rsid w:val="00524613"/>
    <w:rsid w:val="005277B9"/>
    <w:rsid w:val="00527EFE"/>
    <w:rsid w:val="00530213"/>
    <w:rsid w:val="0053027D"/>
    <w:rsid w:val="00530CB3"/>
    <w:rsid w:val="00530D77"/>
    <w:rsid w:val="005326B1"/>
    <w:rsid w:val="00532968"/>
    <w:rsid w:val="00533FB2"/>
    <w:rsid w:val="00534C78"/>
    <w:rsid w:val="00536180"/>
    <w:rsid w:val="00536A53"/>
    <w:rsid w:val="005379FA"/>
    <w:rsid w:val="00537AC0"/>
    <w:rsid w:val="005408B4"/>
    <w:rsid w:val="00540E01"/>
    <w:rsid w:val="005412B6"/>
    <w:rsid w:val="0054152E"/>
    <w:rsid w:val="00542041"/>
    <w:rsid w:val="00543FDF"/>
    <w:rsid w:val="00544A21"/>
    <w:rsid w:val="005454B4"/>
    <w:rsid w:val="00545C8A"/>
    <w:rsid w:val="005470D3"/>
    <w:rsid w:val="00550F4A"/>
    <w:rsid w:val="00551888"/>
    <w:rsid w:val="00552A86"/>
    <w:rsid w:val="00552B80"/>
    <w:rsid w:val="005535D8"/>
    <w:rsid w:val="00554321"/>
    <w:rsid w:val="00554699"/>
    <w:rsid w:val="0055771D"/>
    <w:rsid w:val="005603E6"/>
    <w:rsid w:val="00560764"/>
    <w:rsid w:val="00561C5E"/>
    <w:rsid w:val="00562219"/>
    <w:rsid w:val="005630C1"/>
    <w:rsid w:val="0056455A"/>
    <w:rsid w:val="005647AD"/>
    <w:rsid w:val="00564FE4"/>
    <w:rsid w:val="00565F44"/>
    <w:rsid w:val="00566270"/>
    <w:rsid w:val="005679F3"/>
    <w:rsid w:val="00567C53"/>
    <w:rsid w:val="00567D47"/>
    <w:rsid w:val="00567EC7"/>
    <w:rsid w:val="0057048B"/>
    <w:rsid w:val="00571400"/>
    <w:rsid w:val="00571C09"/>
    <w:rsid w:val="00572B03"/>
    <w:rsid w:val="00573991"/>
    <w:rsid w:val="005741F1"/>
    <w:rsid w:val="00574CB3"/>
    <w:rsid w:val="005764D6"/>
    <w:rsid w:val="0057652A"/>
    <w:rsid w:val="0057745E"/>
    <w:rsid w:val="00580E9C"/>
    <w:rsid w:val="00581CEE"/>
    <w:rsid w:val="00581FF5"/>
    <w:rsid w:val="0058286F"/>
    <w:rsid w:val="00582DFF"/>
    <w:rsid w:val="0058300A"/>
    <w:rsid w:val="00583D9A"/>
    <w:rsid w:val="00584472"/>
    <w:rsid w:val="0058475A"/>
    <w:rsid w:val="00585052"/>
    <w:rsid w:val="005859B5"/>
    <w:rsid w:val="00586CC7"/>
    <w:rsid w:val="005872BC"/>
    <w:rsid w:val="00587B23"/>
    <w:rsid w:val="00590582"/>
    <w:rsid w:val="00590CB4"/>
    <w:rsid w:val="005915EC"/>
    <w:rsid w:val="0059161F"/>
    <w:rsid w:val="00591C31"/>
    <w:rsid w:val="00592094"/>
    <w:rsid w:val="00594300"/>
    <w:rsid w:val="00594E20"/>
    <w:rsid w:val="00594E2C"/>
    <w:rsid w:val="00595786"/>
    <w:rsid w:val="0059589D"/>
    <w:rsid w:val="0059631F"/>
    <w:rsid w:val="005969DF"/>
    <w:rsid w:val="005A117C"/>
    <w:rsid w:val="005A19DC"/>
    <w:rsid w:val="005A1DA0"/>
    <w:rsid w:val="005A3429"/>
    <w:rsid w:val="005A344B"/>
    <w:rsid w:val="005A3527"/>
    <w:rsid w:val="005A3AD2"/>
    <w:rsid w:val="005A4764"/>
    <w:rsid w:val="005A48AF"/>
    <w:rsid w:val="005A48ED"/>
    <w:rsid w:val="005A6076"/>
    <w:rsid w:val="005A629E"/>
    <w:rsid w:val="005A79AF"/>
    <w:rsid w:val="005A7D54"/>
    <w:rsid w:val="005B18C8"/>
    <w:rsid w:val="005B3644"/>
    <w:rsid w:val="005B3AB9"/>
    <w:rsid w:val="005B570E"/>
    <w:rsid w:val="005B689D"/>
    <w:rsid w:val="005C1365"/>
    <w:rsid w:val="005C17C2"/>
    <w:rsid w:val="005C1C05"/>
    <w:rsid w:val="005C3223"/>
    <w:rsid w:val="005C36F9"/>
    <w:rsid w:val="005C40B3"/>
    <w:rsid w:val="005C4D92"/>
    <w:rsid w:val="005C4E73"/>
    <w:rsid w:val="005C5CC3"/>
    <w:rsid w:val="005C5DF7"/>
    <w:rsid w:val="005D08B5"/>
    <w:rsid w:val="005D18C4"/>
    <w:rsid w:val="005D2C22"/>
    <w:rsid w:val="005D32D5"/>
    <w:rsid w:val="005D4B03"/>
    <w:rsid w:val="005D54A8"/>
    <w:rsid w:val="005D6BC8"/>
    <w:rsid w:val="005D6E74"/>
    <w:rsid w:val="005D7753"/>
    <w:rsid w:val="005D7EB0"/>
    <w:rsid w:val="005E036B"/>
    <w:rsid w:val="005E0B4C"/>
    <w:rsid w:val="005E15DE"/>
    <w:rsid w:val="005E21F4"/>
    <w:rsid w:val="005E257B"/>
    <w:rsid w:val="005E3721"/>
    <w:rsid w:val="005E4C33"/>
    <w:rsid w:val="005E4F8F"/>
    <w:rsid w:val="005E5397"/>
    <w:rsid w:val="005E63AD"/>
    <w:rsid w:val="005E7458"/>
    <w:rsid w:val="005E7868"/>
    <w:rsid w:val="005F01A9"/>
    <w:rsid w:val="005F183A"/>
    <w:rsid w:val="005F24D2"/>
    <w:rsid w:val="005F296A"/>
    <w:rsid w:val="005F385F"/>
    <w:rsid w:val="005F4989"/>
    <w:rsid w:val="005F4C6A"/>
    <w:rsid w:val="005F505D"/>
    <w:rsid w:val="005F5617"/>
    <w:rsid w:val="005F65DC"/>
    <w:rsid w:val="005F7872"/>
    <w:rsid w:val="00600502"/>
    <w:rsid w:val="00600D76"/>
    <w:rsid w:val="00601836"/>
    <w:rsid w:val="006028F5"/>
    <w:rsid w:val="00602CF2"/>
    <w:rsid w:val="0060347E"/>
    <w:rsid w:val="006037CE"/>
    <w:rsid w:val="006038D2"/>
    <w:rsid w:val="006048C4"/>
    <w:rsid w:val="006060F4"/>
    <w:rsid w:val="006066CC"/>
    <w:rsid w:val="00607AC8"/>
    <w:rsid w:val="00610D76"/>
    <w:rsid w:val="00612C19"/>
    <w:rsid w:val="006135AC"/>
    <w:rsid w:val="00613F0C"/>
    <w:rsid w:val="00614C4D"/>
    <w:rsid w:val="00614EB1"/>
    <w:rsid w:val="006159A0"/>
    <w:rsid w:val="0061703F"/>
    <w:rsid w:val="006176B9"/>
    <w:rsid w:val="006179BB"/>
    <w:rsid w:val="00617BCB"/>
    <w:rsid w:val="0062257F"/>
    <w:rsid w:val="00622FB3"/>
    <w:rsid w:val="00623554"/>
    <w:rsid w:val="00623984"/>
    <w:rsid w:val="00624C3E"/>
    <w:rsid w:val="006262AB"/>
    <w:rsid w:val="00627387"/>
    <w:rsid w:val="00627A19"/>
    <w:rsid w:val="00627AC8"/>
    <w:rsid w:val="00630306"/>
    <w:rsid w:val="006304AE"/>
    <w:rsid w:val="00630751"/>
    <w:rsid w:val="00631610"/>
    <w:rsid w:val="006317A3"/>
    <w:rsid w:val="00631ED8"/>
    <w:rsid w:val="0063225B"/>
    <w:rsid w:val="00632308"/>
    <w:rsid w:val="00632D38"/>
    <w:rsid w:val="00633EC6"/>
    <w:rsid w:val="0063402C"/>
    <w:rsid w:val="00634314"/>
    <w:rsid w:val="00635477"/>
    <w:rsid w:val="0063554C"/>
    <w:rsid w:val="006364F7"/>
    <w:rsid w:val="006374D5"/>
    <w:rsid w:val="0064057F"/>
    <w:rsid w:val="00640A9B"/>
    <w:rsid w:val="0064150A"/>
    <w:rsid w:val="00641784"/>
    <w:rsid w:val="006427C8"/>
    <w:rsid w:val="00643B35"/>
    <w:rsid w:val="006459AD"/>
    <w:rsid w:val="00646324"/>
    <w:rsid w:val="00650B43"/>
    <w:rsid w:val="006522D7"/>
    <w:rsid w:val="00652CF5"/>
    <w:rsid w:val="006533E0"/>
    <w:rsid w:val="00654D36"/>
    <w:rsid w:val="006562FB"/>
    <w:rsid w:val="006566A8"/>
    <w:rsid w:val="00657E91"/>
    <w:rsid w:val="00660006"/>
    <w:rsid w:val="0066129C"/>
    <w:rsid w:val="00663521"/>
    <w:rsid w:val="00663DE9"/>
    <w:rsid w:val="00664CB9"/>
    <w:rsid w:val="006650C9"/>
    <w:rsid w:val="0066553E"/>
    <w:rsid w:val="00665A9E"/>
    <w:rsid w:val="006678F3"/>
    <w:rsid w:val="00670E96"/>
    <w:rsid w:val="00671021"/>
    <w:rsid w:val="00671D00"/>
    <w:rsid w:val="006732DA"/>
    <w:rsid w:val="00674DDF"/>
    <w:rsid w:val="00675173"/>
    <w:rsid w:val="006752E1"/>
    <w:rsid w:val="006767CD"/>
    <w:rsid w:val="00676902"/>
    <w:rsid w:val="00676B9B"/>
    <w:rsid w:val="00676E45"/>
    <w:rsid w:val="00677698"/>
    <w:rsid w:val="00677A1D"/>
    <w:rsid w:val="00680B6C"/>
    <w:rsid w:val="00680D77"/>
    <w:rsid w:val="00681498"/>
    <w:rsid w:val="0068156E"/>
    <w:rsid w:val="006828AE"/>
    <w:rsid w:val="00686DA2"/>
    <w:rsid w:val="0069085D"/>
    <w:rsid w:val="00690BC5"/>
    <w:rsid w:val="00691D36"/>
    <w:rsid w:val="006920A4"/>
    <w:rsid w:val="00692423"/>
    <w:rsid w:val="00692BAA"/>
    <w:rsid w:val="0069405D"/>
    <w:rsid w:val="006942AB"/>
    <w:rsid w:val="006956DD"/>
    <w:rsid w:val="00695ECB"/>
    <w:rsid w:val="00696DB0"/>
    <w:rsid w:val="0069709B"/>
    <w:rsid w:val="00697AA6"/>
    <w:rsid w:val="006A0060"/>
    <w:rsid w:val="006A1984"/>
    <w:rsid w:val="006A24C4"/>
    <w:rsid w:val="006A4692"/>
    <w:rsid w:val="006B1EB6"/>
    <w:rsid w:val="006B1F20"/>
    <w:rsid w:val="006B20E5"/>
    <w:rsid w:val="006B239D"/>
    <w:rsid w:val="006B2897"/>
    <w:rsid w:val="006B3782"/>
    <w:rsid w:val="006B4F60"/>
    <w:rsid w:val="006B5109"/>
    <w:rsid w:val="006B69CC"/>
    <w:rsid w:val="006B6A8F"/>
    <w:rsid w:val="006B6C04"/>
    <w:rsid w:val="006C0F90"/>
    <w:rsid w:val="006C1572"/>
    <w:rsid w:val="006C1AC8"/>
    <w:rsid w:val="006C2081"/>
    <w:rsid w:val="006C22A2"/>
    <w:rsid w:val="006C2BB1"/>
    <w:rsid w:val="006C36A0"/>
    <w:rsid w:val="006C3E9B"/>
    <w:rsid w:val="006C5187"/>
    <w:rsid w:val="006C7019"/>
    <w:rsid w:val="006D059A"/>
    <w:rsid w:val="006D0923"/>
    <w:rsid w:val="006D0C4E"/>
    <w:rsid w:val="006D31CE"/>
    <w:rsid w:val="006D33B9"/>
    <w:rsid w:val="006D436C"/>
    <w:rsid w:val="006D51CA"/>
    <w:rsid w:val="006D5B64"/>
    <w:rsid w:val="006E0921"/>
    <w:rsid w:val="006E12C8"/>
    <w:rsid w:val="006E1902"/>
    <w:rsid w:val="006E19A9"/>
    <w:rsid w:val="006E2EEC"/>
    <w:rsid w:val="006E32F3"/>
    <w:rsid w:val="006E42D0"/>
    <w:rsid w:val="006E5BBB"/>
    <w:rsid w:val="006E63FA"/>
    <w:rsid w:val="006E69AD"/>
    <w:rsid w:val="006E6C03"/>
    <w:rsid w:val="006E7065"/>
    <w:rsid w:val="006F0023"/>
    <w:rsid w:val="006F385D"/>
    <w:rsid w:val="006F3CC3"/>
    <w:rsid w:val="006F4529"/>
    <w:rsid w:val="006F4E32"/>
    <w:rsid w:val="006F647D"/>
    <w:rsid w:val="006F7449"/>
    <w:rsid w:val="006F75B4"/>
    <w:rsid w:val="006F787B"/>
    <w:rsid w:val="00701DC4"/>
    <w:rsid w:val="00704DDE"/>
    <w:rsid w:val="0070568D"/>
    <w:rsid w:val="00706074"/>
    <w:rsid w:val="007072B0"/>
    <w:rsid w:val="0070738D"/>
    <w:rsid w:val="0070743F"/>
    <w:rsid w:val="00711B66"/>
    <w:rsid w:val="00712F87"/>
    <w:rsid w:val="0071460C"/>
    <w:rsid w:val="00715147"/>
    <w:rsid w:val="00715259"/>
    <w:rsid w:val="00715CFA"/>
    <w:rsid w:val="00717E57"/>
    <w:rsid w:val="00717EDC"/>
    <w:rsid w:val="00720FFE"/>
    <w:rsid w:val="0072210A"/>
    <w:rsid w:val="00722860"/>
    <w:rsid w:val="00722DF7"/>
    <w:rsid w:val="0072311B"/>
    <w:rsid w:val="00724E72"/>
    <w:rsid w:val="0072584C"/>
    <w:rsid w:val="00725DDE"/>
    <w:rsid w:val="00726226"/>
    <w:rsid w:val="007276BC"/>
    <w:rsid w:val="00730013"/>
    <w:rsid w:val="007301CB"/>
    <w:rsid w:val="007301E5"/>
    <w:rsid w:val="00730291"/>
    <w:rsid w:val="00731D0C"/>
    <w:rsid w:val="00731EDA"/>
    <w:rsid w:val="007323F3"/>
    <w:rsid w:val="00732CAF"/>
    <w:rsid w:val="00732EB8"/>
    <w:rsid w:val="00733D9C"/>
    <w:rsid w:val="00734381"/>
    <w:rsid w:val="00734425"/>
    <w:rsid w:val="007347ED"/>
    <w:rsid w:val="00741BB8"/>
    <w:rsid w:val="00741ED6"/>
    <w:rsid w:val="00742681"/>
    <w:rsid w:val="007439E8"/>
    <w:rsid w:val="007441C3"/>
    <w:rsid w:val="00744768"/>
    <w:rsid w:val="007448CC"/>
    <w:rsid w:val="00745885"/>
    <w:rsid w:val="00747140"/>
    <w:rsid w:val="00747374"/>
    <w:rsid w:val="00747812"/>
    <w:rsid w:val="00747A87"/>
    <w:rsid w:val="007510D1"/>
    <w:rsid w:val="0075126C"/>
    <w:rsid w:val="00751852"/>
    <w:rsid w:val="00751EC6"/>
    <w:rsid w:val="00753213"/>
    <w:rsid w:val="0075734B"/>
    <w:rsid w:val="00760CCD"/>
    <w:rsid w:val="007617B0"/>
    <w:rsid w:val="00761A2E"/>
    <w:rsid w:val="007626B1"/>
    <w:rsid w:val="0076503C"/>
    <w:rsid w:val="0076576C"/>
    <w:rsid w:val="007667FE"/>
    <w:rsid w:val="00767040"/>
    <w:rsid w:val="00767CB5"/>
    <w:rsid w:val="00770B36"/>
    <w:rsid w:val="00770BB3"/>
    <w:rsid w:val="00771633"/>
    <w:rsid w:val="00772003"/>
    <w:rsid w:val="007732F4"/>
    <w:rsid w:val="00773410"/>
    <w:rsid w:val="0077370B"/>
    <w:rsid w:val="007739AB"/>
    <w:rsid w:val="00774375"/>
    <w:rsid w:val="00774635"/>
    <w:rsid w:val="007746AC"/>
    <w:rsid w:val="00774774"/>
    <w:rsid w:val="00774996"/>
    <w:rsid w:val="00774D6B"/>
    <w:rsid w:val="00774D77"/>
    <w:rsid w:val="007750C1"/>
    <w:rsid w:val="00775641"/>
    <w:rsid w:val="00776158"/>
    <w:rsid w:val="00776518"/>
    <w:rsid w:val="0077742E"/>
    <w:rsid w:val="00777FBD"/>
    <w:rsid w:val="0078379D"/>
    <w:rsid w:val="007837E9"/>
    <w:rsid w:val="00785E18"/>
    <w:rsid w:val="007865F2"/>
    <w:rsid w:val="0078667B"/>
    <w:rsid w:val="00786919"/>
    <w:rsid w:val="00787629"/>
    <w:rsid w:val="00787B5F"/>
    <w:rsid w:val="007903EB"/>
    <w:rsid w:val="00790CD3"/>
    <w:rsid w:val="0079135A"/>
    <w:rsid w:val="007920D2"/>
    <w:rsid w:val="007929AE"/>
    <w:rsid w:val="00792B42"/>
    <w:rsid w:val="00793978"/>
    <w:rsid w:val="00793BEE"/>
    <w:rsid w:val="00793FED"/>
    <w:rsid w:val="00796992"/>
    <w:rsid w:val="007A000E"/>
    <w:rsid w:val="007A0682"/>
    <w:rsid w:val="007A1BD9"/>
    <w:rsid w:val="007A446B"/>
    <w:rsid w:val="007A45AA"/>
    <w:rsid w:val="007A55DE"/>
    <w:rsid w:val="007A58D9"/>
    <w:rsid w:val="007A5C94"/>
    <w:rsid w:val="007A684E"/>
    <w:rsid w:val="007B0088"/>
    <w:rsid w:val="007B22E7"/>
    <w:rsid w:val="007B34B9"/>
    <w:rsid w:val="007B37D1"/>
    <w:rsid w:val="007B56E5"/>
    <w:rsid w:val="007B650E"/>
    <w:rsid w:val="007B66B6"/>
    <w:rsid w:val="007B6ED1"/>
    <w:rsid w:val="007B7ED3"/>
    <w:rsid w:val="007C16AB"/>
    <w:rsid w:val="007C1FEA"/>
    <w:rsid w:val="007C3731"/>
    <w:rsid w:val="007C3F27"/>
    <w:rsid w:val="007C3F94"/>
    <w:rsid w:val="007C442A"/>
    <w:rsid w:val="007C4D7E"/>
    <w:rsid w:val="007C5061"/>
    <w:rsid w:val="007C53E9"/>
    <w:rsid w:val="007C57E7"/>
    <w:rsid w:val="007C6845"/>
    <w:rsid w:val="007C6A91"/>
    <w:rsid w:val="007C7B3C"/>
    <w:rsid w:val="007D0F32"/>
    <w:rsid w:val="007D1449"/>
    <w:rsid w:val="007D230E"/>
    <w:rsid w:val="007D2427"/>
    <w:rsid w:val="007D289A"/>
    <w:rsid w:val="007D49D2"/>
    <w:rsid w:val="007D4B55"/>
    <w:rsid w:val="007D5946"/>
    <w:rsid w:val="007D5AA9"/>
    <w:rsid w:val="007D66B7"/>
    <w:rsid w:val="007D6B07"/>
    <w:rsid w:val="007D6FD0"/>
    <w:rsid w:val="007D71DC"/>
    <w:rsid w:val="007E10DF"/>
    <w:rsid w:val="007E25B4"/>
    <w:rsid w:val="007E2AFA"/>
    <w:rsid w:val="007E39C5"/>
    <w:rsid w:val="007E403D"/>
    <w:rsid w:val="007E417E"/>
    <w:rsid w:val="007E4BB2"/>
    <w:rsid w:val="007E57F9"/>
    <w:rsid w:val="007E5E5E"/>
    <w:rsid w:val="007E60D1"/>
    <w:rsid w:val="007E75CB"/>
    <w:rsid w:val="007F02FC"/>
    <w:rsid w:val="007F05C0"/>
    <w:rsid w:val="007F0678"/>
    <w:rsid w:val="007F0C3B"/>
    <w:rsid w:val="007F15CE"/>
    <w:rsid w:val="007F1D1C"/>
    <w:rsid w:val="007F2193"/>
    <w:rsid w:val="007F24E3"/>
    <w:rsid w:val="007F2996"/>
    <w:rsid w:val="007F3C51"/>
    <w:rsid w:val="007F47A5"/>
    <w:rsid w:val="007F4C12"/>
    <w:rsid w:val="007F4E1D"/>
    <w:rsid w:val="007F5129"/>
    <w:rsid w:val="007F5558"/>
    <w:rsid w:val="007F6C0C"/>
    <w:rsid w:val="007F7163"/>
    <w:rsid w:val="007F7337"/>
    <w:rsid w:val="007F7EAE"/>
    <w:rsid w:val="00800A64"/>
    <w:rsid w:val="00800F80"/>
    <w:rsid w:val="00801104"/>
    <w:rsid w:val="0080122C"/>
    <w:rsid w:val="008032D1"/>
    <w:rsid w:val="0080365C"/>
    <w:rsid w:val="00805C55"/>
    <w:rsid w:val="00806B0F"/>
    <w:rsid w:val="00806D4A"/>
    <w:rsid w:val="0080767A"/>
    <w:rsid w:val="0081051B"/>
    <w:rsid w:val="00811936"/>
    <w:rsid w:val="008119D5"/>
    <w:rsid w:val="00814BC7"/>
    <w:rsid w:val="00816DD5"/>
    <w:rsid w:val="00817998"/>
    <w:rsid w:val="00820F20"/>
    <w:rsid w:val="0082447C"/>
    <w:rsid w:val="00824987"/>
    <w:rsid w:val="008260E3"/>
    <w:rsid w:val="00826B30"/>
    <w:rsid w:val="00826DB6"/>
    <w:rsid w:val="0082728C"/>
    <w:rsid w:val="008279EE"/>
    <w:rsid w:val="00827FB7"/>
    <w:rsid w:val="00830754"/>
    <w:rsid w:val="00831DBA"/>
    <w:rsid w:val="0083373E"/>
    <w:rsid w:val="008338A4"/>
    <w:rsid w:val="00833976"/>
    <w:rsid w:val="0083399D"/>
    <w:rsid w:val="00833DF2"/>
    <w:rsid w:val="0083515E"/>
    <w:rsid w:val="00835537"/>
    <w:rsid w:val="008360DA"/>
    <w:rsid w:val="00836404"/>
    <w:rsid w:val="00836DFE"/>
    <w:rsid w:val="0083715F"/>
    <w:rsid w:val="00837B78"/>
    <w:rsid w:val="00840F4B"/>
    <w:rsid w:val="008413E5"/>
    <w:rsid w:val="00844A85"/>
    <w:rsid w:val="00844DAD"/>
    <w:rsid w:val="00846F53"/>
    <w:rsid w:val="008472C7"/>
    <w:rsid w:val="00850401"/>
    <w:rsid w:val="00851C59"/>
    <w:rsid w:val="00852145"/>
    <w:rsid w:val="0085292F"/>
    <w:rsid w:val="00852AC0"/>
    <w:rsid w:val="00853D64"/>
    <w:rsid w:val="00853FFE"/>
    <w:rsid w:val="00854202"/>
    <w:rsid w:val="008571AD"/>
    <w:rsid w:val="0085747F"/>
    <w:rsid w:val="008576ED"/>
    <w:rsid w:val="00857E12"/>
    <w:rsid w:val="0086058F"/>
    <w:rsid w:val="008611D9"/>
    <w:rsid w:val="008619ED"/>
    <w:rsid w:val="00862331"/>
    <w:rsid w:val="00862C16"/>
    <w:rsid w:val="0086443E"/>
    <w:rsid w:val="00864C60"/>
    <w:rsid w:val="008658B5"/>
    <w:rsid w:val="008672CC"/>
    <w:rsid w:val="00867850"/>
    <w:rsid w:val="008678D9"/>
    <w:rsid w:val="008720C2"/>
    <w:rsid w:val="00872609"/>
    <w:rsid w:val="00872AB7"/>
    <w:rsid w:val="00872CB9"/>
    <w:rsid w:val="00873E3E"/>
    <w:rsid w:val="008749D7"/>
    <w:rsid w:val="00875B7D"/>
    <w:rsid w:val="00875C7C"/>
    <w:rsid w:val="00875FEE"/>
    <w:rsid w:val="00876554"/>
    <w:rsid w:val="00880C92"/>
    <w:rsid w:val="008814D3"/>
    <w:rsid w:val="00881D98"/>
    <w:rsid w:val="00881F76"/>
    <w:rsid w:val="00882023"/>
    <w:rsid w:val="00882D38"/>
    <w:rsid w:val="008836EE"/>
    <w:rsid w:val="00883843"/>
    <w:rsid w:val="0088468D"/>
    <w:rsid w:val="00885655"/>
    <w:rsid w:val="00885CDC"/>
    <w:rsid w:val="00885DB7"/>
    <w:rsid w:val="00887866"/>
    <w:rsid w:val="0089022B"/>
    <w:rsid w:val="00890D56"/>
    <w:rsid w:val="00891086"/>
    <w:rsid w:val="00891495"/>
    <w:rsid w:val="008919CF"/>
    <w:rsid w:val="00891C63"/>
    <w:rsid w:val="008921E9"/>
    <w:rsid w:val="00893E7A"/>
    <w:rsid w:val="00895236"/>
    <w:rsid w:val="00895AD0"/>
    <w:rsid w:val="00895FCB"/>
    <w:rsid w:val="008960ED"/>
    <w:rsid w:val="008A0649"/>
    <w:rsid w:val="008A0792"/>
    <w:rsid w:val="008A0A43"/>
    <w:rsid w:val="008A0FB3"/>
    <w:rsid w:val="008A21E7"/>
    <w:rsid w:val="008A2973"/>
    <w:rsid w:val="008A31B4"/>
    <w:rsid w:val="008A47D9"/>
    <w:rsid w:val="008A4AF7"/>
    <w:rsid w:val="008A678E"/>
    <w:rsid w:val="008A6E90"/>
    <w:rsid w:val="008A71FF"/>
    <w:rsid w:val="008A784B"/>
    <w:rsid w:val="008A7BCF"/>
    <w:rsid w:val="008A7EEB"/>
    <w:rsid w:val="008B098D"/>
    <w:rsid w:val="008B1177"/>
    <w:rsid w:val="008B124B"/>
    <w:rsid w:val="008B1F47"/>
    <w:rsid w:val="008B2A56"/>
    <w:rsid w:val="008B3A63"/>
    <w:rsid w:val="008B4122"/>
    <w:rsid w:val="008B4456"/>
    <w:rsid w:val="008B5323"/>
    <w:rsid w:val="008B657B"/>
    <w:rsid w:val="008B6E17"/>
    <w:rsid w:val="008B7CBC"/>
    <w:rsid w:val="008C06E3"/>
    <w:rsid w:val="008C0826"/>
    <w:rsid w:val="008C1802"/>
    <w:rsid w:val="008C193C"/>
    <w:rsid w:val="008C1D43"/>
    <w:rsid w:val="008C234E"/>
    <w:rsid w:val="008C30C6"/>
    <w:rsid w:val="008C3B21"/>
    <w:rsid w:val="008C598B"/>
    <w:rsid w:val="008C5F46"/>
    <w:rsid w:val="008C623B"/>
    <w:rsid w:val="008C6855"/>
    <w:rsid w:val="008C703C"/>
    <w:rsid w:val="008D0107"/>
    <w:rsid w:val="008D0BA0"/>
    <w:rsid w:val="008D2B8F"/>
    <w:rsid w:val="008D4A44"/>
    <w:rsid w:val="008D5548"/>
    <w:rsid w:val="008D5DB4"/>
    <w:rsid w:val="008D5E06"/>
    <w:rsid w:val="008D6941"/>
    <w:rsid w:val="008D72AE"/>
    <w:rsid w:val="008D7755"/>
    <w:rsid w:val="008E089B"/>
    <w:rsid w:val="008E0946"/>
    <w:rsid w:val="008E1655"/>
    <w:rsid w:val="008E1951"/>
    <w:rsid w:val="008E3216"/>
    <w:rsid w:val="008E44CE"/>
    <w:rsid w:val="008E6387"/>
    <w:rsid w:val="008E6F41"/>
    <w:rsid w:val="008F17E5"/>
    <w:rsid w:val="008F1FFD"/>
    <w:rsid w:val="008F362E"/>
    <w:rsid w:val="008F3832"/>
    <w:rsid w:val="008F44C6"/>
    <w:rsid w:val="008F4D0A"/>
    <w:rsid w:val="008F50AE"/>
    <w:rsid w:val="008F51D3"/>
    <w:rsid w:val="008F5AF5"/>
    <w:rsid w:val="008F62BC"/>
    <w:rsid w:val="008F7110"/>
    <w:rsid w:val="008F75E9"/>
    <w:rsid w:val="00901F93"/>
    <w:rsid w:val="0090212F"/>
    <w:rsid w:val="0090282D"/>
    <w:rsid w:val="009048C4"/>
    <w:rsid w:val="00904A4B"/>
    <w:rsid w:val="0090568D"/>
    <w:rsid w:val="0090680B"/>
    <w:rsid w:val="00906AFD"/>
    <w:rsid w:val="009108A0"/>
    <w:rsid w:val="009110BC"/>
    <w:rsid w:val="00911229"/>
    <w:rsid w:val="00911BF3"/>
    <w:rsid w:val="00913C94"/>
    <w:rsid w:val="009159F1"/>
    <w:rsid w:val="00915AA7"/>
    <w:rsid w:val="0091603C"/>
    <w:rsid w:val="00916C07"/>
    <w:rsid w:val="00916CCA"/>
    <w:rsid w:val="0091730A"/>
    <w:rsid w:val="0091777D"/>
    <w:rsid w:val="00917800"/>
    <w:rsid w:val="00921253"/>
    <w:rsid w:val="00922013"/>
    <w:rsid w:val="0092364B"/>
    <w:rsid w:val="0092436E"/>
    <w:rsid w:val="009253FD"/>
    <w:rsid w:val="00925E5E"/>
    <w:rsid w:val="00927668"/>
    <w:rsid w:val="00930536"/>
    <w:rsid w:val="00930BCD"/>
    <w:rsid w:val="009311C4"/>
    <w:rsid w:val="00931762"/>
    <w:rsid w:val="00932190"/>
    <w:rsid w:val="00935BBA"/>
    <w:rsid w:val="00935FAB"/>
    <w:rsid w:val="0093617F"/>
    <w:rsid w:val="009407E3"/>
    <w:rsid w:val="00941D4C"/>
    <w:rsid w:val="00942321"/>
    <w:rsid w:val="00942BE7"/>
    <w:rsid w:val="00943EB2"/>
    <w:rsid w:val="00943ED4"/>
    <w:rsid w:val="00944A21"/>
    <w:rsid w:val="00944C6D"/>
    <w:rsid w:val="009450D8"/>
    <w:rsid w:val="0094660E"/>
    <w:rsid w:val="00946B44"/>
    <w:rsid w:val="00946D7B"/>
    <w:rsid w:val="00950931"/>
    <w:rsid w:val="0095139B"/>
    <w:rsid w:val="00951E40"/>
    <w:rsid w:val="009525F3"/>
    <w:rsid w:val="00953BFA"/>
    <w:rsid w:val="00957B3F"/>
    <w:rsid w:val="0096105F"/>
    <w:rsid w:val="00963869"/>
    <w:rsid w:val="00964587"/>
    <w:rsid w:val="00964869"/>
    <w:rsid w:val="00965006"/>
    <w:rsid w:val="009667B6"/>
    <w:rsid w:val="0096696E"/>
    <w:rsid w:val="00967030"/>
    <w:rsid w:val="00967698"/>
    <w:rsid w:val="00967A43"/>
    <w:rsid w:val="00970CC8"/>
    <w:rsid w:val="009714A0"/>
    <w:rsid w:val="009724E3"/>
    <w:rsid w:val="00972914"/>
    <w:rsid w:val="00972962"/>
    <w:rsid w:val="00972CCF"/>
    <w:rsid w:val="009732CA"/>
    <w:rsid w:val="00973357"/>
    <w:rsid w:val="0097397A"/>
    <w:rsid w:val="00974A90"/>
    <w:rsid w:val="00975A21"/>
    <w:rsid w:val="00975DB5"/>
    <w:rsid w:val="009775DF"/>
    <w:rsid w:val="00981884"/>
    <w:rsid w:val="00981DF1"/>
    <w:rsid w:val="00983567"/>
    <w:rsid w:val="00983A03"/>
    <w:rsid w:val="00983B70"/>
    <w:rsid w:val="00984451"/>
    <w:rsid w:val="00984D81"/>
    <w:rsid w:val="0098646A"/>
    <w:rsid w:val="00986BD9"/>
    <w:rsid w:val="00987FA0"/>
    <w:rsid w:val="00994995"/>
    <w:rsid w:val="00994B9F"/>
    <w:rsid w:val="00994D0B"/>
    <w:rsid w:val="00995474"/>
    <w:rsid w:val="00996036"/>
    <w:rsid w:val="00997746"/>
    <w:rsid w:val="0099798D"/>
    <w:rsid w:val="009A0893"/>
    <w:rsid w:val="009A1B00"/>
    <w:rsid w:val="009A3686"/>
    <w:rsid w:val="009A473D"/>
    <w:rsid w:val="009A4DE7"/>
    <w:rsid w:val="009A4E00"/>
    <w:rsid w:val="009A52AB"/>
    <w:rsid w:val="009A6B9A"/>
    <w:rsid w:val="009A6BD2"/>
    <w:rsid w:val="009A6D69"/>
    <w:rsid w:val="009A7D68"/>
    <w:rsid w:val="009B39CE"/>
    <w:rsid w:val="009B42F0"/>
    <w:rsid w:val="009B5A54"/>
    <w:rsid w:val="009B5B63"/>
    <w:rsid w:val="009B7767"/>
    <w:rsid w:val="009B7933"/>
    <w:rsid w:val="009C13C2"/>
    <w:rsid w:val="009C1FF5"/>
    <w:rsid w:val="009C4BD2"/>
    <w:rsid w:val="009C4CC2"/>
    <w:rsid w:val="009C64DC"/>
    <w:rsid w:val="009C7BA2"/>
    <w:rsid w:val="009D0C01"/>
    <w:rsid w:val="009D4CE4"/>
    <w:rsid w:val="009D57EA"/>
    <w:rsid w:val="009D5D65"/>
    <w:rsid w:val="009D62F4"/>
    <w:rsid w:val="009D6750"/>
    <w:rsid w:val="009D7518"/>
    <w:rsid w:val="009D7A1F"/>
    <w:rsid w:val="009D7FCF"/>
    <w:rsid w:val="009E075E"/>
    <w:rsid w:val="009E1286"/>
    <w:rsid w:val="009E2152"/>
    <w:rsid w:val="009E4859"/>
    <w:rsid w:val="009E4CB9"/>
    <w:rsid w:val="009E6D92"/>
    <w:rsid w:val="009E6E3D"/>
    <w:rsid w:val="009E715E"/>
    <w:rsid w:val="009E7954"/>
    <w:rsid w:val="009E7CD1"/>
    <w:rsid w:val="009F1726"/>
    <w:rsid w:val="009F4BF0"/>
    <w:rsid w:val="009F4D7A"/>
    <w:rsid w:val="009F5135"/>
    <w:rsid w:val="009F6171"/>
    <w:rsid w:val="009F689C"/>
    <w:rsid w:val="009F6B8E"/>
    <w:rsid w:val="009F74E9"/>
    <w:rsid w:val="009F7DFD"/>
    <w:rsid w:val="00A00F71"/>
    <w:rsid w:val="00A0112B"/>
    <w:rsid w:val="00A0121C"/>
    <w:rsid w:val="00A025B0"/>
    <w:rsid w:val="00A03AA7"/>
    <w:rsid w:val="00A03EA9"/>
    <w:rsid w:val="00A03F57"/>
    <w:rsid w:val="00A04087"/>
    <w:rsid w:val="00A0518B"/>
    <w:rsid w:val="00A0594F"/>
    <w:rsid w:val="00A079AC"/>
    <w:rsid w:val="00A108FE"/>
    <w:rsid w:val="00A12F0B"/>
    <w:rsid w:val="00A1332D"/>
    <w:rsid w:val="00A161E7"/>
    <w:rsid w:val="00A16D60"/>
    <w:rsid w:val="00A17D58"/>
    <w:rsid w:val="00A20F32"/>
    <w:rsid w:val="00A2179B"/>
    <w:rsid w:val="00A22272"/>
    <w:rsid w:val="00A22554"/>
    <w:rsid w:val="00A23C67"/>
    <w:rsid w:val="00A245FE"/>
    <w:rsid w:val="00A249DF"/>
    <w:rsid w:val="00A25A0B"/>
    <w:rsid w:val="00A25AFC"/>
    <w:rsid w:val="00A25D2C"/>
    <w:rsid w:val="00A26D1A"/>
    <w:rsid w:val="00A26E11"/>
    <w:rsid w:val="00A274CB"/>
    <w:rsid w:val="00A31958"/>
    <w:rsid w:val="00A33DEE"/>
    <w:rsid w:val="00A34F99"/>
    <w:rsid w:val="00A35681"/>
    <w:rsid w:val="00A35C4D"/>
    <w:rsid w:val="00A3619B"/>
    <w:rsid w:val="00A41546"/>
    <w:rsid w:val="00A41F74"/>
    <w:rsid w:val="00A436D1"/>
    <w:rsid w:val="00A43837"/>
    <w:rsid w:val="00A45F5B"/>
    <w:rsid w:val="00A46005"/>
    <w:rsid w:val="00A46D16"/>
    <w:rsid w:val="00A46E9B"/>
    <w:rsid w:val="00A50647"/>
    <w:rsid w:val="00A50F5B"/>
    <w:rsid w:val="00A514EA"/>
    <w:rsid w:val="00A51C05"/>
    <w:rsid w:val="00A52BCD"/>
    <w:rsid w:val="00A56E5B"/>
    <w:rsid w:val="00A57592"/>
    <w:rsid w:val="00A60689"/>
    <w:rsid w:val="00A6168B"/>
    <w:rsid w:val="00A61E2F"/>
    <w:rsid w:val="00A61FE3"/>
    <w:rsid w:val="00A62380"/>
    <w:rsid w:val="00A630D9"/>
    <w:rsid w:val="00A668B3"/>
    <w:rsid w:val="00A66960"/>
    <w:rsid w:val="00A70381"/>
    <w:rsid w:val="00A706F7"/>
    <w:rsid w:val="00A7132F"/>
    <w:rsid w:val="00A7151B"/>
    <w:rsid w:val="00A72078"/>
    <w:rsid w:val="00A72564"/>
    <w:rsid w:val="00A733BE"/>
    <w:rsid w:val="00A73DA4"/>
    <w:rsid w:val="00A7437E"/>
    <w:rsid w:val="00A74B27"/>
    <w:rsid w:val="00A7653D"/>
    <w:rsid w:val="00A76CFF"/>
    <w:rsid w:val="00A7726D"/>
    <w:rsid w:val="00A77D1F"/>
    <w:rsid w:val="00A810B1"/>
    <w:rsid w:val="00A824CF"/>
    <w:rsid w:val="00A828AC"/>
    <w:rsid w:val="00A82D58"/>
    <w:rsid w:val="00A82E27"/>
    <w:rsid w:val="00A83C5D"/>
    <w:rsid w:val="00A83FA2"/>
    <w:rsid w:val="00A844DC"/>
    <w:rsid w:val="00A85B9C"/>
    <w:rsid w:val="00A85C10"/>
    <w:rsid w:val="00A87A21"/>
    <w:rsid w:val="00A87D1F"/>
    <w:rsid w:val="00A904A6"/>
    <w:rsid w:val="00A90B6A"/>
    <w:rsid w:val="00A90F04"/>
    <w:rsid w:val="00A92D44"/>
    <w:rsid w:val="00A94CB8"/>
    <w:rsid w:val="00A9580A"/>
    <w:rsid w:val="00A96C03"/>
    <w:rsid w:val="00A9720A"/>
    <w:rsid w:val="00A97641"/>
    <w:rsid w:val="00AA25CE"/>
    <w:rsid w:val="00AA2603"/>
    <w:rsid w:val="00AA3BAD"/>
    <w:rsid w:val="00AA4E4C"/>
    <w:rsid w:val="00AA5711"/>
    <w:rsid w:val="00AA5DAC"/>
    <w:rsid w:val="00AA6D90"/>
    <w:rsid w:val="00AA70E8"/>
    <w:rsid w:val="00AA789A"/>
    <w:rsid w:val="00AB16C7"/>
    <w:rsid w:val="00AB1870"/>
    <w:rsid w:val="00AB1C5E"/>
    <w:rsid w:val="00AB2D90"/>
    <w:rsid w:val="00AB2FDD"/>
    <w:rsid w:val="00AB3391"/>
    <w:rsid w:val="00AB413F"/>
    <w:rsid w:val="00AB45F2"/>
    <w:rsid w:val="00AB4735"/>
    <w:rsid w:val="00AB4AE0"/>
    <w:rsid w:val="00AB54BA"/>
    <w:rsid w:val="00AB6117"/>
    <w:rsid w:val="00AB6146"/>
    <w:rsid w:val="00AB7B3A"/>
    <w:rsid w:val="00AB7C43"/>
    <w:rsid w:val="00AB7DBF"/>
    <w:rsid w:val="00AC0787"/>
    <w:rsid w:val="00AC11B5"/>
    <w:rsid w:val="00AC1420"/>
    <w:rsid w:val="00AC1C9E"/>
    <w:rsid w:val="00AC1D60"/>
    <w:rsid w:val="00AC282F"/>
    <w:rsid w:val="00AC348B"/>
    <w:rsid w:val="00AC4127"/>
    <w:rsid w:val="00AC4EC4"/>
    <w:rsid w:val="00AC50A3"/>
    <w:rsid w:val="00AC5A89"/>
    <w:rsid w:val="00AC5AFF"/>
    <w:rsid w:val="00AC5C52"/>
    <w:rsid w:val="00AC6A14"/>
    <w:rsid w:val="00AC6A82"/>
    <w:rsid w:val="00AD0174"/>
    <w:rsid w:val="00AD04F0"/>
    <w:rsid w:val="00AD0638"/>
    <w:rsid w:val="00AD16B4"/>
    <w:rsid w:val="00AD1848"/>
    <w:rsid w:val="00AD3610"/>
    <w:rsid w:val="00AD3B17"/>
    <w:rsid w:val="00AD449F"/>
    <w:rsid w:val="00AD53ED"/>
    <w:rsid w:val="00AD5DF6"/>
    <w:rsid w:val="00AD61C7"/>
    <w:rsid w:val="00AD65FB"/>
    <w:rsid w:val="00AD74BF"/>
    <w:rsid w:val="00AD7880"/>
    <w:rsid w:val="00AD7EF2"/>
    <w:rsid w:val="00AE1881"/>
    <w:rsid w:val="00AE18F8"/>
    <w:rsid w:val="00AE2464"/>
    <w:rsid w:val="00AE289E"/>
    <w:rsid w:val="00AE2B24"/>
    <w:rsid w:val="00AE413A"/>
    <w:rsid w:val="00AE456A"/>
    <w:rsid w:val="00AE4863"/>
    <w:rsid w:val="00AE4C03"/>
    <w:rsid w:val="00AE598D"/>
    <w:rsid w:val="00AE6A5E"/>
    <w:rsid w:val="00AE7370"/>
    <w:rsid w:val="00AE78F8"/>
    <w:rsid w:val="00AF135D"/>
    <w:rsid w:val="00AF184B"/>
    <w:rsid w:val="00AF1CEE"/>
    <w:rsid w:val="00AF246A"/>
    <w:rsid w:val="00AF3701"/>
    <w:rsid w:val="00AF49E1"/>
    <w:rsid w:val="00AF4A87"/>
    <w:rsid w:val="00AF6CC4"/>
    <w:rsid w:val="00AF7A69"/>
    <w:rsid w:val="00AF7D65"/>
    <w:rsid w:val="00B00F03"/>
    <w:rsid w:val="00B030B9"/>
    <w:rsid w:val="00B03435"/>
    <w:rsid w:val="00B0384F"/>
    <w:rsid w:val="00B03F57"/>
    <w:rsid w:val="00B04800"/>
    <w:rsid w:val="00B04C34"/>
    <w:rsid w:val="00B05CFE"/>
    <w:rsid w:val="00B06BC3"/>
    <w:rsid w:val="00B10FD2"/>
    <w:rsid w:val="00B12142"/>
    <w:rsid w:val="00B13541"/>
    <w:rsid w:val="00B1369B"/>
    <w:rsid w:val="00B1392D"/>
    <w:rsid w:val="00B141C2"/>
    <w:rsid w:val="00B15219"/>
    <w:rsid w:val="00B162EF"/>
    <w:rsid w:val="00B176B7"/>
    <w:rsid w:val="00B17E4B"/>
    <w:rsid w:val="00B2062C"/>
    <w:rsid w:val="00B2148B"/>
    <w:rsid w:val="00B21A41"/>
    <w:rsid w:val="00B2265E"/>
    <w:rsid w:val="00B23516"/>
    <w:rsid w:val="00B23A03"/>
    <w:rsid w:val="00B24340"/>
    <w:rsid w:val="00B247CC"/>
    <w:rsid w:val="00B25E6E"/>
    <w:rsid w:val="00B26C9C"/>
    <w:rsid w:val="00B2788F"/>
    <w:rsid w:val="00B301CA"/>
    <w:rsid w:val="00B32E33"/>
    <w:rsid w:val="00B333A9"/>
    <w:rsid w:val="00B33C1E"/>
    <w:rsid w:val="00B33DA5"/>
    <w:rsid w:val="00B36AFB"/>
    <w:rsid w:val="00B3754E"/>
    <w:rsid w:val="00B37FEA"/>
    <w:rsid w:val="00B40C6B"/>
    <w:rsid w:val="00B4183D"/>
    <w:rsid w:val="00B42105"/>
    <w:rsid w:val="00B4297F"/>
    <w:rsid w:val="00B43316"/>
    <w:rsid w:val="00B43EBA"/>
    <w:rsid w:val="00B43F76"/>
    <w:rsid w:val="00B44A9D"/>
    <w:rsid w:val="00B47169"/>
    <w:rsid w:val="00B47F43"/>
    <w:rsid w:val="00B50094"/>
    <w:rsid w:val="00B50449"/>
    <w:rsid w:val="00B514FB"/>
    <w:rsid w:val="00B542EF"/>
    <w:rsid w:val="00B545C6"/>
    <w:rsid w:val="00B56313"/>
    <w:rsid w:val="00B56B4A"/>
    <w:rsid w:val="00B5788F"/>
    <w:rsid w:val="00B57EFC"/>
    <w:rsid w:val="00B60E1D"/>
    <w:rsid w:val="00B617DF"/>
    <w:rsid w:val="00B65B33"/>
    <w:rsid w:val="00B65CA1"/>
    <w:rsid w:val="00B6681A"/>
    <w:rsid w:val="00B66D1A"/>
    <w:rsid w:val="00B704DC"/>
    <w:rsid w:val="00B72461"/>
    <w:rsid w:val="00B73467"/>
    <w:rsid w:val="00B737F2"/>
    <w:rsid w:val="00B7423D"/>
    <w:rsid w:val="00B76F5C"/>
    <w:rsid w:val="00B77656"/>
    <w:rsid w:val="00B7784B"/>
    <w:rsid w:val="00B77D30"/>
    <w:rsid w:val="00B80803"/>
    <w:rsid w:val="00B80D70"/>
    <w:rsid w:val="00B83071"/>
    <w:rsid w:val="00B835BD"/>
    <w:rsid w:val="00B83953"/>
    <w:rsid w:val="00B8462D"/>
    <w:rsid w:val="00B84A4F"/>
    <w:rsid w:val="00B84FC0"/>
    <w:rsid w:val="00B85B10"/>
    <w:rsid w:val="00B85F65"/>
    <w:rsid w:val="00B86145"/>
    <w:rsid w:val="00B862D1"/>
    <w:rsid w:val="00B87D7B"/>
    <w:rsid w:val="00B900C4"/>
    <w:rsid w:val="00B911E5"/>
    <w:rsid w:val="00B92360"/>
    <w:rsid w:val="00B94F0B"/>
    <w:rsid w:val="00B957D4"/>
    <w:rsid w:val="00B965B5"/>
    <w:rsid w:val="00B967BC"/>
    <w:rsid w:val="00BA05A8"/>
    <w:rsid w:val="00BA09DD"/>
    <w:rsid w:val="00BA2102"/>
    <w:rsid w:val="00BA2E43"/>
    <w:rsid w:val="00BA3C0D"/>
    <w:rsid w:val="00BA4136"/>
    <w:rsid w:val="00BA51CE"/>
    <w:rsid w:val="00BA5862"/>
    <w:rsid w:val="00BB039A"/>
    <w:rsid w:val="00BB068D"/>
    <w:rsid w:val="00BB1347"/>
    <w:rsid w:val="00BB1674"/>
    <w:rsid w:val="00BB1A50"/>
    <w:rsid w:val="00BB2B86"/>
    <w:rsid w:val="00BB3BCA"/>
    <w:rsid w:val="00BB3D47"/>
    <w:rsid w:val="00BB3F17"/>
    <w:rsid w:val="00BB559B"/>
    <w:rsid w:val="00BB62EC"/>
    <w:rsid w:val="00BB678A"/>
    <w:rsid w:val="00BB71F4"/>
    <w:rsid w:val="00BB7B4C"/>
    <w:rsid w:val="00BC025C"/>
    <w:rsid w:val="00BC0F5F"/>
    <w:rsid w:val="00BC17C7"/>
    <w:rsid w:val="00BC2B37"/>
    <w:rsid w:val="00BC30D8"/>
    <w:rsid w:val="00BC4492"/>
    <w:rsid w:val="00BC45AF"/>
    <w:rsid w:val="00BC490C"/>
    <w:rsid w:val="00BC4E45"/>
    <w:rsid w:val="00BC5D97"/>
    <w:rsid w:val="00BC5DEE"/>
    <w:rsid w:val="00BC639E"/>
    <w:rsid w:val="00BC7B66"/>
    <w:rsid w:val="00BC7E42"/>
    <w:rsid w:val="00BD038C"/>
    <w:rsid w:val="00BD06F0"/>
    <w:rsid w:val="00BD14E7"/>
    <w:rsid w:val="00BD2448"/>
    <w:rsid w:val="00BD38F1"/>
    <w:rsid w:val="00BD4336"/>
    <w:rsid w:val="00BD5C3A"/>
    <w:rsid w:val="00BD7003"/>
    <w:rsid w:val="00BD7A44"/>
    <w:rsid w:val="00BD7B36"/>
    <w:rsid w:val="00BE03C2"/>
    <w:rsid w:val="00BE0BF0"/>
    <w:rsid w:val="00BE22C6"/>
    <w:rsid w:val="00BE4981"/>
    <w:rsid w:val="00BE67F7"/>
    <w:rsid w:val="00BE6A37"/>
    <w:rsid w:val="00BE7191"/>
    <w:rsid w:val="00BE774B"/>
    <w:rsid w:val="00BF047B"/>
    <w:rsid w:val="00BF13C4"/>
    <w:rsid w:val="00BF280D"/>
    <w:rsid w:val="00BF2B66"/>
    <w:rsid w:val="00BF32C3"/>
    <w:rsid w:val="00BF4210"/>
    <w:rsid w:val="00BF49FC"/>
    <w:rsid w:val="00BF4D1F"/>
    <w:rsid w:val="00BF4E52"/>
    <w:rsid w:val="00BF5CC6"/>
    <w:rsid w:val="00BF60D0"/>
    <w:rsid w:val="00BF6434"/>
    <w:rsid w:val="00BF7EA7"/>
    <w:rsid w:val="00C01B85"/>
    <w:rsid w:val="00C02DC9"/>
    <w:rsid w:val="00C0340E"/>
    <w:rsid w:val="00C03C42"/>
    <w:rsid w:val="00C04955"/>
    <w:rsid w:val="00C05C07"/>
    <w:rsid w:val="00C063CA"/>
    <w:rsid w:val="00C071F0"/>
    <w:rsid w:val="00C07742"/>
    <w:rsid w:val="00C07F16"/>
    <w:rsid w:val="00C10154"/>
    <w:rsid w:val="00C111F3"/>
    <w:rsid w:val="00C12ACB"/>
    <w:rsid w:val="00C12CB8"/>
    <w:rsid w:val="00C12FCA"/>
    <w:rsid w:val="00C13DBE"/>
    <w:rsid w:val="00C14AD0"/>
    <w:rsid w:val="00C14BF4"/>
    <w:rsid w:val="00C152E0"/>
    <w:rsid w:val="00C16773"/>
    <w:rsid w:val="00C16BC5"/>
    <w:rsid w:val="00C17093"/>
    <w:rsid w:val="00C20E36"/>
    <w:rsid w:val="00C21012"/>
    <w:rsid w:val="00C214A8"/>
    <w:rsid w:val="00C21DFE"/>
    <w:rsid w:val="00C23410"/>
    <w:rsid w:val="00C239AD"/>
    <w:rsid w:val="00C23DF1"/>
    <w:rsid w:val="00C24371"/>
    <w:rsid w:val="00C256FC"/>
    <w:rsid w:val="00C25817"/>
    <w:rsid w:val="00C26614"/>
    <w:rsid w:val="00C2752D"/>
    <w:rsid w:val="00C27678"/>
    <w:rsid w:val="00C277DA"/>
    <w:rsid w:val="00C27D6A"/>
    <w:rsid w:val="00C304E8"/>
    <w:rsid w:val="00C306BD"/>
    <w:rsid w:val="00C306CE"/>
    <w:rsid w:val="00C30D29"/>
    <w:rsid w:val="00C3214D"/>
    <w:rsid w:val="00C321C0"/>
    <w:rsid w:val="00C35326"/>
    <w:rsid w:val="00C355AB"/>
    <w:rsid w:val="00C35A63"/>
    <w:rsid w:val="00C366B8"/>
    <w:rsid w:val="00C36812"/>
    <w:rsid w:val="00C37AEA"/>
    <w:rsid w:val="00C4108B"/>
    <w:rsid w:val="00C421D8"/>
    <w:rsid w:val="00C42A17"/>
    <w:rsid w:val="00C43386"/>
    <w:rsid w:val="00C439AF"/>
    <w:rsid w:val="00C464AA"/>
    <w:rsid w:val="00C467D0"/>
    <w:rsid w:val="00C47201"/>
    <w:rsid w:val="00C473F4"/>
    <w:rsid w:val="00C47AE5"/>
    <w:rsid w:val="00C518CE"/>
    <w:rsid w:val="00C5263A"/>
    <w:rsid w:val="00C528FC"/>
    <w:rsid w:val="00C546AA"/>
    <w:rsid w:val="00C547E0"/>
    <w:rsid w:val="00C55AD7"/>
    <w:rsid w:val="00C55E1B"/>
    <w:rsid w:val="00C565F0"/>
    <w:rsid w:val="00C57FFA"/>
    <w:rsid w:val="00C603DE"/>
    <w:rsid w:val="00C60B55"/>
    <w:rsid w:val="00C61C08"/>
    <w:rsid w:val="00C62A62"/>
    <w:rsid w:val="00C6413A"/>
    <w:rsid w:val="00C6581E"/>
    <w:rsid w:val="00C65E73"/>
    <w:rsid w:val="00C66654"/>
    <w:rsid w:val="00C66899"/>
    <w:rsid w:val="00C67534"/>
    <w:rsid w:val="00C70983"/>
    <w:rsid w:val="00C7199B"/>
    <w:rsid w:val="00C73998"/>
    <w:rsid w:val="00C74E43"/>
    <w:rsid w:val="00C751A1"/>
    <w:rsid w:val="00C751AB"/>
    <w:rsid w:val="00C75891"/>
    <w:rsid w:val="00C77175"/>
    <w:rsid w:val="00C8093D"/>
    <w:rsid w:val="00C80AA2"/>
    <w:rsid w:val="00C812CC"/>
    <w:rsid w:val="00C81A4D"/>
    <w:rsid w:val="00C835D0"/>
    <w:rsid w:val="00C83EEF"/>
    <w:rsid w:val="00C84089"/>
    <w:rsid w:val="00C85A9D"/>
    <w:rsid w:val="00C8683C"/>
    <w:rsid w:val="00C87075"/>
    <w:rsid w:val="00C870AB"/>
    <w:rsid w:val="00C90BD8"/>
    <w:rsid w:val="00C90D75"/>
    <w:rsid w:val="00C929D7"/>
    <w:rsid w:val="00C92E52"/>
    <w:rsid w:val="00C935FB"/>
    <w:rsid w:val="00C93CC4"/>
    <w:rsid w:val="00C943C8"/>
    <w:rsid w:val="00C947CF"/>
    <w:rsid w:val="00C94E63"/>
    <w:rsid w:val="00C9519A"/>
    <w:rsid w:val="00C964E6"/>
    <w:rsid w:val="00C96A7F"/>
    <w:rsid w:val="00C96AF7"/>
    <w:rsid w:val="00C97F23"/>
    <w:rsid w:val="00CA0506"/>
    <w:rsid w:val="00CA0C6C"/>
    <w:rsid w:val="00CA1785"/>
    <w:rsid w:val="00CA1BBD"/>
    <w:rsid w:val="00CA4BBB"/>
    <w:rsid w:val="00CB0C0F"/>
    <w:rsid w:val="00CB0E88"/>
    <w:rsid w:val="00CB199E"/>
    <w:rsid w:val="00CB1AEC"/>
    <w:rsid w:val="00CB32B4"/>
    <w:rsid w:val="00CB3561"/>
    <w:rsid w:val="00CB531F"/>
    <w:rsid w:val="00CB612A"/>
    <w:rsid w:val="00CB7C12"/>
    <w:rsid w:val="00CB7C80"/>
    <w:rsid w:val="00CC0842"/>
    <w:rsid w:val="00CC0A07"/>
    <w:rsid w:val="00CC0FDD"/>
    <w:rsid w:val="00CC15A4"/>
    <w:rsid w:val="00CC1F8D"/>
    <w:rsid w:val="00CC22CC"/>
    <w:rsid w:val="00CC2CCA"/>
    <w:rsid w:val="00CC369E"/>
    <w:rsid w:val="00CC3FFE"/>
    <w:rsid w:val="00CC4DC8"/>
    <w:rsid w:val="00CC58BE"/>
    <w:rsid w:val="00CC70ED"/>
    <w:rsid w:val="00CC74E9"/>
    <w:rsid w:val="00CD170C"/>
    <w:rsid w:val="00CD24DC"/>
    <w:rsid w:val="00CD255C"/>
    <w:rsid w:val="00CD2B14"/>
    <w:rsid w:val="00CD3B3A"/>
    <w:rsid w:val="00CD50C0"/>
    <w:rsid w:val="00CD5929"/>
    <w:rsid w:val="00CD5BBC"/>
    <w:rsid w:val="00CD6A8A"/>
    <w:rsid w:val="00CD7495"/>
    <w:rsid w:val="00CD7793"/>
    <w:rsid w:val="00CE266E"/>
    <w:rsid w:val="00CE2799"/>
    <w:rsid w:val="00CE4BDA"/>
    <w:rsid w:val="00CE51EB"/>
    <w:rsid w:val="00CE5897"/>
    <w:rsid w:val="00CE58A1"/>
    <w:rsid w:val="00CE62DB"/>
    <w:rsid w:val="00CE72E6"/>
    <w:rsid w:val="00CE7AA8"/>
    <w:rsid w:val="00CF00CD"/>
    <w:rsid w:val="00CF0BF7"/>
    <w:rsid w:val="00CF306C"/>
    <w:rsid w:val="00CF46D1"/>
    <w:rsid w:val="00CF4DA4"/>
    <w:rsid w:val="00CF5C88"/>
    <w:rsid w:val="00CF5CEC"/>
    <w:rsid w:val="00CF7250"/>
    <w:rsid w:val="00D0095C"/>
    <w:rsid w:val="00D0145F"/>
    <w:rsid w:val="00D02A51"/>
    <w:rsid w:val="00D02F22"/>
    <w:rsid w:val="00D0374C"/>
    <w:rsid w:val="00D03F30"/>
    <w:rsid w:val="00D03F47"/>
    <w:rsid w:val="00D046B4"/>
    <w:rsid w:val="00D053BD"/>
    <w:rsid w:val="00D05A31"/>
    <w:rsid w:val="00D07B54"/>
    <w:rsid w:val="00D07E2D"/>
    <w:rsid w:val="00D10398"/>
    <w:rsid w:val="00D114A5"/>
    <w:rsid w:val="00D1185D"/>
    <w:rsid w:val="00D126B1"/>
    <w:rsid w:val="00D1430E"/>
    <w:rsid w:val="00D147D2"/>
    <w:rsid w:val="00D15A4B"/>
    <w:rsid w:val="00D1668F"/>
    <w:rsid w:val="00D16C61"/>
    <w:rsid w:val="00D20F52"/>
    <w:rsid w:val="00D2284D"/>
    <w:rsid w:val="00D232BD"/>
    <w:rsid w:val="00D235C5"/>
    <w:rsid w:val="00D24247"/>
    <w:rsid w:val="00D254F2"/>
    <w:rsid w:val="00D25598"/>
    <w:rsid w:val="00D257FB"/>
    <w:rsid w:val="00D26365"/>
    <w:rsid w:val="00D30412"/>
    <w:rsid w:val="00D30A99"/>
    <w:rsid w:val="00D30AE5"/>
    <w:rsid w:val="00D31365"/>
    <w:rsid w:val="00D3155D"/>
    <w:rsid w:val="00D32DCC"/>
    <w:rsid w:val="00D330AD"/>
    <w:rsid w:val="00D34CA5"/>
    <w:rsid w:val="00D35031"/>
    <w:rsid w:val="00D358F9"/>
    <w:rsid w:val="00D36564"/>
    <w:rsid w:val="00D366CF"/>
    <w:rsid w:val="00D409CC"/>
    <w:rsid w:val="00D43A74"/>
    <w:rsid w:val="00D45DD4"/>
    <w:rsid w:val="00D46C05"/>
    <w:rsid w:val="00D46D7C"/>
    <w:rsid w:val="00D4748C"/>
    <w:rsid w:val="00D4752B"/>
    <w:rsid w:val="00D50836"/>
    <w:rsid w:val="00D51539"/>
    <w:rsid w:val="00D526A3"/>
    <w:rsid w:val="00D53097"/>
    <w:rsid w:val="00D53583"/>
    <w:rsid w:val="00D54975"/>
    <w:rsid w:val="00D54A97"/>
    <w:rsid w:val="00D54EC5"/>
    <w:rsid w:val="00D56307"/>
    <w:rsid w:val="00D579B2"/>
    <w:rsid w:val="00D60572"/>
    <w:rsid w:val="00D60E4F"/>
    <w:rsid w:val="00D613BB"/>
    <w:rsid w:val="00D61447"/>
    <w:rsid w:val="00D61C71"/>
    <w:rsid w:val="00D62224"/>
    <w:rsid w:val="00D62C7A"/>
    <w:rsid w:val="00D640C9"/>
    <w:rsid w:val="00D65AE2"/>
    <w:rsid w:val="00D668AF"/>
    <w:rsid w:val="00D67F4C"/>
    <w:rsid w:val="00D72C37"/>
    <w:rsid w:val="00D73E7F"/>
    <w:rsid w:val="00D74F1A"/>
    <w:rsid w:val="00D75D8D"/>
    <w:rsid w:val="00D7688D"/>
    <w:rsid w:val="00D76CC4"/>
    <w:rsid w:val="00D77387"/>
    <w:rsid w:val="00D77A06"/>
    <w:rsid w:val="00D81E02"/>
    <w:rsid w:val="00D82E0A"/>
    <w:rsid w:val="00D833A4"/>
    <w:rsid w:val="00D83A3B"/>
    <w:rsid w:val="00D84E64"/>
    <w:rsid w:val="00D859AF"/>
    <w:rsid w:val="00D877F0"/>
    <w:rsid w:val="00D90868"/>
    <w:rsid w:val="00D9146E"/>
    <w:rsid w:val="00D92937"/>
    <w:rsid w:val="00D933B7"/>
    <w:rsid w:val="00D93569"/>
    <w:rsid w:val="00D94755"/>
    <w:rsid w:val="00D94BA8"/>
    <w:rsid w:val="00D94EC9"/>
    <w:rsid w:val="00D957E7"/>
    <w:rsid w:val="00D963F1"/>
    <w:rsid w:val="00D9670A"/>
    <w:rsid w:val="00D96F94"/>
    <w:rsid w:val="00D973A9"/>
    <w:rsid w:val="00DA0A4B"/>
    <w:rsid w:val="00DA11C6"/>
    <w:rsid w:val="00DA19EB"/>
    <w:rsid w:val="00DA1A7C"/>
    <w:rsid w:val="00DA1BCE"/>
    <w:rsid w:val="00DA2241"/>
    <w:rsid w:val="00DA26F2"/>
    <w:rsid w:val="00DA2730"/>
    <w:rsid w:val="00DA2844"/>
    <w:rsid w:val="00DA2EAF"/>
    <w:rsid w:val="00DA4720"/>
    <w:rsid w:val="00DA4889"/>
    <w:rsid w:val="00DA52C8"/>
    <w:rsid w:val="00DA537F"/>
    <w:rsid w:val="00DA6DFA"/>
    <w:rsid w:val="00DB17D1"/>
    <w:rsid w:val="00DB2919"/>
    <w:rsid w:val="00DB2D07"/>
    <w:rsid w:val="00DB3024"/>
    <w:rsid w:val="00DB3A1C"/>
    <w:rsid w:val="00DB3CF9"/>
    <w:rsid w:val="00DB4BCE"/>
    <w:rsid w:val="00DB4DE2"/>
    <w:rsid w:val="00DB4F5C"/>
    <w:rsid w:val="00DB5CBF"/>
    <w:rsid w:val="00DB6223"/>
    <w:rsid w:val="00DB67E6"/>
    <w:rsid w:val="00DC1542"/>
    <w:rsid w:val="00DC1BE7"/>
    <w:rsid w:val="00DC24B2"/>
    <w:rsid w:val="00DC3EB3"/>
    <w:rsid w:val="00DC3FB9"/>
    <w:rsid w:val="00DC42B5"/>
    <w:rsid w:val="00DC4BC5"/>
    <w:rsid w:val="00DC5412"/>
    <w:rsid w:val="00DC5AD2"/>
    <w:rsid w:val="00DC695C"/>
    <w:rsid w:val="00DC7930"/>
    <w:rsid w:val="00DD00E6"/>
    <w:rsid w:val="00DD01C3"/>
    <w:rsid w:val="00DD03CC"/>
    <w:rsid w:val="00DD1173"/>
    <w:rsid w:val="00DD162F"/>
    <w:rsid w:val="00DD171C"/>
    <w:rsid w:val="00DD17C4"/>
    <w:rsid w:val="00DD281E"/>
    <w:rsid w:val="00DD2EE9"/>
    <w:rsid w:val="00DD3097"/>
    <w:rsid w:val="00DD33EC"/>
    <w:rsid w:val="00DD37B0"/>
    <w:rsid w:val="00DD3B38"/>
    <w:rsid w:val="00DD5527"/>
    <w:rsid w:val="00DD647E"/>
    <w:rsid w:val="00DE0228"/>
    <w:rsid w:val="00DE0A36"/>
    <w:rsid w:val="00DE0BFF"/>
    <w:rsid w:val="00DE1684"/>
    <w:rsid w:val="00DE1997"/>
    <w:rsid w:val="00DE3768"/>
    <w:rsid w:val="00DE3E2F"/>
    <w:rsid w:val="00DE422B"/>
    <w:rsid w:val="00DE49F1"/>
    <w:rsid w:val="00DE54B2"/>
    <w:rsid w:val="00DE5D83"/>
    <w:rsid w:val="00DE7448"/>
    <w:rsid w:val="00DE795C"/>
    <w:rsid w:val="00DF0951"/>
    <w:rsid w:val="00DF1D45"/>
    <w:rsid w:val="00DF26BD"/>
    <w:rsid w:val="00DF550C"/>
    <w:rsid w:val="00DF700C"/>
    <w:rsid w:val="00DF74E9"/>
    <w:rsid w:val="00DF7C99"/>
    <w:rsid w:val="00E00411"/>
    <w:rsid w:val="00E00EE4"/>
    <w:rsid w:val="00E01456"/>
    <w:rsid w:val="00E0264C"/>
    <w:rsid w:val="00E02C45"/>
    <w:rsid w:val="00E03308"/>
    <w:rsid w:val="00E03D90"/>
    <w:rsid w:val="00E046CF"/>
    <w:rsid w:val="00E046E0"/>
    <w:rsid w:val="00E055C5"/>
    <w:rsid w:val="00E05C8D"/>
    <w:rsid w:val="00E06134"/>
    <w:rsid w:val="00E066A0"/>
    <w:rsid w:val="00E07128"/>
    <w:rsid w:val="00E0737C"/>
    <w:rsid w:val="00E0777E"/>
    <w:rsid w:val="00E07885"/>
    <w:rsid w:val="00E118B9"/>
    <w:rsid w:val="00E121D3"/>
    <w:rsid w:val="00E127F6"/>
    <w:rsid w:val="00E12D2A"/>
    <w:rsid w:val="00E13A2B"/>
    <w:rsid w:val="00E1411D"/>
    <w:rsid w:val="00E1417B"/>
    <w:rsid w:val="00E14830"/>
    <w:rsid w:val="00E1770B"/>
    <w:rsid w:val="00E20047"/>
    <w:rsid w:val="00E23ABE"/>
    <w:rsid w:val="00E24C96"/>
    <w:rsid w:val="00E261B0"/>
    <w:rsid w:val="00E26CCA"/>
    <w:rsid w:val="00E27C01"/>
    <w:rsid w:val="00E30398"/>
    <w:rsid w:val="00E30488"/>
    <w:rsid w:val="00E30957"/>
    <w:rsid w:val="00E31752"/>
    <w:rsid w:val="00E31DC4"/>
    <w:rsid w:val="00E3218B"/>
    <w:rsid w:val="00E32A95"/>
    <w:rsid w:val="00E32F6B"/>
    <w:rsid w:val="00E33EA6"/>
    <w:rsid w:val="00E34304"/>
    <w:rsid w:val="00E343AE"/>
    <w:rsid w:val="00E34400"/>
    <w:rsid w:val="00E3473A"/>
    <w:rsid w:val="00E348EF"/>
    <w:rsid w:val="00E35262"/>
    <w:rsid w:val="00E35EFE"/>
    <w:rsid w:val="00E37722"/>
    <w:rsid w:val="00E402CA"/>
    <w:rsid w:val="00E41041"/>
    <w:rsid w:val="00E41FA1"/>
    <w:rsid w:val="00E420DB"/>
    <w:rsid w:val="00E42EC7"/>
    <w:rsid w:val="00E4315C"/>
    <w:rsid w:val="00E43553"/>
    <w:rsid w:val="00E442A3"/>
    <w:rsid w:val="00E444BB"/>
    <w:rsid w:val="00E44658"/>
    <w:rsid w:val="00E463CC"/>
    <w:rsid w:val="00E471D6"/>
    <w:rsid w:val="00E47539"/>
    <w:rsid w:val="00E50087"/>
    <w:rsid w:val="00E50CC1"/>
    <w:rsid w:val="00E50E98"/>
    <w:rsid w:val="00E51280"/>
    <w:rsid w:val="00E516A7"/>
    <w:rsid w:val="00E51E0C"/>
    <w:rsid w:val="00E537A9"/>
    <w:rsid w:val="00E53EA3"/>
    <w:rsid w:val="00E54046"/>
    <w:rsid w:val="00E57D19"/>
    <w:rsid w:val="00E60C4B"/>
    <w:rsid w:val="00E60D35"/>
    <w:rsid w:val="00E6126D"/>
    <w:rsid w:val="00E612E3"/>
    <w:rsid w:val="00E6368A"/>
    <w:rsid w:val="00E6523E"/>
    <w:rsid w:val="00E66BF5"/>
    <w:rsid w:val="00E67C32"/>
    <w:rsid w:val="00E71838"/>
    <w:rsid w:val="00E7267B"/>
    <w:rsid w:val="00E7298F"/>
    <w:rsid w:val="00E72D09"/>
    <w:rsid w:val="00E74F3D"/>
    <w:rsid w:val="00E753CA"/>
    <w:rsid w:val="00E75733"/>
    <w:rsid w:val="00E76A3A"/>
    <w:rsid w:val="00E800C6"/>
    <w:rsid w:val="00E808A0"/>
    <w:rsid w:val="00E81C12"/>
    <w:rsid w:val="00E82975"/>
    <w:rsid w:val="00E82E01"/>
    <w:rsid w:val="00E83737"/>
    <w:rsid w:val="00E837EA"/>
    <w:rsid w:val="00E85F2B"/>
    <w:rsid w:val="00E87D81"/>
    <w:rsid w:val="00E92A3C"/>
    <w:rsid w:val="00E92DE7"/>
    <w:rsid w:val="00E93771"/>
    <w:rsid w:val="00E93AAD"/>
    <w:rsid w:val="00E94666"/>
    <w:rsid w:val="00E94B91"/>
    <w:rsid w:val="00E95711"/>
    <w:rsid w:val="00E96054"/>
    <w:rsid w:val="00E9636C"/>
    <w:rsid w:val="00E968FB"/>
    <w:rsid w:val="00EA233B"/>
    <w:rsid w:val="00EA2866"/>
    <w:rsid w:val="00EA3411"/>
    <w:rsid w:val="00EA39FD"/>
    <w:rsid w:val="00EA454C"/>
    <w:rsid w:val="00EA4AAF"/>
    <w:rsid w:val="00EA4B44"/>
    <w:rsid w:val="00EA533B"/>
    <w:rsid w:val="00EA6D6C"/>
    <w:rsid w:val="00EB0F4B"/>
    <w:rsid w:val="00EB10F3"/>
    <w:rsid w:val="00EB1139"/>
    <w:rsid w:val="00EB1DDB"/>
    <w:rsid w:val="00EB2317"/>
    <w:rsid w:val="00EB2C58"/>
    <w:rsid w:val="00EB385A"/>
    <w:rsid w:val="00EB3CC5"/>
    <w:rsid w:val="00EB55B6"/>
    <w:rsid w:val="00EB5624"/>
    <w:rsid w:val="00EB594B"/>
    <w:rsid w:val="00EB7266"/>
    <w:rsid w:val="00EB7FB0"/>
    <w:rsid w:val="00EC1B3B"/>
    <w:rsid w:val="00EC2E51"/>
    <w:rsid w:val="00EC335A"/>
    <w:rsid w:val="00EC349E"/>
    <w:rsid w:val="00EC4A2A"/>
    <w:rsid w:val="00EC5121"/>
    <w:rsid w:val="00EC5379"/>
    <w:rsid w:val="00EC61E4"/>
    <w:rsid w:val="00EC6817"/>
    <w:rsid w:val="00ED179C"/>
    <w:rsid w:val="00ED1880"/>
    <w:rsid w:val="00ED1C6D"/>
    <w:rsid w:val="00ED1F01"/>
    <w:rsid w:val="00ED2BA8"/>
    <w:rsid w:val="00ED2F94"/>
    <w:rsid w:val="00ED39B0"/>
    <w:rsid w:val="00ED3BF2"/>
    <w:rsid w:val="00ED6AE5"/>
    <w:rsid w:val="00ED6BD3"/>
    <w:rsid w:val="00ED73C8"/>
    <w:rsid w:val="00ED7666"/>
    <w:rsid w:val="00ED77FD"/>
    <w:rsid w:val="00EE0121"/>
    <w:rsid w:val="00EE04A8"/>
    <w:rsid w:val="00EE24B0"/>
    <w:rsid w:val="00EE2766"/>
    <w:rsid w:val="00EE2B43"/>
    <w:rsid w:val="00EE4303"/>
    <w:rsid w:val="00EE4AB9"/>
    <w:rsid w:val="00EE7798"/>
    <w:rsid w:val="00EF0598"/>
    <w:rsid w:val="00EF1AF3"/>
    <w:rsid w:val="00EF2E6D"/>
    <w:rsid w:val="00EF2F41"/>
    <w:rsid w:val="00EF5799"/>
    <w:rsid w:val="00EF660E"/>
    <w:rsid w:val="00F0186E"/>
    <w:rsid w:val="00F036D5"/>
    <w:rsid w:val="00F04612"/>
    <w:rsid w:val="00F07EF3"/>
    <w:rsid w:val="00F10075"/>
    <w:rsid w:val="00F11B2E"/>
    <w:rsid w:val="00F132ED"/>
    <w:rsid w:val="00F1384A"/>
    <w:rsid w:val="00F1415F"/>
    <w:rsid w:val="00F1450D"/>
    <w:rsid w:val="00F145AC"/>
    <w:rsid w:val="00F17CBA"/>
    <w:rsid w:val="00F212F9"/>
    <w:rsid w:val="00F215EF"/>
    <w:rsid w:val="00F217DB"/>
    <w:rsid w:val="00F22131"/>
    <w:rsid w:val="00F22494"/>
    <w:rsid w:val="00F228A2"/>
    <w:rsid w:val="00F2368A"/>
    <w:rsid w:val="00F23B82"/>
    <w:rsid w:val="00F23B84"/>
    <w:rsid w:val="00F24F48"/>
    <w:rsid w:val="00F2638E"/>
    <w:rsid w:val="00F26B14"/>
    <w:rsid w:val="00F272E0"/>
    <w:rsid w:val="00F273A8"/>
    <w:rsid w:val="00F27B49"/>
    <w:rsid w:val="00F31022"/>
    <w:rsid w:val="00F32747"/>
    <w:rsid w:val="00F32853"/>
    <w:rsid w:val="00F3384D"/>
    <w:rsid w:val="00F3384F"/>
    <w:rsid w:val="00F33856"/>
    <w:rsid w:val="00F33D64"/>
    <w:rsid w:val="00F340ED"/>
    <w:rsid w:val="00F34759"/>
    <w:rsid w:val="00F35766"/>
    <w:rsid w:val="00F35B8C"/>
    <w:rsid w:val="00F35B92"/>
    <w:rsid w:val="00F4002E"/>
    <w:rsid w:val="00F4036E"/>
    <w:rsid w:val="00F40785"/>
    <w:rsid w:val="00F445C5"/>
    <w:rsid w:val="00F469E0"/>
    <w:rsid w:val="00F47523"/>
    <w:rsid w:val="00F47B5C"/>
    <w:rsid w:val="00F5048C"/>
    <w:rsid w:val="00F5088B"/>
    <w:rsid w:val="00F50B04"/>
    <w:rsid w:val="00F51184"/>
    <w:rsid w:val="00F52724"/>
    <w:rsid w:val="00F52E60"/>
    <w:rsid w:val="00F53A91"/>
    <w:rsid w:val="00F53CF0"/>
    <w:rsid w:val="00F541D3"/>
    <w:rsid w:val="00F54EA0"/>
    <w:rsid w:val="00F5527B"/>
    <w:rsid w:val="00F56C40"/>
    <w:rsid w:val="00F57353"/>
    <w:rsid w:val="00F5797E"/>
    <w:rsid w:val="00F626DE"/>
    <w:rsid w:val="00F62A90"/>
    <w:rsid w:val="00F62BEE"/>
    <w:rsid w:val="00F63499"/>
    <w:rsid w:val="00F639BE"/>
    <w:rsid w:val="00F63A16"/>
    <w:rsid w:val="00F65C40"/>
    <w:rsid w:val="00F65F32"/>
    <w:rsid w:val="00F66C66"/>
    <w:rsid w:val="00F6782B"/>
    <w:rsid w:val="00F703E3"/>
    <w:rsid w:val="00F70487"/>
    <w:rsid w:val="00F70602"/>
    <w:rsid w:val="00F71963"/>
    <w:rsid w:val="00F71FEE"/>
    <w:rsid w:val="00F7287C"/>
    <w:rsid w:val="00F73A89"/>
    <w:rsid w:val="00F74036"/>
    <w:rsid w:val="00F76272"/>
    <w:rsid w:val="00F768D6"/>
    <w:rsid w:val="00F76B20"/>
    <w:rsid w:val="00F809D0"/>
    <w:rsid w:val="00F815A8"/>
    <w:rsid w:val="00F81653"/>
    <w:rsid w:val="00F820F6"/>
    <w:rsid w:val="00F821C6"/>
    <w:rsid w:val="00F8304C"/>
    <w:rsid w:val="00F84A6F"/>
    <w:rsid w:val="00F84EBC"/>
    <w:rsid w:val="00F859DD"/>
    <w:rsid w:val="00F863AE"/>
    <w:rsid w:val="00F90048"/>
    <w:rsid w:val="00F9106B"/>
    <w:rsid w:val="00F91309"/>
    <w:rsid w:val="00F9255C"/>
    <w:rsid w:val="00F92F60"/>
    <w:rsid w:val="00F93DB1"/>
    <w:rsid w:val="00F94FAC"/>
    <w:rsid w:val="00F958D5"/>
    <w:rsid w:val="00F95BE0"/>
    <w:rsid w:val="00F963A1"/>
    <w:rsid w:val="00FA1110"/>
    <w:rsid w:val="00FA17F1"/>
    <w:rsid w:val="00FA23F9"/>
    <w:rsid w:val="00FA29D7"/>
    <w:rsid w:val="00FA2DB9"/>
    <w:rsid w:val="00FA31E8"/>
    <w:rsid w:val="00FA3528"/>
    <w:rsid w:val="00FA3858"/>
    <w:rsid w:val="00FA5150"/>
    <w:rsid w:val="00FA5B0C"/>
    <w:rsid w:val="00FA63F8"/>
    <w:rsid w:val="00FA657A"/>
    <w:rsid w:val="00FA7810"/>
    <w:rsid w:val="00FB05E2"/>
    <w:rsid w:val="00FB198D"/>
    <w:rsid w:val="00FB3220"/>
    <w:rsid w:val="00FB3F0E"/>
    <w:rsid w:val="00FB48E1"/>
    <w:rsid w:val="00FB50C8"/>
    <w:rsid w:val="00FB7368"/>
    <w:rsid w:val="00FB7613"/>
    <w:rsid w:val="00FC335D"/>
    <w:rsid w:val="00FC3800"/>
    <w:rsid w:val="00FC4E78"/>
    <w:rsid w:val="00FC5C42"/>
    <w:rsid w:val="00FC5DFF"/>
    <w:rsid w:val="00FC7527"/>
    <w:rsid w:val="00FC7545"/>
    <w:rsid w:val="00FD018A"/>
    <w:rsid w:val="00FD0ED7"/>
    <w:rsid w:val="00FD1C70"/>
    <w:rsid w:val="00FD4964"/>
    <w:rsid w:val="00FD593B"/>
    <w:rsid w:val="00FD69B2"/>
    <w:rsid w:val="00FD774A"/>
    <w:rsid w:val="00FE0B8C"/>
    <w:rsid w:val="00FE0E26"/>
    <w:rsid w:val="00FE124B"/>
    <w:rsid w:val="00FE3104"/>
    <w:rsid w:val="00FE31B1"/>
    <w:rsid w:val="00FE685B"/>
    <w:rsid w:val="00FE6D7C"/>
    <w:rsid w:val="00FE765F"/>
    <w:rsid w:val="00FF079B"/>
    <w:rsid w:val="00FF0E0A"/>
    <w:rsid w:val="00FF2BCF"/>
    <w:rsid w:val="00FF2CBF"/>
    <w:rsid w:val="00FF3A68"/>
    <w:rsid w:val="00FF3B0C"/>
    <w:rsid w:val="00FF3B4E"/>
    <w:rsid w:val="00FF42C1"/>
    <w:rsid w:val="00FF4547"/>
    <w:rsid w:val="00FF4B35"/>
    <w:rsid w:val="00FF5C00"/>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24EC95"/>
  <w15:docId w15:val="{5C9906FD-2848-421B-8AE3-C691595E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4F0"/>
    <w:pPr>
      <w:spacing w:before="120" w:after="120" w:line="240" w:lineRule="auto"/>
    </w:pPr>
    <w:rPr>
      <w:sz w:val="24"/>
      <w:szCs w:val="24"/>
    </w:rPr>
  </w:style>
  <w:style w:type="paragraph" w:styleId="Heading1">
    <w:name w:val="heading 1"/>
    <w:basedOn w:val="Normal"/>
    <w:next w:val="Normal"/>
    <w:link w:val="Heading1Char"/>
    <w:uiPriority w:val="9"/>
    <w:qFormat/>
    <w:locked/>
    <w:rsid w:val="00963869"/>
    <w:pPr>
      <w:keepNext/>
      <w:spacing w:before="480"/>
      <w:jc w:val="center"/>
      <w:outlineLvl w:val="0"/>
    </w:pPr>
    <w:rPr>
      <w:rFonts w:ascii="Arial" w:hAnsi="Arial"/>
      <w:b/>
      <w:kern w:val="28"/>
      <w:sz w:val="28"/>
      <w:szCs w:val="20"/>
    </w:rPr>
  </w:style>
  <w:style w:type="paragraph" w:styleId="Heading2">
    <w:name w:val="heading 2"/>
    <w:basedOn w:val="Normal"/>
    <w:next w:val="Normal"/>
    <w:link w:val="Heading2Char"/>
    <w:uiPriority w:val="9"/>
    <w:qFormat/>
    <w:locked/>
    <w:rsid w:val="00AD04F0"/>
    <w:pPr>
      <w:keepNext/>
      <w:spacing w:before="240"/>
      <w:outlineLvl w:val="1"/>
    </w:pPr>
    <w:rPr>
      <w:rFonts w:ascii="Arial" w:hAnsi="Arial"/>
      <w:b/>
      <w:szCs w:val="20"/>
    </w:rPr>
  </w:style>
  <w:style w:type="paragraph" w:styleId="Heading3">
    <w:name w:val="heading 3"/>
    <w:basedOn w:val="Heading2"/>
    <w:link w:val="Heading3Char"/>
    <w:uiPriority w:val="9"/>
    <w:qFormat/>
    <w:locked/>
    <w:rsid w:val="00963869"/>
    <w:pPr>
      <w:outlineLvl w:val="2"/>
    </w:pPr>
    <w:rPr>
      <w:b w:val="0"/>
      <w:i/>
      <w:sz w:val="22"/>
    </w:rPr>
  </w:style>
  <w:style w:type="paragraph" w:styleId="Heading4">
    <w:name w:val="heading 4"/>
    <w:basedOn w:val="Normal"/>
    <w:link w:val="Heading4Char"/>
    <w:uiPriority w:val="9"/>
    <w:qFormat/>
    <w:locked/>
    <w:rsid w:val="00995474"/>
    <w:pPr>
      <w:numPr>
        <w:ilvl w:val="3"/>
        <w:numId w:val="1"/>
      </w:numPr>
      <w:spacing w:before="240"/>
      <w:outlineLvl w:val="3"/>
    </w:pPr>
    <w:rPr>
      <w:rFonts w:ascii="Arial" w:hAnsi="Arial"/>
      <w:sz w:val="20"/>
      <w:szCs w:val="20"/>
    </w:rPr>
  </w:style>
  <w:style w:type="paragraph" w:styleId="Heading5">
    <w:name w:val="heading 5"/>
    <w:basedOn w:val="Normal"/>
    <w:link w:val="Heading5Char"/>
    <w:uiPriority w:val="9"/>
    <w:qFormat/>
    <w:locked/>
    <w:rsid w:val="00995474"/>
    <w:pPr>
      <w:numPr>
        <w:ilvl w:val="4"/>
        <w:numId w:val="1"/>
      </w:numPr>
      <w:spacing w:before="24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105A59"/>
    <w:pPr>
      <w:numPr>
        <w:numId w:val="3"/>
      </w:numPr>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aliases w:val="ss,Subsection"/>
    <w:basedOn w:val="Normal"/>
    <w:link w:val="subsectionChar"/>
    <w:rsid w:val="00787B5F"/>
    <w:pPr>
      <w:spacing w:before="100" w:beforeAutospacing="1" w:after="100" w:afterAutospacing="1"/>
    </w:pPr>
  </w:style>
  <w:style w:type="paragraph" w:customStyle="1" w:styleId="TableTextform">
    <w:name w:val="TableText form"/>
    <w:basedOn w:val="Normal"/>
    <w:qFormat/>
    <w:rsid w:val="00E066A0"/>
    <w:pPr>
      <w:spacing w:before="40" w:after="240"/>
    </w:pPr>
    <w:rPr>
      <w:rFonts w:ascii="Arial" w:eastAsiaTheme="majorEastAsia" w:hAnsi="Arial" w:cs="Arial"/>
      <w:bCs/>
      <w:sz w:val="20"/>
      <w:szCs w:val="20"/>
      <w:lang w:eastAsia="en-US"/>
    </w:rPr>
  </w:style>
  <w:style w:type="character" w:styleId="FollowedHyperlink">
    <w:name w:val="FollowedHyperlink"/>
    <w:basedOn w:val="DefaultParagraphFont"/>
    <w:uiPriority w:val="99"/>
    <w:semiHidden/>
    <w:unhideWhenUsed/>
    <w:rsid w:val="00C366B8"/>
    <w:rPr>
      <w:color w:val="800080" w:themeColor="followedHyperlink"/>
      <w:u w:val="single"/>
    </w:rPr>
  </w:style>
  <w:style w:type="character" w:customStyle="1" w:styleId="Heading1Char">
    <w:name w:val="Heading 1 Char"/>
    <w:basedOn w:val="DefaultParagraphFont"/>
    <w:link w:val="Heading1"/>
    <w:uiPriority w:val="9"/>
    <w:rsid w:val="00963869"/>
    <w:rPr>
      <w:rFonts w:ascii="Arial" w:hAnsi="Arial"/>
      <w:b/>
      <w:kern w:val="28"/>
      <w:sz w:val="28"/>
      <w:szCs w:val="20"/>
    </w:rPr>
  </w:style>
  <w:style w:type="character" w:customStyle="1" w:styleId="Heading2Char">
    <w:name w:val="Heading 2 Char"/>
    <w:basedOn w:val="DefaultParagraphFont"/>
    <w:link w:val="Heading2"/>
    <w:uiPriority w:val="9"/>
    <w:rsid w:val="00AD04F0"/>
    <w:rPr>
      <w:rFonts w:ascii="Arial" w:hAnsi="Arial"/>
      <w:b/>
      <w:sz w:val="24"/>
      <w:szCs w:val="20"/>
    </w:rPr>
  </w:style>
  <w:style w:type="character" w:customStyle="1" w:styleId="Heading3Char">
    <w:name w:val="Heading 3 Char"/>
    <w:basedOn w:val="DefaultParagraphFont"/>
    <w:link w:val="Heading3"/>
    <w:uiPriority w:val="9"/>
    <w:rsid w:val="00963869"/>
    <w:rPr>
      <w:rFonts w:ascii="Arial" w:hAnsi="Arial"/>
      <w:i/>
      <w:szCs w:val="20"/>
    </w:rPr>
  </w:style>
  <w:style w:type="character" w:customStyle="1" w:styleId="Heading4Char">
    <w:name w:val="Heading 4 Char"/>
    <w:basedOn w:val="DefaultParagraphFont"/>
    <w:link w:val="Heading4"/>
    <w:uiPriority w:val="9"/>
    <w:rsid w:val="00995474"/>
    <w:rPr>
      <w:rFonts w:ascii="Arial" w:hAnsi="Arial"/>
      <w:sz w:val="20"/>
      <w:szCs w:val="20"/>
    </w:rPr>
  </w:style>
  <w:style w:type="character" w:customStyle="1" w:styleId="Heading5Char">
    <w:name w:val="Heading 5 Char"/>
    <w:basedOn w:val="DefaultParagraphFont"/>
    <w:link w:val="Heading5"/>
    <w:uiPriority w:val="9"/>
    <w:rsid w:val="00995474"/>
    <w:rPr>
      <w:rFonts w:ascii="Arial" w:hAnsi="Arial"/>
      <w:sz w:val="20"/>
      <w:szCs w:val="20"/>
    </w:rPr>
  </w:style>
  <w:style w:type="paragraph" w:customStyle="1" w:styleId="Headingpara2">
    <w:name w:val="Headingpara2"/>
    <w:basedOn w:val="Heading2"/>
    <w:qFormat/>
    <w:rsid w:val="00995474"/>
    <w:pPr>
      <w:keepNext w:val="0"/>
    </w:pPr>
    <w:rPr>
      <w:b w:val="0"/>
    </w:rPr>
  </w:style>
  <w:style w:type="paragraph" w:styleId="TOC8">
    <w:name w:val="toc 8"/>
    <w:basedOn w:val="Normal"/>
    <w:next w:val="Normal"/>
    <w:autoRedefine/>
    <w:uiPriority w:val="39"/>
    <w:locked/>
    <w:rsid w:val="005A79AF"/>
    <w:pPr>
      <w:ind w:left="1540"/>
    </w:pPr>
    <w:rPr>
      <w:rFonts w:ascii="Arial" w:hAnsi="Arial"/>
      <w:sz w:val="20"/>
      <w:szCs w:val="20"/>
    </w:rPr>
  </w:style>
  <w:style w:type="paragraph" w:customStyle="1" w:styleId="Bullet2">
    <w:name w:val="Bullet2"/>
    <w:basedOn w:val="Normal"/>
    <w:qFormat/>
    <w:rsid w:val="0055771D"/>
    <w:pPr>
      <w:numPr>
        <w:numId w:val="2"/>
      </w:numPr>
      <w:spacing w:before="240"/>
    </w:pPr>
    <w:rPr>
      <w:rFonts w:ascii="Arial" w:hAnsi="Arial" w:cstheme="minorBidi"/>
      <w:sz w:val="20"/>
      <w:szCs w:val="20"/>
      <w:lang w:eastAsia="en-US"/>
    </w:rPr>
  </w:style>
  <w:style w:type="character" w:customStyle="1" w:styleId="subsectionChar">
    <w:name w:val="subsection Char"/>
    <w:aliases w:val="ss Char"/>
    <w:link w:val="subsection"/>
    <w:locked/>
    <w:rsid w:val="00055D4C"/>
    <w:rPr>
      <w:sz w:val="24"/>
      <w:szCs w:val="24"/>
    </w:rPr>
  </w:style>
  <w:style w:type="character" w:customStyle="1" w:styleId="paragraphChar">
    <w:name w:val="paragraph Char"/>
    <w:aliases w:val="a Char"/>
    <w:link w:val="paragraph"/>
    <w:rsid w:val="00055D4C"/>
    <w:rPr>
      <w:szCs w:val="20"/>
    </w:rPr>
  </w:style>
  <w:style w:type="paragraph" w:customStyle="1" w:styleId="Style1">
    <w:name w:val="Style1"/>
    <w:basedOn w:val="Heading2"/>
    <w:qFormat/>
    <w:rsid w:val="00AD04F0"/>
  </w:style>
  <w:style w:type="paragraph" w:styleId="Header">
    <w:name w:val="header"/>
    <w:basedOn w:val="Normal"/>
    <w:link w:val="HeaderChar"/>
    <w:uiPriority w:val="99"/>
    <w:unhideWhenUsed/>
    <w:rsid w:val="00963869"/>
    <w:pPr>
      <w:tabs>
        <w:tab w:val="center" w:pos="4513"/>
        <w:tab w:val="right" w:pos="9026"/>
      </w:tabs>
      <w:spacing w:before="0" w:after="0"/>
    </w:pPr>
  </w:style>
  <w:style w:type="character" w:customStyle="1" w:styleId="HeaderChar">
    <w:name w:val="Header Char"/>
    <w:basedOn w:val="DefaultParagraphFont"/>
    <w:link w:val="Header"/>
    <w:uiPriority w:val="99"/>
    <w:rsid w:val="009638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70745">
      <w:bodyDiv w:val="1"/>
      <w:marLeft w:val="0"/>
      <w:marRight w:val="0"/>
      <w:marTop w:val="0"/>
      <w:marBottom w:val="0"/>
      <w:divBdr>
        <w:top w:val="none" w:sz="0" w:space="0" w:color="auto"/>
        <w:left w:val="none" w:sz="0" w:space="0" w:color="auto"/>
        <w:bottom w:val="none" w:sz="0" w:space="0" w:color="auto"/>
        <w:right w:val="none" w:sz="0" w:space="0" w:color="auto"/>
      </w:divBdr>
      <w:divsChild>
        <w:div w:id="1568229361">
          <w:marLeft w:val="0"/>
          <w:marRight w:val="0"/>
          <w:marTop w:val="0"/>
          <w:marBottom w:val="0"/>
          <w:divBdr>
            <w:top w:val="none" w:sz="0" w:space="0" w:color="auto"/>
            <w:left w:val="none" w:sz="0" w:space="0" w:color="auto"/>
            <w:bottom w:val="none" w:sz="0" w:space="0" w:color="auto"/>
            <w:right w:val="none" w:sz="0" w:space="0" w:color="auto"/>
          </w:divBdr>
          <w:divsChild>
            <w:div w:id="348872853">
              <w:marLeft w:val="0"/>
              <w:marRight w:val="0"/>
              <w:marTop w:val="0"/>
              <w:marBottom w:val="0"/>
              <w:divBdr>
                <w:top w:val="none" w:sz="0" w:space="0" w:color="auto"/>
                <w:left w:val="none" w:sz="0" w:space="0" w:color="auto"/>
                <w:bottom w:val="none" w:sz="0" w:space="0" w:color="auto"/>
                <w:right w:val="none" w:sz="0" w:space="0" w:color="auto"/>
              </w:divBdr>
              <w:divsChild>
                <w:div w:id="1595549085">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928463242">
                          <w:marLeft w:val="0"/>
                          <w:marRight w:val="0"/>
                          <w:marTop w:val="0"/>
                          <w:marBottom w:val="0"/>
                          <w:divBdr>
                            <w:top w:val="none" w:sz="0" w:space="0" w:color="auto"/>
                            <w:left w:val="none" w:sz="0" w:space="0" w:color="auto"/>
                            <w:bottom w:val="none" w:sz="0" w:space="0" w:color="auto"/>
                            <w:right w:val="none" w:sz="0" w:space="0" w:color="auto"/>
                          </w:divBdr>
                          <w:divsChild>
                            <w:div w:id="63066531">
                              <w:marLeft w:val="0"/>
                              <w:marRight w:val="0"/>
                              <w:marTop w:val="0"/>
                              <w:marBottom w:val="0"/>
                              <w:divBdr>
                                <w:top w:val="none" w:sz="0" w:space="0" w:color="auto"/>
                                <w:left w:val="none" w:sz="0" w:space="0" w:color="auto"/>
                                <w:bottom w:val="none" w:sz="0" w:space="0" w:color="auto"/>
                                <w:right w:val="none" w:sz="0" w:space="0" w:color="auto"/>
                              </w:divBdr>
                              <w:divsChild>
                                <w:div w:id="1423530921">
                                  <w:marLeft w:val="0"/>
                                  <w:marRight w:val="0"/>
                                  <w:marTop w:val="0"/>
                                  <w:marBottom w:val="0"/>
                                  <w:divBdr>
                                    <w:top w:val="none" w:sz="0" w:space="0" w:color="auto"/>
                                    <w:left w:val="none" w:sz="0" w:space="0" w:color="auto"/>
                                    <w:bottom w:val="none" w:sz="0" w:space="0" w:color="auto"/>
                                    <w:right w:val="none" w:sz="0" w:space="0" w:color="auto"/>
                                  </w:divBdr>
                                  <w:divsChild>
                                    <w:div w:id="1667509403">
                                      <w:marLeft w:val="0"/>
                                      <w:marRight w:val="0"/>
                                      <w:marTop w:val="0"/>
                                      <w:marBottom w:val="0"/>
                                      <w:divBdr>
                                        <w:top w:val="none" w:sz="0" w:space="0" w:color="auto"/>
                                        <w:left w:val="none" w:sz="0" w:space="0" w:color="auto"/>
                                        <w:bottom w:val="none" w:sz="0" w:space="0" w:color="auto"/>
                                        <w:right w:val="none" w:sz="0" w:space="0" w:color="auto"/>
                                      </w:divBdr>
                                      <w:divsChild>
                                        <w:div w:id="1451048773">
                                          <w:marLeft w:val="0"/>
                                          <w:marRight w:val="0"/>
                                          <w:marTop w:val="0"/>
                                          <w:marBottom w:val="0"/>
                                          <w:divBdr>
                                            <w:top w:val="none" w:sz="0" w:space="0" w:color="auto"/>
                                            <w:left w:val="none" w:sz="0" w:space="0" w:color="auto"/>
                                            <w:bottom w:val="none" w:sz="0" w:space="0" w:color="auto"/>
                                            <w:right w:val="none" w:sz="0" w:space="0" w:color="auto"/>
                                          </w:divBdr>
                                          <w:divsChild>
                                            <w:div w:id="366375079">
                                              <w:marLeft w:val="0"/>
                                              <w:marRight w:val="0"/>
                                              <w:marTop w:val="0"/>
                                              <w:marBottom w:val="0"/>
                                              <w:divBdr>
                                                <w:top w:val="none" w:sz="0" w:space="0" w:color="auto"/>
                                                <w:left w:val="none" w:sz="0" w:space="0" w:color="auto"/>
                                                <w:bottom w:val="none" w:sz="0" w:space="0" w:color="auto"/>
                                                <w:right w:val="none" w:sz="0" w:space="0" w:color="auto"/>
                                              </w:divBdr>
                                              <w:divsChild>
                                                <w:div w:id="116028121">
                                                  <w:marLeft w:val="0"/>
                                                  <w:marRight w:val="0"/>
                                                  <w:marTop w:val="0"/>
                                                  <w:marBottom w:val="0"/>
                                                  <w:divBdr>
                                                    <w:top w:val="none" w:sz="0" w:space="0" w:color="auto"/>
                                                    <w:left w:val="none" w:sz="0" w:space="0" w:color="auto"/>
                                                    <w:bottom w:val="none" w:sz="0" w:space="0" w:color="auto"/>
                                                    <w:right w:val="none" w:sz="0" w:space="0" w:color="auto"/>
                                                  </w:divBdr>
                                                  <w:divsChild>
                                                    <w:div w:id="628165953">
                                                      <w:marLeft w:val="0"/>
                                                      <w:marRight w:val="0"/>
                                                      <w:marTop w:val="0"/>
                                                      <w:marBottom w:val="0"/>
                                                      <w:divBdr>
                                                        <w:top w:val="none" w:sz="0" w:space="0" w:color="auto"/>
                                                        <w:left w:val="none" w:sz="0" w:space="0" w:color="auto"/>
                                                        <w:bottom w:val="none" w:sz="0" w:space="0" w:color="auto"/>
                                                        <w:right w:val="none" w:sz="0" w:space="0" w:color="auto"/>
                                                      </w:divBdr>
                                                      <w:divsChild>
                                                        <w:div w:id="2096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70898">
      <w:bodyDiv w:val="1"/>
      <w:marLeft w:val="0"/>
      <w:marRight w:val="0"/>
      <w:marTop w:val="0"/>
      <w:marBottom w:val="0"/>
      <w:divBdr>
        <w:top w:val="none" w:sz="0" w:space="0" w:color="auto"/>
        <w:left w:val="none" w:sz="0" w:space="0" w:color="auto"/>
        <w:bottom w:val="none" w:sz="0" w:space="0" w:color="auto"/>
        <w:right w:val="none" w:sz="0" w:space="0" w:color="auto"/>
      </w:divBdr>
      <w:divsChild>
        <w:div w:id="1230076456">
          <w:marLeft w:val="0"/>
          <w:marRight w:val="0"/>
          <w:marTop w:val="0"/>
          <w:marBottom w:val="0"/>
          <w:divBdr>
            <w:top w:val="none" w:sz="0" w:space="0" w:color="auto"/>
            <w:left w:val="none" w:sz="0" w:space="0" w:color="auto"/>
            <w:bottom w:val="none" w:sz="0" w:space="0" w:color="auto"/>
            <w:right w:val="none" w:sz="0" w:space="0" w:color="auto"/>
          </w:divBdr>
          <w:divsChild>
            <w:div w:id="495925751">
              <w:marLeft w:val="0"/>
              <w:marRight w:val="0"/>
              <w:marTop w:val="0"/>
              <w:marBottom w:val="0"/>
              <w:divBdr>
                <w:top w:val="none" w:sz="0" w:space="0" w:color="auto"/>
                <w:left w:val="none" w:sz="0" w:space="0" w:color="auto"/>
                <w:bottom w:val="none" w:sz="0" w:space="0" w:color="auto"/>
                <w:right w:val="none" w:sz="0" w:space="0" w:color="auto"/>
              </w:divBdr>
              <w:divsChild>
                <w:div w:id="1288200680">
                  <w:marLeft w:val="0"/>
                  <w:marRight w:val="0"/>
                  <w:marTop w:val="0"/>
                  <w:marBottom w:val="0"/>
                  <w:divBdr>
                    <w:top w:val="none" w:sz="0" w:space="0" w:color="auto"/>
                    <w:left w:val="none" w:sz="0" w:space="0" w:color="auto"/>
                    <w:bottom w:val="none" w:sz="0" w:space="0" w:color="auto"/>
                    <w:right w:val="none" w:sz="0" w:space="0" w:color="auto"/>
                  </w:divBdr>
                  <w:divsChild>
                    <w:div w:id="400254825">
                      <w:marLeft w:val="0"/>
                      <w:marRight w:val="0"/>
                      <w:marTop w:val="0"/>
                      <w:marBottom w:val="0"/>
                      <w:divBdr>
                        <w:top w:val="none" w:sz="0" w:space="0" w:color="auto"/>
                        <w:left w:val="none" w:sz="0" w:space="0" w:color="auto"/>
                        <w:bottom w:val="none" w:sz="0" w:space="0" w:color="auto"/>
                        <w:right w:val="none" w:sz="0" w:space="0" w:color="auto"/>
                      </w:divBdr>
                      <w:divsChild>
                        <w:div w:id="230775084">
                          <w:marLeft w:val="0"/>
                          <w:marRight w:val="0"/>
                          <w:marTop w:val="0"/>
                          <w:marBottom w:val="0"/>
                          <w:divBdr>
                            <w:top w:val="none" w:sz="0" w:space="0" w:color="auto"/>
                            <w:left w:val="none" w:sz="0" w:space="0" w:color="auto"/>
                            <w:bottom w:val="none" w:sz="0" w:space="0" w:color="auto"/>
                            <w:right w:val="none" w:sz="0" w:space="0" w:color="auto"/>
                          </w:divBdr>
                          <w:divsChild>
                            <w:div w:id="783961207">
                              <w:marLeft w:val="0"/>
                              <w:marRight w:val="0"/>
                              <w:marTop w:val="0"/>
                              <w:marBottom w:val="0"/>
                              <w:divBdr>
                                <w:top w:val="none" w:sz="0" w:space="0" w:color="auto"/>
                                <w:left w:val="none" w:sz="0" w:space="0" w:color="auto"/>
                                <w:bottom w:val="none" w:sz="0" w:space="0" w:color="auto"/>
                                <w:right w:val="none" w:sz="0" w:space="0" w:color="auto"/>
                              </w:divBdr>
                              <w:divsChild>
                                <w:div w:id="1591769932">
                                  <w:marLeft w:val="0"/>
                                  <w:marRight w:val="0"/>
                                  <w:marTop w:val="0"/>
                                  <w:marBottom w:val="0"/>
                                  <w:divBdr>
                                    <w:top w:val="none" w:sz="0" w:space="0" w:color="auto"/>
                                    <w:left w:val="none" w:sz="0" w:space="0" w:color="auto"/>
                                    <w:bottom w:val="none" w:sz="0" w:space="0" w:color="auto"/>
                                    <w:right w:val="none" w:sz="0" w:space="0" w:color="auto"/>
                                  </w:divBdr>
                                  <w:divsChild>
                                    <w:div w:id="1265265090">
                                      <w:marLeft w:val="0"/>
                                      <w:marRight w:val="0"/>
                                      <w:marTop w:val="0"/>
                                      <w:marBottom w:val="0"/>
                                      <w:divBdr>
                                        <w:top w:val="none" w:sz="0" w:space="0" w:color="auto"/>
                                        <w:left w:val="none" w:sz="0" w:space="0" w:color="auto"/>
                                        <w:bottom w:val="none" w:sz="0" w:space="0" w:color="auto"/>
                                        <w:right w:val="none" w:sz="0" w:space="0" w:color="auto"/>
                                      </w:divBdr>
                                      <w:divsChild>
                                        <w:div w:id="1788423690">
                                          <w:marLeft w:val="0"/>
                                          <w:marRight w:val="0"/>
                                          <w:marTop w:val="0"/>
                                          <w:marBottom w:val="0"/>
                                          <w:divBdr>
                                            <w:top w:val="none" w:sz="0" w:space="0" w:color="auto"/>
                                            <w:left w:val="none" w:sz="0" w:space="0" w:color="auto"/>
                                            <w:bottom w:val="none" w:sz="0" w:space="0" w:color="auto"/>
                                            <w:right w:val="none" w:sz="0" w:space="0" w:color="auto"/>
                                          </w:divBdr>
                                          <w:divsChild>
                                            <w:div w:id="1502239590">
                                              <w:marLeft w:val="0"/>
                                              <w:marRight w:val="0"/>
                                              <w:marTop w:val="0"/>
                                              <w:marBottom w:val="0"/>
                                              <w:divBdr>
                                                <w:top w:val="none" w:sz="0" w:space="0" w:color="auto"/>
                                                <w:left w:val="none" w:sz="0" w:space="0" w:color="auto"/>
                                                <w:bottom w:val="none" w:sz="0" w:space="0" w:color="auto"/>
                                                <w:right w:val="none" w:sz="0" w:space="0" w:color="auto"/>
                                              </w:divBdr>
                                              <w:divsChild>
                                                <w:div w:id="1173451870">
                                                  <w:marLeft w:val="0"/>
                                                  <w:marRight w:val="0"/>
                                                  <w:marTop w:val="0"/>
                                                  <w:marBottom w:val="0"/>
                                                  <w:divBdr>
                                                    <w:top w:val="none" w:sz="0" w:space="0" w:color="auto"/>
                                                    <w:left w:val="none" w:sz="0" w:space="0" w:color="auto"/>
                                                    <w:bottom w:val="none" w:sz="0" w:space="0" w:color="auto"/>
                                                    <w:right w:val="none" w:sz="0" w:space="0" w:color="auto"/>
                                                  </w:divBdr>
                                                  <w:divsChild>
                                                    <w:div w:id="763379161">
                                                      <w:marLeft w:val="0"/>
                                                      <w:marRight w:val="0"/>
                                                      <w:marTop w:val="0"/>
                                                      <w:marBottom w:val="0"/>
                                                      <w:divBdr>
                                                        <w:top w:val="none" w:sz="0" w:space="0" w:color="auto"/>
                                                        <w:left w:val="none" w:sz="0" w:space="0" w:color="auto"/>
                                                        <w:bottom w:val="none" w:sz="0" w:space="0" w:color="auto"/>
                                                        <w:right w:val="none" w:sz="0" w:space="0" w:color="auto"/>
                                                      </w:divBdr>
                                                      <w:divsChild>
                                                        <w:div w:id="17497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355100">
      <w:bodyDiv w:val="1"/>
      <w:marLeft w:val="0"/>
      <w:marRight w:val="0"/>
      <w:marTop w:val="0"/>
      <w:marBottom w:val="0"/>
      <w:divBdr>
        <w:top w:val="none" w:sz="0" w:space="0" w:color="auto"/>
        <w:left w:val="none" w:sz="0" w:space="0" w:color="auto"/>
        <w:bottom w:val="none" w:sz="0" w:space="0" w:color="auto"/>
        <w:right w:val="none" w:sz="0" w:space="0" w:color="auto"/>
      </w:divBdr>
    </w:div>
    <w:div w:id="1589575883">
      <w:bodyDiv w:val="1"/>
      <w:marLeft w:val="0"/>
      <w:marRight w:val="0"/>
      <w:marTop w:val="0"/>
      <w:marBottom w:val="0"/>
      <w:divBdr>
        <w:top w:val="none" w:sz="0" w:space="0" w:color="auto"/>
        <w:left w:val="none" w:sz="0" w:space="0" w:color="auto"/>
        <w:bottom w:val="none" w:sz="0" w:space="0" w:color="auto"/>
        <w:right w:val="none" w:sz="0" w:space="0" w:color="auto"/>
      </w:divBdr>
    </w:div>
    <w:div w:id="1818495176">
      <w:bodyDiv w:val="1"/>
      <w:marLeft w:val="0"/>
      <w:marRight w:val="0"/>
      <w:marTop w:val="0"/>
      <w:marBottom w:val="0"/>
      <w:divBdr>
        <w:top w:val="none" w:sz="0" w:space="0" w:color="auto"/>
        <w:left w:val="none" w:sz="0" w:space="0" w:color="auto"/>
        <w:bottom w:val="none" w:sz="0" w:space="0" w:color="auto"/>
        <w:right w:val="none" w:sz="0" w:space="0" w:color="auto"/>
      </w:divBdr>
      <w:divsChild>
        <w:div w:id="862784329">
          <w:marLeft w:val="0"/>
          <w:marRight w:val="0"/>
          <w:marTop w:val="0"/>
          <w:marBottom w:val="0"/>
          <w:divBdr>
            <w:top w:val="none" w:sz="0" w:space="0" w:color="auto"/>
            <w:left w:val="none" w:sz="0" w:space="0" w:color="auto"/>
            <w:bottom w:val="none" w:sz="0" w:space="0" w:color="auto"/>
            <w:right w:val="none" w:sz="0" w:space="0" w:color="auto"/>
          </w:divBdr>
          <w:divsChild>
            <w:div w:id="1717196787">
              <w:marLeft w:val="0"/>
              <w:marRight w:val="0"/>
              <w:marTop w:val="0"/>
              <w:marBottom w:val="0"/>
              <w:divBdr>
                <w:top w:val="none" w:sz="0" w:space="0" w:color="auto"/>
                <w:left w:val="none" w:sz="0" w:space="0" w:color="auto"/>
                <w:bottom w:val="none" w:sz="0" w:space="0" w:color="auto"/>
                <w:right w:val="none" w:sz="0" w:space="0" w:color="auto"/>
              </w:divBdr>
              <w:divsChild>
                <w:div w:id="1633439388">
                  <w:marLeft w:val="0"/>
                  <w:marRight w:val="0"/>
                  <w:marTop w:val="0"/>
                  <w:marBottom w:val="0"/>
                  <w:divBdr>
                    <w:top w:val="none" w:sz="0" w:space="0" w:color="auto"/>
                    <w:left w:val="none" w:sz="0" w:space="0" w:color="auto"/>
                    <w:bottom w:val="none" w:sz="0" w:space="0" w:color="auto"/>
                    <w:right w:val="none" w:sz="0" w:space="0" w:color="auto"/>
                  </w:divBdr>
                  <w:divsChild>
                    <w:div w:id="507017807">
                      <w:marLeft w:val="0"/>
                      <w:marRight w:val="0"/>
                      <w:marTop w:val="0"/>
                      <w:marBottom w:val="0"/>
                      <w:divBdr>
                        <w:top w:val="none" w:sz="0" w:space="0" w:color="auto"/>
                        <w:left w:val="none" w:sz="0" w:space="0" w:color="auto"/>
                        <w:bottom w:val="none" w:sz="0" w:space="0" w:color="auto"/>
                        <w:right w:val="none" w:sz="0" w:space="0" w:color="auto"/>
                      </w:divBdr>
                      <w:divsChild>
                        <w:div w:id="329989378">
                          <w:marLeft w:val="0"/>
                          <w:marRight w:val="0"/>
                          <w:marTop w:val="0"/>
                          <w:marBottom w:val="0"/>
                          <w:divBdr>
                            <w:top w:val="none" w:sz="0" w:space="0" w:color="auto"/>
                            <w:left w:val="none" w:sz="0" w:space="0" w:color="auto"/>
                            <w:bottom w:val="none" w:sz="0" w:space="0" w:color="auto"/>
                            <w:right w:val="none" w:sz="0" w:space="0" w:color="auto"/>
                          </w:divBdr>
                          <w:divsChild>
                            <w:div w:id="2085105391">
                              <w:marLeft w:val="0"/>
                              <w:marRight w:val="0"/>
                              <w:marTop w:val="0"/>
                              <w:marBottom w:val="0"/>
                              <w:divBdr>
                                <w:top w:val="none" w:sz="0" w:space="0" w:color="auto"/>
                                <w:left w:val="none" w:sz="0" w:space="0" w:color="auto"/>
                                <w:bottom w:val="none" w:sz="0" w:space="0" w:color="auto"/>
                                <w:right w:val="none" w:sz="0" w:space="0" w:color="auto"/>
                              </w:divBdr>
                              <w:divsChild>
                                <w:div w:id="1965845124">
                                  <w:marLeft w:val="0"/>
                                  <w:marRight w:val="0"/>
                                  <w:marTop w:val="0"/>
                                  <w:marBottom w:val="0"/>
                                  <w:divBdr>
                                    <w:top w:val="none" w:sz="0" w:space="0" w:color="auto"/>
                                    <w:left w:val="none" w:sz="0" w:space="0" w:color="auto"/>
                                    <w:bottom w:val="none" w:sz="0" w:space="0" w:color="auto"/>
                                    <w:right w:val="none" w:sz="0" w:space="0" w:color="auto"/>
                                  </w:divBdr>
                                  <w:divsChild>
                                    <w:div w:id="1718504823">
                                      <w:marLeft w:val="0"/>
                                      <w:marRight w:val="0"/>
                                      <w:marTop w:val="0"/>
                                      <w:marBottom w:val="0"/>
                                      <w:divBdr>
                                        <w:top w:val="none" w:sz="0" w:space="0" w:color="auto"/>
                                        <w:left w:val="none" w:sz="0" w:space="0" w:color="auto"/>
                                        <w:bottom w:val="none" w:sz="0" w:space="0" w:color="auto"/>
                                        <w:right w:val="none" w:sz="0" w:space="0" w:color="auto"/>
                                      </w:divBdr>
                                      <w:divsChild>
                                        <w:div w:id="137697107">
                                          <w:marLeft w:val="0"/>
                                          <w:marRight w:val="0"/>
                                          <w:marTop w:val="0"/>
                                          <w:marBottom w:val="0"/>
                                          <w:divBdr>
                                            <w:top w:val="none" w:sz="0" w:space="0" w:color="auto"/>
                                            <w:left w:val="none" w:sz="0" w:space="0" w:color="auto"/>
                                            <w:bottom w:val="none" w:sz="0" w:space="0" w:color="auto"/>
                                            <w:right w:val="none" w:sz="0" w:space="0" w:color="auto"/>
                                          </w:divBdr>
                                          <w:divsChild>
                                            <w:div w:id="661350547">
                                              <w:marLeft w:val="0"/>
                                              <w:marRight w:val="0"/>
                                              <w:marTop w:val="0"/>
                                              <w:marBottom w:val="0"/>
                                              <w:divBdr>
                                                <w:top w:val="none" w:sz="0" w:space="0" w:color="auto"/>
                                                <w:left w:val="none" w:sz="0" w:space="0" w:color="auto"/>
                                                <w:bottom w:val="none" w:sz="0" w:space="0" w:color="auto"/>
                                                <w:right w:val="none" w:sz="0" w:space="0" w:color="auto"/>
                                              </w:divBdr>
                                              <w:divsChild>
                                                <w:div w:id="603458638">
                                                  <w:marLeft w:val="0"/>
                                                  <w:marRight w:val="0"/>
                                                  <w:marTop w:val="0"/>
                                                  <w:marBottom w:val="0"/>
                                                  <w:divBdr>
                                                    <w:top w:val="none" w:sz="0" w:space="0" w:color="auto"/>
                                                    <w:left w:val="none" w:sz="0" w:space="0" w:color="auto"/>
                                                    <w:bottom w:val="none" w:sz="0" w:space="0" w:color="auto"/>
                                                    <w:right w:val="none" w:sz="0" w:space="0" w:color="auto"/>
                                                  </w:divBdr>
                                                  <w:divsChild>
                                                    <w:div w:id="694841456">
                                                      <w:marLeft w:val="0"/>
                                                      <w:marRight w:val="0"/>
                                                      <w:marTop w:val="0"/>
                                                      <w:marBottom w:val="0"/>
                                                      <w:divBdr>
                                                        <w:top w:val="none" w:sz="0" w:space="0" w:color="auto"/>
                                                        <w:left w:val="none" w:sz="0" w:space="0" w:color="auto"/>
                                                        <w:bottom w:val="none" w:sz="0" w:space="0" w:color="auto"/>
                                                        <w:right w:val="none" w:sz="0" w:space="0" w:color="auto"/>
                                                      </w:divBdr>
                                                      <w:divsChild>
                                                        <w:div w:id="5589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946713">
      <w:bodyDiv w:val="1"/>
      <w:marLeft w:val="0"/>
      <w:marRight w:val="0"/>
      <w:marTop w:val="0"/>
      <w:marBottom w:val="0"/>
      <w:divBdr>
        <w:top w:val="none" w:sz="0" w:space="0" w:color="auto"/>
        <w:left w:val="none" w:sz="0" w:space="0" w:color="auto"/>
        <w:bottom w:val="none" w:sz="0" w:space="0" w:color="auto"/>
        <w:right w:val="none" w:sz="0" w:space="0" w:color="auto"/>
      </w:divBdr>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718E2357227384485F55EA00C70A230" ma:contentTypeVersion="" ma:contentTypeDescription="PDMS Document Site Content Type" ma:contentTypeScope="" ma:versionID="f045a6e141841299c7aa1a7be8e2f17d">
  <xsd:schema xmlns:xsd="http://www.w3.org/2001/XMLSchema" xmlns:xs="http://www.w3.org/2001/XMLSchema" xmlns:p="http://schemas.microsoft.com/office/2006/metadata/properties" xmlns:ns2="511E7924-D888-4239-8AA0-D8DF062E4881" targetNamespace="http://schemas.microsoft.com/office/2006/metadata/properties" ma:root="true" ma:fieldsID="5ccb3cbef19dd6153a23633f04d46193" ns2:_="">
    <xsd:import namespace="511E7924-D888-4239-8AA0-D8DF062E488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7924-D888-4239-8AA0-D8DF062E488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11E7924-D888-4239-8AA0-D8DF062E48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D42AA-BEA2-4F32-863A-B23AEF0BD75F}">
  <ds:schemaRefs>
    <ds:schemaRef ds:uri="http://schemas.openxmlformats.org/officeDocument/2006/bibliography"/>
  </ds:schemaRefs>
</ds:datastoreItem>
</file>

<file path=customXml/itemProps2.xml><?xml version="1.0" encoding="utf-8"?>
<ds:datastoreItem xmlns:ds="http://schemas.openxmlformats.org/officeDocument/2006/customXml" ds:itemID="{20292050-E40B-4B83-A034-BD081636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7924-D888-4239-8AA0-D8DF062E4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ECBBF-2110-4842-9B78-8218AC8CA4B5}">
  <ds:schemaRefs>
    <ds:schemaRef ds:uri="http://schemas.microsoft.com/office/2006/metadata/properties"/>
    <ds:schemaRef ds:uri="http://schemas.microsoft.com/office/infopath/2007/PartnerControls"/>
    <ds:schemaRef ds:uri="511E7924-D888-4239-8AA0-D8DF062E4881"/>
  </ds:schemaRefs>
</ds:datastoreItem>
</file>

<file path=customXml/itemProps4.xml><?xml version="1.0" encoding="utf-8"?>
<ds:datastoreItem xmlns:ds="http://schemas.openxmlformats.org/officeDocument/2006/customXml" ds:itemID="{4AF4C3CE-A86A-4EEF-A18F-B6DD1FFAE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3382</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keywords>[SEC=OFFICIAL]</cp:keywords>
  <cp:lastModifiedBy>Johanna</cp:lastModifiedBy>
  <cp:revision>2</cp:revision>
  <cp:lastPrinted>2018-11-08T01:19:00Z</cp:lastPrinted>
  <dcterms:created xsi:type="dcterms:W3CDTF">2021-12-16T04:54:00Z</dcterms:created>
  <dcterms:modified xsi:type="dcterms:W3CDTF">2021-12-16T04:54:00Z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0x010100266966F133664895A6EE3632470D45F5004718E2357227384485F55EA00C70A230</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InsertionValue">
    <vt:lpwstr>OFFICIAL</vt:lpwstr>
  </property>
  <property fmtid="{D5CDD505-2E9C-101B-9397-08002B2CF9AE}" pid="13" name="PM_Originating_FileId">
    <vt:lpwstr>E230FD1DE6B848F78297A2E81D6A0FCA</vt:lpwstr>
  </property>
  <property fmtid="{D5CDD505-2E9C-101B-9397-08002B2CF9AE}" pid="14" name="PM_ProtectiveMarkingValue_Footer">
    <vt:lpwstr>OFFICIAL</vt:lpwstr>
  </property>
  <property fmtid="{D5CDD505-2E9C-101B-9397-08002B2CF9AE}" pid="15" name="PM_Originator_Hash_SHA1">
    <vt:lpwstr>A39AF65026603124B8AF52A850A9E0AA2491CACC</vt:lpwstr>
  </property>
  <property fmtid="{D5CDD505-2E9C-101B-9397-08002B2CF9AE}" pid="16" name="PM_OriginationTimeStamp">
    <vt:lpwstr>2021-12-16T01:44:22Z</vt:lpwstr>
  </property>
  <property fmtid="{D5CDD505-2E9C-101B-9397-08002B2CF9AE}" pid="17" name="PM_ProtectiveMarkingValue_Header">
    <vt:lpwstr>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Hash_Version">
    <vt:lpwstr>2018.0</vt:lpwstr>
  </property>
  <property fmtid="{D5CDD505-2E9C-101B-9397-08002B2CF9AE}" pid="24" name="PM_Hash_Salt_Prev">
    <vt:lpwstr>C366C9694AE9CDE01AFF0BD124B60C7F</vt:lpwstr>
  </property>
  <property fmtid="{D5CDD505-2E9C-101B-9397-08002B2CF9AE}" pid="25" name="PM_Hash_Salt">
    <vt:lpwstr>72F07758992C0F85D8EB40356F35ECEF</vt:lpwstr>
  </property>
  <property fmtid="{D5CDD505-2E9C-101B-9397-08002B2CF9AE}" pid="26" name="PM_Hash_SHA1">
    <vt:lpwstr>2411595A7E95521552B3AC6DD046D0AB5B018583</vt:lpwstr>
  </property>
  <property fmtid="{D5CDD505-2E9C-101B-9397-08002B2CF9AE}" pid="27" name="PM_SecurityClassification_Prev">
    <vt:lpwstr>OFFICIAL</vt:lpwstr>
  </property>
  <property fmtid="{D5CDD505-2E9C-101B-9397-08002B2CF9AE}" pid="28" name="PM_Qualifier_Prev">
    <vt:lpwstr/>
  </property>
</Properties>
</file>