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7A34" w14:textId="77777777" w:rsidR="00372B0B" w:rsidRDefault="00372B0B" w:rsidP="0028773C">
      <w:pPr>
        <w:pStyle w:val="Title"/>
        <w:spacing w:after="240"/>
        <w:rPr>
          <w:b/>
          <w:bCs/>
        </w:rPr>
      </w:pPr>
      <w:bookmarkStart w:id="0" w:name="_GoBack"/>
      <w:bookmarkEnd w:id="0"/>
      <w:r>
        <w:rPr>
          <w:b/>
          <w:bCs/>
        </w:rPr>
        <w:t>EXPLANATORY STATEMENT</w:t>
      </w:r>
    </w:p>
    <w:p w14:paraId="42801F4E" w14:textId="77777777" w:rsidR="00372B0B" w:rsidRPr="00B26C31" w:rsidRDefault="00DE0856" w:rsidP="0028773C">
      <w:pPr>
        <w:spacing w:before="120" w:after="120"/>
        <w:jc w:val="center"/>
        <w:rPr>
          <w:i/>
          <w:sz w:val="24"/>
        </w:rPr>
      </w:pPr>
      <w:r>
        <w:rPr>
          <w:i/>
          <w:sz w:val="24"/>
        </w:rPr>
        <w:t>Appropriation</w:t>
      </w:r>
      <w:r w:rsidR="00EF2ABC" w:rsidRPr="00B26C31">
        <w:rPr>
          <w:i/>
          <w:sz w:val="24"/>
        </w:rPr>
        <w:t xml:space="preserve"> Act (No. </w:t>
      </w:r>
      <w:r w:rsidR="00B72A40">
        <w:rPr>
          <w:i/>
          <w:sz w:val="24"/>
        </w:rPr>
        <w:t>2</w:t>
      </w:r>
      <w:r w:rsidR="009D5E57" w:rsidRPr="00B26C31">
        <w:rPr>
          <w:i/>
          <w:sz w:val="24"/>
        </w:rPr>
        <w:t xml:space="preserve">) </w:t>
      </w:r>
      <w:r w:rsidR="00B72A40">
        <w:rPr>
          <w:i/>
          <w:sz w:val="24"/>
        </w:rPr>
        <w:t>2021-2022</w:t>
      </w:r>
    </w:p>
    <w:p w14:paraId="483DBFB0" w14:textId="77777777" w:rsidR="00372B0B" w:rsidRPr="00DF14D5" w:rsidRDefault="000B692D" w:rsidP="0028773C">
      <w:pPr>
        <w:spacing w:before="120" w:after="120"/>
        <w:jc w:val="center"/>
        <w:rPr>
          <w:sz w:val="24"/>
        </w:rPr>
      </w:pPr>
      <w:bookmarkStart w:id="1" w:name="Determination_Title"/>
      <w:bookmarkStart w:id="2" w:name="Citation"/>
      <w:r w:rsidRPr="00B26C31">
        <w:rPr>
          <w:i/>
          <w:sz w:val="24"/>
        </w:rPr>
        <w:t>AFM</w:t>
      </w:r>
      <w:r w:rsidR="00A97BAC" w:rsidRPr="00B26C31">
        <w:rPr>
          <w:i/>
          <w:sz w:val="24"/>
        </w:rPr>
        <w:t xml:space="preserve"> Determination </w:t>
      </w:r>
      <w:r w:rsidR="00EE49BF" w:rsidRPr="00B26C31">
        <w:rPr>
          <w:i/>
          <w:sz w:val="24"/>
        </w:rPr>
        <w:t>(No. </w:t>
      </w:r>
      <w:r w:rsidR="00324FB0">
        <w:rPr>
          <w:i/>
          <w:sz w:val="24"/>
        </w:rPr>
        <w:t>3</w:t>
      </w:r>
      <w:r w:rsidR="00B72A40" w:rsidRPr="00B26C31">
        <w:rPr>
          <w:i/>
          <w:sz w:val="24"/>
        </w:rPr>
        <w:t xml:space="preserve"> </w:t>
      </w:r>
      <w:r w:rsidR="00A97BAC" w:rsidRPr="00B26C31">
        <w:rPr>
          <w:i/>
          <w:sz w:val="24"/>
        </w:rPr>
        <w:t xml:space="preserve">of </w:t>
      </w:r>
      <w:r w:rsidR="00B72A40">
        <w:rPr>
          <w:i/>
          <w:sz w:val="24"/>
        </w:rPr>
        <w:t>2021-2022</w:t>
      </w:r>
      <w:r w:rsidR="00A97BAC" w:rsidRPr="00B26C31">
        <w:rPr>
          <w:i/>
          <w:sz w:val="24"/>
        </w:rPr>
        <w:t>)</w:t>
      </w:r>
      <w:bookmarkEnd w:id="1"/>
      <w:bookmarkEnd w:id="2"/>
    </w:p>
    <w:p w14:paraId="03EFA04D" w14:textId="77777777"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14:paraId="1AE569E4" w14:textId="77777777" w:rsidR="00FB156B" w:rsidRDefault="00FB156B" w:rsidP="00FB156B">
      <w:pPr>
        <w:pStyle w:val="Header"/>
        <w:tabs>
          <w:tab w:val="clear" w:pos="4153"/>
          <w:tab w:val="clear" w:pos="8306"/>
        </w:tabs>
        <w:spacing w:after="200"/>
        <w:rPr>
          <w:sz w:val="22"/>
          <w:szCs w:val="22"/>
        </w:rPr>
      </w:pPr>
      <w:r w:rsidRPr="004E4874">
        <w:rPr>
          <w:sz w:val="22"/>
          <w:szCs w:val="22"/>
        </w:rPr>
        <w:t>The Advance to the Finance Minister (AFM) is</w:t>
      </w:r>
      <w:r>
        <w:rPr>
          <w:sz w:val="22"/>
          <w:szCs w:val="22"/>
        </w:rPr>
        <w:t xml:space="preserve"> a mechanism</w:t>
      </w:r>
      <w:r w:rsidRPr="004E4874">
        <w:rPr>
          <w:sz w:val="22"/>
          <w:szCs w:val="22"/>
        </w:rPr>
        <w:t xml:space="preserve"> provided under section 12 of </w:t>
      </w:r>
      <w:r w:rsidRPr="004E4874">
        <w:rPr>
          <w:i/>
          <w:sz w:val="22"/>
          <w:szCs w:val="22"/>
        </w:rPr>
        <w:t>Appropriation Act (No. 2) 2021-2022</w:t>
      </w:r>
      <w:r w:rsidRPr="004E4874">
        <w:rPr>
          <w:sz w:val="22"/>
          <w:szCs w:val="22"/>
        </w:rPr>
        <w:t xml:space="preserve"> (the Act). Section </w:t>
      </w:r>
      <w:r w:rsidRPr="00112FD1">
        <w:rPr>
          <w:sz w:val="22"/>
          <w:szCs w:val="22"/>
        </w:rPr>
        <w:t xml:space="preserve">12 </w:t>
      </w:r>
      <w:r w:rsidR="006C646A" w:rsidRPr="00112FD1">
        <w:rPr>
          <w:sz w:val="22"/>
          <w:szCs w:val="22"/>
        </w:rPr>
        <w:t xml:space="preserve">permits the Finance Minister, by legislative instrument, to effectively amend Schedule 2 to the Act to make provision for certain urgent expenditure </w:t>
      </w:r>
      <w:r w:rsidRPr="00112FD1">
        <w:rPr>
          <w:sz w:val="22"/>
          <w:szCs w:val="22"/>
        </w:rPr>
        <w:t>up to a total limit of $3,000 million.</w:t>
      </w:r>
      <w:r w:rsidRPr="004E4874">
        <w:rPr>
          <w:sz w:val="22"/>
          <w:szCs w:val="22"/>
        </w:rPr>
        <w:t xml:space="preserve"> </w:t>
      </w:r>
    </w:p>
    <w:p w14:paraId="6E1C00FB" w14:textId="77777777" w:rsidR="00FB156B" w:rsidRDefault="00FB156B" w:rsidP="00FB156B">
      <w:pPr>
        <w:pStyle w:val="Header"/>
        <w:tabs>
          <w:tab w:val="clear" w:pos="4153"/>
          <w:tab w:val="clear" w:pos="8306"/>
        </w:tabs>
        <w:spacing w:after="200"/>
        <w:rPr>
          <w:sz w:val="22"/>
          <w:szCs w:val="22"/>
        </w:rPr>
      </w:pPr>
      <w:r>
        <w:rPr>
          <w:sz w:val="22"/>
          <w:szCs w:val="22"/>
        </w:rPr>
        <w:t>Section 12(1) has the effect that a determination can only be made under s 12(2) if t</w:t>
      </w:r>
      <w:r w:rsidRPr="004E4874">
        <w:rPr>
          <w:sz w:val="22"/>
          <w:szCs w:val="22"/>
        </w:rPr>
        <w:t xml:space="preserve">he Finance Minister </w:t>
      </w:r>
      <w:r>
        <w:rPr>
          <w:sz w:val="22"/>
          <w:szCs w:val="22"/>
        </w:rPr>
        <w:t>is</w:t>
      </w:r>
      <w:r w:rsidRPr="004E4874">
        <w:rPr>
          <w:sz w:val="22"/>
          <w:szCs w:val="22"/>
        </w:rPr>
        <w:t xml:space="preserve"> satisfied there is an urgent need for expenditure, in the current year, that is not provided for, or is insufficiently provided for, in Schedule 2 of the Act </w:t>
      </w:r>
      <w:r>
        <w:rPr>
          <w:sz w:val="22"/>
          <w:szCs w:val="22"/>
        </w:rPr>
        <w:t>either:</w:t>
      </w:r>
    </w:p>
    <w:p w14:paraId="435E7D04" w14:textId="77777777" w:rsidR="00FB156B" w:rsidRDefault="00FB156B" w:rsidP="00FB156B">
      <w:pPr>
        <w:pStyle w:val="Header"/>
        <w:numPr>
          <w:ilvl w:val="0"/>
          <w:numId w:val="34"/>
        </w:numPr>
        <w:tabs>
          <w:tab w:val="clear" w:pos="4153"/>
          <w:tab w:val="clear" w:pos="8306"/>
        </w:tabs>
        <w:spacing w:after="200"/>
        <w:rPr>
          <w:sz w:val="22"/>
          <w:szCs w:val="22"/>
        </w:rPr>
      </w:pPr>
      <w:r>
        <w:rPr>
          <w:sz w:val="22"/>
          <w:szCs w:val="22"/>
        </w:rPr>
        <w:t xml:space="preserve">because of </w:t>
      </w:r>
      <w:r w:rsidRPr="004850DF">
        <w:rPr>
          <w:sz w:val="22"/>
          <w:szCs w:val="22"/>
        </w:rPr>
        <w:t>an erroneous omission or understatement</w:t>
      </w:r>
      <w:r>
        <w:rPr>
          <w:sz w:val="22"/>
          <w:szCs w:val="22"/>
        </w:rPr>
        <w:t xml:space="preserve"> (see s 12(1)(a)), or</w:t>
      </w:r>
    </w:p>
    <w:p w14:paraId="1AEEE895" w14:textId="77777777" w:rsidR="00FB156B" w:rsidRPr="004E4874" w:rsidRDefault="00FB156B" w:rsidP="00FB156B">
      <w:pPr>
        <w:pStyle w:val="Header"/>
        <w:numPr>
          <w:ilvl w:val="0"/>
          <w:numId w:val="34"/>
        </w:numPr>
        <w:tabs>
          <w:tab w:val="clear" w:pos="4153"/>
          <w:tab w:val="clear" w:pos="8306"/>
        </w:tabs>
        <w:spacing w:after="200"/>
        <w:rPr>
          <w:sz w:val="22"/>
          <w:szCs w:val="22"/>
        </w:rPr>
      </w:pPr>
      <w:r>
        <w:rPr>
          <w:sz w:val="22"/>
          <w:szCs w:val="22"/>
        </w:rPr>
        <w:t>b</w:t>
      </w:r>
      <w:r w:rsidRPr="004850DF">
        <w:rPr>
          <w:sz w:val="22"/>
          <w:szCs w:val="22"/>
        </w:rPr>
        <w:t>ecause the expenditure was unforeseen until after the last day on which it was practicable to pro</w:t>
      </w:r>
      <w:r>
        <w:rPr>
          <w:sz w:val="22"/>
          <w:szCs w:val="22"/>
        </w:rPr>
        <w:t>vide for it in the Bill for the</w:t>
      </w:r>
      <w:r w:rsidRPr="004850DF">
        <w:rPr>
          <w:sz w:val="22"/>
          <w:szCs w:val="22"/>
        </w:rPr>
        <w:t xml:space="preserve"> Act introduced into the House of Representatives</w:t>
      </w:r>
      <w:r w:rsidR="006C646A">
        <w:rPr>
          <w:sz w:val="22"/>
          <w:szCs w:val="22"/>
        </w:rPr>
        <w:t xml:space="preserve"> (see </w:t>
      </w:r>
      <w:r>
        <w:rPr>
          <w:sz w:val="22"/>
          <w:szCs w:val="22"/>
        </w:rPr>
        <w:t>s 12(1)(b))</w:t>
      </w:r>
      <w:r w:rsidRPr="004E4874">
        <w:rPr>
          <w:sz w:val="22"/>
          <w:szCs w:val="22"/>
        </w:rPr>
        <w:t>.</w:t>
      </w:r>
    </w:p>
    <w:p w14:paraId="5A5D65B5" w14:textId="77777777" w:rsidR="00FB156B" w:rsidRDefault="00FB156B" w:rsidP="00FB156B">
      <w:pPr>
        <w:pStyle w:val="Header"/>
        <w:tabs>
          <w:tab w:val="clear" w:pos="4153"/>
          <w:tab w:val="clear" w:pos="8306"/>
        </w:tabs>
        <w:spacing w:after="200"/>
        <w:rPr>
          <w:sz w:val="22"/>
          <w:szCs w:val="22"/>
        </w:rPr>
      </w:pPr>
      <w:r>
        <w:rPr>
          <w:sz w:val="22"/>
          <w:szCs w:val="22"/>
        </w:rPr>
        <w:t>In relation to the present determination (</w:t>
      </w:r>
      <w:r w:rsidR="00C52C48">
        <w:rPr>
          <w:i/>
          <w:sz w:val="22"/>
          <w:szCs w:val="22"/>
        </w:rPr>
        <w:t xml:space="preserve">AFM Determination (No. </w:t>
      </w:r>
      <w:r w:rsidR="00324FB0">
        <w:rPr>
          <w:i/>
          <w:sz w:val="22"/>
          <w:szCs w:val="22"/>
        </w:rPr>
        <w:t>3</w:t>
      </w:r>
      <w:r w:rsidRPr="00FB156B">
        <w:rPr>
          <w:i/>
          <w:sz w:val="22"/>
          <w:szCs w:val="22"/>
        </w:rPr>
        <w:t xml:space="preserve"> of 2021-2022</w:t>
      </w:r>
      <w:r>
        <w:rPr>
          <w:sz w:val="22"/>
          <w:szCs w:val="22"/>
        </w:rPr>
        <w:t>)</w:t>
      </w:r>
      <w:r w:rsidR="00677B71">
        <w:rPr>
          <w:sz w:val="22"/>
          <w:szCs w:val="22"/>
        </w:rPr>
        <w:t>)</w:t>
      </w:r>
      <w:r>
        <w:rPr>
          <w:sz w:val="22"/>
          <w:szCs w:val="22"/>
        </w:rPr>
        <w:t xml:space="preserve">, the Finance Minister is satisfied that there is an urgent need for the expenditure for the reason in </w:t>
      </w:r>
      <w:r w:rsidR="00677B71">
        <w:rPr>
          <w:sz w:val="22"/>
          <w:szCs w:val="22"/>
        </w:rPr>
        <w:t xml:space="preserve">s </w:t>
      </w:r>
      <w:r>
        <w:rPr>
          <w:sz w:val="22"/>
          <w:szCs w:val="22"/>
        </w:rPr>
        <w:t>12(1)(b</w:t>
      </w:r>
      <w:r w:rsidRPr="00FB156B">
        <w:rPr>
          <w:b/>
          <w:sz w:val="22"/>
          <w:szCs w:val="22"/>
        </w:rPr>
        <w:t>)</w:t>
      </w:r>
      <w:r>
        <w:rPr>
          <w:sz w:val="22"/>
          <w:szCs w:val="22"/>
        </w:rPr>
        <w:t xml:space="preserve">. </w:t>
      </w:r>
    </w:p>
    <w:p w14:paraId="4C13B8D4" w14:textId="77777777" w:rsidR="0089698C" w:rsidRPr="00B82CA5" w:rsidRDefault="00FB156B" w:rsidP="00FB156B">
      <w:pPr>
        <w:pStyle w:val="Header"/>
        <w:tabs>
          <w:tab w:val="clear" w:pos="4153"/>
          <w:tab w:val="clear" w:pos="8306"/>
        </w:tabs>
        <w:spacing w:after="200"/>
        <w:rPr>
          <w:sz w:val="22"/>
          <w:szCs w:val="22"/>
        </w:rPr>
      </w:pPr>
      <w:r w:rsidRPr="00B82CA5">
        <w:rPr>
          <w:sz w:val="22"/>
          <w:szCs w:val="22"/>
        </w:rPr>
        <w:t>The Bill for the Act was Appropriation Bill (No. 2) 2021-2022 (the Bill). The Bill was introduced into the House of Representatives on 11 May 2021. The Finance Minister is satisfied, based on information provided by the Department</w:t>
      </w:r>
      <w:r w:rsidR="00F3462B">
        <w:rPr>
          <w:sz w:val="22"/>
          <w:szCs w:val="22"/>
        </w:rPr>
        <w:t xml:space="preserve"> of</w:t>
      </w:r>
      <w:r w:rsidRPr="00B82CA5">
        <w:rPr>
          <w:sz w:val="22"/>
          <w:szCs w:val="22"/>
        </w:rPr>
        <w:t xml:space="preserve"> Finance (Finance),</w:t>
      </w:r>
      <w:r w:rsidR="00D26CAF">
        <w:rPr>
          <w:sz w:val="22"/>
          <w:szCs w:val="22"/>
        </w:rPr>
        <w:t xml:space="preserve"> </w:t>
      </w:r>
      <w:r w:rsidRPr="00B82CA5">
        <w:rPr>
          <w:sz w:val="22"/>
          <w:szCs w:val="22"/>
        </w:rPr>
        <w:t xml:space="preserve">that the additional expenditure was unforeseen until after the last day on which it was practicable to provide for it in the Bill before it was introduced to the House of Representatives on this date. </w:t>
      </w:r>
    </w:p>
    <w:p w14:paraId="2BA68252" w14:textId="77777777" w:rsidR="00383345" w:rsidRPr="00DC2AB7" w:rsidRDefault="00383345" w:rsidP="00DC2AB7">
      <w:pPr>
        <w:pStyle w:val="Header"/>
        <w:tabs>
          <w:tab w:val="clear" w:pos="4153"/>
          <w:tab w:val="clear" w:pos="8306"/>
        </w:tabs>
        <w:spacing w:after="200"/>
        <w:rPr>
          <w:sz w:val="22"/>
          <w:szCs w:val="22"/>
        </w:rPr>
      </w:pPr>
      <w:r w:rsidRPr="00DC2AB7">
        <w:rPr>
          <w:sz w:val="22"/>
          <w:szCs w:val="22"/>
        </w:rPr>
        <w:t>Additional funding is provided to Finance to support decisions by the Australian Government to construct Centres for National Resilience (CNRs) at Mickleham in Victoria, Pinkenba in Queensland and Bullsbrook in Western Australia. The CNRs are urgently required to provide dedicated additional quarantine capacity to manage higher-risk cohorts of international travellers arriving during the COVID-19 pandemic, as Australia reopens to international travel. The CNRs are also intended to provide future contingency, including for natural disasters, health crises, or humanitarian situations.</w:t>
      </w:r>
    </w:p>
    <w:p w14:paraId="2DE24D72" w14:textId="77777777" w:rsidR="00383345" w:rsidRPr="00DC2AB7" w:rsidRDefault="00383345" w:rsidP="00DC2AB7">
      <w:pPr>
        <w:pStyle w:val="Header"/>
        <w:tabs>
          <w:tab w:val="clear" w:pos="4153"/>
          <w:tab w:val="clear" w:pos="8306"/>
        </w:tabs>
        <w:spacing w:after="200"/>
        <w:rPr>
          <w:sz w:val="22"/>
          <w:szCs w:val="22"/>
        </w:rPr>
      </w:pPr>
      <w:r w:rsidRPr="00DC2AB7">
        <w:rPr>
          <w:sz w:val="22"/>
          <w:szCs w:val="22"/>
        </w:rPr>
        <w:t>This AFM is required to support the Commonwealth’s commitments to construct the respective CNRs and hand them over to State Government operators, as agreed in separate Memorand</w:t>
      </w:r>
      <w:r w:rsidR="000E7089">
        <w:rPr>
          <w:sz w:val="22"/>
          <w:szCs w:val="22"/>
        </w:rPr>
        <w:t>um</w:t>
      </w:r>
      <w:r w:rsidR="0035462B">
        <w:rPr>
          <w:sz w:val="22"/>
          <w:szCs w:val="22"/>
        </w:rPr>
        <w:t>s</w:t>
      </w:r>
      <w:r w:rsidRPr="00DC2AB7">
        <w:rPr>
          <w:sz w:val="22"/>
          <w:szCs w:val="22"/>
        </w:rPr>
        <w:t xml:space="preserve"> of Understanding with the Governments of Victoria (4 June 2021), Queensland (16 August 2021) and Western Australia (16 August 2021). </w:t>
      </w:r>
      <w:r w:rsidR="00421DAC">
        <w:rPr>
          <w:sz w:val="22"/>
          <w:szCs w:val="22"/>
        </w:rPr>
        <w:t>Due to</w:t>
      </w:r>
      <w:r w:rsidRPr="00DC2AB7">
        <w:rPr>
          <w:sz w:val="22"/>
          <w:szCs w:val="22"/>
        </w:rPr>
        <w:t xml:space="preserve"> the timing of these commitments, the additional expenditure was unforeseen until after the last day on which it was practicable to provide for it in </w:t>
      </w:r>
      <w:r w:rsidR="00677B71">
        <w:rPr>
          <w:sz w:val="22"/>
          <w:szCs w:val="22"/>
        </w:rPr>
        <w:t>the Bill</w:t>
      </w:r>
      <w:r w:rsidRPr="00DC2AB7">
        <w:rPr>
          <w:sz w:val="22"/>
          <w:szCs w:val="22"/>
        </w:rPr>
        <w:t>, before it was introduced into the House of Representatives on 11</w:t>
      </w:r>
      <w:r w:rsidR="00E90DE9">
        <w:rPr>
          <w:sz w:val="22"/>
          <w:szCs w:val="22"/>
        </w:rPr>
        <w:t> </w:t>
      </w:r>
      <w:r w:rsidRPr="00DC2AB7">
        <w:rPr>
          <w:sz w:val="22"/>
          <w:szCs w:val="22"/>
        </w:rPr>
        <w:t>May 2021.</w:t>
      </w:r>
    </w:p>
    <w:p w14:paraId="5DC1D718" w14:textId="55541F28" w:rsidR="00383345" w:rsidRPr="00DC2AB7" w:rsidRDefault="00E90DE9" w:rsidP="00DC2AB7">
      <w:pPr>
        <w:pStyle w:val="Header"/>
        <w:tabs>
          <w:tab w:val="clear" w:pos="4153"/>
          <w:tab w:val="clear" w:pos="8306"/>
        </w:tabs>
        <w:spacing w:after="200"/>
        <w:rPr>
          <w:sz w:val="22"/>
          <w:szCs w:val="22"/>
        </w:rPr>
      </w:pPr>
      <w:r>
        <w:rPr>
          <w:sz w:val="22"/>
          <w:szCs w:val="22"/>
        </w:rPr>
        <w:t>U</w:t>
      </w:r>
      <w:r w:rsidR="00383345" w:rsidRPr="00DC2AB7">
        <w:rPr>
          <w:sz w:val="22"/>
          <w:szCs w:val="22"/>
        </w:rPr>
        <w:t xml:space="preserve">nder its contractual arrangements the Commonwealth is obliged to reimburse the managing contractor (Multiplex) and other suppliers largely on a monthly basis, reflecting liabilities incurred in preceding periods. </w:t>
      </w:r>
      <w:r>
        <w:rPr>
          <w:sz w:val="22"/>
          <w:szCs w:val="22"/>
        </w:rPr>
        <w:t xml:space="preserve">Multiple cost components are subject </w:t>
      </w:r>
      <w:r w:rsidR="00F3462B">
        <w:rPr>
          <w:sz w:val="22"/>
          <w:szCs w:val="22"/>
        </w:rPr>
        <w:t xml:space="preserve">to </w:t>
      </w:r>
      <w:r>
        <w:rPr>
          <w:sz w:val="22"/>
          <w:szCs w:val="22"/>
        </w:rPr>
        <w:t xml:space="preserve">ongoing procurement activities and approaches to market. </w:t>
      </w:r>
      <w:r w:rsidR="00383345" w:rsidRPr="00DC2AB7">
        <w:rPr>
          <w:sz w:val="22"/>
          <w:szCs w:val="22"/>
        </w:rPr>
        <w:t xml:space="preserve">This AFM mainly relates to expenses accrued </w:t>
      </w:r>
      <w:r w:rsidR="00D26CAF">
        <w:rPr>
          <w:sz w:val="22"/>
          <w:szCs w:val="22"/>
        </w:rPr>
        <w:t xml:space="preserve">for the </w:t>
      </w:r>
      <w:r w:rsidR="00383345" w:rsidRPr="00DC2AB7">
        <w:rPr>
          <w:sz w:val="22"/>
          <w:szCs w:val="22"/>
        </w:rPr>
        <w:t>month</w:t>
      </w:r>
      <w:r w:rsidR="00D26CAF">
        <w:rPr>
          <w:sz w:val="22"/>
          <w:szCs w:val="22"/>
        </w:rPr>
        <w:t>s</w:t>
      </w:r>
      <w:r w:rsidR="00383345" w:rsidRPr="00DC2AB7">
        <w:rPr>
          <w:sz w:val="22"/>
          <w:szCs w:val="22"/>
        </w:rPr>
        <w:t xml:space="preserve"> of </w:t>
      </w:r>
      <w:r w:rsidR="00C41517">
        <w:rPr>
          <w:sz w:val="22"/>
          <w:szCs w:val="22"/>
        </w:rPr>
        <w:t xml:space="preserve">November and December </w:t>
      </w:r>
      <w:r>
        <w:rPr>
          <w:sz w:val="22"/>
          <w:szCs w:val="22"/>
        </w:rPr>
        <w:t>2021</w:t>
      </w:r>
      <w:r w:rsidR="00C41517">
        <w:rPr>
          <w:sz w:val="22"/>
          <w:szCs w:val="22"/>
        </w:rPr>
        <w:t xml:space="preserve"> (including forward provision of funding for anticipated liabilities in the latter part of December</w:t>
      </w:r>
      <w:r w:rsidR="009E5AEB">
        <w:rPr>
          <w:sz w:val="22"/>
          <w:szCs w:val="22"/>
        </w:rPr>
        <w:t xml:space="preserve"> 2021</w:t>
      </w:r>
      <w:r w:rsidR="00C41517">
        <w:rPr>
          <w:sz w:val="22"/>
          <w:szCs w:val="22"/>
        </w:rPr>
        <w:t>). By covering two months of costs, this AFM ensures continuity of financing to meet liabilities as they fall due and support</w:t>
      </w:r>
      <w:r w:rsidR="00DE127F">
        <w:rPr>
          <w:sz w:val="22"/>
          <w:szCs w:val="22"/>
        </w:rPr>
        <w:t>s</w:t>
      </w:r>
      <w:r w:rsidR="00C41517">
        <w:rPr>
          <w:sz w:val="22"/>
          <w:szCs w:val="22"/>
        </w:rPr>
        <w:t xml:space="preserve"> </w:t>
      </w:r>
      <w:r w:rsidR="006D59ED">
        <w:rPr>
          <w:sz w:val="22"/>
          <w:szCs w:val="22"/>
        </w:rPr>
        <w:t>ongoing</w:t>
      </w:r>
      <w:r w:rsidR="00C41517">
        <w:rPr>
          <w:sz w:val="22"/>
          <w:szCs w:val="22"/>
        </w:rPr>
        <w:t xml:space="preserve"> project work across the Christmas </w:t>
      </w:r>
      <w:r w:rsidR="006D59ED">
        <w:rPr>
          <w:sz w:val="22"/>
          <w:szCs w:val="22"/>
        </w:rPr>
        <w:t>and</w:t>
      </w:r>
      <w:r w:rsidR="00C41517">
        <w:rPr>
          <w:sz w:val="22"/>
          <w:szCs w:val="22"/>
        </w:rPr>
        <w:t xml:space="preserve"> New</w:t>
      </w:r>
      <w:r w:rsidR="006D59ED">
        <w:rPr>
          <w:sz w:val="22"/>
          <w:szCs w:val="22"/>
        </w:rPr>
        <w:t> </w:t>
      </w:r>
      <w:r w:rsidR="00C41517">
        <w:rPr>
          <w:sz w:val="22"/>
          <w:szCs w:val="22"/>
        </w:rPr>
        <w:t>Year period</w:t>
      </w:r>
      <w:r w:rsidR="006D59ED">
        <w:rPr>
          <w:sz w:val="22"/>
          <w:szCs w:val="22"/>
        </w:rPr>
        <w:t>s</w:t>
      </w:r>
      <w:r w:rsidR="00C41517">
        <w:rPr>
          <w:sz w:val="22"/>
          <w:szCs w:val="22"/>
        </w:rPr>
        <w:t>.</w:t>
      </w:r>
    </w:p>
    <w:p w14:paraId="706594E6" w14:textId="77777777" w:rsidR="00383345" w:rsidRPr="00DC2AB7" w:rsidRDefault="00383345" w:rsidP="00DC2AB7">
      <w:pPr>
        <w:pStyle w:val="Header"/>
        <w:tabs>
          <w:tab w:val="clear" w:pos="4153"/>
          <w:tab w:val="clear" w:pos="8306"/>
        </w:tabs>
        <w:spacing w:after="200"/>
        <w:rPr>
          <w:sz w:val="22"/>
          <w:szCs w:val="22"/>
        </w:rPr>
      </w:pPr>
      <w:r w:rsidRPr="00DC2AB7">
        <w:rPr>
          <w:sz w:val="22"/>
          <w:szCs w:val="22"/>
        </w:rPr>
        <w:t xml:space="preserve">This AFM supports funding for construction works at the CNR Melbourne and early-stage costs for the CNR Perth and the CNR Brisbane. The Commonwealth continues to actively procure in the market for future stages of works, so in the interests of continuing to ensure value for money, this Explanatory Statement does not disaggregate the value of project costs by the type of cost component. </w:t>
      </w:r>
      <w:r w:rsidR="00421DAC">
        <w:rPr>
          <w:sz w:val="22"/>
          <w:szCs w:val="22"/>
        </w:rPr>
        <w:t>T</w:t>
      </w:r>
      <w:r w:rsidRPr="00DC2AB7">
        <w:rPr>
          <w:sz w:val="22"/>
          <w:szCs w:val="22"/>
        </w:rPr>
        <w:t>o ensure an appropriate level of transparency, the broad heads of costs are summarised below.</w:t>
      </w:r>
    </w:p>
    <w:p w14:paraId="040E2BF3" w14:textId="77777777" w:rsidR="00383345" w:rsidRPr="003C49D6" w:rsidRDefault="003A724E" w:rsidP="00DC2AB7">
      <w:pPr>
        <w:pStyle w:val="Header"/>
        <w:numPr>
          <w:ilvl w:val="0"/>
          <w:numId w:val="37"/>
        </w:numPr>
        <w:tabs>
          <w:tab w:val="clear" w:pos="4153"/>
          <w:tab w:val="clear" w:pos="8306"/>
        </w:tabs>
        <w:spacing w:after="200"/>
        <w:rPr>
          <w:sz w:val="22"/>
          <w:szCs w:val="22"/>
        </w:rPr>
      </w:pPr>
      <w:r w:rsidRPr="003C49D6">
        <w:rPr>
          <w:sz w:val="22"/>
          <w:szCs w:val="22"/>
        </w:rPr>
        <w:t>T</w:t>
      </w:r>
      <w:r w:rsidR="00383345" w:rsidRPr="003C49D6">
        <w:rPr>
          <w:sz w:val="22"/>
          <w:szCs w:val="22"/>
        </w:rPr>
        <w:t>rade packages have been awarded by managing contractor Multiplex for the CNR Melbourne related to bulk earthworks, landscaping and civil works.</w:t>
      </w:r>
      <w:r w:rsidR="00832A9D" w:rsidRPr="003C49D6">
        <w:rPr>
          <w:sz w:val="22"/>
          <w:szCs w:val="22"/>
        </w:rPr>
        <w:t xml:space="preserve"> </w:t>
      </w:r>
      <w:r w:rsidR="00383345" w:rsidRPr="003C49D6">
        <w:rPr>
          <w:sz w:val="22"/>
          <w:szCs w:val="22"/>
        </w:rPr>
        <w:t xml:space="preserve">Site infrastructure activities include electrical, mechanical, hydraulics, sewerage and waste packages. </w:t>
      </w:r>
      <w:r w:rsidRPr="003C49D6">
        <w:rPr>
          <w:sz w:val="22"/>
          <w:szCs w:val="22"/>
        </w:rPr>
        <w:t xml:space="preserve">Other </w:t>
      </w:r>
      <w:r w:rsidRPr="003C49D6">
        <w:rPr>
          <w:sz w:val="22"/>
          <w:szCs w:val="22"/>
        </w:rPr>
        <w:lastRenderedPageBreak/>
        <w:t>activities include c</w:t>
      </w:r>
      <w:r w:rsidR="00383345" w:rsidRPr="003C49D6">
        <w:rPr>
          <w:sz w:val="22"/>
          <w:szCs w:val="22"/>
        </w:rPr>
        <w:t>onstruction of central buildings and facilities to support the Centre</w:t>
      </w:r>
      <w:r w:rsidRPr="003C49D6">
        <w:rPr>
          <w:sz w:val="22"/>
          <w:szCs w:val="22"/>
        </w:rPr>
        <w:t xml:space="preserve"> </w:t>
      </w:r>
      <w:r w:rsidR="00383345" w:rsidRPr="003C49D6">
        <w:rPr>
          <w:sz w:val="22"/>
          <w:szCs w:val="22"/>
        </w:rPr>
        <w:t xml:space="preserve">and manufacturing </w:t>
      </w:r>
      <w:r w:rsidRPr="003C49D6">
        <w:rPr>
          <w:sz w:val="22"/>
          <w:szCs w:val="22"/>
        </w:rPr>
        <w:t xml:space="preserve">of </w:t>
      </w:r>
      <w:r w:rsidR="00383345" w:rsidRPr="003C49D6">
        <w:rPr>
          <w:sz w:val="22"/>
          <w:szCs w:val="22"/>
        </w:rPr>
        <w:t xml:space="preserve">modular </w:t>
      </w:r>
      <w:r w:rsidRPr="003C49D6">
        <w:rPr>
          <w:sz w:val="22"/>
          <w:szCs w:val="22"/>
        </w:rPr>
        <w:t xml:space="preserve">accommodation units and delivery </w:t>
      </w:r>
      <w:r w:rsidR="00383345" w:rsidRPr="003C49D6">
        <w:rPr>
          <w:sz w:val="22"/>
          <w:szCs w:val="22"/>
        </w:rPr>
        <w:t>to site.</w:t>
      </w:r>
    </w:p>
    <w:p w14:paraId="2EB8CE70" w14:textId="77777777" w:rsidR="00383345" w:rsidRPr="003C49D6" w:rsidRDefault="00383345" w:rsidP="00DC2AB7">
      <w:pPr>
        <w:pStyle w:val="Header"/>
        <w:numPr>
          <w:ilvl w:val="0"/>
          <w:numId w:val="37"/>
        </w:numPr>
        <w:tabs>
          <w:tab w:val="clear" w:pos="4153"/>
          <w:tab w:val="clear" w:pos="8306"/>
        </w:tabs>
        <w:spacing w:after="200"/>
        <w:rPr>
          <w:sz w:val="22"/>
          <w:szCs w:val="22"/>
        </w:rPr>
      </w:pPr>
      <w:r w:rsidRPr="003C49D6">
        <w:rPr>
          <w:sz w:val="22"/>
          <w:szCs w:val="22"/>
        </w:rPr>
        <w:t>This AFM includes design and management costs for the CNR Perth and the CNR Brisbane</w:t>
      </w:r>
      <w:r w:rsidR="002A5AD2" w:rsidRPr="003C49D6">
        <w:rPr>
          <w:sz w:val="22"/>
          <w:szCs w:val="22"/>
        </w:rPr>
        <w:t xml:space="preserve">. It also includes </w:t>
      </w:r>
      <w:r w:rsidR="00EB4CFE" w:rsidRPr="003C49D6">
        <w:rPr>
          <w:sz w:val="22"/>
          <w:szCs w:val="22"/>
        </w:rPr>
        <w:t xml:space="preserve">activities by Multiplex on </w:t>
      </w:r>
      <w:r w:rsidR="002A5AD2" w:rsidRPr="003C49D6">
        <w:rPr>
          <w:sz w:val="22"/>
          <w:szCs w:val="22"/>
        </w:rPr>
        <w:t>bulk earthworks, civils, landscaping and costs for</w:t>
      </w:r>
      <w:r w:rsidRPr="003C49D6">
        <w:rPr>
          <w:sz w:val="22"/>
          <w:szCs w:val="22"/>
        </w:rPr>
        <w:t xml:space="preserve"> </w:t>
      </w:r>
      <w:r w:rsidR="003A724E" w:rsidRPr="003C49D6">
        <w:rPr>
          <w:sz w:val="22"/>
          <w:szCs w:val="22"/>
        </w:rPr>
        <w:t xml:space="preserve">accommodation </w:t>
      </w:r>
      <w:r w:rsidRPr="003C49D6">
        <w:rPr>
          <w:sz w:val="22"/>
          <w:szCs w:val="22"/>
        </w:rPr>
        <w:t>module</w:t>
      </w:r>
      <w:r w:rsidR="002A5AD2" w:rsidRPr="003C49D6">
        <w:rPr>
          <w:sz w:val="22"/>
          <w:szCs w:val="22"/>
        </w:rPr>
        <w:t>s</w:t>
      </w:r>
      <w:r w:rsidRPr="003C49D6">
        <w:rPr>
          <w:sz w:val="22"/>
          <w:szCs w:val="22"/>
        </w:rPr>
        <w:t xml:space="preserve"> for both locations.</w:t>
      </w:r>
    </w:p>
    <w:p w14:paraId="02D46B45" w14:textId="77777777" w:rsidR="00FB156B" w:rsidRPr="00B82CA5" w:rsidRDefault="00FB156B" w:rsidP="00830EAD">
      <w:pPr>
        <w:pStyle w:val="Header"/>
        <w:tabs>
          <w:tab w:val="clear" w:pos="4153"/>
          <w:tab w:val="clear" w:pos="8306"/>
        </w:tabs>
        <w:spacing w:after="200"/>
        <w:rPr>
          <w:sz w:val="22"/>
          <w:szCs w:val="22"/>
        </w:rPr>
      </w:pPr>
      <w:r w:rsidRPr="00B82CA5">
        <w:rPr>
          <w:sz w:val="22"/>
          <w:szCs w:val="22"/>
        </w:rPr>
        <w:t xml:space="preserve">Consequently, the Finance Minister is able to make a determination under s 12(2) of the Act. The result of the determination is that Schedule 2 of the Act will have effect as if it were amended as specified in the determination. The total amount that the present determination makes provision for is </w:t>
      </w:r>
      <w:r w:rsidR="0082659A" w:rsidRPr="00DC2AB7">
        <w:rPr>
          <w:sz w:val="22"/>
          <w:szCs w:val="22"/>
        </w:rPr>
        <w:t>$</w:t>
      </w:r>
      <w:r w:rsidR="00E76D27">
        <w:rPr>
          <w:sz w:val="22"/>
          <w:szCs w:val="22"/>
        </w:rPr>
        <w:t>403</w:t>
      </w:r>
      <w:r w:rsidR="0082659A" w:rsidRPr="00DC2AB7">
        <w:rPr>
          <w:sz w:val="22"/>
          <w:szCs w:val="22"/>
        </w:rPr>
        <w:t xml:space="preserve"> million</w:t>
      </w:r>
      <w:r w:rsidRPr="00B55906">
        <w:rPr>
          <w:sz w:val="22"/>
          <w:szCs w:val="22"/>
        </w:rPr>
        <w:t>.</w:t>
      </w:r>
      <w:r w:rsidR="00D16B85">
        <w:rPr>
          <w:sz w:val="22"/>
          <w:szCs w:val="22"/>
        </w:rPr>
        <w:t xml:space="preserve"> This </w:t>
      </w:r>
      <w:r w:rsidR="00EC198B">
        <w:rPr>
          <w:sz w:val="22"/>
          <w:szCs w:val="22"/>
        </w:rPr>
        <w:t>funding brings total AFMs for construction of CNRs to $621 million</w:t>
      </w:r>
      <w:r w:rsidR="00D203FB">
        <w:rPr>
          <w:sz w:val="22"/>
          <w:szCs w:val="22"/>
        </w:rPr>
        <w:t xml:space="preserve"> to date</w:t>
      </w:r>
      <w:r w:rsidR="00EC198B">
        <w:rPr>
          <w:sz w:val="22"/>
          <w:szCs w:val="22"/>
        </w:rPr>
        <w:t>, following an AFM for $218 million provided in November</w:t>
      </w:r>
      <w:r w:rsidR="00D16B85">
        <w:rPr>
          <w:sz w:val="22"/>
          <w:szCs w:val="22"/>
        </w:rPr>
        <w:t>.</w:t>
      </w:r>
      <w:r w:rsidR="00EC198B">
        <w:rPr>
          <w:sz w:val="22"/>
          <w:szCs w:val="22"/>
        </w:rPr>
        <w:t xml:space="preserve"> </w:t>
      </w:r>
    </w:p>
    <w:p w14:paraId="2A23DB9B" w14:textId="77777777" w:rsidR="00FB156B" w:rsidRPr="00B82CA5" w:rsidRDefault="00FB156B" w:rsidP="00FB156B">
      <w:pPr>
        <w:pStyle w:val="Header"/>
        <w:tabs>
          <w:tab w:val="clear" w:pos="4153"/>
          <w:tab w:val="clear" w:pos="8306"/>
        </w:tabs>
        <w:spacing w:after="200"/>
        <w:rPr>
          <w:sz w:val="22"/>
          <w:szCs w:val="22"/>
        </w:rPr>
      </w:pPr>
      <w:r w:rsidRPr="00B82CA5">
        <w:rPr>
          <w:sz w:val="22"/>
          <w:szCs w:val="22"/>
        </w:rPr>
        <w:t xml:space="preserve">The effect of s 12(4) of the Act is that although the determination is a legislative instrument, it is not subject to disallowance in accordance with s 42 of the </w:t>
      </w:r>
      <w:r w:rsidRPr="00B82CA5">
        <w:rPr>
          <w:i/>
          <w:sz w:val="22"/>
          <w:szCs w:val="22"/>
        </w:rPr>
        <w:t xml:space="preserve">Legislation Act 2003 </w:t>
      </w:r>
      <w:r w:rsidRPr="00B82CA5">
        <w:rPr>
          <w:sz w:val="22"/>
          <w:szCs w:val="22"/>
        </w:rPr>
        <w:t>(Legislation Act)</w:t>
      </w:r>
      <w:r w:rsidRPr="00B82CA5">
        <w:rPr>
          <w:i/>
          <w:sz w:val="22"/>
          <w:szCs w:val="22"/>
        </w:rPr>
        <w:t xml:space="preserve">. </w:t>
      </w:r>
    </w:p>
    <w:p w14:paraId="3CACA33A" w14:textId="77777777" w:rsidR="00FB156B" w:rsidRPr="00FB156B" w:rsidRDefault="00FB156B" w:rsidP="00FB156B">
      <w:pPr>
        <w:pStyle w:val="Header"/>
        <w:tabs>
          <w:tab w:val="clear" w:pos="4153"/>
          <w:tab w:val="clear" w:pos="8306"/>
        </w:tabs>
        <w:spacing w:after="200"/>
        <w:rPr>
          <w:sz w:val="22"/>
          <w:szCs w:val="22"/>
        </w:rPr>
      </w:pPr>
      <w:r w:rsidRPr="00B82CA5">
        <w:rPr>
          <w:sz w:val="22"/>
          <w:szCs w:val="22"/>
        </w:rPr>
        <w:t>Section 12(4) of the Act also provides that the determination will not sunset in accordance with Part 4 of Chapter 3 of the Legislation Act</w:t>
      </w:r>
      <w:r w:rsidRPr="00B82CA5">
        <w:rPr>
          <w:i/>
          <w:sz w:val="22"/>
          <w:szCs w:val="22"/>
        </w:rPr>
        <w:t>.</w:t>
      </w:r>
      <w:r>
        <w:rPr>
          <w:i/>
          <w:sz w:val="22"/>
          <w:szCs w:val="22"/>
        </w:rPr>
        <w:t xml:space="preserve"> </w:t>
      </w:r>
    </w:p>
    <w:p w14:paraId="45FEB15A" w14:textId="77777777" w:rsidR="00172250" w:rsidRPr="004E4874" w:rsidRDefault="00172250" w:rsidP="00172250">
      <w:pPr>
        <w:pStyle w:val="Heading3"/>
        <w:rPr>
          <w:sz w:val="22"/>
          <w:szCs w:val="22"/>
        </w:rPr>
      </w:pPr>
      <w:r w:rsidRPr="004E4874">
        <w:rPr>
          <w:sz w:val="22"/>
          <w:szCs w:val="22"/>
        </w:rPr>
        <w:t>Statement of Compatibility with Human Rights</w:t>
      </w:r>
    </w:p>
    <w:p w14:paraId="56E695E5" w14:textId="77777777" w:rsidR="00172250" w:rsidRPr="004E4874" w:rsidRDefault="00172250" w:rsidP="00172250">
      <w:pPr>
        <w:pStyle w:val="Header"/>
        <w:tabs>
          <w:tab w:val="clear" w:pos="4153"/>
          <w:tab w:val="clear" w:pos="8306"/>
        </w:tabs>
        <w:spacing w:after="200"/>
        <w:rPr>
          <w:sz w:val="22"/>
          <w:szCs w:val="22"/>
        </w:rPr>
      </w:pPr>
      <w:r w:rsidRPr="004E4874">
        <w:rPr>
          <w:sz w:val="22"/>
          <w:szCs w:val="22"/>
        </w:rPr>
        <w:t>Appropriation Acts perform an important constitutional function, by authorising the withdrawal of money from the Consolidated Revenue Fund for the broad purposes identified in the annual Appropriation Acts</w:t>
      </w:r>
      <w:r>
        <w:rPr>
          <w:sz w:val="22"/>
          <w:szCs w:val="22"/>
        </w:rPr>
        <w:t xml:space="preserve">. </w:t>
      </w:r>
      <w:r w:rsidRPr="004E4874">
        <w:rPr>
          <w:sz w:val="22"/>
          <w:szCs w:val="22"/>
        </w:rPr>
        <w:t>However</w:t>
      </w:r>
      <w:r>
        <w:rPr>
          <w:sz w:val="22"/>
          <w:szCs w:val="22"/>
        </w:rPr>
        <w:t>,</w:t>
      </w:r>
      <w:r w:rsidRPr="004E4874">
        <w:rPr>
          <w:sz w:val="22"/>
          <w:szCs w:val="22"/>
        </w:rPr>
        <w:t xml:space="preserve"> annual Appropriation Acts do not create rights </w:t>
      </w:r>
      <w:r>
        <w:rPr>
          <w:sz w:val="22"/>
          <w:szCs w:val="22"/>
        </w:rPr>
        <w:t>or</w:t>
      </w:r>
      <w:r w:rsidRPr="004E4874">
        <w:rPr>
          <w:sz w:val="22"/>
          <w:szCs w:val="22"/>
        </w:rPr>
        <w:t xml:space="preserve"> impose any duties</w:t>
      </w:r>
      <w:r>
        <w:rPr>
          <w:sz w:val="22"/>
          <w:szCs w:val="22"/>
        </w:rPr>
        <w:t xml:space="preserve"> on an individual.</w:t>
      </w:r>
    </w:p>
    <w:p w14:paraId="671167FA" w14:textId="77777777" w:rsidR="00172250" w:rsidRDefault="00172250" w:rsidP="00172250">
      <w:pPr>
        <w:pStyle w:val="Header"/>
        <w:tabs>
          <w:tab w:val="clear" w:pos="4153"/>
          <w:tab w:val="clear" w:pos="8306"/>
        </w:tabs>
        <w:spacing w:after="200"/>
        <w:rPr>
          <w:sz w:val="22"/>
          <w:szCs w:val="22"/>
        </w:rPr>
      </w:pPr>
      <w:r w:rsidRPr="004E4874">
        <w:rPr>
          <w:sz w:val="22"/>
          <w:szCs w:val="22"/>
        </w:rPr>
        <w:t xml:space="preserve">Given that the legal effect of annual Appropriation Acts is limited in this way, </w:t>
      </w:r>
      <w:r w:rsidR="00677B71">
        <w:rPr>
          <w:sz w:val="22"/>
          <w:szCs w:val="22"/>
        </w:rPr>
        <w:t>allocating amounts from the AFM provision in the</w:t>
      </w:r>
      <w:r w:rsidRPr="004E4874">
        <w:rPr>
          <w:sz w:val="22"/>
          <w:szCs w:val="22"/>
        </w:rPr>
        <w:t xml:space="preserve"> annual Appropriation Acts </w:t>
      </w:r>
      <w:r>
        <w:rPr>
          <w:sz w:val="22"/>
          <w:szCs w:val="22"/>
        </w:rPr>
        <w:t>does not</w:t>
      </w:r>
      <w:r w:rsidRPr="004E4874">
        <w:rPr>
          <w:sz w:val="22"/>
          <w:szCs w:val="22"/>
        </w:rPr>
        <w:t xml:space="preserve"> engag</w:t>
      </w:r>
      <w:r>
        <w:rPr>
          <w:sz w:val="22"/>
          <w:szCs w:val="22"/>
        </w:rPr>
        <w:t>e</w:t>
      </w:r>
      <w:r w:rsidRPr="004E4874">
        <w:rPr>
          <w:sz w:val="22"/>
          <w:szCs w:val="22"/>
        </w:rPr>
        <w:t xml:space="preserve"> or otherwise affect </w:t>
      </w:r>
      <w:r>
        <w:rPr>
          <w:sz w:val="22"/>
          <w:szCs w:val="22"/>
        </w:rPr>
        <w:t xml:space="preserve">the human </w:t>
      </w:r>
      <w:r w:rsidRPr="004E4874">
        <w:rPr>
          <w:sz w:val="22"/>
          <w:szCs w:val="22"/>
        </w:rPr>
        <w:t xml:space="preserve">rights </w:t>
      </w:r>
      <w:r>
        <w:rPr>
          <w:sz w:val="22"/>
          <w:szCs w:val="22"/>
        </w:rPr>
        <w:t>described in</w:t>
      </w:r>
      <w:r w:rsidRPr="004E4874">
        <w:rPr>
          <w:sz w:val="22"/>
          <w:szCs w:val="22"/>
        </w:rPr>
        <w:t xml:space="preserve"> the </w:t>
      </w:r>
      <w:r w:rsidRPr="00FB156B">
        <w:rPr>
          <w:i/>
          <w:sz w:val="22"/>
          <w:szCs w:val="22"/>
        </w:rPr>
        <w:t>Human Rights (Parliamentary Scrutiny) Act 2011</w:t>
      </w:r>
      <w:r w:rsidRPr="004E4874">
        <w:rPr>
          <w:sz w:val="22"/>
          <w:szCs w:val="22"/>
        </w:rPr>
        <w:t>.</w:t>
      </w:r>
    </w:p>
    <w:p w14:paraId="21CED057" w14:textId="77777777" w:rsidR="00172250" w:rsidRPr="004E4874" w:rsidRDefault="00172250" w:rsidP="00172250">
      <w:pPr>
        <w:pStyle w:val="Heading3"/>
        <w:rPr>
          <w:sz w:val="22"/>
          <w:szCs w:val="22"/>
        </w:rPr>
      </w:pPr>
      <w:r w:rsidRPr="004E4874">
        <w:rPr>
          <w:sz w:val="22"/>
          <w:szCs w:val="22"/>
        </w:rPr>
        <w:t>Consultation and Impact</w:t>
      </w:r>
    </w:p>
    <w:p w14:paraId="161B7060" w14:textId="77777777" w:rsidR="00172250" w:rsidRPr="00A6196C" w:rsidRDefault="00FB156B" w:rsidP="00172250">
      <w:pPr>
        <w:pStyle w:val="Header"/>
        <w:tabs>
          <w:tab w:val="clear" w:pos="4153"/>
          <w:tab w:val="clear" w:pos="8306"/>
        </w:tabs>
        <w:spacing w:after="200"/>
        <w:rPr>
          <w:sz w:val="22"/>
          <w:szCs w:val="22"/>
        </w:rPr>
      </w:pPr>
      <w:r w:rsidRPr="00112FD1">
        <w:rPr>
          <w:sz w:val="22"/>
          <w:szCs w:val="22"/>
        </w:rPr>
        <w:t>Finance</w:t>
      </w:r>
      <w:r w:rsidR="00172250" w:rsidRPr="00112FD1">
        <w:rPr>
          <w:sz w:val="22"/>
          <w:szCs w:val="22"/>
        </w:rPr>
        <w:t xml:space="preserve"> was consulted in the preparation of this determination in accordance with s 17 of the Legislation Act.</w:t>
      </w:r>
    </w:p>
    <w:p w14:paraId="35B2D364" w14:textId="78B094A5" w:rsidR="00172250" w:rsidRPr="00A6196C" w:rsidRDefault="00172250" w:rsidP="00172250">
      <w:pPr>
        <w:pStyle w:val="Header"/>
        <w:tabs>
          <w:tab w:val="clear" w:pos="4153"/>
          <w:tab w:val="clear" w:pos="8306"/>
        </w:tabs>
        <w:spacing w:after="200"/>
        <w:rPr>
          <w:sz w:val="22"/>
          <w:szCs w:val="22"/>
        </w:rPr>
      </w:pPr>
      <w:r w:rsidRPr="00A6196C">
        <w:rPr>
          <w:sz w:val="22"/>
          <w:szCs w:val="22"/>
        </w:rPr>
        <w:t xml:space="preserve">This determination results in the amount specified in the </w:t>
      </w:r>
      <w:r w:rsidR="003C49D6">
        <w:rPr>
          <w:sz w:val="22"/>
          <w:szCs w:val="22"/>
        </w:rPr>
        <w:t>Departmental</w:t>
      </w:r>
      <w:r w:rsidR="003C49D6">
        <w:rPr>
          <w:rStyle w:val="CommentReference"/>
        </w:rPr>
        <w:t xml:space="preserve"> </w:t>
      </w:r>
      <w:r w:rsidRPr="00A6196C">
        <w:rPr>
          <w:sz w:val="22"/>
          <w:szCs w:val="22"/>
        </w:rPr>
        <w:t>item for Outcome 2 for Finance, as set out in Sch</w:t>
      </w:r>
      <w:r w:rsidR="005E7E11" w:rsidRPr="00A6196C">
        <w:rPr>
          <w:sz w:val="22"/>
          <w:szCs w:val="22"/>
        </w:rPr>
        <w:t>edule</w:t>
      </w:r>
      <w:r w:rsidRPr="00A6196C">
        <w:rPr>
          <w:sz w:val="22"/>
          <w:szCs w:val="22"/>
        </w:rPr>
        <w:t xml:space="preserve"> 2 to the Act, being </w:t>
      </w:r>
      <w:r w:rsidRPr="00AF29A6">
        <w:rPr>
          <w:sz w:val="22"/>
          <w:szCs w:val="22"/>
        </w:rPr>
        <w:t>increased by $</w:t>
      </w:r>
      <w:r w:rsidR="008E48E4" w:rsidRPr="00AF29A6">
        <w:rPr>
          <w:sz w:val="22"/>
          <w:szCs w:val="22"/>
        </w:rPr>
        <w:t>403</w:t>
      </w:r>
      <w:r w:rsidR="009E5AEB">
        <w:rPr>
          <w:sz w:val="22"/>
          <w:szCs w:val="22"/>
        </w:rPr>
        <w:t xml:space="preserve"> million</w:t>
      </w:r>
      <w:r w:rsidRPr="00A6196C">
        <w:rPr>
          <w:sz w:val="22"/>
          <w:szCs w:val="22"/>
        </w:rPr>
        <w:t>.</w:t>
      </w:r>
    </w:p>
    <w:sectPr w:rsidR="00172250" w:rsidRPr="00A6196C" w:rsidSect="00C55F51">
      <w:footerReference w:type="default" r:id="rId11"/>
      <w:footerReference w:type="first" r:id="rId12"/>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4EBB" w14:textId="77777777" w:rsidR="00763C2D" w:rsidRDefault="00763C2D">
      <w:r>
        <w:separator/>
      </w:r>
    </w:p>
  </w:endnote>
  <w:endnote w:type="continuationSeparator" w:id="0">
    <w:p w14:paraId="60F8C7F8" w14:textId="77777777" w:rsidR="00763C2D" w:rsidRDefault="0076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14:paraId="4FFBD1F0" w14:textId="34AFD998"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013BF">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013BF">
              <w:rPr>
                <w:b/>
                <w:noProof/>
              </w:rPr>
              <w:t>2</w:t>
            </w:r>
            <w:r w:rsidR="00E83584">
              <w:rPr>
                <w:b/>
                <w:sz w:val="24"/>
                <w:szCs w:val="24"/>
              </w:rPr>
              <w:fldChar w:fldCharType="end"/>
            </w:r>
          </w:p>
        </w:sdtContent>
      </w:sdt>
    </w:sdtContent>
  </w:sdt>
  <w:p w14:paraId="0AB1CD51" w14:textId="77777777"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14:paraId="3F034D11" w14:textId="478F176D"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013BF">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013BF">
              <w:rPr>
                <w:b/>
                <w:noProof/>
              </w:rPr>
              <w:t>2</w:t>
            </w:r>
            <w:r w:rsidR="00E83584">
              <w:rPr>
                <w:b/>
                <w:sz w:val="24"/>
                <w:szCs w:val="24"/>
              </w:rPr>
              <w:fldChar w:fldCharType="end"/>
            </w:r>
          </w:p>
        </w:sdtContent>
      </w:sdt>
    </w:sdtContent>
  </w:sdt>
  <w:p w14:paraId="7CB05319" w14:textId="77777777"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0A2CF" w14:textId="77777777" w:rsidR="00763C2D" w:rsidRDefault="00763C2D">
      <w:r>
        <w:separator/>
      </w:r>
    </w:p>
  </w:footnote>
  <w:footnote w:type="continuationSeparator" w:id="0">
    <w:p w14:paraId="7D0DEDFD" w14:textId="77777777" w:rsidR="00763C2D" w:rsidRDefault="00763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4A4"/>
    <w:multiLevelType w:val="hybridMultilevel"/>
    <w:tmpl w:val="72D82E68"/>
    <w:lvl w:ilvl="0" w:tplc="47526C3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E6ABA"/>
    <w:multiLevelType w:val="hybridMultilevel"/>
    <w:tmpl w:val="3FA8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73984"/>
    <w:multiLevelType w:val="hybridMultilevel"/>
    <w:tmpl w:val="8FB6C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B0553"/>
    <w:multiLevelType w:val="hybridMultilevel"/>
    <w:tmpl w:val="E36EB7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9" w15:restartNumberingAfterBreak="0">
    <w:nsid w:val="5B9352DA"/>
    <w:multiLevelType w:val="multilevel"/>
    <w:tmpl w:val="77127C44"/>
    <w:numStyleLink w:val="Style1"/>
  </w:abstractNum>
  <w:abstractNum w:abstractNumId="20"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7"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1"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33"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33"/>
  </w:num>
  <w:num w:numId="4">
    <w:abstractNumId w:val="15"/>
  </w:num>
  <w:num w:numId="5">
    <w:abstractNumId w:val="21"/>
  </w:num>
  <w:num w:numId="6">
    <w:abstractNumId w:val="2"/>
  </w:num>
  <w:num w:numId="7">
    <w:abstractNumId w:val="23"/>
  </w:num>
  <w:num w:numId="8">
    <w:abstractNumId w:val="35"/>
  </w:num>
  <w:num w:numId="9">
    <w:abstractNumId w:val="22"/>
  </w:num>
  <w:num w:numId="10">
    <w:abstractNumId w:val="36"/>
  </w:num>
  <w:num w:numId="11">
    <w:abstractNumId w:val="13"/>
  </w:num>
  <w:num w:numId="12">
    <w:abstractNumId w:val="12"/>
  </w:num>
  <w:num w:numId="13">
    <w:abstractNumId w:val="16"/>
  </w:num>
  <w:num w:numId="14">
    <w:abstractNumId w:val="4"/>
  </w:num>
  <w:num w:numId="15">
    <w:abstractNumId w:val="27"/>
  </w:num>
  <w:num w:numId="16">
    <w:abstractNumId w:val="14"/>
  </w:num>
  <w:num w:numId="17">
    <w:abstractNumId w:val="24"/>
  </w:num>
  <w:num w:numId="18">
    <w:abstractNumId w:val="11"/>
  </w:num>
  <w:num w:numId="19">
    <w:abstractNumId w:val="28"/>
  </w:num>
  <w:num w:numId="20">
    <w:abstractNumId w:val="32"/>
  </w:num>
  <w:num w:numId="21">
    <w:abstractNumId w:val="31"/>
  </w:num>
  <w:num w:numId="22">
    <w:abstractNumId w:val="18"/>
  </w:num>
  <w:num w:numId="23">
    <w:abstractNumId w:val="29"/>
  </w:num>
  <w:num w:numId="24">
    <w:abstractNumId w:val="30"/>
  </w:num>
  <w:num w:numId="25">
    <w:abstractNumId w:val="25"/>
  </w:num>
  <w:num w:numId="26">
    <w:abstractNumId w:val="8"/>
  </w:num>
  <w:num w:numId="27">
    <w:abstractNumId w:val="34"/>
  </w:num>
  <w:num w:numId="28">
    <w:abstractNumId w:val="9"/>
  </w:num>
  <w:num w:numId="29">
    <w:abstractNumId w:val="20"/>
  </w:num>
  <w:num w:numId="30">
    <w:abstractNumId w:val="10"/>
  </w:num>
  <w:num w:numId="31">
    <w:abstractNumId w:val="3"/>
  </w:num>
  <w:num w:numId="32">
    <w:abstractNumId w:val="19"/>
  </w:num>
  <w:num w:numId="33">
    <w:abstractNumId w:val="26"/>
  </w:num>
  <w:num w:numId="34">
    <w:abstractNumId w:val="7"/>
  </w:num>
  <w:num w:numId="35">
    <w:abstractNumId w:val="6"/>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593A"/>
    <w:rsid w:val="00007BA2"/>
    <w:rsid w:val="0001031D"/>
    <w:rsid w:val="00012356"/>
    <w:rsid w:val="00016BCF"/>
    <w:rsid w:val="0002058A"/>
    <w:rsid w:val="00020BAA"/>
    <w:rsid w:val="00021060"/>
    <w:rsid w:val="00022BAF"/>
    <w:rsid w:val="000277BB"/>
    <w:rsid w:val="000333B0"/>
    <w:rsid w:val="000341FD"/>
    <w:rsid w:val="0003594A"/>
    <w:rsid w:val="00035C26"/>
    <w:rsid w:val="00037183"/>
    <w:rsid w:val="000413A5"/>
    <w:rsid w:val="00042AEF"/>
    <w:rsid w:val="00046ACE"/>
    <w:rsid w:val="000518E0"/>
    <w:rsid w:val="00055093"/>
    <w:rsid w:val="000564D8"/>
    <w:rsid w:val="00057257"/>
    <w:rsid w:val="000577A8"/>
    <w:rsid w:val="00060EBF"/>
    <w:rsid w:val="0006260C"/>
    <w:rsid w:val="00063BDE"/>
    <w:rsid w:val="00063E56"/>
    <w:rsid w:val="00064138"/>
    <w:rsid w:val="0006668B"/>
    <w:rsid w:val="00076D13"/>
    <w:rsid w:val="000902DE"/>
    <w:rsid w:val="0009155A"/>
    <w:rsid w:val="00092275"/>
    <w:rsid w:val="00095051"/>
    <w:rsid w:val="0009559B"/>
    <w:rsid w:val="000A1585"/>
    <w:rsid w:val="000A2E6A"/>
    <w:rsid w:val="000A6FF5"/>
    <w:rsid w:val="000A77BA"/>
    <w:rsid w:val="000B2BB3"/>
    <w:rsid w:val="000B4E21"/>
    <w:rsid w:val="000B5AD6"/>
    <w:rsid w:val="000B692D"/>
    <w:rsid w:val="000C38D9"/>
    <w:rsid w:val="000C4135"/>
    <w:rsid w:val="000C5287"/>
    <w:rsid w:val="000C61A9"/>
    <w:rsid w:val="000C7006"/>
    <w:rsid w:val="000E0589"/>
    <w:rsid w:val="000E0C20"/>
    <w:rsid w:val="000E3EA1"/>
    <w:rsid w:val="000E7089"/>
    <w:rsid w:val="000F101F"/>
    <w:rsid w:val="000F29FA"/>
    <w:rsid w:val="00100667"/>
    <w:rsid w:val="00100E2F"/>
    <w:rsid w:val="001020E8"/>
    <w:rsid w:val="00104D2F"/>
    <w:rsid w:val="00104D9B"/>
    <w:rsid w:val="0010633F"/>
    <w:rsid w:val="00112265"/>
    <w:rsid w:val="0011280F"/>
    <w:rsid w:val="00112FD1"/>
    <w:rsid w:val="00113216"/>
    <w:rsid w:val="00123EFB"/>
    <w:rsid w:val="001248A4"/>
    <w:rsid w:val="00124DFD"/>
    <w:rsid w:val="00125C71"/>
    <w:rsid w:val="00140444"/>
    <w:rsid w:val="0014174F"/>
    <w:rsid w:val="0014256B"/>
    <w:rsid w:val="00145585"/>
    <w:rsid w:val="00147D4B"/>
    <w:rsid w:val="00153E56"/>
    <w:rsid w:val="0015775E"/>
    <w:rsid w:val="00161257"/>
    <w:rsid w:val="00162C5E"/>
    <w:rsid w:val="00170661"/>
    <w:rsid w:val="00172250"/>
    <w:rsid w:val="0017703D"/>
    <w:rsid w:val="00177E8F"/>
    <w:rsid w:val="00181305"/>
    <w:rsid w:val="0018276C"/>
    <w:rsid w:val="00182FE7"/>
    <w:rsid w:val="00186B2D"/>
    <w:rsid w:val="001919E4"/>
    <w:rsid w:val="00196016"/>
    <w:rsid w:val="00197F7A"/>
    <w:rsid w:val="001A0A45"/>
    <w:rsid w:val="001A2C94"/>
    <w:rsid w:val="001A3E6B"/>
    <w:rsid w:val="001A5C39"/>
    <w:rsid w:val="001A7CE3"/>
    <w:rsid w:val="001B1FD5"/>
    <w:rsid w:val="001B2F6B"/>
    <w:rsid w:val="001B382E"/>
    <w:rsid w:val="001B3D6B"/>
    <w:rsid w:val="001B721B"/>
    <w:rsid w:val="001B7CB7"/>
    <w:rsid w:val="001C2471"/>
    <w:rsid w:val="001D0CF6"/>
    <w:rsid w:val="001D0E3B"/>
    <w:rsid w:val="001D2DDE"/>
    <w:rsid w:val="001D5936"/>
    <w:rsid w:val="001D7EBB"/>
    <w:rsid w:val="001E1FEC"/>
    <w:rsid w:val="001E2428"/>
    <w:rsid w:val="001E3D16"/>
    <w:rsid w:val="001E6DF8"/>
    <w:rsid w:val="001E777D"/>
    <w:rsid w:val="001F2C32"/>
    <w:rsid w:val="0020297E"/>
    <w:rsid w:val="002066AC"/>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2EFF"/>
    <w:rsid w:val="00273E35"/>
    <w:rsid w:val="00281A95"/>
    <w:rsid w:val="00282B13"/>
    <w:rsid w:val="00282B66"/>
    <w:rsid w:val="00283985"/>
    <w:rsid w:val="00285CA0"/>
    <w:rsid w:val="0028773C"/>
    <w:rsid w:val="002903B6"/>
    <w:rsid w:val="00293BD2"/>
    <w:rsid w:val="00297A0E"/>
    <w:rsid w:val="002A2659"/>
    <w:rsid w:val="002A5AD2"/>
    <w:rsid w:val="002B01F8"/>
    <w:rsid w:val="002B0A16"/>
    <w:rsid w:val="002B2473"/>
    <w:rsid w:val="002B29D5"/>
    <w:rsid w:val="002B30FE"/>
    <w:rsid w:val="002B496B"/>
    <w:rsid w:val="002B63AA"/>
    <w:rsid w:val="002C13D4"/>
    <w:rsid w:val="002C23F4"/>
    <w:rsid w:val="002C2C9C"/>
    <w:rsid w:val="002C6155"/>
    <w:rsid w:val="002C6468"/>
    <w:rsid w:val="002D0329"/>
    <w:rsid w:val="002D518F"/>
    <w:rsid w:val="002D62EF"/>
    <w:rsid w:val="002E0459"/>
    <w:rsid w:val="002E0CED"/>
    <w:rsid w:val="002E0F0B"/>
    <w:rsid w:val="002E17B0"/>
    <w:rsid w:val="002E7CD9"/>
    <w:rsid w:val="002F0E16"/>
    <w:rsid w:val="002F3A18"/>
    <w:rsid w:val="002F6A68"/>
    <w:rsid w:val="002F71DB"/>
    <w:rsid w:val="002F77C9"/>
    <w:rsid w:val="003015F5"/>
    <w:rsid w:val="0030497B"/>
    <w:rsid w:val="00305EDF"/>
    <w:rsid w:val="00314427"/>
    <w:rsid w:val="0031738C"/>
    <w:rsid w:val="003203A8"/>
    <w:rsid w:val="00320AEA"/>
    <w:rsid w:val="00320D91"/>
    <w:rsid w:val="00324FB0"/>
    <w:rsid w:val="003317F1"/>
    <w:rsid w:val="0034613F"/>
    <w:rsid w:val="003469AD"/>
    <w:rsid w:val="0035462B"/>
    <w:rsid w:val="00354700"/>
    <w:rsid w:val="00364593"/>
    <w:rsid w:val="0036666F"/>
    <w:rsid w:val="00372533"/>
    <w:rsid w:val="00372B0B"/>
    <w:rsid w:val="003811B3"/>
    <w:rsid w:val="00383345"/>
    <w:rsid w:val="0038595E"/>
    <w:rsid w:val="00387EF7"/>
    <w:rsid w:val="00393F50"/>
    <w:rsid w:val="0039461B"/>
    <w:rsid w:val="0039731B"/>
    <w:rsid w:val="003A1D30"/>
    <w:rsid w:val="003A5972"/>
    <w:rsid w:val="003A5EAC"/>
    <w:rsid w:val="003A724E"/>
    <w:rsid w:val="003B2426"/>
    <w:rsid w:val="003B35E7"/>
    <w:rsid w:val="003B43D3"/>
    <w:rsid w:val="003B59BB"/>
    <w:rsid w:val="003C2C49"/>
    <w:rsid w:val="003C49D6"/>
    <w:rsid w:val="003C4DCE"/>
    <w:rsid w:val="003C7B45"/>
    <w:rsid w:val="003C7C13"/>
    <w:rsid w:val="003D3AE3"/>
    <w:rsid w:val="003D702D"/>
    <w:rsid w:val="003E62F2"/>
    <w:rsid w:val="003F06FB"/>
    <w:rsid w:val="003F6F38"/>
    <w:rsid w:val="0040171D"/>
    <w:rsid w:val="00402FD8"/>
    <w:rsid w:val="00411C32"/>
    <w:rsid w:val="00421747"/>
    <w:rsid w:val="00421DAC"/>
    <w:rsid w:val="00421DE2"/>
    <w:rsid w:val="00422A1B"/>
    <w:rsid w:val="00423BAD"/>
    <w:rsid w:val="00424619"/>
    <w:rsid w:val="004260F8"/>
    <w:rsid w:val="00426532"/>
    <w:rsid w:val="00430105"/>
    <w:rsid w:val="0043019F"/>
    <w:rsid w:val="00430626"/>
    <w:rsid w:val="00430D7B"/>
    <w:rsid w:val="00430E75"/>
    <w:rsid w:val="0043234B"/>
    <w:rsid w:val="0043396F"/>
    <w:rsid w:val="00433E8B"/>
    <w:rsid w:val="00434B14"/>
    <w:rsid w:val="004364AC"/>
    <w:rsid w:val="00437D0D"/>
    <w:rsid w:val="004459DA"/>
    <w:rsid w:val="0045109E"/>
    <w:rsid w:val="00453D35"/>
    <w:rsid w:val="0046173D"/>
    <w:rsid w:val="00461FF5"/>
    <w:rsid w:val="00463304"/>
    <w:rsid w:val="004641E6"/>
    <w:rsid w:val="0046426E"/>
    <w:rsid w:val="00471592"/>
    <w:rsid w:val="004727CF"/>
    <w:rsid w:val="0048239C"/>
    <w:rsid w:val="0048492A"/>
    <w:rsid w:val="00485A58"/>
    <w:rsid w:val="00485BEC"/>
    <w:rsid w:val="00485FB4"/>
    <w:rsid w:val="00486C03"/>
    <w:rsid w:val="00487551"/>
    <w:rsid w:val="004876C4"/>
    <w:rsid w:val="004903B3"/>
    <w:rsid w:val="00493CF0"/>
    <w:rsid w:val="004A04AF"/>
    <w:rsid w:val="004A7020"/>
    <w:rsid w:val="004B1F89"/>
    <w:rsid w:val="004B379B"/>
    <w:rsid w:val="004B4C0C"/>
    <w:rsid w:val="004C4218"/>
    <w:rsid w:val="004C54C1"/>
    <w:rsid w:val="004C599B"/>
    <w:rsid w:val="004C5C3C"/>
    <w:rsid w:val="004C6029"/>
    <w:rsid w:val="004C7D5F"/>
    <w:rsid w:val="004D0719"/>
    <w:rsid w:val="004D5DE2"/>
    <w:rsid w:val="004D7744"/>
    <w:rsid w:val="004D795E"/>
    <w:rsid w:val="004F031E"/>
    <w:rsid w:val="004F0DC6"/>
    <w:rsid w:val="004F2250"/>
    <w:rsid w:val="004F2284"/>
    <w:rsid w:val="004F443E"/>
    <w:rsid w:val="005008DE"/>
    <w:rsid w:val="0050196E"/>
    <w:rsid w:val="00504B6C"/>
    <w:rsid w:val="00505CD9"/>
    <w:rsid w:val="00506201"/>
    <w:rsid w:val="005107F2"/>
    <w:rsid w:val="0051082A"/>
    <w:rsid w:val="0051596E"/>
    <w:rsid w:val="00516E58"/>
    <w:rsid w:val="00516E6A"/>
    <w:rsid w:val="0051738A"/>
    <w:rsid w:val="005176A5"/>
    <w:rsid w:val="00523FA5"/>
    <w:rsid w:val="00524053"/>
    <w:rsid w:val="005311B5"/>
    <w:rsid w:val="00532A4B"/>
    <w:rsid w:val="00534E8D"/>
    <w:rsid w:val="00536C1D"/>
    <w:rsid w:val="00536F02"/>
    <w:rsid w:val="0054037F"/>
    <w:rsid w:val="005508AE"/>
    <w:rsid w:val="00550DF2"/>
    <w:rsid w:val="00550E0A"/>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22DC"/>
    <w:rsid w:val="00592D39"/>
    <w:rsid w:val="00593A9F"/>
    <w:rsid w:val="00597360"/>
    <w:rsid w:val="005A201A"/>
    <w:rsid w:val="005A2845"/>
    <w:rsid w:val="005A2DFA"/>
    <w:rsid w:val="005A660F"/>
    <w:rsid w:val="005C00BF"/>
    <w:rsid w:val="005C053E"/>
    <w:rsid w:val="005C1F47"/>
    <w:rsid w:val="005C40EB"/>
    <w:rsid w:val="005C47D2"/>
    <w:rsid w:val="005D3EC3"/>
    <w:rsid w:val="005D6039"/>
    <w:rsid w:val="005E7C9D"/>
    <w:rsid w:val="005E7E11"/>
    <w:rsid w:val="005F0757"/>
    <w:rsid w:val="00601B7F"/>
    <w:rsid w:val="00604E38"/>
    <w:rsid w:val="0060592C"/>
    <w:rsid w:val="00612E9F"/>
    <w:rsid w:val="00613126"/>
    <w:rsid w:val="006162EA"/>
    <w:rsid w:val="00616497"/>
    <w:rsid w:val="00621160"/>
    <w:rsid w:val="0062221B"/>
    <w:rsid w:val="0062389F"/>
    <w:rsid w:val="006247ED"/>
    <w:rsid w:val="00627AB7"/>
    <w:rsid w:val="006300CF"/>
    <w:rsid w:val="00632EE3"/>
    <w:rsid w:val="00633F46"/>
    <w:rsid w:val="006340D1"/>
    <w:rsid w:val="0063669E"/>
    <w:rsid w:val="006433FE"/>
    <w:rsid w:val="00645D46"/>
    <w:rsid w:val="00645F5E"/>
    <w:rsid w:val="00647AE9"/>
    <w:rsid w:val="00650F59"/>
    <w:rsid w:val="00651AB3"/>
    <w:rsid w:val="00651ED0"/>
    <w:rsid w:val="00653588"/>
    <w:rsid w:val="00654FB2"/>
    <w:rsid w:val="006561BE"/>
    <w:rsid w:val="00657510"/>
    <w:rsid w:val="0066293D"/>
    <w:rsid w:val="00665555"/>
    <w:rsid w:val="00666583"/>
    <w:rsid w:val="00666D9E"/>
    <w:rsid w:val="00670A86"/>
    <w:rsid w:val="00674699"/>
    <w:rsid w:val="006759B9"/>
    <w:rsid w:val="00677B71"/>
    <w:rsid w:val="00681FEC"/>
    <w:rsid w:val="00683812"/>
    <w:rsid w:val="00683D7A"/>
    <w:rsid w:val="0068716F"/>
    <w:rsid w:val="00692C4D"/>
    <w:rsid w:val="00693C5D"/>
    <w:rsid w:val="006A6BBD"/>
    <w:rsid w:val="006A7162"/>
    <w:rsid w:val="006B2496"/>
    <w:rsid w:val="006B5D40"/>
    <w:rsid w:val="006C2384"/>
    <w:rsid w:val="006C646A"/>
    <w:rsid w:val="006C6DA9"/>
    <w:rsid w:val="006C7716"/>
    <w:rsid w:val="006C7818"/>
    <w:rsid w:val="006D2586"/>
    <w:rsid w:val="006D3A54"/>
    <w:rsid w:val="006D4876"/>
    <w:rsid w:val="006D59ED"/>
    <w:rsid w:val="006D790A"/>
    <w:rsid w:val="006E03CC"/>
    <w:rsid w:val="006E08E9"/>
    <w:rsid w:val="006E0B61"/>
    <w:rsid w:val="006E1D77"/>
    <w:rsid w:val="006E4C4E"/>
    <w:rsid w:val="006E53C2"/>
    <w:rsid w:val="006E66E3"/>
    <w:rsid w:val="006E6A5B"/>
    <w:rsid w:val="006E7EAA"/>
    <w:rsid w:val="006F1A8D"/>
    <w:rsid w:val="006F2902"/>
    <w:rsid w:val="006F790D"/>
    <w:rsid w:val="007013BF"/>
    <w:rsid w:val="00703EE8"/>
    <w:rsid w:val="00704AB6"/>
    <w:rsid w:val="00710F9F"/>
    <w:rsid w:val="00712340"/>
    <w:rsid w:val="007139A4"/>
    <w:rsid w:val="00714333"/>
    <w:rsid w:val="0071716E"/>
    <w:rsid w:val="00717259"/>
    <w:rsid w:val="00720946"/>
    <w:rsid w:val="007241F1"/>
    <w:rsid w:val="00724C29"/>
    <w:rsid w:val="007272F2"/>
    <w:rsid w:val="007302AA"/>
    <w:rsid w:val="007325C1"/>
    <w:rsid w:val="007361ED"/>
    <w:rsid w:val="00745B88"/>
    <w:rsid w:val="00745D72"/>
    <w:rsid w:val="0075255C"/>
    <w:rsid w:val="007535CD"/>
    <w:rsid w:val="007538B3"/>
    <w:rsid w:val="00761059"/>
    <w:rsid w:val="00763C2D"/>
    <w:rsid w:val="007645C5"/>
    <w:rsid w:val="007648C2"/>
    <w:rsid w:val="0076491E"/>
    <w:rsid w:val="00764955"/>
    <w:rsid w:val="00766F1B"/>
    <w:rsid w:val="00767335"/>
    <w:rsid w:val="00772A5B"/>
    <w:rsid w:val="00775CA6"/>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C76F4"/>
    <w:rsid w:val="007D18F8"/>
    <w:rsid w:val="007D4D34"/>
    <w:rsid w:val="007E2E88"/>
    <w:rsid w:val="007E3994"/>
    <w:rsid w:val="007E5198"/>
    <w:rsid w:val="007E6681"/>
    <w:rsid w:val="007E68F0"/>
    <w:rsid w:val="007E6A33"/>
    <w:rsid w:val="007F1B1E"/>
    <w:rsid w:val="007F29C6"/>
    <w:rsid w:val="007F3881"/>
    <w:rsid w:val="007F5313"/>
    <w:rsid w:val="007F788A"/>
    <w:rsid w:val="008008B5"/>
    <w:rsid w:val="0080100C"/>
    <w:rsid w:val="00801548"/>
    <w:rsid w:val="008027C0"/>
    <w:rsid w:val="00803E0A"/>
    <w:rsid w:val="00805BC8"/>
    <w:rsid w:val="00805FA7"/>
    <w:rsid w:val="00807A67"/>
    <w:rsid w:val="00820001"/>
    <w:rsid w:val="00823814"/>
    <w:rsid w:val="00823883"/>
    <w:rsid w:val="00824A1A"/>
    <w:rsid w:val="0082659A"/>
    <w:rsid w:val="00830EAD"/>
    <w:rsid w:val="00832A9D"/>
    <w:rsid w:val="0083578F"/>
    <w:rsid w:val="00835D48"/>
    <w:rsid w:val="0084195E"/>
    <w:rsid w:val="00842279"/>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3929"/>
    <w:rsid w:val="00885ACA"/>
    <w:rsid w:val="00885BAC"/>
    <w:rsid w:val="0088745B"/>
    <w:rsid w:val="00887A0A"/>
    <w:rsid w:val="00892D0D"/>
    <w:rsid w:val="00893553"/>
    <w:rsid w:val="0089698C"/>
    <w:rsid w:val="00896D11"/>
    <w:rsid w:val="0089749B"/>
    <w:rsid w:val="008A7692"/>
    <w:rsid w:val="008B42FB"/>
    <w:rsid w:val="008B593E"/>
    <w:rsid w:val="008B62B7"/>
    <w:rsid w:val="008B76D3"/>
    <w:rsid w:val="008C0696"/>
    <w:rsid w:val="008C2115"/>
    <w:rsid w:val="008C29C7"/>
    <w:rsid w:val="008C5565"/>
    <w:rsid w:val="008D22DC"/>
    <w:rsid w:val="008D63F3"/>
    <w:rsid w:val="008D76FA"/>
    <w:rsid w:val="008E48E4"/>
    <w:rsid w:val="008E7EA2"/>
    <w:rsid w:val="008F0A3F"/>
    <w:rsid w:val="008F3048"/>
    <w:rsid w:val="009020AB"/>
    <w:rsid w:val="009025C9"/>
    <w:rsid w:val="00903089"/>
    <w:rsid w:val="00905A3B"/>
    <w:rsid w:val="0091213F"/>
    <w:rsid w:val="00915142"/>
    <w:rsid w:val="0091777C"/>
    <w:rsid w:val="00920B07"/>
    <w:rsid w:val="00920EEF"/>
    <w:rsid w:val="00927051"/>
    <w:rsid w:val="00927F60"/>
    <w:rsid w:val="009330DE"/>
    <w:rsid w:val="009342B2"/>
    <w:rsid w:val="00936BA5"/>
    <w:rsid w:val="00940B65"/>
    <w:rsid w:val="0094150B"/>
    <w:rsid w:val="00944671"/>
    <w:rsid w:val="0094580B"/>
    <w:rsid w:val="00946382"/>
    <w:rsid w:val="00946EF7"/>
    <w:rsid w:val="0095222C"/>
    <w:rsid w:val="009522E2"/>
    <w:rsid w:val="00957A4C"/>
    <w:rsid w:val="00960BD6"/>
    <w:rsid w:val="00960F5E"/>
    <w:rsid w:val="0096276C"/>
    <w:rsid w:val="009630CF"/>
    <w:rsid w:val="009728FE"/>
    <w:rsid w:val="0097435D"/>
    <w:rsid w:val="00976513"/>
    <w:rsid w:val="0098053B"/>
    <w:rsid w:val="00982ED9"/>
    <w:rsid w:val="00984CA5"/>
    <w:rsid w:val="00987F3B"/>
    <w:rsid w:val="00990148"/>
    <w:rsid w:val="0099250D"/>
    <w:rsid w:val="009940C6"/>
    <w:rsid w:val="00994359"/>
    <w:rsid w:val="009943E8"/>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0D02"/>
    <w:rsid w:val="009E29D8"/>
    <w:rsid w:val="009E4274"/>
    <w:rsid w:val="009E5771"/>
    <w:rsid w:val="009E5AEB"/>
    <w:rsid w:val="009F67B0"/>
    <w:rsid w:val="00A02740"/>
    <w:rsid w:val="00A03078"/>
    <w:rsid w:val="00A035A5"/>
    <w:rsid w:val="00A05BB3"/>
    <w:rsid w:val="00A06A0C"/>
    <w:rsid w:val="00A12077"/>
    <w:rsid w:val="00A121F2"/>
    <w:rsid w:val="00A13142"/>
    <w:rsid w:val="00A13EFE"/>
    <w:rsid w:val="00A215BE"/>
    <w:rsid w:val="00A24ADC"/>
    <w:rsid w:val="00A3185C"/>
    <w:rsid w:val="00A31E7C"/>
    <w:rsid w:val="00A35C0B"/>
    <w:rsid w:val="00A36642"/>
    <w:rsid w:val="00A369D5"/>
    <w:rsid w:val="00A428F2"/>
    <w:rsid w:val="00A47645"/>
    <w:rsid w:val="00A5114A"/>
    <w:rsid w:val="00A51503"/>
    <w:rsid w:val="00A524C9"/>
    <w:rsid w:val="00A572D2"/>
    <w:rsid w:val="00A6196C"/>
    <w:rsid w:val="00A61B48"/>
    <w:rsid w:val="00A628CF"/>
    <w:rsid w:val="00A64145"/>
    <w:rsid w:val="00A67C95"/>
    <w:rsid w:val="00A7195F"/>
    <w:rsid w:val="00A73E2E"/>
    <w:rsid w:val="00A74AE2"/>
    <w:rsid w:val="00A75951"/>
    <w:rsid w:val="00A819A9"/>
    <w:rsid w:val="00A81F6A"/>
    <w:rsid w:val="00A828FA"/>
    <w:rsid w:val="00A8563A"/>
    <w:rsid w:val="00A92F6F"/>
    <w:rsid w:val="00A938E0"/>
    <w:rsid w:val="00A97BAC"/>
    <w:rsid w:val="00AA0A87"/>
    <w:rsid w:val="00AA13D2"/>
    <w:rsid w:val="00AA28CD"/>
    <w:rsid w:val="00AA2B1D"/>
    <w:rsid w:val="00AA3A07"/>
    <w:rsid w:val="00AB55DD"/>
    <w:rsid w:val="00AB7843"/>
    <w:rsid w:val="00AC102D"/>
    <w:rsid w:val="00AC4342"/>
    <w:rsid w:val="00AC4AE4"/>
    <w:rsid w:val="00AC59D0"/>
    <w:rsid w:val="00AD1F46"/>
    <w:rsid w:val="00AD336A"/>
    <w:rsid w:val="00AD63A0"/>
    <w:rsid w:val="00AD68A7"/>
    <w:rsid w:val="00AE1351"/>
    <w:rsid w:val="00AE2C86"/>
    <w:rsid w:val="00AF0B56"/>
    <w:rsid w:val="00AF1C03"/>
    <w:rsid w:val="00AF29A6"/>
    <w:rsid w:val="00AF654A"/>
    <w:rsid w:val="00AF6A41"/>
    <w:rsid w:val="00AF78BA"/>
    <w:rsid w:val="00B0195F"/>
    <w:rsid w:val="00B13E0F"/>
    <w:rsid w:val="00B1584D"/>
    <w:rsid w:val="00B16696"/>
    <w:rsid w:val="00B17C4C"/>
    <w:rsid w:val="00B17F4C"/>
    <w:rsid w:val="00B2006C"/>
    <w:rsid w:val="00B23E57"/>
    <w:rsid w:val="00B24559"/>
    <w:rsid w:val="00B2596B"/>
    <w:rsid w:val="00B26C31"/>
    <w:rsid w:val="00B36EF0"/>
    <w:rsid w:val="00B40404"/>
    <w:rsid w:val="00B40943"/>
    <w:rsid w:val="00B44178"/>
    <w:rsid w:val="00B4613A"/>
    <w:rsid w:val="00B47A0D"/>
    <w:rsid w:val="00B53522"/>
    <w:rsid w:val="00B5556C"/>
    <w:rsid w:val="00B55906"/>
    <w:rsid w:val="00B72A40"/>
    <w:rsid w:val="00B777EF"/>
    <w:rsid w:val="00B82CA5"/>
    <w:rsid w:val="00B8562B"/>
    <w:rsid w:val="00B91728"/>
    <w:rsid w:val="00B94841"/>
    <w:rsid w:val="00B948DF"/>
    <w:rsid w:val="00B95456"/>
    <w:rsid w:val="00BA0B8D"/>
    <w:rsid w:val="00BA4116"/>
    <w:rsid w:val="00BA5AA8"/>
    <w:rsid w:val="00BB1C99"/>
    <w:rsid w:val="00BB23CB"/>
    <w:rsid w:val="00BB3704"/>
    <w:rsid w:val="00BB3705"/>
    <w:rsid w:val="00BB3B40"/>
    <w:rsid w:val="00BB5B9B"/>
    <w:rsid w:val="00BB62C6"/>
    <w:rsid w:val="00BB73CB"/>
    <w:rsid w:val="00BC26C5"/>
    <w:rsid w:val="00BC75D7"/>
    <w:rsid w:val="00BD316D"/>
    <w:rsid w:val="00BD376E"/>
    <w:rsid w:val="00BD6384"/>
    <w:rsid w:val="00BD66C3"/>
    <w:rsid w:val="00BE0A72"/>
    <w:rsid w:val="00BF1E3C"/>
    <w:rsid w:val="00BF2411"/>
    <w:rsid w:val="00BF24A5"/>
    <w:rsid w:val="00C0116D"/>
    <w:rsid w:val="00C03EB1"/>
    <w:rsid w:val="00C100C8"/>
    <w:rsid w:val="00C1073F"/>
    <w:rsid w:val="00C133EA"/>
    <w:rsid w:val="00C14D98"/>
    <w:rsid w:val="00C1586E"/>
    <w:rsid w:val="00C20806"/>
    <w:rsid w:val="00C21937"/>
    <w:rsid w:val="00C22DF4"/>
    <w:rsid w:val="00C2500C"/>
    <w:rsid w:val="00C2613A"/>
    <w:rsid w:val="00C310FB"/>
    <w:rsid w:val="00C34235"/>
    <w:rsid w:val="00C3697B"/>
    <w:rsid w:val="00C41517"/>
    <w:rsid w:val="00C42EF8"/>
    <w:rsid w:val="00C430AD"/>
    <w:rsid w:val="00C441D0"/>
    <w:rsid w:val="00C517F3"/>
    <w:rsid w:val="00C5239A"/>
    <w:rsid w:val="00C52C48"/>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5A96"/>
    <w:rsid w:val="00C86AFE"/>
    <w:rsid w:val="00C92341"/>
    <w:rsid w:val="00C93D4D"/>
    <w:rsid w:val="00C97559"/>
    <w:rsid w:val="00CA138D"/>
    <w:rsid w:val="00CA79FD"/>
    <w:rsid w:val="00CA7A49"/>
    <w:rsid w:val="00CB0645"/>
    <w:rsid w:val="00CB0DBC"/>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E7CE2"/>
    <w:rsid w:val="00CF5D99"/>
    <w:rsid w:val="00CF6823"/>
    <w:rsid w:val="00CF6C67"/>
    <w:rsid w:val="00D03932"/>
    <w:rsid w:val="00D11F51"/>
    <w:rsid w:val="00D132AC"/>
    <w:rsid w:val="00D149EF"/>
    <w:rsid w:val="00D1572B"/>
    <w:rsid w:val="00D1575D"/>
    <w:rsid w:val="00D1588F"/>
    <w:rsid w:val="00D16B85"/>
    <w:rsid w:val="00D16FBB"/>
    <w:rsid w:val="00D203FB"/>
    <w:rsid w:val="00D222C5"/>
    <w:rsid w:val="00D22820"/>
    <w:rsid w:val="00D2351A"/>
    <w:rsid w:val="00D24AB2"/>
    <w:rsid w:val="00D24DEB"/>
    <w:rsid w:val="00D26CAF"/>
    <w:rsid w:val="00D27099"/>
    <w:rsid w:val="00D271A8"/>
    <w:rsid w:val="00D27837"/>
    <w:rsid w:val="00D313A3"/>
    <w:rsid w:val="00D3235E"/>
    <w:rsid w:val="00D33E29"/>
    <w:rsid w:val="00D42D38"/>
    <w:rsid w:val="00D451D6"/>
    <w:rsid w:val="00D45F7E"/>
    <w:rsid w:val="00D468C8"/>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97F7E"/>
    <w:rsid w:val="00DA3F69"/>
    <w:rsid w:val="00DA4D78"/>
    <w:rsid w:val="00DA7583"/>
    <w:rsid w:val="00DB54F7"/>
    <w:rsid w:val="00DB713C"/>
    <w:rsid w:val="00DC157D"/>
    <w:rsid w:val="00DC2AB7"/>
    <w:rsid w:val="00DC3D53"/>
    <w:rsid w:val="00DD06F0"/>
    <w:rsid w:val="00DD41BA"/>
    <w:rsid w:val="00DD560C"/>
    <w:rsid w:val="00DE0856"/>
    <w:rsid w:val="00DE10FE"/>
    <w:rsid w:val="00DE127F"/>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5343A"/>
    <w:rsid w:val="00E6352F"/>
    <w:rsid w:val="00E65DD5"/>
    <w:rsid w:val="00E72B17"/>
    <w:rsid w:val="00E72E78"/>
    <w:rsid w:val="00E74B9F"/>
    <w:rsid w:val="00E764D3"/>
    <w:rsid w:val="00E76D27"/>
    <w:rsid w:val="00E83584"/>
    <w:rsid w:val="00E84816"/>
    <w:rsid w:val="00E90DE9"/>
    <w:rsid w:val="00E943E4"/>
    <w:rsid w:val="00E97340"/>
    <w:rsid w:val="00EA1E4C"/>
    <w:rsid w:val="00EA2E8F"/>
    <w:rsid w:val="00EB0ADD"/>
    <w:rsid w:val="00EB4CFE"/>
    <w:rsid w:val="00EC1454"/>
    <w:rsid w:val="00EC198B"/>
    <w:rsid w:val="00EC1C0A"/>
    <w:rsid w:val="00EC3CB4"/>
    <w:rsid w:val="00EC7262"/>
    <w:rsid w:val="00EE1A1F"/>
    <w:rsid w:val="00EE2807"/>
    <w:rsid w:val="00EE49BF"/>
    <w:rsid w:val="00EE4D9A"/>
    <w:rsid w:val="00EE53E0"/>
    <w:rsid w:val="00EE5E0D"/>
    <w:rsid w:val="00EE7B4C"/>
    <w:rsid w:val="00EF2203"/>
    <w:rsid w:val="00EF2ABC"/>
    <w:rsid w:val="00EF6C7D"/>
    <w:rsid w:val="00EF73D0"/>
    <w:rsid w:val="00EF7663"/>
    <w:rsid w:val="00F001C3"/>
    <w:rsid w:val="00F00DDB"/>
    <w:rsid w:val="00F02323"/>
    <w:rsid w:val="00F0250C"/>
    <w:rsid w:val="00F03831"/>
    <w:rsid w:val="00F0530A"/>
    <w:rsid w:val="00F05955"/>
    <w:rsid w:val="00F06A76"/>
    <w:rsid w:val="00F076B6"/>
    <w:rsid w:val="00F1031D"/>
    <w:rsid w:val="00F11107"/>
    <w:rsid w:val="00F1222A"/>
    <w:rsid w:val="00F13EAA"/>
    <w:rsid w:val="00F1483A"/>
    <w:rsid w:val="00F15383"/>
    <w:rsid w:val="00F15F3B"/>
    <w:rsid w:val="00F1729C"/>
    <w:rsid w:val="00F24AD3"/>
    <w:rsid w:val="00F3462B"/>
    <w:rsid w:val="00F3518E"/>
    <w:rsid w:val="00F362B9"/>
    <w:rsid w:val="00F37C8B"/>
    <w:rsid w:val="00F41325"/>
    <w:rsid w:val="00F41DAC"/>
    <w:rsid w:val="00F433FB"/>
    <w:rsid w:val="00F51CA7"/>
    <w:rsid w:val="00F52F30"/>
    <w:rsid w:val="00F53549"/>
    <w:rsid w:val="00F53752"/>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960E1"/>
    <w:rsid w:val="00FA62D0"/>
    <w:rsid w:val="00FB00B0"/>
    <w:rsid w:val="00FB156B"/>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41B5"/>
    <w:rsid w:val="00FE5159"/>
    <w:rsid w:val="00FE53EA"/>
    <w:rsid w:val="00FE549B"/>
    <w:rsid w:val="00FF2AAE"/>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56D2355"/>
  <w15:docId w15:val="{C7261B4D-C68C-4B44-A4D7-ABF605C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uiPriority w:val="99"/>
    <w:rsid w:val="009D061B"/>
    <w:pPr>
      <w:tabs>
        <w:tab w:val="center" w:pos="4153"/>
        <w:tab w:val="right" w:pos="8306"/>
      </w:tabs>
    </w:pPr>
  </w:style>
  <w:style w:type="character" w:customStyle="1" w:styleId="HeaderChar">
    <w:name w:val="Header Char"/>
    <w:basedOn w:val="DefaultParagraphFont"/>
    <w:link w:val="Header"/>
    <w:uiPriority w:val="99"/>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uiPriority w:val="99"/>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 w:type="paragraph" w:styleId="Revision">
    <w:name w:val="Revision"/>
    <w:hidden/>
    <w:uiPriority w:val="99"/>
    <w:semiHidden/>
    <w:rsid w:val="002F77C9"/>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3E61DFFBD9C4BA16F213F6706EDA8" ma:contentTypeVersion="" ma:contentTypeDescription="PDMS Document Site Content Type" ma:contentTypeScope="" ma:versionID="adbcf6d8d4a2882520a2d1f58f3a768a">
  <xsd:schema xmlns:xsd="http://www.w3.org/2001/XMLSchema" xmlns:xs="http://www.w3.org/2001/XMLSchema" xmlns:p="http://schemas.microsoft.com/office/2006/metadata/properties" xmlns:ns2="EAAF29A3-9E3C-4F3D-ABC6-BA62F9A5A6BB" targetNamespace="http://schemas.microsoft.com/office/2006/metadata/properties" ma:root="true" ma:fieldsID="68a28774d6f974ca2c5ebc207630d2bf" ns2:_="">
    <xsd:import namespace="EAAF29A3-9E3C-4F3D-ABC6-BA62F9A5A6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29A3-9E3C-4F3D-ABC6-BA62F9A5A6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AAF29A3-9E3C-4F3D-ABC6-BA62F9A5A6B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6B632-8A8D-4E1A-A8B1-B21492B220FB}">
  <ds:schemaRefs>
    <ds:schemaRef ds:uri="http://schemas.microsoft.com/sharepoint/v3/contenttype/forms"/>
  </ds:schemaRefs>
</ds:datastoreItem>
</file>

<file path=customXml/itemProps2.xml><?xml version="1.0" encoding="utf-8"?>
<ds:datastoreItem xmlns:ds="http://schemas.openxmlformats.org/officeDocument/2006/customXml" ds:itemID="{52E5F857-099C-4FB0-824E-F3B7ED31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29A3-9E3C-4F3D-ABC6-BA62F9A5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997EC-627D-4A6E-AC16-9EEFE37ED7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AAF29A3-9E3C-4F3D-ABC6-BA62F9A5A6B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E341AE-C58E-4E06-AD3E-112E477E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subject/>
  <dc:creator>Carl Fitzpatrick</dc:creator>
  <cp:keywords/>
  <dc:description/>
  <cp:lastModifiedBy>Featherston, Daniel</cp:lastModifiedBy>
  <cp:revision>2</cp:revision>
  <cp:lastPrinted>2021-04-12T07:26:00Z</cp:lastPrinted>
  <dcterms:created xsi:type="dcterms:W3CDTF">2021-12-16T04:15:00Z</dcterms:created>
  <dcterms:modified xsi:type="dcterms:W3CDTF">2021-12-16T04:15:00Z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0x010100266966F133664895A6EE3632470D45F500EA73E61DFFBD9C4BA16F213F6706EDA8</vt:lpwstr>
  </property>
</Properties>
</file>