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Pr="00BC3FB4" w:rsidRDefault="00FF6E25" w:rsidP="00FF6E25">
      <w:pPr>
        <w:jc w:val="center"/>
        <w:rPr>
          <w:rFonts w:asciiTheme="minorHAnsi" w:hAnsiTheme="minorHAnsi" w:cstheme="minorHAnsi"/>
          <w:b/>
          <w:szCs w:val="24"/>
          <w:u w:val="single"/>
        </w:rPr>
      </w:pPr>
      <w:r w:rsidRPr="00BC3FB4">
        <w:rPr>
          <w:rFonts w:asciiTheme="minorHAnsi" w:hAnsiTheme="minorHAnsi" w:cstheme="minorHAnsi"/>
          <w:b/>
          <w:szCs w:val="24"/>
          <w:u w:val="single"/>
        </w:rPr>
        <w:t>EXPLANATORY STATEMENT</w:t>
      </w:r>
    </w:p>
    <w:p w14:paraId="145EC655" w14:textId="5F52F7C8" w:rsidR="0088497A" w:rsidRPr="00BC3FB4" w:rsidRDefault="0088497A" w:rsidP="00FF6E25">
      <w:pPr>
        <w:jc w:val="center"/>
        <w:rPr>
          <w:rFonts w:asciiTheme="minorHAnsi" w:hAnsiTheme="minorHAnsi" w:cstheme="minorHAnsi"/>
          <w:szCs w:val="24"/>
          <w:u w:val="single"/>
        </w:rPr>
      </w:pPr>
      <w:r w:rsidRPr="00BC3FB4">
        <w:rPr>
          <w:rFonts w:asciiTheme="minorHAnsi" w:hAnsiTheme="minorHAnsi" w:cstheme="minorHAnsi"/>
          <w:szCs w:val="24"/>
          <w:u w:val="single"/>
        </w:rPr>
        <w:t xml:space="preserve">Issued by the authority of </w:t>
      </w:r>
      <w:r w:rsidR="00BC3FB4" w:rsidRPr="00BC3FB4">
        <w:rPr>
          <w:rFonts w:asciiTheme="minorHAnsi" w:hAnsiTheme="minorHAnsi" w:cstheme="minorHAnsi"/>
          <w:szCs w:val="24"/>
          <w:u w:val="single"/>
        </w:rPr>
        <w:t xml:space="preserve">the </w:t>
      </w:r>
      <w:r w:rsidR="00B633E5" w:rsidRPr="00B633E5">
        <w:rPr>
          <w:rFonts w:asciiTheme="minorHAnsi" w:hAnsiTheme="minorHAnsi" w:cstheme="minorHAnsi"/>
          <w:szCs w:val="24"/>
          <w:u w:val="single"/>
        </w:rPr>
        <w:t>Minister for Employment, Workforce, Skills, Small and Family Business</w:t>
      </w:r>
    </w:p>
    <w:p w14:paraId="12EB6806" w14:textId="42FB6662" w:rsidR="00455C2A" w:rsidRPr="00BC3FB4" w:rsidRDefault="00BC3FB4" w:rsidP="00FF6E25">
      <w:pPr>
        <w:jc w:val="center"/>
        <w:rPr>
          <w:rFonts w:asciiTheme="minorHAnsi" w:hAnsiTheme="minorHAnsi" w:cstheme="minorHAnsi"/>
          <w:b/>
          <w:i/>
          <w:szCs w:val="24"/>
        </w:rPr>
      </w:pPr>
      <w:r w:rsidRPr="00BC3FB4">
        <w:rPr>
          <w:rFonts w:asciiTheme="minorHAnsi" w:hAnsiTheme="minorHAnsi" w:cstheme="minorHAnsi"/>
          <w:b/>
          <w:i/>
          <w:szCs w:val="24"/>
        </w:rPr>
        <w:t>Higher Education Support Act 2003</w:t>
      </w:r>
    </w:p>
    <w:p w14:paraId="6C026A0C" w14:textId="1603AFC1" w:rsidR="00503218" w:rsidRPr="0088497A" w:rsidRDefault="00630EB9" w:rsidP="00DA552F">
      <w:pPr>
        <w:jc w:val="center"/>
        <w:rPr>
          <w:rFonts w:asciiTheme="minorHAnsi" w:hAnsiTheme="minorHAnsi" w:cstheme="minorHAnsi"/>
          <w:b/>
          <w:i/>
          <w:szCs w:val="24"/>
        </w:rPr>
      </w:pPr>
      <w:r>
        <w:rPr>
          <w:rFonts w:asciiTheme="minorHAnsi" w:hAnsiTheme="minorHAnsi" w:cstheme="minorHAnsi"/>
          <w:b/>
          <w:i/>
          <w:szCs w:val="24"/>
        </w:rPr>
        <w:t xml:space="preserve">Commonwealth Grant Scheme Amendment (Transition Fund Loading) </w:t>
      </w:r>
      <w:r w:rsidR="00A840CA">
        <w:rPr>
          <w:rFonts w:asciiTheme="minorHAnsi" w:hAnsiTheme="minorHAnsi" w:cstheme="minorHAnsi"/>
          <w:b/>
          <w:i/>
          <w:szCs w:val="24"/>
        </w:rPr>
        <w:t xml:space="preserve">Guidelines </w:t>
      </w:r>
      <w:r>
        <w:rPr>
          <w:rFonts w:asciiTheme="minorHAnsi" w:hAnsiTheme="minorHAnsi" w:cstheme="minorHAnsi"/>
          <w:b/>
          <w:i/>
          <w:szCs w:val="24"/>
        </w:rPr>
        <w:t>2021</w:t>
      </w:r>
    </w:p>
    <w:p w14:paraId="33AB2D38"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bookmarkEnd w:id="0"/>
    <w:bookmarkEnd w:id="1"/>
    <w:p w14:paraId="4E8F40A0" w14:textId="33329474" w:rsidR="00BC3FB4" w:rsidRPr="00BC3FB4" w:rsidRDefault="00630EB9" w:rsidP="00BC3FB4">
      <w:pPr>
        <w:spacing w:before="120" w:after="120"/>
        <w:rPr>
          <w:rFonts w:asciiTheme="minorHAnsi" w:hAnsiTheme="minorHAnsi" w:cstheme="minorHAnsi"/>
          <w:iCs/>
        </w:rPr>
      </w:pPr>
      <w:r>
        <w:rPr>
          <w:rFonts w:asciiTheme="minorHAnsi" w:eastAsiaTheme="majorEastAsia" w:hAnsiTheme="minorHAnsi" w:cstheme="minorHAnsi"/>
          <w:iCs/>
          <w:szCs w:val="26"/>
        </w:rPr>
        <w:t>Section 238-10</w:t>
      </w:r>
      <w:r w:rsidR="00BC3FB4" w:rsidRPr="00BC3FB4">
        <w:rPr>
          <w:rFonts w:asciiTheme="minorHAnsi" w:eastAsiaTheme="majorEastAsia" w:hAnsiTheme="minorHAnsi" w:cstheme="minorHAnsi"/>
          <w:iCs/>
          <w:szCs w:val="26"/>
        </w:rPr>
        <w:t xml:space="preserve"> of the </w:t>
      </w:r>
      <w:r w:rsidR="00BC3FB4" w:rsidRPr="00BC3FB4">
        <w:rPr>
          <w:rFonts w:asciiTheme="minorHAnsi" w:eastAsiaTheme="majorEastAsia" w:hAnsiTheme="minorHAnsi" w:cstheme="minorHAnsi"/>
          <w:i/>
          <w:szCs w:val="26"/>
        </w:rPr>
        <w:t>Higher Education Support Act 2003</w:t>
      </w:r>
      <w:r w:rsidR="00BC3FB4" w:rsidRPr="00BC3FB4">
        <w:rPr>
          <w:rFonts w:asciiTheme="minorHAnsi" w:eastAsiaTheme="majorEastAsia" w:hAnsiTheme="minorHAnsi" w:cstheme="minorHAnsi"/>
          <w:iCs/>
          <w:szCs w:val="26"/>
        </w:rPr>
        <w:t xml:space="preserve"> (the Act) provides that the Minister </w:t>
      </w:r>
      <w:r>
        <w:rPr>
          <w:rFonts w:asciiTheme="minorHAnsi" w:eastAsiaTheme="majorEastAsia" w:hAnsiTheme="minorHAnsi" w:cstheme="minorHAnsi"/>
          <w:iCs/>
          <w:szCs w:val="26"/>
        </w:rPr>
        <w:t xml:space="preserve">may make guidelines for the purposes of the Act. In particular, item 2 of the table at section 238-10 specifies that the Minister may make the Commonwealth Grant Scheme Guidelines in order to carry out or give effect to the matters set out in Part 2-2 of the Act. </w:t>
      </w:r>
      <w:r w:rsidR="00BC3FB4" w:rsidRPr="00BC3FB4">
        <w:rPr>
          <w:rFonts w:asciiTheme="minorHAnsi" w:eastAsiaTheme="majorEastAsia" w:hAnsiTheme="minorHAnsi" w:cstheme="minorHAnsi"/>
          <w:iCs/>
          <w:szCs w:val="26"/>
        </w:rPr>
        <w:t xml:space="preserve">  </w:t>
      </w:r>
    </w:p>
    <w:p w14:paraId="06813E70" w14:textId="2027C6EF" w:rsidR="00BC3FB4" w:rsidRPr="00BC3FB4" w:rsidRDefault="00BC3FB4" w:rsidP="00BC3FB4">
      <w:pPr>
        <w:spacing w:before="120" w:after="120"/>
        <w:rPr>
          <w:rFonts w:asciiTheme="minorHAnsi" w:eastAsiaTheme="majorEastAsia" w:hAnsiTheme="minorHAnsi" w:cstheme="minorHAnsi"/>
          <w:iCs/>
          <w:szCs w:val="26"/>
        </w:rPr>
      </w:pPr>
      <w:r w:rsidRPr="00BC3FB4">
        <w:rPr>
          <w:rFonts w:asciiTheme="minorHAnsi" w:eastAsiaTheme="majorEastAsia" w:hAnsiTheme="minorHAnsi" w:cstheme="minorHAnsi"/>
          <w:iCs/>
          <w:szCs w:val="26"/>
        </w:rPr>
        <w:t xml:space="preserve">Subsection 33(3) of the </w:t>
      </w:r>
      <w:r w:rsidRPr="00BC3FB4">
        <w:rPr>
          <w:rFonts w:asciiTheme="minorHAnsi" w:eastAsiaTheme="majorEastAsia" w:hAnsiTheme="minorHAnsi" w:cstheme="minorHAnsi"/>
          <w:i/>
          <w:szCs w:val="26"/>
        </w:rPr>
        <w:t>Acts Interpretation Act 1901</w:t>
      </w:r>
      <w:r w:rsidRPr="00BC3FB4">
        <w:rPr>
          <w:rFonts w:asciiTheme="minorHAnsi" w:eastAsiaTheme="majorEastAsia" w:hAnsiTheme="minorHAnsi" w:cstheme="minorHAnsi"/>
          <w:iCs/>
          <w:szCs w:val="26"/>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w:t>
      </w:r>
      <w:r w:rsidR="00630EB9">
        <w:rPr>
          <w:rFonts w:asciiTheme="minorHAnsi" w:eastAsiaTheme="majorEastAsia" w:hAnsiTheme="minorHAnsi" w:cstheme="minorHAnsi"/>
          <w:iCs/>
          <w:szCs w:val="26"/>
        </w:rPr>
        <w:t xml:space="preserve">amendment to the </w:t>
      </w:r>
      <w:r w:rsidR="00630EB9">
        <w:rPr>
          <w:rFonts w:asciiTheme="minorHAnsi" w:eastAsiaTheme="majorEastAsia" w:hAnsiTheme="minorHAnsi" w:cstheme="minorHAnsi"/>
          <w:i/>
          <w:szCs w:val="26"/>
        </w:rPr>
        <w:t xml:space="preserve">Commonwealth Grant Scheme Guidelines 2020 </w:t>
      </w:r>
      <w:r w:rsidR="00630EB9">
        <w:rPr>
          <w:rFonts w:asciiTheme="minorHAnsi" w:eastAsiaTheme="majorEastAsia" w:hAnsiTheme="minorHAnsi" w:cstheme="minorHAnsi"/>
          <w:iCs/>
          <w:szCs w:val="26"/>
        </w:rPr>
        <w:t>(the Guidelines) made</w:t>
      </w:r>
      <w:r w:rsidRPr="00BC3FB4">
        <w:rPr>
          <w:rFonts w:asciiTheme="minorHAnsi" w:eastAsiaTheme="majorEastAsia" w:hAnsiTheme="minorHAnsi" w:cstheme="minorHAnsi"/>
          <w:iCs/>
          <w:szCs w:val="26"/>
        </w:rPr>
        <w:t xml:space="preserve"> by the Schedule to this instrument relies on that provision.</w:t>
      </w:r>
    </w:p>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16A6187F" w14:textId="05DC452E" w:rsidR="00630EB9" w:rsidRDefault="00630EB9" w:rsidP="00DA552F">
      <w:pPr>
        <w:spacing w:before="120" w:after="120"/>
        <w:rPr>
          <w:rFonts w:asciiTheme="minorHAnsi" w:hAnsiTheme="minorHAnsi" w:cstheme="minorHAnsi"/>
          <w:iCs/>
          <w:szCs w:val="24"/>
        </w:rPr>
      </w:pPr>
      <w:r>
        <w:rPr>
          <w:rFonts w:asciiTheme="minorHAnsi" w:hAnsiTheme="minorHAnsi" w:cstheme="minorHAnsi"/>
          <w:iCs/>
          <w:szCs w:val="24"/>
        </w:rPr>
        <w:t xml:space="preserve">Section 33-1 of the Act provides that grant amounts payable to higher education providers under Part 2-2 are </w:t>
      </w:r>
      <w:r w:rsidR="00EF3AA7">
        <w:rPr>
          <w:rFonts w:asciiTheme="minorHAnsi" w:hAnsiTheme="minorHAnsi" w:cstheme="minorHAnsi"/>
          <w:iCs/>
          <w:szCs w:val="24"/>
        </w:rPr>
        <w:t>calculated</w:t>
      </w:r>
      <w:r>
        <w:rPr>
          <w:rFonts w:asciiTheme="minorHAnsi" w:hAnsiTheme="minorHAnsi" w:cstheme="minorHAnsi"/>
          <w:iCs/>
          <w:szCs w:val="24"/>
        </w:rPr>
        <w:t xml:space="preserve"> by working out the total basic grant amount for the provider for that year and adding together different components, one of which is the amount of transition fund loading worked out under the Commonwealth Grant Scheme Guidelines for the provider for that year.  </w:t>
      </w:r>
    </w:p>
    <w:p w14:paraId="59931D22" w14:textId="77777777" w:rsidR="00EF3AA7" w:rsidRDefault="00BC3FB4" w:rsidP="00630EB9">
      <w:pPr>
        <w:spacing w:before="120" w:after="120"/>
        <w:rPr>
          <w:rFonts w:asciiTheme="minorHAnsi" w:hAnsiTheme="minorHAnsi" w:cstheme="minorHAnsi"/>
          <w:iCs/>
          <w:szCs w:val="24"/>
        </w:rPr>
      </w:pPr>
      <w:r>
        <w:rPr>
          <w:rFonts w:asciiTheme="minorHAnsi" w:hAnsiTheme="minorHAnsi" w:cstheme="minorHAnsi"/>
          <w:iCs/>
          <w:szCs w:val="24"/>
        </w:rPr>
        <w:t xml:space="preserve">The </w:t>
      </w:r>
      <w:bookmarkStart w:id="2" w:name="_Hlk87608952"/>
      <w:r w:rsidR="00630EB9">
        <w:rPr>
          <w:rFonts w:asciiTheme="minorHAnsi" w:hAnsiTheme="minorHAnsi" w:cstheme="minorHAnsi"/>
          <w:i/>
          <w:szCs w:val="24"/>
        </w:rPr>
        <w:t xml:space="preserve">Commonwealth Grant Scheme Amendment (Transition Fund Loading) </w:t>
      </w:r>
      <w:r w:rsidR="00A840CA">
        <w:rPr>
          <w:rFonts w:asciiTheme="minorHAnsi" w:hAnsiTheme="minorHAnsi" w:cstheme="minorHAnsi"/>
          <w:i/>
          <w:szCs w:val="24"/>
        </w:rPr>
        <w:t xml:space="preserve">Guidelines </w:t>
      </w:r>
      <w:r w:rsidR="00630EB9">
        <w:rPr>
          <w:rFonts w:asciiTheme="minorHAnsi" w:hAnsiTheme="minorHAnsi" w:cstheme="minorHAnsi"/>
          <w:i/>
          <w:szCs w:val="24"/>
        </w:rPr>
        <w:t>2021</w:t>
      </w:r>
      <w:r w:rsidR="00583920" w:rsidRPr="00583920">
        <w:rPr>
          <w:rFonts w:asciiTheme="minorHAnsi" w:hAnsiTheme="minorHAnsi" w:cstheme="minorHAnsi"/>
          <w:i/>
          <w:iCs/>
          <w:szCs w:val="24"/>
        </w:rPr>
        <w:t xml:space="preserve"> </w:t>
      </w:r>
      <w:bookmarkEnd w:id="2"/>
      <w:r>
        <w:rPr>
          <w:rFonts w:asciiTheme="minorHAnsi" w:hAnsiTheme="minorHAnsi" w:cstheme="minorHAnsi"/>
          <w:iCs/>
          <w:szCs w:val="24"/>
        </w:rPr>
        <w:t xml:space="preserve">(the </w:t>
      </w:r>
      <w:r w:rsidR="00630EB9">
        <w:rPr>
          <w:rFonts w:asciiTheme="minorHAnsi" w:hAnsiTheme="minorHAnsi" w:cstheme="minorHAnsi"/>
          <w:iCs/>
          <w:szCs w:val="24"/>
        </w:rPr>
        <w:t>Instrument</w:t>
      </w:r>
      <w:r>
        <w:rPr>
          <w:rFonts w:asciiTheme="minorHAnsi" w:hAnsiTheme="minorHAnsi" w:cstheme="minorHAnsi"/>
          <w:iCs/>
          <w:szCs w:val="24"/>
        </w:rPr>
        <w:t>)</w:t>
      </w:r>
      <w:r w:rsidR="00630EB9">
        <w:rPr>
          <w:rFonts w:asciiTheme="minorHAnsi" w:hAnsiTheme="minorHAnsi" w:cstheme="minorHAnsi"/>
          <w:iCs/>
          <w:szCs w:val="24"/>
        </w:rPr>
        <w:t xml:space="preserve"> amends the Guidelines to</w:t>
      </w:r>
      <w:r w:rsidR="00EF3AA7">
        <w:rPr>
          <w:rFonts w:asciiTheme="minorHAnsi" w:hAnsiTheme="minorHAnsi" w:cstheme="minorHAnsi"/>
          <w:iCs/>
          <w:szCs w:val="24"/>
        </w:rPr>
        <w:t xml:space="preserve">: </w:t>
      </w:r>
    </w:p>
    <w:p w14:paraId="03B40E01" w14:textId="789CEDF4" w:rsidR="00EF3AA7" w:rsidRDefault="00EF3AA7" w:rsidP="00EF3AA7">
      <w:pPr>
        <w:pStyle w:val="ListParagraph"/>
        <w:numPr>
          <w:ilvl w:val="0"/>
          <w:numId w:val="5"/>
        </w:numPr>
        <w:spacing w:before="120" w:after="120"/>
        <w:rPr>
          <w:rFonts w:asciiTheme="minorHAnsi" w:hAnsiTheme="minorHAnsi" w:cstheme="minorHAnsi"/>
          <w:iCs/>
          <w:szCs w:val="24"/>
        </w:rPr>
      </w:pPr>
      <w:r w:rsidRPr="00B91D4E">
        <w:rPr>
          <w:rFonts w:asciiTheme="minorHAnsi" w:hAnsiTheme="minorHAnsi" w:cstheme="minorHAnsi"/>
          <w:iCs/>
          <w:szCs w:val="24"/>
        </w:rPr>
        <w:t xml:space="preserve">provide </w:t>
      </w:r>
      <w:r w:rsidR="00630EB9" w:rsidRPr="00B91D4E">
        <w:rPr>
          <w:rFonts w:asciiTheme="minorHAnsi" w:hAnsiTheme="minorHAnsi" w:cstheme="minorHAnsi"/>
          <w:iCs/>
          <w:szCs w:val="24"/>
        </w:rPr>
        <w:t>the amount of transition fund loading for providers for the years 2021, 2022 and 2023</w:t>
      </w:r>
      <w:r>
        <w:rPr>
          <w:rFonts w:asciiTheme="minorHAnsi" w:hAnsiTheme="minorHAnsi" w:cstheme="minorHAnsi"/>
          <w:iCs/>
          <w:szCs w:val="24"/>
        </w:rPr>
        <w:t xml:space="preserve">; </w:t>
      </w:r>
      <w:r w:rsidRPr="00B91D4E">
        <w:rPr>
          <w:rFonts w:asciiTheme="minorHAnsi" w:hAnsiTheme="minorHAnsi" w:cstheme="minorHAnsi"/>
          <w:iCs/>
          <w:szCs w:val="24"/>
        </w:rPr>
        <w:t>and</w:t>
      </w:r>
    </w:p>
    <w:p w14:paraId="2F877BFB" w14:textId="4524A735" w:rsidR="00224C94" w:rsidRPr="00B91D4E" w:rsidRDefault="00EF3AA7" w:rsidP="00B91D4E">
      <w:pPr>
        <w:pStyle w:val="ListParagraph"/>
        <w:numPr>
          <w:ilvl w:val="0"/>
          <w:numId w:val="5"/>
        </w:numPr>
        <w:spacing w:before="120" w:after="120"/>
        <w:rPr>
          <w:rFonts w:asciiTheme="minorHAnsi" w:hAnsiTheme="minorHAnsi" w:cstheme="minorHAnsi"/>
          <w:iCs/>
          <w:szCs w:val="24"/>
        </w:rPr>
      </w:pPr>
      <w:r w:rsidRPr="00B91D4E">
        <w:rPr>
          <w:rFonts w:asciiTheme="minorHAnsi" w:hAnsiTheme="minorHAnsi" w:cstheme="minorHAnsi"/>
          <w:iCs/>
          <w:szCs w:val="24"/>
        </w:rPr>
        <w:t>provide</w:t>
      </w:r>
      <w:r w:rsidR="00B91D4E">
        <w:rPr>
          <w:rFonts w:asciiTheme="minorHAnsi" w:hAnsiTheme="minorHAnsi" w:cstheme="minorHAnsi"/>
          <w:iCs/>
          <w:szCs w:val="24"/>
        </w:rPr>
        <w:t>, for the purposes of paragraph 30-20(b) of the Act,</w:t>
      </w:r>
      <w:r w:rsidRPr="00B91D4E">
        <w:rPr>
          <w:rFonts w:asciiTheme="minorHAnsi" w:hAnsiTheme="minorHAnsi" w:cstheme="minorHAnsi"/>
          <w:iCs/>
          <w:szCs w:val="24"/>
        </w:rPr>
        <w:t xml:space="preserve"> that the broadened areas of study that are currently specified as national priorities for 2021 will continue to be national priorities in 2022</w:t>
      </w:r>
      <w:r w:rsidR="00BC3FB4" w:rsidRPr="00B91D4E">
        <w:rPr>
          <w:rFonts w:asciiTheme="minorHAnsi" w:eastAsiaTheme="majorEastAsia" w:hAnsiTheme="minorHAnsi" w:cstheme="minorHAnsi"/>
          <w:iCs/>
          <w:szCs w:val="26"/>
        </w:rPr>
        <w:t xml:space="preserve">. </w:t>
      </w:r>
    </w:p>
    <w:p w14:paraId="626F1531" w14:textId="77777777"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5F7728AA" w14:textId="2D5BDB5D" w:rsidR="008D1F81" w:rsidRPr="00F67E93" w:rsidRDefault="00C77DCB" w:rsidP="008D1F81">
      <w:pPr>
        <w:rPr>
          <w:rFonts w:asciiTheme="minorHAnsi" w:hAnsiTheme="minorHAnsi" w:cstheme="minorHAnsi"/>
          <w:iCs/>
          <w:szCs w:val="24"/>
        </w:rPr>
      </w:pPr>
      <w:r w:rsidRPr="00256769">
        <w:rPr>
          <w:rFonts w:asciiTheme="minorHAnsi" w:hAnsiTheme="minorHAnsi" w:cstheme="minorHAnsi"/>
          <w:szCs w:val="24"/>
        </w:rPr>
        <w:t xml:space="preserve">The Office of Best Practice Regulation </w:t>
      </w:r>
      <w:r>
        <w:rPr>
          <w:rFonts w:asciiTheme="minorHAnsi" w:hAnsiTheme="minorHAnsi" w:cstheme="minorHAnsi"/>
          <w:szCs w:val="24"/>
        </w:rPr>
        <w:t>(</w:t>
      </w:r>
      <w:r w:rsidR="008D1F81" w:rsidRPr="00F67E93">
        <w:rPr>
          <w:rFonts w:asciiTheme="minorHAnsi" w:hAnsiTheme="minorHAnsi" w:cstheme="minorHAnsi"/>
          <w:iCs/>
          <w:szCs w:val="24"/>
        </w:rPr>
        <w:t>OPBR</w:t>
      </w:r>
      <w:r>
        <w:rPr>
          <w:rFonts w:asciiTheme="minorHAnsi" w:hAnsiTheme="minorHAnsi" w:cstheme="minorHAnsi"/>
          <w:iCs/>
          <w:szCs w:val="24"/>
        </w:rPr>
        <w:t>)</w:t>
      </w:r>
      <w:r w:rsidR="008D1F81" w:rsidRPr="00F67E93">
        <w:rPr>
          <w:rFonts w:asciiTheme="minorHAnsi" w:hAnsiTheme="minorHAnsi" w:cstheme="minorHAnsi"/>
          <w:iCs/>
          <w:szCs w:val="24"/>
        </w:rPr>
        <w:t xml:space="preserve"> have agreed that this </w:t>
      </w:r>
      <w:r w:rsidR="008D1ADC" w:rsidRPr="00F67E93">
        <w:rPr>
          <w:rFonts w:asciiTheme="minorHAnsi" w:hAnsiTheme="minorHAnsi" w:cstheme="minorHAnsi"/>
          <w:iCs/>
          <w:szCs w:val="24"/>
        </w:rPr>
        <w:t>program</w:t>
      </w:r>
      <w:r w:rsidR="008D1F81" w:rsidRPr="00F67E93">
        <w:rPr>
          <w:rFonts w:asciiTheme="minorHAnsi" w:hAnsiTheme="minorHAnsi" w:cstheme="minorHAnsi"/>
          <w:iCs/>
          <w:szCs w:val="24"/>
        </w:rPr>
        <w:t xml:space="preserve"> is non-regulatory, or unlikely to have more than minor regulatory impact on businesses, individuals or community organisations (see OBPR ID 26106). </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lastRenderedPageBreak/>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33A6D8A0" w:rsidR="00696CF0" w:rsidRPr="00BC3FB4" w:rsidRDefault="00BC3FB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8E4EAC">
        <w:rPr>
          <w:rFonts w:asciiTheme="minorHAnsi" w:hAnsiTheme="minorHAnsi" w:cstheme="minorHAnsi"/>
          <w:iCs/>
          <w:szCs w:val="24"/>
        </w:rPr>
        <w:t>Instrument</w:t>
      </w:r>
      <w:r>
        <w:rPr>
          <w:rFonts w:asciiTheme="minorHAnsi" w:hAnsiTheme="minorHAnsi" w:cstheme="minorHAnsi"/>
          <w:iCs/>
          <w:szCs w:val="24"/>
        </w:rPr>
        <w:t xml:space="preserve"> takes effect the day after it is registered on the Federal Register of Legislation. </w:t>
      </w:r>
    </w:p>
    <w:p w14:paraId="59906F74" w14:textId="77777777" w:rsidR="00696CF0" w:rsidRPr="008134D5" w:rsidRDefault="00144950" w:rsidP="00696CF0">
      <w:pPr>
        <w:pStyle w:val="Heading2"/>
        <w:rPr>
          <w:rFonts w:asciiTheme="minorHAnsi" w:hAnsiTheme="minorHAnsi" w:cstheme="minorHAnsi"/>
          <w:color w:val="auto"/>
        </w:rPr>
      </w:pPr>
      <w:bookmarkStart w:id="3" w:name="_Toc34293360"/>
      <w:r w:rsidRPr="008134D5">
        <w:rPr>
          <w:rFonts w:asciiTheme="minorHAnsi" w:hAnsiTheme="minorHAnsi" w:cstheme="minorHAnsi"/>
          <w:color w:val="auto"/>
        </w:rPr>
        <w:t>CONSULTATION</w:t>
      </w:r>
      <w:bookmarkEnd w:id="3"/>
    </w:p>
    <w:p w14:paraId="22742747" w14:textId="29F48350" w:rsidR="007A3F9F" w:rsidRPr="0090260D" w:rsidRDefault="0090260D" w:rsidP="008E4EAC">
      <w:pPr>
        <w:spacing w:before="120" w:after="120"/>
        <w:rPr>
          <w:rFonts w:asciiTheme="minorHAnsi" w:hAnsiTheme="minorHAnsi" w:cstheme="minorHAnsi"/>
          <w:iCs/>
          <w:szCs w:val="24"/>
        </w:rPr>
      </w:pPr>
      <w:r w:rsidRPr="00F67E93">
        <w:rPr>
          <w:rFonts w:asciiTheme="minorHAnsi" w:hAnsiTheme="minorHAnsi" w:cstheme="minorHAnsi"/>
        </w:rPr>
        <w:t>T</w:t>
      </w:r>
      <w:r w:rsidR="002759E8" w:rsidRPr="00F67E93">
        <w:rPr>
          <w:rFonts w:asciiTheme="minorHAnsi" w:hAnsiTheme="minorHAnsi" w:cstheme="minorHAnsi"/>
        </w:rPr>
        <w:t>he Government undertook a period of extensive consultation i</w:t>
      </w:r>
      <w:r w:rsidR="00670D60" w:rsidRPr="00F67E93">
        <w:rPr>
          <w:rFonts w:asciiTheme="minorHAnsi" w:hAnsiTheme="minorHAnsi" w:cstheme="minorHAnsi"/>
        </w:rPr>
        <w:t xml:space="preserve">n response to concerns raised by universities regarding the operation of the </w:t>
      </w:r>
      <w:r w:rsidR="00AF0588" w:rsidRPr="00F67E93">
        <w:rPr>
          <w:rFonts w:asciiTheme="minorHAnsi" w:hAnsiTheme="minorHAnsi" w:cstheme="minorHAnsi"/>
        </w:rPr>
        <w:t xml:space="preserve">Transition Fund Loading in the </w:t>
      </w:r>
      <w:r w:rsidR="00670D60" w:rsidRPr="00F67E93">
        <w:rPr>
          <w:rFonts w:asciiTheme="minorHAnsi" w:hAnsiTheme="minorHAnsi" w:cstheme="minorHAnsi"/>
        </w:rPr>
        <w:t>CGS Guidelines</w:t>
      </w:r>
      <w:r w:rsidR="002759E8" w:rsidRPr="00F67E93">
        <w:rPr>
          <w:rFonts w:asciiTheme="minorHAnsi" w:hAnsiTheme="minorHAnsi" w:cstheme="minorHAnsi"/>
        </w:rPr>
        <w:t xml:space="preserve"> </w:t>
      </w:r>
      <w:r w:rsidR="001F11F1" w:rsidRPr="00F67E93">
        <w:rPr>
          <w:rFonts w:asciiTheme="minorHAnsi" w:hAnsiTheme="minorHAnsi" w:cstheme="minorHAnsi"/>
        </w:rPr>
        <w:t>commencing in March</w:t>
      </w:r>
      <w:r w:rsidR="001F098F" w:rsidRPr="00F67E93">
        <w:rPr>
          <w:rFonts w:asciiTheme="minorHAnsi" w:hAnsiTheme="minorHAnsi" w:cstheme="minorHAnsi"/>
        </w:rPr>
        <w:t xml:space="preserve"> 2021. </w:t>
      </w:r>
      <w:r w:rsidR="00261AD8">
        <w:rPr>
          <w:rFonts w:asciiTheme="minorHAnsi" w:hAnsiTheme="minorHAnsi" w:cstheme="minorHAnsi"/>
        </w:rPr>
        <w:t xml:space="preserve">Universities listed </w:t>
      </w:r>
      <w:r w:rsidR="002C661B">
        <w:rPr>
          <w:rFonts w:asciiTheme="minorHAnsi" w:hAnsiTheme="minorHAnsi" w:cstheme="minorHAnsi"/>
        </w:rPr>
        <w:t xml:space="preserve">as a </w:t>
      </w:r>
      <w:r w:rsidR="00261AD8">
        <w:rPr>
          <w:rFonts w:asciiTheme="minorHAnsi" w:hAnsiTheme="minorHAnsi" w:cstheme="minorHAnsi"/>
        </w:rPr>
        <w:t>Table A</w:t>
      </w:r>
      <w:r w:rsidR="002C661B">
        <w:rPr>
          <w:rFonts w:asciiTheme="minorHAnsi" w:hAnsiTheme="minorHAnsi" w:cstheme="minorHAnsi"/>
        </w:rPr>
        <w:t xml:space="preserve"> provider</w:t>
      </w:r>
      <w:r w:rsidR="00261AD8">
        <w:rPr>
          <w:rFonts w:asciiTheme="minorHAnsi" w:hAnsiTheme="minorHAnsi" w:cstheme="minorHAnsi"/>
        </w:rPr>
        <w:t xml:space="preserve"> (</w:t>
      </w:r>
      <w:r w:rsidR="002C661B">
        <w:rPr>
          <w:rFonts w:asciiTheme="minorHAnsi" w:hAnsiTheme="minorHAnsi" w:cstheme="minorHAnsi"/>
        </w:rPr>
        <w:t xml:space="preserve">under </w:t>
      </w:r>
      <w:r w:rsidR="00261AD8">
        <w:rPr>
          <w:rFonts w:asciiTheme="minorHAnsi" w:hAnsiTheme="minorHAnsi" w:cstheme="minorHAnsi"/>
        </w:rPr>
        <w:t>s</w:t>
      </w:r>
      <w:r w:rsidR="002C661B">
        <w:rPr>
          <w:rFonts w:asciiTheme="minorHAnsi" w:hAnsiTheme="minorHAnsi" w:cstheme="minorHAnsi"/>
        </w:rPr>
        <w:t>ection</w:t>
      </w:r>
      <w:r w:rsidR="00261AD8">
        <w:rPr>
          <w:rFonts w:asciiTheme="minorHAnsi" w:hAnsiTheme="minorHAnsi" w:cstheme="minorHAnsi"/>
        </w:rPr>
        <w:t xml:space="preserve"> 16-15) of the Act have been consulted, with c</w:t>
      </w:r>
      <w:r w:rsidR="009857BE" w:rsidRPr="00F67E93">
        <w:rPr>
          <w:rFonts w:asciiTheme="minorHAnsi" w:hAnsiTheme="minorHAnsi" w:cstheme="minorHAnsi"/>
        </w:rPr>
        <w:t xml:space="preserve">onsultations </w:t>
      </w:r>
      <w:r w:rsidR="00500B9E" w:rsidRPr="00F67E93">
        <w:rPr>
          <w:rFonts w:asciiTheme="minorHAnsi" w:hAnsiTheme="minorHAnsi" w:cstheme="minorHAnsi"/>
        </w:rPr>
        <w:t>between universities and</w:t>
      </w:r>
      <w:r w:rsidR="009857BE" w:rsidRPr="00F67E93">
        <w:rPr>
          <w:rFonts w:asciiTheme="minorHAnsi" w:hAnsiTheme="minorHAnsi" w:cstheme="minorHAnsi"/>
        </w:rPr>
        <w:t xml:space="preserve"> the Minister</w:t>
      </w:r>
      <w:r w:rsidR="006067AB" w:rsidRPr="00F67E93">
        <w:rPr>
          <w:rFonts w:asciiTheme="minorHAnsi" w:hAnsiTheme="minorHAnsi" w:cstheme="minorHAnsi"/>
        </w:rPr>
        <w:t>,</w:t>
      </w:r>
      <w:r w:rsidR="009857BE" w:rsidRPr="00F67E93">
        <w:rPr>
          <w:rFonts w:asciiTheme="minorHAnsi" w:hAnsiTheme="minorHAnsi" w:cstheme="minorHAnsi"/>
        </w:rPr>
        <w:t xml:space="preserve"> and with </w:t>
      </w:r>
      <w:r w:rsidR="006067AB" w:rsidRPr="00F67E93">
        <w:rPr>
          <w:rFonts w:asciiTheme="minorHAnsi" w:hAnsiTheme="minorHAnsi" w:cstheme="minorHAnsi"/>
        </w:rPr>
        <w:t>o</w:t>
      </w:r>
      <w:r w:rsidR="009857BE" w:rsidRPr="00F67E93">
        <w:rPr>
          <w:rFonts w:asciiTheme="minorHAnsi" w:hAnsiTheme="minorHAnsi" w:cstheme="minorHAnsi"/>
        </w:rPr>
        <w:t>fficials from the Department of Education, Skills, and Employment</w:t>
      </w:r>
      <w:r w:rsidR="006067AB" w:rsidRPr="00F67E93">
        <w:rPr>
          <w:rFonts w:asciiTheme="minorHAnsi" w:hAnsiTheme="minorHAnsi" w:cstheme="minorHAnsi"/>
        </w:rPr>
        <w:t xml:space="preserve"> conclud</w:t>
      </w:r>
      <w:r w:rsidR="00261AD8">
        <w:rPr>
          <w:rFonts w:asciiTheme="minorHAnsi" w:hAnsiTheme="minorHAnsi" w:cstheme="minorHAnsi"/>
        </w:rPr>
        <w:t>ing</w:t>
      </w:r>
      <w:r w:rsidR="006067AB" w:rsidRPr="00F67E93">
        <w:rPr>
          <w:rFonts w:asciiTheme="minorHAnsi" w:hAnsiTheme="minorHAnsi" w:cstheme="minorHAnsi"/>
        </w:rPr>
        <w:t xml:space="preserve"> in </w:t>
      </w:r>
      <w:r w:rsidR="00C9534C" w:rsidRPr="00F67E93">
        <w:rPr>
          <w:rFonts w:asciiTheme="minorHAnsi" w:hAnsiTheme="minorHAnsi" w:cstheme="minorHAnsi"/>
        </w:rPr>
        <w:t>November </w:t>
      </w:r>
      <w:r w:rsidR="006067AB" w:rsidRPr="00F67E93">
        <w:rPr>
          <w:rFonts w:asciiTheme="minorHAnsi" w:hAnsiTheme="minorHAnsi" w:cstheme="minorHAnsi"/>
        </w:rPr>
        <w:t>2021.</w:t>
      </w:r>
      <w:r w:rsidR="003A6CBC" w:rsidRPr="00F67E93">
        <w:rPr>
          <w:rFonts w:asciiTheme="minorHAnsi" w:hAnsiTheme="minorHAnsi" w:cstheme="minorHAnsi"/>
        </w:rPr>
        <w:t xml:space="preserve"> </w:t>
      </w:r>
      <w:r w:rsidR="001C0325">
        <w:rPr>
          <w:rFonts w:asciiTheme="minorHAnsi" w:hAnsiTheme="minorHAnsi" w:cstheme="minorHAnsi"/>
        </w:rPr>
        <w:t>The Instrument substantially addresses concerns raised by stakeholders during consultation.</w:t>
      </w:r>
    </w:p>
    <w:p w14:paraId="3A6EE0A5" w14:textId="7E5A6765" w:rsidR="00DA552F" w:rsidRPr="00D730BC" w:rsidRDefault="00DA552F" w:rsidP="00716694">
      <w:pPr>
        <w:numPr>
          <w:ilvl w:val="0"/>
          <w:numId w:val="4"/>
        </w:numPr>
        <w:spacing w:before="120" w:after="120"/>
        <w:rPr>
          <w:rFonts w:asciiTheme="minorHAnsi" w:hAnsiTheme="minorHAnsi" w:cstheme="minorHAnsi"/>
        </w:rPr>
      </w:pPr>
      <w:r w:rsidRPr="00D730BC">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4" w:name="_Toc23942241"/>
      <w:bookmarkStart w:id="5" w:name="_Toc34293362"/>
      <w:r w:rsidRPr="008134D5">
        <w:rPr>
          <w:rFonts w:asciiTheme="minorHAnsi" w:hAnsiTheme="minorHAnsi" w:cstheme="minorHAnsi"/>
          <w:color w:val="auto"/>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22356A98" w14:textId="0AFF06A2" w:rsidR="008E4EAC" w:rsidRPr="00EF3AA7" w:rsidRDefault="008E4EAC" w:rsidP="008E4EAC">
      <w:pPr>
        <w:spacing w:before="120" w:after="120"/>
        <w:jc w:val="center"/>
        <w:rPr>
          <w:rFonts w:asciiTheme="minorHAnsi" w:hAnsiTheme="minorHAnsi" w:cstheme="minorHAnsi"/>
          <w:i/>
          <w:iCs/>
          <w:szCs w:val="24"/>
          <w:u w:val="single"/>
        </w:rPr>
      </w:pPr>
      <w:r w:rsidRPr="00EF3AA7">
        <w:rPr>
          <w:rFonts w:asciiTheme="minorHAnsi" w:hAnsiTheme="minorHAnsi" w:cstheme="minorHAnsi"/>
          <w:i/>
          <w:szCs w:val="24"/>
          <w:u w:val="single"/>
        </w:rPr>
        <w:t xml:space="preserve">Commonwealth Grant Scheme Amendment (Transition Fund Loading) </w:t>
      </w:r>
      <w:r w:rsidR="00856AA9" w:rsidRPr="00447921">
        <w:rPr>
          <w:rFonts w:asciiTheme="minorHAnsi" w:hAnsiTheme="minorHAnsi" w:cstheme="minorHAnsi"/>
          <w:i/>
          <w:szCs w:val="24"/>
          <w:u w:val="single"/>
        </w:rPr>
        <w:t>Guidelines</w:t>
      </w:r>
      <w:r w:rsidR="00856AA9" w:rsidRPr="00146B5B">
        <w:rPr>
          <w:rFonts w:asciiTheme="minorHAnsi" w:hAnsiTheme="minorHAnsi" w:cstheme="minorHAnsi"/>
          <w:i/>
          <w:szCs w:val="24"/>
          <w:u w:val="single"/>
        </w:rPr>
        <w:t xml:space="preserve"> </w:t>
      </w:r>
      <w:r w:rsidRPr="00EF3AA7">
        <w:rPr>
          <w:rFonts w:asciiTheme="minorHAnsi" w:hAnsiTheme="minorHAnsi" w:cstheme="minorHAnsi"/>
          <w:i/>
          <w:szCs w:val="24"/>
          <w:u w:val="single"/>
        </w:rPr>
        <w:t>2021</w:t>
      </w:r>
    </w:p>
    <w:p w14:paraId="65F6CFAB" w14:textId="74AE3583"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bookmarkStart w:id="6" w:name="_Hlk89168585"/>
      <w:r w:rsidR="008E4EAC">
        <w:rPr>
          <w:rFonts w:asciiTheme="minorHAnsi" w:hAnsiTheme="minorHAnsi" w:cstheme="minorHAnsi"/>
          <w:i/>
          <w:szCs w:val="24"/>
        </w:rPr>
        <w:t xml:space="preserve">Commonwealth Grant Scheme Amendment (Transition Fund Loading) </w:t>
      </w:r>
      <w:r w:rsidR="00856AA9">
        <w:rPr>
          <w:rFonts w:asciiTheme="minorHAnsi" w:hAnsiTheme="minorHAnsi" w:cstheme="minorHAnsi"/>
          <w:i/>
          <w:szCs w:val="24"/>
        </w:rPr>
        <w:t xml:space="preserve">Guidelines </w:t>
      </w:r>
      <w:r w:rsidR="008E4EAC">
        <w:rPr>
          <w:rFonts w:asciiTheme="minorHAnsi" w:hAnsiTheme="minorHAnsi" w:cstheme="minorHAnsi"/>
          <w:i/>
          <w:szCs w:val="24"/>
        </w:rPr>
        <w:t>2021</w:t>
      </w:r>
      <w:bookmarkEnd w:id="6"/>
      <w:r w:rsidR="008E4EAC" w:rsidRPr="00583920">
        <w:rPr>
          <w:rFonts w:asciiTheme="minorHAnsi" w:hAnsiTheme="minorHAnsi" w:cstheme="minorHAnsi"/>
          <w:i/>
          <w:iCs/>
          <w:szCs w:val="24"/>
        </w:rPr>
        <w:t xml:space="preserve"> </w:t>
      </w:r>
      <w:r w:rsidR="001E52EB">
        <w:rPr>
          <w:rFonts w:asciiTheme="minorHAnsi" w:hAnsiTheme="minorHAnsi" w:cstheme="minorHAnsi"/>
          <w:szCs w:val="24"/>
        </w:rPr>
        <w:t xml:space="preserve">(the </w:t>
      </w:r>
      <w:r w:rsidR="008E4EAC">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4AF79C02" w14:textId="77777777" w:rsidR="00B91D4E" w:rsidRDefault="00B91D4E" w:rsidP="00B91D4E">
      <w:pPr>
        <w:spacing w:before="120" w:after="120"/>
        <w:rPr>
          <w:rFonts w:asciiTheme="minorHAnsi" w:hAnsiTheme="minorHAnsi" w:cstheme="minorHAnsi"/>
          <w:iCs/>
          <w:szCs w:val="24"/>
        </w:rPr>
      </w:pPr>
      <w:r>
        <w:rPr>
          <w:rFonts w:asciiTheme="minorHAnsi" w:hAnsiTheme="minorHAnsi" w:cstheme="minorHAnsi"/>
          <w:iCs/>
          <w:szCs w:val="24"/>
        </w:rPr>
        <w:t xml:space="preserve">Section 33-1 of the Act provides that grant amounts payable to higher education providers under Part 2-2 are calculated by working out the total basic grant amount for the provider for that year and adding together different components, one of which is the amount of transition fund loading worked out under the Commonwealth Grant Scheme Guidelines for the provider for that year.  </w:t>
      </w:r>
    </w:p>
    <w:p w14:paraId="1828CA8D" w14:textId="77777777" w:rsidR="00B91D4E" w:rsidRDefault="00B91D4E" w:rsidP="00B91D4E">
      <w:pPr>
        <w:spacing w:before="120" w:after="120"/>
        <w:rPr>
          <w:rFonts w:asciiTheme="minorHAnsi" w:hAnsiTheme="minorHAnsi" w:cstheme="minorHAnsi"/>
          <w:iCs/>
          <w:szCs w:val="24"/>
        </w:rPr>
      </w:pPr>
      <w:r>
        <w:rPr>
          <w:rFonts w:asciiTheme="minorHAnsi" w:hAnsiTheme="minorHAnsi" w:cstheme="minorHAnsi"/>
          <w:iCs/>
          <w:szCs w:val="24"/>
        </w:rPr>
        <w:t xml:space="preserve">The </w:t>
      </w:r>
      <w:r>
        <w:rPr>
          <w:rFonts w:asciiTheme="minorHAnsi" w:hAnsiTheme="minorHAnsi" w:cstheme="minorHAnsi"/>
          <w:i/>
          <w:szCs w:val="24"/>
        </w:rPr>
        <w:t>Commonwealth Grant Scheme Amendment (Transition Fund Loading) Guidelines 2021</w:t>
      </w:r>
      <w:r w:rsidRPr="00583920">
        <w:rPr>
          <w:rFonts w:asciiTheme="minorHAnsi" w:hAnsiTheme="minorHAnsi" w:cstheme="minorHAnsi"/>
          <w:i/>
          <w:iCs/>
          <w:szCs w:val="24"/>
        </w:rPr>
        <w:t xml:space="preserve"> </w:t>
      </w:r>
      <w:r>
        <w:rPr>
          <w:rFonts w:asciiTheme="minorHAnsi" w:hAnsiTheme="minorHAnsi" w:cstheme="minorHAnsi"/>
          <w:iCs/>
          <w:szCs w:val="24"/>
        </w:rPr>
        <w:t xml:space="preserve">(the Instrument) amends the Guidelines to: </w:t>
      </w:r>
    </w:p>
    <w:p w14:paraId="6FEF442F" w14:textId="77777777" w:rsidR="00B91D4E" w:rsidRDefault="00B91D4E" w:rsidP="00B91D4E">
      <w:pPr>
        <w:pStyle w:val="ListParagraph"/>
        <w:numPr>
          <w:ilvl w:val="0"/>
          <w:numId w:val="5"/>
        </w:numPr>
        <w:spacing w:before="120" w:after="120"/>
        <w:rPr>
          <w:rFonts w:asciiTheme="minorHAnsi" w:hAnsiTheme="minorHAnsi" w:cstheme="minorHAnsi"/>
          <w:iCs/>
          <w:szCs w:val="24"/>
        </w:rPr>
      </w:pPr>
      <w:r w:rsidRPr="00B91D4E">
        <w:rPr>
          <w:rFonts w:asciiTheme="minorHAnsi" w:hAnsiTheme="minorHAnsi" w:cstheme="minorHAnsi"/>
          <w:iCs/>
          <w:szCs w:val="24"/>
        </w:rPr>
        <w:t>provide the amount of transition fund loading for providers for the years 2021, 2022 and 2023</w:t>
      </w:r>
      <w:r>
        <w:rPr>
          <w:rFonts w:asciiTheme="minorHAnsi" w:hAnsiTheme="minorHAnsi" w:cstheme="minorHAnsi"/>
          <w:iCs/>
          <w:szCs w:val="24"/>
        </w:rPr>
        <w:t xml:space="preserve">; </w:t>
      </w:r>
      <w:r w:rsidRPr="00B91D4E">
        <w:rPr>
          <w:rFonts w:asciiTheme="minorHAnsi" w:hAnsiTheme="minorHAnsi" w:cstheme="minorHAnsi"/>
          <w:iCs/>
          <w:szCs w:val="24"/>
        </w:rPr>
        <w:t>and</w:t>
      </w:r>
    </w:p>
    <w:p w14:paraId="4917AB6C" w14:textId="77777777" w:rsidR="00B91D4E" w:rsidRPr="00B91D4E" w:rsidRDefault="00B91D4E" w:rsidP="00B91D4E">
      <w:pPr>
        <w:pStyle w:val="ListParagraph"/>
        <w:numPr>
          <w:ilvl w:val="0"/>
          <w:numId w:val="5"/>
        </w:numPr>
        <w:spacing w:before="120" w:after="120"/>
        <w:rPr>
          <w:rFonts w:asciiTheme="minorHAnsi" w:hAnsiTheme="minorHAnsi" w:cstheme="minorHAnsi"/>
          <w:iCs/>
          <w:szCs w:val="24"/>
        </w:rPr>
      </w:pPr>
      <w:r w:rsidRPr="00B91D4E">
        <w:rPr>
          <w:rFonts w:asciiTheme="minorHAnsi" w:hAnsiTheme="minorHAnsi" w:cstheme="minorHAnsi"/>
          <w:iCs/>
          <w:szCs w:val="24"/>
        </w:rPr>
        <w:t>provide</w:t>
      </w:r>
      <w:r>
        <w:rPr>
          <w:rFonts w:asciiTheme="minorHAnsi" w:hAnsiTheme="minorHAnsi" w:cstheme="minorHAnsi"/>
          <w:iCs/>
          <w:szCs w:val="24"/>
        </w:rPr>
        <w:t>, for the purposes of paragraph 30-20(b) of the Act,</w:t>
      </w:r>
      <w:r w:rsidRPr="00B91D4E">
        <w:rPr>
          <w:rFonts w:asciiTheme="minorHAnsi" w:hAnsiTheme="minorHAnsi" w:cstheme="minorHAnsi"/>
          <w:iCs/>
          <w:szCs w:val="24"/>
        </w:rPr>
        <w:t xml:space="preserve"> that the broadened areas of study that are currently specified as national priorities for 2021 will continue to be national priorities in 2022</w:t>
      </w:r>
      <w:r w:rsidRPr="00B91D4E">
        <w:rPr>
          <w:rFonts w:asciiTheme="minorHAnsi" w:eastAsiaTheme="majorEastAsia" w:hAnsiTheme="minorHAnsi" w:cstheme="minorHAnsi"/>
          <w:iCs/>
          <w:szCs w:val="26"/>
        </w:rPr>
        <w:t xml:space="preserve">. </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3786EE0D" w14:textId="0A452618" w:rsidR="00E8671C" w:rsidRPr="005D5DEA" w:rsidRDefault="00F9205E" w:rsidP="005D5DEA">
      <w:pPr>
        <w:spacing w:before="120" w:after="120"/>
        <w:rPr>
          <w:rFonts w:asciiTheme="minorHAnsi" w:hAnsiTheme="minorHAnsi" w:cstheme="minorHAnsi"/>
          <w:szCs w:val="24"/>
        </w:rPr>
      </w:pPr>
      <w:r w:rsidRPr="005D5DEA">
        <w:rPr>
          <w:rFonts w:asciiTheme="minorHAnsi" w:hAnsiTheme="minorHAnsi" w:cstheme="minorHAnsi"/>
          <w:szCs w:val="24"/>
        </w:rPr>
        <w:t xml:space="preserve">The </w:t>
      </w:r>
      <w:r w:rsidR="009D2607">
        <w:rPr>
          <w:rFonts w:asciiTheme="minorHAnsi" w:hAnsiTheme="minorHAnsi" w:cstheme="minorHAnsi"/>
          <w:szCs w:val="24"/>
        </w:rPr>
        <w:t>Instrument</w:t>
      </w:r>
      <w:r w:rsidRPr="005D5DEA">
        <w:rPr>
          <w:rFonts w:asciiTheme="minorHAnsi" w:hAnsiTheme="minorHAnsi" w:cstheme="minorHAnsi"/>
          <w:szCs w:val="24"/>
        </w:rPr>
        <w:t xml:space="preserve"> engages the </w:t>
      </w:r>
      <w:r w:rsidR="005D5DEA" w:rsidRPr="005D5DEA">
        <w:rPr>
          <w:rFonts w:asciiTheme="minorHAnsi" w:hAnsiTheme="minorHAnsi" w:cstheme="minorHAnsi"/>
          <w:szCs w:val="24"/>
        </w:rPr>
        <w:t>right to education contained in Article 13 of the International Covenant on Economic, Social and Cultural Rights (ICESCR).</w:t>
      </w:r>
      <w:r w:rsidR="005D5DEA">
        <w:rPr>
          <w:rFonts w:asciiTheme="minorHAnsi" w:hAnsiTheme="minorHAnsi" w:cstheme="minorHAnsi"/>
          <w:szCs w:val="24"/>
        </w:rPr>
        <w:t xml:space="preserve"> </w:t>
      </w:r>
    </w:p>
    <w:p w14:paraId="68A294CE" w14:textId="5190A92A" w:rsidR="008310AA" w:rsidRPr="001E52EB" w:rsidRDefault="005D5DEA" w:rsidP="00DA552F">
      <w:pPr>
        <w:spacing w:before="120" w:after="120"/>
        <w:rPr>
          <w:rFonts w:asciiTheme="minorHAnsi" w:hAnsiTheme="minorHAnsi" w:cstheme="minorHAnsi"/>
          <w:szCs w:val="24"/>
          <w:u w:val="single"/>
        </w:rPr>
      </w:pPr>
      <w:r>
        <w:rPr>
          <w:rFonts w:asciiTheme="minorHAnsi" w:hAnsiTheme="minorHAnsi" w:cstheme="minorHAnsi"/>
          <w:szCs w:val="24"/>
          <w:u w:val="single"/>
        </w:rPr>
        <w:t xml:space="preserve">Right to education </w:t>
      </w:r>
    </w:p>
    <w:p w14:paraId="13E397C5" w14:textId="16E5796B" w:rsidR="00E8671C" w:rsidRDefault="005D5DEA"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9D2607">
        <w:rPr>
          <w:rFonts w:asciiTheme="minorHAnsi" w:hAnsiTheme="minorHAnsi" w:cstheme="minorHAnsi"/>
          <w:iCs/>
          <w:szCs w:val="24"/>
        </w:rPr>
        <w:t>Instrument</w:t>
      </w:r>
      <w:r>
        <w:rPr>
          <w:rFonts w:asciiTheme="minorHAnsi" w:hAnsiTheme="minorHAnsi" w:cstheme="minorHAnsi"/>
          <w:iCs/>
          <w:szCs w:val="24"/>
        </w:rPr>
        <w:t xml:space="preserve"> </w:t>
      </w:r>
      <w:r w:rsidR="00F6026E">
        <w:rPr>
          <w:rFonts w:asciiTheme="minorHAnsi" w:hAnsiTheme="minorHAnsi" w:cstheme="minorHAnsi"/>
          <w:iCs/>
          <w:szCs w:val="24"/>
        </w:rPr>
        <w:t>engages</w:t>
      </w:r>
      <w:r>
        <w:rPr>
          <w:rFonts w:asciiTheme="minorHAnsi" w:hAnsiTheme="minorHAnsi" w:cstheme="minorHAnsi"/>
          <w:iCs/>
          <w:szCs w:val="24"/>
        </w:rPr>
        <w:t xml:space="preserve"> the right to education contained in Article 13 of the ICESCR. Article 13(2)(c) of the ICESCR provides that ‘higher education shall be made equally accessible to all, on the basis of capacity, by every appropriate means, and in particular by the progressive introduction of free education’. </w:t>
      </w:r>
    </w:p>
    <w:p w14:paraId="7F75DD76" w14:textId="2C181AE3" w:rsidR="005D5DEA" w:rsidRDefault="005D5DEA"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9D2607">
        <w:rPr>
          <w:rFonts w:asciiTheme="minorHAnsi" w:hAnsiTheme="minorHAnsi" w:cstheme="minorHAnsi"/>
          <w:iCs/>
          <w:szCs w:val="24"/>
        </w:rPr>
        <w:t>Instrument</w:t>
      </w:r>
      <w:r>
        <w:rPr>
          <w:rFonts w:asciiTheme="minorHAnsi" w:hAnsiTheme="minorHAnsi" w:cstheme="minorHAnsi"/>
          <w:iCs/>
          <w:szCs w:val="24"/>
        </w:rPr>
        <w:t xml:space="preserve"> will support the payment of grants </w:t>
      </w:r>
      <w:r w:rsidR="003B5D5E">
        <w:rPr>
          <w:rFonts w:asciiTheme="minorHAnsi" w:hAnsiTheme="minorHAnsi" w:cstheme="minorHAnsi"/>
          <w:iCs/>
          <w:szCs w:val="24"/>
        </w:rPr>
        <w:t xml:space="preserve">to providers </w:t>
      </w:r>
      <w:r w:rsidR="009D2607">
        <w:rPr>
          <w:rFonts w:asciiTheme="minorHAnsi" w:hAnsiTheme="minorHAnsi" w:cstheme="minorHAnsi"/>
          <w:iCs/>
          <w:szCs w:val="24"/>
        </w:rPr>
        <w:t>under the</w:t>
      </w:r>
      <w:r w:rsidR="003B5D5E">
        <w:rPr>
          <w:rFonts w:asciiTheme="minorHAnsi" w:hAnsiTheme="minorHAnsi" w:cstheme="minorHAnsi"/>
          <w:iCs/>
          <w:szCs w:val="24"/>
        </w:rPr>
        <w:t xml:space="preserve"> Commonwealth </w:t>
      </w:r>
      <w:r w:rsidR="009D2607">
        <w:rPr>
          <w:rFonts w:asciiTheme="minorHAnsi" w:hAnsiTheme="minorHAnsi" w:cstheme="minorHAnsi"/>
          <w:iCs/>
          <w:szCs w:val="24"/>
        </w:rPr>
        <w:t>Grant Scheme in Part 2-2 of the Act. Grant payments under Part 2-2 of the Act are worked out by working out the total basic grant amount and adding the amount of any medical student loading, the amount of any transition fund loading and the amount of any performance funding grant amount for the provider. This Instrument facilitates the calculation of that grant amount by working out the amount of transition fund loading for providers for the years 2021, 2022 and 2023. The Instrument is</w:t>
      </w:r>
      <w:r w:rsidR="00F6026E">
        <w:rPr>
          <w:rFonts w:asciiTheme="minorHAnsi" w:hAnsiTheme="minorHAnsi" w:cstheme="minorHAnsi"/>
          <w:iCs/>
          <w:szCs w:val="24"/>
        </w:rPr>
        <w:t xml:space="preserve"> therefore compatible with</w:t>
      </w:r>
      <w:r w:rsidR="00837BFD">
        <w:rPr>
          <w:rFonts w:asciiTheme="minorHAnsi" w:hAnsiTheme="minorHAnsi" w:cstheme="minorHAnsi"/>
          <w:iCs/>
          <w:szCs w:val="24"/>
        </w:rPr>
        <w:t xml:space="preserve"> </w:t>
      </w:r>
      <w:r w:rsidR="00F6026E">
        <w:rPr>
          <w:rFonts w:asciiTheme="minorHAnsi" w:hAnsiTheme="minorHAnsi" w:cstheme="minorHAnsi"/>
          <w:iCs/>
          <w:szCs w:val="24"/>
        </w:rPr>
        <w:t>the right to education</w:t>
      </w:r>
      <w:r w:rsidR="00EF3AA7">
        <w:rPr>
          <w:rFonts w:asciiTheme="minorHAnsi" w:hAnsiTheme="minorHAnsi" w:cstheme="minorHAnsi"/>
          <w:iCs/>
          <w:szCs w:val="24"/>
        </w:rPr>
        <w:t xml:space="preserve"> as it supports the payments of grants to providers under the Commonwealth Grant Scheme</w:t>
      </w:r>
      <w:r w:rsidR="00F6026E">
        <w:rPr>
          <w:rFonts w:asciiTheme="minorHAnsi" w:hAnsiTheme="minorHAnsi" w:cstheme="minorHAnsi"/>
          <w:iCs/>
          <w:szCs w:val="24"/>
        </w:rPr>
        <w:t>.</w:t>
      </w:r>
    </w:p>
    <w:p w14:paraId="33CC4956" w14:textId="651959D8" w:rsidR="00B91D4E" w:rsidRPr="005D5DEA" w:rsidRDefault="00B91D4E" w:rsidP="00DA552F">
      <w:pPr>
        <w:spacing w:before="120" w:after="120"/>
        <w:rPr>
          <w:rFonts w:asciiTheme="minorHAnsi" w:hAnsiTheme="minorHAnsi" w:cstheme="minorHAnsi"/>
          <w:iCs/>
          <w:szCs w:val="24"/>
        </w:rPr>
      </w:pPr>
      <w:r>
        <w:rPr>
          <w:rFonts w:asciiTheme="minorHAnsi" w:hAnsiTheme="minorHAnsi" w:cstheme="minorHAnsi"/>
          <w:iCs/>
          <w:szCs w:val="24"/>
        </w:rPr>
        <w:lastRenderedPageBreak/>
        <w:t>The Instrument also supports the right to education by expanding the areas of study listed as national priorities for 2022. This amendment improves access to education by enabling students to study a diverse range of short courses and improves their employability at a subsidised cost. This subsidised cost reduces barriers to students studying and ensures students have less debt upon graduating.</w:t>
      </w:r>
    </w:p>
    <w:p w14:paraId="1D4223DB" w14:textId="77777777" w:rsidR="00E8671C" w:rsidRPr="00E8671C" w:rsidRDefault="00E8671C" w:rsidP="00DA552F">
      <w:pPr>
        <w:spacing w:before="120" w:after="120"/>
        <w:rPr>
          <w:rFonts w:asciiTheme="minorHAnsi" w:hAnsiTheme="minorHAnsi" w:cstheme="minorHAnsi"/>
          <w:b/>
          <w:szCs w:val="24"/>
        </w:rPr>
      </w:pP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6309C2A0"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is compatible with human rights because</w:t>
      </w:r>
      <w:r w:rsidR="00F6026E">
        <w:rPr>
          <w:rFonts w:asciiTheme="minorHAnsi" w:hAnsiTheme="minorHAnsi" w:cstheme="minorHAnsi"/>
          <w:szCs w:val="24"/>
        </w:rPr>
        <w:t xml:space="preserve"> it </w:t>
      </w:r>
      <w:r w:rsidR="00B91D4E">
        <w:rPr>
          <w:rFonts w:asciiTheme="minorHAnsi" w:hAnsiTheme="minorHAnsi" w:cstheme="minorHAnsi"/>
          <w:szCs w:val="24"/>
        </w:rPr>
        <w:t>supports</w:t>
      </w:r>
      <w:r w:rsidR="00F6026E">
        <w:rPr>
          <w:rFonts w:asciiTheme="minorHAnsi" w:hAnsiTheme="minorHAnsi" w:cstheme="minorHAnsi"/>
          <w:szCs w:val="24"/>
        </w:rPr>
        <w:t xml:space="preserve">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7F41FE93" w14:textId="77777777" w:rsidR="00B633E5" w:rsidRDefault="00B633E5" w:rsidP="00D703D2">
      <w:pPr>
        <w:spacing w:after="0"/>
        <w:jc w:val="center"/>
        <w:rPr>
          <w:rFonts w:asciiTheme="minorHAnsi" w:hAnsiTheme="minorHAnsi" w:cstheme="minorHAnsi"/>
          <w:b/>
          <w:szCs w:val="24"/>
        </w:rPr>
      </w:pPr>
      <w:r w:rsidRPr="00B633E5">
        <w:rPr>
          <w:rFonts w:asciiTheme="minorHAnsi" w:hAnsiTheme="minorHAnsi" w:cstheme="minorHAnsi"/>
          <w:b/>
          <w:szCs w:val="24"/>
        </w:rPr>
        <w:t>Minister for Employment, Workforce, Skills, Small and Family Business</w:t>
      </w:r>
    </w:p>
    <w:p w14:paraId="1103BC73" w14:textId="10015AB2" w:rsidR="00DA552F" w:rsidRPr="008134D5" w:rsidRDefault="00B633E5" w:rsidP="00D703D2">
      <w:pPr>
        <w:spacing w:after="0"/>
        <w:jc w:val="center"/>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r>
        <w:rPr>
          <w:rFonts w:asciiTheme="minorHAnsi" w:hAnsiTheme="minorHAnsi" w:cstheme="minorHAnsi"/>
          <w:b/>
          <w:szCs w:val="24"/>
        </w:rPr>
        <w:t xml:space="preserve">The </w:t>
      </w:r>
      <w:r w:rsidR="00F6026E">
        <w:rPr>
          <w:rFonts w:asciiTheme="minorHAnsi" w:hAnsiTheme="minorHAnsi" w:cstheme="minorHAnsi"/>
          <w:b/>
          <w:szCs w:val="24"/>
        </w:rPr>
        <w:t xml:space="preserve">Hon </w:t>
      </w:r>
      <w:r w:rsidR="00A157DC">
        <w:rPr>
          <w:rFonts w:asciiTheme="minorHAnsi" w:hAnsiTheme="minorHAnsi" w:cstheme="minorHAnsi"/>
          <w:b/>
          <w:szCs w:val="24"/>
        </w:rPr>
        <w:t>Stuart Robert</w:t>
      </w:r>
      <w:r w:rsidR="00F6026E">
        <w:rPr>
          <w:rFonts w:asciiTheme="minorHAnsi" w:hAnsiTheme="minorHAnsi" w:cstheme="minorHAnsi"/>
          <w:b/>
          <w:szCs w:val="24"/>
        </w:rPr>
        <w:t xml:space="preserve"> MP</w:t>
      </w:r>
    </w:p>
    <w:p w14:paraId="7713CB94" w14:textId="129B5A6E" w:rsidR="009D2607" w:rsidRPr="00EF3AA7" w:rsidRDefault="00856AA9" w:rsidP="00EF3AA7">
      <w:pPr>
        <w:pStyle w:val="Heading2"/>
        <w:jc w:val="center"/>
        <w:rPr>
          <w:rFonts w:asciiTheme="minorHAnsi" w:hAnsiTheme="minorHAnsi" w:cstheme="minorHAnsi"/>
          <w:b w:val="0"/>
        </w:rPr>
      </w:pPr>
      <w:r w:rsidRPr="00EF3AA7">
        <w:rPr>
          <w:rFonts w:asciiTheme="minorHAnsi" w:hAnsiTheme="minorHAnsi" w:cstheme="minorHAnsi"/>
          <w:color w:val="auto"/>
        </w:rPr>
        <w:lastRenderedPageBreak/>
        <w:t>COMMONWEALTH GRANT SCHEME AMENDMENT (TRANSITION FUND LOADING)</w:t>
      </w:r>
      <w:r>
        <w:rPr>
          <w:rFonts w:asciiTheme="minorHAnsi" w:hAnsiTheme="minorHAnsi" w:cstheme="minorHAnsi"/>
          <w:color w:val="auto"/>
        </w:rPr>
        <w:t> </w:t>
      </w:r>
      <w:r w:rsidRPr="00EF3AA7">
        <w:rPr>
          <w:rFonts w:asciiTheme="minorHAnsi" w:hAnsiTheme="minorHAnsi" w:cstheme="minorHAnsi"/>
          <w:color w:val="auto"/>
        </w:rPr>
        <w:t>GUIDELINES 2021</w:t>
      </w:r>
    </w:p>
    <w:p w14:paraId="795AD093" w14:textId="77777777" w:rsidR="00E16FC0" w:rsidRDefault="00E16FC0">
      <w:pPr>
        <w:pStyle w:val="Heading2"/>
        <w:jc w:val="center"/>
        <w:rPr>
          <w:rFonts w:asciiTheme="minorHAnsi" w:hAnsiTheme="minorHAnsi" w:cstheme="minorHAnsi"/>
          <w:color w:val="auto"/>
        </w:rPr>
      </w:pPr>
    </w:p>
    <w:p w14:paraId="289E50B9" w14:textId="1F32C275"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6CE8F7EA" w:rsidR="00DA552F" w:rsidRPr="00EF4ACB" w:rsidRDefault="00DA552F" w:rsidP="00316BA5">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E16FC0">
        <w:rPr>
          <w:rFonts w:asciiTheme="minorHAnsi" w:hAnsiTheme="minorHAnsi" w:cstheme="minorHAnsi"/>
          <w:szCs w:val="24"/>
        </w:rPr>
        <w:t xml:space="preserve">section specifies the name of the instrument as the </w:t>
      </w:r>
      <w:r w:rsidR="009D2607">
        <w:rPr>
          <w:rFonts w:asciiTheme="minorHAnsi" w:hAnsiTheme="minorHAnsi" w:cstheme="minorHAnsi"/>
          <w:i/>
          <w:szCs w:val="24"/>
        </w:rPr>
        <w:t xml:space="preserve">Commonwealth Grant Scheme Amendment (Transition Fund Loading) </w:t>
      </w:r>
      <w:r w:rsidR="00856AA9">
        <w:rPr>
          <w:rFonts w:asciiTheme="minorHAnsi" w:hAnsiTheme="minorHAnsi" w:cstheme="minorHAnsi"/>
          <w:i/>
          <w:szCs w:val="24"/>
        </w:rPr>
        <w:t xml:space="preserve">Guidelines </w:t>
      </w:r>
      <w:r w:rsidR="009D2607">
        <w:rPr>
          <w:rFonts w:asciiTheme="minorHAnsi" w:hAnsiTheme="minorHAnsi" w:cstheme="minorHAnsi"/>
          <w:i/>
          <w:szCs w:val="24"/>
        </w:rPr>
        <w:t>2021</w:t>
      </w:r>
      <w:r w:rsidR="009D2607">
        <w:rPr>
          <w:rFonts w:asciiTheme="minorHAnsi" w:hAnsiTheme="minorHAnsi" w:cstheme="minorHAnsi"/>
          <w:iCs/>
          <w:szCs w:val="24"/>
        </w:rPr>
        <w:t xml:space="preserve"> (the Instrument). </w:t>
      </w:r>
      <w:r w:rsidR="00E16FC0">
        <w:rPr>
          <w:rFonts w:asciiTheme="minorHAnsi" w:hAnsiTheme="minorHAnsi" w:cstheme="minorHAnsi"/>
          <w:szCs w:val="24"/>
        </w:rPr>
        <w:t xml:space="preserve"> </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564FB0E1" w:rsidR="00E631F9" w:rsidRPr="00E16FC0" w:rsidRDefault="00E16FC0" w:rsidP="00316BA5">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provides that the </w:t>
      </w:r>
      <w:r w:rsidR="009D2607">
        <w:rPr>
          <w:rFonts w:asciiTheme="minorHAnsi" w:hAnsiTheme="minorHAnsi" w:cstheme="minorHAnsi"/>
          <w:iCs/>
        </w:rPr>
        <w:t>Instrument</w:t>
      </w:r>
      <w:r>
        <w:rPr>
          <w:rFonts w:asciiTheme="minorHAnsi" w:hAnsiTheme="minorHAnsi" w:cstheme="minorHAnsi"/>
          <w:iCs/>
        </w:rPr>
        <w:t xml:space="preserve"> commences the day after it is registered on the Federal Register of Legislation.</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50A583E6" w:rsidR="00E631F9" w:rsidRPr="00316BA5" w:rsidRDefault="00316BA5" w:rsidP="00316BA5">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provides that the </w:t>
      </w:r>
      <w:r w:rsidR="009D2607">
        <w:rPr>
          <w:rFonts w:asciiTheme="minorHAnsi" w:hAnsiTheme="minorHAnsi" w:cstheme="minorHAnsi"/>
          <w:iCs/>
        </w:rPr>
        <w:t>Instrument</w:t>
      </w:r>
      <w:r>
        <w:rPr>
          <w:rFonts w:asciiTheme="minorHAnsi" w:hAnsiTheme="minorHAnsi" w:cstheme="minorHAnsi"/>
          <w:iCs/>
        </w:rPr>
        <w:t xml:space="preserve"> is made under </w:t>
      </w:r>
      <w:r w:rsidR="009D2607">
        <w:rPr>
          <w:rFonts w:asciiTheme="minorHAnsi" w:hAnsiTheme="minorHAnsi" w:cstheme="minorHAnsi"/>
          <w:iCs/>
        </w:rPr>
        <w:t>section 238-10</w:t>
      </w:r>
      <w:r>
        <w:rPr>
          <w:rFonts w:asciiTheme="minorHAnsi" w:hAnsiTheme="minorHAnsi" w:cstheme="minorHAnsi"/>
          <w:iCs/>
        </w:rPr>
        <w:t xml:space="preserve">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3D755447" w:rsidR="00DA552F" w:rsidRPr="00E631F9" w:rsidRDefault="00E631F9" w:rsidP="00E631F9">
      <w:pPr>
        <w:keepNext/>
        <w:spacing w:before="360" w:after="120"/>
        <w:rPr>
          <w:rFonts w:asciiTheme="minorHAnsi" w:hAnsiTheme="minorHAnsi" w:cstheme="minorHAnsi"/>
        </w:rPr>
      </w:pPr>
      <w:bookmarkStart w:id="7" w:name="_Hlk87605072"/>
      <w:r>
        <w:rPr>
          <w:rFonts w:asciiTheme="minorHAnsi" w:hAnsiTheme="minorHAnsi" w:cstheme="minorHAnsi"/>
          <w:b/>
          <w:u w:val="single"/>
        </w:rPr>
        <w:t xml:space="preserve">Section 4: </w:t>
      </w:r>
      <w:r w:rsidR="00316BA5">
        <w:rPr>
          <w:rFonts w:asciiTheme="minorHAnsi" w:hAnsiTheme="minorHAnsi" w:cstheme="minorHAnsi"/>
          <w:b/>
          <w:u w:val="single"/>
        </w:rPr>
        <w:t>Schedules</w:t>
      </w:r>
    </w:p>
    <w:bookmarkEnd w:id="7"/>
    <w:p w14:paraId="6E1FC958" w14:textId="4F60F186" w:rsidR="00E757D0" w:rsidRDefault="00316BA5" w:rsidP="00316BA5">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provides that Schedule 1 is effective on its terms (that is, to </w:t>
      </w:r>
      <w:r w:rsidR="009D2607">
        <w:rPr>
          <w:rFonts w:asciiTheme="minorHAnsi" w:hAnsiTheme="minorHAnsi" w:cstheme="minorHAnsi"/>
          <w:iCs/>
          <w:szCs w:val="24"/>
        </w:rPr>
        <w:t>amend</w:t>
      </w:r>
      <w:r>
        <w:rPr>
          <w:rFonts w:asciiTheme="minorHAnsi" w:hAnsiTheme="minorHAnsi" w:cstheme="minorHAnsi"/>
          <w:iCs/>
          <w:szCs w:val="24"/>
        </w:rPr>
        <w:t xml:space="preserve"> the </w:t>
      </w:r>
      <w:r w:rsidR="00440ACA">
        <w:rPr>
          <w:rFonts w:asciiTheme="minorHAnsi" w:eastAsiaTheme="majorEastAsia" w:hAnsiTheme="minorHAnsi" w:cstheme="minorHAnsi"/>
          <w:i/>
          <w:szCs w:val="26"/>
        </w:rPr>
        <w:t>Commonwealth Grant Scheme Guidelines 2020</w:t>
      </w:r>
      <w:r w:rsidR="00440ACA">
        <w:rPr>
          <w:rFonts w:asciiTheme="minorHAnsi" w:eastAsiaTheme="majorEastAsia" w:hAnsiTheme="minorHAnsi" w:cstheme="minorHAnsi"/>
          <w:iCs/>
          <w:szCs w:val="26"/>
        </w:rPr>
        <w:t xml:space="preserve">). </w:t>
      </w:r>
    </w:p>
    <w:p w14:paraId="2E6197DB" w14:textId="335E9A02" w:rsidR="00316BA5" w:rsidRPr="00316BA5" w:rsidRDefault="00316BA5" w:rsidP="00316BA5">
      <w:pPr>
        <w:keepNext/>
        <w:spacing w:before="360" w:after="120"/>
        <w:rPr>
          <w:rFonts w:asciiTheme="minorHAnsi" w:hAnsiTheme="minorHAnsi" w:cstheme="minorHAnsi"/>
        </w:rPr>
      </w:pPr>
      <w:r>
        <w:rPr>
          <w:rFonts w:asciiTheme="minorHAnsi" w:hAnsiTheme="minorHAnsi" w:cstheme="minorHAnsi"/>
          <w:b/>
          <w:u w:val="single"/>
        </w:rPr>
        <w:t xml:space="preserve">Section 5: </w:t>
      </w:r>
      <w:r w:rsidR="00440ACA">
        <w:rPr>
          <w:rFonts w:asciiTheme="minorHAnsi" w:hAnsiTheme="minorHAnsi" w:cstheme="minorHAnsi"/>
          <w:b/>
          <w:u w:val="single"/>
        </w:rPr>
        <w:t xml:space="preserve">Application </w:t>
      </w:r>
      <w:r>
        <w:rPr>
          <w:rFonts w:asciiTheme="minorHAnsi" w:hAnsiTheme="minorHAnsi" w:cstheme="minorHAnsi"/>
          <w:b/>
          <w:u w:val="single"/>
        </w:rPr>
        <w:t xml:space="preserve"> </w:t>
      </w:r>
    </w:p>
    <w:p w14:paraId="36D33AAD" w14:textId="407BB090" w:rsidR="00440ACA" w:rsidRPr="00440ACA" w:rsidRDefault="00316BA5" w:rsidP="00440ACA">
      <w:pPr>
        <w:pStyle w:val="ListParagraph"/>
        <w:numPr>
          <w:ilvl w:val="0"/>
          <w:numId w:val="1"/>
        </w:numPr>
        <w:spacing w:before="360" w:after="120"/>
        <w:ind w:left="567" w:hanging="207"/>
        <w:rPr>
          <w:rFonts w:asciiTheme="minorHAnsi" w:hAnsiTheme="minorHAnsi" w:cstheme="minorHAnsi"/>
          <w:u w:val="single"/>
        </w:rPr>
      </w:pPr>
      <w:r>
        <w:rPr>
          <w:rFonts w:asciiTheme="minorHAnsi" w:hAnsiTheme="minorHAnsi" w:cstheme="minorHAnsi"/>
          <w:iCs/>
          <w:szCs w:val="24"/>
        </w:rPr>
        <w:t xml:space="preserve">This section </w:t>
      </w:r>
      <w:r w:rsidR="00440ACA">
        <w:rPr>
          <w:rFonts w:asciiTheme="minorHAnsi" w:hAnsiTheme="minorHAnsi" w:cstheme="minorHAnsi"/>
          <w:iCs/>
          <w:szCs w:val="24"/>
        </w:rPr>
        <w:t xml:space="preserve">clarifies that the amendments made by this Instrument apply to working out grants payable under Division 33 of the </w:t>
      </w:r>
      <w:r w:rsidR="00D30FC9" w:rsidRPr="00EF3AA7">
        <w:rPr>
          <w:rFonts w:asciiTheme="minorHAnsi" w:hAnsiTheme="minorHAnsi" w:cstheme="minorHAnsi"/>
          <w:iCs/>
          <w:szCs w:val="24"/>
        </w:rPr>
        <w:t>Act</w:t>
      </w:r>
      <w:r w:rsidR="00D30FC9">
        <w:rPr>
          <w:rFonts w:asciiTheme="minorHAnsi" w:hAnsiTheme="minorHAnsi" w:cstheme="minorHAnsi"/>
          <w:i/>
          <w:szCs w:val="24"/>
        </w:rPr>
        <w:t xml:space="preserve"> </w:t>
      </w:r>
      <w:r w:rsidR="00440ACA">
        <w:rPr>
          <w:rFonts w:asciiTheme="minorHAnsi" w:hAnsiTheme="minorHAnsi" w:cstheme="minorHAnsi"/>
          <w:iCs/>
          <w:szCs w:val="24"/>
        </w:rPr>
        <w:t>for the years 2021, 2022 and 2023.</w:t>
      </w:r>
      <w:r>
        <w:rPr>
          <w:rFonts w:asciiTheme="minorHAnsi" w:hAnsiTheme="minorHAnsi" w:cstheme="minorHAnsi"/>
          <w:iCs/>
          <w:szCs w:val="24"/>
        </w:rPr>
        <w:t xml:space="preserve"> </w:t>
      </w:r>
      <w:bookmarkStart w:id="8" w:name="_Toc23942243"/>
      <w:bookmarkEnd w:id="8"/>
    </w:p>
    <w:p w14:paraId="57A78ECE" w14:textId="4A91A58A" w:rsidR="00440ACA" w:rsidRDefault="00440ACA" w:rsidP="00440ACA">
      <w:pPr>
        <w:spacing w:before="360" w:after="120"/>
        <w:rPr>
          <w:rFonts w:asciiTheme="minorHAnsi" w:hAnsiTheme="minorHAnsi" w:cstheme="minorHAnsi"/>
        </w:rPr>
      </w:pPr>
      <w:r>
        <w:rPr>
          <w:rFonts w:asciiTheme="minorHAnsi" w:hAnsiTheme="minorHAnsi" w:cstheme="minorHAnsi"/>
          <w:b/>
          <w:bCs/>
        </w:rPr>
        <w:t>SCHEDULE 1—AMENDMENTS</w:t>
      </w:r>
    </w:p>
    <w:p w14:paraId="12B91078" w14:textId="267EBE02" w:rsidR="00B91D4E" w:rsidRDefault="00B91D4E" w:rsidP="00440ACA">
      <w:pPr>
        <w:spacing w:before="360" w:after="120"/>
        <w:rPr>
          <w:rFonts w:asciiTheme="minorHAnsi" w:hAnsiTheme="minorHAnsi" w:cstheme="minorHAnsi"/>
          <w:u w:val="single"/>
        </w:rPr>
      </w:pPr>
      <w:r>
        <w:rPr>
          <w:rFonts w:asciiTheme="minorHAnsi" w:hAnsiTheme="minorHAnsi" w:cstheme="minorHAnsi"/>
          <w:b/>
          <w:bCs/>
          <w:u w:val="single"/>
        </w:rPr>
        <w:t xml:space="preserve">Item 1: </w:t>
      </w:r>
      <w:r w:rsidR="0050548D">
        <w:rPr>
          <w:rFonts w:asciiTheme="minorHAnsi" w:hAnsiTheme="minorHAnsi" w:cstheme="minorHAnsi"/>
          <w:b/>
          <w:bCs/>
          <w:u w:val="single"/>
        </w:rPr>
        <w:t>paragraph</w:t>
      </w:r>
      <w:r>
        <w:rPr>
          <w:rFonts w:asciiTheme="minorHAnsi" w:hAnsiTheme="minorHAnsi" w:cstheme="minorHAnsi"/>
          <w:b/>
          <w:bCs/>
          <w:u w:val="single"/>
        </w:rPr>
        <w:t xml:space="preserve"> 10(</w:t>
      </w:r>
      <w:r w:rsidR="0050548D">
        <w:rPr>
          <w:rFonts w:asciiTheme="minorHAnsi" w:hAnsiTheme="minorHAnsi" w:cstheme="minorHAnsi"/>
          <w:b/>
          <w:bCs/>
          <w:u w:val="single"/>
        </w:rPr>
        <w:t>c</w:t>
      </w:r>
      <w:r>
        <w:rPr>
          <w:rFonts w:asciiTheme="minorHAnsi" w:hAnsiTheme="minorHAnsi" w:cstheme="minorHAnsi"/>
          <w:b/>
          <w:bCs/>
          <w:u w:val="single"/>
        </w:rPr>
        <w:t>)</w:t>
      </w:r>
    </w:p>
    <w:p w14:paraId="2FB492FC" w14:textId="53B93B08" w:rsidR="00B91D4E" w:rsidRPr="0050548D" w:rsidRDefault="00B91D4E" w:rsidP="00B91D4E">
      <w:pPr>
        <w:pStyle w:val="ListParagraph"/>
        <w:numPr>
          <w:ilvl w:val="0"/>
          <w:numId w:val="1"/>
        </w:numPr>
        <w:spacing w:before="360" w:after="120"/>
        <w:rPr>
          <w:rFonts w:asciiTheme="minorHAnsi" w:hAnsiTheme="minorHAnsi" w:cstheme="minorHAnsi"/>
        </w:rPr>
      </w:pPr>
      <w:r w:rsidRPr="00B91D4E">
        <w:rPr>
          <w:rFonts w:asciiTheme="minorHAnsi" w:hAnsiTheme="minorHAnsi" w:cstheme="minorHAnsi"/>
        </w:rPr>
        <w:t>This item provides t</w:t>
      </w:r>
      <w:r w:rsidRPr="00B91D4E">
        <w:rPr>
          <w:rFonts w:asciiTheme="minorHAnsi" w:hAnsiTheme="minorHAnsi" w:cstheme="minorHAnsi"/>
          <w:iCs/>
          <w:szCs w:val="24"/>
        </w:rPr>
        <w:t>hat the broadened areas of study that are currently specified as national priorities for 2021 will continue to be national priorities in 2022.</w:t>
      </w:r>
    </w:p>
    <w:p w14:paraId="5088894E" w14:textId="674C0A9F" w:rsidR="00440ACA" w:rsidRDefault="00440ACA" w:rsidP="00440ACA">
      <w:pPr>
        <w:spacing w:before="360" w:after="120"/>
        <w:rPr>
          <w:rFonts w:asciiTheme="minorHAnsi" w:hAnsiTheme="minorHAnsi" w:cstheme="minorHAnsi"/>
          <w:u w:val="single"/>
        </w:rPr>
      </w:pPr>
      <w:r>
        <w:rPr>
          <w:rFonts w:asciiTheme="minorHAnsi" w:hAnsiTheme="minorHAnsi" w:cstheme="minorHAnsi"/>
          <w:b/>
          <w:bCs/>
          <w:u w:val="single"/>
        </w:rPr>
        <w:t xml:space="preserve">Item </w:t>
      </w:r>
      <w:r w:rsidR="00B91D4E">
        <w:rPr>
          <w:rFonts w:asciiTheme="minorHAnsi" w:hAnsiTheme="minorHAnsi" w:cstheme="minorHAnsi"/>
          <w:b/>
          <w:bCs/>
          <w:u w:val="single"/>
        </w:rPr>
        <w:t>2</w:t>
      </w:r>
      <w:r>
        <w:rPr>
          <w:rFonts w:asciiTheme="minorHAnsi" w:hAnsiTheme="minorHAnsi" w:cstheme="minorHAnsi"/>
          <w:b/>
          <w:bCs/>
          <w:u w:val="single"/>
        </w:rPr>
        <w:t>: Section 19</w:t>
      </w:r>
    </w:p>
    <w:p w14:paraId="07A07313" w14:textId="64315529" w:rsidR="00440ACA" w:rsidRDefault="00440ACA" w:rsidP="00440ACA">
      <w:pPr>
        <w:pStyle w:val="ListParagraph"/>
        <w:numPr>
          <w:ilvl w:val="0"/>
          <w:numId w:val="1"/>
        </w:numPr>
        <w:spacing w:before="360" w:after="120"/>
        <w:rPr>
          <w:rFonts w:asciiTheme="minorHAnsi" w:hAnsiTheme="minorHAnsi" w:cstheme="minorHAnsi"/>
        </w:rPr>
      </w:pPr>
      <w:r>
        <w:rPr>
          <w:rFonts w:asciiTheme="minorHAnsi" w:hAnsiTheme="minorHAnsi" w:cstheme="minorHAnsi"/>
        </w:rPr>
        <w:t>This item repeals</w:t>
      </w:r>
      <w:r w:rsidR="00301F4D">
        <w:rPr>
          <w:rFonts w:asciiTheme="minorHAnsi" w:hAnsiTheme="minorHAnsi" w:cstheme="minorHAnsi"/>
        </w:rPr>
        <w:t xml:space="preserve"> and </w:t>
      </w:r>
      <w:r w:rsidR="00946E8A">
        <w:rPr>
          <w:rFonts w:asciiTheme="minorHAnsi" w:hAnsiTheme="minorHAnsi" w:cstheme="minorHAnsi"/>
        </w:rPr>
        <w:t>substitutes</w:t>
      </w:r>
      <w:r>
        <w:rPr>
          <w:rFonts w:asciiTheme="minorHAnsi" w:hAnsiTheme="minorHAnsi" w:cstheme="minorHAnsi"/>
        </w:rPr>
        <w:t xml:space="preserve"> section 19. </w:t>
      </w:r>
    </w:p>
    <w:p w14:paraId="00DD66A9" w14:textId="2E7EE942" w:rsidR="00440ACA" w:rsidRDefault="00301F4D" w:rsidP="00440ACA">
      <w:pPr>
        <w:pStyle w:val="ListParagraph"/>
        <w:numPr>
          <w:ilvl w:val="0"/>
          <w:numId w:val="1"/>
        </w:numPr>
        <w:spacing w:before="360" w:after="120"/>
        <w:rPr>
          <w:rFonts w:asciiTheme="minorHAnsi" w:hAnsiTheme="minorHAnsi" w:cstheme="minorHAnsi"/>
        </w:rPr>
      </w:pPr>
      <w:r>
        <w:rPr>
          <w:rFonts w:asciiTheme="minorHAnsi" w:hAnsiTheme="minorHAnsi" w:cstheme="minorHAnsi"/>
        </w:rPr>
        <w:lastRenderedPageBreak/>
        <w:t>N</w:t>
      </w:r>
      <w:r w:rsidR="00440ACA" w:rsidRPr="00440ACA">
        <w:rPr>
          <w:rFonts w:asciiTheme="minorHAnsi" w:hAnsiTheme="minorHAnsi" w:cstheme="minorHAnsi"/>
        </w:rPr>
        <w:t xml:space="preserve">ew section 19 provides that for the years 2021, 2022 and 2023, the amount of transition fund loading payable to a provider is the amount as listed in </w:t>
      </w:r>
      <w:r w:rsidR="00064D36">
        <w:rPr>
          <w:rFonts w:asciiTheme="minorHAnsi" w:hAnsiTheme="minorHAnsi" w:cstheme="minorHAnsi"/>
        </w:rPr>
        <w:t>the</w:t>
      </w:r>
      <w:r w:rsidR="00440ACA" w:rsidRPr="00440ACA">
        <w:rPr>
          <w:rFonts w:asciiTheme="minorHAnsi" w:hAnsiTheme="minorHAnsi" w:cstheme="minorHAnsi"/>
        </w:rPr>
        <w:t xml:space="preserve"> table in the section. </w:t>
      </w:r>
    </w:p>
    <w:p w14:paraId="5358431A" w14:textId="429FB0FC" w:rsidR="00440ACA" w:rsidRDefault="00440ACA" w:rsidP="00440ACA">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The table lists providers and the amount of transition fund loading for those providers for </w:t>
      </w:r>
      <w:r w:rsidR="00BC0BBC">
        <w:rPr>
          <w:rFonts w:asciiTheme="minorHAnsi" w:hAnsiTheme="minorHAnsi" w:cstheme="minorHAnsi"/>
        </w:rPr>
        <w:t xml:space="preserve">the years </w:t>
      </w:r>
      <w:r>
        <w:rPr>
          <w:rFonts w:asciiTheme="minorHAnsi" w:hAnsiTheme="minorHAnsi" w:cstheme="minorHAnsi"/>
        </w:rPr>
        <w:t xml:space="preserve">2021, 2022 and 2023. </w:t>
      </w:r>
    </w:p>
    <w:p w14:paraId="33B41967" w14:textId="26D28471" w:rsidR="00EF3AA7" w:rsidRPr="00EF3AA7" w:rsidRDefault="00EF3AA7" w:rsidP="00EF3AA7">
      <w:pPr>
        <w:pStyle w:val="ListParagraph"/>
        <w:numPr>
          <w:ilvl w:val="0"/>
          <w:numId w:val="1"/>
        </w:numPr>
        <w:spacing w:before="120" w:after="120"/>
        <w:rPr>
          <w:rFonts w:asciiTheme="minorHAnsi" w:hAnsiTheme="minorHAnsi" w:cstheme="minorHAnsi"/>
          <w:iCs/>
          <w:szCs w:val="24"/>
        </w:rPr>
      </w:pPr>
      <w:r w:rsidRPr="00EF3AA7">
        <w:rPr>
          <w:rFonts w:asciiTheme="minorHAnsi" w:hAnsiTheme="minorHAnsi" w:cstheme="minorHAnsi"/>
          <w:iCs/>
          <w:szCs w:val="24"/>
        </w:rPr>
        <w:t xml:space="preserve">The amounts set out in the Instrument are calculated as the difference between income </w:t>
      </w:r>
      <w:r w:rsidR="0050548D">
        <w:rPr>
          <w:rFonts w:asciiTheme="minorHAnsi" w:hAnsiTheme="minorHAnsi" w:cstheme="minorHAnsi"/>
          <w:iCs/>
          <w:szCs w:val="24"/>
        </w:rPr>
        <w:t>a</w:t>
      </w:r>
      <w:r w:rsidR="0050548D" w:rsidRPr="00EF3AA7">
        <w:rPr>
          <w:rFonts w:asciiTheme="minorHAnsi" w:hAnsiTheme="minorHAnsi" w:cstheme="minorHAnsi"/>
          <w:iCs/>
          <w:szCs w:val="24"/>
        </w:rPr>
        <w:t xml:space="preserve"> </w:t>
      </w:r>
      <w:r w:rsidRPr="00EF3AA7">
        <w:rPr>
          <w:rFonts w:asciiTheme="minorHAnsi" w:hAnsiTheme="minorHAnsi" w:cstheme="minorHAnsi"/>
          <w:iCs/>
          <w:szCs w:val="24"/>
        </w:rPr>
        <w:t>university would have received for Commonwealth supported students (excluding those enrolled in short courses, or in courses funded through the Innovative Places and National Priorities Places allocations) before</w:t>
      </w:r>
      <w:r w:rsidR="0050548D">
        <w:rPr>
          <w:rFonts w:asciiTheme="minorHAnsi" w:hAnsiTheme="minorHAnsi" w:cstheme="minorHAnsi"/>
          <w:iCs/>
          <w:szCs w:val="24"/>
        </w:rPr>
        <w:t xml:space="preserve"> amendments to the Act made by the </w:t>
      </w:r>
      <w:r w:rsidR="0050548D" w:rsidRPr="0050548D">
        <w:rPr>
          <w:rFonts w:asciiTheme="minorHAnsi" w:hAnsiTheme="minorHAnsi" w:cstheme="minorHAnsi"/>
          <w:i/>
          <w:szCs w:val="24"/>
        </w:rPr>
        <w:t>Higher Education Support Amendment (Job</w:t>
      </w:r>
      <w:r w:rsidR="0050548D" w:rsidRPr="0050548D">
        <w:rPr>
          <w:rFonts w:ascii="Cambria Math" w:hAnsi="Cambria Math" w:cs="Cambria Math"/>
          <w:i/>
          <w:szCs w:val="24"/>
        </w:rPr>
        <w:t>‑</w:t>
      </w:r>
      <w:r w:rsidR="0050548D" w:rsidRPr="0050548D">
        <w:rPr>
          <w:rFonts w:asciiTheme="minorHAnsi" w:hAnsiTheme="minorHAnsi" w:cstheme="minorHAnsi"/>
          <w:i/>
          <w:szCs w:val="24"/>
        </w:rPr>
        <w:t>Ready Graduates and Supporting Regional and Remote Students) Act 2020</w:t>
      </w:r>
      <w:r w:rsidRPr="00EF3AA7">
        <w:rPr>
          <w:rFonts w:asciiTheme="minorHAnsi" w:hAnsiTheme="minorHAnsi" w:cstheme="minorHAnsi"/>
          <w:iCs/>
          <w:szCs w:val="24"/>
        </w:rPr>
        <w:t>, and the income those students attract under the</w:t>
      </w:r>
      <w:r w:rsidR="0050548D">
        <w:rPr>
          <w:rFonts w:asciiTheme="minorHAnsi" w:hAnsiTheme="minorHAnsi" w:cstheme="minorHAnsi"/>
          <w:iCs/>
          <w:szCs w:val="24"/>
        </w:rPr>
        <w:t xml:space="preserve"> new</w:t>
      </w:r>
      <w:r w:rsidRPr="00EF3AA7">
        <w:rPr>
          <w:rFonts w:asciiTheme="minorHAnsi" w:hAnsiTheme="minorHAnsi" w:cstheme="minorHAnsi"/>
          <w:iCs/>
          <w:szCs w:val="24"/>
        </w:rPr>
        <w:t xml:space="preserve"> funding system</w:t>
      </w:r>
      <w:r w:rsidR="0050548D">
        <w:rPr>
          <w:rFonts w:asciiTheme="minorHAnsi" w:hAnsiTheme="minorHAnsi" w:cstheme="minorHAnsi"/>
          <w:iCs/>
          <w:szCs w:val="24"/>
        </w:rPr>
        <w:t xml:space="preserve"> implemented by those amendments</w:t>
      </w:r>
      <w:r w:rsidRPr="00EF3AA7">
        <w:rPr>
          <w:rFonts w:asciiTheme="minorHAnsi" w:hAnsiTheme="minorHAnsi" w:cstheme="minorHAnsi"/>
          <w:iCs/>
          <w:szCs w:val="24"/>
        </w:rPr>
        <w:t>, plus income from the National Priorities</w:t>
      </w:r>
      <w:r w:rsidR="007464AA">
        <w:rPr>
          <w:rFonts w:asciiTheme="minorHAnsi" w:hAnsiTheme="minorHAnsi" w:cstheme="minorHAnsi"/>
          <w:iCs/>
          <w:szCs w:val="24"/>
        </w:rPr>
        <w:t xml:space="preserve"> and</w:t>
      </w:r>
      <w:r w:rsidRPr="00EF3AA7">
        <w:rPr>
          <w:rFonts w:asciiTheme="minorHAnsi" w:hAnsiTheme="minorHAnsi" w:cstheme="minorHAnsi"/>
          <w:iCs/>
          <w:szCs w:val="24"/>
        </w:rPr>
        <w:t xml:space="preserve"> Industry Linkage Fund, and changes in income associated with the modified method for allocating funds in the Higher Education Participation and Partnerships Program, for 2021, 2022, and 2023. Income from students enrolled beyond a university’s Maximum Basic Grant Amount is excluded from the calculation.</w:t>
      </w:r>
    </w:p>
    <w:p w14:paraId="03558A65" w14:textId="77777777" w:rsidR="00EF3AA7" w:rsidRPr="00440ACA" w:rsidRDefault="00EF3AA7" w:rsidP="00EF3AA7">
      <w:pPr>
        <w:pStyle w:val="ListParagraph"/>
        <w:spacing w:before="360" w:after="120"/>
        <w:rPr>
          <w:rFonts w:asciiTheme="minorHAnsi" w:hAnsiTheme="minorHAnsi" w:cstheme="minorHAnsi"/>
        </w:rPr>
      </w:pPr>
    </w:p>
    <w:sectPr w:rsidR="00EF3AA7" w:rsidRPr="00440A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9E88D" w14:textId="77777777" w:rsidR="002E368A" w:rsidRDefault="002E368A" w:rsidP="00783FAB">
      <w:pPr>
        <w:spacing w:after="0" w:line="240" w:lineRule="auto"/>
      </w:pPr>
      <w:r>
        <w:separator/>
      </w:r>
    </w:p>
  </w:endnote>
  <w:endnote w:type="continuationSeparator" w:id="0">
    <w:p w14:paraId="4FF0548C" w14:textId="77777777" w:rsidR="002E368A" w:rsidRDefault="002E368A" w:rsidP="00783FAB">
      <w:pPr>
        <w:spacing w:after="0" w:line="240" w:lineRule="auto"/>
      </w:pPr>
      <w:r>
        <w:continuationSeparator/>
      </w:r>
    </w:p>
  </w:endnote>
  <w:endnote w:type="continuationNotice" w:id="1">
    <w:p w14:paraId="58D665C0" w14:textId="77777777" w:rsidR="002E368A" w:rsidRDefault="002E3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36437BB6" w14:textId="61673D40" w:rsidR="008134D5" w:rsidRDefault="008134D5" w:rsidP="00256769">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17575" w14:textId="77777777" w:rsidR="002E368A" w:rsidRDefault="002E368A" w:rsidP="00783FAB">
      <w:pPr>
        <w:spacing w:after="0" w:line="240" w:lineRule="auto"/>
      </w:pPr>
      <w:r>
        <w:separator/>
      </w:r>
    </w:p>
  </w:footnote>
  <w:footnote w:type="continuationSeparator" w:id="0">
    <w:p w14:paraId="27018B35" w14:textId="77777777" w:rsidR="002E368A" w:rsidRDefault="002E368A" w:rsidP="00783FAB">
      <w:pPr>
        <w:spacing w:after="0" w:line="240" w:lineRule="auto"/>
      </w:pPr>
      <w:r>
        <w:continuationSeparator/>
      </w:r>
    </w:p>
  </w:footnote>
  <w:footnote w:type="continuationNotice" w:id="1">
    <w:p w14:paraId="0086ED0B" w14:textId="77777777" w:rsidR="002E368A" w:rsidRDefault="002E36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5260F"/>
    <w:multiLevelType w:val="hybridMultilevel"/>
    <w:tmpl w:val="5B60E1D2"/>
    <w:lvl w:ilvl="0" w:tplc="750495EE">
      <w:start w:val="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5A0FA8"/>
    <w:multiLevelType w:val="hybridMultilevel"/>
    <w:tmpl w:val="98C0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4579E"/>
    <w:multiLevelType w:val="hybridMultilevel"/>
    <w:tmpl w:val="18E42F6C"/>
    <w:lvl w:ilvl="0" w:tplc="B6BA7312">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3AE2"/>
    <w:rsid w:val="00036FAE"/>
    <w:rsid w:val="00044508"/>
    <w:rsid w:val="00047668"/>
    <w:rsid w:val="00047A2A"/>
    <w:rsid w:val="0005020B"/>
    <w:rsid w:val="00057815"/>
    <w:rsid w:val="00057A1E"/>
    <w:rsid w:val="000614A1"/>
    <w:rsid w:val="00062794"/>
    <w:rsid w:val="0006484E"/>
    <w:rsid w:val="00064D36"/>
    <w:rsid w:val="000668B0"/>
    <w:rsid w:val="00073C87"/>
    <w:rsid w:val="00076E76"/>
    <w:rsid w:val="00083F41"/>
    <w:rsid w:val="000846B7"/>
    <w:rsid w:val="000A2A28"/>
    <w:rsid w:val="000A2D3A"/>
    <w:rsid w:val="000A3124"/>
    <w:rsid w:val="000A35D6"/>
    <w:rsid w:val="000B1BE1"/>
    <w:rsid w:val="000B3914"/>
    <w:rsid w:val="000B6430"/>
    <w:rsid w:val="000C224C"/>
    <w:rsid w:val="000C34FD"/>
    <w:rsid w:val="000C4D6B"/>
    <w:rsid w:val="000D1472"/>
    <w:rsid w:val="000D5E6D"/>
    <w:rsid w:val="000E3516"/>
    <w:rsid w:val="000E57DB"/>
    <w:rsid w:val="000E6FD6"/>
    <w:rsid w:val="000E7AB8"/>
    <w:rsid w:val="000F1811"/>
    <w:rsid w:val="000F2848"/>
    <w:rsid w:val="000F7A8C"/>
    <w:rsid w:val="00103015"/>
    <w:rsid w:val="00103253"/>
    <w:rsid w:val="001042BA"/>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46B5B"/>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C0325"/>
    <w:rsid w:val="001D00E3"/>
    <w:rsid w:val="001D0AF3"/>
    <w:rsid w:val="001D1D8A"/>
    <w:rsid w:val="001D36EE"/>
    <w:rsid w:val="001E07CE"/>
    <w:rsid w:val="001E52EB"/>
    <w:rsid w:val="001E5A0B"/>
    <w:rsid w:val="001F098F"/>
    <w:rsid w:val="001F11F1"/>
    <w:rsid w:val="001F127D"/>
    <w:rsid w:val="001F3626"/>
    <w:rsid w:val="001F7336"/>
    <w:rsid w:val="00200358"/>
    <w:rsid w:val="002005CD"/>
    <w:rsid w:val="00201F75"/>
    <w:rsid w:val="00202EC1"/>
    <w:rsid w:val="00204283"/>
    <w:rsid w:val="00204EEF"/>
    <w:rsid w:val="00205DBD"/>
    <w:rsid w:val="00207297"/>
    <w:rsid w:val="0021337D"/>
    <w:rsid w:val="00216A1C"/>
    <w:rsid w:val="00223F82"/>
    <w:rsid w:val="00224C52"/>
    <w:rsid w:val="00224C94"/>
    <w:rsid w:val="00232304"/>
    <w:rsid w:val="002378EE"/>
    <w:rsid w:val="002445E3"/>
    <w:rsid w:val="00247EBF"/>
    <w:rsid w:val="00254D04"/>
    <w:rsid w:val="00256769"/>
    <w:rsid w:val="00261499"/>
    <w:rsid w:val="00261AD8"/>
    <w:rsid w:val="002672A4"/>
    <w:rsid w:val="002747E8"/>
    <w:rsid w:val="00274EEA"/>
    <w:rsid w:val="002759E8"/>
    <w:rsid w:val="0027686D"/>
    <w:rsid w:val="002808A9"/>
    <w:rsid w:val="00284C9D"/>
    <w:rsid w:val="00292863"/>
    <w:rsid w:val="00294430"/>
    <w:rsid w:val="00296CA7"/>
    <w:rsid w:val="00296FAF"/>
    <w:rsid w:val="00297EAB"/>
    <w:rsid w:val="002A15F1"/>
    <w:rsid w:val="002A4961"/>
    <w:rsid w:val="002A7A13"/>
    <w:rsid w:val="002B313C"/>
    <w:rsid w:val="002B5C28"/>
    <w:rsid w:val="002C1F84"/>
    <w:rsid w:val="002C40FB"/>
    <w:rsid w:val="002C661B"/>
    <w:rsid w:val="002D1504"/>
    <w:rsid w:val="002D564A"/>
    <w:rsid w:val="002E12E6"/>
    <w:rsid w:val="002E368A"/>
    <w:rsid w:val="002F76C6"/>
    <w:rsid w:val="00301F4D"/>
    <w:rsid w:val="00304A88"/>
    <w:rsid w:val="00304E64"/>
    <w:rsid w:val="003071DA"/>
    <w:rsid w:val="00307358"/>
    <w:rsid w:val="0031070C"/>
    <w:rsid w:val="00313612"/>
    <w:rsid w:val="00316053"/>
    <w:rsid w:val="00316BA5"/>
    <w:rsid w:val="003170AC"/>
    <w:rsid w:val="00326C24"/>
    <w:rsid w:val="0033070E"/>
    <w:rsid w:val="003440C7"/>
    <w:rsid w:val="00350779"/>
    <w:rsid w:val="00353D81"/>
    <w:rsid w:val="00354743"/>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6CBC"/>
    <w:rsid w:val="003A7B17"/>
    <w:rsid w:val="003B29B0"/>
    <w:rsid w:val="003B2DA8"/>
    <w:rsid w:val="003B3044"/>
    <w:rsid w:val="003B5D5E"/>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0ACA"/>
    <w:rsid w:val="00445460"/>
    <w:rsid w:val="00446B03"/>
    <w:rsid w:val="0044797F"/>
    <w:rsid w:val="00455C2A"/>
    <w:rsid w:val="00472F61"/>
    <w:rsid w:val="00481DE1"/>
    <w:rsid w:val="00484DBC"/>
    <w:rsid w:val="00490BA0"/>
    <w:rsid w:val="00494834"/>
    <w:rsid w:val="0049486C"/>
    <w:rsid w:val="004A2F70"/>
    <w:rsid w:val="004A409F"/>
    <w:rsid w:val="004A48D9"/>
    <w:rsid w:val="004A6B2D"/>
    <w:rsid w:val="004B2C3F"/>
    <w:rsid w:val="004B460F"/>
    <w:rsid w:val="004D5695"/>
    <w:rsid w:val="004D665B"/>
    <w:rsid w:val="004D7B86"/>
    <w:rsid w:val="004E3FBC"/>
    <w:rsid w:val="004F53E6"/>
    <w:rsid w:val="004F54FF"/>
    <w:rsid w:val="00500B9E"/>
    <w:rsid w:val="00503218"/>
    <w:rsid w:val="0050548D"/>
    <w:rsid w:val="00505873"/>
    <w:rsid w:val="00506F28"/>
    <w:rsid w:val="005146EC"/>
    <w:rsid w:val="00515BBE"/>
    <w:rsid w:val="005169CB"/>
    <w:rsid w:val="00516CC8"/>
    <w:rsid w:val="00517337"/>
    <w:rsid w:val="005173FC"/>
    <w:rsid w:val="00524226"/>
    <w:rsid w:val="00527330"/>
    <w:rsid w:val="00536596"/>
    <w:rsid w:val="005366FF"/>
    <w:rsid w:val="00537A32"/>
    <w:rsid w:val="0054602B"/>
    <w:rsid w:val="00546375"/>
    <w:rsid w:val="00551669"/>
    <w:rsid w:val="005620CA"/>
    <w:rsid w:val="00572401"/>
    <w:rsid w:val="005732E6"/>
    <w:rsid w:val="00577C30"/>
    <w:rsid w:val="005812FF"/>
    <w:rsid w:val="005819C8"/>
    <w:rsid w:val="00583920"/>
    <w:rsid w:val="0058422E"/>
    <w:rsid w:val="00584B84"/>
    <w:rsid w:val="005905A0"/>
    <w:rsid w:val="00591EC0"/>
    <w:rsid w:val="00597535"/>
    <w:rsid w:val="005A54B4"/>
    <w:rsid w:val="005A5621"/>
    <w:rsid w:val="005A7050"/>
    <w:rsid w:val="005B3CBC"/>
    <w:rsid w:val="005B510A"/>
    <w:rsid w:val="005C0740"/>
    <w:rsid w:val="005C18D0"/>
    <w:rsid w:val="005D5DEA"/>
    <w:rsid w:val="005D6A72"/>
    <w:rsid w:val="005E2026"/>
    <w:rsid w:val="005F4914"/>
    <w:rsid w:val="005F5DF6"/>
    <w:rsid w:val="005F5FA1"/>
    <w:rsid w:val="005F7D42"/>
    <w:rsid w:val="0060088C"/>
    <w:rsid w:val="00604F05"/>
    <w:rsid w:val="006067AB"/>
    <w:rsid w:val="00611D31"/>
    <w:rsid w:val="006202A1"/>
    <w:rsid w:val="0062319E"/>
    <w:rsid w:val="00625432"/>
    <w:rsid w:val="00626E42"/>
    <w:rsid w:val="00627EDA"/>
    <w:rsid w:val="00630EB9"/>
    <w:rsid w:val="00636200"/>
    <w:rsid w:val="00645DC7"/>
    <w:rsid w:val="0064724F"/>
    <w:rsid w:val="006507CB"/>
    <w:rsid w:val="00651D68"/>
    <w:rsid w:val="00652D30"/>
    <w:rsid w:val="00656314"/>
    <w:rsid w:val="00661BE8"/>
    <w:rsid w:val="00667B6F"/>
    <w:rsid w:val="00667F82"/>
    <w:rsid w:val="006700AA"/>
    <w:rsid w:val="00670D60"/>
    <w:rsid w:val="00677A0D"/>
    <w:rsid w:val="00683087"/>
    <w:rsid w:val="00685653"/>
    <w:rsid w:val="006930D1"/>
    <w:rsid w:val="006931AD"/>
    <w:rsid w:val="006940BB"/>
    <w:rsid w:val="00696CF0"/>
    <w:rsid w:val="00697001"/>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16694"/>
    <w:rsid w:val="007213BB"/>
    <w:rsid w:val="0072758F"/>
    <w:rsid w:val="007314EF"/>
    <w:rsid w:val="0073763E"/>
    <w:rsid w:val="007452A0"/>
    <w:rsid w:val="00745FCA"/>
    <w:rsid w:val="007464AA"/>
    <w:rsid w:val="00747943"/>
    <w:rsid w:val="00752BD5"/>
    <w:rsid w:val="00753090"/>
    <w:rsid w:val="0075573F"/>
    <w:rsid w:val="00756861"/>
    <w:rsid w:val="00756D99"/>
    <w:rsid w:val="00756F20"/>
    <w:rsid w:val="00760772"/>
    <w:rsid w:val="00760DDE"/>
    <w:rsid w:val="007620AE"/>
    <w:rsid w:val="00772715"/>
    <w:rsid w:val="0077536C"/>
    <w:rsid w:val="00781911"/>
    <w:rsid w:val="00782538"/>
    <w:rsid w:val="007828DD"/>
    <w:rsid w:val="00783FAB"/>
    <w:rsid w:val="00785B13"/>
    <w:rsid w:val="00791AAC"/>
    <w:rsid w:val="00795969"/>
    <w:rsid w:val="007A3F9F"/>
    <w:rsid w:val="007A6AF0"/>
    <w:rsid w:val="007B203B"/>
    <w:rsid w:val="007B44CD"/>
    <w:rsid w:val="007B4836"/>
    <w:rsid w:val="007C5020"/>
    <w:rsid w:val="007D12B2"/>
    <w:rsid w:val="007D1F16"/>
    <w:rsid w:val="007D4E08"/>
    <w:rsid w:val="007E00A8"/>
    <w:rsid w:val="007E16D6"/>
    <w:rsid w:val="007E2197"/>
    <w:rsid w:val="007E3446"/>
    <w:rsid w:val="007E3447"/>
    <w:rsid w:val="007E36E5"/>
    <w:rsid w:val="007E6EC6"/>
    <w:rsid w:val="007F563E"/>
    <w:rsid w:val="007F69B4"/>
    <w:rsid w:val="00803447"/>
    <w:rsid w:val="008035CF"/>
    <w:rsid w:val="0080584E"/>
    <w:rsid w:val="00805FEB"/>
    <w:rsid w:val="00811E34"/>
    <w:rsid w:val="00812C37"/>
    <w:rsid w:val="008134D5"/>
    <w:rsid w:val="00813A38"/>
    <w:rsid w:val="00823B66"/>
    <w:rsid w:val="00824A98"/>
    <w:rsid w:val="008310AA"/>
    <w:rsid w:val="00834114"/>
    <w:rsid w:val="00837BFD"/>
    <w:rsid w:val="00844D23"/>
    <w:rsid w:val="00850162"/>
    <w:rsid w:val="008517D8"/>
    <w:rsid w:val="00855239"/>
    <w:rsid w:val="00856AA9"/>
    <w:rsid w:val="00856BC4"/>
    <w:rsid w:val="00861FB4"/>
    <w:rsid w:val="00867101"/>
    <w:rsid w:val="008755D8"/>
    <w:rsid w:val="0088497A"/>
    <w:rsid w:val="008A1F97"/>
    <w:rsid w:val="008A6224"/>
    <w:rsid w:val="008B478B"/>
    <w:rsid w:val="008B61B7"/>
    <w:rsid w:val="008C48EF"/>
    <w:rsid w:val="008C497B"/>
    <w:rsid w:val="008C76FD"/>
    <w:rsid w:val="008D1ADC"/>
    <w:rsid w:val="008D1F81"/>
    <w:rsid w:val="008D72EA"/>
    <w:rsid w:val="008D7625"/>
    <w:rsid w:val="008E30D6"/>
    <w:rsid w:val="008E30D9"/>
    <w:rsid w:val="008E4EAC"/>
    <w:rsid w:val="008E68D3"/>
    <w:rsid w:val="008E79DF"/>
    <w:rsid w:val="008F002D"/>
    <w:rsid w:val="008F43E8"/>
    <w:rsid w:val="0090260D"/>
    <w:rsid w:val="00902A26"/>
    <w:rsid w:val="00903257"/>
    <w:rsid w:val="009048A2"/>
    <w:rsid w:val="00905C61"/>
    <w:rsid w:val="00907D61"/>
    <w:rsid w:val="00910064"/>
    <w:rsid w:val="009114DC"/>
    <w:rsid w:val="00911D92"/>
    <w:rsid w:val="009121D3"/>
    <w:rsid w:val="009160F7"/>
    <w:rsid w:val="009176F5"/>
    <w:rsid w:val="00933AD6"/>
    <w:rsid w:val="009421AA"/>
    <w:rsid w:val="0094476A"/>
    <w:rsid w:val="00946E8A"/>
    <w:rsid w:val="0094774B"/>
    <w:rsid w:val="00970AAB"/>
    <w:rsid w:val="00974504"/>
    <w:rsid w:val="00975A4A"/>
    <w:rsid w:val="00976413"/>
    <w:rsid w:val="009767B4"/>
    <w:rsid w:val="00977D37"/>
    <w:rsid w:val="009807AE"/>
    <w:rsid w:val="009857BE"/>
    <w:rsid w:val="00990334"/>
    <w:rsid w:val="00991158"/>
    <w:rsid w:val="0099199E"/>
    <w:rsid w:val="00995C44"/>
    <w:rsid w:val="00997D2A"/>
    <w:rsid w:val="009A04A5"/>
    <w:rsid w:val="009A35A0"/>
    <w:rsid w:val="009A7405"/>
    <w:rsid w:val="009A7CFA"/>
    <w:rsid w:val="009B0C51"/>
    <w:rsid w:val="009B2183"/>
    <w:rsid w:val="009B29AC"/>
    <w:rsid w:val="009B4B7F"/>
    <w:rsid w:val="009C0F35"/>
    <w:rsid w:val="009C10C1"/>
    <w:rsid w:val="009C4F55"/>
    <w:rsid w:val="009C5E5D"/>
    <w:rsid w:val="009D23FB"/>
    <w:rsid w:val="009D2607"/>
    <w:rsid w:val="009D7562"/>
    <w:rsid w:val="009E0803"/>
    <w:rsid w:val="009E7C1C"/>
    <w:rsid w:val="009F13BF"/>
    <w:rsid w:val="009F1D34"/>
    <w:rsid w:val="009F4C47"/>
    <w:rsid w:val="009F528F"/>
    <w:rsid w:val="009F6AC9"/>
    <w:rsid w:val="00A105DA"/>
    <w:rsid w:val="00A157DC"/>
    <w:rsid w:val="00A20031"/>
    <w:rsid w:val="00A202D5"/>
    <w:rsid w:val="00A23CDC"/>
    <w:rsid w:val="00A24596"/>
    <w:rsid w:val="00A24B24"/>
    <w:rsid w:val="00A25E6C"/>
    <w:rsid w:val="00A40E3D"/>
    <w:rsid w:val="00A40EA6"/>
    <w:rsid w:val="00A47C4E"/>
    <w:rsid w:val="00A52753"/>
    <w:rsid w:val="00A550E8"/>
    <w:rsid w:val="00A556D1"/>
    <w:rsid w:val="00A56E8B"/>
    <w:rsid w:val="00A71133"/>
    <w:rsid w:val="00A7209C"/>
    <w:rsid w:val="00A761C7"/>
    <w:rsid w:val="00A77D42"/>
    <w:rsid w:val="00A82E17"/>
    <w:rsid w:val="00A840CA"/>
    <w:rsid w:val="00A85075"/>
    <w:rsid w:val="00A90245"/>
    <w:rsid w:val="00A93F1F"/>
    <w:rsid w:val="00AA12F7"/>
    <w:rsid w:val="00AA3173"/>
    <w:rsid w:val="00AA3A3E"/>
    <w:rsid w:val="00AA6569"/>
    <w:rsid w:val="00AB19B6"/>
    <w:rsid w:val="00AC6ABA"/>
    <w:rsid w:val="00AD1C80"/>
    <w:rsid w:val="00AD2E24"/>
    <w:rsid w:val="00AD5627"/>
    <w:rsid w:val="00AD65C9"/>
    <w:rsid w:val="00AD6639"/>
    <w:rsid w:val="00AE4A25"/>
    <w:rsid w:val="00AE5CCB"/>
    <w:rsid w:val="00AE7179"/>
    <w:rsid w:val="00AF0588"/>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33E5"/>
    <w:rsid w:val="00B67F7B"/>
    <w:rsid w:val="00B739E2"/>
    <w:rsid w:val="00B8151D"/>
    <w:rsid w:val="00B819AA"/>
    <w:rsid w:val="00B91D4E"/>
    <w:rsid w:val="00BA54AA"/>
    <w:rsid w:val="00BB2109"/>
    <w:rsid w:val="00BB2C6B"/>
    <w:rsid w:val="00BB38D4"/>
    <w:rsid w:val="00BB4D85"/>
    <w:rsid w:val="00BB61E4"/>
    <w:rsid w:val="00BB631E"/>
    <w:rsid w:val="00BB71A8"/>
    <w:rsid w:val="00BB7421"/>
    <w:rsid w:val="00BC0BBC"/>
    <w:rsid w:val="00BC3FB4"/>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1552E"/>
    <w:rsid w:val="00C2416A"/>
    <w:rsid w:val="00C30E45"/>
    <w:rsid w:val="00C325A5"/>
    <w:rsid w:val="00C363A5"/>
    <w:rsid w:val="00C36A15"/>
    <w:rsid w:val="00C3701B"/>
    <w:rsid w:val="00C37043"/>
    <w:rsid w:val="00C4300F"/>
    <w:rsid w:val="00C45661"/>
    <w:rsid w:val="00C5010C"/>
    <w:rsid w:val="00C62BC1"/>
    <w:rsid w:val="00C64879"/>
    <w:rsid w:val="00C66953"/>
    <w:rsid w:val="00C73133"/>
    <w:rsid w:val="00C731FA"/>
    <w:rsid w:val="00C7617C"/>
    <w:rsid w:val="00C77DCB"/>
    <w:rsid w:val="00C82C91"/>
    <w:rsid w:val="00C846A2"/>
    <w:rsid w:val="00C90EFC"/>
    <w:rsid w:val="00C90FC4"/>
    <w:rsid w:val="00C9534C"/>
    <w:rsid w:val="00C954B7"/>
    <w:rsid w:val="00C9591A"/>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5A8C"/>
    <w:rsid w:val="00D010D3"/>
    <w:rsid w:val="00D05A8C"/>
    <w:rsid w:val="00D119DD"/>
    <w:rsid w:val="00D14A9D"/>
    <w:rsid w:val="00D17A67"/>
    <w:rsid w:val="00D17CB0"/>
    <w:rsid w:val="00D17FC6"/>
    <w:rsid w:val="00D217D1"/>
    <w:rsid w:val="00D2517F"/>
    <w:rsid w:val="00D30FC9"/>
    <w:rsid w:val="00D3758C"/>
    <w:rsid w:val="00D46134"/>
    <w:rsid w:val="00D468A9"/>
    <w:rsid w:val="00D50946"/>
    <w:rsid w:val="00D5387E"/>
    <w:rsid w:val="00D56A3B"/>
    <w:rsid w:val="00D61A73"/>
    <w:rsid w:val="00D63270"/>
    <w:rsid w:val="00D63CDD"/>
    <w:rsid w:val="00D66B65"/>
    <w:rsid w:val="00D703D2"/>
    <w:rsid w:val="00D70EAE"/>
    <w:rsid w:val="00D730BC"/>
    <w:rsid w:val="00D73415"/>
    <w:rsid w:val="00D74B9B"/>
    <w:rsid w:val="00D773CB"/>
    <w:rsid w:val="00D8103E"/>
    <w:rsid w:val="00D818BA"/>
    <w:rsid w:val="00D842A2"/>
    <w:rsid w:val="00D84946"/>
    <w:rsid w:val="00D93741"/>
    <w:rsid w:val="00DA552F"/>
    <w:rsid w:val="00DB1C9E"/>
    <w:rsid w:val="00DB2434"/>
    <w:rsid w:val="00DB461B"/>
    <w:rsid w:val="00DB4D35"/>
    <w:rsid w:val="00DB6247"/>
    <w:rsid w:val="00DC3E8C"/>
    <w:rsid w:val="00DC4B5E"/>
    <w:rsid w:val="00DC7784"/>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16FC0"/>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16A2"/>
    <w:rsid w:val="00E91930"/>
    <w:rsid w:val="00EA6D4F"/>
    <w:rsid w:val="00EA716A"/>
    <w:rsid w:val="00EA7EA8"/>
    <w:rsid w:val="00EC0A15"/>
    <w:rsid w:val="00EE412B"/>
    <w:rsid w:val="00EE514C"/>
    <w:rsid w:val="00EF3AA7"/>
    <w:rsid w:val="00EF4ACB"/>
    <w:rsid w:val="00F00674"/>
    <w:rsid w:val="00F03635"/>
    <w:rsid w:val="00F0455E"/>
    <w:rsid w:val="00F0609A"/>
    <w:rsid w:val="00F1230D"/>
    <w:rsid w:val="00F14BCE"/>
    <w:rsid w:val="00F21042"/>
    <w:rsid w:val="00F21FAC"/>
    <w:rsid w:val="00F3264E"/>
    <w:rsid w:val="00F36014"/>
    <w:rsid w:val="00F36E18"/>
    <w:rsid w:val="00F37BC2"/>
    <w:rsid w:val="00F42D28"/>
    <w:rsid w:val="00F43DAD"/>
    <w:rsid w:val="00F45857"/>
    <w:rsid w:val="00F51364"/>
    <w:rsid w:val="00F513EB"/>
    <w:rsid w:val="00F5236B"/>
    <w:rsid w:val="00F5252A"/>
    <w:rsid w:val="00F54266"/>
    <w:rsid w:val="00F552D2"/>
    <w:rsid w:val="00F5679F"/>
    <w:rsid w:val="00F6026E"/>
    <w:rsid w:val="00F60D6A"/>
    <w:rsid w:val="00F60F15"/>
    <w:rsid w:val="00F62708"/>
    <w:rsid w:val="00F6460E"/>
    <w:rsid w:val="00F64CB4"/>
    <w:rsid w:val="00F65889"/>
    <w:rsid w:val="00F67E93"/>
    <w:rsid w:val="00F72398"/>
    <w:rsid w:val="00F74CC9"/>
    <w:rsid w:val="00F77106"/>
    <w:rsid w:val="00F85B48"/>
    <w:rsid w:val="00F861AE"/>
    <w:rsid w:val="00F871D7"/>
    <w:rsid w:val="00F87FB6"/>
    <w:rsid w:val="00F90098"/>
    <w:rsid w:val="00F9205E"/>
    <w:rsid w:val="00F92FA5"/>
    <w:rsid w:val="00F935BD"/>
    <w:rsid w:val="00F96889"/>
    <w:rsid w:val="00FA5F7E"/>
    <w:rsid w:val="00FA6309"/>
    <w:rsid w:val="00FA6319"/>
    <w:rsid w:val="00FB14CA"/>
    <w:rsid w:val="00FB1FFC"/>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8E4EAC"/>
    <w:rPr>
      <w:color w:val="605E5C"/>
      <w:shd w:val="clear" w:color="auto" w:fill="E1DFDD"/>
    </w:rPr>
  </w:style>
  <w:style w:type="character" w:customStyle="1" w:styleId="normaltextrun">
    <w:name w:val="normaltextrun"/>
    <w:basedOn w:val="DefaultParagraphFont"/>
    <w:rsid w:val="008D1F81"/>
  </w:style>
  <w:style w:type="character" w:customStyle="1" w:styleId="eop">
    <w:name w:val="eop"/>
    <w:basedOn w:val="DefaultParagraphFont"/>
    <w:rsid w:val="008D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141494">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98789373">
      <w:bodyDiv w:val="1"/>
      <w:marLeft w:val="0"/>
      <w:marRight w:val="0"/>
      <w:marTop w:val="0"/>
      <w:marBottom w:val="0"/>
      <w:divBdr>
        <w:top w:val="none" w:sz="0" w:space="0" w:color="auto"/>
        <w:left w:val="none" w:sz="0" w:space="0" w:color="auto"/>
        <w:bottom w:val="none" w:sz="0" w:space="0" w:color="auto"/>
        <w:right w:val="none" w:sz="0" w:space="0" w:color="auto"/>
      </w:divBdr>
    </w:div>
    <w:div w:id="414517522">
      <w:bodyDiv w:val="1"/>
      <w:marLeft w:val="0"/>
      <w:marRight w:val="0"/>
      <w:marTop w:val="0"/>
      <w:marBottom w:val="0"/>
      <w:divBdr>
        <w:top w:val="none" w:sz="0" w:space="0" w:color="auto"/>
        <w:left w:val="none" w:sz="0" w:space="0" w:color="auto"/>
        <w:bottom w:val="none" w:sz="0" w:space="0" w:color="auto"/>
        <w:right w:val="none" w:sz="0" w:space="0" w:color="auto"/>
      </w:divBdr>
    </w:div>
    <w:div w:id="487788894">
      <w:bodyDiv w:val="1"/>
      <w:marLeft w:val="0"/>
      <w:marRight w:val="0"/>
      <w:marTop w:val="0"/>
      <w:marBottom w:val="0"/>
      <w:divBdr>
        <w:top w:val="none" w:sz="0" w:space="0" w:color="auto"/>
        <w:left w:val="none" w:sz="0" w:space="0" w:color="auto"/>
        <w:bottom w:val="none" w:sz="0" w:space="0" w:color="auto"/>
        <w:right w:val="none" w:sz="0" w:space="0" w:color="auto"/>
      </w:divBdr>
    </w:div>
    <w:div w:id="843544810">
      <w:bodyDiv w:val="1"/>
      <w:marLeft w:val="0"/>
      <w:marRight w:val="0"/>
      <w:marTop w:val="0"/>
      <w:marBottom w:val="0"/>
      <w:divBdr>
        <w:top w:val="none" w:sz="0" w:space="0" w:color="auto"/>
        <w:left w:val="none" w:sz="0" w:space="0" w:color="auto"/>
        <w:bottom w:val="none" w:sz="0" w:space="0" w:color="auto"/>
        <w:right w:val="none" w:sz="0" w:space="0" w:color="auto"/>
      </w:divBdr>
    </w:div>
    <w:div w:id="878978060">
      <w:bodyDiv w:val="1"/>
      <w:marLeft w:val="0"/>
      <w:marRight w:val="0"/>
      <w:marTop w:val="0"/>
      <w:marBottom w:val="0"/>
      <w:divBdr>
        <w:top w:val="none" w:sz="0" w:space="0" w:color="auto"/>
        <w:left w:val="none" w:sz="0" w:space="0" w:color="auto"/>
        <w:bottom w:val="none" w:sz="0" w:space="0" w:color="auto"/>
        <w:right w:val="none" w:sz="0" w:space="0" w:color="auto"/>
      </w:divBdr>
    </w:div>
    <w:div w:id="987782179">
      <w:bodyDiv w:val="1"/>
      <w:marLeft w:val="0"/>
      <w:marRight w:val="0"/>
      <w:marTop w:val="0"/>
      <w:marBottom w:val="0"/>
      <w:divBdr>
        <w:top w:val="none" w:sz="0" w:space="0" w:color="auto"/>
        <w:left w:val="none" w:sz="0" w:space="0" w:color="auto"/>
        <w:bottom w:val="none" w:sz="0" w:space="0" w:color="auto"/>
        <w:right w:val="none" w:sz="0" w:space="0" w:color="auto"/>
      </w:divBdr>
    </w:div>
    <w:div w:id="1386486522">
      <w:bodyDiv w:val="1"/>
      <w:marLeft w:val="0"/>
      <w:marRight w:val="0"/>
      <w:marTop w:val="0"/>
      <w:marBottom w:val="0"/>
      <w:divBdr>
        <w:top w:val="none" w:sz="0" w:space="0" w:color="auto"/>
        <w:left w:val="none" w:sz="0" w:space="0" w:color="auto"/>
        <w:bottom w:val="none" w:sz="0" w:space="0" w:color="auto"/>
        <w:right w:val="none" w:sz="0" w:space="0" w:color="auto"/>
      </w:divBdr>
    </w:div>
    <w:div w:id="1776319423">
      <w:bodyDiv w:val="1"/>
      <w:marLeft w:val="0"/>
      <w:marRight w:val="0"/>
      <w:marTop w:val="0"/>
      <w:marBottom w:val="0"/>
      <w:divBdr>
        <w:top w:val="none" w:sz="0" w:space="0" w:color="auto"/>
        <w:left w:val="none" w:sz="0" w:space="0" w:color="auto"/>
        <w:bottom w:val="none" w:sz="0" w:space="0" w:color="auto"/>
        <w:right w:val="none" w:sz="0" w:space="0" w:color="auto"/>
      </w:divBdr>
    </w:div>
    <w:div w:id="19586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920727172C444F91B4BB220875CFB3" ma:contentTypeVersion="" ma:contentTypeDescription="PDMS Document Site Content Type" ma:contentTypeScope="" ma:versionID="f680805c0ef42dd51c1f088d11e17b23">
  <xsd:schema xmlns:xsd="http://www.w3.org/2001/XMLSchema" xmlns:xs="http://www.w3.org/2001/XMLSchema" xmlns:p="http://schemas.microsoft.com/office/2006/metadata/properties" xmlns:ns2="D9CF7EE1-1BE0-40FB-80E7-3F817A54C00E" targetNamespace="http://schemas.microsoft.com/office/2006/metadata/properties" ma:root="true" ma:fieldsID="bfe029375854589a6e4e4b70f1924c05" ns2:_="">
    <xsd:import namespace="D9CF7EE1-1BE0-40FB-80E7-3F817A54C0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EE1-1BE0-40FB-80E7-3F817A54C0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9CF7EE1-1BE0-40FB-80E7-3F817A54C00E" xsi:nil="true"/>
  </documentManagement>
</p:properties>
</file>

<file path=customXml/itemProps1.xml><?xml version="1.0" encoding="utf-8"?>
<ds:datastoreItem xmlns:ds="http://schemas.openxmlformats.org/officeDocument/2006/customXml" ds:itemID="{549571D4-9EBB-43BE-A379-B009A7F3E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7EE1-1BE0-40FB-80E7-3F817A54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9CF7EE1-1BE0-40FB-80E7-3F817A54C0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1266</Words>
  <Characters>7218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BAKER,Fiona</cp:lastModifiedBy>
  <cp:revision>2</cp:revision>
  <cp:lastPrinted>2019-11-17T23:12:00Z</cp:lastPrinted>
  <dcterms:created xsi:type="dcterms:W3CDTF">2021-12-13T04:59:00Z</dcterms:created>
  <dcterms:modified xsi:type="dcterms:W3CDTF">2021-12-13T04:59:00Z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0x010100266966F133664895A6EE3632470D45F500CC920727172C444F91B4BB220875CFB3</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