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51658" w14:textId="77777777" w:rsidR="00372B0B" w:rsidRDefault="00372B0B" w:rsidP="0028773C">
      <w:pPr>
        <w:pStyle w:val="Title"/>
        <w:spacing w:after="240"/>
        <w:rPr>
          <w:b/>
          <w:bCs/>
        </w:rPr>
      </w:pPr>
      <w:r>
        <w:rPr>
          <w:b/>
          <w:bCs/>
        </w:rPr>
        <w:t>EXPLANATORY STATEMENT</w:t>
      </w:r>
    </w:p>
    <w:p w14:paraId="09172316" w14:textId="77777777" w:rsidR="00372B0B" w:rsidRPr="00B26C31" w:rsidRDefault="00DE0856" w:rsidP="0028773C">
      <w:pPr>
        <w:spacing w:before="120" w:after="120"/>
        <w:jc w:val="center"/>
        <w:rPr>
          <w:i/>
          <w:sz w:val="24"/>
        </w:rPr>
      </w:pPr>
      <w:r>
        <w:rPr>
          <w:i/>
          <w:sz w:val="24"/>
        </w:rPr>
        <w:t>Appropriation</w:t>
      </w:r>
      <w:r w:rsidR="00EF2ABC" w:rsidRPr="00B26C31">
        <w:rPr>
          <w:i/>
          <w:sz w:val="24"/>
        </w:rPr>
        <w:t xml:space="preserve"> Act (No. </w:t>
      </w:r>
      <w:r w:rsidR="00B72A40">
        <w:rPr>
          <w:i/>
          <w:sz w:val="24"/>
        </w:rPr>
        <w:t>2</w:t>
      </w:r>
      <w:r w:rsidR="009D5E57" w:rsidRPr="00B26C31">
        <w:rPr>
          <w:i/>
          <w:sz w:val="24"/>
        </w:rPr>
        <w:t xml:space="preserve">) </w:t>
      </w:r>
      <w:r w:rsidR="00B72A40">
        <w:rPr>
          <w:i/>
          <w:sz w:val="24"/>
        </w:rPr>
        <w:t>2021-2022</w:t>
      </w:r>
    </w:p>
    <w:p w14:paraId="57A9B2CC" w14:textId="77777777" w:rsidR="00372B0B" w:rsidRPr="00DF14D5" w:rsidRDefault="000B692D" w:rsidP="0028773C">
      <w:pPr>
        <w:spacing w:before="120" w:after="120"/>
        <w:jc w:val="center"/>
        <w:rPr>
          <w:sz w:val="24"/>
        </w:rPr>
      </w:pPr>
      <w:bookmarkStart w:id="0" w:name="Determination_Title"/>
      <w:bookmarkStart w:id="1" w:name="Citation"/>
      <w:r w:rsidRPr="00B26C31">
        <w:rPr>
          <w:i/>
          <w:sz w:val="24"/>
        </w:rPr>
        <w:t>AFM</w:t>
      </w:r>
      <w:r w:rsidR="00A97BAC" w:rsidRPr="00B26C31">
        <w:rPr>
          <w:i/>
          <w:sz w:val="24"/>
        </w:rPr>
        <w:t xml:space="preserve"> Determination </w:t>
      </w:r>
      <w:r w:rsidR="00EE49BF" w:rsidRPr="00B26C31">
        <w:rPr>
          <w:i/>
          <w:sz w:val="24"/>
        </w:rPr>
        <w:t>(No. </w:t>
      </w:r>
      <w:r w:rsidR="007176F0">
        <w:rPr>
          <w:i/>
          <w:sz w:val="24"/>
        </w:rPr>
        <w:t>2</w:t>
      </w:r>
      <w:r w:rsidR="00B72A40" w:rsidRPr="00B26C31">
        <w:rPr>
          <w:i/>
          <w:sz w:val="24"/>
        </w:rPr>
        <w:t xml:space="preserve"> </w:t>
      </w:r>
      <w:r w:rsidR="00A97BAC" w:rsidRPr="00B26C31">
        <w:rPr>
          <w:i/>
          <w:sz w:val="24"/>
        </w:rPr>
        <w:t xml:space="preserve">of </w:t>
      </w:r>
      <w:r w:rsidR="00B72A40">
        <w:rPr>
          <w:i/>
          <w:sz w:val="24"/>
        </w:rPr>
        <w:t>2021-2022</w:t>
      </w:r>
      <w:r w:rsidR="00A97BAC" w:rsidRPr="00B26C31">
        <w:rPr>
          <w:i/>
          <w:sz w:val="24"/>
        </w:rPr>
        <w:t>)</w:t>
      </w:r>
      <w:bookmarkEnd w:id="0"/>
      <w:bookmarkEnd w:id="1"/>
    </w:p>
    <w:p w14:paraId="243D119B" w14:textId="77777777" w:rsidR="00372B0B" w:rsidRPr="000E0C20" w:rsidRDefault="00372B0B" w:rsidP="0028773C">
      <w:pPr>
        <w:pStyle w:val="Heading3"/>
        <w:rPr>
          <w:sz w:val="22"/>
          <w:szCs w:val="22"/>
        </w:rPr>
      </w:pPr>
      <w:r w:rsidRPr="000E0C20">
        <w:rPr>
          <w:sz w:val="22"/>
          <w:szCs w:val="22"/>
        </w:rPr>
        <w:t xml:space="preserve">Purpose of </w:t>
      </w:r>
      <w:r w:rsidR="0023003E" w:rsidRPr="000E0C20">
        <w:rPr>
          <w:sz w:val="22"/>
          <w:szCs w:val="22"/>
        </w:rPr>
        <w:t>this Determination</w:t>
      </w:r>
    </w:p>
    <w:p w14:paraId="55D92473" w14:textId="5C520E24" w:rsidR="00FB156B" w:rsidRDefault="00FB156B" w:rsidP="00FB156B">
      <w:pPr>
        <w:pStyle w:val="Header"/>
        <w:tabs>
          <w:tab w:val="clear" w:pos="4153"/>
          <w:tab w:val="clear" w:pos="8306"/>
        </w:tabs>
        <w:spacing w:after="200"/>
        <w:rPr>
          <w:sz w:val="22"/>
          <w:szCs w:val="22"/>
        </w:rPr>
      </w:pPr>
      <w:r w:rsidRPr="004E4874">
        <w:rPr>
          <w:sz w:val="22"/>
          <w:szCs w:val="22"/>
        </w:rPr>
        <w:t>The Advance to the Finance Minister (AFM) is</w:t>
      </w:r>
      <w:r>
        <w:rPr>
          <w:sz w:val="22"/>
          <w:szCs w:val="22"/>
        </w:rPr>
        <w:t xml:space="preserve"> a mechanism</w:t>
      </w:r>
      <w:r w:rsidRPr="004E4874">
        <w:rPr>
          <w:sz w:val="22"/>
          <w:szCs w:val="22"/>
        </w:rPr>
        <w:t xml:space="preserve"> provided under section 12 of </w:t>
      </w:r>
      <w:r w:rsidRPr="004E4874">
        <w:rPr>
          <w:i/>
          <w:sz w:val="22"/>
          <w:szCs w:val="22"/>
        </w:rPr>
        <w:t xml:space="preserve">Appropriation </w:t>
      </w:r>
      <w:r w:rsidRPr="00A774FD">
        <w:rPr>
          <w:i/>
          <w:sz w:val="22"/>
          <w:szCs w:val="22"/>
        </w:rPr>
        <w:t>Act (No. 2) 2021-2022</w:t>
      </w:r>
      <w:r w:rsidRPr="00A774FD">
        <w:rPr>
          <w:sz w:val="22"/>
          <w:szCs w:val="22"/>
        </w:rPr>
        <w:t xml:space="preserve"> (the Act). Section 12 </w:t>
      </w:r>
      <w:r w:rsidR="006C646A" w:rsidRPr="00A774FD">
        <w:rPr>
          <w:sz w:val="22"/>
          <w:szCs w:val="22"/>
        </w:rPr>
        <w:t xml:space="preserve">permits the Finance Minister, by legislative instrument, to effectively amend Schedule 2 to the Act to make provision for certain urgent expenditure </w:t>
      </w:r>
      <w:r w:rsidRPr="00A774FD">
        <w:rPr>
          <w:sz w:val="22"/>
          <w:szCs w:val="22"/>
        </w:rPr>
        <w:t>up to a total limit of $3,000 million.</w:t>
      </w:r>
      <w:r w:rsidRPr="004E4874">
        <w:rPr>
          <w:sz w:val="22"/>
          <w:szCs w:val="22"/>
        </w:rPr>
        <w:t xml:space="preserve"> </w:t>
      </w:r>
    </w:p>
    <w:p w14:paraId="06583203" w14:textId="77777777" w:rsidR="00FB156B" w:rsidRDefault="00FB156B" w:rsidP="00FB156B">
      <w:pPr>
        <w:pStyle w:val="Header"/>
        <w:tabs>
          <w:tab w:val="clear" w:pos="4153"/>
          <w:tab w:val="clear" w:pos="8306"/>
        </w:tabs>
        <w:spacing w:after="200"/>
        <w:rPr>
          <w:sz w:val="22"/>
          <w:szCs w:val="22"/>
        </w:rPr>
      </w:pPr>
      <w:r>
        <w:rPr>
          <w:sz w:val="22"/>
          <w:szCs w:val="22"/>
        </w:rPr>
        <w:t>Section 12(1) has the effect that a determination can only be made under s 12(2) if t</w:t>
      </w:r>
      <w:r w:rsidRPr="004E4874">
        <w:rPr>
          <w:sz w:val="22"/>
          <w:szCs w:val="22"/>
        </w:rPr>
        <w:t xml:space="preserve">he Finance Minister </w:t>
      </w:r>
      <w:r>
        <w:rPr>
          <w:sz w:val="22"/>
          <w:szCs w:val="22"/>
        </w:rPr>
        <w:t>is</w:t>
      </w:r>
      <w:r w:rsidRPr="004E4874">
        <w:rPr>
          <w:sz w:val="22"/>
          <w:szCs w:val="22"/>
        </w:rPr>
        <w:t xml:space="preserve"> satisfied there is an urgent need for expenditure, in the current year, that is not provided for, or is insufficiently provided for, in Schedule 2 of the Act </w:t>
      </w:r>
      <w:r>
        <w:rPr>
          <w:sz w:val="22"/>
          <w:szCs w:val="22"/>
        </w:rPr>
        <w:t>either:</w:t>
      </w:r>
    </w:p>
    <w:p w14:paraId="00835597" w14:textId="77777777" w:rsidR="00FB156B" w:rsidRDefault="00FB156B" w:rsidP="00FB156B">
      <w:pPr>
        <w:pStyle w:val="Header"/>
        <w:numPr>
          <w:ilvl w:val="0"/>
          <w:numId w:val="34"/>
        </w:numPr>
        <w:tabs>
          <w:tab w:val="clear" w:pos="4153"/>
          <w:tab w:val="clear" w:pos="8306"/>
        </w:tabs>
        <w:spacing w:after="200"/>
        <w:rPr>
          <w:sz w:val="22"/>
          <w:szCs w:val="22"/>
        </w:rPr>
      </w:pPr>
      <w:r>
        <w:rPr>
          <w:sz w:val="22"/>
          <w:szCs w:val="22"/>
        </w:rPr>
        <w:t xml:space="preserve">because of </w:t>
      </w:r>
      <w:r w:rsidRPr="004850DF">
        <w:rPr>
          <w:sz w:val="22"/>
          <w:szCs w:val="22"/>
        </w:rPr>
        <w:t>an erroneous omission or understatement</w:t>
      </w:r>
      <w:r>
        <w:rPr>
          <w:sz w:val="22"/>
          <w:szCs w:val="22"/>
        </w:rPr>
        <w:t xml:space="preserve"> (see s 12(1)(a)), or</w:t>
      </w:r>
    </w:p>
    <w:p w14:paraId="497733AF" w14:textId="77777777" w:rsidR="00FB156B" w:rsidRPr="004E4874" w:rsidRDefault="00FB156B" w:rsidP="00FB156B">
      <w:pPr>
        <w:pStyle w:val="Header"/>
        <w:numPr>
          <w:ilvl w:val="0"/>
          <w:numId w:val="34"/>
        </w:numPr>
        <w:tabs>
          <w:tab w:val="clear" w:pos="4153"/>
          <w:tab w:val="clear" w:pos="8306"/>
        </w:tabs>
        <w:spacing w:after="200"/>
        <w:rPr>
          <w:sz w:val="22"/>
          <w:szCs w:val="22"/>
        </w:rPr>
      </w:pPr>
      <w:proofErr w:type="gramStart"/>
      <w:r>
        <w:rPr>
          <w:sz w:val="22"/>
          <w:szCs w:val="22"/>
        </w:rPr>
        <w:t>b</w:t>
      </w:r>
      <w:r w:rsidRPr="004850DF">
        <w:rPr>
          <w:sz w:val="22"/>
          <w:szCs w:val="22"/>
        </w:rPr>
        <w:t>ecause</w:t>
      </w:r>
      <w:proofErr w:type="gramEnd"/>
      <w:r w:rsidRPr="004850DF">
        <w:rPr>
          <w:sz w:val="22"/>
          <w:szCs w:val="22"/>
        </w:rPr>
        <w:t xml:space="preserve"> the expenditure was unforeseen until after the last day on which it was practicable to pro</w:t>
      </w:r>
      <w:r>
        <w:rPr>
          <w:sz w:val="22"/>
          <w:szCs w:val="22"/>
        </w:rPr>
        <w:t>vide for it in the Bill for the</w:t>
      </w:r>
      <w:r w:rsidRPr="004850DF">
        <w:rPr>
          <w:sz w:val="22"/>
          <w:szCs w:val="22"/>
        </w:rPr>
        <w:t xml:space="preserve"> Act introduced into the House of Representatives</w:t>
      </w:r>
      <w:r w:rsidR="006C646A">
        <w:rPr>
          <w:sz w:val="22"/>
          <w:szCs w:val="22"/>
        </w:rPr>
        <w:t xml:space="preserve"> (see </w:t>
      </w:r>
      <w:r>
        <w:rPr>
          <w:sz w:val="22"/>
          <w:szCs w:val="22"/>
        </w:rPr>
        <w:t>s 12(1)(b))</w:t>
      </w:r>
      <w:r w:rsidRPr="004E4874">
        <w:rPr>
          <w:sz w:val="22"/>
          <w:szCs w:val="22"/>
        </w:rPr>
        <w:t>.</w:t>
      </w:r>
    </w:p>
    <w:p w14:paraId="7D069265" w14:textId="77777777" w:rsidR="00FB156B" w:rsidRDefault="00FB156B" w:rsidP="00FB156B">
      <w:pPr>
        <w:pStyle w:val="Header"/>
        <w:tabs>
          <w:tab w:val="clear" w:pos="4153"/>
          <w:tab w:val="clear" w:pos="8306"/>
        </w:tabs>
        <w:spacing w:after="200"/>
        <w:rPr>
          <w:sz w:val="22"/>
          <w:szCs w:val="22"/>
        </w:rPr>
      </w:pPr>
      <w:r>
        <w:rPr>
          <w:sz w:val="22"/>
          <w:szCs w:val="22"/>
        </w:rPr>
        <w:t>In relation to the present determination (</w:t>
      </w:r>
      <w:r w:rsidR="007176F0">
        <w:rPr>
          <w:i/>
          <w:sz w:val="22"/>
          <w:szCs w:val="22"/>
        </w:rPr>
        <w:t xml:space="preserve">AFM Determination </w:t>
      </w:r>
      <w:r w:rsidR="007176F0" w:rsidRPr="00A774FD">
        <w:rPr>
          <w:i/>
          <w:sz w:val="22"/>
          <w:szCs w:val="22"/>
        </w:rPr>
        <w:t>(No. 2</w:t>
      </w:r>
      <w:r w:rsidRPr="00FB156B">
        <w:rPr>
          <w:i/>
          <w:sz w:val="22"/>
          <w:szCs w:val="22"/>
        </w:rPr>
        <w:t xml:space="preserve"> of 2021-2022</w:t>
      </w:r>
      <w:r>
        <w:rPr>
          <w:sz w:val="22"/>
          <w:szCs w:val="22"/>
        </w:rPr>
        <w:t>)</w:t>
      </w:r>
      <w:r w:rsidR="000D339B">
        <w:rPr>
          <w:sz w:val="22"/>
          <w:szCs w:val="22"/>
        </w:rPr>
        <w:t>)</w:t>
      </w:r>
      <w:r>
        <w:rPr>
          <w:sz w:val="22"/>
          <w:szCs w:val="22"/>
        </w:rPr>
        <w:t>, the Finance Minister is satisfied that there is an urgent need for the expenditure for the reason in 12(1</w:t>
      </w:r>
      <w:proofErr w:type="gramStart"/>
      <w:r>
        <w:rPr>
          <w:sz w:val="22"/>
          <w:szCs w:val="22"/>
        </w:rPr>
        <w:t>)(</w:t>
      </w:r>
      <w:proofErr w:type="gramEnd"/>
      <w:r>
        <w:rPr>
          <w:sz w:val="22"/>
          <w:szCs w:val="22"/>
        </w:rPr>
        <w:t>b</w:t>
      </w:r>
      <w:r w:rsidRPr="00FB156B">
        <w:rPr>
          <w:b/>
          <w:sz w:val="22"/>
          <w:szCs w:val="22"/>
        </w:rPr>
        <w:t>)</w:t>
      </w:r>
      <w:r>
        <w:rPr>
          <w:sz w:val="22"/>
          <w:szCs w:val="22"/>
        </w:rPr>
        <w:t xml:space="preserve">. </w:t>
      </w:r>
    </w:p>
    <w:p w14:paraId="002B1F7C" w14:textId="77777777" w:rsidR="0089698C" w:rsidRPr="00B82CA5" w:rsidRDefault="00FB156B" w:rsidP="00FB156B">
      <w:pPr>
        <w:pStyle w:val="Header"/>
        <w:tabs>
          <w:tab w:val="clear" w:pos="4153"/>
          <w:tab w:val="clear" w:pos="8306"/>
        </w:tabs>
        <w:spacing w:after="200"/>
        <w:rPr>
          <w:sz w:val="22"/>
          <w:szCs w:val="22"/>
        </w:rPr>
      </w:pPr>
      <w:r w:rsidRPr="00B82CA5">
        <w:rPr>
          <w:sz w:val="22"/>
          <w:szCs w:val="22"/>
        </w:rPr>
        <w:t xml:space="preserve">The Bill for the Act was Appropriation </w:t>
      </w:r>
      <w:r w:rsidRPr="00A774FD">
        <w:rPr>
          <w:sz w:val="22"/>
          <w:szCs w:val="22"/>
        </w:rPr>
        <w:t>Bill (No. 2) 2021</w:t>
      </w:r>
      <w:r w:rsidRPr="00B82CA5">
        <w:rPr>
          <w:sz w:val="22"/>
          <w:szCs w:val="22"/>
        </w:rPr>
        <w:t>-2022 (the Bill). The Bill was introduced into the House of Representatives on 11 May 2021. The Finance Minister is satisfied, based on information provided by the</w:t>
      </w:r>
      <w:r w:rsidR="007176F0">
        <w:rPr>
          <w:sz w:val="22"/>
          <w:szCs w:val="22"/>
        </w:rPr>
        <w:t xml:space="preserve"> National Recovery and </w:t>
      </w:r>
      <w:r w:rsidR="00391AE1">
        <w:rPr>
          <w:sz w:val="22"/>
          <w:szCs w:val="22"/>
        </w:rPr>
        <w:t>Resilience</w:t>
      </w:r>
      <w:r w:rsidR="007176F0">
        <w:rPr>
          <w:sz w:val="22"/>
          <w:szCs w:val="22"/>
        </w:rPr>
        <w:t xml:space="preserve"> Agency</w:t>
      </w:r>
      <w:r w:rsidR="00391AE1">
        <w:rPr>
          <w:sz w:val="22"/>
          <w:szCs w:val="22"/>
        </w:rPr>
        <w:t xml:space="preserve"> (NRRA</w:t>
      </w:r>
      <w:r w:rsidR="00160007">
        <w:rPr>
          <w:sz w:val="22"/>
          <w:szCs w:val="22"/>
        </w:rPr>
        <w:t>)</w:t>
      </w:r>
      <w:r w:rsidR="00160007" w:rsidRPr="00B82CA5">
        <w:rPr>
          <w:sz w:val="22"/>
          <w:szCs w:val="22"/>
        </w:rPr>
        <w:t xml:space="preserve"> that</w:t>
      </w:r>
      <w:r w:rsidRPr="00B82CA5">
        <w:rPr>
          <w:sz w:val="22"/>
          <w:szCs w:val="22"/>
        </w:rPr>
        <w:t xml:space="preserve"> the additional expenditure was unforeseen until after the last day on which it was practicable to provide for it in the Bill before it was introduced to the House of Representatives on this date. </w:t>
      </w:r>
    </w:p>
    <w:p w14:paraId="11639604" w14:textId="77777777" w:rsidR="00391AE1" w:rsidRDefault="00383345" w:rsidP="00DC2AB7">
      <w:pPr>
        <w:pStyle w:val="Header"/>
        <w:tabs>
          <w:tab w:val="clear" w:pos="4153"/>
          <w:tab w:val="clear" w:pos="8306"/>
        </w:tabs>
        <w:spacing w:after="200"/>
        <w:rPr>
          <w:sz w:val="22"/>
          <w:szCs w:val="22"/>
        </w:rPr>
      </w:pPr>
      <w:r w:rsidRPr="00DC2AB7">
        <w:rPr>
          <w:sz w:val="22"/>
          <w:szCs w:val="22"/>
        </w:rPr>
        <w:t xml:space="preserve">Additional funding is provided to the </w:t>
      </w:r>
      <w:r w:rsidR="00391AE1">
        <w:rPr>
          <w:sz w:val="22"/>
          <w:szCs w:val="22"/>
        </w:rPr>
        <w:t>NRRA</w:t>
      </w:r>
      <w:r w:rsidRPr="00DC2AB7">
        <w:rPr>
          <w:sz w:val="22"/>
          <w:szCs w:val="22"/>
        </w:rPr>
        <w:t xml:space="preserve"> to support </w:t>
      </w:r>
      <w:r w:rsidR="00391AE1">
        <w:rPr>
          <w:sz w:val="22"/>
          <w:szCs w:val="22"/>
        </w:rPr>
        <w:t xml:space="preserve">a </w:t>
      </w:r>
      <w:r w:rsidRPr="00DC2AB7">
        <w:rPr>
          <w:sz w:val="22"/>
          <w:szCs w:val="22"/>
        </w:rPr>
        <w:t xml:space="preserve">decision by the Australian Government to </w:t>
      </w:r>
      <w:r w:rsidR="00391AE1">
        <w:rPr>
          <w:sz w:val="22"/>
          <w:szCs w:val="22"/>
        </w:rPr>
        <w:t xml:space="preserve">extend the availability of the Pandemic Leave Disaster Payment (PLDP) until 30 June 2022.  </w:t>
      </w:r>
    </w:p>
    <w:p w14:paraId="347ED340" w14:textId="77777777" w:rsidR="00AB386E" w:rsidRPr="004022AA" w:rsidRDefault="00391AE1" w:rsidP="00AB386E">
      <w:pPr>
        <w:pStyle w:val="Header"/>
        <w:tabs>
          <w:tab w:val="clear" w:pos="4153"/>
          <w:tab w:val="clear" w:pos="8306"/>
        </w:tabs>
        <w:spacing w:after="200"/>
        <w:rPr>
          <w:sz w:val="22"/>
          <w:szCs w:val="22"/>
        </w:rPr>
      </w:pPr>
      <w:r w:rsidRPr="00391AE1">
        <w:rPr>
          <w:sz w:val="22"/>
          <w:szCs w:val="22"/>
        </w:rPr>
        <w:t>The PLDP is a lump sum payment of up to $1</w:t>
      </w:r>
      <w:r w:rsidR="004022AA">
        <w:rPr>
          <w:sz w:val="22"/>
          <w:szCs w:val="22"/>
        </w:rPr>
        <w:t>,</w:t>
      </w:r>
      <w:r w:rsidRPr="00391AE1">
        <w:rPr>
          <w:sz w:val="22"/>
          <w:szCs w:val="22"/>
        </w:rPr>
        <w:t xml:space="preserve">500 made to people who cannot earn an income because </w:t>
      </w:r>
      <w:r w:rsidRPr="004022AA">
        <w:rPr>
          <w:sz w:val="22"/>
          <w:szCs w:val="22"/>
        </w:rPr>
        <w:t>they must self-isolate, quarantine or care for someone who has</w:t>
      </w:r>
      <w:r w:rsidR="008B6170" w:rsidRPr="004022AA">
        <w:rPr>
          <w:sz w:val="22"/>
          <w:szCs w:val="22"/>
        </w:rPr>
        <w:t xml:space="preserve"> to self-isolate or quarantine.</w:t>
      </w:r>
    </w:p>
    <w:p w14:paraId="007AFE26" w14:textId="082E78F7" w:rsidR="00AB386E" w:rsidRPr="00AB386E" w:rsidRDefault="008B6170" w:rsidP="00AB386E">
      <w:pPr>
        <w:pStyle w:val="Header"/>
        <w:spacing w:after="200"/>
        <w:rPr>
          <w:sz w:val="22"/>
          <w:szCs w:val="22"/>
        </w:rPr>
      </w:pPr>
      <w:r w:rsidRPr="004022AA">
        <w:rPr>
          <w:sz w:val="22"/>
          <w:szCs w:val="22"/>
        </w:rPr>
        <w:t xml:space="preserve">The NRRA assumed policy responsibility for the PLDP from 1 July 2021. At the 2021-22 Budget, the NRRA received $12.6 million in </w:t>
      </w:r>
      <w:r w:rsidR="00F558A7">
        <w:rPr>
          <w:sz w:val="22"/>
          <w:szCs w:val="22"/>
        </w:rPr>
        <w:t>appropriation funding for the P</w:t>
      </w:r>
      <w:r w:rsidRPr="004022AA">
        <w:rPr>
          <w:sz w:val="22"/>
          <w:szCs w:val="22"/>
        </w:rPr>
        <w:t>L</w:t>
      </w:r>
      <w:r w:rsidR="00F558A7">
        <w:rPr>
          <w:sz w:val="22"/>
          <w:szCs w:val="22"/>
        </w:rPr>
        <w:t>D</w:t>
      </w:r>
      <w:bookmarkStart w:id="2" w:name="_GoBack"/>
      <w:bookmarkEnd w:id="2"/>
      <w:r w:rsidRPr="004022AA">
        <w:rPr>
          <w:sz w:val="22"/>
          <w:szCs w:val="22"/>
        </w:rPr>
        <w:t xml:space="preserve">P in 2021-22, for the period from July to October 2021, based on the outlook at that time for expected COVID cases. Actual expenditure for the payment has been higher than originally estimated due to the continuing rate of spread for COVID-19, in particular the emergence of the COVID-19 </w:t>
      </w:r>
      <w:r w:rsidRPr="00EC2104">
        <w:rPr>
          <w:sz w:val="22"/>
          <w:szCs w:val="22"/>
        </w:rPr>
        <w:t xml:space="preserve">Delta variant </w:t>
      </w:r>
      <w:r w:rsidRPr="004022AA">
        <w:rPr>
          <w:sz w:val="22"/>
          <w:szCs w:val="22"/>
        </w:rPr>
        <w:t>which has higher reproductive characteristics compared to preceding strains.</w:t>
      </w:r>
    </w:p>
    <w:p w14:paraId="0974B0D4" w14:textId="77777777" w:rsidR="00FB156B" w:rsidRPr="00B82CA5" w:rsidRDefault="00391AE1" w:rsidP="00830EAD">
      <w:pPr>
        <w:pStyle w:val="Header"/>
        <w:tabs>
          <w:tab w:val="clear" w:pos="4153"/>
          <w:tab w:val="clear" w:pos="8306"/>
        </w:tabs>
        <w:spacing w:after="200"/>
        <w:rPr>
          <w:sz w:val="22"/>
          <w:szCs w:val="22"/>
        </w:rPr>
      </w:pPr>
      <w:r>
        <w:rPr>
          <w:sz w:val="22"/>
          <w:szCs w:val="22"/>
        </w:rPr>
        <w:t>T</w:t>
      </w:r>
      <w:r w:rsidR="00FB156B" w:rsidRPr="00B82CA5">
        <w:rPr>
          <w:sz w:val="22"/>
          <w:szCs w:val="22"/>
        </w:rPr>
        <w:t xml:space="preserve">he Finance Minister </w:t>
      </w:r>
      <w:r>
        <w:rPr>
          <w:sz w:val="22"/>
          <w:szCs w:val="22"/>
        </w:rPr>
        <w:t>has made</w:t>
      </w:r>
      <w:r w:rsidR="00FB156B" w:rsidRPr="00B82CA5">
        <w:rPr>
          <w:sz w:val="22"/>
          <w:szCs w:val="22"/>
        </w:rPr>
        <w:t xml:space="preserve"> a determination under s 12(2) of the Act. The result of the determination is that Schedule 2 of the Act will have effect as if it were amended as specified in the determination. The total amount that the present determination makes provision for is </w:t>
      </w:r>
      <w:r w:rsidR="0082659A" w:rsidRPr="00DC2AB7">
        <w:rPr>
          <w:sz w:val="22"/>
          <w:szCs w:val="22"/>
        </w:rPr>
        <w:t>$</w:t>
      </w:r>
      <w:r w:rsidR="00AB386E">
        <w:rPr>
          <w:sz w:val="22"/>
          <w:szCs w:val="22"/>
        </w:rPr>
        <w:t>66</w:t>
      </w:r>
      <w:r w:rsidR="0082659A" w:rsidRPr="00DC2AB7">
        <w:rPr>
          <w:sz w:val="22"/>
          <w:szCs w:val="22"/>
        </w:rPr>
        <w:t xml:space="preserve"> million</w:t>
      </w:r>
      <w:r w:rsidR="00FB156B" w:rsidRPr="00B55906">
        <w:rPr>
          <w:sz w:val="22"/>
          <w:szCs w:val="22"/>
        </w:rPr>
        <w:t>.</w:t>
      </w:r>
    </w:p>
    <w:p w14:paraId="5CB07142" w14:textId="77777777" w:rsidR="00FB156B" w:rsidRPr="00B82CA5" w:rsidRDefault="00FB156B" w:rsidP="00FB156B">
      <w:pPr>
        <w:pStyle w:val="Header"/>
        <w:tabs>
          <w:tab w:val="clear" w:pos="4153"/>
          <w:tab w:val="clear" w:pos="8306"/>
        </w:tabs>
        <w:spacing w:after="200"/>
        <w:rPr>
          <w:sz w:val="22"/>
          <w:szCs w:val="22"/>
        </w:rPr>
      </w:pPr>
      <w:r w:rsidRPr="00B82CA5">
        <w:rPr>
          <w:sz w:val="22"/>
          <w:szCs w:val="22"/>
        </w:rPr>
        <w:t xml:space="preserve">The effect of s 12(4) of the Act is that although the determination is a legislative instrument, it is not subject to disallowance in accordance with s 42 of the </w:t>
      </w:r>
      <w:r w:rsidRPr="00B82CA5">
        <w:rPr>
          <w:i/>
          <w:sz w:val="22"/>
          <w:szCs w:val="22"/>
        </w:rPr>
        <w:t xml:space="preserve">Legislation Act 2003 </w:t>
      </w:r>
      <w:r w:rsidRPr="00B82CA5">
        <w:rPr>
          <w:sz w:val="22"/>
          <w:szCs w:val="22"/>
        </w:rPr>
        <w:t>(Legislation Act)</w:t>
      </w:r>
      <w:r w:rsidRPr="00B82CA5">
        <w:rPr>
          <w:i/>
          <w:sz w:val="22"/>
          <w:szCs w:val="22"/>
        </w:rPr>
        <w:t xml:space="preserve">. </w:t>
      </w:r>
    </w:p>
    <w:p w14:paraId="77F5D7D0" w14:textId="77777777" w:rsidR="00FB156B" w:rsidRPr="00FB156B" w:rsidRDefault="00FB156B" w:rsidP="00FB156B">
      <w:pPr>
        <w:pStyle w:val="Header"/>
        <w:tabs>
          <w:tab w:val="clear" w:pos="4153"/>
          <w:tab w:val="clear" w:pos="8306"/>
        </w:tabs>
        <w:spacing w:after="200"/>
        <w:rPr>
          <w:sz w:val="22"/>
          <w:szCs w:val="22"/>
        </w:rPr>
      </w:pPr>
      <w:r w:rsidRPr="00B82CA5">
        <w:rPr>
          <w:sz w:val="22"/>
          <w:szCs w:val="22"/>
        </w:rPr>
        <w:t>Section 12(4) of the Act also provides that the determination will not sunset in accordance with Part 4 of Chapter 3 of the Legislation Act</w:t>
      </w:r>
      <w:r w:rsidRPr="00B82CA5">
        <w:rPr>
          <w:i/>
          <w:sz w:val="22"/>
          <w:szCs w:val="22"/>
        </w:rPr>
        <w:t>.</w:t>
      </w:r>
      <w:r>
        <w:rPr>
          <w:i/>
          <w:sz w:val="22"/>
          <w:szCs w:val="22"/>
        </w:rPr>
        <w:t xml:space="preserve"> </w:t>
      </w:r>
    </w:p>
    <w:p w14:paraId="2D653F33" w14:textId="77777777" w:rsidR="00172250" w:rsidRPr="004E4874" w:rsidRDefault="00172250" w:rsidP="00172250">
      <w:pPr>
        <w:pStyle w:val="Heading3"/>
        <w:rPr>
          <w:sz w:val="22"/>
          <w:szCs w:val="22"/>
        </w:rPr>
      </w:pPr>
      <w:r w:rsidRPr="004E4874">
        <w:rPr>
          <w:sz w:val="22"/>
          <w:szCs w:val="22"/>
        </w:rPr>
        <w:t>Statement of Compatibility with Human Rights</w:t>
      </w:r>
    </w:p>
    <w:p w14:paraId="20364C17" w14:textId="77777777" w:rsidR="00172250" w:rsidRPr="004E4874" w:rsidRDefault="00172250" w:rsidP="00172250">
      <w:pPr>
        <w:pStyle w:val="Header"/>
        <w:tabs>
          <w:tab w:val="clear" w:pos="4153"/>
          <w:tab w:val="clear" w:pos="8306"/>
        </w:tabs>
        <w:spacing w:after="200"/>
        <w:rPr>
          <w:sz w:val="22"/>
          <w:szCs w:val="22"/>
        </w:rPr>
      </w:pPr>
      <w:r w:rsidRPr="004E4874">
        <w:rPr>
          <w:sz w:val="22"/>
          <w:szCs w:val="22"/>
        </w:rPr>
        <w:t>Appropriation Acts perform an important constitutional function, by authorising the withdrawal of money from the Consolidated Revenue Fund for the broad purposes identified in the annual Appropriation Acts</w:t>
      </w:r>
      <w:r>
        <w:rPr>
          <w:sz w:val="22"/>
          <w:szCs w:val="22"/>
        </w:rPr>
        <w:t xml:space="preserve">. </w:t>
      </w:r>
      <w:r w:rsidRPr="004E4874">
        <w:rPr>
          <w:sz w:val="22"/>
          <w:szCs w:val="22"/>
        </w:rPr>
        <w:t>However</w:t>
      </w:r>
      <w:r>
        <w:rPr>
          <w:sz w:val="22"/>
          <w:szCs w:val="22"/>
        </w:rPr>
        <w:t>,</w:t>
      </w:r>
      <w:r w:rsidRPr="004E4874">
        <w:rPr>
          <w:sz w:val="22"/>
          <w:szCs w:val="22"/>
        </w:rPr>
        <w:t xml:space="preserve"> annual Appropriation Acts do not create rights </w:t>
      </w:r>
      <w:r>
        <w:rPr>
          <w:sz w:val="22"/>
          <w:szCs w:val="22"/>
        </w:rPr>
        <w:t>or</w:t>
      </w:r>
      <w:r w:rsidRPr="004E4874">
        <w:rPr>
          <w:sz w:val="22"/>
          <w:szCs w:val="22"/>
        </w:rPr>
        <w:t xml:space="preserve"> impose any duties</w:t>
      </w:r>
      <w:r>
        <w:rPr>
          <w:sz w:val="22"/>
          <w:szCs w:val="22"/>
        </w:rPr>
        <w:t xml:space="preserve"> on an individual.</w:t>
      </w:r>
    </w:p>
    <w:p w14:paraId="5E11C98C" w14:textId="77777777" w:rsidR="00172250" w:rsidRDefault="00172250" w:rsidP="00172250">
      <w:pPr>
        <w:pStyle w:val="Header"/>
        <w:tabs>
          <w:tab w:val="clear" w:pos="4153"/>
          <w:tab w:val="clear" w:pos="8306"/>
        </w:tabs>
        <w:spacing w:after="200"/>
        <w:rPr>
          <w:sz w:val="22"/>
          <w:szCs w:val="22"/>
        </w:rPr>
      </w:pPr>
      <w:r w:rsidRPr="004E4874">
        <w:rPr>
          <w:sz w:val="22"/>
          <w:szCs w:val="22"/>
        </w:rPr>
        <w:t xml:space="preserve">Given that the legal effect of annual Appropriation Acts is limited in this way, </w:t>
      </w:r>
      <w:r>
        <w:rPr>
          <w:sz w:val="22"/>
          <w:szCs w:val="22"/>
        </w:rPr>
        <w:t>an</w:t>
      </w:r>
      <w:r w:rsidRPr="004E4874">
        <w:rPr>
          <w:sz w:val="22"/>
          <w:szCs w:val="22"/>
        </w:rPr>
        <w:t xml:space="preserve"> increase </w:t>
      </w:r>
      <w:r>
        <w:rPr>
          <w:sz w:val="22"/>
          <w:szCs w:val="22"/>
        </w:rPr>
        <w:t>to</w:t>
      </w:r>
      <w:r w:rsidRPr="004E4874">
        <w:rPr>
          <w:sz w:val="22"/>
          <w:szCs w:val="22"/>
        </w:rPr>
        <w:t xml:space="preserve"> amounts </w:t>
      </w:r>
      <w:r>
        <w:rPr>
          <w:sz w:val="22"/>
          <w:szCs w:val="22"/>
        </w:rPr>
        <w:t>appropriated in accordance</w:t>
      </w:r>
      <w:r w:rsidRPr="004E4874">
        <w:rPr>
          <w:sz w:val="22"/>
          <w:szCs w:val="22"/>
        </w:rPr>
        <w:t xml:space="preserve"> annual Appropriation Acts through </w:t>
      </w:r>
      <w:r>
        <w:rPr>
          <w:sz w:val="22"/>
          <w:szCs w:val="22"/>
        </w:rPr>
        <w:t>the AFM mechanism does not</w:t>
      </w:r>
      <w:r w:rsidRPr="004E4874">
        <w:rPr>
          <w:sz w:val="22"/>
          <w:szCs w:val="22"/>
        </w:rPr>
        <w:t xml:space="preserve"> engag</w:t>
      </w:r>
      <w:r>
        <w:rPr>
          <w:sz w:val="22"/>
          <w:szCs w:val="22"/>
        </w:rPr>
        <w:t>e</w:t>
      </w:r>
      <w:r w:rsidRPr="004E4874">
        <w:rPr>
          <w:sz w:val="22"/>
          <w:szCs w:val="22"/>
        </w:rPr>
        <w:t xml:space="preserve"> </w:t>
      </w:r>
      <w:r w:rsidRPr="004E4874">
        <w:rPr>
          <w:sz w:val="22"/>
          <w:szCs w:val="22"/>
        </w:rPr>
        <w:lastRenderedPageBreak/>
        <w:t xml:space="preserve">or otherwise affect </w:t>
      </w:r>
      <w:r>
        <w:rPr>
          <w:sz w:val="22"/>
          <w:szCs w:val="22"/>
        </w:rPr>
        <w:t xml:space="preserve">the human </w:t>
      </w:r>
      <w:r w:rsidRPr="004E4874">
        <w:rPr>
          <w:sz w:val="22"/>
          <w:szCs w:val="22"/>
        </w:rPr>
        <w:t xml:space="preserve">rights </w:t>
      </w:r>
      <w:r>
        <w:rPr>
          <w:sz w:val="22"/>
          <w:szCs w:val="22"/>
        </w:rPr>
        <w:t>described in</w:t>
      </w:r>
      <w:r w:rsidRPr="004E4874">
        <w:rPr>
          <w:sz w:val="22"/>
          <w:szCs w:val="22"/>
        </w:rPr>
        <w:t xml:space="preserve"> the </w:t>
      </w:r>
      <w:r w:rsidRPr="00FB156B">
        <w:rPr>
          <w:i/>
          <w:sz w:val="22"/>
          <w:szCs w:val="22"/>
        </w:rPr>
        <w:t>Human Rights (Parliamentary Scrutiny) Act 2011</w:t>
      </w:r>
      <w:r w:rsidRPr="004E4874">
        <w:rPr>
          <w:sz w:val="22"/>
          <w:szCs w:val="22"/>
        </w:rPr>
        <w:t>.</w:t>
      </w:r>
    </w:p>
    <w:p w14:paraId="6B6DECBA" w14:textId="77777777" w:rsidR="00172250" w:rsidRPr="004E4874" w:rsidRDefault="00172250" w:rsidP="00172250">
      <w:pPr>
        <w:pStyle w:val="Heading3"/>
        <w:rPr>
          <w:sz w:val="22"/>
          <w:szCs w:val="22"/>
        </w:rPr>
      </w:pPr>
      <w:r w:rsidRPr="004E4874">
        <w:rPr>
          <w:sz w:val="22"/>
          <w:szCs w:val="22"/>
        </w:rPr>
        <w:t>Consultation and Impact</w:t>
      </w:r>
    </w:p>
    <w:p w14:paraId="731F98D9" w14:textId="2E3947FF" w:rsidR="00172250" w:rsidRPr="00A6196C" w:rsidRDefault="00172250" w:rsidP="00172250">
      <w:pPr>
        <w:pStyle w:val="Header"/>
        <w:tabs>
          <w:tab w:val="clear" w:pos="4153"/>
          <w:tab w:val="clear" w:pos="8306"/>
        </w:tabs>
        <w:spacing w:after="200"/>
        <w:rPr>
          <w:sz w:val="22"/>
          <w:szCs w:val="22"/>
        </w:rPr>
      </w:pPr>
      <w:r w:rsidRPr="00112FD1">
        <w:rPr>
          <w:sz w:val="22"/>
          <w:szCs w:val="22"/>
        </w:rPr>
        <w:t xml:space="preserve">The </w:t>
      </w:r>
      <w:r w:rsidR="00F16E02">
        <w:rPr>
          <w:sz w:val="22"/>
          <w:szCs w:val="22"/>
        </w:rPr>
        <w:t>NRRA</w:t>
      </w:r>
      <w:r w:rsidRPr="00112FD1">
        <w:rPr>
          <w:sz w:val="22"/>
          <w:szCs w:val="22"/>
        </w:rPr>
        <w:t xml:space="preserve"> was consulted in the preparation of this determination in accordance with s</w:t>
      </w:r>
      <w:r w:rsidR="00E6208E">
        <w:rPr>
          <w:sz w:val="22"/>
          <w:szCs w:val="22"/>
        </w:rPr>
        <w:t xml:space="preserve"> </w:t>
      </w:r>
      <w:r w:rsidRPr="00112FD1">
        <w:rPr>
          <w:sz w:val="22"/>
          <w:szCs w:val="22"/>
        </w:rPr>
        <w:t>17 of the Legislation Act.</w:t>
      </w:r>
    </w:p>
    <w:p w14:paraId="1E37B1A6" w14:textId="289A1201" w:rsidR="00172250" w:rsidRPr="00A6196C" w:rsidRDefault="00172250" w:rsidP="00172250">
      <w:pPr>
        <w:pStyle w:val="Header"/>
        <w:tabs>
          <w:tab w:val="clear" w:pos="4153"/>
          <w:tab w:val="clear" w:pos="8306"/>
        </w:tabs>
        <w:spacing w:after="200"/>
        <w:rPr>
          <w:sz w:val="22"/>
          <w:szCs w:val="22"/>
        </w:rPr>
      </w:pPr>
      <w:r w:rsidRPr="00A6196C">
        <w:rPr>
          <w:sz w:val="22"/>
          <w:szCs w:val="22"/>
        </w:rPr>
        <w:t>This determination results in the amount specified in the administered item for Outcome </w:t>
      </w:r>
      <w:r w:rsidR="00160007">
        <w:rPr>
          <w:sz w:val="22"/>
          <w:szCs w:val="22"/>
        </w:rPr>
        <w:t>1</w:t>
      </w:r>
      <w:r w:rsidRPr="00A6196C">
        <w:rPr>
          <w:sz w:val="22"/>
          <w:szCs w:val="22"/>
        </w:rPr>
        <w:t xml:space="preserve"> for</w:t>
      </w:r>
      <w:r w:rsidR="00E6208E">
        <w:rPr>
          <w:sz w:val="22"/>
          <w:szCs w:val="22"/>
        </w:rPr>
        <w:t xml:space="preserve"> </w:t>
      </w:r>
      <w:r w:rsidR="00160007">
        <w:rPr>
          <w:sz w:val="22"/>
          <w:szCs w:val="22"/>
        </w:rPr>
        <w:t>NRRA</w:t>
      </w:r>
      <w:r w:rsidRPr="00A6196C">
        <w:rPr>
          <w:sz w:val="22"/>
          <w:szCs w:val="22"/>
        </w:rPr>
        <w:t>, as set out in Sch</w:t>
      </w:r>
      <w:r w:rsidR="005E7E11" w:rsidRPr="00A6196C">
        <w:rPr>
          <w:sz w:val="22"/>
          <w:szCs w:val="22"/>
        </w:rPr>
        <w:t>edule</w:t>
      </w:r>
      <w:r w:rsidRPr="00A6196C">
        <w:rPr>
          <w:sz w:val="22"/>
          <w:szCs w:val="22"/>
        </w:rPr>
        <w:t xml:space="preserve"> 2 to the Act, being increased by $</w:t>
      </w:r>
      <w:r w:rsidR="00F16E02">
        <w:rPr>
          <w:sz w:val="22"/>
          <w:szCs w:val="22"/>
        </w:rPr>
        <w:t>66</w:t>
      </w:r>
      <w:r w:rsidRPr="00A6196C">
        <w:rPr>
          <w:sz w:val="22"/>
          <w:szCs w:val="22"/>
        </w:rPr>
        <w:t>,000,000.</w:t>
      </w:r>
    </w:p>
    <w:sectPr w:rsidR="00172250" w:rsidRPr="00A6196C" w:rsidSect="00C55F51">
      <w:footerReference w:type="default" r:id="rId11"/>
      <w:footerReference w:type="first" r:id="rId12"/>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D7A42" w14:textId="77777777" w:rsidR="00987E85" w:rsidRDefault="00987E85">
      <w:r>
        <w:separator/>
      </w:r>
    </w:p>
  </w:endnote>
  <w:endnote w:type="continuationSeparator" w:id="0">
    <w:p w14:paraId="0B47E602" w14:textId="77777777" w:rsidR="00987E85" w:rsidRDefault="0098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14:paraId="73129E6D" w14:textId="0165E8E9"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F558A7">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F558A7">
              <w:rPr>
                <w:b/>
                <w:noProof/>
              </w:rPr>
              <w:t>2</w:t>
            </w:r>
            <w:r w:rsidR="00E83584">
              <w:rPr>
                <w:b/>
                <w:sz w:val="24"/>
                <w:szCs w:val="24"/>
              </w:rPr>
              <w:fldChar w:fldCharType="end"/>
            </w:r>
          </w:p>
        </w:sdtContent>
      </w:sdt>
    </w:sdtContent>
  </w:sdt>
  <w:p w14:paraId="2C54BFD9" w14:textId="77777777"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14:paraId="14D28FCD" w14:textId="1D79EF9B"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F558A7">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F558A7">
              <w:rPr>
                <w:b/>
                <w:noProof/>
              </w:rPr>
              <w:t>2</w:t>
            </w:r>
            <w:r w:rsidR="00E83584">
              <w:rPr>
                <w:b/>
                <w:sz w:val="24"/>
                <w:szCs w:val="24"/>
              </w:rPr>
              <w:fldChar w:fldCharType="end"/>
            </w:r>
          </w:p>
        </w:sdtContent>
      </w:sdt>
    </w:sdtContent>
  </w:sdt>
  <w:p w14:paraId="6CE36371" w14:textId="77777777"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DA30" w14:textId="77777777" w:rsidR="00987E85" w:rsidRDefault="00987E85">
      <w:r>
        <w:separator/>
      </w:r>
    </w:p>
  </w:footnote>
  <w:footnote w:type="continuationSeparator" w:id="0">
    <w:p w14:paraId="20415242" w14:textId="77777777" w:rsidR="00987E85" w:rsidRDefault="00987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4A4"/>
    <w:multiLevelType w:val="hybridMultilevel"/>
    <w:tmpl w:val="72D82E68"/>
    <w:lvl w:ilvl="0" w:tplc="47526C3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E6ABA"/>
    <w:multiLevelType w:val="hybridMultilevel"/>
    <w:tmpl w:val="3FA8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73984"/>
    <w:multiLevelType w:val="hybridMultilevel"/>
    <w:tmpl w:val="8FB6C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B0553"/>
    <w:multiLevelType w:val="hybridMultilevel"/>
    <w:tmpl w:val="E36EB7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9" w15:restartNumberingAfterBreak="0">
    <w:nsid w:val="5B9352DA"/>
    <w:multiLevelType w:val="multilevel"/>
    <w:tmpl w:val="77127C44"/>
    <w:numStyleLink w:val="Style1"/>
  </w:abstractNum>
  <w:abstractNum w:abstractNumId="20"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7"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1"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3"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3"/>
  </w:num>
  <w:num w:numId="4">
    <w:abstractNumId w:val="15"/>
  </w:num>
  <w:num w:numId="5">
    <w:abstractNumId w:val="21"/>
  </w:num>
  <w:num w:numId="6">
    <w:abstractNumId w:val="2"/>
  </w:num>
  <w:num w:numId="7">
    <w:abstractNumId w:val="23"/>
  </w:num>
  <w:num w:numId="8">
    <w:abstractNumId w:val="35"/>
  </w:num>
  <w:num w:numId="9">
    <w:abstractNumId w:val="22"/>
  </w:num>
  <w:num w:numId="10">
    <w:abstractNumId w:val="36"/>
  </w:num>
  <w:num w:numId="11">
    <w:abstractNumId w:val="13"/>
  </w:num>
  <w:num w:numId="12">
    <w:abstractNumId w:val="12"/>
  </w:num>
  <w:num w:numId="13">
    <w:abstractNumId w:val="16"/>
  </w:num>
  <w:num w:numId="14">
    <w:abstractNumId w:val="4"/>
  </w:num>
  <w:num w:numId="15">
    <w:abstractNumId w:val="27"/>
  </w:num>
  <w:num w:numId="16">
    <w:abstractNumId w:val="14"/>
  </w:num>
  <w:num w:numId="17">
    <w:abstractNumId w:val="24"/>
  </w:num>
  <w:num w:numId="18">
    <w:abstractNumId w:val="11"/>
  </w:num>
  <w:num w:numId="19">
    <w:abstractNumId w:val="28"/>
  </w:num>
  <w:num w:numId="20">
    <w:abstractNumId w:val="32"/>
  </w:num>
  <w:num w:numId="21">
    <w:abstractNumId w:val="31"/>
  </w:num>
  <w:num w:numId="22">
    <w:abstractNumId w:val="18"/>
  </w:num>
  <w:num w:numId="23">
    <w:abstractNumId w:val="29"/>
  </w:num>
  <w:num w:numId="24">
    <w:abstractNumId w:val="30"/>
  </w:num>
  <w:num w:numId="25">
    <w:abstractNumId w:val="25"/>
  </w:num>
  <w:num w:numId="26">
    <w:abstractNumId w:val="8"/>
  </w:num>
  <w:num w:numId="27">
    <w:abstractNumId w:val="34"/>
  </w:num>
  <w:num w:numId="28">
    <w:abstractNumId w:val="9"/>
  </w:num>
  <w:num w:numId="29">
    <w:abstractNumId w:val="20"/>
  </w:num>
  <w:num w:numId="30">
    <w:abstractNumId w:val="10"/>
  </w:num>
  <w:num w:numId="31">
    <w:abstractNumId w:val="3"/>
  </w:num>
  <w:num w:numId="32">
    <w:abstractNumId w:val="19"/>
  </w:num>
  <w:num w:numId="33">
    <w:abstractNumId w:val="26"/>
  </w:num>
  <w:num w:numId="34">
    <w:abstractNumId w:val="7"/>
  </w:num>
  <w:num w:numId="35">
    <w:abstractNumId w:val="6"/>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2BAF"/>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EBF"/>
    <w:rsid w:val="0006260C"/>
    <w:rsid w:val="00063BDE"/>
    <w:rsid w:val="00063E56"/>
    <w:rsid w:val="00064138"/>
    <w:rsid w:val="0006668B"/>
    <w:rsid w:val="00076D13"/>
    <w:rsid w:val="000902DE"/>
    <w:rsid w:val="0009155A"/>
    <w:rsid w:val="00092275"/>
    <w:rsid w:val="00095051"/>
    <w:rsid w:val="0009559B"/>
    <w:rsid w:val="000A1585"/>
    <w:rsid w:val="000A2E6A"/>
    <w:rsid w:val="000A6FF5"/>
    <w:rsid w:val="000B2BB3"/>
    <w:rsid w:val="000B4E21"/>
    <w:rsid w:val="000B5AD6"/>
    <w:rsid w:val="000B692D"/>
    <w:rsid w:val="000C38D9"/>
    <w:rsid w:val="000C4135"/>
    <w:rsid w:val="000C5287"/>
    <w:rsid w:val="000C61A9"/>
    <w:rsid w:val="000C7006"/>
    <w:rsid w:val="000D1956"/>
    <w:rsid w:val="000D339B"/>
    <w:rsid w:val="000E0589"/>
    <w:rsid w:val="000E0C20"/>
    <w:rsid w:val="000E3EA1"/>
    <w:rsid w:val="000F101F"/>
    <w:rsid w:val="000F29FA"/>
    <w:rsid w:val="00100667"/>
    <w:rsid w:val="001006F9"/>
    <w:rsid w:val="00100E2F"/>
    <w:rsid w:val="001020E8"/>
    <w:rsid w:val="00104D2F"/>
    <w:rsid w:val="00104D9B"/>
    <w:rsid w:val="0010633F"/>
    <w:rsid w:val="00112265"/>
    <w:rsid w:val="0011280F"/>
    <w:rsid w:val="00112FD1"/>
    <w:rsid w:val="00113216"/>
    <w:rsid w:val="00123EFB"/>
    <w:rsid w:val="001248A4"/>
    <w:rsid w:val="00124DFD"/>
    <w:rsid w:val="00125C71"/>
    <w:rsid w:val="00133880"/>
    <w:rsid w:val="00140444"/>
    <w:rsid w:val="0014174F"/>
    <w:rsid w:val="0014256B"/>
    <w:rsid w:val="00145585"/>
    <w:rsid w:val="00147D4B"/>
    <w:rsid w:val="00153E56"/>
    <w:rsid w:val="0015775E"/>
    <w:rsid w:val="00160007"/>
    <w:rsid w:val="00161257"/>
    <w:rsid w:val="00162C5E"/>
    <w:rsid w:val="00170661"/>
    <w:rsid w:val="00172250"/>
    <w:rsid w:val="0017703D"/>
    <w:rsid w:val="00177E8F"/>
    <w:rsid w:val="00181305"/>
    <w:rsid w:val="0018276C"/>
    <w:rsid w:val="00182FE7"/>
    <w:rsid w:val="00186B2D"/>
    <w:rsid w:val="001919E4"/>
    <w:rsid w:val="00196016"/>
    <w:rsid w:val="00197AD8"/>
    <w:rsid w:val="00197F7A"/>
    <w:rsid w:val="001A0A45"/>
    <w:rsid w:val="001A2C94"/>
    <w:rsid w:val="001A3E6B"/>
    <w:rsid w:val="001A5C39"/>
    <w:rsid w:val="001A7CE3"/>
    <w:rsid w:val="001B1FD5"/>
    <w:rsid w:val="001B2F6B"/>
    <w:rsid w:val="001B382E"/>
    <w:rsid w:val="001B3D6B"/>
    <w:rsid w:val="001B721B"/>
    <w:rsid w:val="001B7CB7"/>
    <w:rsid w:val="001C2471"/>
    <w:rsid w:val="001D0CF6"/>
    <w:rsid w:val="001D0E3B"/>
    <w:rsid w:val="001D2DDE"/>
    <w:rsid w:val="001D5936"/>
    <w:rsid w:val="001D7EBB"/>
    <w:rsid w:val="001E1FEC"/>
    <w:rsid w:val="001E2428"/>
    <w:rsid w:val="001E3D16"/>
    <w:rsid w:val="001E6DF8"/>
    <w:rsid w:val="001E777D"/>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1A95"/>
    <w:rsid w:val="00282B13"/>
    <w:rsid w:val="00282B66"/>
    <w:rsid w:val="00283985"/>
    <w:rsid w:val="00285CA0"/>
    <w:rsid w:val="0028773C"/>
    <w:rsid w:val="002903B6"/>
    <w:rsid w:val="00293BD2"/>
    <w:rsid w:val="00297A0E"/>
    <w:rsid w:val="002A2659"/>
    <w:rsid w:val="002B01F8"/>
    <w:rsid w:val="002B2473"/>
    <w:rsid w:val="002B29D5"/>
    <w:rsid w:val="002B30FE"/>
    <w:rsid w:val="002B496B"/>
    <w:rsid w:val="002B63AA"/>
    <w:rsid w:val="002C13D4"/>
    <w:rsid w:val="002C23F4"/>
    <w:rsid w:val="002C2C9C"/>
    <w:rsid w:val="002C3D79"/>
    <w:rsid w:val="002C6155"/>
    <w:rsid w:val="002C6468"/>
    <w:rsid w:val="002D0329"/>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4427"/>
    <w:rsid w:val="0031738C"/>
    <w:rsid w:val="003203A8"/>
    <w:rsid w:val="00320AEA"/>
    <w:rsid w:val="00320D91"/>
    <w:rsid w:val="003317F1"/>
    <w:rsid w:val="0034613F"/>
    <w:rsid w:val="003469AD"/>
    <w:rsid w:val="00354700"/>
    <w:rsid w:val="00364593"/>
    <w:rsid w:val="0036666F"/>
    <w:rsid w:val="00372533"/>
    <w:rsid w:val="00372B0B"/>
    <w:rsid w:val="003811B3"/>
    <w:rsid w:val="00381885"/>
    <w:rsid w:val="00383345"/>
    <w:rsid w:val="0038595E"/>
    <w:rsid w:val="00387EF7"/>
    <w:rsid w:val="00391AE1"/>
    <w:rsid w:val="00393F50"/>
    <w:rsid w:val="0039461B"/>
    <w:rsid w:val="0039731B"/>
    <w:rsid w:val="003A1D30"/>
    <w:rsid w:val="003A5972"/>
    <w:rsid w:val="003A5EAC"/>
    <w:rsid w:val="003B2426"/>
    <w:rsid w:val="003B35E7"/>
    <w:rsid w:val="003B43D3"/>
    <w:rsid w:val="003B59BB"/>
    <w:rsid w:val="003C2C49"/>
    <w:rsid w:val="003C4DCE"/>
    <w:rsid w:val="003C7B45"/>
    <w:rsid w:val="003C7C13"/>
    <w:rsid w:val="003D3AE3"/>
    <w:rsid w:val="003D702D"/>
    <w:rsid w:val="003F06FB"/>
    <w:rsid w:val="003F6F38"/>
    <w:rsid w:val="0040171D"/>
    <w:rsid w:val="004022AA"/>
    <w:rsid w:val="00402FD8"/>
    <w:rsid w:val="00411C32"/>
    <w:rsid w:val="00421747"/>
    <w:rsid w:val="00421DAC"/>
    <w:rsid w:val="00421DE2"/>
    <w:rsid w:val="00423BAD"/>
    <w:rsid w:val="00424619"/>
    <w:rsid w:val="004260F8"/>
    <w:rsid w:val="00426532"/>
    <w:rsid w:val="00430105"/>
    <w:rsid w:val="0043019F"/>
    <w:rsid w:val="00430626"/>
    <w:rsid w:val="00430D7B"/>
    <w:rsid w:val="00430E75"/>
    <w:rsid w:val="0043234B"/>
    <w:rsid w:val="0043396F"/>
    <w:rsid w:val="00433E8B"/>
    <w:rsid w:val="00434B14"/>
    <w:rsid w:val="004364AC"/>
    <w:rsid w:val="00437D0D"/>
    <w:rsid w:val="004459DA"/>
    <w:rsid w:val="0045109E"/>
    <w:rsid w:val="00453D35"/>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4218"/>
    <w:rsid w:val="004C599B"/>
    <w:rsid w:val="004C5C3C"/>
    <w:rsid w:val="004C6029"/>
    <w:rsid w:val="004C7D5F"/>
    <w:rsid w:val="004D0719"/>
    <w:rsid w:val="004D5DE2"/>
    <w:rsid w:val="004D7744"/>
    <w:rsid w:val="004D795E"/>
    <w:rsid w:val="004F031E"/>
    <w:rsid w:val="004F2250"/>
    <w:rsid w:val="004F2284"/>
    <w:rsid w:val="004F443E"/>
    <w:rsid w:val="005008DE"/>
    <w:rsid w:val="0050196E"/>
    <w:rsid w:val="00504B6C"/>
    <w:rsid w:val="00505CD9"/>
    <w:rsid w:val="00506201"/>
    <w:rsid w:val="005107F2"/>
    <w:rsid w:val="0051082A"/>
    <w:rsid w:val="0051596E"/>
    <w:rsid w:val="00516E58"/>
    <w:rsid w:val="00516E6A"/>
    <w:rsid w:val="0051738A"/>
    <w:rsid w:val="005176A5"/>
    <w:rsid w:val="00523FA5"/>
    <w:rsid w:val="00524053"/>
    <w:rsid w:val="005311B5"/>
    <w:rsid w:val="00532A4B"/>
    <w:rsid w:val="00534E8D"/>
    <w:rsid w:val="00536C1D"/>
    <w:rsid w:val="0054037F"/>
    <w:rsid w:val="005508AE"/>
    <w:rsid w:val="00550DF2"/>
    <w:rsid w:val="00550E0A"/>
    <w:rsid w:val="00555475"/>
    <w:rsid w:val="00563690"/>
    <w:rsid w:val="00565773"/>
    <w:rsid w:val="00565E43"/>
    <w:rsid w:val="00565FB7"/>
    <w:rsid w:val="005660A7"/>
    <w:rsid w:val="00566ACF"/>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C00BF"/>
    <w:rsid w:val="005C053E"/>
    <w:rsid w:val="005C1F47"/>
    <w:rsid w:val="005C40EB"/>
    <w:rsid w:val="005C47D2"/>
    <w:rsid w:val="005D3EC3"/>
    <w:rsid w:val="005D6039"/>
    <w:rsid w:val="005E7C9D"/>
    <w:rsid w:val="005E7E11"/>
    <w:rsid w:val="005F0757"/>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33FE"/>
    <w:rsid w:val="00645D46"/>
    <w:rsid w:val="00645F5E"/>
    <w:rsid w:val="00647AE9"/>
    <w:rsid w:val="00650F59"/>
    <w:rsid w:val="00651AB3"/>
    <w:rsid w:val="00651ED0"/>
    <w:rsid w:val="00653588"/>
    <w:rsid w:val="00654FB2"/>
    <w:rsid w:val="006561BE"/>
    <w:rsid w:val="00657510"/>
    <w:rsid w:val="0066293D"/>
    <w:rsid w:val="00665555"/>
    <w:rsid w:val="00666583"/>
    <w:rsid w:val="00666D9E"/>
    <w:rsid w:val="00670A86"/>
    <w:rsid w:val="00674699"/>
    <w:rsid w:val="006759B9"/>
    <w:rsid w:val="00681FEC"/>
    <w:rsid w:val="00683812"/>
    <w:rsid w:val="00683D7A"/>
    <w:rsid w:val="0068716F"/>
    <w:rsid w:val="00692C4D"/>
    <w:rsid w:val="00693C5D"/>
    <w:rsid w:val="006A6BBD"/>
    <w:rsid w:val="006A7162"/>
    <w:rsid w:val="006B2496"/>
    <w:rsid w:val="006B5D40"/>
    <w:rsid w:val="006C2384"/>
    <w:rsid w:val="006C646A"/>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790D"/>
    <w:rsid w:val="00703EE8"/>
    <w:rsid w:val="00704AB6"/>
    <w:rsid w:val="00710F9F"/>
    <w:rsid w:val="00712340"/>
    <w:rsid w:val="007139A4"/>
    <w:rsid w:val="00714333"/>
    <w:rsid w:val="0071716E"/>
    <w:rsid w:val="00717259"/>
    <w:rsid w:val="007176F0"/>
    <w:rsid w:val="00720946"/>
    <w:rsid w:val="007241F1"/>
    <w:rsid w:val="00724C29"/>
    <w:rsid w:val="007272F2"/>
    <w:rsid w:val="007302AA"/>
    <w:rsid w:val="007325C1"/>
    <w:rsid w:val="007361ED"/>
    <w:rsid w:val="00745B88"/>
    <w:rsid w:val="00745D72"/>
    <w:rsid w:val="0075255C"/>
    <w:rsid w:val="007535CD"/>
    <w:rsid w:val="007538B3"/>
    <w:rsid w:val="00761059"/>
    <w:rsid w:val="007645C5"/>
    <w:rsid w:val="007648C2"/>
    <w:rsid w:val="0076491E"/>
    <w:rsid w:val="00764955"/>
    <w:rsid w:val="00766F1B"/>
    <w:rsid w:val="00767335"/>
    <w:rsid w:val="00772A5B"/>
    <w:rsid w:val="00775CA6"/>
    <w:rsid w:val="00780275"/>
    <w:rsid w:val="007827D5"/>
    <w:rsid w:val="0078288C"/>
    <w:rsid w:val="0078297B"/>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681"/>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2F26"/>
    <w:rsid w:val="00823814"/>
    <w:rsid w:val="00823883"/>
    <w:rsid w:val="00824A1A"/>
    <w:rsid w:val="0082659A"/>
    <w:rsid w:val="00830EAD"/>
    <w:rsid w:val="00832A9D"/>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98C"/>
    <w:rsid w:val="00896D11"/>
    <w:rsid w:val="0089749B"/>
    <w:rsid w:val="008A7692"/>
    <w:rsid w:val="008B42FB"/>
    <w:rsid w:val="008B593E"/>
    <w:rsid w:val="008B6170"/>
    <w:rsid w:val="008B62B7"/>
    <w:rsid w:val="008B76D3"/>
    <w:rsid w:val="008C0696"/>
    <w:rsid w:val="008C2115"/>
    <w:rsid w:val="008C29C7"/>
    <w:rsid w:val="008C5565"/>
    <w:rsid w:val="008D22DC"/>
    <w:rsid w:val="008D63F3"/>
    <w:rsid w:val="008D76FA"/>
    <w:rsid w:val="008E7EA2"/>
    <w:rsid w:val="008F0A3F"/>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444D"/>
    <w:rsid w:val="00957A4C"/>
    <w:rsid w:val="00960BD6"/>
    <w:rsid w:val="00960F5E"/>
    <w:rsid w:val="0096276C"/>
    <w:rsid w:val="009630CF"/>
    <w:rsid w:val="009728FE"/>
    <w:rsid w:val="0097435D"/>
    <w:rsid w:val="00976513"/>
    <w:rsid w:val="0098053B"/>
    <w:rsid w:val="00982ED9"/>
    <w:rsid w:val="00984CA5"/>
    <w:rsid w:val="00987E85"/>
    <w:rsid w:val="00987F3B"/>
    <w:rsid w:val="00990148"/>
    <w:rsid w:val="0099250D"/>
    <w:rsid w:val="009940C6"/>
    <w:rsid w:val="00994359"/>
    <w:rsid w:val="009943E8"/>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E5771"/>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642"/>
    <w:rsid w:val="00A369D5"/>
    <w:rsid w:val="00A428F2"/>
    <w:rsid w:val="00A47645"/>
    <w:rsid w:val="00A5114A"/>
    <w:rsid w:val="00A51503"/>
    <w:rsid w:val="00A524C9"/>
    <w:rsid w:val="00A572D2"/>
    <w:rsid w:val="00A6196C"/>
    <w:rsid w:val="00A61B48"/>
    <w:rsid w:val="00A628CF"/>
    <w:rsid w:val="00A64145"/>
    <w:rsid w:val="00A67C95"/>
    <w:rsid w:val="00A7195F"/>
    <w:rsid w:val="00A73E2E"/>
    <w:rsid w:val="00A74AE2"/>
    <w:rsid w:val="00A75951"/>
    <w:rsid w:val="00A774FD"/>
    <w:rsid w:val="00A819A9"/>
    <w:rsid w:val="00A81F6A"/>
    <w:rsid w:val="00A828FA"/>
    <w:rsid w:val="00A8563A"/>
    <w:rsid w:val="00A92F6F"/>
    <w:rsid w:val="00A938E0"/>
    <w:rsid w:val="00A97BAC"/>
    <w:rsid w:val="00AA0A87"/>
    <w:rsid w:val="00AA13D2"/>
    <w:rsid w:val="00AA28CD"/>
    <w:rsid w:val="00AA2B1D"/>
    <w:rsid w:val="00AA3A07"/>
    <w:rsid w:val="00AB386E"/>
    <w:rsid w:val="00AB55DD"/>
    <w:rsid w:val="00AB7843"/>
    <w:rsid w:val="00AC102D"/>
    <w:rsid w:val="00AC4342"/>
    <w:rsid w:val="00AC4AE4"/>
    <w:rsid w:val="00AC59D0"/>
    <w:rsid w:val="00AD1F46"/>
    <w:rsid w:val="00AD336A"/>
    <w:rsid w:val="00AD63A0"/>
    <w:rsid w:val="00AD68A7"/>
    <w:rsid w:val="00AE1351"/>
    <w:rsid w:val="00AE2C86"/>
    <w:rsid w:val="00AF0B56"/>
    <w:rsid w:val="00AF1C03"/>
    <w:rsid w:val="00AF654A"/>
    <w:rsid w:val="00AF6A41"/>
    <w:rsid w:val="00AF78BA"/>
    <w:rsid w:val="00B0195F"/>
    <w:rsid w:val="00B13E0F"/>
    <w:rsid w:val="00B1584D"/>
    <w:rsid w:val="00B16696"/>
    <w:rsid w:val="00B17C4C"/>
    <w:rsid w:val="00B17F4C"/>
    <w:rsid w:val="00B2006C"/>
    <w:rsid w:val="00B23E57"/>
    <w:rsid w:val="00B2596B"/>
    <w:rsid w:val="00B26C31"/>
    <w:rsid w:val="00B36EF0"/>
    <w:rsid w:val="00B40404"/>
    <w:rsid w:val="00B40943"/>
    <w:rsid w:val="00B44178"/>
    <w:rsid w:val="00B4613A"/>
    <w:rsid w:val="00B47A0D"/>
    <w:rsid w:val="00B53522"/>
    <w:rsid w:val="00B5556C"/>
    <w:rsid w:val="00B55906"/>
    <w:rsid w:val="00B72A40"/>
    <w:rsid w:val="00B777EF"/>
    <w:rsid w:val="00B82CA5"/>
    <w:rsid w:val="00B8562B"/>
    <w:rsid w:val="00B91728"/>
    <w:rsid w:val="00B94841"/>
    <w:rsid w:val="00B948DF"/>
    <w:rsid w:val="00B95456"/>
    <w:rsid w:val="00BA0B8D"/>
    <w:rsid w:val="00BA4116"/>
    <w:rsid w:val="00BA5AA8"/>
    <w:rsid w:val="00BB1C99"/>
    <w:rsid w:val="00BB23CB"/>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D98"/>
    <w:rsid w:val="00C1586E"/>
    <w:rsid w:val="00C20806"/>
    <w:rsid w:val="00C21937"/>
    <w:rsid w:val="00C22DF4"/>
    <w:rsid w:val="00C2500C"/>
    <w:rsid w:val="00C2613A"/>
    <w:rsid w:val="00C310FB"/>
    <w:rsid w:val="00C34235"/>
    <w:rsid w:val="00C3697B"/>
    <w:rsid w:val="00C42EF8"/>
    <w:rsid w:val="00C430AD"/>
    <w:rsid w:val="00C441D0"/>
    <w:rsid w:val="00C517F3"/>
    <w:rsid w:val="00C5239A"/>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5A96"/>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099"/>
    <w:rsid w:val="00D271A8"/>
    <w:rsid w:val="00D27837"/>
    <w:rsid w:val="00D313A3"/>
    <w:rsid w:val="00D3235E"/>
    <w:rsid w:val="00D33E29"/>
    <w:rsid w:val="00D42D38"/>
    <w:rsid w:val="00D451D6"/>
    <w:rsid w:val="00D45F7E"/>
    <w:rsid w:val="00D468C8"/>
    <w:rsid w:val="00D47933"/>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7F7E"/>
    <w:rsid w:val="00DA3F69"/>
    <w:rsid w:val="00DA4D78"/>
    <w:rsid w:val="00DA7583"/>
    <w:rsid w:val="00DB54F7"/>
    <w:rsid w:val="00DB713C"/>
    <w:rsid w:val="00DC157D"/>
    <w:rsid w:val="00DC2AB7"/>
    <w:rsid w:val="00DC3D53"/>
    <w:rsid w:val="00DD06F0"/>
    <w:rsid w:val="00DD41BA"/>
    <w:rsid w:val="00DD560C"/>
    <w:rsid w:val="00DE0856"/>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6208E"/>
    <w:rsid w:val="00E6352F"/>
    <w:rsid w:val="00E65DD5"/>
    <w:rsid w:val="00E72B17"/>
    <w:rsid w:val="00E72E78"/>
    <w:rsid w:val="00E74B9F"/>
    <w:rsid w:val="00E764D3"/>
    <w:rsid w:val="00E83584"/>
    <w:rsid w:val="00E84816"/>
    <w:rsid w:val="00E90DE9"/>
    <w:rsid w:val="00E943E4"/>
    <w:rsid w:val="00E97340"/>
    <w:rsid w:val="00EA1E4C"/>
    <w:rsid w:val="00EA2099"/>
    <w:rsid w:val="00EA2E8F"/>
    <w:rsid w:val="00EB0ADD"/>
    <w:rsid w:val="00EC1454"/>
    <w:rsid w:val="00EC1C0A"/>
    <w:rsid w:val="00EC2104"/>
    <w:rsid w:val="00EC3CB4"/>
    <w:rsid w:val="00EC7262"/>
    <w:rsid w:val="00EE1A1F"/>
    <w:rsid w:val="00EE2807"/>
    <w:rsid w:val="00EE49BF"/>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1107"/>
    <w:rsid w:val="00F1222A"/>
    <w:rsid w:val="00F13EAA"/>
    <w:rsid w:val="00F1483A"/>
    <w:rsid w:val="00F15383"/>
    <w:rsid w:val="00F15F3B"/>
    <w:rsid w:val="00F16E02"/>
    <w:rsid w:val="00F1729C"/>
    <w:rsid w:val="00F3462B"/>
    <w:rsid w:val="00F3518E"/>
    <w:rsid w:val="00F362B9"/>
    <w:rsid w:val="00F37617"/>
    <w:rsid w:val="00F41325"/>
    <w:rsid w:val="00F41DAC"/>
    <w:rsid w:val="00F433FB"/>
    <w:rsid w:val="00F51CA7"/>
    <w:rsid w:val="00F5267F"/>
    <w:rsid w:val="00F52F30"/>
    <w:rsid w:val="00F53549"/>
    <w:rsid w:val="00F53752"/>
    <w:rsid w:val="00F558A7"/>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4650"/>
    <w:rsid w:val="00F74887"/>
    <w:rsid w:val="00F74C19"/>
    <w:rsid w:val="00F76553"/>
    <w:rsid w:val="00F76A0A"/>
    <w:rsid w:val="00F82549"/>
    <w:rsid w:val="00F8778B"/>
    <w:rsid w:val="00F90DB6"/>
    <w:rsid w:val="00F93C81"/>
    <w:rsid w:val="00F9475F"/>
    <w:rsid w:val="00F94F71"/>
    <w:rsid w:val="00FA62D0"/>
    <w:rsid w:val="00FB00B0"/>
    <w:rsid w:val="00FB156B"/>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01E"/>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19BEC77"/>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3E61DFFBD9C4BA16F213F6706EDA8" ma:contentTypeVersion="" ma:contentTypeDescription="PDMS Document Site Content Type" ma:contentTypeScope="" ma:versionID="adbcf6d8d4a2882520a2d1f58f3a768a">
  <xsd:schema xmlns:xsd="http://www.w3.org/2001/XMLSchema" xmlns:xs="http://www.w3.org/2001/XMLSchema" xmlns:p="http://schemas.microsoft.com/office/2006/metadata/properties" xmlns:ns2="EAAF29A3-9E3C-4F3D-ABC6-BA62F9A5A6BB" targetNamespace="http://schemas.microsoft.com/office/2006/metadata/properties" ma:root="true" ma:fieldsID="68a28774d6f974ca2c5ebc207630d2bf" ns2:_="">
    <xsd:import namespace="EAAF29A3-9E3C-4F3D-ABC6-BA62F9A5A6B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F29A3-9E3C-4F3D-ABC6-BA62F9A5A6B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AAF29A3-9E3C-4F3D-ABC6-BA62F9A5A6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A55B5-0B61-41F9-A820-07F489883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F29A3-9E3C-4F3D-ABC6-BA62F9A5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18740-E3F2-46B3-AA9C-04A3DC5E2F7C}">
  <ds:schemaRefs>
    <ds:schemaRef ds:uri="http://purl.org/dc/elements/1.1/"/>
    <ds:schemaRef ds:uri="http://schemas.microsoft.com/office/2006/metadata/properties"/>
    <ds:schemaRef ds:uri="http://purl.org/dc/terms/"/>
    <ds:schemaRef ds:uri="EAAF29A3-9E3C-4F3D-ABC6-BA62F9A5A6B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C05C97A-64B8-4EA5-BBAD-194C474D101E}">
  <ds:schemaRefs>
    <ds:schemaRef ds:uri="http://schemas.microsoft.com/sharepoint/v3/contenttype/forms"/>
  </ds:schemaRefs>
</ds:datastoreItem>
</file>

<file path=customXml/itemProps4.xml><?xml version="1.0" encoding="utf-8"?>
<ds:datastoreItem xmlns:ds="http://schemas.openxmlformats.org/officeDocument/2006/customXml" ds:itemID="{0EE97F1D-0679-4A3B-9256-BD8E4C49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3495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Wu, Bianca</cp:lastModifiedBy>
  <cp:revision>2</cp:revision>
  <cp:lastPrinted>2021-04-12T07:26:00Z</cp:lastPrinted>
  <dcterms:created xsi:type="dcterms:W3CDTF">2021-12-13T00:53:00Z</dcterms:created>
  <dcterms:modified xsi:type="dcterms:W3CDTF">2021-12-13T00:53:00Z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0x010100266966F133664895A6EE3632470D45F500EA73E61DFFBD9C4BA16F213F6706EDA8</vt:lpwstr>
  </property>
</Properties>
</file>