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795BA089"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6348D119" w14:textId="192A584A" w:rsidR="00D45DFF" w:rsidRDefault="00D45DFF" w:rsidP="000D0E22">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BE023E">
        <w:rPr>
          <w:rFonts w:ascii="Times New Roman" w:hAnsi="Times New Roman" w:cs="Times New Roman"/>
          <w:sz w:val="24"/>
          <w:szCs w:val="24"/>
          <w:u w:val="single"/>
        </w:rPr>
        <w:t>Minister for Resources and Water</w:t>
      </w:r>
    </w:p>
    <w:p w14:paraId="7B8A89BD" w14:textId="5B52AFC3" w:rsidR="000D0E22" w:rsidRPr="001A210F" w:rsidRDefault="00BE023E" w:rsidP="000D0E22">
      <w:pPr>
        <w:spacing w:before="240" w:after="240"/>
        <w:jc w:val="center"/>
        <w:rPr>
          <w:rFonts w:ascii="Times New Roman" w:hAnsi="Times New Roman" w:cs="Times New Roman"/>
          <w:i/>
          <w:sz w:val="24"/>
          <w:szCs w:val="24"/>
        </w:rPr>
      </w:pPr>
      <w:r w:rsidRPr="001A210F">
        <w:rPr>
          <w:rFonts w:ascii="Times New Roman" w:hAnsi="Times New Roman" w:cs="Times New Roman"/>
          <w:i/>
          <w:sz w:val="24"/>
          <w:szCs w:val="24"/>
        </w:rPr>
        <w:t xml:space="preserve">Offshore Petroleum and Greenhouse Gas Storage </w:t>
      </w:r>
      <w:r w:rsidR="00A91897" w:rsidRPr="001A210F">
        <w:rPr>
          <w:rFonts w:ascii="Times New Roman" w:hAnsi="Times New Roman" w:cs="Times New Roman"/>
          <w:i/>
          <w:sz w:val="24"/>
          <w:szCs w:val="24"/>
        </w:rPr>
        <w:t xml:space="preserve">(Regulatory Levies) Act </w:t>
      </w:r>
      <w:r w:rsidRPr="001A210F">
        <w:rPr>
          <w:rFonts w:ascii="Times New Roman" w:hAnsi="Times New Roman" w:cs="Times New Roman"/>
          <w:i/>
          <w:sz w:val="24"/>
          <w:szCs w:val="24"/>
        </w:rPr>
        <w:t>200</w:t>
      </w:r>
      <w:r w:rsidR="00A91897" w:rsidRPr="001A210F">
        <w:rPr>
          <w:rFonts w:ascii="Times New Roman" w:hAnsi="Times New Roman" w:cs="Times New Roman"/>
          <w:i/>
          <w:sz w:val="24"/>
          <w:szCs w:val="24"/>
        </w:rPr>
        <w:t>3</w:t>
      </w:r>
    </w:p>
    <w:p w14:paraId="0CD319D0" w14:textId="4952FD55" w:rsidR="000D0E22" w:rsidRPr="001A210F" w:rsidRDefault="00BE023E" w:rsidP="000D0E22">
      <w:pPr>
        <w:spacing w:before="240" w:after="240"/>
        <w:jc w:val="center"/>
        <w:rPr>
          <w:rFonts w:ascii="Times New Roman" w:hAnsi="Times New Roman" w:cs="Times New Roman"/>
          <w:i/>
          <w:sz w:val="24"/>
          <w:szCs w:val="24"/>
        </w:rPr>
      </w:pPr>
      <w:r w:rsidRPr="001A210F">
        <w:rPr>
          <w:rFonts w:ascii="Times New Roman" w:hAnsi="Times New Roman" w:cs="Times New Roman"/>
          <w:i/>
          <w:sz w:val="24"/>
          <w:szCs w:val="24"/>
        </w:rPr>
        <w:t xml:space="preserve">Offshore Petroleum and Greenhouse Gas Storage (Regulatory Levies) Amendment </w:t>
      </w:r>
      <w:r w:rsidR="003A604B" w:rsidRPr="001A210F">
        <w:rPr>
          <w:rFonts w:ascii="Times New Roman" w:hAnsi="Times New Roman" w:cs="Times New Roman"/>
          <w:i/>
          <w:sz w:val="24"/>
          <w:szCs w:val="24"/>
        </w:rPr>
        <w:t xml:space="preserve">(Titles Administration) </w:t>
      </w:r>
      <w:r w:rsidR="00755EB1" w:rsidRPr="001A210F">
        <w:rPr>
          <w:rFonts w:ascii="Times New Roman" w:hAnsi="Times New Roman" w:cs="Times New Roman"/>
          <w:i/>
          <w:sz w:val="24"/>
          <w:szCs w:val="24"/>
        </w:rPr>
        <w:t>Regulations</w:t>
      </w:r>
      <w:r w:rsidRPr="001A210F">
        <w:rPr>
          <w:rFonts w:ascii="Times New Roman" w:hAnsi="Times New Roman" w:cs="Times New Roman"/>
          <w:i/>
          <w:sz w:val="24"/>
          <w:szCs w:val="24"/>
        </w:rPr>
        <w:t xml:space="preserve"> 2021</w:t>
      </w:r>
    </w:p>
    <w:p w14:paraId="199207AC"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1F846264" w14:textId="6CBB8AD3" w:rsidR="005B4EFA" w:rsidRDefault="005B4EFA" w:rsidP="00413948">
      <w:pPr>
        <w:spacing w:before="120" w:after="120"/>
        <w:rPr>
          <w:rFonts w:ascii="Times New Roman" w:hAnsi="Times New Roman" w:cs="Times New Roman"/>
          <w:sz w:val="24"/>
          <w:szCs w:val="24"/>
        </w:rPr>
      </w:pPr>
      <w:r>
        <w:rPr>
          <w:rFonts w:ascii="Times New Roman" w:hAnsi="Times New Roman" w:cs="Times New Roman"/>
          <w:sz w:val="24"/>
          <w:szCs w:val="24"/>
        </w:rPr>
        <w:t xml:space="preserve">Petroleum and greenhouse gas activities and titles are regulated under the </w:t>
      </w:r>
      <w:r w:rsidRPr="00BE023E">
        <w:rPr>
          <w:rFonts w:ascii="Times New Roman" w:hAnsi="Times New Roman" w:cs="Times New Roman"/>
          <w:i/>
          <w:sz w:val="24"/>
          <w:szCs w:val="24"/>
        </w:rPr>
        <w:t>Offshore Petroleum and Greenhouse Gas Storage Act 2006</w:t>
      </w:r>
      <w:r>
        <w:rPr>
          <w:rFonts w:ascii="Times New Roman" w:hAnsi="Times New Roman" w:cs="Times New Roman"/>
          <w:sz w:val="24"/>
          <w:szCs w:val="24"/>
        </w:rPr>
        <w:t xml:space="preserve"> (the OPGGS Act)</w:t>
      </w:r>
      <w:r w:rsidR="00080890">
        <w:rPr>
          <w:rFonts w:ascii="Times New Roman" w:hAnsi="Times New Roman" w:cs="Times New Roman"/>
          <w:sz w:val="24"/>
          <w:szCs w:val="24"/>
        </w:rPr>
        <w:t>,</w:t>
      </w:r>
      <w:r>
        <w:rPr>
          <w:rFonts w:ascii="Times New Roman" w:hAnsi="Times New Roman" w:cs="Times New Roman"/>
          <w:sz w:val="24"/>
          <w:szCs w:val="24"/>
        </w:rPr>
        <w:t xml:space="preserve"> and t</w:t>
      </w:r>
      <w:r w:rsidR="00413948" w:rsidRPr="00BE023E">
        <w:rPr>
          <w:rFonts w:ascii="Times New Roman" w:hAnsi="Times New Roman" w:cs="Times New Roman"/>
          <w:sz w:val="24"/>
          <w:szCs w:val="24"/>
        </w:rPr>
        <w:t xml:space="preserve">he </w:t>
      </w:r>
      <w:r w:rsidR="00413948" w:rsidRPr="00BE023E">
        <w:rPr>
          <w:rFonts w:ascii="Times New Roman" w:hAnsi="Times New Roman" w:cs="Times New Roman"/>
          <w:i/>
          <w:sz w:val="24"/>
          <w:szCs w:val="24"/>
        </w:rPr>
        <w:t>Offshore Petroleum and Greenhouse Gas Storage (Regulatory Levies) Act 2003</w:t>
      </w:r>
      <w:r w:rsidR="00413948" w:rsidRPr="00BE023E">
        <w:rPr>
          <w:rFonts w:ascii="Times New Roman" w:hAnsi="Times New Roman" w:cs="Times New Roman"/>
          <w:sz w:val="24"/>
          <w:szCs w:val="24"/>
        </w:rPr>
        <w:t xml:space="preserve"> (the Levies Act) provides for the imposition of levies in relation to offshore petroleum and greenhouse gas </w:t>
      </w:r>
      <w:r w:rsidR="00413948">
        <w:rPr>
          <w:rFonts w:ascii="Times New Roman" w:hAnsi="Times New Roman" w:cs="Times New Roman"/>
          <w:sz w:val="24"/>
          <w:szCs w:val="24"/>
        </w:rPr>
        <w:t>activities</w:t>
      </w:r>
      <w:r w:rsidR="00B045F0">
        <w:rPr>
          <w:rFonts w:ascii="Times New Roman" w:hAnsi="Times New Roman" w:cs="Times New Roman"/>
          <w:sz w:val="24"/>
          <w:szCs w:val="24"/>
        </w:rPr>
        <w:t xml:space="preserve"> or titles</w:t>
      </w:r>
      <w:r w:rsidR="00413948">
        <w:rPr>
          <w:rFonts w:ascii="Times New Roman" w:hAnsi="Times New Roman" w:cs="Times New Roman"/>
          <w:sz w:val="24"/>
          <w:szCs w:val="24"/>
        </w:rPr>
        <w:t xml:space="preserve">. </w:t>
      </w:r>
    </w:p>
    <w:p w14:paraId="1882730A" w14:textId="77777777" w:rsidR="005B4EFA" w:rsidRPr="00BE023E" w:rsidRDefault="005B4EFA" w:rsidP="005B4EFA">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BE023E">
        <w:rPr>
          <w:rFonts w:ascii="Times New Roman" w:hAnsi="Times New Roman" w:cs="Times New Roman"/>
          <w:i/>
          <w:sz w:val="24"/>
          <w:szCs w:val="24"/>
        </w:rPr>
        <w:t xml:space="preserve">Offshore Petroleum and Greenhouse Gas Storage (Regulatory Levies) Regulations 2004 </w:t>
      </w:r>
      <w:r>
        <w:rPr>
          <w:rFonts w:ascii="Times New Roman" w:hAnsi="Times New Roman" w:cs="Times New Roman"/>
          <w:sz w:val="24"/>
          <w:szCs w:val="24"/>
        </w:rPr>
        <w:t>(the Levies Regulations) provide for the amounts of levies imposed by the Levies Act, and set out when levies are due and payable.</w:t>
      </w:r>
    </w:p>
    <w:p w14:paraId="6F13713B" w14:textId="34BF4CA7" w:rsidR="00762103" w:rsidRDefault="00762103" w:rsidP="00413948">
      <w:pPr>
        <w:spacing w:before="120" w:after="120"/>
        <w:rPr>
          <w:rFonts w:ascii="Times New Roman" w:hAnsi="Times New Roman" w:cs="Times New Roman"/>
          <w:sz w:val="24"/>
          <w:szCs w:val="24"/>
        </w:rPr>
      </w:pPr>
      <w:r w:rsidRPr="00BE023E">
        <w:rPr>
          <w:rFonts w:ascii="Times New Roman" w:hAnsi="Times New Roman" w:cs="Times New Roman"/>
          <w:sz w:val="24"/>
          <w:szCs w:val="24"/>
        </w:rPr>
        <w:t>The levies are collected by the National Offshore Petroleum Safety and Environmental Management Authority (NOPSEMA)</w:t>
      </w:r>
      <w:r>
        <w:rPr>
          <w:rFonts w:ascii="Times New Roman" w:hAnsi="Times New Roman" w:cs="Times New Roman"/>
          <w:sz w:val="24"/>
          <w:szCs w:val="24"/>
        </w:rPr>
        <w:t xml:space="preserve"> and</w:t>
      </w:r>
      <w:r w:rsidRPr="00BE023E">
        <w:rPr>
          <w:rFonts w:ascii="Times New Roman" w:hAnsi="Times New Roman" w:cs="Times New Roman"/>
          <w:sz w:val="24"/>
          <w:szCs w:val="24"/>
        </w:rPr>
        <w:t xml:space="preserve"> the National Offshore Petroleu</w:t>
      </w:r>
      <w:r>
        <w:rPr>
          <w:rFonts w:ascii="Times New Roman" w:hAnsi="Times New Roman" w:cs="Times New Roman"/>
          <w:sz w:val="24"/>
          <w:szCs w:val="24"/>
        </w:rPr>
        <w:t xml:space="preserve">m Titles Administrator (the Titles Administrator) </w:t>
      </w:r>
      <w:r w:rsidRPr="00BE023E">
        <w:rPr>
          <w:rFonts w:ascii="Times New Roman" w:hAnsi="Times New Roman" w:cs="Times New Roman"/>
          <w:sz w:val="24"/>
          <w:szCs w:val="24"/>
        </w:rPr>
        <w:t xml:space="preserve">to fund </w:t>
      </w:r>
      <w:r>
        <w:rPr>
          <w:rFonts w:ascii="Times New Roman" w:hAnsi="Times New Roman" w:cs="Times New Roman"/>
          <w:sz w:val="24"/>
          <w:szCs w:val="24"/>
        </w:rPr>
        <w:t>their</w:t>
      </w:r>
      <w:r w:rsidRPr="00BE023E">
        <w:rPr>
          <w:rFonts w:ascii="Times New Roman" w:hAnsi="Times New Roman" w:cs="Times New Roman"/>
          <w:sz w:val="24"/>
          <w:szCs w:val="24"/>
        </w:rPr>
        <w:t xml:space="preserve"> operations on a cost-recovery basis.</w:t>
      </w:r>
      <w:r>
        <w:rPr>
          <w:rFonts w:ascii="Times New Roman" w:hAnsi="Times New Roman" w:cs="Times New Roman"/>
          <w:sz w:val="24"/>
          <w:szCs w:val="24"/>
        </w:rPr>
        <w:t xml:space="preserve"> </w:t>
      </w:r>
    </w:p>
    <w:p w14:paraId="1734A0A9" w14:textId="6E8DA34A" w:rsidR="00B235B3" w:rsidRDefault="00033A0E" w:rsidP="000263AB">
      <w:pPr>
        <w:spacing w:before="120" w:after="120"/>
        <w:rPr>
          <w:rFonts w:ascii="Times New Roman" w:hAnsi="Times New Roman" w:cs="Times New Roman"/>
          <w:sz w:val="24"/>
          <w:szCs w:val="24"/>
        </w:rPr>
      </w:pPr>
      <w:r>
        <w:rPr>
          <w:rFonts w:ascii="Times New Roman" w:hAnsi="Times New Roman" w:cs="Times New Roman"/>
          <w:sz w:val="24"/>
          <w:szCs w:val="24"/>
        </w:rPr>
        <w:t xml:space="preserve">The purpose of the </w:t>
      </w:r>
      <w:r w:rsidRPr="009D78A0">
        <w:rPr>
          <w:rFonts w:ascii="Times New Roman" w:hAnsi="Times New Roman" w:cs="Times New Roman"/>
          <w:i/>
          <w:sz w:val="24"/>
          <w:szCs w:val="24"/>
        </w:rPr>
        <w:t xml:space="preserve">Offshore Petroleum and Greenhouse Gas Storage </w:t>
      </w:r>
      <w:r>
        <w:rPr>
          <w:rFonts w:ascii="Times New Roman" w:hAnsi="Times New Roman" w:cs="Times New Roman"/>
          <w:i/>
          <w:sz w:val="24"/>
          <w:szCs w:val="24"/>
        </w:rPr>
        <w:t>(Regulatory Levies) Amendment</w:t>
      </w:r>
      <w:r w:rsidRPr="009D78A0">
        <w:rPr>
          <w:rFonts w:ascii="Times New Roman" w:hAnsi="Times New Roman" w:cs="Times New Roman"/>
          <w:i/>
          <w:sz w:val="24"/>
          <w:szCs w:val="24"/>
        </w:rPr>
        <w:t xml:space="preserve"> (Titles Administration) Regulations 2021</w:t>
      </w:r>
      <w:r>
        <w:rPr>
          <w:rFonts w:ascii="Times New Roman" w:hAnsi="Times New Roman" w:cs="Times New Roman"/>
          <w:sz w:val="24"/>
          <w:szCs w:val="24"/>
        </w:rPr>
        <w:t xml:space="preserve"> (the Levies Amendment Regulations) is to amend the Levies Regulations to </w:t>
      </w:r>
      <w:r w:rsidR="009651F5">
        <w:rPr>
          <w:rFonts w:ascii="Times New Roman" w:hAnsi="Times New Roman" w:cs="Times New Roman"/>
          <w:sz w:val="24"/>
          <w:szCs w:val="24"/>
        </w:rPr>
        <w:t xml:space="preserve">fully implement amendments to the Levies Act that </w:t>
      </w:r>
      <w:r>
        <w:rPr>
          <w:rFonts w:ascii="Times New Roman" w:hAnsi="Times New Roman" w:cs="Times New Roman"/>
          <w:sz w:val="24"/>
          <w:szCs w:val="24"/>
        </w:rPr>
        <w:t xml:space="preserve">give effect to </w:t>
      </w:r>
      <w:r w:rsidR="00B045F0">
        <w:rPr>
          <w:rFonts w:ascii="Times New Roman" w:hAnsi="Times New Roman" w:cs="Times New Roman"/>
          <w:sz w:val="24"/>
          <w:szCs w:val="24"/>
        </w:rPr>
        <w:t xml:space="preserve">the </w:t>
      </w:r>
      <w:r>
        <w:rPr>
          <w:rFonts w:ascii="Times New Roman" w:hAnsi="Times New Roman" w:cs="Times New Roman"/>
          <w:sz w:val="24"/>
          <w:szCs w:val="24"/>
        </w:rPr>
        <w:t>trailing liability</w:t>
      </w:r>
      <w:r w:rsidR="00B045F0">
        <w:rPr>
          <w:rFonts w:ascii="Times New Roman" w:hAnsi="Times New Roman" w:cs="Times New Roman"/>
          <w:sz w:val="24"/>
          <w:szCs w:val="24"/>
        </w:rPr>
        <w:t xml:space="preserve"> measure</w:t>
      </w:r>
      <w:r w:rsidR="002851B9">
        <w:rPr>
          <w:rFonts w:ascii="Times New Roman" w:hAnsi="Times New Roman" w:cs="Times New Roman"/>
          <w:sz w:val="24"/>
          <w:szCs w:val="24"/>
        </w:rPr>
        <w:t xml:space="preserve"> in relation to cost recovery</w:t>
      </w:r>
      <w:r w:rsidR="00B045F0">
        <w:rPr>
          <w:rFonts w:ascii="Times New Roman" w:hAnsi="Times New Roman" w:cs="Times New Roman"/>
          <w:sz w:val="24"/>
          <w:szCs w:val="24"/>
        </w:rPr>
        <w:t xml:space="preserve">. </w:t>
      </w:r>
    </w:p>
    <w:p w14:paraId="5B461433" w14:textId="70E2AFA5" w:rsidR="002851B9" w:rsidRDefault="00B045F0" w:rsidP="000263AB">
      <w:pPr>
        <w:spacing w:before="120" w:after="120"/>
        <w:rPr>
          <w:rFonts w:ascii="Times New Roman" w:hAnsi="Times New Roman" w:cs="Times New Roman"/>
          <w:sz w:val="24"/>
          <w:szCs w:val="24"/>
        </w:rPr>
      </w:pPr>
      <w:r>
        <w:rPr>
          <w:rFonts w:ascii="Times New Roman" w:hAnsi="Times New Roman" w:cs="Times New Roman"/>
          <w:sz w:val="24"/>
          <w:szCs w:val="24"/>
        </w:rPr>
        <w:t>Th</w:t>
      </w:r>
      <w:r w:rsidR="00B235B3">
        <w:rPr>
          <w:rFonts w:ascii="Times New Roman" w:hAnsi="Times New Roman" w:cs="Times New Roman"/>
          <w:sz w:val="24"/>
          <w:szCs w:val="24"/>
        </w:rPr>
        <w:t>e</w:t>
      </w:r>
      <w:r>
        <w:rPr>
          <w:rFonts w:ascii="Times New Roman" w:hAnsi="Times New Roman" w:cs="Times New Roman"/>
          <w:sz w:val="24"/>
          <w:szCs w:val="24"/>
        </w:rPr>
        <w:t xml:space="preserve"> </w:t>
      </w:r>
      <w:r w:rsidR="00B235B3">
        <w:rPr>
          <w:rFonts w:ascii="Times New Roman" w:hAnsi="Times New Roman" w:cs="Times New Roman"/>
          <w:sz w:val="24"/>
          <w:szCs w:val="24"/>
        </w:rPr>
        <w:t xml:space="preserve">trailing liability </w:t>
      </w:r>
      <w:r>
        <w:rPr>
          <w:rFonts w:ascii="Times New Roman" w:hAnsi="Times New Roman" w:cs="Times New Roman"/>
          <w:sz w:val="24"/>
          <w:szCs w:val="24"/>
        </w:rPr>
        <w:t>measure</w:t>
      </w:r>
      <w:r w:rsidR="00033A0E">
        <w:rPr>
          <w:rFonts w:ascii="Times New Roman" w:hAnsi="Times New Roman" w:cs="Times New Roman"/>
          <w:sz w:val="24"/>
          <w:szCs w:val="24"/>
        </w:rPr>
        <w:t xml:space="preserve"> is provided </w:t>
      </w:r>
      <w:r w:rsidR="009B1053">
        <w:rPr>
          <w:rFonts w:ascii="Times New Roman" w:hAnsi="Times New Roman" w:cs="Times New Roman"/>
          <w:sz w:val="24"/>
          <w:szCs w:val="24"/>
        </w:rPr>
        <w:t xml:space="preserve">for </w:t>
      </w:r>
      <w:r w:rsidR="00033A0E">
        <w:rPr>
          <w:rFonts w:ascii="Times New Roman" w:hAnsi="Times New Roman" w:cs="Times New Roman"/>
          <w:sz w:val="24"/>
          <w:szCs w:val="24"/>
        </w:rPr>
        <w:t>by</w:t>
      </w:r>
      <w:r w:rsidR="002B0488">
        <w:rPr>
          <w:rFonts w:ascii="Times New Roman" w:hAnsi="Times New Roman" w:cs="Times New Roman"/>
          <w:sz w:val="24"/>
          <w:szCs w:val="24"/>
        </w:rPr>
        <w:t xml:space="preserve"> Schedule 2 </w:t>
      </w:r>
      <w:r w:rsidR="00A07A24">
        <w:rPr>
          <w:rFonts w:ascii="Times New Roman" w:hAnsi="Times New Roman" w:cs="Times New Roman"/>
          <w:sz w:val="24"/>
          <w:szCs w:val="24"/>
        </w:rPr>
        <w:t>to</w:t>
      </w:r>
      <w:r>
        <w:t xml:space="preserve"> </w:t>
      </w:r>
      <w:r w:rsidR="00413948" w:rsidRPr="000263AB">
        <w:rPr>
          <w:rFonts w:ascii="Times New Roman" w:hAnsi="Times New Roman" w:cs="Times New Roman"/>
          <w:sz w:val="24"/>
          <w:szCs w:val="24"/>
        </w:rPr>
        <w:t>the</w:t>
      </w:r>
      <w:r w:rsidR="00033A0E" w:rsidRPr="000263AB">
        <w:rPr>
          <w:rFonts w:ascii="Times New Roman" w:hAnsi="Times New Roman" w:cs="Times New Roman"/>
          <w:sz w:val="24"/>
          <w:szCs w:val="24"/>
        </w:rPr>
        <w:t xml:space="preserve"> </w:t>
      </w:r>
      <w:r w:rsidR="00033A0E" w:rsidRPr="000263AB">
        <w:rPr>
          <w:rFonts w:ascii="Times New Roman" w:hAnsi="Times New Roman" w:cs="Times New Roman"/>
          <w:i/>
          <w:sz w:val="24"/>
          <w:szCs w:val="24"/>
        </w:rPr>
        <w:t>Offshore Petroleum and Greenhouse Gas Storage Amendment (Titles Administration and Other Measures) Act 2021</w:t>
      </w:r>
      <w:r w:rsidR="00033A0E" w:rsidRPr="000263AB">
        <w:rPr>
          <w:rFonts w:ascii="Times New Roman" w:hAnsi="Times New Roman" w:cs="Times New Roman"/>
          <w:sz w:val="24"/>
          <w:szCs w:val="24"/>
        </w:rPr>
        <w:t xml:space="preserve"> (the Titles Administration Act</w:t>
      </w:r>
      <w:r w:rsidR="008B3E03">
        <w:rPr>
          <w:rFonts w:ascii="Times New Roman" w:hAnsi="Times New Roman" w:cs="Times New Roman"/>
          <w:sz w:val="24"/>
          <w:szCs w:val="24"/>
        </w:rPr>
        <w:t>. This measure</w:t>
      </w:r>
      <w:r w:rsidR="00B235B3">
        <w:rPr>
          <w:rFonts w:ascii="Times New Roman" w:hAnsi="Times New Roman" w:cs="Times New Roman"/>
          <w:sz w:val="24"/>
          <w:szCs w:val="24"/>
        </w:rPr>
        <w:t xml:space="preserve"> expand</w:t>
      </w:r>
      <w:r w:rsidR="00327CFE">
        <w:rPr>
          <w:rFonts w:ascii="Times New Roman" w:hAnsi="Times New Roman" w:cs="Times New Roman"/>
          <w:sz w:val="24"/>
          <w:szCs w:val="24"/>
        </w:rPr>
        <w:t>s</w:t>
      </w:r>
      <w:r w:rsidR="00B235B3">
        <w:rPr>
          <w:rFonts w:ascii="Times New Roman" w:hAnsi="Times New Roman" w:cs="Times New Roman"/>
          <w:sz w:val="24"/>
          <w:szCs w:val="24"/>
        </w:rPr>
        <w:t xml:space="preserve"> the </w:t>
      </w:r>
      <w:r w:rsidR="002851B9">
        <w:rPr>
          <w:rFonts w:ascii="Times New Roman" w:hAnsi="Times New Roman" w:cs="Times New Roman"/>
          <w:sz w:val="24"/>
          <w:szCs w:val="24"/>
        </w:rPr>
        <w:t xml:space="preserve">remedial directions </w:t>
      </w:r>
      <w:r w:rsidR="00B235B3">
        <w:rPr>
          <w:rFonts w:ascii="Times New Roman" w:hAnsi="Times New Roman" w:cs="Times New Roman"/>
          <w:sz w:val="24"/>
          <w:szCs w:val="24"/>
        </w:rPr>
        <w:t xml:space="preserve">powers of NOPSEMA and the responsible Commonwealth Minister by enabling </w:t>
      </w:r>
      <w:r w:rsidR="002851B9">
        <w:rPr>
          <w:rFonts w:ascii="Times New Roman" w:hAnsi="Times New Roman" w:cs="Times New Roman"/>
          <w:sz w:val="24"/>
          <w:szCs w:val="24"/>
        </w:rPr>
        <w:t>remedial</w:t>
      </w:r>
      <w:r w:rsidR="00B235B3">
        <w:rPr>
          <w:rFonts w:ascii="Times New Roman" w:hAnsi="Times New Roman" w:cs="Times New Roman"/>
          <w:sz w:val="24"/>
          <w:szCs w:val="24"/>
        </w:rPr>
        <w:t xml:space="preserve"> directions to be given to a broader range of persons </w:t>
      </w:r>
      <w:r w:rsidR="008B3E03">
        <w:rPr>
          <w:rFonts w:ascii="Times New Roman" w:hAnsi="Times New Roman" w:cs="Times New Roman"/>
          <w:sz w:val="24"/>
          <w:szCs w:val="24"/>
        </w:rPr>
        <w:t xml:space="preserve">to decommission infrastructure and remediate the marine environment in </w:t>
      </w:r>
      <w:r w:rsidR="00327CFE">
        <w:rPr>
          <w:rFonts w:ascii="Times New Roman" w:hAnsi="Times New Roman" w:cs="Times New Roman"/>
          <w:sz w:val="24"/>
          <w:szCs w:val="24"/>
        </w:rPr>
        <w:t>a</w:t>
      </w:r>
      <w:r w:rsidR="008B3E03">
        <w:rPr>
          <w:rFonts w:ascii="Times New Roman" w:hAnsi="Times New Roman" w:cs="Times New Roman"/>
          <w:sz w:val="24"/>
          <w:szCs w:val="24"/>
        </w:rPr>
        <w:t xml:space="preserve"> title</w:t>
      </w:r>
      <w:r w:rsidR="00327CFE">
        <w:rPr>
          <w:rFonts w:ascii="Times New Roman" w:hAnsi="Times New Roman" w:cs="Times New Roman"/>
          <w:sz w:val="24"/>
          <w:szCs w:val="24"/>
        </w:rPr>
        <w:t xml:space="preserve"> area if the current or immediate former titleholder is unable to do so (referred to as ‘trailing liability’)</w:t>
      </w:r>
      <w:r w:rsidR="00B235B3">
        <w:rPr>
          <w:rFonts w:ascii="Times New Roman" w:hAnsi="Times New Roman" w:cs="Times New Roman"/>
          <w:sz w:val="24"/>
          <w:szCs w:val="24"/>
        </w:rPr>
        <w:t xml:space="preserve">. </w:t>
      </w:r>
      <w:r w:rsidR="00327CFE">
        <w:rPr>
          <w:rFonts w:ascii="Times New Roman" w:hAnsi="Times New Roman" w:cs="Times New Roman"/>
          <w:sz w:val="24"/>
          <w:szCs w:val="24"/>
        </w:rPr>
        <w:t>The remedial directions powers are provided for in Part 6.4 of the OPGGS Act.</w:t>
      </w:r>
    </w:p>
    <w:p w14:paraId="71C24A09" w14:textId="2E5329B0" w:rsidR="00576728" w:rsidRDefault="00576728" w:rsidP="00583B89">
      <w:pPr>
        <w:spacing w:before="120" w:after="120"/>
        <w:rPr>
          <w:rFonts w:ascii="Times New Roman" w:hAnsi="Times New Roman" w:cs="Times New Roman"/>
          <w:sz w:val="24"/>
          <w:szCs w:val="24"/>
        </w:rPr>
      </w:pPr>
      <w:r>
        <w:rPr>
          <w:rFonts w:ascii="Times New Roman" w:hAnsi="Times New Roman" w:cs="Times New Roman"/>
          <w:sz w:val="24"/>
          <w:szCs w:val="24"/>
        </w:rPr>
        <w:t xml:space="preserve">Regulations made under the OPGGS Act are amended by the </w:t>
      </w:r>
      <w:r>
        <w:rPr>
          <w:rFonts w:ascii="Times New Roman" w:hAnsi="Times New Roman" w:cs="Times New Roman"/>
          <w:i/>
          <w:sz w:val="24"/>
          <w:szCs w:val="24"/>
        </w:rPr>
        <w:t>Offshore Petroleum and Greenhouse Gas Storage Legislation Amendment (Titles Administration) Regulations 2021</w:t>
      </w:r>
      <w:r>
        <w:rPr>
          <w:rFonts w:ascii="Times New Roman" w:hAnsi="Times New Roman" w:cs="Times New Roman"/>
          <w:sz w:val="24"/>
          <w:szCs w:val="24"/>
        </w:rPr>
        <w:t xml:space="preserve"> (the Titles Administration Regulations) to require a person who is subject to a remedial direction to have in place and comply with an environment plan, a well operations management plan and a safety case (as applicable) for activities undertaken to comply with the direction. </w:t>
      </w:r>
      <w:r w:rsidR="00691CA6">
        <w:rPr>
          <w:rFonts w:ascii="Times New Roman" w:hAnsi="Times New Roman" w:cs="Times New Roman"/>
          <w:sz w:val="24"/>
          <w:szCs w:val="24"/>
        </w:rPr>
        <w:t>T</w:t>
      </w:r>
      <w:r w:rsidR="004A4AEB">
        <w:rPr>
          <w:rFonts w:ascii="Times New Roman" w:hAnsi="Times New Roman" w:cs="Times New Roman"/>
          <w:sz w:val="24"/>
          <w:szCs w:val="24"/>
        </w:rPr>
        <w:t xml:space="preserve">he </w:t>
      </w:r>
      <w:r w:rsidR="00D47277" w:rsidRPr="000263AB">
        <w:rPr>
          <w:rFonts w:ascii="Times New Roman" w:hAnsi="Times New Roman" w:cs="Times New Roman"/>
          <w:i/>
          <w:sz w:val="24"/>
          <w:szCs w:val="24"/>
        </w:rPr>
        <w:t>Offshore Petroleum and Greenhouse Gas Storage (Regulatory Levies) Amendment Act 2021</w:t>
      </w:r>
      <w:r w:rsidR="00D47277">
        <w:rPr>
          <w:rFonts w:ascii="Times New Roman" w:hAnsi="Times New Roman" w:cs="Times New Roman"/>
          <w:sz w:val="24"/>
          <w:szCs w:val="24"/>
        </w:rPr>
        <w:t xml:space="preserve"> (the </w:t>
      </w:r>
      <w:r w:rsidR="004A4AEB">
        <w:rPr>
          <w:rFonts w:ascii="Times New Roman" w:hAnsi="Times New Roman" w:cs="Times New Roman"/>
          <w:sz w:val="24"/>
          <w:szCs w:val="24"/>
        </w:rPr>
        <w:t>Levies Amendment Act</w:t>
      </w:r>
      <w:r w:rsidR="00D47277">
        <w:rPr>
          <w:rFonts w:ascii="Times New Roman" w:hAnsi="Times New Roman" w:cs="Times New Roman"/>
          <w:sz w:val="24"/>
          <w:szCs w:val="24"/>
        </w:rPr>
        <w:t>)</w:t>
      </w:r>
      <w:r w:rsidR="004A4AEB">
        <w:rPr>
          <w:rFonts w:ascii="Times New Roman" w:hAnsi="Times New Roman" w:cs="Times New Roman"/>
          <w:sz w:val="24"/>
          <w:szCs w:val="24"/>
        </w:rPr>
        <w:t xml:space="preserve"> </w:t>
      </w:r>
      <w:r w:rsidR="00691CA6">
        <w:rPr>
          <w:rFonts w:ascii="Times New Roman" w:hAnsi="Times New Roman" w:cs="Times New Roman"/>
          <w:sz w:val="24"/>
          <w:szCs w:val="24"/>
        </w:rPr>
        <w:t>a</w:t>
      </w:r>
      <w:bookmarkStart w:id="0" w:name="_GoBack"/>
      <w:bookmarkEnd w:id="0"/>
      <w:r w:rsidR="00691CA6">
        <w:rPr>
          <w:rFonts w:ascii="Times New Roman" w:hAnsi="Times New Roman" w:cs="Times New Roman"/>
          <w:sz w:val="24"/>
          <w:szCs w:val="24"/>
        </w:rPr>
        <w:t>mends the Levies Act to ensure</w:t>
      </w:r>
      <w:r w:rsidR="004A4AEB" w:rsidRPr="004A4AEB">
        <w:rPr>
          <w:rFonts w:ascii="Times New Roman" w:hAnsi="Times New Roman" w:cs="Times New Roman"/>
          <w:sz w:val="24"/>
          <w:szCs w:val="24"/>
        </w:rPr>
        <w:t xml:space="preserve"> that</w:t>
      </w:r>
      <w:r w:rsidR="004A4AEB">
        <w:rPr>
          <w:rFonts w:ascii="Times New Roman" w:hAnsi="Times New Roman" w:cs="Times New Roman"/>
          <w:sz w:val="24"/>
          <w:szCs w:val="24"/>
        </w:rPr>
        <w:t>,</w:t>
      </w:r>
      <w:r w:rsidR="004A4AEB" w:rsidRPr="004A4AEB">
        <w:rPr>
          <w:rFonts w:ascii="Times New Roman" w:hAnsi="Times New Roman" w:cs="Times New Roman"/>
          <w:sz w:val="24"/>
          <w:szCs w:val="24"/>
        </w:rPr>
        <w:t xml:space="preserve"> if a person who is subject to a remedial direction submits an </w:t>
      </w:r>
      <w:r w:rsidR="00D47277">
        <w:rPr>
          <w:rFonts w:ascii="Times New Roman" w:hAnsi="Times New Roman" w:cs="Times New Roman"/>
          <w:sz w:val="24"/>
          <w:szCs w:val="24"/>
        </w:rPr>
        <w:t>environment plan</w:t>
      </w:r>
      <w:r w:rsidR="004A4AEB" w:rsidRPr="004A4AEB">
        <w:rPr>
          <w:rFonts w:ascii="Times New Roman" w:hAnsi="Times New Roman" w:cs="Times New Roman"/>
          <w:sz w:val="24"/>
          <w:szCs w:val="24"/>
        </w:rPr>
        <w:t xml:space="preserve"> </w:t>
      </w:r>
      <w:r w:rsidR="007D611C">
        <w:rPr>
          <w:rFonts w:ascii="Times New Roman" w:hAnsi="Times New Roman" w:cs="Times New Roman"/>
          <w:sz w:val="24"/>
          <w:szCs w:val="24"/>
        </w:rPr>
        <w:t xml:space="preserve">or </w:t>
      </w:r>
      <w:r w:rsidR="004A4AEB" w:rsidRPr="004A4AEB">
        <w:rPr>
          <w:rFonts w:ascii="Times New Roman" w:hAnsi="Times New Roman" w:cs="Times New Roman"/>
          <w:sz w:val="24"/>
          <w:szCs w:val="24"/>
        </w:rPr>
        <w:t xml:space="preserve">a </w:t>
      </w:r>
      <w:r w:rsidR="00D47277">
        <w:rPr>
          <w:rFonts w:ascii="Times New Roman" w:hAnsi="Times New Roman" w:cs="Times New Roman"/>
          <w:sz w:val="24"/>
          <w:szCs w:val="24"/>
        </w:rPr>
        <w:t>well operations management</w:t>
      </w:r>
      <w:r w:rsidR="00D47277" w:rsidRPr="004A4AEB">
        <w:rPr>
          <w:rFonts w:ascii="Times New Roman" w:hAnsi="Times New Roman" w:cs="Times New Roman"/>
          <w:sz w:val="24"/>
          <w:szCs w:val="24"/>
        </w:rPr>
        <w:t xml:space="preserve"> </w:t>
      </w:r>
      <w:r w:rsidR="009B1053">
        <w:rPr>
          <w:rFonts w:ascii="Times New Roman" w:hAnsi="Times New Roman" w:cs="Times New Roman"/>
          <w:sz w:val="24"/>
          <w:szCs w:val="24"/>
        </w:rPr>
        <w:t>plan</w:t>
      </w:r>
      <w:r w:rsidR="001763CB">
        <w:rPr>
          <w:rFonts w:ascii="Times New Roman" w:hAnsi="Times New Roman" w:cs="Times New Roman"/>
          <w:sz w:val="24"/>
          <w:szCs w:val="24"/>
        </w:rPr>
        <w:t xml:space="preserve"> </w:t>
      </w:r>
      <w:r w:rsidR="004A4AEB" w:rsidRPr="004A4AEB">
        <w:rPr>
          <w:rFonts w:ascii="Times New Roman" w:hAnsi="Times New Roman" w:cs="Times New Roman"/>
          <w:sz w:val="24"/>
          <w:szCs w:val="24"/>
        </w:rPr>
        <w:t xml:space="preserve">to NOPSEMA, </w:t>
      </w:r>
      <w:r w:rsidR="00D47277">
        <w:rPr>
          <w:rFonts w:ascii="Times New Roman" w:hAnsi="Times New Roman" w:cs="Times New Roman"/>
          <w:sz w:val="24"/>
          <w:szCs w:val="24"/>
        </w:rPr>
        <w:t>the</w:t>
      </w:r>
      <w:r w:rsidR="00D47277" w:rsidRPr="004A4AEB">
        <w:rPr>
          <w:rFonts w:ascii="Times New Roman" w:hAnsi="Times New Roman" w:cs="Times New Roman"/>
          <w:sz w:val="24"/>
          <w:szCs w:val="24"/>
        </w:rPr>
        <w:t xml:space="preserve"> </w:t>
      </w:r>
      <w:r w:rsidR="004A4AEB" w:rsidRPr="004A4AEB">
        <w:rPr>
          <w:rFonts w:ascii="Times New Roman" w:hAnsi="Times New Roman" w:cs="Times New Roman"/>
          <w:sz w:val="24"/>
          <w:szCs w:val="24"/>
        </w:rPr>
        <w:t xml:space="preserve">person is required to pay environment plan levy </w:t>
      </w:r>
      <w:r w:rsidR="007D611C">
        <w:rPr>
          <w:rFonts w:ascii="Times New Roman" w:hAnsi="Times New Roman" w:cs="Times New Roman"/>
          <w:sz w:val="24"/>
          <w:szCs w:val="24"/>
        </w:rPr>
        <w:t xml:space="preserve">or </w:t>
      </w:r>
      <w:r w:rsidR="004A4AEB" w:rsidRPr="004A4AEB">
        <w:rPr>
          <w:rFonts w:ascii="Times New Roman" w:hAnsi="Times New Roman" w:cs="Times New Roman"/>
          <w:sz w:val="24"/>
          <w:szCs w:val="24"/>
        </w:rPr>
        <w:t xml:space="preserve">well </w:t>
      </w:r>
      <w:r w:rsidR="00691CA6">
        <w:rPr>
          <w:rFonts w:ascii="Times New Roman" w:hAnsi="Times New Roman" w:cs="Times New Roman"/>
          <w:sz w:val="24"/>
          <w:szCs w:val="24"/>
        </w:rPr>
        <w:t>activity levy</w:t>
      </w:r>
      <w:r w:rsidR="001763CB">
        <w:rPr>
          <w:rFonts w:ascii="Times New Roman" w:hAnsi="Times New Roman" w:cs="Times New Roman"/>
          <w:sz w:val="24"/>
          <w:szCs w:val="24"/>
        </w:rPr>
        <w:t xml:space="preserve"> (as applicable)</w:t>
      </w:r>
      <w:r w:rsidR="00691CA6">
        <w:rPr>
          <w:rFonts w:ascii="Times New Roman" w:hAnsi="Times New Roman" w:cs="Times New Roman"/>
          <w:sz w:val="24"/>
          <w:szCs w:val="24"/>
        </w:rPr>
        <w:t xml:space="preserve">. </w:t>
      </w:r>
      <w:r w:rsidR="007D611C" w:rsidRPr="007D611C">
        <w:rPr>
          <w:rFonts w:ascii="Times New Roman" w:hAnsi="Times New Roman" w:cs="Times New Roman"/>
          <w:sz w:val="24"/>
          <w:szCs w:val="24"/>
        </w:rPr>
        <w:t xml:space="preserve">The Levies Amendment Act also ensures that safety </w:t>
      </w:r>
      <w:r w:rsidR="007D611C" w:rsidRPr="007D611C">
        <w:rPr>
          <w:rFonts w:ascii="Times New Roman" w:hAnsi="Times New Roman" w:cs="Times New Roman"/>
          <w:sz w:val="24"/>
          <w:szCs w:val="24"/>
        </w:rPr>
        <w:lastRenderedPageBreak/>
        <w:t>case levies imposed on safety cases in force for a pipeline to which a remedial direction applies are payable by the person who is subject to the remedial direction, whether that is the pipeline licensee or another person.</w:t>
      </w:r>
    </w:p>
    <w:p w14:paraId="05D03B56" w14:textId="765884B9" w:rsidR="00576728" w:rsidRDefault="009B1053" w:rsidP="00583B89">
      <w:pPr>
        <w:spacing w:before="120" w:after="120"/>
        <w:rPr>
          <w:rFonts w:ascii="Times New Roman" w:hAnsi="Times New Roman" w:cs="Times New Roman"/>
          <w:sz w:val="24"/>
          <w:szCs w:val="24"/>
        </w:rPr>
      </w:pPr>
      <w:r>
        <w:rPr>
          <w:rFonts w:ascii="Times New Roman" w:hAnsi="Times New Roman" w:cs="Times New Roman"/>
          <w:sz w:val="24"/>
          <w:szCs w:val="24"/>
        </w:rPr>
        <w:t xml:space="preserve">The Levies Amendment Regulations amend the </w:t>
      </w:r>
      <w:r w:rsidR="00046E7F">
        <w:rPr>
          <w:rFonts w:ascii="Times New Roman" w:hAnsi="Times New Roman" w:cs="Times New Roman"/>
          <w:sz w:val="24"/>
          <w:szCs w:val="24"/>
        </w:rPr>
        <w:t xml:space="preserve">Levies Regulations as a consequence of the amendments made by the Levies Amendment Act. In particular, the amendments provide for the manner in which the Levies Regulations apply </w:t>
      </w:r>
      <w:r w:rsidR="009651F5">
        <w:rPr>
          <w:rFonts w:ascii="Times New Roman" w:hAnsi="Times New Roman" w:cs="Times New Roman"/>
          <w:sz w:val="24"/>
          <w:szCs w:val="24"/>
        </w:rPr>
        <w:t>in relation to a person who is</w:t>
      </w:r>
      <w:r w:rsidR="00046E7F">
        <w:rPr>
          <w:rFonts w:ascii="Times New Roman" w:hAnsi="Times New Roman" w:cs="Times New Roman"/>
          <w:sz w:val="24"/>
          <w:szCs w:val="24"/>
        </w:rPr>
        <w:t xml:space="preserve"> </w:t>
      </w:r>
      <w:r w:rsidR="009651F5">
        <w:rPr>
          <w:rFonts w:ascii="Times New Roman" w:hAnsi="Times New Roman" w:cs="Times New Roman"/>
          <w:sz w:val="24"/>
          <w:szCs w:val="24"/>
        </w:rPr>
        <w:t xml:space="preserve">subject to </w:t>
      </w:r>
      <w:r w:rsidR="00046E7F">
        <w:rPr>
          <w:rFonts w:ascii="Times New Roman" w:hAnsi="Times New Roman" w:cs="Times New Roman"/>
          <w:sz w:val="24"/>
          <w:szCs w:val="24"/>
        </w:rPr>
        <w:t>a remedial direction.</w:t>
      </w:r>
    </w:p>
    <w:p w14:paraId="0B403A42" w14:textId="6456139E" w:rsidR="00F67DE2" w:rsidRDefault="004A4AEB" w:rsidP="0045691E">
      <w:pPr>
        <w:spacing w:before="120" w:after="120"/>
        <w:rPr>
          <w:rFonts w:ascii="Times New Roman" w:hAnsi="Times New Roman" w:cs="Times New Roman"/>
          <w:b/>
          <w:sz w:val="24"/>
          <w:szCs w:val="24"/>
          <w:u w:val="single"/>
        </w:rPr>
      </w:pPr>
      <w:r w:rsidRPr="004A4AEB">
        <w:rPr>
          <w:rFonts w:ascii="Times New Roman" w:hAnsi="Times New Roman" w:cs="Times New Roman"/>
          <w:sz w:val="24"/>
          <w:szCs w:val="24"/>
        </w:rPr>
        <w:t>The</w:t>
      </w:r>
      <w:r w:rsidR="000263AB">
        <w:rPr>
          <w:rFonts w:ascii="Times New Roman" w:hAnsi="Times New Roman" w:cs="Times New Roman"/>
          <w:sz w:val="24"/>
          <w:szCs w:val="24"/>
        </w:rPr>
        <w:t xml:space="preserve"> Levies Amendment Regulations provide that the</w:t>
      </w:r>
      <w:r w:rsidRPr="004A4AEB">
        <w:rPr>
          <w:rFonts w:ascii="Times New Roman" w:hAnsi="Times New Roman" w:cs="Times New Roman"/>
          <w:sz w:val="24"/>
          <w:szCs w:val="24"/>
        </w:rPr>
        <w:t xml:space="preserve"> amount of levy payable by a person who is subject to a remedial direction is the same as the amount of levy payable by a titleholder. </w:t>
      </w:r>
      <w:r w:rsidR="00046E7F">
        <w:rPr>
          <w:rFonts w:ascii="Times New Roman" w:hAnsi="Times New Roman" w:cs="Times New Roman"/>
          <w:sz w:val="24"/>
          <w:szCs w:val="24"/>
        </w:rPr>
        <w:t>In either case, t</w:t>
      </w:r>
      <w:r w:rsidRPr="004A4AEB">
        <w:rPr>
          <w:rFonts w:ascii="Times New Roman" w:hAnsi="Times New Roman" w:cs="Times New Roman"/>
          <w:sz w:val="24"/>
          <w:szCs w:val="24"/>
        </w:rPr>
        <w:t xml:space="preserve">he same level of regulatory effort is required by NOPSEMA to assess </w:t>
      </w:r>
      <w:r w:rsidR="009E29F6">
        <w:rPr>
          <w:rFonts w:ascii="Times New Roman" w:hAnsi="Times New Roman" w:cs="Times New Roman"/>
          <w:sz w:val="24"/>
          <w:szCs w:val="24"/>
        </w:rPr>
        <w:t>an environment plan, a well operations management plan or a safety</w:t>
      </w:r>
      <w:r w:rsidR="007D611C">
        <w:rPr>
          <w:rFonts w:ascii="Times New Roman" w:hAnsi="Times New Roman" w:cs="Times New Roman"/>
          <w:sz w:val="24"/>
          <w:szCs w:val="24"/>
        </w:rPr>
        <w:t xml:space="preserve"> case</w:t>
      </w:r>
      <w:r w:rsidR="009E29F6">
        <w:rPr>
          <w:rFonts w:ascii="Times New Roman" w:hAnsi="Times New Roman" w:cs="Times New Roman"/>
          <w:sz w:val="24"/>
          <w:szCs w:val="24"/>
        </w:rPr>
        <w:t xml:space="preserve">, </w:t>
      </w:r>
      <w:r w:rsidRPr="004A4AEB">
        <w:rPr>
          <w:rFonts w:ascii="Times New Roman" w:hAnsi="Times New Roman" w:cs="Times New Roman"/>
          <w:sz w:val="24"/>
          <w:szCs w:val="24"/>
        </w:rPr>
        <w:t xml:space="preserve">whether </w:t>
      </w:r>
      <w:r w:rsidR="009E29F6">
        <w:rPr>
          <w:rFonts w:ascii="Times New Roman" w:hAnsi="Times New Roman" w:cs="Times New Roman"/>
          <w:sz w:val="24"/>
          <w:szCs w:val="24"/>
        </w:rPr>
        <w:t>the document is</w:t>
      </w:r>
      <w:r w:rsidRPr="004A4AEB">
        <w:rPr>
          <w:rFonts w:ascii="Times New Roman" w:hAnsi="Times New Roman" w:cs="Times New Roman"/>
          <w:sz w:val="24"/>
          <w:szCs w:val="24"/>
        </w:rPr>
        <w:t xml:space="preserve"> submitted by a titleholder</w:t>
      </w:r>
      <w:r w:rsidR="00592660">
        <w:rPr>
          <w:rFonts w:ascii="Times New Roman" w:hAnsi="Times New Roman" w:cs="Times New Roman"/>
          <w:sz w:val="24"/>
          <w:szCs w:val="24"/>
        </w:rPr>
        <w:t xml:space="preserve">, </w:t>
      </w:r>
      <w:r w:rsidRPr="004A4AEB">
        <w:rPr>
          <w:rFonts w:ascii="Times New Roman" w:hAnsi="Times New Roman" w:cs="Times New Roman"/>
          <w:sz w:val="24"/>
          <w:szCs w:val="24"/>
        </w:rPr>
        <w:t>a person who is subject to a remedial direction</w:t>
      </w:r>
      <w:r w:rsidR="00592660">
        <w:rPr>
          <w:rFonts w:ascii="Times New Roman" w:hAnsi="Times New Roman" w:cs="Times New Roman"/>
          <w:sz w:val="24"/>
          <w:szCs w:val="24"/>
        </w:rPr>
        <w:t xml:space="preserve"> or another person who is regulated under the OPGGS Act and the </w:t>
      </w:r>
      <w:r w:rsidR="000263AB">
        <w:rPr>
          <w:rFonts w:ascii="Times New Roman" w:hAnsi="Times New Roman" w:cs="Times New Roman"/>
          <w:sz w:val="24"/>
          <w:szCs w:val="24"/>
        </w:rPr>
        <w:t>regulations</w:t>
      </w:r>
      <w:r w:rsidRPr="004A4AEB">
        <w:rPr>
          <w:rFonts w:ascii="Times New Roman" w:hAnsi="Times New Roman" w:cs="Times New Roman"/>
          <w:sz w:val="24"/>
          <w:szCs w:val="24"/>
        </w:rPr>
        <w:t>.</w:t>
      </w:r>
    </w:p>
    <w:p w14:paraId="6E434214"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1578E72E" w14:textId="79E773A6" w:rsidR="00CC251C" w:rsidRDefault="000C3A60" w:rsidP="00D72B10">
      <w:pPr>
        <w:spacing w:before="120" w:after="120"/>
        <w:rPr>
          <w:rFonts w:ascii="Times New Roman" w:hAnsi="Times New Roman" w:cs="Times New Roman"/>
          <w:sz w:val="24"/>
          <w:szCs w:val="24"/>
        </w:rPr>
      </w:pPr>
      <w:r>
        <w:rPr>
          <w:rFonts w:ascii="Times New Roman" w:hAnsi="Times New Roman" w:cs="Times New Roman"/>
          <w:sz w:val="24"/>
          <w:szCs w:val="24"/>
        </w:rPr>
        <w:t>The Levies Amendment Regulations, along with the</w:t>
      </w:r>
      <w:r w:rsidR="00982DFF">
        <w:rPr>
          <w:rFonts w:ascii="Times New Roman" w:hAnsi="Times New Roman" w:cs="Times New Roman"/>
          <w:sz w:val="24"/>
          <w:szCs w:val="24"/>
        </w:rPr>
        <w:t xml:space="preserve"> Titles Administration Regulations</w:t>
      </w:r>
      <w:r w:rsidR="00711075">
        <w:rPr>
          <w:rFonts w:ascii="Times New Roman" w:hAnsi="Times New Roman" w:cs="Times New Roman"/>
          <w:sz w:val="24"/>
          <w:szCs w:val="24"/>
        </w:rPr>
        <w:t xml:space="preserve">, </w:t>
      </w:r>
      <w:r w:rsidR="00DB7F34">
        <w:rPr>
          <w:rFonts w:ascii="Times New Roman" w:hAnsi="Times New Roman" w:cs="Times New Roman"/>
          <w:sz w:val="24"/>
          <w:szCs w:val="24"/>
        </w:rPr>
        <w:t xml:space="preserve">fully </w:t>
      </w:r>
      <w:r>
        <w:rPr>
          <w:rFonts w:ascii="Times New Roman" w:hAnsi="Times New Roman" w:cs="Times New Roman"/>
          <w:sz w:val="24"/>
          <w:szCs w:val="24"/>
        </w:rPr>
        <w:t>implement the trailing liability measure of the Titles Administration Act</w:t>
      </w:r>
      <w:r w:rsidR="007A34EF">
        <w:rPr>
          <w:rFonts w:ascii="Times New Roman" w:hAnsi="Times New Roman" w:cs="Times New Roman"/>
          <w:sz w:val="24"/>
          <w:szCs w:val="24"/>
        </w:rPr>
        <w:t xml:space="preserve"> and the Levies Amendment Act</w:t>
      </w:r>
      <w:r>
        <w:rPr>
          <w:rFonts w:ascii="Times New Roman" w:hAnsi="Times New Roman" w:cs="Times New Roman"/>
          <w:sz w:val="24"/>
          <w:szCs w:val="24"/>
        </w:rPr>
        <w:t xml:space="preserve">. </w:t>
      </w:r>
      <w:r w:rsidR="00583B89">
        <w:rPr>
          <w:rFonts w:ascii="Times New Roman" w:hAnsi="Times New Roman" w:cs="Times New Roman"/>
          <w:sz w:val="24"/>
          <w:szCs w:val="24"/>
        </w:rPr>
        <w:t xml:space="preserve"> </w:t>
      </w:r>
    </w:p>
    <w:p w14:paraId="31E6D28B" w14:textId="553B8A56" w:rsidR="00DF79CF" w:rsidRDefault="00F45BEB" w:rsidP="00D72B10">
      <w:pPr>
        <w:spacing w:before="120" w:after="120"/>
        <w:rPr>
          <w:rFonts w:ascii="Times New Roman" w:hAnsi="Times New Roman" w:cs="Times New Roman"/>
          <w:sz w:val="24"/>
          <w:szCs w:val="24"/>
        </w:rPr>
      </w:pPr>
      <w:r>
        <w:rPr>
          <w:rFonts w:ascii="Times New Roman" w:hAnsi="Times New Roman" w:cs="Times New Roman"/>
          <w:sz w:val="24"/>
          <w:szCs w:val="24"/>
        </w:rPr>
        <w:t>The Titles Administration Act</w:t>
      </w:r>
      <w:r w:rsidR="00DF79CF">
        <w:rPr>
          <w:rFonts w:ascii="Times New Roman" w:hAnsi="Times New Roman" w:cs="Times New Roman"/>
          <w:sz w:val="24"/>
          <w:szCs w:val="24"/>
        </w:rPr>
        <w:t xml:space="preserve"> </w:t>
      </w:r>
      <w:r w:rsidR="008B3E03">
        <w:rPr>
          <w:rFonts w:ascii="Times New Roman" w:hAnsi="Times New Roman" w:cs="Times New Roman"/>
          <w:sz w:val="24"/>
          <w:szCs w:val="24"/>
        </w:rPr>
        <w:t xml:space="preserve">implements the trailing liability measure by amending </w:t>
      </w:r>
      <w:r w:rsidR="00DF79CF">
        <w:rPr>
          <w:rFonts w:ascii="Times New Roman" w:hAnsi="Times New Roman" w:cs="Times New Roman"/>
          <w:sz w:val="24"/>
          <w:szCs w:val="24"/>
        </w:rPr>
        <w:t>the OPGGS Act to expand the remedial directions powers of NOPSEMA and the responsible Commonwealth Minister by enabling remedial directions to be given to a broader range of persons in addition to a current or immediate former titleholder</w:t>
      </w:r>
      <w:r w:rsidR="008B3E03">
        <w:rPr>
          <w:rFonts w:ascii="Times New Roman" w:hAnsi="Times New Roman" w:cs="Times New Roman"/>
          <w:sz w:val="24"/>
          <w:szCs w:val="24"/>
        </w:rPr>
        <w:t xml:space="preserve"> (see Schedule 2 </w:t>
      </w:r>
      <w:r w:rsidR="00A07A24">
        <w:rPr>
          <w:rFonts w:ascii="Times New Roman" w:hAnsi="Times New Roman" w:cs="Times New Roman"/>
          <w:sz w:val="24"/>
          <w:szCs w:val="24"/>
        </w:rPr>
        <w:t>to</w:t>
      </w:r>
      <w:r w:rsidR="008B3E03">
        <w:rPr>
          <w:rFonts w:ascii="Times New Roman" w:hAnsi="Times New Roman" w:cs="Times New Roman"/>
          <w:sz w:val="24"/>
          <w:szCs w:val="24"/>
        </w:rPr>
        <w:t xml:space="preserve"> the Titles Administration Act)</w:t>
      </w:r>
      <w:r w:rsidR="00DF79CF">
        <w:rPr>
          <w:rFonts w:ascii="Times New Roman" w:hAnsi="Times New Roman" w:cs="Times New Roman"/>
          <w:sz w:val="24"/>
          <w:szCs w:val="24"/>
        </w:rPr>
        <w:t>.</w:t>
      </w:r>
      <w:r w:rsidR="00711075">
        <w:rPr>
          <w:rFonts w:ascii="Times New Roman" w:hAnsi="Times New Roman" w:cs="Times New Roman"/>
          <w:sz w:val="24"/>
          <w:szCs w:val="24"/>
        </w:rPr>
        <w:t xml:space="preserve"> </w:t>
      </w:r>
      <w:r w:rsidR="00DF79CF">
        <w:rPr>
          <w:rFonts w:ascii="Times New Roman" w:hAnsi="Times New Roman" w:cs="Times New Roman"/>
          <w:sz w:val="24"/>
          <w:szCs w:val="24"/>
        </w:rPr>
        <w:t xml:space="preserve">The amendments </w:t>
      </w:r>
      <w:r>
        <w:rPr>
          <w:rFonts w:ascii="Times New Roman" w:hAnsi="Times New Roman" w:cs="Times New Roman"/>
          <w:sz w:val="24"/>
          <w:szCs w:val="24"/>
        </w:rPr>
        <w:t xml:space="preserve">made by the Titles Administration Act </w:t>
      </w:r>
      <w:r w:rsidR="00DF79CF">
        <w:rPr>
          <w:rFonts w:ascii="Times New Roman" w:hAnsi="Times New Roman" w:cs="Times New Roman"/>
          <w:sz w:val="24"/>
          <w:szCs w:val="24"/>
        </w:rPr>
        <w:t xml:space="preserve">also extend the application of certain obligations and provisions under the OPGGS Act, which apply to a titleholder, to </w:t>
      </w:r>
      <w:r>
        <w:rPr>
          <w:rFonts w:ascii="Times New Roman" w:hAnsi="Times New Roman" w:cs="Times New Roman"/>
          <w:sz w:val="24"/>
          <w:szCs w:val="24"/>
        </w:rPr>
        <w:t>also apply to</w:t>
      </w:r>
      <w:r w:rsidR="00DF79CF">
        <w:rPr>
          <w:rFonts w:ascii="Times New Roman" w:hAnsi="Times New Roman" w:cs="Times New Roman"/>
          <w:sz w:val="24"/>
          <w:szCs w:val="24"/>
        </w:rPr>
        <w:t xml:space="preserve"> persons who are subject to a remedial direction. </w:t>
      </w:r>
    </w:p>
    <w:p w14:paraId="2CCFACCA" w14:textId="45859227" w:rsidR="00D72B10" w:rsidRDefault="000C3A60" w:rsidP="00711075">
      <w:pPr>
        <w:spacing w:before="120" w:after="120"/>
        <w:rPr>
          <w:rFonts w:ascii="Times New Roman" w:hAnsi="Times New Roman" w:cs="Times New Roman"/>
          <w:sz w:val="24"/>
          <w:szCs w:val="24"/>
        </w:rPr>
      </w:pPr>
      <w:r>
        <w:rPr>
          <w:rFonts w:ascii="Times New Roman" w:hAnsi="Times New Roman" w:cs="Times New Roman"/>
          <w:sz w:val="24"/>
          <w:szCs w:val="24"/>
        </w:rPr>
        <w:t xml:space="preserve">The trailing liability measure aims to ensure </w:t>
      </w:r>
      <w:r w:rsidR="007A34EF">
        <w:rPr>
          <w:rFonts w:ascii="Times New Roman" w:hAnsi="Times New Roman" w:cs="Times New Roman"/>
          <w:sz w:val="24"/>
          <w:szCs w:val="24"/>
        </w:rPr>
        <w:t xml:space="preserve">that, if a titleholder is unable to meet its decommissioning obligations and other regulatory options have been exhausted, </w:t>
      </w:r>
      <w:r w:rsidRPr="000C3A60">
        <w:rPr>
          <w:rFonts w:ascii="Times New Roman" w:hAnsi="Times New Roman" w:cs="Times New Roman"/>
          <w:sz w:val="24"/>
          <w:szCs w:val="24"/>
        </w:rPr>
        <w:t xml:space="preserve">the costs of decommissioning an offshore project remain with </w:t>
      </w:r>
      <w:r w:rsidR="007A34EF">
        <w:rPr>
          <w:rFonts w:ascii="Times New Roman" w:hAnsi="Times New Roman" w:cs="Times New Roman"/>
          <w:sz w:val="24"/>
          <w:szCs w:val="24"/>
        </w:rPr>
        <w:t>those who had held the title</w:t>
      </w:r>
      <w:r w:rsidRPr="000C3A60">
        <w:rPr>
          <w:rFonts w:ascii="Times New Roman" w:hAnsi="Times New Roman" w:cs="Times New Roman"/>
          <w:sz w:val="24"/>
          <w:szCs w:val="24"/>
        </w:rPr>
        <w:t xml:space="preserve">, </w:t>
      </w:r>
      <w:r w:rsidR="009651F5">
        <w:rPr>
          <w:rFonts w:ascii="Times New Roman" w:hAnsi="Times New Roman" w:cs="Times New Roman"/>
          <w:sz w:val="24"/>
          <w:szCs w:val="24"/>
        </w:rPr>
        <w:t xml:space="preserve">or </w:t>
      </w:r>
      <w:r w:rsidR="007A34EF">
        <w:rPr>
          <w:rFonts w:ascii="Times New Roman" w:hAnsi="Times New Roman" w:cs="Times New Roman"/>
          <w:sz w:val="24"/>
          <w:szCs w:val="24"/>
        </w:rPr>
        <w:t>become the responsibility of those who</w:t>
      </w:r>
      <w:r w:rsidRPr="000C3A60">
        <w:rPr>
          <w:rFonts w:ascii="Times New Roman" w:hAnsi="Times New Roman" w:cs="Times New Roman"/>
          <w:sz w:val="24"/>
          <w:szCs w:val="24"/>
        </w:rPr>
        <w:t xml:space="preserve"> significantly benefitted</w:t>
      </w:r>
      <w:r w:rsidR="007A34EF">
        <w:rPr>
          <w:rFonts w:ascii="Times New Roman" w:hAnsi="Times New Roman" w:cs="Times New Roman"/>
          <w:sz w:val="24"/>
          <w:szCs w:val="24"/>
        </w:rPr>
        <w:t xml:space="preserve"> financially</w:t>
      </w:r>
      <w:r w:rsidRPr="000C3A60">
        <w:rPr>
          <w:rFonts w:ascii="Times New Roman" w:hAnsi="Times New Roman" w:cs="Times New Roman"/>
          <w:sz w:val="24"/>
          <w:szCs w:val="24"/>
        </w:rPr>
        <w:t xml:space="preserve"> from </w:t>
      </w:r>
      <w:r w:rsidR="007A34EF">
        <w:rPr>
          <w:rFonts w:ascii="Times New Roman" w:hAnsi="Times New Roman" w:cs="Times New Roman"/>
          <w:sz w:val="24"/>
          <w:szCs w:val="24"/>
        </w:rPr>
        <w:t>or influenced operations under the title</w:t>
      </w:r>
      <w:r w:rsidRPr="000C3A60">
        <w:rPr>
          <w:rFonts w:ascii="Times New Roman" w:hAnsi="Times New Roman" w:cs="Times New Roman"/>
          <w:sz w:val="24"/>
          <w:szCs w:val="24"/>
        </w:rPr>
        <w:t xml:space="preserve">, </w:t>
      </w:r>
      <w:r w:rsidR="007A34EF">
        <w:rPr>
          <w:rFonts w:ascii="Times New Roman" w:hAnsi="Times New Roman" w:cs="Times New Roman"/>
          <w:sz w:val="24"/>
          <w:szCs w:val="24"/>
        </w:rPr>
        <w:t>rather than</w:t>
      </w:r>
      <w:r w:rsidRPr="000C3A60">
        <w:rPr>
          <w:rFonts w:ascii="Times New Roman" w:hAnsi="Times New Roman" w:cs="Times New Roman"/>
          <w:sz w:val="24"/>
          <w:szCs w:val="24"/>
        </w:rPr>
        <w:t xml:space="preserve"> fall</w:t>
      </w:r>
      <w:r w:rsidR="007A34EF">
        <w:rPr>
          <w:rFonts w:ascii="Times New Roman" w:hAnsi="Times New Roman" w:cs="Times New Roman"/>
          <w:sz w:val="24"/>
          <w:szCs w:val="24"/>
        </w:rPr>
        <w:t>ing</w:t>
      </w:r>
      <w:r w:rsidRPr="000C3A60">
        <w:rPr>
          <w:rFonts w:ascii="Times New Roman" w:hAnsi="Times New Roman" w:cs="Times New Roman"/>
          <w:sz w:val="24"/>
          <w:szCs w:val="24"/>
        </w:rPr>
        <w:t xml:space="preserve"> to Australian taxpayers.</w:t>
      </w:r>
    </w:p>
    <w:p w14:paraId="269F3489" w14:textId="48966A76" w:rsidR="00982DFF" w:rsidRPr="003F3EF7" w:rsidRDefault="00F45BEB" w:rsidP="00982DFF">
      <w:pPr>
        <w:spacing w:before="120" w:after="120"/>
        <w:rPr>
          <w:rFonts w:ascii="Times New Roman" w:hAnsi="Times New Roman" w:cs="Times New Roman"/>
          <w:sz w:val="24"/>
          <w:szCs w:val="24"/>
        </w:rPr>
      </w:pPr>
      <w:r>
        <w:rPr>
          <w:rFonts w:ascii="Times New Roman" w:hAnsi="Times New Roman" w:cs="Times New Roman"/>
          <w:sz w:val="24"/>
          <w:szCs w:val="24"/>
        </w:rPr>
        <w:t>To give effect to the trailing liability measure, t</w:t>
      </w:r>
      <w:r w:rsidR="00982DFF">
        <w:rPr>
          <w:rFonts w:ascii="Times New Roman" w:hAnsi="Times New Roman" w:cs="Times New Roman"/>
          <w:sz w:val="24"/>
          <w:szCs w:val="24"/>
        </w:rPr>
        <w:t>he Ti</w:t>
      </w:r>
      <w:r w:rsidR="00DF79CF">
        <w:rPr>
          <w:rFonts w:ascii="Times New Roman" w:hAnsi="Times New Roman" w:cs="Times New Roman"/>
          <w:sz w:val="24"/>
          <w:szCs w:val="24"/>
        </w:rPr>
        <w:t>tles Administration Regulations</w:t>
      </w:r>
      <w:r w:rsidR="00982DFF">
        <w:rPr>
          <w:rFonts w:ascii="Times New Roman" w:hAnsi="Times New Roman" w:cs="Times New Roman"/>
          <w:sz w:val="24"/>
          <w:szCs w:val="24"/>
        </w:rPr>
        <w:t xml:space="preserve"> amend regulations </w:t>
      </w:r>
      <w:r w:rsidR="00DF79CF">
        <w:rPr>
          <w:rFonts w:ascii="Times New Roman" w:hAnsi="Times New Roman" w:cs="Times New Roman"/>
          <w:sz w:val="24"/>
          <w:szCs w:val="24"/>
        </w:rPr>
        <w:t xml:space="preserve">made under the OPGGS Act </w:t>
      </w:r>
      <w:r w:rsidR="00F6120B">
        <w:rPr>
          <w:rFonts w:ascii="Times New Roman" w:hAnsi="Times New Roman" w:cs="Times New Roman"/>
          <w:sz w:val="24"/>
          <w:szCs w:val="24"/>
        </w:rPr>
        <w:t>by providing that a person</w:t>
      </w:r>
      <w:r w:rsidR="00C761DF">
        <w:rPr>
          <w:rFonts w:ascii="Times New Roman" w:hAnsi="Times New Roman" w:cs="Times New Roman"/>
          <w:sz w:val="24"/>
          <w:szCs w:val="24"/>
        </w:rPr>
        <w:t xml:space="preserve"> who is</w:t>
      </w:r>
      <w:r w:rsidR="00F6120B">
        <w:rPr>
          <w:rFonts w:ascii="Times New Roman" w:hAnsi="Times New Roman" w:cs="Times New Roman"/>
          <w:sz w:val="24"/>
          <w:szCs w:val="24"/>
        </w:rPr>
        <w:t xml:space="preserve"> subject to a remedial </w:t>
      </w:r>
      <w:r w:rsidR="00982DFF">
        <w:rPr>
          <w:rFonts w:ascii="Times New Roman" w:hAnsi="Times New Roman" w:cs="Times New Roman"/>
          <w:sz w:val="24"/>
          <w:szCs w:val="24"/>
        </w:rPr>
        <w:t xml:space="preserve">direction </w:t>
      </w:r>
      <w:r w:rsidR="00F6120B">
        <w:rPr>
          <w:rFonts w:ascii="Times New Roman" w:hAnsi="Times New Roman" w:cs="Times New Roman"/>
          <w:sz w:val="24"/>
          <w:szCs w:val="24"/>
        </w:rPr>
        <w:t xml:space="preserve">must </w:t>
      </w:r>
      <w:r w:rsidR="00982DFF">
        <w:rPr>
          <w:rFonts w:ascii="Times New Roman" w:hAnsi="Times New Roman" w:cs="Times New Roman"/>
          <w:sz w:val="24"/>
          <w:szCs w:val="24"/>
        </w:rPr>
        <w:t>have certain</w:t>
      </w:r>
      <w:r w:rsidR="00982DFF" w:rsidRPr="003F3EF7">
        <w:rPr>
          <w:rFonts w:ascii="Times New Roman" w:hAnsi="Times New Roman" w:cs="Times New Roman"/>
          <w:sz w:val="24"/>
          <w:szCs w:val="24"/>
        </w:rPr>
        <w:t xml:space="preserve"> permissioning documents </w:t>
      </w:r>
      <w:r w:rsidR="00982DFF">
        <w:rPr>
          <w:rFonts w:ascii="Times New Roman" w:hAnsi="Times New Roman" w:cs="Times New Roman"/>
          <w:sz w:val="24"/>
          <w:szCs w:val="24"/>
        </w:rPr>
        <w:t>assessed and accepted by NOPSEMA</w:t>
      </w:r>
      <w:r>
        <w:rPr>
          <w:rFonts w:ascii="Times New Roman" w:hAnsi="Times New Roman" w:cs="Times New Roman"/>
          <w:sz w:val="24"/>
          <w:szCs w:val="24"/>
        </w:rPr>
        <w:t xml:space="preserve"> </w:t>
      </w:r>
      <w:r w:rsidR="00982DFF">
        <w:rPr>
          <w:rFonts w:ascii="Times New Roman" w:hAnsi="Times New Roman" w:cs="Times New Roman"/>
          <w:sz w:val="24"/>
          <w:szCs w:val="24"/>
        </w:rPr>
        <w:t xml:space="preserve">before undertaking </w:t>
      </w:r>
      <w:r w:rsidR="00982DFF" w:rsidRPr="003F3EF7">
        <w:rPr>
          <w:rFonts w:ascii="Times New Roman" w:hAnsi="Times New Roman" w:cs="Times New Roman"/>
          <w:sz w:val="24"/>
          <w:szCs w:val="24"/>
        </w:rPr>
        <w:t xml:space="preserve">activities required to be undertaken </w:t>
      </w:r>
      <w:r w:rsidR="00982DFF">
        <w:rPr>
          <w:rFonts w:ascii="Times New Roman" w:hAnsi="Times New Roman" w:cs="Times New Roman"/>
          <w:sz w:val="24"/>
          <w:szCs w:val="24"/>
        </w:rPr>
        <w:t>for the purpose</w:t>
      </w:r>
      <w:r w:rsidR="00F6120B">
        <w:rPr>
          <w:rFonts w:ascii="Times New Roman" w:hAnsi="Times New Roman" w:cs="Times New Roman"/>
          <w:sz w:val="24"/>
          <w:szCs w:val="24"/>
        </w:rPr>
        <w:t>s</w:t>
      </w:r>
      <w:r w:rsidR="00982DFF">
        <w:rPr>
          <w:rFonts w:ascii="Times New Roman" w:hAnsi="Times New Roman" w:cs="Times New Roman"/>
          <w:sz w:val="24"/>
          <w:szCs w:val="24"/>
        </w:rPr>
        <w:t xml:space="preserve"> of </w:t>
      </w:r>
      <w:r w:rsidR="00982DFF" w:rsidRPr="003F3EF7">
        <w:rPr>
          <w:rFonts w:ascii="Times New Roman" w:hAnsi="Times New Roman" w:cs="Times New Roman"/>
          <w:sz w:val="24"/>
          <w:szCs w:val="24"/>
        </w:rPr>
        <w:t>comply</w:t>
      </w:r>
      <w:r w:rsidR="00982DFF">
        <w:rPr>
          <w:rFonts w:ascii="Times New Roman" w:hAnsi="Times New Roman" w:cs="Times New Roman"/>
          <w:sz w:val="24"/>
          <w:szCs w:val="24"/>
        </w:rPr>
        <w:t>ing</w:t>
      </w:r>
      <w:r w:rsidR="00982DFF" w:rsidRPr="003F3EF7">
        <w:rPr>
          <w:rFonts w:ascii="Times New Roman" w:hAnsi="Times New Roman" w:cs="Times New Roman"/>
          <w:sz w:val="24"/>
          <w:szCs w:val="24"/>
        </w:rPr>
        <w:t xml:space="preserve"> with the direction, and the person who is subject to the direction must comply with those documents in undertaking those activities.</w:t>
      </w:r>
      <w:r w:rsidR="00982DFF">
        <w:rPr>
          <w:rFonts w:ascii="Times New Roman" w:hAnsi="Times New Roman" w:cs="Times New Roman"/>
          <w:sz w:val="24"/>
          <w:szCs w:val="24"/>
        </w:rPr>
        <w:t xml:space="preserve"> </w:t>
      </w:r>
      <w:r w:rsidR="00982DFF" w:rsidRPr="003F3EF7">
        <w:rPr>
          <w:rFonts w:ascii="Times New Roman" w:hAnsi="Times New Roman" w:cs="Times New Roman"/>
          <w:sz w:val="24"/>
          <w:szCs w:val="24"/>
        </w:rPr>
        <w:t>The relevant permissioning documents include:</w:t>
      </w:r>
    </w:p>
    <w:p w14:paraId="44AF3520" w14:textId="77777777" w:rsidR="00982DFF" w:rsidRPr="003F3EF7" w:rsidRDefault="00982DFF" w:rsidP="00982DFF">
      <w:pPr>
        <w:pStyle w:val="ListParagraph"/>
        <w:numPr>
          <w:ilvl w:val="0"/>
          <w:numId w:val="2"/>
        </w:numPr>
        <w:spacing w:before="120" w:after="120"/>
        <w:ind w:left="714" w:hanging="357"/>
        <w:contextualSpacing w:val="0"/>
        <w:rPr>
          <w:rFonts w:ascii="Times New Roman" w:hAnsi="Times New Roman" w:cs="Times New Roman"/>
          <w:sz w:val="24"/>
          <w:szCs w:val="24"/>
        </w:rPr>
      </w:pPr>
      <w:r w:rsidRPr="003F3EF7">
        <w:rPr>
          <w:rFonts w:ascii="Times New Roman" w:hAnsi="Times New Roman" w:cs="Times New Roman"/>
          <w:sz w:val="24"/>
          <w:szCs w:val="24"/>
        </w:rPr>
        <w:tab/>
        <w:t xml:space="preserve">an accepted environment plan for </w:t>
      </w:r>
      <w:r>
        <w:rPr>
          <w:rFonts w:ascii="Times New Roman" w:hAnsi="Times New Roman" w:cs="Times New Roman"/>
          <w:sz w:val="24"/>
          <w:szCs w:val="24"/>
        </w:rPr>
        <w:t>undertaking activities</w:t>
      </w:r>
      <w:r w:rsidRPr="003F3EF7">
        <w:rPr>
          <w:rFonts w:ascii="Times New Roman" w:hAnsi="Times New Roman" w:cs="Times New Roman"/>
          <w:sz w:val="24"/>
          <w:szCs w:val="24"/>
        </w:rPr>
        <w:t xml:space="preserve"> in compliance with a remedial direction</w:t>
      </w:r>
      <w:r>
        <w:rPr>
          <w:rFonts w:ascii="Times New Roman" w:hAnsi="Times New Roman" w:cs="Times New Roman"/>
          <w:sz w:val="24"/>
          <w:szCs w:val="24"/>
        </w:rPr>
        <w:t>;</w:t>
      </w:r>
    </w:p>
    <w:p w14:paraId="1095DFCC" w14:textId="77777777" w:rsidR="00982DFF" w:rsidRPr="003F3EF7" w:rsidRDefault="00982DFF" w:rsidP="00982DFF">
      <w:pPr>
        <w:pStyle w:val="ListParagraph"/>
        <w:numPr>
          <w:ilvl w:val="0"/>
          <w:numId w:val="2"/>
        </w:numPr>
        <w:spacing w:before="120" w:after="120"/>
        <w:ind w:left="714" w:hanging="357"/>
        <w:contextualSpacing w:val="0"/>
        <w:rPr>
          <w:rFonts w:ascii="Times New Roman" w:hAnsi="Times New Roman" w:cs="Times New Roman"/>
          <w:sz w:val="24"/>
          <w:szCs w:val="24"/>
        </w:rPr>
      </w:pPr>
      <w:r w:rsidRPr="003F3EF7">
        <w:rPr>
          <w:rFonts w:ascii="Times New Roman" w:hAnsi="Times New Roman" w:cs="Times New Roman"/>
          <w:sz w:val="24"/>
          <w:szCs w:val="24"/>
        </w:rPr>
        <w:lastRenderedPageBreak/>
        <w:tab/>
        <w:t>an accepted well operations management plan for permanent</w:t>
      </w:r>
      <w:r>
        <w:rPr>
          <w:rFonts w:ascii="Times New Roman" w:hAnsi="Times New Roman" w:cs="Times New Roman"/>
          <w:sz w:val="24"/>
          <w:szCs w:val="24"/>
        </w:rPr>
        <w:t>ly</w:t>
      </w:r>
      <w:r w:rsidRPr="003F3EF7">
        <w:rPr>
          <w:rFonts w:ascii="Times New Roman" w:hAnsi="Times New Roman" w:cs="Times New Roman"/>
          <w:sz w:val="24"/>
          <w:szCs w:val="24"/>
        </w:rPr>
        <w:t xml:space="preserve"> plugging or closing off of any wells made in the title or vacated area</w:t>
      </w:r>
      <w:r>
        <w:rPr>
          <w:rFonts w:ascii="Times New Roman" w:hAnsi="Times New Roman" w:cs="Times New Roman"/>
          <w:sz w:val="24"/>
          <w:szCs w:val="24"/>
        </w:rPr>
        <w:t>;</w:t>
      </w:r>
      <w:r w:rsidRPr="003F3EF7">
        <w:rPr>
          <w:rFonts w:ascii="Times New Roman" w:hAnsi="Times New Roman" w:cs="Times New Roman"/>
          <w:sz w:val="24"/>
          <w:szCs w:val="24"/>
        </w:rPr>
        <w:t xml:space="preserve"> and</w:t>
      </w:r>
    </w:p>
    <w:p w14:paraId="6BCE519B" w14:textId="6836DB55" w:rsidR="002C27AE" w:rsidRPr="00B52AE4" w:rsidRDefault="00982DFF" w:rsidP="00B52AE4">
      <w:pPr>
        <w:pStyle w:val="ListParagraph"/>
        <w:numPr>
          <w:ilvl w:val="0"/>
          <w:numId w:val="2"/>
        </w:numPr>
        <w:spacing w:before="120" w:after="120"/>
        <w:ind w:left="714" w:hanging="357"/>
        <w:contextualSpacing w:val="0"/>
        <w:rPr>
          <w:rFonts w:ascii="Times New Roman" w:hAnsi="Times New Roman" w:cs="Times New Roman"/>
          <w:sz w:val="24"/>
          <w:szCs w:val="24"/>
        </w:rPr>
      </w:pPr>
      <w:r w:rsidRPr="003F3EF7">
        <w:rPr>
          <w:rFonts w:ascii="Times New Roman" w:hAnsi="Times New Roman" w:cs="Times New Roman"/>
          <w:sz w:val="24"/>
          <w:szCs w:val="24"/>
        </w:rPr>
        <w:tab/>
        <w:t xml:space="preserve">an accepted safety case for </w:t>
      </w:r>
      <w:r>
        <w:rPr>
          <w:rFonts w:ascii="Times New Roman" w:hAnsi="Times New Roman" w:cs="Times New Roman"/>
          <w:sz w:val="24"/>
          <w:szCs w:val="24"/>
        </w:rPr>
        <w:t>removing</w:t>
      </w:r>
      <w:r w:rsidRPr="003F3EF7">
        <w:rPr>
          <w:rFonts w:ascii="Times New Roman" w:hAnsi="Times New Roman" w:cs="Times New Roman"/>
          <w:sz w:val="24"/>
          <w:szCs w:val="24"/>
        </w:rPr>
        <w:t xml:space="preserve"> any property that is a </w:t>
      </w:r>
      <w:r w:rsidRPr="0045691E">
        <w:rPr>
          <w:rFonts w:ascii="Times New Roman" w:hAnsi="Times New Roman" w:cs="Times New Roman"/>
          <w:b/>
          <w:i/>
          <w:sz w:val="24"/>
          <w:szCs w:val="24"/>
        </w:rPr>
        <w:t>facility</w:t>
      </w:r>
      <w:r w:rsidRPr="003F3EF7">
        <w:rPr>
          <w:rFonts w:ascii="Times New Roman" w:hAnsi="Times New Roman" w:cs="Times New Roman"/>
          <w:sz w:val="24"/>
          <w:szCs w:val="24"/>
        </w:rPr>
        <w:t xml:space="preserve"> (as defined by clause 3 of Schedule 3 </w:t>
      </w:r>
      <w:r w:rsidR="000A3EA4">
        <w:rPr>
          <w:rFonts w:ascii="Times New Roman" w:hAnsi="Times New Roman" w:cs="Times New Roman"/>
          <w:sz w:val="24"/>
          <w:szCs w:val="24"/>
        </w:rPr>
        <w:t>to</w:t>
      </w:r>
      <w:r w:rsidR="000A3EA4" w:rsidRPr="003F3EF7">
        <w:rPr>
          <w:rFonts w:ascii="Times New Roman" w:hAnsi="Times New Roman" w:cs="Times New Roman"/>
          <w:sz w:val="24"/>
          <w:szCs w:val="24"/>
        </w:rPr>
        <w:t xml:space="preserve"> </w:t>
      </w:r>
      <w:r w:rsidRPr="003F3EF7">
        <w:rPr>
          <w:rFonts w:ascii="Times New Roman" w:hAnsi="Times New Roman" w:cs="Times New Roman"/>
          <w:sz w:val="24"/>
          <w:szCs w:val="24"/>
        </w:rPr>
        <w:t xml:space="preserve">the OPGGS Act) brought into the title or vacated area, including an accepted safety case for decommissioning the facility or </w:t>
      </w:r>
      <w:r>
        <w:rPr>
          <w:rFonts w:ascii="Times New Roman" w:hAnsi="Times New Roman" w:cs="Times New Roman"/>
          <w:sz w:val="24"/>
          <w:szCs w:val="24"/>
        </w:rPr>
        <w:t xml:space="preserve">doing </w:t>
      </w:r>
      <w:r w:rsidRPr="003F3EF7">
        <w:rPr>
          <w:rFonts w:ascii="Times New Roman" w:hAnsi="Times New Roman" w:cs="Times New Roman"/>
          <w:sz w:val="24"/>
          <w:szCs w:val="24"/>
        </w:rPr>
        <w:t>any other work at the facility, and an accepted safety case for</w:t>
      </w:r>
      <w:r>
        <w:rPr>
          <w:rFonts w:ascii="Times New Roman" w:hAnsi="Times New Roman" w:cs="Times New Roman"/>
          <w:sz w:val="24"/>
          <w:szCs w:val="24"/>
        </w:rPr>
        <w:t xml:space="preserve"> using</w:t>
      </w:r>
      <w:r w:rsidRPr="003F3EF7">
        <w:rPr>
          <w:rFonts w:ascii="Times New Roman" w:hAnsi="Times New Roman" w:cs="Times New Roman"/>
          <w:sz w:val="24"/>
          <w:szCs w:val="24"/>
        </w:rPr>
        <w:t xml:space="preserve"> any facility for</w:t>
      </w:r>
      <w:r>
        <w:rPr>
          <w:rFonts w:ascii="Times New Roman" w:hAnsi="Times New Roman" w:cs="Times New Roman"/>
          <w:sz w:val="24"/>
          <w:szCs w:val="24"/>
        </w:rPr>
        <w:t xml:space="preserve"> the purpose of </w:t>
      </w:r>
      <w:r w:rsidRPr="003F3EF7">
        <w:rPr>
          <w:rFonts w:ascii="Times New Roman" w:hAnsi="Times New Roman" w:cs="Times New Roman"/>
          <w:sz w:val="24"/>
          <w:szCs w:val="24"/>
        </w:rPr>
        <w:t>dismantling or decommissioning the other facility.</w:t>
      </w:r>
    </w:p>
    <w:p w14:paraId="442F71EF" w14:textId="2928340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2FB46314" w14:textId="707A1343" w:rsidR="00307A73" w:rsidRDefault="00307A73" w:rsidP="00307A73">
      <w:pPr>
        <w:spacing w:before="120" w:after="120"/>
        <w:rPr>
          <w:rFonts w:ascii="Times New Roman" w:hAnsi="Times New Roman" w:cs="Times New Roman"/>
          <w:sz w:val="24"/>
          <w:szCs w:val="24"/>
        </w:rPr>
      </w:pPr>
      <w:r>
        <w:rPr>
          <w:rFonts w:ascii="Times New Roman" w:hAnsi="Times New Roman" w:cs="Times New Roman"/>
          <w:sz w:val="24"/>
          <w:szCs w:val="24"/>
        </w:rPr>
        <w:t xml:space="preserve">Section 11 of the Levies Act provides that the Governor-General may make regulations for the purposes of </w:t>
      </w:r>
      <w:r w:rsidR="000C3A60">
        <w:rPr>
          <w:rFonts w:ascii="Times New Roman" w:hAnsi="Times New Roman" w:cs="Times New Roman"/>
          <w:sz w:val="24"/>
          <w:szCs w:val="24"/>
        </w:rPr>
        <w:t xml:space="preserve">sections </w:t>
      </w:r>
      <w:r>
        <w:rPr>
          <w:rFonts w:ascii="Times New Roman" w:hAnsi="Times New Roman" w:cs="Times New Roman"/>
          <w:sz w:val="24"/>
          <w:szCs w:val="24"/>
        </w:rPr>
        <w:t xml:space="preserve">7 and 8 (safety case levies), 10C </w:t>
      </w:r>
      <w:r w:rsidR="00691CA6">
        <w:rPr>
          <w:rFonts w:ascii="Times New Roman" w:hAnsi="Times New Roman" w:cs="Times New Roman"/>
          <w:sz w:val="24"/>
          <w:szCs w:val="24"/>
        </w:rPr>
        <w:t xml:space="preserve">and 10D (well activity levies), </w:t>
      </w:r>
      <w:r>
        <w:rPr>
          <w:rFonts w:ascii="Times New Roman" w:hAnsi="Times New Roman" w:cs="Times New Roman"/>
          <w:sz w:val="24"/>
          <w:szCs w:val="24"/>
        </w:rPr>
        <w:t>and 10F and 10G (environment plan levies).</w:t>
      </w:r>
      <w:r w:rsidR="000C3A60">
        <w:rPr>
          <w:rFonts w:ascii="Times New Roman" w:hAnsi="Times New Roman" w:cs="Times New Roman"/>
          <w:sz w:val="24"/>
          <w:szCs w:val="24"/>
        </w:rPr>
        <w:t xml:space="preserve"> </w:t>
      </w:r>
      <w:r w:rsidR="000C3A60" w:rsidRPr="009E218B">
        <w:rPr>
          <w:rFonts w:ascii="Times New Roman" w:eastAsia="Times New Roman" w:hAnsi="Times New Roman" w:cs="Times New Roman"/>
          <w:sz w:val="24"/>
          <w:szCs w:val="24"/>
          <w:lang w:eastAsia="en-AU"/>
        </w:rPr>
        <w:t>These sections provide that the amount of the levies imposed by the Levies Act is the amount specified in, or worked out in accordance with, the regulations.</w:t>
      </w:r>
    </w:p>
    <w:p w14:paraId="1204FA38"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4B0F5881" w14:textId="62DB0D39" w:rsidR="00413948" w:rsidRDefault="00413948" w:rsidP="00413948">
      <w:pPr>
        <w:spacing w:before="120" w:after="120"/>
        <w:rPr>
          <w:rFonts w:ascii="Times New Roman" w:hAnsi="Times New Roman" w:cs="Times New Roman"/>
          <w:sz w:val="24"/>
          <w:szCs w:val="24"/>
        </w:rPr>
      </w:pPr>
      <w:r w:rsidRPr="00DE2E1E">
        <w:rPr>
          <w:rFonts w:ascii="Times New Roman" w:hAnsi="Times New Roman" w:cs="Times New Roman"/>
          <w:sz w:val="24"/>
          <w:szCs w:val="24"/>
        </w:rPr>
        <w:t xml:space="preserve">Significant consultation was undertaken throughout the policy planning and drafting process for the </w:t>
      </w:r>
      <w:r w:rsidR="00D329F3">
        <w:rPr>
          <w:rFonts w:ascii="Times New Roman" w:hAnsi="Times New Roman" w:cs="Times New Roman"/>
          <w:sz w:val="24"/>
          <w:szCs w:val="24"/>
        </w:rPr>
        <w:t xml:space="preserve">trailing liability </w:t>
      </w:r>
      <w:r w:rsidRPr="00DE2E1E">
        <w:rPr>
          <w:rFonts w:ascii="Times New Roman" w:hAnsi="Times New Roman" w:cs="Times New Roman"/>
          <w:sz w:val="24"/>
          <w:szCs w:val="24"/>
        </w:rPr>
        <w:t>measure, including consultation with the offshore petroleum industry</w:t>
      </w:r>
      <w:r>
        <w:rPr>
          <w:rFonts w:ascii="Times New Roman" w:hAnsi="Times New Roman" w:cs="Times New Roman"/>
          <w:sz w:val="24"/>
          <w:szCs w:val="24"/>
        </w:rPr>
        <w:t>, NOPSEMA</w:t>
      </w:r>
      <w:r w:rsidR="00AE07EE" w:rsidRPr="00AE07EE">
        <w:rPr>
          <w:rFonts w:ascii="Times New Roman" w:hAnsi="Times New Roman" w:cs="Times New Roman"/>
          <w:sz w:val="24"/>
          <w:szCs w:val="24"/>
        </w:rPr>
        <w:t xml:space="preserve"> </w:t>
      </w:r>
      <w:r w:rsidR="00AE07EE">
        <w:rPr>
          <w:rFonts w:ascii="Times New Roman" w:hAnsi="Times New Roman" w:cs="Times New Roman"/>
          <w:sz w:val="24"/>
          <w:szCs w:val="24"/>
        </w:rPr>
        <w:t>and the Titles Administrator</w:t>
      </w:r>
      <w:r>
        <w:rPr>
          <w:rFonts w:ascii="Times New Roman" w:hAnsi="Times New Roman" w:cs="Times New Roman"/>
          <w:sz w:val="24"/>
          <w:szCs w:val="24"/>
        </w:rPr>
        <w:t xml:space="preserve">. </w:t>
      </w:r>
      <w:r w:rsidRPr="00DE2E1E">
        <w:rPr>
          <w:rFonts w:ascii="Times New Roman" w:hAnsi="Times New Roman" w:cs="Times New Roman"/>
          <w:sz w:val="24"/>
          <w:szCs w:val="24"/>
        </w:rPr>
        <w:t xml:space="preserve">Public consultation was also undertaken on an Exposure Draft of </w:t>
      </w:r>
      <w:r>
        <w:rPr>
          <w:rFonts w:ascii="Times New Roman" w:hAnsi="Times New Roman" w:cs="Times New Roman"/>
          <w:sz w:val="24"/>
          <w:szCs w:val="24"/>
        </w:rPr>
        <w:t>the</w:t>
      </w:r>
      <w:r w:rsidRPr="00DE2E1E">
        <w:rPr>
          <w:rFonts w:ascii="Times New Roman" w:hAnsi="Times New Roman" w:cs="Times New Roman"/>
          <w:sz w:val="24"/>
          <w:szCs w:val="24"/>
        </w:rPr>
        <w:t xml:space="preserve"> Bill</w:t>
      </w:r>
      <w:r w:rsidR="00711075">
        <w:rPr>
          <w:rFonts w:ascii="Times New Roman" w:hAnsi="Times New Roman" w:cs="Times New Roman"/>
          <w:sz w:val="24"/>
          <w:szCs w:val="24"/>
        </w:rPr>
        <w:t>s</w:t>
      </w:r>
      <w:r w:rsidRPr="00DE2E1E">
        <w:rPr>
          <w:rFonts w:ascii="Times New Roman" w:hAnsi="Times New Roman" w:cs="Times New Roman"/>
          <w:sz w:val="24"/>
          <w:szCs w:val="24"/>
        </w:rPr>
        <w:t xml:space="preserve"> </w:t>
      </w:r>
      <w:r>
        <w:rPr>
          <w:rFonts w:ascii="Times New Roman" w:hAnsi="Times New Roman" w:cs="Times New Roman"/>
          <w:sz w:val="24"/>
          <w:szCs w:val="24"/>
        </w:rPr>
        <w:t>for the Titles Administration Act</w:t>
      </w:r>
      <w:r w:rsidR="00D329F3">
        <w:rPr>
          <w:rFonts w:ascii="Times New Roman" w:hAnsi="Times New Roman" w:cs="Times New Roman"/>
          <w:sz w:val="24"/>
          <w:szCs w:val="24"/>
        </w:rPr>
        <w:t xml:space="preserve"> and the Levies </w:t>
      </w:r>
      <w:r w:rsidR="00381898">
        <w:rPr>
          <w:rFonts w:ascii="Times New Roman" w:hAnsi="Times New Roman" w:cs="Times New Roman"/>
          <w:sz w:val="24"/>
          <w:szCs w:val="24"/>
        </w:rPr>
        <w:t>Amendment</w:t>
      </w:r>
      <w:r w:rsidR="00D329F3">
        <w:rPr>
          <w:rFonts w:ascii="Times New Roman" w:hAnsi="Times New Roman" w:cs="Times New Roman"/>
          <w:sz w:val="24"/>
          <w:szCs w:val="24"/>
        </w:rPr>
        <w:t xml:space="preserve"> Act</w:t>
      </w:r>
      <w:r w:rsidRPr="00DE2E1E">
        <w:rPr>
          <w:rFonts w:ascii="Times New Roman" w:hAnsi="Times New Roman" w:cs="Times New Roman"/>
          <w:sz w:val="24"/>
          <w:szCs w:val="24"/>
        </w:rPr>
        <w:t>, which invited written submissions from all stakeholders and included face-to-face meetings with key stakeholders.</w:t>
      </w:r>
      <w:r w:rsidR="001A73D3" w:rsidRPr="001A73D3">
        <w:rPr>
          <w:rFonts w:ascii="Times New Roman" w:hAnsi="Times New Roman" w:cs="Times New Roman"/>
          <w:sz w:val="24"/>
          <w:szCs w:val="24"/>
        </w:rPr>
        <w:t xml:space="preserve"> </w:t>
      </w:r>
      <w:r w:rsidR="001A73D3">
        <w:rPr>
          <w:rFonts w:ascii="Times New Roman" w:hAnsi="Times New Roman" w:cs="Times New Roman"/>
          <w:sz w:val="24"/>
          <w:szCs w:val="24"/>
        </w:rPr>
        <w:t>The amendments made by the Levies Amendment Regulations are required to fully implement the trailing liability measure provided for by the Titles Administration Act and the Levies Amendment Act.</w:t>
      </w:r>
    </w:p>
    <w:p w14:paraId="6E2C92C4"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338FF775" w14:textId="1D598D15" w:rsidR="000D0E22" w:rsidRDefault="00413948" w:rsidP="00691CA6">
      <w:pPr>
        <w:spacing w:before="120" w:after="120"/>
        <w:rPr>
          <w:rFonts w:ascii="Times New Roman" w:hAnsi="Times New Roman" w:cs="Times New Roman"/>
          <w:b/>
          <w:sz w:val="24"/>
          <w:szCs w:val="24"/>
          <w:u w:val="single"/>
        </w:rPr>
        <w:sectPr w:rsidR="000D0E22">
          <w:footerReference w:type="default" r:id="rId11"/>
          <w:pgSz w:w="11906" w:h="16838"/>
          <w:pgMar w:top="1440" w:right="1440" w:bottom="1440" w:left="1440" w:header="708" w:footer="708" w:gutter="0"/>
          <w:cols w:space="708"/>
          <w:docGrid w:linePitch="360"/>
        </w:sectPr>
      </w:pPr>
      <w:r w:rsidRPr="007473EC">
        <w:rPr>
          <w:rFonts w:ascii="Times New Roman" w:hAnsi="Times New Roman" w:cs="Times New Roman"/>
          <w:sz w:val="24"/>
          <w:szCs w:val="24"/>
        </w:rPr>
        <w:t xml:space="preserve">A Regulation Impact Statement (RIS) </w:t>
      </w:r>
      <w:r>
        <w:rPr>
          <w:rFonts w:ascii="Times New Roman" w:hAnsi="Times New Roman" w:cs="Times New Roman"/>
          <w:sz w:val="24"/>
          <w:szCs w:val="24"/>
        </w:rPr>
        <w:t xml:space="preserve">on the trailing liability measure, which is </w:t>
      </w:r>
      <w:r w:rsidR="000C3A60">
        <w:rPr>
          <w:rFonts w:ascii="Times New Roman" w:hAnsi="Times New Roman" w:cs="Times New Roman"/>
          <w:sz w:val="24"/>
          <w:szCs w:val="24"/>
        </w:rPr>
        <w:t xml:space="preserve">provided by the Titles Administration Act and the Titles Administration Regulations (along with the Levies Amendment Act and the </w:t>
      </w:r>
      <w:r w:rsidR="000C3A60" w:rsidRPr="00162418">
        <w:rPr>
          <w:rFonts w:ascii="Times New Roman" w:hAnsi="Times New Roman" w:cs="Times New Roman"/>
          <w:sz w:val="24"/>
          <w:szCs w:val="24"/>
        </w:rPr>
        <w:t>Levies Amendment Regulations</w:t>
      </w:r>
      <w:r w:rsidR="000C3A60">
        <w:rPr>
          <w:rFonts w:ascii="Times New Roman" w:hAnsi="Times New Roman" w:cs="Times New Roman"/>
          <w:sz w:val="24"/>
          <w:szCs w:val="24"/>
        </w:rPr>
        <w:t xml:space="preserve"> in relation to cost recovery)</w:t>
      </w:r>
      <w:r>
        <w:rPr>
          <w:rFonts w:ascii="Times New Roman" w:hAnsi="Times New Roman" w:cs="Times New Roman"/>
          <w:sz w:val="24"/>
          <w:szCs w:val="24"/>
        </w:rPr>
        <w:t>, was prepared</w:t>
      </w:r>
      <w:r w:rsidRPr="007473EC">
        <w:rPr>
          <w:rFonts w:ascii="Times New Roman" w:hAnsi="Times New Roman" w:cs="Times New Roman"/>
          <w:sz w:val="24"/>
          <w:szCs w:val="24"/>
        </w:rPr>
        <w:t xml:space="preserve"> in accordance with the </w:t>
      </w:r>
      <w:r w:rsidRPr="008F3B91">
        <w:rPr>
          <w:rFonts w:ascii="Times New Roman" w:hAnsi="Times New Roman" w:cs="Times New Roman"/>
          <w:i/>
          <w:sz w:val="24"/>
          <w:szCs w:val="24"/>
        </w:rPr>
        <w:t>Australian Government Guide to Regulation</w:t>
      </w:r>
      <w:r w:rsidRPr="007473EC">
        <w:rPr>
          <w:rFonts w:ascii="Times New Roman" w:hAnsi="Times New Roman" w:cs="Times New Roman"/>
          <w:sz w:val="24"/>
          <w:szCs w:val="24"/>
        </w:rPr>
        <w:t xml:space="preserve">. </w:t>
      </w:r>
      <w:r>
        <w:rPr>
          <w:rFonts w:ascii="Times New Roman" w:hAnsi="Times New Roman" w:cs="Times New Roman"/>
          <w:sz w:val="24"/>
          <w:szCs w:val="24"/>
        </w:rPr>
        <w:t>The RIS mee</w:t>
      </w:r>
      <w:r w:rsidRPr="007473EC">
        <w:rPr>
          <w:rFonts w:ascii="Times New Roman" w:hAnsi="Times New Roman" w:cs="Times New Roman"/>
          <w:sz w:val="24"/>
          <w:szCs w:val="24"/>
        </w:rPr>
        <w:t>t</w:t>
      </w:r>
      <w:r>
        <w:rPr>
          <w:rFonts w:ascii="Times New Roman" w:hAnsi="Times New Roman" w:cs="Times New Roman"/>
          <w:sz w:val="24"/>
          <w:szCs w:val="24"/>
        </w:rPr>
        <w:t>s</w:t>
      </w:r>
      <w:r w:rsidRPr="007473EC">
        <w:rPr>
          <w:rFonts w:ascii="Times New Roman" w:hAnsi="Times New Roman" w:cs="Times New Roman"/>
          <w:sz w:val="24"/>
          <w:szCs w:val="24"/>
        </w:rPr>
        <w:t xml:space="preserve"> the Government’s regulatory impact assessment requirements (OBPR ID Number: 25323) and is included at the end of this Explanatory </w:t>
      </w:r>
      <w:r>
        <w:rPr>
          <w:rFonts w:ascii="Times New Roman" w:hAnsi="Times New Roman" w:cs="Times New Roman"/>
          <w:sz w:val="24"/>
          <w:szCs w:val="24"/>
        </w:rPr>
        <w:t>Statement</w:t>
      </w:r>
      <w:r w:rsidRPr="007473EC">
        <w:rPr>
          <w:rFonts w:ascii="Times New Roman" w:hAnsi="Times New Roman" w:cs="Times New Roman"/>
          <w:sz w:val="24"/>
          <w:szCs w:val="24"/>
        </w:rPr>
        <w:t>.</w:t>
      </w:r>
    </w:p>
    <w:p w14:paraId="18D76F16" w14:textId="77777777" w:rsidR="006F7FF6" w:rsidRPr="00B831AD" w:rsidRDefault="006F7FF6" w:rsidP="006F7FF6">
      <w:pPr>
        <w:spacing w:before="240" w:after="240"/>
        <w:rPr>
          <w:rFonts w:ascii="Times New Roman" w:hAnsi="Times New Roman" w:cs="Times New Roman"/>
          <w:b/>
          <w:sz w:val="24"/>
          <w:szCs w:val="24"/>
          <w:u w:val="single"/>
        </w:rPr>
      </w:pPr>
      <w:r w:rsidRPr="00B831AD">
        <w:rPr>
          <w:rFonts w:ascii="Times New Roman" w:hAnsi="Times New Roman" w:cs="Times New Roman"/>
          <w:b/>
          <w:sz w:val="24"/>
          <w:szCs w:val="24"/>
          <w:u w:val="single"/>
        </w:rPr>
        <w:lastRenderedPageBreak/>
        <w:t xml:space="preserve">Details of the </w:t>
      </w:r>
      <w:r w:rsidRPr="00B831AD">
        <w:rPr>
          <w:rFonts w:ascii="Times New Roman" w:hAnsi="Times New Roman" w:cs="Times New Roman"/>
          <w:b/>
          <w:i/>
          <w:sz w:val="24"/>
          <w:szCs w:val="24"/>
          <w:u w:val="single"/>
        </w:rPr>
        <w:t>Offshore Petroleum and Greenhouse Gas Storage (Regulatory Levies) Amendment (Titles Administration) Regulations 2021</w:t>
      </w:r>
    </w:p>
    <w:p w14:paraId="1BCD60DB" w14:textId="77777777" w:rsidR="006F7FF6" w:rsidRPr="006745C3" w:rsidRDefault="006F7FF6" w:rsidP="006F7FF6">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w:t>
      </w:r>
    </w:p>
    <w:p w14:paraId="31097E70" w14:textId="0B2878A0" w:rsidR="006F7FF6" w:rsidRPr="006745C3" w:rsidRDefault="006F7FF6" w:rsidP="006F7FF6">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specifies </w:t>
      </w:r>
      <w:r w:rsidR="00EA0232">
        <w:rPr>
          <w:rFonts w:ascii="Times New Roman" w:hAnsi="Times New Roman" w:cs="Times New Roman"/>
          <w:sz w:val="24"/>
          <w:szCs w:val="24"/>
        </w:rPr>
        <w:t xml:space="preserve">that </w:t>
      </w:r>
      <w:r w:rsidRPr="006745C3">
        <w:rPr>
          <w:rFonts w:ascii="Times New Roman" w:hAnsi="Times New Roman" w:cs="Times New Roman"/>
          <w:sz w:val="24"/>
          <w:szCs w:val="24"/>
        </w:rPr>
        <w:t xml:space="preserve">the name of </w:t>
      </w:r>
      <w:r>
        <w:rPr>
          <w:rFonts w:ascii="Times New Roman" w:hAnsi="Times New Roman" w:cs="Times New Roman"/>
          <w:sz w:val="24"/>
          <w:szCs w:val="24"/>
        </w:rPr>
        <w:t>this instrument is the</w:t>
      </w:r>
      <w:r>
        <w:rPr>
          <w:rFonts w:ascii="Times New Roman" w:hAnsi="Times New Roman" w:cs="Times New Roman"/>
          <w:i/>
          <w:sz w:val="24"/>
          <w:szCs w:val="24"/>
        </w:rPr>
        <w:t xml:space="preserve"> </w:t>
      </w:r>
      <w:r w:rsidRPr="002A4845">
        <w:rPr>
          <w:rFonts w:ascii="Times New Roman" w:hAnsi="Times New Roman" w:cs="Times New Roman"/>
          <w:i/>
          <w:sz w:val="24"/>
          <w:szCs w:val="24"/>
        </w:rPr>
        <w:t>Offshore Petroleum and Greenhouse Gas Storage (Regulatory Levies) Amendment (Titles Administration) Regulations 2021</w:t>
      </w:r>
      <w:r w:rsidR="00D45B9C">
        <w:rPr>
          <w:rFonts w:ascii="Times New Roman" w:hAnsi="Times New Roman" w:cs="Times New Roman"/>
          <w:i/>
          <w:sz w:val="24"/>
          <w:szCs w:val="24"/>
        </w:rPr>
        <w:t xml:space="preserve"> </w:t>
      </w:r>
      <w:r w:rsidR="00D45B9C">
        <w:rPr>
          <w:rFonts w:ascii="Times New Roman" w:hAnsi="Times New Roman" w:cs="Times New Roman"/>
          <w:sz w:val="24"/>
          <w:szCs w:val="24"/>
        </w:rPr>
        <w:t>(the Amendment Regulations).</w:t>
      </w:r>
    </w:p>
    <w:p w14:paraId="54445019" w14:textId="77777777" w:rsidR="006F7FF6" w:rsidRPr="006745C3" w:rsidRDefault="006F7FF6" w:rsidP="006F7FF6">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5BC1BEE0" w14:textId="753B1548" w:rsidR="006F7FF6" w:rsidRPr="006745C3" w:rsidRDefault="006F7FF6" w:rsidP="006F7FF6">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00EA0232">
        <w:rPr>
          <w:rFonts w:ascii="Times New Roman" w:hAnsi="Times New Roman" w:cs="Times New Roman"/>
          <w:sz w:val="24"/>
          <w:szCs w:val="24"/>
        </w:rPr>
        <w:t xml:space="preserve">outlines the commencement information for the provisions of the Amendment Regulations. </w:t>
      </w:r>
      <w:r w:rsidR="00AA7F0D">
        <w:rPr>
          <w:rFonts w:ascii="Times New Roman" w:hAnsi="Times New Roman" w:cs="Times New Roman"/>
          <w:sz w:val="24"/>
          <w:szCs w:val="24"/>
        </w:rPr>
        <w:t>T</w:t>
      </w:r>
      <w:r w:rsidR="00EA0232">
        <w:rPr>
          <w:rFonts w:ascii="Times New Roman" w:hAnsi="Times New Roman" w:cs="Times New Roman"/>
          <w:sz w:val="24"/>
          <w:szCs w:val="24"/>
        </w:rPr>
        <w:t xml:space="preserve">he Amendment Regulations commence </w:t>
      </w:r>
      <w:r>
        <w:rPr>
          <w:rFonts w:ascii="Times New Roman" w:hAnsi="Times New Roman" w:cs="Times New Roman"/>
          <w:sz w:val="24"/>
          <w:szCs w:val="24"/>
        </w:rPr>
        <w:t>at the same time as Schedule 1 to the</w:t>
      </w:r>
      <w:r w:rsidRPr="00BA741A">
        <w:rPr>
          <w:rFonts w:ascii="Times New Roman" w:hAnsi="Times New Roman" w:cs="Times New Roman"/>
          <w:i/>
          <w:sz w:val="24"/>
          <w:szCs w:val="24"/>
        </w:rPr>
        <w:t xml:space="preserve"> Offshore Petroleum and Greenhouse Gas Storage (Regulatory Levies) Amendment Act 2021</w:t>
      </w:r>
      <w:r>
        <w:rPr>
          <w:rFonts w:ascii="Times New Roman" w:hAnsi="Times New Roman" w:cs="Times New Roman"/>
          <w:i/>
          <w:sz w:val="24"/>
          <w:szCs w:val="24"/>
        </w:rPr>
        <w:t xml:space="preserve"> </w:t>
      </w:r>
      <w:r>
        <w:rPr>
          <w:rFonts w:ascii="Times New Roman" w:hAnsi="Times New Roman" w:cs="Times New Roman"/>
          <w:sz w:val="24"/>
          <w:szCs w:val="24"/>
        </w:rPr>
        <w:t>(the</w:t>
      </w:r>
      <w:r w:rsidR="00D45B9C">
        <w:rPr>
          <w:rFonts w:ascii="Times New Roman" w:hAnsi="Times New Roman" w:cs="Times New Roman"/>
          <w:sz w:val="24"/>
          <w:szCs w:val="24"/>
        </w:rPr>
        <w:t xml:space="preserve"> </w:t>
      </w:r>
      <w:r>
        <w:rPr>
          <w:rFonts w:ascii="Times New Roman" w:hAnsi="Times New Roman" w:cs="Times New Roman"/>
          <w:sz w:val="24"/>
          <w:szCs w:val="24"/>
        </w:rPr>
        <w:t>Levies Amendment Act)</w:t>
      </w:r>
      <w:r w:rsidR="00AA7F0D">
        <w:rPr>
          <w:rFonts w:ascii="Times New Roman" w:hAnsi="Times New Roman" w:cs="Times New Roman"/>
          <w:sz w:val="24"/>
          <w:szCs w:val="24"/>
        </w:rPr>
        <w:t xml:space="preserve"> commences</w:t>
      </w:r>
      <w:r>
        <w:rPr>
          <w:rFonts w:ascii="Times New Roman" w:hAnsi="Times New Roman" w:cs="Times New Roman"/>
          <w:sz w:val="24"/>
          <w:szCs w:val="24"/>
        </w:rPr>
        <w:t>.</w:t>
      </w:r>
      <w:r w:rsidR="00D45B9C">
        <w:rPr>
          <w:rFonts w:ascii="Times New Roman" w:hAnsi="Times New Roman" w:cs="Times New Roman"/>
          <w:sz w:val="24"/>
          <w:szCs w:val="24"/>
        </w:rPr>
        <w:t xml:space="preserve"> This Schedule of the</w:t>
      </w:r>
      <w:r>
        <w:rPr>
          <w:rFonts w:ascii="Times New Roman" w:hAnsi="Times New Roman" w:cs="Times New Roman"/>
          <w:sz w:val="24"/>
          <w:szCs w:val="24"/>
        </w:rPr>
        <w:t xml:space="preserve"> Levies Amendment Act provides for the trailing liability measure</w:t>
      </w:r>
      <w:r w:rsidR="00AA7F0D">
        <w:rPr>
          <w:rFonts w:ascii="Times New Roman" w:hAnsi="Times New Roman" w:cs="Times New Roman"/>
          <w:sz w:val="24"/>
          <w:szCs w:val="24"/>
        </w:rPr>
        <w:t xml:space="preserve"> in relation to cost recovery</w:t>
      </w:r>
      <w:r>
        <w:rPr>
          <w:rFonts w:ascii="Times New Roman" w:hAnsi="Times New Roman" w:cs="Times New Roman"/>
          <w:sz w:val="24"/>
          <w:szCs w:val="24"/>
        </w:rPr>
        <w:t xml:space="preserve">. </w:t>
      </w:r>
    </w:p>
    <w:p w14:paraId="32C47184" w14:textId="77777777" w:rsidR="006F7FF6" w:rsidRPr="006745C3" w:rsidRDefault="006F7FF6" w:rsidP="006F7FF6">
      <w:pPr>
        <w:spacing w:before="240" w:after="100" w:afterAutospacing="1"/>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35439C23" w14:textId="4C8D6F1D" w:rsidR="006F7FF6" w:rsidRDefault="006F7FF6" w:rsidP="006F7FF6">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provides that the Amendment Regulations </w:t>
      </w:r>
      <w:r w:rsidR="00AA7F0D">
        <w:rPr>
          <w:rFonts w:ascii="Times New Roman" w:hAnsi="Times New Roman" w:cs="Times New Roman"/>
          <w:sz w:val="24"/>
          <w:szCs w:val="24"/>
        </w:rPr>
        <w:t xml:space="preserve">are </w:t>
      </w:r>
      <w:r>
        <w:rPr>
          <w:rFonts w:ascii="Times New Roman" w:hAnsi="Times New Roman" w:cs="Times New Roman"/>
          <w:sz w:val="24"/>
          <w:szCs w:val="24"/>
        </w:rPr>
        <w:t xml:space="preserve">made under the </w:t>
      </w:r>
      <w:r w:rsidRPr="004001B2">
        <w:rPr>
          <w:rFonts w:ascii="Times New Roman" w:hAnsi="Times New Roman" w:cs="Times New Roman"/>
          <w:i/>
          <w:sz w:val="24"/>
          <w:szCs w:val="24"/>
        </w:rPr>
        <w:t>Offshore Petroleum and Greenhouse Gas Storage (Regulatory Levies) Act 2003</w:t>
      </w:r>
      <w:r w:rsidR="001F5B5D">
        <w:rPr>
          <w:rFonts w:ascii="Times New Roman" w:hAnsi="Times New Roman" w:cs="Times New Roman"/>
          <w:sz w:val="24"/>
          <w:szCs w:val="24"/>
        </w:rPr>
        <w:t xml:space="preserve"> (the Levies Act)</w:t>
      </w:r>
      <w:r>
        <w:rPr>
          <w:rFonts w:ascii="Times New Roman" w:hAnsi="Times New Roman" w:cs="Times New Roman"/>
          <w:sz w:val="24"/>
          <w:szCs w:val="24"/>
        </w:rPr>
        <w:t xml:space="preserve">. </w:t>
      </w:r>
    </w:p>
    <w:p w14:paraId="7DC9B39E" w14:textId="77777777" w:rsidR="006F7FF6" w:rsidRDefault="006F7FF6" w:rsidP="006F7FF6">
      <w:pPr>
        <w:spacing w:before="240"/>
        <w:rPr>
          <w:rFonts w:ascii="Times New Roman" w:hAnsi="Times New Roman" w:cs="Times New Roman"/>
          <w:b/>
          <w:sz w:val="24"/>
          <w:szCs w:val="24"/>
        </w:rPr>
      </w:pPr>
      <w:r>
        <w:rPr>
          <w:rFonts w:ascii="Times New Roman" w:hAnsi="Times New Roman" w:cs="Times New Roman"/>
          <w:b/>
          <w:sz w:val="24"/>
          <w:szCs w:val="24"/>
        </w:rPr>
        <w:t>Section 4 – Schedules</w:t>
      </w:r>
    </w:p>
    <w:p w14:paraId="3DFCAA7C" w14:textId="68EC8DEA" w:rsidR="006F7FF6" w:rsidRPr="004001B2" w:rsidRDefault="006F7FF6" w:rsidP="006F7FF6">
      <w:pPr>
        <w:spacing w:before="240"/>
        <w:rPr>
          <w:rFonts w:ascii="Times New Roman" w:hAnsi="Times New Roman" w:cs="Times New Roman"/>
          <w:sz w:val="24"/>
          <w:szCs w:val="24"/>
        </w:rPr>
      </w:pPr>
      <w:r w:rsidRPr="00D72A99">
        <w:rPr>
          <w:rFonts w:ascii="Times New Roman" w:hAnsi="Times New Roman" w:cs="Times New Roman"/>
          <w:sz w:val="24"/>
          <w:szCs w:val="24"/>
        </w:rPr>
        <w:t xml:space="preserve">This section is a machinery clause that </w:t>
      </w:r>
      <w:r w:rsidR="00EA0232">
        <w:rPr>
          <w:rFonts w:ascii="Times New Roman" w:hAnsi="Times New Roman" w:cs="Times New Roman"/>
          <w:sz w:val="24"/>
          <w:szCs w:val="24"/>
        </w:rPr>
        <w:t xml:space="preserve">provides that the </w:t>
      </w:r>
      <w:r w:rsidR="00EA0232" w:rsidRPr="000263AB">
        <w:rPr>
          <w:rFonts w:ascii="Times New Roman" w:hAnsi="Times New Roman" w:cs="Times New Roman"/>
          <w:i/>
          <w:sz w:val="24"/>
          <w:szCs w:val="24"/>
        </w:rPr>
        <w:t>Offshore Petroleum and Greenhouse Gas Storage (Regulatory Levies) Regulations 2004</w:t>
      </w:r>
      <w:r w:rsidRPr="00D72A99">
        <w:rPr>
          <w:rFonts w:ascii="Times New Roman" w:hAnsi="Times New Roman" w:cs="Times New Roman"/>
          <w:sz w:val="24"/>
          <w:szCs w:val="24"/>
        </w:rPr>
        <w:t xml:space="preserve"> </w:t>
      </w:r>
      <w:r w:rsidR="00EA0232">
        <w:rPr>
          <w:rFonts w:ascii="Times New Roman" w:hAnsi="Times New Roman" w:cs="Times New Roman"/>
          <w:sz w:val="24"/>
          <w:szCs w:val="24"/>
        </w:rPr>
        <w:t>(the Levies Regulations) are amended or repealed as set out in the applica</w:t>
      </w:r>
      <w:r w:rsidR="001F5B5D">
        <w:rPr>
          <w:rFonts w:ascii="Times New Roman" w:hAnsi="Times New Roman" w:cs="Times New Roman"/>
          <w:sz w:val="24"/>
          <w:szCs w:val="24"/>
        </w:rPr>
        <w:t>ble</w:t>
      </w:r>
      <w:r w:rsidR="00EA0232">
        <w:rPr>
          <w:rFonts w:ascii="Times New Roman" w:hAnsi="Times New Roman" w:cs="Times New Roman"/>
          <w:sz w:val="24"/>
          <w:szCs w:val="24"/>
        </w:rPr>
        <w:t xml:space="preserve"> items in the Schedule, and any </w:t>
      </w:r>
      <w:r w:rsidR="001F5B5D">
        <w:rPr>
          <w:rFonts w:ascii="Times New Roman" w:hAnsi="Times New Roman" w:cs="Times New Roman"/>
          <w:sz w:val="24"/>
          <w:szCs w:val="24"/>
        </w:rPr>
        <w:t xml:space="preserve">other </w:t>
      </w:r>
      <w:r w:rsidR="00EA0232">
        <w:rPr>
          <w:rFonts w:ascii="Times New Roman" w:hAnsi="Times New Roman" w:cs="Times New Roman"/>
          <w:sz w:val="24"/>
          <w:szCs w:val="24"/>
        </w:rPr>
        <w:t>item in the Schedule has effect</w:t>
      </w:r>
      <w:r w:rsidRPr="00D72A99">
        <w:rPr>
          <w:rFonts w:ascii="Times New Roman" w:hAnsi="Times New Roman" w:cs="Times New Roman"/>
          <w:sz w:val="24"/>
          <w:szCs w:val="24"/>
        </w:rPr>
        <w:t xml:space="preserve"> according to </w:t>
      </w:r>
      <w:r w:rsidR="00EA0232">
        <w:rPr>
          <w:rFonts w:ascii="Times New Roman" w:hAnsi="Times New Roman" w:cs="Times New Roman"/>
          <w:sz w:val="24"/>
          <w:szCs w:val="24"/>
        </w:rPr>
        <w:t>its</w:t>
      </w:r>
      <w:r w:rsidR="00EA0232" w:rsidRPr="00D72A99">
        <w:rPr>
          <w:rFonts w:ascii="Times New Roman" w:hAnsi="Times New Roman" w:cs="Times New Roman"/>
          <w:sz w:val="24"/>
          <w:szCs w:val="24"/>
        </w:rPr>
        <w:t xml:space="preserve"> </w:t>
      </w:r>
      <w:r w:rsidRPr="00D72A99">
        <w:rPr>
          <w:rFonts w:ascii="Times New Roman" w:hAnsi="Times New Roman" w:cs="Times New Roman"/>
          <w:sz w:val="24"/>
          <w:szCs w:val="24"/>
        </w:rPr>
        <w:t>terms.</w:t>
      </w:r>
    </w:p>
    <w:p w14:paraId="21253B14" w14:textId="10D1C270" w:rsidR="006F7FF6" w:rsidRDefault="006F7FF6" w:rsidP="006F7FF6">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Schedule 1 </w:t>
      </w:r>
      <w:r w:rsidR="00EA0232">
        <w:rPr>
          <w:rFonts w:ascii="Times New Roman" w:hAnsi="Times New Roman" w:cs="Times New Roman"/>
          <w:b/>
          <w:sz w:val="24"/>
          <w:szCs w:val="24"/>
        </w:rPr>
        <w:t>–</w:t>
      </w:r>
      <w:r>
        <w:rPr>
          <w:rFonts w:ascii="Times New Roman" w:hAnsi="Times New Roman" w:cs="Times New Roman"/>
          <w:b/>
          <w:sz w:val="24"/>
          <w:szCs w:val="24"/>
        </w:rPr>
        <w:t xml:space="preserve"> Amendments</w:t>
      </w:r>
    </w:p>
    <w:p w14:paraId="2C58348D" w14:textId="77777777" w:rsidR="006F7FF6" w:rsidRPr="00755EB1" w:rsidRDefault="006F7FF6" w:rsidP="006F7FF6">
      <w:pPr>
        <w:spacing w:before="240" w:after="240"/>
        <w:rPr>
          <w:rFonts w:ascii="Times New Roman" w:hAnsi="Times New Roman" w:cs="Times New Roman"/>
          <w:i/>
          <w:sz w:val="24"/>
          <w:szCs w:val="24"/>
        </w:rPr>
      </w:pPr>
      <w:r w:rsidRPr="00755EB1">
        <w:rPr>
          <w:rFonts w:ascii="Times New Roman" w:hAnsi="Times New Roman" w:cs="Times New Roman"/>
          <w:i/>
          <w:sz w:val="24"/>
          <w:szCs w:val="24"/>
        </w:rPr>
        <w:t>Offshore Petroleum and Greenhouse Gas Storage (Regulatory Levies) Regulations 2004</w:t>
      </w:r>
    </w:p>
    <w:p w14:paraId="4EE4C73C" w14:textId="6374CC7B" w:rsidR="006F7FF6" w:rsidRDefault="00A92D8D" w:rsidP="006F7FF6">
      <w:pPr>
        <w:spacing w:before="240"/>
        <w:rPr>
          <w:rFonts w:ascii="Times New Roman" w:hAnsi="Times New Roman" w:cs="Times New Roman"/>
          <w:b/>
          <w:sz w:val="24"/>
          <w:szCs w:val="24"/>
        </w:rPr>
      </w:pPr>
      <w:r>
        <w:rPr>
          <w:rFonts w:ascii="Times New Roman" w:hAnsi="Times New Roman" w:cs="Times New Roman"/>
          <w:b/>
          <w:sz w:val="24"/>
          <w:szCs w:val="24"/>
        </w:rPr>
        <w:t>Item 1 –</w:t>
      </w:r>
      <w:r w:rsidR="005D6225">
        <w:rPr>
          <w:rFonts w:ascii="Times New Roman" w:hAnsi="Times New Roman" w:cs="Times New Roman"/>
          <w:b/>
          <w:sz w:val="24"/>
          <w:szCs w:val="24"/>
        </w:rPr>
        <w:t xml:space="preserve"> </w:t>
      </w:r>
      <w:r>
        <w:rPr>
          <w:rFonts w:ascii="Times New Roman" w:hAnsi="Times New Roman" w:cs="Times New Roman"/>
          <w:b/>
          <w:sz w:val="24"/>
          <w:szCs w:val="24"/>
        </w:rPr>
        <w:t>Regulation</w:t>
      </w:r>
      <w:r w:rsidR="006F7FF6">
        <w:rPr>
          <w:rFonts w:ascii="Times New Roman" w:hAnsi="Times New Roman" w:cs="Times New Roman"/>
          <w:b/>
          <w:sz w:val="24"/>
          <w:szCs w:val="24"/>
        </w:rPr>
        <w:t xml:space="preserve"> 21</w:t>
      </w:r>
    </w:p>
    <w:p w14:paraId="6C0B9DB9" w14:textId="42BA9202" w:rsidR="00A60DC3" w:rsidRDefault="00A92D8D" w:rsidP="006F7FF6">
      <w:pPr>
        <w:spacing w:before="240"/>
        <w:rPr>
          <w:rFonts w:ascii="Times New Roman" w:hAnsi="Times New Roman" w:cs="Times New Roman"/>
          <w:sz w:val="24"/>
          <w:szCs w:val="24"/>
        </w:rPr>
      </w:pPr>
      <w:r>
        <w:rPr>
          <w:rFonts w:ascii="Times New Roman" w:hAnsi="Times New Roman" w:cs="Times New Roman"/>
          <w:sz w:val="24"/>
          <w:szCs w:val="24"/>
        </w:rPr>
        <w:t>Regulation</w:t>
      </w:r>
      <w:r w:rsidR="006F7FF6">
        <w:rPr>
          <w:rFonts w:ascii="Times New Roman" w:hAnsi="Times New Roman" w:cs="Times New Roman"/>
          <w:sz w:val="24"/>
          <w:szCs w:val="24"/>
        </w:rPr>
        <w:t xml:space="preserve"> 21 of the </w:t>
      </w:r>
      <w:r w:rsidR="006F7FF6" w:rsidRPr="00042CAA">
        <w:rPr>
          <w:rFonts w:ascii="Times New Roman" w:hAnsi="Times New Roman" w:cs="Times New Roman"/>
          <w:sz w:val="24"/>
          <w:szCs w:val="24"/>
        </w:rPr>
        <w:t>Levies Regulations</w:t>
      </w:r>
      <w:r w:rsidR="006F7FF6">
        <w:rPr>
          <w:rFonts w:ascii="Times New Roman" w:hAnsi="Times New Roman" w:cs="Times New Roman"/>
          <w:sz w:val="24"/>
          <w:szCs w:val="24"/>
        </w:rPr>
        <w:t xml:space="preserve"> </w:t>
      </w:r>
      <w:r w:rsidR="005D6225">
        <w:rPr>
          <w:rFonts w:ascii="Times New Roman" w:hAnsi="Times New Roman" w:cs="Times New Roman"/>
          <w:sz w:val="24"/>
          <w:szCs w:val="24"/>
        </w:rPr>
        <w:t xml:space="preserve">sets out the manner for </w:t>
      </w:r>
      <w:r w:rsidR="00F37AD4">
        <w:rPr>
          <w:rFonts w:ascii="Times New Roman" w:hAnsi="Times New Roman" w:cs="Times New Roman"/>
          <w:sz w:val="24"/>
          <w:szCs w:val="24"/>
        </w:rPr>
        <w:t>working out</w:t>
      </w:r>
      <w:r w:rsidR="005D6225">
        <w:rPr>
          <w:rFonts w:ascii="Times New Roman" w:hAnsi="Times New Roman" w:cs="Times New Roman"/>
          <w:sz w:val="24"/>
          <w:szCs w:val="24"/>
        </w:rPr>
        <w:t xml:space="preserve"> </w:t>
      </w:r>
      <w:r w:rsidR="006F7FF6">
        <w:rPr>
          <w:rFonts w:ascii="Times New Roman" w:hAnsi="Times New Roman" w:cs="Times New Roman"/>
          <w:sz w:val="24"/>
          <w:szCs w:val="24"/>
        </w:rPr>
        <w:t>the amount of safety case levy for a facility located</w:t>
      </w:r>
      <w:r w:rsidR="005D6225">
        <w:rPr>
          <w:rFonts w:ascii="Times New Roman" w:hAnsi="Times New Roman" w:cs="Times New Roman"/>
          <w:sz w:val="24"/>
          <w:szCs w:val="24"/>
        </w:rPr>
        <w:t>, or proposed to be located,</w:t>
      </w:r>
      <w:r w:rsidR="006F7FF6">
        <w:rPr>
          <w:rFonts w:ascii="Times New Roman" w:hAnsi="Times New Roman" w:cs="Times New Roman"/>
          <w:sz w:val="24"/>
          <w:szCs w:val="24"/>
        </w:rPr>
        <w:t xml:space="preserve"> in Commonwealth </w:t>
      </w:r>
      <w:r w:rsidR="005D6225">
        <w:rPr>
          <w:rFonts w:ascii="Times New Roman" w:hAnsi="Times New Roman" w:cs="Times New Roman"/>
          <w:sz w:val="24"/>
          <w:szCs w:val="24"/>
        </w:rPr>
        <w:t>waters</w:t>
      </w:r>
      <w:r w:rsidR="006F7FF6">
        <w:rPr>
          <w:rFonts w:ascii="Times New Roman" w:hAnsi="Times New Roman" w:cs="Times New Roman"/>
          <w:sz w:val="24"/>
          <w:szCs w:val="24"/>
        </w:rPr>
        <w:t>.</w:t>
      </w:r>
      <w:r w:rsidR="005D6225">
        <w:rPr>
          <w:rFonts w:ascii="Times New Roman" w:hAnsi="Times New Roman" w:cs="Times New Roman"/>
          <w:sz w:val="24"/>
          <w:szCs w:val="24"/>
        </w:rPr>
        <w:t xml:space="preserve"> </w:t>
      </w:r>
    </w:p>
    <w:p w14:paraId="01AEF736" w14:textId="66B7199E" w:rsidR="006F7FF6" w:rsidRDefault="00A92D8D" w:rsidP="006F7FF6">
      <w:pPr>
        <w:spacing w:before="240"/>
        <w:rPr>
          <w:rFonts w:ascii="Times New Roman" w:hAnsi="Times New Roman" w:cs="Times New Roman"/>
          <w:sz w:val="24"/>
          <w:szCs w:val="24"/>
        </w:rPr>
      </w:pPr>
      <w:r>
        <w:rPr>
          <w:rFonts w:ascii="Times New Roman" w:hAnsi="Times New Roman" w:cs="Times New Roman"/>
          <w:sz w:val="24"/>
          <w:szCs w:val="24"/>
        </w:rPr>
        <w:t xml:space="preserve">Regulation </w:t>
      </w:r>
      <w:r w:rsidR="006F7FF6">
        <w:rPr>
          <w:rFonts w:ascii="Times New Roman" w:hAnsi="Times New Roman" w:cs="Times New Roman"/>
          <w:sz w:val="24"/>
          <w:szCs w:val="24"/>
        </w:rPr>
        <w:t xml:space="preserve">21 includes references to subsection 7(5) of the </w:t>
      </w:r>
      <w:r w:rsidR="006F7FF6" w:rsidRPr="00BE023E">
        <w:rPr>
          <w:rFonts w:ascii="Times New Roman" w:hAnsi="Times New Roman" w:cs="Times New Roman"/>
          <w:sz w:val="24"/>
          <w:szCs w:val="24"/>
        </w:rPr>
        <w:t>Levies Act</w:t>
      </w:r>
      <w:r w:rsidR="006F7FF6">
        <w:rPr>
          <w:rFonts w:ascii="Times New Roman" w:hAnsi="Times New Roman" w:cs="Times New Roman"/>
          <w:sz w:val="24"/>
          <w:szCs w:val="24"/>
        </w:rPr>
        <w:t>, which provide</w:t>
      </w:r>
      <w:r w:rsidR="001F5B5D">
        <w:rPr>
          <w:rFonts w:ascii="Times New Roman" w:hAnsi="Times New Roman" w:cs="Times New Roman"/>
          <w:sz w:val="24"/>
          <w:szCs w:val="24"/>
        </w:rPr>
        <w:t>d</w:t>
      </w:r>
      <w:r w:rsidR="006F7FF6">
        <w:rPr>
          <w:rFonts w:ascii="Times New Roman" w:hAnsi="Times New Roman" w:cs="Times New Roman"/>
          <w:sz w:val="24"/>
          <w:szCs w:val="24"/>
        </w:rPr>
        <w:t xml:space="preserve"> that the amount of safety case levy</w:t>
      </w:r>
      <w:r w:rsidR="006F7FF6" w:rsidRPr="009F0ACF">
        <w:rPr>
          <w:rFonts w:ascii="Times New Roman" w:hAnsi="Times New Roman" w:cs="Times New Roman"/>
          <w:sz w:val="24"/>
          <w:szCs w:val="24"/>
        </w:rPr>
        <w:t xml:space="preserve"> </w:t>
      </w:r>
      <w:r w:rsidR="001F5B5D">
        <w:rPr>
          <w:rFonts w:ascii="Times New Roman" w:hAnsi="Times New Roman" w:cs="Times New Roman"/>
          <w:sz w:val="24"/>
          <w:szCs w:val="24"/>
        </w:rPr>
        <w:t xml:space="preserve">imposed by subsection 7(1) </w:t>
      </w:r>
      <w:r w:rsidR="006F7FF6">
        <w:rPr>
          <w:rFonts w:ascii="Times New Roman" w:hAnsi="Times New Roman" w:cs="Times New Roman"/>
          <w:sz w:val="24"/>
          <w:szCs w:val="24"/>
        </w:rPr>
        <w:t xml:space="preserve">in respect of </w:t>
      </w:r>
      <w:r w:rsidR="000C3A71">
        <w:rPr>
          <w:rFonts w:ascii="Times New Roman" w:hAnsi="Times New Roman" w:cs="Times New Roman"/>
          <w:sz w:val="24"/>
          <w:szCs w:val="24"/>
        </w:rPr>
        <w:t xml:space="preserve">a </w:t>
      </w:r>
      <w:r>
        <w:rPr>
          <w:rFonts w:ascii="Times New Roman" w:hAnsi="Times New Roman" w:cs="Times New Roman"/>
          <w:sz w:val="24"/>
          <w:szCs w:val="24"/>
        </w:rPr>
        <w:t>part of a year</w:t>
      </w:r>
      <w:r w:rsidR="000C3A71">
        <w:rPr>
          <w:rFonts w:ascii="Times New Roman" w:hAnsi="Times New Roman" w:cs="Times New Roman"/>
          <w:sz w:val="24"/>
          <w:szCs w:val="24"/>
        </w:rPr>
        <w:t xml:space="preserve"> </w:t>
      </w:r>
      <w:r w:rsidR="006F7FF6">
        <w:rPr>
          <w:rFonts w:ascii="Times New Roman" w:hAnsi="Times New Roman" w:cs="Times New Roman"/>
          <w:sz w:val="24"/>
          <w:szCs w:val="24"/>
        </w:rPr>
        <w:t xml:space="preserve">is the amount </w:t>
      </w:r>
      <w:r w:rsidR="001F5B5D">
        <w:rPr>
          <w:rFonts w:ascii="Times New Roman" w:hAnsi="Times New Roman" w:cs="Times New Roman"/>
          <w:sz w:val="24"/>
          <w:szCs w:val="24"/>
        </w:rPr>
        <w:t>that is</w:t>
      </w:r>
      <w:r w:rsidR="00F37AD4">
        <w:rPr>
          <w:rFonts w:ascii="Times New Roman" w:hAnsi="Times New Roman" w:cs="Times New Roman"/>
          <w:sz w:val="24"/>
          <w:szCs w:val="24"/>
        </w:rPr>
        <w:t xml:space="preserve"> </w:t>
      </w:r>
      <w:r w:rsidR="006F7FF6">
        <w:rPr>
          <w:rFonts w:ascii="Times New Roman" w:hAnsi="Times New Roman" w:cs="Times New Roman"/>
          <w:sz w:val="24"/>
          <w:szCs w:val="24"/>
        </w:rPr>
        <w:t xml:space="preserve">worked out in </w:t>
      </w:r>
      <w:r w:rsidR="00F37AD4">
        <w:rPr>
          <w:rFonts w:ascii="Times New Roman" w:hAnsi="Times New Roman" w:cs="Times New Roman"/>
          <w:sz w:val="24"/>
          <w:szCs w:val="24"/>
        </w:rPr>
        <w:t xml:space="preserve">accordance with </w:t>
      </w:r>
      <w:r w:rsidR="006F7FF6">
        <w:rPr>
          <w:rFonts w:ascii="Times New Roman" w:hAnsi="Times New Roman" w:cs="Times New Roman"/>
          <w:sz w:val="24"/>
          <w:szCs w:val="24"/>
        </w:rPr>
        <w:t xml:space="preserve">the Levies Regulations. </w:t>
      </w:r>
    </w:p>
    <w:p w14:paraId="304E766F" w14:textId="4E080ED2" w:rsidR="006F7FF6" w:rsidRDefault="006F7FF6" w:rsidP="006F7FF6">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D45B9C">
        <w:rPr>
          <w:rFonts w:ascii="Times New Roman" w:hAnsi="Times New Roman" w:cs="Times New Roman"/>
          <w:sz w:val="24"/>
          <w:szCs w:val="24"/>
        </w:rPr>
        <w:t xml:space="preserve">Levies Amendment Act </w:t>
      </w:r>
      <w:r w:rsidR="007C29A3">
        <w:rPr>
          <w:rFonts w:ascii="Times New Roman" w:hAnsi="Times New Roman" w:cs="Times New Roman"/>
          <w:sz w:val="24"/>
          <w:szCs w:val="24"/>
        </w:rPr>
        <w:t xml:space="preserve">amended </w:t>
      </w:r>
      <w:r>
        <w:rPr>
          <w:rFonts w:ascii="Times New Roman" w:hAnsi="Times New Roman" w:cs="Times New Roman"/>
          <w:sz w:val="24"/>
          <w:szCs w:val="24"/>
        </w:rPr>
        <w:t>the</w:t>
      </w:r>
      <w:r w:rsidR="00526A3A">
        <w:rPr>
          <w:rFonts w:ascii="Times New Roman" w:hAnsi="Times New Roman" w:cs="Times New Roman"/>
          <w:sz w:val="24"/>
          <w:szCs w:val="24"/>
        </w:rPr>
        <w:t xml:space="preserve"> </w:t>
      </w:r>
      <w:r>
        <w:rPr>
          <w:rFonts w:ascii="Times New Roman" w:hAnsi="Times New Roman" w:cs="Times New Roman"/>
          <w:sz w:val="24"/>
          <w:szCs w:val="24"/>
        </w:rPr>
        <w:t xml:space="preserve">Levies Act so that safety case levy </w:t>
      </w:r>
      <w:r w:rsidR="00774357">
        <w:rPr>
          <w:rFonts w:ascii="Times New Roman" w:hAnsi="Times New Roman" w:cs="Times New Roman"/>
          <w:sz w:val="24"/>
          <w:szCs w:val="24"/>
        </w:rPr>
        <w:t xml:space="preserve">imposed by subsection 7(1) </w:t>
      </w:r>
      <w:r>
        <w:rPr>
          <w:rFonts w:ascii="Times New Roman" w:hAnsi="Times New Roman" w:cs="Times New Roman"/>
          <w:sz w:val="24"/>
          <w:szCs w:val="24"/>
        </w:rPr>
        <w:t xml:space="preserve">is </w:t>
      </w:r>
      <w:r w:rsidR="00A60DC3" w:rsidRPr="00A60DC3">
        <w:rPr>
          <w:rFonts w:ascii="Times New Roman" w:hAnsi="Times New Roman" w:cs="Times New Roman"/>
          <w:sz w:val="24"/>
          <w:szCs w:val="24"/>
        </w:rPr>
        <w:t>only imposed in respect of a year, and is no longer imposed in respect of a part of a year</w:t>
      </w:r>
      <w:r>
        <w:rPr>
          <w:rFonts w:ascii="Times New Roman" w:hAnsi="Times New Roman" w:cs="Times New Roman"/>
          <w:sz w:val="24"/>
          <w:szCs w:val="24"/>
        </w:rPr>
        <w:t>.</w:t>
      </w:r>
      <w:r w:rsidR="007C29A3">
        <w:rPr>
          <w:rFonts w:ascii="Times New Roman" w:hAnsi="Times New Roman" w:cs="Times New Roman"/>
          <w:sz w:val="24"/>
          <w:szCs w:val="24"/>
        </w:rPr>
        <w:t xml:space="preserve"> The amendments included repeal of subsection 7(5).</w:t>
      </w:r>
      <w:r>
        <w:rPr>
          <w:rFonts w:ascii="Times New Roman" w:hAnsi="Times New Roman" w:cs="Times New Roman"/>
          <w:sz w:val="24"/>
          <w:szCs w:val="24"/>
        </w:rPr>
        <w:t xml:space="preserve"> </w:t>
      </w:r>
    </w:p>
    <w:p w14:paraId="4D22536C" w14:textId="408BF063" w:rsidR="006F7FF6" w:rsidRDefault="006F7FF6" w:rsidP="006F7FF6">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This item amends </w:t>
      </w:r>
      <w:r w:rsidR="00A92D8D">
        <w:rPr>
          <w:rFonts w:ascii="Times New Roman" w:hAnsi="Times New Roman" w:cs="Times New Roman"/>
          <w:sz w:val="24"/>
          <w:szCs w:val="24"/>
        </w:rPr>
        <w:t xml:space="preserve">regulation </w:t>
      </w:r>
      <w:r>
        <w:rPr>
          <w:rFonts w:ascii="Times New Roman" w:hAnsi="Times New Roman" w:cs="Times New Roman"/>
          <w:sz w:val="24"/>
          <w:szCs w:val="24"/>
        </w:rPr>
        <w:t xml:space="preserve">21 of the Levies Regulations by </w:t>
      </w:r>
      <w:r w:rsidR="00A60DC3">
        <w:rPr>
          <w:rFonts w:ascii="Times New Roman" w:hAnsi="Times New Roman" w:cs="Times New Roman"/>
          <w:sz w:val="24"/>
          <w:szCs w:val="24"/>
        </w:rPr>
        <w:t xml:space="preserve">omitting </w:t>
      </w:r>
      <w:r>
        <w:rPr>
          <w:rFonts w:ascii="Times New Roman" w:hAnsi="Times New Roman" w:cs="Times New Roman"/>
          <w:sz w:val="24"/>
          <w:szCs w:val="24"/>
        </w:rPr>
        <w:t>reference</w:t>
      </w:r>
      <w:r w:rsidR="00292456">
        <w:rPr>
          <w:rFonts w:ascii="Times New Roman" w:hAnsi="Times New Roman" w:cs="Times New Roman"/>
          <w:sz w:val="24"/>
          <w:szCs w:val="24"/>
        </w:rPr>
        <w:t>s</w:t>
      </w:r>
      <w:r>
        <w:rPr>
          <w:rFonts w:ascii="Times New Roman" w:hAnsi="Times New Roman" w:cs="Times New Roman"/>
          <w:sz w:val="24"/>
          <w:szCs w:val="24"/>
        </w:rPr>
        <w:t xml:space="preserve"> to </w:t>
      </w:r>
      <w:r w:rsidR="00292456">
        <w:rPr>
          <w:rFonts w:ascii="Times New Roman" w:hAnsi="Times New Roman" w:cs="Times New Roman"/>
          <w:sz w:val="24"/>
          <w:szCs w:val="24"/>
        </w:rPr>
        <w:t>“</w:t>
      </w:r>
      <w:r>
        <w:rPr>
          <w:rFonts w:ascii="Times New Roman" w:hAnsi="Times New Roman" w:cs="Times New Roman"/>
          <w:sz w:val="24"/>
          <w:szCs w:val="24"/>
        </w:rPr>
        <w:t>subsections 7(4) and (5)</w:t>
      </w:r>
      <w:r w:rsidR="00292456">
        <w:rPr>
          <w:rFonts w:ascii="Times New Roman" w:hAnsi="Times New Roman" w:cs="Times New Roman"/>
          <w:sz w:val="24"/>
          <w:szCs w:val="24"/>
        </w:rPr>
        <w:t>”, wherever these references occur,</w:t>
      </w:r>
      <w:r>
        <w:rPr>
          <w:rFonts w:ascii="Times New Roman" w:hAnsi="Times New Roman" w:cs="Times New Roman"/>
          <w:sz w:val="24"/>
          <w:szCs w:val="24"/>
        </w:rPr>
        <w:t xml:space="preserve"> and substitutes </w:t>
      </w:r>
      <w:r w:rsidR="00292456">
        <w:rPr>
          <w:rFonts w:ascii="Times New Roman" w:hAnsi="Times New Roman" w:cs="Times New Roman"/>
          <w:sz w:val="24"/>
          <w:szCs w:val="24"/>
        </w:rPr>
        <w:t xml:space="preserve">these references </w:t>
      </w:r>
      <w:r>
        <w:rPr>
          <w:rFonts w:ascii="Times New Roman" w:hAnsi="Times New Roman" w:cs="Times New Roman"/>
          <w:sz w:val="24"/>
          <w:szCs w:val="24"/>
        </w:rPr>
        <w:t xml:space="preserve">with </w:t>
      </w:r>
      <w:r w:rsidR="00292456">
        <w:rPr>
          <w:rFonts w:ascii="Times New Roman" w:hAnsi="Times New Roman" w:cs="Times New Roman"/>
          <w:sz w:val="24"/>
          <w:szCs w:val="24"/>
        </w:rPr>
        <w:t>“</w:t>
      </w:r>
      <w:r>
        <w:rPr>
          <w:rFonts w:ascii="Times New Roman" w:hAnsi="Times New Roman" w:cs="Times New Roman"/>
          <w:sz w:val="24"/>
          <w:szCs w:val="24"/>
        </w:rPr>
        <w:t>sub</w:t>
      </w:r>
      <w:r w:rsidR="00A92D8D">
        <w:rPr>
          <w:rFonts w:ascii="Times New Roman" w:hAnsi="Times New Roman" w:cs="Times New Roman"/>
          <w:sz w:val="24"/>
          <w:szCs w:val="24"/>
        </w:rPr>
        <w:t xml:space="preserve">section </w:t>
      </w:r>
      <w:r>
        <w:rPr>
          <w:rFonts w:ascii="Times New Roman" w:hAnsi="Times New Roman" w:cs="Times New Roman"/>
          <w:sz w:val="24"/>
          <w:szCs w:val="24"/>
        </w:rPr>
        <w:t>7(4)</w:t>
      </w:r>
      <w:r w:rsidR="00292456">
        <w:rPr>
          <w:rFonts w:ascii="Times New Roman" w:hAnsi="Times New Roman" w:cs="Times New Roman"/>
          <w:sz w:val="24"/>
          <w:szCs w:val="24"/>
        </w:rPr>
        <w:t>”</w:t>
      </w:r>
      <w:r w:rsidR="00DB7F34">
        <w:rPr>
          <w:rFonts w:ascii="Times New Roman" w:hAnsi="Times New Roman" w:cs="Times New Roman"/>
          <w:sz w:val="24"/>
          <w:szCs w:val="24"/>
        </w:rPr>
        <w:t>,</w:t>
      </w:r>
      <w:r w:rsidR="00292456">
        <w:rPr>
          <w:rFonts w:ascii="Times New Roman" w:hAnsi="Times New Roman" w:cs="Times New Roman"/>
          <w:sz w:val="24"/>
          <w:szCs w:val="24"/>
        </w:rPr>
        <w:t xml:space="preserve"> to reflect the repeal of subsection 7(5) of the Levies Act</w:t>
      </w:r>
      <w:r>
        <w:rPr>
          <w:rFonts w:ascii="Times New Roman" w:hAnsi="Times New Roman" w:cs="Times New Roman"/>
          <w:sz w:val="24"/>
          <w:szCs w:val="24"/>
        </w:rPr>
        <w:t xml:space="preserve">. </w:t>
      </w:r>
    </w:p>
    <w:p w14:paraId="186597FE" w14:textId="432E490A" w:rsidR="006F7FF6" w:rsidRDefault="005C421C" w:rsidP="006F7FF6">
      <w:pPr>
        <w:spacing w:before="240"/>
        <w:rPr>
          <w:rFonts w:ascii="Times New Roman" w:hAnsi="Times New Roman" w:cs="Times New Roman"/>
          <w:b/>
          <w:sz w:val="24"/>
          <w:szCs w:val="24"/>
        </w:rPr>
      </w:pPr>
      <w:r>
        <w:rPr>
          <w:rFonts w:ascii="Times New Roman" w:hAnsi="Times New Roman" w:cs="Times New Roman"/>
          <w:b/>
          <w:sz w:val="24"/>
          <w:szCs w:val="24"/>
        </w:rPr>
        <w:t>Items 2 to 4 – Subregulations</w:t>
      </w:r>
      <w:r w:rsidR="006F7FF6">
        <w:rPr>
          <w:rFonts w:ascii="Times New Roman" w:hAnsi="Times New Roman" w:cs="Times New Roman"/>
          <w:b/>
          <w:sz w:val="24"/>
          <w:szCs w:val="24"/>
        </w:rPr>
        <w:t xml:space="preserve"> 22(1) and 22(2)</w:t>
      </w:r>
    </w:p>
    <w:p w14:paraId="35DD1C0A" w14:textId="79C69167" w:rsidR="00BC2D2C" w:rsidRDefault="00A92D8D" w:rsidP="006F7FF6">
      <w:pPr>
        <w:spacing w:before="240" w:after="240"/>
        <w:rPr>
          <w:rFonts w:ascii="Times New Roman" w:hAnsi="Times New Roman" w:cs="Times New Roman"/>
          <w:sz w:val="24"/>
          <w:szCs w:val="24"/>
        </w:rPr>
      </w:pPr>
      <w:r>
        <w:rPr>
          <w:rFonts w:ascii="Times New Roman" w:hAnsi="Times New Roman" w:cs="Times New Roman"/>
          <w:sz w:val="24"/>
          <w:szCs w:val="24"/>
        </w:rPr>
        <w:t xml:space="preserve">Regulation </w:t>
      </w:r>
      <w:r w:rsidR="006F7FF6">
        <w:rPr>
          <w:rFonts w:ascii="Times New Roman" w:hAnsi="Times New Roman" w:cs="Times New Roman"/>
          <w:sz w:val="24"/>
          <w:szCs w:val="24"/>
        </w:rPr>
        <w:t xml:space="preserve">22 </w:t>
      </w:r>
      <w:r w:rsidR="006F7FF6" w:rsidRPr="00FF3F58">
        <w:rPr>
          <w:rFonts w:ascii="Times New Roman" w:hAnsi="Times New Roman" w:cs="Times New Roman"/>
          <w:sz w:val="24"/>
          <w:szCs w:val="24"/>
        </w:rPr>
        <w:t>of the Levies Regulations</w:t>
      </w:r>
      <w:r w:rsidR="006F7FF6">
        <w:rPr>
          <w:rFonts w:ascii="Times New Roman" w:hAnsi="Times New Roman" w:cs="Times New Roman"/>
          <w:sz w:val="24"/>
          <w:szCs w:val="24"/>
        </w:rPr>
        <w:t xml:space="preserve"> </w:t>
      </w:r>
      <w:r w:rsidR="007B1DF7">
        <w:rPr>
          <w:rFonts w:ascii="Times New Roman" w:hAnsi="Times New Roman" w:cs="Times New Roman"/>
          <w:sz w:val="24"/>
          <w:szCs w:val="24"/>
        </w:rPr>
        <w:t xml:space="preserve">provides a mechanism whereby the amount of </w:t>
      </w:r>
      <w:r w:rsidR="006F7FF6">
        <w:rPr>
          <w:rFonts w:ascii="Times New Roman" w:hAnsi="Times New Roman" w:cs="Times New Roman"/>
          <w:sz w:val="24"/>
          <w:szCs w:val="24"/>
        </w:rPr>
        <w:t xml:space="preserve">safety case levy </w:t>
      </w:r>
      <w:r w:rsidR="007B1DF7">
        <w:rPr>
          <w:rFonts w:ascii="Times New Roman" w:hAnsi="Times New Roman" w:cs="Times New Roman"/>
          <w:sz w:val="24"/>
          <w:szCs w:val="24"/>
        </w:rPr>
        <w:t>collected</w:t>
      </w:r>
      <w:r w:rsidR="00BC2D2C">
        <w:rPr>
          <w:rFonts w:ascii="Times New Roman" w:hAnsi="Times New Roman" w:cs="Times New Roman"/>
          <w:sz w:val="24"/>
          <w:szCs w:val="24"/>
        </w:rPr>
        <w:t xml:space="preserve"> in </w:t>
      </w:r>
      <w:r w:rsidR="00A60DC3">
        <w:rPr>
          <w:rFonts w:ascii="Times New Roman" w:hAnsi="Times New Roman" w:cs="Times New Roman"/>
          <w:sz w:val="24"/>
          <w:szCs w:val="24"/>
        </w:rPr>
        <w:t>relation to a safety case for a facility</w:t>
      </w:r>
      <w:r w:rsidR="00A23A80">
        <w:rPr>
          <w:rFonts w:ascii="Times New Roman" w:hAnsi="Times New Roman" w:cs="Times New Roman"/>
          <w:sz w:val="24"/>
          <w:szCs w:val="24"/>
        </w:rPr>
        <w:t xml:space="preserve"> located, or proposed to be located, in Commonwealth waters</w:t>
      </w:r>
      <w:r w:rsidR="007B1DF7">
        <w:rPr>
          <w:rFonts w:ascii="Times New Roman" w:hAnsi="Times New Roman" w:cs="Times New Roman"/>
          <w:sz w:val="24"/>
          <w:szCs w:val="24"/>
        </w:rPr>
        <w:t xml:space="preserve"> may be varied during the course of a year so as to reconcile the amounts invoiced in advance with the amounts that should, as events have turned out, have been invoiced</w:t>
      </w:r>
      <w:r w:rsidR="00A60DC3">
        <w:rPr>
          <w:rFonts w:ascii="Times New Roman" w:hAnsi="Times New Roman" w:cs="Times New Roman"/>
          <w:sz w:val="24"/>
          <w:szCs w:val="24"/>
        </w:rPr>
        <w:t xml:space="preserve">. </w:t>
      </w:r>
    </w:p>
    <w:p w14:paraId="26872C1C" w14:textId="142E8A16" w:rsidR="00A60DC3" w:rsidRDefault="00A60DC3" w:rsidP="00A60DC3">
      <w:pPr>
        <w:spacing w:before="240"/>
        <w:rPr>
          <w:rFonts w:ascii="Times New Roman" w:hAnsi="Times New Roman" w:cs="Times New Roman"/>
          <w:sz w:val="24"/>
          <w:szCs w:val="24"/>
        </w:rPr>
      </w:pPr>
      <w:r>
        <w:rPr>
          <w:rFonts w:ascii="Times New Roman" w:hAnsi="Times New Roman" w:cs="Times New Roman"/>
          <w:sz w:val="24"/>
          <w:szCs w:val="24"/>
        </w:rPr>
        <w:t xml:space="preserve">Regulation 22 includes </w:t>
      </w:r>
      <w:r w:rsidR="004320F8">
        <w:rPr>
          <w:rFonts w:ascii="Times New Roman" w:hAnsi="Times New Roman" w:cs="Times New Roman"/>
          <w:sz w:val="24"/>
          <w:szCs w:val="24"/>
        </w:rPr>
        <w:t xml:space="preserve">a </w:t>
      </w:r>
      <w:r>
        <w:rPr>
          <w:rFonts w:ascii="Times New Roman" w:hAnsi="Times New Roman" w:cs="Times New Roman"/>
          <w:sz w:val="24"/>
          <w:szCs w:val="24"/>
        </w:rPr>
        <w:t xml:space="preserve">reference to subsection 7(5) of the </w:t>
      </w:r>
      <w:r w:rsidRPr="00BE023E">
        <w:rPr>
          <w:rFonts w:ascii="Times New Roman" w:hAnsi="Times New Roman" w:cs="Times New Roman"/>
          <w:sz w:val="24"/>
          <w:szCs w:val="24"/>
        </w:rPr>
        <w:t>Levies Act</w:t>
      </w:r>
      <w:r>
        <w:rPr>
          <w:rFonts w:ascii="Times New Roman" w:hAnsi="Times New Roman" w:cs="Times New Roman"/>
          <w:sz w:val="24"/>
          <w:szCs w:val="24"/>
        </w:rPr>
        <w:t>, which provide</w:t>
      </w:r>
      <w:r w:rsidR="004320F8">
        <w:rPr>
          <w:rFonts w:ascii="Times New Roman" w:hAnsi="Times New Roman" w:cs="Times New Roman"/>
          <w:sz w:val="24"/>
          <w:szCs w:val="24"/>
        </w:rPr>
        <w:t>d</w:t>
      </w:r>
      <w:r>
        <w:rPr>
          <w:rFonts w:ascii="Times New Roman" w:hAnsi="Times New Roman" w:cs="Times New Roman"/>
          <w:sz w:val="24"/>
          <w:szCs w:val="24"/>
        </w:rPr>
        <w:t xml:space="preserve"> that the amount of safety case levy</w:t>
      </w:r>
      <w:r w:rsidRPr="009F0ACF">
        <w:rPr>
          <w:rFonts w:ascii="Times New Roman" w:hAnsi="Times New Roman" w:cs="Times New Roman"/>
          <w:sz w:val="24"/>
          <w:szCs w:val="24"/>
        </w:rPr>
        <w:t xml:space="preserve"> </w:t>
      </w:r>
      <w:r w:rsidR="004320F8">
        <w:rPr>
          <w:rFonts w:ascii="Times New Roman" w:hAnsi="Times New Roman" w:cs="Times New Roman"/>
          <w:sz w:val="24"/>
          <w:szCs w:val="24"/>
        </w:rPr>
        <w:t xml:space="preserve">imposed by subsection 7(1) </w:t>
      </w:r>
      <w:r>
        <w:rPr>
          <w:rFonts w:ascii="Times New Roman" w:hAnsi="Times New Roman" w:cs="Times New Roman"/>
          <w:sz w:val="24"/>
          <w:szCs w:val="24"/>
        </w:rPr>
        <w:t xml:space="preserve">in respect of </w:t>
      </w:r>
      <w:r w:rsidR="00604C7F">
        <w:rPr>
          <w:rFonts w:ascii="Times New Roman" w:hAnsi="Times New Roman" w:cs="Times New Roman"/>
          <w:sz w:val="24"/>
          <w:szCs w:val="24"/>
        </w:rPr>
        <w:t xml:space="preserve">a </w:t>
      </w:r>
      <w:r>
        <w:rPr>
          <w:rFonts w:ascii="Times New Roman" w:hAnsi="Times New Roman" w:cs="Times New Roman"/>
          <w:sz w:val="24"/>
          <w:szCs w:val="24"/>
        </w:rPr>
        <w:t xml:space="preserve">part of a year is the amount </w:t>
      </w:r>
      <w:r w:rsidR="004320F8">
        <w:rPr>
          <w:rFonts w:ascii="Times New Roman" w:hAnsi="Times New Roman" w:cs="Times New Roman"/>
          <w:sz w:val="24"/>
          <w:szCs w:val="24"/>
        </w:rPr>
        <w:t>that is</w:t>
      </w:r>
      <w:r>
        <w:rPr>
          <w:rFonts w:ascii="Times New Roman" w:hAnsi="Times New Roman" w:cs="Times New Roman"/>
          <w:sz w:val="24"/>
          <w:szCs w:val="24"/>
        </w:rPr>
        <w:t xml:space="preserve"> worked out in accordance with the Levies Regulations. </w:t>
      </w:r>
    </w:p>
    <w:p w14:paraId="71DB0696" w14:textId="63718B6E" w:rsidR="006F7FF6" w:rsidRDefault="00C35015" w:rsidP="006F7FF6">
      <w:pPr>
        <w:spacing w:before="240" w:after="240"/>
        <w:rPr>
          <w:rFonts w:ascii="Times New Roman" w:hAnsi="Times New Roman" w:cs="Times New Roman"/>
          <w:sz w:val="24"/>
          <w:szCs w:val="24"/>
        </w:rPr>
      </w:pPr>
      <w:r>
        <w:rPr>
          <w:rFonts w:ascii="Times New Roman" w:hAnsi="Times New Roman" w:cs="Times New Roman"/>
          <w:sz w:val="24"/>
          <w:szCs w:val="24"/>
        </w:rPr>
        <w:t>The</w:t>
      </w:r>
      <w:r w:rsidR="006F7FF6">
        <w:rPr>
          <w:rFonts w:ascii="Times New Roman" w:hAnsi="Times New Roman" w:cs="Times New Roman"/>
          <w:sz w:val="24"/>
          <w:szCs w:val="24"/>
        </w:rPr>
        <w:t xml:space="preserve"> Levies Amendment Act </w:t>
      </w:r>
      <w:r w:rsidR="002212D6">
        <w:rPr>
          <w:rFonts w:ascii="Times New Roman" w:hAnsi="Times New Roman" w:cs="Times New Roman"/>
          <w:sz w:val="24"/>
          <w:szCs w:val="24"/>
        </w:rPr>
        <w:t xml:space="preserve">amended </w:t>
      </w:r>
      <w:r>
        <w:rPr>
          <w:rFonts w:ascii="Times New Roman" w:hAnsi="Times New Roman" w:cs="Times New Roman"/>
          <w:sz w:val="24"/>
          <w:szCs w:val="24"/>
        </w:rPr>
        <w:t xml:space="preserve">the </w:t>
      </w:r>
      <w:r w:rsidR="006F7FF6">
        <w:rPr>
          <w:rFonts w:ascii="Times New Roman" w:hAnsi="Times New Roman" w:cs="Times New Roman"/>
          <w:sz w:val="24"/>
          <w:szCs w:val="24"/>
        </w:rPr>
        <w:t xml:space="preserve">Levies Act so that safety case levy </w:t>
      </w:r>
      <w:r w:rsidR="00774357">
        <w:rPr>
          <w:rFonts w:ascii="Times New Roman" w:hAnsi="Times New Roman" w:cs="Times New Roman"/>
          <w:sz w:val="24"/>
          <w:szCs w:val="24"/>
        </w:rPr>
        <w:t xml:space="preserve">imposed by subsection 7(1) </w:t>
      </w:r>
      <w:r w:rsidR="00A60DC3" w:rsidRPr="00A60DC3">
        <w:rPr>
          <w:rFonts w:ascii="Times New Roman" w:hAnsi="Times New Roman" w:cs="Times New Roman"/>
          <w:sz w:val="24"/>
          <w:szCs w:val="24"/>
        </w:rPr>
        <w:t>is only imposed in respect of a year, and is no longer imposed in respect of a part of a year</w:t>
      </w:r>
      <w:r w:rsidR="006F7FF6">
        <w:rPr>
          <w:rFonts w:ascii="Times New Roman" w:hAnsi="Times New Roman" w:cs="Times New Roman"/>
          <w:sz w:val="24"/>
          <w:szCs w:val="24"/>
        </w:rPr>
        <w:t xml:space="preserve">. </w:t>
      </w:r>
      <w:r w:rsidR="002212D6">
        <w:rPr>
          <w:rFonts w:ascii="Times New Roman" w:hAnsi="Times New Roman" w:cs="Times New Roman"/>
          <w:sz w:val="24"/>
          <w:szCs w:val="24"/>
        </w:rPr>
        <w:t>The amendments included repeal of subsection 7(5).</w:t>
      </w:r>
    </w:p>
    <w:p w14:paraId="4CF42D57" w14:textId="4B0B6A45" w:rsidR="006F7FF6" w:rsidRPr="000263AB" w:rsidRDefault="00A60DC3" w:rsidP="000263AB">
      <w:pPr>
        <w:spacing w:before="240"/>
        <w:rPr>
          <w:rFonts w:ascii="Times New Roman" w:hAnsi="Times New Roman" w:cs="Times New Roman"/>
          <w:sz w:val="24"/>
          <w:szCs w:val="24"/>
        </w:rPr>
      </w:pPr>
      <w:r>
        <w:rPr>
          <w:rFonts w:ascii="Times New Roman" w:hAnsi="Times New Roman" w:cs="Times New Roman"/>
          <w:sz w:val="24"/>
          <w:szCs w:val="24"/>
        </w:rPr>
        <w:t>Items 2 to 4 amend regulation 22 to reflect the repeal of subsection 7(5) of the Levies Act</w:t>
      </w:r>
      <w:r w:rsidR="002212D6">
        <w:rPr>
          <w:rFonts w:ascii="Times New Roman" w:hAnsi="Times New Roman" w:cs="Times New Roman"/>
          <w:sz w:val="24"/>
          <w:szCs w:val="24"/>
        </w:rPr>
        <w:t xml:space="preserve"> and that levy is no longer imposed in respect of part of a year</w:t>
      </w:r>
      <w:r>
        <w:rPr>
          <w:rFonts w:ascii="Times New Roman" w:hAnsi="Times New Roman" w:cs="Times New Roman"/>
          <w:sz w:val="24"/>
          <w:szCs w:val="24"/>
        </w:rPr>
        <w:t xml:space="preserve">. </w:t>
      </w:r>
      <w:r w:rsidR="00D42176">
        <w:rPr>
          <w:rFonts w:ascii="Times New Roman" w:hAnsi="Times New Roman" w:cs="Times New Roman"/>
          <w:sz w:val="24"/>
          <w:szCs w:val="24"/>
        </w:rPr>
        <w:t>I</w:t>
      </w:r>
      <w:r w:rsidR="006F7FF6">
        <w:rPr>
          <w:rFonts w:ascii="Times New Roman" w:hAnsi="Times New Roman" w:cs="Times New Roman"/>
          <w:sz w:val="24"/>
          <w:szCs w:val="24"/>
        </w:rPr>
        <w:t xml:space="preserve">tem 2 </w:t>
      </w:r>
      <w:r>
        <w:rPr>
          <w:rFonts w:ascii="Times New Roman" w:hAnsi="Times New Roman" w:cs="Times New Roman"/>
          <w:sz w:val="24"/>
          <w:szCs w:val="24"/>
        </w:rPr>
        <w:t>amends subregulation 22(1) by omitting</w:t>
      </w:r>
      <w:r w:rsidR="006F7FF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F7FF6">
        <w:rPr>
          <w:rFonts w:ascii="Times New Roman" w:hAnsi="Times New Roman" w:cs="Times New Roman"/>
          <w:sz w:val="24"/>
          <w:szCs w:val="24"/>
        </w:rPr>
        <w:t xml:space="preserve">reference to </w:t>
      </w:r>
      <w:r>
        <w:rPr>
          <w:rFonts w:ascii="Times New Roman" w:hAnsi="Times New Roman" w:cs="Times New Roman"/>
          <w:sz w:val="24"/>
          <w:szCs w:val="24"/>
        </w:rPr>
        <w:t>“</w:t>
      </w:r>
      <w:r w:rsidR="006F7FF6">
        <w:rPr>
          <w:rFonts w:ascii="Times New Roman" w:hAnsi="Times New Roman" w:cs="Times New Roman"/>
          <w:sz w:val="24"/>
          <w:szCs w:val="24"/>
        </w:rPr>
        <w:t>subsections 7(4) and (5)</w:t>
      </w:r>
      <w:r>
        <w:rPr>
          <w:rFonts w:ascii="Times New Roman" w:hAnsi="Times New Roman" w:cs="Times New Roman"/>
          <w:sz w:val="24"/>
          <w:szCs w:val="24"/>
        </w:rPr>
        <w:t>”</w:t>
      </w:r>
      <w:r w:rsidR="006F7FF6">
        <w:rPr>
          <w:rFonts w:ascii="Times New Roman" w:hAnsi="Times New Roman" w:cs="Times New Roman"/>
          <w:sz w:val="24"/>
          <w:szCs w:val="24"/>
        </w:rPr>
        <w:t xml:space="preserve"> and replaces </w:t>
      </w:r>
      <w:r>
        <w:rPr>
          <w:rFonts w:ascii="Times New Roman" w:hAnsi="Times New Roman" w:cs="Times New Roman"/>
          <w:sz w:val="24"/>
          <w:szCs w:val="24"/>
        </w:rPr>
        <w:t xml:space="preserve">this reference </w:t>
      </w:r>
      <w:r w:rsidR="006F7FF6">
        <w:rPr>
          <w:rFonts w:ascii="Times New Roman" w:hAnsi="Times New Roman" w:cs="Times New Roman"/>
          <w:sz w:val="24"/>
          <w:szCs w:val="24"/>
        </w:rPr>
        <w:t xml:space="preserve">with </w:t>
      </w:r>
      <w:r>
        <w:rPr>
          <w:rFonts w:ascii="Times New Roman" w:hAnsi="Times New Roman" w:cs="Times New Roman"/>
          <w:sz w:val="24"/>
          <w:szCs w:val="24"/>
        </w:rPr>
        <w:t>“</w:t>
      </w:r>
      <w:r w:rsidR="006F7FF6">
        <w:rPr>
          <w:rFonts w:ascii="Times New Roman" w:hAnsi="Times New Roman" w:cs="Times New Roman"/>
          <w:sz w:val="24"/>
          <w:szCs w:val="24"/>
        </w:rPr>
        <w:t>sub</w:t>
      </w:r>
      <w:r w:rsidR="00A92D8D">
        <w:rPr>
          <w:rFonts w:ascii="Times New Roman" w:hAnsi="Times New Roman" w:cs="Times New Roman"/>
          <w:sz w:val="24"/>
          <w:szCs w:val="24"/>
        </w:rPr>
        <w:t xml:space="preserve">section </w:t>
      </w:r>
      <w:r w:rsidR="00347A60">
        <w:rPr>
          <w:rFonts w:ascii="Times New Roman" w:hAnsi="Times New Roman" w:cs="Times New Roman"/>
          <w:sz w:val="24"/>
          <w:szCs w:val="24"/>
        </w:rPr>
        <w:t>7(4)</w:t>
      </w:r>
      <w:r>
        <w:rPr>
          <w:rFonts w:ascii="Times New Roman" w:hAnsi="Times New Roman" w:cs="Times New Roman"/>
          <w:sz w:val="24"/>
          <w:szCs w:val="24"/>
        </w:rPr>
        <w:t>”</w:t>
      </w:r>
      <w:r w:rsidR="00D42176">
        <w:rPr>
          <w:rFonts w:ascii="Times New Roman" w:hAnsi="Times New Roman" w:cs="Times New Roman"/>
          <w:sz w:val="24"/>
          <w:szCs w:val="24"/>
        </w:rPr>
        <w:t>.</w:t>
      </w:r>
      <w:r>
        <w:rPr>
          <w:rFonts w:ascii="Times New Roman" w:hAnsi="Times New Roman" w:cs="Times New Roman"/>
          <w:sz w:val="24"/>
          <w:szCs w:val="24"/>
        </w:rPr>
        <w:t xml:space="preserve"> </w:t>
      </w:r>
      <w:r w:rsidR="00D42176">
        <w:rPr>
          <w:rFonts w:ascii="Times New Roman" w:hAnsi="Times New Roman" w:cs="Times New Roman"/>
          <w:sz w:val="24"/>
          <w:szCs w:val="24"/>
        </w:rPr>
        <w:t>I</w:t>
      </w:r>
      <w:r w:rsidRPr="000263AB">
        <w:rPr>
          <w:rFonts w:ascii="Times New Roman" w:hAnsi="Times New Roman" w:cs="Times New Roman"/>
          <w:sz w:val="24"/>
          <w:szCs w:val="24"/>
        </w:rPr>
        <w:t xml:space="preserve">tem </w:t>
      </w:r>
      <w:r w:rsidR="00347A60" w:rsidRPr="000263AB">
        <w:rPr>
          <w:rFonts w:ascii="Times New Roman" w:hAnsi="Times New Roman" w:cs="Times New Roman"/>
          <w:sz w:val="24"/>
          <w:szCs w:val="24"/>
        </w:rPr>
        <w:t>3</w:t>
      </w:r>
      <w:r w:rsidR="006F7FF6" w:rsidRPr="000263AB">
        <w:rPr>
          <w:rFonts w:ascii="Times New Roman" w:hAnsi="Times New Roman" w:cs="Times New Roman"/>
          <w:sz w:val="24"/>
          <w:szCs w:val="24"/>
        </w:rPr>
        <w:t xml:space="preserve"> </w:t>
      </w:r>
      <w:r w:rsidRPr="000263AB">
        <w:rPr>
          <w:rFonts w:ascii="Times New Roman" w:hAnsi="Times New Roman" w:cs="Times New Roman"/>
          <w:sz w:val="24"/>
          <w:szCs w:val="24"/>
        </w:rPr>
        <w:t xml:space="preserve">amends subregulation 22(1) by </w:t>
      </w:r>
      <w:r w:rsidR="006F7FF6" w:rsidRPr="000263AB">
        <w:rPr>
          <w:rFonts w:ascii="Times New Roman" w:hAnsi="Times New Roman" w:cs="Times New Roman"/>
          <w:sz w:val="24"/>
          <w:szCs w:val="24"/>
        </w:rPr>
        <w:t>omit</w:t>
      </w:r>
      <w:r w:rsidRPr="000263AB">
        <w:rPr>
          <w:rFonts w:ascii="Times New Roman" w:hAnsi="Times New Roman" w:cs="Times New Roman"/>
          <w:sz w:val="24"/>
          <w:szCs w:val="24"/>
        </w:rPr>
        <w:t>ting the</w:t>
      </w:r>
      <w:r w:rsidR="006F7FF6" w:rsidRPr="000263AB">
        <w:rPr>
          <w:rFonts w:ascii="Times New Roman" w:hAnsi="Times New Roman" w:cs="Times New Roman"/>
          <w:sz w:val="24"/>
          <w:szCs w:val="24"/>
        </w:rPr>
        <w:t xml:space="preserve"> reference to “or part of a year</w:t>
      </w:r>
      <w:r w:rsidRPr="000263AB">
        <w:rPr>
          <w:rFonts w:ascii="Times New Roman" w:hAnsi="Times New Roman" w:cs="Times New Roman"/>
          <w:sz w:val="24"/>
          <w:szCs w:val="24"/>
        </w:rPr>
        <w:t>”</w:t>
      </w:r>
      <w:r w:rsidR="00D42176">
        <w:rPr>
          <w:rFonts w:ascii="Times New Roman" w:hAnsi="Times New Roman" w:cs="Times New Roman"/>
          <w:sz w:val="24"/>
          <w:szCs w:val="24"/>
        </w:rPr>
        <w:t xml:space="preserve">. </w:t>
      </w:r>
      <w:r w:rsidR="000C3A71">
        <w:rPr>
          <w:rFonts w:ascii="Times New Roman" w:hAnsi="Times New Roman" w:cs="Times New Roman"/>
          <w:sz w:val="24"/>
          <w:szCs w:val="24"/>
        </w:rPr>
        <w:t>I</w:t>
      </w:r>
      <w:r w:rsidRPr="000263AB">
        <w:rPr>
          <w:rFonts w:ascii="Times New Roman" w:hAnsi="Times New Roman" w:cs="Times New Roman"/>
          <w:sz w:val="24"/>
          <w:szCs w:val="24"/>
        </w:rPr>
        <w:t xml:space="preserve">tem </w:t>
      </w:r>
      <w:r w:rsidR="006F7FF6" w:rsidRPr="000263AB">
        <w:rPr>
          <w:rFonts w:ascii="Times New Roman" w:hAnsi="Times New Roman" w:cs="Times New Roman"/>
          <w:sz w:val="24"/>
          <w:szCs w:val="24"/>
        </w:rPr>
        <w:t xml:space="preserve">4 </w:t>
      </w:r>
      <w:r w:rsidRPr="000263AB">
        <w:rPr>
          <w:rFonts w:ascii="Times New Roman" w:hAnsi="Times New Roman" w:cs="Times New Roman"/>
          <w:sz w:val="24"/>
          <w:szCs w:val="24"/>
        </w:rPr>
        <w:t xml:space="preserve">amends </w:t>
      </w:r>
      <w:r w:rsidR="006F7FF6" w:rsidRPr="000263AB">
        <w:rPr>
          <w:rFonts w:ascii="Times New Roman" w:hAnsi="Times New Roman" w:cs="Times New Roman"/>
          <w:sz w:val="24"/>
          <w:szCs w:val="24"/>
        </w:rPr>
        <w:t>sub</w:t>
      </w:r>
      <w:r w:rsidR="00A92D8D" w:rsidRPr="000263AB">
        <w:rPr>
          <w:rFonts w:ascii="Times New Roman" w:hAnsi="Times New Roman" w:cs="Times New Roman"/>
          <w:sz w:val="24"/>
          <w:szCs w:val="24"/>
        </w:rPr>
        <w:t xml:space="preserve">regulation </w:t>
      </w:r>
      <w:r w:rsidR="006F7FF6" w:rsidRPr="000263AB">
        <w:rPr>
          <w:rFonts w:ascii="Times New Roman" w:hAnsi="Times New Roman" w:cs="Times New Roman"/>
          <w:sz w:val="24"/>
          <w:szCs w:val="24"/>
        </w:rPr>
        <w:t xml:space="preserve">22(2) </w:t>
      </w:r>
      <w:r w:rsidRPr="000263AB">
        <w:rPr>
          <w:rFonts w:ascii="Times New Roman" w:hAnsi="Times New Roman" w:cs="Times New Roman"/>
          <w:sz w:val="24"/>
          <w:szCs w:val="24"/>
        </w:rPr>
        <w:t>by</w:t>
      </w:r>
      <w:r w:rsidR="006F7FF6" w:rsidRPr="000263AB">
        <w:rPr>
          <w:rFonts w:ascii="Times New Roman" w:hAnsi="Times New Roman" w:cs="Times New Roman"/>
          <w:sz w:val="24"/>
          <w:szCs w:val="24"/>
        </w:rPr>
        <w:t xml:space="preserve"> </w:t>
      </w:r>
      <w:r w:rsidRPr="000263AB">
        <w:rPr>
          <w:rFonts w:ascii="Times New Roman" w:hAnsi="Times New Roman" w:cs="Times New Roman"/>
          <w:sz w:val="24"/>
          <w:szCs w:val="24"/>
        </w:rPr>
        <w:t xml:space="preserve">omitting </w:t>
      </w:r>
      <w:r w:rsidR="007D370A">
        <w:rPr>
          <w:rFonts w:ascii="Times New Roman" w:hAnsi="Times New Roman" w:cs="Times New Roman"/>
          <w:sz w:val="24"/>
          <w:szCs w:val="24"/>
        </w:rPr>
        <w:t xml:space="preserve">references to </w:t>
      </w:r>
      <w:r w:rsidR="006F7FF6" w:rsidRPr="000263AB">
        <w:rPr>
          <w:rFonts w:ascii="Times New Roman" w:hAnsi="Times New Roman" w:cs="Times New Roman"/>
          <w:sz w:val="24"/>
          <w:szCs w:val="24"/>
        </w:rPr>
        <w:t>“or part of a year”</w:t>
      </w:r>
      <w:r w:rsidR="007D370A">
        <w:rPr>
          <w:rFonts w:ascii="Times New Roman" w:hAnsi="Times New Roman" w:cs="Times New Roman"/>
          <w:sz w:val="24"/>
          <w:szCs w:val="24"/>
        </w:rPr>
        <w:t>, wherever these references occur</w:t>
      </w:r>
      <w:r w:rsidR="006F7FF6" w:rsidRPr="000263AB">
        <w:rPr>
          <w:rFonts w:ascii="Times New Roman" w:hAnsi="Times New Roman" w:cs="Times New Roman"/>
          <w:sz w:val="24"/>
          <w:szCs w:val="24"/>
        </w:rPr>
        <w:t>.</w:t>
      </w:r>
    </w:p>
    <w:p w14:paraId="0F6CAFFC" w14:textId="308A7B7D" w:rsidR="006F7FF6" w:rsidRDefault="006F7FF6" w:rsidP="006F7FF6">
      <w:pPr>
        <w:spacing w:before="240" w:after="240"/>
        <w:rPr>
          <w:rFonts w:ascii="Times New Roman" w:hAnsi="Times New Roman" w:cs="Times New Roman"/>
          <w:b/>
          <w:sz w:val="24"/>
          <w:szCs w:val="24"/>
        </w:rPr>
      </w:pPr>
      <w:r w:rsidRPr="009F0ACF">
        <w:rPr>
          <w:rFonts w:ascii="Times New Roman" w:hAnsi="Times New Roman" w:cs="Times New Roman"/>
          <w:b/>
          <w:sz w:val="24"/>
          <w:szCs w:val="24"/>
        </w:rPr>
        <w:t>Item 5 –</w:t>
      </w:r>
      <w:r>
        <w:rPr>
          <w:rFonts w:ascii="Times New Roman" w:hAnsi="Times New Roman" w:cs="Times New Roman"/>
          <w:b/>
          <w:sz w:val="24"/>
          <w:szCs w:val="24"/>
        </w:rPr>
        <w:t xml:space="preserve"> Paragraph</w:t>
      </w:r>
      <w:r w:rsidRPr="009F0ACF">
        <w:rPr>
          <w:rFonts w:ascii="Times New Roman" w:hAnsi="Times New Roman" w:cs="Times New Roman"/>
          <w:b/>
          <w:sz w:val="24"/>
          <w:szCs w:val="24"/>
        </w:rPr>
        <w:t xml:space="preserve"> 25(1)(b)</w:t>
      </w:r>
    </w:p>
    <w:p w14:paraId="57A819C2" w14:textId="1F62B8AC" w:rsidR="006F7FF6" w:rsidRDefault="000C3A71"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 25</w:t>
      </w:r>
      <w:r w:rsidR="006F7FF6">
        <w:rPr>
          <w:rFonts w:ascii="Times New Roman" w:hAnsi="Times New Roman" w:cs="Times New Roman"/>
          <w:sz w:val="24"/>
          <w:szCs w:val="24"/>
        </w:rPr>
        <w:t xml:space="preserve"> of the Levies Regulations </w:t>
      </w:r>
      <w:r>
        <w:rPr>
          <w:rFonts w:ascii="Times New Roman" w:hAnsi="Times New Roman" w:cs="Times New Roman"/>
          <w:sz w:val="24"/>
          <w:szCs w:val="24"/>
        </w:rPr>
        <w:t>provides</w:t>
      </w:r>
      <w:r w:rsidR="006F7FF6">
        <w:rPr>
          <w:rFonts w:ascii="Times New Roman" w:hAnsi="Times New Roman" w:cs="Times New Roman"/>
          <w:sz w:val="24"/>
          <w:szCs w:val="24"/>
        </w:rPr>
        <w:t xml:space="preserve"> for </w:t>
      </w:r>
      <w:r>
        <w:rPr>
          <w:rFonts w:ascii="Times New Roman" w:hAnsi="Times New Roman" w:cs="Times New Roman"/>
          <w:sz w:val="24"/>
          <w:szCs w:val="24"/>
        </w:rPr>
        <w:t xml:space="preserve">the remittal </w:t>
      </w:r>
      <w:r w:rsidR="006F7FF6">
        <w:rPr>
          <w:rFonts w:ascii="Times New Roman" w:hAnsi="Times New Roman" w:cs="Times New Roman"/>
          <w:sz w:val="24"/>
          <w:szCs w:val="24"/>
        </w:rPr>
        <w:t>or refund</w:t>
      </w:r>
      <w:r>
        <w:rPr>
          <w:rFonts w:ascii="Times New Roman" w:hAnsi="Times New Roman" w:cs="Times New Roman"/>
          <w:sz w:val="24"/>
          <w:szCs w:val="24"/>
        </w:rPr>
        <w:t xml:space="preserve"> of</w:t>
      </w:r>
      <w:r w:rsidR="006F7FF6">
        <w:rPr>
          <w:rFonts w:ascii="Times New Roman" w:hAnsi="Times New Roman" w:cs="Times New Roman"/>
          <w:sz w:val="24"/>
          <w:szCs w:val="24"/>
        </w:rPr>
        <w:t xml:space="preserve"> part of a</w:t>
      </w:r>
      <w:r>
        <w:rPr>
          <w:rFonts w:ascii="Times New Roman" w:hAnsi="Times New Roman" w:cs="Times New Roman"/>
          <w:sz w:val="24"/>
          <w:szCs w:val="24"/>
        </w:rPr>
        <w:t>n amount of</w:t>
      </w:r>
      <w:r w:rsidR="006F7FF6">
        <w:rPr>
          <w:rFonts w:ascii="Times New Roman" w:hAnsi="Times New Roman" w:cs="Times New Roman"/>
          <w:sz w:val="24"/>
          <w:szCs w:val="24"/>
        </w:rPr>
        <w:t xml:space="preserve"> safety case levy for </w:t>
      </w:r>
      <w:r>
        <w:rPr>
          <w:rFonts w:ascii="Times New Roman" w:hAnsi="Times New Roman" w:cs="Times New Roman"/>
          <w:sz w:val="24"/>
          <w:szCs w:val="24"/>
        </w:rPr>
        <w:t xml:space="preserve">a </w:t>
      </w:r>
      <w:r w:rsidR="006F7FF6">
        <w:rPr>
          <w:rFonts w:ascii="Times New Roman" w:hAnsi="Times New Roman" w:cs="Times New Roman"/>
          <w:sz w:val="24"/>
          <w:szCs w:val="24"/>
        </w:rPr>
        <w:t xml:space="preserve">mobile </w:t>
      </w:r>
      <w:r>
        <w:rPr>
          <w:rFonts w:ascii="Times New Roman" w:hAnsi="Times New Roman" w:cs="Times New Roman"/>
          <w:sz w:val="24"/>
          <w:szCs w:val="24"/>
        </w:rPr>
        <w:t xml:space="preserve">facility </w:t>
      </w:r>
      <w:r w:rsidR="005409C4">
        <w:rPr>
          <w:rFonts w:ascii="Times New Roman" w:hAnsi="Times New Roman" w:cs="Times New Roman"/>
          <w:sz w:val="24"/>
          <w:szCs w:val="24"/>
        </w:rPr>
        <w:t xml:space="preserve">in respect of </w:t>
      </w:r>
      <w:r w:rsidR="00DA5B55">
        <w:rPr>
          <w:rFonts w:ascii="Times New Roman" w:hAnsi="Times New Roman" w:cs="Times New Roman"/>
          <w:sz w:val="24"/>
          <w:szCs w:val="24"/>
        </w:rPr>
        <w:t>a year</w:t>
      </w:r>
      <w:r w:rsidR="00604C7F">
        <w:rPr>
          <w:rFonts w:ascii="Times New Roman" w:hAnsi="Times New Roman" w:cs="Times New Roman"/>
          <w:sz w:val="24"/>
          <w:szCs w:val="24"/>
        </w:rPr>
        <w:t>,</w:t>
      </w:r>
      <w:r w:rsidR="00DA5B55">
        <w:rPr>
          <w:rFonts w:ascii="Times New Roman" w:hAnsi="Times New Roman" w:cs="Times New Roman"/>
          <w:sz w:val="24"/>
          <w:szCs w:val="24"/>
        </w:rPr>
        <w:t xml:space="preserve"> or a part of a year</w:t>
      </w:r>
      <w:r w:rsidR="006F7FF6">
        <w:rPr>
          <w:rFonts w:ascii="Times New Roman" w:hAnsi="Times New Roman" w:cs="Times New Roman"/>
          <w:sz w:val="24"/>
          <w:szCs w:val="24"/>
        </w:rPr>
        <w:t xml:space="preserve">. </w:t>
      </w:r>
    </w:p>
    <w:p w14:paraId="51E90AFC" w14:textId="70CB5960" w:rsidR="007D370A" w:rsidRDefault="007D370A" w:rsidP="007D370A">
      <w:pPr>
        <w:spacing w:before="240" w:after="240"/>
        <w:rPr>
          <w:rFonts w:ascii="Times New Roman" w:hAnsi="Times New Roman" w:cs="Times New Roman"/>
          <w:sz w:val="24"/>
          <w:szCs w:val="24"/>
        </w:rPr>
      </w:pPr>
      <w:r>
        <w:rPr>
          <w:rFonts w:ascii="Times New Roman" w:hAnsi="Times New Roman" w:cs="Times New Roman"/>
          <w:sz w:val="24"/>
          <w:szCs w:val="24"/>
        </w:rPr>
        <w:t xml:space="preserve">The Levies Amendment Act </w:t>
      </w:r>
      <w:r w:rsidR="00BC5FD8">
        <w:rPr>
          <w:rFonts w:ascii="Times New Roman" w:hAnsi="Times New Roman" w:cs="Times New Roman"/>
          <w:sz w:val="24"/>
          <w:szCs w:val="24"/>
        </w:rPr>
        <w:t>amended</w:t>
      </w:r>
      <w:r>
        <w:rPr>
          <w:rFonts w:ascii="Times New Roman" w:hAnsi="Times New Roman" w:cs="Times New Roman"/>
          <w:sz w:val="24"/>
          <w:szCs w:val="24"/>
        </w:rPr>
        <w:t xml:space="preserve"> the Levies Act so that safety case levy </w:t>
      </w:r>
      <w:r w:rsidR="00774357">
        <w:rPr>
          <w:rFonts w:ascii="Times New Roman" w:hAnsi="Times New Roman" w:cs="Times New Roman"/>
          <w:sz w:val="24"/>
          <w:szCs w:val="24"/>
        </w:rPr>
        <w:t xml:space="preserve">imposed by subsection 7(1) </w:t>
      </w:r>
      <w:r w:rsidRPr="00A60DC3">
        <w:rPr>
          <w:rFonts w:ascii="Times New Roman" w:hAnsi="Times New Roman" w:cs="Times New Roman"/>
          <w:sz w:val="24"/>
          <w:szCs w:val="24"/>
        </w:rPr>
        <w:t>is only imposed in respect of a year, and is no longer imposed in respect of a part of a year</w:t>
      </w:r>
      <w:r>
        <w:rPr>
          <w:rFonts w:ascii="Times New Roman" w:hAnsi="Times New Roman" w:cs="Times New Roman"/>
          <w:sz w:val="24"/>
          <w:szCs w:val="24"/>
        </w:rPr>
        <w:t xml:space="preserve">. </w:t>
      </w:r>
    </w:p>
    <w:p w14:paraId="13D5E84D" w14:textId="3E364A7B" w:rsidR="006F7FF6" w:rsidRDefault="00BC5FD8" w:rsidP="006F7FF6">
      <w:pPr>
        <w:spacing w:before="240" w:after="240"/>
        <w:rPr>
          <w:rFonts w:ascii="Times New Roman" w:hAnsi="Times New Roman" w:cs="Times New Roman"/>
          <w:b/>
          <w:sz w:val="24"/>
          <w:szCs w:val="24"/>
        </w:rPr>
      </w:pPr>
      <w:r>
        <w:rPr>
          <w:rFonts w:ascii="Times New Roman" w:hAnsi="Times New Roman" w:cs="Times New Roman"/>
          <w:sz w:val="24"/>
          <w:szCs w:val="24"/>
        </w:rPr>
        <w:t>As a consequence, t</w:t>
      </w:r>
      <w:r w:rsidR="007D370A">
        <w:rPr>
          <w:rFonts w:ascii="Times New Roman" w:hAnsi="Times New Roman" w:cs="Times New Roman"/>
          <w:sz w:val="24"/>
          <w:szCs w:val="24"/>
        </w:rPr>
        <w:t>his item amends paragraph 25(1)(b) of the Levies Regulations by</w:t>
      </w:r>
      <w:r w:rsidR="006F7FF6" w:rsidRPr="00151E77">
        <w:rPr>
          <w:rFonts w:ascii="Times New Roman" w:hAnsi="Times New Roman" w:cs="Times New Roman"/>
          <w:sz w:val="24"/>
          <w:szCs w:val="24"/>
        </w:rPr>
        <w:t xml:space="preserve"> </w:t>
      </w:r>
      <w:r w:rsidR="007D370A" w:rsidRPr="00151E77">
        <w:rPr>
          <w:rFonts w:ascii="Times New Roman" w:hAnsi="Times New Roman" w:cs="Times New Roman"/>
          <w:sz w:val="24"/>
          <w:szCs w:val="24"/>
        </w:rPr>
        <w:t>omit</w:t>
      </w:r>
      <w:r w:rsidR="007D370A">
        <w:rPr>
          <w:rFonts w:ascii="Times New Roman" w:hAnsi="Times New Roman" w:cs="Times New Roman"/>
          <w:sz w:val="24"/>
          <w:szCs w:val="24"/>
        </w:rPr>
        <w:t>ting</w:t>
      </w:r>
      <w:r w:rsidR="007D370A" w:rsidRPr="00151E77">
        <w:rPr>
          <w:rFonts w:ascii="Times New Roman" w:hAnsi="Times New Roman" w:cs="Times New Roman"/>
          <w:sz w:val="24"/>
          <w:szCs w:val="24"/>
        </w:rPr>
        <w:t xml:space="preserve"> </w:t>
      </w:r>
      <w:r w:rsidR="007D370A">
        <w:rPr>
          <w:rFonts w:ascii="Times New Roman" w:hAnsi="Times New Roman" w:cs="Times New Roman"/>
          <w:sz w:val="24"/>
          <w:szCs w:val="24"/>
        </w:rPr>
        <w:t xml:space="preserve">the reference to </w:t>
      </w:r>
      <w:r w:rsidR="006F7FF6">
        <w:rPr>
          <w:rFonts w:ascii="Times New Roman" w:hAnsi="Times New Roman" w:cs="Times New Roman"/>
          <w:sz w:val="24"/>
          <w:szCs w:val="24"/>
        </w:rPr>
        <w:t xml:space="preserve">“, </w:t>
      </w:r>
      <w:r w:rsidR="006F7FF6" w:rsidRPr="00151E77">
        <w:rPr>
          <w:rFonts w:ascii="Times New Roman" w:hAnsi="Times New Roman" w:cs="Times New Roman"/>
          <w:sz w:val="24"/>
          <w:szCs w:val="24"/>
        </w:rPr>
        <w:t xml:space="preserve">or </w:t>
      </w:r>
      <w:r w:rsidR="00BB2F18">
        <w:rPr>
          <w:rFonts w:ascii="Times New Roman" w:hAnsi="Times New Roman" w:cs="Times New Roman"/>
          <w:sz w:val="24"/>
          <w:szCs w:val="24"/>
        </w:rPr>
        <w:t xml:space="preserve">a </w:t>
      </w:r>
      <w:r w:rsidR="006F7FF6" w:rsidRPr="00151E77">
        <w:rPr>
          <w:rFonts w:ascii="Times New Roman" w:hAnsi="Times New Roman" w:cs="Times New Roman"/>
          <w:sz w:val="24"/>
          <w:szCs w:val="24"/>
        </w:rPr>
        <w:t>part of a year”.</w:t>
      </w:r>
    </w:p>
    <w:p w14:paraId="103D9317" w14:textId="3E47A52B" w:rsidR="006F7FF6" w:rsidRPr="00151E77" w:rsidRDefault="006F7FF6" w:rsidP="006F7FF6">
      <w:pPr>
        <w:spacing w:before="240" w:after="240"/>
        <w:rPr>
          <w:rFonts w:ascii="Times New Roman" w:hAnsi="Times New Roman" w:cs="Times New Roman"/>
          <w:b/>
          <w:sz w:val="24"/>
          <w:szCs w:val="24"/>
        </w:rPr>
      </w:pPr>
      <w:r w:rsidRPr="00151E77">
        <w:rPr>
          <w:rFonts w:ascii="Times New Roman" w:hAnsi="Times New Roman" w:cs="Times New Roman"/>
          <w:b/>
          <w:sz w:val="24"/>
          <w:szCs w:val="24"/>
        </w:rPr>
        <w:t xml:space="preserve">Item 6 – </w:t>
      </w:r>
      <w:r w:rsidR="00A92D8D">
        <w:rPr>
          <w:rFonts w:ascii="Times New Roman" w:hAnsi="Times New Roman" w:cs="Times New Roman"/>
          <w:b/>
          <w:sz w:val="24"/>
          <w:szCs w:val="24"/>
        </w:rPr>
        <w:t>Regulation</w:t>
      </w:r>
      <w:r w:rsidR="006C4A16">
        <w:rPr>
          <w:rFonts w:ascii="Times New Roman" w:hAnsi="Times New Roman" w:cs="Times New Roman"/>
          <w:b/>
          <w:sz w:val="24"/>
          <w:szCs w:val="24"/>
        </w:rPr>
        <w:t xml:space="preserve"> </w:t>
      </w:r>
      <w:r w:rsidRPr="00151E77">
        <w:rPr>
          <w:rFonts w:ascii="Times New Roman" w:hAnsi="Times New Roman" w:cs="Times New Roman"/>
          <w:b/>
          <w:sz w:val="24"/>
          <w:szCs w:val="24"/>
        </w:rPr>
        <w:t>29</w:t>
      </w:r>
    </w:p>
    <w:p w14:paraId="254086EA" w14:textId="55CF569F" w:rsidR="006F7FF6" w:rsidRDefault="00A92D8D"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6C4A16">
        <w:rPr>
          <w:rFonts w:ascii="Times New Roman" w:hAnsi="Times New Roman" w:cs="Times New Roman"/>
          <w:sz w:val="24"/>
          <w:szCs w:val="24"/>
        </w:rPr>
        <w:t xml:space="preserve"> </w:t>
      </w:r>
      <w:r w:rsidR="006F7FF6" w:rsidRPr="00151E77">
        <w:rPr>
          <w:rFonts w:ascii="Times New Roman" w:hAnsi="Times New Roman" w:cs="Times New Roman"/>
          <w:sz w:val="24"/>
          <w:szCs w:val="24"/>
        </w:rPr>
        <w:t>29</w:t>
      </w:r>
      <w:r w:rsidR="006F7FF6">
        <w:rPr>
          <w:rFonts w:ascii="Times New Roman" w:hAnsi="Times New Roman" w:cs="Times New Roman"/>
          <w:sz w:val="24"/>
          <w:szCs w:val="24"/>
        </w:rPr>
        <w:t xml:space="preserve"> of the Levies Regulations</w:t>
      </w:r>
      <w:r w:rsidR="006F7FF6" w:rsidRPr="00151E77">
        <w:rPr>
          <w:rFonts w:ascii="Times New Roman" w:hAnsi="Times New Roman" w:cs="Times New Roman"/>
          <w:sz w:val="24"/>
          <w:szCs w:val="24"/>
        </w:rPr>
        <w:t xml:space="preserve"> </w:t>
      </w:r>
      <w:r w:rsidR="006F7FF6">
        <w:rPr>
          <w:rFonts w:ascii="Times New Roman" w:hAnsi="Times New Roman" w:cs="Times New Roman"/>
          <w:sz w:val="24"/>
          <w:szCs w:val="24"/>
        </w:rPr>
        <w:t xml:space="preserve">sets out </w:t>
      </w:r>
      <w:r w:rsidR="006F7FF6" w:rsidRPr="00151E77">
        <w:rPr>
          <w:rFonts w:ascii="Times New Roman" w:hAnsi="Times New Roman" w:cs="Times New Roman"/>
          <w:sz w:val="24"/>
          <w:szCs w:val="24"/>
        </w:rPr>
        <w:t xml:space="preserve">the </w:t>
      </w:r>
      <w:r w:rsidR="009878B0">
        <w:rPr>
          <w:rFonts w:ascii="Times New Roman" w:hAnsi="Times New Roman" w:cs="Times New Roman"/>
          <w:sz w:val="24"/>
          <w:szCs w:val="24"/>
        </w:rPr>
        <w:t xml:space="preserve">manner for working out the </w:t>
      </w:r>
      <w:r w:rsidR="006F7FF6" w:rsidRPr="00151E77">
        <w:rPr>
          <w:rFonts w:ascii="Times New Roman" w:hAnsi="Times New Roman" w:cs="Times New Roman"/>
          <w:sz w:val="24"/>
          <w:szCs w:val="24"/>
        </w:rPr>
        <w:t xml:space="preserve">amount </w:t>
      </w:r>
      <w:r w:rsidR="009878B0">
        <w:rPr>
          <w:rFonts w:ascii="Times New Roman" w:hAnsi="Times New Roman" w:cs="Times New Roman"/>
          <w:sz w:val="24"/>
          <w:szCs w:val="24"/>
        </w:rPr>
        <w:t>of</w:t>
      </w:r>
      <w:r w:rsidR="009878B0" w:rsidRPr="00151E77">
        <w:rPr>
          <w:rFonts w:ascii="Times New Roman" w:hAnsi="Times New Roman" w:cs="Times New Roman"/>
          <w:sz w:val="24"/>
          <w:szCs w:val="24"/>
        </w:rPr>
        <w:t xml:space="preserve"> </w:t>
      </w:r>
      <w:r w:rsidR="006F7FF6" w:rsidRPr="00151E77">
        <w:rPr>
          <w:rFonts w:ascii="Times New Roman" w:hAnsi="Times New Roman" w:cs="Times New Roman"/>
          <w:sz w:val="24"/>
          <w:szCs w:val="24"/>
        </w:rPr>
        <w:t xml:space="preserve">safety case </w:t>
      </w:r>
      <w:r w:rsidR="009878B0" w:rsidRPr="00151E77">
        <w:rPr>
          <w:rFonts w:ascii="Times New Roman" w:hAnsi="Times New Roman" w:cs="Times New Roman"/>
          <w:sz w:val="24"/>
          <w:szCs w:val="24"/>
        </w:rPr>
        <w:t>lev</w:t>
      </w:r>
      <w:r w:rsidR="009878B0">
        <w:rPr>
          <w:rFonts w:ascii="Times New Roman" w:hAnsi="Times New Roman" w:cs="Times New Roman"/>
          <w:sz w:val="24"/>
          <w:szCs w:val="24"/>
        </w:rPr>
        <w:t>y for a facility located, or proposed to be located, in the designated coastal waters of a State or the Northern Territory</w:t>
      </w:r>
      <w:r w:rsidR="006F7FF6">
        <w:rPr>
          <w:rFonts w:ascii="Times New Roman" w:hAnsi="Times New Roman" w:cs="Times New Roman"/>
          <w:sz w:val="24"/>
          <w:szCs w:val="24"/>
        </w:rPr>
        <w:t xml:space="preserve">. </w:t>
      </w:r>
    </w:p>
    <w:p w14:paraId="0A65CF41" w14:textId="3784215F" w:rsidR="009878B0" w:rsidRDefault="009878B0" w:rsidP="000263AB">
      <w:pPr>
        <w:spacing w:before="240" w:after="240"/>
        <w:rPr>
          <w:rFonts w:ascii="Times New Roman" w:hAnsi="Times New Roman" w:cs="Times New Roman"/>
          <w:sz w:val="24"/>
          <w:szCs w:val="24"/>
        </w:rPr>
      </w:pPr>
      <w:r>
        <w:rPr>
          <w:rFonts w:ascii="Times New Roman" w:hAnsi="Times New Roman" w:cs="Times New Roman"/>
          <w:sz w:val="24"/>
          <w:szCs w:val="24"/>
        </w:rPr>
        <w:lastRenderedPageBreak/>
        <w:t>Regulation 29 includes references to subsection 8(5) of the Levies Act, which provide</w:t>
      </w:r>
      <w:r w:rsidR="009B4BA6">
        <w:rPr>
          <w:rFonts w:ascii="Times New Roman" w:hAnsi="Times New Roman" w:cs="Times New Roman"/>
          <w:sz w:val="24"/>
          <w:szCs w:val="24"/>
        </w:rPr>
        <w:t>d</w:t>
      </w:r>
      <w:r>
        <w:rPr>
          <w:rFonts w:ascii="Times New Roman" w:hAnsi="Times New Roman" w:cs="Times New Roman"/>
          <w:sz w:val="24"/>
          <w:szCs w:val="24"/>
        </w:rPr>
        <w:t xml:space="preserve"> that the amount of safety case levy</w:t>
      </w:r>
      <w:r w:rsidRPr="009F0ACF">
        <w:rPr>
          <w:rFonts w:ascii="Times New Roman" w:hAnsi="Times New Roman" w:cs="Times New Roman"/>
          <w:sz w:val="24"/>
          <w:szCs w:val="24"/>
        </w:rPr>
        <w:t xml:space="preserve"> </w:t>
      </w:r>
      <w:r w:rsidR="009B4BA6">
        <w:rPr>
          <w:rFonts w:ascii="Times New Roman" w:hAnsi="Times New Roman" w:cs="Times New Roman"/>
          <w:sz w:val="24"/>
          <w:szCs w:val="24"/>
        </w:rPr>
        <w:t xml:space="preserve">imposed by subsection 8(1) </w:t>
      </w:r>
      <w:r>
        <w:rPr>
          <w:rFonts w:ascii="Times New Roman" w:hAnsi="Times New Roman" w:cs="Times New Roman"/>
          <w:sz w:val="24"/>
          <w:szCs w:val="24"/>
        </w:rPr>
        <w:t xml:space="preserve">in respect of a part of a year is the amount </w:t>
      </w:r>
      <w:r w:rsidR="009B4BA6">
        <w:rPr>
          <w:rFonts w:ascii="Times New Roman" w:hAnsi="Times New Roman" w:cs="Times New Roman"/>
          <w:sz w:val="24"/>
          <w:szCs w:val="24"/>
        </w:rPr>
        <w:t>that is</w:t>
      </w:r>
      <w:r>
        <w:rPr>
          <w:rFonts w:ascii="Times New Roman" w:hAnsi="Times New Roman" w:cs="Times New Roman"/>
          <w:sz w:val="24"/>
          <w:szCs w:val="24"/>
        </w:rPr>
        <w:t xml:space="preserve"> worked out in accordance with the Levies Regulations. </w:t>
      </w:r>
    </w:p>
    <w:p w14:paraId="37848345" w14:textId="5FE2549D" w:rsidR="006F7FF6" w:rsidRDefault="006F7FF6" w:rsidP="006F7FF6">
      <w:pPr>
        <w:spacing w:before="240" w:after="240"/>
        <w:rPr>
          <w:rFonts w:ascii="Times New Roman" w:hAnsi="Times New Roman" w:cs="Times New Roman"/>
          <w:sz w:val="24"/>
          <w:szCs w:val="24"/>
        </w:rPr>
      </w:pPr>
      <w:r>
        <w:rPr>
          <w:rFonts w:ascii="Times New Roman" w:hAnsi="Times New Roman" w:cs="Times New Roman"/>
          <w:sz w:val="24"/>
          <w:szCs w:val="24"/>
        </w:rPr>
        <w:t xml:space="preserve">The Levies Amendment Act </w:t>
      </w:r>
      <w:r w:rsidR="009B4BA6">
        <w:rPr>
          <w:rFonts w:ascii="Times New Roman" w:hAnsi="Times New Roman" w:cs="Times New Roman"/>
          <w:sz w:val="24"/>
          <w:szCs w:val="24"/>
        </w:rPr>
        <w:t>amended</w:t>
      </w:r>
      <w:r>
        <w:rPr>
          <w:rFonts w:ascii="Times New Roman" w:hAnsi="Times New Roman" w:cs="Times New Roman"/>
          <w:sz w:val="24"/>
          <w:szCs w:val="24"/>
        </w:rPr>
        <w:t xml:space="preserve"> the Levies Act so that the safety case levy</w:t>
      </w:r>
      <w:r w:rsidR="00774357">
        <w:rPr>
          <w:rFonts w:ascii="Times New Roman" w:hAnsi="Times New Roman" w:cs="Times New Roman"/>
          <w:sz w:val="24"/>
          <w:szCs w:val="24"/>
        </w:rPr>
        <w:t xml:space="preserve"> imposed by subsection 8(1)</w:t>
      </w:r>
      <w:r>
        <w:rPr>
          <w:rFonts w:ascii="Times New Roman" w:hAnsi="Times New Roman" w:cs="Times New Roman"/>
          <w:sz w:val="24"/>
          <w:szCs w:val="24"/>
        </w:rPr>
        <w:t xml:space="preserve"> is </w:t>
      </w:r>
      <w:r w:rsidR="00774357">
        <w:rPr>
          <w:rFonts w:ascii="Times New Roman" w:hAnsi="Times New Roman" w:cs="Times New Roman"/>
          <w:sz w:val="24"/>
          <w:szCs w:val="24"/>
        </w:rPr>
        <w:t xml:space="preserve">only </w:t>
      </w:r>
      <w:r>
        <w:rPr>
          <w:rFonts w:ascii="Times New Roman" w:hAnsi="Times New Roman" w:cs="Times New Roman"/>
          <w:sz w:val="24"/>
          <w:szCs w:val="24"/>
        </w:rPr>
        <w:t xml:space="preserve">imposed in respect of a year, and is no longer imposed in respect of a part of a year. </w:t>
      </w:r>
      <w:r w:rsidR="009B4BA6">
        <w:rPr>
          <w:rFonts w:ascii="Times New Roman" w:hAnsi="Times New Roman" w:cs="Times New Roman"/>
          <w:sz w:val="24"/>
          <w:szCs w:val="24"/>
        </w:rPr>
        <w:t>The amendments included repeal of subsection 8(5).</w:t>
      </w:r>
    </w:p>
    <w:p w14:paraId="71ACB3BF" w14:textId="0DF62BD8" w:rsidR="006F7FF6" w:rsidRPr="00E13F08" w:rsidRDefault="006F7FF6" w:rsidP="006F7FF6">
      <w:pPr>
        <w:spacing w:before="240" w:after="240"/>
        <w:rPr>
          <w:rFonts w:ascii="Times New Roman" w:hAnsi="Times New Roman" w:cs="Times New Roman"/>
          <w:sz w:val="24"/>
          <w:szCs w:val="24"/>
        </w:rPr>
      </w:pPr>
      <w:r w:rsidRPr="00151E77">
        <w:rPr>
          <w:rFonts w:ascii="Times New Roman" w:hAnsi="Times New Roman" w:cs="Times New Roman"/>
          <w:sz w:val="24"/>
          <w:szCs w:val="24"/>
        </w:rPr>
        <w:t xml:space="preserve">This item </w:t>
      </w:r>
      <w:r w:rsidR="00774357">
        <w:rPr>
          <w:rFonts w:ascii="Times New Roman" w:hAnsi="Times New Roman" w:cs="Times New Roman"/>
          <w:sz w:val="24"/>
          <w:szCs w:val="24"/>
        </w:rPr>
        <w:t xml:space="preserve">amends regulation 29 by </w:t>
      </w:r>
      <w:r w:rsidR="00774357" w:rsidRPr="00151E77">
        <w:rPr>
          <w:rFonts w:ascii="Times New Roman" w:hAnsi="Times New Roman" w:cs="Times New Roman"/>
          <w:sz w:val="24"/>
          <w:szCs w:val="24"/>
        </w:rPr>
        <w:t>om</w:t>
      </w:r>
      <w:r w:rsidR="00774357">
        <w:rPr>
          <w:rFonts w:ascii="Times New Roman" w:hAnsi="Times New Roman" w:cs="Times New Roman"/>
          <w:sz w:val="24"/>
          <w:szCs w:val="24"/>
        </w:rPr>
        <w:t xml:space="preserve">itting </w:t>
      </w:r>
      <w:r w:rsidR="0009671D">
        <w:rPr>
          <w:rFonts w:ascii="Times New Roman" w:hAnsi="Times New Roman" w:cs="Times New Roman"/>
          <w:sz w:val="24"/>
          <w:szCs w:val="24"/>
        </w:rPr>
        <w:t xml:space="preserve">references to </w:t>
      </w:r>
      <w:r w:rsidR="00ED3D9B">
        <w:rPr>
          <w:rFonts w:ascii="Times New Roman" w:hAnsi="Times New Roman" w:cs="Times New Roman"/>
          <w:sz w:val="24"/>
          <w:szCs w:val="24"/>
        </w:rPr>
        <w:t>“subsections 8(4) and (5)”</w:t>
      </w:r>
      <w:r w:rsidR="0009671D">
        <w:rPr>
          <w:rFonts w:ascii="Times New Roman" w:hAnsi="Times New Roman" w:cs="Times New Roman"/>
          <w:sz w:val="24"/>
          <w:szCs w:val="24"/>
        </w:rPr>
        <w:t xml:space="preserve">, </w:t>
      </w:r>
      <w:r w:rsidR="00ED3D9B">
        <w:rPr>
          <w:rFonts w:ascii="Times New Roman" w:hAnsi="Times New Roman" w:cs="Times New Roman"/>
          <w:sz w:val="24"/>
          <w:szCs w:val="24"/>
        </w:rPr>
        <w:t xml:space="preserve">wherever </w:t>
      </w:r>
      <w:r w:rsidR="0009671D">
        <w:rPr>
          <w:rFonts w:ascii="Times New Roman" w:hAnsi="Times New Roman" w:cs="Times New Roman"/>
          <w:sz w:val="24"/>
          <w:szCs w:val="24"/>
        </w:rPr>
        <w:t xml:space="preserve">these references </w:t>
      </w:r>
      <w:r w:rsidR="00ED3D9B">
        <w:rPr>
          <w:rFonts w:ascii="Times New Roman" w:hAnsi="Times New Roman" w:cs="Times New Roman"/>
          <w:sz w:val="24"/>
          <w:szCs w:val="24"/>
        </w:rPr>
        <w:t>occur</w:t>
      </w:r>
      <w:r w:rsidR="0009671D">
        <w:rPr>
          <w:rFonts w:ascii="Times New Roman" w:hAnsi="Times New Roman" w:cs="Times New Roman"/>
          <w:sz w:val="24"/>
          <w:szCs w:val="24"/>
        </w:rPr>
        <w:t>,</w:t>
      </w:r>
      <w:r>
        <w:rPr>
          <w:rFonts w:ascii="Times New Roman" w:hAnsi="Times New Roman" w:cs="Times New Roman"/>
          <w:sz w:val="24"/>
          <w:szCs w:val="24"/>
        </w:rPr>
        <w:t xml:space="preserve"> and </w:t>
      </w:r>
      <w:r w:rsidR="0009671D">
        <w:rPr>
          <w:rFonts w:ascii="Times New Roman" w:hAnsi="Times New Roman" w:cs="Times New Roman"/>
          <w:sz w:val="24"/>
          <w:szCs w:val="24"/>
        </w:rPr>
        <w:t>substitutes them</w:t>
      </w:r>
      <w:r>
        <w:rPr>
          <w:rFonts w:ascii="Times New Roman" w:hAnsi="Times New Roman" w:cs="Times New Roman"/>
          <w:sz w:val="24"/>
          <w:szCs w:val="24"/>
        </w:rPr>
        <w:t xml:space="preserve"> with </w:t>
      </w:r>
      <w:r w:rsidRPr="00151E77">
        <w:rPr>
          <w:rFonts w:ascii="Times New Roman" w:hAnsi="Times New Roman" w:cs="Times New Roman"/>
          <w:sz w:val="24"/>
          <w:szCs w:val="24"/>
        </w:rPr>
        <w:t>“sub</w:t>
      </w:r>
      <w:r w:rsidR="006C4A16">
        <w:rPr>
          <w:rFonts w:ascii="Times New Roman" w:hAnsi="Times New Roman" w:cs="Times New Roman"/>
          <w:sz w:val="24"/>
          <w:szCs w:val="24"/>
        </w:rPr>
        <w:t xml:space="preserve">section </w:t>
      </w:r>
      <w:r w:rsidRPr="00151E77">
        <w:rPr>
          <w:rFonts w:ascii="Times New Roman" w:hAnsi="Times New Roman" w:cs="Times New Roman"/>
          <w:sz w:val="24"/>
          <w:szCs w:val="24"/>
        </w:rPr>
        <w:t xml:space="preserve">8(4)” </w:t>
      </w:r>
      <w:r w:rsidR="0009671D">
        <w:rPr>
          <w:rFonts w:ascii="Times New Roman" w:hAnsi="Times New Roman" w:cs="Times New Roman"/>
          <w:sz w:val="24"/>
          <w:szCs w:val="24"/>
        </w:rPr>
        <w:t>to reflect the repeal of subsection 8(5) of the Levies Act</w:t>
      </w:r>
      <w:r>
        <w:rPr>
          <w:rFonts w:ascii="Times New Roman" w:hAnsi="Times New Roman" w:cs="Times New Roman"/>
          <w:sz w:val="24"/>
          <w:szCs w:val="24"/>
        </w:rPr>
        <w:t xml:space="preserve">. </w:t>
      </w:r>
    </w:p>
    <w:p w14:paraId="0978A3BF" w14:textId="06D32548" w:rsidR="006F7FF6" w:rsidRPr="00151E77" w:rsidRDefault="006F7FF6" w:rsidP="006F7FF6">
      <w:pPr>
        <w:spacing w:before="240" w:after="240"/>
        <w:rPr>
          <w:rFonts w:ascii="Times New Roman" w:hAnsi="Times New Roman" w:cs="Times New Roman"/>
          <w:b/>
          <w:sz w:val="24"/>
          <w:szCs w:val="24"/>
        </w:rPr>
      </w:pPr>
      <w:r>
        <w:rPr>
          <w:rFonts w:ascii="Times New Roman" w:hAnsi="Times New Roman" w:cs="Times New Roman"/>
          <w:b/>
          <w:sz w:val="24"/>
          <w:szCs w:val="24"/>
        </w:rPr>
        <w:t>Items 7 to 9</w:t>
      </w:r>
      <w:r w:rsidRPr="00151E77">
        <w:rPr>
          <w:rFonts w:ascii="Times New Roman" w:hAnsi="Times New Roman" w:cs="Times New Roman"/>
          <w:b/>
          <w:sz w:val="24"/>
          <w:szCs w:val="24"/>
        </w:rPr>
        <w:t xml:space="preserve"> –</w:t>
      </w:r>
      <w:r w:rsidR="006C4A16">
        <w:rPr>
          <w:rFonts w:ascii="Times New Roman" w:hAnsi="Times New Roman" w:cs="Times New Roman"/>
          <w:b/>
          <w:sz w:val="24"/>
          <w:szCs w:val="24"/>
        </w:rPr>
        <w:t xml:space="preserve"> Subregulations</w:t>
      </w:r>
      <w:r>
        <w:rPr>
          <w:rFonts w:ascii="Times New Roman" w:hAnsi="Times New Roman" w:cs="Times New Roman"/>
          <w:b/>
          <w:sz w:val="24"/>
          <w:szCs w:val="24"/>
        </w:rPr>
        <w:t xml:space="preserve"> 30(1) and (2)</w:t>
      </w:r>
    </w:p>
    <w:p w14:paraId="742E8584" w14:textId="5A56B826" w:rsidR="006F7FF6" w:rsidRDefault="00A92D8D"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6C4A16">
        <w:rPr>
          <w:rFonts w:ascii="Times New Roman" w:hAnsi="Times New Roman" w:cs="Times New Roman"/>
          <w:sz w:val="24"/>
          <w:szCs w:val="24"/>
        </w:rPr>
        <w:t xml:space="preserve"> 30</w:t>
      </w:r>
      <w:r w:rsidR="00D630DD">
        <w:rPr>
          <w:rFonts w:ascii="Times New Roman" w:hAnsi="Times New Roman" w:cs="Times New Roman"/>
          <w:sz w:val="24"/>
          <w:szCs w:val="24"/>
        </w:rPr>
        <w:t xml:space="preserve"> of the Levies Regulations</w:t>
      </w:r>
      <w:r w:rsidR="005250AC">
        <w:rPr>
          <w:rFonts w:ascii="Times New Roman" w:hAnsi="Times New Roman" w:cs="Times New Roman"/>
          <w:sz w:val="24"/>
          <w:szCs w:val="24"/>
        </w:rPr>
        <w:t xml:space="preserve"> provides a mechanism whereby</w:t>
      </w:r>
      <w:r w:rsidR="006F7FF6">
        <w:rPr>
          <w:rFonts w:ascii="Times New Roman" w:hAnsi="Times New Roman" w:cs="Times New Roman"/>
          <w:sz w:val="24"/>
          <w:szCs w:val="24"/>
        </w:rPr>
        <w:t xml:space="preserve"> the amount of safety case levy </w:t>
      </w:r>
      <w:r w:rsidR="008C43F7">
        <w:rPr>
          <w:rFonts w:ascii="Times New Roman" w:hAnsi="Times New Roman" w:cs="Times New Roman"/>
          <w:sz w:val="24"/>
          <w:szCs w:val="24"/>
        </w:rPr>
        <w:t>collected</w:t>
      </w:r>
      <w:r w:rsidR="00A23A80">
        <w:rPr>
          <w:rFonts w:ascii="Times New Roman" w:hAnsi="Times New Roman" w:cs="Times New Roman"/>
          <w:sz w:val="24"/>
          <w:szCs w:val="24"/>
        </w:rPr>
        <w:t xml:space="preserve"> in relation</w:t>
      </w:r>
      <w:r w:rsidR="006F7FF6">
        <w:rPr>
          <w:rFonts w:ascii="Times New Roman" w:hAnsi="Times New Roman" w:cs="Times New Roman"/>
          <w:sz w:val="24"/>
          <w:szCs w:val="24"/>
        </w:rPr>
        <w:t xml:space="preserve"> to a safety case for a facility</w:t>
      </w:r>
      <w:r w:rsidR="00A23A80">
        <w:rPr>
          <w:rFonts w:ascii="Times New Roman" w:hAnsi="Times New Roman" w:cs="Times New Roman"/>
          <w:sz w:val="24"/>
          <w:szCs w:val="24"/>
        </w:rPr>
        <w:t xml:space="preserve"> located, or proposed to be located, in </w:t>
      </w:r>
      <w:r w:rsidR="008C43F7">
        <w:rPr>
          <w:rFonts w:ascii="Times New Roman" w:hAnsi="Times New Roman" w:cs="Times New Roman"/>
          <w:sz w:val="24"/>
          <w:szCs w:val="24"/>
        </w:rPr>
        <w:t xml:space="preserve">State/Northern Territory </w:t>
      </w:r>
      <w:r w:rsidR="00A23A80">
        <w:rPr>
          <w:rFonts w:ascii="Times New Roman" w:hAnsi="Times New Roman" w:cs="Times New Roman"/>
          <w:sz w:val="24"/>
          <w:szCs w:val="24"/>
        </w:rPr>
        <w:t>designated coastal waters</w:t>
      </w:r>
      <w:r w:rsidR="006F7FF6">
        <w:rPr>
          <w:rFonts w:ascii="Times New Roman" w:hAnsi="Times New Roman" w:cs="Times New Roman"/>
          <w:sz w:val="24"/>
          <w:szCs w:val="24"/>
        </w:rPr>
        <w:t xml:space="preserve"> </w:t>
      </w:r>
      <w:r w:rsidR="008C43F7">
        <w:rPr>
          <w:rFonts w:ascii="Times New Roman" w:hAnsi="Times New Roman" w:cs="Times New Roman"/>
          <w:sz w:val="24"/>
          <w:szCs w:val="24"/>
        </w:rPr>
        <w:t>may be varied during the course of a year so as to reconcile the amounts invoiced in advance with the amounts that should, as events have turned out, have been invoiced</w:t>
      </w:r>
      <w:r w:rsidR="006F7FF6">
        <w:rPr>
          <w:rFonts w:ascii="Times New Roman" w:hAnsi="Times New Roman" w:cs="Times New Roman"/>
          <w:sz w:val="24"/>
          <w:szCs w:val="24"/>
        </w:rPr>
        <w:t xml:space="preserve">. </w:t>
      </w:r>
    </w:p>
    <w:p w14:paraId="7778E1A8" w14:textId="09C5DD1D" w:rsidR="00A23A80" w:rsidRDefault="00A23A80" w:rsidP="00A23A80">
      <w:pPr>
        <w:spacing w:before="240"/>
        <w:rPr>
          <w:rFonts w:ascii="Times New Roman" w:hAnsi="Times New Roman" w:cs="Times New Roman"/>
          <w:sz w:val="24"/>
          <w:szCs w:val="24"/>
        </w:rPr>
      </w:pPr>
      <w:r>
        <w:rPr>
          <w:rFonts w:ascii="Times New Roman" w:hAnsi="Times New Roman" w:cs="Times New Roman"/>
          <w:sz w:val="24"/>
          <w:szCs w:val="24"/>
        </w:rPr>
        <w:t xml:space="preserve">Regulation 30 includes </w:t>
      </w:r>
      <w:r w:rsidR="008C43F7">
        <w:rPr>
          <w:rFonts w:ascii="Times New Roman" w:hAnsi="Times New Roman" w:cs="Times New Roman"/>
          <w:sz w:val="24"/>
          <w:szCs w:val="24"/>
        </w:rPr>
        <w:t xml:space="preserve">a </w:t>
      </w:r>
      <w:r>
        <w:rPr>
          <w:rFonts w:ascii="Times New Roman" w:hAnsi="Times New Roman" w:cs="Times New Roman"/>
          <w:sz w:val="24"/>
          <w:szCs w:val="24"/>
        </w:rPr>
        <w:t xml:space="preserve">reference to subsection 8(5) of the </w:t>
      </w:r>
      <w:r w:rsidRPr="00BE023E">
        <w:rPr>
          <w:rFonts w:ascii="Times New Roman" w:hAnsi="Times New Roman" w:cs="Times New Roman"/>
          <w:sz w:val="24"/>
          <w:szCs w:val="24"/>
        </w:rPr>
        <w:t>Levies Act</w:t>
      </w:r>
      <w:r>
        <w:rPr>
          <w:rFonts w:ascii="Times New Roman" w:hAnsi="Times New Roman" w:cs="Times New Roman"/>
          <w:sz w:val="24"/>
          <w:szCs w:val="24"/>
        </w:rPr>
        <w:t>, which provide</w:t>
      </w:r>
      <w:r w:rsidR="008C43F7">
        <w:rPr>
          <w:rFonts w:ascii="Times New Roman" w:hAnsi="Times New Roman" w:cs="Times New Roman"/>
          <w:sz w:val="24"/>
          <w:szCs w:val="24"/>
        </w:rPr>
        <w:t>d</w:t>
      </w:r>
      <w:r>
        <w:rPr>
          <w:rFonts w:ascii="Times New Roman" w:hAnsi="Times New Roman" w:cs="Times New Roman"/>
          <w:sz w:val="24"/>
          <w:szCs w:val="24"/>
        </w:rPr>
        <w:t xml:space="preserve"> that the amount of safety case levy</w:t>
      </w:r>
      <w:r w:rsidRPr="009F0ACF">
        <w:rPr>
          <w:rFonts w:ascii="Times New Roman" w:hAnsi="Times New Roman" w:cs="Times New Roman"/>
          <w:sz w:val="24"/>
          <w:szCs w:val="24"/>
        </w:rPr>
        <w:t xml:space="preserve"> </w:t>
      </w:r>
      <w:r w:rsidR="008C43F7">
        <w:rPr>
          <w:rFonts w:ascii="Times New Roman" w:hAnsi="Times New Roman" w:cs="Times New Roman"/>
          <w:sz w:val="24"/>
          <w:szCs w:val="24"/>
        </w:rPr>
        <w:t xml:space="preserve">imposed by subsection 8(1) </w:t>
      </w:r>
      <w:r>
        <w:rPr>
          <w:rFonts w:ascii="Times New Roman" w:hAnsi="Times New Roman" w:cs="Times New Roman"/>
          <w:sz w:val="24"/>
          <w:szCs w:val="24"/>
        </w:rPr>
        <w:t xml:space="preserve">in respect of a part of a year is the amount </w:t>
      </w:r>
      <w:r w:rsidR="008C43F7">
        <w:rPr>
          <w:rFonts w:ascii="Times New Roman" w:hAnsi="Times New Roman" w:cs="Times New Roman"/>
          <w:sz w:val="24"/>
          <w:szCs w:val="24"/>
        </w:rPr>
        <w:t>that is</w:t>
      </w:r>
      <w:r>
        <w:rPr>
          <w:rFonts w:ascii="Times New Roman" w:hAnsi="Times New Roman" w:cs="Times New Roman"/>
          <w:sz w:val="24"/>
          <w:szCs w:val="24"/>
        </w:rPr>
        <w:t xml:space="preserve"> worked out in accordance with the Levies Regulations. </w:t>
      </w:r>
    </w:p>
    <w:p w14:paraId="37C4FC75" w14:textId="0F8E5DEE" w:rsidR="006F7FF6" w:rsidRDefault="00ED3D9B" w:rsidP="006F7FF6">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6F7FF6">
        <w:rPr>
          <w:rFonts w:ascii="Times New Roman" w:hAnsi="Times New Roman" w:cs="Times New Roman"/>
          <w:sz w:val="24"/>
          <w:szCs w:val="24"/>
        </w:rPr>
        <w:t xml:space="preserve">Levies Amendment Act </w:t>
      </w:r>
      <w:r w:rsidR="008C43F7">
        <w:rPr>
          <w:rFonts w:ascii="Times New Roman" w:hAnsi="Times New Roman" w:cs="Times New Roman"/>
          <w:sz w:val="24"/>
          <w:szCs w:val="24"/>
        </w:rPr>
        <w:t>amended</w:t>
      </w:r>
      <w:r w:rsidR="006F7FF6">
        <w:rPr>
          <w:rFonts w:ascii="Times New Roman" w:hAnsi="Times New Roman" w:cs="Times New Roman"/>
          <w:sz w:val="24"/>
          <w:szCs w:val="24"/>
        </w:rPr>
        <w:t xml:space="preserve"> the Levies Act so that the safety case levy imposed </w:t>
      </w:r>
      <w:r w:rsidR="00A23A80">
        <w:rPr>
          <w:rFonts w:ascii="Times New Roman" w:hAnsi="Times New Roman" w:cs="Times New Roman"/>
          <w:sz w:val="24"/>
          <w:szCs w:val="24"/>
        </w:rPr>
        <w:t xml:space="preserve">by subsection 8(1) is only imposed </w:t>
      </w:r>
      <w:r w:rsidR="006F7FF6">
        <w:rPr>
          <w:rFonts w:ascii="Times New Roman" w:hAnsi="Times New Roman" w:cs="Times New Roman"/>
          <w:sz w:val="24"/>
          <w:szCs w:val="24"/>
        </w:rPr>
        <w:t>in respect of a year, and is no longer imposed in respect of a part of a year.</w:t>
      </w:r>
      <w:r w:rsidR="008C43F7">
        <w:rPr>
          <w:rFonts w:ascii="Times New Roman" w:hAnsi="Times New Roman" w:cs="Times New Roman"/>
          <w:sz w:val="24"/>
          <w:szCs w:val="24"/>
        </w:rPr>
        <w:t xml:space="preserve"> The amendments included repeal of subsection 8(5).</w:t>
      </w:r>
      <w:r w:rsidR="006F7FF6">
        <w:rPr>
          <w:rFonts w:ascii="Times New Roman" w:hAnsi="Times New Roman" w:cs="Times New Roman"/>
          <w:sz w:val="24"/>
          <w:szCs w:val="24"/>
        </w:rPr>
        <w:t xml:space="preserve"> </w:t>
      </w:r>
    </w:p>
    <w:p w14:paraId="1579FBBA" w14:textId="76AC6643" w:rsidR="006F7FF6" w:rsidRPr="00ED3D9B" w:rsidRDefault="00A23A80" w:rsidP="000263AB">
      <w:pPr>
        <w:spacing w:before="240" w:after="240"/>
        <w:rPr>
          <w:rFonts w:ascii="Times New Roman" w:eastAsia="Times New Roman" w:hAnsi="Times New Roman" w:cs="Times New Roman"/>
          <w:sz w:val="24"/>
          <w:szCs w:val="24"/>
          <w:lang w:eastAsia="en-AU"/>
        </w:rPr>
      </w:pPr>
      <w:r>
        <w:rPr>
          <w:rFonts w:ascii="Times New Roman" w:hAnsi="Times New Roman" w:cs="Times New Roman"/>
          <w:sz w:val="24"/>
          <w:szCs w:val="24"/>
        </w:rPr>
        <w:t>Items 7 to 9 amend regulation 30 to reflect the repeal of subsection 8(5) of the Levies Act</w:t>
      </w:r>
      <w:r w:rsidR="008C43F7">
        <w:rPr>
          <w:rFonts w:ascii="Times New Roman" w:hAnsi="Times New Roman" w:cs="Times New Roman"/>
          <w:sz w:val="24"/>
          <w:szCs w:val="24"/>
        </w:rPr>
        <w:t xml:space="preserve"> and that levy is no longer imposed in respect of </w:t>
      </w:r>
      <w:r w:rsidR="00270FE0">
        <w:rPr>
          <w:rFonts w:ascii="Times New Roman" w:hAnsi="Times New Roman" w:cs="Times New Roman"/>
          <w:sz w:val="24"/>
          <w:szCs w:val="24"/>
        </w:rPr>
        <w:t xml:space="preserve">a </w:t>
      </w:r>
      <w:r w:rsidR="008C43F7">
        <w:rPr>
          <w:rFonts w:ascii="Times New Roman" w:hAnsi="Times New Roman" w:cs="Times New Roman"/>
          <w:sz w:val="24"/>
          <w:szCs w:val="24"/>
        </w:rPr>
        <w:t>part of a year</w:t>
      </w:r>
      <w:r>
        <w:rPr>
          <w:rFonts w:ascii="Times New Roman" w:hAnsi="Times New Roman" w:cs="Times New Roman"/>
          <w:sz w:val="24"/>
          <w:szCs w:val="24"/>
        </w:rPr>
        <w:t xml:space="preserve">. </w:t>
      </w:r>
      <w:r w:rsidR="006F7FF6">
        <w:rPr>
          <w:rFonts w:ascii="Times New Roman" w:hAnsi="Times New Roman" w:cs="Times New Roman"/>
          <w:sz w:val="24"/>
          <w:szCs w:val="24"/>
        </w:rPr>
        <w:t xml:space="preserve">Item 7 </w:t>
      </w:r>
      <w:r>
        <w:rPr>
          <w:rFonts w:ascii="Times New Roman" w:hAnsi="Times New Roman" w:cs="Times New Roman"/>
          <w:sz w:val="24"/>
          <w:szCs w:val="24"/>
        </w:rPr>
        <w:t xml:space="preserve">amends </w:t>
      </w:r>
      <w:r w:rsidR="006F7FF6">
        <w:rPr>
          <w:rFonts w:ascii="Times New Roman" w:hAnsi="Times New Roman" w:cs="Times New Roman"/>
          <w:sz w:val="24"/>
          <w:szCs w:val="24"/>
        </w:rPr>
        <w:t>sub</w:t>
      </w:r>
      <w:r w:rsidR="00A92D8D">
        <w:rPr>
          <w:rFonts w:ascii="Times New Roman" w:hAnsi="Times New Roman" w:cs="Times New Roman"/>
          <w:sz w:val="24"/>
          <w:szCs w:val="24"/>
        </w:rPr>
        <w:t>regulation</w:t>
      </w:r>
      <w:r w:rsidR="00724048">
        <w:rPr>
          <w:rFonts w:ascii="Times New Roman" w:hAnsi="Times New Roman" w:cs="Times New Roman"/>
          <w:sz w:val="24"/>
          <w:szCs w:val="24"/>
        </w:rPr>
        <w:t> </w:t>
      </w:r>
      <w:r w:rsidR="006F7FF6">
        <w:rPr>
          <w:rFonts w:ascii="Times New Roman" w:hAnsi="Times New Roman" w:cs="Times New Roman"/>
          <w:sz w:val="24"/>
          <w:szCs w:val="24"/>
        </w:rPr>
        <w:t xml:space="preserve">30(1) </w:t>
      </w:r>
      <w:r>
        <w:rPr>
          <w:rFonts w:ascii="Times New Roman" w:hAnsi="Times New Roman" w:cs="Times New Roman"/>
          <w:sz w:val="24"/>
          <w:szCs w:val="24"/>
        </w:rPr>
        <w:t xml:space="preserve">by </w:t>
      </w:r>
      <w:r w:rsidR="006F7FF6" w:rsidRPr="00151E77">
        <w:rPr>
          <w:rFonts w:ascii="Times New Roman" w:hAnsi="Times New Roman" w:cs="Times New Roman"/>
          <w:sz w:val="24"/>
          <w:szCs w:val="24"/>
        </w:rPr>
        <w:t>omit</w:t>
      </w:r>
      <w:r>
        <w:rPr>
          <w:rFonts w:ascii="Times New Roman" w:hAnsi="Times New Roman" w:cs="Times New Roman"/>
          <w:sz w:val="24"/>
          <w:szCs w:val="24"/>
        </w:rPr>
        <w:t>ting</w:t>
      </w:r>
      <w:r w:rsidR="006F7FF6" w:rsidRPr="00151E77">
        <w:rPr>
          <w:rFonts w:ascii="Times New Roman" w:hAnsi="Times New Roman" w:cs="Times New Roman"/>
          <w:sz w:val="24"/>
          <w:szCs w:val="24"/>
        </w:rPr>
        <w:t xml:space="preserve"> </w:t>
      </w:r>
      <w:r w:rsidR="008C43F7">
        <w:rPr>
          <w:rFonts w:ascii="Times New Roman" w:hAnsi="Times New Roman" w:cs="Times New Roman"/>
          <w:sz w:val="24"/>
          <w:szCs w:val="24"/>
        </w:rPr>
        <w:t xml:space="preserve">the </w:t>
      </w:r>
      <w:r w:rsidR="006F7FF6">
        <w:rPr>
          <w:rFonts w:ascii="Times New Roman" w:hAnsi="Times New Roman" w:cs="Times New Roman"/>
          <w:sz w:val="24"/>
          <w:szCs w:val="24"/>
        </w:rPr>
        <w:t xml:space="preserve">reference to </w:t>
      </w:r>
      <w:r w:rsidR="006F7FF6" w:rsidRPr="00151E77">
        <w:rPr>
          <w:rFonts w:ascii="Times New Roman" w:hAnsi="Times New Roman" w:cs="Times New Roman"/>
          <w:sz w:val="24"/>
          <w:szCs w:val="24"/>
        </w:rPr>
        <w:t>“subsections 8(4) and (5)</w:t>
      </w:r>
      <w:r w:rsidR="00ED3D9B">
        <w:rPr>
          <w:rFonts w:ascii="Times New Roman" w:hAnsi="Times New Roman" w:cs="Times New Roman"/>
          <w:sz w:val="24"/>
          <w:szCs w:val="24"/>
        </w:rPr>
        <w:t>”</w:t>
      </w:r>
      <w:r>
        <w:rPr>
          <w:rFonts w:ascii="Times New Roman" w:hAnsi="Times New Roman" w:cs="Times New Roman"/>
          <w:sz w:val="24"/>
          <w:szCs w:val="24"/>
        </w:rPr>
        <w:t xml:space="preserve"> </w:t>
      </w:r>
      <w:r w:rsidR="006F7FF6">
        <w:rPr>
          <w:rFonts w:ascii="Times New Roman" w:hAnsi="Times New Roman" w:cs="Times New Roman"/>
          <w:sz w:val="24"/>
          <w:szCs w:val="24"/>
        </w:rPr>
        <w:t xml:space="preserve">and replaces </w:t>
      </w:r>
      <w:r w:rsidR="008C43F7">
        <w:rPr>
          <w:rFonts w:ascii="Times New Roman" w:hAnsi="Times New Roman" w:cs="Times New Roman"/>
          <w:sz w:val="24"/>
          <w:szCs w:val="24"/>
        </w:rPr>
        <w:t>this reference</w:t>
      </w:r>
      <w:r>
        <w:rPr>
          <w:rFonts w:ascii="Times New Roman" w:hAnsi="Times New Roman" w:cs="Times New Roman"/>
          <w:sz w:val="24"/>
          <w:szCs w:val="24"/>
        </w:rPr>
        <w:t xml:space="preserve"> </w:t>
      </w:r>
      <w:r w:rsidR="006F7FF6">
        <w:rPr>
          <w:rFonts w:ascii="Times New Roman" w:hAnsi="Times New Roman" w:cs="Times New Roman"/>
          <w:sz w:val="24"/>
          <w:szCs w:val="24"/>
        </w:rPr>
        <w:t xml:space="preserve">with </w:t>
      </w:r>
      <w:r w:rsidR="006F7FF6" w:rsidRPr="00151E77">
        <w:rPr>
          <w:rFonts w:ascii="Times New Roman" w:hAnsi="Times New Roman" w:cs="Times New Roman"/>
          <w:sz w:val="24"/>
          <w:szCs w:val="24"/>
        </w:rPr>
        <w:t>“sub</w:t>
      </w:r>
      <w:r w:rsidR="006C4A16">
        <w:rPr>
          <w:rFonts w:ascii="Times New Roman" w:hAnsi="Times New Roman" w:cs="Times New Roman"/>
          <w:sz w:val="24"/>
          <w:szCs w:val="24"/>
        </w:rPr>
        <w:t xml:space="preserve">section </w:t>
      </w:r>
      <w:r w:rsidR="006F7FF6" w:rsidRPr="00151E77">
        <w:rPr>
          <w:rFonts w:ascii="Times New Roman" w:hAnsi="Times New Roman" w:cs="Times New Roman"/>
          <w:sz w:val="24"/>
          <w:szCs w:val="24"/>
        </w:rPr>
        <w:t>8(4)”</w:t>
      </w:r>
      <w:r w:rsidR="006F7FF6" w:rsidRPr="00183406">
        <w:rPr>
          <w:rFonts w:ascii="Times New Roman" w:hAnsi="Times New Roman" w:cs="Times New Roman"/>
          <w:sz w:val="24"/>
          <w:szCs w:val="24"/>
        </w:rPr>
        <w:t>.</w:t>
      </w:r>
      <w:r w:rsidR="006F7FF6" w:rsidRPr="00151E77">
        <w:rPr>
          <w:rFonts w:ascii="Times New Roman" w:hAnsi="Times New Roman" w:cs="Times New Roman"/>
          <w:sz w:val="24"/>
          <w:szCs w:val="24"/>
        </w:rPr>
        <w:t xml:space="preserve"> </w:t>
      </w:r>
      <w:r w:rsidR="006F7FF6">
        <w:rPr>
          <w:rFonts w:ascii="Times New Roman" w:hAnsi="Times New Roman" w:cs="Times New Roman"/>
          <w:sz w:val="24"/>
          <w:szCs w:val="24"/>
        </w:rPr>
        <w:t xml:space="preserve">Item 8 </w:t>
      </w:r>
      <w:r w:rsidR="00FC4230">
        <w:rPr>
          <w:rFonts w:ascii="Times New Roman" w:hAnsi="Times New Roman" w:cs="Times New Roman"/>
          <w:sz w:val="24"/>
          <w:szCs w:val="24"/>
        </w:rPr>
        <w:t xml:space="preserve">amends </w:t>
      </w:r>
      <w:r w:rsidR="006F7FF6">
        <w:rPr>
          <w:rFonts w:ascii="Times New Roman" w:hAnsi="Times New Roman" w:cs="Times New Roman"/>
          <w:sz w:val="24"/>
          <w:szCs w:val="24"/>
        </w:rPr>
        <w:t>sub</w:t>
      </w:r>
      <w:r w:rsidR="00A92D8D">
        <w:rPr>
          <w:rFonts w:ascii="Times New Roman" w:hAnsi="Times New Roman" w:cs="Times New Roman"/>
          <w:sz w:val="24"/>
          <w:szCs w:val="24"/>
        </w:rPr>
        <w:t>regulation</w:t>
      </w:r>
      <w:r w:rsidR="006C4A16">
        <w:rPr>
          <w:rFonts w:ascii="Times New Roman" w:hAnsi="Times New Roman" w:cs="Times New Roman"/>
          <w:sz w:val="24"/>
          <w:szCs w:val="24"/>
        </w:rPr>
        <w:t xml:space="preserve"> </w:t>
      </w:r>
      <w:r w:rsidR="006F7FF6">
        <w:rPr>
          <w:rFonts w:ascii="Times New Roman" w:hAnsi="Times New Roman" w:cs="Times New Roman"/>
          <w:sz w:val="24"/>
          <w:szCs w:val="24"/>
        </w:rPr>
        <w:t xml:space="preserve">30(1) </w:t>
      </w:r>
      <w:r w:rsidR="00FC4230">
        <w:rPr>
          <w:rFonts w:ascii="Times New Roman" w:hAnsi="Times New Roman" w:cs="Times New Roman"/>
          <w:sz w:val="24"/>
          <w:szCs w:val="24"/>
        </w:rPr>
        <w:t>by omitting the reference to “</w:t>
      </w:r>
      <w:r w:rsidR="006F7FF6">
        <w:rPr>
          <w:rFonts w:ascii="Times New Roman" w:hAnsi="Times New Roman" w:cs="Times New Roman"/>
          <w:sz w:val="24"/>
          <w:szCs w:val="24"/>
        </w:rPr>
        <w:t xml:space="preserve">or part of a </w:t>
      </w:r>
      <w:r w:rsidR="00FC4230">
        <w:rPr>
          <w:rFonts w:ascii="Times New Roman" w:hAnsi="Times New Roman" w:cs="Times New Roman"/>
          <w:sz w:val="24"/>
          <w:szCs w:val="24"/>
        </w:rPr>
        <w:t>year”</w:t>
      </w:r>
      <w:r w:rsidR="006F7FF6" w:rsidRPr="00183406">
        <w:rPr>
          <w:rFonts w:ascii="Times New Roman" w:hAnsi="Times New Roman" w:cs="Times New Roman"/>
          <w:sz w:val="24"/>
          <w:szCs w:val="24"/>
        </w:rPr>
        <w:t>.</w:t>
      </w:r>
      <w:r w:rsidR="00FC4230">
        <w:rPr>
          <w:rFonts w:ascii="Times New Roman" w:hAnsi="Times New Roman" w:cs="Times New Roman"/>
          <w:sz w:val="24"/>
          <w:szCs w:val="24"/>
        </w:rPr>
        <w:t xml:space="preserve"> </w:t>
      </w:r>
      <w:r w:rsidR="006F7FF6" w:rsidRPr="00ED3D9B">
        <w:rPr>
          <w:rFonts w:ascii="Times New Roman" w:hAnsi="Times New Roman" w:cs="Times New Roman"/>
          <w:sz w:val="24"/>
          <w:szCs w:val="24"/>
        </w:rPr>
        <w:t xml:space="preserve">Item 9 </w:t>
      </w:r>
      <w:r w:rsidR="00FC4230">
        <w:rPr>
          <w:rFonts w:ascii="Times New Roman" w:hAnsi="Times New Roman" w:cs="Times New Roman"/>
          <w:sz w:val="24"/>
          <w:szCs w:val="24"/>
        </w:rPr>
        <w:t>amends</w:t>
      </w:r>
      <w:r w:rsidR="00FC4230" w:rsidRPr="00ED3D9B">
        <w:rPr>
          <w:rFonts w:ascii="Times New Roman" w:hAnsi="Times New Roman" w:cs="Times New Roman"/>
          <w:sz w:val="24"/>
          <w:szCs w:val="24"/>
        </w:rPr>
        <w:t xml:space="preserve"> </w:t>
      </w:r>
      <w:r w:rsidR="006F7FF6" w:rsidRPr="00ED3D9B">
        <w:rPr>
          <w:rFonts w:ascii="Times New Roman" w:hAnsi="Times New Roman" w:cs="Times New Roman"/>
          <w:sz w:val="24"/>
          <w:szCs w:val="24"/>
        </w:rPr>
        <w:t>sub</w:t>
      </w:r>
      <w:r w:rsidR="00A92D8D" w:rsidRPr="00ED3D9B">
        <w:rPr>
          <w:rFonts w:ascii="Times New Roman" w:hAnsi="Times New Roman" w:cs="Times New Roman"/>
          <w:sz w:val="24"/>
          <w:szCs w:val="24"/>
        </w:rPr>
        <w:t>regulation</w:t>
      </w:r>
      <w:r w:rsidR="006C4A16" w:rsidRPr="00ED3D9B">
        <w:rPr>
          <w:rFonts w:ascii="Times New Roman" w:hAnsi="Times New Roman" w:cs="Times New Roman"/>
          <w:sz w:val="24"/>
          <w:szCs w:val="24"/>
        </w:rPr>
        <w:t xml:space="preserve"> </w:t>
      </w:r>
      <w:r w:rsidR="006F7FF6" w:rsidRPr="00ED3D9B">
        <w:rPr>
          <w:rFonts w:ascii="Times New Roman" w:hAnsi="Times New Roman" w:cs="Times New Roman"/>
          <w:sz w:val="24"/>
          <w:szCs w:val="24"/>
        </w:rPr>
        <w:t xml:space="preserve">30(2) </w:t>
      </w:r>
      <w:r w:rsidR="00FC4230">
        <w:rPr>
          <w:rFonts w:ascii="Times New Roman" w:hAnsi="Times New Roman" w:cs="Times New Roman"/>
          <w:sz w:val="24"/>
          <w:szCs w:val="24"/>
        </w:rPr>
        <w:t xml:space="preserve">by </w:t>
      </w:r>
      <w:r w:rsidR="00FC4230" w:rsidRPr="00ED3D9B">
        <w:rPr>
          <w:rFonts w:ascii="Times New Roman" w:eastAsia="Times New Roman" w:hAnsi="Times New Roman" w:cs="Times New Roman"/>
          <w:sz w:val="24"/>
          <w:szCs w:val="24"/>
          <w:lang w:eastAsia="en-AU"/>
        </w:rPr>
        <w:t>omit</w:t>
      </w:r>
      <w:r w:rsidR="00FC4230">
        <w:rPr>
          <w:rFonts w:ascii="Times New Roman" w:eastAsia="Times New Roman" w:hAnsi="Times New Roman" w:cs="Times New Roman"/>
          <w:sz w:val="24"/>
          <w:szCs w:val="24"/>
          <w:lang w:eastAsia="en-AU"/>
        </w:rPr>
        <w:t>ting the references to</w:t>
      </w:r>
      <w:r w:rsidR="00FC4230" w:rsidRPr="00ED3D9B">
        <w:rPr>
          <w:rFonts w:ascii="Times New Roman" w:eastAsia="Times New Roman" w:hAnsi="Times New Roman" w:cs="Times New Roman"/>
          <w:sz w:val="24"/>
          <w:szCs w:val="24"/>
          <w:lang w:eastAsia="en-AU"/>
        </w:rPr>
        <w:t xml:space="preserve"> </w:t>
      </w:r>
      <w:r w:rsidR="006F7FF6" w:rsidRPr="00ED3D9B">
        <w:rPr>
          <w:rFonts w:ascii="Times New Roman" w:eastAsia="Times New Roman" w:hAnsi="Times New Roman" w:cs="Times New Roman"/>
          <w:sz w:val="24"/>
          <w:szCs w:val="24"/>
          <w:lang w:eastAsia="en-AU"/>
        </w:rPr>
        <w:t>“or part of a year”</w:t>
      </w:r>
      <w:r w:rsidR="00FC4230">
        <w:rPr>
          <w:rFonts w:ascii="Times New Roman" w:eastAsia="Times New Roman" w:hAnsi="Times New Roman" w:cs="Times New Roman"/>
          <w:sz w:val="24"/>
          <w:szCs w:val="24"/>
          <w:lang w:eastAsia="en-AU"/>
        </w:rPr>
        <w:t>, wherever these references occur</w:t>
      </w:r>
      <w:r w:rsidR="006F7FF6" w:rsidRPr="00ED3D9B">
        <w:rPr>
          <w:rFonts w:ascii="Times New Roman" w:eastAsia="Times New Roman" w:hAnsi="Times New Roman" w:cs="Times New Roman"/>
          <w:sz w:val="24"/>
          <w:szCs w:val="24"/>
          <w:lang w:eastAsia="en-AU"/>
        </w:rPr>
        <w:t>.</w:t>
      </w:r>
    </w:p>
    <w:p w14:paraId="03BABA08" w14:textId="704B958F" w:rsidR="006F7FF6" w:rsidRPr="00D61D3B" w:rsidRDefault="006F7FF6" w:rsidP="006F7FF6">
      <w:pPr>
        <w:spacing w:before="240" w:after="240"/>
        <w:rPr>
          <w:rFonts w:ascii="Times New Roman" w:hAnsi="Times New Roman" w:cs="Times New Roman"/>
          <w:b/>
          <w:sz w:val="24"/>
          <w:szCs w:val="24"/>
        </w:rPr>
      </w:pPr>
      <w:r w:rsidRPr="00D61D3B">
        <w:rPr>
          <w:rFonts w:ascii="Times New Roman" w:hAnsi="Times New Roman" w:cs="Times New Roman"/>
          <w:b/>
          <w:sz w:val="24"/>
          <w:szCs w:val="24"/>
        </w:rPr>
        <w:t>Item 10 – Paragraph 33(1)(b)</w:t>
      </w:r>
    </w:p>
    <w:p w14:paraId="2D7F85DF" w14:textId="6B7376C4" w:rsidR="006F7FF6" w:rsidRPr="00D61D3B" w:rsidRDefault="00A92D8D"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6C4A16">
        <w:rPr>
          <w:rFonts w:ascii="Times New Roman" w:hAnsi="Times New Roman" w:cs="Times New Roman"/>
          <w:sz w:val="24"/>
          <w:szCs w:val="24"/>
        </w:rPr>
        <w:t xml:space="preserve"> </w:t>
      </w:r>
      <w:r w:rsidR="006F7FF6" w:rsidRPr="00D61D3B">
        <w:rPr>
          <w:rFonts w:ascii="Times New Roman" w:hAnsi="Times New Roman" w:cs="Times New Roman"/>
          <w:sz w:val="24"/>
          <w:szCs w:val="24"/>
        </w:rPr>
        <w:t xml:space="preserve">33 </w:t>
      </w:r>
      <w:r w:rsidR="00D630DD">
        <w:rPr>
          <w:rFonts w:ascii="Times New Roman" w:hAnsi="Times New Roman" w:cs="Times New Roman"/>
          <w:sz w:val="24"/>
          <w:szCs w:val="24"/>
        </w:rPr>
        <w:t xml:space="preserve">of the Levies Regulations </w:t>
      </w:r>
      <w:r w:rsidR="006F7FF6" w:rsidRPr="00D61D3B">
        <w:rPr>
          <w:rFonts w:ascii="Times New Roman" w:hAnsi="Times New Roman" w:cs="Times New Roman"/>
          <w:sz w:val="24"/>
          <w:szCs w:val="24"/>
        </w:rPr>
        <w:t xml:space="preserve">provides for the remittal or refund of part of an amount of safety case </w:t>
      </w:r>
      <w:r w:rsidR="005409C4">
        <w:rPr>
          <w:rFonts w:ascii="Times New Roman" w:hAnsi="Times New Roman" w:cs="Times New Roman"/>
          <w:sz w:val="24"/>
          <w:szCs w:val="24"/>
        </w:rPr>
        <w:t>levy for</w:t>
      </w:r>
      <w:r w:rsidR="006F7FF6" w:rsidRPr="00D61D3B">
        <w:rPr>
          <w:rFonts w:ascii="Times New Roman" w:hAnsi="Times New Roman" w:cs="Times New Roman"/>
          <w:sz w:val="24"/>
          <w:szCs w:val="24"/>
        </w:rPr>
        <w:t xml:space="preserve"> a mobile facility </w:t>
      </w:r>
      <w:r w:rsidR="005409C4">
        <w:rPr>
          <w:rFonts w:ascii="Times New Roman" w:hAnsi="Times New Roman" w:cs="Times New Roman"/>
          <w:sz w:val="24"/>
          <w:szCs w:val="24"/>
        </w:rPr>
        <w:t>in respect of</w:t>
      </w:r>
      <w:r w:rsidR="005409C4" w:rsidRPr="00D61D3B">
        <w:rPr>
          <w:rFonts w:ascii="Times New Roman" w:hAnsi="Times New Roman" w:cs="Times New Roman"/>
          <w:sz w:val="24"/>
          <w:szCs w:val="24"/>
        </w:rPr>
        <w:t xml:space="preserve"> </w:t>
      </w:r>
      <w:r w:rsidR="006F7FF6" w:rsidRPr="00D61D3B">
        <w:rPr>
          <w:rFonts w:ascii="Times New Roman" w:hAnsi="Times New Roman" w:cs="Times New Roman"/>
          <w:sz w:val="24"/>
          <w:szCs w:val="24"/>
        </w:rPr>
        <w:t xml:space="preserve">a year, or a part of a year. </w:t>
      </w:r>
    </w:p>
    <w:p w14:paraId="103F81FF" w14:textId="61065521" w:rsidR="006F7FF6" w:rsidRPr="00D61D3B" w:rsidRDefault="006F7FF6" w:rsidP="0083707C">
      <w:pPr>
        <w:spacing w:before="240" w:after="240"/>
        <w:rPr>
          <w:rFonts w:ascii="Times New Roman" w:hAnsi="Times New Roman" w:cs="Times New Roman"/>
          <w:sz w:val="24"/>
          <w:szCs w:val="24"/>
        </w:rPr>
      </w:pPr>
      <w:r w:rsidRPr="00D61D3B">
        <w:rPr>
          <w:rFonts w:ascii="Times New Roman" w:hAnsi="Times New Roman" w:cs="Times New Roman"/>
          <w:sz w:val="24"/>
          <w:szCs w:val="24"/>
        </w:rPr>
        <w:t xml:space="preserve">The </w:t>
      </w:r>
      <w:r w:rsidRPr="00DF7357">
        <w:rPr>
          <w:rFonts w:ascii="Times New Roman" w:hAnsi="Times New Roman" w:cs="Times New Roman"/>
          <w:sz w:val="24"/>
          <w:szCs w:val="24"/>
        </w:rPr>
        <w:t xml:space="preserve">Levies Amendment Act </w:t>
      </w:r>
      <w:r w:rsidR="00A826A5">
        <w:rPr>
          <w:rFonts w:ascii="Times New Roman" w:hAnsi="Times New Roman" w:cs="Times New Roman"/>
          <w:sz w:val="24"/>
          <w:szCs w:val="24"/>
        </w:rPr>
        <w:t xml:space="preserve">amended </w:t>
      </w:r>
      <w:r w:rsidR="005409C4">
        <w:rPr>
          <w:rFonts w:ascii="Times New Roman" w:hAnsi="Times New Roman" w:cs="Times New Roman"/>
          <w:sz w:val="24"/>
          <w:szCs w:val="24"/>
        </w:rPr>
        <w:t xml:space="preserve">the Levies Act </w:t>
      </w:r>
      <w:r w:rsidRPr="00D61D3B">
        <w:rPr>
          <w:rFonts w:ascii="Times New Roman" w:hAnsi="Times New Roman" w:cs="Times New Roman"/>
          <w:sz w:val="24"/>
          <w:szCs w:val="24"/>
        </w:rPr>
        <w:t>so that the safety case levy</w:t>
      </w:r>
      <w:r w:rsidR="005409C4">
        <w:rPr>
          <w:rFonts w:ascii="Times New Roman" w:hAnsi="Times New Roman" w:cs="Times New Roman"/>
          <w:sz w:val="24"/>
          <w:szCs w:val="24"/>
        </w:rPr>
        <w:t xml:space="preserve"> imposed by subsection 8(1)</w:t>
      </w:r>
      <w:r w:rsidRPr="00D61D3B">
        <w:rPr>
          <w:rFonts w:ascii="Times New Roman" w:hAnsi="Times New Roman" w:cs="Times New Roman"/>
          <w:sz w:val="24"/>
          <w:szCs w:val="24"/>
        </w:rPr>
        <w:t xml:space="preserve"> is only imposed in respect of a year, and is no longer imposed in respect of a part of a year</w:t>
      </w:r>
    </w:p>
    <w:p w14:paraId="6F6AE023" w14:textId="39FB00F4" w:rsidR="006F7FF6" w:rsidRPr="000263AB" w:rsidRDefault="00A826A5" w:rsidP="000263AB">
      <w:pPr>
        <w:spacing w:before="240" w:after="240"/>
        <w:rPr>
          <w:rFonts w:ascii="Times New Roman" w:hAnsi="Times New Roman" w:cs="Times New Roman"/>
          <w:sz w:val="24"/>
          <w:szCs w:val="24"/>
        </w:rPr>
      </w:pPr>
      <w:r>
        <w:rPr>
          <w:rFonts w:ascii="Times New Roman" w:hAnsi="Times New Roman" w:cs="Times New Roman"/>
          <w:sz w:val="24"/>
          <w:szCs w:val="24"/>
        </w:rPr>
        <w:t>As a consequence, t</w:t>
      </w:r>
      <w:r w:rsidR="006F7FF6" w:rsidRPr="00D61D3B">
        <w:rPr>
          <w:rFonts w:ascii="Times New Roman" w:hAnsi="Times New Roman" w:cs="Times New Roman"/>
          <w:sz w:val="24"/>
          <w:szCs w:val="24"/>
        </w:rPr>
        <w:t xml:space="preserve">his item </w:t>
      </w:r>
      <w:r w:rsidR="005409C4">
        <w:rPr>
          <w:rFonts w:ascii="Times New Roman" w:hAnsi="Times New Roman" w:cs="Times New Roman"/>
          <w:sz w:val="24"/>
          <w:szCs w:val="24"/>
        </w:rPr>
        <w:t xml:space="preserve">amends paragraph 33(1)(b) of the Levies Regulations by </w:t>
      </w:r>
      <w:r w:rsidR="005409C4" w:rsidRPr="000263AB">
        <w:rPr>
          <w:rFonts w:ascii="Times New Roman" w:hAnsi="Times New Roman" w:cs="Times New Roman"/>
          <w:sz w:val="24"/>
          <w:szCs w:val="24"/>
        </w:rPr>
        <w:t>omit</w:t>
      </w:r>
      <w:r w:rsidR="005409C4">
        <w:rPr>
          <w:rFonts w:ascii="Times New Roman" w:hAnsi="Times New Roman" w:cs="Times New Roman"/>
          <w:sz w:val="24"/>
          <w:szCs w:val="24"/>
        </w:rPr>
        <w:t>ting</w:t>
      </w:r>
      <w:r w:rsidR="005409C4" w:rsidRPr="000263AB">
        <w:rPr>
          <w:rFonts w:ascii="Times New Roman" w:hAnsi="Times New Roman" w:cs="Times New Roman"/>
          <w:sz w:val="24"/>
          <w:szCs w:val="24"/>
        </w:rPr>
        <w:t xml:space="preserve"> </w:t>
      </w:r>
      <w:r w:rsidR="005409C4">
        <w:rPr>
          <w:rFonts w:ascii="Times New Roman" w:hAnsi="Times New Roman" w:cs="Times New Roman"/>
          <w:sz w:val="24"/>
          <w:szCs w:val="24"/>
        </w:rPr>
        <w:t xml:space="preserve">the reference to </w:t>
      </w:r>
      <w:r w:rsidR="00D630DD" w:rsidRPr="000263AB">
        <w:rPr>
          <w:rFonts w:ascii="Times New Roman" w:hAnsi="Times New Roman" w:cs="Times New Roman"/>
          <w:sz w:val="24"/>
          <w:szCs w:val="24"/>
        </w:rPr>
        <w:t>“</w:t>
      </w:r>
      <w:r w:rsidR="005409C4">
        <w:rPr>
          <w:rFonts w:ascii="Times New Roman" w:hAnsi="Times New Roman" w:cs="Times New Roman"/>
          <w:sz w:val="24"/>
          <w:szCs w:val="24"/>
        </w:rPr>
        <w:t xml:space="preserve">, </w:t>
      </w:r>
      <w:r w:rsidR="00D630DD" w:rsidRPr="000263AB">
        <w:rPr>
          <w:rFonts w:ascii="Times New Roman" w:hAnsi="Times New Roman" w:cs="Times New Roman"/>
          <w:sz w:val="24"/>
          <w:szCs w:val="24"/>
        </w:rPr>
        <w:t xml:space="preserve">or </w:t>
      </w:r>
      <w:r w:rsidR="00BB2F18">
        <w:rPr>
          <w:rFonts w:ascii="Times New Roman" w:hAnsi="Times New Roman" w:cs="Times New Roman"/>
          <w:sz w:val="24"/>
          <w:szCs w:val="24"/>
        </w:rPr>
        <w:t xml:space="preserve">a </w:t>
      </w:r>
      <w:r w:rsidR="00D630DD" w:rsidRPr="000263AB">
        <w:rPr>
          <w:rFonts w:ascii="Times New Roman" w:hAnsi="Times New Roman" w:cs="Times New Roman"/>
          <w:sz w:val="24"/>
          <w:szCs w:val="24"/>
        </w:rPr>
        <w:t>part of a year”</w:t>
      </w:r>
      <w:r w:rsidR="006F7FF6" w:rsidRPr="000263AB">
        <w:rPr>
          <w:rFonts w:ascii="Times New Roman" w:hAnsi="Times New Roman" w:cs="Times New Roman"/>
          <w:sz w:val="24"/>
          <w:szCs w:val="24"/>
        </w:rPr>
        <w:t>.</w:t>
      </w:r>
    </w:p>
    <w:p w14:paraId="252C7320" w14:textId="17F44F05" w:rsidR="006F7FF6" w:rsidRPr="000D6F7F" w:rsidRDefault="006F7FF6" w:rsidP="00A826A5">
      <w:pPr>
        <w:keepLines/>
        <w:spacing w:before="80" w:after="0" w:line="240" w:lineRule="auto"/>
        <w:rPr>
          <w:rFonts w:ascii="Times New Roman" w:eastAsia="Times New Roman" w:hAnsi="Times New Roman" w:cs="Times New Roman"/>
          <w:b/>
          <w:sz w:val="24"/>
          <w:szCs w:val="24"/>
          <w:lang w:eastAsia="en-AU"/>
        </w:rPr>
      </w:pPr>
      <w:r w:rsidRPr="00D61D3B">
        <w:rPr>
          <w:rFonts w:ascii="Times New Roman" w:eastAsia="Times New Roman" w:hAnsi="Times New Roman" w:cs="Times New Roman"/>
          <w:b/>
          <w:sz w:val="24"/>
          <w:szCs w:val="24"/>
          <w:lang w:eastAsia="en-AU"/>
        </w:rPr>
        <w:lastRenderedPageBreak/>
        <w:t>Item 11 – Sub</w:t>
      </w:r>
      <w:r w:rsidR="00A92D8D">
        <w:rPr>
          <w:rFonts w:ascii="Times New Roman" w:eastAsia="Times New Roman" w:hAnsi="Times New Roman" w:cs="Times New Roman"/>
          <w:b/>
          <w:sz w:val="24"/>
          <w:szCs w:val="24"/>
          <w:lang w:eastAsia="en-AU"/>
        </w:rPr>
        <w:t>regulation</w:t>
      </w:r>
      <w:r w:rsidR="006F3E33">
        <w:rPr>
          <w:rFonts w:ascii="Times New Roman" w:eastAsia="Times New Roman" w:hAnsi="Times New Roman" w:cs="Times New Roman"/>
          <w:b/>
          <w:sz w:val="24"/>
          <w:szCs w:val="24"/>
          <w:lang w:eastAsia="en-AU"/>
        </w:rPr>
        <w:t xml:space="preserve"> </w:t>
      </w:r>
      <w:r w:rsidRPr="00D61D3B">
        <w:rPr>
          <w:rFonts w:ascii="Times New Roman" w:eastAsia="Times New Roman" w:hAnsi="Times New Roman" w:cs="Times New Roman"/>
          <w:b/>
          <w:sz w:val="24"/>
          <w:szCs w:val="24"/>
          <w:lang w:eastAsia="en-AU"/>
        </w:rPr>
        <w:t xml:space="preserve">59C(1) (at the end of the </w:t>
      </w:r>
      <w:r>
        <w:rPr>
          <w:rFonts w:ascii="Times New Roman" w:eastAsia="Times New Roman" w:hAnsi="Times New Roman" w:cs="Times New Roman"/>
          <w:b/>
          <w:sz w:val="24"/>
          <w:szCs w:val="24"/>
          <w:lang w:eastAsia="en-AU"/>
        </w:rPr>
        <w:t>note)</w:t>
      </w:r>
    </w:p>
    <w:p w14:paraId="78DE231D" w14:textId="5BF27D6C" w:rsidR="00063491" w:rsidRDefault="00063491" w:rsidP="006F7FF6">
      <w:pPr>
        <w:spacing w:before="240"/>
        <w:rPr>
          <w:rFonts w:ascii="Times New Roman" w:hAnsi="Times New Roman" w:cs="Times New Roman"/>
          <w:sz w:val="24"/>
          <w:szCs w:val="24"/>
        </w:rPr>
      </w:pPr>
      <w:r>
        <w:rPr>
          <w:rFonts w:ascii="Times New Roman" w:hAnsi="Times New Roman" w:cs="Times New Roman"/>
          <w:sz w:val="24"/>
          <w:szCs w:val="24"/>
        </w:rPr>
        <w:t xml:space="preserve">Regulation </w:t>
      </w:r>
      <w:r w:rsidR="006F7FF6" w:rsidRPr="00D61D3B">
        <w:rPr>
          <w:rFonts w:ascii="Times New Roman" w:hAnsi="Times New Roman" w:cs="Times New Roman"/>
          <w:sz w:val="24"/>
          <w:szCs w:val="24"/>
        </w:rPr>
        <w:t xml:space="preserve">59C </w:t>
      </w:r>
      <w:r w:rsidR="00BD1B06">
        <w:rPr>
          <w:rFonts w:ascii="Times New Roman" w:hAnsi="Times New Roman" w:cs="Times New Roman"/>
          <w:sz w:val="24"/>
          <w:szCs w:val="24"/>
        </w:rPr>
        <w:t xml:space="preserve">of the Levies Regulations </w:t>
      </w:r>
      <w:r>
        <w:rPr>
          <w:rFonts w:ascii="Times New Roman" w:hAnsi="Times New Roman" w:cs="Times New Roman"/>
          <w:sz w:val="24"/>
          <w:szCs w:val="24"/>
        </w:rPr>
        <w:t xml:space="preserve">sets out the manner for working out </w:t>
      </w:r>
      <w:r w:rsidR="006F7FF6">
        <w:rPr>
          <w:rFonts w:ascii="Times New Roman" w:hAnsi="Times New Roman" w:cs="Times New Roman"/>
          <w:sz w:val="24"/>
          <w:szCs w:val="24"/>
        </w:rPr>
        <w:t>the amount of environment plan levy</w:t>
      </w:r>
      <w:r>
        <w:rPr>
          <w:rFonts w:ascii="Times New Roman" w:hAnsi="Times New Roman" w:cs="Times New Roman"/>
          <w:sz w:val="24"/>
          <w:szCs w:val="24"/>
        </w:rPr>
        <w:t xml:space="preserve">, which is imposed by section 10F of the Levies Act on the submission of an environment plan, or a proposed revision of an environment plan, in relation to activities authorised by Commonwealth titles. </w:t>
      </w:r>
    </w:p>
    <w:p w14:paraId="417D0DEE" w14:textId="4EDC02F6" w:rsidR="0083707C" w:rsidRDefault="006F7FF6" w:rsidP="006F7FF6">
      <w:pPr>
        <w:spacing w:before="240"/>
        <w:rPr>
          <w:rFonts w:ascii="Times New Roman" w:hAnsi="Times New Roman" w:cs="Times New Roman"/>
          <w:sz w:val="24"/>
          <w:szCs w:val="24"/>
        </w:rPr>
      </w:pPr>
      <w:r>
        <w:rPr>
          <w:rFonts w:ascii="Times New Roman" w:hAnsi="Times New Roman" w:cs="Times New Roman"/>
          <w:sz w:val="24"/>
          <w:szCs w:val="24"/>
        </w:rPr>
        <w:t xml:space="preserve">The Levies Amendment Act amends </w:t>
      </w:r>
      <w:r w:rsidR="00E1282C">
        <w:rPr>
          <w:rFonts w:ascii="Times New Roman" w:hAnsi="Times New Roman" w:cs="Times New Roman"/>
          <w:sz w:val="24"/>
          <w:szCs w:val="24"/>
        </w:rPr>
        <w:t xml:space="preserve">section </w:t>
      </w:r>
      <w:r>
        <w:rPr>
          <w:rFonts w:ascii="Times New Roman" w:hAnsi="Times New Roman" w:cs="Times New Roman"/>
          <w:sz w:val="24"/>
          <w:szCs w:val="24"/>
        </w:rPr>
        <w:t xml:space="preserve">10F of the Levies Act </w:t>
      </w:r>
      <w:r w:rsidR="0083707C">
        <w:rPr>
          <w:rFonts w:ascii="Times New Roman" w:hAnsi="Times New Roman" w:cs="Times New Roman"/>
          <w:sz w:val="24"/>
          <w:szCs w:val="24"/>
        </w:rPr>
        <w:t xml:space="preserve">to impose environment plan levy if an environment plan, or a proposed revision of an environment plan, is submitted to NOPSEMA, and the activities to which the plan </w:t>
      </w:r>
      <w:r w:rsidR="00794570">
        <w:rPr>
          <w:rFonts w:ascii="Times New Roman" w:hAnsi="Times New Roman" w:cs="Times New Roman"/>
          <w:sz w:val="24"/>
          <w:szCs w:val="24"/>
        </w:rPr>
        <w:t xml:space="preserve">or revised plan </w:t>
      </w:r>
      <w:r w:rsidR="0083707C">
        <w:rPr>
          <w:rFonts w:ascii="Times New Roman" w:hAnsi="Times New Roman" w:cs="Times New Roman"/>
          <w:sz w:val="24"/>
          <w:szCs w:val="24"/>
        </w:rPr>
        <w:t xml:space="preserve">relates are carried out for the purpose of complying with a remedial direction (see items 14 to 16 of Schedule 1 </w:t>
      </w:r>
      <w:r w:rsidR="000A3EA4">
        <w:rPr>
          <w:rFonts w:ascii="Times New Roman" w:hAnsi="Times New Roman" w:cs="Times New Roman"/>
          <w:sz w:val="24"/>
          <w:szCs w:val="24"/>
        </w:rPr>
        <w:t xml:space="preserve">to </w:t>
      </w:r>
      <w:r w:rsidR="0083707C">
        <w:rPr>
          <w:rFonts w:ascii="Times New Roman" w:hAnsi="Times New Roman" w:cs="Times New Roman"/>
          <w:sz w:val="24"/>
          <w:szCs w:val="24"/>
        </w:rPr>
        <w:t xml:space="preserve">the Levies Amendment Act). </w:t>
      </w:r>
    </w:p>
    <w:p w14:paraId="75780DDE" w14:textId="392AC235" w:rsidR="006F7FF6" w:rsidRPr="000D6F7F" w:rsidRDefault="006F7FF6" w:rsidP="006F7FF6">
      <w:pPr>
        <w:spacing w:before="240" w:after="240"/>
        <w:rPr>
          <w:rFonts w:ascii="Times New Roman" w:hAnsi="Times New Roman" w:cs="Times New Roman"/>
          <w:sz w:val="24"/>
          <w:szCs w:val="24"/>
        </w:rPr>
      </w:pPr>
      <w:r w:rsidRPr="000D6F7F">
        <w:rPr>
          <w:rFonts w:ascii="Times New Roman" w:hAnsi="Times New Roman" w:cs="Times New Roman"/>
          <w:sz w:val="24"/>
          <w:szCs w:val="24"/>
        </w:rPr>
        <w:t xml:space="preserve">The note </w:t>
      </w:r>
      <w:r w:rsidR="0083707C">
        <w:rPr>
          <w:rFonts w:ascii="Times New Roman" w:hAnsi="Times New Roman" w:cs="Times New Roman"/>
          <w:sz w:val="24"/>
          <w:szCs w:val="24"/>
        </w:rPr>
        <w:t>at the end of</w:t>
      </w:r>
      <w:r w:rsidR="0083707C" w:rsidRPr="000D6F7F">
        <w:rPr>
          <w:rFonts w:ascii="Times New Roman" w:hAnsi="Times New Roman" w:cs="Times New Roman"/>
          <w:sz w:val="24"/>
          <w:szCs w:val="24"/>
        </w:rPr>
        <w:t xml:space="preserve"> </w:t>
      </w:r>
      <w:r w:rsidRPr="000D6F7F">
        <w:rPr>
          <w:rFonts w:ascii="Times New Roman" w:hAnsi="Times New Roman" w:cs="Times New Roman"/>
          <w:sz w:val="24"/>
          <w:szCs w:val="24"/>
        </w:rPr>
        <w:t>sub</w:t>
      </w:r>
      <w:r w:rsidR="00A92D8D">
        <w:rPr>
          <w:rFonts w:ascii="Times New Roman" w:hAnsi="Times New Roman" w:cs="Times New Roman"/>
          <w:sz w:val="24"/>
          <w:szCs w:val="24"/>
        </w:rPr>
        <w:t>regulation</w:t>
      </w:r>
      <w:r w:rsidR="00E1282C">
        <w:rPr>
          <w:rFonts w:ascii="Times New Roman" w:hAnsi="Times New Roman" w:cs="Times New Roman"/>
          <w:sz w:val="24"/>
          <w:szCs w:val="24"/>
        </w:rPr>
        <w:t xml:space="preserve"> </w:t>
      </w:r>
      <w:r w:rsidRPr="000D6F7F">
        <w:rPr>
          <w:rFonts w:ascii="Times New Roman" w:hAnsi="Times New Roman" w:cs="Times New Roman"/>
          <w:sz w:val="24"/>
          <w:szCs w:val="24"/>
        </w:rPr>
        <w:t xml:space="preserve">59C(1) </w:t>
      </w:r>
      <w:r w:rsidR="005414F8">
        <w:rPr>
          <w:rFonts w:ascii="Times New Roman" w:hAnsi="Times New Roman" w:cs="Times New Roman"/>
          <w:sz w:val="24"/>
          <w:szCs w:val="24"/>
        </w:rPr>
        <w:t xml:space="preserve">explains </w:t>
      </w:r>
      <w:r>
        <w:rPr>
          <w:rFonts w:ascii="Times New Roman" w:hAnsi="Times New Roman" w:cs="Times New Roman"/>
          <w:sz w:val="24"/>
          <w:szCs w:val="24"/>
        </w:rPr>
        <w:t>the operation of</w:t>
      </w:r>
      <w:r w:rsidRPr="000D6F7F">
        <w:rPr>
          <w:rFonts w:ascii="Times New Roman" w:hAnsi="Times New Roman" w:cs="Times New Roman"/>
          <w:sz w:val="24"/>
          <w:szCs w:val="24"/>
        </w:rPr>
        <w:t xml:space="preserve"> </w:t>
      </w:r>
      <w:r w:rsidR="00BD1B06">
        <w:rPr>
          <w:rFonts w:ascii="Times New Roman" w:hAnsi="Times New Roman" w:cs="Times New Roman"/>
          <w:sz w:val="24"/>
          <w:szCs w:val="24"/>
        </w:rPr>
        <w:t xml:space="preserve">section </w:t>
      </w:r>
      <w:r w:rsidRPr="000D6F7F">
        <w:rPr>
          <w:rFonts w:ascii="Times New Roman" w:hAnsi="Times New Roman" w:cs="Times New Roman"/>
          <w:sz w:val="24"/>
          <w:szCs w:val="24"/>
        </w:rPr>
        <w:t>10F of the Levies Act</w:t>
      </w:r>
      <w:r>
        <w:rPr>
          <w:rFonts w:ascii="Times New Roman" w:hAnsi="Times New Roman" w:cs="Times New Roman"/>
          <w:sz w:val="24"/>
          <w:szCs w:val="24"/>
        </w:rPr>
        <w:t>.</w:t>
      </w:r>
      <w:r w:rsidR="005414F8">
        <w:rPr>
          <w:rFonts w:ascii="Times New Roman" w:hAnsi="Times New Roman" w:cs="Times New Roman"/>
          <w:sz w:val="24"/>
          <w:szCs w:val="24"/>
        </w:rPr>
        <w:t xml:space="preserve"> </w:t>
      </w:r>
      <w:r w:rsidR="00BD1B06">
        <w:rPr>
          <w:rFonts w:ascii="Times New Roman" w:hAnsi="Times New Roman" w:cs="Times New Roman"/>
          <w:sz w:val="24"/>
          <w:szCs w:val="24"/>
        </w:rPr>
        <w:t xml:space="preserve">This item amends the </w:t>
      </w:r>
      <w:r w:rsidRPr="000D6F7F">
        <w:rPr>
          <w:rFonts w:ascii="Times New Roman" w:hAnsi="Times New Roman" w:cs="Times New Roman"/>
          <w:sz w:val="24"/>
          <w:szCs w:val="24"/>
        </w:rPr>
        <w:t xml:space="preserve">note </w:t>
      </w:r>
      <w:r w:rsidR="00BD1B06">
        <w:rPr>
          <w:rFonts w:ascii="Times New Roman" w:hAnsi="Times New Roman" w:cs="Times New Roman"/>
          <w:sz w:val="24"/>
          <w:szCs w:val="24"/>
        </w:rPr>
        <w:t xml:space="preserve">by adding </w:t>
      </w:r>
      <w:r w:rsidRPr="000D6F7F">
        <w:rPr>
          <w:rFonts w:ascii="Times New Roman" w:hAnsi="Times New Roman" w:cs="Times New Roman"/>
          <w:sz w:val="24"/>
          <w:szCs w:val="24"/>
        </w:rPr>
        <w:t>“</w:t>
      </w:r>
      <w:r w:rsidR="00F67088">
        <w:rPr>
          <w:rFonts w:ascii="Times New Roman" w:hAnsi="Times New Roman" w:cs="Times New Roman"/>
          <w:sz w:val="24"/>
          <w:szCs w:val="24"/>
        </w:rPr>
        <w:t xml:space="preserve">, </w:t>
      </w:r>
      <w:r w:rsidRPr="000D6F7F">
        <w:rPr>
          <w:rFonts w:ascii="Times New Roman" w:hAnsi="Times New Roman" w:cs="Times New Roman"/>
          <w:sz w:val="24"/>
          <w:szCs w:val="24"/>
        </w:rPr>
        <w:t>or are carried out for the purposes of complying with a remedial direction”</w:t>
      </w:r>
      <w:r w:rsidR="0083707C">
        <w:rPr>
          <w:rFonts w:ascii="Times New Roman" w:hAnsi="Times New Roman" w:cs="Times New Roman"/>
          <w:sz w:val="24"/>
          <w:szCs w:val="24"/>
        </w:rPr>
        <w:t xml:space="preserve"> at the end of the note</w:t>
      </w:r>
      <w:r w:rsidRPr="000D6F7F">
        <w:rPr>
          <w:rFonts w:ascii="Times New Roman" w:hAnsi="Times New Roman" w:cs="Times New Roman"/>
          <w:sz w:val="24"/>
          <w:szCs w:val="24"/>
        </w:rPr>
        <w:t xml:space="preserve">. </w:t>
      </w:r>
      <w:r w:rsidR="0083707C" w:rsidRPr="000D6F7F">
        <w:rPr>
          <w:rFonts w:ascii="Times New Roman" w:hAnsi="Times New Roman" w:cs="Times New Roman"/>
          <w:sz w:val="24"/>
          <w:szCs w:val="24"/>
        </w:rPr>
        <w:t>Th</w:t>
      </w:r>
      <w:r w:rsidR="0083707C">
        <w:rPr>
          <w:rFonts w:ascii="Times New Roman" w:hAnsi="Times New Roman" w:cs="Times New Roman"/>
          <w:sz w:val="24"/>
          <w:szCs w:val="24"/>
        </w:rPr>
        <w:t>is</w:t>
      </w:r>
      <w:r w:rsidR="0083707C" w:rsidRPr="000D6F7F">
        <w:rPr>
          <w:rFonts w:ascii="Times New Roman" w:hAnsi="Times New Roman" w:cs="Times New Roman"/>
          <w:sz w:val="24"/>
          <w:szCs w:val="24"/>
        </w:rPr>
        <w:t xml:space="preserve"> </w:t>
      </w:r>
      <w:r w:rsidRPr="000D6F7F">
        <w:rPr>
          <w:rFonts w:ascii="Times New Roman" w:hAnsi="Times New Roman" w:cs="Times New Roman"/>
          <w:sz w:val="24"/>
          <w:szCs w:val="24"/>
        </w:rPr>
        <w:t xml:space="preserve">amendment </w:t>
      </w:r>
      <w:r w:rsidR="0083707C">
        <w:rPr>
          <w:rFonts w:ascii="Times New Roman" w:hAnsi="Times New Roman" w:cs="Times New Roman"/>
          <w:sz w:val="24"/>
          <w:szCs w:val="24"/>
        </w:rPr>
        <w:t xml:space="preserve">reflects </w:t>
      </w:r>
      <w:r>
        <w:rPr>
          <w:rFonts w:ascii="Times New Roman" w:hAnsi="Times New Roman" w:cs="Times New Roman"/>
          <w:sz w:val="24"/>
          <w:szCs w:val="24"/>
        </w:rPr>
        <w:t xml:space="preserve">the amendments </w:t>
      </w:r>
      <w:r w:rsidR="0083707C">
        <w:rPr>
          <w:rFonts w:ascii="Times New Roman" w:hAnsi="Times New Roman" w:cs="Times New Roman"/>
          <w:sz w:val="24"/>
          <w:szCs w:val="24"/>
        </w:rPr>
        <w:t xml:space="preserve">to section 10F of </w:t>
      </w:r>
      <w:r>
        <w:rPr>
          <w:rFonts w:ascii="Times New Roman" w:hAnsi="Times New Roman" w:cs="Times New Roman"/>
          <w:sz w:val="24"/>
          <w:szCs w:val="24"/>
        </w:rPr>
        <w:t xml:space="preserve">the Levies Act by </w:t>
      </w:r>
      <w:r w:rsidR="00AD3911">
        <w:rPr>
          <w:rFonts w:ascii="Times New Roman" w:hAnsi="Times New Roman" w:cs="Times New Roman"/>
          <w:sz w:val="24"/>
          <w:szCs w:val="24"/>
        </w:rPr>
        <w:t xml:space="preserve">explaining </w:t>
      </w:r>
      <w:r w:rsidR="00215F1F">
        <w:rPr>
          <w:rFonts w:ascii="Times New Roman" w:hAnsi="Times New Roman" w:cs="Times New Roman"/>
          <w:sz w:val="24"/>
          <w:szCs w:val="24"/>
        </w:rPr>
        <w:t>that this section</w:t>
      </w:r>
      <w:r w:rsidRPr="000D6F7F">
        <w:rPr>
          <w:rFonts w:ascii="Times New Roman" w:hAnsi="Times New Roman" w:cs="Times New Roman"/>
          <w:sz w:val="24"/>
          <w:szCs w:val="24"/>
        </w:rPr>
        <w:t xml:space="preserve"> also </w:t>
      </w:r>
      <w:r w:rsidR="005414F8">
        <w:rPr>
          <w:rFonts w:ascii="Times New Roman" w:hAnsi="Times New Roman" w:cs="Times New Roman"/>
          <w:sz w:val="24"/>
          <w:szCs w:val="24"/>
        </w:rPr>
        <w:t>relates</w:t>
      </w:r>
      <w:r w:rsidR="005414F8" w:rsidRPr="000D6F7F">
        <w:rPr>
          <w:rFonts w:ascii="Times New Roman" w:hAnsi="Times New Roman" w:cs="Times New Roman"/>
          <w:sz w:val="24"/>
          <w:szCs w:val="24"/>
        </w:rPr>
        <w:t xml:space="preserve"> </w:t>
      </w:r>
      <w:r w:rsidRPr="000D6F7F">
        <w:rPr>
          <w:rFonts w:ascii="Times New Roman" w:hAnsi="Times New Roman" w:cs="Times New Roman"/>
          <w:sz w:val="24"/>
          <w:szCs w:val="24"/>
        </w:rPr>
        <w:t xml:space="preserve">to </w:t>
      </w:r>
      <w:r w:rsidR="00215F1F">
        <w:rPr>
          <w:rFonts w:ascii="Times New Roman" w:hAnsi="Times New Roman" w:cs="Times New Roman"/>
          <w:sz w:val="24"/>
          <w:szCs w:val="24"/>
        </w:rPr>
        <w:t>an environment plan, or a proposed revision of an environment plan, in relation to activities carried out for the purpose of complying with a remedial direction</w:t>
      </w:r>
      <w:r w:rsidRPr="000D6F7F">
        <w:rPr>
          <w:rFonts w:ascii="Times New Roman" w:hAnsi="Times New Roman" w:cs="Times New Roman"/>
          <w:sz w:val="24"/>
          <w:szCs w:val="24"/>
        </w:rPr>
        <w:t xml:space="preserve">. </w:t>
      </w:r>
    </w:p>
    <w:p w14:paraId="19B8E979" w14:textId="1623C79B" w:rsidR="006F7FF6" w:rsidRPr="00F96203" w:rsidRDefault="006F7FF6" w:rsidP="006F7FF6">
      <w:pPr>
        <w:spacing w:before="240" w:after="240"/>
        <w:rPr>
          <w:rFonts w:ascii="Times New Roman" w:hAnsi="Times New Roman" w:cs="Times New Roman"/>
          <w:b/>
          <w:sz w:val="24"/>
          <w:szCs w:val="24"/>
        </w:rPr>
      </w:pPr>
      <w:r w:rsidRPr="00F96203">
        <w:rPr>
          <w:rFonts w:ascii="Times New Roman" w:hAnsi="Times New Roman" w:cs="Times New Roman"/>
          <w:b/>
          <w:sz w:val="24"/>
          <w:szCs w:val="24"/>
        </w:rPr>
        <w:t>Item 12 – Sub</w:t>
      </w:r>
      <w:r w:rsidR="00A92D8D">
        <w:rPr>
          <w:rFonts w:ascii="Times New Roman" w:hAnsi="Times New Roman" w:cs="Times New Roman"/>
          <w:b/>
          <w:sz w:val="24"/>
          <w:szCs w:val="24"/>
        </w:rPr>
        <w:t>regulation</w:t>
      </w:r>
      <w:r w:rsidR="00E1282C">
        <w:rPr>
          <w:rFonts w:ascii="Times New Roman" w:hAnsi="Times New Roman" w:cs="Times New Roman"/>
          <w:b/>
          <w:sz w:val="24"/>
          <w:szCs w:val="24"/>
        </w:rPr>
        <w:t xml:space="preserve"> </w:t>
      </w:r>
      <w:r w:rsidRPr="00F96203">
        <w:rPr>
          <w:rFonts w:ascii="Times New Roman" w:hAnsi="Times New Roman" w:cs="Times New Roman"/>
          <w:b/>
          <w:sz w:val="24"/>
          <w:szCs w:val="24"/>
        </w:rPr>
        <w:t>59G(1) (at the end of the note)</w:t>
      </w:r>
    </w:p>
    <w:p w14:paraId="65E1891E" w14:textId="5C8ED085" w:rsidR="006F7FF6" w:rsidRPr="00F96203" w:rsidRDefault="00A92D8D"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E1282C">
        <w:rPr>
          <w:rFonts w:ascii="Times New Roman" w:hAnsi="Times New Roman" w:cs="Times New Roman"/>
          <w:sz w:val="24"/>
          <w:szCs w:val="24"/>
        </w:rPr>
        <w:t xml:space="preserve"> </w:t>
      </w:r>
      <w:r w:rsidR="006F7FF6" w:rsidRPr="00F96203">
        <w:rPr>
          <w:rFonts w:ascii="Times New Roman" w:hAnsi="Times New Roman" w:cs="Times New Roman"/>
          <w:sz w:val="24"/>
          <w:szCs w:val="24"/>
        </w:rPr>
        <w:t xml:space="preserve">59G </w:t>
      </w:r>
      <w:r w:rsidR="00BD1B06">
        <w:rPr>
          <w:rFonts w:ascii="Times New Roman" w:hAnsi="Times New Roman" w:cs="Times New Roman"/>
          <w:sz w:val="24"/>
          <w:szCs w:val="24"/>
        </w:rPr>
        <w:t xml:space="preserve">of the Levies Regulations </w:t>
      </w:r>
      <w:r w:rsidR="006F7FF6" w:rsidRPr="00F96203">
        <w:rPr>
          <w:rFonts w:ascii="Times New Roman" w:hAnsi="Times New Roman" w:cs="Times New Roman"/>
          <w:sz w:val="24"/>
          <w:szCs w:val="24"/>
        </w:rPr>
        <w:t xml:space="preserve">sets out </w:t>
      </w:r>
      <w:r w:rsidR="004B3834">
        <w:rPr>
          <w:rFonts w:ascii="Times New Roman" w:hAnsi="Times New Roman" w:cs="Times New Roman"/>
          <w:sz w:val="24"/>
          <w:szCs w:val="24"/>
        </w:rPr>
        <w:t xml:space="preserve">the manner for working out the amount of </w:t>
      </w:r>
      <w:r w:rsidR="006F7FF6" w:rsidRPr="00F96203">
        <w:rPr>
          <w:rFonts w:ascii="Times New Roman" w:hAnsi="Times New Roman" w:cs="Times New Roman"/>
          <w:sz w:val="24"/>
          <w:szCs w:val="24"/>
        </w:rPr>
        <w:t>environment plan levy</w:t>
      </w:r>
      <w:r w:rsidR="00ED1BC6">
        <w:rPr>
          <w:rFonts w:ascii="Times New Roman" w:hAnsi="Times New Roman" w:cs="Times New Roman"/>
          <w:sz w:val="24"/>
          <w:szCs w:val="24"/>
        </w:rPr>
        <w:t>,</w:t>
      </w:r>
      <w:r w:rsidR="004B3834">
        <w:rPr>
          <w:rFonts w:ascii="Times New Roman" w:hAnsi="Times New Roman" w:cs="Times New Roman"/>
          <w:sz w:val="24"/>
          <w:szCs w:val="24"/>
        </w:rPr>
        <w:t xml:space="preserve"> which is imposed by section 10G of the Levies Act on the submission of an environment plan, or a proposed revision of an environment plan,</w:t>
      </w:r>
      <w:r w:rsidR="00794570">
        <w:rPr>
          <w:rFonts w:ascii="Times New Roman" w:hAnsi="Times New Roman" w:cs="Times New Roman"/>
          <w:sz w:val="24"/>
          <w:szCs w:val="24"/>
        </w:rPr>
        <w:t xml:space="preserve"> </w:t>
      </w:r>
      <w:r w:rsidR="004B3834">
        <w:rPr>
          <w:rFonts w:ascii="Times New Roman" w:hAnsi="Times New Roman" w:cs="Times New Roman"/>
          <w:sz w:val="24"/>
          <w:szCs w:val="24"/>
        </w:rPr>
        <w:t>in relation to activities authorised by State/Territory titles</w:t>
      </w:r>
      <w:r w:rsidR="006F7FF6" w:rsidRPr="00F96203">
        <w:rPr>
          <w:rFonts w:ascii="Times New Roman" w:hAnsi="Times New Roman" w:cs="Times New Roman"/>
          <w:sz w:val="24"/>
          <w:szCs w:val="24"/>
        </w:rPr>
        <w:t xml:space="preserve">. </w:t>
      </w:r>
    </w:p>
    <w:p w14:paraId="263CF59A" w14:textId="696A837D" w:rsidR="004B3834" w:rsidRDefault="006F7FF6" w:rsidP="006F7FF6">
      <w:pPr>
        <w:spacing w:before="240"/>
        <w:rPr>
          <w:rFonts w:ascii="Times New Roman" w:hAnsi="Times New Roman" w:cs="Times New Roman"/>
          <w:sz w:val="24"/>
          <w:szCs w:val="24"/>
        </w:rPr>
      </w:pPr>
      <w:r>
        <w:rPr>
          <w:rFonts w:ascii="Times New Roman" w:hAnsi="Times New Roman" w:cs="Times New Roman"/>
          <w:sz w:val="24"/>
          <w:szCs w:val="24"/>
        </w:rPr>
        <w:t xml:space="preserve">The Levies Amendment Act amends </w:t>
      </w:r>
      <w:r w:rsidR="00E1282C">
        <w:rPr>
          <w:rFonts w:ascii="Times New Roman" w:hAnsi="Times New Roman" w:cs="Times New Roman"/>
          <w:sz w:val="24"/>
          <w:szCs w:val="24"/>
        </w:rPr>
        <w:t xml:space="preserve">section </w:t>
      </w:r>
      <w:r>
        <w:rPr>
          <w:rFonts w:ascii="Times New Roman" w:hAnsi="Times New Roman" w:cs="Times New Roman"/>
          <w:sz w:val="24"/>
          <w:szCs w:val="24"/>
        </w:rPr>
        <w:t xml:space="preserve">10G of the Levies Act </w:t>
      </w:r>
      <w:r w:rsidR="004B3834">
        <w:rPr>
          <w:rFonts w:ascii="Times New Roman" w:hAnsi="Times New Roman" w:cs="Times New Roman"/>
          <w:sz w:val="24"/>
          <w:szCs w:val="24"/>
        </w:rPr>
        <w:t xml:space="preserve">to impose environment plan levy if an environment plan, or a proposed </w:t>
      </w:r>
      <w:r w:rsidR="00794570">
        <w:rPr>
          <w:rFonts w:ascii="Times New Roman" w:hAnsi="Times New Roman" w:cs="Times New Roman"/>
          <w:sz w:val="24"/>
          <w:szCs w:val="24"/>
        </w:rPr>
        <w:t>revision of an environment plan, is submitted to NOPSEMA, and the activities to which the plan</w:t>
      </w:r>
      <w:r w:rsidR="00D07551">
        <w:rPr>
          <w:rFonts w:ascii="Times New Roman" w:hAnsi="Times New Roman" w:cs="Times New Roman"/>
          <w:sz w:val="24"/>
          <w:szCs w:val="24"/>
        </w:rPr>
        <w:t xml:space="preserve"> or revised plan</w:t>
      </w:r>
      <w:r w:rsidR="00794570">
        <w:rPr>
          <w:rFonts w:ascii="Times New Roman" w:hAnsi="Times New Roman" w:cs="Times New Roman"/>
          <w:sz w:val="24"/>
          <w:szCs w:val="24"/>
        </w:rPr>
        <w:t xml:space="preserve"> relates are carried out for the purpose of complying with a </w:t>
      </w:r>
      <w:r w:rsidR="00AD3911">
        <w:rPr>
          <w:rFonts w:ascii="Times New Roman" w:hAnsi="Times New Roman" w:cs="Times New Roman"/>
          <w:sz w:val="24"/>
          <w:szCs w:val="24"/>
        </w:rPr>
        <w:t xml:space="preserve">State/Territory </w:t>
      </w:r>
      <w:r w:rsidR="00794570">
        <w:rPr>
          <w:rFonts w:ascii="Times New Roman" w:hAnsi="Times New Roman" w:cs="Times New Roman"/>
          <w:sz w:val="24"/>
          <w:szCs w:val="24"/>
        </w:rPr>
        <w:t xml:space="preserve">remedial direction (see items 17 to 19 of Schedule 1 </w:t>
      </w:r>
      <w:r w:rsidR="000A3EA4">
        <w:rPr>
          <w:rFonts w:ascii="Times New Roman" w:hAnsi="Times New Roman" w:cs="Times New Roman"/>
          <w:sz w:val="24"/>
          <w:szCs w:val="24"/>
        </w:rPr>
        <w:t xml:space="preserve">to </w:t>
      </w:r>
      <w:r w:rsidR="00794570">
        <w:rPr>
          <w:rFonts w:ascii="Times New Roman" w:hAnsi="Times New Roman" w:cs="Times New Roman"/>
          <w:sz w:val="24"/>
          <w:szCs w:val="24"/>
        </w:rPr>
        <w:t xml:space="preserve">the Levies Amendment Act). </w:t>
      </w:r>
    </w:p>
    <w:p w14:paraId="1F25BF83" w14:textId="287C7B2C" w:rsidR="006F7FF6" w:rsidRPr="00371A33" w:rsidRDefault="006F7FF6" w:rsidP="000263AB">
      <w:pPr>
        <w:spacing w:before="240" w:after="240"/>
        <w:rPr>
          <w:sz w:val="24"/>
          <w:szCs w:val="24"/>
        </w:rPr>
      </w:pPr>
      <w:r w:rsidRPr="00F96203">
        <w:rPr>
          <w:rFonts w:ascii="Times New Roman" w:hAnsi="Times New Roman" w:cs="Times New Roman"/>
          <w:sz w:val="24"/>
          <w:szCs w:val="24"/>
        </w:rPr>
        <w:t>T</w:t>
      </w:r>
      <w:r>
        <w:rPr>
          <w:rFonts w:ascii="Times New Roman" w:hAnsi="Times New Roman" w:cs="Times New Roman"/>
          <w:sz w:val="24"/>
          <w:szCs w:val="24"/>
        </w:rPr>
        <w:t>he note at</w:t>
      </w:r>
      <w:r w:rsidR="00794570">
        <w:rPr>
          <w:rFonts w:ascii="Times New Roman" w:hAnsi="Times New Roman" w:cs="Times New Roman"/>
          <w:sz w:val="24"/>
          <w:szCs w:val="24"/>
        </w:rPr>
        <w:t xml:space="preserve"> the end of</w:t>
      </w:r>
      <w:r>
        <w:rPr>
          <w:rFonts w:ascii="Times New Roman" w:hAnsi="Times New Roman" w:cs="Times New Roman"/>
          <w:sz w:val="24"/>
          <w:szCs w:val="24"/>
        </w:rPr>
        <w:t xml:space="preserve"> </w:t>
      </w:r>
      <w:r w:rsidR="00E1282C">
        <w:rPr>
          <w:rFonts w:ascii="Times New Roman" w:hAnsi="Times New Roman" w:cs="Times New Roman"/>
          <w:sz w:val="24"/>
          <w:szCs w:val="24"/>
        </w:rPr>
        <w:t xml:space="preserve">subregulation </w:t>
      </w:r>
      <w:r>
        <w:rPr>
          <w:rFonts w:ascii="Times New Roman" w:hAnsi="Times New Roman" w:cs="Times New Roman"/>
          <w:sz w:val="24"/>
          <w:szCs w:val="24"/>
        </w:rPr>
        <w:t xml:space="preserve">59G(1) </w:t>
      </w:r>
      <w:r w:rsidR="00AD3911">
        <w:rPr>
          <w:rFonts w:ascii="Times New Roman" w:hAnsi="Times New Roman" w:cs="Times New Roman"/>
          <w:sz w:val="24"/>
          <w:szCs w:val="24"/>
        </w:rPr>
        <w:t xml:space="preserve">explains </w:t>
      </w:r>
      <w:r>
        <w:rPr>
          <w:rFonts w:ascii="Times New Roman" w:hAnsi="Times New Roman" w:cs="Times New Roman"/>
          <w:sz w:val="24"/>
          <w:szCs w:val="24"/>
        </w:rPr>
        <w:t>the operation of</w:t>
      </w:r>
      <w:r w:rsidRPr="00F96203">
        <w:rPr>
          <w:rFonts w:ascii="Times New Roman" w:hAnsi="Times New Roman" w:cs="Times New Roman"/>
          <w:sz w:val="24"/>
          <w:szCs w:val="24"/>
        </w:rPr>
        <w:t xml:space="preserve"> </w:t>
      </w:r>
      <w:r w:rsidR="00E1282C">
        <w:rPr>
          <w:rFonts w:ascii="Times New Roman" w:hAnsi="Times New Roman" w:cs="Times New Roman"/>
          <w:sz w:val="24"/>
          <w:szCs w:val="24"/>
        </w:rPr>
        <w:t xml:space="preserve">section </w:t>
      </w:r>
      <w:r w:rsidRPr="00F96203">
        <w:rPr>
          <w:rFonts w:ascii="Times New Roman" w:hAnsi="Times New Roman" w:cs="Times New Roman"/>
          <w:sz w:val="24"/>
          <w:szCs w:val="24"/>
        </w:rPr>
        <w:t>10G of the Levies Act.</w:t>
      </w:r>
      <w:r w:rsidR="00AD3911">
        <w:rPr>
          <w:rFonts w:ascii="Times New Roman" w:hAnsi="Times New Roman" w:cs="Times New Roman"/>
          <w:sz w:val="24"/>
          <w:szCs w:val="24"/>
        </w:rPr>
        <w:t xml:space="preserve"> </w:t>
      </w:r>
      <w:r w:rsidR="00D07551">
        <w:rPr>
          <w:rFonts w:ascii="Times New Roman" w:hAnsi="Times New Roman" w:cs="Times New Roman"/>
          <w:sz w:val="24"/>
          <w:szCs w:val="24"/>
        </w:rPr>
        <w:t xml:space="preserve">This item amends the </w:t>
      </w:r>
      <w:r w:rsidR="00D07551" w:rsidRPr="000D6F7F">
        <w:rPr>
          <w:rFonts w:ascii="Times New Roman" w:hAnsi="Times New Roman" w:cs="Times New Roman"/>
          <w:sz w:val="24"/>
          <w:szCs w:val="24"/>
        </w:rPr>
        <w:t xml:space="preserve">note </w:t>
      </w:r>
      <w:r w:rsidR="00D07551">
        <w:rPr>
          <w:rFonts w:ascii="Times New Roman" w:hAnsi="Times New Roman" w:cs="Times New Roman"/>
          <w:sz w:val="24"/>
          <w:szCs w:val="24"/>
        </w:rPr>
        <w:t xml:space="preserve">by adding </w:t>
      </w:r>
      <w:r w:rsidR="00D07551" w:rsidRPr="000D6F7F">
        <w:rPr>
          <w:rFonts w:ascii="Times New Roman" w:hAnsi="Times New Roman" w:cs="Times New Roman"/>
          <w:sz w:val="24"/>
          <w:szCs w:val="24"/>
        </w:rPr>
        <w:t>“</w:t>
      </w:r>
      <w:r w:rsidR="00F67088">
        <w:rPr>
          <w:rFonts w:ascii="Times New Roman" w:hAnsi="Times New Roman" w:cs="Times New Roman"/>
          <w:sz w:val="24"/>
          <w:szCs w:val="24"/>
        </w:rPr>
        <w:t xml:space="preserve">, </w:t>
      </w:r>
      <w:r w:rsidR="00D07551" w:rsidRPr="000D6F7F">
        <w:rPr>
          <w:rFonts w:ascii="Times New Roman" w:hAnsi="Times New Roman" w:cs="Times New Roman"/>
          <w:sz w:val="24"/>
          <w:szCs w:val="24"/>
        </w:rPr>
        <w:t xml:space="preserve">or are carried out for the purposes of complying with a </w:t>
      </w:r>
      <w:r w:rsidR="00AD3911">
        <w:rPr>
          <w:rFonts w:ascii="Times New Roman" w:hAnsi="Times New Roman" w:cs="Times New Roman"/>
          <w:sz w:val="24"/>
          <w:szCs w:val="24"/>
        </w:rPr>
        <w:t xml:space="preserve">State/Territory </w:t>
      </w:r>
      <w:r w:rsidR="00D07551" w:rsidRPr="000D6F7F">
        <w:rPr>
          <w:rFonts w:ascii="Times New Roman" w:hAnsi="Times New Roman" w:cs="Times New Roman"/>
          <w:sz w:val="24"/>
          <w:szCs w:val="24"/>
        </w:rPr>
        <w:t>remedial direction”</w:t>
      </w:r>
      <w:r w:rsidR="00D07551">
        <w:rPr>
          <w:rFonts w:ascii="Times New Roman" w:hAnsi="Times New Roman" w:cs="Times New Roman"/>
          <w:sz w:val="24"/>
          <w:szCs w:val="24"/>
        </w:rPr>
        <w:t xml:space="preserve"> at the end of the note</w:t>
      </w:r>
      <w:r w:rsidR="00D07551" w:rsidRPr="000D6F7F">
        <w:rPr>
          <w:rFonts w:ascii="Times New Roman" w:hAnsi="Times New Roman" w:cs="Times New Roman"/>
          <w:sz w:val="24"/>
          <w:szCs w:val="24"/>
        </w:rPr>
        <w:t>. Th</w:t>
      </w:r>
      <w:r w:rsidR="00D07551">
        <w:rPr>
          <w:rFonts w:ascii="Times New Roman" w:hAnsi="Times New Roman" w:cs="Times New Roman"/>
          <w:sz w:val="24"/>
          <w:szCs w:val="24"/>
        </w:rPr>
        <w:t>is</w:t>
      </w:r>
      <w:r w:rsidR="00D07551" w:rsidRPr="000D6F7F">
        <w:rPr>
          <w:rFonts w:ascii="Times New Roman" w:hAnsi="Times New Roman" w:cs="Times New Roman"/>
          <w:sz w:val="24"/>
          <w:szCs w:val="24"/>
        </w:rPr>
        <w:t xml:space="preserve"> amendment </w:t>
      </w:r>
      <w:r w:rsidR="00D07551">
        <w:rPr>
          <w:rFonts w:ascii="Times New Roman" w:hAnsi="Times New Roman" w:cs="Times New Roman"/>
          <w:sz w:val="24"/>
          <w:szCs w:val="24"/>
        </w:rPr>
        <w:t xml:space="preserve">reflects the amendments to section 10G of the Levies Act by </w:t>
      </w:r>
      <w:r w:rsidR="00AD3911">
        <w:rPr>
          <w:rFonts w:ascii="Times New Roman" w:hAnsi="Times New Roman" w:cs="Times New Roman"/>
          <w:sz w:val="24"/>
          <w:szCs w:val="24"/>
        </w:rPr>
        <w:t xml:space="preserve">explaining </w:t>
      </w:r>
      <w:r w:rsidR="00D07551">
        <w:rPr>
          <w:rFonts w:ascii="Times New Roman" w:hAnsi="Times New Roman" w:cs="Times New Roman"/>
          <w:sz w:val="24"/>
          <w:szCs w:val="24"/>
        </w:rPr>
        <w:t>that this section</w:t>
      </w:r>
      <w:r w:rsidR="00D07551" w:rsidRPr="000D6F7F">
        <w:rPr>
          <w:rFonts w:ascii="Times New Roman" w:hAnsi="Times New Roman" w:cs="Times New Roman"/>
          <w:sz w:val="24"/>
          <w:szCs w:val="24"/>
        </w:rPr>
        <w:t xml:space="preserve"> also </w:t>
      </w:r>
      <w:r w:rsidR="00AD3911">
        <w:rPr>
          <w:rFonts w:ascii="Times New Roman" w:hAnsi="Times New Roman" w:cs="Times New Roman"/>
          <w:sz w:val="24"/>
          <w:szCs w:val="24"/>
        </w:rPr>
        <w:t>relates</w:t>
      </w:r>
      <w:r w:rsidR="00AD3911" w:rsidRPr="000D6F7F">
        <w:rPr>
          <w:rFonts w:ascii="Times New Roman" w:hAnsi="Times New Roman" w:cs="Times New Roman"/>
          <w:sz w:val="24"/>
          <w:szCs w:val="24"/>
        </w:rPr>
        <w:t xml:space="preserve"> </w:t>
      </w:r>
      <w:r w:rsidR="00D07551" w:rsidRPr="000D6F7F">
        <w:rPr>
          <w:rFonts w:ascii="Times New Roman" w:hAnsi="Times New Roman" w:cs="Times New Roman"/>
          <w:sz w:val="24"/>
          <w:szCs w:val="24"/>
        </w:rPr>
        <w:t xml:space="preserve">to </w:t>
      </w:r>
      <w:r w:rsidR="00D07551">
        <w:rPr>
          <w:rFonts w:ascii="Times New Roman" w:hAnsi="Times New Roman" w:cs="Times New Roman"/>
          <w:sz w:val="24"/>
          <w:szCs w:val="24"/>
        </w:rPr>
        <w:t xml:space="preserve">an environment plan, or a proposed revision of an environment plan, in relation to activities carried out for the purpose of complying with a </w:t>
      </w:r>
      <w:r w:rsidR="00AD3911">
        <w:rPr>
          <w:rFonts w:ascii="Times New Roman" w:hAnsi="Times New Roman" w:cs="Times New Roman"/>
          <w:sz w:val="24"/>
          <w:szCs w:val="24"/>
        </w:rPr>
        <w:t xml:space="preserve">State/Territory </w:t>
      </w:r>
      <w:r w:rsidR="00D07551">
        <w:rPr>
          <w:rFonts w:ascii="Times New Roman" w:hAnsi="Times New Roman" w:cs="Times New Roman"/>
          <w:sz w:val="24"/>
          <w:szCs w:val="24"/>
        </w:rPr>
        <w:t>remedial direction</w:t>
      </w:r>
      <w:r w:rsidR="00D07551" w:rsidRPr="000D6F7F">
        <w:rPr>
          <w:rFonts w:ascii="Times New Roman" w:hAnsi="Times New Roman" w:cs="Times New Roman"/>
          <w:sz w:val="24"/>
          <w:szCs w:val="24"/>
        </w:rPr>
        <w:t xml:space="preserve">. </w:t>
      </w:r>
    </w:p>
    <w:p w14:paraId="0630D0A5" w14:textId="3D113E16" w:rsidR="006F7FF6" w:rsidRDefault="006F7FF6" w:rsidP="006F7FF6">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13 – </w:t>
      </w:r>
      <w:r w:rsidR="00A92D8D">
        <w:rPr>
          <w:rFonts w:ascii="Times New Roman" w:hAnsi="Times New Roman" w:cs="Times New Roman"/>
          <w:b/>
          <w:sz w:val="24"/>
          <w:szCs w:val="24"/>
        </w:rPr>
        <w:t>Regulation</w:t>
      </w:r>
      <w:r w:rsidR="00C23975">
        <w:rPr>
          <w:rFonts w:ascii="Times New Roman" w:hAnsi="Times New Roman" w:cs="Times New Roman"/>
          <w:b/>
          <w:sz w:val="24"/>
          <w:szCs w:val="24"/>
        </w:rPr>
        <w:t xml:space="preserve"> </w:t>
      </w:r>
      <w:r>
        <w:rPr>
          <w:rFonts w:ascii="Times New Roman" w:hAnsi="Times New Roman" w:cs="Times New Roman"/>
          <w:b/>
          <w:sz w:val="24"/>
          <w:szCs w:val="24"/>
        </w:rPr>
        <w:t>64 (after table item 12)</w:t>
      </w:r>
    </w:p>
    <w:p w14:paraId="19C10B6E" w14:textId="1716F579" w:rsidR="006F7FF6" w:rsidRDefault="00A92D8D"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E1282C">
        <w:rPr>
          <w:rFonts w:ascii="Times New Roman" w:hAnsi="Times New Roman" w:cs="Times New Roman"/>
          <w:sz w:val="24"/>
          <w:szCs w:val="24"/>
        </w:rPr>
        <w:t xml:space="preserve"> </w:t>
      </w:r>
      <w:r w:rsidR="006F7FF6">
        <w:rPr>
          <w:rFonts w:ascii="Times New Roman" w:hAnsi="Times New Roman" w:cs="Times New Roman"/>
          <w:sz w:val="24"/>
          <w:szCs w:val="24"/>
        </w:rPr>
        <w:t xml:space="preserve">64 of the Levies Regulations </w:t>
      </w:r>
      <w:r w:rsidR="00053C1C">
        <w:rPr>
          <w:rFonts w:ascii="Times New Roman" w:hAnsi="Times New Roman" w:cs="Times New Roman"/>
          <w:sz w:val="24"/>
          <w:szCs w:val="24"/>
        </w:rPr>
        <w:t>prescribe</w:t>
      </w:r>
      <w:r w:rsidR="00773097">
        <w:rPr>
          <w:rFonts w:ascii="Times New Roman" w:hAnsi="Times New Roman" w:cs="Times New Roman"/>
          <w:sz w:val="24"/>
          <w:szCs w:val="24"/>
        </w:rPr>
        <w:t>s</w:t>
      </w:r>
      <w:r w:rsidR="006F7FF6">
        <w:rPr>
          <w:rFonts w:ascii="Times New Roman" w:hAnsi="Times New Roman" w:cs="Times New Roman"/>
          <w:sz w:val="24"/>
          <w:szCs w:val="24"/>
        </w:rPr>
        <w:t xml:space="preserve"> regulations</w:t>
      </w:r>
      <w:r w:rsidR="00053C1C">
        <w:rPr>
          <w:rFonts w:ascii="Times New Roman" w:hAnsi="Times New Roman" w:cs="Times New Roman"/>
          <w:sz w:val="24"/>
          <w:szCs w:val="24"/>
        </w:rPr>
        <w:t>,</w:t>
      </w:r>
      <w:r w:rsidR="006F7FF6">
        <w:rPr>
          <w:rFonts w:ascii="Times New Roman" w:hAnsi="Times New Roman" w:cs="Times New Roman"/>
          <w:sz w:val="24"/>
          <w:szCs w:val="24"/>
        </w:rPr>
        <w:t xml:space="preserve"> or provisions of regulations</w:t>
      </w:r>
      <w:r w:rsidR="00053C1C">
        <w:rPr>
          <w:rFonts w:ascii="Times New Roman" w:hAnsi="Times New Roman" w:cs="Times New Roman"/>
          <w:sz w:val="24"/>
          <w:szCs w:val="24"/>
        </w:rPr>
        <w:t>,</w:t>
      </w:r>
      <w:r w:rsidR="006F7FF6">
        <w:rPr>
          <w:rFonts w:ascii="Times New Roman" w:hAnsi="Times New Roman" w:cs="Times New Roman"/>
          <w:sz w:val="24"/>
          <w:szCs w:val="24"/>
        </w:rPr>
        <w:t xml:space="preserve"> </w:t>
      </w:r>
      <w:r w:rsidR="00C23975">
        <w:rPr>
          <w:rFonts w:ascii="Times New Roman" w:hAnsi="Times New Roman" w:cs="Times New Roman"/>
          <w:sz w:val="24"/>
          <w:szCs w:val="24"/>
        </w:rPr>
        <w:t xml:space="preserve">that are </w:t>
      </w:r>
      <w:r w:rsidR="006F7FF6">
        <w:rPr>
          <w:rFonts w:ascii="Times New Roman" w:hAnsi="Times New Roman" w:cs="Times New Roman"/>
          <w:sz w:val="24"/>
          <w:szCs w:val="24"/>
        </w:rPr>
        <w:t>made under the OPGGS Act</w:t>
      </w:r>
      <w:r w:rsidR="00520848">
        <w:rPr>
          <w:rFonts w:ascii="Times New Roman" w:hAnsi="Times New Roman" w:cs="Times New Roman"/>
          <w:sz w:val="24"/>
          <w:szCs w:val="24"/>
        </w:rPr>
        <w:t>,</w:t>
      </w:r>
      <w:r w:rsidR="006F7FF6">
        <w:rPr>
          <w:rFonts w:ascii="Times New Roman" w:hAnsi="Times New Roman" w:cs="Times New Roman"/>
          <w:sz w:val="24"/>
          <w:szCs w:val="24"/>
        </w:rPr>
        <w:t xml:space="preserve"> for </w:t>
      </w:r>
      <w:r w:rsidR="00773097">
        <w:rPr>
          <w:rFonts w:ascii="Times New Roman" w:hAnsi="Times New Roman" w:cs="Times New Roman"/>
          <w:sz w:val="24"/>
          <w:szCs w:val="24"/>
        </w:rPr>
        <w:t xml:space="preserve">the purposes of </w:t>
      </w:r>
      <w:r w:rsidR="006F7FF6">
        <w:rPr>
          <w:rFonts w:ascii="Times New Roman" w:hAnsi="Times New Roman" w:cs="Times New Roman"/>
          <w:sz w:val="24"/>
          <w:szCs w:val="24"/>
        </w:rPr>
        <w:t xml:space="preserve">particular provisions of the Levies Act. </w:t>
      </w:r>
    </w:p>
    <w:p w14:paraId="593710F8" w14:textId="5400ED9C" w:rsidR="00B03E78" w:rsidRDefault="006F7FF6" w:rsidP="00B03E78">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This item inserts </w:t>
      </w:r>
      <w:r w:rsidR="00053C1C">
        <w:rPr>
          <w:rFonts w:ascii="Times New Roman" w:hAnsi="Times New Roman" w:cs="Times New Roman"/>
          <w:sz w:val="24"/>
          <w:szCs w:val="24"/>
        </w:rPr>
        <w:t>new items 12A and 12B into the table in regulation 64. Table item 12A provides that, for the purpose of subparagraph 10F(1)(d)(i)</w:t>
      </w:r>
      <w:r w:rsidR="00B86D4E">
        <w:rPr>
          <w:rFonts w:ascii="Times New Roman" w:hAnsi="Times New Roman" w:cs="Times New Roman"/>
          <w:sz w:val="24"/>
          <w:szCs w:val="24"/>
        </w:rPr>
        <w:t xml:space="preserve"> of the Levies Act</w:t>
      </w:r>
      <w:r w:rsidR="00053C1C">
        <w:rPr>
          <w:rFonts w:ascii="Times New Roman" w:hAnsi="Times New Roman" w:cs="Times New Roman"/>
          <w:sz w:val="24"/>
          <w:szCs w:val="24"/>
        </w:rPr>
        <w:t xml:space="preserve">, regulation 9 of the Environment Regulations </w:t>
      </w:r>
      <w:r w:rsidR="00B03E78">
        <w:rPr>
          <w:rFonts w:ascii="Times New Roman" w:hAnsi="Times New Roman" w:cs="Times New Roman"/>
          <w:sz w:val="24"/>
          <w:szCs w:val="24"/>
        </w:rPr>
        <w:t xml:space="preserve">is the prescribed provision, while table item 12B provides </w:t>
      </w:r>
      <w:r w:rsidR="000C2F9B">
        <w:rPr>
          <w:rFonts w:ascii="Times New Roman" w:hAnsi="Times New Roman" w:cs="Times New Roman"/>
          <w:sz w:val="24"/>
          <w:szCs w:val="24"/>
        </w:rPr>
        <w:t>that</w:t>
      </w:r>
      <w:r w:rsidR="00B03E78">
        <w:rPr>
          <w:rFonts w:ascii="Times New Roman" w:hAnsi="Times New Roman" w:cs="Times New Roman"/>
          <w:sz w:val="24"/>
          <w:szCs w:val="24"/>
        </w:rPr>
        <w:t>, for the purpose of subparagraph 10F(1)(e)(i)</w:t>
      </w:r>
      <w:r w:rsidR="00B86D4E">
        <w:rPr>
          <w:rFonts w:ascii="Times New Roman" w:hAnsi="Times New Roman" w:cs="Times New Roman"/>
          <w:sz w:val="24"/>
          <w:szCs w:val="24"/>
        </w:rPr>
        <w:t xml:space="preserve"> of the Levies Act</w:t>
      </w:r>
      <w:r w:rsidR="00B03E78">
        <w:rPr>
          <w:rFonts w:ascii="Times New Roman" w:hAnsi="Times New Roman" w:cs="Times New Roman"/>
          <w:sz w:val="24"/>
          <w:szCs w:val="24"/>
        </w:rPr>
        <w:t xml:space="preserve">, regulation 17, 18 or 19 of the Environment Regulations is the prescribed provision. </w:t>
      </w:r>
    </w:p>
    <w:p w14:paraId="789666EF" w14:textId="657486D2" w:rsidR="00053C1C" w:rsidRDefault="00B03E78" w:rsidP="006F7FF6">
      <w:pPr>
        <w:spacing w:before="240" w:after="240"/>
        <w:rPr>
          <w:rFonts w:ascii="Times New Roman" w:hAnsi="Times New Roman" w:cs="Times New Roman"/>
          <w:sz w:val="24"/>
          <w:szCs w:val="24"/>
        </w:rPr>
      </w:pPr>
      <w:r>
        <w:rPr>
          <w:rFonts w:ascii="Times New Roman" w:hAnsi="Times New Roman" w:cs="Times New Roman"/>
          <w:sz w:val="24"/>
          <w:szCs w:val="24"/>
        </w:rPr>
        <w:t>Paragraphs 10F</w:t>
      </w:r>
      <w:r w:rsidR="00B86D4E">
        <w:rPr>
          <w:rFonts w:ascii="Times New Roman" w:hAnsi="Times New Roman" w:cs="Times New Roman"/>
          <w:sz w:val="24"/>
          <w:szCs w:val="24"/>
        </w:rPr>
        <w:t>(1)</w:t>
      </w:r>
      <w:r>
        <w:rPr>
          <w:rFonts w:ascii="Times New Roman" w:hAnsi="Times New Roman" w:cs="Times New Roman"/>
          <w:sz w:val="24"/>
          <w:szCs w:val="24"/>
        </w:rPr>
        <w:t xml:space="preserve">(d) and (e) </w:t>
      </w:r>
      <w:r w:rsidR="00B86D4E">
        <w:rPr>
          <w:rFonts w:ascii="Times New Roman" w:hAnsi="Times New Roman" w:cs="Times New Roman"/>
          <w:sz w:val="24"/>
          <w:szCs w:val="24"/>
        </w:rPr>
        <w:t xml:space="preserve">were inserted by the Levies Amendment Act (see item 15 of Schedule 1), and impose environment plan levies on the submission of an environment plan, or a proposed revision of an environment plan, </w:t>
      </w:r>
      <w:r w:rsidR="00C10E80">
        <w:rPr>
          <w:rFonts w:ascii="Times New Roman" w:hAnsi="Times New Roman" w:cs="Times New Roman"/>
          <w:sz w:val="24"/>
          <w:szCs w:val="24"/>
        </w:rPr>
        <w:t>to NOPSEMA</w:t>
      </w:r>
      <w:r w:rsidR="003B3E79">
        <w:rPr>
          <w:rFonts w:ascii="Times New Roman" w:hAnsi="Times New Roman" w:cs="Times New Roman"/>
          <w:sz w:val="24"/>
          <w:szCs w:val="24"/>
        </w:rPr>
        <w:t xml:space="preserve"> under a prescribed provision of regulations made under the OPGGS Act</w:t>
      </w:r>
      <w:r w:rsidR="00773097">
        <w:rPr>
          <w:rFonts w:ascii="Times New Roman" w:hAnsi="Times New Roman" w:cs="Times New Roman"/>
          <w:sz w:val="24"/>
          <w:szCs w:val="24"/>
        </w:rPr>
        <w:t>,</w:t>
      </w:r>
      <w:r w:rsidR="00C10E80">
        <w:rPr>
          <w:rFonts w:ascii="Times New Roman" w:hAnsi="Times New Roman" w:cs="Times New Roman"/>
          <w:sz w:val="24"/>
          <w:szCs w:val="24"/>
        </w:rPr>
        <w:t xml:space="preserve"> </w:t>
      </w:r>
      <w:r w:rsidR="00ED1BC6">
        <w:rPr>
          <w:rFonts w:ascii="Times New Roman" w:hAnsi="Times New Roman" w:cs="Times New Roman"/>
          <w:sz w:val="24"/>
          <w:szCs w:val="24"/>
        </w:rPr>
        <w:t>in which</w:t>
      </w:r>
      <w:r w:rsidR="00B86D4E">
        <w:rPr>
          <w:rFonts w:ascii="Times New Roman" w:hAnsi="Times New Roman" w:cs="Times New Roman"/>
          <w:sz w:val="24"/>
          <w:szCs w:val="24"/>
        </w:rPr>
        <w:t xml:space="preserve"> the activities</w:t>
      </w:r>
      <w:r w:rsidR="00773097">
        <w:rPr>
          <w:rFonts w:ascii="Times New Roman" w:hAnsi="Times New Roman" w:cs="Times New Roman"/>
          <w:sz w:val="24"/>
          <w:szCs w:val="24"/>
        </w:rPr>
        <w:t xml:space="preserve"> to which the plan relates are</w:t>
      </w:r>
      <w:r w:rsidR="00B86D4E">
        <w:rPr>
          <w:rFonts w:ascii="Times New Roman" w:hAnsi="Times New Roman" w:cs="Times New Roman"/>
          <w:sz w:val="24"/>
          <w:szCs w:val="24"/>
        </w:rPr>
        <w:t xml:space="preserve"> carried out for the purposes of compl</w:t>
      </w:r>
      <w:r w:rsidR="00C10E80">
        <w:rPr>
          <w:rFonts w:ascii="Times New Roman" w:hAnsi="Times New Roman" w:cs="Times New Roman"/>
          <w:sz w:val="24"/>
          <w:szCs w:val="24"/>
        </w:rPr>
        <w:t xml:space="preserve">ying with a remedial direction. </w:t>
      </w:r>
    </w:p>
    <w:p w14:paraId="117B33BB" w14:textId="0C47963E" w:rsidR="00053C1C" w:rsidRDefault="00053C1C"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 9 of the Environment Regulations</w:t>
      </w:r>
      <w:r w:rsidR="003B3E79">
        <w:rPr>
          <w:rFonts w:ascii="Times New Roman" w:hAnsi="Times New Roman" w:cs="Times New Roman"/>
          <w:sz w:val="24"/>
          <w:szCs w:val="24"/>
        </w:rPr>
        <w:t>, which enables an environment plan to be submitted to NOPSEMA for an activity</w:t>
      </w:r>
      <w:r w:rsidR="00773097">
        <w:rPr>
          <w:rFonts w:ascii="Times New Roman" w:hAnsi="Times New Roman" w:cs="Times New Roman"/>
          <w:sz w:val="24"/>
          <w:szCs w:val="24"/>
        </w:rPr>
        <w:t>, is the prescribed provision for the purpose of subparagraph 10F(1)(d)(i)</w:t>
      </w:r>
      <w:r w:rsidR="000C2F9B">
        <w:rPr>
          <w:rFonts w:ascii="Times New Roman" w:hAnsi="Times New Roman" w:cs="Times New Roman"/>
          <w:sz w:val="24"/>
          <w:szCs w:val="24"/>
        </w:rPr>
        <w:t>. This would include</w:t>
      </w:r>
      <w:r w:rsidR="003B3E79">
        <w:rPr>
          <w:rFonts w:ascii="Times New Roman" w:hAnsi="Times New Roman" w:cs="Times New Roman"/>
          <w:sz w:val="24"/>
          <w:szCs w:val="24"/>
        </w:rPr>
        <w:t xml:space="preserve"> an activity carried out for the purposes of complying with a remedial direction. </w:t>
      </w:r>
    </w:p>
    <w:p w14:paraId="3427691A" w14:textId="1E9F72F1" w:rsidR="00762103" w:rsidRDefault="003B3E79" w:rsidP="006F7FF6">
      <w:pPr>
        <w:spacing w:before="240" w:after="240"/>
        <w:rPr>
          <w:rFonts w:ascii="Times New Roman" w:hAnsi="Times New Roman" w:cs="Times New Roman"/>
          <w:sz w:val="24"/>
          <w:szCs w:val="24"/>
        </w:rPr>
      </w:pPr>
      <w:r>
        <w:rPr>
          <w:rFonts w:ascii="Times New Roman" w:hAnsi="Times New Roman" w:cs="Times New Roman"/>
          <w:sz w:val="24"/>
          <w:szCs w:val="24"/>
        </w:rPr>
        <w:t>R</w:t>
      </w:r>
      <w:r w:rsidR="00053C1C">
        <w:rPr>
          <w:rFonts w:ascii="Times New Roman" w:hAnsi="Times New Roman" w:cs="Times New Roman"/>
          <w:sz w:val="24"/>
          <w:szCs w:val="24"/>
        </w:rPr>
        <w:t>egulation</w:t>
      </w:r>
      <w:r>
        <w:rPr>
          <w:rFonts w:ascii="Times New Roman" w:hAnsi="Times New Roman" w:cs="Times New Roman"/>
          <w:sz w:val="24"/>
          <w:szCs w:val="24"/>
        </w:rPr>
        <w:t>s</w:t>
      </w:r>
      <w:r w:rsidR="00053C1C">
        <w:rPr>
          <w:rFonts w:ascii="Times New Roman" w:hAnsi="Times New Roman" w:cs="Times New Roman"/>
          <w:sz w:val="24"/>
          <w:szCs w:val="24"/>
        </w:rPr>
        <w:t xml:space="preserve"> 17, 18 </w:t>
      </w:r>
      <w:r>
        <w:rPr>
          <w:rFonts w:ascii="Times New Roman" w:hAnsi="Times New Roman" w:cs="Times New Roman"/>
          <w:sz w:val="24"/>
          <w:szCs w:val="24"/>
        </w:rPr>
        <w:t>and</w:t>
      </w:r>
      <w:r w:rsidR="00053C1C">
        <w:rPr>
          <w:rFonts w:ascii="Times New Roman" w:hAnsi="Times New Roman" w:cs="Times New Roman"/>
          <w:sz w:val="24"/>
          <w:szCs w:val="24"/>
        </w:rPr>
        <w:t xml:space="preserve"> 19 of the Environment Regulations</w:t>
      </w:r>
      <w:r>
        <w:rPr>
          <w:rFonts w:ascii="Times New Roman" w:hAnsi="Times New Roman" w:cs="Times New Roman"/>
          <w:sz w:val="24"/>
          <w:szCs w:val="24"/>
        </w:rPr>
        <w:t>, which enable a proposed revision of an environment plan to be submitted to NOPSEMA for an activity</w:t>
      </w:r>
      <w:r w:rsidR="00773097">
        <w:rPr>
          <w:rFonts w:ascii="Times New Roman" w:hAnsi="Times New Roman" w:cs="Times New Roman"/>
          <w:sz w:val="24"/>
          <w:szCs w:val="24"/>
        </w:rPr>
        <w:t>, are the prescribed provisions for the purpose of subparagraph 10F(1)(e)(i)</w:t>
      </w:r>
      <w:r w:rsidR="000C2F9B">
        <w:rPr>
          <w:rFonts w:ascii="Times New Roman" w:hAnsi="Times New Roman" w:cs="Times New Roman"/>
          <w:sz w:val="24"/>
          <w:szCs w:val="24"/>
        </w:rPr>
        <w:t>. This would include</w:t>
      </w:r>
      <w:r>
        <w:rPr>
          <w:rFonts w:ascii="Times New Roman" w:hAnsi="Times New Roman" w:cs="Times New Roman"/>
          <w:sz w:val="24"/>
          <w:szCs w:val="24"/>
        </w:rPr>
        <w:t xml:space="preserve"> an activity carried out for the purposes of complying with a remedial direction. </w:t>
      </w:r>
      <w:r w:rsidDel="003B3E79">
        <w:rPr>
          <w:rFonts w:ascii="Times New Roman" w:hAnsi="Times New Roman" w:cs="Times New Roman"/>
          <w:sz w:val="24"/>
          <w:szCs w:val="24"/>
        </w:rPr>
        <w:t xml:space="preserve"> </w:t>
      </w:r>
    </w:p>
    <w:p w14:paraId="3461D0DF" w14:textId="66F7CDF4" w:rsidR="006F7FF6" w:rsidRPr="00C57785" w:rsidRDefault="006F7FF6" w:rsidP="006F7FF6">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14 – </w:t>
      </w:r>
      <w:r w:rsidR="00A92D8D">
        <w:rPr>
          <w:rFonts w:ascii="Times New Roman" w:hAnsi="Times New Roman" w:cs="Times New Roman"/>
          <w:b/>
          <w:sz w:val="24"/>
          <w:szCs w:val="24"/>
        </w:rPr>
        <w:t xml:space="preserve">Regulation </w:t>
      </w:r>
      <w:r>
        <w:rPr>
          <w:rFonts w:ascii="Times New Roman" w:hAnsi="Times New Roman" w:cs="Times New Roman"/>
          <w:b/>
          <w:sz w:val="24"/>
          <w:szCs w:val="24"/>
        </w:rPr>
        <w:t>64 (at the end of the table)</w:t>
      </w:r>
    </w:p>
    <w:p w14:paraId="2AB7D453" w14:textId="4265121C" w:rsidR="003B3E79" w:rsidRDefault="003B3E79" w:rsidP="003B3E79">
      <w:pPr>
        <w:spacing w:before="240" w:after="240"/>
        <w:rPr>
          <w:rFonts w:ascii="Times New Roman" w:hAnsi="Times New Roman" w:cs="Times New Roman"/>
          <w:sz w:val="24"/>
          <w:szCs w:val="24"/>
        </w:rPr>
      </w:pPr>
      <w:r>
        <w:rPr>
          <w:rFonts w:ascii="Times New Roman" w:hAnsi="Times New Roman" w:cs="Times New Roman"/>
          <w:sz w:val="24"/>
          <w:szCs w:val="24"/>
        </w:rPr>
        <w:t>Regulation 64 of the Levies Regulations prescribe</w:t>
      </w:r>
      <w:r w:rsidR="0088475B">
        <w:rPr>
          <w:rFonts w:ascii="Times New Roman" w:hAnsi="Times New Roman" w:cs="Times New Roman"/>
          <w:sz w:val="24"/>
          <w:szCs w:val="24"/>
        </w:rPr>
        <w:t>s</w:t>
      </w:r>
      <w:r>
        <w:rPr>
          <w:rFonts w:ascii="Times New Roman" w:hAnsi="Times New Roman" w:cs="Times New Roman"/>
          <w:sz w:val="24"/>
          <w:szCs w:val="24"/>
        </w:rPr>
        <w:t xml:space="preserve"> regulations, or provisions of regulations, that are made under the OPGGS Act</w:t>
      </w:r>
      <w:r w:rsidR="00520848">
        <w:rPr>
          <w:rFonts w:ascii="Times New Roman" w:hAnsi="Times New Roman" w:cs="Times New Roman"/>
          <w:sz w:val="24"/>
          <w:szCs w:val="24"/>
        </w:rPr>
        <w:t>,</w:t>
      </w:r>
      <w:r>
        <w:rPr>
          <w:rFonts w:ascii="Times New Roman" w:hAnsi="Times New Roman" w:cs="Times New Roman"/>
          <w:sz w:val="24"/>
          <w:szCs w:val="24"/>
        </w:rPr>
        <w:t xml:space="preserve"> for </w:t>
      </w:r>
      <w:r w:rsidR="0088475B">
        <w:rPr>
          <w:rFonts w:ascii="Times New Roman" w:hAnsi="Times New Roman" w:cs="Times New Roman"/>
          <w:sz w:val="24"/>
          <w:szCs w:val="24"/>
        </w:rPr>
        <w:t xml:space="preserve">the purposes of </w:t>
      </w:r>
      <w:r>
        <w:rPr>
          <w:rFonts w:ascii="Times New Roman" w:hAnsi="Times New Roman" w:cs="Times New Roman"/>
          <w:sz w:val="24"/>
          <w:szCs w:val="24"/>
        </w:rPr>
        <w:t xml:space="preserve">particular provisions of the Levies Act. </w:t>
      </w:r>
    </w:p>
    <w:p w14:paraId="695950D6" w14:textId="2773C574" w:rsidR="003B3E79" w:rsidRDefault="003B3E79" w:rsidP="003B3E79">
      <w:pPr>
        <w:spacing w:before="240" w:after="240"/>
        <w:rPr>
          <w:rFonts w:ascii="Times New Roman" w:hAnsi="Times New Roman" w:cs="Times New Roman"/>
          <w:sz w:val="24"/>
          <w:szCs w:val="24"/>
        </w:rPr>
      </w:pPr>
      <w:r>
        <w:rPr>
          <w:rFonts w:ascii="Times New Roman" w:hAnsi="Times New Roman" w:cs="Times New Roman"/>
          <w:sz w:val="24"/>
          <w:szCs w:val="24"/>
        </w:rPr>
        <w:t xml:space="preserve">This item inserts new items </w:t>
      </w:r>
      <w:r w:rsidR="00D80C36">
        <w:rPr>
          <w:rFonts w:ascii="Times New Roman" w:hAnsi="Times New Roman" w:cs="Times New Roman"/>
          <w:sz w:val="24"/>
          <w:szCs w:val="24"/>
        </w:rPr>
        <w:t>16</w:t>
      </w:r>
      <w:r>
        <w:rPr>
          <w:rFonts w:ascii="Times New Roman" w:hAnsi="Times New Roman" w:cs="Times New Roman"/>
          <w:sz w:val="24"/>
          <w:szCs w:val="24"/>
        </w:rPr>
        <w:t xml:space="preserve"> and </w:t>
      </w:r>
      <w:r w:rsidR="00D80C36">
        <w:rPr>
          <w:rFonts w:ascii="Times New Roman" w:hAnsi="Times New Roman" w:cs="Times New Roman"/>
          <w:sz w:val="24"/>
          <w:szCs w:val="24"/>
        </w:rPr>
        <w:t>17</w:t>
      </w:r>
      <w:r>
        <w:rPr>
          <w:rFonts w:ascii="Times New Roman" w:hAnsi="Times New Roman" w:cs="Times New Roman"/>
          <w:sz w:val="24"/>
          <w:szCs w:val="24"/>
        </w:rPr>
        <w:t xml:space="preserve"> into the table in regulation 64. Table item </w:t>
      </w:r>
      <w:r w:rsidR="00D80C36">
        <w:rPr>
          <w:rFonts w:ascii="Times New Roman" w:hAnsi="Times New Roman" w:cs="Times New Roman"/>
          <w:sz w:val="24"/>
          <w:szCs w:val="24"/>
        </w:rPr>
        <w:t>16</w:t>
      </w:r>
      <w:r>
        <w:rPr>
          <w:rFonts w:ascii="Times New Roman" w:hAnsi="Times New Roman" w:cs="Times New Roman"/>
          <w:sz w:val="24"/>
          <w:szCs w:val="24"/>
        </w:rPr>
        <w:t xml:space="preserve"> provides that, for the purpose of subparagraph 10</w:t>
      </w:r>
      <w:r w:rsidR="00D80C36">
        <w:rPr>
          <w:rFonts w:ascii="Times New Roman" w:hAnsi="Times New Roman" w:cs="Times New Roman"/>
          <w:sz w:val="24"/>
          <w:szCs w:val="24"/>
        </w:rPr>
        <w:t>G</w:t>
      </w:r>
      <w:r>
        <w:rPr>
          <w:rFonts w:ascii="Times New Roman" w:hAnsi="Times New Roman" w:cs="Times New Roman"/>
          <w:sz w:val="24"/>
          <w:szCs w:val="24"/>
        </w:rPr>
        <w:t xml:space="preserve">(1)(d)(i) of the Levies Act, regulation 9 of the Environment Regulations is the prescribed provision, while table item </w:t>
      </w:r>
      <w:r w:rsidR="00D80C36">
        <w:rPr>
          <w:rFonts w:ascii="Times New Roman" w:hAnsi="Times New Roman" w:cs="Times New Roman"/>
          <w:sz w:val="24"/>
          <w:szCs w:val="24"/>
        </w:rPr>
        <w:t>17</w:t>
      </w:r>
      <w:r>
        <w:rPr>
          <w:rFonts w:ascii="Times New Roman" w:hAnsi="Times New Roman" w:cs="Times New Roman"/>
          <w:sz w:val="24"/>
          <w:szCs w:val="24"/>
        </w:rPr>
        <w:t xml:space="preserve"> provides </w:t>
      </w:r>
      <w:r w:rsidR="000C2F9B">
        <w:rPr>
          <w:rFonts w:ascii="Times New Roman" w:hAnsi="Times New Roman" w:cs="Times New Roman"/>
          <w:sz w:val="24"/>
          <w:szCs w:val="24"/>
        </w:rPr>
        <w:t>that</w:t>
      </w:r>
      <w:r>
        <w:rPr>
          <w:rFonts w:ascii="Times New Roman" w:hAnsi="Times New Roman" w:cs="Times New Roman"/>
          <w:sz w:val="24"/>
          <w:szCs w:val="24"/>
        </w:rPr>
        <w:t>, for the purpose of subparagraph 10</w:t>
      </w:r>
      <w:r w:rsidR="00D80C36">
        <w:rPr>
          <w:rFonts w:ascii="Times New Roman" w:hAnsi="Times New Roman" w:cs="Times New Roman"/>
          <w:sz w:val="24"/>
          <w:szCs w:val="24"/>
        </w:rPr>
        <w:t>G</w:t>
      </w:r>
      <w:r>
        <w:rPr>
          <w:rFonts w:ascii="Times New Roman" w:hAnsi="Times New Roman" w:cs="Times New Roman"/>
          <w:sz w:val="24"/>
          <w:szCs w:val="24"/>
        </w:rPr>
        <w:t xml:space="preserve">(1)(e)(i) of the Levies Act, regulation 17, 18 or 19 of the Environment Regulations is the prescribed provision. </w:t>
      </w:r>
    </w:p>
    <w:p w14:paraId="69CA2815" w14:textId="27DC498C" w:rsidR="000C2F9B" w:rsidRDefault="003B3E79" w:rsidP="003B3E79">
      <w:pPr>
        <w:spacing w:before="240" w:after="240"/>
        <w:rPr>
          <w:rFonts w:ascii="Times New Roman" w:hAnsi="Times New Roman" w:cs="Times New Roman"/>
          <w:sz w:val="24"/>
          <w:szCs w:val="24"/>
        </w:rPr>
      </w:pPr>
      <w:r>
        <w:rPr>
          <w:rFonts w:ascii="Times New Roman" w:hAnsi="Times New Roman" w:cs="Times New Roman"/>
          <w:sz w:val="24"/>
          <w:szCs w:val="24"/>
        </w:rPr>
        <w:t>Paragraphs 10</w:t>
      </w:r>
      <w:r w:rsidR="000C2F9B">
        <w:rPr>
          <w:rFonts w:ascii="Times New Roman" w:hAnsi="Times New Roman" w:cs="Times New Roman"/>
          <w:sz w:val="24"/>
          <w:szCs w:val="24"/>
        </w:rPr>
        <w:t>G</w:t>
      </w:r>
      <w:r>
        <w:rPr>
          <w:rFonts w:ascii="Times New Roman" w:hAnsi="Times New Roman" w:cs="Times New Roman"/>
          <w:sz w:val="24"/>
          <w:szCs w:val="24"/>
        </w:rPr>
        <w:t xml:space="preserve">(1)(d) and (e) were inserted </w:t>
      </w:r>
      <w:r w:rsidR="000C2F9B">
        <w:rPr>
          <w:rFonts w:ascii="Times New Roman" w:hAnsi="Times New Roman" w:cs="Times New Roman"/>
          <w:sz w:val="24"/>
          <w:szCs w:val="24"/>
        </w:rPr>
        <w:t xml:space="preserve">into the Levies Act </w:t>
      </w:r>
      <w:r>
        <w:rPr>
          <w:rFonts w:ascii="Times New Roman" w:hAnsi="Times New Roman" w:cs="Times New Roman"/>
          <w:sz w:val="24"/>
          <w:szCs w:val="24"/>
        </w:rPr>
        <w:t>by the Levies Amendment Act (see item 1</w:t>
      </w:r>
      <w:r w:rsidR="000C2F9B">
        <w:rPr>
          <w:rFonts w:ascii="Times New Roman" w:hAnsi="Times New Roman" w:cs="Times New Roman"/>
          <w:sz w:val="24"/>
          <w:szCs w:val="24"/>
        </w:rPr>
        <w:t>8</w:t>
      </w:r>
      <w:r>
        <w:rPr>
          <w:rFonts w:ascii="Times New Roman" w:hAnsi="Times New Roman" w:cs="Times New Roman"/>
          <w:sz w:val="24"/>
          <w:szCs w:val="24"/>
        </w:rPr>
        <w:t xml:space="preserve"> of Schedule 1) and impose environment plan levies on the submission of an environment plan, or a proposed revision of an environment plan, to NOPSEMA under </w:t>
      </w:r>
      <w:r w:rsidR="0088475B">
        <w:rPr>
          <w:rFonts w:ascii="Times New Roman" w:hAnsi="Times New Roman" w:cs="Times New Roman"/>
          <w:sz w:val="24"/>
          <w:szCs w:val="24"/>
        </w:rPr>
        <w:t xml:space="preserve">a </w:t>
      </w:r>
      <w:r w:rsidR="000C2F9B">
        <w:rPr>
          <w:rFonts w:ascii="Times New Roman" w:hAnsi="Times New Roman" w:cs="Times New Roman"/>
          <w:sz w:val="24"/>
          <w:szCs w:val="24"/>
        </w:rPr>
        <w:t xml:space="preserve">regulation of a State or Territory that substantially corresponds </w:t>
      </w:r>
      <w:r w:rsidR="0088475B">
        <w:rPr>
          <w:rFonts w:ascii="Times New Roman" w:hAnsi="Times New Roman" w:cs="Times New Roman"/>
          <w:sz w:val="24"/>
          <w:szCs w:val="24"/>
        </w:rPr>
        <w:t>to</w:t>
      </w:r>
      <w:r w:rsidR="000C2F9B">
        <w:rPr>
          <w:rFonts w:ascii="Times New Roman" w:hAnsi="Times New Roman" w:cs="Times New Roman"/>
          <w:sz w:val="24"/>
          <w:szCs w:val="24"/>
        </w:rPr>
        <w:t xml:space="preserve"> </w:t>
      </w:r>
      <w:r>
        <w:rPr>
          <w:rFonts w:ascii="Times New Roman" w:hAnsi="Times New Roman" w:cs="Times New Roman"/>
          <w:sz w:val="24"/>
          <w:szCs w:val="24"/>
        </w:rPr>
        <w:t>a prescribed provision of regulations made under the OPGGS Act</w:t>
      </w:r>
      <w:r w:rsidR="0088475B">
        <w:rPr>
          <w:rFonts w:ascii="Times New Roman" w:hAnsi="Times New Roman" w:cs="Times New Roman"/>
          <w:sz w:val="24"/>
          <w:szCs w:val="24"/>
        </w:rPr>
        <w:t>,</w:t>
      </w:r>
      <w:r>
        <w:rPr>
          <w:rFonts w:ascii="Times New Roman" w:hAnsi="Times New Roman" w:cs="Times New Roman"/>
          <w:sz w:val="24"/>
          <w:szCs w:val="24"/>
        </w:rPr>
        <w:t xml:space="preserve"> </w:t>
      </w:r>
      <w:r w:rsidR="00ED1BC6">
        <w:rPr>
          <w:rFonts w:ascii="Times New Roman" w:hAnsi="Times New Roman" w:cs="Times New Roman"/>
          <w:sz w:val="24"/>
          <w:szCs w:val="24"/>
        </w:rPr>
        <w:t>in which</w:t>
      </w:r>
      <w:r>
        <w:rPr>
          <w:rFonts w:ascii="Times New Roman" w:hAnsi="Times New Roman" w:cs="Times New Roman"/>
          <w:sz w:val="24"/>
          <w:szCs w:val="24"/>
        </w:rPr>
        <w:t xml:space="preserve"> the activities </w:t>
      </w:r>
      <w:r w:rsidR="0088475B">
        <w:rPr>
          <w:rFonts w:ascii="Times New Roman" w:hAnsi="Times New Roman" w:cs="Times New Roman"/>
          <w:sz w:val="24"/>
          <w:szCs w:val="24"/>
        </w:rPr>
        <w:t xml:space="preserve">to which the plan relates are </w:t>
      </w:r>
      <w:r>
        <w:rPr>
          <w:rFonts w:ascii="Times New Roman" w:hAnsi="Times New Roman" w:cs="Times New Roman"/>
          <w:sz w:val="24"/>
          <w:szCs w:val="24"/>
        </w:rPr>
        <w:t xml:space="preserve">carried out for the purposes of complying with a </w:t>
      </w:r>
      <w:r w:rsidR="000C2F9B">
        <w:rPr>
          <w:rFonts w:ascii="Times New Roman" w:hAnsi="Times New Roman" w:cs="Times New Roman"/>
          <w:sz w:val="24"/>
          <w:szCs w:val="24"/>
        </w:rPr>
        <w:t xml:space="preserve">State/Territory </w:t>
      </w:r>
      <w:r>
        <w:rPr>
          <w:rFonts w:ascii="Times New Roman" w:hAnsi="Times New Roman" w:cs="Times New Roman"/>
          <w:sz w:val="24"/>
          <w:szCs w:val="24"/>
        </w:rPr>
        <w:t xml:space="preserve">remedial direction. </w:t>
      </w:r>
    </w:p>
    <w:p w14:paraId="227F1608" w14:textId="4AA37DCF" w:rsidR="003B3E79" w:rsidRDefault="000C2F9B" w:rsidP="003B3E79">
      <w:pPr>
        <w:spacing w:before="240" w:after="240"/>
        <w:rPr>
          <w:rFonts w:ascii="Times New Roman" w:hAnsi="Times New Roman" w:cs="Times New Roman"/>
          <w:sz w:val="24"/>
          <w:szCs w:val="24"/>
        </w:rPr>
      </w:pPr>
      <w:r>
        <w:rPr>
          <w:rFonts w:ascii="Times New Roman" w:hAnsi="Times New Roman" w:cs="Times New Roman"/>
          <w:sz w:val="24"/>
          <w:szCs w:val="24"/>
        </w:rPr>
        <w:t xml:space="preserve">The definition of a </w:t>
      </w:r>
      <w:r w:rsidRPr="0045691E">
        <w:rPr>
          <w:rFonts w:ascii="Times New Roman" w:hAnsi="Times New Roman" w:cs="Times New Roman"/>
          <w:b/>
          <w:i/>
          <w:sz w:val="24"/>
          <w:szCs w:val="24"/>
        </w:rPr>
        <w:t>State/Territory remedial direction</w:t>
      </w:r>
      <w:r>
        <w:rPr>
          <w:rFonts w:ascii="Times New Roman" w:hAnsi="Times New Roman" w:cs="Times New Roman"/>
          <w:sz w:val="24"/>
          <w:szCs w:val="24"/>
        </w:rPr>
        <w:t xml:space="preserve"> was inserted into the Levies Act by the Levies Amendment Act (see item 1 of Schedule 1) and means a direction under a provision of a State PSLA or Territory </w:t>
      </w:r>
      <w:r w:rsidR="00724048">
        <w:rPr>
          <w:rFonts w:ascii="Times New Roman" w:hAnsi="Times New Roman" w:cs="Times New Roman"/>
          <w:sz w:val="24"/>
          <w:szCs w:val="24"/>
        </w:rPr>
        <w:t>PSLA</w:t>
      </w:r>
      <w:r>
        <w:rPr>
          <w:rFonts w:ascii="Times New Roman" w:hAnsi="Times New Roman" w:cs="Times New Roman"/>
          <w:sz w:val="24"/>
          <w:szCs w:val="24"/>
        </w:rPr>
        <w:t xml:space="preserve"> that substantially corresponds to section 586, 586A, 5</w:t>
      </w:r>
      <w:r w:rsidR="0088475B">
        <w:rPr>
          <w:rFonts w:ascii="Times New Roman" w:hAnsi="Times New Roman" w:cs="Times New Roman"/>
          <w:sz w:val="24"/>
          <w:szCs w:val="24"/>
        </w:rPr>
        <w:t>8</w:t>
      </w:r>
      <w:r>
        <w:rPr>
          <w:rFonts w:ascii="Times New Roman" w:hAnsi="Times New Roman" w:cs="Times New Roman"/>
          <w:sz w:val="24"/>
          <w:szCs w:val="24"/>
        </w:rPr>
        <w:t xml:space="preserve">7, 587A, 591B, 592, 594A or 595 of the OPGGS Act. </w:t>
      </w:r>
      <w:r w:rsidR="00C60566">
        <w:rPr>
          <w:rFonts w:ascii="Times New Roman" w:hAnsi="Times New Roman" w:cs="Times New Roman"/>
          <w:sz w:val="24"/>
          <w:szCs w:val="24"/>
        </w:rPr>
        <w:t xml:space="preserve">Part 6.9 of the OPGGS Act defines the </w:t>
      </w:r>
      <w:r w:rsidR="00C60566" w:rsidRPr="0045691E">
        <w:rPr>
          <w:rFonts w:ascii="Times New Roman" w:hAnsi="Times New Roman" w:cs="Times New Roman"/>
          <w:b/>
          <w:i/>
          <w:sz w:val="24"/>
          <w:szCs w:val="24"/>
        </w:rPr>
        <w:t xml:space="preserve">State </w:t>
      </w:r>
      <w:r w:rsidR="00724048">
        <w:rPr>
          <w:rFonts w:ascii="Times New Roman" w:hAnsi="Times New Roman" w:cs="Times New Roman"/>
          <w:b/>
          <w:i/>
          <w:sz w:val="24"/>
          <w:szCs w:val="24"/>
        </w:rPr>
        <w:t>PSLA</w:t>
      </w:r>
      <w:r w:rsidR="00C60566">
        <w:rPr>
          <w:rFonts w:ascii="Times New Roman" w:hAnsi="Times New Roman" w:cs="Times New Roman"/>
          <w:sz w:val="24"/>
          <w:szCs w:val="24"/>
        </w:rPr>
        <w:t xml:space="preserve"> of each State and the </w:t>
      </w:r>
      <w:r w:rsidR="00C60566" w:rsidRPr="0045691E">
        <w:rPr>
          <w:rFonts w:ascii="Times New Roman" w:hAnsi="Times New Roman" w:cs="Times New Roman"/>
          <w:b/>
          <w:i/>
          <w:sz w:val="24"/>
          <w:szCs w:val="24"/>
        </w:rPr>
        <w:t>Territory PSLA</w:t>
      </w:r>
      <w:r w:rsidR="00C60566">
        <w:rPr>
          <w:rFonts w:ascii="Times New Roman" w:hAnsi="Times New Roman" w:cs="Times New Roman"/>
          <w:sz w:val="24"/>
          <w:szCs w:val="24"/>
        </w:rPr>
        <w:t xml:space="preserve"> of the Northern Territory (see section 643). </w:t>
      </w:r>
    </w:p>
    <w:p w14:paraId="007D0727" w14:textId="186A4283" w:rsidR="003B3E79" w:rsidRDefault="003B3E79" w:rsidP="003B3E79">
      <w:pPr>
        <w:spacing w:before="240" w:after="240"/>
        <w:rPr>
          <w:rFonts w:ascii="Times New Roman" w:hAnsi="Times New Roman" w:cs="Times New Roman"/>
          <w:sz w:val="24"/>
          <w:szCs w:val="24"/>
        </w:rPr>
      </w:pPr>
      <w:r>
        <w:rPr>
          <w:rFonts w:ascii="Times New Roman" w:hAnsi="Times New Roman" w:cs="Times New Roman"/>
          <w:sz w:val="24"/>
          <w:szCs w:val="24"/>
        </w:rPr>
        <w:lastRenderedPageBreak/>
        <w:t>Regulation 9 of the Environment Regulations, which enables an environment plan to be submitted to NOPSEMA for an activity</w:t>
      </w:r>
      <w:r w:rsidR="0088475B">
        <w:rPr>
          <w:rFonts w:ascii="Times New Roman" w:hAnsi="Times New Roman" w:cs="Times New Roman"/>
          <w:sz w:val="24"/>
          <w:szCs w:val="24"/>
        </w:rPr>
        <w:t>, is the prescribed provision for the purpose of subparagraph 10G(1)(d)(i)</w:t>
      </w:r>
      <w:r w:rsidR="000C2F9B">
        <w:rPr>
          <w:rFonts w:ascii="Times New Roman" w:hAnsi="Times New Roman" w:cs="Times New Roman"/>
          <w:sz w:val="24"/>
          <w:szCs w:val="24"/>
        </w:rPr>
        <w:t>. This would include</w:t>
      </w:r>
      <w:r>
        <w:rPr>
          <w:rFonts w:ascii="Times New Roman" w:hAnsi="Times New Roman" w:cs="Times New Roman"/>
          <w:sz w:val="24"/>
          <w:szCs w:val="24"/>
        </w:rPr>
        <w:t xml:space="preserve"> an activity carried out for the purposes of complying with a </w:t>
      </w:r>
      <w:r w:rsidR="000C2F9B">
        <w:rPr>
          <w:rFonts w:ascii="Times New Roman" w:hAnsi="Times New Roman" w:cs="Times New Roman"/>
          <w:sz w:val="24"/>
          <w:szCs w:val="24"/>
        </w:rPr>
        <w:t xml:space="preserve">State/Territory </w:t>
      </w:r>
      <w:r>
        <w:rPr>
          <w:rFonts w:ascii="Times New Roman" w:hAnsi="Times New Roman" w:cs="Times New Roman"/>
          <w:sz w:val="24"/>
          <w:szCs w:val="24"/>
        </w:rPr>
        <w:t xml:space="preserve">remedial direction. </w:t>
      </w:r>
    </w:p>
    <w:p w14:paraId="337EB105" w14:textId="7FB9F9CE" w:rsidR="000263AB" w:rsidRDefault="003B3E79" w:rsidP="006F7FF6">
      <w:pPr>
        <w:spacing w:before="240" w:after="240"/>
        <w:rPr>
          <w:rFonts w:ascii="Times New Roman" w:hAnsi="Times New Roman" w:cs="Times New Roman"/>
          <w:sz w:val="24"/>
          <w:szCs w:val="24"/>
        </w:rPr>
      </w:pPr>
      <w:r>
        <w:rPr>
          <w:rFonts w:ascii="Times New Roman" w:hAnsi="Times New Roman" w:cs="Times New Roman"/>
          <w:sz w:val="24"/>
          <w:szCs w:val="24"/>
        </w:rPr>
        <w:t>Regulations 17, 18 and 19 of the Environment Regulations, which enable a proposed revision of an environment plan to be submitted to NOPSEMA for an activity</w:t>
      </w:r>
      <w:r w:rsidR="0088475B">
        <w:rPr>
          <w:rFonts w:ascii="Times New Roman" w:hAnsi="Times New Roman" w:cs="Times New Roman"/>
          <w:sz w:val="24"/>
          <w:szCs w:val="24"/>
        </w:rPr>
        <w:t>, are the prescribed provisions for the purpose of subparagraph 10G(1)(e)(i)</w:t>
      </w:r>
      <w:r w:rsidR="000C2F9B">
        <w:rPr>
          <w:rFonts w:ascii="Times New Roman" w:hAnsi="Times New Roman" w:cs="Times New Roman"/>
          <w:sz w:val="24"/>
          <w:szCs w:val="24"/>
        </w:rPr>
        <w:t>. This would include</w:t>
      </w:r>
      <w:r>
        <w:rPr>
          <w:rFonts w:ascii="Times New Roman" w:hAnsi="Times New Roman" w:cs="Times New Roman"/>
          <w:sz w:val="24"/>
          <w:szCs w:val="24"/>
        </w:rPr>
        <w:t xml:space="preserve"> an activity carried out for the purposes of complying with a </w:t>
      </w:r>
      <w:r w:rsidR="000C2F9B">
        <w:rPr>
          <w:rFonts w:ascii="Times New Roman" w:hAnsi="Times New Roman" w:cs="Times New Roman"/>
          <w:sz w:val="24"/>
          <w:szCs w:val="24"/>
        </w:rPr>
        <w:t xml:space="preserve">State/Territory </w:t>
      </w:r>
      <w:r>
        <w:rPr>
          <w:rFonts w:ascii="Times New Roman" w:hAnsi="Times New Roman" w:cs="Times New Roman"/>
          <w:sz w:val="24"/>
          <w:szCs w:val="24"/>
        </w:rPr>
        <w:t xml:space="preserve">remedial direction. </w:t>
      </w:r>
      <w:r w:rsidDel="003B3E79">
        <w:rPr>
          <w:rFonts w:ascii="Times New Roman" w:hAnsi="Times New Roman" w:cs="Times New Roman"/>
          <w:sz w:val="24"/>
          <w:szCs w:val="24"/>
        </w:rPr>
        <w:t xml:space="preserve"> </w:t>
      </w:r>
      <w:r w:rsidR="00C60566" w:rsidDel="00C60566">
        <w:rPr>
          <w:rFonts w:ascii="Times New Roman" w:hAnsi="Times New Roman" w:cs="Times New Roman"/>
          <w:sz w:val="24"/>
          <w:szCs w:val="24"/>
        </w:rPr>
        <w:t xml:space="preserve"> </w:t>
      </w:r>
    </w:p>
    <w:p w14:paraId="51139340" w14:textId="1E59E84E" w:rsidR="006F7FF6" w:rsidRPr="00FF119D" w:rsidRDefault="006F7FF6" w:rsidP="006F7FF6">
      <w:pPr>
        <w:spacing w:before="240" w:after="240"/>
        <w:rPr>
          <w:rFonts w:ascii="Times New Roman" w:hAnsi="Times New Roman" w:cs="Times New Roman"/>
          <w:b/>
          <w:sz w:val="24"/>
          <w:szCs w:val="24"/>
        </w:rPr>
      </w:pPr>
      <w:r w:rsidRPr="00FF119D">
        <w:rPr>
          <w:rFonts w:ascii="Times New Roman" w:hAnsi="Times New Roman" w:cs="Times New Roman"/>
          <w:b/>
          <w:sz w:val="24"/>
          <w:szCs w:val="24"/>
        </w:rPr>
        <w:t>Item 15 – After Part 12A</w:t>
      </w:r>
    </w:p>
    <w:p w14:paraId="7704DBD5" w14:textId="34D5314D" w:rsidR="006F7FF6" w:rsidRDefault="006F7FF6" w:rsidP="006F7FF6">
      <w:pPr>
        <w:spacing w:before="240" w:after="240"/>
        <w:rPr>
          <w:rFonts w:ascii="Times New Roman" w:hAnsi="Times New Roman" w:cs="Times New Roman"/>
          <w:sz w:val="24"/>
          <w:szCs w:val="24"/>
        </w:rPr>
      </w:pPr>
      <w:r w:rsidRPr="00FF119D">
        <w:rPr>
          <w:rFonts w:ascii="Times New Roman" w:hAnsi="Times New Roman" w:cs="Times New Roman"/>
          <w:sz w:val="24"/>
          <w:szCs w:val="24"/>
        </w:rPr>
        <w:t xml:space="preserve">This item </w:t>
      </w:r>
      <w:r>
        <w:rPr>
          <w:rFonts w:ascii="Times New Roman" w:hAnsi="Times New Roman" w:cs="Times New Roman"/>
          <w:sz w:val="24"/>
          <w:szCs w:val="24"/>
        </w:rPr>
        <w:t>inserts new</w:t>
      </w:r>
      <w:r w:rsidR="006B05F3">
        <w:rPr>
          <w:rFonts w:ascii="Times New Roman" w:hAnsi="Times New Roman" w:cs="Times New Roman"/>
          <w:sz w:val="24"/>
          <w:szCs w:val="24"/>
        </w:rPr>
        <w:t xml:space="preserve"> </w:t>
      </w:r>
      <w:r w:rsidR="006A6D3B">
        <w:rPr>
          <w:rFonts w:ascii="Times New Roman" w:hAnsi="Times New Roman" w:cs="Times New Roman"/>
          <w:sz w:val="24"/>
          <w:szCs w:val="24"/>
        </w:rPr>
        <w:t>Part 12</w:t>
      </w:r>
      <w:r w:rsidR="006B05F3">
        <w:rPr>
          <w:rFonts w:ascii="Times New Roman" w:hAnsi="Times New Roman" w:cs="Times New Roman"/>
          <w:sz w:val="24"/>
          <w:szCs w:val="24"/>
        </w:rPr>
        <w:t xml:space="preserve">B </w:t>
      </w:r>
      <w:r w:rsidR="006A6D3B">
        <w:rPr>
          <w:rFonts w:ascii="Times New Roman" w:hAnsi="Times New Roman" w:cs="Times New Roman"/>
          <w:sz w:val="24"/>
          <w:szCs w:val="24"/>
        </w:rPr>
        <w:t>into</w:t>
      </w:r>
      <w:r w:rsidRPr="00FF119D">
        <w:rPr>
          <w:rFonts w:ascii="Times New Roman" w:hAnsi="Times New Roman" w:cs="Times New Roman"/>
          <w:sz w:val="24"/>
          <w:szCs w:val="24"/>
        </w:rPr>
        <w:t xml:space="preserve"> the Levies Regulations</w:t>
      </w:r>
      <w:r w:rsidR="006A6D3B">
        <w:rPr>
          <w:rFonts w:ascii="Times New Roman" w:hAnsi="Times New Roman" w:cs="Times New Roman"/>
          <w:sz w:val="24"/>
          <w:szCs w:val="24"/>
        </w:rPr>
        <w:t>, which provides for new regulations 64A and 64B</w:t>
      </w:r>
      <w:r w:rsidRPr="00FF119D">
        <w:rPr>
          <w:rFonts w:ascii="Times New Roman" w:hAnsi="Times New Roman" w:cs="Times New Roman"/>
          <w:sz w:val="24"/>
          <w:szCs w:val="24"/>
        </w:rPr>
        <w:t xml:space="preserve">. </w:t>
      </w:r>
    </w:p>
    <w:p w14:paraId="074873BE" w14:textId="079BC25E" w:rsidR="00060291" w:rsidRPr="000263AB" w:rsidRDefault="00724166" w:rsidP="000263AB">
      <w:pPr>
        <w:keepNext/>
        <w:spacing w:before="240" w:after="240"/>
        <w:rPr>
          <w:rFonts w:ascii="Times New Roman" w:hAnsi="Times New Roman" w:cs="Times New Roman"/>
          <w:b/>
          <w:i/>
          <w:sz w:val="24"/>
          <w:szCs w:val="24"/>
        </w:rPr>
      </w:pPr>
      <w:r w:rsidRPr="000263AB">
        <w:rPr>
          <w:rFonts w:ascii="Times New Roman" w:hAnsi="Times New Roman" w:cs="Times New Roman"/>
          <w:b/>
          <w:i/>
          <w:sz w:val="24"/>
          <w:szCs w:val="24"/>
        </w:rPr>
        <w:t>New regulation 64A – a</w:t>
      </w:r>
      <w:r w:rsidR="00060291" w:rsidRPr="000263AB">
        <w:rPr>
          <w:rFonts w:ascii="Times New Roman" w:hAnsi="Times New Roman" w:cs="Times New Roman"/>
          <w:b/>
          <w:i/>
          <w:sz w:val="24"/>
          <w:szCs w:val="24"/>
        </w:rPr>
        <w:t>pplication</w:t>
      </w:r>
      <w:r w:rsidRPr="000263AB">
        <w:rPr>
          <w:rFonts w:ascii="Times New Roman" w:hAnsi="Times New Roman" w:cs="Times New Roman"/>
          <w:b/>
          <w:i/>
          <w:sz w:val="24"/>
          <w:szCs w:val="24"/>
        </w:rPr>
        <w:t xml:space="preserve"> </w:t>
      </w:r>
      <w:r w:rsidR="00060291" w:rsidRPr="000263AB">
        <w:rPr>
          <w:rFonts w:ascii="Times New Roman" w:hAnsi="Times New Roman" w:cs="Times New Roman"/>
          <w:b/>
          <w:i/>
          <w:sz w:val="24"/>
          <w:szCs w:val="24"/>
        </w:rPr>
        <w:t>of the Levies Regulations if a remedial direction is in force</w:t>
      </w:r>
    </w:p>
    <w:p w14:paraId="206CB43F" w14:textId="1CB14880" w:rsidR="006A6D3B" w:rsidRDefault="006F7FF6" w:rsidP="000263AB">
      <w:pPr>
        <w:keepNext/>
        <w:spacing w:before="240" w:after="240"/>
        <w:rPr>
          <w:rFonts w:ascii="Times New Roman" w:hAnsi="Times New Roman" w:cs="Times New Roman"/>
          <w:sz w:val="24"/>
          <w:szCs w:val="24"/>
        </w:rPr>
      </w:pPr>
      <w:r>
        <w:rPr>
          <w:rFonts w:ascii="Times New Roman" w:hAnsi="Times New Roman" w:cs="Times New Roman"/>
          <w:sz w:val="24"/>
          <w:szCs w:val="24"/>
        </w:rPr>
        <w:t>N</w:t>
      </w:r>
      <w:r w:rsidRPr="00FF119D">
        <w:rPr>
          <w:rFonts w:ascii="Times New Roman" w:hAnsi="Times New Roman" w:cs="Times New Roman"/>
          <w:sz w:val="24"/>
          <w:szCs w:val="24"/>
        </w:rPr>
        <w:t xml:space="preserve">ew </w:t>
      </w:r>
      <w:r>
        <w:rPr>
          <w:rFonts w:ascii="Times New Roman" w:hAnsi="Times New Roman" w:cs="Times New Roman"/>
          <w:sz w:val="24"/>
          <w:szCs w:val="24"/>
        </w:rPr>
        <w:t>sub</w:t>
      </w:r>
      <w:r w:rsidRPr="00FF119D">
        <w:rPr>
          <w:rFonts w:ascii="Times New Roman" w:hAnsi="Times New Roman" w:cs="Times New Roman"/>
          <w:sz w:val="24"/>
          <w:szCs w:val="24"/>
        </w:rPr>
        <w:t>regulation 64A(1)</w:t>
      </w:r>
      <w:r>
        <w:rPr>
          <w:rFonts w:ascii="Times New Roman" w:hAnsi="Times New Roman" w:cs="Times New Roman"/>
          <w:sz w:val="24"/>
          <w:szCs w:val="24"/>
        </w:rPr>
        <w:t xml:space="preserve"> </w:t>
      </w:r>
      <w:r w:rsidRPr="00FF119D">
        <w:rPr>
          <w:rFonts w:ascii="Times New Roman" w:hAnsi="Times New Roman" w:cs="Times New Roman"/>
          <w:sz w:val="24"/>
          <w:szCs w:val="24"/>
        </w:rPr>
        <w:t>provides that</w:t>
      </w:r>
      <w:r w:rsidR="006A6D3B">
        <w:rPr>
          <w:rFonts w:ascii="Times New Roman" w:hAnsi="Times New Roman" w:cs="Times New Roman"/>
          <w:sz w:val="24"/>
          <w:szCs w:val="24"/>
        </w:rPr>
        <w:t xml:space="preserve"> regulation </w:t>
      </w:r>
      <w:r w:rsidR="00D30C0A">
        <w:rPr>
          <w:rFonts w:ascii="Times New Roman" w:hAnsi="Times New Roman" w:cs="Times New Roman"/>
          <w:sz w:val="24"/>
          <w:szCs w:val="24"/>
        </w:rPr>
        <w:t xml:space="preserve">64A </w:t>
      </w:r>
      <w:r w:rsidR="007A3C96">
        <w:rPr>
          <w:rFonts w:ascii="Times New Roman" w:hAnsi="Times New Roman" w:cs="Times New Roman"/>
          <w:sz w:val="24"/>
          <w:szCs w:val="24"/>
        </w:rPr>
        <w:t xml:space="preserve">applies </w:t>
      </w:r>
      <w:r w:rsidR="006A6D3B">
        <w:rPr>
          <w:rFonts w:ascii="Times New Roman" w:hAnsi="Times New Roman" w:cs="Times New Roman"/>
          <w:sz w:val="24"/>
          <w:szCs w:val="24"/>
        </w:rPr>
        <w:t xml:space="preserve">if a </w:t>
      </w:r>
      <w:r w:rsidR="006A6D3B" w:rsidRPr="002718B4">
        <w:rPr>
          <w:rFonts w:ascii="Times New Roman" w:hAnsi="Times New Roman" w:cs="Times New Roman"/>
          <w:sz w:val="24"/>
          <w:szCs w:val="24"/>
        </w:rPr>
        <w:t xml:space="preserve">direction </w:t>
      </w:r>
      <w:r w:rsidR="006A6D3B">
        <w:rPr>
          <w:rFonts w:ascii="Times New Roman" w:hAnsi="Times New Roman" w:cs="Times New Roman"/>
          <w:sz w:val="24"/>
          <w:szCs w:val="24"/>
        </w:rPr>
        <w:t xml:space="preserve">is in force under section 586, 586A, 587 or 587A of the OPGGS Act (referred to as a </w:t>
      </w:r>
      <w:r w:rsidR="006A6D3B" w:rsidRPr="00E6492B">
        <w:rPr>
          <w:rFonts w:ascii="Times New Roman" w:hAnsi="Times New Roman" w:cs="Times New Roman"/>
          <w:b/>
          <w:i/>
          <w:sz w:val="24"/>
          <w:szCs w:val="24"/>
        </w:rPr>
        <w:t>petroleum remedial direction</w:t>
      </w:r>
      <w:r w:rsidR="006A6D3B">
        <w:rPr>
          <w:rFonts w:ascii="Times New Roman" w:hAnsi="Times New Roman" w:cs="Times New Roman"/>
          <w:sz w:val="24"/>
          <w:szCs w:val="24"/>
        </w:rPr>
        <w:t xml:space="preserve">) or section 591B, 592, 594A or 595 of the OPGGS Act (referred to as a </w:t>
      </w:r>
      <w:r w:rsidR="006A6D3B" w:rsidRPr="00E6492B">
        <w:rPr>
          <w:rFonts w:ascii="Times New Roman" w:hAnsi="Times New Roman" w:cs="Times New Roman"/>
          <w:b/>
          <w:i/>
          <w:sz w:val="24"/>
          <w:szCs w:val="24"/>
        </w:rPr>
        <w:t>greenhouse gas remedial direction</w:t>
      </w:r>
      <w:r w:rsidR="006A6D3B">
        <w:rPr>
          <w:rFonts w:ascii="Times New Roman" w:hAnsi="Times New Roman" w:cs="Times New Roman"/>
          <w:sz w:val="24"/>
          <w:szCs w:val="24"/>
        </w:rPr>
        <w:t xml:space="preserve">). </w:t>
      </w:r>
    </w:p>
    <w:p w14:paraId="257CC96A" w14:textId="467B487B" w:rsidR="000A3D84" w:rsidRPr="000A3D84" w:rsidRDefault="000A3D84" w:rsidP="000A3D84">
      <w:pPr>
        <w:keepNext/>
        <w:spacing w:before="240" w:after="240"/>
        <w:rPr>
          <w:rFonts w:ascii="Times New Roman" w:hAnsi="Times New Roman" w:cs="Times New Roman"/>
          <w:sz w:val="24"/>
          <w:szCs w:val="24"/>
        </w:rPr>
      </w:pPr>
      <w:r w:rsidRPr="000A3D84">
        <w:rPr>
          <w:rFonts w:ascii="Times New Roman" w:hAnsi="Times New Roman" w:cs="Times New Roman"/>
          <w:sz w:val="24"/>
          <w:szCs w:val="24"/>
        </w:rPr>
        <w:t xml:space="preserve">Under the OPGGS Act, a remedial direction may be given to a person who is not the current holder of a title. In the case of a remedial direction that applies to a pipeline, this would include a person who is not the pipeline licensee in relation to the pipeline. The Levies Act provides that safety case levy imposed on a safety case in force in relation to a pipeline </w:t>
      </w:r>
      <w:r w:rsidR="00BC5074">
        <w:rPr>
          <w:rFonts w:ascii="Times New Roman" w:hAnsi="Times New Roman" w:cs="Times New Roman"/>
          <w:sz w:val="24"/>
          <w:szCs w:val="24"/>
        </w:rPr>
        <w:t xml:space="preserve">to which a remedial direction applies </w:t>
      </w:r>
      <w:r w:rsidRPr="000A3D84">
        <w:rPr>
          <w:rFonts w:ascii="Times New Roman" w:hAnsi="Times New Roman" w:cs="Times New Roman"/>
          <w:sz w:val="24"/>
          <w:szCs w:val="24"/>
        </w:rPr>
        <w:t>is payable by the person who is subject to the remedial direction. That person may be the pipeline licensee or another person.</w:t>
      </w:r>
    </w:p>
    <w:p w14:paraId="476570F1" w14:textId="0BC505A2" w:rsidR="00884B18" w:rsidRDefault="00E53373" w:rsidP="00884B18">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New subregulation 64A(2) provides that </w:t>
      </w:r>
      <w:r w:rsidR="00D30C0A">
        <w:rPr>
          <w:rFonts w:ascii="Times New Roman" w:hAnsi="Times New Roman" w:cs="Times New Roman"/>
          <w:sz w:val="24"/>
          <w:szCs w:val="24"/>
        </w:rPr>
        <w:t>regulation 4 only applies to</w:t>
      </w:r>
      <w:r>
        <w:rPr>
          <w:rFonts w:ascii="Times New Roman" w:hAnsi="Times New Roman" w:cs="Times New Roman"/>
          <w:sz w:val="24"/>
          <w:szCs w:val="24"/>
        </w:rPr>
        <w:t xml:space="preserve"> a pipeline licensee.</w:t>
      </w:r>
      <w:r w:rsidR="00D91D7A">
        <w:rPr>
          <w:rFonts w:ascii="Times New Roman" w:hAnsi="Times New Roman" w:cs="Times New Roman"/>
          <w:sz w:val="24"/>
          <w:szCs w:val="24"/>
        </w:rPr>
        <w:t xml:space="preserve"> </w:t>
      </w:r>
      <w:r w:rsidR="00D969E9">
        <w:rPr>
          <w:rFonts w:ascii="Times New Roman" w:hAnsi="Times New Roman" w:cs="Times New Roman"/>
          <w:sz w:val="24"/>
          <w:szCs w:val="24"/>
        </w:rPr>
        <w:t xml:space="preserve">This means that, </w:t>
      </w:r>
      <w:r w:rsidR="00884B18">
        <w:rPr>
          <w:rFonts w:ascii="Times New Roman" w:hAnsi="Times New Roman" w:cs="Times New Roman"/>
          <w:sz w:val="24"/>
          <w:szCs w:val="24"/>
        </w:rPr>
        <w:t xml:space="preserve">if a remedial direction is in force in respect of a pipeline and the </w:t>
      </w:r>
      <w:r w:rsidR="00D969E9">
        <w:rPr>
          <w:rFonts w:ascii="Times New Roman" w:hAnsi="Times New Roman" w:cs="Times New Roman"/>
          <w:sz w:val="24"/>
          <w:szCs w:val="24"/>
        </w:rPr>
        <w:t xml:space="preserve">person who is subject to </w:t>
      </w:r>
      <w:r w:rsidR="00884B18">
        <w:rPr>
          <w:rFonts w:ascii="Times New Roman" w:hAnsi="Times New Roman" w:cs="Times New Roman"/>
          <w:sz w:val="24"/>
          <w:szCs w:val="24"/>
        </w:rPr>
        <w:t>the</w:t>
      </w:r>
      <w:r w:rsidR="00D969E9">
        <w:rPr>
          <w:rFonts w:ascii="Times New Roman" w:hAnsi="Times New Roman" w:cs="Times New Roman"/>
          <w:sz w:val="24"/>
          <w:szCs w:val="24"/>
        </w:rPr>
        <w:t xml:space="preserve"> direction is </w:t>
      </w:r>
      <w:r w:rsidR="00884B18">
        <w:rPr>
          <w:rFonts w:ascii="Times New Roman" w:hAnsi="Times New Roman" w:cs="Times New Roman"/>
          <w:sz w:val="24"/>
          <w:szCs w:val="24"/>
        </w:rPr>
        <w:t>not the</w:t>
      </w:r>
      <w:r w:rsidR="00D969E9">
        <w:rPr>
          <w:rFonts w:ascii="Times New Roman" w:hAnsi="Times New Roman" w:cs="Times New Roman"/>
          <w:sz w:val="24"/>
          <w:szCs w:val="24"/>
        </w:rPr>
        <w:t xml:space="preserve"> pipeline licensee, regulation 4 does not apply to the person. </w:t>
      </w:r>
      <w:r w:rsidR="00884B18">
        <w:rPr>
          <w:rFonts w:ascii="Times New Roman" w:hAnsi="Times New Roman" w:cs="Times New Roman"/>
          <w:sz w:val="24"/>
          <w:szCs w:val="24"/>
        </w:rPr>
        <w:t>Such persons may include a former licensee</w:t>
      </w:r>
      <w:r w:rsidR="00A07A24">
        <w:rPr>
          <w:rFonts w:ascii="Times New Roman" w:hAnsi="Times New Roman" w:cs="Times New Roman"/>
          <w:sz w:val="24"/>
          <w:szCs w:val="24"/>
        </w:rPr>
        <w:t xml:space="preserve"> of the pipeline licence</w:t>
      </w:r>
      <w:r w:rsidR="00884B18">
        <w:rPr>
          <w:rFonts w:ascii="Times New Roman" w:hAnsi="Times New Roman" w:cs="Times New Roman"/>
          <w:sz w:val="24"/>
          <w:szCs w:val="24"/>
        </w:rPr>
        <w:t>, a related body corporate of the pipeline licensee or a former licensee</w:t>
      </w:r>
      <w:r w:rsidR="00A07A24">
        <w:rPr>
          <w:rFonts w:ascii="Times New Roman" w:hAnsi="Times New Roman" w:cs="Times New Roman"/>
          <w:sz w:val="24"/>
          <w:szCs w:val="24"/>
        </w:rPr>
        <w:t xml:space="preserve"> of the pipeline licence</w:t>
      </w:r>
      <w:r w:rsidR="00884B18">
        <w:rPr>
          <w:rFonts w:ascii="Times New Roman" w:hAnsi="Times New Roman" w:cs="Times New Roman"/>
          <w:sz w:val="24"/>
          <w:szCs w:val="24"/>
        </w:rPr>
        <w:t xml:space="preserve">, or a person to whom a determination under subsection 586(2B), 586A(2B), 587(2B), 587A(2B), 591B(2B), 592(2B), 594A(2B) or 595(2B) applies (referred to as a person who is subject to a ‘related person’ determination). </w:t>
      </w:r>
    </w:p>
    <w:p w14:paraId="17BFCAA1" w14:textId="5EAF1203" w:rsidR="00E42833" w:rsidRDefault="00E42833" w:rsidP="000263AB">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Regulation 4 ensures, in circumstances where a pipeline </w:t>
      </w:r>
      <w:r w:rsidR="00957ED4">
        <w:rPr>
          <w:rFonts w:ascii="Times New Roman" w:hAnsi="Times New Roman" w:cs="Times New Roman"/>
          <w:sz w:val="24"/>
          <w:szCs w:val="24"/>
        </w:rPr>
        <w:t>is partly in</w:t>
      </w:r>
      <w:r>
        <w:rPr>
          <w:rFonts w:ascii="Times New Roman" w:hAnsi="Times New Roman" w:cs="Times New Roman"/>
          <w:sz w:val="24"/>
          <w:szCs w:val="24"/>
        </w:rPr>
        <w:t xml:space="preserve"> Commonwealth waters and </w:t>
      </w:r>
      <w:r w:rsidR="00957ED4">
        <w:rPr>
          <w:rFonts w:ascii="Times New Roman" w:hAnsi="Times New Roman" w:cs="Times New Roman"/>
          <w:sz w:val="24"/>
          <w:szCs w:val="24"/>
        </w:rPr>
        <w:t xml:space="preserve">partly in State/Territory </w:t>
      </w:r>
      <w:r>
        <w:rPr>
          <w:rFonts w:ascii="Times New Roman" w:hAnsi="Times New Roman" w:cs="Times New Roman"/>
          <w:sz w:val="24"/>
          <w:szCs w:val="24"/>
        </w:rPr>
        <w:t xml:space="preserve">designated coastal waters, that the </w:t>
      </w:r>
      <w:r w:rsidR="00702595">
        <w:rPr>
          <w:rFonts w:ascii="Times New Roman" w:hAnsi="Times New Roman" w:cs="Times New Roman"/>
          <w:sz w:val="24"/>
          <w:szCs w:val="24"/>
        </w:rPr>
        <w:t xml:space="preserve">pipeline licensee </w:t>
      </w:r>
      <w:r w:rsidR="00161ACF">
        <w:rPr>
          <w:rFonts w:ascii="Times New Roman" w:hAnsi="Times New Roman" w:cs="Times New Roman"/>
          <w:sz w:val="24"/>
          <w:szCs w:val="24"/>
        </w:rPr>
        <w:t xml:space="preserve">will only </w:t>
      </w:r>
      <w:r w:rsidR="00702595">
        <w:rPr>
          <w:rFonts w:ascii="Times New Roman" w:hAnsi="Times New Roman" w:cs="Times New Roman"/>
          <w:sz w:val="24"/>
          <w:szCs w:val="24"/>
        </w:rPr>
        <w:t>pay the safety case levy once</w:t>
      </w:r>
      <w:r w:rsidR="00161ACF">
        <w:rPr>
          <w:rFonts w:ascii="Times New Roman" w:hAnsi="Times New Roman" w:cs="Times New Roman"/>
          <w:sz w:val="24"/>
          <w:szCs w:val="24"/>
        </w:rPr>
        <w:t xml:space="preserve"> </w:t>
      </w:r>
      <w:r w:rsidR="00957ED4">
        <w:rPr>
          <w:rFonts w:ascii="Times New Roman" w:hAnsi="Times New Roman" w:cs="Times New Roman"/>
          <w:sz w:val="24"/>
          <w:szCs w:val="24"/>
        </w:rPr>
        <w:t>with respect</w:t>
      </w:r>
      <w:r w:rsidR="00702595">
        <w:rPr>
          <w:rFonts w:ascii="Times New Roman" w:hAnsi="Times New Roman" w:cs="Times New Roman"/>
          <w:sz w:val="24"/>
          <w:szCs w:val="24"/>
        </w:rPr>
        <w:t xml:space="preserve"> to</w:t>
      </w:r>
      <w:r>
        <w:rPr>
          <w:rFonts w:ascii="Times New Roman" w:hAnsi="Times New Roman" w:cs="Times New Roman"/>
          <w:sz w:val="24"/>
          <w:szCs w:val="24"/>
        </w:rPr>
        <w:t xml:space="preserve"> the jurisdiction where the length of the pipeline is predominantly located</w:t>
      </w:r>
      <w:r w:rsidR="00161ACF">
        <w:rPr>
          <w:rFonts w:ascii="Times New Roman" w:hAnsi="Times New Roman" w:cs="Times New Roman"/>
          <w:sz w:val="24"/>
          <w:szCs w:val="24"/>
        </w:rPr>
        <w:t>.</w:t>
      </w:r>
      <w:r>
        <w:rPr>
          <w:rFonts w:ascii="Times New Roman" w:hAnsi="Times New Roman" w:cs="Times New Roman"/>
          <w:sz w:val="24"/>
          <w:szCs w:val="24"/>
        </w:rPr>
        <w:t xml:space="preserve"> </w:t>
      </w:r>
    </w:p>
    <w:p w14:paraId="2734CC2E" w14:textId="37F67BFD" w:rsidR="00B9567B" w:rsidRDefault="00957ED4" w:rsidP="000263AB">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In the case of a remedial direction given to a person who is not the pipeline licensee, the person </w:t>
      </w:r>
      <w:r w:rsidR="002D6B7A">
        <w:rPr>
          <w:rFonts w:ascii="Times New Roman" w:hAnsi="Times New Roman" w:cs="Times New Roman"/>
          <w:sz w:val="24"/>
          <w:szCs w:val="24"/>
        </w:rPr>
        <w:t xml:space="preserve">who is </w:t>
      </w:r>
      <w:r>
        <w:rPr>
          <w:rFonts w:ascii="Times New Roman" w:hAnsi="Times New Roman" w:cs="Times New Roman"/>
          <w:sz w:val="24"/>
          <w:szCs w:val="24"/>
        </w:rPr>
        <w:t xml:space="preserve">subject to the direction would be </w:t>
      </w:r>
      <w:r w:rsidR="00A07A24">
        <w:rPr>
          <w:rFonts w:ascii="Times New Roman" w:hAnsi="Times New Roman" w:cs="Times New Roman"/>
          <w:sz w:val="24"/>
          <w:szCs w:val="24"/>
        </w:rPr>
        <w:t xml:space="preserve">only </w:t>
      </w:r>
      <w:r>
        <w:rPr>
          <w:rFonts w:ascii="Times New Roman" w:hAnsi="Times New Roman" w:cs="Times New Roman"/>
          <w:sz w:val="24"/>
          <w:szCs w:val="24"/>
        </w:rPr>
        <w:t xml:space="preserve">undertaking work on the part of the </w:t>
      </w:r>
      <w:r>
        <w:rPr>
          <w:rFonts w:ascii="Times New Roman" w:hAnsi="Times New Roman" w:cs="Times New Roman"/>
          <w:sz w:val="24"/>
          <w:szCs w:val="24"/>
        </w:rPr>
        <w:lastRenderedPageBreak/>
        <w:t xml:space="preserve">pipeline located in Commonwealth waters (as a direction under the OPGGS Act can only require action in Commonwealth waters). </w:t>
      </w:r>
      <w:r w:rsidR="00732204">
        <w:rPr>
          <w:rFonts w:ascii="Times New Roman" w:hAnsi="Times New Roman" w:cs="Times New Roman"/>
          <w:sz w:val="24"/>
          <w:szCs w:val="24"/>
        </w:rPr>
        <w:t>Unlike a pipeline licensee, t</w:t>
      </w:r>
      <w:r>
        <w:rPr>
          <w:rFonts w:ascii="Times New Roman" w:hAnsi="Times New Roman" w:cs="Times New Roman"/>
          <w:sz w:val="24"/>
          <w:szCs w:val="24"/>
        </w:rPr>
        <w:t xml:space="preserve">he person </w:t>
      </w:r>
      <w:r w:rsidR="002D6B7A">
        <w:rPr>
          <w:rFonts w:ascii="Times New Roman" w:hAnsi="Times New Roman" w:cs="Times New Roman"/>
          <w:sz w:val="24"/>
          <w:szCs w:val="24"/>
        </w:rPr>
        <w:t xml:space="preserve">who is </w:t>
      </w:r>
      <w:r>
        <w:rPr>
          <w:rFonts w:ascii="Times New Roman" w:hAnsi="Times New Roman" w:cs="Times New Roman"/>
          <w:sz w:val="24"/>
          <w:szCs w:val="24"/>
        </w:rPr>
        <w:t xml:space="preserve">subject to the direction would therefore only have a safety case in relation to the part of the pipeline in Commonwealth waters. </w:t>
      </w:r>
      <w:r w:rsidR="00B9567B">
        <w:rPr>
          <w:rFonts w:ascii="Times New Roman" w:hAnsi="Times New Roman" w:cs="Times New Roman"/>
          <w:sz w:val="24"/>
          <w:szCs w:val="24"/>
        </w:rPr>
        <w:t xml:space="preserve">If regulation 4 applied to a person who is not the pipeline licensee and the </w:t>
      </w:r>
      <w:r w:rsidR="00CF5633">
        <w:rPr>
          <w:rFonts w:ascii="Times New Roman" w:hAnsi="Times New Roman" w:cs="Times New Roman"/>
          <w:sz w:val="24"/>
          <w:szCs w:val="24"/>
        </w:rPr>
        <w:t>length</w:t>
      </w:r>
      <w:r w:rsidR="00B9567B">
        <w:rPr>
          <w:rFonts w:ascii="Times New Roman" w:hAnsi="Times New Roman" w:cs="Times New Roman"/>
          <w:sz w:val="24"/>
          <w:szCs w:val="24"/>
        </w:rPr>
        <w:t xml:space="preserve"> of the pipeline was </w:t>
      </w:r>
      <w:r w:rsidR="00CF5633">
        <w:rPr>
          <w:rFonts w:ascii="Times New Roman" w:hAnsi="Times New Roman" w:cs="Times New Roman"/>
          <w:sz w:val="24"/>
          <w:szCs w:val="24"/>
        </w:rPr>
        <w:t xml:space="preserve">predominantly </w:t>
      </w:r>
      <w:r w:rsidR="00B9567B">
        <w:rPr>
          <w:rFonts w:ascii="Times New Roman" w:hAnsi="Times New Roman" w:cs="Times New Roman"/>
          <w:sz w:val="24"/>
          <w:szCs w:val="24"/>
        </w:rPr>
        <w:t xml:space="preserve">located in designated coastal waters, no levy </w:t>
      </w:r>
      <w:r w:rsidR="00C850F1">
        <w:rPr>
          <w:rFonts w:ascii="Times New Roman" w:hAnsi="Times New Roman" w:cs="Times New Roman"/>
          <w:sz w:val="24"/>
          <w:szCs w:val="24"/>
        </w:rPr>
        <w:t>would be payable to NOPSEMA</w:t>
      </w:r>
      <w:r w:rsidR="00B9567B">
        <w:rPr>
          <w:rFonts w:ascii="Times New Roman" w:hAnsi="Times New Roman" w:cs="Times New Roman"/>
          <w:sz w:val="24"/>
          <w:szCs w:val="24"/>
        </w:rPr>
        <w:t xml:space="preserve"> in respect of the safety case for decommissioning the pipeline in Commonwealth waters.</w:t>
      </w:r>
    </w:p>
    <w:p w14:paraId="0E12DBBA" w14:textId="13BE7745" w:rsidR="00957ED4" w:rsidRDefault="00702595" w:rsidP="000263AB">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Excluding the application of regulation 4 to </w:t>
      </w:r>
      <w:r w:rsidR="00C850F1">
        <w:rPr>
          <w:rFonts w:ascii="Times New Roman" w:hAnsi="Times New Roman" w:cs="Times New Roman"/>
          <w:sz w:val="24"/>
          <w:szCs w:val="24"/>
        </w:rPr>
        <w:t>a person</w:t>
      </w:r>
      <w:r>
        <w:rPr>
          <w:rFonts w:ascii="Times New Roman" w:hAnsi="Times New Roman" w:cs="Times New Roman"/>
          <w:sz w:val="24"/>
          <w:szCs w:val="24"/>
        </w:rPr>
        <w:t xml:space="preserve"> who</w:t>
      </w:r>
      <w:r w:rsidR="00C850F1">
        <w:rPr>
          <w:rFonts w:ascii="Times New Roman" w:hAnsi="Times New Roman" w:cs="Times New Roman"/>
          <w:sz w:val="24"/>
          <w:szCs w:val="24"/>
        </w:rPr>
        <w:t xml:space="preserve"> is</w:t>
      </w:r>
      <w:r>
        <w:rPr>
          <w:rFonts w:ascii="Times New Roman" w:hAnsi="Times New Roman" w:cs="Times New Roman"/>
          <w:sz w:val="24"/>
          <w:szCs w:val="24"/>
        </w:rPr>
        <w:t xml:space="preserve"> not the pipeline licensee ensures that such a person is required to pay</w:t>
      </w:r>
      <w:r w:rsidR="00CA40FE">
        <w:rPr>
          <w:rFonts w:ascii="Times New Roman" w:hAnsi="Times New Roman" w:cs="Times New Roman"/>
          <w:sz w:val="24"/>
          <w:szCs w:val="24"/>
        </w:rPr>
        <w:t xml:space="preserve"> the safety case levy</w:t>
      </w:r>
      <w:r>
        <w:rPr>
          <w:rFonts w:ascii="Times New Roman" w:hAnsi="Times New Roman" w:cs="Times New Roman"/>
          <w:sz w:val="24"/>
          <w:szCs w:val="24"/>
        </w:rPr>
        <w:t xml:space="preserve"> in respect of decommissioning the segment of the pipeline in Commonwealth waters, regardless of </w:t>
      </w:r>
      <w:r w:rsidR="00CA40FE">
        <w:rPr>
          <w:rFonts w:ascii="Times New Roman" w:hAnsi="Times New Roman" w:cs="Times New Roman"/>
          <w:sz w:val="24"/>
          <w:szCs w:val="24"/>
        </w:rPr>
        <w:t xml:space="preserve">where the </w:t>
      </w:r>
      <w:r w:rsidR="00CF5633">
        <w:rPr>
          <w:rFonts w:ascii="Times New Roman" w:hAnsi="Times New Roman" w:cs="Times New Roman"/>
          <w:sz w:val="24"/>
          <w:szCs w:val="24"/>
        </w:rPr>
        <w:t>length</w:t>
      </w:r>
      <w:r w:rsidR="00CA40FE">
        <w:rPr>
          <w:rFonts w:ascii="Times New Roman" w:hAnsi="Times New Roman" w:cs="Times New Roman"/>
          <w:sz w:val="24"/>
          <w:szCs w:val="24"/>
        </w:rPr>
        <w:t xml:space="preserve"> of the pipeline is </w:t>
      </w:r>
      <w:r w:rsidR="00CF5633">
        <w:rPr>
          <w:rFonts w:ascii="Times New Roman" w:hAnsi="Times New Roman" w:cs="Times New Roman"/>
          <w:sz w:val="24"/>
          <w:szCs w:val="24"/>
        </w:rPr>
        <w:t xml:space="preserve">predominantly </w:t>
      </w:r>
      <w:r w:rsidR="00CA40FE">
        <w:rPr>
          <w:rFonts w:ascii="Times New Roman" w:hAnsi="Times New Roman" w:cs="Times New Roman"/>
          <w:sz w:val="24"/>
          <w:szCs w:val="24"/>
        </w:rPr>
        <w:t>located</w:t>
      </w:r>
      <w:r>
        <w:rPr>
          <w:rFonts w:ascii="Times New Roman" w:hAnsi="Times New Roman" w:cs="Times New Roman"/>
          <w:sz w:val="24"/>
          <w:szCs w:val="24"/>
        </w:rPr>
        <w:t xml:space="preserve">. </w:t>
      </w:r>
    </w:p>
    <w:p w14:paraId="70535797" w14:textId="0FECEE4D" w:rsidR="006A6D3B" w:rsidRDefault="006F7FF6" w:rsidP="006F7FF6">
      <w:pPr>
        <w:spacing w:before="240" w:after="240"/>
        <w:rPr>
          <w:rFonts w:ascii="Times New Roman" w:hAnsi="Times New Roman" w:cs="Times New Roman"/>
          <w:sz w:val="24"/>
          <w:szCs w:val="24"/>
        </w:rPr>
      </w:pPr>
      <w:r w:rsidRPr="00FF119D">
        <w:rPr>
          <w:rFonts w:ascii="Times New Roman" w:hAnsi="Times New Roman" w:cs="Times New Roman"/>
          <w:sz w:val="24"/>
          <w:szCs w:val="24"/>
        </w:rPr>
        <w:t>New subregulation</w:t>
      </w:r>
      <w:r w:rsidR="006A6D3B">
        <w:rPr>
          <w:rFonts w:ascii="Times New Roman" w:hAnsi="Times New Roman" w:cs="Times New Roman"/>
          <w:sz w:val="24"/>
          <w:szCs w:val="24"/>
        </w:rPr>
        <w:t>s</w:t>
      </w:r>
      <w:r w:rsidRPr="00FF119D">
        <w:rPr>
          <w:rFonts w:ascii="Times New Roman" w:hAnsi="Times New Roman" w:cs="Times New Roman"/>
          <w:sz w:val="24"/>
          <w:szCs w:val="24"/>
        </w:rPr>
        <w:t xml:space="preserve"> 64A(</w:t>
      </w:r>
      <w:r w:rsidR="00E53373">
        <w:rPr>
          <w:rFonts w:ascii="Times New Roman" w:hAnsi="Times New Roman" w:cs="Times New Roman"/>
          <w:sz w:val="24"/>
          <w:szCs w:val="24"/>
        </w:rPr>
        <w:t>3</w:t>
      </w:r>
      <w:r w:rsidRPr="00FF119D">
        <w:rPr>
          <w:rFonts w:ascii="Times New Roman" w:hAnsi="Times New Roman" w:cs="Times New Roman"/>
          <w:sz w:val="24"/>
          <w:szCs w:val="24"/>
        </w:rPr>
        <w:t>)</w:t>
      </w:r>
      <w:r w:rsidR="006A6D3B">
        <w:rPr>
          <w:rFonts w:ascii="Times New Roman" w:hAnsi="Times New Roman" w:cs="Times New Roman"/>
          <w:sz w:val="24"/>
          <w:szCs w:val="24"/>
        </w:rPr>
        <w:t xml:space="preserve"> to (</w:t>
      </w:r>
      <w:r w:rsidR="00D30C0A">
        <w:rPr>
          <w:rFonts w:ascii="Times New Roman" w:hAnsi="Times New Roman" w:cs="Times New Roman"/>
          <w:sz w:val="24"/>
          <w:szCs w:val="24"/>
        </w:rPr>
        <w:t>5</w:t>
      </w:r>
      <w:r w:rsidR="006A6D3B">
        <w:rPr>
          <w:rFonts w:ascii="Times New Roman" w:hAnsi="Times New Roman" w:cs="Times New Roman"/>
          <w:sz w:val="24"/>
          <w:szCs w:val="24"/>
        </w:rPr>
        <w:t>)</w:t>
      </w:r>
      <w:r w:rsidRPr="00FF119D">
        <w:rPr>
          <w:rFonts w:ascii="Times New Roman" w:hAnsi="Times New Roman" w:cs="Times New Roman"/>
          <w:sz w:val="24"/>
          <w:szCs w:val="24"/>
        </w:rPr>
        <w:t xml:space="preserve"> </w:t>
      </w:r>
      <w:r w:rsidR="006A6D3B">
        <w:rPr>
          <w:rFonts w:ascii="Times New Roman" w:hAnsi="Times New Roman" w:cs="Times New Roman"/>
          <w:sz w:val="24"/>
          <w:szCs w:val="24"/>
        </w:rPr>
        <w:t>operate by deeming a reference to certain terms in specified provisions of the Levies Regulations to include a reference to other terms</w:t>
      </w:r>
      <w:r w:rsidR="007A3C96">
        <w:rPr>
          <w:rFonts w:ascii="Times New Roman" w:hAnsi="Times New Roman" w:cs="Times New Roman"/>
          <w:sz w:val="24"/>
          <w:szCs w:val="24"/>
        </w:rPr>
        <w:t xml:space="preserve"> if a remedial direction is in force</w:t>
      </w:r>
      <w:r w:rsidR="006A6D3B">
        <w:rPr>
          <w:rFonts w:ascii="Times New Roman" w:hAnsi="Times New Roman" w:cs="Times New Roman"/>
          <w:sz w:val="24"/>
          <w:szCs w:val="24"/>
        </w:rPr>
        <w:t>.</w:t>
      </w:r>
      <w:r w:rsidR="00D30C0A">
        <w:rPr>
          <w:rFonts w:ascii="Times New Roman" w:hAnsi="Times New Roman" w:cs="Times New Roman"/>
          <w:sz w:val="24"/>
          <w:szCs w:val="24"/>
        </w:rPr>
        <w:t xml:space="preserve"> This provides for the application of the provisions of the Levies Regulations that relate to safety case levies, well activity levies and environment plan levies</w:t>
      </w:r>
      <w:r w:rsidR="0003582B">
        <w:rPr>
          <w:rFonts w:ascii="Times New Roman" w:hAnsi="Times New Roman" w:cs="Times New Roman"/>
          <w:sz w:val="24"/>
          <w:szCs w:val="24"/>
        </w:rPr>
        <w:t xml:space="preserve"> imposed by the Levies Act</w:t>
      </w:r>
      <w:r w:rsidR="00D30C0A">
        <w:rPr>
          <w:rFonts w:ascii="Times New Roman" w:hAnsi="Times New Roman" w:cs="Times New Roman"/>
          <w:sz w:val="24"/>
          <w:szCs w:val="24"/>
        </w:rPr>
        <w:t xml:space="preserve"> in relation to persons who are subject to a remedial direction.</w:t>
      </w:r>
      <w:r w:rsidR="006A6D3B">
        <w:rPr>
          <w:rFonts w:ascii="Times New Roman" w:hAnsi="Times New Roman" w:cs="Times New Roman"/>
          <w:sz w:val="24"/>
          <w:szCs w:val="24"/>
        </w:rPr>
        <w:t xml:space="preserve"> </w:t>
      </w:r>
    </w:p>
    <w:p w14:paraId="5CE0428B" w14:textId="0F7EABCF" w:rsidR="006A6D3B" w:rsidRDefault="006A6D3B" w:rsidP="000B6003">
      <w:pPr>
        <w:spacing w:before="240" w:after="240"/>
        <w:rPr>
          <w:rFonts w:ascii="Times New Roman" w:hAnsi="Times New Roman" w:cs="Times New Roman"/>
          <w:sz w:val="24"/>
          <w:szCs w:val="24"/>
        </w:rPr>
      </w:pPr>
      <w:r>
        <w:rPr>
          <w:rFonts w:ascii="Times New Roman" w:hAnsi="Times New Roman" w:cs="Times New Roman"/>
          <w:sz w:val="24"/>
          <w:szCs w:val="24"/>
        </w:rPr>
        <w:t xml:space="preserve">Under </w:t>
      </w:r>
      <w:r w:rsidR="00681A91">
        <w:rPr>
          <w:rFonts w:ascii="Times New Roman" w:hAnsi="Times New Roman" w:cs="Times New Roman"/>
          <w:sz w:val="24"/>
          <w:szCs w:val="24"/>
        </w:rPr>
        <w:t xml:space="preserve">new </w:t>
      </w:r>
      <w:r>
        <w:rPr>
          <w:rFonts w:ascii="Times New Roman" w:hAnsi="Times New Roman" w:cs="Times New Roman"/>
          <w:sz w:val="24"/>
          <w:szCs w:val="24"/>
        </w:rPr>
        <w:t>subregulation 64A(</w:t>
      </w:r>
      <w:r w:rsidR="00E53373">
        <w:rPr>
          <w:rFonts w:ascii="Times New Roman" w:hAnsi="Times New Roman" w:cs="Times New Roman"/>
          <w:sz w:val="24"/>
          <w:szCs w:val="24"/>
        </w:rPr>
        <w:t>3</w:t>
      </w:r>
      <w:r>
        <w:rPr>
          <w:rFonts w:ascii="Times New Roman" w:hAnsi="Times New Roman" w:cs="Times New Roman"/>
          <w:sz w:val="24"/>
          <w:szCs w:val="24"/>
        </w:rPr>
        <w:t xml:space="preserve">), if a remedial direction is in force, </w:t>
      </w:r>
      <w:r w:rsidR="006B05F3">
        <w:rPr>
          <w:rFonts w:ascii="Times New Roman" w:hAnsi="Times New Roman" w:cs="Times New Roman"/>
          <w:sz w:val="24"/>
          <w:szCs w:val="24"/>
        </w:rPr>
        <w:t xml:space="preserve">Division 2 of </w:t>
      </w:r>
      <w:r w:rsidR="00265376">
        <w:rPr>
          <w:rFonts w:ascii="Times New Roman" w:hAnsi="Times New Roman" w:cs="Times New Roman"/>
          <w:sz w:val="24"/>
          <w:szCs w:val="24"/>
        </w:rPr>
        <w:t xml:space="preserve">Part </w:t>
      </w:r>
      <w:r w:rsidR="006B05F3">
        <w:rPr>
          <w:rFonts w:ascii="Times New Roman" w:hAnsi="Times New Roman" w:cs="Times New Roman"/>
          <w:sz w:val="24"/>
          <w:szCs w:val="24"/>
        </w:rPr>
        <w:t>10 and r</w:t>
      </w:r>
      <w:r w:rsidR="006F7FF6" w:rsidRPr="00FF119D">
        <w:rPr>
          <w:rFonts w:ascii="Times New Roman" w:hAnsi="Times New Roman" w:cs="Times New Roman"/>
          <w:sz w:val="24"/>
          <w:szCs w:val="24"/>
        </w:rPr>
        <w:t>egulation</w:t>
      </w:r>
      <w:r>
        <w:rPr>
          <w:rFonts w:ascii="Times New Roman" w:hAnsi="Times New Roman" w:cs="Times New Roman"/>
          <w:sz w:val="24"/>
          <w:szCs w:val="24"/>
        </w:rPr>
        <w:t>s</w:t>
      </w:r>
      <w:r w:rsidR="006F7FF6" w:rsidRPr="00FF119D">
        <w:rPr>
          <w:rFonts w:ascii="Times New Roman" w:hAnsi="Times New Roman" w:cs="Times New Roman"/>
          <w:sz w:val="24"/>
          <w:szCs w:val="24"/>
        </w:rPr>
        <w:t xml:space="preserve"> </w:t>
      </w:r>
      <w:r>
        <w:rPr>
          <w:rFonts w:ascii="Times New Roman" w:hAnsi="Times New Roman" w:cs="Times New Roman"/>
          <w:sz w:val="24"/>
          <w:szCs w:val="24"/>
        </w:rPr>
        <w:t xml:space="preserve">59C and </w:t>
      </w:r>
      <w:r w:rsidR="006F7FF6" w:rsidRPr="00FF119D">
        <w:rPr>
          <w:rFonts w:ascii="Times New Roman" w:hAnsi="Times New Roman" w:cs="Times New Roman"/>
          <w:sz w:val="24"/>
          <w:szCs w:val="24"/>
        </w:rPr>
        <w:t xml:space="preserve">62 </w:t>
      </w:r>
      <w:r w:rsidR="00C23975">
        <w:rPr>
          <w:rFonts w:ascii="Times New Roman" w:hAnsi="Times New Roman" w:cs="Times New Roman"/>
          <w:sz w:val="24"/>
          <w:szCs w:val="24"/>
        </w:rPr>
        <w:t xml:space="preserve">of the Levies Regulations </w:t>
      </w:r>
      <w:r>
        <w:rPr>
          <w:rFonts w:ascii="Times New Roman" w:hAnsi="Times New Roman" w:cs="Times New Roman"/>
          <w:sz w:val="24"/>
          <w:szCs w:val="24"/>
        </w:rPr>
        <w:t xml:space="preserve">apply: </w:t>
      </w:r>
    </w:p>
    <w:p w14:paraId="3250AD65" w14:textId="3DF437AD" w:rsidR="006A6D3B" w:rsidRDefault="006A6D3B" w:rsidP="000263AB">
      <w:pPr>
        <w:pStyle w:val="ListParagraph"/>
        <w:numPr>
          <w:ilvl w:val="0"/>
          <w:numId w:val="7"/>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as if a reference to a registered holder of an eligible title that is a petroleum title included a reference to a person who is subject to a petroleum remedial direction; </w:t>
      </w:r>
      <w:r w:rsidR="00D61E3F">
        <w:rPr>
          <w:rFonts w:ascii="Times New Roman" w:hAnsi="Times New Roman" w:cs="Times New Roman"/>
          <w:sz w:val="24"/>
          <w:szCs w:val="24"/>
        </w:rPr>
        <w:t>and</w:t>
      </w:r>
    </w:p>
    <w:p w14:paraId="48DC5C2E" w14:textId="77777777" w:rsidR="00681A91" w:rsidRDefault="006A6D3B" w:rsidP="000263AB">
      <w:pPr>
        <w:pStyle w:val="ListParagraph"/>
        <w:numPr>
          <w:ilvl w:val="0"/>
          <w:numId w:val="7"/>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as if a reference to a registered holder </w:t>
      </w:r>
      <w:r w:rsidR="00265376">
        <w:rPr>
          <w:rFonts w:ascii="Times New Roman" w:hAnsi="Times New Roman" w:cs="Times New Roman"/>
          <w:sz w:val="24"/>
          <w:szCs w:val="24"/>
        </w:rPr>
        <w:t>of an eligible title that is a greenhouse gas title included a reference to a person who is subject to a greenhouse remedial direction.</w:t>
      </w:r>
    </w:p>
    <w:p w14:paraId="02B19F9E" w14:textId="0CF23BA8" w:rsidR="00724166" w:rsidRDefault="00C761DF" w:rsidP="00724166">
      <w:pPr>
        <w:spacing w:before="240" w:after="240"/>
        <w:rPr>
          <w:rFonts w:ascii="Times New Roman" w:hAnsi="Times New Roman" w:cs="Times New Roman"/>
          <w:sz w:val="24"/>
          <w:szCs w:val="24"/>
        </w:rPr>
      </w:pPr>
      <w:r>
        <w:rPr>
          <w:rFonts w:ascii="Times New Roman" w:hAnsi="Times New Roman" w:cs="Times New Roman"/>
          <w:sz w:val="24"/>
          <w:szCs w:val="24"/>
        </w:rPr>
        <w:t>In addition</w:t>
      </w:r>
      <w:r w:rsidR="00724166">
        <w:rPr>
          <w:rFonts w:ascii="Times New Roman" w:hAnsi="Times New Roman" w:cs="Times New Roman"/>
          <w:sz w:val="24"/>
          <w:szCs w:val="24"/>
        </w:rPr>
        <w:t>, under n</w:t>
      </w:r>
      <w:r w:rsidR="00724166" w:rsidRPr="00FF119D">
        <w:rPr>
          <w:rFonts w:ascii="Times New Roman" w:hAnsi="Times New Roman" w:cs="Times New Roman"/>
          <w:sz w:val="24"/>
          <w:szCs w:val="24"/>
        </w:rPr>
        <w:t>ew subregulation 64A(</w:t>
      </w:r>
      <w:r w:rsidR="00E53373">
        <w:rPr>
          <w:rFonts w:ascii="Times New Roman" w:hAnsi="Times New Roman" w:cs="Times New Roman"/>
          <w:sz w:val="24"/>
          <w:szCs w:val="24"/>
        </w:rPr>
        <w:t>5</w:t>
      </w:r>
      <w:r w:rsidR="00724166" w:rsidRPr="00FF119D">
        <w:rPr>
          <w:rFonts w:ascii="Times New Roman" w:hAnsi="Times New Roman" w:cs="Times New Roman"/>
          <w:sz w:val="24"/>
          <w:szCs w:val="24"/>
        </w:rPr>
        <w:t>)</w:t>
      </w:r>
      <w:r w:rsidR="00724166">
        <w:rPr>
          <w:rFonts w:ascii="Times New Roman" w:hAnsi="Times New Roman" w:cs="Times New Roman"/>
          <w:sz w:val="24"/>
          <w:szCs w:val="24"/>
        </w:rPr>
        <w:t xml:space="preserve">, if a remedial direction is in force, </w:t>
      </w:r>
      <w:r w:rsidR="00724166" w:rsidRPr="00FF119D">
        <w:rPr>
          <w:rFonts w:ascii="Times New Roman" w:hAnsi="Times New Roman" w:cs="Times New Roman"/>
          <w:sz w:val="24"/>
          <w:szCs w:val="24"/>
        </w:rPr>
        <w:t>Part 11B, excluding regulation 59B,</w:t>
      </w:r>
      <w:r w:rsidR="00724166">
        <w:rPr>
          <w:rFonts w:ascii="Times New Roman" w:hAnsi="Times New Roman" w:cs="Times New Roman"/>
          <w:sz w:val="24"/>
          <w:szCs w:val="24"/>
        </w:rPr>
        <w:t xml:space="preserve"> of the Levies Regulations</w:t>
      </w:r>
      <w:r w:rsidR="00724166" w:rsidRPr="00FF119D">
        <w:rPr>
          <w:rFonts w:ascii="Times New Roman" w:hAnsi="Times New Roman" w:cs="Times New Roman"/>
          <w:sz w:val="24"/>
          <w:szCs w:val="24"/>
        </w:rPr>
        <w:t xml:space="preserve"> </w:t>
      </w:r>
      <w:r w:rsidR="00724166">
        <w:rPr>
          <w:rFonts w:ascii="Times New Roman" w:hAnsi="Times New Roman" w:cs="Times New Roman"/>
          <w:sz w:val="24"/>
          <w:szCs w:val="24"/>
        </w:rPr>
        <w:t>appl</w:t>
      </w:r>
      <w:r w:rsidR="005B13E6">
        <w:rPr>
          <w:rFonts w:ascii="Times New Roman" w:hAnsi="Times New Roman" w:cs="Times New Roman"/>
          <w:sz w:val="24"/>
          <w:szCs w:val="24"/>
        </w:rPr>
        <w:t>ies</w:t>
      </w:r>
      <w:r w:rsidR="00724166">
        <w:rPr>
          <w:rFonts w:ascii="Times New Roman" w:hAnsi="Times New Roman" w:cs="Times New Roman"/>
          <w:sz w:val="24"/>
          <w:szCs w:val="24"/>
        </w:rPr>
        <w:t xml:space="preserve"> as if:</w:t>
      </w:r>
    </w:p>
    <w:p w14:paraId="080101AD" w14:textId="77777777" w:rsidR="00724166" w:rsidRDefault="00724166" w:rsidP="000263AB">
      <w:pPr>
        <w:pStyle w:val="ListParagraph"/>
        <w:numPr>
          <w:ilvl w:val="0"/>
          <w:numId w:val="7"/>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a reference to an individual activity included a reference to an activity that is of the same kind as a petroleum activity set out in the table in subregulation 59C(7), and carried out for the purpose of complying with a petroleum remedial direction</w:t>
      </w:r>
      <w:r w:rsidRPr="000B6003">
        <w:rPr>
          <w:rFonts w:ascii="Times New Roman" w:hAnsi="Times New Roman" w:cs="Times New Roman"/>
          <w:sz w:val="24"/>
          <w:szCs w:val="24"/>
        </w:rPr>
        <w:t>;</w:t>
      </w:r>
      <w:r>
        <w:rPr>
          <w:rFonts w:ascii="Times New Roman" w:hAnsi="Times New Roman" w:cs="Times New Roman"/>
          <w:sz w:val="24"/>
          <w:szCs w:val="24"/>
        </w:rPr>
        <w:t xml:space="preserve"> and</w:t>
      </w:r>
      <w:r w:rsidRPr="000B6003">
        <w:rPr>
          <w:rFonts w:ascii="Times New Roman" w:hAnsi="Times New Roman" w:cs="Times New Roman"/>
          <w:sz w:val="24"/>
          <w:szCs w:val="24"/>
        </w:rPr>
        <w:t xml:space="preserve"> </w:t>
      </w:r>
    </w:p>
    <w:p w14:paraId="63EA0547" w14:textId="29AA0D6F" w:rsidR="00724166" w:rsidRPr="000263AB" w:rsidRDefault="00724166" w:rsidP="000263AB">
      <w:pPr>
        <w:pStyle w:val="ListParagraph"/>
        <w:numPr>
          <w:ilvl w:val="0"/>
          <w:numId w:val="7"/>
        </w:numPr>
        <w:spacing w:before="240" w:after="240"/>
        <w:ind w:left="714" w:hanging="357"/>
        <w:contextualSpacing w:val="0"/>
        <w:rPr>
          <w:rFonts w:ascii="Times New Roman" w:hAnsi="Times New Roman" w:cs="Times New Roman"/>
          <w:sz w:val="24"/>
          <w:szCs w:val="24"/>
        </w:rPr>
      </w:pPr>
      <w:r w:rsidRPr="000263AB">
        <w:rPr>
          <w:rFonts w:ascii="Times New Roman" w:hAnsi="Times New Roman" w:cs="Times New Roman"/>
          <w:sz w:val="24"/>
          <w:szCs w:val="24"/>
        </w:rPr>
        <w:t>a reference to a licensed petroleum pipeline included a reference to a pipeline in relation to which a petroleum remedial direction applies.</w:t>
      </w:r>
    </w:p>
    <w:p w14:paraId="797E08FC" w14:textId="1B39A02B" w:rsidR="00E34B67" w:rsidRDefault="00060291" w:rsidP="001C0D46">
      <w:pPr>
        <w:spacing w:before="240" w:after="240"/>
        <w:rPr>
          <w:rFonts w:ascii="Times New Roman" w:hAnsi="Times New Roman" w:cs="Times New Roman"/>
          <w:sz w:val="24"/>
          <w:szCs w:val="24"/>
        </w:rPr>
      </w:pPr>
      <w:r>
        <w:rPr>
          <w:rFonts w:ascii="Times New Roman" w:hAnsi="Times New Roman" w:cs="Times New Roman"/>
          <w:sz w:val="24"/>
          <w:szCs w:val="24"/>
        </w:rPr>
        <w:t>The effect</w:t>
      </w:r>
      <w:r w:rsidR="00DA5D11">
        <w:rPr>
          <w:rFonts w:ascii="Times New Roman" w:hAnsi="Times New Roman" w:cs="Times New Roman"/>
          <w:sz w:val="24"/>
          <w:szCs w:val="24"/>
        </w:rPr>
        <w:t>s</w:t>
      </w:r>
      <w:r>
        <w:rPr>
          <w:rFonts w:ascii="Times New Roman" w:hAnsi="Times New Roman" w:cs="Times New Roman"/>
          <w:sz w:val="24"/>
          <w:szCs w:val="24"/>
        </w:rPr>
        <w:t xml:space="preserve"> of </w:t>
      </w:r>
      <w:r w:rsidR="00724166">
        <w:rPr>
          <w:rFonts w:ascii="Times New Roman" w:hAnsi="Times New Roman" w:cs="Times New Roman"/>
          <w:sz w:val="24"/>
          <w:szCs w:val="24"/>
        </w:rPr>
        <w:t>these new sub</w:t>
      </w:r>
      <w:r w:rsidR="00B87E6E">
        <w:rPr>
          <w:rFonts w:ascii="Times New Roman" w:hAnsi="Times New Roman" w:cs="Times New Roman"/>
          <w:sz w:val="24"/>
          <w:szCs w:val="24"/>
        </w:rPr>
        <w:t>regulations</w:t>
      </w:r>
      <w:r w:rsidR="00724166">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0E2642">
        <w:rPr>
          <w:rFonts w:ascii="Times New Roman" w:hAnsi="Times New Roman" w:cs="Times New Roman"/>
          <w:sz w:val="24"/>
          <w:szCs w:val="24"/>
        </w:rPr>
        <w:t>as follows</w:t>
      </w:r>
      <w:r w:rsidR="00E34B67">
        <w:rPr>
          <w:rFonts w:ascii="Times New Roman" w:hAnsi="Times New Roman" w:cs="Times New Roman"/>
          <w:sz w:val="24"/>
          <w:szCs w:val="24"/>
        </w:rPr>
        <w:t>:</w:t>
      </w:r>
    </w:p>
    <w:p w14:paraId="6D547B84" w14:textId="77777777" w:rsidR="00D61E3F" w:rsidRDefault="00C50A41" w:rsidP="00CC251C">
      <w:pPr>
        <w:pStyle w:val="ListParagraph"/>
        <w:numPr>
          <w:ilvl w:val="0"/>
          <w:numId w:val="10"/>
        </w:numPr>
        <w:spacing w:before="240" w:after="240"/>
        <w:contextualSpacing w:val="0"/>
        <w:rPr>
          <w:rFonts w:ascii="Times New Roman" w:hAnsi="Times New Roman" w:cs="Times New Roman"/>
          <w:sz w:val="24"/>
          <w:szCs w:val="24"/>
        </w:rPr>
      </w:pPr>
      <w:r w:rsidRPr="00D61E3F">
        <w:rPr>
          <w:rFonts w:ascii="Times New Roman" w:hAnsi="Times New Roman" w:cs="Times New Roman"/>
          <w:sz w:val="24"/>
          <w:szCs w:val="24"/>
        </w:rPr>
        <w:t xml:space="preserve">Section 10C of the Levies Act imposes </w:t>
      </w:r>
      <w:r w:rsidR="00681A91" w:rsidRPr="00D61E3F">
        <w:rPr>
          <w:rFonts w:ascii="Times New Roman" w:hAnsi="Times New Roman" w:cs="Times New Roman"/>
          <w:sz w:val="24"/>
          <w:szCs w:val="24"/>
        </w:rPr>
        <w:t xml:space="preserve">well activity levy </w:t>
      </w:r>
      <w:r w:rsidRPr="00D61E3F">
        <w:rPr>
          <w:rFonts w:ascii="Times New Roman" w:hAnsi="Times New Roman" w:cs="Times New Roman"/>
          <w:sz w:val="24"/>
          <w:szCs w:val="24"/>
        </w:rPr>
        <w:t xml:space="preserve">if a person who is subject to a remedial direction </w:t>
      </w:r>
      <w:r w:rsidR="00681A91" w:rsidRPr="00D61E3F">
        <w:rPr>
          <w:rFonts w:ascii="Times New Roman" w:hAnsi="Times New Roman" w:cs="Times New Roman"/>
          <w:sz w:val="24"/>
          <w:szCs w:val="24"/>
        </w:rPr>
        <w:t>submi</w:t>
      </w:r>
      <w:r w:rsidRPr="00D61E3F">
        <w:rPr>
          <w:rFonts w:ascii="Times New Roman" w:hAnsi="Times New Roman" w:cs="Times New Roman"/>
          <w:sz w:val="24"/>
          <w:szCs w:val="24"/>
        </w:rPr>
        <w:t>t</w:t>
      </w:r>
      <w:r w:rsidR="00681A91" w:rsidRPr="00D61E3F">
        <w:rPr>
          <w:rFonts w:ascii="Times New Roman" w:hAnsi="Times New Roman" w:cs="Times New Roman"/>
          <w:sz w:val="24"/>
          <w:szCs w:val="24"/>
        </w:rPr>
        <w:t>s a well operations management plan, or a proposed revision of a well operations management</w:t>
      </w:r>
      <w:r w:rsidR="007874F6" w:rsidRPr="00D61E3F">
        <w:rPr>
          <w:rFonts w:ascii="Times New Roman" w:hAnsi="Times New Roman" w:cs="Times New Roman"/>
          <w:sz w:val="24"/>
          <w:szCs w:val="24"/>
        </w:rPr>
        <w:t xml:space="preserve"> plan</w:t>
      </w:r>
      <w:r w:rsidR="00681A91" w:rsidRPr="00D61E3F">
        <w:rPr>
          <w:rFonts w:ascii="Times New Roman" w:hAnsi="Times New Roman" w:cs="Times New Roman"/>
          <w:sz w:val="24"/>
          <w:szCs w:val="24"/>
        </w:rPr>
        <w:t xml:space="preserve">, to NOPSEMA </w:t>
      </w:r>
      <w:r w:rsidR="009625ED" w:rsidRPr="00D61E3F">
        <w:rPr>
          <w:rFonts w:ascii="Times New Roman" w:hAnsi="Times New Roman" w:cs="Times New Roman"/>
          <w:sz w:val="24"/>
          <w:szCs w:val="24"/>
        </w:rPr>
        <w:t xml:space="preserve">under Part 5 of the </w:t>
      </w:r>
      <w:r w:rsidR="009625ED" w:rsidRPr="00D61E3F">
        <w:rPr>
          <w:rFonts w:ascii="Times New Roman" w:hAnsi="Times New Roman" w:cs="Times New Roman"/>
          <w:i/>
          <w:sz w:val="24"/>
          <w:szCs w:val="24"/>
        </w:rPr>
        <w:t xml:space="preserve">Offshore Petroleum and Greenhouse Gas Storage (Resource Management </w:t>
      </w:r>
      <w:r w:rsidR="006448BB" w:rsidRPr="00D61E3F">
        <w:rPr>
          <w:rFonts w:ascii="Times New Roman" w:hAnsi="Times New Roman" w:cs="Times New Roman"/>
          <w:i/>
          <w:sz w:val="24"/>
          <w:szCs w:val="24"/>
        </w:rPr>
        <w:t>and Administration</w:t>
      </w:r>
      <w:r w:rsidR="009625ED" w:rsidRPr="00D61E3F">
        <w:rPr>
          <w:rFonts w:ascii="Times New Roman" w:hAnsi="Times New Roman" w:cs="Times New Roman"/>
          <w:i/>
          <w:sz w:val="24"/>
          <w:szCs w:val="24"/>
        </w:rPr>
        <w:t xml:space="preserve">) Regulations 2011 </w:t>
      </w:r>
      <w:r w:rsidR="009625ED" w:rsidRPr="00D61E3F">
        <w:rPr>
          <w:rFonts w:ascii="Times New Roman" w:hAnsi="Times New Roman" w:cs="Times New Roman"/>
          <w:sz w:val="24"/>
          <w:szCs w:val="24"/>
        </w:rPr>
        <w:t xml:space="preserve">(the RMA Regulations) </w:t>
      </w:r>
      <w:r w:rsidR="00681A91" w:rsidRPr="00D61E3F">
        <w:rPr>
          <w:rFonts w:ascii="Times New Roman" w:hAnsi="Times New Roman" w:cs="Times New Roman"/>
          <w:sz w:val="24"/>
          <w:szCs w:val="24"/>
        </w:rPr>
        <w:t xml:space="preserve">in relation to an activity relating to a well carried out for the purpose of complying with </w:t>
      </w:r>
      <w:r w:rsidR="008947EE" w:rsidRPr="00D61E3F">
        <w:rPr>
          <w:rFonts w:ascii="Times New Roman" w:hAnsi="Times New Roman" w:cs="Times New Roman"/>
          <w:sz w:val="24"/>
          <w:szCs w:val="24"/>
        </w:rPr>
        <w:t>the</w:t>
      </w:r>
      <w:r w:rsidR="00681A91" w:rsidRPr="00D61E3F">
        <w:rPr>
          <w:rFonts w:ascii="Times New Roman" w:hAnsi="Times New Roman" w:cs="Times New Roman"/>
          <w:sz w:val="24"/>
          <w:szCs w:val="24"/>
        </w:rPr>
        <w:t xml:space="preserve"> direction</w:t>
      </w:r>
      <w:r w:rsidRPr="00D61E3F">
        <w:rPr>
          <w:rFonts w:ascii="Times New Roman" w:hAnsi="Times New Roman" w:cs="Times New Roman"/>
          <w:sz w:val="24"/>
          <w:szCs w:val="24"/>
        </w:rPr>
        <w:t>.</w:t>
      </w:r>
      <w:r w:rsidR="00681A91" w:rsidRPr="00D61E3F">
        <w:rPr>
          <w:rFonts w:ascii="Times New Roman" w:hAnsi="Times New Roman" w:cs="Times New Roman"/>
          <w:sz w:val="24"/>
          <w:szCs w:val="24"/>
        </w:rPr>
        <w:t xml:space="preserve"> </w:t>
      </w:r>
      <w:r w:rsidR="005B13E6" w:rsidRPr="00D61E3F">
        <w:rPr>
          <w:rFonts w:ascii="Times New Roman" w:hAnsi="Times New Roman" w:cs="Times New Roman"/>
          <w:sz w:val="24"/>
          <w:szCs w:val="24"/>
        </w:rPr>
        <w:t xml:space="preserve">New </w:t>
      </w:r>
      <w:r w:rsidR="005B13E6" w:rsidRPr="00D61E3F">
        <w:rPr>
          <w:rFonts w:ascii="Times New Roman" w:hAnsi="Times New Roman" w:cs="Times New Roman"/>
          <w:sz w:val="24"/>
          <w:szCs w:val="24"/>
        </w:rPr>
        <w:lastRenderedPageBreak/>
        <w:t>subregulation</w:t>
      </w:r>
      <w:r w:rsidRPr="00D61E3F">
        <w:rPr>
          <w:rFonts w:ascii="Times New Roman" w:hAnsi="Times New Roman" w:cs="Times New Roman"/>
          <w:sz w:val="24"/>
          <w:szCs w:val="24"/>
        </w:rPr>
        <w:t xml:space="preserve"> 64A(3) </w:t>
      </w:r>
      <w:r w:rsidR="00BD7CC9" w:rsidRPr="00D61E3F">
        <w:rPr>
          <w:rFonts w:ascii="Times New Roman" w:hAnsi="Times New Roman" w:cs="Times New Roman"/>
          <w:sz w:val="24"/>
          <w:szCs w:val="24"/>
        </w:rPr>
        <w:t>provides for the application of</w:t>
      </w:r>
      <w:r w:rsidRPr="00D61E3F">
        <w:rPr>
          <w:rFonts w:ascii="Times New Roman" w:hAnsi="Times New Roman" w:cs="Times New Roman"/>
          <w:sz w:val="24"/>
          <w:szCs w:val="24"/>
        </w:rPr>
        <w:t xml:space="preserve"> </w:t>
      </w:r>
      <w:r w:rsidR="00681A91" w:rsidRPr="00D61E3F">
        <w:rPr>
          <w:rFonts w:ascii="Times New Roman" w:hAnsi="Times New Roman" w:cs="Times New Roman"/>
          <w:sz w:val="24"/>
          <w:szCs w:val="24"/>
        </w:rPr>
        <w:t>Division 2 of Part 10</w:t>
      </w:r>
      <w:r w:rsidR="009625ED" w:rsidRPr="00D61E3F">
        <w:rPr>
          <w:rFonts w:ascii="Times New Roman" w:hAnsi="Times New Roman" w:cs="Times New Roman"/>
          <w:sz w:val="24"/>
          <w:szCs w:val="24"/>
        </w:rPr>
        <w:t xml:space="preserve"> </w:t>
      </w:r>
      <w:r w:rsidR="00BD7CC9" w:rsidRPr="00D61E3F">
        <w:rPr>
          <w:rFonts w:ascii="Times New Roman" w:hAnsi="Times New Roman" w:cs="Times New Roman"/>
          <w:sz w:val="24"/>
          <w:szCs w:val="24"/>
        </w:rPr>
        <w:t>of the Levies Regulations</w:t>
      </w:r>
      <w:r w:rsidR="00681A91" w:rsidRPr="00D61E3F">
        <w:rPr>
          <w:rFonts w:ascii="Times New Roman" w:hAnsi="Times New Roman" w:cs="Times New Roman"/>
          <w:sz w:val="24"/>
          <w:szCs w:val="24"/>
        </w:rPr>
        <w:t xml:space="preserve"> </w:t>
      </w:r>
      <w:r w:rsidR="00A7303D" w:rsidRPr="00D61E3F">
        <w:rPr>
          <w:rFonts w:ascii="Times New Roman" w:hAnsi="Times New Roman" w:cs="Times New Roman"/>
          <w:sz w:val="24"/>
          <w:szCs w:val="24"/>
        </w:rPr>
        <w:t xml:space="preserve">in relation </w:t>
      </w:r>
      <w:r w:rsidR="009625ED" w:rsidRPr="00D61E3F">
        <w:rPr>
          <w:rFonts w:ascii="Times New Roman" w:hAnsi="Times New Roman" w:cs="Times New Roman"/>
          <w:sz w:val="24"/>
          <w:szCs w:val="24"/>
        </w:rPr>
        <w:t xml:space="preserve">to the person. </w:t>
      </w:r>
      <w:r w:rsidR="00060291" w:rsidRPr="00D61E3F">
        <w:rPr>
          <w:rFonts w:ascii="Times New Roman" w:hAnsi="Times New Roman" w:cs="Times New Roman"/>
          <w:sz w:val="24"/>
          <w:szCs w:val="24"/>
        </w:rPr>
        <w:t>This Division</w:t>
      </w:r>
      <w:r w:rsidR="009625ED" w:rsidRPr="00D61E3F">
        <w:rPr>
          <w:rFonts w:ascii="Times New Roman" w:hAnsi="Times New Roman" w:cs="Times New Roman"/>
          <w:sz w:val="24"/>
          <w:szCs w:val="24"/>
        </w:rPr>
        <w:t xml:space="preserve"> </w:t>
      </w:r>
      <w:r w:rsidR="00681A91" w:rsidRPr="00D61E3F">
        <w:rPr>
          <w:rFonts w:ascii="Times New Roman" w:hAnsi="Times New Roman" w:cs="Times New Roman"/>
          <w:sz w:val="24"/>
          <w:szCs w:val="24"/>
        </w:rPr>
        <w:t xml:space="preserve">prescribes the amount of well activity levy imposed </w:t>
      </w:r>
      <w:r w:rsidR="009625ED" w:rsidRPr="00D61E3F">
        <w:rPr>
          <w:rFonts w:ascii="Times New Roman" w:hAnsi="Times New Roman" w:cs="Times New Roman"/>
          <w:sz w:val="24"/>
          <w:szCs w:val="24"/>
        </w:rPr>
        <w:t xml:space="preserve">on the submission of the plan or revised plan, and </w:t>
      </w:r>
      <w:r w:rsidR="007874F6" w:rsidRPr="00D61E3F">
        <w:rPr>
          <w:rFonts w:ascii="Times New Roman" w:hAnsi="Times New Roman" w:cs="Times New Roman"/>
          <w:sz w:val="24"/>
          <w:szCs w:val="24"/>
        </w:rPr>
        <w:t xml:space="preserve">provides </w:t>
      </w:r>
      <w:r w:rsidR="009625ED" w:rsidRPr="00D61E3F">
        <w:rPr>
          <w:rFonts w:ascii="Times New Roman" w:hAnsi="Times New Roman" w:cs="Times New Roman"/>
          <w:sz w:val="24"/>
          <w:szCs w:val="24"/>
        </w:rPr>
        <w:t>when the levy is due and payable.</w:t>
      </w:r>
    </w:p>
    <w:p w14:paraId="793B7D36" w14:textId="5D1378CD" w:rsidR="00724166" w:rsidRPr="00D61E3F" w:rsidRDefault="00BD7CC9" w:rsidP="00CC251C">
      <w:pPr>
        <w:pStyle w:val="ListParagraph"/>
        <w:numPr>
          <w:ilvl w:val="0"/>
          <w:numId w:val="10"/>
        </w:numPr>
        <w:spacing w:before="240" w:after="240"/>
        <w:contextualSpacing w:val="0"/>
        <w:rPr>
          <w:rFonts w:ascii="Times New Roman" w:hAnsi="Times New Roman" w:cs="Times New Roman"/>
          <w:sz w:val="24"/>
          <w:szCs w:val="24"/>
        </w:rPr>
      </w:pPr>
      <w:r w:rsidRPr="00D61E3F">
        <w:rPr>
          <w:rFonts w:ascii="Times New Roman" w:hAnsi="Times New Roman" w:cs="Times New Roman"/>
          <w:sz w:val="24"/>
          <w:szCs w:val="24"/>
        </w:rPr>
        <w:t>Section 10F of the Levies Act imposes</w:t>
      </w:r>
      <w:r w:rsidR="000E2642" w:rsidRPr="00D61E3F">
        <w:rPr>
          <w:rFonts w:ascii="Times New Roman" w:hAnsi="Times New Roman" w:cs="Times New Roman"/>
          <w:sz w:val="24"/>
          <w:szCs w:val="24"/>
        </w:rPr>
        <w:t xml:space="preserve"> </w:t>
      </w:r>
      <w:r w:rsidR="009625ED" w:rsidRPr="00D61E3F">
        <w:rPr>
          <w:rFonts w:ascii="Times New Roman" w:hAnsi="Times New Roman" w:cs="Times New Roman"/>
          <w:sz w:val="24"/>
          <w:szCs w:val="24"/>
        </w:rPr>
        <w:t xml:space="preserve">environment plan levy on the submission of an environment plan, or a proposed revision of an environment plan, to NOPSEMA under the Environment Regulations in relation to an activity </w:t>
      </w:r>
      <w:r w:rsidRPr="00D61E3F">
        <w:rPr>
          <w:rFonts w:ascii="Times New Roman" w:hAnsi="Times New Roman" w:cs="Times New Roman"/>
          <w:sz w:val="24"/>
          <w:szCs w:val="24"/>
        </w:rPr>
        <w:t xml:space="preserve">or activities </w:t>
      </w:r>
      <w:r w:rsidR="009625ED" w:rsidRPr="00D61E3F">
        <w:rPr>
          <w:rFonts w:ascii="Times New Roman" w:hAnsi="Times New Roman" w:cs="Times New Roman"/>
          <w:sz w:val="24"/>
          <w:szCs w:val="24"/>
        </w:rPr>
        <w:t>carried out for the purpose of comply</w:t>
      </w:r>
      <w:r w:rsidR="00060291" w:rsidRPr="00D61E3F">
        <w:rPr>
          <w:rFonts w:ascii="Times New Roman" w:hAnsi="Times New Roman" w:cs="Times New Roman"/>
          <w:sz w:val="24"/>
          <w:szCs w:val="24"/>
        </w:rPr>
        <w:t>ing</w:t>
      </w:r>
      <w:r w:rsidR="009625ED" w:rsidRPr="00D61E3F">
        <w:rPr>
          <w:rFonts w:ascii="Times New Roman" w:hAnsi="Times New Roman" w:cs="Times New Roman"/>
          <w:sz w:val="24"/>
          <w:szCs w:val="24"/>
        </w:rPr>
        <w:t xml:space="preserve"> with </w:t>
      </w:r>
      <w:r w:rsidR="00874003" w:rsidRPr="00D61E3F">
        <w:rPr>
          <w:rFonts w:ascii="Times New Roman" w:hAnsi="Times New Roman" w:cs="Times New Roman"/>
          <w:sz w:val="24"/>
          <w:szCs w:val="24"/>
        </w:rPr>
        <w:t xml:space="preserve">a remedial </w:t>
      </w:r>
      <w:r w:rsidR="009625ED" w:rsidRPr="00D61E3F">
        <w:rPr>
          <w:rFonts w:ascii="Times New Roman" w:hAnsi="Times New Roman" w:cs="Times New Roman"/>
          <w:sz w:val="24"/>
          <w:szCs w:val="24"/>
        </w:rPr>
        <w:t>direction</w:t>
      </w:r>
      <w:r w:rsidRPr="00D61E3F">
        <w:rPr>
          <w:rFonts w:ascii="Times New Roman" w:hAnsi="Times New Roman" w:cs="Times New Roman"/>
          <w:sz w:val="24"/>
          <w:szCs w:val="24"/>
        </w:rPr>
        <w:t xml:space="preserve">. The levy is payable by the person who is subject to the remedial direction. New subregulations 64A(3) and (5) provide for the application </w:t>
      </w:r>
      <w:r w:rsidR="00A7303D" w:rsidRPr="00D61E3F">
        <w:rPr>
          <w:rFonts w:ascii="Times New Roman" w:hAnsi="Times New Roman" w:cs="Times New Roman"/>
          <w:sz w:val="24"/>
          <w:szCs w:val="24"/>
        </w:rPr>
        <w:t xml:space="preserve">of </w:t>
      </w:r>
      <w:r w:rsidR="00724166" w:rsidRPr="00D61E3F">
        <w:rPr>
          <w:rFonts w:ascii="Times New Roman" w:hAnsi="Times New Roman" w:cs="Times New Roman"/>
          <w:sz w:val="24"/>
          <w:szCs w:val="24"/>
        </w:rPr>
        <w:t>Part 11B</w:t>
      </w:r>
      <w:r w:rsidR="00A7303D" w:rsidRPr="00D61E3F">
        <w:rPr>
          <w:rFonts w:ascii="Times New Roman" w:hAnsi="Times New Roman" w:cs="Times New Roman"/>
          <w:sz w:val="24"/>
          <w:szCs w:val="24"/>
        </w:rPr>
        <w:t xml:space="preserve"> of the Levies Regulations</w:t>
      </w:r>
      <w:r w:rsidR="00724166" w:rsidRPr="00D61E3F">
        <w:rPr>
          <w:rFonts w:ascii="Times New Roman" w:hAnsi="Times New Roman" w:cs="Times New Roman"/>
          <w:sz w:val="24"/>
          <w:szCs w:val="24"/>
        </w:rPr>
        <w:t>, excluding regulation 59B,</w:t>
      </w:r>
      <w:r w:rsidR="00A7303D" w:rsidRPr="00D61E3F">
        <w:rPr>
          <w:rFonts w:ascii="Times New Roman" w:hAnsi="Times New Roman" w:cs="Times New Roman"/>
          <w:sz w:val="24"/>
          <w:szCs w:val="24"/>
        </w:rPr>
        <w:t xml:space="preserve"> in relation to the person</w:t>
      </w:r>
      <w:r w:rsidR="00724166" w:rsidRPr="00D61E3F">
        <w:rPr>
          <w:rFonts w:ascii="Times New Roman" w:hAnsi="Times New Roman" w:cs="Times New Roman"/>
          <w:sz w:val="24"/>
          <w:szCs w:val="24"/>
        </w:rPr>
        <w:t xml:space="preserve">. </w:t>
      </w:r>
    </w:p>
    <w:p w14:paraId="51FDBD3E" w14:textId="0143E25B" w:rsidR="00A7303D" w:rsidRPr="00A7303D" w:rsidRDefault="00A7303D" w:rsidP="0045691E">
      <w:pPr>
        <w:pStyle w:val="ListParagraph"/>
        <w:numPr>
          <w:ilvl w:val="0"/>
          <w:numId w:val="10"/>
        </w:numPr>
        <w:spacing w:before="240" w:after="240"/>
        <w:contextualSpacing w:val="0"/>
        <w:rPr>
          <w:rFonts w:ascii="Times New Roman" w:hAnsi="Times New Roman" w:cs="Times New Roman"/>
          <w:sz w:val="24"/>
          <w:szCs w:val="24"/>
        </w:rPr>
      </w:pPr>
      <w:r>
        <w:rPr>
          <w:rFonts w:ascii="Times New Roman" w:hAnsi="Times New Roman" w:cs="Times New Roman"/>
          <w:sz w:val="24"/>
          <w:szCs w:val="24"/>
        </w:rPr>
        <w:t>Part 11B</w:t>
      </w:r>
      <w:r w:rsidRPr="00A7303D">
        <w:rPr>
          <w:rFonts w:ascii="Times New Roman" w:hAnsi="Times New Roman" w:cs="Times New Roman"/>
          <w:sz w:val="24"/>
          <w:szCs w:val="24"/>
        </w:rPr>
        <w:t xml:space="preserve"> sets out the manner for working out the amount of environment plan levy on the submission of the plan or revised plan</w:t>
      </w:r>
      <w:r>
        <w:rPr>
          <w:rFonts w:ascii="Times New Roman" w:hAnsi="Times New Roman" w:cs="Times New Roman"/>
          <w:sz w:val="24"/>
          <w:szCs w:val="24"/>
        </w:rPr>
        <w:t xml:space="preserve"> (</w:t>
      </w:r>
      <w:r w:rsidR="00B87E6E">
        <w:rPr>
          <w:rFonts w:ascii="Times New Roman" w:hAnsi="Times New Roman" w:cs="Times New Roman"/>
          <w:sz w:val="24"/>
          <w:szCs w:val="24"/>
        </w:rPr>
        <w:t xml:space="preserve">see </w:t>
      </w:r>
      <w:r>
        <w:rPr>
          <w:rFonts w:ascii="Times New Roman" w:hAnsi="Times New Roman" w:cs="Times New Roman"/>
          <w:sz w:val="24"/>
          <w:szCs w:val="24"/>
        </w:rPr>
        <w:t>regulation 59C) and</w:t>
      </w:r>
      <w:r w:rsidRPr="00A7303D">
        <w:rPr>
          <w:rFonts w:ascii="Times New Roman" w:hAnsi="Times New Roman" w:cs="Times New Roman"/>
          <w:sz w:val="24"/>
          <w:szCs w:val="24"/>
        </w:rPr>
        <w:t xml:space="preserve"> also sets out, amongst other matters, when the levy is due and payable.</w:t>
      </w:r>
    </w:p>
    <w:p w14:paraId="22EAAD7F" w14:textId="66C0D0F1" w:rsidR="0003582B" w:rsidRPr="0045691E" w:rsidRDefault="0003582B" w:rsidP="0045691E">
      <w:pPr>
        <w:pStyle w:val="ListParagraph"/>
        <w:numPr>
          <w:ilvl w:val="0"/>
          <w:numId w:val="10"/>
        </w:numPr>
        <w:spacing w:before="240" w:after="240"/>
        <w:contextualSpacing w:val="0"/>
        <w:rPr>
          <w:rFonts w:ascii="Times New Roman" w:hAnsi="Times New Roman" w:cs="Times New Roman"/>
          <w:sz w:val="24"/>
          <w:szCs w:val="24"/>
        </w:rPr>
      </w:pPr>
      <w:r w:rsidRPr="0045691E">
        <w:rPr>
          <w:rFonts w:ascii="Times New Roman" w:hAnsi="Times New Roman" w:cs="Times New Roman"/>
          <w:sz w:val="24"/>
          <w:szCs w:val="24"/>
        </w:rPr>
        <w:t xml:space="preserve">Regulation 59B is excluded as it not necessary to deem the specified references in the definitions to include references to other terms if a remedial direction is in force.    </w:t>
      </w:r>
    </w:p>
    <w:p w14:paraId="6BDC5BA9" w14:textId="05FF6D49" w:rsidR="000B6003" w:rsidRDefault="000B6003" w:rsidP="000263AB">
      <w:pPr>
        <w:spacing w:before="240" w:after="240"/>
        <w:rPr>
          <w:rFonts w:ascii="Times New Roman" w:hAnsi="Times New Roman" w:cs="Times New Roman"/>
          <w:sz w:val="24"/>
          <w:szCs w:val="24"/>
        </w:rPr>
      </w:pPr>
      <w:r>
        <w:rPr>
          <w:rFonts w:ascii="Times New Roman" w:hAnsi="Times New Roman" w:cs="Times New Roman"/>
          <w:sz w:val="24"/>
          <w:szCs w:val="24"/>
        </w:rPr>
        <w:t xml:space="preserve">Under </w:t>
      </w:r>
      <w:r w:rsidR="00681A91">
        <w:rPr>
          <w:rFonts w:ascii="Times New Roman" w:hAnsi="Times New Roman" w:cs="Times New Roman"/>
          <w:sz w:val="24"/>
          <w:szCs w:val="24"/>
        </w:rPr>
        <w:t xml:space="preserve">new </w:t>
      </w:r>
      <w:r>
        <w:rPr>
          <w:rFonts w:ascii="Times New Roman" w:hAnsi="Times New Roman" w:cs="Times New Roman"/>
          <w:sz w:val="24"/>
          <w:szCs w:val="24"/>
        </w:rPr>
        <w:t>subregulation 64A(</w:t>
      </w:r>
      <w:r w:rsidR="00E53373">
        <w:rPr>
          <w:rFonts w:ascii="Times New Roman" w:hAnsi="Times New Roman" w:cs="Times New Roman"/>
          <w:sz w:val="24"/>
          <w:szCs w:val="24"/>
        </w:rPr>
        <w:t>4</w:t>
      </w:r>
      <w:r>
        <w:rPr>
          <w:rFonts w:ascii="Times New Roman" w:hAnsi="Times New Roman" w:cs="Times New Roman"/>
          <w:sz w:val="24"/>
          <w:szCs w:val="24"/>
        </w:rPr>
        <w:t xml:space="preserve">), if a remedial direction is in force, </w:t>
      </w:r>
      <w:r w:rsidR="007A3C96">
        <w:rPr>
          <w:rFonts w:ascii="Times New Roman" w:hAnsi="Times New Roman" w:cs="Times New Roman"/>
          <w:sz w:val="24"/>
          <w:szCs w:val="24"/>
        </w:rPr>
        <w:t xml:space="preserve">the definition of </w:t>
      </w:r>
      <w:r w:rsidR="007A3C96" w:rsidRPr="0045691E">
        <w:rPr>
          <w:rFonts w:ascii="Times New Roman" w:hAnsi="Times New Roman" w:cs="Times New Roman"/>
          <w:b/>
          <w:i/>
          <w:sz w:val="24"/>
          <w:szCs w:val="24"/>
        </w:rPr>
        <w:t>SMS amount</w:t>
      </w:r>
      <w:r w:rsidR="007A3C96">
        <w:rPr>
          <w:rFonts w:ascii="Times New Roman" w:hAnsi="Times New Roman" w:cs="Times New Roman"/>
          <w:sz w:val="24"/>
          <w:szCs w:val="24"/>
        </w:rPr>
        <w:t xml:space="preserve"> in regulation 3, </w:t>
      </w:r>
      <w:r w:rsidR="00FF0FCA">
        <w:rPr>
          <w:rFonts w:ascii="Times New Roman" w:hAnsi="Times New Roman" w:cs="Times New Roman"/>
          <w:sz w:val="24"/>
          <w:szCs w:val="24"/>
        </w:rPr>
        <w:t>Divisions 2 and 3 of Part 4,</w:t>
      </w:r>
      <w:r w:rsidR="007A3C96">
        <w:rPr>
          <w:rFonts w:ascii="Times New Roman" w:hAnsi="Times New Roman" w:cs="Times New Roman"/>
          <w:sz w:val="24"/>
          <w:szCs w:val="24"/>
        </w:rPr>
        <w:t xml:space="preserve"> </w:t>
      </w:r>
      <w:r w:rsidR="00FF0FCA">
        <w:rPr>
          <w:rFonts w:ascii="Times New Roman" w:hAnsi="Times New Roman" w:cs="Times New Roman"/>
          <w:sz w:val="24"/>
          <w:szCs w:val="24"/>
        </w:rPr>
        <w:t xml:space="preserve">regulation </w:t>
      </w:r>
      <w:r w:rsidR="007A3C96">
        <w:rPr>
          <w:rFonts w:ascii="Times New Roman" w:hAnsi="Times New Roman" w:cs="Times New Roman"/>
          <w:sz w:val="24"/>
          <w:szCs w:val="24"/>
        </w:rPr>
        <w:t>62 and Part 2 of Schedule 3</w:t>
      </w:r>
      <w:r>
        <w:rPr>
          <w:rFonts w:ascii="Times New Roman" w:hAnsi="Times New Roman" w:cs="Times New Roman"/>
          <w:sz w:val="24"/>
          <w:szCs w:val="24"/>
        </w:rPr>
        <w:t xml:space="preserve"> </w:t>
      </w:r>
      <w:r w:rsidR="000A3EA4">
        <w:rPr>
          <w:rFonts w:ascii="Times New Roman" w:hAnsi="Times New Roman" w:cs="Times New Roman"/>
          <w:sz w:val="24"/>
          <w:szCs w:val="24"/>
        </w:rPr>
        <w:t xml:space="preserve">to </w:t>
      </w:r>
      <w:r>
        <w:rPr>
          <w:rFonts w:ascii="Times New Roman" w:hAnsi="Times New Roman" w:cs="Times New Roman"/>
          <w:sz w:val="24"/>
          <w:szCs w:val="24"/>
        </w:rPr>
        <w:t xml:space="preserve">the Levies Regulations apply as if a reference to a licensee or licensee of a pipeline licence included a reference to a person who </w:t>
      </w:r>
      <w:r w:rsidR="00874003">
        <w:rPr>
          <w:rFonts w:ascii="Times New Roman" w:hAnsi="Times New Roman" w:cs="Times New Roman"/>
          <w:sz w:val="24"/>
          <w:szCs w:val="24"/>
        </w:rPr>
        <w:t xml:space="preserve">is </w:t>
      </w:r>
      <w:r>
        <w:rPr>
          <w:rFonts w:ascii="Times New Roman" w:hAnsi="Times New Roman" w:cs="Times New Roman"/>
          <w:sz w:val="24"/>
          <w:szCs w:val="24"/>
        </w:rPr>
        <w:t>subject to a petroleum or greenhouse gas remedial direction</w:t>
      </w:r>
      <w:r w:rsidR="007A3C96">
        <w:rPr>
          <w:rFonts w:ascii="Times New Roman" w:hAnsi="Times New Roman" w:cs="Times New Roman"/>
          <w:sz w:val="24"/>
          <w:szCs w:val="24"/>
        </w:rPr>
        <w:t>.</w:t>
      </w:r>
      <w:r w:rsidR="00D14469">
        <w:rPr>
          <w:rFonts w:ascii="Times New Roman" w:hAnsi="Times New Roman" w:cs="Times New Roman"/>
          <w:sz w:val="24"/>
          <w:szCs w:val="24"/>
        </w:rPr>
        <w:t xml:space="preserve"> </w:t>
      </w:r>
    </w:p>
    <w:p w14:paraId="20158CBC" w14:textId="31499B80" w:rsidR="00724166" w:rsidRDefault="00570B2D" w:rsidP="000263AB">
      <w:pPr>
        <w:spacing w:before="240" w:after="240"/>
        <w:rPr>
          <w:rFonts w:ascii="Times New Roman" w:hAnsi="Times New Roman" w:cs="Times New Roman"/>
          <w:sz w:val="24"/>
          <w:szCs w:val="24"/>
        </w:rPr>
      </w:pPr>
      <w:r>
        <w:rPr>
          <w:rFonts w:ascii="Times New Roman" w:hAnsi="Times New Roman" w:cs="Times New Roman"/>
          <w:sz w:val="24"/>
          <w:szCs w:val="24"/>
        </w:rPr>
        <w:t>Section 7 of the Levies Act imposes safety case levy in respect of a year if a safety case is in force at the start of the year, or during part of the year but not at the start of the year, for a facility (including a pipeline) located, or proposed to be located, in Commonwealth waters.</w:t>
      </w:r>
      <w:r w:rsidR="00E86B40">
        <w:rPr>
          <w:rFonts w:ascii="Times New Roman" w:hAnsi="Times New Roman" w:cs="Times New Roman"/>
          <w:sz w:val="24"/>
          <w:szCs w:val="24"/>
        </w:rPr>
        <w:t xml:space="preserve"> </w:t>
      </w:r>
      <w:r w:rsidR="00E34B67" w:rsidRPr="000263AB">
        <w:rPr>
          <w:rFonts w:ascii="Times New Roman" w:hAnsi="Times New Roman" w:cs="Times New Roman"/>
          <w:sz w:val="24"/>
          <w:szCs w:val="24"/>
        </w:rPr>
        <w:t>The effect of new sub</w:t>
      </w:r>
      <w:r w:rsidR="005B13E6">
        <w:rPr>
          <w:rFonts w:ascii="Times New Roman" w:hAnsi="Times New Roman" w:cs="Times New Roman"/>
          <w:sz w:val="24"/>
          <w:szCs w:val="24"/>
        </w:rPr>
        <w:t>regulation</w:t>
      </w:r>
      <w:r w:rsidR="00E34B67" w:rsidRPr="000263AB">
        <w:rPr>
          <w:rFonts w:ascii="Times New Roman" w:hAnsi="Times New Roman" w:cs="Times New Roman"/>
          <w:sz w:val="24"/>
          <w:szCs w:val="24"/>
        </w:rPr>
        <w:t xml:space="preserve"> </w:t>
      </w:r>
      <w:r w:rsidR="00E86B40">
        <w:rPr>
          <w:rFonts w:ascii="Times New Roman" w:hAnsi="Times New Roman" w:cs="Times New Roman"/>
          <w:sz w:val="24"/>
          <w:szCs w:val="24"/>
        </w:rPr>
        <w:t xml:space="preserve">64A(4) </w:t>
      </w:r>
      <w:r w:rsidR="00E34B67" w:rsidRPr="000263AB">
        <w:rPr>
          <w:rFonts w:ascii="Times New Roman" w:hAnsi="Times New Roman" w:cs="Times New Roman"/>
          <w:sz w:val="24"/>
          <w:szCs w:val="24"/>
        </w:rPr>
        <w:t xml:space="preserve">is </w:t>
      </w:r>
      <w:r w:rsidR="00E86B40">
        <w:rPr>
          <w:rFonts w:ascii="Times New Roman" w:hAnsi="Times New Roman" w:cs="Times New Roman"/>
          <w:sz w:val="24"/>
          <w:szCs w:val="24"/>
        </w:rPr>
        <w:t>to provide for the manner in which</w:t>
      </w:r>
      <w:r w:rsidR="007874F6">
        <w:rPr>
          <w:rFonts w:ascii="Times New Roman" w:hAnsi="Times New Roman" w:cs="Times New Roman"/>
          <w:sz w:val="24"/>
          <w:szCs w:val="24"/>
        </w:rPr>
        <w:t xml:space="preserve"> </w:t>
      </w:r>
      <w:r w:rsidR="00B87E6E">
        <w:rPr>
          <w:rFonts w:ascii="Times New Roman" w:hAnsi="Times New Roman" w:cs="Times New Roman"/>
          <w:sz w:val="24"/>
          <w:szCs w:val="24"/>
        </w:rPr>
        <w:t>relevant provisions</w:t>
      </w:r>
      <w:r w:rsidR="00E86B40">
        <w:rPr>
          <w:rFonts w:ascii="Times New Roman" w:hAnsi="Times New Roman" w:cs="Times New Roman"/>
          <w:sz w:val="24"/>
          <w:szCs w:val="24"/>
        </w:rPr>
        <w:t xml:space="preserve"> of the Levies Regulations</w:t>
      </w:r>
      <w:r w:rsidR="00CB51FA" w:rsidRPr="000263AB">
        <w:rPr>
          <w:rFonts w:ascii="Times New Roman" w:hAnsi="Times New Roman" w:cs="Times New Roman"/>
          <w:sz w:val="24"/>
          <w:szCs w:val="24"/>
        </w:rPr>
        <w:t xml:space="preserve"> appl</w:t>
      </w:r>
      <w:r w:rsidR="00B87E6E">
        <w:rPr>
          <w:rFonts w:ascii="Times New Roman" w:hAnsi="Times New Roman" w:cs="Times New Roman"/>
          <w:sz w:val="24"/>
          <w:szCs w:val="24"/>
        </w:rPr>
        <w:t>y</w:t>
      </w:r>
      <w:r w:rsidR="00CB51FA" w:rsidRPr="000263AB">
        <w:rPr>
          <w:rFonts w:ascii="Times New Roman" w:hAnsi="Times New Roman" w:cs="Times New Roman"/>
          <w:sz w:val="24"/>
          <w:szCs w:val="24"/>
        </w:rPr>
        <w:t xml:space="preserve"> to </w:t>
      </w:r>
      <w:r w:rsidR="00E86B40">
        <w:rPr>
          <w:rFonts w:ascii="Times New Roman" w:hAnsi="Times New Roman" w:cs="Times New Roman"/>
          <w:sz w:val="24"/>
          <w:szCs w:val="24"/>
        </w:rPr>
        <w:t>a</w:t>
      </w:r>
      <w:r w:rsidR="00CB51FA" w:rsidRPr="000263AB">
        <w:rPr>
          <w:rFonts w:ascii="Times New Roman" w:hAnsi="Times New Roman" w:cs="Times New Roman"/>
          <w:sz w:val="24"/>
          <w:szCs w:val="24"/>
        </w:rPr>
        <w:t xml:space="preserve"> </w:t>
      </w:r>
      <w:r w:rsidR="00326E4A">
        <w:rPr>
          <w:rFonts w:ascii="Times New Roman" w:hAnsi="Times New Roman" w:cs="Times New Roman"/>
          <w:sz w:val="24"/>
          <w:szCs w:val="24"/>
        </w:rPr>
        <w:t xml:space="preserve">person who is subject to </w:t>
      </w:r>
      <w:r w:rsidR="00E86B40">
        <w:rPr>
          <w:rFonts w:ascii="Times New Roman" w:hAnsi="Times New Roman" w:cs="Times New Roman"/>
          <w:sz w:val="24"/>
          <w:szCs w:val="24"/>
        </w:rPr>
        <w:t>a remedial</w:t>
      </w:r>
      <w:r w:rsidR="00326E4A">
        <w:rPr>
          <w:rFonts w:ascii="Times New Roman" w:hAnsi="Times New Roman" w:cs="Times New Roman"/>
          <w:sz w:val="24"/>
          <w:szCs w:val="24"/>
        </w:rPr>
        <w:t xml:space="preserve"> direction in respect of the levy</w:t>
      </w:r>
      <w:r w:rsidR="00E86B40">
        <w:rPr>
          <w:rFonts w:ascii="Times New Roman" w:hAnsi="Times New Roman" w:cs="Times New Roman"/>
          <w:sz w:val="24"/>
          <w:szCs w:val="24"/>
        </w:rPr>
        <w:t>, if a</w:t>
      </w:r>
      <w:r w:rsidR="00E86B40" w:rsidRPr="0012431B">
        <w:rPr>
          <w:rFonts w:ascii="Times New Roman" w:hAnsi="Times New Roman" w:cs="Times New Roman"/>
          <w:sz w:val="24"/>
          <w:szCs w:val="24"/>
        </w:rPr>
        <w:t xml:space="preserve"> remedial direction</w:t>
      </w:r>
      <w:r w:rsidR="00E86B40" w:rsidRPr="000263AB">
        <w:rPr>
          <w:rFonts w:ascii="Times New Roman" w:hAnsi="Times New Roman" w:cs="Times New Roman"/>
          <w:sz w:val="24"/>
          <w:szCs w:val="24"/>
        </w:rPr>
        <w:t xml:space="preserve"> </w:t>
      </w:r>
      <w:r w:rsidR="00E86B40">
        <w:rPr>
          <w:rFonts w:ascii="Times New Roman" w:hAnsi="Times New Roman" w:cs="Times New Roman"/>
          <w:sz w:val="24"/>
          <w:szCs w:val="24"/>
        </w:rPr>
        <w:t xml:space="preserve">is in force in relation to a facility that is a pipeline in Commonwealth waters and </w:t>
      </w:r>
      <w:r w:rsidR="00E86B40" w:rsidRPr="000263AB">
        <w:rPr>
          <w:rFonts w:ascii="Times New Roman" w:hAnsi="Times New Roman" w:cs="Times New Roman"/>
          <w:sz w:val="24"/>
          <w:szCs w:val="24"/>
        </w:rPr>
        <w:t xml:space="preserve">safety case levy is imposed on a safety case for </w:t>
      </w:r>
      <w:r w:rsidR="00E86B40">
        <w:rPr>
          <w:rFonts w:ascii="Times New Roman" w:hAnsi="Times New Roman" w:cs="Times New Roman"/>
          <w:sz w:val="24"/>
          <w:szCs w:val="24"/>
        </w:rPr>
        <w:t>the facility</w:t>
      </w:r>
      <w:r w:rsidR="00CB51FA" w:rsidRPr="000263AB">
        <w:rPr>
          <w:rFonts w:ascii="Times New Roman" w:hAnsi="Times New Roman" w:cs="Times New Roman"/>
          <w:sz w:val="24"/>
          <w:szCs w:val="24"/>
        </w:rPr>
        <w:t xml:space="preserve">. </w:t>
      </w:r>
      <w:r w:rsidR="00B87E6E">
        <w:rPr>
          <w:rFonts w:ascii="Times New Roman" w:hAnsi="Times New Roman" w:cs="Times New Roman"/>
          <w:sz w:val="24"/>
          <w:szCs w:val="24"/>
        </w:rPr>
        <w:t xml:space="preserve">This includes </w:t>
      </w:r>
      <w:r w:rsidR="00E12BD7">
        <w:rPr>
          <w:rFonts w:ascii="Times New Roman" w:hAnsi="Times New Roman" w:cs="Times New Roman"/>
          <w:sz w:val="24"/>
          <w:szCs w:val="24"/>
        </w:rPr>
        <w:t>Part 4</w:t>
      </w:r>
      <w:r w:rsidR="00CB51FA" w:rsidRPr="000263AB">
        <w:rPr>
          <w:rFonts w:ascii="Times New Roman" w:hAnsi="Times New Roman" w:cs="Times New Roman"/>
          <w:sz w:val="24"/>
          <w:szCs w:val="24"/>
        </w:rPr>
        <w:t xml:space="preserve"> </w:t>
      </w:r>
      <w:r w:rsidR="00B87E6E">
        <w:rPr>
          <w:rFonts w:ascii="Times New Roman" w:hAnsi="Times New Roman" w:cs="Times New Roman"/>
          <w:sz w:val="24"/>
          <w:szCs w:val="24"/>
        </w:rPr>
        <w:t xml:space="preserve">of the Levies Regulations, which </w:t>
      </w:r>
      <w:r w:rsidR="00F46C07">
        <w:rPr>
          <w:rFonts w:ascii="Times New Roman" w:hAnsi="Times New Roman" w:cs="Times New Roman"/>
          <w:sz w:val="24"/>
          <w:szCs w:val="24"/>
        </w:rPr>
        <w:t>set</w:t>
      </w:r>
      <w:r w:rsidR="00E12BD7">
        <w:rPr>
          <w:rFonts w:ascii="Times New Roman" w:hAnsi="Times New Roman" w:cs="Times New Roman"/>
          <w:sz w:val="24"/>
          <w:szCs w:val="24"/>
        </w:rPr>
        <w:t>s</w:t>
      </w:r>
      <w:r w:rsidR="00F46C07">
        <w:rPr>
          <w:rFonts w:ascii="Times New Roman" w:hAnsi="Times New Roman" w:cs="Times New Roman"/>
          <w:sz w:val="24"/>
          <w:szCs w:val="24"/>
        </w:rPr>
        <w:t xml:space="preserve"> out</w:t>
      </w:r>
      <w:r w:rsidR="00326E4A">
        <w:rPr>
          <w:rFonts w:ascii="Times New Roman" w:hAnsi="Times New Roman" w:cs="Times New Roman"/>
          <w:sz w:val="24"/>
          <w:szCs w:val="24"/>
        </w:rPr>
        <w:t xml:space="preserve">, amongst other </w:t>
      </w:r>
      <w:r w:rsidR="00A42BBA">
        <w:rPr>
          <w:rFonts w:ascii="Times New Roman" w:hAnsi="Times New Roman" w:cs="Times New Roman"/>
          <w:sz w:val="24"/>
          <w:szCs w:val="24"/>
        </w:rPr>
        <w:t>things</w:t>
      </w:r>
      <w:r w:rsidR="00326E4A">
        <w:rPr>
          <w:rFonts w:ascii="Times New Roman" w:hAnsi="Times New Roman" w:cs="Times New Roman"/>
          <w:sz w:val="24"/>
          <w:szCs w:val="24"/>
        </w:rPr>
        <w:t>,</w:t>
      </w:r>
      <w:r w:rsidR="00CB51FA" w:rsidRPr="000263AB">
        <w:rPr>
          <w:rFonts w:ascii="Times New Roman" w:hAnsi="Times New Roman" w:cs="Times New Roman"/>
          <w:sz w:val="24"/>
          <w:szCs w:val="24"/>
        </w:rPr>
        <w:t xml:space="preserve"> the manner for working out</w:t>
      </w:r>
      <w:r w:rsidR="00D14469" w:rsidRPr="000263AB">
        <w:rPr>
          <w:rFonts w:ascii="Times New Roman" w:hAnsi="Times New Roman" w:cs="Times New Roman"/>
          <w:sz w:val="24"/>
          <w:szCs w:val="24"/>
        </w:rPr>
        <w:t xml:space="preserve"> the amount of</w:t>
      </w:r>
      <w:r w:rsidR="00CB51FA" w:rsidRPr="000263AB">
        <w:rPr>
          <w:rFonts w:ascii="Times New Roman" w:hAnsi="Times New Roman" w:cs="Times New Roman"/>
          <w:sz w:val="24"/>
          <w:szCs w:val="24"/>
        </w:rPr>
        <w:t xml:space="preserve"> </w:t>
      </w:r>
      <w:r w:rsidR="00D14469" w:rsidRPr="000263AB">
        <w:rPr>
          <w:rFonts w:ascii="Times New Roman" w:hAnsi="Times New Roman" w:cs="Times New Roman"/>
          <w:sz w:val="24"/>
          <w:szCs w:val="24"/>
        </w:rPr>
        <w:t>safety case levy that is imposed</w:t>
      </w:r>
      <w:r w:rsidR="00326E4A">
        <w:rPr>
          <w:rFonts w:ascii="Times New Roman" w:hAnsi="Times New Roman" w:cs="Times New Roman"/>
          <w:sz w:val="24"/>
          <w:szCs w:val="24"/>
        </w:rPr>
        <w:t>, and when the</w:t>
      </w:r>
      <w:r w:rsidR="00326E4A" w:rsidRPr="001C2D0B">
        <w:rPr>
          <w:rFonts w:ascii="Times New Roman" w:hAnsi="Times New Roman" w:cs="Times New Roman"/>
          <w:sz w:val="24"/>
          <w:szCs w:val="24"/>
        </w:rPr>
        <w:t xml:space="preserve"> levy</w:t>
      </w:r>
      <w:r w:rsidR="00326E4A">
        <w:rPr>
          <w:rFonts w:ascii="Times New Roman" w:hAnsi="Times New Roman" w:cs="Times New Roman"/>
          <w:sz w:val="24"/>
          <w:szCs w:val="24"/>
        </w:rPr>
        <w:t xml:space="preserve"> is due and payable</w:t>
      </w:r>
      <w:r w:rsidR="008E4ED3" w:rsidRPr="000263AB">
        <w:rPr>
          <w:rFonts w:ascii="Times New Roman" w:hAnsi="Times New Roman" w:cs="Times New Roman"/>
          <w:sz w:val="24"/>
          <w:szCs w:val="24"/>
        </w:rPr>
        <w:t xml:space="preserve">. </w:t>
      </w:r>
      <w:r w:rsidR="00C479A2">
        <w:rPr>
          <w:rFonts w:ascii="Times New Roman" w:hAnsi="Times New Roman" w:cs="Times New Roman"/>
          <w:sz w:val="24"/>
          <w:szCs w:val="24"/>
        </w:rPr>
        <w:t>In addition, t</w:t>
      </w:r>
      <w:r w:rsidR="0067400D">
        <w:rPr>
          <w:rFonts w:ascii="Times New Roman" w:hAnsi="Times New Roman" w:cs="Times New Roman"/>
          <w:sz w:val="24"/>
          <w:szCs w:val="24"/>
        </w:rPr>
        <w:t xml:space="preserve">he definition of </w:t>
      </w:r>
      <w:r w:rsidR="0067400D">
        <w:rPr>
          <w:rFonts w:ascii="Times New Roman" w:hAnsi="Times New Roman" w:cs="Times New Roman"/>
          <w:b/>
          <w:i/>
          <w:sz w:val="24"/>
          <w:szCs w:val="24"/>
        </w:rPr>
        <w:t>SMS amount</w:t>
      </w:r>
      <w:r w:rsidR="0067400D">
        <w:rPr>
          <w:rFonts w:ascii="Times New Roman" w:hAnsi="Times New Roman" w:cs="Times New Roman"/>
          <w:sz w:val="24"/>
          <w:szCs w:val="24"/>
        </w:rPr>
        <w:t xml:space="preserve"> in regulation 3 is relevant to determining </w:t>
      </w:r>
      <w:r w:rsidR="00092D94">
        <w:rPr>
          <w:rFonts w:ascii="Times New Roman" w:hAnsi="Times New Roman" w:cs="Times New Roman"/>
          <w:sz w:val="24"/>
          <w:szCs w:val="24"/>
        </w:rPr>
        <w:t xml:space="preserve">the amount of safety case levy imposed on a safety case for a facility that is a pipeline </w:t>
      </w:r>
      <w:r w:rsidR="0067400D">
        <w:rPr>
          <w:rFonts w:ascii="Times New Roman" w:hAnsi="Times New Roman" w:cs="Times New Roman"/>
          <w:sz w:val="24"/>
          <w:szCs w:val="24"/>
        </w:rPr>
        <w:t>(see subregulation 21(1A)).</w:t>
      </w:r>
      <w:r w:rsidR="00B87E6E">
        <w:rPr>
          <w:rFonts w:ascii="Times New Roman" w:hAnsi="Times New Roman" w:cs="Times New Roman"/>
          <w:sz w:val="24"/>
          <w:szCs w:val="24"/>
        </w:rPr>
        <w:t xml:space="preserve"> Part 2 of Schedule 3 provides for the SMS amount.</w:t>
      </w:r>
    </w:p>
    <w:p w14:paraId="308F2062" w14:textId="5D12F76C" w:rsidR="00745EF1" w:rsidRDefault="00745EF1" w:rsidP="000263AB">
      <w:pPr>
        <w:spacing w:before="240" w:after="240"/>
        <w:rPr>
          <w:rFonts w:ascii="Times New Roman" w:hAnsi="Times New Roman" w:cs="Times New Roman"/>
          <w:sz w:val="24"/>
          <w:szCs w:val="24"/>
        </w:rPr>
      </w:pPr>
      <w:r>
        <w:rPr>
          <w:rFonts w:ascii="Times New Roman" w:hAnsi="Times New Roman" w:cs="Times New Roman"/>
          <w:sz w:val="24"/>
          <w:szCs w:val="24"/>
        </w:rPr>
        <w:t>Subregulation</w:t>
      </w:r>
      <w:r w:rsidR="00CB1090">
        <w:rPr>
          <w:rFonts w:ascii="Times New Roman" w:hAnsi="Times New Roman" w:cs="Times New Roman"/>
          <w:sz w:val="24"/>
          <w:szCs w:val="24"/>
        </w:rPr>
        <w:t>s</w:t>
      </w:r>
      <w:r>
        <w:rPr>
          <w:rFonts w:ascii="Times New Roman" w:hAnsi="Times New Roman" w:cs="Times New Roman"/>
          <w:sz w:val="24"/>
          <w:szCs w:val="24"/>
        </w:rPr>
        <w:t xml:space="preserve"> 64A(3) and (4) also </w:t>
      </w:r>
      <w:r w:rsidRPr="0003582B">
        <w:rPr>
          <w:rFonts w:ascii="Times New Roman" w:hAnsi="Times New Roman" w:cs="Times New Roman"/>
          <w:sz w:val="24"/>
          <w:szCs w:val="24"/>
        </w:rPr>
        <w:t xml:space="preserve">provide for the manner in which regulation 62 applies to a levy payer that is a person </w:t>
      </w:r>
      <w:r w:rsidR="00C761DF">
        <w:rPr>
          <w:rFonts w:ascii="Times New Roman" w:hAnsi="Times New Roman" w:cs="Times New Roman"/>
          <w:sz w:val="24"/>
          <w:szCs w:val="24"/>
        </w:rPr>
        <w:t xml:space="preserve">who is </w:t>
      </w:r>
      <w:r w:rsidRPr="0003582B">
        <w:rPr>
          <w:rFonts w:ascii="Times New Roman" w:hAnsi="Times New Roman" w:cs="Times New Roman"/>
          <w:sz w:val="24"/>
          <w:szCs w:val="24"/>
        </w:rPr>
        <w:t>subject to a remedial direction.</w:t>
      </w:r>
      <w:r w:rsidR="00357419">
        <w:rPr>
          <w:rFonts w:ascii="Times New Roman" w:hAnsi="Times New Roman" w:cs="Times New Roman"/>
          <w:sz w:val="24"/>
          <w:szCs w:val="24"/>
        </w:rPr>
        <w:t xml:space="preserve"> Regulation 62 requires the Chief Executive Officer of NOPSEMA to prepare a financial report in respect of each financial year that assesses the cost effectiveness of the operations of NOPSEMA in that financial year, and to give a copy of the report to levy payers. Subregulations 64A(3) and (4) </w:t>
      </w:r>
      <w:r w:rsidR="00357419">
        <w:rPr>
          <w:rFonts w:ascii="Times New Roman" w:hAnsi="Times New Roman" w:cs="Times New Roman"/>
          <w:sz w:val="24"/>
          <w:szCs w:val="24"/>
        </w:rPr>
        <w:lastRenderedPageBreak/>
        <w:t xml:space="preserve">ensure that a report must also be given to a person </w:t>
      </w:r>
      <w:r w:rsidR="00C761DF">
        <w:rPr>
          <w:rFonts w:ascii="Times New Roman" w:hAnsi="Times New Roman" w:cs="Times New Roman"/>
          <w:sz w:val="24"/>
          <w:szCs w:val="24"/>
        </w:rPr>
        <w:t xml:space="preserve">who is </w:t>
      </w:r>
      <w:r w:rsidR="00357419">
        <w:rPr>
          <w:rFonts w:ascii="Times New Roman" w:hAnsi="Times New Roman" w:cs="Times New Roman"/>
          <w:sz w:val="24"/>
          <w:szCs w:val="24"/>
        </w:rPr>
        <w:t xml:space="preserve">subject to a remedial direction who has been required to pay levy in the financial year. </w:t>
      </w:r>
    </w:p>
    <w:p w14:paraId="2559CD33" w14:textId="6D1A59E3" w:rsidR="00B87E6E" w:rsidRPr="000263AB" w:rsidRDefault="00C479A2" w:rsidP="000263AB">
      <w:pPr>
        <w:spacing w:before="240" w:after="240"/>
        <w:rPr>
          <w:rFonts w:ascii="Times New Roman" w:hAnsi="Times New Roman" w:cs="Times New Roman"/>
          <w:sz w:val="24"/>
          <w:szCs w:val="24"/>
        </w:rPr>
      </w:pPr>
      <w:r>
        <w:rPr>
          <w:rFonts w:ascii="Times New Roman" w:hAnsi="Times New Roman" w:cs="Times New Roman"/>
          <w:sz w:val="24"/>
          <w:szCs w:val="24"/>
        </w:rPr>
        <w:t xml:space="preserve">If a person is a current titleholder subject to a remedial direction under section 586, 586A, 591B or 592, the </w:t>
      </w:r>
      <w:r w:rsidR="004F279A">
        <w:rPr>
          <w:rFonts w:ascii="Times New Roman" w:hAnsi="Times New Roman" w:cs="Times New Roman"/>
          <w:sz w:val="24"/>
          <w:szCs w:val="24"/>
        </w:rPr>
        <w:t>Levies R</w:t>
      </w:r>
      <w:r>
        <w:rPr>
          <w:rFonts w:ascii="Times New Roman" w:hAnsi="Times New Roman" w:cs="Times New Roman"/>
          <w:sz w:val="24"/>
          <w:szCs w:val="24"/>
        </w:rPr>
        <w:t xml:space="preserve">egulations continue to apply to that person as a titleholder. The amendments ensure extended application of relevant provisions of the </w:t>
      </w:r>
      <w:r w:rsidR="004F279A">
        <w:rPr>
          <w:rFonts w:ascii="Times New Roman" w:hAnsi="Times New Roman" w:cs="Times New Roman"/>
          <w:sz w:val="24"/>
          <w:szCs w:val="24"/>
        </w:rPr>
        <w:t>Levies R</w:t>
      </w:r>
      <w:r>
        <w:rPr>
          <w:rFonts w:ascii="Times New Roman" w:hAnsi="Times New Roman" w:cs="Times New Roman"/>
          <w:sz w:val="24"/>
          <w:szCs w:val="24"/>
        </w:rPr>
        <w:t xml:space="preserve">egulations if a remedial direction is given to a person other than the current titleholder. </w:t>
      </w:r>
    </w:p>
    <w:p w14:paraId="2332AA6A" w14:textId="5DDA705D" w:rsidR="00060291" w:rsidRPr="000263AB" w:rsidRDefault="00724166" w:rsidP="000263AB">
      <w:pPr>
        <w:keepNext/>
        <w:spacing w:before="240" w:after="240"/>
        <w:rPr>
          <w:rFonts w:ascii="Times New Roman" w:hAnsi="Times New Roman" w:cs="Times New Roman"/>
          <w:b/>
          <w:i/>
          <w:sz w:val="24"/>
          <w:szCs w:val="24"/>
        </w:rPr>
      </w:pPr>
      <w:r w:rsidRPr="000263AB">
        <w:rPr>
          <w:rFonts w:ascii="Times New Roman" w:hAnsi="Times New Roman" w:cs="Times New Roman"/>
          <w:b/>
          <w:i/>
          <w:sz w:val="24"/>
          <w:szCs w:val="24"/>
        </w:rPr>
        <w:t>New regulation 64B – a</w:t>
      </w:r>
      <w:r w:rsidR="00060291" w:rsidRPr="000263AB">
        <w:rPr>
          <w:rFonts w:ascii="Times New Roman" w:hAnsi="Times New Roman" w:cs="Times New Roman"/>
          <w:b/>
          <w:i/>
          <w:sz w:val="24"/>
          <w:szCs w:val="24"/>
        </w:rPr>
        <w:t>pplication of the Levies Regulations if a State/Territory remedial direction is in force</w:t>
      </w:r>
    </w:p>
    <w:p w14:paraId="13587E68" w14:textId="33102ADD" w:rsidR="007A3C96" w:rsidRDefault="007A3C96" w:rsidP="007A3C96">
      <w:pPr>
        <w:spacing w:before="240" w:after="240"/>
        <w:rPr>
          <w:rFonts w:ascii="Times New Roman" w:hAnsi="Times New Roman" w:cs="Times New Roman"/>
          <w:sz w:val="24"/>
          <w:szCs w:val="24"/>
        </w:rPr>
      </w:pPr>
      <w:r>
        <w:rPr>
          <w:rFonts w:ascii="Times New Roman" w:hAnsi="Times New Roman" w:cs="Times New Roman"/>
          <w:sz w:val="24"/>
          <w:szCs w:val="24"/>
        </w:rPr>
        <w:t>N</w:t>
      </w:r>
      <w:r w:rsidRPr="00FF119D">
        <w:rPr>
          <w:rFonts w:ascii="Times New Roman" w:hAnsi="Times New Roman" w:cs="Times New Roman"/>
          <w:sz w:val="24"/>
          <w:szCs w:val="24"/>
        </w:rPr>
        <w:t xml:space="preserve">ew </w:t>
      </w:r>
      <w:r>
        <w:rPr>
          <w:rFonts w:ascii="Times New Roman" w:hAnsi="Times New Roman" w:cs="Times New Roman"/>
          <w:sz w:val="24"/>
          <w:szCs w:val="24"/>
        </w:rPr>
        <w:t>sub</w:t>
      </w:r>
      <w:r w:rsidRPr="00FF119D">
        <w:rPr>
          <w:rFonts w:ascii="Times New Roman" w:hAnsi="Times New Roman" w:cs="Times New Roman"/>
          <w:sz w:val="24"/>
          <w:szCs w:val="24"/>
        </w:rPr>
        <w:t>regulation 64</w:t>
      </w:r>
      <w:r>
        <w:rPr>
          <w:rFonts w:ascii="Times New Roman" w:hAnsi="Times New Roman" w:cs="Times New Roman"/>
          <w:sz w:val="24"/>
          <w:szCs w:val="24"/>
        </w:rPr>
        <w:t>B</w:t>
      </w:r>
      <w:r w:rsidRPr="00FF119D">
        <w:rPr>
          <w:rFonts w:ascii="Times New Roman" w:hAnsi="Times New Roman" w:cs="Times New Roman"/>
          <w:sz w:val="24"/>
          <w:szCs w:val="24"/>
        </w:rPr>
        <w:t>(1)</w:t>
      </w:r>
      <w:r>
        <w:rPr>
          <w:rFonts w:ascii="Times New Roman" w:hAnsi="Times New Roman" w:cs="Times New Roman"/>
          <w:sz w:val="24"/>
          <w:szCs w:val="24"/>
        </w:rPr>
        <w:t xml:space="preserve"> </w:t>
      </w:r>
      <w:r w:rsidRPr="00FF119D">
        <w:rPr>
          <w:rFonts w:ascii="Times New Roman" w:hAnsi="Times New Roman" w:cs="Times New Roman"/>
          <w:sz w:val="24"/>
          <w:szCs w:val="24"/>
        </w:rPr>
        <w:t>provides that</w:t>
      </w:r>
      <w:r>
        <w:rPr>
          <w:rFonts w:ascii="Times New Roman" w:hAnsi="Times New Roman" w:cs="Times New Roman"/>
          <w:sz w:val="24"/>
          <w:szCs w:val="24"/>
        </w:rPr>
        <w:t xml:space="preserve"> regulation </w:t>
      </w:r>
      <w:r w:rsidR="0012318B">
        <w:rPr>
          <w:rFonts w:ascii="Times New Roman" w:hAnsi="Times New Roman" w:cs="Times New Roman"/>
          <w:sz w:val="24"/>
          <w:szCs w:val="24"/>
        </w:rPr>
        <w:t xml:space="preserve">64B </w:t>
      </w:r>
      <w:r>
        <w:rPr>
          <w:rFonts w:ascii="Times New Roman" w:hAnsi="Times New Roman" w:cs="Times New Roman"/>
          <w:sz w:val="24"/>
          <w:szCs w:val="24"/>
        </w:rPr>
        <w:t xml:space="preserve">applies if a </w:t>
      </w:r>
      <w:r w:rsidRPr="002718B4">
        <w:rPr>
          <w:rFonts w:ascii="Times New Roman" w:hAnsi="Times New Roman" w:cs="Times New Roman"/>
          <w:sz w:val="24"/>
          <w:szCs w:val="24"/>
        </w:rPr>
        <w:t xml:space="preserve">direction </w:t>
      </w:r>
      <w:r>
        <w:rPr>
          <w:rFonts w:ascii="Times New Roman" w:hAnsi="Times New Roman" w:cs="Times New Roman"/>
          <w:sz w:val="24"/>
          <w:szCs w:val="24"/>
        </w:rPr>
        <w:t xml:space="preserve">is in force under a provision of a State PSLA or Territory PSLA that substantially corresponds to section 586, 586A, 587 or 587A of the OPGGS Act (referred to as a </w:t>
      </w:r>
      <w:r w:rsidRPr="000263AB">
        <w:rPr>
          <w:rFonts w:ascii="Times New Roman" w:hAnsi="Times New Roman" w:cs="Times New Roman"/>
          <w:b/>
          <w:i/>
          <w:sz w:val="24"/>
          <w:szCs w:val="24"/>
        </w:rPr>
        <w:t xml:space="preserve">State/Territory </w:t>
      </w:r>
      <w:r w:rsidRPr="00E6492B">
        <w:rPr>
          <w:rFonts w:ascii="Times New Roman" w:hAnsi="Times New Roman" w:cs="Times New Roman"/>
          <w:b/>
          <w:i/>
          <w:sz w:val="24"/>
          <w:szCs w:val="24"/>
        </w:rPr>
        <w:t>petroleum remedial direction</w:t>
      </w:r>
      <w:r>
        <w:rPr>
          <w:rFonts w:ascii="Times New Roman" w:hAnsi="Times New Roman" w:cs="Times New Roman"/>
          <w:sz w:val="24"/>
          <w:szCs w:val="24"/>
        </w:rPr>
        <w:t xml:space="preserve">) or section 591B, 592, 594A or 595 of the OPGGS Act (referred to as a </w:t>
      </w:r>
      <w:r w:rsidRPr="000263AB">
        <w:rPr>
          <w:rFonts w:ascii="Times New Roman" w:hAnsi="Times New Roman" w:cs="Times New Roman"/>
          <w:b/>
          <w:i/>
          <w:sz w:val="24"/>
          <w:szCs w:val="24"/>
        </w:rPr>
        <w:t>State/Territory</w:t>
      </w:r>
      <w:r>
        <w:rPr>
          <w:rFonts w:ascii="Times New Roman" w:hAnsi="Times New Roman" w:cs="Times New Roman"/>
          <w:sz w:val="24"/>
          <w:szCs w:val="24"/>
        </w:rPr>
        <w:t xml:space="preserve"> </w:t>
      </w:r>
      <w:r w:rsidRPr="00E6492B">
        <w:rPr>
          <w:rFonts w:ascii="Times New Roman" w:hAnsi="Times New Roman" w:cs="Times New Roman"/>
          <w:b/>
          <w:i/>
          <w:sz w:val="24"/>
          <w:szCs w:val="24"/>
        </w:rPr>
        <w:t>greenhouse gas remedial direction</w:t>
      </w:r>
      <w:r>
        <w:rPr>
          <w:rFonts w:ascii="Times New Roman" w:hAnsi="Times New Roman" w:cs="Times New Roman"/>
          <w:sz w:val="24"/>
          <w:szCs w:val="24"/>
        </w:rPr>
        <w:t xml:space="preserve">). </w:t>
      </w:r>
      <w:r w:rsidR="0012318B">
        <w:rPr>
          <w:rFonts w:ascii="Times New Roman" w:hAnsi="Times New Roman" w:cs="Times New Roman"/>
          <w:sz w:val="24"/>
          <w:szCs w:val="24"/>
        </w:rPr>
        <w:t xml:space="preserve">Part 6.9 of the OPGGS Act defines the </w:t>
      </w:r>
      <w:r w:rsidR="0012318B" w:rsidRPr="0045691E">
        <w:rPr>
          <w:rFonts w:ascii="Times New Roman" w:hAnsi="Times New Roman" w:cs="Times New Roman"/>
          <w:b/>
          <w:i/>
          <w:sz w:val="24"/>
          <w:szCs w:val="24"/>
        </w:rPr>
        <w:t xml:space="preserve">State </w:t>
      </w:r>
      <w:r w:rsidR="00724048">
        <w:rPr>
          <w:rFonts w:ascii="Times New Roman" w:hAnsi="Times New Roman" w:cs="Times New Roman"/>
          <w:b/>
          <w:i/>
          <w:sz w:val="24"/>
          <w:szCs w:val="24"/>
        </w:rPr>
        <w:t>PSLA</w:t>
      </w:r>
      <w:r w:rsidR="0012318B">
        <w:rPr>
          <w:rFonts w:ascii="Times New Roman" w:hAnsi="Times New Roman" w:cs="Times New Roman"/>
          <w:sz w:val="24"/>
          <w:szCs w:val="24"/>
        </w:rPr>
        <w:t xml:space="preserve"> of each State and the </w:t>
      </w:r>
      <w:r w:rsidR="0012318B" w:rsidRPr="0045691E">
        <w:rPr>
          <w:rFonts w:ascii="Times New Roman" w:hAnsi="Times New Roman" w:cs="Times New Roman"/>
          <w:b/>
          <w:i/>
          <w:sz w:val="24"/>
          <w:szCs w:val="24"/>
        </w:rPr>
        <w:t>Territory PSLA</w:t>
      </w:r>
      <w:r w:rsidR="0012318B">
        <w:rPr>
          <w:rFonts w:ascii="Times New Roman" w:hAnsi="Times New Roman" w:cs="Times New Roman"/>
          <w:sz w:val="24"/>
          <w:szCs w:val="24"/>
        </w:rPr>
        <w:t xml:space="preserve"> of the Northern Territory (see section 643).</w:t>
      </w:r>
    </w:p>
    <w:p w14:paraId="651F4119" w14:textId="65DF1B19" w:rsidR="0012318B" w:rsidRDefault="0012318B" w:rsidP="0012318B">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New subregulation 64B(2) provides that regulation 4 only applies to a pipeline licensee. </w:t>
      </w:r>
      <w:r w:rsidR="005154E3">
        <w:rPr>
          <w:rFonts w:ascii="Times New Roman" w:hAnsi="Times New Roman" w:cs="Times New Roman"/>
          <w:sz w:val="24"/>
          <w:szCs w:val="24"/>
        </w:rPr>
        <w:t xml:space="preserve">This means that, if a remedial direction is in force in respect of a pipeline and the person who is subject to the direction is not the pipeline licensee, regulation 4 does not apply to the person. Such persons may include a former licensee of the pipeline licence, a related body corporate of the pipeline licensee or a former licensee of the pipeline licence, or a person to whom a determination under subsection 586(2B), 586A(2B), 587(2B), 587A(2B), 591B(2B), 592(2B), 594A(2B) or 595(2B) applies (referred to as a person who is subject to a ‘related person’ determination). </w:t>
      </w:r>
    </w:p>
    <w:p w14:paraId="2947724E" w14:textId="77777777" w:rsidR="0012318B" w:rsidRDefault="0012318B" w:rsidP="0012318B">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Regulation 4 ensures, in circumstances where a pipeline is partly in Commonwealth waters and partly in State/Territory designated coastal waters, that the pipeline licensee will only pay the safety case levy once with respect to the jurisdiction where the length of the pipeline is predominantly located. </w:t>
      </w:r>
    </w:p>
    <w:p w14:paraId="4991C400" w14:textId="6158072A" w:rsidR="0012318B" w:rsidRDefault="0012318B" w:rsidP="0012318B">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In the case of a </w:t>
      </w:r>
      <w:r w:rsidR="005B13E6">
        <w:rPr>
          <w:rFonts w:ascii="Times New Roman" w:hAnsi="Times New Roman" w:cs="Times New Roman"/>
          <w:sz w:val="24"/>
          <w:szCs w:val="24"/>
        </w:rPr>
        <w:t xml:space="preserve">State/Territory </w:t>
      </w:r>
      <w:r>
        <w:rPr>
          <w:rFonts w:ascii="Times New Roman" w:hAnsi="Times New Roman" w:cs="Times New Roman"/>
          <w:sz w:val="24"/>
          <w:szCs w:val="24"/>
        </w:rPr>
        <w:t xml:space="preserve">remedial direction given to a person who is not the pipeline licensee, the person </w:t>
      </w:r>
      <w:r w:rsidR="00001F26">
        <w:rPr>
          <w:rFonts w:ascii="Times New Roman" w:hAnsi="Times New Roman" w:cs="Times New Roman"/>
          <w:sz w:val="24"/>
          <w:szCs w:val="24"/>
        </w:rPr>
        <w:t xml:space="preserve">who is </w:t>
      </w:r>
      <w:r>
        <w:rPr>
          <w:rFonts w:ascii="Times New Roman" w:hAnsi="Times New Roman" w:cs="Times New Roman"/>
          <w:sz w:val="24"/>
          <w:szCs w:val="24"/>
        </w:rPr>
        <w:t xml:space="preserve">subject to the direction would be </w:t>
      </w:r>
      <w:r w:rsidR="005154E3">
        <w:rPr>
          <w:rFonts w:ascii="Times New Roman" w:hAnsi="Times New Roman" w:cs="Times New Roman"/>
          <w:sz w:val="24"/>
          <w:szCs w:val="24"/>
        </w:rPr>
        <w:t xml:space="preserve">only </w:t>
      </w:r>
      <w:r>
        <w:rPr>
          <w:rFonts w:ascii="Times New Roman" w:hAnsi="Times New Roman" w:cs="Times New Roman"/>
          <w:sz w:val="24"/>
          <w:szCs w:val="24"/>
        </w:rPr>
        <w:t xml:space="preserve">undertaking work on the part of the pipeline located in </w:t>
      </w:r>
      <w:r w:rsidR="005B13E6">
        <w:rPr>
          <w:rFonts w:ascii="Times New Roman" w:hAnsi="Times New Roman" w:cs="Times New Roman"/>
          <w:sz w:val="24"/>
          <w:szCs w:val="24"/>
        </w:rPr>
        <w:t>designated coastal</w:t>
      </w:r>
      <w:r>
        <w:rPr>
          <w:rFonts w:ascii="Times New Roman" w:hAnsi="Times New Roman" w:cs="Times New Roman"/>
          <w:sz w:val="24"/>
          <w:szCs w:val="24"/>
        </w:rPr>
        <w:t xml:space="preserve"> waters (as a direction under </w:t>
      </w:r>
      <w:r w:rsidR="005B13E6">
        <w:rPr>
          <w:rFonts w:ascii="Times New Roman" w:hAnsi="Times New Roman" w:cs="Times New Roman"/>
          <w:sz w:val="24"/>
          <w:szCs w:val="24"/>
        </w:rPr>
        <w:t>a State PSLA or Territory PSLA</w:t>
      </w:r>
      <w:r>
        <w:rPr>
          <w:rFonts w:ascii="Times New Roman" w:hAnsi="Times New Roman" w:cs="Times New Roman"/>
          <w:sz w:val="24"/>
          <w:szCs w:val="24"/>
        </w:rPr>
        <w:t xml:space="preserve"> can only require action in </w:t>
      </w:r>
      <w:r w:rsidR="005B13E6">
        <w:rPr>
          <w:rFonts w:ascii="Times New Roman" w:hAnsi="Times New Roman" w:cs="Times New Roman"/>
          <w:sz w:val="24"/>
          <w:szCs w:val="24"/>
        </w:rPr>
        <w:t>the relevant State or Territory</w:t>
      </w:r>
      <w:r>
        <w:rPr>
          <w:rFonts w:ascii="Times New Roman" w:hAnsi="Times New Roman" w:cs="Times New Roman"/>
          <w:sz w:val="24"/>
          <w:szCs w:val="24"/>
        </w:rPr>
        <w:t xml:space="preserve"> waters). Unlike a pipeline licensee, the person </w:t>
      </w:r>
      <w:r w:rsidR="00001F26">
        <w:rPr>
          <w:rFonts w:ascii="Times New Roman" w:hAnsi="Times New Roman" w:cs="Times New Roman"/>
          <w:sz w:val="24"/>
          <w:szCs w:val="24"/>
        </w:rPr>
        <w:t xml:space="preserve">who is </w:t>
      </w:r>
      <w:r>
        <w:rPr>
          <w:rFonts w:ascii="Times New Roman" w:hAnsi="Times New Roman" w:cs="Times New Roman"/>
          <w:sz w:val="24"/>
          <w:szCs w:val="24"/>
        </w:rPr>
        <w:t>subject to the direction would therefore only have a safety case in relation to the part</w:t>
      </w:r>
      <w:r w:rsidR="005B13E6">
        <w:rPr>
          <w:rFonts w:ascii="Times New Roman" w:hAnsi="Times New Roman" w:cs="Times New Roman"/>
          <w:sz w:val="24"/>
          <w:szCs w:val="24"/>
        </w:rPr>
        <w:t xml:space="preserve"> of the pipeline in designated coastal</w:t>
      </w:r>
      <w:r>
        <w:rPr>
          <w:rFonts w:ascii="Times New Roman" w:hAnsi="Times New Roman" w:cs="Times New Roman"/>
          <w:sz w:val="24"/>
          <w:szCs w:val="24"/>
        </w:rPr>
        <w:t xml:space="preserve"> waters. If regulation 4 applied to a person who is not the pipeline licensee, and the </w:t>
      </w:r>
      <w:r w:rsidR="00001F26">
        <w:rPr>
          <w:rFonts w:ascii="Times New Roman" w:hAnsi="Times New Roman" w:cs="Times New Roman"/>
          <w:sz w:val="24"/>
          <w:szCs w:val="24"/>
        </w:rPr>
        <w:t>length</w:t>
      </w:r>
      <w:r>
        <w:rPr>
          <w:rFonts w:ascii="Times New Roman" w:hAnsi="Times New Roman" w:cs="Times New Roman"/>
          <w:sz w:val="24"/>
          <w:szCs w:val="24"/>
        </w:rPr>
        <w:t xml:space="preserve"> of the pipeline was </w:t>
      </w:r>
      <w:r w:rsidR="00001F26">
        <w:rPr>
          <w:rFonts w:ascii="Times New Roman" w:hAnsi="Times New Roman" w:cs="Times New Roman"/>
          <w:sz w:val="24"/>
          <w:szCs w:val="24"/>
        </w:rPr>
        <w:t xml:space="preserve">predominantly </w:t>
      </w:r>
      <w:r>
        <w:rPr>
          <w:rFonts w:ascii="Times New Roman" w:hAnsi="Times New Roman" w:cs="Times New Roman"/>
          <w:sz w:val="24"/>
          <w:szCs w:val="24"/>
        </w:rPr>
        <w:t xml:space="preserve">located in </w:t>
      </w:r>
      <w:r w:rsidR="005B13E6">
        <w:rPr>
          <w:rFonts w:ascii="Times New Roman" w:hAnsi="Times New Roman" w:cs="Times New Roman"/>
          <w:sz w:val="24"/>
          <w:szCs w:val="24"/>
        </w:rPr>
        <w:t>Commonwealth w</w:t>
      </w:r>
      <w:r>
        <w:rPr>
          <w:rFonts w:ascii="Times New Roman" w:hAnsi="Times New Roman" w:cs="Times New Roman"/>
          <w:sz w:val="24"/>
          <w:szCs w:val="24"/>
        </w:rPr>
        <w:t xml:space="preserve">aters, no levy would be payable to NOPSEMA in respect of the safety case for decommissioning the pipeline in </w:t>
      </w:r>
      <w:r w:rsidR="005B13E6">
        <w:rPr>
          <w:rFonts w:ascii="Times New Roman" w:hAnsi="Times New Roman" w:cs="Times New Roman"/>
          <w:sz w:val="24"/>
          <w:szCs w:val="24"/>
        </w:rPr>
        <w:t>designated coastal</w:t>
      </w:r>
      <w:r>
        <w:rPr>
          <w:rFonts w:ascii="Times New Roman" w:hAnsi="Times New Roman" w:cs="Times New Roman"/>
          <w:sz w:val="24"/>
          <w:szCs w:val="24"/>
        </w:rPr>
        <w:t xml:space="preserve"> waters.</w:t>
      </w:r>
    </w:p>
    <w:p w14:paraId="781907C4" w14:textId="02CF8B89" w:rsidR="0012318B" w:rsidRDefault="0012318B" w:rsidP="0012318B">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Excluding the application of regulation 4 to a person who is not the pipeline licensee ensures that such a person is required to pay the safety case levy in respect of decommissioning the </w:t>
      </w:r>
      <w:r>
        <w:rPr>
          <w:rFonts w:ascii="Times New Roman" w:hAnsi="Times New Roman" w:cs="Times New Roman"/>
          <w:sz w:val="24"/>
          <w:szCs w:val="24"/>
        </w:rPr>
        <w:lastRenderedPageBreak/>
        <w:t xml:space="preserve">segment of the pipeline in </w:t>
      </w:r>
      <w:r w:rsidR="005B13E6">
        <w:rPr>
          <w:rFonts w:ascii="Times New Roman" w:hAnsi="Times New Roman" w:cs="Times New Roman"/>
          <w:sz w:val="24"/>
          <w:szCs w:val="24"/>
        </w:rPr>
        <w:t>designated coastal</w:t>
      </w:r>
      <w:r>
        <w:rPr>
          <w:rFonts w:ascii="Times New Roman" w:hAnsi="Times New Roman" w:cs="Times New Roman"/>
          <w:sz w:val="24"/>
          <w:szCs w:val="24"/>
        </w:rPr>
        <w:t xml:space="preserve"> waters, regardless of where the majority of the pipeline is located. </w:t>
      </w:r>
    </w:p>
    <w:p w14:paraId="44F612DB" w14:textId="7DCC87C1" w:rsidR="007A3C96" w:rsidRDefault="007A3C96" w:rsidP="007A3C96">
      <w:pPr>
        <w:spacing w:before="240" w:after="240"/>
        <w:rPr>
          <w:rFonts w:ascii="Times New Roman" w:hAnsi="Times New Roman" w:cs="Times New Roman"/>
          <w:sz w:val="24"/>
          <w:szCs w:val="24"/>
        </w:rPr>
      </w:pPr>
      <w:r w:rsidRPr="00FF119D">
        <w:rPr>
          <w:rFonts w:ascii="Times New Roman" w:hAnsi="Times New Roman" w:cs="Times New Roman"/>
          <w:sz w:val="24"/>
          <w:szCs w:val="24"/>
        </w:rPr>
        <w:t>New subregulation</w:t>
      </w:r>
      <w:r>
        <w:rPr>
          <w:rFonts w:ascii="Times New Roman" w:hAnsi="Times New Roman" w:cs="Times New Roman"/>
          <w:sz w:val="24"/>
          <w:szCs w:val="24"/>
        </w:rPr>
        <w:t>s</w:t>
      </w:r>
      <w:r w:rsidRPr="00FF119D">
        <w:rPr>
          <w:rFonts w:ascii="Times New Roman" w:hAnsi="Times New Roman" w:cs="Times New Roman"/>
          <w:sz w:val="24"/>
          <w:szCs w:val="24"/>
        </w:rPr>
        <w:t xml:space="preserve"> 64</w:t>
      </w:r>
      <w:r>
        <w:rPr>
          <w:rFonts w:ascii="Times New Roman" w:hAnsi="Times New Roman" w:cs="Times New Roman"/>
          <w:sz w:val="24"/>
          <w:szCs w:val="24"/>
        </w:rPr>
        <w:t>B</w:t>
      </w:r>
      <w:r w:rsidRPr="00FF119D">
        <w:rPr>
          <w:rFonts w:ascii="Times New Roman" w:hAnsi="Times New Roman" w:cs="Times New Roman"/>
          <w:sz w:val="24"/>
          <w:szCs w:val="24"/>
        </w:rPr>
        <w:t>(</w:t>
      </w:r>
      <w:r w:rsidR="00FF0FCA">
        <w:rPr>
          <w:rFonts w:ascii="Times New Roman" w:hAnsi="Times New Roman" w:cs="Times New Roman"/>
          <w:sz w:val="24"/>
          <w:szCs w:val="24"/>
        </w:rPr>
        <w:t>3</w:t>
      </w:r>
      <w:r w:rsidRPr="00FF119D">
        <w:rPr>
          <w:rFonts w:ascii="Times New Roman" w:hAnsi="Times New Roman" w:cs="Times New Roman"/>
          <w:sz w:val="24"/>
          <w:szCs w:val="24"/>
        </w:rPr>
        <w:t>)</w:t>
      </w:r>
      <w:r>
        <w:rPr>
          <w:rFonts w:ascii="Times New Roman" w:hAnsi="Times New Roman" w:cs="Times New Roman"/>
          <w:sz w:val="24"/>
          <w:szCs w:val="24"/>
        </w:rPr>
        <w:t xml:space="preserve"> to (</w:t>
      </w:r>
      <w:r w:rsidR="00FF0FCA">
        <w:rPr>
          <w:rFonts w:ascii="Times New Roman" w:hAnsi="Times New Roman" w:cs="Times New Roman"/>
          <w:sz w:val="24"/>
          <w:szCs w:val="24"/>
        </w:rPr>
        <w:t>5</w:t>
      </w:r>
      <w:r>
        <w:rPr>
          <w:rFonts w:ascii="Times New Roman" w:hAnsi="Times New Roman" w:cs="Times New Roman"/>
          <w:sz w:val="24"/>
          <w:szCs w:val="24"/>
        </w:rPr>
        <w:t>)</w:t>
      </w:r>
      <w:r w:rsidRPr="00FF119D">
        <w:rPr>
          <w:rFonts w:ascii="Times New Roman" w:hAnsi="Times New Roman" w:cs="Times New Roman"/>
          <w:sz w:val="24"/>
          <w:szCs w:val="24"/>
        </w:rPr>
        <w:t xml:space="preserve"> </w:t>
      </w:r>
      <w:r>
        <w:rPr>
          <w:rFonts w:ascii="Times New Roman" w:hAnsi="Times New Roman" w:cs="Times New Roman"/>
          <w:sz w:val="24"/>
          <w:szCs w:val="24"/>
        </w:rPr>
        <w:t>operate by deeming a reference to certain terms in specified provisions of the Levies Regulations to include a reference to other terms if a State/Territory remedial direction</w:t>
      </w:r>
      <w:r w:rsidR="005B13E6">
        <w:rPr>
          <w:rFonts w:ascii="Times New Roman" w:hAnsi="Times New Roman" w:cs="Times New Roman"/>
          <w:sz w:val="24"/>
          <w:szCs w:val="24"/>
        </w:rPr>
        <w:t xml:space="preserve"> is in force</w:t>
      </w:r>
      <w:r>
        <w:rPr>
          <w:rFonts w:ascii="Times New Roman" w:hAnsi="Times New Roman" w:cs="Times New Roman"/>
          <w:sz w:val="24"/>
          <w:szCs w:val="24"/>
        </w:rPr>
        <w:t xml:space="preserve">. </w:t>
      </w:r>
      <w:r w:rsidR="005B13E6">
        <w:rPr>
          <w:rFonts w:ascii="Times New Roman" w:hAnsi="Times New Roman" w:cs="Times New Roman"/>
          <w:sz w:val="24"/>
          <w:szCs w:val="24"/>
        </w:rPr>
        <w:t>This provides for the application of the provisions of the Levies Regulations that relate to safety case levies, well activity levies and environment plan levies imposed by the Levies Act in relation to persons who are subject to a State/Territory remedial direction.</w:t>
      </w:r>
    </w:p>
    <w:p w14:paraId="2F3E2271" w14:textId="2A1318D0" w:rsidR="007A3C96" w:rsidRDefault="007A3C96" w:rsidP="007A3C96">
      <w:pPr>
        <w:spacing w:before="240" w:after="240"/>
        <w:rPr>
          <w:rFonts w:ascii="Times New Roman" w:hAnsi="Times New Roman" w:cs="Times New Roman"/>
          <w:sz w:val="24"/>
          <w:szCs w:val="24"/>
        </w:rPr>
      </w:pPr>
      <w:r>
        <w:rPr>
          <w:rFonts w:ascii="Times New Roman" w:hAnsi="Times New Roman" w:cs="Times New Roman"/>
          <w:sz w:val="24"/>
          <w:szCs w:val="24"/>
        </w:rPr>
        <w:t xml:space="preserve">Under </w:t>
      </w:r>
      <w:r w:rsidR="00681A91">
        <w:rPr>
          <w:rFonts w:ascii="Times New Roman" w:hAnsi="Times New Roman" w:cs="Times New Roman"/>
          <w:sz w:val="24"/>
          <w:szCs w:val="24"/>
        </w:rPr>
        <w:t xml:space="preserve">new </w:t>
      </w:r>
      <w:r>
        <w:rPr>
          <w:rFonts w:ascii="Times New Roman" w:hAnsi="Times New Roman" w:cs="Times New Roman"/>
          <w:sz w:val="24"/>
          <w:szCs w:val="24"/>
        </w:rPr>
        <w:t>subregulation 64B(</w:t>
      </w:r>
      <w:r w:rsidR="00FF0FCA">
        <w:rPr>
          <w:rFonts w:ascii="Times New Roman" w:hAnsi="Times New Roman" w:cs="Times New Roman"/>
          <w:sz w:val="24"/>
          <w:szCs w:val="24"/>
        </w:rPr>
        <w:t>3</w:t>
      </w:r>
      <w:r>
        <w:rPr>
          <w:rFonts w:ascii="Times New Roman" w:hAnsi="Times New Roman" w:cs="Times New Roman"/>
          <w:sz w:val="24"/>
          <w:szCs w:val="24"/>
        </w:rPr>
        <w:t>), if a State/Territory remedial direction is in force, Division</w:t>
      </w:r>
      <w:r w:rsidR="00724048">
        <w:rPr>
          <w:rFonts w:ascii="Times New Roman" w:hAnsi="Times New Roman" w:cs="Times New Roman"/>
          <w:sz w:val="24"/>
          <w:szCs w:val="24"/>
        </w:rPr>
        <w:t> </w:t>
      </w:r>
      <w:r>
        <w:rPr>
          <w:rFonts w:ascii="Times New Roman" w:hAnsi="Times New Roman" w:cs="Times New Roman"/>
          <w:sz w:val="24"/>
          <w:szCs w:val="24"/>
        </w:rPr>
        <w:t>2 of Part 11 and r</w:t>
      </w:r>
      <w:r w:rsidRPr="00FF119D">
        <w:rPr>
          <w:rFonts w:ascii="Times New Roman" w:hAnsi="Times New Roman" w:cs="Times New Roman"/>
          <w:sz w:val="24"/>
          <w:szCs w:val="24"/>
        </w:rPr>
        <w:t>egulation</w:t>
      </w:r>
      <w:r>
        <w:rPr>
          <w:rFonts w:ascii="Times New Roman" w:hAnsi="Times New Roman" w:cs="Times New Roman"/>
          <w:sz w:val="24"/>
          <w:szCs w:val="24"/>
        </w:rPr>
        <w:t>s</w:t>
      </w:r>
      <w:r w:rsidRPr="00FF119D">
        <w:rPr>
          <w:rFonts w:ascii="Times New Roman" w:hAnsi="Times New Roman" w:cs="Times New Roman"/>
          <w:sz w:val="24"/>
          <w:szCs w:val="24"/>
        </w:rPr>
        <w:t xml:space="preserve"> </w:t>
      </w:r>
      <w:r>
        <w:rPr>
          <w:rFonts w:ascii="Times New Roman" w:hAnsi="Times New Roman" w:cs="Times New Roman"/>
          <w:sz w:val="24"/>
          <w:szCs w:val="24"/>
        </w:rPr>
        <w:t xml:space="preserve">59G and </w:t>
      </w:r>
      <w:r w:rsidRPr="00FF119D">
        <w:rPr>
          <w:rFonts w:ascii="Times New Roman" w:hAnsi="Times New Roman" w:cs="Times New Roman"/>
          <w:sz w:val="24"/>
          <w:szCs w:val="24"/>
        </w:rPr>
        <w:t xml:space="preserve">62 </w:t>
      </w:r>
      <w:r>
        <w:rPr>
          <w:rFonts w:ascii="Times New Roman" w:hAnsi="Times New Roman" w:cs="Times New Roman"/>
          <w:sz w:val="24"/>
          <w:szCs w:val="24"/>
        </w:rPr>
        <w:t xml:space="preserve">of the Levies Regulations apply: </w:t>
      </w:r>
    </w:p>
    <w:p w14:paraId="7DBC1C71" w14:textId="4F0E486F" w:rsidR="007A3C96" w:rsidRDefault="007A3C96" w:rsidP="007A3C96">
      <w:pPr>
        <w:pStyle w:val="ListParagraph"/>
        <w:numPr>
          <w:ilvl w:val="0"/>
          <w:numId w:val="7"/>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as if a reference to a registered holder of a State/Territory title that is a State/Territory petroleum title included a reference to a person who is subject to a State/Territory petroleum remedial direction; </w:t>
      </w:r>
      <w:r w:rsidR="00D61E3F">
        <w:rPr>
          <w:rFonts w:ascii="Times New Roman" w:hAnsi="Times New Roman" w:cs="Times New Roman"/>
          <w:sz w:val="24"/>
          <w:szCs w:val="24"/>
        </w:rPr>
        <w:t>and</w:t>
      </w:r>
    </w:p>
    <w:p w14:paraId="349C219F" w14:textId="3A5BCE5B" w:rsidR="007A3C96" w:rsidRDefault="007A3C96" w:rsidP="007A3C96">
      <w:pPr>
        <w:pStyle w:val="ListParagraph"/>
        <w:numPr>
          <w:ilvl w:val="0"/>
          <w:numId w:val="7"/>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as if a reference to a registered holder of a State/Territory title that is a State/Territory greenhouse gas title included a reference to a person who is subject to a State/Territory greenhouse remedial direction.</w:t>
      </w:r>
    </w:p>
    <w:p w14:paraId="4B665A65" w14:textId="2196CD1E" w:rsidR="00A42BBA" w:rsidRDefault="00C761DF" w:rsidP="00A42BBA">
      <w:pPr>
        <w:spacing w:before="240" w:after="240"/>
        <w:rPr>
          <w:rFonts w:ascii="Times New Roman" w:hAnsi="Times New Roman" w:cs="Times New Roman"/>
          <w:sz w:val="24"/>
          <w:szCs w:val="24"/>
        </w:rPr>
      </w:pPr>
      <w:r>
        <w:rPr>
          <w:rFonts w:ascii="Times New Roman" w:hAnsi="Times New Roman" w:cs="Times New Roman"/>
          <w:sz w:val="24"/>
          <w:szCs w:val="24"/>
        </w:rPr>
        <w:t>In addition</w:t>
      </w:r>
      <w:r w:rsidR="005B13E6">
        <w:rPr>
          <w:rFonts w:ascii="Times New Roman" w:hAnsi="Times New Roman" w:cs="Times New Roman"/>
          <w:sz w:val="24"/>
          <w:szCs w:val="24"/>
        </w:rPr>
        <w:t>, u</w:t>
      </w:r>
      <w:r w:rsidR="00A42BBA">
        <w:rPr>
          <w:rFonts w:ascii="Times New Roman" w:hAnsi="Times New Roman" w:cs="Times New Roman"/>
          <w:sz w:val="24"/>
          <w:szCs w:val="24"/>
        </w:rPr>
        <w:t>nder n</w:t>
      </w:r>
      <w:r w:rsidR="00A42BBA" w:rsidRPr="00FF119D">
        <w:rPr>
          <w:rFonts w:ascii="Times New Roman" w:hAnsi="Times New Roman" w:cs="Times New Roman"/>
          <w:sz w:val="24"/>
          <w:szCs w:val="24"/>
        </w:rPr>
        <w:t>ew subregulation 64</w:t>
      </w:r>
      <w:r w:rsidR="00A42BBA">
        <w:rPr>
          <w:rFonts w:ascii="Times New Roman" w:hAnsi="Times New Roman" w:cs="Times New Roman"/>
          <w:sz w:val="24"/>
          <w:szCs w:val="24"/>
        </w:rPr>
        <w:t>B</w:t>
      </w:r>
      <w:r w:rsidR="00A42BBA" w:rsidRPr="00FF119D">
        <w:rPr>
          <w:rFonts w:ascii="Times New Roman" w:hAnsi="Times New Roman" w:cs="Times New Roman"/>
          <w:sz w:val="24"/>
          <w:szCs w:val="24"/>
        </w:rPr>
        <w:t>(</w:t>
      </w:r>
      <w:r w:rsidR="00FF0FCA">
        <w:rPr>
          <w:rFonts w:ascii="Times New Roman" w:hAnsi="Times New Roman" w:cs="Times New Roman"/>
          <w:sz w:val="24"/>
          <w:szCs w:val="24"/>
        </w:rPr>
        <w:t>5</w:t>
      </w:r>
      <w:r w:rsidR="00A42BBA" w:rsidRPr="00FF119D">
        <w:rPr>
          <w:rFonts w:ascii="Times New Roman" w:hAnsi="Times New Roman" w:cs="Times New Roman"/>
          <w:sz w:val="24"/>
          <w:szCs w:val="24"/>
        </w:rPr>
        <w:t>)</w:t>
      </w:r>
      <w:r w:rsidR="00A42BBA">
        <w:rPr>
          <w:rFonts w:ascii="Times New Roman" w:hAnsi="Times New Roman" w:cs="Times New Roman"/>
          <w:sz w:val="24"/>
          <w:szCs w:val="24"/>
        </w:rPr>
        <w:t xml:space="preserve">, if a State/Territory remedial direction is in force, </w:t>
      </w:r>
      <w:r w:rsidR="00A42BBA" w:rsidRPr="00FF119D">
        <w:rPr>
          <w:rFonts w:ascii="Times New Roman" w:hAnsi="Times New Roman" w:cs="Times New Roman"/>
          <w:sz w:val="24"/>
          <w:szCs w:val="24"/>
        </w:rPr>
        <w:t>Part 11</w:t>
      </w:r>
      <w:r w:rsidR="00A42BBA">
        <w:rPr>
          <w:rFonts w:ascii="Times New Roman" w:hAnsi="Times New Roman" w:cs="Times New Roman"/>
          <w:sz w:val="24"/>
          <w:szCs w:val="24"/>
        </w:rPr>
        <w:t>C</w:t>
      </w:r>
      <w:r w:rsidR="00A42BBA" w:rsidRPr="00FF119D">
        <w:rPr>
          <w:rFonts w:ascii="Times New Roman" w:hAnsi="Times New Roman" w:cs="Times New Roman"/>
          <w:sz w:val="24"/>
          <w:szCs w:val="24"/>
        </w:rPr>
        <w:t>, excluding regulation 59</w:t>
      </w:r>
      <w:r w:rsidR="00A42BBA">
        <w:rPr>
          <w:rFonts w:ascii="Times New Roman" w:hAnsi="Times New Roman" w:cs="Times New Roman"/>
          <w:sz w:val="24"/>
          <w:szCs w:val="24"/>
        </w:rPr>
        <w:t>F</w:t>
      </w:r>
      <w:r w:rsidR="00A42BBA" w:rsidRPr="00FF119D">
        <w:rPr>
          <w:rFonts w:ascii="Times New Roman" w:hAnsi="Times New Roman" w:cs="Times New Roman"/>
          <w:sz w:val="24"/>
          <w:szCs w:val="24"/>
        </w:rPr>
        <w:t>,</w:t>
      </w:r>
      <w:r w:rsidR="00A42BBA">
        <w:rPr>
          <w:rFonts w:ascii="Times New Roman" w:hAnsi="Times New Roman" w:cs="Times New Roman"/>
          <w:sz w:val="24"/>
          <w:szCs w:val="24"/>
        </w:rPr>
        <w:t xml:space="preserve"> of the Levies Regulations</w:t>
      </w:r>
      <w:r w:rsidR="00A42BBA" w:rsidRPr="00FF119D">
        <w:rPr>
          <w:rFonts w:ascii="Times New Roman" w:hAnsi="Times New Roman" w:cs="Times New Roman"/>
          <w:sz w:val="24"/>
          <w:szCs w:val="24"/>
        </w:rPr>
        <w:t xml:space="preserve"> </w:t>
      </w:r>
      <w:r w:rsidR="00A42BBA">
        <w:rPr>
          <w:rFonts w:ascii="Times New Roman" w:hAnsi="Times New Roman" w:cs="Times New Roman"/>
          <w:sz w:val="24"/>
          <w:szCs w:val="24"/>
        </w:rPr>
        <w:t>appl</w:t>
      </w:r>
      <w:r w:rsidR="005B13E6">
        <w:rPr>
          <w:rFonts w:ascii="Times New Roman" w:hAnsi="Times New Roman" w:cs="Times New Roman"/>
          <w:sz w:val="24"/>
          <w:szCs w:val="24"/>
        </w:rPr>
        <w:t>ies</w:t>
      </w:r>
      <w:r w:rsidR="00A42BBA">
        <w:rPr>
          <w:rFonts w:ascii="Times New Roman" w:hAnsi="Times New Roman" w:cs="Times New Roman"/>
          <w:sz w:val="24"/>
          <w:szCs w:val="24"/>
        </w:rPr>
        <w:t xml:space="preserve"> as if:</w:t>
      </w:r>
    </w:p>
    <w:p w14:paraId="30A6AD8F" w14:textId="18FD40A8" w:rsidR="00A42BBA" w:rsidRPr="000B6003" w:rsidRDefault="00A42BBA" w:rsidP="00A42BBA">
      <w:pPr>
        <w:pStyle w:val="ListParagraph"/>
        <w:numPr>
          <w:ilvl w:val="0"/>
          <w:numId w:val="7"/>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a reference to an individual activity included a reference to an activity that is of the same kind as a petroleum activity set out in the table in subregulation 59G(7), and carried out for the purpose of complying with a </w:t>
      </w:r>
      <w:r w:rsidR="005B13E6">
        <w:rPr>
          <w:rFonts w:ascii="Times New Roman" w:hAnsi="Times New Roman" w:cs="Times New Roman"/>
          <w:sz w:val="24"/>
          <w:szCs w:val="24"/>
        </w:rPr>
        <w:t xml:space="preserve">State/Territory </w:t>
      </w:r>
      <w:r>
        <w:rPr>
          <w:rFonts w:ascii="Times New Roman" w:hAnsi="Times New Roman" w:cs="Times New Roman"/>
          <w:sz w:val="24"/>
          <w:szCs w:val="24"/>
        </w:rPr>
        <w:t>petroleum remedial direction</w:t>
      </w:r>
      <w:r w:rsidRPr="000B6003">
        <w:rPr>
          <w:rFonts w:ascii="Times New Roman" w:hAnsi="Times New Roman" w:cs="Times New Roman"/>
          <w:sz w:val="24"/>
          <w:szCs w:val="24"/>
        </w:rPr>
        <w:t>;</w:t>
      </w:r>
      <w:r>
        <w:rPr>
          <w:rFonts w:ascii="Times New Roman" w:hAnsi="Times New Roman" w:cs="Times New Roman"/>
          <w:sz w:val="24"/>
          <w:szCs w:val="24"/>
        </w:rPr>
        <w:t xml:space="preserve"> and</w:t>
      </w:r>
      <w:r w:rsidRPr="000B6003">
        <w:rPr>
          <w:rFonts w:ascii="Times New Roman" w:hAnsi="Times New Roman" w:cs="Times New Roman"/>
          <w:sz w:val="24"/>
          <w:szCs w:val="24"/>
        </w:rPr>
        <w:t xml:space="preserve"> </w:t>
      </w:r>
    </w:p>
    <w:p w14:paraId="055D0AC3" w14:textId="77777777" w:rsidR="00A42BBA" w:rsidRDefault="00A42BBA" w:rsidP="00A42BBA">
      <w:pPr>
        <w:pStyle w:val="ListParagraph"/>
        <w:numPr>
          <w:ilvl w:val="0"/>
          <w:numId w:val="7"/>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a reference to a licensed petroleum pipeline included a reference to a pipeline in relation to which a State/Territory petroleum remedial direction applies.</w:t>
      </w:r>
    </w:p>
    <w:p w14:paraId="27671615" w14:textId="70E032E6" w:rsidR="00A42BBA" w:rsidRDefault="00A42BBA" w:rsidP="00A42BBA">
      <w:pPr>
        <w:spacing w:before="240" w:after="240"/>
        <w:rPr>
          <w:rFonts w:ascii="Times New Roman" w:hAnsi="Times New Roman" w:cs="Times New Roman"/>
          <w:sz w:val="24"/>
          <w:szCs w:val="24"/>
        </w:rPr>
      </w:pPr>
      <w:r>
        <w:rPr>
          <w:rFonts w:ascii="Times New Roman" w:hAnsi="Times New Roman" w:cs="Times New Roman"/>
          <w:sz w:val="24"/>
          <w:szCs w:val="24"/>
        </w:rPr>
        <w:t>The effect</w:t>
      </w:r>
      <w:r w:rsidR="005B13E6">
        <w:rPr>
          <w:rFonts w:ascii="Times New Roman" w:hAnsi="Times New Roman" w:cs="Times New Roman"/>
          <w:sz w:val="24"/>
          <w:szCs w:val="24"/>
        </w:rPr>
        <w:t>s</w:t>
      </w:r>
      <w:r>
        <w:rPr>
          <w:rFonts w:ascii="Times New Roman" w:hAnsi="Times New Roman" w:cs="Times New Roman"/>
          <w:sz w:val="24"/>
          <w:szCs w:val="24"/>
        </w:rPr>
        <w:t xml:space="preserve"> of these new sub</w:t>
      </w:r>
      <w:r w:rsidR="005B13E6">
        <w:rPr>
          <w:rFonts w:ascii="Times New Roman" w:hAnsi="Times New Roman" w:cs="Times New Roman"/>
          <w:sz w:val="24"/>
          <w:szCs w:val="24"/>
        </w:rPr>
        <w:t>regulations</w:t>
      </w:r>
      <w:r>
        <w:rPr>
          <w:rFonts w:ascii="Times New Roman" w:hAnsi="Times New Roman" w:cs="Times New Roman"/>
          <w:sz w:val="24"/>
          <w:szCs w:val="24"/>
        </w:rPr>
        <w:t xml:space="preserve"> are as follows:</w:t>
      </w:r>
    </w:p>
    <w:p w14:paraId="38C6F095" w14:textId="39ABAC52" w:rsidR="00A42BBA" w:rsidRPr="001C2D0B" w:rsidRDefault="005B13E6" w:rsidP="00A42BBA">
      <w:pPr>
        <w:pStyle w:val="ListParagraph"/>
        <w:numPr>
          <w:ilvl w:val="0"/>
          <w:numId w:val="10"/>
        </w:numPr>
        <w:spacing w:before="240" w:after="240"/>
        <w:contextualSpacing w:val="0"/>
        <w:rPr>
          <w:rFonts w:ascii="Times New Roman" w:hAnsi="Times New Roman" w:cs="Times New Roman"/>
          <w:sz w:val="24"/>
          <w:szCs w:val="24"/>
        </w:rPr>
      </w:pPr>
      <w:r>
        <w:rPr>
          <w:rFonts w:ascii="Times New Roman" w:hAnsi="Times New Roman" w:cs="Times New Roman"/>
          <w:sz w:val="24"/>
          <w:szCs w:val="24"/>
        </w:rPr>
        <w:t>Section 10D of the Levies Act imposes well activity levy if a person who is subject to</w:t>
      </w:r>
      <w:r w:rsidR="00A42BBA" w:rsidRPr="001C2D0B">
        <w:rPr>
          <w:rFonts w:ascii="Times New Roman" w:hAnsi="Times New Roman" w:cs="Times New Roman"/>
          <w:sz w:val="24"/>
          <w:szCs w:val="24"/>
        </w:rPr>
        <w:t xml:space="preserve"> a </w:t>
      </w:r>
      <w:r w:rsidR="00223500">
        <w:rPr>
          <w:rFonts w:ascii="Times New Roman" w:hAnsi="Times New Roman" w:cs="Times New Roman"/>
          <w:sz w:val="24"/>
          <w:szCs w:val="24"/>
        </w:rPr>
        <w:t xml:space="preserve">State/Territory </w:t>
      </w:r>
      <w:r w:rsidR="00A42BBA" w:rsidRPr="001C2D0B">
        <w:rPr>
          <w:rFonts w:ascii="Times New Roman" w:hAnsi="Times New Roman" w:cs="Times New Roman"/>
          <w:sz w:val="24"/>
          <w:szCs w:val="24"/>
        </w:rPr>
        <w:t>remedial direction submi</w:t>
      </w:r>
      <w:r>
        <w:rPr>
          <w:rFonts w:ascii="Times New Roman" w:hAnsi="Times New Roman" w:cs="Times New Roman"/>
          <w:sz w:val="24"/>
          <w:szCs w:val="24"/>
        </w:rPr>
        <w:t>t</w:t>
      </w:r>
      <w:r w:rsidR="00A42BBA" w:rsidRPr="001C2D0B">
        <w:rPr>
          <w:rFonts w:ascii="Times New Roman" w:hAnsi="Times New Roman" w:cs="Times New Roman"/>
          <w:sz w:val="24"/>
          <w:szCs w:val="24"/>
        </w:rPr>
        <w:t>s a well operations management plan, a proposed revision of a well operations management</w:t>
      </w:r>
      <w:r w:rsidR="00A42BBA">
        <w:rPr>
          <w:rFonts w:ascii="Times New Roman" w:hAnsi="Times New Roman" w:cs="Times New Roman"/>
          <w:sz w:val="24"/>
          <w:szCs w:val="24"/>
        </w:rPr>
        <w:t xml:space="preserve"> plan</w:t>
      </w:r>
      <w:r w:rsidR="00A42BBA" w:rsidRPr="001C2D0B">
        <w:rPr>
          <w:rFonts w:ascii="Times New Roman" w:hAnsi="Times New Roman" w:cs="Times New Roman"/>
          <w:sz w:val="24"/>
          <w:szCs w:val="24"/>
        </w:rPr>
        <w:t xml:space="preserve">, </w:t>
      </w:r>
      <w:r>
        <w:rPr>
          <w:rFonts w:ascii="Times New Roman" w:hAnsi="Times New Roman" w:cs="Times New Roman"/>
          <w:sz w:val="24"/>
          <w:szCs w:val="24"/>
        </w:rPr>
        <w:t xml:space="preserve">or </w:t>
      </w:r>
      <w:r w:rsidR="00874003">
        <w:rPr>
          <w:rFonts w:ascii="Times New Roman" w:hAnsi="Times New Roman" w:cs="Times New Roman"/>
          <w:sz w:val="24"/>
          <w:szCs w:val="24"/>
        </w:rPr>
        <w:t xml:space="preserve">an application for approval to commence an activity relating to a well </w:t>
      </w:r>
      <w:r w:rsidR="00A42BBA" w:rsidRPr="001C2D0B">
        <w:rPr>
          <w:rFonts w:ascii="Times New Roman" w:hAnsi="Times New Roman" w:cs="Times New Roman"/>
          <w:sz w:val="24"/>
          <w:szCs w:val="24"/>
        </w:rPr>
        <w:t xml:space="preserve">to NOPSEMA under </w:t>
      </w:r>
      <w:r w:rsidR="003D4E80">
        <w:rPr>
          <w:rFonts w:ascii="Times New Roman" w:hAnsi="Times New Roman" w:cs="Times New Roman"/>
          <w:sz w:val="24"/>
          <w:szCs w:val="24"/>
        </w:rPr>
        <w:t xml:space="preserve">regulations of a State or Territory that substantially correspond to </w:t>
      </w:r>
      <w:r w:rsidR="00A42BBA" w:rsidRPr="001C2D0B">
        <w:rPr>
          <w:rFonts w:ascii="Times New Roman" w:hAnsi="Times New Roman" w:cs="Times New Roman"/>
          <w:sz w:val="24"/>
          <w:szCs w:val="24"/>
        </w:rPr>
        <w:t xml:space="preserve">Part 5 of </w:t>
      </w:r>
      <w:r w:rsidR="00A42BBA" w:rsidRPr="003D4E80">
        <w:rPr>
          <w:rFonts w:ascii="Times New Roman" w:hAnsi="Times New Roman" w:cs="Times New Roman"/>
          <w:sz w:val="24"/>
          <w:szCs w:val="24"/>
        </w:rPr>
        <w:t>the RMA Regulations</w:t>
      </w:r>
      <w:r w:rsidR="00A42BBA" w:rsidRPr="001C2D0B">
        <w:rPr>
          <w:rFonts w:ascii="Times New Roman" w:hAnsi="Times New Roman" w:cs="Times New Roman"/>
          <w:sz w:val="24"/>
          <w:szCs w:val="24"/>
        </w:rPr>
        <w:t xml:space="preserve"> in relation to an activity </w:t>
      </w:r>
      <w:r w:rsidR="00A42BBA" w:rsidRPr="0045691E">
        <w:rPr>
          <w:rFonts w:ascii="Times New Roman" w:hAnsi="Times New Roman" w:cs="Times New Roman"/>
          <w:sz w:val="24"/>
          <w:szCs w:val="24"/>
        </w:rPr>
        <w:t>relating to a well</w:t>
      </w:r>
      <w:r w:rsidR="00A42BBA" w:rsidRPr="001C2D0B">
        <w:rPr>
          <w:rFonts w:ascii="Times New Roman" w:hAnsi="Times New Roman" w:cs="Times New Roman"/>
          <w:sz w:val="24"/>
          <w:szCs w:val="24"/>
        </w:rPr>
        <w:t xml:space="preserve"> carried out for the purpose of complying with </w:t>
      </w:r>
      <w:r w:rsidR="00223500">
        <w:rPr>
          <w:rFonts w:ascii="Times New Roman" w:hAnsi="Times New Roman" w:cs="Times New Roman"/>
          <w:sz w:val="24"/>
          <w:szCs w:val="24"/>
        </w:rPr>
        <w:t>the</w:t>
      </w:r>
      <w:r w:rsidR="00A42BBA" w:rsidRPr="001C2D0B">
        <w:rPr>
          <w:rFonts w:ascii="Times New Roman" w:hAnsi="Times New Roman" w:cs="Times New Roman"/>
          <w:sz w:val="24"/>
          <w:szCs w:val="24"/>
        </w:rPr>
        <w:t xml:space="preserve"> direction</w:t>
      </w:r>
      <w:r>
        <w:rPr>
          <w:rFonts w:ascii="Times New Roman" w:hAnsi="Times New Roman" w:cs="Times New Roman"/>
          <w:sz w:val="24"/>
          <w:szCs w:val="24"/>
        </w:rPr>
        <w:t>.</w:t>
      </w:r>
      <w:r w:rsidR="00A42BBA" w:rsidRPr="001C2D0B">
        <w:rPr>
          <w:rFonts w:ascii="Times New Roman" w:hAnsi="Times New Roman" w:cs="Times New Roman"/>
          <w:sz w:val="24"/>
          <w:szCs w:val="24"/>
        </w:rPr>
        <w:t xml:space="preserve"> </w:t>
      </w:r>
      <w:r w:rsidR="00874003">
        <w:rPr>
          <w:rFonts w:ascii="Times New Roman" w:hAnsi="Times New Roman" w:cs="Times New Roman"/>
          <w:sz w:val="24"/>
          <w:szCs w:val="24"/>
        </w:rPr>
        <w:t>New subregulation 64B</w:t>
      </w:r>
      <w:r>
        <w:rPr>
          <w:rFonts w:ascii="Times New Roman" w:hAnsi="Times New Roman" w:cs="Times New Roman"/>
          <w:sz w:val="24"/>
          <w:szCs w:val="24"/>
        </w:rPr>
        <w:t xml:space="preserve">(3) provides for the application of </w:t>
      </w:r>
      <w:r w:rsidR="00A42BBA" w:rsidRPr="001C2D0B">
        <w:rPr>
          <w:rFonts w:ascii="Times New Roman" w:hAnsi="Times New Roman" w:cs="Times New Roman"/>
          <w:sz w:val="24"/>
          <w:szCs w:val="24"/>
        </w:rPr>
        <w:t>Division</w:t>
      </w:r>
      <w:r w:rsidR="00D61E3F">
        <w:rPr>
          <w:rFonts w:ascii="Times New Roman" w:hAnsi="Times New Roman" w:cs="Times New Roman"/>
          <w:sz w:val="24"/>
          <w:szCs w:val="24"/>
        </w:rPr>
        <w:t> </w:t>
      </w:r>
      <w:r w:rsidR="00A42BBA" w:rsidRPr="001C2D0B">
        <w:rPr>
          <w:rFonts w:ascii="Times New Roman" w:hAnsi="Times New Roman" w:cs="Times New Roman"/>
          <w:sz w:val="24"/>
          <w:szCs w:val="24"/>
        </w:rPr>
        <w:t>2 of Part 1</w:t>
      </w:r>
      <w:r w:rsidR="008947EE">
        <w:rPr>
          <w:rFonts w:ascii="Times New Roman" w:hAnsi="Times New Roman" w:cs="Times New Roman"/>
          <w:sz w:val="24"/>
          <w:szCs w:val="24"/>
        </w:rPr>
        <w:t>1</w:t>
      </w:r>
      <w:r w:rsidR="00A42BBA" w:rsidRPr="001C2D0B">
        <w:rPr>
          <w:rFonts w:ascii="Times New Roman" w:hAnsi="Times New Roman" w:cs="Times New Roman"/>
          <w:sz w:val="24"/>
          <w:szCs w:val="24"/>
        </w:rPr>
        <w:t xml:space="preserve"> </w:t>
      </w:r>
      <w:r>
        <w:rPr>
          <w:rFonts w:ascii="Times New Roman" w:hAnsi="Times New Roman" w:cs="Times New Roman"/>
          <w:sz w:val="24"/>
          <w:szCs w:val="24"/>
        </w:rPr>
        <w:t>of the Levies Regulations in relation</w:t>
      </w:r>
      <w:r w:rsidR="00A42BBA" w:rsidRPr="001C2D0B">
        <w:rPr>
          <w:rFonts w:ascii="Times New Roman" w:hAnsi="Times New Roman" w:cs="Times New Roman"/>
          <w:sz w:val="24"/>
          <w:szCs w:val="24"/>
        </w:rPr>
        <w:t xml:space="preserve"> to the person. This Division prescribes the amount of well activity levy imposed on the submission of the plan</w:t>
      </w:r>
      <w:r w:rsidR="00874003">
        <w:rPr>
          <w:rFonts w:ascii="Times New Roman" w:hAnsi="Times New Roman" w:cs="Times New Roman"/>
          <w:sz w:val="24"/>
          <w:szCs w:val="24"/>
        </w:rPr>
        <w:t>,</w:t>
      </w:r>
      <w:r w:rsidR="00A42BBA" w:rsidRPr="001C2D0B">
        <w:rPr>
          <w:rFonts w:ascii="Times New Roman" w:hAnsi="Times New Roman" w:cs="Times New Roman"/>
          <w:sz w:val="24"/>
          <w:szCs w:val="24"/>
        </w:rPr>
        <w:t xml:space="preserve"> revised plan</w:t>
      </w:r>
      <w:r w:rsidR="00874003">
        <w:rPr>
          <w:rFonts w:ascii="Times New Roman" w:hAnsi="Times New Roman" w:cs="Times New Roman"/>
          <w:sz w:val="24"/>
          <w:szCs w:val="24"/>
        </w:rPr>
        <w:t xml:space="preserve"> or application</w:t>
      </w:r>
      <w:r w:rsidR="00A42BBA" w:rsidRPr="001C2D0B">
        <w:rPr>
          <w:rFonts w:ascii="Times New Roman" w:hAnsi="Times New Roman" w:cs="Times New Roman"/>
          <w:sz w:val="24"/>
          <w:szCs w:val="24"/>
        </w:rPr>
        <w:t xml:space="preserve">, and </w:t>
      </w:r>
      <w:r w:rsidR="00A42BBA">
        <w:rPr>
          <w:rFonts w:ascii="Times New Roman" w:hAnsi="Times New Roman" w:cs="Times New Roman"/>
          <w:sz w:val="24"/>
          <w:szCs w:val="24"/>
        </w:rPr>
        <w:t xml:space="preserve">provides </w:t>
      </w:r>
      <w:r w:rsidR="00A42BBA" w:rsidRPr="001C2D0B">
        <w:rPr>
          <w:rFonts w:ascii="Times New Roman" w:hAnsi="Times New Roman" w:cs="Times New Roman"/>
          <w:sz w:val="24"/>
          <w:szCs w:val="24"/>
        </w:rPr>
        <w:t>when the levy is due and payable.</w:t>
      </w:r>
    </w:p>
    <w:p w14:paraId="3AB80C12" w14:textId="3147B21E" w:rsidR="00A42BBA" w:rsidRPr="00FF0FCA" w:rsidRDefault="00874003" w:rsidP="0045691E">
      <w:pPr>
        <w:pStyle w:val="ListParagraph"/>
        <w:numPr>
          <w:ilvl w:val="0"/>
          <w:numId w:val="9"/>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Section 10G of the Levies Act imposes </w:t>
      </w:r>
      <w:r w:rsidR="00A42BBA" w:rsidRPr="001C2D0B">
        <w:rPr>
          <w:rFonts w:ascii="Times New Roman" w:hAnsi="Times New Roman" w:cs="Times New Roman"/>
          <w:sz w:val="24"/>
          <w:szCs w:val="24"/>
        </w:rPr>
        <w:t xml:space="preserve">environment plan levy on the submission of an environment plan, or a proposed revision of an environment plan, to NOPSEMA under </w:t>
      </w:r>
      <w:r w:rsidR="003D4E80">
        <w:rPr>
          <w:rFonts w:ascii="Times New Roman" w:hAnsi="Times New Roman" w:cs="Times New Roman"/>
          <w:sz w:val="24"/>
          <w:szCs w:val="24"/>
        </w:rPr>
        <w:t xml:space="preserve">a regulation of a State or Territory that substantially corresponds to </w:t>
      </w:r>
      <w:r w:rsidR="00A42BBA" w:rsidRPr="001C2D0B">
        <w:rPr>
          <w:rFonts w:ascii="Times New Roman" w:hAnsi="Times New Roman" w:cs="Times New Roman"/>
          <w:sz w:val="24"/>
          <w:szCs w:val="24"/>
        </w:rPr>
        <w:t xml:space="preserve">the Environment Regulations in relation to an activity </w:t>
      </w:r>
      <w:r>
        <w:rPr>
          <w:rFonts w:ascii="Times New Roman" w:hAnsi="Times New Roman" w:cs="Times New Roman"/>
          <w:sz w:val="24"/>
          <w:szCs w:val="24"/>
        </w:rPr>
        <w:t xml:space="preserve">or activities </w:t>
      </w:r>
      <w:r w:rsidR="00A42BBA" w:rsidRPr="001C2D0B">
        <w:rPr>
          <w:rFonts w:ascii="Times New Roman" w:hAnsi="Times New Roman" w:cs="Times New Roman"/>
          <w:sz w:val="24"/>
          <w:szCs w:val="24"/>
        </w:rPr>
        <w:t xml:space="preserve">carried out for the purpose of complying with </w:t>
      </w:r>
      <w:r>
        <w:rPr>
          <w:rFonts w:ascii="Times New Roman" w:hAnsi="Times New Roman" w:cs="Times New Roman"/>
          <w:sz w:val="24"/>
          <w:szCs w:val="24"/>
        </w:rPr>
        <w:t>a State/Territory remedial</w:t>
      </w:r>
      <w:r w:rsidRPr="001C2D0B">
        <w:rPr>
          <w:rFonts w:ascii="Times New Roman" w:hAnsi="Times New Roman" w:cs="Times New Roman"/>
          <w:sz w:val="24"/>
          <w:szCs w:val="24"/>
        </w:rPr>
        <w:t xml:space="preserve"> </w:t>
      </w:r>
      <w:r w:rsidR="00A42BBA" w:rsidRPr="001C2D0B">
        <w:rPr>
          <w:rFonts w:ascii="Times New Roman" w:hAnsi="Times New Roman" w:cs="Times New Roman"/>
          <w:sz w:val="24"/>
          <w:szCs w:val="24"/>
        </w:rPr>
        <w:t>direction</w:t>
      </w:r>
      <w:r>
        <w:rPr>
          <w:rFonts w:ascii="Times New Roman" w:hAnsi="Times New Roman" w:cs="Times New Roman"/>
          <w:sz w:val="24"/>
          <w:szCs w:val="24"/>
        </w:rPr>
        <w:t xml:space="preserve">. The levy is payable by the person who is subject to the direction. New subregulations 64B(3) and (5) provide for the application of </w:t>
      </w:r>
      <w:r w:rsidR="00A42BBA" w:rsidRPr="00FF0FCA">
        <w:rPr>
          <w:rFonts w:ascii="Times New Roman" w:hAnsi="Times New Roman" w:cs="Times New Roman"/>
          <w:sz w:val="24"/>
          <w:szCs w:val="24"/>
        </w:rPr>
        <w:t>Part 11</w:t>
      </w:r>
      <w:r w:rsidR="008947EE" w:rsidRPr="00FF0FCA">
        <w:rPr>
          <w:rFonts w:ascii="Times New Roman" w:hAnsi="Times New Roman" w:cs="Times New Roman"/>
          <w:sz w:val="24"/>
          <w:szCs w:val="24"/>
        </w:rPr>
        <w:t>C</w:t>
      </w:r>
      <w:r>
        <w:rPr>
          <w:rFonts w:ascii="Times New Roman" w:hAnsi="Times New Roman" w:cs="Times New Roman"/>
          <w:sz w:val="24"/>
          <w:szCs w:val="24"/>
        </w:rPr>
        <w:t xml:space="preserve"> of the Levies Regulations</w:t>
      </w:r>
      <w:r w:rsidR="00A42BBA" w:rsidRPr="00FF0FCA">
        <w:rPr>
          <w:rFonts w:ascii="Times New Roman" w:hAnsi="Times New Roman" w:cs="Times New Roman"/>
          <w:sz w:val="24"/>
          <w:szCs w:val="24"/>
        </w:rPr>
        <w:t>, excluding regulation 59</w:t>
      </w:r>
      <w:r w:rsidR="008947EE" w:rsidRPr="00FF0FCA">
        <w:rPr>
          <w:rFonts w:ascii="Times New Roman" w:hAnsi="Times New Roman" w:cs="Times New Roman"/>
          <w:sz w:val="24"/>
          <w:szCs w:val="24"/>
        </w:rPr>
        <w:t>F</w:t>
      </w:r>
      <w:r w:rsidR="00A42BBA" w:rsidRPr="00FF0FCA">
        <w:rPr>
          <w:rFonts w:ascii="Times New Roman" w:hAnsi="Times New Roman" w:cs="Times New Roman"/>
          <w:sz w:val="24"/>
          <w:szCs w:val="24"/>
        </w:rPr>
        <w:t xml:space="preserve">, </w:t>
      </w:r>
      <w:r>
        <w:rPr>
          <w:rFonts w:ascii="Times New Roman" w:hAnsi="Times New Roman" w:cs="Times New Roman"/>
          <w:sz w:val="24"/>
          <w:szCs w:val="24"/>
        </w:rPr>
        <w:t>in relation to the person</w:t>
      </w:r>
      <w:r w:rsidR="00A42BBA" w:rsidRPr="00FF0FCA">
        <w:rPr>
          <w:rFonts w:ascii="Times New Roman" w:hAnsi="Times New Roman" w:cs="Times New Roman"/>
          <w:sz w:val="24"/>
          <w:szCs w:val="24"/>
        </w:rPr>
        <w:t xml:space="preserve">. </w:t>
      </w:r>
    </w:p>
    <w:p w14:paraId="532552E9" w14:textId="05DC7BB6" w:rsidR="00874003" w:rsidRDefault="00874003" w:rsidP="0045691E">
      <w:pPr>
        <w:pStyle w:val="ListParagraph"/>
        <w:numPr>
          <w:ilvl w:val="0"/>
          <w:numId w:val="9"/>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Part 11C </w:t>
      </w:r>
      <w:r w:rsidR="00A42BBA" w:rsidRPr="001C2D0B">
        <w:rPr>
          <w:rFonts w:ascii="Times New Roman" w:hAnsi="Times New Roman" w:cs="Times New Roman"/>
          <w:sz w:val="24"/>
          <w:szCs w:val="24"/>
        </w:rPr>
        <w:t>sets out the manner for working out the amount of environment plan levy on the submission of the plan or revised plan</w:t>
      </w:r>
      <w:r>
        <w:rPr>
          <w:rFonts w:ascii="Times New Roman" w:hAnsi="Times New Roman" w:cs="Times New Roman"/>
          <w:sz w:val="24"/>
          <w:szCs w:val="24"/>
        </w:rPr>
        <w:t xml:space="preserve"> (see regulation 59G) and</w:t>
      </w:r>
      <w:r w:rsidR="00A42BBA">
        <w:rPr>
          <w:rFonts w:ascii="Times New Roman" w:hAnsi="Times New Roman" w:cs="Times New Roman"/>
          <w:sz w:val="24"/>
          <w:szCs w:val="24"/>
        </w:rPr>
        <w:t xml:space="preserve"> also sets out, amongst other matters, when the levy is due and payable.</w:t>
      </w:r>
    </w:p>
    <w:p w14:paraId="64C90DC2" w14:textId="29399B83" w:rsidR="00A42BBA" w:rsidRDefault="00874003" w:rsidP="0045691E">
      <w:pPr>
        <w:pStyle w:val="ListParagraph"/>
        <w:numPr>
          <w:ilvl w:val="0"/>
          <w:numId w:val="9"/>
        </w:numPr>
        <w:spacing w:before="240"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Regulation 59F is excluded as it is not necessary to deem the specified references in the definitions to include references to other terms if a State/Territory remedial direction is in force.</w:t>
      </w:r>
    </w:p>
    <w:p w14:paraId="5C377112" w14:textId="065D3ACA" w:rsidR="007A3C96" w:rsidRDefault="007A3C96" w:rsidP="007A3C96">
      <w:pPr>
        <w:spacing w:before="240" w:after="240"/>
        <w:rPr>
          <w:rFonts w:ascii="Times New Roman" w:hAnsi="Times New Roman" w:cs="Times New Roman"/>
          <w:sz w:val="24"/>
          <w:szCs w:val="24"/>
        </w:rPr>
      </w:pPr>
      <w:r>
        <w:rPr>
          <w:rFonts w:ascii="Times New Roman" w:hAnsi="Times New Roman" w:cs="Times New Roman"/>
          <w:sz w:val="24"/>
          <w:szCs w:val="24"/>
        </w:rPr>
        <w:t xml:space="preserve">Under </w:t>
      </w:r>
      <w:r w:rsidR="00681A91">
        <w:rPr>
          <w:rFonts w:ascii="Times New Roman" w:hAnsi="Times New Roman" w:cs="Times New Roman"/>
          <w:sz w:val="24"/>
          <w:szCs w:val="24"/>
        </w:rPr>
        <w:t xml:space="preserve">new </w:t>
      </w:r>
      <w:r>
        <w:rPr>
          <w:rFonts w:ascii="Times New Roman" w:hAnsi="Times New Roman" w:cs="Times New Roman"/>
          <w:sz w:val="24"/>
          <w:szCs w:val="24"/>
        </w:rPr>
        <w:t>subregulation 64</w:t>
      </w:r>
      <w:r w:rsidR="00291E9B">
        <w:rPr>
          <w:rFonts w:ascii="Times New Roman" w:hAnsi="Times New Roman" w:cs="Times New Roman"/>
          <w:sz w:val="24"/>
          <w:szCs w:val="24"/>
        </w:rPr>
        <w:t>B</w:t>
      </w:r>
      <w:r>
        <w:rPr>
          <w:rFonts w:ascii="Times New Roman" w:hAnsi="Times New Roman" w:cs="Times New Roman"/>
          <w:sz w:val="24"/>
          <w:szCs w:val="24"/>
        </w:rPr>
        <w:t>(</w:t>
      </w:r>
      <w:r w:rsidR="00FF0FCA">
        <w:rPr>
          <w:rFonts w:ascii="Times New Roman" w:hAnsi="Times New Roman" w:cs="Times New Roman"/>
          <w:sz w:val="24"/>
          <w:szCs w:val="24"/>
        </w:rPr>
        <w:t>4</w:t>
      </w:r>
      <w:r>
        <w:rPr>
          <w:rFonts w:ascii="Times New Roman" w:hAnsi="Times New Roman" w:cs="Times New Roman"/>
          <w:sz w:val="24"/>
          <w:szCs w:val="24"/>
        </w:rPr>
        <w:t xml:space="preserve">), if a </w:t>
      </w:r>
      <w:r w:rsidR="00291E9B">
        <w:rPr>
          <w:rFonts w:ascii="Times New Roman" w:hAnsi="Times New Roman" w:cs="Times New Roman"/>
          <w:sz w:val="24"/>
          <w:szCs w:val="24"/>
        </w:rPr>
        <w:t xml:space="preserve">State/Territory </w:t>
      </w:r>
      <w:r>
        <w:rPr>
          <w:rFonts w:ascii="Times New Roman" w:hAnsi="Times New Roman" w:cs="Times New Roman"/>
          <w:sz w:val="24"/>
          <w:szCs w:val="24"/>
        </w:rPr>
        <w:t xml:space="preserve">remedial direction is in force, the definition of </w:t>
      </w:r>
      <w:r w:rsidRPr="0045691E">
        <w:rPr>
          <w:rFonts w:ascii="Times New Roman" w:hAnsi="Times New Roman" w:cs="Times New Roman"/>
          <w:b/>
          <w:i/>
          <w:sz w:val="24"/>
          <w:szCs w:val="24"/>
        </w:rPr>
        <w:t>SMS amount</w:t>
      </w:r>
      <w:r>
        <w:rPr>
          <w:rFonts w:ascii="Times New Roman" w:hAnsi="Times New Roman" w:cs="Times New Roman"/>
          <w:sz w:val="24"/>
          <w:szCs w:val="24"/>
        </w:rPr>
        <w:t xml:space="preserve"> in regulation 3, </w:t>
      </w:r>
      <w:r w:rsidR="00FF0FCA">
        <w:rPr>
          <w:rFonts w:ascii="Times New Roman" w:hAnsi="Times New Roman" w:cs="Times New Roman"/>
          <w:sz w:val="24"/>
          <w:szCs w:val="24"/>
        </w:rPr>
        <w:t>Divisions 2 and 3 of Part 5,</w:t>
      </w:r>
      <w:r>
        <w:rPr>
          <w:rFonts w:ascii="Times New Roman" w:hAnsi="Times New Roman" w:cs="Times New Roman"/>
          <w:sz w:val="24"/>
          <w:szCs w:val="24"/>
        </w:rPr>
        <w:t xml:space="preserve"> </w:t>
      </w:r>
      <w:r w:rsidR="00FF0FCA">
        <w:rPr>
          <w:rFonts w:ascii="Times New Roman" w:hAnsi="Times New Roman" w:cs="Times New Roman"/>
          <w:sz w:val="24"/>
          <w:szCs w:val="24"/>
        </w:rPr>
        <w:t xml:space="preserve">regulation </w:t>
      </w:r>
      <w:r>
        <w:rPr>
          <w:rFonts w:ascii="Times New Roman" w:hAnsi="Times New Roman" w:cs="Times New Roman"/>
          <w:sz w:val="24"/>
          <w:szCs w:val="24"/>
        </w:rPr>
        <w:t>62 and Part</w:t>
      </w:r>
      <w:r w:rsidR="00724048">
        <w:rPr>
          <w:rFonts w:ascii="Times New Roman" w:hAnsi="Times New Roman" w:cs="Times New Roman"/>
          <w:sz w:val="24"/>
          <w:szCs w:val="24"/>
        </w:rPr>
        <w:t> </w:t>
      </w:r>
      <w:r>
        <w:rPr>
          <w:rFonts w:ascii="Times New Roman" w:hAnsi="Times New Roman" w:cs="Times New Roman"/>
          <w:sz w:val="24"/>
          <w:szCs w:val="24"/>
        </w:rPr>
        <w:t xml:space="preserve">2 of Schedule 3 </w:t>
      </w:r>
      <w:r w:rsidR="000A3EA4">
        <w:rPr>
          <w:rFonts w:ascii="Times New Roman" w:hAnsi="Times New Roman" w:cs="Times New Roman"/>
          <w:sz w:val="24"/>
          <w:szCs w:val="24"/>
        </w:rPr>
        <w:t xml:space="preserve">to </w:t>
      </w:r>
      <w:r>
        <w:rPr>
          <w:rFonts w:ascii="Times New Roman" w:hAnsi="Times New Roman" w:cs="Times New Roman"/>
          <w:sz w:val="24"/>
          <w:szCs w:val="24"/>
        </w:rPr>
        <w:t xml:space="preserve">the Levies Regulations apply as if a reference to a licensee or licensee of a pipeline licence included a reference to a person who </w:t>
      </w:r>
      <w:r w:rsidR="00874003">
        <w:rPr>
          <w:rFonts w:ascii="Times New Roman" w:hAnsi="Times New Roman" w:cs="Times New Roman"/>
          <w:sz w:val="24"/>
          <w:szCs w:val="24"/>
        </w:rPr>
        <w:t xml:space="preserve">is </w:t>
      </w:r>
      <w:r>
        <w:rPr>
          <w:rFonts w:ascii="Times New Roman" w:hAnsi="Times New Roman" w:cs="Times New Roman"/>
          <w:sz w:val="24"/>
          <w:szCs w:val="24"/>
        </w:rPr>
        <w:t xml:space="preserve">subject to a </w:t>
      </w:r>
      <w:r w:rsidR="00291E9B">
        <w:rPr>
          <w:rFonts w:ascii="Times New Roman" w:hAnsi="Times New Roman" w:cs="Times New Roman"/>
          <w:sz w:val="24"/>
          <w:szCs w:val="24"/>
        </w:rPr>
        <w:t xml:space="preserve">State/Territory </w:t>
      </w:r>
      <w:r>
        <w:rPr>
          <w:rFonts w:ascii="Times New Roman" w:hAnsi="Times New Roman" w:cs="Times New Roman"/>
          <w:sz w:val="24"/>
          <w:szCs w:val="24"/>
        </w:rPr>
        <w:t xml:space="preserve">petroleum </w:t>
      </w:r>
      <w:r w:rsidR="00291E9B">
        <w:rPr>
          <w:rFonts w:ascii="Times New Roman" w:hAnsi="Times New Roman" w:cs="Times New Roman"/>
          <w:sz w:val="24"/>
          <w:szCs w:val="24"/>
        </w:rPr>
        <w:t xml:space="preserve">remedial direction </w:t>
      </w:r>
      <w:r>
        <w:rPr>
          <w:rFonts w:ascii="Times New Roman" w:hAnsi="Times New Roman" w:cs="Times New Roman"/>
          <w:sz w:val="24"/>
          <w:szCs w:val="24"/>
        </w:rPr>
        <w:t xml:space="preserve">or </w:t>
      </w:r>
      <w:r w:rsidR="00291E9B">
        <w:rPr>
          <w:rFonts w:ascii="Times New Roman" w:hAnsi="Times New Roman" w:cs="Times New Roman"/>
          <w:sz w:val="24"/>
          <w:szCs w:val="24"/>
        </w:rPr>
        <w:t xml:space="preserve">a State/Territory </w:t>
      </w:r>
      <w:r>
        <w:rPr>
          <w:rFonts w:ascii="Times New Roman" w:hAnsi="Times New Roman" w:cs="Times New Roman"/>
          <w:sz w:val="24"/>
          <w:szCs w:val="24"/>
        </w:rPr>
        <w:t>greenhouse gas remedial direction.</w:t>
      </w:r>
    </w:p>
    <w:p w14:paraId="06EA27D9" w14:textId="6B4C4014" w:rsidR="004F279A" w:rsidRDefault="00874003" w:rsidP="007A3C96">
      <w:pPr>
        <w:spacing w:before="240" w:after="240"/>
        <w:rPr>
          <w:rFonts w:ascii="Times New Roman" w:hAnsi="Times New Roman" w:cs="Times New Roman"/>
          <w:sz w:val="24"/>
          <w:szCs w:val="24"/>
        </w:rPr>
      </w:pPr>
      <w:r>
        <w:rPr>
          <w:rFonts w:ascii="Times New Roman" w:hAnsi="Times New Roman" w:cs="Times New Roman"/>
          <w:sz w:val="24"/>
          <w:szCs w:val="24"/>
        </w:rPr>
        <w:t>Section 8 of the Levies Act imposes safety case levy in respect of a year if a safety ca</w:t>
      </w:r>
      <w:r w:rsidR="00705198">
        <w:rPr>
          <w:rFonts w:ascii="Times New Roman" w:hAnsi="Times New Roman" w:cs="Times New Roman"/>
          <w:sz w:val="24"/>
          <w:szCs w:val="24"/>
        </w:rPr>
        <w:t>se is in force at the start of the</w:t>
      </w:r>
      <w:r>
        <w:rPr>
          <w:rFonts w:ascii="Times New Roman" w:hAnsi="Times New Roman" w:cs="Times New Roman"/>
          <w:sz w:val="24"/>
          <w:szCs w:val="24"/>
        </w:rPr>
        <w:t xml:space="preserve"> year, or during part of </w:t>
      </w:r>
      <w:r w:rsidR="00705198">
        <w:rPr>
          <w:rFonts w:ascii="Times New Roman" w:hAnsi="Times New Roman" w:cs="Times New Roman"/>
          <w:sz w:val="24"/>
          <w:szCs w:val="24"/>
        </w:rPr>
        <w:t>the</w:t>
      </w:r>
      <w:r>
        <w:rPr>
          <w:rFonts w:ascii="Times New Roman" w:hAnsi="Times New Roman" w:cs="Times New Roman"/>
          <w:sz w:val="24"/>
          <w:szCs w:val="24"/>
        </w:rPr>
        <w:t xml:space="preserve"> year but not at the start of the year, for a facility (including a pipeline) located, or proposed to be located, in the designated coastal waters of a State or of the Northern Territory. </w:t>
      </w:r>
      <w:r w:rsidR="00A42BBA" w:rsidRPr="001C2D0B">
        <w:rPr>
          <w:rFonts w:ascii="Times New Roman" w:hAnsi="Times New Roman" w:cs="Times New Roman"/>
          <w:sz w:val="24"/>
          <w:szCs w:val="24"/>
        </w:rPr>
        <w:t>The effect of new sub</w:t>
      </w:r>
      <w:r>
        <w:rPr>
          <w:rFonts w:ascii="Times New Roman" w:hAnsi="Times New Roman" w:cs="Times New Roman"/>
          <w:sz w:val="24"/>
          <w:szCs w:val="24"/>
        </w:rPr>
        <w:t>regulation 64B(4)</w:t>
      </w:r>
      <w:r w:rsidR="00A42BBA" w:rsidRPr="001C2D0B">
        <w:rPr>
          <w:rFonts w:ascii="Times New Roman" w:hAnsi="Times New Roman" w:cs="Times New Roman"/>
          <w:sz w:val="24"/>
          <w:szCs w:val="24"/>
        </w:rPr>
        <w:t xml:space="preserve"> is </w:t>
      </w:r>
      <w:r w:rsidR="00705198">
        <w:rPr>
          <w:rFonts w:ascii="Times New Roman" w:hAnsi="Times New Roman" w:cs="Times New Roman"/>
          <w:sz w:val="24"/>
          <w:szCs w:val="24"/>
        </w:rPr>
        <w:t xml:space="preserve">to provide for the manner in which relevant provisions of the Levies Regulations </w:t>
      </w:r>
      <w:r w:rsidR="00A42BBA" w:rsidRPr="001C2D0B">
        <w:rPr>
          <w:rFonts w:ascii="Times New Roman" w:hAnsi="Times New Roman" w:cs="Times New Roman"/>
          <w:sz w:val="24"/>
          <w:szCs w:val="24"/>
        </w:rPr>
        <w:t xml:space="preserve">apply to </w:t>
      </w:r>
      <w:r w:rsidR="00705198">
        <w:rPr>
          <w:rFonts w:ascii="Times New Roman" w:hAnsi="Times New Roman" w:cs="Times New Roman"/>
          <w:sz w:val="24"/>
          <w:szCs w:val="24"/>
        </w:rPr>
        <w:t>a</w:t>
      </w:r>
      <w:r w:rsidR="00A42BBA" w:rsidRPr="001C2D0B">
        <w:rPr>
          <w:rFonts w:ascii="Times New Roman" w:hAnsi="Times New Roman" w:cs="Times New Roman"/>
          <w:sz w:val="24"/>
          <w:szCs w:val="24"/>
        </w:rPr>
        <w:t xml:space="preserve"> </w:t>
      </w:r>
      <w:r w:rsidR="00A42BBA">
        <w:rPr>
          <w:rFonts w:ascii="Times New Roman" w:hAnsi="Times New Roman" w:cs="Times New Roman"/>
          <w:sz w:val="24"/>
          <w:szCs w:val="24"/>
        </w:rPr>
        <w:t xml:space="preserve">person who is subject to </w:t>
      </w:r>
      <w:r w:rsidR="00705198">
        <w:rPr>
          <w:rFonts w:ascii="Times New Roman" w:hAnsi="Times New Roman" w:cs="Times New Roman"/>
          <w:sz w:val="24"/>
          <w:szCs w:val="24"/>
        </w:rPr>
        <w:t>a State/Territory remedial</w:t>
      </w:r>
      <w:r w:rsidR="00A42BBA">
        <w:rPr>
          <w:rFonts w:ascii="Times New Roman" w:hAnsi="Times New Roman" w:cs="Times New Roman"/>
          <w:sz w:val="24"/>
          <w:szCs w:val="24"/>
        </w:rPr>
        <w:t xml:space="preserve"> direction in respect of the levy</w:t>
      </w:r>
      <w:r w:rsidR="00705198">
        <w:rPr>
          <w:rFonts w:ascii="Times New Roman" w:hAnsi="Times New Roman" w:cs="Times New Roman"/>
          <w:sz w:val="24"/>
          <w:szCs w:val="24"/>
        </w:rPr>
        <w:t>, if a State/Territory remedial direction is in force in relation to a facility that is a pipeline in designated coastal waters and safety case levy is imposed on a safety case for the facility</w:t>
      </w:r>
      <w:r w:rsidR="00A42BBA" w:rsidRPr="001C2D0B">
        <w:rPr>
          <w:rFonts w:ascii="Times New Roman" w:hAnsi="Times New Roman" w:cs="Times New Roman"/>
          <w:sz w:val="24"/>
          <w:szCs w:val="24"/>
        </w:rPr>
        <w:t xml:space="preserve">. </w:t>
      </w:r>
      <w:r w:rsidR="00705198">
        <w:rPr>
          <w:rFonts w:ascii="Times New Roman" w:hAnsi="Times New Roman" w:cs="Times New Roman"/>
          <w:sz w:val="24"/>
          <w:szCs w:val="24"/>
        </w:rPr>
        <w:t xml:space="preserve">This includes Part 5 of the </w:t>
      </w:r>
      <w:r w:rsidR="004F279A">
        <w:rPr>
          <w:rFonts w:ascii="Times New Roman" w:hAnsi="Times New Roman" w:cs="Times New Roman"/>
          <w:sz w:val="24"/>
          <w:szCs w:val="24"/>
        </w:rPr>
        <w:t>Levies Regulations, which</w:t>
      </w:r>
      <w:r w:rsidR="00A42BBA" w:rsidRPr="001C2D0B">
        <w:rPr>
          <w:rFonts w:ascii="Times New Roman" w:hAnsi="Times New Roman" w:cs="Times New Roman"/>
          <w:sz w:val="24"/>
          <w:szCs w:val="24"/>
        </w:rPr>
        <w:t xml:space="preserve"> </w:t>
      </w:r>
      <w:r w:rsidR="00A42BBA">
        <w:rPr>
          <w:rFonts w:ascii="Times New Roman" w:hAnsi="Times New Roman" w:cs="Times New Roman"/>
          <w:sz w:val="24"/>
          <w:szCs w:val="24"/>
        </w:rPr>
        <w:t>set</w:t>
      </w:r>
      <w:r w:rsidR="004F279A">
        <w:rPr>
          <w:rFonts w:ascii="Times New Roman" w:hAnsi="Times New Roman" w:cs="Times New Roman"/>
          <w:sz w:val="24"/>
          <w:szCs w:val="24"/>
        </w:rPr>
        <w:t>s</w:t>
      </w:r>
      <w:r w:rsidR="00A42BBA">
        <w:rPr>
          <w:rFonts w:ascii="Times New Roman" w:hAnsi="Times New Roman" w:cs="Times New Roman"/>
          <w:sz w:val="24"/>
          <w:szCs w:val="24"/>
        </w:rPr>
        <w:t xml:space="preserve"> out, amongst other things,</w:t>
      </w:r>
      <w:r w:rsidR="00A42BBA" w:rsidRPr="001C2D0B">
        <w:rPr>
          <w:rFonts w:ascii="Times New Roman" w:hAnsi="Times New Roman" w:cs="Times New Roman"/>
          <w:sz w:val="24"/>
          <w:szCs w:val="24"/>
        </w:rPr>
        <w:t xml:space="preserve"> the manner for working out the amount of safety case levy that is imposed</w:t>
      </w:r>
      <w:r w:rsidR="00A42BBA">
        <w:rPr>
          <w:rFonts w:ascii="Times New Roman" w:hAnsi="Times New Roman" w:cs="Times New Roman"/>
          <w:sz w:val="24"/>
          <w:szCs w:val="24"/>
        </w:rPr>
        <w:t>, and when the</w:t>
      </w:r>
      <w:r w:rsidR="00A42BBA" w:rsidRPr="001C2D0B">
        <w:rPr>
          <w:rFonts w:ascii="Times New Roman" w:hAnsi="Times New Roman" w:cs="Times New Roman"/>
          <w:sz w:val="24"/>
          <w:szCs w:val="24"/>
        </w:rPr>
        <w:t xml:space="preserve"> levy</w:t>
      </w:r>
      <w:r w:rsidR="00A42BBA">
        <w:rPr>
          <w:rFonts w:ascii="Times New Roman" w:hAnsi="Times New Roman" w:cs="Times New Roman"/>
          <w:sz w:val="24"/>
          <w:szCs w:val="24"/>
        </w:rPr>
        <w:t xml:space="preserve"> is due and payable</w:t>
      </w:r>
      <w:r w:rsidR="00A42BBA" w:rsidRPr="001C2D0B">
        <w:rPr>
          <w:rFonts w:ascii="Times New Roman" w:hAnsi="Times New Roman" w:cs="Times New Roman"/>
          <w:sz w:val="24"/>
          <w:szCs w:val="24"/>
        </w:rPr>
        <w:t xml:space="preserve">. </w:t>
      </w:r>
      <w:r w:rsidR="004F279A">
        <w:rPr>
          <w:rFonts w:ascii="Times New Roman" w:hAnsi="Times New Roman" w:cs="Times New Roman"/>
          <w:sz w:val="24"/>
          <w:szCs w:val="24"/>
        </w:rPr>
        <w:t xml:space="preserve">In addition, the definition of </w:t>
      </w:r>
      <w:r w:rsidR="004F279A">
        <w:rPr>
          <w:rFonts w:ascii="Times New Roman" w:hAnsi="Times New Roman" w:cs="Times New Roman"/>
          <w:b/>
          <w:i/>
          <w:sz w:val="24"/>
          <w:szCs w:val="24"/>
        </w:rPr>
        <w:t>SMS amount</w:t>
      </w:r>
      <w:r w:rsidR="004F279A">
        <w:rPr>
          <w:rFonts w:ascii="Times New Roman" w:hAnsi="Times New Roman" w:cs="Times New Roman"/>
          <w:sz w:val="24"/>
          <w:szCs w:val="24"/>
        </w:rPr>
        <w:t xml:space="preserve"> in regulation 3 is relevant to determining</w:t>
      </w:r>
      <w:r w:rsidR="00A42BBA">
        <w:rPr>
          <w:rFonts w:ascii="Times New Roman" w:hAnsi="Times New Roman" w:cs="Times New Roman"/>
          <w:sz w:val="24"/>
          <w:szCs w:val="24"/>
        </w:rPr>
        <w:t xml:space="preserve"> the amount of safety case levy imposed on a safety case for a facility that is a pipeline</w:t>
      </w:r>
      <w:r w:rsidR="004F279A">
        <w:rPr>
          <w:rFonts w:ascii="Times New Roman" w:hAnsi="Times New Roman" w:cs="Times New Roman"/>
          <w:sz w:val="24"/>
          <w:szCs w:val="24"/>
        </w:rPr>
        <w:t xml:space="preserve"> (see subregulation 29(1A)). Part 2 of Schedule 3 provide for the SMS amount.</w:t>
      </w:r>
    </w:p>
    <w:p w14:paraId="2F17C6F2" w14:textId="41A506AA" w:rsidR="004F279A" w:rsidRDefault="004F279A" w:rsidP="004F279A">
      <w:pPr>
        <w:spacing w:before="240" w:after="240"/>
        <w:rPr>
          <w:rFonts w:ascii="Times New Roman" w:hAnsi="Times New Roman" w:cs="Times New Roman"/>
          <w:sz w:val="24"/>
          <w:szCs w:val="24"/>
        </w:rPr>
      </w:pPr>
      <w:r>
        <w:rPr>
          <w:rFonts w:ascii="Times New Roman" w:hAnsi="Times New Roman" w:cs="Times New Roman"/>
          <w:sz w:val="24"/>
          <w:szCs w:val="24"/>
        </w:rPr>
        <w:t xml:space="preserve">Subregulations 64B(3) and (4) also </w:t>
      </w:r>
      <w:r w:rsidRPr="0003582B">
        <w:rPr>
          <w:rFonts w:ascii="Times New Roman" w:hAnsi="Times New Roman" w:cs="Times New Roman"/>
          <w:sz w:val="24"/>
          <w:szCs w:val="24"/>
        </w:rPr>
        <w:t>provide for the manner in which regulation 62 applies to a levy payer that is a person</w:t>
      </w:r>
      <w:r w:rsidR="00C761DF">
        <w:rPr>
          <w:rFonts w:ascii="Times New Roman" w:hAnsi="Times New Roman" w:cs="Times New Roman"/>
          <w:sz w:val="24"/>
          <w:szCs w:val="24"/>
        </w:rPr>
        <w:t xml:space="preserve"> who is</w:t>
      </w:r>
      <w:r w:rsidRPr="0003582B">
        <w:rPr>
          <w:rFonts w:ascii="Times New Roman" w:hAnsi="Times New Roman" w:cs="Times New Roman"/>
          <w:sz w:val="24"/>
          <w:szCs w:val="24"/>
        </w:rPr>
        <w:t xml:space="preserve"> subject to a </w:t>
      </w:r>
      <w:r>
        <w:rPr>
          <w:rFonts w:ascii="Times New Roman" w:hAnsi="Times New Roman" w:cs="Times New Roman"/>
          <w:sz w:val="24"/>
          <w:szCs w:val="24"/>
        </w:rPr>
        <w:t xml:space="preserve">State/Territory </w:t>
      </w:r>
      <w:r w:rsidRPr="0003582B">
        <w:rPr>
          <w:rFonts w:ascii="Times New Roman" w:hAnsi="Times New Roman" w:cs="Times New Roman"/>
          <w:sz w:val="24"/>
          <w:szCs w:val="24"/>
        </w:rPr>
        <w:t>remedial direction.</w:t>
      </w:r>
      <w:r>
        <w:rPr>
          <w:rFonts w:ascii="Times New Roman" w:hAnsi="Times New Roman" w:cs="Times New Roman"/>
          <w:sz w:val="24"/>
          <w:szCs w:val="24"/>
        </w:rPr>
        <w:t xml:space="preserve"> Regulation</w:t>
      </w:r>
      <w:r w:rsidR="00724048">
        <w:rPr>
          <w:rFonts w:ascii="Times New Roman" w:hAnsi="Times New Roman" w:cs="Times New Roman"/>
          <w:sz w:val="24"/>
          <w:szCs w:val="24"/>
        </w:rPr>
        <w:t> </w:t>
      </w:r>
      <w:r>
        <w:rPr>
          <w:rFonts w:ascii="Times New Roman" w:hAnsi="Times New Roman" w:cs="Times New Roman"/>
          <w:sz w:val="24"/>
          <w:szCs w:val="24"/>
        </w:rPr>
        <w:t>62 requires the Chief Executive Officer of NOPSEMA to prepare a financial report in respect of each financial year that assesses the cost effectiveness of the operations of NOPSEMA in that financial year, and to give a copy of the report to levy payers. Subregulations 64B(3) and (4) ensure that a report must also be given to a person</w:t>
      </w:r>
      <w:r w:rsidR="00C761DF">
        <w:rPr>
          <w:rFonts w:ascii="Times New Roman" w:hAnsi="Times New Roman" w:cs="Times New Roman"/>
          <w:sz w:val="24"/>
          <w:szCs w:val="24"/>
        </w:rPr>
        <w:t xml:space="preserve"> who is</w:t>
      </w:r>
      <w:r>
        <w:rPr>
          <w:rFonts w:ascii="Times New Roman" w:hAnsi="Times New Roman" w:cs="Times New Roman"/>
          <w:sz w:val="24"/>
          <w:szCs w:val="24"/>
        </w:rPr>
        <w:t xml:space="preserve"> subject to a State/Territory remedial direction who has been required to pay levy in the financial year. </w:t>
      </w:r>
    </w:p>
    <w:p w14:paraId="3E38060F" w14:textId="339B1159" w:rsidR="004F279A" w:rsidRPr="000263AB" w:rsidRDefault="004F279A" w:rsidP="004F279A">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If a person is a current State/Territory titleholder subject to a remedial direction under a provision of a State PSLA or Territory PSLA that substantially corresponds to section 586, 586A, 591B or 592, the Levies Regulations continue to apply to that person as a titleholder. The amendments ensure extended application of relevant provisions of the Levies Regulations if a State/Territory remedial direction is given to a person other than the current titleholder. </w:t>
      </w:r>
    </w:p>
    <w:p w14:paraId="1829CF4E" w14:textId="7CD0FB56" w:rsidR="004C0A52" w:rsidRDefault="004C0A52" w:rsidP="0045691E">
      <w:pPr>
        <w:keepNext/>
        <w:keepLines/>
        <w:spacing w:before="80" w:after="0" w:line="240" w:lineRule="auto"/>
        <w:rPr>
          <w:rFonts w:ascii="Times New Roman" w:hAnsi="Times New Roman" w:cs="Times New Roman"/>
          <w:b/>
          <w:sz w:val="24"/>
          <w:szCs w:val="24"/>
        </w:rPr>
      </w:pPr>
      <w:r>
        <w:rPr>
          <w:rFonts w:ascii="Times New Roman" w:hAnsi="Times New Roman" w:cs="Times New Roman"/>
          <w:b/>
          <w:sz w:val="24"/>
          <w:szCs w:val="24"/>
        </w:rPr>
        <w:t xml:space="preserve">Item 16 </w:t>
      </w:r>
      <w:r w:rsidRPr="00FF119D">
        <w:rPr>
          <w:rFonts w:ascii="Times New Roman" w:hAnsi="Times New Roman" w:cs="Times New Roman"/>
          <w:b/>
          <w:sz w:val="24"/>
          <w:szCs w:val="24"/>
        </w:rPr>
        <w:t xml:space="preserve">– </w:t>
      </w:r>
      <w:r>
        <w:rPr>
          <w:rFonts w:ascii="Times New Roman" w:hAnsi="Times New Roman" w:cs="Times New Roman"/>
          <w:b/>
          <w:sz w:val="24"/>
          <w:szCs w:val="24"/>
        </w:rPr>
        <w:t>Schedule 2 (note)</w:t>
      </w:r>
    </w:p>
    <w:p w14:paraId="79EAE663" w14:textId="68822909" w:rsidR="004C0A52" w:rsidRDefault="004C0A52"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Schedule 2 </w:t>
      </w:r>
      <w:r w:rsidR="00FF0158">
        <w:rPr>
          <w:rFonts w:ascii="Times New Roman" w:hAnsi="Times New Roman" w:cs="Times New Roman"/>
          <w:sz w:val="24"/>
          <w:szCs w:val="24"/>
        </w:rPr>
        <w:t xml:space="preserve">describes </w:t>
      </w:r>
      <w:r>
        <w:rPr>
          <w:rFonts w:ascii="Times New Roman" w:hAnsi="Times New Roman" w:cs="Times New Roman"/>
          <w:sz w:val="24"/>
          <w:szCs w:val="24"/>
        </w:rPr>
        <w:t>mobile facilities.</w:t>
      </w:r>
    </w:p>
    <w:p w14:paraId="5F15D930" w14:textId="2287BC38" w:rsidR="004C0A52" w:rsidRDefault="004C0A52"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note at Schedule 2 </w:t>
      </w:r>
      <w:r w:rsidR="0005028E">
        <w:rPr>
          <w:rFonts w:ascii="Times New Roman" w:hAnsi="Times New Roman" w:cs="Times New Roman"/>
          <w:sz w:val="24"/>
          <w:szCs w:val="24"/>
        </w:rPr>
        <w:t>explains</w:t>
      </w:r>
      <w:r>
        <w:rPr>
          <w:rFonts w:ascii="Times New Roman" w:hAnsi="Times New Roman" w:cs="Times New Roman"/>
          <w:sz w:val="24"/>
          <w:szCs w:val="24"/>
        </w:rPr>
        <w:t xml:space="preserve"> that regulations 25 and 33 provide for</w:t>
      </w:r>
      <w:r w:rsidR="00FF0158">
        <w:rPr>
          <w:rFonts w:ascii="Times New Roman" w:hAnsi="Times New Roman" w:cs="Times New Roman"/>
          <w:sz w:val="24"/>
          <w:szCs w:val="24"/>
        </w:rPr>
        <w:t xml:space="preserve"> when</w:t>
      </w:r>
      <w:r>
        <w:rPr>
          <w:rFonts w:ascii="Times New Roman" w:hAnsi="Times New Roman" w:cs="Times New Roman"/>
          <w:sz w:val="24"/>
          <w:szCs w:val="24"/>
        </w:rPr>
        <w:t xml:space="preserve"> part of an amount of a safety case levy </w:t>
      </w:r>
      <w:r w:rsidR="0005028E">
        <w:rPr>
          <w:rFonts w:ascii="Times New Roman" w:hAnsi="Times New Roman" w:cs="Times New Roman"/>
          <w:sz w:val="24"/>
          <w:szCs w:val="24"/>
        </w:rPr>
        <w:t xml:space="preserve">imposed </w:t>
      </w:r>
      <w:r w:rsidR="00FF0158">
        <w:rPr>
          <w:rFonts w:ascii="Times New Roman" w:hAnsi="Times New Roman" w:cs="Times New Roman"/>
          <w:sz w:val="24"/>
          <w:szCs w:val="24"/>
        </w:rPr>
        <w:t xml:space="preserve">in respect of a mobile facility </w:t>
      </w:r>
      <w:r w:rsidR="0005028E">
        <w:rPr>
          <w:rFonts w:ascii="Times New Roman" w:hAnsi="Times New Roman" w:cs="Times New Roman"/>
          <w:sz w:val="24"/>
          <w:szCs w:val="24"/>
        </w:rPr>
        <w:t>and</w:t>
      </w:r>
      <w:r w:rsidR="00FF0158">
        <w:rPr>
          <w:rFonts w:ascii="Times New Roman" w:hAnsi="Times New Roman" w:cs="Times New Roman"/>
          <w:sz w:val="24"/>
          <w:szCs w:val="24"/>
        </w:rPr>
        <w:t xml:space="preserve"> a year, or a part of a year, </w:t>
      </w:r>
      <w:r w:rsidR="0005028E">
        <w:rPr>
          <w:rFonts w:ascii="Times New Roman" w:hAnsi="Times New Roman" w:cs="Times New Roman"/>
          <w:sz w:val="24"/>
          <w:szCs w:val="24"/>
        </w:rPr>
        <w:t>must</w:t>
      </w:r>
      <w:r w:rsidR="00FF0158">
        <w:rPr>
          <w:rFonts w:ascii="Times New Roman" w:hAnsi="Times New Roman" w:cs="Times New Roman"/>
          <w:sz w:val="24"/>
          <w:szCs w:val="24"/>
        </w:rPr>
        <w:t xml:space="preserve"> </w:t>
      </w:r>
      <w:r>
        <w:rPr>
          <w:rFonts w:ascii="Times New Roman" w:hAnsi="Times New Roman" w:cs="Times New Roman"/>
          <w:sz w:val="24"/>
          <w:szCs w:val="24"/>
        </w:rPr>
        <w:t xml:space="preserve">be remitted or refunded. </w:t>
      </w:r>
    </w:p>
    <w:p w14:paraId="2D5B23F0" w14:textId="3A6080CD" w:rsidR="00FF0158" w:rsidRDefault="0005028E" w:rsidP="000D0E22">
      <w:pPr>
        <w:spacing w:before="240" w:after="240"/>
        <w:rPr>
          <w:rFonts w:ascii="Times New Roman" w:hAnsi="Times New Roman" w:cs="Times New Roman"/>
          <w:sz w:val="24"/>
          <w:szCs w:val="24"/>
        </w:rPr>
      </w:pPr>
      <w:r w:rsidRPr="00D61D3B">
        <w:rPr>
          <w:rFonts w:ascii="Times New Roman" w:hAnsi="Times New Roman" w:cs="Times New Roman"/>
          <w:sz w:val="24"/>
          <w:szCs w:val="24"/>
        </w:rPr>
        <w:t xml:space="preserve">The </w:t>
      </w:r>
      <w:r w:rsidRPr="00DF7357">
        <w:rPr>
          <w:rFonts w:ascii="Times New Roman" w:hAnsi="Times New Roman" w:cs="Times New Roman"/>
          <w:sz w:val="24"/>
          <w:szCs w:val="24"/>
        </w:rPr>
        <w:t xml:space="preserve">Levies Amendment Act </w:t>
      </w:r>
      <w:r>
        <w:rPr>
          <w:rFonts w:ascii="Times New Roman" w:hAnsi="Times New Roman" w:cs="Times New Roman"/>
          <w:sz w:val="24"/>
          <w:szCs w:val="24"/>
        </w:rPr>
        <w:t xml:space="preserve">amended the Levies Act </w:t>
      </w:r>
      <w:r w:rsidRPr="00D61D3B">
        <w:rPr>
          <w:rFonts w:ascii="Times New Roman" w:hAnsi="Times New Roman" w:cs="Times New Roman"/>
          <w:sz w:val="24"/>
          <w:szCs w:val="24"/>
        </w:rPr>
        <w:t>so that the safety case levy is only imposed in respect of a year, and is no longer imposed in respect of a part of a year</w:t>
      </w:r>
      <w:r>
        <w:rPr>
          <w:rFonts w:ascii="Times New Roman" w:hAnsi="Times New Roman" w:cs="Times New Roman"/>
          <w:sz w:val="24"/>
          <w:szCs w:val="24"/>
        </w:rPr>
        <w:t xml:space="preserve">. </w:t>
      </w:r>
      <w:r w:rsidR="00FF0158">
        <w:rPr>
          <w:rFonts w:ascii="Times New Roman" w:hAnsi="Times New Roman" w:cs="Times New Roman"/>
          <w:sz w:val="24"/>
          <w:szCs w:val="24"/>
        </w:rPr>
        <w:t xml:space="preserve">This item omits </w:t>
      </w:r>
      <w:r w:rsidR="00F67088">
        <w:rPr>
          <w:rFonts w:ascii="Times New Roman" w:hAnsi="Times New Roman" w:cs="Times New Roman"/>
          <w:sz w:val="24"/>
          <w:szCs w:val="24"/>
        </w:rPr>
        <w:t xml:space="preserve">“, </w:t>
      </w:r>
      <w:r w:rsidR="00FF0158">
        <w:rPr>
          <w:rFonts w:ascii="Times New Roman" w:hAnsi="Times New Roman" w:cs="Times New Roman"/>
          <w:sz w:val="24"/>
          <w:szCs w:val="24"/>
        </w:rPr>
        <w:t xml:space="preserve">or </w:t>
      </w:r>
      <w:r>
        <w:rPr>
          <w:rFonts w:ascii="Times New Roman" w:hAnsi="Times New Roman" w:cs="Times New Roman"/>
          <w:sz w:val="24"/>
          <w:szCs w:val="24"/>
        </w:rPr>
        <w:t xml:space="preserve">a </w:t>
      </w:r>
      <w:r w:rsidR="00FF0158">
        <w:rPr>
          <w:rFonts w:ascii="Times New Roman" w:hAnsi="Times New Roman" w:cs="Times New Roman"/>
          <w:sz w:val="24"/>
          <w:szCs w:val="24"/>
        </w:rPr>
        <w:t xml:space="preserve">part of a </w:t>
      </w:r>
      <w:r w:rsidR="00F67088">
        <w:rPr>
          <w:rFonts w:ascii="Times New Roman" w:hAnsi="Times New Roman" w:cs="Times New Roman"/>
          <w:sz w:val="24"/>
          <w:szCs w:val="24"/>
        </w:rPr>
        <w:t xml:space="preserve">year,” </w:t>
      </w:r>
      <w:r w:rsidR="00FF0158">
        <w:rPr>
          <w:rFonts w:ascii="Times New Roman" w:hAnsi="Times New Roman" w:cs="Times New Roman"/>
          <w:sz w:val="24"/>
          <w:szCs w:val="24"/>
        </w:rPr>
        <w:t xml:space="preserve">from the note as a consequence of the amendments made by the Levies Amendment Act. </w:t>
      </w:r>
    </w:p>
    <w:p w14:paraId="6007F124" w14:textId="77777777" w:rsidR="00151E77" w:rsidRPr="00A05265" w:rsidRDefault="00151E77" w:rsidP="000D0E22">
      <w:pPr>
        <w:spacing w:before="240" w:after="240"/>
        <w:rPr>
          <w:rFonts w:ascii="Times New Roman" w:hAnsi="Times New Roman" w:cs="Times New Roman"/>
          <w:sz w:val="24"/>
          <w:szCs w:val="24"/>
        </w:rPr>
        <w:sectPr w:rsidR="00151E77" w:rsidRPr="00A05265">
          <w:pgSz w:w="11906" w:h="16838"/>
          <w:pgMar w:top="1440" w:right="1440" w:bottom="1440" w:left="1440" w:header="708" w:footer="708" w:gutter="0"/>
          <w:cols w:space="708"/>
          <w:docGrid w:linePitch="360"/>
        </w:sectPr>
      </w:pPr>
    </w:p>
    <w:p w14:paraId="2A1B731D"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7A1BEF1B"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1CB0DB44" w14:textId="7EE1418A" w:rsidR="00547F8D" w:rsidRPr="00547F8D" w:rsidRDefault="00F322CA" w:rsidP="00547F8D">
      <w:pPr>
        <w:spacing w:before="240" w:after="240"/>
        <w:jc w:val="center"/>
        <w:rPr>
          <w:rFonts w:ascii="Times New Roman" w:hAnsi="Times New Roman" w:cs="Times New Roman"/>
          <w:i/>
          <w:sz w:val="24"/>
          <w:szCs w:val="24"/>
        </w:rPr>
      </w:pPr>
      <w:r>
        <w:rPr>
          <w:rFonts w:ascii="Times New Roman" w:hAnsi="Times New Roman" w:cs="Times New Roman"/>
          <w:i/>
          <w:sz w:val="24"/>
          <w:szCs w:val="24"/>
        </w:rPr>
        <w:t>Offshore Petroleum and Greenhouse Gas Storage (Regulatory Levies) Amendment (Titles Administration) Regulations 2021</w:t>
      </w:r>
    </w:p>
    <w:p w14:paraId="47D88E4E" w14:textId="37AA5654" w:rsidR="00547F8D" w:rsidRPr="00547F8D" w:rsidRDefault="004B60D2" w:rsidP="004B60D2">
      <w:pPr>
        <w:spacing w:before="240" w:after="240"/>
        <w:rPr>
          <w:rFonts w:ascii="Times New Roman" w:hAnsi="Times New Roman" w:cs="Times New Roman"/>
          <w:sz w:val="24"/>
          <w:szCs w:val="24"/>
        </w:rPr>
      </w:pPr>
      <w:r>
        <w:rPr>
          <w:rFonts w:ascii="Times New Roman" w:hAnsi="Times New Roman" w:cs="Times New Roman"/>
          <w:sz w:val="24"/>
          <w:szCs w:val="24"/>
        </w:rPr>
        <w:t>These regulations are</w:t>
      </w:r>
      <w:r w:rsidR="00547F8D" w:rsidRPr="00547F8D">
        <w:rPr>
          <w:rFonts w:ascii="Times New Roman" w:hAnsi="Times New Roman" w:cs="Times New Roman"/>
          <w:sz w:val="24"/>
          <w:szCs w:val="24"/>
        </w:rPr>
        <w:t xml:space="preserve"> compatible with the human rights and freedoms recognised or declared in the international instruments listed in section 3 of the </w:t>
      </w:r>
      <w:r w:rsidR="00547F8D" w:rsidRPr="00547F8D">
        <w:rPr>
          <w:rFonts w:ascii="Times New Roman" w:hAnsi="Times New Roman" w:cs="Times New Roman"/>
          <w:i/>
          <w:sz w:val="24"/>
          <w:szCs w:val="24"/>
        </w:rPr>
        <w:t>Human Rights (Parliamentary Scrutiny) Act 2011</w:t>
      </w:r>
      <w:r w:rsidR="00547F8D" w:rsidRPr="00547F8D">
        <w:rPr>
          <w:rFonts w:ascii="Times New Roman" w:hAnsi="Times New Roman" w:cs="Times New Roman"/>
          <w:sz w:val="24"/>
          <w:szCs w:val="24"/>
        </w:rPr>
        <w:t>.</w:t>
      </w:r>
    </w:p>
    <w:p w14:paraId="59D80E91" w14:textId="77777777" w:rsidR="00547F8D" w:rsidRPr="00547F8D" w:rsidRDefault="00547F8D" w:rsidP="00547F8D">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50C2D8A1" w14:textId="4FC5A4EB" w:rsidR="00CB37FD" w:rsidRDefault="00F93744" w:rsidP="00CB37FD">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00FC41A8" w:rsidRPr="00CD4DFB">
        <w:rPr>
          <w:rFonts w:ascii="Times New Roman" w:hAnsi="Times New Roman" w:cs="Times New Roman"/>
          <w:i/>
          <w:sz w:val="24"/>
          <w:szCs w:val="24"/>
        </w:rPr>
        <w:t>Offshore Petroleum and Greenhouse Gas Storage (Regulatory Levies) Amendment (Titles Administration) Regulations 2021</w:t>
      </w:r>
      <w:r w:rsidR="00FC41A8">
        <w:rPr>
          <w:rFonts w:ascii="Times New Roman" w:hAnsi="Times New Roman" w:cs="Times New Roman"/>
          <w:sz w:val="24"/>
          <w:szCs w:val="24"/>
        </w:rPr>
        <w:t xml:space="preserve"> (the Levies Amendment Regulations) </w:t>
      </w:r>
      <w:r>
        <w:rPr>
          <w:rFonts w:ascii="Times New Roman" w:hAnsi="Times New Roman" w:cs="Times New Roman"/>
          <w:sz w:val="24"/>
          <w:szCs w:val="24"/>
        </w:rPr>
        <w:t>amend</w:t>
      </w:r>
      <w:r w:rsidR="00E87B83">
        <w:rPr>
          <w:rFonts w:ascii="Times New Roman" w:hAnsi="Times New Roman" w:cs="Times New Roman"/>
          <w:sz w:val="24"/>
          <w:szCs w:val="24"/>
        </w:rPr>
        <w:t xml:space="preserve">s the </w:t>
      </w:r>
      <w:r w:rsidR="00E87B83" w:rsidRPr="00E87B83">
        <w:rPr>
          <w:rFonts w:ascii="Times New Roman" w:hAnsi="Times New Roman" w:cs="Times New Roman"/>
          <w:i/>
          <w:sz w:val="24"/>
          <w:szCs w:val="24"/>
        </w:rPr>
        <w:t>Offshore Petroleum and Greenhouse Gas Storage (Regulatory Levies) Regulations 2004</w:t>
      </w:r>
      <w:r w:rsidR="00E87B83">
        <w:rPr>
          <w:rFonts w:ascii="Times New Roman" w:hAnsi="Times New Roman" w:cs="Times New Roman"/>
          <w:sz w:val="24"/>
          <w:szCs w:val="24"/>
        </w:rPr>
        <w:t xml:space="preserve"> (the Levies Regulations) to give effect to </w:t>
      </w:r>
      <w:r w:rsidR="00CB37FD">
        <w:rPr>
          <w:rFonts w:ascii="Times New Roman" w:hAnsi="Times New Roman" w:cs="Times New Roman"/>
          <w:sz w:val="24"/>
          <w:szCs w:val="24"/>
        </w:rPr>
        <w:t xml:space="preserve">the trailing liability measure in relation to cost recovery. </w:t>
      </w:r>
    </w:p>
    <w:p w14:paraId="0AAF973C" w14:textId="2AC9986B" w:rsidR="00A264E0" w:rsidRDefault="00CB37FD" w:rsidP="00E87B83">
      <w:pPr>
        <w:spacing w:before="120" w:after="120"/>
        <w:rPr>
          <w:rFonts w:ascii="Times New Roman" w:hAnsi="Times New Roman" w:cs="Times New Roman"/>
          <w:sz w:val="24"/>
          <w:szCs w:val="24"/>
        </w:rPr>
      </w:pPr>
      <w:r>
        <w:rPr>
          <w:rFonts w:ascii="Times New Roman" w:hAnsi="Times New Roman" w:cs="Times New Roman"/>
          <w:sz w:val="24"/>
          <w:szCs w:val="24"/>
        </w:rPr>
        <w:t>The trailing liability measure is provided by</w:t>
      </w:r>
      <w:r>
        <w:t xml:space="preserve"> </w:t>
      </w:r>
      <w:r w:rsidRPr="001C2D0B">
        <w:rPr>
          <w:rFonts w:ascii="Times New Roman" w:hAnsi="Times New Roman" w:cs="Times New Roman"/>
          <w:sz w:val="24"/>
          <w:szCs w:val="24"/>
        </w:rPr>
        <w:t xml:space="preserve">the </w:t>
      </w:r>
      <w:r w:rsidRPr="001C2D0B">
        <w:rPr>
          <w:rFonts w:ascii="Times New Roman" w:hAnsi="Times New Roman" w:cs="Times New Roman"/>
          <w:i/>
          <w:sz w:val="24"/>
          <w:szCs w:val="24"/>
        </w:rPr>
        <w:t>Offshore Petroleum and Greenhouse Gas Storage Amendment (Titles Administration and Other Measures) Act 2021</w:t>
      </w:r>
      <w:r w:rsidRPr="001C2D0B">
        <w:rPr>
          <w:rFonts w:ascii="Times New Roman" w:hAnsi="Times New Roman" w:cs="Times New Roman"/>
          <w:sz w:val="24"/>
          <w:szCs w:val="24"/>
        </w:rPr>
        <w:t xml:space="preserve"> (the Titles Administration Act)</w:t>
      </w:r>
      <w:r>
        <w:rPr>
          <w:rFonts w:ascii="Times New Roman" w:hAnsi="Times New Roman" w:cs="Times New Roman"/>
          <w:sz w:val="24"/>
          <w:szCs w:val="24"/>
        </w:rPr>
        <w:t xml:space="preserve">, which amends the </w:t>
      </w:r>
      <w:r w:rsidR="00A264E0" w:rsidRPr="000263AB">
        <w:rPr>
          <w:rFonts w:ascii="Times New Roman" w:hAnsi="Times New Roman" w:cs="Times New Roman"/>
          <w:i/>
          <w:sz w:val="24"/>
          <w:szCs w:val="24"/>
        </w:rPr>
        <w:t>Offshore Petroleum and Greenhouse Gas Storage Act 2006</w:t>
      </w:r>
      <w:r>
        <w:rPr>
          <w:rFonts w:ascii="Times New Roman" w:hAnsi="Times New Roman" w:cs="Times New Roman"/>
          <w:sz w:val="24"/>
          <w:szCs w:val="24"/>
        </w:rPr>
        <w:t xml:space="preserve"> </w:t>
      </w:r>
      <w:r w:rsidR="00A264E0">
        <w:rPr>
          <w:rFonts w:ascii="Times New Roman" w:hAnsi="Times New Roman" w:cs="Times New Roman"/>
          <w:sz w:val="24"/>
          <w:szCs w:val="24"/>
        </w:rPr>
        <w:t xml:space="preserve">(the OPGGS Act) </w:t>
      </w:r>
      <w:r>
        <w:rPr>
          <w:rFonts w:ascii="Times New Roman" w:hAnsi="Times New Roman" w:cs="Times New Roman"/>
          <w:sz w:val="24"/>
          <w:szCs w:val="24"/>
        </w:rPr>
        <w:t xml:space="preserve">to expand the current remedial directions powers of NOPSEMA and the responsible Commonwealth Minister by enabling remedial directions to be given to a broader range of persons in addition to a current or immediate former titleholder. </w:t>
      </w:r>
      <w:r w:rsidR="00A264E0">
        <w:rPr>
          <w:rFonts w:ascii="Times New Roman" w:hAnsi="Times New Roman" w:cs="Times New Roman"/>
          <w:sz w:val="24"/>
          <w:szCs w:val="24"/>
        </w:rPr>
        <w:t>The measure aims</w:t>
      </w:r>
      <w:r w:rsidR="00A264E0" w:rsidRPr="00CC7D5D">
        <w:rPr>
          <w:rFonts w:ascii="Times New Roman" w:hAnsi="Times New Roman" w:cs="Times New Roman"/>
          <w:sz w:val="24"/>
          <w:szCs w:val="24"/>
        </w:rPr>
        <w:t xml:space="preserve"> to ensure that</w:t>
      </w:r>
      <w:r w:rsidR="00A264E0">
        <w:rPr>
          <w:rFonts w:ascii="Times New Roman" w:hAnsi="Times New Roman" w:cs="Times New Roman"/>
          <w:sz w:val="24"/>
          <w:szCs w:val="24"/>
        </w:rPr>
        <w:t>, if</w:t>
      </w:r>
      <w:r w:rsidR="00A264E0" w:rsidRPr="00CC7D5D">
        <w:rPr>
          <w:rFonts w:ascii="Times New Roman" w:hAnsi="Times New Roman" w:cs="Times New Roman"/>
          <w:sz w:val="24"/>
          <w:szCs w:val="24"/>
        </w:rPr>
        <w:t xml:space="preserve"> a titleholder is </w:t>
      </w:r>
      <w:r w:rsidR="00A264E0">
        <w:rPr>
          <w:rFonts w:ascii="Times New Roman" w:hAnsi="Times New Roman" w:cs="Times New Roman"/>
          <w:sz w:val="24"/>
          <w:szCs w:val="24"/>
        </w:rPr>
        <w:t>un</w:t>
      </w:r>
      <w:r w:rsidR="00A264E0" w:rsidRPr="00CC7D5D">
        <w:rPr>
          <w:rFonts w:ascii="Times New Roman" w:hAnsi="Times New Roman" w:cs="Times New Roman"/>
          <w:sz w:val="24"/>
          <w:szCs w:val="24"/>
        </w:rPr>
        <w:t xml:space="preserve">able to meet its decommissioning obligations </w:t>
      </w:r>
      <w:r w:rsidR="00A264E0">
        <w:rPr>
          <w:rFonts w:ascii="Times New Roman" w:hAnsi="Times New Roman" w:cs="Times New Roman"/>
          <w:sz w:val="24"/>
          <w:szCs w:val="24"/>
        </w:rPr>
        <w:t xml:space="preserve">and other regulatory options have been exhausted, </w:t>
      </w:r>
      <w:r w:rsidR="00A264E0" w:rsidRPr="00CC7D5D">
        <w:rPr>
          <w:rFonts w:ascii="Times New Roman" w:hAnsi="Times New Roman" w:cs="Times New Roman"/>
          <w:sz w:val="24"/>
          <w:szCs w:val="24"/>
        </w:rPr>
        <w:t>the costs of decommissioning remain with those who held the title</w:t>
      </w:r>
      <w:r w:rsidR="00A264E0">
        <w:rPr>
          <w:rFonts w:ascii="Times New Roman" w:hAnsi="Times New Roman" w:cs="Times New Roman"/>
          <w:sz w:val="24"/>
          <w:szCs w:val="24"/>
        </w:rPr>
        <w:t>,</w:t>
      </w:r>
      <w:r w:rsidR="00A264E0" w:rsidRPr="00CC7D5D">
        <w:rPr>
          <w:rFonts w:ascii="Times New Roman" w:hAnsi="Times New Roman" w:cs="Times New Roman"/>
          <w:sz w:val="24"/>
          <w:szCs w:val="24"/>
        </w:rPr>
        <w:t xml:space="preserve"> or become the responsibility of those who significantly benefited financially from or influenced operations under the title, rather than falling to Australian taxpayers.</w:t>
      </w:r>
      <w:r w:rsidR="00A264E0">
        <w:rPr>
          <w:rFonts w:ascii="Times New Roman" w:hAnsi="Times New Roman" w:cs="Times New Roman"/>
          <w:sz w:val="24"/>
          <w:szCs w:val="24"/>
        </w:rPr>
        <w:t xml:space="preserve"> </w:t>
      </w:r>
    </w:p>
    <w:p w14:paraId="32B01418" w14:textId="182964B7" w:rsidR="00A264E0" w:rsidRDefault="00A264E0" w:rsidP="00E87B83">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033A0E">
        <w:rPr>
          <w:rFonts w:ascii="Times New Roman" w:hAnsi="Times New Roman" w:cs="Times New Roman"/>
          <w:i/>
          <w:sz w:val="24"/>
          <w:szCs w:val="24"/>
        </w:rPr>
        <w:t>Offshore Petroleum and Greenhouse Gas Storage Legislation Amendment (Titles Administration) Regulations 2021</w:t>
      </w:r>
      <w:r>
        <w:rPr>
          <w:rFonts w:ascii="Times New Roman" w:hAnsi="Times New Roman" w:cs="Times New Roman"/>
          <w:sz w:val="24"/>
          <w:szCs w:val="24"/>
        </w:rPr>
        <w:t xml:space="preserve"> (</w:t>
      </w:r>
      <w:r w:rsidR="000263AB">
        <w:rPr>
          <w:rFonts w:ascii="Times New Roman" w:hAnsi="Times New Roman" w:cs="Times New Roman"/>
          <w:sz w:val="24"/>
          <w:szCs w:val="24"/>
        </w:rPr>
        <w:t xml:space="preserve">the </w:t>
      </w:r>
      <w:r>
        <w:rPr>
          <w:rFonts w:ascii="Times New Roman" w:hAnsi="Times New Roman" w:cs="Times New Roman"/>
          <w:sz w:val="24"/>
          <w:szCs w:val="24"/>
        </w:rPr>
        <w:t>Titles Administration Regulations) amend regulations under the OPGGS Act so that those regulations apply in relation to activities undertaken for the purpose of complying with remedial directions in the same way that they apply to activities carried out by titleholders and other regulated entities. This ensures that there is regulatory oversight of the decommissioning and remediation works that are undertaken to comply with a remedial direction in order</w:t>
      </w:r>
      <w:r w:rsidRPr="003F3EF7">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3F3EF7">
        <w:rPr>
          <w:rFonts w:ascii="Times New Roman" w:hAnsi="Times New Roman" w:cs="Times New Roman"/>
          <w:sz w:val="24"/>
          <w:szCs w:val="24"/>
        </w:rPr>
        <w:t xml:space="preserve">manage risks to </w:t>
      </w:r>
      <w:r>
        <w:rPr>
          <w:rFonts w:ascii="Times New Roman" w:hAnsi="Times New Roman" w:cs="Times New Roman"/>
          <w:sz w:val="24"/>
          <w:szCs w:val="24"/>
        </w:rPr>
        <w:t>safety, well integrity and the environment.</w:t>
      </w:r>
    </w:p>
    <w:p w14:paraId="618178A1" w14:textId="3399EF50" w:rsidR="000263AB" w:rsidRDefault="00A264E0" w:rsidP="000263AB">
      <w:pPr>
        <w:spacing w:before="240" w:after="240"/>
        <w:rPr>
          <w:rFonts w:ascii="Times New Roman" w:hAnsi="Times New Roman" w:cs="Times New Roman"/>
          <w:sz w:val="24"/>
          <w:szCs w:val="24"/>
        </w:rPr>
      </w:pPr>
      <w:r w:rsidRPr="001C2D0B">
        <w:rPr>
          <w:rFonts w:ascii="Times New Roman" w:hAnsi="Times New Roman" w:cs="Times New Roman"/>
          <w:sz w:val="24"/>
          <w:szCs w:val="24"/>
        </w:rPr>
        <w:t xml:space="preserve">To fund NOPSEMA’s oversight of persons who are carrying out activities </w:t>
      </w:r>
      <w:r>
        <w:rPr>
          <w:rFonts w:ascii="Times New Roman" w:hAnsi="Times New Roman" w:cs="Times New Roman"/>
          <w:sz w:val="24"/>
          <w:szCs w:val="24"/>
        </w:rPr>
        <w:t>for the purpose of</w:t>
      </w:r>
      <w:r w:rsidRPr="001C2D0B">
        <w:rPr>
          <w:rFonts w:ascii="Times New Roman" w:hAnsi="Times New Roman" w:cs="Times New Roman"/>
          <w:sz w:val="24"/>
          <w:szCs w:val="24"/>
        </w:rPr>
        <w:t xml:space="preserve"> compl</w:t>
      </w:r>
      <w:r>
        <w:rPr>
          <w:rFonts w:ascii="Times New Roman" w:hAnsi="Times New Roman" w:cs="Times New Roman"/>
          <w:sz w:val="24"/>
          <w:szCs w:val="24"/>
        </w:rPr>
        <w:t>ying</w:t>
      </w:r>
      <w:r w:rsidRPr="001C2D0B">
        <w:rPr>
          <w:rFonts w:ascii="Times New Roman" w:hAnsi="Times New Roman" w:cs="Times New Roman"/>
          <w:sz w:val="24"/>
          <w:szCs w:val="24"/>
        </w:rPr>
        <w:t xml:space="preserve"> with a remedial direction, certain existing levies payable by titleholders </w:t>
      </w:r>
      <w:r>
        <w:rPr>
          <w:rFonts w:ascii="Times New Roman" w:hAnsi="Times New Roman" w:cs="Times New Roman"/>
          <w:sz w:val="24"/>
          <w:szCs w:val="24"/>
        </w:rPr>
        <w:t xml:space="preserve">and other regulated entities </w:t>
      </w:r>
      <w:r w:rsidRPr="001C2D0B">
        <w:rPr>
          <w:rFonts w:ascii="Times New Roman" w:hAnsi="Times New Roman" w:cs="Times New Roman"/>
          <w:sz w:val="24"/>
          <w:szCs w:val="24"/>
        </w:rPr>
        <w:t>are imposed</w:t>
      </w:r>
      <w:r w:rsidR="000263AB">
        <w:rPr>
          <w:rFonts w:ascii="Times New Roman" w:hAnsi="Times New Roman" w:cs="Times New Roman"/>
          <w:sz w:val="24"/>
          <w:szCs w:val="24"/>
        </w:rPr>
        <w:t xml:space="preserve"> with respect to those persons. The </w:t>
      </w:r>
      <w:r w:rsidR="000263AB" w:rsidRPr="001C2D0B">
        <w:rPr>
          <w:rFonts w:ascii="Times New Roman" w:hAnsi="Times New Roman" w:cs="Times New Roman"/>
          <w:i/>
          <w:sz w:val="24"/>
          <w:szCs w:val="24"/>
        </w:rPr>
        <w:t>Offshore Petroleum and Greenhouse Gas Storage (Regulatory Levies) Amendment Act 2021</w:t>
      </w:r>
      <w:r w:rsidR="000263AB">
        <w:rPr>
          <w:rFonts w:ascii="Times New Roman" w:hAnsi="Times New Roman" w:cs="Times New Roman"/>
          <w:sz w:val="24"/>
          <w:szCs w:val="24"/>
        </w:rPr>
        <w:t xml:space="preserve"> (the Levies Amendment Act) amends the Levies Act to ensure</w:t>
      </w:r>
      <w:r w:rsidR="000263AB" w:rsidRPr="004A4AEB">
        <w:rPr>
          <w:rFonts w:ascii="Times New Roman" w:hAnsi="Times New Roman" w:cs="Times New Roman"/>
          <w:sz w:val="24"/>
          <w:szCs w:val="24"/>
        </w:rPr>
        <w:t xml:space="preserve"> that</w:t>
      </w:r>
      <w:r w:rsidR="000263AB">
        <w:rPr>
          <w:rFonts w:ascii="Times New Roman" w:hAnsi="Times New Roman" w:cs="Times New Roman"/>
          <w:sz w:val="24"/>
          <w:szCs w:val="24"/>
        </w:rPr>
        <w:t>,</w:t>
      </w:r>
      <w:r w:rsidR="000263AB" w:rsidRPr="004A4AEB">
        <w:rPr>
          <w:rFonts w:ascii="Times New Roman" w:hAnsi="Times New Roman" w:cs="Times New Roman"/>
          <w:sz w:val="24"/>
          <w:szCs w:val="24"/>
        </w:rPr>
        <w:t xml:space="preserve"> if a person who is subject to a remedial direction submits an </w:t>
      </w:r>
      <w:r w:rsidR="000263AB">
        <w:rPr>
          <w:rFonts w:ascii="Times New Roman" w:hAnsi="Times New Roman" w:cs="Times New Roman"/>
          <w:sz w:val="24"/>
          <w:szCs w:val="24"/>
        </w:rPr>
        <w:t>environment plan</w:t>
      </w:r>
      <w:r w:rsidR="000263AB" w:rsidRPr="004A4AEB">
        <w:rPr>
          <w:rFonts w:ascii="Times New Roman" w:hAnsi="Times New Roman" w:cs="Times New Roman"/>
          <w:sz w:val="24"/>
          <w:szCs w:val="24"/>
        </w:rPr>
        <w:t xml:space="preserve"> or a </w:t>
      </w:r>
      <w:r w:rsidR="000263AB">
        <w:rPr>
          <w:rFonts w:ascii="Times New Roman" w:hAnsi="Times New Roman" w:cs="Times New Roman"/>
          <w:sz w:val="24"/>
          <w:szCs w:val="24"/>
        </w:rPr>
        <w:t>well operations management</w:t>
      </w:r>
      <w:r w:rsidR="000263AB" w:rsidRPr="004A4AEB">
        <w:rPr>
          <w:rFonts w:ascii="Times New Roman" w:hAnsi="Times New Roman" w:cs="Times New Roman"/>
          <w:sz w:val="24"/>
          <w:szCs w:val="24"/>
        </w:rPr>
        <w:t xml:space="preserve"> to NOPSEMA, </w:t>
      </w:r>
      <w:r w:rsidR="000263AB">
        <w:rPr>
          <w:rFonts w:ascii="Times New Roman" w:hAnsi="Times New Roman" w:cs="Times New Roman"/>
          <w:sz w:val="24"/>
          <w:szCs w:val="24"/>
        </w:rPr>
        <w:t>the</w:t>
      </w:r>
      <w:r w:rsidR="000263AB" w:rsidRPr="004A4AEB">
        <w:rPr>
          <w:rFonts w:ascii="Times New Roman" w:hAnsi="Times New Roman" w:cs="Times New Roman"/>
          <w:sz w:val="24"/>
          <w:szCs w:val="24"/>
        </w:rPr>
        <w:t xml:space="preserve"> person is required to pay environment plan levy or well </w:t>
      </w:r>
      <w:r w:rsidR="000263AB">
        <w:rPr>
          <w:rFonts w:ascii="Times New Roman" w:hAnsi="Times New Roman" w:cs="Times New Roman"/>
          <w:sz w:val="24"/>
          <w:szCs w:val="24"/>
        </w:rPr>
        <w:t xml:space="preserve">activity levy respectively. The Levies </w:t>
      </w:r>
      <w:r w:rsidR="000263AB">
        <w:rPr>
          <w:rFonts w:ascii="Times New Roman" w:hAnsi="Times New Roman" w:cs="Times New Roman"/>
          <w:sz w:val="24"/>
          <w:szCs w:val="24"/>
        </w:rPr>
        <w:lastRenderedPageBreak/>
        <w:t xml:space="preserve">Amendment Act </w:t>
      </w:r>
      <w:r w:rsidR="000263AB" w:rsidRPr="004A4AEB">
        <w:rPr>
          <w:rFonts w:ascii="Times New Roman" w:hAnsi="Times New Roman" w:cs="Times New Roman"/>
          <w:sz w:val="24"/>
          <w:szCs w:val="24"/>
        </w:rPr>
        <w:t xml:space="preserve">also makes provision with respect to payment of safety case levies for safety cases that deal with activities carried out </w:t>
      </w:r>
      <w:r w:rsidR="000263AB">
        <w:rPr>
          <w:rFonts w:ascii="Times New Roman" w:hAnsi="Times New Roman" w:cs="Times New Roman"/>
          <w:sz w:val="24"/>
          <w:szCs w:val="24"/>
        </w:rPr>
        <w:t xml:space="preserve">for the purpose of complying </w:t>
      </w:r>
      <w:r w:rsidR="000263AB" w:rsidRPr="004A4AEB">
        <w:rPr>
          <w:rFonts w:ascii="Times New Roman" w:hAnsi="Times New Roman" w:cs="Times New Roman"/>
          <w:sz w:val="24"/>
          <w:szCs w:val="24"/>
        </w:rPr>
        <w:t>with a remedial direction.</w:t>
      </w:r>
    </w:p>
    <w:p w14:paraId="5759C319" w14:textId="49DAF73F" w:rsidR="002017CF" w:rsidRDefault="002017CF" w:rsidP="00FF0FCA">
      <w:pPr>
        <w:spacing w:before="120" w:after="120"/>
        <w:rPr>
          <w:rFonts w:ascii="Times New Roman" w:hAnsi="Times New Roman" w:cs="Times New Roman"/>
          <w:sz w:val="24"/>
          <w:szCs w:val="24"/>
        </w:rPr>
      </w:pPr>
      <w:r>
        <w:rPr>
          <w:rFonts w:ascii="Times New Roman" w:hAnsi="Times New Roman" w:cs="Times New Roman"/>
          <w:sz w:val="24"/>
          <w:szCs w:val="24"/>
        </w:rPr>
        <w:t>The Levies Amendment Regulations amend the Levies Regulations as a consequence of the amendments made by the Levies Amendment Act. In particular, the amendments provide for the manner in which the Levies Regulations apply in relation to a person who is subject to a remedial direction.</w:t>
      </w:r>
    </w:p>
    <w:p w14:paraId="1836D4E7" w14:textId="1500286F"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0A9264D5" w14:textId="5B1F7110" w:rsidR="00547F8D" w:rsidRPr="00547F8D" w:rsidRDefault="009D3142"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002017CF">
        <w:rPr>
          <w:rFonts w:ascii="Times New Roman" w:hAnsi="Times New Roman" w:cs="Times New Roman"/>
          <w:sz w:val="24"/>
          <w:szCs w:val="24"/>
        </w:rPr>
        <w:t xml:space="preserve">Levies Amendment </w:t>
      </w:r>
      <w:r w:rsidR="00A264E0">
        <w:rPr>
          <w:rFonts w:ascii="Times New Roman" w:hAnsi="Times New Roman" w:cs="Times New Roman"/>
          <w:sz w:val="24"/>
          <w:szCs w:val="24"/>
        </w:rPr>
        <w:t>Regulations</w:t>
      </w:r>
      <w:r w:rsidR="00A264E0" w:rsidRPr="00547F8D">
        <w:rPr>
          <w:rFonts w:ascii="Times New Roman" w:hAnsi="Times New Roman" w:cs="Times New Roman"/>
          <w:sz w:val="24"/>
          <w:szCs w:val="24"/>
        </w:rPr>
        <w:t xml:space="preserve"> </w:t>
      </w:r>
      <w:r>
        <w:rPr>
          <w:rFonts w:ascii="Times New Roman" w:hAnsi="Times New Roman" w:cs="Times New Roman"/>
          <w:sz w:val="24"/>
          <w:szCs w:val="24"/>
        </w:rPr>
        <w:t xml:space="preserve">do </w:t>
      </w:r>
      <w:r w:rsidR="00547F8D" w:rsidRPr="00547F8D">
        <w:rPr>
          <w:rFonts w:ascii="Times New Roman" w:hAnsi="Times New Roman" w:cs="Times New Roman"/>
          <w:sz w:val="24"/>
          <w:szCs w:val="24"/>
        </w:rPr>
        <w:t>not engage any of the applicable rights or freedoms.</w:t>
      </w:r>
    </w:p>
    <w:p w14:paraId="2D32FAB9"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17C95FA7" w14:textId="462C4433" w:rsidR="00547F8D" w:rsidRPr="00547F8D" w:rsidRDefault="009D3142"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002017CF">
        <w:rPr>
          <w:rFonts w:ascii="Times New Roman" w:hAnsi="Times New Roman" w:cs="Times New Roman"/>
          <w:sz w:val="24"/>
          <w:szCs w:val="24"/>
        </w:rPr>
        <w:t xml:space="preserve">Levies Amendment </w:t>
      </w:r>
      <w:r w:rsidR="00A264E0">
        <w:rPr>
          <w:rFonts w:ascii="Times New Roman" w:hAnsi="Times New Roman" w:cs="Times New Roman"/>
          <w:sz w:val="24"/>
          <w:szCs w:val="24"/>
        </w:rPr>
        <w:t xml:space="preserve">Regulations </w:t>
      </w:r>
      <w:r>
        <w:rPr>
          <w:rFonts w:ascii="Times New Roman" w:hAnsi="Times New Roman" w:cs="Times New Roman"/>
          <w:sz w:val="24"/>
          <w:szCs w:val="24"/>
        </w:rPr>
        <w:t xml:space="preserve">are </w:t>
      </w:r>
      <w:r w:rsidR="00547F8D" w:rsidRPr="00547F8D">
        <w:rPr>
          <w:rFonts w:ascii="Times New Roman" w:hAnsi="Times New Roman" w:cs="Times New Roman"/>
          <w:sz w:val="24"/>
          <w:szCs w:val="24"/>
        </w:rPr>
        <w:t xml:space="preserve">compatible with human rights as </w:t>
      </w:r>
      <w:r w:rsidR="002017CF">
        <w:rPr>
          <w:rFonts w:ascii="Times New Roman" w:hAnsi="Times New Roman" w:cs="Times New Roman"/>
          <w:sz w:val="24"/>
          <w:szCs w:val="24"/>
        </w:rPr>
        <w:t>they</w:t>
      </w:r>
      <w:r w:rsidR="00547F8D" w:rsidRPr="00547F8D">
        <w:rPr>
          <w:rFonts w:ascii="Times New Roman" w:hAnsi="Times New Roman" w:cs="Times New Roman"/>
          <w:sz w:val="24"/>
          <w:szCs w:val="24"/>
        </w:rPr>
        <w:t xml:space="preserve"> do not raise any human rights issues.</w:t>
      </w:r>
    </w:p>
    <w:p w14:paraId="23675858" w14:textId="77777777" w:rsidR="00547F8D" w:rsidRPr="00547F8D" w:rsidRDefault="00547F8D" w:rsidP="00547F8D">
      <w:pPr>
        <w:spacing w:before="120" w:after="120"/>
        <w:jc w:val="center"/>
        <w:rPr>
          <w:rFonts w:ascii="Times New Roman" w:hAnsi="Times New Roman" w:cs="Times New Roman"/>
          <w:sz w:val="24"/>
          <w:szCs w:val="24"/>
        </w:rPr>
      </w:pPr>
    </w:p>
    <w:p w14:paraId="4E2096A7" w14:textId="77777777" w:rsidR="009D3142" w:rsidRDefault="009D3142" w:rsidP="009D3142">
      <w:pPr>
        <w:spacing w:before="120" w:after="120"/>
        <w:jc w:val="center"/>
        <w:rPr>
          <w:rFonts w:ascii="Times New Roman" w:hAnsi="Times New Roman" w:cs="Times New Roman"/>
          <w:b/>
          <w:sz w:val="24"/>
          <w:szCs w:val="24"/>
        </w:rPr>
      </w:pPr>
      <w:r>
        <w:rPr>
          <w:rFonts w:ascii="Times New Roman" w:hAnsi="Times New Roman" w:cs="Times New Roman"/>
          <w:b/>
          <w:sz w:val="24"/>
          <w:szCs w:val="24"/>
        </w:rPr>
        <w:t>The Hon Keith Pitt MP</w:t>
      </w:r>
    </w:p>
    <w:p w14:paraId="534051B2" w14:textId="77777777" w:rsidR="009D3142" w:rsidRPr="00547F8D" w:rsidRDefault="009D3142" w:rsidP="009D3142">
      <w:pPr>
        <w:spacing w:before="120" w:after="120"/>
        <w:jc w:val="center"/>
        <w:rPr>
          <w:rFonts w:ascii="Times New Roman" w:hAnsi="Times New Roman" w:cs="Times New Roman"/>
          <w:b/>
          <w:sz w:val="24"/>
          <w:szCs w:val="24"/>
        </w:rPr>
      </w:pPr>
      <w:r>
        <w:rPr>
          <w:rFonts w:ascii="Times New Roman" w:hAnsi="Times New Roman" w:cs="Times New Roman"/>
          <w:b/>
          <w:sz w:val="24"/>
          <w:szCs w:val="24"/>
        </w:rPr>
        <w:t>Minister for Resources and Water</w:t>
      </w:r>
    </w:p>
    <w:p w14:paraId="6BF77826" w14:textId="77777777" w:rsidR="00544C06" w:rsidRDefault="00544C06" w:rsidP="00547F8D">
      <w:pPr>
        <w:spacing w:before="240" w:after="240"/>
        <w:rPr>
          <w:rFonts w:ascii="Times New Roman" w:hAnsi="Times New Roman" w:cs="Times New Roman"/>
          <w:b/>
          <w:sz w:val="24"/>
          <w:szCs w:val="24"/>
        </w:rPr>
        <w:sectPr w:rsidR="00544C06">
          <w:pgSz w:w="11906" w:h="16838"/>
          <w:pgMar w:top="1440" w:right="1440" w:bottom="1440" w:left="1440" w:header="708" w:footer="708" w:gutter="0"/>
          <w:cols w:space="708"/>
          <w:docGrid w:linePitch="360"/>
        </w:sectPr>
      </w:pPr>
      <w:r>
        <w:rPr>
          <w:rFonts w:ascii="Times New Roman" w:hAnsi="Times New Roman" w:cs="Times New Roman"/>
          <w:b/>
          <w:sz w:val="24"/>
          <w:szCs w:val="24"/>
        </w:rPr>
        <w:br w:type="page"/>
      </w:r>
    </w:p>
    <w:bookmarkStart w:id="1" w:name="_Toc54359187" w:displacedByCustomXml="next"/>
    <w:bookmarkStart w:id="2" w:name="_Toc54356260" w:displacedByCustomXml="next"/>
    <w:bookmarkStart w:id="3" w:name="_Toc54348559" w:displacedByCustomXml="next"/>
    <w:bookmarkStart w:id="4" w:name="_Toc54336976" w:displacedByCustomXml="next"/>
    <w:bookmarkStart w:id="5" w:name="_Toc19289643" w:displacedByCustomXml="next"/>
    <w:bookmarkStart w:id="6" w:name="_Toc19289776" w:displacedByCustomXml="next"/>
    <w:bookmarkStart w:id="7" w:name="_Toc54190641" w:displacedByCustomXml="next"/>
    <w:bookmarkStart w:id="8" w:name="_Toc54190816" w:displacedByCustomXml="next"/>
    <w:bookmarkStart w:id="9" w:name="_Toc54190849" w:displacedByCustomXml="next"/>
    <w:bookmarkStart w:id="10" w:name="_Toc54360193" w:displacedByCustomXml="next"/>
    <w:bookmarkStart w:id="11" w:name="_Toc54360251" w:displacedByCustomXml="next"/>
    <w:sdt>
      <w:sdtPr>
        <w:rPr>
          <w:rFonts w:ascii="Calibri" w:eastAsia="Calibri" w:hAnsi="Calibri" w:cs="Times New Roman"/>
        </w:rPr>
        <w:id w:val="-2088995269"/>
        <w:docPartObj>
          <w:docPartGallery w:val="Cover Pages"/>
          <w:docPartUnique/>
        </w:docPartObj>
      </w:sdtPr>
      <w:sdtEndPr/>
      <w:sdtContent>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p w14:paraId="442E7A28" w14:textId="77777777" w:rsidR="00544C06" w:rsidRPr="00017217" w:rsidRDefault="00544C06" w:rsidP="00544C06">
          <w:pPr>
            <w:pBdr>
              <w:bottom w:val="single" w:sz="8" w:space="1" w:color="FFFFFF"/>
            </w:pBdr>
            <w:spacing w:before="3600" w:after="120" w:line="240" w:lineRule="auto"/>
            <w:contextualSpacing/>
            <w:outlineLvl w:val="0"/>
            <w:rPr>
              <w:rFonts w:ascii="Calibri" w:eastAsia="Calibri" w:hAnsi="Calibri" w:cs="Times New Roman"/>
            </w:rPr>
          </w:pPr>
        </w:p>
        <w:p w14:paraId="46113ADB" w14:textId="77777777" w:rsidR="00544C06" w:rsidRPr="00017217" w:rsidRDefault="00544C06" w:rsidP="00544C06">
          <w:pPr>
            <w:pBdr>
              <w:bottom w:val="single" w:sz="8" w:space="1" w:color="FFFFFF"/>
            </w:pBdr>
            <w:spacing w:before="3600" w:after="120" w:line="240" w:lineRule="auto"/>
            <w:contextualSpacing/>
            <w:outlineLvl w:val="0"/>
            <w:rPr>
              <w:rFonts w:ascii="Calibri" w:eastAsia="Calibri" w:hAnsi="Calibri" w:cs="Times New Roman"/>
            </w:rPr>
          </w:pPr>
        </w:p>
        <w:p w14:paraId="1E0BB3BC" w14:textId="77777777" w:rsidR="00544C06" w:rsidRPr="00017217" w:rsidRDefault="00544C06" w:rsidP="00544C06">
          <w:pPr>
            <w:pBdr>
              <w:bottom w:val="single" w:sz="8" w:space="1" w:color="FFFFFF"/>
            </w:pBdr>
            <w:spacing w:before="3600" w:after="120" w:line="240" w:lineRule="auto"/>
            <w:contextualSpacing/>
            <w:outlineLvl w:val="0"/>
            <w:rPr>
              <w:rFonts w:ascii="Calibri" w:eastAsia="Calibri" w:hAnsi="Calibri" w:cs="Times New Roman"/>
            </w:rPr>
          </w:pPr>
        </w:p>
        <w:p w14:paraId="41FAF469" w14:textId="77777777" w:rsidR="00544C06" w:rsidRPr="00017217" w:rsidRDefault="00544C06" w:rsidP="00544C06">
          <w:pPr>
            <w:pBdr>
              <w:bottom w:val="single" w:sz="8" w:space="1" w:color="FFFFFF"/>
            </w:pBdr>
            <w:spacing w:before="3600" w:after="120" w:line="240" w:lineRule="auto"/>
            <w:contextualSpacing/>
            <w:outlineLvl w:val="0"/>
            <w:rPr>
              <w:rFonts w:ascii="Calibri" w:eastAsia="Calibri" w:hAnsi="Calibri" w:cs="Times New Roman"/>
            </w:rPr>
          </w:pPr>
        </w:p>
        <w:p w14:paraId="537F3410" w14:textId="77777777" w:rsidR="00544C06" w:rsidRPr="00017217" w:rsidRDefault="00544C06" w:rsidP="00544C06">
          <w:pPr>
            <w:pBdr>
              <w:bottom w:val="single" w:sz="8" w:space="1" w:color="FFFFFF"/>
            </w:pBdr>
            <w:spacing w:before="3600" w:after="120" w:line="240" w:lineRule="auto"/>
            <w:contextualSpacing/>
            <w:outlineLvl w:val="0"/>
            <w:rPr>
              <w:rFonts w:ascii="Calibri" w:eastAsia="Calibri" w:hAnsi="Calibri" w:cs="Times New Roman"/>
            </w:rPr>
          </w:pPr>
        </w:p>
        <w:p w14:paraId="51FD346F" w14:textId="77777777" w:rsidR="00544C06" w:rsidRPr="00017217" w:rsidRDefault="00544C06" w:rsidP="00544C06">
          <w:pPr>
            <w:pBdr>
              <w:bottom w:val="single" w:sz="8" w:space="1" w:color="FFFFFF"/>
            </w:pBdr>
            <w:spacing w:before="3600" w:after="120" w:line="240" w:lineRule="auto"/>
            <w:contextualSpacing/>
            <w:outlineLvl w:val="0"/>
            <w:rPr>
              <w:rFonts w:ascii="Calibri" w:eastAsia="Calibri" w:hAnsi="Calibri" w:cs="Times New Roman"/>
            </w:rPr>
          </w:pPr>
        </w:p>
        <w:p w14:paraId="79D1725E" w14:textId="77777777" w:rsidR="00544C06" w:rsidRPr="00017217" w:rsidRDefault="00544C06" w:rsidP="00544C06">
          <w:pPr>
            <w:pBdr>
              <w:bottom w:val="single" w:sz="8" w:space="1" w:color="FFFFFF"/>
            </w:pBdr>
            <w:spacing w:before="3600" w:after="120" w:line="240" w:lineRule="auto"/>
            <w:contextualSpacing/>
            <w:outlineLvl w:val="0"/>
            <w:rPr>
              <w:rFonts w:ascii="Calibri" w:eastAsia="Calibri" w:hAnsi="Calibri" w:cs="Times New Roman"/>
            </w:rPr>
          </w:pPr>
        </w:p>
        <w:p w14:paraId="731D7D80" w14:textId="77777777" w:rsidR="00544C06" w:rsidRPr="00017217" w:rsidRDefault="00544C06" w:rsidP="00544C06">
          <w:pPr>
            <w:pBdr>
              <w:bottom w:val="single" w:sz="8" w:space="1" w:color="FFFFFF"/>
            </w:pBdr>
            <w:spacing w:before="3600" w:after="120" w:line="240" w:lineRule="auto"/>
            <w:contextualSpacing/>
            <w:outlineLvl w:val="0"/>
            <w:rPr>
              <w:rFonts w:ascii="Calibri" w:eastAsia="Times New Roman" w:hAnsi="Calibri" w:cs="Calibri"/>
              <w:spacing w:val="-10"/>
              <w:kern w:val="28"/>
              <w:sz w:val="72"/>
              <w:szCs w:val="72"/>
            </w:rPr>
          </w:pPr>
          <w:bookmarkStart w:id="12" w:name="_Toc71277707"/>
          <w:bookmarkStart w:id="13" w:name="_Toc71276886"/>
          <w:bookmarkStart w:id="14" w:name="_Toc71279459"/>
          <w:bookmarkStart w:id="15" w:name="_Toc71279710"/>
          <w:bookmarkStart w:id="16" w:name="_Toc71282047"/>
          <w:bookmarkStart w:id="17" w:name="_Toc71285837"/>
          <w:r w:rsidRPr="00017217">
            <w:rPr>
              <w:rFonts w:ascii="Calibri" w:eastAsia="Times New Roman" w:hAnsi="Calibri" w:cs="Calibri"/>
              <w:spacing w:val="-10"/>
              <w:kern w:val="28"/>
              <w:sz w:val="72"/>
              <w:szCs w:val="72"/>
            </w:rPr>
            <w:t>Regulatory Impact Statement</w:t>
          </w:r>
          <w:bookmarkEnd w:id="12"/>
          <w:bookmarkEnd w:id="13"/>
          <w:bookmarkEnd w:id="14"/>
          <w:bookmarkEnd w:id="15"/>
          <w:bookmarkEnd w:id="16"/>
          <w:bookmarkEnd w:id="17"/>
        </w:p>
        <w:p w14:paraId="4D64935B" w14:textId="77777777" w:rsidR="00544C06" w:rsidRPr="00017217" w:rsidRDefault="00544C06" w:rsidP="00544C06">
          <w:pPr>
            <w:numPr>
              <w:ilvl w:val="1"/>
              <w:numId w:val="0"/>
            </w:numPr>
            <w:spacing w:after="160" w:line="259" w:lineRule="auto"/>
            <w:rPr>
              <w:rFonts w:ascii="Calibri" w:eastAsia="Times New Roman" w:hAnsi="Calibri" w:cs="Times New Roman"/>
              <w:sz w:val="40"/>
            </w:rPr>
          </w:pPr>
          <w:r w:rsidRPr="00017217">
            <w:rPr>
              <w:rFonts w:ascii="Calibri" w:eastAsia="Times New Roman" w:hAnsi="Calibri" w:cs="Times New Roman"/>
              <w:sz w:val="40"/>
            </w:rPr>
            <w:t>Improvements to Title Administration</w:t>
          </w:r>
        </w:p>
        <w:p w14:paraId="2675EDA4" w14:textId="77777777" w:rsidR="00544C06" w:rsidRPr="00017217" w:rsidRDefault="00544C06" w:rsidP="00544C06">
          <w:pPr>
            <w:spacing w:after="160" w:line="259" w:lineRule="auto"/>
            <w:rPr>
              <w:rFonts w:ascii="Calibri" w:eastAsia="Times New Roman" w:hAnsi="Calibri" w:cs="Times New Roman"/>
              <w:sz w:val="40"/>
              <w:szCs w:val="40"/>
            </w:rPr>
            <w:sectPr w:rsidR="00544C06" w:rsidRPr="00017217" w:rsidSect="009C15C9">
              <w:footerReference w:type="default" r:id="rId12"/>
              <w:headerReference w:type="first" r:id="rId13"/>
              <w:pgSz w:w="11906" w:h="16838"/>
              <w:pgMar w:top="1276" w:right="1440" w:bottom="1440" w:left="1440" w:header="851" w:footer="708" w:gutter="0"/>
              <w:pgNumType w:start="1"/>
              <w:cols w:space="708"/>
              <w:titlePg/>
              <w:docGrid w:linePitch="360"/>
            </w:sectPr>
          </w:pPr>
          <w:r w:rsidRPr="00017217">
            <w:rPr>
              <w:rFonts w:ascii="Calibri" w:eastAsia="Times New Roman" w:hAnsi="Calibri" w:cs="Times New Roman"/>
              <w:sz w:val="40"/>
              <w:szCs w:val="40"/>
            </w:rPr>
            <w:t>October 2020</w:t>
          </w:r>
        </w:p>
        <w:p w14:paraId="152A6F6B" w14:textId="77777777" w:rsidR="00544C06" w:rsidRPr="00017217" w:rsidRDefault="00544C06" w:rsidP="00544C06">
          <w:pPr>
            <w:spacing w:after="160" w:line="259" w:lineRule="auto"/>
            <w:rPr>
              <w:rFonts w:ascii="Calibri" w:eastAsia="Calibri" w:hAnsi="Calibri" w:cs="Times New Roman"/>
              <w:sz w:val="48"/>
              <w:szCs w:val="48"/>
            </w:rPr>
          </w:pPr>
          <w:bookmarkStart w:id="18" w:name="_Toc19023739"/>
          <w:bookmarkStart w:id="19" w:name="_Toc19289644"/>
          <w:bookmarkStart w:id="20" w:name="_Toc19289777"/>
          <w:bookmarkStart w:id="21" w:name="_Toc54190642"/>
          <w:bookmarkStart w:id="22" w:name="_Toc54190817"/>
          <w:bookmarkStart w:id="23" w:name="_Toc54190850"/>
          <w:bookmarkStart w:id="24" w:name="_Toc54336977"/>
          <w:bookmarkStart w:id="25" w:name="_Toc54348560"/>
          <w:bookmarkStart w:id="26" w:name="_Toc54356261"/>
          <w:bookmarkStart w:id="27" w:name="_Toc54359188"/>
          <w:bookmarkStart w:id="28" w:name="_Toc54360194"/>
          <w:bookmarkStart w:id="29" w:name="_Toc54360252"/>
          <w:r w:rsidRPr="00017217">
            <w:rPr>
              <w:rFonts w:ascii="Calibri" w:eastAsia="Calibri" w:hAnsi="Calibri" w:cs="Times New Roman"/>
              <w:sz w:val="48"/>
              <w:szCs w:val="48"/>
            </w:rPr>
            <w:lastRenderedPageBreak/>
            <w:t>Copyright</w:t>
          </w:r>
          <w:bookmarkEnd w:id="18"/>
          <w:bookmarkEnd w:id="19"/>
          <w:bookmarkEnd w:id="20"/>
          <w:bookmarkEnd w:id="21"/>
          <w:bookmarkEnd w:id="22"/>
          <w:bookmarkEnd w:id="23"/>
          <w:bookmarkEnd w:id="24"/>
          <w:bookmarkEnd w:id="25"/>
          <w:bookmarkEnd w:id="26"/>
          <w:bookmarkEnd w:id="27"/>
          <w:bookmarkEnd w:id="28"/>
          <w:bookmarkEnd w:id="29"/>
        </w:p>
        <w:p w14:paraId="18011040" w14:textId="77777777" w:rsidR="00544C06" w:rsidRPr="00017217" w:rsidRDefault="00544C06" w:rsidP="00544C06">
          <w:pPr>
            <w:spacing w:after="160" w:line="259" w:lineRule="auto"/>
            <w:rPr>
              <w:rFonts w:ascii="Calibri" w:eastAsia="Calibri" w:hAnsi="Calibri" w:cs="Times New Roman"/>
              <w:b/>
              <w:bCs/>
            </w:rPr>
          </w:pPr>
          <w:r w:rsidRPr="00017217">
            <w:rPr>
              <w:rFonts w:ascii="Calibri" w:eastAsia="Calibri" w:hAnsi="Calibri" w:cs="Times New Roman"/>
              <w:b/>
              <w:bCs/>
            </w:rPr>
            <w:t>© Commonwealth of Australia 2020</w:t>
          </w:r>
        </w:p>
        <w:p w14:paraId="7BD91973" w14:textId="77777777" w:rsidR="00544C06" w:rsidRPr="00017217" w:rsidRDefault="00544C06" w:rsidP="00544C06">
          <w:pPr>
            <w:spacing w:after="160" w:line="259" w:lineRule="auto"/>
            <w:rPr>
              <w:rFonts w:ascii="Calibri" w:eastAsia="Calibri" w:hAnsi="Calibri" w:cs="Times New Roman"/>
              <w:b/>
              <w:bCs/>
            </w:rPr>
          </w:pPr>
          <w:r w:rsidRPr="00017217">
            <w:rPr>
              <w:rFonts w:ascii="Calibri" w:eastAsia="Calibri" w:hAnsi="Calibri" w:cs="Times New Roman"/>
              <w:b/>
              <w:bCs/>
            </w:rPr>
            <w:t>Ownership of intellectual property rights</w:t>
          </w:r>
        </w:p>
        <w:p w14:paraId="52B24571"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Unless otherwise noted, copyright (and any other intellectual property rights, if any) in this publication is owned by the Commonwealth of Australia.</w:t>
          </w:r>
        </w:p>
        <w:p w14:paraId="1C1ED2D9" w14:textId="77777777" w:rsidR="00544C06" w:rsidRPr="00017217" w:rsidRDefault="00544C06" w:rsidP="00544C06">
          <w:pPr>
            <w:spacing w:after="160" w:line="259" w:lineRule="auto"/>
            <w:rPr>
              <w:rFonts w:ascii="Calibri" w:eastAsia="Calibri" w:hAnsi="Calibri" w:cs="Times New Roman"/>
              <w:b/>
              <w:bCs/>
            </w:rPr>
          </w:pPr>
          <w:r w:rsidRPr="00017217">
            <w:rPr>
              <w:rFonts w:ascii="Calibri" w:eastAsia="Calibri" w:hAnsi="Calibri" w:cs="Times New Roman"/>
              <w:b/>
              <w:bCs/>
            </w:rPr>
            <w:t>Creative Commons licence</w:t>
          </w:r>
        </w:p>
        <w:p w14:paraId="658B9DA8" w14:textId="77777777" w:rsidR="00544C06" w:rsidRPr="00017217" w:rsidRDefault="00544C06" w:rsidP="00544C06">
          <w:pPr>
            <w:spacing w:after="160" w:line="259" w:lineRule="auto"/>
            <w:rPr>
              <w:rFonts w:ascii="Calibri" w:eastAsia="Calibri" w:hAnsi="Calibri" w:cs="Times New Roman"/>
              <w:b/>
              <w:bCs/>
            </w:rPr>
          </w:pPr>
          <w:r w:rsidRPr="00017217">
            <w:rPr>
              <w:rFonts w:ascii="Calibri" w:eastAsia="Calibri" w:hAnsi="Calibri" w:cs="Times New Roman"/>
              <w:b/>
              <w:noProof/>
              <w:lang w:eastAsia="en-AU"/>
            </w:rPr>
            <w:drawing>
              <wp:inline distT="0" distB="0" distL="0" distR="0" wp14:anchorId="0F84048C" wp14:editId="56AF319F">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382C132B" w14:textId="77777777" w:rsidR="00544C06" w:rsidRPr="00017217" w:rsidRDefault="00544C06" w:rsidP="00544C06">
          <w:pPr>
            <w:spacing w:after="160" w:line="259" w:lineRule="auto"/>
            <w:rPr>
              <w:rFonts w:ascii="Calibri" w:eastAsia="Calibri" w:hAnsi="Calibri" w:cs="Times New Roman"/>
              <w:b/>
              <w:bCs/>
            </w:rPr>
          </w:pPr>
          <w:r w:rsidRPr="00017217">
            <w:rPr>
              <w:rFonts w:ascii="Calibri" w:eastAsia="Calibri" w:hAnsi="Calibri" w:cs="Times New Roman"/>
              <w:b/>
              <w:bCs/>
            </w:rPr>
            <w:t xml:space="preserve">Attribution </w:t>
          </w:r>
        </w:p>
        <w:p w14:paraId="0DE829FF" w14:textId="77777777" w:rsidR="00544C06" w:rsidRPr="00017217" w:rsidRDefault="00544C06" w:rsidP="00544C06">
          <w:pPr>
            <w:spacing w:after="160" w:line="259" w:lineRule="auto"/>
            <w:rPr>
              <w:rFonts w:ascii="Calibri" w:eastAsia="Calibri" w:hAnsi="Calibri" w:cs="Times New Roman"/>
              <w:b/>
              <w:bCs/>
            </w:rPr>
          </w:pPr>
          <w:r w:rsidRPr="00017217">
            <w:rPr>
              <w:rFonts w:ascii="Calibri" w:eastAsia="Calibri" w:hAnsi="Calibri" w:cs="Times New Roman"/>
              <w:b/>
              <w:bCs/>
            </w:rPr>
            <w:t>CC BY</w:t>
          </w:r>
        </w:p>
        <w:p w14:paraId="1E9FD92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755A8BE0"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5" w:history="1">
            <w:r w:rsidRPr="00017217">
              <w:rPr>
                <w:rFonts w:ascii="Calibri" w:eastAsia="Calibri" w:hAnsi="Calibri" w:cs="Times New Roman"/>
                <w:u w:val="single"/>
              </w:rPr>
              <w:t>https://creativecommons.org/licenses/by/4.0/</w:t>
            </w:r>
          </w:hyperlink>
        </w:p>
        <w:p w14:paraId="2DB500FE"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The full licence terms are available from </w:t>
          </w:r>
          <w:hyperlink r:id="rId16" w:history="1">
            <w:r w:rsidRPr="00017217">
              <w:rPr>
                <w:rFonts w:ascii="Calibri" w:eastAsia="Calibri" w:hAnsi="Calibri" w:cs="Times New Roman"/>
                <w:u w:val="single"/>
              </w:rPr>
              <w:t>https://creativecommons.org/licenses/by/4.0/legalcode</w:t>
            </w:r>
          </w:hyperlink>
        </w:p>
        <w:p w14:paraId="13F3EA6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Content contained herein should be attributed as </w:t>
          </w:r>
          <w:r w:rsidRPr="00017217">
            <w:rPr>
              <w:rFonts w:ascii="Calibri" w:eastAsia="Calibri" w:hAnsi="Calibri" w:cs="Times New Roman"/>
              <w:i/>
            </w:rPr>
            <w:t>Regulatory Impact Statement: Improvements to Title Administration, October 2020, Australian Government Department of Industry, Science, Energy and Resources</w:t>
          </w:r>
          <w:r w:rsidRPr="00017217">
            <w:rPr>
              <w:rFonts w:ascii="Calibri" w:eastAsia="Calibri" w:hAnsi="Calibri" w:cs="Times New Roman"/>
            </w:rPr>
            <w:t>.</w:t>
          </w:r>
        </w:p>
        <w:p w14:paraId="0F74ABB1" w14:textId="77777777" w:rsidR="00544C06" w:rsidRPr="00017217" w:rsidRDefault="00544C06" w:rsidP="00544C06">
          <w:pPr>
            <w:spacing w:after="160" w:line="259" w:lineRule="auto"/>
            <w:rPr>
              <w:rFonts w:ascii="Calibri" w:eastAsia="Calibri" w:hAnsi="Calibri" w:cs="Times New Roman"/>
              <w:b/>
              <w:bCs/>
            </w:rPr>
          </w:pPr>
          <w:r w:rsidRPr="00017217">
            <w:rPr>
              <w:rFonts w:ascii="Calibri" w:eastAsia="Calibri" w:hAnsi="Calibri" w:cs="Times New Roman"/>
              <w:b/>
              <w:bCs/>
            </w:rPr>
            <w:t>ISBN:</w:t>
          </w:r>
          <w:r w:rsidRPr="00017217">
            <w:rPr>
              <w:rFonts w:ascii="Calibri" w:eastAsia="Calibri" w:hAnsi="Calibri" w:cs="Times New Roman"/>
            </w:rPr>
            <w:t xml:space="preserve"> </w:t>
          </w:r>
          <w:r w:rsidRPr="00017217">
            <w:rPr>
              <w:rFonts w:ascii="Calibri" w:eastAsia="Calibri" w:hAnsi="Calibri" w:cs="Times New Roman"/>
              <w:b/>
            </w:rPr>
            <w:t>978-1-922125-77-4</w:t>
          </w:r>
        </w:p>
        <w:p w14:paraId="09EB6E36" w14:textId="77777777" w:rsidR="00544C06" w:rsidRPr="00017217" w:rsidRDefault="00544C06" w:rsidP="00544C06">
          <w:pPr>
            <w:spacing w:after="160" w:line="259" w:lineRule="auto"/>
            <w:rPr>
              <w:rFonts w:ascii="Calibri" w:eastAsia="Calibri" w:hAnsi="Calibri" w:cs="Times New Roman"/>
              <w:sz w:val="48"/>
              <w:szCs w:val="48"/>
            </w:rPr>
          </w:pPr>
          <w:bookmarkStart w:id="30" w:name="_Toc19023740"/>
          <w:bookmarkStart w:id="31" w:name="_Toc19289645"/>
          <w:bookmarkStart w:id="32" w:name="_Toc19289778"/>
          <w:bookmarkStart w:id="33" w:name="_Toc54190643"/>
          <w:bookmarkStart w:id="34" w:name="_Toc54190818"/>
          <w:bookmarkStart w:id="35" w:name="_Toc54190851"/>
          <w:bookmarkStart w:id="36" w:name="_Toc54336978"/>
          <w:bookmarkStart w:id="37" w:name="_Toc54348561"/>
          <w:bookmarkStart w:id="38" w:name="_Toc54356262"/>
          <w:bookmarkStart w:id="39" w:name="_Toc54359189"/>
          <w:bookmarkStart w:id="40" w:name="_Toc54360195"/>
          <w:bookmarkStart w:id="41" w:name="_Toc54360253"/>
          <w:r w:rsidRPr="00017217">
            <w:rPr>
              <w:rFonts w:ascii="Calibri" w:eastAsia="Calibri" w:hAnsi="Calibri" w:cs="Times New Roman"/>
              <w:sz w:val="48"/>
              <w:szCs w:val="48"/>
            </w:rPr>
            <w:t>Disclaimer</w:t>
          </w:r>
          <w:bookmarkEnd w:id="30"/>
          <w:bookmarkEnd w:id="31"/>
          <w:bookmarkEnd w:id="32"/>
          <w:bookmarkEnd w:id="33"/>
          <w:bookmarkEnd w:id="34"/>
          <w:bookmarkEnd w:id="35"/>
          <w:bookmarkEnd w:id="36"/>
          <w:bookmarkEnd w:id="37"/>
          <w:bookmarkEnd w:id="38"/>
          <w:bookmarkEnd w:id="39"/>
          <w:bookmarkEnd w:id="40"/>
          <w:bookmarkEnd w:id="41"/>
        </w:p>
        <w:p w14:paraId="27EFB6FB"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Australian Government as represented by the Department of Industry, Science, Energy and Resources has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r w:rsidRPr="00017217">
            <w:rPr>
              <w:rFonts w:ascii="Calibri" w:eastAsia="Calibri" w:hAnsi="Calibri" w:cs="Times New Roman"/>
            </w:rPr>
            <w:br w:type="page"/>
          </w:r>
        </w:p>
        <w:p w14:paraId="324B78DA" w14:textId="77777777" w:rsidR="00544C06" w:rsidRPr="00017217" w:rsidRDefault="00544C06" w:rsidP="00544C06">
          <w:pPr>
            <w:spacing w:after="160" w:line="259" w:lineRule="auto"/>
            <w:rPr>
              <w:rFonts w:ascii="Calibri" w:eastAsia="Calibri" w:hAnsi="Calibri" w:cs="Times New Roman"/>
              <w:sz w:val="48"/>
              <w:szCs w:val="48"/>
            </w:rPr>
          </w:pPr>
          <w:bookmarkStart w:id="42" w:name="_Toc54356263"/>
          <w:bookmarkStart w:id="43" w:name="_Toc54359190"/>
          <w:bookmarkStart w:id="44" w:name="_Toc54360196"/>
          <w:bookmarkStart w:id="45" w:name="_Toc54360254"/>
          <w:bookmarkStart w:id="46" w:name="_Toc19289646"/>
          <w:bookmarkStart w:id="47" w:name="_Toc19289779"/>
          <w:bookmarkStart w:id="48" w:name="_Toc54190644"/>
          <w:bookmarkStart w:id="49" w:name="_Toc54190819"/>
          <w:bookmarkStart w:id="50" w:name="_Toc54190852"/>
          <w:bookmarkStart w:id="51" w:name="_Toc54336979"/>
          <w:r w:rsidRPr="00017217">
            <w:rPr>
              <w:rFonts w:ascii="Calibri" w:eastAsia="Calibri" w:hAnsi="Calibri" w:cs="Times New Roman"/>
              <w:sz w:val="48"/>
              <w:szCs w:val="48"/>
            </w:rPr>
            <w:lastRenderedPageBreak/>
            <w:t>Contents</w:t>
          </w:r>
          <w:bookmarkEnd w:id="42"/>
          <w:bookmarkEnd w:id="43"/>
          <w:bookmarkEnd w:id="44"/>
          <w:bookmarkEnd w:id="45"/>
        </w:p>
        <w:bookmarkEnd w:id="46"/>
        <w:bookmarkEnd w:id="47"/>
        <w:bookmarkEnd w:id="48"/>
        <w:bookmarkEnd w:id="49"/>
        <w:bookmarkEnd w:id="50"/>
        <w:bookmarkEnd w:id="51"/>
        <w:p w14:paraId="1468097B" w14:textId="77777777" w:rsidR="00544C06" w:rsidRPr="00017217" w:rsidRDefault="00544C06" w:rsidP="00544C06">
          <w:pPr>
            <w:tabs>
              <w:tab w:val="right" w:leader="dot" w:pos="9016"/>
            </w:tabs>
            <w:spacing w:after="100" w:line="259" w:lineRule="auto"/>
            <w:rPr>
              <w:rFonts w:ascii="Calibri" w:eastAsia="Times New Roman" w:hAnsi="Calibri" w:cs="Times New Roman"/>
              <w:noProof/>
              <w:lang w:eastAsia="en-AU"/>
            </w:rPr>
          </w:pPr>
          <w:r w:rsidRPr="00017217">
            <w:rPr>
              <w:rFonts w:ascii="Calibri" w:eastAsia="Calibri" w:hAnsi="Calibri" w:cs="Times New Roman"/>
            </w:rPr>
            <w:fldChar w:fldCharType="begin"/>
          </w:r>
          <w:r w:rsidRPr="00017217">
            <w:rPr>
              <w:rFonts w:ascii="Calibri" w:eastAsia="Calibri" w:hAnsi="Calibri" w:cs="Times New Roman"/>
            </w:rPr>
            <w:instrText xml:space="preserve"> TOC \o "1-2" \h \z \u </w:instrText>
          </w:r>
          <w:r w:rsidRPr="00017217">
            <w:rPr>
              <w:rFonts w:ascii="Calibri" w:eastAsia="Calibri" w:hAnsi="Calibri" w:cs="Times New Roman"/>
            </w:rPr>
            <w:fldChar w:fldCharType="separate"/>
          </w:r>
          <w:hyperlink w:anchor="_Toc54360255" w:history="1">
            <w:r w:rsidRPr="00017217">
              <w:rPr>
                <w:rFonts w:ascii="Calibri" w:eastAsia="Calibri" w:hAnsi="Calibri" w:cs="Times New Roman"/>
                <w:noProof/>
                <w:u w:val="single"/>
              </w:rPr>
              <w:t>Preamble</w:t>
            </w:r>
            <w:r w:rsidRPr="00017217">
              <w:rPr>
                <w:rFonts w:ascii="Calibri" w:eastAsia="Calibri" w:hAnsi="Calibri" w:cs="Times New Roman"/>
                <w:noProof/>
                <w:webHidden/>
              </w:rPr>
              <w:tab/>
            </w:r>
            <w:r w:rsidRPr="00017217">
              <w:rPr>
                <w:rFonts w:ascii="Calibri" w:eastAsia="Calibri" w:hAnsi="Calibri" w:cs="Times New Roman"/>
                <w:noProof/>
                <w:webHidden/>
              </w:rPr>
              <w:fldChar w:fldCharType="begin"/>
            </w:r>
            <w:r w:rsidRPr="00017217">
              <w:rPr>
                <w:rFonts w:ascii="Calibri" w:eastAsia="Calibri" w:hAnsi="Calibri" w:cs="Times New Roman"/>
                <w:noProof/>
                <w:webHidden/>
              </w:rPr>
              <w:instrText xml:space="preserve"> PAGEREF _Toc54360255 \h </w:instrText>
            </w:r>
            <w:r w:rsidRPr="00017217">
              <w:rPr>
                <w:rFonts w:ascii="Calibri" w:eastAsia="Calibri" w:hAnsi="Calibri" w:cs="Times New Roman"/>
                <w:noProof/>
                <w:webHidden/>
              </w:rPr>
            </w:r>
            <w:r w:rsidRPr="00017217">
              <w:rPr>
                <w:rFonts w:ascii="Calibri" w:eastAsia="Calibri" w:hAnsi="Calibri" w:cs="Times New Roman"/>
                <w:noProof/>
                <w:webHidden/>
              </w:rPr>
              <w:fldChar w:fldCharType="separate"/>
            </w:r>
            <w:r>
              <w:rPr>
                <w:rFonts w:ascii="Calibri" w:eastAsia="Calibri" w:hAnsi="Calibri" w:cs="Times New Roman"/>
                <w:noProof/>
                <w:webHidden/>
              </w:rPr>
              <w:t>4</w:t>
            </w:r>
            <w:r w:rsidRPr="00017217">
              <w:rPr>
                <w:rFonts w:ascii="Calibri" w:eastAsia="Calibri" w:hAnsi="Calibri" w:cs="Times New Roman"/>
                <w:noProof/>
                <w:webHidden/>
              </w:rPr>
              <w:fldChar w:fldCharType="end"/>
            </w:r>
          </w:hyperlink>
        </w:p>
        <w:p w14:paraId="764075B1" w14:textId="77777777" w:rsidR="00544C06" w:rsidRPr="00017217" w:rsidRDefault="001A210F" w:rsidP="00544C06">
          <w:pPr>
            <w:tabs>
              <w:tab w:val="left" w:pos="440"/>
              <w:tab w:val="right" w:leader="dot" w:pos="9016"/>
            </w:tabs>
            <w:spacing w:after="100" w:line="259" w:lineRule="auto"/>
            <w:rPr>
              <w:rFonts w:ascii="Calibri" w:eastAsia="Times New Roman" w:hAnsi="Calibri" w:cs="Times New Roman"/>
              <w:noProof/>
              <w:lang w:eastAsia="en-AU"/>
            </w:rPr>
          </w:pPr>
          <w:hyperlink w:anchor="_Toc54360256" w:history="1">
            <w:r w:rsidR="00544C06" w:rsidRPr="00017217">
              <w:rPr>
                <w:rFonts w:ascii="Calibri" w:eastAsia="Calibri" w:hAnsi="Calibri" w:cs="Times New Roman"/>
                <w:noProof/>
                <w:u w:val="single"/>
              </w:rPr>
              <w:t>1.</w:t>
            </w:r>
            <w:r w:rsidR="00544C06" w:rsidRPr="00017217">
              <w:rPr>
                <w:rFonts w:ascii="Calibri" w:eastAsia="Times New Roman" w:hAnsi="Calibri" w:cs="Times New Roman"/>
                <w:noProof/>
                <w:lang w:eastAsia="en-AU"/>
              </w:rPr>
              <w:tab/>
            </w:r>
            <w:r w:rsidR="00544C06" w:rsidRPr="00017217">
              <w:rPr>
                <w:rFonts w:ascii="Calibri" w:eastAsia="Calibri" w:hAnsi="Calibri" w:cs="Times New Roman"/>
                <w:noProof/>
                <w:u w:val="single"/>
              </w:rPr>
              <w:t>The Problem</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_Toc54360256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6</w:t>
            </w:r>
            <w:r w:rsidR="00544C06" w:rsidRPr="00017217">
              <w:rPr>
                <w:rFonts w:ascii="Calibri" w:eastAsia="Calibri" w:hAnsi="Calibri" w:cs="Times New Roman"/>
                <w:noProof/>
                <w:webHidden/>
              </w:rPr>
              <w:fldChar w:fldCharType="end"/>
            </w:r>
          </w:hyperlink>
        </w:p>
        <w:p w14:paraId="21F0087B" w14:textId="77777777" w:rsidR="00544C06" w:rsidRPr="00017217" w:rsidRDefault="001A210F" w:rsidP="00544C06">
          <w:pPr>
            <w:tabs>
              <w:tab w:val="left" w:pos="440"/>
              <w:tab w:val="right" w:leader="dot" w:pos="9016"/>
            </w:tabs>
            <w:spacing w:after="100" w:line="259" w:lineRule="auto"/>
            <w:rPr>
              <w:rFonts w:ascii="Calibri" w:eastAsia="Times New Roman" w:hAnsi="Calibri" w:cs="Times New Roman"/>
              <w:noProof/>
              <w:lang w:eastAsia="en-AU"/>
            </w:rPr>
          </w:pPr>
          <w:hyperlink w:anchor="_Toc54360257" w:history="1">
            <w:r w:rsidR="00544C06" w:rsidRPr="00017217">
              <w:rPr>
                <w:rFonts w:ascii="Calibri" w:eastAsia="Calibri" w:hAnsi="Calibri" w:cs="Times New Roman"/>
                <w:noProof/>
                <w:u w:val="single"/>
              </w:rPr>
              <w:t>2.</w:t>
            </w:r>
            <w:r w:rsidR="00544C06" w:rsidRPr="00017217">
              <w:rPr>
                <w:rFonts w:ascii="Calibri" w:eastAsia="Times New Roman" w:hAnsi="Calibri" w:cs="Times New Roman"/>
                <w:noProof/>
                <w:lang w:eastAsia="en-AU"/>
              </w:rPr>
              <w:tab/>
            </w:r>
            <w:r w:rsidR="00544C06" w:rsidRPr="00017217">
              <w:rPr>
                <w:rFonts w:ascii="Calibri" w:eastAsia="Calibri" w:hAnsi="Calibri" w:cs="Times New Roman"/>
                <w:noProof/>
                <w:u w:val="single"/>
              </w:rPr>
              <w:t>Need for government action</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_Toc54360257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8</w:t>
            </w:r>
            <w:r w:rsidR="00544C06" w:rsidRPr="00017217">
              <w:rPr>
                <w:rFonts w:ascii="Calibri" w:eastAsia="Calibri" w:hAnsi="Calibri" w:cs="Times New Roman"/>
                <w:noProof/>
                <w:webHidden/>
              </w:rPr>
              <w:fldChar w:fldCharType="end"/>
            </w:r>
          </w:hyperlink>
        </w:p>
        <w:p w14:paraId="10820FDB" w14:textId="77777777" w:rsidR="00544C06" w:rsidRPr="00017217" w:rsidRDefault="001A210F" w:rsidP="00544C06">
          <w:pPr>
            <w:tabs>
              <w:tab w:val="left" w:pos="440"/>
              <w:tab w:val="right" w:leader="dot" w:pos="9016"/>
            </w:tabs>
            <w:spacing w:after="100" w:line="259" w:lineRule="auto"/>
            <w:rPr>
              <w:rFonts w:ascii="Calibri" w:eastAsia="Times New Roman" w:hAnsi="Calibri" w:cs="Times New Roman"/>
              <w:noProof/>
              <w:lang w:eastAsia="en-AU"/>
            </w:rPr>
          </w:pPr>
          <w:hyperlink w:anchor="_Toc54360258" w:history="1">
            <w:r w:rsidR="00544C06" w:rsidRPr="00017217">
              <w:rPr>
                <w:rFonts w:ascii="Calibri" w:eastAsia="Calibri" w:hAnsi="Calibri" w:cs="Times New Roman"/>
                <w:noProof/>
                <w:u w:val="single"/>
              </w:rPr>
              <w:t>3.</w:t>
            </w:r>
            <w:r w:rsidR="00544C06" w:rsidRPr="00017217">
              <w:rPr>
                <w:rFonts w:ascii="Calibri" w:eastAsia="Times New Roman" w:hAnsi="Calibri" w:cs="Times New Roman"/>
                <w:noProof/>
                <w:lang w:eastAsia="en-AU"/>
              </w:rPr>
              <w:tab/>
            </w:r>
            <w:r w:rsidR="00544C06" w:rsidRPr="00017217">
              <w:rPr>
                <w:rFonts w:ascii="Calibri" w:eastAsia="Calibri" w:hAnsi="Calibri" w:cs="Times New Roman"/>
                <w:noProof/>
                <w:u w:val="single"/>
              </w:rPr>
              <w:t>Potential policy options</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_Toc54360258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9</w:t>
            </w:r>
            <w:r w:rsidR="00544C06" w:rsidRPr="00017217">
              <w:rPr>
                <w:rFonts w:ascii="Calibri" w:eastAsia="Calibri" w:hAnsi="Calibri" w:cs="Times New Roman"/>
                <w:noProof/>
                <w:webHidden/>
              </w:rPr>
              <w:fldChar w:fldCharType="end"/>
            </w:r>
          </w:hyperlink>
        </w:p>
        <w:p w14:paraId="68A70EBC" w14:textId="77777777" w:rsidR="00544C06" w:rsidRPr="00017217" w:rsidRDefault="001A210F" w:rsidP="00544C06">
          <w:pPr>
            <w:tabs>
              <w:tab w:val="left" w:pos="440"/>
              <w:tab w:val="right" w:leader="dot" w:pos="9016"/>
            </w:tabs>
            <w:spacing w:after="100" w:line="259" w:lineRule="auto"/>
            <w:rPr>
              <w:rFonts w:ascii="Calibri" w:eastAsia="Times New Roman" w:hAnsi="Calibri" w:cs="Times New Roman"/>
              <w:noProof/>
              <w:lang w:eastAsia="en-AU"/>
            </w:rPr>
          </w:pPr>
          <w:hyperlink w:anchor="_Toc54360259" w:history="1">
            <w:r w:rsidR="00544C06" w:rsidRPr="00017217">
              <w:rPr>
                <w:rFonts w:ascii="Calibri" w:eastAsia="Calibri" w:hAnsi="Calibri" w:cs="Times New Roman"/>
                <w:noProof/>
                <w:u w:val="single"/>
              </w:rPr>
              <w:t>4.</w:t>
            </w:r>
            <w:r w:rsidR="00544C06" w:rsidRPr="00017217">
              <w:rPr>
                <w:rFonts w:ascii="Calibri" w:eastAsia="Times New Roman" w:hAnsi="Calibri" w:cs="Times New Roman"/>
                <w:noProof/>
                <w:lang w:eastAsia="en-AU"/>
              </w:rPr>
              <w:tab/>
            </w:r>
            <w:r w:rsidR="00544C06" w:rsidRPr="00017217">
              <w:rPr>
                <w:rFonts w:ascii="Calibri" w:eastAsia="Calibri" w:hAnsi="Calibri" w:cs="Times New Roman"/>
                <w:noProof/>
                <w:u w:val="single"/>
              </w:rPr>
              <w:t>Net benefits</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_Toc54360259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11</w:t>
            </w:r>
            <w:r w:rsidR="00544C06" w:rsidRPr="00017217">
              <w:rPr>
                <w:rFonts w:ascii="Calibri" w:eastAsia="Calibri" w:hAnsi="Calibri" w:cs="Times New Roman"/>
                <w:noProof/>
                <w:webHidden/>
              </w:rPr>
              <w:fldChar w:fldCharType="end"/>
            </w:r>
          </w:hyperlink>
        </w:p>
        <w:p w14:paraId="6BED3BC1" w14:textId="77777777" w:rsidR="00544C06" w:rsidRPr="00017217" w:rsidRDefault="001A210F" w:rsidP="00544C06">
          <w:pPr>
            <w:tabs>
              <w:tab w:val="left" w:pos="440"/>
              <w:tab w:val="right" w:leader="dot" w:pos="9016"/>
            </w:tabs>
            <w:spacing w:after="100" w:line="259" w:lineRule="auto"/>
            <w:rPr>
              <w:rFonts w:ascii="Calibri" w:eastAsia="Times New Roman" w:hAnsi="Calibri" w:cs="Times New Roman"/>
              <w:noProof/>
              <w:lang w:eastAsia="en-AU"/>
            </w:rPr>
          </w:pPr>
          <w:hyperlink w:anchor="_Toc54360260" w:history="1">
            <w:r w:rsidR="00544C06" w:rsidRPr="00017217">
              <w:rPr>
                <w:rFonts w:ascii="Calibri" w:eastAsia="Calibri" w:hAnsi="Calibri" w:cs="Times New Roman"/>
                <w:noProof/>
                <w:u w:val="single"/>
              </w:rPr>
              <w:t>5.</w:t>
            </w:r>
            <w:r w:rsidR="00544C06" w:rsidRPr="00017217">
              <w:rPr>
                <w:rFonts w:ascii="Calibri" w:eastAsia="Times New Roman" w:hAnsi="Calibri" w:cs="Times New Roman"/>
                <w:noProof/>
                <w:lang w:eastAsia="en-AU"/>
              </w:rPr>
              <w:tab/>
            </w:r>
            <w:r w:rsidR="00544C06" w:rsidRPr="00017217">
              <w:rPr>
                <w:rFonts w:ascii="Calibri" w:eastAsia="Calibri" w:hAnsi="Calibri" w:cs="Times New Roman"/>
                <w:noProof/>
                <w:u w:val="single"/>
              </w:rPr>
              <w:t>Consultation</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_Toc54360260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16</w:t>
            </w:r>
            <w:r w:rsidR="00544C06" w:rsidRPr="00017217">
              <w:rPr>
                <w:rFonts w:ascii="Calibri" w:eastAsia="Calibri" w:hAnsi="Calibri" w:cs="Times New Roman"/>
                <w:noProof/>
                <w:webHidden/>
              </w:rPr>
              <w:fldChar w:fldCharType="end"/>
            </w:r>
          </w:hyperlink>
        </w:p>
        <w:p w14:paraId="071A45D1" w14:textId="77777777" w:rsidR="00544C06" w:rsidRPr="00017217" w:rsidRDefault="001A210F" w:rsidP="00544C06">
          <w:pPr>
            <w:tabs>
              <w:tab w:val="left" w:pos="440"/>
              <w:tab w:val="right" w:leader="dot" w:pos="9016"/>
            </w:tabs>
            <w:spacing w:after="100" w:line="259" w:lineRule="auto"/>
            <w:rPr>
              <w:rFonts w:ascii="Calibri" w:eastAsia="Times New Roman" w:hAnsi="Calibri" w:cs="Times New Roman"/>
              <w:noProof/>
              <w:lang w:eastAsia="en-AU"/>
            </w:rPr>
          </w:pPr>
          <w:hyperlink w:anchor="_Toc54360261" w:history="1">
            <w:r w:rsidR="00544C06" w:rsidRPr="00017217">
              <w:rPr>
                <w:rFonts w:ascii="Calibri" w:eastAsia="Calibri" w:hAnsi="Calibri" w:cs="Times New Roman"/>
                <w:noProof/>
                <w:u w:val="single"/>
              </w:rPr>
              <w:t>6.</w:t>
            </w:r>
            <w:r w:rsidR="00544C06" w:rsidRPr="00017217">
              <w:rPr>
                <w:rFonts w:ascii="Calibri" w:eastAsia="Times New Roman" w:hAnsi="Calibri" w:cs="Times New Roman"/>
                <w:noProof/>
                <w:lang w:eastAsia="en-AU"/>
              </w:rPr>
              <w:tab/>
            </w:r>
            <w:r w:rsidR="00544C06" w:rsidRPr="00017217">
              <w:rPr>
                <w:rFonts w:ascii="Calibri" w:eastAsia="Calibri" w:hAnsi="Calibri" w:cs="Times New Roman"/>
                <w:noProof/>
                <w:u w:val="single"/>
              </w:rPr>
              <w:t>Preferred option</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_Toc54360261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20</w:t>
            </w:r>
            <w:r w:rsidR="00544C06" w:rsidRPr="00017217">
              <w:rPr>
                <w:rFonts w:ascii="Calibri" w:eastAsia="Calibri" w:hAnsi="Calibri" w:cs="Times New Roman"/>
                <w:noProof/>
                <w:webHidden/>
              </w:rPr>
              <w:fldChar w:fldCharType="end"/>
            </w:r>
          </w:hyperlink>
        </w:p>
        <w:p w14:paraId="15F50938" w14:textId="77777777" w:rsidR="00544C06" w:rsidRPr="00017217" w:rsidRDefault="001A210F" w:rsidP="00544C06">
          <w:pPr>
            <w:tabs>
              <w:tab w:val="left" w:pos="440"/>
              <w:tab w:val="right" w:leader="dot" w:pos="9016"/>
            </w:tabs>
            <w:spacing w:after="100" w:line="259" w:lineRule="auto"/>
            <w:rPr>
              <w:rFonts w:ascii="Calibri" w:eastAsia="Times New Roman" w:hAnsi="Calibri" w:cs="Times New Roman"/>
              <w:noProof/>
              <w:lang w:eastAsia="en-AU"/>
            </w:rPr>
          </w:pPr>
          <w:hyperlink w:anchor="_Toc54360262" w:history="1">
            <w:r w:rsidR="00544C06" w:rsidRPr="00017217">
              <w:rPr>
                <w:rFonts w:ascii="Calibri" w:eastAsia="Calibri" w:hAnsi="Calibri" w:cs="Times New Roman"/>
                <w:noProof/>
                <w:u w:val="single"/>
              </w:rPr>
              <w:t>7.</w:t>
            </w:r>
            <w:r w:rsidR="00544C06" w:rsidRPr="00017217">
              <w:rPr>
                <w:rFonts w:ascii="Calibri" w:eastAsia="Times New Roman" w:hAnsi="Calibri" w:cs="Times New Roman"/>
                <w:noProof/>
                <w:lang w:eastAsia="en-AU"/>
              </w:rPr>
              <w:tab/>
            </w:r>
            <w:r w:rsidR="00544C06" w:rsidRPr="00017217">
              <w:rPr>
                <w:rFonts w:ascii="Calibri" w:eastAsia="Calibri" w:hAnsi="Calibri" w:cs="Times New Roman"/>
                <w:noProof/>
                <w:u w:val="single"/>
              </w:rPr>
              <w:t>Implementation</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_Toc54360262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22</w:t>
            </w:r>
            <w:r w:rsidR="00544C06" w:rsidRPr="00017217">
              <w:rPr>
                <w:rFonts w:ascii="Calibri" w:eastAsia="Calibri" w:hAnsi="Calibri" w:cs="Times New Roman"/>
                <w:noProof/>
                <w:webHidden/>
              </w:rPr>
              <w:fldChar w:fldCharType="end"/>
            </w:r>
          </w:hyperlink>
        </w:p>
        <w:p w14:paraId="746F55D9" w14:textId="77777777" w:rsidR="00544C06" w:rsidRPr="00017217" w:rsidRDefault="001A210F" w:rsidP="00544C06">
          <w:pPr>
            <w:tabs>
              <w:tab w:val="right" w:leader="dot" w:pos="9016"/>
            </w:tabs>
            <w:spacing w:after="100" w:line="259" w:lineRule="auto"/>
            <w:rPr>
              <w:rFonts w:ascii="Calibri" w:eastAsia="Times New Roman" w:hAnsi="Calibri" w:cs="Times New Roman"/>
              <w:noProof/>
              <w:lang w:eastAsia="en-AU"/>
            </w:rPr>
          </w:pPr>
          <w:hyperlink w:anchor="_Toc54360263" w:history="1">
            <w:r w:rsidR="00544C06" w:rsidRPr="00017217">
              <w:rPr>
                <w:rFonts w:ascii="Calibri" w:eastAsia="Calibri" w:hAnsi="Calibri" w:cs="Times New Roman"/>
                <w:noProof/>
                <w:u w:val="single"/>
              </w:rPr>
              <w:t>Annex 1: Costing Assumptions</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_Toc54360263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24</w:t>
            </w:r>
            <w:r w:rsidR="00544C06" w:rsidRPr="00017217">
              <w:rPr>
                <w:rFonts w:ascii="Calibri" w:eastAsia="Calibri" w:hAnsi="Calibri" w:cs="Times New Roman"/>
                <w:noProof/>
                <w:webHidden/>
              </w:rPr>
              <w:fldChar w:fldCharType="end"/>
            </w:r>
          </w:hyperlink>
        </w:p>
        <w:p w14:paraId="6E3D61FC" w14:textId="77777777" w:rsidR="00544C06" w:rsidRPr="00017217" w:rsidRDefault="001A210F" w:rsidP="00544C06">
          <w:pPr>
            <w:tabs>
              <w:tab w:val="right" w:leader="dot" w:pos="9016"/>
            </w:tabs>
            <w:spacing w:after="100" w:line="259" w:lineRule="auto"/>
            <w:rPr>
              <w:rFonts w:ascii="Calibri" w:eastAsia="Times New Roman" w:hAnsi="Calibri" w:cs="Times New Roman"/>
              <w:noProof/>
              <w:lang w:eastAsia="en-AU"/>
            </w:rPr>
          </w:pPr>
          <w:hyperlink w:anchor="_Toc54360264" w:history="1">
            <w:r w:rsidR="00544C06" w:rsidRPr="00017217">
              <w:rPr>
                <w:rFonts w:ascii="Calibri" w:eastAsia="Calibri" w:hAnsi="Calibri" w:cs="Times New Roman"/>
                <w:noProof/>
                <w:u w:val="single"/>
              </w:rPr>
              <w:t>Annex 2: Table of Key Implementation Risks</w:t>
            </w:r>
            <w:r w:rsidR="00544C06" w:rsidRPr="00017217">
              <w:rPr>
                <w:rFonts w:ascii="Calibri" w:eastAsia="Calibri" w:hAnsi="Calibri" w:cs="Times New Roman"/>
                <w:noProof/>
                <w:webHidden/>
              </w:rPr>
              <w:tab/>
            </w:r>
            <w:r w:rsidR="00544C06" w:rsidRPr="00017217">
              <w:rPr>
                <w:rFonts w:ascii="Calibri" w:eastAsia="Calibri" w:hAnsi="Calibri" w:cs="Times New Roman"/>
                <w:noProof/>
                <w:webHidden/>
              </w:rPr>
              <w:fldChar w:fldCharType="begin"/>
            </w:r>
            <w:r w:rsidR="00544C06" w:rsidRPr="00017217">
              <w:rPr>
                <w:rFonts w:ascii="Calibri" w:eastAsia="Calibri" w:hAnsi="Calibri" w:cs="Times New Roman"/>
                <w:noProof/>
                <w:webHidden/>
              </w:rPr>
              <w:instrText xml:space="preserve"> PAGEREF _Toc54360264 \h </w:instrText>
            </w:r>
            <w:r w:rsidR="00544C06" w:rsidRPr="00017217">
              <w:rPr>
                <w:rFonts w:ascii="Calibri" w:eastAsia="Calibri" w:hAnsi="Calibri" w:cs="Times New Roman"/>
                <w:noProof/>
                <w:webHidden/>
              </w:rPr>
            </w:r>
            <w:r w:rsidR="00544C06" w:rsidRPr="00017217">
              <w:rPr>
                <w:rFonts w:ascii="Calibri" w:eastAsia="Calibri" w:hAnsi="Calibri" w:cs="Times New Roman"/>
                <w:noProof/>
                <w:webHidden/>
              </w:rPr>
              <w:fldChar w:fldCharType="separate"/>
            </w:r>
            <w:r w:rsidR="00544C06">
              <w:rPr>
                <w:rFonts w:ascii="Calibri" w:eastAsia="Calibri" w:hAnsi="Calibri" w:cs="Times New Roman"/>
                <w:noProof/>
                <w:webHidden/>
              </w:rPr>
              <w:t>25</w:t>
            </w:r>
            <w:r w:rsidR="00544C06" w:rsidRPr="00017217">
              <w:rPr>
                <w:rFonts w:ascii="Calibri" w:eastAsia="Calibri" w:hAnsi="Calibri" w:cs="Times New Roman"/>
                <w:noProof/>
                <w:webHidden/>
              </w:rPr>
              <w:fldChar w:fldCharType="end"/>
            </w:r>
          </w:hyperlink>
        </w:p>
        <w:p w14:paraId="43E50000"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fldChar w:fldCharType="end"/>
          </w:r>
        </w:p>
      </w:sdtContent>
    </w:sdt>
    <w:p w14:paraId="433DD8C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br w:type="page"/>
      </w:r>
    </w:p>
    <w:p w14:paraId="36B2A097" w14:textId="77777777" w:rsidR="00544C06" w:rsidRPr="00017217" w:rsidRDefault="00544C06" w:rsidP="00544C06">
      <w:pPr>
        <w:spacing w:after="160" w:line="259" w:lineRule="auto"/>
        <w:rPr>
          <w:rFonts w:ascii="Calibri" w:eastAsia="Calibri" w:hAnsi="Calibri" w:cs="Times New Roman"/>
          <w:sz w:val="48"/>
          <w:szCs w:val="48"/>
        </w:rPr>
      </w:pPr>
      <w:bookmarkStart w:id="52" w:name="_Toc54348562"/>
      <w:bookmarkStart w:id="53" w:name="_Toc54359191"/>
      <w:bookmarkStart w:id="54" w:name="_Toc54360197"/>
      <w:bookmarkStart w:id="55" w:name="_Toc54360255"/>
      <w:bookmarkStart w:id="56" w:name="_Toc19023741"/>
      <w:r w:rsidRPr="00017217">
        <w:rPr>
          <w:rFonts w:ascii="Calibri" w:eastAsia="Calibri" w:hAnsi="Calibri" w:cs="Times New Roman"/>
          <w:sz w:val="48"/>
          <w:szCs w:val="48"/>
        </w:rPr>
        <w:lastRenderedPageBreak/>
        <w:t>Preamble</w:t>
      </w:r>
      <w:bookmarkEnd w:id="52"/>
      <w:bookmarkEnd w:id="53"/>
      <w:bookmarkEnd w:id="54"/>
      <w:bookmarkEnd w:id="55"/>
    </w:p>
    <w:p w14:paraId="7DC78736"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resources sector is instrumental to Australia’s economic prosperity. The significant employment and economic activity generated by the sector has helped sustain Australia’s development and growth over the last two decades. The Australian Government’s vision is to have the world’s most advanced, innovative and successful resources sector, which delivers sustained prosperity and social development for all Australians. It aims to deliver the most globally attractive and competitive investment destination for resources projects to facilitate Australia’s economic growth and innovation, into the future.</w:t>
      </w:r>
    </w:p>
    <w:p w14:paraId="6A9B11F5"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Australia has a globally recognised oil and gas sector, which has made significant economic contributions to the economy. Australia’s oil and gas industry has delivered enormous benefits in the form of export earnings, domestic economic activity, employment and investment. It has also created and sustained a globally respected and innovative technology, services and manufacturing sector. According to the </w:t>
      </w:r>
      <w:hyperlink r:id="rId17" w:history="1">
        <w:r w:rsidRPr="00017217">
          <w:rPr>
            <w:rFonts w:ascii="Calibri" w:eastAsia="Calibri" w:hAnsi="Calibri" w:cs="Times New Roman"/>
            <w:u w:val="single"/>
          </w:rPr>
          <w:t>Resources and Energy Quarterly September 2020</w:t>
        </w:r>
      </w:hyperlink>
      <w:r w:rsidRPr="00017217">
        <w:rPr>
          <w:rFonts w:ascii="Calibri" w:eastAsia="Calibri" w:hAnsi="Calibri" w:cs="Times New Roman"/>
        </w:rPr>
        <w:t>, Australia remains one of the world’s largest exporters of Liquefied Natural Gas, accounting for approximately AUD$31 billion in export revenue in 2020-2021.</w:t>
      </w:r>
      <w:r w:rsidRPr="00017217">
        <w:rPr>
          <w:rFonts w:ascii="Calibri" w:eastAsia="Calibri" w:hAnsi="Calibri" w:cs="Times New Roman"/>
          <w:vertAlign w:val="superscript"/>
        </w:rPr>
        <w:footnoteReference w:id="1"/>
      </w:r>
    </w:p>
    <w:p w14:paraId="5A0CE135"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 key policy objective of the offshore regime is to ensure that Australia’s resources are developed sustainably, responsibly and in accordance with industry leading practice. This means that resource management, the environment and the health and safety of those employed in the sector, are key considerations for petroleum activities that are undertaken within the regime. It is also important that the risks and liabilities of petroleum activities, remain the responsibility of those who have derived the financial benefits from the project, rather than the Commonwealth and the Australian taxpayer. The Commonwealth seeks to balance these considerations and the continuous improvement of the regulatory framework, all while minimising the regulatory burden on business.</w:t>
      </w:r>
    </w:p>
    <w:p w14:paraId="3B289C19"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Australia’s offshore regime is now maturing as some projects and basins begin to plateau and may decline if new fields are not brought in to production. The late 1960s saw the offshore Gippsland Basin start production and the 1970s saw oil discovered off the northern coast of Western Australia, which is now also a highly productive gas province and has become the cornerstone of the Australian oil and gas industry. The regime is currently geared towards attracting new investment and discovery of Australian resources, with its regulatory framework reflecting these priorities. However, as the industry matures, projects are coming to an end, requiring greater regulatory emphasis on activities which occur in the mid to end of life phase of the project. The framework must therefore adapt to the changing needs of industry to effectively manage petroleum activities that are common in the mid to end of a project’s life. Such activities include (but are not limited to) transfers of titles, changes of ownership and decommissioning.</w:t>
      </w:r>
    </w:p>
    <w:p w14:paraId="1FF94FDD"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recent liquidation of the Northern Oil and Gas Australia (NOGA) group of companies demonstrated the importance of the offshore regulatory framework adapting to the needs of the offshore industry. In an unprecedented event throughout the 50 years of Australia’s offshore regime, the NOGA group of companies went into liquidation on 7 February 2020, with an offshore facility that until July 2019, had been in production.</w:t>
      </w:r>
    </w:p>
    <w:p w14:paraId="3A799086"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lastRenderedPageBreak/>
        <w:t>Having purchased the asset and titles from Woodside Energy via a corporate transfer in 2016, NOGA is an example of a company entering the regime towards the end of the project’s life, when production was declining. The NOGA liquidation highlighted the need for the framework to provide greater regulatory oversight throughout the life of a project.</w:t>
      </w:r>
    </w:p>
    <w:p w14:paraId="64AA4A35"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The department is seeking to amend the regulatory framework to strengthen the requirements for entities entering and progressing through the regime to ensure they are suitable, including being financially and technically capable to undertake petroleum activities in a safe manner and ensure that the environment is rehabilitated in compliance with the </w:t>
      </w:r>
      <w:r w:rsidRPr="00017217">
        <w:rPr>
          <w:rFonts w:ascii="Calibri" w:eastAsia="Calibri" w:hAnsi="Calibri" w:cs="Times New Roman"/>
          <w:bCs/>
          <w:i/>
        </w:rPr>
        <w:t>Offshore Petroleum and Greenhouse Gas Storage Act 2006</w:t>
      </w:r>
      <w:r w:rsidRPr="00017217">
        <w:rPr>
          <w:rFonts w:ascii="Calibri" w:eastAsia="Calibri" w:hAnsi="Calibri" w:cs="Times New Roman"/>
          <w:bCs/>
        </w:rPr>
        <w:t xml:space="preserve"> Act (the </w:t>
      </w:r>
      <w:r w:rsidRPr="00017217">
        <w:rPr>
          <w:rFonts w:ascii="Calibri" w:eastAsia="Calibri" w:hAnsi="Calibri" w:cs="Times New Roman"/>
        </w:rPr>
        <w:t>Act). The department also wants to ensure those entering the regime do not have a history of material non-compliance, fraudulent or misleading behaviour and/or financial mismanagement. While regulatory amendments cannot entirely prevent a situation where a company suffers financial distress, providing increased regulatory oversight at key gateway points can ensure those entering the regime to be both capable and appropriate to undertake their obligations and meet liabilities, effectively managing the risk to the Commonwealth.</w:t>
      </w:r>
      <w:r w:rsidRPr="00017217">
        <w:rPr>
          <w:rFonts w:ascii="Calibri" w:eastAsia="Calibri" w:hAnsi="Calibri" w:cs="Times New Roman"/>
        </w:rPr>
        <w:br w:type="page"/>
      </w:r>
    </w:p>
    <w:p w14:paraId="73EDB1D0" w14:textId="77777777" w:rsidR="00544C06" w:rsidRPr="00017217" w:rsidRDefault="00544C06" w:rsidP="00544C06">
      <w:pPr>
        <w:spacing w:after="160" w:line="259" w:lineRule="auto"/>
        <w:rPr>
          <w:rFonts w:ascii="Calibri" w:eastAsia="Calibri" w:hAnsi="Calibri" w:cs="Times New Roman"/>
          <w:sz w:val="48"/>
          <w:szCs w:val="48"/>
        </w:rPr>
      </w:pPr>
      <w:bookmarkStart w:id="57" w:name="_Toc54348563"/>
      <w:bookmarkStart w:id="58" w:name="_Toc54359192"/>
      <w:bookmarkStart w:id="59" w:name="_Toc54360198"/>
      <w:bookmarkStart w:id="60" w:name="_Toc54360256"/>
      <w:r w:rsidRPr="00017217">
        <w:rPr>
          <w:rFonts w:ascii="Calibri" w:eastAsia="Calibri" w:hAnsi="Calibri" w:cs="Times New Roman"/>
          <w:sz w:val="48"/>
          <w:szCs w:val="48"/>
        </w:rPr>
        <w:lastRenderedPageBreak/>
        <w:t>1.</w:t>
      </w:r>
      <w:r w:rsidRPr="00017217">
        <w:rPr>
          <w:rFonts w:ascii="Calibri" w:eastAsia="Calibri" w:hAnsi="Calibri" w:cs="Times New Roman"/>
          <w:sz w:val="48"/>
          <w:szCs w:val="48"/>
        </w:rPr>
        <w:tab/>
        <w:t>The Problem</w:t>
      </w:r>
      <w:bookmarkEnd w:id="57"/>
      <w:bookmarkEnd w:id="58"/>
      <w:bookmarkEnd w:id="59"/>
      <w:bookmarkEnd w:id="60"/>
    </w:p>
    <w:p w14:paraId="00CB5B3F"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Problem Statement</w:t>
      </w:r>
    </w:p>
    <w:p w14:paraId="14783BE8" w14:textId="77777777" w:rsidR="00544C06" w:rsidRPr="00017217" w:rsidRDefault="00544C06" w:rsidP="00544C06">
      <w:pPr>
        <w:pBdr>
          <w:top w:val="single" w:sz="4" w:space="6" w:color="auto"/>
          <w:bottom w:val="single" w:sz="4" w:space="6" w:color="auto"/>
        </w:pBdr>
        <w:spacing w:before="360" w:after="360" w:line="259" w:lineRule="auto"/>
        <w:ind w:right="96" w:firstLine="720"/>
        <w:jc w:val="center"/>
        <w:rPr>
          <w:rFonts w:ascii="Calibri" w:eastAsia="Calibri" w:hAnsi="Calibri" w:cs="Times New Roman"/>
          <w:i/>
          <w:iCs/>
          <w:szCs w:val="24"/>
        </w:rPr>
      </w:pPr>
      <w:r w:rsidRPr="00017217">
        <w:rPr>
          <w:rFonts w:ascii="Segoe UI" w:eastAsia="Calibri" w:hAnsi="Segoe UI" w:cs="Segoe UI"/>
          <w:i/>
          <w:iCs/>
          <w:sz w:val="20"/>
          <w:szCs w:val="20"/>
        </w:rPr>
        <w:t xml:space="preserve">The current offshore regulatory framework lacks sufficient mechanisms, particularly at certain high risk gateways, to ensure that </w:t>
      </w:r>
      <w:r w:rsidRPr="00017217">
        <w:rPr>
          <w:rFonts w:ascii="Segoe UI" w:eastAsia="Calibri" w:hAnsi="Segoe UI" w:cs="Segoe UI"/>
          <w:i/>
          <w:iCs/>
          <w:szCs w:val="20"/>
        </w:rPr>
        <w:t>an entity</w:t>
      </w:r>
      <w:r w:rsidRPr="00017217">
        <w:rPr>
          <w:rFonts w:ascii="Segoe UI" w:eastAsia="Calibri" w:hAnsi="Segoe UI" w:cs="Segoe UI"/>
          <w:b/>
          <w:i/>
          <w:iCs/>
          <w:szCs w:val="20"/>
        </w:rPr>
        <w:t xml:space="preserve"> </w:t>
      </w:r>
      <w:r w:rsidRPr="00017217">
        <w:rPr>
          <w:rFonts w:ascii="Segoe UI" w:eastAsia="Calibri" w:hAnsi="Segoe UI" w:cs="Segoe UI"/>
          <w:i/>
          <w:iCs/>
          <w:szCs w:val="20"/>
        </w:rPr>
        <w:t>is appropriate to become a</w:t>
      </w:r>
      <w:r w:rsidRPr="00017217">
        <w:rPr>
          <w:rFonts w:ascii="Segoe UI" w:eastAsia="Calibri" w:hAnsi="Segoe UI" w:cs="Segoe UI"/>
          <w:b/>
          <w:i/>
          <w:iCs/>
          <w:szCs w:val="20"/>
        </w:rPr>
        <w:t xml:space="preserve"> </w:t>
      </w:r>
      <w:r w:rsidRPr="00017217">
        <w:rPr>
          <w:rFonts w:ascii="Segoe UI" w:eastAsia="Calibri" w:hAnsi="Segoe UI" w:cs="Segoe UI"/>
          <w:i/>
          <w:iCs/>
          <w:sz w:val="20"/>
          <w:szCs w:val="20"/>
        </w:rPr>
        <w:t>titleholder in Australia’s offshore regime and undertake petroleum activities.</w:t>
      </w:r>
    </w:p>
    <w:p w14:paraId="639EF9B7"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As Australia’s offshore industry matures, there are an increasing number of projects and assets reaching end of life in the next 30 years, with an anticipated decommissioning liability of AUD$60 billion.</w:t>
      </w:r>
      <w:r w:rsidRPr="00017217">
        <w:rPr>
          <w:rFonts w:ascii="Calibri" w:eastAsia="Calibri" w:hAnsi="Calibri" w:cs="Times New Roman"/>
          <w:vertAlign w:val="superscript"/>
        </w:rPr>
        <w:footnoteReference w:id="2"/>
      </w:r>
      <w:r w:rsidRPr="00017217">
        <w:rPr>
          <w:rFonts w:ascii="Calibri" w:eastAsia="Calibri" w:hAnsi="Calibri" w:cs="Times New Roman"/>
        </w:rPr>
        <w:t xml:space="preserve"> The regulatory framework and the posture of the regulator, will need adapt to meet the changing needs of the Australian offshore industry, which is beginning to focus more on mid-to-end of life petroleum activities, while also remaining attractive to encourage new investment in the regime.</w:t>
      </w:r>
    </w:p>
    <w:p w14:paraId="64DEBCEE" w14:textId="77777777" w:rsidR="00544C06" w:rsidRPr="00017217" w:rsidRDefault="00544C06" w:rsidP="00544C06">
      <w:pPr>
        <w:spacing w:after="160" w:line="259" w:lineRule="auto"/>
        <w:rPr>
          <w:rFonts w:ascii="Calibri" w:eastAsia="Calibri" w:hAnsi="Calibri" w:cs="Times New Roman"/>
        </w:rPr>
      </w:pPr>
      <w:r w:rsidRPr="00017217">
        <w:rPr>
          <w:rFonts w:ascii="Calibri" w:eastAsia="Times New Roman" w:hAnsi="Calibri" w:cs="Times New Roman"/>
          <w:sz w:val="32"/>
          <w:szCs w:val="40"/>
        </w:rPr>
        <w:t>A change in ownership and control of a titleholder may result in an unsuitable entity becoming a titleholder in the Australian offshore regime.</w:t>
      </w:r>
    </w:p>
    <w:p w14:paraId="5002D7B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Commercial transactions to sell or acquire oil and gas assets and titles can be structured in a variety of manners. Currently, the Act requires the assessment and registration of two classes of transactions by the National Offshore Petroleum Titles Administrator (NOPTA) – ‘transfers’ and ‘dealings’.</w:t>
      </w:r>
    </w:p>
    <w:p w14:paraId="181A7ED8" w14:textId="77777777" w:rsidR="00544C06" w:rsidRPr="00017217" w:rsidRDefault="00544C06" w:rsidP="00544C06">
      <w:pPr>
        <w:spacing w:after="160" w:line="259" w:lineRule="auto"/>
        <w:rPr>
          <w:rFonts w:ascii="Calibri" w:eastAsia="Calibri" w:hAnsi="Calibri" w:cs="Times New Roman"/>
          <w:szCs w:val="24"/>
        </w:rPr>
      </w:pPr>
      <w:r w:rsidRPr="00017217">
        <w:rPr>
          <w:rFonts w:ascii="Calibri" w:eastAsia="Calibri" w:hAnsi="Calibri" w:cs="Times New Roman"/>
        </w:rPr>
        <w:t xml:space="preserve">In seeking approval for a transfer, the applicant must provide financial and technical information to NOPTA, who is able to exercise information gathering powers to obtain further documentation from the applicant. However, there is a lack of regulatory oversight of transactions involving a change in the ownership or control of titleholders. This generally occurs via parent company acquisitions of the shares in titleholders (who tend to be subsidiaries within corporate groups). </w:t>
      </w:r>
      <w:r w:rsidRPr="00017217">
        <w:rPr>
          <w:rFonts w:ascii="Calibri" w:eastAsia="Calibri" w:hAnsi="Calibri" w:cs="Times New Roman"/>
          <w:szCs w:val="24"/>
        </w:rPr>
        <w:t xml:space="preserve">This effectively changes the company structure but is not captured by the legislation as a ‘transfer’ of a title or a ‘dealing’ because no interests in the title itself are transferred, created or assigned. </w:t>
      </w:r>
      <w:r w:rsidRPr="00017217">
        <w:rPr>
          <w:rFonts w:ascii="Calibri" w:eastAsia="Calibri" w:hAnsi="Calibri" w:cs="Times New Roman"/>
        </w:rPr>
        <w:t>Such transactions are a common way for the industry to sell ownership of offshore projects.</w:t>
      </w:r>
    </w:p>
    <w:p w14:paraId="4B80E582" w14:textId="77777777" w:rsidR="00544C06" w:rsidRPr="00017217" w:rsidRDefault="00544C06" w:rsidP="00544C06">
      <w:pPr>
        <w:spacing w:after="160" w:line="259" w:lineRule="auto"/>
        <w:rPr>
          <w:rFonts w:ascii="Calibri" w:eastAsia="Calibri" w:hAnsi="Calibri" w:cs="Times New Roman"/>
          <w:szCs w:val="24"/>
        </w:rPr>
      </w:pPr>
      <w:r w:rsidRPr="00017217">
        <w:rPr>
          <w:rFonts w:ascii="Calibri" w:eastAsia="Calibri" w:hAnsi="Calibri" w:cs="Times New Roman"/>
          <w:szCs w:val="24"/>
        </w:rPr>
        <w:t>This results in a risk that entities that are not suitable or capable can enter the regime where a producing asset is acquired ‘indirectly’ through a change in the ownership or control of the titleholder (the entity that holds the interests in the title itself). This risk increases late in the life of the title due to declining production, resulting in an uncertain revenue stream, and potentially resulting in the costs of decommissioning being beyond the financial capacity of the titleholder.</w:t>
      </w:r>
      <w:r w:rsidRPr="00017217">
        <w:rPr>
          <w:rFonts w:ascii="Calibri" w:eastAsia="Calibri" w:hAnsi="Calibri" w:cs="Times New Roman"/>
          <w:szCs w:val="24"/>
        </w:rPr>
        <w:br w:type="page"/>
      </w:r>
    </w:p>
    <w:p w14:paraId="2AF1792E"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lastRenderedPageBreak/>
        <w:t>There is insufficient clarity and/or transparency of decision-making criteria at key gateway points to determine whether an entity is suitable to enter Australia’s offshore regime.</w:t>
      </w:r>
    </w:p>
    <w:p w14:paraId="0CC2A21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Good decision-making builds in accountability that applies to the decision-maker by ensuring the merits of each case are considered against criteria. Currently, there is a lack of clarity around the regulator’s decision-making criteria (allowing for broad discretion) at key gateway points, other than the initial entry application into the regime. These decisions determine whether a titleholder is appropriate to enter Australia’s offshore regime.</w:t>
      </w:r>
    </w:p>
    <w:p w14:paraId="21D1380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As projects mature, there is the increased probability of existing titleholders looking to sell its title and/or assets, as the viability of the project starts to diminish as a result of the declining resources and increasing costs. While this may provide an investment opportunity for companies with lower overheads to extract the remaining resource,  the regulator’s decision making process as to whether a titleholder is appropriate and capable to undertake these activities and enter the regime, remains unclear. This includes a lack of clarity around the requirements and decision-making criteria that the regulator will consider in deciding whether an applicant</w:t>
      </w:r>
      <w:r w:rsidRPr="00017217" w:rsidDel="002A449F">
        <w:rPr>
          <w:rFonts w:ascii="Calibri" w:eastAsia="Calibri" w:hAnsi="Calibri" w:cs="Times New Roman"/>
        </w:rPr>
        <w:t xml:space="preserve"> </w:t>
      </w:r>
      <w:r w:rsidRPr="00017217">
        <w:rPr>
          <w:rFonts w:ascii="Calibri" w:eastAsia="Calibri" w:hAnsi="Calibri" w:cs="Times New Roman"/>
        </w:rPr>
        <w:t>is appropriate, financially and technically capable and whether they have a history of compliance and good standing within the regime.</w:t>
      </w:r>
    </w:p>
    <w:p w14:paraId="725F3F0E"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There are limited mechanisms to protect the Australian taxpayer where the titleholder is unable to meet its liabilities or encourage titleholders to undertake their due diligence when disposing of assets/titles.</w:t>
      </w:r>
    </w:p>
    <w:p w14:paraId="4B02E61C"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While the current regulatory framework provides for oversight, there may be unforeseen circumstances (such as a crash in oil price, of extended period of subdued demand during the current pandemic) where despite its best efforts, a titleholder’s financial health may deteriorate to such a point that it cannot continue to operate, thereby putting at risk its ability to meet its decommissioning obligations. An inability to properly decommission and remediate a site raises potential risks to the environment without government intervention.</w:t>
      </w:r>
    </w:p>
    <w:p w14:paraId="49429AE9"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In Australia, the form of ‘trailing liability’ in the regime is currently limited in its use to a certain set of circumstances. The independent </w:t>
      </w:r>
      <w:hyperlink r:id="rId18" w:history="1">
        <w:r w:rsidRPr="00017217">
          <w:rPr>
            <w:rFonts w:ascii="Calibri" w:eastAsia="Calibri" w:hAnsi="Calibri" w:cs="Times New Roman"/>
          </w:rPr>
          <w:t>Review of the Circumstances that Led to the Administration of the Northern Oil and Gas Australia (NOGA) Group of Companies</w:t>
        </w:r>
      </w:hyperlink>
      <w:r w:rsidRPr="00017217">
        <w:rPr>
          <w:rFonts w:ascii="Calibri" w:eastAsia="Calibri" w:hAnsi="Calibri" w:cs="Times New Roman"/>
        </w:rPr>
        <w:t xml:space="preserve"> by Mr Steve Walker (the Walker Review), highlighted that this limited scope for trailing liability doesn’t properly protect the interests of the broader community and taxpayer, and is inconsistent with comparable jurisdictions who are managing a mature industry.</w:t>
      </w:r>
    </w:p>
    <w:p w14:paraId="1B3DB536"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As a result of this limited nature, it means that there is limited ability for the regulator to ‘call back’ previous titleholders or other related persons in the event the former titleholder no longer exists, who have obtained a financial benefit from the resources. Where a current titleholder suffers financial distress and/or is unable to fulfil its decommissioning liabilities, and all other safeguards have failed, the Government should have the ability to recall a previous titleholder(s) to be involved in decommissioning and/or remediation activities. The Walker Review observed that this ability is available in other jurisdictions and should be considered in the Australian context.</w:t>
      </w:r>
    </w:p>
    <w:p w14:paraId="295DA6EB"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Recognising the ways in which companies are able to structure transactions to divest assets and titles to limit accountability for decommissioning obligations, the department proposes to introduce </w:t>
      </w:r>
      <w:r w:rsidRPr="00017217">
        <w:rPr>
          <w:rFonts w:ascii="Calibri" w:eastAsia="Calibri" w:hAnsi="Calibri" w:cs="Times New Roman"/>
        </w:rPr>
        <w:lastRenderedPageBreak/>
        <w:t>the concept of a ‘related person’ for the purposes of trailing liability. A related person will include the former titleholder and a parent company of the current or former titleholder.</w:t>
      </w:r>
    </w:p>
    <w:p w14:paraId="08D9581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department considers a key policy objective of expanding the existing trailing liability provisions, to be a change in industry behaviour in that outgoing titleholders would undertake greater due diligence checks of who it is selling its assets to, knowing that if the incoming titleholder fails to meets its obligations the outgoing titleholder would be recalled. This is important in reducing the risk that existing titleholders may dispose of mature-late-life assets to entities who may not be financially or technically capable of undertaking the petroleum activities and fulfilling their liabilities.</w:t>
      </w:r>
    </w:p>
    <w:p w14:paraId="15155894" w14:textId="77777777" w:rsidR="00544C06" w:rsidRPr="00017217" w:rsidRDefault="00544C06" w:rsidP="00544C06">
      <w:pPr>
        <w:spacing w:after="160" w:line="259" w:lineRule="auto"/>
        <w:rPr>
          <w:rFonts w:ascii="Calibri" w:eastAsia="Calibri" w:hAnsi="Calibri" w:cs="Times New Roman"/>
          <w:sz w:val="48"/>
          <w:szCs w:val="48"/>
        </w:rPr>
      </w:pPr>
      <w:bookmarkStart w:id="61" w:name="_Toc54348564"/>
      <w:bookmarkStart w:id="62" w:name="_Toc54359193"/>
      <w:bookmarkStart w:id="63" w:name="_Toc54360199"/>
      <w:bookmarkStart w:id="64" w:name="_Toc54360257"/>
      <w:r w:rsidRPr="00017217">
        <w:rPr>
          <w:rFonts w:ascii="Calibri" w:eastAsia="Calibri" w:hAnsi="Calibri" w:cs="Times New Roman"/>
          <w:sz w:val="48"/>
          <w:szCs w:val="48"/>
        </w:rPr>
        <w:t>2.</w:t>
      </w:r>
      <w:r w:rsidRPr="00017217">
        <w:rPr>
          <w:rFonts w:ascii="Calibri" w:eastAsia="Calibri" w:hAnsi="Calibri" w:cs="Times New Roman"/>
          <w:sz w:val="48"/>
          <w:szCs w:val="48"/>
        </w:rPr>
        <w:tab/>
        <w:t>Need for government action</w:t>
      </w:r>
      <w:bookmarkEnd w:id="61"/>
      <w:bookmarkEnd w:id="62"/>
      <w:bookmarkEnd w:id="63"/>
      <w:bookmarkEnd w:id="64"/>
    </w:p>
    <w:p w14:paraId="6EF3E0A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As the Australian offshore regime matures, government action is needed to improve the regulatory framework and address the issues that have been brought to light by the recent NOGA liquidation. Government action is required to undertake continuous improvement of the offshore regulatory framework, which maintains community confidence in the regime and provides for better regulatory outcomes for both the government and the industry.</w:t>
      </w:r>
    </w:p>
    <w:p w14:paraId="1CFE8465"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financial risks to the Commonwealth and the Australian taxpayer if no action is taken are significant, as offshore resource projects are generally multi-billion dollar investments with assets and liabilities of a similar magnitude and scale. Similarly, the environmental and safety risks if a project is not adequately decommissioned are significant and could result in the pollution and/or damage to the marine environment as well as injury/loss of life to employees or impacts on other users of the marine environment. In addition, government action is needed to ensure that the reputation of Australia’s offshore regime is maintained, in line with other leading practice regimes around the world.</w:t>
      </w:r>
    </w:p>
    <w:p w14:paraId="6B29D7CD"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Australian government must take action to improve and increase safeguards against the significant risks to the Commonwealth if offshore projects are unable to be decommissioned by titleholders.</w:t>
      </w:r>
    </w:p>
    <w:p w14:paraId="3F48CDC2"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includes adding clarity and regulatory oversight to decision making criteria, so that the regulator can consider an applicant’s appropriateness to take over title interests, assess their capacity to fulfil their financial and technical obligations before they enter the regime and ensure such decisions and requirements are clear and transparent to industry. This assists both the regulator and potential titleholders in understanding the requirements that will be considered to enter the offshore regime.</w:t>
      </w:r>
    </w:p>
    <w:p w14:paraId="670A4FBC"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Government action is required to ensure that where all other safeguards have failed, as an option of last resort, it has the ability to mitigate the risks to itself (and subsequently the Australian taxpayer) by requiring decommissioning liabilities to be met by former titleholders or related persons in the event the former titleholder company no longer exists, who have obtained financial benefits from the resources.</w:t>
      </w:r>
    </w:p>
    <w:p w14:paraId="11A1CB59"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In Australia, this is currently limited in its use to a certain set of circumstances. The Walker Review highlighted that this limited scope does not properly protect the interests of the broader community and taxpayer, and is inconsistent with comparable jurisdictions who are managing a mature industry. It should be noted that in the offshore resources industry, there will always be inherent risks and there is no way in which to completely eliminate the risk of a titleholder experiencing financial distress. However, the department is proposing measures that will provide some </w:t>
      </w:r>
      <w:r w:rsidRPr="00017217">
        <w:rPr>
          <w:rFonts w:ascii="Calibri" w:eastAsia="Calibri" w:hAnsi="Calibri" w:cs="Times New Roman"/>
        </w:rPr>
        <w:lastRenderedPageBreak/>
        <w:t>safeguards and mechanisms to improve regulatory oversight and reduce the risks as much as possible while maintaining the Australian regime as an attractive investment destination.</w:t>
      </w:r>
    </w:p>
    <w:p w14:paraId="0702C5F7" w14:textId="77777777" w:rsidR="00544C06" w:rsidRPr="00017217" w:rsidRDefault="00544C06" w:rsidP="00544C06">
      <w:pPr>
        <w:spacing w:after="160" w:line="259" w:lineRule="auto"/>
        <w:rPr>
          <w:rFonts w:ascii="Calibri" w:eastAsia="Calibri" w:hAnsi="Calibri" w:cs="Times New Roman"/>
          <w:sz w:val="48"/>
          <w:szCs w:val="48"/>
        </w:rPr>
      </w:pPr>
      <w:bookmarkStart w:id="65" w:name="_Toc54348565"/>
      <w:bookmarkStart w:id="66" w:name="_Toc54359194"/>
      <w:bookmarkStart w:id="67" w:name="_Toc54360200"/>
      <w:bookmarkStart w:id="68" w:name="_Toc54360258"/>
      <w:r w:rsidRPr="00017217">
        <w:rPr>
          <w:rFonts w:ascii="Calibri" w:eastAsia="Calibri" w:hAnsi="Calibri" w:cs="Times New Roman"/>
          <w:sz w:val="48"/>
          <w:szCs w:val="48"/>
        </w:rPr>
        <w:t>3.</w:t>
      </w:r>
      <w:r w:rsidRPr="00017217">
        <w:rPr>
          <w:rFonts w:ascii="Calibri" w:eastAsia="Calibri" w:hAnsi="Calibri" w:cs="Times New Roman"/>
          <w:sz w:val="48"/>
          <w:szCs w:val="48"/>
        </w:rPr>
        <w:tab/>
        <w:t>Potential policy options</w:t>
      </w:r>
      <w:bookmarkEnd w:id="65"/>
      <w:bookmarkEnd w:id="66"/>
      <w:bookmarkEnd w:id="67"/>
      <w:bookmarkEnd w:id="68"/>
    </w:p>
    <w:p w14:paraId="107143C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Three options have been considered to respond to the problem statement.</w:t>
      </w:r>
    </w:p>
    <w:p w14:paraId="6442528E"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 non-regulatory option has not been explored as a possible option. This is because a non-regulatory option does not meet the fundamental requirements for regulatory oversight from the Australian Government for the offshore oil and gas regulatory framework. Removing or diminishing the Australian Government’s role in the regulation of offshore petroleum activities poses an unacceptable risk to the industry, environment and the Australian public.</w:t>
      </w:r>
    </w:p>
    <w:p w14:paraId="5F65F7F0" w14:textId="77777777" w:rsidR="00544C06" w:rsidRPr="00017217" w:rsidRDefault="00544C06" w:rsidP="00544C06">
      <w:pPr>
        <w:spacing w:after="160" w:line="259" w:lineRule="auto"/>
        <w:rPr>
          <w:rFonts w:ascii="Calibri" w:eastAsia="Calibri" w:hAnsi="Calibri" w:cs="Times New Roman"/>
        </w:rPr>
      </w:pPr>
      <w:r w:rsidRPr="00017217">
        <w:rPr>
          <w:rFonts w:ascii="Calibri" w:eastAsia="Times New Roman" w:hAnsi="Calibri" w:cs="Times New Roman"/>
          <w:sz w:val="32"/>
          <w:szCs w:val="40"/>
        </w:rPr>
        <w:t>Option 1</w:t>
      </w:r>
    </w:p>
    <w:p w14:paraId="65E590AC" w14:textId="77777777" w:rsidR="00544C06" w:rsidRPr="00017217" w:rsidRDefault="00544C06" w:rsidP="00544C06">
      <w:pPr>
        <w:spacing w:after="160" w:line="259" w:lineRule="auto"/>
        <w:rPr>
          <w:rFonts w:ascii="Calibri" w:eastAsia="Calibri" w:hAnsi="Calibri" w:cs="Times New Roman"/>
          <w:b/>
        </w:rPr>
      </w:pPr>
      <w:r w:rsidRPr="00017217">
        <w:rPr>
          <w:rFonts w:ascii="Calibri" w:eastAsia="Calibri" w:hAnsi="Calibri" w:cs="Times New Roman"/>
        </w:rPr>
        <w:t>In this option, the regime remains as is, the government takes no action and the regulatory framework continues to operate in its current form.</w:t>
      </w:r>
    </w:p>
    <w:p w14:paraId="32EBF233"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This option means that no Commonwealth resources are required to amend </w:t>
      </w:r>
      <w:r w:rsidRPr="00017217">
        <w:rPr>
          <w:rFonts w:ascii="Calibri" w:eastAsia="Calibri" w:hAnsi="Calibri" w:cs="Times New Roman"/>
          <w:bCs/>
        </w:rPr>
        <w:t>the Act or to undertake increased regulation of the regime. This also means that there is no increase in regulatory burden for industry as there is no change in the regulatory obligations.</w:t>
      </w:r>
    </w:p>
    <w:p w14:paraId="20B74E9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Without regulatory amendments, projects within the regime will continue to mature with many reaching their end of life over the next 10 to 50 years. There will be no added regulatory oversight at key gateway points and limited mechanisms for the regulator to call back any previous titleholders to fulfil decommissioning obligations. It is possible that acquiring title interests through a change in ownership or control of a titleholder company will become a preferred entry gateway for entrants into the regime in later project life, as companies can access existing PRRT credits.</w:t>
      </w:r>
    </w:p>
    <w:p w14:paraId="334EDC4F"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Without making regulatory amendments to the existing framework, there are increased risks of the taxpayer being exposed to the costs associated with similar events occurring. Financially, these risks are significant as the liabilities of projects coming to the end of life within the Australian regime are over AUD$60 billion across the next 30 years.</w:t>
      </w:r>
      <w:r w:rsidRPr="00017217">
        <w:rPr>
          <w:rFonts w:ascii="Calibri" w:eastAsia="Calibri" w:hAnsi="Calibri" w:cs="Times New Roman"/>
          <w:vertAlign w:val="superscript"/>
        </w:rPr>
        <w:footnoteReference w:id="3"/>
      </w:r>
      <w:r w:rsidRPr="00017217">
        <w:rPr>
          <w:rFonts w:ascii="Calibri" w:eastAsia="Calibri" w:hAnsi="Calibri" w:cs="Times New Roman"/>
        </w:rPr>
        <w:t xml:space="preserve"> There will also remain risks to the environment and safety of employees where the financial and technical capability of new titleholders are not considered at key gateway points.</w:t>
      </w:r>
    </w:p>
    <w:p w14:paraId="73669A4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Taking no action may result in companies who do not have the financial capacity, being unable to fulfil their environmental and work health and safety requirements under the Act, presenting a risk to the safety of individuals and the environment. It also risks reputational damage to the Australian offshore regime if it does not adapt to meet the evolving needs of the industry and various projects coming to their end of life. As the current regime is lightly tested with regard to decommissioning activities, there are identified opportunities to improve the current regulatory practice with regard to petroleum activities that occur in mid-late life of a title such as sale, transfers and decommissioning.</w:t>
      </w:r>
    </w:p>
    <w:p w14:paraId="4239EFAF"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Under this option, the form of trailing liability would also remain limited with little ability for the government to call back a former titleholder or related person in the event the last remaining titleholder failed to meet its decommissioning obligations. This will retain the status quo and the </w:t>
      </w:r>
      <w:r w:rsidRPr="00017217">
        <w:rPr>
          <w:rFonts w:ascii="Calibri" w:eastAsia="Calibri" w:hAnsi="Calibri" w:cs="Times New Roman"/>
        </w:rPr>
        <w:lastRenderedPageBreak/>
        <w:t>current behaviour of the industry to offload mature projects to avoid the liabilities attached to those projects.</w:t>
      </w:r>
    </w:p>
    <w:p w14:paraId="43ACEE81"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Option 2</w:t>
      </w:r>
    </w:p>
    <w:p w14:paraId="5C46B436"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In this option, regulatory amendments are made to increase regulatory oversight of titleholders entering and progressing through the regime, while not stifling investment in the Australian offshore regime. </w:t>
      </w:r>
      <w:r w:rsidRPr="00017217">
        <w:rPr>
          <w:rFonts w:ascii="Calibri" w:eastAsia="Calibri" w:hAnsi="Calibri" w:cs="Times New Roman"/>
          <w:bCs/>
        </w:rPr>
        <w:t xml:space="preserve">It </w:t>
      </w:r>
      <w:r w:rsidRPr="00017217">
        <w:rPr>
          <w:rFonts w:ascii="Calibri" w:eastAsia="Calibri" w:hAnsi="Calibri" w:cs="Times New Roman"/>
        </w:rPr>
        <w:t>seeks to balance the tension between providing adequate regulatory oversight and mechanisms to reduce the risks surrounding decommissioning liabilities for new titleholders, while not tying up a company’s cash flow towards the end of the project’s lifespan, which may result in some companies experiencing financial distress.</w:t>
      </w:r>
    </w:p>
    <w:p w14:paraId="1F7C644B"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Through the proposed regulatory amendments, the regulator will be given clear decision-making criteria to assess, on a case-by-case basis, a new entity applying to enter the regime and consider their financial and technical capability to fulfil their obligations. Using a risk-based approach, the regulator can consider the diverse range of titleholders, assets and projects, which each present varying degrees of risk and liability. This option places the onus on the applicant to demonstrate to Government that they have the capacity and capability to fulfil their obligations.</w:t>
      </w:r>
    </w:p>
    <w:p w14:paraId="02206193"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Increased oversight and clarity around decision-making at key gateway points such as sale, transfer or change of ownership would also provide potential titleholders with transparency around the process, expectations and obligations required to take part in the Australian offshore regime.</w:t>
      </w:r>
    </w:p>
    <w:p w14:paraId="2F4BED17"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approach seeks to ensure that the regulatory amendments are both reasonable and effective, while creating mechanisms that allow a regulator to mitigate potential risks to the Commonwealth.</w:t>
      </w:r>
    </w:p>
    <w:p w14:paraId="0ED3570A" w14:textId="77777777" w:rsidR="00544C06" w:rsidRPr="00017217" w:rsidRDefault="00544C06" w:rsidP="00544C06">
      <w:pPr>
        <w:spacing w:after="160" w:line="259" w:lineRule="auto"/>
        <w:rPr>
          <w:rFonts w:ascii="Calibri" w:eastAsia="Calibri" w:hAnsi="Calibri" w:cs="Times New Roman"/>
          <w:bCs/>
        </w:rPr>
      </w:pPr>
      <w:r w:rsidRPr="00017217">
        <w:rPr>
          <w:rFonts w:ascii="Calibri" w:eastAsia="Calibri" w:hAnsi="Calibri" w:cs="Times New Roman"/>
          <w:bCs/>
        </w:rPr>
        <w:t>The proposed measures in this option would involve the following changes to the Act:</w:t>
      </w:r>
    </w:p>
    <w:p w14:paraId="5CBED048"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providing clear decision-making criteria for the regulator in assessing capacity and appropriateness at specified high risk gateways, including transfers of titles, and changes in  ownership and control relating to titleholders;</w:t>
      </w:r>
    </w:p>
    <w:p w14:paraId="1F493618" w14:textId="77777777" w:rsidR="00544C06" w:rsidRPr="00017217" w:rsidRDefault="00544C06" w:rsidP="00544C06">
      <w:pPr>
        <w:numPr>
          <w:ilvl w:val="1"/>
          <w:numId w:val="11"/>
        </w:numPr>
        <w:spacing w:after="160" w:line="259" w:lineRule="auto"/>
        <w:contextualSpacing/>
        <w:rPr>
          <w:rFonts w:ascii="Calibri" w:eastAsia="Calibri" w:hAnsi="Calibri" w:cs="Times New Roman"/>
          <w:bCs/>
        </w:rPr>
      </w:pPr>
      <w:r w:rsidRPr="00017217">
        <w:rPr>
          <w:rFonts w:ascii="Calibri" w:eastAsia="Calibri" w:hAnsi="Calibri" w:cs="Times New Roman"/>
        </w:rPr>
        <w:t>including criteria for participants in the regime (either direct or indirect) to assess their appropriateness to carry out petroleum or GHG storage activities;</w:t>
      </w:r>
    </w:p>
    <w:p w14:paraId="56AD0BB0" w14:textId="77777777" w:rsidR="00544C06" w:rsidRPr="00017217" w:rsidRDefault="00544C06" w:rsidP="00544C06">
      <w:pPr>
        <w:numPr>
          <w:ilvl w:val="1"/>
          <w:numId w:val="11"/>
        </w:numPr>
        <w:spacing w:after="160" w:line="259" w:lineRule="auto"/>
        <w:contextualSpacing/>
        <w:rPr>
          <w:rFonts w:ascii="Calibri" w:eastAsia="Calibri" w:hAnsi="Calibri" w:cs="Times New Roman"/>
          <w:bCs/>
        </w:rPr>
      </w:pPr>
      <w:r w:rsidRPr="00017217">
        <w:rPr>
          <w:rFonts w:ascii="Calibri" w:eastAsia="Calibri" w:hAnsi="Calibri" w:cs="Times New Roman"/>
        </w:rPr>
        <w:t>providing that an application or a titleholder will need to demonstrate their financial and technical capability and appropriateness at specified high risk gateways;</w:t>
      </w:r>
    </w:p>
    <w:p w14:paraId="47A63807"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enabling regulatory oversight where there is a change of ownership and/or control i.e. ensuring that transaction is subject to the same regulatory requirements as if it is a transfer of title.</w:t>
      </w:r>
    </w:p>
    <w:p w14:paraId="4EC03D42"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expanding the existing trailing provisions to apply in a greater range of circumstances through the issuance of a remedial direction to a former titleholder and/or related person as a last resort option available to government.</w:t>
      </w:r>
    </w:p>
    <w:p w14:paraId="3FFAE937" w14:textId="77777777" w:rsidR="00544C06" w:rsidRPr="00017217" w:rsidRDefault="00544C06" w:rsidP="00544C06">
      <w:pPr>
        <w:numPr>
          <w:ilvl w:val="1"/>
          <w:numId w:val="11"/>
        </w:numPr>
        <w:spacing w:after="160" w:line="259" w:lineRule="auto"/>
        <w:contextualSpacing/>
        <w:rPr>
          <w:rFonts w:ascii="Calibri" w:eastAsia="Calibri" w:hAnsi="Calibri" w:cs="Times New Roman"/>
          <w:bCs/>
        </w:rPr>
      </w:pPr>
      <w:r w:rsidRPr="00017217">
        <w:rPr>
          <w:rFonts w:ascii="Calibri" w:eastAsia="Calibri" w:hAnsi="Calibri" w:cs="Times New Roman"/>
        </w:rPr>
        <w:t>In comparable jurisdictions and given the last resort nature of trailing liability, it has been designed that trailing liability is ‘activated’ following a series of events and non-compliance by the current titleholder.</w:t>
      </w:r>
    </w:p>
    <w:p w14:paraId="17D1AD76"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 xml:space="preserve">Option 3 </w:t>
      </w:r>
    </w:p>
    <w:p w14:paraId="61F85079"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option involves NOPTA taking a more intensive approach to regulation to reduce the risk that a titleholder is unable to meet its liabilities.</w:t>
      </w:r>
    </w:p>
    <w:p w14:paraId="0E340C2D"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lastRenderedPageBreak/>
        <w:t>Here, the same changes as Option 2 would be made to the regulatory framework however, the regulator’s oversight of low risk transactions and gateways would also be increased and trailing liability would be a standalone obligation in the Act rather than being a power that is activated by a decision of government. The result of this option is that companies will need to account for its liabilities on an ongoing basis, in some form, despite selling its assets to another party.</w:t>
      </w:r>
    </w:p>
    <w:p w14:paraId="7DC3C222"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means that rather than giving NOPTA the discretion in assessing these risks on a case-by-case basis, a regulator would require much more information from applicants on each and every transaction during the life of a title.</w:t>
      </w:r>
    </w:p>
    <w:p w14:paraId="59FB7D7F"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option would require:</w:t>
      </w:r>
    </w:p>
    <w:p w14:paraId="200A67C0"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More detailed information requirements at key gateway points as well as more prescriptive requirements that the regulator would need to consider in making its decision;</w:t>
      </w:r>
    </w:p>
    <w:p w14:paraId="4A3AF8D5"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Added regulatory oversight of financial and technical capability across all dealings great and small rather than just the key gateway points which present higher risk (for example, where a joint operating agreement between titleholders is amended as opposed to when the title undergoes a change of ownership or transfer at a key gateway);</w:t>
      </w:r>
    </w:p>
    <w:p w14:paraId="5368D32D"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A fit and proper associates test to assess any individual who may have either direct or indirect influence and or control are scrutinised, where a new titleholder seeks to enter the Australian offshore regime; and</w:t>
      </w:r>
    </w:p>
    <w:p w14:paraId="777A5058"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Addition of a ‘standing obligation’ in the Act that a titleholder may at any time, be recalled to undertake decommissioning and remedial activities.</w:t>
      </w:r>
    </w:p>
    <w:p w14:paraId="2A69287F"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approach would be highly burdensome on operators and titleholders and would involve a significantly higher cost to the Commonwealth to ensure compliance, while not necessarily delivering a significant benefit in reducing the risks of decommissioning liabilities being met.</w:t>
      </w:r>
    </w:p>
    <w:p w14:paraId="1F43529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option may also discourage further investment in Australia.</w:t>
      </w:r>
    </w:p>
    <w:p w14:paraId="74C495D7" w14:textId="77777777" w:rsidR="00544C06" w:rsidRPr="00017217" w:rsidRDefault="00544C06" w:rsidP="00544C06">
      <w:pPr>
        <w:spacing w:after="160" w:line="259" w:lineRule="auto"/>
        <w:rPr>
          <w:rFonts w:ascii="Calibri" w:eastAsia="Calibri" w:hAnsi="Calibri" w:cs="Times New Roman"/>
          <w:sz w:val="48"/>
          <w:szCs w:val="48"/>
        </w:rPr>
      </w:pPr>
      <w:bookmarkStart w:id="69" w:name="_Toc54348566"/>
      <w:bookmarkStart w:id="70" w:name="_Toc54359195"/>
      <w:bookmarkStart w:id="71" w:name="_Toc54360201"/>
      <w:bookmarkStart w:id="72" w:name="_Toc54360259"/>
      <w:r w:rsidRPr="00017217">
        <w:rPr>
          <w:rFonts w:ascii="Calibri" w:eastAsia="Calibri" w:hAnsi="Calibri" w:cs="Times New Roman"/>
          <w:sz w:val="48"/>
          <w:szCs w:val="48"/>
        </w:rPr>
        <w:t>4.</w:t>
      </w:r>
      <w:r w:rsidRPr="00017217">
        <w:rPr>
          <w:rFonts w:ascii="Calibri" w:eastAsia="Calibri" w:hAnsi="Calibri" w:cs="Times New Roman"/>
          <w:sz w:val="48"/>
          <w:szCs w:val="48"/>
        </w:rPr>
        <w:tab/>
        <w:t>Net benefits</w:t>
      </w:r>
      <w:bookmarkEnd w:id="69"/>
      <w:bookmarkEnd w:id="70"/>
      <w:bookmarkEnd w:id="71"/>
      <w:bookmarkEnd w:id="72"/>
    </w:p>
    <w:p w14:paraId="34B54647"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Costing assumptions for the potential policy options are at Annex 1.</w:t>
      </w:r>
    </w:p>
    <w:p w14:paraId="2955DE4C" w14:textId="77777777" w:rsidR="00544C06" w:rsidRPr="00017217" w:rsidRDefault="00544C06" w:rsidP="00544C06">
      <w:pPr>
        <w:spacing w:after="160" w:line="259" w:lineRule="auto"/>
        <w:rPr>
          <w:rFonts w:ascii="Calibri" w:eastAsia="Calibri" w:hAnsi="Calibri" w:cs="Times New Roman"/>
        </w:rPr>
      </w:pPr>
      <w:r w:rsidRPr="00017217">
        <w:rPr>
          <w:rFonts w:ascii="Calibri" w:eastAsia="Times New Roman" w:hAnsi="Calibri" w:cs="Times New Roman"/>
          <w:sz w:val="32"/>
          <w:szCs w:val="40"/>
        </w:rPr>
        <w:t>Option 1</w:t>
      </w:r>
    </w:p>
    <w:p w14:paraId="5E3DCE8B" w14:textId="77777777" w:rsidR="00544C06" w:rsidRPr="00017217" w:rsidRDefault="00544C06" w:rsidP="00544C06">
      <w:pPr>
        <w:spacing w:after="160" w:line="259" w:lineRule="auto"/>
        <w:rPr>
          <w:rFonts w:ascii="Calibri" w:eastAsia="Times New Roman" w:hAnsi="Calibri" w:cs="Calibri"/>
          <w:lang w:eastAsia="en-AU"/>
        </w:rPr>
      </w:pPr>
      <w:r w:rsidRPr="00017217">
        <w:rPr>
          <w:rFonts w:ascii="Calibri" w:eastAsia="Calibri" w:hAnsi="Calibri" w:cs="Calibri"/>
        </w:rPr>
        <w:t xml:space="preserve">Option 1 (status quo): </w:t>
      </w:r>
      <w:r w:rsidRPr="00017217">
        <w:rPr>
          <w:rFonts w:ascii="Calibri" w:eastAsia="Calibri" w:hAnsi="Calibri" w:cs="Calibri"/>
          <w:b/>
        </w:rPr>
        <w:t>$1,895.66</w:t>
      </w:r>
      <w:r w:rsidRPr="00017217">
        <w:rPr>
          <w:rFonts w:ascii="Calibri" w:eastAsia="Calibri" w:hAnsi="Calibri" w:cs="Calibri"/>
        </w:rPr>
        <w:t xml:space="preserve"> (estimated cost for an organisation to prepare a </w:t>
      </w:r>
      <w:r w:rsidRPr="00017217">
        <w:rPr>
          <w:rFonts w:ascii="Calibri" w:eastAsia="Times New Roman" w:hAnsi="Calibri" w:cs="Calibri"/>
          <w:lang w:eastAsia="en-AU"/>
        </w:rPr>
        <w:t xml:space="preserve">report) based on </w:t>
      </w:r>
      <w:r w:rsidRPr="00017217">
        <w:rPr>
          <w:rFonts w:ascii="Calibri" w:eastAsia="Times New Roman" w:hAnsi="Calibri" w:cs="Calibri"/>
          <w:b/>
          <w:lang w:eastAsia="en-AU"/>
        </w:rPr>
        <w:t>6</w:t>
      </w:r>
      <w:r w:rsidRPr="00017217">
        <w:rPr>
          <w:rFonts w:ascii="Calibri" w:eastAsia="Times New Roman" w:hAnsi="Calibri" w:cs="Calibri"/>
          <w:lang w:eastAsia="en-AU"/>
        </w:rPr>
        <w:t xml:space="preserve"> hours of time of a technical financial / administration employee at an hourly wage rate of $</w:t>
      </w:r>
      <w:r w:rsidRPr="00017217">
        <w:rPr>
          <w:rFonts w:ascii="Calibri" w:eastAsia="Times New Roman" w:hAnsi="Calibri" w:cs="Calibri"/>
          <w:b/>
          <w:lang w:eastAsia="en-AU"/>
        </w:rPr>
        <w:t>121.15</w:t>
      </w:r>
      <w:r w:rsidRPr="00017217">
        <w:rPr>
          <w:rFonts w:ascii="Calibri" w:eastAsia="Times New Roman" w:hAnsi="Calibri" w:cs="Calibri"/>
          <w:lang w:eastAsia="en-AU"/>
        </w:rPr>
        <w:t xml:space="preserve"> and </w:t>
      </w:r>
      <w:r w:rsidRPr="00017217">
        <w:rPr>
          <w:rFonts w:ascii="Calibri" w:eastAsia="Times New Roman" w:hAnsi="Calibri" w:cs="Calibri"/>
          <w:b/>
          <w:lang w:eastAsia="en-AU"/>
        </w:rPr>
        <w:t>1 hour</w:t>
      </w:r>
      <w:r w:rsidRPr="00017217">
        <w:rPr>
          <w:rFonts w:ascii="Calibri" w:eastAsia="Times New Roman" w:hAnsi="Calibri" w:cs="Calibri"/>
          <w:lang w:eastAsia="en-AU"/>
        </w:rPr>
        <w:t xml:space="preserve"> of time of </w:t>
      </w:r>
      <w:r w:rsidRPr="00017217">
        <w:rPr>
          <w:rFonts w:ascii="Calibri" w:eastAsia="Times New Roman" w:hAnsi="Calibri" w:cs="Calibri"/>
          <w:b/>
          <w:lang w:eastAsia="en-AU"/>
        </w:rPr>
        <w:t>2</w:t>
      </w:r>
      <w:r w:rsidRPr="00017217">
        <w:rPr>
          <w:rFonts w:ascii="Calibri" w:eastAsia="Times New Roman" w:hAnsi="Calibri" w:cs="Calibri"/>
          <w:lang w:eastAsia="en-AU"/>
        </w:rPr>
        <w:t xml:space="preserve"> CEOs/Directors at a hourly wage rate of </w:t>
      </w:r>
      <w:r w:rsidRPr="00017217">
        <w:rPr>
          <w:rFonts w:ascii="Calibri" w:eastAsia="Times New Roman" w:hAnsi="Calibri" w:cs="Calibri"/>
          <w:b/>
          <w:lang w:eastAsia="en-AU"/>
        </w:rPr>
        <w:t>$583.33</w:t>
      </w:r>
      <w:r w:rsidRPr="00017217">
        <w:rPr>
          <w:rFonts w:ascii="Calibri" w:eastAsia="Times New Roman" w:hAnsi="Calibri" w:cs="Calibri"/>
          <w:lang w:eastAsia="en-AU"/>
        </w:rPr>
        <w:t xml:space="preserve">. </w:t>
      </w:r>
      <w:r w:rsidRPr="00017217">
        <w:rPr>
          <w:rFonts w:ascii="Calibri" w:eastAsia="Times New Roman" w:hAnsi="Calibri" w:cs="Calibri"/>
          <w:b/>
          <w:u w:val="single"/>
          <w:lang w:eastAsia="en-AU"/>
        </w:rPr>
        <w:t>$644,524.40</w:t>
      </w:r>
      <w:r w:rsidRPr="00017217">
        <w:rPr>
          <w:rFonts w:ascii="Calibri" w:eastAsia="Times New Roman" w:hAnsi="Calibri" w:cs="Calibri"/>
          <w:b/>
          <w:lang w:eastAsia="en-AU"/>
        </w:rPr>
        <w:t xml:space="preserve"> </w:t>
      </w:r>
      <w:r w:rsidRPr="00017217">
        <w:rPr>
          <w:rFonts w:ascii="Calibri" w:eastAsia="Times New Roman" w:hAnsi="Calibri" w:cs="Calibri"/>
          <w:lang w:eastAsia="en-AU"/>
        </w:rPr>
        <w:t>(</w:t>
      </w:r>
      <w:r w:rsidRPr="00017217">
        <w:rPr>
          <w:rFonts w:ascii="Calibri" w:eastAsia="Calibri" w:hAnsi="Calibri" w:cs="Calibri"/>
        </w:rPr>
        <w:t xml:space="preserve">estimated cost </w:t>
      </w:r>
      <w:r w:rsidRPr="00017217">
        <w:rPr>
          <w:rFonts w:ascii="Calibri" w:eastAsia="Times New Roman" w:hAnsi="Calibri" w:cs="Calibri"/>
          <w:lang w:eastAsia="en-AU"/>
        </w:rPr>
        <w:t xml:space="preserve">across the sector) based on a multiplier of </w:t>
      </w:r>
      <w:r w:rsidRPr="00017217">
        <w:rPr>
          <w:rFonts w:ascii="Calibri" w:eastAsia="Times New Roman" w:hAnsi="Calibri" w:cs="Calibri"/>
          <w:b/>
          <w:lang w:eastAsia="en-AU"/>
        </w:rPr>
        <w:t>68</w:t>
      </w:r>
      <w:r w:rsidRPr="00017217">
        <w:rPr>
          <w:rFonts w:ascii="Calibri" w:eastAsia="Times New Roman" w:hAnsi="Calibri" w:cs="Calibri"/>
          <w:lang w:eastAsia="en-AU"/>
        </w:rPr>
        <w:t xml:space="preserve"> (average number of applications NOPTA receives per FY) and </w:t>
      </w:r>
      <w:r w:rsidRPr="00017217">
        <w:rPr>
          <w:rFonts w:ascii="Calibri" w:eastAsia="Times New Roman" w:hAnsi="Calibri" w:cs="Calibri"/>
          <w:b/>
          <w:lang w:eastAsia="en-AU"/>
        </w:rPr>
        <w:t xml:space="preserve">5 </w:t>
      </w:r>
      <w:r w:rsidRPr="00017217">
        <w:rPr>
          <w:rFonts w:ascii="Calibri" w:eastAsia="Times New Roman" w:hAnsi="Calibri" w:cs="Calibri"/>
          <w:lang w:eastAsia="en-AU"/>
        </w:rPr>
        <w:t>(average JV partners per title).</w:t>
      </w:r>
    </w:p>
    <w:p w14:paraId="04298889" w14:textId="77777777" w:rsidR="00544C06" w:rsidRPr="00017217" w:rsidRDefault="00544C06" w:rsidP="00544C06">
      <w:pPr>
        <w:spacing w:after="160" w:line="259" w:lineRule="auto"/>
        <w:rPr>
          <w:rFonts w:ascii="Calibri" w:eastAsia="Times New Roman" w:hAnsi="Calibri" w:cs="Times New Roman"/>
          <w:iCs/>
          <w:sz w:val="28"/>
          <w:szCs w:val="28"/>
        </w:rPr>
      </w:pPr>
      <w:r w:rsidRPr="00017217">
        <w:rPr>
          <w:rFonts w:ascii="Calibri" w:eastAsia="Times New Roman" w:hAnsi="Calibri" w:cs="Times New Roman"/>
          <w:iCs/>
          <w:sz w:val="28"/>
          <w:szCs w:val="28"/>
        </w:rPr>
        <w:t>Regulatory benefit</w:t>
      </w:r>
    </w:p>
    <w:p w14:paraId="4867A1AC"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There are no additional benefits above the existing framework as there is no change.</w:t>
      </w:r>
    </w:p>
    <w:p w14:paraId="4AB21C46" w14:textId="77777777" w:rsidR="00544C06" w:rsidRPr="00017217" w:rsidRDefault="00544C06" w:rsidP="00544C06">
      <w:pPr>
        <w:spacing w:after="160" w:line="259" w:lineRule="auto"/>
        <w:rPr>
          <w:rFonts w:ascii="Calibri" w:eastAsia="Calibri" w:hAnsi="Calibri" w:cs="Calibri"/>
        </w:rPr>
      </w:pPr>
      <w:r w:rsidRPr="00017217">
        <w:rPr>
          <w:rFonts w:ascii="Calibri" w:eastAsia="Times New Roman" w:hAnsi="Calibri" w:cs="Times New Roman"/>
          <w:iCs/>
          <w:sz w:val="28"/>
          <w:szCs w:val="28"/>
        </w:rPr>
        <w:t>Regulatory cost</w:t>
      </w:r>
    </w:p>
    <w:p w14:paraId="2DF38CA3"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There is no additional regulatory cost associated with this option, as there is no change to the current regulatory framework, therefore no additional burden or impost on the regulator to </w:t>
      </w:r>
      <w:r w:rsidRPr="00017217">
        <w:rPr>
          <w:rFonts w:ascii="Calibri" w:eastAsia="Calibri" w:hAnsi="Calibri" w:cs="Calibri"/>
        </w:rPr>
        <w:lastRenderedPageBreak/>
        <w:t>continue to regulate the framework as it currently stands. There is no change to the cost or burden on industry/titleholders in this option as there is no change in regulation.</w:t>
      </w:r>
    </w:p>
    <w:p w14:paraId="73670F92" w14:textId="77777777" w:rsidR="00544C06" w:rsidRPr="00017217" w:rsidRDefault="00544C06" w:rsidP="00544C06">
      <w:pPr>
        <w:spacing w:after="160" w:line="259" w:lineRule="auto"/>
        <w:rPr>
          <w:rFonts w:ascii="Calibri" w:eastAsia="Calibri" w:hAnsi="Calibri" w:cs="Calibri"/>
        </w:rPr>
      </w:pPr>
      <w:r w:rsidRPr="00017217">
        <w:rPr>
          <w:rFonts w:ascii="Calibri" w:eastAsia="Times New Roman" w:hAnsi="Calibri" w:cs="Times New Roman"/>
          <w:iCs/>
          <w:sz w:val="28"/>
          <w:szCs w:val="28"/>
        </w:rPr>
        <w:t>Net benefit</w:t>
      </w:r>
    </w:p>
    <w:p w14:paraId="53CD4362"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There no net benefit in this option as there is no change to the existing regulatory framework.</w:t>
      </w:r>
    </w:p>
    <w:p w14:paraId="049EDD73" w14:textId="77777777" w:rsidR="00544C06" w:rsidRPr="00017217" w:rsidRDefault="00544C06" w:rsidP="00544C06">
      <w:pPr>
        <w:spacing w:after="160" w:line="259" w:lineRule="auto"/>
        <w:rPr>
          <w:rFonts w:ascii="Calibri" w:eastAsia="Times New Roman" w:hAnsi="Calibri" w:cs="Times New Roman"/>
          <w:iCs/>
          <w:sz w:val="28"/>
          <w:szCs w:val="28"/>
        </w:rPr>
      </w:pPr>
      <w:r w:rsidRPr="00017217">
        <w:rPr>
          <w:rFonts w:ascii="Calibri" w:eastAsia="Times New Roman" w:hAnsi="Calibri" w:cs="Times New Roman"/>
          <w:iCs/>
          <w:sz w:val="28"/>
          <w:szCs w:val="28"/>
        </w:rPr>
        <w:t>Other considerations</w:t>
      </w:r>
    </w:p>
    <w:p w14:paraId="5DA225E5"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Without making regulatory improvements to the existing framework, there are increased risks of entities becoming titleholders who are unable to meet their decommissioning obligations, resulting in the risk of a similar event occurring. Failure to decommission may result in safety and environmental impacts unless the Australian Government steps in to decommission and remediate the environment. These risks are significant as Australia’s current decommissioning liability over the next 30 years is estimated to be AUD$60 billion</w:t>
      </w:r>
      <w:r w:rsidRPr="00017217">
        <w:rPr>
          <w:rFonts w:ascii="Calibri" w:eastAsia="Calibri" w:hAnsi="Calibri" w:cs="Calibri"/>
          <w:vertAlign w:val="superscript"/>
        </w:rPr>
        <w:footnoteReference w:id="4"/>
      </w:r>
      <w:r w:rsidRPr="00017217">
        <w:rPr>
          <w:rFonts w:ascii="Calibri" w:eastAsia="Calibri" w:hAnsi="Calibri" w:cs="Calibri"/>
        </w:rPr>
        <w:t xml:space="preserve"> and can have far-reaching consequences for safety and the environment.</w:t>
      </w:r>
    </w:p>
    <w:p w14:paraId="3094A6F9"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While the NOGA liquidation was an unprecedented event, the potential consequences for the Australian taxpayer are significant. This risk will increase as Australia’s regime is maturing with many projects nearing the end of life in the near future (next 30-50 years). The likelihood of an operator being unable to fulfil its decommissioning liabilities will therefore increase. Combined with the scale and cost of offshore petroleum projects, the liabilities are significant with limited ability of the government to call back entities.</w:t>
      </w:r>
    </w:p>
    <w:p w14:paraId="51D65DB2"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This option also risks deterioration of community confidence in, and reputational damage to, the Australian industry participants, as well as the government regulator. In addition, titleholders may experience a decline in social licence to operate if other projects are not appropriately decommissioned within the regime. This option increases the risks of an environmental or safety incident if a titleholder is unable to fulfil its liabilities and carry out petroleum activities in accordance with the framework.</w:t>
      </w:r>
    </w:p>
    <w:p w14:paraId="27D55B32"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Option 2</w:t>
      </w:r>
    </w:p>
    <w:p w14:paraId="3F18455C" w14:textId="77777777" w:rsidR="00544C06" w:rsidRPr="00017217" w:rsidRDefault="00544C06" w:rsidP="00544C06">
      <w:pPr>
        <w:keepNext/>
        <w:spacing w:after="120" w:line="240" w:lineRule="auto"/>
        <w:rPr>
          <w:rFonts w:ascii="Calibri" w:eastAsia="Calibri" w:hAnsi="Calibri" w:cs="Times New Roman"/>
          <w:i/>
          <w:iCs/>
          <w:szCs w:val="18"/>
        </w:rPr>
      </w:pPr>
      <w:r w:rsidRPr="00017217">
        <w:rPr>
          <w:rFonts w:ascii="Calibri" w:eastAsia="Calibri" w:hAnsi="Calibri" w:cs="Times New Roman"/>
          <w:i/>
          <w:iCs/>
          <w:szCs w:val="18"/>
        </w:rPr>
        <w:t>Summary of regulatory impact calculations</w:t>
      </w:r>
    </w:p>
    <w:tbl>
      <w:tblPr>
        <w:tblStyle w:val="TableGrid3"/>
        <w:tblW w:w="5000" w:type="pct"/>
        <w:tblLook w:val="0000" w:firstRow="0" w:lastRow="0" w:firstColumn="0" w:lastColumn="0" w:noHBand="0" w:noVBand="0"/>
      </w:tblPr>
      <w:tblGrid>
        <w:gridCol w:w="1474"/>
        <w:gridCol w:w="1473"/>
        <w:gridCol w:w="1652"/>
        <w:gridCol w:w="1473"/>
        <w:gridCol w:w="1473"/>
        <w:gridCol w:w="1471"/>
      </w:tblGrid>
      <w:tr w:rsidR="00544C06" w:rsidRPr="00017217" w14:paraId="66B658D3" w14:textId="77777777" w:rsidTr="009C15C9">
        <w:trPr>
          <w:trHeight w:val="332"/>
        </w:trPr>
        <w:tc>
          <w:tcPr>
            <w:tcW w:w="817" w:type="pct"/>
          </w:tcPr>
          <w:p w14:paraId="2129BD1B"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Options </w:t>
            </w:r>
          </w:p>
        </w:tc>
        <w:tc>
          <w:tcPr>
            <w:tcW w:w="817" w:type="pct"/>
          </w:tcPr>
          <w:p w14:paraId="594870C0"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Times New Roman" w:hAnsi="Arial" w:cs="Arial"/>
                <w:sz w:val="20"/>
                <w:szCs w:val="20"/>
                <w:lang w:eastAsia="en-AU"/>
              </w:rPr>
              <w:t>Technical and financial reporting</w:t>
            </w:r>
            <w:r w:rsidRPr="00017217">
              <w:rPr>
                <w:rFonts w:ascii="Arial" w:eastAsia="Times New Roman" w:hAnsi="Arial" w:cs="Arial"/>
                <w:sz w:val="20"/>
                <w:szCs w:val="20"/>
                <w:lang w:eastAsia="en-AU"/>
              </w:rPr>
              <w:br/>
            </w:r>
            <w:r w:rsidRPr="00017217">
              <w:rPr>
                <w:rFonts w:ascii="Arial" w:eastAsia="Calibri" w:hAnsi="Arial" w:cs="Arial"/>
                <w:sz w:val="20"/>
                <w:szCs w:val="20"/>
              </w:rPr>
              <w:t>Sector ($m)</w:t>
            </w:r>
          </w:p>
        </w:tc>
        <w:tc>
          <w:tcPr>
            <w:tcW w:w="916" w:type="pct"/>
          </w:tcPr>
          <w:p w14:paraId="4B1A5B94"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Fit and proper person declaration and appropriateness criteria</w:t>
            </w:r>
          </w:p>
          <w:p w14:paraId="4D3810D6"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Sector ($m)</w:t>
            </w:r>
          </w:p>
        </w:tc>
        <w:tc>
          <w:tcPr>
            <w:tcW w:w="817" w:type="pct"/>
          </w:tcPr>
          <w:p w14:paraId="7AEAB3EF"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Times New Roman" w:hAnsi="Arial" w:cs="Arial"/>
                <w:sz w:val="20"/>
                <w:szCs w:val="20"/>
                <w:lang w:eastAsia="en-AU"/>
              </w:rPr>
              <w:t>Change of ownership and control</w:t>
            </w:r>
            <w:r w:rsidRPr="00017217">
              <w:rPr>
                <w:rFonts w:ascii="Arial" w:eastAsia="Times New Roman" w:hAnsi="Arial" w:cs="Arial"/>
                <w:sz w:val="20"/>
                <w:szCs w:val="20"/>
                <w:lang w:eastAsia="en-AU"/>
              </w:rPr>
              <w:br/>
            </w:r>
            <w:r w:rsidRPr="00017217">
              <w:rPr>
                <w:rFonts w:ascii="Arial" w:eastAsia="Calibri" w:hAnsi="Arial" w:cs="Arial"/>
                <w:sz w:val="20"/>
                <w:szCs w:val="20"/>
              </w:rPr>
              <w:t>Sector ($m)</w:t>
            </w:r>
          </w:p>
        </w:tc>
        <w:tc>
          <w:tcPr>
            <w:tcW w:w="817" w:type="pct"/>
          </w:tcPr>
          <w:p w14:paraId="1905E1FF"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Total annual estimated regulatory costs ($m) </w:t>
            </w:r>
          </w:p>
        </w:tc>
        <w:tc>
          <w:tcPr>
            <w:tcW w:w="816" w:type="pct"/>
          </w:tcPr>
          <w:p w14:paraId="11BBA505"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Total estimated regulatory costs over thirty years ($m)*</w:t>
            </w:r>
          </w:p>
        </w:tc>
      </w:tr>
      <w:tr w:rsidR="00544C06" w:rsidRPr="00017217" w14:paraId="5BFB3352" w14:textId="77777777" w:rsidTr="009C15C9">
        <w:trPr>
          <w:trHeight w:val="323"/>
        </w:trPr>
        <w:tc>
          <w:tcPr>
            <w:tcW w:w="817" w:type="pct"/>
          </w:tcPr>
          <w:p w14:paraId="7C7A96B4"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Option 1:</w:t>
            </w:r>
          </w:p>
        </w:tc>
        <w:tc>
          <w:tcPr>
            <w:tcW w:w="817" w:type="pct"/>
          </w:tcPr>
          <w:p w14:paraId="05F4617E"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0.645 </w:t>
            </w:r>
          </w:p>
        </w:tc>
        <w:tc>
          <w:tcPr>
            <w:tcW w:w="916" w:type="pct"/>
          </w:tcPr>
          <w:p w14:paraId="0B4CDA0C"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 </w:t>
            </w:r>
          </w:p>
        </w:tc>
        <w:tc>
          <w:tcPr>
            <w:tcW w:w="817" w:type="pct"/>
          </w:tcPr>
          <w:p w14:paraId="1E55A579"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 </w:t>
            </w:r>
          </w:p>
        </w:tc>
        <w:tc>
          <w:tcPr>
            <w:tcW w:w="817" w:type="pct"/>
          </w:tcPr>
          <w:p w14:paraId="56B9E5C0"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0.645</w:t>
            </w:r>
          </w:p>
        </w:tc>
        <w:tc>
          <w:tcPr>
            <w:tcW w:w="816" w:type="pct"/>
          </w:tcPr>
          <w:p w14:paraId="34AFEBF0"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19.350</w:t>
            </w:r>
          </w:p>
        </w:tc>
      </w:tr>
      <w:tr w:rsidR="00544C06" w:rsidRPr="00017217" w14:paraId="728EFF98" w14:textId="77777777" w:rsidTr="009C15C9">
        <w:trPr>
          <w:trHeight w:val="218"/>
        </w:trPr>
        <w:tc>
          <w:tcPr>
            <w:tcW w:w="817" w:type="pct"/>
          </w:tcPr>
          <w:p w14:paraId="4EECC886"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Option 2: </w:t>
            </w:r>
          </w:p>
        </w:tc>
        <w:tc>
          <w:tcPr>
            <w:tcW w:w="817" w:type="pct"/>
          </w:tcPr>
          <w:p w14:paraId="6CD5A08F"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0.825 </w:t>
            </w:r>
          </w:p>
        </w:tc>
        <w:tc>
          <w:tcPr>
            <w:tcW w:w="916" w:type="pct"/>
          </w:tcPr>
          <w:p w14:paraId="5A7D6CA8"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3.151</w:t>
            </w:r>
          </w:p>
        </w:tc>
        <w:tc>
          <w:tcPr>
            <w:tcW w:w="817" w:type="pct"/>
          </w:tcPr>
          <w:p w14:paraId="18BE59A7"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0.003</w:t>
            </w:r>
          </w:p>
        </w:tc>
        <w:tc>
          <w:tcPr>
            <w:tcW w:w="817" w:type="pct"/>
          </w:tcPr>
          <w:p w14:paraId="59820F5E"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3.979</w:t>
            </w:r>
          </w:p>
        </w:tc>
        <w:tc>
          <w:tcPr>
            <w:tcW w:w="816" w:type="pct"/>
          </w:tcPr>
          <w:p w14:paraId="6D946FB9"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119.370</w:t>
            </w:r>
          </w:p>
        </w:tc>
      </w:tr>
      <w:tr w:rsidR="00544C06" w:rsidRPr="00017217" w14:paraId="158F3172" w14:textId="77777777" w:rsidTr="009C15C9">
        <w:trPr>
          <w:trHeight w:val="112"/>
        </w:trPr>
        <w:tc>
          <w:tcPr>
            <w:tcW w:w="817" w:type="pct"/>
          </w:tcPr>
          <w:p w14:paraId="72F05FEE"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Change in regulatory costs </w:t>
            </w:r>
          </w:p>
        </w:tc>
        <w:tc>
          <w:tcPr>
            <w:tcW w:w="817" w:type="pct"/>
          </w:tcPr>
          <w:p w14:paraId="0A9D1517"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0.180 </w:t>
            </w:r>
          </w:p>
        </w:tc>
        <w:tc>
          <w:tcPr>
            <w:tcW w:w="916" w:type="pct"/>
          </w:tcPr>
          <w:p w14:paraId="473ECEEC"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3.151</w:t>
            </w:r>
          </w:p>
        </w:tc>
        <w:tc>
          <w:tcPr>
            <w:tcW w:w="817" w:type="pct"/>
          </w:tcPr>
          <w:p w14:paraId="4F951D15"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0.003</w:t>
            </w:r>
          </w:p>
        </w:tc>
        <w:tc>
          <w:tcPr>
            <w:tcW w:w="817" w:type="pct"/>
          </w:tcPr>
          <w:p w14:paraId="2689974E"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3.334</w:t>
            </w:r>
          </w:p>
        </w:tc>
        <w:tc>
          <w:tcPr>
            <w:tcW w:w="816" w:type="pct"/>
          </w:tcPr>
          <w:p w14:paraId="077E5BAA"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100.020 </w:t>
            </w:r>
          </w:p>
        </w:tc>
      </w:tr>
    </w:tbl>
    <w:p w14:paraId="3168AE18" w14:textId="77777777" w:rsidR="00544C06" w:rsidRPr="00017217" w:rsidRDefault="00544C06" w:rsidP="00544C06">
      <w:pPr>
        <w:spacing w:after="160" w:line="259" w:lineRule="auto"/>
        <w:rPr>
          <w:rFonts w:ascii="Calibri" w:eastAsia="Calibri" w:hAnsi="Calibri" w:cs="Calibri"/>
          <w:sz w:val="16"/>
          <w:szCs w:val="20"/>
        </w:rPr>
      </w:pPr>
      <w:r w:rsidRPr="00017217">
        <w:rPr>
          <w:rFonts w:ascii="Calibri" w:eastAsia="Calibri" w:hAnsi="Calibri" w:cs="Calibri"/>
          <w:sz w:val="16"/>
          <w:szCs w:val="20"/>
        </w:rPr>
        <w:t>*A thirty-year period for forecasted regulatory costs has been used due to the extended duration of offshore oil and gas projects.</w:t>
      </w:r>
    </w:p>
    <w:p w14:paraId="17EB93BB" w14:textId="77777777" w:rsidR="00544C06" w:rsidRPr="00017217" w:rsidRDefault="00544C06" w:rsidP="00544C06">
      <w:pPr>
        <w:spacing w:after="160" w:line="259" w:lineRule="auto"/>
        <w:rPr>
          <w:rFonts w:ascii="Calibri" w:eastAsia="Times New Roman" w:hAnsi="Calibri" w:cs="Calibri"/>
          <w:szCs w:val="20"/>
          <w:lang w:eastAsia="en-AU"/>
        </w:rPr>
      </w:pPr>
      <w:r w:rsidRPr="00017217">
        <w:rPr>
          <w:rFonts w:ascii="Calibri" w:eastAsia="Calibri" w:hAnsi="Calibri" w:cs="Calibri"/>
          <w:szCs w:val="20"/>
        </w:rPr>
        <w:t xml:space="preserve">Option 2 (additional </w:t>
      </w:r>
      <w:r w:rsidRPr="00017217">
        <w:rPr>
          <w:rFonts w:ascii="Calibri" w:eastAsia="Times New Roman" w:hAnsi="Calibri" w:cs="Calibri"/>
          <w:szCs w:val="20"/>
          <w:lang w:eastAsia="en-AU"/>
        </w:rPr>
        <w:t>technical and financial reports</w:t>
      </w:r>
      <w:r w:rsidRPr="00017217">
        <w:rPr>
          <w:rFonts w:ascii="Calibri" w:eastAsia="Calibri" w:hAnsi="Calibri" w:cs="Calibri"/>
          <w:szCs w:val="20"/>
        </w:rPr>
        <w:t xml:space="preserve">): </w:t>
      </w:r>
      <w:r w:rsidRPr="00017217">
        <w:rPr>
          <w:rFonts w:ascii="Calibri" w:eastAsia="Calibri" w:hAnsi="Calibri" w:cs="Calibri"/>
          <w:b/>
          <w:szCs w:val="20"/>
        </w:rPr>
        <w:t>$1,895.66</w:t>
      </w:r>
      <w:r w:rsidRPr="00017217">
        <w:rPr>
          <w:rFonts w:ascii="Calibri" w:eastAsia="Calibri" w:hAnsi="Calibri" w:cs="Calibri"/>
          <w:szCs w:val="20"/>
        </w:rPr>
        <w:t xml:space="preserve"> (estimated cost for an organisation to prepare a </w:t>
      </w:r>
      <w:r w:rsidRPr="00017217">
        <w:rPr>
          <w:rFonts w:ascii="Calibri" w:eastAsia="Times New Roman" w:hAnsi="Calibri" w:cs="Calibri"/>
          <w:szCs w:val="20"/>
          <w:lang w:eastAsia="en-AU"/>
        </w:rPr>
        <w:t xml:space="preserve">report) based on </w:t>
      </w:r>
      <w:r w:rsidRPr="00017217">
        <w:rPr>
          <w:rFonts w:ascii="Calibri" w:eastAsia="Times New Roman" w:hAnsi="Calibri" w:cs="Calibri"/>
          <w:b/>
          <w:szCs w:val="20"/>
          <w:lang w:eastAsia="en-AU"/>
        </w:rPr>
        <w:t>6</w:t>
      </w:r>
      <w:r w:rsidRPr="00017217">
        <w:rPr>
          <w:rFonts w:ascii="Calibri" w:eastAsia="Times New Roman" w:hAnsi="Calibri" w:cs="Calibri"/>
          <w:szCs w:val="20"/>
          <w:lang w:eastAsia="en-AU"/>
        </w:rPr>
        <w:t xml:space="preserve"> hours of time of a technical financial / administration employee at an hourly wage rate of $</w:t>
      </w:r>
      <w:r w:rsidRPr="00017217">
        <w:rPr>
          <w:rFonts w:ascii="Calibri" w:eastAsia="Times New Roman" w:hAnsi="Calibri" w:cs="Calibri"/>
          <w:b/>
          <w:szCs w:val="20"/>
          <w:lang w:eastAsia="en-AU"/>
        </w:rPr>
        <w:t>121.15</w:t>
      </w:r>
      <w:r w:rsidRPr="00017217">
        <w:rPr>
          <w:rFonts w:ascii="Calibri" w:eastAsia="Times New Roman" w:hAnsi="Calibri" w:cs="Calibri"/>
          <w:szCs w:val="20"/>
          <w:lang w:eastAsia="en-AU"/>
        </w:rPr>
        <w:t xml:space="preserve"> and </w:t>
      </w:r>
      <w:r w:rsidRPr="00017217">
        <w:rPr>
          <w:rFonts w:ascii="Calibri" w:eastAsia="Times New Roman" w:hAnsi="Calibri" w:cs="Calibri"/>
          <w:b/>
          <w:szCs w:val="20"/>
          <w:lang w:eastAsia="en-AU"/>
        </w:rPr>
        <w:t>1 hour</w:t>
      </w:r>
      <w:r w:rsidRPr="00017217">
        <w:rPr>
          <w:rFonts w:ascii="Calibri" w:eastAsia="Times New Roman" w:hAnsi="Calibri" w:cs="Calibri"/>
          <w:szCs w:val="20"/>
          <w:lang w:eastAsia="en-AU"/>
        </w:rPr>
        <w:t xml:space="preserve"> of time of </w:t>
      </w:r>
      <w:r w:rsidRPr="00017217">
        <w:rPr>
          <w:rFonts w:ascii="Calibri" w:eastAsia="Times New Roman" w:hAnsi="Calibri" w:cs="Calibri"/>
          <w:b/>
          <w:szCs w:val="20"/>
          <w:lang w:eastAsia="en-AU"/>
        </w:rPr>
        <w:t>2</w:t>
      </w:r>
      <w:r w:rsidRPr="00017217">
        <w:rPr>
          <w:rFonts w:ascii="Calibri" w:eastAsia="Times New Roman" w:hAnsi="Calibri" w:cs="Calibri"/>
          <w:szCs w:val="20"/>
          <w:lang w:eastAsia="en-AU"/>
        </w:rPr>
        <w:t xml:space="preserve"> CEOs/Directors at a hourly wage rate of </w:t>
      </w:r>
      <w:r w:rsidRPr="00017217">
        <w:rPr>
          <w:rFonts w:ascii="Calibri" w:eastAsia="Times New Roman" w:hAnsi="Calibri" w:cs="Calibri"/>
          <w:b/>
          <w:szCs w:val="20"/>
          <w:lang w:eastAsia="en-AU"/>
        </w:rPr>
        <w:lastRenderedPageBreak/>
        <w:t>$583.33</w:t>
      </w:r>
      <w:r w:rsidRPr="00017217">
        <w:rPr>
          <w:rFonts w:ascii="Calibri" w:eastAsia="Times New Roman" w:hAnsi="Calibri" w:cs="Calibri"/>
          <w:szCs w:val="20"/>
          <w:lang w:eastAsia="en-AU"/>
        </w:rPr>
        <w:t xml:space="preserve">. </w:t>
      </w:r>
      <w:r w:rsidRPr="00017217">
        <w:rPr>
          <w:rFonts w:ascii="Calibri" w:eastAsia="Calibri" w:hAnsi="Calibri" w:cs="Calibri"/>
          <w:b/>
          <w:szCs w:val="20"/>
          <w:u w:val="single"/>
        </w:rPr>
        <w:t>$824,612.10</w:t>
      </w:r>
      <w:r w:rsidRPr="00017217">
        <w:rPr>
          <w:rFonts w:ascii="Calibri" w:eastAsia="Calibri" w:hAnsi="Calibri" w:cs="Calibri"/>
          <w:b/>
          <w:szCs w:val="20"/>
        </w:rPr>
        <w:t xml:space="preserve"> </w:t>
      </w:r>
      <w:r w:rsidRPr="00017217">
        <w:rPr>
          <w:rFonts w:ascii="Calibri" w:eastAsia="Times New Roman" w:hAnsi="Calibri" w:cs="Calibri"/>
          <w:szCs w:val="20"/>
          <w:lang w:eastAsia="en-AU"/>
        </w:rPr>
        <w:t>(</w:t>
      </w:r>
      <w:r w:rsidRPr="00017217">
        <w:rPr>
          <w:rFonts w:ascii="Calibri" w:eastAsia="Calibri" w:hAnsi="Calibri" w:cs="Calibri"/>
          <w:szCs w:val="20"/>
        </w:rPr>
        <w:t xml:space="preserve">estimated cost </w:t>
      </w:r>
      <w:r w:rsidRPr="00017217">
        <w:rPr>
          <w:rFonts w:ascii="Calibri" w:eastAsia="Times New Roman" w:hAnsi="Calibri" w:cs="Calibri"/>
          <w:szCs w:val="20"/>
          <w:lang w:eastAsia="en-AU"/>
        </w:rPr>
        <w:t xml:space="preserve">across the sector) based on a multiplier of </w:t>
      </w:r>
      <w:r w:rsidRPr="00017217">
        <w:rPr>
          <w:rFonts w:ascii="Calibri" w:eastAsia="Times New Roman" w:hAnsi="Calibri" w:cs="Calibri"/>
          <w:b/>
          <w:szCs w:val="20"/>
          <w:lang w:eastAsia="en-AU"/>
        </w:rPr>
        <w:t>87</w:t>
      </w:r>
      <w:r w:rsidRPr="00017217">
        <w:rPr>
          <w:rFonts w:ascii="Calibri" w:eastAsia="Times New Roman" w:hAnsi="Calibri" w:cs="Calibri"/>
          <w:szCs w:val="20"/>
          <w:lang w:eastAsia="en-AU"/>
        </w:rPr>
        <w:t xml:space="preserve"> (estimated number of applications NOPTA will receive per FY) and </w:t>
      </w:r>
      <w:r w:rsidRPr="00017217">
        <w:rPr>
          <w:rFonts w:ascii="Calibri" w:eastAsia="Times New Roman" w:hAnsi="Calibri" w:cs="Calibri"/>
          <w:b/>
          <w:szCs w:val="20"/>
          <w:lang w:eastAsia="en-AU"/>
        </w:rPr>
        <w:t xml:space="preserve">5 </w:t>
      </w:r>
      <w:r w:rsidRPr="00017217">
        <w:rPr>
          <w:rFonts w:ascii="Calibri" w:eastAsia="Times New Roman" w:hAnsi="Calibri" w:cs="Calibri"/>
          <w:szCs w:val="20"/>
          <w:lang w:eastAsia="en-AU"/>
        </w:rPr>
        <w:t>(average JV partners per title).</w:t>
      </w:r>
    </w:p>
    <w:p w14:paraId="438F2B93" w14:textId="77777777" w:rsidR="00544C06" w:rsidRPr="00017217" w:rsidRDefault="00544C06" w:rsidP="00544C06">
      <w:pPr>
        <w:spacing w:after="160" w:line="259" w:lineRule="auto"/>
        <w:rPr>
          <w:rFonts w:ascii="Calibri" w:eastAsia="Times New Roman" w:hAnsi="Calibri" w:cs="Calibri"/>
          <w:szCs w:val="20"/>
          <w:lang w:eastAsia="en-AU"/>
        </w:rPr>
      </w:pPr>
      <w:r w:rsidRPr="00017217">
        <w:rPr>
          <w:rFonts w:ascii="Calibri" w:eastAsia="Calibri" w:hAnsi="Calibri" w:cs="Calibri"/>
          <w:szCs w:val="20"/>
        </w:rPr>
        <w:t>Option 2 (</w:t>
      </w:r>
      <w:r w:rsidRPr="00017217">
        <w:rPr>
          <w:rFonts w:ascii="Calibri" w:eastAsia="Times New Roman" w:hAnsi="Calibri" w:cs="Calibri"/>
          <w:szCs w:val="20"/>
          <w:lang w:eastAsia="en-AU"/>
        </w:rPr>
        <w:t>fit and proper person declaration and appropriateness criteria application</w:t>
      </w:r>
      <w:r w:rsidRPr="00017217">
        <w:rPr>
          <w:rFonts w:ascii="Calibri" w:eastAsia="Calibri" w:hAnsi="Calibri" w:cs="Calibri"/>
          <w:szCs w:val="20"/>
        </w:rPr>
        <w:t xml:space="preserve">): </w:t>
      </w:r>
      <w:r w:rsidRPr="00017217">
        <w:rPr>
          <w:rFonts w:ascii="Calibri" w:eastAsia="Calibri" w:hAnsi="Calibri" w:cs="Calibri"/>
          <w:b/>
          <w:szCs w:val="20"/>
        </w:rPr>
        <w:t xml:space="preserve">$7,242.96 </w:t>
      </w:r>
      <w:r w:rsidRPr="00017217">
        <w:rPr>
          <w:rFonts w:ascii="Calibri" w:eastAsia="Calibri" w:hAnsi="Calibri" w:cs="Calibri"/>
          <w:szCs w:val="20"/>
        </w:rPr>
        <w:t>(estimated cost for an organisation to prepare an application</w:t>
      </w:r>
      <w:r w:rsidRPr="00017217">
        <w:rPr>
          <w:rFonts w:ascii="Calibri" w:eastAsia="Times New Roman" w:hAnsi="Calibri" w:cs="Calibri"/>
          <w:szCs w:val="20"/>
          <w:lang w:eastAsia="en-AU"/>
        </w:rPr>
        <w:t xml:space="preserve">) based on </w:t>
      </w:r>
      <w:r w:rsidRPr="00017217">
        <w:rPr>
          <w:rFonts w:ascii="Calibri" w:eastAsia="Times New Roman" w:hAnsi="Calibri" w:cs="Calibri"/>
          <w:b/>
          <w:szCs w:val="20"/>
          <w:lang w:eastAsia="en-AU"/>
        </w:rPr>
        <w:t>2</w:t>
      </w:r>
      <w:r w:rsidRPr="00017217">
        <w:rPr>
          <w:rFonts w:ascii="Calibri" w:eastAsia="Times New Roman" w:hAnsi="Calibri" w:cs="Calibri"/>
          <w:szCs w:val="20"/>
          <w:lang w:eastAsia="en-AU"/>
        </w:rPr>
        <w:t xml:space="preserve"> hours of time of a technical financial / administration employee at an hourly wage rate of $</w:t>
      </w:r>
      <w:r w:rsidRPr="00017217">
        <w:rPr>
          <w:rFonts w:ascii="Calibri" w:eastAsia="Times New Roman" w:hAnsi="Calibri" w:cs="Calibri"/>
          <w:b/>
          <w:szCs w:val="20"/>
          <w:lang w:eastAsia="en-AU"/>
        </w:rPr>
        <w:t>121.15</w:t>
      </w:r>
      <w:r w:rsidRPr="00017217">
        <w:rPr>
          <w:rFonts w:ascii="Calibri" w:eastAsia="Times New Roman" w:hAnsi="Calibri" w:cs="Calibri"/>
          <w:szCs w:val="20"/>
          <w:lang w:eastAsia="en-AU"/>
        </w:rPr>
        <w:t xml:space="preserve"> and </w:t>
      </w:r>
      <w:r w:rsidRPr="00017217">
        <w:rPr>
          <w:rFonts w:ascii="Calibri" w:eastAsia="Times New Roman" w:hAnsi="Calibri" w:cs="Calibri"/>
          <w:b/>
          <w:szCs w:val="20"/>
          <w:lang w:eastAsia="en-AU"/>
        </w:rPr>
        <w:t>1 hour</w:t>
      </w:r>
      <w:r w:rsidRPr="00017217">
        <w:rPr>
          <w:rFonts w:ascii="Calibri" w:eastAsia="Times New Roman" w:hAnsi="Calibri" w:cs="Calibri"/>
          <w:szCs w:val="20"/>
          <w:lang w:eastAsia="en-AU"/>
        </w:rPr>
        <w:t xml:space="preserve"> of time of </w:t>
      </w:r>
      <w:r w:rsidRPr="00017217">
        <w:rPr>
          <w:rFonts w:ascii="Calibri" w:eastAsia="Times New Roman" w:hAnsi="Calibri" w:cs="Calibri"/>
          <w:b/>
          <w:szCs w:val="20"/>
          <w:lang w:eastAsia="en-AU"/>
        </w:rPr>
        <w:t>12</w:t>
      </w:r>
      <w:r w:rsidRPr="00017217">
        <w:rPr>
          <w:rFonts w:ascii="Calibri" w:eastAsia="Times New Roman" w:hAnsi="Calibri" w:cs="Calibri"/>
          <w:szCs w:val="20"/>
          <w:lang w:eastAsia="en-AU"/>
        </w:rPr>
        <w:t xml:space="preserve"> CEOs/Directors at a hourly wage rate of </w:t>
      </w:r>
      <w:r w:rsidRPr="00017217">
        <w:rPr>
          <w:rFonts w:ascii="Calibri" w:eastAsia="Times New Roman" w:hAnsi="Calibri" w:cs="Calibri"/>
          <w:b/>
          <w:szCs w:val="20"/>
          <w:lang w:eastAsia="en-AU"/>
        </w:rPr>
        <w:t>$583.33</w:t>
      </w:r>
      <w:r w:rsidRPr="00017217">
        <w:rPr>
          <w:rFonts w:ascii="Calibri" w:eastAsia="Times New Roman" w:hAnsi="Calibri" w:cs="Calibri"/>
          <w:szCs w:val="20"/>
          <w:lang w:eastAsia="en-AU"/>
        </w:rPr>
        <w:t xml:space="preserve">. </w:t>
      </w:r>
      <w:r w:rsidRPr="00017217">
        <w:rPr>
          <w:rFonts w:ascii="Calibri" w:eastAsia="Calibri" w:hAnsi="Calibri" w:cs="Calibri"/>
          <w:b/>
          <w:szCs w:val="20"/>
          <w:u w:val="single"/>
        </w:rPr>
        <w:t>$3,150,687.60</w:t>
      </w:r>
      <w:r w:rsidRPr="00017217">
        <w:rPr>
          <w:rFonts w:ascii="Calibri" w:eastAsia="Calibri" w:hAnsi="Calibri" w:cs="Calibri"/>
          <w:b/>
          <w:szCs w:val="20"/>
        </w:rPr>
        <w:t xml:space="preserve"> </w:t>
      </w:r>
      <w:r w:rsidRPr="00017217">
        <w:rPr>
          <w:rFonts w:ascii="Calibri" w:eastAsia="Times New Roman" w:hAnsi="Calibri" w:cs="Calibri"/>
          <w:szCs w:val="20"/>
          <w:lang w:eastAsia="en-AU"/>
        </w:rPr>
        <w:t>(</w:t>
      </w:r>
      <w:r w:rsidRPr="00017217">
        <w:rPr>
          <w:rFonts w:ascii="Calibri" w:eastAsia="Calibri" w:hAnsi="Calibri" w:cs="Calibri"/>
          <w:szCs w:val="20"/>
        </w:rPr>
        <w:t xml:space="preserve">estimated cost </w:t>
      </w:r>
      <w:r w:rsidRPr="00017217">
        <w:rPr>
          <w:rFonts w:ascii="Calibri" w:eastAsia="Times New Roman" w:hAnsi="Calibri" w:cs="Calibri"/>
          <w:szCs w:val="20"/>
          <w:lang w:eastAsia="en-AU"/>
        </w:rPr>
        <w:t xml:space="preserve">across the sector) based on a multiplier of </w:t>
      </w:r>
      <w:r w:rsidRPr="00017217">
        <w:rPr>
          <w:rFonts w:ascii="Calibri" w:eastAsia="Times New Roman" w:hAnsi="Calibri" w:cs="Calibri"/>
          <w:b/>
          <w:szCs w:val="20"/>
          <w:lang w:eastAsia="en-AU"/>
        </w:rPr>
        <w:t>87</w:t>
      </w:r>
      <w:r w:rsidRPr="00017217">
        <w:rPr>
          <w:rFonts w:ascii="Calibri" w:eastAsia="Times New Roman" w:hAnsi="Calibri" w:cs="Calibri"/>
          <w:szCs w:val="20"/>
          <w:lang w:eastAsia="en-AU"/>
        </w:rPr>
        <w:t xml:space="preserve"> (estimated number of applications NOPTA will receive per FY) and </w:t>
      </w:r>
      <w:r w:rsidRPr="00017217">
        <w:rPr>
          <w:rFonts w:ascii="Calibri" w:eastAsia="Times New Roman" w:hAnsi="Calibri" w:cs="Calibri"/>
          <w:b/>
          <w:szCs w:val="20"/>
          <w:lang w:eastAsia="en-AU"/>
        </w:rPr>
        <w:t xml:space="preserve">5 </w:t>
      </w:r>
      <w:r w:rsidRPr="00017217">
        <w:rPr>
          <w:rFonts w:ascii="Calibri" w:eastAsia="Times New Roman" w:hAnsi="Calibri" w:cs="Calibri"/>
          <w:szCs w:val="20"/>
          <w:lang w:eastAsia="en-AU"/>
        </w:rPr>
        <w:t>(average JV partners per title).</w:t>
      </w:r>
    </w:p>
    <w:p w14:paraId="66877A8B" w14:textId="77777777" w:rsidR="00544C06" w:rsidRPr="00017217" w:rsidRDefault="00544C06" w:rsidP="00544C06">
      <w:pPr>
        <w:spacing w:after="160" w:line="259" w:lineRule="auto"/>
        <w:rPr>
          <w:rFonts w:ascii="Calibri" w:eastAsia="Times New Roman" w:hAnsi="Calibri" w:cs="Calibri"/>
          <w:szCs w:val="20"/>
          <w:lang w:eastAsia="en-AU"/>
        </w:rPr>
      </w:pPr>
      <w:r w:rsidRPr="00017217">
        <w:rPr>
          <w:rFonts w:ascii="Calibri" w:eastAsia="Calibri" w:hAnsi="Calibri" w:cs="Calibri"/>
          <w:szCs w:val="20"/>
        </w:rPr>
        <w:t>Option 2 (</w:t>
      </w:r>
      <w:r w:rsidRPr="00017217">
        <w:rPr>
          <w:rFonts w:ascii="Calibri" w:eastAsia="Times New Roman" w:hAnsi="Calibri" w:cs="Calibri"/>
          <w:szCs w:val="20"/>
          <w:lang w:eastAsia="en-AU"/>
        </w:rPr>
        <w:t>change of ownership and control application</w:t>
      </w:r>
      <w:r w:rsidRPr="00017217">
        <w:rPr>
          <w:rFonts w:ascii="Calibri" w:eastAsia="Calibri" w:hAnsi="Calibri" w:cs="Calibri"/>
          <w:szCs w:val="20"/>
        </w:rPr>
        <w:t xml:space="preserve">): </w:t>
      </w:r>
      <w:r w:rsidRPr="00017217">
        <w:rPr>
          <w:rFonts w:ascii="Calibri" w:eastAsia="Calibri" w:hAnsi="Calibri" w:cs="Calibri"/>
          <w:b/>
          <w:szCs w:val="20"/>
          <w:u w:val="single"/>
        </w:rPr>
        <w:t xml:space="preserve">$1,288.16 </w:t>
      </w:r>
      <w:r w:rsidRPr="00017217">
        <w:rPr>
          <w:rFonts w:ascii="Calibri" w:eastAsia="Calibri" w:hAnsi="Calibri" w:cs="Calibri"/>
          <w:szCs w:val="20"/>
        </w:rPr>
        <w:t>(estimated cost for an organisation to prepare an application</w:t>
      </w:r>
      <w:r w:rsidRPr="00017217">
        <w:rPr>
          <w:rFonts w:ascii="Calibri" w:eastAsia="Times New Roman" w:hAnsi="Calibri" w:cs="Calibri"/>
          <w:szCs w:val="20"/>
          <w:lang w:eastAsia="en-AU"/>
        </w:rPr>
        <w:t xml:space="preserve">) based on </w:t>
      </w:r>
      <w:r w:rsidRPr="00017217">
        <w:rPr>
          <w:rFonts w:ascii="Calibri" w:eastAsia="Times New Roman" w:hAnsi="Calibri" w:cs="Calibri"/>
          <w:b/>
          <w:szCs w:val="20"/>
          <w:lang w:eastAsia="en-AU"/>
        </w:rPr>
        <w:t>1</w:t>
      </w:r>
      <w:r w:rsidRPr="00017217">
        <w:rPr>
          <w:rFonts w:ascii="Calibri" w:eastAsia="Times New Roman" w:hAnsi="Calibri" w:cs="Calibri"/>
          <w:szCs w:val="20"/>
          <w:lang w:eastAsia="en-AU"/>
        </w:rPr>
        <w:t xml:space="preserve"> hours of time of a technical financial / administration employee at an hourly wage rate of $</w:t>
      </w:r>
      <w:r w:rsidRPr="00017217">
        <w:rPr>
          <w:rFonts w:ascii="Calibri" w:eastAsia="Times New Roman" w:hAnsi="Calibri" w:cs="Calibri"/>
          <w:b/>
          <w:szCs w:val="20"/>
          <w:lang w:eastAsia="en-AU"/>
        </w:rPr>
        <w:t>121.15 a</w:t>
      </w:r>
      <w:r w:rsidRPr="00017217">
        <w:rPr>
          <w:rFonts w:ascii="Calibri" w:eastAsia="Times New Roman" w:hAnsi="Calibri" w:cs="Calibri"/>
          <w:szCs w:val="20"/>
          <w:lang w:eastAsia="en-AU"/>
        </w:rPr>
        <w:t xml:space="preserve">nd </w:t>
      </w:r>
      <w:r w:rsidRPr="00017217">
        <w:rPr>
          <w:rFonts w:ascii="Calibri" w:eastAsia="Times New Roman" w:hAnsi="Calibri" w:cs="Calibri"/>
          <w:b/>
          <w:szCs w:val="20"/>
          <w:lang w:eastAsia="en-AU"/>
        </w:rPr>
        <w:t>1 hour</w:t>
      </w:r>
      <w:r w:rsidRPr="00017217">
        <w:rPr>
          <w:rFonts w:ascii="Calibri" w:eastAsia="Times New Roman" w:hAnsi="Calibri" w:cs="Calibri"/>
          <w:szCs w:val="20"/>
          <w:lang w:eastAsia="en-AU"/>
        </w:rPr>
        <w:t xml:space="preserve"> of time of </w:t>
      </w:r>
      <w:r w:rsidRPr="00017217">
        <w:rPr>
          <w:rFonts w:ascii="Calibri" w:eastAsia="Times New Roman" w:hAnsi="Calibri" w:cs="Calibri"/>
          <w:b/>
          <w:szCs w:val="20"/>
          <w:lang w:eastAsia="en-AU"/>
        </w:rPr>
        <w:t>2</w:t>
      </w:r>
      <w:r w:rsidRPr="00017217">
        <w:rPr>
          <w:rFonts w:ascii="Calibri" w:eastAsia="Times New Roman" w:hAnsi="Calibri" w:cs="Calibri"/>
          <w:szCs w:val="20"/>
          <w:lang w:eastAsia="en-AU"/>
        </w:rPr>
        <w:t xml:space="preserve"> CEOs/Directors at a hourly wage rate of </w:t>
      </w:r>
      <w:r w:rsidRPr="00017217">
        <w:rPr>
          <w:rFonts w:ascii="Calibri" w:eastAsia="Times New Roman" w:hAnsi="Calibri" w:cs="Calibri"/>
          <w:b/>
          <w:szCs w:val="20"/>
          <w:lang w:eastAsia="en-AU"/>
        </w:rPr>
        <w:t>$583.33</w:t>
      </w:r>
      <w:r w:rsidRPr="00017217">
        <w:rPr>
          <w:rFonts w:ascii="Calibri" w:eastAsia="Times New Roman" w:hAnsi="Calibri" w:cs="Calibri"/>
          <w:szCs w:val="20"/>
          <w:lang w:eastAsia="en-AU"/>
        </w:rPr>
        <w:t xml:space="preserve">. </w:t>
      </w:r>
      <w:r w:rsidRPr="00017217">
        <w:rPr>
          <w:rFonts w:ascii="Calibri" w:eastAsia="Times New Roman" w:hAnsi="Calibri" w:cs="Calibri"/>
          <w:b/>
          <w:szCs w:val="20"/>
          <w:lang w:eastAsia="en-AU"/>
        </w:rPr>
        <w:t xml:space="preserve">$2,576.32 </w:t>
      </w:r>
      <w:r w:rsidRPr="00017217">
        <w:rPr>
          <w:rFonts w:ascii="Calibri" w:eastAsia="Times New Roman" w:hAnsi="Calibri" w:cs="Calibri"/>
          <w:szCs w:val="20"/>
          <w:lang w:eastAsia="en-AU"/>
        </w:rPr>
        <w:t xml:space="preserve">across the sector with a multiplier of </w:t>
      </w:r>
      <w:r w:rsidRPr="00017217">
        <w:rPr>
          <w:rFonts w:ascii="Calibri" w:eastAsia="Times New Roman" w:hAnsi="Calibri" w:cs="Calibri"/>
          <w:b/>
          <w:szCs w:val="20"/>
          <w:lang w:eastAsia="en-AU"/>
        </w:rPr>
        <w:t>2</w:t>
      </w:r>
      <w:r w:rsidRPr="00017217">
        <w:rPr>
          <w:rFonts w:ascii="Calibri" w:eastAsia="Times New Roman" w:hAnsi="Calibri" w:cs="Calibri"/>
          <w:szCs w:val="20"/>
          <w:lang w:eastAsia="en-AU"/>
        </w:rPr>
        <w:t xml:space="preserve"> (average number of applications NOPTA receives per FY).</w:t>
      </w:r>
    </w:p>
    <w:p w14:paraId="76752605" w14:textId="77777777" w:rsidR="00544C06" w:rsidRPr="00017217" w:rsidRDefault="00544C06" w:rsidP="00544C06">
      <w:pPr>
        <w:spacing w:after="160" w:line="259" w:lineRule="auto"/>
        <w:rPr>
          <w:rFonts w:ascii="Calibri" w:eastAsia="Times New Roman" w:hAnsi="Calibri" w:cs="Times New Roman"/>
          <w:iCs/>
          <w:sz w:val="28"/>
          <w:szCs w:val="28"/>
        </w:rPr>
      </w:pPr>
      <w:r w:rsidRPr="00017217">
        <w:rPr>
          <w:rFonts w:ascii="Calibri" w:eastAsia="Times New Roman" w:hAnsi="Calibri" w:cs="Times New Roman"/>
          <w:iCs/>
          <w:sz w:val="28"/>
          <w:szCs w:val="28"/>
        </w:rPr>
        <w:t>Regulatory benefit</w:t>
      </w:r>
    </w:p>
    <w:p w14:paraId="074093DE"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There is regulatory benefit in making the amendments proposed in this option.</w:t>
      </w:r>
    </w:p>
    <w:p w14:paraId="53755D7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Making regulatory amendments to increase regulatory oversight means that there will be increased safeguards in place at key gateway points. This in turn, helps mitigate the risk that liabilities will not be met and are instead, transferred to appropriate entities who have the financial and technical capability to meet those risks. To date, the Australian Government has expended over AUD$75 million to mitigate safety and environmental risks as a result of the liquidation of the NOGA group of companies. Although Option 2 introduces anticipated regulatory impacts for industry, the regulatory benefits would far outweigh these impacts if as few as two similar events occur in the future.</w:t>
      </w:r>
    </w:p>
    <w:p w14:paraId="588FE324"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There is also regulatory benefit in providing clarity of decision-making requirements at key gateway points to ensure the process is user-friendly, easy to implement and transparent to all parties. This will ensure that the regulator is better able to manage the expectations of applicants and titleholders and result in an overall better regulatory practice.</w:t>
      </w:r>
    </w:p>
    <w:p w14:paraId="2309C36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benefit of an expansion of the existing trailing liability provisions is that it achieves the governments outcomes of having the ability to recall previous titleholders ensuring the cost, expenses and liabilities associated with decommissioning are not borne by the Australian community but minimises the extent of how commercial entities must report on and carry the liability on their books.</w:t>
      </w:r>
    </w:p>
    <w:p w14:paraId="489A32C4" w14:textId="77777777" w:rsidR="00544C06" w:rsidRPr="00017217" w:rsidRDefault="00544C06" w:rsidP="00544C06">
      <w:pPr>
        <w:spacing w:after="160" w:line="259" w:lineRule="auto"/>
        <w:rPr>
          <w:rFonts w:ascii="Calibri" w:eastAsia="Calibri" w:hAnsi="Calibri" w:cs="Times New Roman"/>
        </w:rPr>
      </w:pPr>
      <w:r w:rsidRPr="00017217">
        <w:rPr>
          <w:rFonts w:ascii="Calibri" w:eastAsia="Times New Roman" w:hAnsi="Calibri" w:cs="Times New Roman"/>
          <w:iCs/>
          <w:sz w:val="28"/>
          <w:szCs w:val="28"/>
        </w:rPr>
        <w:t>Regulatory cost</w:t>
      </w:r>
    </w:p>
    <w:p w14:paraId="5E9A55B4"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regulatory cost of this option includes the resourcing and administrative costs involved with amending the regulatory framework and its implementation. In addition, implementing the new regulatory measures would require additional resourcing for the regulator.</w:t>
      </w:r>
    </w:p>
    <w:p w14:paraId="61D6C5B0"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would involve some additional costs to provide additional oversight into matters that are already considered by the regulator (i.e. assessing the financial and technical capability where a titleholder applies to join the regime).</w:t>
      </w:r>
    </w:p>
    <w:p w14:paraId="076ACEFA" w14:textId="77777777" w:rsidR="00544C06" w:rsidRPr="00017217" w:rsidRDefault="00544C06" w:rsidP="00544C06">
      <w:pPr>
        <w:spacing w:after="160" w:line="259" w:lineRule="auto"/>
        <w:rPr>
          <w:rFonts w:ascii="Calibri" w:eastAsia="Calibri" w:hAnsi="Calibri" w:cs="Times New Roman"/>
          <w:u w:val="single"/>
        </w:rPr>
      </w:pPr>
      <w:r w:rsidRPr="00017217">
        <w:rPr>
          <w:rFonts w:ascii="Calibri" w:eastAsia="Calibri" w:hAnsi="Calibri" w:cs="Times New Roman"/>
        </w:rPr>
        <w:t xml:space="preserve">There would be additional regulatory costs to cover regulatory oversight in matters where the regulator would not ordinarily do so (i.e. change in control of a company). This would include resourcing for the purpose of seeking and considering more information from the titleholder or </w:t>
      </w:r>
      <w:r w:rsidRPr="00017217">
        <w:rPr>
          <w:rFonts w:ascii="Calibri" w:eastAsia="Calibri" w:hAnsi="Calibri" w:cs="Times New Roman"/>
        </w:rPr>
        <w:lastRenderedPageBreak/>
        <w:t>assessing information according to new criteria established by the proposed measures. However these additional responsibilities would only occur at key gateway points in the life of the title (i.e. where the title is sold or transferred) rather than as a regular occurrence (e.g. weekly, monthly or even annually in many cases).</w:t>
      </w:r>
    </w:p>
    <w:p w14:paraId="2792FEB9" w14:textId="77777777" w:rsidR="00544C06" w:rsidRPr="00017217" w:rsidRDefault="00544C06" w:rsidP="00544C06">
      <w:pPr>
        <w:spacing w:after="160" w:line="259" w:lineRule="auto"/>
        <w:rPr>
          <w:rFonts w:ascii="Calibri" w:eastAsia="Calibri" w:hAnsi="Calibri" w:cs="Times New Roman"/>
          <w:u w:val="single"/>
        </w:rPr>
      </w:pPr>
      <w:r w:rsidRPr="00017217">
        <w:rPr>
          <w:rFonts w:ascii="Calibri" w:eastAsia="Times New Roman" w:hAnsi="Calibri" w:cs="Times New Roman"/>
          <w:iCs/>
          <w:sz w:val="28"/>
          <w:szCs w:val="28"/>
        </w:rPr>
        <w:t>Net benefit</w:t>
      </w:r>
    </w:p>
    <w:p w14:paraId="4D42D7FF"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There is a net benefit for this option because the regulatory cost is less than the regulatory benefit. </w:t>
      </w:r>
      <w:r w:rsidRPr="00017217">
        <w:rPr>
          <w:rFonts w:ascii="Calibri" w:eastAsia="Calibri" w:hAnsi="Calibri" w:cs="Calibri"/>
        </w:rPr>
        <w:t xml:space="preserve">Although the liquidation of the NOGA group of companies was an unprecedented event in the history of Australia’s offshore </w:t>
      </w:r>
      <w:r w:rsidRPr="00017217">
        <w:rPr>
          <w:rFonts w:ascii="Calibri" w:eastAsia="Calibri" w:hAnsi="Calibri" w:cs="Times New Roman"/>
        </w:rPr>
        <w:t>regime, the avoided costs to the Commonwealth and to the Australian taxpayer would far exceed any anticipated regulatory impacts to industry; if the changes where to prevent just  two similar situations over the next thirty years.</w:t>
      </w:r>
    </w:p>
    <w:p w14:paraId="186534D8" w14:textId="77777777" w:rsidR="00544C06" w:rsidRPr="00017217" w:rsidRDefault="00544C06" w:rsidP="00544C06">
      <w:pPr>
        <w:spacing w:after="160" w:line="259" w:lineRule="auto"/>
        <w:rPr>
          <w:rFonts w:ascii="Calibri" w:eastAsia="Times New Roman" w:hAnsi="Calibri" w:cs="Times New Roman"/>
          <w:iCs/>
          <w:sz w:val="28"/>
          <w:szCs w:val="28"/>
        </w:rPr>
      </w:pPr>
      <w:r w:rsidRPr="00017217">
        <w:rPr>
          <w:rFonts w:ascii="Calibri" w:eastAsia="Times New Roman" w:hAnsi="Calibri" w:cs="Times New Roman"/>
          <w:iCs/>
          <w:sz w:val="28"/>
          <w:szCs w:val="28"/>
        </w:rPr>
        <w:t>Other considerations</w:t>
      </w:r>
    </w:p>
    <w:p w14:paraId="7DA908D3"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option meets the Australian Government’s policy objective in continuously improving the offshore resources regime and provides a regulatory framework for industry where liabilities are disposed of responsibly and in line with other best practice regimes.</w:t>
      </w:r>
    </w:p>
    <w:p w14:paraId="58C475FF"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Costs in relation to trailing liability are only anticipated to result in minimal to nil impact to Australia’s overall investment attractiveness; as the associated liability obligations will only be enlivened as a measure of last resort, when all other regulatory mechanisms have failed.</w:t>
      </w:r>
    </w:p>
    <w:p w14:paraId="03EF8E7C"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This option also supports industry’s social licence to operate as amending the regulatory framework to include better regulatory practices increase community confidence and provide assurances to the Australian community that the regime has environment, safety and financial risks at the forefront of its policy and regulation.</w:t>
      </w:r>
    </w:p>
    <w:p w14:paraId="1839CC2B"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There is a significant risk to the taxpayer in not implementing this option as the financial risk if a titleholder is not able to fulfil its decommissioning obligations is potentially significant, particularly given the nature, scale and cost of offshore petroleum operations.</w:t>
      </w:r>
    </w:p>
    <w:p w14:paraId="7C5A4C0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Expanding the existing trailing provisions to create a larger dormant power that needs to be ‘activated’ by a decision of government, we understand may not need to be carried on the books of companies once an asset has been sold. In comparable jurisdictions who are managing maturing industry and given the last resort nature of trailing liability, it has been designed that trailing liability is ‘activated’ following a series of events and non-compliance by the current titleholder.</w:t>
      </w:r>
    </w:p>
    <w:p w14:paraId="2F23DAE0"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department intends for a similar series of events or gateways, before trailing liability could be ‘activated’ by government, especially given this implementation option is to expand upon a form of existing trailing liability in the legislation, which currently has attached criminal liabilities with up to five years imprisonment should a breach occur.</w:t>
      </w:r>
    </w:p>
    <w:p w14:paraId="0D90828B"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Calibri" w:hAnsi="Calibri" w:cs="Times New Roman"/>
        </w:rPr>
        <w:t>The department is not aware of any instances in comparable jurisdictions where trailing liability has been required and it appears the threat of governments having the power has been sufficient to effect behavioural change in industry and increased diligence on who companies sell their assets to.</w:t>
      </w:r>
      <w:r w:rsidRPr="00017217">
        <w:rPr>
          <w:rFonts w:ascii="Calibri" w:eastAsia="Times New Roman" w:hAnsi="Calibri" w:cs="Times New Roman"/>
          <w:sz w:val="32"/>
          <w:szCs w:val="40"/>
        </w:rPr>
        <w:br w:type="page"/>
      </w:r>
    </w:p>
    <w:p w14:paraId="7BECC6B0"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lastRenderedPageBreak/>
        <w:t>Option 3</w:t>
      </w:r>
    </w:p>
    <w:p w14:paraId="458F56FB" w14:textId="77777777" w:rsidR="00544C06" w:rsidRPr="00017217" w:rsidRDefault="00544C06" w:rsidP="00544C06">
      <w:pPr>
        <w:keepNext/>
        <w:spacing w:after="120" w:line="240" w:lineRule="auto"/>
        <w:rPr>
          <w:rFonts w:ascii="Calibri" w:eastAsia="Calibri" w:hAnsi="Calibri" w:cs="Times New Roman"/>
          <w:i/>
          <w:iCs/>
          <w:szCs w:val="18"/>
        </w:rPr>
      </w:pPr>
      <w:r w:rsidRPr="00017217">
        <w:rPr>
          <w:rFonts w:ascii="Calibri" w:eastAsia="Calibri" w:hAnsi="Calibri" w:cs="Times New Roman"/>
          <w:i/>
          <w:iCs/>
          <w:szCs w:val="18"/>
        </w:rPr>
        <w:t>Summary of regulatory impact calculations</w:t>
      </w:r>
    </w:p>
    <w:tbl>
      <w:tblPr>
        <w:tblStyle w:val="TableGrid3"/>
        <w:tblW w:w="5000" w:type="pct"/>
        <w:tblLook w:val="0000" w:firstRow="0" w:lastRow="0" w:firstColumn="0" w:lastColumn="0" w:noHBand="0" w:noVBand="0"/>
      </w:tblPr>
      <w:tblGrid>
        <w:gridCol w:w="1474"/>
        <w:gridCol w:w="1473"/>
        <w:gridCol w:w="1652"/>
        <w:gridCol w:w="1473"/>
        <w:gridCol w:w="1473"/>
        <w:gridCol w:w="1471"/>
      </w:tblGrid>
      <w:tr w:rsidR="00544C06" w:rsidRPr="00017217" w14:paraId="237EE222" w14:textId="77777777" w:rsidTr="009C15C9">
        <w:trPr>
          <w:trHeight w:val="332"/>
        </w:trPr>
        <w:tc>
          <w:tcPr>
            <w:tcW w:w="817" w:type="pct"/>
          </w:tcPr>
          <w:p w14:paraId="2708BD91"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Options </w:t>
            </w:r>
          </w:p>
        </w:tc>
        <w:tc>
          <w:tcPr>
            <w:tcW w:w="817" w:type="pct"/>
          </w:tcPr>
          <w:p w14:paraId="155D2A1C"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Times New Roman" w:hAnsi="Arial" w:cs="Arial"/>
                <w:sz w:val="20"/>
                <w:szCs w:val="20"/>
                <w:lang w:eastAsia="en-AU"/>
              </w:rPr>
              <w:t>Technical and financial reporting</w:t>
            </w:r>
            <w:r w:rsidRPr="00017217">
              <w:rPr>
                <w:rFonts w:ascii="Arial" w:eastAsia="Times New Roman" w:hAnsi="Arial" w:cs="Arial"/>
                <w:sz w:val="20"/>
                <w:szCs w:val="20"/>
                <w:lang w:eastAsia="en-AU"/>
              </w:rPr>
              <w:br/>
            </w:r>
            <w:r w:rsidRPr="00017217">
              <w:rPr>
                <w:rFonts w:ascii="Arial" w:eastAsia="Calibri" w:hAnsi="Arial" w:cs="Arial"/>
                <w:sz w:val="20"/>
                <w:szCs w:val="20"/>
              </w:rPr>
              <w:t>Sector ($m)</w:t>
            </w:r>
          </w:p>
        </w:tc>
        <w:tc>
          <w:tcPr>
            <w:tcW w:w="916" w:type="pct"/>
          </w:tcPr>
          <w:p w14:paraId="3225441F"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Fit and proper person declaration and appropriateness criteria</w:t>
            </w:r>
          </w:p>
          <w:p w14:paraId="5AB32BD5"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Sector ($m)</w:t>
            </w:r>
          </w:p>
        </w:tc>
        <w:tc>
          <w:tcPr>
            <w:tcW w:w="817" w:type="pct"/>
          </w:tcPr>
          <w:p w14:paraId="26A56AAA"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Times New Roman" w:hAnsi="Arial" w:cs="Arial"/>
                <w:sz w:val="20"/>
                <w:szCs w:val="20"/>
                <w:lang w:eastAsia="en-AU"/>
              </w:rPr>
              <w:t>Change of ownership and control</w:t>
            </w:r>
            <w:r w:rsidRPr="00017217">
              <w:rPr>
                <w:rFonts w:ascii="Arial" w:eastAsia="Times New Roman" w:hAnsi="Arial" w:cs="Arial"/>
                <w:sz w:val="20"/>
                <w:szCs w:val="20"/>
                <w:lang w:eastAsia="en-AU"/>
              </w:rPr>
              <w:br/>
            </w:r>
            <w:r w:rsidRPr="00017217">
              <w:rPr>
                <w:rFonts w:ascii="Arial" w:eastAsia="Calibri" w:hAnsi="Arial" w:cs="Arial"/>
                <w:sz w:val="20"/>
                <w:szCs w:val="20"/>
              </w:rPr>
              <w:t>Sector ($m)</w:t>
            </w:r>
          </w:p>
        </w:tc>
        <w:tc>
          <w:tcPr>
            <w:tcW w:w="817" w:type="pct"/>
          </w:tcPr>
          <w:p w14:paraId="32F9BEE5"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Total annual estimated regulatory costs ($m) </w:t>
            </w:r>
          </w:p>
        </w:tc>
        <w:tc>
          <w:tcPr>
            <w:tcW w:w="816" w:type="pct"/>
          </w:tcPr>
          <w:p w14:paraId="321D2771"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Total estimated regulatory costs over thirty years ($m)*</w:t>
            </w:r>
          </w:p>
        </w:tc>
      </w:tr>
      <w:tr w:rsidR="00544C06" w:rsidRPr="00017217" w14:paraId="691A7455" w14:textId="77777777" w:rsidTr="009C15C9">
        <w:trPr>
          <w:trHeight w:val="323"/>
        </w:trPr>
        <w:tc>
          <w:tcPr>
            <w:tcW w:w="817" w:type="pct"/>
          </w:tcPr>
          <w:p w14:paraId="55B60226"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Option one:</w:t>
            </w:r>
          </w:p>
        </w:tc>
        <w:tc>
          <w:tcPr>
            <w:tcW w:w="817" w:type="pct"/>
          </w:tcPr>
          <w:p w14:paraId="427D56CD"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0.645 </w:t>
            </w:r>
          </w:p>
        </w:tc>
        <w:tc>
          <w:tcPr>
            <w:tcW w:w="916" w:type="pct"/>
          </w:tcPr>
          <w:p w14:paraId="5D77DEFF"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 </w:t>
            </w:r>
          </w:p>
        </w:tc>
        <w:tc>
          <w:tcPr>
            <w:tcW w:w="817" w:type="pct"/>
          </w:tcPr>
          <w:p w14:paraId="5AB2C563"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 </w:t>
            </w:r>
          </w:p>
        </w:tc>
        <w:tc>
          <w:tcPr>
            <w:tcW w:w="817" w:type="pct"/>
          </w:tcPr>
          <w:p w14:paraId="174B3E42"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0.644</w:t>
            </w:r>
          </w:p>
        </w:tc>
        <w:tc>
          <w:tcPr>
            <w:tcW w:w="816" w:type="pct"/>
          </w:tcPr>
          <w:p w14:paraId="3CA034E8"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19.350</w:t>
            </w:r>
          </w:p>
        </w:tc>
      </w:tr>
      <w:tr w:rsidR="00544C06" w:rsidRPr="00017217" w14:paraId="28C68AFD" w14:textId="77777777" w:rsidTr="009C15C9">
        <w:trPr>
          <w:trHeight w:val="218"/>
        </w:trPr>
        <w:tc>
          <w:tcPr>
            <w:tcW w:w="817" w:type="pct"/>
          </w:tcPr>
          <w:p w14:paraId="36EDC8BB"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Option three: </w:t>
            </w:r>
          </w:p>
        </w:tc>
        <w:tc>
          <w:tcPr>
            <w:tcW w:w="817" w:type="pct"/>
          </w:tcPr>
          <w:p w14:paraId="5B3A7E55"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2.370</w:t>
            </w:r>
          </w:p>
        </w:tc>
        <w:tc>
          <w:tcPr>
            <w:tcW w:w="916" w:type="pct"/>
          </w:tcPr>
          <w:p w14:paraId="6E0D58E5"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18.661</w:t>
            </w:r>
          </w:p>
        </w:tc>
        <w:tc>
          <w:tcPr>
            <w:tcW w:w="817" w:type="pct"/>
          </w:tcPr>
          <w:p w14:paraId="1118371D"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0.003</w:t>
            </w:r>
          </w:p>
        </w:tc>
        <w:tc>
          <w:tcPr>
            <w:tcW w:w="817" w:type="pct"/>
          </w:tcPr>
          <w:p w14:paraId="690718FE"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21.034</w:t>
            </w:r>
          </w:p>
        </w:tc>
        <w:tc>
          <w:tcPr>
            <w:tcW w:w="816" w:type="pct"/>
          </w:tcPr>
          <w:p w14:paraId="5056B0B9"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631.020</w:t>
            </w:r>
          </w:p>
        </w:tc>
      </w:tr>
      <w:tr w:rsidR="00544C06" w:rsidRPr="00017217" w14:paraId="7B273B50" w14:textId="77777777" w:rsidTr="009C15C9">
        <w:trPr>
          <w:trHeight w:val="112"/>
        </w:trPr>
        <w:tc>
          <w:tcPr>
            <w:tcW w:w="817" w:type="pct"/>
          </w:tcPr>
          <w:p w14:paraId="63CEE752"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Change in regulatory costs </w:t>
            </w:r>
          </w:p>
        </w:tc>
        <w:tc>
          <w:tcPr>
            <w:tcW w:w="817" w:type="pct"/>
          </w:tcPr>
          <w:p w14:paraId="138D25B6"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1.725 </w:t>
            </w:r>
          </w:p>
        </w:tc>
        <w:tc>
          <w:tcPr>
            <w:tcW w:w="916" w:type="pct"/>
          </w:tcPr>
          <w:p w14:paraId="28EC6054"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 xml:space="preserve">18.661 </w:t>
            </w:r>
          </w:p>
        </w:tc>
        <w:tc>
          <w:tcPr>
            <w:tcW w:w="817" w:type="pct"/>
          </w:tcPr>
          <w:p w14:paraId="0F384C9D"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0.003</w:t>
            </w:r>
          </w:p>
        </w:tc>
        <w:tc>
          <w:tcPr>
            <w:tcW w:w="817" w:type="pct"/>
          </w:tcPr>
          <w:p w14:paraId="7DDFCB31"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20.389</w:t>
            </w:r>
          </w:p>
        </w:tc>
        <w:tc>
          <w:tcPr>
            <w:tcW w:w="816" w:type="pct"/>
          </w:tcPr>
          <w:p w14:paraId="0D8324CB" w14:textId="77777777" w:rsidR="00544C06" w:rsidRPr="00017217" w:rsidRDefault="00544C06" w:rsidP="009C15C9">
            <w:pPr>
              <w:autoSpaceDE w:val="0"/>
              <w:autoSpaceDN w:val="0"/>
              <w:adjustRightInd w:val="0"/>
              <w:rPr>
                <w:rFonts w:ascii="Arial" w:eastAsia="Calibri" w:hAnsi="Arial" w:cs="Arial"/>
                <w:sz w:val="20"/>
                <w:szCs w:val="20"/>
              </w:rPr>
            </w:pPr>
            <w:r w:rsidRPr="00017217">
              <w:rPr>
                <w:rFonts w:ascii="Arial" w:eastAsia="Calibri" w:hAnsi="Arial" w:cs="Arial"/>
                <w:sz w:val="20"/>
                <w:szCs w:val="20"/>
              </w:rPr>
              <w:t>611.670</w:t>
            </w:r>
          </w:p>
        </w:tc>
      </w:tr>
    </w:tbl>
    <w:p w14:paraId="2B1B556A" w14:textId="77777777" w:rsidR="00544C06" w:rsidRPr="00017217" w:rsidRDefault="00544C06" w:rsidP="00544C06">
      <w:pPr>
        <w:spacing w:after="160" w:line="259" w:lineRule="auto"/>
        <w:rPr>
          <w:rFonts w:ascii="Calibri" w:eastAsia="Calibri" w:hAnsi="Calibri" w:cs="Calibri"/>
          <w:sz w:val="16"/>
          <w:szCs w:val="20"/>
        </w:rPr>
      </w:pPr>
      <w:r w:rsidRPr="00017217">
        <w:rPr>
          <w:rFonts w:ascii="Calibri" w:eastAsia="Calibri" w:hAnsi="Calibri" w:cs="Calibri"/>
          <w:sz w:val="16"/>
          <w:szCs w:val="20"/>
        </w:rPr>
        <w:t>*A thirty-year period for forecasted regulatory costs has been used due to the extended duration of offshore oil and gas projects.</w:t>
      </w:r>
    </w:p>
    <w:p w14:paraId="52A885F8" w14:textId="77777777" w:rsidR="00544C06" w:rsidRPr="00017217" w:rsidRDefault="00544C06" w:rsidP="00544C06">
      <w:pPr>
        <w:spacing w:after="160" w:line="259" w:lineRule="auto"/>
        <w:rPr>
          <w:rFonts w:ascii="Calibri" w:eastAsia="Times New Roman" w:hAnsi="Calibri" w:cs="Calibri"/>
          <w:lang w:eastAsia="en-AU"/>
        </w:rPr>
      </w:pPr>
      <w:r w:rsidRPr="00017217">
        <w:rPr>
          <w:rFonts w:ascii="Calibri" w:eastAsia="Calibri" w:hAnsi="Calibri" w:cs="Calibri"/>
        </w:rPr>
        <w:t xml:space="preserve">Option 3 (additional </w:t>
      </w:r>
      <w:r w:rsidRPr="00017217">
        <w:rPr>
          <w:rFonts w:ascii="Calibri" w:eastAsia="Times New Roman" w:hAnsi="Calibri" w:cs="Calibri"/>
          <w:lang w:eastAsia="en-AU"/>
        </w:rPr>
        <w:t>technical and financial reports</w:t>
      </w:r>
      <w:r w:rsidRPr="00017217">
        <w:rPr>
          <w:rFonts w:ascii="Calibri" w:eastAsia="Calibri" w:hAnsi="Calibri" w:cs="Calibri"/>
        </w:rPr>
        <w:t xml:space="preserve">): </w:t>
      </w:r>
      <w:r w:rsidRPr="00017217">
        <w:rPr>
          <w:rFonts w:ascii="Calibri" w:eastAsia="Calibri" w:hAnsi="Calibri" w:cs="Calibri"/>
          <w:b/>
        </w:rPr>
        <w:t>$1,895.66</w:t>
      </w:r>
      <w:r w:rsidRPr="00017217">
        <w:rPr>
          <w:rFonts w:ascii="Calibri" w:eastAsia="Calibri" w:hAnsi="Calibri" w:cs="Calibri"/>
        </w:rPr>
        <w:t xml:space="preserve"> (estimated cost for an organisation to prepare a </w:t>
      </w:r>
      <w:r w:rsidRPr="00017217">
        <w:rPr>
          <w:rFonts w:ascii="Calibri" w:eastAsia="Times New Roman" w:hAnsi="Calibri" w:cs="Calibri"/>
          <w:lang w:eastAsia="en-AU"/>
        </w:rPr>
        <w:t xml:space="preserve">report) based on </w:t>
      </w:r>
      <w:r w:rsidRPr="00017217">
        <w:rPr>
          <w:rFonts w:ascii="Calibri" w:eastAsia="Times New Roman" w:hAnsi="Calibri" w:cs="Calibri"/>
          <w:b/>
          <w:lang w:eastAsia="en-AU"/>
        </w:rPr>
        <w:t>6</w:t>
      </w:r>
      <w:r w:rsidRPr="00017217">
        <w:rPr>
          <w:rFonts w:ascii="Calibri" w:eastAsia="Times New Roman" w:hAnsi="Calibri" w:cs="Calibri"/>
          <w:lang w:eastAsia="en-AU"/>
        </w:rPr>
        <w:t xml:space="preserve"> hours of time of a technical financial / administration employee at an hourly wage rate of $</w:t>
      </w:r>
      <w:r w:rsidRPr="00017217">
        <w:rPr>
          <w:rFonts w:ascii="Calibri" w:eastAsia="Times New Roman" w:hAnsi="Calibri" w:cs="Calibri"/>
          <w:b/>
          <w:lang w:eastAsia="en-AU"/>
        </w:rPr>
        <w:t>121.15</w:t>
      </w:r>
      <w:r w:rsidRPr="00017217">
        <w:rPr>
          <w:rFonts w:ascii="Calibri" w:eastAsia="Times New Roman" w:hAnsi="Calibri" w:cs="Calibri"/>
          <w:lang w:eastAsia="en-AU"/>
        </w:rPr>
        <w:t xml:space="preserve"> and </w:t>
      </w:r>
      <w:r w:rsidRPr="00017217">
        <w:rPr>
          <w:rFonts w:ascii="Calibri" w:eastAsia="Times New Roman" w:hAnsi="Calibri" w:cs="Calibri"/>
          <w:b/>
          <w:lang w:eastAsia="en-AU"/>
        </w:rPr>
        <w:t>1 hour</w:t>
      </w:r>
      <w:r w:rsidRPr="00017217">
        <w:rPr>
          <w:rFonts w:ascii="Calibri" w:eastAsia="Times New Roman" w:hAnsi="Calibri" w:cs="Calibri"/>
          <w:lang w:eastAsia="en-AU"/>
        </w:rPr>
        <w:t xml:space="preserve"> of time of </w:t>
      </w:r>
      <w:r w:rsidRPr="00017217">
        <w:rPr>
          <w:rFonts w:ascii="Calibri" w:eastAsia="Times New Roman" w:hAnsi="Calibri" w:cs="Calibri"/>
          <w:b/>
          <w:lang w:eastAsia="en-AU"/>
        </w:rPr>
        <w:t>2</w:t>
      </w:r>
      <w:r w:rsidRPr="00017217">
        <w:rPr>
          <w:rFonts w:ascii="Calibri" w:eastAsia="Times New Roman" w:hAnsi="Calibri" w:cs="Calibri"/>
          <w:lang w:eastAsia="en-AU"/>
        </w:rPr>
        <w:t xml:space="preserve"> CEOs/Directors at a hourly wage rate of </w:t>
      </w:r>
      <w:r w:rsidRPr="00017217">
        <w:rPr>
          <w:rFonts w:ascii="Calibri" w:eastAsia="Times New Roman" w:hAnsi="Calibri" w:cs="Calibri"/>
          <w:b/>
          <w:lang w:eastAsia="en-AU"/>
        </w:rPr>
        <w:t>$583.33</w:t>
      </w:r>
      <w:r w:rsidRPr="00017217">
        <w:rPr>
          <w:rFonts w:ascii="Calibri" w:eastAsia="Times New Roman" w:hAnsi="Calibri" w:cs="Calibri"/>
          <w:lang w:eastAsia="en-AU"/>
        </w:rPr>
        <w:t xml:space="preserve">. </w:t>
      </w:r>
      <w:r w:rsidRPr="00017217">
        <w:rPr>
          <w:rFonts w:ascii="Calibri" w:eastAsia="Times New Roman" w:hAnsi="Calibri" w:cs="Calibri"/>
          <w:b/>
          <w:u w:val="single"/>
          <w:lang w:eastAsia="en-AU"/>
        </w:rPr>
        <w:t>$2,369,575.00</w:t>
      </w:r>
      <w:r w:rsidRPr="00017217">
        <w:rPr>
          <w:rFonts w:ascii="Calibri" w:eastAsia="Times New Roman" w:hAnsi="Calibri" w:cs="Calibri"/>
          <w:lang w:eastAsia="en-AU"/>
        </w:rPr>
        <w:t xml:space="preserve"> (</w:t>
      </w:r>
      <w:r w:rsidRPr="00017217">
        <w:rPr>
          <w:rFonts w:ascii="Calibri" w:eastAsia="Calibri" w:hAnsi="Calibri" w:cs="Calibri"/>
        </w:rPr>
        <w:t xml:space="preserve">estimated cost </w:t>
      </w:r>
      <w:r w:rsidRPr="00017217">
        <w:rPr>
          <w:rFonts w:ascii="Calibri" w:eastAsia="Times New Roman" w:hAnsi="Calibri" w:cs="Calibri"/>
          <w:lang w:eastAsia="en-AU"/>
        </w:rPr>
        <w:t xml:space="preserve">across the sector) based on a multiplier of </w:t>
      </w:r>
      <w:r w:rsidRPr="00017217">
        <w:rPr>
          <w:rFonts w:ascii="Calibri" w:eastAsia="Times New Roman" w:hAnsi="Calibri" w:cs="Calibri"/>
          <w:b/>
          <w:lang w:eastAsia="en-AU"/>
        </w:rPr>
        <w:t>250</w:t>
      </w:r>
      <w:r w:rsidRPr="00017217">
        <w:rPr>
          <w:rFonts w:ascii="Calibri" w:eastAsia="Times New Roman" w:hAnsi="Calibri" w:cs="Calibri"/>
          <w:lang w:eastAsia="en-AU"/>
        </w:rPr>
        <w:t xml:space="preserve"> (estimated number of applications NOPTA will receive per FY) and </w:t>
      </w:r>
      <w:r w:rsidRPr="00017217">
        <w:rPr>
          <w:rFonts w:ascii="Calibri" w:eastAsia="Times New Roman" w:hAnsi="Calibri" w:cs="Calibri"/>
          <w:b/>
          <w:lang w:eastAsia="en-AU"/>
        </w:rPr>
        <w:t xml:space="preserve">5 </w:t>
      </w:r>
      <w:r w:rsidRPr="00017217">
        <w:rPr>
          <w:rFonts w:ascii="Calibri" w:eastAsia="Times New Roman" w:hAnsi="Calibri" w:cs="Calibri"/>
          <w:lang w:eastAsia="en-AU"/>
        </w:rPr>
        <w:t>(average JV partners per title).</w:t>
      </w:r>
    </w:p>
    <w:p w14:paraId="2628595B" w14:textId="77777777" w:rsidR="00544C06" w:rsidRPr="00017217" w:rsidRDefault="00544C06" w:rsidP="00544C06">
      <w:pPr>
        <w:spacing w:after="160" w:line="259" w:lineRule="auto"/>
        <w:rPr>
          <w:rFonts w:ascii="Calibri" w:eastAsia="Times New Roman" w:hAnsi="Calibri" w:cs="Calibri"/>
          <w:lang w:eastAsia="en-AU"/>
        </w:rPr>
      </w:pPr>
      <w:r w:rsidRPr="00017217">
        <w:rPr>
          <w:rFonts w:ascii="Calibri" w:eastAsia="Calibri" w:hAnsi="Calibri" w:cs="Calibri"/>
        </w:rPr>
        <w:t>Option 3 (</w:t>
      </w:r>
      <w:r w:rsidRPr="00017217">
        <w:rPr>
          <w:rFonts w:ascii="Calibri" w:eastAsia="Times New Roman" w:hAnsi="Calibri" w:cs="Calibri"/>
          <w:lang w:eastAsia="en-AU"/>
        </w:rPr>
        <w:t xml:space="preserve">fit and proper </w:t>
      </w:r>
      <w:r w:rsidRPr="00017217">
        <w:rPr>
          <w:rFonts w:ascii="Calibri" w:eastAsia="Calibri" w:hAnsi="Calibri" w:cs="Times New Roman"/>
          <w:bCs/>
        </w:rPr>
        <w:t>associates test</w:t>
      </w:r>
      <w:r w:rsidRPr="00017217">
        <w:rPr>
          <w:rFonts w:ascii="Calibri" w:eastAsia="Calibri" w:hAnsi="Calibri" w:cs="Times New Roman"/>
        </w:rPr>
        <w:t xml:space="preserve"> </w:t>
      </w:r>
      <w:r w:rsidRPr="00017217">
        <w:rPr>
          <w:rFonts w:ascii="Calibri" w:eastAsia="Times New Roman" w:hAnsi="Calibri" w:cs="Calibri"/>
          <w:lang w:eastAsia="en-AU"/>
        </w:rPr>
        <w:t>and appropriateness criteria application</w:t>
      </w:r>
      <w:r w:rsidRPr="00017217">
        <w:rPr>
          <w:rFonts w:ascii="Calibri" w:eastAsia="Calibri" w:hAnsi="Calibri" w:cs="Calibri"/>
        </w:rPr>
        <w:t xml:space="preserve">): </w:t>
      </w:r>
      <w:r w:rsidRPr="00017217">
        <w:rPr>
          <w:rFonts w:ascii="Calibri" w:eastAsia="Calibri" w:hAnsi="Calibri" w:cs="Calibri"/>
          <w:b/>
        </w:rPr>
        <w:t>$14,928.72</w:t>
      </w:r>
      <w:r w:rsidRPr="00017217">
        <w:rPr>
          <w:rFonts w:ascii="Calibri" w:eastAsia="Calibri" w:hAnsi="Calibri" w:cs="Calibri"/>
        </w:rPr>
        <w:t xml:space="preserve"> (estimated cost for an organisation to prepare an application</w:t>
      </w:r>
      <w:r w:rsidRPr="00017217">
        <w:rPr>
          <w:rFonts w:ascii="Calibri" w:eastAsia="Times New Roman" w:hAnsi="Calibri" w:cs="Calibri"/>
          <w:lang w:eastAsia="en-AU"/>
        </w:rPr>
        <w:t xml:space="preserve">) based on </w:t>
      </w:r>
      <w:r w:rsidRPr="00017217">
        <w:rPr>
          <w:rFonts w:ascii="Calibri" w:eastAsia="Times New Roman" w:hAnsi="Calibri" w:cs="Calibri"/>
          <w:b/>
          <w:lang w:eastAsia="en-AU"/>
        </w:rPr>
        <w:t>2</w:t>
      </w:r>
      <w:r w:rsidRPr="00017217">
        <w:rPr>
          <w:rFonts w:ascii="Calibri" w:eastAsia="Times New Roman" w:hAnsi="Calibri" w:cs="Calibri"/>
          <w:lang w:eastAsia="en-AU"/>
        </w:rPr>
        <w:t xml:space="preserve"> hours of time of a technical financial / administration employee at an hourly wage rate of $</w:t>
      </w:r>
      <w:r w:rsidRPr="00017217">
        <w:rPr>
          <w:rFonts w:ascii="Calibri" w:eastAsia="Times New Roman" w:hAnsi="Calibri" w:cs="Calibri"/>
          <w:b/>
          <w:lang w:eastAsia="en-AU"/>
        </w:rPr>
        <w:t>121.15</w:t>
      </w:r>
      <w:r w:rsidRPr="00017217">
        <w:rPr>
          <w:rFonts w:ascii="Calibri" w:eastAsia="Times New Roman" w:hAnsi="Calibri" w:cs="Calibri"/>
          <w:lang w:eastAsia="en-AU"/>
        </w:rPr>
        <w:t xml:space="preserve"> and </w:t>
      </w:r>
      <w:r w:rsidRPr="00017217">
        <w:rPr>
          <w:rFonts w:ascii="Calibri" w:eastAsia="Times New Roman" w:hAnsi="Calibri" w:cs="Calibri"/>
          <w:b/>
          <w:lang w:eastAsia="en-AU"/>
        </w:rPr>
        <w:t>1 hour</w:t>
      </w:r>
      <w:r w:rsidRPr="00017217">
        <w:rPr>
          <w:rFonts w:ascii="Calibri" w:eastAsia="Times New Roman" w:hAnsi="Calibri" w:cs="Calibri"/>
          <w:lang w:eastAsia="en-AU"/>
        </w:rPr>
        <w:t xml:space="preserve"> of time of </w:t>
      </w:r>
      <w:r w:rsidRPr="00017217">
        <w:rPr>
          <w:rFonts w:ascii="Calibri" w:eastAsia="Times New Roman" w:hAnsi="Calibri" w:cs="Calibri"/>
          <w:b/>
          <w:lang w:eastAsia="en-AU"/>
        </w:rPr>
        <w:t>12</w:t>
      </w:r>
      <w:r w:rsidRPr="00017217">
        <w:rPr>
          <w:rFonts w:ascii="Calibri" w:eastAsia="Times New Roman" w:hAnsi="Calibri" w:cs="Calibri"/>
          <w:lang w:eastAsia="en-AU"/>
        </w:rPr>
        <w:t xml:space="preserve"> CEOs/Directors at a hourly wage rate of </w:t>
      </w:r>
      <w:r w:rsidRPr="00017217">
        <w:rPr>
          <w:rFonts w:ascii="Calibri" w:eastAsia="Times New Roman" w:hAnsi="Calibri" w:cs="Calibri"/>
          <w:b/>
          <w:lang w:eastAsia="en-AU"/>
        </w:rPr>
        <w:t xml:space="preserve">$583.33 </w:t>
      </w:r>
      <w:r w:rsidRPr="00017217">
        <w:rPr>
          <w:rFonts w:ascii="Calibri" w:eastAsia="Times New Roman" w:hAnsi="Calibri" w:cs="Calibri"/>
          <w:lang w:eastAsia="en-AU"/>
        </w:rPr>
        <w:t xml:space="preserve">and an average of </w:t>
      </w:r>
      <w:r w:rsidRPr="00017217">
        <w:rPr>
          <w:rFonts w:ascii="Calibri" w:eastAsia="Times New Roman" w:hAnsi="Calibri" w:cs="Calibri"/>
          <w:b/>
          <w:lang w:eastAsia="en-AU"/>
        </w:rPr>
        <w:t>2</w:t>
      </w:r>
      <w:r w:rsidRPr="00017217">
        <w:rPr>
          <w:rFonts w:ascii="Calibri" w:eastAsia="Times New Roman" w:hAnsi="Calibri" w:cs="Calibri"/>
          <w:lang w:eastAsia="en-AU"/>
        </w:rPr>
        <w:t xml:space="preserve"> associates per CEOs/Directors (</w:t>
      </w:r>
      <w:r w:rsidRPr="00017217">
        <w:rPr>
          <w:rFonts w:ascii="Calibri" w:eastAsia="Times New Roman" w:hAnsi="Calibri" w:cs="Calibri"/>
          <w:b/>
          <w:lang w:eastAsia="en-AU"/>
        </w:rPr>
        <w:t>24)</w:t>
      </w:r>
      <w:r w:rsidRPr="00017217">
        <w:rPr>
          <w:rFonts w:ascii="Calibri" w:eastAsia="Times New Roman" w:hAnsi="Calibri" w:cs="Calibri"/>
          <w:lang w:eastAsia="en-AU"/>
        </w:rPr>
        <w:t xml:space="preserve"> with an average hourly cost of </w:t>
      </w:r>
      <w:r w:rsidRPr="00017217">
        <w:rPr>
          <w:rFonts w:ascii="Calibri" w:eastAsia="Times New Roman" w:hAnsi="Calibri" w:cs="Calibri"/>
          <w:b/>
          <w:lang w:eastAsia="en-AU"/>
        </w:rPr>
        <w:t>$320.24</w:t>
      </w:r>
      <w:r w:rsidRPr="00017217">
        <w:rPr>
          <w:rFonts w:ascii="Calibri" w:eastAsia="Times New Roman" w:hAnsi="Calibri" w:cs="Calibri"/>
          <w:lang w:eastAsia="en-AU"/>
        </w:rPr>
        <w:t xml:space="preserve">. </w:t>
      </w:r>
      <w:r w:rsidRPr="00017217">
        <w:rPr>
          <w:rFonts w:ascii="Calibri" w:eastAsia="Times New Roman" w:hAnsi="Calibri" w:cs="Calibri"/>
          <w:b/>
          <w:u w:val="single"/>
          <w:lang w:eastAsia="en-AU"/>
        </w:rPr>
        <w:t>$18,660,900.00</w:t>
      </w:r>
      <w:r w:rsidRPr="00017217">
        <w:rPr>
          <w:rFonts w:ascii="Calibri" w:eastAsia="Times New Roman" w:hAnsi="Calibri" w:cs="Calibri"/>
          <w:lang w:eastAsia="en-AU"/>
        </w:rPr>
        <w:t xml:space="preserve"> (</w:t>
      </w:r>
      <w:r w:rsidRPr="00017217">
        <w:rPr>
          <w:rFonts w:ascii="Calibri" w:eastAsia="Calibri" w:hAnsi="Calibri" w:cs="Calibri"/>
        </w:rPr>
        <w:t xml:space="preserve">estimated cost </w:t>
      </w:r>
      <w:r w:rsidRPr="00017217">
        <w:rPr>
          <w:rFonts w:ascii="Calibri" w:eastAsia="Times New Roman" w:hAnsi="Calibri" w:cs="Calibri"/>
          <w:lang w:eastAsia="en-AU"/>
        </w:rPr>
        <w:t xml:space="preserve">across the sector) based on a multiplier of </w:t>
      </w:r>
      <w:r w:rsidRPr="00017217">
        <w:rPr>
          <w:rFonts w:ascii="Calibri" w:eastAsia="Times New Roman" w:hAnsi="Calibri" w:cs="Calibri"/>
          <w:b/>
          <w:lang w:eastAsia="en-AU"/>
        </w:rPr>
        <w:t>250</w:t>
      </w:r>
      <w:r w:rsidRPr="00017217">
        <w:rPr>
          <w:rFonts w:ascii="Calibri" w:eastAsia="Times New Roman" w:hAnsi="Calibri" w:cs="Calibri"/>
          <w:lang w:eastAsia="en-AU"/>
        </w:rPr>
        <w:t xml:space="preserve"> (estimated number of applications NOPTA will receive per FY) and </w:t>
      </w:r>
      <w:r w:rsidRPr="00017217">
        <w:rPr>
          <w:rFonts w:ascii="Calibri" w:eastAsia="Times New Roman" w:hAnsi="Calibri" w:cs="Calibri"/>
          <w:b/>
          <w:lang w:eastAsia="en-AU"/>
        </w:rPr>
        <w:t xml:space="preserve">5 </w:t>
      </w:r>
      <w:r w:rsidRPr="00017217">
        <w:rPr>
          <w:rFonts w:ascii="Calibri" w:eastAsia="Times New Roman" w:hAnsi="Calibri" w:cs="Calibri"/>
          <w:lang w:eastAsia="en-AU"/>
        </w:rPr>
        <w:t>(average JV partners per title).</w:t>
      </w:r>
    </w:p>
    <w:p w14:paraId="74F8BEDD" w14:textId="77777777" w:rsidR="00544C06" w:rsidRPr="00017217" w:rsidRDefault="00544C06" w:rsidP="00544C06">
      <w:pPr>
        <w:spacing w:after="160" w:line="259" w:lineRule="auto"/>
        <w:rPr>
          <w:rFonts w:ascii="Arial" w:eastAsia="Times New Roman" w:hAnsi="Arial" w:cs="Arial"/>
          <w:bCs/>
          <w:sz w:val="20"/>
          <w:szCs w:val="20"/>
          <w:lang w:eastAsia="en-AU"/>
        </w:rPr>
      </w:pPr>
      <w:r w:rsidRPr="00017217">
        <w:rPr>
          <w:rFonts w:ascii="Calibri" w:eastAsia="Calibri" w:hAnsi="Calibri" w:cs="Calibri"/>
        </w:rPr>
        <w:t>Option 3 (</w:t>
      </w:r>
      <w:r w:rsidRPr="00017217">
        <w:rPr>
          <w:rFonts w:ascii="Calibri" w:eastAsia="Times New Roman" w:hAnsi="Calibri" w:cs="Calibri"/>
          <w:lang w:eastAsia="en-AU"/>
        </w:rPr>
        <w:t>change of ownership and control application</w:t>
      </w:r>
      <w:r w:rsidRPr="00017217">
        <w:rPr>
          <w:rFonts w:ascii="Calibri" w:eastAsia="Calibri" w:hAnsi="Calibri" w:cs="Calibri"/>
        </w:rPr>
        <w:t xml:space="preserve">): </w:t>
      </w:r>
      <w:r w:rsidRPr="00017217">
        <w:rPr>
          <w:rFonts w:ascii="Calibri" w:eastAsia="Calibri" w:hAnsi="Calibri" w:cs="Calibri"/>
          <w:b/>
          <w:szCs w:val="20"/>
          <w:u w:val="single"/>
        </w:rPr>
        <w:t xml:space="preserve">$1,288.16 </w:t>
      </w:r>
      <w:r w:rsidRPr="00017217">
        <w:rPr>
          <w:rFonts w:ascii="Calibri" w:eastAsia="Calibri" w:hAnsi="Calibri" w:cs="Calibri"/>
          <w:szCs w:val="20"/>
        </w:rPr>
        <w:t>(estimated cost for an organisation to prepare an application</w:t>
      </w:r>
      <w:r w:rsidRPr="00017217">
        <w:rPr>
          <w:rFonts w:ascii="Calibri" w:eastAsia="Times New Roman" w:hAnsi="Calibri" w:cs="Calibri"/>
          <w:szCs w:val="20"/>
          <w:lang w:eastAsia="en-AU"/>
        </w:rPr>
        <w:t xml:space="preserve">) based on </w:t>
      </w:r>
      <w:r w:rsidRPr="00017217">
        <w:rPr>
          <w:rFonts w:ascii="Calibri" w:eastAsia="Times New Roman" w:hAnsi="Calibri" w:cs="Calibri"/>
          <w:b/>
          <w:szCs w:val="20"/>
          <w:lang w:eastAsia="en-AU"/>
        </w:rPr>
        <w:t>1</w:t>
      </w:r>
      <w:r w:rsidRPr="00017217">
        <w:rPr>
          <w:rFonts w:ascii="Calibri" w:eastAsia="Times New Roman" w:hAnsi="Calibri" w:cs="Calibri"/>
          <w:szCs w:val="20"/>
          <w:lang w:eastAsia="en-AU"/>
        </w:rPr>
        <w:t xml:space="preserve"> hours of time of a technical financial / administration employee at an hourly wage rate of $</w:t>
      </w:r>
      <w:r w:rsidRPr="00017217">
        <w:rPr>
          <w:rFonts w:ascii="Calibri" w:eastAsia="Times New Roman" w:hAnsi="Calibri" w:cs="Calibri"/>
          <w:b/>
          <w:szCs w:val="20"/>
          <w:lang w:eastAsia="en-AU"/>
        </w:rPr>
        <w:t>121.15 a</w:t>
      </w:r>
      <w:r w:rsidRPr="00017217">
        <w:rPr>
          <w:rFonts w:ascii="Calibri" w:eastAsia="Times New Roman" w:hAnsi="Calibri" w:cs="Calibri"/>
          <w:szCs w:val="20"/>
          <w:lang w:eastAsia="en-AU"/>
        </w:rPr>
        <w:t xml:space="preserve">nd </w:t>
      </w:r>
      <w:r w:rsidRPr="00017217">
        <w:rPr>
          <w:rFonts w:ascii="Calibri" w:eastAsia="Times New Roman" w:hAnsi="Calibri" w:cs="Calibri"/>
          <w:b/>
          <w:szCs w:val="20"/>
          <w:lang w:eastAsia="en-AU"/>
        </w:rPr>
        <w:t>1 hour</w:t>
      </w:r>
      <w:r w:rsidRPr="00017217">
        <w:rPr>
          <w:rFonts w:ascii="Calibri" w:eastAsia="Times New Roman" w:hAnsi="Calibri" w:cs="Calibri"/>
          <w:szCs w:val="20"/>
          <w:lang w:eastAsia="en-AU"/>
        </w:rPr>
        <w:t xml:space="preserve"> of time of </w:t>
      </w:r>
      <w:r w:rsidRPr="00017217">
        <w:rPr>
          <w:rFonts w:ascii="Calibri" w:eastAsia="Times New Roman" w:hAnsi="Calibri" w:cs="Calibri"/>
          <w:b/>
          <w:szCs w:val="20"/>
          <w:lang w:eastAsia="en-AU"/>
        </w:rPr>
        <w:t>2</w:t>
      </w:r>
      <w:r w:rsidRPr="00017217">
        <w:rPr>
          <w:rFonts w:ascii="Calibri" w:eastAsia="Times New Roman" w:hAnsi="Calibri" w:cs="Calibri"/>
          <w:szCs w:val="20"/>
          <w:lang w:eastAsia="en-AU"/>
        </w:rPr>
        <w:t xml:space="preserve"> CEOs/Directors at a hourly wage rate of </w:t>
      </w:r>
      <w:r w:rsidRPr="00017217">
        <w:rPr>
          <w:rFonts w:ascii="Calibri" w:eastAsia="Times New Roman" w:hAnsi="Calibri" w:cs="Calibri"/>
          <w:b/>
          <w:szCs w:val="20"/>
          <w:lang w:eastAsia="en-AU"/>
        </w:rPr>
        <w:t>$583.33</w:t>
      </w:r>
      <w:r w:rsidRPr="00017217">
        <w:rPr>
          <w:rFonts w:ascii="Calibri" w:eastAsia="Times New Roman" w:hAnsi="Calibri" w:cs="Calibri"/>
          <w:szCs w:val="20"/>
          <w:lang w:eastAsia="en-AU"/>
        </w:rPr>
        <w:t xml:space="preserve">. </w:t>
      </w:r>
      <w:r w:rsidRPr="00017217">
        <w:rPr>
          <w:rFonts w:ascii="Calibri" w:eastAsia="Times New Roman" w:hAnsi="Calibri" w:cs="Calibri"/>
          <w:b/>
          <w:szCs w:val="20"/>
          <w:lang w:eastAsia="en-AU"/>
        </w:rPr>
        <w:t xml:space="preserve">$2,576.32 </w:t>
      </w:r>
      <w:r w:rsidRPr="00017217">
        <w:rPr>
          <w:rFonts w:ascii="Calibri" w:eastAsia="Times New Roman" w:hAnsi="Calibri" w:cs="Calibri"/>
          <w:szCs w:val="20"/>
          <w:lang w:eastAsia="en-AU"/>
        </w:rPr>
        <w:t xml:space="preserve">across the sector with a multiplier of </w:t>
      </w:r>
      <w:r w:rsidRPr="00017217">
        <w:rPr>
          <w:rFonts w:ascii="Calibri" w:eastAsia="Times New Roman" w:hAnsi="Calibri" w:cs="Calibri"/>
          <w:b/>
          <w:szCs w:val="20"/>
          <w:lang w:eastAsia="en-AU"/>
        </w:rPr>
        <w:t>2</w:t>
      </w:r>
      <w:r w:rsidRPr="00017217">
        <w:rPr>
          <w:rFonts w:ascii="Calibri" w:eastAsia="Times New Roman" w:hAnsi="Calibri" w:cs="Calibri"/>
          <w:szCs w:val="20"/>
          <w:lang w:eastAsia="en-AU"/>
        </w:rPr>
        <w:t xml:space="preserve"> (average number of applications NOPTA receives per FY).</w:t>
      </w:r>
    </w:p>
    <w:p w14:paraId="05BF1714" w14:textId="77777777" w:rsidR="00544C06" w:rsidRPr="00017217" w:rsidRDefault="00544C06" w:rsidP="00544C06">
      <w:pPr>
        <w:spacing w:after="160" w:line="259" w:lineRule="auto"/>
        <w:rPr>
          <w:rFonts w:ascii="Calibri" w:eastAsia="Calibri" w:hAnsi="Calibri" w:cs="Times New Roman"/>
          <w:u w:val="single"/>
        </w:rPr>
      </w:pPr>
      <w:r w:rsidRPr="00017217">
        <w:rPr>
          <w:rFonts w:ascii="Calibri" w:eastAsia="Times New Roman" w:hAnsi="Calibri" w:cs="Times New Roman"/>
          <w:iCs/>
          <w:sz w:val="28"/>
          <w:szCs w:val="28"/>
        </w:rPr>
        <w:t>Regulatory benefit</w:t>
      </w:r>
    </w:p>
    <w:p w14:paraId="0EE5183C"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There is a regulatory benefit in amending the current framework and changing the focus of the regulator to implement a lower risk-tolerance approach to regulation of the offshore framework. The risks of an inappropriate titleholder entering the regime without the financial and technical capability to discharge their liabilities would be reduced. Option 3 provides the same regulatory benefits as Option 2.</w:t>
      </w:r>
    </w:p>
    <w:p w14:paraId="05DF7198" w14:textId="77777777" w:rsidR="00544C06" w:rsidRPr="00017217" w:rsidRDefault="00544C06" w:rsidP="00544C06">
      <w:pPr>
        <w:spacing w:after="160" w:line="259" w:lineRule="auto"/>
        <w:rPr>
          <w:rFonts w:ascii="Calibri" w:eastAsia="Times New Roman" w:hAnsi="Calibri" w:cs="Times New Roman"/>
          <w:iCs/>
          <w:sz w:val="28"/>
          <w:szCs w:val="28"/>
        </w:rPr>
      </w:pPr>
      <w:r w:rsidRPr="00017217">
        <w:rPr>
          <w:rFonts w:ascii="Calibri" w:eastAsia="Times New Roman" w:hAnsi="Calibri" w:cs="Times New Roman"/>
          <w:iCs/>
          <w:sz w:val="28"/>
          <w:szCs w:val="28"/>
        </w:rPr>
        <w:t>Regulatory cost</w:t>
      </w:r>
    </w:p>
    <w:p w14:paraId="681585BF"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There is a regulatory cost in being risk-averse in regulating the offshore industry. It would require significant resources from both the regulator to ensure compliance and also the titleholder, to comply with the requirements.</w:t>
      </w:r>
    </w:p>
    <w:p w14:paraId="1CB8CCB3"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 xml:space="preserve">Intensive regulation is highly burdensome on the titleholder and is unlikely to yield any more regulatory benefit as taking the less burdensome risk-based approach. Furthermore, this regulatory </w:t>
      </w:r>
      <w:r w:rsidRPr="00017217">
        <w:rPr>
          <w:rFonts w:ascii="Calibri" w:eastAsia="Calibri" w:hAnsi="Calibri" w:cs="Times New Roman"/>
        </w:rPr>
        <w:lastRenderedPageBreak/>
        <w:t>approach is likely to deter investment from new potential titleholders in the Australian regime, thereby resulting in an opportunity cost.</w:t>
      </w:r>
    </w:p>
    <w:p w14:paraId="7891C079"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Implementing this option could also stifle a company’s cash flow which may negatively affect their financial health and result in the opposite outcome that it is trying to achieve i.e. forcing a company into insolvency and unable to meet their decommissioning liabilities.</w:t>
      </w:r>
    </w:p>
    <w:p w14:paraId="0A91CCCF" w14:textId="77777777" w:rsidR="00544C06" w:rsidRPr="00017217" w:rsidRDefault="00544C06" w:rsidP="00544C06">
      <w:pPr>
        <w:spacing w:after="160" w:line="259" w:lineRule="auto"/>
        <w:rPr>
          <w:rFonts w:ascii="Calibri" w:eastAsia="Times New Roman" w:hAnsi="Calibri" w:cs="Times New Roman"/>
          <w:iCs/>
          <w:sz w:val="28"/>
          <w:szCs w:val="28"/>
        </w:rPr>
      </w:pPr>
      <w:r w:rsidRPr="00017217">
        <w:rPr>
          <w:rFonts w:ascii="Calibri" w:eastAsia="Times New Roman" w:hAnsi="Calibri" w:cs="Times New Roman"/>
          <w:iCs/>
          <w:sz w:val="28"/>
          <w:szCs w:val="28"/>
        </w:rPr>
        <w:t>Net benefit</w:t>
      </w:r>
    </w:p>
    <w:p w14:paraId="166AD594"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Option 3 provides equal regulatory benefit as Option 2, however has significant additional regulatory impacts to industry, with little to no improvement to policy outcomes.</w:t>
      </w:r>
    </w:p>
    <w:p w14:paraId="1B9040F8" w14:textId="77777777" w:rsidR="00544C06" w:rsidRPr="00017217" w:rsidRDefault="00544C06" w:rsidP="00544C06">
      <w:pPr>
        <w:spacing w:after="160" w:line="259" w:lineRule="auto"/>
        <w:rPr>
          <w:rFonts w:ascii="Calibri" w:eastAsia="Calibri" w:hAnsi="Calibri" w:cs="Times New Roman"/>
          <w:u w:val="single"/>
        </w:rPr>
      </w:pPr>
      <w:r w:rsidRPr="00017217">
        <w:rPr>
          <w:rFonts w:ascii="Calibri" w:eastAsia="Times New Roman" w:hAnsi="Calibri" w:cs="Times New Roman"/>
          <w:iCs/>
          <w:sz w:val="28"/>
          <w:szCs w:val="28"/>
        </w:rPr>
        <w:t>Other considerations</w:t>
      </w:r>
    </w:p>
    <w:p w14:paraId="08193866"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Option 3 includes the potential of stifling a company’s cash flow, as companies must at all times carry the decommissioning liability in some form, despite selling its assets to another party.</w:t>
      </w:r>
    </w:p>
    <w:p w14:paraId="4A954D69"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Unlike Option 2, Option 3 would require companies to be potentially perpetually liable for liability costs of decommissioning, even after they no longer hold an interest in the title. Consultation with key industry stakeholders identified that this ongoing liability may significantly deter consideration to the selling and release of assets, which would negatively impact Australia’s overall investment attractiveness. This consideration may also result in significantly less capital being available for companies to explore new investment opportunities across Australia and is likely to stimulate a change in industry behaviour in terms of the appetite of developing new oil and gas projects to meet Australia’s future energy security needs.</w:t>
      </w:r>
    </w:p>
    <w:p w14:paraId="5CC7A35D"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While there is some regulatory benefit in reducing risks around decommissioning liabilities and appropriateness and capabilities of titleholders entering the regime, even the most intensive regulatory oversight cannot completely eliminate these risks. It is, instead, about trying to continuously improve the regulatory practices and reduce risks to as low as practicable while not stifling investment.</w:t>
      </w:r>
    </w:p>
    <w:p w14:paraId="71D3080A" w14:textId="77777777" w:rsidR="00544C06" w:rsidRPr="00017217" w:rsidRDefault="00544C06" w:rsidP="00544C06">
      <w:pPr>
        <w:spacing w:after="160" w:line="259" w:lineRule="auto"/>
        <w:rPr>
          <w:rFonts w:ascii="Calibri" w:eastAsia="Calibri" w:hAnsi="Calibri" w:cs="Times New Roman"/>
          <w:sz w:val="48"/>
          <w:szCs w:val="48"/>
        </w:rPr>
      </w:pPr>
      <w:bookmarkStart w:id="73" w:name="_Toc54348567"/>
      <w:bookmarkStart w:id="74" w:name="_Toc54359196"/>
      <w:bookmarkStart w:id="75" w:name="_Toc54360202"/>
      <w:bookmarkStart w:id="76" w:name="_Toc54360260"/>
      <w:r w:rsidRPr="00017217">
        <w:rPr>
          <w:rFonts w:ascii="Calibri" w:eastAsia="Calibri" w:hAnsi="Calibri" w:cs="Times New Roman"/>
          <w:sz w:val="48"/>
          <w:szCs w:val="48"/>
        </w:rPr>
        <w:t>5.</w:t>
      </w:r>
      <w:r w:rsidRPr="00017217">
        <w:rPr>
          <w:rFonts w:ascii="Calibri" w:eastAsia="Calibri" w:hAnsi="Calibri" w:cs="Times New Roman"/>
          <w:sz w:val="48"/>
          <w:szCs w:val="48"/>
        </w:rPr>
        <w:tab/>
        <w:t>Consultation</w:t>
      </w:r>
      <w:bookmarkEnd w:id="73"/>
      <w:bookmarkEnd w:id="74"/>
      <w:bookmarkEnd w:id="75"/>
      <w:bookmarkEnd w:id="76"/>
    </w:p>
    <w:p w14:paraId="47E85EFE"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Consultation with stakeholders on the proposed policies and measures has occurred in three key stages: engagement on the broader decommissioning framework as part of the department’s </w:t>
      </w:r>
      <w:hyperlink r:id="rId19" w:history="1">
        <w:r w:rsidRPr="00017217">
          <w:rPr>
            <w:rFonts w:ascii="Calibri" w:eastAsia="Calibri" w:hAnsi="Calibri" w:cs="Calibri"/>
            <w:i/>
            <w:u w:val="single"/>
          </w:rPr>
          <w:t>Offshore Oil and Gas Decommissioning Review</w:t>
        </w:r>
      </w:hyperlink>
      <w:r w:rsidRPr="00017217">
        <w:rPr>
          <w:rFonts w:ascii="Calibri" w:eastAsia="Calibri" w:hAnsi="Calibri" w:cs="Calibri"/>
          <w:i/>
        </w:rPr>
        <w:t xml:space="preserve"> </w:t>
      </w:r>
      <w:r w:rsidRPr="00017217">
        <w:rPr>
          <w:rFonts w:ascii="Calibri" w:eastAsia="Calibri" w:hAnsi="Calibri" w:cs="Calibri"/>
        </w:rPr>
        <w:t xml:space="preserve">(the Decommissioning Review), the </w:t>
      </w:r>
      <w:r w:rsidRPr="00017217">
        <w:rPr>
          <w:rFonts w:ascii="Calibri" w:eastAsia="Calibri" w:hAnsi="Calibri" w:cs="Times New Roman"/>
        </w:rPr>
        <w:t xml:space="preserve">independent </w:t>
      </w:r>
      <w:hyperlink r:id="rId20" w:history="1">
        <w:r w:rsidRPr="00017217">
          <w:rPr>
            <w:rFonts w:ascii="Calibri" w:eastAsia="Calibri" w:hAnsi="Calibri" w:cs="Times New Roman"/>
            <w:i/>
            <w:u w:val="single"/>
          </w:rPr>
          <w:t>Review of the</w:t>
        </w:r>
        <w:r w:rsidRPr="00017217">
          <w:rPr>
            <w:rFonts w:ascii="Calibri" w:eastAsia="Calibri" w:hAnsi="Calibri" w:cs="Times New Roman"/>
            <w:u w:val="single"/>
          </w:rPr>
          <w:t xml:space="preserve"> </w:t>
        </w:r>
        <w:r w:rsidRPr="00017217">
          <w:rPr>
            <w:rFonts w:ascii="Calibri" w:eastAsia="Calibri" w:hAnsi="Calibri" w:cs="Times New Roman"/>
            <w:i/>
            <w:u w:val="single"/>
          </w:rPr>
          <w:t>Circumstances that Led to the Administration of the Northern Oil and Gas Australia (NOGA) Group of Companie</w:t>
        </w:r>
        <w:r w:rsidRPr="00017217">
          <w:rPr>
            <w:rFonts w:ascii="Calibri" w:eastAsia="Calibri" w:hAnsi="Calibri" w:cs="Times New Roman"/>
            <w:u w:val="single"/>
          </w:rPr>
          <w:t>s</w:t>
        </w:r>
      </w:hyperlink>
      <w:r w:rsidRPr="00017217">
        <w:rPr>
          <w:rFonts w:ascii="Calibri" w:eastAsia="Calibri" w:hAnsi="Calibri" w:cs="Times New Roman"/>
        </w:rPr>
        <w:t xml:space="preserve"> by Mr Steve Walker (</w:t>
      </w:r>
      <w:r w:rsidRPr="00017217">
        <w:rPr>
          <w:rFonts w:ascii="Calibri" w:eastAsia="Calibri" w:hAnsi="Calibri" w:cs="Calibri"/>
        </w:rPr>
        <w:t>the Walker Review) and a targeted workshop with industry through its peak body association, Australian Petroleum Production and Exploration Association (APPEA).</w:t>
      </w:r>
    </w:p>
    <w:p w14:paraId="38911DC0"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The Decommissioning Review</w:t>
      </w:r>
    </w:p>
    <w:p w14:paraId="322F22AC"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In October 2018 and prior to the liquidation of the NOGA group of companies, the </w:t>
      </w:r>
      <w:r w:rsidRPr="00017217">
        <w:rPr>
          <w:rFonts w:ascii="Calibri" w:eastAsia="Calibri" w:hAnsi="Calibri" w:cs="Calibri"/>
          <w:lang w:val="en"/>
        </w:rPr>
        <w:t xml:space="preserve">department released a public discussion paper titled </w:t>
      </w:r>
      <w:hyperlink r:id="rId21" w:history="1">
        <w:r w:rsidRPr="00017217">
          <w:rPr>
            <w:rFonts w:ascii="Calibri" w:eastAsia="Calibri" w:hAnsi="Calibri" w:cs="Calibri"/>
            <w:i/>
            <w:u w:val="single"/>
            <w:lang w:val="en"/>
          </w:rPr>
          <w:t>Decommissioning Offshore Petroleum Infrastructure in Commonwealth Waters</w:t>
        </w:r>
      </w:hyperlink>
      <w:r w:rsidRPr="00017217">
        <w:rPr>
          <w:rFonts w:ascii="Calibri" w:eastAsia="Calibri" w:hAnsi="Calibri" w:cs="Calibri"/>
          <w:i/>
          <w:lang w:val="en"/>
        </w:rPr>
        <w:t>,</w:t>
      </w:r>
      <w:r w:rsidRPr="00017217">
        <w:rPr>
          <w:rFonts w:ascii="Calibri" w:eastAsia="Calibri" w:hAnsi="Calibri" w:cs="Calibri"/>
        </w:rPr>
        <w:t xml:space="preserve"> with submissions, workshops and consultation occurring throughout 2019.</w:t>
      </w:r>
    </w:p>
    <w:p w14:paraId="5551E4BE"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The purpose of this consultation was to obtain feedback from relevant stakeholders to </w:t>
      </w:r>
      <w:r w:rsidRPr="00017217">
        <w:rPr>
          <w:rFonts w:ascii="Calibri" w:eastAsia="Calibri" w:hAnsi="Calibri" w:cs="Calibri"/>
          <w:lang w:val="en"/>
        </w:rPr>
        <w:t xml:space="preserve">help ensure that Australia’s decommissioning framework was fit for purpose, remains best practice, and positions Australia to respond to decommissioning challenges and opportunities now and into the </w:t>
      </w:r>
      <w:r w:rsidRPr="00017217">
        <w:rPr>
          <w:rFonts w:ascii="Calibri" w:eastAsia="Calibri" w:hAnsi="Calibri" w:cs="Calibri"/>
          <w:lang w:val="en"/>
        </w:rPr>
        <w:lastRenderedPageBreak/>
        <w:t>future.</w:t>
      </w:r>
      <w:r w:rsidRPr="00017217">
        <w:rPr>
          <w:rFonts w:ascii="Calibri" w:eastAsia="Calibri" w:hAnsi="Calibri" w:cs="Calibri"/>
        </w:rPr>
        <w:t xml:space="preserve"> The Decommissioning Review focused primarily on environmental and well integrity outcomes, as well as regulatory oversight.</w:t>
      </w:r>
    </w:p>
    <w:p w14:paraId="41C13912"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The Decommissioning Review proposed that a titleholder’s capacity to fulfil its obligations under a title, particularly its financial capacity for decommissioning, should be assessed at any time and/or as part of a change in parent company ownership or control of a corporate titleholder. Liability arrangements were also canvassed in the discussion paper.</w:t>
      </w:r>
    </w:p>
    <w:p w14:paraId="2CB73E88" w14:textId="77777777" w:rsidR="00544C06" w:rsidRPr="00017217" w:rsidRDefault="00544C06" w:rsidP="00544C06">
      <w:pPr>
        <w:spacing w:after="160" w:line="259" w:lineRule="auto"/>
        <w:rPr>
          <w:rFonts w:ascii="Calibri" w:eastAsia="Calibri" w:hAnsi="Calibri" w:cs="Calibri"/>
          <w:lang w:val="en"/>
        </w:rPr>
      </w:pPr>
      <w:r w:rsidRPr="00017217">
        <w:rPr>
          <w:rFonts w:ascii="Calibri" w:eastAsia="Calibri" w:hAnsi="Calibri" w:cs="Calibri"/>
          <w:lang w:eastAsia="en-AU"/>
        </w:rPr>
        <w:t>Twenty three</w:t>
      </w:r>
      <w:r w:rsidRPr="00017217">
        <w:rPr>
          <w:rFonts w:ascii="Calibri" w:eastAsia="Calibri" w:hAnsi="Calibri" w:cs="Calibri"/>
        </w:rPr>
        <w:t xml:space="preserve"> public submissions were received in response to the Discussion Paper. These came </w:t>
      </w:r>
      <w:r w:rsidRPr="00017217">
        <w:rPr>
          <w:rFonts w:ascii="Calibri" w:eastAsia="Calibri" w:hAnsi="Calibri" w:cs="Calibri"/>
          <w:lang w:val="en"/>
        </w:rPr>
        <w:t>from a variety of sectors, entities and individuals including the offshore petroleum industry, environmental NGOs, fishing groups, academia, government and legal firms.</w:t>
      </w:r>
    </w:p>
    <w:p w14:paraId="0CE6BCD4"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lang w:eastAsia="en-AU"/>
        </w:rPr>
        <w:t>Feedback</w:t>
      </w:r>
      <w:r w:rsidRPr="00017217">
        <w:rPr>
          <w:rFonts w:ascii="Calibri" w:eastAsia="Calibri" w:hAnsi="Calibri" w:cs="Calibri"/>
        </w:rPr>
        <w:t xml:space="preserve"> received as a result of this consultation identified that the current framework provided opportunities for:</w:t>
      </w:r>
    </w:p>
    <w:p w14:paraId="0AE6C731"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 xml:space="preserve">greater government oversight when a change in the ownership or control occurs, and </w:t>
      </w:r>
    </w:p>
    <w:p w14:paraId="527462CA"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expansion and strengthening of the policy principles that underpin financial assurance.</w:t>
      </w:r>
    </w:p>
    <w:p w14:paraId="55FEBDDE" w14:textId="77777777" w:rsidR="00544C06" w:rsidRPr="00017217" w:rsidRDefault="00544C06" w:rsidP="00544C06">
      <w:pPr>
        <w:spacing w:after="160" w:line="259" w:lineRule="auto"/>
        <w:rPr>
          <w:rFonts w:ascii="Calibri" w:eastAsia="Calibri" w:hAnsi="Calibri" w:cs="Times New Roman"/>
          <w:lang w:val="en"/>
        </w:rPr>
      </w:pPr>
      <w:r w:rsidRPr="00017217">
        <w:rPr>
          <w:rFonts w:ascii="Calibri" w:eastAsia="Calibri" w:hAnsi="Calibri" w:cs="Times New Roman"/>
          <w:lang w:val="en"/>
        </w:rPr>
        <w:t>Of note, the agreed view is that current titleholders should be held responsible for decommissioning obligations, rather than the Australian taxpayer.</w:t>
      </w:r>
    </w:p>
    <w:p w14:paraId="28C6C95D" w14:textId="77777777" w:rsidR="00544C06" w:rsidRPr="00017217" w:rsidRDefault="00544C06" w:rsidP="00544C06">
      <w:pPr>
        <w:spacing w:after="160" w:line="259" w:lineRule="auto"/>
        <w:rPr>
          <w:rFonts w:ascii="Calibri" w:eastAsia="Calibri" w:hAnsi="Calibri" w:cs="Times New Roman"/>
          <w:lang w:val="en"/>
        </w:rPr>
      </w:pPr>
      <w:r w:rsidRPr="00017217">
        <w:rPr>
          <w:rFonts w:ascii="Calibri" w:eastAsia="Calibri" w:hAnsi="Calibri" w:cs="Times New Roman"/>
          <w:lang w:val="en"/>
        </w:rPr>
        <w:t>There was also specific feedback from oil and gas companies that only the current titleholder should be held responsible for decommissioning, rather than previous titleholders who are ‘called back’ in the event that the current titleholder is unable to fulfil their decommissioning obligations, otherwise known as ‘trailing liability’.</w:t>
      </w:r>
    </w:p>
    <w:p w14:paraId="6D27B4D9" w14:textId="77777777" w:rsidR="00544C06" w:rsidRPr="00017217" w:rsidRDefault="00544C06" w:rsidP="00544C06">
      <w:pPr>
        <w:spacing w:after="160" w:line="259" w:lineRule="auto"/>
        <w:rPr>
          <w:rFonts w:ascii="Calibri" w:eastAsia="Calibri" w:hAnsi="Calibri" w:cs="Calibri"/>
          <w:lang w:val="en"/>
        </w:rPr>
      </w:pPr>
      <w:r w:rsidRPr="00017217">
        <w:rPr>
          <w:rFonts w:ascii="Calibri" w:eastAsia="Calibri" w:hAnsi="Calibri" w:cs="Times New Roman"/>
          <w:lang w:val="en"/>
        </w:rPr>
        <w:t>While consultation on the Decommissioning Review was underway, the NOGA group of companies entered administration in October 2019 and went into liquidation on 7 February 2020. This further reinforced the need to improve the regulatory framework, to meet the new challenges presented by an industry which is ultimately moving towards decommissioning as it enters mid to late life in various titles and projects.</w:t>
      </w:r>
    </w:p>
    <w:p w14:paraId="2751CE49"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The Walker Review</w:t>
      </w:r>
    </w:p>
    <w:p w14:paraId="08639E44" w14:textId="77777777" w:rsidR="00544C06" w:rsidRPr="00017217" w:rsidRDefault="00544C06" w:rsidP="00544C06">
      <w:pPr>
        <w:spacing w:after="160" w:line="259" w:lineRule="auto"/>
        <w:rPr>
          <w:rFonts w:ascii="Calibri" w:eastAsia="Calibri" w:hAnsi="Calibri" w:cs="Calibri"/>
          <w:lang w:val="en"/>
        </w:rPr>
      </w:pPr>
      <w:r w:rsidRPr="00017217">
        <w:rPr>
          <w:rFonts w:ascii="Calibri" w:eastAsia="Calibri" w:hAnsi="Calibri" w:cs="Calibri"/>
          <w:lang w:val="en"/>
        </w:rPr>
        <w:t xml:space="preserve">In March 2020, the Minister for Resources, Water and Northern Australia, the Hon Keith Pitt MP, appointed Steve Walker to conduct the independent </w:t>
      </w:r>
      <w:hyperlink r:id="rId22" w:history="1">
        <w:r w:rsidRPr="00017217">
          <w:rPr>
            <w:rFonts w:ascii="Calibri" w:eastAsia="Calibri" w:hAnsi="Calibri" w:cs="Calibri"/>
            <w:i/>
            <w:u w:val="single"/>
            <w:lang w:val="en"/>
          </w:rPr>
          <w:t>Review of the circumstances that led to the administration of the Northern Oil and Gas Australia group of companies</w:t>
        </w:r>
      </w:hyperlink>
      <w:r w:rsidRPr="00017217">
        <w:rPr>
          <w:rFonts w:ascii="Calibri" w:eastAsia="Calibri" w:hAnsi="Calibri" w:cs="Calibri"/>
          <w:lang w:val="en"/>
        </w:rPr>
        <w:t>.</w:t>
      </w:r>
      <w:r w:rsidRPr="00017217">
        <w:rPr>
          <w:rFonts w:ascii="Calibri" w:eastAsia="Calibri" w:hAnsi="Calibri" w:cs="Calibri"/>
          <w:i/>
          <w:lang w:val="en"/>
        </w:rPr>
        <w:t xml:space="preserve"> </w:t>
      </w:r>
      <w:r w:rsidRPr="00017217">
        <w:rPr>
          <w:rFonts w:ascii="Calibri" w:eastAsia="Calibri" w:hAnsi="Calibri" w:cs="Calibri"/>
          <w:lang w:val="en"/>
        </w:rPr>
        <w:t xml:space="preserve">Mr Walker consulted with </w:t>
      </w:r>
      <w:r w:rsidRPr="00017217">
        <w:rPr>
          <w:rFonts w:ascii="Calibri" w:eastAsia="Times New Roman" w:hAnsi="Calibri" w:cs="Calibri"/>
          <w:lang w:val="en" w:eastAsia="en-GB"/>
        </w:rPr>
        <w:t>a wide range of stakeholders, which included key industry stakeholders and the regulators.</w:t>
      </w:r>
    </w:p>
    <w:p w14:paraId="70BB3EB6" w14:textId="77777777" w:rsidR="00544C06" w:rsidRPr="00017217" w:rsidRDefault="00544C06" w:rsidP="00544C06">
      <w:pPr>
        <w:spacing w:after="160" w:line="259" w:lineRule="auto"/>
        <w:rPr>
          <w:rFonts w:ascii="Calibri" w:eastAsia="Times New Roman" w:hAnsi="Calibri" w:cs="Calibri"/>
          <w:lang w:val="en" w:eastAsia="en-GB"/>
        </w:rPr>
      </w:pPr>
      <w:r w:rsidRPr="00017217">
        <w:rPr>
          <w:rFonts w:ascii="Calibri" w:eastAsia="Times New Roman" w:hAnsi="Calibri" w:cs="Calibri"/>
          <w:lang w:val="en" w:eastAsia="en-GB"/>
        </w:rPr>
        <w:t xml:space="preserve">The purpose of this consultation was to obtain feedback as part of the review, which examined the roles, responsibilities and </w:t>
      </w:r>
      <w:r w:rsidRPr="00017217">
        <w:rPr>
          <w:rFonts w:ascii="Calibri" w:eastAsia="Times New Roman" w:hAnsi="Calibri" w:cs="Calibri"/>
          <w:lang w:eastAsia="en-GB"/>
        </w:rPr>
        <w:t>behaviours</w:t>
      </w:r>
      <w:r w:rsidRPr="00017217">
        <w:rPr>
          <w:rFonts w:ascii="Calibri" w:eastAsia="Times New Roman" w:hAnsi="Calibri" w:cs="Calibri"/>
          <w:lang w:val="en" w:eastAsia="en-GB"/>
        </w:rPr>
        <w:t xml:space="preserve"> of key stakeholders and advised on potential reforms of the offshore oil and gas regulatory regime</w:t>
      </w:r>
    </w:p>
    <w:p w14:paraId="5A61CC2B" w14:textId="77777777" w:rsidR="00544C06" w:rsidRPr="00017217" w:rsidRDefault="00544C06" w:rsidP="00544C06">
      <w:pPr>
        <w:spacing w:after="160" w:line="259" w:lineRule="auto"/>
        <w:rPr>
          <w:rFonts w:ascii="Calibri" w:eastAsia="Calibri" w:hAnsi="Calibri" w:cs="Times New Roman"/>
          <w:sz w:val="20"/>
          <w:szCs w:val="20"/>
        </w:rPr>
      </w:pPr>
      <w:r w:rsidRPr="00017217">
        <w:rPr>
          <w:rFonts w:ascii="Calibri" w:eastAsia="Times New Roman" w:hAnsi="Calibri" w:cs="Calibri"/>
          <w:lang w:val="en" w:eastAsia="en-GB"/>
        </w:rPr>
        <w:t>The Walker Review made 9 recommendations to improve practices, policies and legislation. Notably, it recommended that:</w:t>
      </w:r>
    </w:p>
    <w:p w14:paraId="74E277CB"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The Decommissioning Review should consider recommending trailing liability, whereby a titleholder would be continually liable for the decommissioning and removal of its offshore assets, even after selling its interests in a title on to a different titleholder.</w:t>
      </w:r>
    </w:p>
    <w:p w14:paraId="2F1A8F59"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 xml:space="preserve">The Decommissioning Review should explore legislative changes or clarifications to enable the National Offshore Petroleum Titles Administrator (NOPTA), and the Joint Authorities to require titleholders to provide financial surety for their decommissioning liabilities, should </w:t>
      </w:r>
      <w:r w:rsidRPr="00017217">
        <w:rPr>
          <w:rFonts w:ascii="Calibri" w:eastAsia="Calibri" w:hAnsi="Calibri" w:cs="Times New Roman"/>
        </w:rPr>
        <w:lastRenderedPageBreak/>
        <w:t>NOPTA have concerns that the titleholder will not be in a position to meet such costs. Such sureties should be in a form that would be available to the Government in the case of the titleholder going into liquidation.</w:t>
      </w:r>
    </w:p>
    <w:p w14:paraId="28FA12B0"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Regulatory concerns over the adequacy of legislation to allow NOPTA to have oversight of titleholder company level transactions, and to allow NOPTA to assess financial resource and technical qualification considerations before a title is transferred to an existing titleholder, should be resolved.</w:t>
      </w:r>
    </w:p>
    <w:p w14:paraId="1CABBD1C"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NOPTA’s powers should be clarified so that it can obtain financial and technical capacity information about the titleholder, and thus monitor titleholder financial performance and technical capacity, throughout the tenure of the title, including decommissioning.</w:t>
      </w:r>
    </w:p>
    <w:p w14:paraId="0382A67B"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Consideration should be given to extending NOPTA’s oversight to include the adequacy of titleholder corporate governance arrangements. In the meantime, NOPTA should consider updating the Offshore Petroleum Guideline: Transfer and Dealings Relating to Petroleum Titles to include an expanded section on titleholders’ technical capacity and governance expectations.</w:t>
      </w:r>
    </w:p>
    <w:p w14:paraId="46395ED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Recommendations that go beyond the scope of the proposed amendments will be considered as part of the revised policy frameworks for decommissioning and safety.</w:t>
      </w:r>
    </w:p>
    <w:p w14:paraId="21F8A471"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Targeted industry consultation</w:t>
      </w:r>
    </w:p>
    <w:p w14:paraId="5AC95552" w14:textId="77777777" w:rsidR="00544C06" w:rsidRPr="00017217" w:rsidRDefault="00544C06" w:rsidP="00544C06">
      <w:pPr>
        <w:spacing w:after="160" w:line="259" w:lineRule="auto"/>
        <w:rPr>
          <w:rFonts w:ascii="Calibri" w:eastAsia="Calibri" w:hAnsi="Calibri" w:cs="Calibri"/>
          <w:lang w:val="en"/>
        </w:rPr>
      </w:pPr>
      <w:r w:rsidRPr="00017217">
        <w:rPr>
          <w:rFonts w:ascii="Calibri" w:eastAsia="Calibri" w:hAnsi="Calibri" w:cs="Calibri"/>
          <w:lang w:val="en"/>
        </w:rPr>
        <w:t>The department has undertaken ongoing targeted consultation with the oil and gas industry through its peak body group, APPEA.</w:t>
      </w:r>
    </w:p>
    <w:p w14:paraId="78DB158F" w14:textId="77777777" w:rsidR="00544C06" w:rsidRPr="00017217" w:rsidRDefault="00544C06" w:rsidP="00544C06">
      <w:pPr>
        <w:spacing w:after="160" w:line="259" w:lineRule="auto"/>
        <w:rPr>
          <w:rFonts w:ascii="Calibri" w:eastAsia="Calibri" w:hAnsi="Calibri" w:cs="Calibri"/>
          <w:lang w:val="en"/>
        </w:rPr>
      </w:pPr>
      <w:r w:rsidRPr="00017217">
        <w:rPr>
          <w:rFonts w:ascii="Calibri" w:eastAsia="Calibri" w:hAnsi="Calibri" w:cs="Calibri"/>
          <w:lang w:val="en"/>
        </w:rPr>
        <w:t>APPEA is the peak national body representing Australia’s upstream oil and gas exploration and production industry. It has approximately 60 full member companies who account for an estimated 98 per cent of the Australia’s petroleum production. APPEA also represents about 140 associate member companies that provide a wide range of goods and services to the upstream oil and gas industry.</w:t>
      </w:r>
    </w:p>
    <w:p w14:paraId="07D708F0"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On 19 October 2020, the department held a workshop with APPEA to discuss the proposed measures and obtain industry feedback.</w:t>
      </w:r>
    </w:p>
    <w:p w14:paraId="5F7E8792"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During the consultation, APPEA’s expressed the following views on behalf of its members:</w:t>
      </w:r>
    </w:p>
    <w:p w14:paraId="1423E893"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Industry supports appropriate regulatory oversight at key gateways, including technical and financial information, to mitigate the risk of another NOGA-like event, but raised concerns about how some of these measures would be implemented. These concerns went to ensuring these measures do not impose unnecessary regulatory burden on industry, including by ensuring applicants are not required to provide information previously provided to government, and clarifying the gateways in which this information would be required or requested.</w:t>
      </w:r>
    </w:p>
    <w:p w14:paraId="409DFE88" w14:textId="77777777" w:rsidR="00544C06" w:rsidRPr="00017217" w:rsidRDefault="00544C06" w:rsidP="00544C06">
      <w:pPr>
        <w:numPr>
          <w:ilvl w:val="0"/>
          <w:numId w:val="13"/>
        </w:numPr>
        <w:spacing w:before="120" w:after="120" w:line="240" w:lineRule="auto"/>
        <w:rPr>
          <w:rFonts w:ascii="Calibri" w:eastAsia="Calibri" w:hAnsi="Calibri" w:cs="Times New Roman"/>
        </w:rPr>
      </w:pPr>
      <w:r w:rsidRPr="00017217">
        <w:rPr>
          <w:rFonts w:ascii="Calibri" w:eastAsia="Calibri" w:hAnsi="Calibri" w:cs="Times New Roman"/>
        </w:rPr>
        <w:t>Trailing liability is not supported as a principle and should only be considered as an absolute last resort and considered in conjunction with a robust financial assurance regime. Industry’s key concern is about the retrospectivity of a trailing liability measure and providing clarity about the point in time when the industry would be subject to such a measure.</w:t>
      </w:r>
    </w:p>
    <w:p w14:paraId="083A8AEA"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The department received a detailed response to the proposed measures, and discussed the potential impacts that the proposed regulatory changes could have on industry. The objective of the department’s consultation with APPEA was to obtain the views of those stakeholders who would be directly impacted by the regulatory changes as a result of the proposed measures.</w:t>
      </w:r>
    </w:p>
    <w:p w14:paraId="48EFEEE0"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lastRenderedPageBreak/>
        <w:t>Ongoing Consultation with NOPTA and the National Offshore Petroleum Safety and Environmental Management Authority (NOPSEMA)</w:t>
      </w:r>
    </w:p>
    <w:p w14:paraId="37ABE63C" w14:textId="77777777" w:rsidR="00544C06" w:rsidRPr="00017217" w:rsidRDefault="00544C06" w:rsidP="00544C06">
      <w:pPr>
        <w:spacing w:after="160" w:line="259" w:lineRule="auto"/>
        <w:rPr>
          <w:rFonts w:ascii="Calibri" w:eastAsia="Calibri" w:hAnsi="Calibri" w:cs="Calibri"/>
          <w:lang w:val="en"/>
        </w:rPr>
      </w:pPr>
      <w:r w:rsidRPr="00017217">
        <w:rPr>
          <w:rFonts w:ascii="Calibri" w:eastAsia="Calibri" w:hAnsi="Calibri" w:cs="Times New Roman"/>
        </w:rPr>
        <w:t xml:space="preserve">In addition to these three consultation processes, the department has also been regularly engaging with NOPTA and NOPSEMA as the administrator and regulator (respectively) of Australia’s offshore oil and gas industry. </w:t>
      </w:r>
      <w:r w:rsidRPr="00017217">
        <w:rPr>
          <w:rFonts w:ascii="Calibri" w:eastAsia="Calibri" w:hAnsi="Calibri" w:cs="Calibri"/>
          <w:lang w:val="en"/>
        </w:rPr>
        <w:t>NOPTA's purpose is to advise on, and administer, the Act in support of the effective regulation and management of our offshore petroleum resources, consistent with good oil field practice and optimum recovery.</w:t>
      </w:r>
      <w:r w:rsidRPr="00017217">
        <w:rPr>
          <w:rFonts w:ascii="Calibri" w:eastAsia="Calibri" w:hAnsi="Calibri" w:cs="Calibri"/>
          <w:vertAlign w:val="superscript"/>
          <w:lang w:val="en"/>
        </w:rPr>
        <w:footnoteReference w:id="5"/>
      </w:r>
      <w:r w:rsidRPr="00017217">
        <w:rPr>
          <w:rFonts w:ascii="Calibri" w:eastAsia="Calibri" w:hAnsi="Calibri" w:cs="Calibri"/>
          <w:lang w:val="en"/>
        </w:rPr>
        <w:t xml:space="preserve"> NOPSEMA is the independent regulator for health and safety, structural (well) integrity and environmental management for all offshore oil and gas operations and greenhouse gas storage activities in Commonwealth waters, and in coastal waters where regulatory powers and functions have been conferred.</w:t>
      </w:r>
      <w:r w:rsidRPr="00017217">
        <w:rPr>
          <w:rFonts w:ascii="Calibri" w:eastAsia="Calibri" w:hAnsi="Calibri" w:cs="Calibri"/>
          <w:vertAlign w:val="superscript"/>
          <w:lang w:val="en"/>
        </w:rPr>
        <w:footnoteReference w:id="6"/>
      </w:r>
    </w:p>
    <w:p w14:paraId="58AC63FC"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Times New Roman"/>
        </w:rPr>
        <w:t>The department has been undertaking these ongoing consultations to discuss issues such as regulatory options, implementation of potential measures and to inform the regulatory costings of the proposed changes. This consultation with NOPTA and NOPSEMA is instrumental to achieving a holistic understanding of the requirements of the regime and to ensure that the proposed measures are reasonable, achievable and measurable.</w:t>
      </w:r>
    </w:p>
    <w:p w14:paraId="6884B2BB" w14:textId="77777777" w:rsidR="00544C06" w:rsidRPr="00017217" w:rsidRDefault="00544C06" w:rsidP="00544C06">
      <w:pPr>
        <w:spacing w:after="160" w:line="259" w:lineRule="auto"/>
        <w:rPr>
          <w:rFonts w:ascii="Calibri" w:eastAsia="Times New Roman" w:hAnsi="Calibri" w:cs="Times New Roman"/>
          <w:sz w:val="32"/>
          <w:szCs w:val="40"/>
        </w:rPr>
      </w:pPr>
      <w:r w:rsidRPr="00017217">
        <w:rPr>
          <w:rFonts w:ascii="Calibri" w:eastAsia="Times New Roman" w:hAnsi="Calibri" w:cs="Times New Roman"/>
          <w:sz w:val="32"/>
          <w:szCs w:val="40"/>
        </w:rPr>
        <w:t>Areas of agreement and difference across the consultation process</w:t>
      </w:r>
    </w:p>
    <w:p w14:paraId="45C99742"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Throughout the various consultations, the department received consistent feedback on a variety of issues relating to the current offshore regulatory framework and opportunities for improvement.</w:t>
      </w:r>
    </w:p>
    <w:p w14:paraId="61BCAB52"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Importantly, w</w:t>
      </w:r>
      <w:r w:rsidRPr="00017217">
        <w:rPr>
          <w:rFonts w:ascii="Calibri" w:eastAsia="Calibri" w:hAnsi="Calibri" w:cs="Times New Roman"/>
        </w:rPr>
        <w:t>hile the Decommissioning Review and the administration/liquidation of the NOGA group of companies are separate issues, the Walker Review highlighted a number of challenges and opportunities for Australia.</w:t>
      </w:r>
    </w:p>
    <w:p w14:paraId="1E055BA8"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Stakeholders the board agreed that titleholders, rather than the Australian taxpayer, should be responsible for their decommissioning obligations. Ensuring that current titleholders can be held responsible for their obligations under their titles serves the interests and mitigates the financial, safety and environmental risks to the industry, the Australian Government and the broader Australian community.</w:t>
      </w:r>
    </w:p>
    <w:p w14:paraId="4E9A00F7"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Similarly, stakeholders identified that the current framework should include greater regulatory oversight and clarity around the powers of the regulator, in order to seek out information relevant to the financial performance and technical capability of titleholders where there is a change of ownership and control of the titleholder.</w:t>
      </w:r>
    </w:p>
    <w:p w14:paraId="0523E1C5" w14:textId="77777777" w:rsidR="00544C06" w:rsidRPr="00017217" w:rsidRDefault="00544C06" w:rsidP="00544C06">
      <w:pPr>
        <w:spacing w:after="160" w:line="259" w:lineRule="auto"/>
        <w:rPr>
          <w:rFonts w:ascii="Calibri" w:eastAsia="Calibri" w:hAnsi="Calibri" w:cs="Times New Roman"/>
          <w:bCs/>
          <w:iCs/>
        </w:rPr>
      </w:pPr>
      <w:r w:rsidRPr="00017217">
        <w:rPr>
          <w:rFonts w:ascii="Calibri" w:eastAsia="Calibri" w:hAnsi="Calibri" w:cs="Calibri"/>
        </w:rPr>
        <w:t>A point of difference in views amongst those consulted included different positions on the proposed trailing liability measure. While the Walker Review recommended that a trailing liability measure be considered (</w:t>
      </w:r>
      <w:r w:rsidRPr="00017217">
        <w:rPr>
          <w:rFonts w:ascii="Calibri" w:eastAsia="Calibri" w:hAnsi="Calibri" w:cs="Times New Roman"/>
          <w:bCs/>
          <w:iCs/>
        </w:rPr>
        <w:t>whereby a titleholder would be continually liable for the decommissioning and removal of its offshore assets, even after selling its interests in a title on to a different titleholder), APPEA has advocated that its members do not support t</w:t>
      </w:r>
      <w:r w:rsidRPr="00017217">
        <w:rPr>
          <w:rFonts w:ascii="Calibri" w:eastAsia="Calibri" w:hAnsi="Calibri" w:cs="Times New Roman"/>
        </w:rPr>
        <w:t>railing liability as a principle, and should only be considered as an absolute last resort and considered in conjunction with a robust financial assurance regime.</w:t>
      </w:r>
    </w:p>
    <w:p w14:paraId="4C98F478" w14:textId="77777777" w:rsidR="00544C06" w:rsidRPr="00017217" w:rsidRDefault="00544C06" w:rsidP="00544C06">
      <w:pPr>
        <w:spacing w:after="160" w:line="259" w:lineRule="auto"/>
        <w:rPr>
          <w:rFonts w:ascii="Calibri" w:eastAsia="Calibri" w:hAnsi="Calibri" w:cs="Times New Roman"/>
          <w:bCs/>
          <w:iCs/>
        </w:rPr>
      </w:pPr>
      <w:r w:rsidRPr="00017217">
        <w:rPr>
          <w:rFonts w:ascii="Calibri" w:eastAsia="Calibri" w:hAnsi="Calibri" w:cs="Times New Roman"/>
          <w:bCs/>
          <w:iCs/>
        </w:rPr>
        <w:lastRenderedPageBreak/>
        <w:t>The department notes that while this measure presents a potentially significant impost to industry, it remains an important ‘backstop’ where all other regulatory, legislative and operational levers have failed. Forms of t</w:t>
      </w:r>
      <w:r w:rsidRPr="00017217">
        <w:rPr>
          <w:rFonts w:ascii="Calibri" w:eastAsia="Calibri" w:hAnsi="Calibri" w:cs="Times New Roman"/>
        </w:rPr>
        <w:t>railing liability are a feature of other similar, reputable and mature offshore petroleum regimes, including Norway, the United Kingdom, the United States of America, and Canada, where the offshore oil and gas industry is successfully working under these regulatory requirements.</w:t>
      </w:r>
    </w:p>
    <w:p w14:paraId="22E77863" w14:textId="77777777" w:rsidR="00544C06" w:rsidRPr="00017217" w:rsidRDefault="00544C06" w:rsidP="00544C06">
      <w:pPr>
        <w:spacing w:after="160" w:line="259" w:lineRule="auto"/>
        <w:rPr>
          <w:rFonts w:ascii="Calibri" w:eastAsia="Calibri" w:hAnsi="Calibri" w:cs="Times New Roman"/>
          <w:bCs/>
          <w:iCs/>
        </w:rPr>
      </w:pPr>
      <w:r w:rsidRPr="00017217">
        <w:rPr>
          <w:rFonts w:ascii="Calibri" w:eastAsia="Calibri" w:hAnsi="Calibri" w:cs="Times New Roman"/>
          <w:bCs/>
          <w:iCs/>
        </w:rPr>
        <w:t>The Australian Government intends to exercise powers in respect to trailing liability where all other available options have failed. In its efforts to reduce the financial, safety and environmental risks within the offshore regulatory regime, the department considers that it would be remiss if it did not provide a ‘last resort’ safety mechanism to protect all parties from unforeseen events, including the industry itself, the government and the Australian taxpayer.</w:t>
      </w:r>
    </w:p>
    <w:p w14:paraId="25022ACF" w14:textId="77777777" w:rsidR="00544C06" w:rsidRPr="00017217" w:rsidRDefault="00544C06" w:rsidP="00544C06">
      <w:pPr>
        <w:spacing w:after="160" w:line="259" w:lineRule="auto"/>
        <w:rPr>
          <w:rFonts w:ascii="Calibri" w:eastAsia="Calibri" w:hAnsi="Calibri" w:cs="Times New Roman"/>
          <w:sz w:val="48"/>
          <w:szCs w:val="48"/>
        </w:rPr>
      </w:pPr>
      <w:bookmarkStart w:id="77" w:name="_Toc54348568"/>
      <w:bookmarkStart w:id="78" w:name="_Toc54359197"/>
      <w:bookmarkStart w:id="79" w:name="_Toc54360203"/>
      <w:bookmarkStart w:id="80" w:name="_Toc54360261"/>
      <w:r w:rsidRPr="00017217">
        <w:rPr>
          <w:rFonts w:ascii="Calibri" w:eastAsia="Calibri" w:hAnsi="Calibri" w:cs="Times New Roman"/>
          <w:sz w:val="48"/>
          <w:szCs w:val="48"/>
        </w:rPr>
        <w:t>6.</w:t>
      </w:r>
      <w:r w:rsidRPr="00017217">
        <w:rPr>
          <w:rFonts w:ascii="Calibri" w:eastAsia="Calibri" w:hAnsi="Calibri" w:cs="Times New Roman"/>
          <w:sz w:val="48"/>
          <w:szCs w:val="48"/>
        </w:rPr>
        <w:tab/>
        <w:t>Preferred option</w:t>
      </w:r>
      <w:bookmarkEnd w:id="77"/>
      <w:bookmarkEnd w:id="78"/>
      <w:bookmarkEnd w:id="79"/>
      <w:bookmarkEnd w:id="80"/>
    </w:p>
    <w:p w14:paraId="5F310D8E"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Feedback across the various consultation and review processes identified three consistent themes from a range of stakeholders.</w:t>
      </w:r>
    </w:p>
    <w:p w14:paraId="77E1EFED"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Firstly, there was consensus amongst those consulted that the current regime could and </w:t>
      </w:r>
      <w:r w:rsidRPr="00017217">
        <w:rPr>
          <w:rFonts w:ascii="Calibri" w:eastAsia="Calibri" w:hAnsi="Calibri" w:cs="Calibri"/>
          <w:i/>
        </w:rPr>
        <w:t>should</w:t>
      </w:r>
      <w:r w:rsidRPr="00017217">
        <w:rPr>
          <w:rFonts w:ascii="Calibri" w:eastAsia="Calibri" w:hAnsi="Calibri" w:cs="Calibri"/>
        </w:rPr>
        <w:t xml:space="preserve"> be improved to prevent, or significantly reduce, the risks of titleholders being unable to fulfil their obligations within the regime. Stakeholders identified that the offshore regime should allow for the responsible extraction of resources while also having proper regard to health, safety and environment and to ensure that the correct balance is struck, to maintain business confidence and encourage investment, in the Australian regime.</w:t>
      </w:r>
    </w:p>
    <w:p w14:paraId="31BE5427"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Secondly, there was consistent feedback that the decommissioning liabilities should be met by current titleholders as those who have derived economic benefits from the resources, rather than having these liabilities met by the Australian taxpayer. To that end, risks and responsibilities of titleholders operating within the Australian regime should be clearly allocated in the regulatory framework, ensuring that the regulatory expectations and requirements are clear to those intending to enter the regime.</w:t>
      </w:r>
    </w:p>
    <w:p w14:paraId="6DAF3C26"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Thirdly, and following on from the view that the regulatory framework required greater clarity, was the feedback that the current regime requires greater regulatory oversight and clarity around NOPTA’s role and responsibilities, as well as their decision-making criteria and processes at key gateway points. Consultation showed that many stakeholders felt concerned about the unclear legislative provisions in the current regime, which limit the regulator’s ability to obtain sufficient assurances and information at key gateways, that an applicant is suitable and capable to undertake petroleum activities within the regime.</w:t>
      </w:r>
    </w:p>
    <w:p w14:paraId="76A371CA"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After undertaking targeted consultation with relevant stakeholders and reviewing their feedback, the department recommends Option 2 in order to best address the problem statement. Option 2 delivers the greatest net benefit, as it ensures that the highest risk points (the entry points) within the regime, are mitigated to the extent possible (including the ability to call back a greater range of entities who not only installed offshore infrastructure property, but also derived an economic benefit from Australia’s resources), while not creating unnecessary regulatory burden on industry and potentially discouraging investment. Greater clarity and regulatory oversight regarding decision making criteria, being a key concern of stakeholders, will be addressed by this option. Option 2 address the concerns of both the department and the oil and gas industry to ensure that entities entering or progressing through the regime are suitable, financially and technically capable to </w:t>
      </w:r>
      <w:r w:rsidRPr="00017217">
        <w:rPr>
          <w:rFonts w:ascii="Calibri" w:eastAsia="Calibri" w:hAnsi="Calibri" w:cs="Calibri"/>
        </w:rPr>
        <w:lastRenderedPageBreak/>
        <w:t>undertake petroleum activities in a safe and environmentally sustainable manner, and do not have a history of material non-compliance, fraudulent or misleading behaviour and/or financial mismanagement. Option 2 also provides the government with a last resort safety mechanism – trailing liability, to call back a greater range of entities who derived an economic benefit from Australia’s resources, in order to mitigate the risks to the Australian taxpayer, where all other safeguards have failed.</w:t>
      </w:r>
    </w:p>
    <w:p w14:paraId="7751597A"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Calibri"/>
        </w:rPr>
        <w:t>By comparison, under Option 1, there is no change to the regulatory framework which continues to operate in its current form. While it will continue to provide a strong and effective framework that industry is familiar with, it does not provide greater assurances at key gateway points to mitigate the risk that companies entering the regime may be unable to meet their obligations. This in turn, may result in a similar incident to that of the NOGA group of companies where significant liabilities fall to industry and the Australian taxpayer. Unlike Option 2 (the recommended option), Option 1 does not increase regulatory oversight</w:t>
      </w:r>
      <w:r w:rsidRPr="00017217">
        <w:rPr>
          <w:rFonts w:ascii="Calibri" w:eastAsia="Calibri" w:hAnsi="Calibri" w:cs="Times New Roman"/>
        </w:rPr>
        <w:t>, or provide greater assurance particularly at high risk gateways, that a titleholder is suitable to enter the Australian offshore regime and undertake petroleum activities.</w:t>
      </w:r>
    </w:p>
    <w:p w14:paraId="06E28A58"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Option 3 provides a far more intensive approach to regulating industry, without a material net benefit in achieving the intended policy outcome. Option 3 is likely to deter investment from new titleholders in the Australian regime due to its onerous measures and does not address stakeholder concerns raised during consultation regarding striking the right balance between risk management, responsible resource extraction and encouraging investment in the Australian regime. Option 3 provides higher regulatory impacts </w:t>
      </w:r>
      <w:r w:rsidRPr="00017217">
        <w:rPr>
          <w:rFonts w:ascii="Calibri" w:eastAsia="Calibri" w:hAnsi="Calibri" w:cs="Times New Roman"/>
        </w:rPr>
        <w:t>with little to no improvement to policy outcomes</w:t>
      </w:r>
      <w:r w:rsidRPr="00017217">
        <w:rPr>
          <w:rFonts w:ascii="Calibri" w:eastAsia="Calibri" w:hAnsi="Calibri" w:cs="Calibri"/>
        </w:rPr>
        <w:t xml:space="preserve"> of Option 2.</w:t>
      </w:r>
    </w:p>
    <w:p w14:paraId="3BE21089"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As Option 2 addresses the problem statement by avoiding the additional anticipated regulatory impacts as Option 3, Option 2 is the preferred option.</w:t>
      </w:r>
    </w:p>
    <w:p w14:paraId="6AA124F2"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In recommending Option 2, one key consideration in the decision-making process was the feedback received during consultation on trailing liability. The department noted that trailing liability was not supported by the oil and gas industry, and in order to ensure that this measure is effective but not overly burdensome on titleholders, the department has chosen Option 2 which speaks to a risk-based approach, as opposed to an intensive regulatory approach.</w:t>
      </w:r>
    </w:p>
    <w:p w14:paraId="43133533"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Rather than proposing a trailing liability measure, which is a ‘standing obligation’ in Option 3, the department is recommending expansion to the existing powers to issue Directions under Option 2. Under this measure  it is  in the event that a current titleholder cannot meet its decommissioning obligations and  other safeguards have failed, that previous titleholders and/or related persons (including a parent company) may be called back to meet these obligations. Under a ‘standing obligation’ measure (Option 3), companies would be required to maintain the financial capacity to decommission all infrastructure previously held and managed, indefinitely, or until such infrastructure is successfully decommissioned.</w:t>
      </w:r>
    </w:p>
    <w:p w14:paraId="52ECC4D6"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One area of uncertainty in considering all options were the costing assumptions that the department relied upon. In order to accurately estimate both the cost of implementing the regulatory changes as well as the potential costs of decommissioning various projects, the department obtained industry-reflective decommissioning costs through consultation with the National Energy Resources Australia (NERA).</w:t>
      </w:r>
    </w:p>
    <w:p w14:paraId="60482161"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 xml:space="preserve">The cost of the proposed regulatory changes in Option 2 are minimal in comparison to the risk of potential decommissioning liabilities of offshore oil and gas assets and infrastructure, where titleholders are unable to meet their obligations. The estimated cost increased associated with </w:t>
      </w:r>
      <w:r w:rsidRPr="00017217">
        <w:rPr>
          <w:rFonts w:ascii="Calibri" w:eastAsia="Calibri" w:hAnsi="Calibri" w:cs="Calibri"/>
        </w:rPr>
        <w:lastRenderedPageBreak/>
        <w:t>implementing the proposed changes in Option 2 is approximately AUD$3.33 million per year. By comparison, the decommissioning cost for a range of offshore activities are estimated as follows:</w:t>
      </w:r>
    </w:p>
    <w:p w14:paraId="4A3565B2" w14:textId="77777777" w:rsidR="00544C06" w:rsidRPr="00017217" w:rsidRDefault="00544C06" w:rsidP="00544C06">
      <w:pPr>
        <w:numPr>
          <w:ilvl w:val="0"/>
          <w:numId w:val="14"/>
        </w:numPr>
        <w:spacing w:after="160" w:line="259" w:lineRule="auto"/>
        <w:contextualSpacing/>
        <w:rPr>
          <w:rFonts w:ascii="Calibri" w:eastAsia="Calibri" w:hAnsi="Calibri" w:cs="Calibri"/>
        </w:rPr>
      </w:pPr>
      <w:r w:rsidRPr="00017217">
        <w:rPr>
          <w:rFonts w:ascii="Calibri" w:eastAsia="Calibri" w:hAnsi="Calibri" w:cs="Calibri"/>
        </w:rPr>
        <w:t>plugging and abandonment of a single offshore exploration or appraisal well can range between USD$9 million to USD$32 million (approximately AUD$12.7 million to AUD$45.4 million)</w:t>
      </w:r>
      <w:r w:rsidRPr="00017217">
        <w:rPr>
          <w:rFonts w:ascii="Calibri" w:eastAsia="Calibri" w:hAnsi="Calibri" w:cs="Calibri"/>
          <w:vertAlign w:val="superscript"/>
        </w:rPr>
        <w:footnoteReference w:id="7"/>
      </w:r>
    </w:p>
    <w:p w14:paraId="7D8B473C" w14:textId="77777777" w:rsidR="00544C06" w:rsidRPr="00017217" w:rsidRDefault="00544C06" w:rsidP="00544C06">
      <w:pPr>
        <w:numPr>
          <w:ilvl w:val="0"/>
          <w:numId w:val="14"/>
        </w:numPr>
        <w:spacing w:after="160" w:line="259" w:lineRule="auto"/>
        <w:contextualSpacing/>
        <w:rPr>
          <w:rFonts w:ascii="Calibri" w:eastAsia="Calibri" w:hAnsi="Calibri" w:cs="Calibri"/>
        </w:rPr>
      </w:pPr>
      <w:r w:rsidRPr="00017217">
        <w:rPr>
          <w:rFonts w:ascii="Calibri" w:eastAsia="Calibri" w:hAnsi="Calibri" w:cs="Calibri"/>
        </w:rPr>
        <w:t>decommissioning a medium sized project with a single semi-submersible or jack-up platform with no shared infrastructure and fewer than 10 wells could range from US$255 million to $US350 million</w:t>
      </w:r>
    </w:p>
    <w:p w14:paraId="6338C660" w14:textId="77777777" w:rsidR="00544C06" w:rsidRPr="00017217" w:rsidRDefault="00544C06" w:rsidP="00544C06">
      <w:pPr>
        <w:numPr>
          <w:ilvl w:val="0"/>
          <w:numId w:val="14"/>
        </w:numPr>
        <w:spacing w:after="160" w:line="259" w:lineRule="auto"/>
        <w:contextualSpacing/>
        <w:rPr>
          <w:rFonts w:ascii="Calibri" w:eastAsia="Calibri" w:hAnsi="Calibri" w:cs="Calibri"/>
        </w:rPr>
      </w:pPr>
      <w:r w:rsidRPr="00017217">
        <w:rPr>
          <w:rFonts w:ascii="Calibri" w:eastAsia="Calibri" w:hAnsi="Calibri" w:cs="Calibri"/>
        </w:rPr>
        <w:t>decommissioning a large, multiple platform project with shared infrastructure and more than 25 wells could range from US$840 million to US$1.8 billion, or more</w:t>
      </w:r>
    </w:p>
    <w:p w14:paraId="141F3B34"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These estimated costs are highly variable, will vary between projects, and do not represent a possible minimum or maximums. Rather they illustrate the range of costs that can reasonably be expected</w:t>
      </w:r>
      <w:r w:rsidRPr="00017217">
        <w:rPr>
          <w:rFonts w:ascii="Calibri" w:eastAsia="Calibri" w:hAnsi="Calibri" w:cs="Calibri"/>
          <w:vertAlign w:val="superscript"/>
        </w:rPr>
        <w:footnoteReference w:id="8"/>
      </w:r>
      <w:r w:rsidRPr="00017217">
        <w:rPr>
          <w:rFonts w:ascii="Calibri" w:eastAsia="Calibri" w:hAnsi="Calibri" w:cs="Calibri"/>
        </w:rPr>
        <w:t xml:space="preserve">. This shows that the cost of implementing the proposed regulatory changes under </w:t>
      </w:r>
      <w:r w:rsidRPr="00017217">
        <w:rPr>
          <w:rFonts w:ascii="Calibri" w:eastAsia="Calibri" w:hAnsi="Calibri" w:cs="Calibri"/>
        </w:rPr>
        <w:br/>
        <w:t>Option 2 are minor in comparison.</w:t>
      </w:r>
    </w:p>
    <w:p w14:paraId="0D2EE3B4"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The department is committed to working with relevant stakeholders to improve the regulatory framework and ensure beneficial outcomes to all stakeholders, including industry and the Australian community. Continuous improvement of the offshore regulatory framework will maintain community confidence in the regime and provide for better regulatory outcomes for both the government and the industry.</w:t>
      </w:r>
    </w:p>
    <w:p w14:paraId="5AE23181" w14:textId="77777777" w:rsidR="00544C06" w:rsidRPr="00017217" w:rsidRDefault="00544C06" w:rsidP="00544C06">
      <w:pPr>
        <w:spacing w:after="160" w:line="259" w:lineRule="auto"/>
        <w:rPr>
          <w:rFonts w:eastAsia="Calibri" w:cs="Times New Roman"/>
          <w:szCs w:val="24"/>
        </w:rPr>
      </w:pPr>
      <w:r w:rsidRPr="00017217">
        <w:rPr>
          <w:rFonts w:ascii="Calibri" w:eastAsia="Calibri" w:hAnsi="Calibri" w:cs="Calibri"/>
        </w:rPr>
        <w:t>The department does not consider that these measures will result in a significant burden on industry and in fact, believes that Option 2 will benefit the offshore oil and gas industry, as improved regulatory practices will increase community confidence and provide greater assurances to the Australian community. In addition, all stakeholders will benefit from a reduction in the financial, environmental and safety risks where a titleholder is unable to meet their decommissioning obligations</w:t>
      </w:r>
      <w:r w:rsidRPr="00017217">
        <w:rPr>
          <w:rFonts w:eastAsia="Calibri" w:cs="Times New Roman"/>
          <w:szCs w:val="24"/>
        </w:rPr>
        <w:t>.</w:t>
      </w:r>
    </w:p>
    <w:p w14:paraId="3291F5C9" w14:textId="77777777" w:rsidR="00544C06" w:rsidRPr="00017217" w:rsidRDefault="00544C06" w:rsidP="00544C06">
      <w:pPr>
        <w:spacing w:after="160" w:line="259" w:lineRule="auto"/>
        <w:rPr>
          <w:rFonts w:ascii="Calibri" w:eastAsia="Calibri" w:hAnsi="Calibri" w:cs="Times New Roman"/>
          <w:sz w:val="48"/>
          <w:szCs w:val="48"/>
        </w:rPr>
      </w:pPr>
      <w:bookmarkStart w:id="81" w:name="_Toc54348569"/>
      <w:bookmarkStart w:id="82" w:name="_Toc54359198"/>
      <w:bookmarkStart w:id="83" w:name="_Toc54360204"/>
      <w:bookmarkStart w:id="84" w:name="_Toc54360262"/>
      <w:r w:rsidRPr="00017217">
        <w:rPr>
          <w:rFonts w:ascii="Calibri" w:eastAsia="Calibri" w:hAnsi="Calibri" w:cs="Times New Roman"/>
          <w:sz w:val="48"/>
          <w:szCs w:val="48"/>
        </w:rPr>
        <w:t>7.</w:t>
      </w:r>
      <w:r w:rsidRPr="00017217">
        <w:rPr>
          <w:rFonts w:ascii="Calibri" w:eastAsia="Calibri" w:hAnsi="Calibri" w:cs="Times New Roman"/>
          <w:sz w:val="48"/>
          <w:szCs w:val="48"/>
        </w:rPr>
        <w:tab/>
        <w:t>Implementation</w:t>
      </w:r>
      <w:bookmarkEnd w:id="81"/>
      <w:bookmarkEnd w:id="82"/>
      <w:bookmarkEnd w:id="83"/>
      <w:bookmarkEnd w:id="84"/>
    </w:p>
    <w:p w14:paraId="248EE44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Calibri"/>
        </w:rPr>
        <w:t>The</w:t>
      </w:r>
      <w:r w:rsidRPr="00017217">
        <w:rPr>
          <w:rFonts w:ascii="Calibri" w:eastAsia="Calibri" w:hAnsi="Calibri" w:cs="Times New Roman"/>
        </w:rPr>
        <w:t xml:space="preserve"> Australian offshore oil and regime is a well-established regulatory framework that has evolved to be mature, reliable and dynamic. The Australian Government reviews and updates the framework, to ensure that the regime remains fit for purpose to meet future challenges while also encouraging investment. It is through this lens, that the proposed changes to the regulatory framework are considered by the department to be ‘business as usual’, in its efforts to continuously improve the offshore regime.</w:t>
      </w:r>
    </w:p>
    <w:p w14:paraId="18D863D8"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The timeframes in delivering and implementing Option 2 will be based on the proposed measures being passed as a legislative bill, expected to be introduced into parliament in early 2021.</w:t>
      </w:r>
    </w:p>
    <w:p w14:paraId="407B0619"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Australia has a relatively mature offshore oil and gas industry, which includes many large-scale operators, with significant experience across a range of jurisdictions. The oil and gas industry is well-</w:t>
      </w:r>
      <w:r w:rsidRPr="00017217">
        <w:rPr>
          <w:rFonts w:ascii="Calibri" w:eastAsia="Calibri" w:hAnsi="Calibri" w:cs="Times New Roman"/>
        </w:rPr>
        <w:lastRenderedPageBreak/>
        <w:t>versed in implementing regulatory change and the department is confident that industry will be able to adapt to the changes.</w:t>
      </w:r>
    </w:p>
    <w:p w14:paraId="4AA5C280"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To ensure that key stakeholders such as the oil and gas industry are informed of the regulatory changes, the department and the regulators are committed to engaging early, efficiently and continuously. The department, NOPTA and NOPSEMA are also liaising with key stakeholder organisations such as APPEA, to ensure that any new regulatory changes are communicated through appropriate channels, to capture smaller operators who may not be aware of the changes. The department, NOPTA and NOPSEMA will also publish new policy and regulatory guidelines on their websites to ensure that appropriate guidance information is easily accessible to all interested stakeholders.</w:t>
      </w:r>
    </w:p>
    <w:p w14:paraId="54238509" w14:textId="77777777" w:rsidR="00544C06" w:rsidRPr="00017217" w:rsidRDefault="00544C06" w:rsidP="00544C06">
      <w:pPr>
        <w:spacing w:after="160" w:line="259" w:lineRule="auto"/>
        <w:rPr>
          <w:rFonts w:ascii="Calibri" w:eastAsia="Calibri" w:hAnsi="Calibri" w:cs="Calibri"/>
        </w:rPr>
      </w:pPr>
      <w:r w:rsidRPr="00017217">
        <w:rPr>
          <w:rFonts w:ascii="Calibri" w:eastAsia="Calibri" w:hAnsi="Calibri" w:cs="Calibri"/>
        </w:rPr>
        <w:t>Option 2 will be evaluated and monitored in a variety of ways. Most notably, the department and the regulators will be able to determine its success if applications are, in fact, received in accordance with new regulatory requirements such as change of control and ownership of titleholders. Additionally, the regulators will get an insight into whether the regulatory changes have been adequately communicated to the industry, based on the level of guidance that they may be required to provide to companies submitting their applications. Similarly, the regulators may gauge how well the oil and gas industry understand the proposed measures based on how much additional information they may seek from applicants seeking to enter the regime.</w:t>
      </w:r>
    </w:p>
    <w:p w14:paraId="71B3909E" w14:textId="77777777" w:rsidR="00544C06" w:rsidRPr="00017217" w:rsidRDefault="00544C06" w:rsidP="00544C06">
      <w:pPr>
        <w:spacing w:after="160" w:line="259" w:lineRule="auto"/>
        <w:rPr>
          <w:rFonts w:ascii="Calibri" w:eastAsia="Calibri" w:hAnsi="Calibri" w:cs="Times New Roman"/>
        </w:rPr>
      </w:pPr>
      <w:r w:rsidRPr="00017217">
        <w:rPr>
          <w:rFonts w:ascii="Calibri" w:eastAsia="Calibri" w:hAnsi="Calibri" w:cs="Times New Roman"/>
        </w:rPr>
        <w:t>A table of the key implementation risks of Option 2 is at Annex 2.</w:t>
      </w:r>
    </w:p>
    <w:p w14:paraId="10C00240" w14:textId="77777777" w:rsidR="00544C06" w:rsidRPr="00017217" w:rsidRDefault="00544C06" w:rsidP="00544C06">
      <w:pPr>
        <w:spacing w:after="160" w:line="259" w:lineRule="auto"/>
        <w:rPr>
          <w:rFonts w:ascii="Calibri" w:eastAsia="Calibri" w:hAnsi="Calibri" w:cs="Times New Roman"/>
          <w:sz w:val="48"/>
          <w:szCs w:val="48"/>
        </w:rPr>
      </w:pPr>
      <w:r w:rsidRPr="00017217">
        <w:rPr>
          <w:rFonts w:ascii="Calibri" w:eastAsia="Calibri" w:hAnsi="Calibri" w:cs="Calibri"/>
        </w:rPr>
        <w:t>Ultimately, as a long-term evaluation of whether Option 2 was successful in addressing the problem statement, the department will consider how many (if any) titleholders are unable to meet their obligations over the next ten, twenty and thirty years. Noting that while it is impossible to completely eliminate the risk of this occurring, consideration can be given to both the number and nature of future situations in which a titleholder is unable to meet its obligations under its title. The department intends to continuously review and improve the offshore regulatory framework, to ensure that these risks are reduced to as low as reasonably practicable.</w:t>
      </w:r>
      <w:r w:rsidRPr="00017217">
        <w:rPr>
          <w:rFonts w:ascii="Calibri" w:eastAsia="Calibri" w:hAnsi="Calibri" w:cs="Calibri"/>
          <w:b/>
        </w:rPr>
        <w:br w:type="page"/>
      </w:r>
      <w:bookmarkStart w:id="85" w:name="_Toc54359199"/>
      <w:bookmarkStart w:id="86" w:name="_Toc54360205"/>
      <w:bookmarkStart w:id="87" w:name="_Toc54360263"/>
      <w:r w:rsidRPr="00017217">
        <w:rPr>
          <w:rFonts w:ascii="Calibri" w:eastAsia="Calibri" w:hAnsi="Calibri" w:cs="Times New Roman"/>
          <w:sz w:val="48"/>
          <w:szCs w:val="48"/>
        </w:rPr>
        <w:lastRenderedPageBreak/>
        <w:t>Annex 1: Costing Assumptions</w:t>
      </w:r>
      <w:bookmarkEnd w:id="85"/>
      <w:bookmarkEnd w:id="86"/>
      <w:bookmarkEnd w:id="87"/>
    </w:p>
    <w:p w14:paraId="312306AD"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Average joint venture (JV) partners per title - </w:t>
      </w:r>
      <w:r w:rsidRPr="00017217">
        <w:rPr>
          <w:rFonts w:ascii="Calibri" w:eastAsia="Calibri" w:hAnsi="Calibri" w:cs="Times New Roman"/>
          <w:b/>
        </w:rPr>
        <w:t>5</w:t>
      </w:r>
      <w:r w:rsidRPr="00017217">
        <w:rPr>
          <w:rFonts w:ascii="Calibri" w:eastAsia="Calibri" w:hAnsi="Calibri" w:cs="Times New Roman"/>
        </w:rPr>
        <w:t xml:space="preserve"> (based on NOPTA Titleholder Reports Jun 17 – Feb 20)</w:t>
      </w:r>
    </w:p>
    <w:p w14:paraId="27C3E1E2"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Number of stakeholders impacted by the measures – </w:t>
      </w:r>
      <w:r w:rsidRPr="00017217">
        <w:rPr>
          <w:rFonts w:ascii="Calibri" w:eastAsia="Calibri" w:hAnsi="Calibri" w:cs="Times New Roman"/>
          <w:b/>
        </w:rPr>
        <w:t>185</w:t>
      </w:r>
      <w:r w:rsidRPr="00017217">
        <w:rPr>
          <w:rFonts w:ascii="Calibri" w:eastAsia="Calibri" w:hAnsi="Calibri" w:cs="Times New Roman"/>
        </w:rPr>
        <w:t xml:space="preserve"> (based on total number of titleholders and a change rate of </w:t>
      </w:r>
      <w:r w:rsidRPr="00017217">
        <w:rPr>
          <w:rFonts w:ascii="Calibri" w:eastAsia="Calibri" w:hAnsi="Calibri" w:cs="Times New Roman"/>
          <w:b/>
        </w:rPr>
        <w:t>8</w:t>
      </w:r>
      <w:r w:rsidRPr="00017217">
        <w:rPr>
          <w:rFonts w:ascii="Calibri" w:eastAsia="Calibri" w:hAnsi="Calibri" w:cs="Times New Roman"/>
        </w:rPr>
        <w:t xml:space="preserve"> new organisations per financial year (FY) from NOPTA Titleholder Reports Jun 17 – Feb 20)</w:t>
      </w:r>
    </w:p>
    <w:p w14:paraId="20BD5613"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Wage rate band of offshore oil and gas companies technical financial / administration employees: </w:t>
      </w:r>
      <w:r w:rsidRPr="00017217">
        <w:rPr>
          <w:rFonts w:ascii="Calibri" w:eastAsia="Calibri" w:hAnsi="Calibri" w:cs="Times New Roman"/>
          <w:b/>
        </w:rPr>
        <w:t>$120 – $150k</w:t>
      </w:r>
      <w:r w:rsidRPr="00017217">
        <w:rPr>
          <w:rFonts w:ascii="Calibri" w:eastAsia="Calibri" w:hAnsi="Calibri" w:cs="Times New Roman"/>
        </w:rPr>
        <w:t xml:space="preserve"> (inclusive of overheads and on-costs) - averaged to </w:t>
      </w:r>
      <w:r w:rsidRPr="00017217">
        <w:rPr>
          <w:rFonts w:ascii="Calibri" w:eastAsia="Calibri" w:hAnsi="Calibri" w:cs="Times New Roman"/>
          <w:b/>
        </w:rPr>
        <w:t>$135k per annum / $121.15 hourly</w:t>
      </w:r>
      <w:r w:rsidRPr="00017217">
        <w:rPr>
          <w:rFonts w:ascii="Calibri" w:eastAsia="Calibri" w:hAnsi="Calibri" w:cs="Times New Roman"/>
        </w:rPr>
        <w:t xml:space="preserve"> (based on reported average industry wage rates)</w:t>
      </w:r>
    </w:p>
    <w:p w14:paraId="1A9BC882"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Wage rate band of CEOs/Directors of offshore oil and gas companies: </w:t>
      </w:r>
      <w:r w:rsidRPr="00017217">
        <w:rPr>
          <w:rFonts w:ascii="Calibri" w:eastAsia="Calibri" w:hAnsi="Calibri" w:cs="Times New Roman"/>
          <w:b/>
        </w:rPr>
        <w:t>$500 – $800k</w:t>
      </w:r>
      <w:r w:rsidRPr="00017217">
        <w:rPr>
          <w:rFonts w:ascii="Calibri" w:eastAsia="Calibri" w:hAnsi="Calibri" w:cs="Times New Roman"/>
        </w:rPr>
        <w:t xml:space="preserve"> (inclusive of overheads and on-costs) - averaged to </w:t>
      </w:r>
      <w:r w:rsidRPr="00017217">
        <w:rPr>
          <w:rFonts w:ascii="Calibri" w:eastAsia="Calibri" w:hAnsi="Calibri" w:cs="Times New Roman"/>
          <w:b/>
        </w:rPr>
        <w:t>$650k per annum/$583.33 hourly</w:t>
      </w:r>
      <w:r w:rsidRPr="00017217">
        <w:rPr>
          <w:rFonts w:ascii="Calibri" w:eastAsia="Calibri" w:hAnsi="Calibri" w:cs="Times New Roman"/>
        </w:rPr>
        <w:t xml:space="preserve"> (based on reported average industry wage rates)</w:t>
      </w:r>
    </w:p>
    <w:p w14:paraId="6567E024"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Average number of directors of offshore oil and gas companies – </w:t>
      </w:r>
      <w:r w:rsidRPr="00017217">
        <w:rPr>
          <w:rFonts w:ascii="Calibri" w:eastAsia="Calibri" w:hAnsi="Calibri" w:cs="Times New Roman"/>
          <w:b/>
        </w:rPr>
        <w:t>12</w:t>
      </w:r>
      <w:r w:rsidRPr="00017217">
        <w:rPr>
          <w:rFonts w:ascii="Calibri" w:eastAsia="Calibri" w:hAnsi="Calibri" w:cs="Times New Roman"/>
        </w:rPr>
        <w:t xml:space="preserve"> (based on reported average industry information)</w:t>
      </w:r>
    </w:p>
    <w:p w14:paraId="5D0EB8C4"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Average time for a single organisation to undertake requirements (based on NOPTA advice):</w:t>
      </w:r>
    </w:p>
    <w:p w14:paraId="18D3226E" w14:textId="77777777" w:rsidR="00544C06" w:rsidRPr="00017217" w:rsidRDefault="00544C06" w:rsidP="00544C06">
      <w:pPr>
        <w:numPr>
          <w:ilvl w:val="1"/>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A technical and financial report application – </w:t>
      </w:r>
      <w:r w:rsidRPr="00017217">
        <w:rPr>
          <w:rFonts w:ascii="Calibri" w:eastAsia="Calibri" w:hAnsi="Calibri" w:cs="Times New Roman"/>
          <w:b/>
        </w:rPr>
        <w:t>6</w:t>
      </w:r>
      <w:r w:rsidRPr="00017217">
        <w:rPr>
          <w:rFonts w:ascii="Calibri" w:eastAsia="Calibri" w:hAnsi="Calibri" w:cs="Times New Roman"/>
        </w:rPr>
        <w:t xml:space="preserve"> hours for </w:t>
      </w:r>
      <w:r w:rsidRPr="00017217">
        <w:rPr>
          <w:rFonts w:ascii="Calibri" w:eastAsia="Calibri" w:hAnsi="Calibri" w:cs="Times New Roman"/>
          <w:b/>
        </w:rPr>
        <w:t>1</w:t>
      </w:r>
      <w:r w:rsidRPr="00017217">
        <w:rPr>
          <w:rFonts w:ascii="Calibri" w:eastAsia="Calibri" w:hAnsi="Calibri" w:cs="Times New Roman"/>
        </w:rPr>
        <w:t xml:space="preserve"> technical financial / administration employee to source and compile information, </w:t>
      </w:r>
      <w:r w:rsidRPr="00017217">
        <w:rPr>
          <w:rFonts w:ascii="Calibri" w:eastAsia="Calibri" w:hAnsi="Calibri" w:cs="Times New Roman"/>
          <w:b/>
        </w:rPr>
        <w:t>1</w:t>
      </w:r>
      <w:r w:rsidRPr="00017217">
        <w:rPr>
          <w:rFonts w:ascii="Calibri" w:eastAsia="Calibri" w:hAnsi="Calibri" w:cs="Times New Roman"/>
        </w:rPr>
        <w:t xml:space="preserve"> hour for </w:t>
      </w:r>
      <w:r w:rsidRPr="00017217">
        <w:rPr>
          <w:rFonts w:ascii="Calibri" w:eastAsia="Calibri" w:hAnsi="Calibri" w:cs="Times New Roman"/>
          <w:b/>
        </w:rPr>
        <w:t>2</w:t>
      </w:r>
      <w:r w:rsidRPr="00017217">
        <w:rPr>
          <w:rFonts w:ascii="Calibri" w:eastAsia="Calibri" w:hAnsi="Calibri" w:cs="Times New Roman"/>
        </w:rPr>
        <w:t xml:space="preserve"> directors required to execute application.</w:t>
      </w:r>
    </w:p>
    <w:p w14:paraId="76DC86A9" w14:textId="77777777" w:rsidR="00544C06" w:rsidRPr="00017217" w:rsidRDefault="00544C06" w:rsidP="00544C06">
      <w:pPr>
        <w:numPr>
          <w:ilvl w:val="1"/>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A fit and proper person declaration and appropriateness criteria application – </w:t>
      </w:r>
      <w:r w:rsidRPr="00017217">
        <w:rPr>
          <w:rFonts w:ascii="Calibri" w:eastAsia="Calibri" w:hAnsi="Calibri" w:cs="Times New Roman"/>
          <w:b/>
        </w:rPr>
        <w:t>2</w:t>
      </w:r>
      <w:r w:rsidRPr="00017217">
        <w:rPr>
          <w:rFonts w:ascii="Calibri" w:eastAsia="Calibri" w:hAnsi="Calibri" w:cs="Times New Roman"/>
        </w:rPr>
        <w:t xml:space="preserve"> hours for </w:t>
      </w:r>
      <w:r w:rsidRPr="00017217">
        <w:rPr>
          <w:rFonts w:ascii="Calibri" w:eastAsia="Calibri" w:hAnsi="Calibri" w:cs="Times New Roman"/>
          <w:b/>
        </w:rPr>
        <w:t>1</w:t>
      </w:r>
      <w:r w:rsidRPr="00017217">
        <w:rPr>
          <w:rFonts w:ascii="Calibri" w:eastAsia="Calibri" w:hAnsi="Calibri" w:cs="Times New Roman"/>
        </w:rPr>
        <w:t xml:space="preserve"> technical financial / administration employee to liaise and compile information, </w:t>
      </w:r>
      <w:r w:rsidRPr="00017217">
        <w:rPr>
          <w:rFonts w:ascii="Calibri" w:eastAsia="Calibri" w:hAnsi="Calibri" w:cs="Times New Roman"/>
          <w:b/>
        </w:rPr>
        <w:t>1</w:t>
      </w:r>
      <w:r w:rsidRPr="00017217">
        <w:rPr>
          <w:rFonts w:ascii="Calibri" w:eastAsia="Calibri" w:hAnsi="Calibri" w:cs="Times New Roman"/>
        </w:rPr>
        <w:t xml:space="preserve"> hour for </w:t>
      </w:r>
      <w:r w:rsidRPr="00017217">
        <w:rPr>
          <w:rFonts w:ascii="Calibri" w:eastAsia="Calibri" w:hAnsi="Calibri" w:cs="Times New Roman"/>
          <w:b/>
        </w:rPr>
        <w:t>1</w:t>
      </w:r>
      <w:r w:rsidRPr="00017217">
        <w:rPr>
          <w:rFonts w:ascii="Calibri" w:eastAsia="Calibri" w:hAnsi="Calibri" w:cs="Times New Roman"/>
        </w:rPr>
        <w:t xml:space="preserve"> director required to execute declaration.</w:t>
      </w:r>
    </w:p>
    <w:p w14:paraId="05270426" w14:textId="77777777" w:rsidR="00544C06" w:rsidRPr="00017217" w:rsidRDefault="00544C06" w:rsidP="00544C06">
      <w:pPr>
        <w:numPr>
          <w:ilvl w:val="1"/>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A change of ownership and control application – </w:t>
      </w:r>
      <w:r w:rsidRPr="00017217">
        <w:rPr>
          <w:rFonts w:ascii="Calibri" w:eastAsia="Calibri" w:hAnsi="Calibri" w:cs="Times New Roman"/>
          <w:b/>
        </w:rPr>
        <w:t>1</w:t>
      </w:r>
      <w:r w:rsidRPr="00017217">
        <w:rPr>
          <w:rFonts w:ascii="Calibri" w:eastAsia="Calibri" w:hAnsi="Calibri" w:cs="Times New Roman"/>
        </w:rPr>
        <w:t xml:space="preserve"> hour for </w:t>
      </w:r>
      <w:r w:rsidRPr="00017217">
        <w:rPr>
          <w:rFonts w:ascii="Calibri" w:eastAsia="Calibri" w:hAnsi="Calibri" w:cs="Times New Roman"/>
          <w:b/>
        </w:rPr>
        <w:t>1</w:t>
      </w:r>
      <w:r w:rsidRPr="00017217">
        <w:rPr>
          <w:rFonts w:ascii="Calibri" w:eastAsia="Calibri" w:hAnsi="Calibri" w:cs="Times New Roman"/>
        </w:rPr>
        <w:t xml:space="preserve"> technical financial / administration employee to source and compile information, </w:t>
      </w:r>
      <w:r w:rsidRPr="00017217">
        <w:rPr>
          <w:rFonts w:ascii="Calibri" w:eastAsia="Calibri" w:hAnsi="Calibri" w:cs="Times New Roman"/>
          <w:b/>
        </w:rPr>
        <w:t>1</w:t>
      </w:r>
      <w:r w:rsidRPr="00017217">
        <w:rPr>
          <w:rFonts w:ascii="Calibri" w:eastAsia="Calibri" w:hAnsi="Calibri" w:cs="Times New Roman"/>
        </w:rPr>
        <w:t xml:space="preserve"> hour for </w:t>
      </w:r>
      <w:r w:rsidRPr="00017217">
        <w:rPr>
          <w:rFonts w:ascii="Calibri" w:eastAsia="Calibri" w:hAnsi="Calibri" w:cs="Times New Roman"/>
          <w:b/>
        </w:rPr>
        <w:t>2</w:t>
      </w:r>
      <w:r w:rsidRPr="00017217">
        <w:rPr>
          <w:rFonts w:ascii="Calibri" w:eastAsia="Calibri" w:hAnsi="Calibri" w:cs="Times New Roman"/>
        </w:rPr>
        <w:t xml:space="preserve"> directors required to execute application.</w:t>
      </w:r>
    </w:p>
    <w:p w14:paraId="44D6D7EF"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Average number of applications NOPTA currently receives requiring technical and financial report applications – </w:t>
      </w:r>
      <w:r w:rsidRPr="00017217">
        <w:rPr>
          <w:rFonts w:ascii="Calibri" w:eastAsia="Calibri" w:hAnsi="Calibri" w:cs="Times New Roman"/>
          <w:b/>
        </w:rPr>
        <w:t>68</w:t>
      </w:r>
      <w:r w:rsidRPr="00017217">
        <w:rPr>
          <w:rFonts w:ascii="Calibri" w:eastAsia="Calibri" w:hAnsi="Calibri" w:cs="Times New Roman"/>
        </w:rPr>
        <w:t xml:space="preserve"> per year (based on NOPTA advice)</w:t>
      </w:r>
    </w:p>
    <w:p w14:paraId="0126B329"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Estimated number of applications NOPTA would receive requiring technical and financial reports under Option 2 – </w:t>
      </w:r>
      <w:r w:rsidRPr="00017217">
        <w:rPr>
          <w:rFonts w:ascii="Calibri" w:eastAsia="Calibri" w:hAnsi="Calibri" w:cs="Times New Roman"/>
          <w:b/>
        </w:rPr>
        <w:t>87</w:t>
      </w:r>
      <w:r w:rsidRPr="00017217">
        <w:rPr>
          <w:rFonts w:ascii="Calibri" w:eastAsia="Calibri" w:hAnsi="Calibri" w:cs="Times New Roman"/>
        </w:rPr>
        <w:t xml:space="preserve"> per year (based on NOPTA advice)</w:t>
      </w:r>
    </w:p>
    <w:p w14:paraId="44B3DC60"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Estimated number of applications NOPTA would receive requiring technical and financial reports under Option 3 – </w:t>
      </w:r>
      <w:r w:rsidRPr="00017217">
        <w:rPr>
          <w:rFonts w:ascii="Calibri" w:eastAsia="Calibri" w:hAnsi="Calibri" w:cs="Times New Roman"/>
          <w:b/>
        </w:rPr>
        <w:t>250</w:t>
      </w:r>
      <w:r w:rsidRPr="00017217">
        <w:rPr>
          <w:rFonts w:ascii="Calibri" w:eastAsia="Calibri" w:hAnsi="Calibri" w:cs="Times New Roman"/>
        </w:rPr>
        <w:t xml:space="preserve"> per year (based on NOPTA advice)</w:t>
      </w:r>
    </w:p>
    <w:p w14:paraId="431A165C"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Estimated number of applications NOPTA would receive fit and proper person declaration and appropriateness criteria under Option 2 – </w:t>
      </w:r>
      <w:r w:rsidRPr="00017217">
        <w:rPr>
          <w:rFonts w:ascii="Calibri" w:eastAsia="Calibri" w:hAnsi="Calibri" w:cs="Times New Roman"/>
          <w:b/>
        </w:rPr>
        <w:t>87</w:t>
      </w:r>
      <w:r w:rsidRPr="00017217">
        <w:rPr>
          <w:rFonts w:ascii="Calibri" w:eastAsia="Calibri" w:hAnsi="Calibri" w:cs="Times New Roman"/>
        </w:rPr>
        <w:t xml:space="preserve"> per year (based on NOPTA advice)</w:t>
      </w:r>
    </w:p>
    <w:p w14:paraId="5AD8914D"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Estimated number of associates NOPTA would require fit and proper person declaration and appropriateness criteria to be completed under Option 3 – </w:t>
      </w:r>
      <w:r w:rsidRPr="00017217">
        <w:rPr>
          <w:rFonts w:ascii="Calibri" w:eastAsia="Calibri" w:hAnsi="Calibri" w:cs="Times New Roman"/>
          <w:b/>
        </w:rPr>
        <w:t>2</w:t>
      </w:r>
      <w:r w:rsidRPr="00017217">
        <w:rPr>
          <w:rFonts w:ascii="Calibri" w:eastAsia="Calibri" w:hAnsi="Calibri" w:cs="Times New Roman"/>
        </w:rPr>
        <w:t xml:space="preserve"> per CEOs/Directors of offshore oil and gas companies with an average hourly cost of </w:t>
      </w:r>
      <w:r w:rsidRPr="00017217">
        <w:rPr>
          <w:rFonts w:ascii="Calibri" w:eastAsia="Calibri" w:hAnsi="Calibri" w:cs="Times New Roman"/>
          <w:b/>
        </w:rPr>
        <w:t>$320.24</w:t>
      </w:r>
      <w:r w:rsidRPr="00017217">
        <w:rPr>
          <w:rFonts w:ascii="Calibri" w:eastAsia="Calibri" w:hAnsi="Calibri" w:cs="Times New Roman"/>
        </w:rPr>
        <w:t>.</w:t>
      </w:r>
    </w:p>
    <w:p w14:paraId="414B148F" w14:textId="77777777" w:rsidR="00544C06" w:rsidRPr="00017217" w:rsidRDefault="00544C06" w:rsidP="00544C06">
      <w:pPr>
        <w:numPr>
          <w:ilvl w:val="0"/>
          <w:numId w:val="12"/>
        </w:numPr>
        <w:spacing w:after="160" w:line="259" w:lineRule="auto"/>
        <w:contextualSpacing/>
        <w:rPr>
          <w:rFonts w:ascii="Calibri" w:eastAsia="Calibri" w:hAnsi="Calibri" w:cs="Times New Roman"/>
        </w:rPr>
      </w:pPr>
      <w:r w:rsidRPr="00017217">
        <w:rPr>
          <w:rFonts w:ascii="Calibri" w:eastAsia="Calibri" w:hAnsi="Calibri" w:cs="Times New Roman"/>
        </w:rPr>
        <w:t xml:space="preserve">Estimated number of change of ownership and control applications NOPTA would receive under Option 2 and 3 – </w:t>
      </w:r>
      <w:r w:rsidRPr="00017217">
        <w:rPr>
          <w:rFonts w:ascii="Calibri" w:eastAsia="Calibri" w:hAnsi="Calibri" w:cs="Times New Roman"/>
          <w:b/>
        </w:rPr>
        <w:t>2</w:t>
      </w:r>
      <w:r w:rsidRPr="00017217">
        <w:rPr>
          <w:rFonts w:ascii="Calibri" w:eastAsia="Calibri" w:hAnsi="Calibri" w:cs="Times New Roman"/>
        </w:rPr>
        <w:t xml:space="preserve"> per year (based on NOPTA Change of Titleholder Company Name Report average Nov 18 – Jul 20).</w:t>
      </w:r>
      <w:r w:rsidRPr="00017217">
        <w:rPr>
          <w:rFonts w:ascii="Calibri" w:eastAsia="Calibri" w:hAnsi="Calibri" w:cs="Times New Roman"/>
        </w:rPr>
        <w:br w:type="page"/>
      </w:r>
    </w:p>
    <w:p w14:paraId="786086C4" w14:textId="77777777" w:rsidR="00544C06" w:rsidRPr="00017217" w:rsidRDefault="00544C06" w:rsidP="00544C06">
      <w:pPr>
        <w:spacing w:after="160" w:line="259" w:lineRule="auto"/>
        <w:rPr>
          <w:rFonts w:ascii="Calibri" w:eastAsia="Calibri" w:hAnsi="Calibri" w:cs="Times New Roman"/>
          <w:sz w:val="48"/>
          <w:szCs w:val="48"/>
        </w:rPr>
      </w:pPr>
      <w:bookmarkStart w:id="88" w:name="_Toc54348570"/>
      <w:bookmarkStart w:id="89" w:name="_Toc54359200"/>
      <w:bookmarkStart w:id="90" w:name="_Toc54360206"/>
      <w:bookmarkStart w:id="91" w:name="_Toc54360264"/>
      <w:r w:rsidRPr="00017217">
        <w:rPr>
          <w:rFonts w:ascii="Calibri" w:eastAsia="Calibri" w:hAnsi="Calibri" w:cs="Times New Roman"/>
          <w:sz w:val="48"/>
          <w:szCs w:val="48"/>
        </w:rPr>
        <w:lastRenderedPageBreak/>
        <w:t>Annex 2: Table of Key Implementation Risks</w:t>
      </w:r>
      <w:bookmarkEnd w:id="88"/>
      <w:bookmarkEnd w:id="89"/>
      <w:bookmarkEnd w:id="90"/>
      <w:bookmarkEnd w:id="91"/>
    </w:p>
    <w:tbl>
      <w:tblPr>
        <w:tblStyle w:val="TableGrid3"/>
        <w:tblW w:w="5000" w:type="pct"/>
        <w:tblLook w:val="04A0" w:firstRow="1" w:lastRow="0" w:firstColumn="1" w:lastColumn="0" w:noHBand="0" w:noVBand="1"/>
      </w:tblPr>
      <w:tblGrid>
        <w:gridCol w:w="2092"/>
        <w:gridCol w:w="2710"/>
        <w:gridCol w:w="3081"/>
        <w:gridCol w:w="1133"/>
      </w:tblGrid>
      <w:tr w:rsidR="00544C06" w:rsidRPr="00017217" w14:paraId="133A9B7D" w14:textId="77777777" w:rsidTr="009C15C9">
        <w:trPr>
          <w:trHeight w:val="562"/>
          <w:tblHeader/>
        </w:trPr>
        <w:tc>
          <w:tcPr>
            <w:tcW w:w="1164" w:type="pct"/>
            <w:shd w:val="clear" w:color="auto" w:fill="F8F8F8"/>
          </w:tcPr>
          <w:p w14:paraId="2A1EFEB9" w14:textId="77777777" w:rsidR="00544C06" w:rsidRPr="00017217" w:rsidRDefault="00544C06" w:rsidP="009C15C9">
            <w:pPr>
              <w:rPr>
                <w:rFonts w:eastAsia="Calibri" w:cs="Times New Roman"/>
              </w:rPr>
            </w:pPr>
            <w:r w:rsidRPr="00017217">
              <w:rPr>
                <w:rFonts w:eastAsia="Calibri" w:cs="Times New Roman"/>
              </w:rPr>
              <w:t>Risk</w:t>
            </w:r>
          </w:p>
        </w:tc>
        <w:tc>
          <w:tcPr>
            <w:tcW w:w="1507" w:type="pct"/>
            <w:shd w:val="clear" w:color="auto" w:fill="F8F8F8"/>
          </w:tcPr>
          <w:p w14:paraId="021EB9E1" w14:textId="77777777" w:rsidR="00544C06" w:rsidRPr="00017217" w:rsidRDefault="00544C06" w:rsidP="009C15C9">
            <w:pPr>
              <w:rPr>
                <w:rFonts w:eastAsia="Calibri" w:cs="Times New Roman"/>
              </w:rPr>
            </w:pPr>
            <w:r w:rsidRPr="00017217">
              <w:rPr>
                <w:rFonts w:eastAsia="Calibri" w:cs="Times New Roman"/>
              </w:rPr>
              <w:t>Consequences</w:t>
            </w:r>
          </w:p>
        </w:tc>
        <w:tc>
          <w:tcPr>
            <w:tcW w:w="1712" w:type="pct"/>
            <w:shd w:val="clear" w:color="auto" w:fill="F8F8F8"/>
          </w:tcPr>
          <w:p w14:paraId="6FCDA8D4" w14:textId="77777777" w:rsidR="00544C06" w:rsidRPr="00017217" w:rsidRDefault="00544C06" w:rsidP="009C15C9">
            <w:pPr>
              <w:rPr>
                <w:rFonts w:eastAsia="Calibri" w:cs="Times New Roman"/>
              </w:rPr>
            </w:pPr>
            <w:r w:rsidRPr="00017217">
              <w:rPr>
                <w:rFonts w:eastAsia="Calibri" w:cs="Times New Roman"/>
              </w:rPr>
              <w:t>Management and Mitigation</w:t>
            </w:r>
          </w:p>
        </w:tc>
        <w:tc>
          <w:tcPr>
            <w:tcW w:w="616" w:type="pct"/>
            <w:shd w:val="clear" w:color="auto" w:fill="F8F8F8"/>
          </w:tcPr>
          <w:p w14:paraId="3FD2C0C8" w14:textId="77777777" w:rsidR="00544C06" w:rsidRPr="00017217" w:rsidRDefault="00544C06" w:rsidP="009C15C9">
            <w:pPr>
              <w:rPr>
                <w:rFonts w:eastAsia="Calibri" w:cs="Times New Roman"/>
              </w:rPr>
            </w:pPr>
            <w:r w:rsidRPr="00017217">
              <w:rPr>
                <w:rFonts w:eastAsia="Calibri" w:cs="Times New Roman"/>
              </w:rPr>
              <w:t>Likelihood</w:t>
            </w:r>
          </w:p>
        </w:tc>
      </w:tr>
      <w:tr w:rsidR="00544C06" w:rsidRPr="00017217" w14:paraId="08BE79B1" w14:textId="77777777" w:rsidTr="009C15C9">
        <w:trPr>
          <w:trHeight w:val="281"/>
        </w:trPr>
        <w:tc>
          <w:tcPr>
            <w:tcW w:w="1164" w:type="pct"/>
          </w:tcPr>
          <w:p w14:paraId="4A6BD44A" w14:textId="77777777" w:rsidR="00544C06" w:rsidRPr="00017217" w:rsidRDefault="00544C06" w:rsidP="009C15C9">
            <w:pPr>
              <w:rPr>
                <w:rFonts w:eastAsia="Calibri" w:cs="Times New Roman"/>
              </w:rPr>
            </w:pPr>
            <w:r w:rsidRPr="00017217">
              <w:rPr>
                <w:rFonts w:eastAsia="Calibri" w:cs="Times New Roman"/>
              </w:rPr>
              <w:t>There are implementation overlaps and/or gaps between the roles and responsibilities of the department, NOPTA and NOPSEMA once regulatory amendments take effect.</w:t>
            </w:r>
          </w:p>
          <w:p w14:paraId="25BBF878" w14:textId="77777777" w:rsidR="00544C06" w:rsidRPr="00017217" w:rsidRDefault="00544C06" w:rsidP="009C15C9">
            <w:pPr>
              <w:rPr>
                <w:rFonts w:eastAsia="Calibri" w:cs="Times New Roman"/>
              </w:rPr>
            </w:pPr>
          </w:p>
        </w:tc>
        <w:tc>
          <w:tcPr>
            <w:tcW w:w="1507" w:type="pct"/>
          </w:tcPr>
          <w:p w14:paraId="3737E86A" w14:textId="77777777" w:rsidR="00544C06" w:rsidRPr="00017217" w:rsidRDefault="00544C06" w:rsidP="009C15C9">
            <w:pPr>
              <w:rPr>
                <w:rFonts w:eastAsia="Calibri" w:cs="Times New Roman"/>
              </w:rPr>
            </w:pPr>
            <w:r w:rsidRPr="00017217">
              <w:rPr>
                <w:rFonts w:eastAsia="Calibri" w:cs="Times New Roman"/>
                <w:i/>
              </w:rPr>
              <w:t>Major</w:t>
            </w:r>
            <w:r w:rsidRPr="00017217">
              <w:rPr>
                <w:rFonts w:eastAsia="Calibri" w:cs="Times New Roman"/>
              </w:rPr>
              <w:t xml:space="preserve"> – There are gaps in regulatory oversight that may result in financial risks not being mitigated.</w:t>
            </w:r>
          </w:p>
          <w:p w14:paraId="76DBF5A8" w14:textId="77777777" w:rsidR="00544C06" w:rsidRPr="00017217" w:rsidRDefault="00544C06" w:rsidP="009C15C9">
            <w:pPr>
              <w:rPr>
                <w:rFonts w:eastAsia="Calibri" w:cs="Times New Roman"/>
              </w:rPr>
            </w:pPr>
          </w:p>
          <w:p w14:paraId="6F6C3559" w14:textId="77777777" w:rsidR="00544C06" w:rsidRPr="00017217" w:rsidRDefault="00544C06" w:rsidP="009C15C9">
            <w:pPr>
              <w:rPr>
                <w:rFonts w:eastAsia="Calibri" w:cs="Times New Roman"/>
              </w:rPr>
            </w:pPr>
            <w:r w:rsidRPr="00017217">
              <w:rPr>
                <w:rFonts w:eastAsia="Calibri" w:cs="Times New Roman"/>
                <w:i/>
              </w:rPr>
              <w:t xml:space="preserve">Minor </w:t>
            </w:r>
            <w:r w:rsidRPr="00017217">
              <w:rPr>
                <w:rFonts w:eastAsia="Calibri" w:cs="Times New Roman"/>
              </w:rPr>
              <w:t>– Duplication of duties results in additional regulatory burden on the department, NOPTA or NOPSEMA as well as industry.</w:t>
            </w:r>
          </w:p>
        </w:tc>
        <w:tc>
          <w:tcPr>
            <w:tcW w:w="1712" w:type="pct"/>
          </w:tcPr>
          <w:p w14:paraId="25479956" w14:textId="77777777" w:rsidR="00544C06" w:rsidRPr="00017217" w:rsidRDefault="00544C06" w:rsidP="009C15C9">
            <w:pPr>
              <w:rPr>
                <w:rFonts w:eastAsia="Calibri" w:cs="Times New Roman"/>
              </w:rPr>
            </w:pPr>
            <w:r w:rsidRPr="00017217">
              <w:rPr>
                <w:rFonts w:eastAsia="Calibri" w:cs="Times New Roman"/>
              </w:rPr>
              <w:t>Ongoing and early engagement between the department, NOPTA and NOPSEMA to ensure all parties are clear on their role and responsibilities in implementing the regulatory changes.</w:t>
            </w:r>
          </w:p>
        </w:tc>
        <w:tc>
          <w:tcPr>
            <w:tcW w:w="616" w:type="pct"/>
          </w:tcPr>
          <w:p w14:paraId="46D2316A" w14:textId="77777777" w:rsidR="00544C06" w:rsidRPr="00017217" w:rsidRDefault="00544C06" w:rsidP="009C15C9">
            <w:pPr>
              <w:rPr>
                <w:rFonts w:eastAsia="Calibri" w:cs="Times New Roman"/>
              </w:rPr>
            </w:pPr>
            <w:r w:rsidRPr="00017217">
              <w:rPr>
                <w:rFonts w:eastAsia="Calibri" w:cs="Times New Roman"/>
              </w:rPr>
              <w:t>Low</w:t>
            </w:r>
          </w:p>
        </w:tc>
      </w:tr>
      <w:tr w:rsidR="00544C06" w:rsidRPr="00017217" w14:paraId="2152E1A8" w14:textId="77777777" w:rsidTr="009C15C9">
        <w:trPr>
          <w:trHeight w:val="281"/>
        </w:trPr>
        <w:tc>
          <w:tcPr>
            <w:tcW w:w="1164" w:type="pct"/>
          </w:tcPr>
          <w:p w14:paraId="0E4F2809" w14:textId="77777777" w:rsidR="00544C06" w:rsidRPr="00017217" w:rsidRDefault="00544C06" w:rsidP="009C15C9">
            <w:pPr>
              <w:rPr>
                <w:rFonts w:eastAsia="Calibri" w:cs="Times New Roman"/>
              </w:rPr>
            </w:pPr>
            <w:r w:rsidRPr="00017217">
              <w:rPr>
                <w:rFonts w:eastAsia="Calibri" w:cs="Times New Roman"/>
              </w:rPr>
              <w:t>Regulatory/policy guidance material and internal systems and processes are not amended or updated before measures are implemented.</w:t>
            </w:r>
          </w:p>
        </w:tc>
        <w:tc>
          <w:tcPr>
            <w:tcW w:w="1507" w:type="pct"/>
          </w:tcPr>
          <w:p w14:paraId="0DBFA59C" w14:textId="77777777" w:rsidR="00544C06" w:rsidRPr="00017217" w:rsidRDefault="00544C06" w:rsidP="009C15C9">
            <w:pPr>
              <w:rPr>
                <w:rFonts w:eastAsia="Calibri" w:cs="Times New Roman"/>
              </w:rPr>
            </w:pPr>
            <w:r w:rsidRPr="00017217">
              <w:rPr>
                <w:rFonts w:eastAsia="Calibri" w:cs="Times New Roman"/>
                <w:i/>
              </w:rPr>
              <w:t>Minor</w:t>
            </w:r>
            <w:r w:rsidRPr="00017217">
              <w:rPr>
                <w:rFonts w:eastAsia="Calibri" w:cs="Times New Roman"/>
              </w:rPr>
              <w:t xml:space="preserve"> – Companies will be unable to find appropriate guidance material as to how the measures will be implemented and may not comply with new requirements.</w:t>
            </w:r>
          </w:p>
        </w:tc>
        <w:tc>
          <w:tcPr>
            <w:tcW w:w="1712" w:type="pct"/>
          </w:tcPr>
          <w:p w14:paraId="0C40F7F7" w14:textId="77777777" w:rsidR="00544C06" w:rsidRPr="00017217" w:rsidRDefault="00544C06" w:rsidP="009C15C9">
            <w:pPr>
              <w:rPr>
                <w:rFonts w:eastAsia="Calibri" w:cs="Times New Roman"/>
              </w:rPr>
            </w:pPr>
            <w:r w:rsidRPr="00017217">
              <w:rPr>
                <w:rFonts w:eastAsia="Calibri" w:cs="Times New Roman"/>
              </w:rPr>
              <w:t>To mitigate this risk, the department is committed to working with the NOPTA and NOPSEMA in order to ensure that all policy and regulatory guidance materials are updated prior to implementation, to reflect changes in the regulatory framework and explain the policy and operation and effects of such changes.</w:t>
            </w:r>
          </w:p>
          <w:p w14:paraId="33756B3D" w14:textId="77777777" w:rsidR="00544C06" w:rsidRPr="00017217" w:rsidRDefault="00544C06" w:rsidP="009C15C9">
            <w:pPr>
              <w:rPr>
                <w:rFonts w:eastAsia="Calibri" w:cs="Times New Roman"/>
              </w:rPr>
            </w:pPr>
          </w:p>
        </w:tc>
        <w:tc>
          <w:tcPr>
            <w:tcW w:w="616" w:type="pct"/>
          </w:tcPr>
          <w:p w14:paraId="3A9FD8F4" w14:textId="77777777" w:rsidR="00544C06" w:rsidRPr="00017217" w:rsidRDefault="00544C06" w:rsidP="009C15C9">
            <w:pPr>
              <w:rPr>
                <w:rFonts w:eastAsia="Calibri" w:cs="Times New Roman"/>
              </w:rPr>
            </w:pPr>
            <w:r w:rsidRPr="00017217">
              <w:rPr>
                <w:rFonts w:eastAsia="Calibri" w:cs="Times New Roman"/>
              </w:rPr>
              <w:t>Low</w:t>
            </w:r>
          </w:p>
        </w:tc>
      </w:tr>
      <w:tr w:rsidR="00544C06" w:rsidRPr="00BE3DB0" w14:paraId="60772836" w14:textId="77777777" w:rsidTr="009C15C9">
        <w:trPr>
          <w:trHeight w:val="290"/>
        </w:trPr>
        <w:tc>
          <w:tcPr>
            <w:tcW w:w="1164" w:type="pct"/>
          </w:tcPr>
          <w:p w14:paraId="03A7BBC8" w14:textId="77777777" w:rsidR="00544C06" w:rsidRPr="00017217" w:rsidRDefault="00544C06" w:rsidP="009C15C9">
            <w:pPr>
              <w:rPr>
                <w:rFonts w:eastAsia="Calibri" w:cs="Times New Roman"/>
              </w:rPr>
            </w:pPr>
            <w:r w:rsidRPr="00017217">
              <w:rPr>
                <w:rFonts w:eastAsia="Calibri" w:cs="Times New Roman"/>
              </w:rPr>
              <w:t>Changes to the regulatory framework are not implemented by NOPTA and/or NOPSEMA.</w:t>
            </w:r>
          </w:p>
          <w:p w14:paraId="54DBA1A6" w14:textId="77777777" w:rsidR="00544C06" w:rsidRPr="00017217" w:rsidRDefault="00544C06" w:rsidP="009C15C9">
            <w:pPr>
              <w:rPr>
                <w:rFonts w:eastAsia="Calibri" w:cs="Times New Roman"/>
              </w:rPr>
            </w:pPr>
          </w:p>
        </w:tc>
        <w:tc>
          <w:tcPr>
            <w:tcW w:w="1507" w:type="pct"/>
          </w:tcPr>
          <w:p w14:paraId="08D54DC7" w14:textId="77777777" w:rsidR="00544C06" w:rsidRPr="00017217" w:rsidRDefault="00544C06" w:rsidP="009C15C9">
            <w:pPr>
              <w:rPr>
                <w:rFonts w:eastAsia="Calibri" w:cs="Times New Roman"/>
              </w:rPr>
            </w:pPr>
            <w:r w:rsidRPr="00017217">
              <w:rPr>
                <w:rFonts w:eastAsia="Calibri" w:cs="Times New Roman"/>
                <w:i/>
              </w:rPr>
              <w:t>Major</w:t>
            </w:r>
            <w:r w:rsidRPr="00017217">
              <w:rPr>
                <w:rFonts w:eastAsia="Calibri" w:cs="Times New Roman"/>
              </w:rPr>
              <w:t xml:space="preserve"> – The regulatory framework is not improved and risk of unsuitable entrants entering into the offshore regime at key gateways is not mitigated and the Australian taxpayer may be left to meet significant financial liabilities.</w:t>
            </w:r>
          </w:p>
          <w:p w14:paraId="7A15710E" w14:textId="77777777" w:rsidR="00544C06" w:rsidRPr="00017217" w:rsidRDefault="00544C06" w:rsidP="009C15C9">
            <w:pPr>
              <w:rPr>
                <w:rFonts w:eastAsia="Calibri" w:cs="Calibri"/>
              </w:rPr>
            </w:pPr>
          </w:p>
        </w:tc>
        <w:tc>
          <w:tcPr>
            <w:tcW w:w="1712" w:type="pct"/>
          </w:tcPr>
          <w:p w14:paraId="239F14E8" w14:textId="77777777" w:rsidR="00544C06" w:rsidRPr="00017217" w:rsidRDefault="00544C06" w:rsidP="009C15C9">
            <w:pPr>
              <w:rPr>
                <w:rFonts w:eastAsia="Calibri" w:cs="Times New Roman"/>
              </w:rPr>
            </w:pPr>
            <w:r w:rsidRPr="00017217">
              <w:rPr>
                <w:rFonts w:eastAsia="Calibri" w:cs="Times New Roman"/>
              </w:rPr>
              <w:t xml:space="preserve">The department will liaise regularly with NOPTA and NOPSEMA to ensure that they have all the information and assistance that they require to administer these measures to meet the policy objectives. </w:t>
            </w:r>
          </w:p>
        </w:tc>
        <w:tc>
          <w:tcPr>
            <w:tcW w:w="616" w:type="pct"/>
          </w:tcPr>
          <w:p w14:paraId="28F1D4A3" w14:textId="77777777" w:rsidR="00544C06" w:rsidRPr="00BE3DB0" w:rsidRDefault="00544C06" w:rsidP="009C15C9">
            <w:pPr>
              <w:rPr>
                <w:rFonts w:eastAsia="Calibri" w:cs="Times New Roman"/>
              </w:rPr>
            </w:pPr>
            <w:r w:rsidRPr="00017217">
              <w:rPr>
                <w:rFonts w:eastAsia="Calibri" w:cs="Times New Roman"/>
              </w:rPr>
              <w:t>Low</w:t>
            </w:r>
          </w:p>
        </w:tc>
      </w:tr>
      <w:bookmarkEnd w:id="56"/>
    </w:tbl>
    <w:p w14:paraId="564E85E5" w14:textId="77777777" w:rsidR="00544C06" w:rsidRPr="00BE3DB0" w:rsidRDefault="00544C06" w:rsidP="00544C06">
      <w:pPr>
        <w:spacing w:after="0" w:line="240" w:lineRule="auto"/>
        <w:rPr>
          <w:rFonts w:ascii="Calibri" w:eastAsia="Calibri" w:hAnsi="Calibri" w:cs="Times New Roman"/>
        </w:rPr>
      </w:pPr>
    </w:p>
    <w:p w14:paraId="1D7379B6" w14:textId="77777777" w:rsidR="00544C06" w:rsidRDefault="00544C06" w:rsidP="00544C06">
      <w:pPr>
        <w:spacing w:before="120" w:after="120"/>
      </w:pPr>
    </w:p>
    <w:p w14:paraId="7210F496" w14:textId="77777777" w:rsidR="00544C06" w:rsidRPr="00547F8D" w:rsidRDefault="00544C06" w:rsidP="00544C06">
      <w:pPr>
        <w:spacing w:before="240" w:after="240"/>
        <w:rPr>
          <w:rFonts w:ascii="Times New Roman" w:hAnsi="Times New Roman" w:cs="Times New Roman"/>
          <w:b/>
          <w:sz w:val="24"/>
          <w:szCs w:val="24"/>
        </w:rPr>
      </w:pPr>
    </w:p>
    <w:p w14:paraId="2E77DC2D"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F6DA1" w14:textId="77777777" w:rsidR="00D61E3F" w:rsidRDefault="00D61E3F" w:rsidP="00544C06">
      <w:pPr>
        <w:spacing w:after="0" w:line="240" w:lineRule="auto"/>
      </w:pPr>
      <w:r>
        <w:separator/>
      </w:r>
    </w:p>
  </w:endnote>
  <w:endnote w:type="continuationSeparator" w:id="0">
    <w:p w14:paraId="6837EA6A" w14:textId="77777777" w:rsidR="00D61E3F" w:rsidRDefault="00D61E3F" w:rsidP="0054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26007"/>
      <w:docPartObj>
        <w:docPartGallery w:val="Page Numbers (Bottom of Page)"/>
        <w:docPartUnique/>
      </w:docPartObj>
    </w:sdtPr>
    <w:sdtEndPr>
      <w:rPr>
        <w:noProof/>
      </w:rPr>
    </w:sdtEndPr>
    <w:sdtContent>
      <w:p w14:paraId="0CA93E4A" w14:textId="22795E8B" w:rsidR="001A210F" w:rsidRDefault="001A210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2E13EF" w14:textId="77777777" w:rsidR="001A210F" w:rsidRDefault="001A2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0E85" w14:textId="6F7CDA53" w:rsidR="00D61E3F" w:rsidRDefault="001A210F" w:rsidP="009C15C9">
    <w:pPr>
      <w:pStyle w:val="Footer"/>
      <w:jc w:val="right"/>
      <w:rPr>
        <w:noProof/>
      </w:rPr>
    </w:pPr>
    <w:sdt>
      <w:sdtPr>
        <w:alias w:val="Title"/>
        <w:tag w:val=""/>
        <w:id w:val="229891692"/>
        <w:dataBinding w:prefixMappings="xmlns:ns0='http://purl.org/dc/elements/1.1/' xmlns:ns1='http://schemas.openxmlformats.org/package/2006/metadata/core-properties' " w:xpath="/ns1:coreProperties[1]/ns0:title[1]" w:storeItemID="{6C3C8BC8-F283-45AE-878A-BAB7291924A1}"/>
        <w:text/>
      </w:sdtPr>
      <w:sdtEndPr/>
      <w:sdtContent>
        <w:r w:rsidR="00D61E3F">
          <w:t>Regulatory Impact Statement</w:t>
        </w:r>
      </w:sdtContent>
    </w:sdt>
    <w:r w:rsidR="00D61E3F">
      <w:tab/>
      <w:t>industry.gov.au</w:t>
    </w:r>
    <w:r w:rsidR="00D61E3F">
      <w:tab/>
    </w:r>
    <w:sdt>
      <w:sdtPr>
        <w:id w:val="1359851742"/>
        <w:docPartObj>
          <w:docPartGallery w:val="Page Numbers (Bottom of Page)"/>
          <w:docPartUnique/>
        </w:docPartObj>
      </w:sdtPr>
      <w:sdtEndPr>
        <w:rPr>
          <w:noProof/>
        </w:rPr>
      </w:sdtEndPr>
      <w:sdtContent>
        <w:r w:rsidR="00D61E3F">
          <w:fldChar w:fldCharType="begin"/>
        </w:r>
        <w:r w:rsidR="00D61E3F">
          <w:instrText xml:space="preserve"> PAGE   \* MERGEFORMAT </w:instrText>
        </w:r>
        <w:r w:rsidR="00D61E3F">
          <w:fldChar w:fldCharType="separate"/>
        </w:r>
        <w:r>
          <w:rPr>
            <w:noProof/>
          </w:rPr>
          <w:t>4</w:t>
        </w:r>
        <w:r w:rsidR="00D61E3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114B0" w14:textId="77777777" w:rsidR="00D61E3F" w:rsidRDefault="00D61E3F" w:rsidP="00544C06">
      <w:pPr>
        <w:spacing w:after="0" w:line="240" w:lineRule="auto"/>
      </w:pPr>
      <w:r>
        <w:separator/>
      </w:r>
    </w:p>
  </w:footnote>
  <w:footnote w:type="continuationSeparator" w:id="0">
    <w:p w14:paraId="348F3C94" w14:textId="77777777" w:rsidR="00D61E3F" w:rsidRDefault="00D61E3F" w:rsidP="00544C06">
      <w:pPr>
        <w:spacing w:after="0" w:line="240" w:lineRule="auto"/>
      </w:pPr>
      <w:r>
        <w:continuationSeparator/>
      </w:r>
    </w:p>
  </w:footnote>
  <w:footnote w:id="1">
    <w:p w14:paraId="1A0F7489" w14:textId="77777777" w:rsidR="00D61E3F" w:rsidRDefault="00D61E3F" w:rsidP="00544C06">
      <w:pPr>
        <w:pStyle w:val="FootnoteText"/>
      </w:pPr>
      <w:r>
        <w:rPr>
          <w:rStyle w:val="FootnoteReference"/>
        </w:rPr>
        <w:footnoteRef/>
      </w:r>
      <w:r>
        <w:t xml:space="preserve"> Department of Industry, Science, Energy and Resources, Commonwealth of Australia Resources and Energy Quarterly September 2020, p 67.</w:t>
      </w:r>
    </w:p>
  </w:footnote>
  <w:footnote w:id="2">
    <w:p w14:paraId="5DF66217" w14:textId="77777777" w:rsidR="00D61E3F" w:rsidRDefault="00D61E3F" w:rsidP="00544C06">
      <w:pPr>
        <w:pStyle w:val="FootnoteText"/>
      </w:pPr>
      <w:r>
        <w:rPr>
          <w:rStyle w:val="FootnoteReference"/>
        </w:rPr>
        <w:footnoteRef/>
      </w:r>
      <w:r>
        <w:t xml:space="preserve"> Estimated by Wood Mackenzie and assumes all infrastructure will be removed with no life extension activities.</w:t>
      </w:r>
    </w:p>
  </w:footnote>
  <w:footnote w:id="3">
    <w:p w14:paraId="501E00A5" w14:textId="77777777" w:rsidR="00D61E3F" w:rsidRDefault="00D61E3F" w:rsidP="00544C06">
      <w:pPr>
        <w:pStyle w:val="FootnoteText"/>
      </w:pPr>
      <w:r>
        <w:rPr>
          <w:rStyle w:val="FootnoteReference"/>
        </w:rPr>
        <w:footnoteRef/>
      </w:r>
      <w:r>
        <w:t xml:space="preserve"> Estimated by Wood Mackenzie and assumes all infrastructure will be removed with no life extension activities.</w:t>
      </w:r>
    </w:p>
  </w:footnote>
  <w:footnote w:id="4">
    <w:p w14:paraId="2A0B902F" w14:textId="77777777" w:rsidR="00D61E3F" w:rsidRDefault="00D61E3F" w:rsidP="00544C06">
      <w:pPr>
        <w:pStyle w:val="FootnoteText"/>
      </w:pPr>
      <w:r>
        <w:rPr>
          <w:rStyle w:val="FootnoteReference"/>
        </w:rPr>
        <w:footnoteRef/>
      </w:r>
      <w:r>
        <w:t xml:space="preserve"> Estimated by Wood Mackenzie and assumes all infrastructure will be removed with no life extension activities.</w:t>
      </w:r>
    </w:p>
  </w:footnote>
  <w:footnote w:id="5">
    <w:p w14:paraId="18A7378A" w14:textId="77777777" w:rsidR="00D61E3F" w:rsidRPr="009C5485" w:rsidRDefault="00D61E3F" w:rsidP="00544C06">
      <w:pPr>
        <w:pStyle w:val="FootnoteText"/>
      </w:pPr>
      <w:r>
        <w:rPr>
          <w:rStyle w:val="FootnoteReference"/>
        </w:rPr>
        <w:footnoteRef/>
      </w:r>
      <w:r>
        <w:t xml:space="preserve"> </w:t>
      </w:r>
      <w:r w:rsidRPr="009C5485">
        <w:t>https://www.nopta.gov.au/about.html</w:t>
      </w:r>
    </w:p>
  </w:footnote>
  <w:footnote w:id="6">
    <w:p w14:paraId="620A6227" w14:textId="77777777" w:rsidR="00D61E3F" w:rsidRPr="009C5485" w:rsidRDefault="00D61E3F" w:rsidP="00544C06">
      <w:pPr>
        <w:pStyle w:val="FootnoteText"/>
      </w:pPr>
      <w:r>
        <w:rPr>
          <w:rStyle w:val="FootnoteReference"/>
        </w:rPr>
        <w:footnoteRef/>
      </w:r>
      <w:r>
        <w:t xml:space="preserve"> </w:t>
      </w:r>
      <w:r w:rsidRPr="009C5485">
        <w:t>https://www.nopsema.gov.au/about/</w:t>
      </w:r>
    </w:p>
  </w:footnote>
  <w:footnote w:id="7">
    <w:p w14:paraId="436454C6" w14:textId="77777777" w:rsidR="00D61E3F" w:rsidRPr="00802C9B" w:rsidRDefault="00D61E3F" w:rsidP="00544C06">
      <w:pPr>
        <w:pStyle w:val="FootnoteText"/>
      </w:pPr>
      <w:r>
        <w:rPr>
          <w:rStyle w:val="FootnoteReference"/>
        </w:rPr>
        <w:footnoteRef/>
      </w:r>
      <w:r>
        <w:t xml:space="preserve"> Estimated costs of decommissioning were obtained from NERA and are industry-reflective. Costs will depend on the size, scope and complexity of operations.</w:t>
      </w:r>
    </w:p>
  </w:footnote>
  <w:footnote w:id="8">
    <w:p w14:paraId="7B150B44" w14:textId="77777777" w:rsidR="00D61E3F" w:rsidRPr="00802C9B" w:rsidRDefault="00D61E3F" w:rsidP="00544C06">
      <w:pPr>
        <w:pStyle w:val="FootnoteText"/>
      </w:pPr>
      <w:r>
        <w:rPr>
          <w:rStyle w:val="FootnoteReference"/>
        </w:rPr>
        <w:footnoteRef/>
      </w:r>
      <w:r>
        <w:t xml:space="preserve"> Estimated costs of decommissioning were obtained from NERA and are industry-reflective. Costs will depend on the size, scope and complexity of operations.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2D87D" w14:textId="77777777" w:rsidR="00D61E3F" w:rsidRDefault="00D61E3F">
    <w:pPr>
      <w:pStyle w:val="Header"/>
    </w:pPr>
    <w:r>
      <w:rPr>
        <w:noProof/>
        <w:lang w:eastAsia="en-AU"/>
      </w:rPr>
      <mc:AlternateContent>
        <mc:Choice Requires="wps">
          <w:drawing>
            <wp:anchor distT="0" distB="0" distL="114300" distR="114300" simplePos="0" relativeHeight="251660288" behindDoc="1" locked="0" layoutInCell="1" allowOverlap="1" wp14:anchorId="2C0F185F" wp14:editId="5A26B207">
              <wp:simplePos x="0" y="0"/>
              <wp:positionH relativeFrom="page">
                <wp:align>left</wp:align>
              </wp:positionH>
              <wp:positionV relativeFrom="page">
                <wp:align>top</wp:align>
              </wp:positionV>
              <wp:extent cx="7560000" cy="10692000"/>
              <wp:effectExtent l="0" t="0" r="22225" b="14605"/>
              <wp:wrapNone/>
              <wp:docPr id="19" name="Rectangle 19"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flip="none" rotWithShape="1">
                        <a:gsLst>
                          <a:gs pos="0">
                            <a:srgbClr val="000000">
                              <a:tint val="66000"/>
                              <a:satMod val="160000"/>
                            </a:srgbClr>
                          </a:gs>
                          <a:gs pos="50000">
                            <a:srgbClr val="000000">
                              <a:tint val="44500"/>
                              <a:satMod val="160000"/>
                            </a:srgbClr>
                          </a:gs>
                          <a:gs pos="100000">
                            <a:srgbClr val="000000">
                              <a:tint val="23500"/>
                              <a:satMod val="160000"/>
                            </a:srgbClr>
                          </a:gs>
                        </a:gsLst>
                        <a:lin ang="18900000" scaled="1"/>
                        <a:tileRect/>
                      </a:gradFill>
                      <a:ln w="12700" cap="flat" cmpd="sng" algn="ctr">
                        <a:solidFill>
                          <a:srgbClr val="93959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E04F6" id="Rectangle 19" o:spid="_x0000_s1026" alt="Title: Departmental background colour gradient - Description: Departmental background colour gradient"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" fillcolor="#9e9e9e" strokecolor="#6b6c6e" strokeweight="1pt">
              <v:fill color2="#e3e3e3" rotate="t" angle="135" colors="0 #9e9e9e;.5 #c4c4c4;1 #e3e3e3" focus="100%" type="gradient"/>
              <w10:wrap anchorx="page" anchory="page"/>
            </v:rect>
          </w:pict>
        </mc:Fallback>
      </mc:AlternateContent>
    </w:r>
    <w:r w:rsidRPr="00180BF8">
      <w:rPr>
        <w:noProof/>
        <w:lang w:eastAsia="en-AU"/>
      </w:rPr>
      <w:drawing>
        <wp:inline distT="0" distB="0" distL="0" distR="0" wp14:anchorId="19889541" wp14:editId="27D2A8DE">
          <wp:extent cx="2696400" cy="698400"/>
          <wp:effectExtent l="0" t="0" r="0" b="6985"/>
          <wp:docPr id="20" name="Picture 20" descr="Australian Government | Department of Industry, Science, Energy and Resources logo" title="Australian Government | 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6400" cy="6984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F5511"/>
    <w:multiLevelType w:val="hybridMultilevel"/>
    <w:tmpl w:val="6BCCD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95E44"/>
    <w:multiLevelType w:val="hybridMultilevel"/>
    <w:tmpl w:val="396E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FD31FB"/>
    <w:multiLevelType w:val="hybridMultilevel"/>
    <w:tmpl w:val="2F08C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127E8A"/>
    <w:multiLevelType w:val="hybridMultilevel"/>
    <w:tmpl w:val="D3447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691456"/>
    <w:multiLevelType w:val="hybridMultilevel"/>
    <w:tmpl w:val="AAB0B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3F1AFE"/>
    <w:multiLevelType w:val="hybridMultilevel"/>
    <w:tmpl w:val="8A5A3840"/>
    <w:lvl w:ilvl="0" w:tplc="C250320E">
      <w:start w:val="2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2E10FD"/>
    <w:multiLevelType w:val="hybridMultilevel"/>
    <w:tmpl w:val="A154A084"/>
    <w:lvl w:ilvl="0" w:tplc="A6EACFDA">
      <w:numFmt w:val="bullet"/>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184053"/>
    <w:multiLevelType w:val="hybridMultilevel"/>
    <w:tmpl w:val="FA621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5074E5"/>
    <w:multiLevelType w:val="hybridMultilevel"/>
    <w:tmpl w:val="911412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B63BBE"/>
    <w:multiLevelType w:val="hybridMultilevel"/>
    <w:tmpl w:val="393C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5C2CC7"/>
    <w:multiLevelType w:val="hybridMultilevel"/>
    <w:tmpl w:val="26F04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A93F93"/>
    <w:multiLevelType w:val="hybridMultilevel"/>
    <w:tmpl w:val="4C720A9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7E653B2B"/>
    <w:multiLevelType w:val="hybridMultilevel"/>
    <w:tmpl w:val="411E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F23947"/>
    <w:multiLevelType w:val="hybridMultilevel"/>
    <w:tmpl w:val="0BD65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5"/>
  </w:num>
  <w:num w:numId="5">
    <w:abstractNumId w:val="9"/>
  </w:num>
  <w:num w:numId="6">
    <w:abstractNumId w:val="2"/>
  </w:num>
  <w:num w:numId="7">
    <w:abstractNumId w:val="7"/>
  </w:num>
  <w:num w:numId="8">
    <w:abstractNumId w:val="11"/>
  </w:num>
  <w:num w:numId="9">
    <w:abstractNumId w:val="3"/>
  </w:num>
  <w:num w:numId="10">
    <w:abstractNumId w:val="12"/>
  </w:num>
  <w:num w:numId="11">
    <w:abstractNumId w:val="6"/>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1F26"/>
    <w:rsid w:val="000263AB"/>
    <w:rsid w:val="00033A0E"/>
    <w:rsid w:val="0003582B"/>
    <w:rsid w:val="00042CAA"/>
    <w:rsid w:val="00046E7F"/>
    <w:rsid w:val="0005028E"/>
    <w:rsid w:val="00053C1C"/>
    <w:rsid w:val="00055FD8"/>
    <w:rsid w:val="00060291"/>
    <w:rsid w:val="00063491"/>
    <w:rsid w:val="00080890"/>
    <w:rsid w:val="00092D94"/>
    <w:rsid w:val="0009671D"/>
    <w:rsid w:val="000A2700"/>
    <w:rsid w:val="000A3D84"/>
    <w:rsid w:val="000A3EA4"/>
    <w:rsid w:val="000B6003"/>
    <w:rsid w:val="000B76AD"/>
    <w:rsid w:val="000C2F9B"/>
    <w:rsid w:val="000C3A60"/>
    <w:rsid w:val="000C3A71"/>
    <w:rsid w:val="000D0E22"/>
    <w:rsid w:val="000E2642"/>
    <w:rsid w:val="000E7DAA"/>
    <w:rsid w:val="000F7975"/>
    <w:rsid w:val="0012318B"/>
    <w:rsid w:val="00124FC9"/>
    <w:rsid w:val="0013767C"/>
    <w:rsid w:val="00143867"/>
    <w:rsid w:val="00151E77"/>
    <w:rsid w:val="00161ACF"/>
    <w:rsid w:val="001763CB"/>
    <w:rsid w:val="00176597"/>
    <w:rsid w:val="00190180"/>
    <w:rsid w:val="00190779"/>
    <w:rsid w:val="001A210F"/>
    <w:rsid w:val="001A3EF3"/>
    <w:rsid w:val="001A73D3"/>
    <w:rsid w:val="001B67BD"/>
    <w:rsid w:val="001C0D46"/>
    <w:rsid w:val="001C77F8"/>
    <w:rsid w:val="001E5A3F"/>
    <w:rsid w:val="001F0804"/>
    <w:rsid w:val="001F5B5D"/>
    <w:rsid w:val="002017CF"/>
    <w:rsid w:val="00214571"/>
    <w:rsid w:val="00215F1F"/>
    <w:rsid w:val="002212D6"/>
    <w:rsid w:val="00222DFC"/>
    <w:rsid w:val="00223500"/>
    <w:rsid w:val="00262C7A"/>
    <w:rsid w:val="00265376"/>
    <w:rsid w:val="00270FE0"/>
    <w:rsid w:val="002851B9"/>
    <w:rsid w:val="00291E9B"/>
    <w:rsid w:val="00292456"/>
    <w:rsid w:val="002B0488"/>
    <w:rsid w:val="002C27AE"/>
    <w:rsid w:val="002D0F38"/>
    <w:rsid w:val="002D4F4F"/>
    <w:rsid w:val="002D6B7A"/>
    <w:rsid w:val="002E3895"/>
    <w:rsid w:val="003079D0"/>
    <w:rsid w:val="00307A73"/>
    <w:rsid w:val="00320962"/>
    <w:rsid w:val="00326B99"/>
    <w:rsid w:val="00326E4A"/>
    <w:rsid w:val="00327CFE"/>
    <w:rsid w:val="00345106"/>
    <w:rsid w:val="00347A60"/>
    <w:rsid w:val="003534EB"/>
    <w:rsid w:val="00357419"/>
    <w:rsid w:val="00366EF0"/>
    <w:rsid w:val="003703FA"/>
    <w:rsid w:val="00381898"/>
    <w:rsid w:val="0038737D"/>
    <w:rsid w:val="00394FDA"/>
    <w:rsid w:val="00396202"/>
    <w:rsid w:val="003A604B"/>
    <w:rsid w:val="003B3E79"/>
    <w:rsid w:val="003B69B1"/>
    <w:rsid w:val="003C6844"/>
    <w:rsid w:val="003D4E80"/>
    <w:rsid w:val="003E2ACE"/>
    <w:rsid w:val="003E3434"/>
    <w:rsid w:val="003F09E2"/>
    <w:rsid w:val="00402845"/>
    <w:rsid w:val="00413948"/>
    <w:rsid w:val="0041588C"/>
    <w:rsid w:val="00421B43"/>
    <w:rsid w:val="00426862"/>
    <w:rsid w:val="004320F8"/>
    <w:rsid w:val="00441CCB"/>
    <w:rsid w:val="00444103"/>
    <w:rsid w:val="0044410B"/>
    <w:rsid w:val="00455FFB"/>
    <w:rsid w:val="0045691E"/>
    <w:rsid w:val="00473B15"/>
    <w:rsid w:val="004926FE"/>
    <w:rsid w:val="004A4AEB"/>
    <w:rsid w:val="004B1DDD"/>
    <w:rsid w:val="004B3834"/>
    <w:rsid w:val="004B3CF4"/>
    <w:rsid w:val="004B60D2"/>
    <w:rsid w:val="004C0A52"/>
    <w:rsid w:val="004E1E13"/>
    <w:rsid w:val="004F0154"/>
    <w:rsid w:val="004F279A"/>
    <w:rsid w:val="004F29BB"/>
    <w:rsid w:val="0050698A"/>
    <w:rsid w:val="00512AF1"/>
    <w:rsid w:val="005154E3"/>
    <w:rsid w:val="00520848"/>
    <w:rsid w:val="005250AC"/>
    <w:rsid w:val="00526A3A"/>
    <w:rsid w:val="005409C4"/>
    <w:rsid w:val="005414F8"/>
    <w:rsid w:val="00544C06"/>
    <w:rsid w:val="00547F8D"/>
    <w:rsid w:val="00570B2D"/>
    <w:rsid w:val="00576728"/>
    <w:rsid w:val="00583B89"/>
    <w:rsid w:val="00592660"/>
    <w:rsid w:val="005B13E6"/>
    <w:rsid w:val="005B4EFA"/>
    <w:rsid w:val="005C421C"/>
    <w:rsid w:val="005D6225"/>
    <w:rsid w:val="00604C7F"/>
    <w:rsid w:val="00607EEB"/>
    <w:rsid w:val="0061254B"/>
    <w:rsid w:val="00614723"/>
    <w:rsid w:val="006448BB"/>
    <w:rsid w:val="006472E0"/>
    <w:rsid w:val="00664037"/>
    <w:rsid w:val="0067400D"/>
    <w:rsid w:val="006745C3"/>
    <w:rsid w:val="00681A91"/>
    <w:rsid w:val="00691CA6"/>
    <w:rsid w:val="006A6D3B"/>
    <w:rsid w:val="006B05F3"/>
    <w:rsid w:val="006C4A16"/>
    <w:rsid w:val="006D1348"/>
    <w:rsid w:val="006F3E33"/>
    <w:rsid w:val="006F7FF6"/>
    <w:rsid w:val="00701785"/>
    <w:rsid w:val="00702595"/>
    <w:rsid w:val="00705198"/>
    <w:rsid w:val="00705DBD"/>
    <w:rsid w:val="00711075"/>
    <w:rsid w:val="00724048"/>
    <w:rsid w:val="00724166"/>
    <w:rsid w:val="0072540E"/>
    <w:rsid w:val="00726026"/>
    <w:rsid w:val="00726115"/>
    <w:rsid w:val="0073138B"/>
    <w:rsid w:val="00732204"/>
    <w:rsid w:val="007419F6"/>
    <w:rsid w:val="00745EF1"/>
    <w:rsid w:val="00755EB1"/>
    <w:rsid w:val="00756C5D"/>
    <w:rsid w:val="00762103"/>
    <w:rsid w:val="00773097"/>
    <w:rsid w:val="00774357"/>
    <w:rsid w:val="00777CC2"/>
    <w:rsid w:val="0078485F"/>
    <w:rsid w:val="007874F6"/>
    <w:rsid w:val="00787A6C"/>
    <w:rsid w:val="0079136A"/>
    <w:rsid w:val="00794570"/>
    <w:rsid w:val="007A34EF"/>
    <w:rsid w:val="007A3C96"/>
    <w:rsid w:val="007B1DF7"/>
    <w:rsid w:val="007C29A3"/>
    <w:rsid w:val="007D370A"/>
    <w:rsid w:val="007D611C"/>
    <w:rsid w:val="007F1915"/>
    <w:rsid w:val="007F52E0"/>
    <w:rsid w:val="007F7AA9"/>
    <w:rsid w:val="008016E5"/>
    <w:rsid w:val="0083707C"/>
    <w:rsid w:val="0085144D"/>
    <w:rsid w:val="0085454D"/>
    <w:rsid w:val="00874003"/>
    <w:rsid w:val="008806C2"/>
    <w:rsid w:val="008807CA"/>
    <w:rsid w:val="00882263"/>
    <w:rsid w:val="0088475B"/>
    <w:rsid w:val="00884B18"/>
    <w:rsid w:val="008947EE"/>
    <w:rsid w:val="008B3E03"/>
    <w:rsid w:val="008B42E8"/>
    <w:rsid w:val="008B46B0"/>
    <w:rsid w:val="008C43F7"/>
    <w:rsid w:val="008E4ED3"/>
    <w:rsid w:val="00955968"/>
    <w:rsid w:val="00956A34"/>
    <w:rsid w:val="00957ED4"/>
    <w:rsid w:val="009625ED"/>
    <w:rsid w:val="009651F5"/>
    <w:rsid w:val="00976391"/>
    <w:rsid w:val="00982DFF"/>
    <w:rsid w:val="009878B0"/>
    <w:rsid w:val="009A1C3F"/>
    <w:rsid w:val="009A65A1"/>
    <w:rsid w:val="009B1053"/>
    <w:rsid w:val="009B4BA6"/>
    <w:rsid w:val="009C15C9"/>
    <w:rsid w:val="009D3142"/>
    <w:rsid w:val="009E29F6"/>
    <w:rsid w:val="009E7BE3"/>
    <w:rsid w:val="009F0ACF"/>
    <w:rsid w:val="00A00EA5"/>
    <w:rsid w:val="00A05265"/>
    <w:rsid w:val="00A07A24"/>
    <w:rsid w:val="00A10E83"/>
    <w:rsid w:val="00A12E44"/>
    <w:rsid w:val="00A14649"/>
    <w:rsid w:val="00A23A80"/>
    <w:rsid w:val="00A264E0"/>
    <w:rsid w:val="00A42BBA"/>
    <w:rsid w:val="00A56A81"/>
    <w:rsid w:val="00A60DC3"/>
    <w:rsid w:val="00A71057"/>
    <w:rsid w:val="00A7303D"/>
    <w:rsid w:val="00A73311"/>
    <w:rsid w:val="00A809BF"/>
    <w:rsid w:val="00A826A5"/>
    <w:rsid w:val="00A83CB4"/>
    <w:rsid w:val="00A84507"/>
    <w:rsid w:val="00A91897"/>
    <w:rsid w:val="00A92D8D"/>
    <w:rsid w:val="00AA7F0D"/>
    <w:rsid w:val="00AB2D6D"/>
    <w:rsid w:val="00AD3911"/>
    <w:rsid w:val="00AE07EE"/>
    <w:rsid w:val="00AF2040"/>
    <w:rsid w:val="00B03523"/>
    <w:rsid w:val="00B03E78"/>
    <w:rsid w:val="00B045F0"/>
    <w:rsid w:val="00B143E1"/>
    <w:rsid w:val="00B235B3"/>
    <w:rsid w:val="00B2541A"/>
    <w:rsid w:val="00B52AE4"/>
    <w:rsid w:val="00B57FB0"/>
    <w:rsid w:val="00B81DA7"/>
    <w:rsid w:val="00B86D4E"/>
    <w:rsid w:val="00B87E6E"/>
    <w:rsid w:val="00B9567B"/>
    <w:rsid w:val="00BB17ED"/>
    <w:rsid w:val="00BB2F18"/>
    <w:rsid w:val="00BC017E"/>
    <w:rsid w:val="00BC2D2C"/>
    <w:rsid w:val="00BC5074"/>
    <w:rsid w:val="00BC5FD8"/>
    <w:rsid w:val="00BD1B06"/>
    <w:rsid w:val="00BD6029"/>
    <w:rsid w:val="00BD7CC9"/>
    <w:rsid w:val="00BE023E"/>
    <w:rsid w:val="00BF0E09"/>
    <w:rsid w:val="00C10E80"/>
    <w:rsid w:val="00C23975"/>
    <w:rsid w:val="00C35015"/>
    <w:rsid w:val="00C479A2"/>
    <w:rsid w:val="00C50A41"/>
    <w:rsid w:val="00C518B1"/>
    <w:rsid w:val="00C60566"/>
    <w:rsid w:val="00C71678"/>
    <w:rsid w:val="00C71B0F"/>
    <w:rsid w:val="00C761DF"/>
    <w:rsid w:val="00C837A7"/>
    <w:rsid w:val="00C850F1"/>
    <w:rsid w:val="00C85F6F"/>
    <w:rsid w:val="00C95864"/>
    <w:rsid w:val="00CA40FE"/>
    <w:rsid w:val="00CB1090"/>
    <w:rsid w:val="00CB37FD"/>
    <w:rsid w:val="00CB51FA"/>
    <w:rsid w:val="00CC251C"/>
    <w:rsid w:val="00CD4DFB"/>
    <w:rsid w:val="00CF0D8F"/>
    <w:rsid w:val="00CF5633"/>
    <w:rsid w:val="00D07551"/>
    <w:rsid w:val="00D11823"/>
    <w:rsid w:val="00D14469"/>
    <w:rsid w:val="00D30C0A"/>
    <w:rsid w:val="00D329F3"/>
    <w:rsid w:val="00D42176"/>
    <w:rsid w:val="00D45B9C"/>
    <w:rsid w:val="00D45DFF"/>
    <w:rsid w:val="00D47277"/>
    <w:rsid w:val="00D61D3B"/>
    <w:rsid w:val="00D61E3F"/>
    <w:rsid w:val="00D630DD"/>
    <w:rsid w:val="00D72B10"/>
    <w:rsid w:val="00D80C36"/>
    <w:rsid w:val="00D8688E"/>
    <w:rsid w:val="00D91D7A"/>
    <w:rsid w:val="00D969E9"/>
    <w:rsid w:val="00DA0E61"/>
    <w:rsid w:val="00DA5B55"/>
    <w:rsid w:val="00DA5D11"/>
    <w:rsid w:val="00DB7F34"/>
    <w:rsid w:val="00DC66AB"/>
    <w:rsid w:val="00DF57BE"/>
    <w:rsid w:val="00DF78AE"/>
    <w:rsid w:val="00DF79CF"/>
    <w:rsid w:val="00E1282C"/>
    <w:rsid w:val="00E12BD7"/>
    <w:rsid w:val="00E34B67"/>
    <w:rsid w:val="00E42833"/>
    <w:rsid w:val="00E53373"/>
    <w:rsid w:val="00E86B40"/>
    <w:rsid w:val="00E87B83"/>
    <w:rsid w:val="00E93BBA"/>
    <w:rsid w:val="00EA0232"/>
    <w:rsid w:val="00EB7D47"/>
    <w:rsid w:val="00ED1BC6"/>
    <w:rsid w:val="00ED3D9B"/>
    <w:rsid w:val="00EE0D08"/>
    <w:rsid w:val="00EE6A30"/>
    <w:rsid w:val="00EE6C5B"/>
    <w:rsid w:val="00F05F4B"/>
    <w:rsid w:val="00F249DF"/>
    <w:rsid w:val="00F24A2D"/>
    <w:rsid w:val="00F322CA"/>
    <w:rsid w:val="00F33126"/>
    <w:rsid w:val="00F37AD4"/>
    <w:rsid w:val="00F45BEB"/>
    <w:rsid w:val="00F46C07"/>
    <w:rsid w:val="00F51FC9"/>
    <w:rsid w:val="00F6120B"/>
    <w:rsid w:val="00F67088"/>
    <w:rsid w:val="00F67DE2"/>
    <w:rsid w:val="00F83BA5"/>
    <w:rsid w:val="00F93744"/>
    <w:rsid w:val="00F957BA"/>
    <w:rsid w:val="00F96203"/>
    <w:rsid w:val="00FA3B8F"/>
    <w:rsid w:val="00FC41A8"/>
    <w:rsid w:val="00FC4230"/>
    <w:rsid w:val="00FD54BF"/>
    <w:rsid w:val="00FE2767"/>
    <w:rsid w:val="00FF0158"/>
    <w:rsid w:val="00FF0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13948"/>
    <w:pPr>
      <w:ind w:left="720"/>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4A4AEB"/>
  </w:style>
  <w:style w:type="paragraph" w:customStyle="1" w:styleId="Item">
    <w:name w:val="Item"/>
    <w:aliases w:val="i"/>
    <w:basedOn w:val="Normal"/>
    <w:next w:val="Normal"/>
    <w:rsid w:val="006F7FF6"/>
    <w:pPr>
      <w:keepLines/>
      <w:spacing w:before="80" w:after="0" w:line="240" w:lineRule="auto"/>
      <w:ind w:left="709"/>
    </w:pPr>
    <w:rPr>
      <w:rFonts w:ascii="Times New Roman" w:eastAsia="Times New Roman" w:hAnsi="Times New Roman" w:cs="Times New Roman"/>
      <w:szCs w:val="20"/>
      <w:lang w:eastAsia="en-AU"/>
    </w:rPr>
  </w:style>
  <w:style w:type="paragraph" w:customStyle="1" w:styleId="Tabletext">
    <w:name w:val="Tabletext"/>
    <w:aliases w:val="tt"/>
    <w:basedOn w:val="Normal"/>
    <w:rsid w:val="006F7FF6"/>
    <w:pPr>
      <w:spacing w:before="60" w:after="0" w:line="240" w:lineRule="atLeast"/>
    </w:pPr>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5C421C"/>
    <w:rPr>
      <w:sz w:val="16"/>
      <w:szCs w:val="16"/>
    </w:rPr>
  </w:style>
  <w:style w:type="paragraph" w:styleId="CommentText">
    <w:name w:val="annotation text"/>
    <w:basedOn w:val="Normal"/>
    <w:link w:val="CommentTextChar"/>
    <w:uiPriority w:val="99"/>
    <w:semiHidden/>
    <w:unhideWhenUsed/>
    <w:rsid w:val="005C421C"/>
    <w:pPr>
      <w:spacing w:line="240" w:lineRule="auto"/>
    </w:pPr>
    <w:rPr>
      <w:sz w:val="20"/>
      <w:szCs w:val="20"/>
    </w:rPr>
  </w:style>
  <w:style w:type="character" w:customStyle="1" w:styleId="CommentTextChar">
    <w:name w:val="Comment Text Char"/>
    <w:basedOn w:val="DefaultParagraphFont"/>
    <w:link w:val="CommentText"/>
    <w:uiPriority w:val="99"/>
    <w:semiHidden/>
    <w:rsid w:val="005C421C"/>
    <w:rPr>
      <w:sz w:val="20"/>
      <w:szCs w:val="20"/>
    </w:rPr>
  </w:style>
  <w:style w:type="paragraph" w:styleId="CommentSubject">
    <w:name w:val="annotation subject"/>
    <w:basedOn w:val="CommentText"/>
    <w:next w:val="CommentText"/>
    <w:link w:val="CommentSubjectChar"/>
    <w:uiPriority w:val="99"/>
    <w:semiHidden/>
    <w:unhideWhenUsed/>
    <w:rsid w:val="005C421C"/>
    <w:rPr>
      <w:b/>
      <w:bCs/>
    </w:rPr>
  </w:style>
  <w:style w:type="character" w:customStyle="1" w:styleId="CommentSubjectChar">
    <w:name w:val="Comment Subject Char"/>
    <w:basedOn w:val="CommentTextChar"/>
    <w:link w:val="CommentSubject"/>
    <w:uiPriority w:val="99"/>
    <w:semiHidden/>
    <w:rsid w:val="005C421C"/>
    <w:rPr>
      <w:b/>
      <w:bCs/>
      <w:sz w:val="20"/>
      <w:szCs w:val="20"/>
    </w:rPr>
  </w:style>
  <w:style w:type="paragraph" w:styleId="BalloonText">
    <w:name w:val="Balloon Text"/>
    <w:basedOn w:val="Normal"/>
    <w:link w:val="BalloonTextChar"/>
    <w:uiPriority w:val="99"/>
    <w:semiHidden/>
    <w:unhideWhenUsed/>
    <w:rsid w:val="005C4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21C"/>
    <w:rPr>
      <w:rFonts w:ascii="Segoe UI" w:hAnsi="Segoe UI" w:cs="Segoe UI"/>
      <w:sz w:val="18"/>
      <w:szCs w:val="18"/>
    </w:rPr>
  </w:style>
  <w:style w:type="paragraph" w:styleId="Revision">
    <w:name w:val="Revision"/>
    <w:hidden/>
    <w:uiPriority w:val="99"/>
    <w:semiHidden/>
    <w:rsid w:val="00FF0FCA"/>
    <w:pPr>
      <w:spacing w:after="0" w:line="240" w:lineRule="auto"/>
    </w:pPr>
  </w:style>
  <w:style w:type="paragraph" w:styleId="Header">
    <w:name w:val="header"/>
    <w:basedOn w:val="Normal"/>
    <w:link w:val="HeaderChar"/>
    <w:uiPriority w:val="99"/>
    <w:unhideWhenUsed/>
    <w:rsid w:val="00544C06"/>
    <w:pPr>
      <w:tabs>
        <w:tab w:val="center" w:pos="4513"/>
        <w:tab w:val="right" w:pos="902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544C06"/>
    <w:rPr>
      <w:rFonts w:ascii="Times New Roman" w:hAnsi="Times New Roman"/>
      <w:sz w:val="24"/>
    </w:rPr>
  </w:style>
  <w:style w:type="paragraph" w:styleId="Footer">
    <w:name w:val="footer"/>
    <w:basedOn w:val="Normal"/>
    <w:link w:val="FooterChar"/>
    <w:uiPriority w:val="99"/>
    <w:unhideWhenUsed/>
    <w:rsid w:val="00544C06"/>
    <w:pPr>
      <w:tabs>
        <w:tab w:val="center" w:pos="4513"/>
        <w:tab w:val="right" w:pos="902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544C06"/>
    <w:rPr>
      <w:rFonts w:ascii="Times New Roman" w:hAnsi="Times New Roman"/>
      <w:sz w:val="24"/>
    </w:rPr>
  </w:style>
  <w:style w:type="paragraph" w:styleId="FootnoteText">
    <w:name w:val="footnote text"/>
    <w:basedOn w:val="Normal"/>
    <w:link w:val="FootnoteTextChar"/>
    <w:uiPriority w:val="99"/>
    <w:semiHidden/>
    <w:unhideWhenUsed/>
    <w:rsid w:val="00544C06"/>
    <w:pPr>
      <w:spacing w:after="0" w:line="240" w:lineRule="auto"/>
    </w:pPr>
    <w:rPr>
      <w:rFonts w:ascii="Times New Roman" w:hAnsi="Times New Roman"/>
      <w:sz w:val="24"/>
    </w:rPr>
  </w:style>
  <w:style w:type="character" w:customStyle="1" w:styleId="FootnoteTextChar">
    <w:name w:val="Footnote Text Char"/>
    <w:basedOn w:val="DefaultParagraphFont"/>
    <w:link w:val="FootnoteText"/>
    <w:uiPriority w:val="99"/>
    <w:semiHidden/>
    <w:rsid w:val="00544C06"/>
    <w:rPr>
      <w:rFonts w:ascii="Times New Roman" w:hAnsi="Times New Roman"/>
      <w:sz w:val="24"/>
    </w:rPr>
  </w:style>
  <w:style w:type="character" w:styleId="FootnoteReference">
    <w:name w:val="footnote reference"/>
    <w:basedOn w:val="DefaultParagraphFont"/>
    <w:uiPriority w:val="99"/>
    <w:semiHidden/>
    <w:unhideWhenUsed/>
    <w:rsid w:val="00544C06"/>
    <w:rPr>
      <w:vertAlign w:val="superscript"/>
    </w:rPr>
  </w:style>
  <w:style w:type="table" w:customStyle="1" w:styleId="TableGrid3">
    <w:name w:val="Table Grid3"/>
    <w:basedOn w:val="TableNormal"/>
    <w:next w:val="TableGrid"/>
    <w:uiPriority w:val="39"/>
    <w:rsid w:val="00544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4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ndustry.gov.au/data-and-publications/independent-review-into-the-circumstances-leading-to-the-administration-and-liquidation-of-northern-oil-and-gas-australia-noga" TargetMode="External"/><Relationship Id="rId3" Type="http://schemas.openxmlformats.org/officeDocument/2006/relationships/customXml" Target="../customXml/item3.xml"/><Relationship Id="rId21" Type="http://schemas.openxmlformats.org/officeDocument/2006/relationships/hyperlink" Target="https://consult.industry.gov.au/offshore-resources-branch/decommissioning-discussion-paper/consultation/published_select_responden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publications.industry.gov.au/publications/resourcesandenergyquarterlyseptember2020/index.html" TargetMode="Externa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industry.gov.au/data-and-publications/independent-review-into-the-circumstances-leading-to-the-administration-and-liquidation-of-northern-oil-and-gas-australia-no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dustry.gov.au/data-and-publications/offshore-oil-and-gas-decommissioning-framework-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industry.gov.au/data-and-publications/independent-review-into-the-circumstances-leading-to-the-administration-and-liquidation-of-northern-oil-and-gas-australia-no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B2BE25A-D07A-4964-A5D9-6892B54E85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4D426B1897EB342BB0463F06D221FFF" ma:contentTypeVersion="" ma:contentTypeDescription="PDMS Document Site Content Type" ma:contentTypeScope="" ma:versionID="2c25171dfb807a8b8651b218f7b15abe">
  <xsd:schema xmlns:xsd="http://www.w3.org/2001/XMLSchema" xmlns:xs="http://www.w3.org/2001/XMLSchema" xmlns:p="http://schemas.microsoft.com/office/2006/metadata/properties" xmlns:ns2="9B2BE25A-D07A-4964-A5D9-6892B54E85DC" targetNamespace="http://schemas.microsoft.com/office/2006/metadata/properties" ma:root="true" ma:fieldsID="2bdd733cd20ed3d91a958f36ba0f8fde" ns2:_="">
    <xsd:import namespace="9B2BE25A-D07A-4964-A5D9-6892B54E85D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BE25A-D07A-4964-A5D9-6892B54E85D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F6E8-8D31-46B9-91F7-B436202A57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B2BE25A-D07A-4964-A5D9-6892B54E85DC"/>
    <ds:schemaRef ds:uri="http://www.w3.org/XML/1998/namespace"/>
    <ds:schemaRef ds:uri="http://purl.org/dc/dcmitype/"/>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6E3DB22A-9C9A-43A7-99B8-FA86D9CDF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BE25A-D07A-4964-A5D9-6892B54E8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A1F6D-655A-4E0C-871A-1CFB1216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17148</Words>
  <Characters>97746</Characters>
  <Application>Microsoft Office Word</Application>
  <DocSecurity>4</DocSecurity>
  <Lines>814</Lines>
  <Paragraphs>229</Paragraphs>
  <ScaleCrop>false</ScaleCrop>
  <HeadingPairs>
    <vt:vector size="2" baseType="variant">
      <vt:variant>
        <vt:lpstr>Title</vt:lpstr>
      </vt:variant>
      <vt:variant>
        <vt:i4>1</vt:i4>
      </vt:variant>
    </vt:vector>
  </HeadingPairs>
  <TitlesOfParts>
    <vt:vector size="1" baseType="lpstr">
      <vt:lpstr>Regulatory Impact Statement</vt:lpstr>
    </vt:vector>
  </TitlesOfParts>
  <Company>INDUSTRY</Company>
  <LinksUpToDate>false</LinksUpToDate>
  <CharactersWithSpaces>114665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dc:title>
  <dc:creator>Robinson, Lisa</dc:creator>
  <cp:lastModifiedBy>Osborne, Lea</cp:lastModifiedBy>
  <cp:revision>2</cp:revision>
  <dcterms:created xsi:type="dcterms:W3CDTF">2021-12-06T00:11:00Z</dcterms:created>
  <dcterms:modified xsi:type="dcterms:W3CDTF">2021-12-06T00:11:00Z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0x010100266966F133664895A6EE3632470D45F50004D426B1897EB342BB0463F06D221FFF</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4052;#2021|712d5b50-1b62-44de-9d3e-74234783b265</vt:lpwstr>
  </property>
  <property fmtid="{D5CDD505-2E9C-101B-9397-08002B2CF9AE}" pid="5" name="DocHub_LegalToolPurpose">
    <vt:lpwstr/>
  </property>
  <property fmtid="{D5CDD505-2E9C-101B-9397-08002B2CF9AE}" pid="6" name="DocHub_WorkActivity">
    <vt:lpwstr>102;#Legislation and Regulation|6cbc66f5-f4a2-4565-a58b-d5f2d2ac9bd0</vt:lpwstr>
  </property>
  <property fmtid="{D5CDD505-2E9C-101B-9397-08002B2CF9AE}" pid="7" name="DocHub_Keywords">
    <vt:lpwstr/>
  </property>
  <property fmtid="{D5CDD505-2E9C-101B-9397-08002B2CF9AE}" pid="8" name="DocHub_DocumentType">
    <vt:lpwstr>43;#Template|9b48ba34-650a-488d-9fe8-e5181e10b797</vt:lpwstr>
  </property>
  <property fmtid="{D5CDD505-2E9C-101B-9397-08002B2CF9AE}" pid="9" name="DocHub_SecurityClassification">
    <vt:lpwstr>196;#Legal privilege|e0e7653a-6457-4726-a51f-c98e23f83bad</vt:lpwstr>
  </property>
  <property fmtid="{D5CDD505-2E9C-101B-9397-08002B2CF9AE}" pid="10" name="_dlc_DocIdItemGuid">
    <vt:lpwstr>975417d3-1052-4dbf-afb6-5bbbe28f59a6</vt:lpwstr>
  </property>
  <property fmtid="{D5CDD505-2E9C-101B-9397-08002B2CF9AE}" pid="11" name="DocHub_WorkTopic">
    <vt:lpwstr/>
  </property>
  <property fmtid="{D5CDD505-2E9C-101B-9397-08002B2CF9AE}" pid="12" name="DocHub_GroupsOtherEntities">
    <vt:lpwstr/>
  </property>
  <property fmtid="{D5CDD505-2E9C-101B-9397-08002B2CF9AE}" pid="13" name="DocHub_GovernmentEntities">
    <vt:lpwstr/>
  </property>
  <property fmtid="{D5CDD505-2E9C-101B-9397-08002B2CF9AE}" pid="14" name="DocHub_EnergyMineralResources">
    <vt:lpwstr/>
  </property>
  <property fmtid="{D5CDD505-2E9C-101B-9397-08002B2CF9AE}" pid="15" name="DocHub_OrganisationEntities">
    <vt:lpwstr/>
  </property>
  <property fmtid="{D5CDD505-2E9C-101B-9397-08002B2CF9AE}" pid="16" name="DocHub_State">
    <vt:lpwstr/>
  </property>
</Properties>
</file>