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3B82B65" w14:textId="08AFAEEE" w:rsidR="00905F94" w:rsidRDefault="00051945" w:rsidP="0084250D">
      <w:pPr>
        <w:spacing w:before="0"/>
        <w:jc w:val="center"/>
        <w:rPr>
          <w:rFonts w:ascii="Times New Roman" w:hAnsi="Times New Roman"/>
          <w:b/>
          <w:bCs/>
          <w:sz w:val="24"/>
          <w:szCs w:val="24"/>
          <w:u w:val="single"/>
          <w:lang w:eastAsia="ja-JP"/>
        </w:rPr>
      </w:pPr>
      <w:r w:rsidRPr="0084250D">
        <w:rPr>
          <w:rFonts w:ascii="Times New Roman" w:hAnsi="Times New Roman"/>
          <w:b/>
          <w:bCs/>
          <w:sz w:val="24"/>
          <w:szCs w:val="24"/>
          <w:u w:val="single"/>
          <w:lang w:eastAsia="ja-JP"/>
        </w:rPr>
        <w:t>EXPLANATORY</w:t>
      </w:r>
      <w:r w:rsidR="00AC2600" w:rsidRPr="0084250D">
        <w:rPr>
          <w:rFonts w:ascii="Times New Roman" w:hAnsi="Times New Roman"/>
          <w:b/>
          <w:bCs/>
          <w:sz w:val="24"/>
          <w:szCs w:val="24"/>
          <w:u w:val="single"/>
          <w:lang w:eastAsia="ja-JP"/>
        </w:rPr>
        <w:t xml:space="preserve"> </w:t>
      </w:r>
      <w:r w:rsidRPr="0084250D">
        <w:rPr>
          <w:rFonts w:ascii="Times New Roman" w:hAnsi="Times New Roman"/>
          <w:b/>
          <w:bCs/>
          <w:sz w:val="24"/>
          <w:szCs w:val="24"/>
          <w:u w:val="single"/>
          <w:lang w:eastAsia="ja-JP"/>
        </w:rPr>
        <w:t>STATEMENT</w:t>
      </w:r>
    </w:p>
    <w:p w14:paraId="56D6A526" w14:textId="77777777" w:rsidR="0084250D" w:rsidRPr="0084250D" w:rsidRDefault="0084250D" w:rsidP="0084250D">
      <w:pPr>
        <w:spacing w:before="0"/>
        <w:jc w:val="center"/>
        <w:rPr>
          <w:rFonts w:ascii="Times New Roman" w:hAnsi="Times New Roman"/>
          <w:b/>
          <w:bCs/>
          <w:sz w:val="24"/>
          <w:szCs w:val="24"/>
          <w:u w:val="single"/>
          <w:lang w:eastAsia="ja-JP"/>
        </w:rPr>
      </w:pPr>
    </w:p>
    <w:p w14:paraId="4F858035" w14:textId="038A9A27" w:rsidR="00051945" w:rsidRDefault="00051945" w:rsidP="0084250D">
      <w:pPr>
        <w:spacing w:before="0"/>
        <w:jc w:val="center"/>
        <w:rPr>
          <w:rFonts w:ascii="Times New Roman" w:hAnsi="Times New Roman"/>
          <w:sz w:val="24"/>
          <w:szCs w:val="24"/>
          <w:u w:val="single"/>
          <w:lang w:eastAsia="ja-JP"/>
        </w:rPr>
      </w:pPr>
      <w:r w:rsidRPr="0084250D">
        <w:rPr>
          <w:rFonts w:ascii="Times New Roman" w:hAnsi="Times New Roman"/>
          <w:sz w:val="24"/>
          <w:szCs w:val="24"/>
          <w:u w:val="single"/>
          <w:lang w:eastAsia="ja-JP"/>
        </w:rPr>
        <w:t>Issued by the authority of the Minister for the Environment</w:t>
      </w:r>
    </w:p>
    <w:p w14:paraId="77486CB5" w14:textId="77777777" w:rsidR="0084250D" w:rsidRPr="0084250D" w:rsidRDefault="0084250D" w:rsidP="0084250D">
      <w:pPr>
        <w:spacing w:before="0"/>
        <w:jc w:val="center"/>
        <w:rPr>
          <w:rFonts w:ascii="Times New Roman" w:hAnsi="Times New Roman"/>
          <w:sz w:val="24"/>
          <w:szCs w:val="24"/>
          <w:u w:val="single"/>
          <w:lang w:eastAsia="ja-JP"/>
        </w:rPr>
      </w:pPr>
    </w:p>
    <w:p w14:paraId="3ADDE1A3" w14:textId="307F51D8" w:rsidR="00051945" w:rsidRDefault="00051945" w:rsidP="0084250D">
      <w:pPr>
        <w:spacing w:before="0"/>
        <w:jc w:val="center"/>
        <w:rPr>
          <w:rFonts w:ascii="Times New Roman" w:hAnsi="Times New Roman"/>
          <w:i/>
          <w:iCs/>
          <w:sz w:val="24"/>
          <w:szCs w:val="24"/>
          <w:lang w:eastAsia="ja-JP"/>
        </w:rPr>
      </w:pPr>
      <w:r w:rsidRPr="0084250D">
        <w:rPr>
          <w:rFonts w:ascii="Times New Roman" w:hAnsi="Times New Roman"/>
          <w:i/>
          <w:iCs/>
          <w:sz w:val="24"/>
          <w:szCs w:val="24"/>
          <w:lang w:eastAsia="ja-JP"/>
        </w:rPr>
        <w:t>Industry Research and Development Act 1986</w:t>
      </w:r>
    </w:p>
    <w:p w14:paraId="1F738923" w14:textId="77777777" w:rsidR="0084250D" w:rsidRPr="0084250D" w:rsidRDefault="0084250D" w:rsidP="0084250D">
      <w:pPr>
        <w:spacing w:before="0"/>
        <w:jc w:val="center"/>
        <w:rPr>
          <w:rFonts w:ascii="Times New Roman" w:hAnsi="Times New Roman"/>
          <w:i/>
          <w:iCs/>
          <w:sz w:val="24"/>
          <w:szCs w:val="24"/>
          <w:lang w:eastAsia="ja-JP"/>
        </w:rPr>
      </w:pPr>
    </w:p>
    <w:p w14:paraId="08620236" w14:textId="6D9FCA46" w:rsidR="00051945" w:rsidRPr="0084250D" w:rsidRDefault="00051945" w:rsidP="0084250D">
      <w:pPr>
        <w:spacing w:before="0"/>
        <w:jc w:val="center"/>
        <w:rPr>
          <w:rFonts w:ascii="Times New Roman" w:hAnsi="Times New Roman"/>
          <w:i/>
          <w:iCs/>
          <w:sz w:val="24"/>
          <w:szCs w:val="24"/>
          <w:lang w:eastAsia="ja-JP"/>
        </w:rPr>
      </w:pPr>
      <w:r w:rsidRPr="0084250D">
        <w:rPr>
          <w:rFonts w:ascii="Times New Roman" w:hAnsi="Times New Roman"/>
          <w:i/>
          <w:iCs/>
          <w:sz w:val="24"/>
          <w:szCs w:val="24"/>
          <w:lang w:eastAsia="ja-JP"/>
        </w:rPr>
        <w:t>Industry Research and Development (Australasian Recycling Label Program) Instrument 202</w:t>
      </w:r>
      <w:r w:rsidR="005F5F5A" w:rsidRPr="0084250D">
        <w:rPr>
          <w:rFonts w:ascii="Times New Roman" w:hAnsi="Times New Roman"/>
          <w:i/>
          <w:iCs/>
          <w:sz w:val="24"/>
          <w:szCs w:val="24"/>
          <w:lang w:eastAsia="ja-JP"/>
        </w:rPr>
        <w:t>1</w:t>
      </w:r>
    </w:p>
    <w:p w14:paraId="4FD1B508" w14:textId="2E60CA00" w:rsidR="00051945" w:rsidRDefault="00051945" w:rsidP="0084250D">
      <w:pPr>
        <w:spacing w:before="0"/>
        <w:rPr>
          <w:rFonts w:ascii="Times New Roman" w:hAnsi="Times New Roman"/>
          <w:i/>
          <w:iCs/>
          <w:sz w:val="24"/>
          <w:szCs w:val="24"/>
          <w:lang w:eastAsia="ja-JP"/>
        </w:rPr>
      </w:pPr>
    </w:p>
    <w:p w14:paraId="52322403" w14:textId="77777777" w:rsidR="0084250D" w:rsidRPr="0084250D" w:rsidRDefault="0084250D" w:rsidP="0084250D">
      <w:pPr>
        <w:spacing w:before="0"/>
        <w:rPr>
          <w:rFonts w:ascii="Times New Roman" w:hAnsi="Times New Roman"/>
          <w:i/>
          <w:iCs/>
          <w:sz w:val="24"/>
          <w:szCs w:val="24"/>
          <w:lang w:eastAsia="ja-JP"/>
        </w:rPr>
      </w:pPr>
    </w:p>
    <w:p w14:paraId="0E036DAF" w14:textId="4C0FD36D" w:rsidR="00051945" w:rsidRPr="00CB114E" w:rsidRDefault="00051945" w:rsidP="0084250D">
      <w:pPr>
        <w:spacing w:before="0"/>
        <w:rPr>
          <w:rFonts w:ascii="Times New Roman" w:hAnsi="Times New Roman"/>
          <w:b/>
          <w:bCs/>
          <w:sz w:val="24"/>
          <w:szCs w:val="24"/>
          <w:lang w:eastAsia="ja-JP"/>
        </w:rPr>
      </w:pPr>
      <w:r w:rsidRPr="00CB114E">
        <w:rPr>
          <w:rFonts w:ascii="Times New Roman" w:hAnsi="Times New Roman"/>
          <w:b/>
          <w:bCs/>
          <w:sz w:val="24"/>
          <w:szCs w:val="24"/>
          <w:lang w:eastAsia="ja-JP"/>
        </w:rPr>
        <w:t>Purpose and Operation</w:t>
      </w:r>
    </w:p>
    <w:p w14:paraId="711E2121" w14:textId="77777777" w:rsidR="003458DF" w:rsidRDefault="003458DF" w:rsidP="0084250D">
      <w:pPr>
        <w:spacing w:before="0"/>
        <w:rPr>
          <w:rFonts w:ascii="Times New Roman" w:hAnsi="Times New Roman"/>
          <w:sz w:val="24"/>
          <w:szCs w:val="24"/>
          <w:lang w:eastAsia="ja-JP"/>
        </w:rPr>
      </w:pPr>
    </w:p>
    <w:p w14:paraId="162ED23E" w14:textId="48B2095D" w:rsidR="00051945" w:rsidRDefault="008D7A77" w:rsidP="0084250D">
      <w:pPr>
        <w:spacing w:before="0"/>
        <w:rPr>
          <w:rFonts w:ascii="Times New Roman" w:hAnsi="Times New Roman"/>
          <w:sz w:val="24"/>
          <w:szCs w:val="24"/>
          <w:lang w:eastAsia="ja-JP"/>
        </w:rPr>
      </w:pPr>
      <w:r w:rsidRPr="0084250D">
        <w:rPr>
          <w:rFonts w:ascii="Times New Roman" w:hAnsi="Times New Roman"/>
          <w:sz w:val="24"/>
          <w:szCs w:val="24"/>
          <w:lang w:eastAsia="ja-JP"/>
        </w:rPr>
        <w:t xml:space="preserve">Section 33 of the </w:t>
      </w:r>
      <w:r w:rsidRPr="0084250D">
        <w:rPr>
          <w:rFonts w:ascii="Times New Roman" w:hAnsi="Times New Roman"/>
          <w:i/>
          <w:iCs/>
          <w:sz w:val="24"/>
          <w:szCs w:val="24"/>
          <w:lang w:eastAsia="ja-JP"/>
        </w:rPr>
        <w:t>Industry Research and Development Act 1986</w:t>
      </w:r>
      <w:r w:rsidRPr="0084250D">
        <w:rPr>
          <w:rFonts w:ascii="Times New Roman" w:hAnsi="Times New Roman"/>
          <w:sz w:val="24"/>
          <w:szCs w:val="24"/>
          <w:lang w:eastAsia="ja-JP"/>
        </w:rPr>
        <w:t xml:space="preserve"> (the Act) provides a mechanism for the Minister to prescribe programs, by disallowable legislative instrument, in relation to industry, innovation, science or research, including in relation to the expenditure of Commonwealth money under such programs. </w:t>
      </w:r>
    </w:p>
    <w:p w14:paraId="5264BA73" w14:textId="77777777" w:rsidR="0084250D" w:rsidRPr="0084250D" w:rsidRDefault="0084250D" w:rsidP="0084250D">
      <w:pPr>
        <w:spacing w:before="0"/>
        <w:rPr>
          <w:rFonts w:ascii="Times New Roman" w:hAnsi="Times New Roman"/>
          <w:sz w:val="24"/>
          <w:szCs w:val="24"/>
          <w:lang w:eastAsia="ja-JP"/>
        </w:rPr>
      </w:pPr>
    </w:p>
    <w:p w14:paraId="7B685F47" w14:textId="7D51BE51" w:rsidR="008D7A77" w:rsidRDefault="008D7A77" w:rsidP="0084250D">
      <w:pPr>
        <w:spacing w:before="0"/>
        <w:rPr>
          <w:rFonts w:ascii="Times New Roman" w:hAnsi="Times New Roman"/>
          <w:sz w:val="24"/>
          <w:szCs w:val="24"/>
          <w:lang w:eastAsia="ja-JP"/>
        </w:rPr>
      </w:pPr>
      <w:r w:rsidRPr="0084250D">
        <w:rPr>
          <w:rFonts w:ascii="Times New Roman" w:hAnsi="Times New Roman"/>
          <w:sz w:val="24"/>
          <w:szCs w:val="24"/>
          <w:lang w:eastAsia="ja-JP"/>
        </w:rPr>
        <w:t xml:space="preserve">The Minister for Industry, Science and Technology has delegated the Minister’s power under subsection 33(1) to the Minister </w:t>
      </w:r>
      <w:r w:rsidR="000227C7" w:rsidRPr="0084250D">
        <w:rPr>
          <w:rFonts w:ascii="Times New Roman" w:hAnsi="Times New Roman"/>
          <w:sz w:val="24"/>
          <w:szCs w:val="24"/>
          <w:lang w:eastAsia="ja-JP"/>
        </w:rPr>
        <w:t xml:space="preserve">responsible for administering the </w:t>
      </w:r>
      <w:r w:rsidR="000227C7" w:rsidRPr="0084250D">
        <w:rPr>
          <w:rFonts w:ascii="Times New Roman" w:hAnsi="Times New Roman"/>
          <w:i/>
          <w:iCs/>
          <w:sz w:val="24"/>
          <w:szCs w:val="24"/>
          <w:lang w:eastAsia="ja-JP"/>
        </w:rPr>
        <w:t>Environmental Protection and Biodiversity Conservation Act 1999</w:t>
      </w:r>
      <w:r w:rsidR="000227C7" w:rsidRPr="0084250D">
        <w:rPr>
          <w:rFonts w:ascii="Times New Roman" w:hAnsi="Times New Roman"/>
          <w:sz w:val="24"/>
          <w:szCs w:val="24"/>
          <w:lang w:eastAsia="ja-JP"/>
        </w:rPr>
        <w:t xml:space="preserve"> </w:t>
      </w:r>
      <w:r w:rsidRPr="0084250D">
        <w:rPr>
          <w:rFonts w:ascii="Times New Roman" w:hAnsi="Times New Roman"/>
          <w:sz w:val="24"/>
          <w:szCs w:val="24"/>
          <w:lang w:eastAsia="ja-JP"/>
        </w:rPr>
        <w:t>under subsection 33(6) of the Act to prescribe the Australasian Recycling Label</w:t>
      </w:r>
      <w:r w:rsidR="000227C7" w:rsidRPr="0084250D">
        <w:rPr>
          <w:rFonts w:ascii="Times New Roman" w:hAnsi="Times New Roman"/>
          <w:sz w:val="24"/>
          <w:szCs w:val="24"/>
          <w:lang w:eastAsia="ja-JP"/>
        </w:rPr>
        <w:t xml:space="preserve"> Program (the Program)</w:t>
      </w:r>
      <w:r w:rsidR="00536B63" w:rsidRPr="0084250D">
        <w:rPr>
          <w:rFonts w:ascii="Times New Roman" w:hAnsi="Times New Roman"/>
          <w:sz w:val="24"/>
          <w:szCs w:val="24"/>
          <w:lang w:eastAsia="ja-JP"/>
        </w:rPr>
        <w:t>.</w:t>
      </w:r>
      <w:r w:rsidR="000227C7" w:rsidRPr="0084250D">
        <w:rPr>
          <w:rFonts w:ascii="Times New Roman" w:hAnsi="Times New Roman"/>
          <w:sz w:val="24"/>
          <w:szCs w:val="24"/>
          <w:lang w:eastAsia="ja-JP"/>
        </w:rPr>
        <w:t xml:space="preserve"> This is currently the Minister for the Environment.</w:t>
      </w:r>
    </w:p>
    <w:p w14:paraId="43FF22E2" w14:textId="77777777" w:rsidR="0084250D" w:rsidRPr="0084250D" w:rsidRDefault="0084250D" w:rsidP="0084250D">
      <w:pPr>
        <w:spacing w:before="0"/>
        <w:rPr>
          <w:rFonts w:ascii="Times New Roman" w:hAnsi="Times New Roman"/>
          <w:sz w:val="24"/>
          <w:szCs w:val="24"/>
          <w:lang w:eastAsia="ja-JP"/>
        </w:rPr>
      </w:pPr>
    </w:p>
    <w:p w14:paraId="6BE35647" w14:textId="2DEA22E0" w:rsidR="00536B63" w:rsidRDefault="00536B63" w:rsidP="0084250D">
      <w:pPr>
        <w:spacing w:before="0"/>
        <w:rPr>
          <w:rFonts w:ascii="Times New Roman" w:hAnsi="Times New Roman"/>
          <w:sz w:val="24"/>
          <w:szCs w:val="24"/>
          <w:lang w:eastAsia="ja-JP"/>
        </w:rPr>
      </w:pPr>
      <w:r w:rsidRPr="0084250D">
        <w:rPr>
          <w:rFonts w:ascii="Times New Roman" w:hAnsi="Times New Roman"/>
          <w:sz w:val="24"/>
          <w:szCs w:val="24"/>
          <w:lang w:eastAsia="ja-JP"/>
        </w:rPr>
        <w:t xml:space="preserve">The statutory framework provided by section 33 of the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0A48BF00" w14:textId="77777777" w:rsidR="0084250D" w:rsidRPr="0084250D" w:rsidRDefault="0084250D" w:rsidP="0084250D">
      <w:pPr>
        <w:spacing w:before="0"/>
        <w:rPr>
          <w:rFonts w:ascii="Times New Roman" w:hAnsi="Times New Roman"/>
          <w:sz w:val="24"/>
          <w:szCs w:val="24"/>
          <w:lang w:eastAsia="ja-JP"/>
        </w:rPr>
      </w:pPr>
    </w:p>
    <w:p w14:paraId="455BD78D" w14:textId="23D40B63" w:rsidR="005F5F5A" w:rsidRDefault="005F5F5A" w:rsidP="0084250D">
      <w:pPr>
        <w:spacing w:before="0"/>
        <w:rPr>
          <w:rFonts w:ascii="Times New Roman" w:hAnsi="Times New Roman"/>
          <w:sz w:val="24"/>
          <w:szCs w:val="24"/>
          <w:lang w:eastAsia="ja-JP"/>
        </w:rPr>
      </w:pPr>
      <w:r w:rsidRPr="0084250D">
        <w:rPr>
          <w:rFonts w:ascii="Times New Roman" w:hAnsi="Times New Roman"/>
          <w:sz w:val="24"/>
          <w:szCs w:val="24"/>
          <w:lang w:eastAsia="ja-JP"/>
        </w:rPr>
        <w:t xml:space="preserve">Once a program is prescribed under section 33, subsection 34(1) allows the Commonwealth to make, vary or administer arrangements in relation to activities under the prescribed program. Arrangements may include contracts, funding agreements or other arrangements, and may provide for money to be payable </w:t>
      </w:r>
      <w:r w:rsidR="006C076D" w:rsidRPr="0084250D">
        <w:rPr>
          <w:rFonts w:ascii="Times New Roman" w:hAnsi="Times New Roman"/>
          <w:sz w:val="24"/>
          <w:szCs w:val="24"/>
          <w:lang w:eastAsia="ja-JP"/>
        </w:rPr>
        <w:t xml:space="preserve">by </w:t>
      </w:r>
      <w:r w:rsidRPr="0084250D">
        <w:rPr>
          <w:rFonts w:ascii="Times New Roman" w:hAnsi="Times New Roman"/>
          <w:sz w:val="24"/>
          <w:szCs w:val="24"/>
          <w:lang w:eastAsia="ja-JP"/>
        </w:rPr>
        <w:t>the Commonwealth to one or more third parties. The power conferred on the Commonwealth by subsection 34(1) may be exercised on behalf of the Commonwealth by a Minister or an accountable authority of a non-corporate entity, or by their delegate (under section 36).</w:t>
      </w:r>
    </w:p>
    <w:p w14:paraId="18C5AB23" w14:textId="77777777" w:rsidR="0084250D" w:rsidRPr="0084250D" w:rsidRDefault="0084250D" w:rsidP="0084250D">
      <w:pPr>
        <w:spacing w:before="0"/>
        <w:rPr>
          <w:rFonts w:ascii="Times New Roman" w:hAnsi="Times New Roman"/>
          <w:sz w:val="24"/>
          <w:szCs w:val="24"/>
          <w:lang w:eastAsia="ja-JP"/>
        </w:rPr>
      </w:pPr>
    </w:p>
    <w:p w14:paraId="5842755D" w14:textId="4E6FAD89" w:rsidR="006A67CE" w:rsidRDefault="005F5F5A" w:rsidP="0084250D">
      <w:pPr>
        <w:spacing w:before="0"/>
        <w:rPr>
          <w:rFonts w:ascii="Times New Roman" w:hAnsi="Times New Roman"/>
          <w:sz w:val="24"/>
          <w:szCs w:val="24"/>
          <w:lang w:eastAsia="ja-JP"/>
        </w:rPr>
      </w:pPr>
      <w:r w:rsidRPr="0084250D">
        <w:rPr>
          <w:rFonts w:ascii="Times New Roman" w:hAnsi="Times New Roman"/>
          <w:sz w:val="24"/>
          <w:szCs w:val="24"/>
          <w:lang w:eastAsia="ja-JP"/>
        </w:rPr>
        <w:t xml:space="preserve">The purpose of the </w:t>
      </w:r>
      <w:r w:rsidRPr="0084250D">
        <w:rPr>
          <w:rFonts w:ascii="Times New Roman" w:hAnsi="Times New Roman"/>
          <w:i/>
          <w:iCs/>
          <w:sz w:val="24"/>
          <w:szCs w:val="24"/>
          <w:lang w:eastAsia="ja-JP"/>
        </w:rPr>
        <w:t>Industry Research and Development (Australasian Recycling Label Program) Instrument 2021</w:t>
      </w:r>
      <w:r w:rsidRPr="0084250D">
        <w:rPr>
          <w:rFonts w:ascii="Times New Roman" w:hAnsi="Times New Roman"/>
          <w:sz w:val="24"/>
          <w:szCs w:val="24"/>
          <w:lang w:eastAsia="ja-JP"/>
        </w:rPr>
        <w:t xml:space="preserve"> (the Legislative Instrument) is to prescribe the Program. The funding for the Program has been secured through the </w:t>
      </w:r>
      <w:r w:rsidR="006A67CE" w:rsidRPr="0084250D">
        <w:rPr>
          <w:rFonts w:ascii="Times New Roman" w:hAnsi="Times New Roman"/>
          <w:sz w:val="24"/>
          <w:szCs w:val="24"/>
          <w:lang w:eastAsia="ja-JP"/>
        </w:rPr>
        <w:t xml:space="preserve">Department of Agriculture, Water and the Environment 2021-22 Budget. The Program provides $5 million in funding to a partnership of key industry representative bodies to </w:t>
      </w:r>
      <w:r w:rsidR="00A31CBB">
        <w:rPr>
          <w:rFonts w:ascii="Times New Roman" w:hAnsi="Times New Roman"/>
          <w:sz w:val="24"/>
          <w:szCs w:val="24"/>
          <w:lang w:eastAsia="ja-JP"/>
        </w:rPr>
        <w:t xml:space="preserve">encourage and </w:t>
      </w:r>
      <w:r w:rsidR="006A67CE" w:rsidRPr="0084250D">
        <w:rPr>
          <w:rFonts w:ascii="Times New Roman" w:hAnsi="Times New Roman"/>
          <w:sz w:val="24"/>
          <w:szCs w:val="24"/>
          <w:lang w:eastAsia="ja-JP"/>
        </w:rPr>
        <w:t>support small-to-medium enterprise</w:t>
      </w:r>
      <w:r w:rsidR="00D46DB7" w:rsidRPr="0084250D">
        <w:rPr>
          <w:rFonts w:ascii="Times New Roman" w:hAnsi="Times New Roman"/>
          <w:sz w:val="24"/>
          <w:szCs w:val="24"/>
          <w:lang w:eastAsia="ja-JP"/>
        </w:rPr>
        <w:t xml:space="preserve"> (SME)</w:t>
      </w:r>
      <w:r w:rsidR="006A67CE" w:rsidRPr="0084250D">
        <w:rPr>
          <w:rFonts w:ascii="Times New Roman" w:hAnsi="Times New Roman"/>
          <w:sz w:val="24"/>
          <w:szCs w:val="24"/>
          <w:lang w:eastAsia="ja-JP"/>
        </w:rPr>
        <w:t xml:space="preserve"> businesses to</w:t>
      </w:r>
      <w:r w:rsidR="00311728" w:rsidRPr="0084250D">
        <w:rPr>
          <w:rFonts w:ascii="Times New Roman" w:hAnsi="Times New Roman"/>
          <w:sz w:val="24"/>
          <w:szCs w:val="24"/>
          <w:lang w:eastAsia="ja-JP"/>
        </w:rPr>
        <w:t xml:space="preserve"> </w:t>
      </w:r>
      <w:r w:rsidR="006A67CE" w:rsidRPr="0084250D">
        <w:rPr>
          <w:rFonts w:ascii="Times New Roman" w:hAnsi="Times New Roman"/>
          <w:sz w:val="24"/>
          <w:szCs w:val="24"/>
          <w:lang w:eastAsia="ja-JP"/>
        </w:rPr>
        <w:t>adopt the Australasian Recycling Label on their packaging</w:t>
      </w:r>
      <w:r w:rsidR="009B1C9D">
        <w:rPr>
          <w:rFonts w:ascii="Times New Roman" w:hAnsi="Times New Roman"/>
          <w:sz w:val="24"/>
          <w:szCs w:val="24"/>
          <w:lang w:eastAsia="ja-JP"/>
        </w:rPr>
        <w:t xml:space="preserve"> and improve the sustainability of their packaging</w:t>
      </w:r>
      <w:r w:rsidR="006A67CE" w:rsidRPr="0084250D">
        <w:rPr>
          <w:rFonts w:ascii="Times New Roman" w:hAnsi="Times New Roman"/>
          <w:sz w:val="24"/>
          <w:szCs w:val="24"/>
          <w:lang w:eastAsia="ja-JP"/>
        </w:rPr>
        <w:t>.</w:t>
      </w:r>
    </w:p>
    <w:p w14:paraId="11509DFA" w14:textId="77777777" w:rsidR="0084250D" w:rsidRPr="0084250D" w:rsidRDefault="0084250D" w:rsidP="0084250D">
      <w:pPr>
        <w:spacing w:before="0"/>
        <w:rPr>
          <w:rFonts w:ascii="Times New Roman" w:hAnsi="Times New Roman"/>
          <w:sz w:val="24"/>
          <w:szCs w:val="24"/>
          <w:lang w:eastAsia="ja-JP"/>
        </w:rPr>
      </w:pPr>
    </w:p>
    <w:p w14:paraId="4E02698D" w14:textId="5CC93BB0" w:rsidR="005F5F5A" w:rsidRDefault="00054C7F" w:rsidP="0084250D">
      <w:pPr>
        <w:spacing w:before="0"/>
        <w:rPr>
          <w:rFonts w:ascii="Times New Roman" w:hAnsi="Times New Roman"/>
          <w:sz w:val="24"/>
          <w:szCs w:val="24"/>
          <w:lang w:eastAsia="ja-JP"/>
        </w:rPr>
      </w:pPr>
      <w:r w:rsidRPr="0084250D">
        <w:rPr>
          <w:rFonts w:ascii="Times New Roman" w:hAnsi="Times New Roman"/>
          <w:sz w:val="24"/>
          <w:szCs w:val="24"/>
          <w:lang w:eastAsia="ja-JP"/>
        </w:rPr>
        <w:t>T</w:t>
      </w:r>
      <w:r w:rsidR="00156728" w:rsidRPr="0084250D">
        <w:rPr>
          <w:rFonts w:ascii="Times New Roman" w:hAnsi="Times New Roman"/>
          <w:sz w:val="24"/>
          <w:szCs w:val="24"/>
          <w:lang w:eastAsia="ja-JP"/>
        </w:rPr>
        <w:t xml:space="preserve">he Australasian Recycling Label is the only verified label that informs Australian consumers on how to correctly dispose of each part of </w:t>
      </w:r>
      <w:r w:rsidRPr="0084250D">
        <w:rPr>
          <w:rFonts w:ascii="Times New Roman" w:hAnsi="Times New Roman"/>
          <w:sz w:val="24"/>
          <w:szCs w:val="24"/>
          <w:lang w:eastAsia="ja-JP"/>
        </w:rPr>
        <w:t xml:space="preserve">a </w:t>
      </w:r>
      <w:r w:rsidR="00156728" w:rsidRPr="0084250D">
        <w:rPr>
          <w:rFonts w:ascii="Times New Roman" w:hAnsi="Times New Roman"/>
          <w:sz w:val="24"/>
          <w:szCs w:val="24"/>
          <w:lang w:eastAsia="ja-JP"/>
        </w:rPr>
        <w:t xml:space="preserve">product’s packaging. This will improve consumer recycling behaviours to reduce contamination in kerbside bins, which will </w:t>
      </w:r>
      <w:r w:rsidR="00156728" w:rsidRPr="0084250D">
        <w:rPr>
          <w:rFonts w:ascii="Times New Roman" w:hAnsi="Times New Roman"/>
          <w:sz w:val="24"/>
          <w:szCs w:val="24"/>
          <w:lang w:eastAsia="ja-JP"/>
        </w:rPr>
        <w:lastRenderedPageBreak/>
        <w:t>lead to cleaner recycling streams and reduced the amount of recyclable material that is sent to landfill.</w:t>
      </w:r>
      <w:r w:rsidR="00D46DB7" w:rsidRPr="0084250D">
        <w:rPr>
          <w:rFonts w:ascii="Times New Roman" w:hAnsi="Times New Roman"/>
          <w:sz w:val="24"/>
          <w:szCs w:val="24"/>
          <w:lang w:eastAsia="ja-JP"/>
        </w:rPr>
        <w:t xml:space="preserve"> SME businesses will be provided </w:t>
      </w:r>
      <w:r w:rsidR="002C279F" w:rsidRPr="0084250D">
        <w:rPr>
          <w:rFonts w:ascii="Times New Roman" w:hAnsi="Times New Roman"/>
          <w:sz w:val="24"/>
          <w:szCs w:val="24"/>
          <w:lang w:eastAsia="ja-JP"/>
        </w:rPr>
        <w:t xml:space="preserve">with </w:t>
      </w:r>
      <w:r w:rsidR="00D46DB7" w:rsidRPr="0084250D">
        <w:rPr>
          <w:rFonts w:ascii="Times New Roman" w:hAnsi="Times New Roman"/>
          <w:sz w:val="24"/>
          <w:szCs w:val="24"/>
          <w:lang w:eastAsia="ja-JP"/>
        </w:rPr>
        <w:t>education, resources and assistance, which will be delivered by a partnership of key industry bodies, including the Australian Packaging Covenant Organisation, the National Retailers Association, the Australian Food and Grocery Council and the Australian Institute of Packaging.</w:t>
      </w:r>
    </w:p>
    <w:p w14:paraId="2F03ADCC" w14:textId="77777777" w:rsidR="0084250D" w:rsidRPr="0084250D" w:rsidRDefault="0084250D" w:rsidP="0084250D">
      <w:pPr>
        <w:spacing w:before="0"/>
        <w:rPr>
          <w:rFonts w:ascii="Times New Roman" w:hAnsi="Times New Roman"/>
          <w:sz w:val="24"/>
          <w:szCs w:val="24"/>
          <w:lang w:eastAsia="ja-JP"/>
        </w:rPr>
      </w:pPr>
    </w:p>
    <w:p w14:paraId="51E23526" w14:textId="3B2F434D" w:rsidR="00D46DB7" w:rsidRDefault="00D46DB7" w:rsidP="0084250D">
      <w:pPr>
        <w:spacing w:before="0"/>
        <w:rPr>
          <w:rFonts w:ascii="Times New Roman" w:hAnsi="Times New Roman"/>
          <w:sz w:val="24"/>
          <w:szCs w:val="24"/>
          <w:lang w:eastAsia="ja-JP"/>
        </w:rPr>
      </w:pPr>
      <w:r w:rsidRPr="0084250D">
        <w:rPr>
          <w:rFonts w:ascii="Times New Roman" w:hAnsi="Times New Roman"/>
          <w:sz w:val="24"/>
          <w:szCs w:val="24"/>
          <w:lang w:eastAsia="ja-JP"/>
        </w:rPr>
        <w:t xml:space="preserve">Funding for the Program comes from Program 1.6, as set out </w:t>
      </w:r>
      <w:r w:rsidR="00F833F2" w:rsidRPr="0084250D">
        <w:rPr>
          <w:rFonts w:ascii="Times New Roman" w:hAnsi="Times New Roman"/>
          <w:sz w:val="24"/>
          <w:szCs w:val="24"/>
          <w:lang w:eastAsia="ja-JP"/>
        </w:rPr>
        <w:t xml:space="preserve">in the </w:t>
      </w:r>
      <w:r w:rsidR="00F833F2" w:rsidRPr="0084250D">
        <w:rPr>
          <w:rFonts w:ascii="Times New Roman" w:hAnsi="Times New Roman"/>
          <w:i/>
          <w:iCs/>
          <w:sz w:val="24"/>
          <w:szCs w:val="24"/>
          <w:lang w:eastAsia="ja-JP"/>
        </w:rPr>
        <w:t xml:space="preserve">Portfolio Budget Statements 2021-22, Budget Related Paper No. 1.1, Agriculture, Water and Environment Portfolio </w:t>
      </w:r>
      <w:r w:rsidR="00F833F2" w:rsidRPr="0084250D">
        <w:rPr>
          <w:rFonts w:ascii="Times New Roman" w:hAnsi="Times New Roman"/>
          <w:sz w:val="24"/>
          <w:szCs w:val="24"/>
          <w:lang w:eastAsia="ja-JP"/>
        </w:rPr>
        <w:t>(</w:t>
      </w:r>
      <w:hyperlink r:id="rId8" w:history="1">
        <w:r w:rsidR="00F833F2" w:rsidRPr="00CB114E">
          <w:rPr>
            <w:rStyle w:val="Hyperlink"/>
            <w:rFonts w:ascii="Times New Roman" w:hAnsi="Times New Roman"/>
            <w:i/>
            <w:iCs/>
            <w:sz w:val="24"/>
            <w:szCs w:val="24"/>
            <w:lang w:eastAsia="ja-JP"/>
          </w:rPr>
          <w:t>https://www.awe.gov.au/sites/default/files/2021-05/pbs2021-22_awe.pdf</w:t>
        </w:r>
      </w:hyperlink>
      <w:r w:rsidR="00F833F2" w:rsidRPr="0084250D">
        <w:rPr>
          <w:rFonts w:ascii="Times New Roman" w:hAnsi="Times New Roman"/>
          <w:sz w:val="24"/>
          <w:szCs w:val="24"/>
          <w:lang w:eastAsia="ja-JP"/>
        </w:rPr>
        <w:t>) at page 34.</w:t>
      </w:r>
    </w:p>
    <w:p w14:paraId="1F35B2CC" w14:textId="77777777" w:rsidR="0084250D" w:rsidRPr="0084250D" w:rsidRDefault="0084250D" w:rsidP="0084250D">
      <w:pPr>
        <w:spacing w:before="0"/>
        <w:rPr>
          <w:rFonts w:ascii="Times New Roman" w:hAnsi="Times New Roman"/>
          <w:sz w:val="24"/>
          <w:szCs w:val="24"/>
          <w:lang w:eastAsia="ja-JP"/>
        </w:rPr>
      </w:pPr>
    </w:p>
    <w:p w14:paraId="6FE67EA4" w14:textId="20E9B46D" w:rsidR="00F833F2" w:rsidRDefault="00F833F2" w:rsidP="0084250D">
      <w:pPr>
        <w:spacing w:before="0"/>
        <w:rPr>
          <w:rFonts w:ascii="Times New Roman" w:hAnsi="Times New Roman"/>
          <w:sz w:val="24"/>
          <w:szCs w:val="24"/>
          <w:lang w:eastAsia="ja-JP"/>
        </w:rPr>
      </w:pPr>
      <w:r w:rsidRPr="0084250D">
        <w:rPr>
          <w:rFonts w:ascii="Times New Roman" w:hAnsi="Times New Roman"/>
          <w:sz w:val="24"/>
          <w:szCs w:val="24"/>
          <w:lang w:eastAsia="ja-JP"/>
        </w:rPr>
        <w:t xml:space="preserve">The Program is administered </w:t>
      </w:r>
      <w:r w:rsidR="00311728" w:rsidRPr="0084250D">
        <w:rPr>
          <w:rFonts w:ascii="Times New Roman" w:hAnsi="Times New Roman"/>
          <w:sz w:val="24"/>
          <w:szCs w:val="24"/>
          <w:lang w:eastAsia="ja-JP"/>
        </w:rPr>
        <w:t xml:space="preserve">by the Department of Agriculture, Water and the Environment (the Department) </w:t>
      </w:r>
      <w:r w:rsidRPr="0084250D">
        <w:rPr>
          <w:rFonts w:ascii="Times New Roman" w:hAnsi="Times New Roman"/>
          <w:sz w:val="24"/>
          <w:szCs w:val="24"/>
          <w:lang w:eastAsia="ja-JP"/>
        </w:rPr>
        <w:t xml:space="preserve">and delivered by the </w:t>
      </w:r>
      <w:r w:rsidR="00D86AC7" w:rsidRPr="0084250D">
        <w:rPr>
          <w:rFonts w:ascii="Times New Roman" w:hAnsi="Times New Roman"/>
          <w:sz w:val="24"/>
          <w:szCs w:val="24"/>
          <w:lang w:eastAsia="ja-JP"/>
        </w:rPr>
        <w:t>Business Grants Hub</w:t>
      </w:r>
      <w:r w:rsidR="0046367E" w:rsidRPr="0084250D">
        <w:rPr>
          <w:rFonts w:ascii="Times New Roman" w:hAnsi="Times New Roman"/>
          <w:sz w:val="24"/>
          <w:szCs w:val="24"/>
          <w:lang w:eastAsia="ja-JP"/>
        </w:rPr>
        <w:t xml:space="preserve"> </w:t>
      </w:r>
      <w:r w:rsidR="00054C7F" w:rsidRPr="0084250D">
        <w:rPr>
          <w:rFonts w:ascii="Times New Roman" w:hAnsi="Times New Roman"/>
          <w:sz w:val="24"/>
          <w:szCs w:val="24"/>
          <w:lang w:eastAsia="ja-JP"/>
        </w:rPr>
        <w:t xml:space="preserve">in accordance with the </w:t>
      </w:r>
      <w:r w:rsidR="00054C7F" w:rsidRPr="0084250D">
        <w:rPr>
          <w:rFonts w:ascii="Times New Roman" w:hAnsi="Times New Roman"/>
          <w:i/>
          <w:sz w:val="24"/>
          <w:szCs w:val="24"/>
          <w:lang w:eastAsia="ja-JP"/>
        </w:rPr>
        <w:t xml:space="preserve">Commonwealth Grant Rules and Guidelines 2017 </w:t>
      </w:r>
      <w:r w:rsidR="00054C7F" w:rsidRPr="0084250D">
        <w:rPr>
          <w:rFonts w:ascii="Times New Roman" w:hAnsi="Times New Roman"/>
          <w:sz w:val="24"/>
          <w:szCs w:val="24"/>
          <w:lang w:eastAsia="ja-JP"/>
        </w:rPr>
        <w:t>(</w:t>
      </w:r>
      <w:hyperlink r:id="rId9" w:history="1">
        <w:r w:rsidR="00054C7F" w:rsidRPr="0084250D">
          <w:rPr>
            <w:rStyle w:val="Hyperlink"/>
            <w:rFonts w:ascii="Times New Roman" w:hAnsi="Times New Roman"/>
            <w:i/>
            <w:sz w:val="24"/>
            <w:szCs w:val="24"/>
            <w:lang w:eastAsia="ja-JP"/>
          </w:rPr>
          <w:t>https://www.finance.gov.au/sites/default/files/2019-11/commonwealth-grants-rules-and-guidelines.pdf</w:t>
        </w:r>
      </w:hyperlink>
      <w:r w:rsidR="00054C7F" w:rsidRPr="0084250D">
        <w:rPr>
          <w:rFonts w:ascii="Times New Roman" w:hAnsi="Times New Roman"/>
          <w:sz w:val="24"/>
          <w:szCs w:val="24"/>
          <w:lang w:eastAsia="ja-JP"/>
        </w:rPr>
        <w:t xml:space="preserve">). Eligibility criteria will be outlined in the Program guidelines and </w:t>
      </w:r>
      <w:r w:rsidR="00D86AC7" w:rsidRPr="0084250D">
        <w:rPr>
          <w:rFonts w:ascii="Times New Roman" w:hAnsi="Times New Roman"/>
          <w:sz w:val="24"/>
          <w:szCs w:val="24"/>
          <w:lang w:eastAsia="ja-JP"/>
        </w:rPr>
        <w:t>released to the ad hoc grant applicant</w:t>
      </w:r>
      <w:r w:rsidR="00054C7F" w:rsidRPr="0084250D">
        <w:rPr>
          <w:rFonts w:ascii="Times New Roman" w:hAnsi="Times New Roman"/>
          <w:sz w:val="24"/>
          <w:szCs w:val="24"/>
          <w:lang w:eastAsia="ja-JP"/>
        </w:rPr>
        <w:t xml:space="preserve">. </w:t>
      </w:r>
      <w:bookmarkStart w:id="0" w:name="_Hlk87351976"/>
      <w:r w:rsidR="004E6100" w:rsidRPr="002C0A7A">
        <w:rPr>
          <w:rFonts w:ascii="Times New Roman" w:hAnsi="Times New Roman"/>
          <w:sz w:val="24"/>
          <w:szCs w:val="24"/>
          <w:lang w:eastAsia="ja-JP"/>
        </w:rPr>
        <w:t>The eligibility criteria will include that eligibility for funding is limited to the ad hoc grant recipients.</w:t>
      </w:r>
      <w:bookmarkEnd w:id="0"/>
      <w:r w:rsidR="004E6100">
        <w:rPr>
          <w:rFonts w:ascii="Times New Roman" w:hAnsi="Times New Roman"/>
          <w:sz w:val="24"/>
          <w:szCs w:val="24"/>
          <w:lang w:eastAsia="ja-JP"/>
        </w:rPr>
        <w:t xml:space="preserve"> </w:t>
      </w:r>
      <w:r w:rsidR="00054C7F" w:rsidRPr="0084250D">
        <w:rPr>
          <w:rFonts w:ascii="Times New Roman" w:hAnsi="Times New Roman"/>
          <w:sz w:val="24"/>
          <w:szCs w:val="24"/>
          <w:lang w:eastAsia="ja-JP"/>
        </w:rPr>
        <w:t>S</w:t>
      </w:r>
      <w:r w:rsidR="0046367E" w:rsidRPr="0084250D">
        <w:rPr>
          <w:rFonts w:ascii="Times New Roman" w:hAnsi="Times New Roman"/>
          <w:sz w:val="24"/>
          <w:szCs w:val="24"/>
          <w:lang w:eastAsia="ja-JP"/>
        </w:rPr>
        <w:t xml:space="preserve">pending decisions will be made by </w:t>
      </w:r>
      <w:r w:rsidR="00D86AC7" w:rsidRPr="0084250D">
        <w:rPr>
          <w:rFonts w:ascii="Times New Roman" w:hAnsi="Times New Roman"/>
          <w:sz w:val="24"/>
          <w:szCs w:val="24"/>
          <w:lang w:eastAsia="ja-JP"/>
        </w:rPr>
        <w:t>the Minister for the Environment who is responsible for administering the program.</w:t>
      </w:r>
    </w:p>
    <w:p w14:paraId="66363592" w14:textId="77777777" w:rsidR="003458DF" w:rsidRPr="0084250D" w:rsidRDefault="003458DF" w:rsidP="0084250D">
      <w:pPr>
        <w:spacing w:before="0"/>
        <w:rPr>
          <w:rFonts w:ascii="Times New Roman" w:hAnsi="Times New Roman"/>
          <w:sz w:val="24"/>
          <w:szCs w:val="24"/>
          <w:lang w:eastAsia="ja-JP"/>
        </w:rPr>
      </w:pPr>
    </w:p>
    <w:p w14:paraId="6EB3D67C" w14:textId="6A18FD12" w:rsidR="00F833F2" w:rsidRDefault="00F833F2" w:rsidP="0084250D">
      <w:pPr>
        <w:spacing w:before="0"/>
        <w:rPr>
          <w:rFonts w:ascii="Times New Roman" w:hAnsi="Times New Roman"/>
          <w:sz w:val="24"/>
          <w:szCs w:val="24"/>
          <w:lang w:eastAsia="ja-JP"/>
        </w:rPr>
      </w:pPr>
      <w:r w:rsidRPr="0084250D">
        <w:rPr>
          <w:rFonts w:ascii="Times New Roman" w:hAnsi="Times New Roman"/>
          <w:sz w:val="24"/>
          <w:szCs w:val="24"/>
          <w:lang w:eastAsia="ja-JP"/>
        </w:rPr>
        <w:t xml:space="preserve">The Program </w:t>
      </w:r>
      <w:r w:rsidR="009718DE" w:rsidRPr="0084250D">
        <w:rPr>
          <w:rFonts w:ascii="Times New Roman" w:hAnsi="Times New Roman"/>
          <w:sz w:val="24"/>
          <w:szCs w:val="24"/>
          <w:lang w:eastAsia="ja-JP"/>
        </w:rPr>
        <w:t>provides funding to a partnership of industry representative bodies through a</w:t>
      </w:r>
      <w:r w:rsidR="00434B43" w:rsidRPr="0084250D">
        <w:rPr>
          <w:rFonts w:ascii="Times New Roman" w:hAnsi="Times New Roman"/>
          <w:sz w:val="24"/>
          <w:szCs w:val="24"/>
          <w:lang w:eastAsia="ja-JP"/>
        </w:rPr>
        <w:t>n</w:t>
      </w:r>
      <w:r w:rsidR="009718DE" w:rsidRPr="0084250D">
        <w:rPr>
          <w:rFonts w:ascii="Times New Roman" w:hAnsi="Times New Roman"/>
          <w:sz w:val="24"/>
          <w:szCs w:val="24"/>
          <w:lang w:eastAsia="ja-JP"/>
        </w:rPr>
        <w:t xml:space="preserve"> </w:t>
      </w:r>
      <w:r w:rsidR="00434B43" w:rsidRPr="0084250D">
        <w:rPr>
          <w:rFonts w:ascii="Times New Roman" w:hAnsi="Times New Roman"/>
          <w:sz w:val="24"/>
          <w:szCs w:val="24"/>
          <w:lang w:eastAsia="ja-JP"/>
        </w:rPr>
        <w:t>a</w:t>
      </w:r>
      <w:r w:rsidR="001B295C" w:rsidRPr="0084250D">
        <w:rPr>
          <w:rFonts w:ascii="Times New Roman" w:hAnsi="Times New Roman"/>
          <w:sz w:val="24"/>
          <w:szCs w:val="24"/>
          <w:lang w:eastAsia="ja-JP"/>
        </w:rPr>
        <w:t>d-hoc</w:t>
      </w:r>
      <w:r w:rsidR="009718DE" w:rsidRPr="0084250D">
        <w:rPr>
          <w:rFonts w:ascii="Times New Roman" w:hAnsi="Times New Roman"/>
          <w:sz w:val="24"/>
          <w:szCs w:val="24"/>
          <w:lang w:eastAsia="ja-JP"/>
        </w:rPr>
        <w:t xml:space="preserve"> grant.</w:t>
      </w:r>
    </w:p>
    <w:p w14:paraId="5BB187E2" w14:textId="77777777" w:rsidR="0084250D" w:rsidRPr="0084250D" w:rsidRDefault="0084250D" w:rsidP="0084250D">
      <w:pPr>
        <w:spacing w:before="0"/>
        <w:rPr>
          <w:rFonts w:ascii="Times New Roman" w:hAnsi="Times New Roman"/>
          <w:sz w:val="24"/>
          <w:szCs w:val="24"/>
          <w:lang w:eastAsia="ja-JP"/>
        </w:rPr>
      </w:pPr>
    </w:p>
    <w:p w14:paraId="0EBF3454" w14:textId="03E9D6D2" w:rsidR="0009509C" w:rsidRDefault="00CD21CE" w:rsidP="0084250D">
      <w:pPr>
        <w:spacing w:before="0"/>
        <w:rPr>
          <w:rFonts w:ascii="Times New Roman" w:hAnsi="Times New Roman"/>
          <w:sz w:val="24"/>
          <w:szCs w:val="24"/>
          <w:lang w:eastAsia="ja-JP"/>
        </w:rPr>
      </w:pPr>
      <w:r w:rsidRPr="0084250D">
        <w:rPr>
          <w:rFonts w:ascii="Times New Roman" w:hAnsi="Times New Roman"/>
          <w:sz w:val="24"/>
          <w:szCs w:val="24"/>
          <w:lang w:eastAsia="ja-JP"/>
        </w:rPr>
        <w:t xml:space="preserve">As this is an ad-hoc grant that supports the implementation of policy decisions made by the </w:t>
      </w:r>
      <w:r w:rsidR="00FA2D77">
        <w:rPr>
          <w:rFonts w:ascii="Times New Roman" w:hAnsi="Times New Roman"/>
          <w:sz w:val="24"/>
          <w:szCs w:val="24"/>
          <w:lang w:eastAsia="ja-JP"/>
        </w:rPr>
        <w:t>G</w:t>
      </w:r>
      <w:r w:rsidRPr="0084250D">
        <w:rPr>
          <w:rFonts w:ascii="Times New Roman" w:hAnsi="Times New Roman"/>
          <w:sz w:val="24"/>
          <w:szCs w:val="24"/>
          <w:lang w:eastAsia="ja-JP"/>
        </w:rPr>
        <w:t xml:space="preserve">overnment, the </w:t>
      </w:r>
      <w:r w:rsidR="00054C7F" w:rsidRPr="0084250D">
        <w:rPr>
          <w:rFonts w:ascii="Times New Roman" w:hAnsi="Times New Roman"/>
          <w:sz w:val="24"/>
          <w:szCs w:val="24"/>
          <w:lang w:eastAsia="ja-JP"/>
        </w:rPr>
        <w:t xml:space="preserve">Program </w:t>
      </w:r>
      <w:r w:rsidRPr="0084250D">
        <w:rPr>
          <w:rFonts w:ascii="Times New Roman" w:hAnsi="Times New Roman"/>
          <w:sz w:val="24"/>
          <w:szCs w:val="24"/>
          <w:lang w:eastAsia="ja-JP"/>
        </w:rPr>
        <w:t xml:space="preserve">will not be subject to merits review. </w:t>
      </w:r>
      <w:r w:rsidR="00054C7F" w:rsidRPr="0084250D">
        <w:rPr>
          <w:rFonts w:ascii="Times New Roman" w:hAnsi="Times New Roman"/>
          <w:sz w:val="24"/>
          <w:szCs w:val="24"/>
          <w:lang w:eastAsia="ja-JP"/>
        </w:rPr>
        <w:t xml:space="preserve">Merits review of the Program would not be appropriate because decisions will relate to the provision of ad-hoc grants to a certain service provider over other service providers. The Administrative Review Council has recognised that it is justifiable to exclude merits review in relation to decisions of this nature (see items 4.16 to 4.19 of </w:t>
      </w:r>
      <w:r w:rsidR="00054C7F" w:rsidRPr="0084250D">
        <w:rPr>
          <w:rFonts w:ascii="Times New Roman" w:hAnsi="Times New Roman"/>
          <w:i/>
          <w:iCs/>
          <w:sz w:val="24"/>
          <w:szCs w:val="24"/>
          <w:lang w:eastAsia="ja-JP"/>
        </w:rPr>
        <w:t>What decisions should be subject to merits review?</w:t>
      </w:r>
      <w:r w:rsidR="00054C7F" w:rsidRPr="0084250D">
        <w:rPr>
          <w:rFonts w:ascii="Times New Roman" w:hAnsi="Times New Roman"/>
          <w:sz w:val="24"/>
          <w:szCs w:val="24"/>
          <w:lang w:eastAsia="ja-JP"/>
        </w:rPr>
        <w:t>).</w:t>
      </w:r>
    </w:p>
    <w:p w14:paraId="36217E07" w14:textId="77777777" w:rsidR="0084250D" w:rsidRPr="0084250D" w:rsidRDefault="0084250D" w:rsidP="0084250D">
      <w:pPr>
        <w:spacing w:before="0"/>
        <w:rPr>
          <w:rFonts w:ascii="Times New Roman" w:hAnsi="Times New Roman"/>
          <w:sz w:val="24"/>
          <w:szCs w:val="24"/>
          <w:lang w:eastAsia="ja-JP"/>
        </w:rPr>
      </w:pPr>
    </w:p>
    <w:p w14:paraId="024E16C5" w14:textId="3DECB094" w:rsidR="0046367E" w:rsidRDefault="0046367E" w:rsidP="0084250D">
      <w:pPr>
        <w:spacing w:before="0"/>
        <w:rPr>
          <w:rFonts w:ascii="Times New Roman" w:hAnsi="Times New Roman"/>
          <w:sz w:val="24"/>
          <w:szCs w:val="24"/>
          <w:lang w:eastAsia="ja-JP"/>
        </w:rPr>
      </w:pPr>
      <w:r w:rsidRPr="0084250D">
        <w:rPr>
          <w:rFonts w:ascii="Times New Roman" w:hAnsi="Times New Roman"/>
          <w:sz w:val="24"/>
          <w:szCs w:val="24"/>
          <w:lang w:eastAsia="ja-JP"/>
        </w:rPr>
        <w:t xml:space="preserve">Persons who are otherwise affected by decisions or who have </w:t>
      </w:r>
      <w:r w:rsidR="00054C7F" w:rsidRPr="0084250D">
        <w:rPr>
          <w:rFonts w:ascii="Times New Roman" w:hAnsi="Times New Roman"/>
          <w:sz w:val="24"/>
          <w:szCs w:val="24"/>
          <w:lang w:eastAsia="ja-JP"/>
        </w:rPr>
        <w:t xml:space="preserve">concerns </w:t>
      </w:r>
      <w:r w:rsidRPr="0084250D">
        <w:rPr>
          <w:rFonts w:ascii="Times New Roman" w:hAnsi="Times New Roman"/>
          <w:sz w:val="24"/>
          <w:szCs w:val="24"/>
          <w:lang w:eastAsia="ja-JP"/>
        </w:rPr>
        <w:t xml:space="preserve">about the Program will </w:t>
      </w:r>
      <w:r w:rsidR="00054C7F" w:rsidRPr="0084250D">
        <w:rPr>
          <w:rFonts w:ascii="Times New Roman" w:hAnsi="Times New Roman"/>
          <w:sz w:val="24"/>
          <w:szCs w:val="24"/>
          <w:lang w:eastAsia="ja-JP"/>
        </w:rPr>
        <w:t xml:space="preserve">be able to provide feedback </w:t>
      </w:r>
      <w:r w:rsidRPr="0084250D">
        <w:rPr>
          <w:rFonts w:ascii="Times New Roman" w:hAnsi="Times New Roman"/>
          <w:sz w:val="24"/>
          <w:szCs w:val="24"/>
          <w:lang w:eastAsia="ja-JP"/>
        </w:rPr>
        <w:t xml:space="preserve">to the Department. The Department investigates any complaints about the Program in accordance with its complaints policy and procedures. If a person is not satisfied with the way the Department handles the complaint, they may lodge a complaint with the Commonwealth Ombudsman. </w:t>
      </w:r>
    </w:p>
    <w:p w14:paraId="3C3EF608" w14:textId="77777777" w:rsidR="0084250D" w:rsidRPr="0084250D" w:rsidRDefault="0084250D" w:rsidP="0084250D">
      <w:pPr>
        <w:spacing w:before="0"/>
        <w:rPr>
          <w:rFonts w:ascii="Times New Roman" w:hAnsi="Times New Roman"/>
          <w:b/>
          <w:bCs/>
          <w:sz w:val="24"/>
          <w:szCs w:val="24"/>
          <w:u w:val="single"/>
          <w:lang w:eastAsia="ja-JP"/>
        </w:rPr>
      </w:pPr>
    </w:p>
    <w:p w14:paraId="4006A090" w14:textId="567169B2" w:rsidR="0009509C" w:rsidRPr="00CB114E" w:rsidRDefault="00D65C8B" w:rsidP="0084250D">
      <w:pPr>
        <w:spacing w:before="0"/>
        <w:rPr>
          <w:rFonts w:ascii="Times New Roman" w:hAnsi="Times New Roman"/>
          <w:b/>
          <w:bCs/>
          <w:sz w:val="24"/>
          <w:szCs w:val="24"/>
          <w:lang w:eastAsia="ja-JP"/>
        </w:rPr>
      </w:pPr>
      <w:r w:rsidRPr="00CB114E">
        <w:rPr>
          <w:rFonts w:ascii="Times New Roman" w:hAnsi="Times New Roman"/>
          <w:b/>
          <w:bCs/>
          <w:sz w:val="24"/>
          <w:szCs w:val="24"/>
          <w:lang w:eastAsia="ja-JP"/>
        </w:rPr>
        <w:t>Statement of the Relevance and Operation of Constitutional Heads of Power</w:t>
      </w:r>
    </w:p>
    <w:p w14:paraId="57F0B4DE" w14:textId="77777777" w:rsidR="0084250D" w:rsidRPr="0084250D" w:rsidRDefault="0084250D" w:rsidP="0084250D">
      <w:pPr>
        <w:spacing w:before="0"/>
        <w:rPr>
          <w:rFonts w:ascii="Times New Roman" w:hAnsi="Times New Roman"/>
          <w:b/>
          <w:bCs/>
          <w:sz w:val="24"/>
          <w:szCs w:val="24"/>
          <w:u w:val="single"/>
          <w:lang w:eastAsia="ja-JP"/>
        </w:rPr>
      </w:pPr>
    </w:p>
    <w:p w14:paraId="7E6C5081" w14:textId="4857955F" w:rsidR="00D65C8B" w:rsidRDefault="00D65C8B" w:rsidP="0084250D">
      <w:pPr>
        <w:spacing w:before="0"/>
        <w:rPr>
          <w:rFonts w:ascii="Times New Roman" w:hAnsi="Times New Roman"/>
          <w:sz w:val="24"/>
          <w:szCs w:val="24"/>
          <w:lang w:eastAsia="ja-JP"/>
        </w:rPr>
      </w:pPr>
      <w:r w:rsidRPr="0084250D">
        <w:rPr>
          <w:rFonts w:ascii="Times New Roman" w:hAnsi="Times New Roman"/>
          <w:sz w:val="24"/>
          <w:szCs w:val="24"/>
          <w:lang w:eastAsia="ja-JP"/>
        </w:rPr>
        <w:t>For the purposes of subsection 33(3) of the Act, the power of the Parliament to make laws with respect to postal, telegraphic, telephonic and other like services (paragraph 51(v) of the Constitution) (the communications power) is specified.</w:t>
      </w:r>
    </w:p>
    <w:p w14:paraId="630A267D" w14:textId="77777777" w:rsidR="0084250D" w:rsidRPr="0084250D" w:rsidRDefault="0084250D" w:rsidP="0084250D">
      <w:pPr>
        <w:spacing w:before="0"/>
        <w:rPr>
          <w:rFonts w:ascii="Times New Roman" w:hAnsi="Times New Roman"/>
          <w:sz w:val="24"/>
          <w:szCs w:val="24"/>
          <w:lang w:eastAsia="ja-JP"/>
        </w:rPr>
      </w:pPr>
    </w:p>
    <w:p w14:paraId="0FC13D44" w14:textId="17738678" w:rsidR="0009509C" w:rsidRDefault="00D65C8B" w:rsidP="0084250D">
      <w:pPr>
        <w:spacing w:before="0"/>
        <w:rPr>
          <w:rFonts w:ascii="Times New Roman" w:hAnsi="Times New Roman"/>
          <w:sz w:val="24"/>
          <w:szCs w:val="24"/>
          <w:lang w:eastAsia="ja-JP"/>
        </w:rPr>
      </w:pPr>
      <w:r w:rsidRPr="0084250D">
        <w:rPr>
          <w:rFonts w:ascii="Times New Roman" w:hAnsi="Times New Roman"/>
          <w:sz w:val="24"/>
          <w:szCs w:val="24"/>
          <w:lang w:eastAsia="ja-JP"/>
        </w:rPr>
        <w:t>Paragraph 51(v) of the Constitution empowers the Parliament to make laws with respect to ‘postal, telegraphic, telephonic and other like services</w:t>
      </w:r>
      <w:r w:rsidR="007D1C4B" w:rsidRPr="0084250D">
        <w:rPr>
          <w:rFonts w:ascii="Times New Roman" w:hAnsi="Times New Roman"/>
          <w:sz w:val="24"/>
          <w:szCs w:val="24"/>
          <w:lang w:eastAsia="ja-JP"/>
        </w:rPr>
        <w:t>’.</w:t>
      </w:r>
    </w:p>
    <w:p w14:paraId="45FA6323" w14:textId="77777777" w:rsidR="0084250D" w:rsidRPr="0084250D" w:rsidRDefault="0084250D" w:rsidP="0084250D">
      <w:pPr>
        <w:spacing w:before="0"/>
        <w:rPr>
          <w:rFonts w:ascii="Times New Roman" w:hAnsi="Times New Roman"/>
          <w:sz w:val="24"/>
          <w:szCs w:val="24"/>
          <w:lang w:eastAsia="ja-JP"/>
        </w:rPr>
      </w:pPr>
    </w:p>
    <w:p w14:paraId="6522714B" w14:textId="034B3DE4" w:rsidR="0056394F" w:rsidRDefault="00C740C3" w:rsidP="0084250D">
      <w:pPr>
        <w:spacing w:before="0"/>
        <w:rPr>
          <w:rFonts w:ascii="Times New Roman" w:hAnsi="Times New Roman"/>
          <w:sz w:val="24"/>
          <w:szCs w:val="24"/>
          <w:lang w:eastAsia="ja-JP"/>
        </w:rPr>
      </w:pPr>
      <w:r w:rsidRPr="0084250D">
        <w:rPr>
          <w:rFonts w:ascii="Times New Roman" w:hAnsi="Times New Roman"/>
          <w:sz w:val="24"/>
          <w:szCs w:val="24"/>
          <w:lang w:eastAsia="ja-JP"/>
        </w:rPr>
        <w:t xml:space="preserve">The Program prescribed by </w:t>
      </w:r>
      <w:r w:rsidR="0056394F" w:rsidRPr="0084250D">
        <w:rPr>
          <w:rFonts w:ascii="Times New Roman" w:hAnsi="Times New Roman"/>
          <w:sz w:val="24"/>
          <w:szCs w:val="24"/>
          <w:lang w:eastAsia="ja-JP"/>
        </w:rPr>
        <w:t>the Legislative Instrument will</w:t>
      </w:r>
      <w:r w:rsidR="002C279F" w:rsidRPr="0084250D">
        <w:rPr>
          <w:rFonts w:ascii="Times New Roman" w:hAnsi="Times New Roman"/>
          <w:sz w:val="24"/>
          <w:szCs w:val="24"/>
          <w:lang w:eastAsia="ja-JP"/>
        </w:rPr>
        <w:t xml:space="preserve"> provide assistance through communication services (internet and telephone) to SME businesses to adopt the Australasian Recycling Label on their packaging</w:t>
      </w:r>
      <w:r w:rsidR="009B1C9D">
        <w:rPr>
          <w:rFonts w:ascii="Times New Roman" w:hAnsi="Times New Roman"/>
          <w:sz w:val="24"/>
          <w:szCs w:val="24"/>
          <w:lang w:eastAsia="ja-JP"/>
        </w:rPr>
        <w:t xml:space="preserve"> and to improve the sustainability of their packaging</w:t>
      </w:r>
      <w:r w:rsidR="002C279F" w:rsidRPr="0084250D">
        <w:rPr>
          <w:rFonts w:ascii="Times New Roman" w:hAnsi="Times New Roman"/>
          <w:sz w:val="24"/>
          <w:szCs w:val="24"/>
          <w:lang w:eastAsia="ja-JP"/>
        </w:rPr>
        <w:t>. This will include education and resources</w:t>
      </w:r>
      <w:r w:rsidR="00434B43" w:rsidRPr="0084250D">
        <w:rPr>
          <w:rFonts w:ascii="Times New Roman" w:hAnsi="Times New Roman"/>
          <w:sz w:val="24"/>
          <w:szCs w:val="24"/>
          <w:lang w:eastAsia="ja-JP"/>
        </w:rPr>
        <w:t xml:space="preserve"> implemented through online communication services</w:t>
      </w:r>
      <w:r w:rsidR="002C279F" w:rsidRPr="0084250D">
        <w:rPr>
          <w:rFonts w:ascii="Times New Roman" w:hAnsi="Times New Roman"/>
          <w:sz w:val="24"/>
          <w:szCs w:val="24"/>
          <w:lang w:eastAsia="ja-JP"/>
        </w:rPr>
        <w:t xml:space="preserve">, </w:t>
      </w:r>
      <w:r w:rsidR="002C279F" w:rsidRPr="0084250D">
        <w:rPr>
          <w:rFonts w:ascii="Times New Roman" w:hAnsi="Times New Roman"/>
          <w:sz w:val="24"/>
          <w:szCs w:val="24"/>
          <w:lang w:eastAsia="ja-JP"/>
        </w:rPr>
        <w:lastRenderedPageBreak/>
        <w:t xml:space="preserve">and </w:t>
      </w:r>
      <w:r w:rsidR="001B2C21">
        <w:rPr>
          <w:rFonts w:ascii="Times New Roman" w:hAnsi="Times New Roman"/>
          <w:sz w:val="24"/>
          <w:szCs w:val="24"/>
          <w:lang w:eastAsia="ja-JP"/>
        </w:rPr>
        <w:t xml:space="preserve">online and </w:t>
      </w:r>
      <w:r w:rsidR="002C279F" w:rsidRPr="0084250D">
        <w:rPr>
          <w:rFonts w:ascii="Times New Roman" w:hAnsi="Times New Roman"/>
          <w:sz w:val="24"/>
          <w:szCs w:val="24"/>
          <w:lang w:eastAsia="ja-JP"/>
        </w:rPr>
        <w:t>telephone support to SME businesses applying the Australasian Recycling to the packaging of their products.</w:t>
      </w:r>
    </w:p>
    <w:p w14:paraId="182A7686" w14:textId="3011B285" w:rsidR="003458DF" w:rsidRDefault="003458DF" w:rsidP="0084250D">
      <w:pPr>
        <w:spacing w:before="0"/>
        <w:rPr>
          <w:rFonts w:ascii="Times New Roman" w:hAnsi="Times New Roman"/>
          <w:sz w:val="24"/>
          <w:szCs w:val="24"/>
          <w:lang w:eastAsia="ja-JP"/>
        </w:rPr>
      </w:pPr>
    </w:p>
    <w:p w14:paraId="31FA68DE" w14:textId="504BCA0A" w:rsidR="003458DF" w:rsidRDefault="003458DF" w:rsidP="0084250D">
      <w:pPr>
        <w:spacing w:before="0"/>
        <w:rPr>
          <w:rFonts w:ascii="Times New Roman" w:hAnsi="Times New Roman"/>
          <w:sz w:val="24"/>
          <w:szCs w:val="24"/>
          <w:lang w:eastAsia="ja-JP"/>
        </w:rPr>
      </w:pPr>
      <w:r>
        <w:rPr>
          <w:rFonts w:ascii="Times New Roman" w:hAnsi="Times New Roman"/>
          <w:sz w:val="24"/>
          <w:szCs w:val="24"/>
          <w:lang w:eastAsia="ja-JP"/>
        </w:rPr>
        <w:t xml:space="preserve">Further details on the Legislative Instrument are set out in </w:t>
      </w:r>
      <w:r w:rsidRPr="003458DF">
        <w:rPr>
          <w:rFonts w:ascii="Times New Roman" w:hAnsi="Times New Roman"/>
          <w:sz w:val="24"/>
          <w:szCs w:val="24"/>
          <w:u w:val="single"/>
          <w:lang w:eastAsia="ja-JP"/>
        </w:rPr>
        <w:t>Attachment A</w:t>
      </w:r>
      <w:r>
        <w:rPr>
          <w:rFonts w:ascii="Times New Roman" w:hAnsi="Times New Roman"/>
          <w:sz w:val="24"/>
          <w:szCs w:val="24"/>
          <w:lang w:eastAsia="ja-JP"/>
        </w:rPr>
        <w:t>.</w:t>
      </w:r>
    </w:p>
    <w:p w14:paraId="4CD36B26" w14:textId="77777777" w:rsidR="0084250D" w:rsidRPr="0084250D" w:rsidRDefault="0084250D" w:rsidP="0084250D">
      <w:pPr>
        <w:spacing w:before="0"/>
        <w:rPr>
          <w:rFonts w:ascii="Times New Roman" w:hAnsi="Times New Roman"/>
          <w:sz w:val="24"/>
          <w:szCs w:val="24"/>
          <w:lang w:eastAsia="ja-JP"/>
        </w:rPr>
      </w:pPr>
    </w:p>
    <w:p w14:paraId="6F23350F" w14:textId="65C27D60" w:rsidR="002C279F" w:rsidRPr="00CB114E" w:rsidRDefault="002C279F" w:rsidP="0084250D">
      <w:pPr>
        <w:spacing w:before="0"/>
        <w:rPr>
          <w:rFonts w:ascii="Times New Roman" w:hAnsi="Times New Roman"/>
          <w:b/>
          <w:bCs/>
          <w:sz w:val="24"/>
          <w:szCs w:val="24"/>
          <w:lang w:eastAsia="ja-JP"/>
        </w:rPr>
      </w:pPr>
      <w:r w:rsidRPr="00CB114E">
        <w:rPr>
          <w:rFonts w:ascii="Times New Roman" w:hAnsi="Times New Roman"/>
          <w:b/>
          <w:bCs/>
          <w:sz w:val="24"/>
          <w:szCs w:val="24"/>
          <w:lang w:eastAsia="ja-JP"/>
        </w:rPr>
        <w:t>Authority</w:t>
      </w:r>
    </w:p>
    <w:p w14:paraId="7150AD47" w14:textId="77777777" w:rsidR="0084250D" w:rsidRPr="0084250D" w:rsidRDefault="0084250D" w:rsidP="0084250D">
      <w:pPr>
        <w:spacing w:before="0"/>
        <w:rPr>
          <w:rFonts w:ascii="Times New Roman" w:hAnsi="Times New Roman"/>
          <w:sz w:val="24"/>
          <w:szCs w:val="24"/>
          <w:lang w:eastAsia="ja-JP"/>
        </w:rPr>
      </w:pPr>
    </w:p>
    <w:p w14:paraId="365E68A1" w14:textId="052AF487" w:rsidR="002C279F" w:rsidRDefault="002C279F" w:rsidP="0084250D">
      <w:pPr>
        <w:spacing w:before="0"/>
        <w:rPr>
          <w:rFonts w:ascii="Times New Roman" w:hAnsi="Times New Roman"/>
          <w:sz w:val="24"/>
          <w:szCs w:val="24"/>
          <w:lang w:eastAsia="ja-JP"/>
        </w:rPr>
      </w:pPr>
      <w:r w:rsidRPr="0084250D">
        <w:rPr>
          <w:rFonts w:ascii="Times New Roman" w:hAnsi="Times New Roman"/>
          <w:sz w:val="24"/>
          <w:szCs w:val="24"/>
          <w:lang w:eastAsia="ja-JP"/>
        </w:rPr>
        <w:t xml:space="preserve">Section 33 of the </w:t>
      </w:r>
      <w:r w:rsidR="00C740C3" w:rsidRPr="0084250D">
        <w:rPr>
          <w:rFonts w:ascii="Times New Roman" w:hAnsi="Times New Roman"/>
          <w:sz w:val="24"/>
          <w:szCs w:val="24"/>
          <w:lang w:eastAsia="ja-JP"/>
        </w:rPr>
        <w:t xml:space="preserve">Act </w:t>
      </w:r>
      <w:r w:rsidRPr="0084250D">
        <w:rPr>
          <w:rFonts w:ascii="Times New Roman" w:hAnsi="Times New Roman"/>
          <w:sz w:val="24"/>
          <w:szCs w:val="24"/>
          <w:lang w:eastAsia="ja-JP"/>
        </w:rPr>
        <w:t>provides authority for the Legislative Instrument.</w:t>
      </w:r>
    </w:p>
    <w:p w14:paraId="5BF39C42" w14:textId="77777777" w:rsidR="0084250D" w:rsidRPr="0084250D" w:rsidRDefault="0084250D" w:rsidP="0084250D">
      <w:pPr>
        <w:spacing w:before="0"/>
        <w:rPr>
          <w:rFonts w:ascii="Times New Roman" w:hAnsi="Times New Roman"/>
          <w:sz w:val="24"/>
          <w:szCs w:val="24"/>
          <w:lang w:eastAsia="ja-JP"/>
        </w:rPr>
      </w:pPr>
    </w:p>
    <w:p w14:paraId="0B766AC5" w14:textId="3F148217" w:rsidR="002C279F" w:rsidRPr="00CB114E" w:rsidRDefault="002C279F" w:rsidP="0084250D">
      <w:pPr>
        <w:spacing w:before="0"/>
        <w:rPr>
          <w:rFonts w:ascii="Times New Roman" w:hAnsi="Times New Roman"/>
          <w:b/>
          <w:bCs/>
          <w:sz w:val="24"/>
          <w:szCs w:val="24"/>
          <w:lang w:eastAsia="ja-JP"/>
        </w:rPr>
      </w:pPr>
      <w:r w:rsidRPr="00CB114E">
        <w:rPr>
          <w:rFonts w:ascii="Times New Roman" w:hAnsi="Times New Roman"/>
          <w:b/>
          <w:bCs/>
          <w:sz w:val="24"/>
          <w:szCs w:val="24"/>
          <w:lang w:eastAsia="ja-JP"/>
        </w:rPr>
        <w:t>Consultation</w:t>
      </w:r>
    </w:p>
    <w:p w14:paraId="10CF8B98" w14:textId="77777777" w:rsidR="0084250D" w:rsidRPr="0084250D" w:rsidRDefault="0084250D" w:rsidP="0084250D">
      <w:pPr>
        <w:spacing w:before="0"/>
        <w:rPr>
          <w:rFonts w:ascii="Times New Roman" w:hAnsi="Times New Roman"/>
          <w:b/>
          <w:bCs/>
          <w:sz w:val="24"/>
          <w:szCs w:val="24"/>
          <w:u w:val="single"/>
          <w:lang w:eastAsia="ja-JP"/>
        </w:rPr>
      </w:pPr>
    </w:p>
    <w:p w14:paraId="2C36BB5A" w14:textId="2BBE792D" w:rsidR="00003407" w:rsidRDefault="00003407" w:rsidP="0084250D">
      <w:pPr>
        <w:spacing w:before="0"/>
        <w:rPr>
          <w:rFonts w:ascii="Times New Roman" w:hAnsi="Times New Roman"/>
          <w:sz w:val="24"/>
          <w:szCs w:val="24"/>
          <w:lang w:eastAsia="ja-JP"/>
        </w:rPr>
      </w:pPr>
      <w:r w:rsidRPr="0084250D">
        <w:rPr>
          <w:rFonts w:ascii="Times New Roman" w:hAnsi="Times New Roman"/>
          <w:sz w:val="24"/>
          <w:szCs w:val="24"/>
          <w:lang w:eastAsia="ja-JP"/>
        </w:rPr>
        <w:t xml:space="preserve">In accordance with section 17 of the </w:t>
      </w:r>
      <w:r w:rsidRPr="0084250D">
        <w:rPr>
          <w:rFonts w:ascii="Times New Roman" w:hAnsi="Times New Roman"/>
          <w:i/>
          <w:iCs/>
          <w:sz w:val="24"/>
          <w:szCs w:val="24"/>
          <w:lang w:eastAsia="ja-JP"/>
        </w:rPr>
        <w:t>Legislation Act 2003</w:t>
      </w:r>
      <w:r w:rsidRPr="0084250D">
        <w:rPr>
          <w:rFonts w:ascii="Times New Roman" w:hAnsi="Times New Roman"/>
          <w:sz w:val="24"/>
          <w:szCs w:val="24"/>
          <w:lang w:eastAsia="ja-JP"/>
        </w:rPr>
        <w:t>,</w:t>
      </w:r>
      <w:r w:rsidR="0084484B" w:rsidRPr="0084250D">
        <w:rPr>
          <w:rFonts w:ascii="Times New Roman" w:hAnsi="Times New Roman"/>
          <w:sz w:val="24"/>
          <w:szCs w:val="24"/>
          <w:lang w:eastAsia="ja-JP"/>
        </w:rPr>
        <w:t xml:space="preserve"> the Attorney-General’s Department and the Department of Industry, Science, Energy and Resources</w:t>
      </w:r>
      <w:r w:rsidR="00236F9B" w:rsidRPr="0084250D">
        <w:rPr>
          <w:rFonts w:ascii="Times New Roman" w:hAnsi="Times New Roman"/>
          <w:sz w:val="24"/>
          <w:szCs w:val="24"/>
          <w:lang w:eastAsia="ja-JP"/>
        </w:rPr>
        <w:t xml:space="preserve"> have</w:t>
      </w:r>
      <w:r w:rsidR="0084484B" w:rsidRPr="0084250D">
        <w:rPr>
          <w:rFonts w:ascii="Times New Roman" w:hAnsi="Times New Roman"/>
          <w:sz w:val="24"/>
          <w:szCs w:val="24"/>
          <w:lang w:eastAsia="ja-JP"/>
        </w:rPr>
        <w:t xml:space="preserve"> been consulted on this Legislative Instrument. </w:t>
      </w:r>
    </w:p>
    <w:p w14:paraId="453B8E16" w14:textId="77777777" w:rsidR="0084250D" w:rsidRPr="0084250D" w:rsidRDefault="0084250D" w:rsidP="0084250D">
      <w:pPr>
        <w:spacing w:before="0"/>
        <w:rPr>
          <w:rFonts w:ascii="Times New Roman" w:hAnsi="Times New Roman"/>
          <w:sz w:val="24"/>
          <w:szCs w:val="24"/>
          <w:lang w:eastAsia="ja-JP"/>
        </w:rPr>
      </w:pPr>
    </w:p>
    <w:p w14:paraId="7CD2D5A3" w14:textId="18C6BA8F" w:rsidR="00D15DC0" w:rsidRDefault="00D15DC0" w:rsidP="0084250D">
      <w:pPr>
        <w:spacing w:before="0"/>
        <w:rPr>
          <w:rFonts w:ascii="Times New Roman" w:hAnsi="Times New Roman"/>
          <w:sz w:val="24"/>
          <w:szCs w:val="24"/>
          <w:lang w:eastAsia="ja-JP"/>
        </w:rPr>
      </w:pPr>
      <w:r w:rsidRPr="0084250D">
        <w:rPr>
          <w:rFonts w:ascii="Times New Roman" w:hAnsi="Times New Roman"/>
          <w:sz w:val="24"/>
          <w:szCs w:val="24"/>
          <w:lang w:eastAsia="ja-JP"/>
        </w:rPr>
        <w:t>The Department will consult with the partnership of key industry representative bodies on an ongoing basis to ensure that the grant will be administered and used effectively to achieve the aims of the Program.</w:t>
      </w:r>
    </w:p>
    <w:p w14:paraId="1AEFCE40" w14:textId="77777777" w:rsidR="0084250D" w:rsidRPr="0084250D" w:rsidRDefault="0084250D" w:rsidP="0084250D">
      <w:pPr>
        <w:spacing w:before="0"/>
        <w:rPr>
          <w:rFonts w:ascii="Times New Roman" w:hAnsi="Times New Roman"/>
          <w:sz w:val="24"/>
          <w:szCs w:val="24"/>
          <w:lang w:eastAsia="ja-JP"/>
        </w:rPr>
      </w:pPr>
    </w:p>
    <w:p w14:paraId="5DE264E4" w14:textId="3C980D65" w:rsidR="0018359B" w:rsidRDefault="0018359B" w:rsidP="0084250D">
      <w:pPr>
        <w:spacing w:before="0"/>
        <w:rPr>
          <w:rFonts w:ascii="Times New Roman" w:hAnsi="Times New Roman"/>
          <w:sz w:val="24"/>
          <w:szCs w:val="24"/>
          <w:lang w:eastAsia="ja-JP"/>
        </w:rPr>
      </w:pPr>
      <w:r w:rsidRPr="0084250D">
        <w:rPr>
          <w:rFonts w:ascii="Times New Roman" w:hAnsi="Times New Roman"/>
          <w:sz w:val="24"/>
          <w:szCs w:val="24"/>
          <w:lang w:eastAsia="ja-JP"/>
        </w:rPr>
        <w:t>The recipient of the grant will provide Program milestone reporting on behalf of the partnership of key industry representative bodies as set out in the guidelines to ensure the grant will be administered and used effectively to achieve the aims of the Program. The Department will consult with the grant recipient and the partnership of key industry representative bodies on the progress of the Program as necessary.</w:t>
      </w:r>
    </w:p>
    <w:p w14:paraId="3046B3A9" w14:textId="77777777" w:rsidR="0084250D" w:rsidRPr="0084250D" w:rsidRDefault="0084250D" w:rsidP="0084250D">
      <w:pPr>
        <w:spacing w:before="0"/>
        <w:rPr>
          <w:rFonts w:ascii="Times New Roman" w:hAnsi="Times New Roman"/>
          <w:sz w:val="24"/>
          <w:szCs w:val="24"/>
          <w:lang w:eastAsia="ja-JP"/>
        </w:rPr>
      </w:pPr>
    </w:p>
    <w:p w14:paraId="253BBA58" w14:textId="7CC83FF8" w:rsidR="002C279F" w:rsidRPr="00CB114E" w:rsidRDefault="002C279F" w:rsidP="0084250D">
      <w:pPr>
        <w:spacing w:before="0"/>
        <w:rPr>
          <w:rFonts w:ascii="Times New Roman" w:hAnsi="Times New Roman"/>
          <w:b/>
          <w:bCs/>
          <w:sz w:val="24"/>
          <w:szCs w:val="24"/>
          <w:lang w:eastAsia="ja-JP"/>
        </w:rPr>
      </w:pPr>
      <w:r w:rsidRPr="00CB114E">
        <w:rPr>
          <w:rFonts w:ascii="Times New Roman" w:hAnsi="Times New Roman"/>
          <w:b/>
          <w:bCs/>
          <w:sz w:val="24"/>
          <w:szCs w:val="24"/>
          <w:lang w:eastAsia="ja-JP"/>
        </w:rPr>
        <w:t>Regulatory Impact</w:t>
      </w:r>
    </w:p>
    <w:p w14:paraId="294AFB51" w14:textId="77777777" w:rsidR="0084250D" w:rsidRPr="0084250D" w:rsidRDefault="0084250D" w:rsidP="0084250D">
      <w:pPr>
        <w:spacing w:before="0"/>
        <w:rPr>
          <w:rFonts w:ascii="Times New Roman" w:hAnsi="Times New Roman"/>
          <w:b/>
          <w:bCs/>
          <w:sz w:val="24"/>
          <w:szCs w:val="24"/>
          <w:u w:val="single"/>
          <w:lang w:eastAsia="ja-JP"/>
        </w:rPr>
      </w:pPr>
    </w:p>
    <w:p w14:paraId="44FBF030" w14:textId="2B77F0D0" w:rsidR="00913291" w:rsidRPr="0084250D" w:rsidRDefault="00212F81" w:rsidP="0084250D">
      <w:pPr>
        <w:spacing w:before="0"/>
        <w:rPr>
          <w:rFonts w:ascii="Times New Roman" w:hAnsi="Times New Roman"/>
          <w:sz w:val="24"/>
          <w:szCs w:val="24"/>
          <w:lang w:eastAsia="ja-JP"/>
        </w:rPr>
      </w:pPr>
      <w:r w:rsidRPr="0084250D">
        <w:rPr>
          <w:rFonts w:ascii="Times New Roman" w:hAnsi="Times New Roman"/>
          <w:sz w:val="24"/>
          <w:szCs w:val="24"/>
          <w:lang w:eastAsia="ja-JP"/>
        </w:rPr>
        <w:t>It is estimated that the regulatory burden is likely to be minor</w:t>
      </w:r>
      <w:r w:rsidR="006B4E28" w:rsidRPr="0084250D">
        <w:rPr>
          <w:rFonts w:ascii="Times New Roman" w:hAnsi="Times New Roman"/>
          <w:sz w:val="24"/>
          <w:szCs w:val="24"/>
          <w:lang w:eastAsia="ja-JP"/>
        </w:rPr>
        <w:t xml:space="preserve"> (OBPR reference number 43498)</w:t>
      </w:r>
      <w:r w:rsidRPr="0084250D">
        <w:rPr>
          <w:rFonts w:ascii="Times New Roman" w:hAnsi="Times New Roman"/>
          <w:sz w:val="24"/>
          <w:szCs w:val="24"/>
          <w:lang w:eastAsia="ja-JP"/>
        </w:rPr>
        <w:t xml:space="preserve">. </w:t>
      </w:r>
    </w:p>
    <w:p w14:paraId="3CAF9484" w14:textId="77777777" w:rsidR="003458DF" w:rsidRDefault="003458DF" w:rsidP="0084250D">
      <w:pPr>
        <w:spacing w:before="0"/>
        <w:rPr>
          <w:rFonts w:ascii="Times New Roman" w:hAnsi="Times New Roman"/>
          <w:sz w:val="24"/>
          <w:szCs w:val="24"/>
          <w:lang w:eastAsia="ja-JP"/>
        </w:rPr>
      </w:pPr>
    </w:p>
    <w:p w14:paraId="6F816CB6" w14:textId="77777777" w:rsidR="003458DF" w:rsidRPr="003458DF" w:rsidRDefault="003458DF" w:rsidP="003458DF">
      <w:pPr>
        <w:spacing w:before="0"/>
        <w:rPr>
          <w:rFonts w:ascii="Times New Roman" w:hAnsi="Times New Roman"/>
          <w:sz w:val="24"/>
          <w:szCs w:val="24"/>
          <w:lang w:eastAsia="ja-JP"/>
        </w:rPr>
      </w:pPr>
      <w:r w:rsidRPr="003458DF">
        <w:rPr>
          <w:rFonts w:ascii="Times New Roman" w:hAnsi="Times New Roman"/>
          <w:b/>
          <w:sz w:val="24"/>
          <w:szCs w:val="24"/>
          <w:lang w:eastAsia="ja-JP"/>
        </w:rPr>
        <w:t>Other</w:t>
      </w:r>
    </w:p>
    <w:p w14:paraId="5334817F" w14:textId="77777777" w:rsidR="003458DF" w:rsidRPr="003458DF" w:rsidRDefault="003458DF" w:rsidP="003458DF">
      <w:pPr>
        <w:spacing w:before="0"/>
        <w:rPr>
          <w:rFonts w:ascii="Times New Roman" w:hAnsi="Times New Roman"/>
          <w:sz w:val="24"/>
          <w:szCs w:val="24"/>
          <w:lang w:eastAsia="ja-JP"/>
        </w:rPr>
      </w:pPr>
    </w:p>
    <w:p w14:paraId="2058B6E3" w14:textId="08325EC9" w:rsidR="003458DF" w:rsidRPr="003458DF" w:rsidRDefault="003458DF" w:rsidP="003458DF">
      <w:pPr>
        <w:spacing w:before="0"/>
        <w:rPr>
          <w:rFonts w:ascii="Times New Roman" w:hAnsi="Times New Roman"/>
          <w:sz w:val="24"/>
          <w:szCs w:val="24"/>
          <w:lang w:eastAsia="ja-JP"/>
        </w:rPr>
      </w:pPr>
      <w:r w:rsidRPr="003458DF">
        <w:rPr>
          <w:rFonts w:ascii="Times New Roman" w:hAnsi="Times New Roman"/>
          <w:iCs/>
          <w:sz w:val="24"/>
          <w:szCs w:val="24"/>
          <w:lang w:eastAsia="ja-JP"/>
        </w:rPr>
        <w:t>The</w:t>
      </w:r>
      <w:r w:rsidRPr="003458DF">
        <w:rPr>
          <w:rFonts w:ascii="Times New Roman" w:hAnsi="Times New Roman"/>
          <w:sz w:val="24"/>
          <w:szCs w:val="24"/>
          <w:lang w:eastAsia="ja-JP"/>
        </w:rPr>
        <w:t> </w:t>
      </w:r>
      <w:r w:rsidRPr="003458DF">
        <w:rPr>
          <w:rFonts w:ascii="Times New Roman" w:hAnsi="Times New Roman"/>
          <w:iCs/>
          <w:sz w:val="24"/>
          <w:szCs w:val="24"/>
          <w:lang w:eastAsia="ja-JP"/>
        </w:rPr>
        <w:t>Legislative Instrument is</w:t>
      </w:r>
      <w:r w:rsidRPr="003458DF">
        <w:rPr>
          <w:rFonts w:ascii="Times New Roman" w:hAnsi="Times New Roman"/>
          <w:sz w:val="24"/>
          <w:szCs w:val="24"/>
          <w:lang w:eastAsia="ja-JP"/>
        </w:rPr>
        <w:t xml:space="preserve"> compatible with the human rights and freedoms recognised or declared under section 3 of the </w:t>
      </w:r>
      <w:r w:rsidRPr="003458DF">
        <w:rPr>
          <w:rFonts w:ascii="Times New Roman" w:hAnsi="Times New Roman"/>
          <w:i/>
          <w:sz w:val="24"/>
          <w:szCs w:val="24"/>
          <w:lang w:eastAsia="ja-JP"/>
        </w:rPr>
        <w:t>Human Rights (Parliamentary Scrutiny) Act 2011.</w:t>
      </w:r>
      <w:r w:rsidRPr="003458DF">
        <w:rPr>
          <w:rFonts w:ascii="Times New Roman" w:hAnsi="Times New Roman"/>
          <w:sz w:val="24"/>
          <w:szCs w:val="24"/>
          <w:lang w:eastAsia="ja-JP"/>
        </w:rPr>
        <w:t xml:space="preserve"> A full statement of compatibility is set out in </w:t>
      </w:r>
      <w:r w:rsidRPr="003458DF">
        <w:rPr>
          <w:rFonts w:ascii="Times New Roman" w:hAnsi="Times New Roman"/>
          <w:sz w:val="24"/>
          <w:szCs w:val="24"/>
          <w:u w:val="single"/>
          <w:lang w:eastAsia="ja-JP"/>
        </w:rPr>
        <w:t>Attachment </w:t>
      </w:r>
      <w:r>
        <w:rPr>
          <w:rFonts w:ascii="Times New Roman" w:hAnsi="Times New Roman"/>
          <w:sz w:val="24"/>
          <w:szCs w:val="24"/>
          <w:u w:val="single"/>
          <w:lang w:eastAsia="ja-JP"/>
        </w:rPr>
        <w:t>B</w:t>
      </w:r>
      <w:r w:rsidRPr="003458DF">
        <w:rPr>
          <w:rFonts w:ascii="Times New Roman" w:hAnsi="Times New Roman"/>
          <w:sz w:val="24"/>
          <w:szCs w:val="24"/>
          <w:lang w:eastAsia="ja-JP"/>
        </w:rPr>
        <w:t>.</w:t>
      </w:r>
    </w:p>
    <w:p w14:paraId="5447D7C8" w14:textId="1E2997C1" w:rsidR="002C279F" w:rsidRPr="0084250D" w:rsidRDefault="00FC21D4" w:rsidP="0084250D">
      <w:pPr>
        <w:spacing w:before="0"/>
        <w:rPr>
          <w:rFonts w:ascii="Times New Roman" w:hAnsi="Times New Roman"/>
          <w:sz w:val="24"/>
          <w:szCs w:val="24"/>
          <w:lang w:eastAsia="ja-JP"/>
        </w:rPr>
      </w:pPr>
      <w:r w:rsidRPr="0084250D">
        <w:rPr>
          <w:rFonts w:ascii="Times New Roman" w:hAnsi="Times New Roman"/>
          <w:sz w:val="24"/>
          <w:szCs w:val="24"/>
          <w:lang w:eastAsia="ja-JP"/>
        </w:rPr>
        <w:br w:type="page"/>
      </w:r>
    </w:p>
    <w:p w14:paraId="40CBA9B4" w14:textId="34A05DD1" w:rsidR="003458DF" w:rsidRDefault="003458DF" w:rsidP="003458DF">
      <w:pPr>
        <w:spacing w:before="0"/>
        <w:jc w:val="right"/>
        <w:rPr>
          <w:rFonts w:ascii="Times New Roman" w:hAnsi="Times New Roman"/>
          <w:b/>
          <w:bCs/>
          <w:sz w:val="24"/>
          <w:szCs w:val="24"/>
          <w:u w:val="single"/>
          <w:lang w:eastAsia="ja-JP"/>
        </w:rPr>
      </w:pPr>
      <w:r>
        <w:rPr>
          <w:rFonts w:ascii="Times New Roman" w:hAnsi="Times New Roman"/>
          <w:b/>
          <w:bCs/>
          <w:sz w:val="24"/>
          <w:szCs w:val="24"/>
          <w:u w:val="single"/>
          <w:lang w:eastAsia="ja-JP"/>
        </w:rPr>
        <w:lastRenderedPageBreak/>
        <w:t>ATTACHMENT A</w:t>
      </w:r>
    </w:p>
    <w:p w14:paraId="35C27324" w14:textId="77777777" w:rsidR="003458DF" w:rsidRDefault="003458DF" w:rsidP="0084250D">
      <w:pPr>
        <w:spacing w:before="0"/>
        <w:rPr>
          <w:rFonts w:ascii="Times New Roman" w:hAnsi="Times New Roman"/>
          <w:b/>
          <w:bCs/>
          <w:sz w:val="24"/>
          <w:szCs w:val="24"/>
          <w:u w:val="single"/>
          <w:lang w:eastAsia="ja-JP"/>
        </w:rPr>
      </w:pPr>
    </w:p>
    <w:p w14:paraId="44AF89DB" w14:textId="603A4052" w:rsidR="002C279F" w:rsidRPr="0084250D" w:rsidRDefault="002C279F" w:rsidP="0084250D">
      <w:pPr>
        <w:spacing w:before="0"/>
        <w:rPr>
          <w:rFonts w:ascii="Times New Roman" w:hAnsi="Times New Roman"/>
          <w:b/>
          <w:bCs/>
          <w:sz w:val="24"/>
          <w:szCs w:val="24"/>
          <w:u w:val="single"/>
          <w:lang w:eastAsia="ja-JP"/>
        </w:rPr>
      </w:pPr>
      <w:r w:rsidRPr="0084250D">
        <w:rPr>
          <w:rFonts w:ascii="Times New Roman" w:hAnsi="Times New Roman"/>
          <w:b/>
          <w:bCs/>
          <w:sz w:val="24"/>
          <w:szCs w:val="24"/>
          <w:u w:val="single"/>
          <w:lang w:eastAsia="ja-JP"/>
        </w:rPr>
        <w:t xml:space="preserve">Details of the </w:t>
      </w:r>
      <w:r w:rsidRPr="0084250D">
        <w:rPr>
          <w:rFonts w:ascii="Times New Roman" w:hAnsi="Times New Roman"/>
          <w:b/>
          <w:bCs/>
          <w:i/>
          <w:iCs/>
          <w:sz w:val="24"/>
          <w:szCs w:val="24"/>
          <w:u w:val="single"/>
          <w:lang w:eastAsia="ja-JP"/>
        </w:rPr>
        <w:t>Industry Research and Development (Australasian Recycling Label Program) Instrument 2021</w:t>
      </w:r>
    </w:p>
    <w:p w14:paraId="03BB73E4" w14:textId="77777777" w:rsidR="002C279F" w:rsidRPr="0084250D" w:rsidRDefault="002C279F" w:rsidP="0084250D">
      <w:pPr>
        <w:spacing w:before="0"/>
        <w:rPr>
          <w:rFonts w:ascii="Times New Roman" w:hAnsi="Times New Roman"/>
          <w:b/>
          <w:bCs/>
          <w:sz w:val="24"/>
          <w:szCs w:val="24"/>
          <w:lang w:eastAsia="ja-JP"/>
        </w:rPr>
      </w:pPr>
    </w:p>
    <w:p w14:paraId="22E8A23A" w14:textId="54955B40" w:rsidR="0056394F" w:rsidRDefault="002C279F" w:rsidP="0084250D">
      <w:pPr>
        <w:spacing w:before="0"/>
        <w:rPr>
          <w:rFonts w:ascii="Times New Roman" w:hAnsi="Times New Roman"/>
          <w:b/>
          <w:bCs/>
          <w:sz w:val="24"/>
          <w:szCs w:val="24"/>
          <w:lang w:eastAsia="ja-JP"/>
        </w:rPr>
      </w:pPr>
      <w:r w:rsidRPr="0084250D">
        <w:rPr>
          <w:rFonts w:ascii="Times New Roman" w:hAnsi="Times New Roman"/>
          <w:b/>
          <w:bCs/>
          <w:sz w:val="24"/>
          <w:szCs w:val="24"/>
          <w:lang w:eastAsia="ja-JP"/>
        </w:rPr>
        <w:t>Section 1 – Name</w:t>
      </w:r>
    </w:p>
    <w:p w14:paraId="00DA7EAB" w14:textId="77777777" w:rsidR="00040C63" w:rsidRPr="0084250D" w:rsidRDefault="00040C63" w:rsidP="0084250D">
      <w:pPr>
        <w:spacing w:before="0"/>
        <w:rPr>
          <w:rFonts w:ascii="Times New Roman" w:hAnsi="Times New Roman"/>
          <w:b/>
          <w:bCs/>
          <w:sz w:val="24"/>
          <w:szCs w:val="24"/>
          <w:lang w:eastAsia="ja-JP"/>
        </w:rPr>
      </w:pPr>
    </w:p>
    <w:p w14:paraId="2EC23A3F" w14:textId="1611ECA6" w:rsidR="002C279F" w:rsidRPr="0084250D" w:rsidRDefault="002C279F" w:rsidP="0084250D">
      <w:pPr>
        <w:pStyle w:val="ListParagraph"/>
        <w:numPr>
          <w:ilvl w:val="0"/>
          <w:numId w:val="18"/>
        </w:numPr>
        <w:spacing w:before="0"/>
        <w:rPr>
          <w:rFonts w:ascii="Times New Roman" w:hAnsi="Times New Roman"/>
          <w:sz w:val="24"/>
          <w:szCs w:val="24"/>
          <w:lang w:eastAsia="ja-JP"/>
        </w:rPr>
      </w:pPr>
      <w:r w:rsidRPr="0084250D">
        <w:rPr>
          <w:rFonts w:ascii="Times New Roman" w:hAnsi="Times New Roman"/>
          <w:sz w:val="24"/>
          <w:szCs w:val="24"/>
          <w:lang w:eastAsia="ja-JP"/>
        </w:rPr>
        <w:t xml:space="preserve">This section specifies the name of the Legislative Instrument as the </w:t>
      </w:r>
      <w:r w:rsidRPr="0084250D">
        <w:rPr>
          <w:rFonts w:ascii="Times New Roman" w:hAnsi="Times New Roman"/>
          <w:i/>
          <w:iCs/>
          <w:sz w:val="24"/>
          <w:szCs w:val="24"/>
          <w:lang w:eastAsia="ja-JP"/>
        </w:rPr>
        <w:t>Industry Research and Development (Australasian Recycling Label Program) Instrument 2021</w:t>
      </w:r>
      <w:r w:rsidR="00D15DC0" w:rsidRPr="0084250D">
        <w:rPr>
          <w:rFonts w:ascii="Times New Roman" w:hAnsi="Times New Roman"/>
          <w:i/>
          <w:iCs/>
          <w:sz w:val="24"/>
          <w:szCs w:val="24"/>
          <w:lang w:eastAsia="ja-JP"/>
        </w:rPr>
        <w:t xml:space="preserve"> </w:t>
      </w:r>
      <w:r w:rsidR="00D15DC0" w:rsidRPr="0084250D">
        <w:rPr>
          <w:rFonts w:ascii="Times New Roman" w:hAnsi="Times New Roman"/>
          <w:sz w:val="24"/>
          <w:szCs w:val="24"/>
          <w:lang w:eastAsia="ja-JP"/>
        </w:rPr>
        <w:t>(the Legislative Instrument)</w:t>
      </w:r>
      <w:r w:rsidRPr="0084250D">
        <w:rPr>
          <w:rFonts w:ascii="Times New Roman" w:hAnsi="Times New Roman"/>
          <w:sz w:val="24"/>
          <w:szCs w:val="24"/>
          <w:lang w:eastAsia="ja-JP"/>
        </w:rPr>
        <w:t>.</w:t>
      </w:r>
    </w:p>
    <w:p w14:paraId="2D86A2D3" w14:textId="77777777" w:rsidR="002C279F" w:rsidRPr="0084250D" w:rsidRDefault="002C279F" w:rsidP="0084250D">
      <w:pPr>
        <w:spacing w:before="0"/>
        <w:rPr>
          <w:rFonts w:ascii="Times New Roman" w:hAnsi="Times New Roman"/>
          <w:b/>
          <w:bCs/>
          <w:sz w:val="24"/>
          <w:szCs w:val="24"/>
          <w:lang w:eastAsia="ja-JP"/>
        </w:rPr>
      </w:pPr>
    </w:p>
    <w:p w14:paraId="761713A2" w14:textId="593A267C" w:rsidR="002C279F" w:rsidRDefault="002C279F" w:rsidP="0084250D">
      <w:pPr>
        <w:spacing w:before="0"/>
        <w:rPr>
          <w:rFonts w:ascii="Times New Roman" w:hAnsi="Times New Roman"/>
          <w:b/>
          <w:bCs/>
          <w:sz w:val="24"/>
          <w:szCs w:val="24"/>
          <w:lang w:eastAsia="ja-JP"/>
        </w:rPr>
      </w:pPr>
      <w:r w:rsidRPr="0084250D">
        <w:rPr>
          <w:rFonts w:ascii="Times New Roman" w:hAnsi="Times New Roman"/>
          <w:b/>
          <w:bCs/>
          <w:sz w:val="24"/>
          <w:szCs w:val="24"/>
          <w:lang w:eastAsia="ja-JP"/>
        </w:rPr>
        <w:t>Section 2 – Commencement</w:t>
      </w:r>
    </w:p>
    <w:p w14:paraId="26E33E03" w14:textId="77777777" w:rsidR="00040C63" w:rsidRPr="0084250D" w:rsidRDefault="00040C63" w:rsidP="0084250D">
      <w:pPr>
        <w:spacing w:before="0"/>
        <w:rPr>
          <w:rFonts w:ascii="Times New Roman" w:hAnsi="Times New Roman"/>
          <w:b/>
          <w:bCs/>
          <w:sz w:val="24"/>
          <w:szCs w:val="24"/>
          <w:lang w:eastAsia="ja-JP"/>
        </w:rPr>
      </w:pPr>
    </w:p>
    <w:p w14:paraId="4ABDBBEA" w14:textId="69CF9EAE" w:rsidR="002C279F" w:rsidRPr="0084250D" w:rsidRDefault="002C279F" w:rsidP="0084250D">
      <w:pPr>
        <w:pStyle w:val="ListParagraph"/>
        <w:numPr>
          <w:ilvl w:val="0"/>
          <w:numId w:val="18"/>
        </w:numPr>
        <w:spacing w:before="0"/>
        <w:rPr>
          <w:rFonts w:ascii="Times New Roman" w:hAnsi="Times New Roman"/>
          <w:sz w:val="24"/>
          <w:szCs w:val="24"/>
          <w:lang w:eastAsia="ja-JP"/>
        </w:rPr>
      </w:pPr>
      <w:r w:rsidRPr="0084250D">
        <w:rPr>
          <w:rFonts w:ascii="Times New Roman" w:hAnsi="Times New Roman"/>
          <w:sz w:val="24"/>
          <w:szCs w:val="24"/>
          <w:lang w:eastAsia="ja-JP"/>
        </w:rPr>
        <w:t>This section provides that the Legislative Instrument commences on the day after registration on the Federal Register of Legislation.</w:t>
      </w:r>
    </w:p>
    <w:p w14:paraId="5D07658E" w14:textId="7FCFEB73" w:rsidR="002C279F" w:rsidRPr="0084250D" w:rsidRDefault="002C279F" w:rsidP="0084250D">
      <w:pPr>
        <w:spacing w:before="0"/>
        <w:rPr>
          <w:rFonts w:ascii="Times New Roman" w:hAnsi="Times New Roman"/>
          <w:sz w:val="24"/>
          <w:szCs w:val="24"/>
          <w:lang w:eastAsia="ja-JP"/>
        </w:rPr>
      </w:pPr>
    </w:p>
    <w:p w14:paraId="66888613" w14:textId="76CECBA8" w:rsidR="002C279F" w:rsidRDefault="002C279F" w:rsidP="0084250D">
      <w:pPr>
        <w:spacing w:before="0"/>
        <w:rPr>
          <w:rFonts w:ascii="Times New Roman" w:hAnsi="Times New Roman"/>
          <w:b/>
          <w:bCs/>
          <w:sz w:val="24"/>
          <w:szCs w:val="24"/>
          <w:lang w:eastAsia="ja-JP"/>
        </w:rPr>
      </w:pPr>
      <w:r w:rsidRPr="0084250D">
        <w:rPr>
          <w:rFonts w:ascii="Times New Roman" w:hAnsi="Times New Roman"/>
          <w:b/>
          <w:bCs/>
          <w:sz w:val="24"/>
          <w:szCs w:val="24"/>
          <w:lang w:eastAsia="ja-JP"/>
        </w:rPr>
        <w:t xml:space="preserve">Section 3 – Authority </w:t>
      </w:r>
    </w:p>
    <w:p w14:paraId="7667F2AD" w14:textId="77777777" w:rsidR="00040C63" w:rsidRPr="0084250D" w:rsidRDefault="00040C63" w:rsidP="0084250D">
      <w:pPr>
        <w:spacing w:before="0"/>
        <w:rPr>
          <w:rFonts w:ascii="Times New Roman" w:hAnsi="Times New Roman"/>
          <w:b/>
          <w:bCs/>
          <w:sz w:val="24"/>
          <w:szCs w:val="24"/>
          <w:lang w:eastAsia="ja-JP"/>
        </w:rPr>
      </w:pPr>
    </w:p>
    <w:p w14:paraId="38304760" w14:textId="1D415A90" w:rsidR="002C279F" w:rsidRPr="0084250D" w:rsidRDefault="002C279F" w:rsidP="0084250D">
      <w:pPr>
        <w:pStyle w:val="ListParagraph"/>
        <w:numPr>
          <w:ilvl w:val="0"/>
          <w:numId w:val="18"/>
        </w:numPr>
        <w:spacing w:before="0"/>
        <w:rPr>
          <w:rFonts w:ascii="Times New Roman" w:hAnsi="Times New Roman"/>
          <w:sz w:val="24"/>
          <w:szCs w:val="24"/>
          <w:lang w:eastAsia="ja-JP"/>
        </w:rPr>
      </w:pPr>
      <w:r w:rsidRPr="0084250D">
        <w:rPr>
          <w:rFonts w:ascii="Times New Roman" w:hAnsi="Times New Roman"/>
          <w:sz w:val="24"/>
          <w:szCs w:val="24"/>
          <w:lang w:eastAsia="ja-JP"/>
        </w:rPr>
        <w:t xml:space="preserve">This section specifies the provision of the </w:t>
      </w:r>
      <w:r w:rsidRPr="0084250D">
        <w:rPr>
          <w:rFonts w:ascii="Times New Roman" w:hAnsi="Times New Roman"/>
          <w:i/>
          <w:iCs/>
          <w:sz w:val="24"/>
          <w:szCs w:val="24"/>
          <w:lang w:eastAsia="ja-JP"/>
        </w:rPr>
        <w:t>Industry Research and Development Act 1986</w:t>
      </w:r>
      <w:r w:rsidRPr="0084250D">
        <w:rPr>
          <w:rFonts w:ascii="Times New Roman" w:hAnsi="Times New Roman"/>
          <w:sz w:val="24"/>
          <w:szCs w:val="24"/>
          <w:lang w:eastAsia="ja-JP"/>
        </w:rPr>
        <w:t xml:space="preserve"> (the Act) under which the Legislative Instrument is made. </w:t>
      </w:r>
    </w:p>
    <w:p w14:paraId="0393361E" w14:textId="418FDD0A" w:rsidR="00CC5C52" w:rsidRPr="0084250D" w:rsidRDefault="00CC5C52" w:rsidP="0084250D">
      <w:pPr>
        <w:spacing w:before="0"/>
        <w:rPr>
          <w:rFonts w:ascii="Times New Roman" w:hAnsi="Times New Roman"/>
          <w:sz w:val="24"/>
          <w:szCs w:val="24"/>
          <w:lang w:eastAsia="ja-JP"/>
        </w:rPr>
      </w:pPr>
    </w:p>
    <w:p w14:paraId="471F9A30" w14:textId="0CD5C06D" w:rsidR="00CC5C52" w:rsidRDefault="00CC5C52" w:rsidP="0084250D">
      <w:pPr>
        <w:spacing w:before="0"/>
        <w:rPr>
          <w:rFonts w:ascii="Times New Roman" w:hAnsi="Times New Roman"/>
          <w:b/>
          <w:bCs/>
          <w:sz w:val="24"/>
          <w:szCs w:val="24"/>
          <w:lang w:eastAsia="ja-JP"/>
        </w:rPr>
      </w:pPr>
      <w:r w:rsidRPr="0084250D">
        <w:rPr>
          <w:rFonts w:ascii="Times New Roman" w:hAnsi="Times New Roman"/>
          <w:b/>
          <w:bCs/>
          <w:sz w:val="24"/>
          <w:szCs w:val="24"/>
          <w:lang w:eastAsia="ja-JP"/>
        </w:rPr>
        <w:t xml:space="preserve">Section 4 – Definitions </w:t>
      </w:r>
    </w:p>
    <w:p w14:paraId="7F43C686" w14:textId="77777777" w:rsidR="00040C63" w:rsidRPr="0084250D" w:rsidRDefault="00040C63" w:rsidP="0084250D">
      <w:pPr>
        <w:spacing w:before="0"/>
        <w:rPr>
          <w:rFonts w:ascii="Times New Roman" w:hAnsi="Times New Roman"/>
          <w:b/>
          <w:bCs/>
          <w:sz w:val="24"/>
          <w:szCs w:val="24"/>
          <w:lang w:eastAsia="ja-JP"/>
        </w:rPr>
      </w:pPr>
    </w:p>
    <w:p w14:paraId="2FC58CB1" w14:textId="22AE0DA5" w:rsidR="00CC5C52" w:rsidRPr="0084250D" w:rsidRDefault="00CC5C52" w:rsidP="0084250D">
      <w:pPr>
        <w:pStyle w:val="ListParagraph"/>
        <w:numPr>
          <w:ilvl w:val="0"/>
          <w:numId w:val="18"/>
        </w:numPr>
        <w:spacing w:before="0"/>
        <w:rPr>
          <w:rFonts w:ascii="Times New Roman" w:hAnsi="Times New Roman"/>
          <w:sz w:val="24"/>
          <w:szCs w:val="24"/>
          <w:lang w:eastAsia="ja-JP"/>
        </w:rPr>
      </w:pPr>
      <w:r w:rsidRPr="0084250D">
        <w:rPr>
          <w:rFonts w:ascii="Times New Roman" w:hAnsi="Times New Roman"/>
          <w:sz w:val="24"/>
          <w:szCs w:val="24"/>
          <w:lang w:eastAsia="ja-JP"/>
        </w:rPr>
        <w:t>This section provides for definitions of terms used in the Legislative Instrument</w:t>
      </w:r>
      <w:r w:rsidR="00D15DC0" w:rsidRPr="0084250D">
        <w:rPr>
          <w:rFonts w:ascii="Times New Roman" w:hAnsi="Times New Roman"/>
          <w:sz w:val="24"/>
          <w:szCs w:val="24"/>
          <w:lang w:eastAsia="ja-JP"/>
        </w:rPr>
        <w:t>.</w:t>
      </w:r>
    </w:p>
    <w:p w14:paraId="5FB59684" w14:textId="545C20EA" w:rsidR="00CC5C52" w:rsidRPr="0084250D" w:rsidRDefault="00CC5C52" w:rsidP="0084250D">
      <w:pPr>
        <w:spacing w:before="0"/>
        <w:rPr>
          <w:rFonts w:ascii="Times New Roman" w:hAnsi="Times New Roman"/>
          <w:sz w:val="24"/>
          <w:szCs w:val="24"/>
          <w:lang w:eastAsia="ja-JP"/>
        </w:rPr>
      </w:pPr>
    </w:p>
    <w:p w14:paraId="6D679E7A" w14:textId="6623F3F8" w:rsidR="00CC5C52" w:rsidRDefault="00CC5C52" w:rsidP="0084250D">
      <w:pPr>
        <w:spacing w:before="0"/>
        <w:rPr>
          <w:rFonts w:ascii="Times New Roman" w:hAnsi="Times New Roman"/>
          <w:b/>
          <w:bCs/>
          <w:sz w:val="24"/>
          <w:szCs w:val="24"/>
          <w:lang w:eastAsia="ja-JP"/>
        </w:rPr>
      </w:pPr>
      <w:r w:rsidRPr="0084250D">
        <w:rPr>
          <w:rFonts w:ascii="Times New Roman" w:hAnsi="Times New Roman"/>
          <w:b/>
          <w:bCs/>
          <w:sz w:val="24"/>
          <w:szCs w:val="24"/>
          <w:lang w:eastAsia="ja-JP"/>
        </w:rPr>
        <w:t xml:space="preserve">Section 5 – Prescribed </w:t>
      </w:r>
      <w:r w:rsidR="00F421B7" w:rsidRPr="0084250D">
        <w:rPr>
          <w:rFonts w:ascii="Times New Roman" w:hAnsi="Times New Roman"/>
          <w:b/>
          <w:bCs/>
          <w:sz w:val="24"/>
          <w:szCs w:val="24"/>
          <w:lang w:eastAsia="ja-JP"/>
        </w:rPr>
        <w:t>p</w:t>
      </w:r>
      <w:r w:rsidRPr="0084250D">
        <w:rPr>
          <w:rFonts w:ascii="Times New Roman" w:hAnsi="Times New Roman"/>
          <w:b/>
          <w:bCs/>
          <w:sz w:val="24"/>
          <w:szCs w:val="24"/>
          <w:lang w:eastAsia="ja-JP"/>
        </w:rPr>
        <w:t>rogram</w:t>
      </w:r>
    </w:p>
    <w:p w14:paraId="0C536383" w14:textId="77777777" w:rsidR="00040C63" w:rsidRPr="0084250D" w:rsidRDefault="00040C63" w:rsidP="0084250D">
      <w:pPr>
        <w:spacing w:before="0"/>
        <w:rPr>
          <w:rFonts w:ascii="Times New Roman" w:hAnsi="Times New Roman"/>
          <w:b/>
          <w:bCs/>
          <w:sz w:val="24"/>
          <w:szCs w:val="24"/>
          <w:lang w:eastAsia="ja-JP"/>
        </w:rPr>
      </w:pPr>
    </w:p>
    <w:p w14:paraId="5540643F" w14:textId="761D5A13" w:rsidR="00CC5C52" w:rsidRDefault="00CC5C52" w:rsidP="0084250D">
      <w:pPr>
        <w:pStyle w:val="ListParagraph"/>
        <w:numPr>
          <w:ilvl w:val="0"/>
          <w:numId w:val="18"/>
        </w:numPr>
        <w:spacing w:before="0"/>
        <w:rPr>
          <w:rFonts w:ascii="Times New Roman" w:hAnsi="Times New Roman"/>
          <w:sz w:val="24"/>
          <w:szCs w:val="24"/>
          <w:lang w:eastAsia="ja-JP"/>
        </w:rPr>
      </w:pPr>
      <w:r w:rsidRPr="0084250D">
        <w:rPr>
          <w:rFonts w:ascii="Times New Roman" w:hAnsi="Times New Roman"/>
          <w:sz w:val="24"/>
          <w:szCs w:val="24"/>
          <w:lang w:eastAsia="ja-JP"/>
        </w:rPr>
        <w:t xml:space="preserve">This section prescribes the Australasian Recycling Label Program (the Program) for the purposes of </w:t>
      </w:r>
      <w:r w:rsidR="00D15DC0" w:rsidRPr="0084250D">
        <w:rPr>
          <w:rFonts w:ascii="Times New Roman" w:hAnsi="Times New Roman"/>
          <w:sz w:val="24"/>
          <w:szCs w:val="24"/>
          <w:lang w:eastAsia="ja-JP"/>
        </w:rPr>
        <w:t>sub</w:t>
      </w:r>
      <w:r w:rsidRPr="0084250D">
        <w:rPr>
          <w:rFonts w:ascii="Times New Roman" w:hAnsi="Times New Roman"/>
          <w:sz w:val="24"/>
          <w:szCs w:val="24"/>
          <w:lang w:eastAsia="ja-JP"/>
        </w:rPr>
        <w:t>section 33</w:t>
      </w:r>
      <w:r w:rsidR="00D15DC0" w:rsidRPr="0084250D">
        <w:rPr>
          <w:rFonts w:ascii="Times New Roman" w:hAnsi="Times New Roman"/>
          <w:sz w:val="24"/>
          <w:szCs w:val="24"/>
          <w:lang w:eastAsia="ja-JP"/>
        </w:rPr>
        <w:t>(1)</w:t>
      </w:r>
      <w:r w:rsidRPr="0084250D">
        <w:rPr>
          <w:rFonts w:ascii="Times New Roman" w:hAnsi="Times New Roman"/>
          <w:sz w:val="24"/>
          <w:szCs w:val="24"/>
          <w:lang w:eastAsia="ja-JP"/>
        </w:rPr>
        <w:t xml:space="preserve"> of the Act.</w:t>
      </w:r>
    </w:p>
    <w:p w14:paraId="5F1581AA" w14:textId="77777777" w:rsidR="00040C63" w:rsidRPr="0084250D" w:rsidRDefault="00040C63" w:rsidP="00040C63">
      <w:pPr>
        <w:pStyle w:val="ListParagraph"/>
        <w:spacing w:before="0"/>
        <w:rPr>
          <w:rFonts w:ascii="Times New Roman" w:hAnsi="Times New Roman"/>
          <w:sz w:val="24"/>
          <w:szCs w:val="24"/>
          <w:lang w:eastAsia="ja-JP"/>
        </w:rPr>
      </w:pPr>
    </w:p>
    <w:p w14:paraId="5125E501" w14:textId="3A0B707C" w:rsidR="00CC5C52" w:rsidRDefault="00CC5C52" w:rsidP="0084250D">
      <w:pPr>
        <w:pStyle w:val="ListParagraph"/>
        <w:numPr>
          <w:ilvl w:val="0"/>
          <w:numId w:val="18"/>
        </w:numPr>
        <w:spacing w:before="0"/>
        <w:rPr>
          <w:rFonts w:ascii="Times New Roman" w:hAnsi="Times New Roman"/>
          <w:sz w:val="24"/>
          <w:szCs w:val="24"/>
          <w:lang w:eastAsia="ja-JP"/>
        </w:rPr>
      </w:pPr>
      <w:r w:rsidRPr="0084250D">
        <w:rPr>
          <w:rFonts w:ascii="Times New Roman" w:hAnsi="Times New Roman"/>
          <w:sz w:val="24"/>
          <w:szCs w:val="24"/>
          <w:lang w:eastAsia="ja-JP"/>
        </w:rPr>
        <w:t xml:space="preserve">The purpose of the Program is to </w:t>
      </w:r>
      <w:r w:rsidR="002B4155" w:rsidRPr="0084250D">
        <w:rPr>
          <w:rFonts w:ascii="Times New Roman" w:hAnsi="Times New Roman"/>
          <w:sz w:val="24"/>
          <w:szCs w:val="24"/>
          <w:lang w:eastAsia="ja-JP"/>
        </w:rPr>
        <w:t>provide</w:t>
      </w:r>
      <w:r w:rsidR="00EA3C84" w:rsidRPr="0084250D">
        <w:rPr>
          <w:rFonts w:ascii="Times New Roman" w:hAnsi="Times New Roman"/>
          <w:sz w:val="24"/>
          <w:szCs w:val="24"/>
          <w:lang w:eastAsia="ja-JP"/>
        </w:rPr>
        <w:t xml:space="preserve"> funding to industry representative bodies to develop and deliver (online or by telephone) education, resources and assistance to </w:t>
      </w:r>
      <w:r w:rsidR="00A758F2">
        <w:rPr>
          <w:rFonts w:ascii="Times New Roman" w:hAnsi="Times New Roman"/>
          <w:sz w:val="24"/>
          <w:szCs w:val="24"/>
          <w:lang w:eastAsia="ja-JP"/>
        </w:rPr>
        <w:t xml:space="preserve">encourage and support </w:t>
      </w:r>
      <w:r w:rsidR="00EA3C84" w:rsidRPr="0084250D">
        <w:rPr>
          <w:rFonts w:ascii="Times New Roman" w:hAnsi="Times New Roman"/>
          <w:sz w:val="24"/>
          <w:szCs w:val="24"/>
          <w:lang w:eastAsia="ja-JP"/>
        </w:rPr>
        <w:t>small to medium enterprise</w:t>
      </w:r>
      <w:r w:rsidR="00C130A3" w:rsidRPr="0084250D">
        <w:rPr>
          <w:rFonts w:ascii="Times New Roman" w:hAnsi="Times New Roman"/>
          <w:sz w:val="24"/>
          <w:szCs w:val="24"/>
          <w:lang w:eastAsia="ja-JP"/>
        </w:rPr>
        <w:t>s</w:t>
      </w:r>
      <w:r w:rsidR="00EA3C84" w:rsidRPr="0084250D">
        <w:rPr>
          <w:rFonts w:ascii="Times New Roman" w:hAnsi="Times New Roman"/>
          <w:sz w:val="24"/>
          <w:szCs w:val="24"/>
          <w:lang w:eastAsia="ja-JP"/>
        </w:rPr>
        <w:t xml:space="preserve"> (SME</w:t>
      </w:r>
      <w:r w:rsidR="00C130A3" w:rsidRPr="0084250D">
        <w:rPr>
          <w:rFonts w:ascii="Times New Roman" w:hAnsi="Times New Roman"/>
          <w:sz w:val="24"/>
          <w:szCs w:val="24"/>
          <w:lang w:eastAsia="ja-JP"/>
        </w:rPr>
        <w:t>s</w:t>
      </w:r>
      <w:r w:rsidR="00EA3C84" w:rsidRPr="0084250D">
        <w:rPr>
          <w:rFonts w:ascii="Times New Roman" w:hAnsi="Times New Roman"/>
          <w:sz w:val="24"/>
          <w:szCs w:val="24"/>
          <w:lang w:eastAsia="ja-JP"/>
        </w:rPr>
        <w:t>) to</w:t>
      </w:r>
      <w:r w:rsidR="00B822A6" w:rsidRPr="0084250D">
        <w:rPr>
          <w:rFonts w:ascii="Times New Roman" w:hAnsi="Times New Roman"/>
          <w:sz w:val="24"/>
          <w:szCs w:val="24"/>
          <w:lang w:eastAsia="ja-JP"/>
        </w:rPr>
        <w:t xml:space="preserve"> adopt</w:t>
      </w:r>
      <w:r w:rsidR="00EA3C84" w:rsidRPr="0084250D">
        <w:rPr>
          <w:rFonts w:ascii="Times New Roman" w:hAnsi="Times New Roman"/>
          <w:sz w:val="24"/>
          <w:szCs w:val="24"/>
          <w:lang w:eastAsia="ja-JP"/>
        </w:rPr>
        <w:t xml:space="preserve"> the Austral</w:t>
      </w:r>
      <w:r w:rsidR="00C130A3" w:rsidRPr="0084250D">
        <w:rPr>
          <w:rFonts w:ascii="Times New Roman" w:hAnsi="Times New Roman"/>
          <w:sz w:val="24"/>
          <w:szCs w:val="24"/>
          <w:lang w:eastAsia="ja-JP"/>
        </w:rPr>
        <w:t>as</w:t>
      </w:r>
      <w:r w:rsidR="00EA3C84" w:rsidRPr="0084250D">
        <w:rPr>
          <w:rFonts w:ascii="Times New Roman" w:hAnsi="Times New Roman"/>
          <w:sz w:val="24"/>
          <w:szCs w:val="24"/>
          <w:lang w:eastAsia="ja-JP"/>
        </w:rPr>
        <w:t>ian Recycling Label on their packaging</w:t>
      </w:r>
      <w:r w:rsidR="00EB244C">
        <w:rPr>
          <w:rFonts w:ascii="Times New Roman" w:hAnsi="Times New Roman"/>
          <w:sz w:val="24"/>
          <w:szCs w:val="24"/>
          <w:lang w:eastAsia="ja-JP"/>
        </w:rPr>
        <w:t xml:space="preserve"> and </w:t>
      </w:r>
      <w:r w:rsidR="00A758F2">
        <w:rPr>
          <w:rFonts w:ascii="Times New Roman" w:hAnsi="Times New Roman"/>
          <w:sz w:val="24"/>
          <w:szCs w:val="24"/>
          <w:lang w:eastAsia="ja-JP"/>
        </w:rPr>
        <w:t xml:space="preserve">improve </w:t>
      </w:r>
      <w:r w:rsidR="00EB244C">
        <w:rPr>
          <w:rFonts w:ascii="Times New Roman" w:hAnsi="Times New Roman"/>
          <w:sz w:val="24"/>
          <w:szCs w:val="24"/>
          <w:lang w:eastAsia="ja-JP"/>
        </w:rPr>
        <w:t>the sustainability of their packaging</w:t>
      </w:r>
      <w:r w:rsidR="00EA3C84" w:rsidRPr="0084250D">
        <w:rPr>
          <w:rFonts w:ascii="Times New Roman" w:hAnsi="Times New Roman"/>
          <w:sz w:val="24"/>
          <w:szCs w:val="24"/>
          <w:lang w:eastAsia="ja-JP"/>
        </w:rPr>
        <w:t>.</w:t>
      </w:r>
    </w:p>
    <w:p w14:paraId="6EF175B8" w14:textId="77777777" w:rsidR="00040C63" w:rsidRPr="00040C63" w:rsidRDefault="00040C63" w:rsidP="00040C63">
      <w:pPr>
        <w:spacing w:before="0"/>
        <w:rPr>
          <w:rFonts w:ascii="Times New Roman" w:hAnsi="Times New Roman"/>
          <w:sz w:val="24"/>
          <w:szCs w:val="24"/>
          <w:lang w:eastAsia="ja-JP"/>
        </w:rPr>
      </w:pPr>
    </w:p>
    <w:p w14:paraId="31FB7EFC" w14:textId="70331EF6" w:rsidR="00FC32DB" w:rsidRPr="0084250D" w:rsidRDefault="00CB2B43" w:rsidP="0084250D">
      <w:pPr>
        <w:pStyle w:val="ListParagraph"/>
        <w:numPr>
          <w:ilvl w:val="0"/>
          <w:numId w:val="18"/>
        </w:numPr>
        <w:spacing w:before="0"/>
        <w:rPr>
          <w:rFonts w:ascii="Times New Roman" w:hAnsi="Times New Roman"/>
          <w:sz w:val="24"/>
          <w:szCs w:val="24"/>
          <w:lang w:eastAsia="ja-JP"/>
        </w:rPr>
      </w:pPr>
      <w:r w:rsidRPr="0084250D">
        <w:rPr>
          <w:rFonts w:ascii="Times New Roman" w:hAnsi="Times New Roman"/>
          <w:sz w:val="24"/>
          <w:szCs w:val="24"/>
          <w:lang w:eastAsia="ja-JP"/>
        </w:rPr>
        <w:t>T</w:t>
      </w:r>
      <w:r w:rsidR="00B50FFD" w:rsidRPr="0084250D">
        <w:rPr>
          <w:rFonts w:ascii="Times New Roman" w:hAnsi="Times New Roman"/>
          <w:sz w:val="24"/>
          <w:szCs w:val="24"/>
          <w:lang w:eastAsia="ja-JP"/>
        </w:rPr>
        <w:t xml:space="preserve">he Australasian Recycling Label is the only verified label that informs Australian consumers on how to correctly dispose of each part of </w:t>
      </w:r>
      <w:r w:rsidRPr="0084250D">
        <w:rPr>
          <w:rFonts w:ascii="Times New Roman" w:hAnsi="Times New Roman"/>
          <w:sz w:val="24"/>
          <w:szCs w:val="24"/>
          <w:lang w:eastAsia="ja-JP"/>
        </w:rPr>
        <w:t xml:space="preserve">a </w:t>
      </w:r>
      <w:r w:rsidR="00B50FFD" w:rsidRPr="0084250D">
        <w:rPr>
          <w:rFonts w:ascii="Times New Roman" w:hAnsi="Times New Roman"/>
          <w:sz w:val="24"/>
          <w:szCs w:val="24"/>
          <w:lang w:eastAsia="ja-JP"/>
        </w:rPr>
        <w:t>product’s packaging. The Australasian Recycling Label helps to improve consumer recycling behaviours to reduce contamination in kerbside bins, leading to the reduction of recyclable materials being sent to landfill and cleaner recycling streams.</w:t>
      </w:r>
    </w:p>
    <w:p w14:paraId="50E425AE" w14:textId="5B865B80" w:rsidR="00B50FFD" w:rsidRPr="0084250D" w:rsidRDefault="00B50FFD" w:rsidP="0084250D">
      <w:pPr>
        <w:spacing w:before="0"/>
        <w:rPr>
          <w:rFonts w:ascii="Times New Roman" w:hAnsi="Times New Roman"/>
          <w:sz w:val="24"/>
          <w:szCs w:val="24"/>
          <w:lang w:eastAsia="ja-JP"/>
        </w:rPr>
      </w:pPr>
    </w:p>
    <w:p w14:paraId="0415720E" w14:textId="3AA2A8A8" w:rsidR="00040C63" w:rsidRDefault="00B50FFD" w:rsidP="0084250D">
      <w:pPr>
        <w:spacing w:before="0"/>
        <w:rPr>
          <w:rFonts w:ascii="Times New Roman" w:hAnsi="Times New Roman"/>
          <w:b/>
          <w:bCs/>
          <w:sz w:val="24"/>
          <w:szCs w:val="24"/>
          <w:lang w:eastAsia="ja-JP"/>
        </w:rPr>
      </w:pPr>
      <w:r w:rsidRPr="0084250D">
        <w:rPr>
          <w:rFonts w:ascii="Times New Roman" w:hAnsi="Times New Roman"/>
          <w:b/>
          <w:bCs/>
          <w:sz w:val="24"/>
          <w:szCs w:val="24"/>
          <w:lang w:eastAsia="ja-JP"/>
        </w:rPr>
        <w:t xml:space="preserve">Section 6 – Specified </w:t>
      </w:r>
      <w:r w:rsidR="00F421B7" w:rsidRPr="0084250D">
        <w:rPr>
          <w:rFonts w:ascii="Times New Roman" w:hAnsi="Times New Roman"/>
          <w:b/>
          <w:bCs/>
          <w:sz w:val="24"/>
          <w:szCs w:val="24"/>
          <w:lang w:eastAsia="ja-JP"/>
        </w:rPr>
        <w:t>l</w:t>
      </w:r>
      <w:r w:rsidRPr="0084250D">
        <w:rPr>
          <w:rFonts w:ascii="Times New Roman" w:hAnsi="Times New Roman"/>
          <w:b/>
          <w:bCs/>
          <w:sz w:val="24"/>
          <w:szCs w:val="24"/>
          <w:lang w:eastAsia="ja-JP"/>
        </w:rPr>
        <w:t xml:space="preserve">egislative </w:t>
      </w:r>
      <w:r w:rsidR="00F421B7" w:rsidRPr="0084250D">
        <w:rPr>
          <w:rFonts w:ascii="Times New Roman" w:hAnsi="Times New Roman"/>
          <w:b/>
          <w:bCs/>
          <w:sz w:val="24"/>
          <w:szCs w:val="24"/>
          <w:lang w:eastAsia="ja-JP"/>
        </w:rPr>
        <w:t>p</w:t>
      </w:r>
      <w:r w:rsidRPr="0084250D">
        <w:rPr>
          <w:rFonts w:ascii="Times New Roman" w:hAnsi="Times New Roman"/>
          <w:b/>
          <w:bCs/>
          <w:sz w:val="24"/>
          <w:szCs w:val="24"/>
          <w:lang w:eastAsia="ja-JP"/>
        </w:rPr>
        <w:t>ower</w:t>
      </w:r>
    </w:p>
    <w:p w14:paraId="0D2D16F7" w14:textId="77777777" w:rsidR="00040C63" w:rsidRPr="0084250D" w:rsidRDefault="00040C63" w:rsidP="0084250D">
      <w:pPr>
        <w:spacing w:before="0"/>
        <w:rPr>
          <w:rFonts w:ascii="Times New Roman" w:hAnsi="Times New Roman"/>
          <w:b/>
          <w:bCs/>
          <w:sz w:val="24"/>
          <w:szCs w:val="24"/>
          <w:lang w:eastAsia="ja-JP"/>
        </w:rPr>
      </w:pPr>
    </w:p>
    <w:p w14:paraId="187869E6" w14:textId="35331B37" w:rsidR="006635CA" w:rsidRPr="0084250D" w:rsidRDefault="006635CA" w:rsidP="0084250D">
      <w:pPr>
        <w:pStyle w:val="ListParagraph"/>
        <w:numPr>
          <w:ilvl w:val="0"/>
          <w:numId w:val="18"/>
        </w:numPr>
        <w:spacing w:before="0"/>
        <w:rPr>
          <w:rFonts w:ascii="Times New Roman" w:hAnsi="Times New Roman"/>
          <w:sz w:val="24"/>
          <w:szCs w:val="24"/>
          <w:lang w:eastAsia="ja-JP"/>
        </w:rPr>
      </w:pPr>
      <w:r w:rsidRPr="0084250D">
        <w:rPr>
          <w:rFonts w:ascii="Times New Roman" w:hAnsi="Times New Roman"/>
          <w:sz w:val="24"/>
          <w:szCs w:val="24"/>
          <w:lang w:eastAsia="ja-JP"/>
        </w:rPr>
        <w:t>This section specifies that, for the purposes of subsection 33(3) of the Act, the legislative power in respect of which the Legislative Instrument is made is the power of the Parliament to make laws with respect to postal, telegraphic, telephonic and other like services (paragraph 51(v) of the Constitution).</w:t>
      </w:r>
    </w:p>
    <w:p w14:paraId="34CBE201" w14:textId="77777777" w:rsidR="00B50FFD" w:rsidRPr="0084250D" w:rsidRDefault="00B50FFD" w:rsidP="0084250D">
      <w:pPr>
        <w:spacing w:before="0"/>
        <w:rPr>
          <w:rFonts w:ascii="Times New Roman" w:hAnsi="Times New Roman"/>
          <w:sz w:val="24"/>
          <w:szCs w:val="24"/>
          <w:lang w:eastAsia="ja-JP"/>
        </w:rPr>
      </w:pPr>
      <w:r w:rsidRPr="0084250D">
        <w:rPr>
          <w:rFonts w:ascii="Times New Roman" w:hAnsi="Times New Roman"/>
          <w:sz w:val="24"/>
          <w:szCs w:val="24"/>
          <w:lang w:eastAsia="ja-JP"/>
        </w:rPr>
        <w:br w:type="page"/>
      </w:r>
    </w:p>
    <w:p w14:paraId="1DE2BD27" w14:textId="2DDEBAD7" w:rsidR="003458DF" w:rsidRPr="003458DF" w:rsidRDefault="003458DF" w:rsidP="003458DF">
      <w:pPr>
        <w:spacing w:before="0"/>
        <w:jc w:val="right"/>
        <w:rPr>
          <w:rFonts w:ascii="Times New Roman" w:hAnsi="Times New Roman"/>
          <w:b/>
          <w:bCs/>
          <w:sz w:val="24"/>
          <w:szCs w:val="24"/>
          <w:u w:val="single"/>
          <w:lang w:eastAsia="ja-JP"/>
        </w:rPr>
      </w:pPr>
      <w:r w:rsidRPr="003458DF">
        <w:rPr>
          <w:rFonts w:ascii="Times New Roman" w:hAnsi="Times New Roman"/>
          <w:b/>
          <w:bCs/>
          <w:sz w:val="24"/>
          <w:szCs w:val="24"/>
          <w:u w:val="single"/>
          <w:lang w:eastAsia="ja-JP"/>
        </w:rPr>
        <w:lastRenderedPageBreak/>
        <w:t>ATTACHMENT B</w:t>
      </w:r>
    </w:p>
    <w:p w14:paraId="14FBC29C" w14:textId="77777777" w:rsidR="003458DF" w:rsidRDefault="003458DF" w:rsidP="0084250D">
      <w:pPr>
        <w:spacing w:before="0"/>
        <w:jc w:val="center"/>
        <w:rPr>
          <w:rFonts w:ascii="Times New Roman" w:hAnsi="Times New Roman"/>
          <w:b/>
          <w:bCs/>
          <w:sz w:val="24"/>
          <w:szCs w:val="24"/>
          <w:lang w:eastAsia="ja-JP"/>
        </w:rPr>
      </w:pPr>
    </w:p>
    <w:p w14:paraId="69FBC34F" w14:textId="1E7F4EB9" w:rsidR="00B50FFD" w:rsidRPr="00CB114E" w:rsidRDefault="00B50FFD" w:rsidP="0084250D">
      <w:pPr>
        <w:spacing w:before="0"/>
        <w:jc w:val="center"/>
        <w:rPr>
          <w:rFonts w:ascii="Times New Roman" w:hAnsi="Times New Roman"/>
          <w:b/>
          <w:bCs/>
          <w:sz w:val="28"/>
          <w:szCs w:val="28"/>
          <w:lang w:eastAsia="ja-JP"/>
        </w:rPr>
      </w:pPr>
      <w:r w:rsidRPr="00CB114E">
        <w:rPr>
          <w:rFonts w:ascii="Times New Roman" w:hAnsi="Times New Roman"/>
          <w:b/>
          <w:bCs/>
          <w:sz w:val="28"/>
          <w:szCs w:val="28"/>
          <w:lang w:eastAsia="ja-JP"/>
        </w:rPr>
        <w:t>Statement of Compatibility with Human Rights</w:t>
      </w:r>
    </w:p>
    <w:p w14:paraId="6337CE33" w14:textId="77777777" w:rsidR="003458DF" w:rsidRPr="003458DF" w:rsidRDefault="003458DF" w:rsidP="0084250D">
      <w:pPr>
        <w:spacing w:before="0"/>
        <w:jc w:val="center"/>
        <w:rPr>
          <w:rFonts w:ascii="Times New Roman" w:hAnsi="Times New Roman"/>
          <w:sz w:val="24"/>
          <w:szCs w:val="24"/>
          <w:lang w:eastAsia="ja-JP"/>
        </w:rPr>
      </w:pPr>
    </w:p>
    <w:p w14:paraId="14A57ACE" w14:textId="090A1798" w:rsidR="00B50FFD" w:rsidRPr="0084250D" w:rsidRDefault="00B50FFD" w:rsidP="0084250D">
      <w:pPr>
        <w:spacing w:before="0"/>
        <w:jc w:val="center"/>
        <w:rPr>
          <w:rFonts w:ascii="Times New Roman" w:hAnsi="Times New Roman"/>
          <w:i/>
          <w:iCs/>
          <w:sz w:val="24"/>
          <w:szCs w:val="24"/>
          <w:lang w:eastAsia="ja-JP"/>
        </w:rPr>
      </w:pPr>
      <w:r w:rsidRPr="00CB114E">
        <w:rPr>
          <w:rFonts w:ascii="Times New Roman" w:hAnsi="Times New Roman"/>
          <w:sz w:val="24"/>
          <w:szCs w:val="24"/>
          <w:lang w:eastAsia="ja-JP"/>
        </w:rPr>
        <w:t>Prepared in accordance with</w:t>
      </w:r>
      <w:r w:rsidRPr="003458DF">
        <w:rPr>
          <w:rFonts w:ascii="Times New Roman" w:hAnsi="Times New Roman"/>
          <w:i/>
          <w:iCs/>
          <w:sz w:val="24"/>
          <w:szCs w:val="24"/>
          <w:lang w:eastAsia="ja-JP"/>
        </w:rPr>
        <w:t xml:space="preserve"> </w:t>
      </w:r>
      <w:r w:rsidRPr="0084250D">
        <w:rPr>
          <w:rFonts w:ascii="Times New Roman" w:hAnsi="Times New Roman"/>
          <w:i/>
          <w:iCs/>
          <w:sz w:val="24"/>
          <w:szCs w:val="24"/>
          <w:lang w:eastAsia="ja-JP"/>
        </w:rPr>
        <w:t>Part 3 of the Human Rights (Parliamentary Scrutiny) Act 2011</w:t>
      </w:r>
    </w:p>
    <w:p w14:paraId="4BBC6291" w14:textId="77777777" w:rsidR="003458DF" w:rsidRDefault="003458DF" w:rsidP="0084250D">
      <w:pPr>
        <w:spacing w:before="0"/>
        <w:jc w:val="center"/>
        <w:rPr>
          <w:rFonts w:ascii="Times New Roman" w:hAnsi="Times New Roman"/>
          <w:i/>
          <w:iCs/>
          <w:sz w:val="24"/>
          <w:szCs w:val="24"/>
          <w:lang w:eastAsia="ja-JP"/>
        </w:rPr>
      </w:pPr>
    </w:p>
    <w:p w14:paraId="6AEBDF39" w14:textId="6EEE6C44" w:rsidR="00B50FFD" w:rsidRPr="00CB114E" w:rsidRDefault="00B50FFD" w:rsidP="0084250D">
      <w:pPr>
        <w:spacing w:before="0"/>
        <w:jc w:val="center"/>
        <w:rPr>
          <w:rFonts w:ascii="Times New Roman" w:hAnsi="Times New Roman"/>
          <w:b/>
          <w:bCs/>
          <w:i/>
          <w:iCs/>
          <w:sz w:val="24"/>
          <w:szCs w:val="24"/>
          <w:lang w:eastAsia="ja-JP"/>
        </w:rPr>
      </w:pPr>
      <w:r w:rsidRPr="00CB114E">
        <w:rPr>
          <w:rFonts w:ascii="Times New Roman" w:hAnsi="Times New Roman"/>
          <w:b/>
          <w:bCs/>
          <w:i/>
          <w:iCs/>
          <w:sz w:val="24"/>
          <w:szCs w:val="24"/>
          <w:lang w:eastAsia="ja-JP"/>
        </w:rPr>
        <w:t xml:space="preserve">Industry Research and Development (Australasian Recycling Label Program) </w:t>
      </w:r>
      <w:r w:rsidR="00110608" w:rsidRPr="00CB114E">
        <w:rPr>
          <w:rFonts w:ascii="Times New Roman" w:hAnsi="Times New Roman"/>
          <w:b/>
          <w:bCs/>
          <w:i/>
          <w:iCs/>
          <w:sz w:val="24"/>
          <w:szCs w:val="24"/>
          <w:lang w:eastAsia="ja-JP"/>
        </w:rPr>
        <w:t>Instrument 2021</w:t>
      </w:r>
    </w:p>
    <w:p w14:paraId="4E6616B5" w14:textId="77777777" w:rsidR="00110608" w:rsidRPr="0084250D" w:rsidRDefault="00110608" w:rsidP="0084250D">
      <w:pPr>
        <w:spacing w:before="0"/>
        <w:jc w:val="center"/>
        <w:rPr>
          <w:rFonts w:ascii="Times New Roman" w:hAnsi="Times New Roman"/>
          <w:sz w:val="24"/>
          <w:szCs w:val="24"/>
          <w:lang w:eastAsia="ja-JP"/>
        </w:rPr>
      </w:pPr>
    </w:p>
    <w:p w14:paraId="7FE6A075" w14:textId="093B98EB" w:rsidR="00110608" w:rsidRPr="0084250D" w:rsidRDefault="00110608" w:rsidP="0084250D">
      <w:pPr>
        <w:spacing w:before="0"/>
        <w:jc w:val="center"/>
        <w:rPr>
          <w:rFonts w:ascii="Times New Roman" w:hAnsi="Times New Roman"/>
          <w:sz w:val="24"/>
          <w:szCs w:val="24"/>
          <w:lang w:eastAsia="ja-JP"/>
        </w:rPr>
      </w:pPr>
      <w:r w:rsidRPr="0084250D">
        <w:rPr>
          <w:rFonts w:ascii="Times New Roman" w:hAnsi="Times New Roman"/>
          <w:sz w:val="24"/>
          <w:szCs w:val="24"/>
          <w:lang w:eastAsia="ja-JP"/>
        </w:rPr>
        <w:t xml:space="preserve">This Legislative Instrument is compatible with the human rights and freedoms recognised or declared in the international instruments listed in section 3 of the </w:t>
      </w:r>
      <w:r w:rsidRPr="0084250D">
        <w:rPr>
          <w:rFonts w:ascii="Times New Roman" w:hAnsi="Times New Roman"/>
          <w:i/>
          <w:iCs/>
          <w:sz w:val="24"/>
          <w:szCs w:val="24"/>
          <w:lang w:eastAsia="ja-JP"/>
        </w:rPr>
        <w:t>Human Rights (Parliamentary Scrutiny) Act 2011</w:t>
      </w:r>
      <w:r w:rsidRPr="0084250D">
        <w:rPr>
          <w:rFonts w:ascii="Times New Roman" w:hAnsi="Times New Roman"/>
          <w:sz w:val="24"/>
          <w:szCs w:val="24"/>
          <w:lang w:eastAsia="ja-JP"/>
        </w:rPr>
        <w:t>.</w:t>
      </w:r>
    </w:p>
    <w:p w14:paraId="203A7BA0" w14:textId="06B57D09" w:rsidR="00110608" w:rsidRPr="0084250D" w:rsidRDefault="00110608" w:rsidP="0084250D">
      <w:pPr>
        <w:spacing w:before="0"/>
        <w:rPr>
          <w:rFonts w:ascii="Times New Roman" w:hAnsi="Times New Roman"/>
          <w:sz w:val="24"/>
          <w:szCs w:val="24"/>
          <w:lang w:eastAsia="ja-JP"/>
        </w:rPr>
      </w:pPr>
    </w:p>
    <w:p w14:paraId="7B8A71C5" w14:textId="155BDBD4" w:rsidR="00110608" w:rsidRDefault="00110608" w:rsidP="0084250D">
      <w:pPr>
        <w:spacing w:before="0"/>
        <w:rPr>
          <w:rFonts w:ascii="Times New Roman" w:hAnsi="Times New Roman"/>
          <w:b/>
          <w:bCs/>
          <w:sz w:val="24"/>
          <w:szCs w:val="24"/>
          <w:lang w:eastAsia="ja-JP"/>
        </w:rPr>
      </w:pPr>
      <w:r w:rsidRPr="0084250D">
        <w:rPr>
          <w:rFonts w:ascii="Times New Roman" w:hAnsi="Times New Roman"/>
          <w:b/>
          <w:bCs/>
          <w:sz w:val="24"/>
          <w:szCs w:val="24"/>
          <w:lang w:eastAsia="ja-JP"/>
        </w:rPr>
        <w:t>Overview of the Legislative Instrument</w:t>
      </w:r>
    </w:p>
    <w:p w14:paraId="000CFF54" w14:textId="77777777" w:rsidR="002234CF" w:rsidRPr="0084250D" w:rsidRDefault="002234CF" w:rsidP="0084250D">
      <w:pPr>
        <w:spacing w:before="0"/>
        <w:rPr>
          <w:rFonts w:ascii="Times New Roman" w:hAnsi="Times New Roman"/>
          <w:b/>
          <w:bCs/>
          <w:sz w:val="24"/>
          <w:szCs w:val="24"/>
          <w:lang w:eastAsia="ja-JP"/>
        </w:rPr>
      </w:pPr>
    </w:p>
    <w:p w14:paraId="4E58EA40" w14:textId="1C0F56BD" w:rsidR="00110608" w:rsidRPr="0084250D" w:rsidRDefault="00110608" w:rsidP="0084250D">
      <w:pPr>
        <w:spacing w:before="0"/>
        <w:rPr>
          <w:rFonts w:ascii="Times New Roman" w:hAnsi="Times New Roman"/>
          <w:sz w:val="24"/>
          <w:szCs w:val="24"/>
          <w:lang w:eastAsia="ja-JP"/>
        </w:rPr>
      </w:pPr>
      <w:r w:rsidRPr="0084250D">
        <w:rPr>
          <w:rFonts w:ascii="Times New Roman" w:hAnsi="Times New Roman"/>
          <w:sz w:val="24"/>
          <w:szCs w:val="24"/>
          <w:lang w:eastAsia="ja-JP"/>
        </w:rPr>
        <w:t xml:space="preserve">The purpose of the </w:t>
      </w:r>
      <w:r w:rsidRPr="0084250D">
        <w:rPr>
          <w:rFonts w:ascii="Times New Roman" w:hAnsi="Times New Roman"/>
          <w:i/>
          <w:iCs/>
          <w:sz w:val="24"/>
          <w:szCs w:val="24"/>
          <w:lang w:eastAsia="ja-JP"/>
        </w:rPr>
        <w:t>Industry Research and Development (Australasian Recycling Label Program) Instrument 2021</w:t>
      </w:r>
      <w:r w:rsidRPr="0084250D">
        <w:rPr>
          <w:rFonts w:ascii="Times New Roman" w:hAnsi="Times New Roman"/>
          <w:sz w:val="24"/>
          <w:szCs w:val="24"/>
          <w:lang w:eastAsia="ja-JP"/>
        </w:rPr>
        <w:t xml:space="preserve"> (the Legislative Instrument) is to prescribe the Australasian Recycling Label Program (the Program). The Program provides </w:t>
      </w:r>
      <w:r w:rsidR="00456128" w:rsidRPr="0084250D">
        <w:rPr>
          <w:rFonts w:ascii="Times New Roman" w:hAnsi="Times New Roman"/>
          <w:sz w:val="24"/>
          <w:szCs w:val="24"/>
          <w:lang w:eastAsia="ja-JP"/>
        </w:rPr>
        <w:t xml:space="preserve">$5 million to a partnership of industry body representatives to </w:t>
      </w:r>
      <w:r w:rsidR="00A31CBB">
        <w:rPr>
          <w:rFonts w:ascii="Times New Roman" w:hAnsi="Times New Roman"/>
          <w:sz w:val="24"/>
          <w:szCs w:val="24"/>
          <w:lang w:eastAsia="ja-JP"/>
        </w:rPr>
        <w:t xml:space="preserve">encourage and </w:t>
      </w:r>
      <w:r w:rsidR="000E6A71" w:rsidRPr="0084250D">
        <w:rPr>
          <w:rFonts w:ascii="Times New Roman" w:hAnsi="Times New Roman"/>
          <w:sz w:val="24"/>
          <w:szCs w:val="24"/>
          <w:lang w:eastAsia="ja-JP"/>
        </w:rPr>
        <w:t xml:space="preserve">support small-to-medium enterprise </w:t>
      </w:r>
      <w:r w:rsidR="0035617B" w:rsidRPr="0084250D">
        <w:rPr>
          <w:rFonts w:ascii="Times New Roman" w:hAnsi="Times New Roman"/>
          <w:sz w:val="24"/>
          <w:szCs w:val="24"/>
          <w:lang w:eastAsia="ja-JP"/>
        </w:rPr>
        <w:t xml:space="preserve">(SME) </w:t>
      </w:r>
      <w:r w:rsidR="000E6A71" w:rsidRPr="0084250D">
        <w:rPr>
          <w:rFonts w:ascii="Times New Roman" w:hAnsi="Times New Roman"/>
          <w:sz w:val="24"/>
          <w:szCs w:val="24"/>
          <w:lang w:eastAsia="ja-JP"/>
        </w:rPr>
        <w:t xml:space="preserve">businesses </w:t>
      </w:r>
      <w:r w:rsidR="00AC6866" w:rsidRPr="0084250D">
        <w:rPr>
          <w:rFonts w:ascii="Times New Roman" w:hAnsi="Times New Roman"/>
          <w:sz w:val="24"/>
          <w:szCs w:val="24"/>
          <w:lang w:eastAsia="ja-JP"/>
        </w:rPr>
        <w:t>to adopt the Australasian Recycling Label</w:t>
      </w:r>
      <w:r w:rsidR="00913291" w:rsidRPr="0084250D">
        <w:rPr>
          <w:rFonts w:ascii="Times New Roman" w:hAnsi="Times New Roman"/>
          <w:sz w:val="24"/>
          <w:szCs w:val="24"/>
          <w:lang w:eastAsia="ja-JP"/>
        </w:rPr>
        <w:t xml:space="preserve"> (ARL)</w:t>
      </w:r>
      <w:r w:rsidR="006635CA" w:rsidRPr="0084250D">
        <w:rPr>
          <w:rFonts w:ascii="Times New Roman" w:hAnsi="Times New Roman"/>
          <w:sz w:val="24"/>
          <w:szCs w:val="24"/>
          <w:lang w:eastAsia="ja-JP"/>
        </w:rPr>
        <w:t xml:space="preserve"> on their packaging</w:t>
      </w:r>
      <w:r w:rsidR="009B1C9D">
        <w:rPr>
          <w:rFonts w:ascii="Times New Roman" w:hAnsi="Times New Roman"/>
          <w:sz w:val="24"/>
          <w:szCs w:val="24"/>
          <w:lang w:eastAsia="ja-JP"/>
        </w:rPr>
        <w:t xml:space="preserve"> and improve the sustainability of their packaging</w:t>
      </w:r>
      <w:r w:rsidR="00AC6866" w:rsidRPr="0084250D">
        <w:rPr>
          <w:rFonts w:ascii="Times New Roman" w:hAnsi="Times New Roman"/>
          <w:sz w:val="24"/>
          <w:szCs w:val="24"/>
          <w:lang w:eastAsia="ja-JP"/>
        </w:rPr>
        <w:t>.</w:t>
      </w:r>
      <w:r w:rsidR="0035617B" w:rsidRPr="0084250D">
        <w:rPr>
          <w:rFonts w:ascii="Times New Roman" w:hAnsi="Times New Roman"/>
          <w:sz w:val="24"/>
          <w:szCs w:val="24"/>
          <w:lang w:eastAsia="ja-JP"/>
        </w:rPr>
        <w:t xml:space="preserve"> This support will be provided through online education and resources, and </w:t>
      </w:r>
      <w:r w:rsidR="003458DF">
        <w:rPr>
          <w:rFonts w:ascii="Times New Roman" w:hAnsi="Times New Roman"/>
          <w:sz w:val="24"/>
          <w:szCs w:val="24"/>
          <w:lang w:eastAsia="ja-JP"/>
        </w:rPr>
        <w:t xml:space="preserve">online and </w:t>
      </w:r>
      <w:r w:rsidR="0035617B" w:rsidRPr="0084250D">
        <w:rPr>
          <w:rFonts w:ascii="Times New Roman" w:hAnsi="Times New Roman"/>
          <w:sz w:val="24"/>
          <w:szCs w:val="24"/>
          <w:lang w:eastAsia="ja-JP"/>
        </w:rPr>
        <w:t>telephone assistance to SME businesses. The uptake in the ARL</w:t>
      </w:r>
      <w:r w:rsidR="00913291" w:rsidRPr="0084250D">
        <w:rPr>
          <w:rFonts w:ascii="Times New Roman" w:hAnsi="Times New Roman"/>
          <w:sz w:val="24"/>
          <w:szCs w:val="24"/>
          <w:lang w:eastAsia="ja-JP"/>
        </w:rPr>
        <w:t xml:space="preserve"> will help to improve consumer recycling behaviour, leading to lower kerbside bin contamination and a reduction in recyclable material being sent to landfill.</w:t>
      </w:r>
    </w:p>
    <w:p w14:paraId="3CE4246C" w14:textId="17560A6B" w:rsidR="008241C5" w:rsidRPr="0084250D" w:rsidRDefault="008241C5" w:rsidP="0084250D">
      <w:pPr>
        <w:spacing w:before="0"/>
        <w:rPr>
          <w:rFonts w:ascii="Times New Roman" w:hAnsi="Times New Roman"/>
          <w:sz w:val="24"/>
          <w:szCs w:val="24"/>
          <w:lang w:eastAsia="ja-JP"/>
        </w:rPr>
      </w:pPr>
    </w:p>
    <w:p w14:paraId="5ADA73C6" w14:textId="0DABEC8C" w:rsidR="008241C5" w:rsidRDefault="008241C5" w:rsidP="0084250D">
      <w:pPr>
        <w:spacing w:before="0"/>
        <w:rPr>
          <w:rFonts w:ascii="Times New Roman" w:hAnsi="Times New Roman"/>
          <w:b/>
          <w:bCs/>
          <w:sz w:val="24"/>
          <w:szCs w:val="24"/>
          <w:lang w:eastAsia="ja-JP"/>
        </w:rPr>
      </w:pPr>
      <w:r w:rsidRPr="0084250D">
        <w:rPr>
          <w:rFonts w:ascii="Times New Roman" w:hAnsi="Times New Roman"/>
          <w:b/>
          <w:bCs/>
          <w:sz w:val="24"/>
          <w:szCs w:val="24"/>
          <w:lang w:eastAsia="ja-JP"/>
        </w:rPr>
        <w:t>Human rights implications</w:t>
      </w:r>
    </w:p>
    <w:p w14:paraId="179E5EBA" w14:textId="77777777" w:rsidR="002234CF" w:rsidRPr="0084250D" w:rsidRDefault="002234CF" w:rsidP="0084250D">
      <w:pPr>
        <w:spacing w:before="0"/>
        <w:rPr>
          <w:rFonts w:ascii="Times New Roman" w:hAnsi="Times New Roman"/>
          <w:b/>
          <w:bCs/>
          <w:sz w:val="24"/>
          <w:szCs w:val="24"/>
          <w:lang w:eastAsia="ja-JP"/>
        </w:rPr>
      </w:pPr>
    </w:p>
    <w:p w14:paraId="03C391DC" w14:textId="1FECC669" w:rsidR="008241C5" w:rsidRPr="0084250D" w:rsidRDefault="008241C5" w:rsidP="0084250D">
      <w:pPr>
        <w:spacing w:before="0"/>
        <w:rPr>
          <w:rFonts w:ascii="Times New Roman" w:hAnsi="Times New Roman"/>
          <w:sz w:val="24"/>
          <w:szCs w:val="24"/>
          <w:lang w:eastAsia="ja-JP"/>
        </w:rPr>
      </w:pPr>
      <w:r w:rsidRPr="0084250D">
        <w:rPr>
          <w:rFonts w:ascii="Times New Roman" w:hAnsi="Times New Roman"/>
          <w:sz w:val="24"/>
          <w:szCs w:val="24"/>
          <w:lang w:eastAsia="ja-JP"/>
        </w:rPr>
        <w:t>The Legislative Instrument does not engage any of the applicable rights or freedoms.</w:t>
      </w:r>
    </w:p>
    <w:p w14:paraId="59847718" w14:textId="49D9C276" w:rsidR="008241C5" w:rsidRPr="0084250D" w:rsidRDefault="008241C5" w:rsidP="0084250D">
      <w:pPr>
        <w:spacing w:before="0"/>
        <w:rPr>
          <w:rFonts w:ascii="Times New Roman" w:hAnsi="Times New Roman"/>
          <w:sz w:val="24"/>
          <w:szCs w:val="24"/>
          <w:lang w:eastAsia="ja-JP"/>
        </w:rPr>
      </w:pPr>
    </w:p>
    <w:p w14:paraId="4206148A" w14:textId="31A4B89E" w:rsidR="008241C5" w:rsidRDefault="008241C5" w:rsidP="0084250D">
      <w:pPr>
        <w:spacing w:before="0"/>
        <w:rPr>
          <w:rFonts w:ascii="Times New Roman" w:hAnsi="Times New Roman"/>
          <w:b/>
          <w:bCs/>
          <w:sz w:val="24"/>
          <w:szCs w:val="24"/>
          <w:lang w:eastAsia="ja-JP"/>
        </w:rPr>
      </w:pPr>
      <w:r w:rsidRPr="0084250D">
        <w:rPr>
          <w:rFonts w:ascii="Times New Roman" w:hAnsi="Times New Roman"/>
          <w:b/>
          <w:bCs/>
          <w:sz w:val="24"/>
          <w:szCs w:val="24"/>
          <w:lang w:eastAsia="ja-JP"/>
        </w:rPr>
        <w:t>Conclusion</w:t>
      </w:r>
    </w:p>
    <w:p w14:paraId="174B4BC7" w14:textId="77777777" w:rsidR="002234CF" w:rsidRPr="0084250D" w:rsidRDefault="002234CF" w:rsidP="0084250D">
      <w:pPr>
        <w:spacing w:before="0"/>
        <w:rPr>
          <w:rFonts w:ascii="Times New Roman" w:hAnsi="Times New Roman"/>
          <w:b/>
          <w:bCs/>
          <w:sz w:val="24"/>
          <w:szCs w:val="24"/>
          <w:lang w:eastAsia="ja-JP"/>
        </w:rPr>
      </w:pPr>
    </w:p>
    <w:p w14:paraId="601EAE42" w14:textId="72F6BD36" w:rsidR="008241C5" w:rsidRPr="0084250D" w:rsidRDefault="008241C5" w:rsidP="0084250D">
      <w:pPr>
        <w:spacing w:before="0"/>
        <w:rPr>
          <w:rFonts w:ascii="Times New Roman" w:hAnsi="Times New Roman"/>
          <w:sz w:val="24"/>
          <w:szCs w:val="24"/>
          <w:lang w:eastAsia="ja-JP"/>
        </w:rPr>
      </w:pPr>
      <w:r w:rsidRPr="0084250D">
        <w:rPr>
          <w:rFonts w:ascii="Times New Roman" w:hAnsi="Times New Roman"/>
          <w:sz w:val="24"/>
          <w:szCs w:val="24"/>
          <w:lang w:eastAsia="ja-JP"/>
        </w:rPr>
        <w:t xml:space="preserve">This Legislative Instrument is compatible with human rights as it does not raise any human rights issues. </w:t>
      </w:r>
    </w:p>
    <w:p w14:paraId="7EC5C370" w14:textId="03E7A597" w:rsidR="008241C5" w:rsidRPr="0084250D" w:rsidRDefault="008241C5" w:rsidP="0084250D">
      <w:pPr>
        <w:spacing w:before="0"/>
        <w:rPr>
          <w:rFonts w:ascii="Times New Roman" w:hAnsi="Times New Roman"/>
          <w:sz w:val="24"/>
          <w:szCs w:val="24"/>
          <w:lang w:eastAsia="ja-JP"/>
        </w:rPr>
      </w:pPr>
    </w:p>
    <w:p w14:paraId="68C835BE" w14:textId="31A84580" w:rsidR="008241C5" w:rsidRPr="0084250D" w:rsidRDefault="008241C5" w:rsidP="0084250D">
      <w:pPr>
        <w:spacing w:before="0"/>
        <w:rPr>
          <w:rFonts w:ascii="Times New Roman" w:hAnsi="Times New Roman"/>
          <w:sz w:val="24"/>
          <w:szCs w:val="24"/>
          <w:lang w:eastAsia="ja-JP"/>
        </w:rPr>
      </w:pPr>
    </w:p>
    <w:p w14:paraId="4077B45B" w14:textId="4B4ED416" w:rsidR="008241C5" w:rsidRPr="0084250D" w:rsidRDefault="008241C5" w:rsidP="0084250D">
      <w:pPr>
        <w:spacing w:before="0"/>
        <w:rPr>
          <w:rFonts w:ascii="Times New Roman" w:hAnsi="Times New Roman"/>
          <w:sz w:val="24"/>
          <w:szCs w:val="24"/>
          <w:lang w:eastAsia="ja-JP"/>
        </w:rPr>
      </w:pPr>
    </w:p>
    <w:p w14:paraId="2A2B1F58" w14:textId="7881B252" w:rsidR="008241C5" w:rsidRPr="0084250D" w:rsidRDefault="008241C5" w:rsidP="0084250D">
      <w:pPr>
        <w:spacing w:before="0"/>
        <w:jc w:val="center"/>
        <w:rPr>
          <w:rFonts w:ascii="Times New Roman" w:hAnsi="Times New Roman"/>
          <w:b/>
          <w:bCs/>
          <w:sz w:val="24"/>
          <w:szCs w:val="24"/>
          <w:lang w:eastAsia="ja-JP"/>
        </w:rPr>
      </w:pPr>
      <w:r w:rsidRPr="0084250D">
        <w:rPr>
          <w:rFonts w:ascii="Times New Roman" w:hAnsi="Times New Roman"/>
          <w:b/>
          <w:bCs/>
          <w:sz w:val="24"/>
          <w:szCs w:val="24"/>
          <w:lang w:eastAsia="ja-JP"/>
        </w:rPr>
        <w:t xml:space="preserve">The Hon. </w:t>
      </w:r>
      <w:r w:rsidR="00AC2600" w:rsidRPr="0084250D">
        <w:rPr>
          <w:rFonts w:ascii="Times New Roman" w:hAnsi="Times New Roman"/>
          <w:b/>
          <w:bCs/>
          <w:sz w:val="24"/>
          <w:szCs w:val="24"/>
          <w:lang w:eastAsia="ja-JP"/>
        </w:rPr>
        <w:t>Sus</w:t>
      </w:r>
      <w:r w:rsidR="00063383">
        <w:rPr>
          <w:rFonts w:ascii="Times New Roman" w:hAnsi="Times New Roman"/>
          <w:b/>
          <w:bCs/>
          <w:sz w:val="24"/>
          <w:szCs w:val="24"/>
          <w:lang w:eastAsia="ja-JP"/>
        </w:rPr>
        <w:t>s</w:t>
      </w:r>
      <w:r w:rsidR="00AC2600" w:rsidRPr="0084250D">
        <w:rPr>
          <w:rFonts w:ascii="Times New Roman" w:hAnsi="Times New Roman"/>
          <w:b/>
          <w:bCs/>
          <w:sz w:val="24"/>
          <w:szCs w:val="24"/>
          <w:lang w:eastAsia="ja-JP"/>
        </w:rPr>
        <w:t>an Ley MP</w:t>
      </w:r>
    </w:p>
    <w:p w14:paraId="603BD195" w14:textId="3EC93E4E" w:rsidR="00AC2600" w:rsidRPr="0084250D" w:rsidRDefault="00AC2600" w:rsidP="0084250D">
      <w:pPr>
        <w:spacing w:before="0"/>
        <w:jc w:val="center"/>
        <w:rPr>
          <w:rFonts w:ascii="Times New Roman" w:hAnsi="Times New Roman"/>
          <w:b/>
          <w:bCs/>
          <w:sz w:val="24"/>
          <w:szCs w:val="24"/>
          <w:lang w:eastAsia="ja-JP"/>
        </w:rPr>
      </w:pPr>
      <w:r w:rsidRPr="0084250D">
        <w:rPr>
          <w:rFonts w:ascii="Times New Roman" w:hAnsi="Times New Roman"/>
          <w:b/>
          <w:bCs/>
          <w:sz w:val="24"/>
          <w:szCs w:val="24"/>
          <w:lang w:eastAsia="ja-JP"/>
        </w:rPr>
        <w:t>Minister for the Environment</w:t>
      </w:r>
    </w:p>
    <w:sectPr w:rsidR="00AC2600" w:rsidRPr="0084250D" w:rsidSect="00CB114E">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351CE" w14:textId="77777777" w:rsidR="004251FB" w:rsidRDefault="004251FB">
      <w:r>
        <w:separator/>
      </w:r>
    </w:p>
  </w:endnote>
  <w:endnote w:type="continuationSeparator" w:id="0">
    <w:p w14:paraId="50078FE8" w14:textId="77777777" w:rsidR="004251FB" w:rsidRDefault="0042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1413196997"/>
      <w:docPartObj>
        <w:docPartGallery w:val="Page Numbers (Bottom of Page)"/>
        <w:docPartUnique/>
      </w:docPartObj>
    </w:sdtPr>
    <w:sdtEndPr>
      <w:rPr>
        <w:noProof/>
      </w:rPr>
    </w:sdtEndPr>
    <w:sdtContent>
      <w:p w14:paraId="517559FB" w14:textId="77B9E14C" w:rsidR="005F1218" w:rsidRPr="00CB114E" w:rsidRDefault="005F1218">
        <w:pPr>
          <w:pStyle w:val="Footer"/>
          <w:jc w:val="center"/>
          <w:rPr>
            <w:rFonts w:ascii="Times New Roman" w:hAnsi="Times New Roman"/>
            <w:sz w:val="22"/>
            <w:szCs w:val="22"/>
          </w:rPr>
        </w:pPr>
        <w:r w:rsidRPr="00CB114E">
          <w:rPr>
            <w:rFonts w:ascii="Times New Roman" w:hAnsi="Times New Roman"/>
            <w:sz w:val="22"/>
            <w:szCs w:val="22"/>
          </w:rPr>
          <w:fldChar w:fldCharType="begin"/>
        </w:r>
        <w:r w:rsidRPr="00CB114E">
          <w:rPr>
            <w:rFonts w:ascii="Times New Roman" w:hAnsi="Times New Roman"/>
            <w:sz w:val="22"/>
            <w:szCs w:val="22"/>
          </w:rPr>
          <w:instrText xml:space="preserve"> PAGE   \* MERGEFORMAT </w:instrText>
        </w:r>
        <w:r w:rsidRPr="00CB114E">
          <w:rPr>
            <w:rFonts w:ascii="Times New Roman" w:hAnsi="Times New Roman"/>
            <w:sz w:val="22"/>
            <w:szCs w:val="22"/>
          </w:rPr>
          <w:fldChar w:fldCharType="separate"/>
        </w:r>
        <w:r w:rsidRPr="00CB114E">
          <w:rPr>
            <w:rFonts w:ascii="Times New Roman" w:hAnsi="Times New Roman"/>
            <w:noProof/>
            <w:sz w:val="22"/>
            <w:szCs w:val="22"/>
          </w:rPr>
          <w:t>2</w:t>
        </w:r>
        <w:r w:rsidRPr="00CB114E">
          <w:rPr>
            <w:rFonts w:ascii="Times New Roman" w:hAnsi="Times New Roman"/>
            <w:noProof/>
            <w:sz w:val="22"/>
            <w:szCs w:val="22"/>
          </w:rPr>
          <w:fldChar w:fldCharType="end"/>
        </w:r>
      </w:p>
    </w:sdtContent>
  </w:sdt>
  <w:p w14:paraId="00735AD0" w14:textId="75A18B99" w:rsidR="00C6669A" w:rsidRPr="00CB114E" w:rsidRDefault="00C6669A" w:rsidP="00051945">
    <w:pPr>
      <w:pStyle w:val="Footer"/>
      <w:jc w:val="center"/>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A3024" w14:textId="77777777" w:rsidR="004251FB" w:rsidRDefault="004251FB">
      <w:r>
        <w:separator/>
      </w:r>
    </w:p>
  </w:footnote>
  <w:footnote w:type="continuationSeparator" w:id="0">
    <w:p w14:paraId="7B1489C2" w14:textId="77777777" w:rsidR="004251FB" w:rsidRDefault="00425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D7525E"/>
    <w:multiLevelType w:val="hybridMultilevel"/>
    <w:tmpl w:val="321A66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A913599"/>
    <w:multiLevelType w:val="multilevel"/>
    <w:tmpl w:val="02AA8FA0"/>
    <w:numStyleLink w:val="ListBullets"/>
  </w:abstractNum>
  <w:abstractNum w:abstractNumId="10" w15:restartNumberingAfterBreak="0">
    <w:nsid w:val="2F2425AB"/>
    <w:multiLevelType w:val="multilevel"/>
    <w:tmpl w:val="BC8603C0"/>
    <w:numStyleLink w:val="ListNumbers"/>
  </w:abstractNum>
  <w:abstractNum w:abstractNumId="11" w15:restartNumberingAfterBreak="0">
    <w:nsid w:val="46DD5C12"/>
    <w:multiLevelType w:val="multilevel"/>
    <w:tmpl w:val="20F2356A"/>
    <w:numStyleLink w:val="Appendix"/>
  </w:abstractNum>
  <w:abstractNum w:abstractNumId="1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DF0998"/>
    <w:multiLevelType w:val="hybridMultilevel"/>
    <w:tmpl w:val="2D98A8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826D87"/>
    <w:multiLevelType w:val="hybridMultilevel"/>
    <w:tmpl w:val="480EB1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2"/>
  </w:num>
  <w:num w:numId="3">
    <w:abstractNumId w:val="6"/>
  </w:num>
  <w:num w:numId="4">
    <w:abstractNumId w:val="7"/>
  </w:num>
  <w:num w:numId="5">
    <w:abstractNumId w:val="3"/>
  </w:num>
  <w:num w:numId="6">
    <w:abstractNumId w:val="9"/>
  </w:num>
  <w:num w:numId="7">
    <w:abstractNumId w:val="18"/>
  </w:num>
  <w:num w:numId="8">
    <w:abstractNumId w:val="10"/>
  </w:num>
  <w:num w:numId="9">
    <w:abstractNumId w:val="15"/>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6"/>
  </w:num>
  <w:num w:numId="14">
    <w:abstractNumId w:val="2"/>
  </w:num>
  <w:num w:numId="15">
    <w:abstractNumId w:val="1"/>
  </w:num>
  <w:num w:numId="16">
    <w:abstractNumId w:val="0"/>
  </w:num>
  <w:num w:numId="17">
    <w:abstractNumId w:val="4"/>
  </w:num>
  <w:num w:numId="18">
    <w:abstractNumId w:val="13"/>
  </w:num>
  <w:num w:numId="19">
    <w:abstractNumId w:val="17"/>
  </w:num>
  <w:num w:numId="2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10"/>
    <w:rsid w:val="00003407"/>
    <w:rsid w:val="000227C7"/>
    <w:rsid w:val="00040C63"/>
    <w:rsid w:val="00051945"/>
    <w:rsid w:val="00054C7F"/>
    <w:rsid w:val="00063383"/>
    <w:rsid w:val="00064110"/>
    <w:rsid w:val="00071951"/>
    <w:rsid w:val="0009509C"/>
    <w:rsid w:val="000D2F76"/>
    <w:rsid w:val="000E6A71"/>
    <w:rsid w:val="001066A9"/>
    <w:rsid w:val="00110608"/>
    <w:rsid w:val="001107FF"/>
    <w:rsid w:val="00156728"/>
    <w:rsid w:val="00163D49"/>
    <w:rsid w:val="00181E2F"/>
    <w:rsid w:val="0018359B"/>
    <w:rsid w:val="001A48C8"/>
    <w:rsid w:val="001B295C"/>
    <w:rsid w:val="001B2C21"/>
    <w:rsid w:val="001B6E12"/>
    <w:rsid w:val="001D7AA3"/>
    <w:rsid w:val="00212F81"/>
    <w:rsid w:val="002234CF"/>
    <w:rsid w:val="00236F9B"/>
    <w:rsid w:val="0026737E"/>
    <w:rsid w:val="002B4155"/>
    <w:rsid w:val="002C0A7A"/>
    <w:rsid w:val="002C279F"/>
    <w:rsid w:val="003063D9"/>
    <w:rsid w:val="00311728"/>
    <w:rsid w:val="003458DF"/>
    <w:rsid w:val="0035617B"/>
    <w:rsid w:val="00380E4C"/>
    <w:rsid w:val="003C23E4"/>
    <w:rsid w:val="003F4391"/>
    <w:rsid w:val="004251FB"/>
    <w:rsid w:val="00434B43"/>
    <w:rsid w:val="00444419"/>
    <w:rsid w:val="00444988"/>
    <w:rsid w:val="00456128"/>
    <w:rsid w:val="00461807"/>
    <w:rsid w:val="0046367E"/>
    <w:rsid w:val="00493EC6"/>
    <w:rsid w:val="004E6100"/>
    <w:rsid w:val="00536B63"/>
    <w:rsid w:val="0054747E"/>
    <w:rsid w:val="0056394F"/>
    <w:rsid w:val="00581DE0"/>
    <w:rsid w:val="005A48D6"/>
    <w:rsid w:val="005E2B61"/>
    <w:rsid w:val="005F1218"/>
    <w:rsid w:val="005F5F5A"/>
    <w:rsid w:val="00626E31"/>
    <w:rsid w:val="00653DA2"/>
    <w:rsid w:val="0065665F"/>
    <w:rsid w:val="00660CDF"/>
    <w:rsid w:val="006635CA"/>
    <w:rsid w:val="00676F62"/>
    <w:rsid w:val="006A67CE"/>
    <w:rsid w:val="006B4E28"/>
    <w:rsid w:val="006C076D"/>
    <w:rsid w:val="006D7090"/>
    <w:rsid w:val="00774110"/>
    <w:rsid w:val="007904F9"/>
    <w:rsid w:val="007C1606"/>
    <w:rsid w:val="007D1C4B"/>
    <w:rsid w:val="007E45FC"/>
    <w:rsid w:val="007F3570"/>
    <w:rsid w:val="008241C5"/>
    <w:rsid w:val="0084250D"/>
    <w:rsid w:val="0084484B"/>
    <w:rsid w:val="008C21D1"/>
    <w:rsid w:val="008D7A77"/>
    <w:rsid w:val="008E5C0D"/>
    <w:rsid w:val="00905F94"/>
    <w:rsid w:val="00910FB5"/>
    <w:rsid w:val="00913291"/>
    <w:rsid w:val="00936C9B"/>
    <w:rsid w:val="009718DE"/>
    <w:rsid w:val="009B1C9D"/>
    <w:rsid w:val="009B757C"/>
    <w:rsid w:val="009C0939"/>
    <w:rsid w:val="00A31CBB"/>
    <w:rsid w:val="00A758F2"/>
    <w:rsid w:val="00AA4B88"/>
    <w:rsid w:val="00AC2600"/>
    <w:rsid w:val="00AC6866"/>
    <w:rsid w:val="00AF6E62"/>
    <w:rsid w:val="00B33DF4"/>
    <w:rsid w:val="00B50FFD"/>
    <w:rsid w:val="00B57188"/>
    <w:rsid w:val="00B66828"/>
    <w:rsid w:val="00B822A6"/>
    <w:rsid w:val="00BA31BA"/>
    <w:rsid w:val="00BB07F9"/>
    <w:rsid w:val="00BB0DE1"/>
    <w:rsid w:val="00BB663D"/>
    <w:rsid w:val="00BC5626"/>
    <w:rsid w:val="00C130A3"/>
    <w:rsid w:val="00C15280"/>
    <w:rsid w:val="00C41867"/>
    <w:rsid w:val="00C6669A"/>
    <w:rsid w:val="00C740C3"/>
    <w:rsid w:val="00CB114E"/>
    <w:rsid w:val="00CB2B43"/>
    <w:rsid w:val="00CC2E75"/>
    <w:rsid w:val="00CC5C52"/>
    <w:rsid w:val="00CD21CE"/>
    <w:rsid w:val="00D15DC0"/>
    <w:rsid w:val="00D46DB7"/>
    <w:rsid w:val="00D57D5F"/>
    <w:rsid w:val="00D65C8B"/>
    <w:rsid w:val="00D77475"/>
    <w:rsid w:val="00D82255"/>
    <w:rsid w:val="00D86AC7"/>
    <w:rsid w:val="00E01FC9"/>
    <w:rsid w:val="00E3214D"/>
    <w:rsid w:val="00E45E43"/>
    <w:rsid w:val="00E62017"/>
    <w:rsid w:val="00E81A9A"/>
    <w:rsid w:val="00EA3C84"/>
    <w:rsid w:val="00EB0C7C"/>
    <w:rsid w:val="00EB244C"/>
    <w:rsid w:val="00F421B7"/>
    <w:rsid w:val="00F52C56"/>
    <w:rsid w:val="00F833F2"/>
    <w:rsid w:val="00F93F10"/>
    <w:rsid w:val="00FA2D77"/>
    <w:rsid w:val="00FC21D4"/>
    <w:rsid w:val="00FC32DB"/>
    <w:rsid w:val="00FE353E"/>
    <w:rsid w:val="00FE7B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0072C00"/>
  <w15:chartTrackingRefBased/>
  <w15:docId w15:val="{A70ACD57-90BD-464E-9D93-9B1F2139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833F2"/>
    <w:rPr>
      <w:color w:val="605E5C"/>
      <w:shd w:val="clear" w:color="auto" w:fill="E1DFDD"/>
    </w:rPr>
  </w:style>
  <w:style w:type="paragraph" w:styleId="ListParagraph">
    <w:name w:val="List Paragraph"/>
    <w:basedOn w:val="Normal"/>
    <w:uiPriority w:val="99"/>
    <w:qFormat/>
    <w:rsid w:val="00F42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1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e.gov.au/sites/default/files/2021-05/pbs2021-22_aw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inance.gov.au/sites/default/files/2019-11/commonwealth-grants-rules-and-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Ricabo, Bradley</dc:creator>
  <cp:keywords/>
  <dc:description/>
  <cp:lastModifiedBy>Jessica Huang</cp:lastModifiedBy>
  <cp:revision>3</cp:revision>
  <cp:lastPrinted>2015-08-14T05:36:00Z</cp:lastPrinted>
  <dcterms:created xsi:type="dcterms:W3CDTF">2021-11-22T02:42:00Z</dcterms:created>
  <dcterms:modified xsi:type="dcterms:W3CDTF">2021-12-01T04:13:00Z</dcterms:modified>
</cp:coreProperties>
</file>