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FDC8D" w14:textId="77777777" w:rsidR="003F7E34" w:rsidRPr="00A63606" w:rsidRDefault="003F7E34" w:rsidP="007F0B8C">
      <w:pPr>
        <w:spacing w:after="120"/>
        <w:jc w:val="center"/>
        <w:rPr>
          <w:b/>
          <w:color w:val="000000"/>
          <w:sz w:val="22"/>
          <w:szCs w:val="22"/>
        </w:rPr>
      </w:pPr>
      <w:r w:rsidRPr="00A63606">
        <w:rPr>
          <w:b/>
          <w:color w:val="000000"/>
          <w:sz w:val="22"/>
          <w:szCs w:val="22"/>
        </w:rPr>
        <w:t>EXPLANATORY STATEMENT</w:t>
      </w:r>
    </w:p>
    <w:p w14:paraId="7C3CDED1" w14:textId="77777777" w:rsidR="003F7E34" w:rsidRPr="00A63606" w:rsidRDefault="003F7E34" w:rsidP="007F0B8C">
      <w:pPr>
        <w:spacing w:before="240"/>
        <w:jc w:val="center"/>
        <w:rPr>
          <w:b/>
          <w:i/>
          <w:color w:val="000000"/>
          <w:sz w:val="22"/>
          <w:szCs w:val="22"/>
        </w:rPr>
      </w:pPr>
      <w:r w:rsidRPr="00A63606">
        <w:rPr>
          <w:b/>
          <w:i/>
          <w:color w:val="000000"/>
          <w:sz w:val="22"/>
          <w:szCs w:val="22"/>
        </w:rPr>
        <w:t>NATIONAL HEALTH ACT 1953</w:t>
      </w:r>
    </w:p>
    <w:p w14:paraId="463CF0B6" w14:textId="33C520BF" w:rsidR="003F7E34" w:rsidRPr="00A63606" w:rsidRDefault="003F7E34" w:rsidP="007F0B8C">
      <w:pPr>
        <w:pStyle w:val="Heading4"/>
        <w:keepNext w:val="0"/>
        <w:keepLines w:val="0"/>
        <w:spacing w:before="240"/>
        <w:rPr>
          <w:i/>
          <w:sz w:val="22"/>
          <w:szCs w:val="22"/>
        </w:rPr>
      </w:pPr>
      <w:r w:rsidRPr="00A63606">
        <w:rPr>
          <w:i/>
          <w:sz w:val="22"/>
          <w:szCs w:val="22"/>
        </w:rPr>
        <w:t>NATIONAL HEALTH (PARAPLEGIC AND QUADRIPLEGIC PROGRAM) SPECIAL ARRANGEMENT AMENDMENT INSTRUMENT 20</w:t>
      </w:r>
      <w:r w:rsidR="006451A8" w:rsidRPr="00A63606">
        <w:rPr>
          <w:i/>
          <w:sz w:val="22"/>
          <w:szCs w:val="22"/>
        </w:rPr>
        <w:t>2</w:t>
      </w:r>
      <w:r w:rsidR="00AA08EF" w:rsidRPr="00A63606">
        <w:rPr>
          <w:i/>
          <w:sz w:val="22"/>
          <w:szCs w:val="22"/>
        </w:rPr>
        <w:t>1</w:t>
      </w:r>
      <w:r w:rsidRPr="00A63606">
        <w:rPr>
          <w:i/>
          <w:sz w:val="22"/>
          <w:szCs w:val="22"/>
        </w:rPr>
        <w:t xml:space="preserve"> (No. </w:t>
      </w:r>
      <w:r w:rsidR="00B3024B" w:rsidRPr="00A63606">
        <w:rPr>
          <w:i/>
          <w:sz w:val="22"/>
          <w:szCs w:val="22"/>
        </w:rPr>
        <w:t>2</w:t>
      </w:r>
      <w:r w:rsidRPr="00A63606">
        <w:rPr>
          <w:i/>
          <w:sz w:val="22"/>
          <w:szCs w:val="22"/>
        </w:rPr>
        <w:t>)</w:t>
      </w:r>
    </w:p>
    <w:p w14:paraId="2AEB4877" w14:textId="09D4F131" w:rsidR="003F7E34" w:rsidRPr="00A63606" w:rsidRDefault="007E1978" w:rsidP="007F0B8C">
      <w:pPr>
        <w:pStyle w:val="Heading4"/>
        <w:keepNext w:val="0"/>
        <w:keepLines w:val="0"/>
        <w:spacing w:before="120"/>
        <w:rPr>
          <w:sz w:val="24"/>
          <w:szCs w:val="24"/>
        </w:rPr>
      </w:pPr>
      <w:r w:rsidRPr="00A63606">
        <w:rPr>
          <w:sz w:val="22"/>
          <w:szCs w:val="22"/>
        </w:rPr>
        <w:t>PB 124</w:t>
      </w:r>
      <w:r w:rsidR="003F7E34" w:rsidRPr="00A63606">
        <w:rPr>
          <w:sz w:val="22"/>
          <w:szCs w:val="22"/>
        </w:rPr>
        <w:t xml:space="preserve"> of </w:t>
      </w:r>
      <w:r w:rsidR="006451A8" w:rsidRPr="00A63606">
        <w:rPr>
          <w:sz w:val="22"/>
          <w:szCs w:val="22"/>
        </w:rPr>
        <w:t>202</w:t>
      </w:r>
      <w:r w:rsidR="00AA08EF" w:rsidRPr="00A63606">
        <w:rPr>
          <w:sz w:val="22"/>
          <w:szCs w:val="22"/>
        </w:rPr>
        <w:t>1</w:t>
      </w:r>
    </w:p>
    <w:p w14:paraId="1F47C89C" w14:textId="77777777" w:rsidR="003F7E34" w:rsidRPr="00A63606" w:rsidRDefault="003F7E34" w:rsidP="00011D4C">
      <w:pPr>
        <w:spacing w:before="120"/>
        <w:rPr>
          <w:b/>
        </w:rPr>
      </w:pPr>
    </w:p>
    <w:p w14:paraId="1FE7D82C" w14:textId="77777777" w:rsidR="00D217CE" w:rsidRPr="00A63606" w:rsidRDefault="00D217CE" w:rsidP="00E45BF6">
      <w:pPr>
        <w:spacing w:before="120"/>
        <w:rPr>
          <w:b/>
          <w:sz w:val="22"/>
          <w:szCs w:val="22"/>
        </w:rPr>
      </w:pPr>
      <w:r w:rsidRPr="00A63606">
        <w:rPr>
          <w:b/>
          <w:sz w:val="22"/>
          <w:szCs w:val="22"/>
        </w:rPr>
        <w:t>Purpose</w:t>
      </w:r>
    </w:p>
    <w:p w14:paraId="1C5CDF1C" w14:textId="36203260" w:rsidR="00D217CE" w:rsidRPr="00A63606" w:rsidRDefault="00D217CE" w:rsidP="00E45BF6">
      <w:pPr>
        <w:spacing w:before="120"/>
        <w:jc w:val="both"/>
        <w:rPr>
          <w:sz w:val="22"/>
          <w:szCs w:val="22"/>
        </w:rPr>
      </w:pPr>
      <w:r w:rsidRPr="00A63606">
        <w:rPr>
          <w:sz w:val="22"/>
          <w:szCs w:val="22"/>
        </w:rPr>
        <w:t xml:space="preserve">This is the </w:t>
      </w:r>
      <w:r w:rsidRPr="00A63606">
        <w:rPr>
          <w:i/>
          <w:sz w:val="22"/>
          <w:szCs w:val="22"/>
        </w:rPr>
        <w:t>National Health (Paraplegic and Quadriplegic Program) Special Arrangement Amendment Instrument 20</w:t>
      </w:r>
      <w:r w:rsidR="00713EE2" w:rsidRPr="00A63606">
        <w:rPr>
          <w:i/>
          <w:sz w:val="22"/>
          <w:szCs w:val="22"/>
        </w:rPr>
        <w:t>2</w:t>
      </w:r>
      <w:r w:rsidR="00AA08EF" w:rsidRPr="00A63606">
        <w:rPr>
          <w:i/>
          <w:sz w:val="22"/>
          <w:szCs w:val="22"/>
        </w:rPr>
        <w:t>1</w:t>
      </w:r>
      <w:r w:rsidRPr="00A63606">
        <w:rPr>
          <w:i/>
          <w:sz w:val="22"/>
          <w:szCs w:val="22"/>
        </w:rPr>
        <w:t xml:space="preserve"> (No. </w:t>
      </w:r>
      <w:r w:rsidR="007E1978" w:rsidRPr="00A63606">
        <w:rPr>
          <w:i/>
          <w:sz w:val="22"/>
          <w:szCs w:val="22"/>
        </w:rPr>
        <w:t>2</w:t>
      </w:r>
      <w:r w:rsidRPr="00A63606">
        <w:rPr>
          <w:i/>
          <w:sz w:val="22"/>
          <w:szCs w:val="22"/>
        </w:rPr>
        <w:t xml:space="preserve">) </w:t>
      </w:r>
      <w:r w:rsidRPr="00A63606">
        <w:rPr>
          <w:sz w:val="22"/>
          <w:szCs w:val="22"/>
        </w:rPr>
        <w:t xml:space="preserve">(this Instrument).  The purpose of this Instrument, made under subsection 100(2) of the Act, is to amend the </w:t>
      </w:r>
      <w:r w:rsidRPr="00A63606">
        <w:rPr>
          <w:i/>
          <w:sz w:val="22"/>
          <w:szCs w:val="22"/>
        </w:rPr>
        <w:t>National Health (Paraplegic and Quadriplegic Program) Special Arrangement 20</w:t>
      </w:r>
      <w:r w:rsidR="003504A8" w:rsidRPr="00A63606">
        <w:rPr>
          <w:i/>
          <w:sz w:val="22"/>
          <w:szCs w:val="22"/>
        </w:rPr>
        <w:t>21</w:t>
      </w:r>
      <w:r w:rsidRPr="00A63606">
        <w:rPr>
          <w:sz w:val="22"/>
          <w:szCs w:val="22"/>
        </w:rPr>
        <w:t xml:space="preserve"> (PB </w:t>
      </w:r>
      <w:r w:rsidR="003504A8" w:rsidRPr="00A63606">
        <w:rPr>
          <w:sz w:val="22"/>
          <w:szCs w:val="22"/>
        </w:rPr>
        <w:t>31</w:t>
      </w:r>
      <w:r w:rsidRPr="00A63606">
        <w:rPr>
          <w:sz w:val="22"/>
          <w:szCs w:val="22"/>
        </w:rPr>
        <w:t xml:space="preserve"> of 20</w:t>
      </w:r>
      <w:r w:rsidR="003504A8" w:rsidRPr="00A63606">
        <w:rPr>
          <w:sz w:val="22"/>
          <w:szCs w:val="22"/>
        </w:rPr>
        <w:t>21</w:t>
      </w:r>
      <w:r w:rsidRPr="00A63606">
        <w:rPr>
          <w:sz w:val="22"/>
          <w:szCs w:val="22"/>
        </w:rPr>
        <w:t>) (the Special Arrangement) to make changes to the Special Arrangement relating to the Paraplegic and Quadriplegic Program.</w:t>
      </w:r>
    </w:p>
    <w:p w14:paraId="31E807D2" w14:textId="77777777" w:rsidR="00D217CE" w:rsidRPr="00A63606" w:rsidRDefault="00D217CE" w:rsidP="00E45BF6">
      <w:pPr>
        <w:spacing w:before="120"/>
        <w:jc w:val="both"/>
        <w:rPr>
          <w:sz w:val="22"/>
          <w:szCs w:val="22"/>
        </w:rPr>
      </w:pPr>
      <w:r w:rsidRPr="00A63606">
        <w:rPr>
          <w:sz w:val="22"/>
          <w:szCs w:val="22"/>
        </w:rPr>
        <w:t xml:space="preserve">The Paraplegic and Quadriplegic Program Special Arrangement provides for ‘authorised associations’ to supply pharmaceutical benefits available under the Special Arrangement to ‘eligible </w:t>
      </w:r>
      <w:proofErr w:type="gramStart"/>
      <w:r w:rsidRPr="00A63606">
        <w:rPr>
          <w:sz w:val="22"/>
          <w:szCs w:val="22"/>
        </w:rPr>
        <w:t>persons’</w:t>
      </w:r>
      <w:proofErr w:type="gramEnd"/>
      <w:r w:rsidRPr="00A63606">
        <w:rPr>
          <w:sz w:val="22"/>
          <w:szCs w:val="22"/>
        </w:rPr>
        <w:t>.  A person is an ‘eligible person’ for the purposes of the Special Arrangement if they:</w:t>
      </w:r>
    </w:p>
    <w:p w14:paraId="2D80C42E" w14:textId="77777777" w:rsidR="00D217CE" w:rsidRPr="00A63606" w:rsidRDefault="00D217CE" w:rsidP="00E45BF6">
      <w:pPr>
        <w:pStyle w:val="ListParagraph"/>
        <w:keepLines w:val="0"/>
        <w:numPr>
          <w:ilvl w:val="0"/>
          <w:numId w:val="3"/>
        </w:numPr>
        <w:tabs>
          <w:tab w:val="left" w:pos="851"/>
        </w:tabs>
        <w:spacing w:before="120" w:after="0"/>
        <w:ind w:left="851" w:hanging="567"/>
        <w:contextualSpacing w:val="0"/>
        <w:rPr>
          <w:sz w:val="22"/>
          <w:szCs w:val="22"/>
        </w:rPr>
      </w:pPr>
      <w:r w:rsidRPr="00A63606">
        <w:rPr>
          <w:sz w:val="22"/>
          <w:szCs w:val="22"/>
        </w:rPr>
        <w:t xml:space="preserve">are an ‘eligible person’ within the meaning of the </w:t>
      </w:r>
      <w:r w:rsidRPr="00A63606">
        <w:rPr>
          <w:i/>
          <w:sz w:val="22"/>
          <w:szCs w:val="22"/>
        </w:rPr>
        <w:t>Health Insurance Act 1973</w:t>
      </w:r>
      <w:r w:rsidRPr="00A63606">
        <w:rPr>
          <w:sz w:val="22"/>
          <w:szCs w:val="22"/>
        </w:rPr>
        <w:t>, that is, eligible to receive Medicare benefits; and</w:t>
      </w:r>
    </w:p>
    <w:p w14:paraId="3FF2D7BA" w14:textId="77777777" w:rsidR="00D217CE" w:rsidRPr="00A63606" w:rsidRDefault="00D217CE" w:rsidP="00E45BF6">
      <w:pPr>
        <w:pStyle w:val="ListParagraph"/>
        <w:keepLines w:val="0"/>
        <w:numPr>
          <w:ilvl w:val="0"/>
          <w:numId w:val="3"/>
        </w:numPr>
        <w:tabs>
          <w:tab w:val="left" w:pos="851"/>
        </w:tabs>
        <w:spacing w:before="120" w:after="0"/>
        <w:ind w:left="851" w:hanging="567"/>
        <w:contextualSpacing w:val="0"/>
        <w:rPr>
          <w:sz w:val="22"/>
          <w:szCs w:val="22"/>
        </w:rPr>
      </w:pPr>
      <w:r w:rsidRPr="00A63606">
        <w:rPr>
          <w:sz w:val="22"/>
          <w:szCs w:val="22"/>
        </w:rPr>
        <w:t>have paraplegia or quadriplegia; and</w:t>
      </w:r>
    </w:p>
    <w:p w14:paraId="624ACB31" w14:textId="77777777" w:rsidR="00D217CE" w:rsidRPr="00A63606" w:rsidRDefault="00D217CE" w:rsidP="00E45BF6">
      <w:pPr>
        <w:pStyle w:val="ListParagraph"/>
        <w:keepLines w:val="0"/>
        <w:numPr>
          <w:ilvl w:val="0"/>
          <w:numId w:val="3"/>
        </w:numPr>
        <w:tabs>
          <w:tab w:val="left" w:pos="851"/>
        </w:tabs>
        <w:spacing w:before="120" w:after="0"/>
        <w:ind w:left="851" w:hanging="567"/>
        <w:contextualSpacing w:val="0"/>
        <w:rPr>
          <w:sz w:val="22"/>
          <w:szCs w:val="22"/>
        </w:rPr>
      </w:pPr>
      <w:r w:rsidRPr="00A63606">
        <w:rPr>
          <w:sz w:val="22"/>
          <w:szCs w:val="22"/>
        </w:rPr>
        <w:t xml:space="preserve">are a member of an ‘authorised </w:t>
      </w:r>
      <w:proofErr w:type="gramStart"/>
      <w:r w:rsidRPr="00A63606">
        <w:rPr>
          <w:sz w:val="22"/>
          <w:szCs w:val="22"/>
        </w:rPr>
        <w:t>association’.</w:t>
      </w:r>
      <w:proofErr w:type="gramEnd"/>
    </w:p>
    <w:p w14:paraId="6A6201B9" w14:textId="77777777" w:rsidR="00D217CE" w:rsidRPr="00A63606" w:rsidRDefault="00D217CE" w:rsidP="00E45BF6">
      <w:pPr>
        <w:spacing w:before="120"/>
        <w:jc w:val="both"/>
        <w:rPr>
          <w:sz w:val="22"/>
          <w:szCs w:val="22"/>
        </w:rPr>
      </w:pPr>
      <w:r w:rsidRPr="00A63606">
        <w:rPr>
          <w:sz w:val="22"/>
          <w:szCs w:val="22"/>
        </w:rPr>
        <w:t xml:space="preserve">The amendments made by this Instrument reflect amendments to the </w:t>
      </w:r>
      <w:r w:rsidRPr="00A63606">
        <w:rPr>
          <w:i/>
          <w:sz w:val="22"/>
          <w:szCs w:val="22"/>
        </w:rPr>
        <w:t>National Health (Listing of Pharmaceutical Benefits) Instrument 2012</w:t>
      </w:r>
      <w:r w:rsidRPr="00A63606">
        <w:rPr>
          <w:sz w:val="22"/>
          <w:szCs w:val="22"/>
        </w:rPr>
        <w:t xml:space="preserve"> (PB 71 of 2012), which commence on the same day.  The </w:t>
      </w:r>
      <w:r w:rsidRPr="00A63606">
        <w:rPr>
          <w:i/>
          <w:sz w:val="22"/>
          <w:szCs w:val="22"/>
        </w:rPr>
        <w:t>National Health (Listing of Pharmaceutical Benefits) Instrument 2012</w:t>
      </w:r>
      <w:r w:rsidRPr="00A63606">
        <w:rPr>
          <w:sz w:val="22"/>
          <w:szCs w:val="22"/>
        </w:rPr>
        <w:t xml:space="preserve"> (PB</w:t>
      </w:r>
      <w:r w:rsidR="00256AB3" w:rsidRPr="00A63606">
        <w:rPr>
          <w:sz w:val="22"/>
          <w:szCs w:val="22"/>
        </w:rPr>
        <w:t> </w:t>
      </w:r>
      <w:r w:rsidRPr="00A63606">
        <w:rPr>
          <w:sz w:val="22"/>
          <w:szCs w:val="22"/>
        </w:rPr>
        <w:t>71</w:t>
      </w:r>
      <w:r w:rsidR="00256AB3" w:rsidRPr="00A63606">
        <w:rPr>
          <w:sz w:val="22"/>
          <w:szCs w:val="22"/>
        </w:rPr>
        <w:t> </w:t>
      </w:r>
      <w:r w:rsidRPr="00A63606">
        <w:rPr>
          <w:sz w:val="22"/>
          <w:szCs w:val="22"/>
        </w:rPr>
        <w:t>of</w:t>
      </w:r>
      <w:r w:rsidR="00256AB3" w:rsidRPr="00A63606">
        <w:rPr>
          <w:sz w:val="22"/>
          <w:szCs w:val="22"/>
        </w:rPr>
        <w:t> </w:t>
      </w:r>
      <w:r w:rsidRPr="00A63606">
        <w:rPr>
          <w:sz w:val="22"/>
          <w:szCs w:val="22"/>
        </w:rPr>
        <w:t>2012) is made under sections 84AF, 84AK, 85, 85A, 88 and 101 of the Act.</w:t>
      </w:r>
    </w:p>
    <w:p w14:paraId="38810935" w14:textId="77777777" w:rsidR="006E4527" w:rsidRPr="00A63606" w:rsidRDefault="006E4527" w:rsidP="006E4527">
      <w:pPr>
        <w:spacing w:before="120"/>
        <w:jc w:val="both"/>
        <w:rPr>
          <w:sz w:val="22"/>
          <w:szCs w:val="22"/>
        </w:rPr>
      </w:pPr>
      <w:r w:rsidRPr="00A63606">
        <w:rPr>
          <w:sz w:val="22"/>
          <w:szCs w:val="22"/>
        </w:rPr>
        <w:t xml:space="preserve">The amendments made by this Instrument include the deletion of a brand of the listed drug </w:t>
      </w:r>
      <w:r w:rsidRPr="00A63606">
        <w:rPr>
          <w:sz w:val="22"/>
          <w:szCs w:val="22"/>
        </w:rPr>
        <w:br/>
        <w:t xml:space="preserve">macrogol 3350 for pharmaceutical benefits listed in Schedule 1 of the Special Arrangement. The amendments also include the deletion of the responsible person </w:t>
      </w:r>
      <w:proofErr w:type="spellStart"/>
      <w:r w:rsidRPr="00A63606">
        <w:rPr>
          <w:sz w:val="22"/>
          <w:szCs w:val="22"/>
        </w:rPr>
        <w:t>Amneal</w:t>
      </w:r>
      <w:proofErr w:type="spellEnd"/>
      <w:r w:rsidRPr="00A63606">
        <w:rPr>
          <w:sz w:val="22"/>
          <w:szCs w:val="22"/>
        </w:rPr>
        <w:t xml:space="preserve"> Pharmaceuticals Pty Ltd listed in Schedule 2 of the Special Arrangement.</w:t>
      </w:r>
    </w:p>
    <w:p w14:paraId="2075E0B7" w14:textId="77777777" w:rsidR="009F6CDE" w:rsidRPr="00A63606" w:rsidRDefault="009F6CDE" w:rsidP="009F6CDE">
      <w:pPr>
        <w:spacing w:before="120"/>
        <w:rPr>
          <w:sz w:val="22"/>
          <w:szCs w:val="22"/>
        </w:rPr>
      </w:pPr>
      <w:r w:rsidRPr="00A63606">
        <w:rPr>
          <w:sz w:val="22"/>
          <w:szCs w:val="22"/>
        </w:rPr>
        <w:t>A provision by provision description of this Instrument is contained in the Attachment.</w:t>
      </w:r>
    </w:p>
    <w:p w14:paraId="653A7D08" w14:textId="77777777" w:rsidR="003A6026" w:rsidRPr="00A63606" w:rsidRDefault="003A6026" w:rsidP="00E45BF6">
      <w:pPr>
        <w:spacing w:before="120"/>
        <w:rPr>
          <w:b/>
          <w:sz w:val="22"/>
          <w:szCs w:val="22"/>
        </w:rPr>
      </w:pPr>
      <w:r w:rsidRPr="00A63606">
        <w:rPr>
          <w:b/>
          <w:sz w:val="22"/>
          <w:szCs w:val="22"/>
        </w:rPr>
        <w:t>Authority</w:t>
      </w:r>
    </w:p>
    <w:p w14:paraId="0FDB90B9" w14:textId="77777777" w:rsidR="00FF56C7" w:rsidRPr="00A63606" w:rsidRDefault="00FF56C7" w:rsidP="00E45BF6">
      <w:pPr>
        <w:pStyle w:val="Heading6"/>
        <w:keepNext w:val="0"/>
        <w:keepLines w:val="0"/>
        <w:tabs>
          <w:tab w:val="left" w:pos="456"/>
        </w:tabs>
        <w:spacing w:before="120" w:after="0"/>
        <w:rPr>
          <w:b w:val="0"/>
          <w:sz w:val="22"/>
          <w:szCs w:val="22"/>
        </w:rPr>
      </w:pPr>
      <w:r w:rsidRPr="00A63606">
        <w:rPr>
          <w:b w:val="0"/>
          <w:sz w:val="22"/>
          <w:szCs w:val="22"/>
        </w:rPr>
        <w:t xml:space="preserve">Subsection 100(1) of the </w:t>
      </w:r>
      <w:r w:rsidRPr="00A63606">
        <w:rPr>
          <w:b w:val="0"/>
          <w:i/>
          <w:sz w:val="22"/>
          <w:szCs w:val="22"/>
        </w:rPr>
        <w:t xml:space="preserve">National Health Act 1953 </w:t>
      </w:r>
      <w:r w:rsidRPr="00A63606">
        <w:rPr>
          <w:b w:val="0"/>
          <w:sz w:val="22"/>
          <w:szCs w:val="22"/>
        </w:rPr>
        <w:t>(the Act) enables the Minister to make special arrangements for the supply of pharmaceutical benefits.</w:t>
      </w:r>
    </w:p>
    <w:p w14:paraId="754BC380" w14:textId="77777777" w:rsidR="00FF56C7" w:rsidRPr="00A63606" w:rsidRDefault="00FF56C7" w:rsidP="00E45BF6">
      <w:pPr>
        <w:pStyle w:val="Heading6"/>
        <w:keepNext w:val="0"/>
        <w:keepLines w:val="0"/>
        <w:tabs>
          <w:tab w:val="left" w:pos="456"/>
        </w:tabs>
        <w:spacing w:before="120" w:after="0"/>
        <w:rPr>
          <w:b w:val="0"/>
          <w:sz w:val="22"/>
          <w:szCs w:val="22"/>
        </w:rPr>
      </w:pPr>
      <w:r w:rsidRPr="00A63606">
        <w:rPr>
          <w:b w:val="0"/>
          <w:sz w:val="22"/>
          <w:szCs w:val="22"/>
        </w:rPr>
        <w:t>Subsection 100(2) of the Act provides that the Minister may vary or revoke a special arrangement made under subsection 100(1).</w:t>
      </w:r>
    </w:p>
    <w:p w14:paraId="7697EB79" w14:textId="77777777" w:rsidR="00FF56C7" w:rsidRPr="00A63606" w:rsidRDefault="00FF56C7" w:rsidP="00E45BF6">
      <w:pPr>
        <w:pStyle w:val="Heading6"/>
        <w:keepNext w:val="0"/>
        <w:keepLines w:val="0"/>
        <w:spacing w:before="120" w:after="0"/>
        <w:rPr>
          <w:sz w:val="22"/>
          <w:szCs w:val="22"/>
        </w:rPr>
      </w:pPr>
      <w:r w:rsidRPr="00A63606">
        <w:rPr>
          <w:b w:val="0"/>
          <w:sz w:val="22"/>
          <w:szCs w:val="22"/>
        </w:rPr>
        <w:t>Subsection 100(3) of the Act provides that Part VII of the Act, and instruments made for the purposes of Part VII have effect subject to a special arrangement made under subsection 100(1).</w:t>
      </w:r>
    </w:p>
    <w:p w14:paraId="3D318967" w14:textId="77777777" w:rsidR="00571345" w:rsidRPr="00A63606" w:rsidRDefault="007757EA" w:rsidP="00E45BF6">
      <w:pPr>
        <w:spacing w:before="120"/>
        <w:rPr>
          <w:b/>
          <w:sz w:val="22"/>
          <w:szCs w:val="22"/>
        </w:rPr>
      </w:pPr>
      <w:r w:rsidRPr="00A63606">
        <w:rPr>
          <w:b/>
          <w:sz w:val="22"/>
          <w:szCs w:val="22"/>
        </w:rPr>
        <w:t>Consultation</w:t>
      </w:r>
    </w:p>
    <w:p w14:paraId="3071056B" w14:textId="77777777" w:rsidR="00995AEE" w:rsidRPr="00A63606" w:rsidRDefault="00995AEE" w:rsidP="00E45BF6">
      <w:pPr>
        <w:spacing w:before="120"/>
        <w:jc w:val="both"/>
        <w:rPr>
          <w:sz w:val="22"/>
          <w:szCs w:val="22"/>
        </w:rPr>
      </w:pPr>
      <w:r w:rsidRPr="00A63606">
        <w:rPr>
          <w:sz w:val="22"/>
          <w:szCs w:val="22"/>
        </w:rPr>
        <w:t>The amendments made by this Instrument accord with recommendations made by the Pharmaceutical Benef</w:t>
      </w:r>
      <w:r w:rsidR="001940C0" w:rsidRPr="00A63606">
        <w:rPr>
          <w:sz w:val="22"/>
          <w:szCs w:val="22"/>
        </w:rPr>
        <w:t>its Advisory Committee (PBAC).</w:t>
      </w:r>
    </w:p>
    <w:p w14:paraId="7AE99AE8" w14:textId="77777777" w:rsidR="00995AEE" w:rsidRPr="00A63606" w:rsidRDefault="00995AEE" w:rsidP="00E45BF6">
      <w:pPr>
        <w:spacing w:before="120"/>
        <w:ind w:right="-58"/>
        <w:jc w:val="both"/>
        <w:rPr>
          <w:sz w:val="22"/>
          <w:szCs w:val="22"/>
        </w:rPr>
      </w:pPr>
      <w:r w:rsidRPr="00A63606">
        <w:rPr>
          <w:sz w:val="22"/>
          <w:szCs w:val="22"/>
        </w:rPr>
        <w:t>An ongoing and formal process of consultation in relation to matters relevant to the Special Arrangement includes the involvement of interested parties throu</w:t>
      </w:r>
      <w:r w:rsidR="001940C0" w:rsidRPr="00A63606">
        <w:rPr>
          <w:sz w:val="22"/>
          <w:szCs w:val="22"/>
        </w:rPr>
        <w:t>gh the membership of the PBAC.</w:t>
      </w:r>
    </w:p>
    <w:p w14:paraId="6EE8A998" w14:textId="77777777" w:rsidR="00995AEE" w:rsidRPr="00A63606" w:rsidRDefault="00995AEE" w:rsidP="00E45BF6">
      <w:pPr>
        <w:spacing w:before="120"/>
        <w:ind w:right="-58"/>
        <w:jc w:val="both"/>
        <w:rPr>
          <w:sz w:val="22"/>
          <w:szCs w:val="22"/>
        </w:rPr>
      </w:pPr>
      <w:r w:rsidRPr="00A63606">
        <w:rPr>
          <w:sz w:val="22"/>
          <w:szCs w:val="22"/>
        </w:rPr>
        <w:t xml:space="preserve">PBAC is an independent expert body established by section 100A of the Act which makes recommendations to the Minister about which drugs and medicinal preparations should be available as pharmaceutical benefits. </w:t>
      </w:r>
      <w:r w:rsidR="00DD2F45" w:rsidRPr="00A63606">
        <w:rPr>
          <w:sz w:val="22"/>
          <w:szCs w:val="22"/>
        </w:rPr>
        <w:t xml:space="preserve"> </w:t>
      </w:r>
      <w:r w:rsidRPr="00A63606">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A63606">
        <w:rPr>
          <w:sz w:val="22"/>
          <w:szCs w:val="22"/>
        </w:rPr>
        <w:lastRenderedPageBreak/>
        <w:t>pharmacologists</w:t>
      </w:r>
      <w:proofErr w:type="gramEnd"/>
      <w:r w:rsidRPr="00A63606">
        <w:rPr>
          <w:sz w:val="22"/>
          <w:szCs w:val="22"/>
        </w:rPr>
        <w:t xml:space="preserve"> and specialists, with at least one member selected from each of those interests or professions. </w:t>
      </w:r>
      <w:r w:rsidR="00DD2F45" w:rsidRPr="00A63606">
        <w:rPr>
          <w:sz w:val="22"/>
          <w:szCs w:val="22"/>
        </w:rPr>
        <w:t xml:space="preserve"> </w:t>
      </w:r>
      <w:r w:rsidRPr="00A63606">
        <w:rPr>
          <w:sz w:val="22"/>
          <w:szCs w:val="22"/>
        </w:rPr>
        <w:t xml:space="preserve">Remaining members are persons whom the Minister is satisfied have qualifications and experience in a field relevant to the functions of PBAC, and that would enable them to contribute meaningfully to the deliberations of PBAC. </w:t>
      </w:r>
      <w:r w:rsidR="00DD2F45" w:rsidRPr="00A63606">
        <w:rPr>
          <w:sz w:val="22"/>
          <w:szCs w:val="22"/>
        </w:rPr>
        <w:t xml:space="preserve"> </w:t>
      </w:r>
      <w:r w:rsidRPr="00A63606">
        <w:rPr>
          <w:sz w:val="22"/>
          <w:szCs w:val="22"/>
        </w:rPr>
        <w:t xml:space="preserve">When recommending the listing of a medicine on the Pharmaceutical Benefits Scheme (PBS), PBAC </w:t>
      </w:r>
      <w:proofErr w:type="gramStart"/>
      <w:r w:rsidRPr="00A63606">
        <w:rPr>
          <w:sz w:val="22"/>
          <w:szCs w:val="22"/>
        </w:rPr>
        <w:t>takes into account</w:t>
      </w:r>
      <w:proofErr w:type="gramEnd"/>
      <w:r w:rsidRPr="00A63606">
        <w:rPr>
          <w:sz w:val="22"/>
          <w:szCs w:val="22"/>
        </w:rPr>
        <w:t xml:space="preserve"> the medical conditions for which the medicine has been approved for use in Australia, its clinical effectiveness, safety and cost-effectiveness compared with other treatments.</w:t>
      </w:r>
    </w:p>
    <w:p w14:paraId="6EBF1B09" w14:textId="77777777" w:rsidR="00DD2F45" w:rsidRPr="00A63606" w:rsidRDefault="00DD2F45" w:rsidP="00E45BF6">
      <w:pPr>
        <w:spacing w:before="120"/>
        <w:ind w:right="-57"/>
        <w:jc w:val="both"/>
        <w:rPr>
          <w:color w:val="000000"/>
          <w:sz w:val="22"/>
          <w:szCs w:val="22"/>
          <w:lang w:val="en-US" w:eastAsia="en-US"/>
        </w:rPr>
      </w:pPr>
      <w:r w:rsidRPr="00A63606">
        <w:rPr>
          <w:sz w:val="22"/>
          <w:szCs w:val="22"/>
        </w:rPr>
        <w:t>Pharmaceutical companies were consulted throughout the process of changes to the listings on the PBS.  This includes consultation through</w:t>
      </w:r>
      <w:r w:rsidRPr="00A63606">
        <w:rPr>
          <w:color w:val="000000"/>
          <w:sz w:val="22"/>
          <w:szCs w:val="22"/>
          <w:lang w:val="en-US" w:eastAsia="en-US"/>
        </w:rPr>
        <w:t xml:space="preserve"> the PBAC process.</w:t>
      </w:r>
    </w:p>
    <w:p w14:paraId="347D1AFC" w14:textId="77777777" w:rsidR="00995AEE" w:rsidRPr="00A63606" w:rsidRDefault="00DD2F45" w:rsidP="00E45BF6">
      <w:pPr>
        <w:spacing w:before="120"/>
        <w:ind w:right="-57"/>
        <w:jc w:val="both"/>
        <w:rPr>
          <w:sz w:val="22"/>
          <w:szCs w:val="22"/>
        </w:rPr>
      </w:pPr>
      <w:r w:rsidRPr="00A63606">
        <w:rPr>
          <w:color w:val="000000"/>
          <w:sz w:val="22"/>
          <w:szCs w:val="22"/>
          <w:lang w:val="en-US" w:eastAsia="en-US"/>
        </w:rPr>
        <w:t>Further consultation for this Instrument was considered unnecessary due to the nature of the consultation that had already taken place in the decision to list the medication.</w:t>
      </w:r>
    </w:p>
    <w:p w14:paraId="3E8112FC" w14:textId="6B929B65" w:rsidR="00995AEE" w:rsidRPr="00A63606" w:rsidRDefault="00995AEE" w:rsidP="00E45BF6">
      <w:pPr>
        <w:spacing w:before="120"/>
        <w:ind w:right="-58"/>
        <w:jc w:val="both"/>
        <w:rPr>
          <w:sz w:val="22"/>
          <w:szCs w:val="22"/>
        </w:rPr>
      </w:pPr>
      <w:r w:rsidRPr="00A63606">
        <w:rPr>
          <w:sz w:val="22"/>
          <w:szCs w:val="22"/>
        </w:rPr>
        <w:t xml:space="preserve">This instrument commences on </w:t>
      </w:r>
      <w:r w:rsidR="00AA08EF" w:rsidRPr="00A63606">
        <w:rPr>
          <w:sz w:val="22"/>
          <w:szCs w:val="22"/>
        </w:rPr>
        <w:t>1 December 2021</w:t>
      </w:r>
      <w:r w:rsidRPr="00A63606">
        <w:rPr>
          <w:sz w:val="22"/>
          <w:szCs w:val="22"/>
        </w:rPr>
        <w:t>.</w:t>
      </w:r>
    </w:p>
    <w:p w14:paraId="78C2146D" w14:textId="77777777" w:rsidR="00995AEE" w:rsidRPr="00A63606" w:rsidRDefault="00995AEE" w:rsidP="00E45BF6">
      <w:pPr>
        <w:spacing w:before="120"/>
        <w:ind w:right="-58"/>
        <w:jc w:val="both"/>
        <w:rPr>
          <w:sz w:val="22"/>
          <w:szCs w:val="22"/>
        </w:rPr>
      </w:pPr>
      <w:r w:rsidRPr="00A63606">
        <w:rPr>
          <w:sz w:val="22"/>
          <w:szCs w:val="22"/>
        </w:rPr>
        <w:t xml:space="preserve">This instrument is a legislative instrument for the purposes of the </w:t>
      </w:r>
      <w:r w:rsidRPr="00A63606">
        <w:rPr>
          <w:i/>
          <w:sz w:val="22"/>
          <w:szCs w:val="22"/>
        </w:rPr>
        <w:t>Legislative Act 2003</w:t>
      </w:r>
      <w:r w:rsidRPr="00A63606">
        <w:rPr>
          <w:sz w:val="22"/>
          <w:szCs w:val="22"/>
        </w:rPr>
        <w:t>.</w:t>
      </w:r>
    </w:p>
    <w:p w14:paraId="4896935B" w14:textId="77777777" w:rsidR="006E6D04" w:rsidRPr="00A63606" w:rsidRDefault="006E6D04">
      <w:pPr>
        <w:rPr>
          <w:b/>
        </w:rPr>
      </w:pPr>
      <w:r w:rsidRPr="00A63606">
        <w:rPr>
          <w:b/>
        </w:rPr>
        <w:br w:type="page"/>
      </w:r>
    </w:p>
    <w:p w14:paraId="539FEA57" w14:textId="77777777" w:rsidR="00A06A62" w:rsidRPr="00A63606" w:rsidRDefault="00A06A62" w:rsidP="00A06A62">
      <w:pPr>
        <w:jc w:val="right"/>
        <w:rPr>
          <w:b/>
          <w:sz w:val="22"/>
          <w:szCs w:val="22"/>
        </w:rPr>
      </w:pPr>
      <w:r w:rsidRPr="00A63606">
        <w:rPr>
          <w:b/>
          <w:sz w:val="22"/>
          <w:szCs w:val="22"/>
        </w:rPr>
        <w:lastRenderedPageBreak/>
        <w:t>ATTACHMENT</w:t>
      </w:r>
    </w:p>
    <w:p w14:paraId="38EDF51B" w14:textId="77777777" w:rsidR="00A06A62" w:rsidRPr="00A63606" w:rsidRDefault="00A06A62" w:rsidP="00A06A62">
      <w:pPr>
        <w:jc w:val="right"/>
        <w:rPr>
          <w:b/>
          <w:sz w:val="22"/>
          <w:szCs w:val="22"/>
        </w:rPr>
      </w:pPr>
    </w:p>
    <w:p w14:paraId="1BE0DD0F" w14:textId="57A6AB9D" w:rsidR="00A06A62" w:rsidRPr="00A63606" w:rsidRDefault="00A06A62" w:rsidP="00A06A62">
      <w:pPr>
        <w:pStyle w:val="Heading4"/>
        <w:keepNext w:val="0"/>
        <w:keepLines w:val="0"/>
        <w:spacing w:after="0"/>
        <w:jc w:val="left"/>
        <w:rPr>
          <w:i/>
          <w:sz w:val="22"/>
          <w:szCs w:val="22"/>
        </w:rPr>
      </w:pPr>
      <w:r w:rsidRPr="00A63606">
        <w:rPr>
          <w:sz w:val="22"/>
          <w:szCs w:val="22"/>
        </w:rPr>
        <w:t xml:space="preserve">PROVISION-BY-PROVISION DESCRIPTION OF </w:t>
      </w:r>
      <w:r w:rsidRPr="00A63606">
        <w:rPr>
          <w:i/>
          <w:sz w:val="22"/>
          <w:szCs w:val="22"/>
        </w:rPr>
        <w:t>NATIONAL HEALTH (PARAPLEGIC AND QUADRIPLEGIC PROGRAM) SPECIAL ARRANGEMENT AMENDMENT INSTRUMENT 20</w:t>
      </w:r>
      <w:r w:rsidR="006451A8" w:rsidRPr="00A63606">
        <w:rPr>
          <w:i/>
          <w:sz w:val="22"/>
          <w:szCs w:val="22"/>
        </w:rPr>
        <w:t>2</w:t>
      </w:r>
      <w:r w:rsidR="00AA08EF" w:rsidRPr="00A63606">
        <w:rPr>
          <w:i/>
          <w:sz w:val="22"/>
          <w:szCs w:val="22"/>
        </w:rPr>
        <w:t>1</w:t>
      </w:r>
      <w:r w:rsidRPr="00A63606">
        <w:rPr>
          <w:i/>
          <w:sz w:val="22"/>
          <w:szCs w:val="22"/>
        </w:rPr>
        <w:t xml:space="preserve"> (No. </w:t>
      </w:r>
      <w:r w:rsidR="007E1978" w:rsidRPr="00A63606">
        <w:rPr>
          <w:i/>
          <w:sz w:val="22"/>
          <w:szCs w:val="22"/>
        </w:rPr>
        <w:t>2</w:t>
      </w:r>
      <w:r w:rsidRPr="00A63606">
        <w:rPr>
          <w:i/>
          <w:sz w:val="22"/>
          <w:szCs w:val="22"/>
        </w:rPr>
        <w:t>)</w:t>
      </w:r>
    </w:p>
    <w:p w14:paraId="1C8D5088" w14:textId="77777777" w:rsidR="00A06A62" w:rsidRPr="00A63606" w:rsidRDefault="00A06A62" w:rsidP="00A06A62">
      <w:pPr>
        <w:tabs>
          <w:tab w:val="left" w:pos="1418"/>
        </w:tabs>
        <w:spacing w:before="240"/>
        <w:rPr>
          <w:b/>
          <w:sz w:val="22"/>
          <w:szCs w:val="22"/>
        </w:rPr>
      </w:pPr>
      <w:r w:rsidRPr="00A63606">
        <w:rPr>
          <w:b/>
          <w:sz w:val="22"/>
          <w:szCs w:val="22"/>
        </w:rPr>
        <w:t>Section 1</w:t>
      </w:r>
      <w:r w:rsidRPr="00A63606">
        <w:rPr>
          <w:b/>
          <w:sz w:val="22"/>
          <w:szCs w:val="22"/>
        </w:rPr>
        <w:tab/>
        <w:t>Name of Instrument</w:t>
      </w:r>
    </w:p>
    <w:p w14:paraId="74574134" w14:textId="0165B0A4" w:rsidR="00A06A62" w:rsidRPr="00A63606" w:rsidRDefault="00A06A62" w:rsidP="007E1978">
      <w:pPr>
        <w:pStyle w:val="Heading4"/>
        <w:keepNext w:val="0"/>
        <w:keepLines w:val="0"/>
        <w:spacing w:before="120" w:after="0"/>
        <w:jc w:val="both"/>
        <w:rPr>
          <w:b w:val="0"/>
          <w:sz w:val="22"/>
          <w:szCs w:val="22"/>
        </w:rPr>
      </w:pPr>
      <w:r w:rsidRPr="00A63606">
        <w:rPr>
          <w:b w:val="0"/>
          <w:sz w:val="22"/>
          <w:szCs w:val="22"/>
        </w:rPr>
        <w:t xml:space="preserve">This section provides that the Instrument is the </w:t>
      </w:r>
      <w:bookmarkStart w:id="0" w:name="_Hlk89010414"/>
      <w:r w:rsidRPr="00A63606">
        <w:rPr>
          <w:b w:val="0"/>
          <w:i/>
          <w:sz w:val="22"/>
          <w:szCs w:val="22"/>
        </w:rPr>
        <w:t>National Health (Paraplegic and Quadriplegic Program) Special Arrangement Amendment Instrument 20</w:t>
      </w:r>
      <w:r w:rsidR="006451A8" w:rsidRPr="00A63606">
        <w:rPr>
          <w:b w:val="0"/>
          <w:i/>
          <w:sz w:val="22"/>
          <w:szCs w:val="22"/>
        </w:rPr>
        <w:t>2</w:t>
      </w:r>
      <w:r w:rsidR="00AA08EF" w:rsidRPr="00A63606">
        <w:rPr>
          <w:b w:val="0"/>
          <w:i/>
          <w:sz w:val="22"/>
          <w:szCs w:val="22"/>
        </w:rPr>
        <w:t>1</w:t>
      </w:r>
      <w:r w:rsidRPr="00A63606">
        <w:rPr>
          <w:b w:val="0"/>
          <w:i/>
          <w:sz w:val="22"/>
          <w:szCs w:val="22"/>
        </w:rPr>
        <w:t xml:space="preserve"> (No. </w:t>
      </w:r>
      <w:r w:rsidR="007E1978" w:rsidRPr="00A63606">
        <w:rPr>
          <w:b w:val="0"/>
          <w:i/>
          <w:sz w:val="22"/>
          <w:szCs w:val="22"/>
        </w:rPr>
        <w:t>2</w:t>
      </w:r>
      <w:r w:rsidRPr="00A63606">
        <w:rPr>
          <w:b w:val="0"/>
          <w:i/>
          <w:sz w:val="22"/>
          <w:szCs w:val="22"/>
        </w:rPr>
        <w:t>)</w:t>
      </w:r>
      <w:bookmarkEnd w:id="0"/>
      <w:r w:rsidRPr="00A63606">
        <w:rPr>
          <w:sz w:val="22"/>
          <w:szCs w:val="22"/>
        </w:rPr>
        <w:t xml:space="preserve"> </w:t>
      </w:r>
      <w:r w:rsidRPr="00A63606">
        <w:rPr>
          <w:b w:val="0"/>
          <w:sz w:val="22"/>
          <w:szCs w:val="22"/>
        </w:rPr>
        <w:t xml:space="preserve">and may also be cited as </w:t>
      </w:r>
      <w:r w:rsidR="007E1978" w:rsidRPr="00A63606">
        <w:rPr>
          <w:b w:val="0"/>
          <w:sz w:val="22"/>
          <w:szCs w:val="22"/>
        </w:rPr>
        <w:br/>
        <w:t>PB 124</w:t>
      </w:r>
      <w:r w:rsidR="0057185A" w:rsidRPr="00A63606">
        <w:rPr>
          <w:b w:val="0"/>
          <w:sz w:val="22"/>
          <w:szCs w:val="22"/>
        </w:rPr>
        <w:t> </w:t>
      </w:r>
      <w:r w:rsidRPr="00A63606">
        <w:rPr>
          <w:b w:val="0"/>
          <w:sz w:val="22"/>
          <w:szCs w:val="22"/>
        </w:rPr>
        <w:t>of</w:t>
      </w:r>
      <w:r w:rsidR="00DB5E20" w:rsidRPr="00A63606">
        <w:rPr>
          <w:b w:val="0"/>
          <w:sz w:val="22"/>
          <w:szCs w:val="22"/>
        </w:rPr>
        <w:t> </w:t>
      </w:r>
      <w:r w:rsidRPr="00A63606">
        <w:rPr>
          <w:b w:val="0"/>
          <w:sz w:val="22"/>
          <w:szCs w:val="22"/>
        </w:rPr>
        <w:t>20</w:t>
      </w:r>
      <w:r w:rsidR="006451A8" w:rsidRPr="00A63606">
        <w:rPr>
          <w:b w:val="0"/>
          <w:sz w:val="22"/>
          <w:szCs w:val="22"/>
        </w:rPr>
        <w:t>2</w:t>
      </w:r>
      <w:r w:rsidR="00AA08EF" w:rsidRPr="00A63606">
        <w:rPr>
          <w:b w:val="0"/>
          <w:sz w:val="22"/>
          <w:szCs w:val="22"/>
        </w:rPr>
        <w:t>1</w:t>
      </w:r>
      <w:r w:rsidRPr="00A63606">
        <w:rPr>
          <w:b w:val="0"/>
          <w:sz w:val="22"/>
          <w:szCs w:val="22"/>
        </w:rPr>
        <w:t>.</w:t>
      </w:r>
    </w:p>
    <w:p w14:paraId="526D52E3" w14:textId="77777777" w:rsidR="00A06A62" w:rsidRPr="00A63606" w:rsidRDefault="00A06A62" w:rsidP="00A06A62">
      <w:pPr>
        <w:tabs>
          <w:tab w:val="left" w:pos="1418"/>
        </w:tabs>
        <w:spacing w:before="240"/>
        <w:rPr>
          <w:b/>
          <w:sz w:val="22"/>
          <w:szCs w:val="22"/>
        </w:rPr>
      </w:pPr>
      <w:r w:rsidRPr="00A63606">
        <w:rPr>
          <w:b/>
          <w:sz w:val="22"/>
          <w:szCs w:val="22"/>
        </w:rPr>
        <w:t>Section 2</w:t>
      </w:r>
      <w:r w:rsidRPr="00A63606">
        <w:rPr>
          <w:b/>
          <w:sz w:val="22"/>
          <w:szCs w:val="22"/>
        </w:rPr>
        <w:tab/>
        <w:t>Commencement</w:t>
      </w:r>
    </w:p>
    <w:p w14:paraId="4711B6FD" w14:textId="2786EF39" w:rsidR="00A06A62" w:rsidRPr="00A63606" w:rsidRDefault="00A06A62" w:rsidP="00A06A62">
      <w:pPr>
        <w:spacing w:before="120"/>
        <w:rPr>
          <w:sz w:val="22"/>
          <w:szCs w:val="22"/>
        </w:rPr>
      </w:pPr>
      <w:r w:rsidRPr="00A63606">
        <w:rPr>
          <w:sz w:val="22"/>
          <w:szCs w:val="22"/>
        </w:rPr>
        <w:t xml:space="preserve">This section provides that this Instrument commences on </w:t>
      </w:r>
      <w:r w:rsidR="00AA08EF" w:rsidRPr="00A63606">
        <w:rPr>
          <w:sz w:val="22"/>
          <w:szCs w:val="22"/>
        </w:rPr>
        <w:t>1 December 2021</w:t>
      </w:r>
      <w:r w:rsidRPr="00A63606">
        <w:rPr>
          <w:sz w:val="22"/>
          <w:szCs w:val="22"/>
        </w:rPr>
        <w:t>.</w:t>
      </w:r>
    </w:p>
    <w:p w14:paraId="0DA5F0AA" w14:textId="761751F3" w:rsidR="00A06A62" w:rsidRPr="00A63606" w:rsidRDefault="00A06A62" w:rsidP="004871EF">
      <w:pPr>
        <w:spacing w:before="240"/>
        <w:ind w:left="1418" w:hanging="1418"/>
        <w:rPr>
          <w:b/>
          <w:sz w:val="22"/>
          <w:szCs w:val="22"/>
        </w:rPr>
      </w:pPr>
      <w:r w:rsidRPr="00A63606">
        <w:rPr>
          <w:b/>
          <w:sz w:val="22"/>
          <w:szCs w:val="22"/>
        </w:rPr>
        <w:t>Section 3</w:t>
      </w:r>
      <w:r w:rsidRPr="00A63606">
        <w:rPr>
          <w:b/>
          <w:sz w:val="22"/>
          <w:szCs w:val="22"/>
        </w:rPr>
        <w:tab/>
        <w:t xml:space="preserve">Amendment of </w:t>
      </w:r>
      <w:r w:rsidRPr="00A63606">
        <w:rPr>
          <w:b/>
          <w:i/>
          <w:sz w:val="22"/>
          <w:szCs w:val="22"/>
        </w:rPr>
        <w:t>National Health (Paraplegic and Quadriplegic Program) Special Arrangement 20</w:t>
      </w:r>
      <w:r w:rsidR="00091476" w:rsidRPr="00A63606">
        <w:rPr>
          <w:b/>
          <w:i/>
          <w:sz w:val="22"/>
          <w:szCs w:val="22"/>
        </w:rPr>
        <w:t>21</w:t>
      </w:r>
      <w:r w:rsidRPr="00A63606">
        <w:rPr>
          <w:b/>
          <w:i/>
          <w:sz w:val="22"/>
          <w:szCs w:val="22"/>
        </w:rPr>
        <w:t xml:space="preserve"> </w:t>
      </w:r>
      <w:r w:rsidRPr="00A63606">
        <w:rPr>
          <w:b/>
          <w:sz w:val="22"/>
          <w:szCs w:val="22"/>
        </w:rPr>
        <w:t xml:space="preserve">(PB </w:t>
      </w:r>
      <w:r w:rsidR="00091476" w:rsidRPr="00A63606">
        <w:rPr>
          <w:b/>
          <w:sz w:val="22"/>
          <w:szCs w:val="22"/>
        </w:rPr>
        <w:t>31</w:t>
      </w:r>
      <w:r w:rsidRPr="00A63606">
        <w:rPr>
          <w:b/>
          <w:sz w:val="22"/>
          <w:szCs w:val="22"/>
        </w:rPr>
        <w:t xml:space="preserve"> of 20</w:t>
      </w:r>
      <w:r w:rsidR="00091476" w:rsidRPr="00A63606">
        <w:rPr>
          <w:b/>
          <w:sz w:val="22"/>
          <w:szCs w:val="22"/>
        </w:rPr>
        <w:t>21</w:t>
      </w:r>
      <w:r w:rsidRPr="00A63606">
        <w:rPr>
          <w:b/>
          <w:sz w:val="22"/>
          <w:szCs w:val="22"/>
        </w:rPr>
        <w:t>)</w:t>
      </w:r>
    </w:p>
    <w:p w14:paraId="320E5AB0" w14:textId="498A281E" w:rsidR="00F63F30" w:rsidRPr="00A63606" w:rsidRDefault="00A06A62" w:rsidP="0057185A">
      <w:pPr>
        <w:spacing w:before="120"/>
        <w:rPr>
          <w:sz w:val="22"/>
          <w:szCs w:val="22"/>
        </w:rPr>
      </w:pPr>
      <w:r w:rsidRPr="00A63606">
        <w:rPr>
          <w:sz w:val="22"/>
          <w:szCs w:val="22"/>
        </w:rPr>
        <w:t xml:space="preserve">This section provides that Schedule 1 amends the </w:t>
      </w:r>
      <w:r w:rsidRPr="00A63606">
        <w:rPr>
          <w:i/>
          <w:sz w:val="22"/>
          <w:szCs w:val="22"/>
        </w:rPr>
        <w:t xml:space="preserve">National Health (Paraplegic and Quadriplegic Program) Special Arrangement </w:t>
      </w:r>
      <w:r w:rsidR="00091476" w:rsidRPr="00A63606">
        <w:rPr>
          <w:i/>
          <w:sz w:val="22"/>
          <w:szCs w:val="22"/>
        </w:rPr>
        <w:t>2021</w:t>
      </w:r>
      <w:r w:rsidRPr="00A63606">
        <w:rPr>
          <w:sz w:val="22"/>
          <w:szCs w:val="22"/>
        </w:rPr>
        <w:t xml:space="preserve"> (PB </w:t>
      </w:r>
      <w:r w:rsidR="00091476" w:rsidRPr="00A63606">
        <w:rPr>
          <w:sz w:val="22"/>
          <w:szCs w:val="22"/>
        </w:rPr>
        <w:t>31</w:t>
      </w:r>
      <w:r w:rsidRPr="00A63606">
        <w:rPr>
          <w:sz w:val="22"/>
          <w:szCs w:val="22"/>
        </w:rPr>
        <w:t xml:space="preserve"> of 20</w:t>
      </w:r>
      <w:r w:rsidR="00091476" w:rsidRPr="00A63606">
        <w:rPr>
          <w:sz w:val="22"/>
          <w:szCs w:val="22"/>
        </w:rPr>
        <w:t>21</w:t>
      </w:r>
      <w:r w:rsidRPr="00A63606">
        <w:rPr>
          <w:sz w:val="22"/>
          <w:szCs w:val="22"/>
        </w:rPr>
        <w:t>)</w:t>
      </w:r>
      <w:r w:rsidR="00F63F30" w:rsidRPr="00A63606">
        <w:rPr>
          <w:sz w:val="22"/>
          <w:szCs w:val="22"/>
        </w:rPr>
        <w:t>.</w:t>
      </w:r>
    </w:p>
    <w:p w14:paraId="6BB9DCDD" w14:textId="77777777" w:rsidR="00F63F30" w:rsidRPr="00A63606" w:rsidRDefault="00F63F30" w:rsidP="00F63F30">
      <w:pPr>
        <w:tabs>
          <w:tab w:val="left" w:pos="1418"/>
        </w:tabs>
        <w:spacing w:before="240"/>
        <w:rPr>
          <w:b/>
          <w:sz w:val="22"/>
          <w:szCs w:val="22"/>
        </w:rPr>
      </w:pPr>
      <w:r w:rsidRPr="00A63606">
        <w:rPr>
          <w:b/>
          <w:sz w:val="22"/>
          <w:szCs w:val="22"/>
        </w:rPr>
        <w:t>Schedule 1</w:t>
      </w:r>
      <w:r w:rsidRPr="00A63606">
        <w:rPr>
          <w:b/>
          <w:sz w:val="22"/>
          <w:szCs w:val="22"/>
        </w:rPr>
        <w:tab/>
        <w:t>Amendments</w:t>
      </w:r>
    </w:p>
    <w:p w14:paraId="545AFCB3" w14:textId="363B7AD3" w:rsidR="00F63F30" w:rsidRPr="00A63606" w:rsidRDefault="005A733A" w:rsidP="0081221A">
      <w:pPr>
        <w:spacing w:before="120"/>
        <w:jc w:val="both"/>
        <w:rPr>
          <w:sz w:val="22"/>
          <w:szCs w:val="22"/>
        </w:rPr>
      </w:pPr>
      <w:r w:rsidRPr="00A63606">
        <w:rPr>
          <w:sz w:val="22"/>
          <w:szCs w:val="22"/>
        </w:rPr>
        <w:t>The amendments made by this Instrument include the deletion of a brand</w:t>
      </w:r>
      <w:r w:rsidR="0030076C" w:rsidRPr="00A63606">
        <w:rPr>
          <w:sz w:val="22"/>
          <w:szCs w:val="22"/>
        </w:rPr>
        <w:t xml:space="preserve"> of a listed drug</w:t>
      </w:r>
      <w:r w:rsidRPr="00A63606">
        <w:rPr>
          <w:sz w:val="22"/>
          <w:szCs w:val="22"/>
        </w:rPr>
        <w:t xml:space="preserve"> for pharmaceutical benefits listed in Schedule 1 of the Special Arrangement. The amendments also include the deletion of a responsible person listed in Schedule 2 of the Special Arrangement. </w:t>
      </w:r>
      <w:r w:rsidR="00DB5E20" w:rsidRPr="00A63606">
        <w:rPr>
          <w:sz w:val="22"/>
          <w:szCs w:val="22"/>
        </w:rPr>
        <w:t>These changes are summarised below.</w:t>
      </w:r>
    </w:p>
    <w:p w14:paraId="419D46F4" w14:textId="77777777" w:rsidR="00F63F30" w:rsidRPr="00A63606" w:rsidRDefault="00F63F30" w:rsidP="00F63F30">
      <w:pPr>
        <w:rPr>
          <w:sz w:val="22"/>
          <w:szCs w:val="22"/>
        </w:rPr>
      </w:pPr>
    </w:p>
    <w:p w14:paraId="49B7D602" w14:textId="77777777" w:rsidR="00F63F30" w:rsidRPr="00A63606" w:rsidRDefault="00F63F30" w:rsidP="009E1467">
      <w:pPr>
        <w:spacing w:before="120"/>
        <w:jc w:val="center"/>
        <w:rPr>
          <w:b/>
          <w:sz w:val="22"/>
          <w:szCs w:val="22"/>
        </w:rPr>
      </w:pPr>
      <w:r w:rsidRPr="00A63606">
        <w:rPr>
          <w:b/>
          <w:sz w:val="22"/>
          <w:szCs w:val="22"/>
        </w:rPr>
        <w:t>SUMMARY OF CHANGES</w:t>
      </w:r>
    </w:p>
    <w:p w14:paraId="7D000C0B" w14:textId="77777777" w:rsidR="0081221A" w:rsidRPr="00A63606" w:rsidRDefault="0081221A" w:rsidP="0081221A">
      <w:pPr>
        <w:spacing w:before="120"/>
        <w:rPr>
          <w:b/>
        </w:rPr>
      </w:pPr>
      <w:r w:rsidRPr="00A63606">
        <w:rPr>
          <w:b/>
        </w:rPr>
        <w:t>Brand Deleted</w:t>
      </w:r>
    </w:p>
    <w:tbl>
      <w:tblPr>
        <w:tblStyle w:val="TableGrid"/>
        <w:tblW w:w="9447" w:type="dxa"/>
        <w:tblInd w:w="108" w:type="dxa"/>
        <w:tblLook w:val="04A0" w:firstRow="1" w:lastRow="0" w:firstColumn="1" w:lastColumn="0" w:noHBand="0" w:noVBand="1"/>
      </w:tblPr>
      <w:tblGrid>
        <w:gridCol w:w="1629"/>
        <w:gridCol w:w="7818"/>
      </w:tblGrid>
      <w:tr w:rsidR="0081221A" w:rsidRPr="00A63606" w14:paraId="251A84F4" w14:textId="77777777" w:rsidTr="00FB43AC">
        <w:trPr>
          <w:trHeight w:val="389"/>
        </w:trPr>
        <w:tc>
          <w:tcPr>
            <w:tcW w:w="1629" w:type="dxa"/>
          </w:tcPr>
          <w:p w14:paraId="05DAFBD5" w14:textId="77777777" w:rsidR="0081221A" w:rsidRPr="00A63606" w:rsidRDefault="0081221A" w:rsidP="00FB43AC">
            <w:pPr>
              <w:spacing w:before="40" w:after="40"/>
              <w:ind w:left="-113"/>
              <w:rPr>
                <w:rFonts w:eastAsia="Arial"/>
                <w:sz w:val="22"/>
                <w:szCs w:val="22"/>
                <w:lang w:eastAsia="zh-CN"/>
              </w:rPr>
            </w:pPr>
            <w:r w:rsidRPr="00A63606">
              <w:rPr>
                <w:b/>
                <w:i/>
                <w:sz w:val="22"/>
              </w:rPr>
              <w:t>Listed drug</w:t>
            </w:r>
          </w:p>
        </w:tc>
        <w:tc>
          <w:tcPr>
            <w:tcW w:w="7818" w:type="dxa"/>
          </w:tcPr>
          <w:p w14:paraId="3CFBDB58" w14:textId="77777777" w:rsidR="0081221A" w:rsidRPr="00A63606" w:rsidRDefault="0081221A" w:rsidP="000029C7">
            <w:pPr>
              <w:spacing w:before="40" w:after="40"/>
              <w:rPr>
                <w:rFonts w:eastAsia="Arial"/>
                <w:sz w:val="22"/>
                <w:szCs w:val="22"/>
                <w:lang w:eastAsia="zh-CN"/>
              </w:rPr>
            </w:pPr>
            <w:r w:rsidRPr="00A63606">
              <w:rPr>
                <w:b/>
                <w:i/>
                <w:sz w:val="22"/>
              </w:rPr>
              <w:t>Form and brand</w:t>
            </w:r>
          </w:p>
        </w:tc>
      </w:tr>
      <w:tr w:rsidR="0081221A" w:rsidRPr="00A63606" w14:paraId="13B1E9EA" w14:textId="77777777" w:rsidTr="00FB43AC">
        <w:trPr>
          <w:trHeight w:val="453"/>
        </w:trPr>
        <w:tc>
          <w:tcPr>
            <w:tcW w:w="1629" w:type="dxa"/>
          </w:tcPr>
          <w:p w14:paraId="056B5125" w14:textId="77777777" w:rsidR="0081221A" w:rsidRPr="00A63606" w:rsidRDefault="0081221A" w:rsidP="00FB43AC">
            <w:pPr>
              <w:spacing w:after="60"/>
              <w:ind w:left="-113"/>
              <w:rPr>
                <w:sz w:val="22"/>
                <w:szCs w:val="22"/>
              </w:rPr>
            </w:pPr>
            <w:r w:rsidRPr="00A63606">
              <w:rPr>
                <w:sz w:val="22"/>
                <w:szCs w:val="22"/>
              </w:rPr>
              <w:t>Macrogol 3350</w:t>
            </w:r>
          </w:p>
        </w:tc>
        <w:tc>
          <w:tcPr>
            <w:tcW w:w="7818" w:type="dxa"/>
          </w:tcPr>
          <w:p w14:paraId="0114BD61" w14:textId="77777777" w:rsidR="0081221A" w:rsidRPr="00A63606" w:rsidRDefault="0081221A" w:rsidP="000029C7">
            <w:pPr>
              <w:spacing w:after="60"/>
              <w:rPr>
                <w:sz w:val="22"/>
                <w:szCs w:val="22"/>
              </w:rPr>
            </w:pPr>
            <w:r w:rsidRPr="00A63606">
              <w:rPr>
                <w:sz w:val="22"/>
                <w:szCs w:val="22"/>
              </w:rPr>
              <w:t>Sachets containing powder for oral solution 13.125g with electrolytes, 30 (</w:t>
            </w:r>
            <w:proofErr w:type="spellStart"/>
            <w:r w:rsidRPr="00A63606">
              <w:rPr>
                <w:i/>
                <w:sz w:val="22"/>
                <w:szCs w:val="22"/>
              </w:rPr>
              <w:t>LaxaCon</w:t>
            </w:r>
            <w:proofErr w:type="spellEnd"/>
            <w:r w:rsidRPr="00A63606">
              <w:rPr>
                <w:sz w:val="22"/>
                <w:szCs w:val="22"/>
              </w:rPr>
              <w:t>)</w:t>
            </w:r>
          </w:p>
        </w:tc>
      </w:tr>
    </w:tbl>
    <w:p w14:paraId="2B6767EA" w14:textId="77777777" w:rsidR="0081221A" w:rsidRPr="00A63606" w:rsidRDefault="0081221A" w:rsidP="0081221A">
      <w:pPr>
        <w:spacing w:before="240"/>
        <w:rPr>
          <w:b/>
          <w:szCs w:val="22"/>
        </w:rPr>
      </w:pPr>
      <w:r w:rsidRPr="00A63606">
        <w:rPr>
          <w:b/>
          <w:szCs w:val="22"/>
        </w:rPr>
        <w:t>Deletion of Responsible Person</w:t>
      </w:r>
    </w:p>
    <w:tbl>
      <w:tblPr>
        <w:tblW w:w="0" w:type="auto"/>
        <w:tblInd w:w="108" w:type="dxa"/>
        <w:tblLook w:val="01E0" w:firstRow="1" w:lastRow="1" w:firstColumn="1" w:lastColumn="1" w:noHBand="0" w:noVBand="0"/>
      </w:tblPr>
      <w:tblGrid>
        <w:gridCol w:w="9060"/>
      </w:tblGrid>
      <w:tr w:rsidR="0081221A" w:rsidRPr="00A63606" w14:paraId="585D77AD" w14:textId="77777777" w:rsidTr="00FB43AC">
        <w:trPr>
          <w:trHeight w:val="317"/>
        </w:trPr>
        <w:tc>
          <w:tcPr>
            <w:tcW w:w="9060" w:type="dxa"/>
            <w:shd w:val="clear" w:color="auto" w:fill="auto"/>
          </w:tcPr>
          <w:p w14:paraId="390A39F0" w14:textId="77777777" w:rsidR="0081221A" w:rsidRPr="00A63606" w:rsidRDefault="0081221A" w:rsidP="000029C7">
            <w:pPr>
              <w:widowControl w:val="0"/>
              <w:spacing w:before="40" w:after="40"/>
              <w:ind w:left="-113"/>
              <w:rPr>
                <w:b/>
                <w:i/>
                <w:sz w:val="22"/>
                <w:szCs w:val="22"/>
              </w:rPr>
            </w:pPr>
            <w:r w:rsidRPr="00A63606">
              <w:rPr>
                <w:b/>
                <w:i/>
                <w:sz w:val="22"/>
                <w:szCs w:val="22"/>
              </w:rPr>
              <w:t>Responsible person and code</w:t>
            </w:r>
          </w:p>
        </w:tc>
      </w:tr>
      <w:tr w:rsidR="0081221A" w:rsidRPr="00A63606" w14:paraId="67C14D5F" w14:textId="77777777" w:rsidTr="00FB43AC">
        <w:trPr>
          <w:trHeight w:val="317"/>
        </w:trPr>
        <w:tc>
          <w:tcPr>
            <w:tcW w:w="9060" w:type="dxa"/>
            <w:shd w:val="clear" w:color="auto" w:fill="auto"/>
          </w:tcPr>
          <w:p w14:paraId="14C514F2" w14:textId="77777777" w:rsidR="0081221A" w:rsidRPr="00A63606" w:rsidRDefault="0081221A" w:rsidP="000029C7">
            <w:pPr>
              <w:widowControl w:val="0"/>
              <w:spacing w:before="40" w:after="40"/>
              <w:ind w:left="-113"/>
              <w:rPr>
                <w:sz w:val="22"/>
                <w:szCs w:val="22"/>
              </w:rPr>
            </w:pPr>
            <w:proofErr w:type="spellStart"/>
            <w:r w:rsidRPr="00A63606">
              <w:rPr>
                <w:sz w:val="22"/>
                <w:szCs w:val="22"/>
              </w:rPr>
              <w:t>Amneal</w:t>
            </w:r>
            <w:proofErr w:type="spellEnd"/>
            <w:r w:rsidRPr="00A63606">
              <w:rPr>
                <w:sz w:val="22"/>
                <w:szCs w:val="22"/>
              </w:rPr>
              <w:t xml:space="preserve"> Pharmaceuticals Pty Ltd (</w:t>
            </w:r>
            <w:r w:rsidRPr="00A63606">
              <w:rPr>
                <w:i/>
                <w:iCs/>
                <w:sz w:val="22"/>
                <w:szCs w:val="22"/>
              </w:rPr>
              <w:t>EA</w:t>
            </w:r>
            <w:r w:rsidRPr="00A63606">
              <w:rPr>
                <w:sz w:val="22"/>
                <w:szCs w:val="22"/>
              </w:rPr>
              <w:t>)</w:t>
            </w:r>
          </w:p>
        </w:tc>
      </w:tr>
    </w:tbl>
    <w:p w14:paraId="7DC21DF5" w14:textId="77777777" w:rsidR="0081221A" w:rsidRPr="00A63606" w:rsidRDefault="0081221A" w:rsidP="0081221A">
      <w:pPr>
        <w:spacing w:before="240"/>
        <w:rPr>
          <w:b/>
          <w:sz w:val="26"/>
          <w:szCs w:val="26"/>
        </w:rPr>
      </w:pPr>
      <w:r w:rsidRPr="00A63606">
        <w:rPr>
          <w:b/>
          <w:sz w:val="26"/>
          <w:szCs w:val="26"/>
        </w:rPr>
        <w:br w:type="page"/>
      </w:r>
    </w:p>
    <w:p w14:paraId="18B833FD" w14:textId="77777777" w:rsidR="00996348" w:rsidRPr="00A63606" w:rsidRDefault="00996348" w:rsidP="00996348">
      <w:pPr>
        <w:jc w:val="center"/>
        <w:rPr>
          <w:b/>
          <w:sz w:val="26"/>
          <w:szCs w:val="26"/>
        </w:rPr>
      </w:pPr>
      <w:bookmarkStart w:id="1" w:name="_Hlk88812263"/>
      <w:bookmarkStart w:id="2" w:name="_Hlk88811434"/>
      <w:r w:rsidRPr="00A63606">
        <w:rPr>
          <w:b/>
          <w:sz w:val="26"/>
          <w:szCs w:val="26"/>
        </w:rPr>
        <w:lastRenderedPageBreak/>
        <w:t>Statement of Compatibility with Human Rights</w:t>
      </w:r>
    </w:p>
    <w:bookmarkEnd w:id="1"/>
    <w:p w14:paraId="6DAF22E3" w14:textId="77777777" w:rsidR="00996348" w:rsidRPr="00A63606" w:rsidRDefault="00996348" w:rsidP="00996348">
      <w:pPr>
        <w:spacing w:before="120"/>
        <w:jc w:val="center"/>
        <w:rPr>
          <w:i/>
          <w:sz w:val="22"/>
          <w:szCs w:val="22"/>
        </w:rPr>
      </w:pPr>
      <w:r w:rsidRPr="00A63606">
        <w:rPr>
          <w:i/>
          <w:sz w:val="22"/>
          <w:szCs w:val="22"/>
        </w:rPr>
        <w:t>Prepared in accordance with Part 3 of the Human Rights (Parliamentary Scrutiny) Act 2011</w:t>
      </w:r>
    </w:p>
    <w:p w14:paraId="384BF909" w14:textId="77777777" w:rsidR="0076185A" w:rsidRPr="00A63606" w:rsidRDefault="0076185A" w:rsidP="00996348">
      <w:pPr>
        <w:spacing w:before="360"/>
        <w:jc w:val="center"/>
        <w:rPr>
          <w:b/>
          <w:i/>
          <w:sz w:val="22"/>
          <w:szCs w:val="22"/>
        </w:rPr>
      </w:pPr>
      <w:r w:rsidRPr="00A63606">
        <w:rPr>
          <w:b/>
          <w:i/>
          <w:sz w:val="22"/>
          <w:szCs w:val="22"/>
        </w:rPr>
        <w:t xml:space="preserve">National Health (Paraplegic and Quadriplegic Program) Special Arrangement </w:t>
      </w:r>
    </w:p>
    <w:p w14:paraId="72DA3E38" w14:textId="505A6E72" w:rsidR="00996348" w:rsidRPr="00A63606" w:rsidRDefault="0076185A" w:rsidP="002204ED">
      <w:pPr>
        <w:spacing w:before="120"/>
        <w:jc w:val="center"/>
        <w:rPr>
          <w:b/>
          <w:i/>
          <w:sz w:val="22"/>
          <w:szCs w:val="22"/>
        </w:rPr>
      </w:pPr>
      <w:r w:rsidRPr="00A63606">
        <w:rPr>
          <w:b/>
          <w:i/>
          <w:sz w:val="22"/>
          <w:szCs w:val="22"/>
        </w:rPr>
        <w:t>Amendment Instrument 2021 (No. 2)</w:t>
      </w:r>
    </w:p>
    <w:p w14:paraId="3991EFF1" w14:textId="1FFF9AE5" w:rsidR="00996348" w:rsidRPr="00A63606" w:rsidRDefault="00996348" w:rsidP="00996348">
      <w:pPr>
        <w:spacing w:before="120"/>
        <w:jc w:val="center"/>
        <w:rPr>
          <w:b/>
          <w:sz w:val="22"/>
          <w:szCs w:val="22"/>
        </w:rPr>
      </w:pPr>
      <w:r w:rsidRPr="00A63606">
        <w:rPr>
          <w:b/>
          <w:sz w:val="22"/>
          <w:szCs w:val="22"/>
        </w:rPr>
        <w:t>(PB 1</w:t>
      </w:r>
      <w:r w:rsidR="00FD7D8E" w:rsidRPr="00A63606">
        <w:rPr>
          <w:b/>
          <w:sz w:val="22"/>
          <w:szCs w:val="22"/>
        </w:rPr>
        <w:t>24</w:t>
      </w:r>
      <w:r w:rsidRPr="00A63606">
        <w:rPr>
          <w:b/>
          <w:sz w:val="22"/>
          <w:szCs w:val="22"/>
        </w:rPr>
        <w:t xml:space="preserve"> of 2021)</w:t>
      </w:r>
    </w:p>
    <w:p w14:paraId="2EAEC54C" w14:textId="77777777" w:rsidR="00996348" w:rsidRPr="00A63606" w:rsidRDefault="00996348" w:rsidP="00996348">
      <w:pPr>
        <w:spacing w:before="360"/>
        <w:jc w:val="both"/>
        <w:rPr>
          <w:sz w:val="22"/>
          <w:szCs w:val="22"/>
        </w:rPr>
      </w:pPr>
      <w:r w:rsidRPr="00A63606">
        <w:rPr>
          <w:sz w:val="22"/>
          <w:szCs w:val="22"/>
        </w:rPr>
        <w:t xml:space="preserve">This Instrument is compatible with the human rights and freedoms recognised or declared in the international instruments listed in section 3 of the </w:t>
      </w:r>
      <w:r w:rsidRPr="00A63606">
        <w:rPr>
          <w:i/>
          <w:sz w:val="22"/>
          <w:szCs w:val="22"/>
        </w:rPr>
        <w:t>Human Rights (Parliamentary Scrutiny) Act 2011</w:t>
      </w:r>
      <w:r w:rsidRPr="00A63606">
        <w:rPr>
          <w:sz w:val="22"/>
          <w:szCs w:val="22"/>
        </w:rPr>
        <w:t>.</w:t>
      </w:r>
    </w:p>
    <w:p w14:paraId="01D3B8CC" w14:textId="77777777" w:rsidR="00996348" w:rsidRPr="00A63606" w:rsidRDefault="00996348" w:rsidP="00996348">
      <w:pPr>
        <w:spacing w:before="240"/>
        <w:jc w:val="both"/>
        <w:rPr>
          <w:b/>
          <w:sz w:val="22"/>
          <w:szCs w:val="22"/>
        </w:rPr>
      </w:pPr>
      <w:r w:rsidRPr="00A63606">
        <w:rPr>
          <w:b/>
          <w:sz w:val="22"/>
          <w:szCs w:val="22"/>
        </w:rPr>
        <w:t>Overview of the Instrument</w:t>
      </w:r>
    </w:p>
    <w:p w14:paraId="3E25B976" w14:textId="2FE308DB" w:rsidR="002204ED" w:rsidRPr="00A63606" w:rsidRDefault="002204ED" w:rsidP="002204ED">
      <w:pPr>
        <w:spacing w:before="60"/>
        <w:rPr>
          <w:sz w:val="22"/>
          <w:szCs w:val="22"/>
        </w:rPr>
      </w:pPr>
      <w:r w:rsidRPr="00A63606">
        <w:rPr>
          <w:sz w:val="22"/>
          <w:szCs w:val="22"/>
        </w:rPr>
        <w:t xml:space="preserve">The purpose of this legislative instrument, made under subsection 100(2) of the </w:t>
      </w:r>
      <w:r w:rsidRPr="00A63606">
        <w:rPr>
          <w:i/>
          <w:sz w:val="22"/>
          <w:szCs w:val="22"/>
        </w:rPr>
        <w:t>National Health Act 1953</w:t>
      </w:r>
      <w:r w:rsidRPr="00A63606">
        <w:rPr>
          <w:sz w:val="22"/>
          <w:szCs w:val="22"/>
        </w:rPr>
        <w:t xml:space="preserve"> (the Act), is to amend the </w:t>
      </w:r>
      <w:r w:rsidRPr="00A63606">
        <w:rPr>
          <w:i/>
          <w:sz w:val="22"/>
          <w:szCs w:val="22"/>
        </w:rPr>
        <w:t>National Health (Paraplegic and Quadriplegic Program) Special Arrangement 20</w:t>
      </w:r>
      <w:r w:rsidR="00091476" w:rsidRPr="00A63606">
        <w:rPr>
          <w:i/>
          <w:sz w:val="22"/>
          <w:szCs w:val="22"/>
        </w:rPr>
        <w:t>21</w:t>
      </w:r>
      <w:r w:rsidRPr="00A63606">
        <w:rPr>
          <w:sz w:val="22"/>
          <w:szCs w:val="22"/>
        </w:rPr>
        <w:t xml:space="preserve"> (PB </w:t>
      </w:r>
      <w:r w:rsidR="00091476" w:rsidRPr="00A63606">
        <w:rPr>
          <w:sz w:val="22"/>
          <w:szCs w:val="22"/>
        </w:rPr>
        <w:t>31</w:t>
      </w:r>
      <w:r w:rsidRPr="00A63606">
        <w:rPr>
          <w:sz w:val="22"/>
          <w:szCs w:val="22"/>
        </w:rPr>
        <w:t xml:space="preserve"> of 20</w:t>
      </w:r>
      <w:r w:rsidR="00091476" w:rsidRPr="00A63606">
        <w:rPr>
          <w:sz w:val="22"/>
          <w:szCs w:val="22"/>
        </w:rPr>
        <w:t>21</w:t>
      </w:r>
      <w:r w:rsidRPr="00A63606">
        <w:rPr>
          <w:sz w:val="22"/>
          <w:szCs w:val="22"/>
        </w:rPr>
        <w:t>) (the Special Arrangement) to make changes to the special arrangement relating to the Paraplegic and Quadriplegic Program.</w:t>
      </w:r>
    </w:p>
    <w:p w14:paraId="4848C3C6" w14:textId="77777777" w:rsidR="002204ED" w:rsidRPr="00A63606" w:rsidRDefault="002204ED" w:rsidP="002204ED">
      <w:pPr>
        <w:spacing w:before="120"/>
        <w:rPr>
          <w:sz w:val="22"/>
          <w:szCs w:val="22"/>
        </w:rPr>
      </w:pPr>
      <w:r w:rsidRPr="00A63606">
        <w:rPr>
          <w:sz w:val="22"/>
          <w:szCs w:val="22"/>
        </w:rPr>
        <w:t>The Paraplegic and Quadriplegic Program Special Arrangement provides for ‘authorised associations’ to supply pharmaceutical benefits available under the Special Arrangement to ‘eligible persons’ requiring treatment with bowel management medicines.  A person is an ‘eligible person’ for the purposes of the Special Arrangement if they:</w:t>
      </w:r>
    </w:p>
    <w:p w14:paraId="2A8B6FF4" w14:textId="77777777" w:rsidR="002204ED" w:rsidRPr="00A63606" w:rsidRDefault="002204ED" w:rsidP="002204ED">
      <w:pPr>
        <w:pStyle w:val="ListParagraph"/>
        <w:keepLines w:val="0"/>
        <w:numPr>
          <w:ilvl w:val="0"/>
          <w:numId w:val="5"/>
        </w:numPr>
        <w:tabs>
          <w:tab w:val="left" w:pos="851"/>
        </w:tabs>
        <w:spacing w:before="60" w:after="0"/>
        <w:ind w:left="851" w:hanging="567"/>
        <w:jc w:val="left"/>
        <w:rPr>
          <w:sz w:val="22"/>
          <w:szCs w:val="22"/>
        </w:rPr>
      </w:pPr>
      <w:r w:rsidRPr="00A63606">
        <w:rPr>
          <w:sz w:val="22"/>
          <w:szCs w:val="22"/>
        </w:rPr>
        <w:t xml:space="preserve">are an ‘eligible person’ within the meaning of the </w:t>
      </w:r>
      <w:r w:rsidRPr="00A63606">
        <w:rPr>
          <w:i/>
          <w:sz w:val="22"/>
          <w:szCs w:val="22"/>
        </w:rPr>
        <w:t>Health Insurance Act 1973</w:t>
      </w:r>
      <w:r w:rsidRPr="00A63606">
        <w:rPr>
          <w:sz w:val="22"/>
          <w:szCs w:val="22"/>
        </w:rPr>
        <w:t>; and</w:t>
      </w:r>
    </w:p>
    <w:p w14:paraId="4252A222" w14:textId="77777777" w:rsidR="002204ED" w:rsidRPr="00A63606" w:rsidRDefault="002204ED" w:rsidP="002204ED">
      <w:pPr>
        <w:pStyle w:val="ListParagraph"/>
        <w:keepLines w:val="0"/>
        <w:numPr>
          <w:ilvl w:val="0"/>
          <w:numId w:val="5"/>
        </w:numPr>
        <w:tabs>
          <w:tab w:val="left" w:pos="851"/>
        </w:tabs>
        <w:spacing w:before="60" w:after="0"/>
        <w:ind w:left="851" w:hanging="567"/>
        <w:jc w:val="left"/>
        <w:rPr>
          <w:sz w:val="22"/>
          <w:szCs w:val="22"/>
        </w:rPr>
      </w:pPr>
      <w:r w:rsidRPr="00A63606">
        <w:rPr>
          <w:sz w:val="22"/>
          <w:szCs w:val="22"/>
        </w:rPr>
        <w:t>have paraplegia or quadriplegia; and</w:t>
      </w:r>
    </w:p>
    <w:p w14:paraId="7722B88E" w14:textId="77777777" w:rsidR="002204ED" w:rsidRPr="00A63606" w:rsidRDefault="002204ED" w:rsidP="002204ED">
      <w:pPr>
        <w:pStyle w:val="ListParagraph"/>
        <w:keepLines w:val="0"/>
        <w:numPr>
          <w:ilvl w:val="0"/>
          <w:numId w:val="5"/>
        </w:numPr>
        <w:tabs>
          <w:tab w:val="left" w:pos="851"/>
        </w:tabs>
        <w:spacing w:before="60" w:after="0"/>
        <w:ind w:left="851" w:hanging="567"/>
        <w:jc w:val="left"/>
        <w:rPr>
          <w:sz w:val="22"/>
          <w:szCs w:val="22"/>
        </w:rPr>
      </w:pPr>
      <w:r w:rsidRPr="00A63606">
        <w:rPr>
          <w:sz w:val="22"/>
          <w:szCs w:val="22"/>
        </w:rPr>
        <w:t xml:space="preserve">are a member of an ‘authorised </w:t>
      </w:r>
      <w:proofErr w:type="gramStart"/>
      <w:r w:rsidRPr="00A63606">
        <w:rPr>
          <w:sz w:val="22"/>
          <w:szCs w:val="22"/>
        </w:rPr>
        <w:t>association’.</w:t>
      </w:r>
      <w:proofErr w:type="gramEnd"/>
    </w:p>
    <w:p w14:paraId="0A0F275C" w14:textId="77777777" w:rsidR="002204ED" w:rsidRPr="00A63606" w:rsidRDefault="002204ED" w:rsidP="002204ED">
      <w:pPr>
        <w:spacing w:before="120"/>
        <w:rPr>
          <w:sz w:val="22"/>
          <w:szCs w:val="22"/>
        </w:rPr>
      </w:pPr>
      <w:r w:rsidRPr="00A63606">
        <w:rPr>
          <w:sz w:val="22"/>
          <w:szCs w:val="22"/>
        </w:rPr>
        <w:t>Restrictions on the provision of this treatment mean that these pharmaceutical benefits can more conveniently or efficiently be supplied under a special arrangement.</w:t>
      </w:r>
    </w:p>
    <w:p w14:paraId="6DDC01C4" w14:textId="77777777" w:rsidR="00996348" w:rsidRPr="00A63606" w:rsidRDefault="00996348" w:rsidP="00996348">
      <w:pPr>
        <w:spacing w:before="240"/>
        <w:jc w:val="both"/>
        <w:rPr>
          <w:b/>
          <w:sz w:val="22"/>
          <w:szCs w:val="22"/>
        </w:rPr>
      </w:pPr>
      <w:r w:rsidRPr="00A63606">
        <w:rPr>
          <w:b/>
          <w:sz w:val="22"/>
          <w:szCs w:val="22"/>
        </w:rPr>
        <w:t>Human rights implications</w:t>
      </w:r>
    </w:p>
    <w:p w14:paraId="2C3CA840" w14:textId="77777777" w:rsidR="00996348" w:rsidRPr="00A63606" w:rsidRDefault="00996348" w:rsidP="00996348">
      <w:pPr>
        <w:spacing w:before="120"/>
        <w:jc w:val="both"/>
        <w:rPr>
          <w:sz w:val="22"/>
          <w:szCs w:val="22"/>
        </w:rPr>
      </w:pPr>
      <w:r w:rsidRPr="00A63606">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63606">
        <w:rPr>
          <w:sz w:val="22"/>
          <w:szCs w:val="22"/>
        </w:rPr>
        <w:t>in an effort to</w:t>
      </w:r>
      <w:proofErr w:type="gramEnd"/>
      <w:r w:rsidRPr="00A63606">
        <w:rPr>
          <w:sz w:val="22"/>
          <w:szCs w:val="22"/>
        </w:rPr>
        <w:t xml:space="preserve"> satisfy, as a matter of priority, this minimum obligation.</w:t>
      </w:r>
    </w:p>
    <w:p w14:paraId="2E0F7665" w14:textId="77777777" w:rsidR="00996348" w:rsidRPr="00A63606" w:rsidRDefault="00996348" w:rsidP="00996348">
      <w:pPr>
        <w:spacing w:before="120"/>
        <w:jc w:val="both"/>
        <w:rPr>
          <w:sz w:val="22"/>
          <w:szCs w:val="22"/>
        </w:rPr>
      </w:pPr>
      <w:r w:rsidRPr="00A63606">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The pharmaceutical industry now has a nominee on the PBAC membership.</w:t>
      </w:r>
    </w:p>
    <w:p w14:paraId="223DBDAF" w14:textId="77777777" w:rsidR="00996348" w:rsidRPr="00A63606" w:rsidRDefault="00996348" w:rsidP="00996348">
      <w:pPr>
        <w:spacing w:before="240"/>
        <w:jc w:val="both"/>
        <w:rPr>
          <w:b/>
          <w:sz w:val="22"/>
          <w:szCs w:val="22"/>
        </w:rPr>
      </w:pPr>
      <w:r w:rsidRPr="00A63606">
        <w:rPr>
          <w:b/>
          <w:sz w:val="22"/>
          <w:szCs w:val="22"/>
        </w:rPr>
        <w:t>Whether there is any detriment to patients by the deletion of these drugs, and if so, how this is compatible with the right to social security</w:t>
      </w:r>
    </w:p>
    <w:p w14:paraId="35A2B6DF" w14:textId="049FA36E" w:rsidR="00996348" w:rsidRPr="00A63606" w:rsidRDefault="00996348" w:rsidP="00996348">
      <w:pPr>
        <w:spacing w:before="120"/>
        <w:jc w:val="both"/>
        <w:rPr>
          <w:sz w:val="22"/>
          <w:szCs w:val="22"/>
        </w:rPr>
      </w:pPr>
      <w:r w:rsidRPr="00A63606">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60EA973" w14:textId="0622D19D" w:rsidR="000B65DB" w:rsidRPr="00A63606" w:rsidRDefault="000B65DB" w:rsidP="000B65DB">
      <w:pPr>
        <w:spacing w:before="120"/>
        <w:rPr>
          <w:sz w:val="22"/>
          <w:szCs w:val="22"/>
        </w:rPr>
      </w:pPr>
      <w:r w:rsidRPr="00A63606">
        <w:rPr>
          <w:sz w:val="22"/>
          <w:szCs w:val="22"/>
        </w:rPr>
        <w:t xml:space="preserve">Sponsors are private entities that make their own decisions regarding their products and cannot be compelled by the Government to continue to list a product on the PBS. If there are many brands of a listed drug and form, then the delisting of one brand will not adversely affect members of the public as they will be able to </w:t>
      </w:r>
      <w:r w:rsidRPr="00A63606">
        <w:rPr>
          <w:sz w:val="22"/>
          <w:szCs w:val="22"/>
        </w:rPr>
        <w:lastRenderedPageBreak/>
        <w:t xml:space="preserve">obtain any of the other equivalent brands. However, if the final brand of a form of a drug is delisted, this delisting will be considered by PBAC. </w:t>
      </w:r>
    </w:p>
    <w:p w14:paraId="639CE51D" w14:textId="77777777" w:rsidR="00996348" w:rsidRPr="00A63606" w:rsidRDefault="00996348" w:rsidP="00996348">
      <w:pPr>
        <w:rPr>
          <w:b/>
          <w:sz w:val="22"/>
          <w:szCs w:val="22"/>
        </w:rPr>
      </w:pPr>
    </w:p>
    <w:p w14:paraId="150E7C54" w14:textId="35F29824" w:rsidR="00996348" w:rsidRPr="00A63606" w:rsidRDefault="00996348" w:rsidP="00996348">
      <w:pPr>
        <w:rPr>
          <w:b/>
          <w:sz w:val="22"/>
          <w:szCs w:val="22"/>
        </w:rPr>
      </w:pPr>
      <w:r w:rsidRPr="00A63606">
        <w:rPr>
          <w:b/>
          <w:sz w:val="22"/>
          <w:szCs w:val="22"/>
        </w:rPr>
        <w:t>Conclusion</w:t>
      </w:r>
    </w:p>
    <w:p w14:paraId="67C4607B" w14:textId="77777777" w:rsidR="00996348" w:rsidRPr="00A63606" w:rsidRDefault="00996348" w:rsidP="00996348">
      <w:pPr>
        <w:spacing w:before="120"/>
        <w:rPr>
          <w:sz w:val="22"/>
          <w:szCs w:val="22"/>
        </w:rPr>
      </w:pPr>
      <w:r w:rsidRPr="00A63606">
        <w:rPr>
          <w:sz w:val="22"/>
          <w:szCs w:val="22"/>
        </w:rPr>
        <w:t>This Instrument is compatible with human rights because it advances the protection of human rights.</w:t>
      </w:r>
    </w:p>
    <w:p w14:paraId="41CB98DC" w14:textId="02F54FB6" w:rsidR="002204ED" w:rsidRPr="00A63606" w:rsidRDefault="002204ED" w:rsidP="00996348">
      <w:pPr>
        <w:spacing w:before="240"/>
        <w:jc w:val="center"/>
        <w:rPr>
          <w:b/>
          <w:sz w:val="22"/>
          <w:szCs w:val="22"/>
        </w:rPr>
      </w:pPr>
    </w:p>
    <w:p w14:paraId="17FFB3B7" w14:textId="77777777" w:rsidR="00F4146F" w:rsidRPr="00A63606" w:rsidRDefault="00F4146F" w:rsidP="00996348">
      <w:pPr>
        <w:spacing w:before="240"/>
        <w:jc w:val="center"/>
        <w:rPr>
          <w:b/>
          <w:sz w:val="22"/>
          <w:szCs w:val="22"/>
        </w:rPr>
      </w:pPr>
    </w:p>
    <w:bookmarkEnd w:id="2"/>
    <w:p w14:paraId="348DCA2C" w14:textId="77777777" w:rsidR="002204ED" w:rsidRPr="00A63606" w:rsidRDefault="002204ED" w:rsidP="002204ED">
      <w:pPr>
        <w:spacing w:before="240"/>
        <w:jc w:val="center"/>
        <w:rPr>
          <w:b/>
          <w:sz w:val="22"/>
          <w:szCs w:val="22"/>
        </w:rPr>
      </w:pPr>
      <w:r w:rsidRPr="00A63606">
        <w:rPr>
          <w:b/>
          <w:sz w:val="22"/>
          <w:szCs w:val="22"/>
        </w:rPr>
        <w:t>David Laffan</w:t>
      </w:r>
    </w:p>
    <w:p w14:paraId="3E91BB3F" w14:textId="77777777" w:rsidR="002204ED" w:rsidRPr="00A63606" w:rsidRDefault="002204ED" w:rsidP="002204ED">
      <w:pPr>
        <w:jc w:val="center"/>
        <w:rPr>
          <w:sz w:val="22"/>
          <w:szCs w:val="22"/>
        </w:rPr>
      </w:pPr>
      <w:r w:rsidRPr="00A63606">
        <w:rPr>
          <w:b/>
          <w:sz w:val="22"/>
          <w:szCs w:val="22"/>
        </w:rPr>
        <w:t>Assistant Secretary</w:t>
      </w:r>
    </w:p>
    <w:p w14:paraId="77C941BD" w14:textId="77777777" w:rsidR="002204ED" w:rsidRPr="00A63606" w:rsidRDefault="002204ED" w:rsidP="002204ED">
      <w:pPr>
        <w:jc w:val="center"/>
        <w:rPr>
          <w:b/>
          <w:sz w:val="22"/>
          <w:szCs w:val="22"/>
        </w:rPr>
      </w:pPr>
      <w:r w:rsidRPr="00A63606">
        <w:rPr>
          <w:b/>
          <w:sz w:val="22"/>
          <w:szCs w:val="22"/>
        </w:rPr>
        <w:t>Pharmacy Branch</w:t>
      </w:r>
    </w:p>
    <w:p w14:paraId="7EEBF867" w14:textId="77777777" w:rsidR="002204ED" w:rsidRPr="00A63606" w:rsidRDefault="002204ED" w:rsidP="002204ED">
      <w:pPr>
        <w:jc w:val="center"/>
        <w:rPr>
          <w:b/>
          <w:sz w:val="22"/>
          <w:szCs w:val="22"/>
        </w:rPr>
      </w:pPr>
      <w:r w:rsidRPr="00A63606">
        <w:rPr>
          <w:b/>
          <w:sz w:val="22"/>
          <w:szCs w:val="22"/>
        </w:rPr>
        <w:t>Technology Assessment and Access Division</w:t>
      </w:r>
    </w:p>
    <w:p w14:paraId="3DA5744A" w14:textId="77777777" w:rsidR="002204ED" w:rsidRDefault="002204ED" w:rsidP="002204ED">
      <w:pPr>
        <w:jc w:val="center"/>
        <w:rPr>
          <w:b/>
          <w:sz w:val="22"/>
          <w:szCs w:val="22"/>
        </w:rPr>
      </w:pPr>
      <w:r w:rsidRPr="00A63606">
        <w:rPr>
          <w:b/>
          <w:sz w:val="22"/>
          <w:szCs w:val="22"/>
        </w:rPr>
        <w:t>Department of Health</w:t>
      </w:r>
    </w:p>
    <w:p w14:paraId="5665B522" w14:textId="24E8F97F" w:rsidR="00FF78FB" w:rsidRPr="00FD2CE6" w:rsidRDefault="00FF78FB" w:rsidP="00996348">
      <w:pPr>
        <w:spacing w:before="240"/>
        <w:jc w:val="center"/>
        <w:rPr>
          <w:b/>
          <w:sz w:val="22"/>
          <w:szCs w:val="22"/>
        </w:rPr>
      </w:pPr>
    </w:p>
    <w:sectPr w:rsidR="00FF78FB" w:rsidRPr="00FD2CE6" w:rsidSect="00996348">
      <w:headerReference w:type="default" r:id="rId7"/>
      <w:footerReference w:type="default" r:id="rId8"/>
      <w:footerReference w:type="first" r:id="rId9"/>
      <w:pgSz w:w="11906" w:h="16838"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8179F" w14:textId="77777777" w:rsidR="0078019A" w:rsidRDefault="0078019A" w:rsidP="0078019A">
      <w:r>
        <w:separator/>
      </w:r>
    </w:p>
  </w:endnote>
  <w:endnote w:type="continuationSeparator" w:id="0">
    <w:p w14:paraId="2F0A9077" w14:textId="77777777" w:rsidR="0078019A" w:rsidRDefault="0078019A" w:rsidP="0078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071844"/>
      <w:docPartObj>
        <w:docPartGallery w:val="Page Numbers (Bottom of Page)"/>
        <w:docPartUnique/>
      </w:docPartObj>
    </w:sdtPr>
    <w:sdtEndPr>
      <w:rPr>
        <w:noProof/>
        <w:sz w:val="20"/>
        <w:szCs w:val="20"/>
      </w:rPr>
    </w:sdtEndPr>
    <w:sdtContent>
      <w:p w14:paraId="4E017BE3" w14:textId="77777777" w:rsidR="007F0B8C" w:rsidRPr="007F0B8C" w:rsidRDefault="007F0B8C" w:rsidP="007F0B8C">
        <w:pPr>
          <w:pStyle w:val="Footer"/>
          <w:jc w:val="center"/>
          <w:rPr>
            <w:sz w:val="20"/>
            <w:szCs w:val="20"/>
          </w:rPr>
        </w:pPr>
        <w:r w:rsidRPr="007F0B8C">
          <w:rPr>
            <w:sz w:val="20"/>
            <w:szCs w:val="20"/>
          </w:rPr>
          <w:fldChar w:fldCharType="begin"/>
        </w:r>
        <w:r w:rsidRPr="007F0B8C">
          <w:rPr>
            <w:sz w:val="20"/>
            <w:szCs w:val="20"/>
          </w:rPr>
          <w:instrText xml:space="preserve"> PAGE   \* MERGEFORMAT </w:instrText>
        </w:r>
        <w:r w:rsidRPr="007F0B8C">
          <w:rPr>
            <w:sz w:val="20"/>
            <w:szCs w:val="20"/>
          </w:rPr>
          <w:fldChar w:fldCharType="separate"/>
        </w:r>
        <w:r w:rsidR="00303447">
          <w:rPr>
            <w:noProof/>
            <w:sz w:val="20"/>
            <w:szCs w:val="20"/>
          </w:rPr>
          <w:t>3</w:t>
        </w:r>
        <w:r w:rsidRPr="007F0B8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864571"/>
      <w:docPartObj>
        <w:docPartGallery w:val="Page Numbers (Bottom of Page)"/>
        <w:docPartUnique/>
      </w:docPartObj>
    </w:sdtPr>
    <w:sdtEndPr>
      <w:rPr>
        <w:noProof/>
        <w:sz w:val="20"/>
        <w:szCs w:val="20"/>
      </w:rPr>
    </w:sdtEndPr>
    <w:sdtContent>
      <w:p w14:paraId="0BCF5DBA" w14:textId="77777777" w:rsidR="007F0B8C" w:rsidRPr="007F0B8C" w:rsidRDefault="007F0B8C" w:rsidP="007F0B8C">
        <w:pPr>
          <w:pStyle w:val="Footer"/>
          <w:jc w:val="center"/>
          <w:rPr>
            <w:sz w:val="20"/>
            <w:szCs w:val="20"/>
          </w:rPr>
        </w:pPr>
        <w:r w:rsidRPr="007F0B8C">
          <w:rPr>
            <w:sz w:val="20"/>
            <w:szCs w:val="20"/>
          </w:rPr>
          <w:fldChar w:fldCharType="begin"/>
        </w:r>
        <w:r w:rsidRPr="007F0B8C">
          <w:rPr>
            <w:sz w:val="20"/>
            <w:szCs w:val="20"/>
          </w:rPr>
          <w:instrText xml:space="preserve"> PAGE   \* MERGEFORMAT </w:instrText>
        </w:r>
        <w:r w:rsidRPr="007F0B8C">
          <w:rPr>
            <w:sz w:val="20"/>
            <w:szCs w:val="20"/>
          </w:rPr>
          <w:fldChar w:fldCharType="separate"/>
        </w:r>
        <w:r w:rsidR="00303447">
          <w:rPr>
            <w:noProof/>
            <w:sz w:val="20"/>
            <w:szCs w:val="20"/>
          </w:rPr>
          <w:t>1</w:t>
        </w:r>
        <w:r w:rsidRPr="007F0B8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2AF86" w14:textId="77777777" w:rsidR="0078019A" w:rsidRDefault="0078019A" w:rsidP="0078019A">
      <w:r>
        <w:separator/>
      </w:r>
    </w:p>
  </w:footnote>
  <w:footnote w:type="continuationSeparator" w:id="0">
    <w:p w14:paraId="373326B4" w14:textId="77777777" w:rsidR="0078019A" w:rsidRDefault="0078019A" w:rsidP="0078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FD226" w14:textId="77777777" w:rsidR="00AA0F54" w:rsidRDefault="00AA0F54">
    <w:pPr>
      <w:pStyle w:val="Header"/>
      <w:jc w:val="center"/>
    </w:pPr>
  </w:p>
  <w:p w14:paraId="18FDC84F" w14:textId="77777777" w:rsidR="0078019A" w:rsidRDefault="00780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A82939"/>
    <w:multiLevelType w:val="hybridMultilevel"/>
    <w:tmpl w:val="1346E92E"/>
    <w:lvl w:ilvl="0" w:tplc="73E0E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E233E4"/>
    <w:multiLevelType w:val="hybridMultilevel"/>
    <w:tmpl w:val="1346E92E"/>
    <w:lvl w:ilvl="0" w:tplc="73E0E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4C"/>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11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C6A"/>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665"/>
    <w:rsid w:val="00065955"/>
    <w:rsid w:val="00065981"/>
    <w:rsid w:val="00065C4B"/>
    <w:rsid w:val="00065DEC"/>
    <w:rsid w:val="00065F71"/>
    <w:rsid w:val="00066048"/>
    <w:rsid w:val="00066162"/>
    <w:rsid w:val="000664C6"/>
    <w:rsid w:val="000666DC"/>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44"/>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476"/>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C5"/>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5DB"/>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78"/>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BD0"/>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670"/>
    <w:rsid w:val="000F2CB8"/>
    <w:rsid w:val="000F3118"/>
    <w:rsid w:val="000F328A"/>
    <w:rsid w:val="000F38B5"/>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0C0"/>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9F7"/>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4ED"/>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7E"/>
    <w:rsid w:val="002372CE"/>
    <w:rsid w:val="00237AB6"/>
    <w:rsid w:val="00237C7F"/>
    <w:rsid w:val="00237DA4"/>
    <w:rsid w:val="00240046"/>
    <w:rsid w:val="002401CF"/>
    <w:rsid w:val="002402BF"/>
    <w:rsid w:val="002405FD"/>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AB3"/>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76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447"/>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4A8"/>
    <w:rsid w:val="0035085C"/>
    <w:rsid w:val="00350A7F"/>
    <w:rsid w:val="00350BDE"/>
    <w:rsid w:val="00350D32"/>
    <w:rsid w:val="00351231"/>
    <w:rsid w:val="003516CA"/>
    <w:rsid w:val="003517E8"/>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725"/>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58E"/>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2C5"/>
    <w:rsid w:val="003B3559"/>
    <w:rsid w:val="003B3E2B"/>
    <w:rsid w:val="003B4EA3"/>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D02"/>
    <w:rsid w:val="003C5E8E"/>
    <w:rsid w:val="003C615B"/>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3F6A"/>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E34"/>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45D"/>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1EF"/>
    <w:rsid w:val="0048730C"/>
    <w:rsid w:val="00487EEA"/>
    <w:rsid w:val="00490D6A"/>
    <w:rsid w:val="00490F24"/>
    <w:rsid w:val="0049116B"/>
    <w:rsid w:val="004916DD"/>
    <w:rsid w:val="00491728"/>
    <w:rsid w:val="00491D51"/>
    <w:rsid w:val="004926CC"/>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76C"/>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6F12"/>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B34"/>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185A"/>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15D"/>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33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CFA"/>
    <w:rsid w:val="005D52BF"/>
    <w:rsid w:val="005D54C3"/>
    <w:rsid w:val="005D60F4"/>
    <w:rsid w:val="005D68DC"/>
    <w:rsid w:val="005D695A"/>
    <w:rsid w:val="005D6AB8"/>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6F9"/>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4DD"/>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1A8"/>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3A9"/>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CD8"/>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7B5"/>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0346"/>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527"/>
    <w:rsid w:val="006E4687"/>
    <w:rsid w:val="006E47B4"/>
    <w:rsid w:val="006E5467"/>
    <w:rsid w:val="006E5E21"/>
    <w:rsid w:val="006E5F12"/>
    <w:rsid w:val="006E639B"/>
    <w:rsid w:val="006E65EF"/>
    <w:rsid w:val="006E66B4"/>
    <w:rsid w:val="006E6752"/>
    <w:rsid w:val="006E68BB"/>
    <w:rsid w:val="006E6BC3"/>
    <w:rsid w:val="006E6D04"/>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6EF"/>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3EE2"/>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2B"/>
    <w:rsid w:val="00727BDF"/>
    <w:rsid w:val="00727D4C"/>
    <w:rsid w:val="00727E8F"/>
    <w:rsid w:val="00727F5D"/>
    <w:rsid w:val="00730759"/>
    <w:rsid w:val="00731166"/>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626"/>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030"/>
    <w:rsid w:val="007545DC"/>
    <w:rsid w:val="00755337"/>
    <w:rsid w:val="00755708"/>
    <w:rsid w:val="00755C95"/>
    <w:rsid w:val="00755ECA"/>
    <w:rsid w:val="007562B6"/>
    <w:rsid w:val="007569F1"/>
    <w:rsid w:val="00756D41"/>
    <w:rsid w:val="007571F9"/>
    <w:rsid w:val="00757494"/>
    <w:rsid w:val="007574D7"/>
    <w:rsid w:val="00757801"/>
    <w:rsid w:val="00757A18"/>
    <w:rsid w:val="00760B37"/>
    <w:rsid w:val="00760BC5"/>
    <w:rsid w:val="00760CC3"/>
    <w:rsid w:val="00760F71"/>
    <w:rsid w:val="00761484"/>
    <w:rsid w:val="007615FE"/>
    <w:rsid w:val="0076185A"/>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19A"/>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7A3"/>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5B7"/>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25F"/>
    <w:rsid w:val="007D640C"/>
    <w:rsid w:val="007D6A88"/>
    <w:rsid w:val="007D6BE8"/>
    <w:rsid w:val="007D6C4F"/>
    <w:rsid w:val="007D6D49"/>
    <w:rsid w:val="007D704C"/>
    <w:rsid w:val="007D7245"/>
    <w:rsid w:val="007D72D5"/>
    <w:rsid w:val="007D7BB3"/>
    <w:rsid w:val="007E06F6"/>
    <w:rsid w:val="007E0906"/>
    <w:rsid w:val="007E091F"/>
    <w:rsid w:val="007E096A"/>
    <w:rsid w:val="007E197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B8C"/>
    <w:rsid w:val="007F0C1E"/>
    <w:rsid w:val="007F0F20"/>
    <w:rsid w:val="007F1579"/>
    <w:rsid w:val="007F17D2"/>
    <w:rsid w:val="007F1E07"/>
    <w:rsid w:val="007F201F"/>
    <w:rsid w:val="007F2147"/>
    <w:rsid w:val="007F23F1"/>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21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0A79"/>
    <w:rsid w:val="0088102C"/>
    <w:rsid w:val="008811C7"/>
    <w:rsid w:val="0088155A"/>
    <w:rsid w:val="00881DF8"/>
    <w:rsid w:val="00881E72"/>
    <w:rsid w:val="00881EA7"/>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011"/>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23B"/>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3FC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597"/>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017"/>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AEE"/>
    <w:rsid w:val="00995C41"/>
    <w:rsid w:val="00996348"/>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02D"/>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6C29"/>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467"/>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6CDE"/>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A62"/>
    <w:rsid w:val="00A0703D"/>
    <w:rsid w:val="00A0743E"/>
    <w:rsid w:val="00A07616"/>
    <w:rsid w:val="00A076BC"/>
    <w:rsid w:val="00A078A4"/>
    <w:rsid w:val="00A079B8"/>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2C24"/>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606"/>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A03"/>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8EF"/>
    <w:rsid w:val="00AA0E75"/>
    <w:rsid w:val="00AA0F54"/>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C7D26"/>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6FDA"/>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7FC"/>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24B"/>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19C"/>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878EF"/>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4F8"/>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C29"/>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3DE"/>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2E3"/>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7C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4F6"/>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2EEC"/>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5E8"/>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5E20"/>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2F45"/>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095"/>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04F"/>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BF6"/>
    <w:rsid w:val="00E45CF0"/>
    <w:rsid w:val="00E45DF3"/>
    <w:rsid w:val="00E46613"/>
    <w:rsid w:val="00E4687F"/>
    <w:rsid w:val="00E46919"/>
    <w:rsid w:val="00E46B43"/>
    <w:rsid w:val="00E470F9"/>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8A"/>
    <w:rsid w:val="00EA1314"/>
    <w:rsid w:val="00EA148E"/>
    <w:rsid w:val="00EA14C6"/>
    <w:rsid w:val="00EA16F8"/>
    <w:rsid w:val="00EA17BF"/>
    <w:rsid w:val="00EA19E2"/>
    <w:rsid w:val="00EA1AE4"/>
    <w:rsid w:val="00EA1BD2"/>
    <w:rsid w:val="00EA1DF1"/>
    <w:rsid w:val="00EA1EA5"/>
    <w:rsid w:val="00EA23DF"/>
    <w:rsid w:val="00EA259D"/>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6F68"/>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46F"/>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3F30"/>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D4A"/>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3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CE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D8E"/>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6C7"/>
    <w:rsid w:val="00FF59A8"/>
    <w:rsid w:val="00FF60BD"/>
    <w:rsid w:val="00FF6548"/>
    <w:rsid w:val="00FF6998"/>
    <w:rsid w:val="00FF6F5E"/>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2B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Heading4">
    <w:name w:val="Heading4"/>
    <w:basedOn w:val="Normal"/>
    <w:rsid w:val="00995AEE"/>
    <w:pPr>
      <w:keepNext/>
      <w:keepLines/>
      <w:suppressAutoHyphens/>
      <w:spacing w:after="120"/>
      <w:jc w:val="center"/>
    </w:pPr>
    <w:rPr>
      <w:b/>
      <w:sz w:val="20"/>
      <w:szCs w:val="20"/>
    </w:rPr>
  </w:style>
  <w:style w:type="paragraph" w:customStyle="1" w:styleId="Heading5">
    <w:name w:val="Heading5"/>
    <w:basedOn w:val="Normal"/>
    <w:rsid w:val="00995AEE"/>
    <w:pPr>
      <w:keepNext/>
      <w:keepLines/>
      <w:suppressAutoHyphens/>
      <w:spacing w:after="120"/>
      <w:jc w:val="center"/>
    </w:pPr>
    <w:rPr>
      <w:i/>
      <w:sz w:val="20"/>
      <w:szCs w:val="20"/>
    </w:rPr>
  </w:style>
  <w:style w:type="paragraph" w:styleId="ListParagraph">
    <w:name w:val="List Paragraph"/>
    <w:basedOn w:val="Normal"/>
    <w:uiPriority w:val="34"/>
    <w:qFormat/>
    <w:rsid w:val="00995AEE"/>
    <w:pPr>
      <w:keepLines/>
      <w:spacing w:after="120"/>
      <w:ind w:left="720"/>
      <w:contextualSpacing/>
      <w:jc w:val="both"/>
    </w:pPr>
    <w:rPr>
      <w:sz w:val="20"/>
      <w:szCs w:val="20"/>
    </w:rPr>
  </w:style>
  <w:style w:type="paragraph" w:customStyle="1" w:styleId="Heading6">
    <w:name w:val="Heading6"/>
    <w:basedOn w:val="Normal"/>
    <w:link w:val="Heading6Char"/>
    <w:rsid w:val="00995AEE"/>
    <w:pPr>
      <w:keepNext/>
      <w:keepLines/>
      <w:suppressAutoHyphens/>
      <w:spacing w:after="120"/>
      <w:jc w:val="both"/>
    </w:pPr>
    <w:rPr>
      <w:b/>
      <w:sz w:val="20"/>
      <w:szCs w:val="20"/>
    </w:rPr>
  </w:style>
  <w:style w:type="paragraph" w:styleId="Header">
    <w:name w:val="header"/>
    <w:basedOn w:val="Normal"/>
    <w:link w:val="HeaderChar"/>
    <w:uiPriority w:val="99"/>
    <w:rsid w:val="0078019A"/>
    <w:pPr>
      <w:tabs>
        <w:tab w:val="center" w:pos="4513"/>
        <w:tab w:val="right" w:pos="9026"/>
      </w:tabs>
    </w:pPr>
  </w:style>
  <w:style w:type="character" w:customStyle="1" w:styleId="HeaderChar">
    <w:name w:val="Header Char"/>
    <w:basedOn w:val="DefaultParagraphFont"/>
    <w:link w:val="Header"/>
    <w:uiPriority w:val="99"/>
    <w:rsid w:val="0078019A"/>
    <w:rPr>
      <w:sz w:val="24"/>
      <w:szCs w:val="24"/>
    </w:rPr>
  </w:style>
  <w:style w:type="paragraph" w:styleId="Footer">
    <w:name w:val="footer"/>
    <w:basedOn w:val="Normal"/>
    <w:link w:val="FooterChar"/>
    <w:uiPriority w:val="99"/>
    <w:rsid w:val="0078019A"/>
    <w:pPr>
      <w:tabs>
        <w:tab w:val="center" w:pos="4513"/>
        <w:tab w:val="right" w:pos="9026"/>
      </w:tabs>
    </w:pPr>
  </w:style>
  <w:style w:type="character" w:customStyle="1" w:styleId="FooterChar">
    <w:name w:val="Footer Char"/>
    <w:basedOn w:val="DefaultParagraphFont"/>
    <w:link w:val="Footer"/>
    <w:uiPriority w:val="99"/>
    <w:rsid w:val="0078019A"/>
    <w:rPr>
      <w:sz w:val="24"/>
      <w:szCs w:val="24"/>
    </w:rPr>
  </w:style>
  <w:style w:type="character" w:customStyle="1" w:styleId="Heading6Char">
    <w:name w:val="Heading6 Char"/>
    <w:link w:val="Heading6"/>
    <w:rsid w:val="00FF56C7"/>
    <w:rPr>
      <w:b/>
    </w:rPr>
  </w:style>
  <w:style w:type="character" w:customStyle="1" w:styleId="A0">
    <w:name w:val="A0"/>
    <w:uiPriority w:val="99"/>
    <w:rsid w:val="007D625F"/>
    <w:rPr>
      <w:rFonts w:cs="YOUZZP+HelveticaNeue"/>
      <w:color w:val="221E1F"/>
      <w:sz w:val="20"/>
      <w:szCs w:val="20"/>
    </w:rPr>
  </w:style>
  <w:style w:type="table" w:styleId="TableGrid">
    <w:name w:val="Table Grid"/>
    <w:basedOn w:val="TableNormal"/>
    <w:rsid w:val="0023727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72371">
      <w:bodyDiv w:val="1"/>
      <w:marLeft w:val="0"/>
      <w:marRight w:val="0"/>
      <w:marTop w:val="0"/>
      <w:marBottom w:val="0"/>
      <w:divBdr>
        <w:top w:val="none" w:sz="0" w:space="0" w:color="auto"/>
        <w:left w:val="none" w:sz="0" w:space="0" w:color="auto"/>
        <w:bottom w:val="none" w:sz="0" w:space="0" w:color="auto"/>
        <w:right w:val="none" w:sz="0" w:space="0" w:color="auto"/>
      </w:divBdr>
    </w:div>
    <w:div w:id="3881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2021-11-29T08:47:00Z</dcterms:created>
  <dcterms:modified xsi:type="dcterms:W3CDTF">2021-11-29T08:48:00Z</dcterms:modified>
</cp:coreProperties>
</file>