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E0F48" w14:textId="2620CF88"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40CEFBB" w14:textId="7B68E59D"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91EEA1E882714460A7BFF230FE1963B1"/>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0960FD">
            <w:rPr>
              <w:sz w:val="24"/>
              <w:szCs w:val="24"/>
            </w:rPr>
            <w:t>Minister for Superannuation, Financial Services and the Digital Economy</w:t>
          </w:r>
        </w:sdtContent>
      </w:sdt>
    </w:p>
    <w:p w14:paraId="2F55CA14" w14:textId="4E19CE7D" w:rsidR="00F109D4" w:rsidRDefault="00E656D3" w:rsidP="003C7907">
      <w:pPr>
        <w:spacing w:before="240" w:after="240"/>
        <w:jc w:val="center"/>
        <w:rPr>
          <w:i/>
        </w:rPr>
      </w:pPr>
      <w:r w:rsidRPr="00E656D3">
        <w:rPr>
          <w:i/>
        </w:rPr>
        <w:t>Competition and Consumer Act 2010</w:t>
      </w:r>
    </w:p>
    <w:p w14:paraId="09361F89" w14:textId="0F9E9D5B" w:rsidR="00F109D4" w:rsidRPr="00503E44" w:rsidRDefault="00DE365B" w:rsidP="00AA1689">
      <w:pPr>
        <w:tabs>
          <w:tab w:val="left" w:pos="1418"/>
        </w:tabs>
        <w:spacing w:before="0" w:after="240"/>
        <w:jc w:val="center"/>
        <w:rPr>
          <w:i/>
        </w:rPr>
      </w:pPr>
      <w:r w:rsidRPr="00DE365B">
        <w:rPr>
          <w:i/>
        </w:rPr>
        <w:t>Competition and Consumer Amendment (Consumer Data Right) Regulations 2021</w:t>
      </w:r>
    </w:p>
    <w:p w14:paraId="7C647C12" w14:textId="3755656E" w:rsidR="00F109D4" w:rsidRDefault="00C55D29" w:rsidP="00E80487">
      <w:pPr>
        <w:spacing w:before="240"/>
      </w:pPr>
      <w:r w:rsidRPr="00503E44">
        <w:t xml:space="preserve">Section </w:t>
      </w:r>
      <w:r w:rsidR="006312A7">
        <w:t>172(1)</w:t>
      </w:r>
      <w:r w:rsidR="005E4BAC">
        <w:t xml:space="preserve"> </w:t>
      </w:r>
      <w:r w:rsidR="00F109D4" w:rsidRPr="00503E44">
        <w:t xml:space="preserve">of the </w:t>
      </w:r>
      <w:r w:rsidR="00CE490B" w:rsidRPr="00CE490B">
        <w:rPr>
          <w:i/>
          <w:iCs/>
        </w:rPr>
        <w:t>Competition and Consumer Act 2010</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56E62B4A" w14:textId="77777777" w:rsidR="000D441D" w:rsidRDefault="00730F52" w:rsidP="000D441D">
      <w:pPr>
        <w:spacing w:before="240"/>
      </w:pPr>
      <w:bookmarkStart w:id="0" w:name="_Hlk86646493"/>
      <w:r>
        <w:t>Section 56GE of the Act provides that regulations may exempt a person, or a class of persons, in respect of particular CDR data, or one or more classes of CDR data from all or part of the CDR obligations. The regulation may also provide that CDR obligations apply to a person, or a class of persons, in respect particular CDR data, or one or more classes of CDR data. The regulations can also modify the operation of the CDR obligations.</w:t>
      </w:r>
      <w:bookmarkEnd w:id="0"/>
    </w:p>
    <w:p w14:paraId="6D8CF729" w14:textId="5DAFC905" w:rsidR="000D441D" w:rsidRPr="008A0158" w:rsidRDefault="000D441D" w:rsidP="004702A4">
      <w:pPr>
        <w:spacing w:before="240"/>
      </w:pPr>
      <w:r>
        <w:t>The</w:t>
      </w:r>
      <w:r w:rsidR="00FA7560">
        <w:t xml:space="preserve"> </w:t>
      </w:r>
      <w:r w:rsidR="00FA7560">
        <w:rPr>
          <w:i/>
          <w:iCs/>
        </w:rPr>
        <w:t>Competition and Consumer Amendment (Consumer Data Right) Regulations</w:t>
      </w:r>
      <w:r w:rsidR="00AC4E30">
        <w:rPr>
          <w:i/>
          <w:iCs/>
        </w:rPr>
        <w:t> </w:t>
      </w:r>
      <w:r w:rsidR="00FA7560">
        <w:rPr>
          <w:i/>
          <w:iCs/>
        </w:rPr>
        <w:t xml:space="preserve">2021 </w:t>
      </w:r>
      <w:r w:rsidR="00FA7560">
        <w:t xml:space="preserve">(the Regulations) </w:t>
      </w:r>
      <w:r w:rsidRPr="003B15F6">
        <w:t xml:space="preserve">support the implementation of the Government’s decision to </w:t>
      </w:r>
      <w:r>
        <w:t>appl</w:t>
      </w:r>
      <w:r w:rsidRPr="00F56CE9">
        <w:t xml:space="preserve">y the Consumer Data Right to the energy sector through </w:t>
      </w:r>
      <w:r w:rsidRPr="003B15F6">
        <w:t xml:space="preserve">a </w:t>
      </w:r>
      <w:r w:rsidR="00AC4E30">
        <w:t>peer-to-peer (</w:t>
      </w:r>
      <w:r w:rsidRPr="003B15F6">
        <w:t>P2P</w:t>
      </w:r>
      <w:r w:rsidR="00AC4E30">
        <w:t>)</w:t>
      </w:r>
      <w:r w:rsidRPr="003B15F6">
        <w:t xml:space="preserve"> data access model</w:t>
      </w:r>
      <w:r>
        <w:t xml:space="preserve"> </w:t>
      </w:r>
      <w:r w:rsidRPr="008A0158">
        <w:t>for primary and secondary data holders who share responsibility for responding to consumer data requests.</w:t>
      </w:r>
      <w:r>
        <w:t xml:space="preserve"> Under the P2P model</w:t>
      </w:r>
      <w:r w:rsidR="00961461">
        <w:t>,</w:t>
      </w:r>
      <w:r>
        <w:t xml:space="preserve"> </w:t>
      </w:r>
      <w:r w:rsidRPr="003B15F6">
        <w:t xml:space="preserve">responsibility for CDR data </w:t>
      </w:r>
      <w:r>
        <w:t xml:space="preserve">is </w:t>
      </w:r>
      <w:r w:rsidRPr="003B15F6">
        <w:t>shared between an energy retailer (who has a direct relationship with the consumer</w:t>
      </w:r>
      <w:r>
        <w:t>)</w:t>
      </w:r>
      <w:r w:rsidRPr="003B15F6">
        <w:t xml:space="preserve"> and </w:t>
      </w:r>
      <w:r>
        <w:t xml:space="preserve">the </w:t>
      </w:r>
      <w:r w:rsidRPr="003B15F6">
        <w:t xml:space="preserve">Australian Energy Market Operator </w:t>
      </w:r>
      <w:r>
        <w:t>(AEMO) (</w:t>
      </w:r>
      <w:r w:rsidRPr="003B15F6">
        <w:t>who has no direct relationship with the consumer</w:t>
      </w:r>
      <w:r>
        <w:t>)</w:t>
      </w:r>
      <w:r w:rsidRPr="003B15F6">
        <w:t>.</w:t>
      </w:r>
      <w:r>
        <w:t xml:space="preserve"> </w:t>
      </w:r>
      <w:r w:rsidR="00961461">
        <w:t>T</w:t>
      </w:r>
      <w:r w:rsidRPr="003B15F6">
        <w:t xml:space="preserve">he </w:t>
      </w:r>
      <w:r>
        <w:t xml:space="preserve">retailer will be </w:t>
      </w:r>
      <w:r w:rsidRPr="003B15F6">
        <w:t>treated as</w:t>
      </w:r>
      <w:r>
        <w:t xml:space="preserve"> </w:t>
      </w:r>
      <w:r w:rsidRPr="003B15F6">
        <w:t>if it were the relevant data holder for all the CDR data</w:t>
      </w:r>
      <w:r>
        <w:t>, including AEMO data,</w:t>
      </w:r>
      <w:r w:rsidRPr="003B15F6">
        <w:t xml:space="preserve"> relevant to a consumer data request. </w:t>
      </w:r>
      <w:r>
        <w:t>The Regulation</w:t>
      </w:r>
      <w:r w:rsidR="00B864F2">
        <w:t>s</w:t>
      </w:r>
      <w:r>
        <w:t xml:space="preserve"> support the P2P model</w:t>
      </w:r>
      <w:r w:rsidRPr="003B15F6">
        <w:t xml:space="preserve"> by </w:t>
      </w:r>
      <w:r>
        <w:t xml:space="preserve">providing that </w:t>
      </w:r>
      <w:r w:rsidRPr="000F20DE">
        <w:t>Privacy Safeguard obligations that would otherwise apply to the AEMO</w:t>
      </w:r>
      <w:r>
        <w:t xml:space="preserve"> </w:t>
      </w:r>
      <w:r w:rsidRPr="000F20DE">
        <w:t>are instead applied to retailers</w:t>
      </w:r>
      <w:r>
        <w:t xml:space="preserve"> who receive data from AEMO</w:t>
      </w:r>
      <w:r w:rsidRPr="000F20DE">
        <w:t>, who are better situated to protect consumer’s data privacy.</w:t>
      </w:r>
    </w:p>
    <w:p w14:paraId="44ACEEB6" w14:textId="23B58D50" w:rsidR="001C38FD" w:rsidRDefault="00FB6F84" w:rsidP="00E80487">
      <w:pPr>
        <w:pStyle w:val="base-text-paragraph"/>
        <w:tabs>
          <w:tab w:val="clear" w:pos="1987"/>
          <w:tab w:val="num" w:pos="2284"/>
        </w:tabs>
        <w:spacing w:before="240"/>
        <w:ind w:left="0"/>
      </w:pPr>
      <w:r w:rsidRPr="00FB6F84">
        <w:t>Division 5 of Part IVD of the Act sets out privacy safeguards that impose obligations on accredited persons, data holders and designated gateways in relation to their handling of CDR data to protect the privacy and confidentiality of CDR consumers’ CDR data.</w:t>
      </w:r>
    </w:p>
    <w:p w14:paraId="0385EC6D" w14:textId="1F913DAC" w:rsidR="00EA2F4E" w:rsidRDefault="00EA2F4E" w:rsidP="00E80487">
      <w:pPr>
        <w:pStyle w:val="base-text-paragraph"/>
        <w:tabs>
          <w:tab w:val="clear" w:pos="1987"/>
          <w:tab w:val="num" w:pos="2284"/>
        </w:tabs>
        <w:spacing w:before="240"/>
        <w:ind w:left="0"/>
      </w:pPr>
      <w:r w:rsidRPr="00EA2F4E">
        <w:t xml:space="preserve">Under </w:t>
      </w:r>
      <w:r w:rsidR="00354FAE">
        <w:t xml:space="preserve">section 12 of the </w:t>
      </w:r>
      <w:r w:rsidRPr="00EA2F4E">
        <w:rPr>
          <w:i/>
          <w:iCs/>
        </w:rPr>
        <w:t>Consumer Data Right (Energy Sector) Designation 2020</w:t>
      </w:r>
      <w:r w:rsidRPr="00EA2F4E">
        <w:t xml:space="preserve"> (the Energy Designation), AEMO is specified as the data holder for specified types of information relating to arrangements under which electricity is supplied to consumers</w:t>
      </w:r>
      <w:r w:rsidR="009614DF">
        <w:t>.</w:t>
      </w:r>
      <w:r w:rsidRPr="00EA2F4E">
        <w:t xml:space="preserve"> </w:t>
      </w:r>
      <w:r w:rsidR="009614DF">
        <w:t>H</w:t>
      </w:r>
      <w:r w:rsidRPr="00EA2F4E">
        <w:t xml:space="preserve">owever, </w:t>
      </w:r>
      <w:r w:rsidR="00DD6D4A">
        <w:t>AEMO</w:t>
      </w:r>
      <w:r w:rsidRPr="00EA2F4E">
        <w:t xml:space="preserve"> never holds any information that allows it to identify a </w:t>
      </w:r>
      <w:r w:rsidR="00B33D12">
        <w:t>consumer</w:t>
      </w:r>
      <w:r w:rsidRPr="00EA2F4E">
        <w:t xml:space="preserve"> in relation to any of the</w:t>
      </w:r>
      <w:r w:rsidR="00B33D12">
        <w:t xml:space="preserve"> designated</w:t>
      </w:r>
      <w:r w:rsidRPr="00EA2F4E">
        <w:t xml:space="preserve"> data it holds and has no direct relationship with any CDR consumer.</w:t>
      </w:r>
    </w:p>
    <w:p w14:paraId="23D710DA" w14:textId="3A7990F2" w:rsidR="001477D1" w:rsidRDefault="008463D3" w:rsidP="00E80487">
      <w:pPr>
        <w:pStyle w:val="base-text-paragraph"/>
        <w:tabs>
          <w:tab w:val="clear" w:pos="1987"/>
          <w:tab w:val="num" w:pos="2284"/>
        </w:tabs>
        <w:spacing w:before="240"/>
        <w:ind w:left="0"/>
      </w:pPr>
      <w:r>
        <w:t>Retailers are</w:t>
      </w:r>
      <w:r w:rsidR="00F005DD">
        <w:t xml:space="preserve"> also</w:t>
      </w:r>
      <w:r>
        <w:t xml:space="preserve"> specified in the Energy Designation as data holders for information</w:t>
      </w:r>
      <w:r w:rsidR="00367E45">
        <w:t xml:space="preserve"> </w:t>
      </w:r>
      <w:r>
        <w:t>relate</w:t>
      </w:r>
      <w:r w:rsidR="00367E45">
        <w:t>d</w:t>
      </w:r>
      <w:r>
        <w:t xml:space="preserve"> to specific customers and their arrangements</w:t>
      </w:r>
      <w:r w:rsidR="001477D1">
        <w:t>, as outlined in the</w:t>
      </w:r>
      <w:r w:rsidR="00B87E36">
        <w:t xml:space="preserve"> </w:t>
      </w:r>
      <w:r w:rsidR="00B87E36">
        <w:rPr>
          <w:i/>
          <w:iCs/>
        </w:rPr>
        <w:t xml:space="preserve">Competition </w:t>
      </w:r>
      <w:proofErr w:type="gramStart"/>
      <w:r w:rsidR="00B87E36">
        <w:rPr>
          <w:i/>
          <w:iCs/>
        </w:rPr>
        <w:t>and</w:t>
      </w:r>
      <w:proofErr w:type="gramEnd"/>
      <w:r w:rsidR="00B87E36">
        <w:rPr>
          <w:i/>
          <w:iCs/>
        </w:rPr>
        <w:t xml:space="preserve"> Consumer (Consumer Data Right) Rules 2020</w:t>
      </w:r>
      <w:r w:rsidR="001477D1">
        <w:t xml:space="preserve"> </w:t>
      </w:r>
      <w:r w:rsidR="00B87E36">
        <w:t xml:space="preserve">(the </w:t>
      </w:r>
      <w:r w:rsidR="001477D1">
        <w:t>CDR Rules</w:t>
      </w:r>
      <w:r w:rsidR="00B87E36">
        <w:t>)</w:t>
      </w:r>
      <w:r w:rsidR="00367E45">
        <w:t xml:space="preserve">. </w:t>
      </w:r>
      <w:r w:rsidR="001477D1">
        <w:t xml:space="preserve">Significantly, </w:t>
      </w:r>
      <w:r w:rsidR="001477D1">
        <w:lastRenderedPageBreak/>
        <w:t xml:space="preserve">the </w:t>
      </w:r>
      <w:r w:rsidR="00756E1C">
        <w:t xml:space="preserve">CDR </w:t>
      </w:r>
      <w:r w:rsidR="001477D1">
        <w:t xml:space="preserve">Rules authorise the disclosure of CDR data from one data holder directly to another data holder (whereas previously CDR data could only be disclosed from a data holder to an accredited person or </w:t>
      </w:r>
      <w:r w:rsidR="00B33D12">
        <w:t>from an accredited data recipient to another accredited data recipient</w:t>
      </w:r>
      <w:r w:rsidR="001477D1">
        <w:t xml:space="preserve">). </w:t>
      </w:r>
    </w:p>
    <w:p w14:paraId="5F1D9F9B" w14:textId="51F24307" w:rsidR="008463D3" w:rsidRDefault="008463D3" w:rsidP="00E80487">
      <w:pPr>
        <w:pStyle w:val="base-text-paragraph"/>
        <w:tabs>
          <w:tab w:val="clear" w:pos="1987"/>
          <w:tab w:val="num" w:pos="2284"/>
        </w:tabs>
        <w:spacing w:before="240"/>
        <w:ind w:left="0"/>
      </w:pPr>
      <w:r>
        <w:t>In practice, consumer data requests are made to retailers, not AEMO, and it is the retailer responding to a request that includes AEMO data who is able to identify and interact with the consumer. Consequently, retailers are better placed than AEMO to ensure the privacy safeguard obligations are met in relation to that data.</w:t>
      </w:r>
    </w:p>
    <w:p w14:paraId="1A98BD53" w14:textId="2E0A1446" w:rsidR="002C226C" w:rsidRDefault="004B3746" w:rsidP="00E80487">
      <w:pPr>
        <w:pStyle w:val="base-text-paragraph"/>
        <w:tabs>
          <w:tab w:val="clear" w:pos="1987"/>
          <w:tab w:val="num" w:pos="2284"/>
        </w:tabs>
        <w:spacing w:before="240"/>
        <w:ind w:left="0"/>
      </w:pPr>
      <w:r>
        <w:t>T</w:t>
      </w:r>
      <w:r w:rsidR="006968F0">
        <w:t xml:space="preserve">he </w:t>
      </w:r>
      <w:r w:rsidR="00FA41A9">
        <w:t>R</w:t>
      </w:r>
      <w:r w:rsidR="006968F0">
        <w:t xml:space="preserve">egulations </w:t>
      </w:r>
      <w:r w:rsidR="00B57DBE">
        <w:t xml:space="preserve">make minor technical amendments to the </w:t>
      </w:r>
      <w:r w:rsidR="001F7D0A" w:rsidRPr="001F7D0A">
        <w:rPr>
          <w:i/>
          <w:iCs/>
        </w:rPr>
        <w:t xml:space="preserve">Competition and Consumer </w:t>
      </w:r>
      <w:r w:rsidR="00B57DBE" w:rsidRPr="001F7D0A">
        <w:rPr>
          <w:i/>
          <w:iCs/>
        </w:rPr>
        <w:t xml:space="preserve">Regulations </w:t>
      </w:r>
      <w:r w:rsidR="001F7D0A" w:rsidRPr="001F7D0A">
        <w:rPr>
          <w:i/>
          <w:iCs/>
        </w:rPr>
        <w:t>2010</w:t>
      </w:r>
      <w:r w:rsidR="001F7D0A">
        <w:t xml:space="preserve"> </w:t>
      </w:r>
      <w:r w:rsidR="00F005DD">
        <w:t>to exempt AEMO from four privacy safeguard obligations, and in circumstances where AEMO provides CDR data to a retailer</w:t>
      </w:r>
      <w:r w:rsidR="00575BF5">
        <w:t xml:space="preserve">, to apply </w:t>
      </w:r>
      <w:r w:rsidR="00E64609">
        <w:t xml:space="preserve">appropriate </w:t>
      </w:r>
      <w:r w:rsidR="00575BF5">
        <w:t xml:space="preserve">privacy safeguard obligations to </w:t>
      </w:r>
      <w:r w:rsidR="00840BE1">
        <w:t>the</w:t>
      </w:r>
      <w:r w:rsidR="00575BF5">
        <w:t xml:space="preserve"> retailer in relation to that data as if the retailer were the data holder for that data. </w:t>
      </w:r>
    </w:p>
    <w:p w14:paraId="6B8B5ED9" w14:textId="47BBDD11" w:rsidR="000E6D0A" w:rsidRDefault="005C1DCB" w:rsidP="00E80487">
      <w:pPr>
        <w:pStyle w:val="base-text-paragraph"/>
        <w:tabs>
          <w:tab w:val="clear" w:pos="1987"/>
          <w:tab w:val="num" w:pos="2284"/>
        </w:tabs>
        <w:spacing w:before="240"/>
        <w:ind w:left="0"/>
      </w:pPr>
      <w:bookmarkStart w:id="1" w:name="_Hlk86755882"/>
      <w:r>
        <w:t xml:space="preserve">The Regulations were subject to public consultation in conjunction with </w:t>
      </w:r>
      <w:proofErr w:type="gramStart"/>
      <w:r>
        <w:t xml:space="preserve">the </w:t>
      </w:r>
      <w:r w:rsidR="0087252C">
        <w:t xml:space="preserve"> </w:t>
      </w:r>
      <w:r w:rsidR="00641F31" w:rsidRPr="00641F31">
        <w:rPr>
          <w:i/>
          <w:iCs/>
        </w:rPr>
        <w:t>Competition</w:t>
      </w:r>
      <w:proofErr w:type="gramEnd"/>
      <w:r w:rsidR="00641F31" w:rsidRPr="00641F31">
        <w:rPr>
          <w:i/>
          <w:iCs/>
        </w:rPr>
        <w:t xml:space="preserve"> and Consumer (Consumer Data Right) Amendment Rules (No. 2) 2021</w:t>
      </w:r>
      <w:r w:rsidR="001777BB">
        <w:t xml:space="preserve"> </w:t>
      </w:r>
      <w:r w:rsidR="00641F31">
        <w:t xml:space="preserve">(the </w:t>
      </w:r>
      <w:r w:rsidR="00866615">
        <w:t>Amending Rules</w:t>
      </w:r>
      <w:r w:rsidR="00641F31">
        <w:t>)</w:t>
      </w:r>
      <w:r>
        <w:t xml:space="preserve">, which ran between </w:t>
      </w:r>
      <w:r w:rsidRPr="005C1DCB">
        <w:t>17 August</w:t>
      </w:r>
      <w:r>
        <w:t xml:space="preserve"> and</w:t>
      </w:r>
      <w:r w:rsidRPr="005C1DCB">
        <w:t xml:space="preserve"> 13</w:t>
      </w:r>
      <w:r w:rsidR="005F4591">
        <w:t> </w:t>
      </w:r>
      <w:r w:rsidRPr="005C1DCB">
        <w:t>September 2021</w:t>
      </w:r>
      <w:r>
        <w:t>.</w:t>
      </w:r>
      <w:r w:rsidR="00866615">
        <w:t xml:space="preserve"> </w:t>
      </w:r>
      <w:r w:rsidR="00224B5D" w:rsidRPr="00CF72BC">
        <w:t xml:space="preserve">Submissions were received from </w:t>
      </w:r>
      <w:r w:rsidR="00224B5D">
        <w:t>30</w:t>
      </w:r>
      <w:r w:rsidR="00224B5D" w:rsidRPr="00CF72BC">
        <w:t xml:space="preserve"> respondents</w:t>
      </w:r>
      <w:r w:rsidR="00224B5D">
        <w:t xml:space="preserve">. </w:t>
      </w:r>
      <w:r w:rsidR="000937A3">
        <w:t>Most</w:t>
      </w:r>
      <w:r w:rsidR="001E6309">
        <w:t xml:space="preserve"> submissions addressed the </w:t>
      </w:r>
      <w:r w:rsidR="005F4591">
        <w:t xml:space="preserve">Amending </w:t>
      </w:r>
      <w:r w:rsidR="001E6309">
        <w:t>Rules, however, a number of stakeholders raised concerns about</w:t>
      </w:r>
      <w:r w:rsidR="000937A3">
        <w:t xml:space="preserve"> correction of AEMO-held data</w:t>
      </w:r>
      <w:r w:rsidR="00E8681B">
        <w:t xml:space="preserve">, which directly concerns </w:t>
      </w:r>
      <w:r w:rsidR="000937A3">
        <w:t xml:space="preserve">whether the </w:t>
      </w:r>
      <w:r w:rsidR="00866615">
        <w:t>R</w:t>
      </w:r>
      <w:r w:rsidR="000937A3">
        <w:t xml:space="preserve">egulations provided adequate </w:t>
      </w:r>
      <w:r w:rsidR="00EF7229">
        <w:t>scope for the CDR Rules to determine the</w:t>
      </w:r>
      <w:r w:rsidR="00E8681B">
        <w:t xml:space="preserve"> appropriate</w:t>
      </w:r>
      <w:r w:rsidR="00224B5D">
        <w:t xml:space="preserve"> </w:t>
      </w:r>
      <w:r w:rsidR="000937A3">
        <w:t>processes</w:t>
      </w:r>
      <w:r w:rsidR="00866615">
        <w:t xml:space="preserve"> for retailers</w:t>
      </w:r>
      <w:r w:rsidR="004C74E0">
        <w:t xml:space="preserve"> to </w:t>
      </w:r>
      <w:r w:rsidR="004C74E0" w:rsidDel="0087252C">
        <w:t>make corrections</w:t>
      </w:r>
      <w:r w:rsidR="004C74E0">
        <w:t xml:space="preserve">. </w:t>
      </w:r>
      <w:r w:rsidR="00714141">
        <w:t xml:space="preserve">In response to these submissions, the </w:t>
      </w:r>
      <w:r w:rsidR="000937A3">
        <w:t xml:space="preserve">Regulations </w:t>
      </w:r>
      <w:r w:rsidR="00714141">
        <w:t xml:space="preserve">were amended to </w:t>
      </w:r>
      <w:r w:rsidR="000937A3">
        <w:t xml:space="preserve">modify </w:t>
      </w:r>
      <w:r w:rsidR="00A15290">
        <w:t xml:space="preserve">the </w:t>
      </w:r>
      <w:r w:rsidR="00C00A96">
        <w:t xml:space="preserve">operation of </w:t>
      </w:r>
      <w:r w:rsidR="000937A3">
        <w:t>Privacy Safeguard</w:t>
      </w:r>
      <w:r w:rsidR="00C00A96">
        <w:t xml:space="preserve"> </w:t>
      </w:r>
      <w:r w:rsidR="00C00A96" w:rsidDel="00A74459">
        <w:t>13</w:t>
      </w:r>
      <w:r w:rsidR="000937A3" w:rsidDel="00A74459">
        <w:t xml:space="preserve"> </w:t>
      </w:r>
      <w:r w:rsidR="00A15290">
        <w:t xml:space="preserve">so that </w:t>
      </w:r>
      <w:r w:rsidR="00CC09CE">
        <w:t xml:space="preserve">the </w:t>
      </w:r>
      <w:r w:rsidR="004C74E0">
        <w:t>CDR Rules</w:t>
      </w:r>
      <w:r w:rsidR="00CC09CE">
        <w:t xml:space="preserve"> are not restricted as to the matters that can be dealt with when specifying steps that retailers must take </w:t>
      </w:r>
      <w:r w:rsidR="00C00A96">
        <w:t>when responding to requests to correct AEMO data</w:t>
      </w:r>
      <w:r w:rsidR="004C74E0">
        <w:t>.</w:t>
      </w:r>
    </w:p>
    <w:bookmarkEnd w:id="1"/>
    <w:p w14:paraId="6EF1007F" w14:textId="412DEF38" w:rsidR="002C226C" w:rsidRDefault="002C226C" w:rsidP="00E80487">
      <w:pPr>
        <w:pStyle w:val="base-text-paragraph"/>
        <w:tabs>
          <w:tab w:val="clear" w:pos="1987"/>
          <w:tab w:val="num" w:pos="2284"/>
        </w:tabs>
        <w:spacing w:before="240"/>
        <w:ind w:left="0"/>
      </w:pPr>
      <w:r>
        <w:t xml:space="preserve">Details of the </w:t>
      </w:r>
      <w:r w:rsidR="00EB2AEF">
        <w:t>Regulations are set out in</w:t>
      </w:r>
      <w:r>
        <w:t xml:space="preserve"> </w:t>
      </w:r>
      <w:r w:rsidRPr="00317816">
        <w:rPr>
          <w:u w:val="single"/>
        </w:rPr>
        <w:t>Attachment</w:t>
      </w:r>
      <w:r w:rsidR="00EB2AEF">
        <w:rPr>
          <w:u w:val="single"/>
        </w:rPr>
        <w:t xml:space="preserve"> </w:t>
      </w:r>
      <w:r w:rsidR="002C7944">
        <w:rPr>
          <w:u w:val="single"/>
        </w:rPr>
        <w:t>A</w:t>
      </w:r>
      <w:r w:rsidR="004B2488">
        <w:t>.</w:t>
      </w:r>
    </w:p>
    <w:p w14:paraId="2EACFD1A" w14:textId="649ECC5B" w:rsidR="002C226C" w:rsidRDefault="002C226C" w:rsidP="00E80487">
      <w:pPr>
        <w:pStyle w:val="base-text-paragraph"/>
        <w:tabs>
          <w:tab w:val="clear" w:pos="1987"/>
          <w:tab w:val="num" w:pos="2284"/>
        </w:tabs>
        <w:spacing w:before="240"/>
        <w:ind w:left="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sidR="00AC4E30">
        <w:rPr>
          <w:i/>
        </w:rPr>
        <w:t> </w:t>
      </w:r>
      <w:r w:rsidRPr="00D3322F">
        <w:rPr>
          <w:i/>
        </w:rPr>
        <w:t>2003</w:t>
      </w:r>
      <w:r w:rsidRPr="00D3322F">
        <w:t>.</w:t>
      </w:r>
    </w:p>
    <w:p w14:paraId="3D7696C0" w14:textId="41354DFB" w:rsidR="009143A0" w:rsidRDefault="00F109D4" w:rsidP="00E80487">
      <w:pPr>
        <w:pStyle w:val="base-text-paragraph"/>
        <w:tabs>
          <w:tab w:val="clear" w:pos="1987"/>
          <w:tab w:val="num" w:pos="2284"/>
        </w:tabs>
        <w:spacing w:before="240"/>
        <w:ind w:left="0"/>
      </w:pPr>
      <w:r w:rsidRPr="00503E44">
        <w:t xml:space="preserve">The Regulations commenced on </w:t>
      </w:r>
      <w:r w:rsidR="00F80FFB">
        <w:t>t</w:t>
      </w:r>
      <w:r w:rsidR="00F80FFB" w:rsidRPr="00F80FFB">
        <w:t>he day after they were registered on the Federal Register of Legislation.</w:t>
      </w:r>
    </w:p>
    <w:p w14:paraId="1B46D7EA" w14:textId="5865C8D7" w:rsidR="000E6D0A" w:rsidRPr="0049210E" w:rsidRDefault="00F00C82" w:rsidP="00E80487">
      <w:pPr>
        <w:pStyle w:val="base-text-paragraph"/>
        <w:tabs>
          <w:tab w:val="clear" w:pos="1987"/>
          <w:tab w:val="num" w:pos="2284"/>
        </w:tabs>
        <w:spacing w:before="240"/>
        <w:ind w:left="0"/>
      </w:pPr>
      <w:r>
        <w:t>The compliance cost</w:t>
      </w:r>
      <w:r w:rsidR="005F4591">
        <w:t>s</w:t>
      </w:r>
      <w:r>
        <w:t xml:space="preserve"> of the Regulations </w:t>
      </w:r>
      <w:r w:rsidR="00201F9E">
        <w:t>are</w:t>
      </w:r>
      <w:r>
        <w:t xml:space="preserve"> considered as part of the Amending </w:t>
      </w:r>
      <w:r w:rsidR="00AC4E30">
        <w:t>Rules and</w:t>
      </w:r>
      <w:r>
        <w:t xml:space="preserve"> are included in the Regulation Impact Statement </w:t>
      </w:r>
      <w:r w:rsidR="005F4591">
        <w:t>for</w:t>
      </w:r>
      <w:r>
        <w:t xml:space="preserve"> the Amending Rules.</w:t>
      </w:r>
    </w:p>
    <w:p w14:paraId="39F0776D" w14:textId="334F58D2" w:rsidR="000E6D0A" w:rsidRPr="00013390" w:rsidRDefault="000E6D0A" w:rsidP="00E80487">
      <w:pPr>
        <w:pStyle w:val="base-text-paragraph"/>
        <w:tabs>
          <w:tab w:val="clear" w:pos="1987"/>
          <w:tab w:val="num" w:pos="2284"/>
        </w:tabs>
        <w:spacing w:before="240"/>
        <w:ind w:left="0"/>
      </w:pPr>
      <w:r>
        <w:t xml:space="preserve">A statement of Compatibility with Human Rights is at </w:t>
      </w:r>
      <w:r w:rsidRPr="000B39A1">
        <w:rPr>
          <w:u w:val="single"/>
        </w:rPr>
        <w:t xml:space="preserve">Attachment </w:t>
      </w:r>
      <w:r>
        <w:rPr>
          <w:u w:val="single"/>
        </w:rPr>
        <w:t>B</w:t>
      </w:r>
      <w:r w:rsidRPr="000B39A1">
        <w:t>.</w:t>
      </w:r>
    </w:p>
    <w:p w14:paraId="5728E087" w14:textId="77777777" w:rsidR="000E6D0A" w:rsidRDefault="000E6D0A" w:rsidP="00647BB7">
      <w:pPr>
        <w:spacing w:before="240"/>
      </w:pPr>
    </w:p>
    <w:p w14:paraId="7514A0C2" w14:textId="20259AB8" w:rsidR="00EA4DD8" w:rsidRDefault="00EA4DD8" w:rsidP="00EA4DD8">
      <w:pPr>
        <w:pageBreakBefore/>
        <w:spacing w:before="240"/>
        <w:jc w:val="right"/>
        <w:rPr>
          <w:b/>
          <w:u w:val="single"/>
        </w:rPr>
      </w:pPr>
      <w:r w:rsidRPr="007B335E">
        <w:rPr>
          <w:b/>
          <w:u w:val="single"/>
        </w:rPr>
        <w:lastRenderedPageBreak/>
        <w:t xml:space="preserve">ATTACHMENT </w:t>
      </w:r>
      <w:r w:rsidR="00E87389">
        <w:rPr>
          <w:b/>
          <w:u w:val="single"/>
        </w:rPr>
        <w:t>A</w:t>
      </w:r>
    </w:p>
    <w:p w14:paraId="33682F62" w14:textId="2A716272" w:rsidR="00EA4DD8" w:rsidRDefault="00EA4DD8" w:rsidP="00EA4DD8">
      <w:pPr>
        <w:spacing w:before="240"/>
        <w:ind w:right="91"/>
        <w:rPr>
          <w:b/>
          <w:bCs/>
          <w:szCs w:val="24"/>
          <w:u w:val="single"/>
        </w:rPr>
      </w:pPr>
      <w:r>
        <w:rPr>
          <w:b/>
          <w:bCs/>
          <w:u w:val="single"/>
        </w:rPr>
        <w:t xml:space="preserve">Details of the </w:t>
      </w:r>
      <w:bookmarkStart w:id="2" w:name="_Hlk86326010"/>
      <w:r w:rsidR="002D456A" w:rsidRPr="002D456A">
        <w:rPr>
          <w:b/>
          <w:bCs/>
          <w:i/>
          <w:iCs/>
          <w:u w:val="single"/>
        </w:rPr>
        <w:t>Competition and Consumer Amendment (Consumer Data Right) Regulations 2021</w:t>
      </w:r>
      <w:r>
        <w:rPr>
          <w:b/>
          <w:bCs/>
          <w:u w:val="single"/>
        </w:rPr>
        <w:t xml:space="preserve"> </w:t>
      </w:r>
      <w:bookmarkEnd w:id="2"/>
    </w:p>
    <w:p w14:paraId="3EEE94A6" w14:textId="5ADA8714" w:rsidR="00EA4DD8" w:rsidRDefault="00EA4DD8" w:rsidP="00EA4DD8">
      <w:pPr>
        <w:spacing w:before="240"/>
        <w:rPr>
          <w:rFonts w:ascii="Calibri" w:hAnsi="Calibri"/>
          <w:sz w:val="22"/>
          <w:szCs w:val="22"/>
          <w:u w:val="single"/>
          <w:lang w:eastAsia="en-US"/>
        </w:rPr>
      </w:pPr>
      <w:r>
        <w:rPr>
          <w:u w:val="single"/>
        </w:rPr>
        <w:t xml:space="preserve">Section 1 – Name </w:t>
      </w:r>
    </w:p>
    <w:p w14:paraId="61C97A2C" w14:textId="502A25A0" w:rsidR="00EA4DD8" w:rsidRDefault="00EA4DD8" w:rsidP="00EA4DD8">
      <w:pPr>
        <w:spacing w:before="240"/>
      </w:pPr>
      <w:r>
        <w:t xml:space="preserve">This section provides that the name of the </w:t>
      </w:r>
      <w:r w:rsidR="00FD0F99">
        <w:t>instrument</w:t>
      </w:r>
      <w:r>
        <w:t xml:space="preserve"> is the</w:t>
      </w:r>
      <w:r w:rsidR="00290195">
        <w:t xml:space="preserve"> </w:t>
      </w:r>
      <w:r w:rsidR="00290195" w:rsidRPr="00290195">
        <w:rPr>
          <w:i/>
        </w:rPr>
        <w:t>Competition and Consumer Amendment (Consumer Data Right) Regulations 2021</w:t>
      </w:r>
      <w:r w:rsidR="00290195">
        <w:t>.</w:t>
      </w:r>
      <w:r>
        <w:t xml:space="preserve"> </w:t>
      </w:r>
    </w:p>
    <w:p w14:paraId="0960C9F9" w14:textId="77777777" w:rsidR="00EA4DD8" w:rsidRDefault="00EA4DD8" w:rsidP="00EA4DD8">
      <w:pPr>
        <w:spacing w:before="240"/>
        <w:ind w:right="91"/>
        <w:rPr>
          <w:u w:val="single"/>
        </w:rPr>
      </w:pPr>
      <w:r>
        <w:rPr>
          <w:u w:val="single"/>
        </w:rPr>
        <w:t>Section 2 – Commencement</w:t>
      </w:r>
    </w:p>
    <w:p w14:paraId="6130FCB8" w14:textId="5F437912" w:rsidR="00EA4DD8" w:rsidRPr="00EB5218" w:rsidRDefault="00FD0F99" w:rsidP="00EA4DD8">
      <w:pPr>
        <w:spacing w:before="240"/>
        <w:ind w:right="91"/>
      </w:pPr>
      <w:r>
        <w:t>T</w:t>
      </w:r>
      <w:r w:rsidR="00EA4DD8" w:rsidRPr="00EB5218">
        <w:t>h</w:t>
      </w:r>
      <w:r>
        <w:t>is section provides that the instrument</w:t>
      </w:r>
      <w:r w:rsidR="00EA4DD8" w:rsidRPr="00EB5218">
        <w:t xml:space="preserve"> commence</w:t>
      </w:r>
      <w:r>
        <w:t>s</w:t>
      </w:r>
      <w:r w:rsidR="00EA4DD8" w:rsidRPr="00EB5218">
        <w:t xml:space="preserve"> on </w:t>
      </w:r>
      <w:r w:rsidR="00EB5218" w:rsidRPr="00EB5218">
        <w:t>t</w:t>
      </w:r>
      <w:r w:rsidR="00EA4DD8" w:rsidRPr="00EB5218">
        <w:t xml:space="preserve">he day after </w:t>
      </w:r>
      <w:r>
        <w:t>it</w:t>
      </w:r>
      <w:r w:rsidR="00EA4DD8" w:rsidRPr="00EB5218">
        <w:t xml:space="preserve"> is registered on the Federal Register of Legislation.</w:t>
      </w:r>
    </w:p>
    <w:p w14:paraId="2F5BFF94" w14:textId="77777777" w:rsidR="00EA4DD8" w:rsidRDefault="00EA4DD8" w:rsidP="00EA4DD8">
      <w:pPr>
        <w:spacing w:before="240"/>
        <w:ind w:right="91"/>
        <w:rPr>
          <w:u w:val="single"/>
        </w:rPr>
      </w:pPr>
      <w:r>
        <w:rPr>
          <w:u w:val="single"/>
        </w:rPr>
        <w:t>Section 3 – Authority</w:t>
      </w:r>
    </w:p>
    <w:p w14:paraId="77689758" w14:textId="3D750852" w:rsidR="00EA4DD8" w:rsidRDefault="00EA4DD8" w:rsidP="00EA4DD8">
      <w:pPr>
        <w:spacing w:before="240"/>
        <w:ind w:right="91"/>
      </w:pPr>
      <w:r>
        <w:t>Th</w:t>
      </w:r>
      <w:r w:rsidR="00FD0F99">
        <w:t>is section provides that the instrument is</w:t>
      </w:r>
      <w:r>
        <w:t xml:space="preserve"> made under the </w:t>
      </w:r>
      <w:r w:rsidR="00971E61" w:rsidRPr="00F1237D">
        <w:rPr>
          <w:i/>
        </w:rPr>
        <w:t>Competition and Consumer Act 201</w:t>
      </w:r>
      <w:r w:rsidR="00971E61">
        <w:rPr>
          <w:i/>
        </w:rPr>
        <w:t>0</w:t>
      </w:r>
      <w:r w:rsidR="007552F6">
        <w:rPr>
          <w:i/>
        </w:rPr>
        <w:t xml:space="preserve"> </w:t>
      </w:r>
      <w:r w:rsidR="007552F6">
        <w:rPr>
          <w:iCs/>
        </w:rPr>
        <w:t>(the Act)</w:t>
      </w:r>
      <w:r>
        <w:t>.</w:t>
      </w:r>
    </w:p>
    <w:p w14:paraId="02830F39" w14:textId="2AB16DB7" w:rsidR="00EA4DD8" w:rsidRDefault="00EA4DD8" w:rsidP="00EA4DD8">
      <w:pPr>
        <w:spacing w:before="240"/>
        <w:ind w:right="91"/>
        <w:rPr>
          <w:u w:val="single"/>
        </w:rPr>
      </w:pPr>
      <w:r>
        <w:rPr>
          <w:u w:val="single"/>
        </w:rPr>
        <w:t>Section 4 – Schedule</w:t>
      </w:r>
      <w:r w:rsidR="008908D4">
        <w:rPr>
          <w:u w:val="single"/>
        </w:rPr>
        <w:t>s</w:t>
      </w:r>
    </w:p>
    <w:p w14:paraId="78EBA1BF" w14:textId="0A757565" w:rsidR="00EA4DD8" w:rsidRPr="00AC4E30" w:rsidRDefault="00EA4DD8" w:rsidP="00EA4DD8">
      <w:pPr>
        <w:spacing w:before="240" w:after="200"/>
        <w:ind w:right="91"/>
        <w:rPr>
          <w:u w:val="single"/>
        </w:rPr>
      </w:pPr>
      <w:r>
        <w:t>This section provides that each instrumen</w:t>
      </w:r>
      <w:bookmarkStart w:id="3" w:name="_GoBack"/>
      <w:bookmarkEnd w:id="3"/>
      <w:r>
        <w:t xml:space="preserve">t that is specified in </w:t>
      </w:r>
      <w:r w:rsidR="00475EAD">
        <w:t>a</w:t>
      </w:r>
      <w:r>
        <w:t xml:space="preserve"> Schedule to this instrument will be amended or repealed as set out in the applicable items in the Schedule</w:t>
      </w:r>
      <w:r w:rsidR="00475EAD">
        <w:t xml:space="preserve"> concerned</w:t>
      </w:r>
      <w:r>
        <w:t>, and any other item in the Schedules to this instrument has effect according to its terms.</w:t>
      </w:r>
    </w:p>
    <w:p w14:paraId="291A3F61" w14:textId="0CA66D1B" w:rsidR="00EA4DD8" w:rsidRPr="00AC4E30" w:rsidRDefault="00EA4DD8" w:rsidP="00C62FBC">
      <w:pPr>
        <w:spacing w:after="0"/>
        <w:ind w:right="91"/>
      </w:pPr>
      <w:r w:rsidRPr="00AC4E30">
        <w:rPr>
          <w:u w:val="single"/>
        </w:rPr>
        <w:t xml:space="preserve">Schedule 1 – Amendments </w:t>
      </w:r>
    </w:p>
    <w:p w14:paraId="627EF110" w14:textId="38F9C4FF" w:rsidR="00CB4688" w:rsidRPr="00F033AF" w:rsidRDefault="004040CE" w:rsidP="00EA4DD8">
      <w:pPr>
        <w:tabs>
          <w:tab w:val="left" w:pos="2835"/>
        </w:tabs>
        <w:spacing w:before="240"/>
        <w:ind w:right="91"/>
      </w:pPr>
      <w:r w:rsidRPr="00F033AF">
        <w:t xml:space="preserve">Schedule 1 </w:t>
      </w:r>
      <w:r w:rsidR="001E759A">
        <w:t xml:space="preserve">to the Regulations </w:t>
      </w:r>
      <w:r w:rsidR="007E7D60" w:rsidRPr="00F033AF">
        <w:t>amends the</w:t>
      </w:r>
      <w:r w:rsidR="000D27C4" w:rsidRPr="00F033AF">
        <w:t xml:space="preserve"> </w:t>
      </w:r>
      <w:r w:rsidR="00FD0F99">
        <w:rPr>
          <w:i/>
          <w:iCs/>
        </w:rPr>
        <w:t xml:space="preserve">Competition and Consumer Regulations </w:t>
      </w:r>
      <w:r w:rsidR="00FD0F99" w:rsidRPr="00240384">
        <w:rPr>
          <w:i/>
          <w:iCs/>
        </w:rPr>
        <w:t>2010</w:t>
      </w:r>
      <w:r w:rsidR="00A412B6" w:rsidRPr="00F033AF">
        <w:t xml:space="preserve"> by </w:t>
      </w:r>
      <w:r w:rsidR="00E17116">
        <w:t>inserting new Part 2BA</w:t>
      </w:r>
      <w:r w:rsidR="00BD6929" w:rsidRPr="00F033AF">
        <w:t>, which</w:t>
      </w:r>
      <w:r w:rsidR="00AC5C2A">
        <w:t xml:space="preserve"> </w:t>
      </w:r>
      <w:r w:rsidR="00E17116">
        <w:t>is made for the purposes of</w:t>
      </w:r>
      <w:r w:rsidR="00AC5C2A">
        <w:t xml:space="preserve"> section 56GE of the</w:t>
      </w:r>
      <w:r w:rsidR="00FD0F99">
        <w:rPr>
          <w:iCs/>
        </w:rPr>
        <w:t xml:space="preserve"> </w:t>
      </w:r>
      <w:r w:rsidR="00AC5C2A">
        <w:t>Act</w:t>
      </w:r>
      <w:r w:rsidR="00174426">
        <w:t>. The new Part</w:t>
      </w:r>
      <w:r w:rsidR="00E17116">
        <w:t xml:space="preserve"> </w:t>
      </w:r>
      <w:r w:rsidR="00BD6929" w:rsidRPr="00F033AF">
        <w:t xml:space="preserve">modifies the application of </w:t>
      </w:r>
      <w:r w:rsidR="00FD0F99">
        <w:t xml:space="preserve">certain </w:t>
      </w:r>
      <w:r w:rsidR="00AC5C2A">
        <w:t>C</w:t>
      </w:r>
      <w:r w:rsidR="00AC4E30">
        <w:t>onsumer Data Right (C</w:t>
      </w:r>
      <w:r w:rsidR="00AC5C2A">
        <w:t>DR</w:t>
      </w:r>
      <w:r w:rsidR="00AC4E30">
        <w:t>)</w:t>
      </w:r>
      <w:r w:rsidR="00AC5C2A">
        <w:t xml:space="preserve"> provisions </w:t>
      </w:r>
      <w:r w:rsidR="005D48D1" w:rsidRPr="00F033AF">
        <w:t xml:space="preserve">as </w:t>
      </w:r>
      <w:r w:rsidR="00FD0F99">
        <w:t>they relate</w:t>
      </w:r>
      <w:r w:rsidR="005D48D1" w:rsidRPr="00F033AF">
        <w:t xml:space="preserve"> to </w:t>
      </w:r>
      <w:r w:rsidR="002140CC" w:rsidRPr="00F033AF">
        <w:t>the Australian Energy Market Operat</w:t>
      </w:r>
      <w:r w:rsidR="007B698A" w:rsidRPr="00F033AF">
        <w:t>or</w:t>
      </w:r>
      <w:r w:rsidR="006D57DB">
        <w:t xml:space="preserve"> (AEMO), as well as </w:t>
      </w:r>
      <w:r w:rsidR="007B698A" w:rsidRPr="00F033AF">
        <w:t xml:space="preserve">retailers </w:t>
      </w:r>
      <w:r w:rsidR="00D0516D" w:rsidRPr="00F033AF">
        <w:t>that AEMO</w:t>
      </w:r>
      <w:r w:rsidR="007B698A" w:rsidRPr="00F033AF">
        <w:t xml:space="preserve"> </w:t>
      </w:r>
      <w:r w:rsidR="00D0516D" w:rsidRPr="00F033AF">
        <w:t>makes disclosures to in accordance with the Act.</w:t>
      </w:r>
    </w:p>
    <w:p w14:paraId="3BA2B130" w14:textId="132B1077" w:rsidR="00066AEF" w:rsidRPr="00303E14" w:rsidRDefault="00140119" w:rsidP="00EA4DD8">
      <w:pPr>
        <w:tabs>
          <w:tab w:val="left" w:pos="2835"/>
        </w:tabs>
        <w:spacing w:before="240"/>
        <w:ind w:right="91"/>
      </w:pPr>
      <w:r>
        <w:t>New r</w:t>
      </w:r>
      <w:r w:rsidR="00E11948" w:rsidRPr="00303E14">
        <w:t xml:space="preserve">egulation </w:t>
      </w:r>
      <w:proofErr w:type="gramStart"/>
      <w:r w:rsidR="00E11948" w:rsidRPr="00303E14">
        <w:t>28RA(</w:t>
      </w:r>
      <w:proofErr w:type="gramEnd"/>
      <w:r w:rsidR="009E7C4C">
        <w:t>2</w:t>
      </w:r>
      <w:r w:rsidR="00E11948" w:rsidRPr="00303E14">
        <w:t>)</w:t>
      </w:r>
      <w:r w:rsidR="002B3177" w:rsidRPr="00303E14">
        <w:t>(a)</w:t>
      </w:r>
      <w:r w:rsidR="00E11948" w:rsidRPr="00303E14">
        <w:t xml:space="preserve"> </w:t>
      </w:r>
      <w:r w:rsidR="003E31E7" w:rsidRPr="00303E14">
        <w:t xml:space="preserve">exempts AEMO from </w:t>
      </w:r>
      <w:r w:rsidR="002B3177" w:rsidRPr="00303E14">
        <w:t>section</w:t>
      </w:r>
      <w:r w:rsidR="00FD0F99">
        <w:t>s</w:t>
      </w:r>
      <w:r w:rsidR="00D87096" w:rsidRPr="00303E14">
        <w:t xml:space="preserve"> 56ED</w:t>
      </w:r>
      <w:r w:rsidR="00475EAD">
        <w:t xml:space="preserve"> (Privacy Safeguard 1)</w:t>
      </w:r>
      <w:r w:rsidR="00D87096" w:rsidRPr="00303E14">
        <w:t>, 56EN</w:t>
      </w:r>
      <w:r w:rsidR="00475EAD">
        <w:t xml:space="preserve"> (Privacy Safeguard 11)</w:t>
      </w:r>
      <w:r w:rsidR="00D87096" w:rsidRPr="00303E14">
        <w:t xml:space="preserve"> and 56EP (Privacy Safeguard 13)</w:t>
      </w:r>
      <w:r w:rsidR="001E759A">
        <w:t xml:space="preserve"> of the Act</w:t>
      </w:r>
      <w:r w:rsidR="00D87096" w:rsidRPr="00303E14">
        <w:t>.</w:t>
      </w:r>
      <w:r w:rsidR="003221C6" w:rsidRPr="00303E14">
        <w:t xml:space="preserve"> The effect of removing these obligations is that AEMO </w:t>
      </w:r>
      <w:r w:rsidR="00066AEF" w:rsidRPr="00303E14">
        <w:t xml:space="preserve">is </w:t>
      </w:r>
      <w:r w:rsidR="001E759A">
        <w:t>not</w:t>
      </w:r>
      <w:r w:rsidR="003221C6" w:rsidRPr="00303E14">
        <w:t xml:space="preserve"> </w:t>
      </w:r>
      <w:r w:rsidR="002B2386" w:rsidRPr="00303E14">
        <w:t>required to</w:t>
      </w:r>
      <w:r w:rsidR="00066AEF" w:rsidRPr="00303E14">
        <w:t>:</w:t>
      </w:r>
    </w:p>
    <w:p w14:paraId="025D8715" w14:textId="2BFE0196" w:rsidR="00F033AF" w:rsidRPr="00303E14" w:rsidRDefault="00066AEF" w:rsidP="00066AEF">
      <w:pPr>
        <w:pStyle w:val="Bullet"/>
      </w:pPr>
      <w:r w:rsidRPr="00303E14">
        <w:t xml:space="preserve">have policies, </w:t>
      </w:r>
      <w:r w:rsidR="0047285C" w:rsidRPr="00303E14">
        <w:t>procedures,</w:t>
      </w:r>
      <w:r w:rsidRPr="00303E14">
        <w:t xml:space="preserve"> and systems in place to ensure compliance with the CDR regime or enable</w:t>
      </w:r>
      <w:r w:rsidR="009514CF">
        <w:t xml:space="preserve"> the open and transparent</w:t>
      </w:r>
      <w:r w:rsidRPr="00303E14">
        <w:t xml:space="preserve"> management of CDR data</w:t>
      </w:r>
      <w:r w:rsidR="00475A7E">
        <w:t xml:space="preserve"> (</w:t>
      </w:r>
      <w:r w:rsidR="00475EAD">
        <w:t xml:space="preserve">section </w:t>
      </w:r>
      <w:r w:rsidR="00475A7E">
        <w:t>56ED)</w:t>
      </w:r>
      <w:r w:rsidR="00475EAD">
        <w:t>;</w:t>
      </w:r>
      <w:r w:rsidR="0047285C">
        <w:t xml:space="preserve"> or</w:t>
      </w:r>
    </w:p>
    <w:p w14:paraId="52FCD56B" w14:textId="162C82C9" w:rsidR="00066AEF" w:rsidRPr="00303E14" w:rsidRDefault="00475A7E" w:rsidP="00066AEF">
      <w:pPr>
        <w:pStyle w:val="Bullet"/>
      </w:pPr>
      <w:r>
        <w:t>e</w:t>
      </w:r>
      <w:r w:rsidR="0075263E" w:rsidRPr="00303E14">
        <w:t xml:space="preserve">nsure the CDR data they hold is accurate, up to data and complete, nor to disclose corrected data </w:t>
      </w:r>
      <w:r>
        <w:t>(section 56EN)</w:t>
      </w:r>
      <w:r w:rsidR="00475EAD">
        <w:t>; or</w:t>
      </w:r>
    </w:p>
    <w:p w14:paraId="0FD1D8C5" w14:textId="6A9E6201" w:rsidR="0075263E" w:rsidRPr="00303E14" w:rsidRDefault="00475A7E" w:rsidP="00066AEF">
      <w:pPr>
        <w:pStyle w:val="Bullet"/>
      </w:pPr>
      <w:proofErr w:type="gramStart"/>
      <w:r>
        <w:t>r</w:t>
      </w:r>
      <w:r w:rsidR="009971CC" w:rsidRPr="00303E14">
        <w:t>espond</w:t>
      </w:r>
      <w:proofErr w:type="gramEnd"/>
      <w:r w:rsidR="009971CC" w:rsidRPr="00303E14">
        <w:t xml:space="preserve"> to consumer requests in relation to data correction</w:t>
      </w:r>
      <w:r>
        <w:t xml:space="preserve"> (section 56EP)</w:t>
      </w:r>
      <w:r w:rsidR="009971CC" w:rsidRPr="00303E14">
        <w:t xml:space="preserve">. </w:t>
      </w:r>
    </w:p>
    <w:p w14:paraId="07A51D81" w14:textId="4EE839A7" w:rsidR="00475EAD" w:rsidRDefault="00D87096" w:rsidP="00EA4DD8">
      <w:pPr>
        <w:tabs>
          <w:tab w:val="left" w:pos="2835"/>
        </w:tabs>
        <w:spacing w:before="240"/>
        <w:ind w:right="91"/>
      </w:pPr>
      <w:r w:rsidRPr="00303E14">
        <w:t xml:space="preserve">New regulation </w:t>
      </w:r>
      <w:proofErr w:type="gramStart"/>
      <w:r w:rsidRPr="00303E14">
        <w:t>28RA(</w:t>
      </w:r>
      <w:proofErr w:type="gramEnd"/>
      <w:r w:rsidR="00754E3B">
        <w:t>2</w:t>
      </w:r>
      <w:r w:rsidRPr="00303E14">
        <w:t>)(b) exempts AEMO from section 5</w:t>
      </w:r>
      <w:r w:rsidR="008F2B26" w:rsidRPr="00303E14">
        <w:t xml:space="preserve">6EM (Privacy </w:t>
      </w:r>
      <w:r w:rsidR="00475EAD">
        <w:t>S</w:t>
      </w:r>
      <w:r w:rsidR="008F2B26" w:rsidRPr="00303E14">
        <w:t>afeguard</w:t>
      </w:r>
      <w:r w:rsidR="001E759A">
        <w:t> </w:t>
      </w:r>
      <w:r w:rsidR="008F2B26" w:rsidRPr="00303E14">
        <w:t xml:space="preserve">10) </w:t>
      </w:r>
      <w:r w:rsidR="001E759A">
        <w:t>of the Act</w:t>
      </w:r>
      <w:r w:rsidR="008F2B26" w:rsidRPr="00303E14">
        <w:t xml:space="preserve"> in relation to data disclosed to a retailer under the </w:t>
      </w:r>
      <w:r w:rsidR="00475EAD">
        <w:t>A</w:t>
      </w:r>
      <w:r w:rsidR="008F2B26" w:rsidRPr="00303E14">
        <w:t>ct.</w:t>
      </w:r>
      <w:r w:rsidR="00475A7E">
        <w:t xml:space="preserve"> </w:t>
      </w:r>
    </w:p>
    <w:p w14:paraId="575F52B1" w14:textId="76236451" w:rsidR="0093279A" w:rsidRPr="00303E14" w:rsidRDefault="00D021A2" w:rsidP="00EA4DD8">
      <w:pPr>
        <w:tabs>
          <w:tab w:val="left" w:pos="2835"/>
        </w:tabs>
        <w:spacing w:before="240"/>
        <w:ind w:right="91"/>
      </w:pPr>
      <w:r w:rsidRPr="00303E14">
        <w:lastRenderedPageBreak/>
        <w:t>New regulation 28RA(</w:t>
      </w:r>
      <w:r w:rsidR="005573B2">
        <w:t>3</w:t>
      </w:r>
      <w:r w:rsidRPr="00303E14">
        <w:t xml:space="preserve">) provides that </w:t>
      </w:r>
      <w:r w:rsidR="00713BF3" w:rsidRPr="00303E14">
        <w:t xml:space="preserve">retailers who have data </w:t>
      </w:r>
      <w:r w:rsidR="00A81BBA" w:rsidRPr="00303E14">
        <w:t>disclose</w:t>
      </w:r>
      <w:r w:rsidR="00713BF3" w:rsidRPr="00303E14">
        <w:t>d</w:t>
      </w:r>
      <w:r w:rsidR="00A81BBA" w:rsidRPr="00303E14">
        <w:t xml:space="preserve"> </w:t>
      </w:r>
      <w:r w:rsidR="00E81907" w:rsidRPr="00303E14">
        <w:t>to them</w:t>
      </w:r>
      <w:r w:rsidR="00713BF3" w:rsidRPr="00303E14">
        <w:t xml:space="preserve"> by AEMO as </w:t>
      </w:r>
      <w:r w:rsidR="00E81907" w:rsidRPr="00303E14">
        <w:t>required or permitted by the Act</w:t>
      </w:r>
      <w:r w:rsidR="00801677">
        <w:t>,</w:t>
      </w:r>
      <w:r w:rsidR="00E81907" w:rsidRPr="00303E14">
        <w:t xml:space="preserve"> are required to apply Privacy Safeguards 1</w:t>
      </w:r>
      <w:r w:rsidR="00EA3D96">
        <w:t xml:space="preserve"> and </w:t>
      </w:r>
      <w:r w:rsidR="00E81907" w:rsidRPr="00303E14">
        <w:t>10</w:t>
      </w:r>
      <w:r w:rsidR="005573B2">
        <w:t xml:space="preserve">. </w:t>
      </w:r>
      <w:r w:rsidR="00B87E36">
        <w:t>New r</w:t>
      </w:r>
      <w:r w:rsidR="005573B2">
        <w:t xml:space="preserve">egulation 28RA(4) provides that </w:t>
      </w:r>
      <w:r w:rsidR="00EA3D96">
        <w:t xml:space="preserve">Privacy Safeguard </w:t>
      </w:r>
      <w:r w:rsidR="00E81907" w:rsidRPr="00303E14">
        <w:t xml:space="preserve">13 </w:t>
      </w:r>
      <w:r w:rsidR="00137CC2">
        <w:t xml:space="preserve">applies </w:t>
      </w:r>
      <w:r w:rsidR="00540B75">
        <w:t xml:space="preserve">to retailers </w:t>
      </w:r>
      <w:r w:rsidR="00A67C46">
        <w:t xml:space="preserve">in relation </w:t>
      </w:r>
      <w:r w:rsidR="00E81907" w:rsidRPr="00303E14">
        <w:t>to that data</w:t>
      </w:r>
      <w:r w:rsidR="00137CC2">
        <w:t xml:space="preserve">, however, </w:t>
      </w:r>
      <w:r w:rsidR="00540B75">
        <w:t>it is modified to work in conjunction with the CDR Rules.</w:t>
      </w:r>
    </w:p>
    <w:p w14:paraId="2D33E01E" w14:textId="0822F38D" w:rsidR="00E64609" w:rsidRDefault="00E64609" w:rsidP="00F56DC4">
      <w:pPr>
        <w:tabs>
          <w:tab w:val="left" w:pos="2835"/>
          <w:tab w:val="center" w:pos="4107"/>
        </w:tabs>
        <w:spacing w:before="240"/>
        <w:ind w:right="91"/>
      </w:pPr>
      <w:r>
        <w:t>The effect of these additions is that when CDR data is provided to a retailer by AEMO, the privacy safeguards that apply to data holders apply to the retailer in relation to that data as if they were the data holder, and conversely, do not apply to</w:t>
      </w:r>
      <w:r w:rsidR="005A02B8">
        <w:t> </w:t>
      </w:r>
      <w:r>
        <w:t xml:space="preserve">AEMO. </w:t>
      </w:r>
    </w:p>
    <w:p w14:paraId="29B40E62" w14:textId="2CBFF11E" w:rsidR="00EA4DD8" w:rsidRPr="00F56DC4" w:rsidRDefault="0093279A" w:rsidP="00F56DC4">
      <w:pPr>
        <w:tabs>
          <w:tab w:val="left" w:pos="2835"/>
          <w:tab w:val="center" w:pos="4107"/>
        </w:tabs>
        <w:spacing w:before="240"/>
        <w:ind w:right="91"/>
      </w:pPr>
      <w:r>
        <w:t xml:space="preserve">Regarding Privacy Safeguard 13, retailers are not required under </w:t>
      </w:r>
      <w:r w:rsidR="005A02B8">
        <w:t>s</w:t>
      </w:r>
      <w:r>
        <w:t xml:space="preserve">ection </w:t>
      </w:r>
      <w:proofErr w:type="gramStart"/>
      <w:r>
        <w:t>56EP</w:t>
      </w:r>
      <w:r w:rsidR="00B87E36">
        <w:t>(</w:t>
      </w:r>
      <w:proofErr w:type="gramEnd"/>
      <w:r>
        <w:t>3</w:t>
      </w:r>
      <w:r w:rsidR="00B87E36">
        <w:t>)</w:t>
      </w:r>
      <w:r>
        <w:t xml:space="preserve">(a) </w:t>
      </w:r>
      <w:r w:rsidR="005A02B8">
        <w:t>of the Act</w:t>
      </w:r>
      <w:r>
        <w:t xml:space="preserve"> to correct CDR data or to include a statement with CDR data ensuring that it is accurate, up to date, complete and not misleading, </w:t>
      </w:r>
      <w:r w:rsidR="00540B75">
        <w:t>nor</w:t>
      </w:r>
      <w:r>
        <w:t xml:space="preserve"> to give notice under </w:t>
      </w:r>
      <w:r w:rsidR="005A02B8">
        <w:t>s</w:t>
      </w:r>
      <w:r>
        <w:t>ection 56EP</w:t>
      </w:r>
      <w:r w:rsidR="00B87E36">
        <w:t>(</w:t>
      </w:r>
      <w:r>
        <w:t>3</w:t>
      </w:r>
      <w:r w:rsidR="00B87E36">
        <w:t>)</w:t>
      </w:r>
      <w:r>
        <w:t xml:space="preserve">(b) of any corrections or statements, or notice of why a correction is unnecessary or inappropriate. </w:t>
      </w:r>
      <w:r w:rsidR="00540B75">
        <w:t xml:space="preserve">Instead, retailers </w:t>
      </w:r>
      <w:r w:rsidR="00E72D2D">
        <w:t>are</w:t>
      </w:r>
      <w:r w:rsidR="00540B75">
        <w:t xml:space="preserve"> required to follow </w:t>
      </w:r>
      <w:r w:rsidR="00B87E36">
        <w:t xml:space="preserve">new requirements </w:t>
      </w:r>
      <w:r>
        <w:t xml:space="preserve">in </w:t>
      </w:r>
      <w:r w:rsidR="0069777E">
        <w:t xml:space="preserve">Schedule 4 </w:t>
      </w:r>
      <w:r w:rsidR="00B87E36">
        <w:t>t</w:t>
      </w:r>
      <w:r w:rsidR="0069777E">
        <w:t xml:space="preserve">o </w:t>
      </w:r>
      <w:r>
        <w:t xml:space="preserve">the </w:t>
      </w:r>
      <w:r w:rsidR="00B87E36">
        <w:t xml:space="preserve">CDR </w:t>
      </w:r>
      <w:r>
        <w:t xml:space="preserve">Rules, which </w:t>
      </w:r>
      <w:r w:rsidR="0069777E">
        <w:t xml:space="preserve">leverage the existing </w:t>
      </w:r>
      <w:r w:rsidR="00BC1C9C">
        <w:t xml:space="preserve">National </w:t>
      </w:r>
      <w:r w:rsidR="0069777E">
        <w:t>Electricity</w:t>
      </w:r>
      <w:r w:rsidR="00BC1C9C">
        <w:t xml:space="preserve"> Rules</w:t>
      </w:r>
      <w:r w:rsidR="00A84634">
        <w:t xml:space="preserve"> (NER)</w:t>
      </w:r>
      <w:r>
        <w:t xml:space="preserve"> </w:t>
      </w:r>
      <w:r w:rsidR="0069777E">
        <w:t>processes for correcting data</w:t>
      </w:r>
      <w:r>
        <w:t>.</w:t>
      </w:r>
      <w:r w:rsidR="00A84634">
        <w:t xml:space="preserve"> </w:t>
      </w:r>
      <w:r w:rsidR="00E64609">
        <w:t xml:space="preserve">Similarly, Privacy Safeguard 11 is not applied to retailers as the </w:t>
      </w:r>
      <w:r w:rsidR="0069777E">
        <w:t>n</w:t>
      </w:r>
      <w:r w:rsidR="00E64609">
        <w:t xml:space="preserve">ational </w:t>
      </w:r>
      <w:r w:rsidR="0069777E">
        <w:t>e</w:t>
      </w:r>
      <w:r w:rsidR="00E64609">
        <w:t xml:space="preserve">nergy </w:t>
      </w:r>
      <w:r w:rsidR="0069777E">
        <w:t>l</w:t>
      </w:r>
      <w:r w:rsidR="00A84634">
        <w:t>egislation and NER contains existing correction processes for energy retailers</w:t>
      </w:r>
      <w:r w:rsidR="00F26391">
        <w:t xml:space="preserve"> and other market participants</w:t>
      </w:r>
      <w:r w:rsidR="00A84634">
        <w:t xml:space="preserve">. </w:t>
      </w:r>
    </w:p>
    <w:p w14:paraId="17106E55" w14:textId="77777777" w:rsidR="00D87BCF" w:rsidRDefault="00D87BCF" w:rsidP="00D87BCF">
      <w:pPr>
        <w:spacing w:before="0" w:after="0"/>
        <w:rPr>
          <w:b/>
          <w:kern w:val="28"/>
        </w:rPr>
      </w:pPr>
    </w:p>
    <w:p w14:paraId="6C657197" w14:textId="33AF02BE" w:rsidR="00D87BCF" w:rsidRDefault="00D87BCF" w:rsidP="00D87BCF">
      <w:pPr>
        <w:pageBreakBefore/>
        <w:spacing w:before="240"/>
        <w:jc w:val="right"/>
        <w:rPr>
          <w:b/>
          <w:u w:val="single"/>
        </w:rPr>
      </w:pPr>
      <w:r w:rsidRPr="007B335E">
        <w:rPr>
          <w:b/>
          <w:u w:val="single"/>
        </w:rPr>
        <w:lastRenderedPageBreak/>
        <w:t xml:space="preserve">ATTACHMENT </w:t>
      </w:r>
      <w:r>
        <w:rPr>
          <w:b/>
          <w:u w:val="single"/>
        </w:rPr>
        <w:t>B</w:t>
      </w:r>
    </w:p>
    <w:p w14:paraId="0AC3AF56" w14:textId="77777777" w:rsidR="00D87BCF" w:rsidRPr="00462095" w:rsidRDefault="00D87BCF" w:rsidP="00D87BCF">
      <w:pPr>
        <w:pStyle w:val="Heading3"/>
      </w:pPr>
      <w:r w:rsidRPr="00462095">
        <w:t>Statement of Compatibility with Human Rights</w:t>
      </w:r>
    </w:p>
    <w:p w14:paraId="102A24ED" w14:textId="77777777" w:rsidR="00D87BCF" w:rsidRPr="00647BB7" w:rsidRDefault="00D87BCF" w:rsidP="00D87BCF">
      <w:pPr>
        <w:spacing w:before="240"/>
        <w:jc w:val="center"/>
        <w:rPr>
          <w:i/>
        </w:rPr>
      </w:pPr>
      <w:r w:rsidRPr="00647BB7">
        <w:rPr>
          <w:i/>
        </w:rPr>
        <w:t>Prepared in accordance with Part 3 of the Human Rights (Parliamentary Scrutiny) Act 2011</w:t>
      </w:r>
    </w:p>
    <w:p w14:paraId="1A98A17C" w14:textId="77777777" w:rsidR="00D87BCF" w:rsidRDefault="00D87BCF" w:rsidP="00D87BCF">
      <w:pPr>
        <w:spacing w:before="240"/>
        <w:rPr>
          <w:b/>
          <w:kern w:val="28"/>
        </w:rPr>
      </w:pPr>
      <w:r w:rsidRPr="00D87BCF">
        <w:rPr>
          <w:b/>
          <w:kern w:val="28"/>
        </w:rPr>
        <w:t xml:space="preserve">Competition and Consumer Amendment (Consumer Data Right) Regulations 2021 </w:t>
      </w:r>
    </w:p>
    <w:p w14:paraId="4E69AD57" w14:textId="6A4956ED" w:rsidR="00D87BCF" w:rsidRPr="00647BB7" w:rsidRDefault="00D87BCF" w:rsidP="00D87BCF">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72BBF37" w14:textId="77777777" w:rsidR="00D87BCF" w:rsidRPr="00647BB7" w:rsidRDefault="00D87BCF" w:rsidP="00D87BCF">
      <w:pPr>
        <w:pStyle w:val="Heading3"/>
      </w:pPr>
      <w:r w:rsidRPr="00647BB7">
        <w:t>Overview of the Legislative Instrument</w:t>
      </w:r>
    </w:p>
    <w:p w14:paraId="0810E74F" w14:textId="4B93F13B" w:rsidR="00E438C3" w:rsidRDefault="00E438C3" w:rsidP="00E438C3">
      <w:r>
        <w:t xml:space="preserve">The Regulations make minor technical amendments to the </w:t>
      </w:r>
      <w:r w:rsidRPr="001F7D0A">
        <w:rPr>
          <w:i/>
          <w:iCs/>
        </w:rPr>
        <w:t>Competition and Consumer Regulations 2010</w:t>
      </w:r>
      <w:r>
        <w:t xml:space="preserve"> to exempt the Australian Energy Market Operator (AEMO) from four </w:t>
      </w:r>
      <w:r w:rsidR="00756E1C">
        <w:t>p</w:t>
      </w:r>
      <w:r>
        <w:t xml:space="preserve">rivacy </w:t>
      </w:r>
      <w:r w:rsidR="00756E1C">
        <w:t>s</w:t>
      </w:r>
      <w:r>
        <w:t xml:space="preserve">afeguard obligations, and in circumstances where AEMO provides CDR data to a retailer. Additionally, where appropriate, the Regulations apply </w:t>
      </w:r>
      <w:r w:rsidR="00756E1C">
        <w:t>p</w:t>
      </w:r>
      <w:r>
        <w:t xml:space="preserve">rivacy </w:t>
      </w:r>
      <w:r w:rsidR="00756E1C">
        <w:t>s</w:t>
      </w:r>
      <w:r>
        <w:t xml:space="preserve">afeguard obligations to energy retailers in relation to data received from AEMO as if the retailer were the data holder for that data. </w:t>
      </w:r>
    </w:p>
    <w:p w14:paraId="4486FA56" w14:textId="77777777" w:rsidR="00D87BCF" w:rsidRPr="00647BB7" w:rsidRDefault="00D87BCF" w:rsidP="00D87BCF">
      <w:pPr>
        <w:pStyle w:val="Heading3"/>
      </w:pPr>
      <w:r w:rsidRPr="00647BB7">
        <w:t>Human rights implications</w:t>
      </w:r>
    </w:p>
    <w:p w14:paraId="093E917C" w14:textId="7FB797AA" w:rsidR="00D87BCF" w:rsidRDefault="00D87BCF" w:rsidP="00D87BCF">
      <w:pPr>
        <w:spacing w:before="240"/>
      </w:pPr>
      <w:r w:rsidRPr="00647BB7">
        <w:t xml:space="preserve">This Legislative Instrument </w:t>
      </w:r>
      <w:r w:rsidR="00F14570">
        <w:t xml:space="preserve">engages </w:t>
      </w:r>
      <w:r w:rsidR="00F14570" w:rsidRPr="00F14570">
        <w:t xml:space="preserve">the right to protection from unlawful or arbitrary interference with privacy under Article 17 of the International Covenant on Civil and Politics Rights (ICCPR) because </w:t>
      </w:r>
      <w:r w:rsidR="00756E1C">
        <w:t>i</w:t>
      </w:r>
      <w:r w:rsidR="00F14570">
        <w:t>t amend</w:t>
      </w:r>
      <w:r w:rsidR="00756E1C">
        <w:t>s</w:t>
      </w:r>
      <w:r w:rsidR="00F14570">
        <w:t xml:space="preserve"> how </w:t>
      </w:r>
      <w:r w:rsidR="00756E1C">
        <w:t>p</w:t>
      </w:r>
      <w:r w:rsidR="00F14570">
        <w:t xml:space="preserve">rivacy </w:t>
      </w:r>
      <w:r w:rsidR="00756E1C">
        <w:t>s</w:t>
      </w:r>
      <w:r w:rsidR="00F14570">
        <w:t xml:space="preserve">afeguard protections apply to certain types of data within the CDR Regime. </w:t>
      </w:r>
    </w:p>
    <w:p w14:paraId="23FC8FDF" w14:textId="77777777" w:rsidR="00F14570" w:rsidRDefault="00F14570" w:rsidP="00F14570">
      <w:pPr>
        <w:spacing w:before="240"/>
      </w:pPr>
      <w:r>
        <w:t>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5D11A938" w14:textId="18E536F9" w:rsidR="00F14570" w:rsidRDefault="00F14570" w:rsidP="00F14570">
      <w:pPr>
        <w:spacing w:before="240"/>
      </w:pPr>
      <w:r>
        <w:t xml:space="preserve">Under the existing rules, </w:t>
      </w:r>
      <w:r w:rsidR="00756E1C">
        <w:t>d</w:t>
      </w:r>
      <w:r>
        <w:t xml:space="preserve">ata </w:t>
      </w:r>
      <w:r w:rsidR="00756E1C">
        <w:t>h</w:t>
      </w:r>
      <w:r>
        <w:t xml:space="preserve">olders can disclose consumer data to </w:t>
      </w:r>
      <w:r w:rsidR="00756E1C">
        <w:t>a</w:t>
      </w:r>
      <w:r>
        <w:t xml:space="preserve">uthorised </w:t>
      </w:r>
      <w:r w:rsidR="00756E1C">
        <w:t>d</w:t>
      </w:r>
      <w:r>
        <w:t xml:space="preserve">ata </w:t>
      </w:r>
      <w:r w:rsidR="00756E1C">
        <w:t>r</w:t>
      </w:r>
      <w:r>
        <w:t xml:space="preserve">ecipients (ADRs), where the consumer to whom the data pertains has provided consent for their data to be transferred. The privacy of the consumer is protected by several </w:t>
      </w:r>
      <w:r w:rsidR="00756E1C">
        <w:t>p</w:t>
      </w:r>
      <w:r>
        <w:t xml:space="preserve">rivacy </w:t>
      </w:r>
      <w:r w:rsidR="00756E1C">
        <w:t>s</w:t>
      </w:r>
      <w:r>
        <w:t xml:space="preserve">afeguards that require </w:t>
      </w:r>
      <w:r w:rsidR="00756E1C">
        <w:t>d</w:t>
      </w:r>
      <w:r>
        <w:t xml:space="preserve">ata </w:t>
      </w:r>
      <w:r w:rsidR="00756E1C">
        <w:t>h</w:t>
      </w:r>
      <w:r>
        <w:t xml:space="preserve">olders and </w:t>
      </w:r>
      <w:r w:rsidR="00756E1C">
        <w:t>d</w:t>
      </w:r>
      <w:r>
        <w:t xml:space="preserve">ata </w:t>
      </w:r>
      <w:r w:rsidR="00756E1C">
        <w:t>r</w:t>
      </w:r>
      <w:r>
        <w:t>ecipients to ensure the protection of the consumers for whom they hold data.</w:t>
      </w:r>
    </w:p>
    <w:p w14:paraId="2A359B65" w14:textId="512E383B" w:rsidR="00F14570" w:rsidRDefault="00F14570" w:rsidP="00F14570">
      <w:pPr>
        <w:spacing w:before="240"/>
      </w:pPr>
      <w:r>
        <w:t xml:space="preserve">The Regulations remove a number of </w:t>
      </w:r>
      <w:r w:rsidR="00756E1C">
        <w:t>p</w:t>
      </w:r>
      <w:r>
        <w:t xml:space="preserve">rivacy </w:t>
      </w:r>
      <w:r w:rsidR="00756E1C">
        <w:t>s</w:t>
      </w:r>
      <w:r>
        <w:t xml:space="preserve">afeguards from AEMO, and proportionally applies most of these </w:t>
      </w:r>
      <w:r w:rsidR="004D3FCE">
        <w:t>p</w:t>
      </w:r>
      <w:r>
        <w:t xml:space="preserve">rivacy </w:t>
      </w:r>
      <w:r w:rsidR="004D3FCE">
        <w:t>s</w:t>
      </w:r>
      <w:r>
        <w:t xml:space="preserve">afeguards to retailers who receive data from AEMO as if they were the </w:t>
      </w:r>
      <w:r w:rsidR="00756E1C">
        <w:t>d</w:t>
      </w:r>
      <w:r>
        <w:t xml:space="preserve">ata </w:t>
      </w:r>
      <w:r w:rsidR="00756E1C">
        <w:t>h</w:t>
      </w:r>
      <w:r>
        <w:t xml:space="preserve">older. In the case of Privacy Safeguard 13, </w:t>
      </w:r>
      <w:r w:rsidR="00756E1C">
        <w:t xml:space="preserve">section </w:t>
      </w:r>
      <w:r>
        <w:t>56EP</w:t>
      </w:r>
      <w:r w:rsidR="00756E1C">
        <w:t xml:space="preserve"> of the Act</w:t>
      </w:r>
      <w:r>
        <w:t xml:space="preserve"> is modified so that correction of data is undertaken in conjunction with the CDR Rules, and leverages existing correction mechanisms under the National Electricity Rules.</w:t>
      </w:r>
    </w:p>
    <w:p w14:paraId="2E9E9A2F" w14:textId="158DC89B" w:rsidR="00F14570" w:rsidRDefault="00F14570" w:rsidP="00F14570">
      <w:pPr>
        <w:spacing w:before="240"/>
      </w:pPr>
    </w:p>
    <w:p w14:paraId="7B559961" w14:textId="6400D239" w:rsidR="00F14570" w:rsidRPr="00647BB7" w:rsidRDefault="00F14570" w:rsidP="00F14570">
      <w:r>
        <w:lastRenderedPageBreak/>
        <w:t xml:space="preserve">As such, the </w:t>
      </w:r>
      <w:r w:rsidR="00756E1C">
        <w:t>p</w:t>
      </w:r>
      <w:r>
        <w:t xml:space="preserve">rivacy of consumer data is still protected within the </w:t>
      </w:r>
      <w:r w:rsidR="00082D82">
        <w:t xml:space="preserve">broader </w:t>
      </w:r>
      <w:r>
        <w:t xml:space="preserve">CDR </w:t>
      </w:r>
      <w:r w:rsidR="00082D82">
        <w:t>regime</w:t>
      </w:r>
      <w:r w:rsidDel="00E94728">
        <w:t>.</w:t>
      </w:r>
      <w:r>
        <w:t xml:space="preserve"> </w:t>
      </w:r>
    </w:p>
    <w:p w14:paraId="405FE62A" w14:textId="77777777" w:rsidR="00D87BCF" w:rsidRPr="00647BB7" w:rsidRDefault="00D87BCF" w:rsidP="00D87BCF">
      <w:pPr>
        <w:pStyle w:val="Heading3"/>
      </w:pPr>
      <w:r w:rsidRPr="00647BB7">
        <w:t>Conclusion</w:t>
      </w:r>
    </w:p>
    <w:p w14:paraId="3A0DA1DD" w14:textId="77777777" w:rsidR="00D87BCF" w:rsidRDefault="00D87BCF" w:rsidP="00D87BCF">
      <w:pPr>
        <w:spacing w:before="240"/>
      </w:pPr>
      <w:r w:rsidRPr="00647BB7">
        <w:t>This Legislative Instrument is compatible with human rights as it does not raise any human rights issues.</w:t>
      </w:r>
    </w:p>
    <w:p w14:paraId="38077580" w14:textId="77777777" w:rsidR="00D87BCF" w:rsidRPr="00EA4DD8" w:rsidRDefault="00D87BCF" w:rsidP="00D87BCF">
      <w:pPr>
        <w:spacing w:before="0" w:after="0"/>
      </w:pPr>
    </w:p>
    <w:p w14:paraId="78EDAF84"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E0221" w14:textId="77777777" w:rsidR="00314B3E" w:rsidRDefault="00314B3E" w:rsidP="00954679">
      <w:pPr>
        <w:spacing w:before="0" w:after="0"/>
      </w:pPr>
      <w:r>
        <w:separator/>
      </w:r>
    </w:p>
  </w:endnote>
  <w:endnote w:type="continuationSeparator" w:id="0">
    <w:p w14:paraId="2DED8D82" w14:textId="77777777" w:rsidR="00314B3E" w:rsidRDefault="00314B3E" w:rsidP="00954679">
      <w:pPr>
        <w:spacing w:before="0" w:after="0"/>
      </w:pPr>
      <w:r>
        <w:continuationSeparator/>
      </w:r>
    </w:p>
  </w:endnote>
  <w:endnote w:type="continuationNotice" w:id="1">
    <w:p w14:paraId="65035F9D" w14:textId="77777777" w:rsidR="00314B3E" w:rsidRDefault="00314B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A2BE369" w14:textId="7C32D6F6" w:rsidR="002849F8" w:rsidRDefault="002849F8"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290195">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290195">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9B850" w14:textId="77777777" w:rsidR="00314B3E" w:rsidRDefault="00314B3E" w:rsidP="00954679">
      <w:pPr>
        <w:spacing w:before="0" w:after="0"/>
      </w:pPr>
      <w:r>
        <w:separator/>
      </w:r>
    </w:p>
  </w:footnote>
  <w:footnote w:type="continuationSeparator" w:id="0">
    <w:p w14:paraId="5B920E41" w14:textId="77777777" w:rsidR="00314B3E" w:rsidRDefault="00314B3E" w:rsidP="00954679">
      <w:pPr>
        <w:spacing w:before="0" w:after="0"/>
      </w:pPr>
      <w:r>
        <w:continuationSeparator/>
      </w:r>
    </w:p>
  </w:footnote>
  <w:footnote w:type="continuationNotice" w:id="1">
    <w:p w14:paraId="79D12086" w14:textId="77777777" w:rsidR="00314B3E" w:rsidRDefault="00314B3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BD5"/>
    <w:multiLevelType w:val="hybridMultilevel"/>
    <w:tmpl w:val="F60A8B66"/>
    <w:lvl w:ilvl="0" w:tplc="66D44E9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7086D0C"/>
    <w:multiLevelType w:val="hybridMultilevel"/>
    <w:tmpl w:val="3F4238D4"/>
    <w:lvl w:ilvl="0" w:tplc="0C09000F">
      <w:start w:val="1"/>
      <w:numFmt w:val="decimal"/>
      <w:lvlText w:val="%1."/>
      <w:lvlJc w:val="left"/>
      <w:pPr>
        <w:ind w:left="1636" w:hanging="360"/>
      </w:pPr>
    </w:lvl>
    <w:lvl w:ilvl="1" w:tplc="0C090019">
      <w:start w:val="1"/>
      <w:numFmt w:val="lowerLetter"/>
      <w:lvlText w:val="%2."/>
      <w:lvlJc w:val="left"/>
      <w:pPr>
        <w:ind w:left="2356" w:hanging="360"/>
      </w:pPr>
    </w:lvl>
    <w:lvl w:ilvl="2" w:tplc="0C09001B">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4" w15:restartNumberingAfterBreak="0">
    <w:nsid w:val="56D85FA9"/>
    <w:multiLevelType w:val="hybridMultilevel"/>
    <w:tmpl w:val="2FDECDFC"/>
    <w:lvl w:ilvl="0" w:tplc="BB3A2AA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0A30421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30"/>
    <w:rsid w:val="0001206C"/>
    <w:rsid w:val="00013390"/>
    <w:rsid w:val="00016EA2"/>
    <w:rsid w:val="00053F55"/>
    <w:rsid w:val="00066AEF"/>
    <w:rsid w:val="0007242A"/>
    <w:rsid w:val="00076178"/>
    <w:rsid w:val="00082D82"/>
    <w:rsid w:val="000937A3"/>
    <w:rsid w:val="00094C93"/>
    <w:rsid w:val="00095211"/>
    <w:rsid w:val="000960FD"/>
    <w:rsid w:val="000B39A1"/>
    <w:rsid w:val="000C10DF"/>
    <w:rsid w:val="000C6935"/>
    <w:rsid w:val="000D27C4"/>
    <w:rsid w:val="000D441D"/>
    <w:rsid w:val="000E32E3"/>
    <w:rsid w:val="000E6D0A"/>
    <w:rsid w:val="000E71AF"/>
    <w:rsid w:val="00104733"/>
    <w:rsid w:val="00105FAA"/>
    <w:rsid w:val="00111AE7"/>
    <w:rsid w:val="0011377C"/>
    <w:rsid w:val="00113B45"/>
    <w:rsid w:val="001141A9"/>
    <w:rsid w:val="00137CC2"/>
    <w:rsid w:val="00140119"/>
    <w:rsid w:val="001438F8"/>
    <w:rsid w:val="001477D1"/>
    <w:rsid w:val="00164523"/>
    <w:rsid w:val="00171A79"/>
    <w:rsid w:val="00174426"/>
    <w:rsid w:val="00176250"/>
    <w:rsid w:val="001777BB"/>
    <w:rsid w:val="001A369D"/>
    <w:rsid w:val="001B7535"/>
    <w:rsid w:val="001C38FD"/>
    <w:rsid w:val="001C78B8"/>
    <w:rsid w:val="001D60EC"/>
    <w:rsid w:val="001D7275"/>
    <w:rsid w:val="001E1951"/>
    <w:rsid w:val="001E6309"/>
    <w:rsid w:val="001E6A74"/>
    <w:rsid w:val="001E759A"/>
    <w:rsid w:val="001E7A8B"/>
    <w:rsid w:val="001F28F9"/>
    <w:rsid w:val="001F41D0"/>
    <w:rsid w:val="001F7D0A"/>
    <w:rsid w:val="00201F9E"/>
    <w:rsid w:val="00204545"/>
    <w:rsid w:val="002140CC"/>
    <w:rsid w:val="00216806"/>
    <w:rsid w:val="00220F16"/>
    <w:rsid w:val="00224B5D"/>
    <w:rsid w:val="00231016"/>
    <w:rsid w:val="00240384"/>
    <w:rsid w:val="00254C5B"/>
    <w:rsid w:val="0027199C"/>
    <w:rsid w:val="002849F8"/>
    <w:rsid w:val="00290195"/>
    <w:rsid w:val="002A55C0"/>
    <w:rsid w:val="002A75CD"/>
    <w:rsid w:val="002A7E1F"/>
    <w:rsid w:val="002B2386"/>
    <w:rsid w:val="002B3177"/>
    <w:rsid w:val="002B7A8F"/>
    <w:rsid w:val="002C1F54"/>
    <w:rsid w:val="002C226C"/>
    <w:rsid w:val="002C7944"/>
    <w:rsid w:val="002D108A"/>
    <w:rsid w:val="002D456A"/>
    <w:rsid w:val="002F09CB"/>
    <w:rsid w:val="002F4102"/>
    <w:rsid w:val="00303E14"/>
    <w:rsid w:val="00304011"/>
    <w:rsid w:val="003041FA"/>
    <w:rsid w:val="00311352"/>
    <w:rsid w:val="00313E23"/>
    <w:rsid w:val="00314B3E"/>
    <w:rsid w:val="00314FA0"/>
    <w:rsid w:val="003221C6"/>
    <w:rsid w:val="0032527C"/>
    <w:rsid w:val="003342CD"/>
    <w:rsid w:val="00335042"/>
    <w:rsid w:val="00354FAE"/>
    <w:rsid w:val="00357AF6"/>
    <w:rsid w:val="0036182D"/>
    <w:rsid w:val="00362B70"/>
    <w:rsid w:val="00367E45"/>
    <w:rsid w:val="00372CD1"/>
    <w:rsid w:val="00386403"/>
    <w:rsid w:val="00392BBA"/>
    <w:rsid w:val="003954FD"/>
    <w:rsid w:val="00397713"/>
    <w:rsid w:val="003A5D49"/>
    <w:rsid w:val="003C6588"/>
    <w:rsid w:val="003C6E99"/>
    <w:rsid w:val="003C7907"/>
    <w:rsid w:val="003D60D7"/>
    <w:rsid w:val="003D6CEE"/>
    <w:rsid w:val="003E1CE3"/>
    <w:rsid w:val="003E31E7"/>
    <w:rsid w:val="003F5793"/>
    <w:rsid w:val="0040332D"/>
    <w:rsid w:val="004040CE"/>
    <w:rsid w:val="00440D77"/>
    <w:rsid w:val="00441C6F"/>
    <w:rsid w:val="004505A4"/>
    <w:rsid w:val="0046162D"/>
    <w:rsid w:val="00462095"/>
    <w:rsid w:val="004702A4"/>
    <w:rsid w:val="004705F8"/>
    <w:rsid w:val="0047285C"/>
    <w:rsid w:val="0047480F"/>
    <w:rsid w:val="00475A7E"/>
    <w:rsid w:val="00475EAD"/>
    <w:rsid w:val="00482B81"/>
    <w:rsid w:val="00482D4C"/>
    <w:rsid w:val="00485064"/>
    <w:rsid w:val="0049210E"/>
    <w:rsid w:val="00494F00"/>
    <w:rsid w:val="004A2F0D"/>
    <w:rsid w:val="004B2488"/>
    <w:rsid w:val="004B3746"/>
    <w:rsid w:val="004B3C0F"/>
    <w:rsid w:val="004C05E4"/>
    <w:rsid w:val="004C6404"/>
    <w:rsid w:val="004C74E0"/>
    <w:rsid w:val="004C76B5"/>
    <w:rsid w:val="004D3FCE"/>
    <w:rsid w:val="004E39E1"/>
    <w:rsid w:val="004F56D0"/>
    <w:rsid w:val="00501254"/>
    <w:rsid w:val="00503E44"/>
    <w:rsid w:val="00515283"/>
    <w:rsid w:val="00533926"/>
    <w:rsid w:val="00540B75"/>
    <w:rsid w:val="00554773"/>
    <w:rsid w:val="0055675D"/>
    <w:rsid w:val="005573B2"/>
    <w:rsid w:val="00557DF5"/>
    <w:rsid w:val="005653E2"/>
    <w:rsid w:val="00566E8F"/>
    <w:rsid w:val="0057422E"/>
    <w:rsid w:val="00575BF5"/>
    <w:rsid w:val="005833BE"/>
    <w:rsid w:val="005A02B8"/>
    <w:rsid w:val="005C14A7"/>
    <w:rsid w:val="005C1DCB"/>
    <w:rsid w:val="005C63E5"/>
    <w:rsid w:val="005D48D1"/>
    <w:rsid w:val="005D5124"/>
    <w:rsid w:val="005D7D5A"/>
    <w:rsid w:val="005E4BAC"/>
    <w:rsid w:val="005E56CA"/>
    <w:rsid w:val="005F4591"/>
    <w:rsid w:val="005F5595"/>
    <w:rsid w:val="005F65D8"/>
    <w:rsid w:val="006009C8"/>
    <w:rsid w:val="0060130D"/>
    <w:rsid w:val="006124E0"/>
    <w:rsid w:val="0061385B"/>
    <w:rsid w:val="00616D0A"/>
    <w:rsid w:val="006175FE"/>
    <w:rsid w:val="006312A7"/>
    <w:rsid w:val="0064129F"/>
    <w:rsid w:val="00641F31"/>
    <w:rsid w:val="00647BB7"/>
    <w:rsid w:val="00655566"/>
    <w:rsid w:val="00670AC8"/>
    <w:rsid w:val="00673930"/>
    <w:rsid w:val="006740C0"/>
    <w:rsid w:val="00680297"/>
    <w:rsid w:val="00680614"/>
    <w:rsid w:val="006873CE"/>
    <w:rsid w:val="006968F0"/>
    <w:rsid w:val="0069777E"/>
    <w:rsid w:val="006A0786"/>
    <w:rsid w:val="006C7250"/>
    <w:rsid w:val="006D57DB"/>
    <w:rsid w:val="00704AD0"/>
    <w:rsid w:val="00710E94"/>
    <w:rsid w:val="00713BF3"/>
    <w:rsid w:val="00714141"/>
    <w:rsid w:val="00723E29"/>
    <w:rsid w:val="00727D8A"/>
    <w:rsid w:val="00730F52"/>
    <w:rsid w:val="00731FEA"/>
    <w:rsid w:val="00736F61"/>
    <w:rsid w:val="00737834"/>
    <w:rsid w:val="00742253"/>
    <w:rsid w:val="0075263E"/>
    <w:rsid w:val="00754E3B"/>
    <w:rsid w:val="007552F6"/>
    <w:rsid w:val="00756E1C"/>
    <w:rsid w:val="00760641"/>
    <w:rsid w:val="007662C7"/>
    <w:rsid w:val="00776179"/>
    <w:rsid w:val="00776306"/>
    <w:rsid w:val="00792BE7"/>
    <w:rsid w:val="007A55A7"/>
    <w:rsid w:val="007B1F10"/>
    <w:rsid w:val="007B335E"/>
    <w:rsid w:val="007B63C6"/>
    <w:rsid w:val="007B698A"/>
    <w:rsid w:val="007C550A"/>
    <w:rsid w:val="007C5E20"/>
    <w:rsid w:val="007C6114"/>
    <w:rsid w:val="007C62EC"/>
    <w:rsid w:val="007E018D"/>
    <w:rsid w:val="007E7D60"/>
    <w:rsid w:val="007F1B71"/>
    <w:rsid w:val="007F5FB5"/>
    <w:rsid w:val="00801677"/>
    <w:rsid w:val="008071DF"/>
    <w:rsid w:val="00807E7D"/>
    <w:rsid w:val="00823FDC"/>
    <w:rsid w:val="00831675"/>
    <w:rsid w:val="00840BE1"/>
    <w:rsid w:val="008463D3"/>
    <w:rsid w:val="008647AC"/>
    <w:rsid w:val="00866615"/>
    <w:rsid w:val="0087252C"/>
    <w:rsid w:val="0088467C"/>
    <w:rsid w:val="008908D4"/>
    <w:rsid w:val="00894579"/>
    <w:rsid w:val="008A5B67"/>
    <w:rsid w:val="008A70DD"/>
    <w:rsid w:val="008B62AD"/>
    <w:rsid w:val="008C0D9D"/>
    <w:rsid w:val="008D16F7"/>
    <w:rsid w:val="008E00E5"/>
    <w:rsid w:val="008E1427"/>
    <w:rsid w:val="008F2B26"/>
    <w:rsid w:val="008F6F65"/>
    <w:rsid w:val="00902591"/>
    <w:rsid w:val="009143A0"/>
    <w:rsid w:val="00914E56"/>
    <w:rsid w:val="00923BB8"/>
    <w:rsid w:val="0093279A"/>
    <w:rsid w:val="0093370B"/>
    <w:rsid w:val="009340BD"/>
    <w:rsid w:val="00936902"/>
    <w:rsid w:val="009514CF"/>
    <w:rsid w:val="00954679"/>
    <w:rsid w:val="00961461"/>
    <w:rsid w:val="009614DF"/>
    <w:rsid w:val="0096245D"/>
    <w:rsid w:val="00971E61"/>
    <w:rsid w:val="00991017"/>
    <w:rsid w:val="009971CC"/>
    <w:rsid w:val="009A06DF"/>
    <w:rsid w:val="009A456F"/>
    <w:rsid w:val="009B40E4"/>
    <w:rsid w:val="009C6A1E"/>
    <w:rsid w:val="009C74AF"/>
    <w:rsid w:val="009E1D9C"/>
    <w:rsid w:val="009E2F86"/>
    <w:rsid w:val="009E57FF"/>
    <w:rsid w:val="009E7C4C"/>
    <w:rsid w:val="00A0139C"/>
    <w:rsid w:val="00A12209"/>
    <w:rsid w:val="00A15290"/>
    <w:rsid w:val="00A369EB"/>
    <w:rsid w:val="00A36DF3"/>
    <w:rsid w:val="00A412B6"/>
    <w:rsid w:val="00A47BB1"/>
    <w:rsid w:val="00A523E0"/>
    <w:rsid w:val="00A532DD"/>
    <w:rsid w:val="00A55C5B"/>
    <w:rsid w:val="00A67C46"/>
    <w:rsid w:val="00A72BDA"/>
    <w:rsid w:val="00A74459"/>
    <w:rsid w:val="00A8057D"/>
    <w:rsid w:val="00A80BCF"/>
    <w:rsid w:val="00A81171"/>
    <w:rsid w:val="00A81BBA"/>
    <w:rsid w:val="00A8369C"/>
    <w:rsid w:val="00A84634"/>
    <w:rsid w:val="00A84658"/>
    <w:rsid w:val="00A90C56"/>
    <w:rsid w:val="00AA1689"/>
    <w:rsid w:val="00AA4B20"/>
    <w:rsid w:val="00AA5770"/>
    <w:rsid w:val="00AC0BA3"/>
    <w:rsid w:val="00AC1D15"/>
    <w:rsid w:val="00AC3F14"/>
    <w:rsid w:val="00AC4E30"/>
    <w:rsid w:val="00AC561B"/>
    <w:rsid w:val="00AC5C2A"/>
    <w:rsid w:val="00AE077E"/>
    <w:rsid w:val="00AE4EEE"/>
    <w:rsid w:val="00AF336C"/>
    <w:rsid w:val="00B07B0C"/>
    <w:rsid w:val="00B07D97"/>
    <w:rsid w:val="00B25563"/>
    <w:rsid w:val="00B26D48"/>
    <w:rsid w:val="00B33D12"/>
    <w:rsid w:val="00B42EE1"/>
    <w:rsid w:val="00B56847"/>
    <w:rsid w:val="00B57DBE"/>
    <w:rsid w:val="00B6221A"/>
    <w:rsid w:val="00B64D7F"/>
    <w:rsid w:val="00B8293D"/>
    <w:rsid w:val="00B8581E"/>
    <w:rsid w:val="00B864F2"/>
    <w:rsid w:val="00B87E36"/>
    <w:rsid w:val="00B904BD"/>
    <w:rsid w:val="00B92478"/>
    <w:rsid w:val="00B93534"/>
    <w:rsid w:val="00BA6188"/>
    <w:rsid w:val="00BC1C9C"/>
    <w:rsid w:val="00BD43BF"/>
    <w:rsid w:val="00BD61A2"/>
    <w:rsid w:val="00BD6929"/>
    <w:rsid w:val="00BE140D"/>
    <w:rsid w:val="00BE484D"/>
    <w:rsid w:val="00C00A96"/>
    <w:rsid w:val="00C2428D"/>
    <w:rsid w:val="00C35977"/>
    <w:rsid w:val="00C37E05"/>
    <w:rsid w:val="00C46DFC"/>
    <w:rsid w:val="00C47B11"/>
    <w:rsid w:val="00C52C5E"/>
    <w:rsid w:val="00C55D29"/>
    <w:rsid w:val="00C615AF"/>
    <w:rsid w:val="00C62FBC"/>
    <w:rsid w:val="00C706E9"/>
    <w:rsid w:val="00C86E96"/>
    <w:rsid w:val="00CA0BE9"/>
    <w:rsid w:val="00CA138D"/>
    <w:rsid w:val="00CB4688"/>
    <w:rsid w:val="00CC09CE"/>
    <w:rsid w:val="00CC7641"/>
    <w:rsid w:val="00CE0C17"/>
    <w:rsid w:val="00CE1007"/>
    <w:rsid w:val="00CE490B"/>
    <w:rsid w:val="00CE58D9"/>
    <w:rsid w:val="00D021A2"/>
    <w:rsid w:val="00D03981"/>
    <w:rsid w:val="00D0516D"/>
    <w:rsid w:val="00D13794"/>
    <w:rsid w:val="00D24052"/>
    <w:rsid w:val="00D24386"/>
    <w:rsid w:val="00D26D8D"/>
    <w:rsid w:val="00D31575"/>
    <w:rsid w:val="00D34626"/>
    <w:rsid w:val="00D34FB4"/>
    <w:rsid w:val="00D4257A"/>
    <w:rsid w:val="00D4432E"/>
    <w:rsid w:val="00D55971"/>
    <w:rsid w:val="00D57C63"/>
    <w:rsid w:val="00D62665"/>
    <w:rsid w:val="00D82E47"/>
    <w:rsid w:val="00D87096"/>
    <w:rsid w:val="00D8754C"/>
    <w:rsid w:val="00D87BCF"/>
    <w:rsid w:val="00DA70D1"/>
    <w:rsid w:val="00DC0CDE"/>
    <w:rsid w:val="00DC4D72"/>
    <w:rsid w:val="00DD6D4A"/>
    <w:rsid w:val="00DE365B"/>
    <w:rsid w:val="00DF0332"/>
    <w:rsid w:val="00DF4055"/>
    <w:rsid w:val="00E0624D"/>
    <w:rsid w:val="00E11948"/>
    <w:rsid w:val="00E17116"/>
    <w:rsid w:val="00E438C3"/>
    <w:rsid w:val="00E4438C"/>
    <w:rsid w:val="00E457F3"/>
    <w:rsid w:val="00E62E1E"/>
    <w:rsid w:val="00E64609"/>
    <w:rsid w:val="00E656D3"/>
    <w:rsid w:val="00E721A7"/>
    <w:rsid w:val="00E72D2D"/>
    <w:rsid w:val="00E80487"/>
    <w:rsid w:val="00E81907"/>
    <w:rsid w:val="00E8681B"/>
    <w:rsid w:val="00E87389"/>
    <w:rsid w:val="00E87C6A"/>
    <w:rsid w:val="00E94728"/>
    <w:rsid w:val="00EA2F4E"/>
    <w:rsid w:val="00EA3D96"/>
    <w:rsid w:val="00EA4DD8"/>
    <w:rsid w:val="00EB2AEF"/>
    <w:rsid w:val="00EB4F38"/>
    <w:rsid w:val="00EB5218"/>
    <w:rsid w:val="00EB7E71"/>
    <w:rsid w:val="00EC4937"/>
    <w:rsid w:val="00EE74A5"/>
    <w:rsid w:val="00EF7229"/>
    <w:rsid w:val="00F005DD"/>
    <w:rsid w:val="00F00C82"/>
    <w:rsid w:val="00F033AF"/>
    <w:rsid w:val="00F109D4"/>
    <w:rsid w:val="00F14570"/>
    <w:rsid w:val="00F15EE9"/>
    <w:rsid w:val="00F2102E"/>
    <w:rsid w:val="00F25EBF"/>
    <w:rsid w:val="00F26391"/>
    <w:rsid w:val="00F3111A"/>
    <w:rsid w:val="00F31970"/>
    <w:rsid w:val="00F322F5"/>
    <w:rsid w:val="00F34A16"/>
    <w:rsid w:val="00F47585"/>
    <w:rsid w:val="00F56DC4"/>
    <w:rsid w:val="00F80FFB"/>
    <w:rsid w:val="00F85E6F"/>
    <w:rsid w:val="00FA41A9"/>
    <w:rsid w:val="00FA7560"/>
    <w:rsid w:val="00FB6F84"/>
    <w:rsid w:val="00FC014A"/>
    <w:rsid w:val="00FC2C1D"/>
    <w:rsid w:val="00FD088E"/>
    <w:rsid w:val="00FD0A61"/>
    <w:rsid w:val="00FD0F99"/>
    <w:rsid w:val="00FD497C"/>
    <w:rsid w:val="00FD73C5"/>
    <w:rsid w:val="00FE04E4"/>
    <w:rsid w:val="00FE20F1"/>
    <w:rsid w:val="00FE5E01"/>
    <w:rsid w:val="00FE73F9"/>
    <w:rsid w:val="00FF1057"/>
    <w:rsid w:val="00FF2725"/>
    <w:rsid w:val="00FF3E25"/>
    <w:rsid w:val="00FF4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5DC3D"/>
  <w15:docId w15:val="{649F2DDF-D289-49F4-8EF3-74B09C4F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8463D3"/>
    <w:rPr>
      <w:sz w:val="24"/>
    </w:rPr>
  </w:style>
  <w:style w:type="paragraph" w:styleId="Revision">
    <w:name w:val="Revision"/>
    <w:hidden/>
    <w:uiPriority w:val="99"/>
    <w:semiHidden/>
    <w:rsid w:val="007606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3689">
      <w:bodyDiv w:val="1"/>
      <w:marLeft w:val="0"/>
      <w:marRight w:val="0"/>
      <w:marTop w:val="0"/>
      <w:marBottom w:val="0"/>
      <w:divBdr>
        <w:top w:val="none" w:sz="0" w:space="0" w:color="auto"/>
        <w:left w:val="none" w:sz="0" w:space="0" w:color="auto"/>
        <w:bottom w:val="none" w:sz="0" w:space="0" w:color="auto"/>
        <w:right w:val="none" w:sz="0" w:space="0" w:color="auto"/>
      </w:divBdr>
    </w:div>
    <w:div w:id="113044247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EEA1E882714460A7BFF230FE1963B1"/>
        <w:category>
          <w:name w:val="General"/>
          <w:gallery w:val="placeholder"/>
        </w:category>
        <w:types>
          <w:type w:val="bbPlcHdr"/>
        </w:types>
        <w:behaviors>
          <w:behavior w:val="content"/>
        </w:behaviors>
        <w:guid w:val="{D60CFE3E-4D0D-4EA0-8C1A-AFDFB8D7A98A}"/>
      </w:docPartPr>
      <w:docPartBody>
        <w:p w:rsidR="00E25F6D" w:rsidRDefault="00E25F6D">
          <w:pPr>
            <w:pStyle w:val="91EEA1E882714460A7BFF230FE1963B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6D"/>
    <w:rsid w:val="00204BDE"/>
    <w:rsid w:val="0022170F"/>
    <w:rsid w:val="002350D0"/>
    <w:rsid w:val="002B665E"/>
    <w:rsid w:val="0040578C"/>
    <w:rsid w:val="004276C5"/>
    <w:rsid w:val="00770FD1"/>
    <w:rsid w:val="00CA389A"/>
    <w:rsid w:val="00E25F6D"/>
    <w:rsid w:val="00F32BB7"/>
    <w:rsid w:val="00F97C76"/>
    <w:rsid w:val="00FD5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EEA1E882714460A7BFF230FE1963B1">
    <w:name w:val="91EEA1E882714460A7BFF230FE196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i6880fa62fd2465ea894b48b45824d1c xmlns="9f7bc583-7cbe-45b9-a2bd-8bbb6543b37e">
      <Terms xmlns="http://schemas.microsoft.com/office/infopath/2007/PartnerControls"/>
    </i6880fa62fd2465ea894b48b45824d1c>
    <_dlc_DocId xmlns="0f563589-9cf9-4143-b1eb-fb0534803d38">2021RG-111-22377</_dlc_DocId>
    <_dlc_DocIdUrl xmlns="0f563589-9cf9-4143-b1eb-fb0534803d38">
      <Url>http://tweb/sites/rg/ldp/lmu/_layouts/15/DocIdRedir.aspx?ID=2021RG-111-22377</Url>
      <Description>2021RG-111-22377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2590" ma:contentTypeDescription=" " ma:contentTypeScope="" ma:versionID="ef075fe6a7e627d7b5a585f0e60d25e0">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CB36-3EF8-4B3B-A3C0-8A345C37C80E}">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D543E8A8-9B22-4DCE-BE0F-D0B9DFDF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A2E80-1DC0-450D-9F53-F99855859A57}">
  <ds:schemaRefs>
    <ds:schemaRef ds:uri="http://schemas.microsoft.com/sharepoint/events"/>
  </ds:schemaRefs>
</ds:datastoreItem>
</file>

<file path=customXml/itemProps6.xml><?xml version="1.0" encoding="utf-8"?>
<ds:datastoreItem xmlns:ds="http://schemas.openxmlformats.org/officeDocument/2006/customXml" ds:itemID="{583081F1-71B5-4B2E-B8E2-2D827656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6</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Hoyle, Bart</dc:creator>
  <cp:lastModifiedBy>Boyd, Martyn</cp:lastModifiedBy>
  <cp:revision>3</cp:revision>
  <cp:lastPrinted>2019-02-17T23:23:00Z</cp:lastPrinted>
  <dcterms:created xsi:type="dcterms:W3CDTF">2021-11-25T23:41:00Z</dcterms:created>
  <dcterms:modified xsi:type="dcterms:W3CDTF">2021-11-25T23:43:00Z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d7c3f753-e203-4f4e-914e-6da06650c687</vt:lpwstr>
  </property>
  <property fmtid="{D5CDD505-2E9C-101B-9397-08002B2CF9AE}" pid="6" name="TSYTopic">
    <vt:lpwstr/>
  </property>
</Properties>
</file>