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4A3FC9" w14:textId="77777777" w:rsidR="00715914" w:rsidRPr="005F1388" w:rsidRDefault="00DA186E" w:rsidP="00715914">
      <w:pPr>
        <w:rPr>
          <w:sz w:val="28"/>
        </w:rPr>
      </w:pPr>
      <w:r>
        <w:rPr>
          <w:noProof/>
          <w:lang w:eastAsia="en-AU"/>
        </w:rPr>
        <w:drawing>
          <wp:inline distT="0" distB="0" distL="0" distR="0" wp14:anchorId="67A4C1E6" wp14:editId="36AF9223">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17DB86B" w14:textId="77777777" w:rsidR="00715914" w:rsidRPr="00E500D4" w:rsidRDefault="00715914" w:rsidP="00715914">
      <w:pPr>
        <w:rPr>
          <w:sz w:val="19"/>
        </w:rPr>
      </w:pPr>
    </w:p>
    <w:p w14:paraId="5F18B5C3" w14:textId="2E386270" w:rsidR="00554826" w:rsidRPr="00E500D4" w:rsidRDefault="00E705A4" w:rsidP="00554826">
      <w:pPr>
        <w:pStyle w:val="ShortT"/>
      </w:pPr>
      <w:r w:rsidRPr="00E705A4">
        <w:t>Therapeutic Goods</w:t>
      </w:r>
      <w:r w:rsidR="00554826" w:rsidRPr="00E705A4">
        <w:t xml:space="preserve"> (</w:t>
      </w:r>
      <w:r w:rsidR="009C7CD6">
        <w:t>Medicinal Cannabis</w:t>
      </w:r>
      <w:r w:rsidR="009B6D7B">
        <w:t xml:space="preserve"> Products</w:t>
      </w:r>
      <w:r w:rsidR="00E255EE">
        <w:t>—</w:t>
      </w:r>
      <w:r w:rsidR="004858B2">
        <w:t>Approvals and Authorities</w:t>
      </w:r>
      <w:r w:rsidR="0010272A">
        <w:t>)</w:t>
      </w:r>
      <w:r w:rsidR="003F38F4">
        <w:t xml:space="preserve"> </w:t>
      </w:r>
      <w:r w:rsidR="0010272A">
        <w:t>(</w:t>
      </w:r>
      <w:r w:rsidR="003F38F4">
        <w:t>Information</w:t>
      </w:r>
      <w:r w:rsidR="00860B62">
        <w:t>)</w:t>
      </w:r>
      <w:r w:rsidR="00AF24CE">
        <w:t xml:space="preserve"> </w:t>
      </w:r>
      <w:r w:rsidRPr="00E705A4">
        <w:t>Specification 202</w:t>
      </w:r>
      <w:r w:rsidR="009C7CD6">
        <w:t>1</w:t>
      </w:r>
    </w:p>
    <w:p w14:paraId="5201F253" w14:textId="38DE62FD" w:rsidR="00554826" w:rsidRPr="00DA182D" w:rsidRDefault="00554826" w:rsidP="00554826">
      <w:pPr>
        <w:pStyle w:val="SignCoverPageStart"/>
        <w:spacing w:before="240"/>
        <w:ind w:right="91"/>
        <w:rPr>
          <w:szCs w:val="22"/>
        </w:rPr>
      </w:pPr>
      <w:r w:rsidRPr="00DA182D">
        <w:rPr>
          <w:szCs w:val="22"/>
        </w:rPr>
        <w:t xml:space="preserve">I, </w:t>
      </w:r>
      <w:r w:rsidR="00E705A4" w:rsidRPr="00D80907">
        <w:rPr>
          <w:szCs w:val="22"/>
        </w:rPr>
        <w:t>J</w:t>
      </w:r>
      <w:r w:rsidR="002A4AAD">
        <w:rPr>
          <w:szCs w:val="22"/>
        </w:rPr>
        <w:t>ane Cook</w:t>
      </w:r>
      <w:r w:rsidR="00E705A4" w:rsidRPr="00D80907">
        <w:rPr>
          <w:szCs w:val="22"/>
        </w:rPr>
        <w:t>, as</w:t>
      </w:r>
      <w:r w:rsidR="00E705A4" w:rsidRPr="00E705A4">
        <w:rPr>
          <w:szCs w:val="22"/>
        </w:rPr>
        <w:t xml:space="preserve"> delegate of the Minister for Health</w:t>
      </w:r>
      <w:r w:rsidR="00E00CE0">
        <w:rPr>
          <w:szCs w:val="22"/>
        </w:rPr>
        <w:t xml:space="preserve"> and Aged Care</w:t>
      </w:r>
      <w:r w:rsidR="00E705A4" w:rsidRPr="00E705A4">
        <w:rPr>
          <w:szCs w:val="22"/>
        </w:rPr>
        <w:t>, make the following specification.</w:t>
      </w:r>
    </w:p>
    <w:p w14:paraId="7864A8D5" w14:textId="6B1F39D2" w:rsidR="00CF3A0E" w:rsidRPr="00001A63" w:rsidRDefault="00554826" w:rsidP="00554826">
      <w:pPr>
        <w:keepNext/>
        <w:spacing w:before="300" w:line="240" w:lineRule="atLeast"/>
        <w:ind w:right="397"/>
        <w:jc w:val="both"/>
        <w:rPr>
          <w:szCs w:val="22"/>
        </w:rPr>
      </w:pPr>
      <w:r>
        <w:rPr>
          <w:szCs w:val="22"/>
        </w:rPr>
        <w:t>Dated</w:t>
      </w:r>
      <w:r w:rsidR="00B33BB7">
        <w:rPr>
          <w:szCs w:val="22"/>
        </w:rPr>
        <w:t xml:space="preserve"> </w:t>
      </w:r>
      <w:r w:rsidR="003C66FB">
        <w:rPr>
          <w:szCs w:val="22"/>
        </w:rPr>
        <w:t>19</w:t>
      </w:r>
      <w:r w:rsidR="00CC0D12">
        <w:rPr>
          <w:szCs w:val="22"/>
        </w:rPr>
        <w:t xml:space="preserve"> </w:t>
      </w:r>
      <w:r w:rsidR="00516179">
        <w:rPr>
          <w:szCs w:val="22"/>
        </w:rPr>
        <w:t>November</w:t>
      </w:r>
      <w:r w:rsidR="009C7CD6">
        <w:rPr>
          <w:szCs w:val="22"/>
        </w:rPr>
        <w:t xml:space="preserve"> 2021</w:t>
      </w:r>
    </w:p>
    <w:p w14:paraId="15DC63C6" w14:textId="68AE8AA4" w:rsidR="00554826" w:rsidRPr="00670702" w:rsidRDefault="00950CD7" w:rsidP="00757539">
      <w:pPr>
        <w:keepNext/>
        <w:spacing w:before="1440" w:line="300" w:lineRule="atLeast"/>
        <w:ind w:right="397"/>
        <w:jc w:val="both"/>
        <w:rPr>
          <w:b/>
          <w:szCs w:val="22"/>
        </w:rPr>
      </w:pPr>
      <w:r>
        <w:rPr>
          <w:szCs w:val="22"/>
        </w:rPr>
        <w:t>Dr Jane Cook</w:t>
      </w:r>
    </w:p>
    <w:p w14:paraId="42EC70EE" w14:textId="0B099A83" w:rsidR="00E705A4" w:rsidRDefault="00950CD7" w:rsidP="00E705A4">
      <w:pPr>
        <w:keepNext/>
        <w:tabs>
          <w:tab w:val="left" w:pos="3402"/>
        </w:tabs>
        <w:spacing w:line="300" w:lineRule="atLeast"/>
        <w:ind w:right="397"/>
        <w:rPr>
          <w:szCs w:val="22"/>
        </w:rPr>
      </w:pPr>
      <w:r>
        <w:rPr>
          <w:szCs w:val="22"/>
        </w:rPr>
        <w:t>First Assistant</w:t>
      </w:r>
      <w:r w:rsidRPr="00670702">
        <w:rPr>
          <w:szCs w:val="22"/>
        </w:rPr>
        <w:t xml:space="preserve"> </w:t>
      </w:r>
      <w:r w:rsidR="00E705A4" w:rsidRPr="00670702">
        <w:rPr>
          <w:szCs w:val="22"/>
        </w:rPr>
        <w:t>Secretary</w:t>
      </w:r>
    </w:p>
    <w:p w14:paraId="34064E1D" w14:textId="79798ECD" w:rsidR="00950CD7" w:rsidRPr="00561330" w:rsidRDefault="00950CD7" w:rsidP="00E705A4">
      <w:pPr>
        <w:keepNext/>
        <w:tabs>
          <w:tab w:val="left" w:pos="3402"/>
        </w:tabs>
        <w:spacing w:line="300" w:lineRule="atLeast"/>
        <w:ind w:right="397"/>
        <w:rPr>
          <w:szCs w:val="22"/>
        </w:rPr>
      </w:pPr>
      <w:r>
        <w:rPr>
          <w:szCs w:val="22"/>
        </w:rPr>
        <w:t>Medicines Regulation Division</w:t>
      </w:r>
    </w:p>
    <w:p w14:paraId="03B537AD" w14:textId="77777777" w:rsidR="00E705A4" w:rsidRPr="00561330" w:rsidRDefault="00E705A4" w:rsidP="00E705A4">
      <w:pPr>
        <w:keepNext/>
        <w:tabs>
          <w:tab w:val="left" w:pos="3402"/>
        </w:tabs>
        <w:spacing w:line="300" w:lineRule="atLeast"/>
        <w:ind w:right="397"/>
        <w:rPr>
          <w:b/>
          <w:szCs w:val="22"/>
        </w:rPr>
      </w:pPr>
      <w:r w:rsidRPr="00561330">
        <w:rPr>
          <w:szCs w:val="22"/>
        </w:rPr>
        <w:t>Health Products Regulation Group</w:t>
      </w:r>
    </w:p>
    <w:p w14:paraId="5A2599D3" w14:textId="77777777" w:rsidR="00554826" w:rsidRPr="008E0027" w:rsidRDefault="00E705A4" w:rsidP="00E705A4">
      <w:pPr>
        <w:pStyle w:val="SignCoverPageEnd"/>
        <w:ind w:right="91"/>
        <w:rPr>
          <w:sz w:val="22"/>
        </w:rPr>
      </w:pPr>
      <w:r w:rsidRPr="00561330">
        <w:rPr>
          <w:sz w:val="22"/>
        </w:rPr>
        <w:t>Department of Health</w:t>
      </w:r>
    </w:p>
    <w:p w14:paraId="6F8B1368" w14:textId="77777777" w:rsidR="00554826" w:rsidRDefault="00554826" w:rsidP="00554826"/>
    <w:p w14:paraId="4574823B" w14:textId="77777777" w:rsidR="00554826" w:rsidRPr="00ED79B6" w:rsidRDefault="00554826" w:rsidP="00554826"/>
    <w:p w14:paraId="21B4D83E" w14:textId="77777777" w:rsidR="00F6696E" w:rsidRDefault="00F6696E" w:rsidP="00F6696E"/>
    <w:p w14:paraId="31D88EF4" w14:textId="77777777" w:rsidR="00F6696E" w:rsidRDefault="00F6696E" w:rsidP="00F6696E">
      <w:pPr>
        <w:sectPr w:rsidR="00F6696E" w:rsidSect="00F6696E">
          <w:headerReference w:type="even" r:id="rId9"/>
          <w:headerReference w:type="default" r:id="rId10"/>
          <w:footerReference w:type="even" r:id="rId11"/>
          <w:footerReference w:type="default" r:id="rId12"/>
          <w:footerReference w:type="first" r:id="rId13"/>
          <w:type w:val="continuous"/>
          <w:pgSz w:w="11907" w:h="16839" w:code="9"/>
          <w:pgMar w:top="2234" w:right="1797" w:bottom="1440" w:left="1797" w:header="720" w:footer="989" w:gutter="0"/>
          <w:pgNumType w:start="1"/>
          <w:cols w:space="708"/>
          <w:titlePg/>
          <w:docGrid w:linePitch="360"/>
        </w:sectPr>
      </w:pPr>
    </w:p>
    <w:p w14:paraId="5BF0E49B" w14:textId="77777777" w:rsidR="007500C8" w:rsidRDefault="00715914" w:rsidP="00715914">
      <w:pPr>
        <w:outlineLvl w:val="0"/>
        <w:rPr>
          <w:sz w:val="36"/>
        </w:rPr>
      </w:pPr>
      <w:r w:rsidRPr="007A1328">
        <w:rPr>
          <w:sz w:val="36"/>
        </w:rPr>
        <w:lastRenderedPageBreak/>
        <w:t>Contents</w:t>
      </w:r>
    </w:p>
    <w:p w14:paraId="01A67354" w14:textId="37B143B3" w:rsidR="002A4AAD" w:rsidRDefault="00B418CB">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sidR="002A4AAD">
        <w:rPr>
          <w:noProof/>
        </w:rPr>
        <w:t>1  Name</w:t>
      </w:r>
      <w:r w:rsidR="002A4AAD">
        <w:rPr>
          <w:noProof/>
        </w:rPr>
        <w:tab/>
      </w:r>
      <w:r w:rsidR="002A4AAD">
        <w:rPr>
          <w:noProof/>
        </w:rPr>
        <w:fldChar w:fldCharType="begin"/>
      </w:r>
      <w:r w:rsidR="002A4AAD">
        <w:rPr>
          <w:noProof/>
        </w:rPr>
        <w:instrText xml:space="preserve"> PAGEREF _Toc88219969 \h </w:instrText>
      </w:r>
      <w:r w:rsidR="002A4AAD">
        <w:rPr>
          <w:noProof/>
        </w:rPr>
      </w:r>
      <w:r w:rsidR="002A4AAD">
        <w:rPr>
          <w:noProof/>
        </w:rPr>
        <w:fldChar w:fldCharType="separate"/>
      </w:r>
      <w:r w:rsidR="002A4AAD">
        <w:rPr>
          <w:noProof/>
        </w:rPr>
        <w:t>1</w:t>
      </w:r>
      <w:r w:rsidR="002A4AAD">
        <w:rPr>
          <w:noProof/>
        </w:rPr>
        <w:fldChar w:fldCharType="end"/>
      </w:r>
    </w:p>
    <w:p w14:paraId="69A302E7" w14:textId="35E8020F" w:rsidR="002A4AAD" w:rsidRDefault="002A4AAD">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_Toc88219970 \h </w:instrText>
      </w:r>
      <w:r>
        <w:rPr>
          <w:noProof/>
        </w:rPr>
      </w:r>
      <w:r>
        <w:rPr>
          <w:noProof/>
        </w:rPr>
        <w:fldChar w:fldCharType="separate"/>
      </w:r>
      <w:r>
        <w:rPr>
          <w:noProof/>
        </w:rPr>
        <w:t>1</w:t>
      </w:r>
      <w:r>
        <w:rPr>
          <w:noProof/>
        </w:rPr>
        <w:fldChar w:fldCharType="end"/>
      </w:r>
    </w:p>
    <w:p w14:paraId="2DB34A43" w14:textId="055DC02C" w:rsidR="002A4AAD" w:rsidRDefault="002A4AAD">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_Toc88219971 \h </w:instrText>
      </w:r>
      <w:r>
        <w:rPr>
          <w:noProof/>
        </w:rPr>
      </w:r>
      <w:r>
        <w:rPr>
          <w:noProof/>
        </w:rPr>
        <w:fldChar w:fldCharType="separate"/>
      </w:r>
      <w:r>
        <w:rPr>
          <w:noProof/>
        </w:rPr>
        <w:t>1</w:t>
      </w:r>
      <w:r>
        <w:rPr>
          <w:noProof/>
        </w:rPr>
        <w:fldChar w:fldCharType="end"/>
      </w:r>
    </w:p>
    <w:p w14:paraId="5234B252" w14:textId="55A1227B" w:rsidR="002A4AAD" w:rsidRDefault="002A4AAD">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_Toc88219972 \h </w:instrText>
      </w:r>
      <w:r>
        <w:rPr>
          <w:noProof/>
        </w:rPr>
      </w:r>
      <w:r>
        <w:rPr>
          <w:noProof/>
        </w:rPr>
        <w:fldChar w:fldCharType="separate"/>
      </w:r>
      <w:r>
        <w:rPr>
          <w:noProof/>
        </w:rPr>
        <w:t>1</w:t>
      </w:r>
      <w:r>
        <w:rPr>
          <w:noProof/>
        </w:rPr>
        <w:fldChar w:fldCharType="end"/>
      </w:r>
    </w:p>
    <w:p w14:paraId="4AA9E6A7" w14:textId="52D6C239" w:rsidR="002A4AAD" w:rsidRDefault="002A4AAD">
      <w:pPr>
        <w:pStyle w:val="TOC5"/>
        <w:rPr>
          <w:rFonts w:asciiTheme="minorHAnsi" w:eastAsiaTheme="minorEastAsia" w:hAnsiTheme="minorHAnsi" w:cstheme="minorBidi"/>
          <w:noProof/>
          <w:kern w:val="0"/>
          <w:sz w:val="22"/>
          <w:szCs w:val="22"/>
        </w:rPr>
      </w:pPr>
      <w:r>
        <w:rPr>
          <w:noProof/>
        </w:rPr>
        <w:t>5  Release of therapeutic goods information</w:t>
      </w:r>
      <w:r>
        <w:rPr>
          <w:noProof/>
        </w:rPr>
        <w:tab/>
      </w:r>
      <w:r>
        <w:rPr>
          <w:noProof/>
        </w:rPr>
        <w:fldChar w:fldCharType="begin"/>
      </w:r>
      <w:r>
        <w:rPr>
          <w:noProof/>
        </w:rPr>
        <w:instrText xml:space="preserve"> PAGEREF _Toc88219973 \h </w:instrText>
      </w:r>
      <w:r>
        <w:rPr>
          <w:noProof/>
        </w:rPr>
      </w:r>
      <w:r>
        <w:rPr>
          <w:noProof/>
        </w:rPr>
        <w:fldChar w:fldCharType="separate"/>
      </w:r>
      <w:r>
        <w:rPr>
          <w:noProof/>
        </w:rPr>
        <w:t>3</w:t>
      </w:r>
      <w:r>
        <w:rPr>
          <w:noProof/>
        </w:rPr>
        <w:fldChar w:fldCharType="end"/>
      </w:r>
    </w:p>
    <w:p w14:paraId="73027FF6" w14:textId="790A8C5E" w:rsidR="002A4AAD" w:rsidRDefault="002A4AAD">
      <w:pPr>
        <w:pStyle w:val="TOC6"/>
        <w:rPr>
          <w:rFonts w:asciiTheme="minorHAnsi" w:eastAsiaTheme="minorEastAsia" w:hAnsiTheme="minorHAnsi" w:cstheme="minorBidi"/>
          <w:b w:val="0"/>
          <w:noProof/>
          <w:kern w:val="0"/>
          <w:sz w:val="22"/>
          <w:szCs w:val="22"/>
        </w:rPr>
      </w:pPr>
      <w:r>
        <w:rPr>
          <w:noProof/>
        </w:rPr>
        <w:t>Schedule 1—Specified kinds of therapeutic goods information</w:t>
      </w:r>
      <w:r>
        <w:rPr>
          <w:noProof/>
        </w:rPr>
        <w:tab/>
      </w:r>
      <w:r>
        <w:rPr>
          <w:noProof/>
        </w:rPr>
        <w:fldChar w:fldCharType="begin"/>
      </w:r>
      <w:r>
        <w:rPr>
          <w:noProof/>
        </w:rPr>
        <w:instrText xml:space="preserve"> PAGEREF _Toc88219974 \h </w:instrText>
      </w:r>
      <w:r>
        <w:rPr>
          <w:noProof/>
        </w:rPr>
      </w:r>
      <w:r>
        <w:rPr>
          <w:noProof/>
        </w:rPr>
        <w:fldChar w:fldCharType="separate"/>
      </w:r>
      <w:r>
        <w:rPr>
          <w:noProof/>
        </w:rPr>
        <w:t>4</w:t>
      </w:r>
      <w:r>
        <w:rPr>
          <w:noProof/>
        </w:rPr>
        <w:fldChar w:fldCharType="end"/>
      </w:r>
    </w:p>
    <w:p w14:paraId="2193E51A" w14:textId="77777777" w:rsidR="00F6696E" w:rsidRDefault="00B418CB" w:rsidP="00F6696E">
      <w:pPr>
        <w:outlineLvl w:val="0"/>
      </w:pPr>
      <w:r>
        <w:fldChar w:fldCharType="end"/>
      </w:r>
    </w:p>
    <w:p w14:paraId="41C8ECFD" w14:textId="77777777" w:rsidR="00F6696E" w:rsidRPr="00A802BC" w:rsidRDefault="00F6696E" w:rsidP="00F6696E">
      <w:pPr>
        <w:outlineLvl w:val="0"/>
        <w:rPr>
          <w:sz w:val="20"/>
        </w:rPr>
      </w:pPr>
    </w:p>
    <w:p w14:paraId="543877E1" w14:textId="77777777" w:rsidR="00F6696E" w:rsidRDefault="00F6696E" w:rsidP="00F6696E">
      <w:pPr>
        <w:sectPr w:rsidR="00F6696E" w:rsidSect="007A4B7E">
          <w:headerReference w:type="even" r:id="rId14"/>
          <w:headerReference w:type="default" r:id="rId15"/>
          <w:footerReference w:type="even" r:id="rId16"/>
          <w:footerReference w:type="default" r:id="rId17"/>
          <w:headerReference w:type="first" r:id="rId18"/>
          <w:pgSz w:w="11907" w:h="16839"/>
          <w:pgMar w:top="2099" w:right="1797" w:bottom="1440" w:left="1797" w:header="720" w:footer="709" w:gutter="0"/>
          <w:pgNumType w:fmt="lowerRoman" w:start="1"/>
          <w:cols w:space="708"/>
          <w:docGrid w:linePitch="360"/>
        </w:sectPr>
      </w:pPr>
    </w:p>
    <w:p w14:paraId="155BE801" w14:textId="77777777" w:rsidR="00554826" w:rsidRPr="00554826" w:rsidRDefault="00554826" w:rsidP="00554826">
      <w:pPr>
        <w:pStyle w:val="ActHead5"/>
      </w:pPr>
      <w:bookmarkStart w:id="0" w:name="_Toc88219969"/>
      <w:proofErr w:type="gramStart"/>
      <w:r w:rsidRPr="00554826">
        <w:lastRenderedPageBreak/>
        <w:t>1  Name</w:t>
      </w:r>
      <w:bookmarkEnd w:id="0"/>
      <w:proofErr w:type="gramEnd"/>
    </w:p>
    <w:p w14:paraId="01E02C1C" w14:textId="67C25EB4" w:rsidR="00554826" w:rsidRDefault="00554826" w:rsidP="00554826">
      <w:pPr>
        <w:pStyle w:val="subsection"/>
      </w:pPr>
      <w:r w:rsidRPr="009C2562">
        <w:tab/>
      </w:r>
      <w:r w:rsidRPr="009C2562">
        <w:tab/>
        <w:t xml:space="preserve">This </w:t>
      </w:r>
      <w:r>
        <w:t xml:space="preserve">instrument </w:t>
      </w:r>
      <w:r w:rsidRPr="009C2562">
        <w:t xml:space="preserve">is the </w:t>
      </w:r>
      <w:bookmarkStart w:id="1" w:name="BKCheck15B_3"/>
      <w:bookmarkEnd w:id="1"/>
      <w:r w:rsidR="00CD530D" w:rsidRPr="003C66FB">
        <w:rPr>
          <w:i/>
        </w:rPr>
        <w:t>Therapeutic Goods (</w:t>
      </w:r>
      <w:r w:rsidR="009C7CD6" w:rsidRPr="003C66FB">
        <w:rPr>
          <w:i/>
        </w:rPr>
        <w:t>Medicinal Cannabis</w:t>
      </w:r>
      <w:r w:rsidR="00614138" w:rsidRPr="003C66FB">
        <w:rPr>
          <w:i/>
        </w:rPr>
        <w:t xml:space="preserve"> Products</w:t>
      </w:r>
      <w:r w:rsidR="004858B2" w:rsidRPr="003C66FB">
        <w:rPr>
          <w:i/>
        </w:rPr>
        <w:t>—Approvals and Authorities</w:t>
      </w:r>
      <w:r w:rsidR="0010272A" w:rsidRPr="003C66FB">
        <w:rPr>
          <w:i/>
        </w:rPr>
        <w:t>)</w:t>
      </w:r>
      <w:r w:rsidR="003F38F4" w:rsidRPr="003C66FB">
        <w:rPr>
          <w:i/>
        </w:rPr>
        <w:t xml:space="preserve"> </w:t>
      </w:r>
      <w:r w:rsidR="0010272A" w:rsidRPr="003C66FB">
        <w:rPr>
          <w:i/>
        </w:rPr>
        <w:t>(</w:t>
      </w:r>
      <w:r w:rsidR="003F38F4" w:rsidRPr="003C66FB">
        <w:rPr>
          <w:i/>
        </w:rPr>
        <w:t>Information</w:t>
      </w:r>
      <w:r w:rsidR="00CD530D" w:rsidRPr="003C66FB">
        <w:rPr>
          <w:i/>
        </w:rPr>
        <w:t>) Specification 202</w:t>
      </w:r>
      <w:r w:rsidR="009C7CD6" w:rsidRPr="003C66FB">
        <w:rPr>
          <w:i/>
        </w:rPr>
        <w:t>1</w:t>
      </w:r>
      <w:r w:rsidRPr="009C2562">
        <w:t>.</w:t>
      </w:r>
    </w:p>
    <w:p w14:paraId="1008D510" w14:textId="77777777" w:rsidR="00554826" w:rsidRPr="00554826" w:rsidRDefault="00554826" w:rsidP="00554826">
      <w:pPr>
        <w:pStyle w:val="ActHead5"/>
      </w:pPr>
      <w:bookmarkStart w:id="2" w:name="_Toc88219970"/>
      <w:proofErr w:type="gramStart"/>
      <w:r w:rsidRPr="00554826">
        <w:t>2  Commencement</w:t>
      </w:r>
      <w:bookmarkEnd w:id="2"/>
      <w:proofErr w:type="gramEnd"/>
    </w:p>
    <w:p w14:paraId="3DE284B5" w14:textId="77777777" w:rsidR="003767E2" w:rsidRPr="003422B4" w:rsidRDefault="003767E2" w:rsidP="003767E2">
      <w:pPr>
        <w:pStyle w:val="subsection"/>
      </w:pPr>
      <w:r w:rsidRPr="003422B4">
        <w:tab/>
        <w:t>(1)</w:t>
      </w:r>
      <w:r w:rsidRPr="003422B4">
        <w:tab/>
        <w:t>Each provision of this instrument specified in column 1 of the table commences, or is taken to have commenced, in accordance with column 2 of the table. Any other statement in column 2 has effect according to its terms.</w:t>
      </w:r>
    </w:p>
    <w:p w14:paraId="3609DF95" w14:textId="77777777" w:rsidR="003767E2" w:rsidRPr="003422B4" w:rsidRDefault="003767E2" w:rsidP="003767E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3767E2" w:rsidRPr="003422B4" w14:paraId="4701F7AA" w14:textId="77777777" w:rsidTr="007A4B7E">
        <w:trPr>
          <w:tblHeader/>
        </w:trPr>
        <w:tc>
          <w:tcPr>
            <w:tcW w:w="8364" w:type="dxa"/>
            <w:gridSpan w:val="3"/>
            <w:tcBorders>
              <w:top w:val="single" w:sz="12" w:space="0" w:color="auto"/>
              <w:bottom w:val="single" w:sz="6" w:space="0" w:color="auto"/>
            </w:tcBorders>
            <w:shd w:val="clear" w:color="auto" w:fill="auto"/>
            <w:hideMark/>
          </w:tcPr>
          <w:p w14:paraId="33D32A13" w14:textId="77777777" w:rsidR="003767E2" w:rsidRPr="003422B4" w:rsidRDefault="003767E2" w:rsidP="007A4B7E">
            <w:pPr>
              <w:pStyle w:val="TableHeading"/>
            </w:pPr>
            <w:r w:rsidRPr="003422B4">
              <w:t>Commencement information</w:t>
            </w:r>
          </w:p>
        </w:tc>
      </w:tr>
      <w:tr w:rsidR="003767E2" w:rsidRPr="003422B4" w14:paraId="2BA65F35" w14:textId="77777777" w:rsidTr="007A4B7E">
        <w:trPr>
          <w:tblHeader/>
        </w:trPr>
        <w:tc>
          <w:tcPr>
            <w:tcW w:w="2127" w:type="dxa"/>
            <w:tcBorders>
              <w:top w:val="single" w:sz="6" w:space="0" w:color="auto"/>
              <w:bottom w:val="single" w:sz="6" w:space="0" w:color="auto"/>
            </w:tcBorders>
            <w:shd w:val="clear" w:color="auto" w:fill="auto"/>
            <w:hideMark/>
          </w:tcPr>
          <w:p w14:paraId="318709A7" w14:textId="77777777" w:rsidR="003767E2" w:rsidRPr="003422B4" w:rsidRDefault="003767E2" w:rsidP="007A4B7E">
            <w:pPr>
              <w:pStyle w:val="TableHeading"/>
            </w:pPr>
            <w:r w:rsidRPr="003422B4">
              <w:t>Column 1</w:t>
            </w:r>
          </w:p>
        </w:tc>
        <w:tc>
          <w:tcPr>
            <w:tcW w:w="4394" w:type="dxa"/>
            <w:tcBorders>
              <w:top w:val="single" w:sz="6" w:space="0" w:color="auto"/>
              <w:bottom w:val="single" w:sz="6" w:space="0" w:color="auto"/>
            </w:tcBorders>
            <w:shd w:val="clear" w:color="auto" w:fill="auto"/>
            <w:hideMark/>
          </w:tcPr>
          <w:p w14:paraId="248A1DCB" w14:textId="77777777" w:rsidR="003767E2" w:rsidRPr="003422B4" w:rsidRDefault="003767E2" w:rsidP="007A4B7E">
            <w:pPr>
              <w:pStyle w:val="TableHeading"/>
            </w:pPr>
            <w:r w:rsidRPr="003422B4">
              <w:t>Column 2</w:t>
            </w:r>
          </w:p>
        </w:tc>
        <w:tc>
          <w:tcPr>
            <w:tcW w:w="1843" w:type="dxa"/>
            <w:tcBorders>
              <w:top w:val="single" w:sz="6" w:space="0" w:color="auto"/>
              <w:bottom w:val="single" w:sz="6" w:space="0" w:color="auto"/>
            </w:tcBorders>
            <w:shd w:val="clear" w:color="auto" w:fill="auto"/>
            <w:hideMark/>
          </w:tcPr>
          <w:p w14:paraId="61A5AB38" w14:textId="77777777" w:rsidR="003767E2" w:rsidRPr="003422B4" w:rsidRDefault="003767E2" w:rsidP="007A4B7E">
            <w:pPr>
              <w:pStyle w:val="TableHeading"/>
            </w:pPr>
            <w:r w:rsidRPr="003422B4">
              <w:t>Column 3</w:t>
            </w:r>
          </w:p>
        </w:tc>
      </w:tr>
      <w:tr w:rsidR="003767E2" w:rsidRPr="003422B4" w14:paraId="0AFB0209" w14:textId="77777777" w:rsidTr="007A4B7E">
        <w:trPr>
          <w:tblHeader/>
        </w:trPr>
        <w:tc>
          <w:tcPr>
            <w:tcW w:w="2127" w:type="dxa"/>
            <w:tcBorders>
              <w:top w:val="single" w:sz="6" w:space="0" w:color="auto"/>
              <w:bottom w:val="single" w:sz="12" w:space="0" w:color="auto"/>
            </w:tcBorders>
            <w:shd w:val="clear" w:color="auto" w:fill="auto"/>
            <w:hideMark/>
          </w:tcPr>
          <w:p w14:paraId="289F4242" w14:textId="77777777" w:rsidR="003767E2" w:rsidRPr="003422B4" w:rsidRDefault="003767E2" w:rsidP="007A4B7E">
            <w:pPr>
              <w:pStyle w:val="TableHeading"/>
            </w:pPr>
            <w:r w:rsidRPr="003422B4">
              <w:t>Provisions</w:t>
            </w:r>
          </w:p>
        </w:tc>
        <w:tc>
          <w:tcPr>
            <w:tcW w:w="4394" w:type="dxa"/>
            <w:tcBorders>
              <w:top w:val="single" w:sz="6" w:space="0" w:color="auto"/>
              <w:bottom w:val="single" w:sz="12" w:space="0" w:color="auto"/>
            </w:tcBorders>
            <w:shd w:val="clear" w:color="auto" w:fill="auto"/>
            <w:hideMark/>
          </w:tcPr>
          <w:p w14:paraId="00BD94D4" w14:textId="77777777" w:rsidR="003767E2" w:rsidRPr="003422B4" w:rsidRDefault="003767E2" w:rsidP="007A4B7E">
            <w:pPr>
              <w:pStyle w:val="TableHeading"/>
            </w:pPr>
            <w:r w:rsidRPr="003422B4">
              <w:t>Commencement</w:t>
            </w:r>
          </w:p>
        </w:tc>
        <w:tc>
          <w:tcPr>
            <w:tcW w:w="1843" w:type="dxa"/>
            <w:tcBorders>
              <w:top w:val="single" w:sz="6" w:space="0" w:color="auto"/>
              <w:bottom w:val="single" w:sz="12" w:space="0" w:color="auto"/>
            </w:tcBorders>
            <w:shd w:val="clear" w:color="auto" w:fill="auto"/>
            <w:hideMark/>
          </w:tcPr>
          <w:p w14:paraId="04033AFF" w14:textId="77777777" w:rsidR="003767E2" w:rsidRPr="003422B4" w:rsidRDefault="003767E2" w:rsidP="007A4B7E">
            <w:pPr>
              <w:pStyle w:val="TableHeading"/>
            </w:pPr>
            <w:r w:rsidRPr="003422B4">
              <w:t>Date/Details</w:t>
            </w:r>
          </w:p>
        </w:tc>
      </w:tr>
      <w:tr w:rsidR="003767E2" w:rsidRPr="003422B4" w14:paraId="4160B45F" w14:textId="77777777" w:rsidTr="007A4B7E">
        <w:tc>
          <w:tcPr>
            <w:tcW w:w="2127" w:type="dxa"/>
            <w:tcBorders>
              <w:top w:val="single" w:sz="12" w:space="0" w:color="auto"/>
              <w:bottom w:val="single" w:sz="12" w:space="0" w:color="auto"/>
            </w:tcBorders>
            <w:shd w:val="clear" w:color="auto" w:fill="auto"/>
            <w:hideMark/>
          </w:tcPr>
          <w:p w14:paraId="5A89D77C" w14:textId="77777777" w:rsidR="003767E2" w:rsidRPr="003A6229" w:rsidRDefault="003767E2" w:rsidP="007A4B7E">
            <w:pPr>
              <w:pStyle w:val="Tabletext"/>
              <w:rPr>
                <w:i/>
              </w:rPr>
            </w:pPr>
            <w:r w:rsidRPr="003422B4">
              <w:t xml:space="preserve">1.  </w:t>
            </w:r>
            <w:r w:rsidR="00CD530D" w:rsidRPr="00561330">
              <w:t>The whole of this instrument</w:t>
            </w:r>
          </w:p>
        </w:tc>
        <w:tc>
          <w:tcPr>
            <w:tcW w:w="4394" w:type="dxa"/>
            <w:tcBorders>
              <w:top w:val="single" w:sz="12" w:space="0" w:color="auto"/>
              <w:bottom w:val="single" w:sz="12" w:space="0" w:color="auto"/>
            </w:tcBorders>
            <w:shd w:val="clear" w:color="auto" w:fill="auto"/>
            <w:hideMark/>
          </w:tcPr>
          <w:p w14:paraId="751CA42A" w14:textId="77777777" w:rsidR="003767E2" w:rsidRPr="00B95B72" w:rsidRDefault="009C7CD6" w:rsidP="007A4B7E">
            <w:pPr>
              <w:pStyle w:val="Tabletext"/>
              <w:rPr>
                <w:highlight w:val="yellow"/>
              </w:rPr>
            </w:pPr>
            <w:r>
              <w:t xml:space="preserve">The day after </w:t>
            </w:r>
            <w:r w:rsidR="007A4B7E">
              <w:t xml:space="preserve">this instrument is </w:t>
            </w:r>
            <w:r>
              <w:t>regist</w:t>
            </w:r>
            <w:r w:rsidR="007A4B7E">
              <w:t>ered</w:t>
            </w:r>
            <w:r w:rsidR="00B95B72" w:rsidRPr="00B95B72">
              <w:t>.</w:t>
            </w:r>
          </w:p>
        </w:tc>
        <w:tc>
          <w:tcPr>
            <w:tcW w:w="1843" w:type="dxa"/>
            <w:tcBorders>
              <w:top w:val="single" w:sz="12" w:space="0" w:color="auto"/>
              <w:bottom w:val="single" w:sz="12" w:space="0" w:color="auto"/>
            </w:tcBorders>
            <w:shd w:val="clear" w:color="auto" w:fill="auto"/>
          </w:tcPr>
          <w:p w14:paraId="66D2D5CB" w14:textId="77777777" w:rsidR="003767E2" w:rsidRPr="00B95B72" w:rsidRDefault="003767E2" w:rsidP="007A4B7E">
            <w:pPr>
              <w:pStyle w:val="Tabletext"/>
            </w:pPr>
          </w:p>
        </w:tc>
      </w:tr>
    </w:tbl>
    <w:p w14:paraId="35F4825E" w14:textId="77777777" w:rsidR="003767E2" w:rsidRPr="003422B4" w:rsidRDefault="003767E2" w:rsidP="003767E2">
      <w:pPr>
        <w:pStyle w:val="notetext"/>
      </w:pPr>
      <w:r w:rsidRPr="003422B4">
        <w:rPr>
          <w:snapToGrid w:val="0"/>
          <w:lang w:eastAsia="en-US"/>
        </w:rPr>
        <w:t>Note:</w:t>
      </w:r>
      <w:r w:rsidRPr="003422B4">
        <w:rPr>
          <w:snapToGrid w:val="0"/>
          <w:lang w:eastAsia="en-US"/>
        </w:rPr>
        <w:tab/>
        <w:t>This table relates only to the provisions of this instrument</w:t>
      </w:r>
      <w:r w:rsidRPr="003422B4">
        <w:t xml:space="preserve"> </w:t>
      </w:r>
      <w:r w:rsidRPr="003422B4">
        <w:rPr>
          <w:snapToGrid w:val="0"/>
          <w:lang w:eastAsia="en-US"/>
        </w:rPr>
        <w:t>as originally made. It will not be amended to deal with any later amendments of this instrument.</w:t>
      </w:r>
    </w:p>
    <w:p w14:paraId="003A3289" w14:textId="77777777" w:rsidR="003767E2" w:rsidRPr="003422B4" w:rsidRDefault="003767E2" w:rsidP="003767E2">
      <w:pPr>
        <w:pStyle w:val="subsection"/>
      </w:pPr>
      <w:r w:rsidRPr="003422B4">
        <w:tab/>
        <w:t>(2)</w:t>
      </w:r>
      <w:r w:rsidRPr="003422B4">
        <w:tab/>
        <w:t>Any information in column 3 of the table is not part of this instrument. Information may be inserted in this column, or information in it may be edited, in any published version of this instrument.</w:t>
      </w:r>
    </w:p>
    <w:p w14:paraId="53B151D7" w14:textId="77777777" w:rsidR="00554826" w:rsidRPr="00554826" w:rsidRDefault="00554826" w:rsidP="00554826">
      <w:pPr>
        <w:pStyle w:val="ActHead5"/>
      </w:pPr>
      <w:bookmarkStart w:id="3" w:name="_Toc88219971"/>
      <w:proofErr w:type="gramStart"/>
      <w:r w:rsidRPr="00554826">
        <w:t>3  Authority</w:t>
      </w:r>
      <w:bookmarkEnd w:id="3"/>
      <w:proofErr w:type="gramEnd"/>
    </w:p>
    <w:p w14:paraId="549D750E" w14:textId="77777777" w:rsidR="00554826" w:rsidRPr="009C2562" w:rsidRDefault="00554826" w:rsidP="00554826">
      <w:pPr>
        <w:pStyle w:val="subsection"/>
      </w:pPr>
      <w:r w:rsidRPr="009C2562">
        <w:tab/>
      </w:r>
      <w:r w:rsidRPr="009C2562">
        <w:tab/>
        <w:t xml:space="preserve">This instrument is made under </w:t>
      </w:r>
      <w:r w:rsidR="00CD530D" w:rsidRPr="00CD530D">
        <w:t>subsection 61(5D)</w:t>
      </w:r>
      <w:r w:rsidR="00CD530D">
        <w:t xml:space="preserve"> </w:t>
      </w:r>
      <w:r w:rsidR="00CD530D" w:rsidRPr="00CD530D">
        <w:t xml:space="preserve">of the </w:t>
      </w:r>
      <w:r w:rsidR="00CD530D" w:rsidRPr="00CD530D">
        <w:rPr>
          <w:i/>
        </w:rPr>
        <w:t>Therapeutic Goods Act 1989</w:t>
      </w:r>
      <w:r w:rsidRPr="009C2562">
        <w:t>.</w:t>
      </w:r>
    </w:p>
    <w:p w14:paraId="37A07B0B" w14:textId="77777777" w:rsidR="00554826" w:rsidRPr="00554826" w:rsidRDefault="00554826" w:rsidP="00554826">
      <w:pPr>
        <w:pStyle w:val="ActHead5"/>
      </w:pPr>
      <w:bookmarkStart w:id="4" w:name="_Toc88219972"/>
      <w:proofErr w:type="gramStart"/>
      <w:r w:rsidRPr="00554826">
        <w:t>4  Definitions</w:t>
      </w:r>
      <w:bookmarkEnd w:id="4"/>
      <w:proofErr w:type="gramEnd"/>
    </w:p>
    <w:p w14:paraId="229D307C" w14:textId="77777777" w:rsidR="00554826" w:rsidRPr="001B7DB9" w:rsidRDefault="00554826" w:rsidP="00554826">
      <w:pPr>
        <w:pStyle w:val="notetext"/>
      </w:pPr>
      <w:r w:rsidRPr="009C2562">
        <w:t>Note:</w:t>
      </w:r>
      <w:r w:rsidRPr="009C2562">
        <w:tab/>
      </w:r>
      <w:proofErr w:type="gramStart"/>
      <w:r w:rsidRPr="0053777A">
        <w:t>A number of</w:t>
      </w:r>
      <w:proofErr w:type="gramEnd"/>
      <w:r w:rsidRPr="0053777A">
        <w:t xml:space="preserve"> expressions used in this instrument are defined in </w:t>
      </w:r>
      <w:r w:rsidR="00CD530D" w:rsidRPr="0053777A">
        <w:t xml:space="preserve">subsection 3(1) </w:t>
      </w:r>
      <w:r w:rsidRPr="0053777A">
        <w:t>of the Act</w:t>
      </w:r>
      <w:r w:rsidRPr="001B7DB9">
        <w:t>, including the following:</w:t>
      </w:r>
    </w:p>
    <w:p w14:paraId="08122788" w14:textId="19493CB9" w:rsidR="00554826" w:rsidRDefault="00CD530D" w:rsidP="00F41AEB">
      <w:pPr>
        <w:pStyle w:val="notepara"/>
      </w:pPr>
      <w:r w:rsidRPr="0053777A">
        <w:t>(</w:t>
      </w:r>
      <w:r w:rsidR="00EE7909">
        <w:t>a</w:t>
      </w:r>
      <w:r w:rsidRPr="0053777A">
        <w:t>)</w:t>
      </w:r>
      <w:r w:rsidRPr="0053777A">
        <w:tab/>
        <w:t>Secretary</w:t>
      </w:r>
      <w:r w:rsidR="00F41AEB">
        <w:t>.</w:t>
      </w:r>
    </w:p>
    <w:p w14:paraId="3B833910" w14:textId="77777777" w:rsidR="00554826" w:rsidRPr="009C2562" w:rsidRDefault="00554826" w:rsidP="00554826">
      <w:pPr>
        <w:pStyle w:val="subsection"/>
      </w:pPr>
      <w:r w:rsidRPr="009C2562">
        <w:tab/>
      </w:r>
      <w:r w:rsidRPr="009C2562">
        <w:tab/>
        <w:t>In this instrument:</w:t>
      </w:r>
    </w:p>
    <w:p w14:paraId="3430FE8B" w14:textId="77777777" w:rsidR="00554826" w:rsidRDefault="00554826" w:rsidP="00554826">
      <w:pPr>
        <w:pStyle w:val="Definition"/>
        <w:rPr>
          <w:i/>
        </w:rPr>
      </w:pPr>
      <w:r w:rsidRPr="009C2562">
        <w:rPr>
          <w:b/>
          <w:i/>
        </w:rPr>
        <w:t>Act</w:t>
      </w:r>
      <w:r w:rsidRPr="009C2562">
        <w:t xml:space="preserve"> means the </w:t>
      </w:r>
      <w:r w:rsidR="00CD530D" w:rsidRPr="00CD530D">
        <w:rPr>
          <w:i/>
        </w:rPr>
        <w:t>Therapeutic Goods Act 1989</w:t>
      </w:r>
      <w:r w:rsidR="00CD530D">
        <w:rPr>
          <w:i/>
        </w:rPr>
        <w:t>.</w:t>
      </w:r>
    </w:p>
    <w:p w14:paraId="56A1EB45" w14:textId="77777777" w:rsidR="007920BB" w:rsidRPr="007920BB" w:rsidRDefault="007920BB" w:rsidP="00554826">
      <w:pPr>
        <w:pStyle w:val="Definition"/>
      </w:pPr>
      <w:r>
        <w:rPr>
          <w:b/>
          <w:i/>
        </w:rPr>
        <w:t>active ingredient</w:t>
      </w:r>
      <w:r>
        <w:t xml:space="preserve"> has the same meaning as in the Regulations.</w:t>
      </w:r>
    </w:p>
    <w:p w14:paraId="1CCB8891" w14:textId="0AFED1AA" w:rsidR="00E00CE0" w:rsidRDefault="00C52B1B" w:rsidP="00CD530D">
      <w:pPr>
        <w:pStyle w:val="Definition"/>
      </w:pPr>
      <w:r>
        <w:rPr>
          <w:b/>
          <w:i/>
        </w:rPr>
        <w:t>a</w:t>
      </w:r>
      <w:r w:rsidR="00B3239F">
        <w:rPr>
          <w:b/>
          <w:i/>
        </w:rPr>
        <w:t xml:space="preserve">uthorised prescriber </w:t>
      </w:r>
      <w:r w:rsidR="008D05AB">
        <w:rPr>
          <w:b/>
          <w:i/>
        </w:rPr>
        <w:t>authority</w:t>
      </w:r>
      <w:r w:rsidR="008D05AB">
        <w:t xml:space="preserve"> </w:t>
      </w:r>
      <w:r w:rsidR="00B3239F">
        <w:t xml:space="preserve">means an </w:t>
      </w:r>
      <w:r w:rsidR="00110CA1">
        <w:t xml:space="preserve">authority </w:t>
      </w:r>
      <w:r w:rsidR="00B3239F">
        <w:t>under subsection 19(5) of the Act</w:t>
      </w:r>
      <w:r w:rsidR="00E00CE0">
        <w:t>.</w:t>
      </w:r>
    </w:p>
    <w:p w14:paraId="4742D5A0" w14:textId="77777777" w:rsidR="00B3239F" w:rsidRPr="00C52B1B" w:rsidRDefault="00E00CE0" w:rsidP="00F41AEB">
      <w:pPr>
        <w:pStyle w:val="notetext"/>
      </w:pPr>
      <w:r>
        <w:t>Note:</w:t>
      </w:r>
      <w:r>
        <w:tab/>
        <w:t xml:space="preserve">Subsection 19(5) of the Act </w:t>
      </w:r>
      <w:r w:rsidR="00204488">
        <w:t>provides that</w:t>
      </w:r>
      <w:r>
        <w:t xml:space="preserve"> the Secretary </w:t>
      </w:r>
      <w:r w:rsidR="00204488">
        <w:t>may</w:t>
      </w:r>
      <w:r w:rsidR="00091186">
        <w:t xml:space="preserve"> authorise </w:t>
      </w:r>
      <w:r w:rsidR="00110CA1">
        <w:t>a medical practitioner to supply specified therapeutic goods</w:t>
      </w:r>
      <w:r w:rsidR="00091186">
        <w:t xml:space="preserve"> for use in the treatment of humans</w:t>
      </w:r>
      <w:r w:rsidR="00110CA1">
        <w:t xml:space="preserve">, or a specified class of such goods, to </w:t>
      </w:r>
      <w:r w:rsidR="00091186">
        <w:t xml:space="preserve">a </w:t>
      </w:r>
      <w:r w:rsidR="00110CA1">
        <w:t xml:space="preserve">class </w:t>
      </w:r>
      <w:r w:rsidR="00091186">
        <w:t xml:space="preserve">or classes </w:t>
      </w:r>
      <w:r w:rsidR="00110CA1">
        <w:t>of recipients specified in the authority.</w:t>
      </w:r>
    </w:p>
    <w:p w14:paraId="6B53A07E" w14:textId="470A15A2" w:rsidR="003908E4" w:rsidRDefault="003908E4" w:rsidP="003908E4">
      <w:pPr>
        <w:pStyle w:val="Definition"/>
      </w:pPr>
      <w:r>
        <w:rPr>
          <w:b/>
          <w:i/>
        </w:rPr>
        <w:t>category 1</w:t>
      </w:r>
      <w:r>
        <w:t xml:space="preserve"> </w:t>
      </w:r>
      <w:r w:rsidR="009B2125">
        <w:t xml:space="preserve">means the category of medicinal cannabis product that is a </w:t>
      </w:r>
      <w:r>
        <w:t>cannabidiol medicinal cannabis product where:</w:t>
      </w:r>
    </w:p>
    <w:p w14:paraId="0240EA4D" w14:textId="356AF105" w:rsidR="003908E4" w:rsidRDefault="003908E4" w:rsidP="001613FE">
      <w:pPr>
        <w:pStyle w:val="paragraph"/>
      </w:pPr>
      <w:r>
        <w:lastRenderedPageBreak/>
        <w:tab/>
        <w:t>(a)</w:t>
      </w:r>
      <w:r>
        <w:tab/>
        <w:t>cannabidiol comprises 98% or more of the total cannabinoid content of the medicine; and</w:t>
      </w:r>
    </w:p>
    <w:p w14:paraId="0F694E70" w14:textId="6EA81E0A" w:rsidR="003908E4" w:rsidRDefault="003908E4" w:rsidP="001613FE">
      <w:pPr>
        <w:pStyle w:val="paragraph"/>
      </w:pPr>
      <w:r>
        <w:tab/>
        <w:t>(b)</w:t>
      </w:r>
      <w:r>
        <w:tab/>
        <w:t xml:space="preserve">any cannabinoids, other than cannabidiol, in the </w:t>
      </w:r>
      <w:r w:rsidR="00AF0CEB">
        <w:t>medicine</w:t>
      </w:r>
      <w:r>
        <w:t xml:space="preserve"> are only those naturally found in cannabis and comprise 2% or less of the total cannabinoid content of the medicine; and</w:t>
      </w:r>
    </w:p>
    <w:p w14:paraId="389B87B6" w14:textId="438043BF" w:rsidR="003908E4" w:rsidRDefault="003908E4" w:rsidP="001613FE">
      <w:pPr>
        <w:pStyle w:val="paragraph"/>
      </w:pPr>
      <w:r>
        <w:tab/>
        <w:t>(c)</w:t>
      </w:r>
      <w:r>
        <w:tab/>
        <w:t>the medicine contains no other active ingredients.</w:t>
      </w:r>
    </w:p>
    <w:p w14:paraId="12846426" w14:textId="384FF8A2" w:rsidR="003908E4" w:rsidRDefault="003908E4" w:rsidP="003908E4">
      <w:pPr>
        <w:pStyle w:val="Definition"/>
      </w:pPr>
      <w:r>
        <w:rPr>
          <w:b/>
          <w:i/>
        </w:rPr>
        <w:t>category 2</w:t>
      </w:r>
      <w:r>
        <w:t xml:space="preserve"> </w:t>
      </w:r>
      <w:r w:rsidR="009B2125">
        <w:t xml:space="preserve">means the category of medicinal cannabis product that is a </w:t>
      </w:r>
      <w:r>
        <w:t>cannabidiol-dominant medicinal cannabis product where:</w:t>
      </w:r>
    </w:p>
    <w:p w14:paraId="7C02C604" w14:textId="7161BB4C" w:rsidR="003908E4" w:rsidRDefault="003908E4" w:rsidP="001613FE">
      <w:pPr>
        <w:pStyle w:val="paragraph"/>
      </w:pPr>
      <w:r>
        <w:tab/>
        <w:t>(a)</w:t>
      </w:r>
      <w:r>
        <w:tab/>
        <w:t xml:space="preserve">cannabidiol derived from cannabis comprises 60% or more and less than 98% of the total cannabinoid content of the </w:t>
      </w:r>
      <w:r w:rsidR="007261BD">
        <w:t>medicine</w:t>
      </w:r>
      <w:r>
        <w:t>; and</w:t>
      </w:r>
    </w:p>
    <w:p w14:paraId="11737AD9" w14:textId="2CC221CD" w:rsidR="003908E4" w:rsidRDefault="003908E4" w:rsidP="001613FE">
      <w:pPr>
        <w:pStyle w:val="paragraph"/>
      </w:pPr>
      <w:r>
        <w:tab/>
        <w:t>(b)</w:t>
      </w:r>
      <w:r>
        <w:tab/>
        <w:t>other cannabinoids (including tetrahydrocannabinol) derived from cannabis comprise the remaining cannabinoid content of the medicine; and</w:t>
      </w:r>
    </w:p>
    <w:p w14:paraId="41B234C6" w14:textId="72D9B885" w:rsidR="003908E4" w:rsidRDefault="003908E4" w:rsidP="001613FE">
      <w:pPr>
        <w:pStyle w:val="paragraph"/>
      </w:pPr>
      <w:r>
        <w:tab/>
        <w:t>(c)</w:t>
      </w:r>
      <w:r>
        <w:tab/>
        <w:t>the medicine contains no other active ingredients</w:t>
      </w:r>
      <w:r w:rsidR="008224E7">
        <w:t>.</w:t>
      </w:r>
    </w:p>
    <w:p w14:paraId="087F4608" w14:textId="59F29D0A" w:rsidR="008224E7" w:rsidRDefault="003908E4" w:rsidP="008224E7">
      <w:pPr>
        <w:pStyle w:val="Definition"/>
      </w:pPr>
      <w:r>
        <w:rPr>
          <w:b/>
          <w:i/>
        </w:rPr>
        <w:t>category 3</w:t>
      </w:r>
      <w:r>
        <w:t xml:space="preserve"> </w:t>
      </w:r>
      <w:r w:rsidR="009B2125">
        <w:t xml:space="preserve">means the category of medicinal cannabis product that is </w:t>
      </w:r>
      <w:r w:rsidR="008224E7">
        <w:t>a balanced medicinal cannabis product where:</w:t>
      </w:r>
    </w:p>
    <w:p w14:paraId="15AE658B" w14:textId="4D5B580E" w:rsidR="008224E7" w:rsidRDefault="008224E7" w:rsidP="001613FE">
      <w:pPr>
        <w:pStyle w:val="paragraph"/>
      </w:pPr>
      <w:r>
        <w:tab/>
        <w:t>(a)</w:t>
      </w:r>
      <w:r>
        <w:tab/>
        <w:t>cannabidiol derived from cannabis comprises 40% or more and less than 60% of the total cannabinoid content of the medicine; and</w:t>
      </w:r>
    </w:p>
    <w:p w14:paraId="5E7A47A8" w14:textId="5F2286F6" w:rsidR="008224E7" w:rsidRDefault="008224E7" w:rsidP="001613FE">
      <w:pPr>
        <w:pStyle w:val="paragraph"/>
      </w:pPr>
      <w:r>
        <w:tab/>
        <w:t>(b)</w:t>
      </w:r>
      <w:r>
        <w:tab/>
        <w:t>other cannabinoids (including tetrahydrocannabinol) derived from cannabis comprise the remaining cannabinoid content of the medicine; and</w:t>
      </w:r>
    </w:p>
    <w:p w14:paraId="6C9F59BB" w14:textId="498CFCE4" w:rsidR="003908E4" w:rsidRDefault="008224E7" w:rsidP="001613FE">
      <w:pPr>
        <w:pStyle w:val="paragraph"/>
      </w:pPr>
      <w:r>
        <w:tab/>
        <w:t>(c)</w:t>
      </w:r>
      <w:r>
        <w:tab/>
        <w:t>the medicine contains no other active ingredients.</w:t>
      </w:r>
    </w:p>
    <w:p w14:paraId="7B876859" w14:textId="77777777" w:rsidR="00D31FEC" w:rsidRDefault="003908E4" w:rsidP="00D31FEC">
      <w:pPr>
        <w:pStyle w:val="Definition"/>
      </w:pPr>
      <w:r>
        <w:rPr>
          <w:b/>
          <w:i/>
        </w:rPr>
        <w:t>category 4</w:t>
      </w:r>
      <w:r>
        <w:t xml:space="preserve"> </w:t>
      </w:r>
      <w:r w:rsidR="00D31FEC">
        <w:t>means the category of medicinal cannabis product that is a tetrahydrocannabinol-dominant medicinal cannabis product where:</w:t>
      </w:r>
    </w:p>
    <w:p w14:paraId="14BB29ED" w14:textId="5C5905E5" w:rsidR="00D31FEC" w:rsidRDefault="00D31FEC" w:rsidP="00D31FEC">
      <w:pPr>
        <w:pStyle w:val="paragraph"/>
      </w:pPr>
      <w:r>
        <w:tab/>
        <w:t>(a)</w:t>
      </w:r>
      <w:r>
        <w:tab/>
        <w:t xml:space="preserve">cannabinoids other than cannabidiol (including tetrahydrocannabinol) derived from cannabis comprise 60% or more and 98% </w:t>
      </w:r>
      <w:r w:rsidR="00EC73F7">
        <w:t xml:space="preserve">or less </w:t>
      </w:r>
      <w:r>
        <w:t>of the total cannabinoid content of the medicine; and</w:t>
      </w:r>
    </w:p>
    <w:p w14:paraId="6B442BDB" w14:textId="5E440971" w:rsidR="00D31FEC" w:rsidRDefault="00D31FEC" w:rsidP="00D31FEC">
      <w:pPr>
        <w:pStyle w:val="paragraph"/>
      </w:pPr>
      <w:r>
        <w:tab/>
        <w:t>(b)</w:t>
      </w:r>
      <w:r>
        <w:tab/>
        <w:t xml:space="preserve">cannabidiol derived from cannabis comprises 2% or more and 40% </w:t>
      </w:r>
      <w:r w:rsidR="009C3008">
        <w:t xml:space="preserve">or less </w:t>
      </w:r>
      <w:r>
        <w:t>of the total cannabinoid content of the medicine; and</w:t>
      </w:r>
    </w:p>
    <w:p w14:paraId="31536AB1" w14:textId="77777777" w:rsidR="00D31FEC" w:rsidRDefault="00D31FEC" w:rsidP="00D31FEC">
      <w:pPr>
        <w:pStyle w:val="paragraph"/>
      </w:pPr>
      <w:r>
        <w:tab/>
        <w:t>(c)</w:t>
      </w:r>
      <w:r>
        <w:tab/>
        <w:t>the medicine contains no other active ingredient.</w:t>
      </w:r>
    </w:p>
    <w:p w14:paraId="5780BFE5" w14:textId="77777777" w:rsidR="00D31FEC" w:rsidRDefault="003908E4" w:rsidP="00D31FEC">
      <w:pPr>
        <w:pStyle w:val="Definition"/>
      </w:pPr>
      <w:r>
        <w:rPr>
          <w:b/>
          <w:i/>
        </w:rPr>
        <w:t>category 5</w:t>
      </w:r>
      <w:r>
        <w:t xml:space="preserve"> </w:t>
      </w:r>
      <w:r w:rsidR="00D31FEC">
        <w:t>means the category of medicinal cannabis product that is a tetrahydrocannabinol medicinal cannabis product where:</w:t>
      </w:r>
    </w:p>
    <w:p w14:paraId="014E9D52" w14:textId="732B196D" w:rsidR="00D31FEC" w:rsidRDefault="00D31FEC" w:rsidP="00D31FEC">
      <w:pPr>
        <w:pStyle w:val="paragraph"/>
      </w:pPr>
      <w:r>
        <w:tab/>
        <w:t>(a)</w:t>
      </w:r>
      <w:r>
        <w:tab/>
        <w:t xml:space="preserve">cannabinoids other than cannabidiol (including tetrahydrocannabinol) comprise </w:t>
      </w:r>
      <w:r w:rsidR="009C3008">
        <w:t xml:space="preserve">more than </w:t>
      </w:r>
      <w:r>
        <w:t>98% of the total cannabinoid content of the medicine; and</w:t>
      </w:r>
    </w:p>
    <w:p w14:paraId="3FF60032" w14:textId="577B6195" w:rsidR="00D31FEC" w:rsidRDefault="00D31FEC" w:rsidP="00D31FEC">
      <w:pPr>
        <w:pStyle w:val="paragraph"/>
      </w:pPr>
      <w:r>
        <w:tab/>
        <w:t>(b)</w:t>
      </w:r>
      <w:r>
        <w:tab/>
        <w:t xml:space="preserve">cannabidiol comprises </w:t>
      </w:r>
      <w:r w:rsidR="009C3008">
        <w:t xml:space="preserve">less than </w:t>
      </w:r>
      <w:r>
        <w:t>2% of the total cannabinoid content of the medicine; and</w:t>
      </w:r>
    </w:p>
    <w:p w14:paraId="5B725ADA" w14:textId="77777777" w:rsidR="00D31FEC" w:rsidRDefault="00D31FEC" w:rsidP="00D31FEC">
      <w:pPr>
        <w:pStyle w:val="paragraph"/>
      </w:pPr>
      <w:r>
        <w:tab/>
        <w:t>(c)</w:t>
      </w:r>
      <w:r>
        <w:tab/>
        <w:t>the medicine contains no other active ingredient.</w:t>
      </w:r>
    </w:p>
    <w:p w14:paraId="30D8B0F2" w14:textId="11BC54B9" w:rsidR="008E01B3" w:rsidRDefault="008E01B3" w:rsidP="008E01B3">
      <w:pPr>
        <w:pStyle w:val="Definition"/>
      </w:pPr>
      <w:r w:rsidRPr="00F41AEB">
        <w:rPr>
          <w:b/>
          <w:i/>
        </w:rPr>
        <w:t>medicinal</w:t>
      </w:r>
      <w:r w:rsidRPr="00685649">
        <w:rPr>
          <w:b/>
          <w:i/>
        </w:rPr>
        <w:t xml:space="preserve"> cannabis product</w:t>
      </w:r>
      <w:r w:rsidR="00204488">
        <w:rPr>
          <w:b/>
          <w:i/>
        </w:rPr>
        <w:t>s</w:t>
      </w:r>
      <w:r w:rsidRPr="00685649">
        <w:t xml:space="preserve"> </w:t>
      </w:r>
      <w:proofErr w:type="gramStart"/>
      <w:r w:rsidR="00FE34B6">
        <w:t>has</w:t>
      </w:r>
      <w:proofErr w:type="gramEnd"/>
      <w:r w:rsidR="00FE34B6">
        <w:t xml:space="preserve"> the same meaning as in the Regulations</w:t>
      </w:r>
      <w:r w:rsidRPr="00685649">
        <w:t>.</w:t>
      </w:r>
    </w:p>
    <w:p w14:paraId="0408F1F5" w14:textId="77777777" w:rsidR="00CD530D" w:rsidRDefault="00CD530D" w:rsidP="00CD530D">
      <w:pPr>
        <w:pStyle w:val="Definition"/>
      </w:pPr>
      <w:r>
        <w:rPr>
          <w:b/>
          <w:i/>
        </w:rPr>
        <w:t>Regulations</w:t>
      </w:r>
      <w:r>
        <w:rPr>
          <w:i/>
        </w:rPr>
        <w:t xml:space="preserve"> </w:t>
      </w:r>
      <w:r>
        <w:t xml:space="preserve">means the </w:t>
      </w:r>
      <w:r>
        <w:rPr>
          <w:i/>
        </w:rPr>
        <w:t>Therapeutic Goods Regulations 1990</w:t>
      </w:r>
      <w:r>
        <w:t>.</w:t>
      </w:r>
    </w:p>
    <w:p w14:paraId="135772F9" w14:textId="77777777" w:rsidR="009B2125" w:rsidRPr="00634A0E" w:rsidRDefault="009B2125" w:rsidP="009B2125">
      <w:pPr>
        <w:pStyle w:val="Definition"/>
      </w:pPr>
      <w:r>
        <w:rPr>
          <w:b/>
          <w:bCs/>
          <w:i/>
          <w:iCs/>
        </w:rPr>
        <w:t xml:space="preserve">relevant </w:t>
      </w:r>
      <w:r w:rsidRPr="00FF305A">
        <w:rPr>
          <w:b/>
          <w:bCs/>
          <w:i/>
          <w:iCs/>
        </w:rPr>
        <w:t>category</w:t>
      </w:r>
      <w:r>
        <w:t xml:space="preserve">, in relation to </w:t>
      </w:r>
      <w:r w:rsidRPr="00634A0E">
        <w:t>a medicinal cannabis product, means</w:t>
      </w:r>
      <w:r w:rsidRPr="00FF305A">
        <w:t xml:space="preserve"> one of the</w:t>
      </w:r>
      <w:r w:rsidRPr="00634A0E">
        <w:t xml:space="preserve"> following</w:t>
      </w:r>
      <w:r>
        <w:t xml:space="preserve"> categories, as applicable</w:t>
      </w:r>
      <w:r w:rsidRPr="00634A0E">
        <w:t>:</w:t>
      </w:r>
    </w:p>
    <w:p w14:paraId="1CE27175" w14:textId="77777777" w:rsidR="009B2125" w:rsidRPr="00634A0E" w:rsidRDefault="009B2125" w:rsidP="009B2125">
      <w:pPr>
        <w:pStyle w:val="paragraph"/>
      </w:pPr>
      <w:r w:rsidRPr="00634A0E">
        <w:tab/>
        <w:t>(a)</w:t>
      </w:r>
      <w:r w:rsidRPr="00634A0E">
        <w:tab/>
        <w:t>category 1;</w:t>
      </w:r>
    </w:p>
    <w:p w14:paraId="3627556B" w14:textId="77777777" w:rsidR="009B2125" w:rsidRPr="00634A0E" w:rsidRDefault="009B2125" w:rsidP="009B2125">
      <w:pPr>
        <w:pStyle w:val="paragraph"/>
      </w:pPr>
      <w:r w:rsidRPr="00634A0E">
        <w:tab/>
        <w:t>(b)</w:t>
      </w:r>
      <w:r w:rsidRPr="00634A0E">
        <w:tab/>
        <w:t>category 2;</w:t>
      </w:r>
    </w:p>
    <w:p w14:paraId="1E04C164" w14:textId="77777777" w:rsidR="009B2125" w:rsidRPr="00634A0E" w:rsidRDefault="009B2125" w:rsidP="009B2125">
      <w:pPr>
        <w:pStyle w:val="paragraph"/>
      </w:pPr>
      <w:r w:rsidRPr="00634A0E">
        <w:lastRenderedPageBreak/>
        <w:tab/>
        <w:t>(c)</w:t>
      </w:r>
      <w:r w:rsidRPr="00634A0E">
        <w:tab/>
        <w:t>category 3;</w:t>
      </w:r>
    </w:p>
    <w:p w14:paraId="377BD2CD" w14:textId="77777777" w:rsidR="009B2125" w:rsidRPr="00634A0E" w:rsidRDefault="009B2125" w:rsidP="009B2125">
      <w:pPr>
        <w:pStyle w:val="paragraph"/>
      </w:pPr>
      <w:r w:rsidRPr="00634A0E">
        <w:tab/>
        <w:t>(d)</w:t>
      </w:r>
      <w:r w:rsidRPr="00634A0E">
        <w:tab/>
        <w:t>category 4;</w:t>
      </w:r>
    </w:p>
    <w:p w14:paraId="2452C22A" w14:textId="77777777" w:rsidR="009B2125" w:rsidRPr="00860B62" w:rsidRDefault="009B2125" w:rsidP="009B2125">
      <w:pPr>
        <w:pStyle w:val="paragraph"/>
      </w:pPr>
      <w:r w:rsidRPr="00634A0E">
        <w:tab/>
        <w:t>(e)</w:t>
      </w:r>
      <w:r w:rsidRPr="00634A0E">
        <w:tab/>
        <w:t>category 5.</w:t>
      </w:r>
    </w:p>
    <w:p w14:paraId="73CF3BE1" w14:textId="7A879FDF" w:rsidR="008E01B3" w:rsidRPr="00016F44" w:rsidRDefault="008E01B3" w:rsidP="008E01B3">
      <w:pPr>
        <w:pStyle w:val="Definition"/>
      </w:pPr>
      <w:r>
        <w:rPr>
          <w:b/>
          <w:i/>
        </w:rPr>
        <w:t xml:space="preserve">SAS </w:t>
      </w:r>
      <w:r w:rsidR="00204488">
        <w:rPr>
          <w:b/>
          <w:i/>
        </w:rPr>
        <w:t xml:space="preserve">B </w:t>
      </w:r>
      <w:r w:rsidR="008D05AB">
        <w:rPr>
          <w:b/>
          <w:i/>
        </w:rPr>
        <w:t xml:space="preserve">approval </w:t>
      </w:r>
      <w:r>
        <w:t xml:space="preserve">means an approval </w:t>
      </w:r>
      <w:r w:rsidR="009A5867">
        <w:t xml:space="preserve">under </w:t>
      </w:r>
      <w:r w:rsidR="00614138">
        <w:t>paragraph</w:t>
      </w:r>
      <w:r>
        <w:t xml:space="preserve"> 19(1)(a) of the Act.</w:t>
      </w:r>
    </w:p>
    <w:p w14:paraId="70392F7B" w14:textId="77777777" w:rsidR="00030BCA" w:rsidRPr="00C52B1B" w:rsidRDefault="00030BCA" w:rsidP="00030BCA">
      <w:pPr>
        <w:pStyle w:val="notetext"/>
      </w:pPr>
      <w:r>
        <w:t>Note:</w:t>
      </w:r>
      <w:r>
        <w:tab/>
        <w:t>Paragraph 19(1)(a) of the Act provides that the Secretary may grant an approval for the importation into, or the exportation from, Australia or the supply in Australia of specified therapeutic goods that are not registered goods, listed goods or exempt goods for use in the treatment of another person.</w:t>
      </w:r>
    </w:p>
    <w:p w14:paraId="5CDF6E8E" w14:textId="77777777" w:rsidR="00D953FA" w:rsidRPr="00D953FA" w:rsidRDefault="00CD530D" w:rsidP="002A538C">
      <w:pPr>
        <w:pStyle w:val="Definition"/>
      </w:pPr>
      <w:r>
        <w:rPr>
          <w:b/>
          <w:i/>
        </w:rPr>
        <w:t>therapeutic goods information</w:t>
      </w:r>
      <w:r w:rsidRPr="00F41AEB">
        <w:rPr>
          <w:i/>
        </w:rPr>
        <w:t xml:space="preserve"> </w:t>
      </w:r>
      <w:r w:rsidRPr="008B1ABA">
        <w:t>has</w:t>
      </w:r>
      <w:r>
        <w:t xml:space="preserve"> the meaning given by subsection 61(1) of the Act</w:t>
      </w:r>
      <w:r w:rsidR="00554826">
        <w:t>.</w:t>
      </w:r>
    </w:p>
    <w:p w14:paraId="02A11495" w14:textId="77777777" w:rsidR="00554826" w:rsidRPr="00554826" w:rsidRDefault="00554826" w:rsidP="00554826">
      <w:pPr>
        <w:pStyle w:val="ActHead5"/>
      </w:pPr>
      <w:bookmarkStart w:id="5" w:name="_Toc454781205"/>
      <w:bookmarkStart w:id="6" w:name="_Toc88219973"/>
      <w:proofErr w:type="gramStart"/>
      <w:r w:rsidRPr="00554826">
        <w:t xml:space="preserve">5  </w:t>
      </w:r>
      <w:bookmarkEnd w:id="5"/>
      <w:r w:rsidR="00CD530D">
        <w:t>Release</w:t>
      </w:r>
      <w:proofErr w:type="gramEnd"/>
      <w:r w:rsidR="00CD530D">
        <w:t xml:space="preserve"> of therapeutic goods informatio</w:t>
      </w:r>
      <w:r w:rsidR="00B95B72">
        <w:t>n</w:t>
      </w:r>
      <w:bookmarkEnd w:id="6"/>
    </w:p>
    <w:p w14:paraId="789F472E" w14:textId="77777777" w:rsidR="00554826" w:rsidRDefault="00554826" w:rsidP="00554826">
      <w:pPr>
        <w:pStyle w:val="subsection"/>
      </w:pPr>
      <w:r w:rsidRPr="006065DA">
        <w:tab/>
      </w:r>
      <w:r w:rsidRPr="006065DA">
        <w:tab/>
      </w:r>
      <w:r w:rsidR="00CD530D" w:rsidRPr="00CD530D">
        <w:t>The kinds of therapeutic goods information set out in the table in Schedule 1</w:t>
      </w:r>
      <w:r w:rsidR="00D567BA">
        <w:t xml:space="preserve"> </w:t>
      </w:r>
      <w:r w:rsidR="00CD530D" w:rsidRPr="00CD530D">
        <w:t>are specified for the purpose of subsection 61(5C) of the Act</w:t>
      </w:r>
      <w:r w:rsidRPr="006065DA">
        <w:t>.</w:t>
      </w:r>
    </w:p>
    <w:p w14:paraId="117AB29E" w14:textId="77777777" w:rsidR="00CD530D" w:rsidRPr="003422B4" w:rsidRDefault="00CD530D" w:rsidP="00CD530D">
      <w:pPr>
        <w:pStyle w:val="notetext"/>
      </w:pPr>
      <w:r w:rsidRPr="008B1ABA">
        <w:rPr>
          <w:szCs w:val="18"/>
        </w:rPr>
        <w:t>Note:</w:t>
      </w:r>
      <w:r w:rsidRPr="008B1ABA">
        <w:rPr>
          <w:szCs w:val="18"/>
        </w:rPr>
        <w:tab/>
        <w:t>Kinds of therapeutic goods information specified under subsection 61(5D) of the Act may be released by the Secretary to the public under subsection 61(5C).</w:t>
      </w:r>
    </w:p>
    <w:p w14:paraId="2B230807" w14:textId="77777777" w:rsidR="00554826" w:rsidRDefault="00554826" w:rsidP="00554826">
      <w:pPr>
        <w:spacing w:line="240" w:lineRule="auto"/>
        <w:rPr>
          <w:rFonts w:eastAsia="Times New Roman" w:cs="Times New Roman"/>
          <w:lang w:eastAsia="en-AU"/>
        </w:rPr>
      </w:pPr>
      <w:r>
        <w:br w:type="page"/>
      </w:r>
    </w:p>
    <w:p w14:paraId="79F7C9F5" w14:textId="77777777" w:rsidR="00D6537E" w:rsidRPr="004E1307" w:rsidRDefault="004E1307" w:rsidP="00D6537E">
      <w:pPr>
        <w:pStyle w:val="ActHead6"/>
      </w:pPr>
      <w:bookmarkStart w:id="7" w:name="_Toc88219974"/>
      <w:r>
        <w:lastRenderedPageBreak/>
        <w:t xml:space="preserve">Schedule </w:t>
      </w:r>
      <w:r w:rsidR="00D6537E" w:rsidRPr="004E1307">
        <w:t>1—</w:t>
      </w:r>
      <w:r w:rsidR="00CD530D" w:rsidRPr="00CD530D">
        <w:t>Specified kinds of therapeutic goods information</w:t>
      </w:r>
      <w:bookmarkEnd w:id="7"/>
    </w:p>
    <w:p w14:paraId="320BBEE8" w14:textId="77777777" w:rsidR="00CD530D" w:rsidRDefault="00CD530D" w:rsidP="00CD530D">
      <w:pPr>
        <w:pStyle w:val="notemargin"/>
      </w:pPr>
      <w:r w:rsidRPr="00FC4418">
        <w:t>Note:</w:t>
      </w:r>
      <w:r w:rsidRPr="00FC4418">
        <w:tab/>
        <w:t>See section </w:t>
      </w:r>
      <w:r>
        <w:t>5</w:t>
      </w:r>
      <w:r w:rsidRPr="00FC4418">
        <w:t>.</w:t>
      </w:r>
    </w:p>
    <w:p w14:paraId="07A78A59" w14:textId="77777777" w:rsidR="00CD530D" w:rsidRPr="009A6D9F" w:rsidRDefault="00CD530D" w:rsidP="00CD530D">
      <w:pPr>
        <w:spacing w:before="60" w:line="240" w:lineRule="atLeast"/>
        <w:rPr>
          <w:szCs w:val="22"/>
        </w:rPr>
      </w:pPr>
    </w:p>
    <w:tbl>
      <w:tblPr>
        <w:tblW w:w="4945" w:type="pct"/>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079"/>
        <w:gridCol w:w="7143"/>
      </w:tblGrid>
      <w:tr w:rsidR="00AD2389" w:rsidRPr="00C47ACA" w14:paraId="3FACE274" w14:textId="77777777" w:rsidTr="00CD189D">
        <w:trPr>
          <w:tblHeader/>
        </w:trPr>
        <w:tc>
          <w:tcPr>
            <w:tcW w:w="656" w:type="pct"/>
            <w:tcBorders>
              <w:top w:val="single" w:sz="8" w:space="0" w:color="auto"/>
              <w:bottom w:val="single" w:sz="8" w:space="0" w:color="auto"/>
            </w:tcBorders>
            <w:shd w:val="clear" w:color="auto" w:fill="auto"/>
          </w:tcPr>
          <w:p w14:paraId="4173376C" w14:textId="77777777" w:rsidR="00AD2389" w:rsidRDefault="00AD2389" w:rsidP="007A4B7E">
            <w:pPr>
              <w:pStyle w:val="TableHeading"/>
            </w:pPr>
            <w:r>
              <w:t>Column 1</w:t>
            </w:r>
          </w:p>
        </w:tc>
        <w:tc>
          <w:tcPr>
            <w:tcW w:w="4344" w:type="pct"/>
            <w:tcBorders>
              <w:top w:val="single" w:sz="8" w:space="0" w:color="auto"/>
              <w:bottom w:val="single" w:sz="8" w:space="0" w:color="auto"/>
            </w:tcBorders>
            <w:shd w:val="clear" w:color="auto" w:fill="auto"/>
          </w:tcPr>
          <w:p w14:paraId="7C2201D2" w14:textId="77777777" w:rsidR="00AD2389" w:rsidRPr="00C47ACA" w:rsidRDefault="00AD2389" w:rsidP="007A4B7E">
            <w:pPr>
              <w:pStyle w:val="TableHeading"/>
            </w:pPr>
            <w:r w:rsidRPr="00C47ACA">
              <w:t xml:space="preserve">Column </w:t>
            </w:r>
            <w:r>
              <w:t>2</w:t>
            </w:r>
          </w:p>
        </w:tc>
      </w:tr>
      <w:tr w:rsidR="00AD2389" w:rsidRPr="00C47ACA" w14:paraId="34C40A24" w14:textId="77777777" w:rsidTr="00CD189D">
        <w:trPr>
          <w:tblHeader/>
        </w:trPr>
        <w:tc>
          <w:tcPr>
            <w:tcW w:w="656" w:type="pct"/>
            <w:tcBorders>
              <w:top w:val="single" w:sz="8" w:space="0" w:color="auto"/>
              <w:bottom w:val="single" w:sz="12" w:space="0" w:color="auto"/>
            </w:tcBorders>
            <w:shd w:val="clear" w:color="auto" w:fill="auto"/>
          </w:tcPr>
          <w:p w14:paraId="66785E12" w14:textId="77777777" w:rsidR="00AD2389" w:rsidRPr="00C47ACA" w:rsidRDefault="00AD2389" w:rsidP="007A4B7E">
            <w:pPr>
              <w:pStyle w:val="TableHeading"/>
            </w:pPr>
            <w:r w:rsidRPr="00C47ACA">
              <w:t>Item</w:t>
            </w:r>
            <w:r>
              <w:t xml:space="preserve"> </w:t>
            </w:r>
          </w:p>
        </w:tc>
        <w:tc>
          <w:tcPr>
            <w:tcW w:w="4344" w:type="pct"/>
            <w:tcBorders>
              <w:top w:val="single" w:sz="8" w:space="0" w:color="auto"/>
              <w:bottom w:val="single" w:sz="12" w:space="0" w:color="auto"/>
            </w:tcBorders>
            <w:shd w:val="clear" w:color="auto" w:fill="auto"/>
          </w:tcPr>
          <w:p w14:paraId="32BDC1E4" w14:textId="77777777" w:rsidR="00AD2389" w:rsidRPr="00C47ACA" w:rsidRDefault="00AD2389" w:rsidP="007A4B7E">
            <w:pPr>
              <w:pStyle w:val="TableHeading"/>
              <w:tabs>
                <w:tab w:val="right" w:pos="2329"/>
              </w:tabs>
            </w:pPr>
            <w:r>
              <w:t>Kinds of information</w:t>
            </w:r>
          </w:p>
        </w:tc>
      </w:tr>
      <w:tr w:rsidR="00AD2389" w:rsidRPr="00636A96" w14:paraId="1EABD3BC" w14:textId="77777777" w:rsidTr="00CD189D">
        <w:tc>
          <w:tcPr>
            <w:tcW w:w="656" w:type="pct"/>
            <w:tcBorders>
              <w:top w:val="single" w:sz="12" w:space="0" w:color="auto"/>
              <w:bottom w:val="single" w:sz="12" w:space="0" w:color="auto"/>
            </w:tcBorders>
            <w:shd w:val="clear" w:color="auto" w:fill="auto"/>
          </w:tcPr>
          <w:p w14:paraId="5FC5D766" w14:textId="77777777" w:rsidR="00AD2389" w:rsidRPr="00DA220E" w:rsidRDefault="00AD2389" w:rsidP="00D567BA">
            <w:pPr>
              <w:pStyle w:val="Tabletext"/>
            </w:pPr>
            <w:r>
              <w:t>1</w:t>
            </w:r>
          </w:p>
        </w:tc>
        <w:tc>
          <w:tcPr>
            <w:tcW w:w="4344" w:type="pct"/>
            <w:tcBorders>
              <w:top w:val="single" w:sz="12" w:space="0" w:color="auto"/>
              <w:bottom w:val="single" w:sz="12" w:space="0" w:color="auto"/>
            </w:tcBorders>
            <w:shd w:val="clear" w:color="auto" w:fill="auto"/>
          </w:tcPr>
          <w:p w14:paraId="43E55978" w14:textId="37F9DECD" w:rsidR="00AD2389" w:rsidRDefault="001B6A2F" w:rsidP="00D567BA">
            <w:pPr>
              <w:pStyle w:val="Tabletext"/>
              <w:spacing w:after="60"/>
            </w:pPr>
            <w:r>
              <w:t xml:space="preserve">information relating to </w:t>
            </w:r>
            <w:r w:rsidR="007046D3">
              <w:t xml:space="preserve">a </w:t>
            </w:r>
            <w:r>
              <w:t xml:space="preserve">medicinal cannabis product that </w:t>
            </w:r>
            <w:r w:rsidR="00516179">
              <w:t>is</w:t>
            </w:r>
            <w:r>
              <w:t xml:space="preserve"> the subject of</w:t>
            </w:r>
            <w:r w:rsidR="00516179">
              <w:t xml:space="preserve"> an</w:t>
            </w:r>
            <w:r w:rsidR="0084173E">
              <w:t xml:space="preserve"> </w:t>
            </w:r>
            <w:r w:rsidR="00AD2389">
              <w:t xml:space="preserve">authorised prescriber </w:t>
            </w:r>
            <w:r w:rsidR="007046D3">
              <w:t xml:space="preserve">authority </w:t>
            </w:r>
            <w:r w:rsidR="00516179">
              <w:t>or a</w:t>
            </w:r>
            <w:r>
              <w:t xml:space="preserve"> </w:t>
            </w:r>
            <w:r w:rsidR="00AD2389">
              <w:t xml:space="preserve">SAS B </w:t>
            </w:r>
            <w:r w:rsidR="007046D3">
              <w:t>approval</w:t>
            </w:r>
            <w:r w:rsidR="0084173E">
              <w:t>,</w:t>
            </w:r>
            <w:r w:rsidR="00AD2389">
              <w:t xml:space="preserve"> </w:t>
            </w:r>
            <w:r>
              <w:t>including</w:t>
            </w:r>
            <w:r w:rsidR="009D0908">
              <w:t xml:space="preserve"> the</w:t>
            </w:r>
            <w:r w:rsidR="009B0F40">
              <w:t xml:space="preserve"> following</w:t>
            </w:r>
            <w:r w:rsidR="00AD2389">
              <w:t>:</w:t>
            </w:r>
          </w:p>
          <w:p w14:paraId="4927B3DF" w14:textId="243AF79D" w:rsidR="00A62A6B" w:rsidRDefault="009B0F40" w:rsidP="00421C4B">
            <w:pPr>
              <w:spacing w:before="60" w:line="240" w:lineRule="atLeast"/>
              <w:ind w:left="336" w:hanging="336"/>
              <w:rPr>
                <w:rFonts w:eastAsia="Times New Roman" w:cs="Times New Roman"/>
                <w:sz w:val="20"/>
                <w:lang w:eastAsia="en-AU"/>
              </w:rPr>
            </w:pPr>
            <w:r w:rsidRPr="00421C4B">
              <w:rPr>
                <w:rFonts w:eastAsia="Times New Roman" w:cs="Times New Roman"/>
                <w:sz w:val="20"/>
                <w:lang w:eastAsia="en-AU"/>
              </w:rPr>
              <w:t>(a)</w:t>
            </w:r>
            <w:r w:rsidRPr="00421C4B">
              <w:rPr>
                <w:rFonts w:eastAsia="Times New Roman" w:cs="Times New Roman"/>
                <w:sz w:val="20"/>
                <w:lang w:eastAsia="en-AU"/>
              </w:rPr>
              <w:tab/>
            </w:r>
            <w:r w:rsidR="00A62A6B">
              <w:rPr>
                <w:rFonts w:eastAsia="Times New Roman" w:cs="Times New Roman"/>
                <w:sz w:val="20"/>
                <w:lang w:eastAsia="en-AU"/>
              </w:rPr>
              <w:t>active ingredient;</w:t>
            </w:r>
          </w:p>
          <w:p w14:paraId="362A93F4" w14:textId="0F987521" w:rsidR="00A62A6B" w:rsidRDefault="00A62A6B" w:rsidP="00421C4B">
            <w:pPr>
              <w:spacing w:before="60" w:line="240" w:lineRule="atLeast"/>
              <w:ind w:left="336" w:hanging="336"/>
              <w:rPr>
                <w:rFonts w:eastAsia="Times New Roman" w:cs="Times New Roman"/>
                <w:sz w:val="20"/>
                <w:lang w:eastAsia="en-AU"/>
              </w:rPr>
            </w:pPr>
            <w:r>
              <w:rPr>
                <w:rFonts w:eastAsia="Times New Roman" w:cs="Times New Roman"/>
                <w:sz w:val="20"/>
                <w:lang w:eastAsia="en-AU"/>
              </w:rPr>
              <w:t>(</w:t>
            </w:r>
            <w:r w:rsidR="000E1670">
              <w:rPr>
                <w:rFonts w:eastAsia="Times New Roman" w:cs="Times New Roman"/>
                <w:sz w:val="20"/>
                <w:lang w:eastAsia="en-AU"/>
              </w:rPr>
              <w:t>b</w:t>
            </w:r>
            <w:r>
              <w:rPr>
                <w:rFonts w:eastAsia="Times New Roman" w:cs="Times New Roman"/>
                <w:sz w:val="20"/>
                <w:lang w:eastAsia="en-AU"/>
              </w:rPr>
              <w:t>)</w:t>
            </w:r>
            <w:r w:rsidR="008B3A63">
              <w:rPr>
                <w:rFonts w:eastAsia="Times New Roman" w:cs="Times New Roman"/>
                <w:sz w:val="20"/>
                <w:lang w:eastAsia="en-AU"/>
              </w:rPr>
              <w:tab/>
            </w:r>
            <w:r>
              <w:rPr>
                <w:rFonts w:eastAsia="Times New Roman" w:cs="Times New Roman"/>
                <w:sz w:val="20"/>
                <w:lang w:eastAsia="en-AU"/>
              </w:rPr>
              <w:t>dosage form;</w:t>
            </w:r>
          </w:p>
          <w:p w14:paraId="360BC327" w14:textId="274E3294" w:rsidR="0054301C" w:rsidRDefault="0054301C" w:rsidP="00421C4B">
            <w:pPr>
              <w:spacing w:before="60" w:line="240" w:lineRule="atLeast"/>
              <w:ind w:left="336" w:hanging="336"/>
              <w:rPr>
                <w:rFonts w:eastAsia="Times New Roman" w:cs="Times New Roman"/>
                <w:sz w:val="20"/>
                <w:lang w:eastAsia="en-AU"/>
              </w:rPr>
            </w:pPr>
            <w:r>
              <w:rPr>
                <w:rFonts w:eastAsia="Times New Roman" w:cs="Times New Roman"/>
                <w:sz w:val="20"/>
                <w:lang w:eastAsia="en-AU"/>
              </w:rPr>
              <w:t>(</w:t>
            </w:r>
            <w:r w:rsidR="000E1670">
              <w:rPr>
                <w:rFonts w:eastAsia="Times New Roman" w:cs="Times New Roman"/>
                <w:sz w:val="20"/>
                <w:lang w:eastAsia="en-AU"/>
              </w:rPr>
              <w:t>c</w:t>
            </w:r>
            <w:r>
              <w:rPr>
                <w:rFonts w:eastAsia="Times New Roman" w:cs="Times New Roman"/>
                <w:sz w:val="20"/>
                <w:lang w:eastAsia="en-AU"/>
              </w:rPr>
              <w:t>)</w:t>
            </w:r>
            <w:r w:rsidR="008B3A63">
              <w:rPr>
                <w:rFonts w:eastAsia="Times New Roman" w:cs="Times New Roman"/>
                <w:sz w:val="20"/>
                <w:lang w:eastAsia="en-AU"/>
              </w:rPr>
              <w:tab/>
            </w:r>
            <w:r>
              <w:rPr>
                <w:rFonts w:eastAsia="Times New Roman" w:cs="Times New Roman"/>
                <w:sz w:val="20"/>
                <w:lang w:eastAsia="en-AU"/>
              </w:rPr>
              <w:t>product name;</w:t>
            </w:r>
          </w:p>
          <w:p w14:paraId="2FFC2314" w14:textId="4600063F" w:rsidR="000E1670" w:rsidRDefault="000E1670" w:rsidP="000E1670">
            <w:pPr>
              <w:spacing w:before="60" w:line="240" w:lineRule="atLeast"/>
              <w:ind w:left="336" w:hanging="336"/>
              <w:rPr>
                <w:rFonts w:eastAsia="Times New Roman" w:cs="Times New Roman"/>
                <w:sz w:val="20"/>
                <w:lang w:eastAsia="en-AU"/>
              </w:rPr>
            </w:pPr>
            <w:r>
              <w:rPr>
                <w:rFonts w:eastAsia="Times New Roman" w:cs="Times New Roman"/>
                <w:sz w:val="20"/>
                <w:lang w:eastAsia="en-AU"/>
              </w:rPr>
              <w:t>(d)</w:t>
            </w:r>
            <w:r>
              <w:rPr>
                <w:rFonts w:eastAsia="Times New Roman" w:cs="Times New Roman"/>
                <w:sz w:val="20"/>
                <w:lang w:eastAsia="en-AU"/>
              </w:rPr>
              <w:tab/>
              <w:t>relevant category;</w:t>
            </w:r>
          </w:p>
          <w:p w14:paraId="5DC2A6D6" w14:textId="09C79794" w:rsidR="008B3A63" w:rsidRDefault="0054301C" w:rsidP="00421C4B">
            <w:pPr>
              <w:spacing w:before="60" w:line="240" w:lineRule="atLeast"/>
              <w:ind w:left="336" w:hanging="336"/>
              <w:rPr>
                <w:rFonts w:eastAsia="Times New Roman" w:cs="Times New Roman"/>
                <w:sz w:val="20"/>
                <w:lang w:eastAsia="en-AU"/>
              </w:rPr>
            </w:pPr>
            <w:r>
              <w:rPr>
                <w:rFonts w:eastAsia="Times New Roman" w:cs="Times New Roman"/>
                <w:sz w:val="20"/>
                <w:lang w:eastAsia="en-AU"/>
              </w:rPr>
              <w:t>(e)</w:t>
            </w:r>
            <w:r w:rsidR="008B3A63">
              <w:rPr>
                <w:rFonts w:eastAsia="Times New Roman" w:cs="Times New Roman"/>
                <w:sz w:val="20"/>
                <w:lang w:eastAsia="en-AU"/>
              </w:rPr>
              <w:tab/>
            </w:r>
            <w:r>
              <w:rPr>
                <w:rFonts w:eastAsia="Times New Roman" w:cs="Times New Roman"/>
                <w:sz w:val="20"/>
                <w:lang w:eastAsia="en-AU"/>
              </w:rPr>
              <w:t>sponsor name;</w:t>
            </w:r>
          </w:p>
          <w:p w14:paraId="086826F9" w14:textId="0CA26A94" w:rsidR="00AD2389" w:rsidRPr="00516179" w:rsidRDefault="00AD2389">
            <w:pPr>
              <w:spacing w:before="60" w:line="240" w:lineRule="atLeast"/>
              <w:ind w:left="336" w:hanging="336"/>
            </w:pPr>
          </w:p>
        </w:tc>
      </w:tr>
    </w:tbl>
    <w:p w14:paraId="40E68C64" w14:textId="77777777" w:rsidR="00CD530D" w:rsidRDefault="00CD530D" w:rsidP="00F41AEB">
      <w:pPr>
        <w:pStyle w:val="notetext"/>
        <w:ind w:left="0" w:firstLine="0"/>
      </w:pPr>
    </w:p>
    <w:sectPr w:rsidR="00CD530D" w:rsidSect="008C2EAC">
      <w:headerReference w:type="even" r:id="rId19"/>
      <w:headerReference w:type="default" r:id="rId20"/>
      <w:footerReference w:type="even" r:id="rId21"/>
      <w:footerReference w:type="default" r:id="rId22"/>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6C5DFB" w14:textId="77777777" w:rsidR="002875BD" w:rsidRDefault="002875BD" w:rsidP="00715914">
      <w:pPr>
        <w:spacing w:line="240" w:lineRule="auto"/>
      </w:pPr>
      <w:r>
        <w:separator/>
      </w:r>
    </w:p>
  </w:endnote>
  <w:endnote w:type="continuationSeparator" w:id="0">
    <w:p w14:paraId="28486D2E" w14:textId="77777777" w:rsidR="002875BD" w:rsidRDefault="002875BD"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6ACDD" w14:textId="77777777" w:rsidR="00516179" w:rsidRPr="00E33C1C" w:rsidRDefault="00516179"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516179" w14:paraId="18B8B7C9" w14:textId="77777777" w:rsidTr="00B33709">
      <w:tc>
        <w:tcPr>
          <w:tcW w:w="709" w:type="dxa"/>
          <w:tcBorders>
            <w:top w:val="nil"/>
            <w:left w:val="nil"/>
            <w:bottom w:val="nil"/>
            <w:right w:val="nil"/>
          </w:tcBorders>
        </w:tcPr>
        <w:p w14:paraId="71825972" w14:textId="77777777" w:rsidR="00516179" w:rsidRDefault="00516179"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30AE6F57" w14:textId="3DE6B0FB" w:rsidR="00516179" w:rsidRPr="004E1307" w:rsidRDefault="00516179"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Therapeutic Goods (Medicinal Cannabis Products) (Information) Specification 2021</w:t>
          </w:r>
          <w:r w:rsidRPr="004E1307">
            <w:rPr>
              <w:i/>
              <w:sz w:val="18"/>
            </w:rPr>
            <w:fldChar w:fldCharType="end"/>
          </w:r>
        </w:p>
      </w:tc>
      <w:tc>
        <w:tcPr>
          <w:tcW w:w="1383" w:type="dxa"/>
          <w:tcBorders>
            <w:top w:val="nil"/>
            <w:left w:val="nil"/>
            <w:bottom w:val="nil"/>
            <w:right w:val="nil"/>
          </w:tcBorders>
        </w:tcPr>
        <w:p w14:paraId="2EF21913" w14:textId="77777777" w:rsidR="00516179" w:rsidRDefault="00516179" w:rsidP="00A369E3">
          <w:pPr>
            <w:spacing w:line="0" w:lineRule="atLeast"/>
            <w:jc w:val="right"/>
            <w:rPr>
              <w:sz w:val="18"/>
            </w:rPr>
          </w:pPr>
        </w:p>
      </w:tc>
    </w:tr>
    <w:tr w:rsidR="00516179" w14:paraId="268C8C58"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16F513F" w14:textId="77777777" w:rsidR="00516179" w:rsidRDefault="00516179" w:rsidP="00A369E3">
          <w:pPr>
            <w:jc w:val="right"/>
            <w:rPr>
              <w:sz w:val="18"/>
            </w:rPr>
          </w:pPr>
        </w:p>
      </w:tc>
    </w:tr>
  </w:tbl>
  <w:p w14:paraId="78F0D71F" w14:textId="77777777" w:rsidR="00516179" w:rsidRPr="00ED79B6" w:rsidRDefault="00516179"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3F905" w14:textId="77777777" w:rsidR="00516179" w:rsidRPr="00E33C1C" w:rsidRDefault="00516179"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6"/>
      <w:gridCol w:w="6257"/>
      <w:gridCol w:w="700"/>
    </w:tblGrid>
    <w:tr w:rsidR="00516179" w14:paraId="3F5B1503" w14:textId="77777777" w:rsidTr="00A369E3">
      <w:tc>
        <w:tcPr>
          <w:tcW w:w="1384" w:type="dxa"/>
          <w:tcBorders>
            <w:top w:val="nil"/>
            <w:left w:val="nil"/>
            <w:bottom w:val="nil"/>
            <w:right w:val="nil"/>
          </w:tcBorders>
        </w:tcPr>
        <w:p w14:paraId="1CD4F70E" w14:textId="77777777" w:rsidR="00516179" w:rsidRDefault="00516179" w:rsidP="00A369E3">
          <w:pPr>
            <w:spacing w:line="0" w:lineRule="atLeast"/>
            <w:rPr>
              <w:sz w:val="18"/>
            </w:rPr>
          </w:pPr>
        </w:p>
      </w:tc>
      <w:tc>
        <w:tcPr>
          <w:tcW w:w="6379" w:type="dxa"/>
          <w:tcBorders>
            <w:top w:val="nil"/>
            <w:left w:val="nil"/>
            <w:bottom w:val="nil"/>
            <w:right w:val="nil"/>
          </w:tcBorders>
        </w:tcPr>
        <w:p w14:paraId="31169D71" w14:textId="32935492" w:rsidR="00516179" w:rsidRDefault="00516179"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Therapeutic Goods (Medicinal Cannabis Products) (Information) Specification 2021</w:t>
          </w:r>
          <w:r w:rsidRPr="004E1307">
            <w:rPr>
              <w:i/>
              <w:sz w:val="18"/>
            </w:rPr>
            <w:fldChar w:fldCharType="end"/>
          </w:r>
        </w:p>
      </w:tc>
      <w:tc>
        <w:tcPr>
          <w:tcW w:w="709" w:type="dxa"/>
          <w:tcBorders>
            <w:top w:val="nil"/>
            <w:left w:val="nil"/>
            <w:bottom w:val="nil"/>
            <w:right w:val="nil"/>
          </w:tcBorders>
        </w:tcPr>
        <w:p w14:paraId="4BA2CB39" w14:textId="77777777" w:rsidR="00516179" w:rsidRDefault="00516179"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516179" w14:paraId="0DB99303"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441DC9F" w14:textId="77777777" w:rsidR="00516179" w:rsidRDefault="00516179" w:rsidP="00A369E3">
          <w:pPr>
            <w:rPr>
              <w:sz w:val="18"/>
            </w:rPr>
          </w:pPr>
        </w:p>
      </w:tc>
    </w:tr>
  </w:tbl>
  <w:p w14:paraId="23498600" w14:textId="77777777" w:rsidR="00516179" w:rsidRPr="00ED79B6" w:rsidRDefault="00516179"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FF9C4" w14:textId="77777777" w:rsidR="00516179" w:rsidRPr="00E33C1C" w:rsidRDefault="00516179"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516179" w14:paraId="6A2CDBE1" w14:textId="77777777" w:rsidTr="00B33709">
      <w:tc>
        <w:tcPr>
          <w:tcW w:w="1384" w:type="dxa"/>
          <w:tcBorders>
            <w:top w:val="nil"/>
            <w:left w:val="nil"/>
            <w:bottom w:val="nil"/>
            <w:right w:val="nil"/>
          </w:tcBorders>
        </w:tcPr>
        <w:p w14:paraId="2A9DA2F4" w14:textId="77777777" w:rsidR="00516179" w:rsidRDefault="00516179" w:rsidP="00A369E3">
          <w:pPr>
            <w:spacing w:line="0" w:lineRule="atLeast"/>
            <w:rPr>
              <w:sz w:val="18"/>
            </w:rPr>
          </w:pPr>
        </w:p>
      </w:tc>
      <w:tc>
        <w:tcPr>
          <w:tcW w:w="6379" w:type="dxa"/>
          <w:tcBorders>
            <w:top w:val="nil"/>
            <w:left w:val="nil"/>
            <w:bottom w:val="nil"/>
            <w:right w:val="nil"/>
          </w:tcBorders>
        </w:tcPr>
        <w:p w14:paraId="7C8140CE" w14:textId="77777777" w:rsidR="00516179" w:rsidRDefault="00516179" w:rsidP="00A369E3">
          <w:pPr>
            <w:spacing w:line="0" w:lineRule="atLeast"/>
            <w:jc w:val="center"/>
            <w:rPr>
              <w:sz w:val="18"/>
            </w:rPr>
          </w:pPr>
        </w:p>
      </w:tc>
      <w:tc>
        <w:tcPr>
          <w:tcW w:w="709" w:type="dxa"/>
          <w:tcBorders>
            <w:top w:val="nil"/>
            <w:left w:val="nil"/>
            <w:bottom w:val="nil"/>
            <w:right w:val="nil"/>
          </w:tcBorders>
        </w:tcPr>
        <w:p w14:paraId="05A01AB2" w14:textId="77777777" w:rsidR="00516179" w:rsidRDefault="00516179" w:rsidP="00A369E3">
          <w:pPr>
            <w:spacing w:line="0" w:lineRule="atLeast"/>
            <w:jc w:val="right"/>
            <w:rPr>
              <w:sz w:val="18"/>
            </w:rPr>
          </w:pPr>
        </w:p>
      </w:tc>
    </w:tr>
  </w:tbl>
  <w:p w14:paraId="55FC2FF0" w14:textId="77777777" w:rsidR="00516179" w:rsidRPr="00ED79B6" w:rsidRDefault="00516179"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5A020" w14:textId="77777777" w:rsidR="00516179" w:rsidRPr="002B0EA5" w:rsidRDefault="00516179" w:rsidP="007A4B7E">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516179" w14:paraId="3F726CDC" w14:textId="77777777" w:rsidTr="007A4B7E">
      <w:tc>
        <w:tcPr>
          <w:tcW w:w="365" w:type="pct"/>
        </w:tcPr>
        <w:p w14:paraId="40CCB8E0" w14:textId="77777777" w:rsidR="00516179" w:rsidRDefault="00516179" w:rsidP="007A4B7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08DD4DA2" w14:textId="436702F0" w:rsidR="00516179" w:rsidRDefault="00516179" w:rsidP="007A4B7E">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Therapeutic Goods (Medicinal Cannabis Products) (Information) Specification 2021</w:t>
          </w:r>
          <w:r w:rsidRPr="004E1307">
            <w:rPr>
              <w:i/>
              <w:sz w:val="18"/>
            </w:rPr>
            <w:fldChar w:fldCharType="end"/>
          </w:r>
        </w:p>
      </w:tc>
      <w:tc>
        <w:tcPr>
          <w:tcW w:w="947" w:type="pct"/>
        </w:tcPr>
        <w:p w14:paraId="2CF7F4AD" w14:textId="77777777" w:rsidR="00516179" w:rsidRDefault="00516179" w:rsidP="007A4B7E">
          <w:pPr>
            <w:spacing w:line="0" w:lineRule="atLeast"/>
            <w:jc w:val="right"/>
            <w:rPr>
              <w:sz w:val="18"/>
            </w:rPr>
          </w:pPr>
        </w:p>
      </w:tc>
    </w:tr>
    <w:tr w:rsidR="00516179" w14:paraId="26B83FE4" w14:textId="77777777" w:rsidTr="007A4B7E">
      <w:tc>
        <w:tcPr>
          <w:tcW w:w="5000" w:type="pct"/>
          <w:gridSpan w:val="3"/>
        </w:tcPr>
        <w:p w14:paraId="23C70FDC" w14:textId="77777777" w:rsidR="00516179" w:rsidRDefault="00516179" w:rsidP="007A4B7E">
          <w:pPr>
            <w:jc w:val="right"/>
            <w:rPr>
              <w:sz w:val="18"/>
            </w:rPr>
          </w:pPr>
        </w:p>
      </w:tc>
    </w:tr>
  </w:tbl>
  <w:p w14:paraId="0577E6EC" w14:textId="77777777" w:rsidR="00516179" w:rsidRPr="00ED79B6" w:rsidRDefault="00516179" w:rsidP="007A4B7E">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78E3C" w14:textId="77777777" w:rsidR="00516179" w:rsidRPr="002B0EA5" w:rsidRDefault="00516179" w:rsidP="007A4B7E">
    <w:pPr>
      <w:pBdr>
        <w:top w:val="single" w:sz="6" w:space="1" w:color="auto"/>
      </w:pBdr>
      <w:spacing w:before="120" w:line="0" w:lineRule="atLeast"/>
      <w:rPr>
        <w:sz w:val="16"/>
        <w:szCs w:val="16"/>
      </w:rPr>
    </w:pPr>
  </w:p>
  <w:tbl>
    <w:tblPr>
      <w:tblStyle w:val="TableGrid"/>
      <w:tblW w:w="503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7"/>
      <w:gridCol w:w="5919"/>
      <w:gridCol w:w="557"/>
      <w:gridCol w:w="612"/>
    </w:tblGrid>
    <w:tr w:rsidR="00516179" w14:paraId="71CDF645" w14:textId="77777777" w:rsidTr="00F41AEB">
      <w:tc>
        <w:tcPr>
          <w:tcW w:w="763" w:type="pct"/>
        </w:tcPr>
        <w:p w14:paraId="737837E9" w14:textId="77777777" w:rsidR="00516179" w:rsidRDefault="00516179" w:rsidP="007A4B7E">
          <w:pPr>
            <w:spacing w:line="0" w:lineRule="atLeast"/>
            <w:rPr>
              <w:sz w:val="18"/>
            </w:rPr>
          </w:pPr>
        </w:p>
      </w:tc>
      <w:tc>
        <w:tcPr>
          <w:tcW w:w="3538" w:type="pct"/>
        </w:tcPr>
        <w:p w14:paraId="6605D49D" w14:textId="71A4A769" w:rsidR="00516179" w:rsidRDefault="00860B62" w:rsidP="007A4B7E">
          <w:pPr>
            <w:spacing w:line="0" w:lineRule="atLeast"/>
            <w:jc w:val="center"/>
            <w:rPr>
              <w:sz w:val="18"/>
            </w:rPr>
          </w:pPr>
          <w:r>
            <w:rPr>
              <w:i/>
              <w:sz w:val="18"/>
            </w:rPr>
            <w:t>Therapeutic Goods (Medicinal Cannabis Products</w:t>
          </w:r>
          <w:r w:rsidR="00010368">
            <w:rPr>
              <w:i/>
              <w:sz w:val="18"/>
            </w:rPr>
            <w:t>—Approvals and Authorities</w:t>
          </w:r>
          <w:r>
            <w:rPr>
              <w:i/>
              <w:sz w:val="18"/>
            </w:rPr>
            <w:t>) (Information) Specification 2021</w:t>
          </w:r>
        </w:p>
      </w:tc>
      <w:tc>
        <w:tcPr>
          <w:tcW w:w="699" w:type="pct"/>
          <w:gridSpan w:val="2"/>
        </w:tcPr>
        <w:p w14:paraId="08BA6554" w14:textId="7E96AF82" w:rsidR="00516179" w:rsidRDefault="00516179" w:rsidP="007A4B7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85915">
            <w:rPr>
              <w:i/>
              <w:noProof/>
              <w:sz w:val="18"/>
            </w:rPr>
            <w:t>i</w:t>
          </w:r>
          <w:r w:rsidRPr="00ED79B6">
            <w:rPr>
              <w:i/>
              <w:sz w:val="18"/>
            </w:rPr>
            <w:fldChar w:fldCharType="end"/>
          </w:r>
        </w:p>
      </w:tc>
    </w:tr>
    <w:tr w:rsidR="00516179" w14:paraId="590A1544" w14:textId="77777777" w:rsidTr="00F41AEB">
      <w:trPr>
        <w:gridAfter w:val="1"/>
        <w:wAfter w:w="366" w:type="pct"/>
      </w:trPr>
      <w:tc>
        <w:tcPr>
          <w:tcW w:w="4634" w:type="pct"/>
          <w:gridSpan w:val="3"/>
        </w:tcPr>
        <w:p w14:paraId="056D9C19" w14:textId="77777777" w:rsidR="00516179" w:rsidRDefault="00516179" w:rsidP="007A4B7E">
          <w:pPr>
            <w:rPr>
              <w:sz w:val="18"/>
            </w:rPr>
          </w:pPr>
        </w:p>
      </w:tc>
    </w:tr>
  </w:tbl>
  <w:p w14:paraId="72DEB5A8" w14:textId="77777777" w:rsidR="00516179" w:rsidRPr="00F41AEB" w:rsidRDefault="00516179" w:rsidP="00F41AEB">
    <w:pPr>
      <w:jc w:val="cente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B9DA6" w14:textId="77777777" w:rsidR="00516179" w:rsidRPr="002B0EA5" w:rsidRDefault="00516179" w:rsidP="007A4B7E">
    <w:pPr>
      <w:pBdr>
        <w:top w:val="single" w:sz="6" w:space="1" w:color="auto"/>
      </w:pBdr>
      <w:spacing w:before="120" w:line="0" w:lineRule="atLeast"/>
      <w:rPr>
        <w:sz w:val="16"/>
        <w:szCs w:val="16"/>
      </w:rPr>
    </w:pPr>
  </w:p>
  <w:tbl>
    <w:tblPr>
      <w:tblStyle w:val="TableGrid"/>
      <w:tblW w:w="517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5768"/>
      <w:gridCol w:w="1563"/>
      <w:gridCol w:w="141"/>
    </w:tblGrid>
    <w:tr w:rsidR="00516179" w14:paraId="6F9953A0" w14:textId="77777777" w:rsidTr="00F41AEB">
      <w:trPr>
        <w:gridAfter w:val="1"/>
        <w:wAfter w:w="82" w:type="pct"/>
      </w:trPr>
      <w:tc>
        <w:tcPr>
          <w:tcW w:w="659" w:type="pct"/>
        </w:tcPr>
        <w:p w14:paraId="136BEEE8" w14:textId="448E2F75" w:rsidR="00516179" w:rsidRDefault="00516179" w:rsidP="007A4B7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85915">
            <w:rPr>
              <w:i/>
              <w:noProof/>
              <w:sz w:val="18"/>
            </w:rPr>
            <w:t>4</w:t>
          </w:r>
          <w:r w:rsidRPr="00ED79B6">
            <w:rPr>
              <w:i/>
              <w:sz w:val="18"/>
            </w:rPr>
            <w:fldChar w:fldCharType="end"/>
          </w:r>
        </w:p>
      </w:tc>
      <w:tc>
        <w:tcPr>
          <w:tcW w:w="3351" w:type="pct"/>
        </w:tcPr>
        <w:p w14:paraId="2EB8E8AA" w14:textId="54B7542A" w:rsidR="00516179" w:rsidRDefault="00860B62" w:rsidP="00CD530D">
          <w:pPr>
            <w:spacing w:line="0" w:lineRule="atLeast"/>
            <w:ind w:left="273"/>
            <w:jc w:val="center"/>
            <w:rPr>
              <w:sz w:val="18"/>
            </w:rPr>
          </w:pPr>
          <w:r>
            <w:rPr>
              <w:i/>
              <w:sz w:val="18"/>
            </w:rPr>
            <w:t>Therapeutic Goods (Medicinal Cannabis Products</w:t>
          </w:r>
          <w:r w:rsidR="00010368">
            <w:rPr>
              <w:i/>
              <w:sz w:val="18"/>
            </w:rPr>
            <w:t>—Approvals and Authorities</w:t>
          </w:r>
          <w:r>
            <w:rPr>
              <w:i/>
              <w:sz w:val="18"/>
            </w:rPr>
            <w:t>) (Information) Specification 2021</w:t>
          </w:r>
        </w:p>
      </w:tc>
      <w:tc>
        <w:tcPr>
          <w:tcW w:w="908" w:type="pct"/>
        </w:tcPr>
        <w:p w14:paraId="06C285F2" w14:textId="77777777" w:rsidR="00516179" w:rsidRDefault="00516179" w:rsidP="007A4B7E">
          <w:pPr>
            <w:spacing w:line="0" w:lineRule="atLeast"/>
            <w:jc w:val="right"/>
            <w:rPr>
              <w:sz w:val="18"/>
            </w:rPr>
          </w:pPr>
        </w:p>
      </w:tc>
    </w:tr>
    <w:tr w:rsidR="00516179" w14:paraId="337E42FD" w14:textId="77777777" w:rsidTr="00F41AEB">
      <w:tc>
        <w:tcPr>
          <w:tcW w:w="5000" w:type="pct"/>
          <w:gridSpan w:val="4"/>
        </w:tcPr>
        <w:p w14:paraId="682A2299" w14:textId="77777777" w:rsidR="00516179" w:rsidRDefault="00516179" w:rsidP="007A4B7E">
          <w:pPr>
            <w:jc w:val="right"/>
            <w:rPr>
              <w:sz w:val="18"/>
            </w:rPr>
          </w:pPr>
        </w:p>
      </w:tc>
    </w:tr>
  </w:tbl>
  <w:p w14:paraId="0DDCC3F9" w14:textId="77777777" w:rsidR="00516179" w:rsidRPr="00F41AEB" w:rsidRDefault="00516179" w:rsidP="00F41AEB">
    <w:pPr>
      <w:jc w:val="center"/>
      <w:rPr>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09D8D" w14:textId="77777777" w:rsidR="00516179" w:rsidRPr="002B0EA5" w:rsidRDefault="00516179" w:rsidP="007A4B7E">
    <w:pPr>
      <w:pBdr>
        <w:top w:val="single" w:sz="6" w:space="1" w:color="auto"/>
      </w:pBdr>
      <w:spacing w:before="120" w:line="0" w:lineRule="atLeast"/>
      <w:rPr>
        <w:sz w:val="16"/>
        <w:szCs w:val="16"/>
      </w:rPr>
    </w:pPr>
  </w:p>
  <w:tbl>
    <w:tblPr>
      <w:tblStyle w:val="TableGrid"/>
      <w:tblW w:w="4945"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9"/>
      <w:gridCol w:w="5611"/>
      <w:gridCol w:w="548"/>
      <w:gridCol w:w="654"/>
    </w:tblGrid>
    <w:tr w:rsidR="00516179" w14:paraId="5D07DCD1" w14:textId="77777777" w:rsidTr="00955718">
      <w:tc>
        <w:tcPr>
          <w:tcW w:w="857" w:type="pct"/>
        </w:tcPr>
        <w:p w14:paraId="06B8F12F" w14:textId="77777777" w:rsidR="00516179" w:rsidRDefault="00516179" w:rsidP="007A4B7E">
          <w:pPr>
            <w:spacing w:line="0" w:lineRule="atLeast"/>
            <w:rPr>
              <w:sz w:val="18"/>
            </w:rPr>
          </w:pPr>
        </w:p>
      </w:tc>
      <w:tc>
        <w:tcPr>
          <w:tcW w:w="3412" w:type="pct"/>
        </w:tcPr>
        <w:p w14:paraId="00094C14" w14:textId="1824B430" w:rsidR="00516179" w:rsidRDefault="00860B62" w:rsidP="006B52DC">
          <w:pPr>
            <w:spacing w:line="0" w:lineRule="atLeast"/>
            <w:ind w:left="-104" w:right="172"/>
            <w:jc w:val="center"/>
            <w:rPr>
              <w:sz w:val="18"/>
            </w:rPr>
          </w:pPr>
          <w:r>
            <w:rPr>
              <w:i/>
              <w:sz w:val="18"/>
            </w:rPr>
            <w:t>Therapeutic Goods (Medicinal Cannabis Products</w:t>
          </w:r>
          <w:r w:rsidR="00010368">
            <w:rPr>
              <w:i/>
              <w:sz w:val="18"/>
            </w:rPr>
            <w:t>—Approvals and Authorities</w:t>
          </w:r>
          <w:r>
            <w:rPr>
              <w:i/>
              <w:sz w:val="18"/>
            </w:rPr>
            <w:t>) (Information) Specification 2021</w:t>
          </w:r>
        </w:p>
      </w:tc>
      <w:tc>
        <w:tcPr>
          <w:tcW w:w="730" w:type="pct"/>
          <w:gridSpan w:val="2"/>
        </w:tcPr>
        <w:p w14:paraId="7FB850FC" w14:textId="1217733F" w:rsidR="00516179" w:rsidRDefault="00516179" w:rsidP="007A4B7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85915">
            <w:rPr>
              <w:i/>
              <w:noProof/>
              <w:sz w:val="18"/>
            </w:rPr>
            <w:t>3</w:t>
          </w:r>
          <w:r w:rsidRPr="00ED79B6">
            <w:rPr>
              <w:i/>
              <w:sz w:val="18"/>
            </w:rPr>
            <w:fldChar w:fldCharType="end"/>
          </w:r>
        </w:p>
      </w:tc>
    </w:tr>
    <w:tr w:rsidR="00516179" w14:paraId="05E7839A" w14:textId="77777777" w:rsidTr="00955718">
      <w:trPr>
        <w:gridAfter w:val="1"/>
        <w:wAfter w:w="398" w:type="pct"/>
      </w:trPr>
      <w:tc>
        <w:tcPr>
          <w:tcW w:w="4602" w:type="pct"/>
          <w:gridSpan w:val="3"/>
        </w:tcPr>
        <w:p w14:paraId="11AF1C90" w14:textId="77777777" w:rsidR="00516179" w:rsidRDefault="00516179" w:rsidP="007A4B7E">
          <w:pPr>
            <w:rPr>
              <w:sz w:val="18"/>
            </w:rPr>
          </w:pPr>
        </w:p>
      </w:tc>
    </w:tr>
  </w:tbl>
  <w:p w14:paraId="1DB062C5" w14:textId="77777777" w:rsidR="00516179" w:rsidRPr="00F41AEB" w:rsidRDefault="00516179" w:rsidP="00F41AEB">
    <w:pPr>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4B2647" w14:textId="77777777" w:rsidR="002875BD" w:rsidRDefault="002875BD" w:rsidP="00715914">
      <w:pPr>
        <w:spacing w:line="240" w:lineRule="auto"/>
      </w:pPr>
      <w:r>
        <w:separator/>
      </w:r>
    </w:p>
  </w:footnote>
  <w:footnote w:type="continuationSeparator" w:id="0">
    <w:p w14:paraId="6450C54E" w14:textId="77777777" w:rsidR="002875BD" w:rsidRDefault="002875BD"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632C3" w14:textId="77777777" w:rsidR="00516179" w:rsidRPr="005F1388" w:rsidRDefault="00516179"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2BB48" w14:textId="77777777" w:rsidR="00516179" w:rsidRPr="005F1388" w:rsidRDefault="00516179"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630A9" w14:textId="77777777" w:rsidR="00516179" w:rsidRPr="00ED79B6" w:rsidRDefault="00516179" w:rsidP="007A4B7E">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2EA3F" w14:textId="77777777" w:rsidR="00516179" w:rsidRPr="00ED79B6" w:rsidRDefault="00516179" w:rsidP="007A4B7E">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5B353" w14:textId="77777777" w:rsidR="00516179" w:rsidRPr="00ED79B6" w:rsidRDefault="00516179"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B44E3" w14:textId="77777777" w:rsidR="00516179" w:rsidRDefault="00516179" w:rsidP="00715914">
    <w:pPr>
      <w:rPr>
        <w:sz w:val="20"/>
      </w:rPr>
    </w:pPr>
  </w:p>
  <w:p w14:paraId="502E7143" w14:textId="77777777" w:rsidR="00516179" w:rsidRDefault="00516179" w:rsidP="00715914">
    <w:pPr>
      <w:rPr>
        <w:sz w:val="20"/>
      </w:rPr>
    </w:pPr>
  </w:p>
  <w:p w14:paraId="20BBE50B" w14:textId="77777777" w:rsidR="00516179" w:rsidRPr="007A1328" w:rsidRDefault="00516179" w:rsidP="00715914">
    <w:pPr>
      <w:rPr>
        <w:sz w:val="20"/>
      </w:rPr>
    </w:pPr>
  </w:p>
  <w:p w14:paraId="634E9855" w14:textId="77777777" w:rsidR="00516179" w:rsidRPr="007A1328" w:rsidRDefault="00516179" w:rsidP="00715914">
    <w:pPr>
      <w:rPr>
        <w:b/>
        <w:sz w:val="24"/>
      </w:rPr>
    </w:pPr>
  </w:p>
  <w:p w14:paraId="5936DDB4" w14:textId="77777777" w:rsidR="00516179" w:rsidRPr="007A1328" w:rsidRDefault="00516179"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56D79" w14:textId="77777777" w:rsidR="00516179" w:rsidRPr="007A1328" w:rsidRDefault="00516179" w:rsidP="00715914">
    <w:pPr>
      <w:jc w:val="right"/>
      <w:rPr>
        <w:sz w:val="20"/>
      </w:rPr>
    </w:pPr>
  </w:p>
  <w:p w14:paraId="7B05ADBE" w14:textId="77777777" w:rsidR="00516179" w:rsidRPr="007A1328" w:rsidRDefault="00516179" w:rsidP="00715914">
    <w:pPr>
      <w:jc w:val="right"/>
      <w:rPr>
        <w:sz w:val="20"/>
      </w:rPr>
    </w:pPr>
  </w:p>
  <w:p w14:paraId="23E75CB8" w14:textId="77777777" w:rsidR="00516179" w:rsidRPr="007A1328" w:rsidRDefault="00516179" w:rsidP="00715914">
    <w:pPr>
      <w:jc w:val="right"/>
      <w:rPr>
        <w:sz w:val="20"/>
      </w:rPr>
    </w:pPr>
  </w:p>
  <w:p w14:paraId="7DDCBAB5" w14:textId="77777777" w:rsidR="00516179" w:rsidRPr="007A1328" w:rsidRDefault="00516179" w:rsidP="00715914">
    <w:pPr>
      <w:jc w:val="right"/>
      <w:rPr>
        <w:b/>
        <w:sz w:val="24"/>
      </w:rPr>
    </w:pPr>
  </w:p>
  <w:p w14:paraId="17F3B6FB" w14:textId="77777777" w:rsidR="00516179" w:rsidRPr="007A1328" w:rsidRDefault="00516179"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C15A3"/>
    <w:multiLevelType w:val="hybridMultilevel"/>
    <w:tmpl w:val="996C3CF0"/>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1A9717B"/>
    <w:multiLevelType w:val="hybridMultilevel"/>
    <w:tmpl w:val="99C22704"/>
    <w:lvl w:ilvl="0" w:tplc="54A4A912">
      <w:start w:val="1"/>
      <w:numFmt w:val="lowerLetter"/>
      <w:lvlText w:val="(%1)"/>
      <w:lvlJc w:val="left"/>
      <w:pPr>
        <w:ind w:left="2357" w:hanging="372"/>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12" w15:restartNumberingAfterBreak="0">
    <w:nsid w:val="06772F1A"/>
    <w:multiLevelType w:val="hybridMultilevel"/>
    <w:tmpl w:val="D0725126"/>
    <w:lvl w:ilvl="0" w:tplc="BFC439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2002ACE"/>
    <w:multiLevelType w:val="hybridMultilevel"/>
    <w:tmpl w:val="203E4ECA"/>
    <w:lvl w:ilvl="0" w:tplc="8754113A">
      <w:start w:val="1"/>
      <w:numFmt w:val="lowerLetter"/>
      <w:lvlText w:val="(%1)"/>
      <w:lvlJc w:val="left"/>
      <w:pPr>
        <w:ind w:left="1650" w:hanging="375"/>
      </w:pPr>
      <w:rPr>
        <w:rFonts w:hint="default"/>
        <w:b w:val="0"/>
        <w:i w:val="0"/>
      </w:rPr>
    </w:lvl>
    <w:lvl w:ilvl="1" w:tplc="0C090019" w:tentative="1">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15" w15:restartNumberingAfterBreak="0">
    <w:nsid w:val="15581442"/>
    <w:multiLevelType w:val="hybridMultilevel"/>
    <w:tmpl w:val="CCCC3446"/>
    <w:lvl w:ilvl="0" w:tplc="39FA8E7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6806B45"/>
    <w:multiLevelType w:val="hybridMultilevel"/>
    <w:tmpl w:val="FBA0DA06"/>
    <w:lvl w:ilvl="0" w:tplc="39FA8E70">
      <w:start w:val="1"/>
      <w:numFmt w:val="lowerRoman"/>
      <w:lvlText w:val="(%1)"/>
      <w:lvlJc w:val="left"/>
      <w:pPr>
        <w:ind w:left="2415" w:hanging="360"/>
      </w:pPr>
      <w:rPr>
        <w:rFonts w:hint="default"/>
      </w:rPr>
    </w:lvl>
    <w:lvl w:ilvl="1" w:tplc="0C090019" w:tentative="1">
      <w:start w:val="1"/>
      <w:numFmt w:val="lowerLetter"/>
      <w:lvlText w:val="%2."/>
      <w:lvlJc w:val="left"/>
      <w:pPr>
        <w:ind w:left="3135" w:hanging="360"/>
      </w:pPr>
    </w:lvl>
    <w:lvl w:ilvl="2" w:tplc="0C09001B" w:tentative="1">
      <w:start w:val="1"/>
      <w:numFmt w:val="lowerRoman"/>
      <w:lvlText w:val="%3."/>
      <w:lvlJc w:val="right"/>
      <w:pPr>
        <w:ind w:left="3855" w:hanging="180"/>
      </w:pPr>
    </w:lvl>
    <w:lvl w:ilvl="3" w:tplc="0C09000F" w:tentative="1">
      <w:start w:val="1"/>
      <w:numFmt w:val="decimal"/>
      <w:lvlText w:val="%4."/>
      <w:lvlJc w:val="left"/>
      <w:pPr>
        <w:ind w:left="4575" w:hanging="360"/>
      </w:pPr>
    </w:lvl>
    <w:lvl w:ilvl="4" w:tplc="0C090019" w:tentative="1">
      <w:start w:val="1"/>
      <w:numFmt w:val="lowerLetter"/>
      <w:lvlText w:val="%5."/>
      <w:lvlJc w:val="left"/>
      <w:pPr>
        <w:ind w:left="5295" w:hanging="360"/>
      </w:pPr>
    </w:lvl>
    <w:lvl w:ilvl="5" w:tplc="0C09001B" w:tentative="1">
      <w:start w:val="1"/>
      <w:numFmt w:val="lowerRoman"/>
      <w:lvlText w:val="%6."/>
      <w:lvlJc w:val="right"/>
      <w:pPr>
        <w:ind w:left="6015" w:hanging="180"/>
      </w:pPr>
    </w:lvl>
    <w:lvl w:ilvl="6" w:tplc="0C09000F" w:tentative="1">
      <w:start w:val="1"/>
      <w:numFmt w:val="decimal"/>
      <w:lvlText w:val="%7."/>
      <w:lvlJc w:val="left"/>
      <w:pPr>
        <w:ind w:left="6735" w:hanging="360"/>
      </w:pPr>
    </w:lvl>
    <w:lvl w:ilvl="7" w:tplc="0C090019" w:tentative="1">
      <w:start w:val="1"/>
      <w:numFmt w:val="lowerLetter"/>
      <w:lvlText w:val="%8."/>
      <w:lvlJc w:val="left"/>
      <w:pPr>
        <w:ind w:left="7455" w:hanging="360"/>
      </w:pPr>
    </w:lvl>
    <w:lvl w:ilvl="8" w:tplc="0C09001B" w:tentative="1">
      <w:start w:val="1"/>
      <w:numFmt w:val="lowerRoman"/>
      <w:lvlText w:val="%9."/>
      <w:lvlJc w:val="right"/>
      <w:pPr>
        <w:ind w:left="8175" w:hanging="180"/>
      </w:pPr>
    </w:lvl>
  </w:abstractNum>
  <w:abstractNum w:abstractNumId="17"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BB771E4"/>
    <w:multiLevelType w:val="hybridMultilevel"/>
    <w:tmpl w:val="99585C1C"/>
    <w:lvl w:ilvl="0" w:tplc="BE08E6DE">
      <w:start w:val="1"/>
      <w:numFmt w:val="lowerLetter"/>
      <w:lvlText w:val="(%1)"/>
      <w:lvlJc w:val="left"/>
      <w:pPr>
        <w:ind w:left="1494" w:hanging="360"/>
      </w:pPr>
      <w:rPr>
        <w:rFonts w:hint="default"/>
        <w:b/>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9" w15:restartNumberingAfterBreak="0">
    <w:nsid w:val="27EC3FD4"/>
    <w:multiLevelType w:val="hybridMultilevel"/>
    <w:tmpl w:val="D0725126"/>
    <w:lvl w:ilvl="0" w:tplc="BFC439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9A01D0B"/>
    <w:multiLevelType w:val="hybridMultilevel"/>
    <w:tmpl w:val="D9B242D6"/>
    <w:lvl w:ilvl="0" w:tplc="39FA8E70">
      <w:start w:val="1"/>
      <w:numFmt w:val="lowerRoman"/>
      <w:lvlText w:val="(%1)"/>
      <w:lvlJc w:val="left"/>
      <w:pPr>
        <w:ind w:left="1644" w:hanging="360"/>
      </w:pPr>
      <w:rPr>
        <w:rFonts w:hint="default"/>
      </w:rPr>
    </w:lvl>
    <w:lvl w:ilvl="1" w:tplc="0C090019" w:tentative="1">
      <w:start w:val="1"/>
      <w:numFmt w:val="lowerLetter"/>
      <w:lvlText w:val="%2."/>
      <w:lvlJc w:val="left"/>
      <w:pPr>
        <w:ind w:left="2364" w:hanging="360"/>
      </w:pPr>
    </w:lvl>
    <w:lvl w:ilvl="2" w:tplc="0C09001B" w:tentative="1">
      <w:start w:val="1"/>
      <w:numFmt w:val="lowerRoman"/>
      <w:lvlText w:val="%3."/>
      <w:lvlJc w:val="right"/>
      <w:pPr>
        <w:ind w:left="3084" w:hanging="180"/>
      </w:pPr>
    </w:lvl>
    <w:lvl w:ilvl="3" w:tplc="0C09000F" w:tentative="1">
      <w:start w:val="1"/>
      <w:numFmt w:val="decimal"/>
      <w:lvlText w:val="%4."/>
      <w:lvlJc w:val="left"/>
      <w:pPr>
        <w:ind w:left="3804" w:hanging="360"/>
      </w:pPr>
    </w:lvl>
    <w:lvl w:ilvl="4" w:tplc="0C090019" w:tentative="1">
      <w:start w:val="1"/>
      <w:numFmt w:val="lowerLetter"/>
      <w:lvlText w:val="%5."/>
      <w:lvlJc w:val="left"/>
      <w:pPr>
        <w:ind w:left="4524" w:hanging="360"/>
      </w:pPr>
    </w:lvl>
    <w:lvl w:ilvl="5" w:tplc="0C09001B" w:tentative="1">
      <w:start w:val="1"/>
      <w:numFmt w:val="lowerRoman"/>
      <w:lvlText w:val="%6."/>
      <w:lvlJc w:val="right"/>
      <w:pPr>
        <w:ind w:left="5244" w:hanging="180"/>
      </w:pPr>
    </w:lvl>
    <w:lvl w:ilvl="6" w:tplc="0C09000F" w:tentative="1">
      <w:start w:val="1"/>
      <w:numFmt w:val="decimal"/>
      <w:lvlText w:val="%7."/>
      <w:lvlJc w:val="left"/>
      <w:pPr>
        <w:ind w:left="5964" w:hanging="360"/>
      </w:pPr>
    </w:lvl>
    <w:lvl w:ilvl="7" w:tplc="0C090019" w:tentative="1">
      <w:start w:val="1"/>
      <w:numFmt w:val="lowerLetter"/>
      <w:lvlText w:val="%8."/>
      <w:lvlJc w:val="left"/>
      <w:pPr>
        <w:ind w:left="6684" w:hanging="360"/>
      </w:pPr>
    </w:lvl>
    <w:lvl w:ilvl="8" w:tplc="0C09001B" w:tentative="1">
      <w:start w:val="1"/>
      <w:numFmt w:val="lowerRoman"/>
      <w:lvlText w:val="%9."/>
      <w:lvlJc w:val="right"/>
      <w:pPr>
        <w:ind w:left="7404" w:hanging="180"/>
      </w:pPr>
    </w:lvl>
  </w:abstractNum>
  <w:abstractNum w:abstractNumId="21" w15:restartNumberingAfterBreak="0">
    <w:nsid w:val="31D459BD"/>
    <w:multiLevelType w:val="hybridMultilevel"/>
    <w:tmpl w:val="DE0E4AFC"/>
    <w:lvl w:ilvl="0" w:tplc="39FA8E70">
      <w:start w:val="1"/>
      <w:numFmt w:val="lowerRoman"/>
      <w:lvlText w:val="(%1)"/>
      <w:lvlJc w:val="left"/>
      <w:pPr>
        <w:ind w:left="2370" w:hanging="720"/>
      </w:pPr>
      <w:rPr>
        <w:rFonts w:hint="default"/>
      </w:rPr>
    </w:lvl>
    <w:lvl w:ilvl="1" w:tplc="0C090019" w:tentative="1">
      <w:start w:val="1"/>
      <w:numFmt w:val="lowerLetter"/>
      <w:lvlText w:val="%2."/>
      <w:lvlJc w:val="left"/>
      <w:pPr>
        <w:ind w:left="2730" w:hanging="360"/>
      </w:pPr>
    </w:lvl>
    <w:lvl w:ilvl="2" w:tplc="0C09001B" w:tentative="1">
      <w:start w:val="1"/>
      <w:numFmt w:val="lowerRoman"/>
      <w:lvlText w:val="%3."/>
      <w:lvlJc w:val="right"/>
      <w:pPr>
        <w:ind w:left="3450" w:hanging="180"/>
      </w:pPr>
    </w:lvl>
    <w:lvl w:ilvl="3" w:tplc="0C09000F" w:tentative="1">
      <w:start w:val="1"/>
      <w:numFmt w:val="decimal"/>
      <w:lvlText w:val="%4."/>
      <w:lvlJc w:val="left"/>
      <w:pPr>
        <w:ind w:left="4170" w:hanging="360"/>
      </w:pPr>
    </w:lvl>
    <w:lvl w:ilvl="4" w:tplc="0C090019" w:tentative="1">
      <w:start w:val="1"/>
      <w:numFmt w:val="lowerLetter"/>
      <w:lvlText w:val="%5."/>
      <w:lvlJc w:val="left"/>
      <w:pPr>
        <w:ind w:left="4890" w:hanging="360"/>
      </w:pPr>
    </w:lvl>
    <w:lvl w:ilvl="5" w:tplc="0C09001B" w:tentative="1">
      <w:start w:val="1"/>
      <w:numFmt w:val="lowerRoman"/>
      <w:lvlText w:val="%6."/>
      <w:lvlJc w:val="right"/>
      <w:pPr>
        <w:ind w:left="5610" w:hanging="180"/>
      </w:pPr>
    </w:lvl>
    <w:lvl w:ilvl="6" w:tplc="0C09000F" w:tentative="1">
      <w:start w:val="1"/>
      <w:numFmt w:val="decimal"/>
      <w:lvlText w:val="%7."/>
      <w:lvlJc w:val="left"/>
      <w:pPr>
        <w:ind w:left="6330" w:hanging="360"/>
      </w:pPr>
    </w:lvl>
    <w:lvl w:ilvl="7" w:tplc="0C090019" w:tentative="1">
      <w:start w:val="1"/>
      <w:numFmt w:val="lowerLetter"/>
      <w:lvlText w:val="%8."/>
      <w:lvlJc w:val="left"/>
      <w:pPr>
        <w:ind w:left="7050" w:hanging="360"/>
      </w:pPr>
    </w:lvl>
    <w:lvl w:ilvl="8" w:tplc="0C09001B" w:tentative="1">
      <w:start w:val="1"/>
      <w:numFmt w:val="lowerRoman"/>
      <w:lvlText w:val="%9."/>
      <w:lvlJc w:val="right"/>
      <w:pPr>
        <w:ind w:left="7770" w:hanging="180"/>
      </w:pPr>
    </w:lvl>
  </w:abstractNum>
  <w:abstractNum w:abstractNumId="22" w15:restartNumberingAfterBreak="0">
    <w:nsid w:val="346007F9"/>
    <w:multiLevelType w:val="hybridMultilevel"/>
    <w:tmpl w:val="1FE85BF6"/>
    <w:lvl w:ilvl="0" w:tplc="39FA8E70">
      <w:start w:val="1"/>
      <w:numFmt w:val="lowerRoman"/>
      <w:lvlText w:val="(%1)"/>
      <w:lvlJc w:val="left"/>
      <w:pPr>
        <w:ind w:left="2370" w:hanging="360"/>
      </w:pPr>
      <w:rPr>
        <w:rFonts w:hint="default"/>
      </w:rPr>
    </w:lvl>
    <w:lvl w:ilvl="1" w:tplc="0C090019" w:tentative="1">
      <w:start w:val="1"/>
      <w:numFmt w:val="lowerLetter"/>
      <w:lvlText w:val="%2."/>
      <w:lvlJc w:val="left"/>
      <w:pPr>
        <w:ind w:left="3090" w:hanging="360"/>
      </w:pPr>
    </w:lvl>
    <w:lvl w:ilvl="2" w:tplc="0C09001B" w:tentative="1">
      <w:start w:val="1"/>
      <w:numFmt w:val="lowerRoman"/>
      <w:lvlText w:val="%3."/>
      <w:lvlJc w:val="right"/>
      <w:pPr>
        <w:ind w:left="3810" w:hanging="180"/>
      </w:pPr>
    </w:lvl>
    <w:lvl w:ilvl="3" w:tplc="0C09000F" w:tentative="1">
      <w:start w:val="1"/>
      <w:numFmt w:val="decimal"/>
      <w:lvlText w:val="%4."/>
      <w:lvlJc w:val="left"/>
      <w:pPr>
        <w:ind w:left="4530" w:hanging="360"/>
      </w:pPr>
    </w:lvl>
    <w:lvl w:ilvl="4" w:tplc="0C090019" w:tentative="1">
      <w:start w:val="1"/>
      <w:numFmt w:val="lowerLetter"/>
      <w:lvlText w:val="%5."/>
      <w:lvlJc w:val="left"/>
      <w:pPr>
        <w:ind w:left="5250" w:hanging="360"/>
      </w:pPr>
    </w:lvl>
    <w:lvl w:ilvl="5" w:tplc="0C09001B" w:tentative="1">
      <w:start w:val="1"/>
      <w:numFmt w:val="lowerRoman"/>
      <w:lvlText w:val="%6."/>
      <w:lvlJc w:val="right"/>
      <w:pPr>
        <w:ind w:left="5970" w:hanging="180"/>
      </w:pPr>
    </w:lvl>
    <w:lvl w:ilvl="6" w:tplc="0C09000F" w:tentative="1">
      <w:start w:val="1"/>
      <w:numFmt w:val="decimal"/>
      <w:lvlText w:val="%7."/>
      <w:lvlJc w:val="left"/>
      <w:pPr>
        <w:ind w:left="6690" w:hanging="360"/>
      </w:pPr>
    </w:lvl>
    <w:lvl w:ilvl="7" w:tplc="0C090019" w:tentative="1">
      <w:start w:val="1"/>
      <w:numFmt w:val="lowerLetter"/>
      <w:lvlText w:val="%8."/>
      <w:lvlJc w:val="left"/>
      <w:pPr>
        <w:ind w:left="7410" w:hanging="360"/>
      </w:pPr>
    </w:lvl>
    <w:lvl w:ilvl="8" w:tplc="0C09001B" w:tentative="1">
      <w:start w:val="1"/>
      <w:numFmt w:val="lowerRoman"/>
      <w:lvlText w:val="%9."/>
      <w:lvlJc w:val="right"/>
      <w:pPr>
        <w:ind w:left="8130" w:hanging="180"/>
      </w:pPr>
    </w:lvl>
  </w:abstractNum>
  <w:abstractNum w:abstractNumId="2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4" w15:restartNumberingAfterBreak="0">
    <w:nsid w:val="43363A6E"/>
    <w:multiLevelType w:val="hybridMultilevel"/>
    <w:tmpl w:val="F0BC034E"/>
    <w:lvl w:ilvl="0" w:tplc="3B3CBB5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AB225C3"/>
    <w:multiLevelType w:val="hybridMultilevel"/>
    <w:tmpl w:val="BF827DE0"/>
    <w:lvl w:ilvl="0" w:tplc="5EFC56DC">
      <w:start w:val="1"/>
      <w:numFmt w:val="lowerRoman"/>
      <w:lvlText w:val="(%1)"/>
      <w:lvlJc w:val="left"/>
      <w:pPr>
        <w:ind w:left="2880" w:hanging="1230"/>
      </w:pPr>
      <w:rPr>
        <w:rFonts w:hint="default"/>
      </w:rPr>
    </w:lvl>
    <w:lvl w:ilvl="1" w:tplc="0C090019" w:tentative="1">
      <w:start w:val="1"/>
      <w:numFmt w:val="lowerLetter"/>
      <w:lvlText w:val="%2."/>
      <w:lvlJc w:val="left"/>
      <w:pPr>
        <w:ind w:left="2730" w:hanging="360"/>
      </w:pPr>
    </w:lvl>
    <w:lvl w:ilvl="2" w:tplc="0C09001B" w:tentative="1">
      <w:start w:val="1"/>
      <w:numFmt w:val="lowerRoman"/>
      <w:lvlText w:val="%3."/>
      <w:lvlJc w:val="right"/>
      <w:pPr>
        <w:ind w:left="3450" w:hanging="180"/>
      </w:pPr>
    </w:lvl>
    <w:lvl w:ilvl="3" w:tplc="0C09000F" w:tentative="1">
      <w:start w:val="1"/>
      <w:numFmt w:val="decimal"/>
      <w:lvlText w:val="%4."/>
      <w:lvlJc w:val="left"/>
      <w:pPr>
        <w:ind w:left="4170" w:hanging="360"/>
      </w:pPr>
    </w:lvl>
    <w:lvl w:ilvl="4" w:tplc="0C090019" w:tentative="1">
      <w:start w:val="1"/>
      <w:numFmt w:val="lowerLetter"/>
      <w:lvlText w:val="%5."/>
      <w:lvlJc w:val="left"/>
      <w:pPr>
        <w:ind w:left="4890" w:hanging="360"/>
      </w:pPr>
    </w:lvl>
    <w:lvl w:ilvl="5" w:tplc="0C09001B" w:tentative="1">
      <w:start w:val="1"/>
      <w:numFmt w:val="lowerRoman"/>
      <w:lvlText w:val="%6."/>
      <w:lvlJc w:val="right"/>
      <w:pPr>
        <w:ind w:left="5610" w:hanging="180"/>
      </w:pPr>
    </w:lvl>
    <w:lvl w:ilvl="6" w:tplc="0C09000F" w:tentative="1">
      <w:start w:val="1"/>
      <w:numFmt w:val="decimal"/>
      <w:lvlText w:val="%7."/>
      <w:lvlJc w:val="left"/>
      <w:pPr>
        <w:ind w:left="6330" w:hanging="360"/>
      </w:pPr>
    </w:lvl>
    <w:lvl w:ilvl="7" w:tplc="0C090019" w:tentative="1">
      <w:start w:val="1"/>
      <w:numFmt w:val="lowerLetter"/>
      <w:lvlText w:val="%8."/>
      <w:lvlJc w:val="left"/>
      <w:pPr>
        <w:ind w:left="7050" w:hanging="360"/>
      </w:pPr>
    </w:lvl>
    <w:lvl w:ilvl="8" w:tplc="0C09001B" w:tentative="1">
      <w:start w:val="1"/>
      <w:numFmt w:val="lowerRoman"/>
      <w:lvlText w:val="%9."/>
      <w:lvlJc w:val="right"/>
      <w:pPr>
        <w:ind w:left="7770" w:hanging="180"/>
      </w:pPr>
    </w:lvl>
  </w:abstractNum>
  <w:abstractNum w:abstractNumId="26" w15:restartNumberingAfterBreak="0">
    <w:nsid w:val="5EA528CE"/>
    <w:multiLevelType w:val="hybridMultilevel"/>
    <w:tmpl w:val="B150EB20"/>
    <w:lvl w:ilvl="0" w:tplc="7020FA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BAA6FB5"/>
    <w:multiLevelType w:val="hybridMultilevel"/>
    <w:tmpl w:val="A0AEC052"/>
    <w:lvl w:ilvl="0" w:tplc="39FA8E70">
      <w:start w:val="1"/>
      <w:numFmt w:val="lowerRoman"/>
      <w:lvlText w:val="(%1)"/>
      <w:lvlJc w:val="left"/>
      <w:pPr>
        <w:ind w:left="2370" w:hanging="360"/>
      </w:pPr>
      <w:rPr>
        <w:rFonts w:hint="default"/>
      </w:rPr>
    </w:lvl>
    <w:lvl w:ilvl="1" w:tplc="0C090019" w:tentative="1">
      <w:start w:val="1"/>
      <w:numFmt w:val="lowerLetter"/>
      <w:lvlText w:val="%2."/>
      <w:lvlJc w:val="left"/>
      <w:pPr>
        <w:ind w:left="3090" w:hanging="360"/>
      </w:pPr>
    </w:lvl>
    <w:lvl w:ilvl="2" w:tplc="0C09001B" w:tentative="1">
      <w:start w:val="1"/>
      <w:numFmt w:val="lowerRoman"/>
      <w:lvlText w:val="%3."/>
      <w:lvlJc w:val="right"/>
      <w:pPr>
        <w:ind w:left="3810" w:hanging="180"/>
      </w:pPr>
    </w:lvl>
    <w:lvl w:ilvl="3" w:tplc="0C09000F" w:tentative="1">
      <w:start w:val="1"/>
      <w:numFmt w:val="decimal"/>
      <w:lvlText w:val="%4."/>
      <w:lvlJc w:val="left"/>
      <w:pPr>
        <w:ind w:left="4530" w:hanging="360"/>
      </w:pPr>
    </w:lvl>
    <w:lvl w:ilvl="4" w:tplc="0C090019" w:tentative="1">
      <w:start w:val="1"/>
      <w:numFmt w:val="lowerLetter"/>
      <w:lvlText w:val="%5."/>
      <w:lvlJc w:val="left"/>
      <w:pPr>
        <w:ind w:left="5250" w:hanging="360"/>
      </w:pPr>
    </w:lvl>
    <w:lvl w:ilvl="5" w:tplc="0C09001B" w:tentative="1">
      <w:start w:val="1"/>
      <w:numFmt w:val="lowerRoman"/>
      <w:lvlText w:val="%6."/>
      <w:lvlJc w:val="right"/>
      <w:pPr>
        <w:ind w:left="5970" w:hanging="180"/>
      </w:pPr>
    </w:lvl>
    <w:lvl w:ilvl="6" w:tplc="0C09000F" w:tentative="1">
      <w:start w:val="1"/>
      <w:numFmt w:val="decimal"/>
      <w:lvlText w:val="%7."/>
      <w:lvlJc w:val="left"/>
      <w:pPr>
        <w:ind w:left="6690" w:hanging="360"/>
      </w:pPr>
    </w:lvl>
    <w:lvl w:ilvl="7" w:tplc="0C090019" w:tentative="1">
      <w:start w:val="1"/>
      <w:numFmt w:val="lowerLetter"/>
      <w:lvlText w:val="%8."/>
      <w:lvlJc w:val="left"/>
      <w:pPr>
        <w:ind w:left="7410" w:hanging="360"/>
      </w:pPr>
    </w:lvl>
    <w:lvl w:ilvl="8" w:tplc="0C09001B" w:tentative="1">
      <w:start w:val="1"/>
      <w:numFmt w:val="lowerRoman"/>
      <w:lvlText w:val="%9."/>
      <w:lvlJc w:val="right"/>
      <w:pPr>
        <w:ind w:left="813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3"/>
  </w:num>
  <w:num w:numId="13">
    <w:abstractNumId w:val="17"/>
  </w:num>
  <w:num w:numId="14">
    <w:abstractNumId w:val="18"/>
  </w:num>
  <w:num w:numId="15">
    <w:abstractNumId w:val="14"/>
  </w:num>
  <w:num w:numId="16">
    <w:abstractNumId w:val="12"/>
  </w:num>
  <w:num w:numId="17">
    <w:abstractNumId w:val="19"/>
  </w:num>
  <w:num w:numId="18">
    <w:abstractNumId w:val="11"/>
  </w:num>
  <w:num w:numId="19">
    <w:abstractNumId w:val="26"/>
  </w:num>
  <w:num w:numId="20">
    <w:abstractNumId w:val="24"/>
  </w:num>
  <w:num w:numId="21">
    <w:abstractNumId w:val="10"/>
  </w:num>
  <w:num w:numId="22">
    <w:abstractNumId w:val="21"/>
  </w:num>
  <w:num w:numId="23">
    <w:abstractNumId w:val="15"/>
  </w:num>
  <w:num w:numId="24">
    <w:abstractNumId w:val="27"/>
  </w:num>
  <w:num w:numId="25">
    <w:abstractNumId w:val="25"/>
  </w:num>
  <w:num w:numId="26">
    <w:abstractNumId w:val="20"/>
  </w:num>
  <w:num w:numId="27">
    <w:abstractNumId w:val="16"/>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5A4"/>
    <w:rsid w:val="00004174"/>
    <w:rsid w:val="00004470"/>
    <w:rsid w:val="00010368"/>
    <w:rsid w:val="00013004"/>
    <w:rsid w:val="000136AF"/>
    <w:rsid w:val="00016F44"/>
    <w:rsid w:val="00024EB1"/>
    <w:rsid w:val="000258B1"/>
    <w:rsid w:val="00030BCA"/>
    <w:rsid w:val="00040A89"/>
    <w:rsid w:val="0004300C"/>
    <w:rsid w:val="000437C1"/>
    <w:rsid w:val="0004455A"/>
    <w:rsid w:val="00047CA1"/>
    <w:rsid w:val="0005365D"/>
    <w:rsid w:val="000614BF"/>
    <w:rsid w:val="0006709C"/>
    <w:rsid w:val="00074376"/>
    <w:rsid w:val="00077142"/>
    <w:rsid w:val="00091186"/>
    <w:rsid w:val="00092077"/>
    <w:rsid w:val="000978F5"/>
    <w:rsid w:val="000B15CD"/>
    <w:rsid w:val="000B35EB"/>
    <w:rsid w:val="000B5983"/>
    <w:rsid w:val="000D05EF"/>
    <w:rsid w:val="000D707B"/>
    <w:rsid w:val="000E1670"/>
    <w:rsid w:val="000E2261"/>
    <w:rsid w:val="000E32FE"/>
    <w:rsid w:val="000E3739"/>
    <w:rsid w:val="000E47D7"/>
    <w:rsid w:val="000E78B7"/>
    <w:rsid w:val="000F21C1"/>
    <w:rsid w:val="000F310A"/>
    <w:rsid w:val="0010272A"/>
    <w:rsid w:val="0010348A"/>
    <w:rsid w:val="00105068"/>
    <w:rsid w:val="0010745C"/>
    <w:rsid w:val="00107B4E"/>
    <w:rsid w:val="00110CA1"/>
    <w:rsid w:val="00132CEB"/>
    <w:rsid w:val="001339B0"/>
    <w:rsid w:val="00137D53"/>
    <w:rsid w:val="00142B62"/>
    <w:rsid w:val="001441B7"/>
    <w:rsid w:val="0015067D"/>
    <w:rsid w:val="001516CB"/>
    <w:rsid w:val="00152336"/>
    <w:rsid w:val="00157716"/>
    <w:rsid w:val="00157B8B"/>
    <w:rsid w:val="001613FE"/>
    <w:rsid w:val="00161995"/>
    <w:rsid w:val="00166C2F"/>
    <w:rsid w:val="001809D7"/>
    <w:rsid w:val="00182BB8"/>
    <w:rsid w:val="001851BE"/>
    <w:rsid w:val="00185915"/>
    <w:rsid w:val="00186C5B"/>
    <w:rsid w:val="0019135B"/>
    <w:rsid w:val="00191F4E"/>
    <w:rsid w:val="001939E1"/>
    <w:rsid w:val="0019461B"/>
    <w:rsid w:val="00194C3E"/>
    <w:rsid w:val="00195382"/>
    <w:rsid w:val="001A4441"/>
    <w:rsid w:val="001B2CB6"/>
    <w:rsid w:val="001B6A2F"/>
    <w:rsid w:val="001B7DB9"/>
    <w:rsid w:val="001C10AC"/>
    <w:rsid w:val="001C61C5"/>
    <w:rsid w:val="001C69C4"/>
    <w:rsid w:val="001D37EF"/>
    <w:rsid w:val="001E3590"/>
    <w:rsid w:val="001E7407"/>
    <w:rsid w:val="001F5D5E"/>
    <w:rsid w:val="001F6219"/>
    <w:rsid w:val="001F6CD4"/>
    <w:rsid w:val="00203B5A"/>
    <w:rsid w:val="00204488"/>
    <w:rsid w:val="00206C4D"/>
    <w:rsid w:val="00207277"/>
    <w:rsid w:val="00210400"/>
    <w:rsid w:val="00215AF1"/>
    <w:rsid w:val="002321E8"/>
    <w:rsid w:val="00232984"/>
    <w:rsid w:val="00233759"/>
    <w:rsid w:val="0024010F"/>
    <w:rsid w:val="00240749"/>
    <w:rsid w:val="00243018"/>
    <w:rsid w:val="002501BA"/>
    <w:rsid w:val="002564A4"/>
    <w:rsid w:val="002672FB"/>
    <w:rsid w:val="0026736C"/>
    <w:rsid w:val="00281308"/>
    <w:rsid w:val="00284719"/>
    <w:rsid w:val="002875BD"/>
    <w:rsid w:val="00297ECB"/>
    <w:rsid w:val="002A4AAD"/>
    <w:rsid w:val="002A538C"/>
    <w:rsid w:val="002A583A"/>
    <w:rsid w:val="002A7BCF"/>
    <w:rsid w:val="002A7BEE"/>
    <w:rsid w:val="002B07D7"/>
    <w:rsid w:val="002B16A4"/>
    <w:rsid w:val="002C3FD1"/>
    <w:rsid w:val="002C54D2"/>
    <w:rsid w:val="002D043A"/>
    <w:rsid w:val="002D266B"/>
    <w:rsid w:val="002D6224"/>
    <w:rsid w:val="002E246C"/>
    <w:rsid w:val="002E2E33"/>
    <w:rsid w:val="002E678A"/>
    <w:rsid w:val="002F2ED8"/>
    <w:rsid w:val="002F5014"/>
    <w:rsid w:val="00301E19"/>
    <w:rsid w:val="00304F8B"/>
    <w:rsid w:val="00335BC6"/>
    <w:rsid w:val="003406AA"/>
    <w:rsid w:val="003415D3"/>
    <w:rsid w:val="00344338"/>
    <w:rsid w:val="00344701"/>
    <w:rsid w:val="003466F8"/>
    <w:rsid w:val="00352B0F"/>
    <w:rsid w:val="00360459"/>
    <w:rsid w:val="003628D7"/>
    <w:rsid w:val="00362CD5"/>
    <w:rsid w:val="00362D4F"/>
    <w:rsid w:val="003767E2"/>
    <w:rsid w:val="0038049F"/>
    <w:rsid w:val="00380F01"/>
    <w:rsid w:val="00390672"/>
    <w:rsid w:val="003908E4"/>
    <w:rsid w:val="003A2B6E"/>
    <w:rsid w:val="003A7FC6"/>
    <w:rsid w:val="003C6231"/>
    <w:rsid w:val="003C66FB"/>
    <w:rsid w:val="003D0BFE"/>
    <w:rsid w:val="003D335D"/>
    <w:rsid w:val="003D5700"/>
    <w:rsid w:val="003E12B2"/>
    <w:rsid w:val="003E341B"/>
    <w:rsid w:val="003E4D00"/>
    <w:rsid w:val="003F0E18"/>
    <w:rsid w:val="003F38F4"/>
    <w:rsid w:val="004116CD"/>
    <w:rsid w:val="00417EB9"/>
    <w:rsid w:val="00421C4B"/>
    <w:rsid w:val="00424CA9"/>
    <w:rsid w:val="004276DF"/>
    <w:rsid w:val="00431E9B"/>
    <w:rsid w:val="004379E3"/>
    <w:rsid w:val="0044015E"/>
    <w:rsid w:val="0044291A"/>
    <w:rsid w:val="00457EE3"/>
    <w:rsid w:val="00467661"/>
    <w:rsid w:val="00472DBE"/>
    <w:rsid w:val="00474A19"/>
    <w:rsid w:val="00477830"/>
    <w:rsid w:val="00484943"/>
    <w:rsid w:val="004858B2"/>
    <w:rsid w:val="00487764"/>
    <w:rsid w:val="00490701"/>
    <w:rsid w:val="00496F97"/>
    <w:rsid w:val="004A151E"/>
    <w:rsid w:val="004B6C48"/>
    <w:rsid w:val="004C4DC4"/>
    <w:rsid w:val="004C4E59"/>
    <w:rsid w:val="004C6809"/>
    <w:rsid w:val="004E063A"/>
    <w:rsid w:val="004E12FD"/>
    <w:rsid w:val="004E1307"/>
    <w:rsid w:val="004E1D7E"/>
    <w:rsid w:val="004E7BEC"/>
    <w:rsid w:val="004F01F4"/>
    <w:rsid w:val="004F55DF"/>
    <w:rsid w:val="00505D3D"/>
    <w:rsid w:val="00506918"/>
    <w:rsid w:val="00506AF6"/>
    <w:rsid w:val="00516179"/>
    <w:rsid w:val="00516B8D"/>
    <w:rsid w:val="005303C8"/>
    <w:rsid w:val="005318B8"/>
    <w:rsid w:val="00535D5E"/>
    <w:rsid w:val="0053777A"/>
    <w:rsid w:val="00537FBC"/>
    <w:rsid w:val="0054301C"/>
    <w:rsid w:val="00546B87"/>
    <w:rsid w:val="00552F88"/>
    <w:rsid w:val="00554826"/>
    <w:rsid w:val="0055713B"/>
    <w:rsid w:val="00562877"/>
    <w:rsid w:val="00566C68"/>
    <w:rsid w:val="005710F9"/>
    <w:rsid w:val="00573FD3"/>
    <w:rsid w:val="00576849"/>
    <w:rsid w:val="005776A8"/>
    <w:rsid w:val="00584811"/>
    <w:rsid w:val="00585784"/>
    <w:rsid w:val="00586B38"/>
    <w:rsid w:val="005932D0"/>
    <w:rsid w:val="00593AA6"/>
    <w:rsid w:val="00594161"/>
    <w:rsid w:val="00594749"/>
    <w:rsid w:val="005A2DD9"/>
    <w:rsid w:val="005A65D5"/>
    <w:rsid w:val="005A6B29"/>
    <w:rsid w:val="005B4067"/>
    <w:rsid w:val="005C3F41"/>
    <w:rsid w:val="005D13EE"/>
    <w:rsid w:val="005D1D92"/>
    <w:rsid w:val="005D2D09"/>
    <w:rsid w:val="005F06A4"/>
    <w:rsid w:val="005F4860"/>
    <w:rsid w:val="00600219"/>
    <w:rsid w:val="00604F2A"/>
    <w:rsid w:val="00605A67"/>
    <w:rsid w:val="00614138"/>
    <w:rsid w:val="00620076"/>
    <w:rsid w:val="00620F6F"/>
    <w:rsid w:val="00627E0A"/>
    <w:rsid w:val="006444FA"/>
    <w:rsid w:val="0065367B"/>
    <w:rsid w:val="00653BEA"/>
    <w:rsid w:val="0065488B"/>
    <w:rsid w:val="00657D6E"/>
    <w:rsid w:val="00664A1E"/>
    <w:rsid w:val="00665710"/>
    <w:rsid w:val="00670702"/>
    <w:rsid w:val="00670EA1"/>
    <w:rsid w:val="006761A3"/>
    <w:rsid w:val="00677CC2"/>
    <w:rsid w:val="00685649"/>
    <w:rsid w:val="0068744B"/>
    <w:rsid w:val="006905DE"/>
    <w:rsid w:val="0069207B"/>
    <w:rsid w:val="006A0D2C"/>
    <w:rsid w:val="006A154F"/>
    <w:rsid w:val="006A437B"/>
    <w:rsid w:val="006A6B1A"/>
    <w:rsid w:val="006B52DC"/>
    <w:rsid w:val="006B5789"/>
    <w:rsid w:val="006C30C5"/>
    <w:rsid w:val="006C7F8C"/>
    <w:rsid w:val="006E0137"/>
    <w:rsid w:val="006E0BA3"/>
    <w:rsid w:val="006E2E1C"/>
    <w:rsid w:val="006E6246"/>
    <w:rsid w:val="006E69C2"/>
    <w:rsid w:val="006E6DCC"/>
    <w:rsid w:val="006F318F"/>
    <w:rsid w:val="0070017E"/>
    <w:rsid w:val="00700B2C"/>
    <w:rsid w:val="007046D3"/>
    <w:rsid w:val="007050A2"/>
    <w:rsid w:val="007076F1"/>
    <w:rsid w:val="007102A1"/>
    <w:rsid w:val="00713084"/>
    <w:rsid w:val="00714DB3"/>
    <w:rsid w:val="00714F20"/>
    <w:rsid w:val="0071590F"/>
    <w:rsid w:val="00715914"/>
    <w:rsid w:val="00716452"/>
    <w:rsid w:val="0072147A"/>
    <w:rsid w:val="00721BBA"/>
    <w:rsid w:val="00723791"/>
    <w:rsid w:val="007261BD"/>
    <w:rsid w:val="00726B52"/>
    <w:rsid w:val="00731E00"/>
    <w:rsid w:val="00733B3C"/>
    <w:rsid w:val="00733CDD"/>
    <w:rsid w:val="007440B7"/>
    <w:rsid w:val="007500C8"/>
    <w:rsid w:val="00756272"/>
    <w:rsid w:val="00757539"/>
    <w:rsid w:val="00757FEB"/>
    <w:rsid w:val="00762D38"/>
    <w:rsid w:val="007666A6"/>
    <w:rsid w:val="007715C9"/>
    <w:rsid w:val="00771613"/>
    <w:rsid w:val="00772D4C"/>
    <w:rsid w:val="00774EDD"/>
    <w:rsid w:val="007757EC"/>
    <w:rsid w:val="00783E89"/>
    <w:rsid w:val="007920BB"/>
    <w:rsid w:val="00793915"/>
    <w:rsid w:val="007955F4"/>
    <w:rsid w:val="007969C9"/>
    <w:rsid w:val="007A4B7E"/>
    <w:rsid w:val="007B238F"/>
    <w:rsid w:val="007C1F99"/>
    <w:rsid w:val="007C2253"/>
    <w:rsid w:val="007C4CB7"/>
    <w:rsid w:val="007D7911"/>
    <w:rsid w:val="007E163D"/>
    <w:rsid w:val="007E667A"/>
    <w:rsid w:val="007F28C9"/>
    <w:rsid w:val="007F51B2"/>
    <w:rsid w:val="008040DD"/>
    <w:rsid w:val="008117E9"/>
    <w:rsid w:val="00812964"/>
    <w:rsid w:val="00812F10"/>
    <w:rsid w:val="00812FFA"/>
    <w:rsid w:val="00821E35"/>
    <w:rsid w:val="008224E7"/>
    <w:rsid w:val="00824498"/>
    <w:rsid w:val="00826BD1"/>
    <w:rsid w:val="00831191"/>
    <w:rsid w:val="008317F2"/>
    <w:rsid w:val="00836433"/>
    <w:rsid w:val="0084173E"/>
    <w:rsid w:val="008434C0"/>
    <w:rsid w:val="00844A50"/>
    <w:rsid w:val="00854D0B"/>
    <w:rsid w:val="00856139"/>
    <w:rsid w:val="00856A31"/>
    <w:rsid w:val="00860B4E"/>
    <w:rsid w:val="00860B62"/>
    <w:rsid w:val="00867B37"/>
    <w:rsid w:val="008750CC"/>
    <w:rsid w:val="008754D0"/>
    <w:rsid w:val="00875D13"/>
    <w:rsid w:val="00876C84"/>
    <w:rsid w:val="008855C9"/>
    <w:rsid w:val="00886456"/>
    <w:rsid w:val="00896176"/>
    <w:rsid w:val="008A1EA9"/>
    <w:rsid w:val="008A46E1"/>
    <w:rsid w:val="008A4F43"/>
    <w:rsid w:val="008B2706"/>
    <w:rsid w:val="008B3A63"/>
    <w:rsid w:val="008C2EAC"/>
    <w:rsid w:val="008D05AB"/>
    <w:rsid w:val="008D0EE0"/>
    <w:rsid w:val="008D3E10"/>
    <w:rsid w:val="008D5DCB"/>
    <w:rsid w:val="008D64BC"/>
    <w:rsid w:val="008E0027"/>
    <w:rsid w:val="008E01B3"/>
    <w:rsid w:val="008E14FD"/>
    <w:rsid w:val="008E6067"/>
    <w:rsid w:val="008E7922"/>
    <w:rsid w:val="008F54E7"/>
    <w:rsid w:val="00903422"/>
    <w:rsid w:val="00910EA1"/>
    <w:rsid w:val="00916FEC"/>
    <w:rsid w:val="009218D6"/>
    <w:rsid w:val="009254C3"/>
    <w:rsid w:val="0093055C"/>
    <w:rsid w:val="00932377"/>
    <w:rsid w:val="0093388C"/>
    <w:rsid w:val="00941236"/>
    <w:rsid w:val="00943FD5"/>
    <w:rsid w:val="00946636"/>
    <w:rsid w:val="00947D5A"/>
    <w:rsid w:val="00950CD7"/>
    <w:rsid w:val="009532A5"/>
    <w:rsid w:val="009545BD"/>
    <w:rsid w:val="00955718"/>
    <w:rsid w:val="00963EC7"/>
    <w:rsid w:val="00964CF0"/>
    <w:rsid w:val="009714DB"/>
    <w:rsid w:val="00977634"/>
    <w:rsid w:val="00977806"/>
    <w:rsid w:val="00982242"/>
    <w:rsid w:val="009868E9"/>
    <w:rsid w:val="009900A3"/>
    <w:rsid w:val="00995665"/>
    <w:rsid w:val="00997186"/>
    <w:rsid w:val="009A122E"/>
    <w:rsid w:val="009A12FA"/>
    <w:rsid w:val="009A5867"/>
    <w:rsid w:val="009B0F40"/>
    <w:rsid w:val="009B2125"/>
    <w:rsid w:val="009B6D7B"/>
    <w:rsid w:val="009C204B"/>
    <w:rsid w:val="009C3008"/>
    <w:rsid w:val="009C3413"/>
    <w:rsid w:val="009C447C"/>
    <w:rsid w:val="009C7156"/>
    <w:rsid w:val="009C7CD6"/>
    <w:rsid w:val="009D0908"/>
    <w:rsid w:val="009F4A6B"/>
    <w:rsid w:val="00A02ECF"/>
    <w:rsid w:val="00A0441E"/>
    <w:rsid w:val="00A12128"/>
    <w:rsid w:val="00A22C98"/>
    <w:rsid w:val="00A231E2"/>
    <w:rsid w:val="00A258CA"/>
    <w:rsid w:val="00A369E3"/>
    <w:rsid w:val="00A5748A"/>
    <w:rsid w:val="00A57600"/>
    <w:rsid w:val="00A62A6B"/>
    <w:rsid w:val="00A64912"/>
    <w:rsid w:val="00A654F5"/>
    <w:rsid w:val="00A7016C"/>
    <w:rsid w:val="00A70A74"/>
    <w:rsid w:val="00A75FE9"/>
    <w:rsid w:val="00A86A25"/>
    <w:rsid w:val="00AA2F09"/>
    <w:rsid w:val="00AC693D"/>
    <w:rsid w:val="00AD2389"/>
    <w:rsid w:val="00AD2FF9"/>
    <w:rsid w:val="00AD3635"/>
    <w:rsid w:val="00AD53CC"/>
    <w:rsid w:val="00AD5641"/>
    <w:rsid w:val="00AD6467"/>
    <w:rsid w:val="00AE578E"/>
    <w:rsid w:val="00AF06CF"/>
    <w:rsid w:val="00AF0CEB"/>
    <w:rsid w:val="00AF140B"/>
    <w:rsid w:val="00AF24CE"/>
    <w:rsid w:val="00B07CDB"/>
    <w:rsid w:val="00B16A31"/>
    <w:rsid w:val="00B17DFD"/>
    <w:rsid w:val="00B24DF7"/>
    <w:rsid w:val="00B25306"/>
    <w:rsid w:val="00B27831"/>
    <w:rsid w:val="00B308FE"/>
    <w:rsid w:val="00B3239F"/>
    <w:rsid w:val="00B33709"/>
    <w:rsid w:val="00B33B3C"/>
    <w:rsid w:val="00B33BB7"/>
    <w:rsid w:val="00B36392"/>
    <w:rsid w:val="00B418CB"/>
    <w:rsid w:val="00B47444"/>
    <w:rsid w:val="00B50ADC"/>
    <w:rsid w:val="00B566B1"/>
    <w:rsid w:val="00B63834"/>
    <w:rsid w:val="00B72305"/>
    <w:rsid w:val="00B80199"/>
    <w:rsid w:val="00B81EF4"/>
    <w:rsid w:val="00B83204"/>
    <w:rsid w:val="00B856E7"/>
    <w:rsid w:val="00B95309"/>
    <w:rsid w:val="00B95B2D"/>
    <w:rsid w:val="00B95B72"/>
    <w:rsid w:val="00B96278"/>
    <w:rsid w:val="00BA220B"/>
    <w:rsid w:val="00BA3A57"/>
    <w:rsid w:val="00BB036D"/>
    <w:rsid w:val="00BB1533"/>
    <w:rsid w:val="00BB4104"/>
    <w:rsid w:val="00BB4517"/>
    <w:rsid w:val="00BB4E1A"/>
    <w:rsid w:val="00BC015E"/>
    <w:rsid w:val="00BC76AC"/>
    <w:rsid w:val="00BD0ECB"/>
    <w:rsid w:val="00BD1194"/>
    <w:rsid w:val="00BD2651"/>
    <w:rsid w:val="00BE2155"/>
    <w:rsid w:val="00BE719A"/>
    <w:rsid w:val="00BE720A"/>
    <w:rsid w:val="00BF0D73"/>
    <w:rsid w:val="00BF2465"/>
    <w:rsid w:val="00BF4BE1"/>
    <w:rsid w:val="00BF5724"/>
    <w:rsid w:val="00BF7F58"/>
    <w:rsid w:val="00C00AAF"/>
    <w:rsid w:val="00C16619"/>
    <w:rsid w:val="00C17BAE"/>
    <w:rsid w:val="00C23E7F"/>
    <w:rsid w:val="00C25E7F"/>
    <w:rsid w:val="00C2746F"/>
    <w:rsid w:val="00C323D6"/>
    <w:rsid w:val="00C324A0"/>
    <w:rsid w:val="00C42BF8"/>
    <w:rsid w:val="00C50043"/>
    <w:rsid w:val="00C52B1B"/>
    <w:rsid w:val="00C56CFB"/>
    <w:rsid w:val="00C7573B"/>
    <w:rsid w:val="00C763E8"/>
    <w:rsid w:val="00C92A69"/>
    <w:rsid w:val="00C961C0"/>
    <w:rsid w:val="00C97A54"/>
    <w:rsid w:val="00CA38BD"/>
    <w:rsid w:val="00CA5B23"/>
    <w:rsid w:val="00CB602E"/>
    <w:rsid w:val="00CB7E90"/>
    <w:rsid w:val="00CC0D12"/>
    <w:rsid w:val="00CD189D"/>
    <w:rsid w:val="00CD4715"/>
    <w:rsid w:val="00CD530D"/>
    <w:rsid w:val="00CD7878"/>
    <w:rsid w:val="00CE051D"/>
    <w:rsid w:val="00CE1335"/>
    <w:rsid w:val="00CE15E5"/>
    <w:rsid w:val="00CE493D"/>
    <w:rsid w:val="00CF07FA"/>
    <w:rsid w:val="00CF0841"/>
    <w:rsid w:val="00CF0BB2"/>
    <w:rsid w:val="00CF3A0E"/>
    <w:rsid w:val="00CF3EE8"/>
    <w:rsid w:val="00D13441"/>
    <w:rsid w:val="00D145ED"/>
    <w:rsid w:val="00D150E7"/>
    <w:rsid w:val="00D31997"/>
    <w:rsid w:val="00D31FEC"/>
    <w:rsid w:val="00D37F83"/>
    <w:rsid w:val="00D45357"/>
    <w:rsid w:val="00D52DC2"/>
    <w:rsid w:val="00D53BCC"/>
    <w:rsid w:val="00D54C9E"/>
    <w:rsid w:val="00D567BA"/>
    <w:rsid w:val="00D6537E"/>
    <w:rsid w:val="00D70DFB"/>
    <w:rsid w:val="00D749B6"/>
    <w:rsid w:val="00D74B40"/>
    <w:rsid w:val="00D766DF"/>
    <w:rsid w:val="00D80907"/>
    <w:rsid w:val="00D8206C"/>
    <w:rsid w:val="00D852E3"/>
    <w:rsid w:val="00D87347"/>
    <w:rsid w:val="00D91F10"/>
    <w:rsid w:val="00D92DE8"/>
    <w:rsid w:val="00D94BBA"/>
    <w:rsid w:val="00D953FA"/>
    <w:rsid w:val="00D97CA2"/>
    <w:rsid w:val="00DA186E"/>
    <w:rsid w:val="00DA4116"/>
    <w:rsid w:val="00DB251C"/>
    <w:rsid w:val="00DB4630"/>
    <w:rsid w:val="00DC4F88"/>
    <w:rsid w:val="00DE107C"/>
    <w:rsid w:val="00DF2388"/>
    <w:rsid w:val="00DF391D"/>
    <w:rsid w:val="00E00CE0"/>
    <w:rsid w:val="00E05704"/>
    <w:rsid w:val="00E13B4C"/>
    <w:rsid w:val="00E24343"/>
    <w:rsid w:val="00E25056"/>
    <w:rsid w:val="00E255EE"/>
    <w:rsid w:val="00E26DE5"/>
    <w:rsid w:val="00E27C20"/>
    <w:rsid w:val="00E330C2"/>
    <w:rsid w:val="00E338EF"/>
    <w:rsid w:val="00E40241"/>
    <w:rsid w:val="00E41B40"/>
    <w:rsid w:val="00E544BB"/>
    <w:rsid w:val="00E5486B"/>
    <w:rsid w:val="00E56BF6"/>
    <w:rsid w:val="00E601AC"/>
    <w:rsid w:val="00E65EE2"/>
    <w:rsid w:val="00E661FE"/>
    <w:rsid w:val="00E6784F"/>
    <w:rsid w:val="00E705A4"/>
    <w:rsid w:val="00E74DC7"/>
    <w:rsid w:val="00E8075A"/>
    <w:rsid w:val="00E86F3A"/>
    <w:rsid w:val="00E8779D"/>
    <w:rsid w:val="00E940D8"/>
    <w:rsid w:val="00E94D5E"/>
    <w:rsid w:val="00EA15FD"/>
    <w:rsid w:val="00EA177E"/>
    <w:rsid w:val="00EA6FE7"/>
    <w:rsid w:val="00EA7100"/>
    <w:rsid w:val="00EA7F9F"/>
    <w:rsid w:val="00EB1274"/>
    <w:rsid w:val="00EC73F7"/>
    <w:rsid w:val="00EC7FAE"/>
    <w:rsid w:val="00ED26F4"/>
    <w:rsid w:val="00ED2BB6"/>
    <w:rsid w:val="00ED34E1"/>
    <w:rsid w:val="00ED3B8D"/>
    <w:rsid w:val="00EE5E36"/>
    <w:rsid w:val="00EE7909"/>
    <w:rsid w:val="00EF2E3A"/>
    <w:rsid w:val="00F02C7C"/>
    <w:rsid w:val="00F072A7"/>
    <w:rsid w:val="00F078DC"/>
    <w:rsid w:val="00F22815"/>
    <w:rsid w:val="00F32BA8"/>
    <w:rsid w:val="00F32EE0"/>
    <w:rsid w:val="00F349F1"/>
    <w:rsid w:val="00F41AEB"/>
    <w:rsid w:val="00F4350D"/>
    <w:rsid w:val="00F47865"/>
    <w:rsid w:val="00F479C4"/>
    <w:rsid w:val="00F55369"/>
    <w:rsid w:val="00F55970"/>
    <w:rsid w:val="00F567F7"/>
    <w:rsid w:val="00F6696E"/>
    <w:rsid w:val="00F73BD6"/>
    <w:rsid w:val="00F80B50"/>
    <w:rsid w:val="00F83989"/>
    <w:rsid w:val="00F85099"/>
    <w:rsid w:val="00F9379C"/>
    <w:rsid w:val="00F93872"/>
    <w:rsid w:val="00F9632C"/>
    <w:rsid w:val="00FA1E52"/>
    <w:rsid w:val="00FA5EFE"/>
    <w:rsid w:val="00FA7EC0"/>
    <w:rsid w:val="00FB0427"/>
    <w:rsid w:val="00FB1C3B"/>
    <w:rsid w:val="00FB2D04"/>
    <w:rsid w:val="00FB310A"/>
    <w:rsid w:val="00FB50BE"/>
    <w:rsid w:val="00FB5A08"/>
    <w:rsid w:val="00FC519E"/>
    <w:rsid w:val="00FC6A80"/>
    <w:rsid w:val="00FC6CED"/>
    <w:rsid w:val="00FD2F1C"/>
    <w:rsid w:val="00FE2DB3"/>
    <w:rsid w:val="00FE34B6"/>
    <w:rsid w:val="00FE4688"/>
    <w:rsid w:val="00FF0D79"/>
    <w:rsid w:val="00FF305A"/>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3FA445"/>
  <w15:docId w15:val="{0045D83E-778D-42E9-81BB-0CC37A1F1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B81EF4"/>
    <w:rPr>
      <w:sz w:val="16"/>
      <w:szCs w:val="16"/>
    </w:rPr>
  </w:style>
  <w:style w:type="paragraph" w:styleId="CommentText">
    <w:name w:val="annotation text"/>
    <w:basedOn w:val="Normal"/>
    <w:link w:val="CommentTextChar"/>
    <w:uiPriority w:val="99"/>
    <w:semiHidden/>
    <w:unhideWhenUsed/>
    <w:rsid w:val="00B81EF4"/>
    <w:pPr>
      <w:spacing w:line="240" w:lineRule="auto"/>
    </w:pPr>
    <w:rPr>
      <w:sz w:val="20"/>
    </w:rPr>
  </w:style>
  <w:style w:type="character" w:customStyle="1" w:styleId="CommentTextChar">
    <w:name w:val="Comment Text Char"/>
    <w:basedOn w:val="DefaultParagraphFont"/>
    <w:link w:val="CommentText"/>
    <w:uiPriority w:val="99"/>
    <w:semiHidden/>
    <w:rsid w:val="00B81EF4"/>
  </w:style>
  <w:style w:type="paragraph" w:styleId="CommentSubject">
    <w:name w:val="annotation subject"/>
    <w:basedOn w:val="CommentText"/>
    <w:next w:val="CommentText"/>
    <w:link w:val="CommentSubjectChar"/>
    <w:uiPriority w:val="99"/>
    <w:semiHidden/>
    <w:unhideWhenUsed/>
    <w:rsid w:val="00B81EF4"/>
    <w:rPr>
      <w:b/>
      <w:bCs/>
    </w:rPr>
  </w:style>
  <w:style w:type="character" w:customStyle="1" w:styleId="CommentSubjectChar">
    <w:name w:val="Comment Subject Char"/>
    <w:basedOn w:val="CommentTextChar"/>
    <w:link w:val="CommentSubject"/>
    <w:uiPriority w:val="99"/>
    <w:semiHidden/>
    <w:rsid w:val="00B81EF4"/>
    <w:rPr>
      <w:b/>
      <w:bCs/>
    </w:rPr>
  </w:style>
  <w:style w:type="paragraph" w:customStyle="1" w:styleId="definition0">
    <w:name w:val="definition"/>
    <w:basedOn w:val="Normal"/>
    <w:rsid w:val="00FB310A"/>
    <w:pPr>
      <w:spacing w:before="100" w:beforeAutospacing="1" w:after="100" w:afterAutospacing="1" w:line="240" w:lineRule="auto"/>
    </w:pPr>
    <w:rPr>
      <w:rFonts w:eastAsia="Times New Roman" w:cs="Times New Roman"/>
      <w:sz w:val="24"/>
      <w:szCs w:val="24"/>
      <w:lang w:eastAsia="en-AU"/>
    </w:rPr>
  </w:style>
  <w:style w:type="paragraph" w:styleId="Revision">
    <w:name w:val="Revision"/>
    <w:hidden/>
    <w:uiPriority w:val="99"/>
    <w:semiHidden/>
    <w:rsid w:val="00AD646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028175">
      <w:bodyDiv w:val="1"/>
      <w:marLeft w:val="0"/>
      <w:marRight w:val="0"/>
      <w:marTop w:val="0"/>
      <w:marBottom w:val="0"/>
      <w:divBdr>
        <w:top w:val="none" w:sz="0" w:space="0" w:color="auto"/>
        <w:left w:val="none" w:sz="0" w:space="0" w:color="auto"/>
        <w:bottom w:val="none" w:sz="0" w:space="0" w:color="auto"/>
        <w:right w:val="none" w:sz="0" w:space="0" w:color="auto"/>
      </w:divBdr>
    </w:div>
    <w:div w:id="953097313">
      <w:bodyDiv w:val="1"/>
      <w:marLeft w:val="0"/>
      <w:marRight w:val="0"/>
      <w:marTop w:val="0"/>
      <w:marBottom w:val="0"/>
      <w:divBdr>
        <w:top w:val="none" w:sz="0" w:space="0" w:color="auto"/>
        <w:left w:val="none" w:sz="0" w:space="0" w:color="auto"/>
        <w:bottom w:val="none" w:sz="0" w:space="0" w:color="auto"/>
        <w:right w:val="none" w:sz="0" w:space="0" w:color="auto"/>
      </w:divBdr>
      <w:divsChild>
        <w:div w:id="1602227059">
          <w:marLeft w:val="0"/>
          <w:marRight w:val="0"/>
          <w:marTop w:val="0"/>
          <w:marBottom w:val="0"/>
          <w:divBdr>
            <w:top w:val="none" w:sz="0" w:space="0" w:color="auto"/>
            <w:left w:val="none" w:sz="0" w:space="0" w:color="auto"/>
            <w:bottom w:val="none" w:sz="0" w:space="0" w:color="auto"/>
            <w:right w:val="none" w:sz="0" w:space="0" w:color="auto"/>
          </w:divBdr>
          <w:divsChild>
            <w:div w:id="1414626088">
              <w:marLeft w:val="0"/>
              <w:marRight w:val="0"/>
              <w:marTop w:val="0"/>
              <w:marBottom w:val="0"/>
              <w:divBdr>
                <w:top w:val="none" w:sz="0" w:space="0" w:color="auto"/>
                <w:left w:val="none" w:sz="0" w:space="0" w:color="auto"/>
                <w:bottom w:val="none" w:sz="0" w:space="0" w:color="auto"/>
                <w:right w:val="none" w:sz="0" w:space="0" w:color="auto"/>
              </w:divBdr>
              <w:divsChild>
                <w:div w:id="1439906095">
                  <w:marLeft w:val="0"/>
                  <w:marRight w:val="0"/>
                  <w:marTop w:val="0"/>
                  <w:marBottom w:val="0"/>
                  <w:divBdr>
                    <w:top w:val="none" w:sz="0" w:space="0" w:color="auto"/>
                    <w:left w:val="none" w:sz="0" w:space="0" w:color="auto"/>
                    <w:bottom w:val="none" w:sz="0" w:space="0" w:color="auto"/>
                    <w:right w:val="none" w:sz="0" w:space="0" w:color="auto"/>
                  </w:divBdr>
                  <w:divsChild>
                    <w:div w:id="634723852">
                      <w:marLeft w:val="0"/>
                      <w:marRight w:val="0"/>
                      <w:marTop w:val="0"/>
                      <w:marBottom w:val="0"/>
                      <w:divBdr>
                        <w:top w:val="none" w:sz="0" w:space="0" w:color="auto"/>
                        <w:left w:val="none" w:sz="0" w:space="0" w:color="auto"/>
                        <w:bottom w:val="none" w:sz="0" w:space="0" w:color="auto"/>
                        <w:right w:val="none" w:sz="0" w:space="0" w:color="auto"/>
                      </w:divBdr>
                      <w:divsChild>
                        <w:div w:id="795488867">
                          <w:marLeft w:val="0"/>
                          <w:marRight w:val="0"/>
                          <w:marTop w:val="0"/>
                          <w:marBottom w:val="0"/>
                          <w:divBdr>
                            <w:top w:val="none" w:sz="0" w:space="0" w:color="auto"/>
                            <w:left w:val="none" w:sz="0" w:space="0" w:color="auto"/>
                            <w:bottom w:val="none" w:sz="0" w:space="0" w:color="auto"/>
                            <w:right w:val="none" w:sz="0" w:space="0" w:color="auto"/>
                          </w:divBdr>
                          <w:divsChild>
                            <w:div w:id="1455783826">
                              <w:marLeft w:val="0"/>
                              <w:marRight w:val="0"/>
                              <w:marTop w:val="0"/>
                              <w:marBottom w:val="0"/>
                              <w:divBdr>
                                <w:top w:val="none" w:sz="0" w:space="0" w:color="auto"/>
                                <w:left w:val="none" w:sz="0" w:space="0" w:color="auto"/>
                                <w:bottom w:val="none" w:sz="0" w:space="0" w:color="auto"/>
                                <w:right w:val="none" w:sz="0" w:space="0" w:color="auto"/>
                              </w:divBdr>
                              <w:divsChild>
                                <w:div w:id="1686858982">
                                  <w:marLeft w:val="0"/>
                                  <w:marRight w:val="0"/>
                                  <w:marTop w:val="0"/>
                                  <w:marBottom w:val="0"/>
                                  <w:divBdr>
                                    <w:top w:val="none" w:sz="0" w:space="0" w:color="auto"/>
                                    <w:left w:val="none" w:sz="0" w:space="0" w:color="auto"/>
                                    <w:bottom w:val="none" w:sz="0" w:space="0" w:color="auto"/>
                                    <w:right w:val="none" w:sz="0" w:space="0" w:color="auto"/>
                                  </w:divBdr>
                                  <w:divsChild>
                                    <w:div w:id="1637100620">
                                      <w:marLeft w:val="0"/>
                                      <w:marRight w:val="0"/>
                                      <w:marTop w:val="0"/>
                                      <w:marBottom w:val="0"/>
                                      <w:divBdr>
                                        <w:top w:val="none" w:sz="0" w:space="0" w:color="auto"/>
                                        <w:left w:val="none" w:sz="0" w:space="0" w:color="auto"/>
                                        <w:bottom w:val="none" w:sz="0" w:space="0" w:color="auto"/>
                                        <w:right w:val="none" w:sz="0" w:space="0" w:color="auto"/>
                                      </w:divBdr>
                                      <w:divsChild>
                                        <w:div w:id="419449460">
                                          <w:marLeft w:val="0"/>
                                          <w:marRight w:val="0"/>
                                          <w:marTop w:val="0"/>
                                          <w:marBottom w:val="0"/>
                                          <w:divBdr>
                                            <w:top w:val="none" w:sz="0" w:space="0" w:color="auto"/>
                                            <w:left w:val="none" w:sz="0" w:space="0" w:color="auto"/>
                                            <w:bottom w:val="none" w:sz="0" w:space="0" w:color="auto"/>
                                            <w:right w:val="none" w:sz="0" w:space="0" w:color="auto"/>
                                          </w:divBdr>
                                          <w:divsChild>
                                            <w:div w:id="1176841139">
                                              <w:marLeft w:val="0"/>
                                              <w:marRight w:val="0"/>
                                              <w:marTop w:val="0"/>
                                              <w:marBottom w:val="0"/>
                                              <w:divBdr>
                                                <w:top w:val="none" w:sz="0" w:space="0" w:color="auto"/>
                                                <w:left w:val="none" w:sz="0" w:space="0" w:color="auto"/>
                                                <w:bottom w:val="none" w:sz="0" w:space="0" w:color="auto"/>
                                                <w:right w:val="none" w:sz="0" w:space="0" w:color="auto"/>
                                              </w:divBdr>
                                              <w:divsChild>
                                                <w:div w:id="683092553">
                                                  <w:marLeft w:val="0"/>
                                                  <w:marRight w:val="0"/>
                                                  <w:marTop w:val="0"/>
                                                  <w:marBottom w:val="0"/>
                                                  <w:divBdr>
                                                    <w:top w:val="none" w:sz="0" w:space="0" w:color="auto"/>
                                                    <w:left w:val="none" w:sz="0" w:space="0" w:color="auto"/>
                                                    <w:bottom w:val="none" w:sz="0" w:space="0" w:color="auto"/>
                                                    <w:right w:val="none" w:sz="0" w:space="0" w:color="auto"/>
                                                  </w:divBdr>
                                                  <w:divsChild>
                                                    <w:div w:id="1853520902">
                                                      <w:marLeft w:val="0"/>
                                                      <w:marRight w:val="0"/>
                                                      <w:marTop w:val="0"/>
                                                      <w:marBottom w:val="0"/>
                                                      <w:divBdr>
                                                        <w:top w:val="none" w:sz="0" w:space="0" w:color="auto"/>
                                                        <w:left w:val="none" w:sz="0" w:space="0" w:color="auto"/>
                                                        <w:bottom w:val="none" w:sz="0" w:space="0" w:color="auto"/>
                                                        <w:right w:val="none" w:sz="0" w:space="0" w:color="auto"/>
                                                      </w:divBdr>
                                                      <w:divsChild>
                                                        <w:div w:id="18736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3525464">
      <w:bodyDiv w:val="1"/>
      <w:marLeft w:val="0"/>
      <w:marRight w:val="0"/>
      <w:marTop w:val="0"/>
      <w:marBottom w:val="0"/>
      <w:divBdr>
        <w:top w:val="none" w:sz="0" w:space="0" w:color="auto"/>
        <w:left w:val="none" w:sz="0" w:space="0" w:color="auto"/>
        <w:bottom w:val="none" w:sz="0" w:space="0" w:color="auto"/>
        <w:right w:val="none" w:sz="0" w:space="0" w:color="auto"/>
      </w:divBdr>
    </w:div>
    <w:div w:id="197744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4A942-F3BE-4E47-ADB8-A4B03EB42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TotalTime>
  <Pages>8</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Navreen.Kular@health.gov.au</dc:creator>
  <cp:lastModifiedBy>KULAR, Navreen</cp:lastModifiedBy>
  <cp:revision>35</cp:revision>
  <cp:lastPrinted>2021-08-06T01:49:00Z</cp:lastPrinted>
  <dcterms:created xsi:type="dcterms:W3CDTF">2021-08-06T02:00:00Z</dcterms:created>
  <dcterms:modified xsi:type="dcterms:W3CDTF">2021-11-19T07:44:00Z</dcterms:modified>
</cp:coreProperties>
</file>