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42CD7" w14:textId="77777777" w:rsidR="00D471C9" w:rsidRPr="00995753" w:rsidRDefault="00D471C9" w:rsidP="00411DE2">
      <w:pPr>
        <w:spacing w:line="240" w:lineRule="auto"/>
      </w:pPr>
    </w:p>
    <w:p w14:paraId="196B0A9B" w14:textId="77777777" w:rsidR="00717B28" w:rsidRDefault="00717B28" w:rsidP="00411DE2">
      <w:pPr>
        <w:rPr>
          <w:sz w:val="28"/>
        </w:rPr>
      </w:pPr>
      <w:bookmarkStart w:id="0" w:name="_GoBack"/>
      <w:r>
        <w:rPr>
          <w:noProof/>
          <w:lang w:eastAsia="en-AU"/>
        </w:rPr>
        <w:drawing>
          <wp:inline distT="0" distB="0" distL="0" distR="0" wp14:anchorId="07213AAD" wp14:editId="529A6565">
            <wp:extent cx="1503328" cy="1105200"/>
            <wp:effectExtent l="0" t="0" r="1905" b="0"/>
            <wp:docPr id="1" name="Picture 1" descr="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3A82AB35" w14:textId="77777777" w:rsidR="00717B28" w:rsidRDefault="00717B28" w:rsidP="00411DE2">
      <w:pPr>
        <w:rPr>
          <w:sz w:val="19"/>
        </w:rPr>
      </w:pPr>
    </w:p>
    <w:p w14:paraId="41EEF45C" w14:textId="48D50C0E" w:rsidR="00717B28" w:rsidRDefault="00717B28" w:rsidP="00411DE2">
      <w:pPr>
        <w:pStyle w:val="ShortT"/>
      </w:pPr>
      <w:r>
        <w:t>Competition and Consumer (Consumer Data Right) Amendment Rules (No. 2) 2021</w:t>
      </w:r>
    </w:p>
    <w:p w14:paraId="358FFD1F" w14:textId="50FFC13F" w:rsidR="00056DD3" w:rsidRDefault="00056DD3" w:rsidP="00411DE2">
      <w:pPr>
        <w:pStyle w:val="SignCoverPageStart"/>
        <w:spacing w:before="240"/>
        <w:rPr>
          <w:szCs w:val="22"/>
        </w:rPr>
      </w:pPr>
      <w:r>
        <w:rPr>
          <w:szCs w:val="22"/>
        </w:rPr>
        <w:t>I, Jane Hume, Minister for Superannuation, Financial Services and the Digital Economy, make the following rules.</w:t>
      </w:r>
    </w:p>
    <w:p w14:paraId="22DBA9DB" w14:textId="03DD3D1F" w:rsidR="00D471C9" w:rsidRPr="00995753" w:rsidRDefault="009A21DF" w:rsidP="00411DE2">
      <w:pPr>
        <w:keepNext/>
        <w:spacing w:before="300" w:line="240" w:lineRule="atLeast"/>
        <w:ind w:right="397"/>
        <w:jc w:val="both"/>
        <w:rPr>
          <w:szCs w:val="22"/>
        </w:rPr>
      </w:pPr>
      <w:r>
        <w:rPr>
          <w:szCs w:val="22"/>
        </w:rPr>
        <w:t>Dated</w:t>
      </w:r>
      <w:r>
        <w:rPr>
          <w:szCs w:val="22"/>
        </w:rPr>
        <w:tab/>
      </w:r>
      <w:r w:rsidR="00F12050">
        <w:rPr>
          <w:szCs w:val="22"/>
        </w:rPr>
        <w:t>12 November 2021</w:t>
      </w:r>
      <w:r w:rsidR="00D471C9" w:rsidRPr="00995753">
        <w:rPr>
          <w:szCs w:val="22"/>
        </w:rPr>
        <w:tab/>
      </w:r>
      <w:r w:rsidR="00D471C9" w:rsidRPr="00995753">
        <w:rPr>
          <w:szCs w:val="22"/>
        </w:rPr>
        <w:tab/>
      </w:r>
      <w:r w:rsidR="00D471C9" w:rsidRPr="00995753">
        <w:rPr>
          <w:szCs w:val="22"/>
        </w:rPr>
        <w:tab/>
      </w:r>
    </w:p>
    <w:p w14:paraId="727855C0" w14:textId="18631720" w:rsidR="00D471C9" w:rsidRPr="00995753" w:rsidRDefault="008F43A1" w:rsidP="00411DE2">
      <w:pPr>
        <w:keepNext/>
        <w:tabs>
          <w:tab w:val="left" w:pos="3402"/>
        </w:tabs>
        <w:spacing w:before="1440" w:line="300" w:lineRule="atLeast"/>
        <w:ind w:right="397"/>
      </w:pPr>
      <w:r w:rsidRPr="00995753">
        <w:t xml:space="preserve">Jane Hume </w:t>
      </w:r>
    </w:p>
    <w:p w14:paraId="1C0CAF0F" w14:textId="70DEC8E4" w:rsidR="00063379" w:rsidRDefault="008F43A1" w:rsidP="00411DE2">
      <w:pPr>
        <w:pStyle w:val="SignCoverPageEnd"/>
        <w:ind w:right="91"/>
        <w:rPr>
          <w:sz w:val="22"/>
          <w:szCs w:val="22"/>
        </w:rPr>
      </w:pPr>
      <w:r w:rsidRPr="00EC146C">
        <w:rPr>
          <w:sz w:val="22"/>
          <w:szCs w:val="22"/>
        </w:rPr>
        <w:t>Minister for Superannuation, Financial Services and the Digital Economy</w:t>
      </w:r>
    </w:p>
    <w:p w14:paraId="3775A768" w14:textId="77777777" w:rsidR="00063379" w:rsidRPr="00063379" w:rsidRDefault="00063379" w:rsidP="00411DE2">
      <w:pPr>
        <w:rPr>
          <w:lang w:eastAsia="en-AU"/>
        </w:rPr>
      </w:pPr>
    </w:p>
    <w:p w14:paraId="2EB7CAC3" w14:textId="77777777" w:rsidR="00063379" w:rsidRPr="00063379" w:rsidRDefault="00063379" w:rsidP="00411DE2">
      <w:pPr>
        <w:rPr>
          <w:lang w:eastAsia="en-AU"/>
        </w:rPr>
      </w:pPr>
    </w:p>
    <w:p w14:paraId="4971AC94" w14:textId="77777777" w:rsidR="00063379" w:rsidRPr="00063379" w:rsidRDefault="00063379" w:rsidP="00411DE2">
      <w:pPr>
        <w:rPr>
          <w:lang w:eastAsia="en-AU"/>
        </w:rPr>
      </w:pPr>
    </w:p>
    <w:p w14:paraId="120CFB0A" w14:textId="77777777" w:rsidR="00063379" w:rsidRPr="00063379" w:rsidRDefault="00063379" w:rsidP="00411DE2">
      <w:pPr>
        <w:rPr>
          <w:lang w:eastAsia="en-AU"/>
        </w:rPr>
      </w:pPr>
    </w:p>
    <w:p w14:paraId="111D9FEB" w14:textId="77777777" w:rsidR="00063379" w:rsidRPr="00063379" w:rsidRDefault="00063379" w:rsidP="00411DE2">
      <w:pPr>
        <w:rPr>
          <w:lang w:eastAsia="en-AU"/>
        </w:rPr>
      </w:pPr>
    </w:p>
    <w:p w14:paraId="064702E8" w14:textId="77777777" w:rsidR="00063379" w:rsidRPr="00063379" w:rsidRDefault="00063379" w:rsidP="00411DE2">
      <w:pPr>
        <w:rPr>
          <w:lang w:eastAsia="en-AU"/>
        </w:rPr>
      </w:pPr>
    </w:p>
    <w:p w14:paraId="5FE22A6C" w14:textId="77777777" w:rsidR="00063379" w:rsidRPr="00063379" w:rsidRDefault="00063379" w:rsidP="00411DE2">
      <w:pPr>
        <w:rPr>
          <w:lang w:eastAsia="en-AU"/>
        </w:rPr>
      </w:pPr>
    </w:p>
    <w:p w14:paraId="5DDCCEAC" w14:textId="77777777" w:rsidR="00063379" w:rsidRPr="00063379" w:rsidRDefault="00063379" w:rsidP="00411DE2">
      <w:pPr>
        <w:rPr>
          <w:lang w:eastAsia="en-AU"/>
        </w:rPr>
      </w:pPr>
    </w:p>
    <w:p w14:paraId="2009CC27" w14:textId="77777777" w:rsidR="00063379" w:rsidRPr="00063379" w:rsidRDefault="00063379" w:rsidP="00411DE2">
      <w:pPr>
        <w:rPr>
          <w:lang w:eastAsia="en-AU"/>
        </w:rPr>
      </w:pPr>
    </w:p>
    <w:p w14:paraId="4A91A270" w14:textId="77777777" w:rsidR="00063379" w:rsidRPr="00063379" w:rsidRDefault="00063379" w:rsidP="00411DE2">
      <w:pPr>
        <w:rPr>
          <w:lang w:eastAsia="en-AU"/>
        </w:rPr>
      </w:pPr>
    </w:p>
    <w:p w14:paraId="4B364974" w14:textId="77777777" w:rsidR="00063379" w:rsidRPr="00063379" w:rsidRDefault="00063379" w:rsidP="00411DE2">
      <w:pPr>
        <w:rPr>
          <w:lang w:eastAsia="en-AU"/>
        </w:rPr>
      </w:pPr>
    </w:p>
    <w:p w14:paraId="0C401A2B" w14:textId="77777777" w:rsidR="00063379" w:rsidRPr="00063379" w:rsidRDefault="00063379" w:rsidP="00411DE2">
      <w:pPr>
        <w:rPr>
          <w:lang w:eastAsia="en-AU"/>
        </w:rPr>
      </w:pPr>
    </w:p>
    <w:p w14:paraId="1EE9F8B0" w14:textId="77777777" w:rsidR="00063379" w:rsidRPr="00063379" w:rsidRDefault="00063379" w:rsidP="00411DE2">
      <w:pPr>
        <w:rPr>
          <w:lang w:eastAsia="en-AU"/>
        </w:rPr>
      </w:pPr>
    </w:p>
    <w:p w14:paraId="531F62D0" w14:textId="77777777" w:rsidR="00063379" w:rsidRPr="00063379" w:rsidRDefault="00063379" w:rsidP="00411DE2">
      <w:pPr>
        <w:rPr>
          <w:lang w:eastAsia="en-AU"/>
        </w:rPr>
      </w:pPr>
    </w:p>
    <w:p w14:paraId="0EC21082" w14:textId="77777777" w:rsidR="00063379" w:rsidRPr="00063379" w:rsidRDefault="00063379" w:rsidP="00411DE2">
      <w:pPr>
        <w:rPr>
          <w:lang w:eastAsia="en-AU"/>
        </w:rPr>
      </w:pPr>
    </w:p>
    <w:p w14:paraId="0A9B7CE4" w14:textId="77777777" w:rsidR="00063379" w:rsidRPr="00063379" w:rsidRDefault="00063379" w:rsidP="00411DE2">
      <w:pPr>
        <w:rPr>
          <w:lang w:eastAsia="en-AU"/>
        </w:rPr>
      </w:pPr>
    </w:p>
    <w:p w14:paraId="1406B4C0" w14:textId="77777777" w:rsidR="00063379" w:rsidRPr="00063379" w:rsidRDefault="00063379" w:rsidP="00411DE2">
      <w:pPr>
        <w:rPr>
          <w:lang w:eastAsia="en-AU"/>
        </w:rPr>
      </w:pPr>
    </w:p>
    <w:p w14:paraId="1B0FB70D" w14:textId="77777777" w:rsidR="00063379" w:rsidRPr="00063379" w:rsidRDefault="00063379" w:rsidP="00411DE2">
      <w:pPr>
        <w:rPr>
          <w:lang w:eastAsia="en-AU"/>
        </w:rPr>
      </w:pPr>
    </w:p>
    <w:p w14:paraId="0316FE2E" w14:textId="77777777" w:rsidR="00063379" w:rsidRPr="00063379" w:rsidRDefault="00063379" w:rsidP="00411DE2">
      <w:pPr>
        <w:rPr>
          <w:lang w:eastAsia="en-AU"/>
        </w:rPr>
      </w:pPr>
    </w:p>
    <w:p w14:paraId="42052CBC" w14:textId="77777777" w:rsidR="00063379" w:rsidRPr="00063379" w:rsidRDefault="00063379" w:rsidP="00411DE2">
      <w:pPr>
        <w:rPr>
          <w:lang w:eastAsia="en-AU"/>
        </w:rPr>
      </w:pPr>
    </w:p>
    <w:p w14:paraId="0915C529" w14:textId="77777777" w:rsidR="00063379" w:rsidRPr="00063379" w:rsidRDefault="00063379" w:rsidP="00411DE2">
      <w:pPr>
        <w:rPr>
          <w:lang w:eastAsia="en-AU"/>
        </w:rPr>
      </w:pPr>
    </w:p>
    <w:p w14:paraId="2DCDB822" w14:textId="1AD06C00" w:rsidR="00063379" w:rsidRDefault="00063379" w:rsidP="00411DE2">
      <w:pPr>
        <w:rPr>
          <w:lang w:eastAsia="en-AU"/>
        </w:rPr>
      </w:pPr>
    </w:p>
    <w:p w14:paraId="1BE5C2C6" w14:textId="2996D1BF" w:rsidR="00063379" w:rsidRDefault="00063379" w:rsidP="00411DE2">
      <w:pPr>
        <w:rPr>
          <w:lang w:eastAsia="en-AU"/>
        </w:rPr>
      </w:pPr>
    </w:p>
    <w:p w14:paraId="19F951C6" w14:textId="08BF18D1" w:rsidR="00063379" w:rsidRDefault="00063379" w:rsidP="00411DE2">
      <w:pPr>
        <w:rPr>
          <w:lang w:eastAsia="en-AU"/>
        </w:rPr>
      </w:pPr>
    </w:p>
    <w:p w14:paraId="2627C33F" w14:textId="774F4C40" w:rsidR="00063379" w:rsidRDefault="00063379" w:rsidP="00411DE2">
      <w:pPr>
        <w:rPr>
          <w:lang w:eastAsia="en-AU"/>
        </w:rPr>
      </w:pPr>
    </w:p>
    <w:p w14:paraId="382D273D" w14:textId="77777777" w:rsidR="00063379" w:rsidRPr="00063379" w:rsidRDefault="00063379" w:rsidP="00411DE2">
      <w:pPr>
        <w:rPr>
          <w:lang w:eastAsia="en-AU"/>
        </w:rPr>
      </w:pPr>
    </w:p>
    <w:p w14:paraId="2E378AEA" w14:textId="295CE878" w:rsidR="00D471C9" w:rsidRPr="00063379" w:rsidRDefault="00063379" w:rsidP="00411DE2">
      <w:pPr>
        <w:pStyle w:val="Footer"/>
        <w:sectPr w:rsidR="00D471C9" w:rsidRPr="00063379" w:rsidSect="00DB20B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r>
        <w:rPr>
          <w:sz w:val="16"/>
        </w:rPr>
        <w:fldChar w:fldCharType="begin"/>
      </w:r>
      <w:r>
        <w:rPr>
          <w:sz w:val="16"/>
        </w:rPr>
        <w:instrText xml:space="preserve"> DOCPROPERTY  WSFooter  \* MERGEFORMAT </w:instrText>
      </w:r>
      <w:r>
        <w:rPr>
          <w:sz w:val="16"/>
        </w:rPr>
        <w:fldChar w:fldCharType="separate"/>
      </w:r>
      <w:r>
        <w:rPr>
          <w:sz w:val="16"/>
        </w:rPr>
        <w:t>41769545</w:t>
      </w:r>
      <w:r>
        <w:rPr>
          <w:sz w:val="16"/>
        </w:rPr>
        <w:fldChar w:fldCharType="end"/>
      </w:r>
    </w:p>
    <w:p w14:paraId="2DA48DDE" w14:textId="77777777" w:rsidR="00D471C9" w:rsidRPr="00995753" w:rsidRDefault="00D471C9" w:rsidP="00411DE2">
      <w:pPr>
        <w:outlineLvl w:val="0"/>
        <w:rPr>
          <w:sz w:val="36"/>
        </w:rPr>
      </w:pPr>
      <w:r w:rsidRPr="00995753">
        <w:rPr>
          <w:sz w:val="36"/>
        </w:rPr>
        <w:lastRenderedPageBreak/>
        <w:t>Contents</w:t>
      </w:r>
    </w:p>
    <w:p w14:paraId="1CE35910" w14:textId="1B862DED" w:rsidR="00120121" w:rsidRPr="00995753" w:rsidRDefault="00120121" w:rsidP="00411DE2">
      <w:pPr>
        <w:pStyle w:val="TOC5"/>
        <w:rPr>
          <w:rFonts w:asciiTheme="minorHAnsi" w:eastAsiaTheme="minorEastAsia" w:hAnsiTheme="minorHAnsi" w:cstheme="minorBidi"/>
          <w:noProof/>
          <w:kern w:val="0"/>
          <w:sz w:val="22"/>
          <w:szCs w:val="22"/>
        </w:rPr>
      </w:pPr>
      <w:r w:rsidRPr="00995753">
        <w:rPr>
          <w:noProof/>
        </w:rPr>
        <w:t>1  Name</w:t>
      </w:r>
      <w:r w:rsidRPr="00995753">
        <w:rPr>
          <w:noProof/>
        </w:rPr>
        <w:tab/>
      </w:r>
      <w:r w:rsidR="00A73AAD">
        <w:rPr>
          <w:noProof/>
        </w:rPr>
        <w:t>2</w:t>
      </w:r>
    </w:p>
    <w:p w14:paraId="58DC855D" w14:textId="05A2EFC5" w:rsidR="00120121" w:rsidRPr="00995753" w:rsidRDefault="00120121" w:rsidP="00411DE2">
      <w:pPr>
        <w:pStyle w:val="TOC5"/>
        <w:rPr>
          <w:rFonts w:asciiTheme="minorHAnsi" w:eastAsiaTheme="minorEastAsia" w:hAnsiTheme="minorHAnsi" w:cstheme="minorBidi"/>
          <w:noProof/>
          <w:kern w:val="0"/>
          <w:sz w:val="22"/>
          <w:szCs w:val="22"/>
        </w:rPr>
      </w:pPr>
      <w:r w:rsidRPr="00995753">
        <w:rPr>
          <w:noProof/>
        </w:rPr>
        <w:t>2  Commencement</w:t>
      </w:r>
      <w:r w:rsidRPr="00995753">
        <w:rPr>
          <w:noProof/>
        </w:rPr>
        <w:tab/>
      </w:r>
      <w:r w:rsidR="00A73AAD">
        <w:rPr>
          <w:noProof/>
        </w:rPr>
        <w:t>2</w:t>
      </w:r>
    </w:p>
    <w:p w14:paraId="1EF536BA" w14:textId="3ED105F3" w:rsidR="00120121" w:rsidRPr="00995753" w:rsidRDefault="00120121" w:rsidP="00411DE2">
      <w:pPr>
        <w:pStyle w:val="TOC5"/>
        <w:rPr>
          <w:rFonts w:asciiTheme="minorHAnsi" w:eastAsiaTheme="minorEastAsia" w:hAnsiTheme="minorHAnsi" w:cstheme="minorBidi"/>
          <w:noProof/>
          <w:kern w:val="0"/>
          <w:sz w:val="22"/>
          <w:szCs w:val="22"/>
        </w:rPr>
      </w:pPr>
      <w:r w:rsidRPr="00995753">
        <w:rPr>
          <w:noProof/>
        </w:rPr>
        <w:t>3  Authority</w:t>
      </w:r>
      <w:r w:rsidRPr="00995753">
        <w:rPr>
          <w:noProof/>
        </w:rPr>
        <w:tab/>
      </w:r>
      <w:r w:rsidR="00A73AAD">
        <w:rPr>
          <w:noProof/>
        </w:rPr>
        <w:t>2</w:t>
      </w:r>
    </w:p>
    <w:p w14:paraId="40412D4D" w14:textId="027605E9" w:rsidR="00120121" w:rsidRPr="00995753" w:rsidRDefault="00120121" w:rsidP="00411DE2">
      <w:pPr>
        <w:pStyle w:val="TOC5"/>
        <w:rPr>
          <w:rFonts w:asciiTheme="minorHAnsi" w:eastAsiaTheme="minorEastAsia" w:hAnsiTheme="minorHAnsi" w:cstheme="minorBidi"/>
          <w:noProof/>
          <w:kern w:val="0"/>
          <w:sz w:val="22"/>
          <w:szCs w:val="22"/>
        </w:rPr>
      </w:pPr>
      <w:r w:rsidRPr="00995753">
        <w:rPr>
          <w:noProof/>
        </w:rPr>
        <w:t>4  Schedules</w:t>
      </w:r>
      <w:r w:rsidRPr="00995753">
        <w:rPr>
          <w:noProof/>
        </w:rPr>
        <w:tab/>
      </w:r>
      <w:r w:rsidR="00A73AAD">
        <w:rPr>
          <w:noProof/>
        </w:rPr>
        <w:t>2</w:t>
      </w:r>
    </w:p>
    <w:p w14:paraId="1F73B180" w14:textId="48809C22" w:rsidR="00120121" w:rsidRPr="004962A8" w:rsidRDefault="00120121" w:rsidP="00411DE2">
      <w:pPr>
        <w:pStyle w:val="TOC1"/>
        <w:rPr>
          <w:rFonts w:asciiTheme="minorHAnsi" w:eastAsiaTheme="minorEastAsia" w:hAnsiTheme="minorHAnsi" w:cstheme="minorBidi"/>
          <w:b w:val="0"/>
          <w:noProof/>
          <w:kern w:val="0"/>
          <w:sz w:val="18"/>
          <w:szCs w:val="18"/>
        </w:rPr>
      </w:pPr>
      <w:r w:rsidRPr="004962A8">
        <w:t>Schedule 1—Amendments</w:t>
      </w:r>
      <w:r w:rsidRPr="00995753">
        <w:rPr>
          <w:noProof/>
        </w:rPr>
        <w:t xml:space="preserve"> relating to P2P data access</w:t>
      </w:r>
      <w:r w:rsidRPr="00995753">
        <w:rPr>
          <w:noProof/>
        </w:rPr>
        <w:tab/>
      </w:r>
      <w:r w:rsidR="002F1DC5">
        <w:rPr>
          <w:b w:val="0"/>
          <w:noProof/>
          <w:sz w:val="18"/>
          <w:szCs w:val="18"/>
        </w:rPr>
        <w:t>3</w:t>
      </w:r>
    </w:p>
    <w:p w14:paraId="346D3CC3" w14:textId="79BCA898" w:rsidR="00120121" w:rsidRPr="004962A8" w:rsidRDefault="00120121" w:rsidP="00411DE2">
      <w:pPr>
        <w:pStyle w:val="TOC1"/>
        <w:rPr>
          <w:rFonts w:asciiTheme="minorHAnsi" w:eastAsiaTheme="minorEastAsia" w:hAnsiTheme="minorHAnsi" w:cstheme="minorBidi"/>
          <w:b w:val="0"/>
          <w:noProof/>
          <w:kern w:val="0"/>
          <w:sz w:val="18"/>
          <w:szCs w:val="18"/>
        </w:rPr>
      </w:pPr>
      <w:r w:rsidRPr="00995753">
        <w:rPr>
          <w:noProof/>
        </w:rPr>
        <w:t>Schedule 2—Amendments relating to the energy sector</w:t>
      </w:r>
      <w:r w:rsidRPr="00995753">
        <w:rPr>
          <w:noProof/>
        </w:rPr>
        <w:tab/>
      </w:r>
      <w:r w:rsidR="002F1DC5">
        <w:rPr>
          <w:b w:val="0"/>
          <w:noProof/>
          <w:sz w:val="18"/>
          <w:szCs w:val="18"/>
        </w:rPr>
        <w:t>8</w:t>
      </w:r>
    </w:p>
    <w:p w14:paraId="5DC0E6B2" w14:textId="4D2B728E" w:rsidR="00120121" w:rsidRPr="00995753" w:rsidRDefault="00120121" w:rsidP="00411DE2">
      <w:pPr>
        <w:pStyle w:val="TOC1"/>
        <w:rPr>
          <w:rFonts w:asciiTheme="minorHAnsi" w:eastAsiaTheme="minorEastAsia" w:hAnsiTheme="minorHAnsi" w:cstheme="minorBidi"/>
          <w:noProof/>
          <w:kern w:val="0"/>
          <w:sz w:val="22"/>
          <w:szCs w:val="22"/>
        </w:rPr>
      </w:pPr>
      <w:r w:rsidRPr="00995753">
        <w:rPr>
          <w:noProof/>
        </w:rPr>
        <w:t>Schedule 3—Miscellaneous amendments</w:t>
      </w:r>
      <w:r w:rsidRPr="00995753">
        <w:rPr>
          <w:noProof/>
        </w:rPr>
        <w:tab/>
      </w:r>
      <w:r w:rsidRPr="004962A8">
        <w:rPr>
          <w:b w:val="0"/>
          <w:noProof/>
          <w:sz w:val="18"/>
          <w:szCs w:val="18"/>
        </w:rPr>
        <w:t>3</w:t>
      </w:r>
      <w:r w:rsidR="00B452B0">
        <w:rPr>
          <w:b w:val="0"/>
          <w:noProof/>
          <w:sz w:val="18"/>
          <w:szCs w:val="18"/>
        </w:rPr>
        <w:t>2</w:t>
      </w:r>
    </w:p>
    <w:p w14:paraId="4C5F1D0B" w14:textId="77777777" w:rsidR="00C5606C" w:rsidRPr="00995753" w:rsidRDefault="00C5606C" w:rsidP="00411DE2">
      <w:pPr>
        <w:outlineLvl w:val="0"/>
      </w:pPr>
    </w:p>
    <w:p w14:paraId="3DE7C973" w14:textId="77777777" w:rsidR="00D471C9" w:rsidRPr="00995753" w:rsidRDefault="00D471C9" w:rsidP="00411DE2">
      <w:pPr>
        <w:outlineLvl w:val="0"/>
        <w:sectPr w:rsidR="00D471C9" w:rsidRPr="00995753" w:rsidSect="007E7581">
          <w:headerReference w:type="even" r:id="rId16"/>
          <w:headerReference w:type="default" r:id="rId17"/>
          <w:footerReference w:type="even" r:id="rId18"/>
          <w:footerReference w:type="default" r:id="rId19"/>
          <w:headerReference w:type="first" r:id="rId20"/>
          <w:footerReference w:type="first" r:id="rId21"/>
          <w:pgSz w:w="11907" w:h="16839"/>
          <w:pgMar w:top="2099" w:right="1797" w:bottom="1440" w:left="1797" w:header="720" w:footer="709" w:gutter="0"/>
          <w:pgNumType w:start="1"/>
          <w:cols w:space="708"/>
          <w:docGrid w:linePitch="360"/>
        </w:sectPr>
      </w:pPr>
      <w:r w:rsidRPr="00995753">
        <w:tab/>
      </w:r>
    </w:p>
    <w:p w14:paraId="002805F1" w14:textId="77777777" w:rsidR="00C5606C" w:rsidRPr="00995753" w:rsidRDefault="00C5606C" w:rsidP="00411DE2">
      <w:pPr>
        <w:pStyle w:val="ActHead5"/>
        <w:rPr>
          <w:rStyle w:val="CharSectno"/>
        </w:rPr>
      </w:pPr>
      <w:bookmarkStart w:id="1" w:name="_Toc57296286"/>
      <w:bookmarkStart w:id="2" w:name="_Toc59549115"/>
      <w:bookmarkStart w:id="3" w:name="_Toc11771556"/>
    </w:p>
    <w:p w14:paraId="1A7894C4" w14:textId="77777777" w:rsidR="00D471C9" w:rsidRPr="00995753" w:rsidRDefault="00D471C9" w:rsidP="00411DE2">
      <w:pPr>
        <w:pStyle w:val="ActHead5"/>
      </w:pPr>
      <w:bookmarkStart w:id="4" w:name="_Toc76740871"/>
      <w:r w:rsidRPr="00995753">
        <w:rPr>
          <w:rStyle w:val="CharSectno"/>
        </w:rPr>
        <w:t>1</w:t>
      </w:r>
      <w:r w:rsidRPr="00995753">
        <w:t xml:space="preserve">  Name</w:t>
      </w:r>
      <w:bookmarkEnd w:id="1"/>
      <w:bookmarkEnd w:id="2"/>
      <w:bookmarkEnd w:id="4"/>
      <w:r w:rsidRPr="00995753">
        <w:tab/>
      </w:r>
    </w:p>
    <w:p w14:paraId="1EEFEF1C" w14:textId="77777777" w:rsidR="00D471C9" w:rsidRPr="00995753" w:rsidRDefault="00D471C9" w:rsidP="00411DE2">
      <w:pPr>
        <w:pStyle w:val="subsection"/>
      </w:pPr>
      <w:r w:rsidRPr="00995753">
        <w:tab/>
      </w:r>
      <w:r w:rsidRPr="00995753">
        <w:tab/>
        <w:t xml:space="preserve">This instrument is the </w:t>
      </w:r>
      <w:r w:rsidRPr="00995753">
        <w:rPr>
          <w:i/>
          <w:noProof/>
        </w:rPr>
        <w:t xml:space="preserve">Competition and Consumer (Consumer Data Right) Amendment Rules (No. </w:t>
      </w:r>
      <w:r w:rsidR="00D122FD" w:rsidRPr="00995753">
        <w:rPr>
          <w:i/>
          <w:noProof/>
        </w:rPr>
        <w:t>2</w:t>
      </w:r>
      <w:r w:rsidRPr="00995753">
        <w:rPr>
          <w:i/>
          <w:noProof/>
        </w:rPr>
        <w:t>) 202</w:t>
      </w:r>
      <w:r w:rsidR="004962A8">
        <w:rPr>
          <w:i/>
          <w:noProof/>
        </w:rPr>
        <w:t>1</w:t>
      </w:r>
      <w:r w:rsidRPr="00995753">
        <w:t>.</w:t>
      </w:r>
    </w:p>
    <w:p w14:paraId="75B4C716" w14:textId="77777777" w:rsidR="00D471C9" w:rsidRPr="00995753" w:rsidRDefault="00D471C9" w:rsidP="00411DE2">
      <w:pPr>
        <w:pStyle w:val="ActHead5"/>
      </w:pPr>
      <w:bookmarkStart w:id="5" w:name="_Toc57296287"/>
      <w:bookmarkStart w:id="6" w:name="_Toc59549116"/>
      <w:bookmarkStart w:id="7" w:name="_Toc76740872"/>
      <w:r w:rsidRPr="00995753">
        <w:rPr>
          <w:rStyle w:val="CharSectno"/>
        </w:rPr>
        <w:t>2</w:t>
      </w:r>
      <w:r w:rsidRPr="00995753">
        <w:t xml:space="preserve">  Commencement</w:t>
      </w:r>
      <w:bookmarkEnd w:id="5"/>
      <w:bookmarkEnd w:id="6"/>
      <w:bookmarkEnd w:id="7"/>
    </w:p>
    <w:p w14:paraId="33469912" w14:textId="77777777" w:rsidR="00D471C9" w:rsidRPr="00995753" w:rsidRDefault="00D471C9" w:rsidP="00411DE2">
      <w:pPr>
        <w:pStyle w:val="subsection"/>
      </w:pPr>
      <w:r w:rsidRPr="00995753">
        <w:tab/>
        <w:t>(1)</w:t>
      </w:r>
      <w:r w:rsidRPr="00995753">
        <w:tab/>
        <w:t>Each provision of this instrument specified in column 1 of the table commences, or is taken to have commenced, in accordance with column 2 of the table. Any other statement in column 2 has effect according to its terms.</w:t>
      </w:r>
    </w:p>
    <w:p w14:paraId="366B079B" w14:textId="77777777" w:rsidR="00D471C9" w:rsidRPr="00995753" w:rsidRDefault="00D471C9" w:rsidP="00411DE2">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95753" w:rsidRPr="00995753" w14:paraId="455714A5" w14:textId="77777777" w:rsidTr="008C1266">
        <w:trPr>
          <w:tblHeader/>
        </w:trPr>
        <w:tc>
          <w:tcPr>
            <w:tcW w:w="8364" w:type="dxa"/>
            <w:gridSpan w:val="3"/>
            <w:tcBorders>
              <w:top w:val="single" w:sz="12" w:space="0" w:color="auto"/>
              <w:bottom w:val="single" w:sz="6" w:space="0" w:color="auto"/>
            </w:tcBorders>
            <w:shd w:val="clear" w:color="auto" w:fill="auto"/>
            <w:hideMark/>
          </w:tcPr>
          <w:p w14:paraId="430F8466" w14:textId="77777777" w:rsidR="00D471C9" w:rsidRPr="00995753" w:rsidRDefault="00D471C9" w:rsidP="00411DE2">
            <w:pPr>
              <w:pStyle w:val="TableHeading"/>
            </w:pPr>
            <w:r w:rsidRPr="00995753">
              <w:t>Commencement information</w:t>
            </w:r>
          </w:p>
        </w:tc>
      </w:tr>
      <w:tr w:rsidR="00995753" w:rsidRPr="00995753" w14:paraId="46EAE596" w14:textId="77777777" w:rsidTr="008C1266">
        <w:trPr>
          <w:tblHeader/>
        </w:trPr>
        <w:tc>
          <w:tcPr>
            <w:tcW w:w="2127" w:type="dxa"/>
            <w:tcBorders>
              <w:top w:val="single" w:sz="6" w:space="0" w:color="auto"/>
              <w:bottom w:val="single" w:sz="6" w:space="0" w:color="auto"/>
            </w:tcBorders>
            <w:shd w:val="clear" w:color="auto" w:fill="auto"/>
            <w:hideMark/>
          </w:tcPr>
          <w:p w14:paraId="38BFE4BE" w14:textId="77777777" w:rsidR="00D471C9" w:rsidRPr="00995753" w:rsidRDefault="00D471C9" w:rsidP="00411DE2">
            <w:pPr>
              <w:pStyle w:val="TableHeading"/>
            </w:pPr>
            <w:r w:rsidRPr="00995753">
              <w:t>Column 1</w:t>
            </w:r>
          </w:p>
        </w:tc>
        <w:tc>
          <w:tcPr>
            <w:tcW w:w="4394" w:type="dxa"/>
            <w:tcBorders>
              <w:top w:val="single" w:sz="6" w:space="0" w:color="auto"/>
              <w:bottom w:val="single" w:sz="6" w:space="0" w:color="auto"/>
            </w:tcBorders>
            <w:shd w:val="clear" w:color="auto" w:fill="auto"/>
            <w:hideMark/>
          </w:tcPr>
          <w:p w14:paraId="34B72EF5" w14:textId="77777777" w:rsidR="00D471C9" w:rsidRPr="00995753" w:rsidRDefault="00D471C9" w:rsidP="00411DE2">
            <w:pPr>
              <w:pStyle w:val="TableHeading"/>
            </w:pPr>
            <w:r w:rsidRPr="00995753">
              <w:t>Column 2</w:t>
            </w:r>
          </w:p>
        </w:tc>
        <w:tc>
          <w:tcPr>
            <w:tcW w:w="1843" w:type="dxa"/>
            <w:tcBorders>
              <w:top w:val="single" w:sz="6" w:space="0" w:color="auto"/>
              <w:bottom w:val="single" w:sz="6" w:space="0" w:color="auto"/>
            </w:tcBorders>
            <w:shd w:val="clear" w:color="auto" w:fill="auto"/>
            <w:hideMark/>
          </w:tcPr>
          <w:p w14:paraId="72912FFD" w14:textId="77777777" w:rsidR="00D471C9" w:rsidRPr="00995753" w:rsidRDefault="00D471C9" w:rsidP="00411DE2">
            <w:pPr>
              <w:pStyle w:val="TableHeading"/>
            </w:pPr>
            <w:r w:rsidRPr="00995753">
              <w:t>Column 3</w:t>
            </w:r>
          </w:p>
        </w:tc>
      </w:tr>
      <w:tr w:rsidR="00995753" w:rsidRPr="00995753" w14:paraId="5E27C4B6" w14:textId="77777777" w:rsidTr="008C1266">
        <w:trPr>
          <w:tblHeader/>
        </w:trPr>
        <w:tc>
          <w:tcPr>
            <w:tcW w:w="2127" w:type="dxa"/>
            <w:tcBorders>
              <w:top w:val="single" w:sz="6" w:space="0" w:color="auto"/>
              <w:bottom w:val="single" w:sz="12" w:space="0" w:color="auto"/>
            </w:tcBorders>
            <w:shd w:val="clear" w:color="auto" w:fill="auto"/>
            <w:hideMark/>
          </w:tcPr>
          <w:p w14:paraId="3C767BE4" w14:textId="77777777" w:rsidR="00D471C9" w:rsidRPr="00995753" w:rsidRDefault="00D471C9" w:rsidP="00411DE2">
            <w:pPr>
              <w:pStyle w:val="TableHeading"/>
            </w:pPr>
            <w:r w:rsidRPr="00995753">
              <w:t>Provisions</w:t>
            </w:r>
          </w:p>
        </w:tc>
        <w:tc>
          <w:tcPr>
            <w:tcW w:w="4394" w:type="dxa"/>
            <w:tcBorders>
              <w:top w:val="single" w:sz="6" w:space="0" w:color="auto"/>
              <w:bottom w:val="single" w:sz="12" w:space="0" w:color="auto"/>
            </w:tcBorders>
            <w:shd w:val="clear" w:color="auto" w:fill="auto"/>
            <w:hideMark/>
          </w:tcPr>
          <w:p w14:paraId="287BAFD9" w14:textId="77777777" w:rsidR="00D471C9" w:rsidRPr="00995753" w:rsidRDefault="00D471C9" w:rsidP="00411DE2">
            <w:pPr>
              <w:pStyle w:val="TableHeading"/>
            </w:pPr>
            <w:r w:rsidRPr="00995753">
              <w:t>Commencement</w:t>
            </w:r>
          </w:p>
        </w:tc>
        <w:tc>
          <w:tcPr>
            <w:tcW w:w="1843" w:type="dxa"/>
            <w:tcBorders>
              <w:top w:val="single" w:sz="6" w:space="0" w:color="auto"/>
              <w:bottom w:val="single" w:sz="12" w:space="0" w:color="auto"/>
            </w:tcBorders>
            <w:shd w:val="clear" w:color="auto" w:fill="auto"/>
            <w:hideMark/>
          </w:tcPr>
          <w:p w14:paraId="2C15DF64" w14:textId="77777777" w:rsidR="00D471C9" w:rsidRPr="00995753" w:rsidRDefault="00D471C9" w:rsidP="00411DE2">
            <w:pPr>
              <w:pStyle w:val="TableHeading"/>
            </w:pPr>
            <w:r w:rsidRPr="00995753">
              <w:t>Date/Details</w:t>
            </w:r>
          </w:p>
        </w:tc>
      </w:tr>
      <w:tr w:rsidR="00995753" w:rsidRPr="00995753" w14:paraId="38973C25" w14:textId="77777777" w:rsidTr="008C1266">
        <w:tc>
          <w:tcPr>
            <w:tcW w:w="2127" w:type="dxa"/>
            <w:tcBorders>
              <w:top w:val="single" w:sz="12" w:space="0" w:color="auto"/>
              <w:bottom w:val="single" w:sz="12" w:space="0" w:color="auto"/>
            </w:tcBorders>
            <w:shd w:val="clear" w:color="auto" w:fill="auto"/>
            <w:hideMark/>
          </w:tcPr>
          <w:p w14:paraId="36B25B9A" w14:textId="77777777" w:rsidR="00D471C9" w:rsidRPr="00995753" w:rsidRDefault="008C1266" w:rsidP="00411DE2">
            <w:pPr>
              <w:pStyle w:val="Tabletext"/>
              <w:rPr>
                <w:i/>
              </w:rPr>
            </w:pPr>
            <w:r w:rsidRPr="00995753">
              <w:t>The whole of th</w:t>
            </w:r>
            <w:r w:rsidR="00D122FD" w:rsidRPr="00995753">
              <w:t>is</w:t>
            </w:r>
            <w:r w:rsidRPr="00995753">
              <w:t xml:space="preserve"> instrument</w:t>
            </w:r>
          </w:p>
        </w:tc>
        <w:tc>
          <w:tcPr>
            <w:tcW w:w="4394" w:type="dxa"/>
            <w:tcBorders>
              <w:top w:val="single" w:sz="12" w:space="0" w:color="auto"/>
              <w:bottom w:val="single" w:sz="12" w:space="0" w:color="auto"/>
            </w:tcBorders>
            <w:shd w:val="clear" w:color="auto" w:fill="auto"/>
            <w:hideMark/>
          </w:tcPr>
          <w:p w14:paraId="7370E27B" w14:textId="77777777" w:rsidR="00D471C9" w:rsidRPr="00995753" w:rsidRDefault="00D471C9" w:rsidP="00411DE2">
            <w:pPr>
              <w:pStyle w:val="Tabletext"/>
            </w:pPr>
            <w:r w:rsidRPr="00995753">
              <w:t>The day after this instrument is registered</w:t>
            </w:r>
          </w:p>
        </w:tc>
        <w:tc>
          <w:tcPr>
            <w:tcW w:w="1843" w:type="dxa"/>
            <w:tcBorders>
              <w:top w:val="single" w:sz="12" w:space="0" w:color="auto"/>
              <w:bottom w:val="single" w:sz="12" w:space="0" w:color="auto"/>
            </w:tcBorders>
            <w:shd w:val="clear" w:color="auto" w:fill="auto"/>
          </w:tcPr>
          <w:p w14:paraId="4CAD8A16" w14:textId="77777777" w:rsidR="00D471C9" w:rsidRPr="00995753" w:rsidRDefault="00D471C9" w:rsidP="00411DE2">
            <w:pPr>
              <w:pStyle w:val="Tabletext"/>
              <w:rPr>
                <w:i/>
              </w:rPr>
            </w:pPr>
          </w:p>
        </w:tc>
      </w:tr>
    </w:tbl>
    <w:p w14:paraId="1CEB1C3A" w14:textId="77777777" w:rsidR="00D471C9" w:rsidRPr="00995753" w:rsidRDefault="00D471C9" w:rsidP="00411DE2">
      <w:pPr>
        <w:pStyle w:val="notetext"/>
      </w:pPr>
      <w:r w:rsidRPr="00995753">
        <w:rPr>
          <w:snapToGrid w:val="0"/>
          <w:lang w:eastAsia="en-US"/>
        </w:rPr>
        <w:t>Note:</w:t>
      </w:r>
      <w:r w:rsidRPr="00995753">
        <w:rPr>
          <w:snapToGrid w:val="0"/>
          <w:lang w:eastAsia="en-US"/>
        </w:rPr>
        <w:tab/>
        <w:t>This table relates only to the provisions of this instrument</w:t>
      </w:r>
      <w:r w:rsidRPr="00995753">
        <w:t xml:space="preserve"> </w:t>
      </w:r>
      <w:r w:rsidRPr="00995753">
        <w:rPr>
          <w:snapToGrid w:val="0"/>
          <w:lang w:eastAsia="en-US"/>
        </w:rPr>
        <w:t>as originally made. It will not be amended to deal with any later amendments of this instrument.</w:t>
      </w:r>
    </w:p>
    <w:p w14:paraId="02A6AD2C" w14:textId="77777777" w:rsidR="00D471C9" w:rsidRPr="00995753" w:rsidRDefault="00D471C9" w:rsidP="00411DE2">
      <w:pPr>
        <w:pStyle w:val="subsection"/>
      </w:pPr>
      <w:r w:rsidRPr="00995753">
        <w:tab/>
        <w:t>(2)</w:t>
      </w:r>
      <w:r w:rsidRPr="00995753">
        <w:tab/>
        <w:t>Any information in column 3 of the table is not part of this instrument. Information may be inserted in this column, or information in it may be edited, in any published version of this instrument.</w:t>
      </w:r>
    </w:p>
    <w:p w14:paraId="4F4E2B21" w14:textId="77777777" w:rsidR="00D471C9" w:rsidRPr="00995753" w:rsidRDefault="00D471C9" w:rsidP="00411DE2">
      <w:pPr>
        <w:pStyle w:val="ActHead5"/>
      </w:pPr>
      <w:bookmarkStart w:id="8" w:name="_Toc57296288"/>
      <w:bookmarkStart w:id="9" w:name="_Toc59549117"/>
      <w:bookmarkStart w:id="10" w:name="_Toc76740873"/>
      <w:r w:rsidRPr="00995753">
        <w:rPr>
          <w:rStyle w:val="CharSectno"/>
        </w:rPr>
        <w:t>3</w:t>
      </w:r>
      <w:r w:rsidRPr="00995753">
        <w:t xml:space="preserve">  Authority</w:t>
      </w:r>
      <w:bookmarkEnd w:id="8"/>
      <w:bookmarkEnd w:id="9"/>
      <w:bookmarkEnd w:id="10"/>
    </w:p>
    <w:p w14:paraId="04D96909" w14:textId="77777777" w:rsidR="00D471C9" w:rsidRPr="00995753" w:rsidRDefault="00D471C9" w:rsidP="00411DE2">
      <w:pPr>
        <w:pStyle w:val="subsection"/>
      </w:pPr>
      <w:r w:rsidRPr="00995753">
        <w:tab/>
      </w:r>
      <w:r w:rsidRPr="00995753">
        <w:tab/>
        <w:t xml:space="preserve">This instrument is made under section 56BA of the </w:t>
      </w:r>
      <w:r w:rsidRPr="00995753">
        <w:rPr>
          <w:i/>
        </w:rPr>
        <w:t>Competition and Consumer Act 2010</w:t>
      </w:r>
      <w:r w:rsidRPr="00995753">
        <w:t>.</w:t>
      </w:r>
    </w:p>
    <w:p w14:paraId="239F32CC" w14:textId="77777777" w:rsidR="00D471C9" w:rsidRPr="00995753" w:rsidRDefault="00D471C9" w:rsidP="00411DE2">
      <w:pPr>
        <w:pStyle w:val="ActHead5"/>
      </w:pPr>
      <w:bookmarkStart w:id="11" w:name="_Toc57296289"/>
      <w:bookmarkStart w:id="12" w:name="_Toc59549118"/>
      <w:bookmarkStart w:id="13" w:name="_Toc76740874"/>
      <w:r w:rsidRPr="00995753">
        <w:t>4  Schedules</w:t>
      </w:r>
      <w:bookmarkEnd w:id="11"/>
      <w:bookmarkEnd w:id="12"/>
      <w:bookmarkEnd w:id="13"/>
    </w:p>
    <w:p w14:paraId="2D6C7C40" w14:textId="77777777" w:rsidR="00D471C9" w:rsidRPr="00995753" w:rsidRDefault="00D471C9" w:rsidP="00411DE2">
      <w:pPr>
        <w:pStyle w:val="subsection"/>
      </w:pPr>
      <w:r w:rsidRPr="00995753">
        <w:tab/>
      </w:r>
      <w:r w:rsidRPr="00995753">
        <w:tab/>
        <w:t>Each instrument that is specified in a Schedule to this instrument is amended or repealed as set out in the applicable items in the Schedule concerned, and any other item in a Schedule to this instrument has effect according to its terms.</w:t>
      </w:r>
    </w:p>
    <w:p w14:paraId="35E7694F" w14:textId="77777777" w:rsidR="00D471C9" w:rsidRPr="00995753" w:rsidRDefault="00D471C9" w:rsidP="00411DE2">
      <w:pPr>
        <w:spacing w:line="240" w:lineRule="auto"/>
      </w:pPr>
    </w:p>
    <w:p w14:paraId="75749009" w14:textId="77777777" w:rsidR="00A379FF" w:rsidRPr="00995753" w:rsidRDefault="00A379FF" w:rsidP="00411DE2">
      <w:pPr>
        <w:sectPr w:rsidR="00A379FF" w:rsidRPr="00995753" w:rsidSect="00A379FF">
          <w:headerReference w:type="even" r:id="rId22"/>
          <w:headerReference w:type="default" r:id="rId23"/>
          <w:footerReference w:type="even" r:id="rId24"/>
          <w:headerReference w:type="first" r:id="rId25"/>
          <w:footerReference w:type="first" r:id="rId26"/>
          <w:pgSz w:w="11907" w:h="16839"/>
          <w:pgMar w:top="1440" w:right="1797" w:bottom="1440" w:left="1797" w:header="720" w:footer="709" w:gutter="0"/>
          <w:cols w:space="708"/>
          <w:docGrid w:linePitch="360"/>
        </w:sectPr>
      </w:pPr>
    </w:p>
    <w:p w14:paraId="13C68D9A" w14:textId="77777777" w:rsidR="004F3C59" w:rsidRPr="00995753" w:rsidRDefault="004F3C59" w:rsidP="00411DE2">
      <w:pPr>
        <w:pStyle w:val="ActHead1"/>
      </w:pPr>
      <w:bookmarkStart w:id="14" w:name="_Toc57296290"/>
      <w:bookmarkStart w:id="15" w:name="_Toc59549119"/>
      <w:bookmarkStart w:id="16" w:name="_Toc76740875"/>
      <w:bookmarkEnd w:id="3"/>
      <w:r w:rsidRPr="00995753">
        <w:lastRenderedPageBreak/>
        <w:t>Schedule 1—Amendments</w:t>
      </w:r>
      <w:bookmarkEnd w:id="14"/>
      <w:bookmarkEnd w:id="15"/>
      <w:r w:rsidRPr="00995753">
        <w:t xml:space="preserve"> relating to P2P data access</w:t>
      </w:r>
      <w:bookmarkEnd w:id="16"/>
    </w:p>
    <w:p w14:paraId="433308D0" w14:textId="77777777" w:rsidR="004F3C59" w:rsidRPr="00995753" w:rsidRDefault="004F3C59" w:rsidP="00411DE2">
      <w:pPr>
        <w:pStyle w:val="ActHead9"/>
      </w:pPr>
      <w:bookmarkStart w:id="17" w:name="_Toc57296291"/>
      <w:bookmarkStart w:id="18" w:name="_Toc59549120"/>
      <w:bookmarkStart w:id="19" w:name="_Toc74917988"/>
      <w:bookmarkStart w:id="20" w:name="_Toc76740876"/>
      <w:r w:rsidRPr="00995753">
        <w:t>Competition and Consumer (Consumer Data Right) Rules 2020</w:t>
      </w:r>
      <w:bookmarkEnd w:id="17"/>
      <w:bookmarkEnd w:id="18"/>
      <w:bookmarkEnd w:id="19"/>
      <w:bookmarkEnd w:id="20"/>
    </w:p>
    <w:p w14:paraId="17E5F26D" w14:textId="77777777" w:rsidR="004F3C59" w:rsidRPr="00995753" w:rsidRDefault="00A7561A" w:rsidP="00411DE2">
      <w:pPr>
        <w:pStyle w:val="ItemHead"/>
      </w:pPr>
      <w:r>
        <w:rPr>
          <w:noProof/>
        </w:rPr>
        <w:t>1</w:t>
      </w:r>
      <w:r w:rsidR="004F3C59" w:rsidRPr="00995753">
        <w:t xml:space="preserve">  Rule 1.7</w:t>
      </w:r>
    </w:p>
    <w:p w14:paraId="6B91F16C" w14:textId="77777777" w:rsidR="004F3C59" w:rsidRPr="00995753" w:rsidRDefault="004F3C59" w:rsidP="00411DE2">
      <w:pPr>
        <w:pStyle w:val="Item"/>
      </w:pPr>
      <w:r w:rsidRPr="00995753">
        <w:t>Insert the following definitions in the appropriate alphabetical positions:</w:t>
      </w:r>
    </w:p>
    <w:p w14:paraId="58E7B46B" w14:textId="77777777" w:rsidR="004F3C59" w:rsidRPr="00995753" w:rsidRDefault="004F3C59" w:rsidP="00411DE2">
      <w:pPr>
        <w:pStyle w:val="Definition"/>
      </w:pPr>
      <w:r w:rsidRPr="00995753">
        <w:rPr>
          <w:b/>
          <w:i/>
        </w:rPr>
        <w:t>primary data holder</w:t>
      </w:r>
      <w:r w:rsidRPr="00995753">
        <w:t>, in relation to SR data and a particular designated sector, means the data holder specified in the sector Schedule as the primary data holder for the SR data.</w:t>
      </w:r>
    </w:p>
    <w:p w14:paraId="4C015432" w14:textId="77777777" w:rsidR="004F3C59" w:rsidRPr="00995753" w:rsidRDefault="004F3C59" w:rsidP="00411DE2">
      <w:pPr>
        <w:pStyle w:val="Definition"/>
      </w:pPr>
      <w:r w:rsidRPr="00995753">
        <w:rPr>
          <w:b/>
          <w:i/>
        </w:rPr>
        <w:t>secondary data holder</w:t>
      </w:r>
      <w:r w:rsidRPr="00995753">
        <w:t>, in relation to SR data and a particular designated sector, means the data holder specified in the sector Schedule as the secondary data holder for the SR data.</w:t>
      </w:r>
    </w:p>
    <w:p w14:paraId="6A07EE82" w14:textId="77777777" w:rsidR="00D122FD" w:rsidRPr="00995753" w:rsidRDefault="00D122FD" w:rsidP="00411DE2">
      <w:pPr>
        <w:pStyle w:val="Definition"/>
      </w:pPr>
      <w:r w:rsidRPr="00995753">
        <w:rPr>
          <w:b/>
          <w:i/>
        </w:rPr>
        <w:t xml:space="preserve">SR data </w:t>
      </w:r>
      <w:r w:rsidRPr="00995753">
        <w:t xml:space="preserve">(for </w:t>
      </w:r>
      <w:r w:rsidRPr="00995753">
        <w:rPr>
          <w:b/>
          <w:i/>
        </w:rPr>
        <w:t>shared responsibility data</w:t>
      </w:r>
      <w:r w:rsidRPr="00995753">
        <w:t>), in relation to a CDR consumer and a particular designated sector, has the meaning set out in the relevant sector Schedule.</w:t>
      </w:r>
    </w:p>
    <w:p w14:paraId="4D55E417" w14:textId="77777777" w:rsidR="00D122FD" w:rsidRPr="00995753" w:rsidRDefault="00D122FD" w:rsidP="00411DE2">
      <w:pPr>
        <w:pStyle w:val="notetext"/>
      </w:pPr>
      <w:r w:rsidRPr="00995753">
        <w:t>Note:</w:t>
      </w:r>
      <w:r w:rsidRPr="00995753">
        <w:tab/>
        <w:t>Where CDR data for which there is a CDR consumer in a designated sector is held by one data holder, but it would be more practical for consumer data requests for the data to be directed to, and actioned by, a different data holder with which the CDR consumer has a relationship, such CDR data may be specified as SR data in the sector Schedule.  Parts 3 and 4 then apply with the modifications set out in Division 1.5.</w:t>
      </w:r>
    </w:p>
    <w:p w14:paraId="731C31A6" w14:textId="77777777" w:rsidR="00D122FD" w:rsidRPr="00995753" w:rsidRDefault="00D122FD" w:rsidP="00411DE2">
      <w:pPr>
        <w:pStyle w:val="Definition"/>
      </w:pPr>
      <w:r w:rsidRPr="00995753">
        <w:rPr>
          <w:b/>
          <w:i/>
        </w:rPr>
        <w:t xml:space="preserve">SR data request </w:t>
      </w:r>
      <w:r w:rsidRPr="00995753">
        <w:t xml:space="preserve">(for </w:t>
      </w:r>
      <w:r w:rsidRPr="00995753">
        <w:rPr>
          <w:b/>
          <w:i/>
        </w:rPr>
        <w:t>shared responsibility data request</w:t>
      </w:r>
      <w:r w:rsidRPr="00995753">
        <w:t>) means a consumer data request for CDR data that is, or that includes, SR data of the CDR consumer.</w:t>
      </w:r>
    </w:p>
    <w:p w14:paraId="1BA9B1B5" w14:textId="77777777" w:rsidR="00D122FD" w:rsidRPr="00995753" w:rsidRDefault="00D122FD" w:rsidP="00411DE2">
      <w:pPr>
        <w:pStyle w:val="Definition"/>
      </w:pPr>
    </w:p>
    <w:p w14:paraId="58131EBB" w14:textId="77777777" w:rsidR="004F3C59" w:rsidRPr="00995753" w:rsidRDefault="00A7561A" w:rsidP="00411DE2">
      <w:pPr>
        <w:pStyle w:val="ItemHead"/>
      </w:pPr>
      <w:r>
        <w:rPr>
          <w:noProof/>
        </w:rPr>
        <w:t>2</w:t>
      </w:r>
      <w:r w:rsidR="004F3C59" w:rsidRPr="00995753">
        <w:t xml:space="preserve">  Rule 1.18, note</w:t>
      </w:r>
    </w:p>
    <w:p w14:paraId="708ECBB0" w14:textId="77777777" w:rsidR="004F3C59" w:rsidRPr="00995753" w:rsidRDefault="004F3C59" w:rsidP="00411DE2">
      <w:pPr>
        <w:pStyle w:val="Item"/>
      </w:pPr>
      <w:r w:rsidRPr="00995753">
        <w:t>Substitute:</w:t>
      </w:r>
    </w:p>
    <w:p w14:paraId="31292463" w14:textId="77777777" w:rsidR="004F3C59" w:rsidRPr="00995753" w:rsidRDefault="004F3C59" w:rsidP="00411DE2">
      <w:pPr>
        <w:pStyle w:val="notetext"/>
      </w:pPr>
      <w:r w:rsidRPr="00995753">
        <w:t>Note:</w:t>
      </w:r>
      <w:r w:rsidRPr="00995753">
        <w:tab/>
        <w:t>The CDR data deletion process is to be followed whenever these rules require a person to delete CDR data.</w:t>
      </w:r>
    </w:p>
    <w:p w14:paraId="1265B0C6" w14:textId="77777777" w:rsidR="004F3C59" w:rsidRPr="00995753" w:rsidRDefault="00A7561A" w:rsidP="00411DE2">
      <w:pPr>
        <w:pStyle w:val="ItemHead"/>
      </w:pPr>
      <w:bookmarkStart w:id="21" w:name="_Toc76562494"/>
      <w:r>
        <w:rPr>
          <w:noProof/>
        </w:rPr>
        <w:t>3</w:t>
      </w:r>
      <w:r w:rsidR="004F3C59" w:rsidRPr="00995753">
        <w:t xml:space="preserve">  After rule 1.18</w:t>
      </w:r>
    </w:p>
    <w:p w14:paraId="623B685B" w14:textId="77777777" w:rsidR="004F3C59" w:rsidRPr="00995753" w:rsidRDefault="004F3C59" w:rsidP="00411DE2">
      <w:pPr>
        <w:pStyle w:val="Item"/>
      </w:pPr>
      <w:r w:rsidRPr="00995753">
        <w:t>Insert:</w:t>
      </w:r>
    </w:p>
    <w:p w14:paraId="1C1F4F64" w14:textId="77777777" w:rsidR="004F3C59" w:rsidRPr="00995753" w:rsidRDefault="004F3C59" w:rsidP="00411DE2">
      <w:pPr>
        <w:pStyle w:val="ActHead3"/>
      </w:pPr>
      <w:bookmarkStart w:id="22" w:name="_Toc76679948"/>
      <w:bookmarkStart w:id="23" w:name="_Toc76716905"/>
      <w:bookmarkStart w:id="24" w:name="_Toc76740877"/>
      <w:r w:rsidRPr="00995753">
        <w:t>Division 1.5—Application of rules in relation to SR data</w:t>
      </w:r>
      <w:bookmarkEnd w:id="21"/>
      <w:bookmarkEnd w:id="22"/>
      <w:bookmarkEnd w:id="23"/>
      <w:bookmarkEnd w:id="24"/>
    </w:p>
    <w:p w14:paraId="78356B1E" w14:textId="77777777" w:rsidR="004F3C59" w:rsidRPr="00995753" w:rsidRDefault="004F3C59" w:rsidP="00411DE2">
      <w:pPr>
        <w:pStyle w:val="notemargin"/>
      </w:pPr>
      <w:r w:rsidRPr="00995753">
        <w:t>Note:</w:t>
      </w:r>
      <w:r w:rsidRPr="00995753">
        <w:tab/>
        <w:t xml:space="preserve">The effect of this Division is that, from the point of view of a CDR consumer or an accredited person, the primary data holder for SR data is treated as if it were the relevant data holder:  consumer data requests for the SR data are made to it; authorisations for disclosure are made to it; it is the entity that discloses or refuses to disclose the requested data; any complaints are made to it; it keeps the records that the CDR consumer can request under rule 9.5 </w:t>
      </w:r>
    </w:p>
    <w:p w14:paraId="345B5C27" w14:textId="77777777" w:rsidR="004F3C59" w:rsidRPr="00995753" w:rsidRDefault="004F3C59" w:rsidP="00411DE2">
      <w:pPr>
        <w:pStyle w:val="ActHead5"/>
      </w:pPr>
      <w:bookmarkStart w:id="25" w:name="_Toc76562495"/>
      <w:bookmarkStart w:id="26" w:name="_Toc76679949"/>
      <w:bookmarkStart w:id="27" w:name="_Toc76716906"/>
      <w:bookmarkStart w:id="28" w:name="_Toc76740878"/>
      <w:r w:rsidRPr="00995753">
        <w:t>1.19  Eligible CDR consumers in relation to secondary data holders</w:t>
      </w:r>
      <w:bookmarkEnd w:id="25"/>
      <w:bookmarkEnd w:id="26"/>
      <w:bookmarkEnd w:id="27"/>
      <w:bookmarkEnd w:id="28"/>
    </w:p>
    <w:p w14:paraId="2FEB208E" w14:textId="77777777" w:rsidR="004F3C59" w:rsidRPr="00995753" w:rsidRDefault="004F3C59" w:rsidP="00411DE2">
      <w:pPr>
        <w:pStyle w:val="subsection"/>
      </w:pPr>
      <w:r w:rsidRPr="00995753">
        <w:tab/>
      </w:r>
      <w:r w:rsidRPr="00995753">
        <w:tab/>
        <w:t>If a CDR consumer is eligible to make or initiate a consumer data request to a primary data holder for SR data, the CDR consumer is not also eligible to make or initiate a consumer data request for that data to the secondary data holder.</w:t>
      </w:r>
    </w:p>
    <w:p w14:paraId="6A4CC000" w14:textId="77777777" w:rsidR="004F3C59" w:rsidRPr="00995753" w:rsidRDefault="004F3C59" w:rsidP="00411DE2">
      <w:pPr>
        <w:pStyle w:val="notetext"/>
      </w:pPr>
      <w:r w:rsidRPr="00995753">
        <w:lastRenderedPageBreak/>
        <w:t>Note:</w:t>
      </w:r>
      <w:r w:rsidRPr="00995753">
        <w:tab/>
        <w:t>As a result of this rule, a secondary data holder that only holds SR data is not required to provide request services under rule 1.13; however, it will be required to provide a service under subrule 1.20(2).</w:t>
      </w:r>
    </w:p>
    <w:p w14:paraId="1D6EA6BB" w14:textId="77777777" w:rsidR="004F3C59" w:rsidRPr="00995753" w:rsidRDefault="004F3C59" w:rsidP="00411DE2">
      <w:pPr>
        <w:pStyle w:val="ActHead5"/>
      </w:pPr>
      <w:bookmarkStart w:id="29" w:name="_Toc76562496"/>
      <w:bookmarkStart w:id="30" w:name="_Toc76679950"/>
      <w:bookmarkStart w:id="31" w:name="_Toc76716907"/>
      <w:bookmarkStart w:id="32" w:name="_Toc76740879"/>
      <w:r w:rsidRPr="00995753">
        <w:t>1.20 Consumer data request service—primary data holders and secondary data holders</w:t>
      </w:r>
      <w:bookmarkEnd w:id="29"/>
      <w:bookmarkEnd w:id="30"/>
      <w:bookmarkEnd w:id="31"/>
      <w:bookmarkEnd w:id="32"/>
    </w:p>
    <w:p w14:paraId="38FF0889" w14:textId="77777777" w:rsidR="004F3C59" w:rsidRPr="00995753" w:rsidRDefault="004F3C59" w:rsidP="00411DE2">
      <w:pPr>
        <w:pStyle w:val="SubsectionHead"/>
      </w:pPr>
      <w:r w:rsidRPr="00995753">
        <w:t>Primary data holders</w:t>
      </w:r>
    </w:p>
    <w:p w14:paraId="2AF736E1" w14:textId="77777777" w:rsidR="004F3C59" w:rsidRPr="00995753" w:rsidRDefault="004F3C59" w:rsidP="00411DE2">
      <w:pPr>
        <w:pStyle w:val="subsection"/>
      </w:pPr>
      <w:r w:rsidRPr="00995753">
        <w:tab/>
        <w:t>(1)</w:t>
      </w:r>
      <w:r w:rsidRPr="00995753">
        <w:tab/>
        <w:t>Rule 1.13 (consumer data request service) applies in relation to a data holder for CDR data as if it were also a data holder for any SR data for which it is the primary data holder.</w:t>
      </w:r>
    </w:p>
    <w:p w14:paraId="690117AC" w14:textId="77777777" w:rsidR="004F3C59" w:rsidRPr="00995753" w:rsidRDefault="004F3C59" w:rsidP="00411DE2">
      <w:pPr>
        <w:pStyle w:val="SubsectionHead"/>
      </w:pPr>
      <w:r w:rsidRPr="00995753">
        <w:t>Secondary data holders</w:t>
      </w:r>
    </w:p>
    <w:p w14:paraId="69F61BB1" w14:textId="77777777" w:rsidR="004F3C59" w:rsidRPr="00995753" w:rsidRDefault="004F3C59" w:rsidP="00411DE2">
      <w:pPr>
        <w:pStyle w:val="subsection"/>
      </w:pPr>
      <w:r w:rsidRPr="00995753">
        <w:tab/>
        <w:t>(2)</w:t>
      </w:r>
      <w:r w:rsidRPr="00995753">
        <w:tab/>
        <w:t>A secondary data holder in relation to SR data must provide an online service that:</w:t>
      </w:r>
    </w:p>
    <w:p w14:paraId="219138F5" w14:textId="77777777" w:rsidR="004F3C59" w:rsidRPr="00995753" w:rsidRDefault="004F3C59" w:rsidP="00411DE2">
      <w:pPr>
        <w:pStyle w:val="paragraph"/>
      </w:pPr>
      <w:r w:rsidRPr="00995753">
        <w:tab/>
        <w:t>(a)</w:t>
      </w:r>
      <w:r w:rsidRPr="00995753">
        <w:tab/>
        <w:t>can be used by the primary data holder to request from the secondary data holder any SR data needed to respond to an SR data request; and</w:t>
      </w:r>
    </w:p>
    <w:p w14:paraId="5B42D8CF" w14:textId="77777777" w:rsidR="004F3C59" w:rsidRPr="00995753" w:rsidRDefault="004F3C59" w:rsidP="00411DE2">
      <w:pPr>
        <w:pStyle w:val="paragraph"/>
      </w:pPr>
      <w:r w:rsidRPr="00995753">
        <w:tab/>
        <w:t>(b)</w:t>
      </w:r>
      <w:r w:rsidRPr="00995753">
        <w:tab/>
        <w:t>enables the requested data to be disclosed to the primary data holder in machine</w:t>
      </w:r>
      <w:r w:rsidRPr="00995753">
        <w:noBreakHyphen/>
        <w:t>readable form; and</w:t>
      </w:r>
    </w:p>
    <w:p w14:paraId="2E8453D1" w14:textId="77777777" w:rsidR="004F3C59" w:rsidRPr="00995753" w:rsidRDefault="004F3C59" w:rsidP="00411DE2">
      <w:pPr>
        <w:pStyle w:val="paragraph"/>
      </w:pPr>
      <w:r w:rsidRPr="00995753">
        <w:tab/>
        <w:t>(c)</w:t>
      </w:r>
      <w:r w:rsidRPr="00995753">
        <w:tab/>
        <w:t>conforms with the data standards.</w:t>
      </w:r>
    </w:p>
    <w:p w14:paraId="259051DE" w14:textId="77777777" w:rsidR="004F3C59" w:rsidRPr="00995753" w:rsidRDefault="004F3C59" w:rsidP="00411DE2">
      <w:pPr>
        <w:pStyle w:val="notetext"/>
      </w:pPr>
      <w:r w:rsidRPr="00995753">
        <w:t>Note:</w:t>
      </w:r>
      <w:r w:rsidRPr="00995753">
        <w:tab/>
        <w:t>This subrule is a civil penalty provision (see rule 9.8).</w:t>
      </w:r>
    </w:p>
    <w:p w14:paraId="2CA17C6E" w14:textId="77777777" w:rsidR="004F3C59" w:rsidRPr="00995753" w:rsidRDefault="004F3C59" w:rsidP="00411DE2">
      <w:pPr>
        <w:pStyle w:val="ActHead5"/>
      </w:pPr>
      <w:bookmarkStart w:id="33" w:name="_Toc76562497"/>
      <w:bookmarkStart w:id="34" w:name="_Toc76679951"/>
      <w:bookmarkStart w:id="35" w:name="_Toc76716908"/>
      <w:bookmarkStart w:id="36" w:name="_Toc76740880"/>
      <w:r w:rsidRPr="00995753">
        <w:t>1.21  Consumer dashboard—SR data request</w:t>
      </w:r>
      <w:bookmarkEnd w:id="33"/>
      <w:bookmarkEnd w:id="34"/>
      <w:bookmarkEnd w:id="35"/>
      <w:bookmarkEnd w:id="36"/>
    </w:p>
    <w:p w14:paraId="4A2F4614" w14:textId="77777777" w:rsidR="004F3C59" w:rsidRPr="00995753" w:rsidRDefault="004F3C59" w:rsidP="00411DE2">
      <w:pPr>
        <w:pStyle w:val="subsection"/>
      </w:pPr>
      <w:r w:rsidRPr="00995753">
        <w:tab/>
      </w:r>
      <w:r w:rsidRPr="00995753">
        <w:tab/>
        <w:t>Rule 1.15 (provision of dashboard) applies in relation to an SR data request as if the primary data holder were the data holder for the requested SR data.</w:t>
      </w:r>
    </w:p>
    <w:p w14:paraId="12A03700" w14:textId="77777777" w:rsidR="004F3C59" w:rsidRPr="00995753" w:rsidRDefault="004F3C59" w:rsidP="00411DE2">
      <w:pPr>
        <w:pStyle w:val="ActHead5"/>
      </w:pPr>
      <w:bookmarkStart w:id="37" w:name="_Toc76562498"/>
      <w:bookmarkStart w:id="38" w:name="_Toc76679952"/>
      <w:bookmarkStart w:id="39" w:name="_Toc76716909"/>
      <w:bookmarkStart w:id="40" w:name="_Toc76740881"/>
      <w:r w:rsidRPr="00995753">
        <w:t>1.22  SR data request by a CDR consumer</w:t>
      </w:r>
      <w:bookmarkEnd w:id="37"/>
      <w:bookmarkEnd w:id="38"/>
      <w:bookmarkEnd w:id="39"/>
      <w:bookmarkEnd w:id="40"/>
      <w:r w:rsidRPr="00995753">
        <w:t xml:space="preserve"> </w:t>
      </w:r>
    </w:p>
    <w:p w14:paraId="276AA44A" w14:textId="77777777" w:rsidR="004F3C59" w:rsidRPr="00995753" w:rsidRDefault="004F3C59" w:rsidP="00411DE2">
      <w:pPr>
        <w:pStyle w:val="notemargin"/>
      </w:pPr>
      <w:r w:rsidRPr="00995753">
        <w:t>Note:</w:t>
      </w:r>
      <w:r w:rsidRPr="00995753">
        <w:tab/>
        <w:t>This rule relates to Division 3.2.</w:t>
      </w:r>
    </w:p>
    <w:p w14:paraId="412D6195" w14:textId="77777777" w:rsidR="004F3C59" w:rsidRPr="00995753" w:rsidRDefault="004F3C59" w:rsidP="00411DE2">
      <w:pPr>
        <w:pStyle w:val="subsection"/>
      </w:pPr>
      <w:r w:rsidRPr="00995753">
        <w:tab/>
        <w:t>(1)</w:t>
      </w:r>
      <w:r w:rsidRPr="00995753">
        <w:tab/>
        <w:t>This rule applies where a CDR consumer proposes to make an SR data request.</w:t>
      </w:r>
    </w:p>
    <w:p w14:paraId="05055B89" w14:textId="77777777" w:rsidR="004F3C59" w:rsidRPr="00995753" w:rsidRDefault="004F3C59" w:rsidP="00411DE2">
      <w:pPr>
        <w:pStyle w:val="subsection"/>
      </w:pPr>
      <w:r w:rsidRPr="00995753">
        <w:tab/>
        <w:t>(2)</w:t>
      </w:r>
      <w:r w:rsidRPr="00995753">
        <w:tab/>
        <w:t>The request must be made to the primary data holder, using the primary data holder’s direct request service.</w:t>
      </w:r>
    </w:p>
    <w:p w14:paraId="39955868" w14:textId="77777777" w:rsidR="004F3C59" w:rsidRPr="00995753" w:rsidRDefault="004F3C59" w:rsidP="00411DE2">
      <w:pPr>
        <w:pStyle w:val="SubsectionHead"/>
      </w:pPr>
      <w:r w:rsidRPr="00995753">
        <w:t>Dealing with the request</w:t>
      </w:r>
    </w:p>
    <w:p w14:paraId="316D6C1E" w14:textId="77777777" w:rsidR="004F3C59" w:rsidRPr="00995753" w:rsidRDefault="004F3C59" w:rsidP="00411DE2">
      <w:pPr>
        <w:pStyle w:val="subsection"/>
      </w:pPr>
      <w:r w:rsidRPr="00995753">
        <w:tab/>
        <w:t>(3)</w:t>
      </w:r>
      <w:r w:rsidRPr="00995753">
        <w:tab/>
        <w:t>The primary data holder must, using the service mentioned in subrule 1.20(2) in accordance with the data standards, request the secondary data holder to disclose any SR data that the primary data holder needs in order to respond to the SR data request.</w:t>
      </w:r>
    </w:p>
    <w:p w14:paraId="4DD988AC" w14:textId="77777777" w:rsidR="004F3C59" w:rsidRPr="00995753" w:rsidRDefault="004F3C59" w:rsidP="00411DE2">
      <w:pPr>
        <w:pStyle w:val="notetext"/>
      </w:pPr>
      <w:r w:rsidRPr="00995753">
        <w:t>Note:</w:t>
      </w:r>
      <w:r w:rsidRPr="00995753">
        <w:tab/>
        <w:t>This rule is a civil penalty provision (see rule 9.8).</w:t>
      </w:r>
    </w:p>
    <w:p w14:paraId="2D5D1D28" w14:textId="77777777" w:rsidR="004F3C59" w:rsidRPr="00995753" w:rsidRDefault="004F3C59" w:rsidP="00411DE2">
      <w:pPr>
        <w:pStyle w:val="subsection"/>
      </w:pPr>
      <w:r w:rsidRPr="00995753">
        <w:tab/>
        <w:t>(4)</w:t>
      </w:r>
      <w:r w:rsidRPr="00995753">
        <w:tab/>
        <w:t>If the secondary data holder chooses to disclose the SR data requested to the primary data holder, it must do so in accordance with any relevant data standards.</w:t>
      </w:r>
    </w:p>
    <w:p w14:paraId="683445DF" w14:textId="77777777" w:rsidR="004F3C59" w:rsidRPr="00995753" w:rsidRDefault="004F3C59" w:rsidP="00411DE2">
      <w:pPr>
        <w:pStyle w:val="notetext"/>
      </w:pPr>
      <w:r w:rsidRPr="00995753">
        <w:t>Note:</w:t>
      </w:r>
      <w:r w:rsidRPr="00995753">
        <w:tab/>
        <w:t>This rule is a civil penalty provision (see rule 9.8).</w:t>
      </w:r>
    </w:p>
    <w:p w14:paraId="38695AA6" w14:textId="77777777" w:rsidR="004F3C59" w:rsidRPr="00995753" w:rsidRDefault="004F3C59" w:rsidP="00411DE2">
      <w:pPr>
        <w:pStyle w:val="subsection"/>
      </w:pPr>
      <w:r w:rsidRPr="00995753">
        <w:lastRenderedPageBreak/>
        <w:tab/>
        <w:t>(5)</w:t>
      </w:r>
      <w:r w:rsidRPr="00995753">
        <w:tab/>
        <w:t>If the secondary data holder chooses not to disclose the SR data requested to the primary data holder, it must notify the primary data holder of its refusal.</w:t>
      </w:r>
    </w:p>
    <w:p w14:paraId="3CC75597" w14:textId="77777777" w:rsidR="004F3C59" w:rsidRPr="00995753" w:rsidRDefault="004F3C59" w:rsidP="00411DE2">
      <w:pPr>
        <w:pStyle w:val="notetext"/>
      </w:pPr>
      <w:r w:rsidRPr="00995753">
        <w:t>Note:</w:t>
      </w:r>
      <w:r w:rsidRPr="00995753">
        <w:tab/>
        <w:t>This rule is a civil penalty provision (see rule 9.8).</w:t>
      </w:r>
    </w:p>
    <w:p w14:paraId="462B600A" w14:textId="77777777" w:rsidR="004F3C59" w:rsidRPr="00995753" w:rsidRDefault="004F3C59" w:rsidP="00411DE2">
      <w:pPr>
        <w:pStyle w:val="SubsectionHead"/>
      </w:pPr>
      <w:r w:rsidRPr="00995753">
        <w:t>Responding to the request</w:t>
      </w:r>
    </w:p>
    <w:p w14:paraId="091045D7" w14:textId="77777777" w:rsidR="004F3C59" w:rsidRPr="00995753" w:rsidRDefault="004F3C59" w:rsidP="00411DE2">
      <w:pPr>
        <w:pStyle w:val="subsection"/>
      </w:pPr>
      <w:r w:rsidRPr="00995753">
        <w:tab/>
        <w:t>(6)</w:t>
      </w:r>
      <w:r w:rsidRPr="00995753">
        <w:tab/>
        <w:t>Rule 3.4 (disclosing consumer data in response to a consumer data request) and rule 3.5 (refusal to disclose) apply as if the primary data holder were the data holder for any SR data covered by the SR data request.</w:t>
      </w:r>
    </w:p>
    <w:p w14:paraId="5053F34A" w14:textId="77777777" w:rsidR="004F3C59" w:rsidRPr="00995753" w:rsidRDefault="004F3C59" w:rsidP="00411DE2">
      <w:pPr>
        <w:pStyle w:val="subsection"/>
      </w:pPr>
      <w:r w:rsidRPr="00995753">
        <w:tab/>
        <w:t>(7)</w:t>
      </w:r>
      <w:r w:rsidRPr="00995753">
        <w:tab/>
        <w:t>Subrule 3.4(3) does not apply in relation to SR data that the secondary data holder has refused to disclose to the primary data holder.</w:t>
      </w:r>
    </w:p>
    <w:p w14:paraId="3FA941D6" w14:textId="77777777" w:rsidR="004F3C59" w:rsidRPr="00995753" w:rsidRDefault="004F3C59" w:rsidP="00411DE2">
      <w:pPr>
        <w:pStyle w:val="ActHead5"/>
      </w:pPr>
      <w:bookmarkStart w:id="41" w:name="_Toc76562499"/>
      <w:bookmarkStart w:id="42" w:name="_Toc76679953"/>
      <w:bookmarkStart w:id="43" w:name="_Toc76716910"/>
      <w:bookmarkStart w:id="44" w:name="_Toc76740882"/>
      <w:r w:rsidRPr="00995753">
        <w:t>1.23  SR data request by an accredited person</w:t>
      </w:r>
      <w:bookmarkEnd w:id="41"/>
      <w:bookmarkEnd w:id="42"/>
      <w:bookmarkEnd w:id="43"/>
      <w:bookmarkEnd w:id="44"/>
    </w:p>
    <w:p w14:paraId="5B4F946B" w14:textId="77777777" w:rsidR="004F3C59" w:rsidRPr="00995753" w:rsidRDefault="004F3C59" w:rsidP="00411DE2">
      <w:pPr>
        <w:pStyle w:val="notemargin"/>
      </w:pPr>
      <w:r w:rsidRPr="00995753">
        <w:t>Note:</w:t>
      </w:r>
      <w:r w:rsidRPr="00995753">
        <w:tab/>
        <w:t>This rule relates to Subdivisions 4.2.2, 4.2.3 and 4.3.2 and Division 4.4.</w:t>
      </w:r>
    </w:p>
    <w:p w14:paraId="16FDB95F" w14:textId="77777777" w:rsidR="004F3C59" w:rsidRPr="00995753" w:rsidRDefault="004F3C59" w:rsidP="00411DE2">
      <w:pPr>
        <w:pStyle w:val="subsection"/>
      </w:pPr>
      <w:r w:rsidRPr="00995753">
        <w:tab/>
        <w:t>(1)</w:t>
      </w:r>
      <w:r w:rsidRPr="00995753">
        <w:tab/>
        <w:t>This rule applies where an accredited person proposes to make an SR data request on behalf of a CDR consumer.</w:t>
      </w:r>
    </w:p>
    <w:p w14:paraId="1EBD2597" w14:textId="77777777" w:rsidR="004F3C59" w:rsidRPr="00995753" w:rsidRDefault="004F3C59" w:rsidP="00411DE2">
      <w:pPr>
        <w:pStyle w:val="SubsectionHead"/>
      </w:pPr>
      <w:r w:rsidRPr="00995753">
        <w:t>Making the request</w:t>
      </w:r>
    </w:p>
    <w:p w14:paraId="5957CE8C" w14:textId="77777777" w:rsidR="004F3C59" w:rsidRPr="00995753" w:rsidRDefault="004F3C59" w:rsidP="00411DE2">
      <w:pPr>
        <w:pStyle w:val="subsection"/>
      </w:pPr>
      <w:r w:rsidRPr="00995753">
        <w:tab/>
        <w:t>(2)</w:t>
      </w:r>
      <w:r w:rsidRPr="00995753">
        <w:tab/>
        <w:t>The request must be made to the primary data holder, using the primary data holder’s accredited person request service.</w:t>
      </w:r>
    </w:p>
    <w:p w14:paraId="189BAFA5" w14:textId="77777777" w:rsidR="004F3C59" w:rsidRPr="00995753" w:rsidRDefault="004F3C59" w:rsidP="00411DE2">
      <w:pPr>
        <w:pStyle w:val="SubsectionHead"/>
      </w:pPr>
      <w:r w:rsidRPr="00995753">
        <w:t>Dealing with the request</w:t>
      </w:r>
    </w:p>
    <w:p w14:paraId="27AE1E2A" w14:textId="77777777" w:rsidR="004F3C59" w:rsidRPr="00995753" w:rsidRDefault="004F3C59" w:rsidP="00411DE2">
      <w:pPr>
        <w:pStyle w:val="subsection"/>
      </w:pPr>
      <w:r w:rsidRPr="00995753">
        <w:tab/>
        <w:t>(3)</w:t>
      </w:r>
      <w:r w:rsidRPr="00995753">
        <w:tab/>
        <w:t>Rule 4.5 (asking CDR consumer for authorisation to disclose CDR data) applies as if the primary data holder were the data holder for any SR data covered by the SR data request.</w:t>
      </w:r>
    </w:p>
    <w:p w14:paraId="5DC80733" w14:textId="77777777" w:rsidR="004F3C59" w:rsidRPr="00995753" w:rsidRDefault="004F3C59" w:rsidP="00411DE2">
      <w:pPr>
        <w:pStyle w:val="subsection"/>
      </w:pPr>
      <w:r w:rsidRPr="00995753">
        <w:tab/>
        <w:t>(4)</w:t>
      </w:r>
      <w:r w:rsidRPr="00995753">
        <w:tab/>
        <w:t>If the CDR consumer authorises disclosure of requested data, the primary data holder must, using the service mentioned in subrule 1.20(2) and in accordance with the data standards, request the secondary data holder to disclose any SR data that the primary data holder needs in order to respond to the SR data request.</w:t>
      </w:r>
    </w:p>
    <w:p w14:paraId="5DC9167A" w14:textId="77777777" w:rsidR="004F3C59" w:rsidRPr="00995753" w:rsidRDefault="004F3C59" w:rsidP="00411DE2">
      <w:pPr>
        <w:pStyle w:val="notetext"/>
      </w:pPr>
      <w:r w:rsidRPr="00995753">
        <w:t>Note:</w:t>
      </w:r>
      <w:r w:rsidRPr="00995753">
        <w:tab/>
        <w:t>This rule is a civil penalty provision (see rule 9.8).</w:t>
      </w:r>
    </w:p>
    <w:p w14:paraId="06703631" w14:textId="77777777" w:rsidR="004F3C59" w:rsidRPr="00995753" w:rsidRDefault="004F3C59" w:rsidP="00411DE2">
      <w:pPr>
        <w:pStyle w:val="subsection"/>
      </w:pPr>
      <w:r w:rsidRPr="00995753">
        <w:tab/>
        <w:t>(5)</w:t>
      </w:r>
      <w:r w:rsidRPr="00995753">
        <w:tab/>
        <w:t>If the secondary data holder chooses to disclose the SR data requested to the primary data holder, it must do so in accordance with any relevant data standards.</w:t>
      </w:r>
    </w:p>
    <w:p w14:paraId="19DBB08C" w14:textId="77777777" w:rsidR="004F3C59" w:rsidRPr="00995753" w:rsidRDefault="004F3C59" w:rsidP="00411DE2">
      <w:pPr>
        <w:pStyle w:val="notetext"/>
      </w:pPr>
      <w:r w:rsidRPr="00995753">
        <w:t>Note:</w:t>
      </w:r>
      <w:r w:rsidRPr="00995753">
        <w:tab/>
        <w:t>This rule is a civil penalty provision (see rule 9.8).</w:t>
      </w:r>
    </w:p>
    <w:p w14:paraId="1C10ADEC" w14:textId="77777777" w:rsidR="004F3C59" w:rsidRPr="00995753" w:rsidRDefault="004F3C59" w:rsidP="00411DE2">
      <w:pPr>
        <w:pStyle w:val="subsection"/>
      </w:pPr>
      <w:r w:rsidRPr="00995753">
        <w:tab/>
        <w:t>(6)</w:t>
      </w:r>
      <w:r w:rsidRPr="00995753">
        <w:tab/>
        <w:t>If the secondary data holder chooses not to disclose the SR data requested to the primary data holder, it must notify the primary data holder of its refusal.</w:t>
      </w:r>
    </w:p>
    <w:p w14:paraId="46ED0004" w14:textId="77777777" w:rsidR="004F3C59" w:rsidRPr="00995753" w:rsidRDefault="004F3C59" w:rsidP="00411DE2">
      <w:pPr>
        <w:pStyle w:val="notetext"/>
      </w:pPr>
      <w:r w:rsidRPr="00995753">
        <w:t>Note:</w:t>
      </w:r>
      <w:r w:rsidRPr="00995753">
        <w:tab/>
        <w:t>This rule is a civil penalty provision (see rule 9.8).</w:t>
      </w:r>
    </w:p>
    <w:p w14:paraId="0D2665A9" w14:textId="77777777" w:rsidR="004F3C59" w:rsidRPr="00995753" w:rsidRDefault="004F3C59" w:rsidP="00411DE2">
      <w:pPr>
        <w:pStyle w:val="SubsectionHead"/>
      </w:pPr>
      <w:r w:rsidRPr="00995753">
        <w:t>Responding to the request</w:t>
      </w:r>
    </w:p>
    <w:p w14:paraId="1516AD75" w14:textId="77777777" w:rsidR="004F3C59" w:rsidRPr="00995753" w:rsidRDefault="004F3C59" w:rsidP="00411DE2">
      <w:pPr>
        <w:pStyle w:val="subsection"/>
      </w:pPr>
      <w:r w:rsidRPr="00995753">
        <w:tab/>
        <w:t>(7)</w:t>
      </w:r>
      <w:r w:rsidRPr="00995753">
        <w:tab/>
        <w:t>Subject to subrule (8), rule 4.6 (disclosing consumer data in response to a consumer data request) applies as if the primary data holder were the data holder for any SR data covered by the SR data request.</w:t>
      </w:r>
    </w:p>
    <w:p w14:paraId="220929A9" w14:textId="77777777" w:rsidR="004F3C59" w:rsidRPr="00995753" w:rsidRDefault="004F3C59" w:rsidP="00411DE2">
      <w:pPr>
        <w:pStyle w:val="subsection"/>
      </w:pPr>
      <w:r w:rsidRPr="00995753">
        <w:lastRenderedPageBreak/>
        <w:tab/>
        <w:t>(8)</w:t>
      </w:r>
      <w:r w:rsidRPr="00995753">
        <w:tab/>
        <w:t>Subrule 4.6(4) does not apply in relation to SR data that the secondary data holder has refused to disclose to the primary data holder.</w:t>
      </w:r>
    </w:p>
    <w:p w14:paraId="54900F29" w14:textId="77777777" w:rsidR="004F3C59" w:rsidRPr="00995753" w:rsidRDefault="004F3C59" w:rsidP="00411DE2">
      <w:pPr>
        <w:pStyle w:val="subsection"/>
      </w:pPr>
      <w:r w:rsidRPr="00995753">
        <w:tab/>
        <w:t>(9)</w:t>
      </w:r>
      <w:r w:rsidRPr="00995753">
        <w:tab/>
        <w:t>Rule 4.7 (refusal to disclose) applies as if the primary data holder were the data holder for any SR data covered by the SR data request.</w:t>
      </w:r>
    </w:p>
    <w:p w14:paraId="35A27EC6" w14:textId="77777777" w:rsidR="004F3C59" w:rsidRPr="00995753" w:rsidRDefault="004F3C59" w:rsidP="00411DE2">
      <w:pPr>
        <w:pStyle w:val="SubsectionHead"/>
      </w:pPr>
      <w:r w:rsidRPr="00995753">
        <w:t>Notification of withdrawal of consent</w:t>
      </w:r>
    </w:p>
    <w:p w14:paraId="35E63478" w14:textId="77777777" w:rsidR="004F3C59" w:rsidRPr="00995753" w:rsidRDefault="004F3C59" w:rsidP="00411DE2">
      <w:pPr>
        <w:pStyle w:val="subsection"/>
      </w:pPr>
      <w:r w:rsidRPr="00995753">
        <w:tab/>
        <w:t>(10)</w:t>
      </w:r>
      <w:r w:rsidRPr="00995753">
        <w:tab/>
        <w:t>Rule 4.13 (withdrawal of consent) applies as if the primary data holder were the data holder for any SR data covered by the SR data request.</w:t>
      </w:r>
    </w:p>
    <w:p w14:paraId="5B779E75" w14:textId="77777777" w:rsidR="004F3C59" w:rsidRPr="00995753" w:rsidRDefault="004F3C59" w:rsidP="00411DE2">
      <w:pPr>
        <w:pStyle w:val="SubsectionHead"/>
      </w:pPr>
      <w:r w:rsidRPr="00995753">
        <w:t>Dealing with authorisations</w:t>
      </w:r>
    </w:p>
    <w:p w14:paraId="1706D78E" w14:textId="77777777" w:rsidR="004F3C59" w:rsidRPr="00995753" w:rsidRDefault="004F3C59" w:rsidP="00411DE2">
      <w:pPr>
        <w:pStyle w:val="subsection"/>
      </w:pPr>
      <w:r w:rsidRPr="00995753">
        <w:tab/>
        <w:t>(11)</w:t>
      </w:r>
      <w:r w:rsidRPr="00995753">
        <w:tab/>
        <w:t>Division 4.4 (authorisations to disclose CDR data) applies as if:</w:t>
      </w:r>
    </w:p>
    <w:p w14:paraId="7C882F62" w14:textId="77777777" w:rsidR="004F3C59" w:rsidRPr="00995753" w:rsidRDefault="004F3C59" w:rsidP="00411DE2">
      <w:pPr>
        <w:pStyle w:val="paragraph"/>
      </w:pPr>
      <w:r w:rsidRPr="00995753">
        <w:tab/>
        <w:t>(a)</w:t>
      </w:r>
      <w:r w:rsidRPr="00995753">
        <w:tab/>
        <w:t>a reference to the data holder were a reference to the primary data holder; and</w:t>
      </w:r>
    </w:p>
    <w:p w14:paraId="0F8EC9C7" w14:textId="77777777" w:rsidR="004F3C59" w:rsidRPr="00995753" w:rsidRDefault="004F3C59" w:rsidP="00411DE2">
      <w:pPr>
        <w:pStyle w:val="paragraph"/>
      </w:pPr>
      <w:r w:rsidRPr="00995753">
        <w:tab/>
        <w:t>(b)</w:t>
      </w:r>
      <w:r w:rsidRPr="00995753">
        <w:tab/>
        <w:t>the following subrule were added after subrule 4.25(2) (withdrawal of authorisation by CDR consumer):</w:t>
      </w:r>
    </w:p>
    <w:p w14:paraId="73DF7E7A" w14:textId="77777777" w:rsidR="004F3C59" w:rsidRPr="00995753" w:rsidRDefault="004F3C59" w:rsidP="00411DE2">
      <w:pPr>
        <w:pStyle w:val="paragraphsub"/>
      </w:pPr>
      <w:r w:rsidRPr="00995753">
        <w:tab/>
        <w:t>“(2)</w:t>
      </w:r>
      <w:r w:rsidRPr="00995753">
        <w:tab/>
        <w:t>For paragraph (2)(a), giving effect to withdrawal includes cancelling any current requests to the secondary data holder by the primary data holder under subrule 1.23(4).”.</w:t>
      </w:r>
    </w:p>
    <w:p w14:paraId="60040E72" w14:textId="77777777" w:rsidR="004F3C59" w:rsidRPr="00995753" w:rsidRDefault="004F3C59" w:rsidP="00411DE2">
      <w:pPr>
        <w:pStyle w:val="ActHead5"/>
      </w:pPr>
      <w:bookmarkStart w:id="45" w:name="_Toc76562500"/>
      <w:bookmarkStart w:id="46" w:name="_Toc76679954"/>
      <w:bookmarkStart w:id="47" w:name="_Toc76716911"/>
      <w:bookmarkStart w:id="48" w:name="_Toc76740883"/>
      <w:r w:rsidRPr="00995753">
        <w:t>1.24  SR data disclosed to primary data holder not to be used for other purposes</w:t>
      </w:r>
      <w:bookmarkEnd w:id="45"/>
      <w:bookmarkEnd w:id="46"/>
      <w:bookmarkEnd w:id="47"/>
      <w:bookmarkEnd w:id="48"/>
    </w:p>
    <w:p w14:paraId="16AB1CA2" w14:textId="77777777" w:rsidR="004F3C59" w:rsidRPr="00995753" w:rsidRDefault="004F3C59" w:rsidP="00411DE2">
      <w:pPr>
        <w:pStyle w:val="subsection"/>
      </w:pPr>
      <w:r w:rsidRPr="00995753">
        <w:tab/>
        <w:t>(1)</w:t>
      </w:r>
      <w:r w:rsidRPr="00995753">
        <w:tab/>
        <w:t>A primary data holder must not use the service mentioned in subrule 1.20(2) other than to request SR data that it needs to respond to an SR data request.</w:t>
      </w:r>
    </w:p>
    <w:p w14:paraId="3D7637F0" w14:textId="77777777" w:rsidR="004F3C59" w:rsidRPr="00995753" w:rsidRDefault="004F3C59" w:rsidP="00411DE2">
      <w:pPr>
        <w:pStyle w:val="subsection"/>
      </w:pPr>
      <w:r w:rsidRPr="00995753">
        <w:tab/>
        <w:t>(2)</w:t>
      </w:r>
      <w:r w:rsidRPr="00995753">
        <w:tab/>
        <w:t>Where a secondary data holder provides SR data to a primary data holder in response to such a request:</w:t>
      </w:r>
    </w:p>
    <w:p w14:paraId="7B4CB7CB" w14:textId="77777777" w:rsidR="004F3C59" w:rsidRPr="00995753" w:rsidRDefault="004F3C59" w:rsidP="00411DE2">
      <w:pPr>
        <w:pStyle w:val="paragraph"/>
      </w:pPr>
      <w:r w:rsidRPr="00995753">
        <w:tab/>
        <w:t>(a)</w:t>
      </w:r>
      <w:r w:rsidRPr="00995753">
        <w:tab/>
        <w:t>the primary data holder must not use or disclose the SR data for a purpose other than responding to the SR data request; and</w:t>
      </w:r>
    </w:p>
    <w:p w14:paraId="4933DD22" w14:textId="77777777" w:rsidR="004F3C59" w:rsidRPr="00995753" w:rsidRDefault="004F3C59" w:rsidP="00411DE2">
      <w:pPr>
        <w:pStyle w:val="paragraph"/>
      </w:pPr>
      <w:r w:rsidRPr="00995753">
        <w:tab/>
        <w:t>(b)</w:t>
      </w:r>
      <w:r w:rsidRPr="00995753">
        <w:tab/>
        <w:t>once the primary data holder has responded to the SR data request, it must delete any of the SR data that it holds in accordance with the CDR data deletion process.</w:t>
      </w:r>
    </w:p>
    <w:p w14:paraId="65B73AE4" w14:textId="77777777" w:rsidR="0005327D" w:rsidRPr="00995753" w:rsidRDefault="0005327D" w:rsidP="00411DE2">
      <w:pPr>
        <w:pStyle w:val="notetext"/>
      </w:pPr>
      <w:r w:rsidRPr="00995753">
        <w:t>Note :</w:t>
      </w:r>
      <w:r w:rsidRPr="00995753">
        <w:tab/>
        <w:t>See rule 1.18 for the definition of “CDR data deletion process”.</w:t>
      </w:r>
      <w:r w:rsidRPr="00995753">
        <w:tab/>
      </w:r>
    </w:p>
    <w:p w14:paraId="415B18FD" w14:textId="77777777" w:rsidR="0005327D" w:rsidRPr="00995753" w:rsidRDefault="0005327D" w:rsidP="00411DE2">
      <w:pPr>
        <w:pStyle w:val="ActHead5"/>
        <w:rPr>
          <w:lang w:val="en-GB"/>
        </w:rPr>
      </w:pPr>
      <w:bookmarkStart w:id="49" w:name="_Toc86237101"/>
      <w:r w:rsidRPr="00995753">
        <w:t xml:space="preserve">1.25  </w:t>
      </w:r>
      <w:bookmarkStart w:id="50" w:name="_Toc83642152"/>
      <w:r w:rsidRPr="00995753">
        <w:t>Dealing with unsolicited SR data</w:t>
      </w:r>
      <w:bookmarkEnd w:id="49"/>
      <w:bookmarkEnd w:id="50"/>
    </w:p>
    <w:p w14:paraId="5EDA8BC8" w14:textId="77777777" w:rsidR="0005327D" w:rsidRPr="00995753" w:rsidRDefault="004962A8" w:rsidP="00411DE2">
      <w:pPr>
        <w:pStyle w:val="subsection"/>
        <w:rPr>
          <w:lang w:val="en-GB"/>
        </w:rPr>
      </w:pPr>
      <w:r>
        <w:tab/>
      </w:r>
      <w:r>
        <w:tab/>
      </w:r>
      <w:r w:rsidR="0005327D" w:rsidRPr="00995753">
        <w:t>If a primary data holder:</w:t>
      </w:r>
    </w:p>
    <w:p w14:paraId="01316AC0" w14:textId="77777777" w:rsidR="0005327D" w:rsidRPr="00995753" w:rsidRDefault="004962A8" w:rsidP="00411DE2">
      <w:pPr>
        <w:pStyle w:val="paragraph"/>
        <w:rPr>
          <w:lang w:val="en-GB"/>
        </w:rPr>
      </w:pPr>
      <w:r>
        <w:tab/>
        <w:t>(a)</w:t>
      </w:r>
      <w:r>
        <w:tab/>
      </w:r>
      <w:r w:rsidR="0005327D" w:rsidRPr="00995753">
        <w:t>collects SR data from a secondary data holder:</w:t>
      </w:r>
    </w:p>
    <w:p w14:paraId="5FD8FB39" w14:textId="77777777" w:rsidR="0005327D" w:rsidRPr="00995753" w:rsidRDefault="004962A8" w:rsidP="00411DE2">
      <w:pPr>
        <w:pStyle w:val="paragraphsub"/>
        <w:rPr>
          <w:lang w:val="en-GB"/>
        </w:rPr>
      </w:pPr>
      <w:r>
        <w:tab/>
        <w:t>(i)</w:t>
      </w:r>
      <w:r>
        <w:tab/>
      </w:r>
      <w:r w:rsidR="0005327D" w:rsidRPr="00995753">
        <w:t>purportedly under these rules; but</w:t>
      </w:r>
    </w:p>
    <w:p w14:paraId="222AB1BF" w14:textId="77777777" w:rsidR="0005327D" w:rsidRPr="00995753" w:rsidRDefault="004962A8" w:rsidP="00411DE2">
      <w:pPr>
        <w:pStyle w:val="paragraphsub"/>
        <w:rPr>
          <w:lang w:val="en-GB"/>
        </w:rPr>
      </w:pPr>
      <w:r>
        <w:tab/>
        <w:t>(ii)</w:t>
      </w:r>
      <w:r>
        <w:tab/>
      </w:r>
      <w:r w:rsidR="0005327D" w:rsidRPr="00995753">
        <w:t>not as the result of seeking to collect that SR data under these rules; and</w:t>
      </w:r>
    </w:p>
    <w:p w14:paraId="5AF1AAE0" w14:textId="77777777" w:rsidR="0005327D" w:rsidRPr="00995753" w:rsidRDefault="004962A8" w:rsidP="00411DE2">
      <w:pPr>
        <w:pStyle w:val="paragraph"/>
        <w:rPr>
          <w:lang w:val="en-GB"/>
        </w:rPr>
      </w:pPr>
      <w:r>
        <w:tab/>
        <w:t>(b)</w:t>
      </w:r>
      <w:r>
        <w:tab/>
      </w:r>
      <w:r w:rsidR="0005327D" w:rsidRPr="00995753">
        <w:t>is not required to retain that SR data by or under an Australian law or a court/tribunal order;</w:t>
      </w:r>
    </w:p>
    <w:p w14:paraId="04353FF3" w14:textId="77777777" w:rsidR="0005327D" w:rsidRPr="00995753" w:rsidRDefault="004962A8" w:rsidP="00411DE2">
      <w:pPr>
        <w:pStyle w:val="subsection20"/>
        <w:rPr>
          <w:lang w:val="en-GB"/>
        </w:rPr>
      </w:pPr>
      <w:r>
        <w:tab/>
      </w:r>
      <w:r>
        <w:tab/>
      </w:r>
      <w:r w:rsidR="0005327D" w:rsidRPr="00995753">
        <w:t>the primary data holder must destroy the SR data as soon as practicable.</w:t>
      </w:r>
    </w:p>
    <w:p w14:paraId="09E30853" w14:textId="77777777" w:rsidR="0005327D" w:rsidRPr="00995753" w:rsidRDefault="0005327D" w:rsidP="00411DE2">
      <w:pPr>
        <w:pStyle w:val="notetext"/>
      </w:pPr>
      <w:r w:rsidRPr="00995753">
        <w:t>Note:</w:t>
      </w:r>
      <w:r w:rsidRPr="00995753">
        <w:tab/>
        <w:t>This rule is a civil penalty provision (see rule 9.8).</w:t>
      </w:r>
    </w:p>
    <w:p w14:paraId="65C310B9" w14:textId="77777777" w:rsidR="0005327D" w:rsidRPr="00995753" w:rsidRDefault="0005327D" w:rsidP="00411DE2">
      <w:pPr>
        <w:pStyle w:val="ActHead5"/>
      </w:pPr>
      <w:bookmarkStart w:id="51" w:name="_Toc86237102"/>
      <w:r w:rsidRPr="00995753">
        <w:lastRenderedPageBreak/>
        <w:t>1.26  Dispute resolution—primary data holders and secondary data holders</w:t>
      </w:r>
      <w:bookmarkEnd w:id="51"/>
    </w:p>
    <w:p w14:paraId="0765685F" w14:textId="77777777" w:rsidR="004F3C59" w:rsidRPr="00995753" w:rsidRDefault="004F3C59" w:rsidP="00411DE2">
      <w:pPr>
        <w:pStyle w:val="subsection"/>
      </w:pPr>
      <w:r w:rsidRPr="00995753">
        <w:tab/>
      </w:r>
      <w:r w:rsidRPr="00995753">
        <w:tab/>
        <w:t>Where a primary data holder requests relevant information from a secondary data holder in relation to a consumer complaint or dispute with the primary data holder that relates to an SR data request, the secondary data holder must provide the information to the extent that it is reasonable to do so.</w:t>
      </w:r>
    </w:p>
    <w:p w14:paraId="5861ABD9" w14:textId="77777777" w:rsidR="004F3C59" w:rsidRPr="00995753" w:rsidRDefault="00A7561A" w:rsidP="00411DE2">
      <w:pPr>
        <w:pStyle w:val="ItemHead"/>
      </w:pPr>
      <w:r>
        <w:rPr>
          <w:noProof/>
        </w:rPr>
        <w:t>4</w:t>
      </w:r>
      <w:r w:rsidR="004F3C59" w:rsidRPr="00995753">
        <w:t xml:space="preserve">  Paragraph 8.11(1)(a)</w:t>
      </w:r>
    </w:p>
    <w:p w14:paraId="360A8B89" w14:textId="77777777" w:rsidR="004F3C59" w:rsidRPr="00995753" w:rsidRDefault="004F3C59" w:rsidP="00411DE2">
      <w:pPr>
        <w:pStyle w:val="Item"/>
      </w:pPr>
      <w:r w:rsidRPr="00995753">
        <w:t>Add at the end:</w:t>
      </w:r>
    </w:p>
    <w:p w14:paraId="4D97C93B" w14:textId="77777777" w:rsidR="004F3C59" w:rsidRPr="00995753" w:rsidRDefault="004F3C59" w:rsidP="00411DE2">
      <w:pPr>
        <w:pStyle w:val="paragraphsub"/>
      </w:pPr>
      <w:r w:rsidRPr="00995753">
        <w:tab/>
      </w:r>
      <w:r w:rsidRPr="00995753">
        <w:tab/>
        <w:t>; and</w:t>
      </w:r>
    </w:p>
    <w:p w14:paraId="530FBAB1" w14:textId="77777777" w:rsidR="004F3C59" w:rsidRPr="00995753" w:rsidRDefault="004F3C59" w:rsidP="00411DE2">
      <w:pPr>
        <w:pStyle w:val="paragraphsub"/>
      </w:pPr>
      <w:r w:rsidRPr="00995753">
        <w:tab/>
        <w:t>(iii)</w:t>
      </w:r>
      <w:r w:rsidRPr="00995753">
        <w:tab/>
        <w:t xml:space="preserve">making and responding to requests by the primary data holder for SR data under rules 1.22 and 1.23; </w:t>
      </w:r>
    </w:p>
    <w:p w14:paraId="1D7A0579" w14:textId="77777777" w:rsidR="004F3C59" w:rsidRPr="00995753" w:rsidRDefault="00A7561A" w:rsidP="00411DE2">
      <w:pPr>
        <w:pStyle w:val="ItemHead"/>
      </w:pPr>
      <w:r>
        <w:rPr>
          <w:noProof/>
        </w:rPr>
        <w:t>5</w:t>
      </w:r>
      <w:r w:rsidR="004F3C59" w:rsidRPr="00995753">
        <w:t xml:space="preserve">  After paragraph 9.3(1)(c)</w:t>
      </w:r>
    </w:p>
    <w:p w14:paraId="6D30BF62" w14:textId="77777777" w:rsidR="004F3C59" w:rsidRPr="00995753" w:rsidRDefault="004F3C59" w:rsidP="00411DE2">
      <w:pPr>
        <w:pStyle w:val="Item"/>
      </w:pPr>
      <w:r w:rsidRPr="00995753">
        <w:t>Insert:</w:t>
      </w:r>
    </w:p>
    <w:p w14:paraId="022AF6EF" w14:textId="77777777" w:rsidR="004F3C59" w:rsidRPr="00995753" w:rsidRDefault="004F3C59" w:rsidP="00411DE2">
      <w:pPr>
        <w:pStyle w:val="paragraph"/>
      </w:pPr>
      <w:r w:rsidRPr="00995753">
        <w:tab/>
        <w:t>(ca)</w:t>
      </w:r>
      <w:r w:rsidRPr="00995753">
        <w:tab/>
        <w:t xml:space="preserve">where the data holder is a primary data holder—any requests for SR data made under subrule 1.23(4) and responses received under subrule 1.23(5) or (6); </w:t>
      </w:r>
    </w:p>
    <w:p w14:paraId="454FEAB1" w14:textId="77777777" w:rsidR="004F3C59" w:rsidRPr="00995753" w:rsidRDefault="004F3C59" w:rsidP="00411DE2">
      <w:pPr>
        <w:pStyle w:val="paragraph"/>
      </w:pPr>
      <w:r w:rsidRPr="00995753">
        <w:tab/>
        <w:t>(cb)</w:t>
      </w:r>
      <w:r w:rsidRPr="00995753">
        <w:tab/>
        <w:t>where the data holder is a secondary data holder:</w:t>
      </w:r>
    </w:p>
    <w:p w14:paraId="25EB672A" w14:textId="77777777" w:rsidR="004F3C59" w:rsidRPr="00995753" w:rsidRDefault="004F3C59" w:rsidP="00411DE2">
      <w:pPr>
        <w:pStyle w:val="paragraphsub"/>
      </w:pPr>
      <w:r w:rsidRPr="00995753">
        <w:tab/>
        <w:t>(i)</w:t>
      </w:r>
      <w:r w:rsidRPr="00995753">
        <w:tab/>
        <w:t>any requests for SR data received under subrule 1.22(3) or 1.23(4) and responses given under subrule 1.22(4) or (5) or 1.23(5) or (6); and</w:t>
      </w:r>
    </w:p>
    <w:p w14:paraId="52E17F16" w14:textId="77777777" w:rsidR="004F3C59" w:rsidRPr="00995753" w:rsidRDefault="004F3C59" w:rsidP="00411DE2">
      <w:pPr>
        <w:pStyle w:val="paragraphsub"/>
      </w:pPr>
      <w:r w:rsidRPr="00995753">
        <w:tab/>
        <w:t>(ii)</w:t>
      </w:r>
      <w:r w:rsidRPr="00995753">
        <w:tab/>
        <w:t>where the data holder has refused to disclose requested SR data—the reasons relied upon to refuse to disclose the SR data, including any rule or data standard;</w:t>
      </w:r>
    </w:p>
    <w:p w14:paraId="2FD55E1D" w14:textId="77777777" w:rsidR="004F3C59" w:rsidRPr="00995753" w:rsidRDefault="00A7561A" w:rsidP="00411DE2">
      <w:pPr>
        <w:pStyle w:val="ItemHead"/>
      </w:pPr>
      <w:r>
        <w:rPr>
          <w:noProof/>
        </w:rPr>
        <w:t>6</w:t>
      </w:r>
      <w:r w:rsidR="004F3C59" w:rsidRPr="00995753">
        <w:t xml:space="preserve">  After subrule 9.4(1)</w:t>
      </w:r>
    </w:p>
    <w:p w14:paraId="27884053" w14:textId="77777777" w:rsidR="004F3C59" w:rsidRPr="00995753" w:rsidRDefault="004F3C59" w:rsidP="00411DE2">
      <w:pPr>
        <w:pStyle w:val="Item"/>
      </w:pPr>
      <w:r w:rsidRPr="00995753">
        <w:t>Insert:</w:t>
      </w:r>
    </w:p>
    <w:p w14:paraId="31187610" w14:textId="77777777" w:rsidR="004F3C59" w:rsidRPr="00995753" w:rsidRDefault="004F3C59" w:rsidP="00411DE2">
      <w:pPr>
        <w:pStyle w:val="SubsectionHead"/>
      </w:pPr>
      <w:r w:rsidRPr="00995753">
        <w:t>Reports that must be prepared—secondary data holder</w:t>
      </w:r>
    </w:p>
    <w:p w14:paraId="12760959" w14:textId="77777777" w:rsidR="004F3C59" w:rsidRPr="00995753" w:rsidRDefault="004F3C59" w:rsidP="00411DE2">
      <w:pPr>
        <w:pStyle w:val="subsection"/>
      </w:pPr>
      <w:r w:rsidRPr="00995753">
        <w:tab/>
        <w:t>(1A)</w:t>
      </w:r>
      <w:r w:rsidRPr="00995753">
        <w:tab/>
        <w:t>A secondary data holder must prepare a report for each reporting period that:</w:t>
      </w:r>
    </w:p>
    <w:p w14:paraId="55516463" w14:textId="77777777" w:rsidR="004F3C59" w:rsidRPr="00995753" w:rsidRDefault="004F3C59" w:rsidP="00411DE2">
      <w:pPr>
        <w:pStyle w:val="paragraph"/>
      </w:pPr>
      <w:r w:rsidRPr="00995753">
        <w:tab/>
        <w:t>(a)</w:t>
      </w:r>
      <w:r w:rsidRPr="00995753">
        <w:tab/>
        <w:t>is in the form approved by the Commission for the purposes of this rule; and</w:t>
      </w:r>
    </w:p>
    <w:p w14:paraId="2E8507A0" w14:textId="77777777" w:rsidR="004F3C59" w:rsidRPr="00995753" w:rsidRDefault="004F3C59" w:rsidP="00411DE2">
      <w:pPr>
        <w:pStyle w:val="paragraph"/>
      </w:pPr>
      <w:r w:rsidRPr="00995753">
        <w:tab/>
        <w:t>(b)</w:t>
      </w:r>
      <w:r w:rsidRPr="00995753">
        <w:tab/>
        <w:t>sets out the number (if any) of requests for SR data under subrule 1.22(3) or 1.23(4) received by the data holder from the primary data holder during the reporting period; and</w:t>
      </w:r>
    </w:p>
    <w:p w14:paraId="408260EA" w14:textId="77777777" w:rsidR="004F3C59" w:rsidRPr="00995753" w:rsidRDefault="004F3C59" w:rsidP="00411DE2">
      <w:pPr>
        <w:pStyle w:val="paragraph"/>
      </w:pPr>
      <w:r w:rsidRPr="00995753">
        <w:tab/>
        <w:t>(c)</w:t>
      </w:r>
      <w:r w:rsidRPr="00995753">
        <w:tab/>
        <w:t>sets out:</w:t>
      </w:r>
    </w:p>
    <w:p w14:paraId="64CCB80A" w14:textId="77777777" w:rsidR="004F3C59" w:rsidRPr="00995753" w:rsidRDefault="004F3C59" w:rsidP="00411DE2">
      <w:pPr>
        <w:pStyle w:val="paragraphsub"/>
      </w:pPr>
      <w:r w:rsidRPr="00995753">
        <w:tab/>
        <w:t>(i)</w:t>
      </w:r>
      <w:r w:rsidRPr="00995753">
        <w:tab/>
        <w:t>the number of times the data holder has refused to disclose SR data; and</w:t>
      </w:r>
    </w:p>
    <w:p w14:paraId="1CBD38F8" w14:textId="77777777" w:rsidR="004F3C59" w:rsidRPr="00995753" w:rsidRDefault="004F3C59" w:rsidP="00411DE2">
      <w:pPr>
        <w:pStyle w:val="paragraphsub"/>
      </w:pPr>
      <w:r w:rsidRPr="00995753">
        <w:tab/>
        <w:t>(ii)</w:t>
      </w:r>
      <w:r w:rsidRPr="00995753">
        <w:tab/>
        <w:t>the reasons for the refusals to disclose that data, including any rule or data standard relied upon; and</w:t>
      </w:r>
    </w:p>
    <w:p w14:paraId="223F33B3" w14:textId="77777777" w:rsidR="004F3C59" w:rsidRPr="00995753" w:rsidRDefault="004F3C59" w:rsidP="00411DE2">
      <w:pPr>
        <w:pStyle w:val="paragraphsub"/>
      </w:pPr>
      <w:r w:rsidRPr="00995753">
        <w:tab/>
        <w:t>(iii)</w:t>
      </w:r>
      <w:r w:rsidRPr="00995753">
        <w:tab/>
        <w:t>the number of times the data holder has relied on each of those reasons for refusal.</w:t>
      </w:r>
    </w:p>
    <w:p w14:paraId="6DAF16F1" w14:textId="77777777" w:rsidR="004F3C59" w:rsidRPr="00995753" w:rsidRDefault="004F3C59" w:rsidP="00411DE2">
      <w:pPr>
        <w:pStyle w:val="subsection"/>
      </w:pPr>
      <w:r w:rsidRPr="00995753">
        <w:tab/>
      </w:r>
      <w:r w:rsidRPr="00995753">
        <w:tab/>
        <w:t>Civil penalty:</w:t>
      </w:r>
    </w:p>
    <w:p w14:paraId="71100F3D" w14:textId="77777777" w:rsidR="004F3C59" w:rsidRPr="00995753" w:rsidRDefault="004F3C59" w:rsidP="00411DE2">
      <w:pPr>
        <w:pStyle w:val="paragraph"/>
      </w:pPr>
      <w:r w:rsidRPr="00995753">
        <w:tab/>
        <w:t>(a)</w:t>
      </w:r>
      <w:r w:rsidRPr="00995753">
        <w:tab/>
        <w:t>for an individual―$50,000; and</w:t>
      </w:r>
    </w:p>
    <w:p w14:paraId="10258263" w14:textId="77777777" w:rsidR="004F3C59" w:rsidRPr="00995753" w:rsidRDefault="004F3C59" w:rsidP="00411DE2">
      <w:pPr>
        <w:pStyle w:val="paragraph"/>
      </w:pPr>
      <w:r w:rsidRPr="00995753">
        <w:tab/>
        <w:t>(b)</w:t>
      </w:r>
      <w:r w:rsidRPr="00995753">
        <w:tab/>
        <w:t>for a body corporate―$250,000.</w:t>
      </w:r>
    </w:p>
    <w:p w14:paraId="0A07C0BF" w14:textId="77777777" w:rsidR="004F3C59" w:rsidRPr="00995753" w:rsidRDefault="004F3C59" w:rsidP="00411DE2">
      <w:pPr>
        <w:spacing w:line="240" w:lineRule="auto"/>
      </w:pPr>
      <w:bookmarkStart w:id="52" w:name="_Toc76740885"/>
    </w:p>
    <w:p w14:paraId="459307C1" w14:textId="77777777" w:rsidR="004F3C59" w:rsidRPr="00995753" w:rsidRDefault="004F3C59" w:rsidP="00411DE2">
      <w:pPr>
        <w:sectPr w:rsidR="004F3C59" w:rsidRPr="00995753" w:rsidSect="00A379FF">
          <w:headerReference w:type="even" r:id="rId27"/>
          <w:headerReference w:type="default" r:id="rId28"/>
          <w:footerReference w:type="even" r:id="rId29"/>
          <w:headerReference w:type="first" r:id="rId30"/>
          <w:footerReference w:type="first" r:id="rId31"/>
          <w:pgSz w:w="11907" w:h="16839"/>
          <w:pgMar w:top="1440" w:right="1797" w:bottom="1440" w:left="1797" w:header="720" w:footer="709" w:gutter="0"/>
          <w:cols w:space="708"/>
          <w:docGrid w:linePitch="360"/>
        </w:sectPr>
      </w:pPr>
    </w:p>
    <w:p w14:paraId="349D4FE8" w14:textId="77777777" w:rsidR="004F3C59" w:rsidRPr="00995753" w:rsidRDefault="004F3C59" w:rsidP="00411DE2">
      <w:pPr>
        <w:pStyle w:val="ActHead1"/>
      </w:pPr>
      <w:r w:rsidRPr="00995753">
        <w:lastRenderedPageBreak/>
        <w:t>Schedule 2—Amendments relating to the energy sector</w:t>
      </w:r>
      <w:bookmarkEnd w:id="52"/>
    </w:p>
    <w:p w14:paraId="120F3420" w14:textId="77777777" w:rsidR="004F3C59" w:rsidRPr="00995753" w:rsidRDefault="004F3C59" w:rsidP="00411DE2">
      <w:pPr>
        <w:pStyle w:val="ActHead9"/>
      </w:pPr>
      <w:bookmarkStart w:id="53" w:name="_Toc76740886"/>
      <w:r w:rsidRPr="00995753">
        <w:t>Competition and Consumer (Consumer Data Right) Rules 2020</w:t>
      </w:r>
      <w:bookmarkEnd w:id="53"/>
    </w:p>
    <w:p w14:paraId="6C4F75FB" w14:textId="77777777" w:rsidR="004F3C59" w:rsidRPr="00995753" w:rsidRDefault="004F3C59" w:rsidP="00411DE2">
      <w:pPr>
        <w:pStyle w:val="ItemHead"/>
        <w:rPr>
          <w:noProof/>
        </w:rPr>
      </w:pPr>
    </w:p>
    <w:p w14:paraId="3F6E0D87" w14:textId="77777777" w:rsidR="004F3C59" w:rsidRPr="00995753" w:rsidRDefault="00A7561A" w:rsidP="00411DE2">
      <w:pPr>
        <w:pStyle w:val="ItemHead"/>
      </w:pPr>
      <w:r>
        <w:rPr>
          <w:noProof/>
        </w:rPr>
        <w:t>1</w:t>
      </w:r>
      <w:r w:rsidR="004F3C59" w:rsidRPr="00995753">
        <w:t xml:space="preserve">  Rule 1.4, last 2 boxed paragraphs</w:t>
      </w:r>
    </w:p>
    <w:p w14:paraId="7C09CAE2" w14:textId="77777777" w:rsidR="004F3C59" w:rsidRPr="00995753" w:rsidRDefault="004F3C59" w:rsidP="00411DE2">
      <w:pPr>
        <w:pStyle w:val="Item"/>
      </w:pPr>
      <w:r w:rsidRPr="00995753">
        <w:t>Substitute:</w:t>
      </w:r>
    </w:p>
    <w:p w14:paraId="1EB92DF3" w14:textId="77777777" w:rsidR="004F3C59" w:rsidRPr="00995753" w:rsidRDefault="004F3C59" w:rsidP="00411DE2">
      <w:pPr>
        <w:pStyle w:val="SOText"/>
        <w:rPr>
          <w:b/>
        </w:rPr>
      </w:pPr>
      <w:r w:rsidRPr="00995753">
        <w:rPr>
          <w:b/>
        </w:rPr>
        <w:t>When consumers are eligible to make requests</w:t>
      </w:r>
    </w:p>
    <w:p w14:paraId="412481D8" w14:textId="77777777" w:rsidR="004F3C59" w:rsidRPr="00995753" w:rsidRDefault="004F3C59" w:rsidP="00411DE2">
      <w:pPr>
        <w:pStyle w:val="SOText"/>
      </w:pPr>
      <w:r w:rsidRPr="00995753">
        <w:t>A consumer data request can only be made in relation to certain classes of product and consumer CDR data.  These are specified in Schedules to these rules that relate to different designated sectors. The relevant Schedule will also set out:</w:t>
      </w:r>
    </w:p>
    <w:p w14:paraId="309608A5" w14:textId="77777777" w:rsidR="004F3C59" w:rsidRPr="00995753" w:rsidRDefault="004F3C59" w:rsidP="00411DE2">
      <w:pPr>
        <w:pStyle w:val="SOPara"/>
      </w:pPr>
      <w:r w:rsidRPr="00995753">
        <w:t xml:space="preserve"> </w:t>
      </w:r>
      <w:r w:rsidRPr="00995753">
        <w:tab/>
        <w:t>•</w:t>
      </w:r>
      <w:r w:rsidRPr="00995753">
        <w:tab/>
        <w:t>the circumstances in which a CDR consumer will be eligible to make or initiate a consumer data request for CDR data in that sector; and</w:t>
      </w:r>
    </w:p>
    <w:p w14:paraId="06D67F3B" w14:textId="77777777" w:rsidR="004F3C59" w:rsidRPr="00995753" w:rsidRDefault="004F3C59" w:rsidP="00411DE2">
      <w:pPr>
        <w:pStyle w:val="SOPara"/>
      </w:pPr>
      <w:r w:rsidRPr="00995753">
        <w:tab/>
        <w:t>•</w:t>
      </w:r>
      <w:r w:rsidRPr="00995753">
        <w:tab/>
        <w:t>the CDR data that must be disclosed by the data holder in response to a valid request and the CDR data that may be, but is not required to be, disclosed by the data holder.</w:t>
      </w:r>
    </w:p>
    <w:p w14:paraId="6DDBB360" w14:textId="77777777" w:rsidR="004F3C59" w:rsidRPr="00995753" w:rsidRDefault="004F3C59" w:rsidP="00411DE2">
      <w:pPr>
        <w:pStyle w:val="SOText"/>
      </w:pPr>
      <w:r w:rsidRPr="00995753">
        <w:t xml:space="preserve">Schedule 3 relates to the banking sector. Initially, these rules will apply only in relation to certain products that are offered by certain data holders within the banking sector. These rules will then apply to a progressively broader range of data holders and products. </w:t>
      </w:r>
    </w:p>
    <w:p w14:paraId="207D6BE1" w14:textId="77777777" w:rsidR="004F3C59" w:rsidRPr="00995753" w:rsidRDefault="004F3C59" w:rsidP="00411DE2">
      <w:pPr>
        <w:pStyle w:val="SOText"/>
      </w:pPr>
      <w:r w:rsidRPr="00995753">
        <w:t>Schedule 4 relates to the energy sector. In this sector, the product data that can be requested is data that is required by law to be passed to either the AER or the Victorian agency; product data requests are therefore made to those agencies as data holders.  In addition, some of the relevant consumer data is in practice collected and held by AEMO, which does not have a direct relationship with consumers.  Responsibility for dealing with a consumer data request for this data made by or on behalf of a customer of a retailer is therefore shared between AEMO and the retailer.</w:t>
      </w:r>
    </w:p>
    <w:p w14:paraId="06A04FEA" w14:textId="77777777" w:rsidR="004F3C59" w:rsidRPr="00995753" w:rsidRDefault="004F3C59" w:rsidP="00411DE2">
      <w:pPr>
        <w:pStyle w:val="SOText"/>
      </w:pPr>
      <w:r w:rsidRPr="00995753">
        <w:t>These rules also deal with a range of ancillary and related matters.</w:t>
      </w:r>
    </w:p>
    <w:p w14:paraId="4F2667D3" w14:textId="77777777" w:rsidR="004F3C59" w:rsidRPr="00995753" w:rsidRDefault="00A7561A" w:rsidP="00411DE2">
      <w:pPr>
        <w:pStyle w:val="ItemHead"/>
      </w:pPr>
      <w:r>
        <w:rPr>
          <w:noProof/>
        </w:rPr>
        <w:t>2</w:t>
      </w:r>
      <w:r w:rsidR="004F3C59" w:rsidRPr="00995753">
        <w:t xml:space="preserve">  Subrules 1.6(2), (3) and (4)</w:t>
      </w:r>
    </w:p>
    <w:p w14:paraId="0F69DCC0" w14:textId="77777777" w:rsidR="004F3C59" w:rsidRPr="00995753" w:rsidRDefault="004F3C59" w:rsidP="00411DE2">
      <w:pPr>
        <w:pStyle w:val="Item"/>
      </w:pPr>
      <w:r w:rsidRPr="00995753">
        <w:t>Substitute:</w:t>
      </w:r>
    </w:p>
    <w:p w14:paraId="6B467615" w14:textId="77777777" w:rsidR="004F3C59" w:rsidRPr="00995753" w:rsidRDefault="004F3C59" w:rsidP="00411DE2">
      <w:pPr>
        <w:pStyle w:val="subsection"/>
      </w:pPr>
      <w:r w:rsidRPr="00995753">
        <w:tab/>
        <w:t>(2)</w:t>
      </w:r>
      <w:r w:rsidRPr="00995753">
        <w:tab/>
        <w:t>Part 2 of these rules deals with product data requests, and should be read in conjunction with the relevant sector Schedule.</w:t>
      </w:r>
    </w:p>
    <w:p w14:paraId="092CF6A6" w14:textId="77777777" w:rsidR="004F3C59" w:rsidRPr="00995753" w:rsidRDefault="004F3C59" w:rsidP="00411DE2">
      <w:pPr>
        <w:pStyle w:val="subsection"/>
      </w:pPr>
      <w:r w:rsidRPr="00995753">
        <w:tab/>
        <w:t>(3)</w:t>
      </w:r>
      <w:r w:rsidRPr="00995753">
        <w:tab/>
        <w:t>Part 3 of these rules deals with consumer data requests that are made by CDR consumers, and should be read in conjunction with the relevant sector Schedule. Only CDR consumers who are eligible to do so may make such requests. The eligibility criteria for each sector are set out in the relevant sector Schedule.</w:t>
      </w:r>
    </w:p>
    <w:p w14:paraId="1CFEEAE4" w14:textId="77777777" w:rsidR="004F3C59" w:rsidRPr="00995753" w:rsidRDefault="004F3C59" w:rsidP="00411DE2">
      <w:pPr>
        <w:pStyle w:val="subsection"/>
      </w:pPr>
      <w:r w:rsidRPr="00995753">
        <w:lastRenderedPageBreak/>
        <w:tab/>
        <w:t>(4)</w:t>
      </w:r>
      <w:r w:rsidRPr="00995753">
        <w:tab/>
        <w:t>Part 4 of these rules deals with consumer data requests that involve accredited persons, and should be read in conjunction with the relevant sector Schedule.</w:t>
      </w:r>
    </w:p>
    <w:p w14:paraId="7A85E339" w14:textId="77777777" w:rsidR="004F3C59" w:rsidRPr="00995753" w:rsidRDefault="00A7561A" w:rsidP="00411DE2">
      <w:pPr>
        <w:pStyle w:val="ItemHead"/>
      </w:pPr>
      <w:r>
        <w:rPr>
          <w:noProof/>
        </w:rPr>
        <w:t>3</w:t>
      </w:r>
      <w:r w:rsidR="004F3C59" w:rsidRPr="00995753">
        <w:t xml:space="preserve">  Subrule 1.6(12)</w:t>
      </w:r>
    </w:p>
    <w:p w14:paraId="7D6AFCF6" w14:textId="77777777" w:rsidR="004F3C59" w:rsidRPr="00995753" w:rsidRDefault="004F3C59" w:rsidP="00411DE2">
      <w:pPr>
        <w:pStyle w:val="Item"/>
      </w:pPr>
      <w:r w:rsidRPr="00995753">
        <w:t>Omit  all words from and including “It is intended” to the end.</w:t>
      </w:r>
    </w:p>
    <w:p w14:paraId="0C7761EE" w14:textId="77777777" w:rsidR="004F3C59" w:rsidRPr="00995753" w:rsidRDefault="00A7561A" w:rsidP="00411DE2">
      <w:pPr>
        <w:pStyle w:val="ItemHead"/>
      </w:pPr>
      <w:r>
        <w:rPr>
          <w:noProof/>
        </w:rPr>
        <w:t>4</w:t>
      </w:r>
      <w:r w:rsidR="004F3C59" w:rsidRPr="00995753">
        <w:t xml:space="preserve">  Rule 1.6</w:t>
      </w:r>
    </w:p>
    <w:p w14:paraId="5AF4A4FA" w14:textId="77777777" w:rsidR="004F3C59" w:rsidRPr="00995753" w:rsidRDefault="004F3C59" w:rsidP="00411DE2">
      <w:pPr>
        <w:pStyle w:val="Item"/>
      </w:pPr>
      <w:r w:rsidRPr="00995753">
        <w:t>Add at the end:</w:t>
      </w:r>
    </w:p>
    <w:p w14:paraId="7669E987" w14:textId="77777777" w:rsidR="004F3C59" w:rsidRPr="00995753" w:rsidRDefault="004F3C59" w:rsidP="00411DE2">
      <w:pPr>
        <w:pStyle w:val="subsection"/>
      </w:pPr>
      <w:r w:rsidRPr="00995753">
        <w:tab/>
        <w:t>(13)</w:t>
      </w:r>
      <w:r w:rsidRPr="00995753">
        <w:tab/>
        <w:t>Schedule 4 to these rules contains details that are relevant to the energy sector. Schedule 4:</w:t>
      </w:r>
    </w:p>
    <w:p w14:paraId="5830D0A9" w14:textId="77777777" w:rsidR="004F3C59" w:rsidRPr="00995753" w:rsidRDefault="004F3C59" w:rsidP="00411DE2">
      <w:pPr>
        <w:pStyle w:val="paragraph"/>
      </w:pPr>
      <w:r w:rsidRPr="00995753">
        <w:tab/>
        <w:t>(a)</w:t>
      </w:r>
      <w:r w:rsidRPr="00995753">
        <w:tab/>
        <w:t>sets out the specific CDR data in respect of which requests under these rules may be made; and</w:t>
      </w:r>
    </w:p>
    <w:p w14:paraId="63C1BD88" w14:textId="77777777" w:rsidR="004F3C59" w:rsidRPr="00995753" w:rsidRDefault="004F3C59" w:rsidP="00411DE2">
      <w:pPr>
        <w:pStyle w:val="paragraph"/>
      </w:pPr>
      <w:r w:rsidRPr="00995753">
        <w:tab/>
        <w:t>(b)</w:t>
      </w:r>
      <w:r w:rsidRPr="00995753">
        <w:tab/>
        <w:t>sets out the circumstances in which CDR consumers are eligible in relation to requests for energy sector CDR data that relates to themselves; and</w:t>
      </w:r>
    </w:p>
    <w:p w14:paraId="1A90F7F4" w14:textId="77777777" w:rsidR="004F3C59" w:rsidRPr="00995753" w:rsidRDefault="004F3C59" w:rsidP="00411DE2">
      <w:pPr>
        <w:pStyle w:val="paragraph"/>
      </w:pPr>
      <w:r w:rsidRPr="00995753">
        <w:tab/>
        <w:t>(c)</w:t>
      </w:r>
      <w:r w:rsidRPr="00995753">
        <w:tab/>
        <w:t>sets out some modifications of the general rules that apply in the energy sector because certain types of data are collected or held by agencies specified in its designation instrument rather than the retailers with which the CDR consumers have accounts; and</w:t>
      </w:r>
    </w:p>
    <w:p w14:paraId="4685148C" w14:textId="77777777" w:rsidR="004F3C59" w:rsidRPr="00995753" w:rsidRDefault="004F3C59" w:rsidP="00411DE2">
      <w:pPr>
        <w:pStyle w:val="paragraph"/>
      </w:pPr>
      <w:r w:rsidRPr="00995753">
        <w:tab/>
        <w:t>(d)</w:t>
      </w:r>
      <w:r w:rsidRPr="00995753">
        <w:tab/>
        <w:t>deals with the progressive application of these rules to the energy sector.</w:t>
      </w:r>
    </w:p>
    <w:p w14:paraId="7A720E94" w14:textId="77777777" w:rsidR="004F3C59" w:rsidRPr="00995753" w:rsidRDefault="004F3C59" w:rsidP="00411DE2">
      <w:pPr>
        <w:pStyle w:val="subsection"/>
        <w:spacing w:before="40"/>
      </w:pPr>
      <w:r w:rsidRPr="00995753">
        <w:tab/>
      </w:r>
      <w:r w:rsidRPr="00995753">
        <w:tab/>
        <w:t>It is intended that these rules will be amended at a later time to deal with additional sectors of the economy.</w:t>
      </w:r>
    </w:p>
    <w:p w14:paraId="04A64E2A" w14:textId="77777777" w:rsidR="004F3C59" w:rsidRPr="00995753" w:rsidRDefault="00A7561A" w:rsidP="00411DE2">
      <w:pPr>
        <w:pStyle w:val="ItemHead"/>
      </w:pPr>
      <w:r>
        <w:rPr>
          <w:noProof/>
        </w:rPr>
        <w:t>5</w:t>
      </w:r>
      <w:r w:rsidR="004F3C59" w:rsidRPr="00995753">
        <w:t xml:space="preserve">  Rule 1.7, note 1 after the heading</w:t>
      </w:r>
    </w:p>
    <w:p w14:paraId="7B114140" w14:textId="77777777" w:rsidR="004F3C59" w:rsidRPr="00995753" w:rsidRDefault="004F3C59" w:rsidP="00411DE2">
      <w:pPr>
        <w:pStyle w:val="Item"/>
      </w:pPr>
      <w:r w:rsidRPr="00995753">
        <w:t>Insert in the appropriate alphabetical position:</w:t>
      </w:r>
    </w:p>
    <w:p w14:paraId="60012398" w14:textId="77777777" w:rsidR="004F3C59" w:rsidRPr="00995753" w:rsidRDefault="004F3C59" w:rsidP="00411DE2">
      <w:pPr>
        <w:pStyle w:val="notepara"/>
      </w:pPr>
      <w:r w:rsidRPr="00995753">
        <w:sym w:font="Symbol" w:char="F0B7"/>
      </w:r>
      <w:r w:rsidRPr="00995753">
        <w:tab/>
        <w:t>Australian Energy Regulator;</w:t>
      </w:r>
    </w:p>
    <w:p w14:paraId="26BF5510" w14:textId="77777777" w:rsidR="004F3C59" w:rsidRPr="00995753" w:rsidRDefault="00A7561A" w:rsidP="00411DE2">
      <w:pPr>
        <w:pStyle w:val="ItemHead"/>
      </w:pPr>
      <w:r>
        <w:rPr>
          <w:noProof/>
        </w:rPr>
        <w:t>6</w:t>
      </w:r>
      <w:r w:rsidR="004F3C59" w:rsidRPr="00995753">
        <w:t xml:space="preserve">  Rule 1.7</w:t>
      </w:r>
    </w:p>
    <w:p w14:paraId="152F0E4C" w14:textId="77777777" w:rsidR="004F3C59" w:rsidRPr="00995753" w:rsidRDefault="004F3C59" w:rsidP="00411DE2">
      <w:pPr>
        <w:pStyle w:val="Item"/>
      </w:pPr>
      <w:r w:rsidRPr="00995753">
        <w:t>Insert the following definition in the appropriate alphabetical position:</w:t>
      </w:r>
    </w:p>
    <w:p w14:paraId="49443806" w14:textId="77777777" w:rsidR="004F3C59" w:rsidRPr="00995753" w:rsidRDefault="004F3C59" w:rsidP="00411DE2">
      <w:pPr>
        <w:pStyle w:val="Definition"/>
      </w:pPr>
      <w:r w:rsidRPr="00995753">
        <w:rPr>
          <w:b/>
          <w:bCs/>
          <w:i/>
          <w:iCs/>
        </w:rPr>
        <w:t xml:space="preserve">sector Schedule </w:t>
      </w:r>
      <w:r w:rsidRPr="00995753">
        <w:t>means a Schedule to these rules that deals with a particular designated sector.</w:t>
      </w:r>
    </w:p>
    <w:p w14:paraId="592623C8" w14:textId="77777777" w:rsidR="004F3C59" w:rsidRPr="00995753" w:rsidRDefault="00A7561A" w:rsidP="00411DE2">
      <w:pPr>
        <w:pStyle w:val="ItemHead"/>
      </w:pPr>
      <w:r>
        <w:rPr>
          <w:noProof/>
        </w:rPr>
        <w:t>7</w:t>
      </w:r>
      <w:r w:rsidR="004F3C59" w:rsidRPr="00995753">
        <w:t xml:space="preserve">  Rule 1.7, definition of </w:t>
      </w:r>
      <w:r w:rsidR="004F3C59" w:rsidRPr="00995753">
        <w:rPr>
          <w:i/>
        </w:rPr>
        <w:t>law relevant to the management of CDR data</w:t>
      </w:r>
      <w:r w:rsidR="004F3C59" w:rsidRPr="00995753">
        <w:t>, paragraph (f)</w:t>
      </w:r>
    </w:p>
    <w:p w14:paraId="27379530" w14:textId="77777777" w:rsidR="004F3C59" w:rsidRPr="00995753" w:rsidRDefault="004F3C59" w:rsidP="00411DE2">
      <w:pPr>
        <w:pStyle w:val="Item"/>
      </w:pPr>
      <w:r w:rsidRPr="00995753">
        <w:t>Substitute:</w:t>
      </w:r>
    </w:p>
    <w:p w14:paraId="1A630AA3" w14:textId="77777777" w:rsidR="004F3C59" w:rsidRPr="00995753" w:rsidRDefault="004F3C59" w:rsidP="00411DE2">
      <w:pPr>
        <w:pStyle w:val="paragraph"/>
      </w:pPr>
      <w:r w:rsidRPr="00995753">
        <w:tab/>
        <w:t>(f)</w:t>
      </w:r>
      <w:r w:rsidRPr="00995753">
        <w:tab/>
        <w:t>in relation to a particular designated sector—any law that is specified for the purposes of this paragraph in a sector Schedule.</w:t>
      </w:r>
    </w:p>
    <w:p w14:paraId="649BCB88" w14:textId="77777777" w:rsidR="004F3C59" w:rsidRPr="00995753" w:rsidRDefault="00A7561A" w:rsidP="00411DE2">
      <w:pPr>
        <w:pStyle w:val="ItemHead"/>
      </w:pPr>
      <w:r>
        <w:rPr>
          <w:noProof/>
        </w:rPr>
        <w:t>8</w:t>
      </w:r>
      <w:r w:rsidR="004F3C59" w:rsidRPr="00995753">
        <w:t xml:space="preserve">  Rule 1.7, definition of </w:t>
      </w:r>
      <w:r w:rsidR="004F3C59" w:rsidRPr="00995753">
        <w:rPr>
          <w:i/>
        </w:rPr>
        <w:t>law relevant to the management of CDR data</w:t>
      </w:r>
      <w:r w:rsidR="004F3C59" w:rsidRPr="00995753">
        <w:t>, note</w:t>
      </w:r>
    </w:p>
    <w:p w14:paraId="47DC02B6" w14:textId="77777777" w:rsidR="004F3C59" w:rsidRPr="00995753" w:rsidRDefault="004F3C59" w:rsidP="00411DE2">
      <w:pPr>
        <w:pStyle w:val="Item"/>
      </w:pPr>
      <w:r w:rsidRPr="00995753">
        <w:t>Substitute:</w:t>
      </w:r>
    </w:p>
    <w:p w14:paraId="5E60E5F1" w14:textId="77777777" w:rsidR="004F3C59" w:rsidRPr="00995753" w:rsidRDefault="004F3C59" w:rsidP="00411DE2">
      <w:pPr>
        <w:pStyle w:val="notetext"/>
      </w:pPr>
      <w:r w:rsidRPr="00995753">
        <w:t>Note:</w:t>
      </w:r>
      <w:r w:rsidRPr="00995753">
        <w:tab/>
        <w:t>In relation to paragraph (f):</w:t>
      </w:r>
    </w:p>
    <w:p w14:paraId="466248FC" w14:textId="77777777" w:rsidR="004F3C59" w:rsidRPr="00995753" w:rsidRDefault="004F3C59" w:rsidP="00411DE2">
      <w:pPr>
        <w:pStyle w:val="notepara"/>
        <w:numPr>
          <w:ilvl w:val="0"/>
          <w:numId w:val="8"/>
        </w:numPr>
      </w:pPr>
      <w:r w:rsidRPr="00995753">
        <w:t>for the banking sector, see clause 7.1 of Schedule 3; and</w:t>
      </w:r>
    </w:p>
    <w:p w14:paraId="4396BDBE" w14:textId="77777777" w:rsidR="004F3C59" w:rsidRPr="00995753" w:rsidRDefault="004F3C59" w:rsidP="00411DE2">
      <w:pPr>
        <w:pStyle w:val="notepara"/>
        <w:numPr>
          <w:ilvl w:val="0"/>
          <w:numId w:val="8"/>
        </w:numPr>
      </w:pPr>
      <w:r w:rsidRPr="00995753">
        <w:t>for the energy sector, see clause 9.1 of Schedule 4.</w:t>
      </w:r>
    </w:p>
    <w:p w14:paraId="08FA05D5" w14:textId="77777777" w:rsidR="004F3C59" w:rsidRPr="00995753" w:rsidRDefault="00A7561A" w:rsidP="00411DE2">
      <w:pPr>
        <w:pStyle w:val="ItemHead"/>
      </w:pPr>
      <w:r>
        <w:rPr>
          <w:noProof/>
        </w:rPr>
        <w:lastRenderedPageBreak/>
        <w:t>9</w:t>
      </w:r>
      <w:r w:rsidR="004F3C59" w:rsidRPr="00995753">
        <w:t xml:space="preserve">  Rule 1.7, definition of </w:t>
      </w:r>
      <w:r w:rsidR="004F3C59" w:rsidRPr="00995753">
        <w:rPr>
          <w:i/>
        </w:rPr>
        <w:t>meet the internal dispute resolution requirements</w:t>
      </w:r>
    </w:p>
    <w:p w14:paraId="7ABE6DC1" w14:textId="77777777" w:rsidR="004F3C59" w:rsidRPr="00995753" w:rsidRDefault="004F3C59" w:rsidP="00411DE2">
      <w:pPr>
        <w:pStyle w:val="Item"/>
      </w:pPr>
      <w:r w:rsidRPr="00995753">
        <w:t>Substitute:</w:t>
      </w:r>
    </w:p>
    <w:p w14:paraId="768579D9" w14:textId="77777777" w:rsidR="004F3C59" w:rsidRPr="00995753" w:rsidRDefault="004F3C59" w:rsidP="00411DE2">
      <w:pPr>
        <w:pStyle w:val="Definition"/>
        <w:tabs>
          <w:tab w:val="left" w:pos="1985"/>
        </w:tabs>
      </w:pPr>
      <w:r w:rsidRPr="00995753">
        <w:rPr>
          <w:b/>
          <w:i/>
        </w:rPr>
        <w:t>meet the internal dispute resolution requirements</w:t>
      </w:r>
      <w:r w:rsidRPr="00995753">
        <w:t>,</w:t>
      </w:r>
      <w:r w:rsidRPr="00995753">
        <w:rPr>
          <w:b/>
          <w:i/>
        </w:rPr>
        <w:t xml:space="preserve"> </w:t>
      </w:r>
      <w:r w:rsidRPr="00995753">
        <w:t>in relation to a particular designated sector, has the meaning set out in the relevant sector Schedule.</w:t>
      </w:r>
    </w:p>
    <w:p w14:paraId="79A07A08" w14:textId="77777777" w:rsidR="004F3C59" w:rsidRPr="00995753" w:rsidRDefault="004F3C59" w:rsidP="00411DE2">
      <w:pPr>
        <w:pStyle w:val="notetext"/>
      </w:pPr>
      <w:r w:rsidRPr="00995753">
        <w:t>Note:</w:t>
      </w:r>
      <w:r w:rsidRPr="00995753">
        <w:tab/>
        <w:t>For the meaning of the term:</w:t>
      </w:r>
    </w:p>
    <w:p w14:paraId="1C767D05" w14:textId="77777777" w:rsidR="004F3C59" w:rsidRPr="00995753" w:rsidRDefault="004F3C59" w:rsidP="00411DE2">
      <w:pPr>
        <w:pStyle w:val="notepara"/>
        <w:numPr>
          <w:ilvl w:val="0"/>
          <w:numId w:val="8"/>
        </w:numPr>
      </w:pPr>
      <w:r w:rsidRPr="00995753">
        <w:t>in the banking sector, see clause 5.1 of Schedule 3; and</w:t>
      </w:r>
    </w:p>
    <w:p w14:paraId="08A6E2E4" w14:textId="77777777" w:rsidR="004F3C59" w:rsidRPr="00995753" w:rsidRDefault="004F3C59" w:rsidP="00411DE2">
      <w:pPr>
        <w:pStyle w:val="notepara"/>
        <w:numPr>
          <w:ilvl w:val="0"/>
          <w:numId w:val="8"/>
        </w:numPr>
      </w:pPr>
      <w:r w:rsidRPr="00995753">
        <w:t>in the energy sector, see clause 5.1 of Schedule 4.</w:t>
      </w:r>
    </w:p>
    <w:p w14:paraId="055AEF8B" w14:textId="77777777" w:rsidR="004F3C59" w:rsidRPr="00995753" w:rsidRDefault="00A7561A" w:rsidP="00411DE2">
      <w:pPr>
        <w:pStyle w:val="ItemHead"/>
      </w:pPr>
      <w:r>
        <w:rPr>
          <w:noProof/>
        </w:rPr>
        <w:t>10</w:t>
      </w:r>
      <w:r w:rsidR="004F3C59" w:rsidRPr="00995753">
        <w:t xml:space="preserve">  Rule 1.7, definition of </w:t>
      </w:r>
      <w:r w:rsidR="004F3C59" w:rsidRPr="00995753">
        <w:rPr>
          <w:i/>
        </w:rPr>
        <w:t>required consumer data</w:t>
      </w:r>
    </w:p>
    <w:p w14:paraId="0CA44924" w14:textId="77777777" w:rsidR="004F3C59" w:rsidRPr="00995753" w:rsidRDefault="004F3C59" w:rsidP="00411DE2">
      <w:pPr>
        <w:pStyle w:val="Item"/>
      </w:pPr>
      <w:r w:rsidRPr="00995753">
        <w:t>Substitute:</w:t>
      </w:r>
    </w:p>
    <w:p w14:paraId="1596B2E9" w14:textId="77777777" w:rsidR="004F3C59" w:rsidRPr="00995753" w:rsidRDefault="004F3C59" w:rsidP="00411DE2">
      <w:pPr>
        <w:pStyle w:val="Definition"/>
      </w:pPr>
      <w:r w:rsidRPr="00995753">
        <w:rPr>
          <w:b/>
          <w:i/>
        </w:rPr>
        <w:t>required consumer data</w:t>
      </w:r>
      <w:r w:rsidRPr="00995753">
        <w:t>, in relation to a particular designated sector, has the meaning set out in the relevant sector Schedule.</w:t>
      </w:r>
    </w:p>
    <w:p w14:paraId="515A5D66" w14:textId="77777777" w:rsidR="004F3C59" w:rsidRPr="00995753" w:rsidRDefault="004F3C59" w:rsidP="00411DE2">
      <w:pPr>
        <w:pStyle w:val="notetext"/>
      </w:pPr>
      <w:r w:rsidRPr="00995753">
        <w:t>Note:</w:t>
      </w:r>
      <w:r w:rsidRPr="00995753">
        <w:tab/>
        <w:t>For the meaning of the term:</w:t>
      </w:r>
    </w:p>
    <w:p w14:paraId="12BDFA35" w14:textId="77777777" w:rsidR="004F3C59" w:rsidRPr="00995753" w:rsidRDefault="004F3C59" w:rsidP="00411DE2">
      <w:pPr>
        <w:pStyle w:val="notepara"/>
        <w:numPr>
          <w:ilvl w:val="0"/>
          <w:numId w:val="8"/>
        </w:numPr>
      </w:pPr>
      <w:r w:rsidRPr="00995753">
        <w:t>in the banking sector, see clause 3.2 of Schedule 3; and</w:t>
      </w:r>
    </w:p>
    <w:p w14:paraId="1D34892A" w14:textId="77777777" w:rsidR="004F3C59" w:rsidRPr="00995753" w:rsidRDefault="004F3C59" w:rsidP="00411DE2">
      <w:pPr>
        <w:pStyle w:val="notepara"/>
        <w:numPr>
          <w:ilvl w:val="0"/>
          <w:numId w:val="8"/>
        </w:numPr>
      </w:pPr>
      <w:r w:rsidRPr="00995753">
        <w:t>in the energy sector, see clause 3.2 of Schedule 4.</w:t>
      </w:r>
    </w:p>
    <w:p w14:paraId="037ED5CC" w14:textId="77777777" w:rsidR="004F3C59" w:rsidRPr="00995753" w:rsidRDefault="00A7561A" w:rsidP="00411DE2">
      <w:pPr>
        <w:pStyle w:val="ItemHead"/>
      </w:pPr>
      <w:r>
        <w:rPr>
          <w:noProof/>
        </w:rPr>
        <w:t>11</w:t>
      </w:r>
      <w:r w:rsidR="004F3C59" w:rsidRPr="00995753">
        <w:t xml:space="preserve">  Rule 1.7, definition of </w:t>
      </w:r>
      <w:r w:rsidR="004F3C59" w:rsidRPr="00995753">
        <w:rPr>
          <w:i/>
        </w:rPr>
        <w:t>required product data</w:t>
      </w:r>
    </w:p>
    <w:p w14:paraId="33DC95CD" w14:textId="77777777" w:rsidR="004F3C59" w:rsidRPr="00995753" w:rsidRDefault="004F3C59" w:rsidP="00411DE2">
      <w:pPr>
        <w:pStyle w:val="Item"/>
      </w:pPr>
      <w:r w:rsidRPr="00995753">
        <w:t>Substitute:</w:t>
      </w:r>
    </w:p>
    <w:p w14:paraId="306BB722" w14:textId="77777777" w:rsidR="004F3C59" w:rsidRPr="00995753" w:rsidRDefault="004F3C59" w:rsidP="00411DE2">
      <w:pPr>
        <w:pStyle w:val="Definition"/>
      </w:pPr>
      <w:r w:rsidRPr="00995753">
        <w:rPr>
          <w:b/>
          <w:i/>
        </w:rPr>
        <w:t>required product data</w:t>
      </w:r>
      <w:r w:rsidRPr="00995753">
        <w:t>, in relation to a particular designated sector, has the meaning set out in the relevant sector Schedule.</w:t>
      </w:r>
    </w:p>
    <w:p w14:paraId="2F5D6F24" w14:textId="77777777" w:rsidR="004F3C59" w:rsidRPr="00995753" w:rsidRDefault="004F3C59" w:rsidP="00411DE2">
      <w:pPr>
        <w:pStyle w:val="notetext"/>
      </w:pPr>
      <w:r w:rsidRPr="00995753">
        <w:t>Note:</w:t>
      </w:r>
      <w:r w:rsidRPr="00995753">
        <w:tab/>
        <w:t>For the meaning of the term:</w:t>
      </w:r>
    </w:p>
    <w:p w14:paraId="2E7D7F1D" w14:textId="77777777" w:rsidR="004F3C59" w:rsidRPr="00995753" w:rsidRDefault="004F3C59" w:rsidP="00411DE2">
      <w:pPr>
        <w:pStyle w:val="notepara"/>
        <w:numPr>
          <w:ilvl w:val="0"/>
          <w:numId w:val="8"/>
        </w:numPr>
      </w:pPr>
      <w:r w:rsidRPr="00995753">
        <w:t>in the banking sector, see clause 3.1 of Schedule 3; and</w:t>
      </w:r>
    </w:p>
    <w:p w14:paraId="1F823682" w14:textId="77777777" w:rsidR="004F3C59" w:rsidRPr="00995753" w:rsidRDefault="004F3C59" w:rsidP="00411DE2">
      <w:pPr>
        <w:pStyle w:val="notepara"/>
        <w:numPr>
          <w:ilvl w:val="0"/>
          <w:numId w:val="8"/>
        </w:numPr>
      </w:pPr>
      <w:r w:rsidRPr="00995753">
        <w:t>in the energy sector, see clause 3.1 of Schedule 4.</w:t>
      </w:r>
    </w:p>
    <w:p w14:paraId="6171CAD4" w14:textId="77777777" w:rsidR="004F3C59" w:rsidRPr="00995753" w:rsidRDefault="00A7561A" w:rsidP="00411DE2">
      <w:pPr>
        <w:pStyle w:val="ItemHead"/>
      </w:pPr>
      <w:r>
        <w:rPr>
          <w:noProof/>
        </w:rPr>
        <w:t>12</w:t>
      </w:r>
      <w:r w:rsidR="004F3C59" w:rsidRPr="00995753">
        <w:t xml:space="preserve">  Rule 1.7, definition of </w:t>
      </w:r>
      <w:r w:rsidR="004F3C59" w:rsidRPr="00995753">
        <w:rPr>
          <w:i/>
        </w:rPr>
        <w:t>voluntary  consumer data</w:t>
      </w:r>
    </w:p>
    <w:p w14:paraId="657F0A4B" w14:textId="77777777" w:rsidR="004F3C59" w:rsidRPr="00995753" w:rsidRDefault="004F3C59" w:rsidP="00411DE2">
      <w:pPr>
        <w:pStyle w:val="Item"/>
      </w:pPr>
      <w:r w:rsidRPr="00995753">
        <w:t>Substitute:</w:t>
      </w:r>
    </w:p>
    <w:p w14:paraId="55BAD2EF" w14:textId="77777777" w:rsidR="004F3C59" w:rsidRPr="00995753" w:rsidRDefault="004F3C59" w:rsidP="00411DE2">
      <w:pPr>
        <w:pStyle w:val="Definition"/>
      </w:pPr>
      <w:r w:rsidRPr="00995753">
        <w:rPr>
          <w:b/>
          <w:i/>
        </w:rPr>
        <w:t>voluntary consumer data</w:t>
      </w:r>
      <w:r w:rsidRPr="00995753">
        <w:t>, in relation to a particular designated sector, has the meaning set out in the relevant sector Schedule.</w:t>
      </w:r>
    </w:p>
    <w:p w14:paraId="7B3B060B" w14:textId="77777777" w:rsidR="004F3C59" w:rsidRPr="00995753" w:rsidRDefault="004F3C59" w:rsidP="00411DE2">
      <w:pPr>
        <w:pStyle w:val="notetext"/>
      </w:pPr>
      <w:r w:rsidRPr="00995753">
        <w:t>Note:</w:t>
      </w:r>
      <w:r w:rsidRPr="00995753">
        <w:tab/>
        <w:t>For the meaning of the term:</w:t>
      </w:r>
    </w:p>
    <w:p w14:paraId="2263D16E" w14:textId="77777777" w:rsidR="004F3C59" w:rsidRPr="00995753" w:rsidRDefault="004F3C59" w:rsidP="00411DE2">
      <w:pPr>
        <w:pStyle w:val="notepara"/>
        <w:numPr>
          <w:ilvl w:val="0"/>
          <w:numId w:val="8"/>
        </w:numPr>
      </w:pPr>
      <w:r w:rsidRPr="00995753">
        <w:t>in the banking sector, see clause 3.2 of Schedule 3; and</w:t>
      </w:r>
    </w:p>
    <w:p w14:paraId="6A661F22" w14:textId="77777777" w:rsidR="004F3C59" w:rsidRPr="00995753" w:rsidRDefault="004F3C59" w:rsidP="00411DE2">
      <w:pPr>
        <w:pStyle w:val="notepara"/>
        <w:numPr>
          <w:ilvl w:val="0"/>
          <w:numId w:val="8"/>
        </w:numPr>
      </w:pPr>
      <w:r w:rsidRPr="00995753">
        <w:t>in the energy sector, see clause 3.2 of Schedule 4.</w:t>
      </w:r>
    </w:p>
    <w:p w14:paraId="6AC541B4" w14:textId="77777777" w:rsidR="004F3C59" w:rsidRPr="00995753" w:rsidRDefault="00A7561A" w:rsidP="00411DE2">
      <w:pPr>
        <w:pStyle w:val="ItemHead"/>
      </w:pPr>
      <w:r>
        <w:rPr>
          <w:noProof/>
        </w:rPr>
        <w:t>13</w:t>
      </w:r>
      <w:r w:rsidR="004F3C59" w:rsidRPr="00995753">
        <w:t xml:space="preserve">  Rule 1.7, definition of </w:t>
      </w:r>
      <w:r w:rsidR="004F3C59" w:rsidRPr="00995753">
        <w:rPr>
          <w:i/>
        </w:rPr>
        <w:t>voluntary product data</w:t>
      </w:r>
    </w:p>
    <w:p w14:paraId="2C7674E0" w14:textId="77777777" w:rsidR="004F3C59" w:rsidRPr="00995753" w:rsidRDefault="004F3C59" w:rsidP="00411DE2">
      <w:pPr>
        <w:pStyle w:val="Item"/>
      </w:pPr>
      <w:r w:rsidRPr="00995753">
        <w:t>Substitute:</w:t>
      </w:r>
    </w:p>
    <w:p w14:paraId="576E9129" w14:textId="77777777" w:rsidR="004F3C59" w:rsidRPr="00995753" w:rsidRDefault="004F3C59" w:rsidP="00411DE2">
      <w:pPr>
        <w:pStyle w:val="Definition"/>
      </w:pPr>
      <w:r w:rsidRPr="00995753">
        <w:rPr>
          <w:b/>
          <w:i/>
        </w:rPr>
        <w:t>voluntary product data</w:t>
      </w:r>
      <w:r w:rsidRPr="00995753">
        <w:t>, in relation to a particular designated sector, has the meaning set out in the relevant sector Schedule.</w:t>
      </w:r>
    </w:p>
    <w:p w14:paraId="47C3BF4A" w14:textId="77777777" w:rsidR="004F3C59" w:rsidRPr="00995753" w:rsidRDefault="004F3C59" w:rsidP="00411DE2">
      <w:pPr>
        <w:pStyle w:val="notetext"/>
      </w:pPr>
      <w:r w:rsidRPr="00995753">
        <w:t>Note:</w:t>
      </w:r>
      <w:r w:rsidRPr="00995753">
        <w:tab/>
        <w:t>For the meaning of the term:</w:t>
      </w:r>
    </w:p>
    <w:p w14:paraId="3B8E5B37" w14:textId="77777777" w:rsidR="004F3C59" w:rsidRPr="00995753" w:rsidRDefault="004F3C59" w:rsidP="00411DE2">
      <w:pPr>
        <w:pStyle w:val="notepara"/>
        <w:numPr>
          <w:ilvl w:val="0"/>
          <w:numId w:val="8"/>
        </w:numPr>
      </w:pPr>
      <w:r w:rsidRPr="00995753">
        <w:t>in the banking sector, see clause 3.1 of Schedule 3; and</w:t>
      </w:r>
    </w:p>
    <w:p w14:paraId="5F4E24F2" w14:textId="77777777" w:rsidR="004F3C59" w:rsidRPr="00995753" w:rsidRDefault="004F3C59" w:rsidP="00411DE2">
      <w:pPr>
        <w:pStyle w:val="notepara"/>
        <w:numPr>
          <w:ilvl w:val="0"/>
          <w:numId w:val="8"/>
        </w:numPr>
      </w:pPr>
      <w:r w:rsidRPr="00995753">
        <w:t>in the energy sector, see clause 3.1 of Schedule 4.</w:t>
      </w:r>
    </w:p>
    <w:p w14:paraId="53EC3B31" w14:textId="77777777" w:rsidR="004F3C59" w:rsidRPr="00995753" w:rsidRDefault="00A7561A" w:rsidP="00411DE2">
      <w:pPr>
        <w:pStyle w:val="ItemHead"/>
      </w:pPr>
      <w:r>
        <w:rPr>
          <w:noProof/>
        </w:rPr>
        <w:t>14</w:t>
      </w:r>
      <w:r w:rsidR="004F3C59" w:rsidRPr="00995753">
        <w:t xml:space="preserve">  Subrule 1.7(3), note</w:t>
      </w:r>
    </w:p>
    <w:p w14:paraId="28A7BA7E" w14:textId="77777777" w:rsidR="004F3C59" w:rsidRPr="00995753" w:rsidRDefault="004F3C59" w:rsidP="00411DE2">
      <w:pPr>
        <w:pStyle w:val="Item"/>
      </w:pPr>
      <w:r w:rsidRPr="00995753">
        <w:t>Substitute:</w:t>
      </w:r>
    </w:p>
    <w:p w14:paraId="45AA38A2" w14:textId="77777777" w:rsidR="004F3C59" w:rsidRPr="00995753" w:rsidRDefault="004F3C59" w:rsidP="00411DE2">
      <w:pPr>
        <w:pStyle w:val="notetext"/>
      </w:pPr>
      <w:r w:rsidRPr="00995753">
        <w:t>Note:</w:t>
      </w:r>
      <w:r w:rsidRPr="00995753">
        <w:tab/>
        <w:t>These rules will progressively apply to a broader range of data holders:</w:t>
      </w:r>
    </w:p>
    <w:p w14:paraId="2E4B75EB" w14:textId="77777777" w:rsidR="004F3C59" w:rsidRPr="00995753" w:rsidRDefault="004F3C59" w:rsidP="00411DE2">
      <w:pPr>
        <w:pStyle w:val="notepara"/>
        <w:numPr>
          <w:ilvl w:val="0"/>
          <w:numId w:val="10"/>
        </w:numPr>
      </w:pPr>
      <w:r w:rsidRPr="00995753">
        <w:lastRenderedPageBreak/>
        <w:t xml:space="preserve">for the banking sector, see Part 6 of Schedule 3; </w:t>
      </w:r>
    </w:p>
    <w:p w14:paraId="1FF794C3" w14:textId="77777777" w:rsidR="004F3C59" w:rsidRPr="00995753" w:rsidRDefault="004F3C59" w:rsidP="00411DE2">
      <w:pPr>
        <w:pStyle w:val="notepara"/>
        <w:numPr>
          <w:ilvl w:val="0"/>
          <w:numId w:val="10"/>
        </w:numPr>
      </w:pPr>
      <w:r w:rsidRPr="00995753">
        <w:t xml:space="preserve">for the energy sector, see Part </w:t>
      </w:r>
      <w:r w:rsidR="002C021D" w:rsidRPr="00995753">
        <w:t>8</w:t>
      </w:r>
      <w:r w:rsidRPr="00995753">
        <w:t xml:space="preserve"> of Schedule 4.</w:t>
      </w:r>
    </w:p>
    <w:p w14:paraId="7812AEE4" w14:textId="77777777" w:rsidR="004F3C59" w:rsidRPr="00995753" w:rsidRDefault="00A7561A" w:rsidP="00411DE2">
      <w:pPr>
        <w:pStyle w:val="ItemHead"/>
      </w:pPr>
      <w:r>
        <w:rPr>
          <w:noProof/>
        </w:rPr>
        <w:t>15</w:t>
      </w:r>
      <w:r w:rsidR="004F3C59" w:rsidRPr="00995753">
        <w:t xml:space="preserve">  Subrule 1.12(1)</w:t>
      </w:r>
    </w:p>
    <w:p w14:paraId="7FCC478D" w14:textId="77777777" w:rsidR="004F3C59" w:rsidRPr="00995753" w:rsidRDefault="00556FBD" w:rsidP="00411DE2">
      <w:pPr>
        <w:pStyle w:val="Item"/>
      </w:pPr>
      <w:r w:rsidRPr="00995753">
        <w:t>At the end, add:</w:t>
      </w:r>
    </w:p>
    <w:p w14:paraId="5AE1ED9F" w14:textId="77777777" w:rsidR="004F3C59" w:rsidRPr="00995753" w:rsidRDefault="004F3C59" w:rsidP="00411DE2">
      <w:pPr>
        <w:pStyle w:val="notetext"/>
      </w:pPr>
      <w:r w:rsidRPr="00995753">
        <w:t xml:space="preserve">Note 3: </w:t>
      </w:r>
      <w:r w:rsidRPr="00995753">
        <w:tab/>
        <w:t>For the energy sector, this rule is modified by clause 4.2 of Schedule 4.</w:t>
      </w:r>
    </w:p>
    <w:p w14:paraId="2865E147" w14:textId="77777777" w:rsidR="004F3C59" w:rsidRPr="00995753" w:rsidRDefault="004F3C59" w:rsidP="00411DE2">
      <w:pPr>
        <w:pStyle w:val="notetext"/>
      </w:pPr>
    </w:p>
    <w:p w14:paraId="67802593" w14:textId="77777777" w:rsidR="004F3C59" w:rsidRPr="00995753" w:rsidRDefault="00A7561A" w:rsidP="00411DE2">
      <w:pPr>
        <w:pStyle w:val="ItemHead"/>
      </w:pPr>
      <w:r>
        <w:rPr>
          <w:noProof/>
        </w:rPr>
        <w:t>16</w:t>
      </w:r>
      <w:r w:rsidR="004F3C59" w:rsidRPr="00995753">
        <w:t xml:space="preserve">  Subparagraph 1.13(1)(e)(ii)</w:t>
      </w:r>
    </w:p>
    <w:p w14:paraId="3A2E6EDD" w14:textId="77777777" w:rsidR="004F3C59" w:rsidRPr="00995753" w:rsidRDefault="004F3C59" w:rsidP="00411DE2">
      <w:pPr>
        <w:pStyle w:val="Item"/>
      </w:pPr>
      <w:r w:rsidRPr="00995753">
        <w:t>Omit “revoke”, substitute “withdraw”.</w:t>
      </w:r>
    </w:p>
    <w:p w14:paraId="225FF4CC" w14:textId="77777777" w:rsidR="004F3C59" w:rsidRPr="00995753" w:rsidRDefault="00A7561A" w:rsidP="00411DE2">
      <w:pPr>
        <w:pStyle w:val="ItemHead"/>
      </w:pPr>
      <w:r>
        <w:rPr>
          <w:noProof/>
        </w:rPr>
        <w:t>17</w:t>
      </w:r>
      <w:r w:rsidR="004F3C59" w:rsidRPr="00995753">
        <w:t xml:space="preserve">  Subrule 1.15(1)</w:t>
      </w:r>
    </w:p>
    <w:p w14:paraId="563EE7C9" w14:textId="77777777" w:rsidR="004F3C59" w:rsidRPr="00995753" w:rsidRDefault="004F3C59" w:rsidP="00411DE2">
      <w:pPr>
        <w:pStyle w:val="Item"/>
      </w:pPr>
      <w:r w:rsidRPr="00995753">
        <w:t>After “the data holder must” insert “, in the circumstances specified in a sector Schedule,”.</w:t>
      </w:r>
    </w:p>
    <w:p w14:paraId="464EF445" w14:textId="77777777" w:rsidR="004F3C59" w:rsidRPr="00995753" w:rsidRDefault="00A7561A" w:rsidP="00411DE2">
      <w:pPr>
        <w:pStyle w:val="ItemHead"/>
      </w:pPr>
      <w:r>
        <w:rPr>
          <w:noProof/>
        </w:rPr>
        <w:t>18</w:t>
      </w:r>
      <w:r w:rsidR="004F3C59" w:rsidRPr="00995753">
        <w:t xml:space="preserve">  Subrule 1.15(1)</w:t>
      </w:r>
    </w:p>
    <w:p w14:paraId="5DFDC445" w14:textId="77777777" w:rsidR="004F3C59" w:rsidRPr="00995753" w:rsidRDefault="001D6225" w:rsidP="00411DE2">
      <w:pPr>
        <w:pStyle w:val="Item"/>
      </w:pPr>
      <w:r w:rsidRPr="00995753">
        <w:t>At the end, add:</w:t>
      </w:r>
    </w:p>
    <w:p w14:paraId="6B5F76A9" w14:textId="77777777" w:rsidR="001D6225" w:rsidRPr="00995753" w:rsidRDefault="001D6225" w:rsidP="00411DE2">
      <w:pPr>
        <w:pStyle w:val="notetext"/>
      </w:pPr>
      <w:r w:rsidRPr="00995753">
        <w:t>Note 2:</w:t>
      </w:r>
      <w:r w:rsidRPr="00995753">
        <w:tab/>
        <w:t>The circumstances are specified in the following provisions of the sector Schedules:</w:t>
      </w:r>
    </w:p>
    <w:p w14:paraId="48582B4D" w14:textId="77777777" w:rsidR="001D6225" w:rsidRPr="00995753" w:rsidRDefault="001D6225" w:rsidP="00411DE2">
      <w:pPr>
        <w:pStyle w:val="notetext"/>
        <w:numPr>
          <w:ilvl w:val="0"/>
          <w:numId w:val="14"/>
        </w:numPr>
      </w:pPr>
      <w:r w:rsidRPr="00995753">
        <w:t>for the banking sector—clause 2.3 of Schedule 3;</w:t>
      </w:r>
    </w:p>
    <w:p w14:paraId="79821730" w14:textId="77777777" w:rsidR="001D6225" w:rsidRPr="00995753" w:rsidRDefault="001D6225" w:rsidP="00411DE2">
      <w:pPr>
        <w:pStyle w:val="notetext"/>
        <w:numPr>
          <w:ilvl w:val="0"/>
          <w:numId w:val="14"/>
        </w:numPr>
      </w:pPr>
      <w:r w:rsidRPr="00995753">
        <w:t>for the energy sector—clause 2.3 of Schedule 4.</w:t>
      </w:r>
    </w:p>
    <w:p w14:paraId="0EC09410" w14:textId="77777777" w:rsidR="004F3C59" w:rsidRPr="00995753" w:rsidRDefault="00A7561A" w:rsidP="00411DE2">
      <w:pPr>
        <w:pStyle w:val="ItemHead"/>
      </w:pPr>
      <w:r>
        <w:rPr>
          <w:noProof/>
        </w:rPr>
        <w:t>19</w:t>
      </w:r>
      <w:r w:rsidR="004F3C59" w:rsidRPr="00995753">
        <w:t xml:space="preserve">  Rule 2.1, second boxed paragraph</w:t>
      </w:r>
    </w:p>
    <w:p w14:paraId="0CFCD49A" w14:textId="77777777" w:rsidR="004F3C59" w:rsidRPr="00995753" w:rsidRDefault="004F3C59" w:rsidP="00411DE2">
      <w:pPr>
        <w:pStyle w:val="Item"/>
      </w:pPr>
      <w:r w:rsidRPr="00995753">
        <w:t>Substitute:</w:t>
      </w:r>
    </w:p>
    <w:p w14:paraId="5A74C08E" w14:textId="77777777" w:rsidR="004F3C59" w:rsidRPr="00995753" w:rsidRDefault="004F3C59" w:rsidP="00411DE2">
      <w:pPr>
        <w:pStyle w:val="SOText"/>
      </w:pPr>
      <w:r w:rsidRPr="00995753">
        <w:t>A product data request may be for required product data, voluntary product data, or both. The content of these terms is different in different designated sectors:  Schedule 3 provides the content for the banking sector;  Schedule 4 provides the content for the energy sector.</w:t>
      </w:r>
    </w:p>
    <w:p w14:paraId="4C0BF2A8" w14:textId="77777777" w:rsidR="004F3C59" w:rsidRPr="00995753" w:rsidRDefault="00A7561A" w:rsidP="00411DE2">
      <w:pPr>
        <w:pStyle w:val="ItemHead"/>
      </w:pPr>
      <w:r>
        <w:rPr>
          <w:noProof/>
        </w:rPr>
        <w:t>20</w:t>
      </w:r>
      <w:r w:rsidR="004F3C59" w:rsidRPr="00995753">
        <w:t xml:space="preserve">  Subrule 2.3(1)</w:t>
      </w:r>
    </w:p>
    <w:p w14:paraId="01690687" w14:textId="77777777" w:rsidR="004F3C59" w:rsidRPr="00995753" w:rsidRDefault="004F3C59" w:rsidP="00411DE2">
      <w:pPr>
        <w:pStyle w:val="Item"/>
      </w:pPr>
      <w:r w:rsidRPr="00995753">
        <w:t>Substitute:</w:t>
      </w:r>
    </w:p>
    <w:p w14:paraId="352C274F" w14:textId="77777777" w:rsidR="004F3C59" w:rsidRPr="00995753" w:rsidRDefault="004F3C59" w:rsidP="00411DE2">
      <w:pPr>
        <w:pStyle w:val="subsection"/>
      </w:pPr>
      <w:r w:rsidRPr="00995753">
        <w:tab/>
        <w:t>(1)</w:t>
      </w:r>
      <w:r w:rsidRPr="00995753">
        <w:tab/>
        <w:t>A person may:</w:t>
      </w:r>
    </w:p>
    <w:p w14:paraId="79ECD95D" w14:textId="77777777" w:rsidR="004F3C59" w:rsidRPr="00995753" w:rsidRDefault="004F3C59" w:rsidP="00411DE2">
      <w:pPr>
        <w:pStyle w:val="paragraph"/>
      </w:pPr>
      <w:r w:rsidRPr="00995753">
        <w:tab/>
        <w:t>(a)</w:t>
      </w:r>
      <w:r w:rsidRPr="00995753">
        <w:tab/>
        <w:t>using the data holder’s product data request service; and</w:t>
      </w:r>
    </w:p>
    <w:p w14:paraId="0E5BBE0F" w14:textId="77777777" w:rsidR="004F3C59" w:rsidRPr="00995753" w:rsidRDefault="004F3C59" w:rsidP="00411DE2">
      <w:pPr>
        <w:pStyle w:val="paragraph"/>
      </w:pPr>
      <w:r w:rsidRPr="00995753">
        <w:tab/>
        <w:t>(b)</w:t>
      </w:r>
      <w:r w:rsidRPr="00995753">
        <w:tab/>
        <w:t>in accordance with the data standards;</w:t>
      </w:r>
    </w:p>
    <w:p w14:paraId="70970BA8" w14:textId="77777777" w:rsidR="004F3C59" w:rsidRPr="00995753" w:rsidRDefault="004F3C59" w:rsidP="00411DE2">
      <w:pPr>
        <w:pStyle w:val="subsection"/>
        <w:spacing w:before="40"/>
      </w:pPr>
      <w:r w:rsidRPr="00995753">
        <w:tab/>
      </w:r>
      <w:r w:rsidRPr="00995753">
        <w:tab/>
        <w:t>request a data holder to disclose some or all of the required product data or voluntary product data that it holds.</w:t>
      </w:r>
    </w:p>
    <w:p w14:paraId="6DA70D70" w14:textId="77777777" w:rsidR="004F3C59" w:rsidRPr="00995753" w:rsidRDefault="004F3C59" w:rsidP="00411DE2">
      <w:pPr>
        <w:pStyle w:val="notetext"/>
      </w:pPr>
      <w:r w:rsidRPr="00995753">
        <w:t>Note:</w:t>
      </w:r>
      <w:r w:rsidRPr="00995753">
        <w:tab/>
        <w:t>In the banking sector, these rules will progressively permit product data requests to be made to a broader range of data holders, and in relation to a broader range of CDR data, according to the timetable set out in Part 6 of Schedule 3.</w:t>
      </w:r>
    </w:p>
    <w:p w14:paraId="3CBB609F" w14:textId="77777777" w:rsidR="004F3C59" w:rsidRPr="00995753" w:rsidRDefault="004F3C59" w:rsidP="00411DE2">
      <w:pPr>
        <w:pStyle w:val="notetext"/>
      </w:pPr>
      <w:r w:rsidRPr="00995753">
        <w:tab/>
        <w:t>In the energy sector, the AER and the Victorian agency are designated data holders for all the relevant product data under the designation instrument.</w:t>
      </w:r>
    </w:p>
    <w:p w14:paraId="7B7692FE" w14:textId="77777777" w:rsidR="004F3C59" w:rsidRPr="00995753" w:rsidRDefault="00A7561A" w:rsidP="00411DE2">
      <w:pPr>
        <w:pStyle w:val="ItemHead"/>
      </w:pPr>
      <w:r>
        <w:rPr>
          <w:noProof/>
        </w:rPr>
        <w:t>21</w:t>
      </w:r>
      <w:r w:rsidR="004F3C59" w:rsidRPr="00995753">
        <w:t xml:space="preserve">  Subrule 2.4(2), note</w:t>
      </w:r>
    </w:p>
    <w:p w14:paraId="0EF2154F" w14:textId="77777777" w:rsidR="004F3C59" w:rsidRPr="00995753" w:rsidRDefault="004F3C59" w:rsidP="00411DE2">
      <w:pPr>
        <w:pStyle w:val="Item"/>
      </w:pPr>
      <w:r w:rsidRPr="00995753">
        <w:t>Substitute:</w:t>
      </w:r>
    </w:p>
    <w:p w14:paraId="78283510" w14:textId="77777777" w:rsidR="004F3C59" w:rsidRPr="00995753" w:rsidRDefault="004F3C59" w:rsidP="00411DE2">
      <w:pPr>
        <w:pStyle w:val="notetext"/>
      </w:pPr>
      <w:r w:rsidRPr="00995753">
        <w:t>Note:</w:t>
      </w:r>
      <w:r w:rsidRPr="00995753">
        <w:tab/>
        <w:t>See rule 1.7 for the meaning of “voluntary product data”.  See also:</w:t>
      </w:r>
    </w:p>
    <w:p w14:paraId="39889DF3" w14:textId="77777777" w:rsidR="004F3C59" w:rsidRPr="00995753" w:rsidRDefault="004F3C59" w:rsidP="00411DE2">
      <w:pPr>
        <w:pStyle w:val="notepara"/>
        <w:numPr>
          <w:ilvl w:val="0"/>
          <w:numId w:val="9"/>
        </w:numPr>
      </w:pPr>
      <w:r w:rsidRPr="00995753">
        <w:lastRenderedPageBreak/>
        <w:t>for the banking sector—clause 3.1 of Schedule 3;</w:t>
      </w:r>
    </w:p>
    <w:p w14:paraId="492045EC" w14:textId="77777777" w:rsidR="004F3C59" w:rsidRPr="00995753" w:rsidRDefault="004F3C59" w:rsidP="00411DE2">
      <w:pPr>
        <w:pStyle w:val="notepara"/>
        <w:numPr>
          <w:ilvl w:val="0"/>
          <w:numId w:val="9"/>
        </w:numPr>
      </w:pPr>
      <w:r w:rsidRPr="00995753">
        <w:t>for the energy sector—clause 3.1 of Schedule 4.</w:t>
      </w:r>
    </w:p>
    <w:p w14:paraId="762755FC" w14:textId="77777777" w:rsidR="004F3C59" w:rsidRPr="00995753" w:rsidRDefault="00A7561A" w:rsidP="00411DE2">
      <w:pPr>
        <w:pStyle w:val="ItemHead"/>
      </w:pPr>
      <w:r>
        <w:rPr>
          <w:noProof/>
        </w:rPr>
        <w:t>22</w:t>
      </w:r>
      <w:r w:rsidR="004F3C59" w:rsidRPr="00995753">
        <w:t xml:space="preserve">  Subrule 2.4(3), note 1</w:t>
      </w:r>
    </w:p>
    <w:p w14:paraId="5E1A89EC" w14:textId="77777777" w:rsidR="004F3C59" w:rsidRPr="00995753" w:rsidRDefault="004F3C59" w:rsidP="00411DE2">
      <w:pPr>
        <w:pStyle w:val="Item"/>
      </w:pPr>
      <w:r w:rsidRPr="00995753">
        <w:t>Substitute:</w:t>
      </w:r>
    </w:p>
    <w:p w14:paraId="3B2A19CC" w14:textId="77777777" w:rsidR="004F3C59" w:rsidRPr="00995753" w:rsidRDefault="004F3C59" w:rsidP="00411DE2">
      <w:pPr>
        <w:pStyle w:val="notetext"/>
      </w:pPr>
      <w:r w:rsidRPr="00995753">
        <w:t>Note 1:</w:t>
      </w:r>
      <w:r w:rsidRPr="00995753">
        <w:tab/>
        <w:t>See rule 1.7 for the meaning of “required product data”.  See also:</w:t>
      </w:r>
    </w:p>
    <w:p w14:paraId="592C72A3" w14:textId="77777777" w:rsidR="004F3C59" w:rsidRPr="00995753" w:rsidRDefault="004F3C59" w:rsidP="00411DE2">
      <w:pPr>
        <w:pStyle w:val="notepara"/>
        <w:numPr>
          <w:ilvl w:val="0"/>
          <w:numId w:val="9"/>
        </w:numPr>
      </w:pPr>
      <w:r w:rsidRPr="00995753">
        <w:t>for the banking sector—clause 3.1 of Schedule 3;</w:t>
      </w:r>
    </w:p>
    <w:p w14:paraId="1936B4A7" w14:textId="77777777" w:rsidR="004F3C59" w:rsidRPr="00995753" w:rsidRDefault="004F3C59" w:rsidP="00411DE2">
      <w:pPr>
        <w:pStyle w:val="notepara"/>
        <w:numPr>
          <w:ilvl w:val="0"/>
          <w:numId w:val="9"/>
        </w:numPr>
      </w:pPr>
      <w:r w:rsidRPr="00995753">
        <w:t>for the energy sector—clause 3.1 of Schedule 4.</w:t>
      </w:r>
    </w:p>
    <w:p w14:paraId="62BD318C" w14:textId="77777777" w:rsidR="004F3C59" w:rsidRPr="00995753" w:rsidRDefault="00A7561A" w:rsidP="00411DE2">
      <w:pPr>
        <w:pStyle w:val="ItemHead"/>
      </w:pPr>
      <w:r>
        <w:rPr>
          <w:noProof/>
        </w:rPr>
        <w:t>23</w:t>
      </w:r>
      <w:r w:rsidR="004F3C59" w:rsidRPr="00995753">
        <w:t xml:space="preserve">  Subrule 3.3(1), note</w:t>
      </w:r>
    </w:p>
    <w:p w14:paraId="0F22C19F" w14:textId="77777777" w:rsidR="004F3C59" w:rsidRPr="00995753" w:rsidRDefault="004F3C59" w:rsidP="00411DE2">
      <w:pPr>
        <w:pStyle w:val="Item"/>
      </w:pPr>
      <w:r w:rsidRPr="00995753">
        <w:t>Substitute:</w:t>
      </w:r>
    </w:p>
    <w:p w14:paraId="436AAA9B" w14:textId="77777777" w:rsidR="004F3C59" w:rsidRPr="00995753" w:rsidRDefault="004F3C59" w:rsidP="00411DE2">
      <w:pPr>
        <w:pStyle w:val="notetext"/>
      </w:pPr>
      <w:r w:rsidRPr="00995753">
        <w:t>Note:</w:t>
      </w:r>
      <w:r w:rsidRPr="00995753">
        <w:tab/>
        <w:t>In the banking sector, these rules will progressively permit consumer data requests to be made to a broader range of data holders, and in relation to a broader range of CDR data, according to the timetable set out in Part 6 of Schedule 3.</w:t>
      </w:r>
    </w:p>
    <w:p w14:paraId="6E1FDED6" w14:textId="77777777" w:rsidR="004F3C59" w:rsidRPr="00995753" w:rsidRDefault="00A7561A" w:rsidP="00411DE2">
      <w:pPr>
        <w:pStyle w:val="ItemHead"/>
      </w:pPr>
      <w:r>
        <w:rPr>
          <w:noProof/>
        </w:rPr>
        <w:t>24</w:t>
      </w:r>
      <w:r w:rsidR="004F3C59" w:rsidRPr="00995753">
        <w:t xml:space="preserve">  Subrule 3.4(2), note</w:t>
      </w:r>
    </w:p>
    <w:p w14:paraId="57B4B279" w14:textId="77777777" w:rsidR="004F3C59" w:rsidRPr="00995753" w:rsidRDefault="004F3C59" w:rsidP="00411DE2">
      <w:pPr>
        <w:pStyle w:val="Item"/>
      </w:pPr>
      <w:r w:rsidRPr="00995753">
        <w:t>Substitute:</w:t>
      </w:r>
    </w:p>
    <w:p w14:paraId="4A2FBA2D" w14:textId="77777777" w:rsidR="004F3C59" w:rsidRPr="00995753" w:rsidRDefault="004F3C59" w:rsidP="00411DE2">
      <w:pPr>
        <w:pStyle w:val="notetext"/>
      </w:pPr>
      <w:r w:rsidRPr="00995753">
        <w:t>Note:</w:t>
      </w:r>
      <w:r w:rsidRPr="00995753">
        <w:tab/>
        <w:t>See rule 1.7 for the meaning of “voluntary consumer data”.  See also:</w:t>
      </w:r>
    </w:p>
    <w:p w14:paraId="2406319B" w14:textId="77777777" w:rsidR="004F3C59" w:rsidRPr="00995753" w:rsidRDefault="004F3C59" w:rsidP="00411DE2">
      <w:pPr>
        <w:pStyle w:val="notepara"/>
        <w:numPr>
          <w:ilvl w:val="0"/>
          <w:numId w:val="9"/>
        </w:numPr>
      </w:pPr>
      <w:r w:rsidRPr="00995753">
        <w:t>for the banking sector—clause 3.2 of Schedule 3;</w:t>
      </w:r>
    </w:p>
    <w:p w14:paraId="1CA9D84F" w14:textId="77777777" w:rsidR="004F3C59" w:rsidRPr="00995753" w:rsidRDefault="004F3C59" w:rsidP="00411DE2">
      <w:pPr>
        <w:pStyle w:val="notepara"/>
        <w:numPr>
          <w:ilvl w:val="0"/>
          <w:numId w:val="9"/>
        </w:numPr>
      </w:pPr>
      <w:r w:rsidRPr="00995753">
        <w:t>for the energy sector—clause 3.2 of Schedule 4.</w:t>
      </w:r>
    </w:p>
    <w:p w14:paraId="3ADC0FBD" w14:textId="77777777" w:rsidR="004F3C59" w:rsidRPr="00995753" w:rsidRDefault="00A7561A" w:rsidP="00411DE2">
      <w:pPr>
        <w:pStyle w:val="ItemHead"/>
      </w:pPr>
      <w:r>
        <w:rPr>
          <w:noProof/>
        </w:rPr>
        <w:t>25</w:t>
      </w:r>
      <w:r w:rsidR="004F3C59" w:rsidRPr="00995753">
        <w:t xml:space="preserve">  Subrule 3.4(3), note</w:t>
      </w:r>
      <w:r w:rsidR="001D6225" w:rsidRPr="00995753">
        <w:t xml:space="preserve"> 1</w:t>
      </w:r>
    </w:p>
    <w:p w14:paraId="2754929D" w14:textId="77777777" w:rsidR="004F3C59" w:rsidRPr="00995753" w:rsidRDefault="004F3C59" w:rsidP="00411DE2">
      <w:pPr>
        <w:pStyle w:val="Item"/>
      </w:pPr>
      <w:r w:rsidRPr="00995753">
        <w:t>Substitute:</w:t>
      </w:r>
    </w:p>
    <w:p w14:paraId="7289596A" w14:textId="77777777" w:rsidR="004F3C59" w:rsidRPr="00995753" w:rsidRDefault="004F3C59" w:rsidP="00411DE2">
      <w:pPr>
        <w:pStyle w:val="notetext"/>
      </w:pPr>
      <w:r w:rsidRPr="00995753">
        <w:t>Note 1:</w:t>
      </w:r>
      <w:r w:rsidRPr="00995753">
        <w:tab/>
        <w:t>See rule 1.7 for the meaning of “required consumer data”.  See also:</w:t>
      </w:r>
    </w:p>
    <w:p w14:paraId="1A38232F" w14:textId="77777777" w:rsidR="004F3C59" w:rsidRPr="00995753" w:rsidRDefault="004F3C59" w:rsidP="00411DE2">
      <w:pPr>
        <w:pStyle w:val="notepara"/>
        <w:numPr>
          <w:ilvl w:val="0"/>
          <w:numId w:val="9"/>
        </w:numPr>
      </w:pPr>
      <w:r w:rsidRPr="00995753">
        <w:t>for the banking sector—clause 3.2 of Schedule 3;</w:t>
      </w:r>
    </w:p>
    <w:p w14:paraId="76AA764C" w14:textId="77777777" w:rsidR="004F3C59" w:rsidRPr="00995753" w:rsidRDefault="004F3C59" w:rsidP="00411DE2">
      <w:pPr>
        <w:pStyle w:val="notepara"/>
        <w:numPr>
          <w:ilvl w:val="0"/>
          <w:numId w:val="9"/>
        </w:numPr>
      </w:pPr>
      <w:r w:rsidRPr="00995753">
        <w:t>for the energy sector—clause 3.2 of Schedule 4.</w:t>
      </w:r>
    </w:p>
    <w:p w14:paraId="0489329B" w14:textId="77777777" w:rsidR="004F3C59" w:rsidRPr="00995753" w:rsidRDefault="00A7561A" w:rsidP="00411DE2">
      <w:pPr>
        <w:pStyle w:val="ItemHead"/>
      </w:pPr>
      <w:r>
        <w:rPr>
          <w:noProof/>
        </w:rPr>
        <w:t>26</w:t>
      </w:r>
      <w:r w:rsidR="004F3C59" w:rsidRPr="00995753">
        <w:t xml:space="preserve">  Subrule 4.5(2), note 1</w:t>
      </w:r>
    </w:p>
    <w:p w14:paraId="1E67147D" w14:textId="77777777" w:rsidR="004F3C59" w:rsidRPr="00995753" w:rsidRDefault="004F3C59" w:rsidP="00411DE2">
      <w:pPr>
        <w:pStyle w:val="Item"/>
      </w:pPr>
      <w:r w:rsidRPr="00995753">
        <w:t>Substitute:</w:t>
      </w:r>
    </w:p>
    <w:p w14:paraId="7389D161" w14:textId="77777777" w:rsidR="004F3C59" w:rsidRPr="00995753" w:rsidRDefault="004F3C59" w:rsidP="00411DE2">
      <w:pPr>
        <w:pStyle w:val="notetext"/>
      </w:pPr>
      <w:r w:rsidRPr="00995753">
        <w:t>Note 1:</w:t>
      </w:r>
      <w:r w:rsidRPr="00995753">
        <w:tab/>
        <w:t>See rule 1.7 for the meaning of “voluntary consumer data”.  See also:</w:t>
      </w:r>
    </w:p>
    <w:p w14:paraId="09326B81" w14:textId="77777777" w:rsidR="004F3C59" w:rsidRPr="00995753" w:rsidRDefault="004F3C59" w:rsidP="00411DE2">
      <w:pPr>
        <w:pStyle w:val="notepara"/>
        <w:numPr>
          <w:ilvl w:val="0"/>
          <w:numId w:val="9"/>
        </w:numPr>
      </w:pPr>
      <w:r w:rsidRPr="00995753">
        <w:t>for the banking sector—clause 3.2 of Schedule 3;</w:t>
      </w:r>
    </w:p>
    <w:p w14:paraId="6E52F1AD" w14:textId="77777777" w:rsidR="004F3C59" w:rsidRPr="00995753" w:rsidRDefault="004F3C59" w:rsidP="00411DE2">
      <w:pPr>
        <w:pStyle w:val="notepara"/>
        <w:numPr>
          <w:ilvl w:val="0"/>
          <w:numId w:val="9"/>
        </w:numPr>
      </w:pPr>
      <w:r w:rsidRPr="00995753">
        <w:t>for the energy sector—clause 3.2 of Schedule 4.</w:t>
      </w:r>
    </w:p>
    <w:p w14:paraId="7F0E746D" w14:textId="77777777" w:rsidR="004F3C59" w:rsidRPr="00995753" w:rsidRDefault="00A7561A" w:rsidP="00411DE2">
      <w:pPr>
        <w:pStyle w:val="ItemHead"/>
      </w:pPr>
      <w:r>
        <w:rPr>
          <w:noProof/>
        </w:rPr>
        <w:t>27</w:t>
      </w:r>
      <w:r w:rsidR="004F3C59" w:rsidRPr="00995753">
        <w:t xml:space="preserve">  Subrule 4.5(3), note 1</w:t>
      </w:r>
    </w:p>
    <w:p w14:paraId="68958017" w14:textId="77777777" w:rsidR="004F3C59" w:rsidRPr="00995753" w:rsidRDefault="004F3C59" w:rsidP="00411DE2">
      <w:pPr>
        <w:pStyle w:val="Item"/>
      </w:pPr>
      <w:r w:rsidRPr="00995753">
        <w:t>Substitute:</w:t>
      </w:r>
    </w:p>
    <w:p w14:paraId="4A5FF45B" w14:textId="77777777" w:rsidR="004F3C59" w:rsidRPr="00995753" w:rsidRDefault="004F3C59" w:rsidP="00411DE2">
      <w:pPr>
        <w:pStyle w:val="notetext"/>
      </w:pPr>
      <w:r w:rsidRPr="00995753">
        <w:t xml:space="preserve">Note 1: </w:t>
      </w:r>
      <w:r w:rsidRPr="00995753">
        <w:tab/>
        <w:t>See rule 1.7 for the meaning of “required consumer data”.  See also:</w:t>
      </w:r>
    </w:p>
    <w:p w14:paraId="5E2E2684" w14:textId="77777777" w:rsidR="004F3C59" w:rsidRPr="00995753" w:rsidRDefault="004F3C59" w:rsidP="00411DE2">
      <w:pPr>
        <w:pStyle w:val="notepara"/>
        <w:numPr>
          <w:ilvl w:val="0"/>
          <w:numId w:val="9"/>
        </w:numPr>
      </w:pPr>
      <w:r w:rsidRPr="00995753">
        <w:t>for the banking sector—clause 3.2 of Schedule 3;</w:t>
      </w:r>
    </w:p>
    <w:p w14:paraId="2B887F87" w14:textId="77777777" w:rsidR="004F3C59" w:rsidRPr="00995753" w:rsidRDefault="004F3C59" w:rsidP="00411DE2">
      <w:pPr>
        <w:pStyle w:val="notepara"/>
        <w:numPr>
          <w:ilvl w:val="0"/>
          <w:numId w:val="9"/>
        </w:numPr>
      </w:pPr>
      <w:r w:rsidRPr="00995753">
        <w:t>for the energy sector—clause 3.2 of Schedule 4.</w:t>
      </w:r>
    </w:p>
    <w:p w14:paraId="2E913543" w14:textId="77777777" w:rsidR="004F3C59" w:rsidRPr="00995753" w:rsidRDefault="00A7561A" w:rsidP="00411DE2">
      <w:pPr>
        <w:pStyle w:val="ItemHead"/>
      </w:pPr>
      <w:r>
        <w:rPr>
          <w:noProof/>
        </w:rPr>
        <w:t>28</w:t>
      </w:r>
      <w:r w:rsidR="004F3C59" w:rsidRPr="00995753">
        <w:t xml:space="preserve">  Subrule 4.6(2), note</w:t>
      </w:r>
      <w:r w:rsidR="00B52B34" w:rsidRPr="00995753">
        <w:t xml:space="preserve"> 1</w:t>
      </w:r>
    </w:p>
    <w:p w14:paraId="13B50F4E" w14:textId="77777777" w:rsidR="004F3C59" w:rsidRPr="00995753" w:rsidRDefault="004F3C59" w:rsidP="00411DE2">
      <w:pPr>
        <w:pStyle w:val="Item"/>
      </w:pPr>
      <w:r w:rsidRPr="00995753">
        <w:t>Substitute:</w:t>
      </w:r>
    </w:p>
    <w:p w14:paraId="2418CD26" w14:textId="77777777" w:rsidR="004F3C59" w:rsidRPr="00995753" w:rsidRDefault="004F3C59" w:rsidP="00411DE2">
      <w:pPr>
        <w:pStyle w:val="notetext"/>
      </w:pPr>
      <w:r w:rsidRPr="00995753">
        <w:t>Note 1:</w:t>
      </w:r>
      <w:r w:rsidRPr="00995753">
        <w:tab/>
        <w:t>See rule 1.7 for the meaning of “voluntary consumer data”.  See also:</w:t>
      </w:r>
    </w:p>
    <w:p w14:paraId="6682EBEA" w14:textId="77777777" w:rsidR="004F3C59" w:rsidRPr="00995753" w:rsidRDefault="004F3C59" w:rsidP="00411DE2">
      <w:pPr>
        <w:pStyle w:val="notepara"/>
        <w:numPr>
          <w:ilvl w:val="0"/>
          <w:numId w:val="9"/>
        </w:numPr>
      </w:pPr>
      <w:r w:rsidRPr="00995753">
        <w:t>for the banking sector—clause 3.2 of Schedule 3;</w:t>
      </w:r>
    </w:p>
    <w:p w14:paraId="47A16A4A" w14:textId="77777777" w:rsidR="004F3C59" w:rsidRPr="00995753" w:rsidRDefault="004F3C59" w:rsidP="00411DE2">
      <w:pPr>
        <w:pStyle w:val="notepara"/>
        <w:numPr>
          <w:ilvl w:val="0"/>
          <w:numId w:val="9"/>
        </w:numPr>
      </w:pPr>
      <w:r w:rsidRPr="00995753">
        <w:t>for the energy sector—clause 3.2 of Schedule 4.</w:t>
      </w:r>
    </w:p>
    <w:p w14:paraId="16778382" w14:textId="77777777" w:rsidR="004F3C59" w:rsidRPr="00995753" w:rsidRDefault="00A7561A" w:rsidP="00411DE2">
      <w:pPr>
        <w:pStyle w:val="ItemHead"/>
      </w:pPr>
      <w:r>
        <w:rPr>
          <w:noProof/>
        </w:rPr>
        <w:t>29</w:t>
      </w:r>
      <w:r w:rsidR="004F3C59" w:rsidRPr="00995753">
        <w:t xml:space="preserve">  Subrule 4.6(4), note</w:t>
      </w:r>
      <w:r w:rsidR="00B52B34" w:rsidRPr="00995753">
        <w:t xml:space="preserve"> 1</w:t>
      </w:r>
    </w:p>
    <w:p w14:paraId="01FCD7EA" w14:textId="77777777" w:rsidR="004F3C59" w:rsidRPr="00995753" w:rsidRDefault="004F3C59" w:rsidP="00411DE2">
      <w:pPr>
        <w:pStyle w:val="Item"/>
      </w:pPr>
      <w:r w:rsidRPr="00995753">
        <w:t>Substitute:</w:t>
      </w:r>
    </w:p>
    <w:p w14:paraId="5BF3DCA3" w14:textId="77777777" w:rsidR="004F3C59" w:rsidRPr="00995753" w:rsidRDefault="004F3C59" w:rsidP="00411DE2">
      <w:pPr>
        <w:pStyle w:val="notetext"/>
      </w:pPr>
      <w:r w:rsidRPr="00995753">
        <w:t xml:space="preserve">Note 1: </w:t>
      </w:r>
      <w:r w:rsidRPr="00995753">
        <w:tab/>
        <w:t>See rule 1.7 for the meaning of “required consumer data”.  See also:</w:t>
      </w:r>
    </w:p>
    <w:p w14:paraId="35642EA3" w14:textId="77777777" w:rsidR="004F3C59" w:rsidRPr="00995753" w:rsidRDefault="004F3C59" w:rsidP="00411DE2">
      <w:pPr>
        <w:pStyle w:val="notepara"/>
        <w:numPr>
          <w:ilvl w:val="0"/>
          <w:numId w:val="9"/>
        </w:numPr>
      </w:pPr>
      <w:r w:rsidRPr="00995753">
        <w:lastRenderedPageBreak/>
        <w:t>for the banking sector—clause 3.2 of Schedule 3;</w:t>
      </w:r>
    </w:p>
    <w:p w14:paraId="5F5DF064" w14:textId="77777777" w:rsidR="004F3C59" w:rsidRPr="00995753" w:rsidRDefault="004F3C59" w:rsidP="00411DE2">
      <w:pPr>
        <w:pStyle w:val="notepara"/>
        <w:numPr>
          <w:ilvl w:val="0"/>
          <w:numId w:val="9"/>
        </w:numPr>
      </w:pPr>
      <w:r w:rsidRPr="00995753">
        <w:t>for the energy sector—clause 3.2 of Schedule 4.</w:t>
      </w:r>
    </w:p>
    <w:p w14:paraId="31DC099D" w14:textId="77777777" w:rsidR="004F3C59" w:rsidRPr="00995753" w:rsidRDefault="00A7561A" w:rsidP="00411DE2">
      <w:pPr>
        <w:pStyle w:val="ItemHead"/>
      </w:pPr>
      <w:r>
        <w:rPr>
          <w:noProof/>
        </w:rPr>
        <w:t>30</w:t>
      </w:r>
      <w:r w:rsidR="004F3C59" w:rsidRPr="00995753">
        <w:t xml:space="preserve">  Subrule 5.4(1)</w:t>
      </w:r>
    </w:p>
    <w:p w14:paraId="6169AB58" w14:textId="77777777" w:rsidR="004F3C59" w:rsidRPr="00995753" w:rsidRDefault="004F3C59" w:rsidP="00411DE2">
      <w:pPr>
        <w:pStyle w:val="Item"/>
      </w:pPr>
      <w:r w:rsidRPr="00995753">
        <w:t>Add at the end:</w:t>
      </w:r>
    </w:p>
    <w:p w14:paraId="2DDF2A9C" w14:textId="77777777" w:rsidR="004F3C59" w:rsidRPr="00995753" w:rsidRDefault="004F3C59" w:rsidP="00411DE2">
      <w:pPr>
        <w:pStyle w:val="paragraph"/>
      </w:pPr>
      <w:r w:rsidRPr="00995753">
        <w:tab/>
      </w:r>
      <w:r w:rsidRPr="00995753">
        <w:tab/>
        <w:t>; and</w:t>
      </w:r>
    </w:p>
    <w:p w14:paraId="65725BC4" w14:textId="77777777" w:rsidR="00447ED4" w:rsidRPr="00995753" w:rsidRDefault="00447ED4" w:rsidP="00411DE2">
      <w:pPr>
        <w:pStyle w:val="paragraph"/>
      </w:pPr>
      <w:r w:rsidRPr="00995753">
        <w:tab/>
        <w:t>(c)</w:t>
      </w:r>
      <w:r w:rsidRPr="00995753">
        <w:tab/>
        <w:t>an authority specified for the purpose of this rule in a sector Schedule.</w:t>
      </w:r>
    </w:p>
    <w:p w14:paraId="6F3757C6" w14:textId="77777777" w:rsidR="0073670D" w:rsidRPr="00995753" w:rsidRDefault="00A7561A" w:rsidP="00411DE2">
      <w:pPr>
        <w:pStyle w:val="ItemHead"/>
      </w:pPr>
      <w:r>
        <w:rPr>
          <w:noProof/>
        </w:rPr>
        <w:t>31</w:t>
      </w:r>
      <w:r w:rsidR="0073670D" w:rsidRPr="00995753">
        <w:t xml:space="preserve">  Paragraph 5.5(b) </w:t>
      </w:r>
    </w:p>
    <w:p w14:paraId="392F4483" w14:textId="77777777" w:rsidR="0073670D" w:rsidRPr="00995753" w:rsidRDefault="0073670D" w:rsidP="00411DE2">
      <w:pPr>
        <w:pStyle w:val="Item"/>
      </w:pPr>
      <w:r w:rsidRPr="00995753">
        <w:t>Omit “Schedule to these rules”, substitute “sector Schedule”.</w:t>
      </w:r>
    </w:p>
    <w:p w14:paraId="6564198C" w14:textId="77777777" w:rsidR="0073670D" w:rsidRPr="00995753" w:rsidRDefault="0073670D" w:rsidP="00411DE2">
      <w:pPr>
        <w:pStyle w:val="paragraph"/>
      </w:pPr>
    </w:p>
    <w:p w14:paraId="4C350665" w14:textId="77777777" w:rsidR="004F3C59" w:rsidRPr="00995753" w:rsidRDefault="00A7561A" w:rsidP="00411DE2">
      <w:pPr>
        <w:pStyle w:val="ItemHead"/>
      </w:pPr>
      <w:r>
        <w:rPr>
          <w:noProof/>
        </w:rPr>
        <w:t>32</w:t>
      </w:r>
      <w:r w:rsidR="004F3C59" w:rsidRPr="00995753">
        <w:t xml:space="preserve">  Subrule 5.12(1), note 1</w:t>
      </w:r>
    </w:p>
    <w:p w14:paraId="2943382B" w14:textId="77777777" w:rsidR="004F3C59" w:rsidRPr="00995753" w:rsidRDefault="004F3C59" w:rsidP="00411DE2">
      <w:pPr>
        <w:pStyle w:val="Item"/>
      </w:pPr>
      <w:r w:rsidRPr="00995753">
        <w:t>Omit “Schedules to these rules”, substitute “sector Schedules”.</w:t>
      </w:r>
    </w:p>
    <w:p w14:paraId="12CE9D8B" w14:textId="77777777" w:rsidR="004F3C59" w:rsidRPr="00995753" w:rsidRDefault="00A7561A" w:rsidP="00411DE2">
      <w:pPr>
        <w:pStyle w:val="ItemHead"/>
      </w:pPr>
      <w:r>
        <w:rPr>
          <w:noProof/>
        </w:rPr>
        <w:t>33</w:t>
      </w:r>
      <w:r w:rsidR="004F3C59" w:rsidRPr="00995753">
        <w:t xml:space="preserve">  Subrule 5.12(1), note 4</w:t>
      </w:r>
    </w:p>
    <w:p w14:paraId="1B7EA1C2" w14:textId="77777777" w:rsidR="004F3C59" w:rsidRPr="00995753" w:rsidRDefault="004F3C59" w:rsidP="00411DE2">
      <w:pPr>
        <w:pStyle w:val="Item"/>
      </w:pPr>
      <w:r w:rsidRPr="00995753">
        <w:t>Substitute:</w:t>
      </w:r>
    </w:p>
    <w:p w14:paraId="64105528" w14:textId="77777777" w:rsidR="004F3C59" w:rsidRPr="00995753" w:rsidRDefault="004F3C59" w:rsidP="00411DE2">
      <w:pPr>
        <w:pStyle w:val="notetext"/>
      </w:pPr>
      <w:r w:rsidRPr="00995753">
        <w:t>Note 4:</w:t>
      </w:r>
      <w:r w:rsidRPr="00995753">
        <w:tab/>
        <w:t>For paragraph (b), see rule 1.7 for the meaning of “meets the internal dispute resolution requirements”.  See also:</w:t>
      </w:r>
    </w:p>
    <w:p w14:paraId="619FDCE2" w14:textId="77777777" w:rsidR="004F3C59" w:rsidRPr="00995753" w:rsidRDefault="004F3C59" w:rsidP="00411DE2">
      <w:pPr>
        <w:pStyle w:val="notepara"/>
        <w:numPr>
          <w:ilvl w:val="0"/>
          <w:numId w:val="9"/>
        </w:numPr>
      </w:pPr>
      <w:r w:rsidRPr="00995753">
        <w:t>for the banking sector—clause 5.1 of Schedule 3;</w:t>
      </w:r>
    </w:p>
    <w:p w14:paraId="4CE9C5E2" w14:textId="77777777" w:rsidR="004F3C59" w:rsidRPr="00995753" w:rsidRDefault="004F3C59" w:rsidP="00411DE2">
      <w:pPr>
        <w:pStyle w:val="notepara"/>
        <w:numPr>
          <w:ilvl w:val="0"/>
          <w:numId w:val="9"/>
        </w:numPr>
      </w:pPr>
      <w:r w:rsidRPr="00995753">
        <w:t>for the energy sector—clause 5.1 of Schedule 4.</w:t>
      </w:r>
    </w:p>
    <w:p w14:paraId="3F594BA3" w14:textId="77777777" w:rsidR="004F3C59" w:rsidRPr="00995753" w:rsidRDefault="00A7561A" w:rsidP="00411DE2">
      <w:pPr>
        <w:pStyle w:val="ItemHead"/>
      </w:pPr>
      <w:r>
        <w:rPr>
          <w:noProof/>
        </w:rPr>
        <w:t>34</w:t>
      </w:r>
      <w:r w:rsidR="004F3C59" w:rsidRPr="00995753">
        <w:t xml:space="preserve">  Table to subrule 5.17(1), item 5</w:t>
      </w:r>
    </w:p>
    <w:p w14:paraId="5FB79291" w14:textId="77777777" w:rsidR="004F3C59" w:rsidRPr="00995753" w:rsidRDefault="004F3C59" w:rsidP="00411DE2">
      <w:pPr>
        <w:pStyle w:val="Item"/>
      </w:pPr>
      <w:r w:rsidRPr="00995753">
        <w:t>Substitute:</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435"/>
        <w:gridCol w:w="3169"/>
      </w:tblGrid>
      <w:tr w:rsidR="004F3C59" w:rsidRPr="00995753" w14:paraId="7FF7A09A" w14:textId="77777777" w:rsidTr="004F3C59">
        <w:trPr>
          <w:cantSplit/>
        </w:trPr>
        <w:tc>
          <w:tcPr>
            <w:tcW w:w="601" w:type="dxa"/>
            <w:tcBorders>
              <w:right w:val="nil"/>
            </w:tcBorders>
          </w:tcPr>
          <w:p w14:paraId="207EA32A" w14:textId="77777777" w:rsidR="004F3C59" w:rsidRPr="00995753" w:rsidRDefault="004F3C59" w:rsidP="00411DE2">
            <w:pPr>
              <w:pStyle w:val="Tabletext"/>
            </w:pPr>
            <w:r w:rsidRPr="00995753">
              <w:t>5</w:t>
            </w:r>
          </w:p>
        </w:tc>
        <w:tc>
          <w:tcPr>
            <w:tcW w:w="4435" w:type="dxa"/>
            <w:tcBorders>
              <w:left w:val="nil"/>
              <w:right w:val="nil"/>
            </w:tcBorders>
          </w:tcPr>
          <w:p w14:paraId="3546379C" w14:textId="77777777" w:rsidR="004F3C59" w:rsidRPr="00995753" w:rsidRDefault="004F3C59" w:rsidP="00411DE2">
            <w:pPr>
              <w:pStyle w:val="Tabletext"/>
            </w:pPr>
            <w:r w:rsidRPr="00995753">
              <w:t>the following are satisfied:</w:t>
            </w:r>
          </w:p>
          <w:p w14:paraId="61D01BBC" w14:textId="77777777" w:rsidR="004F3C59" w:rsidRPr="00995753" w:rsidRDefault="004F3C59" w:rsidP="00411DE2">
            <w:pPr>
              <w:pStyle w:val="Tablea"/>
            </w:pPr>
            <w:r w:rsidRPr="00995753">
              <w:t>(a)</w:t>
            </w:r>
            <w:r w:rsidRPr="00995753">
              <w:tab/>
              <w:t>the accredited person, at the time of the accreditation, satisfied a condition that is relevant to a designated sector and is specified for this item in the sector Schedule;</w:t>
            </w:r>
          </w:p>
          <w:p w14:paraId="07C4E0C1" w14:textId="77777777" w:rsidR="004F3C59" w:rsidRPr="00995753" w:rsidRDefault="004F3C59" w:rsidP="00411DE2">
            <w:pPr>
              <w:pStyle w:val="Tablea"/>
            </w:pPr>
            <w:r w:rsidRPr="00995753">
              <w:t>(b)</w:t>
            </w:r>
            <w:r w:rsidRPr="00995753">
              <w:tab/>
              <w:t>the accredited person no longer satisfies the  condition;</w:t>
            </w:r>
          </w:p>
          <w:p w14:paraId="26EEFD58" w14:textId="77777777" w:rsidR="004F3C59" w:rsidRPr="00995753" w:rsidRDefault="004F3C59" w:rsidP="00411DE2">
            <w:pPr>
              <w:pStyle w:val="nDrafterComment"/>
              <w:rPr>
                <w:strike/>
                <w:color w:val="auto"/>
              </w:rPr>
            </w:pPr>
          </w:p>
        </w:tc>
        <w:tc>
          <w:tcPr>
            <w:tcW w:w="3169" w:type="dxa"/>
            <w:tcBorders>
              <w:left w:val="nil"/>
            </w:tcBorders>
          </w:tcPr>
          <w:p w14:paraId="3979D968" w14:textId="77777777" w:rsidR="004F3C59" w:rsidRPr="00995753" w:rsidRDefault="004F3C59" w:rsidP="00411DE2">
            <w:pPr>
              <w:pStyle w:val="Tabletext"/>
            </w:pPr>
            <w:r w:rsidRPr="00995753">
              <w:t>may, in writing:</w:t>
            </w:r>
          </w:p>
          <w:p w14:paraId="12964CB7" w14:textId="77777777" w:rsidR="004F3C59" w:rsidRPr="00995753" w:rsidRDefault="004F3C59" w:rsidP="00411DE2">
            <w:pPr>
              <w:pStyle w:val="Tablea"/>
            </w:pPr>
            <w:r w:rsidRPr="00995753">
              <w:t>(a)</w:t>
            </w:r>
            <w:r w:rsidRPr="00995753">
              <w:tab/>
              <w:t>suspend; or</w:t>
            </w:r>
          </w:p>
          <w:p w14:paraId="2B09CB78" w14:textId="77777777" w:rsidR="004F3C59" w:rsidRPr="00995753" w:rsidRDefault="004F3C59" w:rsidP="00411DE2">
            <w:pPr>
              <w:pStyle w:val="Tablea"/>
            </w:pPr>
            <w:r w:rsidRPr="00995753">
              <w:t>(b)</w:t>
            </w:r>
            <w:r w:rsidRPr="00995753">
              <w:tab/>
              <w:t>revoke;</w:t>
            </w:r>
          </w:p>
          <w:p w14:paraId="31CF7CE8" w14:textId="77777777" w:rsidR="004F3C59" w:rsidRPr="00995753" w:rsidRDefault="004F3C59" w:rsidP="00411DE2">
            <w:pPr>
              <w:pStyle w:val="Tabletext"/>
            </w:pPr>
            <w:r w:rsidRPr="00995753">
              <w:t>the person’s accreditation, as appropriate.</w:t>
            </w:r>
          </w:p>
        </w:tc>
      </w:tr>
    </w:tbl>
    <w:p w14:paraId="59D9295B" w14:textId="77777777" w:rsidR="004F3C59" w:rsidRPr="00995753" w:rsidRDefault="004F3C59" w:rsidP="00411DE2">
      <w:pPr>
        <w:pStyle w:val="ItemHead"/>
      </w:pPr>
    </w:p>
    <w:p w14:paraId="7B147A2C" w14:textId="77777777" w:rsidR="004F3C59" w:rsidRPr="00995753" w:rsidRDefault="00A7561A" w:rsidP="00411DE2">
      <w:pPr>
        <w:pStyle w:val="ItemHead"/>
      </w:pPr>
      <w:r>
        <w:rPr>
          <w:noProof/>
        </w:rPr>
        <w:t>35</w:t>
      </w:r>
      <w:r w:rsidR="004F3C59" w:rsidRPr="00995753">
        <w:t xml:space="preserve">  Subrule 5.25(1)</w:t>
      </w:r>
    </w:p>
    <w:p w14:paraId="5B9FDC53" w14:textId="77777777" w:rsidR="004F3C59" w:rsidRPr="00995753" w:rsidRDefault="004F3C59" w:rsidP="00411DE2">
      <w:pPr>
        <w:pStyle w:val="Item"/>
      </w:pPr>
      <w:r w:rsidRPr="00995753">
        <w:t>Substitute:</w:t>
      </w:r>
    </w:p>
    <w:p w14:paraId="1ED43D30" w14:textId="77777777" w:rsidR="004F3C59" w:rsidRPr="00995753" w:rsidRDefault="004F3C59" w:rsidP="00411DE2">
      <w:pPr>
        <w:pStyle w:val="subsection"/>
      </w:pPr>
      <w:r w:rsidRPr="00995753">
        <w:tab/>
        <w:t>(1)</w:t>
      </w:r>
      <w:r w:rsidRPr="00995753">
        <w:tab/>
        <w:t>The Accreditation Registrar must create and maintain, in association with the Register of Accredited Persons, a database that includes such information as the Accreditation Registrar considers is required in order for requests under these rules to be processed in accordance with these rules and the data standards, including:</w:t>
      </w:r>
    </w:p>
    <w:p w14:paraId="4F3C1688" w14:textId="77777777" w:rsidR="004F3C59" w:rsidRPr="00995753" w:rsidRDefault="004F3C59" w:rsidP="00411DE2">
      <w:pPr>
        <w:pStyle w:val="paragraph"/>
      </w:pPr>
      <w:r w:rsidRPr="00995753">
        <w:tab/>
        <w:t>(a)</w:t>
      </w:r>
      <w:r w:rsidRPr="00995753">
        <w:tab/>
        <w:t>a list of data holders; and</w:t>
      </w:r>
    </w:p>
    <w:p w14:paraId="4F392CCE" w14:textId="77777777" w:rsidR="004F3C59" w:rsidRPr="00995753" w:rsidRDefault="004F3C59" w:rsidP="00411DE2">
      <w:pPr>
        <w:pStyle w:val="paragraph"/>
      </w:pPr>
      <w:r w:rsidRPr="00995753">
        <w:tab/>
        <w:t>(b)</w:t>
      </w:r>
      <w:r w:rsidRPr="00995753">
        <w:tab/>
        <w:t>for each data holder, where relevant:</w:t>
      </w:r>
    </w:p>
    <w:p w14:paraId="5F78CD06" w14:textId="77777777" w:rsidR="004F3C59" w:rsidRPr="00995753" w:rsidRDefault="004F3C59" w:rsidP="00411DE2">
      <w:pPr>
        <w:pStyle w:val="paragraphsub"/>
      </w:pPr>
      <w:r w:rsidRPr="00995753">
        <w:tab/>
        <w:t>(i)</w:t>
      </w:r>
      <w:r w:rsidRPr="00995753">
        <w:tab/>
        <w:t>each brand name under which the data holder offers products in relation to which consumer data requests may be made under these rules; and</w:t>
      </w:r>
    </w:p>
    <w:p w14:paraId="385E587D" w14:textId="77777777" w:rsidR="004F3C59" w:rsidRPr="00995753" w:rsidRDefault="004F3C59" w:rsidP="00411DE2">
      <w:pPr>
        <w:pStyle w:val="paragraphsub"/>
      </w:pPr>
      <w:r w:rsidRPr="00995753">
        <w:lastRenderedPageBreak/>
        <w:tab/>
        <w:t>(ii)</w:t>
      </w:r>
      <w:r w:rsidRPr="00995753">
        <w:tab/>
        <w:t>a hyperlink to:</w:t>
      </w:r>
    </w:p>
    <w:p w14:paraId="1675902D" w14:textId="77777777" w:rsidR="004F3C59" w:rsidRPr="00995753" w:rsidRDefault="004F3C59" w:rsidP="00411DE2">
      <w:pPr>
        <w:pStyle w:val="paragraphsub-sub"/>
      </w:pPr>
      <w:r w:rsidRPr="00995753">
        <w:tab/>
        <w:t>(A)</w:t>
      </w:r>
      <w:r w:rsidRPr="00995753">
        <w:tab/>
        <w:t>the relevant web site address of the data holder; and</w:t>
      </w:r>
    </w:p>
    <w:p w14:paraId="3728BCE1" w14:textId="77777777" w:rsidR="004F3C59" w:rsidRPr="00995753" w:rsidRDefault="004F3C59" w:rsidP="00411DE2">
      <w:pPr>
        <w:pStyle w:val="paragraphsub-sub"/>
      </w:pPr>
      <w:r w:rsidRPr="00995753">
        <w:tab/>
        <w:t>(B)</w:t>
      </w:r>
      <w:r w:rsidRPr="00995753">
        <w:tab/>
        <w:t>the data holder’s CDR policy; and</w:t>
      </w:r>
    </w:p>
    <w:p w14:paraId="30E2D5DC" w14:textId="77777777" w:rsidR="004F3C59" w:rsidRPr="00995753" w:rsidRDefault="004F3C59" w:rsidP="00411DE2">
      <w:pPr>
        <w:pStyle w:val="paragraphsub-sub"/>
      </w:pPr>
      <w:r w:rsidRPr="00995753">
        <w:tab/>
        <w:t>(C)</w:t>
      </w:r>
      <w:r w:rsidRPr="00995753">
        <w:tab/>
        <w:t>if the data holder has a CDR policy for a brand name under which the data holder offers products in relation to which consumer data requests may be made under these rules―that policy; and</w:t>
      </w:r>
    </w:p>
    <w:p w14:paraId="093335C3" w14:textId="77777777" w:rsidR="004F3C59" w:rsidRPr="00995753" w:rsidRDefault="004F3C59" w:rsidP="00411DE2">
      <w:pPr>
        <w:pStyle w:val="paragraphsub"/>
      </w:pPr>
      <w:r w:rsidRPr="00995753">
        <w:tab/>
        <w:t>(iii)</w:t>
      </w:r>
      <w:r w:rsidRPr="00995753">
        <w:tab/>
        <w:t>the universal resource identifier for the data holder’s product data request service.</w:t>
      </w:r>
    </w:p>
    <w:p w14:paraId="0CA22F58" w14:textId="77777777" w:rsidR="004F3C59" w:rsidRPr="00995753" w:rsidRDefault="004F3C59" w:rsidP="00411DE2">
      <w:pPr>
        <w:pStyle w:val="notetext"/>
      </w:pPr>
      <w:r w:rsidRPr="00995753">
        <w:t>Note:</w:t>
      </w:r>
      <w:r w:rsidRPr="00995753">
        <w:tab/>
        <w:t xml:space="preserve">For subparagraph (b)(i), for the banking sector, see </w:t>
      </w:r>
      <w:r w:rsidRPr="00995753">
        <w:rPr>
          <w:bCs/>
          <w:lang w:val="en-US"/>
        </w:rPr>
        <w:t>Part 6</w:t>
      </w:r>
      <w:r w:rsidRPr="00995753">
        <w:t xml:space="preserve"> of </w:t>
      </w:r>
      <w:r w:rsidRPr="00995753">
        <w:rPr>
          <w:bCs/>
          <w:lang w:val="en-US"/>
        </w:rPr>
        <w:t>Schedule 3</w:t>
      </w:r>
      <w:r w:rsidRPr="00995753">
        <w:t xml:space="preserve"> for the staged application of these rules.</w:t>
      </w:r>
    </w:p>
    <w:p w14:paraId="44FEEA9B" w14:textId="77777777" w:rsidR="004F3C59" w:rsidRPr="00995753" w:rsidRDefault="00A7561A" w:rsidP="00411DE2">
      <w:pPr>
        <w:pStyle w:val="ItemHead"/>
      </w:pPr>
      <w:r>
        <w:rPr>
          <w:noProof/>
        </w:rPr>
        <w:t>36</w:t>
      </w:r>
      <w:r w:rsidR="004F3C59" w:rsidRPr="00995753">
        <w:t xml:space="preserve">  Rule 6.1, note 1</w:t>
      </w:r>
    </w:p>
    <w:p w14:paraId="027B1986" w14:textId="77777777" w:rsidR="004F3C59" w:rsidRPr="00995753" w:rsidRDefault="004F3C59" w:rsidP="00411DE2">
      <w:pPr>
        <w:pStyle w:val="Item"/>
      </w:pPr>
      <w:r w:rsidRPr="00995753">
        <w:t>Substitute:</w:t>
      </w:r>
    </w:p>
    <w:p w14:paraId="478EDBA8" w14:textId="77777777" w:rsidR="004F3C59" w:rsidRPr="00995753" w:rsidRDefault="004F3C59" w:rsidP="00411DE2">
      <w:pPr>
        <w:pStyle w:val="notetext"/>
      </w:pPr>
      <w:r w:rsidRPr="00995753">
        <w:t>Note 1:</w:t>
      </w:r>
      <w:r w:rsidRPr="00995753">
        <w:tab/>
        <w:t>See rule 1.7 for the meaning of “meets the internal dispute resolution requirements”.  See also:</w:t>
      </w:r>
    </w:p>
    <w:p w14:paraId="4E8D9BCB" w14:textId="77777777" w:rsidR="004F3C59" w:rsidRPr="00995753" w:rsidRDefault="004F3C59" w:rsidP="00411DE2">
      <w:pPr>
        <w:pStyle w:val="notepara"/>
        <w:numPr>
          <w:ilvl w:val="0"/>
          <w:numId w:val="9"/>
        </w:numPr>
      </w:pPr>
      <w:r w:rsidRPr="00995753">
        <w:t>for the banking sector—clause 5.1 of Schedule 3;</w:t>
      </w:r>
    </w:p>
    <w:p w14:paraId="299E8A79" w14:textId="77777777" w:rsidR="004F3C59" w:rsidRPr="00995753" w:rsidRDefault="004F3C59" w:rsidP="00411DE2">
      <w:pPr>
        <w:pStyle w:val="notepara"/>
        <w:numPr>
          <w:ilvl w:val="0"/>
          <w:numId w:val="9"/>
        </w:numPr>
      </w:pPr>
      <w:r w:rsidRPr="00995753">
        <w:t>for the energy sector—clause 5.1 of Schedule 4.</w:t>
      </w:r>
    </w:p>
    <w:p w14:paraId="423301A0" w14:textId="77777777" w:rsidR="004F3C59" w:rsidRPr="00995753" w:rsidRDefault="00A7561A" w:rsidP="00411DE2">
      <w:pPr>
        <w:pStyle w:val="ItemHead"/>
      </w:pPr>
      <w:r>
        <w:rPr>
          <w:noProof/>
        </w:rPr>
        <w:t>37</w:t>
      </w:r>
      <w:r w:rsidR="004F3C59" w:rsidRPr="00995753">
        <w:t xml:space="preserve">  Rule 6.2, note 2</w:t>
      </w:r>
    </w:p>
    <w:p w14:paraId="39D21D69" w14:textId="77777777" w:rsidR="004F3C59" w:rsidRPr="00995753" w:rsidRDefault="004F3C59" w:rsidP="00411DE2">
      <w:pPr>
        <w:pStyle w:val="Item"/>
      </w:pPr>
      <w:r w:rsidRPr="00995753">
        <w:t>After “paragraph 5.12(1)(c).”, insert “See also clause 5.2 of Schedule 4.”.</w:t>
      </w:r>
    </w:p>
    <w:p w14:paraId="4CBF0728" w14:textId="77777777" w:rsidR="004F3C59" w:rsidRPr="00995753" w:rsidRDefault="00A7561A" w:rsidP="00411DE2">
      <w:pPr>
        <w:pStyle w:val="ItemHead"/>
      </w:pPr>
      <w:r>
        <w:rPr>
          <w:noProof/>
        </w:rPr>
        <w:t>38</w:t>
      </w:r>
      <w:r w:rsidR="004F3C59" w:rsidRPr="00995753">
        <w:t xml:space="preserve">  Rule 7.15</w:t>
      </w:r>
    </w:p>
    <w:p w14:paraId="57826458" w14:textId="77777777" w:rsidR="004F3C59" w:rsidRPr="00995753" w:rsidRDefault="004F3C59" w:rsidP="00411DE2">
      <w:pPr>
        <w:pStyle w:val="Item"/>
      </w:pPr>
      <w:r w:rsidRPr="00995753">
        <w:t>At the end add:</w:t>
      </w:r>
    </w:p>
    <w:p w14:paraId="40506381" w14:textId="77777777" w:rsidR="004F3C59" w:rsidRPr="00995753" w:rsidRDefault="004F3C59" w:rsidP="00411DE2">
      <w:pPr>
        <w:pStyle w:val="notetext"/>
      </w:pPr>
      <w:r w:rsidRPr="00995753">
        <w:t>Note 3:</w:t>
      </w:r>
      <w:r w:rsidRPr="00995753">
        <w:tab/>
        <w:t>See also, in relation to the energy sector, clause 6.1 of Schedule 4.</w:t>
      </w:r>
    </w:p>
    <w:p w14:paraId="6706160A" w14:textId="77777777" w:rsidR="004F3C59" w:rsidRPr="00995753" w:rsidRDefault="00A7561A" w:rsidP="00411DE2">
      <w:pPr>
        <w:pStyle w:val="ItemHead"/>
      </w:pPr>
      <w:r>
        <w:rPr>
          <w:noProof/>
        </w:rPr>
        <w:t>39</w:t>
      </w:r>
      <w:r w:rsidR="004F3C59" w:rsidRPr="00995753">
        <w:t xml:space="preserve">  After Schedule 3 </w:t>
      </w:r>
    </w:p>
    <w:p w14:paraId="6F887717" w14:textId="77777777" w:rsidR="004F3C59" w:rsidRPr="00995753" w:rsidRDefault="004F3C59" w:rsidP="00411DE2">
      <w:pPr>
        <w:pStyle w:val="Item"/>
      </w:pPr>
      <w:r w:rsidRPr="00995753">
        <w:t>Insert:</w:t>
      </w:r>
    </w:p>
    <w:p w14:paraId="614D980D" w14:textId="77777777" w:rsidR="004F3C59" w:rsidRPr="00995753" w:rsidRDefault="004F3C59" w:rsidP="00411DE2">
      <w:pPr>
        <w:pStyle w:val="ActHead1"/>
      </w:pPr>
      <w:bookmarkStart w:id="54" w:name="_Toc76562778"/>
      <w:bookmarkStart w:id="55" w:name="_Toc76679963"/>
      <w:bookmarkStart w:id="56" w:name="_Toc76716920"/>
      <w:bookmarkStart w:id="57" w:name="_Toc76740887"/>
      <w:r w:rsidRPr="00995753">
        <w:t>Schedule 4—Provisions relevant to the energy sector</w:t>
      </w:r>
      <w:bookmarkEnd w:id="54"/>
      <w:bookmarkEnd w:id="55"/>
      <w:bookmarkEnd w:id="56"/>
      <w:bookmarkEnd w:id="57"/>
    </w:p>
    <w:p w14:paraId="78CF1DBC" w14:textId="77777777" w:rsidR="004F3C59" w:rsidRPr="00995753" w:rsidRDefault="004F3C59" w:rsidP="00411DE2">
      <w:pPr>
        <w:pStyle w:val="ActHead2"/>
      </w:pPr>
      <w:bookmarkStart w:id="58" w:name="_Toc76562779"/>
      <w:bookmarkStart w:id="59" w:name="_Toc76679964"/>
      <w:bookmarkStart w:id="60" w:name="_Toc76716921"/>
      <w:bookmarkStart w:id="61" w:name="_Toc76740888"/>
      <w:r w:rsidRPr="00995753">
        <w:t>Part 1—Preliminary</w:t>
      </w:r>
      <w:bookmarkEnd w:id="58"/>
      <w:bookmarkEnd w:id="59"/>
      <w:bookmarkEnd w:id="60"/>
      <w:bookmarkEnd w:id="61"/>
    </w:p>
    <w:p w14:paraId="3CB4AE88" w14:textId="77777777" w:rsidR="004F3C59" w:rsidRPr="00995753" w:rsidRDefault="004F3C59" w:rsidP="00411DE2">
      <w:pPr>
        <w:pStyle w:val="ActHead5"/>
      </w:pPr>
      <w:bookmarkStart w:id="62" w:name="_Toc76562780"/>
      <w:bookmarkStart w:id="63" w:name="_Toc76679965"/>
      <w:bookmarkStart w:id="64" w:name="_Toc76716922"/>
      <w:bookmarkStart w:id="65" w:name="_Toc76740889"/>
      <w:r w:rsidRPr="00995753">
        <w:t>1.1  Simplified outline of this Schedule</w:t>
      </w:r>
      <w:bookmarkEnd w:id="62"/>
      <w:bookmarkEnd w:id="63"/>
      <w:bookmarkEnd w:id="64"/>
      <w:bookmarkEnd w:id="65"/>
    </w:p>
    <w:p w14:paraId="7A986D59" w14:textId="77777777" w:rsidR="004F3C59" w:rsidRPr="00995753" w:rsidRDefault="004F3C59" w:rsidP="00411DE2">
      <w:pPr>
        <w:pStyle w:val="SOText"/>
      </w:pPr>
      <w:r w:rsidRPr="00995753">
        <w:t>This Schedule deals with how these rules apply in relation to the energy sector.</w:t>
      </w:r>
    </w:p>
    <w:p w14:paraId="44A7D649" w14:textId="77777777" w:rsidR="004F3C59" w:rsidRPr="00995753" w:rsidRDefault="004F3C59" w:rsidP="00411DE2">
      <w:pPr>
        <w:pStyle w:val="SOText"/>
      </w:pPr>
      <w:r w:rsidRPr="00995753">
        <w:t>Some defined terms apply only in relation to the energy sector. These are defined in Part 1 of this Schedule.</w:t>
      </w:r>
    </w:p>
    <w:p w14:paraId="75D4782C" w14:textId="77777777" w:rsidR="004F3C59" w:rsidRPr="00995753" w:rsidRDefault="004F3C59" w:rsidP="00411DE2">
      <w:pPr>
        <w:pStyle w:val="SOText"/>
      </w:pPr>
      <w:r w:rsidRPr="00995753">
        <w:t>Part 2 of this Schedule deals with eligible CDR consumers in relation to the energy sector.</w:t>
      </w:r>
    </w:p>
    <w:p w14:paraId="73131F06" w14:textId="77777777" w:rsidR="004F3C59" w:rsidRPr="00995753" w:rsidRDefault="004F3C59" w:rsidP="00411DE2">
      <w:pPr>
        <w:pStyle w:val="SOText"/>
      </w:pPr>
      <w:r w:rsidRPr="00995753">
        <w:t xml:space="preserve">Part 3 of this Schedule deals with CDR data that can or must be disclosed when product data requests and consumer data requests are made in relation to the energy sector. </w:t>
      </w:r>
    </w:p>
    <w:p w14:paraId="3F9A30E0" w14:textId="77777777" w:rsidR="004F3C59" w:rsidRPr="00995753" w:rsidRDefault="004F3C59" w:rsidP="00411DE2">
      <w:pPr>
        <w:pStyle w:val="SOText"/>
      </w:pPr>
      <w:r w:rsidRPr="00995753">
        <w:lastRenderedPageBreak/>
        <w:t>Part 4 of this Schedule deals with the three agencies that have special functions in the energy sector. The AER and the Victorian agency hold product data and respond to product data requests. AEMO holds AEMO data.</w:t>
      </w:r>
    </w:p>
    <w:p w14:paraId="1951D96B" w14:textId="77777777" w:rsidR="004F3C59" w:rsidRPr="00995753" w:rsidRDefault="004F3C59" w:rsidP="00411DE2">
      <w:pPr>
        <w:pStyle w:val="SOText"/>
      </w:pPr>
      <w:r w:rsidRPr="00995753">
        <w:t>AEMO data is specified as SR data for these rules, so that AEMO is the secondary data holder for this CDR data, and the relevant retailer is specified as the primary data holder.  Division 1.5 of these rules applies to an SR data request.</w:t>
      </w:r>
    </w:p>
    <w:p w14:paraId="740EA1C1" w14:textId="77777777" w:rsidR="004F3C59" w:rsidRPr="00995753" w:rsidRDefault="004F3C59" w:rsidP="00411DE2">
      <w:pPr>
        <w:pStyle w:val="SOText"/>
      </w:pPr>
      <w:r w:rsidRPr="00995753">
        <w:t>Part 5 of this Schedule deals with internal dispute resolution requirements in relation to the energy sector.</w:t>
      </w:r>
    </w:p>
    <w:p w14:paraId="706058AE" w14:textId="77777777" w:rsidR="004F3C59" w:rsidRPr="00995753" w:rsidRDefault="004F3C59" w:rsidP="00411DE2">
      <w:pPr>
        <w:pStyle w:val="SOText"/>
      </w:pPr>
      <w:r w:rsidRPr="00995753">
        <w:t>Part 6 of this Schedule deals with the correction of data in compliance with the privacy safeguards.</w:t>
      </w:r>
    </w:p>
    <w:p w14:paraId="3B36F6E2" w14:textId="77777777" w:rsidR="004F3C59" w:rsidRPr="00995753" w:rsidRDefault="004F3C59" w:rsidP="00411DE2">
      <w:pPr>
        <w:pStyle w:val="SOText"/>
      </w:pPr>
      <w:r w:rsidRPr="00995753">
        <w:t>Part 7 of this Schedule deals with reporting and record keeping requirements of these rules that apply differently in relation to the energy sector.</w:t>
      </w:r>
    </w:p>
    <w:p w14:paraId="46AA16B1" w14:textId="77777777" w:rsidR="004F3C59" w:rsidRPr="00995753" w:rsidRDefault="004F3C59" w:rsidP="00411DE2">
      <w:pPr>
        <w:pStyle w:val="SOText"/>
      </w:pPr>
      <w:r w:rsidRPr="00995753">
        <w:t>Part 8 of this Schedule deals with the staged application of these rules to the energy sector. Over time, as set out in this Part, these rules will apply to a progressively broader range of data holders within the energy sector.</w:t>
      </w:r>
    </w:p>
    <w:p w14:paraId="06354EEF" w14:textId="77777777" w:rsidR="004F3C59" w:rsidRPr="00995753" w:rsidRDefault="004F3C59" w:rsidP="00411DE2">
      <w:pPr>
        <w:pStyle w:val="SOText"/>
      </w:pPr>
      <w:r w:rsidRPr="00995753">
        <w:t>Part 9 of this Schedule deals with other provisions of these rules that apply differently in relation to the energy sector.</w:t>
      </w:r>
    </w:p>
    <w:p w14:paraId="4621D701" w14:textId="77777777" w:rsidR="004F3C59" w:rsidRPr="00995753" w:rsidRDefault="004F3C59" w:rsidP="00411DE2">
      <w:pPr>
        <w:pStyle w:val="ActHead5"/>
      </w:pPr>
      <w:bookmarkStart w:id="66" w:name="_Toc76562781"/>
      <w:bookmarkStart w:id="67" w:name="_Toc76679966"/>
      <w:bookmarkStart w:id="68" w:name="_Toc76716923"/>
      <w:bookmarkStart w:id="69" w:name="_Toc76740890"/>
      <w:r w:rsidRPr="00995753">
        <w:t>1.2  Interpretation</w:t>
      </w:r>
      <w:bookmarkEnd w:id="66"/>
      <w:bookmarkEnd w:id="67"/>
      <w:bookmarkEnd w:id="68"/>
      <w:bookmarkEnd w:id="69"/>
    </w:p>
    <w:p w14:paraId="1B421356" w14:textId="77777777" w:rsidR="004F3C59" w:rsidRPr="00995753" w:rsidRDefault="004F3C59" w:rsidP="00411DE2">
      <w:pPr>
        <w:pStyle w:val="subsection"/>
      </w:pPr>
      <w:r w:rsidRPr="00995753">
        <w:tab/>
      </w:r>
      <w:r w:rsidRPr="00995753">
        <w:tab/>
        <w:t>In this Schedule:</w:t>
      </w:r>
    </w:p>
    <w:p w14:paraId="50EC9924" w14:textId="77777777" w:rsidR="004F3C59" w:rsidRPr="00995753" w:rsidRDefault="004F3C59" w:rsidP="00411DE2">
      <w:pPr>
        <w:pStyle w:val="Definition"/>
      </w:pPr>
      <w:r w:rsidRPr="00995753">
        <w:rPr>
          <w:b/>
          <w:bCs/>
          <w:i/>
          <w:iCs/>
        </w:rPr>
        <w:t>AEMO </w:t>
      </w:r>
      <w:r w:rsidRPr="00995753">
        <w:t>means the Australian Energy Market Operator Limited (ACN 072 010 327).</w:t>
      </w:r>
    </w:p>
    <w:p w14:paraId="1FBBDE2F" w14:textId="77777777" w:rsidR="004F3C59" w:rsidRPr="00995753" w:rsidRDefault="004F3C59" w:rsidP="00411DE2">
      <w:pPr>
        <w:pStyle w:val="Definition"/>
      </w:pPr>
      <w:r w:rsidRPr="00995753">
        <w:rPr>
          <w:b/>
          <w:i/>
          <w:iCs/>
        </w:rPr>
        <w:t>AEMO data</w:t>
      </w:r>
      <w:r w:rsidRPr="00995753">
        <w:t xml:space="preserve"> means:</w:t>
      </w:r>
    </w:p>
    <w:p w14:paraId="05477E54" w14:textId="77777777" w:rsidR="004F3C59" w:rsidRPr="00995753" w:rsidRDefault="004F3C59" w:rsidP="00411DE2">
      <w:pPr>
        <w:pStyle w:val="paragraph"/>
      </w:pPr>
      <w:r w:rsidRPr="00995753">
        <w:tab/>
        <w:t>(a)</w:t>
      </w:r>
      <w:r w:rsidRPr="00995753">
        <w:tab/>
        <w:t>in relation to a retailer:</w:t>
      </w:r>
    </w:p>
    <w:p w14:paraId="22C61A69" w14:textId="77777777" w:rsidR="004F3C59" w:rsidRPr="00995753" w:rsidRDefault="004F3C59" w:rsidP="00411DE2">
      <w:pPr>
        <w:pStyle w:val="paragraphsub"/>
      </w:pPr>
      <w:r w:rsidRPr="00995753">
        <w:tab/>
        <w:t>(i)</w:t>
      </w:r>
      <w:r w:rsidRPr="00995753">
        <w:tab/>
        <w:t>NMI standing data; or</w:t>
      </w:r>
    </w:p>
    <w:p w14:paraId="24EFE2F9" w14:textId="77777777" w:rsidR="004F3C59" w:rsidRPr="00995753" w:rsidRDefault="004F3C59" w:rsidP="00411DE2">
      <w:pPr>
        <w:pStyle w:val="paragraphsub"/>
      </w:pPr>
      <w:r w:rsidRPr="00995753">
        <w:tab/>
        <w:t>(ii)</w:t>
      </w:r>
      <w:r w:rsidRPr="00995753">
        <w:tab/>
        <w:t>metering data; or</w:t>
      </w:r>
    </w:p>
    <w:p w14:paraId="21E3201C" w14:textId="77777777" w:rsidR="004F3C59" w:rsidRPr="00995753" w:rsidRDefault="004F3C59" w:rsidP="00411DE2">
      <w:pPr>
        <w:pStyle w:val="paragraphsub"/>
      </w:pPr>
      <w:r w:rsidRPr="00995753">
        <w:tab/>
        <w:t>(iii)</w:t>
      </w:r>
      <w:r w:rsidRPr="00995753">
        <w:tab/>
        <w:t>DER register data;</w:t>
      </w:r>
    </w:p>
    <w:p w14:paraId="215387BF" w14:textId="77777777" w:rsidR="004F3C59" w:rsidRPr="00995753" w:rsidRDefault="004F3C59" w:rsidP="00411DE2">
      <w:pPr>
        <w:pStyle w:val="paragraph"/>
      </w:pPr>
      <w:r w:rsidRPr="00995753">
        <w:tab/>
      </w:r>
      <w:r w:rsidRPr="00995753">
        <w:tab/>
        <w:t>that relates to an arrangement with the retailer; and</w:t>
      </w:r>
    </w:p>
    <w:p w14:paraId="1C8B7F5C" w14:textId="77777777" w:rsidR="004F3C59" w:rsidRPr="00995753" w:rsidRDefault="004F3C59" w:rsidP="00411DE2">
      <w:pPr>
        <w:pStyle w:val="paragraph"/>
      </w:pPr>
      <w:r w:rsidRPr="00995753">
        <w:tab/>
        <w:t>(b)</w:t>
      </w:r>
      <w:r w:rsidRPr="00995753">
        <w:tab/>
        <w:t>in relation to a customer—information covered by paragraph (a) that relates to the arrangement relevant to the customer.</w:t>
      </w:r>
    </w:p>
    <w:p w14:paraId="2EA19F26" w14:textId="77777777" w:rsidR="004F3C59" w:rsidRPr="00995753" w:rsidRDefault="004F3C59" w:rsidP="00411DE2">
      <w:pPr>
        <w:pStyle w:val="notetext"/>
      </w:pPr>
      <w:r w:rsidRPr="00995753">
        <w:t>Note:</w:t>
      </w:r>
      <w:r w:rsidRPr="00995753">
        <w:tab/>
        <w:t>This is data for which AEMO is the designated data holder under the energy sector designation instrument.</w:t>
      </w:r>
    </w:p>
    <w:p w14:paraId="09634D86" w14:textId="77777777" w:rsidR="004F3C59" w:rsidRPr="00995753" w:rsidRDefault="004F3C59" w:rsidP="00411DE2">
      <w:pPr>
        <w:pStyle w:val="Definition"/>
      </w:pPr>
      <w:r w:rsidRPr="00995753">
        <w:rPr>
          <w:b/>
          <w:i/>
        </w:rPr>
        <w:t>AER</w:t>
      </w:r>
      <w:r w:rsidRPr="00995753">
        <w:t xml:space="preserve"> means the Australian Energy Regulator</w:t>
      </w:r>
    </w:p>
    <w:p w14:paraId="41A1C38E" w14:textId="77777777" w:rsidR="004F3C59" w:rsidRPr="00995753" w:rsidRDefault="004F3C59" w:rsidP="00411DE2">
      <w:pPr>
        <w:pStyle w:val="Definition"/>
      </w:pPr>
      <w:r w:rsidRPr="00995753">
        <w:rPr>
          <w:b/>
          <w:i/>
        </w:rPr>
        <w:t>account data</w:t>
      </w:r>
      <w:r w:rsidRPr="00995753">
        <w:t xml:space="preserve"> has the meaning given by clause 1.3 of this Schedule.</w:t>
      </w:r>
    </w:p>
    <w:p w14:paraId="75D7E910" w14:textId="77777777" w:rsidR="004F3C59" w:rsidRPr="00995753" w:rsidRDefault="004F3C59" w:rsidP="00411DE2">
      <w:pPr>
        <w:pStyle w:val="Definition"/>
      </w:pPr>
      <w:r w:rsidRPr="00995753">
        <w:rPr>
          <w:b/>
          <w:i/>
          <w:iCs/>
        </w:rPr>
        <w:t xml:space="preserve">arrangement </w:t>
      </w:r>
      <w:r w:rsidRPr="00995753">
        <w:t xml:space="preserve">has the meaning given by subsection 5(1) of the energy sector designation instrument; </w:t>
      </w:r>
    </w:p>
    <w:p w14:paraId="7714F9C7" w14:textId="77777777" w:rsidR="004F3C59" w:rsidRPr="00995753" w:rsidRDefault="004F3C59" w:rsidP="00411DE2">
      <w:pPr>
        <w:pStyle w:val="Definition"/>
      </w:pPr>
      <w:r w:rsidRPr="00995753">
        <w:rPr>
          <w:b/>
          <w:i/>
        </w:rPr>
        <w:t>billing data</w:t>
      </w:r>
      <w:r w:rsidRPr="00995753">
        <w:t xml:space="preserve"> has the meaning given by clause 1.3 of this Schedule.</w:t>
      </w:r>
    </w:p>
    <w:p w14:paraId="7ABF47F1" w14:textId="77777777" w:rsidR="004F3C59" w:rsidRPr="00995753" w:rsidRDefault="004F3C59" w:rsidP="00411DE2">
      <w:pPr>
        <w:pStyle w:val="Definition"/>
      </w:pPr>
      <w:r w:rsidRPr="00995753">
        <w:rPr>
          <w:b/>
          <w:i/>
          <w:iCs/>
        </w:rPr>
        <w:lastRenderedPageBreak/>
        <w:t xml:space="preserve">customer </w:t>
      </w:r>
      <w:r w:rsidRPr="00995753">
        <w:t xml:space="preserve">has the meaning given by subsection 5(1) of the energy sector designation instrument; </w:t>
      </w:r>
    </w:p>
    <w:p w14:paraId="1737E41C" w14:textId="77777777" w:rsidR="004F3C59" w:rsidRPr="00995753" w:rsidRDefault="004F3C59" w:rsidP="00411DE2">
      <w:pPr>
        <w:pStyle w:val="Definition"/>
      </w:pPr>
      <w:r w:rsidRPr="00995753">
        <w:rPr>
          <w:b/>
          <w:i/>
        </w:rPr>
        <w:t>customer data</w:t>
      </w:r>
      <w:r w:rsidRPr="00995753">
        <w:t xml:space="preserve"> has the meaning given by clause 1.3 of this Schedule.</w:t>
      </w:r>
    </w:p>
    <w:p w14:paraId="5636CDE1" w14:textId="77777777" w:rsidR="004F3C59" w:rsidRPr="00995753" w:rsidRDefault="004F3C59" w:rsidP="00411DE2">
      <w:pPr>
        <w:pStyle w:val="Definition"/>
        <w:rPr>
          <w:iCs/>
        </w:rPr>
      </w:pPr>
      <w:r w:rsidRPr="00995753">
        <w:rPr>
          <w:b/>
          <w:i/>
          <w:iCs/>
        </w:rPr>
        <w:t xml:space="preserve">DER </w:t>
      </w:r>
      <w:r w:rsidRPr="00995753">
        <w:rPr>
          <w:iCs/>
        </w:rPr>
        <w:t>(for distributed energy resources), in relation to an account, means any energy resources that are covered by the arrangement for the account and registered on the DER Register.</w:t>
      </w:r>
    </w:p>
    <w:p w14:paraId="0F850410" w14:textId="77777777" w:rsidR="004F3C59" w:rsidRPr="00995753" w:rsidRDefault="004F3C59" w:rsidP="00411DE2">
      <w:pPr>
        <w:pStyle w:val="Definition"/>
      </w:pPr>
      <w:r w:rsidRPr="00995753">
        <w:rPr>
          <w:b/>
          <w:i/>
          <w:iCs/>
        </w:rPr>
        <w:t xml:space="preserve">DER Register </w:t>
      </w:r>
      <w:r w:rsidRPr="00995753">
        <w:rPr>
          <w:iCs/>
        </w:rPr>
        <w:t>means the DER Register maintained under the National Electricity Rules.</w:t>
      </w:r>
      <w:r w:rsidRPr="00995753">
        <w:t xml:space="preserve"> </w:t>
      </w:r>
    </w:p>
    <w:p w14:paraId="7CF98CAF" w14:textId="77777777" w:rsidR="004F3C59" w:rsidRPr="00995753" w:rsidRDefault="004F3C59" w:rsidP="00411DE2">
      <w:pPr>
        <w:pStyle w:val="Definition"/>
      </w:pPr>
      <w:r w:rsidRPr="00995753">
        <w:rPr>
          <w:b/>
          <w:i/>
        </w:rPr>
        <w:t>DER register data</w:t>
      </w:r>
      <w:r w:rsidRPr="00995753">
        <w:t xml:space="preserve"> has the meaning given by clause 1.3 of this Schedule.</w:t>
      </w:r>
    </w:p>
    <w:p w14:paraId="0C972298" w14:textId="77777777" w:rsidR="004F3C59" w:rsidRPr="00995753" w:rsidRDefault="004F3C59" w:rsidP="00411DE2">
      <w:pPr>
        <w:pStyle w:val="Definition"/>
      </w:pPr>
      <w:r w:rsidRPr="00995753">
        <w:rPr>
          <w:b/>
          <w:i/>
          <w:iCs/>
        </w:rPr>
        <w:t xml:space="preserve">energy sector </w:t>
      </w:r>
      <w:r w:rsidRPr="00995753">
        <w:t>means the sector of the Australian economy that is designated by the energy sector designation instrument.</w:t>
      </w:r>
    </w:p>
    <w:p w14:paraId="1D16CF01" w14:textId="77777777" w:rsidR="004F3C59" w:rsidRPr="00995753" w:rsidRDefault="004F3C59" w:rsidP="00411DE2">
      <w:pPr>
        <w:pStyle w:val="Definition"/>
      </w:pPr>
      <w:r w:rsidRPr="00995753">
        <w:rPr>
          <w:b/>
          <w:i/>
          <w:iCs/>
        </w:rPr>
        <w:t xml:space="preserve">energy sector data </w:t>
      </w:r>
      <w:r w:rsidRPr="00995753">
        <w:t>means CDR data covered by the energy sector designation instrument.</w:t>
      </w:r>
    </w:p>
    <w:p w14:paraId="0F100C2B" w14:textId="77777777" w:rsidR="004F3C59" w:rsidRPr="00995753" w:rsidRDefault="004F3C59" w:rsidP="00411DE2">
      <w:pPr>
        <w:pStyle w:val="Definition"/>
      </w:pPr>
      <w:r w:rsidRPr="00995753">
        <w:rPr>
          <w:b/>
          <w:i/>
          <w:iCs/>
        </w:rPr>
        <w:t xml:space="preserve">energy sector designation instrument </w:t>
      </w:r>
      <w:r w:rsidRPr="00995753">
        <w:t xml:space="preserve">means the </w:t>
      </w:r>
      <w:r w:rsidRPr="00995753">
        <w:rPr>
          <w:i/>
          <w:iCs/>
        </w:rPr>
        <w:t>Consumer Data Right (Energy Sector) Designation 2020</w:t>
      </w:r>
      <w:r w:rsidRPr="00995753">
        <w:t>.</w:t>
      </w:r>
    </w:p>
    <w:p w14:paraId="75AF86F0" w14:textId="77777777" w:rsidR="004F3C59" w:rsidRPr="00995753" w:rsidRDefault="004F3C59" w:rsidP="00411DE2">
      <w:pPr>
        <w:pStyle w:val="Definition"/>
      </w:pPr>
      <w:r w:rsidRPr="00995753">
        <w:rPr>
          <w:b/>
          <w:i/>
        </w:rPr>
        <w:t>metering data</w:t>
      </w:r>
      <w:r w:rsidRPr="00995753">
        <w:t xml:space="preserve"> has the meaning given by clause 1.3 of this Schedule.</w:t>
      </w:r>
    </w:p>
    <w:p w14:paraId="69D8A3AA" w14:textId="77777777" w:rsidR="004F3C59" w:rsidRPr="00995753" w:rsidRDefault="004F3C59" w:rsidP="00411DE2">
      <w:pPr>
        <w:pStyle w:val="Definition"/>
      </w:pPr>
      <w:r w:rsidRPr="00995753">
        <w:rPr>
          <w:b/>
          <w:i/>
        </w:rPr>
        <w:t>National Energy Retail Law</w:t>
      </w:r>
      <w:r w:rsidRPr="00995753">
        <w:t xml:space="preserve"> has the meaning given by the energy sector designation instrument. </w:t>
      </w:r>
    </w:p>
    <w:p w14:paraId="370BA1FA" w14:textId="77777777" w:rsidR="004F3C59" w:rsidRPr="00995753" w:rsidRDefault="004F3C59" w:rsidP="00411DE2">
      <w:pPr>
        <w:pStyle w:val="Definition"/>
      </w:pPr>
      <w:r w:rsidRPr="00995753">
        <w:rPr>
          <w:b/>
          <w:bCs/>
          <w:i/>
          <w:iCs/>
          <w:shd w:val="clear" w:color="auto" w:fill="FFFFFF"/>
        </w:rPr>
        <w:t>National Electricity Rules</w:t>
      </w:r>
      <w:r w:rsidRPr="00995753">
        <w:rPr>
          <w:shd w:val="clear" w:color="auto" w:fill="FFFFFF"/>
        </w:rPr>
        <w:t> </w:t>
      </w:r>
      <w:r w:rsidRPr="00995753">
        <w:t>has the meaning given by the energy sector designation instrument</w:t>
      </w:r>
      <w:r w:rsidRPr="00995753">
        <w:rPr>
          <w:shd w:val="clear" w:color="auto" w:fill="FFFFFF"/>
        </w:rPr>
        <w:t>.</w:t>
      </w:r>
    </w:p>
    <w:p w14:paraId="5451B8E7" w14:textId="77777777" w:rsidR="004F3C59" w:rsidRPr="00995753" w:rsidRDefault="004F3C59" w:rsidP="00411DE2">
      <w:pPr>
        <w:pStyle w:val="Definition"/>
      </w:pPr>
      <w:r w:rsidRPr="00995753">
        <w:rPr>
          <w:b/>
          <w:bCs/>
          <w:i/>
          <w:iCs/>
          <w:shd w:val="clear" w:color="auto" w:fill="FFFFFF"/>
        </w:rPr>
        <w:t>National Electricity Law</w:t>
      </w:r>
      <w:r w:rsidRPr="00995753">
        <w:rPr>
          <w:shd w:val="clear" w:color="auto" w:fill="FFFFFF"/>
        </w:rPr>
        <w:t> means the National Electricity Law set out in the Schedule to the </w:t>
      </w:r>
      <w:r w:rsidRPr="00995753">
        <w:rPr>
          <w:i/>
          <w:iCs/>
          <w:shd w:val="clear" w:color="auto" w:fill="FFFFFF"/>
        </w:rPr>
        <w:t>National Electricity (South Australia) Act 1996</w:t>
      </w:r>
      <w:r w:rsidRPr="00995753">
        <w:rPr>
          <w:shd w:val="clear" w:color="auto" w:fill="FFFFFF"/>
        </w:rPr>
        <w:t> (SA).</w:t>
      </w:r>
    </w:p>
    <w:p w14:paraId="5E2F61E3" w14:textId="77777777" w:rsidR="004F3C59" w:rsidRPr="00995753" w:rsidRDefault="004F3C59" w:rsidP="00411DE2">
      <w:pPr>
        <w:pStyle w:val="Definition"/>
      </w:pPr>
      <w:r w:rsidRPr="00995753">
        <w:rPr>
          <w:b/>
          <w:i/>
        </w:rPr>
        <w:t xml:space="preserve">National Electricity Market </w:t>
      </w:r>
      <w:r w:rsidRPr="00995753">
        <w:t>has the meaning given by the National Electricity Law. </w:t>
      </w:r>
    </w:p>
    <w:p w14:paraId="5ACB37DA" w14:textId="77777777" w:rsidR="004F3C59" w:rsidRPr="00995753" w:rsidRDefault="004F3C59" w:rsidP="00411DE2">
      <w:pPr>
        <w:pStyle w:val="Definition"/>
      </w:pPr>
      <w:r w:rsidRPr="00995753">
        <w:rPr>
          <w:b/>
          <w:i/>
        </w:rPr>
        <w:t>NMI standing data</w:t>
      </w:r>
      <w:r w:rsidRPr="00995753">
        <w:t xml:space="preserve"> has the meaning given by clause 1.3 of this Schedule.</w:t>
      </w:r>
    </w:p>
    <w:p w14:paraId="412A7FBC" w14:textId="77777777" w:rsidR="004F3C59" w:rsidRPr="00995753" w:rsidRDefault="004F3C59" w:rsidP="00411DE2">
      <w:pPr>
        <w:pStyle w:val="Definition"/>
      </w:pPr>
      <w:r w:rsidRPr="00995753">
        <w:rPr>
          <w:b/>
          <w:i/>
          <w:iCs/>
        </w:rPr>
        <w:t xml:space="preserve">plan </w:t>
      </w:r>
      <w:r w:rsidRPr="00995753">
        <w:t>means a form of arrangement that is offered to, or has been supplied to, customers by a retailer.</w:t>
      </w:r>
    </w:p>
    <w:p w14:paraId="16732B76" w14:textId="77777777" w:rsidR="004F3C59" w:rsidRPr="00995753" w:rsidRDefault="004F3C59" w:rsidP="00411DE2">
      <w:pPr>
        <w:pStyle w:val="Definition"/>
      </w:pPr>
      <w:r w:rsidRPr="00995753">
        <w:rPr>
          <w:b/>
          <w:i/>
        </w:rPr>
        <w:t>product specific data</w:t>
      </w:r>
      <w:r w:rsidRPr="00995753">
        <w:t xml:space="preserve"> has the meaning given by clause 1.3 of this Schedule.</w:t>
      </w:r>
    </w:p>
    <w:p w14:paraId="5B571160" w14:textId="77777777" w:rsidR="004F3C59" w:rsidRPr="00995753" w:rsidRDefault="004F3C59" w:rsidP="00411DE2">
      <w:pPr>
        <w:pStyle w:val="Definition"/>
      </w:pPr>
      <w:r w:rsidRPr="00995753">
        <w:rPr>
          <w:b/>
          <w:bCs/>
          <w:i/>
          <w:iCs/>
        </w:rPr>
        <w:t>retailer</w:t>
      </w:r>
      <w:r w:rsidRPr="00995753">
        <w:t> has the meaning given by clause 1.4 of this Schedule.</w:t>
      </w:r>
    </w:p>
    <w:p w14:paraId="364282F7" w14:textId="77777777" w:rsidR="004F3C59" w:rsidRPr="00995753" w:rsidRDefault="004F3C59" w:rsidP="00411DE2">
      <w:pPr>
        <w:pStyle w:val="Definition"/>
      </w:pPr>
      <w:r w:rsidRPr="00995753">
        <w:rPr>
          <w:b/>
          <w:i/>
        </w:rPr>
        <w:t>tailored tariff data</w:t>
      </w:r>
      <w:r w:rsidRPr="00995753">
        <w:t xml:space="preserve"> has the meaning given by clause 1.3 of this Schedule.</w:t>
      </w:r>
    </w:p>
    <w:p w14:paraId="30A71792" w14:textId="77777777" w:rsidR="004F3C59" w:rsidRPr="00995753" w:rsidRDefault="004F3C59" w:rsidP="00411DE2">
      <w:pPr>
        <w:pStyle w:val="Definition"/>
        <w:rPr>
          <w:shd w:val="clear" w:color="auto" w:fill="FFFFFF"/>
        </w:rPr>
      </w:pPr>
      <w:r w:rsidRPr="00995753">
        <w:rPr>
          <w:b/>
          <w:i/>
          <w:iCs/>
        </w:rPr>
        <w:t>Victorian agency</w:t>
      </w:r>
      <w:r w:rsidRPr="00995753">
        <w:rPr>
          <w:bCs/>
        </w:rPr>
        <w:t xml:space="preserve"> means </w:t>
      </w:r>
      <w:r w:rsidRPr="00995753">
        <w:rPr>
          <w:shd w:val="clear" w:color="auto" w:fill="FFFFFF"/>
        </w:rPr>
        <w:t>the Department of State administered by the Minister of Victoria administering the </w:t>
      </w:r>
      <w:r w:rsidRPr="00995753">
        <w:rPr>
          <w:i/>
          <w:iCs/>
        </w:rPr>
        <w:t>National Electricity (Victoria) Act 2005</w:t>
      </w:r>
      <w:r w:rsidRPr="00995753">
        <w:rPr>
          <w:shd w:val="clear" w:color="auto" w:fill="FFFFFF"/>
        </w:rPr>
        <w:t> (Vic).</w:t>
      </w:r>
    </w:p>
    <w:p w14:paraId="15400DB7" w14:textId="77777777" w:rsidR="004F3C59" w:rsidRPr="00995753" w:rsidRDefault="004F3C59" w:rsidP="00411DE2">
      <w:pPr>
        <w:pStyle w:val="notetext"/>
        <w:rPr>
          <w:rFonts w:eastAsia="Calibri"/>
        </w:rPr>
      </w:pPr>
      <w:r w:rsidRPr="00995753">
        <w:rPr>
          <w:rFonts w:eastAsia="Calibri"/>
        </w:rPr>
        <w:t>Note:</w:t>
      </w:r>
      <w:r w:rsidRPr="00995753">
        <w:rPr>
          <w:rFonts w:eastAsia="Calibri"/>
        </w:rPr>
        <w:tab/>
        <w:t>The relevant Victorian agency must be declared a participating entity under section 56AS of the Act.</w:t>
      </w:r>
    </w:p>
    <w:p w14:paraId="555AD881" w14:textId="77777777" w:rsidR="004F3C59" w:rsidRPr="00995753" w:rsidRDefault="004F3C59" w:rsidP="00411DE2">
      <w:pPr>
        <w:pStyle w:val="ActHead5"/>
        <w:rPr>
          <w:i/>
        </w:rPr>
      </w:pPr>
      <w:bookmarkStart w:id="70" w:name="_Toc76562782"/>
      <w:bookmarkStart w:id="71" w:name="_Toc76679967"/>
      <w:bookmarkStart w:id="72" w:name="_Toc76716924"/>
      <w:bookmarkStart w:id="73" w:name="_Toc76740891"/>
      <w:r w:rsidRPr="00995753">
        <w:lastRenderedPageBreak/>
        <w:t>1.3  Meaning of terms for types of data</w:t>
      </w:r>
      <w:bookmarkEnd w:id="70"/>
      <w:bookmarkEnd w:id="71"/>
      <w:bookmarkEnd w:id="72"/>
      <w:bookmarkEnd w:id="73"/>
    </w:p>
    <w:p w14:paraId="1930C174" w14:textId="77777777" w:rsidR="004F3C59" w:rsidRPr="00995753" w:rsidRDefault="004F3C59" w:rsidP="00411DE2">
      <w:pPr>
        <w:pStyle w:val="subsection"/>
      </w:pPr>
      <w:r w:rsidRPr="00995753">
        <w:tab/>
      </w:r>
      <w:r w:rsidRPr="00995753">
        <w:tab/>
        <w:t>For this Schedule, a term listed in column 1 of the table has the meaning given by column 2.</w:t>
      </w:r>
    </w:p>
    <w:p w14:paraId="7E7A4AE4" w14:textId="77777777" w:rsidR="004F3C59" w:rsidRPr="00995753" w:rsidRDefault="004F3C59" w:rsidP="00411DE2">
      <w:pPr>
        <w:pStyle w:val="subsection"/>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1974"/>
        <w:gridCol w:w="5914"/>
      </w:tblGrid>
      <w:tr w:rsidR="00995753" w:rsidRPr="00995753" w14:paraId="4624F5A7" w14:textId="77777777" w:rsidTr="004F3C59">
        <w:trPr>
          <w:tblHeader/>
        </w:trPr>
        <w:tc>
          <w:tcPr>
            <w:tcW w:w="5000" w:type="pct"/>
            <w:gridSpan w:val="3"/>
            <w:tcBorders>
              <w:top w:val="single" w:sz="12" w:space="0" w:color="auto"/>
              <w:bottom w:val="single" w:sz="2" w:space="0" w:color="auto"/>
            </w:tcBorders>
          </w:tcPr>
          <w:p w14:paraId="3497FF2B" w14:textId="77777777" w:rsidR="004F3C59" w:rsidRPr="00995753" w:rsidRDefault="004F3C59" w:rsidP="00411DE2">
            <w:pPr>
              <w:pStyle w:val="TableHeading"/>
              <w:jc w:val="center"/>
              <w:rPr>
                <w:i/>
              </w:rPr>
            </w:pPr>
            <w:r w:rsidRPr="00995753">
              <w:t xml:space="preserve">Meaning of </w:t>
            </w:r>
            <w:r w:rsidRPr="00995753">
              <w:rPr>
                <w:i/>
              </w:rPr>
              <w:t>customer data</w:t>
            </w:r>
            <w:r w:rsidRPr="00995753">
              <w:t xml:space="preserve">, </w:t>
            </w:r>
            <w:r w:rsidRPr="00995753">
              <w:rPr>
                <w:i/>
              </w:rPr>
              <w:t>account data</w:t>
            </w:r>
            <w:r w:rsidRPr="00995753">
              <w:rPr>
                <w:b w:val="0"/>
              </w:rPr>
              <w:t xml:space="preserve">, </w:t>
            </w:r>
            <w:r w:rsidRPr="00995753">
              <w:rPr>
                <w:i/>
              </w:rPr>
              <w:t>billing data</w:t>
            </w:r>
            <w:r w:rsidRPr="00995753">
              <w:rPr>
                <w:b w:val="0"/>
              </w:rPr>
              <w:t xml:space="preserve">, </w:t>
            </w:r>
            <w:r w:rsidRPr="00995753">
              <w:rPr>
                <w:i/>
              </w:rPr>
              <w:t>metering data</w:t>
            </w:r>
            <w:r w:rsidRPr="00995753">
              <w:rPr>
                <w:b w:val="0"/>
              </w:rPr>
              <w:t xml:space="preserve">, </w:t>
            </w:r>
            <w:r w:rsidRPr="00995753">
              <w:rPr>
                <w:i/>
              </w:rPr>
              <w:t>NMI standing data</w:t>
            </w:r>
            <w:r w:rsidRPr="00995753">
              <w:rPr>
                <w:b w:val="0"/>
              </w:rPr>
              <w:t xml:space="preserve">, </w:t>
            </w:r>
            <w:r w:rsidRPr="00995753">
              <w:rPr>
                <w:i/>
              </w:rPr>
              <w:t>DER register data</w:t>
            </w:r>
            <w:r w:rsidRPr="00995753">
              <w:rPr>
                <w:b w:val="0"/>
              </w:rPr>
              <w:t xml:space="preserve">, </w:t>
            </w:r>
            <w:r w:rsidRPr="00995753">
              <w:rPr>
                <w:i/>
              </w:rPr>
              <w:t>product specific</w:t>
            </w:r>
            <w:r w:rsidRPr="00995753">
              <w:rPr>
                <w:b w:val="0"/>
                <w:i/>
              </w:rPr>
              <w:t xml:space="preserve"> </w:t>
            </w:r>
            <w:r w:rsidRPr="00995753">
              <w:rPr>
                <w:i/>
              </w:rPr>
              <w:t>data</w:t>
            </w:r>
            <w:r w:rsidRPr="00995753">
              <w:rPr>
                <w:b w:val="0"/>
              </w:rPr>
              <w:t xml:space="preserve"> and </w:t>
            </w:r>
            <w:r w:rsidRPr="00995753">
              <w:rPr>
                <w:i/>
              </w:rPr>
              <w:t>tailored tariff data</w:t>
            </w:r>
          </w:p>
        </w:tc>
      </w:tr>
      <w:tr w:rsidR="00995753" w:rsidRPr="00995753" w14:paraId="567D3A75" w14:textId="77777777" w:rsidTr="004F3C59">
        <w:trPr>
          <w:tblHeader/>
        </w:trPr>
        <w:tc>
          <w:tcPr>
            <w:tcW w:w="256" w:type="pct"/>
            <w:tcBorders>
              <w:top w:val="single" w:sz="2" w:space="0" w:color="auto"/>
              <w:bottom w:val="single" w:sz="12" w:space="0" w:color="auto"/>
              <w:right w:val="nil"/>
            </w:tcBorders>
          </w:tcPr>
          <w:p w14:paraId="12F0EA20" w14:textId="77777777" w:rsidR="004F3C59" w:rsidRPr="00995753" w:rsidRDefault="004F3C59" w:rsidP="00411DE2">
            <w:pPr>
              <w:pStyle w:val="TableHeading"/>
            </w:pPr>
          </w:p>
        </w:tc>
        <w:tc>
          <w:tcPr>
            <w:tcW w:w="1187" w:type="pct"/>
            <w:tcBorders>
              <w:top w:val="single" w:sz="2" w:space="0" w:color="auto"/>
              <w:left w:val="nil"/>
              <w:bottom w:val="single" w:sz="12" w:space="0" w:color="auto"/>
              <w:right w:val="nil"/>
            </w:tcBorders>
          </w:tcPr>
          <w:p w14:paraId="3F529B07" w14:textId="77777777" w:rsidR="004F3C59" w:rsidRPr="00995753" w:rsidRDefault="004F3C59" w:rsidP="00411DE2">
            <w:pPr>
              <w:pStyle w:val="TableHeading"/>
            </w:pPr>
            <w:r w:rsidRPr="00995753">
              <w:t>Column 1</w:t>
            </w:r>
          </w:p>
        </w:tc>
        <w:tc>
          <w:tcPr>
            <w:tcW w:w="3557" w:type="pct"/>
            <w:tcBorders>
              <w:top w:val="single" w:sz="2" w:space="0" w:color="auto"/>
              <w:left w:val="nil"/>
              <w:bottom w:val="single" w:sz="12" w:space="0" w:color="auto"/>
              <w:right w:val="nil"/>
            </w:tcBorders>
          </w:tcPr>
          <w:p w14:paraId="5F12275E" w14:textId="77777777" w:rsidR="004F3C59" w:rsidRPr="00995753" w:rsidRDefault="004F3C59" w:rsidP="00411DE2">
            <w:pPr>
              <w:pStyle w:val="TableHeading"/>
            </w:pPr>
            <w:r w:rsidRPr="00995753">
              <w:t>Column 2</w:t>
            </w:r>
          </w:p>
        </w:tc>
      </w:tr>
      <w:tr w:rsidR="00995753" w:rsidRPr="00995753" w14:paraId="0CEF1083" w14:textId="77777777" w:rsidTr="004F3C59">
        <w:tc>
          <w:tcPr>
            <w:tcW w:w="256" w:type="pct"/>
            <w:tcBorders>
              <w:top w:val="single" w:sz="12" w:space="0" w:color="auto"/>
              <w:bottom w:val="single" w:sz="2" w:space="0" w:color="auto"/>
              <w:right w:val="nil"/>
            </w:tcBorders>
          </w:tcPr>
          <w:p w14:paraId="1D387745" w14:textId="77777777" w:rsidR="004F3C59" w:rsidRPr="00995753" w:rsidRDefault="004F3C59" w:rsidP="00411DE2">
            <w:pPr>
              <w:pStyle w:val="Tabletext"/>
            </w:pPr>
            <w:r w:rsidRPr="00995753">
              <w:t>1</w:t>
            </w:r>
          </w:p>
        </w:tc>
        <w:tc>
          <w:tcPr>
            <w:tcW w:w="1187" w:type="pct"/>
            <w:tcBorders>
              <w:top w:val="single" w:sz="12" w:space="0" w:color="auto"/>
              <w:left w:val="nil"/>
              <w:bottom w:val="single" w:sz="2" w:space="0" w:color="auto"/>
              <w:right w:val="nil"/>
            </w:tcBorders>
          </w:tcPr>
          <w:p w14:paraId="1A444099" w14:textId="77777777" w:rsidR="004F3C59" w:rsidRPr="00995753" w:rsidRDefault="004F3C59" w:rsidP="00411DE2">
            <w:pPr>
              <w:pStyle w:val="Tabletext"/>
            </w:pPr>
            <w:r w:rsidRPr="00995753">
              <w:rPr>
                <w:b/>
                <w:i/>
              </w:rPr>
              <w:t>customer data</w:t>
            </w:r>
            <w:r w:rsidRPr="00995753">
              <w:t>, in relation to a particular person</w:t>
            </w:r>
          </w:p>
        </w:tc>
        <w:tc>
          <w:tcPr>
            <w:tcW w:w="3557" w:type="pct"/>
            <w:tcBorders>
              <w:top w:val="single" w:sz="12" w:space="0" w:color="auto"/>
              <w:left w:val="nil"/>
              <w:bottom w:val="single" w:sz="2" w:space="0" w:color="auto"/>
              <w:right w:val="nil"/>
            </w:tcBorders>
          </w:tcPr>
          <w:p w14:paraId="476EFFB4" w14:textId="77777777" w:rsidR="004F3C59" w:rsidRPr="00995753" w:rsidRDefault="004F3C59" w:rsidP="00411DE2">
            <w:pPr>
              <w:pStyle w:val="Tablea"/>
            </w:pPr>
            <w:r w:rsidRPr="00995753">
              <w:t>(a)</w:t>
            </w:r>
            <w:r w:rsidRPr="00995753">
              <w:tab/>
              <w:t>means information that identifies or is about the person; and</w:t>
            </w:r>
          </w:p>
          <w:p w14:paraId="0854793B" w14:textId="77777777" w:rsidR="004F3C59" w:rsidRPr="00995753" w:rsidRDefault="004F3C59" w:rsidP="00411DE2">
            <w:pPr>
              <w:pStyle w:val="Tablea"/>
            </w:pPr>
            <w:r w:rsidRPr="00995753">
              <w:tab/>
              <w:t>(b)</w:t>
            </w:r>
            <w:r w:rsidRPr="00995753">
              <w:tab/>
              <w:t>includes:</w:t>
            </w:r>
          </w:p>
          <w:p w14:paraId="2BBB81EF" w14:textId="77777777" w:rsidR="004F3C59" w:rsidRPr="00995753" w:rsidRDefault="004F3C59" w:rsidP="00411DE2">
            <w:pPr>
              <w:pStyle w:val="Tablei"/>
            </w:pPr>
            <w:r w:rsidRPr="00995753">
              <w:tab/>
              <w:t>(i)</w:t>
            </w:r>
            <w:r w:rsidRPr="00995753">
              <w:tab/>
              <w:t>the person’s name; and</w:t>
            </w:r>
          </w:p>
          <w:p w14:paraId="53747BD3" w14:textId="77777777" w:rsidR="004F3C59" w:rsidRPr="00995753" w:rsidRDefault="004F3C59" w:rsidP="00411DE2">
            <w:pPr>
              <w:pStyle w:val="Tablei"/>
            </w:pPr>
            <w:r w:rsidRPr="00995753">
              <w:tab/>
              <w:t>(ii)</w:t>
            </w:r>
            <w:r w:rsidRPr="00995753">
              <w:tab/>
              <w:t>the person’s contact details, including their:</w:t>
            </w:r>
          </w:p>
          <w:p w14:paraId="36BF2ADD" w14:textId="77777777" w:rsidR="004F3C59" w:rsidRPr="00995753" w:rsidRDefault="004F3C59" w:rsidP="00411DE2">
            <w:pPr>
              <w:pStyle w:val="TableAA"/>
            </w:pPr>
            <w:r w:rsidRPr="00995753">
              <w:tab/>
              <w:t>(A)</w:t>
            </w:r>
            <w:r w:rsidRPr="00995753">
              <w:tab/>
              <w:t>telephone number; and</w:t>
            </w:r>
          </w:p>
          <w:p w14:paraId="5EDC38A0" w14:textId="77777777" w:rsidR="004F3C59" w:rsidRPr="00995753" w:rsidRDefault="004F3C59" w:rsidP="00411DE2">
            <w:pPr>
              <w:pStyle w:val="TableAA"/>
            </w:pPr>
            <w:r w:rsidRPr="00995753">
              <w:tab/>
              <w:t>(B)</w:t>
            </w:r>
            <w:r w:rsidRPr="00995753">
              <w:tab/>
              <w:t>email address; and</w:t>
            </w:r>
          </w:p>
          <w:p w14:paraId="417531E2" w14:textId="77777777" w:rsidR="004F3C59" w:rsidRPr="00995753" w:rsidRDefault="004F3C59" w:rsidP="00411DE2">
            <w:pPr>
              <w:pStyle w:val="TableAA"/>
            </w:pPr>
            <w:r w:rsidRPr="00995753">
              <w:tab/>
              <w:t>(C)</w:t>
            </w:r>
            <w:r w:rsidRPr="00995753">
              <w:tab/>
              <w:t>physical address; and</w:t>
            </w:r>
          </w:p>
          <w:p w14:paraId="48078A2F" w14:textId="77777777" w:rsidR="004F3C59" w:rsidRPr="00995753" w:rsidRDefault="004F3C59" w:rsidP="00411DE2">
            <w:pPr>
              <w:pStyle w:val="Tablei"/>
            </w:pPr>
            <w:r w:rsidRPr="00995753">
              <w:tab/>
              <w:t>(iii)</w:t>
            </w:r>
            <w:r w:rsidRPr="00995753">
              <w:tab/>
              <w:t>any information that:</w:t>
            </w:r>
          </w:p>
          <w:p w14:paraId="644D1A2B" w14:textId="77777777" w:rsidR="004F3C59" w:rsidRPr="00995753" w:rsidRDefault="004F3C59" w:rsidP="00411DE2">
            <w:pPr>
              <w:pStyle w:val="TableAA"/>
            </w:pPr>
            <w:r w:rsidRPr="00995753">
              <w:tab/>
              <w:t>(A)</w:t>
            </w:r>
            <w:r w:rsidRPr="00995753">
              <w:tab/>
              <w:t>the person provided at the time of acquiring a particular product; and</w:t>
            </w:r>
          </w:p>
          <w:p w14:paraId="7CF1CF71" w14:textId="77777777" w:rsidR="004F3C59" w:rsidRPr="00995753" w:rsidRDefault="004F3C59" w:rsidP="00411DE2">
            <w:pPr>
              <w:pStyle w:val="TableAA"/>
            </w:pPr>
            <w:r w:rsidRPr="00995753">
              <w:tab/>
              <w:t>(B)</w:t>
            </w:r>
            <w:r w:rsidRPr="00995753">
              <w:tab/>
              <w:t>relates to their eligibility to acquire that product; and</w:t>
            </w:r>
          </w:p>
          <w:p w14:paraId="63B00A80" w14:textId="77777777" w:rsidR="004F3C59" w:rsidRPr="00995753" w:rsidRDefault="004F3C59" w:rsidP="00411DE2">
            <w:pPr>
              <w:pStyle w:val="Tablei"/>
            </w:pPr>
            <w:r w:rsidRPr="00995753">
              <w:tab/>
              <w:t>(iv)</w:t>
            </w:r>
            <w:r w:rsidRPr="00995753">
              <w:tab/>
              <w:t>if the person operates a business—the following:</w:t>
            </w:r>
          </w:p>
          <w:p w14:paraId="738FB26E" w14:textId="77777777" w:rsidR="004F3C59" w:rsidRPr="00995753" w:rsidRDefault="004F3C59" w:rsidP="00411DE2">
            <w:pPr>
              <w:pStyle w:val="TableAA"/>
            </w:pPr>
            <w:r w:rsidRPr="00995753">
              <w:tab/>
              <w:t>(A)</w:t>
            </w:r>
            <w:r w:rsidRPr="00995753">
              <w:tab/>
              <w:t xml:space="preserve">the person’s business name; </w:t>
            </w:r>
          </w:p>
          <w:p w14:paraId="6ABD0F4F" w14:textId="77777777" w:rsidR="004F3C59" w:rsidRPr="00995753" w:rsidRDefault="004F3C59" w:rsidP="00411DE2">
            <w:pPr>
              <w:pStyle w:val="TableAA"/>
            </w:pPr>
            <w:r w:rsidRPr="00995753">
              <w:tab/>
              <w:t>(B)</w:t>
            </w:r>
            <w:r w:rsidRPr="00995753">
              <w:tab/>
              <w:t xml:space="preserve">the person’s ABN (within the meaning of the </w:t>
            </w:r>
            <w:r w:rsidRPr="00995753">
              <w:rPr>
                <w:i/>
              </w:rPr>
              <w:t>A New Tax System (Australian Business Number) Act 1999</w:t>
            </w:r>
            <w:r w:rsidRPr="00995753">
              <w:t>); and</w:t>
            </w:r>
          </w:p>
          <w:p w14:paraId="72013285" w14:textId="77777777" w:rsidR="004F3C59" w:rsidRPr="00995753" w:rsidRDefault="004F3C59" w:rsidP="00411DE2">
            <w:pPr>
              <w:pStyle w:val="Tablea"/>
            </w:pPr>
            <w:r w:rsidRPr="00995753">
              <w:t xml:space="preserve">(c) </w:t>
            </w:r>
            <w:r w:rsidRPr="00995753">
              <w:tab/>
              <w:t>if the person is an individual―does not include the person’s date of birth.</w:t>
            </w:r>
          </w:p>
          <w:p w14:paraId="32FC1CF1" w14:textId="77777777" w:rsidR="004F3C59" w:rsidRPr="00995753" w:rsidRDefault="004F3C59" w:rsidP="00411DE2">
            <w:pPr>
              <w:pStyle w:val="Tablea"/>
            </w:pPr>
          </w:p>
        </w:tc>
      </w:tr>
      <w:tr w:rsidR="00995753" w:rsidRPr="00995753" w14:paraId="5FAD5B07" w14:textId="77777777" w:rsidTr="004F3C59">
        <w:tc>
          <w:tcPr>
            <w:tcW w:w="256" w:type="pct"/>
            <w:tcBorders>
              <w:top w:val="single" w:sz="2" w:space="0" w:color="auto"/>
              <w:bottom w:val="single" w:sz="4" w:space="0" w:color="auto"/>
              <w:right w:val="nil"/>
            </w:tcBorders>
          </w:tcPr>
          <w:p w14:paraId="4A592597" w14:textId="77777777" w:rsidR="004F3C59" w:rsidRPr="00995753" w:rsidRDefault="004F3C59" w:rsidP="00411DE2">
            <w:pPr>
              <w:pStyle w:val="Tabletext"/>
            </w:pPr>
            <w:r w:rsidRPr="00995753">
              <w:t>2</w:t>
            </w:r>
          </w:p>
        </w:tc>
        <w:tc>
          <w:tcPr>
            <w:tcW w:w="1187" w:type="pct"/>
            <w:tcBorders>
              <w:top w:val="single" w:sz="2" w:space="0" w:color="auto"/>
              <w:left w:val="nil"/>
              <w:bottom w:val="single" w:sz="4" w:space="0" w:color="auto"/>
              <w:right w:val="nil"/>
            </w:tcBorders>
          </w:tcPr>
          <w:p w14:paraId="5903EDF1" w14:textId="77777777" w:rsidR="004F3C59" w:rsidRPr="00995753" w:rsidRDefault="004F3C59" w:rsidP="00411DE2">
            <w:pPr>
              <w:pStyle w:val="Tabletext"/>
            </w:pPr>
            <w:r w:rsidRPr="00995753">
              <w:rPr>
                <w:b/>
                <w:i/>
              </w:rPr>
              <w:t>account data</w:t>
            </w:r>
            <w:r w:rsidRPr="00995753">
              <w:t>, in relation to a particular account</w:t>
            </w:r>
          </w:p>
        </w:tc>
        <w:tc>
          <w:tcPr>
            <w:tcW w:w="3557" w:type="pct"/>
            <w:tcBorders>
              <w:top w:val="single" w:sz="2" w:space="0" w:color="auto"/>
              <w:left w:val="nil"/>
              <w:bottom w:val="single" w:sz="4" w:space="0" w:color="auto"/>
              <w:right w:val="nil"/>
            </w:tcBorders>
          </w:tcPr>
          <w:p w14:paraId="06CC1976" w14:textId="77777777" w:rsidR="004F3C59" w:rsidRPr="00995753" w:rsidRDefault="004F3C59" w:rsidP="00411DE2">
            <w:pPr>
              <w:pStyle w:val="Tablea"/>
            </w:pPr>
            <w:r w:rsidRPr="00995753">
              <w:t>(a)</w:t>
            </w:r>
            <w:r w:rsidRPr="00995753">
              <w:tab/>
              <w:t>means information that identifies or is about the operation of the account; and</w:t>
            </w:r>
          </w:p>
          <w:p w14:paraId="5EF96E5A" w14:textId="77777777" w:rsidR="004F3C59" w:rsidRPr="00995753" w:rsidRDefault="004F3C59" w:rsidP="00411DE2">
            <w:pPr>
              <w:pStyle w:val="Tablea"/>
            </w:pPr>
            <w:r w:rsidRPr="00995753">
              <w:t>(b)</w:t>
            </w:r>
            <w:r w:rsidRPr="00995753">
              <w:tab/>
              <w:t>includes:</w:t>
            </w:r>
          </w:p>
          <w:p w14:paraId="220B4C29" w14:textId="77777777" w:rsidR="004F3C59" w:rsidRPr="00995753" w:rsidRDefault="004F3C59" w:rsidP="00411DE2">
            <w:pPr>
              <w:pStyle w:val="Tablei"/>
            </w:pPr>
            <w:r w:rsidRPr="00995753">
              <w:tab/>
              <w:t>(i)</w:t>
            </w:r>
            <w:r w:rsidRPr="00995753">
              <w:tab/>
              <w:t>the account number, other than to the extent that an account number is masked (whether as required by law or in accordance with any applicable standard or industry practice); and</w:t>
            </w:r>
          </w:p>
          <w:p w14:paraId="26759617" w14:textId="77777777" w:rsidR="004F3C59" w:rsidRPr="00995753" w:rsidRDefault="004F3C59" w:rsidP="00411DE2">
            <w:pPr>
              <w:pStyle w:val="Tablei"/>
            </w:pPr>
            <w:r w:rsidRPr="00995753">
              <w:tab/>
              <w:t>(ii)</w:t>
            </w:r>
            <w:r w:rsidRPr="00995753">
              <w:tab/>
              <w:t>the date the account was created; and</w:t>
            </w:r>
          </w:p>
          <w:p w14:paraId="080BB7FE" w14:textId="77777777" w:rsidR="004F3C59" w:rsidRPr="00995753" w:rsidRDefault="004F3C59" w:rsidP="00411DE2">
            <w:pPr>
              <w:pStyle w:val="Tablei"/>
            </w:pPr>
            <w:r w:rsidRPr="00995753">
              <w:tab/>
              <w:t>(iii)</w:t>
            </w:r>
            <w:r w:rsidRPr="00995753">
              <w:tab/>
              <w:t>the unique identifiers that represent the connection points associated with the account; and</w:t>
            </w:r>
          </w:p>
          <w:p w14:paraId="449E3143" w14:textId="77777777" w:rsidR="004F3C59" w:rsidRPr="00995753" w:rsidRDefault="004F3C59" w:rsidP="00411DE2">
            <w:pPr>
              <w:pStyle w:val="Tablei"/>
            </w:pPr>
            <w:r w:rsidRPr="00995753">
              <w:tab/>
              <w:t>(iv)</w:t>
            </w:r>
            <w:r w:rsidRPr="00995753">
              <w:tab/>
            </w:r>
            <w:r w:rsidRPr="00995753">
              <w:rPr>
                <w:rFonts w:eastAsia="Calibri"/>
              </w:rPr>
              <w:t>any payment schedule associated with the account (including payment method and  frequency of payments)</w:t>
            </w:r>
            <w:r w:rsidRPr="00995753">
              <w:t>; and</w:t>
            </w:r>
          </w:p>
          <w:p w14:paraId="03D4B4B4" w14:textId="77777777" w:rsidR="004F3C59" w:rsidRPr="00995753" w:rsidRDefault="004F3C59" w:rsidP="00411DE2">
            <w:pPr>
              <w:pStyle w:val="Tablei"/>
              <w:rPr>
                <w:rFonts w:eastAsia="Calibri"/>
              </w:rPr>
            </w:pPr>
            <w:r w:rsidRPr="00995753">
              <w:tab/>
              <w:t>(v)</w:t>
            </w:r>
            <w:r w:rsidRPr="00995753">
              <w:tab/>
              <w:t>a</w:t>
            </w:r>
            <w:r w:rsidRPr="00995753">
              <w:rPr>
                <w:rFonts w:eastAsia="Calibri"/>
              </w:rPr>
              <w:t>ny concessions, rebates or grants applied to the account</w:t>
            </w:r>
            <w:r w:rsidRPr="00995753">
              <w:t>; and</w:t>
            </w:r>
          </w:p>
          <w:p w14:paraId="12251D4F" w14:textId="77777777" w:rsidR="004F3C59" w:rsidRPr="00995753" w:rsidRDefault="004F3C59" w:rsidP="00411DE2">
            <w:pPr>
              <w:pStyle w:val="Tablea"/>
            </w:pPr>
            <w:r w:rsidRPr="00995753">
              <w:t xml:space="preserve">(c) </w:t>
            </w:r>
            <w:r w:rsidRPr="00995753">
              <w:tab/>
              <w:t>does not include information about whether the account is associated with a hardship program.</w:t>
            </w:r>
          </w:p>
          <w:p w14:paraId="34E210DA" w14:textId="77777777" w:rsidR="004F3C59" w:rsidRPr="00995753" w:rsidRDefault="004F3C59" w:rsidP="00411DE2">
            <w:pPr>
              <w:pStyle w:val="Tablei"/>
            </w:pPr>
          </w:p>
        </w:tc>
      </w:tr>
      <w:tr w:rsidR="00995753" w:rsidRPr="00995753" w14:paraId="38D9C1B2" w14:textId="77777777" w:rsidTr="004F3C59">
        <w:tc>
          <w:tcPr>
            <w:tcW w:w="256" w:type="pct"/>
            <w:tcBorders>
              <w:top w:val="single" w:sz="4" w:space="0" w:color="auto"/>
              <w:bottom w:val="single" w:sz="4" w:space="0" w:color="auto"/>
              <w:right w:val="nil"/>
            </w:tcBorders>
          </w:tcPr>
          <w:p w14:paraId="188A0199" w14:textId="77777777" w:rsidR="004F3C59" w:rsidRPr="00995753" w:rsidRDefault="004F3C59" w:rsidP="00411DE2">
            <w:pPr>
              <w:pStyle w:val="Tabletext"/>
            </w:pPr>
            <w:r w:rsidRPr="00995753">
              <w:t>3</w:t>
            </w:r>
          </w:p>
        </w:tc>
        <w:tc>
          <w:tcPr>
            <w:tcW w:w="1187" w:type="pct"/>
            <w:tcBorders>
              <w:top w:val="single" w:sz="4" w:space="0" w:color="auto"/>
              <w:left w:val="nil"/>
              <w:bottom w:val="single" w:sz="4" w:space="0" w:color="auto"/>
              <w:right w:val="nil"/>
            </w:tcBorders>
          </w:tcPr>
          <w:p w14:paraId="016C0D33" w14:textId="77777777" w:rsidR="004F3C59" w:rsidRPr="00995753" w:rsidRDefault="004F3C59" w:rsidP="00411DE2">
            <w:pPr>
              <w:pStyle w:val="Tabletext"/>
            </w:pPr>
            <w:r w:rsidRPr="00995753">
              <w:rPr>
                <w:b/>
                <w:i/>
              </w:rPr>
              <w:t>billing data</w:t>
            </w:r>
            <w:r w:rsidRPr="00995753">
              <w:t>, in relation to a particular account</w:t>
            </w:r>
          </w:p>
        </w:tc>
        <w:tc>
          <w:tcPr>
            <w:tcW w:w="3557" w:type="pct"/>
            <w:tcBorders>
              <w:top w:val="single" w:sz="4" w:space="0" w:color="auto"/>
              <w:left w:val="nil"/>
              <w:bottom w:val="single" w:sz="4" w:space="0" w:color="auto"/>
              <w:right w:val="nil"/>
            </w:tcBorders>
          </w:tcPr>
          <w:p w14:paraId="2942FD00" w14:textId="77777777" w:rsidR="004F3C59" w:rsidRPr="00995753" w:rsidRDefault="004F3C59" w:rsidP="00411DE2">
            <w:pPr>
              <w:pStyle w:val="Tablea"/>
            </w:pPr>
            <w:r w:rsidRPr="00995753">
              <w:t>means:</w:t>
            </w:r>
          </w:p>
          <w:p w14:paraId="09F0A792" w14:textId="77777777" w:rsidR="004F3C59" w:rsidRPr="00995753" w:rsidRDefault="004F3C59" w:rsidP="00411DE2">
            <w:pPr>
              <w:pStyle w:val="Tablea"/>
            </w:pPr>
            <w:r w:rsidRPr="00995753">
              <w:lastRenderedPageBreak/>
              <w:t>(a)</w:t>
            </w:r>
            <w:r w:rsidRPr="00995753">
              <w:tab/>
              <w:t>information about a bill that has been issued in relation to the arrangement to which the account relates, including:</w:t>
            </w:r>
          </w:p>
          <w:p w14:paraId="70593E5A" w14:textId="77777777" w:rsidR="004F3C59" w:rsidRPr="00995753" w:rsidRDefault="004F3C59" w:rsidP="00411DE2">
            <w:pPr>
              <w:pStyle w:val="Tablei"/>
              <w:rPr>
                <w:rFonts w:eastAsia="Calibri"/>
              </w:rPr>
            </w:pPr>
            <w:r w:rsidRPr="00995753">
              <w:tab/>
              <w:t>(i)</w:t>
            </w:r>
            <w:r w:rsidRPr="00995753">
              <w:tab/>
            </w:r>
            <w:r w:rsidRPr="00995753">
              <w:rPr>
                <w:rFonts w:eastAsia="Calibri"/>
              </w:rPr>
              <w:t>the account number; and</w:t>
            </w:r>
          </w:p>
          <w:p w14:paraId="2AB9EEA2" w14:textId="77777777" w:rsidR="004F3C59" w:rsidRPr="00995753" w:rsidRDefault="004F3C59" w:rsidP="00411DE2">
            <w:pPr>
              <w:pStyle w:val="Tablei"/>
              <w:rPr>
                <w:rFonts w:eastAsia="Calibri"/>
              </w:rPr>
            </w:pPr>
            <w:r w:rsidRPr="00995753">
              <w:tab/>
              <w:t>(ii)</w:t>
            </w:r>
            <w:r w:rsidRPr="00995753">
              <w:tab/>
              <w:t xml:space="preserve">the </w:t>
            </w:r>
            <w:r w:rsidRPr="00995753">
              <w:rPr>
                <w:rFonts w:eastAsia="Calibri"/>
              </w:rPr>
              <w:t>billing period; and</w:t>
            </w:r>
          </w:p>
          <w:p w14:paraId="3A047652" w14:textId="77777777" w:rsidR="004F3C59" w:rsidRPr="00995753" w:rsidRDefault="004F3C59" w:rsidP="00411DE2">
            <w:pPr>
              <w:pStyle w:val="Tablei"/>
              <w:rPr>
                <w:rFonts w:eastAsia="Calibri"/>
              </w:rPr>
            </w:pPr>
            <w:r w:rsidRPr="00995753">
              <w:tab/>
              <w:t>(iii)</w:t>
            </w:r>
            <w:r w:rsidRPr="00995753">
              <w:tab/>
              <w:t>the d</w:t>
            </w:r>
            <w:r w:rsidRPr="00995753">
              <w:rPr>
                <w:rFonts w:eastAsia="Calibri"/>
              </w:rPr>
              <w:t>ate the bill was issued; and</w:t>
            </w:r>
          </w:p>
          <w:p w14:paraId="583C0DD7" w14:textId="77777777" w:rsidR="004F3C59" w:rsidRPr="00995753" w:rsidRDefault="004F3C59" w:rsidP="00411DE2">
            <w:pPr>
              <w:pStyle w:val="Tablei"/>
              <w:rPr>
                <w:rFonts w:eastAsia="Calibri"/>
              </w:rPr>
            </w:pPr>
            <w:r w:rsidRPr="00995753">
              <w:tab/>
              <w:t>(iv)</w:t>
            </w:r>
            <w:r w:rsidRPr="00995753">
              <w:tab/>
              <w:t>the t</w:t>
            </w:r>
            <w:r w:rsidRPr="00995753">
              <w:rPr>
                <w:rFonts w:eastAsia="Calibri"/>
              </w:rPr>
              <w:t>otal amount payable; and</w:t>
            </w:r>
          </w:p>
          <w:p w14:paraId="12EBDA15" w14:textId="77777777" w:rsidR="004F3C59" w:rsidRPr="00995753" w:rsidRDefault="004F3C59" w:rsidP="00411DE2">
            <w:pPr>
              <w:pStyle w:val="Tablei"/>
              <w:rPr>
                <w:rFonts w:eastAsia="Calibri"/>
              </w:rPr>
            </w:pPr>
            <w:r w:rsidRPr="00995753">
              <w:tab/>
              <w:t>(v)</w:t>
            </w:r>
            <w:r w:rsidRPr="00995753">
              <w:tab/>
            </w:r>
            <w:r w:rsidRPr="00995753">
              <w:rPr>
                <w:rFonts w:eastAsia="Calibri"/>
              </w:rPr>
              <w:t>the tariffs and charges applicable; and</w:t>
            </w:r>
          </w:p>
          <w:p w14:paraId="7D1A1D75" w14:textId="77777777" w:rsidR="004F3C59" w:rsidRPr="00995753" w:rsidRDefault="004F3C59" w:rsidP="00411DE2">
            <w:pPr>
              <w:pStyle w:val="Tablei"/>
              <w:rPr>
                <w:rFonts w:eastAsia="Calibri"/>
              </w:rPr>
            </w:pPr>
            <w:r w:rsidRPr="00995753">
              <w:tab/>
              <w:t>(vi)</w:t>
            </w:r>
            <w:r w:rsidRPr="00995753">
              <w:tab/>
            </w:r>
            <w:r w:rsidRPr="00995753">
              <w:rPr>
                <w:rFonts w:eastAsia="Calibri"/>
              </w:rPr>
              <w:t>details of consumption or estimated consumption of energy; and</w:t>
            </w:r>
          </w:p>
          <w:p w14:paraId="6DE91CCB" w14:textId="77777777" w:rsidR="004F3C59" w:rsidRPr="00995753" w:rsidRDefault="004F3C59" w:rsidP="00411DE2">
            <w:pPr>
              <w:pStyle w:val="Tablea"/>
            </w:pPr>
            <w:r w:rsidRPr="00995753">
              <w:t>(b)</w:t>
            </w:r>
            <w:r w:rsidRPr="00995753">
              <w:tab/>
              <w:t>information about a payment or other transaction made in relation to the arrangement, including:</w:t>
            </w:r>
          </w:p>
          <w:p w14:paraId="23028B5D" w14:textId="77777777" w:rsidR="004F3C59" w:rsidRPr="00995753" w:rsidRDefault="004F3C59" w:rsidP="00411DE2">
            <w:pPr>
              <w:pStyle w:val="Tablei"/>
            </w:pPr>
            <w:r w:rsidRPr="00995753">
              <w:tab/>
              <w:t>(i)</w:t>
            </w:r>
            <w:r w:rsidRPr="00995753">
              <w:tab/>
              <w:t xml:space="preserve">the nature of the transaction; </w:t>
            </w:r>
            <w:r w:rsidRPr="00995753">
              <w:rPr>
                <w:rFonts w:eastAsia="Calibri"/>
              </w:rPr>
              <w:t>and</w:t>
            </w:r>
          </w:p>
          <w:p w14:paraId="33A92CC0" w14:textId="77777777" w:rsidR="004F3C59" w:rsidRPr="00995753" w:rsidRDefault="004F3C59" w:rsidP="00411DE2">
            <w:pPr>
              <w:pStyle w:val="Tablei"/>
              <w:rPr>
                <w:rFonts w:eastAsia="Calibri"/>
              </w:rPr>
            </w:pPr>
            <w:r w:rsidRPr="00995753">
              <w:tab/>
              <w:t>(ii)</w:t>
            </w:r>
            <w:r w:rsidRPr="00995753">
              <w:tab/>
            </w:r>
            <w:r w:rsidRPr="00995753">
              <w:rPr>
                <w:rFonts w:eastAsia="Calibri"/>
              </w:rPr>
              <w:t>the date and time of the transaction; and</w:t>
            </w:r>
          </w:p>
          <w:p w14:paraId="7C26A3E7" w14:textId="77777777" w:rsidR="004F3C59" w:rsidRPr="00995753" w:rsidRDefault="004F3C59" w:rsidP="00411DE2">
            <w:pPr>
              <w:pStyle w:val="Tablei"/>
            </w:pPr>
            <w:r w:rsidRPr="00995753">
              <w:tab/>
              <w:t>(iii)</w:t>
            </w:r>
            <w:r w:rsidRPr="00995753">
              <w:tab/>
              <w:t>the amount paid</w:t>
            </w:r>
            <w:r w:rsidRPr="00995753">
              <w:rPr>
                <w:rFonts w:eastAsia="Calibri"/>
              </w:rPr>
              <w:t>; and</w:t>
            </w:r>
          </w:p>
          <w:p w14:paraId="716AD32B" w14:textId="77777777" w:rsidR="004F3C59" w:rsidRPr="00995753" w:rsidRDefault="004F3C59" w:rsidP="00411DE2">
            <w:pPr>
              <w:pStyle w:val="Tablei"/>
              <w:rPr>
                <w:rFonts w:eastAsia="Calibri"/>
              </w:rPr>
            </w:pPr>
            <w:r w:rsidRPr="00995753">
              <w:tab/>
              <w:t>(iv)</w:t>
            </w:r>
            <w:r w:rsidRPr="00995753">
              <w:tab/>
              <w:t>the payment method</w:t>
            </w:r>
            <w:r w:rsidRPr="00995753">
              <w:rPr>
                <w:rFonts w:eastAsia="Calibri"/>
              </w:rPr>
              <w:t>; and</w:t>
            </w:r>
          </w:p>
          <w:p w14:paraId="2A341B5F" w14:textId="77777777" w:rsidR="004F3C59" w:rsidRPr="00995753" w:rsidRDefault="004F3C59" w:rsidP="00411DE2">
            <w:pPr>
              <w:pStyle w:val="Tablea"/>
            </w:pPr>
            <w:r w:rsidRPr="00995753">
              <w:t>(c)</w:t>
            </w:r>
            <w:r w:rsidRPr="00995753">
              <w:tab/>
              <w:t>the account balance at any time.</w:t>
            </w:r>
          </w:p>
          <w:p w14:paraId="2C0AE401" w14:textId="77777777" w:rsidR="004F3C59" w:rsidRPr="00995753" w:rsidRDefault="004F3C59" w:rsidP="00411DE2">
            <w:pPr>
              <w:pStyle w:val="Tablea"/>
            </w:pPr>
          </w:p>
        </w:tc>
      </w:tr>
      <w:tr w:rsidR="00995753" w:rsidRPr="00995753" w14:paraId="0B890B42" w14:textId="77777777" w:rsidTr="004F3C59">
        <w:tc>
          <w:tcPr>
            <w:tcW w:w="256" w:type="pct"/>
            <w:tcBorders>
              <w:top w:val="single" w:sz="4" w:space="0" w:color="auto"/>
              <w:bottom w:val="single" w:sz="4" w:space="0" w:color="auto"/>
              <w:right w:val="nil"/>
            </w:tcBorders>
          </w:tcPr>
          <w:p w14:paraId="14E8A082" w14:textId="77777777" w:rsidR="004F3C59" w:rsidRPr="00995753" w:rsidRDefault="004F3C59" w:rsidP="00411DE2">
            <w:pPr>
              <w:pStyle w:val="Tabletext"/>
            </w:pPr>
            <w:r w:rsidRPr="00995753">
              <w:lastRenderedPageBreak/>
              <w:t>4</w:t>
            </w:r>
          </w:p>
        </w:tc>
        <w:tc>
          <w:tcPr>
            <w:tcW w:w="1187" w:type="pct"/>
            <w:tcBorders>
              <w:top w:val="single" w:sz="4" w:space="0" w:color="auto"/>
              <w:left w:val="nil"/>
              <w:bottom w:val="single" w:sz="4" w:space="0" w:color="auto"/>
              <w:right w:val="nil"/>
            </w:tcBorders>
          </w:tcPr>
          <w:p w14:paraId="3B6262B5" w14:textId="77777777" w:rsidR="004F3C59" w:rsidRPr="00995753" w:rsidRDefault="004F3C59" w:rsidP="00411DE2">
            <w:pPr>
              <w:pStyle w:val="Tabletext"/>
            </w:pPr>
            <w:r w:rsidRPr="00995753">
              <w:rPr>
                <w:b/>
                <w:i/>
              </w:rPr>
              <w:t>metering data</w:t>
            </w:r>
            <w:r w:rsidRPr="00995753">
              <w:t>, in relation to a particular account</w:t>
            </w:r>
          </w:p>
        </w:tc>
        <w:tc>
          <w:tcPr>
            <w:tcW w:w="3557" w:type="pct"/>
            <w:tcBorders>
              <w:top w:val="single" w:sz="4" w:space="0" w:color="auto"/>
              <w:left w:val="nil"/>
              <w:bottom w:val="single" w:sz="4" w:space="0" w:color="auto"/>
              <w:right w:val="nil"/>
            </w:tcBorders>
          </w:tcPr>
          <w:p w14:paraId="48719E88" w14:textId="77777777" w:rsidR="00D200AC" w:rsidRPr="00995753" w:rsidRDefault="00F23D15" w:rsidP="00411DE2">
            <w:pPr>
              <w:pStyle w:val="Tablea"/>
            </w:pPr>
            <w:r w:rsidRPr="00995753">
              <w:t xml:space="preserve">   </w:t>
            </w:r>
            <w:r w:rsidR="00D200AC" w:rsidRPr="00995753">
              <w:tab/>
              <w:t>means metering data, other than metering data for a type 7 metering installation, within the meaning given by the National Electricity Rules, that relates to the account</w:t>
            </w:r>
            <w:r w:rsidRPr="00995753">
              <w:t>.</w:t>
            </w:r>
          </w:p>
          <w:p w14:paraId="49DBAD02" w14:textId="77777777" w:rsidR="004F3C59" w:rsidRPr="00995753" w:rsidRDefault="00D200AC" w:rsidP="00411DE2">
            <w:pPr>
              <w:pStyle w:val="Tablea"/>
            </w:pPr>
            <w:r w:rsidRPr="00995753">
              <w:t xml:space="preserve"> </w:t>
            </w:r>
          </w:p>
        </w:tc>
      </w:tr>
      <w:tr w:rsidR="00995753" w:rsidRPr="00995753" w14:paraId="4ABDCFA6" w14:textId="77777777" w:rsidTr="004F3C59">
        <w:tc>
          <w:tcPr>
            <w:tcW w:w="256" w:type="pct"/>
            <w:tcBorders>
              <w:top w:val="single" w:sz="4" w:space="0" w:color="auto"/>
              <w:bottom w:val="single" w:sz="4" w:space="0" w:color="auto"/>
              <w:right w:val="nil"/>
            </w:tcBorders>
          </w:tcPr>
          <w:p w14:paraId="23819B2D" w14:textId="77777777" w:rsidR="004F3C59" w:rsidRPr="00995753" w:rsidRDefault="004F3C59" w:rsidP="00411DE2">
            <w:pPr>
              <w:pStyle w:val="Tabletext"/>
            </w:pPr>
            <w:r w:rsidRPr="00995753">
              <w:t>5</w:t>
            </w:r>
          </w:p>
        </w:tc>
        <w:tc>
          <w:tcPr>
            <w:tcW w:w="1187" w:type="pct"/>
            <w:tcBorders>
              <w:top w:val="single" w:sz="4" w:space="0" w:color="auto"/>
              <w:left w:val="nil"/>
              <w:bottom w:val="single" w:sz="4" w:space="0" w:color="auto"/>
              <w:right w:val="nil"/>
            </w:tcBorders>
          </w:tcPr>
          <w:p w14:paraId="3E2AC9AA" w14:textId="77777777" w:rsidR="004F3C59" w:rsidRPr="00995753" w:rsidRDefault="004F3C59" w:rsidP="00411DE2">
            <w:pPr>
              <w:pStyle w:val="Tabletext"/>
            </w:pPr>
            <w:r w:rsidRPr="00995753">
              <w:rPr>
                <w:b/>
                <w:i/>
              </w:rPr>
              <w:t>NMI standing data</w:t>
            </w:r>
            <w:r w:rsidRPr="00995753">
              <w:t xml:space="preserve">, in relation to a particular account </w:t>
            </w:r>
          </w:p>
        </w:tc>
        <w:tc>
          <w:tcPr>
            <w:tcW w:w="3557" w:type="pct"/>
            <w:tcBorders>
              <w:top w:val="single" w:sz="4" w:space="0" w:color="auto"/>
              <w:left w:val="nil"/>
              <w:bottom w:val="single" w:sz="4" w:space="0" w:color="auto"/>
              <w:right w:val="nil"/>
            </w:tcBorders>
          </w:tcPr>
          <w:p w14:paraId="0A876111" w14:textId="77777777" w:rsidR="00D200AC" w:rsidRPr="00995753" w:rsidRDefault="00D200AC" w:rsidP="00411DE2">
            <w:pPr>
              <w:pStyle w:val="Tablea"/>
            </w:pPr>
            <w:r w:rsidRPr="00995753">
              <w:t xml:space="preserve">    </w:t>
            </w:r>
            <w:r w:rsidRPr="00995753">
              <w:tab/>
              <w:t>means NMI standing data, within the meaning given by the National Electricity Rules, that relates to a connection point associated with the account.</w:t>
            </w:r>
          </w:p>
          <w:p w14:paraId="06A388A5" w14:textId="77777777" w:rsidR="004F3C59" w:rsidRPr="00995753" w:rsidRDefault="004F3C59" w:rsidP="00411DE2">
            <w:pPr>
              <w:pStyle w:val="Tablei"/>
            </w:pPr>
          </w:p>
        </w:tc>
      </w:tr>
      <w:tr w:rsidR="00995753" w:rsidRPr="00995753" w14:paraId="6D3351A9" w14:textId="77777777" w:rsidTr="004F3C59">
        <w:tc>
          <w:tcPr>
            <w:tcW w:w="256" w:type="pct"/>
            <w:tcBorders>
              <w:top w:val="single" w:sz="4" w:space="0" w:color="auto"/>
              <w:bottom w:val="single" w:sz="4" w:space="0" w:color="auto"/>
              <w:right w:val="nil"/>
            </w:tcBorders>
          </w:tcPr>
          <w:p w14:paraId="6ED3E580" w14:textId="77777777" w:rsidR="004F3C59" w:rsidRPr="00995753" w:rsidRDefault="004F3C59" w:rsidP="00411DE2">
            <w:pPr>
              <w:pStyle w:val="Tabletext"/>
            </w:pPr>
            <w:r w:rsidRPr="00995753">
              <w:t>6</w:t>
            </w:r>
          </w:p>
        </w:tc>
        <w:tc>
          <w:tcPr>
            <w:tcW w:w="1187" w:type="pct"/>
            <w:tcBorders>
              <w:top w:val="single" w:sz="4" w:space="0" w:color="auto"/>
              <w:left w:val="nil"/>
              <w:bottom w:val="single" w:sz="4" w:space="0" w:color="auto"/>
              <w:right w:val="nil"/>
            </w:tcBorders>
          </w:tcPr>
          <w:p w14:paraId="5218434E" w14:textId="77777777" w:rsidR="004F3C59" w:rsidRPr="00995753" w:rsidRDefault="004F3C59" w:rsidP="00411DE2">
            <w:pPr>
              <w:pStyle w:val="Tabletext"/>
              <w:rPr>
                <w:b/>
                <w:i/>
              </w:rPr>
            </w:pPr>
            <w:r w:rsidRPr="00995753">
              <w:rPr>
                <w:b/>
                <w:i/>
              </w:rPr>
              <w:t>DER register data</w:t>
            </w:r>
            <w:r w:rsidRPr="00995753">
              <w:t>, in relation to a particular account</w:t>
            </w:r>
          </w:p>
        </w:tc>
        <w:tc>
          <w:tcPr>
            <w:tcW w:w="3557" w:type="pct"/>
            <w:tcBorders>
              <w:top w:val="single" w:sz="4" w:space="0" w:color="auto"/>
              <w:left w:val="nil"/>
              <w:bottom w:val="single" w:sz="4" w:space="0" w:color="auto"/>
              <w:right w:val="nil"/>
            </w:tcBorders>
          </w:tcPr>
          <w:p w14:paraId="07DADF15" w14:textId="77777777" w:rsidR="00F906ED" w:rsidRPr="00995753" w:rsidRDefault="00F906ED" w:rsidP="00411DE2">
            <w:pPr>
              <w:pStyle w:val="Tablea"/>
            </w:pPr>
            <w:r w:rsidRPr="00995753">
              <w:t>(a)</w:t>
            </w:r>
            <w:r w:rsidRPr="00995753">
              <w:tab/>
              <w:t xml:space="preserve">means DER register information, within the meaning given by the National Electricity Rules, for DER that relate to the account; and </w:t>
            </w:r>
          </w:p>
          <w:p w14:paraId="72ACD0A3" w14:textId="77777777" w:rsidR="00F906ED" w:rsidRPr="00995753" w:rsidRDefault="00F906ED" w:rsidP="00411DE2">
            <w:pPr>
              <w:pStyle w:val="Tablea"/>
            </w:pPr>
            <w:r w:rsidRPr="00995753">
              <w:t>(b)</w:t>
            </w:r>
            <w:r w:rsidRPr="00995753">
              <w:tab/>
              <w:t>includes:</w:t>
            </w:r>
          </w:p>
          <w:p w14:paraId="6ACCFD44" w14:textId="77777777" w:rsidR="00F906ED" w:rsidRPr="00995753" w:rsidRDefault="00F906ED" w:rsidP="00411DE2">
            <w:pPr>
              <w:pStyle w:val="Tablei"/>
            </w:pPr>
            <w:r w:rsidRPr="00995753">
              <w:tab/>
              <w:t>(i)</w:t>
            </w:r>
            <w:r w:rsidRPr="00995753">
              <w:tab/>
              <w:t>t</w:t>
            </w:r>
            <w:r w:rsidRPr="00995753">
              <w:rPr>
                <w:rFonts w:eastAsia="Calibri"/>
              </w:rPr>
              <w:t xml:space="preserve">he unique identifier for each connection point associated with the metering data that relates to the DER; and </w:t>
            </w:r>
          </w:p>
          <w:p w14:paraId="551D03E0" w14:textId="77777777" w:rsidR="00F906ED" w:rsidRPr="00995753" w:rsidRDefault="00F906ED" w:rsidP="00411DE2">
            <w:pPr>
              <w:pStyle w:val="Tablei"/>
            </w:pPr>
            <w:r w:rsidRPr="00995753">
              <w:tab/>
              <w:t>(ii)</w:t>
            </w:r>
            <w:r w:rsidRPr="00995753">
              <w:tab/>
              <w:t>the a</w:t>
            </w:r>
            <w:r w:rsidRPr="00995753">
              <w:rPr>
                <w:rFonts w:eastAsia="Calibri"/>
              </w:rPr>
              <w:t xml:space="preserve">pproved small generating unit capacity as agreed with a network service provider in the connection agreement; and </w:t>
            </w:r>
          </w:p>
          <w:p w14:paraId="552A910D" w14:textId="77777777" w:rsidR="00F906ED" w:rsidRPr="00995753" w:rsidRDefault="00F906ED" w:rsidP="00411DE2">
            <w:pPr>
              <w:pStyle w:val="Tablei"/>
            </w:pPr>
            <w:r w:rsidRPr="00995753">
              <w:tab/>
              <w:t>(iii)</w:t>
            </w:r>
            <w:r w:rsidRPr="00995753">
              <w:tab/>
              <w:t>the n</w:t>
            </w:r>
            <w:r w:rsidRPr="00995753">
              <w:rPr>
                <w:rFonts w:eastAsia="Calibri"/>
              </w:rPr>
              <w:t xml:space="preserve">umber of phases available for the installation of DER; and </w:t>
            </w:r>
          </w:p>
          <w:p w14:paraId="5D0B700B" w14:textId="77777777" w:rsidR="00F906ED" w:rsidRPr="00995753" w:rsidRDefault="00F906ED" w:rsidP="00411DE2">
            <w:pPr>
              <w:pStyle w:val="Tablei"/>
            </w:pPr>
            <w:r w:rsidRPr="00995753">
              <w:tab/>
              <w:t>(iv)</w:t>
            </w:r>
            <w:r w:rsidRPr="00995753">
              <w:tab/>
              <w:t xml:space="preserve">the </w:t>
            </w:r>
            <w:r w:rsidRPr="00995753">
              <w:rPr>
                <w:rFonts w:eastAsia="Calibri"/>
              </w:rPr>
              <w:t xml:space="preserve">number of phases the DER are connected to; and </w:t>
            </w:r>
          </w:p>
          <w:p w14:paraId="1AD64B69" w14:textId="77777777" w:rsidR="00F906ED" w:rsidRPr="00995753" w:rsidRDefault="00F906ED" w:rsidP="00411DE2">
            <w:pPr>
              <w:pStyle w:val="Tablei"/>
            </w:pPr>
            <w:r w:rsidRPr="00995753">
              <w:tab/>
              <w:t>(v)</w:t>
            </w:r>
            <w:r w:rsidRPr="00995753">
              <w:tab/>
              <w:t>i</w:t>
            </w:r>
            <w:r w:rsidRPr="00995753">
              <w:rPr>
                <w:rFonts w:eastAsia="Calibri"/>
              </w:rPr>
              <w:t xml:space="preserve">nformation identifying small generating units designed with the ability to operate in islanded mode; and </w:t>
            </w:r>
          </w:p>
          <w:p w14:paraId="2A17C6D3" w14:textId="77777777" w:rsidR="004F3C59" w:rsidRPr="00995753" w:rsidRDefault="00F906ED" w:rsidP="00411DE2">
            <w:pPr>
              <w:pStyle w:val="Tablea"/>
            </w:pPr>
            <w:r w:rsidRPr="00995753">
              <w:t>(c)</w:t>
            </w:r>
            <w:r w:rsidRPr="00995753">
              <w:tab/>
              <w:t xml:space="preserve">excludes </w:t>
            </w:r>
            <w:r w:rsidRPr="00995753">
              <w:rPr>
                <w:rFonts w:eastAsia="Calibri"/>
              </w:rPr>
              <w:t xml:space="preserve">any personal information of third parties, including contractors and individuals who install or repair DER. </w:t>
            </w:r>
          </w:p>
        </w:tc>
      </w:tr>
      <w:tr w:rsidR="00995753" w:rsidRPr="00995753" w14:paraId="4565A174" w14:textId="77777777" w:rsidTr="004F3C59">
        <w:tc>
          <w:tcPr>
            <w:tcW w:w="256" w:type="pct"/>
            <w:tcBorders>
              <w:top w:val="single" w:sz="4" w:space="0" w:color="auto"/>
              <w:bottom w:val="single" w:sz="4" w:space="0" w:color="auto"/>
              <w:right w:val="nil"/>
            </w:tcBorders>
          </w:tcPr>
          <w:p w14:paraId="64D0A565" w14:textId="77777777" w:rsidR="004F3C59" w:rsidRPr="00995753" w:rsidRDefault="004F3C59" w:rsidP="00411DE2">
            <w:pPr>
              <w:pStyle w:val="Tabletext"/>
            </w:pPr>
            <w:r w:rsidRPr="00995753">
              <w:t>7</w:t>
            </w:r>
          </w:p>
        </w:tc>
        <w:tc>
          <w:tcPr>
            <w:tcW w:w="1187" w:type="pct"/>
            <w:tcBorders>
              <w:top w:val="single" w:sz="4" w:space="0" w:color="auto"/>
              <w:left w:val="nil"/>
              <w:bottom w:val="single" w:sz="4" w:space="0" w:color="auto"/>
              <w:right w:val="nil"/>
            </w:tcBorders>
          </w:tcPr>
          <w:p w14:paraId="33660E33" w14:textId="77777777" w:rsidR="004F3C59" w:rsidRPr="00995753" w:rsidRDefault="004F3C59" w:rsidP="00411DE2">
            <w:pPr>
              <w:pStyle w:val="Tabletext"/>
            </w:pPr>
            <w:r w:rsidRPr="00995753">
              <w:rPr>
                <w:b/>
                <w:i/>
              </w:rPr>
              <w:t>product specific data</w:t>
            </w:r>
            <w:r w:rsidRPr="00995753">
              <w:t xml:space="preserve">, in relation to a particular plan </w:t>
            </w:r>
          </w:p>
        </w:tc>
        <w:tc>
          <w:tcPr>
            <w:tcW w:w="3557" w:type="pct"/>
            <w:tcBorders>
              <w:top w:val="single" w:sz="4" w:space="0" w:color="auto"/>
              <w:left w:val="nil"/>
              <w:bottom w:val="single" w:sz="4" w:space="0" w:color="auto"/>
              <w:right w:val="nil"/>
            </w:tcBorders>
          </w:tcPr>
          <w:p w14:paraId="6D3B93B1" w14:textId="77777777" w:rsidR="004F3C59" w:rsidRPr="00995753" w:rsidRDefault="004F3C59" w:rsidP="00411DE2">
            <w:pPr>
              <w:pStyle w:val="Tablea"/>
            </w:pPr>
            <w:r w:rsidRPr="00995753">
              <w:t>(a)</w:t>
            </w:r>
            <w:r w:rsidRPr="00995753">
              <w:tab/>
              <w:t>means information that identifies or describes the characteristics of the plan; and</w:t>
            </w:r>
          </w:p>
          <w:p w14:paraId="219DCCFD" w14:textId="77777777" w:rsidR="004F3C59" w:rsidRPr="00995753" w:rsidRDefault="004F3C59" w:rsidP="00411DE2">
            <w:pPr>
              <w:pStyle w:val="Tablea"/>
            </w:pPr>
            <w:r w:rsidRPr="00995753">
              <w:t>(b)</w:t>
            </w:r>
            <w:r w:rsidRPr="00995753">
              <w:tab/>
              <w:t>includes the following data about the plan:</w:t>
            </w:r>
          </w:p>
          <w:p w14:paraId="3DCDB7BD" w14:textId="77777777" w:rsidR="004F3C59" w:rsidRPr="00995753" w:rsidRDefault="004F3C59" w:rsidP="00411DE2">
            <w:pPr>
              <w:pStyle w:val="Tablei"/>
            </w:pPr>
            <w:r w:rsidRPr="00995753">
              <w:tab/>
              <w:t>(i)</w:t>
            </w:r>
            <w:r w:rsidRPr="00995753">
              <w:tab/>
              <w:t>its type (whether standing, market or regulated); and</w:t>
            </w:r>
          </w:p>
          <w:p w14:paraId="180E9F7C" w14:textId="77777777" w:rsidR="004F3C59" w:rsidRPr="00995753" w:rsidRDefault="004F3C59" w:rsidP="00411DE2">
            <w:pPr>
              <w:pStyle w:val="Tablei"/>
            </w:pPr>
            <w:r w:rsidRPr="00995753">
              <w:tab/>
              <w:t>(ii)</w:t>
            </w:r>
            <w:r w:rsidRPr="00995753">
              <w:tab/>
              <w:t>its</w:t>
            </w:r>
            <w:r w:rsidRPr="00995753">
              <w:rPr>
                <w:rFonts w:eastAsia="Calibri"/>
              </w:rPr>
              <w:t xml:space="preserve"> name</w:t>
            </w:r>
            <w:r w:rsidRPr="00995753">
              <w:t>; and</w:t>
            </w:r>
          </w:p>
          <w:p w14:paraId="04091904" w14:textId="77777777" w:rsidR="004F3C59" w:rsidRPr="00995753" w:rsidRDefault="004F3C59" w:rsidP="00411DE2">
            <w:pPr>
              <w:pStyle w:val="Tablei"/>
            </w:pPr>
            <w:r w:rsidRPr="00995753">
              <w:tab/>
              <w:t>(iii)</w:t>
            </w:r>
            <w:r w:rsidRPr="00995753">
              <w:tab/>
              <w:t>f</w:t>
            </w:r>
            <w:r w:rsidRPr="00995753">
              <w:rPr>
                <w:rFonts w:eastAsia="Calibri"/>
              </w:rPr>
              <w:t>uel the plan applies to</w:t>
            </w:r>
            <w:r w:rsidRPr="00995753">
              <w:t>; and</w:t>
            </w:r>
          </w:p>
          <w:p w14:paraId="6C114E12" w14:textId="77777777" w:rsidR="004F3C59" w:rsidRPr="00995753" w:rsidRDefault="004F3C59" w:rsidP="00411DE2">
            <w:pPr>
              <w:pStyle w:val="Tablei"/>
            </w:pPr>
            <w:r w:rsidRPr="00995753">
              <w:tab/>
              <w:t>(iv)</w:t>
            </w:r>
            <w:r w:rsidRPr="00995753">
              <w:tab/>
            </w:r>
            <w:r w:rsidRPr="00995753">
              <w:rPr>
                <w:rFonts w:eastAsia="Calibri"/>
              </w:rPr>
              <w:t>the retailer brand offering the plan</w:t>
            </w:r>
            <w:r w:rsidRPr="00995753">
              <w:t>; and</w:t>
            </w:r>
          </w:p>
          <w:p w14:paraId="6EECFB67" w14:textId="77777777" w:rsidR="004F3C59" w:rsidRPr="00995753" w:rsidRDefault="004F3C59" w:rsidP="00411DE2">
            <w:pPr>
              <w:pStyle w:val="Tablei"/>
            </w:pPr>
            <w:r w:rsidRPr="00995753">
              <w:lastRenderedPageBreak/>
              <w:tab/>
              <w:t>(v)</w:t>
            </w:r>
            <w:r w:rsidRPr="00995753">
              <w:tab/>
              <w:t>the distribution zone</w:t>
            </w:r>
            <w:r w:rsidRPr="00995753">
              <w:rPr>
                <w:rFonts w:eastAsia="Calibri"/>
              </w:rPr>
              <w:t xml:space="preserve"> that the plan is offered in</w:t>
            </w:r>
            <w:r w:rsidRPr="00995753">
              <w:t>; and</w:t>
            </w:r>
          </w:p>
          <w:p w14:paraId="147589CB" w14:textId="77777777" w:rsidR="004F3C59" w:rsidRPr="00995753" w:rsidRDefault="004F3C59" w:rsidP="00411DE2">
            <w:pPr>
              <w:pStyle w:val="Tablei"/>
            </w:pPr>
            <w:r w:rsidRPr="00995753">
              <w:tab/>
              <w:t>(vi)</w:t>
            </w:r>
            <w:r w:rsidRPr="00995753">
              <w:tab/>
              <w:t>the t</w:t>
            </w:r>
            <w:r w:rsidRPr="00995753">
              <w:rPr>
                <w:rFonts w:eastAsia="Calibri"/>
              </w:rPr>
              <w:t>ariff type</w:t>
            </w:r>
            <w:r w:rsidRPr="00995753">
              <w:t>; and</w:t>
            </w:r>
          </w:p>
          <w:p w14:paraId="7C33EF75" w14:textId="77777777" w:rsidR="004F3C59" w:rsidRPr="00995753" w:rsidRDefault="004F3C59" w:rsidP="00411DE2">
            <w:pPr>
              <w:pStyle w:val="Tablei"/>
            </w:pPr>
            <w:r w:rsidRPr="00995753">
              <w:tab/>
              <w:t>(vii)</w:t>
            </w:r>
            <w:r w:rsidRPr="00995753">
              <w:tab/>
              <w:t>i</w:t>
            </w:r>
            <w:r w:rsidRPr="00995753">
              <w:rPr>
                <w:rFonts w:eastAsia="Calibri"/>
              </w:rPr>
              <w:t>nformation about the pricing associated with the plan, including unit rates, metering charges, daily supply charges and fees</w:t>
            </w:r>
            <w:r w:rsidRPr="00995753">
              <w:t>; and</w:t>
            </w:r>
          </w:p>
          <w:p w14:paraId="6F765CFA" w14:textId="77777777" w:rsidR="004F3C59" w:rsidRPr="00995753" w:rsidRDefault="004F3C59" w:rsidP="00411DE2">
            <w:pPr>
              <w:pStyle w:val="Tablei"/>
            </w:pPr>
            <w:r w:rsidRPr="00995753">
              <w:tab/>
              <w:t>(viii)</w:t>
            </w:r>
            <w:r w:rsidRPr="00995753">
              <w:tab/>
              <w:t>f</w:t>
            </w:r>
            <w:r w:rsidRPr="00995753">
              <w:rPr>
                <w:rFonts w:eastAsia="Calibri"/>
              </w:rPr>
              <w:t>eatures and benefits, including discounts, incentives and bundles.</w:t>
            </w:r>
          </w:p>
          <w:p w14:paraId="2AD9DE3B" w14:textId="77777777" w:rsidR="004F3C59" w:rsidRPr="00995753" w:rsidRDefault="004F3C59" w:rsidP="00411DE2">
            <w:pPr>
              <w:pStyle w:val="Tablei"/>
            </w:pPr>
          </w:p>
          <w:p w14:paraId="032F3735" w14:textId="77777777" w:rsidR="004F3C59" w:rsidRPr="00995753" w:rsidRDefault="004F3C59" w:rsidP="00411DE2">
            <w:pPr>
              <w:pStyle w:val="Tablea"/>
            </w:pPr>
          </w:p>
        </w:tc>
      </w:tr>
      <w:tr w:rsidR="004F3C59" w:rsidRPr="00995753" w14:paraId="3F8C5A39" w14:textId="77777777" w:rsidTr="004F3C59">
        <w:tc>
          <w:tcPr>
            <w:tcW w:w="256" w:type="pct"/>
            <w:tcBorders>
              <w:top w:val="single" w:sz="4" w:space="0" w:color="auto"/>
              <w:bottom w:val="single" w:sz="12" w:space="0" w:color="auto"/>
              <w:right w:val="nil"/>
            </w:tcBorders>
          </w:tcPr>
          <w:p w14:paraId="66EFB7A2" w14:textId="77777777" w:rsidR="004F3C59" w:rsidRPr="00995753" w:rsidRDefault="004F3C59" w:rsidP="00411DE2">
            <w:pPr>
              <w:pStyle w:val="Tabletext"/>
            </w:pPr>
            <w:r w:rsidRPr="00995753">
              <w:lastRenderedPageBreak/>
              <w:t>8</w:t>
            </w:r>
          </w:p>
        </w:tc>
        <w:tc>
          <w:tcPr>
            <w:tcW w:w="1187" w:type="pct"/>
            <w:tcBorders>
              <w:top w:val="single" w:sz="4" w:space="0" w:color="auto"/>
              <w:left w:val="nil"/>
              <w:bottom w:val="single" w:sz="12" w:space="0" w:color="auto"/>
              <w:right w:val="nil"/>
            </w:tcBorders>
          </w:tcPr>
          <w:p w14:paraId="1564A030" w14:textId="77777777" w:rsidR="004F3C59" w:rsidRPr="00995753" w:rsidRDefault="004F3C59" w:rsidP="00411DE2">
            <w:pPr>
              <w:pStyle w:val="Tabletext"/>
              <w:rPr>
                <w:b/>
                <w:i/>
              </w:rPr>
            </w:pPr>
            <w:r w:rsidRPr="00995753">
              <w:rPr>
                <w:b/>
                <w:i/>
              </w:rPr>
              <w:t>tailored tariff data</w:t>
            </w:r>
            <w:r w:rsidRPr="00995753">
              <w:t xml:space="preserve">, in relation to a particular account </w:t>
            </w:r>
          </w:p>
        </w:tc>
        <w:tc>
          <w:tcPr>
            <w:tcW w:w="3557" w:type="pct"/>
            <w:tcBorders>
              <w:top w:val="single" w:sz="4" w:space="0" w:color="auto"/>
              <w:left w:val="nil"/>
              <w:bottom w:val="single" w:sz="12" w:space="0" w:color="auto"/>
              <w:right w:val="nil"/>
            </w:tcBorders>
          </w:tcPr>
          <w:p w14:paraId="50621F36" w14:textId="77777777" w:rsidR="004F3C59" w:rsidRPr="00995753" w:rsidRDefault="004F3C59" w:rsidP="00411DE2">
            <w:pPr>
              <w:pStyle w:val="Tablea"/>
            </w:pPr>
            <w:r w:rsidRPr="00995753">
              <w:t xml:space="preserve">   </w:t>
            </w:r>
            <w:r w:rsidRPr="00995753">
              <w:tab/>
              <w:t>means product specific information in relation to the plan that that applies to, and as tailored to, the arrangement to which the account relates.</w:t>
            </w:r>
          </w:p>
          <w:p w14:paraId="5F544949" w14:textId="77777777" w:rsidR="004F3C59" w:rsidRPr="00995753" w:rsidRDefault="004F3C59" w:rsidP="00411DE2">
            <w:pPr>
              <w:pStyle w:val="Tablea"/>
            </w:pPr>
          </w:p>
        </w:tc>
      </w:tr>
    </w:tbl>
    <w:p w14:paraId="066E1B58" w14:textId="77777777" w:rsidR="004F3C59" w:rsidRPr="00995753" w:rsidRDefault="004F3C59" w:rsidP="00411DE2">
      <w:pPr>
        <w:pStyle w:val="paragraph"/>
        <w:rPr>
          <w:shd w:val="clear" w:color="auto" w:fill="FFFFFF"/>
        </w:rPr>
      </w:pPr>
    </w:p>
    <w:p w14:paraId="491BC241" w14:textId="77777777" w:rsidR="004F3C59" w:rsidRPr="00995753" w:rsidRDefault="004F3C59" w:rsidP="00411DE2">
      <w:pPr>
        <w:pStyle w:val="ActHead5"/>
        <w:rPr>
          <w:i/>
          <w:iCs/>
        </w:rPr>
      </w:pPr>
      <w:bookmarkStart w:id="74" w:name="_Toc76562783"/>
      <w:bookmarkStart w:id="75" w:name="_Toc76679968"/>
      <w:bookmarkStart w:id="76" w:name="_Toc76716925"/>
      <w:bookmarkStart w:id="77" w:name="_Toc76740892"/>
      <w:r w:rsidRPr="00995753">
        <w:t xml:space="preserve">1.4  Meaning of </w:t>
      </w:r>
      <w:r w:rsidRPr="00995753">
        <w:rPr>
          <w:i/>
          <w:iCs/>
        </w:rPr>
        <w:t>retailer</w:t>
      </w:r>
      <w:bookmarkEnd w:id="74"/>
      <w:bookmarkEnd w:id="75"/>
      <w:bookmarkEnd w:id="76"/>
      <w:bookmarkEnd w:id="77"/>
    </w:p>
    <w:p w14:paraId="48F815CC" w14:textId="77777777" w:rsidR="004F3C59" w:rsidRPr="00995753" w:rsidRDefault="004F3C59" w:rsidP="00411DE2">
      <w:pPr>
        <w:pStyle w:val="subsection"/>
      </w:pPr>
      <w:r w:rsidRPr="00995753">
        <w:tab/>
      </w:r>
      <w:r w:rsidRPr="00995753">
        <w:tab/>
        <w:t xml:space="preserve">For this Schedule, a data holder of energy sector data is a </w:t>
      </w:r>
      <w:r w:rsidRPr="00995753">
        <w:rPr>
          <w:b/>
          <w:bCs/>
          <w:i/>
          <w:iCs/>
        </w:rPr>
        <w:t>retailer</w:t>
      </w:r>
      <w:r w:rsidRPr="00995753">
        <w:t xml:space="preserve"> if:</w:t>
      </w:r>
    </w:p>
    <w:p w14:paraId="7069194F" w14:textId="77777777" w:rsidR="004F3C59" w:rsidRPr="00995753" w:rsidRDefault="004F3C59" w:rsidP="00411DE2">
      <w:pPr>
        <w:pStyle w:val="paragraph"/>
      </w:pPr>
      <w:r w:rsidRPr="00995753">
        <w:tab/>
        <w:t>(a)</w:t>
      </w:r>
      <w:r w:rsidRPr="00995753">
        <w:tab/>
        <w:t>it retails electricity to connection points in the National Electricity Market; and</w:t>
      </w:r>
    </w:p>
    <w:p w14:paraId="0AFCE29D" w14:textId="77777777" w:rsidR="004F3C59" w:rsidRPr="00995753" w:rsidRDefault="004F3C59" w:rsidP="00411DE2">
      <w:pPr>
        <w:pStyle w:val="paragraph"/>
        <w:rPr>
          <w:szCs w:val="22"/>
          <w:lang w:eastAsia="en-GB"/>
        </w:rPr>
      </w:pPr>
      <w:r w:rsidRPr="00995753">
        <w:tab/>
        <w:t>(b)</w:t>
      </w:r>
      <w:r w:rsidRPr="00995753">
        <w:tab/>
        <w:t>it is either</w:t>
      </w:r>
      <w:r w:rsidRPr="00995753">
        <w:rPr>
          <w:szCs w:val="22"/>
          <w:lang w:eastAsia="en-GB"/>
        </w:rPr>
        <w:t>:</w:t>
      </w:r>
    </w:p>
    <w:p w14:paraId="228E5EB4" w14:textId="77777777" w:rsidR="004F3C59" w:rsidRPr="00995753" w:rsidRDefault="004F3C59" w:rsidP="00411DE2">
      <w:pPr>
        <w:pStyle w:val="paragraphsub"/>
      </w:pPr>
      <w:r w:rsidRPr="00995753">
        <w:tab/>
        <w:t>(i)</w:t>
      </w:r>
      <w:r w:rsidRPr="00995753">
        <w:tab/>
        <w:t>the holder of a retailer authorisation issued under the National Energy Retail Law (as it applies in a State or Territory) in respect of the sale of electricity; or</w:t>
      </w:r>
    </w:p>
    <w:p w14:paraId="4AD3E5AC" w14:textId="77777777" w:rsidR="004F3C59" w:rsidRPr="00995753" w:rsidRDefault="004F3C59" w:rsidP="00411DE2">
      <w:pPr>
        <w:pStyle w:val="paragraphsub"/>
      </w:pPr>
      <w:r w:rsidRPr="00995753">
        <w:tab/>
        <w:t>(ii)</w:t>
      </w:r>
      <w:r w:rsidRPr="00995753">
        <w:tab/>
        <w:t>a retailer within the meaning of the </w:t>
      </w:r>
      <w:r w:rsidRPr="00995753">
        <w:rPr>
          <w:i/>
          <w:iCs/>
        </w:rPr>
        <w:t>Electricity Industry Act 2000 </w:t>
      </w:r>
      <w:r w:rsidRPr="00995753">
        <w:t>(Vic).</w:t>
      </w:r>
    </w:p>
    <w:p w14:paraId="3E1EDFDC" w14:textId="77777777" w:rsidR="002E6587" w:rsidRPr="00995753" w:rsidRDefault="002E6587" w:rsidP="00411DE2">
      <w:pPr>
        <w:pStyle w:val="ActHead2"/>
      </w:pPr>
      <w:bookmarkStart w:id="78" w:name="_Toc86237389"/>
      <w:r w:rsidRPr="00995753">
        <w:t>Part 2—Eligible CDR consumers—energy sector</w:t>
      </w:r>
      <w:bookmarkEnd w:id="78"/>
    </w:p>
    <w:p w14:paraId="417ED5BC" w14:textId="77777777" w:rsidR="002E6587" w:rsidRPr="00995753" w:rsidRDefault="002E6587" w:rsidP="00411DE2">
      <w:pPr>
        <w:pStyle w:val="ActHead5"/>
      </w:pPr>
      <w:bookmarkStart w:id="79" w:name="_Toc86237390"/>
      <w:r w:rsidRPr="00995753">
        <w:t>2.1  Additional criteria for eligibility—energy sector</w:t>
      </w:r>
      <w:bookmarkEnd w:id="79"/>
    </w:p>
    <w:p w14:paraId="39DA6CD5" w14:textId="77777777" w:rsidR="002E6587" w:rsidRPr="00995753" w:rsidRDefault="002E6587" w:rsidP="00411DE2">
      <w:pPr>
        <w:pStyle w:val="subsection"/>
      </w:pPr>
      <w:r w:rsidRPr="00995753">
        <w:tab/>
        <w:t>(1)</w:t>
      </w:r>
      <w:r w:rsidRPr="00995753">
        <w:tab/>
        <w:t xml:space="preserve">For subrules 1.10B(1) and (2), the additional criteria for a CDR consumer to be </w:t>
      </w:r>
      <w:r w:rsidRPr="00995753">
        <w:rPr>
          <w:b/>
          <w:i/>
        </w:rPr>
        <w:t>eligible</w:t>
      </w:r>
      <w:r w:rsidRPr="00995753">
        <w:t>, in relation to a retailer at a particular time, are that:</w:t>
      </w:r>
    </w:p>
    <w:p w14:paraId="0B8DF190" w14:textId="77777777" w:rsidR="002E6587" w:rsidRPr="00995753" w:rsidRDefault="002E6587" w:rsidP="00411DE2">
      <w:pPr>
        <w:pStyle w:val="paragraph"/>
      </w:pPr>
      <w:r w:rsidRPr="00995753">
        <w:tab/>
        <w:t>(a)</w:t>
      </w:r>
      <w:r w:rsidRPr="00995753">
        <w:tab/>
        <w:t>the CDR consumer is a customer of the retailer in relation to an eligible arrangement; and</w:t>
      </w:r>
    </w:p>
    <w:p w14:paraId="5F78CE0B" w14:textId="77777777" w:rsidR="002E6587" w:rsidRPr="00995753" w:rsidRDefault="002E6587" w:rsidP="00411DE2">
      <w:pPr>
        <w:pStyle w:val="paragraph"/>
      </w:pPr>
      <w:r w:rsidRPr="00995753">
        <w:tab/>
        <w:t>(b)</w:t>
      </w:r>
      <w:r w:rsidRPr="00995753">
        <w:tab/>
        <w:t>the account relates to the arrangement; and</w:t>
      </w:r>
    </w:p>
    <w:p w14:paraId="388566B2" w14:textId="77777777" w:rsidR="002E6587" w:rsidRPr="00995753" w:rsidRDefault="002E6587" w:rsidP="00411DE2">
      <w:pPr>
        <w:pStyle w:val="paragraph"/>
      </w:pPr>
      <w:r w:rsidRPr="00995753">
        <w:tab/>
        <w:t>(c)</w:t>
      </w:r>
      <w:r w:rsidRPr="00995753">
        <w:tab/>
        <w:t>for an account that has been in existence for 12 months or more—the consumption associated with the account has been less than 5 GWh in the previous 12 months; and</w:t>
      </w:r>
    </w:p>
    <w:p w14:paraId="70C18750" w14:textId="77777777" w:rsidR="002E6587" w:rsidRPr="00995753" w:rsidRDefault="002E6587" w:rsidP="00411DE2">
      <w:pPr>
        <w:pStyle w:val="paragraph"/>
      </w:pPr>
      <w:r w:rsidRPr="00995753">
        <w:tab/>
        <w:t>(d)</w:t>
      </w:r>
      <w:r w:rsidRPr="00995753">
        <w:tab/>
        <w:t>for an account that has been in existence for less than 12 months— the estimated annual consumption for the account is less than 5 GWh.</w:t>
      </w:r>
    </w:p>
    <w:p w14:paraId="4B71014C" w14:textId="77777777" w:rsidR="002E6587" w:rsidRPr="00995753" w:rsidRDefault="002E6587" w:rsidP="00411DE2">
      <w:pPr>
        <w:pStyle w:val="subsection"/>
      </w:pPr>
      <w:r w:rsidRPr="00995753">
        <w:tab/>
        <w:t>(2)</w:t>
      </w:r>
      <w:r w:rsidRPr="00995753">
        <w:tab/>
        <w:t xml:space="preserve">For this clause, an </w:t>
      </w:r>
      <w:r w:rsidRPr="00995753">
        <w:rPr>
          <w:b/>
          <w:i/>
        </w:rPr>
        <w:t>eligible arrangement</w:t>
      </w:r>
      <w:r w:rsidRPr="00995753">
        <w:t xml:space="preserve"> is an arrangement that relates to one or more connection points or child connection points for which there is a financially responsible market participant in the National Electricity Market.</w:t>
      </w:r>
    </w:p>
    <w:p w14:paraId="494B968D" w14:textId="77777777" w:rsidR="002E6587" w:rsidRPr="00995753" w:rsidRDefault="002E6587" w:rsidP="00411DE2">
      <w:pPr>
        <w:pStyle w:val="ActHead5"/>
      </w:pPr>
      <w:bookmarkStart w:id="80" w:name="_Toc86237391"/>
      <w:r w:rsidRPr="00995753">
        <w:lastRenderedPageBreak/>
        <w:t xml:space="preserve">2.2  Meaning of </w:t>
      </w:r>
      <w:r w:rsidRPr="00995753">
        <w:rPr>
          <w:i/>
        </w:rPr>
        <w:t>account privileges</w:t>
      </w:r>
      <w:r w:rsidRPr="00995753">
        <w:t>—energy sector</w:t>
      </w:r>
      <w:bookmarkEnd w:id="80"/>
    </w:p>
    <w:p w14:paraId="73DB862C" w14:textId="77777777" w:rsidR="002E6587" w:rsidRPr="00995753" w:rsidRDefault="002E6587" w:rsidP="00411DE2">
      <w:pPr>
        <w:pStyle w:val="subsection"/>
      </w:pPr>
      <w:r w:rsidRPr="00995753">
        <w:tab/>
        <w:t>(1)</w:t>
      </w:r>
      <w:r w:rsidRPr="00995753">
        <w:tab/>
        <w:t xml:space="preserve">This clause is made for the purposes of the definition of </w:t>
      </w:r>
      <w:r w:rsidRPr="00995753">
        <w:rPr>
          <w:b/>
          <w:i/>
        </w:rPr>
        <w:t xml:space="preserve">account privileges </w:t>
      </w:r>
      <w:r w:rsidRPr="00995753">
        <w:t>in subrule 1.7(1) of these rules.</w:t>
      </w:r>
    </w:p>
    <w:p w14:paraId="47B735DA" w14:textId="77777777" w:rsidR="002E6587" w:rsidRPr="00995753" w:rsidRDefault="002E6587" w:rsidP="00411DE2">
      <w:pPr>
        <w:pStyle w:val="subsection"/>
      </w:pPr>
      <w:r w:rsidRPr="00995753">
        <w:tab/>
        <w:t>(2)</w:t>
      </w:r>
      <w:r w:rsidRPr="00995753">
        <w:tab/>
        <w:t>For the energy sector, a person has account privileges in relation to an account with a retailer if the person is a customer authorised representative of the account holder for the purposes of:</w:t>
      </w:r>
    </w:p>
    <w:p w14:paraId="5A99CD60" w14:textId="77777777" w:rsidR="002E6587" w:rsidRPr="00995753" w:rsidRDefault="002E6587" w:rsidP="00411DE2">
      <w:pPr>
        <w:pStyle w:val="paragraph"/>
      </w:pPr>
      <w:r w:rsidRPr="00995753">
        <w:tab/>
        <w:t>(a)</w:t>
      </w:r>
      <w:r w:rsidRPr="00995753">
        <w:tab/>
        <w:t>rule 56A of the National Energy Retail Rules; or</w:t>
      </w:r>
    </w:p>
    <w:p w14:paraId="5968CC44" w14:textId="77777777" w:rsidR="002E6587" w:rsidRPr="00995753" w:rsidRDefault="002E6587" w:rsidP="00411DE2">
      <w:pPr>
        <w:pStyle w:val="paragraph"/>
      </w:pPr>
      <w:r w:rsidRPr="00995753">
        <w:tab/>
        <w:t>(b)</w:t>
      </w:r>
      <w:r w:rsidRPr="00995753">
        <w:tab/>
        <w:t xml:space="preserve">Chapter 10 of the National Electricity Rules.  </w:t>
      </w:r>
    </w:p>
    <w:p w14:paraId="2471383A" w14:textId="77777777" w:rsidR="002E6587" w:rsidRPr="00995753" w:rsidRDefault="002E6587" w:rsidP="00411DE2">
      <w:pPr>
        <w:pStyle w:val="subsection"/>
      </w:pPr>
    </w:p>
    <w:p w14:paraId="2686D5A6" w14:textId="77777777" w:rsidR="002E6587" w:rsidRPr="00995753" w:rsidRDefault="002E6587" w:rsidP="00411DE2">
      <w:pPr>
        <w:pStyle w:val="ActHead5"/>
      </w:pPr>
      <w:bookmarkStart w:id="81" w:name="_Toc86237392"/>
      <w:r w:rsidRPr="00995753">
        <w:t>2.3  Consumer dashboard—application of rule 1.15</w:t>
      </w:r>
      <w:bookmarkEnd w:id="81"/>
    </w:p>
    <w:p w14:paraId="1DBF0D36" w14:textId="77777777" w:rsidR="002E6587" w:rsidRPr="00995753" w:rsidRDefault="002E6587" w:rsidP="00411DE2">
      <w:pPr>
        <w:pStyle w:val="subsection"/>
        <w:rPr>
          <w:rFonts w:eastAsia="Calibri"/>
        </w:rPr>
      </w:pPr>
      <w:r w:rsidRPr="00995753">
        <w:rPr>
          <w:rFonts w:eastAsia="Calibri"/>
        </w:rPr>
        <w:tab/>
        <w:t>(1)</w:t>
      </w:r>
      <w:r w:rsidRPr="00995753">
        <w:rPr>
          <w:rFonts w:eastAsia="Calibri"/>
        </w:rPr>
        <w:tab/>
        <w:t>For subrule 1.15(1), if a retailer receives a consumer data request from an accredited person on behalf of a CDR consumer who has online access to the relevant account, the retailer must provide the CDR consumer with the consumer dashboard.</w:t>
      </w:r>
    </w:p>
    <w:p w14:paraId="456A842B" w14:textId="77777777" w:rsidR="002E6587" w:rsidRPr="00995753" w:rsidRDefault="002E6587" w:rsidP="00411DE2">
      <w:pPr>
        <w:pStyle w:val="subsection"/>
        <w:rPr>
          <w:rFonts w:eastAsia="Calibri"/>
        </w:rPr>
      </w:pPr>
      <w:r w:rsidRPr="00995753">
        <w:rPr>
          <w:rFonts w:eastAsia="Calibri"/>
        </w:rPr>
        <w:tab/>
        <w:t>(2)</w:t>
      </w:r>
      <w:r w:rsidRPr="00995753">
        <w:rPr>
          <w:rFonts w:eastAsia="Calibri"/>
        </w:rPr>
        <w:tab/>
        <w:t>For subrule 1.15(1), if a retailer receives a consumer data request from an accredited person on behalf of a CDR consumer who does not have a consumer dashboard, the retailer must:</w:t>
      </w:r>
    </w:p>
    <w:p w14:paraId="225D3E43" w14:textId="77777777" w:rsidR="002E6587" w:rsidRPr="00995753" w:rsidRDefault="002E6587" w:rsidP="00411DE2">
      <w:pPr>
        <w:pStyle w:val="paragraph"/>
        <w:rPr>
          <w:rFonts w:eastAsia="Calibri"/>
        </w:rPr>
      </w:pPr>
      <w:r w:rsidRPr="00995753">
        <w:rPr>
          <w:rFonts w:eastAsia="Calibri"/>
        </w:rPr>
        <w:tab/>
        <w:t>(a)</w:t>
      </w:r>
      <w:r w:rsidRPr="00995753">
        <w:rPr>
          <w:rFonts w:eastAsia="Calibri"/>
        </w:rPr>
        <w:tab/>
        <w:t>offer the CDR consumer a consumer dashboard; and</w:t>
      </w:r>
    </w:p>
    <w:p w14:paraId="6E2A659B" w14:textId="77777777" w:rsidR="002E6587" w:rsidRPr="00995753" w:rsidRDefault="002E6587" w:rsidP="00411DE2">
      <w:pPr>
        <w:pStyle w:val="paragraph"/>
        <w:rPr>
          <w:rFonts w:eastAsia="Calibri"/>
        </w:rPr>
      </w:pPr>
      <w:r w:rsidRPr="00995753">
        <w:rPr>
          <w:rFonts w:eastAsia="Calibri"/>
        </w:rPr>
        <w:tab/>
        <w:t>(b)</w:t>
      </w:r>
      <w:r w:rsidRPr="00995753">
        <w:rPr>
          <w:rFonts w:eastAsia="Calibri"/>
        </w:rPr>
        <w:tab/>
        <w:t>provide it if the CDR consumer accepts.</w:t>
      </w:r>
    </w:p>
    <w:p w14:paraId="6B88E045" w14:textId="77777777" w:rsidR="002E6587" w:rsidRPr="00995753" w:rsidRDefault="002E6587" w:rsidP="00411DE2">
      <w:pPr>
        <w:pStyle w:val="ActHead2"/>
      </w:pPr>
      <w:bookmarkStart w:id="82" w:name="_Toc86237393"/>
      <w:r w:rsidRPr="00995753">
        <w:t>Part 3—CDR data that may be accessed under these rules—energy sector</w:t>
      </w:r>
      <w:bookmarkEnd w:id="82"/>
    </w:p>
    <w:p w14:paraId="7D10A5BB" w14:textId="77777777" w:rsidR="002E6587" w:rsidRPr="00995753" w:rsidRDefault="002E6587" w:rsidP="00411DE2">
      <w:pPr>
        <w:pStyle w:val="ActHead5"/>
      </w:pPr>
      <w:bookmarkStart w:id="83" w:name="_Toc86237394"/>
      <w:r w:rsidRPr="00995753">
        <w:t xml:space="preserve">3.1  Meaning of </w:t>
      </w:r>
      <w:r w:rsidRPr="00995753">
        <w:rPr>
          <w:i/>
        </w:rPr>
        <w:t>required product data</w:t>
      </w:r>
      <w:r w:rsidRPr="00995753">
        <w:t xml:space="preserve"> and </w:t>
      </w:r>
      <w:r w:rsidRPr="00995753">
        <w:rPr>
          <w:i/>
        </w:rPr>
        <w:t>voluntary product data</w:t>
      </w:r>
      <w:r w:rsidRPr="00995753">
        <w:t>—energy sector</w:t>
      </w:r>
      <w:bookmarkEnd w:id="83"/>
    </w:p>
    <w:p w14:paraId="02B30214" w14:textId="77777777" w:rsidR="002E6587" w:rsidRPr="00995753" w:rsidRDefault="002E6587" w:rsidP="00411DE2">
      <w:pPr>
        <w:pStyle w:val="subsection"/>
      </w:pPr>
      <w:r w:rsidRPr="00995753">
        <w:tab/>
        <w:t>(1)</w:t>
      </w:r>
      <w:r w:rsidRPr="00995753">
        <w:tab/>
        <w:t xml:space="preserve">For these rules, </w:t>
      </w:r>
      <w:r w:rsidRPr="00995753">
        <w:rPr>
          <w:b/>
          <w:i/>
          <w:iCs/>
        </w:rPr>
        <w:t>required product data</w:t>
      </w:r>
      <w:r w:rsidRPr="00995753">
        <w:t>, in relation to the energy sector, means CDR data for which there are no CDR consumers that:</w:t>
      </w:r>
    </w:p>
    <w:p w14:paraId="28637895" w14:textId="77777777" w:rsidR="002E6587" w:rsidRPr="00995753" w:rsidRDefault="002E6587" w:rsidP="00411DE2">
      <w:pPr>
        <w:pStyle w:val="paragraph"/>
      </w:pPr>
      <w:r w:rsidRPr="00995753">
        <w:tab/>
        <w:t>(a)</w:t>
      </w:r>
      <w:r w:rsidRPr="00995753">
        <w:tab/>
        <w:t>is within a class of information specified in section 9 or section 10 of the energy sector designation instrument; and</w:t>
      </w:r>
    </w:p>
    <w:p w14:paraId="0B15B245" w14:textId="77777777" w:rsidR="002E6587" w:rsidRPr="00995753" w:rsidRDefault="002E6587" w:rsidP="00411DE2">
      <w:pPr>
        <w:pStyle w:val="paragraph"/>
      </w:pPr>
      <w:r w:rsidRPr="00995753">
        <w:tab/>
        <w:t>(b)</w:t>
      </w:r>
      <w:r w:rsidRPr="00995753">
        <w:tab/>
        <w:t>is about the eligibility criteria, terms and conditions, price, availability or performance of a plan; and</w:t>
      </w:r>
    </w:p>
    <w:p w14:paraId="5A64A5C8" w14:textId="77777777" w:rsidR="002E6587" w:rsidRPr="00995753" w:rsidRDefault="002E6587" w:rsidP="00411DE2">
      <w:pPr>
        <w:pStyle w:val="paragraph"/>
      </w:pPr>
      <w:r w:rsidRPr="00995753">
        <w:tab/>
        <w:t>(c)</w:t>
      </w:r>
      <w:r w:rsidRPr="00995753">
        <w:tab/>
        <w:t>is product specific data in relation to a plan; and</w:t>
      </w:r>
    </w:p>
    <w:p w14:paraId="6238C3A5" w14:textId="77777777" w:rsidR="002E6587" w:rsidRPr="00995753" w:rsidRDefault="002E6587" w:rsidP="00411DE2">
      <w:pPr>
        <w:pStyle w:val="paragraph"/>
      </w:pPr>
      <w:r w:rsidRPr="00995753">
        <w:tab/>
        <w:t xml:space="preserve">  (d)</w:t>
      </w:r>
      <w:r w:rsidRPr="00995753">
        <w:tab/>
        <w:t>is held by the AER or the Victorian agency for the purpose of operating websites that provide such information to the public.</w:t>
      </w:r>
    </w:p>
    <w:p w14:paraId="36B6708D" w14:textId="77777777" w:rsidR="002E6587" w:rsidRPr="00995753" w:rsidRDefault="002E6587" w:rsidP="00411DE2">
      <w:pPr>
        <w:pStyle w:val="notetext"/>
      </w:pPr>
      <w:r w:rsidRPr="00995753">
        <w:t>Note 1:</w:t>
      </w:r>
      <w:r w:rsidRPr="00995753">
        <w:tab/>
        <w:t>In 2021, the relevant websites were:</w:t>
      </w:r>
    </w:p>
    <w:p w14:paraId="1008A260" w14:textId="77777777" w:rsidR="002E6587" w:rsidRPr="00995753" w:rsidRDefault="002E6587" w:rsidP="00411DE2">
      <w:pPr>
        <w:pStyle w:val="notepara"/>
        <w:numPr>
          <w:ilvl w:val="0"/>
          <w:numId w:val="7"/>
        </w:numPr>
        <w:rPr>
          <w:rFonts w:eastAsia="Calibri"/>
        </w:rPr>
      </w:pPr>
      <w:r w:rsidRPr="00995753">
        <w:rPr>
          <w:rFonts w:eastAsia="Calibri"/>
        </w:rPr>
        <w:t xml:space="preserve">https://www.energymadeeasy.gov.au/; and </w:t>
      </w:r>
    </w:p>
    <w:p w14:paraId="3649E57D" w14:textId="77777777" w:rsidR="002E6587" w:rsidRPr="00995753" w:rsidRDefault="002E6587" w:rsidP="00411DE2">
      <w:pPr>
        <w:pStyle w:val="notepara"/>
        <w:numPr>
          <w:ilvl w:val="0"/>
          <w:numId w:val="7"/>
        </w:numPr>
      </w:pPr>
      <w:r w:rsidRPr="00995753">
        <w:rPr>
          <w:rFonts w:eastAsia="Calibri"/>
        </w:rPr>
        <w:t>https://compare.energy.vic.gov.au/</w:t>
      </w:r>
    </w:p>
    <w:p w14:paraId="4BF5B11E" w14:textId="77777777" w:rsidR="002E6587" w:rsidRPr="00995753" w:rsidRDefault="002E6587" w:rsidP="00411DE2">
      <w:pPr>
        <w:pStyle w:val="notetext"/>
      </w:pPr>
      <w:r w:rsidRPr="00995753">
        <w:t>Note 2:</w:t>
      </w:r>
      <w:r w:rsidRPr="00995753">
        <w:tab/>
        <w:t xml:space="preserve">This data derives from retailers, who are required by the National Energy Retail Law and the </w:t>
      </w:r>
      <w:r w:rsidRPr="00995753">
        <w:rPr>
          <w:i/>
          <w:iCs/>
        </w:rPr>
        <w:t>Electricity Industry Act 2000 </w:t>
      </w:r>
      <w:r w:rsidRPr="00995753">
        <w:t>(Vic)  to provide it to the AER or the Victorian agency.  Those agencies therefore become data holders for it.</w:t>
      </w:r>
    </w:p>
    <w:p w14:paraId="2B98BB65" w14:textId="77777777" w:rsidR="002E6587" w:rsidRPr="00995753" w:rsidRDefault="002E6587" w:rsidP="00411DE2">
      <w:pPr>
        <w:pStyle w:val="notetext"/>
      </w:pPr>
      <w:r w:rsidRPr="00995753">
        <w:t>Note 3:</w:t>
      </w:r>
      <w:r w:rsidRPr="00995753">
        <w:tab/>
        <w:t>This clause does not include all CDR data covered by Section 9 of the energy sector designation instrument, as that section also covers CDR data for which there are CDR consumers (see paragraphs 9(2)(b) and 9(3)(b)).</w:t>
      </w:r>
    </w:p>
    <w:p w14:paraId="1D59CFF6" w14:textId="77777777" w:rsidR="002E6587" w:rsidRPr="00995753" w:rsidRDefault="002E6587" w:rsidP="00411DE2">
      <w:pPr>
        <w:pStyle w:val="subsection"/>
      </w:pPr>
      <w:r w:rsidRPr="00995753">
        <w:lastRenderedPageBreak/>
        <w:tab/>
        <w:t>(2)</w:t>
      </w:r>
      <w:r w:rsidRPr="00995753">
        <w:tab/>
        <w:t xml:space="preserve">For these rules, </w:t>
      </w:r>
      <w:r w:rsidRPr="00995753">
        <w:rPr>
          <w:b/>
          <w:i/>
        </w:rPr>
        <w:t>voluntary product data</w:t>
      </w:r>
      <w:r w:rsidRPr="00995753">
        <w:t>, in relation to a data holder in the energy  sector, means CDR data for which there are no CDR consumers that:</w:t>
      </w:r>
    </w:p>
    <w:p w14:paraId="198BC1AC" w14:textId="77777777" w:rsidR="002E6587" w:rsidRPr="00995753" w:rsidRDefault="002E6587" w:rsidP="00411DE2">
      <w:pPr>
        <w:pStyle w:val="paragraph"/>
      </w:pPr>
      <w:r w:rsidRPr="00995753">
        <w:tab/>
        <w:t>(a)</w:t>
      </w:r>
      <w:r w:rsidRPr="00995753">
        <w:tab/>
        <w:t>is energy sector data; and</w:t>
      </w:r>
    </w:p>
    <w:p w14:paraId="2191AAE5" w14:textId="77777777" w:rsidR="002E6587" w:rsidRPr="00995753" w:rsidRDefault="002E6587" w:rsidP="00411DE2">
      <w:pPr>
        <w:pStyle w:val="paragraph"/>
      </w:pPr>
      <w:r w:rsidRPr="00995753">
        <w:tab/>
        <w:t>(b)</w:t>
      </w:r>
      <w:r w:rsidRPr="00995753">
        <w:tab/>
        <w:t>is product specific data in relation to a plan offered by or on behalf of the data holder; and</w:t>
      </w:r>
    </w:p>
    <w:p w14:paraId="6C55CAA3" w14:textId="77777777" w:rsidR="002E6587" w:rsidRPr="00995753" w:rsidRDefault="002E6587" w:rsidP="00411DE2">
      <w:pPr>
        <w:pStyle w:val="paragraph"/>
      </w:pPr>
      <w:r w:rsidRPr="00995753">
        <w:tab/>
        <w:t>(c)</w:t>
      </w:r>
      <w:r w:rsidRPr="00995753">
        <w:tab/>
        <w:t>is not required product data.</w:t>
      </w:r>
    </w:p>
    <w:p w14:paraId="324BB8F1" w14:textId="77777777" w:rsidR="002E6587" w:rsidRPr="00995753" w:rsidRDefault="002E6587" w:rsidP="00411DE2">
      <w:pPr>
        <w:pStyle w:val="ActHead5"/>
      </w:pPr>
      <w:bookmarkStart w:id="84" w:name="_Toc86237395"/>
      <w:r w:rsidRPr="00995753">
        <w:t xml:space="preserve">3.2  Meaning of </w:t>
      </w:r>
      <w:r w:rsidRPr="00995753">
        <w:rPr>
          <w:i/>
        </w:rPr>
        <w:t>required consumer data</w:t>
      </w:r>
      <w:r w:rsidRPr="00995753">
        <w:t xml:space="preserve"> and </w:t>
      </w:r>
      <w:r w:rsidRPr="00995753">
        <w:rPr>
          <w:i/>
        </w:rPr>
        <w:t>voluntary consumer data</w:t>
      </w:r>
      <w:r w:rsidRPr="00995753">
        <w:t>—energy sector</w:t>
      </w:r>
      <w:bookmarkEnd w:id="84"/>
    </w:p>
    <w:p w14:paraId="1E02B46B" w14:textId="77777777" w:rsidR="002E6587" w:rsidRPr="00995753" w:rsidRDefault="002E6587" w:rsidP="00411DE2">
      <w:pPr>
        <w:pStyle w:val="subsection"/>
      </w:pPr>
      <w:r w:rsidRPr="00995753">
        <w:tab/>
        <w:t>(1)</w:t>
      </w:r>
      <w:r w:rsidRPr="00995753">
        <w:tab/>
        <w:t>For this clause:</w:t>
      </w:r>
    </w:p>
    <w:p w14:paraId="68D02F8E" w14:textId="77777777" w:rsidR="002E6587" w:rsidRPr="00995753" w:rsidRDefault="002E6587" w:rsidP="00411DE2">
      <w:pPr>
        <w:pStyle w:val="Definition"/>
      </w:pPr>
      <w:r w:rsidRPr="00995753">
        <w:rPr>
          <w:b/>
          <w:i/>
        </w:rPr>
        <w:t>relevant account</w:t>
      </w:r>
      <w:r w:rsidRPr="00995753">
        <w:t>, in relation to a CDR consumer, means an account for which the CDR consumer is an account holder or secondary user and is:</w:t>
      </w:r>
    </w:p>
    <w:p w14:paraId="15BD4DC1" w14:textId="77777777" w:rsidR="002E6587" w:rsidRPr="00995753" w:rsidRDefault="002E6587" w:rsidP="00411DE2">
      <w:pPr>
        <w:pStyle w:val="paragraph"/>
      </w:pPr>
      <w:r w:rsidRPr="00995753">
        <w:tab/>
        <w:t>(a)</w:t>
      </w:r>
      <w:r w:rsidRPr="00995753">
        <w:tab/>
        <w:t>an account held by the CDR consumer in their name alone; or</w:t>
      </w:r>
    </w:p>
    <w:p w14:paraId="1A5C9F8F" w14:textId="77777777" w:rsidR="002E6587" w:rsidRPr="00995753" w:rsidRDefault="002E6587" w:rsidP="00411DE2">
      <w:pPr>
        <w:pStyle w:val="paragraph"/>
      </w:pPr>
      <w:r w:rsidRPr="00995753">
        <w:tab/>
        <w:t>(b)</w:t>
      </w:r>
      <w:r w:rsidRPr="00995753">
        <w:tab/>
        <w:t>a joint account; or</w:t>
      </w:r>
    </w:p>
    <w:p w14:paraId="6E61FE7F" w14:textId="77777777" w:rsidR="002E6587" w:rsidRPr="00995753" w:rsidRDefault="002E6587" w:rsidP="00411DE2">
      <w:pPr>
        <w:pStyle w:val="paragraph"/>
      </w:pPr>
      <w:r w:rsidRPr="00995753">
        <w:tab/>
        <w:t>(c)</w:t>
      </w:r>
      <w:r w:rsidRPr="00995753">
        <w:tab/>
        <w:t>a partnership account.</w:t>
      </w:r>
    </w:p>
    <w:p w14:paraId="406D4E44" w14:textId="77777777" w:rsidR="002E6587" w:rsidRPr="00995753" w:rsidRDefault="002E6587" w:rsidP="00411DE2">
      <w:pPr>
        <w:pStyle w:val="subsection"/>
      </w:pPr>
      <w:r w:rsidRPr="00995753">
        <w:tab/>
        <w:t>(2)</w:t>
      </w:r>
      <w:r w:rsidRPr="00995753">
        <w:tab/>
        <w:t xml:space="preserve">For these rules, subject to this clause, </w:t>
      </w:r>
      <w:r w:rsidRPr="00995753">
        <w:rPr>
          <w:b/>
          <w:i/>
          <w:iCs/>
        </w:rPr>
        <w:t>required consumer dat</w:t>
      </w:r>
      <w:r w:rsidRPr="00995753">
        <w:rPr>
          <w:b/>
        </w:rPr>
        <w:t>a</w:t>
      </w:r>
      <w:r w:rsidRPr="00995753">
        <w:t>,</w:t>
      </w:r>
      <w:r w:rsidRPr="00995753">
        <w:rPr>
          <w:b/>
        </w:rPr>
        <w:t xml:space="preserve"> </w:t>
      </w:r>
      <w:r w:rsidRPr="00995753">
        <w:t>in relation to the energy sector, means CDR data for which there is at least one CDR consumer that:</w:t>
      </w:r>
    </w:p>
    <w:p w14:paraId="3C60518F" w14:textId="77777777" w:rsidR="002E6587" w:rsidRPr="00995753" w:rsidRDefault="002E6587" w:rsidP="00411DE2">
      <w:pPr>
        <w:pStyle w:val="paragraph"/>
      </w:pPr>
      <w:r w:rsidRPr="00995753">
        <w:tab/>
        <w:t>(a)</w:t>
      </w:r>
      <w:r w:rsidRPr="00995753">
        <w:tab/>
        <w:t>is energy sector data; and</w:t>
      </w:r>
    </w:p>
    <w:p w14:paraId="5625A008" w14:textId="77777777" w:rsidR="002E6587" w:rsidRPr="00995753" w:rsidRDefault="002E6587" w:rsidP="00411DE2">
      <w:pPr>
        <w:pStyle w:val="paragraph"/>
      </w:pPr>
      <w:r w:rsidRPr="00995753">
        <w:tab/>
        <w:t>(b)</w:t>
      </w:r>
      <w:r w:rsidRPr="00995753">
        <w:tab/>
        <w:t>is, in relation to the CDR consumer:</w:t>
      </w:r>
    </w:p>
    <w:p w14:paraId="7C793EE0" w14:textId="77777777" w:rsidR="002E6587" w:rsidRPr="00995753" w:rsidRDefault="002E6587" w:rsidP="00411DE2">
      <w:pPr>
        <w:pStyle w:val="paragraphsub"/>
      </w:pPr>
      <w:r w:rsidRPr="00995753">
        <w:tab/>
        <w:t>(i)</w:t>
      </w:r>
      <w:r w:rsidRPr="00995753">
        <w:tab/>
        <w:t>customer data that is held in relation to a relevant account; or</w:t>
      </w:r>
    </w:p>
    <w:p w14:paraId="526E0DC3" w14:textId="77777777" w:rsidR="002E6587" w:rsidRPr="00995753" w:rsidRDefault="002E6587" w:rsidP="00411DE2">
      <w:pPr>
        <w:pStyle w:val="paragraphsub"/>
      </w:pPr>
      <w:r w:rsidRPr="00995753">
        <w:tab/>
        <w:t>(ii)</w:t>
      </w:r>
      <w:r w:rsidRPr="00995753">
        <w:tab/>
        <w:t>account data for a relevant account that is open; or</w:t>
      </w:r>
    </w:p>
    <w:p w14:paraId="6312CB61" w14:textId="77777777" w:rsidR="002E6587" w:rsidRPr="00995753" w:rsidRDefault="002E6587" w:rsidP="00411DE2">
      <w:pPr>
        <w:pStyle w:val="paragraphsub"/>
        <w:rPr>
          <w:rFonts w:eastAsia="Calibri"/>
        </w:rPr>
      </w:pPr>
      <w:r w:rsidRPr="00995753">
        <w:rPr>
          <w:rFonts w:eastAsia="Calibri"/>
        </w:rPr>
        <w:tab/>
        <w:t>(iii)</w:t>
      </w:r>
      <w:r w:rsidRPr="00995753">
        <w:rPr>
          <w:rFonts w:eastAsia="Calibri"/>
        </w:rPr>
        <w:tab/>
        <w:t>billing data from a relevant account for a time:</w:t>
      </w:r>
    </w:p>
    <w:p w14:paraId="63112466" w14:textId="77777777" w:rsidR="002E6587" w:rsidRPr="00995753" w:rsidRDefault="002E6587" w:rsidP="00411DE2">
      <w:pPr>
        <w:pStyle w:val="paragraphsub-sub"/>
        <w:rPr>
          <w:rFonts w:eastAsia="Calibri"/>
        </w:rPr>
      </w:pPr>
      <w:r w:rsidRPr="00995753">
        <w:rPr>
          <w:rFonts w:eastAsia="Calibri"/>
        </w:rPr>
        <w:tab/>
        <w:t>(A)</w:t>
      </w:r>
      <w:r w:rsidRPr="00995753">
        <w:rPr>
          <w:rFonts w:eastAsia="Calibri"/>
        </w:rPr>
        <w:tab/>
        <w:t>at which that or another relevant account was open; and</w:t>
      </w:r>
    </w:p>
    <w:p w14:paraId="23AE46EE" w14:textId="77777777" w:rsidR="002E6587" w:rsidRPr="00995753" w:rsidRDefault="002E6587" w:rsidP="00411DE2">
      <w:pPr>
        <w:pStyle w:val="paragraphsub-sub"/>
        <w:rPr>
          <w:rFonts w:eastAsia="Calibri"/>
        </w:rPr>
      </w:pPr>
      <w:r w:rsidRPr="00995753">
        <w:rPr>
          <w:rFonts w:eastAsia="Calibri"/>
        </w:rPr>
        <w:tab/>
        <w:t>(B)</w:t>
      </w:r>
      <w:r w:rsidRPr="00995753">
        <w:rPr>
          <w:rFonts w:eastAsia="Calibri"/>
        </w:rPr>
        <w:tab/>
        <w:t>that is not more than 2 years before the day of the request; or</w:t>
      </w:r>
    </w:p>
    <w:p w14:paraId="6FE3E52F" w14:textId="77777777" w:rsidR="002E6587" w:rsidRPr="00995753" w:rsidRDefault="002E6587" w:rsidP="00411DE2">
      <w:pPr>
        <w:pStyle w:val="paragraphsub"/>
        <w:rPr>
          <w:rFonts w:eastAsia="Calibri"/>
        </w:rPr>
      </w:pPr>
      <w:r w:rsidRPr="00995753">
        <w:rPr>
          <w:rFonts w:eastAsia="Calibri"/>
        </w:rPr>
        <w:tab/>
        <w:t>(iv)</w:t>
      </w:r>
      <w:r w:rsidRPr="00995753">
        <w:rPr>
          <w:rFonts w:eastAsia="Calibri"/>
        </w:rPr>
        <w:tab/>
        <w:t xml:space="preserve">AEMO data in relation to a relevant account; or </w:t>
      </w:r>
    </w:p>
    <w:p w14:paraId="14DC3C48" w14:textId="77777777" w:rsidR="002E6587" w:rsidRPr="00995753" w:rsidRDefault="002E6587" w:rsidP="00411DE2">
      <w:pPr>
        <w:pStyle w:val="paragraphsub"/>
        <w:rPr>
          <w:rFonts w:eastAsia="Calibri"/>
        </w:rPr>
      </w:pPr>
      <w:r w:rsidRPr="00995753">
        <w:rPr>
          <w:rFonts w:eastAsia="Calibri"/>
        </w:rPr>
        <w:tab/>
        <w:t>(v)</w:t>
      </w:r>
      <w:r w:rsidRPr="00995753">
        <w:rPr>
          <w:rFonts w:eastAsia="Calibri"/>
        </w:rPr>
        <w:tab/>
        <w:t>tailored tariff data for a relevant account that is open; and</w:t>
      </w:r>
    </w:p>
    <w:p w14:paraId="6001418A" w14:textId="77777777" w:rsidR="002E6587" w:rsidRPr="00995753" w:rsidRDefault="002E6587" w:rsidP="00411DE2">
      <w:pPr>
        <w:pStyle w:val="paragraph"/>
        <w:rPr>
          <w:rFonts w:eastAsia="Calibri"/>
        </w:rPr>
      </w:pPr>
      <w:r w:rsidRPr="00995753">
        <w:rPr>
          <w:rFonts w:eastAsia="Calibri"/>
        </w:rPr>
        <w:tab/>
        <w:t>(c)</w:t>
      </w:r>
      <w:r w:rsidRPr="00995753">
        <w:rPr>
          <w:rFonts w:eastAsia="Calibri"/>
        </w:rPr>
        <w:tab/>
        <w:t>relates to a time at which an account holder for the relevant account was associated with the premises to which the request relates; and</w:t>
      </w:r>
    </w:p>
    <w:p w14:paraId="2B3C2B7E" w14:textId="77777777" w:rsidR="002E6587" w:rsidRPr="00995753" w:rsidRDefault="002E6587" w:rsidP="00411DE2">
      <w:pPr>
        <w:pStyle w:val="paragraph"/>
      </w:pPr>
      <w:r w:rsidRPr="00995753">
        <w:tab/>
        <w:t>(d)</w:t>
      </w:r>
      <w:r w:rsidRPr="00995753">
        <w:tab/>
        <w:t>is held by the data holder or holders in a digital form.</w:t>
      </w:r>
    </w:p>
    <w:p w14:paraId="3E5D4AE1" w14:textId="77777777" w:rsidR="002E6587" w:rsidRPr="00995753" w:rsidRDefault="002E6587" w:rsidP="00411DE2">
      <w:pPr>
        <w:pStyle w:val="notetext"/>
      </w:pPr>
      <w:r w:rsidRPr="00995753">
        <w:t>Note 1:</w:t>
      </w:r>
      <w:r w:rsidRPr="00995753">
        <w:tab/>
        <w:t>For subparagraph (b)(v), for a consumer data request, tailored tariff data could include the following:</w:t>
      </w:r>
    </w:p>
    <w:p w14:paraId="1C0E65DE" w14:textId="77777777" w:rsidR="002E6587" w:rsidRPr="00995753" w:rsidRDefault="002E6587" w:rsidP="00411DE2">
      <w:pPr>
        <w:pStyle w:val="notepara"/>
      </w:pPr>
      <w:r w:rsidRPr="00995753">
        <w:sym w:font="Symbol" w:char="F0B7"/>
      </w:r>
      <w:r w:rsidRPr="00995753">
        <w:tab/>
        <w:t>any rates or charges under the plan that were negotiated individually with a CDR consumer;</w:t>
      </w:r>
    </w:p>
    <w:p w14:paraId="6F66BE1A" w14:textId="77777777" w:rsidR="002E6587" w:rsidRPr="00995753" w:rsidRDefault="002E6587" w:rsidP="00411DE2">
      <w:pPr>
        <w:pStyle w:val="notepara"/>
      </w:pPr>
      <w:r w:rsidRPr="00995753">
        <w:sym w:font="Symbol" w:char="F0B7"/>
      </w:r>
      <w:r w:rsidRPr="00995753">
        <w:tab/>
        <w:t>any features and benefits negotiated individually with a CDR consumer.</w:t>
      </w:r>
    </w:p>
    <w:p w14:paraId="5397DE16" w14:textId="77777777" w:rsidR="002E6587" w:rsidRPr="00995753" w:rsidRDefault="002E6587" w:rsidP="00411DE2">
      <w:pPr>
        <w:pStyle w:val="notetext"/>
      </w:pPr>
      <w:r w:rsidRPr="00995753">
        <w:t>Note 2:</w:t>
      </w:r>
      <w:r w:rsidRPr="00995753">
        <w:tab/>
        <w:t>So long as the CDR consumer is eligible to make a consumer data request in relation to a particular data holder, they will be able to make or cause to be made a consumer data request that relates to any account they have with the data holder, including closed accounts (subject to subclauses (4) and (5)).</w:t>
      </w:r>
    </w:p>
    <w:p w14:paraId="042FC88A" w14:textId="77777777" w:rsidR="002E6587" w:rsidRPr="00995753" w:rsidRDefault="002E6587" w:rsidP="00411DE2">
      <w:pPr>
        <w:pStyle w:val="notetext"/>
      </w:pPr>
      <w:r w:rsidRPr="00995753">
        <w:t>Note 3:</w:t>
      </w:r>
      <w:r w:rsidRPr="00995753">
        <w:tab/>
        <w:t>A person is not a data holder of CDR data that was held by or on behalf of them before the earliest holding day (see paragraph 56AJ(1)(b) of the Act). Accordingly, such data cannot be requested under these rules.</w:t>
      </w:r>
    </w:p>
    <w:p w14:paraId="382D01BE" w14:textId="77777777" w:rsidR="002E6587" w:rsidRPr="00995753" w:rsidRDefault="002E6587" w:rsidP="00411DE2">
      <w:pPr>
        <w:pStyle w:val="subsection"/>
      </w:pPr>
      <w:r w:rsidRPr="00995753">
        <w:tab/>
        <w:t>(3)</w:t>
      </w:r>
      <w:r w:rsidRPr="00995753">
        <w:tab/>
        <w:t xml:space="preserve">For these rules, subject to this clause, </w:t>
      </w:r>
      <w:r w:rsidRPr="00995753">
        <w:rPr>
          <w:b/>
          <w:i/>
          <w:iCs/>
        </w:rPr>
        <w:t>voluntary consumer dat</w:t>
      </w:r>
      <w:r w:rsidRPr="00995753">
        <w:rPr>
          <w:b/>
        </w:rPr>
        <w:t>a</w:t>
      </w:r>
      <w:r w:rsidRPr="00995753">
        <w:t>,</w:t>
      </w:r>
      <w:r w:rsidRPr="00995753">
        <w:rPr>
          <w:b/>
        </w:rPr>
        <w:t xml:space="preserve"> </w:t>
      </w:r>
      <w:r w:rsidRPr="00995753">
        <w:t>in relation to the energy sector, means CDR data for which there are one or more CDR consumers that:</w:t>
      </w:r>
    </w:p>
    <w:p w14:paraId="31A8A4ED" w14:textId="77777777" w:rsidR="002E6587" w:rsidRPr="00995753" w:rsidRDefault="002E6587" w:rsidP="00411DE2">
      <w:pPr>
        <w:pStyle w:val="paragraph"/>
      </w:pPr>
      <w:r w:rsidRPr="00995753">
        <w:lastRenderedPageBreak/>
        <w:tab/>
        <w:t>(a)</w:t>
      </w:r>
      <w:r w:rsidRPr="00995753">
        <w:tab/>
        <w:t>is energy sector data; and</w:t>
      </w:r>
    </w:p>
    <w:p w14:paraId="2DCBD5D7" w14:textId="77777777" w:rsidR="002E6587" w:rsidRPr="00995753" w:rsidRDefault="002E6587" w:rsidP="00411DE2">
      <w:pPr>
        <w:pStyle w:val="paragraph"/>
        <w:rPr>
          <w:rFonts w:eastAsia="Calibri"/>
        </w:rPr>
      </w:pPr>
      <w:r w:rsidRPr="00995753">
        <w:tab/>
        <w:t>(b)</w:t>
      </w:r>
      <w:r w:rsidRPr="00995753">
        <w:tab/>
      </w:r>
      <w:r w:rsidRPr="00995753">
        <w:rPr>
          <w:rFonts w:eastAsia="Calibri"/>
        </w:rPr>
        <w:t>relates to a time at which an account holder for the account was associated with the premises to which the request relates; and</w:t>
      </w:r>
    </w:p>
    <w:p w14:paraId="7FD7665A" w14:textId="77777777" w:rsidR="002E6587" w:rsidRPr="00995753" w:rsidRDefault="002E6587" w:rsidP="00411DE2">
      <w:pPr>
        <w:pStyle w:val="paragraph"/>
      </w:pPr>
      <w:r w:rsidRPr="00995753">
        <w:tab/>
        <w:t>(c)</w:t>
      </w:r>
      <w:r w:rsidRPr="00995753">
        <w:tab/>
        <w:t>is not required consumer data.</w:t>
      </w:r>
    </w:p>
    <w:p w14:paraId="057E9551" w14:textId="77777777" w:rsidR="002E6587" w:rsidRPr="00995753" w:rsidRDefault="002E6587" w:rsidP="00411DE2">
      <w:pPr>
        <w:pStyle w:val="subsection"/>
      </w:pPr>
      <w:r w:rsidRPr="00995753">
        <w:tab/>
        <w:t>(4)</w:t>
      </w:r>
      <w:r w:rsidRPr="00995753">
        <w:tab/>
        <w:t>For this clause:</w:t>
      </w:r>
    </w:p>
    <w:p w14:paraId="6432F966" w14:textId="77777777" w:rsidR="002E6587" w:rsidRPr="00995753" w:rsidRDefault="002E6587" w:rsidP="00411DE2">
      <w:pPr>
        <w:pStyle w:val="paragraph"/>
      </w:pPr>
      <w:r w:rsidRPr="00995753">
        <w:tab/>
        <w:t>(a)</w:t>
      </w:r>
      <w:r w:rsidRPr="00995753">
        <w:tab/>
        <w:t xml:space="preserve">CDR data is neither </w:t>
      </w:r>
      <w:r w:rsidRPr="00995753">
        <w:rPr>
          <w:b/>
          <w:i/>
        </w:rPr>
        <w:t xml:space="preserve">required consumer data </w:t>
      </w:r>
      <w:r w:rsidRPr="00995753">
        <w:t xml:space="preserve">nor </w:t>
      </w:r>
      <w:r w:rsidRPr="00995753">
        <w:rPr>
          <w:b/>
          <w:i/>
        </w:rPr>
        <w:t>voluntary consumer data</w:t>
      </w:r>
      <w:r w:rsidRPr="00995753">
        <w:t xml:space="preserve"> at a particular time if the data is:</w:t>
      </w:r>
    </w:p>
    <w:p w14:paraId="1296A802" w14:textId="77777777" w:rsidR="002E6587" w:rsidRPr="00995753" w:rsidRDefault="002E6587" w:rsidP="00411DE2">
      <w:pPr>
        <w:pStyle w:val="paragraphsub"/>
      </w:pPr>
      <w:r w:rsidRPr="00995753">
        <w:tab/>
        <w:t>(i)</w:t>
      </w:r>
      <w:r w:rsidRPr="00995753">
        <w:tab/>
        <w:t>account data, billing data or tailored tariff data in relation to an account that is not any of the following:</w:t>
      </w:r>
    </w:p>
    <w:p w14:paraId="38B8020F" w14:textId="77777777" w:rsidR="002E6587" w:rsidRPr="00995753" w:rsidRDefault="002E6587" w:rsidP="00411DE2">
      <w:pPr>
        <w:pStyle w:val="paragraphsub-sub"/>
      </w:pPr>
      <w:r w:rsidRPr="00995753">
        <w:tab/>
        <w:t>(A)</w:t>
      </w:r>
      <w:r w:rsidRPr="00995753">
        <w:tab/>
        <w:t>an account held in the name of a single person;</w:t>
      </w:r>
    </w:p>
    <w:p w14:paraId="0633CF2C" w14:textId="77777777" w:rsidR="002E6587" w:rsidRPr="00995753" w:rsidRDefault="002E6587" w:rsidP="00411DE2">
      <w:pPr>
        <w:pStyle w:val="paragraphsub-sub"/>
      </w:pPr>
      <w:r w:rsidRPr="00995753">
        <w:tab/>
        <w:t>(B)</w:t>
      </w:r>
      <w:r w:rsidRPr="00995753">
        <w:tab/>
        <w:t>a joint account;</w:t>
      </w:r>
    </w:p>
    <w:p w14:paraId="0C9F76AC" w14:textId="77777777" w:rsidR="002E6587" w:rsidRPr="00995753" w:rsidRDefault="002E6587" w:rsidP="00411DE2">
      <w:pPr>
        <w:pStyle w:val="paragraphsub-sub"/>
      </w:pPr>
      <w:r w:rsidRPr="00995753">
        <w:tab/>
        <w:t>(C)</w:t>
      </w:r>
      <w:r w:rsidRPr="00995753">
        <w:tab/>
        <w:t>a partnership account; or</w:t>
      </w:r>
    </w:p>
    <w:p w14:paraId="5C9853FD" w14:textId="77777777" w:rsidR="002E6587" w:rsidRPr="00995753" w:rsidRDefault="002E6587" w:rsidP="00411DE2">
      <w:pPr>
        <w:pStyle w:val="paragraphsub"/>
      </w:pPr>
      <w:r w:rsidRPr="00995753">
        <w:tab/>
        <w:t>(ii)</w:t>
      </w:r>
      <w:r w:rsidRPr="00995753">
        <w:tab/>
        <w:t>account data, billing data or tailored tariff data in relation to a joint account or partnership account for which any of the individuals who are</w:t>
      </w:r>
      <w:r w:rsidRPr="00995753">
        <w:rPr>
          <w:u w:val="words"/>
        </w:rPr>
        <w:t xml:space="preserve"> </w:t>
      </w:r>
      <w:r w:rsidRPr="00995753">
        <w:t>account holders is less than 18 years of age at that time; or</w:t>
      </w:r>
    </w:p>
    <w:p w14:paraId="5ADAF0E4" w14:textId="77777777" w:rsidR="002E6587" w:rsidRPr="00995753" w:rsidRDefault="002E6587" w:rsidP="00411DE2">
      <w:pPr>
        <w:pStyle w:val="paragraphsub"/>
      </w:pPr>
      <w:r w:rsidRPr="00995753">
        <w:tab/>
        <w:t>(iii)</w:t>
      </w:r>
      <w:r w:rsidRPr="00995753">
        <w:tab/>
        <w:t>AEMO data in relation to any such account; and</w:t>
      </w:r>
    </w:p>
    <w:p w14:paraId="1C584ED2" w14:textId="77777777" w:rsidR="002E6587" w:rsidRPr="00995753" w:rsidRDefault="002E6587" w:rsidP="00411DE2">
      <w:pPr>
        <w:pStyle w:val="paragraph"/>
      </w:pPr>
      <w:r w:rsidRPr="00995753">
        <w:tab/>
        <w:t>(b)</w:t>
      </w:r>
      <w:r w:rsidRPr="00995753">
        <w:tab/>
        <w:t xml:space="preserve">CDR data is neither </w:t>
      </w:r>
      <w:r w:rsidRPr="00995753">
        <w:rPr>
          <w:b/>
          <w:i/>
        </w:rPr>
        <w:t>required consumer data</w:t>
      </w:r>
      <w:r w:rsidRPr="00995753">
        <w:t xml:space="preserve"> nor </w:t>
      </w:r>
      <w:r w:rsidRPr="00995753">
        <w:rPr>
          <w:b/>
          <w:i/>
        </w:rPr>
        <w:t>voluntary consumer data</w:t>
      </w:r>
      <w:r w:rsidRPr="00995753">
        <w:t xml:space="preserve"> in relation to a consumer data request made by or on behalf of a particular person if the data is:</w:t>
      </w:r>
    </w:p>
    <w:p w14:paraId="02D488AA" w14:textId="77777777" w:rsidR="002E6587" w:rsidRPr="00995753" w:rsidRDefault="002E6587" w:rsidP="00411DE2">
      <w:pPr>
        <w:pStyle w:val="paragraphsub"/>
      </w:pPr>
      <w:r w:rsidRPr="00995753">
        <w:tab/>
        <w:t>(i)</w:t>
      </w:r>
      <w:r w:rsidRPr="00995753">
        <w:tab/>
        <w:t>customer data in relation to any account holder or secondary user other than that person; or</w:t>
      </w:r>
    </w:p>
    <w:p w14:paraId="2E8B81FA" w14:textId="77777777" w:rsidR="002E6587" w:rsidRPr="00995753" w:rsidRDefault="002E6587" w:rsidP="00411DE2">
      <w:pPr>
        <w:pStyle w:val="paragraphsub"/>
      </w:pPr>
      <w:r w:rsidRPr="00995753">
        <w:tab/>
        <w:t>(ii)</w:t>
      </w:r>
      <w:r w:rsidRPr="00995753">
        <w:tab/>
        <w:t>AEMO data in relation to premises other than premises covered by the relevant arrangement at the time to which the data relates.</w:t>
      </w:r>
    </w:p>
    <w:p w14:paraId="390631B5" w14:textId="77777777" w:rsidR="002E6587" w:rsidRPr="00995753" w:rsidRDefault="002E6587" w:rsidP="00411DE2">
      <w:pPr>
        <w:pStyle w:val="subsection"/>
      </w:pPr>
      <w:r w:rsidRPr="00995753">
        <w:tab/>
        <w:t>(5)</w:t>
      </w:r>
      <w:r w:rsidRPr="00995753">
        <w:tab/>
        <w:t xml:space="preserve">For this clause, energy sector data is neither </w:t>
      </w:r>
      <w:r w:rsidRPr="00995753">
        <w:rPr>
          <w:b/>
          <w:i/>
        </w:rPr>
        <w:t xml:space="preserve">required consumer data </w:t>
      </w:r>
      <w:r w:rsidRPr="00995753">
        <w:t xml:space="preserve">nor </w:t>
      </w:r>
      <w:r w:rsidRPr="00995753">
        <w:rPr>
          <w:b/>
          <w:i/>
        </w:rPr>
        <w:t>voluntary consumer data</w:t>
      </w:r>
      <w:r w:rsidRPr="00995753">
        <w:t xml:space="preserve"> in relation to a data holder that is not a retailer or AEMO.</w:t>
      </w:r>
    </w:p>
    <w:p w14:paraId="3DADCE16" w14:textId="77777777" w:rsidR="002E6587" w:rsidRPr="00995753" w:rsidRDefault="002E6587" w:rsidP="00411DE2">
      <w:pPr>
        <w:pStyle w:val="notetext"/>
      </w:pPr>
      <w:r w:rsidRPr="00995753">
        <w:t>Note:</w:t>
      </w:r>
      <w:r w:rsidRPr="00995753">
        <w:tab/>
        <w:t>The effect of this provision is that an accredited person who becomes a data holder in relation to energy sector CDR data by the operation of subsection 56AJ(3) of the Act is not required to respond to a consumer data request for the data.</w:t>
      </w:r>
    </w:p>
    <w:p w14:paraId="4FC7F9F5" w14:textId="77777777" w:rsidR="002E6587" w:rsidRPr="00995753" w:rsidRDefault="002E6587" w:rsidP="00411DE2">
      <w:pPr>
        <w:pStyle w:val="SubsectionHead"/>
      </w:pPr>
      <w:r w:rsidRPr="00995753">
        <w:t xml:space="preserve">Exception to </w:t>
      </w:r>
      <w:r w:rsidRPr="00995753">
        <w:rPr>
          <w:b/>
        </w:rPr>
        <w:t>required consumer data</w:t>
      </w:r>
      <w:r w:rsidRPr="00995753">
        <w:t>―open accounts</w:t>
      </w:r>
    </w:p>
    <w:p w14:paraId="45CD0F49" w14:textId="77777777" w:rsidR="002E6587" w:rsidRPr="00995753" w:rsidRDefault="002E6587" w:rsidP="00411DE2">
      <w:pPr>
        <w:pStyle w:val="subsection"/>
      </w:pPr>
      <w:r w:rsidRPr="00995753">
        <w:tab/>
        <w:t>(6)</w:t>
      </w:r>
      <w:r w:rsidRPr="00995753">
        <w:tab/>
        <w:t xml:space="preserve">Despite subclause (2), for an account that is open at a particular time, CDR data that relates to a transaction or event that occurred more than 2 years before that time is not </w:t>
      </w:r>
      <w:r w:rsidRPr="00995753">
        <w:rPr>
          <w:b/>
          <w:i/>
        </w:rPr>
        <w:t>required consumer data</w:t>
      </w:r>
      <w:r w:rsidRPr="00995753">
        <w:t>.</w:t>
      </w:r>
    </w:p>
    <w:p w14:paraId="66D030D8" w14:textId="77777777" w:rsidR="002E6587" w:rsidRPr="00995753" w:rsidRDefault="002E6587" w:rsidP="00411DE2">
      <w:pPr>
        <w:pStyle w:val="notetext"/>
      </w:pPr>
      <w:r w:rsidRPr="00995753">
        <w:t>Note:</w:t>
      </w:r>
      <w:r w:rsidRPr="00995753">
        <w:tab/>
        <w:t xml:space="preserve">As a result, such CDR data would be </w:t>
      </w:r>
      <w:r w:rsidRPr="00995753">
        <w:rPr>
          <w:b/>
          <w:i/>
        </w:rPr>
        <w:t>voluntary consumer data</w:t>
      </w:r>
      <w:r w:rsidRPr="00995753">
        <w:t>.</w:t>
      </w:r>
    </w:p>
    <w:p w14:paraId="5BEEB9B1" w14:textId="77777777" w:rsidR="002E6587" w:rsidRPr="00995753" w:rsidRDefault="002E6587" w:rsidP="00411DE2">
      <w:pPr>
        <w:pStyle w:val="SubsectionHead"/>
      </w:pPr>
      <w:r w:rsidRPr="00995753">
        <w:t xml:space="preserve">Exception to </w:t>
      </w:r>
      <w:r w:rsidRPr="00995753">
        <w:rPr>
          <w:b/>
        </w:rPr>
        <w:t>required consumer data</w:t>
      </w:r>
      <w:r w:rsidRPr="00995753">
        <w:t>―closed accounts</w:t>
      </w:r>
    </w:p>
    <w:p w14:paraId="7056925D" w14:textId="77777777" w:rsidR="002E6587" w:rsidRPr="00995753" w:rsidRDefault="002E6587" w:rsidP="00411DE2">
      <w:pPr>
        <w:pStyle w:val="subsection"/>
      </w:pPr>
      <w:r w:rsidRPr="00995753">
        <w:tab/>
        <w:t>(7)</w:t>
      </w:r>
      <w:r w:rsidRPr="00995753">
        <w:tab/>
        <w:t xml:space="preserve">Despite subclause (2), for an account that is closed at a particular time, each of the following is not </w:t>
      </w:r>
      <w:r w:rsidRPr="00995753">
        <w:rPr>
          <w:b/>
          <w:i/>
        </w:rPr>
        <w:t>required consumer data</w:t>
      </w:r>
      <w:r w:rsidRPr="00995753">
        <w:t>:</w:t>
      </w:r>
    </w:p>
    <w:p w14:paraId="4439FC89" w14:textId="77777777" w:rsidR="002E6587" w:rsidRPr="00995753" w:rsidRDefault="002E6587" w:rsidP="00411DE2">
      <w:pPr>
        <w:pStyle w:val="paragraph"/>
      </w:pPr>
      <w:r w:rsidRPr="00995753">
        <w:tab/>
        <w:t>(a)</w:t>
      </w:r>
      <w:r w:rsidRPr="00995753">
        <w:tab/>
        <w:t>CDR data held by AEMO, other than metering data;</w:t>
      </w:r>
    </w:p>
    <w:p w14:paraId="7F99EC42" w14:textId="77777777" w:rsidR="002E6587" w:rsidRPr="00995753" w:rsidRDefault="002E6587" w:rsidP="00411DE2">
      <w:pPr>
        <w:pStyle w:val="paragraph"/>
      </w:pPr>
      <w:r w:rsidRPr="00995753">
        <w:tab/>
        <w:t>(b)</w:t>
      </w:r>
      <w:r w:rsidRPr="00995753">
        <w:tab/>
        <w:t>CDR data held by a retailer, other than billing data; and</w:t>
      </w:r>
    </w:p>
    <w:p w14:paraId="4F098DAC" w14:textId="77777777" w:rsidR="002E6587" w:rsidRPr="00995753" w:rsidRDefault="002E6587" w:rsidP="00411DE2">
      <w:pPr>
        <w:pStyle w:val="paragraph"/>
      </w:pPr>
      <w:r w:rsidRPr="00995753">
        <w:tab/>
        <w:t>(c)</w:t>
      </w:r>
      <w:r w:rsidRPr="00995753">
        <w:tab/>
        <w:t xml:space="preserve">CDR data that is not excluded by paragraph (a) or (b), but relates to a transaction or event that occurred more than 2 years before that time. </w:t>
      </w:r>
    </w:p>
    <w:p w14:paraId="3C8CD654" w14:textId="77777777" w:rsidR="002E6587" w:rsidRPr="00995753" w:rsidRDefault="002E6587" w:rsidP="00411DE2">
      <w:pPr>
        <w:pStyle w:val="ActHead2"/>
      </w:pPr>
      <w:bookmarkStart w:id="85" w:name="_Toc86237396"/>
      <w:r w:rsidRPr="00995753">
        <w:lastRenderedPageBreak/>
        <w:t>Part 4—Roles of AEMO and the energy sector agencies</w:t>
      </w:r>
      <w:bookmarkEnd w:id="85"/>
      <w:r w:rsidRPr="00995753">
        <w:t xml:space="preserve"> </w:t>
      </w:r>
    </w:p>
    <w:p w14:paraId="02071C00" w14:textId="77777777" w:rsidR="002E6587" w:rsidRPr="00995753" w:rsidRDefault="002E6587" w:rsidP="00411DE2">
      <w:pPr>
        <w:pStyle w:val="ActHead5"/>
      </w:pPr>
      <w:bookmarkStart w:id="86" w:name="_Toc86237397"/>
      <w:r w:rsidRPr="00995753">
        <w:t>4.1  AER and the Victorian agency may act on each other’s behalf</w:t>
      </w:r>
      <w:bookmarkEnd w:id="86"/>
    </w:p>
    <w:p w14:paraId="65C9EA6A" w14:textId="77777777" w:rsidR="002E6587" w:rsidRPr="00995753" w:rsidRDefault="002E6587" w:rsidP="00411DE2">
      <w:pPr>
        <w:pStyle w:val="subsection"/>
      </w:pPr>
      <w:r w:rsidRPr="00995753">
        <w:tab/>
        <w:t>(1)</w:t>
      </w:r>
      <w:r w:rsidRPr="00995753">
        <w:tab/>
        <w:t>Where these rules require or permit one of the energy sector agencies to do any thing in relation to receiving or responding to product data requests (including the provision of a product data request service), the other agency may, at the first agency’s request, do the thing on behalf of the first agency.</w:t>
      </w:r>
    </w:p>
    <w:p w14:paraId="0E32CA1E" w14:textId="77777777" w:rsidR="002E6587" w:rsidRPr="00995753" w:rsidRDefault="002E6587" w:rsidP="00411DE2">
      <w:pPr>
        <w:pStyle w:val="subsection"/>
      </w:pPr>
      <w:r w:rsidRPr="00995753">
        <w:tab/>
        <w:t>(2)</w:t>
      </w:r>
      <w:r w:rsidRPr="00995753">
        <w:tab/>
        <w:t xml:space="preserve">For this clause, the </w:t>
      </w:r>
      <w:r w:rsidRPr="00995753">
        <w:rPr>
          <w:b/>
          <w:i/>
        </w:rPr>
        <w:t>energy sector agencies</w:t>
      </w:r>
      <w:r w:rsidRPr="00995753">
        <w:t xml:space="preserve"> are the AER and the Victorian agency.</w:t>
      </w:r>
    </w:p>
    <w:p w14:paraId="4D8090B4" w14:textId="77777777" w:rsidR="002E6587" w:rsidRPr="00995753" w:rsidRDefault="002E6587" w:rsidP="00411DE2">
      <w:pPr>
        <w:pStyle w:val="ActHead5"/>
      </w:pPr>
      <w:bookmarkStart w:id="87" w:name="_Toc86237398"/>
      <w:r w:rsidRPr="00995753">
        <w:t>4.2  Product data request service</w:t>
      </w:r>
      <w:bookmarkEnd w:id="87"/>
    </w:p>
    <w:p w14:paraId="583C1EE2" w14:textId="77777777" w:rsidR="002E6587" w:rsidRPr="00995753" w:rsidRDefault="002E6587" w:rsidP="00411DE2">
      <w:pPr>
        <w:pStyle w:val="subsection"/>
      </w:pPr>
      <w:r w:rsidRPr="00995753">
        <w:tab/>
        <w:t>(1)</w:t>
      </w:r>
      <w:r w:rsidRPr="00995753">
        <w:tab/>
        <w:t>Despite rule 1.12, a data holder of energy sector data, other than the AER and the Victorian agency, is not required to provide a product data request service.</w:t>
      </w:r>
    </w:p>
    <w:p w14:paraId="1579A79C" w14:textId="77777777" w:rsidR="002E6587" w:rsidRPr="00995753" w:rsidRDefault="002E6587" w:rsidP="00411DE2">
      <w:pPr>
        <w:pStyle w:val="subsection"/>
      </w:pPr>
      <w:r w:rsidRPr="00995753">
        <w:tab/>
        <w:t>(2)</w:t>
      </w:r>
      <w:r w:rsidRPr="00995753">
        <w:tab/>
        <w:t>However, if such a data holder chooses to provide an online service that can be used to make product data requests, the service must comply with rule 1.12.</w:t>
      </w:r>
    </w:p>
    <w:p w14:paraId="771FC789" w14:textId="77777777" w:rsidR="002E6587" w:rsidRPr="00995753" w:rsidRDefault="002E6587" w:rsidP="00411DE2">
      <w:pPr>
        <w:pStyle w:val="ActHead5"/>
      </w:pPr>
      <w:bookmarkStart w:id="88" w:name="_Toc86237399"/>
      <w:r w:rsidRPr="00995753">
        <w:t xml:space="preserve">4.3  Meaning of </w:t>
      </w:r>
      <w:r w:rsidRPr="00995753">
        <w:rPr>
          <w:i/>
        </w:rPr>
        <w:t>SR data</w:t>
      </w:r>
      <w:r w:rsidRPr="00995753">
        <w:t xml:space="preserve"> and </w:t>
      </w:r>
      <w:r w:rsidRPr="00995753">
        <w:rPr>
          <w:i/>
        </w:rPr>
        <w:t>primary data holder</w:t>
      </w:r>
      <w:r w:rsidRPr="00995753">
        <w:t>—energy sector</w:t>
      </w:r>
      <w:bookmarkEnd w:id="88"/>
    </w:p>
    <w:p w14:paraId="1936D7FF" w14:textId="77777777" w:rsidR="002E6587" w:rsidRPr="00995753" w:rsidRDefault="002E6587" w:rsidP="00411DE2">
      <w:pPr>
        <w:pStyle w:val="subsection"/>
      </w:pPr>
      <w:r w:rsidRPr="00995753">
        <w:tab/>
      </w:r>
      <w:r w:rsidRPr="00995753">
        <w:tab/>
        <w:t>For these rules:</w:t>
      </w:r>
    </w:p>
    <w:p w14:paraId="6809039D" w14:textId="77777777" w:rsidR="002E6587" w:rsidRPr="00995753" w:rsidRDefault="002E6587" w:rsidP="00411DE2">
      <w:pPr>
        <w:pStyle w:val="paragraph"/>
      </w:pPr>
      <w:r w:rsidRPr="00995753">
        <w:tab/>
        <w:t>(a)</w:t>
      </w:r>
      <w:r w:rsidRPr="00995753">
        <w:tab/>
      </w:r>
      <w:r w:rsidRPr="00995753">
        <w:rPr>
          <w:b/>
          <w:i/>
          <w:iCs/>
        </w:rPr>
        <w:t>SR data</w:t>
      </w:r>
      <w:r w:rsidRPr="00995753">
        <w:t>, in relation to the energy sector, means AEMO data in relation to a CDR consumer; and</w:t>
      </w:r>
    </w:p>
    <w:p w14:paraId="3CDC7DCB" w14:textId="77777777" w:rsidR="002E6587" w:rsidRPr="00995753" w:rsidRDefault="002E6587" w:rsidP="00411DE2">
      <w:pPr>
        <w:pStyle w:val="paragraph"/>
      </w:pPr>
      <w:r w:rsidRPr="00995753">
        <w:tab/>
        <w:t>(b)</w:t>
      </w:r>
      <w:r w:rsidRPr="00995753">
        <w:tab/>
        <w:t xml:space="preserve">the </w:t>
      </w:r>
      <w:r w:rsidRPr="00995753">
        <w:rPr>
          <w:b/>
          <w:i/>
        </w:rPr>
        <w:t>primary data holder</w:t>
      </w:r>
      <w:r w:rsidRPr="00995753">
        <w:t xml:space="preserve"> for the SR data is the relevant retailer.</w:t>
      </w:r>
    </w:p>
    <w:p w14:paraId="71D2B3D4" w14:textId="77777777" w:rsidR="002E6587" w:rsidRPr="00995753" w:rsidRDefault="002E6587" w:rsidP="00411DE2">
      <w:pPr>
        <w:pStyle w:val="notetext"/>
      </w:pPr>
      <w:r w:rsidRPr="00995753">
        <w:t>Note:</w:t>
      </w:r>
      <w:r w:rsidRPr="00995753">
        <w:tab/>
        <w:t xml:space="preserve">Paragraph (a) also makes AEMO the </w:t>
      </w:r>
      <w:r w:rsidRPr="00995753">
        <w:rPr>
          <w:b/>
          <w:i/>
        </w:rPr>
        <w:t>secondary data holder</w:t>
      </w:r>
      <w:r w:rsidRPr="00995753">
        <w:t xml:space="preserve"> for the SR data.</w:t>
      </w:r>
    </w:p>
    <w:p w14:paraId="3B49B91D" w14:textId="77777777" w:rsidR="002E6587" w:rsidRPr="00995753" w:rsidRDefault="002E6587" w:rsidP="00411DE2">
      <w:pPr>
        <w:pStyle w:val="ActHead5"/>
      </w:pPr>
      <w:bookmarkStart w:id="89" w:name="_Toc86237400"/>
      <w:r w:rsidRPr="00995753">
        <w:t>4.4  SR data must be obtained from AEMO</w:t>
      </w:r>
      <w:bookmarkEnd w:id="89"/>
    </w:p>
    <w:p w14:paraId="164F52FF" w14:textId="77777777" w:rsidR="002E6587" w:rsidRPr="00995753" w:rsidRDefault="002E6587" w:rsidP="00411DE2">
      <w:pPr>
        <w:pStyle w:val="subsection"/>
      </w:pPr>
      <w:r w:rsidRPr="00995753">
        <w:tab/>
      </w:r>
      <w:r w:rsidRPr="00995753">
        <w:tab/>
        <w:t xml:space="preserve">On receiving an SR data request under Part 3 or Part 4 of these rules, a retailer must request from AEMO, using the service mentioned in subrule 1.20(2), any SR data to be used in responding to the request  </w:t>
      </w:r>
    </w:p>
    <w:p w14:paraId="7C2FC2B8" w14:textId="77777777" w:rsidR="002E6587" w:rsidRPr="00995753" w:rsidRDefault="002E6587" w:rsidP="00411DE2">
      <w:pPr>
        <w:pStyle w:val="notetext"/>
      </w:pPr>
      <w:r w:rsidRPr="00995753">
        <w:t>Note:</w:t>
      </w:r>
      <w:r w:rsidRPr="00995753">
        <w:tab/>
        <w:t>AEMO is the secondary data holder for the SR data.  This provision requires a retailer that happens to be the direct holder of any AEMO data that is subject to a consumer data request to ignore its data holding in responding to the request, and obtain the data from AEMO for that purpose.</w:t>
      </w:r>
    </w:p>
    <w:p w14:paraId="4F4E14FD" w14:textId="77777777" w:rsidR="002E6587" w:rsidRPr="00995753" w:rsidRDefault="002E6587" w:rsidP="00411DE2">
      <w:pPr>
        <w:pStyle w:val="ActHead5"/>
      </w:pPr>
      <w:bookmarkStart w:id="90" w:name="_Toc86237401"/>
      <w:r w:rsidRPr="00995753">
        <w:t>4.5  Civil penalties do not apply</w:t>
      </w:r>
      <w:bookmarkEnd w:id="90"/>
    </w:p>
    <w:p w14:paraId="01880967" w14:textId="77777777" w:rsidR="002E6587" w:rsidRPr="00995753" w:rsidRDefault="002E6587" w:rsidP="00411DE2">
      <w:pPr>
        <w:pStyle w:val="subsection"/>
      </w:pPr>
      <w:r w:rsidRPr="00995753">
        <w:tab/>
      </w:r>
      <w:r w:rsidRPr="00995753">
        <w:tab/>
        <w:t>A civil penalty imposed by these rules for a breach of a provision of these rules, including one imposed by rule 9.8 by declaring the relevant provision to be a civil penalty provision, does not apply in relation to AEMO, the AER or the Victorian agency in relation to energy sector data.</w:t>
      </w:r>
    </w:p>
    <w:p w14:paraId="5ADD5F93" w14:textId="77777777" w:rsidR="002E6587" w:rsidRPr="00995753" w:rsidRDefault="002E6587" w:rsidP="00411DE2">
      <w:pPr>
        <w:pStyle w:val="ActHead2"/>
      </w:pPr>
      <w:bookmarkStart w:id="91" w:name="_Toc86237402"/>
      <w:r w:rsidRPr="00995753">
        <w:t>Part 5—Dispute resolution―energy sector</w:t>
      </w:r>
      <w:bookmarkEnd w:id="91"/>
    </w:p>
    <w:p w14:paraId="79A87C37" w14:textId="77777777" w:rsidR="002E6587" w:rsidRPr="00995753" w:rsidRDefault="002E6587" w:rsidP="00411DE2">
      <w:pPr>
        <w:pStyle w:val="notemargin"/>
        <w:rPr>
          <w:i/>
          <w:iCs/>
        </w:rPr>
      </w:pPr>
      <w:r w:rsidRPr="00995753">
        <w:t>Note:</w:t>
      </w:r>
      <w:r w:rsidRPr="00995753">
        <w:rPr>
          <w:i/>
          <w:iCs/>
        </w:rPr>
        <w:tab/>
      </w:r>
      <w:r w:rsidRPr="00995753">
        <w:t>See the definition of “meets the internal dispute resolution requirements” in subrule 1.7(1), paragraph 5.12(b) of these rules, and rule 6.1.</w:t>
      </w:r>
    </w:p>
    <w:p w14:paraId="4FB25246" w14:textId="77777777" w:rsidR="002E6587" w:rsidRPr="00995753" w:rsidRDefault="002E6587" w:rsidP="00411DE2">
      <w:pPr>
        <w:pStyle w:val="ActHead5"/>
      </w:pPr>
      <w:bookmarkStart w:id="92" w:name="_Toc86237403"/>
      <w:r w:rsidRPr="00995753">
        <w:lastRenderedPageBreak/>
        <w:t>5.1  Meeting internal dispute resolution requirements—energy sector</w:t>
      </w:r>
      <w:bookmarkEnd w:id="92"/>
    </w:p>
    <w:p w14:paraId="070B30DC" w14:textId="77777777" w:rsidR="002E6587" w:rsidRPr="00995753" w:rsidRDefault="002E6587" w:rsidP="00411DE2">
      <w:pPr>
        <w:pStyle w:val="SubsectionHead"/>
      </w:pPr>
      <w:r w:rsidRPr="00995753">
        <w:t>Accredited persons</w:t>
      </w:r>
    </w:p>
    <w:p w14:paraId="535E0AD6" w14:textId="77777777" w:rsidR="002E6587" w:rsidRPr="00995753" w:rsidRDefault="002E6587" w:rsidP="00411DE2">
      <w:pPr>
        <w:pStyle w:val="subsection"/>
      </w:pPr>
      <w:r w:rsidRPr="00995753">
        <w:tab/>
        <w:t>(1)</w:t>
      </w:r>
      <w:r w:rsidRPr="00995753">
        <w:tab/>
        <w:t xml:space="preserve">For the energy sector, an accredited person, other than an accredited person that is also a retailer, </w:t>
      </w:r>
      <w:r w:rsidRPr="00995753">
        <w:rPr>
          <w:b/>
          <w:i/>
          <w:iCs/>
        </w:rPr>
        <w:t>meets the internal dispute resolution requirements</w:t>
      </w:r>
      <w:r w:rsidRPr="00995753">
        <w:t xml:space="preserve"> if its internal dispute resolution processes comply with provisions of Regulatory Guide 271 that deal with the following:</w:t>
      </w:r>
    </w:p>
    <w:p w14:paraId="59D2A64E" w14:textId="77777777" w:rsidR="002E6587" w:rsidRPr="00995753" w:rsidRDefault="002E6587" w:rsidP="00411DE2">
      <w:pPr>
        <w:pStyle w:val="paragraph"/>
      </w:pPr>
      <w:r w:rsidRPr="00995753">
        <w:tab/>
        <w:t>(a)</w:t>
      </w:r>
      <w:r w:rsidRPr="00995753">
        <w:tab/>
        <w:t>standards that its internal dispute resolution procedures or processes must meet regarding the following:</w:t>
      </w:r>
    </w:p>
    <w:p w14:paraId="0142F421" w14:textId="77777777" w:rsidR="002E6587" w:rsidRPr="00995753" w:rsidRDefault="002E6587" w:rsidP="00411DE2">
      <w:pPr>
        <w:pStyle w:val="paragraphsub"/>
      </w:pPr>
      <w:r w:rsidRPr="00995753">
        <w:tab/>
        <w:t>(i)</w:t>
      </w:r>
      <w:r w:rsidRPr="00995753">
        <w:tab/>
        <w:t xml:space="preserve">commitment and culture; </w:t>
      </w:r>
    </w:p>
    <w:p w14:paraId="009C37C9" w14:textId="77777777" w:rsidR="002E6587" w:rsidRPr="00995753" w:rsidRDefault="002E6587" w:rsidP="00411DE2">
      <w:pPr>
        <w:pStyle w:val="paragraphsub"/>
      </w:pPr>
      <w:r w:rsidRPr="00995753">
        <w:tab/>
        <w:t>(ii)</w:t>
      </w:r>
      <w:r w:rsidRPr="00995753">
        <w:tab/>
        <w:t>the enabling of complaints;</w:t>
      </w:r>
    </w:p>
    <w:p w14:paraId="0414CA6E" w14:textId="77777777" w:rsidR="002E6587" w:rsidRPr="00995753" w:rsidRDefault="002E6587" w:rsidP="00411DE2">
      <w:pPr>
        <w:pStyle w:val="paragraphsub"/>
      </w:pPr>
      <w:r w:rsidRPr="00995753">
        <w:tab/>
        <w:t>(iii)</w:t>
      </w:r>
      <w:r w:rsidRPr="00995753">
        <w:tab/>
        <w:t>resourcing;</w:t>
      </w:r>
    </w:p>
    <w:p w14:paraId="2CA6839D" w14:textId="77777777" w:rsidR="002E6587" w:rsidRPr="00995753" w:rsidRDefault="002E6587" w:rsidP="00411DE2">
      <w:pPr>
        <w:pStyle w:val="paragraphsub"/>
      </w:pPr>
      <w:r w:rsidRPr="00995753">
        <w:tab/>
        <w:t>(iv)</w:t>
      </w:r>
      <w:r w:rsidRPr="00995753">
        <w:tab/>
        <w:t>responsiveness;</w:t>
      </w:r>
    </w:p>
    <w:p w14:paraId="0B13D83B" w14:textId="77777777" w:rsidR="002E6587" w:rsidRPr="00995753" w:rsidRDefault="002E6587" w:rsidP="00411DE2">
      <w:pPr>
        <w:pStyle w:val="paragraphsub"/>
      </w:pPr>
      <w:r w:rsidRPr="00995753">
        <w:tab/>
        <w:t>(v)</w:t>
      </w:r>
      <w:r w:rsidRPr="00995753">
        <w:tab/>
        <w:t>objectivity and fairness;</w:t>
      </w:r>
    </w:p>
    <w:p w14:paraId="135B00AA" w14:textId="77777777" w:rsidR="002E6587" w:rsidRPr="00995753" w:rsidRDefault="002E6587" w:rsidP="00411DE2">
      <w:pPr>
        <w:pStyle w:val="paragraphsub"/>
      </w:pPr>
      <w:r w:rsidRPr="00995753">
        <w:tab/>
        <w:t>(vi)</w:t>
      </w:r>
      <w:r w:rsidRPr="00995753">
        <w:tab/>
        <w:t>policy and procedures;</w:t>
      </w:r>
    </w:p>
    <w:p w14:paraId="25353A33" w14:textId="77777777" w:rsidR="002E6587" w:rsidRPr="00995753" w:rsidRDefault="002E6587" w:rsidP="00411DE2">
      <w:pPr>
        <w:pStyle w:val="paragraphsub"/>
      </w:pPr>
      <w:r w:rsidRPr="00995753">
        <w:tab/>
        <w:t>(vii)</w:t>
      </w:r>
      <w:r w:rsidRPr="00995753">
        <w:tab/>
        <w:t>data collection, analysis and internal reporting;</w:t>
      </w:r>
    </w:p>
    <w:p w14:paraId="06067219" w14:textId="77777777" w:rsidR="002E6587" w:rsidRPr="00995753" w:rsidRDefault="002E6587" w:rsidP="00411DE2">
      <w:pPr>
        <w:pStyle w:val="paragraphsub"/>
      </w:pPr>
      <w:r w:rsidRPr="00995753">
        <w:tab/>
        <w:t>(viii)</w:t>
      </w:r>
      <w:r w:rsidRPr="00995753">
        <w:tab/>
        <w:t>continuous improvement;</w:t>
      </w:r>
    </w:p>
    <w:p w14:paraId="4053EC11" w14:textId="77777777" w:rsidR="002E6587" w:rsidRPr="00995753" w:rsidRDefault="002E6587" w:rsidP="00411DE2">
      <w:pPr>
        <w:pStyle w:val="paragraph"/>
      </w:pPr>
      <w:r w:rsidRPr="00995753">
        <w:tab/>
        <w:t>(b)</w:t>
      </w:r>
      <w:r w:rsidRPr="00995753">
        <w:tab/>
        <w:t>outsourcing internal dispute resolution processes;</w:t>
      </w:r>
    </w:p>
    <w:p w14:paraId="6E9430D9" w14:textId="77777777" w:rsidR="002E6587" w:rsidRPr="00995753" w:rsidRDefault="002E6587" w:rsidP="00411DE2">
      <w:pPr>
        <w:pStyle w:val="paragraph"/>
        <w:rPr>
          <w:sz w:val="20"/>
        </w:rPr>
      </w:pPr>
      <w:r w:rsidRPr="00995753">
        <w:tab/>
        <w:t>(c)</w:t>
      </w:r>
      <w:r w:rsidRPr="00995753">
        <w:tab/>
        <w:t>acknowledgement of complaint;</w:t>
      </w:r>
    </w:p>
    <w:p w14:paraId="4622EB85" w14:textId="77777777" w:rsidR="002E6587" w:rsidRPr="00995753" w:rsidRDefault="002E6587" w:rsidP="00411DE2">
      <w:pPr>
        <w:pStyle w:val="paragraph"/>
      </w:pPr>
      <w:r w:rsidRPr="00995753">
        <w:tab/>
        <w:t>(d)</w:t>
      </w:r>
      <w:r w:rsidRPr="00995753">
        <w:tab/>
        <w:t>what an internal dispute resolution response must contain;</w:t>
      </w:r>
    </w:p>
    <w:p w14:paraId="44B21C5E" w14:textId="77777777" w:rsidR="002E6587" w:rsidRPr="00995753" w:rsidRDefault="002E6587" w:rsidP="00411DE2">
      <w:pPr>
        <w:pStyle w:val="paragraph"/>
      </w:pPr>
      <w:r w:rsidRPr="00995753">
        <w:tab/>
        <w:t>(e)</w:t>
      </w:r>
      <w:r w:rsidRPr="00995753">
        <w:tab/>
        <w:t>maximum timeframes for an internal dispute resolution response;</w:t>
      </w:r>
    </w:p>
    <w:p w14:paraId="7FF70DD3" w14:textId="77777777" w:rsidR="002E6587" w:rsidRPr="00995753" w:rsidRDefault="002E6587" w:rsidP="00411DE2">
      <w:pPr>
        <w:pStyle w:val="paragraph"/>
      </w:pPr>
      <w:r w:rsidRPr="00995753">
        <w:tab/>
        <w:t>(f)</w:t>
      </w:r>
      <w:r w:rsidRPr="00995753">
        <w:tab/>
        <w:t>internal dispute resolution response requirements for multi-tier internal dispute resolution processes;</w:t>
      </w:r>
    </w:p>
    <w:p w14:paraId="43DA4306" w14:textId="77777777" w:rsidR="002E6587" w:rsidRPr="00995753" w:rsidRDefault="002E6587" w:rsidP="00411DE2">
      <w:pPr>
        <w:pStyle w:val="paragraph"/>
      </w:pPr>
      <w:r w:rsidRPr="00995753">
        <w:tab/>
        <w:t>(g)</w:t>
      </w:r>
      <w:r w:rsidRPr="00995753">
        <w:tab/>
        <w:t>the role of customer advocates;</w:t>
      </w:r>
    </w:p>
    <w:p w14:paraId="274A2243" w14:textId="77777777" w:rsidR="002E6587" w:rsidRPr="00995753" w:rsidRDefault="002E6587" w:rsidP="00411DE2">
      <w:pPr>
        <w:pStyle w:val="paragraph"/>
      </w:pPr>
      <w:r w:rsidRPr="00995753">
        <w:tab/>
        <w:t>(h)</w:t>
      </w:r>
      <w:r w:rsidRPr="00995753">
        <w:tab/>
        <w:t>establishing links between internal dispute resolution processes and external dispute resolution;</w:t>
      </w:r>
    </w:p>
    <w:p w14:paraId="62111916" w14:textId="77777777" w:rsidR="002E6587" w:rsidRPr="00995753" w:rsidRDefault="002E6587" w:rsidP="00411DE2">
      <w:pPr>
        <w:pStyle w:val="paragraph"/>
      </w:pPr>
      <w:r w:rsidRPr="00995753">
        <w:tab/>
        <w:t>(i)</w:t>
      </w:r>
      <w:r w:rsidRPr="00995753">
        <w:tab/>
        <w:t>systemic issues.</w:t>
      </w:r>
    </w:p>
    <w:p w14:paraId="44FC5C66" w14:textId="77777777" w:rsidR="002E6587" w:rsidRPr="00995753" w:rsidRDefault="002E6587" w:rsidP="00411DE2">
      <w:pPr>
        <w:pStyle w:val="SubsectionHead"/>
      </w:pPr>
      <w:r w:rsidRPr="00995753">
        <w:t>Data holders</w:t>
      </w:r>
    </w:p>
    <w:p w14:paraId="2071951D" w14:textId="77777777" w:rsidR="002E6587" w:rsidRPr="00995753" w:rsidRDefault="002E6587" w:rsidP="00411DE2">
      <w:pPr>
        <w:pStyle w:val="subsection"/>
      </w:pPr>
      <w:r w:rsidRPr="00995753">
        <w:tab/>
        <w:t>(2)</w:t>
      </w:r>
      <w:r w:rsidRPr="00995753">
        <w:tab/>
        <w:t xml:space="preserve">For the energy sector, a retailer (including a retailer that is also an accredited person) </w:t>
      </w:r>
      <w:r w:rsidRPr="00995753">
        <w:rPr>
          <w:b/>
          <w:i/>
          <w:iCs/>
        </w:rPr>
        <w:t>meets the internal dispute resolution requirements</w:t>
      </w:r>
      <w:r w:rsidRPr="00995753">
        <w:t xml:space="preserve"> if its internal dispute resolution processes satisfy the applicable requirements for the retailer’s standard complaints and dispute resolution procedures under the National Energy Retail Law or the Energy Retail Code (Victoria).</w:t>
      </w:r>
    </w:p>
    <w:p w14:paraId="40724E21" w14:textId="77777777" w:rsidR="002E6587" w:rsidRPr="00995753" w:rsidRDefault="002E6587" w:rsidP="00411DE2">
      <w:pPr>
        <w:pStyle w:val="subsection"/>
      </w:pPr>
      <w:r w:rsidRPr="00995753">
        <w:tab/>
        <w:t>(3)</w:t>
      </w:r>
      <w:r w:rsidRPr="00995753">
        <w:tab/>
        <w:t>Part 6 does not apply in relation to the AER, the Victorian agency or AEMO, in their capacity as data holders in the energy sector.</w:t>
      </w:r>
    </w:p>
    <w:p w14:paraId="7C2C2499" w14:textId="77777777" w:rsidR="002E6587" w:rsidRPr="00995753" w:rsidRDefault="002E6587" w:rsidP="00411DE2">
      <w:pPr>
        <w:pStyle w:val="SubsectionHead"/>
      </w:pPr>
      <w:r w:rsidRPr="00995753">
        <w:t>Definition</w:t>
      </w:r>
    </w:p>
    <w:p w14:paraId="4484EEE7" w14:textId="77777777" w:rsidR="002E6587" w:rsidRPr="00995753" w:rsidRDefault="002E6587" w:rsidP="00411DE2">
      <w:pPr>
        <w:pStyle w:val="subsection"/>
      </w:pPr>
      <w:r w:rsidRPr="00995753">
        <w:tab/>
        <w:t>(4)</w:t>
      </w:r>
      <w:r w:rsidRPr="00995753">
        <w:tab/>
        <w:t>In this clause:</w:t>
      </w:r>
    </w:p>
    <w:p w14:paraId="3ACDEE5B" w14:textId="77777777" w:rsidR="002E6587" w:rsidRPr="00995753" w:rsidRDefault="002E6587" w:rsidP="00411DE2">
      <w:pPr>
        <w:pStyle w:val="Definition"/>
      </w:pPr>
      <w:r w:rsidRPr="00995753">
        <w:rPr>
          <w:b/>
          <w:i/>
        </w:rPr>
        <w:t>Regulatory Guide 271</w:t>
      </w:r>
      <w:r w:rsidRPr="00995753">
        <w:rPr>
          <w:rFonts w:eastAsia="Calibri"/>
          <w:b/>
        </w:rPr>
        <w:t xml:space="preserve"> </w:t>
      </w:r>
      <w:r w:rsidRPr="00995753">
        <w:rPr>
          <w:rFonts w:eastAsia="Calibri"/>
        </w:rPr>
        <w:t xml:space="preserve">means </w:t>
      </w:r>
      <w:r w:rsidRPr="00995753">
        <w:t>Regulatory Guide 271</w:t>
      </w:r>
      <w:r w:rsidRPr="00995753">
        <w:rPr>
          <w:rFonts w:eastAsia="Calibri"/>
        </w:rPr>
        <w:t xml:space="preserve"> published by the Australian Securities &amp; Investments Commission, as in force from time to time and applied as if</w:t>
      </w:r>
      <w:r w:rsidRPr="00995753">
        <w:t>:</w:t>
      </w:r>
    </w:p>
    <w:p w14:paraId="093DFC1E" w14:textId="77777777" w:rsidR="002E6587" w:rsidRPr="00995753" w:rsidRDefault="002E6587" w:rsidP="00411DE2">
      <w:pPr>
        <w:pStyle w:val="paragraph"/>
      </w:pPr>
      <w:r w:rsidRPr="00995753">
        <w:tab/>
        <w:t>(a)</w:t>
      </w:r>
      <w:r w:rsidRPr="00995753">
        <w:tab/>
        <w:t>references to complaints were references to CDR consumer complaints; and</w:t>
      </w:r>
    </w:p>
    <w:p w14:paraId="29FDC352" w14:textId="77777777" w:rsidR="002E6587" w:rsidRPr="00995753" w:rsidRDefault="002E6587" w:rsidP="00411DE2">
      <w:pPr>
        <w:pStyle w:val="paragraph"/>
      </w:pPr>
      <w:r w:rsidRPr="00995753">
        <w:lastRenderedPageBreak/>
        <w:tab/>
        <w:t>(b)</w:t>
      </w:r>
      <w:r w:rsidRPr="00995753">
        <w:tab/>
        <w:t>references to financial firms and financial service providers were references to CDR participants.</w:t>
      </w:r>
    </w:p>
    <w:p w14:paraId="073AF204" w14:textId="77777777" w:rsidR="002E6587" w:rsidRPr="00995753" w:rsidRDefault="002E6587" w:rsidP="00411DE2">
      <w:pPr>
        <w:pStyle w:val="notetext"/>
        <w:rPr>
          <w:rFonts w:eastAsia="Calibri"/>
        </w:rPr>
      </w:pPr>
      <w:r w:rsidRPr="00995753">
        <w:rPr>
          <w:rFonts w:eastAsia="Calibri"/>
        </w:rPr>
        <w:t>Note:</w:t>
      </w:r>
      <w:r w:rsidRPr="00995753">
        <w:rPr>
          <w:rFonts w:eastAsia="Calibri"/>
        </w:rPr>
        <w:tab/>
      </w:r>
      <w:r w:rsidRPr="00995753">
        <w:t>Regulatory Guide 271</w:t>
      </w:r>
      <w:r w:rsidRPr="00995753">
        <w:rPr>
          <w:rFonts w:eastAsia="Calibri"/>
        </w:rPr>
        <w:t xml:space="preserve"> could in 2021 be accessed from the Australian Securities &amp; Investments Commission’s website (https://asic.gov.au).</w:t>
      </w:r>
    </w:p>
    <w:p w14:paraId="7B633307" w14:textId="77777777" w:rsidR="002E6587" w:rsidRPr="00995753" w:rsidRDefault="002E6587" w:rsidP="00411DE2">
      <w:pPr>
        <w:pStyle w:val="ActHead5"/>
      </w:pPr>
      <w:bookmarkStart w:id="93" w:name="_Toc86237404"/>
      <w:r w:rsidRPr="00995753">
        <w:t>5.2  External dispute resolution requirements—energy sector</w:t>
      </w:r>
      <w:bookmarkEnd w:id="93"/>
    </w:p>
    <w:p w14:paraId="27A9A0DC" w14:textId="77777777" w:rsidR="002E6587" w:rsidRPr="00995753" w:rsidRDefault="002E6587" w:rsidP="00411DE2">
      <w:pPr>
        <w:pStyle w:val="notemargin"/>
      </w:pPr>
      <w:r w:rsidRPr="00995753">
        <w:rPr>
          <w:rFonts w:eastAsia="Calibri"/>
        </w:rPr>
        <w:t>Note:</w:t>
      </w:r>
      <w:r w:rsidRPr="00995753">
        <w:rPr>
          <w:rFonts w:eastAsia="Calibri"/>
        </w:rPr>
        <w:tab/>
        <w:t xml:space="preserve">The </w:t>
      </w:r>
      <w:r w:rsidRPr="00995753">
        <w:t xml:space="preserve">Australian Financial Complaints Authority and the </w:t>
      </w:r>
      <w:r w:rsidRPr="00995753">
        <w:rPr>
          <w:rFonts w:eastAsia="Calibri"/>
        </w:rPr>
        <w:t>energy and water ombudsman of each State and Territory are recognised as external dispute resolution schemes for section 56DA of the Act.</w:t>
      </w:r>
      <w:r w:rsidRPr="00995753">
        <w:t xml:space="preserve"> </w:t>
      </w:r>
    </w:p>
    <w:p w14:paraId="318CE194" w14:textId="77777777" w:rsidR="002E6587" w:rsidRPr="00995753" w:rsidRDefault="002E6587" w:rsidP="00411DE2">
      <w:pPr>
        <w:pStyle w:val="SubsectionHead"/>
      </w:pPr>
      <w:r w:rsidRPr="00995753">
        <w:t>Accredited persons</w:t>
      </w:r>
    </w:p>
    <w:p w14:paraId="04B6B373" w14:textId="77777777" w:rsidR="002E6587" w:rsidRPr="00995753" w:rsidRDefault="002E6587" w:rsidP="00411DE2">
      <w:pPr>
        <w:pStyle w:val="subsection"/>
      </w:pPr>
      <w:r w:rsidRPr="00995753">
        <w:tab/>
        <w:t>(1)</w:t>
      </w:r>
      <w:r w:rsidRPr="00995753">
        <w:tab/>
        <w:t>For the purposes of paragraph 5.12(1)(c) of these rules, an accredited person, other than an accredited person to which subclause (3) applies, must be a member of the Australian Financial Complaints Authority in relation to CDR consumer complaints.</w:t>
      </w:r>
    </w:p>
    <w:p w14:paraId="700EFD98" w14:textId="77777777" w:rsidR="002E6587" w:rsidRPr="00995753" w:rsidRDefault="002E6587" w:rsidP="00411DE2">
      <w:pPr>
        <w:pStyle w:val="SubsectionHead"/>
      </w:pPr>
      <w:r w:rsidRPr="00995753">
        <w:t>Data holders</w:t>
      </w:r>
    </w:p>
    <w:p w14:paraId="0A23A09D" w14:textId="77777777" w:rsidR="002E6587" w:rsidRPr="00995753" w:rsidRDefault="002E6587" w:rsidP="00411DE2">
      <w:pPr>
        <w:pStyle w:val="subsection"/>
      </w:pPr>
      <w:r w:rsidRPr="00995753">
        <w:tab/>
        <w:t>(2)</w:t>
      </w:r>
      <w:r w:rsidRPr="00995753">
        <w:tab/>
        <w:t>For the purposes of rule 6.2 (Requirement for data holders—external dispute resolution), a retailer must, in each relevant jurisdiction:</w:t>
      </w:r>
    </w:p>
    <w:p w14:paraId="13D56C32" w14:textId="77777777" w:rsidR="002E6587" w:rsidRPr="00995753" w:rsidRDefault="002E6587" w:rsidP="00411DE2">
      <w:pPr>
        <w:pStyle w:val="paragraph"/>
      </w:pPr>
      <w:r w:rsidRPr="00995753">
        <w:tab/>
        <w:t>(a)</w:t>
      </w:r>
      <w:r w:rsidRPr="00995753">
        <w:tab/>
        <w:t>if the jurisdiction has an energy and water ombudsman recognised in accordance with section 56DA of the Act—be a member of that ombudsman in relation to CDR consumer complaints; and</w:t>
      </w:r>
    </w:p>
    <w:p w14:paraId="7DA486BD" w14:textId="77777777" w:rsidR="002E6587" w:rsidRPr="00995753" w:rsidRDefault="002E6587" w:rsidP="00411DE2">
      <w:pPr>
        <w:pStyle w:val="paragraph"/>
      </w:pPr>
      <w:r w:rsidRPr="00995753">
        <w:tab/>
        <w:t>(b)</w:t>
      </w:r>
      <w:r w:rsidRPr="00995753">
        <w:tab/>
        <w:t>otherwise—take the necessary steps to participate in the dispute resolution process provided by the jurisdiction that is appropriate for CDR consumer complaints.</w:t>
      </w:r>
    </w:p>
    <w:p w14:paraId="2BD1F2ED" w14:textId="77777777" w:rsidR="002E6587" w:rsidRPr="00995753" w:rsidRDefault="002E6587" w:rsidP="00411DE2">
      <w:pPr>
        <w:pStyle w:val="SubsectionHead"/>
      </w:pPr>
      <w:r w:rsidRPr="00995753">
        <w:t>Certain accredited persons that are also retailers</w:t>
      </w:r>
    </w:p>
    <w:p w14:paraId="30614816" w14:textId="77777777" w:rsidR="002E6587" w:rsidRPr="00995753" w:rsidRDefault="002E6587" w:rsidP="00411DE2">
      <w:pPr>
        <w:pStyle w:val="subsection"/>
      </w:pPr>
      <w:r w:rsidRPr="00995753">
        <w:tab/>
        <w:t>(3)</w:t>
      </w:r>
      <w:r w:rsidRPr="00995753">
        <w:tab/>
        <w:t>For the purposes of paragraph 5.12(1)(c) of these rules, a retailer that:</w:t>
      </w:r>
    </w:p>
    <w:p w14:paraId="1F17539A" w14:textId="77777777" w:rsidR="002E6587" w:rsidRPr="00995753" w:rsidRDefault="002E6587" w:rsidP="00411DE2">
      <w:pPr>
        <w:pStyle w:val="paragraph"/>
      </w:pPr>
      <w:r w:rsidRPr="00995753">
        <w:tab/>
        <w:t>(a)</w:t>
      </w:r>
      <w:r w:rsidRPr="00995753">
        <w:tab/>
        <w:t>is, or becomes, an accredited person; and</w:t>
      </w:r>
    </w:p>
    <w:p w14:paraId="5CEF0C17" w14:textId="77777777" w:rsidR="002E6587" w:rsidRPr="00995753" w:rsidRDefault="002E6587" w:rsidP="00411DE2">
      <w:pPr>
        <w:pStyle w:val="paragraph"/>
      </w:pPr>
      <w:r w:rsidRPr="00995753">
        <w:tab/>
        <w:t>(b)</w:t>
      </w:r>
      <w:r w:rsidRPr="00995753">
        <w:tab/>
        <w:t>does not use any energy sector CDR data that it collects in order to provide services outside the energy sector;</w:t>
      </w:r>
    </w:p>
    <w:p w14:paraId="59AFC3B1" w14:textId="77777777" w:rsidR="002E6587" w:rsidRPr="00995753" w:rsidRDefault="002E6587" w:rsidP="00411DE2">
      <w:pPr>
        <w:pStyle w:val="subsection20"/>
      </w:pPr>
      <w:r w:rsidRPr="00995753">
        <w:tab/>
      </w:r>
      <w:r w:rsidRPr="00995753">
        <w:tab/>
        <w:t>must, in each relevant jurisdiction:</w:t>
      </w:r>
    </w:p>
    <w:p w14:paraId="46F34860" w14:textId="77777777" w:rsidR="002E6587" w:rsidRPr="00995753" w:rsidRDefault="002E6587" w:rsidP="00411DE2">
      <w:pPr>
        <w:pStyle w:val="paragraph"/>
      </w:pPr>
      <w:r w:rsidRPr="00995753">
        <w:tab/>
        <w:t>(c)</w:t>
      </w:r>
      <w:r w:rsidRPr="00995753">
        <w:tab/>
        <w:t>if the jurisdiction has an energy and water ombudsman recognised in accordance with section 56DA of the Act—be a member of the that ombudsman in relation to CDR consumer complaints; and</w:t>
      </w:r>
    </w:p>
    <w:p w14:paraId="7E2C5400" w14:textId="77777777" w:rsidR="002E6587" w:rsidRPr="00995753" w:rsidRDefault="002E6587" w:rsidP="00411DE2">
      <w:pPr>
        <w:pStyle w:val="paragraph"/>
      </w:pPr>
      <w:r w:rsidRPr="00995753">
        <w:tab/>
        <w:t>(d)</w:t>
      </w:r>
      <w:r w:rsidRPr="00995753">
        <w:tab/>
        <w:t>otherwise—take the necessary steps to participate in the dispute resolution process provided by the jurisdiction that is appropriate for such CDR consumer complaints.</w:t>
      </w:r>
    </w:p>
    <w:p w14:paraId="059F8EFF" w14:textId="77777777" w:rsidR="002E6587" w:rsidRPr="00995753" w:rsidRDefault="002E6587" w:rsidP="00411DE2">
      <w:pPr>
        <w:pStyle w:val="ActHead2"/>
      </w:pPr>
      <w:bookmarkStart w:id="94" w:name="_Toc86237405"/>
      <w:r w:rsidRPr="00995753">
        <w:t>Part 6—Privacy safeguards―energy sector</w:t>
      </w:r>
      <w:bookmarkEnd w:id="94"/>
    </w:p>
    <w:p w14:paraId="553D7E03" w14:textId="77777777" w:rsidR="002E6587" w:rsidRPr="00995753" w:rsidRDefault="002E6587" w:rsidP="00411DE2">
      <w:pPr>
        <w:pStyle w:val="ActHead5"/>
      </w:pPr>
      <w:bookmarkStart w:id="95" w:name="_Toc86237406"/>
      <w:r w:rsidRPr="00995753">
        <w:t>6.1  Responding to correction request (rule 7.15)</w:t>
      </w:r>
      <w:bookmarkEnd w:id="95"/>
    </w:p>
    <w:p w14:paraId="33182DD4" w14:textId="77777777" w:rsidR="002E6587" w:rsidRPr="00995753" w:rsidRDefault="002E6587" w:rsidP="00411DE2">
      <w:pPr>
        <w:pStyle w:val="subsection"/>
      </w:pPr>
      <w:r w:rsidRPr="00995753">
        <w:tab/>
        <w:t>(1)</w:t>
      </w:r>
      <w:r w:rsidRPr="00995753">
        <w:tab/>
        <w:t>This clause applies to a retailer that receives a request under subsection 56EP(1) or (2) of the Act that relates to AEMO data.</w:t>
      </w:r>
    </w:p>
    <w:p w14:paraId="41A2F7B4" w14:textId="77777777" w:rsidR="002E6587" w:rsidRPr="00995753" w:rsidRDefault="002E6587" w:rsidP="00411DE2">
      <w:pPr>
        <w:pStyle w:val="subsection"/>
      </w:pPr>
      <w:r w:rsidRPr="00995753">
        <w:tab/>
        <w:t>(2)</w:t>
      </w:r>
      <w:r w:rsidRPr="00995753">
        <w:tab/>
        <w:t>In relation to the AEMO data, rule 7.15 applies as if paragraphs (b) and (c) were replaced by the following:</w:t>
      </w:r>
    </w:p>
    <w:p w14:paraId="24059E7E" w14:textId="77777777" w:rsidR="002E6587" w:rsidRPr="00995753" w:rsidRDefault="002E6587" w:rsidP="00411DE2">
      <w:pPr>
        <w:pStyle w:val="paragraph"/>
      </w:pPr>
      <w:r w:rsidRPr="00995753">
        <w:lastRenderedPageBreak/>
        <w:tab/>
        <w:t>“ (b)</w:t>
      </w:r>
      <w:r w:rsidRPr="00995753">
        <w:tab/>
        <w:t>as soon as practicable:</w:t>
      </w:r>
    </w:p>
    <w:p w14:paraId="069E030C" w14:textId="77777777" w:rsidR="002E6587" w:rsidRPr="00995753" w:rsidRDefault="002E6587" w:rsidP="00411DE2">
      <w:pPr>
        <w:pStyle w:val="paragraphsub"/>
        <w:rPr>
          <w:rFonts w:eastAsia="Calibri"/>
        </w:rPr>
      </w:pPr>
      <w:r w:rsidRPr="00995753">
        <w:rPr>
          <w:rFonts w:eastAsia="Calibri"/>
        </w:rPr>
        <w:tab/>
        <w:t>(i)</w:t>
      </w:r>
      <w:r w:rsidRPr="00995753">
        <w:rPr>
          <w:rFonts w:eastAsia="Calibri"/>
        </w:rPr>
        <w:tab/>
        <w:t xml:space="preserve">initiate the relevant correction </w:t>
      </w:r>
      <w:r w:rsidRPr="00995753">
        <w:t xml:space="preserve">procedures under the National Electricity Rules </w:t>
      </w:r>
      <w:r w:rsidRPr="00995753">
        <w:rPr>
          <w:rFonts w:eastAsia="Calibri"/>
        </w:rPr>
        <w:t>in relation to any NMI standing data or metering data for which correction is requested; and</w:t>
      </w:r>
    </w:p>
    <w:p w14:paraId="76E78A78" w14:textId="77777777" w:rsidR="002E6587" w:rsidRPr="00995753" w:rsidRDefault="002E6587" w:rsidP="00411DE2">
      <w:pPr>
        <w:pStyle w:val="paragraphsub"/>
      </w:pPr>
      <w:r w:rsidRPr="00995753">
        <w:rPr>
          <w:rFonts w:eastAsia="Calibri"/>
        </w:rPr>
        <w:tab/>
        <w:t>(ii)</w:t>
      </w:r>
      <w:r w:rsidRPr="00995753">
        <w:rPr>
          <w:rFonts w:eastAsia="Calibri"/>
        </w:rPr>
        <w:tab/>
      </w:r>
      <w:r w:rsidRPr="00995753">
        <w:t>if the request relates to DER register data, provide the requester with information about how the requester can contact the distributor to have the data corrected</w:t>
      </w:r>
      <w:r w:rsidRPr="00995753">
        <w:rPr>
          <w:rFonts w:eastAsia="Calibri"/>
        </w:rPr>
        <w:t>.</w:t>
      </w:r>
      <w:r w:rsidRPr="00995753">
        <w:t>”.</w:t>
      </w:r>
    </w:p>
    <w:p w14:paraId="2BB816C1" w14:textId="77777777" w:rsidR="002E6587" w:rsidRPr="00995753" w:rsidRDefault="002E6587" w:rsidP="00411DE2">
      <w:pPr>
        <w:pStyle w:val="ActHead2"/>
      </w:pPr>
      <w:bookmarkStart w:id="96" w:name="_Toc86237407"/>
      <w:r w:rsidRPr="00995753">
        <w:t>Part 7—Reporting and record keeping―energy sector</w:t>
      </w:r>
      <w:bookmarkEnd w:id="96"/>
    </w:p>
    <w:p w14:paraId="504DB903" w14:textId="77777777" w:rsidR="002E6587" w:rsidRPr="00995753" w:rsidRDefault="002E6587" w:rsidP="00411DE2">
      <w:pPr>
        <w:pStyle w:val="ActHead5"/>
      </w:pPr>
      <w:bookmarkStart w:id="97" w:name="_Toc86237408"/>
      <w:r w:rsidRPr="00995753">
        <w:t>7.1  Reporting requirements (rule 9.4)</w:t>
      </w:r>
      <w:bookmarkEnd w:id="97"/>
    </w:p>
    <w:p w14:paraId="50BF8C31" w14:textId="77777777" w:rsidR="002E6587" w:rsidRPr="00995753" w:rsidRDefault="002E6587" w:rsidP="00411DE2">
      <w:pPr>
        <w:pStyle w:val="subsection"/>
      </w:pPr>
      <w:r w:rsidRPr="00995753">
        <w:tab/>
      </w:r>
      <w:r w:rsidRPr="00995753">
        <w:tab/>
        <w:t xml:space="preserve">Rule 9.4 applies to AER and the Victorian agency as if subrule 9.4(1) were replaced by the following, referring to either as “the </w:t>
      </w:r>
      <w:r w:rsidRPr="00995753">
        <w:rPr>
          <w:b/>
          <w:i/>
        </w:rPr>
        <w:t>Agency</w:t>
      </w:r>
      <w:r w:rsidRPr="00995753">
        <w:t>”:</w:t>
      </w:r>
    </w:p>
    <w:p w14:paraId="5F72276A" w14:textId="77777777" w:rsidR="002E6587" w:rsidRPr="00995753" w:rsidRDefault="002E6587" w:rsidP="00411DE2">
      <w:pPr>
        <w:pStyle w:val="subsection"/>
      </w:pPr>
      <w:r w:rsidRPr="00995753">
        <w:tab/>
        <w:t>“(1)</w:t>
      </w:r>
      <w:r w:rsidRPr="00995753">
        <w:tab/>
        <w:t>The Agency must prepare a report for each reporting period that:</w:t>
      </w:r>
    </w:p>
    <w:p w14:paraId="395EF1C3" w14:textId="77777777" w:rsidR="002E6587" w:rsidRPr="00995753" w:rsidRDefault="002E6587" w:rsidP="00411DE2">
      <w:pPr>
        <w:pStyle w:val="paragraph"/>
      </w:pPr>
      <w:r w:rsidRPr="00995753">
        <w:tab/>
        <w:t>(a)</w:t>
      </w:r>
      <w:r w:rsidRPr="00995753">
        <w:tab/>
        <w:t>is in the form approved by the Commission for the purposes of this rule; and</w:t>
      </w:r>
    </w:p>
    <w:p w14:paraId="0A6DA108" w14:textId="77777777" w:rsidR="002E6587" w:rsidRPr="00995753" w:rsidRDefault="002E6587" w:rsidP="00411DE2">
      <w:pPr>
        <w:pStyle w:val="paragraph"/>
      </w:pPr>
      <w:r w:rsidRPr="00995753">
        <w:tab/>
        <w:t>(b)</w:t>
      </w:r>
      <w:r w:rsidRPr="00995753">
        <w:tab/>
        <w:t>sets out the number (if any) of product data requests received by the Agency during the reporting period; and</w:t>
      </w:r>
    </w:p>
    <w:p w14:paraId="2AC7658E" w14:textId="77777777" w:rsidR="002E6587" w:rsidRPr="00995753" w:rsidRDefault="002E6587" w:rsidP="00411DE2">
      <w:pPr>
        <w:pStyle w:val="paragraph"/>
      </w:pPr>
      <w:r w:rsidRPr="00995753">
        <w:tab/>
        <w:t>(c)</w:t>
      </w:r>
      <w:r w:rsidRPr="00995753">
        <w:tab/>
        <w:t>sets out:</w:t>
      </w:r>
    </w:p>
    <w:p w14:paraId="3E8FD486" w14:textId="77777777" w:rsidR="002E6587" w:rsidRPr="00995753" w:rsidRDefault="002E6587" w:rsidP="00411DE2">
      <w:pPr>
        <w:pStyle w:val="paragraphsub"/>
      </w:pPr>
      <w:r w:rsidRPr="00995753">
        <w:tab/>
        <w:t>(i)</w:t>
      </w:r>
      <w:r w:rsidRPr="00995753">
        <w:tab/>
        <w:t>the number of times the Agency refused to disclose CDR data; and</w:t>
      </w:r>
    </w:p>
    <w:p w14:paraId="2ED8EDA6" w14:textId="77777777" w:rsidR="002E6587" w:rsidRPr="00995753" w:rsidRDefault="002E6587" w:rsidP="00411DE2">
      <w:pPr>
        <w:pStyle w:val="paragraphsub"/>
      </w:pPr>
      <w:r w:rsidRPr="00995753">
        <w:tab/>
        <w:t>(ii)</w:t>
      </w:r>
      <w:r w:rsidRPr="00995753">
        <w:tab/>
        <w:t>the rule or data standard relied upon to refuse to disclose that data; and</w:t>
      </w:r>
    </w:p>
    <w:p w14:paraId="5321D265" w14:textId="77777777" w:rsidR="002E6587" w:rsidRPr="00995753" w:rsidRDefault="002E6587" w:rsidP="00411DE2">
      <w:pPr>
        <w:pStyle w:val="paragraphsub"/>
      </w:pPr>
      <w:r w:rsidRPr="00995753">
        <w:tab/>
        <w:t>(iii)</w:t>
      </w:r>
      <w:r w:rsidRPr="00995753">
        <w:tab/>
        <w:t>the number of times the Agency has relied on each of those rules or data standards as a ground of refusal.”.</w:t>
      </w:r>
    </w:p>
    <w:p w14:paraId="53914568" w14:textId="77777777" w:rsidR="002E6587" w:rsidRPr="00995753" w:rsidRDefault="002E6587" w:rsidP="00411DE2">
      <w:pPr>
        <w:pStyle w:val="ActHead2"/>
      </w:pPr>
      <w:bookmarkStart w:id="98" w:name="_Toc86237409"/>
      <w:r w:rsidRPr="00995753">
        <w:t>Part 8—Staged application of these rules to the energy sector</w:t>
      </w:r>
      <w:bookmarkEnd w:id="98"/>
    </w:p>
    <w:p w14:paraId="07208306" w14:textId="77777777" w:rsidR="002E6587" w:rsidRPr="00995753" w:rsidRDefault="002E6587" w:rsidP="00411DE2">
      <w:pPr>
        <w:pStyle w:val="ActHead5"/>
      </w:pPr>
      <w:bookmarkStart w:id="99" w:name="_Toc86237410"/>
      <w:r w:rsidRPr="00995753">
        <w:t>8.1  Interpretation</w:t>
      </w:r>
      <w:bookmarkEnd w:id="99"/>
    </w:p>
    <w:p w14:paraId="054F214D" w14:textId="77777777" w:rsidR="002E6587" w:rsidRPr="00995753" w:rsidRDefault="002E6587" w:rsidP="00411DE2">
      <w:pPr>
        <w:pStyle w:val="subsection"/>
      </w:pPr>
      <w:r w:rsidRPr="00995753">
        <w:tab/>
      </w:r>
      <w:r w:rsidRPr="00995753">
        <w:tab/>
        <w:t>In this Part:</w:t>
      </w:r>
    </w:p>
    <w:p w14:paraId="47BD2937" w14:textId="77777777" w:rsidR="002E6587" w:rsidRPr="00995753" w:rsidRDefault="002E6587" w:rsidP="00411DE2">
      <w:pPr>
        <w:pStyle w:val="Definition"/>
      </w:pPr>
      <w:r w:rsidRPr="00995753">
        <w:rPr>
          <w:b/>
          <w:i/>
        </w:rPr>
        <w:t>complex request</w:t>
      </w:r>
      <w:r w:rsidRPr="00995753">
        <w:t xml:space="preserve"> means a consumer data request that:</w:t>
      </w:r>
    </w:p>
    <w:p w14:paraId="3EE2FD32" w14:textId="77777777" w:rsidR="002E6587" w:rsidRPr="00995753" w:rsidRDefault="002E6587" w:rsidP="00411DE2">
      <w:pPr>
        <w:pStyle w:val="paragraph"/>
      </w:pPr>
      <w:r w:rsidRPr="00995753">
        <w:tab/>
        <w:t>(a)</w:t>
      </w:r>
      <w:r w:rsidRPr="00995753">
        <w:tab/>
        <w:t>is made on behalf of a large customer; or</w:t>
      </w:r>
    </w:p>
    <w:p w14:paraId="25183551" w14:textId="77777777" w:rsidR="002E6587" w:rsidRPr="00995753" w:rsidRDefault="002E6587" w:rsidP="00411DE2">
      <w:pPr>
        <w:pStyle w:val="paragraph"/>
      </w:pPr>
      <w:r w:rsidRPr="00995753">
        <w:tab/>
        <w:t>(b)</w:t>
      </w:r>
      <w:r w:rsidRPr="00995753">
        <w:tab/>
        <w:t>is made on behalf of a secondary user; or</w:t>
      </w:r>
    </w:p>
    <w:p w14:paraId="2CC22936" w14:textId="77777777" w:rsidR="002E6587" w:rsidRPr="00995753" w:rsidRDefault="002E6587" w:rsidP="00411DE2">
      <w:pPr>
        <w:pStyle w:val="paragraph"/>
      </w:pPr>
      <w:r w:rsidRPr="00995753">
        <w:tab/>
        <w:t>(c)</w:t>
      </w:r>
      <w:r w:rsidRPr="00995753">
        <w:tab/>
        <w:t>relates to a joint account or a partnership account.</w:t>
      </w:r>
    </w:p>
    <w:p w14:paraId="2FB3CCB8" w14:textId="77777777" w:rsidR="002E6587" w:rsidRPr="00995753" w:rsidRDefault="002E6587" w:rsidP="00411DE2">
      <w:pPr>
        <w:pStyle w:val="Definition"/>
      </w:pPr>
      <w:r w:rsidRPr="00995753">
        <w:rPr>
          <w:b/>
          <w:i/>
        </w:rPr>
        <w:t>initial retailer</w:t>
      </w:r>
      <w:r w:rsidRPr="00995753">
        <w:t xml:space="preserve"> has the meaning given by clause 8.2.</w:t>
      </w:r>
    </w:p>
    <w:p w14:paraId="1FC168FE" w14:textId="77777777" w:rsidR="002E6587" w:rsidRPr="00995753" w:rsidRDefault="002E6587" w:rsidP="00411DE2">
      <w:pPr>
        <w:pStyle w:val="Definition"/>
      </w:pPr>
      <w:r w:rsidRPr="00995753">
        <w:rPr>
          <w:b/>
          <w:i/>
        </w:rPr>
        <w:t>large customer</w:t>
      </w:r>
      <w:r w:rsidRPr="00995753">
        <w:t xml:space="preserve"> means a CDR consumer that is:</w:t>
      </w:r>
    </w:p>
    <w:p w14:paraId="59E589F3" w14:textId="77777777" w:rsidR="002E6587" w:rsidRPr="00995753" w:rsidRDefault="002E6587" w:rsidP="00411DE2">
      <w:pPr>
        <w:pStyle w:val="paragraph"/>
      </w:pPr>
      <w:r w:rsidRPr="00995753">
        <w:tab/>
        <w:t>(a)</w:t>
      </w:r>
      <w:r w:rsidRPr="00995753">
        <w:tab/>
        <w:t xml:space="preserve">in relation to a retailer that is subject to the </w:t>
      </w:r>
      <w:r w:rsidRPr="00995753">
        <w:rPr>
          <w:i/>
        </w:rPr>
        <w:t>Electricity Industry Act</w:t>
      </w:r>
      <w:r w:rsidRPr="00995753">
        <w:t xml:space="preserve"> </w:t>
      </w:r>
      <w:r w:rsidRPr="00995753">
        <w:rPr>
          <w:i/>
        </w:rPr>
        <w:t>2000</w:t>
      </w:r>
      <w:r w:rsidRPr="00995753">
        <w:t xml:space="preserve"> (Vic)—a relevant customer for the purposes of that Act; or</w:t>
      </w:r>
    </w:p>
    <w:p w14:paraId="55EA1986" w14:textId="77777777" w:rsidR="002E6587" w:rsidRPr="00995753" w:rsidRDefault="002E6587" w:rsidP="00411DE2">
      <w:pPr>
        <w:pStyle w:val="paragraph"/>
      </w:pPr>
      <w:r w:rsidRPr="00995753">
        <w:tab/>
        <w:t>(b)</w:t>
      </w:r>
      <w:r w:rsidRPr="00995753">
        <w:tab/>
        <w:t>otherwise—a large customer for the purposes of the National Energy Retail Law.</w:t>
      </w:r>
    </w:p>
    <w:p w14:paraId="10E21940" w14:textId="77777777" w:rsidR="002E6587" w:rsidRPr="00995753" w:rsidRDefault="002E6587" w:rsidP="00411DE2">
      <w:pPr>
        <w:pStyle w:val="Definition"/>
      </w:pPr>
      <w:r w:rsidRPr="00995753">
        <w:rPr>
          <w:b/>
          <w:i/>
        </w:rPr>
        <w:t xml:space="preserve">larger retailer </w:t>
      </w:r>
      <w:r w:rsidRPr="00995753">
        <w:t>has the meaning given by clause 8.3.</w:t>
      </w:r>
    </w:p>
    <w:p w14:paraId="4CEF717C" w14:textId="77777777" w:rsidR="002E6587" w:rsidRPr="00995753" w:rsidRDefault="002E6587" w:rsidP="00411DE2">
      <w:pPr>
        <w:pStyle w:val="Definition"/>
      </w:pPr>
      <w:r w:rsidRPr="00995753">
        <w:rPr>
          <w:b/>
          <w:i/>
        </w:rPr>
        <w:lastRenderedPageBreak/>
        <w:t xml:space="preserve">small retailer </w:t>
      </w:r>
      <w:r w:rsidRPr="00995753">
        <w:t>means a retailer that is not either an initial retailer or a larger retailer.</w:t>
      </w:r>
    </w:p>
    <w:p w14:paraId="18E17598" w14:textId="77777777" w:rsidR="002E6587" w:rsidRPr="00995753" w:rsidRDefault="002E6587" w:rsidP="00411DE2">
      <w:pPr>
        <w:pStyle w:val="Definition"/>
      </w:pPr>
      <w:r w:rsidRPr="00995753">
        <w:rPr>
          <w:b/>
          <w:i/>
        </w:rPr>
        <w:t xml:space="preserve">tranche 1 date </w:t>
      </w:r>
      <w:r w:rsidRPr="00995753">
        <w:t>means 15 November 2022.</w:t>
      </w:r>
    </w:p>
    <w:p w14:paraId="1C691001" w14:textId="77777777" w:rsidR="002E6587" w:rsidRPr="00995753" w:rsidRDefault="002E6587" w:rsidP="00411DE2">
      <w:pPr>
        <w:pStyle w:val="Definition"/>
      </w:pPr>
      <w:r w:rsidRPr="00995753">
        <w:rPr>
          <w:b/>
          <w:i/>
        </w:rPr>
        <w:t xml:space="preserve">tranche 1 (VA) date </w:t>
      </w:r>
      <w:r w:rsidRPr="00995753">
        <w:t>means a date specified by the Minister in a notifiable instrument made for the purposes of this definition.</w:t>
      </w:r>
    </w:p>
    <w:p w14:paraId="0597AA4B" w14:textId="77777777" w:rsidR="002E6587" w:rsidRPr="00995753" w:rsidRDefault="002E6587" w:rsidP="00411DE2">
      <w:pPr>
        <w:pStyle w:val="Definition"/>
      </w:pPr>
      <w:r w:rsidRPr="00995753">
        <w:rPr>
          <w:b/>
          <w:i/>
        </w:rPr>
        <w:t xml:space="preserve">tranche 2 date </w:t>
      </w:r>
      <w:r w:rsidRPr="00995753">
        <w:t>means 15 May 2023.</w:t>
      </w:r>
    </w:p>
    <w:p w14:paraId="266CAE01" w14:textId="77777777" w:rsidR="002E6587" w:rsidRPr="00995753" w:rsidRDefault="002E6587" w:rsidP="00411DE2">
      <w:pPr>
        <w:pStyle w:val="Definition"/>
      </w:pPr>
      <w:r w:rsidRPr="00995753">
        <w:rPr>
          <w:b/>
          <w:i/>
        </w:rPr>
        <w:t xml:space="preserve">tranche 3 date </w:t>
      </w:r>
      <w:r w:rsidRPr="00995753">
        <w:t>means 1 November 2023.</w:t>
      </w:r>
    </w:p>
    <w:p w14:paraId="325C1D07" w14:textId="77777777" w:rsidR="002E6587" w:rsidRPr="00995753" w:rsidRDefault="002E6587" w:rsidP="00411DE2">
      <w:pPr>
        <w:pStyle w:val="Definition"/>
      </w:pPr>
      <w:r w:rsidRPr="00995753">
        <w:rPr>
          <w:b/>
          <w:i/>
        </w:rPr>
        <w:t xml:space="preserve">tranche 4 date </w:t>
      </w:r>
      <w:r w:rsidRPr="00995753">
        <w:t>means 1 May 2024.</w:t>
      </w:r>
    </w:p>
    <w:p w14:paraId="12D26605" w14:textId="77777777" w:rsidR="002E6587" w:rsidRPr="00995753" w:rsidRDefault="002E6587" w:rsidP="00411DE2">
      <w:pPr>
        <w:pStyle w:val="ActHead5"/>
      </w:pPr>
      <w:bookmarkStart w:id="100" w:name="_Toc86237411"/>
      <w:r w:rsidRPr="00995753">
        <w:t xml:space="preserve">8.2  Meaning of </w:t>
      </w:r>
      <w:r w:rsidRPr="00995753">
        <w:rPr>
          <w:i/>
        </w:rPr>
        <w:t>initial retailer</w:t>
      </w:r>
      <w:bookmarkEnd w:id="100"/>
    </w:p>
    <w:p w14:paraId="2CA08471" w14:textId="77777777" w:rsidR="002E6587" w:rsidRPr="00995753" w:rsidRDefault="002E6587" w:rsidP="00411DE2">
      <w:pPr>
        <w:pStyle w:val="subsection"/>
      </w:pPr>
      <w:r w:rsidRPr="00995753">
        <w:tab/>
      </w:r>
      <w:r w:rsidRPr="00995753">
        <w:tab/>
        <w:t xml:space="preserve">In this Schedule, </w:t>
      </w:r>
      <w:r w:rsidRPr="00995753">
        <w:rPr>
          <w:b/>
          <w:i/>
        </w:rPr>
        <w:t>initial retailer</w:t>
      </w:r>
      <w:r w:rsidRPr="00995753">
        <w:t xml:space="preserve"> means any of the following:</w:t>
      </w:r>
    </w:p>
    <w:p w14:paraId="2505A67D" w14:textId="77777777" w:rsidR="002E6587" w:rsidRPr="00995753" w:rsidRDefault="002E6587" w:rsidP="00411DE2">
      <w:pPr>
        <w:pStyle w:val="SubsectionHead"/>
        <w:ind w:left="1746" w:hanging="306"/>
      </w:pPr>
      <w:r w:rsidRPr="00995753">
        <w:t>The AGL Energy Group</w:t>
      </w:r>
    </w:p>
    <w:p w14:paraId="64D0CF2B" w14:textId="77777777" w:rsidR="002E6587" w:rsidRPr="00995753" w:rsidRDefault="002E6587" w:rsidP="00411DE2">
      <w:pPr>
        <w:pStyle w:val="paragraph"/>
      </w:pPr>
      <w:r w:rsidRPr="00995753">
        <w:tab/>
        <w:t>(a)</w:t>
      </w:r>
      <w:r w:rsidRPr="00995753">
        <w:tab/>
        <w:t>AGL Sales (Queensland Electricity) Pty Limited – ABN 66 078 875 902;</w:t>
      </w:r>
    </w:p>
    <w:p w14:paraId="39A88295" w14:textId="77777777" w:rsidR="002E6587" w:rsidRPr="00995753" w:rsidRDefault="002E6587" w:rsidP="00411DE2">
      <w:pPr>
        <w:pStyle w:val="paragraph"/>
      </w:pPr>
      <w:r w:rsidRPr="00995753">
        <w:tab/>
        <w:t>(b)</w:t>
      </w:r>
      <w:r w:rsidRPr="00995753">
        <w:tab/>
        <w:t>AGL South Australia Pty Ltd - ABN 49 091 105 092;</w:t>
      </w:r>
    </w:p>
    <w:p w14:paraId="10A65F6E" w14:textId="77777777" w:rsidR="002E6587" w:rsidRPr="00995753" w:rsidRDefault="002E6587" w:rsidP="00411DE2">
      <w:pPr>
        <w:pStyle w:val="paragraph"/>
      </w:pPr>
      <w:r w:rsidRPr="00995753">
        <w:tab/>
        <w:t>(c)</w:t>
      </w:r>
      <w:r w:rsidRPr="00995753">
        <w:tab/>
        <w:t>AGL Sales Pty Limited - ABN 88 090 538 337;</w:t>
      </w:r>
    </w:p>
    <w:p w14:paraId="59A7B582" w14:textId="77777777" w:rsidR="002E6587" w:rsidRPr="00995753" w:rsidRDefault="002E6587" w:rsidP="00411DE2">
      <w:pPr>
        <w:pStyle w:val="SubsectionHead"/>
        <w:ind w:left="1746" w:hanging="306"/>
      </w:pPr>
      <w:r w:rsidRPr="00995753">
        <w:t>The Origin Energy Group</w:t>
      </w:r>
    </w:p>
    <w:p w14:paraId="11EB1F0F" w14:textId="77777777" w:rsidR="002E6587" w:rsidRPr="00995753" w:rsidRDefault="002E6587" w:rsidP="00411DE2">
      <w:pPr>
        <w:pStyle w:val="paragraph"/>
        <w:rPr>
          <w:b/>
          <w:bCs/>
        </w:rPr>
      </w:pPr>
      <w:r w:rsidRPr="00995753">
        <w:tab/>
        <w:t>(d)</w:t>
      </w:r>
      <w:r w:rsidRPr="00995753">
        <w:tab/>
        <w:t>Origin Energy Electricity Limited - ABN 33 071 052 287;</w:t>
      </w:r>
    </w:p>
    <w:p w14:paraId="04134C55" w14:textId="77777777" w:rsidR="002E6587" w:rsidRPr="00995753" w:rsidRDefault="002E6587" w:rsidP="00411DE2">
      <w:pPr>
        <w:pStyle w:val="paragraph"/>
      </w:pPr>
      <w:r w:rsidRPr="00995753">
        <w:tab/>
        <w:t>(e)</w:t>
      </w:r>
      <w:r w:rsidRPr="00995753">
        <w:tab/>
        <w:t>any other subsidiary of Origin Energy Limited authorised or licensed to sell electricity in the National Electricity Market;</w:t>
      </w:r>
    </w:p>
    <w:p w14:paraId="73641019" w14:textId="77777777" w:rsidR="002E6587" w:rsidRPr="00995753" w:rsidRDefault="002E6587" w:rsidP="00411DE2">
      <w:pPr>
        <w:pStyle w:val="SubsectionHead"/>
        <w:ind w:left="1746" w:hanging="306"/>
      </w:pPr>
      <w:r w:rsidRPr="00995753">
        <w:t>The Energy Australia Group</w:t>
      </w:r>
    </w:p>
    <w:p w14:paraId="60CA8A43" w14:textId="77777777" w:rsidR="002E6587" w:rsidRPr="00995753" w:rsidRDefault="002E6587" w:rsidP="00411DE2">
      <w:pPr>
        <w:pStyle w:val="paragraph"/>
      </w:pPr>
      <w:r w:rsidRPr="00995753">
        <w:tab/>
        <w:t>(f)</w:t>
      </w:r>
      <w:r w:rsidRPr="00995753">
        <w:tab/>
        <w:t>EnergyAustralia Pty Ltd - ABN 99 086 014 968;</w:t>
      </w:r>
    </w:p>
    <w:p w14:paraId="55271DDB" w14:textId="77777777" w:rsidR="002E6587" w:rsidRPr="00995753" w:rsidRDefault="002E6587" w:rsidP="00411DE2">
      <w:pPr>
        <w:pStyle w:val="paragraph"/>
      </w:pPr>
      <w:r w:rsidRPr="00995753">
        <w:tab/>
        <w:t>(g)</w:t>
      </w:r>
      <w:r w:rsidRPr="00995753">
        <w:tab/>
        <w:t>EnergyAustralia Yallourn Pty Ltd - ABN 47 065 325 224.</w:t>
      </w:r>
    </w:p>
    <w:p w14:paraId="58B13B84" w14:textId="77777777" w:rsidR="002E6587" w:rsidRPr="00995753" w:rsidRDefault="002E6587" w:rsidP="00411DE2">
      <w:pPr>
        <w:pStyle w:val="ActHead5"/>
      </w:pPr>
      <w:bookmarkStart w:id="101" w:name="_Toc75851181"/>
      <w:bookmarkStart w:id="102" w:name="_Toc86237412"/>
      <w:r w:rsidRPr="00995753">
        <w:t xml:space="preserve">8.3  Meaning of </w:t>
      </w:r>
      <w:r w:rsidRPr="00995753">
        <w:rPr>
          <w:i/>
        </w:rPr>
        <w:t>larger retailer</w:t>
      </w:r>
      <w:bookmarkEnd w:id="101"/>
      <w:bookmarkEnd w:id="102"/>
    </w:p>
    <w:p w14:paraId="22451271" w14:textId="77777777" w:rsidR="002E6587" w:rsidRPr="00995753" w:rsidRDefault="002E6587" w:rsidP="00411DE2">
      <w:pPr>
        <w:pStyle w:val="subsection"/>
      </w:pPr>
      <w:r w:rsidRPr="00995753">
        <w:tab/>
        <w:t>(1)</w:t>
      </w:r>
      <w:r w:rsidRPr="00995753">
        <w:tab/>
        <w:t>For this Part:</w:t>
      </w:r>
    </w:p>
    <w:p w14:paraId="4EE14A92" w14:textId="77777777" w:rsidR="002E6587" w:rsidRPr="00995753" w:rsidRDefault="002E6587" w:rsidP="00411DE2">
      <w:pPr>
        <w:pStyle w:val="paragraph"/>
      </w:pPr>
      <w:r w:rsidRPr="00995753">
        <w:tab/>
        <w:t>(a)</w:t>
      </w:r>
      <w:r w:rsidRPr="00995753">
        <w:tab/>
        <w:t xml:space="preserve">a retailer that had 10,000 or more small customers on the amendment day is a </w:t>
      </w:r>
      <w:r w:rsidRPr="00995753">
        <w:rPr>
          <w:b/>
          <w:i/>
        </w:rPr>
        <w:t>larger retailer</w:t>
      </w:r>
      <w:r w:rsidRPr="00995753">
        <w:t>; and</w:t>
      </w:r>
    </w:p>
    <w:p w14:paraId="33F6B4DB" w14:textId="77777777" w:rsidR="002E6587" w:rsidRPr="00995753" w:rsidRDefault="002E6587" w:rsidP="00411DE2">
      <w:pPr>
        <w:pStyle w:val="paragraph"/>
      </w:pPr>
      <w:r w:rsidRPr="00995753">
        <w:tab/>
        <w:t>(b)</w:t>
      </w:r>
      <w:r w:rsidRPr="00995753">
        <w:tab/>
        <w:t xml:space="preserve">a retailer that had 10,000 or more small customers at all times during a financial year that begins on or after the amendment day is also a </w:t>
      </w:r>
      <w:r w:rsidRPr="00995753">
        <w:rPr>
          <w:b/>
          <w:i/>
        </w:rPr>
        <w:t>larger retailer</w:t>
      </w:r>
      <w:r w:rsidRPr="00995753">
        <w:t xml:space="preserve"> on and from the day 12 months after the end of that financial year.</w:t>
      </w:r>
    </w:p>
    <w:p w14:paraId="1A850C07" w14:textId="77777777" w:rsidR="002E6587" w:rsidRPr="00995753" w:rsidRDefault="002E6587" w:rsidP="00411DE2">
      <w:pPr>
        <w:pStyle w:val="subsection"/>
      </w:pPr>
      <w:r w:rsidRPr="00995753">
        <w:tab/>
        <w:t>(2)</w:t>
      </w:r>
      <w:r w:rsidRPr="00995753">
        <w:tab/>
        <w:t>For this clause:</w:t>
      </w:r>
    </w:p>
    <w:p w14:paraId="7D2B338B" w14:textId="77777777" w:rsidR="002E6587" w:rsidRPr="00995753" w:rsidRDefault="002E6587" w:rsidP="00411DE2">
      <w:pPr>
        <w:pStyle w:val="paragraph"/>
      </w:pPr>
      <w:r w:rsidRPr="00995753">
        <w:tab/>
        <w:t>(a)</w:t>
      </w:r>
      <w:r w:rsidRPr="00995753">
        <w:tab/>
        <w:t xml:space="preserve">a person is a </w:t>
      </w:r>
      <w:r w:rsidRPr="00995753">
        <w:rPr>
          <w:b/>
          <w:i/>
        </w:rPr>
        <w:t xml:space="preserve">small customer </w:t>
      </w:r>
      <w:r w:rsidRPr="00995753">
        <w:t>of a retailer if the person is:</w:t>
      </w:r>
    </w:p>
    <w:p w14:paraId="7D6554E0" w14:textId="77777777" w:rsidR="002E6587" w:rsidRPr="00995753" w:rsidRDefault="002E6587" w:rsidP="00411DE2">
      <w:pPr>
        <w:pStyle w:val="paragraphsub"/>
      </w:pPr>
      <w:r w:rsidRPr="00995753">
        <w:tab/>
        <w:t>(i)</w:t>
      </w:r>
      <w:r w:rsidRPr="00995753">
        <w:tab/>
        <w:t xml:space="preserve">a domestic or small business customer of the retailer within the meaning given in section 3 of the </w:t>
      </w:r>
      <w:r w:rsidRPr="00995753">
        <w:rPr>
          <w:i/>
          <w:iCs/>
        </w:rPr>
        <w:t xml:space="preserve">Electricity Industry Act 2000 </w:t>
      </w:r>
      <w:r w:rsidRPr="00995753">
        <w:t xml:space="preserve">(Vic); or </w:t>
      </w:r>
    </w:p>
    <w:p w14:paraId="33761F78" w14:textId="77777777" w:rsidR="002E6587" w:rsidRPr="00995753" w:rsidRDefault="002E6587" w:rsidP="00411DE2">
      <w:pPr>
        <w:pStyle w:val="paragraphsub"/>
      </w:pPr>
      <w:r w:rsidRPr="00995753">
        <w:tab/>
        <w:t>(ii)</w:t>
      </w:r>
      <w:r w:rsidRPr="00995753">
        <w:tab/>
        <w:t>a small customer of the retailer within the meaning of section 5 of the National Energy Retail Law; and</w:t>
      </w:r>
    </w:p>
    <w:p w14:paraId="55A20F71" w14:textId="77777777" w:rsidR="002E6587" w:rsidRPr="00995753" w:rsidRDefault="002E6587" w:rsidP="00411DE2">
      <w:pPr>
        <w:pStyle w:val="paragraph"/>
      </w:pPr>
      <w:r w:rsidRPr="00995753">
        <w:tab/>
        <w:t>(b)</w:t>
      </w:r>
      <w:r w:rsidRPr="00995753">
        <w:tab/>
        <w:t xml:space="preserve">the </w:t>
      </w:r>
      <w:r w:rsidRPr="00995753">
        <w:rPr>
          <w:b/>
          <w:i/>
        </w:rPr>
        <w:t>amendment day</w:t>
      </w:r>
      <w:r w:rsidRPr="00995753">
        <w:rPr>
          <w:b/>
        </w:rPr>
        <w:t xml:space="preserve"> </w:t>
      </w:r>
      <w:r w:rsidRPr="00995753">
        <w:t xml:space="preserve">is the day on which Schedule 1 to the </w:t>
      </w:r>
      <w:r w:rsidRPr="00995753">
        <w:rPr>
          <w:i/>
          <w:noProof/>
        </w:rPr>
        <w:t>Competition and Consumer (Consumer Data Right) Amendment Rules (No. 2) 2021</w:t>
      </w:r>
      <w:r w:rsidRPr="00995753">
        <w:t xml:space="preserve"> commenced.</w:t>
      </w:r>
    </w:p>
    <w:p w14:paraId="45373B84" w14:textId="77777777" w:rsidR="002E6587" w:rsidRPr="00995753" w:rsidRDefault="002E6587" w:rsidP="00411DE2">
      <w:pPr>
        <w:pStyle w:val="ActHead5"/>
      </w:pPr>
      <w:bookmarkStart w:id="103" w:name="_Toc86237413"/>
      <w:r w:rsidRPr="00995753">
        <w:lastRenderedPageBreak/>
        <w:t>8.4  Product data requests under Part 2 of these rules</w:t>
      </w:r>
      <w:bookmarkEnd w:id="103"/>
    </w:p>
    <w:p w14:paraId="72F30C25" w14:textId="77777777" w:rsidR="002E6587" w:rsidRPr="00995753" w:rsidRDefault="002E6587" w:rsidP="00411DE2">
      <w:pPr>
        <w:pStyle w:val="subsection"/>
      </w:pPr>
      <w:r w:rsidRPr="00995753">
        <w:tab/>
        <w:t>(1)</w:t>
      </w:r>
      <w:r w:rsidRPr="00995753">
        <w:tab/>
        <w:t>Part 2 of these rules (</w:t>
      </w:r>
      <w:r w:rsidRPr="00995753">
        <w:rPr>
          <w:b/>
          <w:i/>
        </w:rPr>
        <w:t>Part 2</w:t>
      </w:r>
      <w:r w:rsidRPr="00995753">
        <w:t>) does not apply in relation to energy sector data except as provided in this clause.</w:t>
      </w:r>
    </w:p>
    <w:p w14:paraId="7125D56F" w14:textId="77777777" w:rsidR="002E6587" w:rsidRPr="00995753" w:rsidRDefault="002E6587" w:rsidP="00411DE2">
      <w:pPr>
        <w:pStyle w:val="subsection"/>
      </w:pPr>
      <w:r w:rsidRPr="00995753">
        <w:tab/>
        <w:t>(2)</w:t>
      </w:r>
      <w:r w:rsidRPr="00995753">
        <w:tab/>
        <w:t xml:space="preserve">Part 2 applies to the AER on and from 1 October 2022.   </w:t>
      </w:r>
    </w:p>
    <w:p w14:paraId="5379F60A" w14:textId="77777777" w:rsidR="002E6587" w:rsidRPr="00995753" w:rsidRDefault="002E6587" w:rsidP="00411DE2">
      <w:pPr>
        <w:pStyle w:val="subsection"/>
      </w:pPr>
      <w:r w:rsidRPr="00995753">
        <w:tab/>
        <w:t>(3)</w:t>
      </w:r>
      <w:r w:rsidRPr="00995753">
        <w:tab/>
        <w:t xml:space="preserve">Part 2 applies to the Victorian agency on and from the tranche 1 (VA) date.   </w:t>
      </w:r>
    </w:p>
    <w:p w14:paraId="08E0BB12" w14:textId="77777777" w:rsidR="002E6587" w:rsidRPr="00995753" w:rsidRDefault="002E6587" w:rsidP="00411DE2">
      <w:pPr>
        <w:pStyle w:val="ActHead5"/>
      </w:pPr>
      <w:bookmarkStart w:id="104" w:name="_Toc86237414"/>
      <w:r w:rsidRPr="00995753">
        <w:t>8.5  Consumer data requests under Part 3 of these rules</w:t>
      </w:r>
      <w:bookmarkEnd w:id="104"/>
    </w:p>
    <w:p w14:paraId="3075686C" w14:textId="77777777" w:rsidR="002E6587" w:rsidRPr="00995753" w:rsidRDefault="002E6587" w:rsidP="00411DE2">
      <w:pPr>
        <w:pStyle w:val="subsection"/>
      </w:pPr>
      <w:r w:rsidRPr="00995753">
        <w:tab/>
      </w:r>
      <w:r w:rsidRPr="00995753">
        <w:tab/>
        <w:t>Part 3 of these rules does not apply in relation to energy sector data.</w:t>
      </w:r>
    </w:p>
    <w:p w14:paraId="2333CAA2" w14:textId="77777777" w:rsidR="002E6587" w:rsidRPr="00995753" w:rsidRDefault="002E6587" w:rsidP="00411DE2">
      <w:pPr>
        <w:pStyle w:val="ActHead5"/>
      </w:pPr>
      <w:bookmarkStart w:id="105" w:name="_Toc86237415"/>
      <w:r w:rsidRPr="00995753">
        <w:t>8.6  Consumer data requests under Part 4 of these rules</w:t>
      </w:r>
      <w:bookmarkEnd w:id="105"/>
    </w:p>
    <w:p w14:paraId="14F162B3" w14:textId="77777777" w:rsidR="002E6587" w:rsidRPr="00995753" w:rsidRDefault="002E6587" w:rsidP="00411DE2">
      <w:pPr>
        <w:pStyle w:val="subsection"/>
      </w:pPr>
      <w:r w:rsidRPr="00995753">
        <w:tab/>
        <w:t>(1)</w:t>
      </w:r>
      <w:r w:rsidRPr="00995753">
        <w:tab/>
        <w:t>Part 4 of these rules (</w:t>
      </w:r>
      <w:r w:rsidRPr="00995753">
        <w:rPr>
          <w:b/>
          <w:i/>
        </w:rPr>
        <w:t>Part 4</w:t>
      </w:r>
      <w:r w:rsidRPr="00995753">
        <w:t>) does not apply in relation to energy sector data except as provided in this clause.</w:t>
      </w:r>
    </w:p>
    <w:p w14:paraId="0B642933" w14:textId="77777777" w:rsidR="002E6587" w:rsidRPr="00995753" w:rsidRDefault="002E6587" w:rsidP="00411DE2">
      <w:pPr>
        <w:pStyle w:val="SubsectionHead"/>
      </w:pPr>
      <w:r w:rsidRPr="00995753">
        <w:t>Tranche 1 — 15 November 2022</w:t>
      </w:r>
    </w:p>
    <w:p w14:paraId="1C8D3789" w14:textId="77777777" w:rsidR="002E6587" w:rsidRPr="00995753" w:rsidRDefault="002E6587" w:rsidP="00411DE2">
      <w:pPr>
        <w:pStyle w:val="subsection"/>
      </w:pPr>
      <w:r w:rsidRPr="00995753">
        <w:tab/>
        <w:t>(2)</w:t>
      </w:r>
      <w:r w:rsidRPr="00995753">
        <w:tab/>
        <w:t>Part 4 applies in relation to an initial retailer, except in relation to a complex request, on and from the tranche 1 date.</w:t>
      </w:r>
    </w:p>
    <w:p w14:paraId="70984A79" w14:textId="77777777" w:rsidR="002E6587" w:rsidRPr="00995753" w:rsidRDefault="002E6587" w:rsidP="00411DE2">
      <w:pPr>
        <w:pStyle w:val="subsection"/>
      </w:pPr>
      <w:r w:rsidRPr="00995753">
        <w:tab/>
        <w:t>(3)</w:t>
      </w:r>
      <w:r w:rsidRPr="00995753">
        <w:tab/>
        <w:t>Part 4 applies to AEMO on and from the tranche 1 date.</w:t>
      </w:r>
    </w:p>
    <w:p w14:paraId="1D6DFDA5" w14:textId="77777777" w:rsidR="002E6587" w:rsidRPr="00995753" w:rsidRDefault="002E6587" w:rsidP="00411DE2">
      <w:pPr>
        <w:pStyle w:val="SubsectionHead"/>
      </w:pPr>
      <w:r w:rsidRPr="00995753">
        <w:t>Tranche 2 — 15 May 2023</w:t>
      </w:r>
    </w:p>
    <w:p w14:paraId="1FA855D2" w14:textId="77777777" w:rsidR="002E6587" w:rsidRPr="00995753" w:rsidRDefault="002E6587" w:rsidP="00411DE2">
      <w:pPr>
        <w:pStyle w:val="subsection"/>
      </w:pPr>
      <w:r w:rsidRPr="00995753">
        <w:tab/>
        <w:t>(4)</w:t>
      </w:r>
      <w:r w:rsidRPr="00995753">
        <w:tab/>
        <w:t>Part 4 applies in relation to an initial retailer in relation to a complex request on and from the tranche 2 date.</w:t>
      </w:r>
    </w:p>
    <w:p w14:paraId="17F11995" w14:textId="77777777" w:rsidR="002E6587" w:rsidRPr="00995753" w:rsidRDefault="002E6587" w:rsidP="00411DE2">
      <w:pPr>
        <w:pStyle w:val="SubsectionHead"/>
      </w:pPr>
      <w:r w:rsidRPr="00995753">
        <w:t>Tranche 3 — 1 November 2023</w:t>
      </w:r>
    </w:p>
    <w:p w14:paraId="176F16C3" w14:textId="77777777" w:rsidR="002E6587" w:rsidRPr="00995753" w:rsidRDefault="002E6587" w:rsidP="00411DE2">
      <w:pPr>
        <w:pStyle w:val="subsection"/>
      </w:pPr>
      <w:r w:rsidRPr="00995753">
        <w:tab/>
        <w:t>(5)</w:t>
      </w:r>
      <w:r w:rsidRPr="00995753">
        <w:tab/>
        <w:t>Part 4 applies to a larger retailer, except in relation to a complex request, on and from the later of the tranche 3 date and the date that it becomes a larger retailer.</w:t>
      </w:r>
    </w:p>
    <w:p w14:paraId="1BC90212" w14:textId="77777777" w:rsidR="002E6587" w:rsidRPr="00995753" w:rsidRDefault="002E6587" w:rsidP="00411DE2">
      <w:pPr>
        <w:pStyle w:val="SubsectionHead"/>
      </w:pPr>
      <w:r w:rsidRPr="00995753">
        <w:t>Tranche 4 — 1 May 2024</w:t>
      </w:r>
    </w:p>
    <w:p w14:paraId="09612E1B" w14:textId="77777777" w:rsidR="002E6587" w:rsidRPr="00995753" w:rsidRDefault="002E6587" w:rsidP="00411DE2">
      <w:pPr>
        <w:pStyle w:val="subsection"/>
      </w:pPr>
      <w:r w:rsidRPr="00995753">
        <w:tab/>
        <w:t>(6)</w:t>
      </w:r>
      <w:r w:rsidRPr="00995753">
        <w:tab/>
        <w:t>Part 4 applies to a larger retailer in relation to a complex request on and from the later of the tranche 4 date and the date that it becomes a larger retailer.</w:t>
      </w:r>
    </w:p>
    <w:p w14:paraId="703272CF" w14:textId="77777777" w:rsidR="002E6587" w:rsidRPr="00995753" w:rsidRDefault="002E6587" w:rsidP="00411DE2">
      <w:pPr>
        <w:pStyle w:val="SubsectionHead"/>
      </w:pPr>
      <w:r w:rsidRPr="00995753">
        <w:t>Application of Part 4 to small retailers that are accredited persons</w:t>
      </w:r>
    </w:p>
    <w:p w14:paraId="5A6B6775" w14:textId="77777777" w:rsidR="002E6587" w:rsidRPr="00995753" w:rsidRDefault="002E6587" w:rsidP="00411DE2">
      <w:pPr>
        <w:pStyle w:val="subsection"/>
      </w:pPr>
      <w:r w:rsidRPr="00995753">
        <w:tab/>
        <w:t>(7)</w:t>
      </w:r>
      <w:r w:rsidRPr="00995753">
        <w:tab/>
        <w:t>Part 4 applies to a small retailer that is an accredited person, except in relation to a complex request, on and from the later of:</w:t>
      </w:r>
    </w:p>
    <w:p w14:paraId="656CE1DF" w14:textId="77777777" w:rsidR="002E6587" w:rsidRPr="00995753" w:rsidRDefault="002E6587" w:rsidP="00411DE2">
      <w:pPr>
        <w:pStyle w:val="paragraph"/>
      </w:pPr>
      <w:r w:rsidRPr="00995753">
        <w:tab/>
        <w:t>(a)</w:t>
      </w:r>
      <w:r w:rsidRPr="00995753">
        <w:tab/>
        <w:t>the day 12 months after the tranche 1 date; and</w:t>
      </w:r>
    </w:p>
    <w:p w14:paraId="1D221735" w14:textId="77777777" w:rsidR="002E6587" w:rsidRPr="00995753" w:rsidRDefault="002E6587" w:rsidP="00411DE2">
      <w:pPr>
        <w:pStyle w:val="paragraph"/>
      </w:pPr>
      <w:r w:rsidRPr="00995753">
        <w:tab/>
        <w:t>(b)</w:t>
      </w:r>
      <w:r w:rsidRPr="00995753">
        <w:tab/>
        <w:t>the day 12 months after the day that it became an accredited person.</w:t>
      </w:r>
    </w:p>
    <w:p w14:paraId="3FE11502" w14:textId="77777777" w:rsidR="002E6587" w:rsidRPr="00995753" w:rsidRDefault="002E6587" w:rsidP="00411DE2">
      <w:pPr>
        <w:pStyle w:val="subsection"/>
      </w:pPr>
      <w:r w:rsidRPr="00995753">
        <w:tab/>
        <w:t>(8)</w:t>
      </w:r>
      <w:r w:rsidRPr="00995753">
        <w:tab/>
        <w:t xml:space="preserve">Part 4 applies to a </w:t>
      </w:r>
      <w:r w:rsidR="00DF3860" w:rsidRPr="00995753">
        <w:t xml:space="preserve">small </w:t>
      </w:r>
      <w:r w:rsidRPr="00995753">
        <w:t>retailer that is an accredited person in relation to a complex request on and from the later of:</w:t>
      </w:r>
    </w:p>
    <w:p w14:paraId="38EFD5E1" w14:textId="77777777" w:rsidR="002E6587" w:rsidRPr="00995753" w:rsidRDefault="002E6587" w:rsidP="00411DE2">
      <w:pPr>
        <w:pStyle w:val="paragraph"/>
      </w:pPr>
      <w:r w:rsidRPr="00995753">
        <w:tab/>
        <w:t>(a)</w:t>
      </w:r>
      <w:r w:rsidRPr="00995753">
        <w:tab/>
        <w:t>the day 18 months after the tranche 1 date; and</w:t>
      </w:r>
    </w:p>
    <w:p w14:paraId="63ECDEA5" w14:textId="77777777" w:rsidR="002E6587" w:rsidRPr="00995753" w:rsidRDefault="002E6587" w:rsidP="00411DE2">
      <w:pPr>
        <w:pStyle w:val="paragraph"/>
      </w:pPr>
      <w:r w:rsidRPr="00995753">
        <w:tab/>
        <w:t>(b)</w:t>
      </w:r>
      <w:r w:rsidRPr="00995753">
        <w:tab/>
        <w:t>the day 18 months after the day that it became an accredited person.</w:t>
      </w:r>
    </w:p>
    <w:p w14:paraId="11264BD7" w14:textId="77777777" w:rsidR="002E6587" w:rsidRPr="00995753" w:rsidRDefault="002E6587" w:rsidP="00411DE2">
      <w:pPr>
        <w:pStyle w:val="SubsectionHead"/>
      </w:pPr>
      <w:r w:rsidRPr="00995753">
        <w:lastRenderedPageBreak/>
        <w:t>Voluntary application of Part 4 to small retailers</w:t>
      </w:r>
    </w:p>
    <w:p w14:paraId="0538402A" w14:textId="77777777" w:rsidR="002E6587" w:rsidRPr="00995753" w:rsidRDefault="002E6587" w:rsidP="00411DE2">
      <w:pPr>
        <w:pStyle w:val="subsection"/>
      </w:pPr>
      <w:r w:rsidRPr="00995753">
        <w:tab/>
        <w:t>(9)</w:t>
      </w:r>
      <w:r w:rsidRPr="00995753">
        <w:tab/>
        <w:t xml:space="preserve">A </w:t>
      </w:r>
      <w:r w:rsidR="00DF3860" w:rsidRPr="00995753">
        <w:t xml:space="preserve">small </w:t>
      </w:r>
      <w:r w:rsidRPr="00995753">
        <w:t>retailer may notify the Commission that it wishes Part 4 to apply to it:</w:t>
      </w:r>
    </w:p>
    <w:p w14:paraId="5A02428E" w14:textId="77777777" w:rsidR="002E6587" w:rsidRPr="00995753" w:rsidRDefault="002E6587" w:rsidP="00411DE2">
      <w:pPr>
        <w:pStyle w:val="paragraph"/>
      </w:pPr>
      <w:r w:rsidRPr="00995753">
        <w:tab/>
        <w:t>(a)</w:t>
      </w:r>
      <w:r w:rsidRPr="00995753">
        <w:tab/>
        <w:t>except in relation to a complex request—on and from a specified date that is no earlier than the tranche 1 date; and</w:t>
      </w:r>
    </w:p>
    <w:p w14:paraId="23C01D60" w14:textId="77777777" w:rsidR="002E6587" w:rsidRPr="00995753" w:rsidRDefault="002E6587" w:rsidP="00411DE2">
      <w:pPr>
        <w:pStyle w:val="paragraph"/>
      </w:pPr>
      <w:r w:rsidRPr="00995753">
        <w:tab/>
        <w:t>(b)</w:t>
      </w:r>
      <w:r w:rsidRPr="00995753">
        <w:tab/>
        <w:t>in relation to a complex request—on and from a specified date that is no earlier than the tranche 2 date.</w:t>
      </w:r>
    </w:p>
    <w:p w14:paraId="1C33B2E9" w14:textId="77777777" w:rsidR="002E6587" w:rsidRPr="00995753" w:rsidRDefault="002E6587" w:rsidP="00411DE2">
      <w:pPr>
        <w:pStyle w:val="subsection"/>
      </w:pPr>
      <w:r w:rsidRPr="00995753">
        <w:tab/>
        <w:t>(10)</w:t>
      </w:r>
      <w:r w:rsidRPr="00995753">
        <w:tab/>
        <w:t xml:space="preserve">Subject to subclauses (7) and (8), Part 4 applies in relation to the </w:t>
      </w:r>
      <w:r w:rsidR="00DF3860" w:rsidRPr="00995753">
        <w:t xml:space="preserve">small </w:t>
      </w:r>
      <w:r w:rsidRPr="00995753">
        <w:t>retailer, in accordance with the request, on and from the dates so specified.</w:t>
      </w:r>
    </w:p>
    <w:p w14:paraId="06634F9E" w14:textId="77777777" w:rsidR="002E6587" w:rsidRPr="00995753" w:rsidRDefault="002E6587" w:rsidP="00411DE2">
      <w:pPr>
        <w:pStyle w:val="ActHead5"/>
      </w:pPr>
      <w:bookmarkStart w:id="106" w:name="_Toc86237416"/>
      <w:r w:rsidRPr="00995753">
        <w:t>8.7  Authorisation to disclose CDR data before being required to do so</w:t>
      </w:r>
      <w:bookmarkEnd w:id="106"/>
    </w:p>
    <w:p w14:paraId="2AF21201" w14:textId="77777777" w:rsidR="002E6587" w:rsidRPr="00995753" w:rsidRDefault="002E6587" w:rsidP="00411DE2">
      <w:pPr>
        <w:pStyle w:val="subsection"/>
      </w:pPr>
      <w:r w:rsidRPr="00995753">
        <w:tab/>
        <w:t>(1)</w:t>
      </w:r>
      <w:r w:rsidRPr="00995753">
        <w:tab/>
        <w:t xml:space="preserve">This clause applies in relation to a request for disclosure of CDR data that has been made to a retailer in accordance with Part 2, Part 3 or Part 4 of these rules (the </w:t>
      </w:r>
      <w:r w:rsidRPr="00995753">
        <w:rPr>
          <w:b/>
          <w:bCs/>
          <w:i/>
          <w:iCs/>
        </w:rPr>
        <w:t>relevant data request Part</w:t>
      </w:r>
      <w:r w:rsidRPr="00995753">
        <w:t>) if:</w:t>
      </w:r>
    </w:p>
    <w:p w14:paraId="23A96D48" w14:textId="77777777" w:rsidR="002E6587" w:rsidRPr="00995753" w:rsidRDefault="002E6587" w:rsidP="00411DE2">
      <w:pPr>
        <w:pStyle w:val="paragraph"/>
      </w:pPr>
      <w:r w:rsidRPr="00995753">
        <w:tab/>
        <w:t>(a)</w:t>
      </w:r>
      <w:r w:rsidRPr="00995753">
        <w:tab/>
        <w:t>the request was made on or after the tranche 1 day; and</w:t>
      </w:r>
    </w:p>
    <w:p w14:paraId="35D2307C" w14:textId="77777777" w:rsidR="002E6587" w:rsidRPr="00995753" w:rsidRDefault="002E6587" w:rsidP="00411DE2">
      <w:pPr>
        <w:pStyle w:val="paragraph"/>
      </w:pPr>
      <w:r w:rsidRPr="00995753">
        <w:tab/>
        <w:t>(b)</w:t>
      </w:r>
      <w:r w:rsidRPr="00995753">
        <w:tab/>
        <w:t>the requested CDR data is any of the following:</w:t>
      </w:r>
    </w:p>
    <w:p w14:paraId="5B9AC9E8" w14:textId="77777777" w:rsidR="002E6587" w:rsidRPr="00995753" w:rsidRDefault="002E6587" w:rsidP="00411DE2">
      <w:pPr>
        <w:pStyle w:val="paragraphsub"/>
      </w:pPr>
      <w:r w:rsidRPr="00995753">
        <w:tab/>
        <w:t>(i)</w:t>
      </w:r>
      <w:r w:rsidRPr="00995753">
        <w:tab/>
        <w:t>required product data;</w:t>
      </w:r>
    </w:p>
    <w:p w14:paraId="5C40A059" w14:textId="77777777" w:rsidR="002E6587" w:rsidRPr="00995753" w:rsidRDefault="002E6587" w:rsidP="00411DE2">
      <w:pPr>
        <w:pStyle w:val="paragraphsub"/>
      </w:pPr>
      <w:r w:rsidRPr="00995753">
        <w:tab/>
        <w:t>(ii)</w:t>
      </w:r>
      <w:r w:rsidRPr="00995753">
        <w:tab/>
        <w:t>voluntary product data;</w:t>
      </w:r>
    </w:p>
    <w:p w14:paraId="365452B8" w14:textId="77777777" w:rsidR="002E6587" w:rsidRPr="00995753" w:rsidRDefault="002E6587" w:rsidP="00411DE2">
      <w:pPr>
        <w:pStyle w:val="paragraphsub"/>
      </w:pPr>
      <w:r w:rsidRPr="00995753">
        <w:tab/>
        <w:t>(iii)</w:t>
      </w:r>
      <w:r w:rsidRPr="00995753">
        <w:tab/>
        <w:t>required consumer data;</w:t>
      </w:r>
    </w:p>
    <w:p w14:paraId="5BF63542" w14:textId="77777777" w:rsidR="002E6587" w:rsidRPr="00995753" w:rsidRDefault="002E6587" w:rsidP="00411DE2">
      <w:pPr>
        <w:pStyle w:val="paragraphsub"/>
      </w:pPr>
      <w:r w:rsidRPr="00995753">
        <w:tab/>
        <w:t>(iv)</w:t>
      </w:r>
      <w:r w:rsidRPr="00995753">
        <w:tab/>
        <w:t>voluntary consumer data; and</w:t>
      </w:r>
    </w:p>
    <w:p w14:paraId="0F660BB5" w14:textId="77777777" w:rsidR="002E6587" w:rsidRPr="00995753" w:rsidRDefault="002E6587" w:rsidP="00411DE2">
      <w:pPr>
        <w:pStyle w:val="paragraph"/>
      </w:pPr>
      <w:r w:rsidRPr="00995753">
        <w:tab/>
        <w:t>(c)</w:t>
      </w:r>
      <w:r w:rsidRPr="00995753">
        <w:tab/>
        <w:t>the requested CDR data includes some pre</w:t>
      </w:r>
      <w:r w:rsidRPr="00995753">
        <w:noBreakHyphen/>
        <w:t>application CDR data.</w:t>
      </w:r>
    </w:p>
    <w:p w14:paraId="58DBD35A" w14:textId="77777777" w:rsidR="002E6587" w:rsidRPr="00995753" w:rsidRDefault="002E6587" w:rsidP="00411DE2">
      <w:pPr>
        <w:pStyle w:val="subsection"/>
      </w:pPr>
      <w:r w:rsidRPr="00995753">
        <w:tab/>
        <w:t>(2)</w:t>
      </w:r>
      <w:r w:rsidRPr="00995753">
        <w:tab/>
        <w:t>For these rules, the retailer may disclose any or all of the pre</w:t>
      </w:r>
      <w:r w:rsidRPr="00995753">
        <w:noBreakHyphen/>
        <w:t>application CDR data in response to the request in accordance with the relevant data request Part.</w:t>
      </w:r>
    </w:p>
    <w:p w14:paraId="0448112B" w14:textId="77777777" w:rsidR="002E6587" w:rsidRPr="00995753" w:rsidRDefault="002E6587" w:rsidP="00411DE2">
      <w:pPr>
        <w:pStyle w:val="subsection"/>
      </w:pPr>
      <w:r w:rsidRPr="00995753">
        <w:tab/>
        <w:t>(3)</w:t>
      </w:r>
      <w:r w:rsidRPr="00995753">
        <w:tab/>
        <w:t xml:space="preserve">In this clause, </w:t>
      </w:r>
      <w:r w:rsidRPr="00995753">
        <w:rPr>
          <w:b/>
          <w:bCs/>
          <w:i/>
          <w:iCs/>
        </w:rPr>
        <w:t>pre-application CDR data</w:t>
      </w:r>
      <w:r w:rsidRPr="00995753">
        <w:t xml:space="preserve"> means CDR data that, but for the operation of this Part, the data holder would be required or authorised by the relevant data request Part to disclose in response to the request.</w:t>
      </w:r>
    </w:p>
    <w:p w14:paraId="5BC7608E" w14:textId="77777777" w:rsidR="002E6587" w:rsidRPr="00995753" w:rsidRDefault="002E6587" w:rsidP="00411DE2">
      <w:pPr>
        <w:pStyle w:val="ActHead2"/>
      </w:pPr>
      <w:bookmarkStart w:id="107" w:name="_Toc86237418"/>
      <w:r w:rsidRPr="00995753">
        <w:t>Part 9—Other rules, and modifications of these rules, for the energy sector</w:t>
      </w:r>
      <w:bookmarkEnd w:id="107"/>
    </w:p>
    <w:p w14:paraId="0AD021CC" w14:textId="77777777" w:rsidR="002E6587" w:rsidRPr="00995753" w:rsidRDefault="002E6587" w:rsidP="00411DE2">
      <w:pPr>
        <w:pStyle w:val="ActHead5"/>
      </w:pPr>
      <w:bookmarkStart w:id="108" w:name="_Toc86237419"/>
      <w:r w:rsidRPr="00995753">
        <w:t>9.1  Laws relevant to the management of CDR data—energy sector</w:t>
      </w:r>
      <w:bookmarkEnd w:id="108"/>
    </w:p>
    <w:p w14:paraId="6DAD4C66" w14:textId="77777777" w:rsidR="002E6587" w:rsidRPr="00995753" w:rsidRDefault="002E6587" w:rsidP="00411DE2">
      <w:pPr>
        <w:pStyle w:val="subsection"/>
      </w:pPr>
      <w:r w:rsidRPr="00995753">
        <w:tab/>
      </w:r>
      <w:r w:rsidRPr="00995753">
        <w:tab/>
        <w:t>For paragraph (f) of the definition of “law relevant to the management of CDR data” in rule 1.7 of these rules:</w:t>
      </w:r>
    </w:p>
    <w:p w14:paraId="2C58D539" w14:textId="77777777" w:rsidR="002E6587" w:rsidRPr="00995753" w:rsidRDefault="002E6587" w:rsidP="00411DE2">
      <w:pPr>
        <w:pStyle w:val="paragraph"/>
        <w:rPr>
          <w:rFonts w:eastAsia="Calibri"/>
        </w:rPr>
      </w:pPr>
      <w:r w:rsidRPr="00995753">
        <w:rPr>
          <w:rFonts w:eastAsia="Calibri"/>
        </w:rPr>
        <w:tab/>
        <w:t>(a)</w:t>
      </w:r>
      <w:r w:rsidRPr="00995753">
        <w:rPr>
          <w:rFonts w:eastAsia="Calibri"/>
        </w:rPr>
        <w:tab/>
        <w:t>the National Electricity Law; and</w:t>
      </w:r>
    </w:p>
    <w:p w14:paraId="66F8C266" w14:textId="77777777" w:rsidR="002E6587" w:rsidRPr="00995753" w:rsidRDefault="002E6587" w:rsidP="00411DE2">
      <w:pPr>
        <w:pStyle w:val="paragraph"/>
        <w:rPr>
          <w:rFonts w:eastAsia="Calibri"/>
        </w:rPr>
      </w:pPr>
      <w:r w:rsidRPr="00995753">
        <w:rPr>
          <w:rFonts w:eastAsia="Calibri"/>
        </w:rPr>
        <w:tab/>
        <w:t>(b)</w:t>
      </w:r>
      <w:r w:rsidRPr="00995753">
        <w:rPr>
          <w:rFonts w:eastAsia="Calibri"/>
        </w:rPr>
        <w:tab/>
        <w:t>the National Energy Retail Law; and</w:t>
      </w:r>
    </w:p>
    <w:p w14:paraId="7046A2F6" w14:textId="77777777" w:rsidR="002E6587" w:rsidRPr="00995753" w:rsidRDefault="002E6587" w:rsidP="00411DE2">
      <w:pPr>
        <w:pStyle w:val="paragraph"/>
        <w:rPr>
          <w:rFonts w:eastAsia="Calibri"/>
        </w:rPr>
      </w:pPr>
      <w:r w:rsidRPr="00995753">
        <w:rPr>
          <w:rFonts w:eastAsia="Calibri"/>
        </w:rPr>
        <w:tab/>
        <w:t>(c)</w:t>
      </w:r>
      <w:r w:rsidRPr="00995753">
        <w:rPr>
          <w:rFonts w:eastAsia="Calibri"/>
        </w:rPr>
        <w:tab/>
        <w:t xml:space="preserve">the </w:t>
      </w:r>
      <w:r w:rsidRPr="00995753">
        <w:rPr>
          <w:i/>
          <w:iCs/>
        </w:rPr>
        <w:t>Electricity Industry Act 2000</w:t>
      </w:r>
      <w:r w:rsidRPr="00995753">
        <w:t xml:space="preserve"> (Vic);</w:t>
      </w:r>
    </w:p>
    <w:p w14:paraId="60E6A463" w14:textId="77777777" w:rsidR="002E6587" w:rsidRPr="00995753" w:rsidRDefault="002E6587" w:rsidP="00411DE2">
      <w:pPr>
        <w:pStyle w:val="subsection20"/>
      </w:pPr>
      <w:r w:rsidRPr="00995753">
        <w:tab/>
      </w:r>
      <w:r w:rsidRPr="00995753">
        <w:tab/>
        <w:t>are laws relevant to the management of CDR data in relation to the energy sector.</w:t>
      </w:r>
    </w:p>
    <w:p w14:paraId="0B3D4EE6" w14:textId="77777777" w:rsidR="002E6587" w:rsidRPr="00995753" w:rsidRDefault="002E6587" w:rsidP="00411DE2">
      <w:pPr>
        <w:pStyle w:val="ActHead5"/>
      </w:pPr>
      <w:bookmarkStart w:id="109" w:name="_Toc86237420"/>
      <w:r w:rsidRPr="00995753">
        <w:t>9.2  Conditions for accredited person to be data holder</w:t>
      </w:r>
      <w:bookmarkEnd w:id="109"/>
    </w:p>
    <w:p w14:paraId="4A08745E" w14:textId="77777777" w:rsidR="002E6587" w:rsidRPr="00995753" w:rsidRDefault="002E6587" w:rsidP="00411DE2">
      <w:pPr>
        <w:pStyle w:val="subsection"/>
      </w:pPr>
      <w:r w:rsidRPr="00995753">
        <w:tab/>
        <w:t>(1)</w:t>
      </w:r>
      <w:r w:rsidRPr="00995753">
        <w:tab/>
        <w:t xml:space="preserve">For paragraph 56AJ(4)(c) of the Act, this clause sets out conditions for a person that has collected CDR data in accordance with a consumer data request under Part 4 of these rules to be a data holder (rather than an accredited data recipient) </w:t>
      </w:r>
      <w:r w:rsidRPr="00995753">
        <w:lastRenderedPageBreak/>
        <w:t xml:space="preserve">of that CDR data and any CDR data that it directly or indirectly derived from that CDR data (together, the </w:t>
      </w:r>
      <w:r w:rsidRPr="00995753">
        <w:rPr>
          <w:b/>
          <w:i/>
        </w:rPr>
        <w:t xml:space="preserve">relevant </w:t>
      </w:r>
      <w:r w:rsidRPr="00995753">
        <w:t>CDR data</w:t>
      </w:r>
      <w:r w:rsidRPr="00995753">
        <w:rPr>
          <w:b/>
        </w:rPr>
        <w:t>)</w:t>
      </w:r>
      <w:r w:rsidRPr="00995753">
        <w:t>.</w:t>
      </w:r>
    </w:p>
    <w:p w14:paraId="4165176F" w14:textId="77777777" w:rsidR="002E6587" w:rsidRPr="00995753" w:rsidRDefault="002E6587" w:rsidP="00411DE2">
      <w:pPr>
        <w:pStyle w:val="subsection"/>
      </w:pPr>
      <w:r w:rsidRPr="00995753">
        <w:tab/>
        <w:t>(2)</w:t>
      </w:r>
      <w:r w:rsidRPr="00995753">
        <w:tab/>
        <w:t>The conditions are that:</w:t>
      </w:r>
    </w:p>
    <w:p w14:paraId="5E40DCA2" w14:textId="77777777" w:rsidR="002E6587" w:rsidRPr="00995753" w:rsidRDefault="002E6587" w:rsidP="00411DE2">
      <w:pPr>
        <w:pStyle w:val="paragraph"/>
      </w:pPr>
      <w:r w:rsidRPr="00995753">
        <w:tab/>
        <w:t>(a)</w:t>
      </w:r>
      <w:r w:rsidRPr="00995753">
        <w:tab/>
        <w:t>the person is a retailer; and</w:t>
      </w:r>
    </w:p>
    <w:p w14:paraId="795D0E7C" w14:textId="77777777" w:rsidR="002E6587" w:rsidRPr="00995753" w:rsidRDefault="002E6587" w:rsidP="00411DE2">
      <w:pPr>
        <w:pStyle w:val="paragraph"/>
      </w:pPr>
      <w:r w:rsidRPr="00995753">
        <w:tab/>
        <w:t>(b)</w:t>
      </w:r>
      <w:r w:rsidRPr="00995753">
        <w:tab/>
        <w:t xml:space="preserve">the CDR data is information covered by item 1, 3 or 5 of the table in section 12 of the of the energy sector designation instrument; and </w:t>
      </w:r>
    </w:p>
    <w:p w14:paraId="0201B0DF" w14:textId="77777777" w:rsidR="002E6587" w:rsidRPr="00995753" w:rsidRDefault="002E6587" w:rsidP="00411DE2">
      <w:pPr>
        <w:pStyle w:val="notetext"/>
      </w:pPr>
      <w:r w:rsidRPr="00995753">
        <w:t>Note:</w:t>
      </w:r>
      <w:r w:rsidRPr="00995753">
        <w:tab/>
        <w:t>These are the types of information for which a retailer is designated as a data holder under the designation instrument.</w:t>
      </w:r>
    </w:p>
    <w:p w14:paraId="15EB1E60" w14:textId="77777777" w:rsidR="002E6587" w:rsidRPr="00995753" w:rsidRDefault="002E6587" w:rsidP="00411DE2">
      <w:pPr>
        <w:pStyle w:val="paragraph"/>
      </w:pPr>
      <w:r w:rsidRPr="00995753">
        <w:tab/>
        <w:t>(c)</w:t>
      </w:r>
      <w:r w:rsidRPr="00995753">
        <w:tab/>
        <w:t>the CDR consumer is a customer of the person; and</w:t>
      </w:r>
    </w:p>
    <w:p w14:paraId="77F907AA" w14:textId="77777777" w:rsidR="002E6587" w:rsidRPr="00995753" w:rsidRDefault="002E6587" w:rsidP="00411DE2">
      <w:pPr>
        <w:pStyle w:val="paragraph"/>
      </w:pPr>
      <w:r w:rsidRPr="00995753">
        <w:tab/>
        <w:t>(d)</w:t>
      </w:r>
      <w:r w:rsidRPr="00995753">
        <w:tab/>
        <w:t>the person:</w:t>
      </w:r>
    </w:p>
    <w:p w14:paraId="27A7FDD8" w14:textId="77777777" w:rsidR="002E6587" w:rsidRPr="00995753" w:rsidRDefault="002E6587" w:rsidP="00411DE2">
      <w:pPr>
        <w:pStyle w:val="paragraphsub"/>
      </w:pPr>
      <w:r w:rsidRPr="00995753">
        <w:tab/>
        <w:t>(i)</w:t>
      </w:r>
      <w:r w:rsidRPr="00995753">
        <w:tab/>
        <w:t>reasonably believes that the relevant CDR data is relevant to the arrangement with the CDR consumer; and</w:t>
      </w:r>
    </w:p>
    <w:p w14:paraId="72C20F52" w14:textId="77777777" w:rsidR="002E6587" w:rsidRPr="00995753" w:rsidRDefault="002E6587" w:rsidP="00411DE2">
      <w:pPr>
        <w:pStyle w:val="paragraphsub"/>
      </w:pPr>
      <w:r w:rsidRPr="00995753">
        <w:tab/>
        <w:t>(ii)</w:t>
      </w:r>
      <w:r w:rsidRPr="00995753">
        <w:tab/>
        <w:t>has asked the CDR consumer to agree to the person being a data holder, rather than an accredited data recipient, of the relevant CDR data; and</w:t>
      </w:r>
    </w:p>
    <w:p w14:paraId="19D2C469" w14:textId="77777777" w:rsidR="002E6587" w:rsidRPr="00995753" w:rsidRDefault="002E6587" w:rsidP="00411DE2">
      <w:pPr>
        <w:pStyle w:val="paragraphsub"/>
      </w:pPr>
      <w:r w:rsidRPr="00995753">
        <w:tab/>
        <w:t>(iii)</w:t>
      </w:r>
      <w:r w:rsidRPr="00995753">
        <w:tab/>
        <w:t>has explained to the CDR consumer:</w:t>
      </w:r>
    </w:p>
    <w:p w14:paraId="45C5C14B" w14:textId="77777777" w:rsidR="002E6587" w:rsidRPr="00995753" w:rsidRDefault="002E6587" w:rsidP="00411DE2">
      <w:pPr>
        <w:pStyle w:val="paragraphsub-sub"/>
      </w:pPr>
      <w:r w:rsidRPr="00995753">
        <w:tab/>
        <w:t>(A)</w:t>
      </w:r>
      <w:r w:rsidRPr="00995753">
        <w:tab/>
        <w:t>that, as a result, the privacy safeguards, to the extent that they apply to an accredited data recipient of CDR data, would no longer apply to the person in relation to the relevant CDR data; and</w:t>
      </w:r>
    </w:p>
    <w:p w14:paraId="4E952938" w14:textId="77777777" w:rsidR="002E6587" w:rsidRPr="00995753" w:rsidRDefault="002E6587" w:rsidP="00411DE2">
      <w:pPr>
        <w:pStyle w:val="paragraphsub-sub"/>
      </w:pPr>
      <w:r w:rsidRPr="00995753">
        <w:tab/>
        <w:t>(B)</w:t>
      </w:r>
      <w:r w:rsidRPr="00995753">
        <w:tab/>
        <w:t>the manner in which it proposes to treat the relevant CDR data; and</w:t>
      </w:r>
    </w:p>
    <w:p w14:paraId="4B5B346A" w14:textId="77777777" w:rsidR="002E6587" w:rsidRPr="00995753" w:rsidRDefault="002E6587" w:rsidP="00411DE2">
      <w:pPr>
        <w:pStyle w:val="paragraphsub-sub"/>
      </w:pPr>
      <w:r w:rsidRPr="00995753">
        <w:tab/>
        <w:t>(C)</w:t>
      </w:r>
      <w:r w:rsidRPr="00995753">
        <w:tab/>
        <w:t>why it is entitled to provide the CDR consumer with this option; and</w:t>
      </w:r>
    </w:p>
    <w:p w14:paraId="04F6B601" w14:textId="77777777" w:rsidR="002E6587" w:rsidRPr="00995753" w:rsidRDefault="002E6587" w:rsidP="00411DE2">
      <w:pPr>
        <w:pStyle w:val="paragraphsub"/>
      </w:pPr>
      <w:r w:rsidRPr="00995753">
        <w:tab/>
        <w:t>(iv)</w:t>
      </w:r>
      <w:r w:rsidRPr="00995753">
        <w:tab/>
        <w:t>has outlined the consequences, to the CDR consumer, of not agreeing to this; and</w:t>
      </w:r>
    </w:p>
    <w:p w14:paraId="07B102A2" w14:textId="77777777" w:rsidR="002E6587" w:rsidRPr="00995753" w:rsidRDefault="002E6587" w:rsidP="00411DE2">
      <w:pPr>
        <w:pStyle w:val="paragraph"/>
      </w:pPr>
      <w:r w:rsidRPr="00995753">
        <w:tab/>
        <w:t>(e)</w:t>
      </w:r>
      <w:r w:rsidRPr="00995753">
        <w:tab/>
        <w:t>the CDR consumer has agreed to the person being a data holder, rather than an accredited data recipient, of the relevant CDR data.</w:t>
      </w:r>
    </w:p>
    <w:p w14:paraId="2CBEB228" w14:textId="77777777" w:rsidR="002E6587" w:rsidRPr="00995753" w:rsidRDefault="002E6587" w:rsidP="00411DE2">
      <w:pPr>
        <w:pStyle w:val="SubsectionHead"/>
      </w:pPr>
      <w:r w:rsidRPr="00995753">
        <w:t>Related modifications of these rules</w:t>
      </w:r>
    </w:p>
    <w:p w14:paraId="2AC56FF1" w14:textId="77777777" w:rsidR="002E6587" w:rsidRPr="00995753" w:rsidRDefault="002E6587" w:rsidP="00411DE2">
      <w:pPr>
        <w:pStyle w:val="subsection"/>
      </w:pPr>
      <w:r w:rsidRPr="00995753">
        <w:tab/>
        <w:t>(3)</w:t>
      </w:r>
      <w:r w:rsidRPr="00995753">
        <w:tab/>
        <w:t>If a person becomes a data holder, rather than an accredited data recipient, of CDR data as a result of subsection 56AJ(4) of the Act and this clause:</w:t>
      </w:r>
    </w:p>
    <w:p w14:paraId="736427FF" w14:textId="77777777" w:rsidR="002E6587" w:rsidRPr="00995753" w:rsidRDefault="002E6587" w:rsidP="00411DE2">
      <w:pPr>
        <w:pStyle w:val="paragraph"/>
      </w:pPr>
      <w:r w:rsidRPr="00995753">
        <w:tab/>
        <w:t>(b)</w:t>
      </w:r>
      <w:r w:rsidRPr="00995753">
        <w:tab/>
        <w:t>for paragraph 4.26(1)(h) of these rules, any authorisations to disclose CDR data in relation to the consumer data request expire; and</w:t>
      </w:r>
    </w:p>
    <w:p w14:paraId="645F4B5C" w14:textId="77777777" w:rsidR="002E6587" w:rsidRPr="00995753" w:rsidRDefault="002E6587" w:rsidP="00411DE2">
      <w:pPr>
        <w:pStyle w:val="paragraph"/>
      </w:pPr>
      <w:r w:rsidRPr="00995753">
        <w:tab/>
        <w:t>(c)</w:t>
      </w:r>
      <w:r w:rsidRPr="00995753">
        <w:tab/>
        <w:t>if the person’s accreditation has been surrendered or revoked, the following do not apply to the person in relation to that CDR data:</w:t>
      </w:r>
    </w:p>
    <w:p w14:paraId="36DAEDA7" w14:textId="77777777" w:rsidR="002E6587" w:rsidRPr="00995753" w:rsidRDefault="002E6587" w:rsidP="00411DE2">
      <w:pPr>
        <w:pStyle w:val="paragraphsub"/>
      </w:pPr>
      <w:r w:rsidRPr="00995753">
        <w:tab/>
        <w:t>(i)</w:t>
      </w:r>
      <w:r w:rsidRPr="00995753">
        <w:tab/>
        <w:t>subrule 5.23(2);</w:t>
      </w:r>
    </w:p>
    <w:p w14:paraId="07DBE25C" w14:textId="77777777" w:rsidR="002E6587" w:rsidRPr="00995753" w:rsidRDefault="002E6587" w:rsidP="00411DE2">
      <w:pPr>
        <w:pStyle w:val="paragraphsub"/>
      </w:pPr>
      <w:r w:rsidRPr="00995753">
        <w:tab/>
        <w:t>(ii)</w:t>
      </w:r>
      <w:r w:rsidRPr="00995753">
        <w:tab/>
        <w:t>paragraph 5.23(3)(b).</w:t>
      </w:r>
    </w:p>
    <w:p w14:paraId="198789DD" w14:textId="77777777" w:rsidR="002E6587" w:rsidRPr="00995753" w:rsidRDefault="002E6587" w:rsidP="00411DE2">
      <w:pPr>
        <w:pStyle w:val="ActHead5"/>
      </w:pPr>
      <w:bookmarkStart w:id="110" w:name="_Toc86237421"/>
      <w:r w:rsidRPr="00995753">
        <w:t>9.3  Consultation by Data Recipient Accreditor (rule 5.4)</w:t>
      </w:r>
      <w:bookmarkEnd w:id="110"/>
    </w:p>
    <w:p w14:paraId="7FC09DBA" w14:textId="77777777" w:rsidR="002E6587" w:rsidRPr="00995753" w:rsidRDefault="002E6587" w:rsidP="00411DE2">
      <w:pPr>
        <w:pStyle w:val="subsection"/>
      </w:pPr>
      <w:r w:rsidRPr="00995753">
        <w:tab/>
      </w:r>
      <w:r w:rsidRPr="00995753">
        <w:tab/>
        <w:t>For paragraph 5.4(1)(c), the AER and the Essential Services Commission of Victoria are specified as authorities that the Data Recipient Accreditor may consult with.</w:t>
      </w:r>
    </w:p>
    <w:p w14:paraId="1B6FDC7D" w14:textId="77777777" w:rsidR="002E6587" w:rsidRPr="00995753" w:rsidRDefault="002E6587" w:rsidP="00411DE2">
      <w:pPr>
        <w:pStyle w:val="ActHead5"/>
      </w:pPr>
      <w:bookmarkStart w:id="111" w:name="_Toc86237422"/>
      <w:r w:rsidRPr="00995753">
        <w:lastRenderedPageBreak/>
        <w:t>9.4  AEMO not to appear on Registrar’s database (rule 5.25)</w:t>
      </w:r>
      <w:bookmarkEnd w:id="111"/>
    </w:p>
    <w:p w14:paraId="2D6A5AE3" w14:textId="77777777" w:rsidR="002E6587" w:rsidRPr="00995753" w:rsidRDefault="002E6587" w:rsidP="00411DE2">
      <w:pPr>
        <w:pStyle w:val="subsection"/>
      </w:pPr>
      <w:r w:rsidRPr="00995753">
        <w:tab/>
      </w:r>
      <w:r w:rsidRPr="00995753">
        <w:tab/>
        <w:t>For the purposes of subrule 5.25(1), AEMO is not to be treated as a data holder.</w:t>
      </w:r>
    </w:p>
    <w:p w14:paraId="642D8823" w14:textId="77777777" w:rsidR="002E6587" w:rsidRPr="00995753" w:rsidRDefault="002E6587" w:rsidP="00411DE2">
      <w:pPr>
        <w:pStyle w:val="notetext"/>
      </w:pPr>
      <w:r w:rsidRPr="00995753">
        <w:t>Note:</w:t>
      </w:r>
      <w:r w:rsidRPr="00995753">
        <w:tab/>
        <w:t>The function of the database to be maintained under subrule 5.25(1) is to provide information for the making of consumer data requests to data holders. Since requests for AEMO data will be made to the relevant retailer, the database will not require details relating to AEMO.</w:t>
      </w:r>
    </w:p>
    <w:p w14:paraId="41CC801B" w14:textId="77777777" w:rsidR="002E6587" w:rsidRPr="00995753" w:rsidRDefault="002E6587" w:rsidP="00411DE2">
      <w:pPr>
        <w:pStyle w:val="ActHead5"/>
      </w:pPr>
      <w:bookmarkStart w:id="112" w:name="_Toc86237423"/>
      <w:r w:rsidRPr="00995753">
        <w:t>9.5  Grounds for revocation, suspension and surrender of accreditation—energy sector</w:t>
      </w:r>
      <w:bookmarkEnd w:id="112"/>
    </w:p>
    <w:p w14:paraId="5D5B5A08" w14:textId="77777777" w:rsidR="002E6587" w:rsidRPr="00995753" w:rsidRDefault="002E6587" w:rsidP="00411DE2">
      <w:pPr>
        <w:pStyle w:val="subsection"/>
      </w:pPr>
      <w:r w:rsidRPr="00995753">
        <w:tab/>
      </w:r>
      <w:r w:rsidRPr="00995753">
        <w:tab/>
        <w:t>For item 5 of the table in rule 5.17:</w:t>
      </w:r>
    </w:p>
    <w:p w14:paraId="1499D706" w14:textId="77777777" w:rsidR="002E6587" w:rsidRPr="00995753" w:rsidRDefault="002E6587" w:rsidP="00411DE2">
      <w:pPr>
        <w:pStyle w:val="paragraph"/>
      </w:pPr>
      <w:r w:rsidRPr="00995753">
        <w:tab/>
        <w:t>(a)</w:t>
      </w:r>
      <w:r w:rsidRPr="00995753">
        <w:tab/>
        <w:t>the relevant condition is that the accredited person was, at the time of the accreditation, a retailer; and</w:t>
      </w:r>
    </w:p>
    <w:p w14:paraId="6CDACD28" w14:textId="77777777" w:rsidR="002E6587" w:rsidRPr="00995753" w:rsidRDefault="002E6587" w:rsidP="00411DE2">
      <w:pPr>
        <w:pStyle w:val="paragraph"/>
      </w:pPr>
      <w:r w:rsidRPr="00995753">
        <w:tab/>
        <w:t>(b)</w:t>
      </w:r>
      <w:r w:rsidRPr="00995753">
        <w:tab/>
        <w:t>the accredited person ceases to satisfy the condition if its authorisation or licence to sell electricity in the National Electricity Market has been suspended or revoked.</w:t>
      </w:r>
    </w:p>
    <w:p w14:paraId="20FD586A" w14:textId="77777777" w:rsidR="004F3C59" w:rsidRPr="00995753" w:rsidRDefault="004F3C59" w:rsidP="00411DE2"/>
    <w:p w14:paraId="7DD7BC89" w14:textId="77777777" w:rsidR="004F3C59" w:rsidRPr="00995753" w:rsidRDefault="004F3C59" w:rsidP="00411DE2">
      <w:pPr>
        <w:sectPr w:rsidR="004F3C59" w:rsidRPr="00995753" w:rsidSect="00A379FF">
          <w:headerReference w:type="even" r:id="rId32"/>
          <w:headerReference w:type="default" r:id="rId33"/>
          <w:footerReference w:type="even" r:id="rId34"/>
          <w:headerReference w:type="first" r:id="rId35"/>
          <w:footerReference w:type="first" r:id="rId36"/>
          <w:pgSz w:w="11907" w:h="16839"/>
          <w:pgMar w:top="1440" w:right="1797" w:bottom="1440" w:left="1797" w:header="720" w:footer="709" w:gutter="0"/>
          <w:cols w:space="708"/>
          <w:docGrid w:linePitch="360"/>
        </w:sectPr>
      </w:pPr>
      <w:bookmarkStart w:id="113" w:name="_Toc76740927"/>
    </w:p>
    <w:p w14:paraId="5868E1AF" w14:textId="77777777" w:rsidR="004F3C59" w:rsidRPr="00995753" w:rsidRDefault="004F3C59" w:rsidP="00411DE2">
      <w:pPr>
        <w:pStyle w:val="ActHead1"/>
      </w:pPr>
      <w:r w:rsidRPr="00995753">
        <w:lastRenderedPageBreak/>
        <w:t>Schedule 3—Miscellaneous amendments</w:t>
      </w:r>
      <w:bookmarkEnd w:id="113"/>
    </w:p>
    <w:p w14:paraId="4AA6D19D" w14:textId="77777777" w:rsidR="004F3C59" w:rsidRPr="00995753" w:rsidRDefault="004F3C59" w:rsidP="00411DE2">
      <w:pPr>
        <w:pStyle w:val="ActHead9"/>
      </w:pPr>
      <w:bookmarkStart w:id="114" w:name="_Toc76740928"/>
      <w:r w:rsidRPr="00995753">
        <w:t>Competition and Consumer (Consumer Data Right) Rules 2020</w:t>
      </w:r>
      <w:bookmarkEnd w:id="114"/>
    </w:p>
    <w:p w14:paraId="7CC4421B" w14:textId="77777777" w:rsidR="004F3C59" w:rsidRPr="00995753" w:rsidRDefault="00A7561A" w:rsidP="00411DE2">
      <w:pPr>
        <w:pStyle w:val="ItemHead"/>
      </w:pPr>
      <w:r>
        <w:rPr>
          <w:noProof/>
        </w:rPr>
        <w:t>1</w:t>
      </w:r>
      <w:r w:rsidR="004F3C59" w:rsidRPr="00995753">
        <w:t xml:space="preserve">  Rule 1.7, definition of </w:t>
      </w:r>
      <w:r w:rsidR="004F3C59" w:rsidRPr="00995753">
        <w:rPr>
          <w:i/>
        </w:rPr>
        <w:t>eligible</w:t>
      </w:r>
    </w:p>
    <w:p w14:paraId="1029105B" w14:textId="77777777" w:rsidR="004F3C59" w:rsidRPr="00995753" w:rsidRDefault="004F3C59" w:rsidP="00411DE2">
      <w:pPr>
        <w:pStyle w:val="Item"/>
      </w:pPr>
      <w:r w:rsidRPr="00995753">
        <w:t>Substitute:</w:t>
      </w:r>
    </w:p>
    <w:p w14:paraId="126520FE" w14:textId="77777777" w:rsidR="004F3C59" w:rsidRPr="00995753" w:rsidRDefault="004F3C59" w:rsidP="00411DE2">
      <w:pPr>
        <w:pStyle w:val="Definition"/>
      </w:pPr>
      <w:r w:rsidRPr="00995753">
        <w:rPr>
          <w:b/>
          <w:i/>
        </w:rPr>
        <w:t>eligible</w:t>
      </w:r>
      <w:r w:rsidRPr="00995753">
        <w:t>,</w:t>
      </w:r>
      <w:r w:rsidRPr="00995753">
        <w:rPr>
          <w:b/>
          <w:i/>
        </w:rPr>
        <w:t xml:space="preserve"> </w:t>
      </w:r>
      <w:r w:rsidRPr="00995753">
        <w:t>in relation to a particular designated sector, has the meaning given by rule 1.10B.</w:t>
      </w:r>
    </w:p>
    <w:p w14:paraId="4CAF7103" w14:textId="77777777" w:rsidR="004F3C59" w:rsidRPr="00995753" w:rsidRDefault="004F3C59" w:rsidP="00411DE2">
      <w:pPr>
        <w:pStyle w:val="notetext"/>
      </w:pPr>
      <w:r w:rsidRPr="00995753">
        <w:t>Note:</w:t>
      </w:r>
      <w:r w:rsidRPr="00995753">
        <w:tab/>
        <w:t>See also:</w:t>
      </w:r>
    </w:p>
    <w:p w14:paraId="018F5789" w14:textId="77777777" w:rsidR="004F3C59" w:rsidRPr="00995753" w:rsidRDefault="004F3C59" w:rsidP="00411DE2">
      <w:pPr>
        <w:pStyle w:val="notepara"/>
        <w:numPr>
          <w:ilvl w:val="0"/>
          <w:numId w:val="8"/>
        </w:numPr>
      </w:pPr>
      <w:r w:rsidRPr="00995753">
        <w:t>for the banking sector—clause 2.1 of Schedule 3; and</w:t>
      </w:r>
    </w:p>
    <w:p w14:paraId="731DD545" w14:textId="77777777" w:rsidR="004F3C59" w:rsidRPr="00995753" w:rsidRDefault="004F3C59" w:rsidP="00411DE2">
      <w:pPr>
        <w:pStyle w:val="notepara"/>
        <w:numPr>
          <w:ilvl w:val="0"/>
          <w:numId w:val="8"/>
        </w:numPr>
      </w:pPr>
      <w:r w:rsidRPr="00995753">
        <w:t>for the energy sector—clause 2.1 of Schedule 4.</w:t>
      </w:r>
    </w:p>
    <w:p w14:paraId="5A8BA23D" w14:textId="77777777" w:rsidR="004F3C59" w:rsidRPr="00995753" w:rsidRDefault="00A7561A" w:rsidP="00411DE2">
      <w:pPr>
        <w:pStyle w:val="ItemHead"/>
      </w:pPr>
      <w:r>
        <w:rPr>
          <w:noProof/>
        </w:rPr>
        <w:t>2</w:t>
      </w:r>
      <w:r w:rsidR="004F3C59" w:rsidRPr="00995753">
        <w:t xml:space="preserve">  Rule 1.7, definition</w:t>
      </w:r>
      <w:r w:rsidR="0073670D" w:rsidRPr="00995753">
        <w:t>s</w:t>
      </w:r>
      <w:r w:rsidR="004F3C59" w:rsidRPr="00995753">
        <w:t xml:space="preserve"> of </w:t>
      </w:r>
      <w:r w:rsidR="004F3C59" w:rsidRPr="00995753">
        <w:rPr>
          <w:i/>
        </w:rPr>
        <w:t>secondary user</w:t>
      </w:r>
      <w:r w:rsidR="0073670D" w:rsidRPr="00995753">
        <w:t xml:space="preserve"> and </w:t>
      </w:r>
      <w:r w:rsidR="0073670D" w:rsidRPr="00995753">
        <w:rPr>
          <w:i/>
        </w:rPr>
        <w:t>secondary user instruction</w:t>
      </w:r>
    </w:p>
    <w:p w14:paraId="39DBF260" w14:textId="77777777" w:rsidR="004F3C59" w:rsidRPr="00995753" w:rsidRDefault="0073670D" w:rsidP="00411DE2">
      <w:pPr>
        <w:pStyle w:val="Item"/>
      </w:pPr>
      <w:r w:rsidRPr="00995753">
        <w:t>Substitute</w:t>
      </w:r>
      <w:r w:rsidR="004F3C59" w:rsidRPr="00995753">
        <w:t>:</w:t>
      </w:r>
    </w:p>
    <w:p w14:paraId="45EE1C26" w14:textId="77777777" w:rsidR="0073670D" w:rsidRPr="00995753" w:rsidRDefault="0073670D" w:rsidP="00411DE2">
      <w:pPr>
        <w:pStyle w:val="Definition"/>
      </w:pPr>
      <w:r w:rsidRPr="00995753">
        <w:rPr>
          <w:b/>
          <w:i/>
        </w:rPr>
        <w:t>secondary user</w:t>
      </w:r>
      <w:r w:rsidRPr="00995753">
        <w:t xml:space="preserve">: a person is a </w:t>
      </w:r>
      <w:r w:rsidRPr="00995753">
        <w:rPr>
          <w:b/>
          <w:i/>
        </w:rPr>
        <w:t xml:space="preserve">secondary user </w:t>
      </w:r>
      <w:r w:rsidRPr="00995753">
        <w:t>for an account with a data holder in a particular designated sector if:</w:t>
      </w:r>
    </w:p>
    <w:p w14:paraId="5ABABE63" w14:textId="77777777" w:rsidR="0073670D" w:rsidRPr="00995753" w:rsidRDefault="0073670D" w:rsidP="00411DE2">
      <w:pPr>
        <w:pStyle w:val="paragraph"/>
      </w:pPr>
      <w:r w:rsidRPr="00995753">
        <w:tab/>
        <w:t>(a)</w:t>
      </w:r>
      <w:r w:rsidRPr="00995753">
        <w:tab/>
        <w:t>the person is an individual who is 18 years of age or older; and</w:t>
      </w:r>
    </w:p>
    <w:p w14:paraId="4926BAF9" w14:textId="77777777" w:rsidR="0073670D" w:rsidRPr="00995753" w:rsidRDefault="0073670D" w:rsidP="00411DE2">
      <w:pPr>
        <w:pStyle w:val="paragraph"/>
      </w:pPr>
      <w:r w:rsidRPr="00995753">
        <w:tab/>
        <w:t>(b)</w:t>
      </w:r>
      <w:r w:rsidRPr="00995753">
        <w:tab/>
        <w:t>the person has account privileges in relation to the account; and</w:t>
      </w:r>
    </w:p>
    <w:p w14:paraId="6DDFC895" w14:textId="77777777" w:rsidR="0073670D" w:rsidRPr="00995753" w:rsidRDefault="0073670D" w:rsidP="00411DE2">
      <w:pPr>
        <w:pStyle w:val="paragraph"/>
      </w:pPr>
      <w:r w:rsidRPr="00995753">
        <w:tab/>
        <w:t>(c)</w:t>
      </w:r>
      <w:r w:rsidRPr="00995753">
        <w:tab/>
        <w:t>the account holder or account holders:</w:t>
      </w:r>
    </w:p>
    <w:p w14:paraId="3D1EEC13" w14:textId="77777777" w:rsidR="0073670D" w:rsidRPr="00995753" w:rsidRDefault="0073670D" w:rsidP="00411DE2">
      <w:pPr>
        <w:pStyle w:val="paragraphsub"/>
      </w:pPr>
      <w:r w:rsidRPr="00995753">
        <w:tab/>
        <w:t>(i)</w:t>
      </w:r>
      <w:r w:rsidRPr="00995753">
        <w:tab/>
        <w:t>are individuals each of whom is 18 years or older; and</w:t>
      </w:r>
    </w:p>
    <w:p w14:paraId="665356C3" w14:textId="77777777" w:rsidR="0073670D" w:rsidRPr="00995753" w:rsidRDefault="0073670D" w:rsidP="00411DE2">
      <w:pPr>
        <w:pStyle w:val="paragraphsub"/>
      </w:pPr>
      <w:r w:rsidRPr="00995753">
        <w:tab/>
        <w:t>(ii)</w:t>
      </w:r>
      <w:r w:rsidRPr="00995753">
        <w:tab/>
        <w:t>in accordance with the requrements for the account, have given the data holder an instruction to treat the person as a secondary user for the purposes of these rules.</w:t>
      </w:r>
    </w:p>
    <w:p w14:paraId="26346A15" w14:textId="77777777" w:rsidR="0073670D" w:rsidRPr="00995753" w:rsidRDefault="0073670D" w:rsidP="00411DE2">
      <w:pPr>
        <w:pStyle w:val="Definition"/>
      </w:pPr>
      <w:r w:rsidRPr="00995753">
        <w:rPr>
          <w:b/>
          <w:i/>
        </w:rPr>
        <w:t xml:space="preserve">secondary user instruction </w:t>
      </w:r>
      <w:r w:rsidRPr="00995753">
        <w:t>means an instruction given for the purposes of paragraph (c) of the definition of secondary user.</w:t>
      </w:r>
    </w:p>
    <w:p w14:paraId="43D6690B" w14:textId="77777777" w:rsidR="004F3C59" w:rsidRPr="00995753" w:rsidRDefault="00A7561A" w:rsidP="00411DE2">
      <w:pPr>
        <w:pStyle w:val="ItemHead"/>
      </w:pPr>
      <w:r>
        <w:rPr>
          <w:noProof/>
        </w:rPr>
        <w:t>3</w:t>
      </w:r>
      <w:r w:rsidR="004F3C59" w:rsidRPr="00995753">
        <w:t xml:space="preserve">  After rule 1.10A</w:t>
      </w:r>
    </w:p>
    <w:p w14:paraId="1388946E" w14:textId="77777777" w:rsidR="004F3C59" w:rsidRPr="00995753" w:rsidRDefault="004F3C59" w:rsidP="00411DE2">
      <w:pPr>
        <w:pStyle w:val="Item"/>
      </w:pPr>
      <w:r w:rsidRPr="00995753">
        <w:t>Insert:</w:t>
      </w:r>
    </w:p>
    <w:p w14:paraId="79B2F3BC" w14:textId="77777777" w:rsidR="004F3C59" w:rsidRPr="00995753" w:rsidRDefault="004F3C59" w:rsidP="00411DE2">
      <w:pPr>
        <w:pStyle w:val="ActHead5"/>
        <w:rPr>
          <w:i/>
        </w:rPr>
      </w:pPr>
      <w:bookmarkStart w:id="115" w:name="_Toc76562475"/>
      <w:bookmarkStart w:id="116" w:name="_Toc76679947"/>
      <w:bookmarkStart w:id="117" w:name="_Toc76716904"/>
      <w:bookmarkStart w:id="118" w:name="_Toc76740929"/>
      <w:r w:rsidRPr="00995753">
        <w:t xml:space="preserve">1.10B  Meaning of </w:t>
      </w:r>
      <w:r w:rsidRPr="00995753">
        <w:rPr>
          <w:i/>
        </w:rPr>
        <w:t>eligible</w:t>
      </w:r>
      <w:bookmarkEnd w:id="115"/>
      <w:bookmarkEnd w:id="116"/>
      <w:bookmarkEnd w:id="117"/>
      <w:bookmarkEnd w:id="118"/>
    </w:p>
    <w:p w14:paraId="613D60D7" w14:textId="77777777" w:rsidR="004F3C59" w:rsidRPr="00995753" w:rsidRDefault="004F3C59" w:rsidP="00411DE2">
      <w:pPr>
        <w:pStyle w:val="notemargin"/>
      </w:pPr>
      <w:r w:rsidRPr="00995753">
        <w:t>Note:</w:t>
      </w:r>
      <w:r w:rsidRPr="00995753">
        <w:tab/>
        <w:t>Sector Schedules may add additional criteria for eligibility.  See also:</w:t>
      </w:r>
    </w:p>
    <w:p w14:paraId="0AB90787" w14:textId="77777777" w:rsidR="004F3C59" w:rsidRPr="00995753" w:rsidRDefault="004F3C59" w:rsidP="00411DE2">
      <w:pPr>
        <w:pStyle w:val="notepara"/>
        <w:numPr>
          <w:ilvl w:val="0"/>
          <w:numId w:val="8"/>
        </w:numPr>
        <w:ind w:left="1570" w:hanging="357"/>
      </w:pPr>
      <w:r w:rsidRPr="00995753">
        <w:t>for the banking sector—clause 2.1 of Schedule 3;</w:t>
      </w:r>
    </w:p>
    <w:p w14:paraId="77627D56" w14:textId="77777777" w:rsidR="004F3C59" w:rsidRPr="00995753" w:rsidRDefault="004F3C59" w:rsidP="00411DE2">
      <w:pPr>
        <w:pStyle w:val="notepara"/>
        <w:numPr>
          <w:ilvl w:val="0"/>
          <w:numId w:val="8"/>
        </w:numPr>
        <w:ind w:left="1570" w:hanging="357"/>
      </w:pPr>
      <w:r w:rsidRPr="00995753">
        <w:t>for the energy sector—clause 2.1 of Schedule 4.</w:t>
      </w:r>
    </w:p>
    <w:p w14:paraId="186F4E65" w14:textId="77777777" w:rsidR="004F3C59" w:rsidRPr="00995753" w:rsidRDefault="004F3C59" w:rsidP="00411DE2">
      <w:pPr>
        <w:pStyle w:val="subsection"/>
      </w:pPr>
      <w:r w:rsidRPr="00995753">
        <w:tab/>
        <w:t>(1)</w:t>
      </w:r>
      <w:r w:rsidRPr="00995753">
        <w:tab/>
        <w:t xml:space="preserve">A CDR consumer is </w:t>
      </w:r>
      <w:r w:rsidRPr="00995753">
        <w:rPr>
          <w:b/>
          <w:i/>
        </w:rPr>
        <w:t>eligible</w:t>
      </w:r>
      <w:r w:rsidRPr="00995753">
        <w:t>, in relation to a particular data holder at a particular time, if, at that time:</w:t>
      </w:r>
    </w:p>
    <w:p w14:paraId="011F3FCD" w14:textId="77777777" w:rsidR="004F3C59" w:rsidRPr="00995753" w:rsidRDefault="004F3C59" w:rsidP="00411DE2">
      <w:pPr>
        <w:pStyle w:val="paragraph"/>
      </w:pPr>
      <w:r w:rsidRPr="00995753">
        <w:tab/>
        <w:t>(a)</w:t>
      </w:r>
      <w:r w:rsidRPr="00995753">
        <w:tab/>
        <w:t>the CDR consumer is either:</w:t>
      </w:r>
    </w:p>
    <w:p w14:paraId="26DF5D69" w14:textId="77777777" w:rsidR="004F3C59" w:rsidRPr="00995753" w:rsidRDefault="004F3C59" w:rsidP="00411DE2">
      <w:pPr>
        <w:pStyle w:val="paragraphsub"/>
      </w:pPr>
      <w:r w:rsidRPr="00995753">
        <w:tab/>
        <w:t>(i)</w:t>
      </w:r>
      <w:r w:rsidRPr="00995753">
        <w:tab/>
        <w:t>an individual who is 18 years of age or older; or</w:t>
      </w:r>
    </w:p>
    <w:p w14:paraId="620F58FD" w14:textId="77777777" w:rsidR="004F3C59" w:rsidRPr="00995753" w:rsidRDefault="004F3C59" w:rsidP="00411DE2">
      <w:pPr>
        <w:pStyle w:val="paragraphsub"/>
      </w:pPr>
      <w:r w:rsidRPr="00995753">
        <w:tab/>
        <w:t>(ii)</w:t>
      </w:r>
      <w:r w:rsidRPr="00995753">
        <w:tab/>
        <w:t>a person who is not an individual; and</w:t>
      </w:r>
    </w:p>
    <w:p w14:paraId="01D5D112" w14:textId="77777777" w:rsidR="004F3C59" w:rsidRPr="00995753" w:rsidRDefault="004F3C59" w:rsidP="00411DE2">
      <w:pPr>
        <w:pStyle w:val="paragraph"/>
      </w:pPr>
      <w:r w:rsidRPr="00995753">
        <w:t xml:space="preserve">             </w:t>
      </w:r>
      <w:r w:rsidRPr="00995753">
        <w:tab/>
        <w:t>(b)</w:t>
      </w:r>
      <w:r w:rsidRPr="00995753">
        <w:tab/>
        <w:t xml:space="preserve">the CDR consumer is an account holder or a secondary user for an account with the data holder that is open; and </w:t>
      </w:r>
    </w:p>
    <w:p w14:paraId="02C25198" w14:textId="77777777" w:rsidR="004F3C59" w:rsidRPr="00995753" w:rsidRDefault="004F3C59" w:rsidP="00411DE2">
      <w:pPr>
        <w:pStyle w:val="paragraph"/>
      </w:pPr>
      <w:r w:rsidRPr="00995753">
        <w:tab/>
        <w:t>(c)</w:t>
      </w:r>
      <w:r w:rsidRPr="00995753">
        <w:tab/>
        <w:t>any additional criteria set by the relevant sector Schedule for this subrule are met.</w:t>
      </w:r>
    </w:p>
    <w:p w14:paraId="73C0F495" w14:textId="77777777" w:rsidR="004F3C59" w:rsidRPr="00995753" w:rsidRDefault="004F3C59" w:rsidP="00411DE2">
      <w:pPr>
        <w:pStyle w:val="subsection"/>
      </w:pPr>
      <w:r w:rsidRPr="00995753">
        <w:lastRenderedPageBreak/>
        <w:tab/>
        <w:t xml:space="preserve">      (2)</w:t>
      </w:r>
      <w:r w:rsidRPr="00995753">
        <w:tab/>
        <w:t xml:space="preserve">A CDR consumer is also </w:t>
      </w:r>
      <w:r w:rsidRPr="00995753">
        <w:rPr>
          <w:b/>
          <w:i/>
        </w:rPr>
        <w:t>eligible</w:t>
      </w:r>
      <w:r w:rsidRPr="00995753">
        <w:t>, in relation to a particular data holder at a particular time, if, at that time:</w:t>
      </w:r>
    </w:p>
    <w:p w14:paraId="4C73EA17" w14:textId="77777777" w:rsidR="004F3C59" w:rsidRPr="00995753" w:rsidRDefault="004F3C59" w:rsidP="00411DE2">
      <w:pPr>
        <w:pStyle w:val="paragraph"/>
      </w:pPr>
      <w:r w:rsidRPr="00995753">
        <w:tab/>
        <w:t>(a)</w:t>
      </w:r>
      <w:r w:rsidRPr="00995753">
        <w:tab/>
        <w:t>the CDR consumer is a partner in a partnership for which there is a partnership account with the data holder; and</w:t>
      </w:r>
    </w:p>
    <w:p w14:paraId="15E85132" w14:textId="77777777" w:rsidR="004F3C59" w:rsidRPr="00995753" w:rsidRDefault="004F3C59" w:rsidP="00411DE2">
      <w:pPr>
        <w:pStyle w:val="paragraph"/>
      </w:pPr>
      <w:r w:rsidRPr="00995753">
        <w:tab/>
        <w:t>(b)</w:t>
      </w:r>
      <w:r w:rsidRPr="00995753">
        <w:tab/>
        <w:t>the account is open; and</w:t>
      </w:r>
    </w:p>
    <w:p w14:paraId="0C7FA0AB" w14:textId="77777777" w:rsidR="004F3C59" w:rsidRPr="00995753" w:rsidRDefault="004F3C59" w:rsidP="00411DE2">
      <w:pPr>
        <w:pStyle w:val="paragraph"/>
      </w:pPr>
      <w:r w:rsidRPr="00995753">
        <w:tab/>
        <w:t>(c)</w:t>
      </w:r>
      <w:r w:rsidRPr="00995753">
        <w:tab/>
        <w:t>any additional criteria set by the relevant sector Schedule for this subrule are met.</w:t>
      </w:r>
    </w:p>
    <w:p w14:paraId="174367C3" w14:textId="77777777" w:rsidR="00A156BB" w:rsidRPr="00995753" w:rsidRDefault="00A7561A" w:rsidP="00411DE2">
      <w:pPr>
        <w:pStyle w:val="ItemHead"/>
      </w:pPr>
      <w:r>
        <w:rPr>
          <w:noProof/>
        </w:rPr>
        <w:t>4</w:t>
      </w:r>
      <w:r w:rsidR="00A156BB" w:rsidRPr="00995753">
        <w:t xml:space="preserve">  Subparagraph 1.13(1)(c)(i)</w:t>
      </w:r>
    </w:p>
    <w:p w14:paraId="0FF05AB1" w14:textId="77777777" w:rsidR="00A156BB" w:rsidRPr="00995753" w:rsidRDefault="00A156BB" w:rsidP="00411DE2">
      <w:pPr>
        <w:pStyle w:val="Item"/>
      </w:pPr>
      <w:r w:rsidRPr="00995753">
        <w:t>After “individuals” insert “18 years of age or older”.</w:t>
      </w:r>
    </w:p>
    <w:p w14:paraId="12D3EA48" w14:textId="77777777" w:rsidR="00A156BB" w:rsidRPr="00995753" w:rsidRDefault="00A7561A" w:rsidP="00411DE2">
      <w:pPr>
        <w:pStyle w:val="ItemHead"/>
      </w:pPr>
      <w:r>
        <w:rPr>
          <w:noProof/>
        </w:rPr>
        <w:t>5</w:t>
      </w:r>
      <w:r w:rsidR="00A156BB" w:rsidRPr="00995753">
        <w:t xml:space="preserve">  Subparagraph 1.13(1)(d)(i)</w:t>
      </w:r>
    </w:p>
    <w:p w14:paraId="66CF858D" w14:textId="77777777" w:rsidR="00A156BB" w:rsidRPr="00995753" w:rsidRDefault="00A156BB" w:rsidP="00411DE2">
      <w:pPr>
        <w:pStyle w:val="Item"/>
      </w:pPr>
      <w:r w:rsidRPr="00995753">
        <w:t>After “individuals” insert “18 years of age or older”.</w:t>
      </w:r>
    </w:p>
    <w:p w14:paraId="4243514F" w14:textId="77777777" w:rsidR="004F3C59" w:rsidRPr="00995753" w:rsidRDefault="00A7561A" w:rsidP="00411DE2">
      <w:pPr>
        <w:pStyle w:val="ItemHead"/>
      </w:pPr>
      <w:r>
        <w:rPr>
          <w:noProof/>
        </w:rPr>
        <w:t>6</w:t>
      </w:r>
      <w:r w:rsidR="004F3C59" w:rsidRPr="00995753">
        <w:t xml:space="preserve">  Subrule 3.3(3), note</w:t>
      </w:r>
    </w:p>
    <w:p w14:paraId="2B930A6F" w14:textId="77777777" w:rsidR="004F3C59" w:rsidRPr="00995753" w:rsidRDefault="004F3C59" w:rsidP="00411DE2">
      <w:pPr>
        <w:pStyle w:val="Item"/>
      </w:pPr>
      <w:r w:rsidRPr="00995753">
        <w:t>Substitute:</w:t>
      </w:r>
    </w:p>
    <w:p w14:paraId="430409C8" w14:textId="77777777" w:rsidR="004F3C59" w:rsidRPr="00995753" w:rsidRDefault="004F3C59" w:rsidP="00411DE2">
      <w:pPr>
        <w:pStyle w:val="notetext"/>
      </w:pPr>
      <w:r w:rsidRPr="00995753">
        <w:t xml:space="preserve">Note: </w:t>
      </w:r>
      <w:r w:rsidRPr="00995753">
        <w:tab/>
        <w:t>See rule 1.7 for the meaning of “eligible”.  See also:</w:t>
      </w:r>
    </w:p>
    <w:p w14:paraId="0CF8261C" w14:textId="77777777" w:rsidR="004F3C59" w:rsidRPr="00995753" w:rsidRDefault="004F3C59" w:rsidP="00411DE2">
      <w:pPr>
        <w:pStyle w:val="notepara"/>
        <w:numPr>
          <w:ilvl w:val="0"/>
          <w:numId w:val="9"/>
        </w:numPr>
      </w:pPr>
      <w:r w:rsidRPr="00995753">
        <w:t>for the banking sector—clause 2.1 of Schedule 3;</w:t>
      </w:r>
    </w:p>
    <w:p w14:paraId="26DABB98" w14:textId="77777777" w:rsidR="004F3C59" w:rsidRPr="00995753" w:rsidRDefault="004F3C59" w:rsidP="00411DE2">
      <w:pPr>
        <w:pStyle w:val="notepara"/>
        <w:numPr>
          <w:ilvl w:val="0"/>
          <w:numId w:val="9"/>
        </w:numPr>
      </w:pPr>
      <w:r w:rsidRPr="00995753">
        <w:t>for the energy sector—clause 2.1 of Schedule 4.</w:t>
      </w:r>
    </w:p>
    <w:p w14:paraId="305B6B45" w14:textId="77777777" w:rsidR="004F3C59" w:rsidRPr="00995753" w:rsidRDefault="00A7561A" w:rsidP="00411DE2">
      <w:pPr>
        <w:pStyle w:val="ItemHead"/>
      </w:pPr>
      <w:r>
        <w:rPr>
          <w:noProof/>
        </w:rPr>
        <w:t>7</w:t>
      </w:r>
      <w:r w:rsidR="004F3C59" w:rsidRPr="00995753">
        <w:t xml:space="preserve">  </w:t>
      </w:r>
      <w:r w:rsidR="00053955" w:rsidRPr="00995753">
        <w:t xml:space="preserve">Paragraph </w:t>
      </w:r>
      <w:r w:rsidR="004F3C59" w:rsidRPr="00995753">
        <w:t>4.</w:t>
      </w:r>
      <w:r w:rsidR="00053955" w:rsidRPr="00995753">
        <w:t xml:space="preserve">3C </w:t>
      </w:r>
      <w:r w:rsidR="004F3C59" w:rsidRPr="00995753">
        <w:t>(1)</w:t>
      </w:r>
      <w:r w:rsidR="00053955" w:rsidRPr="00995753">
        <w:t>(g)</w:t>
      </w:r>
    </w:p>
    <w:p w14:paraId="3E2F009F" w14:textId="77777777" w:rsidR="00053955" w:rsidRPr="00995753" w:rsidRDefault="00053955" w:rsidP="00411DE2">
      <w:pPr>
        <w:pStyle w:val="Item"/>
      </w:pPr>
      <w:r w:rsidRPr="00995753">
        <w:t>Repeal.</w:t>
      </w:r>
    </w:p>
    <w:p w14:paraId="2C37A356" w14:textId="77777777" w:rsidR="00053955" w:rsidRPr="00995753" w:rsidRDefault="00A7561A" w:rsidP="00411DE2">
      <w:pPr>
        <w:pStyle w:val="ItemHead"/>
      </w:pPr>
      <w:r>
        <w:rPr>
          <w:noProof/>
        </w:rPr>
        <w:t>8</w:t>
      </w:r>
      <w:r w:rsidR="00053955" w:rsidRPr="00995753">
        <w:t xml:space="preserve">  Paragraph 4.3C (1)(h)</w:t>
      </w:r>
    </w:p>
    <w:p w14:paraId="6D81F055" w14:textId="77777777" w:rsidR="004F3C59" w:rsidRPr="00995753" w:rsidRDefault="00053955" w:rsidP="00411DE2">
      <w:pPr>
        <w:pStyle w:val="Item"/>
      </w:pPr>
      <w:r w:rsidRPr="00995753">
        <w:t>Renumber as “(g)”.</w:t>
      </w:r>
    </w:p>
    <w:p w14:paraId="2CEDE1C5" w14:textId="77777777" w:rsidR="00053955" w:rsidRPr="00995753" w:rsidRDefault="00A7561A" w:rsidP="00411DE2">
      <w:pPr>
        <w:pStyle w:val="ItemHead"/>
      </w:pPr>
      <w:r>
        <w:rPr>
          <w:noProof/>
        </w:rPr>
        <w:t>9</w:t>
      </w:r>
      <w:r w:rsidR="00053955" w:rsidRPr="00995753">
        <w:t xml:space="preserve">  Paragraph 4.3C (1)(i)</w:t>
      </w:r>
    </w:p>
    <w:p w14:paraId="3CFB03D4" w14:textId="77777777" w:rsidR="00053955" w:rsidRPr="00995753" w:rsidRDefault="00053955" w:rsidP="00411DE2">
      <w:pPr>
        <w:pStyle w:val="Item"/>
      </w:pPr>
      <w:r w:rsidRPr="00995753">
        <w:t>Renumber as “(h)”.</w:t>
      </w:r>
    </w:p>
    <w:p w14:paraId="04CEBDE0" w14:textId="77777777" w:rsidR="00053955" w:rsidRPr="00995753" w:rsidRDefault="00A7561A" w:rsidP="00411DE2">
      <w:pPr>
        <w:pStyle w:val="ItemHead"/>
      </w:pPr>
      <w:r>
        <w:rPr>
          <w:noProof/>
        </w:rPr>
        <w:t>10</w:t>
      </w:r>
      <w:r w:rsidR="00053955" w:rsidRPr="00995753">
        <w:t xml:space="preserve">  Paragraph 4.3C (1)(ia)</w:t>
      </w:r>
    </w:p>
    <w:p w14:paraId="0A56F665" w14:textId="77777777" w:rsidR="00053955" w:rsidRPr="00995753" w:rsidRDefault="00053955" w:rsidP="00411DE2">
      <w:pPr>
        <w:pStyle w:val="Item"/>
      </w:pPr>
      <w:r w:rsidRPr="00995753">
        <w:t>Renumber as “(i)”.</w:t>
      </w:r>
    </w:p>
    <w:p w14:paraId="45374720" w14:textId="77777777" w:rsidR="00053955" w:rsidRPr="00995753" w:rsidRDefault="00A7561A" w:rsidP="00411DE2">
      <w:pPr>
        <w:pStyle w:val="ItemHead"/>
      </w:pPr>
      <w:r>
        <w:rPr>
          <w:noProof/>
        </w:rPr>
        <w:t>11</w:t>
      </w:r>
      <w:r w:rsidR="00053955" w:rsidRPr="00995753">
        <w:t xml:space="preserve">  Subrule 4.5(1), note</w:t>
      </w:r>
    </w:p>
    <w:p w14:paraId="74B06692" w14:textId="77777777" w:rsidR="00053955" w:rsidRPr="00995753" w:rsidRDefault="00053955" w:rsidP="00411DE2">
      <w:pPr>
        <w:pStyle w:val="Item"/>
      </w:pPr>
      <w:r w:rsidRPr="00995753">
        <w:t>Substitute:</w:t>
      </w:r>
    </w:p>
    <w:p w14:paraId="2E5BE7FA" w14:textId="77777777" w:rsidR="00053955" w:rsidRPr="00995753" w:rsidRDefault="00053955" w:rsidP="00411DE2">
      <w:pPr>
        <w:pStyle w:val="notetext"/>
      </w:pPr>
      <w:r w:rsidRPr="00995753">
        <w:t xml:space="preserve">Note: </w:t>
      </w:r>
      <w:r w:rsidRPr="00995753">
        <w:tab/>
        <w:t>See rule 1.7 for the meaning of “eligible”.  See also:</w:t>
      </w:r>
    </w:p>
    <w:p w14:paraId="16DF1BE5" w14:textId="77777777" w:rsidR="00053955" w:rsidRPr="00995753" w:rsidRDefault="00053955" w:rsidP="00411DE2">
      <w:pPr>
        <w:pStyle w:val="notepara"/>
        <w:numPr>
          <w:ilvl w:val="0"/>
          <w:numId w:val="9"/>
        </w:numPr>
      </w:pPr>
      <w:r w:rsidRPr="00995753">
        <w:t>for the banking sector—clause 2.1 of Schedule 3;</w:t>
      </w:r>
    </w:p>
    <w:p w14:paraId="083DCAE7" w14:textId="77777777" w:rsidR="00053955" w:rsidRPr="00995753" w:rsidRDefault="00053955" w:rsidP="00411DE2">
      <w:pPr>
        <w:pStyle w:val="notepara"/>
        <w:numPr>
          <w:ilvl w:val="0"/>
          <w:numId w:val="9"/>
        </w:numPr>
      </w:pPr>
      <w:r w:rsidRPr="00995753">
        <w:t>for the energy sector—clause 2.1 of Schedule 4.</w:t>
      </w:r>
    </w:p>
    <w:p w14:paraId="459DC7ED" w14:textId="77777777" w:rsidR="00053955" w:rsidRPr="00995753" w:rsidRDefault="00A7561A" w:rsidP="00411DE2">
      <w:pPr>
        <w:pStyle w:val="ItemHead"/>
      </w:pPr>
      <w:r>
        <w:rPr>
          <w:noProof/>
        </w:rPr>
        <w:t>12</w:t>
      </w:r>
      <w:r w:rsidR="00053955" w:rsidRPr="00995753">
        <w:t xml:space="preserve">  Subrule 4.7(1)</w:t>
      </w:r>
    </w:p>
    <w:p w14:paraId="510B97ED" w14:textId="77777777" w:rsidR="00053955" w:rsidRPr="00995753" w:rsidRDefault="00053955" w:rsidP="00411DE2">
      <w:pPr>
        <w:pStyle w:val="Item"/>
      </w:pPr>
      <w:r w:rsidRPr="00995753">
        <w:t>Omit all words up to “request:”, substitute:</w:t>
      </w:r>
    </w:p>
    <w:p w14:paraId="44D04E37" w14:textId="77777777" w:rsidR="00053955" w:rsidRPr="00995753" w:rsidRDefault="00053955" w:rsidP="00411DE2">
      <w:pPr>
        <w:pStyle w:val="subsection"/>
      </w:pPr>
      <w:r w:rsidRPr="00995753">
        <w:tab/>
      </w:r>
      <w:r w:rsidRPr="00995753">
        <w:tab/>
      </w:r>
      <w:bookmarkStart w:id="119" w:name="_Hlk86244871"/>
      <w:r w:rsidRPr="00995753">
        <w:t>Despite subrules 4.5(3), 4.6(4) and 4.22A(1), a data holder may refuse to ask for an authorisation in relation to the relevant CDR data, to invite a CDR consumer to amend the authorisation, or to disclose required consumer data in response to the request:</w:t>
      </w:r>
      <w:bookmarkEnd w:id="119"/>
    </w:p>
    <w:p w14:paraId="06557C22" w14:textId="77777777" w:rsidR="00053955" w:rsidRPr="00995753" w:rsidRDefault="00A7561A" w:rsidP="00411DE2">
      <w:pPr>
        <w:pStyle w:val="ItemHead"/>
      </w:pPr>
      <w:r>
        <w:rPr>
          <w:noProof/>
        </w:rPr>
        <w:lastRenderedPageBreak/>
        <w:t>13</w:t>
      </w:r>
      <w:r w:rsidR="00053955" w:rsidRPr="00995753">
        <w:t xml:space="preserve">  Subrule 4.7B(1), note</w:t>
      </w:r>
    </w:p>
    <w:p w14:paraId="1887EA43" w14:textId="77777777" w:rsidR="004F3C59" w:rsidRPr="00995753" w:rsidRDefault="004F3C59" w:rsidP="00411DE2">
      <w:pPr>
        <w:pStyle w:val="Item"/>
      </w:pPr>
      <w:r w:rsidRPr="00995753">
        <w:t>Substitute:</w:t>
      </w:r>
    </w:p>
    <w:p w14:paraId="3132D1E0" w14:textId="77777777" w:rsidR="004F3C59" w:rsidRPr="00995753" w:rsidRDefault="004F3C59" w:rsidP="00411DE2">
      <w:pPr>
        <w:pStyle w:val="notetext"/>
      </w:pPr>
      <w:r w:rsidRPr="00995753">
        <w:t>Note:</w:t>
      </w:r>
      <w:r w:rsidRPr="00995753">
        <w:tab/>
        <w:t>See rule 1.7 for the meaning of “eligible”.  See also:</w:t>
      </w:r>
    </w:p>
    <w:p w14:paraId="05AA476F" w14:textId="77777777" w:rsidR="004F3C59" w:rsidRPr="00995753" w:rsidRDefault="004F3C59" w:rsidP="00411DE2">
      <w:pPr>
        <w:pStyle w:val="notepara"/>
        <w:numPr>
          <w:ilvl w:val="0"/>
          <w:numId w:val="9"/>
        </w:numPr>
      </w:pPr>
      <w:r w:rsidRPr="00995753">
        <w:t>for the banking sector—clause 2.1 of Schedule 3;</w:t>
      </w:r>
    </w:p>
    <w:p w14:paraId="7083249E" w14:textId="77777777" w:rsidR="004F3C59" w:rsidRPr="00995753" w:rsidRDefault="004F3C59" w:rsidP="00411DE2">
      <w:pPr>
        <w:pStyle w:val="notepara"/>
        <w:numPr>
          <w:ilvl w:val="0"/>
          <w:numId w:val="9"/>
        </w:numPr>
      </w:pPr>
      <w:r w:rsidRPr="00995753">
        <w:t>for the energy sector—clause 2.1 of Schedule 4.</w:t>
      </w:r>
    </w:p>
    <w:p w14:paraId="7220C38C" w14:textId="77777777" w:rsidR="004F3C59" w:rsidRPr="00995753" w:rsidRDefault="00A7561A" w:rsidP="00411DE2">
      <w:pPr>
        <w:pStyle w:val="ItemHead"/>
      </w:pPr>
      <w:bookmarkStart w:id="120" w:name="_Toc74917989"/>
      <w:r>
        <w:rPr>
          <w:noProof/>
        </w:rPr>
        <w:t>14</w:t>
      </w:r>
      <w:r w:rsidR="004F3C59" w:rsidRPr="00995753">
        <w:t xml:space="preserve">  Rule 7.2</w:t>
      </w:r>
    </w:p>
    <w:p w14:paraId="6DFABF54" w14:textId="77777777" w:rsidR="004F3C59" w:rsidRPr="00995753" w:rsidRDefault="004F3C59" w:rsidP="00411DE2">
      <w:pPr>
        <w:pStyle w:val="Item"/>
      </w:pPr>
      <w:r w:rsidRPr="00995753">
        <w:t>Substitute:</w:t>
      </w:r>
    </w:p>
    <w:p w14:paraId="478AE1E4" w14:textId="77777777" w:rsidR="00317A85" w:rsidRPr="00995753" w:rsidRDefault="00317A85" w:rsidP="00411DE2">
      <w:pPr>
        <w:pStyle w:val="ActHead5"/>
      </w:pPr>
      <w:bookmarkStart w:id="121" w:name="_Toc82432827"/>
      <w:r w:rsidRPr="00995753">
        <w:t>7.2  Rule relating to privacy safeguard 1—open and transparent management of CDR data</w:t>
      </w:r>
      <w:bookmarkEnd w:id="121"/>
    </w:p>
    <w:p w14:paraId="3608C2B8" w14:textId="77777777" w:rsidR="00317A85" w:rsidRPr="00995753" w:rsidRDefault="00317A85" w:rsidP="00411DE2">
      <w:pPr>
        <w:pStyle w:val="SubsectionHead"/>
      </w:pPr>
      <w:r w:rsidRPr="00995753">
        <w:t>Policy about the management of CDR data</w:t>
      </w:r>
    </w:p>
    <w:p w14:paraId="0922CCFC" w14:textId="77777777" w:rsidR="00317A85" w:rsidRPr="00995753" w:rsidRDefault="00317A85" w:rsidP="00411DE2">
      <w:pPr>
        <w:pStyle w:val="subsection"/>
      </w:pPr>
      <w:r w:rsidRPr="00995753">
        <w:tab/>
        <w:t>(1)</w:t>
      </w:r>
      <w:r w:rsidRPr="00995753">
        <w:tab/>
        <w:t>For paragraph 56ED(3)(b) of the Act, the Information Commissioner may approve a form for a CDR policy.</w:t>
      </w:r>
    </w:p>
    <w:p w14:paraId="171EA59C" w14:textId="77777777" w:rsidR="00317A85" w:rsidRPr="00995753" w:rsidRDefault="00317A85" w:rsidP="00411DE2">
      <w:pPr>
        <w:pStyle w:val="subsection"/>
      </w:pPr>
      <w:r w:rsidRPr="00995753">
        <w:tab/>
        <w:t>(2)</w:t>
      </w:r>
      <w:r w:rsidRPr="00995753">
        <w:tab/>
        <w:t>For paragraph 56ED(3)(b) of the Act, the CDR entity’s CDR policy must be in the form of a document that is distinct from any of the CDR entity’s privacy policies.</w:t>
      </w:r>
    </w:p>
    <w:p w14:paraId="0DC3FEC8" w14:textId="77777777" w:rsidR="00317A85" w:rsidRPr="00995753" w:rsidRDefault="00317A85" w:rsidP="00411DE2">
      <w:pPr>
        <w:pStyle w:val="SubsectionHead"/>
      </w:pPr>
      <w:r w:rsidRPr="00995753">
        <w:t>Additional information for CDR policy</w:t>
      </w:r>
    </w:p>
    <w:p w14:paraId="3311FF78" w14:textId="77777777" w:rsidR="00317A85" w:rsidRPr="00995753" w:rsidRDefault="00317A85" w:rsidP="00411DE2">
      <w:pPr>
        <w:pStyle w:val="subsection"/>
      </w:pPr>
      <w:r w:rsidRPr="00995753">
        <w:tab/>
        <w:t>(3)</w:t>
      </w:r>
      <w:r w:rsidRPr="00995753">
        <w:tab/>
        <w:t>In addition to the information referred to in subsection 56ED(4) of the Act, the data holder’s CDR policy must indicate:</w:t>
      </w:r>
    </w:p>
    <w:p w14:paraId="54827D01" w14:textId="77777777" w:rsidR="00317A85" w:rsidRPr="00995753" w:rsidRDefault="00317A85" w:rsidP="00411DE2">
      <w:pPr>
        <w:pStyle w:val="paragraph"/>
      </w:pPr>
      <w:r w:rsidRPr="00995753">
        <w:tab/>
        <w:t>(a)</w:t>
      </w:r>
      <w:r w:rsidRPr="00995753">
        <w:tab/>
        <w:t>whether it accepts requests for:</w:t>
      </w:r>
    </w:p>
    <w:p w14:paraId="2D02641C" w14:textId="77777777" w:rsidR="00317A85" w:rsidRPr="00995753" w:rsidRDefault="00317A85" w:rsidP="00411DE2">
      <w:pPr>
        <w:pStyle w:val="paragraphsub"/>
      </w:pPr>
      <w:r w:rsidRPr="00995753">
        <w:tab/>
        <w:t>(i)</w:t>
      </w:r>
      <w:r w:rsidRPr="00995753">
        <w:tab/>
        <w:t>voluntary product data; or</w:t>
      </w:r>
    </w:p>
    <w:p w14:paraId="4FC74A5B" w14:textId="77777777" w:rsidR="00317A85" w:rsidRPr="00995753" w:rsidRDefault="00317A85" w:rsidP="00411DE2">
      <w:pPr>
        <w:pStyle w:val="paragraphsub"/>
      </w:pPr>
      <w:r w:rsidRPr="00995753">
        <w:tab/>
        <w:t>(ii)</w:t>
      </w:r>
      <w:r w:rsidRPr="00995753">
        <w:tab/>
        <w:t>voluntary consumer data; and</w:t>
      </w:r>
    </w:p>
    <w:p w14:paraId="2B7C6A23" w14:textId="77777777" w:rsidR="00317A85" w:rsidRPr="00995753" w:rsidRDefault="00317A85" w:rsidP="00411DE2">
      <w:pPr>
        <w:pStyle w:val="paragraph"/>
      </w:pPr>
      <w:r w:rsidRPr="00995753">
        <w:tab/>
        <w:t>(b)</w:t>
      </w:r>
      <w:r w:rsidRPr="00995753">
        <w:tab/>
        <w:t>if so:</w:t>
      </w:r>
    </w:p>
    <w:p w14:paraId="5F009BD3" w14:textId="77777777" w:rsidR="00317A85" w:rsidRPr="00995753" w:rsidRDefault="00317A85" w:rsidP="00411DE2">
      <w:pPr>
        <w:pStyle w:val="paragraphsub"/>
      </w:pPr>
      <w:r w:rsidRPr="00995753">
        <w:tab/>
        <w:t>(i)</w:t>
      </w:r>
      <w:r w:rsidRPr="00995753">
        <w:tab/>
        <w:t>whether it charges fees for disclosure of such data; and</w:t>
      </w:r>
    </w:p>
    <w:p w14:paraId="3566E90F" w14:textId="77777777" w:rsidR="00317A85" w:rsidRPr="00995753" w:rsidRDefault="00317A85" w:rsidP="00411DE2">
      <w:pPr>
        <w:pStyle w:val="paragraphsub"/>
      </w:pPr>
      <w:r w:rsidRPr="00995753">
        <w:tab/>
        <w:t>(ii)</w:t>
      </w:r>
      <w:r w:rsidRPr="00995753">
        <w:tab/>
        <w:t>if it does―how information about those fees can be obtained.</w:t>
      </w:r>
    </w:p>
    <w:p w14:paraId="4807C482" w14:textId="77777777" w:rsidR="00317A85" w:rsidRPr="00995753" w:rsidRDefault="00317A85" w:rsidP="00411DE2">
      <w:pPr>
        <w:pStyle w:val="subsection"/>
      </w:pPr>
      <w:r w:rsidRPr="00995753">
        <w:tab/>
        <w:t>(4)</w:t>
      </w:r>
      <w:r w:rsidRPr="00995753">
        <w:tab/>
        <w:t>In addition to the information referred to in subsection 56ED(5) of the Act, the CDR policy of an accredited person who is or who may become an accredited data recipient of CDR data must include the following:</w:t>
      </w:r>
    </w:p>
    <w:p w14:paraId="6D0A83D1" w14:textId="77777777" w:rsidR="00317A85" w:rsidRPr="00995753" w:rsidRDefault="00317A85" w:rsidP="00411DE2">
      <w:pPr>
        <w:pStyle w:val="paragraph"/>
      </w:pPr>
      <w:r w:rsidRPr="00995753">
        <w:tab/>
        <w:t>(a)</w:t>
      </w:r>
      <w:r w:rsidRPr="00995753">
        <w:tab/>
        <w:t>a statement indicating the consequences to the CDR consumer if they withdraw a consent to collect and use CDR data;</w:t>
      </w:r>
    </w:p>
    <w:p w14:paraId="476FEBE6" w14:textId="77777777" w:rsidR="00317A85" w:rsidRPr="00995753" w:rsidRDefault="00317A85" w:rsidP="00411DE2">
      <w:pPr>
        <w:pStyle w:val="paragraph"/>
      </w:pPr>
      <w:r w:rsidRPr="00995753">
        <w:tab/>
        <w:t>(b)</w:t>
      </w:r>
      <w:r w:rsidRPr="00995753">
        <w:tab/>
        <w:t xml:space="preserve">a list of any other accredited persons with whom the accredited person has a sponsorship arrangement; </w:t>
      </w:r>
    </w:p>
    <w:p w14:paraId="2BB9C3E0" w14:textId="77777777" w:rsidR="00317A85" w:rsidRPr="00995753" w:rsidRDefault="00317A85" w:rsidP="00411DE2">
      <w:pPr>
        <w:pStyle w:val="paragraph"/>
      </w:pPr>
      <w:r w:rsidRPr="00995753">
        <w:tab/>
        <w:t>(c)</w:t>
      </w:r>
      <w:r w:rsidRPr="00995753">
        <w:tab/>
        <w:t>for each such arrangement—the nature of the services one party provides to the other party;</w:t>
      </w:r>
    </w:p>
    <w:p w14:paraId="109C42BE" w14:textId="77777777" w:rsidR="00317A85" w:rsidRPr="00995753" w:rsidRDefault="00317A85" w:rsidP="00411DE2">
      <w:pPr>
        <w:pStyle w:val="paragraph"/>
      </w:pPr>
      <w:r w:rsidRPr="00995753">
        <w:tab/>
        <w:t>(d)</w:t>
      </w:r>
      <w:r w:rsidRPr="00995753">
        <w:tab/>
        <w:t>a list of the CDR representatives of the accredited person;</w:t>
      </w:r>
    </w:p>
    <w:p w14:paraId="55B928BF" w14:textId="77777777" w:rsidR="00317A85" w:rsidRPr="00995753" w:rsidRDefault="00317A85" w:rsidP="00411DE2">
      <w:pPr>
        <w:pStyle w:val="paragraph"/>
      </w:pPr>
      <w:r w:rsidRPr="00995753">
        <w:tab/>
        <w:t>(e)</w:t>
      </w:r>
      <w:r w:rsidRPr="00995753">
        <w:tab/>
        <w:t>for each CDR representative—the nature of the goods and services that the CDR representative provides to custormers using CDR data;</w:t>
      </w:r>
    </w:p>
    <w:p w14:paraId="3B5D0A4B" w14:textId="77777777" w:rsidR="00317A85" w:rsidRPr="00995753" w:rsidRDefault="00317A85" w:rsidP="00411DE2">
      <w:pPr>
        <w:pStyle w:val="paragraph"/>
      </w:pPr>
      <w:r w:rsidRPr="00995753">
        <w:tab/>
        <w:t>(f)</w:t>
      </w:r>
      <w:r w:rsidRPr="00995753">
        <w:tab/>
        <w:t>a list of the outsourced service providers of the accredited person (whether based in Australia or based overseas, and whether or not any is an accredited person);</w:t>
      </w:r>
    </w:p>
    <w:p w14:paraId="7B60B017" w14:textId="77777777" w:rsidR="00317A85" w:rsidRPr="00995753" w:rsidRDefault="00317A85" w:rsidP="00411DE2">
      <w:pPr>
        <w:pStyle w:val="paragraph"/>
      </w:pPr>
      <w:r w:rsidRPr="00995753">
        <w:tab/>
        <w:t>(g)</w:t>
      </w:r>
      <w:r w:rsidRPr="00995753">
        <w:tab/>
        <w:t>for each such service provider:</w:t>
      </w:r>
    </w:p>
    <w:p w14:paraId="4750622F" w14:textId="77777777" w:rsidR="00317A85" w:rsidRPr="00995753" w:rsidRDefault="00317A85" w:rsidP="00411DE2">
      <w:pPr>
        <w:pStyle w:val="paragraphsub"/>
      </w:pPr>
      <w:r w:rsidRPr="00995753">
        <w:lastRenderedPageBreak/>
        <w:tab/>
        <w:t>(i)</w:t>
      </w:r>
      <w:r w:rsidRPr="00995753">
        <w:tab/>
        <w:t>the nature of the services it provides;</w:t>
      </w:r>
    </w:p>
    <w:p w14:paraId="71D37A6A" w14:textId="77777777" w:rsidR="00317A85" w:rsidRPr="00995753" w:rsidRDefault="00317A85" w:rsidP="00411DE2">
      <w:pPr>
        <w:pStyle w:val="paragraphsub"/>
      </w:pPr>
      <w:r w:rsidRPr="00995753">
        <w:tab/>
        <w:t>(ii)</w:t>
      </w:r>
      <w:r w:rsidRPr="00995753">
        <w:tab/>
        <w:t>the CDR data or classes of CDR data that may be disclosed to it or collected by it;</w:t>
      </w:r>
    </w:p>
    <w:p w14:paraId="590C3070" w14:textId="77777777" w:rsidR="00317A85" w:rsidRPr="00995753" w:rsidRDefault="00317A85" w:rsidP="00411DE2">
      <w:pPr>
        <w:pStyle w:val="paragraph"/>
      </w:pPr>
      <w:r w:rsidRPr="00995753">
        <w:tab/>
        <w:t>(h)</w:t>
      </w:r>
      <w:r w:rsidRPr="00995753">
        <w:tab/>
        <w:t xml:space="preserve">if the </w:t>
      </w:r>
      <w:r w:rsidRPr="00995753">
        <w:rPr>
          <w:szCs w:val="22"/>
          <w:shd w:val="clear" w:color="auto" w:fill="FFFFFF"/>
        </w:rPr>
        <w:t>accredited person</w:t>
      </w:r>
      <w:r w:rsidRPr="00995753">
        <w:t xml:space="preserve"> wishes to undertake general research using the CDR data:</w:t>
      </w:r>
    </w:p>
    <w:p w14:paraId="43AB2350" w14:textId="77777777" w:rsidR="00317A85" w:rsidRPr="00995753" w:rsidRDefault="00317A85" w:rsidP="00411DE2">
      <w:pPr>
        <w:pStyle w:val="paragraphsub"/>
      </w:pPr>
      <w:r w:rsidRPr="00995753">
        <w:tab/>
        <w:t>(i)</w:t>
      </w:r>
      <w:r w:rsidRPr="00995753">
        <w:tab/>
        <w:t>a description of the research to be conducted;</w:t>
      </w:r>
    </w:p>
    <w:p w14:paraId="177679C0" w14:textId="77777777" w:rsidR="00317A85" w:rsidRPr="00995753" w:rsidRDefault="00317A85" w:rsidP="00411DE2">
      <w:pPr>
        <w:pStyle w:val="paragraphsub"/>
      </w:pPr>
      <w:r w:rsidRPr="00995753">
        <w:tab/>
        <w:t>(iii)</w:t>
      </w:r>
      <w:r w:rsidRPr="00995753">
        <w:tab/>
        <w:t>a description of any additional benefit to be provided to the CDR consumer for consenting to the use;</w:t>
      </w:r>
    </w:p>
    <w:p w14:paraId="37296B61" w14:textId="77777777" w:rsidR="00317A85" w:rsidRPr="00995753" w:rsidRDefault="00317A85" w:rsidP="00411DE2">
      <w:pPr>
        <w:pStyle w:val="paragraph"/>
        <w:rPr>
          <w:shd w:val="clear" w:color="auto" w:fill="FFFFFF"/>
        </w:rPr>
      </w:pPr>
      <w:r w:rsidRPr="00995753">
        <w:rPr>
          <w:shd w:val="clear" w:color="auto" w:fill="FFFFFF"/>
        </w:rPr>
        <w:tab/>
        <w:t>(i)</w:t>
      </w:r>
      <w:r w:rsidRPr="00995753">
        <w:rPr>
          <w:shd w:val="clear" w:color="auto" w:fill="FFFFFF"/>
        </w:rPr>
        <w:tab/>
        <w:t xml:space="preserve">if the accredited person is likely to disclose CDR data of a kind referred to in </w:t>
      </w:r>
      <w:r w:rsidRPr="00995753">
        <w:t>subsection 56ED(5) of the Act</w:t>
      </w:r>
      <w:r w:rsidRPr="00995753">
        <w:rPr>
          <w:shd w:val="clear" w:color="auto" w:fill="FFFFFF"/>
        </w:rPr>
        <w:t xml:space="preserve"> to such a service provider that:</w:t>
      </w:r>
    </w:p>
    <w:p w14:paraId="4B093DA8" w14:textId="77777777" w:rsidR="00317A85" w:rsidRPr="00995753" w:rsidRDefault="00317A85" w:rsidP="00411DE2">
      <w:pPr>
        <w:pStyle w:val="paragraphsub"/>
        <w:rPr>
          <w:shd w:val="clear" w:color="auto" w:fill="FFFFFF"/>
        </w:rPr>
      </w:pPr>
      <w:r w:rsidRPr="00995753">
        <w:rPr>
          <w:shd w:val="clear" w:color="auto" w:fill="FFFFFF"/>
        </w:rPr>
        <w:tab/>
        <w:t>(i)</w:t>
      </w:r>
      <w:r w:rsidRPr="00995753">
        <w:rPr>
          <w:shd w:val="clear" w:color="auto" w:fill="FFFFFF"/>
        </w:rPr>
        <w:tab/>
        <w:t>is based overseas; and</w:t>
      </w:r>
    </w:p>
    <w:p w14:paraId="3C8F3291" w14:textId="77777777" w:rsidR="00317A85" w:rsidRPr="00995753" w:rsidRDefault="00317A85" w:rsidP="00411DE2">
      <w:pPr>
        <w:pStyle w:val="paragraphsub"/>
        <w:rPr>
          <w:shd w:val="clear" w:color="auto" w:fill="FFFFFF"/>
        </w:rPr>
      </w:pPr>
      <w:r w:rsidRPr="00995753">
        <w:rPr>
          <w:shd w:val="clear" w:color="auto" w:fill="FFFFFF"/>
        </w:rPr>
        <w:tab/>
        <w:t>(ii)</w:t>
      </w:r>
      <w:r w:rsidRPr="00995753">
        <w:rPr>
          <w:shd w:val="clear" w:color="auto" w:fill="FFFFFF"/>
        </w:rPr>
        <w:tab/>
        <w:t>is not an accredited person;</w:t>
      </w:r>
    </w:p>
    <w:p w14:paraId="5C93CB07" w14:textId="77777777" w:rsidR="00317A85" w:rsidRPr="00995753" w:rsidRDefault="00317A85" w:rsidP="00411DE2">
      <w:pPr>
        <w:pStyle w:val="paragraph"/>
        <w:rPr>
          <w:shd w:val="clear" w:color="auto" w:fill="FFFFFF"/>
        </w:rPr>
      </w:pPr>
      <w:r w:rsidRPr="00995753">
        <w:rPr>
          <w:shd w:val="clear" w:color="auto" w:fill="FFFFFF"/>
        </w:rPr>
        <w:tab/>
      </w:r>
      <w:r w:rsidRPr="00995753">
        <w:rPr>
          <w:shd w:val="clear" w:color="auto" w:fill="FFFFFF"/>
        </w:rPr>
        <w:tab/>
        <w:t>—the countries in which such persons are likely to be based if it is practicable to specify those countries in the policy;</w:t>
      </w:r>
    </w:p>
    <w:p w14:paraId="2CE0AA07" w14:textId="77777777" w:rsidR="00317A85" w:rsidRPr="00995753" w:rsidRDefault="00317A85" w:rsidP="00411DE2">
      <w:pPr>
        <w:pStyle w:val="paragraph"/>
        <w:rPr>
          <w:shd w:val="clear" w:color="auto" w:fill="FFFFFF"/>
        </w:rPr>
      </w:pPr>
      <w:r w:rsidRPr="00995753">
        <w:rPr>
          <w:shd w:val="clear" w:color="auto" w:fill="FFFFFF"/>
        </w:rPr>
        <w:tab/>
        <w:t>(j)</w:t>
      </w:r>
      <w:r w:rsidRPr="00995753">
        <w:rPr>
          <w:shd w:val="clear" w:color="auto" w:fill="FFFFFF"/>
        </w:rPr>
        <w:tab/>
        <w:t>if applicable—the following information about de</w:t>
      </w:r>
      <w:r w:rsidRPr="00995753">
        <w:rPr>
          <w:shd w:val="clear" w:color="auto" w:fill="FFFFFF"/>
        </w:rPr>
        <w:noBreakHyphen/>
        <w:t>identification of CDR data that is not redundant data:</w:t>
      </w:r>
    </w:p>
    <w:p w14:paraId="41E7AA41" w14:textId="77777777" w:rsidR="00317A85" w:rsidRPr="00995753" w:rsidRDefault="00317A85" w:rsidP="00411DE2">
      <w:pPr>
        <w:pStyle w:val="paragraphsub"/>
        <w:rPr>
          <w:shd w:val="clear" w:color="auto" w:fill="FFFFFF"/>
        </w:rPr>
      </w:pPr>
      <w:r w:rsidRPr="00995753">
        <w:rPr>
          <w:shd w:val="clear" w:color="auto" w:fill="FFFFFF"/>
        </w:rPr>
        <w:tab/>
        <w:t>(i)</w:t>
      </w:r>
      <w:r w:rsidRPr="00995753">
        <w:rPr>
          <w:shd w:val="clear" w:color="auto" w:fill="FFFFFF"/>
        </w:rPr>
        <w:tab/>
        <w:t>how the accredited person uses CDR data that has been de</w:t>
      </w:r>
      <w:r w:rsidRPr="00995753">
        <w:rPr>
          <w:shd w:val="clear" w:color="auto" w:fill="FFFFFF"/>
        </w:rPr>
        <w:noBreakHyphen/>
        <w:t>identified in accordance with the CDR data de</w:t>
      </w:r>
      <w:r w:rsidRPr="00995753">
        <w:rPr>
          <w:shd w:val="clear" w:color="auto" w:fill="FFFFFF"/>
        </w:rPr>
        <w:noBreakHyphen/>
        <w:t>identification process to provide goods or services to CDR consumers;</w:t>
      </w:r>
    </w:p>
    <w:p w14:paraId="6F7B660A" w14:textId="77777777" w:rsidR="00317A85" w:rsidRPr="00995753" w:rsidRDefault="00317A85" w:rsidP="00411DE2">
      <w:pPr>
        <w:pStyle w:val="paragraphsub"/>
        <w:rPr>
          <w:shd w:val="clear" w:color="auto" w:fill="FFFFFF"/>
        </w:rPr>
      </w:pPr>
      <w:r w:rsidRPr="00995753">
        <w:rPr>
          <w:shd w:val="clear" w:color="auto" w:fill="FFFFFF"/>
        </w:rPr>
        <w:tab/>
        <w:t>(ii)</w:t>
      </w:r>
      <w:r w:rsidRPr="00995753">
        <w:rPr>
          <w:shd w:val="clear" w:color="auto" w:fill="FFFFFF"/>
        </w:rPr>
        <w:tab/>
        <w:t>the further information specified in subrule (5);</w:t>
      </w:r>
    </w:p>
    <w:p w14:paraId="6C067315" w14:textId="77777777" w:rsidR="00317A85" w:rsidRPr="00995753" w:rsidRDefault="00317A85" w:rsidP="00411DE2">
      <w:pPr>
        <w:pStyle w:val="paragraph"/>
      </w:pPr>
      <w:r w:rsidRPr="00995753">
        <w:tab/>
        <w:t>(k)</w:t>
      </w:r>
      <w:r w:rsidRPr="00995753">
        <w:tab/>
        <w:t>the following information about deletion of redundant CDR data:</w:t>
      </w:r>
    </w:p>
    <w:p w14:paraId="4E79EABC" w14:textId="77777777" w:rsidR="00317A85" w:rsidRPr="00995753" w:rsidRDefault="00317A85" w:rsidP="00411DE2">
      <w:pPr>
        <w:pStyle w:val="paragraphsub"/>
      </w:pPr>
      <w:r w:rsidRPr="00995753">
        <w:tab/>
        <w:t>(i)</w:t>
      </w:r>
      <w:r w:rsidRPr="00995753">
        <w:tab/>
        <w:t>when it deletes redundant data;</w:t>
      </w:r>
    </w:p>
    <w:p w14:paraId="362EFCBF" w14:textId="77777777" w:rsidR="00317A85" w:rsidRPr="00995753" w:rsidRDefault="00317A85" w:rsidP="00411DE2">
      <w:pPr>
        <w:pStyle w:val="paragraphsub"/>
      </w:pPr>
      <w:r w:rsidRPr="00995753">
        <w:tab/>
        <w:t>(ii)</w:t>
      </w:r>
      <w:r w:rsidRPr="00995753">
        <w:tab/>
        <w:t>how a CDR consumer may elect for this to happen;</w:t>
      </w:r>
    </w:p>
    <w:p w14:paraId="43A30C0B" w14:textId="77777777" w:rsidR="00317A85" w:rsidRPr="00995753" w:rsidRDefault="00317A85" w:rsidP="00411DE2">
      <w:pPr>
        <w:pStyle w:val="paragraphsub"/>
      </w:pPr>
      <w:r w:rsidRPr="00995753">
        <w:tab/>
        <w:t>(iii)</w:t>
      </w:r>
      <w:r w:rsidRPr="00995753">
        <w:tab/>
        <w:t>how it deletes redundant data;</w:t>
      </w:r>
    </w:p>
    <w:p w14:paraId="6111E7F9" w14:textId="77777777" w:rsidR="00317A85" w:rsidRPr="00995753" w:rsidRDefault="00317A85" w:rsidP="00411DE2">
      <w:pPr>
        <w:pStyle w:val="paragraph"/>
      </w:pPr>
      <w:r w:rsidRPr="00995753">
        <w:rPr>
          <w:shd w:val="clear" w:color="auto" w:fill="FFFFFF"/>
        </w:rPr>
        <w:tab/>
        <w:t>(l)</w:t>
      </w:r>
      <w:r w:rsidRPr="00995753">
        <w:rPr>
          <w:shd w:val="clear" w:color="auto" w:fill="FFFFFF"/>
        </w:rPr>
        <w:tab/>
        <w:t>if applicable—</w:t>
      </w:r>
      <w:r w:rsidRPr="00995753">
        <w:t>the following information about de</w:t>
      </w:r>
      <w:r w:rsidRPr="00995753">
        <w:noBreakHyphen/>
        <w:t>identification of redundant CDR data:</w:t>
      </w:r>
    </w:p>
    <w:p w14:paraId="06FD1D78" w14:textId="77777777" w:rsidR="00317A85" w:rsidRPr="00995753" w:rsidRDefault="00317A85" w:rsidP="00411DE2">
      <w:pPr>
        <w:pStyle w:val="paragraphsub"/>
      </w:pPr>
      <w:r w:rsidRPr="00995753">
        <w:tab/>
        <w:t>(i)</w:t>
      </w:r>
      <w:r w:rsidRPr="00995753">
        <w:tab/>
        <w:t>if the de</w:t>
      </w:r>
      <w:r w:rsidRPr="00995753">
        <w:noBreakHyphen/>
        <w:t>identified data is used by the accredited person—examples of how the accredited person ordinarily uses de</w:t>
      </w:r>
      <w:r w:rsidRPr="00995753">
        <w:noBreakHyphen/>
        <w:t>identified data; and</w:t>
      </w:r>
    </w:p>
    <w:p w14:paraId="3760282F" w14:textId="77777777" w:rsidR="00317A85" w:rsidRPr="00995753" w:rsidRDefault="00317A85" w:rsidP="00411DE2">
      <w:pPr>
        <w:pStyle w:val="paragraphsub"/>
        <w:rPr>
          <w:shd w:val="clear" w:color="auto" w:fill="FFFFFF"/>
        </w:rPr>
      </w:pPr>
      <w:r w:rsidRPr="00995753">
        <w:rPr>
          <w:shd w:val="clear" w:color="auto" w:fill="FFFFFF"/>
        </w:rPr>
        <w:tab/>
        <w:t>(ii)</w:t>
      </w:r>
      <w:r w:rsidRPr="00995753">
        <w:rPr>
          <w:shd w:val="clear" w:color="auto" w:fill="FFFFFF"/>
        </w:rPr>
        <w:tab/>
        <w:t>the further information specified in subrule (5);</w:t>
      </w:r>
    </w:p>
    <w:p w14:paraId="7EF277A0" w14:textId="77777777" w:rsidR="00317A85" w:rsidRPr="00995753" w:rsidRDefault="00317A85" w:rsidP="00411DE2">
      <w:pPr>
        <w:pStyle w:val="paragraph"/>
        <w:rPr>
          <w:shd w:val="clear" w:color="auto" w:fill="FFFFFF"/>
        </w:rPr>
      </w:pPr>
      <w:r w:rsidRPr="00995753">
        <w:rPr>
          <w:shd w:val="clear" w:color="auto" w:fill="FFFFFF"/>
        </w:rPr>
        <w:tab/>
        <w:t>(m)</w:t>
      </w:r>
      <w:r w:rsidRPr="00995753">
        <w:rPr>
          <w:shd w:val="clear" w:color="auto" w:fill="FFFFFF"/>
        </w:rPr>
        <w:tab/>
        <w:t>the following information about the CDR consumer’s election to delete their CDR data:</w:t>
      </w:r>
    </w:p>
    <w:p w14:paraId="36E42C30" w14:textId="77777777" w:rsidR="00317A85" w:rsidRPr="00995753" w:rsidRDefault="00317A85" w:rsidP="00411DE2">
      <w:pPr>
        <w:pStyle w:val="paragraphsub"/>
        <w:rPr>
          <w:shd w:val="clear" w:color="auto" w:fill="FFFFFF"/>
        </w:rPr>
      </w:pPr>
      <w:r w:rsidRPr="00995753">
        <w:rPr>
          <w:shd w:val="clear" w:color="auto" w:fill="FFFFFF"/>
        </w:rPr>
        <w:tab/>
        <w:t>(i)</w:t>
      </w:r>
      <w:r w:rsidRPr="00995753">
        <w:rPr>
          <w:shd w:val="clear" w:color="auto" w:fill="FFFFFF"/>
        </w:rPr>
        <w:tab/>
        <w:t>information about how the election operates and its effect;</w:t>
      </w:r>
    </w:p>
    <w:p w14:paraId="6A7FF90A" w14:textId="77777777" w:rsidR="00317A85" w:rsidRPr="00995753" w:rsidRDefault="00317A85" w:rsidP="00411DE2">
      <w:pPr>
        <w:pStyle w:val="paragraphsub"/>
        <w:rPr>
          <w:shd w:val="clear" w:color="auto" w:fill="FFFFFF"/>
        </w:rPr>
      </w:pPr>
      <w:r w:rsidRPr="00995753">
        <w:rPr>
          <w:shd w:val="clear" w:color="auto" w:fill="FFFFFF"/>
        </w:rPr>
        <w:tab/>
        <w:t>(ii)</w:t>
      </w:r>
      <w:r w:rsidRPr="00995753">
        <w:rPr>
          <w:shd w:val="clear" w:color="auto" w:fill="FFFFFF"/>
        </w:rPr>
        <w:tab/>
        <w:t>information about how CDR consumers can exercise the election.</w:t>
      </w:r>
    </w:p>
    <w:p w14:paraId="4A81D909" w14:textId="77777777" w:rsidR="00317A85" w:rsidRPr="00995753" w:rsidRDefault="00317A85" w:rsidP="00411DE2">
      <w:pPr>
        <w:pStyle w:val="notetext"/>
      </w:pPr>
      <w:r w:rsidRPr="00995753">
        <w:t>Note 1:</w:t>
      </w:r>
      <w:r w:rsidRPr="00995753">
        <w:tab/>
        <w:t>The specified service providers are the accredited person’s “outsourced service providers”.</w:t>
      </w:r>
    </w:p>
    <w:p w14:paraId="72701764" w14:textId="77777777" w:rsidR="00317A85" w:rsidRPr="00995753" w:rsidRDefault="00317A85" w:rsidP="00411DE2">
      <w:pPr>
        <w:pStyle w:val="notetext"/>
      </w:pPr>
      <w:r w:rsidRPr="00995753">
        <w:t>Note 2:</w:t>
      </w:r>
      <w:r w:rsidRPr="00995753">
        <w:tab/>
        <w:t>For paragraph (d), if the service provider is an accredited person who is based overseas, paragraph 56ED(5)(f) of the Act requires similar information to be contained in the accredited person’s CDR policy.</w:t>
      </w:r>
    </w:p>
    <w:p w14:paraId="513E5176" w14:textId="77777777" w:rsidR="00317A85" w:rsidRPr="00995753" w:rsidRDefault="00317A85" w:rsidP="00411DE2">
      <w:pPr>
        <w:pStyle w:val="notetext"/>
      </w:pPr>
      <w:r w:rsidRPr="00995753">
        <w:t xml:space="preserve">Note 3: </w:t>
      </w:r>
      <w:r w:rsidRPr="00995753">
        <w:tab/>
        <w:t>This subrule is a civil penalty provision (see rule 9.8).</w:t>
      </w:r>
    </w:p>
    <w:p w14:paraId="5EC7F8B4" w14:textId="77777777" w:rsidR="00317A85" w:rsidRPr="00995753" w:rsidRDefault="00317A85" w:rsidP="00411DE2">
      <w:pPr>
        <w:pStyle w:val="subsection"/>
      </w:pPr>
      <w:r w:rsidRPr="00995753">
        <w:tab/>
        <w:t>(5)</w:t>
      </w:r>
      <w:r w:rsidRPr="00995753">
        <w:tab/>
        <w:t>For subparagraphs (4)(e)(ii) and (g)(ii), the further information is:</w:t>
      </w:r>
    </w:p>
    <w:p w14:paraId="389CED41" w14:textId="77777777" w:rsidR="00317A85" w:rsidRPr="00995753" w:rsidRDefault="00317A85" w:rsidP="00411DE2">
      <w:pPr>
        <w:pStyle w:val="paragraph"/>
        <w:rPr>
          <w:shd w:val="clear" w:color="auto" w:fill="FFFFFF"/>
        </w:rPr>
      </w:pPr>
      <w:r w:rsidRPr="00995753">
        <w:rPr>
          <w:shd w:val="clear" w:color="auto" w:fill="FFFFFF"/>
        </w:rPr>
        <w:tab/>
        <w:t>(a)</w:t>
      </w:r>
      <w:r w:rsidRPr="00995753">
        <w:rPr>
          <w:shd w:val="clear" w:color="auto" w:fill="FFFFFF"/>
        </w:rPr>
        <w:tab/>
        <w:t xml:space="preserve">how the </w:t>
      </w:r>
      <w:r w:rsidRPr="00995753">
        <w:t>accredited person who is or who may become an accredited data recipient of CDR data</w:t>
      </w:r>
      <w:r w:rsidRPr="00995753">
        <w:rPr>
          <w:shd w:val="clear" w:color="auto" w:fill="FFFFFF"/>
        </w:rPr>
        <w:t xml:space="preserve"> de</w:t>
      </w:r>
      <w:r w:rsidRPr="00995753">
        <w:rPr>
          <w:shd w:val="clear" w:color="auto" w:fill="FFFFFF"/>
        </w:rPr>
        <w:noBreakHyphen/>
        <w:t>identifies CDR data, including a description of techniques that it uses to de</w:t>
      </w:r>
      <w:r w:rsidRPr="00995753">
        <w:rPr>
          <w:shd w:val="clear" w:color="auto" w:fill="FFFFFF"/>
        </w:rPr>
        <w:noBreakHyphen/>
        <w:t>identify data; and</w:t>
      </w:r>
    </w:p>
    <w:p w14:paraId="7746A49C" w14:textId="77777777" w:rsidR="00317A85" w:rsidRPr="00995753" w:rsidRDefault="00317A85" w:rsidP="00411DE2">
      <w:pPr>
        <w:pStyle w:val="paragraph"/>
      </w:pPr>
      <w:r w:rsidRPr="00995753">
        <w:tab/>
        <w:t>(b)</w:t>
      </w:r>
      <w:r w:rsidRPr="00995753">
        <w:tab/>
        <w:t>if the accredited person ordinarily discloses (by sale or otherwise) de</w:t>
      </w:r>
      <w:r w:rsidRPr="00995753">
        <w:noBreakHyphen/>
        <w:t>identified data to one or more other persons:</w:t>
      </w:r>
    </w:p>
    <w:p w14:paraId="6C25F83E" w14:textId="77777777" w:rsidR="00317A85" w:rsidRPr="00995753" w:rsidRDefault="00317A85" w:rsidP="00411DE2">
      <w:pPr>
        <w:pStyle w:val="paragraphsub"/>
      </w:pPr>
      <w:r w:rsidRPr="00995753">
        <w:lastRenderedPageBreak/>
        <w:tab/>
        <w:t>(i)</w:t>
      </w:r>
      <w:r w:rsidRPr="00995753">
        <w:tab/>
        <w:t>that fact; and</w:t>
      </w:r>
    </w:p>
    <w:p w14:paraId="07B1613B" w14:textId="77777777" w:rsidR="00317A85" w:rsidRPr="00995753" w:rsidRDefault="00317A85" w:rsidP="00411DE2">
      <w:pPr>
        <w:pStyle w:val="paragraphsub"/>
      </w:pPr>
      <w:r w:rsidRPr="00995753">
        <w:tab/>
        <w:t>(ii)</w:t>
      </w:r>
      <w:r w:rsidRPr="00995753">
        <w:tab/>
        <w:t>to what classes of person it ordinarily discloses such data; and</w:t>
      </w:r>
    </w:p>
    <w:p w14:paraId="3AEBCDE7" w14:textId="77777777" w:rsidR="00317A85" w:rsidRPr="00995753" w:rsidRDefault="00317A85" w:rsidP="00411DE2">
      <w:pPr>
        <w:pStyle w:val="paragraphsub"/>
        <w:rPr>
          <w:shd w:val="clear" w:color="auto" w:fill="FFFFFF"/>
        </w:rPr>
      </w:pPr>
      <w:r w:rsidRPr="00995753">
        <w:tab/>
        <w:t>(iii)</w:t>
      </w:r>
      <w:r w:rsidRPr="00995753">
        <w:tab/>
        <w:t>why it so discloses such data</w:t>
      </w:r>
      <w:r w:rsidRPr="00995753">
        <w:rPr>
          <w:shd w:val="clear" w:color="auto" w:fill="FFFFFF"/>
        </w:rPr>
        <w:t>.</w:t>
      </w:r>
    </w:p>
    <w:p w14:paraId="0346FCF9" w14:textId="77777777" w:rsidR="00317A85" w:rsidRPr="00995753" w:rsidRDefault="00317A85" w:rsidP="00411DE2">
      <w:pPr>
        <w:pStyle w:val="subsection"/>
      </w:pPr>
      <w:r w:rsidRPr="00995753">
        <w:tab/>
        <w:t>(6)</w:t>
      </w:r>
      <w:r w:rsidRPr="00995753">
        <w:tab/>
        <w:t xml:space="preserve">In addition to the information referred to in paragraphs 56ED(4)(b) and (5)(d) of the Act, the CDR policy of the </w:t>
      </w:r>
      <w:r w:rsidRPr="00995753">
        <w:rPr>
          <w:shd w:val="clear" w:color="auto" w:fill="FFFFFF"/>
        </w:rPr>
        <w:t xml:space="preserve">CDR entity (the </w:t>
      </w:r>
      <w:r w:rsidRPr="00995753">
        <w:t>data holder or accredited person who is or who may become an accredited data recipient of CDR data)</w:t>
      </w:r>
      <w:r w:rsidRPr="00995753">
        <w:rPr>
          <w:shd w:val="clear" w:color="auto" w:fill="FFFFFF"/>
        </w:rPr>
        <w:t xml:space="preserve"> </w:t>
      </w:r>
      <w:r w:rsidRPr="00995753">
        <w:t>must include the following information in relation to the CDR entity's internal dispute resolution processes:</w:t>
      </w:r>
    </w:p>
    <w:p w14:paraId="55639F11" w14:textId="77777777" w:rsidR="00317A85" w:rsidRPr="00995753" w:rsidRDefault="00317A85" w:rsidP="00411DE2">
      <w:pPr>
        <w:pStyle w:val="paragraph"/>
      </w:pPr>
      <w:r w:rsidRPr="00995753">
        <w:tab/>
        <w:t>(a)</w:t>
      </w:r>
      <w:r w:rsidRPr="00995753">
        <w:tab/>
        <w:t>where a CDR consumer complaint can be made;</w:t>
      </w:r>
    </w:p>
    <w:p w14:paraId="69DA3B5F" w14:textId="77777777" w:rsidR="00317A85" w:rsidRPr="00995753" w:rsidRDefault="00317A85" w:rsidP="00411DE2">
      <w:pPr>
        <w:pStyle w:val="paragraph"/>
      </w:pPr>
      <w:r w:rsidRPr="00995753">
        <w:tab/>
        <w:t>(b)</w:t>
      </w:r>
      <w:r w:rsidRPr="00995753">
        <w:tab/>
        <w:t>how a CDR consumer complaint can be made;</w:t>
      </w:r>
    </w:p>
    <w:p w14:paraId="7424A771" w14:textId="77777777" w:rsidR="00317A85" w:rsidRPr="00995753" w:rsidRDefault="00317A85" w:rsidP="00411DE2">
      <w:pPr>
        <w:pStyle w:val="paragraph"/>
      </w:pPr>
      <w:r w:rsidRPr="00995753">
        <w:tab/>
        <w:t>(c)</w:t>
      </w:r>
      <w:r w:rsidRPr="00995753">
        <w:tab/>
        <w:t>when a CDR consumer complaint can be made;</w:t>
      </w:r>
    </w:p>
    <w:p w14:paraId="3D388486" w14:textId="77777777" w:rsidR="00317A85" w:rsidRPr="00995753" w:rsidRDefault="00317A85" w:rsidP="00411DE2">
      <w:pPr>
        <w:pStyle w:val="paragraph"/>
      </w:pPr>
      <w:r w:rsidRPr="00995753">
        <w:tab/>
        <w:t>(d)</w:t>
      </w:r>
      <w:r w:rsidRPr="00995753">
        <w:tab/>
        <w:t>when acknowledgement of a CDR consumer complaint can be expected;</w:t>
      </w:r>
    </w:p>
    <w:p w14:paraId="3C40E6DD" w14:textId="77777777" w:rsidR="00317A85" w:rsidRPr="00995753" w:rsidRDefault="00317A85" w:rsidP="00411DE2">
      <w:pPr>
        <w:pStyle w:val="paragraph"/>
      </w:pPr>
      <w:r w:rsidRPr="00995753">
        <w:tab/>
        <w:t>(e)</w:t>
      </w:r>
      <w:r w:rsidRPr="00995753">
        <w:tab/>
        <w:t>what information is required to be provided by the complainant;</w:t>
      </w:r>
    </w:p>
    <w:p w14:paraId="20E5927D" w14:textId="77777777" w:rsidR="00317A85" w:rsidRPr="00995753" w:rsidRDefault="00317A85" w:rsidP="00411DE2">
      <w:pPr>
        <w:pStyle w:val="paragraph"/>
      </w:pPr>
      <w:r w:rsidRPr="00995753">
        <w:tab/>
        <w:t>(f)</w:t>
      </w:r>
      <w:r w:rsidRPr="00995753">
        <w:tab/>
        <w:t>the CDR entity’s process for handling CDR consumer complaints;</w:t>
      </w:r>
    </w:p>
    <w:p w14:paraId="223195F6" w14:textId="77777777" w:rsidR="00317A85" w:rsidRPr="00995753" w:rsidRDefault="00317A85" w:rsidP="00411DE2">
      <w:pPr>
        <w:pStyle w:val="paragraph"/>
      </w:pPr>
      <w:r w:rsidRPr="00995753">
        <w:tab/>
        <w:t>(g)</w:t>
      </w:r>
      <w:r w:rsidRPr="00995753">
        <w:tab/>
        <w:t>time periods associated with various stages in the CDR consumer complaint process;</w:t>
      </w:r>
    </w:p>
    <w:p w14:paraId="6352BBF5" w14:textId="77777777" w:rsidR="00317A85" w:rsidRPr="00995753" w:rsidRDefault="00317A85" w:rsidP="00411DE2">
      <w:pPr>
        <w:pStyle w:val="paragraph"/>
      </w:pPr>
      <w:r w:rsidRPr="00995753">
        <w:tab/>
        <w:t>(h)</w:t>
      </w:r>
      <w:r w:rsidRPr="00995753">
        <w:tab/>
        <w:t>options for redress;</w:t>
      </w:r>
    </w:p>
    <w:p w14:paraId="78018BAE" w14:textId="77777777" w:rsidR="00317A85" w:rsidRPr="00995753" w:rsidRDefault="00317A85" w:rsidP="00411DE2">
      <w:pPr>
        <w:pStyle w:val="paragraph"/>
      </w:pPr>
      <w:r w:rsidRPr="00995753">
        <w:tab/>
        <w:t>(i)</w:t>
      </w:r>
      <w:r w:rsidRPr="00995753">
        <w:tab/>
        <w:t>options for review, both internally (if available) and externally.</w:t>
      </w:r>
    </w:p>
    <w:p w14:paraId="6E587EB4" w14:textId="77777777" w:rsidR="00317A85" w:rsidRPr="00995753" w:rsidRDefault="00317A85" w:rsidP="00411DE2">
      <w:pPr>
        <w:pStyle w:val="notetext"/>
      </w:pPr>
      <w:r w:rsidRPr="00995753">
        <w:t>Note:</w:t>
      </w:r>
      <w:r w:rsidRPr="00995753">
        <w:tab/>
        <w:t>This subrule is a civil penalty provision (see rule 9.8).</w:t>
      </w:r>
    </w:p>
    <w:p w14:paraId="5401C031" w14:textId="77777777" w:rsidR="00317A85" w:rsidRPr="00995753" w:rsidRDefault="00317A85" w:rsidP="00411DE2">
      <w:pPr>
        <w:pStyle w:val="subsection"/>
      </w:pPr>
      <w:r w:rsidRPr="00995753">
        <w:tab/>
        <w:t>(7)</w:t>
      </w:r>
      <w:r w:rsidRPr="00995753">
        <w:tab/>
        <w:t>If an accredited person is who is or who may become an accredited data recipient of CDR data proposes to store CDR data other than in Australia or an external territory, its CDR policy must specify any country in which they propose to store CDR data.</w:t>
      </w:r>
    </w:p>
    <w:p w14:paraId="6236FAEE" w14:textId="77777777" w:rsidR="00317A85" w:rsidRPr="00995753" w:rsidRDefault="00317A85" w:rsidP="00411DE2">
      <w:pPr>
        <w:pStyle w:val="notetext"/>
      </w:pPr>
      <w:r w:rsidRPr="00995753">
        <w:t>Note:</w:t>
      </w:r>
      <w:r w:rsidRPr="00995753">
        <w:tab/>
        <w:t>This subrule is a civil penalty provision (see rule 9.8).</w:t>
      </w:r>
    </w:p>
    <w:p w14:paraId="72456236" w14:textId="77777777" w:rsidR="00317A85" w:rsidRPr="00995753" w:rsidRDefault="00317A85" w:rsidP="00411DE2">
      <w:pPr>
        <w:pStyle w:val="SubsectionHead"/>
      </w:pPr>
      <w:r w:rsidRPr="00995753">
        <w:t>Availability of policy</w:t>
      </w:r>
    </w:p>
    <w:p w14:paraId="6AD5A514" w14:textId="77777777" w:rsidR="00317A85" w:rsidRPr="00995753" w:rsidRDefault="00317A85" w:rsidP="00411DE2">
      <w:pPr>
        <w:pStyle w:val="subsection"/>
      </w:pPr>
      <w:r w:rsidRPr="00995753">
        <w:tab/>
        <w:t>(8)</w:t>
      </w:r>
      <w:r w:rsidRPr="00995753">
        <w:tab/>
        <w:t>For paragraph 56ED(7)(b) of the Act, the CDR entity must make its CDR policy readily available through each online service by means of which the CDR entity, or a CDR representative of the CDR entity, ordinarily deals with CDR consumers.</w:t>
      </w:r>
    </w:p>
    <w:p w14:paraId="212AED06" w14:textId="77777777" w:rsidR="00317A85" w:rsidRPr="00995753" w:rsidRDefault="00317A85" w:rsidP="00411DE2">
      <w:pPr>
        <w:pStyle w:val="notetext"/>
      </w:pPr>
      <w:r w:rsidRPr="00995753">
        <w:t>Note:</w:t>
      </w:r>
      <w:r w:rsidRPr="00995753">
        <w:tab/>
        <w:t>This subrule is a civil penalty provision (see rule 9.8).</w:t>
      </w:r>
    </w:p>
    <w:p w14:paraId="06D3C34B" w14:textId="77777777" w:rsidR="00317A85" w:rsidRPr="00995753" w:rsidRDefault="00317A85" w:rsidP="00411DE2">
      <w:pPr>
        <w:pStyle w:val="subsection"/>
      </w:pPr>
      <w:r w:rsidRPr="00995753">
        <w:tab/>
        <w:t>(9)</w:t>
      </w:r>
      <w:r w:rsidRPr="00995753">
        <w:tab/>
        <w:t>For subsection 56ED(8) of the Act, if a copy of the CDR entity’s policy is requested by a CDR consumer, the CDR entity must give the CDR consumer a copy:</w:t>
      </w:r>
    </w:p>
    <w:p w14:paraId="04F7CBFF" w14:textId="77777777" w:rsidR="00317A85" w:rsidRPr="00995753" w:rsidRDefault="00317A85" w:rsidP="00411DE2">
      <w:pPr>
        <w:pStyle w:val="paragraph"/>
      </w:pPr>
      <w:r w:rsidRPr="00995753">
        <w:tab/>
        <w:t>(a)</w:t>
      </w:r>
      <w:r w:rsidRPr="00995753">
        <w:tab/>
        <w:t>electronically; or</w:t>
      </w:r>
    </w:p>
    <w:p w14:paraId="3159AE82" w14:textId="77777777" w:rsidR="00317A85" w:rsidRPr="00995753" w:rsidRDefault="00317A85" w:rsidP="00411DE2">
      <w:pPr>
        <w:pStyle w:val="paragraph"/>
      </w:pPr>
      <w:r w:rsidRPr="00995753">
        <w:tab/>
        <w:t>(b)</w:t>
      </w:r>
      <w:r w:rsidRPr="00995753">
        <w:tab/>
        <w:t>in hard copy;</w:t>
      </w:r>
    </w:p>
    <w:p w14:paraId="588885E5" w14:textId="77777777" w:rsidR="00317A85" w:rsidRPr="00995753" w:rsidRDefault="00317A85" w:rsidP="00411DE2">
      <w:pPr>
        <w:pStyle w:val="subsection20"/>
      </w:pPr>
      <w:r w:rsidRPr="00995753">
        <w:tab/>
      </w:r>
      <w:r w:rsidRPr="00995753">
        <w:tab/>
        <w:t>as directed by the consumer.</w:t>
      </w:r>
    </w:p>
    <w:p w14:paraId="088585C6" w14:textId="77777777" w:rsidR="00317A85" w:rsidRPr="00995753" w:rsidRDefault="00317A85" w:rsidP="00411DE2">
      <w:pPr>
        <w:pStyle w:val="notetext"/>
      </w:pPr>
      <w:r w:rsidRPr="00995753">
        <w:t>Note:</w:t>
      </w:r>
      <w:r w:rsidRPr="00995753">
        <w:tab/>
        <w:t>This subrule is a civil penalty provision (see rule 9.8).</w:t>
      </w:r>
    </w:p>
    <w:p w14:paraId="0569BFC5" w14:textId="77777777" w:rsidR="0056369A" w:rsidRPr="00995753" w:rsidRDefault="00A7561A" w:rsidP="00411DE2">
      <w:pPr>
        <w:pStyle w:val="ItemHead"/>
      </w:pPr>
      <w:r>
        <w:rPr>
          <w:noProof/>
        </w:rPr>
        <w:t>15</w:t>
      </w:r>
      <w:r w:rsidR="0056369A" w:rsidRPr="00995753">
        <w:t xml:space="preserve">  Paragraph 7.3(1)(a)</w:t>
      </w:r>
    </w:p>
    <w:p w14:paraId="44EE9CF1" w14:textId="77777777" w:rsidR="0056369A" w:rsidRPr="00995753" w:rsidRDefault="0056369A" w:rsidP="00411DE2">
      <w:pPr>
        <w:pStyle w:val="Item"/>
      </w:pPr>
      <w:r w:rsidRPr="00995753">
        <w:t>Omit “accredited d</w:t>
      </w:r>
      <w:r w:rsidR="00F3489B" w:rsidRPr="00995753">
        <w:t>ata reci</w:t>
      </w:r>
      <w:r w:rsidRPr="00995753">
        <w:t>pient”, substitute “accredited person who is or may become an accredited data recipient of CDR data”.</w:t>
      </w:r>
    </w:p>
    <w:p w14:paraId="6163A23F" w14:textId="77777777" w:rsidR="00053955" w:rsidRPr="00995753" w:rsidRDefault="00A7561A" w:rsidP="00411DE2">
      <w:pPr>
        <w:pStyle w:val="ItemHead"/>
      </w:pPr>
      <w:r>
        <w:rPr>
          <w:noProof/>
        </w:rPr>
        <w:lastRenderedPageBreak/>
        <w:t>17</w:t>
      </w:r>
      <w:r w:rsidR="00053955" w:rsidRPr="00995753">
        <w:t xml:space="preserve">  Paragraph 7.5(1)(h)</w:t>
      </w:r>
    </w:p>
    <w:p w14:paraId="4654391B" w14:textId="77777777" w:rsidR="00053955" w:rsidRPr="00995753" w:rsidRDefault="00053955" w:rsidP="00411DE2">
      <w:pPr>
        <w:pStyle w:val="Item"/>
      </w:pPr>
      <w:r w:rsidRPr="00995753">
        <w:t>After “paragraph (e)” insert “or (g)”.</w:t>
      </w:r>
    </w:p>
    <w:p w14:paraId="281FA211" w14:textId="77777777" w:rsidR="004F3C59" w:rsidRPr="00995753" w:rsidRDefault="00A7561A" w:rsidP="00411DE2">
      <w:pPr>
        <w:pStyle w:val="ItemHead"/>
      </w:pPr>
      <w:r>
        <w:rPr>
          <w:noProof/>
        </w:rPr>
        <w:t>18</w:t>
      </w:r>
      <w:r w:rsidR="004F3C59" w:rsidRPr="00995753">
        <w:t xml:space="preserve">  Rule 8.1, third boxed paragraph</w:t>
      </w:r>
    </w:p>
    <w:p w14:paraId="6099372C" w14:textId="77777777" w:rsidR="004F3C59" w:rsidRPr="00995753" w:rsidRDefault="004F3C59" w:rsidP="00411DE2">
      <w:pPr>
        <w:pStyle w:val="Item"/>
      </w:pPr>
      <w:r w:rsidRPr="00995753">
        <w:t>Omit “a Data Standards Advisory Committee”, substitute “Data Standards Advisory Committees”.</w:t>
      </w:r>
    </w:p>
    <w:p w14:paraId="70E67A62" w14:textId="77777777" w:rsidR="004F3C59" w:rsidRPr="00995753" w:rsidRDefault="00A7561A" w:rsidP="00411DE2">
      <w:pPr>
        <w:pStyle w:val="ItemHead"/>
      </w:pPr>
      <w:r>
        <w:rPr>
          <w:noProof/>
        </w:rPr>
        <w:t>19</w:t>
      </w:r>
      <w:r w:rsidR="004F3C59" w:rsidRPr="00995753">
        <w:t xml:space="preserve">  Division 8.2, heading</w:t>
      </w:r>
    </w:p>
    <w:p w14:paraId="54F1F4EA" w14:textId="77777777" w:rsidR="004F3C59" w:rsidRPr="00995753" w:rsidRDefault="004F3C59" w:rsidP="00411DE2">
      <w:pPr>
        <w:pStyle w:val="Item"/>
      </w:pPr>
      <w:r w:rsidRPr="00995753">
        <w:t>Omit “Committee”, substitute “Committees”.</w:t>
      </w:r>
    </w:p>
    <w:p w14:paraId="614DA3D3" w14:textId="77777777" w:rsidR="004F3C59" w:rsidRPr="00995753" w:rsidRDefault="00A7561A" w:rsidP="00411DE2">
      <w:pPr>
        <w:pStyle w:val="ItemHead"/>
      </w:pPr>
      <w:r>
        <w:rPr>
          <w:noProof/>
        </w:rPr>
        <w:t>20</w:t>
      </w:r>
      <w:r w:rsidR="004F3C59" w:rsidRPr="00995753">
        <w:t xml:space="preserve">  Rule 8.2</w:t>
      </w:r>
    </w:p>
    <w:p w14:paraId="7A92C84A" w14:textId="77777777" w:rsidR="004F3C59" w:rsidRPr="00995753" w:rsidRDefault="004F3C59" w:rsidP="00411DE2">
      <w:pPr>
        <w:pStyle w:val="Item"/>
      </w:pPr>
      <w:r w:rsidRPr="00995753">
        <w:t>Substitute:</w:t>
      </w:r>
    </w:p>
    <w:p w14:paraId="6C1ABBA3" w14:textId="77777777" w:rsidR="004F3C59" w:rsidRPr="00995753" w:rsidRDefault="004F3C59" w:rsidP="00411DE2">
      <w:pPr>
        <w:pStyle w:val="ActHead5"/>
      </w:pPr>
      <w:bookmarkStart w:id="122" w:name="_Toc11771685"/>
      <w:bookmarkStart w:id="123" w:name="_Toc76562678"/>
      <w:bookmarkStart w:id="124" w:name="_Toc76679957"/>
      <w:bookmarkStart w:id="125" w:name="_Toc76716914"/>
      <w:bookmarkStart w:id="126" w:name="_Toc76740931"/>
      <w:r w:rsidRPr="00995753">
        <w:t xml:space="preserve">8.2  Establishment of Data Standards Advisory </w:t>
      </w:r>
      <w:bookmarkEnd w:id="122"/>
      <w:r w:rsidRPr="00995753">
        <w:t>Committee</w:t>
      </w:r>
      <w:bookmarkEnd w:id="123"/>
      <w:bookmarkEnd w:id="124"/>
      <w:bookmarkEnd w:id="125"/>
      <w:bookmarkEnd w:id="126"/>
    </w:p>
    <w:p w14:paraId="589D46B0" w14:textId="77777777" w:rsidR="004F3C59" w:rsidRPr="00995753" w:rsidRDefault="004F3C59" w:rsidP="00411DE2">
      <w:pPr>
        <w:pStyle w:val="subsection"/>
      </w:pPr>
      <w:r w:rsidRPr="00995753">
        <w:tab/>
        <w:t>(1)</w:t>
      </w:r>
      <w:r w:rsidRPr="00995753">
        <w:tab/>
        <w:t xml:space="preserve">The Data Standards Chair must, by written instrument, establish and maintain a committee to advise the Chair about data standards in relation to each designated sector (a </w:t>
      </w:r>
      <w:r w:rsidRPr="00995753">
        <w:rPr>
          <w:b/>
          <w:i/>
        </w:rPr>
        <w:t>Data Standards Advisory Committee</w:t>
      </w:r>
      <w:r w:rsidRPr="00995753">
        <w:t>).</w:t>
      </w:r>
    </w:p>
    <w:p w14:paraId="24ADAC20" w14:textId="77777777" w:rsidR="004F3C59" w:rsidRPr="00995753" w:rsidRDefault="004F3C59" w:rsidP="00411DE2">
      <w:pPr>
        <w:pStyle w:val="notetext"/>
        <w:rPr>
          <w:shd w:val="clear" w:color="auto" w:fill="FFFFFF"/>
        </w:rPr>
      </w:pPr>
      <w:r w:rsidRPr="00995753">
        <w:rPr>
          <w:shd w:val="clear" w:color="auto" w:fill="FFFFFF"/>
        </w:rPr>
        <w:t>Note:</w:t>
      </w:r>
      <w:r w:rsidRPr="00995753">
        <w:rPr>
          <w:shd w:val="clear" w:color="auto" w:fill="FFFFFF"/>
        </w:rPr>
        <w:tab/>
        <w:t>For variation and revocation, see subsection 33(3) of the </w:t>
      </w:r>
      <w:r w:rsidRPr="00995753">
        <w:rPr>
          <w:i/>
          <w:iCs/>
          <w:shd w:val="clear" w:color="auto" w:fill="FFFFFF"/>
        </w:rPr>
        <w:t>Acts Interpretation Act 1901</w:t>
      </w:r>
      <w:r w:rsidRPr="00995753">
        <w:rPr>
          <w:iCs/>
        </w:rPr>
        <w:t xml:space="preserve"> and paragraph 13(1)(a) of the </w:t>
      </w:r>
      <w:r w:rsidRPr="00995753">
        <w:rPr>
          <w:i/>
          <w:iCs/>
        </w:rPr>
        <w:t>Legislation Act 2003</w:t>
      </w:r>
      <w:r w:rsidRPr="00995753">
        <w:rPr>
          <w:shd w:val="clear" w:color="auto" w:fill="FFFFFF"/>
        </w:rPr>
        <w:t>.</w:t>
      </w:r>
    </w:p>
    <w:p w14:paraId="35B10777" w14:textId="77777777" w:rsidR="004F3C59" w:rsidRPr="00995753" w:rsidRDefault="004F3C59" w:rsidP="00411DE2">
      <w:pPr>
        <w:pStyle w:val="subsection"/>
        <w:rPr>
          <w:shd w:val="clear" w:color="auto" w:fill="FFFFFF"/>
        </w:rPr>
      </w:pPr>
      <w:r w:rsidRPr="00995753">
        <w:rPr>
          <w:shd w:val="clear" w:color="auto" w:fill="FFFFFF"/>
        </w:rPr>
        <w:tab/>
        <w:t>(2)</w:t>
      </w:r>
      <w:r w:rsidRPr="00995753">
        <w:rPr>
          <w:shd w:val="clear" w:color="auto" w:fill="FFFFFF"/>
        </w:rPr>
        <w:tab/>
        <w:t>To avoid doubt, a Data Standards Advisory Committee may be appointed to cover more than one designated sector.</w:t>
      </w:r>
      <w:r w:rsidRPr="00995753">
        <w:rPr>
          <w:shd w:val="clear" w:color="auto" w:fill="FFFFFF"/>
        </w:rPr>
        <w:tab/>
      </w:r>
    </w:p>
    <w:p w14:paraId="637830C7" w14:textId="77777777" w:rsidR="004F3C59" w:rsidRPr="00995753" w:rsidRDefault="00A7561A" w:rsidP="00411DE2">
      <w:pPr>
        <w:pStyle w:val="ItemHead"/>
      </w:pPr>
      <w:r>
        <w:rPr>
          <w:noProof/>
        </w:rPr>
        <w:t>21</w:t>
      </w:r>
      <w:r w:rsidR="004F3C59" w:rsidRPr="00995753">
        <w:t xml:space="preserve">  Rule 8.3</w:t>
      </w:r>
    </w:p>
    <w:p w14:paraId="14F42640" w14:textId="77777777" w:rsidR="004F3C59" w:rsidRPr="00995753" w:rsidRDefault="004F3C59" w:rsidP="00411DE2">
      <w:pPr>
        <w:pStyle w:val="Item"/>
      </w:pPr>
      <w:r w:rsidRPr="00995753">
        <w:t>Omit “the Data Standards Advisory Committee”, substitute “a Data Standards Advisory Committee”.</w:t>
      </w:r>
    </w:p>
    <w:bookmarkEnd w:id="120"/>
    <w:p w14:paraId="756C2490" w14:textId="77777777" w:rsidR="004F3C59" w:rsidRPr="00995753" w:rsidRDefault="00A7561A" w:rsidP="00411DE2">
      <w:pPr>
        <w:pStyle w:val="ItemHead"/>
      </w:pPr>
      <w:r>
        <w:rPr>
          <w:noProof/>
        </w:rPr>
        <w:t>22</w:t>
      </w:r>
      <w:r w:rsidR="004F3C59" w:rsidRPr="00995753">
        <w:t xml:space="preserve">  Paragraph 8.4(1)(a)</w:t>
      </w:r>
    </w:p>
    <w:p w14:paraId="50C394CF" w14:textId="77777777" w:rsidR="004F3C59" w:rsidRPr="00995753" w:rsidRDefault="004F3C59" w:rsidP="00411DE2">
      <w:pPr>
        <w:pStyle w:val="Item"/>
      </w:pPr>
      <w:r w:rsidRPr="00995753">
        <w:t>Omit “the Data Standards Advisory Committee”, substitute “a Data Standards Advisory Committee”.</w:t>
      </w:r>
    </w:p>
    <w:p w14:paraId="7A30A3A2" w14:textId="77777777" w:rsidR="004F3C59" w:rsidRPr="00995753" w:rsidRDefault="00A7561A" w:rsidP="00411DE2">
      <w:pPr>
        <w:pStyle w:val="ItemHead"/>
      </w:pPr>
      <w:r>
        <w:rPr>
          <w:noProof/>
        </w:rPr>
        <w:t>23</w:t>
      </w:r>
      <w:r w:rsidR="004F3C59" w:rsidRPr="00995753">
        <w:t xml:space="preserve">  Subrule 8.5(1)</w:t>
      </w:r>
    </w:p>
    <w:p w14:paraId="37028745" w14:textId="77777777" w:rsidR="004F3C59" w:rsidRPr="00995753" w:rsidRDefault="004F3C59" w:rsidP="00411DE2">
      <w:pPr>
        <w:pStyle w:val="Item"/>
      </w:pPr>
      <w:r w:rsidRPr="00995753">
        <w:t>Omit “the Data Standards Advisory Committee”, substitute “a Data Standards Advisory Committee”.</w:t>
      </w:r>
    </w:p>
    <w:p w14:paraId="770C40FF" w14:textId="77777777" w:rsidR="004F3C59" w:rsidRPr="00995753" w:rsidRDefault="00A7561A" w:rsidP="00411DE2">
      <w:pPr>
        <w:pStyle w:val="ItemHead"/>
      </w:pPr>
      <w:r>
        <w:rPr>
          <w:noProof/>
        </w:rPr>
        <w:t>24</w:t>
      </w:r>
      <w:r w:rsidR="004F3C59" w:rsidRPr="00995753">
        <w:t xml:space="preserve">  Subrule 8.5(2)</w:t>
      </w:r>
    </w:p>
    <w:p w14:paraId="2C267C29" w14:textId="77777777" w:rsidR="004F3C59" w:rsidRPr="00995753" w:rsidRDefault="004F3C59" w:rsidP="00411DE2">
      <w:pPr>
        <w:pStyle w:val="Item"/>
      </w:pPr>
      <w:r w:rsidRPr="00995753">
        <w:t>Omit “the Committee”, substitute “a Committee”.</w:t>
      </w:r>
    </w:p>
    <w:p w14:paraId="5B75FEBE" w14:textId="77777777" w:rsidR="004F3C59" w:rsidRPr="00995753" w:rsidRDefault="00A7561A" w:rsidP="00411DE2">
      <w:pPr>
        <w:pStyle w:val="ItemHead"/>
      </w:pPr>
      <w:r>
        <w:rPr>
          <w:noProof/>
        </w:rPr>
        <w:t>25</w:t>
      </w:r>
      <w:r w:rsidR="004F3C59" w:rsidRPr="00995753">
        <w:t xml:space="preserve">  Rule 8.6</w:t>
      </w:r>
    </w:p>
    <w:p w14:paraId="58BAB4A9" w14:textId="77777777" w:rsidR="004F3C59" w:rsidRPr="00995753" w:rsidRDefault="004F3C59" w:rsidP="00411DE2">
      <w:pPr>
        <w:pStyle w:val="Item"/>
      </w:pPr>
      <w:r w:rsidRPr="00995753">
        <w:t>Omit “the Data Standards Advisory Committee”, substitute “a Data Standards Advisory Committee”.</w:t>
      </w:r>
    </w:p>
    <w:p w14:paraId="0DB197FB" w14:textId="77777777" w:rsidR="004F3C59" w:rsidRPr="00995753" w:rsidRDefault="00A7561A" w:rsidP="00411DE2">
      <w:pPr>
        <w:pStyle w:val="ItemHead"/>
      </w:pPr>
      <w:r>
        <w:rPr>
          <w:noProof/>
        </w:rPr>
        <w:t>26</w:t>
      </w:r>
      <w:r w:rsidR="004F3C59" w:rsidRPr="00995753">
        <w:t xml:space="preserve">  Subrule 8.7(1)</w:t>
      </w:r>
    </w:p>
    <w:p w14:paraId="712030D4" w14:textId="77777777" w:rsidR="004F3C59" w:rsidRPr="00995753" w:rsidRDefault="004F3C59" w:rsidP="00411DE2">
      <w:pPr>
        <w:pStyle w:val="Item"/>
      </w:pPr>
      <w:r w:rsidRPr="00995753">
        <w:t>Omit “the Data Standards Advisory Committee”, substitute “a Data Standards Advisory Committee”.</w:t>
      </w:r>
    </w:p>
    <w:p w14:paraId="7AFE1B24" w14:textId="77777777" w:rsidR="004F3C59" w:rsidRPr="00995753" w:rsidRDefault="00A7561A" w:rsidP="00411DE2">
      <w:pPr>
        <w:pStyle w:val="ItemHead"/>
      </w:pPr>
      <w:r>
        <w:rPr>
          <w:noProof/>
        </w:rPr>
        <w:lastRenderedPageBreak/>
        <w:t>27</w:t>
      </w:r>
      <w:r w:rsidR="004F3C59" w:rsidRPr="00995753">
        <w:t xml:space="preserve">  Subrule 8.7(2)</w:t>
      </w:r>
    </w:p>
    <w:p w14:paraId="0164241A" w14:textId="77777777" w:rsidR="004F3C59" w:rsidRPr="00995753" w:rsidRDefault="004F3C59" w:rsidP="00411DE2">
      <w:pPr>
        <w:pStyle w:val="Item"/>
      </w:pPr>
      <w:r w:rsidRPr="00995753">
        <w:t>Omit “the Committee”, substitute “a Committee”.</w:t>
      </w:r>
    </w:p>
    <w:p w14:paraId="79C99BD6" w14:textId="77777777" w:rsidR="004F3C59" w:rsidRPr="00995753" w:rsidRDefault="00A7561A" w:rsidP="00411DE2">
      <w:pPr>
        <w:pStyle w:val="ItemHead"/>
      </w:pPr>
      <w:r>
        <w:rPr>
          <w:noProof/>
        </w:rPr>
        <w:t>28</w:t>
      </w:r>
      <w:r w:rsidR="004F3C59" w:rsidRPr="00995753">
        <w:t xml:space="preserve">  Rule 9.8</w:t>
      </w:r>
    </w:p>
    <w:p w14:paraId="466C48E5" w14:textId="77777777" w:rsidR="00D863B2" w:rsidRPr="00995753" w:rsidRDefault="00D863B2" w:rsidP="00411DE2">
      <w:pPr>
        <w:pStyle w:val="Item"/>
      </w:pPr>
      <w:bookmarkStart w:id="127" w:name="_Toc86237308"/>
      <w:r w:rsidRPr="00995753">
        <w:t>Substitute:</w:t>
      </w:r>
    </w:p>
    <w:p w14:paraId="43354AA3" w14:textId="77777777" w:rsidR="00D863B2" w:rsidRPr="00995753" w:rsidRDefault="00D863B2" w:rsidP="00411DE2">
      <w:pPr>
        <w:pStyle w:val="ActHead5"/>
      </w:pPr>
      <w:r w:rsidRPr="00995753">
        <w:t>9.8  Civil penalty provisions</w:t>
      </w:r>
      <w:bookmarkEnd w:id="127"/>
    </w:p>
    <w:p w14:paraId="6E7D3A0F" w14:textId="77777777" w:rsidR="00D863B2" w:rsidRPr="00995753" w:rsidRDefault="00D863B2" w:rsidP="00411DE2">
      <w:pPr>
        <w:pStyle w:val="subsection"/>
      </w:pPr>
      <w:r w:rsidRPr="00995753">
        <w:tab/>
      </w:r>
      <w:r w:rsidRPr="00995753">
        <w:tab/>
        <w:t>For section 56BL of the Act, the following provisions of these rules are civil penalty provisions (within the meaning of the Regulatory Powers Act):</w:t>
      </w:r>
    </w:p>
    <w:p w14:paraId="55295266" w14:textId="77777777" w:rsidR="00D122FD" w:rsidRPr="00995753" w:rsidRDefault="00D122FD" w:rsidP="00411DE2">
      <w:pPr>
        <w:pStyle w:val="paragraph"/>
      </w:pPr>
      <w:r w:rsidRPr="00995753">
        <w:tab/>
        <w:t>(a)</w:t>
      </w:r>
      <w:r w:rsidRPr="00995753">
        <w:tab/>
        <w:t>subrule 1.12(1); </w:t>
      </w:r>
    </w:p>
    <w:p w14:paraId="2D4B041F" w14:textId="77777777" w:rsidR="00D122FD" w:rsidRPr="00995753" w:rsidRDefault="00D122FD" w:rsidP="00411DE2">
      <w:pPr>
        <w:pStyle w:val="paragraph"/>
      </w:pPr>
      <w:r w:rsidRPr="00995753">
        <w:tab/>
        <w:t>(b)</w:t>
      </w:r>
      <w:r w:rsidRPr="00995753">
        <w:tab/>
        <w:t>subrule 1.13(1);</w:t>
      </w:r>
    </w:p>
    <w:p w14:paraId="31E9F6C6" w14:textId="77777777" w:rsidR="00D122FD" w:rsidRPr="00995753" w:rsidRDefault="00D122FD" w:rsidP="00411DE2">
      <w:pPr>
        <w:pStyle w:val="paragraph"/>
      </w:pPr>
      <w:r w:rsidRPr="00995753">
        <w:tab/>
        <w:t>(c)</w:t>
      </w:r>
      <w:r w:rsidRPr="00995753">
        <w:tab/>
        <w:t>subrule 1.14(1);</w:t>
      </w:r>
    </w:p>
    <w:p w14:paraId="77ACD7C7" w14:textId="77777777" w:rsidR="00D122FD" w:rsidRPr="00995753" w:rsidRDefault="00D122FD" w:rsidP="00411DE2">
      <w:pPr>
        <w:pStyle w:val="paragraph"/>
      </w:pPr>
      <w:r w:rsidRPr="00995753">
        <w:tab/>
        <w:t>(d)</w:t>
      </w:r>
      <w:r w:rsidRPr="00995753">
        <w:tab/>
        <w:t>subrule 1.15(1);</w:t>
      </w:r>
    </w:p>
    <w:p w14:paraId="3CDEE2EE" w14:textId="77777777" w:rsidR="00D122FD" w:rsidRPr="00995753" w:rsidRDefault="00D122FD" w:rsidP="00411DE2">
      <w:pPr>
        <w:pStyle w:val="paragraph"/>
      </w:pPr>
      <w:r w:rsidRPr="00995753">
        <w:tab/>
        <w:t>(e)</w:t>
      </w:r>
      <w:r w:rsidRPr="00995753">
        <w:tab/>
        <w:t>subrule 1.15(5)</w:t>
      </w:r>
    </w:p>
    <w:p w14:paraId="4DB4A531" w14:textId="77777777" w:rsidR="00D122FD" w:rsidRPr="00995753" w:rsidRDefault="00D122FD" w:rsidP="00411DE2">
      <w:pPr>
        <w:pStyle w:val="paragraph"/>
      </w:pPr>
      <w:r w:rsidRPr="00995753">
        <w:tab/>
        <w:t>(f)</w:t>
      </w:r>
      <w:r w:rsidRPr="00995753">
        <w:tab/>
        <w:t>subrule 1.15(7)</w:t>
      </w:r>
    </w:p>
    <w:p w14:paraId="263235C0" w14:textId="77777777" w:rsidR="00D122FD" w:rsidRPr="00995753" w:rsidRDefault="00D122FD" w:rsidP="00411DE2">
      <w:pPr>
        <w:pStyle w:val="paragraph"/>
      </w:pPr>
      <w:r w:rsidRPr="00995753">
        <w:tab/>
        <w:t>(g)</w:t>
      </w:r>
      <w:r w:rsidRPr="00995753">
        <w:tab/>
        <w:t>subrule 1.16(1);</w:t>
      </w:r>
    </w:p>
    <w:p w14:paraId="6F44BE45" w14:textId="77777777" w:rsidR="00D122FD" w:rsidRPr="00995753" w:rsidRDefault="00D122FD" w:rsidP="00411DE2">
      <w:pPr>
        <w:pStyle w:val="paragraph"/>
      </w:pPr>
      <w:r w:rsidRPr="00995753">
        <w:tab/>
        <w:t>(h)</w:t>
      </w:r>
      <w:r w:rsidRPr="00995753">
        <w:tab/>
        <w:t>subrule 1.16A(2); </w:t>
      </w:r>
    </w:p>
    <w:p w14:paraId="3B444DC2" w14:textId="77777777" w:rsidR="00D122FD" w:rsidRPr="00995753" w:rsidRDefault="00D122FD" w:rsidP="00411DE2">
      <w:pPr>
        <w:pStyle w:val="paragraph"/>
      </w:pPr>
      <w:r w:rsidRPr="00995753">
        <w:tab/>
        <w:t>(i)</w:t>
      </w:r>
      <w:r w:rsidRPr="00995753">
        <w:tab/>
        <w:t>subrule 1.20(2);</w:t>
      </w:r>
    </w:p>
    <w:p w14:paraId="4667EC82" w14:textId="77777777" w:rsidR="00D122FD" w:rsidRPr="00995753" w:rsidRDefault="00D122FD" w:rsidP="00411DE2">
      <w:pPr>
        <w:pStyle w:val="paragraph"/>
      </w:pPr>
      <w:r w:rsidRPr="00995753">
        <w:tab/>
        <w:t>(j)</w:t>
      </w:r>
      <w:r w:rsidRPr="00995753">
        <w:tab/>
        <w:t>subrule 1.22(3);</w:t>
      </w:r>
    </w:p>
    <w:p w14:paraId="1BE919AF" w14:textId="77777777" w:rsidR="00D122FD" w:rsidRPr="00995753" w:rsidRDefault="00D122FD" w:rsidP="00411DE2">
      <w:pPr>
        <w:pStyle w:val="paragraph"/>
      </w:pPr>
      <w:r w:rsidRPr="00995753">
        <w:tab/>
        <w:t>(k)</w:t>
      </w:r>
      <w:r w:rsidRPr="00995753">
        <w:tab/>
        <w:t>subrule 1.22(4);</w:t>
      </w:r>
    </w:p>
    <w:p w14:paraId="588B1BF9" w14:textId="77777777" w:rsidR="00D122FD" w:rsidRPr="00995753" w:rsidRDefault="00D122FD" w:rsidP="00411DE2">
      <w:pPr>
        <w:pStyle w:val="paragraph"/>
      </w:pPr>
      <w:r w:rsidRPr="00995753">
        <w:tab/>
        <w:t>(l)</w:t>
      </w:r>
      <w:r w:rsidRPr="00995753">
        <w:tab/>
        <w:t>subrule 1.22(5);</w:t>
      </w:r>
    </w:p>
    <w:p w14:paraId="6BBD11A5" w14:textId="77777777" w:rsidR="00D122FD" w:rsidRPr="00995753" w:rsidRDefault="00D122FD" w:rsidP="00411DE2">
      <w:pPr>
        <w:pStyle w:val="paragraph"/>
      </w:pPr>
      <w:r w:rsidRPr="00995753">
        <w:tab/>
        <w:t>(m)</w:t>
      </w:r>
      <w:r w:rsidRPr="00995753">
        <w:tab/>
        <w:t xml:space="preserve">subrule 1.23(4): </w:t>
      </w:r>
    </w:p>
    <w:p w14:paraId="4F5AE040" w14:textId="77777777" w:rsidR="00D122FD" w:rsidRPr="00995753" w:rsidRDefault="00D122FD" w:rsidP="00411DE2">
      <w:pPr>
        <w:pStyle w:val="paragraph"/>
      </w:pPr>
      <w:r w:rsidRPr="00995753">
        <w:tab/>
        <w:t>(n)</w:t>
      </w:r>
      <w:r w:rsidRPr="00995753">
        <w:tab/>
        <w:t>subrule 1.23(5);</w:t>
      </w:r>
    </w:p>
    <w:p w14:paraId="6C59D415" w14:textId="77777777" w:rsidR="00D122FD" w:rsidRPr="00995753" w:rsidRDefault="00D122FD" w:rsidP="00411DE2">
      <w:pPr>
        <w:pStyle w:val="paragraph"/>
      </w:pPr>
      <w:r w:rsidRPr="00995753">
        <w:tab/>
        <w:t>(o)</w:t>
      </w:r>
      <w:r w:rsidRPr="00995753">
        <w:tab/>
        <w:t>subrule 1.23(6);</w:t>
      </w:r>
    </w:p>
    <w:p w14:paraId="4D2A2BDB" w14:textId="77777777" w:rsidR="00D122FD" w:rsidRPr="00995753" w:rsidRDefault="00D122FD" w:rsidP="00411DE2">
      <w:pPr>
        <w:pStyle w:val="paragraph"/>
      </w:pPr>
      <w:r w:rsidRPr="00995753">
        <w:tab/>
        <w:t>(p)</w:t>
      </w:r>
      <w:r w:rsidRPr="00995753">
        <w:tab/>
        <w:t>rule 1.25;</w:t>
      </w:r>
    </w:p>
    <w:p w14:paraId="65E13EB5" w14:textId="77777777" w:rsidR="00D122FD" w:rsidRPr="00995753" w:rsidRDefault="00D122FD" w:rsidP="00411DE2">
      <w:pPr>
        <w:pStyle w:val="paragraph"/>
      </w:pPr>
      <w:r w:rsidRPr="00995753">
        <w:tab/>
        <w:t>(q)</w:t>
      </w:r>
      <w:r w:rsidRPr="00995753">
        <w:tab/>
        <w:t>subrule 2.4(2A);</w:t>
      </w:r>
      <w:r w:rsidRPr="00995753">
        <w:tab/>
      </w:r>
    </w:p>
    <w:p w14:paraId="0D2F90E8" w14:textId="77777777" w:rsidR="00D122FD" w:rsidRPr="00995753" w:rsidRDefault="00D122FD" w:rsidP="00411DE2">
      <w:pPr>
        <w:pStyle w:val="paragraph"/>
      </w:pPr>
      <w:r w:rsidRPr="00995753">
        <w:tab/>
        <w:t>(r)</w:t>
      </w:r>
      <w:r w:rsidRPr="00995753">
        <w:tab/>
        <w:t>subrule 2.4(3);</w:t>
      </w:r>
    </w:p>
    <w:p w14:paraId="74D6BE03" w14:textId="77777777" w:rsidR="00D122FD" w:rsidRPr="00995753" w:rsidRDefault="00D122FD" w:rsidP="00411DE2">
      <w:pPr>
        <w:pStyle w:val="paragraph"/>
      </w:pPr>
      <w:r w:rsidRPr="00995753">
        <w:tab/>
        <w:t>(s)</w:t>
      </w:r>
      <w:r w:rsidRPr="00995753">
        <w:tab/>
        <w:t>rule 2.6;</w:t>
      </w:r>
    </w:p>
    <w:p w14:paraId="6D447FF5" w14:textId="77777777" w:rsidR="00D122FD" w:rsidRPr="00995753" w:rsidRDefault="00D122FD" w:rsidP="00411DE2">
      <w:pPr>
        <w:pStyle w:val="paragraph"/>
      </w:pPr>
      <w:r w:rsidRPr="00995753">
        <w:tab/>
        <w:t>(t)</w:t>
      </w:r>
      <w:r w:rsidRPr="00995753">
        <w:tab/>
        <w:t>subrule 3.4(3);</w:t>
      </w:r>
    </w:p>
    <w:p w14:paraId="77EDD868" w14:textId="77777777" w:rsidR="00D122FD" w:rsidRPr="00995753" w:rsidRDefault="00D122FD" w:rsidP="00411DE2">
      <w:pPr>
        <w:pStyle w:val="paragraph"/>
      </w:pPr>
      <w:r w:rsidRPr="00995753">
        <w:tab/>
        <w:t>(u)</w:t>
      </w:r>
      <w:r w:rsidRPr="00995753">
        <w:tab/>
        <w:t>subrule 4.3(5);</w:t>
      </w:r>
    </w:p>
    <w:p w14:paraId="7A93F81A" w14:textId="77777777" w:rsidR="00D122FD" w:rsidRPr="00995753" w:rsidRDefault="00D122FD" w:rsidP="00411DE2">
      <w:pPr>
        <w:pStyle w:val="paragraph"/>
      </w:pPr>
      <w:r w:rsidRPr="00995753">
        <w:tab/>
        <w:t>(v)</w:t>
      </w:r>
      <w:r w:rsidRPr="00995753">
        <w:tab/>
        <w:t>subrule 4.3C(2):</w:t>
      </w:r>
    </w:p>
    <w:p w14:paraId="19A1F40F" w14:textId="77777777" w:rsidR="00D122FD" w:rsidRPr="00995753" w:rsidRDefault="00D122FD" w:rsidP="00411DE2">
      <w:pPr>
        <w:pStyle w:val="paragraph"/>
      </w:pPr>
      <w:r w:rsidRPr="00995753">
        <w:tab/>
        <w:t>(w)</w:t>
      </w:r>
      <w:r w:rsidRPr="00995753">
        <w:tab/>
        <w:t>subrule 4.4(3);</w:t>
      </w:r>
    </w:p>
    <w:p w14:paraId="751CAB9A" w14:textId="77777777" w:rsidR="00D122FD" w:rsidRPr="00995753" w:rsidRDefault="00D122FD" w:rsidP="00411DE2">
      <w:pPr>
        <w:pStyle w:val="paragraph"/>
      </w:pPr>
      <w:r w:rsidRPr="00995753">
        <w:tab/>
        <w:t>(x)</w:t>
      </w:r>
      <w:r w:rsidRPr="00995753">
        <w:tab/>
        <w:t>subrule 4.5(2);</w:t>
      </w:r>
    </w:p>
    <w:p w14:paraId="67F03013" w14:textId="77777777" w:rsidR="00D122FD" w:rsidRPr="00995753" w:rsidRDefault="00D122FD" w:rsidP="00411DE2">
      <w:pPr>
        <w:pStyle w:val="paragraph"/>
      </w:pPr>
      <w:r w:rsidRPr="00995753">
        <w:tab/>
        <w:t>(y)</w:t>
      </w:r>
      <w:r w:rsidRPr="00995753">
        <w:tab/>
        <w:t>subrule 4.5(3);</w:t>
      </w:r>
    </w:p>
    <w:p w14:paraId="04712FEF" w14:textId="77777777" w:rsidR="00D122FD" w:rsidRPr="00995753" w:rsidRDefault="00D122FD" w:rsidP="00411DE2">
      <w:pPr>
        <w:pStyle w:val="paragraph"/>
      </w:pPr>
      <w:r w:rsidRPr="00995753">
        <w:tab/>
        <w:t>(z)</w:t>
      </w:r>
      <w:r w:rsidRPr="00995753">
        <w:tab/>
        <w:t>subrule 4.6(3);</w:t>
      </w:r>
    </w:p>
    <w:p w14:paraId="05488DF0" w14:textId="77777777" w:rsidR="00D122FD" w:rsidRPr="00995753" w:rsidRDefault="00D122FD" w:rsidP="00411DE2">
      <w:pPr>
        <w:pStyle w:val="paragraph"/>
      </w:pPr>
      <w:r w:rsidRPr="00995753">
        <w:tab/>
        <w:t>(aa)</w:t>
      </w:r>
      <w:r w:rsidRPr="00995753">
        <w:tab/>
        <w:t>subrule 4.6(4);</w:t>
      </w:r>
    </w:p>
    <w:p w14:paraId="4B79E6CF" w14:textId="77777777" w:rsidR="00D122FD" w:rsidRPr="00995753" w:rsidRDefault="00D122FD" w:rsidP="00411DE2">
      <w:pPr>
        <w:pStyle w:val="paragraph"/>
      </w:pPr>
      <w:r w:rsidRPr="00995753">
        <w:tab/>
        <w:t>(bb)</w:t>
      </w:r>
      <w:r w:rsidRPr="00995753">
        <w:tab/>
        <w:t>subrule 4.7B(3)</w:t>
      </w:r>
    </w:p>
    <w:p w14:paraId="1E987D00" w14:textId="77777777" w:rsidR="00D122FD" w:rsidRPr="00995753" w:rsidRDefault="00D122FD" w:rsidP="00411DE2">
      <w:pPr>
        <w:pStyle w:val="paragraph"/>
      </w:pPr>
      <w:r w:rsidRPr="00995753">
        <w:tab/>
        <w:t>(cc)</w:t>
      </w:r>
      <w:r w:rsidRPr="00995753">
        <w:tab/>
        <w:t>subrule 4.13(2);</w:t>
      </w:r>
    </w:p>
    <w:p w14:paraId="5B002EC2" w14:textId="77777777" w:rsidR="00D122FD" w:rsidRPr="00995753" w:rsidRDefault="00D122FD" w:rsidP="00411DE2">
      <w:pPr>
        <w:pStyle w:val="paragraph"/>
      </w:pPr>
      <w:r w:rsidRPr="00995753">
        <w:tab/>
        <w:t>(dd)</w:t>
      </w:r>
      <w:r w:rsidRPr="00995753">
        <w:tab/>
        <w:t>subrule 4.18(1);</w:t>
      </w:r>
    </w:p>
    <w:p w14:paraId="310EA670" w14:textId="77777777" w:rsidR="00D122FD" w:rsidRPr="00995753" w:rsidRDefault="00D122FD" w:rsidP="00411DE2">
      <w:pPr>
        <w:pStyle w:val="paragraph"/>
      </w:pPr>
      <w:r w:rsidRPr="00995753">
        <w:tab/>
        <w:t>(ee)</w:t>
      </w:r>
      <w:r w:rsidRPr="00995753">
        <w:tab/>
        <w:t>subrule 4.18A(2);</w:t>
      </w:r>
    </w:p>
    <w:p w14:paraId="1A13E7FD" w14:textId="77777777" w:rsidR="00D122FD" w:rsidRPr="00995753" w:rsidRDefault="00D122FD" w:rsidP="00411DE2">
      <w:pPr>
        <w:pStyle w:val="paragraph"/>
      </w:pPr>
      <w:r w:rsidRPr="00995753">
        <w:tab/>
        <w:t>(ff)</w:t>
      </w:r>
      <w:r w:rsidRPr="00995753">
        <w:tab/>
        <w:t>subrule 4.18B(2);</w:t>
      </w:r>
    </w:p>
    <w:p w14:paraId="08B78B76" w14:textId="77777777" w:rsidR="00D122FD" w:rsidRPr="00995753" w:rsidRDefault="00D122FD" w:rsidP="00411DE2">
      <w:pPr>
        <w:pStyle w:val="paragraph"/>
      </w:pPr>
      <w:r w:rsidRPr="00995753">
        <w:tab/>
        <w:t>(gg)</w:t>
      </w:r>
      <w:r w:rsidRPr="00995753">
        <w:tab/>
        <w:t>subrule 4.18B(3);</w:t>
      </w:r>
    </w:p>
    <w:p w14:paraId="046DEA57" w14:textId="77777777" w:rsidR="00D122FD" w:rsidRPr="00995753" w:rsidRDefault="00D122FD" w:rsidP="00411DE2">
      <w:pPr>
        <w:pStyle w:val="paragraph"/>
      </w:pPr>
      <w:r w:rsidRPr="00995753">
        <w:lastRenderedPageBreak/>
        <w:tab/>
        <w:t>(hh)</w:t>
      </w:r>
      <w:r w:rsidRPr="00995753">
        <w:tab/>
        <w:t>subrule 4.18C(2);</w:t>
      </w:r>
    </w:p>
    <w:p w14:paraId="07C3AF20" w14:textId="77777777" w:rsidR="00D122FD" w:rsidRPr="00995753" w:rsidRDefault="00D122FD" w:rsidP="00411DE2">
      <w:pPr>
        <w:pStyle w:val="paragraph"/>
      </w:pPr>
      <w:r w:rsidRPr="00995753">
        <w:tab/>
        <w:t>(ii)</w:t>
      </w:r>
      <w:r w:rsidRPr="00995753">
        <w:tab/>
        <w:t>rule 4.19;</w:t>
      </w:r>
    </w:p>
    <w:p w14:paraId="792215D8" w14:textId="77777777" w:rsidR="00D122FD" w:rsidRPr="00995753" w:rsidRDefault="00D122FD" w:rsidP="00411DE2">
      <w:pPr>
        <w:pStyle w:val="paragraph"/>
      </w:pPr>
      <w:r w:rsidRPr="00995753">
        <w:tab/>
        <w:t>(jj)</w:t>
      </w:r>
      <w:r w:rsidRPr="00995753">
        <w:tab/>
        <w:t>subrule 4.20(2);</w:t>
      </w:r>
    </w:p>
    <w:p w14:paraId="2BACFAA7" w14:textId="77777777" w:rsidR="00D122FD" w:rsidRPr="00995753" w:rsidRDefault="00D122FD" w:rsidP="00411DE2">
      <w:pPr>
        <w:pStyle w:val="paragraph"/>
      </w:pPr>
      <w:r w:rsidRPr="00995753">
        <w:tab/>
        <w:t>(kk)</w:t>
      </w:r>
      <w:r w:rsidRPr="00995753">
        <w:tab/>
        <w:t>subrule 4.22A(1)</w:t>
      </w:r>
    </w:p>
    <w:p w14:paraId="2618A3D3" w14:textId="77777777" w:rsidR="00D122FD" w:rsidRPr="00995753" w:rsidRDefault="00D122FD" w:rsidP="00411DE2">
      <w:pPr>
        <w:pStyle w:val="paragraph"/>
      </w:pPr>
      <w:r w:rsidRPr="00995753">
        <w:tab/>
        <w:t>(ll)</w:t>
      </w:r>
      <w:r w:rsidRPr="00995753">
        <w:tab/>
        <w:t>subrule 4.25(2);</w:t>
      </w:r>
    </w:p>
    <w:p w14:paraId="1A519040" w14:textId="77777777" w:rsidR="00D122FD" w:rsidRPr="00995753" w:rsidRDefault="00D122FD" w:rsidP="00411DE2">
      <w:pPr>
        <w:pStyle w:val="paragraph"/>
      </w:pPr>
      <w:r w:rsidRPr="00995753">
        <w:tab/>
        <w:t>(mm)</w:t>
      </w:r>
      <w:r w:rsidRPr="00995753">
        <w:tab/>
        <w:t>rule 4.27;</w:t>
      </w:r>
    </w:p>
    <w:p w14:paraId="46179C60" w14:textId="77777777" w:rsidR="00D122FD" w:rsidRPr="00995753" w:rsidRDefault="00D122FD" w:rsidP="00411DE2">
      <w:pPr>
        <w:pStyle w:val="paragraph"/>
      </w:pPr>
      <w:r w:rsidRPr="00995753">
        <w:tab/>
        <w:t>(nn)</w:t>
      </w:r>
      <w:r w:rsidRPr="00995753">
        <w:tab/>
        <w:t>subrule 4.28(2);</w:t>
      </w:r>
    </w:p>
    <w:p w14:paraId="12D6E066" w14:textId="77777777" w:rsidR="00D122FD" w:rsidRPr="00995753" w:rsidRDefault="00D122FD" w:rsidP="00411DE2">
      <w:pPr>
        <w:pStyle w:val="paragraph"/>
      </w:pPr>
      <w:r w:rsidRPr="00995753">
        <w:tab/>
        <w:t>(oo)</w:t>
      </w:r>
      <w:r w:rsidRPr="00995753">
        <w:tab/>
        <w:t>subrule 4A.6(1); </w:t>
      </w:r>
    </w:p>
    <w:p w14:paraId="586B7482" w14:textId="77777777" w:rsidR="00D122FD" w:rsidRPr="00995753" w:rsidRDefault="00D122FD" w:rsidP="00411DE2">
      <w:pPr>
        <w:pStyle w:val="paragraph"/>
      </w:pPr>
      <w:r w:rsidRPr="00995753">
        <w:tab/>
        <w:t>(pp)</w:t>
      </w:r>
      <w:r w:rsidRPr="00995753">
        <w:tab/>
        <w:t>subrule 4A.7(3); </w:t>
      </w:r>
    </w:p>
    <w:p w14:paraId="2D6175B2" w14:textId="77777777" w:rsidR="00D122FD" w:rsidRPr="00995753" w:rsidRDefault="00D122FD" w:rsidP="00411DE2">
      <w:pPr>
        <w:pStyle w:val="paragraph"/>
      </w:pPr>
      <w:r w:rsidRPr="00995753">
        <w:tab/>
        <w:t>(qq)</w:t>
      </w:r>
      <w:r w:rsidRPr="00995753">
        <w:tab/>
        <w:t>subrule 4A.8(2); </w:t>
      </w:r>
    </w:p>
    <w:p w14:paraId="0EECF8AC" w14:textId="77777777" w:rsidR="00D122FD" w:rsidRPr="00995753" w:rsidRDefault="00D122FD" w:rsidP="00411DE2">
      <w:pPr>
        <w:pStyle w:val="paragraph"/>
      </w:pPr>
      <w:r w:rsidRPr="00995753">
        <w:tab/>
        <w:t>(rr)</w:t>
      </w:r>
      <w:r w:rsidRPr="00995753">
        <w:tab/>
        <w:t>subrule 4A.8(3); </w:t>
      </w:r>
    </w:p>
    <w:p w14:paraId="340C8B25" w14:textId="77777777" w:rsidR="00D122FD" w:rsidRPr="00995753" w:rsidRDefault="00D122FD" w:rsidP="00411DE2">
      <w:pPr>
        <w:pStyle w:val="paragraph"/>
      </w:pPr>
      <w:r w:rsidRPr="00995753">
        <w:tab/>
        <w:t>(ss)</w:t>
      </w:r>
      <w:r w:rsidRPr="00995753">
        <w:tab/>
        <w:t>subrule 4A.13(1); </w:t>
      </w:r>
    </w:p>
    <w:p w14:paraId="6042C7CE" w14:textId="77777777" w:rsidR="00D122FD" w:rsidRPr="00995753" w:rsidRDefault="00D122FD" w:rsidP="00411DE2">
      <w:pPr>
        <w:pStyle w:val="paragraph"/>
      </w:pPr>
      <w:r w:rsidRPr="00995753">
        <w:tab/>
        <w:t>(tt)</w:t>
      </w:r>
      <w:r w:rsidRPr="00995753">
        <w:tab/>
        <w:t>subrule 4A.14(2); </w:t>
      </w:r>
    </w:p>
    <w:p w14:paraId="7CF820F8" w14:textId="77777777" w:rsidR="00D122FD" w:rsidRPr="00995753" w:rsidRDefault="00D122FD" w:rsidP="00411DE2">
      <w:pPr>
        <w:pStyle w:val="paragraph"/>
      </w:pPr>
      <w:r w:rsidRPr="00995753">
        <w:tab/>
        <w:t>(uu)</w:t>
      </w:r>
      <w:r w:rsidRPr="00995753">
        <w:tab/>
        <w:t>subrule 4A.14(3); </w:t>
      </w:r>
    </w:p>
    <w:p w14:paraId="5615C2F4" w14:textId="77777777" w:rsidR="00D122FD" w:rsidRPr="00995753" w:rsidRDefault="00D122FD" w:rsidP="00411DE2">
      <w:pPr>
        <w:pStyle w:val="paragraph"/>
      </w:pPr>
      <w:r w:rsidRPr="00995753">
        <w:tab/>
        <w:t>(vv)</w:t>
      </w:r>
      <w:r w:rsidRPr="00995753">
        <w:tab/>
        <w:t>subrule 5.1B(2); </w:t>
      </w:r>
    </w:p>
    <w:p w14:paraId="1BE4E408" w14:textId="77777777" w:rsidR="00D122FD" w:rsidRPr="00995753" w:rsidRDefault="00D122FD" w:rsidP="00411DE2">
      <w:pPr>
        <w:pStyle w:val="paragraph"/>
      </w:pPr>
      <w:r w:rsidRPr="00995753">
        <w:tab/>
        <w:t>(ww)</w:t>
      </w:r>
      <w:r w:rsidRPr="00995753">
        <w:tab/>
        <w:t>subrule 5.1B(3); </w:t>
      </w:r>
    </w:p>
    <w:p w14:paraId="370CD522" w14:textId="77777777" w:rsidR="00D122FD" w:rsidRPr="00995753" w:rsidRDefault="00D122FD" w:rsidP="00411DE2">
      <w:pPr>
        <w:pStyle w:val="paragraph"/>
      </w:pPr>
      <w:r w:rsidRPr="00995753">
        <w:tab/>
        <w:t>(xx)</w:t>
      </w:r>
      <w:r w:rsidRPr="00995753">
        <w:tab/>
        <w:t>subrule 5.1B(4); </w:t>
      </w:r>
    </w:p>
    <w:p w14:paraId="0259451C" w14:textId="77777777" w:rsidR="00D122FD" w:rsidRPr="00995753" w:rsidRDefault="00D122FD" w:rsidP="00411DE2">
      <w:pPr>
        <w:pStyle w:val="paragraph"/>
      </w:pPr>
      <w:r w:rsidRPr="00995753">
        <w:tab/>
        <w:t>(yy)</w:t>
      </w:r>
      <w:r w:rsidRPr="00995753">
        <w:tab/>
        <w:t>subrule 5.1B(5); </w:t>
      </w:r>
    </w:p>
    <w:p w14:paraId="35BCE8C9" w14:textId="77777777" w:rsidR="00D122FD" w:rsidRPr="00995753" w:rsidRDefault="00D122FD" w:rsidP="00411DE2">
      <w:pPr>
        <w:pStyle w:val="paragraph"/>
      </w:pPr>
      <w:r w:rsidRPr="00995753">
        <w:tab/>
        <w:t>(zz)</w:t>
      </w:r>
      <w:r w:rsidRPr="00995753">
        <w:tab/>
        <w:t>subrule 5.12(1);</w:t>
      </w:r>
    </w:p>
    <w:p w14:paraId="2B3B47E8" w14:textId="77777777" w:rsidR="00D122FD" w:rsidRPr="00995753" w:rsidRDefault="00D122FD" w:rsidP="00411DE2">
      <w:pPr>
        <w:pStyle w:val="paragraph"/>
      </w:pPr>
      <w:r w:rsidRPr="00995753">
        <w:tab/>
        <w:t>(aaa)</w:t>
      </w:r>
      <w:r w:rsidRPr="00995753">
        <w:tab/>
        <w:t>rule 5.13;</w:t>
      </w:r>
    </w:p>
    <w:p w14:paraId="1C425471" w14:textId="77777777" w:rsidR="00D122FD" w:rsidRPr="00995753" w:rsidRDefault="00D122FD" w:rsidP="00411DE2">
      <w:pPr>
        <w:pStyle w:val="paragraph"/>
      </w:pPr>
      <w:r w:rsidRPr="00995753">
        <w:tab/>
        <w:t>(bbb)</w:t>
      </w:r>
      <w:r w:rsidRPr="00995753">
        <w:tab/>
        <w:t>subrule 5.14(1);</w:t>
      </w:r>
    </w:p>
    <w:p w14:paraId="37AE3FA1" w14:textId="77777777" w:rsidR="00D122FD" w:rsidRPr="00995753" w:rsidRDefault="00D122FD" w:rsidP="00411DE2">
      <w:pPr>
        <w:pStyle w:val="paragraph"/>
      </w:pPr>
      <w:r w:rsidRPr="00995753">
        <w:tab/>
        <w:t>(ccc)</w:t>
      </w:r>
      <w:r w:rsidRPr="00995753">
        <w:tab/>
        <w:t>subrule 5.23(2);</w:t>
      </w:r>
    </w:p>
    <w:p w14:paraId="32CBCF64" w14:textId="77777777" w:rsidR="00D122FD" w:rsidRPr="00995753" w:rsidRDefault="00D122FD" w:rsidP="00411DE2">
      <w:pPr>
        <w:pStyle w:val="paragraph"/>
      </w:pPr>
      <w:r w:rsidRPr="00995753">
        <w:tab/>
        <w:t>(ddd)</w:t>
      </w:r>
      <w:r w:rsidRPr="00995753">
        <w:tab/>
        <w:t>subrule 5.23(3);</w:t>
      </w:r>
    </w:p>
    <w:p w14:paraId="4FE0093E" w14:textId="77777777" w:rsidR="00D122FD" w:rsidRPr="00995753" w:rsidRDefault="00D122FD" w:rsidP="00411DE2">
      <w:pPr>
        <w:pStyle w:val="paragraph"/>
      </w:pPr>
      <w:r w:rsidRPr="00995753">
        <w:tab/>
        <w:t>(eee)</w:t>
      </w:r>
      <w:r w:rsidRPr="00995753">
        <w:tab/>
        <w:t xml:space="preserve">subrule 5.23(4); </w:t>
      </w:r>
    </w:p>
    <w:p w14:paraId="60CF6829" w14:textId="77777777" w:rsidR="00D122FD" w:rsidRPr="00995753" w:rsidRDefault="00D122FD" w:rsidP="00411DE2">
      <w:pPr>
        <w:pStyle w:val="paragraph"/>
      </w:pPr>
      <w:r w:rsidRPr="00995753">
        <w:tab/>
        <w:t>(fff)</w:t>
      </w:r>
      <w:r w:rsidRPr="00995753">
        <w:tab/>
        <w:t>subrule 5.31(2);</w:t>
      </w:r>
    </w:p>
    <w:p w14:paraId="0FDBE888" w14:textId="77777777" w:rsidR="00D122FD" w:rsidRPr="00995753" w:rsidRDefault="00D122FD" w:rsidP="00411DE2">
      <w:pPr>
        <w:pStyle w:val="paragraph"/>
      </w:pPr>
      <w:r w:rsidRPr="00995753">
        <w:tab/>
        <w:t>(ggg)</w:t>
      </w:r>
      <w:r w:rsidRPr="00995753">
        <w:tab/>
        <w:t>rule 6.1;</w:t>
      </w:r>
    </w:p>
    <w:p w14:paraId="027451A6" w14:textId="77777777" w:rsidR="00D122FD" w:rsidRPr="00995753" w:rsidRDefault="00D122FD" w:rsidP="00411DE2">
      <w:pPr>
        <w:pStyle w:val="paragraph"/>
      </w:pPr>
      <w:r w:rsidRPr="00995753">
        <w:tab/>
        <w:t>(hhh)</w:t>
      </w:r>
      <w:r w:rsidRPr="00995753">
        <w:tab/>
        <w:t>rule 6.2;</w:t>
      </w:r>
    </w:p>
    <w:p w14:paraId="436CEF2C" w14:textId="77777777" w:rsidR="00D122FD" w:rsidRPr="00995753" w:rsidRDefault="00D122FD" w:rsidP="00411DE2">
      <w:pPr>
        <w:pStyle w:val="paragraph"/>
      </w:pPr>
      <w:r w:rsidRPr="00995753">
        <w:tab/>
        <w:t>(iii)</w:t>
      </w:r>
      <w:r w:rsidRPr="00995753">
        <w:tab/>
        <w:t>subrule 7.2(4);</w:t>
      </w:r>
    </w:p>
    <w:p w14:paraId="452048B9" w14:textId="77777777" w:rsidR="00D122FD" w:rsidRPr="00995753" w:rsidRDefault="00D122FD" w:rsidP="00411DE2">
      <w:pPr>
        <w:pStyle w:val="paragraph"/>
      </w:pPr>
      <w:r w:rsidRPr="00995753">
        <w:tab/>
        <w:t>(jjj)</w:t>
      </w:r>
      <w:r w:rsidRPr="00995753">
        <w:tab/>
        <w:t>subrule 7.2(6);</w:t>
      </w:r>
    </w:p>
    <w:p w14:paraId="0292B49B" w14:textId="77777777" w:rsidR="00D122FD" w:rsidRPr="00995753" w:rsidRDefault="00D122FD" w:rsidP="00411DE2">
      <w:pPr>
        <w:pStyle w:val="paragraph"/>
      </w:pPr>
      <w:r w:rsidRPr="00995753">
        <w:tab/>
        <w:t>(kkk)</w:t>
      </w:r>
      <w:r w:rsidRPr="00995753">
        <w:tab/>
        <w:t>subrule 7.2(7);</w:t>
      </w:r>
    </w:p>
    <w:p w14:paraId="51275827" w14:textId="77777777" w:rsidR="00D122FD" w:rsidRPr="00995753" w:rsidRDefault="00D122FD" w:rsidP="00411DE2">
      <w:pPr>
        <w:pStyle w:val="paragraph"/>
      </w:pPr>
      <w:r w:rsidRPr="00995753">
        <w:tab/>
        <w:t>(lll)</w:t>
      </w:r>
      <w:r w:rsidRPr="00995753">
        <w:tab/>
        <w:t>subrule 7.2(8);</w:t>
      </w:r>
    </w:p>
    <w:p w14:paraId="6D6DB2B3" w14:textId="77777777" w:rsidR="00D122FD" w:rsidRPr="00995753" w:rsidRDefault="00D122FD" w:rsidP="00411DE2">
      <w:pPr>
        <w:pStyle w:val="paragraph"/>
      </w:pPr>
      <w:r w:rsidRPr="00995753">
        <w:tab/>
        <w:t>(mmm)</w:t>
      </w:r>
      <w:r w:rsidRPr="00995753">
        <w:tab/>
        <w:t>subrule 7.2(9);</w:t>
      </w:r>
    </w:p>
    <w:p w14:paraId="246D6867" w14:textId="77777777" w:rsidR="00D40B73" w:rsidRPr="00995753" w:rsidRDefault="00D40B73" w:rsidP="00411DE2">
      <w:pPr>
        <w:pStyle w:val="paragraph"/>
      </w:pPr>
      <w:r w:rsidRPr="00995753">
        <w:tab/>
        <w:t>(nnn)</w:t>
      </w:r>
      <w:r w:rsidRPr="00995753">
        <w:tab/>
        <w:t>subrule 7.3(2); </w:t>
      </w:r>
    </w:p>
    <w:p w14:paraId="144AF623" w14:textId="77777777" w:rsidR="00D40B73" w:rsidRPr="00995753" w:rsidRDefault="00D40B73" w:rsidP="00411DE2">
      <w:pPr>
        <w:pStyle w:val="paragraph"/>
      </w:pPr>
      <w:r w:rsidRPr="00995753">
        <w:tab/>
        <w:t>(ooo)</w:t>
      </w:r>
      <w:r w:rsidRPr="00995753">
        <w:tab/>
        <w:t>subrule 7.3A(1); </w:t>
      </w:r>
    </w:p>
    <w:p w14:paraId="1AD15178" w14:textId="77777777" w:rsidR="00D40B73" w:rsidRPr="00995753" w:rsidRDefault="00D40B73" w:rsidP="00411DE2">
      <w:pPr>
        <w:pStyle w:val="paragraph"/>
      </w:pPr>
      <w:r w:rsidRPr="00995753">
        <w:tab/>
        <w:t>(ppp)</w:t>
      </w:r>
      <w:r w:rsidRPr="00995753">
        <w:tab/>
        <w:t>subrule 7.6(1);</w:t>
      </w:r>
    </w:p>
    <w:p w14:paraId="6B2F1746" w14:textId="77777777" w:rsidR="00D40B73" w:rsidRPr="00995753" w:rsidRDefault="00D40B73" w:rsidP="00411DE2">
      <w:pPr>
        <w:pStyle w:val="paragraph"/>
      </w:pPr>
      <w:r w:rsidRPr="00995753">
        <w:tab/>
        <w:t>(qqq)</w:t>
      </w:r>
      <w:r w:rsidRPr="00995753">
        <w:tab/>
        <w:t>subrule 7.8A(1); </w:t>
      </w:r>
    </w:p>
    <w:p w14:paraId="089CB87E" w14:textId="77777777" w:rsidR="00D40B73" w:rsidRPr="00995753" w:rsidRDefault="00D40B73" w:rsidP="00411DE2">
      <w:pPr>
        <w:pStyle w:val="paragraph"/>
      </w:pPr>
      <w:r w:rsidRPr="00995753">
        <w:tab/>
        <w:t>(rrr)</w:t>
      </w:r>
      <w:r w:rsidRPr="00995753">
        <w:tab/>
        <w:t>subrule 7.8A(2); </w:t>
      </w:r>
    </w:p>
    <w:p w14:paraId="7F5E6827" w14:textId="77777777" w:rsidR="00D40B73" w:rsidRPr="00995753" w:rsidRDefault="00D40B73" w:rsidP="00411DE2">
      <w:pPr>
        <w:pStyle w:val="paragraph"/>
      </w:pPr>
      <w:r w:rsidRPr="00995753">
        <w:tab/>
        <w:t>(sss)</w:t>
      </w:r>
      <w:r w:rsidRPr="00995753">
        <w:tab/>
        <w:t>subrule 7.10A(1); </w:t>
      </w:r>
    </w:p>
    <w:p w14:paraId="63CE8AB7" w14:textId="77777777" w:rsidR="00D40B73" w:rsidRPr="00995753" w:rsidRDefault="00D40B73" w:rsidP="00411DE2">
      <w:pPr>
        <w:pStyle w:val="paragraph"/>
      </w:pPr>
      <w:r w:rsidRPr="00995753">
        <w:tab/>
        <w:t>(ttt)</w:t>
      </w:r>
      <w:r w:rsidRPr="00995753">
        <w:tab/>
        <w:t>subrule 7.14(1);</w:t>
      </w:r>
    </w:p>
    <w:p w14:paraId="05AC73B6" w14:textId="77777777" w:rsidR="00D40B73" w:rsidRPr="00995753" w:rsidRDefault="00D40B73" w:rsidP="00411DE2">
      <w:pPr>
        <w:pStyle w:val="paragraph"/>
      </w:pPr>
      <w:r w:rsidRPr="00995753">
        <w:tab/>
        <w:t>(uuu)</w:t>
      </w:r>
      <w:r w:rsidRPr="00995753">
        <w:tab/>
        <w:t>subrule 7.14(2);</w:t>
      </w:r>
    </w:p>
    <w:p w14:paraId="43DFCFCE" w14:textId="77777777" w:rsidR="00D40B73" w:rsidRPr="00995753" w:rsidRDefault="00D40B73" w:rsidP="00411DE2">
      <w:pPr>
        <w:pStyle w:val="paragraph"/>
      </w:pPr>
      <w:r w:rsidRPr="00995753">
        <w:tab/>
        <w:t>(vvv)</w:t>
      </w:r>
      <w:r w:rsidRPr="00995753">
        <w:tab/>
        <w:t>subrule 7.16(1); </w:t>
      </w:r>
    </w:p>
    <w:p w14:paraId="7C33DEA2" w14:textId="77777777" w:rsidR="00D40B73" w:rsidRPr="00995753" w:rsidRDefault="00D40B73" w:rsidP="00411DE2">
      <w:pPr>
        <w:pStyle w:val="paragraph"/>
      </w:pPr>
      <w:r w:rsidRPr="00995753">
        <w:tab/>
        <w:t>(www)</w:t>
      </w:r>
      <w:r w:rsidRPr="00995753">
        <w:tab/>
        <w:t>subrule 9.6(4);</w:t>
      </w:r>
    </w:p>
    <w:p w14:paraId="6CF0F405" w14:textId="77777777" w:rsidR="00D40B73" w:rsidRPr="00995753" w:rsidRDefault="00D40B73" w:rsidP="00411DE2">
      <w:pPr>
        <w:pStyle w:val="paragraph"/>
      </w:pPr>
      <w:r w:rsidRPr="00995753">
        <w:tab/>
        <w:t>(xxx)</w:t>
      </w:r>
      <w:r w:rsidRPr="00995753">
        <w:tab/>
        <w:t>subrule 9.7(3).</w:t>
      </w:r>
    </w:p>
    <w:p w14:paraId="72CE57BA" w14:textId="77777777" w:rsidR="00D863B2" w:rsidRPr="00995753" w:rsidRDefault="00D863B2" w:rsidP="00411DE2">
      <w:pPr>
        <w:pStyle w:val="notetext"/>
      </w:pPr>
      <w:r w:rsidRPr="00995753">
        <w:lastRenderedPageBreak/>
        <w:t>Note:</w:t>
      </w:r>
      <w:r w:rsidRPr="00995753">
        <w:tab/>
      </w:r>
      <w:r w:rsidRPr="00995753">
        <w:rPr>
          <w:bCs/>
          <w:lang w:val="en-US"/>
        </w:rPr>
        <w:t xml:space="preserve">Subrules </w:t>
      </w:r>
      <w:r w:rsidRPr="00995753">
        <w:t xml:space="preserve">2.5(2), 3.5(2), 4.7(3), 5.25(3), 5.25(5), 5.34(4), </w:t>
      </w:r>
      <w:r w:rsidRPr="00995753">
        <w:rPr>
          <w:bCs/>
          <w:lang w:val="en-US"/>
        </w:rPr>
        <w:t>9.3(1), 9.3(2), 9.3(2A), 9.3(5), 9.4(1) ), 9.4(1A), 9.4</w:t>
      </w:r>
      <w:r w:rsidRPr="00995753">
        <w:t>(2)</w:t>
      </w:r>
      <w:r w:rsidRPr="00995753">
        <w:rPr>
          <w:bCs/>
          <w:lang w:val="en-US"/>
        </w:rPr>
        <w:t xml:space="preserve"> 9.4</w:t>
      </w:r>
      <w:r w:rsidRPr="00995753">
        <w:t>(2A)</w:t>
      </w:r>
      <w:r w:rsidRPr="00995753">
        <w:rPr>
          <w:bCs/>
          <w:lang w:val="en-US"/>
        </w:rPr>
        <w:t xml:space="preserve">, 9.4(3), 9.5(4), 9.5(5) and 9.5(6) are also civil penalty provisions within the meaning of the Regulatory Powers Act. </w:t>
      </w:r>
    </w:p>
    <w:p w14:paraId="71087AC5" w14:textId="77777777" w:rsidR="004F3C59" w:rsidRPr="00995753" w:rsidRDefault="00A7561A" w:rsidP="00411DE2">
      <w:pPr>
        <w:pStyle w:val="ItemHead"/>
      </w:pPr>
      <w:r>
        <w:rPr>
          <w:noProof/>
        </w:rPr>
        <w:t>29</w:t>
      </w:r>
      <w:r w:rsidR="004F3C59" w:rsidRPr="00995753">
        <w:t xml:space="preserve">  Schedule 1, clause 2.1, heading </w:t>
      </w:r>
    </w:p>
    <w:p w14:paraId="6D5ACFAD" w14:textId="77777777" w:rsidR="004F3C59" w:rsidRPr="00995753" w:rsidRDefault="004F3C59" w:rsidP="00411DE2">
      <w:pPr>
        <w:pStyle w:val="Item"/>
      </w:pPr>
      <w:r w:rsidRPr="00995753">
        <w:t>Substitute:</w:t>
      </w:r>
    </w:p>
    <w:p w14:paraId="4FDE0048" w14:textId="77777777" w:rsidR="004F3C59" w:rsidRPr="00995753" w:rsidRDefault="004F3C59" w:rsidP="00411DE2">
      <w:pPr>
        <w:pStyle w:val="ActHead5"/>
      </w:pPr>
      <w:bookmarkStart w:id="128" w:name="_Toc76679958"/>
      <w:bookmarkStart w:id="129" w:name="_Toc76716915"/>
      <w:bookmarkStart w:id="130" w:name="_Toc76740932"/>
      <w:r w:rsidRPr="00995753">
        <w:t>2.1  Ongoing reporting obligation on accredited persons without streamlined accreditation</w:t>
      </w:r>
      <w:bookmarkEnd w:id="128"/>
      <w:bookmarkEnd w:id="129"/>
      <w:bookmarkEnd w:id="130"/>
    </w:p>
    <w:p w14:paraId="12BD9B4F" w14:textId="77777777" w:rsidR="004F3C59" w:rsidRPr="00995753" w:rsidRDefault="00A7561A" w:rsidP="00411DE2">
      <w:pPr>
        <w:pStyle w:val="ItemHead"/>
      </w:pPr>
      <w:r>
        <w:rPr>
          <w:noProof/>
        </w:rPr>
        <w:t>30</w:t>
      </w:r>
      <w:r w:rsidR="004F3C59" w:rsidRPr="00995753">
        <w:t xml:space="preserve">  Schedule 1, before subclause 2.1(1) </w:t>
      </w:r>
    </w:p>
    <w:p w14:paraId="0EFBCE50" w14:textId="77777777" w:rsidR="004F3C59" w:rsidRPr="00995753" w:rsidRDefault="004F3C59" w:rsidP="00411DE2">
      <w:pPr>
        <w:pStyle w:val="Item"/>
      </w:pPr>
      <w:r w:rsidRPr="00995753">
        <w:t>Insert:</w:t>
      </w:r>
    </w:p>
    <w:p w14:paraId="6D2697C5" w14:textId="77777777" w:rsidR="004F3C59" w:rsidRPr="00995753" w:rsidRDefault="004F3C59" w:rsidP="00411DE2">
      <w:pPr>
        <w:pStyle w:val="subsection"/>
      </w:pPr>
      <w:r w:rsidRPr="00995753">
        <w:tab/>
        <w:t>(1A)</w:t>
      </w:r>
      <w:r w:rsidRPr="00995753">
        <w:tab/>
        <w:t>This clause applies to an accredited person other than one with streamlined accreditation under rule 5.5.</w:t>
      </w:r>
    </w:p>
    <w:p w14:paraId="7C99500E" w14:textId="77777777" w:rsidR="004F3C59" w:rsidRPr="00995753" w:rsidRDefault="00A7561A" w:rsidP="00411DE2">
      <w:pPr>
        <w:pStyle w:val="ItemHead"/>
      </w:pPr>
      <w:r>
        <w:rPr>
          <w:noProof/>
        </w:rPr>
        <w:t>31</w:t>
      </w:r>
      <w:r w:rsidR="004F3C59" w:rsidRPr="00995753">
        <w:t xml:space="preserve">  Schedule 3, clause 1.</w:t>
      </w:r>
      <w:r w:rsidR="00F3489B" w:rsidRPr="00995753">
        <w:t>2</w:t>
      </w:r>
      <w:r w:rsidR="004F3C59" w:rsidRPr="00995753">
        <w:t xml:space="preserve">, definition of </w:t>
      </w:r>
      <w:r w:rsidR="004F3C59" w:rsidRPr="00995753">
        <w:rPr>
          <w:i/>
        </w:rPr>
        <w:t>banking sector designation instrument</w:t>
      </w:r>
      <w:r w:rsidR="004F3C59" w:rsidRPr="00995753">
        <w:t xml:space="preserve"> </w:t>
      </w:r>
    </w:p>
    <w:p w14:paraId="20A13415" w14:textId="77777777" w:rsidR="004F3C59" w:rsidRPr="00995753" w:rsidRDefault="004F3C59" w:rsidP="00411DE2">
      <w:pPr>
        <w:pStyle w:val="Item"/>
      </w:pPr>
      <w:r w:rsidRPr="00995753">
        <w:t>Substitute:</w:t>
      </w:r>
    </w:p>
    <w:p w14:paraId="6357BB01" w14:textId="77777777" w:rsidR="004F3C59" w:rsidRPr="00995753" w:rsidRDefault="004F3C59" w:rsidP="00411DE2">
      <w:pPr>
        <w:pStyle w:val="Definition"/>
      </w:pPr>
      <w:r w:rsidRPr="00995753">
        <w:rPr>
          <w:b/>
          <w:i/>
        </w:rPr>
        <w:t xml:space="preserve">banking sector designation instrument </w:t>
      </w:r>
      <w:r w:rsidRPr="00995753">
        <w:t xml:space="preserve">means the </w:t>
      </w:r>
      <w:r w:rsidRPr="00995753">
        <w:rPr>
          <w:i/>
        </w:rPr>
        <w:t>Consumer Data Right (Authorised Deposit</w:t>
      </w:r>
      <w:r w:rsidRPr="00995753">
        <w:rPr>
          <w:i/>
        </w:rPr>
        <w:noBreakHyphen/>
        <w:t>Taking Institutions) Designation 2019</w:t>
      </w:r>
      <w:r w:rsidRPr="00995753">
        <w:t>.</w:t>
      </w:r>
    </w:p>
    <w:p w14:paraId="37AE0A1A" w14:textId="77777777" w:rsidR="004F3C59" w:rsidRPr="00995753" w:rsidRDefault="00A7561A" w:rsidP="00411DE2">
      <w:pPr>
        <w:pStyle w:val="ItemHead"/>
      </w:pPr>
      <w:r>
        <w:rPr>
          <w:noProof/>
        </w:rPr>
        <w:t>32</w:t>
      </w:r>
      <w:r w:rsidR="004F3C59" w:rsidRPr="00995753">
        <w:t xml:space="preserve">  Schedule 3, clause 2.1 </w:t>
      </w:r>
    </w:p>
    <w:p w14:paraId="2AC66123" w14:textId="77777777" w:rsidR="004F3C59" w:rsidRPr="00995753" w:rsidRDefault="004F3C59" w:rsidP="00411DE2">
      <w:pPr>
        <w:pStyle w:val="Item"/>
      </w:pPr>
      <w:r w:rsidRPr="00995753">
        <w:t>Substitute:</w:t>
      </w:r>
    </w:p>
    <w:p w14:paraId="17893F74" w14:textId="77777777" w:rsidR="004F3C59" w:rsidRPr="00995753" w:rsidRDefault="004F3C59" w:rsidP="00411DE2">
      <w:pPr>
        <w:pStyle w:val="ActHead5"/>
      </w:pPr>
      <w:bookmarkStart w:id="131" w:name="_Toc76562731"/>
      <w:bookmarkStart w:id="132" w:name="_Toc76679959"/>
      <w:bookmarkStart w:id="133" w:name="_Toc76716916"/>
      <w:bookmarkStart w:id="134" w:name="_Toc76740933"/>
      <w:r w:rsidRPr="00995753">
        <w:t>2.1  Additional criteria for eligibility—banking sector</w:t>
      </w:r>
      <w:bookmarkEnd w:id="131"/>
      <w:bookmarkEnd w:id="132"/>
      <w:bookmarkEnd w:id="133"/>
      <w:bookmarkEnd w:id="134"/>
    </w:p>
    <w:p w14:paraId="0754006A" w14:textId="77777777" w:rsidR="004F3C59" w:rsidRPr="00995753" w:rsidRDefault="004F3C59" w:rsidP="00411DE2">
      <w:pPr>
        <w:pStyle w:val="subsection"/>
      </w:pPr>
      <w:r w:rsidRPr="00995753">
        <w:tab/>
        <w:t>(1)</w:t>
      </w:r>
      <w:r w:rsidRPr="00995753">
        <w:tab/>
        <w:t xml:space="preserve">For subrule 1.10B(1), the additional criterion for CDR consumer to be </w:t>
      </w:r>
      <w:r w:rsidRPr="00995753">
        <w:rPr>
          <w:b/>
          <w:i/>
        </w:rPr>
        <w:t>eligible</w:t>
      </w:r>
      <w:r w:rsidRPr="00995753">
        <w:t>, in relation to a particular data holder in the banking sector at a particular time, is that the person is able to access the account online.</w:t>
      </w:r>
    </w:p>
    <w:p w14:paraId="3CA0899F" w14:textId="77777777" w:rsidR="004F3C59" w:rsidRPr="00995753" w:rsidRDefault="004F3C59" w:rsidP="00411DE2">
      <w:pPr>
        <w:pStyle w:val="notetext"/>
      </w:pPr>
      <w:r w:rsidRPr="00995753">
        <w:t>Note:</w:t>
      </w:r>
      <w:r w:rsidRPr="00995753">
        <w:tab/>
        <w:t>Subrule 1.10B(1) provides criteria for account holders and secondary account holders of the account to be eligible.</w:t>
      </w:r>
    </w:p>
    <w:p w14:paraId="75CC6B8E" w14:textId="77777777" w:rsidR="004F3C59" w:rsidRPr="00995753" w:rsidRDefault="004F3C59" w:rsidP="00411DE2">
      <w:pPr>
        <w:pStyle w:val="subsection"/>
      </w:pPr>
      <w:r w:rsidRPr="00995753">
        <w:tab/>
        <w:t>(2)</w:t>
      </w:r>
      <w:r w:rsidRPr="00995753">
        <w:tab/>
        <w:t xml:space="preserve">For subrule 1.10B(2), the additional criterion for a CDR consumer who is a partner in a partnership to be </w:t>
      </w:r>
      <w:r w:rsidRPr="00995753">
        <w:rPr>
          <w:b/>
          <w:i/>
        </w:rPr>
        <w:t>eligible</w:t>
      </w:r>
      <w:r w:rsidRPr="00995753">
        <w:t>, in relation to a particular data holder in the banking sector at a particular time, is that the partnership account is set up in such a way that it can be accessed online.</w:t>
      </w:r>
    </w:p>
    <w:p w14:paraId="3E471BC6" w14:textId="77777777" w:rsidR="004F3C59" w:rsidRPr="00995753" w:rsidRDefault="004F3C59" w:rsidP="00411DE2">
      <w:pPr>
        <w:pStyle w:val="notetext"/>
      </w:pPr>
      <w:r w:rsidRPr="00995753">
        <w:t>Note:</w:t>
      </w:r>
      <w:r w:rsidRPr="00995753">
        <w:tab/>
        <w:t>For a partnership account, subrule 1.10B(2) provides criteria for persons who are partners in the partnership (but who need not themselves be account holders or secondary account holders) to be eligible.</w:t>
      </w:r>
    </w:p>
    <w:p w14:paraId="49015811" w14:textId="77777777" w:rsidR="004F3C59" w:rsidRPr="00995753" w:rsidRDefault="00A7561A" w:rsidP="00411DE2">
      <w:pPr>
        <w:pStyle w:val="ItemHead"/>
      </w:pPr>
      <w:r>
        <w:rPr>
          <w:noProof/>
        </w:rPr>
        <w:t>33</w:t>
      </w:r>
      <w:r w:rsidR="004F3C59" w:rsidRPr="00995753">
        <w:t xml:space="preserve">  Schedule 3, after clause 2.2 </w:t>
      </w:r>
    </w:p>
    <w:p w14:paraId="539C558C" w14:textId="77777777" w:rsidR="004F3C59" w:rsidRPr="00995753" w:rsidRDefault="004F3C59" w:rsidP="00411DE2">
      <w:pPr>
        <w:pStyle w:val="Item"/>
      </w:pPr>
      <w:r w:rsidRPr="00995753">
        <w:t>Insert:</w:t>
      </w:r>
    </w:p>
    <w:p w14:paraId="2F8ABFBD" w14:textId="77777777" w:rsidR="004F3C59" w:rsidRPr="00995753" w:rsidRDefault="004F3C59" w:rsidP="00411DE2">
      <w:pPr>
        <w:pStyle w:val="ActHead5"/>
      </w:pPr>
      <w:bookmarkStart w:id="135" w:name="_Toc76562734"/>
      <w:bookmarkStart w:id="136" w:name="_Toc76679960"/>
      <w:bookmarkStart w:id="137" w:name="_Toc76716917"/>
      <w:bookmarkStart w:id="138" w:name="_Toc76740934"/>
      <w:r w:rsidRPr="00995753">
        <w:lastRenderedPageBreak/>
        <w:t xml:space="preserve">2.3  </w:t>
      </w:r>
      <w:r w:rsidR="00B34BFB" w:rsidRPr="00995753">
        <w:t xml:space="preserve">Consumer </w:t>
      </w:r>
      <w:r w:rsidRPr="00995753">
        <w:t>dashboard—application of rule 1.15</w:t>
      </w:r>
      <w:bookmarkEnd w:id="135"/>
      <w:bookmarkEnd w:id="136"/>
      <w:bookmarkEnd w:id="137"/>
      <w:bookmarkEnd w:id="138"/>
    </w:p>
    <w:p w14:paraId="78EA945E" w14:textId="77777777" w:rsidR="004F3C59" w:rsidRPr="00995753" w:rsidRDefault="004F3C59" w:rsidP="00411DE2">
      <w:pPr>
        <w:pStyle w:val="subsection"/>
        <w:rPr>
          <w:rFonts w:eastAsia="Calibri"/>
        </w:rPr>
      </w:pPr>
      <w:r w:rsidRPr="00995753">
        <w:rPr>
          <w:rFonts w:eastAsia="Calibri"/>
        </w:rPr>
        <w:tab/>
      </w:r>
      <w:r w:rsidRPr="00995753">
        <w:rPr>
          <w:rFonts w:eastAsia="Calibri"/>
        </w:rPr>
        <w:tab/>
        <w:t>For subrule 1.15(1), if a data holder receives a consumer data request from an accredited person on behalf of an eligible CDR consumer the data holder must provide the CDR consumer with the consumer dashboard.</w:t>
      </w:r>
    </w:p>
    <w:p w14:paraId="5A4ACAC4" w14:textId="77777777" w:rsidR="004F3C59" w:rsidRPr="00995753" w:rsidRDefault="00A7561A" w:rsidP="00411DE2">
      <w:pPr>
        <w:pStyle w:val="ItemHead"/>
      </w:pPr>
      <w:r>
        <w:rPr>
          <w:noProof/>
        </w:rPr>
        <w:t>34</w:t>
      </w:r>
      <w:r w:rsidR="00F3489B" w:rsidRPr="00995753">
        <w:t xml:space="preserve">  Schedule 3, paragraph 3.1(1</w:t>
      </w:r>
      <w:r w:rsidR="004F3C59" w:rsidRPr="00995753">
        <w:t xml:space="preserve">) </w:t>
      </w:r>
    </w:p>
    <w:p w14:paraId="02519B59" w14:textId="77777777" w:rsidR="004F3C59" w:rsidRPr="00995753" w:rsidRDefault="004F3C59" w:rsidP="00411DE2">
      <w:pPr>
        <w:pStyle w:val="Item"/>
      </w:pPr>
      <w:r w:rsidRPr="00995753">
        <w:t>After “in relation to”, insert “a data holder in”.</w:t>
      </w:r>
    </w:p>
    <w:p w14:paraId="0FC14627" w14:textId="77777777" w:rsidR="004F3C59" w:rsidRPr="00995753" w:rsidRDefault="00A7561A" w:rsidP="00411DE2">
      <w:pPr>
        <w:pStyle w:val="ItemHead"/>
      </w:pPr>
      <w:r>
        <w:rPr>
          <w:noProof/>
        </w:rPr>
        <w:t>35</w:t>
      </w:r>
      <w:r w:rsidR="004F3C59" w:rsidRPr="00995753">
        <w:t xml:space="preserve">  Schedule 3, paragraph 3.1(</w:t>
      </w:r>
      <w:r w:rsidR="00F3489B" w:rsidRPr="00995753">
        <w:t>2</w:t>
      </w:r>
      <w:r w:rsidR="004F3C59" w:rsidRPr="00995753">
        <w:t xml:space="preserve">) </w:t>
      </w:r>
    </w:p>
    <w:p w14:paraId="04AD0F14" w14:textId="77777777" w:rsidR="004F3C59" w:rsidRPr="00995753" w:rsidRDefault="004F3C59" w:rsidP="00411DE2">
      <w:pPr>
        <w:pStyle w:val="Item"/>
      </w:pPr>
      <w:r w:rsidRPr="00995753">
        <w:t>After “in relation to”, insert “a data holder in”.</w:t>
      </w:r>
    </w:p>
    <w:p w14:paraId="7E2832A0" w14:textId="77777777" w:rsidR="004F3C59" w:rsidRPr="00995753" w:rsidRDefault="00A7561A" w:rsidP="00411DE2">
      <w:pPr>
        <w:pStyle w:val="ItemHead"/>
      </w:pPr>
      <w:r>
        <w:rPr>
          <w:noProof/>
        </w:rPr>
        <w:t>36</w:t>
      </w:r>
      <w:r w:rsidR="00F3489B" w:rsidRPr="00995753">
        <w:t xml:space="preserve">  Schedule 3, </w:t>
      </w:r>
      <w:r w:rsidR="004F3C59" w:rsidRPr="00995753">
        <w:t>clause 3.</w:t>
      </w:r>
      <w:r w:rsidR="00F3489B" w:rsidRPr="00995753">
        <w:t>1</w:t>
      </w:r>
      <w:r w:rsidR="004F3C59" w:rsidRPr="00995753">
        <w:t xml:space="preserve"> </w:t>
      </w:r>
    </w:p>
    <w:p w14:paraId="672B2573" w14:textId="77777777" w:rsidR="004F3C59" w:rsidRPr="00995753" w:rsidRDefault="00F3489B" w:rsidP="00411DE2">
      <w:pPr>
        <w:pStyle w:val="Item"/>
      </w:pPr>
      <w:r w:rsidRPr="00995753">
        <w:t>At the end, add</w:t>
      </w:r>
      <w:r w:rsidR="004F3C59" w:rsidRPr="00995753">
        <w:t>:</w:t>
      </w:r>
    </w:p>
    <w:p w14:paraId="7D489A65" w14:textId="77777777" w:rsidR="004F3C59" w:rsidRPr="00995753" w:rsidRDefault="004F3C59" w:rsidP="00411DE2">
      <w:pPr>
        <w:pStyle w:val="subsection"/>
      </w:pPr>
      <w:r w:rsidRPr="00995753">
        <w:tab/>
        <w:t>(3)</w:t>
      </w:r>
      <w:r w:rsidRPr="00995753">
        <w:tab/>
        <w:t xml:space="preserve">In this clause, a reference to a </w:t>
      </w:r>
      <w:r w:rsidRPr="00995753">
        <w:rPr>
          <w:b/>
          <w:i/>
        </w:rPr>
        <w:t>product</w:t>
      </w:r>
      <w:r w:rsidRPr="00995753">
        <w:t xml:space="preserve"> is a reference to a product offered by or on behalf of the data holder.</w:t>
      </w:r>
    </w:p>
    <w:p w14:paraId="65580AED" w14:textId="77777777" w:rsidR="00053955" w:rsidRPr="00995753" w:rsidRDefault="00A7561A" w:rsidP="00411DE2">
      <w:pPr>
        <w:pStyle w:val="ItemHead"/>
      </w:pPr>
      <w:r>
        <w:rPr>
          <w:noProof/>
        </w:rPr>
        <w:t>37</w:t>
      </w:r>
      <w:r w:rsidR="00053955" w:rsidRPr="00995753">
        <w:t xml:space="preserve">  Schedule 3, subclause 3.2(1), note 1</w:t>
      </w:r>
    </w:p>
    <w:p w14:paraId="7DA81836" w14:textId="77777777" w:rsidR="00053955" w:rsidRPr="00995753" w:rsidRDefault="00053955" w:rsidP="00411DE2">
      <w:pPr>
        <w:pStyle w:val="Item"/>
      </w:pPr>
      <w:r w:rsidRPr="00995753">
        <w:t>Repeal.</w:t>
      </w:r>
    </w:p>
    <w:p w14:paraId="34B5C1F5" w14:textId="77777777" w:rsidR="004F3C59" w:rsidRPr="00995753" w:rsidRDefault="00A7561A" w:rsidP="00411DE2">
      <w:pPr>
        <w:pStyle w:val="ItemHead"/>
      </w:pPr>
      <w:r>
        <w:rPr>
          <w:noProof/>
        </w:rPr>
        <w:t>38</w:t>
      </w:r>
      <w:r w:rsidR="004F3C59" w:rsidRPr="00995753">
        <w:t xml:space="preserve">  Schedule 3, clause 5.1 </w:t>
      </w:r>
    </w:p>
    <w:p w14:paraId="3BDEB509" w14:textId="77777777" w:rsidR="004F3C59" w:rsidRPr="00995753" w:rsidRDefault="004F3C59" w:rsidP="00411DE2">
      <w:pPr>
        <w:pStyle w:val="Item"/>
      </w:pPr>
      <w:r w:rsidRPr="00995753">
        <w:t>Substitute:</w:t>
      </w:r>
    </w:p>
    <w:p w14:paraId="69D3FCB9" w14:textId="77777777" w:rsidR="00B34BFB" w:rsidRPr="00995753" w:rsidRDefault="00B34BFB" w:rsidP="00411DE2">
      <w:pPr>
        <w:pStyle w:val="ActHead5"/>
      </w:pPr>
      <w:bookmarkStart w:id="139" w:name="_Toc86237366"/>
      <w:r w:rsidRPr="00995753">
        <w:t>5.1  Meeting internal dispute resolution requirements―banking sector</w:t>
      </w:r>
      <w:bookmarkEnd w:id="139"/>
    </w:p>
    <w:p w14:paraId="049338FA" w14:textId="77777777" w:rsidR="00B34BFB" w:rsidRPr="00995753" w:rsidRDefault="00B34BFB" w:rsidP="00411DE2">
      <w:pPr>
        <w:pStyle w:val="subsection"/>
      </w:pPr>
      <w:r w:rsidRPr="00995753">
        <w:tab/>
        <w:t>(1)</w:t>
      </w:r>
      <w:r w:rsidRPr="00995753">
        <w:tab/>
        <w:t xml:space="preserve">For the banking sector, a CDR participant </w:t>
      </w:r>
      <w:r w:rsidRPr="00995753">
        <w:rPr>
          <w:b/>
          <w:i/>
        </w:rPr>
        <w:t>meets the internal dispute resolution requirements</w:t>
      </w:r>
      <w:r w:rsidRPr="00995753">
        <w:t xml:space="preserve"> if its internal dispute resolution processes comply with provisions of Regulatory Guide 271 that deal with the following:</w:t>
      </w:r>
    </w:p>
    <w:p w14:paraId="1EFD7449" w14:textId="77777777" w:rsidR="00B34BFB" w:rsidRPr="00995753" w:rsidRDefault="00B34BFB" w:rsidP="00411DE2">
      <w:pPr>
        <w:pStyle w:val="paragraph"/>
      </w:pPr>
      <w:r w:rsidRPr="00995753">
        <w:tab/>
        <w:t>(a)</w:t>
      </w:r>
      <w:r w:rsidRPr="00995753">
        <w:tab/>
        <w:t>standards that its internal dispute resolution procedures or processes must meet regarding the following:</w:t>
      </w:r>
    </w:p>
    <w:p w14:paraId="7C62E776" w14:textId="77777777" w:rsidR="00B34BFB" w:rsidRPr="00995753" w:rsidRDefault="00B34BFB" w:rsidP="00411DE2">
      <w:pPr>
        <w:pStyle w:val="paragraphsub"/>
      </w:pPr>
      <w:r w:rsidRPr="00995753">
        <w:tab/>
        <w:t>(i)</w:t>
      </w:r>
      <w:r w:rsidRPr="00995753">
        <w:tab/>
        <w:t xml:space="preserve">commitment and culture; </w:t>
      </w:r>
    </w:p>
    <w:p w14:paraId="79569CFD" w14:textId="77777777" w:rsidR="00B34BFB" w:rsidRPr="00995753" w:rsidRDefault="00B34BFB" w:rsidP="00411DE2">
      <w:pPr>
        <w:pStyle w:val="paragraphsub"/>
      </w:pPr>
      <w:r w:rsidRPr="00995753">
        <w:tab/>
        <w:t>(ii)</w:t>
      </w:r>
      <w:r w:rsidRPr="00995753">
        <w:tab/>
        <w:t>the enabling of complaints;</w:t>
      </w:r>
    </w:p>
    <w:p w14:paraId="0AD19152" w14:textId="77777777" w:rsidR="00B34BFB" w:rsidRPr="00995753" w:rsidRDefault="00B34BFB" w:rsidP="00411DE2">
      <w:pPr>
        <w:pStyle w:val="paragraphsub"/>
      </w:pPr>
      <w:r w:rsidRPr="00995753">
        <w:tab/>
        <w:t>(iii)</w:t>
      </w:r>
      <w:r w:rsidRPr="00995753">
        <w:tab/>
        <w:t>resourcing;</w:t>
      </w:r>
    </w:p>
    <w:p w14:paraId="24C0B090" w14:textId="77777777" w:rsidR="00B34BFB" w:rsidRPr="00995753" w:rsidRDefault="00B34BFB" w:rsidP="00411DE2">
      <w:pPr>
        <w:pStyle w:val="paragraphsub"/>
      </w:pPr>
      <w:r w:rsidRPr="00995753">
        <w:tab/>
        <w:t>(iv)</w:t>
      </w:r>
      <w:r w:rsidRPr="00995753">
        <w:tab/>
        <w:t>responsiveness;</w:t>
      </w:r>
    </w:p>
    <w:p w14:paraId="0F423984" w14:textId="77777777" w:rsidR="00B34BFB" w:rsidRPr="00995753" w:rsidRDefault="00B34BFB" w:rsidP="00411DE2">
      <w:pPr>
        <w:pStyle w:val="paragraphsub"/>
      </w:pPr>
      <w:r w:rsidRPr="00995753">
        <w:tab/>
        <w:t>(v)</w:t>
      </w:r>
      <w:r w:rsidRPr="00995753">
        <w:tab/>
        <w:t>objectivity and fairness;</w:t>
      </w:r>
    </w:p>
    <w:p w14:paraId="7AA52F14" w14:textId="77777777" w:rsidR="00B34BFB" w:rsidRPr="00995753" w:rsidRDefault="00B34BFB" w:rsidP="00411DE2">
      <w:pPr>
        <w:pStyle w:val="paragraphsub"/>
      </w:pPr>
      <w:r w:rsidRPr="00995753">
        <w:tab/>
        <w:t>(vi)</w:t>
      </w:r>
      <w:r w:rsidRPr="00995753">
        <w:tab/>
        <w:t>policy and procedures;</w:t>
      </w:r>
    </w:p>
    <w:p w14:paraId="2E0BFFF6" w14:textId="77777777" w:rsidR="00B34BFB" w:rsidRPr="00995753" w:rsidRDefault="00B34BFB" w:rsidP="00411DE2">
      <w:pPr>
        <w:pStyle w:val="paragraphsub"/>
      </w:pPr>
      <w:r w:rsidRPr="00995753">
        <w:tab/>
        <w:t>(vii)</w:t>
      </w:r>
      <w:r w:rsidRPr="00995753">
        <w:tab/>
        <w:t>data collection, analysis and internal reporting;</w:t>
      </w:r>
    </w:p>
    <w:p w14:paraId="1D675736" w14:textId="77777777" w:rsidR="00B34BFB" w:rsidRPr="00995753" w:rsidRDefault="00B34BFB" w:rsidP="00411DE2">
      <w:pPr>
        <w:pStyle w:val="paragraphsub"/>
      </w:pPr>
      <w:r w:rsidRPr="00995753">
        <w:tab/>
        <w:t>(viii)</w:t>
      </w:r>
      <w:r w:rsidRPr="00995753">
        <w:tab/>
        <w:t>continuous improvement;</w:t>
      </w:r>
    </w:p>
    <w:p w14:paraId="20897A1A" w14:textId="77777777" w:rsidR="00B34BFB" w:rsidRPr="00995753" w:rsidRDefault="00B34BFB" w:rsidP="00411DE2">
      <w:pPr>
        <w:pStyle w:val="paragraph"/>
      </w:pPr>
      <w:r w:rsidRPr="00995753">
        <w:tab/>
        <w:t>(b)</w:t>
      </w:r>
      <w:r w:rsidRPr="00995753">
        <w:tab/>
        <w:t>outsourcing internal dispute resolution processes;</w:t>
      </w:r>
    </w:p>
    <w:p w14:paraId="551DF5DC" w14:textId="77777777" w:rsidR="00B34BFB" w:rsidRPr="00995753" w:rsidRDefault="00B34BFB" w:rsidP="00411DE2">
      <w:pPr>
        <w:pStyle w:val="paragraph"/>
        <w:rPr>
          <w:sz w:val="20"/>
        </w:rPr>
      </w:pPr>
      <w:r w:rsidRPr="00995753">
        <w:tab/>
        <w:t>(c)</w:t>
      </w:r>
      <w:r w:rsidRPr="00995753">
        <w:tab/>
        <w:t>acknowledgement of complaint;</w:t>
      </w:r>
    </w:p>
    <w:p w14:paraId="796DDE85" w14:textId="77777777" w:rsidR="00B34BFB" w:rsidRPr="00995753" w:rsidRDefault="00B34BFB" w:rsidP="00411DE2">
      <w:pPr>
        <w:pStyle w:val="paragraph"/>
      </w:pPr>
      <w:r w:rsidRPr="00995753">
        <w:tab/>
        <w:t>(d)</w:t>
      </w:r>
      <w:r w:rsidRPr="00995753">
        <w:tab/>
        <w:t>what an internal dispute resolution response must contain;</w:t>
      </w:r>
    </w:p>
    <w:p w14:paraId="06FEA036" w14:textId="77777777" w:rsidR="00B34BFB" w:rsidRPr="00995753" w:rsidRDefault="00B34BFB" w:rsidP="00411DE2">
      <w:pPr>
        <w:pStyle w:val="paragraph"/>
      </w:pPr>
      <w:r w:rsidRPr="00995753">
        <w:tab/>
        <w:t>(e)</w:t>
      </w:r>
      <w:r w:rsidRPr="00995753">
        <w:tab/>
        <w:t>maximum timeframes for an internal dispute resolution response;</w:t>
      </w:r>
    </w:p>
    <w:p w14:paraId="7154EFE3" w14:textId="77777777" w:rsidR="00B34BFB" w:rsidRPr="00995753" w:rsidRDefault="00B34BFB" w:rsidP="00411DE2">
      <w:pPr>
        <w:pStyle w:val="paragraph"/>
      </w:pPr>
      <w:r w:rsidRPr="00995753">
        <w:tab/>
        <w:t>(f)</w:t>
      </w:r>
      <w:r w:rsidRPr="00995753">
        <w:tab/>
        <w:t>internal dispute resolution response requirements for multi-tier internal dispute resolution processes;</w:t>
      </w:r>
    </w:p>
    <w:p w14:paraId="6283C11D" w14:textId="77777777" w:rsidR="00B34BFB" w:rsidRPr="00995753" w:rsidRDefault="00B34BFB" w:rsidP="00411DE2">
      <w:pPr>
        <w:pStyle w:val="paragraph"/>
      </w:pPr>
      <w:r w:rsidRPr="00995753">
        <w:tab/>
        <w:t>(g)</w:t>
      </w:r>
      <w:r w:rsidRPr="00995753">
        <w:tab/>
        <w:t>the role of customer advocates;</w:t>
      </w:r>
    </w:p>
    <w:p w14:paraId="739453DE" w14:textId="77777777" w:rsidR="00B34BFB" w:rsidRPr="00995753" w:rsidRDefault="00B34BFB" w:rsidP="00411DE2">
      <w:pPr>
        <w:pStyle w:val="paragraph"/>
      </w:pPr>
      <w:r w:rsidRPr="00995753">
        <w:lastRenderedPageBreak/>
        <w:tab/>
        <w:t>(h)</w:t>
      </w:r>
      <w:r w:rsidRPr="00995753">
        <w:tab/>
        <w:t>establishing links between internal dispute resolution processes and external dispute resolution;</w:t>
      </w:r>
    </w:p>
    <w:p w14:paraId="1C625FCA" w14:textId="77777777" w:rsidR="00B34BFB" w:rsidRPr="00995753" w:rsidRDefault="00B34BFB" w:rsidP="00411DE2">
      <w:pPr>
        <w:pStyle w:val="paragraph"/>
      </w:pPr>
      <w:r w:rsidRPr="00995753">
        <w:tab/>
        <w:t>(i)</w:t>
      </w:r>
      <w:r w:rsidRPr="00995753">
        <w:tab/>
        <w:t>systemic issues.</w:t>
      </w:r>
    </w:p>
    <w:p w14:paraId="050190D8" w14:textId="77777777" w:rsidR="00B34BFB" w:rsidRPr="00995753" w:rsidRDefault="00B34BFB" w:rsidP="00411DE2">
      <w:pPr>
        <w:pStyle w:val="subsection"/>
      </w:pPr>
      <w:r w:rsidRPr="00995753">
        <w:tab/>
        <w:t>(2)</w:t>
      </w:r>
      <w:r w:rsidRPr="00995753">
        <w:tab/>
        <w:t>In this clause:</w:t>
      </w:r>
    </w:p>
    <w:p w14:paraId="281E5462" w14:textId="77777777" w:rsidR="00B34BFB" w:rsidRPr="00995753" w:rsidRDefault="00B34BFB" w:rsidP="00411DE2">
      <w:pPr>
        <w:pStyle w:val="Definition"/>
      </w:pPr>
      <w:r w:rsidRPr="00995753">
        <w:rPr>
          <w:b/>
          <w:i/>
        </w:rPr>
        <w:t>Regulatory Guide 271</w:t>
      </w:r>
      <w:r w:rsidRPr="00995753">
        <w:rPr>
          <w:rFonts w:eastAsia="Calibri"/>
          <w:b/>
        </w:rPr>
        <w:t xml:space="preserve"> </w:t>
      </w:r>
      <w:r w:rsidRPr="00995753">
        <w:rPr>
          <w:rFonts w:eastAsia="Calibri"/>
        </w:rPr>
        <w:t xml:space="preserve">means </w:t>
      </w:r>
      <w:r w:rsidRPr="00995753">
        <w:t>Regulatory Guide 271</w:t>
      </w:r>
      <w:r w:rsidRPr="00995753">
        <w:rPr>
          <w:rFonts w:eastAsia="Calibri"/>
        </w:rPr>
        <w:t xml:space="preserve"> published by the Australian Securities &amp; Investments Commission, as in force from time to time and applied as if</w:t>
      </w:r>
      <w:r w:rsidRPr="00995753">
        <w:t>:</w:t>
      </w:r>
    </w:p>
    <w:p w14:paraId="2E9809FF" w14:textId="77777777" w:rsidR="00B34BFB" w:rsidRPr="00995753" w:rsidRDefault="00B34BFB" w:rsidP="00411DE2">
      <w:pPr>
        <w:pStyle w:val="paragraph"/>
      </w:pPr>
      <w:r w:rsidRPr="00995753">
        <w:tab/>
        <w:t>(a)</w:t>
      </w:r>
      <w:r w:rsidRPr="00995753">
        <w:tab/>
        <w:t>references to complaints were references to CDR consumer complaints; and</w:t>
      </w:r>
    </w:p>
    <w:p w14:paraId="19C43FAD" w14:textId="77777777" w:rsidR="00B34BFB" w:rsidRPr="00995753" w:rsidRDefault="00B34BFB" w:rsidP="00411DE2">
      <w:pPr>
        <w:pStyle w:val="paragraph"/>
      </w:pPr>
      <w:r w:rsidRPr="00995753">
        <w:tab/>
        <w:t>(b)</w:t>
      </w:r>
      <w:r w:rsidRPr="00995753">
        <w:tab/>
        <w:t>references to financial firms and financial service providers were references to CDR participants.</w:t>
      </w:r>
    </w:p>
    <w:p w14:paraId="18CB80A1" w14:textId="77777777" w:rsidR="00B34BFB" w:rsidRPr="00995753" w:rsidRDefault="00B34BFB" w:rsidP="00411DE2">
      <w:pPr>
        <w:pStyle w:val="notetext"/>
        <w:rPr>
          <w:rFonts w:eastAsia="Calibri"/>
        </w:rPr>
      </w:pPr>
      <w:r w:rsidRPr="00995753">
        <w:rPr>
          <w:rFonts w:eastAsia="Calibri"/>
        </w:rPr>
        <w:t>Note:</w:t>
      </w:r>
      <w:r w:rsidRPr="00995753">
        <w:rPr>
          <w:rFonts w:eastAsia="Calibri"/>
        </w:rPr>
        <w:tab/>
      </w:r>
      <w:r w:rsidRPr="00995753">
        <w:t>Regulatory Guide 271</w:t>
      </w:r>
      <w:r w:rsidRPr="00995753">
        <w:rPr>
          <w:rFonts w:eastAsia="Calibri"/>
        </w:rPr>
        <w:t xml:space="preserve"> could in 2021 be accessed from the Australian Securities &amp; Investments Commission’s website (https://asic.gov.au).</w:t>
      </w:r>
    </w:p>
    <w:p w14:paraId="52125D7B" w14:textId="77777777" w:rsidR="00D200AC" w:rsidRPr="00995753" w:rsidRDefault="00A7561A" w:rsidP="00411DE2">
      <w:pPr>
        <w:pStyle w:val="ItemHead"/>
      </w:pPr>
      <w:r>
        <w:rPr>
          <w:noProof/>
        </w:rPr>
        <w:t>39</w:t>
      </w:r>
      <w:r w:rsidR="00D200AC" w:rsidRPr="00995753">
        <w:t xml:space="preserve">  Schedule 3, clause 6.2, table item 2</w:t>
      </w:r>
    </w:p>
    <w:p w14:paraId="25990BFB" w14:textId="11099E5C" w:rsidR="00D200AC" w:rsidRPr="00995753" w:rsidRDefault="00D200AC" w:rsidP="00411DE2">
      <w:pPr>
        <w:pStyle w:val="Item"/>
      </w:pPr>
      <w:r w:rsidRPr="00995753">
        <w:t xml:space="preserve">In column </w:t>
      </w:r>
      <w:r w:rsidR="00EC146C">
        <w:t>2</w:t>
      </w:r>
      <w:r w:rsidRPr="00995753">
        <w:t>, omit “, a “voluntarily participating ADI””.</w:t>
      </w:r>
    </w:p>
    <w:p w14:paraId="7B6D5CEB" w14:textId="77777777" w:rsidR="004F3C59" w:rsidRPr="00995753" w:rsidRDefault="00A7561A" w:rsidP="00411DE2">
      <w:pPr>
        <w:pStyle w:val="ItemHead"/>
      </w:pPr>
      <w:r>
        <w:rPr>
          <w:noProof/>
        </w:rPr>
        <w:t>40</w:t>
      </w:r>
      <w:r w:rsidR="004F3C59" w:rsidRPr="00995753">
        <w:t xml:space="preserve">  Schedule 3 </w:t>
      </w:r>
    </w:p>
    <w:p w14:paraId="2D92A12D" w14:textId="77777777" w:rsidR="004F3C59" w:rsidRPr="00995753" w:rsidRDefault="004F3C59" w:rsidP="00411DE2">
      <w:pPr>
        <w:pStyle w:val="Item"/>
      </w:pPr>
      <w:r w:rsidRPr="00995753">
        <w:t>Add at the end:</w:t>
      </w:r>
    </w:p>
    <w:p w14:paraId="6D3E1449" w14:textId="77777777" w:rsidR="004F3C59" w:rsidRPr="00995753" w:rsidRDefault="004F3C59" w:rsidP="00411DE2">
      <w:pPr>
        <w:pStyle w:val="ActHead5"/>
      </w:pPr>
      <w:bookmarkStart w:id="140" w:name="_Toc76562777"/>
      <w:bookmarkStart w:id="141" w:name="_Toc76679962"/>
      <w:bookmarkStart w:id="142" w:name="_Toc76716919"/>
      <w:bookmarkStart w:id="143" w:name="_Toc76740936"/>
      <w:r w:rsidRPr="00995753">
        <w:t>7.5  Grounds for revocation, suspension and surrender of accreditation—banking sector</w:t>
      </w:r>
      <w:bookmarkEnd w:id="140"/>
      <w:bookmarkEnd w:id="141"/>
      <w:bookmarkEnd w:id="142"/>
      <w:bookmarkEnd w:id="143"/>
    </w:p>
    <w:p w14:paraId="019D25AA" w14:textId="77777777" w:rsidR="004F3C59" w:rsidRPr="00995753" w:rsidRDefault="004F3C59" w:rsidP="00411DE2">
      <w:pPr>
        <w:pStyle w:val="subsection"/>
      </w:pPr>
      <w:r w:rsidRPr="00995753">
        <w:tab/>
      </w:r>
      <w:r w:rsidRPr="00995753">
        <w:tab/>
        <w:t>For item 5 of the table in rule 5.17:</w:t>
      </w:r>
    </w:p>
    <w:p w14:paraId="04BAA907" w14:textId="77777777" w:rsidR="004F3C59" w:rsidRPr="00995753" w:rsidRDefault="004F3C59" w:rsidP="00411DE2">
      <w:pPr>
        <w:pStyle w:val="paragraph"/>
      </w:pPr>
      <w:r w:rsidRPr="00995753">
        <w:tab/>
        <w:t>(b)</w:t>
      </w:r>
      <w:r w:rsidRPr="00995753">
        <w:tab/>
        <w:t>the relevant condition is that the accredited person was, at the time of the accreditation, an ADI; and</w:t>
      </w:r>
    </w:p>
    <w:p w14:paraId="07F322DA" w14:textId="77777777" w:rsidR="004F3C59" w:rsidRPr="00995753" w:rsidRDefault="004F3C59" w:rsidP="00411DE2">
      <w:pPr>
        <w:pStyle w:val="paragraph"/>
      </w:pPr>
      <w:r w:rsidRPr="00995753">
        <w:tab/>
        <w:t>(c)</w:t>
      </w:r>
      <w:r w:rsidRPr="00995753">
        <w:tab/>
        <w:t>the accredited person ceases to satisfy the condition if  its authority to carry on banking business is no longer in force.</w:t>
      </w:r>
    </w:p>
    <w:p w14:paraId="158CB1BD" w14:textId="77777777" w:rsidR="005E457D" w:rsidRPr="00995753" w:rsidRDefault="005E457D" w:rsidP="00411DE2">
      <w:pPr>
        <w:pStyle w:val="ActHead1"/>
      </w:pPr>
    </w:p>
    <w:sectPr w:rsidR="005E457D" w:rsidRPr="00995753" w:rsidSect="00B452B0">
      <w:headerReference w:type="default" r:id="rId37"/>
      <w:pgSz w:w="11907" w:h="16839"/>
      <w:pgMar w:top="2099"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4C8F5" w14:textId="77777777" w:rsidR="00147562" w:rsidRDefault="00147562" w:rsidP="00715914">
      <w:pPr>
        <w:spacing w:line="240" w:lineRule="auto"/>
      </w:pPr>
      <w:r>
        <w:separator/>
      </w:r>
    </w:p>
  </w:endnote>
  <w:endnote w:type="continuationSeparator" w:id="0">
    <w:p w14:paraId="538162B9" w14:textId="77777777" w:rsidR="00147562" w:rsidRDefault="0014756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C0102" w14:paraId="5B79D36C" w14:textId="77777777" w:rsidTr="00DB20B7">
      <w:tc>
        <w:tcPr>
          <w:tcW w:w="5000" w:type="pct"/>
        </w:tcPr>
        <w:p w14:paraId="64FD10C9" w14:textId="77777777" w:rsidR="00BC0102" w:rsidRDefault="00BC0102" w:rsidP="00DB20B7">
          <w:pPr>
            <w:rPr>
              <w:sz w:val="18"/>
            </w:rPr>
          </w:pPr>
        </w:p>
      </w:tc>
    </w:tr>
  </w:tbl>
  <w:p w14:paraId="6BB0BF5B" w14:textId="77777777" w:rsidR="00BC0102" w:rsidRPr="005F1388" w:rsidRDefault="00BC0102" w:rsidP="00DB20B7">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6A78" w14:textId="77777777" w:rsidR="00BC0102" w:rsidRDefault="00BC0102">
    <w:pPr>
      <w:pStyle w:val="Footer"/>
    </w:pPr>
  </w:p>
  <w:p w14:paraId="4D475BA1" w14:textId="404BCF16" w:rsidR="00BC0102" w:rsidRPr="000F3E23" w:rsidRDefault="00BC0102" w:rsidP="00DB20B7">
    <w:pPr>
      <w:pStyle w:val="Footer"/>
      <w:rPr>
        <w:sz w:val="16"/>
      </w:rPr>
    </w:pPr>
    <w:r>
      <w:rPr>
        <w:sz w:val="16"/>
      </w:rPr>
      <w:fldChar w:fldCharType="begin"/>
    </w:r>
    <w:r>
      <w:rPr>
        <w:sz w:val="16"/>
      </w:rPr>
      <w:instrText xml:space="preserve"> DOCPROPERTY  WSFooter  \* MERGEFORMAT </w:instrText>
    </w:r>
    <w:r>
      <w:rPr>
        <w:sz w:val="16"/>
      </w:rPr>
      <w:fldChar w:fldCharType="separate"/>
    </w:r>
    <w:r w:rsidR="00C0259A">
      <w:rPr>
        <w:sz w:val="16"/>
      </w:rPr>
      <w:t>41769545</w:t>
    </w:r>
    <w:r>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C0102" w14:paraId="1AE552EE" w14:textId="77777777" w:rsidTr="00DB20B7">
      <w:tc>
        <w:tcPr>
          <w:tcW w:w="5000" w:type="pct"/>
        </w:tcPr>
        <w:p w14:paraId="2286728D" w14:textId="77777777" w:rsidR="00BC0102" w:rsidRDefault="00BC0102" w:rsidP="00DB20B7">
          <w:pPr>
            <w:rPr>
              <w:sz w:val="18"/>
            </w:rPr>
          </w:pPr>
        </w:p>
      </w:tc>
    </w:tr>
  </w:tbl>
  <w:p w14:paraId="6AAB47C7" w14:textId="77777777" w:rsidR="00BC0102" w:rsidRPr="005F1388" w:rsidRDefault="00BC0102" w:rsidP="00DB20B7">
    <w:pPr>
      <w:pStyle w:val="Footer"/>
      <w:tabs>
        <w:tab w:val="clear" w:pos="4153"/>
        <w:tab w:val="clear" w:pos="8306"/>
        <w:tab w:val="center" w:pos="4150"/>
        <w:tab w:val="right" w:pos="8307"/>
      </w:tabs>
      <w:spacing w:before="120"/>
      <w:jc w:val="right"/>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0577" w14:textId="77777777" w:rsidR="00BC0102" w:rsidRDefault="00BC0102">
    <w:pPr>
      <w:pStyle w:val="Footer"/>
    </w:pPr>
  </w:p>
  <w:p w14:paraId="16094CE5" w14:textId="381A897C" w:rsidR="00BC0102" w:rsidRPr="000F3E23" w:rsidRDefault="00BC0102" w:rsidP="00DB20B7">
    <w:pPr>
      <w:pStyle w:val="Footer"/>
      <w:rPr>
        <w:sz w:val="16"/>
      </w:rPr>
    </w:pPr>
    <w:r>
      <w:rPr>
        <w:sz w:val="16"/>
      </w:rPr>
      <w:fldChar w:fldCharType="begin"/>
    </w:r>
    <w:r>
      <w:rPr>
        <w:sz w:val="16"/>
      </w:rPr>
      <w:instrText xml:space="preserve"> DOCPROPERTY  WSFooter  \* MERGEFORMAT </w:instrText>
    </w:r>
    <w:r>
      <w:rPr>
        <w:sz w:val="16"/>
      </w:rPr>
      <w:fldChar w:fldCharType="separate"/>
    </w:r>
    <w:r w:rsidR="00C0259A">
      <w:rPr>
        <w:sz w:val="16"/>
      </w:rPr>
      <w:t>41769545</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34A2" w14:textId="77777777" w:rsidR="00BC0102" w:rsidRPr="00E33C1C" w:rsidRDefault="00BC0102" w:rsidP="00DB20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C0102" w14:paraId="70603270" w14:textId="77777777" w:rsidTr="00DB20B7">
      <w:tc>
        <w:tcPr>
          <w:tcW w:w="947" w:type="pct"/>
          <w:tcBorders>
            <w:top w:val="nil"/>
            <w:left w:val="nil"/>
            <w:bottom w:val="nil"/>
            <w:right w:val="nil"/>
          </w:tcBorders>
        </w:tcPr>
        <w:p w14:paraId="1EAE2D27" w14:textId="77777777" w:rsidR="00BC0102" w:rsidRDefault="00BC0102" w:rsidP="00DB20B7">
          <w:pPr>
            <w:spacing w:line="0" w:lineRule="atLeast"/>
            <w:rPr>
              <w:sz w:val="18"/>
            </w:rPr>
          </w:pPr>
        </w:p>
      </w:tc>
      <w:tc>
        <w:tcPr>
          <w:tcW w:w="3688" w:type="pct"/>
          <w:tcBorders>
            <w:top w:val="nil"/>
            <w:left w:val="nil"/>
            <w:bottom w:val="nil"/>
            <w:right w:val="nil"/>
          </w:tcBorders>
        </w:tcPr>
        <w:p w14:paraId="1B070637" w14:textId="19250AA4" w:rsidR="00BC0102" w:rsidRPr="00B20990" w:rsidRDefault="00BC0102" w:rsidP="00DB20B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63379">
            <w:rPr>
              <w:i/>
              <w:noProof/>
              <w:sz w:val="18"/>
            </w:rPr>
            <w:t>Competition and Consumer (Consumer Data Right) Amendment Rules (No. 2) 2021</w:t>
          </w:r>
          <w:r w:rsidRPr="00B20990">
            <w:rPr>
              <w:i/>
              <w:sz w:val="18"/>
            </w:rPr>
            <w:fldChar w:fldCharType="end"/>
          </w:r>
        </w:p>
      </w:tc>
      <w:tc>
        <w:tcPr>
          <w:tcW w:w="365" w:type="pct"/>
          <w:tcBorders>
            <w:top w:val="nil"/>
            <w:left w:val="nil"/>
            <w:bottom w:val="nil"/>
            <w:right w:val="nil"/>
          </w:tcBorders>
        </w:tcPr>
        <w:p w14:paraId="778625AC" w14:textId="0DBA02D4" w:rsidR="00BC0102" w:rsidRDefault="00BC0102" w:rsidP="00DB20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379">
            <w:rPr>
              <w:i/>
              <w:noProof/>
              <w:sz w:val="18"/>
            </w:rPr>
            <w:t>2</w:t>
          </w:r>
          <w:r w:rsidRPr="00ED79B6">
            <w:rPr>
              <w:i/>
              <w:sz w:val="18"/>
            </w:rPr>
            <w:fldChar w:fldCharType="end"/>
          </w:r>
        </w:p>
      </w:tc>
    </w:tr>
    <w:tr w:rsidR="00BC0102" w14:paraId="6F8F21A8" w14:textId="77777777" w:rsidTr="00DB20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57BF5BD" w14:textId="77777777" w:rsidR="00BC0102" w:rsidRDefault="00BC0102" w:rsidP="00DB20B7">
          <w:pPr>
            <w:rPr>
              <w:sz w:val="18"/>
            </w:rPr>
          </w:pPr>
        </w:p>
      </w:tc>
    </w:tr>
  </w:tbl>
  <w:p w14:paraId="610B2D9B" w14:textId="77777777" w:rsidR="00BC0102" w:rsidRPr="006D3667" w:rsidRDefault="00BC0102" w:rsidP="00DB2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E158" w14:textId="6D8EC356" w:rsidR="00BC0102" w:rsidRPr="000F3E23" w:rsidRDefault="00BC0102" w:rsidP="00DB20B7">
    <w:pPr>
      <w:pStyle w:val="Footer"/>
      <w:rPr>
        <w:sz w:val="16"/>
      </w:rPr>
    </w:pPr>
  </w:p>
  <w:p w14:paraId="51812AB2" w14:textId="77777777" w:rsidR="002B408F" w:rsidRDefault="002B408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248C" w14:textId="77777777" w:rsidR="00BC0102" w:rsidRPr="002B0EA5" w:rsidRDefault="00BC0102"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C0102" w14:paraId="0EB33687" w14:textId="77777777" w:rsidTr="003507D2">
      <w:tc>
        <w:tcPr>
          <w:tcW w:w="365" w:type="pct"/>
        </w:tcPr>
        <w:p w14:paraId="5578D3CB" w14:textId="77777777" w:rsidR="00BC0102" w:rsidRDefault="00BC0102"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xlviii</w:t>
          </w:r>
          <w:r w:rsidRPr="00ED79B6">
            <w:rPr>
              <w:i/>
              <w:sz w:val="18"/>
            </w:rPr>
            <w:fldChar w:fldCharType="end"/>
          </w:r>
        </w:p>
      </w:tc>
      <w:tc>
        <w:tcPr>
          <w:tcW w:w="3688" w:type="pct"/>
        </w:tcPr>
        <w:p w14:paraId="1761F0C9" w14:textId="309BD69E" w:rsidR="00BC0102" w:rsidRDefault="00BC0102"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259A">
            <w:rPr>
              <w:i/>
              <w:noProof/>
              <w:sz w:val="18"/>
            </w:rPr>
            <w:t>Competition and Consumer (Consumer Data Right) Amendment Rules (No. 2) 2021</w:t>
          </w:r>
          <w:r w:rsidRPr="004E1307">
            <w:rPr>
              <w:i/>
              <w:sz w:val="18"/>
            </w:rPr>
            <w:fldChar w:fldCharType="end"/>
          </w:r>
        </w:p>
      </w:tc>
      <w:tc>
        <w:tcPr>
          <w:tcW w:w="947" w:type="pct"/>
        </w:tcPr>
        <w:p w14:paraId="235F00ED" w14:textId="77777777" w:rsidR="00BC0102" w:rsidRDefault="00BC0102" w:rsidP="003507D2">
          <w:pPr>
            <w:spacing w:line="0" w:lineRule="atLeast"/>
            <w:jc w:val="right"/>
            <w:rPr>
              <w:sz w:val="18"/>
            </w:rPr>
          </w:pPr>
        </w:p>
      </w:tc>
    </w:tr>
    <w:tr w:rsidR="00BC0102" w14:paraId="7E65EBD2" w14:textId="77777777" w:rsidTr="003507D2">
      <w:tc>
        <w:tcPr>
          <w:tcW w:w="5000" w:type="pct"/>
          <w:gridSpan w:val="3"/>
        </w:tcPr>
        <w:p w14:paraId="0C3F95E3" w14:textId="77777777" w:rsidR="00BC0102" w:rsidRDefault="00BC0102" w:rsidP="003507D2">
          <w:pPr>
            <w:jc w:val="right"/>
            <w:rPr>
              <w:sz w:val="18"/>
            </w:rPr>
          </w:pPr>
        </w:p>
      </w:tc>
    </w:tr>
  </w:tbl>
  <w:p w14:paraId="2714C6A2" w14:textId="77777777" w:rsidR="00BC0102" w:rsidRPr="00ED79B6" w:rsidRDefault="00BC0102" w:rsidP="00350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7325" w14:textId="77777777" w:rsidR="00BC0102" w:rsidRPr="00E33C1C" w:rsidRDefault="00BC0102" w:rsidP="00BA29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C0102" w14:paraId="2BF8169D" w14:textId="77777777" w:rsidTr="00250B4B">
      <w:tc>
        <w:tcPr>
          <w:tcW w:w="947" w:type="pct"/>
          <w:tcBorders>
            <w:top w:val="nil"/>
            <w:left w:val="nil"/>
            <w:bottom w:val="nil"/>
            <w:right w:val="nil"/>
          </w:tcBorders>
        </w:tcPr>
        <w:p w14:paraId="5D443738" w14:textId="77777777" w:rsidR="00BC0102" w:rsidRDefault="00BC0102" w:rsidP="00BA29D6">
          <w:pPr>
            <w:spacing w:line="0" w:lineRule="atLeast"/>
            <w:rPr>
              <w:sz w:val="18"/>
            </w:rPr>
          </w:pPr>
        </w:p>
      </w:tc>
      <w:tc>
        <w:tcPr>
          <w:tcW w:w="3688" w:type="pct"/>
          <w:tcBorders>
            <w:top w:val="nil"/>
            <w:left w:val="nil"/>
            <w:bottom w:val="nil"/>
            <w:right w:val="nil"/>
          </w:tcBorders>
        </w:tcPr>
        <w:p w14:paraId="1D0744F3" w14:textId="05C8564D" w:rsidR="00BC0102" w:rsidRPr="00B20990" w:rsidRDefault="00BC0102" w:rsidP="00BA29D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11DE2">
            <w:rPr>
              <w:i/>
              <w:noProof/>
              <w:sz w:val="18"/>
            </w:rPr>
            <w:t>Competition and Consumer (Consumer Data Right) Amendment Rules (No. 2) 2021</w:t>
          </w:r>
          <w:r w:rsidRPr="00B20990">
            <w:rPr>
              <w:i/>
              <w:sz w:val="18"/>
            </w:rPr>
            <w:fldChar w:fldCharType="end"/>
          </w:r>
        </w:p>
      </w:tc>
      <w:tc>
        <w:tcPr>
          <w:tcW w:w="365" w:type="pct"/>
          <w:tcBorders>
            <w:top w:val="nil"/>
            <w:left w:val="nil"/>
            <w:bottom w:val="nil"/>
            <w:right w:val="nil"/>
          </w:tcBorders>
        </w:tcPr>
        <w:p w14:paraId="3AECDD71" w14:textId="293C4B82" w:rsidR="00BC0102" w:rsidRDefault="00BC0102" w:rsidP="00BA29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1DE2">
            <w:rPr>
              <w:i/>
              <w:noProof/>
              <w:sz w:val="18"/>
            </w:rPr>
            <w:t>1</w:t>
          </w:r>
          <w:r w:rsidRPr="00ED79B6">
            <w:rPr>
              <w:i/>
              <w:sz w:val="18"/>
            </w:rPr>
            <w:fldChar w:fldCharType="end"/>
          </w:r>
        </w:p>
      </w:tc>
    </w:tr>
    <w:tr w:rsidR="00BC0102" w:rsidRPr="009070FE" w14:paraId="713FFC00" w14:textId="77777777" w:rsidTr="0025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788415A" w14:textId="77777777" w:rsidR="00BC0102" w:rsidRPr="009070FE" w:rsidRDefault="00BC0102" w:rsidP="00724640">
          <w:pPr>
            <w:pStyle w:val="ttDraftstrip"/>
            <w:tabs>
              <w:tab w:val="center" w:pos="3969"/>
              <w:tab w:val="right" w:pos="9639"/>
              <w:tab w:val="right" w:pos="9923"/>
            </w:tabs>
            <w:ind w:left="-567" w:right="-567"/>
            <w:jc w:val="center"/>
            <w:rPr>
              <w:b w:val="0"/>
              <w:color w:val="0000FF"/>
              <w:sz w:val="28"/>
              <w:szCs w:val="28"/>
            </w:rPr>
          </w:pPr>
        </w:p>
      </w:tc>
    </w:tr>
  </w:tbl>
  <w:p w14:paraId="3EB371D4" w14:textId="75F68F89" w:rsidR="00BC0102" w:rsidRPr="00663B06" w:rsidRDefault="00BC0102" w:rsidP="00B05F87">
    <w:pPr>
      <w:pStyle w:val="Footer"/>
      <w:rPr>
        <w:color w:val="0000FF"/>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DF77" w14:textId="77777777" w:rsidR="00BC0102" w:rsidRDefault="00BC01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C0102" w14:paraId="0152F4DB" w14:textId="77777777" w:rsidTr="00DB20B7">
      <w:tc>
        <w:tcPr>
          <w:tcW w:w="5000" w:type="pct"/>
        </w:tcPr>
        <w:p w14:paraId="36449D4A" w14:textId="77777777" w:rsidR="00BC0102" w:rsidRDefault="00BC0102" w:rsidP="00DB20B7">
          <w:pPr>
            <w:rPr>
              <w:sz w:val="18"/>
            </w:rPr>
          </w:pPr>
        </w:p>
      </w:tc>
    </w:tr>
  </w:tbl>
  <w:p w14:paraId="66882848" w14:textId="77777777" w:rsidR="00BC0102" w:rsidRPr="005F1388" w:rsidRDefault="00BC0102" w:rsidP="00DB20B7">
    <w:pPr>
      <w:pStyle w:val="Footer"/>
      <w:tabs>
        <w:tab w:val="clear" w:pos="4153"/>
        <w:tab w:val="clear" w:pos="8306"/>
        <w:tab w:val="center" w:pos="4150"/>
        <w:tab w:val="right" w:pos="8307"/>
      </w:tabs>
      <w:spacing w:before="120"/>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4DA1" w14:textId="77777777" w:rsidR="00BC0102" w:rsidRDefault="00BC0102">
    <w:pPr>
      <w:pStyle w:val="Footer"/>
    </w:pPr>
  </w:p>
  <w:p w14:paraId="1947E04C" w14:textId="2DB96B23" w:rsidR="00BC0102" w:rsidRPr="000F3E23" w:rsidRDefault="00BC0102" w:rsidP="00DB20B7">
    <w:pPr>
      <w:pStyle w:val="Footer"/>
      <w:rPr>
        <w:sz w:val="16"/>
      </w:rPr>
    </w:pPr>
    <w:r>
      <w:rPr>
        <w:sz w:val="16"/>
      </w:rPr>
      <w:fldChar w:fldCharType="begin"/>
    </w:r>
    <w:r>
      <w:rPr>
        <w:sz w:val="16"/>
      </w:rPr>
      <w:instrText xml:space="preserve"> DOCPROPERTY  WSFooter  \* MERGEFORMAT </w:instrText>
    </w:r>
    <w:r>
      <w:rPr>
        <w:sz w:val="16"/>
      </w:rPr>
      <w:fldChar w:fldCharType="separate"/>
    </w:r>
    <w:r w:rsidR="00C0259A">
      <w:rPr>
        <w:sz w:val="16"/>
      </w:rPr>
      <w:t>41769545</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C0102" w14:paraId="2736331D" w14:textId="77777777" w:rsidTr="00DB20B7">
      <w:tc>
        <w:tcPr>
          <w:tcW w:w="5000" w:type="pct"/>
        </w:tcPr>
        <w:p w14:paraId="48A619BD" w14:textId="77777777" w:rsidR="00BC0102" w:rsidRDefault="00BC0102" w:rsidP="00DB20B7">
          <w:pPr>
            <w:rPr>
              <w:sz w:val="18"/>
            </w:rPr>
          </w:pPr>
        </w:p>
      </w:tc>
    </w:tr>
  </w:tbl>
  <w:p w14:paraId="6553B600" w14:textId="77777777" w:rsidR="00BC0102" w:rsidRPr="005F1388" w:rsidRDefault="00BC0102" w:rsidP="00DB20B7">
    <w:pPr>
      <w:pStyle w:val="Footer"/>
      <w:tabs>
        <w:tab w:val="clear" w:pos="4153"/>
        <w:tab w:val="clear" w:pos="8306"/>
        <w:tab w:val="center" w:pos="4150"/>
        <w:tab w:val="right" w:pos="8307"/>
      </w:tabs>
      <w:spacing w:before="120"/>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9B32" w14:textId="77777777" w:rsidR="00147562" w:rsidRDefault="00147562" w:rsidP="00715914">
      <w:pPr>
        <w:spacing w:line="240" w:lineRule="auto"/>
      </w:pPr>
      <w:r>
        <w:separator/>
      </w:r>
    </w:p>
  </w:footnote>
  <w:footnote w:type="continuationSeparator" w:id="0">
    <w:p w14:paraId="5D0F164A" w14:textId="77777777" w:rsidR="00147562" w:rsidRDefault="0014756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4DE0" w14:textId="77777777" w:rsidR="00BC0102" w:rsidRPr="005F1388" w:rsidRDefault="00BC0102" w:rsidP="00DB20B7">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8988" w14:textId="77777777" w:rsidR="00BC0102" w:rsidRPr="005F1388" w:rsidRDefault="00BC0102" w:rsidP="00DB20B7">
    <w:pPr>
      <w:pStyle w:val="Header"/>
      <w:tabs>
        <w:tab w:val="clear" w:pos="4150"/>
        <w:tab w:val="clear" w:pos="8307"/>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0BAB" w14:textId="77777777" w:rsidR="00BC0102" w:rsidRPr="00A961C4" w:rsidRDefault="00BC0102" w:rsidP="00DB20B7">
    <w:pPr>
      <w:jc w:val="right"/>
      <w:rPr>
        <w:sz w:val="20"/>
      </w:rPr>
    </w:pPr>
  </w:p>
  <w:p w14:paraId="337F77FD" w14:textId="77777777" w:rsidR="00BC0102" w:rsidRPr="00D2242A" w:rsidRDefault="00BC0102" w:rsidP="009070FE">
    <w:pPr>
      <w:jc w:val="right"/>
      <w:rPr>
        <w:b/>
        <w:sz w:val="24"/>
      </w:rPr>
    </w:pPr>
    <w:r w:rsidRPr="00D2242A">
      <w:rPr>
        <w:b/>
      </w:rPr>
      <w:t xml:space="preserve">Schedule 1—Amendments relating to </w:t>
    </w:r>
    <w:r>
      <w:rPr>
        <w:b/>
      </w:rPr>
      <w:t>P2P data access</w:t>
    </w:r>
  </w:p>
  <w:p w14:paraId="3C2AE8B9" w14:textId="77777777" w:rsidR="00BC0102" w:rsidRPr="00A961C4" w:rsidRDefault="00BC0102" w:rsidP="00DB20B7">
    <w:pPr>
      <w:pBdr>
        <w:bottom w:val="single" w:sz="6" w:space="1" w:color="auto"/>
      </w:pBdr>
      <w:spacing w:after="120"/>
      <w:jc w:val="right"/>
    </w:pPr>
  </w:p>
  <w:p w14:paraId="552EC371" w14:textId="77777777" w:rsidR="00BC0102" w:rsidRPr="005F1388" w:rsidRDefault="00BC0102" w:rsidP="00DB20B7">
    <w:pPr>
      <w:pStyle w:val="Header"/>
      <w:tabs>
        <w:tab w:val="clear" w:pos="4150"/>
        <w:tab w:val="clear" w:pos="8307"/>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5C2C" w14:textId="77777777" w:rsidR="00BC0102" w:rsidRPr="005F1388" w:rsidRDefault="00BC0102" w:rsidP="00DB20B7">
    <w:pPr>
      <w:pStyle w:val="Header"/>
      <w:tabs>
        <w:tab w:val="clear" w:pos="4150"/>
        <w:tab w:val="clear" w:pos="8307"/>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550E" w14:textId="77777777" w:rsidR="00BC0102" w:rsidRPr="005F1388" w:rsidRDefault="00BC0102" w:rsidP="00DB20B7">
    <w:pPr>
      <w:pStyle w:val="Header"/>
      <w:tabs>
        <w:tab w:val="clear" w:pos="4150"/>
        <w:tab w:val="clear" w:pos="8307"/>
      </w:tabs>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B25" w14:textId="77777777" w:rsidR="00BC0102" w:rsidRPr="00A961C4" w:rsidRDefault="00BC0102" w:rsidP="00DB20B7">
    <w:pPr>
      <w:jc w:val="right"/>
      <w:rPr>
        <w:sz w:val="20"/>
      </w:rPr>
    </w:pPr>
  </w:p>
  <w:p w14:paraId="79617686" w14:textId="77777777" w:rsidR="00BC0102" w:rsidRPr="00D2242A" w:rsidRDefault="00BC0102" w:rsidP="009070FE">
    <w:pPr>
      <w:jc w:val="right"/>
      <w:rPr>
        <w:b/>
        <w:sz w:val="24"/>
      </w:rPr>
    </w:pPr>
    <w:r>
      <w:rPr>
        <w:b/>
      </w:rPr>
      <w:t>Schedule 2</w:t>
    </w:r>
    <w:r w:rsidRPr="00D2242A">
      <w:rPr>
        <w:b/>
      </w:rPr>
      <w:t xml:space="preserve">—Amendments relating to </w:t>
    </w:r>
    <w:r>
      <w:rPr>
        <w:b/>
      </w:rPr>
      <w:t>the energy sector</w:t>
    </w:r>
  </w:p>
  <w:p w14:paraId="2B0CFBF3" w14:textId="77777777" w:rsidR="00BC0102" w:rsidRPr="00A961C4" w:rsidRDefault="00BC0102" w:rsidP="00DB20B7">
    <w:pPr>
      <w:pBdr>
        <w:bottom w:val="single" w:sz="6" w:space="1" w:color="auto"/>
      </w:pBdr>
      <w:spacing w:after="120"/>
      <w:jc w:val="right"/>
    </w:pPr>
  </w:p>
  <w:p w14:paraId="2C2A6A20" w14:textId="77777777" w:rsidR="00BC0102" w:rsidRPr="005F1388" w:rsidRDefault="00BC0102" w:rsidP="00DB20B7">
    <w:pPr>
      <w:pStyle w:val="Header"/>
      <w:tabs>
        <w:tab w:val="clear" w:pos="4150"/>
        <w:tab w:val="clear" w:pos="8307"/>
      </w:tabs>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E3D9" w14:textId="77777777" w:rsidR="00BC0102" w:rsidRPr="005F1388" w:rsidRDefault="00BC0102" w:rsidP="00DB20B7">
    <w:pPr>
      <w:pStyle w:val="Header"/>
      <w:tabs>
        <w:tab w:val="clear" w:pos="4150"/>
        <w:tab w:val="clear" w:pos="8307"/>
      </w:tabs>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0C68" w14:textId="77777777" w:rsidR="00BC0102" w:rsidRPr="007A1328" w:rsidRDefault="00BC0102" w:rsidP="00715914">
    <w:pPr>
      <w:jc w:val="right"/>
      <w:rPr>
        <w:sz w:val="20"/>
      </w:rPr>
    </w:pPr>
  </w:p>
  <w:p w14:paraId="2593DDD4" w14:textId="77777777" w:rsidR="00BC0102" w:rsidRPr="00D2242A" w:rsidRDefault="00BC0102" w:rsidP="009070FE">
    <w:pPr>
      <w:jc w:val="right"/>
      <w:rPr>
        <w:b/>
        <w:sz w:val="24"/>
      </w:rPr>
    </w:pPr>
    <w:r>
      <w:rPr>
        <w:b/>
      </w:rPr>
      <w:t>Schedule 3—Miscellaneous a</w:t>
    </w:r>
    <w:r w:rsidRPr="00D2242A">
      <w:rPr>
        <w:b/>
      </w:rPr>
      <w:t xml:space="preserve">mendments </w:t>
    </w:r>
  </w:p>
  <w:p w14:paraId="34B1E502" w14:textId="77777777" w:rsidR="00BC0102" w:rsidRPr="007A1328" w:rsidRDefault="00BC0102" w:rsidP="00D6537E">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1A07" w14:textId="77777777" w:rsidR="00BC0102" w:rsidRPr="00A961C4" w:rsidRDefault="00BC0102" w:rsidP="00DB20B7">
    <w:pPr>
      <w:jc w:val="right"/>
      <w:rPr>
        <w:sz w:val="20"/>
      </w:rPr>
    </w:pPr>
  </w:p>
  <w:p w14:paraId="6E7347F8" w14:textId="77777777" w:rsidR="00BC0102" w:rsidRPr="00A961C4" w:rsidRDefault="00BC0102" w:rsidP="00DB20B7">
    <w:pPr>
      <w:jc w:val="right"/>
      <w:rPr>
        <w:b/>
        <w:sz w:val="20"/>
      </w:rPr>
    </w:pPr>
  </w:p>
  <w:p w14:paraId="579CF598" w14:textId="77777777" w:rsidR="00BC0102" w:rsidRPr="00A961C4" w:rsidRDefault="00BC0102" w:rsidP="00DB20B7">
    <w:pPr>
      <w:pBdr>
        <w:bottom w:val="single" w:sz="6" w:space="1" w:color="auto"/>
      </w:pBdr>
      <w:spacing w:after="120"/>
      <w:jc w:val="right"/>
    </w:pPr>
  </w:p>
  <w:p w14:paraId="3B86B5D7" w14:textId="77777777" w:rsidR="00BC0102" w:rsidRPr="005F1388" w:rsidRDefault="00BC0102" w:rsidP="00DB20B7">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9F10" w14:textId="77777777" w:rsidR="00BC0102" w:rsidRPr="005F1388" w:rsidRDefault="00BC0102" w:rsidP="00DB20B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0AB1" w14:textId="77777777" w:rsidR="00BC0102" w:rsidRPr="00ED79B6" w:rsidRDefault="00BC0102" w:rsidP="003507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BB07" w14:textId="77777777" w:rsidR="00BC0102" w:rsidRPr="00ED79B6" w:rsidRDefault="00BC0102" w:rsidP="003507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4C10" w14:textId="77777777" w:rsidR="00BC0102" w:rsidRPr="00ED79B6" w:rsidRDefault="00BC010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8BCD" w14:textId="77777777" w:rsidR="00BC0102" w:rsidRPr="005F1388" w:rsidRDefault="00BC0102" w:rsidP="00DB20B7">
    <w:pPr>
      <w:pStyle w:val="Header"/>
      <w:tabs>
        <w:tab w:val="clear" w:pos="4150"/>
        <w:tab w:val="clear" w:pos="8307"/>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960F" w14:textId="77777777" w:rsidR="00BC0102" w:rsidRPr="00A961C4" w:rsidRDefault="00BC0102" w:rsidP="00DB20B7">
    <w:pPr>
      <w:jc w:val="right"/>
      <w:rPr>
        <w:sz w:val="20"/>
      </w:rPr>
    </w:pPr>
  </w:p>
  <w:p w14:paraId="77B4A7FF" w14:textId="77777777" w:rsidR="00BC0102" w:rsidRPr="00A961C4" w:rsidRDefault="00BC0102" w:rsidP="00DB20B7">
    <w:pPr>
      <w:jc w:val="right"/>
      <w:rPr>
        <w:b/>
        <w:sz w:val="20"/>
      </w:rPr>
    </w:pPr>
  </w:p>
  <w:p w14:paraId="689DC6B6" w14:textId="77777777" w:rsidR="00BC0102" w:rsidRPr="00A961C4" w:rsidRDefault="00BC0102" w:rsidP="00DB20B7">
    <w:pPr>
      <w:pBdr>
        <w:bottom w:val="single" w:sz="6" w:space="1" w:color="auto"/>
      </w:pBdr>
      <w:spacing w:after="120"/>
      <w:jc w:val="right"/>
    </w:pPr>
  </w:p>
  <w:p w14:paraId="07DD35AC" w14:textId="77777777" w:rsidR="00BC0102" w:rsidRPr="005F1388" w:rsidRDefault="00BC0102" w:rsidP="00DB20B7">
    <w:pPr>
      <w:pStyle w:val="Header"/>
      <w:tabs>
        <w:tab w:val="clear" w:pos="4150"/>
        <w:tab w:val="clear" w:pos="8307"/>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527F" w14:textId="77777777" w:rsidR="00BC0102" w:rsidRPr="005F1388" w:rsidRDefault="00BC0102" w:rsidP="00DB20B7">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4F0E5682"/>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83"/>
    <w:multiLevelType w:val="multilevel"/>
    <w:tmpl w:val="9C001D92"/>
    <w:name w:val="schedule numbering"/>
    <w:lvl w:ilvl="0">
      <w:start w:val="1"/>
      <w:numFmt w:val="decimal"/>
      <w:lvlRestart w:val="0"/>
      <w:lvlText w:val="Schedule %1"/>
      <w:lvlJc w:val="left"/>
      <w:pPr>
        <w:ind w:left="0" w:firstLine="0"/>
      </w:pPr>
      <w:rPr>
        <w:rFonts w:ascii="Symbol" w:hAnsi="Symbol" w:hint="default"/>
      </w:r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7E0959"/>
    <w:multiLevelType w:val="multilevel"/>
    <w:tmpl w:val="3BEC1CC6"/>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647770"/>
    <w:multiLevelType w:val="hybridMultilevel"/>
    <w:tmpl w:val="B89CCC6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55660A2"/>
    <w:multiLevelType w:val="hybridMultilevel"/>
    <w:tmpl w:val="D566335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140948C7"/>
    <w:multiLevelType w:val="hybridMultilevel"/>
    <w:tmpl w:val="81202F4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7B2FD9"/>
    <w:multiLevelType w:val="multilevel"/>
    <w:tmpl w:val="F8C8D61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4A586836"/>
    <w:multiLevelType w:val="hybridMultilevel"/>
    <w:tmpl w:val="6F76969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3"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BC7E8D"/>
    <w:multiLevelType w:val="singleLevel"/>
    <w:tmpl w:val="FFFCF7D0"/>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16" w15:restartNumberingAfterBreak="0">
    <w:nsid w:val="78511A4E"/>
    <w:multiLevelType w:val="hybridMultilevel"/>
    <w:tmpl w:val="BD501A2C"/>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1"/>
  </w:num>
  <w:num w:numId="6">
    <w:abstractNumId w:val="14"/>
  </w:num>
  <w:num w:numId="7">
    <w:abstractNumId w:val="6"/>
  </w:num>
  <w:num w:numId="8">
    <w:abstractNumId w:val="12"/>
  </w:num>
  <w:num w:numId="9">
    <w:abstractNumId w:val="3"/>
  </w:num>
  <w:num w:numId="10">
    <w:abstractNumId w:val="5"/>
  </w:num>
  <w:num w:numId="11">
    <w:abstractNumId w:val="15"/>
  </w:num>
  <w:num w:numId="12">
    <w:abstractNumId w:val="2"/>
  </w:num>
  <w:num w:numId="13">
    <w:abstractNumId w:val="10"/>
  </w:num>
  <w:num w:numId="1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A4"/>
    <w:rsid w:val="000004FE"/>
    <w:rsid w:val="00000667"/>
    <w:rsid w:val="00000B47"/>
    <w:rsid w:val="00000C1C"/>
    <w:rsid w:val="000010D4"/>
    <w:rsid w:val="000014BB"/>
    <w:rsid w:val="000015DC"/>
    <w:rsid w:val="00001AC8"/>
    <w:rsid w:val="00002032"/>
    <w:rsid w:val="00002316"/>
    <w:rsid w:val="0000297B"/>
    <w:rsid w:val="000029CF"/>
    <w:rsid w:val="00002B3E"/>
    <w:rsid w:val="00002D2D"/>
    <w:rsid w:val="00002F2E"/>
    <w:rsid w:val="00003178"/>
    <w:rsid w:val="00003317"/>
    <w:rsid w:val="00003547"/>
    <w:rsid w:val="00003864"/>
    <w:rsid w:val="000038BE"/>
    <w:rsid w:val="000038CC"/>
    <w:rsid w:val="00003B5E"/>
    <w:rsid w:val="00003D14"/>
    <w:rsid w:val="00004174"/>
    <w:rsid w:val="0000436D"/>
    <w:rsid w:val="000043D8"/>
    <w:rsid w:val="00004470"/>
    <w:rsid w:val="0000460C"/>
    <w:rsid w:val="0000482F"/>
    <w:rsid w:val="00004877"/>
    <w:rsid w:val="00005026"/>
    <w:rsid w:val="000052E0"/>
    <w:rsid w:val="0000562C"/>
    <w:rsid w:val="000057F0"/>
    <w:rsid w:val="0000593B"/>
    <w:rsid w:val="00005C2C"/>
    <w:rsid w:val="00006207"/>
    <w:rsid w:val="000063E7"/>
    <w:rsid w:val="00006535"/>
    <w:rsid w:val="00006575"/>
    <w:rsid w:val="00006916"/>
    <w:rsid w:val="00006D92"/>
    <w:rsid w:val="00006E3C"/>
    <w:rsid w:val="00006E6A"/>
    <w:rsid w:val="00006FC0"/>
    <w:rsid w:val="00007052"/>
    <w:rsid w:val="00007518"/>
    <w:rsid w:val="00007993"/>
    <w:rsid w:val="00007D25"/>
    <w:rsid w:val="0001019A"/>
    <w:rsid w:val="00010772"/>
    <w:rsid w:val="0001096A"/>
    <w:rsid w:val="00010AE8"/>
    <w:rsid w:val="00011026"/>
    <w:rsid w:val="00011A8A"/>
    <w:rsid w:val="00011B58"/>
    <w:rsid w:val="00011D01"/>
    <w:rsid w:val="00012107"/>
    <w:rsid w:val="00012B74"/>
    <w:rsid w:val="00012C70"/>
    <w:rsid w:val="00012D8F"/>
    <w:rsid w:val="00012F49"/>
    <w:rsid w:val="00013240"/>
    <w:rsid w:val="000136AF"/>
    <w:rsid w:val="000136B4"/>
    <w:rsid w:val="000136C2"/>
    <w:rsid w:val="00013A8F"/>
    <w:rsid w:val="00013BE8"/>
    <w:rsid w:val="0001417F"/>
    <w:rsid w:val="0001466B"/>
    <w:rsid w:val="000151A0"/>
    <w:rsid w:val="00015AB6"/>
    <w:rsid w:val="00016145"/>
    <w:rsid w:val="000162FF"/>
    <w:rsid w:val="0001632F"/>
    <w:rsid w:val="000165DF"/>
    <w:rsid w:val="00016B80"/>
    <w:rsid w:val="00017004"/>
    <w:rsid w:val="00017267"/>
    <w:rsid w:val="000175D3"/>
    <w:rsid w:val="00017D5A"/>
    <w:rsid w:val="00017DD5"/>
    <w:rsid w:val="00020736"/>
    <w:rsid w:val="00020C98"/>
    <w:rsid w:val="00020D60"/>
    <w:rsid w:val="00020E90"/>
    <w:rsid w:val="00021A26"/>
    <w:rsid w:val="00021D4E"/>
    <w:rsid w:val="00022033"/>
    <w:rsid w:val="00022CBE"/>
    <w:rsid w:val="00022E13"/>
    <w:rsid w:val="00022E28"/>
    <w:rsid w:val="00022E4A"/>
    <w:rsid w:val="0002356D"/>
    <w:rsid w:val="000237D1"/>
    <w:rsid w:val="00023B44"/>
    <w:rsid w:val="00024899"/>
    <w:rsid w:val="00024F18"/>
    <w:rsid w:val="00025281"/>
    <w:rsid w:val="000258B1"/>
    <w:rsid w:val="00025951"/>
    <w:rsid w:val="00025E45"/>
    <w:rsid w:val="00026097"/>
    <w:rsid w:val="000260BB"/>
    <w:rsid w:val="0002643A"/>
    <w:rsid w:val="00026BC4"/>
    <w:rsid w:val="00026F8E"/>
    <w:rsid w:val="00026F94"/>
    <w:rsid w:val="0002703B"/>
    <w:rsid w:val="00027514"/>
    <w:rsid w:val="000278B2"/>
    <w:rsid w:val="00027D8F"/>
    <w:rsid w:val="0003006F"/>
    <w:rsid w:val="0003017A"/>
    <w:rsid w:val="000302C9"/>
    <w:rsid w:val="000303F8"/>
    <w:rsid w:val="00030E47"/>
    <w:rsid w:val="000311F5"/>
    <w:rsid w:val="0003138C"/>
    <w:rsid w:val="0003164B"/>
    <w:rsid w:val="000316CE"/>
    <w:rsid w:val="00031737"/>
    <w:rsid w:val="00032C51"/>
    <w:rsid w:val="000334D5"/>
    <w:rsid w:val="00033B3C"/>
    <w:rsid w:val="000340CE"/>
    <w:rsid w:val="00034289"/>
    <w:rsid w:val="00034929"/>
    <w:rsid w:val="000349D9"/>
    <w:rsid w:val="00034D60"/>
    <w:rsid w:val="00034F57"/>
    <w:rsid w:val="00035159"/>
    <w:rsid w:val="000358F9"/>
    <w:rsid w:val="00035A92"/>
    <w:rsid w:val="000361AC"/>
    <w:rsid w:val="000362F3"/>
    <w:rsid w:val="00036732"/>
    <w:rsid w:val="000368AE"/>
    <w:rsid w:val="00036920"/>
    <w:rsid w:val="000369AF"/>
    <w:rsid w:val="00036AFB"/>
    <w:rsid w:val="000374B5"/>
    <w:rsid w:val="000379D2"/>
    <w:rsid w:val="00037AAA"/>
    <w:rsid w:val="00037B75"/>
    <w:rsid w:val="00037DD2"/>
    <w:rsid w:val="00040124"/>
    <w:rsid w:val="00040645"/>
    <w:rsid w:val="00040653"/>
    <w:rsid w:val="000407DF"/>
    <w:rsid w:val="00040A89"/>
    <w:rsid w:val="00040B16"/>
    <w:rsid w:val="0004127F"/>
    <w:rsid w:val="00041538"/>
    <w:rsid w:val="00041A0A"/>
    <w:rsid w:val="00041B4F"/>
    <w:rsid w:val="00041BBD"/>
    <w:rsid w:val="00041F0E"/>
    <w:rsid w:val="00042249"/>
    <w:rsid w:val="00042563"/>
    <w:rsid w:val="00042700"/>
    <w:rsid w:val="000427FF"/>
    <w:rsid w:val="0004284A"/>
    <w:rsid w:val="00042898"/>
    <w:rsid w:val="00042AAA"/>
    <w:rsid w:val="00042B62"/>
    <w:rsid w:val="00042CD5"/>
    <w:rsid w:val="00042CE6"/>
    <w:rsid w:val="00042D06"/>
    <w:rsid w:val="00042EC6"/>
    <w:rsid w:val="00042F8A"/>
    <w:rsid w:val="0004339E"/>
    <w:rsid w:val="000435F2"/>
    <w:rsid w:val="000437C1"/>
    <w:rsid w:val="00044150"/>
    <w:rsid w:val="000444E8"/>
    <w:rsid w:val="0004455A"/>
    <w:rsid w:val="000447DD"/>
    <w:rsid w:val="0004497C"/>
    <w:rsid w:val="00045173"/>
    <w:rsid w:val="00045351"/>
    <w:rsid w:val="000453E4"/>
    <w:rsid w:val="00045936"/>
    <w:rsid w:val="00045D01"/>
    <w:rsid w:val="00045D17"/>
    <w:rsid w:val="00045DA6"/>
    <w:rsid w:val="00045F9D"/>
    <w:rsid w:val="00046763"/>
    <w:rsid w:val="00046E2E"/>
    <w:rsid w:val="000472EB"/>
    <w:rsid w:val="000473F6"/>
    <w:rsid w:val="000478B4"/>
    <w:rsid w:val="00047943"/>
    <w:rsid w:val="00047B5C"/>
    <w:rsid w:val="000506EB"/>
    <w:rsid w:val="00050F67"/>
    <w:rsid w:val="00051938"/>
    <w:rsid w:val="00052385"/>
    <w:rsid w:val="0005261C"/>
    <w:rsid w:val="000529ED"/>
    <w:rsid w:val="00052EBC"/>
    <w:rsid w:val="0005327D"/>
    <w:rsid w:val="0005365D"/>
    <w:rsid w:val="000536BF"/>
    <w:rsid w:val="00053955"/>
    <w:rsid w:val="0005458D"/>
    <w:rsid w:val="0005461D"/>
    <w:rsid w:val="00054807"/>
    <w:rsid w:val="00054E6F"/>
    <w:rsid w:val="00054E93"/>
    <w:rsid w:val="00054F5C"/>
    <w:rsid w:val="0005509A"/>
    <w:rsid w:val="0005526C"/>
    <w:rsid w:val="000552F2"/>
    <w:rsid w:val="000553D0"/>
    <w:rsid w:val="00055586"/>
    <w:rsid w:val="00055798"/>
    <w:rsid w:val="00056495"/>
    <w:rsid w:val="00056ACE"/>
    <w:rsid w:val="00056B53"/>
    <w:rsid w:val="00056DB7"/>
    <w:rsid w:val="00056DD3"/>
    <w:rsid w:val="000577AC"/>
    <w:rsid w:val="000577E0"/>
    <w:rsid w:val="000601A7"/>
    <w:rsid w:val="000602F2"/>
    <w:rsid w:val="0006044B"/>
    <w:rsid w:val="0006078A"/>
    <w:rsid w:val="0006083C"/>
    <w:rsid w:val="00060A81"/>
    <w:rsid w:val="00061130"/>
    <w:rsid w:val="000614BF"/>
    <w:rsid w:val="000615CE"/>
    <w:rsid w:val="00062340"/>
    <w:rsid w:val="00062720"/>
    <w:rsid w:val="000627BD"/>
    <w:rsid w:val="00062AA7"/>
    <w:rsid w:val="00062C64"/>
    <w:rsid w:val="00062F40"/>
    <w:rsid w:val="00062F54"/>
    <w:rsid w:val="000630A9"/>
    <w:rsid w:val="00063379"/>
    <w:rsid w:val="00063570"/>
    <w:rsid w:val="0006377B"/>
    <w:rsid w:val="00063853"/>
    <w:rsid w:val="000639C3"/>
    <w:rsid w:val="000640BF"/>
    <w:rsid w:val="000648BC"/>
    <w:rsid w:val="00064CA1"/>
    <w:rsid w:val="000655A9"/>
    <w:rsid w:val="00065983"/>
    <w:rsid w:val="00065BD9"/>
    <w:rsid w:val="00065C83"/>
    <w:rsid w:val="00065EBA"/>
    <w:rsid w:val="00066477"/>
    <w:rsid w:val="00066513"/>
    <w:rsid w:val="000666BC"/>
    <w:rsid w:val="00066BDA"/>
    <w:rsid w:val="00066C0F"/>
    <w:rsid w:val="0006709C"/>
    <w:rsid w:val="00067172"/>
    <w:rsid w:val="00067D62"/>
    <w:rsid w:val="00067F34"/>
    <w:rsid w:val="000701F4"/>
    <w:rsid w:val="000703E8"/>
    <w:rsid w:val="00070E21"/>
    <w:rsid w:val="000711FA"/>
    <w:rsid w:val="00071211"/>
    <w:rsid w:val="00071221"/>
    <w:rsid w:val="000718C8"/>
    <w:rsid w:val="00071A24"/>
    <w:rsid w:val="00071CA7"/>
    <w:rsid w:val="00071EEB"/>
    <w:rsid w:val="00071FC7"/>
    <w:rsid w:val="00072063"/>
    <w:rsid w:val="000726A1"/>
    <w:rsid w:val="00073309"/>
    <w:rsid w:val="00073592"/>
    <w:rsid w:val="0007377D"/>
    <w:rsid w:val="00074376"/>
    <w:rsid w:val="00074497"/>
    <w:rsid w:val="00074632"/>
    <w:rsid w:val="0007488F"/>
    <w:rsid w:val="000748AA"/>
    <w:rsid w:val="000748EF"/>
    <w:rsid w:val="0007498F"/>
    <w:rsid w:val="00074B55"/>
    <w:rsid w:val="00074CC2"/>
    <w:rsid w:val="00074CD8"/>
    <w:rsid w:val="00075409"/>
    <w:rsid w:val="0007595B"/>
    <w:rsid w:val="00075961"/>
    <w:rsid w:val="00076113"/>
    <w:rsid w:val="0007614E"/>
    <w:rsid w:val="0007619D"/>
    <w:rsid w:val="00076B1E"/>
    <w:rsid w:val="00076BD5"/>
    <w:rsid w:val="00076E53"/>
    <w:rsid w:val="00076F01"/>
    <w:rsid w:val="000770CE"/>
    <w:rsid w:val="00077646"/>
    <w:rsid w:val="00077E29"/>
    <w:rsid w:val="0008061D"/>
    <w:rsid w:val="00080640"/>
    <w:rsid w:val="00080A5B"/>
    <w:rsid w:val="00080B8A"/>
    <w:rsid w:val="00080DAE"/>
    <w:rsid w:val="00080DCD"/>
    <w:rsid w:val="00080FA2"/>
    <w:rsid w:val="000810CC"/>
    <w:rsid w:val="00081482"/>
    <w:rsid w:val="00081947"/>
    <w:rsid w:val="00081D0A"/>
    <w:rsid w:val="000829F7"/>
    <w:rsid w:val="00082F48"/>
    <w:rsid w:val="00083030"/>
    <w:rsid w:val="000834BB"/>
    <w:rsid w:val="00083732"/>
    <w:rsid w:val="00083802"/>
    <w:rsid w:val="00083B6E"/>
    <w:rsid w:val="00083FE2"/>
    <w:rsid w:val="000843C9"/>
    <w:rsid w:val="00084885"/>
    <w:rsid w:val="00084B94"/>
    <w:rsid w:val="00084D04"/>
    <w:rsid w:val="00085185"/>
    <w:rsid w:val="00085367"/>
    <w:rsid w:val="00085475"/>
    <w:rsid w:val="000854DF"/>
    <w:rsid w:val="000857D2"/>
    <w:rsid w:val="000858D9"/>
    <w:rsid w:val="000861B2"/>
    <w:rsid w:val="00086952"/>
    <w:rsid w:val="00086AA3"/>
    <w:rsid w:val="00086BB0"/>
    <w:rsid w:val="00086F26"/>
    <w:rsid w:val="000877F2"/>
    <w:rsid w:val="00087828"/>
    <w:rsid w:val="00087C4B"/>
    <w:rsid w:val="00087DC3"/>
    <w:rsid w:val="00087E7F"/>
    <w:rsid w:val="00090086"/>
    <w:rsid w:val="0009036D"/>
    <w:rsid w:val="000909C1"/>
    <w:rsid w:val="00090BEC"/>
    <w:rsid w:val="00091395"/>
    <w:rsid w:val="0009220E"/>
    <w:rsid w:val="00092668"/>
    <w:rsid w:val="000929EB"/>
    <w:rsid w:val="00092C49"/>
    <w:rsid w:val="00092F4B"/>
    <w:rsid w:val="00093486"/>
    <w:rsid w:val="00093561"/>
    <w:rsid w:val="00093630"/>
    <w:rsid w:val="00093972"/>
    <w:rsid w:val="00093E02"/>
    <w:rsid w:val="00093E17"/>
    <w:rsid w:val="00093E7A"/>
    <w:rsid w:val="000941E8"/>
    <w:rsid w:val="000943B1"/>
    <w:rsid w:val="00094822"/>
    <w:rsid w:val="0009485B"/>
    <w:rsid w:val="0009493C"/>
    <w:rsid w:val="000949CD"/>
    <w:rsid w:val="00094A9C"/>
    <w:rsid w:val="00094E68"/>
    <w:rsid w:val="0009551E"/>
    <w:rsid w:val="0009557A"/>
    <w:rsid w:val="00095766"/>
    <w:rsid w:val="0009599F"/>
    <w:rsid w:val="00095A03"/>
    <w:rsid w:val="00095B5C"/>
    <w:rsid w:val="00095C65"/>
    <w:rsid w:val="00095FBE"/>
    <w:rsid w:val="00095FBF"/>
    <w:rsid w:val="000960ED"/>
    <w:rsid w:val="00096113"/>
    <w:rsid w:val="00096C95"/>
    <w:rsid w:val="00096CAA"/>
    <w:rsid w:val="000971BE"/>
    <w:rsid w:val="00097220"/>
    <w:rsid w:val="0009724B"/>
    <w:rsid w:val="0009739F"/>
    <w:rsid w:val="0009767A"/>
    <w:rsid w:val="000978F5"/>
    <w:rsid w:val="000A011C"/>
    <w:rsid w:val="000A0646"/>
    <w:rsid w:val="000A071F"/>
    <w:rsid w:val="000A0A4B"/>
    <w:rsid w:val="000A0E20"/>
    <w:rsid w:val="000A1189"/>
    <w:rsid w:val="000A121E"/>
    <w:rsid w:val="000A191C"/>
    <w:rsid w:val="000A1B6F"/>
    <w:rsid w:val="000A2AE2"/>
    <w:rsid w:val="000A3072"/>
    <w:rsid w:val="000A328D"/>
    <w:rsid w:val="000A35F8"/>
    <w:rsid w:val="000A384B"/>
    <w:rsid w:val="000A3A31"/>
    <w:rsid w:val="000A401A"/>
    <w:rsid w:val="000A4077"/>
    <w:rsid w:val="000A49A0"/>
    <w:rsid w:val="000A4AE0"/>
    <w:rsid w:val="000A4C94"/>
    <w:rsid w:val="000A4D49"/>
    <w:rsid w:val="000A4F2D"/>
    <w:rsid w:val="000A50A7"/>
    <w:rsid w:val="000A51A5"/>
    <w:rsid w:val="000A52A8"/>
    <w:rsid w:val="000A598B"/>
    <w:rsid w:val="000A5A98"/>
    <w:rsid w:val="000A63AE"/>
    <w:rsid w:val="000A651F"/>
    <w:rsid w:val="000A6E14"/>
    <w:rsid w:val="000A711C"/>
    <w:rsid w:val="000A72A6"/>
    <w:rsid w:val="000A753D"/>
    <w:rsid w:val="000A77D6"/>
    <w:rsid w:val="000A7944"/>
    <w:rsid w:val="000B06E8"/>
    <w:rsid w:val="000B0AFB"/>
    <w:rsid w:val="000B0E00"/>
    <w:rsid w:val="000B109D"/>
    <w:rsid w:val="000B15CD"/>
    <w:rsid w:val="000B1757"/>
    <w:rsid w:val="000B17A5"/>
    <w:rsid w:val="000B1972"/>
    <w:rsid w:val="000B1C0E"/>
    <w:rsid w:val="000B1D10"/>
    <w:rsid w:val="000B26C6"/>
    <w:rsid w:val="000B282C"/>
    <w:rsid w:val="000B2D69"/>
    <w:rsid w:val="000B2DB0"/>
    <w:rsid w:val="000B3217"/>
    <w:rsid w:val="000B35EB"/>
    <w:rsid w:val="000B3623"/>
    <w:rsid w:val="000B3705"/>
    <w:rsid w:val="000B38CA"/>
    <w:rsid w:val="000B3A11"/>
    <w:rsid w:val="000B3BC0"/>
    <w:rsid w:val="000B4277"/>
    <w:rsid w:val="000B430A"/>
    <w:rsid w:val="000B4CD0"/>
    <w:rsid w:val="000B4D0F"/>
    <w:rsid w:val="000B4E10"/>
    <w:rsid w:val="000B5134"/>
    <w:rsid w:val="000B5141"/>
    <w:rsid w:val="000B52EF"/>
    <w:rsid w:val="000B536B"/>
    <w:rsid w:val="000B597B"/>
    <w:rsid w:val="000B5E2D"/>
    <w:rsid w:val="000B64B3"/>
    <w:rsid w:val="000B6EE2"/>
    <w:rsid w:val="000B754F"/>
    <w:rsid w:val="000B7614"/>
    <w:rsid w:val="000C00D2"/>
    <w:rsid w:val="000C01B5"/>
    <w:rsid w:val="000C046B"/>
    <w:rsid w:val="000C0D49"/>
    <w:rsid w:val="000C0EBB"/>
    <w:rsid w:val="000C0EFC"/>
    <w:rsid w:val="000C1371"/>
    <w:rsid w:val="000C1432"/>
    <w:rsid w:val="000C1928"/>
    <w:rsid w:val="000C1B95"/>
    <w:rsid w:val="000C21A4"/>
    <w:rsid w:val="000C2299"/>
    <w:rsid w:val="000C3240"/>
    <w:rsid w:val="000C34C2"/>
    <w:rsid w:val="000C3571"/>
    <w:rsid w:val="000C3665"/>
    <w:rsid w:val="000C3787"/>
    <w:rsid w:val="000C38CC"/>
    <w:rsid w:val="000C39A9"/>
    <w:rsid w:val="000C3C91"/>
    <w:rsid w:val="000C3DFB"/>
    <w:rsid w:val="000C4412"/>
    <w:rsid w:val="000C4508"/>
    <w:rsid w:val="000C4798"/>
    <w:rsid w:val="000C488B"/>
    <w:rsid w:val="000C4966"/>
    <w:rsid w:val="000C4A9C"/>
    <w:rsid w:val="000C4BAC"/>
    <w:rsid w:val="000C51BB"/>
    <w:rsid w:val="000C5266"/>
    <w:rsid w:val="000C584A"/>
    <w:rsid w:val="000C5A00"/>
    <w:rsid w:val="000C5A8A"/>
    <w:rsid w:val="000C5D03"/>
    <w:rsid w:val="000C5D35"/>
    <w:rsid w:val="000C5D65"/>
    <w:rsid w:val="000C6022"/>
    <w:rsid w:val="000C623D"/>
    <w:rsid w:val="000C637B"/>
    <w:rsid w:val="000C64ED"/>
    <w:rsid w:val="000C6A63"/>
    <w:rsid w:val="000C6E8D"/>
    <w:rsid w:val="000C744F"/>
    <w:rsid w:val="000C7656"/>
    <w:rsid w:val="000C7AFC"/>
    <w:rsid w:val="000C7E80"/>
    <w:rsid w:val="000D01C5"/>
    <w:rsid w:val="000D029B"/>
    <w:rsid w:val="000D05EF"/>
    <w:rsid w:val="000D08AE"/>
    <w:rsid w:val="000D0E87"/>
    <w:rsid w:val="000D1D53"/>
    <w:rsid w:val="000D1EC0"/>
    <w:rsid w:val="000D1EFC"/>
    <w:rsid w:val="000D2831"/>
    <w:rsid w:val="000D2835"/>
    <w:rsid w:val="000D2EBF"/>
    <w:rsid w:val="000D309E"/>
    <w:rsid w:val="000D3113"/>
    <w:rsid w:val="000D349B"/>
    <w:rsid w:val="000D3A7C"/>
    <w:rsid w:val="000D3C70"/>
    <w:rsid w:val="000D3E52"/>
    <w:rsid w:val="000D410A"/>
    <w:rsid w:val="000D4AF2"/>
    <w:rsid w:val="000D4B83"/>
    <w:rsid w:val="000D4D1F"/>
    <w:rsid w:val="000D4F48"/>
    <w:rsid w:val="000D4F5D"/>
    <w:rsid w:val="000D5247"/>
    <w:rsid w:val="000D574F"/>
    <w:rsid w:val="000D579C"/>
    <w:rsid w:val="000D5CD4"/>
    <w:rsid w:val="000D60B2"/>
    <w:rsid w:val="000D6697"/>
    <w:rsid w:val="000D6768"/>
    <w:rsid w:val="000D67FB"/>
    <w:rsid w:val="000D6828"/>
    <w:rsid w:val="000D6B88"/>
    <w:rsid w:val="000D6BEA"/>
    <w:rsid w:val="000D6C0D"/>
    <w:rsid w:val="000D6C3D"/>
    <w:rsid w:val="000D70B7"/>
    <w:rsid w:val="000D72AF"/>
    <w:rsid w:val="000D7ACF"/>
    <w:rsid w:val="000E0644"/>
    <w:rsid w:val="000E1174"/>
    <w:rsid w:val="000E12F8"/>
    <w:rsid w:val="000E146C"/>
    <w:rsid w:val="000E15A3"/>
    <w:rsid w:val="000E16F8"/>
    <w:rsid w:val="000E1F80"/>
    <w:rsid w:val="000E225F"/>
    <w:rsid w:val="000E2261"/>
    <w:rsid w:val="000E269C"/>
    <w:rsid w:val="000E2997"/>
    <w:rsid w:val="000E2F5E"/>
    <w:rsid w:val="000E315F"/>
    <w:rsid w:val="000E3686"/>
    <w:rsid w:val="000E3D9B"/>
    <w:rsid w:val="000E4122"/>
    <w:rsid w:val="000E432C"/>
    <w:rsid w:val="000E44B7"/>
    <w:rsid w:val="000E468B"/>
    <w:rsid w:val="000E47CD"/>
    <w:rsid w:val="000E4B36"/>
    <w:rsid w:val="000E503D"/>
    <w:rsid w:val="000E55F1"/>
    <w:rsid w:val="000E567B"/>
    <w:rsid w:val="000E57AE"/>
    <w:rsid w:val="000E58DB"/>
    <w:rsid w:val="000E5E90"/>
    <w:rsid w:val="000E5FB8"/>
    <w:rsid w:val="000E66E1"/>
    <w:rsid w:val="000E6864"/>
    <w:rsid w:val="000E6B76"/>
    <w:rsid w:val="000E6FA8"/>
    <w:rsid w:val="000E7533"/>
    <w:rsid w:val="000E78B7"/>
    <w:rsid w:val="000E7B33"/>
    <w:rsid w:val="000F01D5"/>
    <w:rsid w:val="000F07F6"/>
    <w:rsid w:val="000F0A15"/>
    <w:rsid w:val="000F0BE6"/>
    <w:rsid w:val="000F0CDF"/>
    <w:rsid w:val="000F0DA5"/>
    <w:rsid w:val="000F1077"/>
    <w:rsid w:val="000F160E"/>
    <w:rsid w:val="000F1B65"/>
    <w:rsid w:val="000F1ECA"/>
    <w:rsid w:val="000F210A"/>
    <w:rsid w:val="000F21C1"/>
    <w:rsid w:val="000F3932"/>
    <w:rsid w:val="000F3AF4"/>
    <w:rsid w:val="000F3CE2"/>
    <w:rsid w:val="000F3DEB"/>
    <w:rsid w:val="000F443D"/>
    <w:rsid w:val="000F4615"/>
    <w:rsid w:val="000F4629"/>
    <w:rsid w:val="000F4D27"/>
    <w:rsid w:val="000F53E9"/>
    <w:rsid w:val="000F5CF1"/>
    <w:rsid w:val="000F5E70"/>
    <w:rsid w:val="000F5F6B"/>
    <w:rsid w:val="000F6029"/>
    <w:rsid w:val="000F6121"/>
    <w:rsid w:val="000F6183"/>
    <w:rsid w:val="000F6443"/>
    <w:rsid w:val="000F6A74"/>
    <w:rsid w:val="000F6EEB"/>
    <w:rsid w:val="000F71F1"/>
    <w:rsid w:val="000F72F5"/>
    <w:rsid w:val="000F74C3"/>
    <w:rsid w:val="000F77E4"/>
    <w:rsid w:val="000F7E89"/>
    <w:rsid w:val="000F7F2D"/>
    <w:rsid w:val="000F7F45"/>
    <w:rsid w:val="001000E3"/>
    <w:rsid w:val="0010040E"/>
    <w:rsid w:val="001015C8"/>
    <w:rsid w:val="001019B2"/>
    <w:rsid w:val="001021BE"/>
    <w:rsid w:val="00102201"/>
    <w:rsid w:val="001024FA"/>
    <w:rsid w:val="00102EB7"/>
    <w:rsid w:val="00102FEE"/>
    <w:rsid w:val="00103324"/>
    <w:rsid w:val="001036F2"/>
    <w:rsid w:val="00103BD4"/>
    <w:rsid w:val="001044E5"/>
    <w:rsid w:val="00104CDA"/>
    <w:rsid w:val="00104CDF"/>
    <w:rsid w:val="00104E76"/>
    <w:rsid w:val="00104F89"/>
    <w:rsid w:val="00104FCB"/>
    <w:rsid w:val="0010551E"/>
    <w:rsid w:val="00105596"/>
    <w:rsid w:val="00105820"/>
    <w:rsid w:val="00105CD0"/>
    <w:rsid w:val="00105D54"/>
    <w:rsid w:val="00105DBF"/>
    <w:rsid w:val="0010615D"/>
    <w:rsid w:val="00106230"/>
    <w:rsid w:val="0010633B"/>
    <w:rsid w:val="0010668A"/>
    <w:rsid w:val="00106A45"/>
    <w:rsid w:val="00106B62"/>
    <w:rsid w:val="00106FF5"/>
    <w:rsid w:val="00107016"/>
    <w:rsid w:val="0010710B"/>
    <w:rsid w:val="001071FF"/>
    <w:rsid w:val="0010745C"/>
    <w:rsid w:val="001074C6"/>
    <w:rsid w:val="00107832"/>
    <w:rsid w:val="00107AF3"/>
    <w:rsid w:val="00107F67"/>
    <w:rsid w:val="0011005F"/>
    <w:rsid w:val="0011015B"/>
    <w:rsid w:val="0011036D"/>
    <w:rsid w:val="001108A3"/>
    <w:rsid w:val="00110BAD"/>
    <w:rsid w:val="00110BCF"/>
    <w:rsid w:val="00110EBC"/>
    <w:rsid w:val="00110ECD"/>
    <w:rsid w:val="001110A4"/>
    <w:rsid w:val="0011179A"/>
    <w:rsid w:val="00112254"/>
    <w:rsid w:val="0011231E"/>
    <w:rsid w:val="00112D61"/>
    <w:rsid w:val="00113092"/>
    <w:rsid w:val="001133AF"/>
    <w:rsid w:val="00113461"/>
    <w:rsid w:val="001134ED"/>
    <w:rsid w:val="00113596"/>
    <w:rsid w:val="00113774"/>
    <w:rsid w:val="00113BBD"/>
    <w:rsid w:val="00113E94"/>
    <w:rsid w:val="001142E4"/>
    <w:rsid w:val="0011439E"/>
    <w:rsid w:val="001144A0"/>
    <w:rsid w:val="00114577"/>
    <w:rsid w:val="00114C2F"/>
    <w:rsid w:val="00114E5B"/>
    <w:rsid w:val="0011505E"/>
    <w:rsid w:val="00115166"/>
    <w:rsid w:val="001151F8"/>
    <w:rsid w:val="00115217"/>
    <w:rsid w:val="001153BA"/>
    <w:rsid w:val="001164F0"/>
    <w:rsid w:val="0011685A"/>
    <w:rsid w:val="00116990"/>
    <w:rsid w:val="001169FA"/>
    <w:rsid w:val="00116DBF"/>
    <w:rsid w:val="00117158"/>
    <w:rsid w:val="001176F3"/>
    <w:rsid w:val="001178CA"/>
    <w:rsid w:val="00117A5B"/>
    <w:rsid w:val="00120084"/>
    <w:rsid w:val="00120121"/>
    <w:rsid w:val="00121366"/>
    <w:rsid w:val="00121AD9"/>
    <w:rsid w:val="00122248"/>
    <w:rsid w:val="00122882"/>
    <w:rsid w:val="00122D63"/>
    <w:rsid w:val="00122E08"/>
    <w:rsid w:val="001243DA"/>
    <w:rsid w:val="00124833"/>
    <w:rsid w:val="001249D1"/>
    <w:rsid w:val="00124B23"/>
    <w:rsid w:val="00124EB3"/>
    <w:rsid w:val="001252A4"/>
    <w:rsid w:val="001253BA"/>
    <w:rsid w:val="00125E2C"/>
    <w:rsid w:val="00126425"/>
    <w:rsid w:val="0012658B"/>
    <w:rsid w:val="00126660"/>
    <w:rsid w:val="00126F70"/>
    <w:rsid w:val="00127008"/>
    <w:rsid w:val="001272DD"/>
    <w:rsid w:val="00127469"/>
    <w:rsid w:val="001274D7"/>
    <w:rsid w:val="00127865"/>
    <w:rsid w:val="00127A96"/>
    <w:rsid w:val="00127CE1"/>
    <w:rsid w:val="00127DDD"/>
    <w:rsid w:val="00127FCD"/>
    <w:rsid w:val="00130040"/>
    <w:rsid w:val="0013019B"/>
    <w:rsid w:val="00130A57"/>
    <w:rsid w:val="00130D1E"/>
    <w:rsid w:val="00130DAF"/>
    <w:rsid w:val="00130FEA"/>
    <w:rsid w:val="00131539"/>
    <w:rsid w:val="001316E8"/>
    <w:rsid w:val="001317AB"/>
    <w:rsid w:val="001317DC"/>
    <w:rsid w:val="001317F3"/>
    <w:rsid w:val="00132144"/>
    <w:rsid w:val="0013268B"/>
    <w:rsid w:val="00132B05"/>
    <w:rsid w:val="00132B22"/>
    <w:rsid w:val="00132CEB"/>
    <w:rsid w:val="00132F52"/>
    <w:rsid w:val="00133216"/>
    <w:rsid w:val="00133461"/>
    <w:rsid w:val="00133481"/>
    <w:rsid w:val="001335CD"/>
    <w:rsid w:val="001339B0"/>
    <w:rsid w:val="00133B74"/>
    <w:rsid w:val="00133BD2"/>
    <w:rsid w:val="00133F4F"/>
    <w:rsid w:val="001340AC"/>
    <w:rsid w:val="00134192"/>
    <w:rsid w:val="001346EB"/>
    <w:rsid w:val="001349C5"/>
    <w:rsid w:val="00134E7A"/>
    <w:rsid w:val="00135454"/>
    <w:rsid w:val="0013547F"/>
    <w:rsid w:val="0013549B"/>
    <w:rsid w:val="00135608"/>
    <w:rsid w:val="001359BD"/>
    <w:rsid w:val="00135DB7"/>
    <w:rsid w:val="00135EF1"/>
    <w:rsid w:val="00136135"/>
    <w:rsid w:val="001366F9"/>
    <w:rsid w:val="00137990"/>
    <w:rsid w:val="001402E6"/>
    <w:rsid w:val="001405D3"/>
    <w:rsid w:val="001406F3"/>
    <w:rsid w:val="00140ABC"/>
    <w:rsid w:val="00140E4E"/>
    <w:rsid w:val="00140F83"/>
    <w:rsid w:val="00141056"/>
    <w:rsid w:val="001417D0"/>
    <w:rsid w:val="00141B48"/>
    <w:rsid w:val="00141F3D"/>
    <w:rsid w:val="00142006"/>
    <w:rsid w:val="00142396"/>
    <w:rsid w:val="001423D8"/>
    <w:rsid w:val="00142875"/>
    <w:rsid w:val="00142B62"/>
    <w:rsid w:val="00142CB6"/>
    <w:rsid w:val="00142DA8"/>
    <w:rsid w:val="00143470"/>
    <w:rsid w:val="0014379A"/>
    <w:rsid w:val="00143CA4"/>
    <w:rsid w:val="00143FF7"/>
    <w:rsid w:val="00144092"/>
    <w:rsid w:val="001441B7"/>
    <w:rsid w:val="001444F8"/>
    <w:rsid w:val="00144A2C"/>
    <w:rsid w:val="00144CB2"/>
    <w:rsid w:val="00144DBD"/>
    <w:rsid w:val="00144F24"/>
    <w:rsid w:val="00144F6C"/>
    <w:rsid w:val="001450CE"/>
    <w:rsid w:val="001451ED"/>
    <w:rsid w:val="0014552F"/>
    <w:rsid w:val="00145983"/>
    <w:rsid w:val="00145DEC"/>
    <w:rsid w:val="00145FF5"/>
    <w:rsid w:val="001460EB"/>
    <w:rsid w:val="001463C6"/>
    <w:rsid w:val="0014663C"/>
    <w:rsid w:val="001467BB"/>
    <w:rsid w:val="00146951"/>
    <w:rsid w:val="00146AC7"/>
    <w:rsid w:val="00146B44"/>
    <w:rsid w:val="00146EDC"/>
    <w:rsid w:val="0014717F"/>
    <w:rsid w:val="0014728C"/>
    <w:rsid w:val="00147562"/>
    <w:rsid w:val="0014771E"/>
    <w:rsid w:val="0015029D"/>
    <w:rsid w:val="001502A6"/>
    <w:rsid w:val="00150373"/>
    <w:rsid w:val="001506DD"/>
    <w:rsid w:val="001506FF"/>
    <w:rsid w:val="00150916"/>
    <w:rsid w:val="00150B21"/>
    <w:rsid w:val="00150E6E"/>
    <w:rsid w:val="0015110A"/>
    <w:rsid w:val="00151375"/>
    <w:rsid w:val="001516CB"/>
    <w:rsid w:val="0015180B"/>
    <w:rsid w:val="001519CF"/>
    <w:rsid w:val="00151D23"/>
    <w:rsid w:val="00151D80"/>
    <w:rsid w:val="001520B4"/>
    <w:rsid w:val="00152336"/>
    <w:rsid w:val="00152631"/>
    <w:rsid w:val="001528A4"/>
    <w:rsid w:val="00152E16"/>
    <w:rsid w:val="00153366"/>
    <w:rsid w:val="001535F7"/>
    <w:rsid w:val="0015375D"/>
    <w:rsid w:val="00153982"/>
    <w:rsid w:val="00153AE3"/>
    <w:rsid w:val="00153AEA"/>
    <w:rsid w:val="0015496D"/>
    <w:rsid w:val="001549BC"/>
    <w:rsid w:val="00154A6D"/>
    <w:rsid w:val="00154BEC"/>
    <w:rsid w:val="00154CF5"/>
    <w:rsid w:val="00154DEE"/>
    <w:rsid w:val="00154F18"/>
    <w:rsid w:val="001550CB"/>
    <w:rsid w:val="00155306"/>
    <w:rsid w:val="0015590B"/>
    <w:rsid w:val="00155C49"/>
    <w:rsid w:val="00155CE5"/>
    <w:rsid w:val="00155D62"/>
    <w:rsid w:val="00156024"/>
    <w:rsid w:val="00156302"/>
    <w:rsid w:val="001563FE"/>
    <w:rsid w:val="00156D34"/>
    <w:rsid w:val="001572F3"/>
    <w:rsid w:val="00157690"/>
    <w:rsid w:val="00157B8B"/>
    <w:rsid w:val="00157BE6"/>
    <w:rsid w:val="0016011F"/>
    <w:rsid w:val="00160B13"/>
    <w:rsid w:val="00160B16"/>
    <w:rsid w:val="00160BB9"/>
    <w:rsid w:val="00161275"/>
    <w:rsid w:val="0016133C"/>
    <w:rsid w:val="0016193D"/>
    <w:rsid w:val="001619C7"/>
    <w:rsid w:val="00161E70"/>
    <w:rsid w:val="0016273D"/>
    <w:rsid w:val="001627D4"/>
    <w:rsid w:val="0016299E"/>
    <w:rsid w:val="00162ACA"/>
    <w:rsid w:val="00162EFF"/>
    <w:rsid w:val="0016338D"/>
    <w:rsid w:val="00163450"/>
    <w:rsid w:val="00163500"/>
    <w:rsid w:val="00164105"/>
    <w:rsid w:val="0016441A"/>
    <w:rsid w:val="001644D0"/>
    <w:rsid w:val="00164612"/>
    <w:rsid w:val="00164816"/>
    <w:rsid w:val="00164DBE"/>
    <w:rsid w:val="001653E5"/>
    <w:rsid w:val="0016547D"/>
    <w:rsid w:val="0016617B"/>
    <w:rsid w:val="001661D5"/>
    <w:rsid w:val="001663C4"/>
    <w:rsid w:val="00166403"/>
    <w:rsid w:val="0016674B"/>
    <w:rsid w:val="00166840"/>
    <w:rsid w:val="00166A26"/>
    <w:rsid w:val="00166A6B"/>
    <w:rsid w:val="00166C2F"/>
    <w:rsid w:val="00166CEE"/>
    <w:rsid w:val="001675E0"/>
    <w:rsid w:val="001677E7"/>
    <w:rsid w:val="00167827"/>
    <w:rsid w:val="00167C6F"/>
    <w:rsid w:val="00170840"/>
    <w:rsid w:val="00170CBA"/>
    <w:rsid w:val="001710FA"/>
    <w:rsid w:val="00171211"/>
    <w:rsid w:val="001713EE"/>
    <w:rsid w:val="00171432"/>
    <w:rsid w:val="00171713"/>
    <w:rsid w:val="00171C3A"/>
    <w:rsid w:val="00171C7B"/>
    <w:rsid w:val="00171D2F"/>
    <w:rsid w:val="00171FD8"/>
    <w:rsid w:val="001724A4"/>
    <w:rsid w:val="0017250B"/>
    <w:rsid w:val="00172578"/>
    <w:rsid w:val="001727DA"/>
    <w:rsid w:val="00172809"/>
    <w:rsid w:val="00172A26"/>
    <w:rsid w:val="00172C8B"/>
    <w:rsid w:val="00172D5C"/>
    <w:rsid w:val="00172E95"/>
    <w:rsid w:val="00172F47"/>
    <w:rsid w:val="001730E0"/>
    <w:rsid w:val="00174D1D"/>
    <w:rsid w:val="00174ED2"/>
    <w:rsid w:val="00174FA0"/>
    <w:rsid w:val="0017539D"/>
    <w:rsid w:val="001755BA"/>
    <w:rsid w:val="00175787"/>
    <w:rsid w:val="00175885"/>
    <w:rsid w:val="00175A8B"/>
    <w:rsid w:val="00175FD7"/>
    <w:rsid w:val="001762F1"/>
    <w:rsid w:val="0017675C"/>
    <w:rsid w:val="0017675F"/>
    <w:rsid w:val="00176EB0"/>
    <w:rsid w:val="00176F0A"/>
    <w:rsid w:val="0017706D"/>
    <w:rsid w:val="0017780A"/>
    <w:rsid w:val="0017782A"/>
    <w:rsid w:val="00177E8F"/>
    <w:rsid w:val="00180508"/>
    <w:rsid w:val="00180735"/>
    <w:rsid w:val="00180943"/>
    <w:rsid w:val="001809D7"/>
    <w:rsid w:val="00180D7C"/>
    <w:rsid w:val="00180D8A"/>
    <w:rsid w:val="00180F77"/>
    <w:rsid w:val="001810C5"/>
    <w:rsid w:val="001821A5"/>
    <w:rsid w:val="00182338"/>
    <w:rsid w:val="00182710"/>
    <w:rsid w:val="00183274"/>
    <w:rsid w:val="001833C2"/>
    <w:rsid w:val="00183C00"/>
    <w:rsid w:val="00183F9C"/>
    <w:rsid w:val="00184064"/>
    <w:rsid w:val="0018423B"/>
    <w:rsid w:val="00184565"/>
    <w:rsid w:val="001847E2"/>
    <w:rsid w:val="00184954"/>
    <w:rsid w:val="00184AE3"/>
    <w:rsid w:val="00185199"/>
    <w:rsid w:val="00185228"/>
    <w:rsid w:val="00185519"/>
    <w:rsid w:val="0018564F"/>
    <w:rsid w:val="0018567B"/>
    <w:rsid w:val="00185868"/>
    <w:rsid w:val="00185ACE"/>
    <w:rsid w:val="00185CE2"/>
    <w:rsid w:val="00185D52"/>
    <w:rsid w:val="00186195"/>
    <w:rsid w:val="00186641"/>
    <w:rsid w:val="00186B40"/>
    <w:rsid w:val="00186C08"/>
    <w:rsid w:val="00186EE1"/>
    <w:rsid w:val="00186F26"/>
    <w:rsid w:val="00187310"/>
    <w:rsid w:val="00187BF7"/>
    <w:rsid w:val="001903CC"/>
    <w:rsid w:val="001908D8"/>
    <w:rsid w:val="00190FE5"/>
    <w:rsid w:val="0019115F"/>
    <w:rsid w:val="0019150D"/>
    <w:rsid w:val="0019158F"/>
    <w:rsid w:val="001918C7"/>
    <w:rsid w:val="00191A78"/>
    <w:rsid w:val="00191F1B"/>
    <w:rsid w:val="00191FA1"/>
    <w:rsid w:val="00192C40"/>
    <w:rsid w:val="00192D52"/>
    <w:rsid w:val="00192DD9"/>
    <w:rsid w:val="00192FC9"/>
    <w:rsid w:val="001930D2"/>
    <w:rsid w:val="00193133"/>
    <w:rsid w:val="00193298"/>
    <w:rsid w:val="001935D9"/>
    <w:rsid w:val="001939E1"/>
    <w:rsid w:val="00193F7F"/>
    <w:rsid w:val="00194107"/>
    <w:rsid w:val="001942C1"/>
    <w:rsid w:val="00194420"/>
    <w:rsid w:val="001944BC"/>
    <w:rsid w:val="00194510"/>
    <w:rsid w:val="00194591"/>
    <w:rsid w:val="00194B45"/>
    <w:rsid w:val="00194C3E"/>
    <w:rsid w:val="00194D0C"/>
    <w:rsid w:val="00194D59"/>
    <w:rsid w:val="00195382"/>
    <w:rsid w:val="00195B81"/>
    <w:rsid w:val="00195BA6"/>
    <w:rsid w:val="00195BD9"/>
    <w:rsid w:val="00195C73"/>
    <w:rsid w:val="00195CCA"/>
    <w:rsid w:val="00195E94"/>
    <w:rsid w:val="00195EF8"/>
    <w:rsid w:val="001961B2"/>
    <w:rsid w:val="00196300"/>
    <w:rsid w:val="00196934"/>
    <w:rsid w:val="00196CD5"/>
    <w:rsid w:val="00196CE2"/>
    <w:rsid w:val="001978E3"/>
    <w:rsid w:val="00197C30"/>
    <w:rsid w:val="00197D42"/>
    <w:rsid w:val="00197DD6"/>
    <w:rsid w:val="001A0165"/>
    <w:rsid w:val="001A09B9"/>
    <w:rsid w:val="001A0D22"/>
    <w:rsid w:val="001A0E87"/>
    <w:rsid w:val="001A0FEB"/>
    <w:rsid w:val="001A1584"/>
    <w:rsid w:val="001A15D5"/>
    <w:rsid w:val="001A1CC7"/>
    <w:rsid w:val="001A26F9"/>
    <w:rsid w:val="001A281A"/>
    <w:rsid w:val="001A2947"/>
    <w:rsid w:val="001A2EB7"/>
    <w:rsid w:val="001A2F52"/>
    <w:rsid w:val="001A32E8"/>
    <w:rsid w:val="001A35E9"/>
    <w:rsid w:val="001A3849"/>
    <w:rsid w:val="001A3BEA"/>
    <w:rsid w:val="001A3D34"/>
    <w:rsid w:val="001A3D67"/>
    <w:rsid w:val="001A4152"/>
    <w:rsid w:val="001A6165"/>
    <w:rsid w:val="001A6576"/>
    <w:rsid w:val="001A65B1"/>
    <w:rsid w:val="001A6A50"/>
    <w:rsid w:val="001A6AB6"/>
    <w:rsid w:val="001A71E4"/>
    <w:rsid w:val="001A721D"/>
    <w:rsid w:val="001A7749"/>
    <w:rsid w:val="001A7983"/>
    <w:rsid w:val="001A7AB7"/>
    <w:rsid w:val="001A7EA5"/>
    <w:rsid w:val="001A7FF1"/>
    <w:rsid w:val="001B028E"/>
    <w:rsid w:val="001B02F8"/>
    <w:rsid w:val="001B03B7"/>
    <w:rsid w:val="001B048D"/>
    <w:rsid w:val="001B0803"/>
    <w:rsid w:val="001B0DC8"/>
    <w:rsid w:val="001B12F3"/>
    <w:rsid w:val="001B1640"/>
    <w:rsid w:val="001B16CE"/>
    <w:rsid w:val="001B2063"/>
    <w:rsid w:val="001B269E"/>
    <w:rsid w:val="001B289F"/>
    <w:rsid w:val="001B2CA0"/>
    <w:rsid w:val="001B2CB6"/>
    <w:rsid w:val="001B2D89"/>
    <w:rsid w:val="001B3029"/>
    <w:rsid w:val="001B33AB"/>
    <w:rsid w:val="001B35B7"/>
    <w:rsid w:val="001B3916"/>
    <w:rsid w:val="001B3A32"/>
    <w:rsid w:val="001B3D4A"/>
    <w:rsid w:val="001B4016"/>
    <w:rsid w:val="001B4325"/>
    <w:rsid w:val="001B4514"/>
    <w:rsid w:val="001B45DE"/>
    <w:rsid w:val="001B4CEB"/>
    <w:rsid w:val="001B4D30"/>
    <w:rsid w:val="001B4E8A"/>
    <w:rsid w:val="001B526A"/>
    <w:rsid w:val="001B53FE"/>
    <w:rsid w:val="001B5512"/>
    <w:rsid w:val="001B5696"/>
    <w:rsid w:val="001B634B"/>
    <w:rsid w:val="001B6A1B"/>
    <w:rsid w:val="001B6B37"/>
    <w:rsid w:val="001B6CB3"/>
    <w:rsid w:val="001B6E3E"/>
    <w:rsid w:val="001B70B6"/>
    <w:rsid w:val="001B741F"/>
    <w:rsid w:val="001B7630"/>
    <w:rsid w:val="001B7731"/>
    <w:rsid w:val="001B78D0"/>
    <w:rsid w:val="001B7C95"/>
    <w:rsid w:val="001C0329"/>
    <w:rsid w:val="001C05EC"/>
    <w:rsid w:val="001C06C1"/>
    <w:rsid w:val="001C09C2"/>
    <w:rsid w:val="001C0E58"/>
    <w:rsid w:val="001C1508"/>
    <w:rsid w:val="001C1717"/>
    <w:rsid w:val="001C1781"/>
    <w:rsid w:val="001C181A"/>
    <w:rsid w:val="001C1B2B"/>
    <w:rsid w:val="001C1CEC"/>
    <w:rsid w:val="001C3018"/>
    <w:rsid w:val="001C311F"/>
    <w:rsid w:val="001C3602"/>
    <w:rsid w:val="001C373E"/>
    <w:rsid w:val="001C398E"/>
    <w:rsid w:val="001C3CE3"/>
    <w:rsid w:val="001C448B"/>
    <w:rsid w:val="001C457D"/>
    <w:rsid w:val="001C48E4"/>
    <w:rsid w:val="001C4A71"/>
    <w:rsid w:val="001C4B2C"/>
    <w:rsid w:val="001C4BD2"/>
    <w:rsid w:val="001C4C36"/>
    <w:rsid w:val="001C4D9D"/>
    <w:rsid w:val="001C4E81"/>
    <w:rsid w:val="001C51BB"/>
    <w:rsid w:val="001C534A"/>
    <w:rsid w:val="001C539A"/>
    <w:rsid w:val="001C5540"/>
    <w:rsid w:val="001C58D3"/>
    <w:rsid w:val="001C5912"/>
    <w:rsid w:val="001C5EB5"/>
    <w:rsid w:val="001C5ECC"/>
    <w:rsid w:val="001C61C5"/>
    <w:rsid w:val="001C64C1"/>
    <w:rsid w:val="001C66D1"/>
    <w:rsid w:val="001C69C4"/>
    <w:rsid w:val="001C6A71"/>
    <w:rsid w:val="001C6DDE"/>
    <w:rsid w:val="001C74FB"/>
    <w:rsid w:val="001C7709"/>
    <w:rsid w:val="001C7A73"/>
    <w:rsid w:val="001C7B93"/>
    <w:rsid w:val="001C7BC4"/>
    <w:rsid w:val="001C7EFF"/>
    <w:rsid w:val="001D023B"/>
    <w:rsid w:val="001D0675"/>
    <w:rsid w:val="001D0808"/>
    <w:rsid w:val="001D08C5"/>
    <w:rsid w:val="001D0A72"/>
    <w:rsid w:val="001D0CAA"/>
    <w:rsid w:val="001D0DE0"/>
    <w:rsid w:val="001D0DE1"/>
    <w:rsid w:val="001D0FCD"/>
    <w:rsid w:val="001D12C6"/>
    <w:rsid w:val="001D13C9"/>
    <w:rsid w:val="001D1CC8"/>
    <w:rsid w:val="001D2162"/>
    <w:rsid w:val="001D2328"/>
    <w:rsid w:val="001D26D9"/>
    <w:rsid w:val="001D290E"/>
    <w:rsid w:val="001D2EC8"/>
    <w:rsid w:val="001D2ED8"/>
    <w:rsid w:val="001D34C5"/>
    <w:rsid w:val="001D360E"/>
    <w:rsid w:val="001D37EF"/>
    <w:rsid w:val="001D3A50"/>
    <w:rsid w:val="001D3BE0"/>
    <w:rsid w:val="001D3E30"/>
    <w:rsid w:val="001D44AA"/>
    <w:rsid w:val="001D4707"/>
    <w:rsid w:val="001D486C"/>
    <w:rsid w:val="001D4967"/>
    <w:rsid w:val="001D4C5C"/>
    <w:rsid w:val="001D4FEC"/>
    <w:rsid w:val="001D6225"/>
    <w:rsid w:val="001D67EC"/>
    <w:rsid w:val="001D69E9"/>
    <w:rsid w:val="001D6A3A"/>
    <w:rsid w:val="001D6A62"/>
    <w:rsid w:val="001D6B9B"/>
    <w:rsid w:val="001D6EAB"/>
    <w:rsid w:val="001D7424"/>
    <w:rsid w:val="001D77E6"/>
    <w:rsid w:val="001D7B7E"/>
    <w:rsid w:val="001D7CAF"/>
    <w:rsid w:val="001E01D2"/>
    <w:rsid w:val="001E044D"/>
    <w:rsid w:val="001E0C5D"/>
    <w:rsid w:val="001E11DF"/>
    <w:rsid w:val="001E145E"/>
    <w:rsid w:val="001E14EA"/>
    <w:rsid w:val="001E1778"/>
    <w:rsid w:val="001E1AAE"/>
    <w:rsid w:val="001E1B96"/>
    <w:rsid w:val="001E1C42"/>
    <w:rsid w:val="001E1E6E"/>
    <w:rsid w:val="001E21AC"/>
    <w:rsid w:val="001E25A9"/>
    <w:rsid w:val="001E25FE"/>
    <w:rsid w:val="001E27C9"/>
    <w:rsid w:val="001E28B8"/>
    <w:rsid w:val="001E2B8C"/>
    <w:rsid w:val="001E3245"/>
    <w:rsid w:val="001E3590"/>
    <w:rsid w:val="001E35A4"/>
    <w:rsid w:val="001E3960"/>
    <w:rsid w:val="001E3ABE"/>
    <w:rsid w:val="001E3AF2"/>
    <w:rsid w:val="001E3BC0"/>
    <w:rsid w:val="001E445C"/>
    <w:rsid w:val="001E4D9A"/>
    <w:rsid w:val="001E4FE6"/>
    <w:rsid w:val="001E559C"/>
    <w:rsid w:val="001E5703"/>
    <w:rsid w:val="001E5C82"/>
    <w:rsid w:val="001E5E31"/>
    <w:rsid w:val="001E6067"/>
    <w:rsid w:val="001E683D"/>
    <w:rsid w:val="001E6867"/>
    <w:rsid w:val="001E7407"/>
    <w:rsid w:val="001E7540"/>
    <w:rsid w:val="001E7587"/>
    <w:rsid w:val="001E7D21"/>
    <w:rsid w:val="001E7D89"/>
    <w:rsid w:val="001E7E4F"/>
    <w:rsid w:val="001E7EFB"/>
    <w:rsid w:val="001F0930"/>
    <w:rsid w:val="001F0B94"/>
    <w:rsid w:val="001F103A"/>
    <w:rsid w:val="001F117D"/>
    <w:rsid w:val="001F12F0"/>
    <w:rsid w:val="001F14C6"/>
    <w:rsid w:val="001F159D"/>
    <w:rsid w:val="001F1BDE"/>
    <w:rsid w:val="001F1EED"/>
    <w:rsid w:val="001F1F0B"/>
    <w:rsid w:val="001F20C8"/>
    <w:rsid w:val="001F269A"/>
    <w:rsid w:val="001F2A4C"/>
    <w:rsid w:val="001F2A85"/>
    <w:rsid w:val="001F2B57"/>
    <w:rsid w:val="001F311A"/>
    <w:rsid w:val="001F333D"/>
    <w:rsid w:val="001F344F"/>
    <w:rsid w:val="001F35A7"/>
    <w:rsid w:val="001F3815"/>
    <w:rsid w:val="001F3A59"/>
    <w:rsid w:val="001F3ABD"/>
    <w:rsid w:val="001F3E52"/>
    <w:rsid w:val="001F3F96"/>
    <w:rsid w:val="001F5289"/>
    <w:rsid w:val="001F5579"/>
    <w:rsid w:val="001F5649"/>
    <w:rsid w:val="001F5979"/>
    <w:rsid w:val="001F59B3"/>
    <w:rsid w:val="001F59BC"/>
    <w:rsid w:val="001F5D5C"/>
    <w:rsid w:val="001F5D5E"/>
    <w:rsid w:val="001F5E61"/>
    <w:rsid w:val="001F5E62"/>
    <w:rsid w:val="001F5E67"/>
    <w:rsid w:val="001F6219"/>
    <w:rsid w:val="001F68ED"/>
    <w:rsid w:val="001F6C3D"/>
    <w:rsid w:val="001F6CD4"/>
    <w:rsid w:val="001F6FDC"/>
    <w:rsid w:val="001F7238"/>
    <w:rsid w:val="001F78BF"/>
    <w:rsid w:val="001F7A49"/>
    <w:rsid w:val="001F7AF2"/>
    <w:rsid w:val="001F7D9B"/>
    <w:rsid w:val="002001A3"/>
    <w:rsid w:val="0020066B"/>
    <w:rsid w:val="0020092B"/>
    <w:rsid w:val="00200C37"/>
    <w:rsid w:val="00200F2E"/>
    <w:rsid w:val="00200FF9"/>
    <w:rsid w:val="00201272"/>
    <w:rsid w:val="0020203C"/>
    <w:rsid w:val="00202719"/>
    <w:rsid w:val="00202795"/>
    <w:rsid w:val="00202F70"/>
    <w:rsid w:val="002031CB"/>
    <w:rsid w:val="002036A7"/>
    <w:rsid w:val="0020424A"/>
    <w:rsid w:val="00204303"/>
    <w:rsid w:val="002044A8"/>
    <w:rsid w:val="00205596"/>
    <w:rsid w:val="00205980"/>
    <w:rsid w:val="002060BB"/>
    <w:rsid w:val="002069FE"/>
    <w:rsid w:val="00206A82"/>
    <w:rsid w:val="00206C4D"/>
    <w:rsid w:val="0020728C"/>
    <w:rsid w:val="002073CE"/>
    <w:rsid w:val="0020760D"/>
    <w:rsid w:val="00207649"/>
    <w:rsid w:val="0020785A"/>
    <w:rsid w:val="0020795A"/>
    <w:rsid w:val="00207D26"/>
    <w:rsid w:val="00207D2D"/>
    <w:rsid w:val="00207D74"/>
    <w:rsid w:val="00207ED8"/>
    <w:rsid w:val="002101C2"/>
    <w:rsid w:val="00210294"/>
    <w:rsid w:val="002103C5"/>
    <w:rsid w:val="00210596"/>
    <w:rsid w:val="00210B44"/>
    <w:rsid w:val="00210D11"/>
    <w:rsid w:val="00211092"/>
    <w:rsid w:val="00211160"/>
    <w:rsid w:val="002112B0"/>
    <w:rsid w:val="00211594"/>
    <w:rsid w:val="0021167D"/>
    <w:rsid w:val="00211A38"/>
    <w:rsid w:val="00211A6D"/>
    <w:rsid w:val="00211C35"/>
    <w:rsid w:val="00211D0D"/>
    <w:rsid w:val="00211D0E"/>
    <w:rsid w:val="00212323"/>
    <w:rsid w:val="00212356"/>
    <w:rsid w:val="0021298F"/>
    <w:rsid w:val="00212CC8"/>
    <w:rsid w:val="00212D1A"/>
    <w:rsid w:val="0021331B"/>
    <w:rsid w:val="0021410C"/>
    <w:rsid w:val="00214980"/>
    <w:rsid w:val="00214B48"/>
    <w:rsid w:val="00215104"/>
    <w:rsid w:val="002151B2"/>
    <w:rsid w:val="002155A0"/>
    <w:rsid w:val="00215AF1"/>
    <w:rsid w:val="0021619A"/>
    <w:rsid w:val="002161F4"/>
    <w:rsid w:val="00216285"/>
    <w:rsid w:val="002167B8"/>
    <w:rsid w:val="00216B39"/>
    <w:rsid w:val="00216C26"/>
    <w:rsid w:val="00216D0F"/>
    <w:rsid w:val="00216F31"/>
    <w:rsid w:val="002171A4"/>
    <w:rsid w:val="002173BD"/>
    <w:rsid w:val="00217436"/>
    <w:rsid w:val="00217506"/>
    <w:rsid w:val="00217CAF"/>
    <w:rsid w:val="00217D7A"/>
    <w:rsid w:val="00217D9E"/>
    <w:rsid w:val="0022022D"/>
    <w:rsid w:val="00220C33"/>
    <w:rsid w:val="00220C3F"/>
    <w:rsid w:val="00221010"/>
    <w:rsid w:val="00221333"/>
    <w:rsid w:val="0022140D"/>
    <w:rsid w:val="00221553"/>
    <w:rsid w:val="002215CF"/>
    <w:rsid w:val="0022182A"/>
    <w:rsid w:val="002219AA"/>
    <w:rsid w:val="00221C2F"/>
    <w:rsid w:val="00221C72"/>
    <w:rsid w:val="00221D1A"/>
    <w:rsid w:val="00221D75"/>
    <w:rsid w:val="00221FE2"/>
    <w:rsid w:val="0022224A"/>
    <w:rsid w:val="00222743"/>
    <w:rsid w:val="00222B1E"/>
    <w:rsid w:val="00222E2E"/>
    <w:rsid w:val="00222E38"/>
    <w:rsid w:val="00222FCC"/>
    <w:rsid w:val="00223414"/>
    <w:rsid w:val="002236B9"/>
    <w:rsid w:val="0022416C"/>
    <w:rsid w:val="00224A2D"/>
    <w:rsid w:val="00224CE7"/>
    <w:rsid w:val="00224DCE"/>
    <w:rsid w:val="00224E0A"/>
    <w:rsid w:val="002251A3"/>
    <w:rsid w:val="002252F1"/>
    <w:rsid w:val="0022537A"/>
    <w:rsid w:val="00225432"/>
    <w:rsid w:val="00225545"/>
    <w:rsid w:val="00225A28"/>
    <w:rsid w:val="00225CA4"/>
    <w:rsid w:val="002262B9"/>
    <w:rsid w:val="002302DD"/>
    <w:rsid w:val="0023036E"/>
    <w:rsid w:val="00230426"/>
    <w:rsid w:val="002305DD"/>
    <w:rsid w:val="00230B99"/>
    <w:rsid w:val="00230C9B"/>
    <w:rsid w:val="00231FB4"/>
    <w:rsid w:val="002321E8"/>
    <w:rsid w:val="00232984"/>
    <w:rsid w:val="00232AE4"/>
    <w:rsid w:val="00232E32"/>
    <w:rsid w:val="002330B4"/>
    <w:rsid w:val="0023407B"/>
    <w:rsid w:val="002352F7"/>
    <w:rsid w:val="0023590D"/>
    <w:rsid w:val="00235AAE"/>
    <w:rsid w:val="00235E51"/>
    <w:rsid w:val="0023602C"/>
    <w:rsid w:val="002360DD"/>
    <w:rsid w:val="00236196"/>
    <w:rsid w:val="002361C6"/>
    <w:rsid w:val="00236581"/>
    <w:rsid w:val="002366D6"/>
    <w:rsid w:val="00236A9D"/>
    <w:rsid w:val="00236CA3"/>
    <w:rsid w:val="002372C7"/>
    <w:rsid w:val="0023731A"/>
    <w:rsid w:val="002373B6"/>
    <w:rsid w:val="00237777"/>
    <w:rsid w:val="00237905"/>
    <w:rsid w:val="00237EB8"/>
    <w:rsid w:val="0024010F"/>
    <w:rsid w:val="00240349"/>
    <w:rsid w:val="00240363"/>
    <w:rsid w:val="002403AE"/>
    <w:rsid w:val="0024067B"/>
    <w:rsid w:val="00240749"/>
    <w:rsid w:val="002408DD"/>
    <w:rsid w:val="002409CC"/>
    <w:rsid w:val="0024162E"/>
    <w:rsid w:val="00242104"/>
    <w:rsid w:val="00242663"/>
    <w:rsid w:val="00242924"/>
    <w:rsid w:val="00242B7B"/>
    <w:rsid w:val="00242CE2"/>
    <w:rsid w:val="00242F40"/>
    <w:rsid w:val="00242FB9"/>
    <w:rsid w:val="00242FF5"/>
    <w:rsid w:val="00242FF7"/>
    <w:rsid w:val="00243018"/>
    <w:rsid w:val="002434CA"/>
    <w:rsid w:val="0024357D"/>
    <w:rsid w:val="00243B2C"/>
    <w:rsid w:val="002445E3"/>
    <w:rsid w:val="002446B4"/>
    <w:rsid w:val="00244AF6"/>
    <w:rsid w:val="00245257"/>
    <w:rsid w:val="00245EED"/>
    <w:rsid w:val="00246275"/>
    <w:rsid w:val="0024647B"/>
    <w:rsid w:val="00246591"/>
    <w:rsid w:val="0024660A"/>
    <w:rsid w:val="00246676"/>
    <w:rsid w:val="00246E07"/>
    <w:rsid w:val="002474F7"/>
    <w:rsid w:val="002477B9"/>
    <w:rsid w:val="00247804"/>
    <w:rsid w:val="002500D1"/>
    <w:rsid w:val="002502BC"/>
    <w:rsid w:val="002502DE"/>
    <w:rsid w:val="00250430"/>
    <w:rsid w:val="002509B4"/>
    <w:rsid w:val="002509CC"/>
    <w:rsid w:val="00250B4B"/>
    <w:rsid w:val="0025160F"/>
    <w:rsid w:val="002517D6"/>
    <w:rsid w:val="00251B58"/>
    <w:rsid w:val="00251E52"/>
    <w:rsid w:val="00251E53"/>
    <w:rsid w:val="0025308C"/>
    <w:rsid w:val="002530A9"/>
    <w:rsid w:val="0025312A"/>
    <w:rsid w:val="00253265"/>
    <w:rsid w:val="00253471"/>
    <w:rsid w:val="00253770"/>
    <w:rsid w:val="00253B41"/>
    <w:rsid w:val="00253BED"/>
    <w:rsid w:val="002540E7"/>
    <w:rsid w:val="00254311"/>
    <w:rsid w:val="00254416"/>
    <w:rsid w:val="002544BC"/>
    <w:rsid w:val="002544DA"/>
    <w:rsid w:val="00254979"/>
    <w:rsid w:val="00254BA9"/>
    <w:rsid w:val="00254EFF"/>
    <w:rsid w:val="00254F1A"/>
    <w:rsid w:val="00255137"/>
    <w:rsid w:val="00255159"/>
    <w:rsid w:val="0025532F"/>
    <w:rsid w:val="00255408"/>
    <w:rsid w:val="00255566"/>
    <w:rsid w:val="0025578C"/>
    <w:rsid w:val="00255D01"/>
    <w:rsid w:val="002564A4"/>
    <w:rsid w:val="002564D1"/>
    <w:rsid w:val="002565CA"/>
    <w:rsid w:val="00256A06"/>
    <w:rsid w:val="00256C5F"/>
    <w:rsid w:val="00257036"/>
    <w:rsid w:val="0025748E"/>
    <w:rsid w:val="00257D8B"/>
    <w:rsid w:val="002600A5"/>
    <w:rsid w:val="002604A7"/>
    <w:rsid w:val="0026055F"/>
    <w:rsid w:val="00260A76"/>
    <w:rsid w:val="00260C8A"/>
    <w:rsid w:val="00260ECE"/>
    <w:rsid w:val="002611C3"/>
    <w:rsid w:val="002612AF"/>
    <w:rsid w:val="00261371"/>
    <w:rsid w:val="002615DC"/>
    <w:rsid w:val="00261F06"/>
    <w:rsid w:val="00262326"/>
    <w:rsid w:val="0026236C"/>
    <w:rsid w:val="00262793"/>
    <w:rsid w:val="0026286F"/>
    <w:rsid w:val="00262B2B"/>
    <w:rsid w:val="002634DD"/>
    <w:rsid w:val="002635C1"/>
    <w:rsid w:val="002635C6"/>
    <w:rsid w:val="002638B3"/>
    <w:rsid w:val="00263BAA"/>
    <w:rsid w:val="00264207"/>
    <w:rsid w:val="0026425C"/>
    <w:rsid w:val="0026431D"/>
    <w:rsid w:val="002648C4"/>
    <w:rsid w:val="00264A87"/>
    <w:rsid w:val="00265161"/>
    <w:rsid w:val="00265585"/>
    <w:rsid w:val="00265EFC"/>
    <w:rsid w:val="0026658B"/>
    <w:rsid w:val="00266644"/>
    <w:rsid w:val="0026673B"/>
    <w:rsid w:val="00266B86"/>
    <w:rsid w:val="00266CC5"/>
    <w:rsid w:val="0026722C"/>
    <w:rsid w:val="0026736C"/>
    <w:rsid w:val="0026741E"/>
    <w:rsid w:val="00267858"/>
    <w:rsid w:val="00267869"/>
    <w:rsid w:val="0026799A"/>
    <w:rsid w:val="00267C7C"/>
    <w:rsid w:val="002700B5"/>
    <w:rsid w:val="00270165"/>
    <w:rsid w:val="002703BC"/>
    <w:rsid w:val="002704CC"/>
    <w:rsid w:val="0027074E"/>
    <w:rsid w:val="00270E54"/>
    <w:rsid w:val="00270F08"/>
    <w:rsid w:val="00271148"/>
    <w:rsid w:val="00271668"/>
    <w:rsid w:val="002716E8"/>
    <w:rsid w:val="002718F9"/>
    <w:rsid w:val="00271A63"/>
    <w:rsid w:val="0027200B"/>
    <w:rsid w:val="002724BA"/>
    <w:rsid w:val="002726DC"/>
    <w:rsid w:val="00272FAB"/>
    <w:rsid w:val="002736B6"/>
    <w:rsid w:val="00273EA8"/>
    <w:rsid w:val="00273ECC"/>
    <w:rsid w:val="002742EC"/>
    <w:rsid w:val="0027433C"/>
    <w:rsid w:val="002748C2"/>
    <w:rsid w:val="00274BAF"/>
    <w:rsid w:val="00274F64"/>
    <w:rsid w:val="002756E4"/>
    <w:rsid w:val="002758C6"/>
    <w:rsid w:val="00275DC4"/>
    <w:rsid w:val="002764B5"/>
    <w:rsid w:val="002765D5"/>
    <w:rsid w:val="002766E7"/>
    <w:rsid w:val="00276AA7"/>
    <w:rsid w:val="00276C3E"/>
    <w:rsid w:val="00277660"/>
    <w:rsid w:val="0027768E"/>
    <w:rsid w:val="002776AF"/>
    <w:rsid w:val="00277DF4"/>
    <w:rsid w:val="00280382"/>
    <w:rsid w:val="002803AD"/>
    <w:rsid w:val="00280588"/>
    <w:rsid w:val="00280849"/>
    <w:rsid w:val="00280A7A"/>
    <w:rsid w:val="00280B84"/>
    <w:rsid w:val="00281001"/>
    <w:rsid w:val="00281308"/>
    <w:rsid w:val="002816DB"/>
    <w:rsid w:val="00281C28"/>
    <w:rsid w:val="002820A1"/>
    <w:rsid w:val="002821AF"/>
    <w:rsid w:val="00282894"/>
    <w:rsid w:val="00283023"/>
    <w:rsid w:val="00283106"/>
    <w:rsid w:val="00283AD4"/>
    <w:rsid w:val="00284109"/>
    <w:rsid w:val="002842B4"/>
    <w:rsid w:val="0028462A"/>
    <w:rsid w:val="00284719"/>
    <w:rsid w:val="00284D19"/>
    <w:rsid w:val="00285BFF"/>
    <w:rsid w:val="00285DA3"/>
    <w:rsid w:val="00285FD4"/>
    <w:rsid w:val="00286281"/>
    <w:rsid w:val="00286309"/>
    <w:rsid w:val="0028679F"/>
    <w:rsid w:val="00286AC1"/>
    <w:rsid w:val="00286ACF"/>
    <w:rsid w:val="002874D2"/>
    <w:rsid w:val="00287980"/>
    <w:rsid w:val="00290368"/>
    <w:rsid w:val="0029077D"/>
    <w:rsid w:val="00290892"/>
    <w:rsid w:val="0029097F"/>
    <w:rsid w:val="00290E13"/>
    <w:rsid w:val="00290E55"/>
    <w:rsid w:val="00290F64"/>
    <w:rsid w:val="002910AC"/>
    <w:rsid w:val="00291723"/>
    <w:rsid w:val="0029193C"/>
    <w:rsid w:val="00291A40"/>
    <w:rsid w:val="00291F73"/>
    <w:rsid w:val="0029229C"/>
    <w:rsid w:val="0029293B"/>
    <w:rsid w:val="0029298B"/>
    <w:rsid w:val="00292CA7"/>
    <w:rsid w:val="00292F3D"/>
    <w:rsid w:val="00293601"/>
    <w:rsid w:val="002936B4"/>
    <w:rsid w:val="00293CD1"/>
    <w:rsid w:val="0029435F"/>
    <w:rsid w:val="0029467A"/>
    <w:rsid w:val="002947C5"/>
    <w:rsid w:val="0029486E"/>
    <w:rsid w:val="00294BA5"/>
    <w:rsid w:val="00295038"/>
    <w:rsid w:val="002951A5"/>
    <w:rsid w:val="002952A9"/>
    <w:rsid w:val="00295552"/>
    <w:rsid w:val="00295D9E"/>
    <w:rsid w:val="00295E1F"/>
    <w:rsid w:val="002961B2"/>
    <w:rsid w:val="0029625B"/>
    <w:rsid w:val="00296333"/>
    <w:rsid w:val="00296470"/>
    <w:rsid w:val="002965C9"/>
    <w:rsid w:val="002967BB"/>
    <w:rsid w:val="00296B5D"/>
    <w:rsid w:val="00296C9B"/>
    <w:rsid w:val="00297088"/>
    <w:rsid w:val="0029723C"/>
    <w:rsid w:val="00297ECB"/>
    <w:rsid w:val="00297FE5"/>
    <w:rsid w:val="002A0075"/>
    <w:rsid w:val="002A013A"/>
    <w:rsid w:val="002A0156"/>
    <w:rsid w:val="002A0D32"/>
    <w:rsid w:val="002A0E86"/>
    <w:rsid w:val="002A1460"/>
    <w:rsid w:val="002A1B31"/>
    <w:rsid w:val="002A1F19"/>
    <w:rsid w:val="002A204D"/>
    <w:rsid w:val="002A21E2"/>
    <w:rsid w:val="002A2C82"/>
    <w:rsid w:val="002A2CAE"/>
    <w:rsid w:val="002A2F6F"/>
    <w:rsid w:val="002A35C1"/>
    <w:rsid w:val="002A3F2E"/>
    <w:rsid w:val="002A4087"/>
    <w:rsid w:val="002A414C"/>
    <w:rsid w:val="002A45A2"/>
    <w:rsid w:val="002A46E0"/>
    <w:rsid w:val="002A5A6F"/>
    <w:rsid w:val="002A5DC7"/>
    <w:rsid w:val="002A6422"/>
    <w:rsid w:val="002A6CF1"/>
    <w:rsid w:val="002A70B7"/>
    <w:rsid w:val="002A781A"/>
    <w:rsid w:val="002A7A10"/>
    <w:rsid w:val="002A7AD2"/>
    <w:rsid w:val="002A7BCF"/>
    <w:rsid w:val="002A7D1E"/>
    <w:rsid w:val="002A7E72"/>
    <w:rsid w:val="002B0295"/>
    <w:rsid w:val="002B02CC"/>
    <w:rsid w:val="002B0595"/>
    <w:rsid w:val="002B0B56"/>
    <w:rsid w:val="002B1144"/>
    <w:rsid w:val="002B120D"/>
    <w:rsid w:val="002B14B3"/>
    <w:rsid w:val="002B173E"/>
    <w:rsid w:val="002B1E32"/>
    <w:rsid w:val="002B1F6C"/>
    <w:rsid w:val="002B25A2"/>
    <w:rsid w:val="002B25F4"/>
    <w:rsid w:val="002B2CA6"/>
    <w:rsid w:val="002B33D5"/>
    <w:rsid w:val="002B39AF"/>
    <w:rsid w:val="002B3A6F"/>
    <w:rsid w:val="002B3D1D"/>
    <w:rsid w:val="002B408F"/>
    <w:rsid w:val="002B4AC0"/>
    <w:rsid w:val="002B4B20"/>
    <w:rsid w:val="002B4B4C"/>
    <w:rsid w:val="002B5119"/>
    <w:rsid w:val="002B5A74"/>
    <w:rsid w:val="002B5A91"/>
    <w:rsid w:val="002B6E64"/>
    <w:rsid w:val="002B6EC2"/>
    <w:rsid w:val="002B724C"/>
    <w:rsid w:val="002B7525"/>
    <w:rsid w:val="002B76FA"/>
    <w:rsid w:val="002B79F0"/>
    <w:rsid w:val="002B7AAE"/>
    <w:rsid w:val="002C021D"/>
    <w:rsid w:val="002C0779"/>
    <w:rsid w:val="002C09F3"/>
    <w:rsid w:val="002C0AD5"/>
    <w:rsid w:val="002C0E08"/>
    <w:rsid w:val="002C1110"/>
    <w:rsid w:val="002C196B"/>
    <w:rsid w:val="002C1EBA"/>
    <w:rsid w:val="002C23C2"/>
    <w:rsid w:val="002C261A"/>
    <w:rsid w:val="002C283B"/>
    <w:rsid w:val="002C2B54"/>
    <w:rsid w:val="002C2BE3"/>
    <w:rsid w:val="002C2F54"/>
    <w:rsid w:val="002C2F62"/>
    <w:rsid w:val="002C2FCE"/>
    <w:rsid w:val="002C31FA"/>
    <w:rsid w:val="002C3297"/>
    <w:rsid w:val="002C32C8"/>
    <w:rsid w:val="002C3483"/>
    <w:rsid w:val="002C34FA"/>
    <w:rsid w:val="002C3C4A"/>
    <w:rsid w:val="002C3FD1"/>
    <w:rsid w:val="002C4111"/>
    <w:rsid w:val="002C441E"/>
    <w:rsid w:val="002C46DF"/>
    <w:rsid w:val="002C49A4"/>
    <w:rsid w:val="002C4ADB"/>
    <w:rsid w:val="002C4F1C"/>
    <w:rsid w:val="002C5451"/>
    <w:rsid w:val="002C5812"/>
    <w:rsid w:val="002C58B2"/>
    <w:rsid w:val="002C58B6"/>
    <w:rsid w:val="002C5B29"/>
    <w:rsid w:val="002C5D42"/>
    <w:rsid w:val="002C5E90"/>
    <w:rsid w:val="002C5EB8"/>
    <w:rsid w:val="002C6618"/>
    <w:rsid w:val="002C68B3"/>
    <w:rsid w:val="002C68D7"/>
    <w:rsid w:val="002C6E79"/>
    <w:rsid w:val="002C71EE"/>
    <w:rsid w:val="002C75BE"/>
    <w:rsid w:val="002C78AE"/>
    <w:rsid w:val="002C7AA0"/>
    <w:rsid w:val="002C7DAB"/>
    <w:rsid w:val="002D010F"/>
    <w:rsid w:val="002D043A"/>
    <w:rsid w:val="002D051D"/>
    <w:rsid w:val="002D0AEB"/>
    <w:rsid w:val="002D0F2F"/>
    <w:rsid w:val="002D1058"/>
    <w:rsid w:val="002D13EA"/>
    <w:rsid w:val="002D1680"/>
    <w:rsid w:val="002D1A2A"/>
    <w:rsid w:val="002D1BF1"/>
    <w:rsid w:val="002D21EE"/>
    <w:rsid w:val="002D266B"/>
    <w:rsid w:val="002D27C9"/>
    <w:rsid w:val="002D29FF"/>
    <w:rsid w:val="002D2D6C"/>
    <w:rsid w:val="002D2EEC"/>
    <w:rsid w:val="002D3183"/>
    <w:rsid w:val="002D3298"/>
    <w:rsid w:val="002D352A"/>
    <w:rsid w:val="002D36B4"/>
    <w:rsid w:val="002D3886"/>
    <w:rsid w:val="002D3A67"/>
    <w:rsid w:val="002D3FCA"/>
    <w:rsid w:val="002D4723"/>
    <w:rsid w:val="002D4A2F"/>
    <w:rsid w:val="002D4E0B"/>
    <w:rsid w:val="002D4F23"/>
    <w:rsid w:val="002D506A"/>
    <w:rsid w:val="002D51A1"/>
    <w:rsid w:val="002D523D"/>
    <w:rsid w:val="002D528F"/>
    <w:rsid w:val="002D52BA"/>
    <w:rsid w:val="002D5C5B"/>
    <w:rsid w:val="002D5EFB"/>
    <w:rsid w:val="002D6224"/>
    <w:rsid w:val="002D6A4D"/>
    <w:rsid w:val="002D6FD2"/>
    <w:rsid w:val="002D7065"/>
    <w:rsid w:val="002D72CD"/>
    <w:rsid w:val="002D7374"/>
    <w:rsid w:val="002D75F1"/>
    <w:rsid w:val="002D7620"/>
    <w:rsid w:val="002D7874"/>
    <w:rsid w:val="002D7C0A"/>
    <w:rsid w:val="002D7C31"/>
    <w:rsid w:val="002D7CE8"/>
    <w:rsid w:val="002D7D20"/>
    <w:rsid w:val="002E023C"/>
    <w:rsid w:val="002E0905"/>
    <w:rsid w:val="002E0E5B"/>
    <w:rsid w:val="002E1052"/>
    <w:rsid w:val="002E11F3"/>
    <w:rsid w:val="002E1363"/>
    <w:rsid w:val="002E153F"/>
    <w:rsid w:val="002E1562"/>
    <w:rsid w:val="002E1656"/>
    <w:rsid w:val="002E1744"/>
    <w:rsid w:val="002E1818"/>
    <w:rsid w:val="002E1C9A"/>
    <w:rsid w:val="002E1D02"/>
    <w:rsid w:val="002E2072"/>
    <w:rsid w:val="002E2401"/>
    <w:rsid w:val="002E2610"/>
    <w:rsid w:val="002E2724"/>
    <w:rsid w:val="002E2D2E"/>
    <w:rsid w:val="002E2E20"/>
    <w:rsid w:val="002E3635"/>
    <w:rsid w:val="002E38D5"/>
    <w:rsid w:val="002E39E3"/>
    <w:rsid w:val="002E3E16"/>
    <w:rsid w:val="002E3E9F"/>
    <w:rsid w:val="002E3FFD"/>
    <w:rsid w:val="002E4917"/>
    <w:rsid w:val="002E4C68"/>
    <w:rsid w:val="002E5772"/>
    <w:rsid w:val="002E5C56"/>
    <w:rsid w:val="002E60A5"/>
    <w:rsid w:val="002E6587"/>
    <w:rsid w:val="002E6A17"/>
    <w:rsid w:val="002E6B27"/>
    <w:rsid w:val="002E6BE7"/>
    <w:rsid w:val="002E6EBA"/>
    <w:rsid w:val="002E7573"/>
    <w:rsid w:val="002E79AF"/>
    <w:rsid w:val="002E7A58"/>
    <w:rsid w:val="002E7A71"/>
    <w:rsid w:val="002E7EED"/>
    <w:rsid w:val="002E7F4D"/>
    <w:rsid w:val="002F0161"/>
    <w:rsid w:val="002F085B"/>
    <w:rsid w:val="002F0926"/>
    <w:rsid w:val="002F0B72"/>
    <w:rsid w:val="002F0C7E"/>
    <w:rsid w:val="002F0FF8"/>
    <w:rsid w:val="002F104F"/>
    <w:rsid w:val="002F128A"/>
    <w:rsid w:val="002F12FC"/>
    <w:rsid w:val="002F1B0D"/>
    <w:rsid w:val="002F1B0F"/>
    <w:rsid w:val="002F1C28"/>
    <w:rsid w:val="002F1DB8"/>
    <w:rsid w:val="002F1DC5"/>
    <w:rsid w:val="002F2110"/>
    <w:rsid w:val="002F2507"/>
    <w:rsid w:val="002F268D"/>
    <w:rsid w:val="002F27D4"/>
    <w:rsid w:val="002F2E8E"/>
    <w:rsid w:val="002F2F97"/>
    <w:rsid w:val="002F2FB9"/>
    <w:rsid w:val="002F302F"/>
    <w:rsid w:val="002F3103"/>
    <w:rsid w:val="002F3698"/>
    <w:rsid w:val="002F3A4F"/>
    <w:rsid w:val="002F3A6B"/>
    <w:rsid w:val="002F3E06"/>
    <w:rsid w:val="002F423A"/>
    <w:rsid w:val="002F4A22"/>
    <w:rsid w:val="002F4E6F"/>
    <w:rsid w:val="002F5147"/>
    <w:rsid w:val="002F54F7"/>
    <w:rsid w:val="002F55FA"/>
    <w:rsid w:val="002F56FB"/>
    <w:rsid w:val="002F570D"/>
    <w:rsid w:val="002F63AE"/>
    <w:rsid w:val="002F6EB6"/>
    <w:rsid w:val="003000B4"/>
    <w:rsid w:val="00300194"/>
    <w:rsid w:val="00300F29"/>
    <w:rsid w:val="00301141"/>
    <w:rsid w:val="00301291"/>
    <w:rsid w:val="00301674"/>
    <w:rsid w:val="00301CE1"/>
    <w:rsid w:val="0030201A"/>
    <w:rsid w:val="003020A5"/>
    <w:rsid w:val="00302424"/>
    <w:rsid w:val="0030345A"/>
    <w:rsid w:val="00303990"/>
    <w:rsid w:val="003039C2"/>
    <w:rsid w:val="003039CD"/>
    <w:rsid w:val="00303C86"/>
    <w:rsid w:val="003041BA"/>
    <w:rsid w:val="003041C7"/>
    <w:rsid w:val="00304623"/>
    <w:rsid w:val="00304CE9"/>
    <w:rsid w:val="00304F8B"/>
    <w:rsid w:val="003054FA"/>
    <w:rsid w:val="00305637"/>
    <w:rsid w:val="00305C50"/>
    <w:rsid w:val="00305E64"/>
    <w:rsid w:val="0030621E"/>
    <w:rsid w:val="00306B9B"/>
    <w:rsid w:val="00306FEF"/>
    <w:rsid w:val="0030732C"/>
    <w:rsid w:val="00307784"/>
    <w:rsid w:val="00310BFB"/>
    <w:rsid w:val="003114E0"/>
    <w:rsid w:val="003115F4"/>
    <w:rsid w:val="00312239"/>
    <w:rsid w:val="0031291C"/>
    <w:rsid w:val="003129A8"/>
    <w:rsid w:val="00312F89"/>
    <w:rsid w:val="003131E1"/>
    <w:rsid w:val="00313603"/>
    <w:rsid w:val="00313743"/>
    <w:rsid w:val="00313758"/>
    <w:rsid w:val="003141F4"/>
    <w:rsid w:val="00314493"/>
    <w:rsid w:val="003145EA"/>
    <w:rsid w:val="00314A6A"/>
    <w:rsid w:val="0031509B"/>
    <w:rsid w:val="00315121"/>
    <w:rsid w:val="00315523"/>
    <w:rsid w:val="00315DCB"/>
    <w:rsid w:val="00315EB5"/>
    <w:rsid w:val="0031654F"/>
    <w:rsid w:val="003167ED"/>
    <w:rsid w:val="003168E6"/>
    <w:rsid w:val="00316D93"/>
    <w:rsid w:val="00316DEB"/>
    <w:rsid w:val="003170A8"/>
    <w:rsid w:val="00317214"/>
    <w:rsid w:val="00317A85"/>
    <w:rsid w:val="00317A95"/>
    <w:rsid w:val="00317BD4"/>
    <w:rsid w:val="00317C2B"/>
    <w:rsid w:val="00320294"/>
    <w:rsid w:val="00320694"/>
    <w:rsid w:val="0032074B"/>
    <w:rsid w:val="003207D6"/>
    <w:rsid w:val="00321252"/>
    <w:rsid w:val="00321373"/>
    <w:rsid w:val="0032137E"/>
    <w:rsid w:val="0032151F"/>
    <w:rsid w:val="00321E64"/>
    <w:rsid w:val="003220DD"/>
    <w:rsid w:val="00322188"/>
    <w:rsid w:val="003223FF"/>
    <w:rsid w:val="003228B1"/>
    <w:rsid w:val="00323042"/>
    <w:rsid w:val="00323337"/>
    <w:rsid w:val="00323385"/>
    <w:rsid w:val="00323A9B"/>
    <w:rsid w:val="00323D98"/>
    <w:rsid w:val="003240AA"/>
    <w:rsid w:val="0032415A"/>
    <w:rsid w:val="003243BF"/>
    <w:rsid w:val="00324B9F"/>
    <w:rsid w:val="00324CAC"/>
    <w:rsid w:val="00324D32"/>
    <w:rsid w:val="00324D67"/>
    <w:rsid w:val="00324FB2"/>
    <w:rsid w:val="0032505D"/>
    <w:rsid w:val="003250A8"/>
    <w:rsid w:val="003250FB"/>
    <w:rsid w:val="00325DB2"/>
    <w:rsid w:val="00325F72"/>
    <w:rsid w:val="00326433"/>
    <w:rsid w:val="003267AB"/>
    <w:rsid w:val="00326CD3"/>
    <w:rsid w:val="0032708E"/>
    <w:rsid w:val="00327148"/>
    <w:rsid w:val="00327154"/>
    <w:rsid w:val="00327174"/>
    <w:rsid w:val="00327476"/>
    <w:rsid w:val="00327733"/>
    <w:rsid w:val="00327A16"/>
    <w:rsid w:val="00327C0B"/>
    <w:rsid w:val="00327C10"/>
    <w:rsid w:val="00327F63"/>
    <w:rsid w:val="00330130"/>
    <w:rsid w:val="003304D5"/>
    <w:rsid w:val="003305B6"/>
    <w:rsid w:val="00330A1F"/>
    <w:rsid w:val="00330E73"/>
    <w:rsid w:val="00330F5C"/>
    <w:rsid w:val="003311DD"/>
    <w:rsid w:val="003323EF"/>
    <w:rsid w:val="0033242B"/>
    <w:rsid w:val="003328AD"/>
    <w:rsid w:val="00332D83"/>
    <w:rsid w:val="00333162"/>
    <w:rsid w:val="0033380C"/>
    <w:rsid w:val="00333B21"/>
    <w:rsid w:val="00333BC6"/>
    <w:rsid w:val="00333C71"/>
    <w:rsid w:val="00333E36"/>
    <w:rsid w:val="00334784"/>
    <w:rsid w:val="003348D7"/>
    <w:rsid w:val="00335237"/>
    <w:rsid w:val="003353DE"/>
    <w:rsid w:val="003353E7"/>
    <w:rsid w:val="00335560"/>
    <w:rsid w:val="003358C0"/>
    <w:rsid w:val="00335A5D"/>
    <w:rsid w:val="00335BC6"/>
    <w:rsid w:val="00335DE9"/>
    <w:rsid w:val="00335EE5"/>
    <w:rsid w:val="00336321"/>
    <w:rsid w:val="003367E7"/>
    <w:rsid w:val="00336940"/>
    <w:rsid w:val="00336AE5"/>
    <w:rsid w:val="00336F3E"/>
    <w:rsid w:val="00336F9F"/>
    <w:rsid w:val="00336FEB"/>
    <w:rsid w:val="0033730D"/>
    <w:rsid w:val="003374A3"/>
    <w:rsid w:val="00337632"/>
    <w:rsid w:val="00337A14"/>
    <w:rsid w:val="003400D3"/>
    <w:rsid w:val="00340744"/>
    <w:rsid w:val="00340B78"/>
    <w:rsid w:val="003415D3"/>
    <w:rsid w:val="00341850"/>
    <w:rsid w:val="0034193D"/>
    <w:rsid w:val="00341A26"/>
    <w:rsid w:val="00341FF6"/>
    <w:rsid w:val="00342F02"/>
    <w:rsid w:val="003434B2"/>
    <w:rsid w:val="003434D5"/>
    <w:rsid w:val="0034359F"/>
    <w:rsid w:val="003436BE"/>
    <w:rsid w:val="0034383A"/>
    <w:rsid w:val="00344237"/>
    <w:rsid w:val="00344294"/>
    <w:rsid w:val="003442BD"/>
    <w:rsid w:val="00344338"/>
    <w:rsid w:val="00344701"/>
    <w:rsid w:val="00344716"/>
    <w:rsid w:val="0034500F"/>
    <w:rsid w:val="003454F4"/>
    <w:rsid w:val="00345D7F"/>
    <w:rsid w:val="00345FE5"/>
    <w:rsid w:val="00346026"/>
    <w:rsid w:val="003464F6"/>
    <w:rsid w:val="00346638"/>
    <w:rsid w:val="003468E6"/>
    <w:rsid w:val="0034699E"/>
    <w:rsid w:val="00346D62"/>
    <w:rsid w:val="0034728B"/>
    <w:rsid w:val="00347475"/>
    <w:rsid w:val="003474AD"/>
    <w:rsid w:val="003478FC"/>
    <w:rsid w:val="00347E40"/>
    <w:rsid w:val="003501AC"/>
    <w:rsid w:val="0035049A"/>
    <w:rsid w:val="003506DD"/>
    <w:rsid w:val="003507D2"/>
    <w:rsid w:val="003508CA"/>
    <w:rsid w:val="00350945"/>
    <w:rsid w:val="00350E52"/>
    <w:rsid w:val="00350E92"/>
    <w:rsid w:val="00350F64"/>
    <w:rsid w:val="003510C9"/>
    <w:rsid w:val="003512AD"/>
    <w:rsid w:val="00351A86"/>
    <w:rsid w:val="00351B10"/>
    <w:rsid w:val="00352B0F"/>
    <w:rsid w:val="00352BB5"/>
    <w:rsid w:val="00352BC2"/>
    <w:rsid w:val="00353053"/>
    <w:rsid w:val="00353347"/>
    <w:rsid w:val="003538F2"/>
    <w:rsid w:val="00353D53"/>
    <w:rsid w:val="00353DBC"/>
    <w:rsid w:val="00353DF3"/>
    <w:rsid w:val="00354194"/>
    <w:rsid w:val="003542B6"/>
    <w:rsid w:val="003548C2"/>
    <w:rsid w:val="00354C4D"/>
    <w:rsid w:val="00354DAF"/>
    <w:rsid w:val="00354EDA"/>
    <w:rsid w:val="003557E5"/>
    <w:rsid w:val="00355AF7"/>
    <w:rsid w:val="00355CEF"/>
    <w:rsid w:val="00355E9A"/>
    <w:rsid w:val="003564EA"/>
    <w:rsid w:val="0035651C"/>
    <w:rsid w:val="003565D0"/>
    <w:rsid w:val="00356647"/>
    <w:rsid w:val="00356968"/>
    <w:rsid w:val="00356C39"/>
    <w:rsid w:val="00356D58"/>
    <w:rsid w:val="00356EFA"/>
    <w:rsid w:val="003570D1"/>
    <w:rsid w:val="0035726F"/>
    <w:rsid w:val="00357399"/>
    <w:rsid w:val="00357921"/>
    <w:rsid w:val="0035796D"/>
    <w:rsid w:val="003579A0"/>
    <w:rsid w:val="00360459"/>
    <w:rsid w:val="00360598"/>
    <w:rsid w:val="003606D1"/>
    <w:rsid w:val="00360E15"/>
    <w:rsid w:val="0036101B"/>
    <w:rsid w:val="00361530"/>
    <w:rsid w:val="00361782"/>
    <w:rsid w:val="00361AE4"/>
    <w:rsid w:val="00361C82"/>
    <w:rsid w:val="00361CA7"/>
    <w:rsid w:val="00361FBC"/>
    <w:rsid w:val="003622A8"/>
    <w:rsid w:val="00362321"/>
    <w:rsid w:val="00362954"/>
    <w:rsid w:val="00362B69"/>
    <w:rsid w:val="00362EBC"/>
    <w:rsid w:val="00363267"/>
    <w:rsid w:val="0036332C"/>
    <w:rsid w:val="00363576"/>
    <w:rsid w:val="00363581"/>
    <w:rsid w:val="003636C9"/>
    <w:rsid w:val="00363879"/>
    <w:rsid w:val="003638CD"/>
    <w:rsid w:val="00363CDE"/>
    <w:rsid w:val="0036404A"/>
    <w:rsid w:val="00364327"/>
    <w:rsid w:val="003645F8"/>
    <w:rsid w:val="0036470F"/>
    <w:rsid w:val="00364C12"/>
    <w:rsid w:val="00364CE2"/>
    <w:rsid w:val="003650DF"/>
    <w:rsid w:val="0036516B"/>
    <w:rsid w:val="0036538F"/>
    <w:rsid w:val="003654BA"/>
    <w:rsid w:val="003658C0"/>
    <w:rsid w:val="00365F0A"/>
    <w:rsid w:val="00366349"/>
    <w:rsid w:val="00366774"/>
    <w:rsid w:val="00366BF5"/>
    <w:rsid w:val="00366D9A"/>
    <w:rsid w:val="00366F27"/>
    <w:rsid w:val="0036730F"/>
    <w:rsid w:val="003675FB"/>
    <w:rsid w:val="003676DC"/>
    <w:rsid w:val="003677EA"/>
    <w:rsid w:val="00367E93"/>
    <w:rsid w:val="00367E9F"/>
    <w:rsid w:val="00370AF8"/>
    <w:rsid w:val="0037116F"/>
    <w:rsid w:val="00371345"/>
    <w:rsid w:val="00371B44"/>
    <w:rsid w:val="00371DFF"/>
    <w:rsid w:val="00371FDB"/>
    <w:rsid w:val="003720A1"/>
    <w:rsid w:val="00372F38"/>
    <w:rsid w:val="00373293"/>
    <w:rsid w:val="00373CB5"/>
    <w:rsid w:val="00374378"/>
    <w:rsid w:val="003744B5"/>
    <w:rsid w:val="00374A16"/>
    <w:rsid w:val="00374AB9"/>
    <w:rsid w:val="00375587"/>
    <w:rsid w:val="003756B3"/>
    <w:rsid w:val="003758A6"/>
    <w:rsid w:val="00375B3D"/>
    <w:rsid w:val="00375C14"/>
    <w:rsid w:val="00376121"/>
    <w:rsid w:val="003766C1"/>
    <w:rsid w:val="0037678E"/>
    <w:rsid w:val="003768C0"/>
    <w:rsid w:val="00376EBE"/>
    <w:rsid w:val="003771BC"/>
    <w:rsid w:val="003772DE"/>
    <w:rsid w:val="0037740C"/>
    <w:rsid w:val="003777C4"/>
    <w:rsid w:val="00377A3B"/>
    <w:rsid w:val="003801D6"/>
    <w:rsid w:val="0038049F"/>
    <w:rsid w:val="0038098D"/>
    <w:rsid w:val="00380A06"/>
    <w:rsid w:val="00380AD3"/>
    <w:rsid w:val="003810ED"/>
    <w:rsid w:val="0038152F"/>
    <w:rsid w:val="003815F0"/>
    <w:rsid w:val="003818DC"/>
    <w:rsid w:val="003819BF"/>
    <w:rsid w:val="00381DA5"/>
    <w:rsid w:val="00381E60"/>
    <w:rsid w:val="00382014"/>
    <w:rsid w:val="00382242"/>
    <w:rsid w:val="00382610"/>
    <w:rsid w:val="003827A5"/>
    <w:rsid w:val="00382861"/>
    <w:rsid w:val="003828D9"/>
    <w:rsid w:val="00382CF6"/>
    <w:rsid w:val="00382D63"/>
    <w:rsid w:val="00383177"/>
    <w:rsid w:val="00383568"/>
    <w:rsid w:val="003836A3"/>
    <w:rsid w:val="00383A3A"/>
    <w:rsid w:val="00383B5A"/>
    <w:rsid w:val="00383B9B"/>
    <w:rsid w:val="00384313"/>
    <w:rsid w:val="003843D8"/>
    <w:rsid w:val="00384406"/>
    <w:rsid w:val="003844C5"/>
    <w:rsid w:val="0038477E"/>
    <w:rsid w:val="0038480B"/>
    <w:rsid w:val="003851E1"/>
    <w:rsid w:val="003853DE"/>
    <w:rsid w:val="00385C7B"/>
    <w:rsid w:val="00385CA1"/>
    <w:rsid w:val="00386C4A"/>
    <w:rsid w:val="00386EAA"/>
    <w:rsid w:val="00386F99"/>
    <w:rsid w:val="003871A4"/>
    <w:rsid w:val="00387C70"/>
    <w:rsid w:val="00390072"/>
    <w:rsid w:val="003900E5"/>
    <w:rsid w:val="00390521"/>
    <w:rsid w:val="003905C5"/>
    <w:rsid w:val="003915DB"/>
    <w:rsid w:val="00391733"/>
    <w:rsid w:val="003917C3"/>
    <w:rsid w:val="00391FCF"/>
    <w:rsid w:val="00392294"/>
    <w:rsid w:val="00392616"/>
    <w:rsid w:val="00392804"/>
    <w:rsid w:val="00392DD1"/>
    <w:rsid w:val="00392E1A"/>
    <w:rsid w:val="00392F78"/>
    <w:rsid w:val="00393012"/>
    <w:rsid w:val="00393324"/>
    <w:rsid w:val="00393328"/>
    <w:rsid w:val="003936BE"/>
    <w:rsid w:val="003939CC"/>
    <w:rsid w:val="003939E1"/>
    <w:rsid w:val="00394674"/>
    <w:rsid w:val="00394BB4"/>
    <w:rsid w:val="00394DDE"/>
    <w:rsid w:val="003952EB"/>
    <w:rsid w:val="003954B3"/>
    <w:rsid w:val="003957F3"/>
    <w:rsid w:val="00395CD5"/>
    <w:rsid w:val="00396654"/>
    <w:rsid w:val="0039671A"/>
    <w:rsid w:val="00396AF3"/>
    <w:rsid w:val="00396CB9"/>
    <w:rsid w:val="003972C6"/>
    <w:rsid w:val="00397688"/>
    <w:rsid w:val="00397841"/>
    <w:rsid w:val="00397A2F"/>
    <w:rsid w:val="003A05DF"/>
    <w:rsid w:val="003A08EB"/>
    <w:rsid w:val="003A0C0A"/>
    <w:rsid w:val="003A0EC1"/>
    <w:rsid w:val="003A1093"/>
    <w:rsid w:val="003A11F6"/>
    <w:rsid w:val="003A1504"/>
    <w:rsid w:val="003A222D"/>
    <w:rsid w:val="003A23C5"/>
    <w:rsid w:val="003A3F71"/>
    <w:rsid w:val="003A43B9"/>
    <w:rsid w:val="003A4699"/>
    <w:rsid w:val="003A4701"/>
    <w:rsid w:val="003A4B3D"/>
    <w:rsid w:val="003A525A"/>
    <w:rsid w:val="003A537E"/>
    <w:rsid w:val="003A5579"/>
    <w:rsid w:val="003A5FD1"/>
    <w:rsid w:val="003A6A51"/>
    <w:rsid w:val="003A6F0C"/>
    <w:rsid w:val="003A6F15"/>
    <w:rsid w:val="003A700F"/>
    <w:rsid w:val="003A73CB"/>
    <w:rsid w:val="003A74FF"/>
    <w:rsid w:val="003A7615"/>
    <w:rsid w:val="003A7F2C"/>
    <w:rsid w:val="003A7FAE"/>
    <w:rsid w:val="003B0273"/>
    <w:rsid w:val="003B0469"/>
    <w:rsid w:val="003B04F8"/>
    <w:rsid w:val="003B05EF"/>
    <w:rsid w:val="003B091E"/>
    <w:rsid w:val="003B0BEC"/>
    <w:rsid w:val="003B0C25"/>
    <w:rsid w:val="003B0E45"/>
    <w:rsid w:val="003B1407"/>
    <w:rsid w:val="003B2259"/>
    <w:rsid w:val="003B22BC"/>
    <w:rsid w:val="003B24BE"/>
    <w:rsid w:val="003B265B"/>
    <w:rsid w:val="003B265E"/>
    <w:rsid w:val="003B2A75"/>
    <w:rsid w:val="003B2E90"/>
    <w:rsid w:val="003B30D6"/>
    <w:rsid w:val="003B342C"/>
    <w:rsid w:val="003B3573"/>
    <w:rsid w:val="003B3935"/>
    <w:rsid w:val="003B39DB"/>
    <w:rsid w:val="003B3EE0"/>
    <w:rsid w:val="003B45DC"/>
    <w:rsid w:val="003B493F"/>
    <w:rsid w:val="003B4CAA"/>
    <w:rsid w:val="003B4CCD"/>
    <w:rsid w:val="003B4F1E"/>
    <w:rsid w:val="003B5754"/>
    <w:rsid w:val="003B5D42"/>
    <w:rsid w:val="003B6305"/>
    <w:rsid w:val="003B689E"/>
    <w:rsid w:val="003B6D88"/>
    <w:rsid w:val="003B6E34"/>
    <w:rsid w:val="003B6F71"/>
    <w:rsid w:val="003B7230"/>
    <w:rsid w:val="003B768A"/>
    <w:rsid w:val="003B76BA"/>
    <w:rsid w:val="003B7759"/>
    <w:rsid w:val="003B7C39"/>
    <w:rsid w:val="003C02C7"/>
    <w:rsid w:val="003C03C8"/>
    <w:rsid w:val="003C0F29"/>
    <w:rsid w:val="003C1789"/>
    <w:rsid w:val="003C1851"/>
    <w:rsid w:val="003C1948"/>
    <w:rsid w:val="003C1C61"/>
    <w:rsid w:val="003C1F13"/>
    <w:rsid w:val="003C209D"/>
    <w:rsid w:val="003C23E8"/>
    <w:rsid w:val="003C24E4"/>
    <w:rsid w:val="003C26A2"/>
    <w:rsid w:val="003C29F2"/>
    <w:rsid w:val="003C31FD"/>
    <w:rsid w:val="003C33BD"/>
    <w:rsid w:val="003C36BF"/>
    <w:rsid w:val="003C38F7"/>
    <w:rsid w:val="003C3CF5"/>
    <w:rsid w:val="003C428B"/>
    <w:rsid w:val="003C44DB"/>
    <w:rsid w:val="003C45FD"/>
    <w:rsid w:val="003C4B24"/>
    <w:rsid w:val="003C4E39"/>
    <w:rsid w:val="003C4ED3"/>
    <w:rsid w:val="003C4FC3"/>
    <w:rsid w:val="003C502D"/>
    <w:rsid w:val="003C57D9"/>
    <w:rsid w:val="003C619D"/>
    <w:rsid w:val="003C6231"/>
    <w:rsid w:val="003C630B"/>
    <w:rsid w:val="003C66F7"/>
    <w:rsid w:val="003C69AB"/>
    <w:rsid w:val="003C6A74"/>
    <w:rsid w:val="003C745B"/>
    <w:rsid w:val="003C756F"/>
    <w:rsid w:val="003C773E"/>
    <w:rsid w:val="003C77FE"/>
    <w:rsid w:val="003C788B"/>
    <w:rsid w:val="003C7E71"/>
    <w:rsid w:val="003C7F4F"/>
    <w:rsid w:val="003D0028"/>
    <w:rsid w:val="003D0067"/>
    <w:rsid w:val="003D0220"/>
    <w:rsid w:val="003D06FF"/>
    <w:rsid w:val="003D07FF"/>
    <w:rsid w:val="003D0894"/>
    <w:rsid w:val="003D096A"/>
    <w:rsid w:val="003D0AD5"/>
    <w:rsid w:val="003D0BFE"/>
    <w:rsid w:val="003D14CD"/>
    <w:rsid w:val="003D1562"/>
    <w:rsid w:val="003D1731"/>
    <w:rsid w:val="003D1846"/>
    <w:rsid w:val="003D19D4"/>
    <w:rsid w:val="003D1B0C"/>
    <w:rsid w:val="003D1DB7"/>
    <w:rsid w:val="003D2134"/>
    <w:rsid w:val="003D219B"/>
    <w:rsid w:val="003D2443"/>
    <w:rsid w:val="003D24FC"/>
    <w:rsid w:val="003D2591"/>
    <w:rsid w:val="003D26E2"/>
    <w:rsid w:val="003D306B"/>
    <w:rsid w:val="003D3264"/>
    <w:rsid w:val="003D358C"/>
    <w:rsid w:val="003D3A31"/>
    <w:rsid w:val="003D3B81"/>
    <w:rsid w:val="003D3BEE"/>
    <w:rsid w:val="003D3E77"/>
    <w:rsid w:val="003D3EE2"/>
    <w:rsid w:val="003D3EEC"/>
    <w:rsid w:val="003D469E"/>
    <w:rsid w:val="003D49A1"/>
    <w:rsid w:val="003D4B3E"/>
    <w:rsid w:val="003D4D97"/>
    <w:rsid w:val="003D4F49"/>
    <w:rsid w:val="003D50B9"/>
    <w:rsid w:val="003D51A3"/>
    <w:rsid w:val="003D5408"/>
    <w:rsid w:val="003D5700"/>
    <w:rsid w:val="003D59BA"/>
    <w:rsid w:val="003D5B99"/>
    <w:rsid w:val="003D5D47"/>
    <w:rsid w:val="003D654D"/>
    <w:rsid w:val="003D65C1"/>
    <w:rsid w:val="003D6A63"/>
    <w:rsid w:val="003D6B74"/>
    <w:rsid w:val="003D6BC5"/>
    <w:rsid w:val="003D6F40"/>
    <w:rsid w:val="003D7572"/>
    <w:rsid w:val="003D77BE"/>
    <w:rsid w:val="003D79C2"/>
    <w:rsid w:val="003D7E2B"/>
    <w:rsid w:val="003E0ADB"/>
    <w:rsid w:val="003E0D58"/>
    <w:rsid w:val="003E11AE"/>
    <w:rsid w:val="003E1221"/>
    <w:rsid w:val="003E1519"/>
    <w:rsid w:val="003E1568"/>
    <w:rsid w:val="003E1778"/>
    <w:rsid w:val="003E177B"/>
    <w:rsid w:val="003E1B10"/>
    <w:rsid w:val="003E1DEC"/>
    <w:rsid w:val="003E1F45"/>
    <w:rsid w:val="003E1FD5"/>
    <w:rsid w:val="003E25E9"/>
    <w:rsid w:val="003E293C"/>
    <w:rsid w:val="003E2987"/>
    <w:rsid w:val="003E2B1C"/>
    <w:rsid w:val="003E2CA1"/>
    <w:rsid w:val="003E2D17"/>
    <w:rsid w:val="003E3073"/>
    <w:rsid w:val="003E341B"/>
    <w:rsid w:val="003E35D0"/>
    <w:rsid w:val="003E370A"/>
    <w:rsid w:val="003E383C"/>
    <w:rsid w:val="003E38C9"/>
    <w:rsid w:val="003E400D"/>
    <w:rsid w:val="003E44E8"/>
    <w:rsid w:val="003E4D00"/>
    <w:rsid w:val="003E4D60"/>
    <w:rsid w:val="003E4D95"/>
    <w:rsid w:val="003E531C"/>
    <w:rsid w:val="003E5523"/>
    <w:rsid w:val="003E5EB6"/>
    <w:rsid w:val="003E5EEB"/>
    <w:rsid w:val="003E5F20"/>
    <w:rsid w:val="003E5F87"/>
    <w:rsid w:val="003E6249"/>
    <w:rsid w:val="003E655A"/>
    <w:rsid w:val="003E657C"/>
    <w:rsid w:val="003E65D6"/>
    <w:rsid w:val="003E65FE"/>
    <w:rsid w:val="003E66DA"/>
    <w:rsid w:val="003E6730"/>
    <w:rsid w:val="003E6D89"/>
    <w:rsid w:val="003E704A"/>
    <w:rsid w:val="003E7092"/>
    <w:rsid w:val="003E722C"/>
    <w:rsid w:val="003E746B"/>
    <w:rsid w:val="003E7C28"/>
    <w:rsid w:val="003E7E1C"/>
    <w:rsid w:val="003E7E60"/>
    <w:rsid w:val="003E7EA0"/>
    <w:rsid w:val="003F0105"/>
    <w:rsid w:val="003F02B2"/>
    <w:rsid w:val="003F02CD"/>
    <w:rsid w:val="003F03C1"/>
    <w:rsid w:val="003F05E2"/>
    <w:rsid w:val="003F0A35"/>
    <w:rsid w:val="003F0B86"/>
    <w:rsid w:val="003F0D5E"/>
    <w:rsid w:val="003F0D6F"/>
    <w:rsid w:val="003F100C"/>
    <w:rsid w:val="003F120C"/>
    <w:rsid w:val="003F1879"/>
    <w:rsid w:val="003F1AE6"/>
    <w:rsid w:val="003F24CC"/>
    <w:rsid w:val="003F2612"/>
    <w:rsid w:val="003F265A"/>
    <w:rsid w:val="003F27A5"/>
    <w:rsid w:val="003F27C1"/>
    <w:rsid w:val="003F294C"/>
    <w:rsid w:val="003F2D74"/>
    <w:rsid w:val="003F2F57"/>
    <w:rsid w:val="003F329D"/>
    <w:rsid w:val="003F339C"/>
    <w:rsid w:val="003F3636"/>
    <w:rsid w:val="003F3913"/>
    <w:rsid w:val="003F3AC9"/>
    <w:rsid w:val="003F3C6E"/>
    <w:rsid w:val="003F3F7F"/>
    <w:rsid w:val="003F40A0"/>
    <w:rsid w:val="003F415F"/>
    <w:rsid w:val="003F41CE"/>
    <w:rsid w:val="003F43CD"/>
    <w:rsid w:val="003F43DC"/>
    <w:rsid w:val="003F45DE"/>
    <w:rsid w:val="003F4B1B"/>
    <w:rsid w:val="003F4EB5"/>
    <w:rsid w:val="003F50AF"/>
    <w:rsid w:val="003F5275"/>
    <w:rsid w:val="003F5BA4"/>
    <w:rsid w:val="003F6207"/>
    <w:rsid w:val="003F65C7"/>
    <w:rsid w:val="003F6B02"/>
    <w:rsid w:val="003F6F32"/>
    <w:rsid w:val="003F7360"/>
    <w:rsid w:val="003F7A43"/>
    <w:rsid w:val="003F7C61"/>
    <w:rsid w:val="003F7E0C"/>
    <w:rsid w:val="003F7F83"/>
    <w:rsid w:val="00400014"/>
    <w:rsid w:val="004005C6"/>
    <w:rsid w:val="004005F8"/>
    <w:rsid w:val="00400A89"/>
    <w:rsid w:val="00400ADF"/>
    <w:rsid w:val="0040104E"/>
    <w:rsid w:val="0040143D"/>
    <w:rsid w:val="004014DB"/>
    <w:rsid w:val="00401EFE"/>
    <w:rsid w:val="004022B6"/>
    <w:rsid w:val="00402322"/>
    <w:rsid w:val="00402408"/>
    <w:rsid w:val="004024C0"/>
    <w:rsid w:val="00402727"/>
    <w:rsid w:val="004028EF"/>
    <w:rsid w:val="00402E88"/>
    <w:rsid w:val="004030BF"/>
    <w:rsid w:val="00403993"/>
    <w:rsid w:val="004046C9"/>
    <w:rsid w:val="0040497B"/>
    <w:rsid w:val="00404AF5"/>
    <w:rsid w:val="00404CE9"/>
    <w:rsid w:val="00404DA8"/>
    <w:rsid w:val="00405081"/>
    <w:rsid w:val="00405212"/>
    <w:rsid w:val="004053D8"/>
    <w:rsid w:val="0040569C"/>
    <w:rsid w:val="00405A3F"/>
    <w:rsid w:val="00405C27"/>
    <w:rsid w:val="00406313"/>
    <w:rsid w:val="00406CB2"/>
    <w:rsid w:val="00406CB6"/>
    <w:rsid w:val="004073FF"/>
    <w:rsid w:val="00407CC7"/>
    <w:rsid w:val="00407D07"/>
    <w:rsid w:val="0041035F"/>
    <w:rsid w:val="00410810"/>
    <w:rsid w:val="004109DE"/>
    <w:rsid w:val="00410ED7"/>
    <w:rsid w:val="004112E8"/>
    <w:rsid w:val="00411668"/>
    <w:rsid w:val="004116CD"/>
    <w:rsid w:val="0041180D"/>
    <w:rsid w:val="00411974"/>
    <w:rsid w:val="00411DE2"/>
    <w:rsid w:val="00411E67"/>
    <w:rsid w:val="004120DF"/>
    <w:rsid w:val="004128ED"/>
    <w:rsid w:val="00412AE6"/>
    <w:rsid w:val="00412B9C"/>
    <w:rsid w:val="00412BBF"/>
    <w:rsid w:val="00412D63"/>
    <w:rsid w:val="00412EA6"/>
    <w:rsid w:val="00413641"/>
    <w:rsid w:val="004137B6"/>
    <w:rsid w:val="0041392A"/>
    <w:rsid w:val="00414186"/>
    <w:rsid w:val="00414406"/>
    <w:rsid w:val="0041459F"/>
    <w:rsid w:val="00414931"/>
    <w:rsid w:val="00414956"/>
    <w:rsid w:val="00414997"/>
    <w:rsid w:val="00414F4C"/>
    <w:rsid w:val="0041508D"/>
    <w:rsid w:val="004150C2"/>
    <w:rsid w:val="004152AE"/>
    <w:rsid w:val="0041531E"/>
    <w:rsid w:val="004157B8"/>
    <w:rsid w:val="00415B40"/>
    <w:rsid w:val="004161F0"/>
    <w:rsid w:val="0041633D"/>
    <w:rsid w:val="004166C9"/>
    <w:rsid w:val="004168E6"/>
    <w:rsid w:val="00416A57"/>
    <w:rsid w:val="00416E28"/>
    <w:rsid w:val="0041713C"/>
    <w:rsid w:val="004172FB"/>
    <w:rsid w:val="00417464"/>
    <w:rsid w:val="004174CF"/>
    <w:rsid w:val="004175FD"/>
    <w:rsid w:val="00417701"/>
    <w:rsid w:val="0041796B"/>
    <w:rsid w:val="00417CEA"/>
    <w:rsid w:val="00417EB9"/>
    <w:rsid w:val="004208C4"/>
    <w:rsid w:val="00420BF6"/>
    <w:rsid w:val="0042183F"/>
    <w:rsid w:val="00421B4B"/>
    <w:rsid w:val="00422A8E"/>
    <w:rsid w:val="00422DDC"/>
    <w:rsid w:val="00422E7A"/>
    <w:rsid w:val="00423337"/>
    <w:rsid w:val="0042350D"/>
    <w:rsid w:val="00423912"/>
    <w:rsid w:val="00423AB1"/>
    <w:rsid w:val="00423E86"/>
    <w:rsid w:val="0042419C"/>
    <w:rsid w:val="004242E1"/>
    <w:rsid w:val="00424755"/>
    <w:rsid w:val="0042497C"/>
    <w:rsid w:val="00424A3F"/>
    <w:rsid w:val="00424CA9"/>
    <w:rsid w:val="00425034"/>
    <w:rsid w:val="00425179"/>
    <w:rsid w:val="00425234"/>
    <w:rsid w:val="0042526F"/>
    <w:rsid w:val="004257D2"/>
    <w:rsid w:val="0042584C"/>
    <w:rsid w:val="00425D83"/>
    <w:rsid w:val="00426A03"/>
    <w:rsid w:val="00426A60"/>
    <w:rsid w:val="00426FB4"/>
    <w:rsid w:val="00427496"/>
    <w:rsid w:val="00427525"/>
    <w:rsid w:val="004275A5"/>
    <w:rsid w:val="004276DF"/>
    <w:rsid w:val="004276EB"/>
    <w:rsid w:val="004304CF"/>
    <w:rsid w:val="004311D1"/>
    <w:rsid w:val="00431DFF"/>
    <w:rsid w:val="00431E9B"/>
    <w:rsid w:val="00431F42"/>
    <w:rsid w:val="0043200C"/>
    <w:rsid w:val="00432386"/>
    <w:rsid w:val="004325F7"/>
    <w:rsid w:val="004326F6"/>
    <w:rsid w:val="004326F7"/>
    <w:rsid w:val="00432767"/>
    <w:rsid w:val="00432C5E"/>
    <w:rsid w:val="0043318F"/>
    <w:rsid w:val="0043319F"/>
    <w:rsid w:val="00433682"/>
    <w:rsid w:val="0043396A"/>
    <w:rsid w:val="00433D4E"/>
    <w:rsid w:val="00433F5F"/>
    <w:rsid w:val="00434627"/>
    <w:rsid w:val="0043475C"/>
    <w:rsid w:val="00434FA9"/>
    <w:rsid w:val="004350E6"/>
    <w:rsid w:val="004350FF"/>
    <w:rsid w:val="00435222"/>
    <w:rsid w:val="0043540A"/>
    <w:rsid w:val="004356EB"/>
    <w:rsid w:val="0043581B"/>
    <w:rsid w:val="00435823"/>
    <w:rsid w:val="00435917"/>
    <w:rsid w:val="00436116"/>
    <w:rsid w:val="0043657E"/>
    <w:rsid w:val="004366DE"/>
    <w:rsid w:val="00436BC9"/>
    <w:rsid w:val="00436DA6"/>
    <w:rsid w:val="004372C2"/>
    <w:rsid w:val="0043742F"/>
    <w:rsid w:val="00437733"/>
    <w:rsid w:val="004377CF"/>
    <w:rsid w:val="004379E3"/>
    <w:rsid w:val="00440042"/>
    <w:rsid w:val="00440150"/>
    <w:rsid w:val="0044015E"/>
    <w:rsid w:val="004401BA"/>
    <w:rsid w:val="004403DD"/>
    <w:rsid w:val="00440FB0"/>
    <w:rsid w:val="00441831"/>
    <w:rsid w:val="00441A9D"/>
    <w:rsid w:val="00441D0D"/>
    <w:rsid w:val="00442213"/>
    <w:rsid w:val="00442272"/>
    <w:rsid w:val="004423D6"/>
    <w:rsid w:val="00442448"/>
    <w:rsid w:val="0044291A"/>
    <w:rsid w:val="00442D21"/>
    <w:rsid w:val="004431A4"/>
    <w:rsid w:val="004432B6"/>
    <w:rsid w:val="004439B7"/>
    <w:rsid w:val="00443AB6"/>
    <w:rsid w:val="00443B9E"/>
    <w:rsid w:val="00443C08"/>
    <w:rsid w:val="00444BE5"/>
    <w:rsid w:val="00444D6A"/>
    <w:rsid w:val="00444FA6"/>
    <w:rsid w:val="00446337"/>
    <w:rsid w:val="004465E8"/>
    <w:rsid w:val="00446651"/>
    <w:rsid w:val="00446AA8"/>
    <w:rsid w:val="00446C4C"/>
    <w:rsid w:val="00446C9D"/>
    <w:rsid w:val="00446FE4"/>
    <w:rsid w:val="00447218"/>
    <w:rsid w:val="00447338"/>
    <w:rsid w:val="0044734A"/>
    <w:rsid w:val="004473B2"/>
    <w:rsid w:val="004473FD"/>
    <w:rsid w:val="00447487"/>
    <w:rsid w:val="00447748"/>
    <w:rsid w:val="00447C8D"/>
    <w:rsid w:val="00447CBA"/>
    <w:rsid w:val="00447ED4"/>
    <w:rsid w:val="00450147"/>
    <w:rsid w:val="004504CA"/>
    <w:rsid w:val="00451144"/>
    <w:rsid w:val="00451AAB"/>
    <w:rsid w:val="00451ADA"/>
    <w:rsid w:val="0045273C"/>
    <w:rsid w:val="00452921"/>
    <w:rsid w:val="0045294B"/>
    <w:rsid w:val="00453055"/>
    <w:rsid w:val="00453225"/>
    <w:rsid w:val="00453D38"/>
    <w:rsid w:val="00453ED5"/>
    <w:rsid w:val="00453FDE"/>
    <w:rsid w:val="0045439B"/>
    <w:rsid w:val="004547FC"/>
    <w:rsid w:val="00454DAC"/>
    <w:rsid w:val="00454E2E"/>
    <w:rsid w:val="004552AD"/>
    <w:rsid w:val="00455551"/>
    <w:rsid w:val="00455799"/>
    <w:rsid w:val="00455967"/>
    <w:rsid w:val="0045636C"/>
    <w:rsid w:val="0045669B"/>
    <w:rsid w:val="004567E6"/>
    <w:rsid w:val="00456B55"/>
    <w:rsid w:val="00456F04"/>
    <w:rsid w:val="00457133"/>
    <w:rsid w:val="004572A3"/>
    <w:rsid w:val="004572EF"/>
    <w:rsid w:val="00457B46"/>
    <w:rsid w:val="004601A2"/>
    <w:rsid w:val="004605C4"/>
    <w:rsid w:val="00460766"/>
    <w:rsid w:val="004608AE"/>
    <w:rsid w:val="00460931"/>
    <w:rsid w:val="00460B9C"/>
    <w:rsid w:val="00460F7D"/>
    <w:rsid w:val="004610FD"/>
    <w:rsid w:val="00461342"/>
    <w:rsid w:val="0046159C"/>
    <w:rsid w:val="004616A4"/>
    <w:rsid w:val="00461717"/>
    <w:rsid w:val="00461C65"/>
    <w:rsid w:val="00461D96"/>
    <w:rsid w:val="00461EC9"/>
    <w:rsid w:val="0046240C"/>
    <w:rsid w:val="004624AA"/>
    <w:rsid w:val="0046257E"/>
    <w:rsid w:val="004626A5"/>
    <w:rsid w:val="004626E2"/>
    <w:rsid w:val="00462A50"/>
    <w:rsid w:val="00462E47"/>
    <w:rsid w:val="0046327F"/>
    <w:rsid w:val="004636B4"/>
    <w:rsid w:val="004638F2"/>
    <w:rsid w:val="00463CB5"/>
    <w:rsid w:val="00463E45"/>
    <w:rsid w:val="004640E8"/>
    <w:rsid w:val="004643EE"/>
    <w:rsid w:val="004644C6"/>
    <w:rsid w:val="0046490B"/>
    <w:rsid w:val="00464C22"/>
    <w:rsid w:val="00464C41"/>
    <w:rsid w:val="00464C7B"/>
    <w:rsid w:val="00464E65"/>
    <w:rsid w:val="004653C5"/>
    <w:rsid w:val="00465A35"/>
    <w:rsid w:val="00465EB2"/>
    <w:rsid w:val="00466195"/>
    <w:rsid w:val="004664BF"/>
    <w:rsid w:val="00466A75"/>
    <w:rsid w:val="00466B41"/>
    <w:rsid w:val="00466CCE"/>
    <w:rsid w:val="0046721D"/>
    <w:rsid w:val="004672DE"/>
    <w:rsid w:val="00467402"/>
    <w:rsid w:val="00467603"/>
    <w:rsid w:val="00467606"/>
    <w:rsid w:val="00467661"/>
    <w:rsid w:val="004676DA"/>
    <w:rsid w:val="00467AB8"/>
    <w:rsid w:val="00467EE9"/>
    <w:rsid w:val="0047128B"/>
    <w:rsid w:val="00472862"/>
    <w:rsid w:val="00472AF7"/>
    <w:rsid w:val="00472B8B"/>
    <w:rsid w:val="00472DBE"/>
    <w:rsid w:val="00472F95"/>
    <w:rsid w:val="004733B8"/>
    <w:rsid w:val="00473425"/>
    <w:rsid w:val="00473599"/>
    <w:rsid w:val="00473DB9"/>
    <w:rsid w:val="0047473A"/>
    <w:rsid w:val="004748BA"/>
    <w:rsid w:val="00474A19"/>
    <w:rsid w:val="00474C2B"/>
    <w:rsid w:val="00474EBE"/>
    <w:rsid w:val="00475573"/>
    <w:rsid w:val="004755B4"/>
    <w:rsid w:val="00475631"/>
    <w:rsid w:val="00475D92"/>
    <w:rsid w:val="00475DFA"/>
    <w:rsid w:val="00475EBF"/>
    <w:rsid w:val="00476665"/>
    <w:rsid w:val="004772F6"/>
    <w:rsid w:val="0047743A"/>
    <w:rsid w:val="0047763D"/>
    <w:rsid w:val="00477830"/>
    <w:rsid w:val="00477ADC"/>
    <w:rsid w:val="00477BF5"/>
    <w:rsid w:val="00477CE3"/>
    <w:rsid w:val="00480DF1"/>
    <w:rsid w:val="00480F2B"/>
    <w:rsid w:val="00481126"/>
    <w:rsid w:val="00481C34"/>
    <w:rsid w:val="0048211D"/>
    <w:rsid w:val="004821EB"/>
    <w:rsid w:val="0048234E"/>
    <w:rsid w:val="00482653"/>
    <w:rsid w:val="00483647"/>
    <w:rsid w:val="00483673"/>
    <w:rsid w:val="00483A5E"/>
    <w:rsid w:val="00483E6A"/>
    <w:rsid w:val="00483EED"/>
    <w:rsid w:val="00484439"/>
    <w:rsid w:val="0048445A"/>
    <w:rsid w:val="0048491E"/>
    <w:rsid w:val="00484A69"/>
    <w:rsid w:val="00484A77"/>
    <w:rsid w:val="00484F46"/>
    <w:rsid w:val="004851DB"/>
    <w:rsid w:val="00485334"/>
    <w:rsid w:val="00485460"/>
    <w:rsid w:val="004854A4"/>
    <w:rsid w:val="00485582"/>
    <w:rsid w:val="004856C8"/>
    <w:rsid w:val="00485700"/>
    <w:rsid w:val="00485CD0"/>
    <w:rsid w:val="00485D64"/>
    <w:rsid w:val="004860FA"/>
    <w:rsid w:val="0048625A"/>
    <w:rsid w:val="00486445"/>
    <w:rsid w:val="0048691C"/>
    <w:rsid w:val="00486B60"/>
    <w:rsid w:val="00486B8E"/>
    <w:rsid w:val="0048700F"/>
    <w:rsid w:val="0048704A"/>
    <w:rsid w:val="00487249"/>
    <w:rsid w:val="0048761D"/>
    <w:rsid w:val="00487764"/>
    <w:rsid w:val="00487889"/>
    <w:rsid w:val="00487B09"/>
    <w:rsid w:val="00487CEA"/>
    <w:rsid w:val="0049024F"/>
    <w:rsid w:val="004902D5"/>
    <w:rsid w:val="004904A0"/>
    <w:rsid w:val="004905EC"/>
    <w:rsid w:val="00490E04"/>
    <w:rsid w:val="004912DE"/>
    <w:rsid w:val="00491358"/>
    <w:rsid w:val="00491481"/>
    <w:rsid w:val="0049158B"/>
    <w:rsid w:val="0049170F"/>
    <w:rsid w:val="0049172E"/>
    <w:rsid w:val="0049199D"/>
    <w:rsid w:val="00492173"/>
    <w:rsid w:val="00492235"/>
    <w:rsid w:val="004927E8"/>
    <w:rsid w:val="0049295F"/>
    <w:rsid w:val="004929EC"/>
    <w:rsid w:val="00492C1B"/>
    <w:rsid w:val="00493126"/>
    <w:rsid w:val="00493332"/>
    <w:rsid w:val="004935D1"/>
    <w:rsid w:val="00493E3A"/>
    <w:rsid w:val="00493E45"/>
    <w:rsid w:val="00493F45"/>
    <w:rsid w:val="00494D32"/>
    <w:rsid w:val="00494F0B"/>
    <w:rsid w:val="00494FF9"/>
    <w:rsid w:val="004950D0"/>
    <w:rsid w:val="00495350"/>
    <w:rsid w:val="00495358"/>
    <w:rsid w:val="0049537B"/>
    <w:rsid w:val="004957A7"/>
    <w:rsid w:val="0049618A"/>
    <w:rsid w:val="004962A8"/>
    <w:rsid w:val="004962C2"/>
    <w:rsid w:val="00496677"/>
    <w:rsid w:val="00496B41"/>
    <w:rsid w:val="00496F97"/>
    <w:rsid w:val="004973D2"/>
    <w:rsid w:val="00497605"/>
    <w:rsid w:val="00497AEC"/>
    <w:rsid w:val="004A02C8"/>
    <w:rsid w:val="004A07B5"/>
    <w:rsid w:val="004A0B7C"/>
    <w:rsid w:val="004A0BC0"/>
    <w:rsid w:val="004A0BE5"/>
    <w:rsid w:val="004A0CF6"/>
    <w:rsid w:val="004A0D8A"/>
    <w:rsid w:val="004A0E8C"/>
    <w:rsid w:val="004A1295"/>
    <w:rsid w:val="004A134E"/>
    <w:rsid w:val="004A1385"/>
    <w:rsid w:val="004A15A9"/>
    <w:rsid w:val="004A1DB8"/>
    <w:rsid w:val="004A1E03"/>
    <w:rsid w:val="004A1FA4"/>
    <w:rsid w:val="004A2097"/>
    <w:rsid w:val="004A2236"/>
    <w:rsid w:val="004A2AC8"/>
    <w:rsid w:val="004A344D"/>
    <w:rsid w:val="004A3627"/>
    <w:rsid w:val="004A387A"/>
    <w:rsid w:val="004A3CD8"/>
    <w:rsid w:val="004A46E0"/>
    <w:rsid w:val="004A47A7"/>
    <w:rsid w:val="004A4825"/>
    <w:rsid w:val="004A4C2C"/>
    <w:rsid w:val="004A4DF0"/>
    <w:rsid w:val="004A5201"/>
    <w:rsid w:val="004A5318"/>
    <w:rsid w:val="004A541C"/>
    <w:rsid w:val="004A5E23"/>
    <w:rsid w:val="004A624B"/>
    <w:rsid w:val="004A6252"/>
    <w:rsid w:val="004A63AA"/>
    <w:rsid w:val="004A66CC"/>
    <w:rsid w:val="004A6A3E"/>
    <w:rsid w:val="004A7385"/>
    <w:rsid w:val="004A7414"/>
    <w:rsid w:val="004A7525"/>
    <w:rsid w:val="004A7A8F"/>
    <w:rsid w:val="004A7CBD"/>
    <w:rsid w:val="004A7CD9"/>
    <w:rsid w:val="004B00B6"/>
    <w:rsid w:val="004B0CC1"/>
    <w:rsid w:val="004B10D8"/>
    <w:rsid w:val="004B1975"/>
    <w:rsid w:val="004B1AD6"/>
    <w:rsid w:val="004B1E31"/>
    <w:rsid w:val="004B22B4"/>
    <w:rsid w:val="004B25FC"/>
    <w:rsid w:val="004B2AD8"/>
    <w:rsid w:val="004B2EEC"/>
    <w:rsid w:val="004B2FB0"/>
    <w:rsid w:val="004B2FEF"/>
    <w:rsid w:val="004B311B"/>
    <w:rsid w:val="004B3E64"/>
    <w:rsid w:val="004B3EA1"/>
    <w:rsid w:val="004B4478"/>
    <w:rsid w:val="004B4656"/>
    <w:rsid w:val="004B493C"/>
    <w:rsid w:val="004B50A6"/>
    <w:rsid w:val="004B51C5"/>
    <w:rsid w:val="004B5227"/>
    <w:rsid w:val="004B5321"/>
    <w:rsid w:val="004B54EC"/>
    <w:rsid w:val="004B5504"/>
    <w:rsid w:val="004B55E2"/>
    <w:rsid w:val="004B55E4"/>
    <w:rsid w:val="004B57DF"/>
    <w:rsid w:val="004B5A78"/>
    <w:rsid w:val="004B652C"/>
    <w:rsid w:val="004B65E7"/>
    <w:rsid w:val="004B6623"/>
    <w:rsid w:val="004B6A7C"/>
    <w:rsid w:val="004B6B7D"/>
    <w:rsid w:val="004B6C48"/>
    <w:rsid w:val="004B6CC0"/>
    <w:rsid w:val="004B707C"/>
    <w:rsid w:val="004B7085"/>
    <w:rsid w:val="004B74AB"/>
    <w:rsid w:val="004B761E"/>
    <w:rsid w:val="004C0749"/>
    <w:rsid w:val="004C08C8"/>
    <w:rsid w:val="004C08D6"/>
    <w:rsid w:val="004C0C13"/>
    <w:rsid w:val="004C0CF7"/>
    <w:rsid w:val="004C160C"/>
    <w:rsid w:val="004C1C69"/>
    <w:rsid w:val="004C1C9D"/>
    <w:rsid w:val="004C1D71"/>
    <w:rsid w:val="004C1E84"/>
    <w:rsid w:val="004C1FEE"/>
    <w:rsid w:val="004C23D9"/>
    <w:rsid w:val="004C25E5"/>
    <w:rsid w:val="004C305F"/>
    <w:rsid w:val="004C331A"/>
    <w:rsid w:val="004C339D"/>
    <w:rsid w:val="004C33E1"/>
    <w:rsid w:val="004C3453"/>
    <w:rsid w:val="004C36D3"/>
    <w:rsid w:val="004C3770"/>
    <w:rsid w:val="004C37C4"/>
    <w:rsid w:val="004C3D5E"/>
    <w:rsid w:val="004C42BE"/>
    <w:rsid w:val="004C4E59"/>
    <w:rsid w:val="004C52E6"/>
    <w:rsid w:val="004C54BB"/>
    <w:rsid w:val="004C552B"/>
    <w:rsid w:val="004C5758"/>
    <w:rsid w:val="004C59CC"/>
    <w:rsid w:val="004C59EE"/>
    <w:rsid w:val="004C5B9E"/>
    <w:rsid w:val="004C5EF8"/>
    <w:rsid w:val="004C641A"/>
    <w:rsid w:val="004C65B0"/>
    <w:rsid w:val="004C65B6"/>
    <w:rsid w:val="004C6809"/>
    <w:rsid w:val="004C6873"/>
    <w:rsid w:val="004C6CE4"/>
    <w:rsid w:val="004C6F4B"/>
    <w:rsid w:val="004C7086"/>
    <w:rsid w:val="004C7218"/>
    <w:rsid w:val="004C7892"/>
    <w:rsid w:val="004C7D80"/>
    <w:rsid w:val="004C7F3C"/>
    <w:rsid w:val="004D00F4"/>
    <w:rsid w:val="004D0449"/>
    <w:rsid w:val="004D0654"/>
    <w:rsid w:val="004D0DCB"/>
    <w:rsid w:val="004D11FD"/>
    <w:rsid w:val="004D1344"/>
    <w:rsid w:val="004D17DE"/>
    <w:rsid w:val="004D1977"/>
    <w:rsid w:val="004D19B7"/>
    <w:rsid w:val="004D1ABB"/>
    <w:rsid w:val="004D1BDC"/>
    <w:rsid w:val="004D1FEA"/>
    <w:rsid w:val="004D2047"/>
    <w:rsid w:val="004D2CAE"/>
    <w:rsid w:val="004D30CB"/>
    <w:rsid w:val="004D330F"/>
    <w:rsid w:val="004D349F"/>
    <w:rsid w:val="004D3BD9"/>
    <w:rsid w:val="004D3DA5"/>
    <w:rsid w:val="004D3DA6"/>
    <w:rsid w:val="004D4500"/>
    <w:rsid w:val="004D48AD"/>
    <w:rsid w:val="004D4B90"/>
    <w:rsid w:val="004D4C8E"/>
    <w:rsid w:val="004D4D1B"/>
    <w:rsid w:val="004D505B"/>
    <w:rsid w:val="004D5453"/>
    <w:rsid w:val="004D546D"/>
    <w:rsid w:val="004D58BF"/>
    <w:rsid w:val="004D6585"/>
    <w:rsid w:val="004D6867"/>
    <w:rsid w:val="004D6AC1"/>
    <w:rsid w:val="004D6CF4"/>
    <w:rsid w:val="004D6DC2"/>
    <w:rsid w:val="004D73CD"/>
    <w:rsid w:val="004D7471"/>
    <w:rsid w:val="004D753C"/>
    <w:rsid w:val="004D77A0"/>
    <w:rsid w:val="004D7812"/>
    <w:rsid w:val="004D7B3B"/>
    <w:rsid w:val="004D7E23"/>
    <w:rsid w:val="004D7EDF"/>
    <w:rsid w:val="004E01F4"/>
    <w:rsid w:val="004E063A"/>
    <w:rsid w:val="004E0713"/>
    <w:rsid w:val="004E0814"/>
    <w:rsid w:val="004E0FD2"/>
    <w:rsid w:val="004E11A8"/>
    <w:rsid w:val="004E1307"/>
    <w:rsid w:val="004E1365"/>
    <w:rsid w:val="004E1860"/>
    <w:rsid w:val="004E1A1E"/>
    <w:rsid w:val="004E1A5E"/>
    <w:rsid w:val="004E29B3"/>
    <w:rsid w:val="004E2A39"/>
    <w:rsid w:val="004E30A6"/>
    <w:rsid w:val="004E3335"/>
    <w:rsid w:val="004E33AA"/>
    <w:rsid w:val="004E36F9"/>
    <w:rsid w:val="004E374D"/>
    <w:rsid w:val="004E3F13"/>
    <w:rsid w:val="004E3FAD"/>
    <w:rsid w:val="004E4322"/>
    <w:rsid w:val="004E4915"/>
    <w:rsid w:val="004E4A69"/>
    <w:rsid w:val="004E4B19"/>
    <w:rsid w:val="004E4BA5"/>
    <w:rsid w:val="004E50DD"/>
    <w:rsid w:val="004E54F7"/>
    <w:rsid w:val="004E5CB9"/>
    <w:rsid w:val="004E6166"/>
    <w:rsid w:val="004E6179"/>
    <w:rsid w:val="004E62D1"/>
    <w:rsid w:val="004E6545"/>
    <w:rsid w:val="004E6882"/>
    <w:rsid w:val="004E6A1B"/>
    <w:rsid w:val="004E6B95"/>
    <w:rsid w:val="004E6C68"/>
    <w:rsid w:val="004E6CF4"/>
    <w:rsid w:val="004E6F1A"/>
    <w:rsid w:val="004E7217"/>
    <w:rsid w:val="004E72F1"/>
    <w:rsid w:val="004E7586"/>
    <w:rsid w:val="004E7740"/>
    <w:rsid w:val="004E7952"/>
    <w:rsid w:val="004E7BEC"/>
    <w:rsid w:val="004F0468"/>
    <w:rsid w:val="004F0485"/>
    <w:rsid w:val="004F07FD"/>
    <w:rsid w:val="004F1743"/>
    <w:rsid w:val="004F18DA"/>
    <w:rsid w:val="004F1A3D"/>
    <w:rsid w:val="004F1BE1"/>
    <w:rsid w:val="004F1E29"/>
    <w:rsid w:val="004F1F6F"/>
    <w:rsid w:val="004F2326"/>
    <w:rsid w:val="004F2365"/>
    <w:rsid w:val="004F261C"/>
    <w:rsid w:val="004F276A"/>
    <w:rsid w:val="004F2DB6"/>
    <w:rsid w:val="004F2EA4"/>
    <w:rsid w:val="004F31ED"/>
    <w:rsid w:val="004F3686"/>
    <w:rsid w:val="004F39A5"/>
    <w:rsid w:val="004F3C59"/>
    <w:rsid w:val="004F42E2"/>
    <w:rsid w:val="004F46BC"/>
    <w:rsid w:val="004F4B79"/>
    <w:rsid w:val="004F4C2C"/>
    <w:rsid w:val="004F5234"/>
    <w:rsid w:val="004F5C60"/>
    <w:rsid w:val="004F5CD1"/>
    <w:rsid w:val="004F5E33"/>
    <w:rsid w:val="004F6048"/>
    <w:rsid w:val="004F6BF2"/>
    <w:rsid w:val="004F7049"/>
    <w:rsid w:val="004F710B"/>
    <w:rsid w:val="004F7414"/>
    <w:rsid w:val="004F7422"/>
    <w:rsid w:val="004F7424"/>
    <w:rsid w:val="004F74F7"/>
    <w:rsid w:val="004F76AE"/>
    <w:rsid w:val="004F7B03"/>
    <w:rsid w:val="004F7B69"/>
    <w:rsid w:val="004F7CE3"/>
    <w:rsid w:val="005000EA"/>
    <w:rsid w:val="00500D7D"/>
    <w:rsid w:val="00500F34"/>
    <w:rsid w:val="00501CC2"/>
    <w:rsid w:val="00502045"/>
    <w:rsid w:val="00502520"/>
    <w:rsid w:val="00502C50"/>
    <w:rsid w:val="005032E9"/>
    <w:rsid w:val="00503BD8"/>
    <w:rsid w:val="00503EBD"/>
    <w:rsid w:val="00503FB5"/>
    <w:rsid w:val="00504912"/>
    <w:rsid w:val="00504A63"/>
    <w:rsid w:val="005053C8"/>
    <w:rsid w:val="00505D3D"/>
    <w:rsid w:val="00505D85"/>
    <w:rsid w:val="00506306"/>
    <w:rsid w:val="005063B7"/>
    <w:rsid w:val="005063C7"/>
    <w:rsid w:val="0050642A"/>
    <w:rsid w:val="0050674E"/>
    <w:rsid w:val="0050675F"/>
    <w:rsid w:val="005067FC"/>
    <w:rsid w:val="00506AF6"/>
    <w:rsid w:val="005073D5"/>
    <w:rsid w:val="00507685"/>
    <w:rsid w:val="0051093F"/>
    <w:rsid w:val="00510942"/>
    <w:rsid w:val="00510A35"/>
    <w:rsid w:val="00510B5C"/>
    <w:rsid w:val="00510ECC"/>
    <w:rsid w:val="0051133A"/>
    <w:rsid w:val="00511612"/>
    <w:rsid w:val="00511A15"/>
    <w:rsid w:val="00511A5C"/>
    <w:rsid w:val="00511FF3"/>
    <w:rsid w:val="005127B5"/>
    <w:rsid w:val="005131F9"/>
    <w:rsid w:val="00513317"/>
    <w:rsid w:val="00513DEE"/>
    <w:rsid w:val="00513E6D"/>
    <w:rsid w:val="00513EE7"/>
    <w:rsid w:val="00514050"/>
    <w:rsid w:val="005141F9"/>
    <w:rsid w:val="0051488D"/>
    <w:rsid w:val="00514F45"/>
    <w:rsid w:val="00515389"/>
    <w:rsid w:val="00515517"/>
    <w:rsid w:val="005155DB"/>
    <w:rsid w:val="005156AB"/>
    <w:rsid w:val="0051572E"/>
    <w:rsid w:val="00515976"/>
    <w:rsid w:val="00515EC4"/>
    <w:rsid w:val="005167F1"/>
    <w:rsid w:val="00516B8D"/>
    <w:rsid w:val="00516D5E"/>
    <w:rsid w:val="0051709B"/>
    <w:rsid w:val="0051740A"/>
    <w:rsid w:val="005175DF"/>
    <w:rsid w:val="00517E79"/>
    <w:rsid w:val="00520422"/>
    <w:rsid w:val="005207FC"/>
    <w:rsid w:val="005209D8"/>
    <w:rsid w:val="0052132D"/>
    <w:rsid w:val="0052158F"/>
    <w:rsid w:val="00521702"/>
    <w:rsid w:val="0052178B"/>
    <w:rsid w:val="0052181F"/>
    <w:rsid w:val="00521857"/>
    <w:rsid w:val="00521A69"/>
    <w:rsid w:val="00521D18"/>
    <w:rsid w:val="005225F8"/>
    <w:rsid w:val="0052267D"/>
    <w:rsid w:val="00522D92"/>
    <w:rsid w:val="00523132"/>
    <w:rsid w:val="005231E5"/>
    <w:rsid w:val="00523399"/>
    <w:rsid w:val="005233B0"/>
    <w:rsid w:val="005236C7"/>
    <w:rsid w:val="00523782"/>
    <w:rsid w:val="0052463E"/>
    <w:rsid w:val="00524C89"/>
    <w:rsid w:val="0052528D"/>
    <w:rsid w:val="00525407"/>
    <w:rsid w:val="00525618"/>
    <w:rsid w:val="00525B0E"/>
    <w:rsid w:val="00525BB9"/>
    <w:rsid w:val="00525EC7"/>
    <w:rsid w:val="005262A4"/>
    <w:rsid w:val="00526361"/>
    <w:rsid w:val="00526527"/>
    <w:rsid w:val="005267F7"/>
    <w:rsid w:val="00526B46"/>
    <w:rsid w:val="00526B95"/>
    <w:rsid w:val="00526E26"/>
    <w:rsid w:val="00526FE9"/>
    <w:rsid w:val="00527087"/>
    <w:rsid w:val="00527354"/>
    <w:rsid w:val="0052758A"/>
    <w:rsid w:val="00527707"/>
    <w:rsid w:val="00527914"/>
    <w:rsid w:val="00527AA1"/>
    <w:rsid w:val="00527B0A"/>
    <w:rsid w:val="00527B0F"/>
    <w:rsid w:val="00527F68"/>
    <w:rsid w:val="005303C8"/>
    <w:rsid w:val="00530859"/>
    <w:rsid w:val="005308DE"/>
    <w:rsid w:val="00530B97"/>
    <w:rsid w:val="00531268"/>
    <w:rsid w:val="00531385"/>
    <w:rsid w:val="005315FD"/>
    <w:rsid w:val="00531F07"/>
    <w:rsid w:val="00532455"/>
    <w:rsid w:val="00532581"/>
    <w:rsid w:val="00532BC8"/>
    <w:rsid w:val="00532DF6"/>
    <w:rsid w:val="00532F56"/>
    <w:rsid w:val="0053309B"/>
    <w:rsid w:val="00533533"/>
    <w:rsid w:val="0053384C"/>
    <w:rsid w:val="00533982"/>
    <w:rsid w:val="00533BB2"/>
    <w:rsid w:val="00533CA7"/>
    <w:rsid w:val="00533E3F"/>
    <w:rsid w:val="00534701"/>
    <w:rsid w:val="0053484C"/>
    <w:rsid w:val="00534914"/>
    <w:rsid w:val="00534F98"/>
    <w:rsid w:val="005359E5"/>
    <w:rsid w:val="00535A20"/>
    <w:rsid w:val="00536214"/>
    <w:rsid w:val="00536781"/>
    <w:rsid w:val="00536A51"/>
    <w:rsid w:val="00536AE9"/>
    <w:rsid w:val="00536BD0"/>
    <w:rsid w:val="00536D70"/>
    <w:rsid w:val="00537261"/>
    <w:rsid w:val="00537790"/>
    <w:rsid w:val="00537A41"/>
    <w:rsid w:val="00537B54"/>
    <w:rsid w:val="00537FBC"/>
    <w:rsid w:val="00537FFD"/>
    <w:rsid w:val="00540176"/>
    <w:rsid w:val="0054019A"/>
    <w:rsid w:val="0054043C"/>
    <w:rsid w:val="00540804"/>
    <w:rsid w:val="005408A5"/>
    <w:rsid w:val="0054095A"/>
    <w:rsid w:val="00540BEB"/>
    <w:rsid w:val="00540BFA"/>
    <w:rsid w:val="00540F1E"/>
    <w:rsid w:val="0054110E"/>
    <w:rsid w:val="00541885"/>
    <w:rsid w:val="005418AA"/>
    <w:rsid w:val="005419C0"/>
    <w:rsid w:val="00541A80"/>
    <w:rsid w:val="00541E6E"/>
    <w:rsid w:val="005421FC"/>
    <w:rsid w:val="0054257A"/>
    <w:rsid w:val="005428A5"/>
    <w:rsid w:val="00542BB7"/>
    <w:rsid w:val="00542C7A"/>
    <w:rsid w:val="00542F8E"/>
    <w:rsid w:val="00543167"/>
    <w:rsid w:val="0054321A"/>
    <w:rsid w:val="00543890"/>
    <w:rsid w:val="0054393A"/>
    <w:rsid w:val="00543C8C"/>
    <w:rsid w:val="0054435C"/>
    <w:rsid w:val="00544A9A"/>
    <w:rsid w:val="00544BA7"/>
    <w:rsid w:val="0054532E"/>
    <w:rsid w:val="005455FA"/>
    <w:rsid w:val="00545861"/>
    <w:rsid w:val="00545B44"/>
    <w:rsid w:val="00545B72"/>
    <w:rsid w:val="00545C2E"/>
    <w:rsid w:val="00545CCD"/>
    <w:rsid w:val="00545DE5"/>
    <w:rsid w:val="00545E05"/>
    <w:rsid w:val="005463D0"/>
    <w:rsid w:val="0054643B"/>
    <w:rsid w:val="0054666F"/>
    <w:rsid w:val="00546D37"/>
    <w:rsid w:val="00546FC5"/>
    <w:rsid w:val="0054799D"/>
    <w:rsid w:val="00547A12"/>
    <w:rsid w:val="005504C2"/>
    <w:rsid w:val="00550513"/>
    <w:rsid w:val="005508BF"/>
    <w:rsid w:val="00550B93"/>
    <w:rsid w:val="00550CFF"/>
    <w:rsid w:val="005513AC"/>
    <w:rsid w:val="00551449"/>
    <w:rsid w:val="005514E8"/>
    <w:rsid w:val="00552645"/>
    <w:rsid w:val="00552FA2"/>
    <w:rsid w:val="00553264"/>
    <w:rsid w:val="0055338A"/>
    <w:rsid w:val="00553A58"/>
    <w:rsid w:val="00553AF3"/>
    <w:rsid w:val="00553B8D"/>
    <w:rsid w:val="00553D67"/>
    <w:rsid w:val="00554662"/>
    <w:rsid w:val="005546C3"/>
    <w:rsid w:val="00554826"/>
    <w:rsid w:val="00554919"/>
    <w:rsid w:val="00554A46"/>
    <w:rsid w:val="00554C6A"/>
    <w:rsid w:val="005553C6"/>
    <w:rsid w:val="005554C1"/>
    <w:rsid w:val="0055595E"/>
    <w:rsid w:val="00555C3D"/>
    <w:rsid w:val="005560A6"/>
    <w:rsid w:val="005561F7"/>
    <w:rsid w:val="00556477"/>
    <w:rsid w:val="005567EB"/>
    <w:rsid w:val="00556FBD"/>
    <w:rsid w:val="0055749F"/>
    <w:rsid w:val="005574F3"/>
    <w:rsid w:val="00557728"/>
    <w:rsid w:val="00557A19"/>
    <w:rsid w:val="005606F9"/>
    <w:rsid w:val="0056082D"/>
    <w:rsid w:val="00560979"/>
    <w:rsid w:val="00560B0D"/>
    <w:rsid w:val="00560D0B"/>
    <w:rsid w:val="00561352"/>
    <w:rsid w:val="00561AD9"/>
    <w:rsid w:val="00561C6A"/>
    <w:rsid w:val="00561C95"/>
    <w:rsid w:val="00561DDB"/>
    <w:rsid w:val="005620BB"/>
    <w:rsid w:val="005632EA"/>
    <w:rsid w:val="005632F6"/>
    <w:rsid w:val="0056369A"/>
    <w:rsid w:val="005638B9"/>
    <w:rsid w:val="00563C1B"/>
    <w:rsid w:val="00563C94"/>
    <w:rsid w:val="00564065"/>
    <w:rsid w:val="0056526D"/>
    <w:rsid w:val="00566172"/>
    <w:rsid w:val="00566567"/>
    <w:rsid w:val="00566678"/>
    <w:rsid w:val="005669C2"/>
    <w:rsid w:val="00566DFB"/>
    <w:rsid w:val="005671CA"/>
    <w:rsid w:val="00567203"/>
    <w:rsid w:val="005672A4"/>
    <w:rsid w:val="00567383"/>
    <w:rsid w:val="005673A6"/>
    <w:rsid w:val="00567B51"/>
    <w:rsid w:val="00567E28"/>
    <w:rsid w:val="00567EA3"/>
    <w:rsid w:val="005701B8"/>
    <w:rsid w:val="00570264"/>
    <w:rsid w:val="005702F2"/>
    <w:rsid w:val="00570371"/>
    <w:rsid w:val="00570584"/>
    <w:rsid w:val="005705EF"/>
    <w:rsid w:val="00570C72"/>
    <w:rsid w:val="00571239"/>
    <w:rsid w:val="005714F6"/>
    <w:rsid w:val="00571C33"/>
    <w:rsid w:val="0057218F"/>
    <w:rsid w:val="005721FC"/>
    <w:rsid w:val="005725AD"/>
    <w:rsid w:val="005726DA"/>
    <w:rsid w:val="0057296B"/>
    <w:rsid w:val="00572A73"/>
    <w:rsid w:val="00573B06"/>
    <w:rsid w:val="00573E4C"/>
    <w:rsid w:val="00573E70"/>
    <w:rsid w:val="00574062"/>
    <w:rsid w:val="005746A2"/>
    <w:rsid w:val="00574974"/>
    <w:rsid w:val="00574B06"/>
    <w:rsid w:val="00574F39"/>
    <w:rsid w:val="00574FA6"/>
    <w:rsid w:val="005753D7"/>
    <w:rsid w:val="00575634"/>
    <w:rsid w:val="0057632C"/>
    <w:rsid w:val="00576559"/>
    <w:rsid w:val="00576669"/>
    <w:rsid w:val="00576790"/>
    <w:rsid w:val="0057681F"/>
    <w:rsid w:val="00576AE3"/>
    <w:rsid w:val="00576AE6"/>
    <w:rsid w:val="00576B9F"/>
    <w:rsid w:val="00576D8E"/>
    <w:rsid w:val="0057763E"/>
    <w:rsid w:val="005777E0"/>
    <w:rsid w:val="0057786C"/>
    <w:rsid w:val="005779F9"/>
    <w:rsid w:val="00577AE2"/>
    <w:rsid w:val="00577FA5"/>
    <w:rsid w:val="005805B4"/>
    <w:rsid w:val="005806DC"/>
    <w:rsid w:val="00581A65"/>
    <w:rsid w:val="00581B66"/>
    <w:rsid w:val="00581E87"/>
    <w:rsid w:val="00581ED2"/>
    <w:rsid w:val="005825F5"/>
    <w:rsid w:val="0058286F"/>
    <w:rsid w:val="00582884"/>
    <w:rsid w:val="00582B51"/>
    <w:rsid w:val="00583264"/>
    <w:rsid w:val="0058351D"/>
    <w:rsid w:val="0058397A"/>
    <w:rsid w:val="00583999"/>
    <w:rsid w:val="00583E53"/>
    <w:rsid w:val="00583F97"/>
    <w:rsid w:val="005844CB"/>
    <w:rsid w:val="00584811"/>
    <w:rsid w:val="00584877"/>
    <w:rsid w:val="005848BC"/>
    <w:rsid w:val="00584B85"/>
    <w:rsid w:val="00584CD3"/>
    <w:rsid w:val="00584F80"/>
    <w:rsid w:val="00584FE8"/>
    <w:rsid w:val="005850C1"/>
    <w:rsid w:val="005851C6"/>
    <w:rsid w:val="00585691"/>
    <w:rsid w:val="00585784"/>
    <w:rsid w:val="00585987"/>
    <w:rsid w:val="00585A16"/>
    <w:rsid w:val="00585A99"/>
    <w:rsid w:val="00585FB5"/>
    <w:rsid w:val="0058606B"/>
    <w:rsid w:val="005863FA"/>
    <w:rsid w:val="005868F1"/>
    <w:rsid w:val="00586994"/>
    <w:rsid w:val="00586C30"/>
    <w:rsid w:val="00586E7E"/>
    <w:rsid w:val="00587084"/>
    <w:rsid w:val="00587211"/>
    <w:rsid w:val="00587953"/>
    <w:rsid w:val="00587E57"/>
    <w:rsid w:val="00590494"/>
    <w:rsid w:val="00590616"/>
    <w:rsid w:val="00590763"/>
    <w:rsid w:val="00590878"/>
    <w:rsid w:val="00590C92"/>
    <w:rsid w:val="00590ED1"/>
    <w:rsid w:val="00591333"/>
    <w:rsid w:val="005913AC"/>
    <w:rsid w:val="0059169F"/>
    <w:rsid w:val="00591E01"/>
    <w:rsid w:val="00591EAC"/>
    <w:rsid w:val="005920B0"/>
    <w:rsid w:val="00592370"/>
    <w:rsid w:val="00592AC5"/>
    <w:rsid w:val="00592AF0"/>
    <w:rsid w:val="00592D02"/>
    <w:rsid w:val="00592D54"/>
    <w:rsid w:val="005931F6"/>
    <w:rsid w:val="00593277"/>
    <w:rsid w:val="00593325"/>
    <w:rsid w:val="00593767"/>
    <w:rsid w:val="00593A5E"/>
    <w:rsid w:val="00593AA6"/>
    <w:rsid w:val="00594161"/>
    <w:rsid w:val="0059451B"/>
    <w:rsid w:val="00594568"/>
    <w:rsid w:val="00594749"/>
    <w:rsid w:val="005947E5"/>
    <w:rsid w:val="00594843"/>
    <w:rsid w:val="005950B3"/>
    <w:rsid w:val="0059575F"/>
    <w:rsid w:val="00595E3D"/>
    <w:rsid w:val="00595ED5"/>
    <w:rsid w:val="00595F66"/>
    <w:rsid w:val="00596868"/>
    <w:rsid w:val="00596ABF"/>
    <w:rsid w:val="00596CEB"/>
    <w:rsid w:val="00596E28"/>
    <w:rsid w:val="00597704"/>
    <w:rsid w:val="00597E02"/>
    <w:rsid w:val="005A00A3"/>
    <w:rsid w:val="005A06F0"/>
    <w:rsid w:val="005A08D1"/>
    <w:rsid w:val="005A0F4C"/>
    <w:rsid w:val="005A0FF4"/>
    <w:rsid w:val="005A1140"/>
    <w:rsid w:val="005A12C0"/>
    <w:rsid w:val="005A162A"/>
    <w:rsid w:val="005A19E7"/>
    <w:rsid w:val="005A1CDD"/>
    <w:rsid w:val="005A221A"/>
    <w:rsid w:val="005A2405"/>
    <w:rsid w:val="005A2555"/>
    <w:rsid w:val="005A2802"/>
    <w:rsid w:val="005A2ADC"/>
    <w:rsid w:val="005A3572"/>
    <w:rsid w:val="005A42A9"/>
    <w:rsid w:val="005A4334"/>
    <w:rsid w:val="005A44AD"/>
    <w:rsid w:val="005A4B17"/>
    <w:rsid w:val="005A4E09"/>
    <w:rsid w:val="005A5492"/>
    <w:rsid w:val="005A553B"/>
    <w:rsid w:val="005A56B8"/>
    <w:rsid w:val="005A58A8"/>
    <w:rsid w:val="005A5A4B"/>
    <w:rsid w:val="005A5C4F"/>
    <w:rsid w:val="005A5F51"/>
    <w:rsid w:val="005A65D5"/>
    <w:rsid w:val="005A6815"/>
    <w:rsid w:val="005A6EC4"/>
    <w:rsid w:val="005A712F"/>
    <w:rsid w:val="005A7566"/>
    <w:rsid w:val="005A75E9"/>
    <w:rsid w:val="005A787B"/>
    <w:rsid w:val="005B0582"/>
    <w:rsid w:val="005B0B77"/>
    <w:rsid w:val="005B0C3A"/>
    <w:rsid w:val="005B0E84"/>
    <w:rsid w:val="005B14BC"/>
    <w:rsid w:val="005B19E4"/>
    <w:rsid w:val="005B1A91"/>
    <w:rsid w:val="005B1F0A"/>
    <w:rsid w:val="005B2024"/>
    <w:rsid w:val="005B2482"/>
    <w:rsid w:val="005B2652"/>
    <w:rsid w:val="005B27B0"/>
    <w:rsid w:val="005B2A50"/>
    <w:rsid w:val="005B2E62"/>
    <w:rsid w:val="005B3585"/>
    <w:rsid w:val="005B3ADF"/>
    <w:rsid w:val="005B3B84"/>
    <w:rsid w:val="005B3D91"/>
    <w:rsid w:val="005B4067"/>
    <w:rsid w:val="005B412F"/>
    <w:rsid w:val="005B4812"/>
    <w:rsid w:val="005B4A44"/>
    <w:rsid w:val="005B4C89"/>
    <w:rsid w:val="005B4C9E"/>
    <w:rsid w:val="005B50EE"/>
    <w:rsid w:val="005B50EF"/>
    <w:rsid w:val="005B51BA"/>
    <w:rsid w:val="005B547D"/>
    <w:rsid w:val="005B5D1B"/>
    <w:rsid w:val="005B6192"/>
    <w:rsid w:val="005B620F"/>
    <w:rsid w:val="005B677B"/>
    <w:rsid w:val="005B69A7"/>
    <w:rsid w:val="005B6CA9"/>
    <w:rsid w:val="005B6D10"/>
    <w:rsid w:val="005B6FAC"/>
    <w:rsid w:val="005B70D5"/>
    <w:rsid w:val="005B7980"/>
    <w:rsid w:val="005C015F"/>
    <w:rsid w:val="005C050D"/>
    <w:rsid w:val="005C05AC"/>
    <w:rsid w:val="005C08EC"/>
    <w:rsid w:val="005C0AA2"/>
    <w:rsid w:val="005C0DFF"/>
    <w:rsid w:val="005C0FEC"/>
    <w:rsid w:val="005C12D2"/>
    <w:rsid w:val="005C145A"/>
    <w:rsid w:val="005C1FD8"/>
    <w:rsid w:val="005C2347"/>
    <w:rsid w:val="005C2975"/>
    <w:rsid w:val="005C2A07"/>
    <w:rsid w:val="005C2F2E"/>
    <w:rsid w:val="005C316C"/>
    <w:rsid w:val="005C3D85"/>
    <w:rsid w:val="005C3F1F"/>
    <w:rsid w:val="005C3F41"/>
    <w:rsid w:val="005C40FA"/>
    <w:rsid w:val="005C45D3"/>
    <w:rsid w:val="005C480D"/>
    <w:rsid w:val="005C48F3"/>
    <w:rsid w:val="005C4CC0"/>
    <w:rsid w:val="005C512F"/>
    <w:rsid w:val="005C5145"/>
    <w:rsid w:val="005C54FC"/>
    <w:rsid w:val="005C5C4C"/>
    <w:rsid w:val="005C5EF8"/>
    <w:rsid w:val="005C6045"/>
    <w:rsid w:val="005C6167"/>
    <w:rsid w:val="005C6187"/>
    <w:rsid w:val="005C65D5"/>
    <w:rsid w:val="005C6BC2"/>
    <w:rsid w:val="005C711F"/>
    <w:rsid w:val="005C7286"/>
    <w:rsid w:val="005C747E"/>
    <w:rsid w:val="005C7493"/>
    <w:rsid w:val="005C79FA"/>
    <w:rsid w:val="005C7F1B"/>
    <w:rsid w:val="005D0943"/>
    <w:rsid w:val="005D0B2C"/>
    <w:rsid w:val="005D0CE1"/>
    <w:rsid w:val="005D1207"/>
    <w:rsid w:val="005D1254"/>
    <w:rsid w:val="005D13E8"/>
    <w:rsid w:val="005D140F"/>
    <w:rsid w:val="005D14D6"/>
    <w:rsid w:val="005D1577"/>
    <w:rsid w:val="005D1D92"/>
    <w:rsid w:val="005D1F98"/>
    <w:rsid w:val="005D2216"/>
    <w:rsid w:val="005D250C"/>
    <w:rsid w:val="005D2731"/>
    <w:rsid w:val="005D29D9"/>
    <w:rsid w:val="005D2D09"/>
    <w:rsid w:val="005D2D15"/>
    <w:rsid w:val="005D2F5D"/>
    <w:rsid w:val="005D30B8"/>
    <w:rsid w:val="005D325C"/>
    <w:rsid w:val="005D38AF"/>
    <w:rsid w:val="005D39B0"/>
    <w:rsid w:val="005D3AEA"/>
    <w:rsid w:val="005D3DB0"/>
    <w:rsid w:val="005D44C9"/>
    <w:rsid w:val="005D4B2F"/>
    <w:rsid w:val="005D4F54"/>
    <w:rsid w:val="005D4F8D"/>
    <w:rsid w:val="005D5030"/>
    <w:rsid w:val="005D5204"/>
    <w:rsid w:val="005D5278"/>
    <w:rsid w:val="005D5ACF"/>
    <w:rsid w:val="005D5D1A"/>
    <w:rsid w:val="005D5E64"/>
    <w:rsid w:val="005D5F69"/>
    <w:rsid w:val="005D67E1"/>
    <w:rsid w:val="005D6AA4"/>
    <w:rsid w:val="005D6E71"/>
    <w:rsid w:val="005D6F59"/>
    <w:rsid w:val="005D7011"/>
    <w:rsid w:val="005D728A"/>
    <w:rsid w:val="005D7520"/>
    <w:rsid w:val="005D7B7F"/>
    <w:rsid w:val="005D7BA2"/>
    <w:rsid w:val="005E00BD"/>
    <w:rsid w:val="005E02BE"/>
    <w:rsid w:val="005E068F"/>
    <w:rsid w:val="005E09C6"/>
    <w:rsid w:val="005E0FA8"/>
    <w:rsid w:val="005E0FB3"/>
    <w:rsid w:val="005E1011"/>
    <w:rsid w:val="005E115C"/>
    <w:rsid w:val="005E122D"/>
    <w:rsid w:val="005E1F70"/>
    <w:rsid w:val="005E2044"/>
    <w:rsid w:val="005E2558"/>
    <w:rsid w:val="005E28AC"/>
    <w:rsid w:val="005E2955"/>
    <w:rsid w:val="005E320D"/>
    <w:rsid w:val="005E3401"/>
    <w:rsid w:val="005E353E"/>
    <w:rsid w:val="005E3983"/>
    <w:rsid w:val="005E3A82"/>
    <w:rsid w:val="005E457D"/>
    <w:rsid w:val="005E4790"/>
    <w:rsid w:val="005E47A3"/>
    <w:rsid w:val="005E4E0F"/>
    <w:rsid w:val="005E4E8F"/>
    <w:rsid w:val="005E5740"/>
    <w:rsid w:val="005E5801"/>
    <w:rsid w:val="005E5DFC"/>
    <w:rsid w:val="005E5EBF"/>
    <w:rsid w:val="005E5EEE"/>
    <w:rsid w:val="005E66E9"/>
    <w:rsid w:val="005E6D86"/>
    <w:rsid w:val="005E6F9E"/>
    <w:rsid w:val="005E6FF1"/>
    <w:rsid w:val="005E7026"/>
    <w:rsid w:val="005E7317"/>
    <w:rsid w:val="005E733A"/>
    <w:rsid w:val="005E7565"/>
    <w:rsid w:val="005F0585"/>
    <w:rsid w:val="005F05A4"/>
    <w:rsid w:val="005F0679"/>
    <w:rsid w:val="005F0692"/>
    <w:rsid w:val="005F06A7"/>
    <w:rsid w:val="005F0872"/>
    <w:rsid w:val="005F0BCD"/>
    <w:rsid w:val="005F0F76"/>
    <w:rsid w:val="005F0FEB"/>
    <w:rsid w:val="005F11D1"/>
    <w:rsid w:val="005F128E"/>
    <w:rsid w:val="005F1382"/>
    <w:rsid w:val="005F1F1A"/>
    <w:rsid w:val="005F2987"/>
    <w:rsid w:val="005F380A"/>
    <w:rsid w:val="005F3883"/>
    <w:rsid w:val="005F38FA"/>
    <w:rsid w:val="005F3B9E"/>
    <w:rsid w:val="005F3D40"/>
    <w:rsid w:val="005F3D90"/>
    <w:rsid w:val="005F41DA"/>
    <w:rsid w:val="005F42A1"/>
    <w:rsid w:val="005F46F3"/>
    <w:rsid w:val="005F497A"/>
    <w:rsid w:val="005F4EB0"/>
    <w:rsid w:val="005F5853"/>
    <w:rsid w:val="005F5C2B"/>
    <w:rsid w:val="005F5C46"/>
    <w:rsid w:val="005F5F4D"/>
    <w:rsid w:val="005F5FFA"/>
    <w:rsid w:val="005F62F6"/>
    <w:rsid w:val="005F6513"/>
    <w:rsid w:val="005F6704"/>
    <w:rsid w:val="005F6877"/>
    <w:rsid w:val="005F6A5A"/>
    <w:rsid w:val="005F76D4"/>
    <w:rsid w:val="005F7944"/>
    <w:rsid w:val="0060001B"/>
    <w:rsid w:val="0060007F"/>
    <w:rsid w:val="006001FA"/>
    <w:rsid w:val="00600219"/>
    <w:rsid w:val="00600B75"/>
    <w:rsid w:val="00601458"/>
    <w:rsid w:val="0060177C"/>
    <w:rsid w:val="0060195C"/>
    <w:rsid w:val="00601AF5"/>
    <w:rsid w:val="00601BDD"/>
    <w:rsid w:val="00602154"/>
    <w:rsid w:val="00602A8F"/>
    <w:rsid w:val="00602D8E"/>
    <w:rsid w:val="00602DC0"/>
    <w:rsid w:val="00602F6C"/>
    <w:rsid w:val="00603248"/>
    <w:rsid w:val="006032BF"/>
    <w:rsid w:val="00603CBF"/>
    <w:rsid w:val="00603F25"/>
    <w:rsid w:val="00604001"/>
    <w:rsid w:val="0060445C"/>
    <w:rsid w:val="00604679"/>
    <w:rsid w:val="006048F2"/>
    <w:rsid w:val="00604943"/>
    <w:rsid w:val="00604B8B"/>
    <w:rsid w:val="00604F2A"/>
    <w:rsid w:val="006054A9"/>
    <w:rsid w:val="006057CE"/>
    <w:rsid w:val="00605828"/>
    <w:rsid w:val="00605A5D"/>
    <w:rsid w:val="00605E3D"/>
    <w:rsid w:val="00605F00"/>
    <w:rsid w:val="006064F2"/>
    <w:rsid w:val="00606546"/>
    <w:rsid w:val="00606F17"/>
    <w:rsid w:val="006073F7"/>
    <w:rsid w:val="00607409"/>
    <w:rsid w:val="0060753B"/>
    <w:rsid w:val="00607DC3"/>
    <w:rsid w:val="00607F42"/>
    <w:rsid w:val="00610021"/>
    <w:rsid w:val="00610293"/>
    <w:rsid w:val="00610677"/>
    <w:rsid w:val="0061105D"/>
    <w:rsid w:val="00611097"/>
    <w:rsid w:val="00611100"/>
    <w:rsid w:val="00611109"/>
    <w:rsid w:val="00611122"/>
    <w:rsid w:val="00611434"/>
    <w:rsid w:val="0061156B"/>
    <w:rsid w:val="00611571"/>
    <w:rsid w:val="006116A7"/>
    <w:rsid w:val="00611810"/>
    <w:rsid w:val="00611835"/>
    <w:rsid w:val="00611D21"/>
    <w:rsid w:val="0061262A"/>
    <w:rsid w:val="0061272D"/>
    <w:rsid w:val="00612BB0"/>
    <w:rsid w:val="00612DF6"/>
    <w:rsid w:val="00612F5D"/>
    <w:rsid w:val="00613049"/>
    <w:rsid w:val="0061306A"/>
    <w:rsid w:val="006133C1"/>
    <w:rsid w:val="006133DD"/>
    <w:rsid w:val="00613EF4"/>
    <w:rsid w:val="00613F1F"/>
    <w:rsid w:val="00613FB7"/>
    <w:rsid w:val="0061439C"/>
    <w:rsid w:val="00614D05"/>
    <w:rsid w:val="00615305"/>
    <w:rsid w:val="006154FA"/>
    <w:rsid w:val="00615A3A"/>
    <w:rsid w:val="00615CF5"/>
    <w:rsid w:val="00615F3F"/>
    <w:rsid w:val="00615F72"/>
    <w:rsid w:val="006168F2"/>
    <w:rsid w:val="00616CB2"/>
    <w:rsid w:val="00616CD6"/>
    <w:rsid w:val="00617161"/>
    <w:rsid w:val="00617494"/>
    <w:rsid w:val="00617641"/>
    <w:rsid w:val="006177DC"/>
    <w:rsid w:val="0061789B"/>
    <w:rsid w:val="006179F1"/>
    <w:rsid w:val="00617CBE"/>
    <w:rsid w:val="00620076"/>
    <w:rsid w:val="00620143"/>
    <w:rsid w:val="006202AD"/>
    <w:rsid w:val="006202C0"/>
    <w:rsid w:val="00620931"/>
    <w:rsid w:val="00622331"/>
    <w:rsid w:val="00622442"/>
    <w:rsid w:val="00622963"/>
    <w:rsid w:val="00622967"/>
    <w:rsid w:val="00622BC5"/>
    <w:rsid w:val="00622C68"/>
    <w:rsid w:val="00622D95"/>
    <w:rsid w:val="0062305C"/>
    <w:rsid w:val="006232D2"/>
    <w:rsid w:val="00623545"/>
    <w:rsid w:val="006237F6"/>
    <w:rsid w:val="0062405A"/>
    <w:rsid w:val="00624359"/>
    <w:rsid w:val="006245C5"/>
    <w:rsid w:val="0062470B"/>
    <w:rsid w:val="00624A10"/>
    <w:rsid w:val="00624B88"/>
    <w:rsid w:val="00624C46"/>
    <w:rsid w:val="00625A20"/>
    <w:rsid w:val="00625CEF"/>
    <w:rsid w:val="00625EAF"/>
    <w:rsid w:val="00626360"/>
    <w:rsid w:val="006268CA"/>
    <w:rsid w:val="006269B8"/>
    <w:rsid w:val="006269DD"/>
    <w:rsid w:val="00626CF9"/>
    <w:rsid w:val="006277C1"/>
    <w:rsid w:val="006277D1"/>
    <w:rsid w:val="00627B20"/>
    <w:rsid w:val="00627BBF"/>
    <w:rsid w:val="00627E0A"/>
    <w:rsid w:val="00630CCE"/>
    <w:rsid w:val="00631B6D"/>
    <w:rsid w:val="00631FA0"/>
    <w:rsid w:val="0063227A"/>
    <w:rsid w:val="006325B0"/>
    <w:rsid w:val="006328F7"/>
    <w:rsid w:val="00632F38"/>
    <w:rsid w:val="00632FD3"/>
    <w:rsid w:val="0063395F"/>
    <w:rsid w:val="00633D39"/>
    <w:rsid w:val="00633F32"/>
    <w:rsid w:val="00634A19"/>
    <w:rsid w:val="00634A2B"/>
    <w:rsid w:val="00634B0C"/>
    <w:rsid w:val="00634C2B"/>
    <w:rsid w:val="00634CFD"/>
    <w:rsid w:val="00634E2B"/>
    <w:rsid w:val="00635130"/>
    <w:rsid w:val="006353A7"/>
    <w:rsid w:val="00635775"/>
    <w:rsid w:val="00635B75"/>
    <w:rsid w:val="00635D2E"/>
    <w:rsid w:val="00636AAF"/>
    <w:rsid w:val="00636DED"/>
    <w:rsid w:val="006370DB"/>
    <w:rsid w:val="00637660"/>
    <w:rsid w:val="00637D26"/>
    <w:rsid w:val="00637F6C"/>
    <w:rsid w:val="00637FA0"/>
    <w:rsid w:val="006400CB"/>
    <w:rsid w:val="006406B8"/>
    <w:rsid w:val="00640C9A"/>
    <w:rsid w:val="006411AA"/>
    <w:rsid w:val="0064129D"/>
    <w:rsid w:val="00641354"/>
    <w:rsid w:val="00641373"/>
    <w:rsid w:val="0064143B"/>
    <w:rsid w:val="00641579"/>
    <w:rsid w:val="0064186C"/>
    <w:rsid w:val="00641A2B"/>
    <w:rsid w:val="00641B18"/>
    <w:rsid w:val="00641C2F"/>
    <w:rsid w:val="0064258E"/>
    <w:rsid w:val="00642599"/>
    <w:rsid w:val="006428CE"/>
    <w:rsid w:val="006439DC"/>
    <w:rsid w:val="00643B0C"/>
    <w:rsid w:val="00643BEC"/>
    <w:rsid w:val="00643CA9"/>
    <w:rsid w:val="006440EB"/>
    <w:rsid w:val="00644685"/>
    <w:rsid w:val="0064468A"/>
    <w:rsid w:val="00645533"/>
    <w:rsid w:val="0064555D"/>
    <w:rsid w:val="0064557B"/>
    <w:rsid w:val="00645780"/>
    <w:rsid w:val="006457CF"/>
    <w:rsid w:val="006459EF"/>
    <w:rsid w:val="00645C54"/>
    <w:rsid w:val="00645EDE"/>
    <w:rsid w:val="00645EFC"/>
    <w:rsid w:val="0064640C"/>
    <w:rsid w:val="006469F0"/>
    <w:rsid w:val="00646B83"/>
    <w:rsid w:val="00646E04"/>
    <w:rsid w:val="00646F98"/>
    <w:rsid w:val="006470C6"/>
    <w:rsid w:val="00647468"/>
    <w:rsid w:val="00647B86"/>
    <w:rsid w:val="00647CD4"/>
    <w:rsid w:val="006501A9"/>
    <w:rsid w:val="00650258"/>
    <w:rsid w:val="00650303"/>
    <w:rsid w:val="00650322"/>
    <w:rsid w:val="00650836"/>
    <w:rsid w:val="00650CC8"/>
    <w:rsid w:val="00650D27"/>
    <w:rsid w:val="00650E4E"/>
    <w:rsid w:val="006512A0"/>
    <w:rsid w:val="00651598"/>
    <w:rsid w:val="00651859"/>
    <w:rsid w:val="00651977"/>
    <w:rsid w:val="00651A6B"/>
    <w:rsid w:val="00651E0E"/>
    <w:rsid w:val="00651E77"/>
    <w:rsid w:val="00652327"/>
    <w:rsid w:val="006523AF"/>
    <w:rsid w:val="00652543"/>
    <w:rsid w:val="0065271F"/>
    <w:rsid w:val="006527A0"/>
    <w:rsid w:val="00652E95"/>
    <w:rsid w:val="0065338E"/>
    <w:rsid w:val="00653ED0"/>
    <w:rsid w:val="006542FF"/>
    <w:rsid w:val="00654450"/>
    <w:rsid w:val="006545D4"/>
    <w:rsid w:val="0065488B"/>
    <w:rsid w:val="00654A37"/>
    <w:rsid w:val="00654A4D"/>
    <w:rsid w:val="00654B19"/>
    <w:rsid w:val="00654DC9"/>
    <w:rsid w:val="00655194"/>
    <w:rsid w:val="006551E6"/>
    <w:rsid w:val="00655348"/>
    <w:rsid w:val="00655725"/>
    <w:rsid w:val="006559F6"/>
    <w:rsid w:val="00655B44"/>
    <w:rsid w:val="00656B60"/>
    <w:rsid w:val="00656FD1"/>
    <w:rsid w:val="00657015"/>
    <w:rsid w:val="0065726A"/>
    <w:rsid w:val="0065734A"/>
    <w:rsid w:val="00657409"/>
    <w:rsid w:val="0065745C"/>
    <w:rsid w:val="006574AE"/>
    <w:rsid w:val="006576EE"/>
    <w:rsid w:val="006577B0"/>
    <w:rsid w:val="00657865"/>
    <w:rsid w:val="00657BD6"/>
    <w:rsid w:val="00657EB1"/>
    <w:rsid w:val="00657FC0"/>
    <w:rsid w:val="00660292"/>
    <w:rsid w:val="006605F3"/>
    <w:rsid w:val="00660648"/>
    <w:rsid w:val="00660C22"/>
    <w:rsid w:val="00660EA9"/>
    <w:rsid w:val="006613DD"/>
    <w:rsid w:val="006615B8"/>
    <w:rsid w:val="00661642"/>
    <w:rsid w:val="00661647"/>
    <w:rsid w:val="006618C7"/>
    <w:rsid w:val="00661B1D"/>
    <w:rsid w:val="00661BD9"/>
    <w:rsid w:val="00661DA2"/>
    <w:rsid w:val="0066254D"/>
    <w:rsid w:val="0066261E"/>
    <w:rsid w:val="0066289C"/>
    <w:rsid w:val="00662909"/>
    <w:rsid w:val="00662C00"/>
    <w:rsid w:val="00663B06"/>
    <w:rsid w:val="00664D1B"/>
    <w:rsid w:val="00664FFE"/>
    <w:rsid w:val="006650B7"/>
    <w:rsid w:val="00665366"/>
    <w:rsid w:val="00665A4A"/>
    <w:rsid w:val="00665C3A"/>
    <w:rsid w:val="00666165"/>
    <w:rsid w:val="0066619D"/>
    <w:rsid w:val="0066622F"/>
    <w:rsid w:val="00666570"/>
    <w:rsid w:val="00666781"/>
    <w:rsid w:val="00666879"/>
    <w:rsid w:val="006668DC"/>
    <w:rsid w:val="00667055"/>
    <w:rsid w:val="0066709D"/>
    <w:rsid w:val="0066723C"/>
    <w:rsid w:val="006678B8"/>
    <w:rsid w:val="00667BF8"/>
    <w:rsid w:val="00667C80"/>
    <w:rsid w:val="00667D7E"/>
    <w:rsid w:val="006700ED"/>
    <w:rsid w:val="0067030C"/>
    <w:rsid w:val="00670639"/>
    <w:rsid w:val="0067067B"/>
    <w:rsid w:val="006707BE"/>
    <w:rsid w:val="00670A4A"/>
    <w:rsid w:val="00670B57"/>
    <w:rsid w:val="00670C72"/>
    <w:rsid w:val="00670EA1"/>
    <w:rsid w:val="00670EE8"/>
    <w:rsid w:val="006710FF"/>
    <w:rsid w:val="006713C7"/>
    <w:rsid w:val="00671464"/>
    <w:rsid w:val="0067196D"/>
    <w:rsid w:val="00671ABF"/>
    <w:rsid w:val="00672098"/>
    <w:rsid w:val="00672569"/>
    <w:rsid w:val="00672663"/>
    <w:rsid w:val="00672CCE"/>
    <w:rsid w:val="00672E97"/>
    <w:rsid w:val="0067300D"/>
    <w:rsid w:val="00673059"/>
    <w:rsid w:val="0067325E"/>
    <w:rsid w:val="006733A6"/>
    <w:rsid w:val="006738B1"/>
    <w:rsid w:val="00673DF3"/>
    <w:rsid w:val="00673E27"/>
    <w:rsid w:val="0067406D"/>
    <w:rsid w:val="006746C8"/>
    <w:rsid w:val="00674C29"/>
    <w:rsid w:val="00674F25"/>
    <w:rsid w:val="0067524B"/>
    <w:rsid w:val="00675371"/>
    <w:rsid w:val="00675414"/>
    <w:rsid w:val="006758CE"/>
    <w:rsid w:val="00675964"/>
    <w:rsid w:val="00675F61"/>
    <w:rsid w:val="00676577"/>
    <w:rsid w:val="006765B7"/>
    <w:rsid w:val="00676975"/>
    <w:rsid w:val="00677174"/>
    <w:rsid w:val="00677444"/>
    <w:rsid w:val="0067794E"/>
    <w:rsid w:val="00677A7A"/>
    <w:rsid w:val="00677B40"/>
    <w:rsid w:val="00677CC2"/>
    <w:rsid w:val="00677EE3"/>
    <w:rsid w:val="006800A2"/>
    <w:rsid w:val="00680165"/>
    <w:rsid w:val="006802B7"/>
    <w:rsid w:val="006806D8"/>
    <w:rsid w:val="0068085D"/>
    <w:rsid w:val="0068144D"/>
    <w:rsid w:val="00681654"/>
    <w:rsid w:val="00681986"/>
    <w:rsid w:val="00681C0D"/>
    <w:rsid w:val="00681C87"/>
    <w:rsid w:val="00681F3E"/>
    <w:rsid w:val="0068201F"/>
    <w:rsid w:val="00682087"/>
    <w:rsid w:val="00682377"/>
    <w:rsid w:val="0068241F"/>
    <w:rsid w:val="00682447"/>
    <w:rsid w:val="00682A8D"/>
    <w:rsid w:val="00682AB1"/>
    <w:rsid w:val="00682D57"/>
    <w:rsid w:val="00682DD6"/>
    <w:rsid w:val="006833C7"/>
    <w:rsid w:val="006833E3"/>
    <w:rsid w:val="006839AF"/>
    <w:rsid w:val="00683E02"/>
    <w:rsid w:val="00683F64"/>
    <w:rsid w:val="006842D0"/>
    <w:rsid w:val="006854A6"/>
    <w:rsid w:val="00685666"/>
    <w:rsid w:val="00685849"/>
    <w:rsid w:val="00685B6B"/>
    <w:rsid w:val="00685CBC"/>
    <w:rsid w:val="00685E28"/>
    <w:rsid w:val="0068609F"/>
    <w:rsid w:val="006860E5"/>
    <w:rsid w:val="0068615D"/>
    <w:rsid w:val="006861A8"/>
    <w:rsid w:val="00686207"/>
    <w:rsid w:val="00686487"/>
    <w:rsid w:val="00686B6F"/>
    <w:rsid w:val="00687042"/>
    <w:rsid w:val="0068744B"/>
    <w:rsid w:val="00687705"/>
    <w:rsid w:val="006879C2"/>
    <w:rsid w:val="006905DE"/>
    <w:rsid w:val="0069064E"/>
    <w:rsid w:val="006906FF"/>
    <w:rsid w:val="00690A7C"/>
    <w:rsid w:val="00690E1C"/>
    <w:rsid w:val="00690E59"/>
    <w:rsid w:val="00690F9D"/>
    <w:rsid w:val="00691D93"/>
    <w:rsid w:val="0069207B"/>
    <w:rsid w:val="00692643"/>
    <w:rsid w:val="00692743"/>
    <w:rsid w:val="006936C2"/>
    <w:rsid w:val="00693CFD"/>
    <w:rsid w:val="00693E1C"/>
    <w:rsid w:val="006942A0"/>
    <w:rsid w:val="006942BB"/>
    <w:rsid w:val="006945F2"/>
    <w:rsid w:val="00695155"/>
    <w:rsid w:val="006951D4"/>
    <w:rsid w:val="006951D9"/>
    <w:rsid w:val="0069550F"/>
    <w:rsid w:val="006955D6"/>
    <w:rsid w:val="00696400"/>
    <w:rsid w:val="00696A1A"/>
    <w:rsid w:val="00696D32"/>
    <w:rsid w:val="006971AE"/>
    <w:rsid w:val="0069750A"/>
    <w:rsid w:val="00697797"/>
    <w:rsid w:val="0069799C"/>
    <w:rsid w:val="00697F3A"/>
    <w:rsid w:val="006A0200"/>
    <w:rsid w:val="006A05E4"/>
    <w:rsid w:val="006A0962"/>
    <w:rsid w:val="006A099A"/>
    <w:rsid w:val="006A0A91"/>
    <w:rsid w:val="006A0D90"/>
    <w:rsid w:val="006A154F"/>
    <w:rsid w:val="006A16A9"/>
    <w:rsid w:val="006A1869"/>
    <w:rsid w:val="006A19AF"/>
    <w:rsid w:val="006A1BB9"/>
    <w:rsid w:val="006A289A"/>
    <w:rsid w:val="006A2BE5"/>
    <w:rsid w:val="006A3878"/>
    <w:rsid w:val="006A3D50"/>
    <w:rsid w:val="006A437B"/>
    <w:rsid w:val="006A44C9"/>
    <w:rsid w:val="006A46A1"/>
    <w:rsid w:val="006A4999"/>
    <w:rsid w:val="006A49B7"/>
    <w:rsid w:val="006A4CCB"/>
    <w:rsid w:val="006A59D7"/>
    <w:rsid w:val="006A5C45"/>
    <w:rsid w:val="006A5F5A"/>
    <w:rsid w:val="006A66EB"/>
    <w:rsid w:val="006A67DC"/>
    <w:rsid w:val="006A6A4A"/>
    <w:rsid w:val="006A744D"/>
    <w:rsid w:val="006A7B7C"/>
    <w:rsid w:val="006B0374"/>
    <w:rsid w:val="006B0789"/>
    <w:rsid w:val="006B0BB6"/>
    <w:rsid w:val="006B0DA4"/>
    <w:rsid w:val="006B1129"/>
    <w:rsid w:val="006B13B8"/>
    <w:rsid w:val="006B187A"/>
    <w:rsid w:val="006B208E"/>
    <w:rsid w:val="006B24A3"/>
    <w:rsid w:val="006B2983"/>
    <w:rsid w:val="006B29A1"/>
    <w:rsid w:val="006B2A2A"/>
    <w:rsid w:val="006B2BC8"/>
    <w:rsid w:val="006B3BAD"/>
    <w:rsid w:val="006B3DAD"/>
    <w:rsid w:val="006B3FFE"/>
    <w:rsid w:val="006B4A33"/>
    <w:rsid w:val="006B4E2A"/>
    <w:rsid w:val="006B4E3A"/>
    <w:rsid w:val="006B4E41"/>
    <w:rsid w:val="006B4FA5"/>
    <w:rsid w:val="006B512E"/>
    <w:rsid w:val="006B5132"/>
    <w:rsid w:val="006B5200"/>
    <w:rsid w:val="006B5789"/>
    <w:rsid w:val="006B5A78"/>
    <w:rsid w:val="006B5A84"/>
    <w:rsid w:val="006B5CB5"/>
    <w:rsid w:val="006B5CD3"/>
    <w:rsid w:val="006B5D8D"/>
    <w:rsid w:val="006B6581"/>
    <w:rsid w:val="006B66CC"/>
    <w:rsid w:val="006B69A5"/>
    <w:rsid w:val="006B6A88"/>
    <w:rsid w:val="006B6C27"/>
    <w:rsid w:val="006B6D00"/>
    <w:rsid w:val="006B7330"/>
    <w:rsid w:val="006B73A5"/>
    <w:rsid w:val="006B741C"/>
    <w:rsid w:val="006B76D3"/>
    <w:rsid w:val="006B77BB"/>
    <w:rsid w:val="006B7DE4"/>
    <w:rsid w:val="006C0B87"/>
    <w:rsid w:val="006C1885"/>
    <w:rsid w:val="006C1E71"/>
    <w:rsid w:val="006C1E76"/>
    <w:rsid w:val="006C2048"/>
    <w:rsid w:val="006C20BC"/>
    <w:rsid w:val="006C2689"/>
    <w:rsid w:val="006C2A50"/>
    <w:rsid w:val="006C2BE3"/>
    <w:rsid w:val="006C30C5"/>
    <w:rsid w:val="006C36A0"/>
    <w:rsid w:val="006C40B4"/>
    <w:rsid w:val="006C41C9"/>
    <w:rsid w:val="006C4697"/>
    <w:rsid w:val="006C48DA"/>
    <w:rsid w:val="006C4B67"/>
    <w:rsid w:val="006C4E0F"/>
    <w:rsid w:val="006C525E"/>
    <w:rsid w:val="006C5392"/>
    <w:rsid w:val="006C565A"/>
    <w:rsid w:val="006C5838"/>
    <w:rsid w:val="006C5F38"/>
    <w:rsid w:val="006C6120"/>
    <w:rsid w:val="006C6326"/>
    <w:rsid w:val="006C6486"/>
    <w:rsid w:val="006C6609"/>
    <w:rsid w:val="006C68E4"/>
    <w:rsid w:val="006C6AA4"/>
    <w:rsid w:val="006C6B6B"/>
    <w:rsid w:val="006C7364"/>
    <w:rsid w:val="006C7793"/>
    <w:rsid w:val="006C7AAF"/>
    <w:rsid w:val="006C7F23"/>
    <w:rsid w:val="006C7F8C"/>
    <w:rsid w:val="006D01E3"/>
    <w:rsid w:val="006D05E8"/>
    <w:rsid w:val="006D07E3"/>
    <w:rsid w:val="006D084F"/>
    <w:rsid w:val="006D089E"/>
    <w:rsid w:val="006D0D6A"/>
    <w:rsid w:val="006D0DFE"/>
    <w:rsid w:val="006D0EE7"/>
    <w:rsid w:val="006D109B"/>
    <w:rsid w:val="006D19A7"/>
    <w:rsid w:val="006D1A17"/>
    <w:rsid w:val="006D1DEC"/>
    <w:rsid w:val="006D22A3"/>
    <w:rsid w:val="006D2309"/>
    <w:rsid w:val="006D2C58"/>
    <w:rsid w:val="006D30A9"/>
    <w:rsid w:val="006D3D1D"/>
    <w:rsid w:val="006D3E28"/>
    <w:rsid w:val="006D49D9"/>
    <w:rsid w:val="006D4A46"/>
    <w:rsid w:val="006D4D83"/>
    <w:rsid w:val="006D5C12"/>
    <w:rsid w:val="006D5CA7"/>
    <w:rsid w:val="006D5D81"/>
    <w:rsid w:val="006D66FF"/>
    <w:rsid w:val="006D67AC"/>
    <w:rsid w:val="006D67EF"/>
    <w:rsid w:val="006D698A"/>
    <w:rsid w:val="006D6B85"/>
    <w:rsid w:val="006D6BCC"/>
    <w:rsid w:val="006D6E93"/>
    <w:rsid w:val="006D70C3"/>
    <w:rsid w:val="006D70C4"/>
    <w:rsid w:val="006D74DC"/>
    <w:rsid w:val="006D7F5E"/>
    <w:rsid w:val="006E01E6"/>
    <w:rsid w:val="006E0653"/>
    <w:rsid w:val="006E0A0B"/>
    <w:rsid w:val="006E1089"/>
    <w:rsid w:val="006E1271"/>
    <w:rsid w:val="006E13A2"/>
    <w:rsid w:val="006E1771"/>
    <w:rsid w:val="006E1E73"/>
    <w:rsid w:val="006E2292"/>
    <w:rsid w:val="006E25D4"/>
    <w:rsid w:val="006E281F"/>
    <w:rsid w:val="006E2CF8"/>
    <w:rsid w:val="006E2D63"/>
    <w:rsid w:val="006E2E1C"/>
    <w:rsid w:val="006E3BF2"/>
    <w:rsid w:val="006E3FD0"/>
    <w:rsid w:val="006E43A2"/>
    <w:rsid w:val="006E43E3"/>
    <w:rsid w:val="006E489B"/>
    <w:rsid w:val="006E4B99"/>
    <w:rsid w:val="006E55A2"/>
    <w:rsid w:val="006E5665"/>
    <w:rsid w:val="006E5B93"/>
    <w:rsid w:val="006E5F95"/>
    <w:rsid w:val="006E6044"/>
    <w:rsid w:val="006E6246"/>
    <w:rsid w:val="006E63EB"/>
    <w:rsid w:val="006E65B8"/>
    <w:rsid w:val="006E6668"/>
    <w:rsid w:val="006E66F0"/>
    <w:rsid w:val="006E69C2"/>
    <w:rsid w:val="006E6DCC"/>
    <w:rsid w:val="006E6E7F"/>
    <w:rsid w:val="006E6F98"/>
    <w:rsid w:val="006E725D"/>
    <w:rsid w:val="006E73DC"/>
    <w:rsid w:val="006E7445"/>
    <w:rsid w:val="006E759C"/>
    <w:rsid w:val="006E7B60"/>
    <w:rsid w:val="006E7CEB"/>
    <w:rsid w:val="006E7E08"/>
    <w:rsid w:val="006F00AD"/>
    <w:rsid w:val="006F02D5"/>
    <w:rsid w:val="006F0BFB"/>
    <w:rsid w:val="006F0D62"/>
    <w:rsid w:val="006F0D6C"/>
    <w:rsid w:val="006F0FA1"/>
    <w:rsid w:val="006F0FED"/>
    <w:rsid w:val="006F100D"/>
    <w:rsid w:val="006F158D"/>
    <w:rsid w:val="006F184B"/>
    <w:rsid w:val="006F1B0F"/>
    <w:rsid w:val="006F2496"/>
    <w:rsid w:val="006F283D"/>
    <w:rsid w:val="006F2C9A"/>
    <w:rsid w:val="006F2EC3"/>
    <w:rsid w:val="006F318F"/>
    <w:rsid w:val="006F3656"/>
    <w:rsid w:val="006F3DC7"/>
    <w:rsid w:val="006F4229"/>
    <w:rsid w:val="006F432E"/>
    <w:rsid w:val="006F43D1"/>
    <w:rsid w:val="006F4484"/>
    <w:rsid w:val="006F48E4"/>
    <w:rsid w:val="006F49BC"/>
    <w:rsid w:val="006F4A42"/>
    <w:rsid w:val="006F4AED"/>
    <w:rsid w:val="006F4B08"/>
    <w:rsid w:val="006F4D6D"/>
    <w:rsid w:val="006F57C5"/>
    <w:rsid w:val="006F634D"/>
    <w:rsid w:val="006F64C3"/>
    <w:rsid w:val="006F658F"/>
    <w:rsid w:val="006F6600"/>
    <w:rsid w:val="006F6A8E"/>
    <w:rsid w:val="006F6AFE"/>
    <w:rsid w:val="006F6BB0"/>
    <w:rsid w:val="006F6BEB"/>
    <w:rsid w:val="006F6F26"/>
    <w:rsid w:val="006F72A9"/>
    <w:rsid w:val="0070017E"/>
    <w:rsid w:val="0070053F"/>
    <w:rsid w:val="00700B2C"/>
    <w:rsid w:val="00701680"/>
    <w:rsid w:val="007016A9"/>
    <w:rsid w:val="00701E3F"/>
    <w:rsid w:val="0070205C"/>
    <w:rsid w:val="00702080"/>
    <w:rsid w:val="00702396"/>
    <w:rsid w:val="0070247B"/>
    <w:rsid w:val="007027F9"/>
    <w:rsid w:val="0070298F"/>
    <w:rsid w:val="00702B4C"/>
    <w:rsid w:val="00702C55"/>
    <w:rsid w:val="00703034"/>
    <w:rsid w:val="0070346B"/>
    <w:rsid w:val="007037B6"/>
    <w:rsid w:val="007037DF"/>
    <w:rsid w:val="0070405E"/>
    <w:rsid w:val="0070409C"/>
    <w:rsid w:val="007043F6"/>
    <w:rsid w:val="00704555"/>
    <w:rsid w:val="00704791"/>
    <w:rsid w:val="007050A2"/>
    <w:rsid w:val="00705165"/>
    <w:rsid w:val="0070538D"/>
    <w:rsid w:val="00705BCF"/>
    <w:rsid w:val="0070614F"/>
    <w:rsid w:val="00706292"/>
    <w:rsid w:val="007066D2"/>
    <w:rsid w:val="00706ACF"/>
    <w:rsid w:val="00706DF7"/>
    <w:rsid w:val="0070737B"/>
    <w:rsid w:val="007074CF"/>
    <w:rsid w:val="00707CB0"/>
    <w:rsid w:val="00707FC6"/>
    <w:rsid w:val="0071045B"/>
    <w:rsid w:val="00710BD4"/>
    <w:rsid w:val="00711041"/>
    <w:rsid w:val="007110DB"/>
    <w:rsid w:val="007111DB"/>
    <w:rsid w:val="00711312"/>
    <w:rsid w:val="00711409"/>
    <w:rsid w:val="007115C0"/>
    <w:rsid w:val="0071161D"/>
    <w:rsid w:val="00711989"/>
    <w:rsid w:val="00711D10"/>
    <w:rsid w:val="00712434"/>
    <w:rsid w:val="00712A9B"/>
    <w:rsid w:val="00713084"/>
    <w:rsid w:val="007133E0"/>
    <w:rsid w:val="007134C2"/>
    <w:rsid w:val="0071372C"/>
    <w:rsid w:val="00713923"/>
    <w:rsid w:val="0071395B"/>
    <w:rsid w:val="00713ACE"/>
    <w:rsid w:val="00714089"/>
    <w:rsid w:val="007144E3"/>
    <w:rsid w:val="007149EB"/>
    <w:rsid w:val="00714F20"/>
    <w:rsid w:val="00715048"/>
    <w:rsid w:val="007157C6"/>
    <w:rsid w:val="0071590F"/>
    <w:rsid w:val="00715914"/>
    <w:rsid w:val="00715A6B"/>
    <w:rsid w:val="0071645B"/>
    <w:rsid w:val="00716DAE"/>
    <w:rsid w:val="007172DB"/>
    <w:rsid w:val="0071751C"/>
    <w:rsid w:val="00717B28"/>
    <w:rsid w:val="00717E13"/>
    <w:rsid w:val="007203D0"/>
    <w:rsid w:val="007204B1"/>
    <w:rsid w:val="007206AB"/>
    <w:rsid w:val="007207F1"/>
    <w:rsid w:val="00720A35"/>
    <w:rsid w:val="00720B10"/>
    <w:rsid w:val="00720B63"/>
    <w:rsid w:val="00720BCB"/>
    <w:rsid w:val="00720D1C"/>
    <w:rsid w:val="00721201"/>
    <w:rsid w:val="00721227"/>
    <w:rsid w:val="00721327"/>
    <w:rsid w:val="0072147A"/>
    <w:rsid w:val="00721947"/>
    <w:rsid w:val="00721F5B"/>
    <w:rsid w:val="007220E6"/>
    <w:rsid w:val="007222DC"/>
    <w:rsid w:val="0072242E"/>
    <w:rsid w:val="00722649"/>
    <w:rsid w:val="00722E21"/>
    <w:rsid w:val="007230CD"/>
    <w:rsid w:val="00723791"/>
    <w:rsid w:val="007242D8"/>
    <w:rsid w:val="00724397"/>
    <w:rsid w:val="00724640"/>
    <w:rsid w:val="0072468A"/>
    <w:rsid w:val="0072478C"/>
    <w:rsid w:val="00724945"/>
    <w:rsid w:val="00724981"/>
    <w:rsid w:val="00724A0E"/>
    <w:rsid w:val="00724A80"/>
    <w:rsid w:val="00724BEC"/>
    <w:rsid w:val="00724C80"/>
    <w:rsid w:val="00724C92"/>
    <w:rsid w:val="00724DBA"/>
    <w:rsid w:val="00724DD6"/>
    <w:rsid w:val="00724F9F"/>
    <w:rsid w:val="00725446"/>
    <w:rsid w:val="00725B78"/>
    <w:rsid w:val="00725B81"/>
    <w:rsid w:val="007267B8"/>
    <w:rsid w:val="00726E5F"/>
    <w:rsid w:val="007271AF"/>
    <w:rsid w:val="007276E5"/>
    <w:rsid w:val="00727B02"/>
    <w:rsid w:val="00727DFE"/>
    <w:rsid w:val="007300BF"/>
    <w:rsid w:val="00730298"/>
    <w:rsid w:val="007303FA"/>
    <w:rsid w:val="00730825"/>
    <w:rsid w:val="00730E44"/>
    <w:rsid w:val="00730E7C"/>
    <w:rsid w:val="00731040"/>
    <w:rsid w:val="007315B2"/>
    <w:rsid w:val="00731B7B"/>
    <w:rsid w:val="00731E00"/>
    <w:rsid w:val="00731E09"/>
    <w:rsid w:val="0073218F"/>
    <w:rsid w:val="007323C8"/>
    <w:rsid w:val="00732CFA"/>
    <w:rsid w:val="007330AF"/>
    <w:rsid w:val="0073349F"/>
    <w:rsid w:val="007335A8"/>
    <w:rsid w:val="00733B1E"/>
    <w:rsid w:val="00733FB8"/>
    <w:rsid w:val="00734166"/>
    <w:rsid w:val="00734611"/>
    <w:rsid w:val="007349D5"/>
    <w:rsid w:val="00734DE6"/>
    <w:rsid w:val="007352D7"/>
    <w:rsid w:val="00735881"/>
    <w:rsid w:val="00735D6E"/>
    <w:rsid w:val="00735DCA"/>
    <w:rsid w:val="00735FC9"/>
    <w:rsid w:val="0073600E"/>
    <w:rsid w:val="007360BE"/>
    <w:rsid w:val="0073623D"/>
    <w:rsid w:val="0073670D"/>
    <w:rsid w:val="00736B2E"/>
    <w:rsid w:val="007377A0"/>
    <w:rsid w:val="00737B42"/>
    <w:rsid w:val="00737BB3"/>
    <w:rsid w:val="00737C4C"/>
    <w:rsid w:val="00737D70"/>
    <w:rsid w:val="0074088B"/>
    <w:rsid w:val="00741024"/>
    <w:rsid w:val="007415AF"/>
    <w:rsid w:val="00741B4B"/>
    <w:rsid w:val="00741C01"/>
    <w:rsid w:val="00741EF2"/>
    <w:rsid w:val="00742419"/>
    <w:rsid w:val="00742522"/>
    <w:rsid w:val="0074265B"/>
    <w:rsid w:val="007427BC"/>
    <w:rsid w:val="00742AEA"/>
    <w:rsid w:val="007432B2"/>
    <w:rsid w:val="007437DE"/>
    <w:rsid w:val="007439BF"/>
    <w:rsid w:val="00743B13"/>
    <w:rsid w:val="00743D73"/>
    <w:rsid w:val="00743F12"/>
    <w:rsid w:val="007440B7"/>
    <w:rsid w:val="0074443E"/>
    <w:rsid w:val="00744AF2"/>
    <w:rsid w:val="00744CFB"/>
    <w:rsid w:val="0074515C"/>
    <w:rsid w:val="007451A3"/>
    <w:rsid w:val="00745207"/>
    <w:rsid w:val="0074547F"/>
    <w:rsid w:val="00745560"/>
    <w:rsid w:val="007458FE"/>
    <w:rsid w:val="00745A67"/>
    <w:rsid w:val="00745DDB"/>
    <w:rsid w:val="00746078"/>
    <w:rsid w:val="007464B6"/>
    <w:rsid w:val="00746704"/>
    <w:rsid w:val="007467D0"/>
    <w:rsid w:val="0074701E"/>
    <w:rsid w:val="007473CE"/>
    <w:rsid w:val="007473E1"/>
    <w:rsid w:val="007478E9"/>
    <w:rsid w:val="00747BDB"/>
    <w:rsid w:val="007500C8"/>
    <w:rsid w:val="0075041D"/>
    <w:rsid w:val="0075045C"/>
    <w:rsid w:val="007509ED"/>
    <w:rsid w:val="00750AF6"/>
    <w:rsid w:val="007513B0"/>
    <w:rsid w:val="00751616"/>
    <w:rsid w:val="00751A4A"/>
    <w:rsid w:val="0075243B"/>
    <w:rsid w:val="007524A7"/>
    <w:rsid w:val="007525A8"/>
    <w:rsid w:val="0075290C"/>
    <w:rsid w:val="007529DB"/>
    <w:rsid w:val="00752C56"/>
    <w:rsid w:val="0075340F"/>
    <w:rsid w:val="0075360E"/>
    <w:rsid w:val="00753734"/>
    <w:rsid w:val="00753B0E"/>
    <w:rsid w:val="00753CD7"/>
    <w:rsid w:val="00753E60"/>
    <w:rsid w:val="007540B3"/>
    <w:rsid w:val="00754995"/>
    <w:rsid w:val="00754D69"/>
    <w:rsid w:val="007553D8"/>
    <w:rsid w:val="007554EF"/>
    <w:rsid w:val="00755617"/>
    <w:rsid w:val="0075578A"/>
    <w:rsid w:val="007559A0"/>
    <w:rsid w:val="00756272"/>
    <w:rsid w:val="00756CD6"/>
    <w:rsid w:val="00756D94"/>
    <w:rsid w:val="00756FEC"/>
    <w:rsid w:val="0075707B"/>
    <w:rsid w:val="0075734A"/>
    <w:rsid w:val="007574EA"/>
    <w:rsid w:val="007579F8"/>
    <w:rsid w:val="00757BD1"/>
    <w:rsid w:val="00760725"/>
    <w:rsid w:val="00760855"/>
    <w:rsid w:val="0076093C"/>
    <w:rsid w:val="00760F44"/>
    <w:rsid w:val="007612A3"/>
    <w:rsid w:val="00761847"/>
    <w:rsid w:val="00761C3B"/>
    <w:rsid w:val="00761E3E"/>
    <w:rsid w:val="007620DA"/>
    <w:rsid w:val="007622DC"/>
    <w:rsid w:val="007622E5"/>
    <w:rsid w:val="007628C4"/>
    <w:rsid w:val="00762D38"/>
    <w:rsid w:val="00763413"/>
    <w:rsid w:val="0076441D"/>
    <w:rsid w:val="00764454"/>
    <w:rsid w:val="00764A26"/>
    <w:rsid w:val="007653E8"/>
    <w:rsid w:val="00765632"/>
    <w:rsid w:val="00765D4C"/>
    <w:rsid w:val="007661BE"/>
    <w:rsid w:val="007663CE"/>
    <w:rsid w:val="0076657A"/>
    <w:rsid w:val="00766AD1"/>
    <w:rsid w:val="00766DF6"/>
    <w:rsid w:val="00767153"/>
    <w:rsid w:val="00767262"/>
    <w:rsid w:val="00767AED"/>
    <w:rsid w:val="00767BDB"/>
    <w:rsid w:val="00767BF0"/>
    <w:rsid w:val="00767F8D"/>
    <w:rsid w:val="0077000D"/>
    <w:rsid w:val="007700AB"/>
    <w:rsid w:val="00770142"/>
    <w:rsid w:val="00770174"/>
    <w:rsid w:val="007703C5"/>
    <w:rsid w:val="00770793"/>
    <w:rsid w:val="00770833"/>
    <w:rsid w:val="00770E66"/>
    <w:rsid w:val="0077123D"/>
    <w:rsid w:val="007715C9"/>
    <w:rsid w:val="00771613"/>
    <w:rsid w:val="00771909"/>
    <w:rsid w:val="00771FEA"/>
    <w:rsid w:val="00771FEB"/>
    <w:rsid w:val="007724FF"/>
    <w:rsid w:val="00773178"/>
    <w:rsid w:val="007735AD"/>
    <w:rsid w:val="00773999"/>
    <w:rsid w:val="00773B09"/>
    <w:rsid w:val="00773B4A"/>
    <w:rsid w:val="00773C0B"/>
    <w:rsid w:val="00773FE8"/>
    <w:rsid w:val="00774373"/>
    <w:rsid w:val="007744AA"/>
    <w:rsid w:val="007744B8"/>
    <w:rsid w:val="00774956"/>
    <w:rsid w:val="00774A0B"/>
    <w:rsid w:val="00774BBC"/>
    <w:rsid w:val="00774EDD"/>
    <w:rsid w:val="00774F40"/>
    <w:rsid w:val="007751B6"/>
    <w:rsid w:val="007751C4"/>
    <w:rsid w:val="0077524F"/>
    <w:rsid w:val="00775342"/>
    <w:rsid w:val="007756A1"/>
    <w:rsid w:val="007757EC"/>
    <w:rsid w:val="007758DB"/>
    <w:rsid w:val="007759E6"/>
    <w:rsid w:val="00775E3B"/>
    <w:rsid w:val="0077609A"/>
    <w:rsid w:val="007765A0"/>
    <w:rsid w:val="00776D98"/>
    <w:rsid w:val="0077736E"/>
    <w:rsid w:val="0077773C"/>
    <w:rsid w:val="00777850"/>
    <w:rsid w:val="00777905"/>
    <w:rsid w:val="0077796B"/>
    <w:rsid w:val="0077799B"/>
    <w:rsid w:val="00777A32"/>
    <w:rsid w:val="00777D69"/>
    <w:rsid w:val="00777FAF"/>
    <w:rsid w:val="00780385"/>
    <w:rsid w:val="007804FD"/>
    <w:rsid w:val="0078083F"/>
    <w:rsid w:val="00780B69"/>
    <w:rsid w:val="00780FDD"/>
    <w:rsid w:val="007810C6"/>
    <w:rsid w:val="00781358"/>
    <w:rsid w:val="00781B3C"/>
    <w:rsid w:val="00781D75"/>
    <w:rsid w:val="00781FC0"/>
    <w:rsid w:val="00782229"/>
    <w:rsid w:val="00782AF0"/>
    <w:rsid w:val="00782B96"/>
    <w:rsid w:val="007830D5"/>
    <w:rsid w:val="007831E2"/>
    <w:rsid w:val="00783228"/>
    <w:rsid w:val="007832F9"/>
    <w:rsid w:val="0078330A"/>
    <w:rsid w:val="00783416"/>
    <w:rsid w:val="00783E89"/>
    <w:rsid w:val="00783EEC"/>
    <w:rsid w:val="00784B06"/>
    <w:rsid w:val="00784B52"/>
    <w:rsid w:val="00784DBC"/>
    <w:rsid w:val="00784E7F"/>
    <w:rsid w:val="007850E2"/>
    <w:rsid w:val="007859DD"/>
    <w:rsid w:val="00785BE7"/>
    <w:rsid w:val="00785DF9"/>
    <w:rsid w:val="00785E8E"/>
    <w:rsid w:val="007860F3"/>
    <w:rsid w:val="007866A8"/>
    <w:rsid w:val="00786B97"/>
    <w:rsid w:val="00786DD2"/>
    <w:rsid w:val="00787380"/>
    <w:rsid w:val="00787619"/>
    <w:rsid w:val="0078764E"/>
    <w:rsid w:val="007877E7"/>
    <w:rsid w:val="00787A1C"/>
    <w:rsid w:val="00787D5B"/>
    <w:rsid w:val="00790058"/>
    <w:rsid w:val="0079056B"/>
    <w:rsid w:val="0079072E"/>
    <w:rsid w:val="00790B08"/>
    <w:rsid w:val="00790DDC"/>
    <w:rsid w:val="00790E28"/>
    <w:rsid w:val="00790E2D"/>
    <w:rsid w:val="00790FE3"/>
    <w:rsid w:val="007912E9"/>
    <w:rsid w:val="007913C6"/>
    <w:rsid w:val="007915E6"/>
    <w:rsid w:val="007920A1"/>
    <w:rsid w:val="007920C0"/>
    <w:rsid w:val="007923AC"/>
    <w:rsid w:val="00792880"/>
    <w:rsid w:val="007928D0"/>
    <w:rsid w:val="00792CF8"/>
    <w:rsid w:val="0079340D"/>
    <w:rsid w:val="00793915"/>
    <w:rsid w:val="007939CA"/>
    <w:rsid w:val="00793C0E"/>
    <w:rsid w:val="00793C49"/>
    <w:rsid w:val="00793F13"/>
    <w:rsid w:val="0079405B"/>
    <w:rsid w:val="007941AE"/>
    <w:rsid w:val="00794226"/>
    <w:rsid w:val="007943E9"/>
    <w:rsid w:val="00794463"/>
    <w:rsid w:val="00794BC7"/>
    <w:rsid w:val="00795081"/>
    <w:rsid w:val="00795195"/>
    <w:rsid w:val="00795514"/>
    <w:rsid w:val="00795745"/>
    <w:rsid w:val="00795CFD"/>
    <w:rsid w:val="0079658F"/>
    <w:rsid w:val="00796690"/>
    <w:rsid w:val="007968A9"/>
    <w:rsid w:val="00796ADB"/>
    <w:rsid w:val="00796E79"/>
    <w:rsid w:val="007971AD"/>
    <w:rsid w:val="00797A68"/>
    <w:rsid w:val="00797BF9"/>
    <w:rsid w:val="007A00A8"/>
    <w:rsid w:val="007A0338"/>
    <w:rsid w:val="007A038D"/>
    <w:rsid w:val="007A05E0"/>
    <w:rsid w:val="007A06D4"/>
    <w:rsid w:val="007A098F"/>
    <w:rsid w:val="007A0C9F"/>
    <w:rsid w:val="007A13E2"/>
    <w:rsid w:val="007A16F9"/>
    <w:rsid w:val="007A1737"/>
    <w:rsid w:val="007A1DBB"/>
    <w:rsid w:val="007A2848"/>
    <w:rsid w:val="007A29F8"/>
    <w:rsid w:val="007A2A0C"/>
    <w:rsid w:val="007A2B16"/>
    <w:rsid w:val="007A2F5C"/>
    <w:rsid w:val="007A3260"/>
    <w:rsid w:val="007A3482"/>
    <w:rsid w:val="007A3BAD"/>
    <w:rsid w:val="007A3BC8"/>
    <w:rsid w:val="007A3CFC"/>
    <w:rsid w:val="007A3DE1"/>
    <w:rsid w:val="007A42A8"/>
    <w:rsid w:val="007A4646"/>
    <w:rsid w:val="007A4810"/>
    <w:rsid w:val="007A4BBB"/>
    <w:rsid w:val="007A56B7"/>
    <w:rsid w:val="007A574D"/>
    <w:rsid w:val="007A59A2"/>
    <w:rsid w:val="007A59AB"/>
    <w:rsid w:val="007A5B35"/>
    <w:rsid w:val="007A5CAA"/>
    <w:rsid w:val="007A5EA4"/>
    <w:rsid w:val="007A5F06"/>
    <w:rsid w:val="007A5F35"/>
    <w:rsid w:val="007A65F2"/>
    <w:rsid w:val="007A6921"/>
    <w:rsid w:val="007A6B87"/>
    <w:rsid w:val="007A6B95"/>
    <w:rsid w:val="007A6D5D"/>
    <w:rsid w:val="007A6D9E"/>
    <w:rsid w:val="007A6E63"/>
    <w:rsid w:val="007A6E9C"/>
    <w:rsid w:val="007A73A4"/>
    <w:rsid w:val="007A75FF"/>
    <w:rsid w:val="007B039A"/>
    <w:rsid w:val="007B04D7"/>
    <w:rsid w:val="007B0A69"/>
    <w:rsid w:val="007B0B29"/>
    <w:rsid w:val="007B0BF2"/>
    <w:rsid w:val="007B1239"/>
    <w:rsid w:val="007B1618"/>
    <w:rsid w:val="007B1930"/>
    <w:rsid w:val="007B1FFD"/>
    <w:rsid w:val="007B24AA"/>
    <w:rsid w:val="007B25CC"/>
    <w:rsid w:val="007B32F4"/>
    <w:rsid w:val="007B3359"/>
    <w:rsid w:val="007B3705"/>
    <w:rsid w:val="007B4550"/>
    <w:rsid w:val="007B483C"/>
    <w:rsid w:val="007B4BAC"/>
    <w:rsid w:val="007B5964"/>
    <w:rsid w:val="007B5B8E"/>
    <w:rsid w:val="007B5E50"/>
    <w:rsid w:val="007B5FF6"/>
    <w:rsid w:val="007B60E7"/>
    <w:rsid w:val="007B63BD"/>
    <w:rsid w:val="007B6A8E"/>
    <w:rsid w:val="007B7063"/>
    <w:rsid w:val="007B767D"/>
    <w:rsid w:val="007B7EB2"/>
    <w:rsid w:val="007C064E"/>
    <w:rsid w:val="007C067E"/>
    <w:rsid w:val="007C0AB5"/>
    <w:rsid w:val="007C0CF1"/>
    <w:rsid w:val="007C0F9A"/>
    <w:rsid w:val="007C12F4"/>
    <w:rsid w:val="007C182F"/>
    <w:rsid w:val="007C18B8"/>
    <w:rsid w:val="007C1909"/>
    <w:rsid w:val="007C1A28"/>
    <w:rsid w:val="007C20E3"/>
    <w:rsid w:val="007C2253"/>
    <w:rsid w:val="007C2C55"/>
    <w:rsid w:val="007C2E11"/>
    <w:rsid w:val="007C2E21"/>
    <w:rsid w:val="007C3419"/>
    <w:rsid w:val="007C366B"/>
    <w:rsid w:val="007C399C"/>
    <w:rsid w:val="007C39E2"/>
    <w:rsid w:val="007C3A49"/>
    <w:rsid w:val="007C3A88"/>
    <w:rsid w:val="007C3C51"/>
    <w:rsid w:val="007C3F5E"/>
    <w:rsid w:val="007C454B"/>
    <w:rsid w:val="007C51CB"/>
    <w:rsid w:val="007C538E"/>
    <w:rsid w:val="007C53A4"/>
    <w:rsid w:val="007C5478"/>
    <w:rsid w:val="007C55DA"/>
    <w:rsid w:val="007C56E9"/>
    <w:rsid w:val="007C597F"/>
    <w:rsid w:val="007C5EA4"/>
    <w:rsid w:val="007C64E6"/>
    <w:rsid w:val="007C6FA3"/>
    <w:rsid w:val="007C720F"/>
    <w:rsid w:val="007C7606"/>
    <w:rsid w:val="007C7B19"/>
    <w:rsid w:val="007C7E2B"/>
    <w:rsid w:val="007C7F24"/>
    <w:rsid w:val="007D00B6"/>
    <w:rsid w:val="007D0142"/>
    <w:rsid w:val="007D0835"/>
    <w:rsid w:val="007D0887"/>
    <w:rsid w:val="007D0ED4"/>
    <w:rsid w:val="007D104F"/>
    <w:rsid w:val="007D1D96"/>
    <w:rsid w:val="007D1E1C"/>
    <w:rsid w:val="007D1FD5"/>
    <w:rsid w:val="007D217E"/>
    <w:rsid w:val="007D23D4"/>
    <w:rsid w:val="007D2B0D"/>
    <w:rsid w:val="007D2B18"/>
    <w:rsid w:val="007D3054"/>
    <w:rsid w:val="007D318A"/>
    <w:rsid w:val="007D31D8"/>
    <w:rsid w:val="007D356E"/>
    <w:rsid w:val="007D38E7"/>
    <w:rsid w:val="007D3AD3"/>
    <w:rsid w:val="007D3C73"/>
    <w:rsid w:val="007D3DA9"/>
    <w:rsid w:val="007D3E70"/>
    <w:rsid w:val="007D3E9F"/>
    <w:rsid w:val="007D4365"/>
    <w:rsid w:val="007D4550"/>
    <w:rsid w:val="007D472A"/>
    <w:rsid w:val="007D4943"/>
    <w:rsid w:val="007D4EB4"/>
    <w:rsid w:val="007D52E6"/>
    <w:rsid w:val="007D619E"/>
    <w:rsid w:val="007D627B"/>
    <w:rsid w:val="007D67DE"/>
    <w:rsid w:val="007D6BD6"/>
    <w:rsid w:val="007D702E"/>
    <w:rsid w:val="007D7304"/>
    <w:rsid w:val="007D7691"/>
    <w:rsid w:val="007D7911"/>
    <w:rsid w:val="007D7D2A"/>
    <w:rsid w:val="007D7D68"/>
    <w:rsid w:val="007E00D8"/>
    <w:rsid w:val="007E01D1"/>
    <w:rsid w:val="007E0546"/>
    <w:rsid w:val="007E05DB"/>
    <w:rsid w:val="007E06D0"/>
    <w:rsid w:val="007E0700"/>
    <w:rsid w:val="007E078A"/>
    <w:rsid w:val="007E08B8"/>
    <w:rsid w:val="007E1269"/>
    <w:rsid w:val="007E133E"/>
    <w:rsid w:val="007E163D"/>
    <w:rsid w:val="007E1C1E"/>
    <w:rsid w:val="007E216A"/>
    <w:rsid w:val="007E2322"/>
    <w:rsid w:val="007E2593"/>
    <w:rsid w:val="007E2C13"/>
    <w:rsid w:val="007E2FF8"/>
    <w:rsid w:val="007E30D6"/>
    <w:rsid w:val="007E3974"/>
    <w:rsid w:val="007E39C0"/>
    <w:rsid w:val="007E3CF0"/>
    <w:rsid w:val="007E40B6"/>
    <w:rsid w:val="007E41AB"/>
    <w:rsid w:val="007E431E"/>
    <w:rsid w:val="007E4C21"/>
    <w:rsid w:val="007E4CC1"/>
    <w:rsid w:val="007E4E84"/>
    <w:rsid w:val="007E5005"/>
    <w:rsid w:val="007E5013"/>
    <w:rsid w:val="007E50A6"/>
    <w:rsid w:val="007E5358"/>
    <w:rsid w:val="007E5381"/>
    <w:rsid w:val="007E5623"/>
    <w:rsid w:val="007E56D3"/>
    <w:rsid w:val="007E5E00"/>
    <w:rsid w:val="007E63C4"/>
    <w:rsid w:val="007E667A"/>
    <w:rsid w:val="007E69B9"/>
    <w:rsid w:val="007E74E2"/>
    <w:rsid w:val="007E7581"/>
    <w:rsid w:val="007E7687"/>
    <w:rsid w:val="007E7D1C"/>
    <w:rsid w:val="007E7D82"/>
    <w:rsid w:val="007F0E09"/>
    <w:rsid w:val="007F1333"/>
    <w:rsid w:val="007F1A07"/>
    <w:rsid w:val="007F1EF8"/>
    <w:rsid w:val="007F1F01"/>
    <w:rsid w:val="007F228F"/>
    <w:rsid w:val="007F2856"/>
    <w:rsid w:val="007F28C9"/>
    <w:rsid w:val="007F308F"/>
    <w:rsid w:val="007F3929"/>
    <w:rsid w:val="007F3C0E"/>
    <w:rsid w:val="007F3E41"/>
    <w:rsid w:val="007F3E58"/>
    <w:rsid w:val="007F40BA"/>
    <w:rsid w:val="007F464E"/>
    <w:rsid w:val="007F51B2"/>
    <w:rsid w:val="007F52FD"/>
    <w:rsid w:val="007F5867"/>
    <w:rsid w:val="007F6715"/>
    <w:rsid w:val="007F6971"/>
    <w:rsid w:val="007F6BFB"/>
    <w:rsid w:val="007F6F3B"/>
    <w:rsid w:val="007F731E"/>
    <w:rsid w:val="007F7D75"/>
    <w:rsid w:val="00800029"/>
    <w:rsid w:val="00800833"/>
    <w:rsid w:val="008010F2"/>
    <w:rsid w:val="00801870"/>
    <w:rsid w:val="00801A67"/>
    <w:rsid w:val="0080218E"/>
    <w:rsid w:val="0080291B"/>
    <w:rsid w:val="00802E2A"/>
    <w:rsid w:val="00802F9D"/>
    <w:rsid w:val="008031EE"/>
    <w:rsid w:val="00803634"/>
    <w:rsid w:val="00803B1B"/>
    <w:rsid w:val="00803ECE"/>
    <w:rsid w:val="008040DD"/>
    <w:rsid w:val="0080445C"/>
    <w:rsid w:val="008044BB"/>
    <w:rsid w:val="008044EE"/>
    <w:rsid w:val="00804641"/>
    <w:rsid w:val="0080483B"/>
    <w:rsid w:val="0080484E"/>
    <w:rsid w:val="00804885"/>
    <w:rsid w:val="008048AE"/>
    <w:rsid w:val="00804BC6"/>
    <w:rsid w:val="00804EE5"/>
    <w:rsid w:val="00805371"/>
    <w:rsid w:val="0080586F"/>
    <w:rsid w:val="008060FB"/>
    <w:rsid w:val="00806989"/>
    <w:rsid w:val="00806A89"/>
    <w:rsid w:val="00806F36"/>
    <w:rsid w:val="008070E5"/>
    <w:rsid w:val="008071FC"/>
    <w:rsid w:val="0080725F"/>
    <w:rsid w:val="00807338"/>
    <w:rsid w:val="008074B7"/>
    <w:rsid w:val="00807780"/>
    <w:rsid w:val="008104CC"/>
    <w:rsid w:val="00810823"/>
    <w:rsid w:val="00810AAC"/>
    <w:rsid w:val="00810FD7"/>
    <w:rsid w:val="00811767"/>
    <w:rsid w:val="008117E9"/>
    <w:rsid w:val="00811B32"/>
    <w:rsid w:val="008121BC"/>
    <w:rsid w:val="00812487"/>
    <w:rsid w:val="00813256"/>
    <w:rsid w:val="008132B6"/>
    <w:rsid w:val="008132CE"/>
    <w:rsid w:val="00813976"/>
    <w:rsid w:val="00813B46"/>
    <w:rsid w:val="008141BF"/>
    <w:rsid w:val="008143E0"/>
    <w:rsid w:val="00814B1D"/>
    <w:rsid w:val="00814B58"/>
    <w:rsid w:val="00814D9B"/>
    <w:rsid w:val="00814F97"/>
    <w:rsid w:val="00815DE8"/>
    <w:rsid w:val="0081611B"/>
    <w:rsid w:val="008162B6"/>
    <w:rsid w:val="008163DF"/>
    <w:rsid w:val="00816599"/>
    <w:rsid w:val="00816610"/>
    <w:rsid w:val="00816641"/>
    <w:rsid w:val="008168F1"/>
    <w:rsid w:val="00816EDE"/>
    <w:rsid w:val="00817E76"/>
    <w:rsid w:val="008200B2"/>
    <w:rsid w:val="008200DA"/>
    <w:rsid w:val="008205D0"/>
    <w:rsid w:val="00820FBA"/>
    <w:rsid w:val="008212CE"/>
    <w:rsid w:val="008218A3"/>
    <w:rsid w:val="00821968"/>
    <w:rsid w:val="00821BD0"/>
    <w:rsid w:val="00821EF8"/>
    <w:rsid w:val="0082218B"/>
    <w:rsid w:val="00822257"/>
    <w:rsid w:val="00822384"/>
    <w:rsid w:val="0082238A"/>
    <w:rsid w:val="008223BD"/>
    <w:rsid w:val="00822540"/>
    <w:rsid w:val="00822BE7"/>
    <w:rsid w:val="00822D31"/>
    <w:rsid w:val="008232CD"/>
    <w:rsid w:val="00823362"/>
    <w:rsid w:val="0082342F"/>
    <w:rsid w:val="00823503"/>
    <w:rsid w:val="0082355A"/>
    <w:rsid w:val="00823AC8"/>
    <w:rsid w:val="00823C55"/>
    <w:rsid w:val="00823FAD"/>
    <w:rsid w:val="0082422B"/>
    <w:rsid w:val="008243D2"/>
    <w:rsid w:val="00824498"/>
    <w:rsid w:val="008244FE"/>
    <w:rsid w:val="0082460C"/>
    <w:rsid w:val="00824A81"/>
    <w:rsid w:val="00824B7C"/>
    <w:rsid w:val="00824F6B"/>
    <w:rsid w:val="00825A47"/>
    <w:rsid w:val="00825AEB"/>
    <w:rsid w:val="00825CD1"/>
    <w:rsid w:val="00825FB5"/>
    <w:rsid w:val="008260BC"/>
    <w:rsid w:val="0082667C"/>
    <w:rsid w:val="00826849"/>
    <w:rsid w:val="008268BD"/>
    <w:rsid w:val="008268FE"/>
    <w:rsid w:val="0082695E"/>
    <w:rsid w:val="008269BD"/>
    <w:rsid w:val="00826B39"/>
    <w:rsid w:val="00826BD1"/>
    <w:rsid w:val="00826EE4"/>
    <w:rsid w:val="00827264"/>
    <w:rsid w:val="00827636"/>
    <w:rsid w:val="008276E2"/>
    <w:rsid w:val="00827930"/>
    <w:rsid w:val="00827C3A"/>
    <w:rsid w:val="00827EF4"/>
    <w:rsid w:val="008301BB"/>
    <w:rsid w:val="0083032B"/>
    <w:rsid w:val="00830D59"/>
    <w:rsid w:val="00831015"/>
    <w:rsid w:val="00831514"/>
    <w:rsid w:val="0083154E"/>
    <w:rsid w:val="00831AF7"/>
    <w:rsid w:val="00831AFF"/>
    <w:rsid w:val="00831BCF"/>
    <w:rsid w:val="008322E5"/>
    <w:rsid w:val="00832865"/>
    <w:rsid w:val="008328FA"/>
    <w:rsid w:val="008329A8"/>
    <w:rsid w:val="00832F30"/>
    <w:rsid w:val="00833237"/>
    <w:rsid w:val="00833C5B"/>
    <w:rsid w:val="00833D25"/>
    <w:rsid w:val="0083411E"/>
    <w:rsid w:val="008341BA"/>
    <w:rsid w:val="008348BB"/>
    <w:rsid w:val="008348FC"/>
    <w:rsid w:val="008349C6"/>
    <w:rsid w:val="00834A6D"/>
    <w:rsid w:val="00834CB7"/>
    <w:rsid w:val="00834CD7"/>
    <w:rsid w:val="00834DB0"/>
    <w:rsid w:val="0083509D"/>
    <w:rsid w:val="008350C9"/>
    <w:rsid w:val="008351B0"/>
    <w:rsid w:val="008353E3"/>
    <w:rsid w:val="008356D6"/>
    <w:rsid w:val="008357C1"/>
    <w:rsid w:val="00836064"/>
    <w:rsid w:val="00836312"/>
    <w:rsid w:val="00836AC2"/>
    <w:rsid w:val="008373D3"/>
    <w:rsid w:val="008373FA"/>
    <w:rsid w:val="008378FE"/>
    <w:rsid w:val="00837E7E"/>
    <w:rsid w:val="00840A8D"/>
    <w:rsid w:val="0084143B"/>
    <w:rsid w:val="0084154D"/>
    <w:rsid w:val="008415FE"/>
    <w:rsid w:val="008416AB"/>
    <w:rsid w:val="00841CF7"/>
    <w:rsid w:val="00841E3E"/>
    <w:rsid w:val="00841EE3"/>
    <w:rsid w:val="00841F89"/>
    <w:rsid w:val="00842421"/>
    <w:rsid w:val="008424B7"/>
    <w:rsid w:val="00842630"/>
    <w:rsid w:val="00843489"/>
    <w:rsid w:val="008436BF"/>
    <w:rsid w:val="0084375A"/>
    <w:rsid w:val="00844572"/>
    <w:rsid w:val="00844648"/>
    <w:rsid w:val="00844AC2"/>
    <w:rsid w:val="00844C01"/>
    <w:rsid w:val="00844CD3"/>
    <w:rsid w:val="00844D16"/>
    <w:rsid w:val="00845A05"/>
    <w:rsid w:val="00845E54"/>
    <w:rsid w:val="008460C5"/>
    <w:rsid w:val="00846486"/>
    <w:rsid w:val="00846AF0"/>
    <w:rsid w:val="00846CE8"/>
    <w:rsid w:val="008472A6"/>
    <w:rsid w:val="00847580"/>
    <w:rsid w:val="0084758C"/>
    <w:rsid w:val="0085007E"/>
    <w:rsid w:val="008501D5"/>
    <w:rsid w:val="00850551"/>
    <w:rsid w:val="008505A3"/>
    <w:rsid w:val="008508C8"/>
    <w:rsid w:val="0085114C"/>
    <w:rsid w:val="00851463"/>
    <w:rsid w:val="008515E2"/>
    <w:rsid w:val="008516E2"/>
    <w:rsid w:val="00851A58"/>
    <w:rsid w:val="00851BA9"/>
    <w:rsid w:val="00852505"/>
    <w:rsid w:val="008526E1"/>
    <w:rsid w:val="00852D0A"/>
    <w:rsid w:val="00852EE8"/>
    <w:rsid w:val="008530EB"/>
    <w:rsid w:val="0085342C"/>
    <w:rsid w:val="00853955"/>
    <w:rsid w:val="00853DA5"/>
    <w:rsid w:val="00853DAA"/>
    <w:rsid w:val="0085400E"/>
    <w:rsid w:val="00854316"/>
    <w:rsid w:val="00854A72"/>
    <w:rsid w:val="00854D0B"/>
    <w:rsid w:val="00854F39"/>
    <w:rsid w:val="00855030"/>
    <w:rsid w:val="008554E9"/>
    <w:rsid w:val="00855657"/>
    <w:rsid w:val="00855B0D"/>
    <w:rsid w:val="00855DEF"/>
    <w:rsid w:val="00856752"/>
    <w:rsid w:val="00856A1A"/>
    <w:rsid w:val="00856A31"/>
    <w:rsid w:val="00856A9E"/>
    <w:rsid w:val="00857082"/>
    <w:rsid w:val="00857700"/>
    <w:rsid w:val="00857B4F"/>
    <w:rsid w:val="00857C20"/>
    <w:rsid w:val="008605D9"/>
    <w:rsid w:val="00860B4E"/>
    <w:rsid w:val="00860C1F"/>
    <w:rsid w:val="00860F98"/>
    <w:rsid w:val="00861112"/>
    <w:rsid w:val="008613E9"/>
    <w:rsid w:val="00861A2B"/>
    <w:rsid w:val="00861DB2"/>
    <w:rsid w:val="00862BA8"/>
    <w:rsid w:val="00862C0A"/>
    <w:rsid w:val="00862E2D"/>
    <w:rsid w:val="008635C6"/>
    <w:rsid w:val="00863722"/>
    <w:rsid w:val="00863BD0"/>
    <w:rsid w:val="00864479"/>
    <w:rsid w:val="00864537"/>
    <w:rsid w:val="00864594"/>
    <w:rsid w:val="0086489E"/>
    <w:rsid w:val="00864EC7"/>
    <w:rsid w:val="00864EDF"/>
    <w:rsid w:val="00865319"/>
    <w:rsid w:val="0086536B"/>
    <w:rsid w:val="0086577F"/>
    <w:rsid w:val="00865B8D"/>
    <w:rsid w:val="00865BCB"/>
    <w:rsid w:val="00865C66"/>
    <w:rsid w:val="00865DB9"/>
    <w:rsid w:val="008661D1"/>
    <w:rsid w:val="0086624D"/>
    <w:rsid w:val="0086671F"/>
    <w:rsid w:val="00866755"/>
    <w:rsid w:val="00866ED2"/>
    <w:rsid w:val="00867637"/>
    <w:rsid w:val="0086784D"/>
    <w:rsid w:val="00867B37"/>
    <w:rsid w:val="00867FF5"/>
    <w:rsid w:val="0087060A"/>
    <w:rsid w:val="00870D71"/>
    <w:rsid w:val="00870E93"/>
    <w:rsid w:val="0087176B"/>
    <w:rsid w:val="00871F97"/>
    <w:rsid w:val="00872109"/>
    <w:rsid w:val="008721EE"/>
    <w:rsid w:val="008723B8"/>
    <w:rsid w:val="00872423"/>
    <w:rsid w:val="00872E46"/>
    <w:rsid w:val="00873412"/>
    <w:rsid w:val="0087349A"/>
    <w:rsid w:val="008734EF"/>
    <w:rsid w:val="0087352D"/>
    <w:rsid w:val="00874068"/>
    <w:rsid w:val="00874332"/>
    <w:rsid w:val="008744D0"/>
    <w:rsid w:val="008745D0"/>
    <w:rsid w:val="00874B47"/>
    <w:rsid w:val="00874C42"/>
    <w:rsid w:val="008750BA"/>
    <w:rsid w:val="008753E7"/>
    <w:rsid w:val="008754D0"/>
    <w:rsid w:val="0087563A"/>
    <w:rsid w:val="00875A11"/>
    <w:rsid w:val="00875A67"/>
    <w:rsid w:val="00875D13"/>
    <w:rsid w:val="00876012"/>
    <w:rsid w:val="00876112"/>
    <w:rsid w:val="0087611C"/>
    <w:rsid w:val="0087642D"/>
    <w:rsid w:val="008771C2"/>
    <w:rsid w:val="008775CB"/>
    <w:rsid w:val="00877704"/>
    <w:rsid w:val="00877ADB"/>
    <w:rsid w:val="00877B68"/>
    <w:rsid w:val="00877E6D"/>
    <w:rsid w:val="008802BB"/>
    <w:rsid w:val="00880B78"/>
    <w:rsid w:val="00880EE0"/>
    <w:rsid w:val="00880F77"/>
    <w:rsid w:val="0088110B"/>
    <w:rsid w:val="00881172"/>
    <w:rsid w:val="0088168F"/>
    <w:rsid w:val="0088215F"/>
    <w:rsid w:val="0088235F"/>
    <w:rsid w:val="008824C6"/>
    <w:rsid w:val="0088284A"/>
    <w:rsid w:val="00882907"/>
    <w:rsid w:val="00882CC6"/>
    <w:rsid w:val="00882D42"/>
    <w:rsid w:val="0088310A"/>
    <w:rsid w:val="00883424"/>
    <w:rsid w:val="0088347C"/>
    <w:rsid w:val="008836DA"/>
    <w:rsid w:val="0088370B"/>
    <w:rsid w:val="00883BB4"/>
    <w:rsid w:val="00883CE2"/>
    <w:rsid w:val="00883E94"/>
    <w:rsid w:val="00883F0E"/>
    <w:rsid w:val="00884121"/>
    <w:rsid w:val="008841E2"/>
    <w:rsid w:val="008848B7"/>
    <w:rsid w:val="008849EE"/>
    <w:rsid w:val="00884BAA"/>
    <w:rsid w:val="00884C33"/>
    <w:rsid w:val="00884D98"/>
    <w:rsid w:val="008855C9"/>
    <w:rsid w:val="0088589C"/>
    <w:rsid w:val="00886456"/>
    <w:rsid w:val="00886615"/>
    <w:rsid w:val="0088662B"/>
    <w:rsid w:val="00886873"/>
    <w:rsid w:val="00886F06"/>
    <w:rsid w:val="008870FD"/>
    <w:rsid w:val="008874DD"/>
    <w:rsid w:val="008874F8"/>
    <w:rsid w:val="00887A64"/>
    <w:rsid w:val="00887DF1"/>
    <w:rsid w:val="00887F35"/>
    <w:rsid w:val="00890136"/>
    <w:rsid w:val="00890388"/>
    <w:rsid w:val="0089049F"/>
    <w:rsid w:val="0089052E"/>
    <w:rsid w:val="00890702"/>
    <w:rsid w:val="00890B51"/>
    <w:rsid w:val="00890C82"/>
    <w:rsid w:val="00890E01"/>
    <w:rsid w:val="0089134B"/>
    <w:rsid w:val="00891680"/>
    <w:rsid w:val="00891846"/>
    <w:rsid w:val="00891D49"/>
    <w:rsid w:val="008920B5"/>
    <w:rsid w:val="00892CE1"/>
    <w:rsid w:val="00892FE1"/>
    <w:rsid w:val="00893D42"/>
    <w:rsid w:val="00893F40"/>
    <w:rsid w:val="00894067"/>
    <w:rsid w:val="00894179"/>
    <w:rsid w:val="008943B5"/>
    <w:rsid w:val="008946BC"/>
    <w:rsid w:val="00894AEC"/>
    <w:rsid w:val="00895166"/>
    <w:rsid w:val="008951CD"/>
    <w:rsid w:val="00895561"/>
    <w:rsid w:val="008955C1"/>
    <w:rsid w:val="00895D36"/>
    <w:rsid w:val="00895D46"/>
    <w:rsid w:val="00895EA0"/>
    <w:rsid w:val="00896093"/>
    <w:rsid w:val="008960AB"/>
    <w:rsid w:val="00896176"/>
    <w:rsid w:val="00896204"/>
    <w:rsid w:val="008968BF"/>
    <w:rsid w:val="00896941"/>
    <w:rsid w:val="0089715E"/>
    <w:rsid w:val="008972DE"/>
    <w:rsid w:val="008977B2"/>
    <w:rsid w:val="00897834"/>
    <w:rsid w:val="00897C96"/>
    <w:rsid w:val="008A020F"/>
    <w:rsid w:val="008A095F"/>
    <w:rsid w:val="008A0A2B"/>
    <w:rsid w:val="008A0CEA"/>
    <w:rsid w:val="008A0D0F"/>
    <w:rsid w:val="008A11D0"/>
    <w:rsid w:val="008A11E3"/>
    <w:rsid w:val="008A130A"/>
    <w:rsid w:val="008A1915"/>
    <w:rsid w:val="008A1928"/>
    <w:rsid w:val="008A1A38"/>
    <w:rsid w:val="008A1BD9"/>
    <w:rsid w:val="008A1BF8"/>
    <w:rsid w:val="008A1FC0"/>
    <w:rsid w:val="008A20B8"/>
    <w:rsid w:val="008A225F"/>
    <w:rsid w:val="008A2347"/>
    <w:rsid w:val="008A2A09"/>
    <w:rsid w:val="008A2DCC"/>
    <w:rsid w:val="008A2E17"/>
    <w:rsid w:val="008A3006"/>
    <w:rsid w:val="008A3261"/>
    <w:rsid w:val="008A3875"/>
    <w:rsid w:val="008A38E0"/>
    <w:rsid w:val="008A3ABE"/>
    <w:rsid w:val="008A46E1"/>
    <w:rsid w:val="008A4BA5"/>
    <w:rsid w:val="008A4F43"/>
    <w:rsid w:val="008A5643"/>
    <w:rsid w:val="008A5C6F"/>
    <w:rsid w:val="008A5DF5"/>
    <w:rsid w:val="008A6276"/>
    <w:rsid w:val="008A629F"/>
    <w:rsid w:val="008A6396"/>
    <w:rsid w:val="008A6B61"/>
    <w:rsid w:val="008A6C38"/>
    <w:rsid w:val="008A6C8F"/>
    <w:rsid w:val="008A6DC6"/>
    <w:rsid w:val="008A6E86"/>
    <w:rsid w:val="008A7209"/>
    <w:rsid w:val="008A7592"/>
    <w:rsid w:val="008A7617"/>
    <w:rsid w:val="008A79CB"/>
    <w:rsid w:val="008A7BFF"/>
    <w:rsid w:val="008A7C7B"/>
    <w:rsid w:val="008A7CDB"/>
    <w:rsid w:val="008B052E"/>
    <w:rsid w:val="008B0571"/>
    <w:rsid w:val="008B07FD"/>
    <w:rsid w:val="008B0B1D"/>
    <w:rsid w:val="008B1329"/>
    <w:rsid w:val="008B1B8E"/>
    <w:rsid w:val="008B1BE1"/>
    <w:rsid w:val="008B215B"/>
    <w:rsid w:val="008B25EF"/>
    <w:rsid w:val="008B2706"/>
    <w:rsid w:val="008B34B9"/>
    <w:rsid w:val="008B34DF"/>
    <w:rsid w:val="008B3536"/>
    <w:rsid w:val="008B3686"/>
    <w:rsid w:val="008B38CF"/>
    <w:rsid w:val="008B398D"/>
    <w:rsid w:val="008B3C76"/>
    <w:rsid w:val="008B3DFC"/>
    <w:rsid w:val="008B3ED7"/>
    <w:rsid w:val="008B4132"/>
    <w:rsid w:val="008B414E"/>
    <w:rsid w:val="008B43A6"/>
    <w:rsid w:val="008B47ED"/>
    <w:rsid w:val="008B5C8D"/>
    <w:rsid w:val="008B5CE5"/>
    <w:rsid w:val="008B5D1D"/>
    <w:rsid w:val="008B5DCE"/>
    <w:rsid w:val="008B606B"/>
    <w:rsid w:val="008B615A"/>
    <w:rsid w:val="008B6203"/>
    <w:rsid w:val="008B70FD"/>
    <w:rsid w:val="008B739B"/>
    <w:rsid w:val="008B78F8"/>
    <w:rsid w:val="008B78FF"/>
    <w:rsid w:val="008B7A03"/>
    <w:rsid w:val="008B7EF8"/>
    <w:rsid w:val="008C00A3"/>
    <w:rsid w:val="008C00FA"/>
    <w:rsid w:val="008C0172"/>
    <w:rsid w:val="008C0604"/>
    <w:rsid w:val="008C0BFB"/>
    <w:rsid w:val="008C0C2E"/>
    <w:rsid w:val="008C1019"/>
    <w:rsid w:val="008C10CC"/>
    <w:rsid w:val="008C1266"/>
    <w:rsid w:val="008C148F"/>
    <w:rsid w:val="008C150C"/>
    <w:rsid w:val="008C1838"/>
    <w:rsid w:val="008C1C71"/>
    <w:rsid w:val="008C23DF"/>
    <w:rsid w:val="008C2EAC"/>
    <w:rsid w:val="008C3101"/>
    <w:rsid w:val="008C333C"/>
    <w:rsid w:val="008C334B"/>
    <w:rsid w:val="008C3471"/>
    <w:rsid w:val="008C3840"/>
    <w:rsid w:val="008C3AAC"/>
    <w:rsid w:val="008C3C48"/>
    <w:rsid w:val="008C40CB"/>
    <w:rsid w:val="008C41FB"/>
    <w:rsid w:val="008C446A"/>
    <w:rsid w:val="008C509B"/>
    <w:rsid w:val="008C517B"/>
    <w:rsid w:val="008C55C9"/>
    <w:rsid w:val="008C577F"/>
    <w:rsid w:val="008C5A47"/>
    <w:rsid w:val="008C61FA"/>
    <w:rsid w:val="008C64AF"/>
    <w:rsid w:val="008C65E5"/>
    <w:rsid w:val="008C696B"/>
    <w:rsid w:val="008C7A0E"/>
    <w:rsid w:val="008C7F73"/>
    <w:rsid w:val="008C7F8B"/>
    <w:rsid w:val="008D03DE"/>
    <w:rsid w:val="008D07C8"/>
    <w:rsid w:val="008D0AE2"/>
    <w:rsid w:val="008D0B96"/>
    <w:rsid w:val="008D0EE0"/>
    <w:rsid w:val="008D1388"/>
    <w:rsid w:val="008D1824"/>
    <w:rsid w:val="008D185E"/>
    <w:rsid w:val="008D18C0"/>
    <w:rsid w:val="008D1B45"/>
    <w:rsid w:val="008D1B60"/>
    <w:rsid w:val="008D1B7B"/>
    <w:rsid w:val="008D1BC9"/>
    <w:rsid w:val="008D1E54"/>
    <w:rsid w:val="008D1FBF"/>
    <w:rsid w:val="008D23D1"/>
    <w:rsid w:val="008D2414"/>
    <w:rsid w:val="008D2568"/>
    <w:rsid w:val="008D25BF"/>
    <w:rsid w:val="008D26D0"/>
    <w:rsid w:val="008D27CE"/>
    <w:rsid w:val="008D2A16"/>
    <w:rsid w:val="008D2F7B"/>
    <w:rsid w:val="008D33B4"/>
    <w:rsid w:val="008D36F2"/>
    <w:rsid w:val="008D3DE3"/>
    <w:rsid w:val="008D3F35"/>
    <w:rsid w:val="008D4396"/>
    <w:rsid w:val="008D46C1"/>
    <w:rsid w:val="008D4C64"/>
    <w:rsid w:val="008D4D7F"/>
    <w:rsid w:val="008D5089"/>
    <w:rsid w:val="008D5199"/>
    <w:rsid w:val="008D5311"/>
    <w:rsid w:val="008D53C8"/>
    <w:rsid w:val="008D54E6"/>
    <w:rsid w:val="008D55EF"/>
    <w:rsid w:val="008D5F15"/>
    <w:rsid w:val="008D69B6"/>
    <w:rsid w:val="008D6A75"/>
    <w:rsid w:val="008D7101"/>
    <w:rsid w:val="008D7852"/>
    <w:rsid w:val="008D7EEF"/>
    <w:rsid w:val="008D7F13"/>
    <w:rsid w:val="008E0027"/>
    <w:rsid w:val="008E0044"/>
    <w:rsid w:val="008E0080"/>
    <w:rsid w:val="008E089E"/>
    <w:rsid w:val="008E0EA9"/>
    <w:rsid w:val="008E1349"/>
    <w:rsid w:val="008E1383"/>
    <w:rsid w:val="008E170B"/>
    <w:rsid w:val="008E1938"/>
    <w:rsid w:val="008E1A0B"/>
    <w:rsid w:val="008E1A0C"/>
    <w:rsid w:val="008E1B7F"/>
    <w:rsid w:val="008E1CC5"/>
    <w:rsid w:val="008E23E0"/>
    <w:rsid w:val="008E25A0"/>
    <w:rsid w:val="008E274D"/>
    <w:rsid w:val="008E29E3"/>
    <w:rsid w:val="008E2A89"/>
    <w:rsid w:val="008E2B8D"/>
    <w:rsid w:val="008E2E1F"/>
    <w:rsid w:val="008E32F4"/>
    <w:rsid w:val="008E354A"/>
    <w:rsid w:val="008E39EF"/>
    <w:rsid w:val="008E3D5E"/>
    <w:rsid w:val="008E40AA"/>
    <w:rsid w:val="008E428F"/>
    <w:rsid w:val="008E4483"/>
    <w:rsid w:val="008E45F8"/>
    <w:rsid w:val="008E4972"/>
    <w:rsid w:val="008E49B9"/>
    <w:rsid w:val="008E4F1B"/>
    <w:rsid w:val="008E54D7"/>
    <w:rsid w:val="008E5FCC"/>
    <w:rsid w:val="008E6067"/>
    <w:rsid w:val="008E60DE"/>
    <w:rsid w:val="008E6BBD"/>
    <w:rsid w:val="008E6FA9"/>
    <w:rsid w:val="008E7363"/>
    <w:rsid w:val="008E7B25"/>
    <w:rsid w:val="008E7E8B"/>
    <w:rsid w:val="008E7F23"/>
    <w:rsid w:val="008F03C9"/>
    <w:rsid w:val="008F057B"/>
    <w:rsid w:val="008F0958"/>
    <w:rsid w:val="008F110A"/>
    <w:rsid w:val="008F1510"/>
    <w:rsid w:val="008F18B5"/>
    <w:rsid w:val="008F1CA1"/>
    <w:rsid w:val="008F2A3A"/>
    <w:rsid w:val="008F3273"/>
    <w:rsid w:val="008F32E9"/>
    <w:rsid w:val="008F3380"/>
    <w:rsid w:val="008F3F5E"/>
    <w:rsid w:val="008F3FB9"/>
    <w:rsid w:val="008F429B"/>
    <w:rsid w:val="008F43A1"/>
    <w:rsid w:val="008F495A"/>
    <w:rsid w:val="008F4D8B"/>
    <w:rsid w:val="008F5384"/>
    <w:rsid w:val="008F54E5"/>
    <w:rsid w:val="008F54E7"/>
    <w:rsid w:val="008F563B"/>
    <w:rsid w:val="008F56D3"/>
    <w:rsid w:val="008F598B"/>
    <w:rsid w:val="008F59CB"/>
    <w:rsid w:val="008F5DB2"/>
    <w:rsid w:val="008F5FF2"/>
    <w:rsid w:val="008F61EF"/>
    <w:rsid w:val="008F6459"/>
    <w:rsid w:val="008F659E"/>
    <w:rsid w:val="008F6B0D"/>
    <w:rsid w:val="008F72D8"/>
    <w:rsid w:val="008F753D"/>
    <w:rsid w:val="008F7613"/>
    <w:rsid w:val="008F7618"/>
    <w:rsid w:val="008F77D7"/>
    <w:rsid w:val="008F7859"/>
    <w:rsid w:val="008F7B6E"/>
    <w:rsid w:val="009003AB"/>
    <w:rsid w:val="00900BB2"/>
    <w:rsid w:val="00900BD1"/>
    <w:rsid w:val="009010F2"/>
    <w:rsid w:val="00901609"/>
    <w:rsid w:val="00901E60"/>
    <w:rsid w:val="0090236A"/>
    <w:rsid w:val="009025F0"/>
    <w:rsid w:val="00902C83"/>
    <w:rsid w:val="0090338A"/>
    <w:rsid w:val="00903422"/>
    <w:rsid w:val="009035DA"/>
    <w:rsid w:val="009038D6"/>
    <w:rsid w:val="00903A28"/>
    <w:rsid w:val="00903AA3"/>
    <w:rsid w:val="00903E36"/>
    <w:rsid w:val="00903F98"/>
    <w:rsid w:val="00904007"/>
    <w:rsid w:val="009043B4"/>
    <w:rsid w:val="00904699"/>
    <w:rsid w:val="00904A21"/>
    <w:rsid w:val="00904A3B"/>
    <w:rsid w:val="00904D47"/>
    <w:rsid w:val="009053D9"/>
    <w:rsid w:val="00905E06"/>
    <w:rsid w:val="009064B3"/>
    <w:rsid w:val="009066F7"/>
    <w:rsid w:val="00906CD5"/>
    <w:rsid w:val="009070FE"/>
    <w:rsid w:val="0090723C"/>
    <w:rsid w:val="00907C09"/>
    <w:rsid w:val="00907DBA"/>
    <w:rsid w:val="00907FF4"/>
    <w:rsid w:val="00910592"/>
    <w:rsid w:val="00910BDF"/>
    <w:rsid w:val="00911066"/>
    <w:rsid w:val="00911645"/>
    <w:rsid w:val="00911766"/>
    <w:rsid w:val="00911A83"/>
    <w:rsid w:val="00911B71"/>
    <w:rsid w:val="00911BDC"/>
    <w:rsid w:val="00911C1B"/>
    <w:rsid w:val="00911E5B"/>
    <w:rsid w:val="009121B1"/>
    <w:rsid w:val="009121E8"/>
    <w:rsid w:val="009122D8"/>
    <w:rsid w:val="00912451"/>
    <w:rsid w:val="009127BE"/>
    <w:rsid w:val="00912BA1"/>
    <w:rsid w:val="00913412"/>
    <w:rsid w:val="009139A8"/>
    <w:rsid w:val="00914366"/>
    <w:rsid w:val="0091480C"/>
    <w:rsid w:val="00914D8D"/>
    <w:rsid w:val="00914DA5"/>
    <w:rsid w:val="00914E83"/>
    <w:rsid w:val="00914ED5"/>
    <w:rsid w:val="00914EF7"/>
    <w:rsid w:val="00915191"/>
    <w:rsid w:val="009151AD"/>
    <w:rsid w:val="00915C0F"/>
    <w:rsid w:val="0091606B"/>
    <w:rsid w:val="0091618C"/>
    <w:rsid w:val="00916460"/>
    <w:rsid w:val="00916587"/>
    <w:rsid w:val="00916699"/>
    <w:rsid w:val="00916974"/>
    <w:rsid w:val="00916A66"/>
    <w:rsid w:val="00916CE4"/>
    <w:rsid w:val="009172D2"/>
    <w:rsid w:val="00917684"/>
    <w:rsid w:val="009177E4"/>
    <w:rsid w:val="009177F1"/>
    <w:rsid w:val="00920312"/>
    <w:rsid w:val="00920596"/>
    <w:rsid w:val="0092095E"/>
    <w:rsid w:val="00920A1D"/>
    <w:rsid w:val="00920E60"/>
    <w:rsid w:val="00921101"/>
    <w:rsid w:val="0092124C"/>
    <w:rsid w:val="00921FCC"/>
    <w:rsid w:val="00922837"/>
    <w:rsid w:val="00922A0B"/>
    <w:rsid w:val="00922A16"/>
    <w:rsid w:val="00922A7A"/>
    <w:rsid w:val="00923174"/>
    <w:rsid w:val="009231B7"/>
    <w:rsid w:val="009233D8"/>
    <w:rsid w:val="009234FB"/>
    <w:rsid w:val="00923898"/>
    <w:rsid w:val="00923BBB"/>
    <w:rsid w:val="00923CD0"/>
    <w:rsid w:val="00924062"/>
    <w:rsid w:val="00924652"/>
    <w:rsid w:val="00924CFE"/>
    <w:rsid w:val="00924D45"/>
    <w:rsid w:val="00924FEA"/>
    <w:rsid w:val="009254C3"/>
    <w:rsid w:val="0092560F"/>
    <w:rsid w:val="00925CBE"/>
    <w:rsid w:val="00925D00"/>
    <w:rsid w:val="00925D46"/>
    <w:rsid w:val="00925F57"/>
    <w:rsid w:val="009262FD"/>
    <w:rsid w:val="00926317"/>
    <w:rsid w:val="00926892"/>
    <w:rsid w:val="00926E47"/>
    <w:rsid w:val="00926E99"/>
    <w:rsid w:val="00926F58"/>
    <w:rsid w:val="00926FB7"/>
    <w:rsid w:val="00927035"/>
    <w:rsid w:val="00927A16"/>
    <w:rsid w:val="00927EBE"/>
    <w:rsid w:val="0093008B"/>
    <w:rsid w:val="00930E09"/>
    <w:rsid w:val="00930F4B"/>
    <w:rsid w:val="009312AD"/>
    <w:rsid w:val="0093187C"/>
    <w:rsid w:val="009319F2"/>
    <w:rsid w:val="0093233B"/>
    <w:rsid w:val="00932377"/>
    <w:rsid w:val="00932866"/>
    <w:rsid w:val="0093322B"/>
    <w:rsid w:val="009332FB"/>
    <w:rsid w:val="00933369"/>
    <w:rsid w:val="00933C2D"/>
    <w:rsid w:val="00933E03"/>
    <w:rsid w:val="0093414B"/>
    <w:rsid w:val="0093454E"/>
    <w:rsid w:val="009345E6"/>
    <w:rsid w:val="009346E5"/>
    <w:rsid w:val="009347A2"/>
    <w:rsid w:val="00934EB8"/>
    <w:rsid w:val="009350EF"/>
    <w:rsid w:val="0093513D"/>
    <w:rsid w:val="0093595F"/>
    <w:rsid w:val="009365DB"/>
    <w:rsid w:val="00936ACA"/>
    <w:rsid w:val="00936AE3"/>
    <w:rsid w:val="00937283"/>
    <w:rsid w:val="009375D1"/>
    <w:rsid w:val="00937767"/>
    <w:rsid w:val="009379DE"/>
    <w:rsid w:val="00937A90"/>
    <w:rsid w:val="00937FDA"/>
    <w:rsid w:val="0094022B"/>
    <w:rsid w:val="00940571"/>
    <w:rsid w:val="009407EC"/>
    <w:rsid w:val="00940B6E"/>
    <w:rsid w:val="00941236"/>
    <w:rsid w:val="009412EC"/>
    <w:rsid w:val="00941342"/>
    <w:rsid w:val="009415F6"/>
    <w:rsid w:val="0094186C"/>
    <w:rsid w:val="00941C94"/>
    <w:rsid w:val="009422AE"/>
    <w:rsid w:val="00942B11"/>
    <w:rsid w:val="009433A0"/>
    <w:rsid w:val="0094364A"/>
    <w:rsid w:val="0094379A"/>
    <w:rsid w:val="00943DCF"/>
    <w:rsid w:val="00943FD5"/>
    <w:rsid w:val="00944152"/>
    <w:rsid w:val="009444C5"/>
    <w:rsid w:val="00944A3D"/>
    <w:rsid w:val="00944ACC"/>
    <w:rsid w:val="00944CEA"/>
    <w:rsid w:val="00944F45"/>
    <w:rsid w:val="0094520C"/>
    <w:rsid w:val="00945282"/>
    <w:rsid w:val="00945627"/>
    <w:rsid w:val="00945F2F"/>
    <w:rsid w:val="0094628E"/>
    <w:rsid w:val="009465EE"/>
    <w:rsid w:val="009468C2"/>
    <w:rsid w:val="009469BB"/>
    <w:rsid w:val="00946DD8"/>
    <w:rsid w:val="009471D5"/>
    <w:rsid w:val="00947491"/>
    <w:rsid w:val="00947871"/>
    <w:rsid w:val="00947D49"/>
    <w:rsid w:val="00947D5A"/>
    <w:rsid w:val="00947FDF"/>
    <w:rsid w:val="009500AD"/>
    <w:rsid w:val="00950318"/>
    <w:rsid w:val="00950346"/>
    <w:rsid w:val="00950371"/>
    <w:rsid w:val="00950408"/>
    <w:rsid w:val="00950F44"/>
    <w:rsid w:val="00951124"/>
    <w:rsid w:val="0095138C"/>
    <w:rsid w:val="009514FA"/>
    <w:rsid w:val="009515DD"/>
    <w:rsid w:val="0095196B"/>
    <w:rsid w:val="00951AFB"/>
    <w:rsid w:val="00951E72"/>
    <w:rsid w:val="00952229"/>
    <w:rsid w:val="00952450"/>
    <w:rsid w:val="009524AE"/>
    <w:rsid w:val="00952572"/>
    <w:rsid w:val="00952833"/>
    <w:rsid w:val="009529EB"/>
    <w:rsid w:val="00952AC0"/>
    <w:rsid w:val="00952B5F"/>
    <w:rsid w:val="00952EF5"/>
    <w:rsid w:val="00952F7A"/>
    <w:rsid w:val="00953138"/>
    <w:rsid w:val="009532A5"/>
    <w:rsid w:val="00953799"/>
    <w:rsid w:val="009538CB"/>
    <w:rsid w:val="00953C1E"/>
    <w:rsid w:val="00953D23"/>
    <w:rsid w:val="00953D2D"/>
    <w:rsid w:val="00953FC1"/>
    <w:rsid w:val="00954462"/>
    <w:rsid w:val="00954470"/>
    <w:rsid w:val="009544D0"/>
    <w:rsid w:val="009545BD"/>
    <w:rsid w:val="00954CB0"/>
    <w:rsid w:val="00954FAF"/>
    <w:rsid w:val="0095502E"/>
    <w:rsid w:val="00955033"/>
    <w:rsid w:val="009552DF"/>
    <w:rsid w:val="009555D1"/>
    <w:rsid w:val="009556C6"/>
    <w:rsid w:val="00955C0C"/>
    <w:rsid w:val="009560B6"/>
    <w:rsid w:val="009560ED"/>
    <w:rsid w:val="0095639F"/>
    <w:rsid w:val="009564F6"/>
    <w:rsid w:val="009568DF"/>
    <w:rsid w:val="00956BE1"/>
    <w:rsid w:val="00956DE2"/>
    <w:rsid w:val="0095772B"/>
    <w:rsid w:val="0095782A"/>
    <w:rsid w:val="00957A1B"/>
    <w:rsid w:val="00957CC0"/>
    <w:rsid w:val="00957DCB"/>
    <w:rsid w:val="009604FE"/>
    <w:rsid w:val="00960E6F"/>
    <w:rsid w:val="00960EC5"/>
    <w:rsid w:val="00960F5B"/>
    <w:rsid w:val="0096103D"/>
    <w:rsid w:val="00961404"/>
    <w:rsid w:val="0096141F"/>
    <w:rsid w:val="00961618"/>
    <w:rsid w:val="00961D9B"/>
    <w:rsid w:val="00962586"/>
    <w:rsid w:val="009627BD"/>
    <w:rsid w:val="009629A6"/>
    <w:rsid w:val="00963295"/>
    <w:rsid w:val="00963A3A"/>
    <w:rsid w:val="00963BBD"/>
    <w:rsid w:val="00964409"/>
    <w:rsid w:val="009644C9"/>
    <w:rsid w:val="0096455F"/>
    <w:rsid w:val="00964574"/>
    <w:rsid w:val="00964771"/>
    <w:rsid w:val="00964ACC"/>
    <w:rsid w:val="00964B47"/>
    <w:rsid w:val="00964CF0"/>
    <w:rsid w:val="00964EDA"/>
    <w:rsid w:val="00965076"/>
    <w:rsid w:val="0096523C"/>
    <w:rsid w:val="009652A5"/>
    <w:rsid w:val="00965398"/>
    <w:rsid w:val="00965BC2"/>
    <w:rsid w:val="00965E16"/>
    <w:rsid w:val="00965EE7"/>
    <w:rsid w:val="009663E9"/>
    <w:rsid w:val="00966633"/>
    <w:rsid w:val="00967119"/>
    <w:rsid w:val="00967130"/>
    <w:rsid w:val="009679CE"/>
    <w:rsid w:val="00967A6C"/>
    <w:rsid w:val="00967AA0"/>
    <w:rsid w:val="00967E98"/>
    <w:rsid w:val="00967F91"/>
    <w:rsid w:val="00970156"/>
    <w:rsid w:val="00970236"/>
    <w:rsid w:val="00970A97"/>
    <w:rsid w:val="00970DA9"/>
    <w:rsid w:val="00971A27"/>
    <w:rsid w:val="00971B9B"/>
    <w:rsid w:val="00971CBC"/>
    <w:rsid w:val="00971CEC"/>
    <w:rsid w:val="00971F7C"/>
    <w:rsid w:val="00971F9B"/>
    <w:rsid w:val="00972079"/>
    <w:rsid w:val="00972C51"/>
    <w:rsid w:val="00972CFA"/>
    <w:rsid w:val="009730A4"/>
    <w:rsid w:val="0097314D"/>
    <w:rsid w:val="00973620"/>
    <w:rsid w:val="00973C78"/>
    <w:rsid w:val="009742C7"/>
    <w:rsid w:val="00974588"/>
    <w:rsid w:val="009746A8"/>
    <w:rsid w:val="0097480A"/>
    <w:rsid w:val="0097491D"/>
    <w:rsid w:val="009749EC"/>
    <w:rsid w:val="00974EC4"/>
    <w:rsid w:val="00974ED4"/>
    <w:rsid w:val="009751DB"/>
    <w:rsid w:val="009752FA"/>
    <w:rsid w:val="0097565F"/>
    <w:rsid w:val="00975A89"/>
    <w:rsid w:val="00975B55"/>
    <w:rsid w:val="009760E8"/>
    <w:rsid w:val="00976207"/>
    <w:rsid w:val="0097627F"/>
    <w:rsid w:val="00976708"/>
    <w:rsid w:val="009769B2"/>
    <w:rsid w:val="00976E52"/>
    <w:rsid w:val="00976EEF"/>
    <w:rsid w:val="00977271"/>
    <w:rsid w:val="009773C9"/>
    <w:rsid w:val="009777CF"/>
    <w:rsid w:val="009777E9"/>
    <w:rsid w:val="00977806"/>
    <w:rsid w:val="00977F95"/>
    <w:rsid w:val="009803BC"/>
    <w:rsid w:val="009805A5"/>
    <w:rsid w:val="0098092C"/>
    <w:rsid w:val="00980BED"/>
    <w:rsid w:val="00980DA9"/>
    <w:rsid w:val="00980E72"/>
    <w:rsid w:val="0098158E"/>
    <w:rsid w:val="009817E6"/>
    <w:rsid w:val="00982242"/>
    <w:rsid w:val="009823B3"/>
    <w:rsid w:val="009823B8"/>
    <w:rsid w:val="00982429"/>
    <w:rsid w:val="00982893"/>
    <w:rsid w:val="00982D94"/>
    <w:rsid w:val="00983BC1"/>
    <w:rsid w:val="0098426E"/>
    <w:rsid w:val="0098449E"/>
    <w:rsid w:val="0098487F"/>
    <w:rsid w:val="00984C6E"/>
    <w:rsid w:val="00985132"/>
    <w:rsid w:val="00985329"/>
    <w:rsid w:val="009853A9"/>
    <w:rsid w:val="00985682"/>
    <w:rsid w:val="0098576D"/>
    <w:rsid w:val="0098583E"/>
    <w:rsid w:val="009859F5"/>
    <w:rsid w:val="00985C20"/>
    <w:rsid w:val="00986247"/>
    <w:rsid w:val="0098634D"/>
    <w:rsid w:val="009868E9"/>
    <w:rsid w:val="0098693E"/>
    <w:rsid w:val="00986C81"/>
    <w:rsid w:val="00986D07"/>
    <w:rsid w:val="00987495"/>
    <w:rsid w:val="00987944"/>
    <w:rsid w:val="009879BB"/>
    <w:rsid w:val="00987D49"/>
    <w:rsid w:val="009900A3"/>
    <w:rsid w:val="00990156"/>
    <w:rsid w:val="0099039B"/>
    <w:rsid w:val="00990510"/>
    <w:rsid w:val="009905AD"/>
    <w:rsid w:val="00990F4E"/>
    <w:rsid w:val="009910E6"/>
    <w:rsid w:val="009914FB"/>
    <w:rsid w:val="00991971"/>
    <w:rsid w:val="00991BF8"/>
    <w:rsid w:val="00992247"/>
    <w:rsid w:val="009922C1"/>
    <w:rsid w:val="009928FA"/>
    <w:rsid w:val="00992939"/>
    <w:rsid w:val="00992961"/>
    <w:rsid w:val="00992D73"/>
    <w:rsid w:val="009931DC"/>
    <w:rsid w:val="0099349A"/>
    <w:rsid w:val="00993688"/>
    <w:rsid w:val="00993BBE"/>
    <w:rsid w:val="0099401B"/>
    <w:rsid w:val="009942CA"/>
    <w:rsid w:val="00994580"/>
    <w:rsid w:val="009948A2"/>
    <w:rsid w:val="00994C1B"/>
    <w:rsid w:val="00994D61"/>
    <w:rsid w:val="00994FA3"/>
    <w:rsid w:val="0099551A"/>
    <w:rsid w:val="009956B2"/>
    <w:rsid w:val="00995753"/>
    <w:rsid w:val="00995944"/>
    <w:rsid w:val="00995A9B"/>
    <w:rsid w:val="00995C37"/>
    <w:rsid w:val="00995E02"/>
    <w:rsid w:val="00996655"/>
    <w:rsid w:val="0099670B"/>
    <w:rsid w:val="00996C2E"/>
    <w:rsid w:val="00996E3E"/>
    <w:rsid w:val="00997081"/>
    <w:rsid w:val="0099738F"/>
    <w:rsid w:val="009974BD"/>
    <w:rsid w:val="00997866"/>
    <w:rsid w:val="00997A6D"/>
    <w:rsid w:val="00997B5E"/>
    <w:rsid w:val="00997EF6"/>
    <w:rsid w:val="009A0137"/>
    <w:rsid w:val="009A079B"/>
    <w:rsid w:val="009A0E68"/>
    <w:rsid w:val="009A1994"/>
    <w:rsid w:val="009A1C62"/>
    <w:rsid w:val="009A2061"/>
    <w:rsid w:val="009A21CF"/>
    <w:rsid w:val="009A21DF"/>
    <w:rsid w:val="009A22A3"/>
    <w:rsid w:val="009A2684"/>
    <w:rsid w:val="009A2741"/>
    <w:rsid w:val="009A28F1"/>
    <w:rsid w:val="009A2D4C"/>
    <w:rsid w:val="009A2D8C"/>
    <w:rsid w:val="009A3331"/>
    <w:rsid w:val="009A343C"/>
    <w:rsid w:val="009A3B36"/>
    <w:rsid w:val="009A3C89"/>
    <w:rsid w:val="009A41BC"/>
    <w:rsid w:val="009A4658"/>
    <w:rsid w:val="009A46F7"/>
    <w:rsid w:val="009A4971"/>
    <w:rsid w:val="009A499A"/>
    <w:rsid w:val="009A49D1"/>
    <w:rsid w:val="009A4D53"/>
    <w:rsid w:val="009A51C6"/>
    <w:rsid w:val="009A5E86"/>
    <w:rsid w:val="009A5EF6"/>
    <w:rsid w:val="009A6052"/>
    <w:rsid w:val="009A615A"/>
    <w:rsid w:val="009A6229"/>
    <w:rsid w:val="009A6A4C"/>
    <w:rsid w:val="009A6D7C"/>
    <w:rsid w:val="009A6EF4"/>
    <w:rsid w:val="009A7597"/>
    <w:rsid w:val="009A7B30"/>
    <w:rsid w:val="009A7BB7"/>
    <w:rsid w:val="009A7C0B"/>
    <w:rsid w:val="009B01DB"/>
    <w:rsid w:val="009B042C"/>
    <w:rsid w:val="009B058A"/>
    <w:rsid w:val="009B0C46"/>
    <w:rsid w:val="009B0E7D"/>
    <w:rsid w:val="009B11A4"/>
    <w:rsid w:val="009B11BD"/>
    <w:rsid w:val="009B127B"/>
    <w:rsid w:val="009B168C"/>
    <w:rsid w:val="009B1718"/>
    <w:rsid w:val="009B1D38"/>
    <w:rsid w:val="009B1E9C"/>
    <w:rsid w:val="009B1F0A"/>
    <w:rsid w:val="009B215C"/>
    <w:rsid w:val="009B22DA"/>
    <w:rsid w:val="009B2523"/>
    <w:rsid w:val="009B252A"/>
    <w:rsid w:val="009B309E"/>
    <w:rsid w:val="009B3127"/>
    <w:rsid w:val="009B3131"/>
    <w:rsid w:val="009B32FB"/>
    <w:rsid w:val="009B3CD1"/>
    <w:rsid w:val="009B3D38"/>
    <w:rsid w:val="009B3D6A"/>
    <w:rsid w:val="009B4410"/>
    <w:rsid w:val="009B443F"/>
    <w:rsid w:val="009B5170"/>
    <w:rsid w:val="009B518F"/>
    <w:rsid w:val="009B5196"/>
    <w:rsid w:val="009B560D"/>
    <w:rsid w:val="009B56F2"/>
    <w:rsid w:val="009B5820"/>
    <w:rsid w:val="009B5A75"/>
    <w:rsid w:val="009B64AB"/>
    <w:rsid w:val="009B64F8"/>
    <w:rsid w:val="009B66AE"/>
    <w:rsid w:val="009B68A3"/>
    <w:rsid w:val="009B6AFD"/>
    <w:rsid w:val="009B72F9"/>
    <w:rsid w:val="009B7627"/>
    <w:rsid w:val="009B78C1"/>
    <w:rsid w:val="009B7A15"/>
    <w:rsid w:val="009B7D9B"/>
    <w:rsid w:val="009C0127"/>
    <w:rsid w:val="009C0366"/>
    <w:rsid w:val="009C0889"/>
    <w:rsid w:val="009C0BDE"/>
    <w:rsid w:val="009C0D5B"/>
    <w:rsid w:val="009C0F5A"/>
    <w:rsid w:val="009C0FC1"/>
    <w:rsid w:val="009C1061"/>
    <w:rsid w:val="009C1335"/>
    <w:rsid w:val="009C173A"/>
    <w:rsid w:val="009C1C7A"/>
    <w:rsid w:val="009C1CDB"/>
    <w:rsid w:val="009C222D"/>
    <w:rsid w:val="009C22B3"/>
    <w:rsid w:val="009C22EB"/>
    <w:rsid w:val="009C2453"/>
    <w:rsid w:val="009C271A"/>
    <w:rsid w:val="009C2CA4"/>
    <w:rsid w:val="009C3119"/>
    <w:rsid w:val="009C31D4"/>
    <w:rsid w:val="009C33D5"/>
    <w:rsid w:val="009C3413"/>
    <w:rsid w:val="009C39AC"/>
    <w:rsid w:val="009C3B77"/>
    <w:rsid w:val="009C3ECA"/>
    <w:rsid w:val="009C404C"/>
    <w:rsid w:val="009C4551"/>
    <w:rsid w:val="009C4B8C"/>
    <w:rsid w:val="009C5186"/>
    <w:rsid w:val="009C538E"/>
    <w:rsid w:val="009C5437"/>
    <w:rsid w:val="009C5579"/>
    <w:rsid w:val="009C5636"/>
    <w:rsid w:val="009C5AAC"/>
    <w:rsid w:val="009C5E41"/>
    <w:rsid w:val="009C5F7A"/>
    <w:rsid w:val="009C6022"/>
    <w:rsid w:val="009C6029"/>
    <w:rsid w:val="009C61B9"/>
    <w:rsid w:val="009C66E6"/>
    <w:rsid w:val="009C67CE"/>
    <w:rsid w:val="009C69E7"/>
    <w:rsid w:val="009C6C2A"/>
    <w:rsid w:val="009C6CC7"/>
    <w:rsid w:val="009C6D9F"/>
    <w:rsid w:val="009C6E6B"/>
    <w:rsid w:val="009C6EA2"/>
    <w:rsid w:val="009C6F6E"/>
    <w:rsid w:val="009C7330"/>
    <w:rsid w:val="009C7376"/>
    <w:rsid w:val="009C73B4"/>
    <w:rsid w:val="009C78C9"/>
    <w:rsid w:val="009C79EC"/>
    <w:rsid w:val="009C7BA7"/>
    <w:rsid w:val="009C7C5D"/>
    <w:rsid w:val="009C7E87"/>
    <w:rsid w:val="009C7EE0"/>
    <w:rsid w:val="009D005E"/>
    <w:rsid w:val="009D00ED"/>
    <w:rsid w:val="009D0238"/>
    <w:rsid w:val="009D06B7"/>
    <w:rsid w:val="009D06C2"/>
    <w:rsid w:val="009D0AF9"/>
    <w:rsid w:val="009D0FDC"/>
    <w:rsid w:val="009D12C3"/>
    <w:rsid w:val="009D1487"/>
    <w:rsid w:val="009D178F"/>
    <w:rsid w:val="009D19AF"/>
    <w:rsid w:val="009D1BA6"/>
    <w:rsid w:val="009D1CA3"/>
    <w:rsid w:val="009D1E6D"/>
    <w:rsid w:val="009D2031"/>
    <w:rsid w:val="009D20FF"/>
    <w:rsid w:val="009D24A8"/>
    <w:rsid w:val="009D290A"/>
    <w:rsid w:val="009D2E92"/>
    <w:rsid w:val="009D37E7"/>
    <w:rsid w:val="009D3A13"/>
    <w:rsid w:val="009D3D65"/>
    <w:rsid w:val="009D41D4"/>
    <w:rsid w:val="009D42F2"/>
    <w:rsid w:val="009D46EB"/>
    <w:rsid w:val="009D4A34"/>
    <w:rsid w:val="009D5040"/>
    <w:rsid w:val="009D52D6"/>
    <w:rsid w:val="009D540A"/>
    <w:rsid w:val="009D5585"/>
    <w:rsid w:val="009D59CD"/>
    <w:rsid w:val="009D6247"/>
    <w:rsid w:val="009D6488"/>
    <w:rsid w:val="009D6646"/>
    <w:rsid w:val="009D6EE6"/>
    <w:rsid w:val="009D6FE5"/>
    <w:rsid w:val="009D74BA"/>
    <w:rsid w:val="009D7675"/>
    <w:rsid w:val="009D76F1"/>
    <w:rsid w:val="009D7752"/>
    <w:rsid w:val="009D77C1"/>
    <w:rsid w:val="009D7896"/>
    <w:rsid w:val="009D7A47"/>
    <w:rsid w:val="009D7B33"/>
    <w:rsid w:val="009E0A22"/>
    <w:rsid w:val="009E0F8A"/>
    <w:rsid w:val="009E1274"/>
    <w:rsid w:val="009E15A8"/>
    <w:rsid w:val="009E1895"/>
    <w:rsid w:val="009E1EF4"/>
    <w:rsid w:val="009E2531"/>
    <w:rsid w:val="009E2850"/>
    <w:rsid w:val="009E2949"/>
    <w:rsid w:val="009E2B1B"/>
    <w:rsid w:val="009E2D45"/>
    <w:rsid w:val="009E2EBE"/>
    <w:rsid w:val="009E3259"/>
    <w:rsid w:val="009E398E"/>
    <w:rsid w:val="009E3D28"/>
    <w:rsid w:val="009E3FED"/>
    <w:rsid w:val="009E407F"/>
    <w:rsid w:val="009E420D"/>
    <w:rsid w:val="009E4687"/>
    <w:rsid w:val="009E470B"/>
    <w:rsid w:val="009E47B1"/>
    <w:rsid w:val="009E4C22"/>
    <w:rsid w:val="009E564F"/>
    <w:rsid w:val="009E5D2C"/>
    <w:rsid w:val="009E5E9F"/>
    <w:rsid w:val="009E5F63"/>
    <w:rsid w:val="009E6909"/>
    <w:rsid w:val="009E6A03"/>
    <w:rsid w:val="009E6B95"/>
    <w:rsid w:val="009E6F18"/>
    <w:rsid w:val="009F04E7"/>
    <w:rsid w:val="009F0DCE"/>
    <w:rsid w:val="009F116A"/>
    <w:rsid w:val="009F1345"/>
    <w:rsid w:val="009F1448"/>
    <w:rsid w:val="009F26D0"/>
    <w:rsid w:val="009F28D9"/>
    <w:rsid w:val="009F2B01"/>
    <w:rsid w:val="009F2D96"/>
    <w:rsid w:val="009F2F17"/>
    <w:rsid w:val="009F31AD"/>
    <w:rsid w:val="009F32EE"/>
    <w:rsid w:val="009F350A"/>
    <w:rsid w:val="009F3C95"/>
    <w:rsid w:val="009F3ED3"/>
    <w:rsid w:val="009F4308"/>
    <w:rsid w:val="009F4559"/>
    <w:rsid w:val="009F455B"/>
    <w:rsid w:val="009F4C96"/>
    <w:rsid w:val="009F4E98"/>
    <w:rsid w:val="009F504F"/>
    <w:rsid w:val="009F51EA"/>
    <w:rsid w:val="009F51EC"/>
    <w:rsid w:val="009F52BC"/>
    <w:rsid w:val="009F5532"/>
    <w:rsid w:val="009F5867"/>
    <w:rsid w:val="009F5946"/>
    <w:rsid w:val="009F5C9D"/>
    <w:rsid w:val="009F5FDC"/>
    <w:rsid w:val="009F676B"/>
    <w:rsid w:val="009F687E"/>
    <w:rsid w:val="009F6998"/>
    <w:rsid w:val="009F7DC4"/>
    <w:rsid w:val="00A00465"/>
    <w:rsid w:val="00A0068D"/>
    <w:rsid w:val="00A00CAD"/>
    <w:rsid w:val="00A00DF6"/>
    <w:rsid w:val="00A0123A"/>
    <w:rsid w:val="00A017CF"/>
    <w:rsid w:val="00A01A04"/>
    <w:rsid w:val="00A01A25"/>
    <w:rsid w:val="00A021DB"/>
    <w:rsid w:val="00A0246D"/>
    <w:rsid w:val="00A02524"/>
    <w:rsid w:val="00A02798"/>
    <w:rsid w:val="00A02CC8"/>
    <w:rsid w:val="00A02D70"/>
    <w:rsid w:val="00A030D3"/>
    <w:rsid w:val="00A03855"/>
    <w:rsid w:val="00A039AE"/>
    <w:rsid w:val="00A03A47"/>
    <w:rsid w:val="00A03EEB"/>
    <w:rsid w:val="00A03F7E"/>
    <w:rsid w:val="00A043FB"/>
    <w:rsid w:val="00A0441E"/>
    <w:rsid w:val="00A0484C"/>
    <w:rsid w:val="00A04ACF"/>
    <w:rsid w:val="00A04BFC"/>
    <w:rsid w:val="00A04F23"/>
    <w:rsid w:val="00A05063"/>
    <w:rsid w:val="00A051B0"/>
    <w:rsid w:val="00A05BF5"/>
    <w:rsid w:val="00A05C8E"/>
    <w:rsid w:val="00A0606C"/>
    <w:rsid w:val="00A0613C"/>
    <w:rsid w:val="00A06965"/>
    <w:rsid w:val="00A06B5B"/>
    <w:rsid w:val="00A06D3B"/>
    <w:rsid w:val="00A070AE"/>
    <w:rsid w:val="00A072C6"/>
    <w:rsid w:val="00A072F4"/>
    <w:rsid w:val="00A07492"/>
    <w:rsid w:val="00A074A3"/>
    <w:rsid w:val="00A0776E"/>
    <w:rsid w:val="00A07820"/>
    <w:rsid w:val="00A0789A"/>
    <w:rsid w:val="00A07969"/>
    <w:rsid w:val="00A07BDE"/>
    <w:rsid w:val="00A10182"/>
    <w:rsid w:val="00A1024C"/>
    <w:rsid w:val="00A10386"/>
    <w:rsid w:val="00A10603"/>
    <w:rsid w:val="00A10C92"/>
    <w:rsid w:val="00A11021"/>
    <w:rsid w:val="00A1106A"/>
    <w:rsid w:val="00A11547"/>
    <w:rsid w:val="00A1161A"/>
    <w:rsid w:val="00A11737"/>
    <w:rsid w:val="00A11AA6"/>
    <w:rsid w:val="00A11B30"/>
    <w:rsid w:val="00A11B5F"/>
    <w:rsid w:val="00A12128"/>
    <w:rsid w:val="00A123A1"/>
    <w:rsid w:val="00A124C0"/>
    <w:rsid w:val="00A12551"/>
    <w:rsid w:val="00A12A74"/>
    <w:rsid w:val="00A12EE9"/>
    <w:rsid w:val="00A12F28"/>
    <w:rsid w:val="00A1307F"/>
    <w:rsid w:val="00A13332"/>
    <w:rsid w:val="00A13847"/>
    <w:rsid w:val="00A13B79"/>
    <w:rsid w:val="00A13D8D"/>
    <w:rsid w:val="00A14285"/>
    <w:rsid w:val="00A1477D"/>
    <w:rsid w:val="00A148EE"/>
    <w:rsid w:val="00A149D6"/>
    <w:rsid w:val="00A14D88"/>
    <w:rsid w:val="00A156BB"/>
    <w:rsid w:val="00A15737"/>
    <w:rsid w:val="00A15C04"/>
    <w:rsid w:val="00A15C22"/>
    <w:rsid w:val="00A16248"/>
    <w:rsid w:val="00A162C3"/>
    <w:rsid w:val="00A16366"/>
    <w:rsid w:val="00A166B3"/>
    <w:rsid w:val="00A16723"/>
    <w:rsid w:val="00A16D55"/>
    <w:rsid w:val="00A16EFD"/>
    <w:rsid w:val="00A1704A"/>
    <w:rsid w:val="00A171A1"/>
    <w:rsid w:val="00A173D2"/>
    <w:rsid w:val="00A175D8"/>
    <w:rsid w:val="00A17B61"/>
    <w:rsid w:val="00A17C2E"/>
    <w:rsid w:val="00A17C2F"/>
    <w:rsid w:val="00A20048"/>
    <w:rsid w:val="00A2004B"/>
    <w:rsid w:val="00A2090C"/>
    <w:rsid w:val="00A20945"/>
    <w:rsid w:val="00A20BE7"/>
    <w:rsid w:val="00A20C63"/>
    <w:rsid w:val="00A213E1"/>
    <w:rsid w:val="00A215CA"/>
    <w:rsid w:val="00A216B5"/>
    <w:rsid w:val="00A21B77"/>
    <w:rsid w:val="00A21C80"/>
    <w:rsid w:val="00A221F0"/>
    <w:rsid w:val="00A227D9"/>
    <w:rsid w:val="00A2299F"/>
    <w:rsid w:val="00A22C98"/>
    <w:rsid w:val="00A22FFA"/>
    <w:rsid w:val="00A23141"/>
    <w:rsid w:val="00A231E2"/>
    <w:rsid w:val="00A23A86"/>
    <w:rsid w:val="00A23B55"/>
    <w:rsid w:val="00A23BC1"/>
    <w:rsid w:val="00A24072"/>
    <w:rsid w:val="00A241D4"/>
    <w:rsid w:val="00A2433D"/>
    <w:rsid w:val="00A243D1"/>
    <w:rsid w:val="00A24E34"/>
    <w:rsid w:val="00A25065"/>
    <w:rsid w:val="00A2506E"/>
    <w:rsid w:val="00A252DD"/>
    <w:rsid w:val="00A259B6"/>
    <w:rsid w:val="00A25C82"/>
    <w:rsid w:val="00A25E3A"/>
    <w:rsid w:val="00A25EDF"/>
    <w:rsid w:val="00A26059"/>
    <w:rsid w:val="00A26303"/>
    <w:rsid w:val="00A2636E"/>
    <w:rsid w:val="00A26920"/>
    <w:rsid w:val="00A26E6B"/>
    <w:rsid w:val="00A276A9"/>
    <w:rsid w:val="00A27877"/>
    <w:rsid w:val="00A27C72"/>
    <w:rsid w:val="00A27D3A"/>
    <w:rsid w:val="00A27E62"/>
    <w:rsid w:val="00A3049D"/>
    <w:rsid w:val="00A3078E"/>
    <w:rsid w:val="00A308F6"/>
    <w:rsid w:val="00A317F6"/>
    <w:rsid w:val="00A31933"/>
    <w:rsid w:val="00A31A35"/>
    <w:rsid w:val="00A32572"/>
    <w:rsid w:val="00A3268F"/>
    <w:rsid w:val="00A3271A"/>
    <w:rsid w:val="00A328E1"/>
    <w:rsid w:val="00A3323D"/>
    <w:rsid w:val="00A33356"/>
    <w:rsid w:val="00A334B6"/>
    <w:rsid w:val="00A33994"/>
    <w:rsid w:val="00A339D4"/>
    <w:rsid w:val="00A33AEB"/>
    <w:rsid w:val="00A33E43"/>
    <w:rsid w:val="00A34278"/>
    <w:rsid w:val="00A34533"/>
    <w:rsid w:val="00A34798"/>
    <w:rsid w:val="00A34A0C"/>
    <w:rsid w:val="00A34C1D"/>
    <w:rsid w:val="00A34DB8"/>
    <w:rsid w:val="00A3545B"/>
    <w:rsid w:val="00A355B9"/>
    <w:rsid w:val="00A35630"/>
    <w:rsid w:val="00A359CD"/>
    <w:rsid w:val="00A35A22"/>
    <w:rsid w:val="00A35D10"/>
    <w:rsid w:val="00A35F1A"/>
    <w:rsid w:val="00A362B4"/>
    <w:rsid w:val="00A36365"/>
    <w:rsid w:val="00A36429"/>
    <w:rsid w:val="00A36909"/>
    <w:rsid w:val="00A369E3"/>
    <w:rsid w:val="00A36DC4"/>
    <w:rsid w:val="00A36EBE"/>
    <w:rsid w:val="00A37409"/>
    <w:rsid w:val="00A374D1"/>
    <w:rsid w:val="00A37806"/>
    <w:rsid w:val="00A379FF"/>
    <w:rsid w:val="00A37ED0"/>
    <w:rsid w:val="00A40A96"/>
    <w:rsid w:val="00A40C92"/>
    <w:rsid w:val="00A40EBB"/>
    <w:rsid w:val="00A40FF9"/>
    <w:rsid w:val="00A4159C"/>
    <w:rsid w:val="00A417A2"/>
    <w:rsid w:val="00A41DC1"/>
    <w:rsid w:val="00A42303"/>
    <w:rsid w:val="00A42520"/>
    <w:rsid w:val="00A42F86"/>
    <w:rsid w:val="00A43280"/>
    <w:rsid w:val="00A432F4"/>
    <w:rsid w:val="00A43366"/>
    <w:rsid w:val="00A44090"/>
    <w:rsid w:val="00A440D3"/>
    <w:rsid w:val="00A44767"/>
    <w:rsid w:val="00A44928"/>
    <w:rsid w:val="00A45203"/>
    <w:rsid w:val="00A45C47"/>
    <w:rsid w:val="00A45C5E"/>
    <w:rsid w:val="00A45D02"/>
    <w:rsid w:val="00A45EAA"/>
    <w:rsid w:val="00A46233"/>
    <w:rsid w:val="00A46551"/>
    <w:rsid w:val="00A46581"/>
    <w:rsid w:val="00A46C18"/>
    <w:rsid w:val="00A46E9A"/>
    <w:rsid w:val="00A46ECF"/>
    <w:rsid w:val="00A471DB"/>
    <w:rsid w:val="00A471DF"/>
    <w:rsid w:val="00A47583"/>
    <w:rsid w:val="00A47971"/>
    <w:rsid w:val="00A47C69"/>
    <w:rsid w:val="00A47F09"/>
    <w:rsid w:val="00A47FB7"/>
    <w:rsid w:val="00A5023D"/>
    <w:rsid w:val="00A50C93"/>
    <w:rsid w:val="00A5132C"/>
    <w:rsid w:val="00A5150E"/>
    <w:rsid w:val="00A51832"/>
    <w:rsid w:val="00A51985"/>
    <w:rsid w:val="00A51AFC"/>
    <w:rsid w:val="00A51E88"/>
    <w:rsid w:val="00A523BF"/>
    <w:rsid w:val="00A52621"/>
    <w:rsid w:val="00A52B3E"/>
    <w:rsid w:val="00A5316D"/>
    <w:rsid w:val="00A531B6"/>
    <w:rsid w:val="00A53A9C"/>
    <w:rsid w:val="00A5416A"/>
    <w:rsid w:val="00A542AE"/>
    <w:rsid w:val="00A54607"/>
    <w:rsid w:val="00A54D87"/>
    <w:rsid w:val="00A55175"/>
    <w:rsid w:val="00A55849"/>
    <w:rsid w:val="00A5586C"/>
    <w:rsid w:val="00A559AF"/>
    <w:rsid w:val="00A56576"/>
    <w:rsid w:val="00A56660"/>
    <w:rsid w:val="00A567EA"/>
    <w:rsid w:val="00A56A2F"/>
    <w:rsid w:val="00A56F82"/>
    <w:rsid w:val="00A572C1"/>
    <w:rsid w:val="00A57443"/>
    <w:rsid w:val="00A57600"/>
    <w:rsid w:val="00A5764D"/>
    <w:rsid w:val="00A5787E"/>
    <w:rsid w:val="00A57A61"/>
    <w:rsid w:val="00A57DC2"/>
    <w:rsid w:val="00A57F5A"/>
    <w:rsid w:val="00A60072"/>
    <w:rsid w:val="00A605C3"/>
    <w:rsid w:val="00A60A80"/>
    <w:rsid w:val="00A60EB2"/>
    <w:rsid w:val="00A60F0D"/>
    <w:rsid w:val="00A61132"/>
    <w:rsid w:val="00A61BBE"/>
    <w:rsid w:val="00A62142"/>
    <w:rsid w:val="00A624F6"/>
    <w:rsid w:val="00A6271A"/>
    <w:rsid w:val="00A62757"/>
    <w:rsid w:val="00A62D2D"/>
    <w:rsid w:val="00A6301F"/>
    <w:rsid w:val="00A630D5"/>
    <w:rsid w:val="00A6349B"/>
    <w:rsid w:val="00A63669"/>
    <w:rsid w:val="00A63B54"/>
    <w:rsid w:val="00A63C96"/>
    <w:rsid w:val="00A63F89"/>
    <w:rsid w:val="00A640D2"/>
    <w:rsid w:val="00A64264"/>
    <w:rsid w:val="00A6439C"/>
    <w:rsid w:val="00A647F6"/>
    <w:rsid w:val="00A64912"/>
    <w:rsid w:val="00A64972"/>
    <w:rsid w:val="00A64A2E"/>
    <w:rsid w:val="00A64A33"/>
    <w:rsid w:val="00A64AFF"/>
    <w:rsid w:val="00A64E02"/>
    <w:rsid w:val="00A64F00"/>
    <w:rsid w:val="00A64F13"/>
    <w:rsid w:val="00A6512F"/>
    <w:rsid w:val="00A6523A"/>
    <w:rsid w:val="00A6529A"/>
    <w:rsid w:val="00A655CE"/>
    <w:rsid w:val="00A65A8E"/>
    <w:rsid w:val="00A65C1A"/>
    <w:rsid w:val="00A65DA0"/>
    <w:rsid w:val="00A65E67"/>
    <w:rsid w:val="00A65EE0"/>
    <w:rsid w:val="00A65FC8"/>
    <w:rsid w:val="00A65FEF"/>
    <w:rsid w:val="00A662A6"/>
    <w:rsid w:val="00A6687D"/>
    <w:rsid w:val="00A668B1"/>
    <w:rsid w:val="00A66F2F"/>
    <w:rsid w:val="00A67010"/>
    <w:rsid w:val="00A670EA"/>
    <w:rsid w:val="00A672B7"/>
    <w:rsid w:val="00A672BF"/>
    <w:rsid w:val="00A6750F"/>
    <w:rsid w:val="00A676F8"/>
    <w:rsid w:val="00A67D92"/>
    <w:rsid w:val="00A67DB6"/>
    <w:rsid w:val="00A67E0A"/>
    <w:rsid w:val="00A67F2C"/>
    <w:rsid w:val="00A7087D"/>
    <w:rsid w:val="00A70A74"/>
    <w:rsid w:val="00A71A72"/>
    <w:rsid w:val="00A71E2B"/>
    <w:rsid w:val="00A72125"/>
    <w:rsid w:val="00A72566"/>
    <w:rsid w:val="00A7279D"/>
    <w:rsid w:val="00A72C69"/>
    <w:rsid w:val="00A72C8A"/>
    <w:rsid w:val="00A734C6"/>
    <w:rsid w:val="00A73896"/>
    <w:rsid w:val="00A73AAD"/>
    <w:rsid w:val="00A73FEA"/>
    <w:rsid w:val="00A740E6"/>
    <w:rsid w:val="00A74898"/>
    <w:rsid w:val="00A75539"/>
    <w:rsid w:val="00A7561A"/>
    <w:rsid w:val="00A75727"/>
    <w:rsid w:val="00A75A8E"/>
    <w:rsid w:val="00A75C64"/>
    <w:rsid w:val="00A75E1B"/>
    <w:rsid w:val="00A75FD9"/>
    <w:rsid w:val="00A75FE9"/>
    <w:rsid w:val="00A76DB2"/>
    <w:rsid w:val="00A77228"/>
    <w:rsid w:val="00A77367"/>
    <w:rsid w:val="00A7743D"/>
    <w:rsid w:val="00A777FD"/>
    <w:rsid w:val="00A778A7"/>
    <w:rsid w:val="00A77B0C"/>
    <w:rsid w:val="00A77B94"/>
    <w:rsid w:val="00A800CE"/>
    <w:rsid w:val="00A80174"/>
    <w:rsid w:val="00A804A8"/>
    <w:rsid w:val="00A80591"/>
    <w:rsid w:val="00A806AF"/>
    <w:rsid w:val="00A808D3"/>
    <w:rsid w:val="00A80C5D"/>
    <w:rsid w:val="00A80D7B"/>
    <w:rsid w:val="00A81095"/>
    <w:rsid w:val="00A81512"/>
    <w:rsid w:val="00A8184C"/>
    <w:rsid w:val="00A818DA"/>
    <w:rsid w:val="00A81BE7"/>
    <w:rsid w:val="00A81C51"/>
    <w:rsid w:val="00A82183"/>
    <w:rsid w:val="00A82610"/>
    <w:rsid w:val="00A82631"/>
    <w:rsid w:val="00A82A16"/>
    <w:rsid w:val="00A82B48"/>
    <w:rsid w:val="00A82DC9"/>
    <w:rsid w:val="00A82F43"/>
    <w:rsid w:val="00A837F4"/>
    <w:rsid w:val="00A83988"/>
    <w:rsid w:val="00A83B15"/>
    <w:rsid w:val="00A83C48"/>
    <w:rsid w:val="00A8477E"/>
    <w:rsid w:val="00A84824"/>
    <w:rsid w:val="00A84CCE"/>
    <w:rsid w:val="00A85201"/>
    <w:rsid w:val="00A852C6"/>
    <w:rsid w:val="00A85953"/>
    <w:rsid w:val="00A85E68"/>
    <w:rsid w:val="00A85E6C"/>
    <w:rsid w:val="00A86CA2"/>
    <w:rsid w:val="00A87099"/>
    <w:rsid w:val="00A87123"/>
    <w:rsid w:val="00A87705"/>
    <w:rsid w:val="00A90455"/>
    <w:rsid w:val="00A904F0"/>
    <w:rsid w:val="00A906CE"/>
    <w:rsid w:val="00A9083A"/>
    <w:rsid w:val="00A90A1A"/>
    <w:rsid w:val="00A90AB8"/>
    <w:rsid w:val="00A90B6B"/>
    <w:rsid w:val="00A90B93"/>
    <w:rsid w:val="00A90C37"/>
    <w:rsid w:val="00A90F0A"/>
    <w:rsid w:val="00A90FDD"/>
    <w:rsid w:val="00A91241"/>
    <w:rsid w:val="00A9134A"/>
    <w:rsid w:val="00A91462"/>
    <w:rsid w:val="00A91C9C"/>
    <w:rsid w:val="00A925C3"/>
    <w:rsid w:val="00A9284B"/>
    <w:rsid w:val="00A92CC0"/>
    <w:rsid w:val="00A93119"/>
    <w:rsid w:val="00A931F6"/>
    <w:rsid w:val="00A934A5"/>
    <w:rsid w:val="00A935EB"/>
    <w:rsid w:val="00A9393B"/>
    <w:rsid w:val="00A93ADA"/>
    <w:rsid w:val="00A9547E"/>
    <w:rsid w:val="00A9581C"/>
    <w:rsid w:val="00A9582B"/>
    <w:rsid w:val="00A95FA2"/>
    <w:rsid w:val="00A963D2"/>
    <w:rsid w:val="00A96941"/>
    <w:rsid w:val="00A96AF7"/>
    <w:rsid w:val="00A97623"/>
    <w:rsid w:val="00A9763A"/>
    <w:rsid w:val="00A97760"/>
    <w:rsid w:val="00A977A2"/>
    <w:rsid w:val="00A977AA"/>
    <w:rsid w:val="00A97847"/>
    <w:rsid w:val="00A978C9"/>
    <w:rsid w:val="00A979B3"/>
    <w:rsid w:val="00A97C3F"/>
    <w:rsid w:val="00A97DEB"/>
    <w:rsid w:val="00A97DFE"/>
    <w:rsid w:val="00AA0220"/>
    <w:rsid w:val="00AA0421"/>
    <w:rsid w:val="00AA0495"/>
    <w:rsid w:val="00AA0C71"/>
    <w:rsid w:val="00AA0D11"/>
    <w:rsid w:val="00AA11D2"/>
    <w:rsid w:val="00AA186F"/>
    <w:rsid w:val="00AA1983"/>
    <w:rsid w:val="00AA1DFB"/>
    <w:rsid w:val="00AA2297"/>
    <w:rsid w:val="00AA28C6"/>
    <w:rsid w:val="00AA297B"/>
    <w:rsid w:val="00AA3239"/>
    <w:rsid w:val="00AA356B"/>
    <w:rsid w:val="00AA3E43"/>
    <w:rsid w:val="00AA3EC8"/>
    <w:rsid w:val="00AA3F22"/>
    <w:rsid w:val="00AA3FC4"/>
    <w:rsid w:val="00AA42B3"/>
    <w:rsid w:val="00AA4328"/>
    <w:rsid w:val="00AA441C"/>
    <w:rsid w:val="00AA4A31"/>
    <w:rsid w:val="00AA57D4"/>
    <w:rsid w:val="00AA5CA7"/>
    <w:rsid w:val="00AA5F50"/>
    <w:rsid w:val="00AA6207"/>
    <w:rsid w:val="00AA6845"/>
    <w:rsid w:val="00AA68BE"/>
    <w:rsid w:val="00AA730A"/>
    <w:rsid w:val="00AA7377"/>
    <w:rsid w:val="00AA7511"/>
    <w:rsid w:val="00AA7706"/>
    <w:rsid w:val="00AA7E76"/>
    <w:rsid w:val="00AA7F0D"/>
    <w:rsid w:val="00AB0154"/>
    <w:rsid w:val="00AB0B6F"/>
    <w:rsid w:val="00AB0F42"/>
    <w:rsid w:val="00AB1664"/>
    <w:rsid w:val="00AB16B4"/>
    <w:rsid w:val="00AB19F6"/>
    <w:rsid w:val="00AB1F2C"/>
    <w:rsid w:val="00AB210C"/>
    <w:rsid w:val="00AB24A4"/>
    <w:rsid w:val="00AB2722"/>
    <w:rsid w:val="00AB29E9"/>
    <w:rsid w:val="00AB2BFA"/>
    <w:rsid w:val="00AB2CBC"/>
    <w:rsid w:val="00AB3070"/>
    <w:rsid w:val="00AB33C7"/>
    <w:rsid w:val="00AB34E7"/>
    <w:rsid w:val="00AB3C03"/>
    <w:rsid w:val="00AB3E8F"/>
    <w:rsid w:val="00AB3F46"/>
    <w:rsid w:val="00AB4370"/>
    <w:rsid w:val="00AB4913"/>
    <w:rsid w:val="00AB4C5F"/>
    <w:rsid w:val="00AB4E48"/>
    <w:rsid w:val="00AB5C42"/>
    <w:rsid w:val="00AB61AC"/>
    <w:rsid w:val="00AB62FF"/>
    <w:rsid w:val="00AB64D6"/>
    <w:rsid w:val="00AB6518"/>
    <w:rsid w:val="00AB6B24"/>
    <w:rsid w:val="00AB6D6E"/>
    <w:rsid w:val="00AB6E47"/>
    <w:rsid w:val="00AB7112"/>
    <w:rsid w:val="00AB73DF"/>
    <w:rsid w:val="00AB75C9"/>
    <w:rsid w:val="00AB79D0"/>
    <w:rsid w:val="00AB7B1C"/>
    <w:rsid w:val="00AB7B51"/>
    <w:rsid w:val="00AC03F7"/>
    <w:rsid w:val="00AC0E38"/>
    <w:rsid w:val="00AC0EF5"/>
    <w:rsid w:val="00AC10B5"/>
    <w:rsid w:val="00AC135F"/>
    <w:rsid w:val="00AC16F2"/>
    <w:rsid w:val="00AC18DE"/>
    <w:rsid w:val="00AC1909"/>
    <w:rsid w:val="00AC1A24"/>
    <w:rsid w:val="00AC1D85"/>
    <w:rsid w:val="00AC1D8E"/>
    <w:rsid w:val="00AC1F5F"/>
    <w:rsid w:val="00AC2568"/>
    <w:rsid w:val="00AC27DD"/>
    <w:rsid w:val="00AC2B82"/>
    <w:rsid w:val="00AC327F"/>
    <w:rsid w:val="00AC3315"/>
    <w:rsid w:val="00AC3582"/>
    <w:rsid w:val="00AC36C7"/>
    <w:rsid w:val="00AC3BA1"/>
    <w:rsid w:val="00AC3CC2"/>
    <w:rsid w:val="00AC3D83"/>
    <w:rsid w:val="00AC3E58"/>
    <w:rsid w:val="00AC3F45"/>
    <w:rsid w:val="00AC40D2"/>
    <w:rsid w:val="00AC44CA"/>
    <w:rsid w:val="00AC5196"/>
    <w:rsid w:val="00AC51A3"/>
    <w:rsid w:val="00AC5510"/>
    <w:rsid w:val="00AC597D"/>
    <w:rsid w:val="00AC5B1A"/>
    <w:rsid w:val="00AC5E15"/>
    <w:rsid w:val="00AC622B"/>
    <w:rsid w:val="00AC652D"/>
    <w:rsid w:val="00AC668D"/>
    <w:rsid w:val="00AC671F"/>
    <w:rsid w:val="00AC676F"/>
    <w:rsid w:val="00AC6FFF"/>
    <w:rsid w:val="00AC7C1B"/>
    <w:rsid w:val="00AD0E7A"/>
    <w:rsid w:val="00AD0F31"/>
    <w:rsid w:val="00AD101A"/>
    <w:rsid w:val="00AD121E"/>
    <w:rsid w:val="00AD15DD"/>
    <w:rsid w:val="00AD1663"/>
    <w:rsid w:val="00AD1B9A"/>
    <w:rsid w:val="00AD1C5D"/>
    <w:rsid w:val="00AD2B57"/>
    <w:rsid w:val="00AD3411"/>
    <w:rsid w:val="00AD34D8"/>
    <w:rsid w:val="00AD3573"/>
    <w:rsid w:val="00AD3655"/>
    <w:rsid w:val="00AD372F"/>
    <w:rsid w:val="00AD3D2D"/>
    <w:rsid w:val="00AD3DD2"/>
    <w:rsid w:val="00AD3F8C"/>
    <w:rsid w:val="00AD44E7"/>
    <w:rsid w:val="00AD4564"/>
    <w:rsid w:val="00AD47A6"/>
    <w:rsid w:val="00AD53CC"/>
    <w:rsid w:val="00AD5641"/>
    <w:rsid w:val="00AD60FE"/>
    <w:rsid w:val="00AD6931"/>
    <w:rsid w:val="00AD6B71"/>
    <w:rsid w:val="00AD6F7A"/>
    <w:rsid w:val="00AD7055"/>
    <w:rsid w:val="00AD74B5"/>
    <w:rsid w:val="00AD7726"/>
    <w:rsid w:val="00AD7CFD"/>
    <w:rsid w:val="00AD7E38"/>
    <w:rsid w:val="00AD7F64"/>
    <w:rsid w:val="00AE0064"/>
    <w:rsid w:val="00AE0587"/>
    <w:rsid w:val="00AE059B"/>
    <w:rsid w:val="00AE065D"/>
    <w:rsid w:val="00AE080E"/>
    <w:rsid w:val="00AE0B73"/>
    <w:rsid w:val="00AE0D10"/>
    <w:rsid w:val="00AE103A"/>
    <w:rsid w:val="00AE10F5"/>
    <w:rsid w:val="00AE1644"/>
    <w:rsid w:val="00AE18B5"/>
    <w:rsid w:val="00AE19F2"/>
    <w:rsid w:val="00AE1DA2"/>
    <w:rsid w:val="00AE20EF"/>
    <w:rsid w:val="00AE22C3"/>
    <w:rsid w:val="00AE2378"/>
    <w:rsid w:val="00AE285A"/>
    <w:rsid w:val="00AE2964"/>
    <w:rsid w:val="00AE2B4A"/>
    <w:rsid w:val="00AE2ED1"/>
    <w:rsid w:val="00AE3192"/>
    <w:rsid w:val="00AE340A"/>
    <w:rsid w:val="00AE359A"/>
    <w:rsid w:val="00AE36C6"/>
    <w:rsid w:val="00AE3888"/>
    <w:rsid w:val="00AE39B0"/>
    <w:rsid w:val="00AE3ADA"/>
    <w:rsid w:val="00AE3C3E"/>
    <w:rsid w:val="00AE466A"/>
    <w:rsid w:val="00AE4E0C"/>
    <w:rsid w:val="00AE4F26"/>
    <w:rsid w:val="00AE55E8"/>
    <w:rsid w:val="00AE5822"/>
    <w:rsid w:val="00AE5B15"/>
    <w:rsid w:val="00AE5D83"/>
    <w:rsid w:val="00AE5DA0"/>
    <w:rsid w:val="00AE5FA6"/>
    <w:rsid w:val="00AE6163"/>
    <w:rsid w:val="00AE635D"/>
    <w:rsid w:val="00AE63AA"/>
    <w:rsid w:val="00AE65F8"/>
    <w:rsid w:val="00AE6703"/>
    <w:rsid w:val="00AE6801"/>
    <w:rsid w:val="00AE6E19"/>
    <w:rsid w:val="00AE748C"/>
    <w:rsid w:val="00AE76DD"/>
    <w:rsid w:val="00AE7CEC"/>
    <w:rsid w:val="00AE7E8D"/>
    <w:rsid w:val="00AF0293"/>
    <w:rsid w:val="00AF06CF"/>
    <w:rsid w:val="00AF127A"/>
    <w:rsid w:val="00AF1368"/>
    <w:rsid w:val="00AF136D"/>
    <w:rsid w:val="00AF177D"/>
    <w:rsid w:val="00AF1932"/>
    <w:rsid w:val="00AF1981"/>
    <w:rsid w:val="00AF1C14"/>
    <w:rsid w:val="00AF1D46"/>
    <w:rsid w:val="00AF2381"/>
    <w:rsid w:val="00AF239C"/>
    <w:rsid w:val="00AF2C4C"/>
    <w:rsid w:val="00AF2DC8"/>
    <w:rsid w:val="00AF356E"/>
    <w:rsid w:val="00AF3D4C"/>
    <w:rsid w:val="00AF3DDC"/>
    <w:rsid w:val="00AF4D1F"/>
    <w:rsid w:val="00AF5319"/>
    <w:rsid w:val="00AF53D1"/>
    <w:rsid w:val="00AF5810"/>
    <w:rsid w:val="00AF5F3F"/>
    <w:rsid w:val="00AF6068"/>
    <w:rsid w:val="00AF6292"/>
    <w:rsid w:val="00AF6697"/>
    <w:rsid w:val="00AF6A46"/>
    <w:rsid w:val="00AF6A8E"/>
    <w:rsid w:val="00AF6AAE"/>
    <w:rsid w:val="00AF6FDC"/>
    <w:rsid w:val="00AF740A"/>
    <w:rsid w:val="00AF75AB"/>
    <w:rsid w:val="00AF75F6"/>
    <w:rsid w:val="00AF797C"/>
    <w:rsid w:val="00AF7B62"/>
    <w:rsid w:val="00AF7E21"/>
    <w:rsid w:val="00AF7FD1"/>
    <w:rsid w:val="00B00AC2"/>
    <w:rsid w:val="00B00AE1"/>
    <w:rsid w:val="00B00C60"/>
    <w:rsid w:val="00B00EA1"/>
    <w:rsid w:val="00B01024"/>
    <w:rsid w:val="00B01166"/>
    <w:rsid w:val="00B0117F"/>
    <w:rsid w:val="00B01548"/>
    <w:rsid w:val="00B01D61"/>
    <w:rsid w:val="00B01F58"/>
    <w:rsid w:val="00B020CC"/>
    <w:rsid w:val="00B023D4"/>
    <w:rsid w:val="00B028E8"/>
    <w:rsid w:val="00B02B4E"/>
    <w:rsid w:val="00B02D40"/>
    <w:rsid w:val="00B03168"/>
    <w:rsid w:val="00B03201"/>
    <w:rsid w:val="00B03354"/>
    <w:rsid w:val="00B033DC"/>
    <w:rsid w:val="00B035B8"/>
    <w:rsid w:val="00B036F2"/>
    <w:rsid w:val="00B03770"/>
    <w:rsid w:val="00B0395E"/>
    <w:rsid w:val="00B03A90"/>
    <w:rsid w:val="00B03B51"/>
    <w:rsid w:val="00B03B76"/>
    <w:rsid w:val="00B03DBD"/>
    <w:rsid w:val="00B03FB8"/>
    <w:rsid w:val="00B03FBF"/>
    <w:rsid w:val="00B04051"/>
    <w:rsid w:val="00B040C5"/>
    <w:rsid w:val="00B041E6"/>
    <w:rsid w:val="00B04341"/>
    <w:rsid w:val="00B043ED"/>
    <w:rsid w:val="00B0449E"/>
    <w:rsid w:val="00B04515"/>
    <w:rsid w:val="00B046EA"/>
    <w:rsid w:val="00B04910"/>
    <w:rsid w:val="00B04C66"/>
    <w:rsid w:val="00B04CA0"/>
    <w:rsid w:val="00B04E19"/>
    <w:rsid w:val="00B04E7E"/>
    <w:rsid w:val="00B04E97"/>
    <w:rsid w:val="00B04F55"/>
    <w:rsid w:val="00B0532C"/>
    <w:rsid w:val="00B057FB"/>
    <w:rsid w:val="00B058B2"/>
    <w:rsid w:val="00B05A42"/>
    <w:rsid w:val="00B05CE3"/>
    <w:rsid w:val="00B05F87"/>
    <w:rsid w:val="00B0657D"/>
    <w:rsid w:val="00B06759"/>
    <w:rsid w:val="00B06FAF"/>
    <w:rsid w:val="00B073E9"/>
    <w:rsid w:val="00B07428"/>
    <w:rsid w:val="00B07477"/>
    <w:rsid w:val="00B07602"/>
    <w:rsid w:val="00B07799"/>
    <w:rsid w:val="00B07BFD"/>
    <w:rsid w:val="00B07CDB"/>
    <w:rsid w:val="00B07D56"/>
    <w:rsid w:val="00B106B2"/>
    <w:rsid w:val="00B1080A"/>
    <w:rsid w:val="00B10ADE"/>
    <w:rsid w:val="00B10E12"/>
    <w:rsid w:val="00B10E88"/>
    <w:rsid w:val="00B10EDB"/>
    <w:rsid w:val="00B119C1"/>
    <w:rsid w:val="00B12144"/>
    <w:rsid w:val="00B12645"/>
    <w:rsid w:val="00B130FF"/>
    <w:rsid w:val="00B13343"/>
    <w:rsid w:val="00B1387B"/>
    <w:rsid w:val="00B139C0"/>
    <w:rsid w:val="00B13B48"/>
    <w:rsid w:val="00B13DEE"/>
    <w:rsid w:val="00B13EBC"/>
    <w:rsid w:val="00B13F8B"/>
    <w:rsid w:val="00B14313"/>
    <w:rsid w:val="00B1444C"/>
    <w:rsid w:val="00B144E4"/>
    <w:rsid w:val="00B146DA"/>
    <w:rsid w:val="00B1504D"/>
    <w:rsid w:val="00B15188"/>
    <w:rsid w:val="00B1545A"/>
    <w:rsid w:val="00B15523"/>
    <w:rsid w:val="00B155C2"/>
    <w:rsid w:val="00B155ED"/>
    <w:rsid w:val="00B157C8"/>
    <w:rsid w:val="00B16082"/>
    <w:rsid w:val="00B1639E"/>
    <w:rsid w:val="00B1675D"/>
    <w:rsid w:val="00B16A31"/>
    <w:rsid w:val="00B16C73"/>
    <w:rsid w:val="00B16ECC"/>
    <w:rsid w:val="00B1733E"/>
    <w:rsid w:val="00B176C1"/>
    <w:rsid w:val="00B17A38"/>
    <w:rsid w:val="00B17DFD"/>
    <w:rsid w:val="00B2018F"/>
    <w:rsid w:val="00B20495"/>
    <w:rsid w:val="00B2049D"/>
    <w:rsid w:val="00B207FB"/>
    <w:rsid w:val="00B20DDD"/>
    <w:rsid w:val="00B21111"/>
    <w:rsid w:val="00B21696"/>
    <w:rsid w:val="00B21AE9"/>
    <w:rsid w:val="00B21DCB"/>
    <w:rsid w:val="00B2308F"/>
    <w:rsid w:val="00B2338C"/>
    <w:rsid w:val="00B233A4"/>
    <w:rsid w:val="00B2358A"/>
    <w:rsid w:val="00B23602"/>
    <w:rsid w:val="00B2387A"/>
    <w:rsid w:val="00B23C90"/>
    <w:rsid w:val="00B23D2C"/>
    <w:rsid w:val="00B23D38"/>
    <w:rsid w:val="00B23DFE"/>
    <w:rsid w:val="00B24395"/>
    <w:rsid w:val="00B24AA2"/>
    <w:rsid w:val="00B24AEB"/>
    <w:rsid w:val="00B24C52"/>
    <w:rsid w:val="00B24D84"/>
    <w:rsid w:val="00B24F75"/>
    <w:rsid w:val="00B24FE2"/>
    <w:rsid w:val="00B24FFF"/>
    <w:rsid w:val="00B25306"/>
    <w:rsid w:val="00B253AB"/>
    <w:rsid w:val="00B25BBF"/>
    <w:rsid w:val="00B26357"/>
    <w:rsid w:val="00B269EB"/>
    <w:rsid w:val="00B26AEA"/>
    <w:rsid w:val="00B26BD4"/>
    <w:rsid w:val="00B26BDB"/>
    <w:rsid w:val="00B27831"/>
    <w:rsid w:val="00B27A48"/>
    <w:rsid w:val="00B27D12"/>
    <w:rsid w:val="00B27F13"/>
    <w:rsid w:val="00B30010"/>
    <w:rsid w:val="00B30099"/>
    <w:rsid w:val="00B30263"/>
    <w:rsid w:val="00B308FE"/>
    <w:rsid w:val="00B31455"/>
    <w:rsid w:val="00B3169E"/>
    <w:rsid w:val="00B3173B"/>
    <w:rsid w:val="00B318E5"/>
    <w:rsid w:val="00B31D18"/>
    <w:rsid w:val="00B3209C"/>
    <w:rsid w:val="00B320CA"/>
    <w:rsid w:val="00B329F2"/>
    <w:rsid w:val="00B32AD6"/>
    <w:rsid w:val="00B32AE1"/>
    <w:rsid w:val="00B32B33"/>
    <w:rsid w:val="00B32DCF"/>
    <w:rsid w:val="00B33190"/>
    <w:rsid w:val="00B331F1"/>
    <w:rsid w:val="00B3357A"/>
    <w:rsid w:val="00B335C6"/>
    <w:rsid w:val="00B33709"/>
    <w:rsid w:val="00B339FE"/>
    <w:rsid w:val="00B33B3C"/>
    <w:rsid w:val="00B33CF2"/>
    <w:rsid w:val="00B33E64"/>
    <w:rsid w:val="00B34156"/>
    <w:rsid w:val="00B3482B"/>
    <w:rsid w:val="00B349EF"/>
    <w:rsid w:val="00B34A6E"/>
    <w:rsid w:val="00B34BFB"/>
    <w:rsid w:val="00B35696"/>
    <w:rsid w:val="00B358DB"/>
    <w:rsid w:val="00B35B4D"/>
    <w:rsid w:val="00B35E80"/>
    <w:rsid w:val="00B36283"/>
    <w:rsid w:val="00B36392"/>
    <w:rsid w:val="00B367F7"/>
    <w:rsid w:val="00B36A8C"/>
    <w:rsid w:val="00B36E27"/>
    <w:rsid w:val="00B373C3"/>
    <w:rsid w:val="00B37417"/>
    <w:rsid w:val="00B37614"/>
    <w:rsid w:val="00B37628"/>
    <w:rsid w:val="00B376F2"/>
    <w:rsid w:val="00B37DD2"/>
    <w:rsid w:val="00B37F60"/>
    <w:rsid w:val="00B40043"/>
    <w:rsid w:val="00B40251"/>
    <w:rsid w:val="00B4087C"/>
    <w:rsid w:val="00B408DA"/>
    <w:rsid w:val="00B41001"/>
    <w:rsid w:val="00B411B6"/>
    <w:rsid w:val="00B415F2"/>
    <w:rsid w:val="00B41771"/>
    <w:rsid w:val="00B418CB"/>
    <w:rsid w:val="00B41CCF"/>
    <w:rsid w:val="00B41D5B"/>
    <w:rsid w:val="00B41E08"/>
    <w:rsid w:val="00B4207B"/>
    <w:rsid w:val="00B42151"/>
    <w:rsid w:val="00B426CC"/>
    <w:rsid w:val="00B42934"/>
    <w:rsid w:val="00B42D4C"/>
    <w:rsid w:val="00B435E0"/>
    <w:rsid w:val="00B43995"/>
    <w:rsid w:val="00B441DF"/>
    <w:rsid w:val="00B443D7"/>
    <w:rsid w:val="00B447B0"/>
    <w:rsid w:val="00B44C6C"/>
    <w:rsid w:val="00B44D17"/>
    <w:rsid w:val="00B44D58"/>
    <w:rsid w:val="00B44D6F"/>
    <w:rsid w:val="00B44F88"/>
    <w:rsid w:val="00B45138"/>
    <w:rsid w:val="00B452B0"/>
    <w:rsid w:val="00B455A1"/>
    <w:rsid w:val="00B45701"/>
    <w:rsid w:val="00B45A51"/>
    <w:rsid w:val="00B45D50"/>
    <w:rsid w:val="00B465BE"/>
    <w:rsid w:val="00B4671D"/>
    <w:rsid w:val="00B46A12"/>
    <w:rsid w:val="00B46BE8"/>
    <w:rsid w:val="00B46D20"/>
    <w:rsid w:val="00B46EAE"/>
    <w:rsid w:val="00B46EFB"/>
    <w:rsid w:val="00B472F2"/>
    <w:rsid w:val="00B47444"/>
    <w:rsid w:val="00B4772F"/>
    <w:rsid w:val="00B477C9"/>
    <w:rsid w:val="00B47C24"/>
    <w:rsid w:val="00B47C4B"/>
    <w:rsid w:val="00B506C8"/>
    <w:rsid w:val="00B508EA"/>
    <w:rsid w:val="00B50A3B"/>
    <w:rsid w:val="00B50ADC"/>
    <w:rsid w:val="00B50B69"/>
    <w:rsid w:val="00B50EC1"/>
    <w:rsid w:val="00B50F23"/>
    <w:rsid w:val="00B515A5"/>
    <w:rsid w:val="00B51750"/>
    <w:rsid w:val="00B51913"/>
    <w:rsid w:val="00B51B10"/>
    <w:rsid w:val="00B51B5C"/>
    <w:rsid w:val="00B51C3A"/>
    <w:rsid w:val="00B52B34"/>
    <w:rsid w:val="00B52FF0"/>
    <w:rsid w:val="00B53115"/>
    <w:rsid w:val="00B5312F"/>
    <w:rsid w:val="00B53183"/>
    <w:rsid w:val="00B5333C"/>
    <w:rsid w:val="00B53EDA"/>
    <w:rsid w:val="00B53F4D"/>
    <w:rsid w:val="00B54282"/>
    <w:rsid w:val="00B54AD2"/>
    <w:rsid w:val="00B54B80"/>
    <w:rsid w:val="00B54E8C"/>
    <w:rsid w:val="00B54EEB"/>
    <w:rsid w:val="00B54F3C"/>
    <w:rsid w:val="00B5521B"/>
    <w:rsid w:val="00B55369"/>
    <w:rsid w:val="00B55A23"/>
    <w:rsid w:val="00B55BF6"/>
    <w:rsid w:val="00B55C4F"/>
    <w:rsid w:val="00B55CD5"/>
    <w:rsid w:val="00B563D7"/>
    <w:rsid w:val="00B566B1"/>
    <w:rsid w:val="00B5674F"/>
    <w:rsid w:val="00B56903"/>
    <w:rsid w:val="00B569CF"/>
    <w:rsid w:val="00B569FB"/>
    <w:rsid w:val="00B56AF4"/>
    <w:rsid w:val="00B5729E"/>
    <w:rsid w:val="00B57350"/>
    <w:rsid w:val="00B57674"/>
    <w:rsid w:val="00B577C2"/>
    <w:rsid w:val="00B57817"/>
    <w:rsid w:val="00B57973"/>
    <w:rsid w:val="00B57B1F"/>
    <w:rsid w:val="00B57C4A"/>
    <w:rsid w:val="00B60065"/>
    <w:rsid w:val="00B605D1"/>
    <w:rsid w:val="00B60869"/>
    <w:rsid w:val="00B609E4"/>
    <w:rsid w:val="00B60BCB"/>
    <w:rsid w:val="00B60D5A"/>
    <w:rsid w:val="00B60E1A"/>
    <w:rsid w:val="00B60F27"/>
    <w:rsid w:val="00B60F56"/>
    <w:rsid w:val="00B6118B"/>
    <w:rsid w:val="00B6126E"/>
    <w:rsid w:val="00B612A5"/>
    <w:rsid w:val="00B61320"/>
    <w:rsid w:val="00B614E4"/>
    <w:rsid w:val="00B61740"/>
    <w:rsid w:val="00B618D2"/>
    <w:rsid w:val="00B61FF4"/>
    <w:rsid w:val="00B621B7"/>
    <w:rsid w:val="00B62399"/>
    <w:rsid w:val="00B62842"/>
    <w:rsid w:val="00B62DFA"/>
    <w:rsid w:val="00B630D0"/>
    <w:rsid w:val="00B63269"/>
    <w:rsid w:val="00B63415"/>
    <w:rsid w:val="00B636BD"/>
    <w:rsid w:val="00B63834"/>
    <w:rsid w:val="00B6392A"/>
    <w:rsid w:val="00B63ECA"/>
    <w:rsid w:val="00B64038"/>
    <w:rsid w:val="00B64077"/>
    <w:rsid w:val="00B6416E"/>
    <w:rsid w:val="00B6443E"/>
    <w:rsid w:val="00B6487E"/>
    <w:rsid w:val="00B64A49"/>
    <w:rsid w:val="00B64AB2"/>
    <w:rsid w:val="00B64AD7"/>
    <w:rsid w:val="00B64C34"/>
    <w:rsid w:val="00B64D06"/>
    <w:rsid w:val="00B651AB"/>
    <w:rsid w:val="00B65527"/>
    <w:rsid w:val="00B6554F"/>
    <w:rsid w:val="00B65867"/>
    <w:rsid w:val="00B659A4"/>
    <w:rsid w:val="00B65B9E"/>
    <w:rsid w:val="00B65E00"/>
    <w:rsid w:val="00B66267"/>
    <w:rsid w:val="00B662CA"/>
    <w:rsid w:val="00B6659F"/>
    <w:rsid w:val="00B667B5"/>
    <w:rsid w:val="00B66997"/>
    <w:rsid w:val="00B66A79"/>
    <w:rsid w:val="00B66BB4"/>
    <w:rsid w:val="00B66CC7"/>
    <w:rsid w:val="00B66E9D"/>
    <w:rsid w:val="00B6734E"/>
    <w:rsid w:val="00B673B0"/>
    <w:rsid w:val="00B6778E"/>
    <w:rsid w:val="00B67C14"/>
    <w:rsid w:val="00B67CEF"/>
    <w:rsid w:val="00B7075D"/>
    <w:rsid w:val="00B70790"/>
    <w:rsid w:val="00B70DB1"/>
    <w:rsid w:val="00B7140D"/>
    <w:rsid w:val="00B71881"/>
    <w:rsid w:val="00B71B1D"/>
    <w:rsid w:val="00B720B6"/>
    <w:rsid w:val="00B72877"/>
    <w:rsid w:val="00B72DC0"/>
    <w:rsid w:val="00B73266"/>
    <w:rsid w:val="00B733BA"/>
    <w:rsid w:val="00B7341D"/>
    <w:rsid w:val="00B73457"/>
    <w:rsid w:val="00B737DB"/>
    <w:rsid w:val="00B738B6"/>
    <w:rsid w:val="00B73F04"/>
    <w:rsid w:val="00B743DC"/>
    <w:rsid w:val="00B7462E"/>
    <w:rsid w:val="00B749C2"/>
    <w:rsid w:val="00B749E0"/>
    <w:rsid w:val="00B749FA"/>
    <w:rsid w:val="00B74A30"/>
    <w:rsid w:val="00B74BFC"/>
    <w:rsid w:val="00B74F2D"/>
    <w:rsid w:val="00B75297"/>
    <w:rsid w:val="00B752B8"/>
    <w:rsid w:val="00B755BB"/>
    <w:rsid w:val="00B7597D"/>
    <w:rsid w:val="00B75B4E"/>
    <w:rsid w:val="00B75D82"/>
    <w:rsid w:val="00B75D8F"/>
    <w:rsid w:val="00B75E02"/>
    <w:rsid w:val="00B75E7E"/>
    <w:rsid w:val="00B75FE7"/>
    <w:rsid w:val="00B76056"/>
    <w:rsid w:val="00B76722"/>
    <w:rsid w:val="00B769C5"/>
    <w:rsid w:val="00B76A3E"/>
    <w:rsid w:val="00B76B3A"/>
    <w:rsid w:val="00B76BFC"/>
    <w:rsid w:val="00B7729E"/>
    <w:rsid w:val="00B77AF2"/>
    <w:rsid w:val="00B80047"/>
    <w:rsid w:val="00B800A2"/>
    <w:rsid w:val="00B80199"/>
    <w:rsid w:val="00B804B3"/>
    <w:rsid w:val="00B80531"/>
    <w:rsid w:val="00B80696"/>
    <w:rsid w:val="00B80796"/>
    <w:rsid w:val="00B80874"/>
    <w:rsid w:val="00B809E9"/>
    <w:rsid w:val="00B8110F"/>
    <w:rsid w:val="00B811DA"/>
    <w:rsid w:val="00B8132D"/>
    <w:rsid w:val="00B81502"/>
    <w:rsid w:val="00B8156A"/>
    <w:rsid w:val="00B815F6"/>
    <w:rsid w:val="00B816F3"/>
    <w:rsid w:val="00B8182A"/>
    <w:rsid w:val="00B8192F"/>
    <w:rsid w:val="00B81A9A"/>
    <w:rsid w:val="00B82353"/>
    <w:rsid w:val="00B82440"/>
    <w:rsid w:val="00B827E7"/>
    <w:rsid w:val="00B82A8D"/>
    <w:rsid w:val="00B82AC5"/>
    <w:rsid w:val="00B83158"/>
    <w:rsid w:val="00B83204"/>
    <w:rsid w:val="00B8351C"/>
    <w:rsid w:val="00B8357C"/>
    <w:rsid w:val="00B83603"/>
    <w:rsid w:val="00B837CF"/>
    <w:rsid w:val="00B8380C"/>
    <w:rsid w:val="00B83ADC"/>
    <w:rsid w:val="00B83C34"/>
    <w:rsid w:val="00B83EF8"/>
    <w:rsid w:val="00B83FE3"/>
    <w:rsid w:val="00B84ECA"/>
    <w:rsid w:val="00B85223"/>
    <w:rsid w:val="00B85445"/>
    <w:rsid w:val="00B856BD"/>
    <w:rsid w:val="00B856E7"/>
    <w:rsid w:val="00B856FB"/>
    <w:rsid w:val="00B8575D"/>
    <w:rsid w:val="00B85948"/>
    <w:rsid w:val="00B85CB6"/>
    <w:rsid w:val="00B85F9E"/>
    <w:rsid w:val="00B86207"/>
    <w:rsid w:val="00B86340"/>
    <w:rsid w:val="00B868E9"/>
    <w:rsid w:val="00B8698C"/>
    <w:rsid w:val="00B86DB6"/>
    <w:rsid w:val="00B870F5"/>
    <w:rsid w:val="00B8771E"/>
    <w:rsid w:val="00B879EB"/>
    <w:rsid w:val="00B87A4D"/>
    <w:rsid w:val="00B87BC1"/>
    <w:rsid w:val="00B87EF7"/>
    <w:rsid w:val="00B87F4F"/>
    <w:rsid w:val="00B90833"/>
    <w:rsid w:val="00B90ABA"/>
    <w:rsid w:val="00B90EE2"/>
    <w:rsid w:val="00B9198D"/>
    <w:rsid w:val="00B92B39"/>
    <w:rsid w:val="00B92D3A"/>
    <w:rsid w:val="00B92E18"/>
    <w:rsid w:val="00B93ADE"/>
    <w:rsid w:val="00B93D2C"/>
    <w:rsid w:val="00B940ED"/>
    <w:rsid w:val="00B941D6"/>
    <w:rsid w:val="00B94490"/>
    <w:rsid w:val="00B946D5"/>
    <w:rsid w:val="00B947BB"/>
    <w:rsid w:val="00B94918"/>
    <w:rsid w:val="00B94A24"/>
    <w:rsid w:val="00B952D2"/>
    <w:rsid w:val="00B95983"/>
    <w:rsid w:val="00B95BDE"/>
    <w:rsid w:val="00B95BEF"/>
    <w:rsid w:val="00B95DC9"/>
    <w:rsid w:val="00B95E27"/>
    <w:rsid w:val="00B96335"/>
    <w:rsid w:val="00B9654B"/>
    <w:rsid w:val="00B969BB"/>
    <w:rsid w:val="00B96BF2"/>
    <w:rsid w:val="00B96CC8"/>
    <w:rsid w:val="00B96FE7"/>
    <w:rsid w:val="00B97032"/>
    <w:rsid w:val="00B97D58"/>
    <w:rsid w:val="00BA0063"/>
    <w:rsid w:val="00BA018E"/>
    <w:rsid w:val="00BA036F"/>
    <w:rsid w:val="00BA083A"/>
    <w:rsid w:val="00BA0950"/>
    <w:rsid w:val="00BA0D7B"/>
    <w:rsid w:val="00BA0E5C"/>
    <w:rsid w:val="00BA10C5"/>
    <w:rsid w:val="00BA1329"/>
    <w:rsid w:val="00BA135A"/>
    <w:rsid w:val="00BA140D"/>
    <w:rsid w:val="00BA142F"/>
    <w:rsid w:val="00BA1753"/>
    <w:rsid w:val="00BA2177"/>
    <w:rsid w:val="00BA220B"/>
    <w:rsid w:val="00BA2667"/>
    <w:rsid w:val="00BA27EB"/>
    <w:rsid w:val="00BA2963"/>
    <w:rsid w:val="00BA29D6"/>
    <w:rsid w:val="00BA2B90"/>
    <w:rsid w:val="00BA2B9E"/>
    <w:rsid w:val="00BA335D"/>
    <w:rsid w:val="00BA3A57"/>
    <w:rsid w:val="00BA3D47"/>
    <w:rsid w:val="00BA3E13"/>
    <w:rsid w:val="00BA401C"/>
    <w:rsid w:val="00BA46F0"/>
    <w:rsid w:val="00BA4977"/>
    <w:rsid w:val="00BA5410"/>
    <w:rsid w:val="00BA54B5"/>
    <w:rsid w:val="00BA5754"/>
    <w:rsid w:val="00BA6347"/>
    <w:rsid w:val="00BA651C"/>
    <w:rsid w:val="00BA67FB"/>
    <w:rsid w:val="00BA6B9D"/>
    <w:rsid w:val="00BA6E1E"/>
    <w:rsid w:val="00BA7819"/>
    <w:rsid w:val="00BA781B"/>
    <w:rsid w:val="00BA7B02"/>
    <w:rsid w:val="00BA7B7D"/>
    <w:rsid w:val="00BA7E01"/>
    <w:rsid w:val="00BB10D3"/>
    <w:rsid w:val="00BB1533"/>
    <w:rsid w:val="00BB187E"/>
    <w:rsid w:val="00BB1903"/>
    <w:rsid w:val="00BB19B1"/>
    <w:rsid w:val="00BB1A81"/>
    <w:rsid w:val="00BB1BC5"/>
    <w:rsid w:val="00BB1C7E"/>
    <w:rsid w:val="00BB1CAC"/>
    <w:rsid w:val="00BB28E4"/>
    <w:rsid w:val="00BB2EB9"/>
    <w:rsid w:val="00BB34FB"/>
    <w:rsid w:val="00BB36C9"/>
    <w:rsid w:val="00BB3AC6"/>
    <w:rsid w:val="00BB465E"/>
    <w:rsid w:val="00BB4660"/>
    <w:rsid w:val="00BB482B"/>
    <w:rsid w:val="00BB4A78"/>
    <w:rsid w:val="00BB4ACF"/>
    <w:rsid w:val="00BB4B12"/>
    <w:rsid w:val="00BB4B9F"/>
    <w:rsid w:val="00BB4BD4"/>
    <w:rsid w:val="00BB4D4F"/>
    <w:rsid w:val="00BB4E1A"/>
    <w:rsid w:val="00BB4E39"/>
    <w:rsid w:val="00BB4EC6"/>
    <w:rsid w:val="00BB50D2"/>
    <w:rsid w:val="00BB514D"/>
    <w:rsid w:val="00BB539E"/>
    <w:rsid w:val="00BB53A9"/>
    <w:rsid w:val="00BB5788"/>
    <w:rsid w:val="00BB5993"/>
    <w:rsid w:val="00BB599C"/>
    <w:rsid w:val="00BB5F96"/>
    <w:rsid w:val="00BB60F5"/>
    <w:rsid w:val="00BB615D"/>
    <w:rsid w:val="00BB71FF"/>
    <w:rsid w:val="00BB7A68"/>
    <w:rsid w:val="00BB7AC8"/>
    <w:rsid w:val="00BB7BD1"/>
    <w:rsid w:val="00BB7F12"/>
    <w:rsid w:val="00BC0102"/>
    <w:rsid w:val="00BC015E"/>
    <w:rsid w:val="00BC0B43"/>
    <w:rsid w:val="00BC119D"/>
    <w:rsid w:val="00BC12B9"/>
    <w:rsid w:val="00BC131C"/>
    <w:rsid w:val="00BC156E"/>
    <w:rsid w:val="00BC15AE"/>
    <w:rsid w:val="00BC1ACB"/>
    <w:rsid w:val="00BC1E4D"/>
    <w:rsid w:val="00BC1E62"/>
    <w:rsid w:val="00BC2167"/>
    <w:rsid w:val="00BC238E"/>
    <w:rsid w:val="00BC26C6"/>
    <w:rsid w:val="00BC2BB2"/>
    <w:rsid w:val="00BC35C7"/>
    <w:rsid w:val="00BC3C2E"/>
    <w:rsid w:val="00BC3D80"/>
    <w:rsid w:val="00BC408B"/>
    <w:rsid w:val="00BC46D1"/>
    <w:rsid w:val="00BC50AD"/>
    <w:rsid w:val="00BC51C7"/>
    <w:rsid w:val="00BC521A"/>
    <w:rsid w:val="00BC5427"/>
    <w:rsid w:val="00BC5EA5"/>
    <w:rsid w:val="00BC6093"/>
    <w:rsid w:val="00BC64A4"/>
    <w:rsid w:val="00BC67B2"/>
    <w:rsid w:val="00BC74EA"/>
    <w:rsid w:val="00BC76AC"/>
    <w:rsid w:val="00BC78F8"/>
    <w:rsid w:val="00BD0395"/>
    <w:rsid w:val="00BD0462"/>
    <w:rsid w:val="00BD097B"/>
    <w:rsid w:val="00BD0A9F"/>
    <w:rsid w:val="00BD0B4A"/>
    <w:rsid w:val="00BD0C21"/>
    <w:rsid w:val="00BD0DAD"/>
    <w:rsid w:val="00BD0ECB"/>
    <w:rsid w:val="00BD1187"/>
    <w:rsid w:val="00BD1239"/>
    <w:rsid w:val="00BD127F"/>
    <w:rsid w:val="00BD1770"/>
    <w:rsid w:val="00BD1DD6"/>
    <w:rsid w:val="00BD1E3E"/>
    <w:rsid w:val="00BD1EB2"/>
    <w:rsid w:val="00BD24AD"/>
    <w:rsid w:val="00BD29CA"/>
    <w:rsid w:val="00BD2AB7"/>
    <w:rsid w:val="00BD2AD1"/>
    <w:rsid w:val="00BD37F0"/>
    <w:rsid w:val="00BD3DCE"/>
    <w:rsid w:val="00BD402D"/>
    <w:rsid w:val="00BD46A3"/>
    <w:rsid w:val="00BD48A4"/>
    <w:rsid w:val="00BD4957"/>
    <w:rsid w:val="00BD4BD0"/>
    <w:rsid w:val="00BD4C2B"/>
    <w:rsid w:val="00BD53D2"/>
    <w:rsid w:val="00BD5412"/>
    <w:rsid w:val="00BD5418"/>
    <w:rsid w:val="00BD5BAA"/>
    <w:rsid w:val="00BD6035"/>
    <w:rsid w:val="00BD6060"/>
    <w:rsid w:val="00BD63EB"/>
    <w:rsid w:val="00BD65FD"/>
    <w:rsid w:val="00BD667F"/>
    <w:rsid w:val="00BD6991"/>
    <w:rsid w:val="00BD6A00"/>
    <w:rsid w:val="00BD77FE"/>
    <w:rsid w:val="00BD7B84"/>
    <w:rsid w:val="00BD7BCE"/>
    <w:rsid w:val="00BD7D50"/>
    <w:rsid w:val="00BE018F"/>
    <w:rsid w:val="00BE02C1"/>
    <w:rsid w:val="00BE0839"/>
    <w:rsid w:val="00BE0C7F"/>
    <w:rsid w:val="00BE101B"/>
    <w:rsid w:val="00BE182B"/>
    <w:rsid w:val="00BE1CB5"/>
    <w:rsid w:val="00BE1E81"/>
    <w:rsid w:val="00BE2155"/>
    <w:rsid w:val="00BE2511"/>
    <w:rsid w:val="00BE3025"/>
    <w:rsid w:val="00BE345A"/>
    <w:rsid w:val="00BE37E3"/>
    <w:rsid w:val="00BE3806"/>
    <w:rsid w:val="00BE3CC4"/>
    <w:rsid w:val="00BE444B"/>
    <w:rsid w:val="00BE4D5F"/>
    <w:rsid w:val="00BE50DE"/>
    <w:rsid w:val="00BE51CD"/>
    <w:rsid w:val="00BE54E6"/>
    <w:rsid w:val="00BE56C7"/>
    <w:rsid w:val="00BE5708"/>
    <w:rsid w:val="00BE5CF6"/>
    <w:rsid w:val="00BE5DFA"/>
    <w:rsid w:val="00BE5FB8"/>
    <w:rsid w:val="00BE6582"/>
    <w:rsid w:val="00BE6833"/>
    <w:rsid w:val="00BE6864"/>
    <w:rsid w:val="00BE68B5"/>
    <w:rsid w:val="00BE69FF"/>
    <w:rsid w:val="00BE6B52"/>
    <w:rsid w:val="00BE719A"/>
    <w:rsid w:val="00BE720A"/>
    <w:rsid w:val="00BE72EA"/>
    <w:rsid w:val="00BE774C"/>
    <w:rsid w:val="00BE7AD3"/>
    <w:rsid w:val="00BE7D57"/>
    <w:rsid w:val="00BF04A3"/>
    <w:rsid w:val="00BF05AB"/>
    <w:rsid w:val="00BF0705"/>
    <w:rsid w:val="00BF09DA"/>
    <w:rsid w:val="00BF0BA0"/>
    <w:rsid w:val="00BF0D73"/>
    <w:rsid w:val="00BF11E1"/>
    <w:rsid w:val="00BF1D32"/>
    <w:rsid w:val="00BF2199"/>
    <w:rsid w:val="00BF220E"/>
    <w:rsid w:val="00BF2465"/>
    <w:rsid w:val="00BF2ABC"/>
    <w:rsid w:val="00BF2B6D"/>
    <w:rsid w:val="00BF2BBC"/>
    <w:rsid w:val="00BF2F53"/>
    <w:rsid w:val="00BF30B3"/>
    <w:rsid w:val="00BF3A1C"/>
    <w:rsid w:val="00BF3B52"/>
    <w:rsid w:val="00BF3B85"/>
    <w:rsid w:val="00BF3CCB"/>
    <w:rsid w:val="00BF42ED"/>
    <w:rsid w:val="00BF4667"/>
    <w:rsid w:val="00BF4A48"/>
    <w:rsid w:val="00BF4BD5"/>
    <w:rsid w:val="00BF4C69"/>
    <w:rsid w:val="00BF50F5"/>
    <w:rsid w:val="00BF5922"/>
    <w:rsid w:val="00BF598A"/>
    <w:rsid w:val="00BF5A6E"/>
    <w:rsid w:val="00BF5B56"/>
    <w:rsid w:val="00BF5EE3"/>
    <w:rsid w:val="00BF5F55"/>
    <w:rsid w:val="00BF6BB9"/>
    <w:rsid w:val="00BF6D2F"/>
    <w:rsid w:val="00BF710C"/>
    <w:rsid w:val="00BF71BD"/>
    <w:rsid w:val="00BF737B"/>
    <w:rsid w:val="00BF75D6"/>
    <w:rsid w:val="00BF7740"/>
    <w:rsid w:val="00BF7797"/>
    <w:rsid w:val="00BF7D05"/>
    <w:rsid w:val="00BF7D6E"/>
    <w:rsid w:val="00BF7F4F"/>
    <w:rsid w:val="00C00026"/>
    <w:rsid w:val="00C00993"/>
    <w:rsid w:val="00C00CDC"/>
    <w:rsid w:val="00C00D68"/>
    <w:rsid w:val="00C00F3A"/>
    <w:rsid w:val="00C013DC"/>
    <w:rsid w:val="00C01604"/>
    <w:rsid w:val="00C01761"/>
    <w:rsid w:val="00C017BA"/>
    <w:rsid w:val="00C01A36"/>
    <w:rsid w:val="00C01E13"/>
    <w:rsid w:val="00C02000"/>
    <w:rsid w:val="00C02086"/>
    <w:rsid w:val="00C020DC"/>
    <w:rsid w:val="00C0259A"/>
    <w:rsid w:val="00C02B97"/>
    <w:rsid w:val="00C02DFA"/>
    <w:rsid w:val="00C03422"/>
    <w:rsid w:val="00C038DC"/>
    <w:rsid w:val="00C03DE6"/>
    <w:rsid w:val="00C0425F"/>
    <w:rsid w:val="00C04AA7"/>
    <w:rsid w:val="00C04DCC"/>
    <w:rsid w:val="00C04EA9"/>
    <w:rsid w:val="00C051A0"/>
    <w:rsid w:val="00C053A1"/>
    <w:rsid w:val="00C05EE9"/>
    <w:rsid w:val="00C06228"/>
    <w:rsid w:val="00C065F6"/>
    <w:rsid w:val="00C066EB"/>
    <w:rsid w:val="00C0692C"/>
    <w:rsid w:val="00C06A3E"/>
    <w:rsid w:val="00C06C50"/>
    <w:rsid w:val="00C070A2"/>
    <w:rsid w:val="00C0718F"/>
    <w:rsid w:val="00C0732A"/>
    <w:rsid w:val="00C0796D"/>
    <w:rsid w:val="00C10087"/>
    <w:rsid w:val="00C1021E"/>
    <w:rsid w:val="00C10446"/>
    <w:rsid w:val="00C105AD"/>
    <w:rsid w:val="00C1092E"/>
    <w:rsid w:val="00C10EB7"/>
    <w:rsid w:val="00C11116"/>
    <w:rsid w:val="00C1114C"/>
    <w:rsid w:val="00C111DF"/>
    <w:rsid w:val="00C119E5"/>
    <w:rsid w:val="00C11CF9"/>
    <w:rsid w:val="00C12200"/>
    <w:rsid w:val="00C1226B"/>
    <w:rsid w:val="00C12497"/>
    <w:rsid w:val="00C1252D"/>
    <w:rsid w:val="00C1296C"/>
    <w:rsid w:val="00C13073"/>
    <w:rsid w:val="00C131F7"/>
    <w:rsid w:val="00C133F8"/>
    <w:rsid w:val="00C1340C"/>
    <w:rsid w:val="00C135E7"/>
    <w:rsid w:val="00C13866"/>
    <w:rsid w:val="00C138AD"/>
    <w:rsid w:val="00C13AA4"/>
    <w:rsid w:val="00C14107"/>
    <w:rsid w:val="00C14123"/>
    <w:rsid w:val="00C144A3"/>
    <w:rsid w:val="00C1472D"/>
    <w:rsid w:val="00C15259"/>
    <w:rsid w:val="00C1549C"/>
    <w:rsid w:val="00C15AFF"/>
    <w:rsid w:val="00C15DAA"/>
    <w:rsid w:val="00C161B7"/>
    <w:rsid w:val="00C16619"/>
    <w:rsid w:val="00C16C5D"/>
    <w:rsid w:val="00C16D26"/>
    <w:rsid w:val="00C17015"/>
    <w:rsid w:val="00C17030"/>
    <w:rsid w:val="00C173FE"/>
    <w:rsid w:val="00C17464"/>
    <w:rsid w:val="00C17C17"/>
    <w:rsid w:val="00C17F1E"/>
    <w:rsid w:val="00C204B2"/>
    <w:rsid w:val="00C204CD"/>
    <w:rsid w:val="00C204F9"/>
    <w:rsid w:val="00C20523"/>
    <w:rsid w:val="00C206BF"/>
    <w:rsid w:val="00C20738"/>
    <w:rsid w:val="00C207BA"/>
    <w:rsid w:val="00C20884"/>
    <w:rsid w:val="00C20BDC"/>
    <w:rsid w:val="00C20DCA"/>
    <w:rsid w:val="00C20E85"/>
    <w:rsid w:val="00C20F88"/>
    <w:rsid w:val="00C211F1"/>
    <w:rsid w:val="00C21C13"/>
    <w:rsid w:val="00C21E07"/>
    <w:rsid w:val="00C21E63"/>
    <w:rsid w:val="00C221B4"/>
    <w:rsid w:val="00C22650"/>
    <w:rsid w:val="00C22929"/>
    <w:rsid w:val="00C22AAD"/>
    <w:rsid w:val="00C22C51"/>
    <w:rsid w:val="00C22D22"/>
    <w:rsid w:val="00C22D49"/>
    <w:rsid w:val="00C22E51"/>
    <w:rsid w:val="00C231D9"/>
    <w:rsid w:val="00C2369C"/>
    <w:rsid w:val="00C2482C"/>
    <w:rsid w:val="00C24AC2"/>
    <w:rsid w:val="00C24CDA"/>
    <w:rsid w:val="00C24FDB"/>
    <w:rsid w:val="00C25A50"/>
    <w:rsid w:val="00C25E41"/>
    <w:rsid w:val="00C25E49"/>
    <w:rsid w:val="00C25E7F"/>
    <w:rsid w:val="00C25F8B"/>
    <w:rsid w:val="00C26005"/>
    <w:rsid w:val="00C268E4"/>
    <w:rsid w:val="00C26B8E"/>
    <w:rsid w:val="00C26C6C"/>
    <w:rsid w:val="00C270A1"/>
    <w:rsid w:val="00C2739B"/>
    <w:rsid w:val="00C2746F"/>
    <w:rsid w:val="00C27CFA"/>
    <w:rsid w:val="00C3068C"/>
    <w:rsid w:val="00C30875"/>
    <w:rsid w:val="00C30880"/>
    <w:rsid w:val="00C30BD5"/>
    <w:rsid w:val="00C30BF6"/>
    <w:rsid w:val="00C3135B"/>
    <w:rsid w:val="00C31386"/>
    <w:rsid w:val="00C31632"/>
    <w:rsid w:val="00C31931"/>
    <w:rsid w:val="00C31B21"/>
    <w:rsid w:val="00C31BD6"/>
    <w:rsid w:val="00C31D67"/>
    <w:rsid w:val="00C31F4D"/>
    <w:rsid w:val="00C3237C"/>
    <w:rsid w:val="00C323D6"/>
    <w:rsid w:val="00C324A0"/>
    <w:rsid w:val="00C32679"/>
    <w:rsid w:val="00C3284C"/>
    <w:rsid w:val="00C32885"/>
    <w:rsid w:val="00C329F7"/>
    <w:rsid w:val="00C32CBC"/>
    <w:rsid w:val="00C32F7A"/>
    <w:rsid w:val="00C3303B"/>
    <w:rsid w:val="00C33058"/>
    <w:rsid w:val="00C33199"/>
    <w:rsid w:val="00C333D9"/>
    <w:rsid w:val="00C33E14"/>
    <w:rsid w:val="00C33F69"/>
    <w:rsid w:val="00C343B1"/>
    <w:rsid w:val="00C344FC"/>
    <w:rsid w:val="00C35226"/>
    <w:rsid w:val="00C3524B"/>
    <w:rsid w:val="00C3575F"/>
    <w:rsid w:val="00C3590C"/>
    <w:rsid w:val="00C35942"/>
    <w:rsid w:val="00C35DD7"/>
    <w:rsid w:val="00C36437"/>
    <w:rsid w:val="00C370DF"/>
    <w:rsid w:val="00C378D9"/>
    <w:rsid w:val="00C405EF"/>
    <w:rsid w:val="00C40849"/>
    <w:rsid w:val="00C40856"/>
    <w:rsid w:val="00C408ED"/>
    <w:rsid w:val="00C409C6"/>
    <w:rsid w:val="00C40A26"/>
    <w:rsid w:val="00C40E0E"/>
    <w:rsid w:val="00C40F28"/>
    <w:rsid w:val="00C4132D"/>
    <w:rsid w:val="00C4134C"/>
    <w:rsid w:val="00C42176"/>
    <w:rsid w:val="00C42853"/>
    <w:rsid w:val="00C42887"/>
    <w:rsid w:val="00C4297F"/>
    <w:rsid w:val="00C42B4A"/>
    <w:rsid w:val="00C42BF8"/>
    <w:rsid w:val="00C42DF9"/>
    <w:rsid w:val="00C43D61"/>
    <w:rsid w:val="00C43E75"/>
    <w:rsid w:val="00C43F71"/>
    <w:rsid w:val="00C443F5"/>
    <w:rsid w:val="00C4472C"/>
    <w:rsid w:val="00C44867"/>
    <w:rsid w:val="00C44CA4"/>
    <w:rsid w:val="00C453C7"/>
    <w:rsid w:val="00C456DD"/>
    <w:rsid w:val="00C45A4B"/>
    <w:rsid w:val="00C45A81"/>
    <w:rsid w:val="00C45F12"/>
    <w:rsid w:val="00C461F0"/>
    <w:rsid w:val="00C463D1"/>
    <w:rsid w:val="00C464F4"/>
    <w:rsid w:val="00C46511"/>
    <w:rsid w:val="00C46774"/>
    <w:rsid w:val="00C469DC"/>
    <w:rsid w:val="00C46ABF"/>
    <w:rsid w:val="00C46C74"/>
    <w:rsid w:val="00C46D2E"/>
    <w:rsid w:val="00C46D45"/>
    <w:rsid w:val="00C46D5A"/>
    <w:rsid w:val="00C46DFA"/>
    <w:rsid w:val="00C4707E"/>
    <w:rsid w:val="00C4730B"/>
    <w:rsid w:val="00C47323"/>
    <w:rsid w:val="00C47725"/>
    <w:rsid w:val="00C47A60"/>
    <w:rsid w:val="00C47D33"/>
    <w:rsid w:val="00C47DAA"/>
    <w:rsid w:val="00C47E09"/>
    <w:rsid w:val="00C47E4A"/>
    <w:rsid w:val="00C47EB0"/>
    <w:rsid w:val="00C50043"/>
    <w:rsid w:val="00C502F7"/>
    <w:rsid w:val="00C5066E"/>
    <w:rsid w:val="00C514DE"/>
    <w:rsid w:val="00C51D0C"/>
    <w:rsid w:val="00C51F8A"/>
    <w:rsid w:val="00C521A0"/>
    <w:rsid w:val="00C522E2"/>
    <w:rsid w:val="00C5236A"/>
    <w:rsid w:val="00C523B7"/>
    <w:rsid w:val="00C528CD"/>
    <w:rsid w:val="00C52C9A"/>
    <w:rsid w:val="00C53540"/>
    <w:rsid w:val="00C53705"/>
    <w:rsid w:val="00C53875"/>
    <w:rsid w:val="00C53AA5"/>
    <w:rsid w:val="00C53B46"/>
    <w:rsid w:val="00C53CE2"/>
    <w:rsid w:val="00C53D83"/>
    <w:rsid w:val="00C53FAA"/>
    <w:rsid w:val="00C5458F"/>
    <w:rsid w:val="00C5477E"/>
    <w:rsid w:val="00C548EC"/>
    <w:rsid w:val="00C54B18"/>
    <w:rsid w:val="00C54D9E"/>
    <w:rsid w:val="00C5519D"/>
    <w:rsid w:val="00C551F1"/>
    <w:rsid w:val="00C5582E"/>
    <w:rsid w:val="00C55992"/>
    <w:rsid w:val="00C559B3"/>
    <w:rsid w:val="00C55BE2"/>
    <w:rsid w:val="00C55D38"/>
    <w:rsid w:val="00C55DFC"/>
    <w:rsid w:val="00C55EF2"/>
    <w:rsid w:val="00C5606C"/>
    <w:rsid w:val="00C560DF"/>
    <w:rsid w:val="00C56401"/>
    <w:rsid w:val="00C56C81"/>
    <w:rsid w:val="00C5708A"/>
    <w:rsid w:val="00C570A0"/>
    <w:rsid w:val="00C57318"/>
    <w:rsid w:val="00C578E1"/>
    <w:rsid w:val="00C57BD9"/>
    <w:rsid w:val="00C57D0F"/>
    <w:rsid w:val="00C57F8D"/>
    <w:rsid w:val="00C604DF"/>
    <w:rsid w:val="00C60641"/>
    <w:rsid w:val="00C60B04"/>
    <w:rsid w:val="00C61313"/>
    <w:rsid w:val="00C616B6"/>
    <w:rsid w:val="00C6261D"/>
    <w:rsid w:val="00C62C46"/>
    <w:rsid w:val="00C630DB"/>
    <w:rsid w:val="00C634D1"/>
    <w:rsid w:val="00C63844"/>
    <w:rsid w:val="00C63922"/>
    <w:rsid w:val="00C641DB"/>
    <w:rsid w:val="00C644EF"/>
    <w:rsid w:val="00C649C9"/>
    <w:rsid w:val="00C64B1A"/>
    <w:rsid w:val="00C64FF6"/>
    <w:rsid w:val="00C65161"/>
    <w:rsid w:val="00C651B6"/>
    <w:rsid w:val="00C65783"/>
    <w:rsid w:val="00C65794"/>
    <w:rsid w:val="00C65989"/>
    <w:rsid w:val="00C65ACE"/>
    <w:rsid w:val="00C65FEB"/>
    <w:rsid w:val="00C664AB"/>
    <w:rsid w:val="00C665E8"/>
    <w:rsid w:val="00C665FE"/>
    <w:rsid w:val="00C667D0"/>
    <w:rsid w:val="00C66A80"/>
    <w:rsid w:val="00C66C4F"/>
    <w:rsid w:val="00C66D15"/>
    <w:rsid w:val="00C67108"/>
    <w:rsid w:val="00C67491"/>
    <w:rsid w:val="00C675F0"/>
    <w:rsid w:val="00C6787D"/>
    <w:rsid w:val="00C67AA5"/>
    <w:rsid w:val="00C7017A"/>
    <w:rsid w:val="00C709C8"/>
    <w:rsid w:val="00C70A22"/>
    <w:rsid w:val="00C70D3F"/>
    <w:rsid w:val="00C711D7"/>
    <w:rsid w:val="00C713E7"/>
    <w:rsid w:val="00C71445"/>
    <w:rsid w:val="00C7158D"/>
    <w:rsid w:val="00C7175F"/>
    <w:rsid w:val="00C71835"/>
    <w:rsid w:val="00C71975"/>
    <w:rsid w:val="00C71AB8"/>
    <w:rsid w:val="00C71D2E"/>
    <w:rsid w:val="00C71FA3"/>
    <w:rsid w:val="00C720EF"/>
    <w:rsid w:val="00C7221F"/>
    <w:rsid w:val="00C72549"/>
    <w:rsid w:val="00C7287E"/>
    <w:rsid w:val="00C72C2A"/>
    <w:rsid w:val="00C72DCB"/>
    <w:rsid w:val="00C730BF"/>
    <w:rsid w:val="00C7378A"/>
    <w:rsid w:val="00C742DD"/>
    <w:rsid w:val="00C745C1"/>
    <w:rsid w:val="00C7460F"/>
    <w:rsid w:val="00C7476D"/>
    <w:rsid w:val="00C74B35"/>
    <w:rsid w:val="00C756A5"/>
    <w:rsid w:val="00C7573B"/>
    <w:rsid w:val="00C75BDC"/>
    <w:rsid w:val="00C75F96"/>
    <w:rsid w:val="00C7600D"/>
    <w:rsid w:val="00C761CE"/>
    <w:rsid w:val="00C76623"/>
    <w:rsid w:val="00C768B8"/>
    <w:rsid w:val="00C76A2B"/>
    <w:rsid w:val="00C7743F"/>
    <w:rsid w:val="00C776C2"/>
    <w:rsid w:val="00C778A8"/>
    <w:rsid w:val="00C77947"/>
    <w:rsid w:val="00C779CB"/>
    <w:rsid w:val="00C77D91"/>
    <w:rsid w:val="00C77DBB"/>
    <w:rsid w:val="00C77E71"/>
    <w:rsid w:val="00C77EB3"/>
    <w:rsid w:val="00C80064"/>
    <w:rsid w:val="00C80D47"/>
    <w:rsid w:val="00C81173"/>
    <w:rsid w:val="00C81620"/>
    <w:rsid w:val="00C816A1"/>
    <w:rsid w:val="00C81B0F"/>
    <w:rsid w:val="00C82166"/>
    <w:rsid w:val="00C824BE"/>
    <w:rsid w:val="00C826C8"/>
    <w:rsid w:val="00C82AA8"/>
    <w:rsid w:val="00C82ACC"/>
    <w:rsid w:val="00C82B14"/>
    <w:rsid w:val="00C82B8C"/>
    <w:rsid w:val="00C82C65"/>
    <w:rsid w:val="00C82CAA"/>
    <w:rsid w:val="00C8338A"/>
    <w:rsid w:val="00C83A2E"/>
    <w:rsid w:val="00C84501"/>
    <w:rsid w:val="00C84683"/>
    <w:rsid w:val="00C84732"/>
    <w:rsid w:val="00C84A6F"/>
    <w:rsid w:val="00C85653"/>
    <w:rsid w:val="00C85888"/>
    <w:rsid w:val="00C85A0C"/>
    <w:rsid w:val="00C85D7E"/>
    <w:rsid w:val="00C85E43"/>
    <w:rsid w:val="00C85E48"/>
    <w:rsid w:val="00C85E7B"/>
    <w:rsid w:val="00C8658A"/>
    <w:rsid w:val="00C86A0E"/>
    <w:rsid w:val="00C86A0F"/>
    <w:rsid w:val="00C87219"/>
    <w:rsid w:val="00C875D3"/>
    <w:rsid w:val="00C8762E"/>
    <w:rsid w:val="00C87667"/>
    <w:rsid w:val="00C876CA"/>
    <w:rsid w:val="00C87763"/>
    <w:rsid w:val="00C87CE9"/>
    <w:rsid w:val="00C87D53"/>
    <w:rsid w:val="00C87E90"/>
    <w:rsid w:val="00C903BE"/>
    <w:rsid w:val="00C90873"/>
    <w:rsid w:val="00C90904"/>
    <w:rsid w:val="00C90ACD"/>
    <w:rsid w:val="00C90CF2"/>
    <w:rsid w:val="00C91011"/>
    <w:rsid w:val="00C91953"/>
    <w:rsid w:val="00C91BA1"/>
    <w:rsid w:val="00C91D1E"/>
    <w:rsid w:val="00C92124"/>
    <w:rsid w:val="00C92792"/>
    <w:rsid w:val="00C92804"/>
    <w:rsid w:val="00C92821"/>
    <w:rsid w:val="00C92946"/>
    <w:rsid w:val="00C92BD1"/>
    <w:rsid w:val="00C92EE3"/>
    <w:rsid w:val="00C936B0"/>
    <w:rsid w:val="00C9376F"/>
    <w:rsid w:val="00C9413D"/>
    <w:rsid w:val="00C94474"/>
    <w:rsid w:val="00C95275"/>
    <w:rsid w:val="00C954A9"/>
    <w:rsid w:val="00C95D4A"/>
    <w:rsid w:val="00C963E3"/>
    <w:rsid w:val="00C966FB"/>
    <w:rsid w:val="00C96F5C"/>
    <w:rsid w:val="00C96F63"/>
    <w:rsid w:val="00C978CA"/>
    <w:rsid w:val="00C97A43"/>
    <w:rsid w:val="00C97A54"/>
    <w:rsid w:val="00C97B3B"/>
    <w:rsid w:val="00C97DCF"/>
    <w:rsid w:val="00C97F65"/>
    <w:rsid w:val="00CA0371"/>
    <w:rsid w:val="00CA0456"/>
    <w:rsid w:val="00CA0814"/>
    <w:rsid w:val="00CA081E"/>
    <w:rsid w:val="00CA0BEA"/>
    <w:rsid w:val="00CA1961"/>
    <w:rsid w:val="00CA2102"/>
    <w:rsid w:val="00CA2C56"/>
    <w:rsid w:val="00CA2D63"/>
    <w:rsid w:val="00CA2DFA"/>
    <w:rsid w:val="00CA2FF3"/>
    <w:rsid w:val="00CA33D7"/>
    <w:rsid w:val="00CA34A6"/>
    <w:rsid w:val="00CA3634"/>
    <w:rsid w:val="00CA374B"/>
    <w:rsid w:val="00CA3789"/>
    <w:rsid w:val="00CA382A"/>
    <w:rsid w:val="00CA389F"/>
    <w:rsid w:val="00CA3D26"/>
    <w:rsid w:val="00CA424B"/>
    <w:rsid w:val="00CA45D6"/>
    <w:rsid w:val="00CA4EB7"/>
    <w:rsid w:val="00CA515A"/>
    <w:rsid w:val="00CA59AD"/>
    <w:rsid w:val="00CA59CF"/>
    <w:rsid w:val="00CA5ABD"/>
    <w:rsid w:val="00CA5B23"/>
    <w:rsid w:val="00CA5B3E"/>
    <w:rsid w:val="00CA646E"/>
    <w:rsid w:val="00CA6894"/>
    <w:rsid w:val="00CA68EB"/>
    <w:rsid w:val="00CA6C17"/>
    <w:rsid w:val="00CA6E3F"/>
    <w:rsid w:val="00CA72D1"/>
    <w:rsid w:val="00CA7872"/>
    <w:rsid w:val="00CA7889"/>
    <w:rsid w:val="00CA7CB4"/>
    <w:rsid w:val="00CA7CC0"/>
    <w:rsid w:val="00CB00EB"/>
    <w:rsid w:val="00CB0342"/>
    <w:rsid w:val="00CB0523"/>
    <w:rsid w:val="00CB0950"/>
    <w:rsid w:val="00CB0A42"/>
    <w:rsid w:val="00CB0A85"/>
    <w:rsid w:val="00CB0B9B"/>
    <w:rsid w:val="00CB0BF1"/>
    <w:rsid w:val="00CB0CFB"/>
    <w:rsid w:val="00CB13A6"/>
    <w:rsid w:val="00CB1965"/>
    <w:rsid w:val="00CB1ECD"/>
    <w:rsid w:val="00CB2198"/>
    <w:rsid w:val="00CB23DE"/>
    <w:rsid w:val="00CB249E"/>
    <w:rsid w:val="00CB3099"/>
    <w:rsid w:val="00CB33D9"/>
    <w:rsid w:val="00CB34F0"/>
    <w:rsid w:val="00CB3823"/>
    <w:rsid w:val="00CB393F"/>
    <w:rsid w:val="00CB3EDA"/>
    <w:rsid w:val="00CB3FD0"/>
    <w:rsid w:val="00CB40A3"/>
    <w:rsid w:val="00CB43B9"/>
    <w:rsid w:val="00CB4817"/>
    <w:rsid w:val="00CB49C4"/>
    <w:rsid w:val="00CB4A47"/>
    <w:rsid w:val="00CB4CDB"/>
    <w:rsid w:val="00CB4D4B"/>
    <w:rsid w:val="00CB4EF0"/>
    <w:rsid w:val="00CB55AA"/>
    <w:rsid w:val="00CB5D1F"/>
    <w:rsid w:val="00CB5D74"/>
    <w:rsid w:val="00CB5F86"/>
    <w:rsid w:val="00CB602E"/>
    <w:rsid w:val="00CB603B"/>
    <w:rsid w:val="00CB6170"/>
    <w:rsid w:val="00CB6C4D"/>
    <w:rsid w:val="00CB6E2F"/>
    <w:rsid w:val="00CB6FD2"/>
    <w:rsid w:val="00CB74FE"/>
    <w:rsid w:val="00CB7A41"/>
    <w:rsid w:val="00CB7E90"/>
    <w:rsid w:val="00CC03B2"/>
    <w:rsid w:val="00CC040B"/>
    <w:rsid w:val="00CC0F79"/>
    <w:rsid w:val="00CC1025"/>
    <w:rsid w:val="00CC139E"/>
    <w:rsid w:val="00CC161D"/>
    <w:rsid w:val="00CC197A"/>
    <w:rsid w:val="00CC198B"/>
    <w:rsid w:val="00CC1BE8"/>
    <w:rsid w:val="00CC1CF6"/>
    <w:rsid w:val="00CC1E35"/>
    <w:rsid w:val="00CC1F74"/>
    <w:rsid w:val="00CC1FED"/>
    <w:rsid w:val="00CC26C9"/>
    <w:rsid w:val="00CC28A8"/>
    <w:rsid w:val="00CC28BC"/>
    <w:rsid w:val="00CC3BD3"/>
    <w:rsid w:val="00CC3EA0"/>
    <w:rsid w:val="00CC44CA"/>
    <w:rsid w:val="00CC45A7"/>
    <w:rsid w:val="00CC48FF"/>
    <w:rsid w:val="00CC4A07"/>
    <w:rsid w:val="00CC4F7A"/>
    <w:rsid w:val="00CC51A4"/>
    <w:rsid w:val="00CC5A54"/>
    <w:rsid w:val="00CC5C9E"/>
    <w:rsid w:val="00CC62EC"/>
    <w:rsid w:val="00CC6816"/>
    <w:rsid w:val="00CC6DB1"/>
    <w:rsid w:val="00CC6DB4"/>
    <w:rsid w:val="00CC6DBF"/>
    <w:rsid w:val="00CC7053"/>
    <w:rsid w:val="00CC714F"/>
    <w:rsid w:val="00CC77EC"/>
    <w:rsid w:val="00CC791E"/>
    <w:rsid w:val="00CC7D9A"/>
    <w:rsid w:val="00CC7FBB"/>
    <w:rsid w:val="00CD005C"/>
    <w:rsid w:val="00CD0365"/>
    <w:rsid w:val="00CD0823"/>
    <w:rsid w:val="00CD0D24"/>
    <w:rsid w:val="00CD0FA5"/>
    <w:rsid w:val="00CD1806"/>
    <w:rsid w:val="00CD19DA"/>
    <w:rsid w:val="00CD2228"/>
    <w:rsid w:val="00CD2863"/>
    <w:rsid w:val="00CD28EC"/>
    <w:rsid w:val="00CD290D"/>
    <w:rsid w:val="00CD2964"/>
    <w:rsid w:val="00CD2D06"/>
    <w:rsid w:val="00CD30F6"/>
    <w:rsid w:val="00CD32D1"/>
    <w:rsid w:val="00CD3AA2"/>
    <w:rsid w:val="00CD3E2D"/>
    <w:rsid w:val="00CD4D2E"/>
    <w:rsid w:val="00CD5066"/>
    <w:rsid w:val="00CD56F4"/>
    <w:rsid w:val="00CD58EB"/>
    <w:rsid w:val="00CD598A"/>
    <w:rsid w:val="00CD7169"/>
    <w:rsid w:val="00CD71DA"/>
    <w:rsid w:val="00CD760D"/>
    <w:rsid w:val="00CD767B"/>
    <w:rsid w:val="00CD7A23"/>
    <w:rsid w:val="00CD7B6D"/>
    <w:rsid w:val="00CE01BF"/>
    <w:rsid w:val="00CE02B3"/>
    <w:rsid w:val="00CE0370"/>
    <w:rsid w:val="00CE051D"/>
    <w:rsid w:val="00CE0600"/>
    <w:rsid w:val="00CE08DF"/>
    <w:rsid w:val="00CE08EE"/>
    <w:rsid w:val="00CE12C3"/>
    <w:rsid w:val="00CE1335"/>
    <w:rsid w:val="00CE17B7"/>
    <w:rsid w:val="00CE1806"/>
    <w:rsid w:val="00CE1AC1"/>
    <w:rsid w:val="00CE1B28"/>
    <w:rsid w:val="00CE1E42"/>
    <w:rsid w:val="00CE253F"/>
    <w:rsid w:val="00CE27F7"/>
    <w:rsid w:val="00CE2E71"/>
    <w:rsid w:val="00CE3159"/>
    <w:rsid w:val="00CE3850"/>
    <w:rsid w:val="00CE3CCF"/>
    <w:rsid w:val="00CE3D39"/>
    <w:rsid w:val="00CE4461"/>
    <w:rsid w:val="00CE4746"/>
    <w:rsid w:val="00CE493D"/>
    <w:rsid w:val="00CE4993"/>
    <w:rsid w:val="00CE4EB8"/>
    <w:rsid w:val="00CE5854"/>
    <w:rsid w:val="00CE5E3A"/>
    <w:rsid w:val="00CE5ECF"/>
    <w:rsid w:val="00CE60FF"/>
    <w:rsid w:val="00CE69BB"/>
    <w:rsid w:val="00CE6D09"/>
    <w:rsid w:val="00CE7034"/>
    <w:rsid w:val="00CE745B"/>
    <w:rsid w:val="00CE75EA"/>
    <w:rsid w:val="00CE794C"/>
    <w:rsid w:val="00CE7C8A"/>
    <w:rsid w:val="00CF03B5"/>
    <w:rsid w:val="00CF03D7"/>
    <w:rsid w:val="00CF0686"/>
    <w:rsid w:val="00CF06D6"/>
    <w:rsid w:val="00CF07F0"/>
    <w:rsid w:val="00CF07FA"/>
    <w:rsid w:val="00CF0AEE"/>
    <w:rsid w:val="00CF0BB2"/>
    <w:rsid w:val="00CF0C03"/>
    <w:rsid w:val="00CF0D0D"/>
    <w:rsid w:val="00CF0DF6"/>
    <w:rsid w:val="00CF0E3D"/>
    <w:rsid w:val="00CF113B"/>
    <w:rsid w:val="00CF14A5"/>
    <w:rsid w:val="00CF16EE"/>
    <w:rsid w:val="00CF192E"/>
    <w:rsid w:val="00CF1AFA"/>
    <w:rsid w:val="00CF1C3B"/>
    <w:rsid w:val="00CF21CC"/>
    <w:rsid w:val="00CF2268"/>
    <w:rsid w:val="00CF2DE6"/>
    <w:rsid w:val="00CF2F78"/>
    <w:rsid w:val="00CF319D"/>
    <w:rsid w:val="00CF31BB"/>
    <w:rsid w:val="00CF3435"/>
    <w:rsid w:val="00CF3691"/>
    <w:rsid w:val="00CF36F6"/>
    <w:rsid w:val="00CF38C0"/>
    <w:rsid w:val="00CF3E2E"/>
    <w:rsid w:val="00CF3EE8"/>
    <w:rsid w:val="00CF415E"/>
    <w:rsid w:val="00CF41B6"/>
    <w:rsid w:val="00CF41C8"/>
    <w:rsid w:val="00CF4414"/>
    <w:rsid w:val="00CF4727"/>
    <w:rsid w:val="00CF497C"/>
    <w:rsid w:val="00CF4CEC"/>
    <w:rsid w:val="00CF4D83"/>
    <w:rsid w:val="00CF5442"/>
    <w:rsid w:val="00CF56E2"/>
    <w:rsid w:val="00CF5BCD"/>
    <w:rsid w:val="00CF5ED4"/>
    <w:rsid w:val="00CF621A"/>
    <w:rsid w:val="00CF6325"/>
    <w:rsid w:val="00CF77B3"/>
    <w:rsid w:val="00CF77F7"/>
    <w:rsid w:val="00CF7ABC"/>
    <w:rsid w:val="00CF7E22"/>
    <w:rsid w:val="00D001AB"/>
    <w:rsid w:val="00D0035C"/>
    <w:rsid w:val="00D00A21"/>
    <w:rsid w:val="00D00BC2"/>
    <w:rsid w:val="00D00FB9"/>
    <w:rsid w:val="00D01737"/>
    <w:rsid w:val="00D01A04"/>
    <w:rsid w:val="00D02017"/>
    <w:rsid w:val="00D0281E"/>
    <w:rsid w:val="00D02BC8"/>
    <w:rsid w:val="00D02CA3"/>
    <w:rsid w:val="00D02CF9"/>
    <w:rsid w:val="00D02EDD"/>
    <w:rsid w:val="00D032A3"/>
    <w:rsid w:val="00D03466"/>
    <w:rsid w:val="00D03722"/>
    <w:rsid w:val="00D0379B"/>
    <w:rsid w:val="00D0380A"/>
    <w:rsid w:val="00D03871"/>
    <w:rsid w:val="00D03934"/>
    <w:rsid w:val="00D03D16"/>
    <w:rsid w:val="00D03F04"/>
    <w:rsid w:val="00D04033"/>
    <w:rsid w:val="00D041F9"/>
    <w:rsid w:val="00D04705"/>
    <w:rsid w:val="00D04766"/>
    <w:rsid w:val="00D04782"/>
    <w:rsid w:val="00D0488B"/>
    <w:rsid w:val="00D04908"/>
    <w:rsid w:val="00D0496C"/>
    <w:rsid w:val="00D04A37"/>
    <w:rsid w:val="00D04AAE"/>
    <w:rsid w:val="00D04BEF"/>
    <w:rsid w:val="00D04CD7"/>
    <w:rsid w:val="00D04D0E"/>
    <w:rsid w:val="00D04E96"/>
    <w:rsid w:val="00D04F61"/>
    <w:rsid w:val="00D05283"/>
    <w:rsid w:val="00D052A3"/>
    <w:rsid w:val="00D0543B"/>
    <w:rsid w:val="00D057CA"/>
    <w:rsid w:val="00D05D53"/>
    <w:rsid w:val="00D05FA1"/>
    <w:rsid w:val="00D06907"/>
    <w:rsid w:val="00D06A68"/>
    <w:rsid w:val="00D06E56"/>
    <w:rsid w:val="00D07846"/>
    <w:rsid w:val="00D07B84"/>
    <w:rsid w:val="00D07E64"/>
    <w:rsid w:val="00D07EEE"/>
    <w:rsid w:val="00D07FEA"/>
    <w:rsid w:val="00D10712"/>
    <w:rsid w:val="00D10F51"/>
    <w:rsid w:val="00D1122C"/>
    <w:rsid w:val="00D112B6"/>
    <w:rsid w:val="00D1144E"/>
    <w:rsid w:val="00D11744"/>
    <w:rsid w:val="00D11785"/>
    <w:rsid w:val="00D11EB3"/>
    <w:rsid w:val="00D122FD"/>
    <w:rsid w:val="00D125A1"/>
    <w:rsid w:val="00D12B42"/>
    <w:rsid w:val="00D1341D"/>
    <w:rsid w:val="00D13441"/>
    <w:rsid w:val="00D134F2"/>
    <w:rsid w:val="00D13726"/>
    <w:rsid w:val="00D1380B"/>
    <w:rsid w:val="00D144FB"/>
    <w:rsid w:val="00D14CE0"/>
    <w:rsid w:val="00D14D72"/>
    <w:rsid w:val="00D14DBE"/>
    <w:rsid w:val="00D14FBF"/>
    <w:rsid w:val="00D150E7"/>
    <w:rsid w:val="00D15185"/>
    <w:rsid w:val="00D16013"/>
    <w:rsid w:val="00D161AA"/>
    <w:rsid w:val="00D16213"/>
    <w:rsid w:val="00D16957"/>
    <w:rsid w:val="00D16BD4"/>
    <w:rsid w:val="00D16D85"/>
    <w:rsid w:val="00D16E30"/>
    <w:rsid w:val="00D17555"/>
    <w:rsid w:val="00D17DE4"/>
    <w:rsid w:val="00D200A1"/>
    <w:rsid w:val="00D200AC"/>
    <w:rsid w:val="00D2013A"/>
    <w:rsid w:val="00D204EC"/>
    <w:rsid w:val="00D20B50"/>
    <w:rsid w:val="00D20C40"/>
    <w:rsid w:val="00D20EA3"/>
    <w:rsid w:val="00D212E4"/>
    <w:rsid w:val="00D21344"/>
    <w:rsid w:val="00D21486"/>
    <w:rsid w:val="00D21768"/>
    <w:rsid w:val="00D21B52"/>
    <w:rsid w:val="00D21CE1"/>
    <w:rsid w:val="00D21D38"/>
    <w:rsid w:val="00D21FDC"/>
    <w:rsid w:val="00D2242A"/>
    <w:rsid w:val="00D22443"/>
    <w:rsid w:val="00D225D9"/>
    <w:rsid w:val="00D227C1"/>
    <w:rsid w:val="00D22883"/>
    <w:rsid w:val="00D22AB3"/>
    <w:rsid w:val="00D22C3C"/>
    <w:rsid w:val="00D22C7E"/>
    <w:rsid w:val="00D22E8B"/>
    <w:rsid w:val="00D23336"/>
    <w:rsid w:val="00D23568"/>
    <w:rsid w:val="00D23BDD"/>
    <w:rsid w:val="00D23C46"/>
    <w:rsid w:val="00D23DC1"/>
    <w:rsid w:val="00D23DFF"/>
    <w:rsid w:val="00D23F7B"/>
    <w:rsid w:val="00D24410"/>
    <w:rsid w:val="00D24420"/>
    <w:rsid w:val="00D251AD"/>
    <w:rsid w:val="00D25206"/>
    <w:rsid w:val="00D25DBA"/>
    <w:rsid w:val="00D262A3"/>
    <w:rsid w:val="00D26714"/>
    <w:rsid w:val="00D26783"/>
    <w:rsid w:val="00D26797"/>
    <w:rsid w:val="00D26C2D"/>
    <w:rsid w:val="00D2745F"/>
    <w:rsid w:val="00D27478"/>
    <w:rsid w:val="00D274F3"/>
    <w:rsid w:val="00D27B75"/>
    <w:rsid w:val="00D27CE3"/>
    <w:rsid w:val="00D27DB8"/>
    <w:rsid w:val="00D27FFE"/>
    <w:rsid w:val="00D305A3"/>
    <w:rsid w:val="00D30926"/>
    <w:rsid w:val="00D309F7"/>
    <w:rsid w:val="00D30AC7"/>
    <w:rsid w:val="00D3117F"/>
    <w:rsid w:val="00D3132F"/>
    <w:rsid w:val="00D3168A"/>
    <w:rsid w:val="00D31987"/>
    <w:rsid w:val="00D325DD"/>
    <w:rsid w:val="00D32BD4"/>
    <w:rsid w:val="00D32F77"/>
    <w:rsid w:val="00D33305"/>
    <w:rsid w:val="00D334F0"/>
    <w:rsid w:val="00D337D1"/>
    <w:rsid w:val="00D338B0"/>
    <w:rsid w:val="00D33B3B"/>
    <w:rsid w:val="00D33D24"/>
    <w:rsid w:val="00D33FEB"/>
    <w:rsid w:val="00D34073"/>
    <w:rsid w:val="00D3444A"/>
    <w:rsid w:val="00D34637"/>
    <w:rsid w:val="00D346DE"/>
    <w:rsid w:val="00D34759"/>
    <w:rsid w:val="00D34980"/>
    <w:rsid w:val="00D35455"/>
    <w:rsid w:val="00D35638"/>
    <w:rsid w:val="00D35932"/>
    <w:rsid w:val="00D35949"/>
    <w:rsid w:val="00D359B1"/>
    <w:rsid w:val="00D35B63"/>
    <w:rsid w:val="00D35C90"/>
    <w:rsid w:val="00D3609B"/>
    <w:rsid w:val="00D361AF"/>
    <w:rsid w:val="00D3627B"/>
    <w:rsid w:val="00D362A9"/>
    <w:rsid w:val="00D362D9"/>
    <w:rsid w:val="00D3649B"/>
    <w:rsid w:val="00D36720"/>
    <w:rsid w:val="00D3706C"/>
    <w:rsid w:val="00D3734D"/>
    <w:rsid w:val="00D37468"/>
    <w:rsid w:val="00D37492"/>
    <w:rsid w:val="00D374E3"/>
    <w:rsid w:val="00D37846"/>
    <w:rsid w:val="00D40460"/>
    <w:rsid w:val="00D405AA"/>
    <w:rsid w:val="00D406C0"/>
    <w:rsid w:val="00D407B0"/>
    <w:rsid w:val="00D40B73"/>
    <w:rsid w:val="00D40FE1"/>
    <w:rsid w:val="00D4136F"/>
    <w:rsid w:val="00D4198D"/>
    <w:rsid w:val="00D41A12"/>
    <w:rsid w:val="00D41F91"/>
    <w:rsid w:val="00D420F9"/>
    <w:rsid w:val="00D42214"/>
    <w:rsid w:val="00D422B6"/>
    <w:rsid w:val="00D42572"/>
    <w:rsid w:val="00D42AD9"/>
    <w:rsid w:val="00D43035"/>
    <w:rsid w:val="00D4315A"/>
    <w:rsid w:val="00D431BB"/>
    <w:rsid w:val="00D43250"/>
    <w:rsid w:val="00D43BCC"/>
    <w:rsid w:val="00D43F15"/>
    <w:rsid w:val="00D43FF3"/>
    <w:rsid w:val="00D4417E"/>
    <w:rsid w:val="00D44317"/>
    <w:rsid w:val="00D44847"/>
    <w:rsid w:val="00D44C46"/>
    <w:rsid w:val="00D44ED0"/>
    <w:rsid w:val="00D45185"/>
    <w:rsid w:val="00D451E3"/>
    <w:rsid w:val="00D455FC"/>
    <w:rsid w:val="00D456F6"/>
    <w:rsid w:val="00D45758"/>
    <w:rsid w:val="00D458B4"/>
    <w:rsid w:val="00D4590E"/>
    <w:rsid w:val="00D45F85"/>
    <w:rsid w:val="00D46189"/>
    <w:rsid w:val="00D46281"/>
    <w:rsid w:val="00D46432"/>
    <w:rsid w:val="00D466D1"/>
    <w:rsid w:val="00D468C0"/>
    <w:rsid w:val="00D46DFA"/>
    <w:rsid w:val="00D46FCA"/>
    <w:rsid w:val="00D46FD0"/>
    <w:rsid w:val="00D47038"/>
    <w:rsid w:val="00D470DC"/>
    <w:rsid w:val="00D471C9"/>
    <w:rsid w:val="00D472BD"/>
    <w:rsid w:val="00D473CE"/>
    <w:rsid w:val="00D475EB"/>
    <w:rsid w:val="00D476C3"/>
    <w:rsid w:val="00D47970"/>
    <w:rsid w:val="00D500EE"/>
    <w:rsid w:val="00D5022E"/>
    <w:rsid w:val="00D50452"/>
    <w:rsid w:val="00D505AD"/>
    <w:rsid w:val="00D50661"/>
    <w:rsid w:val="00D50930"/>
    <w:rsid w:val="00D50D9F"/>
    <w:rsid w:val="00D5122F"/>
    <w:rsid w:val="00D513D7"/>
    <w:rsid w:val="00D51B52"/>
    <w:rsid w:val="00D51CD7"/>
    <w:rsid w:val="00D51E34"/>
    <w:rsid w:val="00D51F64"/>
    <w:rsid w:val="00D5292E"/>
    <w:rsid w:val="00D52B0A"/>
    <w:rsid w:val="00D52DC2"/>
    <w:rsid w:val="00D52DD6"/>
    <w:rsid w:val="00D52DF7"/>
    <w:rsid w:val="00D53093"/>
    <w:rsid w:val="00D5328C"/>
    <w:rsid w:val="00D53387"/>
    <w:rsid w:val="00D535B7"/>
    <w:rsid w:val="00D53973"/>
    <w:rsid w:val="00D53BCC"/>
    <w:rsid w:val="00D54B68"/>
    <w:rsid w:val="00D54C9E"/>
    <w:rsid w:val="00D55453"/>
    <w:rsid w:val="00D554A2"/>
    <w:rsid w:val="00D55F08"/>
    <w:rsid w:val="00D56517"/>
    <w:rsid w:val="00D56AFB"/>
    <w:rsid w:val="00D56B09"/>
    <w:rsid w:val="00D56FAE"/>
    <w:rsid w:val="00D57023"/>
    <w:rsid w:val="00D57144"/>
    <w:rsid w:val="00D571E1"/>
    <w:rsid w:val="00D57B7A"/>
    <w:rsid w:val="00D60705"/>
    <w:rsid w:val="00D60816"/>
    <w:rsid w:val="00D6102E"/>
    <w:rsid w:val="00D6108B"/>
    <w:rsid w:val="00D610C6"/>
    <w:rsid w:val="00D61156"/>
    <w:rsid w:val="00D612D5"/>
    <w:rsid w:val="00D615EA"/>
    <w:rsid w:val="00D61EBA"/>
    <w:rsid w:val="00D6204B"/>
    <w:rsid w:val="00D6219F"/>
    <w:rsid w:val="00D62297"/>
    <w:rsid w:val="00D62587"/>
    <w:rsid w:val="00D62AEC"/>
    <w:rsid w:val="00D62C0B"/>
    <w:rsid w:val="00D633DD"/>
    <w:rsid w:val="00D63723"/>
    <w:rsid w:val="00D6394E"/>
    <w:rsid w:val="00D64034"/>
    <w:rsid w:val="00D64559"/>
    <w:rsid w:val="00D64568"/>
    <w:rsid w:val="00D64646"/>
    <w:rsid w:val="00D64786"/>
    <w:rsid w:val="00D64B45"/>
    <w:rsid w:val="00D64E08"/>
    <w:rsid w:val="00D64F65"/>
    <w:rsid w:val="00D6525A"/>
    <w:rsid w:val="00D6537E"/>
    <w:rsid w:val="00D65475"/>
    <w:rsid w:val="00D65982"/>
    <w:rsid w:val="00D65A8F"/>
    <w:rsid w:val="00D65DFC"/>
    <w:rsid w:val="00D667E0"/>
    <w:rsid w:val="00D66C0B"/>
    <w:rsid w:val="00D67BB9"/>
    <w:rsid w:val="00D67D8D"/>
    <w:rsid w:val="00D67DAF"/>
    <w:rsid w:val="00D67ED9"/>
    <w:rsid w:val="00D702A3"/>
    <w:rsid w:val="00D703E5"/>
    <w:rsid w:val="00D70CA1"/>
    <w:rsid w:val="00D70D24"/>
    <w:rsid w:val="00D70DFB"/>
    <w:rsid w:val="00D7115A"/>
    <w:rsid w:val="00D71326"/>
    <w:rsid w:val="00D714E6"/>
    <w:rsid w:val="00D71814"/>
    <w:rsid w:val="00D71D0E"/>
    <w:rsid w:val="00D71E7F"/>
    <w:rsid w:val="00D7219F"/>
    <w:rsid w:val="00D7232C"/>
    <w:rsid w:val="00D7245A"/>
    <w:rsid w:val="00D7283C"/>
    <w:rsid w:val="00D72865"/>
    <w:rsid w:val="00D72B50"/>
    <w:rsid w:val="00D72CB4"/>
    <w:rsid w:val="00D72DF3"/>
    <w:rsid w:val="00D7370E"/>
    <w:rsid w:val="00D737BA"/>
    <w:rsid w:val="00D737DD"/>
    <w:rsid w:val="00D73920"/>
    <w:rsid w:val="00D74143"/>
    <w:rsid w:val="00D74387"/>
    <w:rsid w:val="00D74467"/>
    <w:rsid w:val="00D748D7"/>
    <w:rsid w:val="00D74E08"/>
    <w:rsid w:val="00D750E9"/>
    <w:rsid w:val="00D75230"/>
    <w:rsid w:val="00D75394"/>
    <w:rsid w:val="00D75B1C"/>
    <w:rsid w:val="00D75D06"/>
    <w:rsid w:val="00D75FDB"/>
    <w:rsid w:val="00D76389"/>
    <w:rsid w:val="00D766DF"/>
    <w:rsid w:val="00D7673E"/>
    <w:rsid w:val="00D7679F"/>
    <w:rsid w:val="00D76D9A"/>
    <w:rsid w:val="00D76E37"/>
    <w:rsid w:val="00D76F4B"/>
    <w:rsid w:val="00D76FAF"/>
    <w:rsid w:val="00D7772E"/>
    <w:rsid w:val="00D77E21"/>
    <w:rsid w:val="00D806E9"/>
    <w:rsid w:val="00D807A8"/>
    <w:rsid w:val="00D8098E"/>
    <w:rsid w:val="00D809BB"/>
    <w:rsid w:val="00D80A64"/>
    <w:rsid w:val="00D80A89"/>
    <w:rsid w:val="00D81305"/>
    <w:rsid w:val="00D813F1"/>
    <w:rsid w:val="00D8155A"/>
    <w:rsid w:val="00D816C0"/>
    <w:rsid w:val="00D81718"/>
    <w:rsid w:val="00D81BCA"/>
    <w:rsid w:val="00D81C44"/>
    <w:rsid w:val="00D81C64"/>
    <w:rsid w:val="00D8206C"/>
    <w:rsid w:val="00D822FD"/>
    <w:rsid w:val="00D8267D"/>
    <w:rsid w:val="00D82814"/>
    <w:rsid w:val="00D82BD1"/>
    <w:rsid w:val="00D830B9"/>
    <w:rsid w:val="00D833EB"/>
    <w:rsid w:val="00D837FD"/>
    <w:rsid w:val="00D83884"/>
    <w:rsid w:val="00D83B7B"/>
    <w:rsid w:val="00D83C7A"/>
    <w:rsid w:val="00D83CA2"/>
    <w:rsid w:val="00D83E42"/>
    <w:rsid w:val="00D84275"/>
    <w:rsid w:val="00D8439B"/>
    <w:rsid w:val="00D8444F"/>
    <w:rsid w:val="00D85047"/>
    <w:rsid w:val="00D85534"/>
    <w:rsid w:val="00D85558"/>
    <w:rsid w:val="00D85612"/>
    <w:rsid w:val="00D85756"/>
    <w:rsid w:val="00D85B77"/>
    <w:rsid w:val="00D85D4B"/>
    <w:rsid w:val="00D861A1"/>
    <w:rsid w:val="00D863B2"/>
    <w:rsid w:val="00D86547"/>
    <w:rsid w:val="00D86778"/>
    <w:rsid w:val="00D8689D"/>
    <w:rsid w:val="00D868CB"/>
    <w:rsid w:val="00D86ADB"/>
    <w:rsid w:val="00D86D85"/>
    <w:rsid w:val="00D871E1"/>
    <w:rsid w:val="00D8726E"/>
    <w:rsid w:val="00D876FC"/>
    <w:rsid w:val="00D878F2"/>
    <w:rsid w:val="00D90046"/>
    <w:rsid w:val="00D90288"/>
    <w:rsid w:val="00D90436"/>
    <w:rsid w:val="00D90479"/>
    <w:rsid w:val="00D90788"/>
    <w:rsid w:val="00D9092B"/>
    <w:rsid w:val="00D90ED6"/>
    <w:rsid w:val="00D915F0"/>
    <w:rsid w:val="00D91F10"/>
    <w:rsid w:val="00D92372"/>
    <w:rsid w:val="00D925AD"/>
    <w:rsid w:val="00D927BB"/>
    <w:rsid w:val="00D927D6"/>
    <w:rsid w:val="00D92893"/>
    <w:rsid w:val="00D92927"/>
    <w:rsid w:val="00D92F54"/>
    <w:rsid w:val="00D9301C"/>
    <w:rsid w:val="00D930C0"/>
    <w:rsid w:val="00D93240"/>
    <w:rsid w:val="00D9332B"/>
    <w:rsid w:val="00D9357D"/>
    <w:rsid w:val="00D935A8"/>
    <w:rsid w:val="00D936FC"/>
    <w:rsid w:val="00D937A7"/>
    <w:rsid w:val="00D93AA3"/>
    <w:rsid w:val="00D93EA0"/>
    <w:rsid w:val="00D94094"/>
    <w:rsid w:val="00D940B5"/>
    <w:rsid w:val="00D9420F"/>
    <w:rsid w:val="00D94614"/>
    <w:rsid w:val="00D9479B"/>
    <w:rsid w:val="00D94CDD"/>
    <w:rsid w:val="00D94F46"/>
    <w:rsid w:val="00D950E8"/>
    <w:rsid w:val="00D953DD"/>
    <w:rsid w:val="00D95462"/>
    <w:rsid w:val="00D95F4B"/>
    <w:rsid w:val="00D960CB"/>
    <w:rsid w:val="00D960FB"/>
    <w:rsid w:val="00D96444"/>
    <w:rsid w:val="00D96AEB"/>
    <w:rsid w:val="00D973BA"/>
    <w:rsid w:val="00D97A99"/>
    <w:rsid w:val="00D97D08"/>
    <w:rsid w:val="00DA026D"/>
    <w:rsid w:val="00DA031E"/>
    <w:rsid w:val="00DA0709"/>
    <w:rsid w:val="00DA0DA7"/>
    <w:rsid w:val="00DA1666"/>
    <w:rsid w:val="00DA186E"/>
    <w:rsid w:val="00DA19C3"/>
    <w:rsid w:val="00DA1DA6"/>
    <w:rsid w:val="00DA21EA"/>
    <w:rsid w:val="00DA26FE"/>
    <w:rsid w:val="00DA3555"/>
    <w:rsid w:val="00DA3B19"/>
    <w:rsid w:val="00DA4116"/>
    <w:rsid w:val="00DA41FA"/>
    <w:rsid w:val="00DA437C"/>
    <w:rsid w:val="00DA456B"/>
    <w:rsid w:val="00DA4694"/>
    <w:rsid w:val="00DA480D"/>
    <w:rsid w:val="00DA4BDF"/>
    <w:rsid w:val="00DA53C7"/>
    <w:rsid w:val="00DA54C7"/>
    <w:rsid w:val="00DA6003"/>
    <w:rsid w:val="00DA6357"/>
    <w:rsid w:val="00DA66A4"/>
    <w:rsid w:val="00DA6901"/>
    <w:rsid w:val="00DA6BB7"/>
    <w:rsid w:val="00DA6C54"/>
    <w:rsid w:val="00DA6D8D"/>
    <w:rsid w:val="00DA70CA"/>
    <w:rsid w:val="00DA73BF"/>
    <w:rsid w:val="00DA7546"/>
    <w:rsid w:val="00DA7552"/>
    <w:rsid w:val="00DA7564"/>
    <w:rsid w:val="00DA7724"/>
    <w:rsid w:val="00DA7922"/>
    <w:rsid w:val="00DA7C2A"/>
    <w:rsid w:val="00DA7CA5"/>
    <w:rsid w:val="00DA7E95"/>
    <w:rsid w:val="00DB0245"/>
    <w:rsid w:val="00DB0936"/>
    <w:rsid w:val="00DB0B69"/>
    <w:rsid w:val="00DB0D53"/>
    <w:rsid w:val="00DB1345"/>
    <w:rsid w:val="00DB1655"/>
    <w:rsid w:val="00DB1C72"/>
    <w:rsid w:val="00DB20B7"/>
    <w:rsid w:val="00DB20ED"/>
    <w:rsid w:val="00DB251C"/>
    <w:rsid w:val="00DB29A0"/>
    <w:rsid w:val="00DB2E8B"/>
    <w:rsid w:val="00DB31A1"/>
    <w:rsid w:val="00DB39C8"/>
    <w:rsid w:val="00DB3BE9"/>
    <w:rsid w:val="00DB3ED8"/>
    <w:rsid w:val="00DB44A4"/>
    <w:rsid w:val="00DB4630"/>
    <w:rsid w:val="00DB487E"/>
    <w:rsid w:val="00DB4A76"/>
    <w:rsid w:val="00DB4C80"/>
    <w:rsid w:val="00DB4D03"/>
    <w:rsid w:val="00DB4DAE"/>
    <w:rsid w:val="00DB4F4B"/>
    <w:rsid w:val="00DB51BE"/>
    <w:rsid w:val="00DB588D"/>
    <w:rsid w:val="00DB5AC2"/>
    <w:rsid w:val="00DB5E7B"/>
    <w:rsid w:val="00DB5F2A"/>
    <w:rsid w:val="00DB694E"/>
    <w:rsid w:val="00DB6DA0"/>
    <w:rsid w:val="00DB6DCE"/>
    <w:rsid w:val="00DB6F8D"/>
    <w:rsid w:val="00DB74A8"/>
    <w:rsid w:val="00DB7AD3"/>
    <w:rsid w:val="00DB7B76"/>
    <w:rsid w:val="00DB7EF9"/>
    <w:rsid w:val="00DC012A"/>
    <w:rsid w:val="00DC06C7"/>
    <w:rsid w:val="00DC0A6B"/>
    <w:rsid w:val="00DC0A7D"/>
    <w:rsid w:val="00DC1071"/>
    <w:rsid w:val="00DC12B1"/>
    <w:rsid w:val="00DC13DA"/>
    <w:rsid w:val="00DC1C05"/>
    <w:rsid w:val="00DC1C65"/>
    <w:rsid w:val="00DC1D18"/>
    <w:rsid w:val="00DC1E98"/>
    <w:rsid w:val="00DC22D9"/>
    <w:rsid w:val="00DC31CB"/>
    <w:rsid w:val="00DC33AE"/>
    <w:rsid w:val="00DC3CC6"/>
    <w:rsid w:val="00DC3CFA"/>
    <w:rsid w:val="00DC4175"/>
    <w:rsid w:val="00DC41FE"/>
    <w:rsid w:val="00DC4240"/>
    <w:rsid w:val="00DC48DB"/>
    <w:rsid w:val="00DC4C8E"/>
    <w:rsid w:val="00DC4F88"/>
    <w:rsid w:val="00DC4F90"/>
    <w:rsid w:val="00DC5602"/>
    <w:rsid w:val="00DC59D6"/>
    <w:rsid w:val="00DC5BEF"/>
    <w:rsid w:val="00DC60E9"/>
    <w:rsid w:val="00DC6A02"/>
    <w:rsid w:val="00DC6CAE"/>
    <w:rsid w:val="00DC6D12"/>
    <w:rsid w:val="00DC6D44"/>
    <w:rsid w:val="00DC6E11"/>
    <w:rsid w:val="00DC786E"/>
    <w:rsid w:val="00DC7A92"/>
    <w:rsid w:val="00DC7E98"/>
    <w:rsid w:val="00DD049A"/>
    <w:rsid w:val="00DD0B38"/>
    <w:rsid w:val="00DD1187"/>
    <w:rsid w:val="00DD16AC"/>
    <w:rsid w:val="00DD1762"/>
    <w:rsid w:val="00DD1850"/>
    <w:rsid w:val="00DD196C"/>
    <w:rsid w:val="00DD1A6E"/>
    <w:rsid w:val="00DD2DCC"/>
    <w:rsid w:val="00DD30FB"/>
    <w:rsid w:val="00DD33C8"/>
    <w:rsid w:val="00DD3501"/>
    <w:rsid w:val="00DD3B38"/>
    <w:rsid w:val="00DD3DBA"/>
    <w:rsid w:val="00DD423B"/>
    <w:rsid w:val="00DD4CF2"/>
    <w:rsid w:val="00DD577B"/>
    <w:rsid w:val="00DD57CD"/>
    <w:rsid w:val="00DD5839"/>
    <w:rsid w:val="00DD68AD"/>
    <w:rsid w:val="00DD69CB"/>
    <w:rsid w:val="00DD6B28"/>
    <w:rsid w:val="00DD6BEE"/>
    <w:rsid w:val="00DD6C4B"/>
    <w:rsid w:val="00DD74CE"/>
    <w:rsid w:val="00DD75F2"/>
    <w:rsid w:val="00DD7CD3"/>
    <w:rsid w:val="00DD7D40"/>
    <w:rsid w:val="00DE01EE"/>
    <w:rsid w:val="00DE08DE"/>
    <w:rsid w:val="00DE0902"/>
    <w:rsid w:val="00DE0D64"/>
    <w:rsid w:val="00DE107C"/>
    <w:rsid w:val="00DE1082"/>
    <w:rsid w:val="00DE114E"/>
    <w:rsid w:val="00DE11EA"/>
    <w:rsid w:val="00DE1445"/>
    <w:rsid w:val="00DE147B"/>
    <w:rsid w:val="00DE18E7"/>
    <w:rsid w:val="00DE1B0A"/>
    <w:rsid w:val="00DE1DB0"/>
    <w:rsid w:val="00DE1E71"/>
    <w:rsid w:val="00DE1E80"/>
    <w:rsid w:val="00DE2574"/>
    <w:rsid w:val="00DE284D"/>
    <w:rsid w:val="00DE2944"/>
    <w:rsid w:val="00DE2B03"/>
    <w:rsid w:val="00DE2C29"/>
    <w:rsid w:val="00DE2C8C"/>
    <w:rsid w:val="00DE336A"/>
    <w:rsid w:val="00DE36EF"/>
    <w:rsid w:val="00DE36F8"/>
    <w:rsid w:val="00DE3743"/>
    <w:rsid w:val="00DE3970"/>
    <w:rsid w:val="00DE3B1A"/>
    <w:rsid w:val="00DE3D50"/>
    <w:rsid w:val="00DE3F1E"/>
    <w:rsid w:val="00DE3FE8"/>
    <w:rsid w:val="00DE4679"/>
    <w:rsid w:val="00DE5219"/>
    <w:rsid w:val="00DE5736"/>
    <w:rsid w:val="00DE57EB"/>
    <w:rsid w:val="00DE5CBB"/>
    <w:rsid w:val="00DE62B0"/>
    <w:rsid w:val="00DE63D0"/>
    <w:rsid w:val="00DE6559"/>
    <w:rsid w:val="00DE7035"/>
    <w:rsid w:val="00DE78A9"/>
    <w:rsid w:val="00DE79F4"/>
    <w:rsid w:val="00DE7A77"/>
    <w:rsid w:val="00DF0228"/>
    <w:rsid w:val="00DF051F"/>
    <w:rsid w:val="00DF0976"/>
    <w:rsid w:val="00DF167A"/>
    <w:rsid w:val="00DF1F4E"/>
    <w:rsid w:val="00DF1F61"/>
    <w:rsid w:val="00DF2011"/>
    <w:rsid w:val="00DF2098"/>
    <w:rsid w:val="00DF21C2"/>
    <w:rsid w:val="00DF22DB"/>
    <w:rsid w:val="00DF2388"/>
    <w:rsid w:val="00DF271C"/>
    <w:rsid w:val="00DF28BD"/>
    <w:rsid w:val="00DF305F"/>
    <w:rsid w:val="00DF330D"/>
    <w:rsid w:val="00DF3860"/>
    <w:rsid w:val="00DF3F82"/>
    <w:rsid w:val="00DF3FBC"/>
    <w:rsid w:val="00DF402A"/>
    <w:rsid w:val="00DF425D"/>
    <w:rsid w:val="00DF45D7"/>
    <w:rsid w:val="00DF46E1"/>
    <w:rsid w:val="00DF5689"/>
    <w:rsid w:val="00DF5873"/>
    <w:rsid w:val="00DF5A41"/>
    <w:rsid w:val="00DF5F8F"/>
    <w:rsid w:val="00DF6507"/>
    <w:rsid w:val="00DF724F"/>
    <w:rsid w:val="00DF76B6"/>
    <w:rsid w:val="00E00005"/>
    <w:rsid w:val="00E00407"/>
    <w:rsid w:val="00E004A1"/>
    <w:rsid w:val="00E00BDC"/>
    <w:rsid w:val="00E0100E"/>
    <w:rsid w:val="00E01326"/>
    <w:rsid w:val="00E01845"/>
    <w:rsid w:val="00E019B5"/>
    <w:rsid w:val="00E02149"/>
    <w:rsid w:val="00E024DC"/>
    <w:rsid w:val="00E02E90"/>
    <w:rsid w:val="00E02FC5"/>
    <w:rsid w:val="00E03125"/>
    <w:rsid w:val="00E03425"/>
    <w:rsid w:val="00E0356F"/>
    <w:rsid w:val="00E037F1"/>
    <w:rsid w:val="00E0384E"/>
    <w:rsid w:val="00E038F3"/>
    <w:rsid w:val="00E03ACB"/>
    <w:rsid w:val="00E03CC6"/>
    <w:rsid w:val="00E04044"/>
    <w:rsid w:val="00E042AE"/>
    <w:rsid w:val="00E042B7"/>
    <w:rsid w:val="00E044F8"/>
    <w:rsid w:val="00E049D6"/>
    <w:rsid w:val="00E04F56"/>
    <w:rsid w:val="00E0504A"/>
    <w:rsid w:val="00E050C4"/>
    <w:rsid w:val="00E0521A"/>
    <w:rsid w:val="00E05543"/>
    <w:rsid w:val="00E05644"/>
    <w:rsid w:val="00E05704"/>
    <w:rsid w:val="00E05E65"/>
    <w:rsid w:val="00E05F5E"/>
    <w:rsid w:val="00E063FF"/>
    <w:rsid w:val="00E06482"/>
    <w:rsid w:val="00E06656"/>
    <w:rsid w:val="00E06EA5"/>
    <w:rsid w:val="00E071BD"/>
    <w:rsid w:val="00E07263"/>
    <w:rsid w:val="00E077B0"/>
    <w:rsid w:val="00E07A25"/>
    <w:rsid w:val="00E07B6D"/>
    <w:rsid w:val="00E07BE4"/>
    <w:rsid w:val="00E07E36"/>
    <w:rsid w:val="00E10171"/>
    <w:rsid w:val="00E10D6E"/>
    <w:rsid w:val="00E1170A"/>
    <w:rsid w:val="00E1188C"/>
    <w:rsid w:val="00E11E5E"/>
    <w:rsid w:val="00E11E83"/>
    <w:rsid w:val="00E11F88"/>
    <w:rsid w:val="00E12295"/>
    <w:rsid w:val="00E124F3"/>
    <w:rsid w:val="00E1300D"/>
    <w:rsid w:val="00E13BBF"/>
    <w:rsid w:val="00E14159"/>
    <w:rsid w:val="00E1429F"/>
    <w:rsid w:val="00E14636"/>
    <w:rsid w:val="00E14F19"/>
    <w:rsid w:val="00E1509E"/>
    <w:rsid w:val="00E1589C"/>
    <w:rsid w:val="00E16104"/>
    <w:rsid w:val="00E161A3"/>
    <w:rsid w:val="00E165D1"/>
    <w:rsid w:val="00E168AD"/>
    <w:rsid w:val="00E16A82"/>
    <w:rsid w:val="00E17769"/>
    <w:rsid w:val="00E179BE"/>
    <w:rsid w:val="00E17C5F"/>
    <w:rsid w:val="00E20637"/>
    <w:rsid w:val="00E206FA"/>
    <w:rsid w:val="00E20CE5"/>
    <w:rsid w:val="00E21344"/>
    <w:rsid w:val="00E21643"/>
    <w:rsid w:val="00E216B3"/>
    <w:rsid w:val="00E2175F"/>
    <w:rsid w:val="00E217C0"/>
    <w:rsid w:val="00E2180D"/>
    <w:rsid w:val="00E22207"/>
    <w:rsid w:val="00E22582"/>
    <w:rsid w:val="00E22881"/>
    <w:rsid w:val="00E22B5F"/>
    <w:rsid w:val="00E22B8A"/>
    <w:rsid w:val="00E22BD2"/>
    <w:rsid w:val="00E22D15"/>
    <w:rsid w:val="00E22EB5"/>
    <w:rsid w:val="00E22EC5"/>
    <w:rsid w:val="00E2351E"/>
    <w:rsid w:val="00E23BBA"/>
    <w:rsid w:val="00E2440E"/>
    <w:rsid w:val="00E24A47"/>
    <w:rsid w:val="00E24A9B"/>
    <w:rsid w:val="00E24BA7"/>
    <w:rsid w:val="00E24C76"/>
    <w:rsid w:val="00E25131"/>
    <w:rsid w:val="00E2552F"/>
    <w:rsid w:val="00E256D5"/>
    <w:rsid w:val="00E25A07"/>
    <w:rsid w:val="00E260F8"/>
    <w:rsid w:val="00E2631D"/>
    <w:rsid w:val="00E263A9"/>
    <w:rsid w:val="00E26565"/>
    <w:rsid w:val="00E2666F"/>
    <w:rsid w:val="00E268E4"/>
    <w:rsid w:val="00E26DE2"/>
    <w:rsid w:val="00E2713A"/>
    <w:rsid w:val="00E2777B"/>
    <w:rsid w:val="00E27DA7"/>
    <w:rsid w:val="00E27E45"/>
    <w:rsid w:val="00E30049"/>
    <w:rsid w:val="00E308C7"/>
    <w:rsid w:val="00E308CC"/>
    <w:rsid w:val="00E30ED6"/>
    <w:rsid w:val="00E30ED9"/>
    <w:rsid w:val="00E30FDB"/>
    <w:rsid w:val="00E310A9"/>
    <w:rsid w:val="00E3110A"/>
    <w:rsid w:val="00E319B4"/>
    <w:rsid w:val="00E31AB4"/>
    <w:rsid w:val="00E31B91"/>
    <w:rsid w:val="00E31C09"/>
    <w:rsid w:val="00E31FFE"/>
    <w:rsid w:val="00E32183"/>
    <w:rsid w:val="00E32432"/>
    <w:rsid w:val="00E326BD"/>
    <w:rsid w:val="00E328EA"/>
    <w:rsid w:val="00E32A98"/>
    <w:rsid w:val="00E32B3B"/>
    <w:rsid w:val="00E32F38"/>
    <w:rsid w:val="00E32F91"/>
    <w:rsid w:val="00E3304B"/>
    <w:rsid w:val="00E33159"/>
    <w:rsid w:val="00E332B1"/>
    <w:rsid w:val="00E338EF"/>
    <w:rsid w:val="00E339C6"/>
    <w:rsid w:val="00E33E5B"/>
    <w:rsid w:val="00E343CE"/>
    <w:rsid w:val="00E346F5"/>
    <w:rsid w:val="00E34A01"/>
    <w:rsid w:val="00E34D4E"/>
    <w:rsid w:val="00E35783"/>
    <w:rsid w:val="00E35BF2"/>
    <w:rsid w:val="00E35C24"/>
    <w:rsid w:val="00E37CA7"/>
    <w:rsid w:val="00E400B2"/>
    <w:rsid w:val="00E401D6"/>
    <w:rsid w:val="00E40C30"/>
    <w:rsid w:val="00E40C33"/>
    <w:rsid w:val="00E40D35"/>
    <w:rsid w:val="00E40E6A"/>
    <w:rsid w:val="00E411F4"/>
    <w:rsid w:val="00E4193A"/>
    <w:rsid w:val="00E42349"/>
    <w:rsid w:val="00E4237A"/>
    <w:rsid w:val="00E42735"/>
    <w:rsid w:val="00E427A1"/>
    <w:rsid w:val="00E4280C"/>
    <w:rsid w:val="00E42B14"/>
    <w:rsid w:val="00E42F0F"/>
    <w:rsid w:val="00E4337E"/>
    <w:rsid w:val="00E4365D"/>
    <w:rsid w:val="00E436AD"/>
    <w:rsid w:val="00E436B5"/>
    <w:rsid w:val="00E43922"/>
    <w:rsid w:val="00E439F1"/>
    <w:rsid w:val="00E43D1F"/>
    <w:rsid w:val="00E43DA0"/>
    <w:rsid w:val="00E43E95"/>
    <w:rsid w:val="00E442C9"/>
    <w:rsid w:val="00E44737"/>
    <w:rsid w:val="00E44844"/>
    <w:rsid w:val="00E44AAC"/>
    <w:rsid w:val="00E4520A"/>
    <w:rsid w:val="00E456FD"/>
    <w:rsid w:val="00E45A10"/>
    <w:rsid w:val="00E45D57"/>
    <w:rsid w:val="00E466C1"/>
    <w:rsid w:val="00E469B8"/>
    <w:rsid w:val="00E46B57"/>
    <w:rsid w:val="00E46DDB"/>
    <w:rsid w:val="00E470DE"/>
    <w:rsid w:val="00E47994"/>
    <w:rsid w:val="00E47DC7"/>
    <w:rsid w:val="00E47DCB"/>
    <w:rsid w:val="00E5004F"/>
    <w:rsid w:val="00E5097A"/>
    <w:rsid w:val="00E50BA0"/>
    <w:rsid w:val="00E50C38"/>
    <w:rsid w:val="00E51421"/>
    <w:rsid w:val="00E51448"/>
    <w:rsid w:val="00E514BD"/>
    <w:rsid w:val="00E517AF"/>
    <w:rsid w:val="00E51B1F"/>
    <w:rsid w:val="00E51C94"/>
    <w:rsid w:val="00E51FE8"/>
    <w:rsid w:val="00E51FEA"/>
    <w:rsid w:val="00E52492"/>
    <w:rsid w:val="00E5366A"/>
    <w:rsid w:val="00E53912"/>
    <w:rsid w:val="00E53AA6"/>
    <w:rsid w:val="00E53C9F"/>
    <w:rsid w:val="00E54063"/>
    <w:rsid w:val="00E5433D"/>
    <w:rsid w:val="00E544BB"/>
    <w:rsid w:val="00E5495B"/>
    <w:rsid w:val="00E54C00"/>
    <w:rsid w:val="00E5514E"/>
    <w:rsid w:val="00E5519C"/>
    <w:rsid w:val="00E55F57"/>
    <w:rsid w:val="00E55FA3"/>
    <w:rsid w:val="00E565F7"/>
    <w:rsid w:val="00E5679C"/>
    <w:rsid w:val="00E56AB5"/>
    <w:rsid w:val="00E56B86"/>
    <w:rsid w:val="00E57461"/>
    <w:rsid w:val="00E574C3"/>
    <w:rsid w:val="00E576FC"/>
    <w:rsid w:val="00E57878"/>
    <w:rsid w:val="00E57AE9"/>
    <w:rsid w:val="00E57B4D"/>
    <w:rsid w:val="00E601E5"/>
    <w:rsid w:val="00E60248"/>
    <w:rsid w:val="00E60765"/>
    <w:rsid w:val="00E607D9"/>
    <w:rsid w:val="00E60994"/>
    <w:rsid w:val="00E60ABC"/>
    <w:rsid w:val="00E60F11"/>
    <w:rsid w:val="00E61BD4"/>
    <w:rsid w:val="00E61C4A"/>
    <w:rsid w:val="00E61F3C"/>
    <w:rsid w:val="00E62B80"/>
    <w:rsid w:val="00E62C76"/>
    <w:rsid w:val="00E62DAC"/>
    <w:rsid w:val="00E62ED9"/>
    <w:rsid w:val="00E63259"/>
    <w:rsid w:val="00E63379"/>
    <w:rsid w:val="00E639DA"/>
    <w:rsid w:val="00E63D70"/>
    <w:rsid w:val="00E6495C"/>
    <w:rsid w:val="00E64A41"/>
    <w:rsid w:val="00E65187"/>
    <w:rsid w:val="00E65309"/>
    <w:rsid w:val="00E65576"/>
    <w:rsid w:val="00E658DE"/>
    <w:rsid w:val="00E65D06"/>
    <w:rsid w:val="00E65E30"/>
    <w:rsid w:val="00E660B8"/>
    <w:rsid w:val="00E66500"/>
    <w:rsid w:val="00E6660A"/>
    <w:rsid w:val="00E667BE"/>
    <w:rsid w:val="00E668F9"/>
    <w:rsid w:val="00E66B35"/>
    <w:rsid w:val="00E66D13"/>
    <w:rsid w:val="00E66D79"/>
    <w:rsid w:val="00E66D7E"/>
    <w:rsid w:val="00E66E5F"/>
    <w:rsid w:val="00E6721D"/>
    <w:rsid w:val="00E673EB"/>
    <w:rsid w:val="00E673FB"/>
    <w:rsid w:val="00E67AE3"/>
    <w:rsid w:val="00E709CC"/>
    <w:rsid w:val="00E709E4"/>
    <w:rsid w:val="00E70E3D"/>
    <w:rsid w:val="00E70E88"/>
    <w:rsid w:val="00E70FB0"/>
    <w:rsid w:val="00E710C8"/>
    <w:rsid w:val="00E710CB"/>
    <w:rsid w:val="00E71229"/>
    <w:rsid w:val="00E71279"/>
    <w:rsid w:val="00E714F2"/>
    <w:rsid w:val="00E716E2"/>
    <w:rsid w:val="00E718BB"/>
    <w:rsid w:val="00E71B33"/>
    <w:rsid w:val="00E71D17"/>
    <w:rsid w:val="00E72513"/>
    <w:rsid w:val="00E7262B"/>
    <w:rsid w:val="00E72ACF"/>
    <w:rsid w:val="00E72BB5"/>
    <w:rsid w:val="00E72E89"/>
    <w:rsid w:val="00E73129"/>
    <w:rsid w:val="00E731C1"/>
    <w:rsid w:val="00E73735"/>
    <w:rsid w:val="00E73863"/>
    <w:rsid w:val="00E73DED"/>
    <w:rsid w:val="00E743A8"/>
    <w:rsid w:val="00E744F7"/>
    <w:rsid w:val="00E74617"/>
    <w:rsid w:val="00E748F5"/>
    <w:rsid w:val="00E74A34"/>
    <w:rsid w:val="00E74DC7"/>
    <w:rsid w:val="00E74F99"/>
    <w:rsid w:val="00E75204"/>
    <w:rsid w:val="00E75627"/>
    <w:rsid w:val="00E75B4D"/>
    <w:rsid w:val="00E75CBE"/>
    <w:rsid w:val="00E764F2"/>
    <w:rsid w:val="00E7650C"/>
    <w:rsid w:val="00E76677"/>
    <w:rsid w:val="00E7675E"/>
    <w:rsid w:val="00E768AE"/>
    <w:rsid w:val="00E768CE"/>
    <w:rsid w:val="00E76C1A"/>
    <w:rsid w:val="00E77150"/>
    <w:rsid w:val="00E77152"/>
    <w:rsid w:val="00E773FD"/>
    <w:rsid w:val="00E7758E"/>
    <w:rsid w:val="00E7785F"/>
    <w:rsid w:val="00E77AAF"/>
    <w:rsid w:val="00E77F2D"/>
    <w:rsid w:val="00E77F42"/>
    <w:rsid w:val="00E801F1"/>
    <w:rsid w:val="00E8073F"/>
    <w:rsid w:val="00E8075A"/>
    <w:rsid w:val="00E807C7"/>
    <w:rsid w:val="00E80930"/>
    <w:rsid w:val="00E80C84"/>
    <w:rsid w:val="00E8139D"/>
    <w:rsid w:val="00E81533"/>
    <w:rsid w:val="00E815D0"/>
    <w:rsid w:val="00E816FD"/>
    <w:rsid w:val="00E81F94"/>
    <w:rsid w:val="00E82158"/>
    <w:rsid w:val="00E82EAC"/>
    <w:rsid w:val="00E8302B"/>
    <w:rsid w:val="00E8361D"/>
    <w:rsid w:val="00E83726"/>
    <w:rsid w:val="00E838B4"/>
    <w:rsid w:val="00E83B34"/>
    <w:rsid w:val="00E83CDF"/>
    <w:rsid w:val="00E83F94"/>
    <w:rsid w:val="00E84080"/>
    <w:rsid w:val="00E84391"/>
    <w:rsid w:val="00E844E4"/>
    <w:rsid w:val="00E846C0"/>
    <w:rsid w:val="00E84873"/>
    <w:rsid w:val="00E84940"/>
    <w:rsid w:val="00E85085"/>
    <w:rsid w:val="00E85439"/>
    <w:rsid w:val="00E8558A"/>
    <w:rsid w:val="00E85D43"/>
    <w:rsid w:val="00E85E27"/>
    <w:rsid w:val="00E86037"/>
    <w:rsid w:val="00E86520"/>
    <w:rsid w:val="00E8655B"/>
    <w:rsid w:val="00E8671B"/>
    <w:rsid w:val="00E868CA"/>
    <w:rsid w:val="00E86917"/>
    <w:rsid w:val="00E87343"/>
    <w:rsid w:val="00E87767"/>
    <w:rsid w:val="00E87B98"/>
    <w:rsid w:val="00E90063"/>
    <w:rsid w:val="00E9027C"/>
    <w:rsid w:val="00E90727"/>
    <w:rsid w:val="00E912C8"/>
    <w:rsid w:val="00E9189C"/>
    <w:rsid w:val="00E91E2F"/>
    <w:rsid w:val="00E91F16"/>
    <w:rsid w:val="00E922CE"/>
    <w:rsid w:val="00E92AD4"/>
    <w:rsid w:val="00E92EE0"/>
    <w:rsid w:val="00E933D4"/>
    <w:rsid w:val="00E93450"/>
    <w:rsid w:val="00E93A0D"/>
    <w:rsid w:val="00E93CA0"/>
    <w:rsid w:val="00E940D8"/>
    <w:rsid w:val="00E94530"/>
    <w:rsid w:val="00E94964"/>
    <w:rsid w:val="00E94967"/>
    <w:rsid w:val="00E94B99"/>
    <w:rsid w:val="00E94D5E"/>
    <w:rsid w:val="00E94DE2"/>
    <w:rsid w:val="00E94E0C"/>
    <w:rsid w:val="00E94F6D"/>
    <w:rsid w:val="00E95DD9"/>
    <w:rsid w:val="00E9608B"/>
    <w:rsid w:val="00E961F9"/>
    <w:rsid w:val="00E96437"/>
    <w:rsid w:val="00E96633"/>
    <w:rsid w:val="00E96CB2"/>
    <w:rsid w:val="00E96D01"/>
    <w:rsid w:val="00E9750A"/>
    <w:rsid w:val="00E975D9"/>
    <w:rsid w:val="00EA0189"/>
    <w:rsid w:val="00EA023A"/>
    <w:rsid w:val="00EA057C"/>
    <w:rsid w:val="00EA088B"/>
    <w:rsid w:val="00EA0B40"/>
    <w:rsid w:val="00EA1700"/>
    <w:rsid w:val="00EA17F6"/>
    <w:rsid w:val="00EA1E07"/>
    <w:rsid w:val="00EA20A4"/>
    <w:rsid w:val="00EA23AB"/>
    <w:rsid w:val="00EA2401"/>
    <w:rsid w:val="00EA26D5"/>
    <w:rsid w:val="00EA2AF2"/>
    <w:rsid w:val="00EA2ED7"/>
    <w:rsid w:val="00EA2EE6"/>
    <w:rsid w:val="00EA3354"/>
    <w:rsid w:val="00EA3510"/>
    <w:rsid w:val="00EA363C"/>
    <w:rsid w:val="00EA403F"/>
    <w:rsid w:val="00EA4D98"/>
    <w:rsid w:val="00EA50B1"/>
    <w:rsid w:val="00EA5902"/>
    <w:rsid w:val="00EA59D2"/>
    <w:rsid w:val="00EA5D59"/>
    <w:rsid w:val="00EA6240"/>
    <w:rsid w:val="00EA63F7"/>
    <w:rsid w:val="00EA67BC"/>
    <w:rsid w:val="00EA6B5E"/>
    <w:rsid w:val="00EA6B6E"/>
    <w:rsid w:val="00EA6DB2"/>
    <w:rsid w:val="00EA6E50"/>
    <w:rsid w:val="00EA7100"/>
    <w:rsid w:val="00EA75C9"/>
    <w:rsid w:val="00EA78B7"/>
    <w:rsid w:val="00EA7982"/>
    <w:rsid w:val="00EA7A90"/>
    <w:rsid w:val="00EA7B35"/>
    <w:rsid w:val="00EA7B90"/>
    <w:rsid w:val="00EA7E75"/>
    <w:rsid w:val="00EA7F9F"/>
    <w:rsid w:val="00EB0307"/>
    <w:rsid w:val="00EB036D"/>
    <w:rsid w:val="00EB0914"/>
    <w:rsid w:val="00EB0CA8"/>
    <w:rsid w:val="00EB0E4E"/>
    <w:rsid w:val="00EB0EC8"/>
    <w:rsid w:val="00EB0F13"/>
    <w:rsid w:val="00EB0F59"/>
    <w:rsid w:val="00EB1274"/>
    <w:rsid w:val="00EB13C6"/>
    <w:rsid w:val="00EB18EE"/>
    <w:rsid w:val="00EB1F7C"/>
    <w:rsid w:val="00EB2113"/>
    <w:rsid w:val="00EB269F"/>
    <w:rsid w:val="00EB2A10"/>
    <w:rsid w:val="00EB2D57"/>
    <w:rsid w:val="00EB2D76"/>
    <w:rsid w:val="00EB38BE"/>
    <w:rsid w:val="00EB3B45"/>
    <w:rsid w:val="00EB3B83"/>
    <w:rsid w:val="00EB3BC5"/>
    <w:rsid w:val="00EB3C79"/>
    <w:rsid w:val="00EB4265"/>
    <w:rsid w:val="00EB4377"/>
    <w:rsid w:val="00EB59AF"/>
    <w:rsid w:val="00EB5E48"/>
    <w:rsid w:val="00EB6076"/>
    <w:rsid w:val="00EB60AE"/>
    <w:rsid w:val="00EB64E2"/>
    <w:rsid w:val="00EB687D"/>
    <w:rsid w:val="00EB69E1"/>
    <w:rsid w:val="00EB6D6A"/>
    <w:rsid w:val="00EB6E62"/>
    <w:rsid w:val="00EB7096"/>
    <w:rsid w:val="00EB70FD"/>
    <w:rsid w:val="00EB7436"/>
    <w:rsid w:val="00EB78B9"/>
    <w:rsid w:val="00EB7B02"/>
    <w:rsid w:val="00EB7BAA"/>
    <w:rsid w:val="00EB7BB3"/>
    <w:rsid w:val="00EB7D22"/>
    <w:rsid w:val="00EB7EC2"/>
    <w:rsid w:val="00EB7FAC"/>
    <w:rsid w:val="00EC007B"/>
    <w:rsid w:val="00EC0094"/>
    <w:rsid w:val="00EC00F7"/>
    <w:rsid w:val="00EC042B"/>
    <w:rsid w:val="00EC07E7"/>
    <w:rsid w:val="00EC0819"/>
    <w:rsid w:val="00EC0D84"/>
    <w:rsid w:val="00EC146C"/>
    <w:rsid w:val="00EC177D"/>
    <w:rsid w:val="00EC1939"/>
    <w:rsid w:val="00EC1E60"/>
    <w:rsid w:val="00EC200D"/>
    <w:rsid w:val="00EC208B"/>
    <w:rsid w:val="00EC2192"/>
    <w:rsid w:val="00EC2CC6"/>
    <w:rsid w:val="00EC2FFA"/>
    <w:rsid w:val="00EC30B0"/>
    <w:rsid w:val="00EC31EF"/>
    <w:rsid w:val="00EC3366"/>
    <w:rsid w:val="00EC3EF8"/>
    <w:rsid w:val="00EC4385"/>
    <w:rsid w:val="00EC45F4"/>
    <w:rsid w:val="00EC49FD"/>
    <w:rsid w:val="00EC4A79"/>
    <w:rsid w:val="00EC4E0C"/>
    <w:rsid w:val="00EC522F"/>
    <w:rsid w:val="00EC54B5"/>
    <w:rsid w:val="00EC578E"/>
    <w:rsid w:val="00EC5815"/>
    <w:rsid w:val="00EC5ACE"/>
    <w:rsid w:val="00EC5E2F"/>
    <w:rsid w:val="00EC61B8"/>
    <w:rsid w:val="00EC6845"/>
    <w:rsid w:val="00EC6C19"/>
    <w:rsid w:val="00EC6CC3"/>
    <w:rsid w:val="00EC7150"/>
    <w:rsid w:val="00EC7276"/>
    <w:rsid w:val="00EC78BA"/>
    <w:rsid w:val="00EC791B"/>
    <w:rsid w:val="00EC7A2C"/>
    <w:rsid w:val="00ED0317"/>
    <w:rsid w:val="00ED0A9B"/>
    <w:rsid w:val="00ED0B9C"/>
    <w:rsid w:val="00ED0D4D"/>
    <w:rsid w:val="00ED1140"/>
    <w:rsid w:val="00ED175E"/>
    <w:rsid w:val="00ED18F2"/>
    <w:rsid w:val="00ED1B3E"/>
    <w:rsid w:val="00ED1C0B"/>
    <w:rsid w:val="00ED1E66"/>
    <w:rsid w:val="00ED2025"/>
    <w:rsid w:val="00ED233D"/>
    <w:rsid w:val="00ED260C"/>
    <w:rsid w:val="00ED29BF"/>
    <w:rsid w:val="00ED2A5A"/>
    <w:rsid w:val="00ED2B27"/>
    <w:rsid w:val="00ED2BB6"/>
    <w:rsid w:val="00ED2E8D"/>
    <w:rsid w:val="00ED30DB"/>
    <w:rsid w:val="00ED34E1"/>
    <w:rsid w:val="00ED38C7"/>
    <w:rsid w:val="00ED3B8D"/>
    <w:rsid w:val="00ED3C15"/>
    <w:rsid w:val="00ED3D0C"/>
    <w:rsid w:val="00ED3E59"/>
    <w:rsid w:val="00ED3E9D"/>
    <w:rsid w:val="00ED41D8"/>
    <w:rsid w:val="00ED421E"/>
    <w:rsid w:val="00ED435D"/>
    <w:rsid w:val="00ED4582"/>
    <w:rsid w:val="00ED4707"/>
    <w:rsid w:val="00ED483B"/>
    <w:rsid w:val="00ED4B31"/>
    <w:rsid w:val="00ED4F0A"/>
    <w:rsid w:val="00ED4F4B"/>
    <w:rsid w:val="00ED4FDF"/>
    <w:rsid w:val="00ED511B"/>
    <w:rsid w:val="00ED52DE"/>
    <w:rsid w:val="00ED53FE"/>
    <w:rsid w:val="00ED5728"/>
    <w:rsid w:val="00ED5808"/>
    <w:rsid w:val="00ED58FB"/>
    <w:rsid w:val="00ED59F9"/>
    <w:rsid w:val="00ED5C55"/>
    <w:rsid w:val="00ED5D02"/>
    <w:rsid w:val="00ED5F11"/>
    <w:rsid w:val="00ED6363"/>
    <w:rsid w:val="00ED6489"/>
    <w:rsid w:val="00ED653A"/>
    <w:rsid w:val="00ED69EB"/>
    <w:rsid w:val="00ED6A8C"/>
    <w:rsid w:val="00ED6AA6"/>
    <w:rsid w:val="00ED6F68"/>
    <w:rsid w:val="00ED70A7"/>
    <w:rsid w:val="00ED724B"/>
    <w:rsid w:val="00ED749D"/>
    <w:rsid w:val="00ED75AF"/>
    <w:rsid w:val="00ED75FB"/>
    <w:rsid w:val="00ED79DB"/>
    <w:rsid w:val="00ED7BA5"/>
    <w:rsid w:val="00EE049C"/>
    <w:rsid w:val="00EE054C"/>
    <w:rsid w:val="00EE05AB"/>
    <w:rsid w:val="00EE0B5B"/>
    <w:rsid w:val="00EE0BA9"/>
    <w:rsid w:val="00EE0E54"/>
    <w:rsid w:val="00EE0F52"/>
    <w:rsid w:val="00EE11E5"/>
    <w:rsid w:val="00EE1226"/>
    <w:rsid w:val="00EE1685"/>
    <w:rsid w:val="00EE1B0A"/>
    <w:rsid w:val="00EE1D06"/>
    <w:rsid w:val="00EE1DB7"/>
    <w:rsid w:val="00EE2526"/>
    <w:rsid w:val="00EE28B9"/>
    <w:rsid w:val="00EE28C1"/>
    <w:rsid w:val="00EE29F1"/>
    <w:rsid w:val="00EE2B25"/>
    <w:rsid w:val="00EE2BFA"/>
    <w:rsid w:val="00EE2C46"/>
    <w:rsid w:val="00EE2EA1"/>
    <w:rsid w:val="00EE30E2"/>
    <w:rsid w:val="00EE33D7"/>
    <w:rsid w:val="00EE34EC"/>
    <w:rsid w:val="00EE387A"/>
    <w:rsid w:val="00EE3C0F"/>
    <w:rsid w:val="00EE3E56"/>
    <w:rsid w:val="00EE3F29"/>
    <w:rsid w:val="00EE4137"/>
    <w:rsid w:val="00EE4336"/>
    <w:rsid w:val="00EE4404"/>
    <w:rsid w:val="00EE45A9"/>
    <w:rsid w:val="00EE4A4A"/>
    <w:rsid w:val="00EE4DF7"/>
    <w:rsid w:val="00EE4E2B"/>
    <w:rsid w:val="00EE591A"/>
    <w:rsid w:val="00EE5E36"/>
    <w:rsid w:val="00EE60BC"/>
    <w:rsid w:val="00EE6255"/>
    <w:rsid w:val="00EE62B3"/>
    <w:rsid w:val="00EE6342"/>
    <w:rsid w:val="00EE6471"/>
    <w:rsid w:val="00EE66B2"/>
    <w:rsid w:val="00EE67DB"/>
    <w:rsid w:val="00EE6D5F"/>
    <w:rsid w:val="00EE6EEA"/>
    <w:rsid w:val="00EE7850"/>
    <w:rsid w:val="00EE78A9"/>
    <w:rsid w:val="00EE7C51"/>
    <w:rsid w:val="00EF000F"/>
    <w:rsid w:val="00EF0106"/>
    <w:rsid w:val="00EF03A2"/>
    <w:rsid w:val="00EF0E15"/>
    <w:rsid w:val="00EF1186"/>
    <w:rsid w:val="00EF1490"/>
    <w:rsid w:val="00EF14B0"/>
    <w:rsid w:val="00EF16D3"/>
    <w:rsid w:val="00EF1932"/>
    <w:rsid w:val="00EF1BC1"/>
    <w:rsid w:val="00EF1C18"/>
    <w:rsid w:val="00EF1C66"/>
    <w:rsid w:val="00EF1C99"/>
    <w:rsid w:val="00EF1EFA"/>
    <w:rsid w:val="00EF1F9D"/>
    <w:rsid w:val="00EF25DB"/>
    <w:rsid w:val="00EF2817"/>
    <w:rsid w:val="00EF2C97"/>
    <w:rsid w:val="00EF2E3A"/>
    <w:rsid w:val="00EF2E3D"/>
    <w:rsid w:val="00EF32C4"/>
    <w:rsid w:val="00EF3347"/>
    <w:rsid w:val="00EF3D6D"/>
    <w:rsid w:val="00EF3DE4"/>
    <w:rsid w:val="00EF4783"/>
    <w:rsid w:val="00EF4810"/>
    <w:rsid w:val="00EF48F6"/>
    <w:rsid w:val="00EF4951"/>
    <w:rsid w:val="00EF4B92"/>
    <w:rsid w:val="00EF501E"/>
    <w:rsid w:val="00EF50B8"/>
    <w:rsid w:val="00EF55BA"/>
    <w:rsid w:val="00EF5DB4"/>
    <w:rsid w:val="00EF6100"/>
    <w:rsid w:val="00EF64EA"/>
    <w:rsid w:val="00EF6713"/>
    <w:rsid w:val="00EF6821"/>
    <w:rsid w:val="00EF6842"/>
    <w:rsid w:val="00EF6AF5"/>
    <w:rsid w:val="00EF75A2"/>
    <w:rsid w:val="00EF75E4"/>
    <w:rsid w:val="00EF7C07"/>
    <w:rsid w:val="00F000CC"/>
    <w:rsid w:val="00F0079D"/>
    <w:rsid w:val="00F00C96"/>
    <w:rsid w:val="00F0109E"/>
    <w:rsid w:val="00F015A2"/>
    <w:rsid w:val="00F01B0E"/>
    <w:rsid w:val="00F01EAC"/>
    <w:rsid w:val="00F0243F"/>
    <w:rsid w:val="00F02A09"/>
    <w:rsid w:val="00F02B76"/>
    <w:rsid w:val="00F02C7C"/>
    <w:rsid w:val="00F02FA2"/>
    <w:rsid w:val="00F02FF6"/>
    <w:rsid w:val="00F03636"/>
    <w:rsid w:val="00F036A4"/>
    <w:rsid w:val="00F03AAA"/>
    <w:rsid w:val="00F04053"/>
    <w:rsid w:val="00F04064"/>
    <w:rsid w:val="00F0414A"/>
    <w:rsid w:val="00F04776"/>
    <w:rsid w:val="00F0519D"/>
    <w:rsid w:val="00F056A5"/>
    <w:rsid w:val="00F0596F"/>
    <w:rsid w:val="00F05A5E"/>
    <w:rsid w:val="00F05B86"/>
    <w:rsid w:val="00F05C00"/>
    <w:rsid w:val="00F05D11"/>
    <w:rsid w:val="00F05FF2"/>
    <w:rsid w:val="00F06236"/>
    <w:rsid w:val="00F06276"/>
    <w:rsid w:val="00F06573"/>
    <w:rsid w:val="00F069AC"/>
    <w:rsid w:val="00F06ABC"/>
    <w:rsid w:val="00F06E07"/>
    <w:rsid w:val="00F06FCD"/>
    <w:rsid w:val="00F072A7"/>
    <w:rsid w:val="00F072DC"/>
    <w:rsid w:val="00F0735F"/>
    <w:rsid w:val="00F074E2"/>
    <w:rsid w:val="00F07699"/>
    <w:rsid w:val="00F076AE"/>
    <w:rsid w:val="00F078DC"/>
    <w:rsid w:val="00F07B34"/>
    <w:rsid w:val="00F07C8E"/>
    <w:rsid w:val="00F07D4C"/>
    <w:rsid w:val="00F07E5B"/>
    <w:rsid w:val="00F07EF1"/>
    <w:rsid w:val="00F10E41"/>
    <w:rsid w:val="00F1106E"/>
    <w:rsid w:val="00F11327"/>
    <w:rsid w:val="00F11B88"/>
    <w:rsid w:val="00F11C62"/>
    <w:rsid w:val="00F11E97"/>
    <w:rsid w:val="00F11FCF"/>
    <w:rsid w:val="00F12050"/>
    <w:rsid w:val="00F12229"/>
    <w:rsid w:val="00F1232E"/>
    <w:rsid w:val="00F12473"/>
    <w:rsid w:val="00F124D1"/>
    <w:rsid w:val="00F12A77"/>
    <w:rsid w:val="00F13038"/>
    <w:rsid w:val="00F133C1"/>
    <w:rsid w:val="00F134D6"/>
    <w:rsid w:val="00F1391F"/>
    <w:rsid w:val="00F14084"/>
    <w:rsid w:val="00F143F1"/>
    <w:rsid w:val="00F1452E"/>
    <w:rsid w:val="00F14687"/>
    <w:rsid w:val="00F14928"/>
    <w:rsid w:val="00F150E3"/>
    <w:rsid w:val="00F15218"/>
    <w:rsid w:val="00F15392"/>
    <w:rsid w:val="00F154DF"/>
    <w:rsid w:val="00F154E3"/>
    <w:rsid w:val="00F15790"/>
    <w:rsid w:val="00F1588B"/>
    <w:rsid w:val="00F15BF6"/>
    <w:rsid w:val="00F16754"/>
    <w:rsid w:val="00F16C01"/>
    <w:rsid w:val="00F1735C"/>
    <w:rsid w:val="00F176AD"/>
    <w:rsid w:val="00F1799A"/>
    <w:rsid w:val="00F17BA6"/>
    <w:rsid w:val="00F17BBB"/>
    <w:rsid w:val="00F17BC2"/>
    <w:rsid w:val="00F202AD"/>
    <w:rsid w:val="00F207F6"/>
    <w:rsid w:val="00F20ED8"/>
    <w:rsid w:val="00F21258"/>
    <w:rsid w:val="00F2278C"/>
    <w:rsid w:val="00F22885"/>
    <w:rsid w:val="00F2290A"/>
    <w:rsid w:val="00F22B17"/>
    <w:rsid w:val="00F230A8"/>
    <w:rsid w:val="00F23160"/>
    <w:rsid w:val="00F2318F"/>
    <w:rsid w:val="00F23435"/>
    <w:rsid w:val="00F238DF"/>
    <w:rsid w:val="00F23B96"/>
    <w:rsid w:val="00F23D15"/>
    <w:rsid w:val="00F23F5A"/>
    <w:rsid w:val="00F24205"/>
    <w:rsid w:val="00F2452A"/>
    <w:rsid w:val="00F2461F"/>
    <w:rsid w:val="00F24B70"/>
    <w:rsid w:val="00F24C3A"/>
    <w:rsid w:val="00F24D2C"/>
    <w:rsid w:val="00F24E72"/>
    <w:rsid w:val="00F24FAC"/>
    <w:rsid w:val="00F2522C"/>
    <w:rsid w:val="00F2527E"/>
    <w:rsid w:val="00F2537F"/>
    <w:rsid w:val="00F25587"/>
    <w:rsid w:val="00F25665"/>
    <w:rsid w:val="00F2577C"/>
    <w:rsid w:val="00F25A41"/>
    <w:rsid w:val="00F25C08"/>
    <w:rsid w:val="00F25C74"/>
    <w:rsid w:val="00F25CA4"/>
    <w:rsid w:val="00F26136"/>
    <w:rsid w:val="00F26429"/>
    <w:rsid w:val="00F26DEB"/>
    <w:rsid w:val="00F26E9F"/>
    <w:rsid w:val="00F27186"/>
    <w:rsid w:val="00F275B4"/>
    <w:rsid w:val="00F276F1"/>
    <w:rsid w:val="00F27730"/>
    <w:rsid w:val="00F27CC8"/>
    <w:rsid w:val="00F27E4B"/>
    <w:rsid w:val="00F302E8"/>
    <w:rsid w:val="00F303BE"/>
    <w:rsid w:val="00F3056C"/>
    <w:rsid w:val="00F3080A"/>
    <w:rsid w:val="00F30A09"/>
    <w:rsid w:val="00F30A9A"/>
    <w:rsid w:val="00F3104C"/>
    <w:rsid w:val="00F313B4"/>
    <w:rsid w:val="00F315A0"/>
    <w:rsid w:val="00F320C8"/>
    <w:rsid w:val="00F3293D"/>
    <w:rsid w:val="00F3295C"/>
    <w:rsid w:val="00F32BA8"/>
    <w:rsid w:val="00F32EE0"/>
    <w:rsid w:val="00F32F63"/>
    <w:rsid w:val="00F33216"/>
    <w:rsid w:val="00F332E7"/>
    <w:rsid w:val="00F33501"/>
    <w:rsid w:val="00F33B1C"/>
    <w:rsid w:val="00F33E8C"/>
    <w:rsid w:val="00F33EB1"/>
    <w:rsid w:val="00F33FB7"/>
    <w:rsid w:val="00F34448"/>
    <w:rsid w:val="00F3489B"/>
    <w:rsid w:val="00F349A7"/>
    <w:rsid w:val="00F349F1"/>
    <w:rsid w:val="00F34B46"/>
    <w:rsid w:val="00F34E69"/>
    <w:rsid w:val="00F3549A"/>
    <w:rsid w:val="00F356E4"/>
    <w:rsid w:val="00F35751"/>
    <w:rsid w:val="00F35AC7"/>
    <w:rsid w:val="00F35E9C"/>
    <w:rsid w:val="00F365ED"/>
    <w:rsid w:val="00F368A2"/>
    <w:rsid w:val="00F36C4B"/>
    <w:rsid w:val="00F36FAD"/>
    <w:rsid w:val="00F37017"/>
    <w:rsid w:val="00F37088"/>
    <w:rsid w:val="00F37106"/>
    <w:rsid w:val="00F3720A"/>
    <w:rsid w:val="00F37961"/>
    <w:rsid w:val="00F379FC"/>
    <w:rsid w:val="00F37CB3"/>
    <w:rsid w:val="00F37F2E"/>
    <w:rsid w:val="00F40F8C"/>
    <w:rsid w:val="00F41565"/>
    <w:rsid w:val="00F41634"/>
    <w:rsid w:val="00F417FA"/>
    <w:rsid w:val="00F41872"/>
    <w:rsid w:val="00F419AB"/>
    <w:rsid w:val="00F41A6F"/>
    <w:rsid w:val="00F41C20"/>
    <w:rsid w:val="00F41FB6"/>
    <w:rsid w:val="00F42A88"/>
    <w:rsid w:val="00F42A98"/>
    <w:rsid w:val="00F42BE3"/>
    <w:rsid w:val="00F42F98"/>
    <w:rsid w:val="00F433F8"/>
    <w:rsid w:val="00F43422"/>
    <w:rsid w:val="00F4350D"/>
    <w:rsid w:val="00F4405C"/>
    <w:rsid w:val="00F45AFF"/>
    <w:rsid w:val="00F463F7"/>
    <w:rsid w:val="00F46586"/>
    <w:rsid w:val="00F46765"/>
    <w:rsid w:val="00F46789"/>
    <w:rsid w:val="00F46B04"/>
    <w:rsid w:val="00F46B32"/>
    <w:rsid w:val="00F46C21"/>
    <w:rsid w:val="00F46D99"/>
    <w:rsid w:val="00F47078"/>
    <w:rsid w:val="00F473B6"/>
    <w:rsid w:val="00F4785C"/>
    <w:rsid w:val="00F479C4"/>
    <w:rsid w:val="00F50000"/>
    <w:rsid w:val="00F50151"/>
    <w:rsid w:val="00F5035A"/>
    <w:rsid w:val="00F504CC"/>
    <w:rsid w:val="00F5063D"/>
    <w:rsid w:val="00F5069E"/>
    <w:rsid w:val="00F5128B"/>
    <w:rsid w:val="00F514D9"/>
    <w:rsid w:val="00F51591"/>
    <w:rsid w:val="00F516D9"/>
    <w:rsid w:val="00F52205"/>
    <w:rsid w:val="00F52651"/>
    <w:rsid w:val="00F526D6"/>
    <w:rsid w:val="00F52C27"/>
    <w:rsid w:val="00F52EEB"/>
    <w:rsid w:val="00F5364A"/>
    <w:rsid w:val="00F5365F"/>
    <w:rsid w:val="00F53A2F"/>
    <w:rsid w:val="00F544AE"/>
    <w:rsid w:val="00F54890"/>
    <w:rsid w:val="00F54A8A"/>
    <w:rsid w:val="00F54B3A"/>
    <w:rsid w:val="00F54C32"/>
    <w:rsid w:val="00F54D07"/>
    <w:rsid w:val="00F54DE5"/>
    <w:rsid w:val="00F55110"/>
    <w:rsid w:val="00F55641"/>
    <w:rsid w:val="00F55879"/>
    <w:rsid w:val="00F55B0C"/>
    <w:rsid w:val="00F55D7E"/>
    <w:rsid w:val="00F55F1C"/>
    <w:rsid w:val="00F56110"/>
    <w:rsid w:val="00F56148"/>
    <w:rsid w:val="00F561D5"/>
    <w:rsid w:val="00F5668E"/>
    <w:rsid w:val="00F567F7"/>
    <w:rsid w:val="00F5693B"/>
    <w:rsid w:val="00F56F38"/>
    <w:rsid w:val="00F56F93"/>
    <w:rsid w:val="00F56FBB"/>
    <w:rsid w:val="00F5712B"/>
    <w:rsid w:val="00F572C5"/>
    <w:rsid w:val="00F5734F"/>
    <w:rsid w:val="00F57497"/>
    <w:rsid w:val="00F57684"/>
    <w:rsid w:val="00F57832"/>
    <w:rsid w:val="00F5796A"/>
    <w:rsid w:val="00F57B02"/>
    <w:rsid w:val="00F57CE7"/>
    <w:rsid w:val="00F6029B"/>
    <w:rsid w:val="00F606AF"/>
    <w:rsid w:val="00F607C9"/>
    <w:rsid w:val="00F60DFC"/>
    <w:rsid w:val="00F60F26"/>
    <w:rsid w:val="00F61162"/>
    <w:rsid w:val="00F61A68"/>
    <w:rsid w:val="00F61BAB"/>
    <w:rsid w:val="00F623E3"/>
    <w:rsid w:val="00F6256A"/>
    <w:rsid w:val="00F625CE"/>
    <w:rsid w:val="00F625EF"/>
    <w:rsid w:val="00F62E4D"/>
    <w:rsid w:val="00F62FAE"/>
    <w:rsid w:val="00F634B8"/>
    <w:rsid w:val="00F636B0"/>
    <w:rsid w:val="00F63B22"/>
    <w:rsid w:val="00F6412C"/>
    <w:rsid w:val="00F64645"/>
    <w:rsid w:val="00F64769"/>
    <w:rsid w:val="00F648FC"/>
    <w:rsid w:val="00F64AAF"/>
    <w:rsid w:val="00F64C7A"/>
    <w:rsid w:val="00F64F99"/>
    <w:rsid w:val="00F6587E"/>
    <w:rsid w:val="00F65949"/>
    <w:rsid w:val="00F66124"/>
    <w:rsid w:val="00F662B0"/>
    <w:rsid w:val="00F6653E"/>
    <w:rsid w:val="00F6696E"/>
    <w:rsid w:val="00F66D51"/>
    <w:rsid w:val="00F66E13"/>
    <w:rsid w:val="00F67051"/>
    <w:rsid w:val="00F671F0"/>
    <w:rsid w:val="00F67401"/>
    <w:rsid w:val="00F67D3D"/>
    <w:rsid w:val="00F67EE1"/>
    <w:rsid w:val="00F67F90"/>
    <w:rsid w:val="00F70543"/>
    <w:rsid w:val="00F706B0"/>
    <w:rsid w:val="00F709CE"/>
    <w:rsid w:val="00F70B7E"/>
    <w:rsid w:val="00F70DDB"/>
    <w:rsid w:val="00F70DFC"/>
    <w:rsid w:val="00F70FE3"/>
    <w:rsid w:val="00F7101F"/>
    <w:rsid w:val="00F71024"/>
    <w:rsid w:val="00F71171"/>
    <w:rsid w:val="00F711BA"/>
    <w:rsid w:val="00F712D1"/>
    <w:rsid w:val="00F71319"/>
    <w:rsid w:val="00F7186B"/>
    <w:rsid w:val="00F71D76"/>
    <w:rsid w:val="00F72122"/>
    <w:rsid w:val="00F72759"/>
    <w:rsid w:val="00F7298A"/>
    <w:rsid w:val="00F7303A"/>
    <w:rsid w:val="00F73169"/>
    <w:rsid w:val="00F7362C"/>
    <w:rsid w:val="00F73BD6"/>
    <w:rsid w:val="00F73C16"/>
    <w:rsid w:val="00F73C45"/>
    <w:rsid w:val="00F73C88"/>
    <w:rsid w:val="00F73DD2"/>
    <w:rsid w:val="00F73E70"/>
    <w:rsid w:val="00F73EBA"/>
    <w:rsid w:val="00F74141"/>
    <w:rsid w:val="00F74215"/>
    <w:rsid w:val="00F744EE"/>
    <w:rsid w:val="00F74AD6"/>
    <w:rsid w:val="00F75B3E"/>
    <w:rsid w:val="00F75E05"/>
    <w:rsid w:val="00F75E2F"/>
    <w:rsid w:val="00F75F17"/>
    <w:rsid w:val="00F76425"/>
    <w:rsid w:val="00F76485"/>
    <w:rsid w:val="00F76511"/>
    <w:rsid w:val="00F76E96"/>
    <w:rsid w:val="00F77681"/>
    <w:rsid w:val="00F77952"/>
    <w:rsid w:val="00F77AF2"/>
    <w:rsid w:val="00F801C3"/>
    <w:rsid w:val="00F80435"/>
    <w:rsid w:val="00F812F2"/>
    <w:rsid w:val="00F813D7"/>
    <w:rsid w:val="00F81694"/>
    <w:rsid w:val="00F81B82"/>
    <w:rsid w:val="00F81C25"/>
    <w:rsid w:val="00F81DA8"/>
    <w:rsid w:val="00F81F5C"/>
    <w:rsid w:val="00F825A0"/>
    <w:rsid w:val="00F8273B"/>
    <w:rsid w:val="00F82B97"/>
    <w:rsid w:val="00F83398"/>
    <w:rsid w:val="00F83889"/>
    <w:rsid w:val="00F83989"/>
    <w:rsid w:val="00F83AD7"/>
    <w:rsid w:val="00F83CD0"/>
    <w:rsid w:val="00F83D49"/>
    <w:rsid w:val="00F83F50"/>
    <w:rsid w:val="00F83F89"/>
    <w:rsid w:val="00F83FE8"/>
    <w:rsid w:val="00F84263"/>
    <w:rsid w:val="00F84406"/>
    <w:rsid w:val="00F84ABB"/>
    <w:rsid w:val="00F84B82"/>
    <w:rsid w:val="00F84E36"/>
    <w:rsid w:val="00F8505E"/>
    <w:rsid w:val="00F85099"/>
    <w:rsid w:val="00F85274"/>
    <w:rsid w:val="00F8562D"/>
    <w:rsid w:val="00F856B7"/>
    <w:rsid w:val="00F8598B"/>
    <w:rsid w:val="00F85D60"/>
    <w:rsid w:val="00F85DD9"/>
    <w:rsid w:val="00F85F83"/>
    <w:rsid w:val="00F871D8"/>
    <w:rsid w:val="00F8737C"/>
    <w:rsid w:val="00F87420"/>
    <w:rsid w:val="00F875F7"/>
    <w:rsid w:val="00F8793E"/>
    <w:rsid w:val="00F87956"/>
    <w:rsid w:val="00F87C2B"/>
    <w:rsid w:val="00F87DD2"/>
    <w:rsid w:val="00F87F48"/>
    <w:rsid w:val="00F9012D"/>
    <w:rsid w:val="00F902E6"/>
    <w:rsid w:val="00F90432"/>
    <w:rsid w:val="00F906ED"/>
    <w:rsid w:val="00F90771"/>
    <w:rsid w:val="00F90A37"/>
    <w:rsid w:val="00F90AB6"/>
    <w:rsid w:val="00F90BFA"/>
    <w:rsid w:val="00F9131E"/>
    <w:rsid w:val="00F9151C"/>
    <w:rsid w:val="00F9164B"/>
    <w:rsid w:val="00F916E3"/>
    <w:rsid w:val="00F918A5"/>
    <w:rsid w:val="00F918B2"/>
    <w:rsid w:val="00F918FE"/>
    <w:rsid w:val="00F91A56"/>
    <w:rsid w:val="00F92064"/>
    <w:rsid w:val="00F921DE"/>
    <w:rsid w:val="00F924BA"/>
    <w:rsid w:val="00F92694"/>
    <w:rsid w:val="00F92C16"/>
    <w:rsid w:val="00F92EAF"/>
    <w:rsid w:val="00F9314C"/>
    <w:rsid w:val="00F9319D"/>
    <w:rsid w:val="00F9369D"/>
    <w:rsid w:val="00F9379C"/>
    <w:rsid w:val="00F93B47"/>
    <w:rsid w:val="00F93B61"/>
    <w:rsid w:val="00F94394"/>
    <w:rsid w:val="00F9449A"/>
    <w:rsid w:val="00F94875"/>
    <w:rsid w:val="00F949C1"/>
    <w:rsid w:val="00F94A47"/>
    <w:rsid w:val="00F94F6D"/>
    <w:rsid w:val="00F9504F"/>
    <w:rsid w:val="00F9537D"/>
    <w:rsid w:val="00F9569C"/>
    <w:rsid w:val="00F9632C"/>
    <w:rsid w:val="00F9694F"/>
    <w:rsid w:val="00F96BB3"/>
    <w:rsid w:val="00F96CA2"/>
    <w:rsid w:val="00F9705E"/>
    <w:rsid w:val="00F976CC"/>
    <w:rsid w:val="00F97B39"/>
    <w:rsid w:val="00F97BB6"/>
    <w:rsid w:val="00F97DB2"/>
    <w:rsid w:val="00F97EF5"/>
    <w:rsid w:val="00FA01C4"/>
    <w:rsid w:val="00FA04D3"/>
    <w:rsid w:val="00FA04DA"/>
    <w:rsid w:val="00FA0591"/>
    <w:rsid w:val="00FA06B3"/>
    <w:rsid w:val="00FA0740"/>
    <w:rsid w:val="00FA0B6F"/>
    <w:rsid w:val="00FA0C0F"/>
    <w:rsid w:val="00FA0CFE"/>
    <w:rsid w:val="00FA0E9B"/>
    <w:rsid w:val="00FA13F0"/>
    <w:rsid w:val="00FA14C2"/>
    <w:rsid w:val="00FA14D0"/>
    <w:rsid w:val="00FA15B3"/>
    <w:rsid w:val="00FA18E6"/>
    <w:rsid w:val="00FA19F7"/>
    <w:rsid w:val="00FA1D27"/>
    <w:rsid w:val="00FA1E52"/>
    <w:rsid w:val="00FA1E76"/>
    <w:rsid w:val="00FA31C2"/>
    <w:rsid w:val="00FA32E6"/>
    <w:rsid w:val="00FA3A0C"/>
    <w:rsid w:val="00FA3AF1"/>
    <w:rsid w:val="00FA3BD3"/>
    <w:rsid w:val="00FA3C0C"/>
    <w:rsid w:val="00FA3F90"/>
    <w:rsid w:val="00FA42B2"/>
    <w:rsid w:val="00FA4465"/>
    <w:rsid w:val="00FA48EE"/>
    <w:rsid w:val="00FA4B55"/>
    <w:rsid w:val="00FA4BDC"/>
    <w:rsid w:val="00FA4F80"/>
    <w:rsid w:val="00FA5127"/>
    <w:rsid w:val="00FA5438"/>
    <w:rsid w:val="00FA54E5"/>
    <w:rsid w:val="00FA55C1"/>
    <w:rsid w:val="00FA5783"/>
    <w:rsid w:val="00FA5A74"/>
    <w:rsid w:val="00FA5E5F"/>
    <w:rsid w:val="00FA5F55"/>
    <w:rsid w:val="00FA6154"/>
    <w:rsid w:val="00FA65A7"/>
    <w:rsid w:val="00FA6A7B"/>
    <w:rsid w:val="00FA708A"/>
    <w:rsid w:val="00FA7337"/>
    <w:rsid w:val="00FA7771"/>
    <w:rsid w:val="00FA7ECE"/>
    <w:rsid w:val="00FA7FC9"/>
    <w:rsid w:val="00FB0612"/>
    <w:rsid w:val="00FB07C1"/>
    <w:rsid w:val="00FB07D5"/>
    <w:rsid w:val="00FB08A9"/>
    <w:rsid w:val="00FB08BF"/>
    <w:rsid w:val="00FB0908"/>
    <w:rsid w:val="00FB0A22"/>
    <w:rsid w:val="00FB0A2C"/>
    <w:rsid w:val="00FB0F3E"/>
    <w:rsid w:val="00FB0FA5"/>
    <w:rsid w:val="00FB12D3"/>
    <w:rsid w:val="00FB16E5"/>
    <w:rsid w:val="00FB1EDD"/>
    <w:rsid w:val="00FB2105"/>
    <w:rsid w:val="00FB2240"/>
    <w:rsid w:val="00FB2623"/>
    <w:rsid w:val="00FB2C76"/>
    <w:rsid w:val="00FB2C87"/>
    <w:rsid w:val="00FB2E2D"/>
    <w:rsid w:val="00FB2EF5"/>
    <w:rsid w:val="00FB442E"/>
    <w:rsid w:val="00FB4613"/>
    <w:rsid w:val="00FB491C"/>
    <w:rsid w:val="00FB49E3"/>
    <w:rsid w:val="00FB4B6A"/>
    <w:rsid w:val="00FB4CDA"/>
    <w:rsid w:val="00FB4D4A"/>
    <w:rsid w:val="00FB4FC5"/>
    <w:rsid w:val="00FB522A"/>
    <w:rsid w:val="00FB524C"/>
    <w:rsid w:val="00FB5A08"/>
    <w:rsid w:val="00FB5BBF"/>
    <w:rsid w:val="00FB5E6B"/>
    <w:rsid w:val="00FB61F3"/>
    <w:rsid w:val="00FB6550"/>
    <w:rsid w:val="00FB68A5"/>
    <w:rsid w:val="00FB6D4B"/>
    <w:rsid w:val="00FB7421"/>
    <w:rsid w:val="00FB74C3"/>
    <w:rsid w:val="00FB7600"/>
    <w:rsid w:val="00FB7D6C"/>
    <w:rsid w:val="00FC019C"/>
    <w:rsid w:val="00FC05A2"/>
    <w:rsid w:val="00FC0B51"/>
    <w:rsid w:val="00FC0C8A"/>
    <w:rsid w:val="00FC0D06"/>
    <w:rsid w:val="00FC0F09"/>
    <w:rsid w:val="00FC137B"/>
    <w:rsid w:val="00FC143C"/>
    <w:rsid w:val="00FC1462"/>
    <w:rsid w:val="00FC1985"/>
    <w:rsid w:val="00FC19BE"/>
    <w:rsid w:val="00FC1A65"/>
    <w:rsid w:val="00FC1EA3"/>
    <w:rsid w:val="00FC201A"/>
    <w:rsid w:val="00FC20B5"/>
    <w:rsid w:val="00FC2474"/>
    <w:rsid w:val="00FC24A3"/>
    <w:rsid w:val="00FC24CB"/>
    <w:rsid w:val="00FC277D"/>
    <w:rsid w:val="00FC29A9"/>
    <w:rsid w:val="00FC2B54"/>
    <w:rsid w:val="00FC305F"/>
    <w:rsid w:val="00FC3214"/>
    <w:rsid w:val="00FC33C5"/>
    <w:rsid w:val="00FC394C"/>
    <w:rsid w:val="00FC3D10"/>
    <w:rsid w:val="00FC3E2A"/>
    <w:rsid w:val="00FC4044"/>
    <w:rsid w:val="00FC464B"/>
    <w:rsid w:val="00FC48FF"/>
    <w:rsid w:val="00FC4BD5"/>
    <w:rsid w:val="00FC4C61"/>
    <w:rsid w:val="00FC513C"/>
    <w:rsid w:val="00FC54E8"/>
    <w:rsid w:val="00FC56EA"/>
    <w:rsid w:val="00FC5A1D"/>
    <w:rsid w:val="00FC6250"/>
    <w:rsid w:val="00FC6938"/>
    <w:rsid w:val="00FC6A20"/>
    <w:rsid w:val="00FC6A80"/>
    <w:rsid w:val="00FC6B1C"/>
    <w:rsid w:val="00FC71E1"/>
    <w:rsid w:val="00FC726A"/>
    <w:rsid w:val="00FC734E"/>
    <w:rsid w:val="00FC7452"/>
    <w:rsid w:val="00FC74C8"/>
    <w:rsid w:val="00FC7CFC"/>
    <w:rsid w:val="00FD03FE"/>
    <w:rsid w:val="00FD065F"/>
    <w:rsid w:val="00FD0D3D"/>
    <w:rsid w:val="00FD1246"/>
    <w:rsid w:val="00FD134A"/>
    <w:rsid w:val="00FD1371"/>
    <w:rsid w:val="00FD141B"/>
    <w:rsid w:val="00FD1450"/>
    <w:rsid w:val="00FD1804"/>
    <w:rsid w:val="00FD18CE"/>
    <w:rsid w:val="00FD1A47"/>
    <w:rsid w:val="00FD1D01"/>
    <w:rsid w:val="00FD1DC7"/>
    <w:rsid w:val="00FD2027"/>
    <w:rsid w:val="00FD202A"/>
    <w:rsid w:val="00FD2176"/>
    <w:rsid w:val="00FD2210"/>
    <w:rsid w:val="00FD22FF"/>
    <w:rsid w:val="00FD28DE"/>
    <w:rsid w:val="00FD3D31"/>
    <w:rsid w:val="00FD46FD"/>
    <w:rsid w:val="00FD4A05"/>
    <w:rsid w:val="00FD5759"/>
    <w:rsid w:val="00FD5804"/>
    <w:rsid w:val="00FD5F73"/>
    <w:rsid w:val="00FD691B"/>
    <w:rsid w:val="00FD70CA"/>
    <w:rsid w:val="00FD70E0"/>
    <w:rsid w:val="00FD71A7"/>
    <w:rsid w:val="00FD73BB"/>
    <w:rsid w:val="00FD74E8"/>
    <w:rsid w:val="00FD7694"/>
    <w:rsid w:val="00FD7873"/>
    <w:rsid w:val="00FD7D4B"/>
    <w:rsid w:val="00FD7EE2"/>
    <w:rsid w:val="00FE0096"/>
    <w:rsid w:val="00FE057F"/>
    <w:rsid w:val="00FE075C"/>
    <w:rsid w:val="00FE0E1B"/>
    <w:rsid w:val="00FE0FD0"/>
    <w:rsid w:val="00FE1DF8"/>
    <w:rsid w:val="00FE20CA"/>
    <w:rsid w:val="00FE2205"/>
    <w:rsid w:val="00FE254F"/>
    <w:rsid w:val="00FE27D6"/>
    <w:rsid w:val="00FE30DA"/>
    <w:rsid w:val="00FE35E4"/>
    <w:rsid w:val="00FE39C1"/>
    <w:rsid w:val="00FE3D44"/>
    <w:rsid w:val="00FE3DD1"/>
    <w:rsid w:val="00FE42F8"/>
    <w:rsid w:val="00FE4688"/>
    <w:rsid w:val="00FE497A"/>
    <w:rsid w:val="00FE4A50"/>
    <w:rsid w:val="00FE4F8C"/>
    <w:rsid w:val="00FE5209"/>
    <w:rsid w:val="00FE569E"/>
    <w:rsid w:val="00FE59D3"/>
    <w:rsid w:val="00FE5BB7"/>
    <w:rsid w:val="00FE5E4D"/>
    <w:rsid w:val="00FE5F80"/>
    <w:rsid w:val="00FE61A5"/>
    <w:rsid w:val="00FE6317"/>
    <w:rsid w:val="00FE63AA"/>
    <w:rsid w:val="00FE680D"/>
    <w:rsid w:val="00FE6A8A"/>
    <w:rsid w:val="00FE6F50"/>
    <w:rsid w:val="00FE7309"/>
    <w:rsid w:val="00FE7F23"/>
    <w:rsid w:val="00FF012E"/>
    <w:rsid w:val="00FF0B6D"/>
    <w:rsid w:val="00FF16E1"/>
    <w:rsid w:val="00FF1800"/>
    <w:rsid w:val="00FF1C6A"/>
    <w:rsid w:val="00FF1CBC"/>
    <w:rsid w:val="00FF1FEF"/>
    <w:rsid w:val="00FF205D"/>
    <w:rsid w:val="00FF2130"/>
    <w:rsid w:val="00FF2282"/>
    <w:rsid w:val="00FF228B"/>
    <w:rsid w:val="00FF2BB1"/>
    <w:rsid w:val="00FF2BE9"/>
    <w:rsid w:val="00FF2D32"/>
    <w:rsid w:val="00FF2F6B"/>
    <w:rsid w:val="00FF39A8"/>
    <w:rsid w:val="00FF409B"/>
    <w:rsid w:val="00FF46F9"/>
    <w:rsid w:val="00FF5239"/>
    <w:rsid w:val="00FF5539"/>
    <w:rsid w:val="00FF5704"/>
    <w:rsid w:val="00FF657B"/>
    <w:rsid w:val="00FF690A"/>
    <w:rsid w:val="00FF6D25"/>
    <w:rsid w:val="00FF71D2"/>
    <w:rsid w:val="00FF73B9"/>
    <w:rsid w:val="00FF73F8"/>
    <w:rsid w:val="00FF74E5"/>
    <w:rsid w:val="00FF75A8"/>
    <w:rsid w:val="00FF7626"/>
    <w:rsid w:val="00FF7D84"/>
    <w:rsid w:val="00FF7DFD"/>
    <w:rsid w:val="00FF7E57"/>
  </w:rsids>
  <m:mathPr>
    <m:mathFont m:val="Cambria Math"/>
    <m:brkBin m:val="before"/>
    <m:brkBinSub m:val="--"/>
    <m:smallFrac m:val="0"/>
    <m:dispDef/>
    <m:lMargin m:val="0"/>
    <m:rMargin m:val="0"/>
    <m:defJc m:val="left"/>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2569"/>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autoRedefine/>
    <w:rsid w:val="00041538"/>
    <w:pPr>
      <w:tabs>
        <w:tab w:val="right" w:pos="57"/>
      </w:tabs>
      <w:spacing w:before="60" w:line="240" w:lineRule="auto"/>
      <w:ind w:left="425" w:hanging="425"/>
    </w:pPr>
    <w:rPr>
      <w:sz w:val="20"/>
    </w:rPr>
  </w:style>
  <w:style w:type="paragraph" w:customStyle="1" w:styleId="TableAA">
    <w:name w:val="Table(AA)"/>
    <w:aliases w:val="taaa"/>
    <w:basedOn w:val="OPCParaBase"/>
    <w:autoRedefine/>
    <w:rsid w:val="005B0582"/>
    <w:pPr>
      <w:tabs>
        <w:tab w:val="right" w:pos="1418"/>
      </w:tabs>
      <w:spacing w:before="40" w:after="40" w:line="240" w:lineRule="exact"/>
      <w:ind w:left="1531" w:hanging="1531"/>
    </w:pPr>
    <w:rPr>
      <w:sz w:val="20"/>
    </w:rPr>
  </w:style>
  <w:style w:type="paragraph" w:customStyle="1" w:styleId="Tablei">
    <w:name w:val="Table(i)"/>
    <w:aliases w:val="taa"/>
    <w:basedOn w:val="OPCParaBase"/>
    <w:autoRedefine/>
    <w:rsid w:val="006A44C9"/>
    <w:pPr>
      <w:tabs>
        <w:tab w:val="right" w:pos="737"/>
      </w:tabs>
      <w:spacing w:line="240" w:lineRule="exact"/>
      <w:ind w:left="851" w:hanging="851"/>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4962A8"/>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2"/>
    <w:unhideWhenUsed/>
    <w:rsid w:val="00314493"/>
    <w:pPr>
      <w:spacing w:line="240" w:lineRule="auto"/>
    </w:pPr>
    <w:rPr>
      <w:sz w:val="20"/>
    </w:rPr>
  </w:style>
  <w:style w:type="character" w:customStyle="1" w:styleId="FootnoteTextChar">
    <w:name w:val="Footnote Text Char"/>
    <w:basedOn w:val="DefaultParagraphFont"/>
    <w:link w:val="FootnoteText"/>
    <w:uiPriority w:val="2"/>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ShortT"/>
    <w:qFormat/>
    <w:rsid w:val="005B3ADF"/>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link w:val="nDrafterCommentChar"/>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6A44C9"/>
    <w:pPr>
      <w:tabs>
        <w:tab w:val="clear" w:pos="1418"/>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definition0">
    <w:name w:val="definition"/>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2D51A1"/>
    <w:pPr>
      <w:spacing w:before="40"/>
    </w:pPr>
  </w:style>
  <w:style w:type="character" w:styleId="Hyperlink">
    <w:name w:val="Hyperlink"/>
    <w:basedOn w:val="DefaultParagraphFont"/>
    <w:unhideWhenUsed/>
    <w:rsid w:val="00E30ED6"/>
    <w:rPr>
      <w:color w:val="0000FF" w:themeColor="hyperlink"/>
      <w:u w:val="single"/>
    </w:rPr>
  </w:style>
  <w:style w:type="paragraph" w:customStyle="1" w:styleId="acthead50">
    <w:name w:val="acthead5"/>
    <w:basedOn w:val="Normal"/>
    <w:rsid w:val="0049760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97605"/>
  </w:style>
  <w:style w:type="paragraph" w:customStyle="1" w:styleId="notetext0">
    <w:name w:val="notetext"/>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8E4483"/>
  </w:style>
  <w:style w:type="paragraph" w:customStyle="1" w:styleId="Default">
    <w:name w:val="Default"/>
    <w:rsid w:val="0074701E"/>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6F6600"/>
    <w:pPr>
      <w:tabs>
        <w:tab w:val="clear" w:pos="1786"/>
        <w:tab w:val="right" w:pos="2353"/>
      </w:tabs>
      <w:ind w:left="2637" w:hanging="1503"/>
    </w:pPr>
    <w:rPr>
      <w:color w:val="008000"/>
    </w:rPr>
  </w:style>
  <w:style w:type="paragraph" w:customStyle="1" w:styleId="TextBoxtext">
    <w:name w:val="TextBox_text"/>
    <w:basedOn w:val="Normal"/>
    <w:qFormat/>
    <w:rsid w:val="007C5478"/>
    <w:rPr>
      <w:rFonts w:ascii="Arial" w:hAnsi="Arial"/>
    </w:rPr>
  </w:style>
  <w:style w:type="character" w:styleId="FootnoteReference">
    <w:name w:val="footnote reference"/>
    <w:basedOn w:val="DefaultParagraphFont"/>
    <w:uiPriority w:val="99"/>
    <w:unhideWhenUsed/>
    <w:rsid w:val="001C7B93"/>
    <w:rPr>
      <w:vertAlign w:val="superscript"/>
    </w:rPr>
  </w:style>
  <w:style w:type="paragraph" w:styleId="Revision">
    <w:name w:val="Revision"/>
    <w:hidden/>
    <w:uiPriority w:val="99"/>
    <w:semiHidden/>
    <w:rsid w:val="00743F12"/>
    <w:rPr>
      <w:sz w:val="22"/>
    </w:rPr>
  </w:style>
  <w:style w:type="paragraph" w:customStyle="1" w:styleId="Plainparagraph">
    <w:name w:val="Plain paragraph"/>
    <w:basedOn w:val="ActHead3"/>
    <w:rsid w:val="007735AD"/>
    <w:pPr>
      <w:pageBreakBefore/>
    </w:pPr>
    <w:rPr>
      <w:strike/>
      <w:color w:val="0000FF"/>
    </w:rPr>
  </w:style>
  <w:style w:type="character" w:customStyle="1" w:styleId="apple-tab-span">
    <w:name w:val="apple-tab-span"/>
    <w:basedOn w:val="DefaultParagraphFont"/>
    <w:rsid w:val="00376121"/>
  </w:style>
  <w:style w:type="character" w:customStyle="1" w:styleId="nDrafterCommentChar">
    <w:name w:val="n_Drafter_Comment Char"/>
    <w:basedOn w:val="DefaultParagraphFont"/>
    <w:link w:val="nDrafterComment"/>
    <w:locked/>
    <w:rsid w:val="0052132D"/>
    <w:rPr>
      <w:rFonts w:ascii="Arial" w:eastAsia="Calibri" w:hAnsi="Arial" w:cs="Times New Roman"/>
      <w:color w:val="7030A0"/>
      <w:sz w:val="22"/>
    </w:rPr>
  </w:style>
  <w:style w:type="paragraph" w:customStyle="1" w:styleId="NumberLevel1">
    <w:name w:val="Number Level 1"/>
    <w:aliases w:val="N1"/>
    <w:basedOn w:val="Normal"/>
    <w:uiPriority w:val="1"/>
    <w:qFormat/>
    <w:rsid w:val="00BC408B"/>
    <w:pPr>
      <w:numPr>
        <w:numId w:val="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BC408B"/>
    <w:pPr>
      <w:numPr>
        <w:ilvl w:val="1"/>
        <w:numId w:val="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BC408B"/>
    <w:pPr>
      <w:numPr>
        <w:ilvl w:val="2"/>
        <w:numId w:val="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BC408B"/>
    <w:pPr>
      <w:numPr>
        <w:ilvl w:val="3"/>
        <w:numId w:val="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BC408B"/>
    <w:pPr>
      <w:numPr>
        <w:ilvl w:val="4"/>
        <w:numId w:val="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BC408B"/>
    <w:pPr>
      <w:numPr>
        <w:ilvl w:val="5"/>
      </w:numPr>
    </w:pPr>
  </w:style>
  <w:style w:type="paragraph" w:customStyle="1" w:styleId="NumberLevel7">
    <w:name w:val="Number Level 7"/>
    <w:basedOn w:val="NumberLevel6"/>
    <w:uiPriority w:val="1"/>
    <w:semiHidden/>
    <w:rsid w:val="00BC408B"/>
    <w:pPr>
      <w:numPr>
        <w:ilvl w:val="6"/>
      </w:numPr>
    </w:pPr>
  </w:style>
  <w:style w:type="paragraph" w:customStyle="1" w:styleId="NumberLevel8">
    <w:name w:val="Number Level 8"/>
    <w:basedOn w:val="NumberLevel7"/>
    <w:uiPriority w:val="1"/>
    <w:semiHidden/>
    <w:rsid w:val="00BC408B"/>
    <w:pPr>
      <w:numPr>
        <w:ilvl w:val="7"/>
      </w:numPr>
    </w:pPr>
  </w:style>
  <w:style w:type="paragraph" w:customStyle="1" w:styleId="NumberLevel9">
    <w:name w:val="Number Level 9"/>
    <w:basedOn w:val="NumberLevel8"/>
    <w:uiPriority w:val="1"/>
    <w:semiHidden/>
    <w:rsid w:val="00BC408B"/>
    <w:pPr>
      <w:numPr>
        <w:ilvl w:val="8"/>
      </w:numPr>
    </w:pPr>
  </w:style>
  <w:style w:type="numbering" w:styleId="111111">
    <w:name w:val="Outline List 2"/>
    <w:basedOn w:val="NoList"/>
    <w:rsid w:val="00CF41B6"/>
    <w:pPr>
      <w:numPr>
        <w:numId w:val="3"/>
      </w:numPr>
    </w:pPr>
  </w:style>
  <w:style w:type="numbering" w:styleId="1ai">
    <w:name w:val="Outline List 1"/>
    <w:basedOn w:val="NoList"/>
    <w:rsid w:val="00CF41B6"/>
    <w:pPr>
      <w:numPr>
        <w:numId w:val="4"/>
      </w:numPr>
    </w:pPr>
  </w:style>
  <w:style w:type="numbering" w:styleId="ArticleSection">
    <w:name w:val="Outline List 3"/>
    <w:basedOn w:val="NoList"/>
    <w:rsid w:val="00CF41B6"/>
    <w:pPr>
      <w:numPr>
        <w:numId w:val="5"/>
      </w:numPr>
    </w:pPr>
  </w:style>
  <w:style w:type="character" w:styleId="Emphasis">
    <w:name w:val="Emphasis"/>
    <w:basedOn w:val="DefaultParagraphFont"/>
    <w:qFormat/>
    <w:rsid w:val="00CF41B6"/>
    <w:rPr>
      <w:i/>
      <w:iCs/>
    </w:rPr>
  </w:style>
  <w:style w:type="character" w:styleId="FollowedHyperlink">
    <w:name w:val="FollowedHyperlink"/>
    <w:basedOn w:val="DefaultParagraphFont"/>
    <w:rsid w:val="00CF41B6"/>
    <w:rPr>
      <w:color w:val="800080"/>
      <w:u w:val="single"/>
    </w:rPr>
  </w:style>
  <w:style w:type="character" w:styleId="HTMLAcronym">
    <w:name w:val="HTML Acronym"/>
    <w:basedOn w:val="DefaultParagraphFont"/>
    <w:rsid w:val="00CF41B6"/>
  </w:style>
  <w:style w:type="character" w:styleId="HTMLCite">
    <w:name w:val="HTML Cite"/>
    <w:basedOn w:val="DefaultParagraphFont"/>
    <w:rsid w:val="00CF41B6"/>
    <w:rPr>
      <w:i/>
      <w:iCs/>
    </w:rPr>
  </w:style>
  <w:style w:type="character" w:styleId="HTMLCode">
    <w:name w:val="HTML Code"/>
    <w:basedOn w:val="DefaultParagraphFont"/>
    <w:rsid w:val="00CF41B6"/>
    <w:rPr>
      <w:rFonts w:ascii="Courier New" w:hAnsi="Courier New" w:cs="Courier New"/>
      <w:sz w:val="20"/>
      <w:szCs w:val="20"/>
    </w:rPr>
  </w:style>
  <w:style w:type="character" w:styleId="HTMLDefinition">
    <w:name w:val="HTML Definition"/>
    <w:basedOn w:val="DefaultParagraphFont"/>
    <w:rsid w:val="00CF41B6"/>
    <w:rPr>
      <w:i/>
      <w:iCs/>
    </w:rPr>
  </w:style>
  <w:style w:type="character" w:styleId="HTMLKeyboard">
    <w:name w:val="HTML Keyboard"/>
    <w:basedOn w:val="DefaultParagraphFont"/>
    <w:rsid w:val="00CF41B6"/>
    <w:rPr>
      <w:rFonts w:ascii="Courier New" w:hAnsi="Courier New" w:cs="Courier New"/>
      <w:sz w:val="20"/>
      <w:szCs w:val="20"/>
    </w:rPr>
  </w:style>
  <w:style w:type="character" w:styleId="HTMLSample">
    <w:name w:val="HTML Sample"/>
    <w:basedOn w:val="DefaultParagraphFont"/>
    <w:rsid w:val="00CF41B6"/>
    <w:rPr>
      <w:rFonts w:ascii="Courier New" w:hAnsi="Courier New" w:cs="Courier New"/>
    </w:rPr>
  </w:style>
  <w:style w:type="character" w:styleId="HTMLTypewriter">
    <w:name w:val="HTML Typewriter"/>
    <w:basedOn w:val="DefaultParagraphFont"/>
    <w:rsid w:val="00CF41B6"/>
    <w:rPr>
      <w:rFonts w:ascii="Courier New" w:hAnsi="Courier New" w:cs="Courier New"/>
      <w:sz w:val="20"/>
      <w:szCs w:val="20"/>
    </w:rPr>
  </w:style>
  <w:style w:type="character" w:styleId="HTMLVariable">
    <w:name w:val="HTML Variable"/>
    <w:basedOn w:val="DefaultParagraphFont"/>
    <w:rsid w:val="00CF41B6"/>
    <w:rPr>
      <w:i/>
      <w:iCs/>
    </w:rPr>
  </w:style>
  <w:style w:type="character" w:styleId="PageNumber">
    <w:name w:val="page number"/>
    <w:basedOn w:val="DefaultParagraphFont"/>
    <w:rsid w:val="00CF41B6"/>
  </w:style>
  <w:style w:type="character" w:styleId="Strong">
    <w:name w:val="Strong"/>
    <w:basedOn w:val="DefaultParagraphFont"/>
    <w:qFormat/>
    <w:rsid w:val="00CF41B6"/>
    <w:rPr>
      <w:b/>
      <w:bCs/>
    </w:rPr>
  </w:style>
  <w:style w:type="table" w:styleId="Table3Deffects1">
    <w:name w:val="Table 3D effects 1"/>
    <w:basedOn w:val="TableNormal"/>
    <w:rsid w:val="00CF41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1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1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1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1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1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1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1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1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1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1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1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1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41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1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1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1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1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1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1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1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1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1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1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41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1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1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1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41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41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1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1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rsid w:val="00CF41B6"/>
    <w:rPr>
      <w:vertAlign w:val="superscript"/>
    </w:rPr>
  </w:style>
  <w:style w:type="paragraph" w:customStyle="1" w:styleId="Schedulereferenceleft">
    <w:name w:val="Schedule reference left"/>
    <w:basedOn w:val="Normal"/>
    <w:rsid w:val="00CF41B6"/>
    <w:pPr>
      <w:keepNext/>
      <w:keepLines/>
      <w:spacing w:before="60" w:line="200" w:lineRule="exact"/>
      <w:jc w:val="both"/>
    </w:pPr>
    <w:rPr>
      <w:rFonts w:ascii="Arial" w:hAnsi="Arial"/>
      <w:sz w:val="18"/>
    </w:rPr>
  </w:style>
  <w:style w:type="paragraph" w:customStyle="1" w:styleId="ActHead10">
    <w:name w:val="ActHead 10"/>
    <w:aliases w:val="sp"/>
    <w:basedOn w:val="OPCParaBase"/>
    <w:next w:val="ActHead3"/>
    <w:rsid w:val="00CF41B6"/>
    <w:pPr>
      <w:keepNext/>
      <w:spacing w:before="280" w:line="240" w:lineRule="auto"/>
      <w:outlineLvl w:val="1"/>
    </w:pPr>
    <w:rPr>
      <w:b/>
      <w:sz w:val="32"/>
      <w:szCs w:val="30"/>
    </w:rPr>
  </w:style>
  <w:style w:type="numbering" w:customStyle="1" w:styleId="1ai1">
    <w:name w:val="1 / a / i1"/>
    <w:basedOn w:val="NoList"/>
    <w:next w:val="1ai"/>
    <w:rsid w:val="00CF41B6"/>
  </w:style>
  <w:style w:type="paragraph" w:customStyle="1" w:styleId="Schedulepara">
    <w:name w:val="Schedule para"/>
    <w:basedOn w:val="Normal"/>
    <w:rsid w:val="00CF41B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CF41B6"/>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CF41B6"/>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CF41B6"/>
  </w:style>
  <w:style w:type="character" w:customStyle="1" w:styleId="CharSchPTText">
    <w:name w:val="CharSchPTText"/>
    <w:basedOn w:val="DefaultParagraphFont"/>
    <w:rsid w:val="00CF41B6"/>
  </w:style>
  <w:style w:type="paragraph" w:customStyle="1" w:styleId="Schedulereference">
    <w:name w:val="Schedule reference"/>
    <w:basedOn w:val="Normal"/>
    <w:next w:val="Schedulepart"/>
    <w:rsid w:val="00CF41B6"/>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CF41B6"/>
  </w:style>
  <w:style w:type="character" w:customStyle="1" w:styleId="charCitation">
    <w:name w:val="charCitation"/>
    <w:basedOn w:val="DefaultParagraphFont"/>
    <w:rsid w:val="00CF41B6"/>
  </w:style>
  <w:style w:type="character" w:customStyle="1" w:styleId="CharSchNo">
    <w:name w:val="CharSchNo"/>
    <w:basedOn w:val="DefaultParagraphFont"/>
    <w:rsid w:val="00CF41B6"/>
  </w:style>
  <w:style w:type="character" w:customStyle="1" w:styleId="CharSchText">
    <w:name w:val="CharSchText"/>
    <w:basedOn w:val="DefaultParagraphFont"/>
    <w:rsid w:val="00CF41B6"/>
  </w:style>
  <w:style w:type="table" w:customStyle="1" w:styleId="TableGeneral">
    <w:name w:val="TableGeneral"/>
    <w:basedOn w:val="TableNormal"/>
    <w:semiHidden/>
    <w:rsid w:val="00CF41B6"/>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CF41B6"/>
  </w:style>
  <w:style w:type="character" w:customStyle="1" w:styleId="CharAmSchPTNo">
    <w:name w:val="CharAmSchPTNo"/>
    <w:basedOn w:val="DefaultParagraphFont"/>
    <w:rsid w:val="00CF41B6"/>
  </w:style>
  <w:style w:type="character" w:customStyle="1" w:styleId="ItemHeadChar">
    <w:name w:val="ItemHead Char"/>
    <w:aliases w:val="ih Char"/>
    <w:link w:val="ItemHead"/>
    <w:rsid w:val="00CF41B6"/>
    <w:rPr>
      <w:rFonts w:ascii="Arial" w:eastAsia="Times New Roman" w:hAnsi="Arial" w:cs="Times New Roman"/>
      <w:b/>
      <w:kern w:val="28"/>
      <w:sz w:val="24"/>
      <w:lang w:eastAsia="en-AU"/>
    </w:rPr>
  </w:style>
  <w:style w:type="paragraph" w:customStyle="1" w:styleId="TerritoryT">
    <w:name w:val="TerritoryT"/>
    <w:basedOn w:val="OPCParaBase"/>
    <w:next w:val="Normal"/>
    <w:rsid w:val="00CF41B6"/>
    <w:rPr>
      <w:b/>
      <w:sz w:val="32"/>
    </w:rPr>
  </w:style>
  <w:style w:type="character" w:customStyle="1" w:styleId="charlegsubtitle1">
    <w:name w:val="charlegsubtitle1"/>
    <w:basedOn w:val="DefaultParagraphFont"/>
    <w:rsid w:val="00CF41B6"/>
    <w:rPr>
      <w:rFonts w:ascii="Helvetica Neue" w:hAnsi="Helvetica Neue" w:hint="default"/>
      <w:b/>
      <w:bCs/>
      <w:sz w:val="28"/>
      <w:szCs w:val="28"/>
    </w:rPr>
  </w:style>
  <w:style w:type="paragraph" w:customStyle="1" w:styleId="EnStatement">
    <w:name w:val="EnStatement"/>
    <w:basedOn w:val="Normal"/>
    <w:rsid w:val="00CF41B6"/>
    <w:pPr>
      <w:numPr>
        <w:numId w:val="6"/>
      </w:numPr>
    </w:pPr>
    <w:rPr>
      <w:rFonts w:eastAsia="Times New Roman" w:cs="Times New Roman"/>
      <w:lang w:eastAsia="en-AU"/>
    </w:rPr>
  </w:style>
  <w:style w:type="paragraph" w:customStyle="1" w:styleId="EnStatementHeading">
    <w:name w:val="EnStatementHeading"/>
    <w:basedOn w:val="Normal"/>
    <w:rsid w:val="00CF41B6"/>
    <w:rPr>
      <w:rFonts w:eastAsia="Times New Roman" w:cs="Times New Roman"/>
      <w:b/>
      <w:lang w:eastAsia="en-AU"/>
    </w:rPr>
  </w:style>
  <w:style w:type="paragraph" w:customStyle="1" w:styleId="Transitional">
    <w:name w:val="Transitional"/>
    <w:aliases w:val="tr"/>
    <w:basedOn w:val="Normal"/>
    <w:next w:val="Normal"/>
    <w:rsid w:val="00CF41B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F41B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CF41B6"/>
    <w:rPr>
      <w:rFonts w:eastAsia="Times New Roman" w:cs="Times New Roman"/>
      <w:lang w:eastAsia="en-AU"/>
    </w:rPr>
  </w:style>
  <w:style w:type="paragraph" w:customStyle="1" w:styleId="CommencementTable">
    <w:name w:val="CommencementTable"/>
    <w:basedOn w:val="Normal"/>
    <w:autoRedefine/>
    <w:qFormat/>
    <w:rsid w:val="00B04341"/>
    <w:pPr>
      <w:spacing w:line="240" w:lineRule="auto"/>
    </w:pPr>
    <w:rPr>
      <w:sz w:val="16"/>
    </w:rPr>
  </w:style>
  <w:style w:type="character" w:customStyle="1" w:styleId="apple-converted-space">
    <w:name w:val="apple-converted-space"/>
    <w:basedOn w:val="DefaultParagraphFont"/>
    <w:rsid w:val="00975B55"/>
  </w:style>
  <w:style w:type="table" w:styleId="LightGrid-Accent3">
    <w:name w:val="Light Grid Accent 3"/>
    <w:basedOn w:val="TableNormal"/>
    <w:uiPriority w:val="62"/>
    <w:rsid w:val="007B5FF6"/>
    <w:rPr>
      <w:rFonts w:asciiTheme="minorHAnsi" w:hAnsi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base-text-paragraph">
    <w:name w:val="base-text-paragraph"/>
    <w:rsid w:val="005231E5"/>
    <w:pPr>
      <w:numPr>
        <w:numId w:val="11"/>
      </w:numPr>
      <w:spacing w:before="120" w:after="120"/>
    </w:pPr>
    <w:rPr>
      <w:rFonts w:eastAsia="Times New Roman" w:cs="Times New Roman"/>
      <w:sz w:val="22"/>
      <w:lang w:eastAsia="en-AU"/>
    </w:rPr>
  </w:style>
  <w:style w:type="paragraph" w:customStyle="1" w:styleId="OutlineNumbered1">
    <w:name w:val="Outline Numbered 1"/>
    <w:basedOn w:val="Normal"/>
    <w:link w:val="OutlineNumbered1Char"/>
    <w:rsid w:val="00696A1A"/>
    <w:pPr>
      <w:numPr>
        <w:numId w:val="12"/>
      </w:numPr>
      <w:spacing w:after="160" w:line="259" w:lineRule="auto"/>
    </w:pPr>
    <w:rPr>
      <w:rFonts w:asciiTheme="minorHAnsi" w:hAnsiTheme="minorHAnsi"/>
      <w:iCs/>
      <w:color w:val="FF0000"/>
      <w:szCs w:val="22"/>
    </w:rPr>
  </w:style>
  <w:style w:type="character" w:customStyle="1" w:styleId="OutlineNumbered1Char">
    <w:name w:val="Outline Numbered 1 Char"/>
    <w:basedOn w:val="DefaultParagraphFont"/>
    <w:link w:val="OutlineNumbered1"/>
    <w:rsid w:val="00696A1A"/>
    <w:rPr>
      <w:rFonts w:asciiTheme="minorHAnsi" w:hAnsiTheme="minorHAnsi"/>
      <w:iCs/>
      <w:color w:val="FF0000"/>
      <w:sz w:val="22"/>
      <w:szCs w:val="22"/>
    </w:rPr>
  </w:style>
  <w:style w:type="paragraph" w:customStyle="1" w:styleId="OutlineNumbered2">
    <w:name w:val="Outline Numbered 2"/>
    <w:basedOn w:val="Normal"/>
    <w:rsid w:val="00696A1A"/>
    <w:pPr>
      <w:numPr>
        <w:ilvl w:val="1"/>
        <w:numId w:val="12"/>
      </w:numPr>
      <w:spacing w:after="160" w:line="259" w:lineRule="auto"/>
    </w:pPr>
    <w:rPr>
      <w:rFonts w:asciiTheme="minorHAnsi" w:hAnsiTheme="minorHAnsi"/>
      <w:iCs/>
      <w:color w:val="FF0000"/>
      <w:szCs w:val="22"/>
    </w:rPr>
  </w:style>
  <w:style w:type="paragraph" w:customStyle="1" w:styleId="OutlineNumbered3">
    <w:name w:val="Outline Numbered 3"/>
    <w:basedOn w:val="Normal"/>
    <w:link w:val="OutlineNumbered3Char"/>
    <w:rsid w:val="00696A1A"/>
    <w:pPr>
      <w:numPr>
        <w:ilvl w:val="2"/>
        <w:numId w:val="12"/>
      </w:numPr>
      <w:spacing w:after="160" w:line="259" w:lineRule="auto"/>
    </w:pPr>
    <w:rPr>
      <w:rFonts w:asciiTheme="minorHAnsi" w:hAnsiTheme="minorHAnsi"/>
      <w:iCs/>
      <w:color w:val="FF0000"/>
      <w:szCs w:val="22"/>
    </w:rPr>
  </w:style>
  <w:style w:type="paragraph" w:customStyle="1" w:styleId="subsectionhead0">
    <w:name w:val="subsectionhead"/>
    <w:basedOn w:val="Normal"/>
    <w:rsid w:val="005848BC"/>
    <w:pPr>
      <w:spacing w:before="100" w:beforeAutospacing="1" w:after="100" w:afterAutospacing="1" w:line="240" w:lineRule="auto"/>
    </w:pPr>
    <w:rPr>
      <w:rFonts w:eastAsia="Times New Roman" w:cs="Times New Roman"/>
      <w:sz w:val="24"/>
      <w:szCs w:val="24"/>
      <w:lang w:eastAsia="en-AU"/>
    </w:rPr>
  </w:style>
  <w:style w:type="character" w:customStyle="1" w:styleId="UnresolvedMention1">
    <w:name w:val="Unresolved Mention1"/>
    <w:basedOn w:val="DefaultParagraphFont"/>
    <w:uiPriority w:val="99"/>
    <w:semiHidden/>
    <w:unhideWhenUsed/>
    <w:rsid w:val="00814B58"/>
    <w:rPr>
      <w:color w:val="605E5C"/>
      <w:shd w:val="clear" w:color="auto" w:fill="E1DFDD"/>
    </w:rPr>
  </w:style>
  <w:style w:type="character" w:customStyle="1" w:styleId="OutlineNumbered3Char">
    <w:name w:val="Outline Numbered 3 Char"/>
    <w:basedOn w:val="DefaultParagraphFont"/>
    <w:link w:val="OutlineNumbered3"/>
    <w:rsid w:val="00814B58"/>
    <w:rPr>
      <w:rFonts w:asciiTheme="minorHAnsi" w:hAnsiTheme="minorHAnsi"/>
      <w:iCs/>
      <w:color w:val="FF0000"/>
      <w:sz w:val="22"/>
      <w:szCs w:val="22"/>
    </w:rPr>
  </w:style>
  <w:style w:type="paragraph" w:customStyle="1" w:styleId="Bullet">
    <w:name w:val="Bullet"/>
    <w:basedOn w:val="Normal"/>
    <w:link w:val="BulletChar"/>
    <w:rsid w:val="00814B58"/>
    <w:pPr>
      <w:numPr>
        <w:numId w:val="13"/>
      </w:numPr>
      <w:spacing w:after="160" w:line="259" w:lineRule="auto"/>
    </w:pPr>
    <w:rPr>
      <w:rFonts w:ascii="Calibri" w:eastAsia="Times New Roman" w:hAnsi="Calibri" w:cs="Calibri"/>
      <w:szCs w:val="22"/>
    </w:rPr>
  </w:style>
  <w:style w:type="character" w:customStyle="1" w:styleId="BulletChar">
    <w:name w:val="Bullet Char"/>
    <w:basedOn w:val="DefaultParagraphFont"/>
    <w:link w:val="Bullet"/>
    <w:rsid w:val="00814B58"/>
    <w:rPr>
      <w:rFonts w:ascii="Calibri" w:eastAsia="Times New Roman" w:hAnsi="Calibri" w:cs="Calibri"/>
      <w:sz w:val="22"/>
      <w:szCs w:val="22"/>
    </w:rPr>
  </w:style>
  <w:style w:type="paragraph" w:customStyle="1" w:styleId="Dash">
    <w:name w:val="Dash"/>
    <w:basedOn w:val="Normal"/>
    <w:rsid w:val="00814B58"/>
    <w:pPr>
      <w:numPr>
        <w:ilvl w:val="1"/>
        <w:numId w:val="13"/>
      </w:numPr>
      <w:spacing w:after="160" w:line="259" w:lineRule="auto"/>
    </w:pPr>
    <w:rPr>
      <w:rFonts w:ascii="Calibri" w:eastAsia="Times New Roman" w:hAnsi="Calibri" w:cs="Calibri"/>
      <w:szCs w:val="22"/>
    </w:rPr>
  </w:style>
  <w:style w:type="paragraph" w:customStyle="1" w:styleId="DoubleDot">
    <w:name w:val="Double Dot"/>
    <w:basedOn w:val="Normal"/>
    <w:rsid w:val="00814B58"/>
    <w:pPr>
      <w:numPr>
        <w:ilvl w:val="2"/>
        <w:numId w:val="13"/>
      </w:numPr>
      <w:spacing w:after="160" w:line="259" w:lineRule="auto"/>
    </w:pPr>
    <w:rPr>
      <w:rFonts w:ascii="Calibri" w:eastAsia="Times New Roman"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40">
      <w:bodyDiv w:val="1"/>
      <w:marLeft w:val="0"/>
      <w:marRight w:val="0"/>
      <w:marTop w:val="0"/>
      <w:marBottom w:val="0"/>
      <w:divBdr>
        <w:top w:val="none" w:sz="0" w:space="0" w:color="auto"/>
        <w:left w:val="none" w:sz="0" w:space="0" w:color="auto"/>
        <w:bottom w:val="none" w:sz="0" w:space="0" w:color="auto"/>
        <w:right w:val="none" w:sz="0" w:space="0" w:color="auto"/>
      </w:divBdr>
    </w:div>
    <w:div w:id="38166597">
      <w:bodyDiv w:val="1"/>
      <w:marLeft w:val="0"/>
      <w:marRight w:val="0"/>
      <w:marTop w:val="0"/>
      <w:marBottom w:val="0"/>
      <w:divBdr>
        <w:top w:val="none" w:sz="0" w:space="0" w:color="auto"/>
        <w:left w:val="none" w:sz="0" w:space="0" w:color="auto"/>
        <w:bottom w:val="none" w:sz="0" w:space="0" w:color="auto"/>
        <w:right w:val="none" w:sz="0" w:space="0" w:color="auto"/>
      </w:divBdr>
    </w:div>
    <w:div w:id="74280056">
      <w:bodyDiv w:val="1"/>
      <w:marLeft w:val="0"/>
      <w:marRight w:val="0"/>
      <w:marTop w:val="0"/>
      <w:marBottom w:val="0"/>
      <w:divBdr>
        <w:top w:val="none" w:sz="0" w:space="0" w:color="auto"/>
        <w:left w:val="none" w:sz="0" w:space="0" w:color="auto"/>
        <w:bottom w:val="none" w:sz="0" w:space="0" w:color="auto"/>
        <w:right w:val="none" w:sz="0" w:space="0" w:color="auto"/>
      </w:divBdr>
    </w:div>
    <w:div w:id="83772438">
      <w:bodyDiv w:val="1"/>
      <w:marLeft w:val="0"/>
      <w:marRight w:val="0"/>
      <w:marTop w:val="0"/>
      <w:marBottom w:val="0"/>
      <w:divBdr>
        <w:top w:val="none" w:sz="0" w:space="0" w:color="auto"/>
        <w:left w:val="none" w:sz="0" w:space="0" w:color="auto"/>
        <w:bottom w:val="none" w:sz="0" w:space="0" w:color="auto"/>
        <w:right w:val="none" w:sz="0" w:space="0" w:color="auto"/>
      </w:divBdr>
    </w:div>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140317479">
      <w:bodyDiv w:val="1"/>
      <w:marLeft w:val="0"/>
      <w:marRight w:val="0"/>
      <w:marTop w:val="0"/>
      <w:marBottom w:val="0"/>
      <w:divBdr>
        <w:top w:val="none" w:sz="0" w:space="0" w:color="auto"/>
        <w:left w:val="none" w:sz="0" w:space="0" w:color="auto"/>
        <w:bottom w:val="none" w:sz="0" w:space="0" w:color="auto"/>
        <w:right w:val="none" w:sz="0" w:space="0" w:color="auto"/>
      </w:divBdr>
    </w:div>
    <w:div w:id="141626139">
      <w:bodyDiv w:val="1"/>
      <w:marLeft w:val="0"/>
      <w:marRight w:val="0"/>
      <w:marTop w:val="0"/>
      <w:marBottom w:val="0"/>
      <w:divBdr>
        <w:top w:val="none" w:sz="0" w:space="0" w:color="auto"/>
        <w:left w:val="none" w:sz="0" w:space="0" w:color="auto"/>
        <w:bottom w:val="none" w:sz="0" w:space="0" w:color="auto"/>
        <w:right w:val="none" w:sz="0" w:space="0" w:color="auto"/>
      </w:divBdr>
    </w:div>
    <w:div w:id="147599108">
      <w:bodyDiv w:val="1"/>
      <w:marLeft w:val="0"/>
      <w:marRight w:val="0"/>
      <w:marTop w:val="0"/>
      <w:marBottom w:val="0"/>
      <w:divBdr>
        <w:top w:val="none" w:sz="0" w:space="0" w:color="auto"/>
        <w:left w:val="none" w:sz="0" w:space="0" w:color="auto"/>
        <w:bottom w:val="none" w:sz="0" w:space="0" w:color="auto"/>
        <w:right w:val="none" w:sz="0" w:space="0" w:color="auto"/>
      </w:divBdr>
    </w:div>
    <w:div w:id="156001363">
      <w:bodyDiv w:val="1"/>
      <w:marLeft w:val="0"/>
      <w:marRight w:val="0"/>
      <w:marTop w:val="0"/>
      <w:marBottom w:val="0"/>
      <w:divBdr>
        <w:top w:val="none" w:sz="0" w:space="0" w:color="auto"/>
        <w:left w:val="none" w:sz="0" w:space="0" w:color="auto"/>
        <w:bottom w:val="none" w:sz="0" w:space="0" w:color="auto"/>
        <w:right w:val="none" w:sz="0" w:space="0" w:color="auto"/>
      </w:divBdr>
    </w:div>
    <w:div w:id="184095459">
      <w:bodyDiv w:val="1"/>
      <w:marLeft w:val="0"/>
      <w:marRight w:val="0"/>
      <w:marTop w:val="0"/>
      <w:marBottom w:val="0"/>
      <w:divBdr>
        <w:top w:val="none" w:sz="0" w:space="0" w:color="auto"/>
        <w:left w:val="none" w:sz="0" w:space="0" w:color="auto"/>
        <w:bottom w:val="none" w:sz="0" w:space="0" w:color="auto"/>
        <w:right w:val="none" w:sz="0" w:space="0" w:color="auto"/>
      </w:divBdr>
    </w:div>
    <w:div w:id="199519147">
      <w:bodyDiv w:val="1"/>
      <w:marLeft w:val="0"/>
      <w:marRight w:val="0"/>
      <w:marTop w:val="0"/>
      <w:marBottom w:val="0"/>
      <w:divBdr>
        <w:top w:val="none" w:sz="0" w:space="0" w:color="auto"/>
        <w:left w:val="none" w:sz="0" w:space="0" w:color="auto"/>
        <w:bottom w:val="none" w:sz="0" w:space="0" w:color="auto"/>
        <w:right w:val="none" w:sz="0" w:space="0" w:color="auto"/>
      </w:divBdr>
    </w:div>
    <w:div w:id="217254297">
      <w:bodyDiv w:val="1"/>
      <w:marLeft w:val="0"/>
      <w:marRight w:val="0"/>
      <w:marTop w:val="0"/>
      <w:marBottom w:val="0"/>
      <w:divBdr>
        <w:top w:val="none" w:sz="0" w:space="0" w:color="auto"/>
        <w:left w:val="none" w:sz="0" w:space="0" w:color="auto"/>
        <w:bottom w:val="none" w:sz="0" w:space="0" w:color="auto"/>
        <w:right w:val="none" w:sz="0" w:space="0" w:color="auto"/>
      </w:divBdr>
    </w:div>
    <w:div w:id="217788690">
      <w:bodyDiv w:val="1"/>
      <w:marLeft w:val="0"/>
      <w:marRight w:val="0"/>
      <w:marTop w:val="0"/>
      <w:marBottom w:val="0"/>
      <w:divBdr>
        <w:top w:val="none" w:sz="0" w:space="0" w:color="auto"/>
        <w:left w:val="none" w:sz="0" w:space="0" w:color="auto"/>
        <w:bottom w:val="none" w:sz="0" w:space="0" w:color="auto"/>
        <w:right w:val="none" w:sz="0" w:space="0" w:color="auto"/>
      </w:divBdr>
    </w:div>
    <w:div w:id="226108543">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239144316">
      <w:bodyDiv w:val="1"/>
      <w:marLeft w:val="0"/>
      <w:marRight w:val="0"/>
      <w:marTop w:val="0"/>
      <w:marBottom w:val="0"/>
      <w:divBdr>
        <w:top w:val="none" w:sz="0" w:space="0" w:color="auto"/>
        <w:left w:val="none" w:sz="0" w:space="0" w:color="auto"/>
        <w:bottom w:val="none" w:sz="0" w:space="0" w:color="auto"/>
        <w:right w:val="none" w:sz="0" w:space="0" w:color="auto"/>
      </w:divBdr>
    </w:div>
    <w:div w:id="266929675">
      <w:bodyDiv w:val="1"/>
      <w:marLeft w:val="0"/>
      <w:marRight w:val="0"/>
      <w:marTop w:val="0"/>
      <w:marBottom w:val="0"/>
      <w:divBdr>
        <w:top w:val="none" w:sz="0" w:space="0" w:color="auto"/>
        <w:left w:val="none" w:sz="0" w:space="0" w:color="auto"/>
        <w:bottom w:val="none" w:sz="0" w:space="0" w:color="auto"/>
        <w:right w:val="none" w:sz="0" w:space="0" w:color="auto"/>
      </w:divBdr>
    </w:div>
    <w:div w:id="304891298">
      <w:bodyDiv w:val="1"/>
      <w:marLeft w:val="0"/>
      <w:marRight w:val="0"/>
      <w:marTop w:val="0"/>
      <w:marBottom w:val="0"/>
      <w:divBdr>
        <w:top w:val="none" w:sz="0" w:space="0" w:color="auto"/>
        <w:left w:val="none" w:sz="0" w:space="0" w:color="auto"/>
        <w:bottom w:val="none" w:sz="0" w:space="0" w:color="auto"/>
        <w:right w:val="none" w:sz="0" w:space="0" w:color="auto"/>
      </w:divBdr>
    </w:div>
    <w:div w:id="310646957">
      <w:bodyDiv w:val="1"/>
      <w:marLeft w:val="0"/>
      <w:marRight w:val="0"/>
      <w:marTop w:val="0"/>
      <w:marBottom w:val="0"/>
      <w:divBdr>
        <w:top w:val="none" w:sz="0" w:space="0" w:color="auto"/>
        <w:left w:val="none" w:sz="0" w:space="0" w:color="auto"/>
        <w:bottom w:val="none" w:sz="0" w:space="0" w:color="auto"/>
        <w:right w:val="none" w:sz="0" w:space="0" w:color="auto"/>
      </w:divBdr>
    </w:div>
    <w:div w:id="330721291">
      <w:bodyDiv w:val="1"/>
      <w:marLeft w:val="0"/>
      <w:marRight w:val="0"/>
      <w:marTop w:val="0"/>
      <w:marBottom w:val="0"/>
      <w:divBdr>
        <w:top w:val="none" w:sz="0" w:space="0" w:color="auto"/>
        <w:left w:val="none" w:sz="0" w:space="0" w:color="auto"/>
        <w:bottom w:val="none" w:sz="0" w:space="0" w:color="auto"/>
        <w:right w:val="none" w:sz="0" w:space="0" w:color="auto"/>
      </w:divBdr>
    </w:div>
    <w:div w:id="341587510">
      <w:bodyDiv w:val="1"/>
      <w:marLeft w:val="0"/>
      <w:marRight w:val="0"/>
      <w:marTop w:val="0"/>
      <w:marBottom w:val="0"/>
      <w:divBdr>
        <w:top w:val="none" w:sz="0" w:space="0" w:color="auto"/>
        <w:left w:val="none" w:sz="0" w:space="0" w:color="auto"/>
        <w:bottom w:val="none" w:sz="0" w:space="0" w:color="auto"/>
        <w:right w:val="none" w:sz="0" w:space="0" w:color="auto"/>
      </w:divBdr>
    </w:div>
    <w:div w:id="375469721">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389303647">
      <w:bodyDiv w:val="1"/>
      <w:marLeft w:val="0"/>
      <w:marRight w:val="0"/>
      <w:marTop w:val="0"/>
      <w:marBottom w:val="0"/>
      <w:divBdr>
        <w:top w:val="none" w:sz="0" w:space="0" w:color="auto"/>
        <w:left w:val="none" w:sz="0" w:space="0" w:color="auto"/>
        <w:bottom w:val="none" w:sz="0" w:space="0" w:color="auto"/>
        <w:right w:val="none" w:sz="0" w:space="0" w:color="auto"/>
      </w:divBdr>
    </w:div>
    <w:div w:id="404570062">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
    <w:div w:id="425662765">
      <w:bodyDiv w:val="1"/>
      <w:marLeft w:val="0"/>
      <w:marRight w:val="0"/>
      <w:marTop w:val="0"/>
      <w:marBottom w:val="0"/>
      <w:divBdr>
        <w:top w:val="none" w:sz="0" w:space="0" w:color="auto"/>
        <w:left w:val="none" w:sz="0" w:space="0" w:color="auto"/>
        <w:bottom w:val="none" w:sz="0" w:space="0" w:color="auto"/>
        <w:right w:val="none" w:sz="0" w:space="0" w:color="auto"/>
      </w:divBdr>
    </w:div>
    <w:div w:id="460342515">
      <w:bodyDiv w:val="1"/>
      <w:marLeft w:val="0"/>
      <w:marRight w:val="0"/>
      <w:marTop w:val="0"/>
      <w:marBottom w:val="0"/>
      <w:divBdr>
        <w:top w:val="none" w:sz="0" w:space="0" w:color="auto"/>
        <w:left w:val="none" w:sz="0" w:space="0" w:color="auto"/>
        <w:bottom w:val="none" w:sz="0" w:space="0" w:color="auto"/>
        <w:right w:val="none" w:sz="0" w:space="0" w:color="auto"/>
      </w:divBdr>
    </w:div>
    <w:div w:id="469833203">
      <w:bodyDiv w:val="1"/>
      <w:marLeft w:val="0"/>
      <w:marRight w:val="0"/>
      <w:marTop w:val="0"/>
      <w:marBottom w:val="0"/>
      <w:divBdr>
        <w:top w:val="none" w:sz="0" w:space="0" w:color="auto"/>
        <w:left w:val="none" w:sz="0" w:space="0" w:color="auto"/>
        <w:bottom w:val="none" w:sz="0" w:space="0" w:color="auto"/>
        <w:right w:val="none" w:sz="0" w:space="0" w:color="auto"/>
      </w:divBdr>
    </w:div>
    <w:div w:id="488400493">
      <w:bodyDiv w:val="1"/>
      <w:marLeft w:val="0"/>
      <w:marRight w:val="0"/>
      <w:marTop w:val="0"/>
      <w:marBottom w:val="0"/>
      <w:divBdr>
        <w:top w:val="none" w:sz="0" w:space="0" w:color="auto"/>
        <w:left w:val="none" w:sz="0" w:space="0" w:color="auto"/>
        <w:bottom w:val="none" w:sz="0" w:space="0" w:color="auto"/>
        <w:right w:val="none" w:sz="0" w:space="0" w:color="auto"/>
      </w:divBdr>
    </w:div>
    <w:div w:id="501435067">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535431846">
      <w:bodyDiv w:val="1"/>
      <w:marLeft w:val="0"/>
      <w:marRight w:val="0"/>
      <w:marTop w:val="0"/>
      <w:marBottom w:val="0"/>
      <w:divBdr>
        <w:top w:val="none" w:sz="0" w:space="0" w:color="auto"/>
        <w:left w:val="none" w:sz="0" w:space="0" w:color="auto"/>
        <w:bottom w:val="none" w:sz="0" w:space="0" w:color="auto"/>
        <w:right w:val="none" w:sz="0" w:space="0" w:color="auto"/>
      </w:divBdr>
    </w:div>
    <w:div w:id="546532069">
      <w:bodyDiv w:val="1"/>
      <w:marLeft w:val="0"/>
      <w:marRight w:val="0"/>
      <w:marTop w:val="0"/>
      <w:marBottom w:val="0"/>
      <w:divBdr>
        <w:top w:val="none" w:sz="0" w:space="0" w:color="auto"/>
        <w:left w:val="none" w:sz="0" w:space="0" w:color="auto"/>
        <w:bottom w:val="none" w:sz="0" w:space="0" w:color="auto"/>
        <w:right w:val="none" w:sz="0" w:space="0" w:color="auto"/>
      </w:divBdr>
    </w:div>
    <w:div w:id="547686148">
      <w:bodyDiv w:val="1"/>
      <w:marLeft w:val="0"/>
      <w:marRight w:val="0"/>
      <w:marTop w:val="0"/>
      <w:marBottom w:val="0"/>
      <w:divBdr>
        <w:top w:val="none" w:sz="0" w:space="0" w:color="auto"/>
        <w:left w:val="none" w:sz="0" w:space="0" w:color="auto"/>
        <w:bottom w:val="none" w:sz="0" w:space="0" w:color="auto"/>
        <w:right w:val="none" w:sz="0" w:space="0" w:color="auto"/>
      </w:divBdr>
    </w:div>
    <w:div w:id="575018147">
      <w:bodyDiv w:val="1"/>
      <w:marLeft w:val="0"/>
      <w:marRight w:val="0"/>
      <w:marTop w:val="0"/>
      <w:marBottom w:val="0"/>
      <w:divBdr>
        <w:top w:val="none" w:sz="0" w:space="0" w:color="auto"/>
        <w:left w:val="none" w:sz="0" w:space="0" w:color="auto"/>
        <w:bottom w:val="none" w:sz="0" w:space="0" w:color="auto"/>
        <w:right w:val="none" w:sz="0" w:space="0" w:color="auto"/>
      </w:divBdr>
    </w:div>
    <w:div w:id="585727329">
      <w:bodyDiv w:val="1"/>
      <w:marLeft w:val="0"/>
      <w:marRight w:val="0"/>
      <w:marTop w:val="0"/>
      <w:marBottom w:val="0"/>
      <w:divBdr>
        <w:top w:val="none" w:sz="0" w:space="0" w:color="auto"/>
        <w:left w:val="none" w:sz="0" w:space="0" w:color="auto"/>
        <w:bottom w:val="none" w:sz="0" w:space="0" w:color="auto"/>
        <w:right w:val="none" w:sz="0" w:space="0" w:color="auto"/>
      </w:divBdr>
    </w:div>
    <w:div w:id="593559917">
      <w:bodyDiv w:val="1"/>
      <w:marLeft w:val="0"/>
      <w:marRight w:val="0"/>
      <w:marTop w:val="0"/>
      <w:marBottom w:val="0"/>
      <w:divBdr>
        <w:top w:val="none" w:sz="0" w:space="0" w:color="auto"/>
        <w:left w:val="none" w:sz="0" w:space="0" w:color="auto"/>
        <w:bottom w:val="none" w:sz="0" w:space="0" w:color="auto"/>
        <w:right w:val="none" w:sz="0" w:space="0" w:color="auto"/>
      </w:divBdr>
    </w:div>
    <w:div w:id="598027492">
      <w:bodyDiv w:val="1"/>
      <w:marLeft w:val="0"/>
      <w:marRight w:val="0"/>
      <w:marTop w:val="0"/>
      <w:marBottom w:val="0"/>
      <w:divBdr>
        <w:top w:val="none" w:sz="0" w:space="0" w:color="auto"/>
        <w:left w:val="none" w:sz="0" w:space="0" w:color="auto"/>
        <w:bottom w:val="none" w:sz="0" w:space="0" w:color="auto"/>
        <w:right w:val="none" w:sz="0" w:space="0" w:color="auto"/>
      </w:divBdr>
    </w:div>
    <w:div w:id="633024179">
      <w:bodyDiv w:val="1"/>
      <w:marLeft w:val="0"/>
      <w:marRight w:val="0"/>
      <w:marTop w:val="0"/>
      <w:marBottom w:val="0"/>
      <w:divBdr>
        <w:top w:val="none" w:sz="0" w:space="0" w:color="auto"/>
        <w:left w:val="none" w:sz="0" w:space="0" w:color="auto"/>
        <w:bottom w:val="none" w:sz="0" w:space="0" w:color="auto"/>
        <w:right w:val="none" w:sz="0" w:space="0" w:color="auto"/>
      </w:divBdr>
    </w:div>
    <w:div w:id="708995982">
      <w:bodyDiv w:val="1"/>
      <w:marLeft w:val="0"/>
      <w:marRight w:val="0"/>
      <w:marTop w:val="0"/>
      <w:marBottom w:val="0"/>
      <w:divBdr>
        <w:top w:val="none" w:sz="0" w:space="0" w:color="auto"/>
        <w:left w:val="none" w:sz="0" w:space="0" w:color="auto"/>
        <w:bottom w:val="none" w:sz="0" w:space="0" w:color="auto"/>
        <w:right w:val="none" w:sz="0" w:space="0" w:color="auto"/>
      </w:divBdr>
    </w:div>
    <w:div w:id="718867947">
      <w:bodyDiv w:val="1"/>
      <w:marLeft w:val="0"/>
      <w:marRight w:val="0"/>
      <w:marTop w:val="0"/>
      <w:marBottom w:val="0"/>
      <w:divBdr>
        <w:top w:val="none" w:sz="0" w:space="0" w:color="auto"/>
        <w:left w:val="none" w:sz="0" w:space="0" w:color="auto"/>
        <w:bottom w:val="none" w:sz="0" w:space="0" w:color="auto"/>
        <w:right w:val="none" w:sz="0" w:space="0" w:color="auto"/>
      </w:divBdr>
    </w:div>
    <w:div w:id="722825919">
      <w:bodyDiv w:val="1"/>
      <w:marLeft w:val="0"/>
      <w:marRight w:val="0"/>
      <w:marTop w:val="0"/>
      <w:marBottom w:val="0"/>
      <w:divBdr>
        <w:top w:val="none" w:sz="0" w:space="0" w:color="auto"/>
        <w:left w:val="none" w:sz="0" w:space="0" w:color="auto"/>
        <w:bottom w:val="none" w:sz="0" w:space="0" w:color="auto"/>
        <w:right w:val="none" w:sz="0" w:space="0" w:color="auto"/>
      </w:divBdr>
    </w:div>
    <w:div w:id="743796326">
      <w:bodyDiv w:val="1"/>
      <w:marLeft w:val="0"/>
      <w:marRight w:val="0"/>
      <w:marTop w:val="0"/>
      <w:marBottom w:val="0"/>
      <w:divBdr>
        <w:top w:val="none" w:sz="0" w:space="0" w:color="auto"/>
        <w:left w:val="none" w:sz="0" w:space="0" w:color="auto"/>
        <w:bottom w:val="none" w:sz="0" w:space="0" w:color="auto"/>
        <w:right w:val="none" w:sz="0" w:space="0" w:color="auto"/>
      </w:divBdr>
    </w:div>
    <w:div w:id="749424738">
      <w:bodyDiv w:val="1"/>
      <w:marLeft w:val="0"/>
      <w:marRight w:val="0"/>
      <w:marTop w:val="0"/>
      <w:marBottom w:val="0"/>
      <w:divBdr>
        <w:top w:val="none" w:sz="0" w:space="0" w:color="auto"/>
        <w:left w:val="none" w:sz="0" w:space="0" w:color="auto"/>
        <w:bottom w:val="none" w:sz="0" w:space="0" w:color="auto"/>
        <w:right w:val="none" w:sz="0" w:space="0" w:color="auto"/>
      </w:divBdr>
    </w:div>
    <w:div w:id="749887511">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755128918">
      <w:bodyDiv w:val="1"/>
      <w:marLeft w:val="0"/>
      <w:marRight w:val="0"/>
      <w:marTop w:val="0"/>
      <w:marBottom w:val="0"/>
      <w:divBdr>
        <w:top w:val="none" w:sz="0" w:space="0" w:color="auto"/>
        <w:left w:val="none" w:sz="0" w:space="0" w:color="auto"/>
        <w:bottom w:val="none" w:sz="0" w:space="0" w:color="auto"/>
        <w:right w:val="none" w:sz="0" w:space="0" w:color="auto"/>
      </w:divBdr>
    </w:div>
    <w:div w:id="766850272">
      <w:bodyDiv w:val="1"/>
      <w:marLeft w:val="0"/>
      <w:marRight w:val="0"/>
      <w:marTop w:val="0"/>
      <w:marBottom w:val="0"/>
      <w:divBdr>
        <w:top w:val="none" w:sz="0" w:space="0" w:color="auto"/>
        <w:left w:val="none" w:sz="0" w:space="0" w:color="auto"/>
        <w:bottom w:val="none" w:sz="0" w:space="0" w:color="auto"/>
        <w:right w:val="none" w:sz="0" w:space="0" w:color="auto"/>
      </w:divBdr>
    </w:div>
    <w:div w:id="779302217">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sChild>
        <w:div w:id="1945767094">
          <w:marLeft w:val="0"/>
          <w:marRight w:val="0"/>
          <w:marTop w:val="0"/>
          <w:marBottom w:val="0"/>
          <w:divBdr>
            <w:top w:val="none" w:sz="0" w:space="0" w:color="auto"/>
            <w:left w:val="none" w:sz="0" w:space="0" w:color="auto"/>
            <w:bottom w:val="none" w:sz="0" w:space="0" w:color="auto"/>
            <w:right w:val="none" w:sz="0" w:space="0" w:color="auto"/>
          </w:divBdr>
          <w:divsChild>
            <w:div w:id="1971670905">
              <w:marLeft w:val="0"/>
              <w:marRight w:val="0"/>
              <w:marTop w:val="0"/>
              <w:marBottom w:val="0"/>
              <w:divBdr>
                <w:top w:val="none" w:sz="0" w:space="0" w:color="auto"/>
                <w:left w:val="none" w:sz="0" w:space="0" w:color="auto"/>
                <w:bottom w:val="none" w:sz="0" w:space="0" w:color="auto"/>
                <w:right w:val="none" w:sz="0" w:space="0" w:color="auto"/>
              </w:divBdr>
              <w:divsChild>
                <w:div w:id="1433429986">
                  <w:marLeft w:val="0"/>
                  <w:marRight w:val="0"/>
                  <w:marTop w:val="0"/>
                  <w:marBottom w:val="0"/>
                  <w:divBdr>
                    <w:top w:val="none" w:sz="0" w:space="0" w:color="auto"/>
                    <w:left w:val="none" w:sz="0" w:space="0" w:color="auto"/>
                    <w:bottom w:val="none" w:sz="0" w:space="0" w:color="auto"/>
                    <w:right w:val="none" w:sz="0" w:space="0" w:color="auto"/>
                  </w:divBdr>
                  <w:divsChild>
                    <w:div w:id="1242787336">
                      <w:marLeft w:val="0"/>
                      <w:marRight w:val="0"/>
                      <w:marTop w:val="0"/>
                      <w:marBottom w:val="0"/>
                      <w:divBdr>
                        <w:top w:val="none" w:sz="0" w:space="0" w:color="auto"/>
                        <w:left w:val="none" w:sz="0" w:space="0" w:color="auto"/>
                        <w:bottom w:val="none" w:sz="0" w:space="0" w:color="auto"/>
                        <w:right w:val="none" w:sz="0" w:space="0" w:color="auto"/>
                      </w:divBdr>
                      <w:divsChild>
                        <w:div w:id="1125467019">
                          <w:marLeft w:val="0"/>
                          <w:marRight w:val="0"/>
                          <w:marTop w:val="0"/>
                          <w:marBottom w:val="0"/>
                          <w:divBdr>
                            <w:top w:val="none" w:sz="0" w:space="0" w:color="auto"/>
                            <w:left w:val="none" w:sz="0" w:space="0" w:color="auto"/>
                            <w:bottom w:val="none" w:sz="0" w:space="0" w:color="auto"/>
                            <w:right w:val="none" w:sz="0" w:space="0" w:color="auto"/>
                          </w:divBdr>
                          <w:divsChild>
                            <w:div w:id="177888074">
                              <w:marLeft w:val="0"/>
                              <w:marRight w:val="0"/>
                              <w:marTop w:val="0"/>
                              <w:marBottom w:val="0"/>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sChild>
                                    <w:div w:id="543761245">
                                      <w:marLeft w:val="0"/>
                                      <w:marRight w:val="0"/>
                                      <w:marTop w:val="0"/>
                                      <w:marBottom w:val="0"/>
                                      <w:divBdr>
                                        <w:top w:val="none" w:sz="0" w:space="0" w:color="auto"/>
                                        <w:left w:val="none" w:sz="0" w:space="0" w:color="auto"/>
                                        <w:bottom w:val="none" w:sz="0" w:space="0" w:color="auto"/>
                                        <w:right w:val="none" w:sz="0" w:space="0" w:color="auto"/>
                                      </w:divBdr>
                                      <w:divsChild>
                                        <w:div w:id="2125810147">
                                          <w:marLeft w:val="0"/>
                                          <w:marRight w:val="0"/>
                                          <w:marTop w:val="0"/>
                                          <w:marBottom w:val="0"/>
                                          <w:divBdr>
                                            <w:top w:val="none" w:sz="0" w:space="0" w:color="auto"/>
                                            <w:left w:val="none" w:sz="0" w:space="0" w:color="auto"/>
                                            <w:bottom w:val="none" w:sz="0" w:space="0" w:color="auto"/>
                                            <w:right w:val="none" w:sz="0" w:space="0" w:color="auto"/>
                                          </w:divBdr>
                                          <w:divsChild>
                                            <w:div w:id="523901707">
                                              <w:marLeft w:val="0"/>
                                              <w:marRight w:val="0"/>
                                              <w:marTop w:val="0"/>
                                              <w:marBottom w:val="0"/>
                                              <w:divBdr>
                                                <w:top w:val="none" w:sz="0" w:space="0" w:color="auto"/>
                                                <w:left w:val="none" w:sz="0" w:space="0" w:color="auto"/>
                                                <w:bottom w:val="none" w:sz="0" w:space="0" w:color="auto"/>
                                                <w:right w:val="none" w:sz="0" w:space="0" w:color="auto"/>
                                              </w:divBdr>
                                              <w:divsChild>
                                                <w:div w:id="644505144">
                                                  <w:marLeft w:val="0"/>
                                                  <w:marRight w:val="0"/>
                                                  <w:marTop w:val="0"/>
                                                  <w:marBottom w:val="0"/>
                                                  <w:divBdr>
                                                    <w:top w:val="none" w:sz="0" w:space="0" w:color="auto"/>
                                                    <w:left w:val="none" w:sz="0" w:space="0" w:color="auto"/>
                                                    <w:bottom w:val="none" w:sz="0" w:space="0" w:color="auto"/>
                                                    <w:right w:val="none" w:sz="0" w:space="0" w:color="auto"/>
                                                  </w:divBdr>
                                                  <w:divsChild>
                                                    <w:div w:id="466748861">
                                                      <w:marLeft w:val="0"/>
                                                      <w:marRight w:val="0"/>
                                                      <w:marTop w:val="0"/>
                                                      <w:marBottom w:val="0"/>
                                                      <w:divBdr>
                                                        <w:top w:val="none" w:sz="0" w:space="0" w:color="auto"/>
                                                        <w:left w:val="none" w:sz="0" w:space="0" w:color="auto"/>
                                                        <w:bottom w:val="none" w:sz="0" w:space="0" w:color="auto"/>
                                                        <w:right w:val="none" w:sz="0" w:space="0" w:color="auto"/>
                                                      </w:divBdr>
                                                      <w:divsChild>
                                                        <w:div w:id="8915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832567">
      <w:bodyDiv w:val="1"/>
      <w:marLeft w:val="0"/>
      <w:marRight w:val="0"/>
      <w:marTop w:val="0"/>
      <w:marBottom w:val="0"/>
      <w:divBdr>
        <w:top w:val="none" w:sz="0" w:space="0" w:color="auto"/>
        <w:left w:val="none" w:sz="0" w:space="0" w:color="auto"/>
        <w:bottom w:val="none" w:sz="0" w:space="0" w:color="auto"/>
        <w:right w:val="none" w:sz="0" w:space="0" w:color="auto"/>
      </w:divBdr>
    </w:div>
    <w:div w:id="844395323">
      <w:bodyDiv w:val="1"/>
      <w:marLeft w:val="0"/>
      <w:marRight w:val="0"/>
      <w:marTop w:val="0"/>
      <w:marBottom w:val="0"/>
      <w:divBdr>
        <w:top w:val="none" w:sz="0" w:space="0" w:color="auto"/>
        <w:left w:val="none" w:sz="0" w:space="0" w:color="auto"/>
        <w:bottom w:val="none" w:sz="0" w:space="0" w:color="auto"/>
        <w:right w:val="none" w:sz="0" w:space="0" w:color="auto"/>
      </w:divBdr>
    </w:div>
    <w:div w:id="862397244">
      <w:bodyDiv w:val="1"/>
      <w:marLeft w:val="0"/>
      <w:marRight w:val="0"/>
      <w:marTop w:val="0"/>
      <w:marBottom w:val="0"/>
      <w:divBdr>
        <w:top w:val="none" w:sz="0" w:space="0" w:color="auto"/>
        <w:left w:val="none" w:sz="0" w:space="0" w:color="auto"/>
        <w:bottom w:val="none" w:sz="0" w:space="0" w:color="auto"/>
        <w:right w:val="none" w:sz="0" w:space="0" w:color="auto"/>
      </w:divBdr>
    </w:div>
    <w:div w:id="874080212">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884221955">
      <w:bodyDiv w:val="1"/>
      <w:marLeft w:val="0"/>
      <w:marRight w:val="0"/>
      <w:marTop w:val="0"/>
      <w:marBottom w:val="0"/>
      <w:divBdr>
        <w:top w:val="none" w:sz="0" w:space="0" w:color="auto"/>
        <w:left w:val="none" w:sz="0" w:space="0" w:color="auto"/>
        <w:bottom w:val="none" w:sz="0" w:space="0" w:color="auto"/>
        <w:right w:val="none" w:sz="0" w:space="0" w:color="auto"/>
      </w:divBdr>
    </w:div>
    <w:div w:id="888957715">
      <w:bodyDiv w:val="1"/>
      <w:marLeft w:val="0"/>
      <w:marRight w:val="0"/>
      <w:marTop w:val="0"/>
      <w:marBottom w:val="0"/>
      <w:divBdr>
        <w:top w:val="none" w:sz="0" w:space="0" w:color="auto"/>
        <w:left w:val="none" w:sz="0" w:space="0" w:color="auto"/>
        <w:bottom w:val="none" w:sz="0" w:space="0" w:color="auto"/>
        <w:right w:val="none" w:sz="0" w:space="0" w:color="auto"/>
      </w:divBdr>
    </w:div>
    <w:div w:id="91128149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9370975">
      <w:bodyDiv w:val="1"/>
      <w:marLeft w:val="0"/>
      <w:marRight w:val="0"/>
      <w:marTop w:val="0"/>
      <w:marBottom w:val="0"/>
      <w:divBdr>
        <w:top w:val="none" w:sz="0" w:space="0" w:color="auto"/>
        <w:left w:val="none" w:sz="0" w:space="0" w:color="auto"/>
        <w:bottom w:val="none" w:sz="0" w:space="0" w:color="auto"/>
        <w:right w:val="none" w:sz="0" w:space="0" w:color="auto"/>
      </w:divBdr>
    </w:div>
    <w:div w:id="925531414">
      <w:bodyDiv w:val="1"/>
      <w:marLeft w:val="0"/>
      <w:marRight w:val="0"/>
      <w:marTop w:val="0"/>
      <w:marBottom w:val="0"/>
      <w:divBdr>
        <w:top w:val="none" w:sz="0" w:space="0" w:color="auto"/>
        <w:left w:val="none" w:sz="0" w:space="0" w:color="auto"/>
        <w:bottom w:val="none" w:sz="0" w:space="0" w:color="auto"/>
        <w:right w:val="none" w:sz="0" w:space="0" w:color="auto"/>
      </w:divBdr>
    </w:div>
    <w:div w:id="934896911">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981155405">
      <w:bodyDiv w:val="1"/>
      <w:marLeft w:val="0"/>
      <w:marRight w:val="0"/>
      <w:marTop w:val="0"/>
      <w:marBottom w:val="0"/>
      <w:divBdr>
        <w:top w:val="none" w:sz="0" w:space="0" w:color="auto"/>
        <w:left w:val="none" w:sz="0" w:space="0" w:color="auto"/>
        <w:bottom w:val="none" w:sz="0" w:space="0" w:color="auto"/>
        <w:right w:val="none" w:sz="0" w:space="0" w:color="auto"/>
      </w:divBdr>
    </w:div>
    <w:div w:id="983125262">
      <w:bodyDiv w:val="1"/>
      <w:marLeft w:val="0"/>
      <w:marRight w:val="0"/>
      <w:marTop w:val="0"/>
      <w:marBottom w:val="0"/>
      <w:divBdr>
        <w:top w:val="none" w:sz="0" w:space="0" w:color="auto"/>
        <w:left w:val="none" w:sz="0" w:space="0" w:color="auto"/>
        <w:bottom w:val="none" w:sz="0" w:space="0" w:color="auto"/>
        <w:right w:val="none" w:sz="0" w:space="0" w:color="auto"/>
      </w:divBdr>
    </w:div>
    <w:div w:id="1013845781">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093238530">
      <w:bodyDiv w:val="1"/>
      <w:marLeft w:val="0"/>
      <w:marRight w:val="0"/>
      <w:marTop w:val="0"/>
      <w:marBottom w:val="0"/>
      <w:divBdr>
        <w:top w:val="none" w:sz="0" w:space="0" w:color="auto"/>
        <w:left w:val="none" w:sz="0" w:space="0" w:color="auto"/>
        <w:bottom w:val="none" w:sz="0" w:space="0" w:color="auto"/>
        <w:right w:val="none" w:sz="0" w:space="0" w:color="auto"/>
      </w:divBdr>
    </w:div>
    <w:div w:id="1097097509">
      <w:bodyDiv w:val="1"/>
      <w:marLeft w:val="0"/>
      <w:marRight w:val="0"/>
      <w:marTop w:val="0"/>
      <w:marBottom w:val="0"/>
      <w:divBdr>
        <w:top w:val="none" w:sz="0" w:space="0" w:color="auto"/>
        <w:left w:val="none" w:sz="0" w:space="0" w:color="auto"/>
        <w:bottom w:val="none" w:sz="0" w:space="0" w:color="auto"/>
        <w:right w:val="none" w:sz="0" w:space="0" w:color="auto"/>
      </w:divBdr>
    </w:div>
    <w:div w:id="1100024919">
      <w:bodyDiv w:val="1"/>
      <w:marLeft w:val="0"/>
      <w:marRight w:val="0"/>
      <w:marTop w:val="0"/>
      <w:marBottom w:val="0"/>
      <w:divBdr>
        <w:top w:val="none" w:sz="0" w:space="0" w:color="auto"/>
        <w:left w:val="none" w:sz="0" w:space="0" w:color="auto"/>
        <w:bottom w:val="none" w:sz="0" w:space="0" w:color="auto"/>
        <w:right w:val="none" w:sz="0" w:space="0" w:color="auto"/>
      </w:divBdr>
    </w:div>
    <w:div w:id="1115518192">
      <w:bodyDiv w:val="1"/>
      <w:marLeft w:val="0"/>
      <w:marRight w:val="0"/>
      <w:marTop w:val="0"/>
      <w:marBottom w:val="0"/>
      <w:divBdr>
        <w:top w:val="none" w:sz="0" w:space="0" w:color="auto"/>
        <w:left w:val="none" w:sz="0" w:space="0" w:color="auto"/>
        <w:bottom w:val="none" w:sz="0" w:space="0" w:color="auto"/>
        <w:right w:val="none" w:sz="0" w:space="0" w:color="auto"/>
      </w:divBdr>
    </w:div>
    <w:div w:id="1132289818">
      <w:bodyDiv w:val="1"/>
      <w:marLeft w:val="0"/>
      <w:marRight w:val="0"/>
      <w:marTop w:val="0"/>
      <w:marBottom w:val="0"/>
      <w:divBdr>
        <w:top w:val="none" w:sz="0" w:space="0" w:color="auto"/>
        <w:left w:val="none" w:sz="0" w:space="0" w:color="auto"/>
        <w:bottom w:val="none" w:sz="0" w:space="0" w:color="auto"/>
        <w:right w:val="none" w:sz="0" w:space="0" w:color="auto"/>
      </w:divBdr>
    </w:div>
    <w:div w:id="1134375401">
      <w:bodyDiv w:val="1"/>
      <w:marLeft w:val="0"/>
      <w:marRight w:val="0"/>
      <w:marTop w:val="0"/>
      <w:marBottom w:val="0"/>
      <w:divBdr>
        <w:top w:val="none" w:sz="0" w:space="0" w:color="auto"/>
        <w:left w:val="none" w:sz="0" w:space="0" w:color="auto"/>
        <w:bottom w:val="none" w:sz="0" w:space="0" w:color="auto"/>
        <w:right w:val="none" w:sz="0" w:space="0" w:color="auto"/>
      </w:divBdr>
    </w:div>
    <w:div w:id="1157258064">
      <w:bodyDiv w:val="1"/>
      <w:marLeft w:val="0"/>
      <w:marRight w:val="0"/>
      <w:marTop w:val="0"/>
      <w:marBottom w:val="0"/>
      <w:divBdr>
        <w:top w:val="none" w:sz="0" w:space="0" w:color="auto"/>
        <w:left w:val="none" w:sz="0" w:space="0" w:color="auto"/>
        <w:bottom w:val="none" w:sz="0" w:space="0" w:color="auto"/>
        <w:right w:val="none" w:sz="0" w:space="0" w:color="auto"/>
      </w:divBdr>
    </w:div>
    <w:div w:id="1187018786">
      <w:bodyDiv w:val="1"/>
      <w:marLeft w:val="0"/>
      <w:marRight w:val="0"/>
      <w:marTop w:val="0"/>
      <w:marBottom w:val="0"/>
      <w:divBdr>
        <w:top w:val="none" w:sz="0" w:space="0" w:color="auto"/>
        <w:left w:val="none" w:sz="0" w:space="0" w:color="auto"/>
        <w:bottom w:val="none" w:sz="0" w:space="0" w:color="auto"/>
        <w:right w:val="none" w:sz="0" w:space="0" w:color="auto"/>
      </w:divBdr>
    </w:div>
    <w:div w:id="1229269431">
      <w:bodyDiv w:val="1"/>
      <w:marLeft w:val="0"/>
      <w:marRight w:val="0"/>
      <w:marTop w:val="0"/>
      <w:marBottom w:val="0"/>
      <w:divBdr>
        <w:top w:val="none" w:sz="0" w:space="0" w:color="auto"/>
        <w:left w:val="none" w:sz="0" w:space="0" w:color="auto"/>
        <w:bottom w:val="none" w:sz="0" w:space="0" w:color="auto"/>
        <w:right w:val="none" w:sz="0" w:space="0" w:color="auto"/>
      </w:divBdr>
    </w:div>
    <w:div w:id="1259799773">
      <w:bodyDiv w:val="1"/>
      <w:marLeft w:val="0"/>
      <w:marRight w:val="0"/>
      <w:marTop w:val="0"/>
      <w:marBottom w:val="0"/>
      <w:divBdr>
        <w:top w:val="none" w:sz="0" w:space="0" w:color="auto"/>
        <w:left w:val="none" w:sz="0" w:space="0" w:color="auto"/>
        <w:bottom w:val="none" w:sz="0" w:space="0" w:color="auto"/>
        <w:right w:val="none" w:sz="0" w:space="0" w:color="auto"/>
      </w:divBdr>
    </w:div>
    <w:div w:id="1293484829">
      <w:bodyDiv w:val="1"/>
      <w:marLeft w:val="0"/>
      <w:marRight w:val="0"/>
      <w:marTop w:val="0"/>
      <w:marBottom w:val="0"/>
      <w:divBdr>
        <w:top w:val="none" w:sz="0" w:space="0" w:color="auto"/>
        <w:left w:val="none" w:sz="0" w:space="0" w:color="auto"/>
        <w:bottom w:val="none" w:sz="0" w:space="0" w:color="auto"/>
        <w:right w:val="none" w:sz="0" w:space="0" w:color="auto"/>
      </w:divBdr>
    </w:div>
    <w:div w:id="1310555575">
      <w:bodyDiv w:val="1"/>
      <w:marLeft w:val="0"/>
      <w:marRight w:val="0"/>
      <w:marTop w:val="0"/>
      <w:marBottom w:val="0"/>
      <w:divBdr>
        <w:top w:val="none" w:sz="0" w:space="0" w:color="auto"/>
        <w:left w:val="none" w:sz="0" w:space="0" w:color="auto"/>
        <w:bottom w:val="none" w:sz="0" w:space="0" w:color="auto"/>
        <w:right w:val="none" w:sz="0" w:space="0" w:color="auto"/>
      </w:divBdr>
    </w:div>
    <w:div w:id="1311790977">
      <w:bodyDiv w:val="1"/>
      <w:marLeft w:val="0"/>
      <w:marRight w:val="0"/>
      <w:marTop w:val="0"/>
      <w:marBottom w:val="0"/>
      <w:divBdr>
        <w:top w:val="none" w:sz="0" w:space="0" w:color="auto"/>
        <w:left w:val="none" w:sz="0" w:space="0" w:color="auto"/>
        <w:bottom w:val="none" w:sz="0" w:space="0" w:color="auto"/>
        <w:right w:val="none" w:sz="0" w:space="0" w:color="auto"/>
      </w:divBdr>
    </w:div>
    <w:div w:id="1316102886">
      <w:bodyDiv w:val="1"/>
      <w:marLeft w:val="0"/>
      <w:marRight w:val="0"/>
      <w:marTop w:val="0"/>
      <w:marBottom w:val="0"/>
      <w:divBdr>
        <w:top w:val="none" w:sz="0" w:space="0" w:color="auto"/>
        <w:left w:val="none" w:sz="0" w:space="0" w:color="auto"/>
        <w:bottom w:val="none" w:sz="0" w:space="0" w:color="auto"/>
        <w:right w:val="none" w:sz="0" w:space="0" w:color="auto"/>
      </w:divBdr>
    </w:div>
    <w:div w:id="1334340906">
      <w:bodyDiv w:val="1"/>
      <w:marLeft w:val="0"/>
      <w:marRight w:val="0"/>
      <w:marTop w:val="0"/>
      <w:marBottom w:val="0"/>
      <w:divBdr>
        <w:top w:val="none" w:sz="0" w:space="0" w:color="auto"/>
        <w:left w:val="none" w:sz="0" w:space="0" w:color="auto"/>
        <w:bottom w:val="none" w:sz="0" w:space="0" w:color="auto"/>
        <w:right w:val="none" w:sz="0" w:space="0" w:color="auto"/>
      </w:divBdr>
    </w:div>
    <w:div w:id="1339965209">
      <w:bodyDiv w:val="1"/>
      <w:marLeft w:val="0"/>
      <w:marRight w:val="0"/>
      <w:marTop w:val="0"/>
      <w:marBottom w:val="0"/>
      <w:divBdr>
        <w:top w:val="none" w:sz="0" w:space="0" w:color="auto"/>
        <w:left w:val="none" w:sz="0" w:space="0" w:color="auto"/>
        <w:bottom w:val="none" w:sz="0" w:space="0" w:color="auto"/>
        <w:right w:val="none" w:sz="0" w:space="0" w:color="auto"/>
      </w:divBdr>
    </w:div>
    <w:div w:id="1351565274">
      <w:bodyDiv w:val="1"/>
      <w:marLeft w:val="0"/>
      <w:marRight w:val="0"/>
      <w:marTop w:val="0"/>
      <w:marBottom w:val="0"/>
      <w:divBdr>
        <w:top w:val="none" w:sz="0" w:space="0" w:color="auto"/>
        <w:left w:val="none" w:sz="0" w:space="0" w:color="auto"/>
        <w:bottom w:val="none" w:sz="0" w:space="0" w:color="auto"/>
        <w:right w:val="none" w:sz="0" w:space="0" w:color="auto"/>
      </w:divBdr>
    </w:div>
    <w:div w:id="1360089419">
      <w:bodyDiv w:val="1"/>
      <w:marLeft w:val="0"/>
      <w:marRight w:val="0"/>
      <w:marTop w:val="0"/>
      <w:marBottom w:val="0"/>
      <w:divBdr>
        <w:top w:val="none" w:sz="0" w:space="0" w:color="auto"/>
        <w:left w:val="none" w:sz="0" w:space="0" w:color="auto"/>
        <w:bottom w:val="none" w:sz="0" w:space="0" w:color="auto"/>
        <w:right w:val="none" w:sz="0" w:space="0" w:color="auto"/>
      </w:divBdr>
    </w:div>
    <w:div w:id="1367758939">
      <w:bodyDiv w:val="1"/>
      <w:marLeft w:val="0"/>
      <w:marRight w:val="0"/>
      <w:marTop w:val="0"/>
      <w:marBottom w:val="0"/>
      <w:divBdr>
        <w:top w:val="none" w:sz="0" w:space="0" w:color="auto"/>
        <w:left w:val="none" w:sz="0" w:space="0" w:color="auto"/>
        <w:bottom w:val="none" w:sz="0" w:space="0" w:color="auto"/>
        <w:right w:val="none" w:sz="0" w:space="0" w:color="auto"/>
      </w:divBdr>
    </w:div>
    <w:div w:id="1373842619">
      <w:bodyDiv w:val="1"/>
      <w:marLeft w:val="0"/>
      <w:marRight w:val="0"/>
      <w:marTop w:val="0"/>
      <w:marBottom w:val="0"/>
      <w:divBdr>
        <w:top w:val="none" w:sz="0" w:space="0" w:color="auto"/>
        <w:left w:val="none" w:sz="0" w:space="0" w:color="auto"/>
        <w:bottom w:val="none" w:sz="0" w:space="0" w:color="auto"/>
        <w:right w:val="none" w:sz="0" w:space="0" w:color="auto"/>
      </w:divBdr>
    </w:div>
    <w:div w:id="1373922841">
      <w:bodyDiv w:val="1"/>
      <w:marLeft w:val="0"/>
      <w:marRight w:val="0"/>
      <w:marTop w:val="0"/>
      <w:marBottom w:val="0"/>
      <w:divBdr>
        <w:top w:val="none" w:sz="0" w:space="0" w:color="auto"/>
        <w:left w:val="none" w:sz="0" w:space="0" w:color="auto"/>
        <w:bottom w:val="none" w:sz="0" w:space="0" w:color="auto"/>
        <w:right w:val="none" w:sz="0" w:space="0" w:color="auto"/>
      </w:divBdr>
    </w:div>
    <w:div w:id="1425228556">
      <w:bodyDiv w:val="1"/>
      <w:marLeft w:val="0"/>
      <w:marRight w:val="0"/>
      <w:marTop w:val="0"/>
      <w:marBottom w:val="0"/>
      <w:divBdr>
        <w:top w:val="none" w:sz="0" w:space="0" w:color="auto"/>
        <w:left w:val="none" w:sz="0" w:space="0" w:color="auto"/>
        <w:bottom w:val="none" w:sz="0" w:space="0" w:color="auto"/>
        <w:right w:val="none" w:sz="0" w:space="0" w:color="auto"/>
      </w:divBdr>
    </w:div>
    <w:div w:id="1427119252">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3404714">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522814527">
      <w:bodyDiv w:val="1"/>
      <w:marLeft w:val="0"/>
      <w:marRight w:val="0"/>
      <w:marTop w:val="0"/>
      <w:marBottom w:val="0"/>
      <w:divBdr>
        <w:top w:val="none" w:sz="0" w:space="0" w:color="auto"/>
        <w:left w:val="none" w:sz="0" w:space="0" w:color="auto"/>
        <w:bottom w:val="none" w:sz="0" w:space="0" w:color="auto"/>
        <w:right w:val="none" w:sz="0" w:space="0" w:color="auto"/>
      </w:divBdr>
    </w:div>
    <w:div w:id="1602374941">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06378573">
      <w:bodyDiv w:val="1"/>
      <w:marLeft w:val="0"/>
      <w:marRight w:val="0"/>
      <w:marTop w:val="0"/>
      <w:marBottom w:val="0"/>
      <w:divBdr>
        <w:top w:val="none" w:sz="0" w:space="0" w:color="auto"/>
        <w:left w:val="none" w:sz="0" w:space="0" w:color="auto"/>
        <w:bottom w:val="none" w:sz="0" w:space="0" w:color="auto"/>
        <w:right w:val="none" w:sz="0" w:space="0" w:color="auto"/>
      </w:divBdr>
    </w:div>
    <w:div w:id="1618215140">
      <w:bodyDiv w:val="1"/>
      <w:marLeft w:val="0"/>
      <w:marRight w:val="0"/>
      <w:marTop w:val="0"/>
      <w:marBottom w:val="0"/>
      <w:divBdr>
        <w:top w:val="none" w:sz="0" w:space="0" w:color="auto"/>
        <w:left w:val="none" w:sz="0" w:space="0" w:color="auto"/>
        <w:bottom w:val="none" w:sz="0" w:space="0" w:color="auto"/>
        <w:right w:val="none" w:sz="0" w:space="0" w:color="auto"/>
      </w:divBdr>
    </w:div>
    <w:div w:id="163574548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58681237">
      <w:bodyDiv w:val="1"/>
      <w:marLeft w:val="0"/>
      <w:marRight w:val="0"/>
      <w:marTop w:val="0"/>
      <w:marBottom w:val="0"/>
      <w:divBdr>
        <w:top w:val="none" w:sz="0" w:space="0" w:color="auto"/>
        <w:left w:val="none" w:sz="0" w:space="0" w:color="auto"/>
        <w:bottom w:val="none" w:sz="0" w:space="0" w:color="auto"/>
        <w:right w:val="none" w:sz="0" w:space="0" w:color="auto"/>
      </w:divBdr>
    </w:div>
    <w:div w:id="1667855221">
      <w:bodyDiv w:val="1"/>
      <w:marLeft w:val="0"/>
      <w:marRight w:val="0"/>
      <w:marTop w:val="0"/>
      <w:marBottom w:val="0"/>
      <w:divBdr>
        <w:top w:val="none" w:sz="0" w:space="0" w:color="auto"/>
        <w:left w:val="none" w:sz="0" w:space="0" w:color="auto"/>
        <w:bottom w:val="none" w:sz="0" w:space="0" w:color="auto"/>
        <w:right w:val="none" w:sz="0" w:space="0" w:color="auto"/>
      </w:divBdr>
    </w:div>
    <w:div w:id="1695691325">
      <w:bodyDiv w:val="1"/>
      <w:marLeft w:val="0"/>
      <w:marRight w:val="0"/>
      <w:marTop w:val="0"/>
      <w:marBottom w:val="0"/>
      <w:divBdr>
        <w:top w:val="none" w:sz="0" w:space="0" w:color="auto"/>
        <w:left w:val="none" w:sz="0" w:space="0" w:color="auto"/>
        <w:bottom w:val="none" w:sz="0" w:space="0" w:color="auto"/>
        <w:right w:val="none" w:sz="0" w:space="0" w:color="auto"/>
      </w:divBdr>
    </w:div>
    <w:div w:id="1708067260">
      <w:bodyDiv w:val="1"/>
      <w:marLeft w:val="0"/>
      <w:marRight w:val="0"/>
      <w:marTop w:val="0"/>
      <w:marBottom w:val="0"/>
      <w:divBdr>
        <w:top w:val="none" w:sz="0" w:space="0" w:color="auto"/>
        <w:left w:val="none" w:sz="0" w:space="0" w:color="auto"/>
        <w:bottom w:val="none" w:sz="0" w:space="0" w:color="auto"/>
        <w:right w:val="none" w:sz="0" w:space="0" w:color="auto"/>
      </w:divBdr>
    </w:div>
    <w:div w:id="1719819004">
      <w:bodyDiv w:val="1"/>
      <w:marLeft w:val="0"/>
      <w:marRight w:val="0"/>
      <w:marTop w:val="0"/>
      <w:marBottom w:val="0"/>
      <w:divBdr>
        <w:top w:val="none" w:sz="0" w:space="0" w:color="auto"/>
        <w:left w:val="none" w:sz="0" w:space="0" w:color="auto"/>
        <w:bottom w:val="none" w:sz="0" w:space="0" w:color="auto"/>
        <w:right w:val="none" w:sz="0" w:space="0" w:color="auto"/>
      </w:divBdr>
    </w:div>
    <w:div w:id="1724711772">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744910564">
      <w:bodyDiv w:val="1"/>
      <w:marLeft w:val="0"/>
      <w:marRight w:val="0"/>
      <w:marTop w:val="0"/>
      <w:marBottom w:val="0"/>
      <w:divBdr>
        <w:top w:val="none" w:sz="0" w:space="0" w:color="auto"/>
        <w:left w:val="none" w:sz="0" w:space="0" w:color="auto"/>
        <w:bottom w:val="none" w:sz="0" w:space="0" w:color="auto"/>
        <w:right w:val="none" w:sz="0" w:space="0" w:color="auto"/>
      </w:divBdr>
    </w:div>
    <w:div w:id="1747531181">
      <w:bodyDiv w:val="1"/>
      <w:marLeft w:val="0"/>
      <w:marRight w:val="0"/>
      <w:marTop w:val="0"/>
      <w:marBottom w:val="0"/>
      <w:divBdr>
        <w:top w:val="none" w:sz="0" w:space="0" w:color="auto"/>
        <w:left w:val="none" w:sz="0" w:space="0" w:color="auto"/>
        <w:bottom w:val="none" w:sz="0" w:space="0" w:color="auto"/>
        <w:right w:val="none" w:sz="0" w:space="0" w:color="auto"/>
      </w:divBdr>
    </w:div>
    <w:div w:id="1752198821">
      <w:bodyDiv w:val="1"/>
      <w:marLeft w:val="0"/>
      <w:marRight w:val="0"/>
      <w:marTop w:val="0"/>
      <w:marBottom w:val="0"/>
      <w:divBdr>
        <w:top w:val="none" w:sz="0" w:space="0" w:color="auto"/>
        <w:left w:val="none" w:sz="0" w:space="0" w:color="auto"/>
        <w:bottom w:val="none" w:sz="0" w:space="0" w:color="auto"/>
        <w:right w:val="none" w:sz="0" w:space="0" w:color="auto"/>
      </w:divBdr>
    </w:div>
    <w:div w:id="1824270860">
      <w:bodyDiv w:val="1"/>
      <w:marLeft w:val="0"/>
      <w:marRight w:val="0"/>
      <w:marTop w:val="0"/>
      <w:marBottom w:val="0"/>
      <w:divBdr>
        <w:top w:val="none" w:sz="0" w:space="0" w:color="auto"/>
        <w:left w:val="none" w:sz="0" w:space="0" w:color="auto"/>
        <w:bottom w:val="none" w:sz="0" w:space="0" w:color="auto"/>
        <w:right w:val="none" w:sz="0" w:space="0" w:color="auto"/>
      </w:divBdr>
    </w:div>
    <w:div w:id="1869021545">
      <w:bodyDiv w:val="1"/>
      <w:marLeft w:val="0"/>
      <w:marRight w:val="0"/>
      <w:marTop w:val="0"/>
      <w:marBottom w:val="0"/>
      <w:divBdr>
        <w:top w:val="none" w:sz="0" w:space="0" w:color="auto"/>
        <w:left w:val="none" w:sz="0" w:space="0" w:color="auto"/>
        <w:bottom w:val="none" w:sz="0" w:space="0" w:color="auto"/>
        <w:right w:val="none" w:sz="0" w:space="0" w:color="auto"/>
      </w:divBdr>
    </w:div>
    <w:div w:id="1911765238">
      <w:bodyDiv w:val="1"/>
      <w:marLeft w:val="0"/>
      <w:marRight w:val="0"/>
      <w:marTop w:val="0"/>
      <w:marBottom w:val="0"/>
      <w:divBdr>
        <w:top w:val="none" w:sz="0" w:space="0" w:color="auto"/>
        <w:left w:val="none" w:sz="0" w:space="0" w:color="auto"/>
        <w:bottom w:val="none" w:sz="0" w:space="0" w:color="auto"/>
        <w:right w:val="none" w:sz="0" w:space="0" w:color="auto"/>
      </w:divBdr>
    </w:div>
    <w:div w:id="1938171561">
      <w:bodyDiv w:val="1"/>
      <w:marLeft w:val="0"/>
      <w:marRight w:val="0"/>
      <w:marTop w:val="0"/>
      <w:marBottom w:val="0"/>
      <w:divBdr>
        <w:top w:val="none" w:sz="0" w:space="0" w:color="auto"/>
        <w:left w:val="none" w:sz="0" w:space="0" w:color="auto"/>
        <w:bottom w:val="none" w:sz="0" w:space="0" w:color="auto"/>
        <w:right w:val="none" w:sz="0" w:space="0" w:color="auto"/>
      </w:divBdr>
    </w:div>
    <w:div w:id="1958682149">
      <w:bodyDiv w:val="1"/>
      <w:marLeft w:val="0"/>
      <w:marRight w:val="0"/>
      <w:marTop w:val="0"/>
      <w:marBottom w:val="0"/>
      <w:divBdr>
        <w:top w:val="none" w:sz="0" w:space="0" w:color="auto"/>
        <w:left w:val="none" w:sz="0" w:space="0" w:color="auto"/>
        <w:bottom w:val="none" w:sz="0" w:space="0" w:color="auto"/>
        <w:right w:val="none" w:sz="0" w:space="0" w:color="auto"/>
      </w:divBdr>
    </w:div>
    <w:div w:id="1969125961">
      <w:bodyDiv w:val="1"/>
      <w:marLeft w:val="0"/>
      <w:marRight w:val="0"/>
      <w:marTop w:val="0"/>
      <w:marBottom w:val="0"/>
      <w:divBdr>
        <w:top w:val="none" w:sz="0" w:space="0" w:color="auto"/>
        <w:left w:val="none" w:sz="0" w:space="0" w:color="auto"/>
        <w:bottom w:val="none" w:sz="0" w:space="0" w:color="auto"/>
        <w:right w:val="none" w:sz="0" w:space="0" w:color="auto"/>
      </w:divBdr>
    </w:div>
    <w:div w:id="1976131392">
      <w:bodyDiv w:val="1"/>
      <w:marLeft w:val="0"/>
      <w:marRight w:val="0"/>
      <w:marTop w:val="0"/>
      <w:marBottom w:val="0"/>
      <w:divBdr>
        <w:top w:val="none" w:sz="0" w:space="0" w:color="auto"/>
        <w:left w:val="none" w:sz="0" w:space="0" w:color="auto"/>
        <w:bottom w:val="none" w:sz="0" w:space="0" w:color="auto"/>
        <w:right w:val="none" w:sz="0" w:space="0" w:color="auto"/>
      </w:divBdr>
    </w:div>
    <w:div w:id="1977176605">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 w:id="2028019253">
      <w:bodyDiv w:val="1"/>
      <w:marLeft w:val="0"/>
      <w:marRight w:val="0"/>
      <w:marTop w:val="0"/>
      <w:marBottom w:val="0"/>
      <w:divBdr>
        <w:top w:val="none" w:sz="0" w:space="0" w:color="auto"/>
        <w:left w:val="none" w:sz="0" w:space="0" w:color="auto"/>
        <w:bottom w:val="none" w:sz="0" w:space="0" w:color="auto"/>
        <w:right w:val="none" w:sz="0" w:space="0" w:color="auto"/>
      </w:divBdr>
    </w:div>
    <w:div w:id="2043554665">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064476664">
      <w:bodyDiv w:val="1"/>
      <w:marLeft w:val="0"/>
      <w:marRight w:val="0"/>
      <w:marTop w:val="0"/>
      <w:marBottom w:val="0"/>
      <w:divBdr>
        <w:top w:val="none" w:sz="0" w:space="0" w:color="auto"/>
        <w:left w:val="none" w:sz="0" w:space="0" w:color="auto"/>
        <w:bottom w:val="none" w:sz="0" w:space="0" w:color="auto"/>
        <w:right w:val="none" w:sz="0" w:space="0" w:color="auto"/>
      </w:divBdr>
    </w:div>
    <w:div w:id="2134015605">
      <w:bodyDiv w:val="1"/>
      <w:marLeft w:val="0"/>
      <w:marRight w:val="0"/>
      <w:marTop w:val="0"/>
      <w:marBottom w:val="0"/>
      <w:divBdr>
        <w:top w:val="none" w:sz="0" w:space="0" w:color="auto"/>
        <w:left w:val="none" w:sz="0" w:space="0" w:color="auto"/>
        <w:bottom w:val="none" w:sz="0" w:space="0" w:color="auto"/>
        <w:right w:val="none" w:sz="0" w:space="0" w:color="auto"/>
      </w:divBdr>
    </w:div>
    <w:div w:id="21459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 D O C U M E N T S ! 4 1 7 6 9 5 4 5 . 1 0 < / d o c u m e n t i d >  
     < s e n d e r i d > G R A H J A < / s e n d e r i d >  
     < s e n d e r e m a i l > J A M E S . G R A H A M @ A G S . G O V . A U < / s e n d e r e m a i l >  
     < l a s t m o d i f i e d > 2 0 2 1 - 1 0 - 2 9 T 1 0 : 3 5 : 0 0 . 0 0 0 0 0 0 0 + 1 1 : 0 0 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9FBC-DACC-49FB-B238-D434CC53DD33}">
  <ds:schemaRefs>
    <ds:schemaRef ds:uri="http://www.imanage.com/work/xmlschema"/>
  </ds:schemaRefs>
</ds:datastoreItem>
</file>

<file path=customXml/itemProps2.xml><?xml version="1.0" encoding="utf-8"?>
<ds:datastoreItem xmlns:ds="http://schemas.openxmlformats.org/officeDocument/2006/customXml" ds:itemID="{564B21DD-80D8-49BF-BAC0-233C0E45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11634</Words>
  <Characters>66316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2021-11-15T04:11:00Z</dcterms:created>
  <dcterms:modified xsi:type="dcterms:W3CDTF">2021-11-15T04:38:00Z</dcterms:modified>
</cp:coreProperties>
</file>