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3ACD" w14:textId="77777777" w:rsidR="00FF6E25" w:rsidRDefault="00FF6E25" w:rsidP="00FF6E25">
      <w:pPr>
        <w:jc w:val="center"/>
        <w:rPr>
          <w:rFonts w:asciiTheme="minorHAnsi" w:hAnsiTheme="minorHAnsi" w:cstheme="minorHAnsi"/>
          <w:b/>
          <w:szCs w:val="24"/>
          <w:highlight w:val="yellow"/>
          <w:u w:val="single"/>
        </w:rPr>
      </w:pPr>
      <w:r w:rsidRPr="009D6E63">
        <w:rPr>
          <w:rFonts w:asciiTheme="minorHAnsi" w:hAnsiTheme="minorHAnsi" w:cstheme="minorHAnsi"/>
          <w:b/>
          <w:szCs w:val="24"/>
          <w:u w:val="single"/>
        </w:rPr>
        <w:t>EXPLANATORY STATEMENT</w:t>
      </w:r>
    </w:p>
    <w:p w14:paraId="145EC655" w14:textId="45CB727E" w:rsidR="0088497A" w:rsidRPr="009D6E63" w:rsidRDefault="0088497A" w:rsidP="00FF6E25">
      <w:pPr>
        <w:jc w:val="center"/>
        <w:rPr>
          <w:rFonts w:asciiTheme="minorHAnsi" w:hAnsiTheme="minorHAnsi" w:cstheme="minorHAnsi"/>
          <w:szCs w:val="24"/>
          <w:u w:val="single"/>
        </w:rPr>
      </w:pPr>
      <w:r w:rsidRPr="0088497A">
        <w:rPr>
          <w:rFonts w:asciiTheme="minorHAnsi" w:hAnsiTheme="minorHAnsi" w:cstheme="minorHAnsi"/>
          <w:szCs w:val="24"/>
          <w:u w:val="single"/>
        </w:rPr>
        <w:t>Issued by the authority of</w:t>
      </w:r>
      <w:r w:rsidR="009D6E63">
        <w:rPr>
          <w:rFonts w:asciiTheme="minorHAnsi" w:hAnsiTheme="minorHAnsi" w:cstheme="minorHAnsi"/>
          <w:szCs w:val="24"/>
          <w:u w:val="single"/>
        </w:rPr>
        <w:t xml:space="preserve"> Minister for Education and Youth</w:t>
      </w:r>
    </w:p>
    <w:p w14:paraId="12EB6806" w14:textId="7548A347" w:rsidR="00455C2A" w:rsidRPr="009D6E63" w:rsidRDefault="009D6E63" w:rsidP="00FF6E25">
      <w:pPr>
        <w:jc w:val="center"/>
        <w:rPr>
          <w:rFonts w:asciiTheme="minorHAnsi" w:hAnsiTheme="minorHAnsi" w:cstheme="minorHAnsi"/>
          <w:b/>
          <w:i/>
          <w:szCs w:val="24"/>
        </w:rPr>
      </w:pPr>
      <w:r w:rsidRPr="009D6E63">
        <w:rPr>
          <w:rFonts w:asciiTheme="minorHAnsi" w:hAnsiTheme="minorHAnsi" w:cstheme="minorHAnsi"/>
          <w:b/>
          <w:i/>
          <w:iCs/>
          <w:szCs w:val="24"/>
        </w:rPr>
        <w:t>Higher Education Support Act 2003</w:t>
      </w:r>
    </w:p>
    <w:p w14:paraId="6C026A0C" w14:textId="34213957" w:rsidR="00503218" w:rsidRPr="0088497A" w:rsidRDefault="009D6E63" w:rsidP="00DA552F">
      <w:pPr>
        <w:jc w:val="center"/>
        <w:rPr>
          <w:rFonts w:asciiTheme="minorHAnsi" w:hAnsiTheme="minorHAnsi" w:cstheme="minorHAnsi"/>
          <w:b/>
          <w:i/>
          <w:szCs w:val="24"/>
        </w:rPr>
      </w:pPr>
      <w:bookmarkStart w:id="0" w:name="_Hlk83299542"/>
      <w:r w:rsidRPr="009D6E63">
        <w:rPr>
          <w:rFonts w:asciiTheme="minorHAnsi" w:hAnsiTheme="minorHAnsi" w:cstheme="minorHAnsi"/>
          <w:b/>
          <w:i/>
          <w:szCs w:val="24"/>
        </w:rPr>
        <w:t>Higher Education Support Amendment (Maximum Payments for Other Grants) Determination 2021</w:t>
      </w:r>
    </w:p>
    <w:p w14:paraId="33AB2D38" w14:textId="77777777" w:rsidR="00455C2A" w:rsidRDefault="00144950" w:rsidP="00B6580E">
      <w:pPr>
        <w:pStyle w:val="Heading2"/>
        <w:keepNext w:val="0"/>
        <w:rPr>
          <w:rFonts w:asciiTheme="minorHAnsi" w:hAnsiTheme="minorHAnsi" w:cstheme="minorHAnsi"/>
          <w:color w:val="auto"/>
        </w:rPr>
      </w:pPr>
      <w:bookmarkStart w:id="1" w:name="_Toc23942238"/>
      <w:bookmarkStart w:id="2" w:name="_Toc34293358"/>
      <w:bookmarkEnd w:id="0"/>
      <w:r>
        <w:rPr>
          <w:rFonts w:asciiTheme="minorHAnsi" w:hAnsiTheme="minorHAnsi" w:cstheme="minorHAnsi"/>
          <w:color w:val="auto"/>
        </w:rPr>
        <w:t>AUTHORITY</w:t>
      </w:r>
    </w:p>
    <w:p w14:paraId="6C81D101" w14:textId="44B568F7" w:rsidR="00FC59E3" w:rsidRDefault="00FC59E3" w:rsidP="00B6580E">
      <w:pPr>
        <w:pStyle w:val="Heading2"/>
        <w:keepNext w:val="0"/>
        <w:spacing w:after="240"/>
        <w:rPr>
          <w:rFonts w:asciiTheme="minorHAnsi" w:hAnsiTheme="minorHAnsi" w:cstheme="minorHAnsi"/>
          <w:b w:val="0"/>
          <w:bCs/>
        </w:rPr>
      </w:pPr>
      <w:r w:rsidRPr="00FC59E3">
        <w:rPr>
          <w:rFonts w:asciiTheme="minorHAnsi" w:hAnsiTheme="minorHAnsi" w:cstheme="minorHAnsi"/>
          <w:b w:val="0"/>
          <w:bCs/>
        </w:rPr>
        <w:t xml:space="preserve">The </w:t>
      </w:r>
      <w:bookmarkStart w:id="3" w:name="_Hlk83300798"/>
      <w:r w:rsidRPr="00FC59E3">
        <w:rPr>
          <w:rFonts w:asciiTheme="minorHAnsi" w:hAnsiTheme="minorHAnsi" w:cstheme="minorHAnsi"/>
          <w:b w:val="0"/>
          <w:bCs/>
          <w:i/>
          <w:iCs/>
          <w:color w:val="000000"/>
          <w:shd w:val="clear" w:color="auto" w:fill="FFFFFF"/>
        </w:rPr>
        <w:t xml:space="preserve">Higher Education Support (Maximum Payments for Other Grants) Determination 2020 </w:t>
      </w:r>
      <w:r w:rsidRPr="00FC59E3">
        <w:rPr>
          <w:rFonts w:asciiTheme="minorHAnsi" w:hAnsiTheme="minorHAnsi" w:cstheme="minorHAnsi"/>
          <w:b w:val="0"/>
          <w:bCs/>
          <w:color w:val="000000"/>
          <w:shd w:val="clear" w:color="auto" w:fill="FFFFFF"/>
        </w:rPr>
        <w:t>(the Principal Instrument)</w:t>
      </w:r>
      <w:bookmarkEnd w:id="3"/>
      <w:r w:rsidRPr="00FC59E3">
        <w:rPr>
          <w:rFonts w:asciiTheme="minorHAnsi" w:hAnsiTheme="minorHAnsi" w:cstheme="minorHAnsi"/>
          <w:b w:val="0"/>
          <w:bCs/>
          <w:color w:val="000000"/>
          <w:shd w:val="clear" w:color="auto" w:fill="FFFFFF"/>
        </w:rPr>
        <w:t xml:space="preserve"> is made under subsection 41-45(1</w:t>
      </w:r>
      <w:r w:rsidR="0035712B">
        <w:rPr>
          <w:rFonts w:asciiTheme="minorHAnsi" w:hAnsiTheme="minorHAnsi" w:cstheme="minorHAnsi"/>
          <w:b w:val="0"/>
          <w:bCs/>
          <w:color w:val="000000"/>
          <w:shd w:val="clear" w:color="auto" w:fill="FFFFFF"/>
        </w:rPr>
        <w:t>D</w:t>
      </w:r>
      <w:r w:rsidRPr="00FC59E3">
        <w:rPr>
          <w:rFonts w:asciiTheme="minorHAnsi" w:hAnsiTheme="minorHAnsi" w:cstheme="minorHAnsi"/>
          <w:b w:val="0"/>
          <w:bCs/>
          <w:color w:val="000000"/>
          <w:shd w:val="clear" w:color="auto" w:fill="FFFFFF"/>
        </w:rPr>
        <w:t xml:space="preserve">) of the </w:t>
      </w:r>
      <w:r w:rsidRPr="00FC59E3">
        <w:rPr>
          <w:rFonts w:asciiTheme="minorHAnsi" w:hAnsiTheme="minorHAnsi" w:cstheme="minorHAnsi"/>
          <w:b w:val="0"/>
          <w:bCs/>
          <w:i/>
          <w:iCs/>
        </w:rPr>
        <w:t>Higher Education Support Act 2003</w:t>
      </w:r>
      <w:r w:rsidRPr="00FC59E3">
        <w:rPr>
          <w:rFonts w:asciiTheme="minorHAnsi" w:hAnsiTheme="minorHAnsi" w:cstheme="minorHAnsi"/>
          <w:b w:val="0"/>
          <w:bCs/>
        </w:rPr>
        <w:t xml:space="preserve"> (the Act). The Principal Instrument </w:t>
      </w:r>
      <w:r w:rsidR="00EB2273" w:rsidRPr="00FC59E3">
        <w:rPr>
          <w:rFonts w:asciiTheme="minorHAnsi" w:hAnsiTheme="minorHAnsi" w:cstheme="minorHAnsi"/>
          <w:b w:val="0"/>
          <w:bCs/>
        </w:rPr>
        <w:t>determine</w:t>
      </w:r>
      <w:r w:rsidRPr="00FC59E3">
        <w:rPr>
          <w:rFonts w:asciiTheme="minorHAnsi" w:hAnsiTheme="minorHAnsi" w:cstheme="minorHAnsi"/>
          <w:b w:val="0"/>
          <w:bCs/>
        </w:rPr>
        <w:t>s</w:t>
      </w:r>
      <w:r w:rsidR="00EB2273" w:rsidRPr="00FC59E3">
        <w:rPr>
          <w:rFonts w:asciiTheme="minorHAnsi" w:hAnsiTheme="minorHAnsi" w:cstheme="minorHAnsi"/>
          <w:b w:val="0"/>
          <w:bCs/>
        </w:rPr>
        <w:t xml:space="preserve"> the total payments made under Part 2-3 (Other grants) of the Act in respect of a year starting on or after 1</w:t>
      </w:r>
      <w:r w:rsidR="000E1E9A">
        <w:rPr>
          <w:rFonts w:asciiTheme="minorHAnsi" w:hAnsiTheme="minorHAnsi" w:cstheme="minorHAnsi"/>
          <w:b w:val="0"/>
          <w:bCs/>
        </w:rPr>
        <w:t> </w:t>
      </w:r>
      <w:r w:rsidR="00EB2273" w:rsidRPr="00FC59E3">
        <w:rPr>
          <w:rFonts w:asciiTheme="minorHAnsi" w:hAnsiTheme="minorHAnsi" w:cstheme="minorHAnsi"/>
          <w:b w:val="0"/>
          <w:bCs/>
        </w:rPr>
        <w:t>January</w:t>
      </w:r>
      <w:r w:rsidR="000E1E9A">
        <w:rPr>
          <w:rFonts w:asciiTheme="minorHAnsi" w:hAnsiTheme="minorHAnsi" w:cstheme="minorHAnsi"/>
          <w:b w:val="0"/>
          <w:bCs/>
        </w:rPr>
        <w:t> </w:t>
      </w:r>
      <w:r w:rsidR="00EB2273" w:rsidRPr="00FC59E3">
        <w:rPr>
          <w:rFonts w:asciiTheme="minorHAnsi" w:hAnsiTheme="minorHAnsi" w:cstheme="minorHAnsi"/>
          <w:b w:val="0"/>
          <w:bCs/>
        </w:rPr>
        <w:t>2017.</w:t>
      </w:r>
    </w:p>
    <w:p w14:paraId="2C8087F8" w14:textId="766F6AD2" w:rsidR="00EB2273" w:rsidRPr="00FC59E3" w:rsidRDefault="00FC59E3" w:rsidP="00B6580E">
      <w:pPr>
        <w:pStyle w:val="Heading2"/>
        <w:keepNext w:val="0"/>
        <w:spacing w:after="240"/>
        <w:rPr>
          <w:rFonts w:asciiTheme="minorHAnsi" w:hAnsiTheme="minorHAnsi" w:cstheme="minorHAnsi"/>
          <w:b w:val="0"/>
          <w:bCs/>
          <w:i/>
          <w:color w:val="FF0000"/>
        </w:rPr>
      </w:pPr>
      <w:bookmarkStart w:id="4" w:name="_Hlk83300705"/>
      <w:r w:rsidRPr="00FC59E3">
        <w:rPr>
          <w:rFonts w:asciiTheme="minorHAnsi" w:hAnsiTheme="minorHAnsi" w:cstheme="minorHAnsi"/>
          <w:b w:val="0"/>
          <w:bCs/>
        </w:rPr>
        <w:t xml:space="preserve">Subsection 41-45(1D) of the Act </w:t>
      </w:r>
      <w:bookmarkEnd w:id="4"/>
      <w:r w:rsidRPr="00FC59E3">
        <w:rPr>
          <w:rFonts w:asciiTheme="minorHAnsi" w:hAnsiTheme="minorHAnsi" w:cstheme="minorHAnsi"/>
          <w:b w:val="0"/>
          <w:bCs/>
        </w:rPr>
        <w:t xml:space="preserve">provides that the Minister may, in writing, vary a determination under subsection 41-45(1B) of the Act for a year at any time before the end of that year. The amendment of the Principal Instrument </w:t>
      </w:r>
      <w:r w:rsidRPr="00FC59E3">
        <w:rPr>
          <w:rFonts w:asciiTheme="minorHAnsi" w:hAnsiTheme="minorHAnsi" w:cstheme="minorHAnsi"/>
          <w:b w:val="0"/>
          <w:bCs/>
          <w:color w:val="000000"/>
          <w:shd w:val="clear" w:color="auto" w:fill="FFFFFF"/>
        </w:rPr>
        <w:t>by the Schedule to</w:t>
      </w:r>
      <w:r w:rsidR="00065DE8">
        <w:rPr>
          <w:rFonts w:asciiTheme="minorHAnsi" w:hAnsiTheme="minorHAnsi" w:cstheme="minorHAnsi"/>
          <w:b w:val="0"/>
          <w:bCs/>
          <w:color w:val="000000"/>
          <w:shd w:val="clear" w:color="auto" w:fill="FFFFFF"/>
        </w:rPr>
        <w:t xml:space="preserve"> the</w:t>
      </w:r>
      <w:r w:rsidRPr="00FC59E3">
        <w:rPr>
          <w:rFonts w:asciiTheme="minorHAnsi" w:hAnsiTheme="minorHAnsi" w:cstheme="minorHAnsi"/>
          <w:b w:val="0"/>
          <w:bCs/>
          <w:color w:val="000000"/>
          <w:shd w:val="clear" w:color="auto" w:fill="FFFFFF"/>
        </w:rPr>
        <w:t xml:space="preserve"> </w:t>
      </w:r>
      <w:r w:rsidR="00065DE8" w:rsidRPr="00065DE8">
        <w:rPr>
          <w:rFonts w:asciiTheme="minorHAnsi" w:hAnsiTheme="minorHAnsi" w:cstheme="minorHAnsi"/>
          <w:b w:val="0"/>
          <w:bCs/>
          <w:i/>
          <w:iCs/>
          <w:color w:val="000000"/>
          <w:shd w:val="clear" w:color="auto" w:fill="FFFFFF"/>
        </w:rPr>
        <w:t>Higher Education Support Amendment (Maximum Payments for Other Grants) Determination 2021</w:t>
      </w:r>
      <w:r w:rsidR="00065DE8">
        <w:rPr>
          <w:rFonts w:asciiTheme="minorHAnsi" w:hAnsiTheme="minorHAnsi" w:cstheme="minorHAnsi"/>
          <w:b w:val="0"/>
          <w:bCs/>
          <w:i/>
          <w:iCs/>
          <w:color w:val="000000"/>
          <w:shd w:val="clear" w:color="auto" w:fill="FFFFFF"/>
        </w:rPr>
        <w:t xml:space="preserve"> </w:t>
      </w:r>
      <w:r w:rsidR="00065DE8">
        <w:rPr>
          <w:rFonts w:asciiTheme="minorHAnsi" w:hAnsiTheme="minorHAnsi" w:cstheme="minorHAnsi"/>
          <w:b w:val="0"/>
          <w:bCs/>
          <w:color w:val="000000"/>
          <w:shd w:val="clear" w:color="auto" w:fill="FFFFFF"/>
        </w:rPr>
        <w:t xml:space="preserve">(the Amendment Instrument) </w:t>
      </w:r>
      <w:r w:rsidRPr="00FC59E3">
        <w:rPr>
          <w:rFonts w:asciiTheme="minorHAnsi" w:hAnsiTheme="minorHAnsi" w:cstheme="minorHAnsi"/>
          <w:b w:val="0"/>
          <w:bCs/>
          <w:color w:val="000000"/>
          <w:shd w:val="clear" w:color="auto" w:fill="FFFFFF"/>
        </w:rPr>
        <w:t>relies on that provision.</w:t>
      </w:r>
    </w:p>
    <w:bookmarkEnd w:id="1"/>
    <w:bookmarkEnd w:id="2"/>
    <w:p w14:paraId="56CDA376" w14:textId="77777777" w:rsidR="00DA552F" w:rsidRPr="008134D5" w:rsidRDefault="00144950" w:rsidP="00B6580E">
      <w:pPr>
        <w:pStyle w:val="Heading2"/>
        <w:keepNext w:val="0"/>
        <w:rPr>
          <w:rFonts w:asciiTheme="minorHAnsi" w:hAnsiTheme="minorHAnsi" w:cstheme="minorHAnsi"/>
          <w:color w:val="auto"/>
        </w:rPr>
      </w:pPr>
      <w:r>
        <w:rPr>
          <w:rFonts w:asciiTheme="minorHAnsi" w:hAnsiTheme="minorHAnsi" w:cstheme="minorHAnsi"/>
          <w:color w:val="auto"/>
        </w:rPr>
        <w:t>PURPOSE AND OPERATION</w:t>
      </w:r>
    </w:p>
    <w:p w14:paraId="770827D4" w14:textId="2E57E878" w:rsidR="00D90E11" w:rsidRPr="00A070D3" w:rsidRDefault="00D90E11" w:rsidP="00D90E11">
      <w:pPr>
        <w:pStyle w:val="Heading2"/>
        <w:keepNext w:val="0"/>
        <w:spacing w:after="240"/>
        <w:rPr>
          <w:rFonts w:asciiTheme="minorHAnsi" w:hAnsiTheme="minorHAnsi" w:cstheme="minorHAnsi"/>
          <w:b w:val="0"/>
          <w:bCs/>
        </w:rPr>
      </w:pPr>
      <w:r w:rsidRPr="00A070D3">
        <w:rPr>
          <w:rFonts w:asciiTheme="minorHAnsi" w:hAnsiTheme="minorHAnsi" w:cstheme="minorHAnsi"/>
          <w:b w:val="0"/>
          <w:bCs/>
        </w:rPr>
        <w:t>The University of Notre Dame</w:t>
      </w:r>
      <w:r>
        <w:rPr>
          <w:rFonts w:asciiTheme="minorHAnsi" w:hAnsiTheme="minorHAnsi" w:cstheme="minorHAnsi"/>
          <w:b w:val="0"/>
          <w:bCs/>
        </w:rPr>
        <w:t xml:space="preserve"> Australia</w:t>
      </w:r>
      <w:r w:rsidRPr="00A070D3">
        <w:rPr>
          <w:rFonts w:asciiTheme="minorHAnsi" w:hAnsiTheme="minorHAnsi" w:cstheme="minorHAnsi"/>
          <w:b w:val="0"/>
          <w:bCs/>
        </w:rPr>
        <w:t xml:space="preserve"> (UNDA) became </w:t>
      </w:r>
      <w:r>
        <w:rPr>
          <w:rFonts w:asciiTheme="minorHAnsi" w:hAnsiTheme="minorHAnsi" w:cstheme="minorHAnsi"/>
          <w:b w:val="0"/>
          <w:bCs/>
        </w:rPr>
        <w:t xml:space="preserve">listed as </w:t>
      </w:r>
      <w:r w:rsidRPr="00A070D3">
        <w:rPr>
          <w:rFonts w:asciiTheme="minorHAnsi" w:hAnsiTheme="minorHAnsi" w:cstheme="minorHAnsi"/>
          <w:b w:val="0"/>
          <w:bCs/>
        </w:rPr>
        <w:t>a Table A provider</w:t>
      </w:r>
      <w:r>
        <w:rPr>
          <w:rFonts w:asciiTheme="minorHAnsi" w:hAnsiTheme="minorHAnsi" w:cstheme="minorHAnsi"/>
          <w:b w:val="0"/>
          <w:bCs/>
        </w:rPr>
        <w:t xml:space="preserve"> under section 16-15 of the Act</w:t>
      </w:r>
      <w:r w:rsidRPr="00A070D3">
        <w:rPr>
          <w:rFonts w:asciiTheme="minorHAnsi" w:hAnsiTheme="minorHAnsi" w:cstheme="minorHAnsi"/>
          <w:b w:val="0"/>
          <w:bCs/>
        </w:rPr>
        <w:t xml:space="preserve"> on 28 May 2021. As a Table A provider, UNDA is now eligible to receive grants</w:t>
      </w:r>
      <w:r>
        <w:rPr>
          <w:rFonts w:asciiTheme="minorHAnsi" w:hAnsiTheme="minorHAnsi" w:cstheme="minorHAnsi"/>
          <w:b w:val="0"/>
          <w:bCs/>
        </w:rPr>
        <w:t xml:space="preserve"> for a range of additional purposes and programs</w:t>
      </w:r>
      <w:r w:rsidRPr="00A070D3">
        <w:rPr>
          <w:rFonts w:asciiTheme="minorHAnsi" w:hAnsiTheme="minorHAnsi" w:cstheme="minorHAnsi"/>
          <w:b w:val="0"/>
          <w:bCs/>
        </w:rPr>
        <w:t xml:space="preserve"> under Part 2-3 of the Act</w:t>
      </w:r>
      <w:r>
        <w:rPr>
          <w:rFonts w:asciiTheme="minorHAnsi" w:hAnsiTheme="minorHAnsi" w:cstheme="minorHAnsi"/>
          <w:b w:val="0"/>
          <w:bCs/>
        </w:rPr>
        <w:t>, which deals with other grants</w:t>
      </w:r>
      <w:r w:rsidRPr="00A070D3">
        <w:rPr>
          <w:rFonts w:asciiTheme="minorHAnsi" w:hAnsiTheme="minorHAnsi" w:cstheme="minorHAnsi"/>
          <w:b w:val="0"/>
          <w:bCs/>
        </w:rPr>
        <w:t xml:space="preserve">. </w:t>
      </w:r>
      <w:r>
        <w:rPr>
          <w:rFonts w:asciiTheme="minorHAnsi" w:hAnsiTheme="minorHAnsi" w:cstheme="minorHAnsi"/>
          <w:b w:val="0"/>
          <w:bCs/>
        </w:rPr>
        <w:t>In particular, UNDA is now eligible to receive grants under the</w:t>
      </w:r>
      <w:r w:rsidRPr="004A69E3">
        <w:rPr>
          <w:rFonts w:asciiTheme="minorHAnsi" w:hAnsiTheme="minorHAnsi" w:cstheme="minorHAnsi"/>
          <w:b w:val="0"/>
          <w:bCs/>
        </w:rPr>
        <w:t xml:space="preserve"> Higher Education Participation and Partnerships Program (HEPPP) and </w:t>
      </w:r>
      <w:r>
        <w:rPr>
          <w:rFonts w:asciiTheme="minorHAnsi" w:hAnsiTheme="minorHAnsi" w:cstheme="minorHAnsi"/>
          <w:b w:val="0"/>
          <w:bCs/>
        </w:rPr>
        <w:t xml:space="preserve">the </w:t>
      </w:r>
      <w:r w:rsidRPr="004A69E3">
        <w:rPr>
          <w:rFonts w:asciiTheme="minorHAnsi" w:hAnsiTheme="minorHAnsi" w:cstheme="minorHAnsi"/>
          <w:b w:val="0"/>
          <w:bCs/>
        </w:rPr>
        <w:t>National Priorities and Industry Linkage Fund (NPILF)</w:t>
      </w:r>
      <w:r>
        <w:rPr>
          <w:rFonts w:asciiTheme="minorHAnsi" w:hAnsiTheme="minorHAnsi" w:cstheme="minorHAnsi"/>
          <w:b w:val="0"/>
          <w:bCs/>
        </w:rPr>
        <w:t>.</w:t>
      </w:r>
    </w:p>
    <w:p w14:paraId="466C0C5B" w14:textId="77777777" w:rsidR="00CC342F" w:rsidRPr="003D32AF" w:rsidRDefault="00CC342F" w:rsidP="00CC342F">
      <w:pPr>
        <w:spacing w:before="120" w:after="120"/>
        <w:rPr>
          <w:rFonts w:asciiTheme="minorHAnsi" w:hAnsiTheme="minorHAnsi" w:cstheme="minorHAnsi"/>
          <w:iCs/>
          <w:szCs w:val="24"/>
        </w:rPr>
      </w:pPr>
      <w:r>
        <w:rPr>
          <w:rFonts w:asciiTheme="minorHAnsi" w:hAnsiTheme="minorHAnsi" w:cstheme="minorHAnsi"/>
          <w:iCs/>
          <w:szCs w:val="24"/>
        </w:rPr>
        <w:t>T</w:t>
      </w:r>
      <w:r w:rsidRPr="003D32AF">
        <w:rPr>
          <w:rFonts w:asciiTheme="minorHAnsi" w:hAnsiTheme="minorHAnsi" w:cstheme="minorHAnsi"/>
          <w:iCs/>
          <w:szCs w:val="24"/>
        </w:rPr>
        <w:t>he objectives of the HEPPP are to promote equality of opportunity in higher education by improving:</w:t>
      </w:r>
    </w:p>
    <w:p w14:paraId="3A22E496" w14:textId="4F9FD0A3" w:rsidR="00CC342F" w:rsidRPr="003D32AF" w:rsidRDefault="00CC342F" w:rsidP="00CC342F">
      <w:pPr>
        <w:pStyle w:val="ListParagraph"/>
        <w:numPr>
          <w:ilvl w:val="0"/>
          <w:numId w:val="5"/>
        </w:numPr>
        <w:spacing w:before="120" w:after="120"/>
        <w:rPr>
          <w:rFonts w:asciiTheme="minorHAnsi" w:hAnsiTheme="minorHAnsi" w:cstheme="minorHAnsi"/>
          <w:iCs/>
          <w:szCs w:val="24"/>
        </w:rPr>
      </w:pPr>
      <w:r w:rsidRPr="003D32AF">
        <w:rPr>
          <w:rFonts w:asciiTheme="minorHAnsi" w:hAnsiTheme="minorHAnsi" w:cstheme="minorHAnsi"/>
          <w:iCs/>
          <w:szCs w:val="24"/>
        </w:rPr>
        <w:t xml:space="preserve">outreach to widen aspiration and promote higher education to persons from a low </w:t>
      </w:r>
      <w:r>
        <w:rPr>
          <w:rFonts w:asciiTheme="minorHAnsi" w:hAnsiTheme="minorHAnsi" w:cstheme="minorHAnsi"/>
          <w:iCs/>
          <w:szCs w:val="24"/>
        </w:rPr>
        <w:t>socio-economic (SES)</w:t>
      </w:r>
      <w:r w:rsidRPr="003D32AF">
        <w:rPr>
          <w:rFonts w:asciiTheme="minorHAnsi" w:hAnsiTheme="minorHAnsi" w:cstheme="minorHAnsi"/>
          <w:iCs/>
          <w:szCs w:val="24"/>
        </w:rPr>
        <w:t xml:space="preserve"> background, persons from regional areas and remote areas, and Indigenous persons; and</w:t>
      </w:r>
    </w:p>
    <w:p w14:paraId="67A82D0D" w14:textId="77777777" w:rsidR="00CC342F" w:rsidRPr="003D32AF" w:rsidRDefault="00CC342F" w:rsidP="00CC342F">
      <w:pPr>
        <w:pStyle w:val="ListParagraph"/>
        <w:numPr>
          <w:ilvl w:val="0"/>
          <w:numId w:val="5"/>
        </w:numPr>
        <w:spacing w:before="120" w:after="120"/>
        <w:rPr>
          <w:rFonts w:asciiTheme="minorHAnsi" w:hAnsiTheme="minorHAnsi" w:cstheme="minorHAnsi"/>
          <w:iCs/>
          <w:szCs w:val="24"/>
        </w:rPr>
      </w:pPr>
      <w:r w:rsidRPr="003D32AF">
        <w:rPr>
          <w:rFonts w:asciiTheme="minorHAnsi" w:hAnsiTheme="minorHAnsi" w:cstheme="minorHAnsi"/>
          <w:iCs/>
          <w:szCs w:val="24"/>
        </w:rPr>
        <w:t>the extent to which persons from a low SES background, persons from regional areas and remote areas, and Indigenous persons access, participate, remain and succeed in higher education, and obtain higher education awards.</w:t>
      </w:r>
    </w:p>
    <w:p w14:paraId="48622059" w14:textId="5A5BCE2F" w:rsidR="00717B45" w:rsidRDefault="00D90E11" w:rsidP="00CC342F">
      <w:pPr>
        <w:spacing w:before="120" w:after="120"/>
        <w:rPr>
          <w:rFonts w:asciiTheme="minorHAnsi" w:hAnsiTheme="minorHAnsi" w:cstheme="minorHAnsi"/>
          <w:iCs/>
          <w:szCs w:val="24"/>
        </w:rPr>
      </w:pPr>
      <w:r w:rsidRPr="00D90E11">
        <w:rPr>
          <w:rFonts w:asciiTheme="minorHAnsi" w:hAnsiTheme="minorHAnsi" w:cstheme="minorHAnsi"/>
          <w:iCs/>
          <w:szCs w:val="24"/>
        </w:rPr>
        <w:t xml:space="preserve">Grants under the HEPPP program are made to Table A providers in respect of a year. Amounts paid are calculated by a formula based on the proportion of students from a low </w:t>
      </w:r>
      <w:r w:rsidR="0044575A">
        <w:rPr>
          <w:rFonts w:asciiTheme="minorHAnsi" w:hAnsiTheme="minorHAnsi" w:cstheme="minorHAnsi"/>
          <w:iCs/>
          <w:szCs w:val="24"/>
        </w:rPr>
        <w:t>SES</w:t>
      </w:r>
      <w:r w:rsidRPr="00D90E11">
        <w:rPr>
          <w:rFonts w:asciiTheme="minorHAnsi" w:hAnsiTheme="minorHAnsi" w:cstheme="minorHAnsi"/>
          <w:iCs/>
          <w:szCs w:val="24"/>
        </w:rPr>
        <w:t xml:space="preserve"> background, Indigenous students, and regional and remote students enrolled with the provider.</w:t>
      </w:r>
    </w:p>
    <w:p w14:paraId="118F7FC7" w14:textId="6E7D9A4A" w:rsidR="00CC342F" w:rsidRPr="00CC342F" w:rsidRDefault="00CC342F" w:rsidP="00FD2959">
      <w:pPr>
        <w:spacing w:before="120" w:after="120"/>
      </w:pPr>
      <w:r w:rsidRPr="00D42441">
        <w:rPr>
          <w:rFonts w:asciiTheme="minorHAnsi" w:hAnsiTheme="minorHAnsi" w:cstheme="minorHAnsi"/>
          <w:iCs/>
          <w:szCs w:val="24"/>
        </w:rPr>
        <w:lastRenderedPageBreak/>
        <w:t>The NPILF is a program under which grants can be made to eligible providers for the purpose specified in item 13 of the table in subsection 41-10(1) of the Act—grants to encourage higher education providers to engage with industry. Grants made under the</w:t>
      </w:r>
      <w:r>
        <w:rPr>
          <w:rFonts w:asciiTheme="minorHAnsi" w:hAnsiTheme="minorHAnsi" w:cstheme="minorHAnsi"/>
          <w:iCs/>
          <w:szCs w:val="24"/>
        </w:rPr>
        <w:t> </w:t>
      </w:r>
      <w:r w:rsidRPr="00D42441">
        <w:rPr>
          <w:rFonts w:asciiTheme="minorHAnsi" w:hAnsiTheme="minorHAnsi" w:cstheme="minorHAnsi"/>
          <w:iCs/>
          <w:szCs w:val="24"/>
        </w:rPr>
        <w:t>NPILF are aimed at encouraging universities to engage with industry to increase the amount of work integrated learning across disciplines and the number of STEM-skilled graduates, as well as improving employment outcomes for graduates.</w:t>
      </w:r>
    </w:p>
    <w:p w14:paraId="5958394C" w14:textId="274A6EC3" w:rsidR="004A2E83" w:rsidRDefault="004A2E83" w:rsidP="00B6580E">
      <w:pPr>
        <w:pStyle w:val="Heading2"/>
        <w:keepNext w:val="0"/>
        <w:spacing w:after="240"/>
        <w:rPr>
          <w:rFonts w:asciiTheme="minorHAnsi" w:hAnsiTheme="minorHAnsi" w:cstheme="minorHAnsi"/>
          <w:b w:val="0"/>
          <w:bCs/>
        </w:rPr>
      </w:pPr>
      <w:r w:rsidRPr="00A070D3">
        <w:rPr>
          <w:rFonts w:asciiTheme="minorHAnsi" w:hAnsiTheme="minorHAnsi" w:cstheme="minorHAnsi"/>
          <w:b w:val="0"/>
          <w:bCs/>
        </w:rPr>
        <w:t xml:space="preserve">The </w:t>
      </w:r>
      <w:r w:rsidR="00065DE8" w:rsidRPr="00A070D3">
        <w:rPr>
          <w:rFonts w:asciiTheme="minorHAnsi" w:hAnsiTheme="minorHAnsi" w:cstheme="minorHAnsi"/>
          <w:b w:val="0"/>
          <w:bCs/>
        </w:rPr>
        <w:t xml:space="preserve">Amendment </w:t>
      </w:r>
      <w:r w:rsidRPr="00A070D3">
        <w:rPr>
          <w:rFonts w:asciiTheme="minorHAnsi" w:hAnsiTheme="minorHAnsi" w:cstheme="minorHAnsi"/>
          <w:b w:val="0"/>
          <w:bCs/>
        </w:rPr>
        <w:t xml:space="preserve">Instrument </w:t>
      </w:r>
      <w:r w:rsidR="009E5271">
        <w:rPr>
          <w:rFonts w:asciiTheme="minorHAnsi" w:hAnsiTheme="minorHAnsi" w:cstheme="minorHAnsi"/>
          <w:b w:val="0"/>
          <w:bCs/>
        </w:rPr>
        <w:t>increases</w:t>
      </w:r>
      <w:r w:rsidRPr="00A070D3">
        <w:rPr>
          <w:rFonts w:asciiTheme="minorHAnsi" w:hAnsiTheme="minorHAnsi" w:cstheme="minorHAnsi"/>
          <w:b w:val="0"/>
          <w:bCs/>
        </w:rPr>
        <w:t xml:space="preserve"> the maximum payments for grants </w:t>
      </w:r>
      <w:r w:rsidR="009E5271">
        <w:rPr>
          <w:rFonts w:asciiTheme="minorHAnsi" w:hAnsiTheme="minorHAnsi" w:cstheme="minorHAnsi"/>
          <w:b w:val="0"/>
          <w:bCs/>
        </w:rPr>
        <w:t>under Part 2</w:t>
      </w:r>
      <w:r w:rsidR="009E5271">
        <w:rPr>
          <w:rFonts w:asciiTheme="minorHAnsi" w:hAnsiTheme="minorHAnsi" w:cstheme="minorHAnsi"/>
          <w:b w:val="0"/>
          <w:bCs/>
        </w:rPr>
        <w:noBreakHyphen/>
        <w:t xml:space="preserve">3 of the Act </w:t>
      </w:r>
      <w:r w:rsidRPr="00A070D3">
        <w:rPr>
          <w:rFonts w:asciiTheme="minorHAnsi" w:hAnsiTheme="minorHAnsi" w:cstheme="minorHAnsi"/>
          <w:b w:val="0"/>
          <w:bCs/>
        </w:rPr>
        <w:t xml:space="preserve">to reflect the additional grant amounts </w:t>
      </w:r>
      <w:r w:rsidR="003065DB">
        <w:rPr>
          <w:rFonts w:asciiTheme="minorHAnsi" w:hAnsiTheme="minorHAnsi" w:cstheme="minorHAnsi"/>
          <w:b w:val="0"/>
          <w:bCs/>
        </w:rPr>
        <w:t>for the HEPPP and the NPILF that may</w:t>
      </w:r>
      <w:r w:rsidRPr="00A070D3">
        <w:rPr>
          <w:rFonts w:asciiTheme="minorHAnsi" w:hAnsiTheme="minorHAnsi" w:cstheme="minorHAnsi"/>
          <w:b w:val="0"/>
          <w:bCs/>
        </w:rPr>
        <w:t xml:space="preserve"> be paid to UNDA now that they are a Table</w:t>
      </w:r>
      <w:r w:rsidR="00A070D3" w:rsidRPr="00A070D3">
        <w:rPr>
          <w:rFonts w:asciiTheme="minorHAnsi" w:hAnsiTheme="minorHAnsi" w:cstheme="minorHAnsi"/>
          <w:b w:val="0"/>
          <w:bCs/>
        </w:rPr>
        <w:t> </w:t>
      </w:r>
      <w:r w:rsidRPr="00A070D3">
        <w:rPr>
          <w:rFonts w:asciiTheme="minorHAnsi" w:hAnsiTheme="minorHAnsi" w:cstheme="minorHAnsi"/>
          <w:b w:val="0"/>
          <w:bCs/>
        </w:rPr>
        <w:t>A provider.</w:t>
      </w:r>
      <w:r w:rsidR="004A69E3">
        <w:rPr>
          <w:rFonts w:asciiTheme="minorHAnsi" w:hAnsiTheme="minorHAnsi" w:cstheme="minorHAnsi"/>
          <w:b w:val="0"/>
          <w:bCs/>
        </w:rPr>
        <w:t xml:space="preserve"> </w:t>
      </w:r>
      <w:r w:rsidR="004A69E3" w:rsidRPr="004A69E3">
        <w:rPr>
          <w:rFonts w:asciiTheme="minorHAnsi" w:hAnsiTheme="minorHAnsi" w:cstheme="minorHAnsi"/>
          <w:b w:val="0"/>
          <w:bCs/>
        </w:rPr>
        <w:t>Th</w:t>
      </w:r>
      <w:r w:rsidR="004A69E3">
        <w:rPr>
          <w:rFonts w:asciiTheme="minorHAnsi" w:hAnsiTheme="minorHAnsi" w:cstheme="minorHAnsi"/>
          <w:b w:val="0"/>
          <w:bCs/>
        </w:rPr>
        <w:t>is</w:t>
      </w:r>
      <w:r w:rsidR="004A69E3" w:rsidRPr="004A69E3">
        <w:rPr>
          <w:rFonts w:asciiTheme="minorHAnsi" w:hAnsiTheme="minorHAnsi" w:cstheme="minorHAnsi"/>
          <w:b w:val="0"/>
          <w:bCs/>
        </w:rPr>
        <w:t xml:space="preserve"> increase</w:t>
      </w:r>
      <w:r w:rsidR="004A69E3">
        <w:rPr>
          <w:rFonts w:asciiTheme="minorHAnsi" w:hAnsiTheme="minorHAnsi" w:cstheme="minorHAnsi"/>
          <w:b w:val="0"/>
          <w:bCs/>
        </w:rPr>
        <w:t xml:space="preserve"> </w:t>
      </w:r>
      <w:r w:rsidR="004A69E3" w:rsidRPr="004A69E3">
        <w:rPr>
          <w:rFonts w:asciiTheme="minorHAnsi" w:hAnsiTheme="minorHAnsi" w:cstheme="minorHAnsi"/>
          <w:b w:val="0"/>
          <w:bCs/>
        </w:rPr>
        <w:t>ensure</w:t>
      </w:r>
      <w:r w:rsidR="004A69E3">
        <w:rPr>
          <w:rFonts w:asciiTheme="minorHAnsi" w:hAnsiTheme="minorHAnsi" w:cstheme="minorHAnsi"/>
          <w:b w:val="0"/>
          <w:bCs/>
        </w:rPr>
        <w:t xml:space="preserve">s </w:t>
      </w:r>
      <w:r w:rsidR="004A69E3" w:rsidRPr="004A69E3">
        <w:rPr>
          <w:rFonts w:asciiTheme="minorHAnsi" w:hAnsiTheme="minorHAnsi" w:cstheme="minorHAnsi"/>
          <w:b w:val="0"/>
          <w:bCs/>
        </w:rPr>
        <w:t xml:space="preserve">that </w:t>
      </w:r>
      <w:r w:rsidR="003065DB">
        <w:rPr>
          <w:rFonts w:asciiTheme="minorHAnsi" w:hAnsiTheme="minorHAnsi" w:cstheme="minorHAnsi"/>
          <w:b w:val="0"/>
          <w:bCs/>
        </w:rPr>
        <w:t xml:space="preserve">these </w:t>
      </w:r>
      <w:r w:rsidR="004A69E3" w:rsidRPr="004A69E3">
        <w:rPr>
          <w:rFonts w:asciiTheme="minorHAnsi" w:hAnsiTheme="minorHAnsi" w:cstheme="minorHAnsi"/>
          <w:b w:val="0"/>
          <w:bCs/>
        </w:rPr>
        <w:t>grant amounts</w:t>
      </w:r>
      <w:r w:rsidR="00CC342F">
        <w:rPr>
          <w:rFonts w:asciiTheme="minorHAnsi" w:hAnsiTheme="minorHAnsi" w:cstheme="minorHAnsi"/>
          <w:b w:val="0"/>
          <w:bCs/>
        </w:rPr>
        <w:t xml:space="preserve"> can be paid to UNDA without decreasing the amounts</w:t>
      </w:r>
      <w:r w:rsidR="004A69E3" w:rsidRPr="004A69E3">
        <w:rPr>
          <w:rFonts w:asciiTheme="minorHAnsi" w:hAnsiTheme="minorHAnsi" w:cstheme="minorHAnsi"/>
          <w:b w:val="0"/>
          <w:bCs/>
        </w:rPr>
        <w:t xml:space="preserve"> which would have been provided to other</w:t>
      </w:r>
      <w:r w:rsidR="004A69E3">
        <w:rPr>
          <w:rFonts w:asciiTheme="minorHAnsi" w:hAnsiTheme="minorHAnsi" w:cstheme="minorHAnsi"/>
          <w:b w:val="0"/>
          <w:bCs/>
        </w:rPr>
        <w:t xml:space="preserve"> eligible providers</w:t>
      </w:r>
      <w:r w:rsidR="004A69E3" w:rsidRPr="004A69E3">
        <w:rPr>
          <w:rFonts w:asciiTheme="minorHAnsi" w:hAnsiTheme="minorHAnsi" w:cstheme="minorHAnsi"/>
          <w:b w:val="0"/>
          <w:bCs/>
        </w:rPr>
        <w:t>.</w:t>
      </w:r>
    </w:p>
    <w:p w14:paraId="626F1531" w14:textId="77777777" w:rsidR="00350779" w:rsidRPr="00350779" w:rsidRDefault="00144950" w:rsidP="00B6580E">
      <w:pPr>
        <w:pStyle w:val="Heading2"/>
        <w:rPr>
          <w:rFonts w:asciiTheme="minorHAnsi" w:hAnsiTheme="minorHAnsi" w:cstheme="minorHAnsi"/>
          <w:color w:val="auto"/>
        </w:rPr>
      </w:pPr>
      <w:r>
        <w:rPr>
          <w:rFonts w:asciiTheme="minorHAnsi" w:hAnsiTheme="minorHAnsi" w:cstheme="minorHAnsi"/>
          <w:color w:val="auto"/>
        </w:rPr>
        <w:t>REGULATORY IMPACT</w:t>
      </w:r>
    </w:p>
    <w:p w14:paraId="086675F1" w14:textId="3EE9AA0D" w:rsidR="003F38FF" w:rsidRPr="00CD4DE5" w:rsidRDefault="003F38FF" w:rsidP="003F38FF">
      <w:pPr>
        <w:spacing w:before="120" w:after="120"/>
        <w:rPr>
          <w:rFonts w:asciiTheme="minorHAnsi" w:hAnsiTheme="minorHAnsi" w:cstheme="minorHAnsi"/>
          <w:szCs w:val="24"/>
        </w:rPr>
      </w:pPr>
      <w:r>
        <w:rPr>
          <w:rFonts w:asciiTheme="minorHAnsi" w:hAnsiTheme="minorHAnsi" w:cstheme="minorHAnsi"/>
          <w:szCs w:val="24"/>
        </w:rPr>
        <w:t xml:space="preserve">The </w:t>
      </w:r>
      <w:r w:rsidRPr="00CD4DE5">
        <w:rPr>
          <w:rFonts w:asciiTheme="minorHAnsi" w:hAnsiTheme="minorHAnsi" w:cstheme="minorHAnsi"/>
          <w:szCs w:val="24"/>
        </w:rPr>
        <w:t>Office of Best Practice Regulation has advised that no R</w:t>
      </w:r>
      <w:r w:rsidR="00222275">
        <w:rPr>
          <w:rFonts w:asciiTheme="minorHAnsi" w:hAnsiTheme="minorHAnsi" w:cstheme="minorHAnsi"/>
          <w:szCs w:val="24"/>
        </w:rPr>
        <w:t>egulatory Impact Statement</w:t>
      </w:r>
      <w:r w:rsidRPr="00CD4DE5">
        <w:rPr>
          <w:rFonts w:asciiTheme="minorHAnsi" w:hAnsiTheme="minorHAnsi" w:cstheme="minorHAnsi"/>
          <w:szCs w:val="24"/>
        </w:rPr>
        <w:t xml:space="preserve"> is required as the instrument is unlikely to have a more than minor regulatory impact (OBPR ID: 44</w:t>
      </w:r>
      <w:r>
        <w:rPr>
          <w:rFonts w:asciiTheme="minorHAnsi" w:hAnsiTheme="minorHAnsi" w:cstheme="minorHAnsi"/>
          <w:szCs w:val="24"/>
        </w:rPr>
        <w:t>745</w:t>
      </w:r>
      <w:r w:rsidRPr="00CD4DE5">
        <w:rPr>
          <w:rFonts w:asciiTheme="minorHAnsi" w:hAnsiTheme="minorHAnsi" w:cstheme="minorHAnsi"/>
          <w:szCs w:val="24"/>
        </w:rPr>
        <w:t>).</w:t>
      </w:r>
    </w:p>
    <w:p w14:paraId="4818CCF0" w14:textId="77777777" w:rsidR="00696CF0" w:rsidRPr="0088497A" w:rsidRDefault="00144950" w:rsidP="00B6580E">
      <w:pPr>
        <w:pStyle w:val="Heading2"/>
        <w:keepNext w:val="0"/>
        <w:rPr>
          <w:rFonts w:asciiTheme="minorHAnsi" w:hAnsiTheme="minorHAnsi" w:cstheme="minorHAnsi"/>
          <w:color w:val="auto"/>
        </w:rPr>
      </w:pPr>
      <w:r w:rsidRPr="0088497A">
        <w:rPr>
          <w:rFonts w:asciiTheme="minorHAnsi" w:hAnsiTheme="minorHAnsi" w:cstheme="minorHAnsi"/>
          <w:color w:val="auto"/>
        </w:rPr>
        <w:t>COMMENC</w:t>
      </w:r>
      <w:r>
        <w:rPr>
          <w:rFonts w:asciiTheme="minorHAnsi" w:hAnsiTheme="minorHAnsi" w:cstheme="minorHAnsi"/>
          <w:color w:val="auto"/>
        </w:rPr>
        <w:t>E</w:t>
      </w:r>
      <w:r w:rsidRPr="0088497A">
        <w:rPr>
          <w:rFonts w:asciiTheme="minorHAnsi" w:hAnsiTheme="minorHAnsi" w:cstheme="minorHAnsi"/>
          <w:color w:val="auto"/>
        </w:rPr>
        <w:t>MENT</w:t>
      </w:r>
    </w:p>
    <w:p w14:paraId="7A7AF185" w14:textId="723A41D5" w:rsidR="00696CF0" w:rsidRPr="00EB2273" w:rsidRDefault="00EB2273" w:rsidP="00B6580E">
      <w:pPr>
        <w:spacing w:before="120" w:after="120"/>
        <w:rPr>
          <w:rFonts w:asciiTheme="minorHAnsi" w:hAnsiTheme="minorHAnsi" w:cstheme="minorHAnsi"/>
          <w:iCs/>
          <w:szCs w:val="24"/>
        </w:rPr>
      </w:pPr>
      <w:bookmarkStart w:id="5" w:name="_Hlk83371273"/>
      <w:r w:rsidRPr="00EB2273">
        <w:rPr>
          <w:rFonts w:asciiTheme="minorHAnsi" w:hAnsiTheme="minorHAnsi" w:cstheme="minorHAnsi"/>
          <w:iCs/>
          <w:szCs w:val="24"/>
        </w:rPr>
        <w:t>This instrument commence</w:t>
      </w:r>
      <w:r w:rsidR="00610E7D">
        <w:rPr>
          <w:rFonts w:asciiTheme="minorHAnsi" w:hAnsiTheme="minorHAnsi" w:cstheme="minorHAnsi"/>
          <w:iCs/>
          <w:szCs w:val="24"/>
        </w:rPr>
        <w:t>s</w:t>
      </w:r>
      <w:r w:rsidRPr="00EB2273">
        <w:rPr>
          <w:rFonts w:asciiTheme="minorHAnsi" w:hAnsiTheme="minorHAnsi" w:cstheme="minorHAnsi"/>
          <w:iCs/>
          <w:szCs w:val="24"/>
        </w:rPr>
        <w:t xml:space="preserve"> on the day after it is registered on the Federal Register of Legislation. </w:t>
      </w:r>
    </w:p>
    <w:p w14:paraId="59906F74" w14:textId="77777777" w:rsidR="00696CF0" w:rsidRPr="008134D5" w:rsidRDefault="00144950" w:rsidP="00B6580E">
      <w:pPr>
        <w:pStyle w:val="Heading2"/>
        <w:keepNext w:val="0"/>
        <w:rPr>
          <w:rFonts w:asciiTheme="minorHAnsi" w:hAnsiTheme="minorHAnsi" w:cstheme="minorHAnsi"/>
          <w:color w:val="auto"/>
        </w:rPr>
      </w:pPr>
      <w:bookmarkStart w:id="6" w:name="_Toc34293360"/>
      <w:bookmarkEnd w:id="5"/>
      <w:r w:rsidRPr="008134D5">
        <w:rPr>
          <w:rFonts w:asciiTheme="minorHAnsi" w:hAnsiTheme="minorHAnsi" w:cstheme="minorHAnsi"/>
          <w:color w:val="auto"/>
        </w:rPr>
        <w:t>CONSULTATION</w:t>
      </w:r>
      <w:bookmarkEnd w:id="6"/>
    </w:p>
    <w:p w14:paraId="4A5F03A6" w14:textId="370E7F0A" w:rsidR="00FD2959" w:rsidRPr="008D5907" w:rsidRDefault="00FD2959" w:rsidP="00FD2959">
      <w:pPr>
        <w:spacing w:before="120" w:after="120"/>
        <w:rPr>
          <w:rFonts w:asciiTheme="minorHAnsi" w:hAnsiTheme="minorHAnsi" w:cstheme="minorHAnsi"/>
          <w:iCs/>
          <w:szCs w:val="24"/>
        </w:rPr>
      </w:pPr>
      <w:r>
        <w:rPr>
          <w:rFonts w:asciiTheme="minorHAnsi" w:hAnsiTheme="minorHAnsi" w:cstheme="minorHAnsi"/>
          <w:iCs/>
          <w:szCs w:val="24"/>
        </w:rPr>
        <w:t>C</w:t>
      </w:r>
      <w:r w:rsidRPr="008D5907">
        <w:rPr>
          <w:rFonts w:asciiTheme="minorHAnsi" w:hAnsiTheme="minorHAnsi" w:cstheme="minorHAnsi"/>
          <w:iCs/>
          <w:szCs w:val="24"/>
        </w:rPr>
        <w:t>onsultation was not undertaken on the Amendment Instrument as it does not create any new rights or liabilities or make any grants under Part 2-3 of the Act. Rather, the Amendment Instrument is a technical step that must be taken by the Minister to enable UNDA to receive grant amounts without impacting the grant amounts of other eligible bodies corporate. As such, it was not appropriate for broad consultation to be undertaken on the Amendment Instrument.</w:t>
      </w:r>
    </w:p>
    <w:p w14:paraId="3A6EE0A5" w14:textId="77777777" w:rsidR="00DA552F" w:rsidRPr="008134D5" w:rsidRDefault="00DA552F" w:rsidP="00B22F7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134D5" w:rsidRDefault="00DA552F" w:rsidP="00F62708">
      <w:pPr>
        <w:pStyle w:val="Heading2"/>
        <w:jc w:val="center"/>
        <w:rPr>
          <w:rFonts w:asciiTheme="minorHAnsi" w:hAnsiTheme="minorHAnsi" w:cstheme="minorHAnsi"/>
          <w:color w:val="auto"/>
        </w:rPr>
      </w:pPr>
      <w:bookmarkStart w:id="7" w:name="_Toc23942241"/>
      <w:bookmarkStart w:id="8" w:name="_Toc34293362"/>
      <w:r w:rsidRPr="008134D5">
        <w:rPr>
          <w:rFonts w:asciiTheme="minorHAnsi" w:hAnsiTheme="minorHAnsi" w:cstheme="minorHAnsi"/>
          <w:color w:val="auto"/>
        </w:rPr>
        <w:lastRenderedPageBreak/>
        <w:t>STATEMENT OF COMPATIBILITY WITH HUMAN RIGHTS</w:t>
      </w:r>
      <w:bookmarkEnd w:id="7"/>
      <w:bookmarkEnd w:id="8"/>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05F3E09D" w:rsidR="00DA552F" w:rsidRPr="008134D5" w:rsidRDefault="00FC59E3" w:rsidP="00DA552F">
      <w:pPr>
        <w:spacing w:before="120" w:after="120"/>
        <w:jc w:val="center"/>
        <w:rPr>
          <w:rFonts w:asciiTheme="minorHAnsi" w:hAnsiTheme="minorHAnsi" w:cstheme="minorHAnsi"/>
          <w:szCs w:val="24"/>
        </w:rPr>
      </w:pPr>
      <w:r w:rsidRPr="00FC59E3">
        <w:rPr>
          <w:rFonts w:asciiTheme="minorHAnsi" w:hAnsiTheme="minorHAnsi" w:cstheme="minorHAnsi"/>
          <w:szCs w:val="24"/>
          <w:u w:val="single"/>
        </w:rPr>
        <w:t>Higher Education Support Amendment (Maximum Payments for Other Grants) Determination 2021</w:t>
      </w:r>
    </w:p>
    <w:p w14:paraId="65F6CFAB" w14:textId="31713E2C"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The</w:t>
      </w:r>
      <w:r w:rsidR="00FC59E3">
        <w:rPr>
          <w:rFonts w:asciiTheme="minorHAnsi" w:hAnsiTheme="minorHAnsi" w:cstheme="minorHAnsi"/>
          <w:szCs w:val="24"/>
        </w:rPr>
        <w:t xml:space="preserve"> </w:t>
      </w:r>
      <w:r w:rsidR="00FC59E3" w:rsidRPr="00FC59E3">
        <w:rPr>
          <w:rFonts w:asciiTheme="minorHAnsi" w:hAnsiTheme="minorHAnsi" w:cstheme="minorHAnsi"/>
          <w:i/>
          <w:iCs/>
          <w:szCs w:val="24"/>
        </w:rPr>
        <w:t>Higher Education Support Amendment (Maximum Payments for Other Grants) Determination 2021</w:t>
      </w:r>
      <w:r w:rsidR="001E52EB">
        <w:rPr>
          <w:rFonts w:asciiTheme="minorHAnsi" w:hAnsiTheme="minorHAnsi" w:cstheme="minorHAnsi"/>
          <w:szCs w:val="24"/>
        </w:rPr>
        <w:t xml:space="preserve"> (the </w:t>
      </w:r>
      <w:r w:rsidR="00065DE8">
        <w:rPr>
          <w:rFonts w:asciiTheme="minorHAnsi" w:hAnsiTheme="minorHAnsi" w:cstheme="minorHAnsi"/>
          <w:szCs w:val="24"/>
        </w:rPr>
        <w:t xml:space="preserve">Amendment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 xml:space="preserve">Overview of the </w:t>
      </w:r>
      <w:r w:rsidR="002C40FB">
        <w:rPr>
          <w:rFonts w:asciiTheme="minorHAnsi" w:hAnsiTheme="minorHAnsi" w:cstheme="minorHAnsi"/>
          <w:b/>
          <w:szCs w:val="24"/>
        </w:rPr>
        <w:t>Legislative Instrument</w:t>
      </w:r>
    </w:p>
    <w:p w14:paraId="7070493A" w14:textId="77777777" w:rsidR="00171672" w:rsidRPr="00A070D3" w:rsidRDefault="00171672" w:rsidP="00171672">
      <w:pPr>
        <w:pStyle w:val="Heading2"/>
        <w:keepNext w:val="0"/>
        <w:spacing w:after="240"/>
        <w:rPr>
          <w:rFonts w:asciiTheme="minorHAnsi" w:hAnsiTheme="minorHAnsi" w:cstheme="minorHAnsi"/>
          <w:b w:val="0"/>
          <w:bCs/>
        </w:rPr>
      </w:pPr>
      <w:r w:rsidRPr="00A070D3">
        <w:rPr>
          <w:rFonts w:asciiTheme="minorHAnsi" w:hAnsiTheme="minorHAnsi" w:cstheme="minorHAnsi"/>
          <w:b w:val="0"/>
          <w:bCs/>
        </w:rPr>
        <w:t>The University of Notre Dame</w:t>
      </w:r>
      <w:r>
        <w:rPr>
          <w:rFonts w:asciiTheme="minorHAnsi" w:hAnsiTheme="minorHAnsi" w:cstheme="minorHAnsi"/>
          <w:b w:val="0"/>
          <w:bCs/>
        </w:rPr>
        <w:t xml:space="preserve"> Australia</w:t>
      </w:r>
      <w:r w:rsidRPr="00A070D3">
        <w:rPr>
          <w:rFonts w:asciiTheme="minorHAnsi" w:hAnsiTheme="minorHAnsi" w:cstheme="minorHAnsi"/>
          <w:b w:val="0"/>
          <w:bCs/>
        </w:rPr>
        <w:t xml:space="preserve"> (UNDA) became </w:t>
      </w:r>
      <w:r>
        <w:rPr>
          <w:rFonts w:asciiTheme="minorHAnsi" w:hAnsiTheme="minorHAnsi" w:cstheme="minorHAnsi"/>
          <w:b w:val="0"/>
          <w:bCs/>
        </w:rPr>
        <w:t xml:space="preserve">listed as </w:t>
      </w:r>
      <w:r w:rsidRPr="00A070D3">
        <w:rPr>
          <w:rFonts w:asciiTheme="minorHAnsi" w:hAnsiTheme="minorHAnsi" w:cstheme="minorHAnsi"/>
          <w:b w:val="0"/>
          <w:bCs/>
        </w:rPr>
        <w:t>a Table A provider</w:t>
      </w:r>
      <w:r>
        <w:rPr>
          <w:rFonts w:asciiTheme="minorHAnsi" w:hAnsiTheme="minorHAnsi" w:cstheme="minorHAnsi"/>
          <w:b w:val="0"/>
          <w:bCs/>
        </w:rPr>
        <w:t xml:space="preserve"> under section 16-15 of the Act</w:t>
      </w:r>
      <w:r w:rsidRPr="00A070D3">
        <w:rPr>
          <w:rFonts w:asciiTheme="minorHAnsi" w:hAnsiTheme="minorHAnsi" w:cstheme="minorHAnsi"/>
          <w:b w:val="0"/>
          <w:bCs/>
        </w:rPr>
        <w:t xml:space="preserve"> on 28 May 2021. As a Table A provider, UNDA is now eligible to receive grants</w:t>
      </w:r>
      <w:r>
        <w:rPr>
          <w:rFonts w:asciiTheme="minorHAnsi" w:hAnsiTheme="minorHAnsi" w:cstheme="minorHAnsi"/>
          <w:b w:val="0"/>
          <w:bCs/>
        </w:rPr>
        <w:t xml:space="preserve"> for a range of additional purposes and programs</w:t>
      </w:r>
      <w:r w:rsidRPr="00A070D3">
        <w:rPr>
          <w:rFonts w:asciiTheme="minorHAnsi" w:hAnsiTheme="minorHAnsi" w:cstheme="minorHAnsi"/>
          <w:b w:val="0"/>
          <w:bCs/>
        </w:rPr>
        <w:t xml:space="preserve"> under Part 2-3 of the Act</w:t>
      </w:r>
      <w:r>
        <w:rPr>
          <w:rFonts w:asciiTheme="minorHAnsi" w:hAnsiTheme="minorHAnsi" w:cstheme="minorHAnsi"/>
          <w:b w:val="0"/>
          <w:bCs/>
        </w:rPr>
        <w:t>, which deals with other grants</w:t>
      </w:r>
      <w:r w:rsidRPr="00A070D3">
        <w:rPr>
          <w:rFonts w:asciiTheme="minorHAnsi" w:hAnsiTheme="minorHAnsi" w:cstheme="minorHAnsi"/>
          <w:b w:val="0"/>
          <w:bCs/>
        </w:rPr>
        <w:t xml:space="preserve">. </w:t>
      </w:r>
      <w:r>
        <w:rPr>
          <w:rFonts w:asciiTheme="minorHAnsi" w:hAnsiTheme="minorHAnsi" w:cstheme="minorHAnsi"/>
          <w:b w:val="0"/>
          <w:bCs/>
        </w:rPr>
        <w:t>In particular, UNDA is now eligible to receive grants under the</w:t>
      </w:r>
      <w:r w:rsidRPr="004A69E3">
        <w:rPr>
          <w:rFonts w:asciiTheme="minorHAnsi" w:hAnsiTheme="minorHAnsi" w:cstheme="minorHAnsi"/>
          <w:b w:val="0"/>
          <w:bCs/>
        </w:rPr>
        <w:t xml:space="preserve"> Higher Education Participation and Partnerships Program (HEPPP) and </w:t>
      </w:r>
      <w:r>
        <w:rPr>
          <w:rFonts w:asciiTheme="minorHAnsi" w:hAnsiTheme="minorHAnsi" w:cstheme="minorHAnsi"/>
          <w:b w:val="0"/>
          <w:bCs/>
        </w:rPr>
        <w:t xml:space="preserve">the </w:t>
      </w:r>
      <w:r w:rsidRPr="004A69E3">
        <w:rPr>
          <w:rFonts w:asciiTheme="minorHAnsi" w:hAnsiTheme="minorHAnsi" w:cstheme="minorHAnsi"/>
          <w:b w:val="0"/>
          <w:bCs/>
        </w:rPr>
        <w:t>National Priorities and Industry Linkage Fund (NPILF)</w:t>
      </w:r>
      <w:r>
        <w:rPr>
          <w:rFonts w:asciiTheme="minorHAnsi" w:hAnsiTheme="minorHAnsi" w:cstheme="minorHAnsi"/>
          <w:b w:val="0"/>
          <w:bCs/>
        </w:rPr>
        <w:t>.</w:t>
      </w:r>
    </w:p>
    <w:p w14:paraId="1EB626FD" w14:textId="77777777" w:rsidR="00171672" w:rsidRPr="003D32AF" w:rsidRDefault="00171672" w:rsidP="00171672">
      <w:pPr>
        <w:spacing w:before="120" w:after="120"/>
        <w:rPr>
          <w:rFonts w:asciiTheme="minorHAnsi" w:hAnsiTheme="minorHAnsi" w:cstheme="minorHAnsi"/>
          <w:iCs/>
          <w:szCs w:val="24"/>
        </w:rPr>
      </w:pPr>
      <w:r>
        <w:rPr>
          <w:rFonts w:asciiTheme="minorHAnsi" w:hAnsiTheme="minorHAnsi" w:cstheme="minorHAnsi"/>
          <w:iCs/>
          <w:szCs w:val="24"/>
        </w:rPr>
        <w:t>T</w:t>
      </w:r>
      <w:r w:rsidRPr="003D32AF">
        <w:rPr>
          <w:rFonts w:asciiTheme="minorHAnsi" w:hAnsiTheme="minorHAnsi" w:cstheme="minorHAnsi"/>
          <w:iCs/>
          <w:szCs w:val="24"/>
        </w:rPr>
        <w:t>he objectives of the HEPPP are to promote equality of opportunity in higher education by improving:</w:t>
      </w:r>
    </w:p>
    <w:p w14:paraId="4D02878F" w14:textId="77777777" w:rsidR="00171672" w:rsidRPr="003D32AF" w:rsidRDefault="00171672" w:rsidP="00171672">
      <w:pPr>
        <w:pStyle w:val="ListParagraph"/>
        <w:numPr>
          <w:ilvl w:val="0"/>
          <w:numId w:val="7"/>
        </w:numPr>
        <w:spacing w:before="120" w:after="120"/>
        <w:rPr>
          <w:rFonts w:asciiTheme="minorHAnsi" w:hAnsiTheme="minorHAnsi" w:cstheme="minorHAnsi"/>
          <w:iCs/>
          <w:szCs w:val="24"/>
        </w:rPr>
      </w:pPr>
      <w:r w:rsidRPr="003D32AF">
        <w:rPr>
          <w:rFonts w:asciiTheme="minorHAnsi" w:hAnsiTheme="minorHAnsi" w:cstheme="minorHAnsi"/>
          <w:iCs/>
          <w:szCs w:val="24"/>
        </w:rPr>
        <w:t xml:space="preserve">outreach to widen aspiration and promote higher education to persons from a low </w:t>
      </w:r>
      <w:r>
        <w:rPr>
          <w:rFonts w:asciiTheme="minorHAnsi" w:hAnsiTheme="minorHAnsi" w:cstheme="minorHAnsi"/>
          <w:iCs/>
          <w:szCs w:val="24"/>
        </w:rPr>
        <w:t>socio-economic (SES)</w:t>
      </w:r>
      <w:r w:rsidRPr="003D32AF">
        <w:rPr>
          <w:rFonts w:asciiTheme="minorHAnsi" w:hAnsiTheme="minorHAnsi" w:cstheme="minorHAnsi"/>
          <w:iCs/>
          <w:szCs w:val="24"/>
        </w:rPr>
        <w:t xml:space="preserve"> background, persons from regional areas and remote areas, and Indigenous persons; and</w:t>
      </w:r>
    </w:p>
    <w:p w14:paraId="75175602" w14:textId="77777777" w:rsidR="00171672" w:rsidRPr="003D32AF" w:rsidRDefault="00171672" w:rsidP="00171672">
      <w:pPr>
        <w:pStyle w:val="ListParagraph"/>
        <w:numPr>
          <w:ilvl w:val="0"/>
          <w:numId w:val="7"/>
        </w:numPr>
        <w:spacing w:before="120" w:after="120"/>
        <w:rPr>
          <w:rFonts w:asciiTheme="minorHAnsi" w:hAnsiTheme="minorHAnsi" w:cstheme="minorHAnsi"/>
          <w:iCs/>
          <w:szCs w:val="24"/>
        </w:rPr>
      </w:pPr>
      <w:r w:rsidRPr="003D32AF">
        <w:rPr>
          <w:rFonts w:asciiTheme="minorHAnsi" w:hAnsiTheme="minorHAnsi" w:cstheme="minorHAnsi"/>
          <w:iCs/>
          <w:szCs w:val="24"/>
        </w:rPr>
        <w:t>the extent to which persons from a low SES background, persons from regional areas and remote areas, and Indigenous persons access, participate, remain and succeed in higher education, and obtain higher education awards.</w:t>
      </w:r>
    </w:p>
    <w:p w14:paraId="1B4B7B7F" w14:textId="77777777" w:rsidR="00171672" w:rsidRDefault="00171672" w:rsidP="00171672">
      <w:pPr>
        <w:spacing w:before="120" w:after="120"/>
        <w:rPr>
          <w:rFonts w:asciiTheme="minorHAnsi" w:hAnsiTheme="minorHAnsi" w:cstheme="minorHAnsi"/>
          <w:iCs/>
          <w:szCs w:val="24"/>
        </w:rPr>
      </w:pPr>
      <w:r w:rsidRPr="00D90E11">
        <w:rPr>
          <w:rFonts w:asciiTheme="minorHAnsi" w:hAnsiTheme="minorHAnsi" w:cstheme="minorHAnsi"/>
          <w:iCs/>
          <w:szCs w:val="24"/>
        </w:rPr>
        <w:t xml:space="preserve">Grants under the HEPPP program are made to Table A providers in respect of a year. Amounts paid are calculated by a formula based on the proportion of students from a low </w:t>
      </w:r>
      <w:r>
        <w:rPr>
          <w:rFonts w:asciiTheme="minorHAnsi" w:hAnsiTheme="minorHAnsi" w:cstheme="minorHAnsi"/>
          <w:iCs/>
          <w:szCs w:val="24"/>
        </w:rPr>
        <w:t>SES</w:t>
      </w:r>
      <w:r w:rsidRPr="00D90E11">
        <w:rPr>
          <w:rFonts w:asciiTheme="minorHAnsi" w:hAnsiTheme="minorHAnsi" w:cstheme="minorHAnsi"/>
          <w:iCs/>
          <w:szCs w:val="24"/>
        </w:rPr>
        <w:t xml:space="preserve"> background, Indigenous students, and regional and remote students enrolled with the provider.</w:t>
      </w:r>
    </w:p>
    <w:p w14:paraId="39CD78D9" w14:textId="77777777" w:rsidR="00171672" w:rsidRPr="00CC342F" w:rsidRDefault="00171672" w:rsidP="00171672">
      <w:pPr>
        <w:spacing w:before="120" w:after="120"/>
      </w:pPr>
      <w:r w:rsidRPr="00D42441">
        <w:rPr>
          <w:rFonts w:asciiTheme="minorHAnsi" w:hAnsiTheme="minorHAnsi" w:cstheme="minorHAnsi"/>
          <w:iCs/>
          <w:szCs w:val="24"/>
        </w:rPr>
        <w:t>The NPILF is a program under which grants can be made to eligible providers for the purpose specified in item 13 of the table in subsection 41-10(1) of the Act—grants to encourage higher education providers to engage with industry. Grants made under the</w:t>
      </w:r>
      <w:r>
        <w:rPr>
          <w:rFonts w:asciiTheme="minorHAnsi" w:hAnsiTheme="minorHAnsi" w:cstheme="minorHAnsi"/>
          <w:iCs/>
          <w:szCs w:val="24"/>
        </w:rPr>
        <w:t> </w:t>
      </w:r>
      <w:r w:rsidRPr="00D42441">
        <w:rPr>
          <w:rFonts w:asciiTheme="minorHAnsi" w:hAnsiTheme="minorHAnsi" w:cstheme="minorHAnsi"/>
          <w:iCs/>
          <w:szCs w:val="24"/>
        </w:rPr>
        <w:t>NPILF are aimed at encouraging universities to engage with industry to increase the amount of work integrated learning across disciplines and the number of STEM-skilled graduates, as well as improving employment outcomes for graduates.</w:t>
      </w:r>
    </w:p>
    <w:p w14:paraId="29AFC95B" w14:textId="10799EED" w:rsidR="00E8671C" w:rsidRPr="00171672" w:rsidRDefault="00171672" w:rsidP="00171672">
      <w:pPr>
        <w:pStyle w:val="Heading2"/>
        <w:keepNext w:val="0"/>
        <w:spacing w:after="240"/>
        <w:rPr>
          <w:rFonts w:asciiTheme="minorHAnsi" w:hAnsiTheme="minorHAnsi" w:cstheme="minorHAnsi"/>
          <w:b w:val="0"/>
          <w:bCs/>
        </w:rPr>
      </w:pPr>
      <w:r w:rsidRPr="00A070D3">
        <w:rPr>
          <w:rFonts w:asciiTheme="minorHAnsi" w:hAnsiTheme="minorHAnsi" w:cstheme="minorHAnsi"/>
          <w:b w:val="0"/>
          <w:bCs/>
        </w:rPr>
        <w:lastRenderedPageBreak/>
        <w:t xml:space="preserve">The Amendment Instrument </w:t>
      </w:r>
      <w:r>
        <w:rPr>
          <w:rFonts w:asciiTheme="minorHAnsi" w:hAnsiTheme="minorHAnsi" w:cstheme="minorHAnsi"/>
          <w:b w:val="0"/>
          <w:bCs/>
        </w:rPr>
        <w:t>increases</w:t>
      </w:r>
      <w:r w:rsidRPr="00A070D3">
        <w:rPr>
          <w:rFonts w:asciiTheme="minorHAnsi" w:hAnsiTheme="minorHAnsi" w:cstheme="minorHAnsi"/>
          <w:b w:val="0"/>
          <w:bCs/>
        </w:rPr>
        <w:t xml:space="preserve"> the maximum payments for grants </w:t>
      </w:r>
      <w:r>
        <w:rPr>
          <w:rFonts w:asciiTheme="minorHAnsi" w:hAnsiTheme="minorHAnsi" w:cstheme="minorHAnsi"/>
          <w:b w:val="0"/>
          <w:bCs/>
        </w:rPr>
        <w:t>under Part 2</w:t>
      </w:r>
      <w:r>
        <w:rPr>
          <w:rFonts w:asciiTheme="minorHAnsi" w:hAnsiTheme="minorHAnsi" w:cstheme="minorHAnsi"/>
          <w:b w:val="0"/>
          <w:bCs/>
        </w:rPr>
        <w:noBreakHyphen/>
        <w:t xml:space="preserve">3 of the Act </w:t>
      </w:r>
      <w:r w:rsidRPr="00A070D3">
        <w:rPr>
          <w:rFonts w:asciiTheme="minorHAnsi" w:hAnsiTheme="minorHAnsi" w:cstheme="minorHAnsi"/>
          <w:b w:val="0"/>
          <w:bCs/>
        </w:rPr>
        <w:t xml:space="preserve">to reflect the additional grant amounts </w:t>
      </w:r>
      <w:r>
        <w:rPr>
          <w:rFonts w:asciiTheme="minorHAnsi" w:hAnsiTheme="minorHAnsi" w:cstheme="minorHAnsi"/>
          <w:b w:val="0"/>
          <w:bCs/>
        </w:rPr>
        <w:t>for the HEPPP and the NPILF that may</w:t>
      </w:r>
      <w:r w:rsidRPr="00A070D3">
        <w:rPr>
          <w:rFonts w:asciiTheme="minorHAnsi" w:hAnsiTheme="minorHAnsi" w:cstheme="minorHAnsi"/>
          <w:b w:val="0"/>
          <w:bCs/>
        </w:rPr>
        <w:t xml:space="preserve"> be paid to UNDA now that they are a Table A provider.</w:t>
      </w:r>
      <w:r>
        <w:rPr>
          <w:rFonts w:asciiTheme="minorHAnsi" w:hAnsiTheme="minorHAnsi" w:cstheme="minorHAnsi"/>
          <w:b w:val="0"/>
          <w:bCs/>
        </w:rPr>
        <w:t xml:space="preserve"> </w:t>
      </w:r>
      <w:r w:rsidRPr="004A69E3">
        <w:rPr>
          <w:rFonts w:asciiTheme="minorHAnsi" w:hAnsiTheme="minorHAnsi" w:cstheme="minorHAnsi"/>
          <w:b w:val="0"/>
          <w:bCs/>
        </w:rPr>
        <w:t>Th</w:t>
      </w:r>
      <w:r>
        <w:rPr>
          <w:rFonts w:asciiTheme="minorHAnsi" w:hAnsiTheme="minorHAnsi" w:cstheme="minorHAnsi"/>
          <w:b w:val="0"/>
          <w:bCs/>
        </w:rPr>
        <w:t>is</w:t>
      </w:r>
      <w:r w:rsidRPr="004A69E3">
        <w:rPr>
          <w:rFonts w:asciiTheme="minorHAnsi" w:hAnsiTheme="minorHAnsi" w:cstheme="minorHAnsi"/>
          <w:b w:val="0"/>
          <w:bCs/>
        </w:rPr>
        <w:t xml:space="preserve"> increase</w:t>
      </w:r>
      <w:r>
        <w:rPr>
          <w:rFonts w:asciiTheme="minorHAnsi" w:hAnsiTheme="minorHAnsi" w:cstheme="minorHAnsi"/>
          <w:b w:val="0"/>
          <w:bCs/>
        </w:rPr>
        <w:t xml:space="preserve"> </w:t>
      </w:r>
      <w:r w:rsidRPr="004A69E3">
        <w:rPr>
          <w:rFonts w:asciiTheme="minorHAnsi" w:hAnsiTheme="minorHAnsi" w:cstheme="minorHAnsi"/>
          <w:b w:val="0"/>
          <w:bCs/>
        </w:rPr>
        <w:t>ensure</w:t>
      </w:r>
      <w:r>
        <w:rPr>
          <w:rFonts w:asciiTheme="minorHAnsi" w:hAnsiTheme="minorHAnsi" w:cstheme="minorHAnsi"/>
          <w:b w:val="0"/>
          <w:bCs/>
        </w:rPr>
        <w:t xml:space="preserve">s </w:t>
      </w:r>
      <w:r w:rsidRPr="004A69E3">
        <w:rPr>
          <w:rFonts w:asciiTheme="minorHAnsi" w:hAnsiTheme="minorHAnsi" w:cstheme="minorHAnsi"/>
          <w:b w:val="0"/>
          <w:bCs/>
        </w:rPr>
        <w:t xml:space="preserve">that </w:t>
      </w:r>
      <w:r>
        <w:rPr>
          <w:rFonts w:asciiTheme="minorHAnsi" w:hAnsiTheme="minorHAnsi" w:cstheme="minorHAnsi"/>
          <w:b w:val="0"/>
          <w:bCs/>
        </w:rPr>
        <w:t xml:space="preserve">these </w:t>
      </w:r>
      <w:r w:rsidRPr="004A69E3">
        <w:rPr>
          <w:rFonts w:asciiTheme="minorHAnsi" w:hAnsiTheme="minorHAnsi" w:cstheme="minorHAnsi"/>
          <w:b w:val="0"/>
          <w:bCs/>
        </w:rPr>
        <w:t>grant amounts</w:t>
      </w:r>
      <w:r>
        <w:rPr>
          <w:rFonts w:asciiTheme="minorHAnsi" w:hAnsiTheme="minorHAnsi" w:cstheme="minorHAnsi"/>
          <w:b w:val="0"/>
          <w:bCs/>
        </w:rPr>
        <w:t xml:space="preserve"> can be paid to UNDA without decreasing the amounts</w:t>
      </w:r>
      <w:r w:rsidRPr="004A69E3">
        <w:rPr>
          <w:rFonts w:asciiTheme="minorHAnsi" w:hAnsiTheme="minorHAnsi" w:cstheme="minorHAnsi"/>
          <w:b w:val="0"/>
          <w:bCs/>
        </w:rPr>
        <w:t xml:space="preserve"> which would have been provided to other</w:t>
      </w:r>
      <w:r>
        <w:rPr>
          <w:rFonts w:asciiTheme="minorHAnsi" w:hAnsiTheme="minorHAnsi" w:cstheme="minorHAnsi"/>
          <w:b w:val="0"/>
          <w:bCs/>
        </w:rPr>
        <w:t xml:space="preserve"> eligible providers</w:t>
      </w:r>
      <w:r w:rsidRPr="004A69E3">
        <w:rPr>
          <w:rFonts w:asciiTheme="minorHAnsi" w:hAnsiTheme="minorHAnsi" w:cstheme="minorHAnsi"/>
          <w:b w:val="0"/>
          <w:bCs/>
        </w:rPr>
        <w:t>.</w:t>
      </w:r>
    </w:p>
    <w:p w14:paraId="3786EE0D" w14:textId="2A66481A" w:rsidR="00E8671C" w:rsidRPr="00F353BE" w:rsidRDefault="00F9205E" w:rsidP="00F353BE">
      <w:pPr>
        <w:spacing w:before="120" w:after="120"/>
        <w:rPr>
          <w:rFonts w:asciiTheme="minorHAnsi" w:hAnsiTheme="minorHAnsi" w:cstheme="minorHAnsi"/>
          <w:szCs w:val="24"/>
        </w:rPr>
      </w:pPr>
      <w:r w:rsidRPr="008134D5">
        <w:rPr>
          <w:rFonts w:asciiTheme="minorHAnsi" w:hAnsiTheme="minorHAnsi" w:cstheme="minorHAnsi"/>
          <w:b/>
          <w:szCs w:val="24"/>
        </w:rPr>
        <w:t>Human rights implications</w:t>
      </w:r>
    </w:p>
    <w:p w14:paraId="476B096E" w14:textId="77777777" w:rsidR="0085082F" w:rsidRDefault="0085082F" w:rsidP="0085082F">
      <w:pPr>
        <w:spacing w:before="120" w:after="120"/>
        <w:rPr>
          <w:rFonts w:asciiTheme="minorHAnsi" w:hAnsiTheme="minorHAnsi" w:cstheme="minorHAnsi"/>
          <w:szCs w:val="24"/>
        </w:rPr>
      </w:pPr>
      <w:r>
        <w:rPr>
          <w:rFonts w:asciiTheme="minorHAnsi" w:hAnsiTheme="minorHAnsi" w:cstheme="minorHAnsi"/>
          <w:szCs w:val="24"/>
        </w:rPr>
        <w:t>The Amendment Instrument engages the following rights:</w:t>
      </w:r>
    </w:p>
    <w:p w14:paraId="7055A763" w14:textId="77777777" w:rsidR="0085082F" w:rsidRDefault="0085082F" w:rsidP="0085082F">
      <w:pPr>
        <w:pStyle w:val="ListParagraph"/>
        <w:numPr>
          <w:ilvl w:val="0"/>
          <w:numId w:val="6"/>
        </w:numPr>
        <w:spacing w:before="120" w:after="120"/>
        <w:rPr>
          <w:rFonts w:asciiTheme="minorHAnsi" w:hAnsiTheme="minorHAnsi" w:cstheme="minorHAnsi"/>
          <w:szCs w:val="24"/>
        </w:rPr>
      </w:pPr>
      <w:r>
        <w:rPr>
          <w:rFonts w:asciiTheme="minorHAnsi" w:hAnsiTheme="minorHAnsi" w:cstheme="minorHAnsi"/>
          <w:szCs w:val="24"/>
        </w:rPr>
        <w:t>the right to education; and</w:t>
      </w:r>
    </w:p>
    <w:p w14:paraId="2103666C" w14:textId="77777777" w:rsidR="0085082F" w:rsidRPr="00D42441" w:rsidRDefault="0085082F" w:rsidP="0085082F">
      <w:pPr>
        <w:pStyle w:val="ListParagraph"/>
        <w:numPr>
          <w:ilvl w:val="0"/>
          <w:numId w:val="6"/>
        </w:numPr>
        <w:spacing w:before="120" w:after="120"/>
        <w:rPr>
          <w:rFonts w:asciiTheme="minorHAnsi" w:hAnsiTheme="minorHAnsi" w:cstheme="minorHAnsi"/>
          <w:szCs w:val="24"/>
        </w:rPr>
      </w:pPr>
      <w:r>
        <w:rPr>
          <w:rFonts w:asciiTheme="minorHAnsi" w:hAnsiTheme="minorHAnsi" w:cstheme="minorHAnsi"/>
          <w:szCs w:val="24"/>
        </w:rPr>
        <w:t>the right to work.</w:t>
      </w:r>
    </w:p>
    <w:p w14:paraId="1A7CEE9D" w14:textId="77777777" w:rsidR="0085082F" w:rsidRPr="00D42441" w:rsidRDefault="0085082F" w:rsidP="0085082F">
      <w:pPr>
        <w:spacing w:before="120" w:after="120"/>
        <w:rPr>
          <w:rFonts w:asciiTheme="minorHAnsi" w:hAnsiTheme="minorHAnsi" w:cstheme="minorHAnsi"/>
          <w:szCs w:val="24"/>
          <w:u w:val="single"/>
        </w:rPr>
      </w:pPr>
      <w:r>
        <w:rPr>
          <w:rFonts w:asciiTheme="minorHAnsi" w:hAnsiTheme="minorHAnsi" w:cstheme="minorHAnsi"/>
          <w:szCs w:val="24"/>
          <w:u w:val="single"/>
        </w:rPr>
        <w:t>Right to education</w:t>
      </w:r>
    </w:p>
    <w:p w14:paraId="45DACB69" w14:textId="635723E0" w:rsidR="0085082F" w:rsidRPr="0083788B" w:rsidRDefault="0085082F" w:rsidP="0085082F">
      <w:pPr>
        <w:spacing w:before="120" w:after="120"/>
        <w:rPr>
          <w:rFonts w:asciiTheme="minorHAnsi" w:hAnsiTheme="minorHAnsi" w:cstheme="minorHAnsi"/>
          <w:szCs w:val="24"/>
        </w:rPr>
      </w:pPr>
      <w:r>
        <w:rPr>
          <w:rFonts w:asciiTheme="minorHAnsi" w:hAnsiTheme="minorHAnsi" w:cstheme="minorHAnsi"/>
          <w:szCs w:val="24"/>
        </w:rPr>
        <w:t>The</w:t>
      </w:r>
      <w:r w:rsidR="0059353D">
        <w:rPr>
          <w:rFonts w:asciiTheme="minorHAnsi" w:hAnsiTheme="minorHAnsi" w:cstheme="minorHAnsi"/>
          <w:szCs w:val="24"/>
        </w:rPr>
        <w:t xml:space="preserve"> Amendment Instrument promotes the</w:t>
      </w:r>
      <w:r>
        <w:rPr>
          <w:rFonts w:asciiTheme="minorHAnsi" w:hAnsiTheme="minorHAnsi" w:cstheme="minorHAnsi"/>
          <w:szCs w:val="24"/>
        </w:rPr>
        <w:t xml:space="preserve"> r</w:t>
      </w:r>
      <w:r w:rsidRPr="0083788B">
        <w:rPr>
          <w:rFonts w:asciiTheme="minorHAnsi" w:hAnsiTheme="minorHAnsi" w:cstheme="minorHAnsi"/>
          <w:szCs w:val="24"/>
        </w:rPr>
        <w:t>ight to education contained in Article 13 of the International Covenant on Economic, Social and Cultural Rights (ICESCR). Article 13(2)(c) of the ICESCR provides that ‘higher education shall be made equally accessible to all, on the basis of capacity, by every appropriate means, and in particular by the progressive introduction of free education.’</w:t>
      </w:r>
    </w:p>
    <w:p w14:paraId="75BA54D5" w14:textId="321C5844" w:rsidR="0085082F" w:rsidRPr="0085082F" w:rsidRDefault="009E5271" w:rsidP="0085082F">
      <w:pPr>
        <w:spacing w:before="120" w:after="120"/>
        <w:rPr>
          <w:rFonts w:asciiTheme="minorHAnsi" w:hAnsiTheme="minorHAnsi" w:cstheme="minorHAnsi"/>
          <w:iCs/>
          <w:szCs w:val="24"/>
        </w:rPr>
      </w:pPr>
      <w:r>
        <w:rPr>
          <w:rFonts w:asciiTheme="minorHAnsi" w:hAnsiTheme="minorHAnsi" w:cstheme="minorHAnsi"/>
          <w:szCs w:val="24"/>
        </w:rPr>
        <w:t>By i</w:t>
      </w:r>
      <w:r w:rsidRPr="009E5271">
        <w:rPr>
          <w:rFonts w:asciiTheme="minorHAnsi" w:hAnsiTheme="minorHAnsi" w:cstheme="minorHAnsi"/>
          <w:szCs w:val="24"/>
        </w:rPr>
        <w:t>ncreas</w:t>
      </w:r>
      <w:r>
        <w:rPr>
          <w:rFonts w:asciiTheme="minorHAnsi" w:hAnsiTheme="minorHAnsi" w:cstheme="minorHAnsi"/>
          <w:szCs w:val="24"/>
        </w:rPr>
        <w:t>ing</w:t>
      </w:r>
      <w:r w:rsidRPr="009E5271">
        <w:rPr>
          <w:rFonts w:asciiTheme="minorHAnsi" w:hAnsiTheme="minorHAnsi" w:cstheme="minorHAnsi"/>
          <w:szCs w:val="24"/>
        </w:rPr>
        <w:t xml:space="preserve"> the maximum payments for other grants</w:t>
      </w:r>
      <w:r>
        <w:rPr>
          <w:rFonts w:asciiTheme="minorHAnsi" w:hAnsiTheme="minorHAnsi" w:cstheme="minorHAnsi"/>
          <w:szCs w:val="24"/>
        </w:rPr>
        <w:t xml:space="preserve">, </w:t>
      </w:r>
      <w:bookmarkStart w:id="9" w:name="_Hlk83378387"/>
      <w:r>
        <w:rPr>
          <w:rFonts w:asciiTheme="minorHAnsi" w:hAnsiTheme="minorHAnsi" w:cstheme="minorHAnsi"/>
          <w:szCs w:val="24"/>
        </w:rPr>
        <w:t xml:space="preserve">the Amendment Instrument </w:t>
      </w:r>
      <w:r w:rsidR="0085082F">
        <w:rPr>
          <w:rFonts w:asciiTheme="minorHAnsi" w:hAnsiTheme="minorHAnsi" w:cstheme="minorHAnsi"/>
          <w:szCs w:val="24"/>
        </w:rPr>
        <w:t>enables the maximum grant amounts to be increased for</w:t>
      </w:r>
      <w:r w:rsidR="003065DB">
        <w:rPr>
          <w:rFonts w:asciiTheme="minorHAnsi" w:hAnsiTheme="minorHAnsi" w:cstheme="minorHAnsi"/>
          <w:szCs w:val="24"/>
        </w:rPr>
        <w:t xml:space="preserve"> the</w:t>
      </w:r>
      <w:r w:rsidR="0085082F">
        <w:rPr>
          <w:rFonts w:asciiTheme="minorHAnsi" w:hAnsiTheme="minorHAnsi" w:cstheme="minorHAnsi"/>
          <w:szCs w:val="24"/>
        </w:rPr>
        <w:t xml:space="preserve"> </w:t>
      </w:r>
      <w:r w:rsidR="0085082F" w:rsidRPr="00D42441">
        <w:rPr>
          <w:rFonts w:asciiTheme="minorHAnsi" w:hAnsiTheme="minorHAnsi" w:cstheme="minorHAnsi"/>
          <w:szCs w:val="24"/>
        </w:rPr>
        <w:t>HEPPP</w:t>
      </w:r>
      <w:r>
        <w:rPr>
          <w:rFonts w:asciiTheme="minorHAnsi" w:hAnsiTheme="minorHAnsi" w:cstheme="minorHAnsi"/>
          <w:szCs w:val="24"/>
        </w:rPr>
        <w:t>. T</w:t>
      </w:r>
      <w:r w:rsidR="0085082F" w:rsidRPr="003D32AF">
        <w:rPr>
          <w:rFonts w:asciiTheme="minorHAnsi" w:hAnsiTheme="minorHAnsi" w:cstheme="minorHAnsi"/>
          <w:iCs/>
          <w:szCs w:val="24"/>
        </w:rPr>
        <w:t xml:space="preserve">he objectives of </w:t>
      </w:r>
      <w:r w:rsidR="003065DB">
        <w:rPr>
          <w:rFonts w:asciiTheme="minorHAnsi" w:hAnsiTheme="minorHAnsi" w:cstheme="minorHAnsi"/>
          <w:iCs/>
          <w:szCs w:val="24"/>
        </w:rPr>
        <w:t xml:space="preserve">the </w:t>
      </w:r>
      <w:r>
        <w:rPr>
          <w:rFonts w:asciiTheme="minorHAnsi" w:hAnsiTheme="minorHAnsi" w:cstheme="minorHAnsi"/>
          <w:iCs/>
          <w:szCs w:val="24"/>
        </w:rPr>
        <w:t>HE</w:t>
      </w:r>
      <w:r w:rsidR="003065DB">
        <w:rPr>
          <w:rFonts w:asciiTheme="minorHAnsi" w:hAnsiTheme="minorHAnsi" w:cstheme="minorHAnsi"/>
          <w:iCs/>
          <w:szCs w:val="24"/>
        </w:rPr>
        <w:t>P</w:t>
      </w:r>
      <w:r>
        <w:rPr>
          <w:rFonts w:asciiTheme="minorHAnsi" w:hAnsiTheme="minorHAnsi" w:cstheme="minorHAnsi"/>
          <w:iCs/>
          <w:szCs w:val="24"/>
        </w:rPr>
        <w:t>PP are to</w:t>
      </w:r>
      <w:r w:rsidR="0085082F" w:rsidRPr="003D32AF">
        <w:rPr>
          <w:rFonts w:asciiTheme="minorHAnsi" w:hAnsiTheme="minorHAnsi" w:cstheme="minorHAnsi"/>
          <w:iCs/>
          <w:szCs w:val="24"/>
        </w:rPr>
        <w:t xml:space="preserve"> promote equality of opportunity in higher education</w:t>
      </w:r>
      <w:r w:rsidR="0085082F">
        <w:rPr>
          <w:rFonts w:asciiTheme="minorHAnsi" w:hAnsiTheme="minorHAnsi" w:cstheme="minorHAnsi"/>
          <w:iCs/>
          <w:szCs w:val="24"/>
        </w:rPr>
        <w:t xml:space="preserve">. </w:t>
      </w:r>
      <w:r w:rsidR="0085082F">
        <w:rPr>
          <w:rFonts w:asciiTheme="minorHAnsi" w:hAnsiTheme="minorHAnsi" w:cstheme="minorHAnsi"/>
          <w:szCs w:val="24"/>
        </w:rPr>
        <w:t xml:space="preserve">Therefore, the Amendment Instrument promotes the right to education by enabling UNDA to receive grant payments under </w:t>
      </w:r>
      <w:r w:rsidR="003065DB">
        <w:rPr>
          <w:rFonts w:asciiTheme="minorHAnsi" w:hAnsiTheme="minorHAnsi" w:cstheme="minorHAnsi"/>
          <w:szCs w:val="24"/>
        </w:rPr>
        <w:t xml:space="preserve">the </w:t>
      </w:r>
      <w:r w:rsidR="0085082F">
        <w:rPr>
          <w:rFonts w:asciiTheme="minorHAnsi" w:hAnsiTheme="minorHAnsi" w:cstheme="minorHAnsi"/>
          <w:szCs w:val="24"/>
        </w:rPr>
        <w:t>HEPPP</w:t>
      </w:r>
      <w:r w:rsidR="0059353D">
        <w:rPr>
          <w:rFonts w:asciiTheme="minorHAnsi" w:hAnsiTheme="minorHAnsi" w:cstheme="minorHAnsi"/>
          <w:szCs w:val="24"/>
        </w:rPr>
        <w:t>, without decreasing the grant amounts that may be paid to other eligible providers.</w:t>
      </w:r>
    </w:p>
    <w:bookmarkEnd w:id="9"/>
    <w:p w14:paraId="4D567EF4" w14:textId="77777777" w:rsidR="0085082F" w:rsidRPr="00D42441" w:rsidRDefault="0085082F" w:rsidP="0085082F">
      <w:pPr>
        <w:spacing w:before="120" w:after="120"/>
        <w:rPr>
          <w:rFonts w:asciiTheme="minorHAnsi" w:hAnsiTheme="minorHAnsi" w:cstheme="minorHAnsi"/>
          <w:bCs/>
          <w:szCs w:val="24"/>
          <w:u w:val="single"/>
        </w:rPr>
      </w:pPr>
      <w:r w:rsidRPr="00D42441">
        <w:rPr>
          <w:rFonts w:asciiTheme="minorHAnsi" w:hAnsiTheme="minorHAnsi" w:cstheme="minorHAnsi"/>
          <w:bCs/>
          <w:szCs w:val="24"/>
          <w:u w:val="single"/>
        </w:rPr>
        <w:t>Right to work</w:t>
      </w:r>
    </w:p>
    <w:p w14:paraId="0A51241F" w14:textId="0472EEFD" w:rsidR="0085082F" w:rsidRPr="00D42441" w:rsidRDefault="0085082F" w:rsidP="0085082F">
      <w:pPr>
        <w:spacing w:before="120" w:after="120"/>
        <w:rPr>
          <w:rFonts w:asciiTheme="minorHAnsi" w:hAnsiTheme="minorHAnsi" w:cstheme="minorHAnsi"/>
          <w:bCs/>
          <w:szCs w:val="24"/>
        </w:rPr>
      </w:pPr>
      <w:r w:rsidRPr="00D42441">
        <w:rPr>
          <w:rFonts w:asciiTheme="minorHAnsi" w:hAnsiTheme="minorHAnsi" w:cstheme="minorHAnsi"/>
          <w:bCs/>
          <w:szCs w:val="24"/>
        </w:rPr>
        <w:t xml:space="preserve">The Amendment Instrument </w:t>
      </w:r>
      <w:r>
        <w:rPr>
          <w:rFonts w:asciiTheme="minorHAnsi" w:hAnsiTheme="minorHAnsi" w:cstheme="minorHAnsi"/>
          <w:bCs/>
          <w:szCs w:val="24"/>
        </w:rPr>
        <w:t>promotes</w:t>
      </w:r>
      <w:r w:rsidRPr="00D42441">
        <w:rPr>
          <w:rFonts w:asciiTheme="minorHAnsi" w:hAnsiTheme="minorHAnsi" w:cstheme="minorHAnsi"/>
          <w:bCs/>
          <w:szCs w:val="24"/>
        </w:rPr>
        <w:t xml:space="preserve"> the right to work contained in Article 6(1) of the ICESCR</w:t>
      </w:r>
      <w:r w:rsidR="003065DB">
        <w:rPr>
          <w:rFonts w:asciiTheme="minorHAnsi" w:hAnsiTheme="minorHAnsi" w:cstheme="minorHAnsi"/>
          <w:bCs/>
          <w:szCs w:val="24"/>
        </w:rPr>
        <w:t>,</w:t>
      </w:r>
      <w:r w:rsidRPr="00D42441">
        <w:rPr>
          <w:rFonts w:asciiTheme="minorHAnsi" w:hAnsiTheme="minorHAnsi" w:cstheme="minorHAnsi"/>
          <w:bCs/>
          <w:szCs w:val="24"/>
        </w:rPr>
        <w:t xml:space="preserve"> which recognises the “the right of everyone to the opportunity to gain [their] living by work” and that the State will “take appropriate steps to safeguard this right”. Article 6(2) cites “technical and vocational guidance and training programmes, policies and techniques to achieve steady economic, social and cultural development and full and productive employment under conditions safeguarding fundamental political and economic freedoms to the individual” as steps to be taken by a State Party to achieve the full realisation of the right contained in Article 6(1).</w:t>
      </w:r>
    </w:p>
    <w:p w14:paraId="7727A828" w14:textId="5B136AEE" w:rsidR="0085082F" w:rsidRDefault="009E5271" w:rsidP="00DA552F">
      <w:pPr>
        <w:spacing w:before="120" w:after="120"/>
        <w:rPr>
          <w:rFonts w:asciiTheme="minorHAnsi" w:hAnsiTheme="minorHAnsi" w:cstheme="minorHAnsi"/>
          <w:bCs/>
          <w:szCs w:val="24"/>
        </w:rPr>
      </w:pPr>
      <w:r>
        <w:rPr>
          <w:rFonts w:asciiTheme="minorHAnsi" w:hAnsiTheme="minorHAnsi" w:cstheme="minorHAnsi"/>
          <w:bCs/>
          <w:szCs w:val="24"/>
        </w:rPr>
        <w:t>By increasing the maximum payments for other grants, t</w:t>
      </w:r>
      <w:r w:rsidR="0085082F" w:rsidRPr="00D42441">
        <w:rPr>
          <w:rFonts w:asciiTheme="minorHAnsi" w:hAnsiTheme="minorHAnsi" w:cstheme="minorHAnsi"/>
          <w:bCs/>
          <w:szCs w:val="24"/>
        </w:rPr>
        <w:t xml:space="preserve">he Amendment Instrument </w:t>
      </w:r>
      <w:r>
        <w:rPr>
          <w:rFonts w:asciiTheme="minorHAnsi" w:hAnsiTheme="minorHAnsi" w:cstheme="minorHAnsi"/>
          <w:bCs/>
          <w:szCs w:val="24"/>
        </w:rPr>
        <w:t>enables</w:t>
      </w:r>
      <w:r w:rsidR="0085082F">
        <w:rPr>
          <w:rFonts w:asciiTheme="minorHAnsi" w:hAnsiTheme="minorHAnsi" w:cstheme="minorHAnsi"/>
          <w:bCs/>
          <w:szCs w:val="24"/>
        </w:rPr>
        <w:t xml:space="preserve"> the maximum grant amounts </w:t>
      </w:r>
      <w:r>
        <w:rPr>
          <w:rFonts w:asciiTheme="minorHAnsi" w:hAnsiTheme="minorHAnsi" w:cstheme="minorHAnsi"/>
          <w:bCs/>
          <w:szCs w:val="24"/>
        </w:rPr>
        <w:t>to be increased for</w:t>
      </w:r>
      <w:r w:rsidR="00A965A5">
        <w:rPr>
          <w:rFonts w:asciiTheme="minorHAnsi" w:hAnsiTheme="minorHAnsi" w:cstheme="minorHAnsi"/>
          <w:bCs/>
          <w:szCs w:val="24"/>
        </w:rPr>
        <w:t xml:space="preserve"> the</w:t>
      </w:r>
      <w:r>
        <w:rPr>
          <w:rFonts w:asciiTheme="minorHAnsi" w:hAnsiTheme="minorHAnsi" w:cstheme="minorHAnsi"/>
          <w:bCs/>
          <w:szCs w:val="24"/>
        </w:rPr>
        <w:t xml:space="preserve"> </w:t>
      </w:r>
      <w:r w:rsidR="0085082F" w:rsidRPr="00D42441">
        <w:rPr>
          <w:rFonts w:asciiTheme="minorHAnsi" w:hAnsiTheme="minorHAnsi" w:cstheme="minorHAnsi"/>
          <w:bCs/>
          <w:szCs w:val="24"/>
        </w:rPr>
        <w:t>NPILF</w:t>
      </w:r>
      <w:r>
        <w:rPr>
          <w:rFonts w:asciiTheme="minorHAnsi" w:hAnsiTheme="minorHAnsi" w:cstheme="minorHAnsi"/>
          <w:bCs/>
          <w:szCs w:val="24"/>
        </w:rPr>
        <w:t xml:space="preserve">. </w:t>
      </w:r>
      <w:r w:rsidR="00A965A5">
        <w:rPr>
          <w:rFonts w:asciiTheme="minorHAnsi" w:hAnsiTheme="minorHAnsi" w:cstheme="minorHAnsi"/>
          <w:bCs/>
          <w:szCs w:val="24"/>
        </w:rPr>
        <w:t xml:space="preserve">The </w:t>
      </w:r>
      <w:r>
        <w:rPr>
          <w:rFonts w:asciiTheme="minorHAnsi" w:hAnsiTheme="minorHAnsi" w:cstheme="minorHAnsi"/>
          <w:bCs/>
          <w:szCs w:val="24"/>
        </w:rPr>
        <w:t>NPILF</w:t>
      </w:r>
      <w:r w:rsidR="0085082F" w:rsidRPr="00D42441">
        <w:rPr>
          <w:rFonts w:asciiTheme="minorHAnsi" w:hAnsiTheme="minorHAnsi" w:cstheme="minorHAnsi"/>
          <w:bCs/>
          <w:szCs w:val="24"/>
        </w:rPr>
        <w:t xml:space="preserve"> is aimed at encouraging providers to engage with industry to produce job-ready graduates. The specific objectives of this program include increasing the number of internships, practicums and other innovative approaches to work integrated learning across all disciplines, and improving the employment outcomes of STEM-skilled graduates. These activities are all </w:t>
      </w:r>
      <w:r w:rsidR="0085082F" w:rsidRPr="00D42441">
        <w:rPr>
          <w:rFonts w:asciiTheme="minorHAnsi" w:hAnsiTheme="minorHAnsi" w:cstheme="minorHAnsi"/>
          <w:bCs/>
          <w:szCs w:val="24"/>
        </w:rPr>
        <w:lastRenderedPageBreak/>
        <w:t>aimed at assisting students to obtain qualifications that assist them to get jobs, thus supporting the right of these students to work.</w:t>
      </w:r>
    </w:p>
    <w:p w14:paraId="0D379986" w14:textId="077F8DAC" w:rsidR="009E5271" w:rsidRPr="009E5271" w:rsidRDefault="009E5271" w:rsidP="00DA552F">
      <w:pPr>
        <w:spacing w:before="120" w:after="120"/>
        <w:rPr>
          <w:rFonts w:asciiTheme="minorHAnsi" w:hAnsiTheme="minorHAnsi" w:cstheme="minorHAnsi"/>
          <w:bCs/>
          <w:szCs w:val="24"/>
        </w:rPr>
      </w:pPr>
      <w:bookmarkStart w:id="10" w:name="_Hlk83378508"/>
      <w:r>
        <w:rPr>
          <w:rFonts w:asciiTheme="minorHAnsi" w:hAnsiTheme="minorHAnsi" w:cstheme="minorHAnsi"/>
          <w:szCs w:val="24"/>
        </w:rPr>
        <w:t>Therefore, the Amendment Instrument promotes the right to work by enabling UNDA to receive grant payments under</w:t>
      </w:r>
      <w:r w:rsidR="00A965A5">
        <w:rPr>
          <w:rFonts w:asciiTheme="minorHAnsi" w:hAnsiTheme="minorHAnsi" w:cstheme="minorHAnsi"/>
          <w:szCs w:val="24"/>
        </w:rPr>
        <w:t xml:space="preserve"> the</w:t>
      </w:r>
      <w:r>
        <w:rPr>
          <w:rFonts w:asciiTheme="minorHAnsi" w:hAnsiTheme="minorHAnsi" w:cstheme="minorHAnsi"/>
          <w:szCs w:val="24"/>
        </w:rPr>
        <w:t xml:space="preserve"> NPILF</w:t>
      </w:r>
      <w:r w:rsidR="0059353D">
        <w:rPr>
          <w:rFonts w:asciiTheme="minorHAnsi" w:hAnsiTheme="minorHAnsi" w:cstheme="minorHAnsi"/>
          <w:szCs w:val="24"/>
        </w:rPr>
        <w:t xml:space="preserve">, </w:t>
      </w:r>
      <w:bookmarkStart w:id="11" w:name="_Hlk83378444"/>
      <w:r w:rsidR="0059353D">
        <w:rPr>
          <w:rFonts w:asciiTheme="minorHAnsi" w:hAnsiTheme="minorHAnsi" w:cstheme="minorHAnsi"/>
          <w:szCs w:val="24"/>
        </w:rPr>
        <w:t>without decreasing the grant amounts that may be paid to other eligible providers.</w:t>
      </w:r>
      <w:bookmarkEnd w:id="11"/>
    </w:p>
    <w:bookmarkEnd w:id="10"/>
    <w:p w14:paraId="0D664062" w14:textId="77777777"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b/>
          <w:szCs w:val="24"/>
        </w:rPr>
        <w:t>Conclusion</w:t>
      </w:r>
    </w:p>
    <w:p w14:paraId="49175299" w14:textId="58DF4411" w:rsidR="00D8103E"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065DE8">
        <w:rPr>
          <w:rFonts w:asciiTheme="minorHAnsi" w:hAnsiTheme="minorHAnsi" w:cstheme="minorHAnsi"/>
          <w:szCs w:val="24"/>
        </w:rPr>
        <w:t xml:space="preserve">Amendment </w:t>
      </w:r>
      <w:r w:rsidR="00DD7496">
        <w:rPr>
          <w:rFonts w:asciiTheme="minorHAnsi" w:hAnsiTheme="minorHAnsi" w:cstheme="minorHAnsi"/>
          <w:szCs w:val="24"/>
        </w:rPr>
        <w:t>Instrumen</w:t>
      </w:r>
      <w:r w:rsidR="00DD7496" w:rsidRPr="00F353BE">
        <w:rPr>
          <w:rFonts w:asciiTheme="minorHAnsi" w:hAnsiTheme="minorHAnsi" w:cstheme="minorHAnsi"/>
          <w:szCs w:val="24"/>
        </w:rPr>
        <w:t xml:space="preserve">t </w:t>
      </w:r>
      <w:r w:rsidRPr="00F353BE">
        <w:rPr>
          <w:rFonts w:asciiTheme="minorHAnsi" w:hAnsiTheme="minorHAnsi" w:cstheme="minorHAnsi"/>
          <w:szCs w:val="24"/>
        </w:rPr>
        <w:t xml:space="preserve">is compatible with human rights because </w:t>
      </w:r>
      <w:r w:rsidR="002B5C28" w:rsidRPr="00F353BE">
        <w:rPr>
          <w:rFonts w:asciiTheme="minorHAnsi" w:hAnsiTheme="minorHAnsi" w:cstheme="minorHAnsi"/>
          <w:szCs w:val="24"/>
        </w:rPr>
        <w:t xml:space="preserve">it promotes the </w:t>
      </w:r>
      <w:r w:rsidR="00F353BE" w:rsidRPr="00F353BE">
        <w:rPr>
          <w:rFonts w:asciiTheme="minorHAnsi" w:hAnsiTheme="minorHAnsi" w:cstheme="minorHAnsi"/>
          <w:szCs w:val="24"/>
        </w:rPr>
        <w:t>right to education</w:t>
      </w:r>
      <w:r w:rsidR="003065DB">
        <w:rPr>
          <w:rFonts w:asciiTheme="minorHAnsi" w:hAnsiTheme="minorHAnsi" w:cstheme="minorHAnsi"/>
          <w:szCs w:val="24"/>
        </w:rPr>
        <w:t xml:space="preserve"> and the right to work</w:t>
      </w:r>
      <w:r w:rsidR="00F353BE">
        <w:rPr>
          <w:rFonts w:asciiTheme="minorHAnsi" w:hAnsiTheme="minorHAnsi" w:cstheme="minorHAnsi"/>
          <w:szCs w:val="24"/>
        </w:rPr>
        <w:t xml:space="preserve">. </w:t>
      </w:r>
    </w:p>
    <w:p w14:paraId="634803F8" w14:textId="77777777" w:rsidR="00F353BE" w:rsidRPr="008134D5" w:rsidRDefault="00F353BE" w:rsidP="00DA552F">
      <w:pPr>
        <w:spacing w:before="120" w:after="120"/>
        <w:rPr>
          <w:rFonts w:asciiTheme="minorHAnsi" w:hAnsiTheme="minorHAnsi" w:cstheme="minorHAnsi"/>
          <w:b/>
          <w:szCs w:val="24"/>
        </w:rPr>
      </w:pPr>
    </w:p>
    <w:p w14:paraId="1EC89B8A" w14:textId="1C077DE3" w:rsidR="00DA552F" w:rsidRPr="008134D5" w:rsidRDefault="00D8103E" w:rsidP="00DD7496">
      <w:pPr>
        <w:spacing w:before="120" w:after="120"/>
        <w:jc w:val="center"/>
        <w:rPr>
          <w:rFonts w:asciiTheme="minorHAnsi" w:hAnsiTheme="minorHAnsi" w:cstheme="minorHAnsi"/>
          <w:szCs w:val="24"/>
        </w:rPr>
      </w:pPr>
      <w:r w:rsidRPr="008134D5">
        <w:rPr>
          <w:rFonts w:asciiTheme="minorHAnsi" w:hAnsiTheme="minorHAnsi" w:cstheme="minorHAnsi"/>
          <w:b/>
          <w:szCs w:val="24"/>
        </w:rPr>
        <w:t>Minister for</w:t>
      </w:r>
      <w:r w:rsidR="00FC59E3">
        <w:rPr>
          <w:rFonts w:asciiTheme="minorHAnsi" w:hAnsiTheme="minorHAnsi" w:cstheme="minorHAnsi"/>
          <w:b/>
          <w:szCs w:val="24"/>
        </w:rPr>
        <w:t xml:space="preserve"> Education and Youth</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85B13">
          <w:footerReference w:type="default" r:id="rId11"/>
          <w:pgSz w:w="11906" w:h="16838"/>
          <w:pgMar w:top="1440" w:right="1440" w:bottom="1440" w:left="1440" w:header="708" w:footer="708" w:gutter="0"/>
          <w:pgNumType w:start="1"/>
          <w:cols w:space="708"/>
          <w:docGrid w:linePitch="360"/>
        </w:sectPr>
      </w:pPr>
    </w:p>
    <w:p w14:paraId="192B2E5C" w14:textId="01337EB0" w:rsidR="00DA552F" w:rsidRPr="001E52EB" w:rsidRDefault="00FC59E3" w:rsidP="001E52EB">
      <w:pPr>
        <w:jc w:val="center"/>
        <w:rPr>
          <w:rFonts w:asciiTheme="minorHAnsi" w:hAnsiTheme="minorHAnsi" w:cstheme="minorHAnsi"/>
          <w:b/>
          <w:szCs w:val="24"/>
          <w:highlight w:val="yellow"/>
        </w:rPr>
      </w:pPr>
      <w:r w:rsidRPr="00FC59E3">
        <w:rPr>
          <w:rFonts w:asciiTheme="minorHAnsi" w:hAnsiTheme="minorHAnsi" w:cstheme="minorHAnsi"/>
          <w:b/>
          <w:szCs w:val="24"/>
        </w:rPr>
        <w:lastRenderedPageBreak/>
        <w:t xml:space="preserve">HIGHER EDUCATION SUPPORT AMENDMENT </w:t>
      </w:r>
      <w:r>
        <w:rPr>
          <w:rFonts w:asciiTheme="minorHAnsi" w:hAnsiTheme="minorHAnsi" w:cstheme="minorHAnsi"/>
          <w:b/>
          <w:szCs w:val="24"/>
        </w:rPr>
        <w:br/>
      </w:r>
      <w:r w:rsidRPr="00FC59E3">
        <w:rPr>
          <w:rFonts w:asciiTheme="minorHAnsi" w:hAnsiTheme="minorHAnsi" w:cstheme="minorHAnsi"/>
          <w:b/>
          <w:szCs w:val="24"/>
        </w:rPr>
        <w:t>(MAXIMUM PAYMENTS FOR OTHER GRANTS) DETERMINATION 2021</w:t>
      </w:r>
    </w:p>
    <w:p w14:paraId="289E50B9" w14:textId="77777777" w:rsidR="00DA552F" w:rsidRPr="008134D5" w:rsidRDefault="00DB6247">
      <w:pPr>
        <w:pStyle w:val="Heading2"/>
        <w:jc w:val="center"/>
        <w:rPr>
          <w:rFonts w:asciiTheme="minorHAnsi" w:hAnsiTheme="minorHAnsi" w:cstheme="minorHAnsi"/>
          <w:color w:val="auto"/>
        </w:rPr>
      </w:pPr>
      <w:r>
        <w:rPr>
          <w:rFonts w:asciiTheme="minorHAnsi" w:hAnsiTheme="minorHAnsi" w:cstheme="minorHAnsi"/>
          <w:color w:val="auto"/>
        </w:rPr>
        <w:t>EXPLANATION OF PROVISIONS</w:t>
      </w:r>
    </w:p>
    <w:p w14:paraId="5C8B7FC1"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1: </w:t>
      </w:r>
      <w:r w:rsidR="00E631F9">
        <w:rPr>
          <w:rFonts w:asciiTheme="minorHAnsi" w:hAnsiTheme="minorHAnsi" w:cstheme="minorHAnsi"/>
          <w:b/>
          <w:u w:val="single"/>
        </w:rPr>
        <w:t>Name</w:t>
      </w:r>
    </w:p>
    <w:p w14:paraId="6EB0F1F1" w14:textId="122B3616" w:rsidR="00DA552F" w:rsidRPr="00EF4ACB" w:rsidRDefault="00610E7D" w:rsidP="00730272">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This section specifies the name of the instrument as the </w:t>
      </w:r>
      <w:r w:rsidRPr="00610E7D">
        <w:rPr>
          <w:rFonts w:asciiTheme="minorHAnsi" w:hAnsiTheme="minorHAnsi" w:cstheme="minorHAnsi"/>
          <w:i/>
          <w:iCs/>
          <w:szCs w:val="24"/>
        </w:rPr>
        <w:t>Higher Education Support Amendment (Maximum Payments for Other Grants) Determination 2021</w:t>
      </w:r>
      <w:r>
        <w:rPr>
          <w:rFonts w:asciiTheme="minorHAnsi" w:hAnsiTheme="minorHAnsi" w:cstheme="minorHAnsi"/>
          <w:i/>
          <w:iCs/>
          <w:szCs w:val="24"/>
        </w:rPr>
        <w:t xml:space="preserve"> </w:t>
      </w:r>
      <w:r>
        <w:rPr>
          <w:rFonts w:asciiTheme="minorHAnsi" w:hAnsiTheme="minorHAnsi" w:cstheme="minorHAnsi"/>
          <w:szCs w:val="24"/>
        </w:rPr>
        <w:t xml:space="preserve">(the </w:t>
      </w:r>
      <w:r w:rsidR="00065DE8">
        <w:rPr>
          <w:rFonts w:asciiTheme="minorHAnsi" w:hAnsiTheme="minorHAnsi" w:cstheme="minorHAnsi"/>
          <w:szCs w:val="24"/>
        </w:rPr>
        <w:t xml:space="preserve">Amendment </w:t>
      </w:r>
      <w:r>
        <w:rPr>
          <w:rFonts w:asciiTheme="minorHAnsi" w:hAnsiTheme="minorHAnsi" w:cstheme="minorHAnsi"/>
          <w:szCs w:val="24"/>
        </w:rPr>
        <w:t>Instrument)</w:t>
      </w:r>
      <w:r w:rsidR="00E631F9" w:rsidRPr="00EF4ACB">
        <w:rPr>
          <w:rFonts w:asciiTheme="minorHAnsi" w:hAnsiTheme="minorHAnsi" w:cstheme="minorHAnsi"/>
          <w:szCs w:val="24"/>
        </w:rPr>
        <w:t>.</w:t>
      </w:r>
    </w:p>
    <w:p w14:paraId="153E9ACC" w14:textId="77777777" w:rsidR="00DA552F" w:rsidRPr="008134D5" w:rsidRDefault="00DB6247" w:rsidP="00F62708">
      <w:pPr>
        <w:keepNext/>
        <w:rPr>
          <w:rFonts w:asciiTheme="minorHAnsi" w:hAnsiTheme="minorHAnsi" w:cstheme="minorHAnsi"/>
          <w:b/>
          <w:u w:val="single"/>
        </w:rPr>
      </w:pPr>
      <w:r>
        <w:rPr>
          <w:rFonts w:asciiTheme="minorHAnsi" w:hAnsiTheme="minorHAnsi" w:cstheme="minorHAnsi"/>
          <w:b/>
          <w:u w:val="single"/>
        </w:rPr>
        <w:t>Section</w:t>
      </w:r>
      <w:r w:rsidR="00DA552F" w:rsidRPr="008134D5">
        <w:rPr>
          <w:rFonts w:asciiTheme="minorHAnsi" w:hAnsiTheme="minorHAnsi" w:cstheme="minorHAnsi"/>
          <w:b/>
          <w:u w:val="single"/>
        </w:rPr>
        <w:t xml:space="preserve"> 2: Commencement</w:t>
      </w:r>
    </w:p>
    <w:p w14:paraId="1DC53B7C" w14:textId="24CAD595" w:rsidR="00E631F9" w:rsidRPr="009C10C1" w:rsidRDefault="00610E7D" w:rsidP="00730272">
      <w:pPr>
        <w:pStyle w:val="ListParagraph"/>
        <w:keepNext/>
        <w:numPr>
          <w:ilvl w:val="0"/>
          <w:numId w:val="1"/>
        </w:numPr>
        <w:spacing w:before="360" w:after="120"/>
        <w:rPr>
          <w:rFonts w:asciiTheme="minorHAnsi" w:hAnsiTheme="minorHAnsi" w:cstheme="minorHAnsi"/>
          <w:i/>
          <w:color w:val="FF0000"/>
        </w:rPr>
      </w:pPr>
      <w:r>
        <w:rPr>
          <w:rFonts w:asciiTheme="minorHAnsi" w:hAnsiTheme="minorHAnsi" w:cstheme="minorHAnsi"/>
          <w:iCs/>
        </w:rPr>
        <w:t>This section specifies that the</w:t>
      </w:r>
      <w:r w:rsidR="00065DE8">
        <w:rPr>
          <w:rFonts w:asciiTheme="minorHAnsi" w:hAnsiTheme="minorHAnsi" w:cstheme="minorHAnsi"/>
          <w:iCs/>
        </w:rPr>
        <w:t xml:space="preserve"> Amendment</w:t>
      </w:r>
      <w:r>
        <w:rPr>
          <w:rFonts w:asciiTheme="minorHAnsi" w:hAnsiTheme="minorHAnsi" w:cstheme="minorHAnsi"/>
          <w:iCs/>
        </w:rPr>
        <w:t xml:space="preserve"> Instrument commences on the day after registration on the Federal Register of Legislation.</w:t>
      </w:r>
    </w:p>
    <w:p w14:paraId="3287C071" w14:textId="77777777" w:rsidR="00E631F9" w:rsidRPr="00E631F9" w:rsidRDefault="00E631F9" w:rsidP="00E631F9">
      <w:pPr>
        <w:keepNext/>
        <w:spacing w:before="360" w:after="120"/>
        <w:rPr>
          <w:rFonts w:asciiTheme="minorHAnsi" w:hAnsiTheme="minorHAnsi" w:cstheme="minorHAnsi"/>
          <w:b/>
          <w:u w:val="single"/>
        </w:rPr>
      </w:pPr>
      <w:r w:rsidRPr="00E631F9">
        <w:rPr>
          <w:rFonts w:asciiTheme="minorHAnsi" w:hAnsiTheme="minorHAnsi" w:cstheme="minorHAnsi"/>
          <w:b/>
          <w:u w:val="single"/>
        </w:rPr>
        <w:t>Section 3: Authority</w:t>
      </w:r>
    </w:p>
    <w:p w14:paraId="1CEE71F7" w14:textId="766EEB25" w:rsidR="00E631F9" w:rsidRPr="00610E7D" w:rsidRDefault="00610E7D" w:rsidP="00730272">
      <w:pPr>
        <w:pStyle w:val="ListParagraph"/>
        <w:keepNext/>
        <w:numPr>
          <w:ilvl w:val="0"/>
          <w:numId w:val="1"/>
        </w:numPr>
        <w:spacing w:before="360" w:after="120"/>
        <w:rPr>
          <w:rFonts w:asciiTheme="minorHAnsi" w:hAnsiTheme="minorHAnsi" w:cstheme="minorHAnsi"/>
          <w:i/>
        </w:rPr>
      </w:pPr>
      <w:r w:rsidRPr="00610E7D">
        <w:rPr>
          <w:rFonts w:asciiTheme="minorHAnsi" w:hAnsiTheme="minorHAnsi" w:cstheme="minorHAnsi"/>
          <w:iCs/>
        </w:rPr>
        <w:t>The</w:t>
      </w:r>
      <w:r w:rsidR="00065DE8">
        <w:rPr>
          <w:rFonts w:asciiTheme="minorHAnsi" w:hAnsiTheme="minorHAnsi" w:cstheme="minorHAnsi"/>
          <w:iCs/>
        </w:rPr>
        <w:t xml:space="preserve"> Amendment</w:t>
      </w:r>
      <w:r w:rsidRPr="00610E7D">
        <w:rPr>
          <w:rFonts w:asciiTheme="minorHAnsi" w:hAnsiTheme="minorHAnsi" w:cstheme="minorHAnsi"/>
          <w:iCs/>
        </w:rPr>
        <w:t xml:space="preserve"> Instrument is made by the Minister under subsection 41-45(1D) of the </w:t>
      </w:r>
      <w:r w:rsidRPr="00610E7D">
        <w:rPr>
          <w:rFonts w:asciiTheme="minorHAnsi" w:hAnsiTheme="minorHAnsi" w:cstheme="minorHAnsi"/>
          <w:i/>
        </w:rPr>
        <w:t xml:space="preserve">Higher Education Support Act 2003 </w:t>
      </w:r>
      <w:r w:rsidRPr="00610E7D">
        <w:rPr>
          <w:rFonts w:asciiTheme="minorHAnsi" w:hAnsiTheme="minorHAnsi" w:cstheme="minorHAnsi"/>
          <w:iCs/>
        </w:rPr>
        <w:t>(the Act).</w:t>
      </w:r>
    </w:p>
    <w:p w14:paraId="4120483F" w14:textId="77777777" w:rsidR="00610E7D" w:rsidRDefault="00610E7D" w:rsidP="00610E7D">
      <w:pPr>
        <w:keepNext/>
        <w:spacing w:before="360" w:after="120"/>
        <w:rPr>
          <w:rFonts w:asciiTheme="minorHAnsi" w:hAnsiTheme="minorHAnsi" w:cstheme="minorHAnsi"/>
          <w:b/>
          <w:u w:val="single"/>
        </w:rPr>
      </w:pPr>
      <w:r>
        <w:rPr>
          <w:rFonts w:asciiTheme="minorHAnsi" w:hAnsiTheme="minorHAnsi" w:cstheme="minorHAnsi"/>
          <w:b/>
          <w:u w:val="single"/>
        </w:rPr>
        <w:t>Section 4: Schedules</w:t>
      </w:r>
    </w:p>
    <w:p w14:paraId="4DF65CF3" w14:textId="28760E35" w:rsidR="00610E7D" w:rsidRPr="00610E7D" w:rsidRDefault="00610E7D" w:rsidP="00730272">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section simply clarifies that Schedule 1 is effective on its terms (that is, to amend the </w:t>
      </w:r>
      <w:r w:rsidRPr="00610E7D">
        <w:rPr>
          <w:rFonts w:asciiTheme="minorHAnsi" w:hAnsiTheme="minorHAnsi" w:cstheme="minorHAnsi"/>
          <w:i/>
          <w:szCs w:val="24"/>
        </w:rPr>
        <w:t>Higher Education Support (Maximum Payments for Other Grants) Determination 2020</w:t>
      </w:r>
      <w:r w:rsidRPr="00610E7D">
        <w:rPr>
          <w:rFonts w:asciiTheme="minorHAnsi" w:hAnsiTheme="minorHAnsi" w:cstheme="minorHAnsi"/>
          <w:iCs/>
          <w:szCs w:val="24"/>
        </w:rPr>
        <w:t xml:space="preserve"> (the Principal Instrument</w:t>
      </w:r>
      <w:r w:rsidR="003065DB">
        <w:rPr>
          <w:rFonts w:asciiTheme="minorHAnsi" w:hAnsiTheme="minorHAnsi" w:cstheme="minorHAnsi"/>
          <w:iCs/>
          <w:szCs w:val="24"/>
        </w:rPr>
        <w:t>)</w:t>
      </w:r>
      <w:r>
        <w:rPr>
          <w:rFonts w:asciiTheme="minorHAnsi" w:hAnsiTheme="minorHAnsi" w:cstheme="minorHAnsi"/>
          <w:iCs/>
          <w:szCs w:val="24"/>
        </w:rPr>
        <w:t xml:space="preserve">). </w:t>
      </w:r>
    </w:p>
    <w:p w14:paraId="6A474444" w14:textId="18EDEED8" w:rsidR="007D6A02" w:rsidRDefault="007D6A02" w:rsidP="007D6A02">
      <w:pPr>
        <w:keepNext/>
        <w:rPr>
          <w:rFonts w:asciiTheme="minorHAnsi" w:hAnsiTheme="minorHAnsi" w:cstheme="minorHAnsi"/>
          <w:b/>
        </w:rPr>
      </w:pPr>
      <w:r>
        <w:rPr>
          <w:rFonts w:asciiTheme="minorHAnsi" w:hAnsiTheme="minorHAnsi" w:cstheme="minorHAnsi"/>
          <w:b/>
        </w:rPr>
        <w:t>SCHEDULE 1—AMENDMENTS</w:t>
      </w:r>
    </w:p>
    <w:p w14:paraId="4B12CFB3" w14:textId="4750BF2B" w:rsidR="007D6A02" w:rsidRDefault="007D6A02" w:rsidP="007D6A02">
      <w:pPr>
        <w:keepNext/>
        <w:spacing w:after="160" w:line="256" w:lineRule="auto"/>
        <w:rPr>
          <w:rFonts w:asciiTheme="minorHAnsi" w:hAnsiTheme="minorHAnsi" w:cstheme="minorHAnsi"/>
          <w:b/>
          <w:bCs/>
          <w:u w:val="single"/>
        </w:rPr>
      </w:pPr>
      <w:r>
        <w:rPr>
          <w:rFonts w:asciiTheme="minorHAnsi" w:hAnsiTheme="minorHAnsi" w:cstheme="minorHAnsi"/>
          <w:b/>
          <w:bCs/>
          <w:u w:val="single"/>
        </w:rPr>
        <w:t>Item 1: Section 6</w:t>
      </w:r>
    </w:p>
    <w:p w14:paraId="3A543489" w14:textId="77777777" w:rsidR="0083788B" w:rsidRDefault="004A2E83" w:rsidP="00730272">
      <w:pPr>
        <w:pStyle w:val="ListParagraph"/>
        <w:numPr>
          <w:ilvl w:val="0"/>
          <w:numId w:val="1"/>
        </w:numPr>
        <w:spacing w:after="160" w:line="259" w:lineRule="auto"/>
        <w:rPr>
          <w:rFonts w:asciiTheme="minorHAnsi" w:hAnsiTheme="minorHAnsi" w:cstheme="minorHAnsi"/>
        </w:rPr>
      </w:pPr>
      <w:r w:rsidRPr="0083788B">
        <w:rPr>
          <w:rFonts w:asciiTheme="minorHAnsi" w:hAnsiTheme="minorHAnsi" w:cstheme="minorHAnsi"/>
        </w:rPr>
        <w:t xml:space="preserve">This item amends the amounts which the total payments made under Part 2-3 of the Act must not exceed for the year 2021. </w:t>
      </w:r>
    </w:p>
    <w:p w14:paraId="191CFDFA" w14:textId="77777777" w:rsidR="003065DB" w:rsidRDefault="004A2E83" w:rsidP="00C647EE">
      <w:pPr>
        <w:pStyle w:val="ListParagraph"/>
        <w:numPr>
          <w:ilvl w:val="0"/>
          <w:numId w:val="1"/>
        </w:numPr>
        <w:spacing w:after="160" w:line="259" w:lineRule="auto"/>
        <w:rPr>
          <w:rFonts w:asciiTheme="minorHAnsi" w:hAnsiTheme="minorHAnsi" w:cstheme="minorHAnsi"/>
        </w:rPr>
      </w:pPr>
      <w:r w:rsidRPr="0083788B">
        <w:rPr>
          <w:rFonts w:asciiTheme="minorHAnsi" w:hAnsiTheme="minorHAnsi" w:cstheme="minorHAnsi"/>
        </w:rPr>
        <w:t xml:space="preserve">The amount for the </w:t>
      </w:r>
      <w:r w:rsidR="003065DB">
        <w:rPr>
          <w:rFonts w:asciiTheme="minorHAnsi" w:hAnsiTheme="minorHAnsi" w:cstheme="minorHAnsi"/>
        </w:rPr>
        <w:t xml:space="preserve">year </w:t>
      </w:r>
      <w:r w:rsidRPr="0083788B">
        <w:rPr>
          <w:rFonts w:asciiTheme="minorHAnsi" w:hAnsiTheme="minorHAnsi" w:cstheme="minorHAnsi"/>
        </w:rPr>
        <w:t xml:space="preserve">2021 was </w:t>
      </w:r>
      <w:r w:rsidR="003065DB" w:rsidRPr="003065DB">
        <w:rPr>
          <w:rFonts w:asciiTheme="minorHAnsi" w:hAnsiTheme="minorHAnsi" w:cstheme="minorHAnsi"/>
        </w:rPr>
        <w:t>$3,272,065,000</w:t>
      </w:r>
      <w:r w:rsidR="003065DB">
        <w:rPr>
          <w:rFonts w:asciiTheme="minorHAnsi" w:hAnsiTheme="minorHAnsi" w:cstheme="minorHAnsi"/>
        </w:rPr>
        <w:t xml:space="preserve">, as </w:t>
      </w:r>
      <w:r w:rsidRPr="0083788B">
        <w:rPr>
          <w:rFonts w:asciiTheme="minorHAnsi" w:hAnsiTheme="minorHAnsi" w:cstheme="minorHAnsi"/>
        </w:rPr>
        <w:t>determined in the Principal Instrument</w:t>
      </w:r>
      <w:r w:rsidR="003065DB">
        <w:rPr>
          <w:rFonts w:asciiTheme="minorHAnsi" w:hAnsiTheme="minorHAnsi" w:cstheme="minorHAnsi"/>
        </w:rPr>
        <w:t xml:space="preserve">. </w:t>
      </w:r>
    </w:p>
    <w:p w14:paraId="2AB55D93" w14:textId="142C932A" w:rsidR="00756D99" w:rsidRPr="00C647EE" w:rsidRDefault="003065DB" w:rsidP="00C647EE">
      <w:pPr>
        <w:pStyle w:val="ListParagraph"/>
        <w:numPr>
          <w:ilvl w:val="0"/>
          <w:numId w:val="1"/>
        </w:numPr>
        <w:spacing w:after="160" w:line="259" w:lineRule="auto"/>
        <w:rPr>
          <w:rFonts w:asciiTheme="minorHAnsi" w:hAnsiTheme="minorHAnsi" w:cstheme="minorHAnsi"/>
        </w:rPr>
      </w:pPr>
      <w:r>
        <w:rPr>
          <w:rFonts w:asciiTheme="minorHAnsi" w:hAnsiTheme="minorHAnsi" w:cstheme="minorHAnsi"/>
        </w:rPr>
        <w:t>The amount for the year 2021</w:t>
      </w:r>
      <w:r w:rsidR="0083788B">
        <w:rPr>
          <w:rFonts w:asciiTheme="minorHAnsi" w:hAnsiTheme="minorHAnsi" w:cstheme="minorHAnsi"/>
        </w:rPr>
        <w:t xml:space="preserve"> </w:t>
      </w:r>
      <w:r w:rsidR="004A2E83" w:rsidRPr="0083788B">
        <w:rPr>
          <w:rFonts w:asciiTheme="minorHAnsi" w:hAnsiTheme="minorHAnsi" w:cstheme="minorHAnsi"/>
        </w:rPr>
        <w:t xml:space="preserve">has been </w:t>
      </w:r>
      <w:r>
        <w:rPr>
          <w:rFonts w:asciiTheme="minorHAnsi" w:hAnsiTheme="minorHAnsi" w:cstheme="minorHAnsi"/>
        </w:rPr>
        <w:t xml:space="preserve">increased to </w:t>
      </w:r>
      <w:r w:rsidRPr="003065DB">
        <w:rPr>
          <w:rFonts w:asciiTheme="minorHAnsi" w:hAnsiTheme="minorHAnsi" w:cstheme="minorHAnsi"/>
        </w:rPr>
        <w:t>$3,276,103,423</w:t>
      </w:r>
      <w:r w:rsidR="004A2E83" w:rsidRPr="0083788B">
        <w:rPr>
          <w:rFonts w:asciiTheme="minorHAnsi" w:hAnsiTheme="minorHAnsi" w:cstheme="minorHAnsi"/>
        </w:rPr>
        <w:t xml:space="preserve"> to reflect the</w:t>
      </w:r>
      <w:r w:rsidR="0083788B">
        <w:rPr>
          <w:rFonts w:asciiTheme="minorHAnsi" w:hAnsiTheme="minorHAnsi" w:cstheme="minorHAnsi"/>
        </w:rPr>
        <w:t xml:space="preserve"> additional grant amounts that </w:t>
      </w:r>
      <w:r>
        <w:rPr>
          <w:rFonts w:asciiTheme="minorHAnsi" w:hAnsiTheme="minorHAnsi" w:cstheme="minorHAnsi"/>
        </w:rPr>
        <w:t>may</w:t>
      </w:r>
      <w:r w:rsidR="0083788B">
        <w:rPr>
          <w:rFonts w:asciiTheme="minorHAnsi" w:hAnsiTheme="minorHAnsi" w:cstheme="minorHAnsi"/>
        </w:rPr>
        <w:t xml:space="preserve"> be paid to </w:t>
      </w:r>
      <w:r w:rsidR="004A2E83" w:rsidRPr="0083788B">
        <w:rPr>
          <w:rFonts w:asciiTheme="minorHAnsi" w:hAnsiTheme="minorHAnsi" w:cstheme="minorHAnsi"/>
        </w:rPr>
        <w:t>the University of Notre Dame</w:t>
      </w:r>
      <w:r w:rsidR="00A13890">
        <w:rPr>
          <w:rFonts w:asciiTheme="minorHAnsi" w:hAnsiTheme="minorHAnsi" w:cstheme="minorHAnsi"/>
        </w:rPr>
        <w:t xml:space="preserve"> Australia</w:t>
      </w:r>
      <w:r w:rsidR="0083788B">
        <w:rPr>
          <w:rFonts w:asciiTheme="minorHAnsi" w:hAnsiTheme="minorHAnsi" w:cstheme="minorHAnsi"/>
        </w:rPr>
        <w:t xml:space="preserve"> </w:t>
      </w:r>
      <w:r w:rsidR="004A2E83" w:rsidRPr="0083788B">
        <w:rPr>
          <w:rFonts w:asciiTheme="minorHAnsi" w:hAnsiTheme="minorHAnsi" w:cstheme="minorHAnsi"/>
        </w:rPr>
        <w:t>as a</w:t>
      </w:r>
      <w:r w:rsidR="0083788B">
        <w:rPr>
          <w:rFonts w:asciiTheme="minorHAnsi" w:hAnsiTheme="minorHAnsi" w:cstheme="minorHAnsi"/>
        </w:rPr>
        <w:t xml:space="preserve"> new</w:t>
      </w:r>
      <w:r w:rsidR="004A2E83" w:rsidRPr="0083788B">
        <w:rPr>
          <w:rFonts w:asciiTheme="minorHAnsi" w:hAnsiTheme="minorHAnsi" w:cstheme="minorHAnsi"/>
        </w:rPr>
        <w:t xml:space="preserve"> Table A provider</w:t>
      </w:r>
      <w:r w:rsidR="0083788B">
        <w:rPr>
          <w:rFonts w:asciiTheme="minorHAnsi" w:hAnsiTheme="minorHAnsi" w:cstheme="minorHAnsi"/>
        </w:rPr>
        <w:t xml:space="preserve">. </w:t>
      </w:r>
    </w:p>
    <w:sectPr w:rsidR="00756D99" w:rsidRPr="00C647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ACC50" w14:textId="77777777" w:rsidR="00976171" w:rsidRDefault="00976171" w:rsidP="00783FAB">
      <w:pPr>
        <w:spacing w:after="0" w:line="240" w:lineRule="auto"/>
      </w:pPr>
      <w:r>
        <w:separator/>
      </w:r>
    </w:p>
  </w:endnote>
  <w:endnote w:type="continuationSeparator" w:id="0">
    <w:p w14:paraId="53FCF1D8" w14:textId="77777777" w:rsidR="00976171" w:rsidRDefault="00976171" w:rsidP="00783FAB">
      <w:pPr>
        <w:spacing w:after="0" w:line="240" w:lineRule="auto"/>
      </w:pPr>
      <w:r>
        <w:continuationSeparator/>
      </w:r>
    </w:p>
  </w:endnote>
  <w:endnote w:type="continuationNotice" w:id="1">
    <w:p w14:paraId="337B29E9" w14:textId="77777777" w:rsidR="00976171" w:rsidRDefault="00976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888BC" w14:textId="77777777" w:rsidR="00976171" w:rsidRDefault="00976171" w:rsidP="00783FAB">
      <w:pPr>
        <w:spacing w:after="0" w:line="240" w:lineRule="auto"/>
      </w:pPr>
      <w:r>
        <w:separator/>
      </w:r>
    </w:p>
  </w:footnote>
  <w:footnote w:type="continuationSeparator" w:id="0">
    <w:p w14:paraId="6E2B2878" w14:textId="77777777" w:rsidR="00976171" w:rsidRDefault="00976171" w:rsidP="00783FAB">
      <w:pPr>
        <w:spacing w:after="0" w:line="240" w:lineRule="auto"/>
      </w:pPr>
      <w:r>
        <w:continuationSeparator/>
      </w:r>
    </w:p>
  </w:footnote>
  <w:footnote w:type="continuationNotice" w:id="1">
    <w:p w14:paraId="426C829E" w14:textId="77777777" w:rsidR="00976171" w:rsidRDefault="009761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2213F"/>
    <w:multiLevelType w:val="hybridMultilevel"/>
    <w:tmpl w:val="3AE01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670DC8"/>
    <w:multiLevelType w:val="hybridMultilevel"/>
    <w:tmpl w:val="E1DEA18A"/>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C6C4A6E"/>
    <w:multiLevelType w:val="hybridMultilevel"/>
    <w:tmpl w:val="7B9C70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F8E5EFC"/>
    <w:multiLevelType w:val="hybridMultilevel"/>
    <w:tmpl w:val="7B9C70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61A6559"/>
    <w:multiLevelType w:val="hybridMultilevel"/>
    <w:tmpl w:val="B4965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F2A4799"/>
    <w:multiLevelType w:val="hybridMultilevel"/>
    <w:tmpl w:val="F03A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6"/>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6AFF"/>
    <w:rsid w:val="00017F54"/>
    <w:rsid w:val="000305EA"/>
    <w:rsid w:val="00031E3C"/>
    <w:rsid w:val="00032CB3"/>
    <w:rsid w:val="00036FAE"/>
    <w:rsid w:val="00044508"/>
    <w:rsid w:val="00047668"/>
    <w:rsid w:val="00047A2A"/>
    <w:rsid w:val="0005020B"/>
    <w:rsid w:val="00056365"/>
    <w:rsid w:val="00057815"/>
    <w:rsid w:val="00057A1E"/>
    <w:rsid w:val="000614A1"/>
    <w:rsid w:val="00062794"/>
    <w:rsid w:val="0006484E"/>
    <w:rsid w:val="00065DE8"/>
    <w:rsid w:val="000668B0"/>
    <w:rsid w:val="00076E76"/>
    <w:rsid w:val="00083F41"/>
    <w:rsid w:val="000846B7"/>
    <w:rsid w:val="000A2A28"/>
    <w:rsid w:val="000A2D3A"/>
    <w:rsid w:val="000A3124"/>
    <w:rsid w:val="000A35D6"/>
    <w:rsid w:val="000B1BE1"/>
    <w:rsid w:val="000B3914"/>
    <w:rsid w:val="000B6430"/>
    <w:rsid w:val="000C224C"/>
    <w:rsid w:val="000C34FD"/>
    <w:rsid w:val="000C4D6B"/>
    <w:rsid w:val="000D1472"/>
    <w:rsid w:val="000D5E6D"/>
    <w:rsid w:val="000E1E9A"/>
    <w:rsid w:val="000E3516"/>
    <w:rsid w:val="000E57DB"/>
    <w:rsid w:val="000E6FD6"/>
    <w:rsid w:val="000F1811"/>
    <w:rsid w:val="000F7A8C"/>
    <w:rsid w:val="00103015"/>
    <w:rsid w:val="00103253"/>
    <w:rsid w:val="001042BA"/>
    <w:rsid w:val="00120A34"/>
    <w:rsid w:val="00124260"/>
    <w:rsid w:val="00125A8E"/>
    <w:rsid w:val="00127CD8"/>
    <w:rsid w:val="001301AD"/>
    <w:rsid w:val="001334D9"/>
    <w:rsid w:val="001377D9"/>
    <w:rsid w:val="00137ACD"/>
    <w:rsid w:val="00140DAD"/>
    <w:rsid w:val="00140E3D"/>
    <w:rsid w:val="001421FE"/>
    <w:rsid w:val="001437EA"/>
    <w:rsid w:val="00144950"/>
    <w:rsid w:val="00145BE1"/>
    <w:rsid w:val="0015276C"/>
    <w:rsid w:val="00152947"/>
    <w:rsid w:val="0015508C"/>
    <w:rsid w:val="00160153"/>
    <w:rsid w:val="00161A1F"/>
    <w:rsid w:val="0017006A"/>
    <w:rsid w:val="00171672"/>
    <w:rsid w:val="00173A64"/>
    <w:rsid w:val="00173E0C"/>
    <w:rsid w:val="00185491"/>
    <w:rsid w:val="00195030"/>
    <w:rsid w:val="00197C3F"/>
    <w:rsid w:val="001A2FE9"/>
    <w:rsid w:val="001A4389"/>
    <w:rsid w:val="001B3C7A"/>
    <w:rsid w:val="001D00E3"/>
    <w:rsid w:val="001D0AF3"/>
    <w:rsid w:val="001D1D8A"/>
    <w:rsid w:val="001D36EE"/>
    <w:rsid w:val="001E07CE"/>
    <w:rsid w:val="001E52EB"/>
    <w:rsid w:val="001E5A0B"/>
    <w:rsid w:val="001F127D"/>
    <w:rsid w:val="001F3626"/>
    <w:rsid w:val="001F3E13"/>
    <w:rsid w:val="001F7336"/>
    <w:rsid w:val="00200358"/>
    <w:rsid w:val="002005CD"/>
    <w:rsid w:val="00201F75"/>
    <w:rsid w:val="00202EC1"/>
    <w:rsid w:val="00204283"/>
    <w:rsid w:val="00204EEF"/>
    <w:rsid w:val="00205DBD"/>
    <w:rsid w:val="00207297"/>
    <w:rsid w:val="0021337D"/>
    <w:rsid w:val="00216A1C"/>
    <w:rsid w:val="00222275"/>
    <w:rsid w:val="00223F82"/>
    <w:rsid w:val="00224C52"/>
    <w:rsid w:val="00224F55"/>
    <w:rsid w:val="00232304"/>
    <w:rsid w:val="002378EE"/>
    <w:rsid w:val="002445E3"/>
    <w:rsid w:val="00247EBF"/>
    <w:rsid w:val="00261499"/>
    <w:rsid w:val="002672A4"/>
    <w:rsid w:val="00267695"/>
    <w:rsid w:val="002747E8"/>
    <w:rsid w:val="00274EEA"/>
    <w:rsid w:val="0027686D"/>
    <w:rsid w:val="002808A9"/>
    <w:rsid w:val="00284C9D"/>
    <w:rsid w:val="00292863"/>
    <w:rsid w:val="00294430"/>
    <w:rsid w:val="002954C6"/>
    <w:rsid w:val="00296CA7"/>
    <w:rsid w:val="00296FAF"/>
    <w:rsid w:val="00297EAB"/>
    <w:rsid w:val="002A15F1"/>
    <w:rsid w:val="002A4961"/>
    <w:rsid w:val="002B313C"/>
    <w:rsid w:val="002B5C28"/>
    <w:rsid w:val="002C1F84"/>
    <w:rsid w:val="002C40FB"/>
    <w:rsid w:val="002D1504"/>
    <w:rsid w:val="002D564A"/>
    <w:rsid w:val="002E12E6"/>
    <w:rsid w:val="002F76C6"/>
    <w:rsid w:val="00304A88"/>
    <w:rsid w:val="00304E64"/>
    <w:rsid w:val="003065DB"/>
    <w:rsid w:val="00307358"/>
    <w:rsid w:val="0031070C"/>
    <w:rsid w:val="00313612"/>
    <w:rsid w:val="00316053"/>
    <w:rsid w:val="003170AC"/>
    <w:rsid w:val="00326C24"/>
    <w:rsid w:val="0033070E"/>
    <w:rsid w:val="003440C7"/>
    <w:rsid w:val="00350779"/>
    <w:rsid w:val="00353D81"/>
    <w:rsid w:val="00354743"/>
    <w:rsid w:val="0035712B"/>
    <w:rsid w:val="00365D2C"/>
    <w:rsid w:val="00367C2D"/>
    <w:rsid w:val="0037028F"/>
    <w:rsid w:val="003719BF"/>
    <w:rsid w:val="00375010"/>
    <w:rsid w:val="00375516"/>
    <w:rsid w:val="0037728A"/>
    <w:rsid w:val="00377427"/>
    <w:rsid w:val="0038577B"/>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4413"/>
    <w:rsid w:val="003E5B26"/>
    <w:rsid w:val="003F09F7"/>
    <w:rsid w:val="003F1AA1"/>
    <w:rsid w:val="003F24BC"/>
    <w:rsid w:val="003F38FF"/>
    <w:rsid w:val="003F7DC8"/>
    <w:rsid w:val="00402CC7"/>
    <w:rsid w:val="00402D70"/>
    <w:rsid w:val="00403CE4"/>
    <w:rsid w:val="004075A3"/>
    <w:rsid w:val="00410A3F"/>
    <w:rsid w:val="0041144F"/>
    <w:rsid w:val="004143B1"/>
    <w:rsid w:val="00415A55"/>
    <w:rsid w:val="00425A1E"/>
    <w:rsid w:val="00425FCB"/>
    <w:rsid w:val="00430F1B"/>
    <w:rsid w:val="004327E1"/>
    <w:rsid w:val="00434240"/>
    <w:rsid w:val="00434641"/>
    <w:rsid w:val="00434CDD"/>
    <w:rsid w:val="004355D0"/>
    <w:rsid w:val="004355E8"/>
    <w:rsid w:val="00436435"/>
    <w:rsid w:val="00445460"/>
    <w:rsid w:val="0044575A"/>
    <w:rsid w:val="00446B03"/>
    <w:rsid w:val="0044797F"/>
    <w:rsid w:val="00455C2A"/>
    <w:rsid w:val="0046777C"/>
    <w:rsid w:val="00472F61"/>
    <w:rsid w:val="00481DE1"/>
    <w:rsid w:val="00484DBC"/>
    <w:rsid w:val="00490BA0"/>
    <w:rsid w:val="00494834"/>
    <w:rsid w:val="0049486C"/>
    <w:rsid w:val="004A2E83"/>
    <w:rsid w:val="004A2F70"/>
    <w:rsid w:val="004A409F"/>
    <w:rsid w:val="004A48D9"/>
    <w:rsid w:val="004A69E3"/>
    <w:rsid w:val="004A6B2D"/>
    <w:rsid w:val="004B2C3F"/>
    <w:rsid w:val="004D5695"/>
    <w:rsid w:val="004D665B"/>
    <w:rsid w:val="004D7B86"/>
    <w:rsid w:val="004F53E6"/>
    <w:rsid w:val="004F54FF"/>
    <w:rsid w:val="00503218"/>
    <w:rsid w:val="00505873"/>
    <w:rsid w:val="00506F28"/>
    <w:rsid w:val="005146EC"/>
    <w:rsid w:val="00515BBE"/>
    <w:rsid w:val="005169CB"/>
    <w:rsid w:val="00517337"/>
    <w:rsid w:val="005173FC"/>
    <w:rsid w:val="00524226"/>
    <w:rsid w:val="00527330"/>
    <w:rsid w:val="00536596"/>
    <w:rsid w:val="005366FF"/>
    <w:rsid w:val="00537A32"/>
    <w:rsid w:val="0054602B"/>
    <w:rsid w:val="00546375"/>
    <w:rsid w:val="005620CA"/>
    <w:rsid w:val="00572401"/>
    <w:rsid w:val="005732E6"/>
    <w:rsid w:val="00577C30"/>
    <w:rsid w:val="005812FF"/>
    <w:rsid w:val="005819C8"/>
    <w:rsid w:val="0058422E"/>
    <w:rsid w:val="00584B84"/>
    <w:rsid w:val="0058610C"/>
    <w:rsid w:val="005905A0"/>
    <w:rsid w:val="00591EC0"/>
    <w:rsid w:val="0059353D"/>
    <w:rsid w:val="00596784"/>
    <w:rsid w:val="00597535"/>
    <w:rsid w:val="005A54B4"/>
    <w:rsid w:val="005A7050"/>
    <w:rsid w:val="005B3CBC"/>
    <w:rsid w:val="005B510A"/>
    <w:rsid w:val="005C0740"/>
    <w:rsid w:val="005C18D0"/>
    <w:rsid w:val="005E2026"/>
    <w:rsid w:val="005F4914"/>
    <w:rsid w:val="005F5DF6"/>
    <w:rsid w:val="005F5FA1"/>
    <w:rsid w:val="005F7D42"/>
    <w:rsid w:val="0060088C"/>
    <w:rsid w:val="00604F05"/>
    <w:rsid w:val="00610E7D"/>
    <w:rsid w:val="00611D31"/>
    <w:rsid w:val="006202A1"/>
    <w:rsid w:val="0062319E"/>
    <w:rsid w:val="00625432"/>
    <w:rsid w:val="00626E42"/>
    <w:rsid w:val="00627EDA"/>
    <w:rsid w:val="00636200"/>
    <w:rsid w:val="00645DC7"/>
    <w:rsid w:val="0064724F"/>
    <w:rsid w:val="006507CB"/>
    <w:rsid w:val="00651D68"/>
    <w:rsid w:val="00652D30"/>
    <w:rsid w:val="00656314"/>
    <w:rsid w:val="00661BE8"/>
    <w:rsid w:val="00667B6F"/>
    <w:rsid w:val="00667F82"/>
    <w:rsid w:val="006700AA"/>
    <w:rsid w:val="00677A0D"/>
    <w:rsid w:val="00683087"/>
    <w:rsid w:val="00685653"/>
    <w:rsid w:val="006930D1"/>
    <w:rsid w:val="006931AD"/>
    <w:rsid w:val="006940BB"/>
    <w:rsid w:val="00696CF0"/>
    <w:rsid w:val="00697001"/>
    <w:rsid w:val="006A1788"/>
    <w:rsid w:val="006A666D"/>
    <w:rsid w:val="006B2D99"/>
    <w:rsid w:val="006B6E38"/>
    <w:rsid w:val="006D58E2"/>
    <w:rsid w:val="006D7B6B"/>
    <w:rsid w:val="006E3838"/>
    <w:rsid w:val="006E3C40"/>
    <w:rsid w:val="006E7699"/>
    <w:rsid w:val="006F27AC"/>
    <w:rsid w:val="006F3E5C"/>
    <w:rsid w:val="006F627D"/>
    <w:rsid w:val="00701CB8"/>
    <w:rsid w:val="00701E47"/>
    <w:rsid w:val="00707E57"/>
    <w:rsid w:val="00707F49"/>
    <w:rsid w:val="007103B5"/>
    <w:rsid w:val="00717B45"/>
    <w:rsid w:val="007213BB"/>
    <w:rsid w:val="0072758F"/>
    <w:rsid w:val="00730272"/>
    <w:rsid w:val="007314EF"/>
    <w:rsid w:val="00731CD5"/>
    <w:rsid w:val="0073763E"/>
    <w:rsid w:val="007452A0"/>
    <w:rsid w:val="00745FCA"/>
    <w:rsid w:val="00747943"/>
    <w:rsid w:val="00752BD5"/>
    <w:rsid w:val="00753090"/>
    <w:rsid w:val="0075573F"/>
    <w:rsid w:val="00756861"/>
    <w:rsid w:val="00756D99"/>
    <w:rsid w:val="00756F20"/>
    <w:rsid w:val="00760772"/>
    <w:rsid w:val="00760DDE"/>
    <w:rsid w:val="007620AE"/>
    <w:rsid w:val="00772715"/>
    <w:rsid w:val="0077536C"/>
    <w:rsid w:val="00782538"/>
    <w:rsid w:val="007828DD"/>
    <w:rsid w:val="00783FAB"/>
    <w:rsid w:val="00785B13"/>
    <w:rsid w:val="00791AAC"/>
    <w:rsid w:val="00795969"/>
    <w:rsid w:val="007A6AF0"/>
    <w:rsid w:val="007B44CD"/>
    <w:rsid w:val="007B4836"/>
    <w:rsid w:val="007C5020"/>
    <w:rsid w:val="007D12B2"/>
    <w:rsid w:val="007D1F16"/>
    <w:rsid w:val="007D4E08"/>
    <w:rsid w:val="007D6A02"/>
    <w:rsid w:val="007E00A8"/>
    <w:rsid w:val="007E16D6"/>
    <w:rsid w:val="007E2197"/>
    <w:rsid w:val="007E3446"/>
    <w:rsid w:val="007E3447"/>
    <w:rsid w:val="007E36E5"/>
    <w:rsid w:val="007E6EC6"/>
    <w:rsid w:val="007F563E"/>
    <w:rsid w:val="00803447"/>
    <w:rsid w:val="008035CF"/>
    <w:rsid w:val="0080584E"/>
    <w:rsid w:val="00805FEB"/>
    <w:rsid w:val="00811E34"/>
    <w:rsid w:val="00812C37"/>
    <w:rsid w:val="008134D5"/>
    <w:rsid w:val="00813A38"/>
    <w:rsid w:val="00823B66"/>
    <w:rsid w:val="00824A98"/>
    <w:rsid w:val="008310AA"/>
    <w:rsid w:val="00834114"/>
    <w:rsid w:val="0083788B"/>
    <w:rsid w:val="00844D23"/>
    <w:rsid w:val="0085082F"/>
    <w:rsid w:val="008517D8"/>
    <w:rsid w:val="00855239"/>
    <w:rsid w:val="00856BC4"/>
    <w:rsid w:val="00867101"/>
    <w:rsid w:val="008755D8"/>
    <w:rsid w:val="0088497A"/>
    <w:rsid w:val="008A1F97"/>
    <w:rsid w:val="008A6224"/>
    <w:rsid w:val="008B478B"/>
    <w:rsid w:val="008B61B7"/>
    <w:rsid w:val="008C48EF"/>
    <w:rsid w:val="008C497B"/>
    <w:rsid w:val="008C76FD"/>
    <w:rsid w:val="008D5309"/>
    <w:rsid w:val="008D72EA"/>
    <w:rsid w:val="008D7625"/>
    <w:rsid w:val="008E30D6"/>
    <w:rsid w:val="008E30D9"/>
    <w:rsid w:val="008E68D3"/>
    <w:rsid w:val="008E79DF"/>
    <w:rsid w:val="008F002D"/>
    <w:rsid w:val="008F2FB3"/>
    <w:rsid w:val="008F43E8"/>
    <w:rsid w:val="00902A26"/>
    <w:rsid w:val="00903257"/>
    <w:rsid w:val="009048A2"/>
    <w:rsid w:val="00905C61"/>
    <w:rsid w:val="00907D61"/>
    <w:rsid w:val="00910064"/>
    <w:rsid w:val="009114DC"/>
    <w:rsid w:val="00911D92"/>
    <w:rsid w:val="009121D3"/>
    <w:rsid w:val="009176F5"/>
    <w:rsid w:val="00933AD6"/>
    <w:rsid w:val="009421AA"/>
    <w:rsid w:val="0094476A"/>
    <w:rsid w:val="0094774B"/>
    <w:rsid w:val="00970AAB"/>
    <w:rsid w:val="00974504"/>
    <w:rsid w:val="00975A4A"/>
    <w:rsid w:val="00976171"/>
    <w:rsid w:val="00976413"/>
    <w:rsid w:val="009767B4"/>
    <w:rsid w:val="00977D37"/>
    <w:rsid w:val="009807AE"/>
    <w:rsid w:val="00986661"/>
    <w:rsid w:val="00990334"/>
    <w:rsid w:val="00991158"/>
    <w:rsid w:val="0099199E"/>
    <w:rsid w:val="00995C44"/>
    <w:rsid w:val="009A04A5"/>
    <w:rsid w:val="009A35A0"/>
    <w:rsid w:val="009A7CFA"/>
    <w:rsid w:val="009B0C51"/>
    <w:rsid w:val="009B2183"/>
    <w:rsid w:val="009B29AC"/>
    <w:rsid w:val="009B4B7F"/>
    <w:rsid w:val="009C0F35"/>
    <w:rsid w:val="009C10C1"/>
    <w:rsid w:val="009C4F55"/>
    <w:rsid w:val="009C5E5D"/>
    <w:rsid w:val="009D23FB"/>
    <w:rsid w:val="009D6E63"/>
    <w:rsid w:val="009D7562"/>
    <w:rsid w:val="009E0803"/>
    <w:rsid w:val="009E5271"/>
    <w:rsid w:val="009E7C1C"/>
    <w:rsid w:val="009F13BF"/>
    <w:rsid w:val="009F1D34"/>
    <w:rsid w:val="009F4C47"/>
    <w:rsid w:val="009F528F"/>
    <w:rsid w:val="009F6AC9"/>
    <w:rsid w:val="00A070D3"/>
    <w:rsid w:val="00A105DA"/>
    <w:rsid w:val="00A13890"/>
    <w:rsid w:val="00A16E5F"/>
    <w:rsid w:val="00A20031"/>
    <w:rsid w:val="00A202D5"/>
    <w:rsid w:val="00A23CDC"/>
    <w:rsid w:val="00A24596"/>
    <w:rsid w:val="00A24B24"/>
    <w:rsid w:val="00A25E6C"/>
    <w:rsid w:val="00A40E3D"/>
    <w:rsid w:val="00A40EA6"/>
    <w:rsid w:val="00A47C4E"/>
    <w:rsid w:val="00A52753"/>
    <w:rsid w:val="00A550E8"/>
    <w:rsid w:val="00A556D1"/>
    <w:rsid w:val="00A56E8B"/>
    <w:rsid w:val="00A71133"/>
    <w:rsid w:val="00A7209C"/>
    <w:rsid w:val="00A761C7"/>
    <w:rsid w:val="00A77D42"/>
    <w:rsid w:val="00A82E17"/>
    <w:rsid w:val="00A85075"/>
    <w:rsid w:val="00A90245"/>
    <w:rsid w:val="00A93F1F"/>
    <w:rsid w:val="00A965A5"/>
    <w:rsid w:val="00AA12F7"/>
    <w:rsid w:val="00AA3173"/>
    <w:rsid w:val="00AA3A3E"/>
    <w:rsid w:val="00AB19B6"/>
    <w:rsid w:val="00AC6ABA"/>
    <w:rsid w:val="00AD1C80"/>
    <w:rsid w:val="00AD2E24"/>
    <w:rsid w:val="00AD5627"/>
    <w:rsid w:val="00AD65C9"/>
    <w:rsid w:val="00AD6639"/>
    <w:rsid w:val="00AE45A7"/>
    <w:rsid w:val="00AE4A25"/>
    <w:rsid w:val="00AE5CCB"/>
    <w:rsid w:val="00AE7179"/>
    <w:rsid w:val="00AF58D0"/>
    <w:rsid w:val="00AF6215"/>
    <w:rsid w:val="00AF6F6E"/>
    <w:rsid w:val="00B00A18"/>
    <w:rsid w:val="00B11323"/>
    <w:rsid w:val="00B13A2F"/>
    <w:rsid w:val="00B145D2"/>
    <w:rsid w:val="00B178D3"/>
    <w:rsid w:val="00B22F73"/>
    <w:rsid w:val="00B339F8"/>
    <w:rsid w:val="00B4065C"/>
    <w:rsid w:val="00B43512"/>
    <w:rsid w:val="00B52CD8"/>
    <w:rsid w:val="00B604EB"/>
    <w:rsid w:val="00B6108C"/>
    <w:rsid w:val="00B6580E"/>
    <w:rsid w:val="00B67F7B"/>
    <w:rsid w:val="00B739E2"/>
    <w:rsid w:val="00B802DB"/>
    <w:rsid w:val="00B8151D"/>
    <w:rsid w:val="00B819AA"/>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C02595"/>
    <w:rsid w:val="00C12197"/>
    <w:rsid w:val="00C1330A"/>
    <w:rsid w:val="00C145EB"/>
    <w:rsid w:val="00C2416A"/>
    <w:rsid w:val="00C30E45"/>
    <w:rsid w:val="00C325A5"/>
    <w:rsid w:val="00C36A15"/>
    <w:rsid w:val="00C3701B"/>
    <w:rsid w:val="00C37043"/>
    <w:rsid w:val="00C4300F"/>
    <w:rsid w:val="00C45661"/>
    <w:rsid w:val="00C5010C"/>
    <w:rsid w:val="00C62BC1"/>
    <w:rsid w:val="00C647EE"/>
    <w:rsid w:val="00C64879"/>
    <w:rsid w:val="00C66953"/>
    <w:rsid w:val="00C73133"/>
    <w:rsid w:val="00C731FA"/>
    <w:rsid w:val="00C7617C"/>
    <w:rsid w:val="00C82C91"/>
    <w:rsid w:val="00C846A2"/>
    <w:rsid w:val="00C90EFC"/>
    <w:rsid w:val="00C90FC4"/>
    <w:rsid w:val="00C954B7"/>
    <w:rsid w:val="00C9591A"/>
    <w:rsid w:val="00CA46AC"/>
    <w:rsid w:val="00CA4F71"/>
    <w:rsid w:val="00CB337B"/>
    <w:rsid w:val="00CB45D5"/>
    <w:rsid w:val="00CB7A83"/>
    <w:rsid w:val="00CC342F"/>
    <w:rsid w:val="00CC3AE0"/>
    <w:rsid w:val="00CC3C0B"/>
    <w:rsid w:val="00CC3CD3"/>
    <w:rsid w:val="00CC4C6D"/>
    <w:rsid w:val="00CD20F8"/>
    <w:rsid w:val="00CD3705"/>
    <w:rsid w:val="00CD6E72"/>
    <w:rsid w:val="00CE3EA5"/>
    <w:rsid w:val="00CE63E0"/>
    <w:rsid w:val="00CF1C96"/>
    <w:rsid w:val="00CF5A8C"/>
    <w:rsid w:val="00D010D3"/>
    <w:rsid w:val="00D05A8C"/>
    <w:rsid w:val="00D119DD"/>
    <w:rsid w:val="00D14A9D"/>
    <w:rsid w:val="00D17A67"/>
    <w:rsid w:val="00D17FC6"/>
    <w:rsid w:val="00D217D1"/>
    <w:rsid w:val="00D2517F"/>
    <w:rsid w:val="00D3758C"/>
    <w:rsid w:val="00D46134"/>
    <w:rsid w:val="00D468A9"/>
    <w:rsid w:val="00D50946"/>
    <w:rsid w:val="00D5387E"/>
    <w:rsid w:val="00D56A3B"/>
    <w:rsid w:val="00D61A73"/>
    <w:rsid w:val="00D63270"/>
    <w:rsid w:val="00D63CDD"/>
    <w:rsid w:val="00D66B65"/>
    <w:rsid w:val="00D70EAE"/>
    <w:rsid w:val="00D73415"/>
    <w:rsid w:val="00D74B9B"/>
    <w:rsid w:val="00D773CB"/>
    <w:rsid w:val="00D8103E"/>
    <w:rsid w:val="00D818BA"/>
    <w:rsid w:val="00D842A2"/>
    <w:rsid w:val="00D84946"/>
    <w:rsid w:val="00D87306"/>
    <w:rsid w:val="00D90E11"/>
    <w:rsid w:val="00D93741"/>
    <w:rsid w:val="00DA552F"/>
    <w:rsid w:val="00DB1C9E"/>
    <w:rsid w:val="00DB2434"/>
    <w:rsid w:val="00DB461B"/>
    <w:rsid w:val="00DB4D35"/>
    <w:rsid w:val="00DB6247"/>
    <w:rsid w:val="00DC3E8C"/>
    <w:rsid w:val="00DC4B5E"/>
    <w:rsid w:val="00DD1234"/>
    <w:rsid w:val="00DD408F"/>
    <w:rsid w:val="00DD5F43"/>
    <w:rsid w:val="00DD651A"/>
    <w:rsid w:val="00DD7496"/>
    <w:rsid w:val="00DD7B03"/>
    <w:rsid w:val="00DE02BB"/>
    <w:rsid w:val="00DE31E8"/>
    <w:rsid w:val="00DE5F92"/>
    <w:rsid w:val="00DE715E"/>
    <w:rsid w:val="00DE7C37"/>
    <w:rsid w:val="00DF13F3"/>
    <w:rsid w:val="00DF3683"/>
    <w:rsid w:val="00DF46B2"/>
    <w:rsid w:val="00DF61B7"/>
    <w:rsid w:val="00E01C32"/>
    <w:rsid w:val="00E01F85"/>
    <w:rsid w:val="00E1257E"/>
    <w:rsid w:val="00E24E50"/>
    <w:rsid w:val="00E251EE"/>
    <w:rsid w:val="00E302D5"/>
    <w:rsid w:val="00E33927"/>
    <w:rsid w:val="00E33FED"/>
    <w:rsid w:val="00E43542"/>
    <w:rsid w:val="00E5541C"/>
    <w:rsid w:val="00E55D04"/>
    <w:rsid w:val="00E60A2A"/>
    <w:rsid w:val="00E62C51"/>
    <w:rsid w:val="00E631F9"/>
    <w:rsid w:val="00E662FD"/>
    <w:rsid w:val="00E72FD0"/>
    <w:rsid w:val="00E757D0"/>
    <w:rsid w:val="00E767BE"/>
    <w:rsid w:val="00E8671C"/>
    <w:rsid w:val="00E90298"/>
    <w:rsid w:val="00E916A2"/>
    <w:rsid w:val="00E91930"/>
    <w:rsid w:val="00EA6D4F"/>
    <w:rsid w:val="00EA716A"/>
    <w:rsid w:val="00EA7EA8"/>
    <w:rsid w:val="00EB2273"/>
    <w:rsid w:val="00EC0A15"/>
    <w:rsid w:val="00EE412B"/>
    <w:rsid w:val="00EF4ACB"/>
    <w:rsid w:val="00F00674"/>
    <w:rsid w:val="00F03635"/>
    <w:rsid w:val="00F0455E"/>
    <w:rsid w:val="00F0609A"/>
    <w:rsid w:val="00F1230D"/>
    <w:rsid w:val="00F14BCE"/>
    <w:rsid w:val="00F21042"/>
    <w:rsid w:val="00F21FAC"/>
    <w:rsid w:val="00F25CFF"/>
    <w:rsid w:val="00F3264E"/>
    <w:rsid w:val="00F353B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0246"/>
    <w:rsid w:val="00F72398"/>
    <w:rsid w:val="00F74CC9"/>
    <w:rsid w:val="00F77106"/>
    <w:rsid w:val="00F85B48"/>
    <w:rsid w:val="00F861AE"/>
    <w:rsid w:val="00F871D7"/>
    <w:rsid w:val="00F87FB6"/>
    <w:rsid w:val="00F90098"/>
    <w:rsid w:val="00F9205E"/>
    <w:rsid w:val="00F92FA5"/>
    <w:rsid w:val="00F935BD"/>
    <w:rsid w:val="00F96889"/>
    <w:rsid w:val="00FA6309"/>
    <w:rsid w:val="00FA6319"/>
    <w:rsid w:val="00FB14CA"/>
    <w:rsid w:val="00FB46DD"/>
    <w:rsid w:val="00FB656A"/>
    <w:rsid w:val="00FB7019"/>
    <w:rsid w:val="00FC522B"/>
    <w:rsid w:val="00FC59E3"/>
    <w:rsid w:val="00FD0A30"/>
    <w:rsid w:val="00FD1A80"/>
    <w:rsid w:val="00FD2959"/>
    <w:rsid w:val="00FE2F0A"/>
    <w:rsid w:val="00FF2A10"/>
    <w:rsid w:val="00FF557B"/>
    <w:rsid w:val="00FF57B7"/>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Normal"/>
    <w:next w:val="Normal"/>
    <w:link w:val="Heading1Char"/>
    <w:uiPriority w:val="9"/>
    <w:qFormat/>
    <w:rsid w:val="00F513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3EB"/>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513EB"/>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F513EB"/>
    <w:rPr>
      <w:rFonts w:eastAsiaTheme="majorEastAsia" w:cstheme="majorBidi"/>
      <w:b/>
      <w:color w:val="000000" w:themeColor="text1"/>
      <w:szCs w:val="26"/>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F513EB"/>
    <w:rPr>
      <w:rFonts w:eastAsiaTheme="majorEastAsia" w:cstheme="majorBidi"/>
      <w:b/>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semiHidden/>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semiHidden/>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F513E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2030">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813526229">
      <w:bodyDiv w:val="1"/>
      <w:marLeft w:val="0"/>
      <w:marRight w:val="0"/>
      <w:marTop w:val="0"/>
      <w:marBottom w:val="0"/>
      <w:divBdr>
        <w:top w:val="none" w:sz="0" w:space="0" w:color="auto"/>
        <w:left w:val="none" w:sz="0" w:space="0" w:color="auto"/>
        <w:bottom w:val="none" w:sz="0" w:space="0" w:color="auto"/>
        <w:right w:val="none" w:sz="0" w:space="0" w:color="auto"/>
      </w:divBdr>
    </w:div>
    <w:div w:id="908342253">
      <w:bodyDiv w:val="1"/>
      <w:marLeft w:val="0"/>
      <w:marRight w:val="0"/>
      <w:marTop w:val="0"/>
      <w:marBottom w:val="0"/>
      <w:divBdr>
        <w:top w:val="none" w:sz="0" w:space="0" w:color="auto"/>
        <w:left w:val="none" w:sz="0" w:space="0" w:color="auto"/>
        <w:bottom w:val="none" w:sz="0" w:space="0" w:color="auto"/>
        <w:right w:val="none" w:sz="0" w:space="0" w:color="auto"/>
      </w:divBdr>
    </w:div>
    <w:div w:id="1492215960">
      <w:bodyDiv w:val="1"/>
      <w:marLeft w:val="0"/>
      <w:marRight w:val="0"/>
      <w:marTop w:val="0"/>
      <w:marBottom w:val="0"/>
      <w:divBdr>
        <w:top w:val="none" w:sz="0" w:space="0" w:color="auto"/>
        <w:left w:val="none" w:sz="0" w:space="0" w:color="auto"/>
        <w:bottom w:val="none" w:sz="0" w:space="0" w:color="auto"/>
        <w:right w:val="none" w:sz="0" w:space="0" w:color="auto"/>
      </w:divBdr>
    </w:div>
    <w:div w:id="1595824187">
      <w:bodyDiv w:val="1"/>
      <w:marLeft w:val="0"/>
      <w:marRight w:val="0"/>
      <w:marTop w:val="0"/>
      <w:marBottom w:val="0"/>
      <w:divBdr>
        <w:top w:val="none" w:sz="0" w:space="0" w:color="auto"/>
        <w:left w:val="none" w:sz="0" w:space="0" w:color="auto"/>
        <w:bottom w:val="none" w:sz="0" w:space="0" w:color="auto"/>
        <w:right w:val="none" w:sz="0" w:space="0" w:color="auto"/>
      </w:divBdr>
    </w:div>
    <w:div w:id="1844472058">
      <w:bodyDiv w:val="1"/>
      <w:marLeft w:val="0"/>
      <w:marRight w:val="0"/>
      <w:marTop w:val="0"/>
      <w:marBottom w:val="0"/>
      <w:divBdr>
        <w:top w:val="none" w:sz="0" w:space="0" w:color="auto"/>
        <w:left w:val="none" w:sz="0" w:space="0" w:color="auto"/>
        <w:bottom w:val="none" w:sz="0" w:space="0" w:color="auto"/>
        <w:right w:val="none" w:sz="0" w:space="0" w:color="auto"/>
      </w:divBdr>
    </w:div>
    <w:div w:id="1871718600">
      <w:bodyDiv w:val="1"/>
      <w:marLeft w:val="0"/>
      <w:marRight w:val="0"/>
      <w:marTop w:val="0"/>
      <w:marBottom w:val="0"/>
      <w:divBdr>
        <w:top w:val="none" w:sz="0" w:space="0" w:color="auto"/>
        <w:left w:val="none" w:sz="0" w:space="0" w:color="auto"/>
        <w:bottom w:val="none" w:sz="0" w:space="0" w:color="auto"/>
        <w:right w:val="none" w:sz="0" w:space="0" w:color="auto"/>
      </w:divBdr>
    </w:div>
    <w:div w:id="191319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9CF7EE1-1BE0-40FB-80E7-3F817A54C0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920727172C444F91B4BB220875CFB3" ma:contentTypeVersion="" ma:contentTypeDescription="PDMS Document Site Content Type" ma:contentTypeScope="" ma:versionID="f680805c0ef42dd51c1f088d11e17b23">
  <xsd:schema xmlns:xsd="http://www.w3.org/2001/XMLSchema" xmlns:xs="http://www.w3.org/2001/XMLSchema" xmlns:p="http://schemas.microsoft.com/office/2006/metadata/properties" xmlns:ns2="D9CF7EE1-1BE0-40FB-80E7-3F817A54C00E" targetNamespace="http://schemas.microsoft.com/office/2006/metadata/properties" ma:root="true" ma:fieldsID="bfe029375854589a6e4e4b70f1924c05" ns2:_="">
    <xsd:import namespace="D9CF7EE1-1BE0-40FB-80E7-3F817A54C00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F7EE1-1BE0-40FB-80E7-3F817A54C00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2.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3.xml><?xml version="1.0" encoding="utf-8"?>
<ds:datastoreItem xmlns:ds="http://schemas.openxmlformats.org/officeDocument/2006/customXml" ds:itemID="{EB42F429-4198-4ECD-8E59-23F01B09005A}">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D9CF7EE1-1BE0-40FB-80E7-3F817A54C00E"/>
    <ds:schemaRef ds:uri="http://schemas.microsoft.com/office/2006/metadata/properties"/>
  </ds:schemaRefs>
</ds:datastoreItem>
</file>

<file path=customXml/itemProps4.xml><?xml version="1.0" encoding="utf-8"?>
<ds:datastoreItem xmlns:ds="http://schemas.openxmlformats.org/officeDocument/2006/customXml" ds:itemID="{B4092529-9D17-432D-A987-ACA3D53B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F7EE1-1BE0-40FB-80E7-3F817A54C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1581</Words>
  <Characters>9014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Solari, Jessica</dc:creator>
  <cp:lastModifiedBy>BAKER,Fiona</cp:lastModifiedBy>
  <cp:revision>2</cp:revision>
  <cp:lastPrinted>2019-11-17T23:12:00Z</cp:lastPrinted>
  <dcterms:created xsi:type="dcterms:W3CDTF">2021-11-09T04:57:00Z</dcterms:created>
  <dcterms:modified xsi:type="dcterms:W3CDTF">2021-11-09T04:57:00Z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0x010100266966F133664895A6EE3632470D45F500CC920727172C444F91B4BB220875CFB3</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ies>
</file>