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A2D14" w14:textId="77777777" w:rsidR="00BC6AC3" w:rsidRPr="00601B0E" w:rsidRDefault="00BC6AC3" w:rsidP="00BA4CCD">
      <w:pPr>
        <w:jc w:val="center"/>
        <w:rPr>
          <w:b/>
          <w:sz w:val="40"/>
          <w:szCs w:val="40"/>
        </w:rPr>
      </w:pPr>
      <w:bookmarkStart w:id="0" w:name="_GoBack"/>
      <w:bookmarkEnd w:id="0"/>
    </w:p>
    <w:p w14:paraId="0D604597" w14:textId="477B3BEC" w:rsidR="00BA4F48" w:rsidRPr="00514C80" w:rsidRDefault="00AD12BE" w:rsidP="003A3E29">
      <w:pPr>
        <w:jc w:val="center"/>
        <w:rPr>
          <w:b/>
          <w:sz w:val="40"/>
          <w:szCs w:val="40"/>
        </w:rPr>
      </w:pPr>
      <w:r w:rsidRPr="00514C80">
        <w:rPr>
          <w:b/>
          <w:sz w:val="40"/>
          <w:szCs w:val="40"/>
        </w:rPr>
        <w:t xml:space="preserve">Vehicle Standard (Australian Design Rule 98/00 –Advanced Emergency Braking </w:t>
      </w:r>
      <w:r w:rsidRPr="00514C80">
        <w:rPr>
          <w:b/>
          <w:sz w:val="40"/>
          <w:szCs w:val="40"/>
          <w:lang w:val="en-GB"/>
        </w:rPr>
        <w:t>for Passenger Vehicles and Light Goods Vehicles</w:t>
      </w:r>
      <w:r w:rsidRPr="00514C80">
        <w:rPr>
          <w:b/>
          <w:sz w:val="40"/>
          <w:szCs w:val="40"/>
        </w:rPr>
        <w:t>) 2021</w:t>
      </w:r>
    </w:p>
    <w:p w14:paraId="415A65EE" w14:textId="77777777" w:rsidR="00BA4F48" w:rsidRPr="00514C80" w:rsidRDefault="00BA4F48" w:rsidP="00D82CC0"/>
    <w:p w14:paraId="44053E84" w14:textId="77777777" w:rsidR="00485E16" w:rsidRPr="00514C80" w:rsidRDefault="00485E16" w:rsidP="00D82CC0"/>
    <w:p w14:paraId="183C2CBD" w14:textId="77777777" w:rsidR="00BA4F48" w:rsidRPr="00514C80" w:rsidRDefault="00BA4F48" w:rsidP="00D82CC0"/>
    <w:p w14:paraId="578D1FE2" w14:textId="77777777" w:rsidR="00BA4F48" w:rsidRPr="00514C80" w:rsidRDefault="00BA4F48" w:rsidP="00D82CC0"/>
    <w:p w14:paraId="5C0CF70B" w14:textId="77777777" w:rsidR="00AD12BE" w:rsidRPr="00514C80" w:rsidRDefault="00AD12BE" w:rsidP="00AD12BE">
      <w:pPr>
        <w:jc w:val="center"/>
      </w:pPr>
      <w:r w:rsidRPr="00514C80">
        <w:t xml:space="preserve">Made under section 12 of the </w:t>
      </w:r>
      <w:r w:rsidRPr="00514C80">
        <w:rPr>
          <w:i/>
        </w:rPr>
        <w:t>Road Vehicle Standards Act 2018</w:t>
      </w:r>
    </w:p>
    <w:p w14:paraId="786E47F2" w14:textId="77777777" w:rsidR="00AD12BE" w:rsidRPr="00514C80" w:rsidRDefault="00AD12BE" w:rsidP="00AD12BE"/>
    <w:p w14:paraId="39CAFEC8" w14:textId="77777777" w:rsidR="00AD12BE" w:rsidRPr="00514C80" w:rsidRDefault="00AD12BE" w:rsidP="00AD12BE"/>
    <w:p w14:paraId="3B9D1FD7" w14:textId="77777777" w:rsidR="00AD12BE" w:rsidRPr="00514C80" w:rsidRDefault="00AD12BE" w:rsidP="00AD12BE"/>
    <w:p w14:paraId="15DB4523" w14:textId="77777777" w:rsidR="00AD12BE" w:rsidRPr="00514C80" w:rsidRDefault="00AD12BE" w:rsidP="00AD12BE"/>
    <w:p w14:paraId="17F814E0" w14:textId="77777777" w:rsidR="00AD12BE" w:rsidRPr="00514C80" w:rsidRDefault="00AD12BE" w:rsidP="00AD12BE"/>
    <w:p w14:paraId="2345A1F4" w14:textId="77777777" w:rsidR="00AD12BE" w:rsidRPr="00514C80" w:rsidRDefault="00AD12BE" w:rsidP="00AD12BE">
      <w:pPr>
        <w:jc w:val="center"/>
        <w:rPr>
          <w:b/>
          <w:bCs/>
          <w:sz w:val="40"/>
        </w:rPr>
      </w:pPr>
      <w:r w:rsidRPr="00514C80">
        <w:rPr>
          <w:b/>
          <w:bCs/>
          <w:sz w:val="40"/>
        </w:rPr>
        <w:t>Explanatory Statement</w:t>
      </w:r>
    </w:p>
    <w:p w14:paraId="4162D98B" w14:textId="77777777" w:rsidR="00AD12BE" w:rsidRPr="00514C80" w:rsidRDefault="00AD12BE" w:rsidP="00AD12BE"/>
    <w:p w14:paraId="0840836A" w14:textId="77777777" w:rsidR="00AD12BE" w:rsidRPr="00514C80" w:rsidRDefault="00AD12BE" w:rsidP="00AD12BE"/>
    <w:p w14:paraId="2DFE2BC9" w14:textId="77777777" w:rsidR="00AD12BE" w:rsidRPr="00514C80" w:rsidRDefault="00AD12BE" w:rsidP="00AD12BE"/>
    <w:p w14:paraId="0AE2934B" w14:textId="77777777" w:rsidR="00AD12BE" w:rsidRPr="00514C80" w:rsidRDefault="00AD12BE" w:rsidP="00AD12BE"/>
    <w:p w14:paraId="31394C7C" w14:textId="77777777" w:rsidR="00AD12BE" w:rsidRPr="00514C80" w:rsidRDefault="00AD12BE" w:rsidP="00AD12BE"/>
    <w:p w14:paraId="7E37F946" w14:textId="77777777" w:rsidR="00AD12BE" w:rsidRPr="00514C80" w:rsidRDefault="00AD12BE" w:rsidP="00AD12BE">
      <w:pPr>
        <w:jc w:val="center"/>
      </w:pPr>
      <w:r w:rsidRPr="00514C80">
        <w:t xml:space="preserve">Approved by the Hon Kevin Hogan MP, Assistant Minister to the Deputy Prime Minister </w:t>
      </w:r>
      <w:r w:rsidRPr="00514C80">
        <w:br/>
      </w:r>
    </w:p>
    <w:p w14:paraId="4462F687" w14:textId="77777777" w:rsidR="00AD12BE" w:rsidRPr="00514C80" w:rsidRDefault="00AD12BE" w:rsidP="00AD12BE"/>
    <w:p w14:paraId="23987BE0" w14:textId="77777777" w:rsidR="00AD12BE" w:rsidRPr="00514C80" w:rsidRDefault="00AD12BE" w:rsidP="00AD12BE"/>
    <w:p w14:paraId="2BD50A41" w14:textId="77777777" w:rsidR="00AD12BE" w:rsidRPr="00514C80" w:rsidRDefault="00AD12BE" w:rsidP="00AD12BE"/>
    <w:p w14:paraId="26F73D33" w14:textId="77777777" w:rsidR="00AD12BE" w:rsidRPr="00514C80" w:rsidRDefault="00AD12BE" w:rsidP="00AD12BE"/>
    <w:p w14:paraId="75F3A258" w14:textId="77777777" w:rsidR="00AD12BE" w:rsidRPr="00514C80" w:rsidRDefault="00AD12BE" w:rsidP="00AD12BE"/>
    <w:p w14:paraId="1EA7FB7D" w14:textId="5ABA679F" w:rsidR="00BA4F48" w:rsidRPr="00514C80" w:rsidRDefault="00132EF4" w:rsidP="00AD12BE">
      <w:pPr>
        <w:jc w:val="center"/>
        <w:rPr>
          <w:b/>
          <w:bCs/>
          <w:sz w:val="40"/>
        </w:rPr>
      </w:pPr>
      <w:r>
        <w:rPr>
          <w:b/>
          <w:bCs/>
          <w:sz w:val="40"/>
        </w:rPr>
        <w:t>September</w:t>
      </w:r>
      <w:r w:rsidR="005A7A67" w:rsidRPr="00514C80">
        <w:rPr>
          <w:b/>
          <w:bCs/>
          <w:sz w:val="40"/>
        </w:rPr>
        <w:t xml:space="preserve"> </w:t>
      </w:r>
      <w:r w:rsidR="00AD12BE" w:rsidRPr="00514C80">
        <w:rPr>
          <w:b/>
          <w:bCs/>
          <w:sz w:val="40"/>
        </w:rPr>
        <w:t>2021</w:t>
      </w:r>
    </w:p>
    <w:p w14:paraId="2D67A515" w14:textId="77777777" w:rsidR="00BA4F48" w:rsidRPr="00514C80" w:rsidRDefault="00BA4F48" w:rsidP="00D82CC0"/>
    <w:p w14:paraId="7C34D2B8" w14:textId="77777777" w:rsidR="00BA4F48" w:rsidRPr="00514C80" w:rsidRDefault="00BA4F48" w:rsidP="00D82CC0"/>
    <w:p w14:paraId="1184D09C" w14:textId="77777777" w:rsidR="00FD272C" w:rsidRPr="00514C80" w:rsidRDefault="00FD272C" w:rsidP="00780DE8">
      <w:pPr>
        <w:pStyle w:val="ContentsHeading"/>
        <w:sectPr w:rsidR="00FD272C" w:rsidRPr="00514C80" w:rsidSect="00767D05">
          <w:headerReference w:type="default" r:id="rId11"/>
          <w:headerReference w:type="first" r:id="rId12"/>
          <w:pgSz w:w="11906" w:h="16838" w:code="9"/>
          <w:pgMar w:top="1440" w:right="1474" w:bottom="1440" w:left="1474" w:header="709" w:footer="709" w:gutter="0"/>
          <w:pgNumType w:start="1"/>
          <w:cols w:space="708"/>
          <w:titlePg/>
          <w:docGrid w:linePitch="360"/>
        </w:sectPr>
      </w:pPr>
    </w:p>
    <w:p w14:paraId="2F43BC93" w14:textId="7AE373BB" w:rsidR="00BA4F48" w:rsidRPr="00514C80" w:rsidRDefault="00BA4F48" w:rsidP="00780DE8">
      <w:pPr>
        <w:pStyle w:val="ContentsHeading"/>
      </w:pPr>
      <w:r w:rsidRPr="00514C80">
        <w:lastRenderedPageBreak/>
        <w:t>CONTENTS</w:t>
      </w:r>
    </w:p>
    <w:p w14:paraId="02DBB7C9" w14:textId="77777777" w:rsidR="00DD4F22" w:rsidRPr="00514C80" w:rsidRDefault="00DD4F22" w:rsidP="00DD4F22"/>
    <w:p w14:paraId="0723DE11" w14:textId="36298BE1" w:rsidR="00314E88" w:rsidRPr="00514C80" w:rsidRDefault="00DD4F22" w:rsidP="005421B3">
      <w:pPr>
        <w:pStyle w:val="TOC1"/>
        <w:rPr>
          <w:rFonts w:asciiTheme="minorHAnsi" w:eastAsiaTheme="minorEastAsia" w:hAnsiTheme="minorHAnsi" w:cstheme="minorBidi"/>
          <w:noProof/>
          <w:sz w:val="22"/>
          <w:szCs w:val="22"/>
        </w:rPr>
      </w:pPr>
      <w:r w:rsidRPr="00514C80">
        <w:fldChar w:fldCharType="begin"/>
      </w:r>
      <w:r w:rsidRPr="00514C80">
        <w:instrText xml:space="preserve"> TOC \t "Heading Level 1,1,Heading Level 2,2" </w:instrText>
      </w:r>
      <w:r w:rsidRPr="00514C80">
        <w:fldChar w:fldCharType="separate"/>
      </w:r>
      <w:r w:rsidR="00314E88" w:rsidRPr="00514C80">
        <w:rPr>
          <w:noProof/>
        </w:rPr>
        <w:t>1.</w:t>
      </w:r>
      <w:r w:rsidR="00314E88" w:rsidRPr="00514C80">
        <w:rPr>
          <w:rFonts w:asciiTheme="minorHAnsi" w:eastAsiaTheme="minorEastAsia" w:hAnsiTheme="minorHAnsi" w:cstheme="minorBidi"/>
          <w:noProof/>
          <w:sz w:val="22"/>
          <w:szCs w:val="22"/>
        </w:rPr>
        <w:tab/>
      </w:r>
      <w:r w:rsidR="00314E88" w:rsidRPr="00514C80">
        <w:rPr>
          <w:noProof/>
        </w:rPr>
        <w:t>legislative Authority</w:t>
      </w:r>
      <w:r w:rsidR="00314E88" w:rsidRPr="00514C80">
        <w:rPr>
          <w:noProof/>
        </w:rPr>
        <w:tab/>
      </w:r>
      <w:r w:rsidR="00314E88" w:rsidRPr="00514C80">
        <w:rPr>
          <w:noProof/>
        </w:rPr>
        <w:fldChar w:fldCharType="begin"/>
      </w:r>
      <w:r w:rsidR="00314E88" w:rsidRPr="00514C80">
        <w:rPr>
          <w:noProof/>
        </w:rPr>
        <w:instrText xml:space="preserve"> PAGEREF _Toc77772856 \h </w:instrText>
      </w:r>
      <w:r w:rsidR="00314E88" w:rsidRPr="00514C80">
        <w:rPr>
          <w:noProof/>
        </w:rPr>
      </w:r>
      <w:r w:rsidR="00314E88" w:rsidRPr="00514C80">
        <w:rPr>
          <w:noProof/>
        </w:rPr>
        <w:fldChar w:fldCharType="separate"/>
      </w:r>
      <w:r w:rsidR="00F10F26">
        <w:rPr>
          <w:noProof/>
        </w:rPr>
        <w:t>3</w:t>
      </w:r>
      <w:r w:rsidR="00314E88" w:rsidRPr="00514C80">
        <w:rPr>
          <w:noProof/>
        </w:rPr>
        <w:fldChar w:fldCharType="end"/>
      </w:r>
    </w:p>
    <w:p w14:paraId="060ADEFD" w14:textId="4B554C00" w:rsidR="00314E88" w:rsidRPr="00514C80" w:rsidRDefault="00314E88">
      <w:pPr>
        <w:pStyle w:val="TOC2"/>
        <w:rPr>
          <w:rFonts w:asciiTheme="minorHAnsi" w:eastAsiaTheme="minorEastAsia" w:hAnsiTheme="minorHAnsi" w:cstheme="minorBidi"/>
          <w:noProof/>
          <w:sz w:val="22"/>
          <w:szCs w:val="22"/>
        </w:rPr>
      </w:pPr>
      <w:r w:rsidRPr="00514C80">
        <w:rPr>
          <w:noProof/>
        </w:rPr>
        <w:t>1.1.</w:t>
      </w:r>
      <w:r w:rsidRPr="00514C80">
        <w:rPr>
          <w:rFonts w:asciiTheme="minorHAnsi" w:eastAsiaTheme="minorEastAsia" w:hAnsiTheme="minorHAnsi" w:cstheme="minorBidi"/>
          <w:noProof/>
          <w:sz w:val="22"/>
          <w:szCs w:val="22"/>
        </w:rPr>
        <w:tab/>
      </w:r>
      <w:r w:rsidRPr="00514C80">
        <w:rPr>
          <w:noProof/>
        </w:rPr>
        <w:t>National Road Vehicle Standards</w:t>
      </w:r>
      <w:r w:rsidRPr="00514C80">
        <w:rPr>
          <w:noProof/>
        </w:rPr>
        <w:tab/>
      </w:r>
      <w:r w:rsidRPr="00514C80">
        <w:rPr>
          <w:noProof/>
        </w:rPr>
        <w:fldChar w:fldCharType="begin"/>
      </w:r>
      <w:r w:rsidRPr="00514C80">
        <w:rPr>
          <w:noProof/>
        </w:rPr>
        <w:instrText xml:space="preserve"> PAGEREF _Toc77772857 \h </w:instrText>
      </w:r>
      <w:r w:rsidRPr="00514C80">
        <w:rPr>
          <w:noProof/>
        </w:rPr>
      </w:r>
      <w:r w:rsidRPr="00514C80">
        <w:rPr>
          <w:noProof/>
        </w:rPr>
        <w:fldChar w:fldCharType="separate"/>
      </w:r>
      <w:r w:rsidR="00F10F26">
        <w:rPr>
          <w:noProof/>
        </w:rPr>
        <w:t>3</w:t>
      </w:r>
      <w:r w:rsidRPr="00514C80">
        <w:rPr>
          <w:noProof/>
        </w:rPr>
        <w:fldChar w:fldCharType="end"/>
      </w:r>
    </w:p>
    <w:p w14:paraId="6A1934D9" w14:textId="2C4A71F3" w:rsidR="00314E88" w:rsidRPr="00514C80" w:rsidRDefault="00314E88">
      <w:pPr>
        <w:pStyle w:val="TOC2"/>
        <w:rPr>
          <w:rFonts w:asciiTheme="minorHAnsi" w:eastAsiaTheme="minorEastAsia" w:hAnsiTheme="minorHAnsi" w:cstheme="minorBidi"/>
          <w:noProof/>
          <w:sz w:val="22"/>
          <w:szCs w:val="22"/>
        </w:rPr>
      </w:pPr>
      <w:r w:rsidRPr="00514C80">
        <w:rPr>
          <w:noProof/>
        </w:rPr>
        <w:t>1.2.</w:t>
      </w:r>
      <w:r w:rsidRPr="00514C80">
        <w:rPr>
          <w:rFonts w:asciiTheme="minorHAnsi" w:eastAsiaTheme="minorEastAsia" w:hAnsiTheme="minorHAnsi" w:cstheme="minorBidi"/>
          <w:noProof/>
          <w:sz w:val="22"/>
          <w:szCs w:val="22"/>
        </w:rPr>
        <w:tab/>
      </w:r>
      <w:r w:rsidRPr="00514C80">
        <w:rPr>
          <w:noProof/>
        </w:rPr>
        <w:t>International Harmonisation</w:t>
      </w:r>
      <w:r w:rsidRPr="00514C80">
        <w:rPr>
          <w:noProof/>
        </w:rPr>
        <w:tab/>
      </w:r>
      <w:r w:rsidRPr="00514C80">
        <w:rPr>
          <w:noProof/>
        </w:rPr>
        <w:fldChar w:fldCharType="begin"/>
      </w:r>
      <w:r w:rsidRPr="00514C80">
        <w:rPr>
          <w:noProof/>
        </w:rPr>
        <w:instrText xml:space="preserve"> PAGEREF _Toc77772858 \h </w:instrText>
      </w:r>
      <w:r w:rsidRPr="00514C80">
        <w:rPr>
          <w:noProof/>
        </w:rPr>
      </w:r>
      <w:r w:rsidRPr="00514C80">
        <w:rPr>
          <w:noProof/>
        </w:rPr>
        <w:fldChar w:fldCharType="separate"/>
      </w:r>
      <w:r w:rsidR="00F10F26">
        <w:rPr>
          <w:noProof/>
        </w:rPr>
        <w:t>3</w:t>
      </w:r>
      <w:r w:rsidRPr="00514C80">
        <w:rPr>
          <w:noProof/>
        </w:rPr>
        <w:fldChar w:fldCharType="end"/>
      </w:r>
    </w:p>
    <w:p w14:paraId="640D57B9" w14:textId="5345A7BB" w:rsidR="00314E88" w:rsidRPr="00514C80" w:rsidRDefault="00314E88">
      <w:pPr>
        <w:pStyle w:val="TOC2"/>
        <w:rPr>
          <w:rFonts w:asciiTheme="minorHAnsi" w:eastAsiaTheme="minorEastAsia" w:hAnsiTheme="minorHAnsi" w:cstheme="minorBidi"/>
          <w:noProof/>
          <w:sz w:val="22"/>
          <w:szCs w:val="22"/>
        </w:rPr>
      </w:pPr>
      <w:r w:rsidRPr="00514C80">
        <w:rPr>
          <w:noProof/>
        </w:rPr>
        <w:t>1.3.</w:t>
      </w:r>
      <w:r w:rsidRPr="00514C80">
        <w:rPr>
          <w:rFonts w:asciiTheme="minorHAnsi" w:eastAsiaTheme="minorEastAsia" w:hAnsiTheme="minorHAnsi" w:cstheme="minorBidi"/>
          <w:noProof/>
          <w:sz w:val="22"/>
          <w:szCs w:val="22"/>
        </w:rPr>
        <w:tab/>
      </w:r>
      <w:r w:rsidRPr="00514C80">
        <w:rPr>
          <w:noProof/>
        </w:rPr>
        <w:t>Advanced Emergency Braking Systems</w:t>
      </w:r>
      <w:r w:rsidRPr="00514C80">
        <w:rPr>
          <w:noProof/>
        </w:rPr>
        <w:tab/>
      </w:r>
      <w:r w:rsidRPr="00514C80">
        <w:rPr>
          <w:noProof/>
        </w:rPr>
        <w:fldChar w:fldCharType="begin"/>
      </w:r>
      <w:r w:rsidRPr="00514C80">
        <w:rPr>
          <w:noProof/>
        </w:rPr>
        <w:instrText xml:space="preserve"> PAGEREF _Toc77772859 \h </w:instrText>
      </w:r>
      <w:r w:rsidRPr="00514C80">
        <w:rPr>
          <w:noProof/>
        </w:rPr>
      </w:r>
      <w:r w:rsidRPr="00514C80">
        <w:rPr>
          <w:noProof/>
        </w:rPr>
        <w:fldChar w:fldCharType="separate"/>
      </w:r>
      <w:r w:rsidR="00F10F26">
        <w:rPr>
          <w:noProof/>
        </w:rPr>
        <w:t>3</w:t>
      </w:r>
      <w:r w:rsidRPr="00514C80">
        <w:rPr>
          <w:noProof/>
        </w:rPr>
        <w:fldChar w:fldCharType="end"/>
      </w:r>
    </w:p>
    <w:p w14:paraId="6EEB4DD0" w14:textId="71241F15" w:rsidR="00314E88" w:rsidRPr="00514C80" w:rsidRDefault="00314E88" w:rsidP="005421B3">
      <w:pPr>
        <w:pStyle w:val="TOC1"/>
        <w:rPr>
          <w:rFonts w:asciiTheme="minorHAnsi" w:eastAsiaTheme="minorEastAsia" w:hAnsiTheme="minorHAnsi" w:cstheme="minorBidi"/>
          <w:noProof/>
          <w:sz w:val="22"/>
          <w:szCs w:val="22"/>
        </w:rPr>
      </w:pPr>
      <w:r w:rsidRPr="00514C80">
        <w:rPr>
          <w:rFonts w:cs="Arial"/>
          <w:noProof/>
        </w:rPr>
        <w:t>2.</w:t>
      </w:r>
      <w:r w:rsidRPr="00514C80">
        <w:rPr>
          <w:rFonts w:asciiTheme="minorHAnsi" w:eastAsiaTheme="minorEastAsia" w:hAnsiTheme="minorHAnsi" w:cstheme="minorBidi"/>
          <w:noProof/>
          <w:sz w:val="22"/>
          <w:szCs w:val="22"/>
        </w:rPr>
        <w:tab/>
      </w:r>
      <w:r w:rsidRPr="00514C80">
        <w:rPr>
          <w:noProof/>
        </w:rPr>
        <w:t>Purpose and operation</w:t>
      </w:r>
      <w:r w:rsidRPr="00514C80">
        <w:rPr>
          <w:noProof/>
        </w:rPr>
        <w:tab/>
      </w:r>
      <w:r w:rsidRPr="00514C80">
        <w:rPr>
          <w:noProof/>
        </w:rPr>
        <w:fldChar w:fldCharType="begin"/>
      </w:r>
      <w:r w:rsidRPr="00514C80">
        <w:rPr>
          <w:noProof/>
        </w:rPr>
        <w:instrText xml:space="preserve"> PAGEREF _Toc77772860 \h </w:instrText>
      </w:r>
      <w:r w:rsidRPr="00514C80">
        <w:rPr>
          <w:noProof/>
        </w:rPr>
      </w:r>
      <w:r w:rsidRPr="00514C80">
        <w:rPr>
          <w:noProof/>
        </w:rPr>
        <w:fldChar w:fldCharType="separate"/>
      </w:r>
      <w:r w:rsidR="00F10F26">
        <w:rPr>
          <w:noProof/>
        </w:rPr>
        <w:t>3</w:t>
      </w:r>
      <w:r w:rsidRPr="00514C80">
        <w:rPr>
          <w:noProof/>
        </w:rPr>
        <w:fldChar w:fldCharType="end"/>
      </w:r>
    </w:p>
    <w:p w14:paraId="54151D32" w14:textId="743DE25A" w:rsidR="00314E88" w:rsidRPr="00514C80" w:rsidRDefault="00314E88">
      <w:pPr>
        <w:pStyle w:val="TOC2"/>
        <w:rPr>
          <w:rFonts w:asciiTheme="minorHAnsi" w:eastAsiaTheme="minorEastAsia" w:hAnsiTheme="minorHAnsi" w:cstheme="minorBidi"/>
          <w:noProof/>
          <w:sz w:val="22"/>
          <w:szCs w:val="22"/>
        </w:rPr>
      </w:pPr>
      <w:r w:rsidRPr="00514C80">
        <w:rPr>
          <w:noProof/>
        </w:rPr>
        <w:t>2.1.</w:t>
      </w:r>
      <w:r w:rsidRPr="00514C80">
        <w:rPr>
          <w:rFonts w:asciiTheme="minorHAnsi" w:eastAsiaTheme="minorEastAsia" w:hAnsiTheme="minorHAnsi" w:cstheme="minorBidi"/>
          <w:noProof/>
          <w:sz w:val="22"/>
          <w:szCs w:val="22"/>
        </w:rPr>
        <w:tab/>
      </w:r>
      <w:r w:rsidRPr="00514C80">
        <w:rPr>
          <w:noProof/>
        </w:rPr>
        <w:t>Overview of the ADR</w:t>
      </w:r>
      <w:r w:rsidRPr="00514C80">
        <w:rPr>
          <w:noProof/>
        </w:rPr>
        <w:tab/>
      </w:r>
      <w:r w:rsidRPr="00514C80">
        <w:rPr>
          <w:noProof/>
        </w:rPr>
        <w:fldChar w:fldCharType="begin"/>
      </w:r>
      <w:r w:rsidRPr="00514C80">
        <w:rPr>
          <w:noProof/>
        </w:rPr>
        <w:instrText xml:space="preserve"> PAGEREF _Toc77772861 \h </w:instrText>
      </w:r>
      <w:r w:rsidRPr="00514C80">
        <w:rPr>
          <w:noProof/>
        </w:rPr>
      </w:r>
      <w:r w:rsidRPr="00514C80">
        <w:rPr>
          <w:noProof/>
        </w:rPr>
        <w:fldChar w:fldCharType="separate"/>
      </w:r>
      <w:r w:rsidR="00F10F26">
        <w:rPr>
          <w:noProof/>
        </w:rPr>
        <w:t>3</w:t>
      </w:r>
      <w:r w:rsidRPr="00514C80">
        <w:rPr>
          <w:noProof/>
        </w:rPr>
        <w:fldChar w:fldCharType="end"/>
      </w:r>
    </w:p>
    <w:p w14:paraId="490DF216" w14:textId="71794BD3" w:rsidR="00314E88" w:rsidRPr="00514C80" w:rsidRDefault="00314E88">
      <w:pPr>
        <w:pStyle w:val="TOC2"/>
        <w:rPr>
          <w:rFonts w:asciiTheme="minorHAnsi" w:eastAsiaTheme="minorEastAsia" w:hAnsiTheme="minorHAnsi" w:cstheme="minorBidi"/>
          <w:noProof/>
          <w:sz w:val="22"/>
          <w:szCs w:val="22"/>
        </w:rPr>
      </w:pPr>
      <w:r w:rsidRPr="00514C80">
        <w:rPr>
          <w:noProof/>
        </w:rPr>
        <w:t>2.2.</w:t>
      </w:r>
      <w:r w:rsidRPr="00514C80">
        <w:rPr>
          <w:rFonts w:asciiTheme="minorHAnsi" w:eastAsiaTheme="minorEastAsia" w:hAnsiTheme="minorHAnsi" w:cstheme="minorBidi"/>
          <w:noProof/>
          <w:sz w:val="22"/>
          <w:szCs w:val="22"/>
        </w:rPr>
        <w:tab/>
      </w:r>
      <w:r w:rsidRPr="00514C80">
        <w:rPr>
          <w:noProof/>
        </w:rPr>
        <w:t>Design Requirement – Advanced Emergency Braking Systems</w:t>
      </w:r>
      <w:r w:rsidRPr="00514C80">
        <w:rPr>
          <w:noProof/>
        </w:rPr>
        <w:tab/>
      </w:r>
      <w:r w:rsidRPr="00514C80">
        <w:rPr>
          <w:noProof/>
        </w:rPr>
        <w:fldChar w:fldCharType="begin"/>
      </w:r>
      <w:r w:rsidRPr="00514C80">
        <w:rPr>
          <w:noProof/>
        </w:rPr>
        <w:instrText xml:space="preserve"> PAGEREF _Toc77772862 \h </w:instrText>
      </w:r>
      <w:r w:rsidRPr="00514C80">
        <w:rPr>
          <w:noProof/>
        </w:rPr>
      </w:r>
      <w:r w:rsidRPr="00514C80">
        <w:rPr>
          <w:noProof/>
        </w:rPr>
        <w:fldChar w:fldCharType="separate"/>
      </w:r>
      <w:r w:rsidR="00F10F26">
        <w:rPr>
          <w:noProof/>
        </w:rPr>
        <w:t>4</w:t>
      </w:r>
      <w:r w:rsidRPr="00514C80">
        <w:rPr>
          <w:noProof/>
        </w:rPr>
        <w:fldChar w:fldCharType="end"/>
      </w:r>
    </w:p>
    <w:p w14:paraId="370D178D" w14:textId="2FEE34DC" w:rsidR="00314E88" w:rsidRPr="00514C80" w:rsidRDefault="00314E88">
      <w:pPr>
        <w:pStyle w:val="TOC2"/>
        <w:rPr>
          <w:rFonts w:asciiTheme="minorHAnsi" w:eastAsiaTheme="minorEastAsia" w:hAnsiTheme="minorHAnsi" w:cstheme="minorBidi"/>
          <w:noProof/>
          <w:sz w:val="22"/>
          <w:szCs w:val="22"/>
        </w:rPr>
      </w:pPr>
      <w:r w:rsidRPr="00514C80">
        <w:rPr>
          <w:noProof/>
        </w:rPr>
        <w:t>2.3.</w:t>
      </w:r>
      <w:r w:rsidRPr="00514C80">
        <w:rPr>
          <w:rFonts w:asciiTheme="minorHAnsi" w:eastAsiaTheme="minorEastAsia" w:hAnsiTheme="minorHAnsi" w:cstheme="minorBidi"/>
          <w:noProof/>
          <w:sz w:val="22"/>
          <w:szCs w:val="22"/>
        </w:rPr>
        <w:tab/>
      </w:r>
      <w:r w:rsidRPr="00514C80">
        <w:rPr>
          <w:noProof/>
        </w:rPr>
        <w:t>AEBS Warnings</w:t>
      </w:r>
      <w:r w:rsidRPr="00514C80">
        <w:rPr>
          <w:noProof/>
        </w:rPr>
        <w:tab/>
      </w:r>
      <w:r w:rsidRPr="00514C80">
        <w:rPr>
          <w:noProof/>
        </w:rPr>
        <w:fldChar w:fldCharType="begin"/>
      </w:r>
      <w:r w:rsidRPr="00514C80">
        <w:rPr>
          <w:noProof/>
        </w:rPr>
        <w:instrText xml:space="preserve"> PAGEREF _Toc77772863 \h </w:instrText>
      </w:r>
      <w:r w:rsidRPr="00514C80">
        <w:rPr>
          <w:noProof/>
        </w:rPr>
      </w:r>
      <w:r w:rsidRPr="00514C80">
        <w:rPr>
          <w:noProof/>
        </w:rPr>
        <w:fldChar w:fldCharType="separate"/>
      </w:r>
      <w:r w:rsidR="00F10F26">
        <w:rPr>
          <w:noProof/>
        </w:rPr>
        <w:t>4</w:t>
      </w:r>
      <w:r w:rsidRPr="00514C80">
        <w:rPr>
          <w:noProof/>
        </w:rPr>
        <w:fldChar w:fldCharType="end"/>
      </w:r>
    </w:p>
    <w:p w14:paraId="0C4D42BC" w14:textId="121A6D32" w:rsidR="00314E88" w:rsidRPr="00514C80" w:rsidRDefault="00314E88">
      <w:pPr>
        <w:pStyle w:val="TOC2"/>
        <w:rPr>
          <w:rFonts w:asciiTheme="minorHAnsi" w:eastAsiaTheme="minorEastAsia" w:hAnsiTheme="minorHAnsi" w:cstheme="minorBidi"/>
          <w:noProof/>
          <w:sz w:val="22"/>
          <w:szCs w:val="22"/>
        </w:rPr>
      </w:pPr>
      <w:r w:rsidRPr="00514C80">
        <w:rPr>
          <w:noProof/>
        </w:rPr>
        <w:t>2.4.</w:t>
      </w:r>
      <w:r w:rsidRPr="00514C80">
        <w:rPr>
          <w:rFonts w:asciiTheme="minorHAnsi" w:eastAsiaTheme="minorEastAsia" w:hAnsiTheme="minorHAnsi" w:cstheme="minorBidi"/>
          <w:noProof/>
          <w:sz w:val="22"/>
          <w:szCs w:val="22"/>
        </w:rPr>
        <w:tab/>
      </w:r>
      <w:r w:rsidRPr="00514C80">
        <w:rPr>
          <w:noProof/>
        </w:rPr>
        <w:t>AEBS Capability</w:t>
      </w:r>
      <w:r w:rsidRPr="00514C80">
        <w:rPr>
          <w:noProof/>
        </w:rPr>
        <w:tab/>
      </w:r>
      <w:r w:rsidRPr="00514C80">
        <w:rPr>
          <w:noProof/>
        </w:rPr>
        <w:fldChar w:fldCharType="begin"/>
      </w:r>
      <w:r w:rsidRPr="00514C80">
        <w:rPr>
          <w:noProof/>
        </w:rPr>
        <w:instrText xml:space="preserve"> PAGEREF _Toc77772864 \h </w:instrText>
      </w:r>
      <w:r w:rsidRPr="00514C80">
        <w:rPr>
          <w:noProof/>
        </w:rPr>
      </w:r>
      <w:r w:rsidRPr="00514C80">
        <w:rPr>
          <w:noProof/>
        </w:rPr>
        <w:fldChar w:fldCharType="separate"/>
      </w:r>
      <w:r w:rsidR="00F10F26">
        <w:rPr>
          <w:noProof/>
        </w:rPr>
        <w:t>5</w:t>
      </w:r>
      <w:r w:rsidRPr="00514C80">
        <w:rPr>
          <w:noProof/>
        </w:rPr>
        <w:fldChar w:fldCharType="end"/>
      </w:r>
    </w:p>
    <w:p w14:paraId="0B05D6DB" w14:textId="7F300DC5" w:rsidR="00314E88" w:rsidRPr="00514C80" w:rsidRDefault="00314E88">
      <w:pPr>
        <w:pStyle w:val="TOC2"/>
        <w:rPr>
          <w:rFonts w:asciiTheme="minorHAnsi" w:eastAsiaTheme="minorEastAsia" w:hAnsiTheme="minorHAnsi" w:cstheme="minorBidi"/>
          <w:noProof/>
          <w:sz w:val="22"/>
          <w:szCs w:val="22"/>
        </w:rPr>
      </w:pPr>
      <w:r w:rsidRPr="00514C80">
        <w:rPr>
          <w:noProof/>
        </w:rPr>
        <w:t>2.5.</w:t>
      </w:r>
      <w:r w:rsidRPr="00514C80">
        <w:rPr>
          <w:rFonts w:asciiTheme="minorHAnsi" w:eastAsiaTheme="minorEastAsia" w:hAnsiTheme="minorHAnsi" w:cstheme="minorBidi"/>
          <w:noProof/>
          <w:sz w:val="22"/>
          <w:szCs w:val="22"/>
        </w:rPr>
        <w:tab/>
      </w:r>
      <w:r w:rsidRPr="00514C80">
        <w:rPr>
          <w:noProof/>
        </w:rPr>
        <w:t>AEBS Performance and limitations</w:t>
      </w:r>
      <w:r w:rsidRPr="00514C80">
        <w:rPr>
          <w:noProof/>
        </w:rPr>
        <w:tab/>
      </w:r>
      <w:r w:rsidRPr="00514C80">
        <w:rPr>
          <w:noProof/>
        </w:rPr>
        <w:fldChar w:fldCharType="begin"/>
      </w:r>
      <w:r w:rsidRPr="00514C80">
        <w:rPr>
          <w:noProof/>
        </w:rPr>
        <w:instrText xml:space="preserve"> PAGEREF _Toc77772865 \h </w:instrText>
      </w:r>
      <w:r w:rsidRPr="00514C80">
        <w:rPr>
          <w:noProof/>
        </w:rPr>
      </w:r>
      <w:r w:rsidRPr="00514C80">
        <w:rPr>
          <w:noProof/>
        </w:rPr>
        <w:fldChar w:fldCharType="separate"/>
      </w:r>
      <w:r w:rsidR="00F10F26">
        <w:rPr>
          <w:noProof/>
        </w:rPr>
        <w:t>5</w:t>
      </w:r>
      <w:r w:rsidRPr="00514C80">
        <w:rPr>
          <w:noProof/>
        </w:rPr>
        <w:fldChar w:fldCharType="end"/>
      </w:r>
    </w:p>
    <w:p w14:paraId="7A1037A4" w14:textId="51AE08E6" w:rsidR="00314E88" w:rsidRPr="00514C80" w:rsidRDefault="00314E88">
      <w:pPr>
        <w:pStyle w:val="TOC2"/>
        <w:rPr>
          <w:rFonts w:asciiTheme="minorHAnsi" w:eastAsiaTheme="minorEastAsia" w:hAnsiTheme="minorHAnsi" w:cstheme="minorBidi"/>
          <w:noProof/>
          <w:sz w:val="22"/>
          <w:szCs w:val="22"/>
        </w:rPr>
      </w:pPr>
      <w:r w:rsidRPr="00514C80">
        <w:rPr>
          <w:noProof/>
        </w:rPr>
        <w:t>2.6.</w:t>
      </w:r>
      <w:r w:rsidRPr="00514C80">
        <w:rPr>
          <w:rFonts w:asciiTheme="minorHAnsi" w:eastAsiaTheme="minorEastAsia" w:hAnsiTheme="minorHAnsi" w:cstheme="minorBidi"/>
          <w:noProof/>
          <w:sz w:val="22"/>
          <w:szCs w:val="22"/>
        </w:rPr>
        <w:tab/>
      </w:r>
      <w:r w:rsidRPr="00514C80">
        <w:rPr>
          <w:noProof/>
        </w:rPr>
        <w:t>Exemptions and Alternative Procedures</w:t>
      </w:r>
      <w:r w:rsidRPr="00514C80">
        <w:rPr>
          <w:noProof/>
        </w:rPr>
        <w:tab/>
      </w:r>
      <w:r w:rsidRPr="00514C80">
        <w:rPr>
          <w:noProof/>
        </w:rPr>
        <w:fldChar w:fldCharType="begin"/>
      </w:r>
      <w:r w:rsidRPr="00514C80">
        <w:rPr>
          <w:noProof/>
        </w:rPr>
        <w:instrText xml:space="preserve"> PAGEREF _Toc77772866 \h </w:instrText>
      </w:r>
      <w:r w:rsidRPr="00514C80">
        <w:rPr>
          <w:noProof/>
        </w:rPr>
      </w:r>
      <w:r w:rsidRPr="00514C80">
        <w:rPr>
          <w:noProof/>
        </w:rPr>
        <w:fldChar w:fldCharType="separate"/>
      </w:r>
      <w:r w:rsidR="00F10F26">
        <w:rPr>
          <w:noProof/>
        </w:rPr>
        <w:t>7</w:t>
      </w:r>
      <w:r w:rsidRPr="00514C80">
        <w:rPr>
          <w:noProof/>
        </w:rPr>
        <w:fldChar w:fldCharType="end"/>
      </w:r>
    </w:p>
    <w:p w14:paraId="5B339599" w14:textId="16602F0E" w:rsidR="00314E88" w:rsidRPr="00514C80" w:rsidRDefault="00314E88">
      <w:pPr>
        <w:pStyle w:val="TOC2"/>
        <w:rPr>
          <w:rFonts w:asciiTheme="minorHAnsi" w:eastAsiaTheme="minorEastAsia" w:hAnsiTheme="minorHAnsi" w:cstheme="minorBidi"/>
          <w:noProof/>
          <w:sz w:val="22"/>
          <w:szCs w:val="22"/>
        </w:rPr>
      </w:pPr>
      <w:r w:rsidRPr="00514C80">
        <w:rPr>
          <w:noProof/>
        </w:rPr>
        <w:t>2.7.</w:t>
      </w:r>
      <w:r w:rsidRPr="00514C80">
        <w:rPr>
          <w:rFonts w:asciiTheme="minorHAnsi" w:eastAsiaTheme="minorEastAsia" w:hAnsiTheme="minorHAnsi" w:cstheme="minorBidi"/>
          <w:noProof/>
          <w:sz w:val="22"/>
          <w:szCs w:val="22"/>
        </w:rPr>
        <w:tab/>
      </w:r>
      <w:r w:rsidRPr="00514C80">
        <w:rPr>
          <w:noProof/>
        </w:rPr>
        <w:t>Alternative Standards</w:t>
      </w:r>
      <w:r w:rsidRPr="00514C80">
        <w:rPr>
          <w:noProof/>
        </w:rPr>
        <w:tab/>
      </w:r>
      <w:r w:rsidRPr="00514C80">
        <w:rPr>
          <w:noProof/>
        </w:rPr>
        <w:fldChar w:fldCharType="begin"/>
      </w:r>
      <w:r w:rsidRPr="00514C80">
        <w:rPr>
          <w:noProof/>
        </w:rPr>
        <w:instrText xml:space="preserve"> PAGEREF _Toc77772867 \h </w:instrText>
      </w:r>
      <w:r w:rsidRPr="00514C80">
        <w:rPr>
          <w:noProof/>
        </w:rPr>
      </w:r>
      <w:r w:rsidRPr="00514C80">
        <w:rPr>
          <w:noProof/>
        </w:rPr>
        <w:fldChar w:fldCharType="separate"/>
      </w:r>
      <w:r w:rsidR="00F10F26">
        <w:rPr>
          <w:noProof/>
        </w:rPr>
        <w:t>8</w:t>
      </w:r>
      <w:r w:rsidRPr="00514C80">
        <w:rPr>
          <w:noProof/>
        </w:rPr>
        <w:fldChar w:fldCharType="end"/>
      </w:r>
    </w:p>
    <w:p w14:paraId="64FEF4B5" w14:textId="4B1E79A7" w:rsidR="00314E88" w:rsidRPr="00514C80" w:rsidRDefault="00314E88" w:rsidP="005421B3">
      <w:pPr>
        <w:pStyle w:val="TOC1"/>
        <w:rPr>
          <w:rFonts w:asciiTheme="minorHAnsi" w:eastAsiaTheme="minorEastAsia" w:hAnsiTheme="minorHAnsi" w:cstheme="minorBidi"/>
          <w:noProof/>
          <w:sz w:val="22"/>
          <w:szCs w:val="22"/>
        </w:rPr>
      </w:pPr>
      <w:r w:rsidRPr="00514C80">
        <w:rPr>
          <w:noProof/>
        </w:rPr>
        <w:t>3.</w:t>
      </w:r>
      <w:r w:rsidRPr="00514C80">
        <w:rPr>
          <w:rFonts w:asciiTheme="minorHAnsi" w:eastAsiaTheme="minorEastAsia" w:hAnsiTheme="minorHAnsi" w:cstheme="minorBidi"/>
          <w:noProof/>
          <w:sz w:val="22"/>
          <w:szCs w:val="22"/>
        </w:rPr>
        <w:tab/>
      </w:r>
      <w:r w:rsidRPr="00514C80">
        <w:rPr>
          <w:noProof/>
        </w:rPr>
        <w:t>MATTERS INCORPORATED BY REFERENCE</w:t>
      </w:r>
      <w:r w:rsidRPr="00514C80">
        <w:rPr>
          <w:noProof/>
        </w:rPr>
        <w:tab/>
      </w:r>
      <w:r w:rsidRPr="00514C80">
        <w:rPr>
          <w:noProof/>
        </w:rPr>
        <w:fldChar w:fldCharType="begin"/>
      </w:r>
      <w:r w:rsidRPr="00514C80">
        <w:rPr>
          <w:noProof/>
        </w:rPr>
        <w:instrText xml:space="preserve"> PAGEREF _Toc77772868 \h </w:instrText>
      </w:r>
      <w:r w:rsidRPr="00514C80">
        <w:rPr>
          <w:noProof/>
        </w:rPr>
      </w:r>
      <w:r w:rsidRPr="00514C80">
        <w:rPr>
          <w:noProof/>
        </w:rPr>
        <w:fldChar w:fldCharType="separate"/>
      </w:r>
      <w:r w:rsidR="00F10F26">
        <w:rPr>
          <w:noProof/>
        </w:rPr>
        <w:t>9</w:t>
      </w:r>
      <w:r w:rsidRPr="00514C80">
        <w:rPr>
          <w:noProof/>
        </w:rPr>
        <w:fldChar w:fldCharType="end"/>
      </w:r>
    </w:p>
    <w:p w14:paraId="23FEB3B3" w14:textId="5681DAA1" w:rsidR="00314E88" w:rsidRPr="00514C80" w:rsidRDefault="00314E88">
      <w:pPr>
        <w:pStyle w:val="TOC2"/>
        <w:rPr>
          <w:rFonts w:asciiTheme="minorHAnsi" w:eastAsiaTheme="minorEastAsia" w:hAnsiTheme="minorHAnsi" w:cstheme="minorBidi"/>
          <w:noProof/>
          <w:sz w:val="22"/>
          <w:szCs w:val="22"/>
        </w:rPr>
      </w:pPr>
      <w:r w:rsidRPr="00514C80">
        <w:rPr>
          <w:noProof/>
        </w:rPr>
        <w:t>3.1.</w:t>
      </w:r>
      <w:r w:rsidRPr="00514C80">
        <w:rPr>
          <w:rFonts w:asciiTheme="minorHAnsi" w:eastAsiaTheme="minorEastAsia" w:hAnsiTheme="minorHAnsi" w:cstheme="minorBidi"/>
          <w:noProof/>
          <w:sz w:val="22"/>
          <w:szCs w:val="22"/>
        </w:rPr>
        <w:tab/>
      </w:r>
      <w:r w:rsidRPr="00514C80">
        <w:rPr>
          <w:noProof/>
        </w:rPr>
        <w:t>Other Legislative Instruments</w:t>
      </w:r>
      <w:r w:rsidRPr="00514C80">
        <w:rPr>
          <w:noProof/>
        </w:rPr>
        <w:tab/>
      </w:r>
      <w:r w:rsidRPr="00514C80">
        <w:rPr>
          <w:noProof/>
        </w:rPr>
        <w:fldChar w:fldCharType="begin"/>
      </w:r>
      <w:r w:rsidRPr="00514C80">
        <w:rPr>
          <w:noProof/>
        </w:rPr>
        <w:instrText xml:space="preserve"> PAGEREF _Toc77772869 \h </w:instrText>
      </w:r>
      <w:r w:rsidRPr="00514C80">
        <w:rPr>
          <w:noProof/>
        </w:rPr>
      </w:r>
      <w:r w:rsidRPr="00514C80">
        <w:rPr>
          <w:noProof/>
        </w:rPr>
        <w:fldChar w:fldCharType="separate"/>
      </w:r>
      <w:r w:rsidR="00F10F26">
        <w:rPr>
          <w:noProof/>
        </w:rPr>
        <w:t>9</w:t>
      </w:r>
      <w:r w:rsidRPr="00514C80">
        <w:rPr>
          <w:noProof/>
        </w:rPr>
        <w:fldChar w:fldCharType="end"/>
      </w:r>
    </w:p>
    <w:p w14:paraId="7D409BBC" w14:textId="63653160" w:rsidR="00314E88" w:rsidRPr="00514C80" w:rsidRDefault="00314E88">
      <w:pPr>
        <w:pStyle w:val="TOC2"/>
        <w:rPr>
          <w:rFonts w:asciiTheme="minorHAnsi" w:eastAsiaTheme="minorEastAsia" w:hAnsiTheme="minorHAnsi" w:cstheme="minorBidi"/>
          <w:noProof/>
          <w:sz w:val="22"/>
          <w:szCs w:val="22"/>
        </w:rPr>
      </w:pPr>
      <w:r w:rsidRPr="00514C80">
        <w:rPr>
          <w:noProof/>
        </w:rPr>
        <w:t>3.2.</w:t>
      </w:r>
      <w:r w:rsidRPr="00514C80">
        <w:rPr>
          <w:rFonts w:asciiTheme="minorHAnsi" w:eastAsiaTheme="minorEastAsia" w:hAnsiTheme="minorHAnsi" w:cstheme="minorBidi"/>
          <w:noProof/>
          <w:sz w:val="22"/>
          <w:szCs w:val="22"/>
        </w:rPr>
        <w:tab/>
      </w:r>
      <w:r w:rsidRPr="00514C80">
        <w:rPr>
          <w:noProof/>
        </w:rPr>
        <w:t>Other Documents</w:t>
      </w:r>
      <w:r w:rsidRPr="00514C80">
        <w:rPr>
          <w:noProof/>
        </w:rPr>
        <w:tab/>
      </w:r>
      <w:r w:rsidRPr="00514C80">
        <w:rPr>
          <w:noProof/>
        </w:rPr>
        <w:fldChar w:fldCharType="begin"/>
      </w:r>
      <w:r w:rsidRPr="00514C80">
        <w:rPr>
          <w:noProof/>
        </w:rPr>
        <w:instrText xml:space="preserve"> PAGEREF _Toc77772870 \h </w:instrText>
      </w:r>
      <w:r w:rsidRPr="00514C80">
        <w:rPr>
          <w:noProof/>
        </w:rPr>
      </w:r>
      <w:r w:rsidRPr="00514C80">
        <w:rPr>
          <w:noProof/>
        </w:rPr>
        <w:fldChar w:fldCharType="separate"/>
      </w:r>
      <w:r w:rsidR="00F10F26">
        <w:rPr>
          <w:noProof/>
        </w:rPr>
        <w:t>10</w:t>
      </w:r>
      <w:r w:rsidRPr="00514C80">
        <w:rPr>
          <w:noProof/>
        </w:rPr>
        <w:fldChar w:fldCharType="end"/>
      </w:r>
    </w:p>
    <w:p w14:paraId="32A386F7" w14:textId="5304C48F" w:rsidR="00314E88" w:rsidRPr="00514C80" w:rsidRDefault="00314E88" w:rsidP="005421B3">
      <w:pPr>
        <w:pStyle w:val="TOC1"/>
        <w:rPr>
          <w:rFonts w:asciiTheme="minorHAnsi" w:eastAsiaTheme="minorEastAsia" w:hAnsiTheme="minorHAnsi" w:cstheme="minorBidi"/>
          <w:noProof/>
          <w:sz w:val="22"/>
          <w:szCs w:val="22"/>
        </w:rPr>
      </w:pPr>
      <w:r w:rsidRPr="00514C80">
        <w:rPr>
          <w:noProof/>
        </w:rPr>
        <w:t>4.</w:t>
      </w:r>
      <w:r w:rsidRPr="00514C80">
        <w:rPr>
          <w:rFonts w:asciiTheme="minorHAnsi" w:eastAsiaTheme="minorEastAsia" w:hAnsiTheme="minorHAnsi" w:cstheme="minorBidi"/>
          <w:noProof/>
          <w:sz w:val="22"/>
          <w:szCs w:val="22"/>
        </w:rPr>
        <w:tab/>
      </w:r>
      <w:r w:rsidRPr="00514C80">
        <w:rPr>
          <w:noProof/>
        </w:rPr>
        <w:t>CONSULTATION</w:t>
      </w:r>
      <w:r w:rsidRPr="00514C80">
        <w:rPr>
          <w:noProof/>
        </w:rPr>
        <w:tab/>
      </w:r>
      <w:r w:rsidRPr="00514C80">
        <w:rPr>
          <w:noProof/>
        </w:rPr>
        <w:fldChar w:fldCharType="begin"/>
      </w:r>
      <w:r w:rsidRPr="00514C80">
        <w:rPr>
          <w:noProof/>
        </w:rPr>
        <w:instrText xml:space="preserve"> PAGEREF _Toc77772871 \h </w:instrText>
      </w:r>
      <w:r w:rsidRPr="00514C80">
        <w:rPr>
          <w:noProof/>
        </w:rPr>
      </w:r>
      <w:r w:rsidRPr="00514C80">
        <w:rPr>
          <w:noProof/>
        </w:rPr>
        <w:fldChar w:fldCharType="separate"/>
      </w:r>
      <w:r w:rsidR="00F10F26">
        <w:rPr>
          <w:noProof/>
        </w:rPr>
        <w:t>12</w:t>
      </w:r>
      <w:r w:rsidRPr="00514C80">
        <w:rPr>
          <w:noProof/>
        </w:rPr>
        <w:fldChar w:fldCharType="end"/>
      </w:r>
    </w:p>
    <w:p w14:paraId="467D7B63" w14:textId="7C95064F" w:rsidR="00314E88" w:rsidRPr="00514C80" w:rsidRDefault="00314E88">
      <w:pPr>
        <w:pStyle w:val="TOC2"/>
        <w:rPr>
          <w:rFonts w:asciiTheme="minorHAnsi" w:eastAsiaTheme="minorEastAsia" w:hAnsiTheme="minorHAnsi" w:cstheme="minorBidi"/>
          <w:noProof/>
          <w:sz w:val="22"/>
          <w:szCs w:val="22"/>
        </w:rPr>
      </w:pPr>
      <w:r w:rsidRPr="00514C80">
        <w:rPr>
          <w:noProof/>
        </w:rPr>
        <w:t>4.1.</w:t>
      </w:r>
      <w:r w:rsidRPr="00514C80">
        <w:rPr>
          <w:rFonts w:asciiTheme="minorHAnsi" w:eastAsiaTheme="minorEastAsia" w:hAnsiTheme="minorHAnsi" w:cstheme="minorBidi"/>
          <w:noProof/>
          <w:sz w:val="22"/>
          <w:szCs w:val="22"/>
        </w:rPr>
        <w:tab/>
      </w:r>
      <w:r w:rsidRPr="00514C80">
        <w:rPr>
          <w:noProof/>
        </w:rPr>
        <w:t>General Consultation Arrangements</w:t>
      </w:r>
      <w:r w:rsidRPr="00514C80">
        <w:rPr>
          <w:noProof/>
        </w:rPr>
        <w:tab/>
      </w:r>
      <w:r w:rsidRPr="00514C80">
        <w:rPr>
          <w:noProof/>
        </w:rPr>
        <w:fldChar w:fldCharType="begin"/>
      </w:r>
      <w:r w:rsidRPr="00514C80">
        <w:rPr>
          <w:noProof/>
        </w:rPr>
        <w:instrText xml:space="preserve"> PAGEREF _Toc77772872 \h </w:instrText>
      </w:r>
      <w:r w:rsidRPr="00514C80">
        <w:rPr>
          <w:noProof/>
        </w:rPr>
      </w:r>
      <w:r w:rsidRPr="00514C80">
        <w:rPr>
          <w:noProof/>
        </w:rPr>
        <w:fldChar w:fldCharType="separate"/>
      </w:r>
      <w:r w:rsidR="00F10F26">
        <w:rPr>
          <w:noProof/>
        </w:rPr>
        <w:t>12</w:t>
      </w:r>
      <w:r w:rsidRPr="00514C80">
        <w:rPr>
          <w:noProof/>
        </w:rPr>
        <w:fldChar w:fldCharType="end"/>
      </w:r>
    </w:p>
    <w:p w14:paraId="56F34DA5" w14:textId="7493D636" w:rsidR="00314E88" w:rsidRPr="00514C80" w:rsidRDefault="00314E88">
      <w:pPr>
        <w:pStyle w:val="TOC2"/>
        <w:rPr>
          <w:rFonts w:asciiTheme="minorHAnsi" w:eastAsiaTheme="minorEastAsia" w:hAnsiTheme="minorHAnsi" w:cstheme="minorBidi"/>
          <w:noProof/>
          <w:sz w:val="22"/>
          <w:szCs w:val="22"/>
        </w:rPr>
      </w:pPr>
      <w:r w:rsidRPr="00514C80">
        <w:rPr>
          <w:noProof/>
        </w:rPr>
        <w:t>4.2.</w:t>
      </w:r>
      <w:r w:rsidRPr="00514C80">
        <w:rPr>
          <w:rFonts w:asciiTheme="minorHAnsi" w:eastAsiaTheme="minorEastAsia" w:hAnsiTheme="minorHAnsi" w:cstheme="minorBidi"/>
          <w:noProof/>
          <w:sz w:val="22"/>
          <w:szCs w:val="22"/>
        </w:rPr>
        <w:tab/>
      </w:r>
      <w:r w:rsidRPr="00514C80">
        <w:rPr>
          <w:noProof/>
        </w:rPr>
        <w:t>Specific Consultation Arrangements</w:t>
      </w:r>
      <w:r w:rsidRPr="00514C80">
        <w:rPr>
          <w:noProof/>
        </w:rPr>
        <w:tab/>
      </w:r>
      <w:r w:rsidRPr="00514C80">
        <w:rPr>
          <w:noProof/>
        </w:rPr>
        <w:fldChar w:fldCharType="begin"/>
      </w:r>
      <w:r w:rsidRPr="00514C80">
        <w:rPr>
          <w:noProof/>
        </w:rPr>
        <w:instrText xml:space="preserve"> PAGEREF _Toc77772873 \h </w:instrText>
      </w:r>
      <w:r w:rsidRPr="00514C80">
        <w:rPr>
          <w:noProof/>
        </w:rPr>
      </w:r>
      <w:r w:rsidRPr="00514C80">
        <w:rPr>
          <w:noProof/>
        </w:rPr>
        <w:fldChar w:fldCharType="separate"/>
      </w:r>
      <w:r w:rsidR="00F10F26">
        <w:rPr>
          <w:noProof/>
        </w:rPr>
        <w:t>12</w:t>
      </w:r>
      <w:r w:rsidRPr="00514C80">
        <w:rPr>
          <w:noProof/>
        </w:rPr>
        <w:fldChar w:fldCharType="end"/>
      </w:r>
    </w:p>
    <w:p w14:paraId="4EF6941F" w14:textId="6A50AB09" w:rsidR="00314E88" w:rsidRPr="00514C80" w:rsidRDefault="00314E88" w:rsidP="005421B3">
      <w:pPr>
        <w:pStyle w:val="TOC1"/>
        <w:rPr>
          <w:rFonts w:asciiTheme="minorHAnsi" w:eastAsiaTheme="minorEastAsia" w:hAnsiTheme="minorHAnsi" w:cstheme="minorBidi"/>
          <w:noProof/>
          <w:sz w:val="22"/>
          <w:szCs w:val="22"/>
        </w:rPr>
      </w:pPr>
      <w:r w:rsidRPr="00514C80">
        <w:rPr>
          <w:noProof/>
        </w:rPr>
        <w:t>5.</w:t>
      </w:r>
      <w:r w:rsidRPr="00514C80">
        <w:rPr>
          <w:rFonts w:asciiTheme="minorHAnsi" w:eastAsiaTheme="minorEastAsia" w:hAnsiTheme="minorHAnsi" w:cstheme="minorBidi"/>
          <w:noProof/>
          <w:sz w:val="22"/>
          <w:szCs w:val="22"/>
        </w:rPr>
        <w:tab/>
      </w:r>
      <w:r w:rsidRPr="00514C80">
        <w:rPr>
          <w:noProof/>
        </w:rPr>
        <w:t>Regulatory Impact</w:t>
      </w:r>
      <w:r w:rsidRPr="00514C80">
        <w:rPr>
          <w:noProof/>
        </w:rPr>
        <w:tab/>
      </w:r>
      <w:r w:rsidRPr="00514C80">
        <w:rPr>
          <w:noProof/>
        </w:rPr>
        <w:fldChar w:fldCharType="begin"/>
      </w:r>
      <w:r w:rsidRPr="00514C80">
        <w:rPr>
          <w:noProof/>
        </w:rPr>
        <w:instrText xml:space="preserve"> PAGEREF _Toc77772874 \h </w:instrText>
      </w:r>
      <w:r w:rsidRPr="00514C80">
        <w:rPr>
          <w:noProof/>
        </w:rPr>
      </w:r>
      <w:r w:rsidRPr="00514C80">
        <w:rPr>
          <w:noProof/>
        </w:rPr>
        <w:fldChar w:fldCharType="separate"/>
      </w:r>
      <w:r w:rsidR="00F10F26">
        <w:rPr>
          <w:noProof/>
        </w:rPr>
        <w:t>13</w:t>
      </w:r>
      <w:r w:rsidRPr="00514C80">
        <w:rPr>
          <w:noProof/>
        </w:rPr>
        <w:fldChar w:fldCharType="end"/>
      </w:r>
    </w:p>
    <w:p w14:paraId="649D59A7" w14:textId="285AE298" w:rsidR="00314E88" w:rsidRPr="00514C80" w:rsidRDefault="00314E88" w:rsidP="005421B3">
      <w:pPr>
        <w:pStyle w:val="TOC1"/>
        <w:rPr>
          <w:rFonts w:asciiTheme="minorHAnsi" w:eastAsiaTheme="minorEastAsia" w:hAnsiTheme="minorHAnsi" w:cstheme="minorBidi"/>
          <w:noProof/>
          <w:sz w:val="22"/>
          <w:szCs w:val="22"/>
        </w:rPr>
      </w:pPr>
      <w:r w:rsidRPr="00514C80">
        <w:rPr>
          <w:noProof/>
        </w:rPr>
        <w:t>6.</w:t>
      </w:r>
      <w:r w:rsidRPr="00514C80">
        <w:rPr>
          <w:rFonts w:asciiTheme="minorHAnsi" w:eastAsiaTheme="minorEastAsia" w:hAnsiTheme="minorHAnsi" w:cstheme="minorBidi"/>
          <w:noProof/>
          <w:sz w:val="22"/>
          <w:szCs w:val="22"/>
        </w:rPr>
        <w:tab/>
      </w:r>
      <w:r w:rsidRPr="00514C80">
        <w:rPr>
          <w:noProof/>
        </w:rPr>
        <w:t>STATEMENT OF COMPATIBILITY WITH HUMAN RIGHTS</w:t>
      </w:r>
      <w:r w:rsidRPr="00514C80">
        <w:rPr>
          <w:noProof/>
        </w:rPr>
        <w:tab/>
      </w:r>
      <w:r w:rsidRPr="00514C80">
        <w:rPr>
          <w:noProof/>
        </w:rPr>
        <w:fldChar w:fldCharType="begin"/>
      </w:r>
      <w:r w:rsidRPr="00514C80">
        <w:rPr>
          <w:noProof/>
        </w:rPr>
        <w:instrText xml:space="preserve"> PAGEREF _Toc77772875 \h </w:instrText>
      </w:r>
      <w:r w:rsidRPr="00514C80">
        <w:rPr>
          <w:noProof/>
        </w:rPr>
      </w:r>
      <w:r w:rsidRPr="00514C80">
        <w:rPr>
          <w:noProof/>
        </w:rPr>
        <w:fldChar w:fldCharType="separate"/>
      </w:r>
      <w:r w:rsidR="00F10F26">
        <w:rPr>
          <w:noProof/>
        </w:rPr>
        <w:t>13</w:t>
      </w:r>
      <w:r w:rsidRPr="00514C80">
        <w:rPr>
          <w:noProof/>
        </w:rPr>
        <w:fldChar w:fldCharType="end"/>
      </w:r>
    </w:p>
    <w:p w14:paraId="03854732" w14:textId="250DF7CA" w:rsidR="00314E88" w:rsidRPr="00514C80" w:rsidRDefault="00314E88">
      <w:pPr>
        <w:pStyle w:val="TOC2"/>
        <w:rPr>
          <w:rFonts w:asciiTheme="minorHAnsi" w:eastAsiaTheme="minorEastAsia" w:hAnsiTheme="minorHAnsi" w:cstheme="minorBidi"/>
          <w:noProof/>
          <w:sz w:val="22"/>
          <w:szCs w:val="22"/>
        </w:rPr>
      </w:pPr>
      <w:r w:rsidRPr="00514C80">
        <w:rPr>
          <w:noProof/>
        </w:rPr>
        <w:t>6.1.</w:t>
      </w:r>
      <w:r w:rsidRPr="00514C80">
        <w:rPr>
          <w:rFonts w:asciiTheme="minorHAnsi" w:eastAsiaTheme="minorEastAsia" w:hAnsiTheme="minorHAnsi" w:cstheme="minorBidi"/>
          <w:noProof/>
          <w:sz w:val="22"/>
          <w:szCs w:val="22"/>
        </w:rPr>
        <w:tab/>
      </w:r>
      <w:r w:rsidRPr="00514C80">
        <w:rPr>
          <w:noProof/>
        </w:rPr>
        <w:t>Overview</w:t>
      </w:r>
      <w:r w:rsidRPr="00514C80">
        <w:rPr>
          <w:noProof/>
        </w:rPr>
        <w:tab/>
      </w:r>
      <w:r w:rsidRPr="00514C80">
        <w:rPr>
          <w:noProof/>
        </w:rPr>
        <w:fldChar w:fldCharType="begin"/>
      </w:r>
      <w:r w:rsidRPr="00514C80">
        <w:rPr>
          <w:noProof/>
        </w:rPr>
        <w:instrText xml:space="preserve"> PAGEREF _Toc77772876 \h </w:instrText>
      </w:r>
      <w:r w:rsidRPr="00514C80">
        <w:rPr>
          <w:noProof/>
        </w:rPr>
      </w:r>
      <w:r w:rsidRPr="00514C80">
        <w:rPr>
          <w:noProof/>
        </w:rPr>
        <w:fldChar w:fldCharType="separate"/>
      </w:r>
      <w:r w:rsidR="00F10F26">
        <w:rPr>
          <w:noProof/>
        </w:rPr>
        <w:t>13</w:t>
      </w:r>
      <w:r w:rsidRPr="00514C80">
        <w:rPr>
          <w:noProof/>
        </w:rPr>
        <w:fldChar w:fldCharType="end"/>
      </w:r>
    </w:p>
    <w:p w14:paraId="2B08EF61" w14:textId="0EA345CA" w:rsidR="00314E88" w:rsidRPr="00514C80" w:rsidRDefault="00314E88">
      <w:pPr>
        <w:pStyle w:val="TOC2"/>
        <w:rPr>
          <w:rFonts w:asciiTheme="minorHAnsi" w:eastAsiaTheme="minorEastAsia" w:hAnsiTheme="minorHAnsi" w:cstheme="minorBidi"/>
          <w:noProof/>
          <w:sz w:val="22"/>
          <w:szCs w:val="22"/>
        </w:rPr>
      </w:pPr>
      <w:r w:rsidRPr="00514C80">
        <w:rPr>
          <w:noProof/>
        </w:rPr>
        <w:t>6.2.</w:t>
      </w:r>
      <w:r w:rsidRPr="00514C80">
        <w:rPr>
          <w:rFonts w:asciiTheme="minorHAnsi" w:eastAsiaTheme="minorEastAsia" w:hAnsiTheme="minorHAnsi" w:cstheme="minorBidi"/>
          <w:noProof/>
          <w:sz w:val="22"/>
          <w:szCs w:val="22"/>
        </w:rPr>
        <w:tab/>
      </w:r>
      <w:r w:rsidRPr="00514C80">
        <w:rPr>
          <w:noProof/>
        </w:rPr>
        <w:t>Human Rights Implications</w:t>
      </w:r>
      <w:r w:rsidRPr="00514C80">
        <w:rPr>
          <w:noProof/>
        </w:rPr>
        <w:tab/>
      </w:r>
      <w:r w:rsidRPr="00514C80">
        <w:rPr>
          <w:noProof/>
        </w:rPr>
        <w:fldChar w:fldCharType="begin"/>
      </w:r>
      <w:r w:rsidRPr="00514C80">
        <w:rPr>
          <w:noProof/>
        </w:rPr>
        <w:instrText xml:space="preserve"> PAGEREF _Toc77772877 \h </w:instrText>
      </w:r>
      <w:r w:rsidRPr="00514C80">
        <w:rPr>
          <w:noProof/>
        </w:rPr>
      </w:r>
      <w:r w:rsidRPr="00514C80">
        <w:rPr>
          <w:noProof/>
        </w:rPr>
        <w:fldChar w:fldCharType="separate"/>
      </w:r>
      <w:r w:rsidR="00F10F26">
        <w:rPr>
          <w:noProof/>
        </w:rPr>
        <w:t>13</w:t>
      </w:r>
      <w:r w:rsidRPr="00514C80">
        <w:rPr>
          <w:noProof/>
        </w:rPr>
        <w:fldChar w:fldCharType="end"/>
      </w:r>
    </w:p>
    <w:p w14:paraId="10D42825" w14:textId="60375203" w:rsidR="00314E88" w:rsidRPr="00514C80" w:rsidRDefault="00314E88">
      <w:pPr>
        <w:pStyle w:val="TOC2"/>
        <w:rPr>
          <w:rFonts w:asciiTheme="minorHAnsi" w:eastAsiaTheme="minorEastAsia" w:hAnsiTheme="minorHAnsi" w:cstheme="minorBidi"/>
          <w:noProof/>
          <w:sz w:val="22"/>
          <w:szCs w:val="22"/>
        </w:rPr>
      </w:pPr>
      <w:r w:rsidRPr="00514C80">
        <w:rPr>
          <w:noProof/>
        </w:rPr>
        <w:t>6.3.</w:t>
      </w:r>
      <w:r w:rsidRPr="00514C80">
        <w:rPr>
          <w:rFonts w:asciiTheme="minorHAnsi" w:eastAsiaTheme="minorEastAsia" w:hAnsiTheme="minorHAnsi" w:cstheme="minorBidi"/>
          <w:noProof/>
          <w:sz w:val="22"/>
          <w:szCs w:val="22"/>
        </w:rPr>
        <w:tab/>
      </w:r>
      <w:r w:rsidRPr="00514C80">
        <w:rPr>
          <w:noProof/>
        </w:rPr>
        <w:t>Conclusion</w:t>
      </w:r>
      <w:r w:rsidRPr="00514C80">
        <w:rPr>
          <w:noProof/>
        </w:rPr>
        <w:tab/>
      </w:r>
      <w:r w:rsidRPr="00514C80">
        <w:rPr>
          <w:noProof/>
        </w:rPr>
        <w:fldChar w:fldCharType="begin"/>
      </w:r>
      <w:r w:rsidRPr="00514C80">
        <w:rPr>
          <w:noProof/>
        </w:rPr>
        <w:instrText xml:space="preserve"> PAGEREF _Toc77772878 \h </w:instrText>
      </w:r>
      <w:r w:rsidRPr="00514C80">
        <w:rPr>
          <w:noProof/>
        </w:rPr>
      </w:r>
      <w:r w:rsidRPr="00514C80">
        <w:rPr>
          <w:noProof/>
        </w:rPr>
        <w:fldChar w:fldCharType="separate"/>
      </w:r>
      <w:r w:rsidR="00F10F26">
        <w:rPr>
          <w:noProof/>
        </w:rPr>
        <w:t>13</w:t>
      </w:r>
      <w:r w:rsidRPr="00514C80">
        <w:rPr>
          <w:noProof/>
        </w:rPr>
        <w:fldChar w:fldCharType="end"/>
      </w:r>
    </w:p>
    <w:p w14:paraId="27D1D1D6" w14:textId="07306935" w:rsidR="00DD4F22" w:rsidRPr="00514C80" w:rsidRDefault="00DD4F22" w:rsidP="00DD4F22">
      <w:r w:rsidRPr="00514C80">
        <w:fldChar w:fldCharType="end"/>
      </w:r>
    </w:p>
    <w:p w14:paraId="2C2C1D91" w14:textId="29065CF1" w:rsidR="00BA4F48" w:rsidRPr="00514C80" w:rsidRDefault="00BA4F48" w:rsidP="00DD4F22">
      <w:pPr>
        <w:pStyle w:val="HeadingLevel1"/>
      </w:pPr>
      <w:r w:rsidRPr="00514C80">
        <w:rPr>
          <w:color w:val="3366FF"/>
        </w:rPr>
        <w:br w:type="page"/>
      </w:r>
      <w:bookmarkStart w:id="1" w:name="_Toc167864611"/>
      <w:bookmarkStart w:id="2" w:name="_Toc505092258"/>
      <w:bookmarkStart w:id="3" w:name="_Toc77772856"/>
      <w:r w:rsidRPr="00514C80">
        <w:lastRenderedPageBreak/>
        <w:t xml:space="preserve">legislative </w:t>
      </w:r>
      <w:bookmarkEnd w:id="1"/>
      <w:bookmarkEnd w:id="2"/>
      <w:r w:rsidR="00325E9B" w:rsidRPr="00514C80">
        <w:t>Authority</w:t>
      </w:r>
      <w:bookmarkEnd w:id="3"/>
    </w:p>
    <w:p w14:paraId="476546B4" w14:textId="734230A8" w:rsidR="004233CF" w:rsidRPr="00514C80" w:rsidRDefault="00AF47C2" w:rsidP="00E15765">
      <w:pPr>
        <w:pStyle w:val="HeadingLevel2"/>
      </w:pPr>
      <w:bookmarkStart w:id="4" w:name="_Toc77772857"/>
      <w:r w:rsidRPr="00514C80">
        <w:t>National Road Vehicle Standards</w:t>
      </w:r>
      <w:bookmarkEnd w:id="4"/>
    </w:p>
    <w:p w14:paraId="3DDF246C" w14:textId="78FC50FA" w:rsidR="004233CF" w:rsidRPr="00514C80" w:rsidRDefault="004233CF" w:rsidP="004233CF">
      <w:r w:rsidRPr="00514C80">
        <w:t>Vehicle Standard (Australian Design Rule 98/00 – Advanced Emergency Braking for Passenger Vehicles and Light Goods Vehicles) 2021</w:t>
      </w:r>
      <w:r w:rsidR="00891FAC" w:rsidRPr="00514C80">
        <w:t>, also referred to as</w:t>
      </w:r>
      <w:r w:rsidRPr="00514C80">
        <w:t xml:space="preserve"> ADR 98/00</w:t>
      </w:r>
      <w:r w:rsidR="00891FAC" w:rsidRPr="00514C80">
        <w:t>,</w:t>
      </w:r>
      <w:r w:rsidRPr="00514C80">
        <w:t xml:space="preserve"> is made under the </w:t>
      </w:r>
      <w:r w:rsidRPr="00514C80">
        <w:rPr>
          <w:i/>
        </w:rPr>
        <w:t>Road Vehicle Standards Act 2018</w:t>
      </w:r>
      <w:r w:rsidRPr="00514C80">
        <w:t xml:space="preserve"> (the Act). The Act enables the Australian Government to establish nationally uniform standards that apply to new road vehicles or road vehicle components when they are provided to the market in Australia. The Act applies to vehicles or components whether they are manufactured in Australia or imported.</w:t>
      </w:r>
    </w:p>
    <w:p w14:paraId="3485265E" w14:textId="77777777" w:rsidR="004233CF" w:rsidRPr="00514C80" w:rsidRDefault="004233CF" w:rsidP="004233CF">
      <w:r w:rsidRPr="00514C80">
        <w:t>The making of the vehicle standards necessary for the Act’s effective operation is provided for in section 12, which empowers the Minister to “determine standards for road vehicles or road vehicle components”.</w:t>
      </w:r>
    </w:p>
    <w:p w14:paraId="367D042F" w14:textId="66185A3B" w:rsidR="004233CF" w:rsidRPr="00514C80" w:rsidRDefault="004233CF" w:rsidP="00E15765">
      <w:pPr>
        <w:pStyle w:val="HeadingLevel2"/>
      </w:pPr>
      <w:bookmarkStart w:id="5" w:name="_Toc77772858"/>
      <w:r w:rsidRPr="00514C80">
        <w:t>International Harmonisation</w:t>
      </w:r>
      <w:bookmarkEnd w:id="5"/>
    </w:p>
    <w:p w14:paraId="6AE20C3C" w14:textId="43B558FA" w:rsidR="00C50F05" w:rsidRPr="00514C80" w:rsidRDefault="002214DC" w:rsidP="00AD12BE">
      <w:pPr>
        <w:rPr>
          <w:rFonts w:cs="Arial"/>
        </w:rPr>
      </w:pPr>
      <w:r w:rsidRPr="00514C80">
        <w:rPr>
          <w:rFonts w:cs="Arial"/>
        </w:rPr>
        <w:t xml:space="preserve">A majority of </w:t>
      </w:r>
      <w:r w:rsidR="00C50F05" w:rsidRPr="00514C80">
        <w:rPr>
          <w:rFonts w:cs="Arial"/>
        </w:rPr>
        <w:t xml:space="preserve">Australian </w:t>
      </w:r>
      <w:r w:rsidRPr="00514C80">
        <w:rPr>
          <w:rFonts w:cs="Arial"/>
        </w:rPr>
        <w:t xml:space="preserve">road vehicle </w:t>
      </w:r>
      <w:r w:rsidR="00C50F05" w:rsidRPr="00514C80">
        <w:rPr>
          <w:rFonts w:cs="Arial"/>
        </w:rPr>
        <w:t xml:space="preserve">standards such as ADR 98/00 harmonise closely with international regulations. This is so that manufacturers can more easily comply with </w:t>
      </w:r>
      <w:r w:rsidR="00BB6CEE" w:rsidRPr="00514C80">
        <w:rPr>
          <w:rFonts w:cs="Arial"/>
        </w:rPr>
        <w:t>regulation</w:t>
      </w:r>
      <w:r w:rsidR="00C50F05" w:rsidRPr="00514C80">
        <w:rPr>
          <w:rFonts w:cs="Arial"/>
        </w:rPr>
        <w:t>, and so that regulations capture the well-developed views of the international community</w:t>
      </w:r>
      <w:r w:rsidR="00BB6CEE" w:rsidRPr="00514C80">
        <w:rPr>
          <w:rFonts w:cs="Arial"/>
        </w:rPr>
        <w:t>.</w:t>
      </w:r>
      <w:r w:rsidR="00AF47C2" w:rsidRPr="00514C80">
        <w:rPr>
          <w:rFonts w:cs="Arial"/>
        </w:rPr>
        <w:t xml:space="preserve"> This ultimately leads to safer and cheaper products for Australians.</w:t>
      </w:r>
    </w:p>
    <w:p w14:paraId="50C54467" w14:textId="6084A0CC" w:rsidR="00C50F05" w:rsidRPr="00514C80" w:rsidRDefault="00C50F05" w:rsidP="00AD12BE">
      <w:pPr>
        <w:rPr>
          <w:rFonts w:cs="Arial"/>
        </w:rPr>
      </w:pPr>
      <w:r w:rsidRPr="00514C80">
        <w:rPr>
          <w:rFonts w:cs="Arial"/>
        </w:rPr>
        <w:t xml:space="preserve">Australian Design Rules </w:t>
      </w:r>
      <w:r w:rsidR="002471BF">
        <w:rPr>
          <w:rFonts w:cs="Arial"/>
        </w:rPr>
        <w:t xml:space="preserve">(ADRs) </w:t>
      </w:r>
      <w:r w:rsidRPr="00514C80">
        <w:rPr>
          <w:rFonts w:cs="Arial"/>
        </w:rPr>
        <w:t xml:space="preserve">often directly incorporate United Nations </w:t>
      </w:r>
      <w:r w:rsidR="00B049DB" w:rsidRPr="00514C80">
        <w:rPr>
          <w:rFonts w:cs="Arial"/>
        </w:rPr>
        <w:t xml:space="preserve">(UN) </w:t>
      </w:r>
      <w:r w:rsidRPr="00514C80">
        <w:rPr>
          <w:rFonts w:cs="Arial"/>
        </w:rPr>
        <w:t>Regulations</w:t>
      </w:r>
      <w:r w:rsidR="00B049DB" w:rsidRPr="00514C80">
        <w:rPr>
          <w:rFonts w:cs="Arial"/>
        </w:rPr>
        <w:t xml:space="preserve"> </w:t>
      </w:r>
      <w:r w:rsidRPr="00514C80">
        <w:rPr>
          <w:rFonts w:cs="Arial"/>
        </w:rPr>
        <w:t>as an appendix</w:t>
      </w:r>
      <w:r w:rsidR="007671F8" w:rsidRPr="00514C80">
        <w:rPr>
          <w:rFonts w:cs="Arial"/>
        </w:rPr>
        <w:t>, where the</w:t>
      </w:r>
      <w:r w:rsidRPr="00514C80">
        <w:rPr>
          <w:rFonts w:cs="Arial"/>
        </w:rPr>
        <w:t xml:space="preserve"> appendix provides the technical requirements of the ADR</w:t>
      </w:r>
      <w:r w:rsidR="007671F8" w:rsidRPr="00514C80">
        <w:rPr>
          <w:rFonts w:cs="Arial"/>
        </w:rPr>
        <w:t xml:space="preserve"> and the rest of the ADR facilitates its application to Australia</w:t>
      </w:r>
      <w:r w:rsidRPr="00514C80">
        <w:rPr>
          <w:rFonts w:cs="Arial"/>
        </w:rPr>
        <w:t xml:space="preserve">. </w:t>
      </w:r>
      <w:r w:rsidR="007671F8" w:rsidRPr="00514C80">
        <w:rPr>
          <w:rFonts w:cs="Arial"/>
        </w:rPr>
        <w:t xml:space="preserve">To this end, Section </w:t>
      </w:r>
      <w:r w:rsidR="00BB6CEE" w:rsidRPr="00514C80">
        <w:rPr>
          <w:rFonts w:cs="Arial"/>
        </w:rPr>
        <w:t>6</w:t>
      </w:r>
      <w:r w:rsidRPr="00514C80">
        <w:rPr>
          <w:rFonts w:cs="Arial"/>
        </w:rPr>
        <w:t xml:space="preserve"> </w:t>
      </w:r>
      <w:r w:rsidR="00BB6CEE" w:rsidRPr="00514C80">
        <w:rPr>
          <w:rFonts w:cs="Arial"/>
        </w:rPr>
        <w:t xml:space="preserve">creates exemptions and alternate procedures. </w:t>
      </w:r>
      <w:r w:rsidR="007671F8" w:rsidRPr="00514C80">
        <w:rPr>
          <w:rFonts w:cs="Arial"/>
        </w:rPr>
        <w:t xml:space="preserve">For instance, manufacturers are exempt from requirements that pertain to UN type approvals, and instead, need to comply with the approvals process set out in the Act. Likewise, </w:t>
      </w:r>
      <w:r w:rsidR="00BB6CEE" w:rsidRPr="00514C80">
        <w:rPr>
          <w:rFonts w:cs="Arial"/>
        </w:rPr>
        <w:t>Section 7 provides for the acceptance of certain alternate standards that have equivalent requirements to the appendix. For instance</w:t>
      </w:r>
      <w:r w:rsidR="007671F8" w:rsidRPr="00514C80">
        <w:rPr>
          <w:rFonts w:cs="Arial"/>
        </w:rPr>
        <w:t xml:space="preserve">, a </w:t>
      </w:r>
      <w:r w:rsidR="0084069A">
        <w:rPr>
          <w:rFonts w:cs="Arial"/>
        </w:rPr>
        <w:t xml:space="preserve">vehicle covered by a </w:t>
      </w:r>
      <w:r w:rsidR="007671F8" w:rsidRPr="00514C80">
        <w:rPr>
          <w:rFonts w:cs="Arial"/>
        </w:rPr>
        <w:t xml:space="preserve">type approval under </w:t>
      </w:r>
      <w:r w:rsidR="0084069A">
        <w:rPr>
          <w:rFonts w:cs="Arial"/>
        </w:rPr>
        <w:t xml:space="preserve">the </w:t>
      </w:r>
      <w:r w:rsidR="00B049DB" w:rsidRPr="00514C80">
        <w:rPr>
          <w:rFonts w:cs="Arial"/>
        </w:rPr>
        <w:t>UN</w:t>
      </w:r>
      <w:r w:rsidR="007671F8" w:rsidRPr="00514C80">
        <w:rPr>
          <w:rFonts w:cs="Arial"/>
        </w:rPr>
        <w:t xml:space="preserve"> </w:t>
      </w:r>
      <w:r w:rsidR="00C47BC6">
        <w:rPr>
          <w:rFonts w:cs="Arial"/>
        </w:rPr>
        <w:t>R</w:t>
      </w:r>
      <w:r w:rsidR="007671F8" w:rsidRPr="00514C80">
        <w:rPr>
          <w:rFonts w:cs="Arial"/>
        </w:rPr>
        <w:t>egulation</w:t>
      </w:r>
      <w:r w:rsidR="004233CF" w:rsidRPr="00514C80">
        <w:rPr>
          <w:rFonts w:cs="Arial"/>
        </w:rPr>
        <w:t xml:space="preserve"> would be deemed to comply with the ADR</w:t>
      </w:r>
      <w:r w:rsidR="007671F8" w:rsidRPr="00514C80">
        <w:rPr>
          <w:rFonts w:cs="Arial"/>
        </w:rPr>
        <w:t>.</w:t>
      </w:r>
    </w:p>
    <w:p w14:paraId="5C82377D" w14:textId="35A0C5CB" w:rsidR="004233CF" w:rsidRPr="00514C80" w:rsidRDefault="002F2C61" w:rsidP="00E15765">
      <w:pPr>
        <w:pStyle w:val="HeadingLevel2"/>
      </w:pPr>
      <w:bookmarkStart w:id="6" w:name="_Toc77772859"/>
      <w:r w:rsidRPr="00514C80">
        <w:t>Advanced Emergency Braking Systems</w:t>
      </w:r>
      <w:bookmarkEnd w:id="6"/>
    </w:p>
    <w:p w14:paraId="63BC3D7E" w14:textId="00047E27" w:rsidR="004233CF" w:rsidRPr="00514C80" w:rsidRDefault="00C47BC6" w:rsidP="00AD12BE">
      <w:pPr>
        <w:rPr>
          <w:rFonts w:cs="Arial"/>
        </w:rPr>
      </w:pPr>
      <w:r>
        <w:t xml:space="preserve">Where </w:t>
      </w:r>
      <w:r w:rsidR="002F2C61" w:rsidRPr="00514C80">
        <w:t>Advanced Emergency Braking Systems (AEBS) are fitted to new vehicles, they are closely integrated with a vehicle’s other systems, feature a sensor array and have the capacity to anticipate c</w:t>
      </w:r>
      <w:r w:rsidR="00AF47C2" w:rsidRPr="00514C80">
        <w:t>ertain crashes</w:t>
      </w:r>
      <w:r w:rsidR="002F2C61" w:rsidRPr="00514C80">
        <w:t xml:space="preserve"> based on the sensor data collected.</w:t>
      </w:r>
      <w:r w:rsidR="00AF47C2" w:rsidRPr="00514C80">
        <w:t xml:space="preserve"> </w:t>
      </w:r>
      <w:r w:rsidR="004233CF" w:rsidRPr="00514C80">
        <w:t>The function of an AEBS is to detect a potential forward collision</w:t>
      </w:r>
      <w:r w:rsidR="00B049DB" w:rsidRPr="00514C80">
        <w:t xml:space="preserve"> with a car in front</w:t>
      </w:r>
      <w:r w:rsidR="004233CF" w:rsidRPr="00514C80">
        <w:t xml:space="preserve">, provide the driver with an appropriate warning so that they might act to avoid </w:t>
      </w:r>
      <w:r w:rsidR="002F2C61" w:rsidRPr="00514C80">
        <w:t>it</w:t>
      </w:r>
      <w:r w:rsidR="004233CF" w:rsidRPr="00514C80">
        <w:t xml:space="preserve"> and where they do not, </w:t>
      </w:r>
      <w:r w:rsidR="00AF47C2" w:rsidRPr="00514C80">
        <w:t>activate</w:t>
      </w:r>
      <w:r w:rsidR="004233CF" w:rsidRPr="00514C80">
        <w:t xml:space="preserve"> the braking system to decelerate the vehicle with the purpose of avoiding or mitigating the severity of a collision.</w:t>
      </w:r>
    </w:p>
    <w:p w14:paraId="31AF5FA4" w14:textId="77777777" w:rsidR="00BA4F48" w:rsidRPr="00514C80" w:rsidRDefault="000B1B1F" w:rsidP="00E15765">
      <w:pPr>
        <w:pStyle w:val="HeadingLevel1"/>
        <w:rPr>
          <w:rFonts w:cs="Arial"/>
        </w:rPr>
      </w:pPr>
      <w:bookmarkStart w:id="7" w:name="_Toc77772860"/>
      <w:r w:rsidRPr="00514C80">
        <w:t>Purpose and operation</w:t>
      </w:r>
      <w:bookmarkEnd w:id="7"/>
    </w:p>
    <w:p w14:paraId="2FF4F4EA" w14:textId="77777777" w:rsidR="00BA4F48" w:rsidRPr="00514C80" w:rsidRDefault="00BA4F48" w:rsidP="00E15765">
      <w:pPr>
        <w:pStyle w:val="HeadingLevel2"/>
      </w:pPr>
      <w:bookmarkStart w:id="8" w:name="_Toc167864613"/>
      <w:bookmarkStart w:id="9" w:name="_Toc505092260"/>
      <w:bookmarkStart w:id="10" w:name="_Toc77772861"/>
      <w:r w:rsidRPr="00514C80">
        <w:t>Overview of the ADR</w:t>
      </w:r>
      <w:bookmarkEnd w:id="8"/>
      <w:bookmarkEnd w:id="9"/>
      <w:bookmarkEnd w:id="10"/>
    </w:p>
    <w:p w14:paraId="636482C8" w14:textId="50733EDB" w:rsidR="006B6354" w:rsidRPr="00514C80" w:rsidRDefault="00AD12BE" w:rsidP="00BB3D12">
      <w:bookmarkStart w:id="11" w:name="_Toc167864614"/>
      <w:r w:rsidRPr="00514C80">
        <w:t xml:space="preserve">Clause 2.1 clarifies that this national road vehicle standard sets out requirements for AEBS </w:t>
      </w:r>
      <w:r w:rsidR="000968DF" w:rsidRPr="00514C80">
        <w:t xml:space="preserve">to be </w:t>
      </w:r>
      <w:r w:rsidRPr="00514C80">
        <w:t xml:space="preserve">fitted to passenger vehicles and light goods vehicles. </w:t>
      </w:r>
    </w:p>
    <w:p w14:paraId="4ADDC36C" w14:textId="52BA013B" w:rsidR="005F35E2" w:rsidRPr="00514C80" w:rsidRDefault="005F35E2" w:rsidP="0084069A">
      <w:pPr>
        <w:keepLines/>
      </w:pPr>
      <w:r w:rsidRPr="00514C80">
        <w:lastRenderedPageBreak/>
        <w:t xml:space="preserve">The policy intent of </w:t>
      </w:r>
      <w:r w:rsidR="00C47BC6">
        <w:t>the</w:t>
      </w:r>
      <w:r w:rsidR="00C47BC6" w:rsidRPr="00514C80">
        <w:t xml:space="preserve"> </w:t>
      </w:r>
      <w:r w:rsidRPr="00514C80">
        <w:t xml:space="preserve">AEBS </w:t>
      </w:r>
      <w:r w:rsidR="00C47BC6">
        <w:t xml:space="preserve">requirements mandated through ADR 98/00 </w:t>
      </w:r>
      <w:r w:rsidRPr="00514C80">
        <w:t xml:space="preserve">is to reduce the occurrence of rear-end </w:t>
      </w:r>
      <w:r w:rsidR="009D3676" w:rsidRPr="00514C80">
        <w:t xml:space="preserve">in-lane </w:t>
      </w:r>
      <w:r w:rsidRPr="00514C80">
        <w:t>crashes in urban traffic</w:t>
      </w:r>
      <w:r w:rsidR="000968DF" w:rsidRPr="00514C80">
        <w:t>.</w:t>
      </w:r>
      <w:r w:rsidRPr="00514C80">
        <w:t xml:space="preserve"> </w:t>
      </w:r>
      <w:r w:rsidR="000968DF" w:rsidRPr="00514C80">
        <w:t>This is because a</w:t>
      </w:r>
      <w:r w:rsidRPr="00514C80">
        <w:t xml:space="preserve"> combination of driver distraction and the relative cognitive complexity </w:t>
      </w:r>
      <w:r w:rsidR="000F162D" w:rsidRPr="00514C80">
        <w:t>of roadways</w:t>
      </w:r>
      <w:r w:rsidRPr="00514C80">
        <w:t xml:space="preserve"> means that crashes </w:t>
      </w:r>
      <w:r w:rsidR="000968DF" w:rsidRPr="00514C80">
        <w:t>occur</w:t>
      </w:r>
      <w:r w:rsidRPr="00514C80">
        <w:t xml:space="preserve"> around 20 per cent </w:t>
      </w:r>
      <w:r w:rsidR="000968DF" w:rsidRPr="00514C80">
        <w:t xml:space="preserve">more frequently </w:t>
      </w:r>
      <w:r w:rsidRPr="00514C80">
        <w:t>on urban than on rural roads.</w:t>
      </w:r>
    </w:p>
    <w:p w14:paraId="21FA2154" w14:textId="77777777" w:rsidR="00AD12BE" w:rsidRPr="00514C80" w:rsidRDefault="00AD12BE" w:rsidP="00E15765">
      <w:pPr>
        <w:pStyle w:val="HeadingLevel2"/>
      </w:pPr>
      <w:bookmarkStart w:id="12" w:name="_Toc77000451"/>
      <w:bookmarkStart w:id="13" w:name="_Toc77091652"/>
      <w:bookmarkStart w:id="14" w:name="_Toc77253496"/>
      <w:bookmarkStart w:id="15" w:name="_Toc77253547"/>
      <w:bookmarkStart w:id="16" w:name="_Toc77263167"/>
      <w:bookmarkStart w:id="17" w:name="_Toc77264477"/>
      <w:bookmarkStart w:id="18" w:name="_Toc74044070"/>
      <w:bookmarkStart w:id="19" w:name="_Toc74044717"/>
      <w:bookmarkStart w:id="20" w:name="_Toc77772862"/>
      <w:bookmarkEnd w:id="11"/>
      <w:bookmarkEnd w:id="12"/>
      <w:bookmarkEnd w:id="13"/>
      <w:bookmarkEnd w:id="14"/>
      <w:bookmarkEnd w:id="15"/>
      <w:bookmarkEnd w:id="16"/>
      <w:bookmarkEnd w:id="17"/>
      <w:r w:rsidRPr="00514C80">
        <w:t>Design Requirement – Advanced Emergency Braking</w:t>
      </w:r>
      <w:bookmarkEnd w:id="18"/>
      <w:r w:rsidRPr="00514C80">
        <w:t xml:space="preserve"> Systems</w:t>
      </w:r>
      <w:bookmarkEnd w:id="19"/>
      <w:bookmarkEnd w:id="20"/>
    </w:p>
    <w:p w14:paraId="6E276310" w14:textId="5B700D0F" w:rsidR="002F2C61" w:rsidRPr="00514C80" w:rsidRDefault="002F2C61" w:rsidP="002F2C61">
      <w:r w:rsidRPr="00514C80">
        <w:t xml:space="preserve">AEBS is a driver-assist safety feature that relies on fully functioning traditional brakes and other advanced braking systems, such as </w:t>
      </w:r>
      <w:r w:rsidR="0084069A">
        <w:t>A</w:t>
      </w:r>
      <w:r w:rsidRPr="00514C80">
        <w:t xml:space="preserve">ntilock </w:t>
      </w:r>
      <w:r w:rsidR="0084069A">
        <w:t>B</w:t>
      </w:r>
      <w:r w:rsidRPr="00514C80">
        <w:t xml:space="preserve">raking </w:t>
      </w:r>
      <w:r w:rsidR="0084069A">
        <w:t>S</w:t>
      </w:r>
      <w:r w:rsidRPr="00514C80">
        <w:t>ystem</w:t>
      </w:r>
      <w:r w:rsidR="0084069A">
        <w:t>s</w:t>
      </w:r>
      <w:r w:rsidRPr="00514C80">
        <w:t xml:space="preserve"> (ABS) to work properly.</w:t>
      </w:r>
    </w:p>
    <w:p w14:paraId="6CC72480" w14:textId="11917807" w:rsidR="001B2451" w:rsidRPr="00514C80" w:rsidRDefault="00AD12BE" w:rsidP="00AD12BE">
      <w:r w:rsidRPr="00514C80">
        <w:t xml:space="preserve">AEBS </w:t>
      </w:r>
      <w:r w:rsidR="006F7D82">
        <w:t xml:space="preserve">conforming to ADR 98/00 </w:t>
      </w:r>
      <w:r w:rsidR="000F162D" w:rsidRPr="00514C80">
        <w:t>are</w:t>
      </w:r>
      <w:r w:rsidRPr="00514C80">
        <w:t xml:space="preserve"> designed to reduce the likelihood of an in-lane rear end crash by </w:t>
      </w:r>
      <w:r w:rsidR="00880704" w:rsidRPr="00514C80">
        <w:t xml:space="preserve">first </w:t>
      </w:r>
      <w:r w:rsidRPr="00514C80">
        <w:t>warning the driver and then automatically braking to reduce impact speed when a collision is imminent</w:t>
      </w:r>
      <w:r w:rsidR="00880704" w:rsidRPr="00514C80">
        <w:t>, if the driver has not</w:t>
      </w:r>
      <w:r w:rsidR="000F162D" w:rsidRPr="00514C80">
        <w:t xml:space="preserve"> reacted</w:t>
      </w:r>
      <w:r w:rsidRPr="00514C80">
        <w:t>.</w:t>
      </w:r>
    </w:p>
    <w:p w14:paraId="13DD51DC" w14:textId="2F4F866F" w:rsidR="00AD12BE" w:rsidRPr="00514C80" w:rsidRDefault="00AD12BE" w:rsidP="00AD12BE">
      <w:r w:rsidRPr="00514C80">
        <w:t>AEBS read inputs from a variety of sensors and cameras to monitor the road environment. In the event that a collision with a vehicle in front is predicted, the driver is warned.</w:t>
      </w:r>
      <w:r w:rsidRPr="00514C80">
        <w:rPr>
          <w:rFonts w:asciiTheme="majorBidi" w:hAnsiTheme="majorBidi"/>
        </w:rPr>
        <w:t xml:space="preserve"> This warning </w:t>
      </w:r>
      <w:r w:rsidR="00880704" w:rsidRPr="00514C80">
        <w:rPr>
          <w:rFonts w:asciiTheme="majorBidi" w:hAnsiTheme="majorBidi"/>
        </w:rPr>
        <w:t xml:space="preserve">occurs </w:t>
      </w:r>
      <w:r w:rsidRPr="00514C80">
        <w:rPr>
          <w:rFonts w:asciiTheme="majorBidi" w:hAnsiTheme="majorBidi"/>
        </w:rPr>
        <w:t>by at least two modes</w:t>
      </w:r>
      <w:r w:rsidR="00880704" w:rsidRPr="00514C80">
        <w:rPr>
          <w:rFonts w:asciiTheme="majorBidi" w:hAnsiTheme="majorBidi"/>
        </w:rPr>
        <w:t xml:space="preserve"> and may be </w:t>
      </w:r>
      <w:r w:rsidRPr="00514C80">
        <w:rPr>
          <w:rFonts w:asciiTheme="majorBidi" w:hAnsiTheme="majorBidi"/>
        </w:rPr>
        <w:t>acoustic, haptic or optical.</w:t>
      </w:r>
      <w:r w:rsidRPr="00514C80">
        <w:t xml:space="preserve"> If the driver does not respond, a warning brake phase may be initiated. If the driver still does not react to the event, the system will execute an emergency braking phase in order to mitigate the collision</w:t>
      </w:r>
      <w:r w:rsidR="009C17E7">
        <w:t xml:space="preserve"> </w:t>
      </w:r>
      <w:r w:rsidR="009C17E7" w:rsidRPr="00514C80">
        <w:t>soon after</w:t>
      </w:r>
      <w:r w:rsidRPr="00514C80">
        <w:t xml:space="preserve">. </w:t>
      </w:r>
    </w:p>
    <w:p w14:paraId="2C9A1D32" w14:textId="235214F9" w:rsidR="00AD12BE" w:rsidRPr="00514C80" w:rsidRDefault="00AD12BE" w:rsidP="00AD12BE">
      <w:r w:rsidRPr="00514C80">
        <w:t xml:space="preserve">Clause 5.1 requires that all </w:t>
      </w:r>
      <w:r w:rsidR="00C51F93" w:rsidRPr="00514C80">
        <w:t xml:space="preserve">applicable </w:t>
      </w:r>
      <w:r w:rsidRPr="00514C80">
        <w:t xml:space="preserve">vehicles </w:t>
      </w:r>
      <w:r w:rsidR="004661F6" w:rsidRPr="00514C80">
        <w:t xml:space="preserve">be </w:t>
      </w:r>
      <w:r w:rsidRPr="00514C80">
        <w:t xml:space="preserve">fitted with AEBS and meet </w:t>
      </w:r>
      <w:r w:rsidR="00540BD6">
        <w:t>the</w:t>
      </w:r>
      <w:r w:rsidR="00540BD6" w:rsidRPr="00514C80">
        <w:t xml:space="preserve"> </w:t>
      </w:r>
      <w:r w:rsidRPr="00514C80">
        <w:t>requirements set out in Appendix A of this standard</w:t>
      </w:r>
      <w:r w:rsidR="00C51F93" w:rsidRPr="00514C80">
        <w:t xml:space="preserve">, as varied by </w:t>
      </w:r>
      <w:r w:rsidR="00540BD6">
        <w:t>Section 6 </w:t>
      </w:r>
      <w:r w:rsidR="00540BD6" w:rsidRPr="001D14F3">
        <w:t>Exemptions and Alternative Procedures</w:t>
      </w:r>
      <w:r w:rsidR="000F162D" w:rsidRPr="00514C80">
        <w:t xml:space="preserve">. Appendix A is </w:t>
      </w:r>
      <w:r w:rsidR="00540BD6">
        <w:t xml:space="preserve">the </w:t>
      </w:r>
      <w:r w:rsidR="00AA791B">
        <w:t>UN</w:t>
      </w:r>
      <w:r w:rsidRPr="00514C80">
        <w:t xml:space="preserve"> Regulation No. 152 – UNIFORM PROVISIONS CONCERNING THE APPROVAL OF MOTOR VEHICLES WITH REGARD TO THE ADVANCED EMERGENCY BRAKING SYSTEMS (AEBS) FOR M</w:t>
      </w:r>
      <w:r w:rsidRPr="00514C80">
        <w:rPr>
          <w:vertAlign w:val="subscript"/>
        </w:rPr>
        <w:t>1</w:t>
      </w:r>
      <w:r w:rsidRPr="00514C80">
        <w:t xml:space="preserve"> AND N</w:t>
      </w:r>
      <w:r w:rsidRPr="00514C80">
        <w:rPr>
          <w:vertAlign w:val="subscript"/>
        </w:rPr>
        <w:t>1</w:t>
      </w:r>
      <w:r w:rsidRPr="00514C80">
        <w:t xml:space="preserve"> VEHICLES</w:t>
      </w:r>
      <w:r w:rsidR="00AA791B">
        <w:t xml:space="preserve"> (</w:t>
      </w:r>
      <w:r w:rsidR="00471385">
        <w:t xml:space="preserve">UN </w:t>
      </w:r>
      <w:r w:rsidR="00AA791B">
        <w:t>R152)</w:t>
      </w:r>
      <w:r w:rsidRPr="00514C80">
        <w:t>, incorporating the 00 series of amendments.</w:t>
      </w:r>
    </w:p>
    <w:p w14:paraId="6C28A518" w14:textId="733FED89" w:rsidR="00641268" w:rsidRPr="00514C80" w:rsidRDefault="006A4B82" w:rsidP="00E15765">
      <w:pPr>
        <w:pStyle w:val="HeadingLevel2"/>
      </w:pPr>
      <w:bookmarkStart w:id="21" w:name="_Toc77772863"/>
      <w:r w:rsidRPr="00514C80">
        <w:t>AEBS Warnings</w:t>
      </w:r>
      <w:bookmarkEnd w:id="21"/>
    </w:p>
    <w:p w14:paraId="46A181A9" w14:textId="01ABF04C" w:rsidR="00641268" w:rsidRPr="00514C80" w:rsidRDefault="00641268" w:rsidP="00491690">
      <w:r w:rsidRPr="00514C80">
        <w:t xml:space="preserve">AEBS designed to conform </w:t>
      </w:r>
      <w:r w:rsidR="00826C3A" w:rsidRPr="00514C80">
        <w:t>to</w:t>
      </w:r>
      <w:r w:rsidRPr="00514C80">
        <w:t xml:space="preserve"> ADR 98/00 </w:t>
      </w:r>
      <w:r w:rsidR="00880704" w:rsidRPr="00514C80">
        <w:t>ha</w:t>
      </w:r>
      <w:r w:rsidR="00C51F93" w:rsidRPr="00514C80">
        <w:t>ve</w:t>
      </w:r>
      <w:r w:rsidRPr="00514C80">
        <w:t xml:space="preserve"> different types of warnings depending on the road environment</w:t>
      </w:r>
      <w:r w:rsidR="005E24DF" w:rsidRPr="00514C80">
        <w:t xml:space="preserve"> and state of the AEBS</w:t>
      </w:r>
      <w:r w:rsidRPr="00514C80">
        <w:t>.</w:t>
      </w:r>
      <w:r w:rsidR="00880704" w:rsidRPr="00514C80">
        <w:t xml:space="preserve"> </w:t>
      </w:r>
      <w:r w:rsidR="005A3EFB" w:rsidRPr="00514C80">
        <w:t>Some warnings</w:t>
      </w:r>
      <w:r w:rsidR="00AA584B" w:rsidRPr="00514C80">
        <w:t xml:space="preserve"> alert</w:t>
      </w:r>
      <w:r w:rsidR="009E3AB8" w:rsidRPr="00514C80">
        <w:t xml:space="preserve"> the driver in case of potential failures </w:t>
      </w:r>
      <w:r w:rsidR="00AA584B" w:rsidRPr="00514C80">
        <w:t xml:space="preserve">or deactivation </w:t>
      </w:r>
      <w:r w:rsidR="009E3AB8" w:rsidRPr="00514C80">
        <w:t xml:space="preserve">of the </w:t>
      </w:r>
      <w:r w:rsidR="00DA477B" w:rsidRPr="00514C80">
        <w:t xml:space="preserve">AEBS. </w:t>
      </w:r>
      <w:r w:rsidR="00AA584B" w:rsidRPr="00514C80">
        <w:t>Warnings</w:t>
      </w:r>
      <w:r w:rsidR="00DA477B" w:rsidRPr="00514C80">
        <w:t xml:space="preserve"> also</w:t>
      </w:r>
      <w:r w:rsidR="009E3AB8" w:rsidRPr="00514C80">
        <w:t xml:space="preserve"> form an essential part of the </w:t>
      </w:r>
      <w:r w:rsidR="00C51F93" w:rsidRPr="00514C80">
        <w:t xml:space="preserve">core </w:t>
      </w:r>
      <w:r w:rsidR="009E3AB8" w:rsidRPr="00514C80">
        <w:t>functionality of AEBS.</w:t>
      </w:r>
    </w:p>
    <w:p w14:paraId="0F5B8973" w14:textId="3CBCA268" w:rsidR="00641268" w:rsidRPr="00514C80" w:rsidRDefault="00641268" w:rsidP="00641268">
      <w:r w:rsidRPr="00514C80">
        <w:t xml:space="preserve">A ‘failure warning’ </w:t>
      </w:r>
      <w:r w:rsidR="00826C3A" w:rsidRPr="00514C80">
        <w:t xml:space="preserve">occurs </w:t>
      </w:r>
      <w:r w:rsidRPr="00514C80">
        <w:t xml:space="preserve">when a </w:t>
      </w:r>
      <w:r w:rsidR="00826C3A" w:rsidRPr="00514C80">
        <w:t xml:space="preserve">fault </w:t>
      </w:r>
      <w:r w:rsidRPr="00514C80">
        <w:t xml:space="preserve">in the AEBS prevents the requirements of ADR 98/00 being met. </w:t>
      </w:r>
      <w:r w:rsidR="00826C3A" w:rsidRPr="00514C80">
        <w:t xml:space="preserve">A fault in this instance may be </w:t>
      </w:r>
      <w:r w:rsidRPr="00514C80">
        <w:t xml:space="preserve">electrical </w:t>
      </w:r>
      <w:r w:rsidR="00826C3A" w:rsidRPr="00514C80">
        <w:t>in nature</w:t>
      </w:r>
      <w:r w:rsidR="00FD142D" w:rsidRPr="00514C80">
        <w:t xml:space="preserve">, </w:t>
      </w:r>
      <w:r w:rsidR="00826C3A" w:rsidRPr="00514C80">
        <w:t>a failure in the self-check function of the AEBS</w:t>
      </w:r>
      <w:r w:rsidR="00FD142D" w:rsidRPr="00514C80">
        <w:t xml:space="preserve"> or a non-electrical failure such as sensor occlusion or misalignment</w:t>
      </w:r>
      <w:r w:rsidR="00826C3A" w:rsidRPr="00514C80">
        <w:t xml:space="preserve">. The self-check function continuously </w:t>
      </w:r>
      <w:r w:rsidR="00C51F93" w:rsidRPr="00514C80">
        <w:t xml:space="preserve">checks </w:t>
      </w:r>
      <w:r w:rsidR="00826C3A" w:rsidRPr="00514C80">
        <w:t xml:space="preserve">the AEBS for a system failure while </w:t>
      </w:r>
      <w:r w:rsidR="00C51F93" w:rsidRPr="00514C80">
        <w:t>AEBS is</w:t>
      </w:r>
      <w:r w:rsidR="00826C3A" w:rsidRPr="00514C80">
        <w:t xml:space="preserve"> active. </w:t>
      </w:r>
      <w:r w:rsidR="009805AB" w:rsidRPr="00514C80">
        <w:t>The</w:t>
      </w:r>
      <w:r w:rsidR="004001EB" w:rsidRPr="00514C80">
        <w:t xml:space="preserve"> AEBS communicates a</w:t>
      </w:r>
      <w:r w:rsidR="009E3AB8" w:rsidRPr="00514C80">
        <w:t xml:space="preserve"> ‘failure</w:t>
      </w:r>
      <w:r w:rsidRPr="00514C80">
        <w:t xml:space="preserve"> warning</w:t>
      </w:r>
      <w:r w:rsidR="009E3AB8" w:rsidRPr="00514C80">
        <w:t xml:space="preserve">’ </w:t>
      </w:r>
      <w:r w:rsidR="004001EB" w:rsidRPr="00514C80">
        <w:t>with a</w:t>
      </w:r>
      <w:r w:rsidRPr="00514C80">
        <w:t xml:space="preserve"> constant yellow optical warning signal. </w:t>
      </w:r>
      <w:r w:rsidR="00DA477B" w:rsidRPr="00514C80">
        <w:t>The purpose of the ‘failure warning’ is to alert the driver to a fault in the AEBS.</w:t>
      </w:r>
    </w:p>
    <w:p w14:paraId="26285482" w14:textId="393E4048" w:rsidR="00641268" w:rsidRPr="00514C80" w:rsidRDefault="00B774F3" w:rsidP="00C47BC6">
      <w:pPr>
        <w:keepLines/>
      </w:pPr>
      <w:r w:rsidRPr="00514C80">
        <w:lastRenderedPageBreak/>
        <w:t>A ‘deactivation warning’</w:t>
      </w:r>
      <w:r w:rsidR="0066531B" w:rsidRPr="00514C80">
        <w:t xml:space="preserve"> occurs </w:t>
      </w:r>
      <w:r w:rsidR="00A81491" w:rsidRPr="00514C80">
        <w:t xml:space="preserve">when </w:t>
      </w:r>
      <w:r w:rsidR="009805AB" w:rsidRPr="00514C80">
        <w:t xml:space="preserve">the driver deactivates the </w:t>
      </w:r>
      <w:r w:rsidR="0066531B" w:rsidRPr="00514C80">
        <w:t>AEBS. This is only possible if the vehicle is fitted with a means to deactivate the AEBS</w:t>
      </w:r>
      <w:r w:rsidR="009805AB" w:rsidRPr="00514C80">
        <w:t xml:space="preserve"> and such a means</w:t>
      </w:r>
      <w:r w:rsidR="009E3AB8" w:rsidRPr="00514C80">
        <w:t xml:space="preserve"> is </w:t>
      </w:r>
      <w:r w:rsidR="009805AB" w:rsidRPr="00514C80">
        <w:t xml:space="preserve">not </w:t>
      </w:r>
      <w:r w:rsidR="009E3AB8" w:rsidRPr="00514C80">
        <w:t>require</w:t>
      </w:r>
      <w:r w:rsidR="009805AB" w:rsidRPr="00514C80">
        <w:t>d by this standard</w:t>
      </w:r>
      <w:r w:rsidR="009E3AB8" w:rsidRPr="00514C80">
        <w:t>.</w:t>
      </w:r>
      <w:r w:rsidR="0066531B" w:rsidRPr="00514C80">
        <w:t xml:space="preserve"> </w:t>
      </w:r>
      <w:r w:rsidR="009805AB" w:rsidRPr="00514C80">
        <w:t>The</w:t>
      </w:r>
      <w:r w:rsidR="004001EB" w:rsidRPr="00514C80">
        <w:t xml:space="preserve"> AEBS communicates a </w:t>
      </w:r>
      <w:r w:rsidR="009E3AB8" w:rsidRPr="00514C80">
        <w:t xml:space="preserve">‘deactivation </w:t>
      </w:r>
      <w:r w:rsidR="0066531B" w:rsidRPr="00514C80">
        <w:t>warning</w:t>
      </w:r>
      <w:r w:rsidR="009E3AB8" w:rsidRPr="00514C80">
        <w:t>’</w:t>
      </w:r>
      <w:r w:rsidR="004001EB" w:rsidRPr="00514C80">
        <w:t xml:space="preserve"> with</w:t>
      </w:r>
      <w:r w:rsidR="009E3AB8" w:rsidRPr="00514C80">
        <w:t xml:space="preserve"> </w:t>
      </w:r>
      <w:r w:rsidR="0066531B" w:rsidRPr="00514C80">
        <w:t>a constant yellow optical warning signal. The warning signal us</w:t>
      </w:r>
      <w:r w:rsidR="009E0D86" w:rsidRPr="00514C80">
        <w:t>ed in this instance may be the same as the ‘failure warning’ signal</w:t>
      </w:r>
      <w:r w:rsidR="00352BF0" w:rsidRPr="00514C80">
        <w:t>.</w:t>
      </w:r>
      <w:r w:rsidR="00DA477B" w:rsidRPr="00514C80">
        <w:t xml:space="preserve"> The purpose of the ‘</w:t>
      </w:r>
      <w:r w:rsidR="00BE0FE0" w:rsidRPr="00514C80">
        <w:t>deactivation</w:t>
      </w:r>
      <w:r w:rsidR="00AA584B" w:rsidRPr="00514C80">
        <w:t xml:space="preserve"> </w:t>
      </w:r>
      <w:r w:rsidR="00DA477B" w:rsidRPr="00514C80">
        <w:t xml:space="preserve">warning’ is to alert the driver </w:t>
      </w:r>
      <w:r w:rsidR="00050C17" w:rsidRPr="00514C80">
        <w:t>that the A</w:t>
      </w:r>
      <w:r w:rsidR="00DA477B" w:rsidRPr="00514C80">
        <w:t xml:space="preserve">EBS </w:t>
      </w:r>
      <w:r w:rsidR="00050C17" w:rsidRPr="00514C80">
        <w:t xml:space="preserve">function </w:t>
      </w:r>
      <w:r w:rsidR="00325734" w:rsidRPr="00514C80">
        <w:t>has been</w:t>
      </w:r>
      <w:r w:rsidR="00050C17" w:rsidRPr="00514C80">
        <w:t xml:space="preserve"> deactivated</w:t>
      </w:r>
      <w:r w:rsidR="00DA477B" w:rsidRPr="00514C80">
        <w:t>.</w:t>
      </w:r>
    </w:p>
    <w:p w14:paraId="64E247CA" w14:textId="37A2CD05" w:rsidR="00BD4467" w:rsidRPr="00514C80" w:rsidRDefault="007C42D9" w:rsidP="00BD4467">
      <w:r w:rsidRPr="00514C80">
        <w:t xml:space="preserve">A ‘collision warning’ occurs when the AEBS detects an imminent collision with a leading vehicle in the same lane. </w:t>
      </w:r>
      <w:r w:rsidR="00992DAD" w:rsidRPr="00514C80">
        <w:t>The AEBS must activate this</w:t>
      </w:r>
      <w:r w:rsidRPr="00514C80">
        <w:t xml:space="preserve"> warning type at least 0.8 seconds before </w:t>
      </w:r>
      <w:r w:rsidR="00992DAD" w:rsidRPr="00514C80">
        <w:t xml:space="preserve">it </w:t>
      </w:r>
      <w:r w:rsidRPr="00514C80">
        <w:t xml:space="preserve">intervenes </w:t>
      </w:r>
      <w:r w:rsidR="00992DAD" w:rsidRPr="00514C80">
        <w:t xml:space="preserve">by </w:t>
      </w:r>
      <w:r w:rsidRPr="00514C80">
        <w:t xml:space="preserve">activating the </w:t>
      </w:r>
      <w:r w:rsidR="00E15849" w:rsidRPr="00514C80">
        <w:t xml:space="preserve">service </w:t>
      </w:r>
      <w:r w:rsidRPr="00514C80">
        <w:t>brake system</w:t>
      </w:r>
      <w:r w:rsidR="00E15849" w:rsidRPr="00514C80">
        <w:t xml:space="preserve"> (emergency braking)</w:t>
      </w:r>
      <w:r w:rsidRPr="00514C80">
        <w:t>. The warning signal used in this instance must be provided by at least two modes selected from acoustic, haptic or optical.</w:t>
      </w:r>
      <w:r w:rsidR="00E91645" w:rsidRPr="00514C80">
        <w:t xml:space="preserve"> Optical warning signals must be visible even in daylight and be easily verifiable by the driver from the driver’s seat.</w:t>
      </w:r>
      <w:r w:rsidR="00290ABB" w:rsidRPr="00514C80">
        <w:t xml:space="preserve"> The purpose of the ‘collision warning’ is to alert the driver that a collision is imminent so that the driver can take immediate action. This is because even small margins count in reducing speed to prevent or lessen the risk of fatality or severe injury.</w:t>
      </w:r>
    </w:p>
    <w:p w14:paraId="3509F5F4" w14:textId="2F95939D" w:rsidR="00290ABB" w:rsidRPr="00514C80" w:rsidRDefault="00290ABB" w:rsidP="00E15765">
      <w:pPr>
        <w:pStyle w:val="HeadingLevel2"/>
      </w:pPr>
      <w:bookmarkStart w:id="22" w:name="_Toc77772864"/>
      <w:r w:rsidRPr="00514C80">
        <w:t>AEBS Capability</w:t>
      </w:r>
      <w:bookmarkEnd w:id="22"/>
    </w:p>
    <w:p w14:paraId="1F24220E" w14:textId="2EC2DF04" w:rsidR="0058306B" w:rsidRPr="00514C80" w:rsidRDefault="00E15849" w:rsidP="0039041B">
      <w:r w:rsidRPr="00514C80">
        <w:t xml:space="preserve">An </w:t>
      </w:r>
      <w:r w:rsidR="0039041B" w:rsidRPr="00514C80">
        <w:t>‘</w:t>
      </w:r>
      <w:r w:rsidRPr="00514C80">
        <w:t>emergency braking</w:t>
      </w:r>
      <w:r w:rsidR="0039041B" w:rsidRPr="00514C80">
        <w:t>’</w:t>
      </w:r>
      <w:r w:rsidRPr="00514C80">
        <w:t xml:space="preserve"> </w:t>
      </w:r>
      <w:r w:rsidR="00050C17" w:rsidRPr="00514C80">
        <w:t xml:space="preserve">intervention </w:t>
      </w:r>
      <w:r w:rsidRPr="00514C80">
        <w:t>o</w:t>
      </w:r>
      <w:r w:rsidR="0058306B" w:rsidRPr="00514C80">
        <w:t xml:space="preserve">ccurs when the AEBS has detected the possibility of an imminent </w:t>
      </w:r>
      <w:r w:rsidR="00290ABB" w:rsidRPr="00514C80">
        <w:t xml:space="preserve">collision </w:t>
      </w:r>
      <w:r w:rsidR="0058306B" w:rsidRPr="00514C80">
        <w:t>with a leading vehicle in the same lane</w:t>
      </w:r>
      <w:r w:rsidR="008750AE" w:rsidRPr="00514C80">
        <w:t>,</w:t>
      </w:r>
      <w:r w:rsidR="0058306B" w:rsidRPr="00514C80">
        <w:t xml:space="preserve"> </w:t>
      </w:r>
      <w:r w:rsidR="008750AE" w:rsidRPr="00514C80">
        <w:t xml:space="preserve">after </w:t>
      </w:r>
      <w:r w:rsidR="008C2F93" w:rsidRPr="00514C80">
        <w:t xml:space="preserve">a ‘collision </w:t>
      </w:r>
      <w:r w:rsidR="008750AE" w:rsidRPr="00514C80">
        <w:t>warning’;</w:t>
      </w:r>
      <w:r w:rsidR="008C2F93" w:rsidRPr="00514C80">
        <w:t xml:space="preserve"> if</w:t>
      </w:r>
      <w:r w:rsidR="0058306B" w:rsidRPr="00514C80">
        <w:t xml:space="preserve"> no action from the driver has been detected. During</w:t>
      </w:r>
      <w:r w:rsidR="0099296E" w:rsidRPr="00514C80">
        <w:t xml:space="preserve"> an</w:t>
      </w:r>
      <w:r w:rsidR="0058306B" w:rsidRPr="00514C80">
        <w:t xml:space="preserve"> emergency braking intervention, the AEBS </w:t>
      </w:r>
      <w:r w:rsidR="008C2F93" w:rsidRPr="00514C80">
        <w:t>shall use the vehicle’s service brake system to cause</w:t>
      </w:r>
      <w:r w:rsidR="00471F50" w:rsidRPr="00514C80">
        <w:t xml:space="preserve"> </w:t>
      </w:r>
      <w:r w:rsidR="0058306B" w:rsidRPr="00514C80">
        <w:t>deceleration of at least 5 m/s</w:t>
      </w:r>
      <w:r w:rsidR="0058306B" w:rsidRPr="00514C80">
        <w:rPr>
          <w:vertAlign w:val="superscript"/>
        </w:rPr>
        <w:t>2</w:t>
      </w:r>
      <w:r w:rsidR="0058306B" w:rsidRPr="00514C80">
        <w:t xml:space="preserve"> </w:t>
      </w:r>
      <w:r w:rsidR="008C2F93" w:rsidRPr="00514C80">
        <w:t>for</w:t>
      </w:r>
      <w:r w:rsidR="0058306B" w:rsidRPr="00514C80">
        <w:t xml:space="preserve"> the purpose of</w:t>
      </w:r>
      <w:r w:rsidR="00D65666" w:rsidRPr="00514C80">
        <w:t xml:space="preserve"> </w:t>
      </w:r>
      <w:r w:rsidR="008C2F93" w:rsidRPr="00514C80">
        <w:t xml:space="preserve">avoiding or reducing </w:t>
      </w:r>
      <w:r w:rsidR="00D65666" w:rsidRPr="00514C80">
        <w:t>the severity of impact with the leading vehicle</w:t>
      </w:r>
      <w:r w:rsidR="0039041B" w:rsidRPr="00514C80">
        <w:t xml:space="preserve">. </w:t>
      </w:r>
      <w:r w:rsidR="0058306B" w:rsidRPr="00514C80">
        <w:t>The</w:t>
      </w:r>
      <w:r w:rsidR="0039041B" w:rsidRPr="00514C80">
        <w:t xml:space="preserve"> </w:t>
      </w:r>
      <w:r w:rsidR="0058306B" w:rsidRPr="00514C80">
        <w:t xml:space="preserve">AEBS </w:t>
      </w:r>
      <w:r w:rsidR="008C2F93" w:rsidRPr="00514C80">
        <w:t xml:space="preserve">will </w:t>
      </w:r>
      <w:r w:rsidR="0058306B" w:rsidRPr="00514C80">
        <w:t xml:space="preserve">abort </w:t>
      </w:r>
      <w:r w:rsidR="00E7707B" w:rsidRPr="00514C80">
        <w:t xml:space="preserve">an </w:t>
      </w:r>
      <w:r w:rsidR="0039041B" w:rsidRPr="00514C80">
        <w:t>automated ‘emergency braking’</w:t>
      </w:r>
      <w:r w:rsidR="0058306B" w:rsidRPr="00514C80">
        <w:t xml:space="preserve"> </w:t>
      </w:r>
      <w:r w:rsidR="0039041B" w:rsidRPr="00514C80">
        <w:t xml:space="preserve">intervention in the event that the AEBS no longer detects </w:t>
      </w:r>
      <w:r w:rsidR="00290ABB" w:rsidRPr="00514C80">
        <w:t xml:space="preserve">that </w:t>
      </w:r>
      <w:r w:rsidR="0039041B" w:rsidRPr="00514C80">
        <w:t xml:space="preserve">a collision is likely. </w:t>
      </w:r>
      <w:r w:rsidR="008750AE" w:rsidRPr="00514C80">
        <w:t>The AEBS may also abort the</w:t>
      </w:r>
      <w:r w:rsidR="00E7707B" w:rsidRPr="00514C80">
        <w:t xml:space="preserve"> </w:t>
      </w:r>
      <w:r w:rsidR="0039041B" w:rsidRPr="00514C80">
        <w:t xml:space="preserve">emergency braking intervention </w:t>
      </w:r>
      <w:r w:rsidR="008750AE" w:rsidRPr="00514C80">
        <w:t>if it detects</w:t>
      </w:r>
      <w:r w:rsidR="0039041B" w:rsidRPr="00514C80">
        <w:t xml:space="preserve"> </w:t>
      </w:r>
      <w:r w:rsidR="008C2F93" w:rsidRPr="00514C80">
        <w:t xml:space="preserve">a </w:t>
      </w:r>
      <w:r w:rsidR="00E7707B" w:rsidRPr="00514C80">
        <w:t>‘</w:t>
      </w:r>
      <w:r w:rsidR="0039041B" w:rsidRPr="00514C80">
        <w:t>deliberate action</w:t>
      </w:r>
      <w:r w:rsidR="00E7707B" w:rsidRPr="00514C80">
        <w:t>’</w:t>
      </w:r>
      <w:r w:rsidR="0039041B" w:rsidRPr="00514C80">
        <w:t xml:space="preserve"> by the </w:t>
      </w:r>
      <w:r w:rsidR="008C2F93" w:rsidRPr="00514C80">
        <w:t>driver which</w:t>
      </w:r>
      <w:r w:rsidR="0039041B" w:rsidRPr="00514C80">
        <w:t xml:space="preserve"> indicate</w:t>
      </w:r>
      <w:r w:rsidR="008C2F93" w:rsidRPr="00514C80">
        <w:t>s</w:t>
      </w:r>
      <w:r w:rsidR="0039041B" w:rsidRPr="00514C80">
        <w:t xml:space="preserve"> that </w:t>
      </w:r>
      <w:r w:rsidR="008C2F93" w:rsidRPr="00514C80">
        <w:t>they are</w:t>
      </w:r>
      <w:r w:rsidR="0039041B" w:rsidRPr="00514C80">
        <w:t xml:space="preserve"> aware of the </w:t>
      </w:r>
      <w:r w:rsidR="008C2F93" w:rsidRPr="00514C80">
        <w:t>emergency</w:t>
      </w:r>
      <w:r w:rsidR="0039041B" w:rsidRPr="00514C80">
        <w:t xml:space="preserve">, e.g. </w:t>
      </w:r>
      <w:r w:rsidR="00E7707B" w:rsidRPr="00514C80">
        <w:t>using the accelerator</w:t>
      </w:r>
      <w:r w:rsidR="00F727EF" w:rsidRPr="00514C80">
        <w:t xml:space="preserve"> or</w:t>
      </w:r>
      <w:r w:rsidR="0039041B" w:rsidRPr="00514C80">
        <w:t xml:space="preserve"> operating the direction indicator control.</w:t>
      </w:r>
    </w:p>
    <w:p w14:paraId="2184EB26" w14:textId="2C9B64B3" w:rsidR="00970EA1" w:rsidRPr="00514C80" w:rsidRDefault="00583EAD" w:rsidP="00970EA1">
      <w:r w:rsidRPr="00514C80">
        <w:t>AEBS is required to be active and work within speeds ranging from 10 km/h up to 60</w:t>
      </w:r>
      <w:r w:rsidR="00490CB0">
        <w:t> </w:t>
      </w:r>
      <w:r w:rsidRPr="00514C80">
        <w:t xml:space="preserve">km/h. AEBS should work regardless of the load condition imposed on the vehicle </w:t>
      </w:r>
      <w:r w:rsidR="008750AE" w:rsidRPr="00514C80">
        <w:t>during testing for compliance</w:t>
      </w:r>
      <w:r w:rsidRPr="00514C80">
        <w:t xml:space="preserve"> to UN</w:t>
      </w:r>
      <w:r w:rsidR="00490CB0">
        <w:t xml:space="preserve"> </w:t>
      </w:r>
      <w:r w:rsidRPr="00514C80">
        <w:t xml:space="preserve">R152. This requirement </w:t>
      </w:r>
      <w:r w:rsidR="00E7707B" w:rsidRPr="00514C80">
        <w:t>does not apply</w:t>
      </w:r>
      <w:r w:rsidRPr="00514C80">
        <w:t xml:space="preserve"> </w:t>
      </w:r>
      <w:r w:rsidR="00872FD2" w:rsidRPr="00514C80">
        <w:t>if the</w:t>
      </w:r>
      <w:r w:rsidRPr="00514C80">
        <w:t xml:space="preserve"> driver </w:t>
      </w:r>
      <w:r w:rsidR="0099296E" w:rsidRPr="00514C80">
        <w:t>has</w:t>
      </w:r>
      <w:r w:rsidRPr="00514C80">
        <w:t xml:space="preserve"> </w:t>
      </w:r>
      <w:r w:rsidR="00872FD2" w:rsidRPr="00514C80">
        <w:t>deactivated the</w:t>
      </w:r>
      <w:r w:rsidRPr="00514C80">
        <w:t xml:space="preserve"> AEBS</w:t>
      </w:r>
      <w:r w:rsidR="00872FD2" w:rsidRPr="00514C80">
        <w:t xml:space="preserve"> (</w:t>
      </w:r>
      <w:r w:rsidR="00A25E5A" w:rsidRPr="00514C80">
        <w:t>a</w:t>
      </w:r>
      <w:r w:rsidR="00872FD2" w:rsidRPr="00514C80">
        <w:t>ssuming the option is available)</w:t>
      </w:r>
      <w:r w:rsidRPr="00514C80">
        <w:t xml:space="preserve">. The speed range </w:t>
      </w:r>
      <w:r w:rsidR="00581F4C" w:rsidRPr="00514C80">
        <w:t xml:space="preserve">specified in </w:t>
      </w:r>
      <w:r w:rsidRPr="00514C80">
        <w:t>UN</w:t>
      </w:r>
      <w:r w:rsidR="00490CB0">
        <w:t xml:space="preserve"> </w:t>
      </w:r>
      <w:r w:rsidRPr="00514C80">
        <w:t xml:space="preserve">R152 is supported by </w:t>
      </w:r>
      <w:r w:rsidR="00BC1B09" w:rsidRPr="00514C80">
        <w:t xml:space="preserve">research </w:t>
      </w:r>
      <w:r w:rsidRPr="00514C80">
        <w:t>that</w:t>
      </w:r>
      <w:r w:rsidR="00BC1B09" w:rsidRPr="00514C80">
        <w:t xml:space="preserve"> identified</w:t>
      </w:r>
      <w:r w:rsidRPr="00514C80">
        <w:t xml:space="preserve"> AEB</w:t>
      </w:r>
      <w:r w:rsidR="00BC1B09" w:rsidRPr="00514C80">
        <w:t xml:space="preserve">S </w:t>
      </w:r>
      <w:r w:rsidRPr="00514C80">
        <w:t>ha</w:t>
      </w:r>
      <w:r w:rsidR="00581F4C" w:rsidRPr="00514C80">
        <w:t>ving</w:t>
      </w:r>
      <w:r w:rsidRPr="00514C80">
        <w:t xml:space="preserve"> the potential to positively impact the outcome in up to 64 per cent of light vehicle crashes occurring in low speed zones</w:t>
      </w:r>
      <w:r w:rsidR="00872FD2" w:rsidRPr="00514C80">
        <w:t xml:space="preserve"> (i.e. up to 60 km/h)</w:t>
      </w:r>
      <w:r w:rsidRPr="00514C80">
        <w:t>.</w:t>
      </w:r>
    </w:p>
    <w:p w14:paraId="3E22C3EF" w14:textId="33D773CE" w:rsidR="00050C17" w:rsidRPr="00514C80" w:rsidRDefault="00581F4C" w:rsidP="00E15765">
      <w:pPr>
        <w:pStyle w:val="HeadingLevel2"/>
      </w:pPr>
      <w:bookmarkStart w:id="23" w:name="_Toc77772865"/>
      <w:r w:rsidRPr="00514C80">
        <w:t>AEB</w:t>
      </w:r>
      <w:r w:rsidR="00F763DA" w:rsidRPr="00514C80">
        <w:t>S</w:t>
      </w:r>
      <w:r w:rsidRPr="00514C80">
        <w:t xml:space="preserve"> </w:t>
      </w:r>
      <w:r w:rsidR="00F763DA" w:rsidRPr="00514C80">
        <w:t>P</w:t>
      </w:r>
      <w:r w:rsidRPr="00514C80">
        <w:t>erformance</w:t>
      </w:r>
      <w:r w:rsidR="005B62EF" w:rsidRPr="00514C80">
        <w:t xml:space="preserve"> and limitations</w:t>
      </w:r>
      <w:bookmarkEnd w:id="23"/>
    </w:p>
    <w:p w14:paraId="2813C583" w14:textId="1B4A70A6" w:rsidR="00970EA1" w:rsidRPr="00514C80" w:rsidRDefault="00390444" w:rsidP="00491690">
      <w:r w:rsidRPr="00514C80">
        <w:t>‘</w:t>
      </w:r>
      <w:r w:rsidR="00970EA1" w:rsidRPr="00514C80">
        <w:t>Speed reduction by braking demand</w:t>
      </w:r>
      <w:r w:rsidRPr="00514C80">
        <w:t>’</w:t>
      </w:r>
      <w:r w:rsidR="00970EA1" w:rsidRPr="00514C80">
        <w:t xml:space="preserve"> </w:t>
      </w:r>
      <w:r w:rsidRPr="00514C80">
        <w:t xml:space="preserve">sets out </w:t>
      </w:r>
      <w:r w:rsidR="00872FD2" w:rsidRPr="00514C80">
        <w:t xml:space="preserve">the </w:t>
      </w:r>
      <w:r w:rsidR="00C62C8A" w:rsidRPr="00514C80">
        <w:t xml:space="preserve">environmental </w:t>
      </w:r>
      <w:r w:rsidRPr="00514C80">
        <w:t xml:space="preserve">conditions </w:t>
      </w:r>
      <w:r w:rsidR="00D158C9" w:rsidRPr="00514C80">
        <w:t xml:space="preserve">in </w:t>
      </w:r>
      <w:r w:rsidRPr="00514C80">
        <w:t xml:space="preserve">which the AEBS equipped vehicle </w:t>
      </w:r>
      <w:r w:rsidR="00D158C9" w:rsidRPr="00514C80">
        <w:t>must</w:t>
      </w:r>
      <w:r w:rsidR="00872FD2" w:rsidRPr="00514C80">
        <w:t xml:space="preserve"> demonstrate</w:t>
      </w:r>
      <w:r w:rsidRPr="00514C80">
        <w:t xml:space="preserve"> its braking intervention performanc</w:t>
      </w:r>
      <w:r w:rsidR="00C62C8A" w:rsidRPr="00514C80">
        <w:t>e</w:t>
      </w:r>
      <w:r w:rsidR="00D158C9" w:rsidRPr="00514C80">
        <w:t xml:space="preserve"> as well as the speed reductions required of it, in order to comply with ADR</w:t>
      </w:r>
      <w:r w:rsidR="00C36570">
        <w:t xml:space="preserve"> </w:t>
      </w:r>
      <w:r w:rsidR="00D158C9" w:rsidRPr="00514C80">
        <w:t>98/00</w:t>
      </w:r>
      <w:r w:rsidR="00894A34" w:rsidRPr="00514C80">
        <w:t xml:space="preserve">. </w:t>
      </w:r>
    </w:p>
    <w:p w14:paraId="49AA5EF3" w14:textId="1D101E2E" w:rsidR="00F9142C" w:rsidRPr="00514C80" w:rsidRDefault="00611123" w:rsidP="008276F3">
      <w:pPr>
        <w:pageBreakBefore/>
      </w:pPr>
      <w:r w:rsidRPr="00514C80">
        <w:lastRenderedPageBreak/>
        <w:t xml:space="preserve">The </w:t>
      </w:r>
      <w:r w:rsidR="00D158C9" w:rsidRPr="00514C80">
        <w:t>Standard requires AEBS fitted vehicle</w:t>
      </w:r>
      <w:r w:rsidR="0092514E" w:rsidRPr="00514C80">
        <w:t>s</w:t>
      </w:r>
      <w:r w:rsidR="00D158C9" w:rsidRPr="00514C80">
        <w:t xml:space="preserve"> to </w:t>
      </w:r>
      <w:r w:rsidR="0092514E" w:rsidRPr="00514C80">
        <w:t>perform</w:t>
      </w:r>
      <w:r w:rsidR="00D158C9" w:rsidRPr="00514C80">
        <w:t xml:space="preserve"> in the following </w:t>
      </w:r>
      <w:r w:rsidRPr="00514C80">
        <w:t>environmental conditions</w:t>
      </w:r>
      <w:r w:rsidR="00F9142C" w:rsidRPr="00514C80">
        <w:t>:</w:t>
      </w:r>
    </w:p>
    <w:p w14:paraId="324F4393" w14:textId="6EF7F8F1" w:rsidR="006A4B82" w:rsidRPr="00514C80" w:rsidRDefault="00F9142C" w:rsidP="00F9142C">
      <w:pPr>
        <w:pStyle w:val="ListParagraph"/>
        <w:numPr>
          <w:ilvl w:val="0"/>
          <w:numId w:val="29"/>
        </w:numPr>
      </w:pPr>
      <w:r w:rsidRPr="00514C80">
        <w:t>on a flat, dry concrete or asphalt surface affording good adhesion</w:t>
      </w:r>
    </w:p>
    <w:p w14:paraId="652792BF" w14:textId="0176E60B" w:rsidR="00F9142C" w:rsidRPr="00514C80" w:rsidRDefault="0092514E" w:rsidP="00F9142C">
      <w:pPr>
        <w:pStyle w:val="ListParagraph"/>
        <w:numPr>
          <w:ilvl w:val="0"/>
          <w:numId w:val="29"/>
        </w:numPr>
      </w:pPr>
      <w:r w:rsidRPr="00514C80">
        <w:t xml:space="preserve">where </w:t>
      </w:r>
      <w:r w:rsidR="00F9142C" w:rsidRPr="00514C80">
        <w:t xml:space="preserve">the ambient temperature </w:t>
      </w:r>
      <w:r w:rsidRPr="00514C80">
        <w:t>is</w:t>
      </w:r>
      <w:r w:rsidR="00F9142C" w:rsidRPr="00514C80">
        <w:t xml:space="preserve"> between 0</w:t>
      </w:r>
      <w:r w:rsidR="00F9142C" w:rsidRPr="00514C80">
        <w:rPr>
          <w:vertAlign w:val="superscript"/>
        </w:rPr>
        <w:t>o</w:t>
      </w:r>
      <w:r w:rsidR="00F9142C" w:rsidRPr="00514C80">
        <w:t>C and 45</w:t>
      </w:r>
      <w:r w:rsidR="00F9142C" w:rsidRPr="00514C80">
        <w:rPr>
          <w:vertAlign w:val="superscript"/>
        </w:rPr>
        <w:t>o</w:t>
      </w:r>
      <w:r w:rsidR="00F9142C" w:rsidRPr="00514C80">
        <w:t>C</w:t>
      </w:r>
    </w:p>
    <w:p w14:paraId="496CE3D9" w14:textId="59A246A2" w:rsidR="00F9142C" w:rsidRPr="00514C80" w:rsidRDefault="0092514E" w:rsidP="00F9142C">
      <w:pPr>
        <w:pStyle w:val="ListParagraph"/>
        <w:numPr>
          <w:ilvl w:val="0"/>
          <w:numId w:val="29"/>
        </w:numPr>
      </w:pPr>
      <w:r w:rsidRPr="00514C80">
        <w:t xml:space="preserve">where </w:t>
      </w:r>
      <w:r w:rsidR="00F9142C" w:rsidRPr="00514C80">
        <w:t xml:space="preserve">the leading vehicle </w:t>
      </w:r>
      <w:r w:rsidRPr="00514C80">
        <w:t>is</w:t>
      </w:r>
      <w:r w:rsidR="00F9142C" w:rsidRPr="00514C80">
        <w:t xml:space="preserve"> visible throughout the test</w:t>
      </w:r>
    </w:p>
    <w:p w14:paraId="14D0D69D" w14:textId="1C0BB075" w:rsidR="0093518C" w:rsidRPr="00514C80" w:rsidRDefault="0092514E" w:rsidP="00F9142C">
      <w:pPr>
        <w:pStyle w:val="ListParagraph"/>
        <w:numPr>
          <w:ilvl w:val="0"/>
          <w:numId w:val="29"/>
        </w:numPr>
      </w:pPr>
      <w:r w:rsidRPr="00514C80">
        <w:t xml:space="preserve">where there is </w:t>
      </w:r>
      <w:r w:rsidR="00F9142C" w:rsidRPr="00514C80">
        <w:t>no wind liable to affect results</w:t>
      </w:r>
    </w:p>
    <w:p w14:paraId="0938C11D" w14:textId="2EBC210A" w:rsidR="00F9142C" w:rsidRPr="00514C80" w:rsidRDefault="0092514E" w:rsidP="0093518C">
      <w:pPr>
        <w:pStyle w:val="ListParagraph"/>
        <w:numPr>
          <w:ilvl w:val="0"/>
          <w:numId w:val="29"/>
        </w:numPr>
      </w:pPr>
      <w:r w:rsidRPr="00514C80">
        <w:t xml:space="preserve">where </w:t>
      </w:r>
      <w:r w:rsidR="00F9142C" w:rsidRPr="00514C80">
        <w:t xml:space="preserve">natural ambient illumination </w:t>
      </w:r>
      <w:r w:rsidRPr="00514C80">
        <w:t>is</w:t>
      </w:r>
      <w:r w:rsidR="00F9142C" w:rsidRPr="00514C80">
        <w:t xml:space="preserve"> homogenous and in excess of 1000 lux</w:t>
      </w:r>
    </w:p>
    <w:p w14:paraId="7E155736" w14:textId="63FE0B69" w:rsidR="00581F4C" w:rsidRPr="00514C80" w:rsidRDefault="0092514E" w:rsidP="00581F4C">
      <w:r w:rsidRPr="00514C80">
        <w:t xml:space="preserve">The </w:t>
      </w:r>
      <w:r w:rsidR="005B62EF" w:rsidRPr="00514C80">
        <w:t>intent</w:t>
      </w:r>
      <w:r w:rsidRPr="00514C80">
        <w:t xml:space="preserve"> </w:t>
      </w:r>
      <w:r w:rsidR="005B62EF" w:rsidRPr="00514C80">
        <w:t>behind</w:t>
      </w:r>
      <w:r w:rsidRPr="00514C80">
        <w:t xml:space="preserve"> these </w:t>
      </w:r>
      <w:r w:rsidR="00C353B7" w:rsidRPr="00514C80">
        <w:t xml:space="preserve">environmental </w:t>
      </w:r>
      <w:r w:rsidR="00581F4C" w:rsidRPr="00514C80">
        <w:t>conditions</w:t>
      </w:r>
      <w:r w:rsidR="00614BF2" w:rsidRPr="00514C80">
        <w:t xml:space="preserve"> </w:t>
      </w:r>
      <w:r w:rsidRPr="00514C80">
        <w:t>is to mitigate</w:t>
      </w:r>
      <w:r w:rsidR="00493A3B" w:rsidRPr="00514C80">
        <w:t xml:space="preserve"> </w:t>
      </w:r>
      <w:r w:rsidR="00614BF2" w:rsidRPr="00514C80">
        <w:t xml:space="preserve">the </w:t>
      </w:r>
      <w:r w:rsidR="008F2A0C" w:rsidRPr="00514C80">
        <w:t>c</w:t>
      </w:r>
      <w:r w:rsidR="00325734" w:rsidRPr="00514C80">
        <w:t>ontemporary</w:t>
      </w:r>
      <w:r w:rsidRPr="00514C80">
        <w:t xml:space="preserve"> </w:t>
      </w:r>
      <w:r w:rsidR="00581F4C" w:rsidRPr="00514C80">
        <w:t xml:space="preserve">limitations </w:t>
      </w:r>
      <w:r w:rsidR="00614BF2" w:rsidRPr="00514C80">
        <w:t xml:space="preserve">of </w:t>
      </w:r>
      <w:r w:rsidR="00581F4C" w:rsidRPr="00514C80">
        <w:t>the technolog</w:t>
      </w:r>
      <w:r w:rsidR="00493A3B" w:rsidRPr="00514C80">
        <w:t>y used to build AEBS.</w:t>
      </w:r>
    </w:p>
    <w:p w14:paraId="62455B1B" w14:textId="50ED205A" w:rsidR="005C0234" w:rsidRPr="00514C80" w:rsidRDefault="007A1BE9" w:rsidP="007A1BE9">
      <w:r w:rsidRPr="00514C80">
        <w:t xml:space="preserve">As previously mentioned, AEBS </w:t>
      </w:r>
      <w:r w:rsidR="001E7E7F">
        <w:t xml:space="preserve">can </w:t>
      </w:r>
      <w:r w:rsidRPr="00514C80">
        <w:t xml:space="preserve">use a combination of </w:t>
      </w:r>
      <w:r w:rsidR="001E7E7F">
        <w:t xml:space="preserve">sensors, for example </w:t>
      </w:r>
      <w:r w:rsidR="009A1A44" w:rsidRPr="00514C80">
        <w:t>radar and camera sensors</w:t>
      </w:r>
      <w:r w:rsidRPr="00514C80">
        <w:t xml:space="preserve">. </w:t>
      </w:r>
      <w:r w:rsidR="00B927B4" w:rsidRPr="00514C80">
        <w:t>R</w:t>
      </w:r>
      <w:r w:rsidRPr="00514C80">
        <w:t>adar system</w:t>
      </w:r>
      <w:r w:rsidR="0043191E" w:rsidRPr="00514C80">
        <w:t>s</w:t>
      </w:r>
      <w:r w:rsidRPr="00514C80">
        <w:t xml:space="preserve"> can measure distances precis</w:t>
      </w:r>
      <w:r w:rsidR="0043191E" w:rsidRPr="00514C80">
        <w:t>ely</w:t>
      </w:r>
      <w:r w:rsidRPr="00514C80">
        <w:t xml:space="preserve"> but </w:t>
      </w:r>
      <w:r w:rsidR="0043191E" w:rsidRPr="00514C80">
        <w:t>have</w:t>
      </w:r>
      <w:r w:rsidRPr="00514C80">
        <w:t xml:space="preserve"> a low angular resolution</w:t>
      </w:r>
      <w:r w:rsidR="009A1A44" w:rsidRPr="00514C80">
        <w:t xml:space="preserve"> whereas </w:t>
      </w:r>
      <w:r w:rsidRPr="00514C80">
        <w:t>camera</w:t>
      </w:r>
      <w:r w:rsidR="0043191E" w:rsidRPr="00514C80">
        <w:t>s</w:t>
      </w:r>
      <w:r w:rsidRPr="00514C80">
        <w:t xml:space="preserve"> ha</w:t>
      </w:r>
      <w:r w:rsidR="0043191E" w:rsidRPr="00514C80">
        <w:t>ve</w:t>
      </w:r>
      <w:r w:rsidRPr="00514C80">
        <w:t xml:space="preserve"> much better angular resolution but cannot </w:t>
      </w:r>
      <w:r w:rsidR="0043191E" w:rsidRPr="00514C80">
        <w:t xml:space="preserve">precisely </w:t>
      </w:r>
      <w:r w:rsidRPr="00514C80">
        <w:t xml:space="preserve">determine distances. By combining radar and camera, the benefits of both sensor types </w:t>
      </w:r>
      <w:r w:rsidR="00C00EFA" w:rsidRPr="00514C80">
        <w:t>contribute towards</w:t>
      </w:r>
      <w:r w:rsidRPr="00514C80">
        <w:t xml:space="preserve"> better positioning of surrounding objects. However, some of the disadvantages of the sensors are difficult to avoid completely</w:t>
      </w:r>
      <w:r w:rsidR="0043191E" w:rsidRPr="00514C80">
        <w:t xml:space="preserve">, so </w:t>
      </w:r>
      <w:r w:rsidRPr="00514C80">
        <w:t xml:space="preserve">they might fail </w:t>
      </w:r>
      <w:r w:rsidR="00C00EFA" w:rsidRPr="00514C80">
        <w:t>to</w:t>
      </w:r>
      <w:r w:rsidRPr="00514C80">
        <w:t xml:space="preserve"> detect objects or detect “ghost targets", i.e. misinterpret the</w:t>
      </w:r>
      <w:r w:rsidR="005B62EF" w:rsidRPr="00514C80">
        <w:t>ir</w:t>
      </w:r>
      <w:r w:rsidRPr="00514C80">
        <w:t xml:space="preserve"> surrounding</w:t>
      </w:r>
      <w:r w:rsidR="005B62EF" w:rsidRPr="00514C80">
        <w:t>s</w:t>
      </w:r>
      <w:r w:rsidRPr="00514C80">
        <w:t xml:space="preserve"> and cause a false emergency braking</w:t>
      </w:r>
      <w:r w:rsidR="005B62EF" w:rsidRPr="00514C80">
        <w:t xml:space="preserve"> intervention</w:t>
      </w:r>
      <w:r w:rsidRPr="00514C80">
        <w:t xml:space="preserve">. Even though </w:t>
      </w:r>
      <w:r w:rsidR="00A032F4" w:rsidRPr="00514C80">
        <w:t xml:space="preserve">manufacturers take </w:t>
      </w:r>
      <w:r w:rsidRPr="00514C80">
        <w:t>measures</w:t>
      </w:r>
      <w:r w:rsidR="00B927B4" w:rsidRPr="00514C80">
        <w:t xml:space="preserve"> </w:t>
      </w:r>
      <w:r w:rsidRPr="00514C80">
        <w:t xml:space="preserve">to reduce </w:t>
      </w:r>
      <w:r w:rsidR="00C00EFA" w:rsidRPr="00514C80">
        <w:t xml:space="preserve">false </w:t>
      </w:r>
      <w:r w:rsidRPr="00514C80">
        <w:t xml:space="preserve">or missed detections, the AEBS will not </w:t>
      </w:r>
      <w:r w:rsidR="009A1A44" w:rsidRPr="00514C80">
        <w:t xml:space="preserve">always </w:t>
      </w:r>
      <w:r w:rsidRPr="00514C80">
        <w:t xml:space="preserve">perform flawlessly. </w:t>
      </w:r>
    </w:p>
    <w:p w14:paraId="241A8AEB" w14:textId="776FF8BF" w:rsidR="00581F4C" w:rsidRPr="00514C80" w:rsidRDefault="005C0234" w:rsidP="00581F4C">
      <w:r w:rsidRPr="00514C80">
        <w:t xml:space="preserve">Traffic </w:t>
      </w:r>
      <w:r w:rsidR="007A1BE9" w:rsidRPr="00514C80">
        <w:t xml:space="preserve">situations are complex, and </w:t>
      </w:r>
      <w:r w:rsidR="009A1A44" w:rsidRPr="00514C80">
        <w:t>many</w:t>
      </w:r>
      <w:r w:rsidR="007A1BE9" w:rsidRPr="00514C80">
        <w:t xml:space="preserve"> </w:t>
      </w:r>
      <w:r w:rsidRPr="00514C80">
        <w:t>variables</w:t>
      </w:r>
      <w:r w:rsidR="00C00EFA" w:rsidRPr="00514C80">
        <w:t xml:space="preserve"> </w:t>
      </w:r>
      <w:r w:rsidR="00A032F4" w:rsidRPr="00514C80">
        <w:t>contribute to the</w:t>
      </w:r>
      <w:r w:rsidR="007A1BE9" w:rsidRPr="00514C80">
        <w:t xml:space="preserve"> outcome of a</w:t>
      </w:r>
      <w:r w:rsidRPr="00514C80">
        <w:t>ny</w:t>
      </w:r>
      <w:r w:rsidR="007A1BE9" w:rsidRPr="00514C80">
        <w:t xml:space="preserve"> </w:t>
      </w:r>
      <w:r w:rsidRPr="00514C80">
        <w:t xml:space="preserve">given </w:t>
      </w:r>
      <w:r w:rsidR="007A1BE9" w:rsidRPr="00514C80">
        <w:t xml:space="preserve">traffic incident. </w:t>
      </w:r>
      <w:r w:rsidRPr="00514C80">
        <w:t>Factors</w:t>
      </w:r>
      <w:r w:rsidR="007A1BE9" w:rsidRPr="00514C80">
        <w:t xml:space="preserve"> such as </w:t>
      </w:r>
      <w:r w:rsidR="00A032F4" w:rsidRPr="00514C80">
        <w:t xml:space="preserve">road </w:t>
      </w:r>
      <w:r w:rsidR="007A1BE9" w:rsidRPr="00514C80">
        <w:t>curvature,</w:t>
      </w:r>
      <w:r w:rsidR="00493A3B" w:rsidRPr="00514C80">
        <w:t xml:space="preserve"> road surface</w:t>
      </w:r>
      <w:r w:rsidR="00A032F4" w:rsidRPr="00514C80">
        <w:t xml:space="preserve"> condition</w:t>
      </w:r>
      <w:r w:rsidR="00493A3B" w:rsidRPr="00514C80">
        <w:t>,</w:t>
      </w:r>
      <w:r w:rsidR="007A1BE9" w:rsidRPr="00514C80">
        <w:t xml:space="preserve"> the speed of</w:t>
      </w:r>
      <w:r w:rsidRPr="00514C80">
        <w:t xml:space="preserve"> </w:t>
      </w:r>
      <w:r w:rsidR="007A1BE9" w:rsidRPr="00514C80">
        <w:t>vehicle</w:t>
      </w:r>
      <w:r w:rsidRPr="00514C80">
        <w:t>s</w:t>
      </w:r>
      <w:r w:rsidR="00B927B4" w:rsidRPr="00514C80">
        <w:t>,</w:t>
      </w:r>
      <w:r w:rsidR="007A1BE9" w:rsidRPr="00514C80">
        <w:t xml:space="preserve"> and the surrounding environment</w:t>
      </w:r>
      <w:r w:rsidRPr="00514C80">
        <w:t xml:space="preserve"> can affect the performance of AEBS</w:t>
      </w:r>
      <w:r w:rsidR="007A1BE9" w:rsidRPr="00514C80">
        <w:t>.</w:t>
      </w:r>
      <w:r w:rsidR="00B927B4" w:rsidRPr="00514C80">
        <w:t xml:space="preserve"> M</w:t>
      </w:r>
      <w:r w:rsidR="00A032F4" w:rsidRPr="00514C80">
        <w:t>anufactures</w:t>
      </w:r>
      <w:r w:rsidR="00B927B4" w:rsidRPr="00514C80">
        <w:t xml:space="preserve"> research the principles of automotive radar and camera systems</w:t>
      </w:r>
      <w:r w:rsidR="00A032F4" w:rsidRPr="00514C80">
        <w:t xml:space="preserve"> </w:t>
      </w:r>
      <w:r w:rsidR="00B927B4" w:rsidRPr="00514C80">
        <w:t xml:space="preserve">so that they can </w:t>
      </w:r>
      <w:r w:rsidR="00A032F4" w:rsidRPr="00514C80">
        <w:t>identify and study potential weaknesses</w:t>
      </w:r>
      <w:r w:rsidR="00B927B4" w:rsidRPr="00514C80">
        <w:t xml:space="preserve"> and improve AEBS</w:t>
      </w:r>
      <w:r w:rsidR="00A032F4" w:rsidRPr="00514C80">
        <w:t xml:space="preserve">. </w:t>
      </w:r>
      <w:r w:rsidR="00581F4C" w:rsidRPr="00514C80">
        <w:t>However, it is</w:t>
      </w:r>
      <w:r w:rsidR="00325734" w:rsidRPr="00514C80">
        <w:t xml:space="preserve"> still</w:t>
      </w:r>
      <w:r w:rsidR="00581F4C" w:rsidRPr="00514C80">
        <w:t xml:space="preserve"> a requirement that AEBS shall not deactivate or unreasonably switch the control strategy in these </w:t>
      </w:r>
      <w:r w:rsidR="00325734" w:rsidRPr="00514C80">
        <w:t xml:space="preserve">potentially adverse </w:t>
      </w:r>
      <w:r w:rsidR="00581F4C" w:rsidRPr="00514C80">
        <w:t>conditions.</w:t>
      </w:r>
    </w:p>
    <w:p w14:paraId="6E554BBB" w14:textId="29ED1155" w:rsidR="00A606E7" w:rsidRPr="00514C80" w:rsidRDefault="002A7B68" w:rsidP="00A606E7">
      <w:r w:rsidRPr="00514C80">
        <w:t xml:space="preserve">An AEBS </w:t>
      </w:r>
      <w:r w:rsidR="00B208CF" w:rsidRPr="00514C80">
        <w:t xml:space="preserve">compliant </w:t>
      </w:r>
      <w:r w:rsidRPr="00514C80">
        <w:t xml:space="preserve">to </w:t>
      </w:r>
      <w:r w:rsidR="00FA1357" w:rsidRPr="00514C80">
        <w:t>ADR 98/00 will be</w:t>
      </w:r>
      <w:r w:rsidRPr="00514C80">
        <w:t xml:space="preserve"> designed to generat</w:t>
      </w:r>
      <w:r w:rsidR="005B62EF" w:rsidRPr="00514C80">
        <w:t xml:space="preserve">e as few </w:t>
      </w:r>
      <w:r w:rsidR="00FA1357" w:rsidRPr="00514C80">
        <w:t xml:space="preserve">unnecessary </w:t>
      </w:r>
      <w:r w:rsidR="00056F3D" w:rsidRPr="00514C80">
        <w:t>‘collision warning’ signals</w:t>
      </w:r>
      <w:r w:rsidR="005B62EF" w:rsidRPr="00514C80">
        <w:t xml:space="preserve"> as possible</w:t>
      </w:r>
      <w:r w:rsidR="00FA1357" w:rsidRPr="00514C80">
        <w:t>,</w:t>
      </w:r>
      <w:r w:rsidR="004F2075" w:rsidRPr="00514C80">
        <w:t xml:space="preserve"> and will </w:t>
      </w:r>
      <w:r w:rsidR="00056F3D" w:rsidRPr="00514C80">
        <w:t xml:space="preserve">avoid emergency braking </w:t>
      </w:r>
      <w:r w:rsidR="00583EAD" w:rsidRPr="00514C80">
        <w:t xml:space="preserve">interventions </w:t>
      </w:r>
      <w:r w:rsidR="00056F3D" w:rsidRPr="00514C80">
        <w:t xml:space="preserve">in situations where </w:t>
      </w:r>
      <w:r w:rsidR="004F2075" w:rsidRPr="00514C80">
        <w:t xml:space="preserve">an attentive </w:t>
      </w:r>
      <w:r w:rsidR="00056F3D" w:rsidRPr="00514C80">
        <w:t xml:space="preserve">driver would not </w:t>
      </w:r>
      <w:r w:rsidR="00B208CF" w:rsidRPr="00514C80">
        <w:t>anticipate a</w:t>
      </w:r>
      <w:r w:rsidR="00056F3D" w:rsidRPr="00514C80">
        <w:t xml:space="preserve"> collision. </w:t>
      </w:r>
      <w:r w:rsidR="004F2075" w:rsidRPr="00514C80">
        <w:t>AEBS equipped v</w:t>
      </w:r>
      <w:r w:rsidR="00056F3D" w:rsidRPr="00514C80">
        <w:t xml:space="preserve">ehicles </w:t>
      </w:r>
      <w:r w:rsidR="004F2075" w:rsidRPr="00514C80">
        <w:t xml:space="preserve">will </w:t>
      </w:r>
      <w:r w:rsidR="00056F3D" w:rsidRPr="00514C80">
        <w:t xml:space="preserve">demonstrate </w:t>
      </w:r>
      <w:r w:rsidR="004574BB" w:rsidRPr="00514C80">
        <w:t>this capacity</w:t>
      </w:r>
      <w:r w:rsidR="00B208CF" w:rsidRPr="00514C80">
        <w:t xml:space="preserve"> </w:t>
      </w:r>
      <w:r w:rsidR="004F2075" w:rsidRPr="00514C80">
        <w:t>by driving between two stationary vehicles</w:t>
      </w:r>
      <w:r w:rsidR="004574BB" w:rsidRPr="00514C80">
        <w:t xml:space="preserve"> without the fitted</w:t>
      </w:r>
      <w:r w:rsidR="00232C1B" w:rsidRPr="00514C80">
        <w:t xml:space="preserve"> </w:t>
      </w:r>
      <w:r w:rsidR="00F376C5" w:rsidRPr="00514C80">
        <w:t>AEBS</w:t>
      </w:r>
      <w:r w:rsidR="00B208CF" w:rsidRPr="00514C80">
        <w:t xml:space="preserve"> communicat</w:t>
      </w:r>
      <w:r w:rsidR="004574BB" w:rsidRPr="00514C80">
        <w:t>ing</w:t>
      </w:r>
      <w:r w:rsidR="00B208CF" w:rsidRPr="00514C80">
        <w:t xml:space="preserve"> a collision warning or</w:t>
      </w:r>
      <w:r w:rsidR="00232C1B" w:rsidRPr="00514C80">
        <w:t xml:space="preserve"> </w:t>
      </w:r>
      <w:r w:rsidR="00B208CF" w:rsidRPr="00514C80">
        <w:t>initiat</w:t>
      </w:r>
      <w:r w:rsidR="002F6B56" w:rsidRPr="00514C80">
        <w:t>ing</w:t>
      </w:r>
      <w:r w:rsidR="00B208CF" w:rsidRPr="00514C80">
        <w:t xml:space="preserve"> an </w:t>
      </w:r>
      <w:r w:rsidR="00232C1B" w:rsidRPr="00514C80">
        <w:t xml:space="preserve">emergency braking </w:t>
      </w:r>
      <w:r w:rsidR="00B208CF" w:rsidRPr="00514C80">
        <w:t>intervention</w:t>
      </w:r>
      <w:r w:rsidR="00232C1B" w:rsidRPr="00514C80">
        <w:t>.</w:t>
      </w:r>
      <w:r w:rsidR="00F376C5" w:rsidRPr="00514C80">
        <w:t xml:space="preserve"> The </w:t>
      </w:r>
      <w:r w:rsidR="00644988" w:rsidRPr="00514C80">
        <w:t xml:space="preserve">primary </w:t>
      </w:r>
      <w:r w:rsidR="00F376C5" w:rsidRPr="00514C80">
        <w:t xml:space="preserve">purpose of reducing false warnings or </w:t>
      </w:r>
      <w:r w:rsidR="00B208CF" w:rsidRPr="00514C80">
        <w:t xml:space="preserve">emergency </w:t>
      </w:r>
      <w:r w:rsidR="00F376C5" w:rsidRPr="00514C80">
        <w:t xml:space="preserve">braking interventions is to reduce the likelihood of the driver switching the AEBS </w:t>
      </w:r>
      <w:r w:rsidR="00684418" w:rsidRPr="00514C80">
        <w:t xml:space="preserve">off. However, the requirement still exists </w:t>
      </w:r>
      <w:r w:rsidR="00B208CF" w:rsidRPr="00514C80">
        <w:t xml:space="preserve">for vehicles </w:t>
      </w:r>
      <w:r w:rsidR="00684418" w:rsidRPr="00514C80">
        <w:t>where</w:t>
      </w:r>
      <w:r w:rsidR="00B208CF" w:rsidRPr="00514C80">
        <w:t xml:space="preserve"> there</w:t>
      </w:r>
      <w:r w:rsidR="00684418" w:rsidRPr="00514C80">
        <w:t xml:space="preserve"> </w:t>
      </w:r>
      <w:r w:rsidR="00B208CF" w:rsidRPr="00514C80">
        <w:t xml:space="preserve">is no way to deactivate </w:t>
      </w:r>
      <w:r w:rsidR="00D67391" w:rsidRPr="00514C80">
        <w:t>AE</w:t>
      </w:r>
      <w:r w:rsidR="00D67391">
        <w:t>B</w:t>
      </w:r>
      <w:r w:rsidR="00D67391" w:rsidRPr="00514C80">
        <w:t>S</w:t>
      </w:r>
      <w:r w:rsidR="00644988" w:rsidRPr="00514C80">
        <w:t>, as false alarms and interventions are nevertheless undesirable</w:t>
      </w:r>
      <w:r w:rsidR="00684418" w:rsidRPr="00514C80">
        <w:t>.</w:t>
      </w:r>
    </w:p>
    <w:p w14:paraId="088E36A1" w14:textId="064034E7" w:rsidR="00297D5D" w:rsidRPr="00514C80" w:rsidRDefault="00AD12BE" w:rsidP="008276F3">
      <w:pPr>
        <w:pStyle w:val="HeadingLevel2"/>
        <w:pageBreakBefore/>
      </w:pPr>
      <w:bookmarkStart w:id="24" w:name="_Toc74044718"/>
      <w:bookmarkStart w:id="25" w:name="_Toc77772866"/>
      <w:bookmarkStart w:id="26" w:name="_Toc167864615"/>
      <w:r w:rsidRPr="00514C80">
        <w:lastRenderedPageBreak/>
        <w:t>Exemptions and Alternative Procedures</w:t>
      </w:r>
      <w:bookmarkEnd w:id="24"/>
      <w:bookmarkEnd w:id="25"/>
    </w:p>
    <w:p w14:paraId="52D2666D" w14:textId="77777777" w:rsidR="00610FED" w:rsidRPr="00514C80" w:rsidRDefault="00610FED" w:rsidP="00610FED">
      <w:pPr>
        <w:rPr>
          <w:u w:val="single"/>
        </w:rPr>
      </w:pPr>
      <w:r w:rsidRPr="00514C80">
        <w:rPr>
          <w:u w:val="single"/>
        </w:rPr>
        <w:t>Exemptions</w:t>
      </w:r>
    </w:p>
    <w:p w14:paraId="4292CBEE" w14:textId="3D177A94" w:rsidR="00610FED" w:rsidRPr="00514C80" w:rsidRDefault="008A5EAE" w:rsidP="00610FED">
      <w:r w:rsidRPr="00514C80">
        <w:t>S</w:t>
      </w:r>
      <w:r w:rsidR="00C449E5" w:rsidRPr="00514C80">
        <w:t xml:space="preserve">ection 6 </w:t>
      </w:r>
      <w:r w:rsidR="007F5327" w:rsidRPr="00514C80">
        <w:t>creates exemptions from</w:t>
      </w:r>
      <w:r w:rsidR="00610FED" w:rsidRPr="00514C80">
        <w:t xml:space="preserve"> </w:t>
      </w:r>
      <w:r w:rsidRPr="00514C80">
        <w:t xml:space="preserve">some </w:t>
      </w:r>
      <w:r w:rsidR="004574BB" w:rsidRPr="00514C80">
        <w:t xml:space="preserve">requirements </w:t>
      </w:r>
      <w:r w:rsidR="00610FED" w:rsidRPr="00514C80">
        <w:t xml:space="preserve">of </w:t>
      </w:r>
      <w:r w:rsidR="00571507">
        <w:t>A</w:t>
      </w:r>
      <w:r w:rsidR="00684418" w:rsidRPr="00514C80">
        <w:t>ppendix A (</w:t>
      </w:r>
      <w:r w:rsidR="00610FED" w:rsidRPr="00514C80">
        <w:t>UN</w:t>
      </w:r>
      <w:r w:rsidR="00C36570">
        <w:t xml:space="preserve"> </w:t>
      </w:r>
      <w:r w:rsidR="00610FED" w:rsidRPr="00514C80">
        <w:t>R</w:t>
      </w:r>
      <w:r w:rsidR="00684418" w:rsidRPr="00514C80">
        <w:t>152)</w:t>
      </w:r>
      <w:r w:rsidR="00610FED" w:rsidRPr="00514C80">
        <w:t xml:space="preserve"> </w:t>
      </w:r>
      <w:r w:rsidR="004574BB" w:rsidRPr="00514C80">
        <w:t>which</w:t>
      </w:r>
      <w:r w:rsidR="00610FED" w:rsidRPr="00514C80">
        <w:t xml:space="preserve"> </w:t>
      </w:r>
      <w:r w:rsidR="00684418" w:rsidRPr="00514C80">
        <w:t xml:space="preserve">pertain </w:t>
      </w:r>
      <w:r w:rsidR="00610FED" w:rsidRPr="00514C80">
        <w:t>to gaining a Type Approval in the UN context</w:t>
      </w:r>
      <w:r w:rsidR="004574BB" w:rsidRPr="00514C80">
        <w:t xml:space="preserve">. This is because they are not </w:t>
      </w:r>
      <w:r w:rsidR="00380D2E">
        <w:t>required in</w:t>
      </w:r>
      <w:r w:rsidR="004574BB" w:rsidRPr="00514C80">
        <w:t xml:space="preserve"> the Australian context where t</w:t>
      </w:r>
      <w:r w:rsidR="003F4D6B" w:rsidRPr="00514C80">
        <w:t>he Commonwealth administers approvals through the Act and the ADRs</w:t>
      </w:r>
      <w:r w:rsidR="00610FED" w:rsidRPr="00514C80">
        <w:t xml:space="preserve">. </w:t>
      </w:r>
      <w:r w:rsidR="003F4D6B" w:rsidRPr="00514C80">
        <w:t>Consequently, m</w:t>
      </w:r>
      <w:r w:rsidR="00D35304" w:rsidRPr="00514C80">
        <w:t xml:space="preserve">anufacturers supplying new vehicles to Australia are exempt from most </w:t>
      </w:r>
      <w:r w:rsidR="002D7454">
        <w:t>administrative (</w:t>
      </w:r>
      <w:r w:rsidR="00D35304" w:rsidRPr="00514C80">
        <w:t>non-technical</w:t>
      </w:r>
      <w:r w:rsidR="002D7454">
        <w:t>)</w:t>
      </w:r>
      <w:r w:rsidR="00D35304" w:rsidRPr="00514C80">
        <w:t xml:space="preserve"> requirements of UN</w:t>
      </w:r>
      <w:r w:rsidR="00C36570">
        <w:t> </w:t>
      </w:r>
      <w:r w:rsidR="00D35304" w:rsidRPr="00514C80">
        <w:t>R152</w:t>
      </w:r>
      <w:r w:rsidR="003F4D6B" w:rsidRPr="00514C80">
        <w:t>.</w:t>
      </w:r>
      <w:r w:rsidR="00D35304" w:rsidRPr="00514C80">
        <w:t xml:space="preserve"> </w:t>
      </w:r>
      <w:r w:rsidRPr="00514C80">
        <w:t xml:space="preserve">Section 6 also </w:t>
      </w:r>
      <w:r w:rsidR="000968DF" w:rsidRPr="00514C80">
        <w:t>provides</w:t>
      </w:r>
      <w:r w:rsidRPr="00514C80">
        <w:t xml:space="preserve"> that </w:t>
      </w:r>
      <w:r w:rsidR="004574BB" w:rsidRPr="00514C80">
        <w:t xml:space="preserve">the </w:t>
      </w:r>
      <w:r w:rsidR="000968DF" w:rsidRPr="00514C80">
        <w:t>requirements</w:t>
      </w:r>
      <w:r w:rsidR="00610FED" w:rsidRPr="00514C80">
        <w:t xml:space="preserve"> of UN</w:t>
      </w:r>
      <w:r w:rsidR="00C36570">
        <w:t xml:space="preserve"> </w:t>
      </w:r>
      <w:r w:rsidR="00610FED" w:rsidRPr="00514C80">
        <w:t xml:space="preserve">R152 </w:t>
      </w:r>
      <w:r w:rsidR="003F4D6B" w:rsidRPr="00514C80">
        <w:t>which pertain to the pedestrian detection capability of AEBS are not mandatory</w:t>
      </w:r>
      <w:r w:rsidRPr="00514C80">
        <w:t xml:space="preserve"> under ADR</w:t>
      </w:r>
      <w:r w:rsidR="00FD2136">
        <w:t xml:space="preserve"> </w:t>
      </w:r>
      <w:r w:rsidRPr="00514C80">
        <w:t>98/00 because it is</w:t>
      </w:r>
      <w:r w:rsidR="00F763DA" w:rsidRPr="00514C80">
        <w:t xml:space="preserve"> covered by ADR 98/01.</w:t>
      </w:r>
    </w:p>
    <w:p w14:paraId="14A64999" w14:textId="1643FB45" w:rsidR="00610FED" w:rsidRPr="00514C80" w:rsidRDefault="008A5EAE" w:rsidP="00610FED">
      <w:r w:rsidRPr="00514C80">
        <w:t>C</w:t>
      </w:r>
      <w:r w:rsidR="00610FED" w:rsidRPr="00514C80">
        <w:t>lause 6.1</w:t>
      </w:r>
      <w:r w:rsidRPr="00514C80">
        <w:t xml:space="preserve"> </w:t>
      </w:r>
      <w:r w:rsidR="007B53B1" w:rsidRPr="00514C80">
        <w:t>s</w:t>
      </w:r>
      <w:r w:rsidR="00532D71" w:rsidRPr="00514C80">
        <w:t xml:space="preserve">tates </w:t>
      </w:r>
      <w:r w:rsidRPr="00514C80">
        <w:t>that</w:t>
      </w:r>
      <w:r w:rsidR="003F4D6B" w:rsidRPr="00514C80">
        <w:t>,</w:t>
      </w:r>
      <w:r w:rsidR="00610FED" w:rsidRPr="00514C80">
        <w:t xml:space="preserve"> sections 3, 4, 7, 8, 9, 10, 11 and annexes 1 and 2 of UN</w:t>
      </w:r>
      <w:r w:rsidR="00C36570">
        <w:t xml:space="preserve"> </w:t>
      </w:r>
      <w:r w:rsidR="00610FED" w:rsidRPr="00514C80">
        <w:t xml:space="preserve">R152 are not required for the purposes of complying with </w:t>
      </w:r>
      <w:r w:rsidRPr="00514C80">
        <w:t>ADR</w:t>
      </w:r>
      <w:r w:rsidR="00FD2136">
        <w:t xml:space="preserve"> </w:t>
      </w:r>
      <w:r w:rsidRPr="00514C80">
        <w:t>98/00</w:t>
      </w:r>
      <w:r w:rsidR="00610FED" w:rsidRPr="00514C80">
        <w:t>.</w:t>
      </w:r>
      <w:r w:rsidR="003303E7" w:rsidRPr="00514C80">
        <w:t xml:space="preserve"> This is because</w:t>
      </w:r>
      <w:r w:rsidR="00741AB3" w:rsidRPr="00514C80">
        <w:t xml:space="preserve"> they refer to gaining a Type Approval in the UN context.</w:t>
      </w:r>
    </w:p>
    <w:p w14:paraId="4A6227C8" w14:textId="669B74ED" w:rsidR="00610FED" w:rsidRPr="00514C80" w:rsidRDefault="00610FED" w:rsidP="00610FED">
      <w:r w:rsidRPr="00514C80">
        <w:t xml:space="preserve">Clause 6.3 </w:t>
      </w:r>
      <w:r w:rsidR="00532D71" w:rsidRPr="00514C80">
        <w:t xml:space="preserve">states </w:t>
      </w:r>
      <w:r w:rsidRPr="00514C80">
        <w:t xml:space="preserve">that </w:t>
      </w:r>
      <w:r w:rsidR="00C449E5" w:rsidRPr="00514C80">
        <w:t>no</w:t>
      </w:r>
      <w:r w:rsidRPr="00514C80">
        <w:t xml:space="preserve"> technical requirements for AEBS </w:t>
      </w:r>
      <w:r w:rsidR="00C449E5" w:rsidRPr="00514C80">
        <w:t>testing</w:t>
      </w:r>
      <w:r w:rsidRPr="00514C80">
        <w:t xml:space="preserve"> in </w:t>
      </w:r>
      <w:r w:rsidR="008276F3">
        <w:t>c</w:t>
      </w:r>
      <w:r w:rsidRPr="00514C80">
        <w:t>ar</w:t>
      </w:r>
      <w:r w:rsidR="00C449E5" w:rsidRPr="00514C80">
        <w:t xml:space="preserve"> </w:t>
      </w:r>
      <w:r w:rsidRPr="00514C80">
        <w:t>to</w:t>
      </w:r>
      <w:r w:rsidR="00C449E5" w:rsidRPr="00514C80">
        <w:t xml:space="preserve"> </w:t>
      </w:r>
      <w:r w:rsidRPr="00514C80">
        <w:t xml:space="preserve">pedestrian scenarios as defined in </w:t>
      </w:r>
      <w:r w:rsidR="00C449E5" w:rsidRPr="00514C80">
        <w:t>UN</w:t>
      </w:r>
      <w:r w:rsidR="00BE1F6D">
        <w:t xml:space="preserve"> </w:t>
      </w:r>
      <w:r w:rsidR="00C449E5" w:rsidRPr="00514C80">
        <w:t>R152</w:t>
      </w:r>
      <w:r w:rsidRPr="00514C80">
        <w:t xml:space="preserve"> are mandatory.</w:t>
      </w:r>
      <w:r w:rsidR="004661F6" w:rsidRPr="00514C80">
        <w:t xml:space="preserve"> </w:t>
      </w:r>
      <w:r w:rsidR="00192B4F" w:rsidRPr="00514C80">
        <w:t xml:space="preserve">This is because </w:t>
      </w:r>
      <w:r w:rsidR="00C449E5" w:rsidRPr="00514C80">
        <w:t xml:space="preserve">the </w:t>
      </w:r>
      <w:r w:rsidR="00192B4F" w:rsidRPr="00514C80">
        <w:t>pedestrian detection capability of AEBS is covered by ADR 98/01.</w:t>
      </w:r>
    </w:p>
    <w:p w14:paraId="329CFC26" w14:textId="2F73ECA6" w:rsidR="00610FED" w:rsidRPr="00514C80" w:rsidRDefault="00610FED" w:rsidP="00610FED">
      <w:r w:rsidRPr="00514C80">
        <w:t xml:space="preserve">Clause 6.7 </w:t>
      </w:r>
      <w:r w:rsidR="00532D71" w:rsidRPr="00514C80">
        <w:t xml:space="preserve">states </w:t>
      </w:r>
      <w:r w:rsidRPr="00514C80">
        <w:t xml:space="preserve">that paragraphs 6.3.2, 6.6, 6.6.1 and 6.6.2 of Appendix A are not applicable for the purposes of this national standard as they relate to technical requirements with respect to </w:t>
      </w:r>
      <w:r w:rsidR="008276F3">
        <w:t>c</w:t>
      </w:r>
      <w:r w:rsidRPr="00514C80">
        <w:t>ar to pedestrian AEBS performance.</w:t>
      </w:r>
      <w:r w:rsidR="00192B4F" w:rsidRPr="00514C80">
        <w:t xml:space="preserve"> Pedestrian detection capability of AEBS is covered by ADR 98/01.</w:t>
      </w:r>
    </w:p>
    <w:p w14:paraId="4B820523" w14:textId="4FE330B0" w:rsidR="00610FED" w:rsidRPr="00514C80" w:rsidRDefault="00610FED" w:rsidP="00610FED">
      <w:r w:rsidRPr="00514C80">
        <w:t xml:space="preserve">Clause 6.11 </w:t>
      </w:r>
      <w:r w:rsidR="00532D71" w:rsidRPr="00514C80">
        <w:t xml:space="preserve">states </w:t>
      </w:r>
      <w:r w:rsidRPr="00514C80">
        <w:t xml:space="preserve">that paragraph 2 of Appendix A – Annex 3 – Appendix 2 is not applicable for the purposes of this national road vehicle standard as technical requirements for AEBS tested in </w:t>
      </w:r>
      <w:r w:rsidR="008276F3">
        <w:t>c</w:t>
      </w:r>
      <w:r w:rsidRPr="00514C80">
        <w:t>ar to pedestrian scenarios as defined in Appendix A are not mandatory.</w:t>
      </w:r>
      <w:r w:rsidR="00192B4F" w:rsidRPr="00514C80">
        <w:t xml:space="preserve"> Pedestrian detection capability of AEBS is covered by ADR</w:t>
      </w:r>
      <w:r w:rsidR="00BE1F6D">
        <w:t> </w:t>
      </w:r>
      <w:r w:rsidR="00192B4F" w:rsidRPr="00514C80">
        <w:t>98/01.</w:t>
      </w:r>
    </w:p>
    <w:p w14:paraId="560BE68E" w14:textId="7C3DADB5" w:rsidR="00AE2D53" w:rsidRPr="00514C80" w:rsidRDefault="00EB14A8" w:rsidP="00610FED">
      <w:pPr>
        <w:rPr>
          <w:u w:val="single"/>
        </w:rPr>
      </w:pPr>
      <w:r w:rsidRPr="00514C80">
        <w:rPr>
          <w:u w:val="single"/>
        </w:rPr>
        <w:t>Alternative Procedures</w:t>
      </w:r>
    </w:p>
    <w:p w14:paraId="7BC1ACDD" w14:textId="2A1EDF51" w:rsidR="003F3B46" w:rsidRPr="00514C80" w:rsidRDefault="003F3B46" w:rsidP="00610FED">
      <w:r w:rsidRPr="00514C80">
        <w:t xml:space="preserve">Section 6 </w:t>
      </w:r>
      <w:r w:rsidR="004574BB" w:rsidRPr="00514C80">
        <w:t>identifies</w:t>
      </w:r>
      <w:r w:rsidR="007F5327" w:rsidRPr="00514C80">
        <w:t xml:space="preserve"> </w:t>
      </w:r>
      <w:r w:rsidR="00CF5C81" w:rsidRPr="00514C80">
        <w:t xml:space="preserve">procedures to which vehicles may comply, which are </w:t>
      </w:r>
      <w:r w:rsidR="007832B9" w:rsidRPr="00514C80">
        <w:t>acceptable</w:t>
      </w:r>
      <w:r w:rsidR="007B53B1" w:rsidRPr="00514C80">
        <w:t xml:space="preserve"> </w:t>
      </w:r>
      <w:r w:rsidR="00CF5C81" w:rsidRPr="00514C80">
        <w:t>alternative</w:t>
      </w:r>
      <w:r w:rsidR="004574BB" w:rsidRPr="00514C80">
        <w:t>s</w:t>
      </w:r>
      <w:r w:rsidR="00CF5C81" w:rsidRPr="00514C80">
        <w:t xml:space="preserve"> to those created by UN</w:t>
      </w:r>
      <w:r w:rsidR="00BE1F6D">
        <w:t xml:space="preserve"> </w:t>
      </w:r>
      <w:r w:rsidR="00CF5C81" w:rsidRPr="00514C80">
        <w:t xml:space="preserve">R152. These </w:t>
      </w:r>
      <w:r w:rsidRPr="00514C80">
        <w:t>have been adapted for the Australian market to enable vehicle manufacturer to demonstrate compliance to ADR 98/00 where they have not gained a type approval in the UN context.</w:t>
      </w:r>
    </w:p>
    <w:p w14:paraId="76FD3343" w14:textId="5D921C1C" w:rsidR="00610FED" w:rsidRPr="00514C80" w:rsidRDefault="00610FED" w:rsidP="00610FED">
      <w:r w:rsidRPr="00514C80">
        <w:t xml:space="preserve">Clause 6.2 </w:t>
      </w:r>
      <w:r w:rsidR="00532D71" w:rsidRPr="00514C80">
        <w:t xml:space="preserve">states </w:t>
      </w:r>
      <w:r w:rsidRPr="00514C80">
        <w:t xml:space="preserve">that </w:t>
      </w:r>
      <w:r w:rsidR="0007625E" w:rsidRPr="00514C80">
        <w:t>ADR 98/00 applies to vehicles seeking to demonstrate that they</w:t>
      </w:r>
      <w:r w:rsidRPr="00514C80">
        <w:t xml:space="preserve"> meet all </w:t>
      </w:r>
      <w:r w:rsidR="001C2946" w:rsidRPr="00514C80">
        <w:t xml:space="preserve">the </w:t>
      </w:r>
      <w:r w:rsidRPr="00514C80">
        <w:t xml:space="preserve">technical requirements for AEBS tested in </w:t>
      </w:r>
      <w:r w:rsidR="008276F3">
        <w:t>c</w:t>
      </w:r>
      <w:r w:rsidRPr="00514C80">
        <w:t>ar to car scenarios as defined in Appendix A.</w:t>
      </w:r>
    </w:p>
    <w:p w14:paraId="28696956" w14:textId="5CE296CC" w:rsidR="0007625E" w:rsidRPr="00514C80" w:rsidRDefault="0007625E" w:rsidP="00610FED">
      <w:r w:rsidRPr="00514C80">
        <w:t xml:space="preserve">Clause 6.3 </w:t>
      </w:r>
      <w:r w:rsidR="00976F8A" w:rsidRPr="00514C80">
        <w:t xml:space="preserve">states </w:t>
      </w:r>
      <w:r w:rsidRPr="00514C80">
        <w:t xml:space="preserve">that </w:t>
      </w:r>
      <w:r w:rsidR="00B16CF5">
        <w:t>c</w:t>
      </w:r>
      <w:r w:rsidRPr="00514C80">
        <w:t>ar to pedestrian capability is not applicable for vehicles seeking approval under ADR 98/00. This is because pedestrian capability of AEBS is covered by ADR 98/01.</w:t>
      </w:r>
    </w:p>
    <w:p w14:paraId="7D3C07DD" w14:textId="762FA82C" w:rsidR="007832B9" w:rsidRPr="00514C80" w:rsidRDefault="007832B9" w:rsidP="007832B9">
      <w:r w:rsidRPr="00514C80">
        <w:t xml:space="preserve">Clause 6.4 states that category MA vehicles do not need to meet the requirements in paragraph 5.1.7 of Appendix A if they comply with ADR 31/... This is because </w:t>
      </w:r>
      <w:r w:rsidR="00EA2383" w:rsidRPr="00514C80">
        <w:t>th</w:t>
      </w:r>
      <w:r w:rsidR="00EA2383">
        <w:t>is</w:t>
      </w:r>
      <w:r w:rsidR="00EA2383" w:rsidRPr="00514C80">
        <w:t xml:space="preserve"> </w:t>
      </w:r>
      <w:r w:rsidRPr="00514C80">
        <w:t>standard feature</w:t>
      </w:r>
      <w:r w:rsidR="00EA2383">
        <w:t>s</w:t>
      </w:r>
      <w:r w:rsidRPr="00514C80">
        <w:t xml:space="preserve"> equivalent requirements pertaining to ABS</w:t>
      </w:r>
      <w:r w:rsidR="00EA2383">
        <w:t xml:space="preserve"> as the UN R13-H specified </w:t>
      </w:r>
      <w:r w:rsidR="00041D7B">
        <w:t xml:space="preserve">in </w:t>
      </w:r>
      <w:r w:rsidR="00EA2383">
        <w:t>paragraph 5.1.7</w:t>
      </w:r>
      <w:r w:rsidRPr="00514C80">
        <w:t>, which are necessary for optimal brake performance during an AEBS intervention. This allows vehicle manufacturers to more easily demonstrate compliance to ADR</w:t>
      </w:r>
      <w:r w:rsidR="00A310A8" w:rsidRPr="00514C80">
        <w:t xml:space="preserve"> </w:t>
      </w:r>
      <w:r w:rsidRPr="00514C80">
        <w:t>98/00.</w:t>
      </w:r>
    </w:p>
    <w:p w14:paraId="201AB8A6" w14:textId="6FB9CB99" w:rsidR="00CF5C81" w:rsidRPr="00514C80" w:rsidRDefault="00CF5C81" w:rsidP="00610FED">
      <w:r w:rsidRPr="00514C80">
        <w:lastRenderedPageBreak/>
        <w:t xml:space="preserve">Clause 6.5 states that </w:t>
      </w:r>
      <w:r w:rsidR="00402C27" w:rsidRPr="00514C80">
        <w:t>category MB, MC and NA vehicles do not need to meet the requirements in paragraph 5.1.7 of Appendix A if they comply with</w:t>
      </w:r>
      <w:r w:rsidRPr="00514C80">
        <w:t xml:space="preserve"> ADR 31/... or ADR 35/... </w:t>
      </w:r>
      <w:r w:rsidR="00402C27" w:rsidRPr="00514C80">
        <w:t>This is because</w:t>
      </w:r>
      <w:r w:rsidRPr="00514C80">
        <w:t xml:space="preserve"> these </w:t>
      </w:r>
      <w:r w:rsidR="00402C27" w:rsidRPr="00514C80">
        <w:t xml:space="preserve">standards feature </w:t>
      </w:r>
      <w:r w:rsidR="00CA31E3">
        <w:t xml:space="preserve">sufficiently </w:t>
      </w:r>
      <w:r w:rsidR="00402C27" w:rsidRPr="00514C80">
        <w:t>equivalent requirements pertaining to</w:t>
      </w:r>
      <w:r w:rsidRPr="00514C80">
        <w:t xml:space="preserve"> ABS, which </w:t>
      </w:r>
      <w:r w:rsidR="00402C27" w:rsidRPr="00514C80">
        <w:t>are</w:t>
      </w:r>
      <w:r w:rsidRPr="00514C80">
        <w:t xml:space="preserve"> necessary for optimal brake performance during an AEBS intervention.</w:t>
      </w:r>
      <w:r w:rsidR="00402C27" w:rsidRPr="00514C80">
        <w:t xml:space="preserve"> This allows vehicle manufacturers to more easily demonstrate compliance to ADR</w:t>
      </w:r>
      <w:r w:rsidR="00A310A8" w:rsidRPr="00514C80">
        <w:t xml:space="preserve"> </w:t>
      </w:r>
      <w:r w:rsidR="00402C27" w:rsidRPr="00514C80">
        <w:t>98/00.</w:t>
      </w:r>
    </w:p>
    <w:p w14:paraId="6C9E09C7" w14:textId="39DE18E7" w:rsidR="002918CC" w:rsidRPr="00514C80" w:rsidRDefault="002918CC" w:rsidP="002918CC">
      <w:r w:rsidRPr="00514C80">
        <w:t>Clause 6.6 clarifies that where Appendix A refers “to the technical service at the time of type approval”, it is to be substituted with “to the Approved Testing Facility”. The purpose of this clause is to replace language in Appendix A, which originally referred to the UN application process with language accurate to the Australian context.</w:t>
      </w:r>
    </w:p>
    <w:p w14:paraId="4ED08D05" w14:textId="25FB3857" w:rsidR="00610FED" w:rsidRPr="00514C80" w:rsidRDefault="00610FED" w:rsidP="00610FED">
      <w:r w:rsidRPr="00514C80">
        <w:t xml:space="preserve">Clause 6.8 </w:t>
      </w:r>
      <w:r w:rsidR="00765462" w:rsidRPr="00514C80">
        <w:t xml:space="preserve">and 6.9 </w:t>
      </w:r>
      <w:r w:rsidRPr="00514C80">
        <w:t>clarif</w:t>
      </w:r>
      <w:r w:rsidR="00765462" w:rsidRPr="00514C80">
        <w:t>y</w:t>
      </w:r>
      <w:r w:rsidRPr="00514C80">
        <w:t xml:space="preserve"> </w:t>
      </w:r>
      <w:r w:rsidR="00765462" w:rsidRPr="00514C80">
        <w:t xml:space="preserve">that </w:t>
      </w:r>
      <w:r w:rsidRPr="00514C80">
        <w:t xml:space="preserve">where Appendix A </w:t>
      </w:r>
      <w:r w:rsidR="00765462" w:rsidRPr="00514C80">
        <w:t xml:space="preserve">and Annex 3 of Appendix A </w:t>
      </w:r>
      <w:r w:rsidRPr="00514C80">
        <w:t xml:space="preserve">refer to “Technical Service”, it is to be substituted with “Approved Testing Facility”. </w:t>
      </w:r>
      <w:r w:rsidR="00532D71" w:rsidRPr="00514C80">
        <w:t>The purpose of th</w:t>
      </w:r>
      <w:r w:rsidR="00B16CF5">
        <w:t>ese</w:t>
      </w:r>
      <w:r w:rsidR="00532D71" w:rsidRPr="00514C80">
        <w:t xml:space="preserve"> clause</w:t>
      </w:r>
      <w:r w:rsidR="00B16CF5">
        <w:t>s</w:t>
      </w:r>
      <w:r w:rsidR="00532D71" w:rsidRPr="00514C80">
        <w:t xml:space="preserve"> is to replace language in Appendix A, which originally referred to the UN application process with language accurate to the Australian context.</w:t>
      </w:r>
    </w:p>
    <w:p w14:paraId="027E935E" w14:textId="7110DE58" w:rsidR="00610FED" w:rsidRPr="00514C80" w:rsidRDefault="00610FED" w:rsidP="00610FED">
      <w:r w:rsidRPr="00514C80">
        <w:t>Clause 6.10 clarifies where Annex 3 of Appendix A refers to “Type Approval Authority”, it is to be substituted with “</w:t>
      </w:r>
      <w:r w:rsidR="00390444" w:rsidRPr="00514C80">
        <w:t>Secretary</w:t>
      </w:r>
      <w:r w:rsidRPr="00514C80">
        <w:t xml:space="preserve">”. </w:t>
      </w:r>
      <w:r w:rsidR="00532D71" w:rsidRPr="00514C80">
        <w:t>The purpose of this clause is to replace language in Appendix A, which originally referred to the UN application process with language accurate to the Australian context.</w:t>
      </w:r>
    </w:p>
    <w:p w14:paraId="3607E800" w14:textId="53E03760" w:rsidR="00AA2EDF" w:rsidRPr="00514C80" w:rsidRDefault="00AA2EDF" w:rsidP="00AA2EDF">
      <w:r w:rsidRPr="00514C80">
        <w:t xml:space="preserve">Clause 6.12 </w:t>
      </w:r>
      <w:r w:rsidR="00A310A8" w:rsidRPr="00514C80">
        <w:t>e</w:t>
      </w:r>
      <w:r w:rsidR="00797677" w:rsidRPr="00514C80">
        <w:t>stablishes</w:t>
      </w:r>
      <w:r w:rsidRPr="00514C80">
        <w:t xml:space="preserve"> the requirement that </w:t>
      </w:r>
      <w:r w:rsidR="002918CC" w:rsidRPr="00514C80">
        <w:t xml:space="preserve">the vehicle manufacturer must retain the </w:t>
      </w:r>
      <w:r w:rsidRPr="00514C80">
        <w:t xml:space="preserve">documentation pertaining to the technical requirements referred to in paragraph </w:t>
      </w:r>
      <w:r w:rsidR="002918CC" w:rsidRPr="00514C80">
        <w:t xml:space="preserve">5.1.3 and Annex 3 of Appendix A, </w:t>
      </w:r>
      <w:r w:rsidRPr="00514C80">
        <w:t xml:space="preserve">for </w:t>
      </w:r>
      <w:r w:rsidR="00532D71" w:rsidRPr="00514C80">
        <w:t>a period specified by the approval</w:t>
      </w:r>
      <w:r w:rsidRPr="00514C80">
        <w:t xml:space="preserve">. This is so that the information </w:t>
      </w:r>
      <w:r w:rsidR="002918CC" w:rsidRPr="00514C80">
        <w:t>is available</w:t>
      </w:r>
      <w:r w:rsidRPr="00514C80">
        <w:t xml:space="preserve"> for a Type Approval and/or a Conformity of Production assessment. This </w:t>
      </w:r>
      <w:r w:rsidR="002918CC" w:rsidRPr="00514C80">
        <w:t xml:space="preserve">section reflects the </w:t>
      </w:r>
      <w:r w:rsidRPr="00514C80">
        <w:t>requireme</w:t>
      </w:r>
      <w:r w:rsidR="00797677" w:rsidRPr="00514C80">
        <w:t xml:space="preserve">nt </w:t>
      </w:r>
      <w:r w:rsidR="002918CC" w:rsidRPr="00514C80">
        <w:t xml:space="preserve">created by section </w:t>
      </w:r>
      <w:r w:rsidR="00532D71" w:rsidRPr="00514C80">
        <w:t>30</w:t>
      </w:r>
      <w:r w:rsidRPr="00514C80">
        <w:t xml:space="preserve"> </w:t>
      </w:r>
      <w:r w:rsidR="00797677" w:rsidRPr="00514C80">
        <w:t>of</w:t>
      </w:r>
      <w:r w:rsidRPr="00514C80">
        <w:t xml:space="preserve"> the Act. </w:t>
      </w:r>
    </w:p>
    <w:p w14:paraId="04224A58" w14:textId="77777777" w:rsidR="00610FED" w:rsidRPr="00514C80" w:rsidRDefault="00610FED" w:rsidP="00E15765">
      <w:pPr>
        <w:pStyle w:val="HeadingLevel2"/>
      </w:pPr>
      <w:bookmarkStart w:id="27" w:name="_Toc77772867"/>
      <w:r w:rsidRPr="00514C80">
        <w:t>Alternative Standards</w:t>
      </w:r>
      <w:bookmarkEnd w:id="27"/>
    </w:p>
    <w:p w14:paraId="6565DBDD" w14:textId="5A24F40B" w:rsidR="00797677" w:rsidRPr="00514C80" w:rsidRDefault="00797677" w:rsidP="00610FED">
      <w:r w:rsidRPr="00514C80">
        <w:t xml:space="preserve">Section 7 sets out standards which are considered to be equivalent </w:t>
      </w:r>
      <w:r w:rsidR="003E6EE5" w:rsidRPr="00514C80">
        <w:t>to</w:t>
      </w:r>
      <w:r w:rsidR="00F55A53" w:rsidRPr="00514C80">
        <w:t xml:space="preserve"> ADR</w:t>
      </w:r>
      <w:r w:rsidR="00A310A8" w:rsidRPr="00514C80">
        <w:t xml:space="preserve"> </w:t>
      </w:r>
      <w:r w:rsidR="003E6EE5" w:rsidRPr="00514C80">
        <w:t>98/00</w:t>
      </w:r>
      <w:r w:rsidR="00F55A53" w:rsidRPr="00514C80">
        <w:t>. If</w:t>
      </w:r>
      <w:r w:rsidRPr="00514C80">
        <w:t xml:space="preserve"> </w:t>
      </w:r>
      <w:r w:rsidR="00F55A53" w:rsidRPr="00514C80">
        <w:t xml:space="preserve">a </w:t>
      </w:r>
      <w:r w:rsidRPr="00514C80">
        <w:t xml:space="preserve">vehicle </w:t>
      </w:r>
      <w:r w:rsidR="00F55A53" w:rsidRPr="00514C80">
        <w:t xml:space="preserve">meets the requirements of one of these standards, it also complies with </w:t>
      </w:r>
      <w:r w:rsidRPr="00514C80">
        <w:t>ADR</w:t>
      </w:r>
      <w:r w:rsidR="00A2467A">
        <w:t> </w:t>
      </w:r>
      <w:r w:rsidRPr="00514C80">
        <w:t xml:space="preserve">98/00. </w:t>
      </w:r>
      <w:r w:rsidR="00F55A53" w:rsidRPr="00514C80">
        <w:t>These alternative standards are acceptable because they do not compromise the performance requirements set out in UN</w:t>
      </w:r>
      <w:r w:rsidR="00B44D3B">
        <w:t xml:space="preserve"> </w:t>
      </w:r>
      <w:r w:rsidR="00F55A53" w:rsidRPr="00514C80">
        <w:t xml:space="preserve">R152. Vehicle manufacturers have the flexibility to </w:t>
      </w:r>
      <w:r w:rsidR="000F5B27">
        <w:t>demonstrate</w:t>
      </w:r>
      <w:r w:rsidR="000F5B27" w:rsidRPr="00514C80">
        <w:t xml:space="preserve"> </w:t>
      </w:r>
      <w:r w:rsidR="00F55A53" w:rsidRPr="00514C80">
        <w:t xml:space="preserve">compliance to ADR 98/00 through </w:t>
      </w:r>
      <w:r w:rsidR="008276F3">
        <w:t>clause 5</w:t>
      </w:r>
      <w:r w:rsidR="004B7D5C">
        <w:t>.1 and Appendix A</w:t>
      </w:r>
      <w:r w:rsidR="008276F3">
        <w:t xml:space="preserve"> as varied by </w:t>
      </w:r>
      <w:r w:rsidR="00F55A53" w:rsidRPr="00514C80">
        <w:t>Section 6 Exemptions and Alternative Procedures</w:t>
      </w:r>
      <w:r w:rsidR="004B7D5C">
        <w:t>,</w:t>
      </w:r>
      <w:r w:rsidR="00F55A53" w:rsidRPr="00514C80">
        <w:t xml:space="preserve"> or through Section 7 Alternative Standards.</w:t>
      </w:r>
    </w:p>
    <w:p w14:paraId="677E9BA1" w14:textId="73F8A61F" w:rsidR="00690355" w:rsidRPr="00514C80" w:rsidRDefault="00690355" w:rsidP="00690355">
      <w:r w:rsidRPr="00514C80">
        <w:t xml:space="preserve">Clause 7.1 </w:t>
      </w:r>
      <w:r w:rsidR="002E7A66" w:rsidRPr="00514C80">
        <w:t>Identifies</w:t>
      </w:r>
      <w:r w:rsidRPr="00514C80">
        <w:t xml:space="preserve"> the United Nations Regulation No. 152 – UNIFORM PROVISIONS CONCERNING THE APPROVAL OF MOTOR VEHICLES WITH REGARD TO THE ADVANCED EMERGENCY BRAKING SYSTEMS (AEBS) FOR M</w:t>
      </w:r>
      <w:r w:rsidRPr="00FE769F">
        <w:rPr>
          <w:vertAlign w:val="subscript"/>
        </w:rPr>
        <w:t>1</w:t>
      </w:r>
      <w:r w:rsidRPr="00514C80">
        <w:t xml:space="preserve"> AND N</w:t>
      </w:r>
      <w:r w:rsidRPr="00FE769F">
        <w:rPr>
          <w:vertAlign w:val="subscript"/>
        </w:rPr>
        <w:t>1</w:t>
      </w:r>
      <w:r w:rsidR="00407F3B">
        <w:t xml:space="preserve"> VEHICLES, incorporating the 01</w:t>
      </w:r>
      <w:r w:rsidRPr="00514C80">
        <w:t xml:space="preserve"> series of amendments</w:t>
      </w:r>
      <w:r w:rsidR="002E7A66" w:rsidRPr="00514C80">
        <w:t>, as an acceptable alternate standard</w:t>
      </w:r>
      <w:r w:rsidRPr="00514C80">
        <w:t xml:space="preserve">. </w:t>
      </w:r>
      <w:r w:rsidR="002E7A66" w:rsidRPr="00514C80">
        <w:t>This standard is featured in Appendix A</w:t>
      </w:r>
      <w:r w:rsidR="00407F3B">
        <w:t xml:space="preserve"> of ADR 98/01</w:t>
      </w:r>
      <w:r w:rsidR="002E7A66" w:rsidRPr="00514C80">
        <w:t xml:space="preserve"> and makes up most of the tec</w:t>
      </w:r>
      <w:r w:rsidR="00407F3B">
        <w:t>hnical requirements of ADR 98/01</w:t>
      </w:r>
      <w:r w:rsidR="002E7A66" w:rsidRPr="00514C80">
        <w:t xml:space="preserve">. </w:t>
      </w:r>
      <w:r w:rsidRPr="00514C80">
        <w:t xml:space="preserve">It is the </w:t>
      </w:r>
      <w:r w:rsidR="00407F3B">
        <w:t xml:space="preserve">first series of amendments to the original </w:t>
      </w:r>
      <w:r w:rsidRPr="00514C80">
        <w:t>internationally agreed standard for AEBS regarding passenger vehicles and light goods vehicles and sets requirements for detecting vehicles in the forwards impact zone, making it particularly effective in light vehicle rear-end in-lane collisions.</w:t>
      </w:r>
    </w:p>
    <w:p w14:paraId="73F56300" w14:textId="2A9233D4" w:rsidR="00610FED" w:rsidRDefault="00610FED" w:rsidP="002D7454">
      <w:pPr>
        <w:keepLines/>
      </w:pPr>
      <w:r w:rsidRPr="00514C80">
        <w:lastRenderedPageBreak/>
        <w:t>Clause 7.1.1 clarifies that paragraphs 5.1.3, 6.10 and Annex 3 of the United Nations Regulati</w:t>
      </w:r>
      <w:r w:rsidR="00407F3B">
        <w:t>on No. 152, incorporating the 01</w:t>
      </w:r>
      <w:r w:rsidRPr="00514C80">
        <w:t xml:space="preserve"> series of amendments are applicable for the purposes of this national standard as they relate to technical requirements with respect to </w:t>
      </w:r>
      <w:r w:rsidR="00187A7D">
        <w:t>c</w:t>
      </w:r>
      <w:r w:rsidRPr="00514C80">
        <w:t>ar to car AEBS performance.</w:t>
      </w:r>
    </w:p>
    <w:p w14:paraId="6DBC10AA" w14:textId="66E7DCD8" w:rsidR="00291E7B" w:rsidRPr="00291E7B" w:rsidRDefault="00291E7B" w:rsidP="00291E7B">
      <w:pPr>
        <w:keepLines/>
      </w:pPr>
      <w:r>
        <w:t>Clause 7.2</w:t>
      </w:r>
      <w:r w:rsidRPr="00291E7B">
        <w:t xml:space="preserve"> Identifies the United Nations Regulation No. 152 – UNIFORM PROVISIONS CONCERNING THE APPROVAL OF MOTOR VEHICLES WITH REGARD TO THE ADVANCED EMERGENCY BRAKING SYSTEMS (AEBS) FOR M</w:t>
      </w:r>
      <w:r w:rsidRPr="00291E7B">
        <w:rPr>
          <w:vertAlign w:val="subscript"/>
        </w:rPr>
        <w:t>1</w:t>
      </w:r>
      <w:r w:rsidRPr="00291E7B">
        <w:t xml:space="preserve"> AND N</w:t>
      </w:r>
      <w:r w:rsidRPr="00291E7B">
        <w:rPr>
          <w:vertAlign w:val="subscript"/>
        </w:rPr>
        <w:t>1</w:t>
      </w:r>
      <w:r w:rsidRPr="00291E7B">
        <w:t xml:space="preserve"> VEHICLES, incorporating the 00 series of amendments, as an acceptable alternate standard. This standard is also featured in Appendix A </w:t>
      </w:r>
      <w:r w:rsidR="00407F3B">
        <w:t xml:space="preserve">of ADR 98/00 </w:t>
      </w:r>
      <w:r w:rsidRPr="00291E7B">
        <w:t xml:space="preserve">and makes up most of the technical requirements of ADR 98/00. It is the </w:t>
      </w:r>
      <w:r w:rsidR="00407F3B">
        <w:t xml:space="preserve">original </w:t>
      </w:r>
      <w:r w:rsidRPr="00291E7B">
        <w:t>internationally agreed standard for AEBS regarding passenger vehicles and light goods vehicles and sets requirements for detecting vehicles in the forwards impact zone, making it particularly effective in light vehicle rear-end in-lane collisions.</w:t>
      </w:r>
    </w:p>
    <w:p w14:paraId="443BE921" w14:textId="761B3E33" w:rsidR="00291E7B" w:rsidRPr="00514C80" w:rsidRDefault="00291E7B" w:rsidP="00291E7B">
      <w:pPr>
        <w:keepLines/>
      </w:pPr>
      <w:r>
        <w:t>Clause 7.2</w:t>
      </w:r>
      <w:r w:rsidRPr="00291E7B">
        <w:t>.1 clarifies that paragraphs 5.1.3, 6.10 and Annex 3 of the United Nations Regulation No. 152, incorporating the 00 series of amendments are applicable for the purposes of this national standard as they relate to technical requirements with respect to car to car AEBS performance.</w:t>
      </w:r>
    </w:p>
    <w:p w14:paraId="27E3F76E" w14:textId="2BDDA0B8" w:rsidR="00BA4F48" w:rsidRPr="00514C80" w:rsidRDefault="00610FED" w:rsidP="00E15765">
      <w:pPr>
        <w:pStyle w:val="HeadingLevel1"/>
      </w:pPr>
      <w:bookmarkStart w:id="28" w:name="_Toc504999786"/>
      <w:bookmarkStart w:id="29" w:name="_Toc504999787"/>
      <w:bookmarkStart w:id="30" w:name="_Toc504999788"/>
      <w:bookmarkStart w:id="31" w:name="_Toc77772868"/>
      <w:bookmarkEnd w:id="26"/>
      <w:bookmarkEnd w:id="28"/>
      <w:bookmarkEnd w:id="29"/>
      <w:bookmarkEnd w:id="30"/>
      <w:r w:rsidRPr="00514C80">
        <w:t>MATTERS INCORPORATED BY REFERENCE</w:t>
      </w:r>
      <w:bookmarkEnd w:id="31"/>
    </w:p>
    <w:p w14:paraId="6F97F752" w14:textId="24B0819E" w:rsidR="00BA4F48" w:rsidRPr="00514C80" w:rsidRDefault="000A5A8B" w:rsidP="00E15765">
      <w:pPr>
        <w:pStyle w:val="HeadingLevel2"/>
      </w:pPr>
      <w:bookmarkStart w:id="32" w:name="_Toc77772869"/>
      <w:r w:rsidRPr="00514C80">
        <w:t xml:space="preserve">Other </w:t>
      </w:r>
      <w:r w:rsidR="00610FED" w:rsidRPr="00514C80">
        <w:t>Legislative Instruments</w:t>
      </w:r>
      <w:bookmarkEnd w:id="32"/>
    </w:p>
    <w:p w14:paraId="33F8061E" w14:textId="77777777" w:rsidR="00610FED" w:rsidRPr="00514C80" w:rsidRDefault="00610FED" w:rsidP="00610FED">
      <w:r w:rsidRPr="00514C80">
        <w:t>Clause 4.1.1 of ADR 98/00 includes a reference to the Vehicle Standard (Australian Design Rule Definitions and Vehicle Categories) 2005 (which may also be cited as the Australian Design Rule – Definitions and Vehicle Categories). This sets out definitions for many terms used in the ADRs, including the vehicle categories used in ADR applicability tables.</w:t>
      </w:r>
    </w:p>
    <w:p w14:paraId="4D0F7428" w14:textId="73C90B31" w:rsidR="00610FED" w:rsidRPr="00514C80" w:rsidRDefault="00610FED" w:rsidP="00610FED">
      <w:r w:rsidRPr="00514C80">
        <w:t>Clause</w:t>
      </w:r>
      <w:r w:rsidR="005A0F2A" w:rsidRPr="00514C80">
        <w:t>s</w:t>
      </w:r>
      <w:r w:rsidRPr="00514C80">
        <w:t xml:space="preserve"> 6.4 </w:t>
      </w:r>
      <w:r w:rsidR="005A0F2A" w:rsidRPr="00514C80">
        <w:t xml:space="preserve">and 6.5 </w:t>
      </w:r>
      <w:r w:rsidRPr="00514C80">
        <w:t xml:space="preserve">of ADR 98/00 </w:t>
      </w:r>
      <w:r w:rsidR="005A0F2A" w:rsidRPr="00514C80">
        <w:t xml:space="preserve">each </w:t>
      </w:r>
      <w:r w:rsidRPr="00514C80">
        <w:t>include a reference to the Australian Design Rule 31/…</w:t>
      </w:r>
      <w:r w:rsidR="005A0F2A" w:rsidRPr="00514C80">
        <w:t xml:space="preserve"> – Brake Systems for Passenger Cars</w:t>
      </w:r>
      <w:r w:rsidRPr="00514C80">
        <w:t xml:space="preserve">, which </w:t>
      </w:r>
      <w:r w:rsidR="005A0F2A" w:rsidRPr="00514C80">
        <w:t>prescribes</w:t>
      </w:r>
      <w:r w:rsidRPr="00514C80">
        <w:t xml:space="preserve"> braking </w:t>
      </w:r>
      <w:r w:rsidR="005A0F2A" w:rsidRPr="00514C80">
        <w:t xml:space="preserve">system </w:t>
      </w:r>
      <w:r w:rsidRPr="00514C80">
        <w:t xml:space="preserve">requirements for passenger vehicles </w:t>
      </w:r>
      <w:r w:rsidR="005A0F2A" w:rsidRPr="00514C80">
        <w:t xml:space="preserve">(other than omnibuses) </w:t>
      </w:r>
      <w:r w:rsidRPr="00514C80">
        <w:t xml:space="preserve">and light goods vehicles to ensure safe braking under normal, </w:t>
      </w:r>
      <w:r w:rsidR="005A0F2A" w:rsidRPr="00514C80">
        <w:t xml:space="preserve">and </w:t>
      </w:r>
      <w:r w:rsidRPr="00514C80">
        <w:t>emergency conditions.</w:t>
      </w:r>
    </w:p>
    <w:p w14:paraId="64E7F267" w14:textId="76588808" w:rsidR="00610FED" w:rsidRPr="00514C80" w:rsidRDefault="00610FED" w:rsidP="00610FED">
      <w:r w:rsidRPr="00514C80">
        <w:t xml:space="preserve">Clause 6.5 of ADR 98/00 also includes a reference to the </w:t>
      </w:r>
      <w:r w:rsidR="005A0F2A" w:rsidRPr="00514C80">
        <w:t>Australian Design Rule</w:t>
      </w:r>
      <w:r w:rsidRPr="00514C80">
        <w:t xml:space="preserve"> 35/…</w:t>
      </w:r>
      <w:r w:rsidR="005A0F2A" w:rsidRPr="00514C80">
        <w:t xml:space="preserve"> – Commercial Vehicle Brake Systems</w:t>
      </w:r>
      <w:r w:rsidRPr="00514C80">
        <w:t xml:space="preserve">, which </w:t>
      </w:r>
      <w:r w:rsidR="005A0F2A" w:rsidRPr="00514C80">
        <w:t>prescribes</w:t>
      </w:r>
      <w:r w:rsidRPr="00514C80">
        <w:rPr>
          <w:lang w:val="en"/>
        </w:rPr>
        <w:t xml:space="preserve"> </w:t>
      </w:r>
      <w:r w:rsidRPr="00514C80">
        <w:t xml:space="preserve">braking requirements </w:t>
      </w:r>
      <w:r w:rsidR="005A0F2A" w:rsidRPr="00514C80">
        <w:t xml:space="preserve">for </w:t>
      </w:r>
      <w:r w:rsidRPr="00514C80">
        <w:t>commercial vehicles</w:t>
      </w:r>
      <w:r w:rsidR="005A0F2A" w:rsidRPr="00514C80">
        <w:t xml:space="preserve"> and</w:t>
      </w:r>
      <w:r w:rsidRPr="00514C80">
        <w:t xml:space="preserve"> large passenger vehicles to ensure safe braking under normal</w:t>
      </w:r>
      <w:r w:rsidR="005A0F2A" w:rsidRPr="00514C80">
        <w:t xml:space="preserve"> and</w:t>
      </w:r>
      <w:r w:rsidRPr="00514C80">
        <w:t xml:space="preserve"> emergency conditions.</w:t>
      </w:r>
    </w:p>
    <w:p w14:paraId="314B4B63" w14:textId="109016A4" w:rsidR="00610FED" w:rsidRPr="00514C80" w:rsidRDefault="00610FED" w:rsidP="00610FED">
      <w:r w:rsidRPr="00514C80">
        <w:t xml:space="preserve">The ADRs may be freely accessed online through the Federal Register of Legislation.  The website is </w:t>
      </w:r>
      <w:r w:rsidRPr="00514C80">
        <w:rPr>
          <w:u w:val="single"/>
        </w:rPr>
        <w:t>www.legislation.gov.au</w:t>
      </w:r>
      <w:r w:rsidRPr="00514C80">
        <w:t>.</w:t>
      </w:r>
    </w:p>
    <w:p w14:paraId="3097D302" w14:textId="790836F1" w:rsidR="00610FED" w:rsidRDefault="00610FED" w:rsidP="00610FED">
      <w:r w:rsidRPr="00514C80">
        <w:t>In accordance with subsection 12 of the Act</w:t>
      </w:r>
      <w:r w:rsidR="004C2A7B" w:rsidRPr="00514C80">
        <w:t>,</w:t>
      </w:r>
      <w:r w:rsidRPr="00514C80">
        <w:t xml:space="preserve"> </w:t>
      </w:r>
      <w:r w:rsidR="004C2A7B" w:rsidRPr="00514C80">
        <w:t xml:space="preserve">each of </w:t>
      </w:r>
      <w:r w:rsidRPr="00514C80">
        <w:t>the</w:t>
      </w:r>
      <w:r w:rsidR="004C2A7B" w:rsidRPr="00514C80">
        <w:t>se</w:t>
      </w:r>
      <w:r w:rsidRPr="00514C80">
        <w:t xml:space="preserve"> ADRs are incorporated as in force or existing from time to time.  </w:t>
      </w:r>
      <w:r w:rsidR="00B900B5" w:rsidRPr="00514C80">
        <w:t>T</w:t>
      </w:r>
      <w:r w:rsidRPr="00514C80">
        <w:t>he ellipses (…) indicates the version(s) (e.g.</w:t>
      </w:r>
      <w:r w:rsidR="00B900B5" w:rsidRPr="00514C80">
        <w:t> </w:t>
      </w:r>
      <w:r w:rsidRPr="00514C80">
        <w:t>00, 01 etc.) of the ADR in force at the time.</w:t>
      </w:r>
    </w:p>
    <w:p w14:paraId="4B30A1AD" w14:textId="36167D19" w:rsidR="00307AA5" w:rsidRDefault="00307AA5" w:rsidP="00610FED"/>
    <w:p w14:paraId="17C9F0EA" w14:textId="2D53EF94" w:rsidR="00307AA5" w:rsidRDefault="00307AA5" w:rsidP="00610FED"/>
    <w:p w14:paraId="081AC627" w14:textId="77777777" w:rsidR="00307AA5" w:rsidRPr="00514C80" w:rsidRDefault="00307AA5" w:rsidP="00610FED"/>
    <w:p w14:paraId="4B86B67D" w14:textId="77777777" w:rsidR="00610FED" w:rsidRPr="00514C80" w:rsidRDefault="00610FED" w:rsidP="0095717C">
      <w:pPr>
        <w:pStyle w:val="HeadingLevel2"/>
      </w:pPr>
      <w:bookmarkStart w:id="33" w:name="_Toc74044073"/>
      <w:bookmarkStart w:id="34" w:name="_Toc74044722"/>
      <w:bookmarkStart w:id="35" w:name="_Toc77772870"/>
      <w:r w:rsidRPr="00514C80">
        <w:lastRenderedPageBreak/>
        <w:t>Other Documents</w:t>
      </w:r>
      <w:bookmarkEnd w:id="33"/>
      <w:bookmarkEnd w:id="34"/>
      <w:bookmarkEnd w:id="35"/>
    </w:p>
    <w:p w14:paraId="06AF4988" w14:textId="55FE5EA6" w:rsidR="00610FED" w:rsidRPr="00514C80" w:rsidRDefault="00610FED" w:rsidP="0095717C">
      <w:pPr>
        <w:pStyle w:val="Heading3"/>
      </w:pPr>
      <w:r w:rsidRPr="00514C80">
        <w:t>American Society for Testing and Materials</w:t>
      </w:r>
    </w:p>
    <w:p w14:paraId="7F59DD24" w14:textId="49BD330D" w:rsidR="00610FED" w:rsidRPr="00514C80" w:rsidRDefault="00610FED" w:rsidP="00610FED">
      <w:r w:rsidRPr="00514C80">
        <w:t xml:space="preserve">Paragraph 6.1.1.2 of </w:t>
      </w:r>
      <w:r w:rsidR="002172AC" w:rsidRPr="00514C80">
        <w:t>Appendix A</w:t>
      </w:r>
      <w:r w:rsidRPr="00514C80">
        <w:t xml:space="preserve"> </w:t>
      </w:r>
      <w:r w:rsidR="002172AC" w:rsidRPr="00514C80">
        <w:t xml:space="preserve">includes </w:t>
      </w:r>
      <w:r w:rsidRPr="00514C80">
        <w:t xml:space="preserve">references </w:t>
      </w:r>
      <w:r w:rsidR="002172AC" w:rsidRPr="00514C80">
        <w:t xml:space="preserve">to </w:t>
      </w:r>
      <w:r w:rsidRPr="00514C80">
        <w:t xml:space="preserve">the </w:t>
      </w:r>
      <w:r w:rsidR="002172AC" w:rsidRPr="00514C80">
        <w:t>American Society for Testing and Materials (</w:t>
      </w:r>
      <w:r w:rsidRPr="00514C80">
        <w:t>ASTM</w:t>
      </w:r>
      <w:r w:rsidR="002172AC" w:rsidRPr="00514C80">
        <w:t>)</w:t>
      </w:r>
      <w:r w:rsidRPr="00514C80">
        <w:t xml:space="preserve"> </w:t>
      </w:r>
      <w:r w:rsidR="002172AC" w:rsidRPr="00514C80">
        <w:t xml:space="preserve">E1136 </w:t>
      </w:r>
      <w:r w:rsidR="0024440F" w:rsidRPr="00514C80">
        <w:t xml:space="preserve">and </w:t>
      </w:r>
      <w:r w:rsidRPr="00514C80">
        <w:t xml:space="preserve">ASTM </w:t>
      </w:r>
      <w:r w:rsidR="00277209" w:rsidRPr="00514C80">
        <w:t>Method E1337-90</w:t>
      </w:r>
      <w:r w:rsidRPr="00514C80">
        <w:t xml:space="preserve">. These standards specify </w:t>
      </w:r>
      <w:r w:rsidR="00A9150F" w:rsidRPr="00514C80">
        <w:t xml:space="preserve">a standard reference test tyre, and </w:t>
      </w:r>
      <w:r w:rsidRPr="00514C80">
        <w:t>a method for determining the peak braking coefficient of road test surfaces, respectively.</w:t>
      </w:r>
    </w:p>
    <w:p w14:paraId="3585A0DF" w14:textId="753B11EC" w:rsidR="00610FED" w:rsidRPr="00514C80" w:rsidRDefault="00610FED" w:rsidP="00610FED">
      <w:r w:rsidRPr="00514C80">
        <w:t>ASTM E1136 and ASTM E1337</w:t>
      </w:r>
      <w:r w:rsidRPr="00514C80">
        <w:noBreakHyphen/>
        <w:t>90 may be freely accessed online through the ASTM International Reading Room.</w:t>
      </w:r>
      <w:r w:rsidR="00A9150F" w:rsidRPr="00514C80">
        <w:t xml:space="preserve"> </w:t>
      </w:r>
      <w:r w:rsidRPr="00514C80">
        <w:t xml:space="preserve"> This requires the user to register using an email and password.</w:t>
      </w:r>
      <w:r w:rsidR="00A9150F" w:rsidRPr="00514C80">
        <w:t xml:space="preserve"> </w:t>
      </w:r>
      <w:r w:rsidRPr="00514C80">
        <w:t xml:space="preserve"> The ASTM Intern</w:t>
      </w:r>
      <w:r w:rsidR="001C2946" w:rsidRPr="00514C80">
        <w:t xml:space="preserve">ational Reading Room website is </w:t>
      </w:r>
      <w:hyperlink r:id="rId13" w:history="1">
        <w:r w:rsidRPr="00514C80">
          <w:rPr>
            <w:rStyle w:val="Hyperlink"/>
            <w:bCs/>
          </w:rPr>
          <w:t>www.astm.org/readinglibrary/</w:t>
        </w:r>
      </w:hyperlink>
      <w:r w:rsidRPr="00514C80">
        <w:t>.</w:t>
      </w:r>
    </w:p>
    <w:p w14:paraId="2FCDBBB3" w14:textId="77777777" w:rsidR="00AD435B" w:rsidRDefault="008735E6" w:rsidP="00AD435B">
      <w:pPr>
        <w:rPr>
          <w:b/>
          <w:caps/>
        </w:rPr>
      </w:pPr>
      <w:r w:rsidRPr="00514C80">
        <w:t xml:space="preserve">In accordance with subsections 14(1)(b) and 14(2) of the </w:t>
      </w:r>
      <w:r w:rsidRPr="00514C80">
        <w:rPr>
          <w:i/>
        </w:rPr>
        <w:t>Legislation Act 2003</w:t>
      </w:r>
      <w:r w:rsidRPr="00514C80">
        <w:t xml:space="preserve">, each of these </w:t>
      </w:r>
      <w:r w:rsidR="000F1192" w:rsidRPr="00514C80">
        <w:t>ASTM standards</w:t>
      </w:r>
      <w:r w:rsidRPr="00514C80">
        <w:t xml:space="preserve"> are incorporated as in force on the date this national road vehicle standard is made.</w:t>
      </w:r>
    </w:p>
    <w:p w14:paraId="7A31B186" w14:textId="230B1715" w:rsidR="0033629A" w:rsidRPr="00514C80" w:rsidRDefault="0033629A" w:rsidP="00AD435B">
      <w:pPr>
        <w:pStyle w:val="Heading3"/>
      </w:pPr>
      <w:r w:rsidRPr="00514C80">
        <w:t>International Organization for Standardization</w:t>
      </w:r>
    </w:p>
    <w:p w14:paraId="353B1DE1" w14:textId="39F78BB9" w:rsidR="000F36B1" w:rsidRPr="00514C80" w:rsidRDefault="006152E5" w:rsidP="0033629A">
      <w:r w:rsidRPr="00514C80">
        <w:t xml:space="preserve">Paragraph 6.3.1 of Appendix A includes a reference to </w:t>
      </w:r>
      <w:r w:rsidR="0098616B" w:rsidRPr="00514C80">
        <w:t>ISO</w:t>
      </w:r>
      <w:r w:rsidR="001E3FA7" w:rsidRPr="00514C80">
        <w:t xml:space="preserve"> 19206-1:2018. This standard specifies detection requirements </w:t>
      </w:r>
      <w:r w:rsidR="000F36B1" w:rsidRPr="00514C80">
        <w:t>for</w:t>
      </w:r>
      <w:r w:rsidR="001E3FA7" w:rsidRPr="00514C80">
        <w:t xml:space="preserve"> a vehicle </w:t>
      </w:r>
      <w:r w:rsidR="000F36B1" w:rsidRPr="00514C80">
        <w:t xml:space="preserve">rear-end </w:t>
      </w:r>
      <w:r w:rsidR="001E3FA7" w:rsidRPr="00514C80">
        <w:t xml:space="preserve">target to represent a passenger vehicle in terms of size, shape, reflection properties, </w:t>
      </w:r>
      <w:r w:rsidR="000F36B1" w:rsidRPr="00514C80">
        <w:t>to assess the system detection and activation performance of vehicle active safety systems, including AEBS</w:t>
      </w:r>
      <w:r w:rsidR="001E3FA7" w:rsidRPr="00514C80">
        <w:t>.</w:t>
      </w:r>
    </w:p>
    <w:p w14:paraId="25C1E3F7" w14:textId="5BE79D4B" w:rsidR="000F36B1" w:rsidRPr="00514C80" w:rsidRDefault="000F36B1" w:rsidP="000F36B1">
      <w:r w:rsidRPr="00514C80">
        <w:t>Paragraph 6.3.2 of Appendix A includes a reference to ISO 19206-2:2018</w:t>
      </w:r>
      <w:r w:rsidR="0098616B" w:rsidRPr="00514C80">
        <w:t xml:space="preserve"> (note: Paragraph 6.3.2 is not applicable for the purposes of ADR 98/00</w:t>
      </w:r>
      <w:r w:rsidR="00A00F59" w:rsidRPr="00514C80">
        <w:t xml:space="preserve"> – refer clause 6.7</w:t>
      </w:r>
      <w:r w:rsidR="0098616B" w:rsidRPr="00514C80">
        <w:t>)</w:t>
      </w:r>
      <w:r w:rsidRPr="00514C80">
        <w:t>. This standard specifies detection requirements for pedestrian targets that represent an adult or a child in terms of size, shape, reflection properties, to assess the system detection and activation performance of vehicle active safety systems, including AEBS.</w:t>
      </w:r>
    </w:p>
    <w:p w14:paraId="35BBAAF2" w14:textId="77777777" w:rsidR="00EA1C6D" w:rsidRDefault="0098616B" w:rsidP="000F36B1">
      <w:r w:rsidRPr="00514C80">
        <w:t>ISO 19206-1:2018 and ISO 19206-2:2018</w:t>
      </w:r>
      <w:r w:rsidR="000F36B1" w:rsidRPr="00514C80">
        <w:t xml:space="preserve"> are available for purchase only from </w:t>
      </w:r>
      <w:r w:rsidRPr="00514C80">
        <w:t xml:space="preserve">the International Organization for Standardization (ISO) </w:t>
      </w:r>
      <w:r w:rsidR="000F36B1" w:rsidRPr="00514C80">
        <w:t>and various associated national standards bodies. While not freely available, these ISO standards are all readily accessible and widely used</w:t>
      </w:r>
      <w:r w:rsidRPr="00514C80">
        <w:t xml:space="preserve"> by vehicle manufacturers and test facilities as part of their professional libraries. </w:t>
      </w:r>
    </w:p>
    <w:p w14:paraId="0D016E62" w14:textId="1E6AB29C" w:rsidR="00B462C5" w:rsidRDefault="00B462C5" w:rsidP="00B462C5">
      <w:r w:rsidRPr="00514C80">
        <w:t xml:space="preserve">In accordance with subsections 14(1)(b) and 14(2) of the </w:t>
      </w:r>
      <w:r w:rsidRPr="00514C80">
        <w:rPr>
          <w:i/>
        </w:rPr>
        <w:t>Legislation Act 2003</w:t>
      </w:r>
      <w:r w:rsidRPr="00514C80">
        <w:t xml:space="preserve">, each of these </w:t>
      </w:r>
      <w:r w:rsidR="000F1192" w:rsidRPr="00514C80">
        <w:t>ISO standards</w:t>
      </w:r>
      <w:r w:rsidRPr="00514C80">
        <w:t xml:space="preserve"> are incorporated as in force on the date this national road vehicle standard is made.</w:t>
      </w:r>
    </w:p>
    <w:p w14:paraId="2E22C0BC" w14:textId="77777777" w:rsidR="00507DEA" w:rsidRPr="00514C80" w:rsidRDefault="00507DEA" w:rsidP="00507DEA">
      <w:r>
        <w:t xml:space="preserve">Clause 11 of the Act allows the Minister to incorporate a broad range of documents, both as in force at a particular time and as in force from time to time, when making national vehicle standards. This ensures that Australia’s legislative framework is well-prepared for future developments in the international road vehicle space. </w:t>
      </w:r>
    </w:p>
    <w:p w14:paraId="7E52CF01" w14:textId="23C1CF13" w:rsidR="00FF7AD6" w:rsidRDefault="00FF7AD6" w:rsidP="00B462C5">
      <w:pPr>
        <w:rPr>
          <w:b/>
          <w:caps/>
        </w:rPr>
      </w:pPr>
    </w:p>
    <w:p w14:paraId="5D31CEE3" w14:textId="4C41BF63" w:rsidR="00FF7AD6" w:rsidRDefault="00FF7AD6" w:rsidP="00B462C5">
      <w:pPr>
        <w:rPr>
          <w:b/>
          <w:caps/>
        </w:rPr>
      </w:pPr>
    </w:p>
    <w:p w14:paraId="11580B8A" w14:textId="4A050944" w:rsidR="00FF7AD6" w:rsidRDefault="00FF7AD6" w:rsidP="00B462C5">
      <w:pPr>
        <w:rPr>
          <w:b/>
          <w:caps/>
        </w:rPr>
      </w:pPr>
    </w:p>
    <w:p w14:paraId="3E4159E2" w14:textId="77777777" w:rsidR="00FF7AD6" w:rsidRPr="00514C80" w:rsidRDefault="00FF7AD6" w:rsidP="00B462C5">
      <w:pPr>
        <w:rPr>
          <w:b/>
          <w:caps/>
        </w:rPr>
      </w:pPr>
    </w:p>
    <w:p w14:paraId="61F180FA" w14:textId="42456A5D" w:rsidR="00610FED" w:rsidRPr="00514C80" w:rsidRDefault="00610FED" w:rsidP="0095717C">
      <w:pPr>
        <w:pStyle w:val="Heading3"/>
      </w:pPr>
      <w:r w:rsidRPr="00514C80">
        <w:lastRenderedPageBreak/>
        <w:t>United Nations Regulations</w:t>
      </w:r>
      <w:r w:rsidR="005B6759" w:rsidRPr="00514C80">
        <w:t xml:space="preserve"> and/or Resolutions</w:t>
      </w:r>
    </w:p>
    <w:p w14:paraId="0ACE5402" w14:textId="5052CD92" w:rsidR="00B86670" w:rsidRDefault="00B86670" w:rsidP="00610FED">
      <w:r w:rsidRPr="00B86670">
        <w:t xml:space="preserve">Clause 7.1 includes a reference to the </w:t>
      </w:r>
      <w:r>
        <w:t xml:space="preserve">01 series of </w:t>
      </w:r>
      <w:r w:rsidRPr="00B86670">
        <w:t>UN Regulation No. 152 – UNIFORM PROVISIONS CONCERNING THE APPROVAL OF MOTOR VEHICLES WITH REGARD TO THE ADVANCED EMERGENCY BRAKING SYSTEMS (AEBS) FOR M</w:t>
      </w:r>
      <w:r w:rsidRPr="00B86670">
        <w:rPr>
          <w:vertAlign w:val="subscript"/>
        </w:rPr>
        <w:t>1</w:t>
      </w:r>
      <w:r w:rsidRPr="00B86670">
        <w:t xml:space="preserve"> AND N</w:t>
      </w:r>
      <w:r w:rsidRPr="00B86670">
        <w:rPr>
          <w:vertAlign w:val="subscript"/>
        </w:rPr>
        <w:t>1</w:t>
      </w:r>
      <w:r w:rsidRPr="00B86670">
        <w:t xml:space="preserve"> VEHICLES (R152). This is an international standard for AEBS fitted to passenger vehicles (other than omnibuses) and light goods vehicles.</w:t>
      </w:r>
    </w:p>
    <w:p w14:paraId="7E66177A" w14:textId="0FCA5E26" w:rsidR="003E1D23" w:rsidRPr="00514C80" w:rsidRDefault="003E1D23" w:rsidP="00610FED">
      <w:r w:rsidRPr="00514C80">
        <w:t>C</w:t>
      </w:r>
      <w:r w:rsidR="00B86670">
        <w:t>lause 7.2</w:t>
      </w:r>
      <w:r w:rsidRPr="00514C80">
        <w:t xml:space="preserve"> includes a reference to the</w:t>
      </w:r>
      <w:r w:rsidR="00B86670">
        <w:t xml:space="preserve"> 00 series of</w:t>
      </w:r>
      <w:r w:rsidRPr="00514C80">
        <w:t xml:space="preserve"> UN Regulation No. 152 – UNIFORM PROVISIONS CONCERNING THE APPROVAL OF MOTOR VEHICLES WITH REGARD TO THE ADVANCED EMERGENCY BRAKING SYSTEMS (AEBS) FOR M</w:t>
      </w:r>
      <w:r w:rsidRPr="00514C80">
        <w:rPr>
          <w:vertAlign w:val="subscript"/>
        </w:rPr>
        <w:t>1</w:t>
      </w:r>
      <w:r w:rsidRPr="00514C80">
        <w:t xml:space="preserve"> AND N</w:t>
      </w:r>
      <w:r w:rsidRPr="00514C80">
        <w:rPr>
          <w:vertAlign w:val="subscript"/>
        </w:rPr>
        <w:t>1</w:t>
      </w:r>
      <w:r w:rsidRPr="00514C80">
        <w:t xml:space="preserve"> VEHICLES (R152). This is an international standard for AEBS fitted to passenger vehicles (other than omnibuses) and light goods vehicles.</w:t>
      </w:r>
    </w:p>
    <w:p w14:paraId="769F4179" w14:textId="3EE8A40F" w:rsidR="0036300A" w:rsidRPr="00514C80" w:rsidRDefault="0036300A" w:rsidP="00610FED">
      <w:r w:rsidRPr="00514C80">
        <w:t xml:space="preserve">Paragraph 1 of Appendix A includes a reference to the Consolidated Resolution on the Construction of Vehicles (R.E.3.), document ECE/TRANS/WP.29/78/Rev.6. </w:t>
      </w:r>
      <w:r w:rsidR="00477560" w:rsidRPr="00514C80">
        <w:t>This includes definitions for the UN vehicle category classifications used in Appendix A and the alternative standard under clause 7 of ADR 98/00.</w:t>
      </w:r>
    </w:p>
    <w:p w14:paraId="4A8822D1" w14:textId="6F39E397" w:rsidR="004A369F" w:rsidRPr="00514C80" w:rsidRDefault="004A369F" w:rsidP="00610FED">
      <w:r w:rsidRPr="00514C80">
        <w:t>Paragraph 5.1.2 of Appendix A</w:t>
      </w:r>
      <w:r w:rsidR="005D5CDE" w:rsidRPr="00514C80">
        <w:t xml:space="preserve"> </w:t>
      </w:r>
      <w:r w:rsidRPr="00514C80">
        <w:t>inc</w:t>
      </w:r>
      <w:r w:rsidR="008735E6" w:rsidRPr="00514C80">
        <w:t>ludes</w:t>
      </w:r>
      <w:r w:rsidRPr="00514C80">
        <w:t xml:space="preserve"> a reference to the U</w:t>
      </w:r>
      <w:r w:rsidR="00373852" w:rsidRPr="00514C80">
        <w:t>N</w:t>
      </w:r>
      <w:r w:rsidRPr="00514C80">
        <w:t xml:space="preserve"> Regulation No. 10</w:t>
      </w:r>
      <w:r w:rsidR="0036182A" w:rsidRPr="00514C80">
        <w:t xml:space="preserve"> (R10)</w:t>
      </w:r>
      <w:r w:rsidR="003C14FD" w:rsidRPr="00514C80">
        <w:t>.</w:t>
      </w:r>
      <w:r w:rsidR="00B54024" w:rsidRPr="00514C80">
        <w:t xml:space="preserve"> This is an international standard for electromagnetic compatibility for vehicles and vehicle components.</w:t>
      </w:r>
    </w:p>
    <w:p w14:paraId="08EDCEB7" w14:textId="620D7E44" w:rsidR="00610FED" w:rsidRPr="00514C80" w:rsidRDefault="00610FED" w:rsidP="00610FED">
      <w:r w:rsidRPr="00514C80">
        <w:t xml:space="preserve">Paragraph </w:t>
      </w:r>
      <w:r w:rsidR="00296D1C" w:rsidRPr="00514C80">
        <w:t xml:space="preserve">5.1.7 </w:t>
      </w:r>
      <w:r w:rsidRPr="00514C80">
        <w:t>of Appendix A inc</w:t>
      </w:r>
      <w:r w:rsidR="008735E6" w:rsidRPr="00514C80">
        <w:t>lud</w:t>
      </w:r>
      <w:r w:rsidRPr="00514C80">
        <w:t>es reference</w:t>
      </w:r>
      <w:r w:rsidR="003C14FD" w:rsidRPr="00514C80">
        <w:t>s</w:t>
      </w:r>
      <w:r w:rsidRPr="00514C80">
        <w:t xml:space="preserve"> to UN Regulation</w:t>
      </w:r>
      <w:r w:rsidR="003C14FD" w:rsidRPr="00514C80">
        <w:t>s</w:t>
      </w:r>
      <w:r w:rsidRPr="00514C80">
        <w:t xml:space="preserve"> No. </w:t>
      </w:r>
      <w:r w:rsidR="003C14FD" w:rsidRPr="00514C80">
        <w:t xml:space="preserve">13 (R13) and </w:t>
      </w:r>
      <w:r w:rsidRPr="00514C80">
        <w:t>13-H (R13-H).</w:t>
      </w:r>
      <w:r w:rsidR="00296D1C" w:rsidRPr="00514C80">
        <w:t xml:space="preserve"> Further, paragraph 6.1.1.3 of Appendix A also includes a reference to UN R13-H.</w:t>
      </w:r>
      <w:r w:rsidRPr="00514C80">
        <w:t xml:space="preserve"> Th</w:t>
      </w:r>
      <w:r w:rsidR="00296D1C" w:rsidRPr="00514C80">
        <w:t>ese are</w:t>
      </w:r>
      <w:r w:rsidRPr="00514C80">
        <w:t xml:space="preserve"> international standard</w:t>
      </w:r>
      <w:r w:rsidR="00296D1C" w:rsidRPr="00514C80">
        <w:t>s</w:t>
      </w:r>
      <w:r w:rsidRPr="00514C80">
        <w:t xml:space="preserve"> for road vehicle braking systems.</w:t>
      </w:r>
    </w:p>
    <w:p w14:paraId="4C13B121" w14:textId="3E115098" w:rsidR="008735E6" w:rsidRPr="00514C80" w:rsidRDefault="008735E6" w:rsidP="00610FED">
      <w:r w:rsidRPr="00514C80">
        <w:t xml:space="preserve">Paragraph 5.4.1.3 of Appendix A includes a reference to UN Regulation No. 121 (R121). This is an international standard for the identification of vehicle controls, </w:t>
      </w:r>
      <w:r w:rsidR="00C77AE1" w:rsidRPr="00514C80">
        <w:br/>
      </w:r>
      <w:r w:rsidRPr="00514C80">
        <w:t>tell-tales and indicators.</w:t>
      </w:r>
    </w:p>
    <w:p w14:paraId="261FF86E" w14:textId="762B780D" w:rsidR="00610FED" w:rsidRPr="00514C80" w:rsidRDefault="00610FED" w:rsidP="00610FED">
      <w:r w:rsidRPr="00514C80">
        <w:t xml:space="preserve">The </w:t>
      </w:r>
      <w:r w:rsidR="00B512EE" w:rsidRPr="00514C80">
        <w:t xml:space="preserve">Consolidated Resolution on the Construction of Vehicles (R.E.3.), document ECE/TRANS/WP.29/78/Rev.6, and the </w:t>
      </w:r>
      <w:r w:rsidRPr="00514C80">
        <w:t xml:space="preserve">UN Regulations (including </w:t>
      </w:r>
      <w:r w:rsidR="003C14FD" w:rsidRPr="00514C80">
        <w:t xml:space="preserve">R10, </w:t>
      </w:r>
      <w:r w:rsidRPr="00514C80">
        <w:t>R13</w:t>
      </w:r>
      <w:r w:rsidR="003C14FD" w:rsidRPr="00514C80">
        <w:t xml:space="preserve">, </w:t>
      </w:r>
      <w:r w:rsidRPr="00514C80">
        <w:t>R13-H</w:t>
      </w:r>
      <w:r w:rsidR="008735E6" w:rsidRPr="00514C80">
        <w:t xml:space="preserve">, </w:t>
      </w:r>
      <w:r w:rsidR="003C14FD" w:rsidRPr="00514C80">
        <w:t>R121</w:t>
      </w:r>
      <w:r w:rsidR="008735E6" w:rsidRPr="00514C80">
        <w:t>, and R152</w:t>
      </w:r>
      <w:r w:rsidRPr="00514C80">
        <w:t>), may be freely accessed online through the UN World Forum for the Harmonization of Vehicle Regulations (WP.29). The WP.29 website is</w:t>
      </w:r>
      <w:r w:rsidR="004A369F" w:rsidRPr="00514C80">
        <w:t xml:space="preserve"> </w:t>
      </w:r>
      <w:hyperlink r:id="rId14" w:history="1">
        <w:r w:rsidRPr="00514C80">
          <w:rPr>
            <w:rStyle w:val="Hyperlink"/>
            <w:bCs/>
          </w:rPr>
          <w:t>www.unece.org/trans/main/welcwp29.html</w:t>
        </w:r>
      </w:hyperlink>
      <w:r w:rsidRPr="00514C80">
        <w:t>.</w:t>
      </w:r>
    </w:p>
    <w:p w14:paraId="338A6569" w14:textId="5E506420" w:rsidR="004767B9" w:rsidRDefault="00610FED" w:rsidP="003D579C">
      <w:r w:rsidRPr="00514C80">
        <w:t xml:space="preserve">In accordance with subsections 14(1)(b) and 14(2) of the </w:t>
      </w:r>
      <w:r w:rsidRPr="00514C80">
        <w:rPr>
          <w:i/>
        </w:rPr>
        <w:t>Legislation Act 2003</w:t>
      </w:r>
      <w:r w:rsidRPr="00514C80">
        <w:t xml:space="preserve">, each of these </w:t>
      </w:r>
      <w:r w:rsidR="00F81DA7" w:rsidRPr="00514C80">
        <w:t xml:space="preserve">UN </w:t>
      </w:r>
      <w:r w:rsidRPr="00514C80">
        <w:t>documents are incorporated as in force on the date this national road vehicle standard is made.</w:t>
      </w:r>
      <w:bookmarkStart w:id="36" w:name="_Toc318271645"/>
      <w:bookmarkStart w:id="37" w:name="_Toc317171517"/>
      <w:bookmarkStart w:id="38" w:name="_Toc317171391"/>
      <w:bookmarkStart w:id="39" w:name="_Toc317158948"/>
      <w:bookmarkStart w:id="40" w:name="_Toc318272904"/>
      <w:bookmarkStart w:id="41" w:name="_Toc319402529"/>
      <w:bookmarkStart w:id="42" w:name="_Toc505092267"/>
    </w:p>
    <w:p w14:paraId="4D1E14F6" w14:textId="71ABFB77" w:rsidR="0004459A" w:rsidRDefault="0004459A" w:rsidP="003D579C">
      <w:pPr>
        <w:rPr>
          <w:b/>
          <w:caps/>
        </w:rPr>
      </w:pPr>
    </w:p>
    <w:p w14:paraId="6DDAE902" w14:textId="75082B03" w:rsidR="0004459A" w:rsidRDefault="0004459A" w:rsidP="003D579C">
      <w:pPr>
        <w:rPr>
          <w:b/>
          <w:caps/>
        </w:rPr>
      </w:pPr>
    </w:p>
    <w:p w14:paraId="55670541" w14:textId="3FB81148" w:rsidR="0004459A" w:rsidRDefault="0004459A" w:rsidP="003D579C">
      <w:pPr>
        <w:rPr>
          <w:b/>
          <w:caps/>
        </w:rPr>
      </w:pPr>
    </w:p>
    <w:p w14:paraId="137BD100" w14:textId="0FE808D3" w:rsidR="0004459A" w:rsidRDefault="0004459A" w:rsidP="003D579C">
      <w:pPr>
        <w:rPr>
          <w:b/>
          <w:caps/>
        </w:rPr>
      </w:pPr>
    </w:p>
    <w:p w14:paraId="53A73089" w14:textId="77777777" w:rsidR="0004459A" w:rsidRPr="00514C80" w:rsidRDefault="0004459A" w:rsidP="003D579C">
      <w:pPr>
        <w:rPr>
          <w:b/>
          <w:caps/>
        </w:rPr>
      </w:pPr>
    </w:p>
    <w:p w14:paraId="5F6131A1" w14:textId="77777777" w:rsidR="00586887" w:rsidRPr="00514C80" w:rsidRDefault="00610FED" w:rsidP="00B90D86">
      <w:pPr>
        <w:pStyle w:val="HeadingLevel1"/>
      </w:pPr>
      <w:bookmarkStart w:id="43" w:name="_Toc77772871"/>
      <w:bookmarkEnd w:id="36"/>
      <w:bookmarkEnd w:id="37"/>
      <w:bookmarkEnd w:id="38"/>
      <w:bookmarkEnd w:id="39"/>
      <w:bookmarkEnd w:id="40"/>
      <w:bookmarkEnd w:id="41"/>
      <w:bookmarkEnd w:id="42"/>
      <w:r w:rsidRPr="00514C80">
        <w:lastRenderedPageBreak/>
        <w:t>CONSULTATION</w:t>
      </w:r>
      <w:bookmarkEnd w:id="43"/>
    </w:p>
    <w:p w14:paraId="722F0C2B" w14:textId="4E72FB6B" w:rsidR="00040841" w:rsidRPr="00514C80" w:rsidRDefault="00040841" w:rsidP="00040841">
      <w:pPr>
        <w:pStyle w:val="HeadingLevel2"/>
      </w:pPr>
      <w:bookmarkStart w:id="44" w:name="_Toc77772872"/>
      <w:r w:rsidRPr="00514C80">
        <w:t>General Consultation Arrangements</w:t>
      </w:r>
      <w:bookmarkEnd w:id="44"/>
    </w:p>
    <w:p w14:paraId="283D71E5" w14:textId="0556E8D6" w:rsidR="00EE68A7" w:rsidRPr="00514C80" w:rsidRDefault="00EE68A7" w:rsidP="00EE68A7">
      <w:r w:rsidRPr="00514C80">
        <w:t>It has been longstanding practice to consult widely on proposed new or amended vehicle standards.  For many years, there has been active collaboration between the Commonwealth and the state/territory governments, as well as consultation with industry and consumer groups.  Much of the consultation takes place within institutional arrangements established for this purpose.  The analysis and documentation prepared in a particular case, and the bodies consulted, depend on the degree of impact the new or amended standard is expected to have on industry or road users.</w:t>
      </w:r>
    </w:p>
    <w:p w14:paraId="427DBBAC" w14:textId="18623027" w:rsidR="00776E99" w:rsidRPr="00514C80" w:rsidRDefault="00776E99" w:rsidP="00776E99">
      <w:r w:rsidRPr="00514C80">
        <w:t xml:space="preserve">Proposals that are regarded as significant need to be supported by a Regulation Impact Statement (RIS) meeting the requirements of the Office of Best Practice Regulation (OBPR) as published in the </w:t>
      </w:r>
      <w:r w:rsidRPr="00514C80">
        <w:rPr>
          <w:i/>
          <w:iCs/>
        </w:rPr>
        <w:t>Australian Government Guide to Regulatory Impact Analysis</w:t>
      </w:r>
      <w:r w:rsidRPr="00514C80">
        <w:t xml:space="preserve"> </w:t>
      </w:r>
      <w:r w:rsidR="001A0001" w:rsidRPr="00514C80">
        <w:t>or</w:t>
      </w:r>
      <w:r w:rsidRPr="00514C80">
        <w:t xml:space="preserve"> </w:t>
      </w:r>
      <w:r w:rsidR="001A0001" w:rsidRPr="00514C80">
        <w:t xml:space="preserve">the </w:t>
      </w:r>
      <w:r w:rsidR="001A0001" w:rsidRPr="00514C80">
        <w:rPr>
          <w:i/>
        </w:rPr>
        <w:t>Regulatory Impact Analysis Guide for Ministers’ Meetings and National Standard Setting Bodies</w:t>
      </w:r>
      <w:r w:rsidRPr="00514C80">
        <w:rPr>
          <w:i/>
        </w:rPr>
        <w:t>.</w:t>
      </w:r>
    </w:p>
    <w:p w14:paraId="2CCB846F" w14:textId="18E6EEE7" w:rsidR="00040841" w:rsidRPr="00514C80" w:rsidRDefault="00040841" w:rsidP="00040841">
      <w:pPr>
        <w:pStyle w:val="HeadingLevel2"/>
      </w:pPr>
      <w:bookmarkStart w:id="45" w:name="_Toc77091664"/>
      <w:bookmarkStart w:id="46" w:name="_Toc77253508"/>
      <w:bookmarkStart w:id="47" w:name="_Toc77253559"/>
      <w:bookmarkStart w:id="48" w:name="_Toc77263179"/>
      <w:bookmarkStart w:id="49" w:name="_Toc77264489"/>
      <w:bookmarkStart w:id="50" w:name="_Toc77772873"/>
      <w:bookmarkEnd w:id="45"/>
      <w:bookmarkEnd w:id="46"/>
      <w:bookmarkEnd w:id="47"/>
      <w:bookmarkEnd w:id="48"/>
      <w:bookmarkEnd w:id="49"/>
      <w:r w:rsidRPr="00514C80">
        <w:t>Specific Consultation Arrangements</w:t>
      </w:r>
      <w:bookmarkEnd w:id="50"/>
    </w:p>
    <w:p w14:paraId="3800231E" w14:textId="33E86E76" w:rsidR="005D138B" w:rsidRPr="00514C80" w:rsidRDefault="0033055C" w:rsidP="00EE68A7">
      <w:r w:rsidRPr="00514C80">
        <w:t>A</w:t>
      </w:r>
      <w:r w:rsidR="005D138B" w:rsidRPr="00514C80">
        <w:t xml:space="preserve"> consultation RIS for Reducing Trauma from Light Vehicles: Autonomous Emergency Braking was </w:t>
      </w:r>
      <w:r w:rsidRPr="00514C80">
        <w:t>posted on the Department’s website</w:t>
      </w:r>
      <w:r w:rsidR="005D138B" w:rsidRPr="00514C80">
        <w:t xml:space="preserve"> for an eight week public comment period, which closed on 11 December 2020.</w:t>
      </w:r>
      <w:r w:rsidRPr="00514C80">
        <w:t xml:space="preserve">  The RIS conforms to the requirements established by the OBPR in relation to regulatory proposals where the decision maker is the Australian Government’s Cabinet, the Prime Minister, minister, statutory authority, board or other regulator.  The OBPR reference number for the RIS is 42547.</w:t>
      </w:r>
    </w:p>
    <w:p w14:paraId="042530E7" w14:textId="3D05ECAB" w:rsidR="00631505" w:rsidRPr="00514C80" w:rsidRDefault="00631505" w:rsidP="00EE68A7">
      <w:r w:rsidRPr="00514C80">
        <w:t xml:space="preserve">Formal feedback to the RIS was received from members of the public, state government agencies, industry and road user organisations. A majority of the feedback strongly supported the implementation of a new ADR </w:t>
      </w:r>
      <w:r w:rsidR="00E173CC" w:rsidRPr="00514C80">
        <w:t>mandating car-to-car and pedestrian capable AEBS on light vehicles.</w:t>
      </w:r>
    </w:p>
    <w:p w14:paraId="584734BC" w14:textId="34D8A6E4" w:rsidR="00EE68A7" w:rsidRPr="00514C80" w:rsidRDefault="00E173CC" w:rsidP="00EE68A7">
      <w:r w:rsidRPr="00514C80">
        <w:t xml:space="preserve">The Department also </w:t>
      </w:r>
      <w:r w:rsidR="00F90E0B" w:rsidRPr="00514C80">
        <w:t>circulated draft</w:t>
      </w:r>
      <w:r w:rsidR="00E540B0" w:rsidRPr="00514C80">
        <w:t>s</w:t>
      </w:r>
      <w:r w:rsidR="00F90E0B" w:rsidRPr="00514C80">
        <w:t xml:space="preserve"> </w:t>
      </w:r>
      <w:r w:rsidR="00E540B0" w:rsidRPr="00514C80">
        <w:t xml:space="preserve">of </w:t>
      </w:r>
      <w:r w:rsidR="00F90E0B" w:rsidRPr="00514C80">
        <w:t xml:space="preserve">ADR 98/00 </w:t>
      </w:r>
      <w:r w:rsidR="00E540B0" w:rsidRPr="00514C80">
        <w:t xml:space="preserve">and ADR 98/01 </w:t>
      </w:r>
      <w:r w:rsidR="00F90E0B" w:rsidRPr="00514C80">
        <w:t>to</w:t>
      </w:r>
      <w:r w:rsidRPr="00514C80">
        <w:t xml:space="preserve"> </w:t>
      </w:r>
      <w:r w:rsidR="00EE68A7" w:rsidRPr="00514C80">
        <w:t>the Technical Liaison Group (TLG) and the Strategic Vehicle Safety and Environment Group (SVSEG)</w:t>
      </w:r>
      <w:r w:rsidR="00F90E0B" w:rsidRPr="00514C80">
        <w:t xml:space="preserve"> for review and comment</w:t>
      </w:r>
      <w:r w:rsidR="00093AA6" w:rsidRPr="00514C80">
        <w:t xml:space="preserve"> in June 2021</w:t>
      </w:r>
      <w:r w:rsidR="00EE68A7" w:rsidRPr="00514C80">
        <w:t>.</w:t>
      </w:r>
    </w:p>
    <w:p w14:paraId="3EBEE245" w14:textId="53642078" w:rsidR="00EE68A7" w:rsidRPr="00514C80" w:rsidRDefault="00EE68A7" w:rsidP="004319D5">
      <w:pPr>
        <w:keepLines/>
      </w:pPr>
      <w:r w:rsidRPr="00514C80">
        <w:t>TLG consists of technical representatives of government (Australian and state/territory), the manufacturing and operational arms of the industry (including organisations such as the Federal Chamber of Automotive Industries and the Australian Trucking Association) and of representative organisations of consumers and road users (particularly through the Australian Automobile Association).</w:t>
      </w:r>
    </w:p>
    <w:p w14:paraId="3BFB3FF7" w14:textId="2834D9A2" w:rsidR="00EE68A7" w:rsidRDefault="00EE68A7" w:rsidP="00EE68A7">
      <w:r w:rsidRPr="00514C80">
        <w:t>SVSEG consists of senior representatives of government (Australian and state/territory), the manufacturing and operational arms of the industry and of representative organisations of consumers and road users (at a higher level within each organisation as represented in TLG).</w:t>
      </w:r>
    </w:p>
    <w:p w14:paraId="0E8DF0AC" w14:textId="705C0559" w:rsidR="001572C8" w:rsidRDefault="001572C8" w:rsidP="00EE68A7"/>
    <w:p w14:paraId="154613E8" w14:textId="77777777" w:rsidR="001572C8" w:rsidRPr="00514C80" w:rsidRDefault="001572C8" w:rsidP="00EE68A7"/>
    <w:p w14:paraId="7BFDF858" w14:textId="3C3E94CB" w:rsidR="00EE68A7" w:rsidRPr="00514C80" w:rsidRDefault="00EE68A7" w:rsidP="00EE68A7">
      <w:pPr>
        <w:pStyle w:val="HeadingLevel1"/>
      </w:pPr>
      <w:bookmarkStart w:id="51" w:name="_Toc77253510"/>
      <w:bookmarkStart w:id="52" w:name="_Toc77253561"/>
      <w:bookmarkStart w:id="53" w:name="_Toc77263181"/>
      <w:bookmarkStart w:id="54" w:name="_Toc77264491"/>
      <w:bookmarkStart w:id="55" w:name="_Toc77253511"/>
      <w:bookmarkStart w:id="56" w:name="_Toc77253562"/>
      <w:bookmarkStart w:id="57" w:name="_Toc77263182"/>
      <w:bookmarkStart w:id="58" w:name="_Toc77264492"/>
      <w:bookmarkStart w:id="59" w:name="_Toc77253512"/>
      <w:bookmarkStart w:id="60" w:name="_Toc77253563"/>
      <w:bookmarkStart w:id="61" w:name="_Toc77263183"/>
      <w:bookmarkStart w:id="62" w:name="_Toc77264493"/>
      <w:bookmarkStart w:id="63" w:name="_Toc77253513"/>
      <w:bookmarkStart w:id="64" w:name="_Toc77253564"/>
      <w:bookmarkStart w:id="65" w:name="_Toc77263184"/>
      <w:bookmarkStart w:id="66" w:name="_Toc77264494"/>
      <w:bookmarkStart w:id="67" w:name="_Toc74044077"/>
      <w:bookmarkStart w:id="68" w:name="_Toc74044726"/>
      <w:bookmarkStart w:id="69" w:name="_Toc77772874"/>
      <w:bookmarkStart w:id="70" w:name="_Toc46333225"/>
      <w:bookmarkStart w:id="71" w:name="_Toc46333479"/>
      <w:bookmarkStart w:id="72" w:name="_Toc46333633"/>
      <w:bookmarkStart w:id="73" w:name="_Toc46333798"/>
      <w:bookmarkStart w:id="74" w:name="_Toc46333912"/>
      <w:bookmarkStart w:id="75" w:name="_Toc46334648"/>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514C80">
        <w:lastRenderedPageBreak/>
        <w:t>Regulatory Impact</w:t>
      </w:r>
      <w:bookmarkEnd w:id="67"/>
      <w:bookmarkEnd w:id="68"/>
      <w:bookmarkEnd w:id="69"/>
    </w:p>
    <w:p w14:paraId="366DB1CE" w14:textId="33F9652E" w:rsidR="00EE68A7" w:rsidRPr="00514C80" w:rsidRDefault="004A4440" w:rsidP="00EE68A7">
      <w:bookmarkStart w:id="76" w:name="_Toc167864616"/>
      <w:bookmarkStart w:id="77" w:name="_Toc505092264"/>
      <w:bookmarkStart w:id="78" w:name="_Toc46333222"/>
      <w:bookmarkStart w:id="79" w:name="_Toc46333476"/>
      <w:bookmarkStart w:id="80" w:name="_Toc46333630"/>
      <w:bookmarkStart w:id="81" w:name="_Toc46333795"/>
      <w:bookmarkStart w:id="82" w:name="_Toc46333909"/>
      <w:bookmarkStart w:id="83" w:name="_Toc46334645"/>
      <w:bookmarkStart w:id="84" w:name="_Toc74044078"/>
      <w:bookmarkStart w:id="85" w:name="_Toc74044727"/>
      <w:r w:rsidRPr="00514C80">
        <w:t xml:space="preserve">There are costs associated with mandating AEBS for light vehicles, but the related RIS shows that there will be positive net benefits.  Overall, </w:t>
      </w:r>
      <w:r w:rsidR="00913CB4" w:rsidRPr="00514C80">
        <w:t xml:space="preserve">it is estimated that </w:t>
      </w:r>
      <w:r w:rsidR="0095780C" w:rsidRPr="00514C80">
        <w:t>the implementation of ADR 98/00, followed on by the associated ADR 98/01 (covered by a separate</w:t>
      </w:r>
      <w:r w:rsidR="009245E3" w:rsidRPr="00514C80">
        <w:t xml:space="preserve"> e</w:t>
      </w:r>
      <w:r w:rsidR="0095780C" w:rsidRPr="00514C80">
        <w:t xml:space="preserve">xplanatory </w:t>
      </w:r>
      <w:r w:rsidR="009245E3" w:rsidRPr="00514C80">
        <w:t>s</w:t>
      </w:r>
      <w:r w:rsidR="0095780C" w:rsidRPr="00514C80">
        <w:t xml:space="preserve">tatement) </w:t>
      </w:r>
      <w:r w:rsidR="009245E3" w:rsidRPr="00514C80">
        <w:t>will</w:t>
      </w:r>
      <w:r w:rsidR="0095780C" w:rsidRPr="00514C80">
        <w:t xml:space="preserve"> save </w:t>
      </w:r>
      <w:r w:rsidR="00D4201E" w:rsidRPr="00514C80">
        <w:t>58</w:t>
      </w:r>
      <w:r w:rsidR="00D4201E">
        <w:t>1</w:t>
      </w:r>
      <w:r w:rsidR="00D4201E" w:rsidRPr="00514C80">
        <w:t xml:space="preserve"> </w:t>
      </w:r>
      <w:r w:rsidR="0095780C" w:rsidRPr="00514C80">
        <w:t xml:space="preserve">lives, </w:t>
      </w:r>
      <w:r w:rsidR="003B4091" w:rsidRPr="00514C80">
        <w:t xml:space="preserve">and </w:t>
      </w:r>
      <w:r w:rsidR="0095780C" w:rsidRPr="00514C80">
        <w:t>avoid 20,</w:t>
      </w:r>
      <w:r w:rsidR="00D4201E">
        <w:t>433</w:t>
      </w:r>
      <w:r w:rsidR="00D4201E" w:rsidRPr="00514C80">
        <w:t xml:space="preserve"> </w:t>
      </w:r>
      <w:r w:rsidR="0095780C" w:rsidRPr="00514C80">
        <w:t>serious and 73,</w:t>
      </w:r>
      <w:r w:rsidR="00D4201E">
        <w:t>340</w:t>
      </w:r>
      <w:r w:rsidR="00D4201E" w:rsidRPr="00514C80">
        <w:t xml:space="preserve"> </w:t>
      </w:r>
      <w:r w:rsidR="0095780C" w:rsidRPr="00514C80">
        <w:t>minor injuries</w:t>
      </w:r>
      <w:r w:rsidRPr="00514C80">
        <w:t>.  This includes around $</w:t>
      </w:r>
      <w:r w:rsidR="003B4091" w:rsidRPr="00514C80">
        <w:t>1,089</w:t>
      </w:r>
      <w:r w:rsidRPr="00514C80">
        <w:t xml:space="preserve"> million in net benefits.</w:t>
      </w:r>
      <w:bookmarkEnd w:id="76"/>
      <w:bookmarkEnd w:id="77"/>
      <w:bookmarkEnd w:id="78"/>
      <w:bookmarkEnd w:id="79"/>
      <w:bookmarkEnd w:id="80"/>
      <w:bookmarkEnd w:id="81"/>
      <w:bookmarkEnd w:id="82"/>
      <w:bookmarkEnd w:id="83"/>
      <w:bookmarkEnd w:id="84"/>
      <w:bookmarkEnd w:id="85"/>
    </w:p>
    <w:p w14:paraId="4AC01C4F" w14:textId="77777777" w:rsidR="00EE68A7" w:rsidRPr="00514C80" w:rsidRDefault="00EE68A7" w:rsidP="004319D5">
      <w:pPr>
        <w:pStyle w:val="HeadingLevel1"/>
      </w:pPr>
      <w:bookmarkStart w:id="86" w:name="_Toc77253515"/>
      <w:bookmarkStart w:id="87" w:name="_Toc77253566"/>
      <w:bookmarkStart w:id="88" w:name="_Toc77263186"/>
      <w:bookmarkStart w:id="89" w:name="_Toc77264496"/>
      <w:bookmarkStart w:id="90" w:name="_Toc74044080"/>
      <w:bookmarkStart w:id="91" w:name="_Toc74044729"/>
      <w:bookmarkStart w:id="92" w:name="_Toc77772875"/>
      <w:bookmarkEnd w:id="86"/>
      <w:bookmarkEnd w:id="87"/>
      <w:bookmarkEnd w:id="88"/>
      <w:bookmarkEnd w:id="89"/>
      <w:r w:rsidRPr="00514C80">
        <w:t>STATEMENT OF COMPATIBILITY WITH HUMAN RIGHTS</w:t>
      </w:r>
      <w:bookmarkEnd w:id="70"/>
      <w:bookmarkEnd w:id="71"/>
      <w:bookmarkEnd w:id="72"/>
      <w:bookmarkEnd w:id="73"/>
      <w:bookmarkEnd w:id="74"/>
      <w:bookmarkEnd w:id="75"/>
      <w:bookmarkEnd w:id="90"/>
      <w:bookmarkEnd w:id="91"/>
      <w:bookmarkEnd w:id="92"/>
    </w:p>
    <w:p w14:paraId="470AF138" w14:textId="77777777" w:rsidR="00EE68A7" w:rsidRPr="00514C80" w:rsidRDefault="00EE68A7" w:rsidP="00EE68A7">
      <w:r w:rsidRPr="00514C80">
        <w:t xml:space="preserve">The following Statement is prepared in accordance with Part 3 of the </w:t>
      </w:r>
      <w:r w:rsidRPr="00514C80">
        <w:rPr>
          <w:i/>
          <w:iCs/>
        </w:rPr>
        <w:t>Human Rights (Parliamentary Scrutiny) Act 2011.</w:t>
      </w:r>
    </w:p>
    <w:p w14:paraId="09D4C81D" w14:textId="77777777" w:rsidR="00EE68A7" w:rsidRPr="00514C80" w:rsidRDefault="00EE68A7" w:rsidP="00E15765">
      <w:pPr>
        <w:pStyle w:val="HeadingLevel2"/>
      </w:pPr>
      <w:bookmarkStart w:id="93" w:name="_Toc318271646"/>
      <w:bookmarkStart w:id="94" w:name="_Toc317171518"/>
      <w:bookmarkStart w:id="95" w:name="_Toc317171392"/>
      <w:bookmarkStart w:id="96" w:name="_Toc318272905"/>
      <w:bookmarkStart w:id="97" w:name="_Toc319402530"/>
      <w:bookmarkStart w:id="98" w:name="_Toc505092268"/>
      <w:bookmarkStart w:id="99" w:name="_Toc46333226"/>
      <w:bookmarkStart w:id="100" w:name="_Toc46333480"/>
      <w:bookmarkStart w:id="101" w:name="_Toc46333634"/>
      <w:bookmarkStart w:id="102" w:name="_Toc46333799"/>
      <w:bookmarkStart w:id="103" w:name="_Toc46333913"/>
      <w:bookmarkStart w:id="104" w:name="_Toc46334649"/>
      <w:bookmarkStart w:id="105" w:name="_Toc74044081"/>
      <w:bookmarkStart w:id="106" w:name="_Toc74044730"/>
      <w:bookmarkStart w:id="107" w:name="_Toc77772876"/>
      <w:r w:rsidRPr="00514C80">
        <w:t>Overview</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430DC10C" w14:textId="4113CC1F" w:rsidR="00EE68A7" w:rsidRPr="00514C80" w:rsidRDefault="00EE68A7" w:rsidP="00EE68A7">
      <w:r w:rsidRPr="00514C80">
        <w:t xml:space="preserve">ADR 98/00 </w:t>
      </w:r>
      <w:r w:rsidR="00B614E4" w:rsidRPr="00514C80">
        <w:t xml:space="preserve">specifies </w:t>
      </w:r>
      <w:r w:rsidRPr="00514C80">
        <w:t xml:space="preserve">requirements for </w:t>
      </w:r>
      <w:r w:rsidR="00B614E4" w:rsidRPr="00514C80">
        <w:t xml:space="preserve">the fitment of </w:t>
      </w:r>
      <w:r w:rsidRPr="00514C80">
        <w:t>AEBS to passenger vehicles (other than omnibuses), and to light goods vehicles, to avoid or mitigate the severity of rear-end in lane collisions.</w:t>
      </w:r>
    </w:p>
    <w:p w14:paraId="01B3D243" w14:textId="77777777" w:rsidR="00EE68A7" w:rsidRPr="00514C80" w:rsidRDefault="00EE68A7" w:rsidP="00E15765">
      <w:pPr>
        <w:pStyle w:val="HeadingLevel2"/>
      </w:pPr>
      <w:bookmarkStart w:id="108" w:name="_Toc318271647"/>
      <w:bookmarkStart w:id="109" w:name="_Toc317171519"/>
      <w:bookmarkStart w:id="110" w:name="_Toc317171393"/>
      <w:bookmarkStart w:id="111" w:name="_Toc318272906"/>
      <w:bookmarkStart w:id="112" w:name="_Toc319402531"/>
      <w:bookmarkStart w:id="113" w:name="_Toc505092269"/>
      <w:bookmarkStart w:id="114" w:name="_Toc46333227"/>
      <w:bookmarkStart w:id="115" w:name="_Toc46333481"/>
      <w:bookmarkStart w:id="116" w:name="_Toc46333635"/>
      <w:bookmarkStart w:id="117" w:name="_Toc46333800"/>
      <w:bookmarkStart w:id="118" w:name="_Toc46333914"/>
      <w:bookmarkStart w:id="119" w:name="_Toc46334650"/>
      <w:bookmarkStart w:id="120" w:name="_Toc74044082"/>
      <w:bookmarkStart w:id="121" w:name="_Toc74044731"/>
      <w:bookmarkStart w:id="122" w:name="_Toc77772877"/>
      <w:r w:rsidRPr="00514C80">
        <w:t>Human Rights Implications</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6A961334" w14:textId="77777777" w:rsidR="00EE68A7" w:rsidRPr="00514C80" w:rsidRDefault="00EE68A7" w:rsidP="00EE68A7">
      <w:r w:rsidRPr="00514C80">
        <w:t xml:space="preserve">ADR 98/00 does not engage any of the human rights and freedoms recognised or declared in the international instruments listed in section 3 of the </w:t>
      </w:r>
      <w:r w:rsidRPr="00514C80">
        <w:rPr>
          <w:i/>
          <w:iCs/>
        </w:rPr>
        <w:t>Human Rights (Parliamentary Scrutiny) Act 2011</w:t>
      </w:r>
      <w:r w:rsidRPr="00514C80">
        <w:t>.</w:t>
      </w:r>
    </w:p>
    <w:p w14:paraId="1A6B9AF2" w14:textId="77777777" w:rsidR="00EE68A7" w:rsidRPr="00514C80" w:rsidRDefault="00EE68A7" w:rsidP="00E15765">
      <w:pPr>
        <w:pStyle w:val="HeadingLevel2"/>
      </w:pPr>
      <w:bookmarkStart w:id="123" w:name="_Toc319402532"/>
      <w:bookmarkStart w:id="124" w:name="_Toc505092270"/>
      <w:bookmarkStart w:id="125" w:name="_Toc46333228"/>
      <w:bookmarkStart w:id="126" w:name="_Toc46333482"/>
      <w:bookmarkStart w:id="127" w:name="_Toc46333636"/>
      <w:bookmarkStart w:id="128" w:name="_Toc46333801"/>
      <w:bookmarkStart w:id="129" w:name="_Toc46333915"/>
      <w:bookmarkStart w:id="130" w:name="_Toc46334651"/>
      <w:bookmarkStart w:id="131" w:name="_Toc74044083"/>
      <w:bookmarkStart w:id="132" w:name="_Toc74044732"/>
      <w:bookmarkStart w:id="133" w:name="_Toc77772878"/>
      <w:r w:rsidRPr="00514C80">
        <w:t>Conclusion</w:t>
      </w:r>
      <w:bookmarkEnd w:id="123"/>
      <w:bookmarkEnd w:id="124"/>
      <w:bookmarkEnd w:id="125"/>
      <w:bookmarkEnd w:id="126"/>
      <w:bookmarkEnd w:id="127"/>
      <w:bookmarkEnd w:id="128"/>
      <w:bookmarkEnd w:id="129"/>
      <w:bookmarkEnd w:id="130"/>
      <w:bookmarkEnd w:id="131"/>
      <w:bookmarkEnd w:id="132"/>
      <w:bookmarkEnd w:id="133"/>
    </w:p>
    <w:p w14:paraId="2D23F35B" w14:textId="77777777" w:rsidR="00EE68A7" w:rsidRPr="00EE68A7" w:rsidRDefault="00EE68A7" w:rsidP="00EE68A7">
      <w:r w:rsidRPr="00514C80">
        <w:t>ADR 98/00 is compatible with human rights, as it does not raise any human rights issues.</w:t>
      </w:r>
    </w:p>
    <w:p w14:paraId="573BC1CC" w14:textId="77777777" w:rsidR="00EE68A7" w:rsidRPr="00EE68A7" w:rsidRDefault="00EE68A7" w:rsidP="00EE68A7"/>
    <w:sectPr w:rsidR="00EE68A7" w:rsidRPr="00EE68A7" w:rsidSect="001F5393">
      <w:headerReference w:type="first" r:id="rId15"/>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A900C" w14:textId="77777777" w:rsidR="00F61CCA" w:rsidRDefault="00F61CCA" w:rsidP="00D82CC0">
      <w:r>
        <w:separator/>
      </w:r>
    </w:p>
  </w:endnote>
  <w:endnote w:type="continuationSeparator" w:id="0">
    <w:p w14:paraId="06174F7E" w14:textId="77777777" w:rsidR="00F61CCA" w:rsidRDefault="00F61CCA" w:rsidP="00D82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l?r ??u!??I"/>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D7FEA" w14:textId="77777777" w:rsidR="00F61CCA" w:rsidRDefault="00F61CCA" w:rsidP="00D82CC0">
      <w:r>
        <w:separator/>
      </w:r>
    </w:p>
  </w:footnote>
  <w:footnote w:type="continuationSeparator" w:id="0">
    <w:p w14:paraId="5DF51DEE" w14:textId="77777777" w:rsidR="00F61CCA" w:rsidRDefault="00F61CCA" w:rsidP="00D82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C6389" w14:textId="695FA8E8" w:rsidR="00450F36" w:rsidRDefault="00450F36" w:rsidP="00D82CC0">
    <w:pPr>
      <w:pStyle w:val="Header"/>
    </w:pPr>
  </w:p>
  <w:tbl>
    <w:tblPr>
      <w:tblW w:w="8505" w:type="dxa"/>
      <w:tblLook w:val="01E0" w:firstRow="1" w:lastRow="1" w:firstColumn="1" w:lastColumn="1" w:noHBand="0" w:noVBand="0"/>
    </w:tblPr>
    <w:tblGrid>
      <w:gridCol w:w="8080"/>
      <w:gridCol w:w="425"/>
    </w:tblGrid>
    <w:tr w:rsidR="00450F36" w:rsidRPr="005F7AFE" w14:paraId="186D9392" w14:textId="77777777" w:rsidTr="001F5393">
      <w:tc>
        <w:tcPr>
          <w:tcW w:w="8080" w:type="dxa"/>
          <w:shd w:val="clear" w:color="auto" w:fill="auto"/>
          <w:vAlign w:val="center"/>
        </w:tcPr>
        <w:p w14:paraId="41234547" w14:textId="371F55A1" w:rsidR="00450F36" w:rsidRPr="008A05F7" w:rsidRDefault="00450F36" w:rsidP="001F5393">
          <w:pPr>
            <w:pStyle w:val="Header"/>
            <w:spacing w:before="0" w:after="0"/>
            <w:rPr>
              <w:szCs w:val="20"/>
            </w:rPr>
          </w:pPr>
          <w:r w:rsidRPr="00DC33CF">
            <w:t xml:space="preserve">Vehicle Standard </w:t>
          </w:r>
          <w:r w:rsidRPr="001F5393">
            <w:t>(Australian Design Rule 98/00 –Advanced Emergency Braking for Passenger</w:t>
          </w:r>
          <w:r>
            <w:t> </w:t>
          </w:r>
          <w:r w:rsidRPr="001F5393">
            <w:t>Vehicles and Light Goods Vehicles) 2021</w:t>
          </w:r>
        </w:p>
      </w:tc>
      <w:tc>
        <w:tcPr>
          <w:tcW w:w="425" w:type="dxa"/>
          <w:vMerge w:val="restart"/>
          <w:shd w:val="clear" w:color="auto" w:fill="auto"/>
        </w:tcPr>
        <w:p w14:paraId="01258BB7" w14:textId="34B02F0A" w:rsidR="00450F36" w:rsidRPr="005F7AFE" w:rsidRDefault="00450F36" w:rsidP="001F5393">
          <w:pPr>
            <w:tabs>
              <w:tab w:val="center" w:pos="4153"/>
              <w:tab w:val="right" w:pos="8306"/>
            </w:tabs>
            <w:suppressAutoHyphens/>
            <w:spacing w:before="0" w:after="0"/>
            <w:jc w:val="center"/>
            <w:rPr>
              <w:spacing w:val="-2"/>
              <w:sz w:val="20"/>
              <w:szCs w:val="20"/>
              <w:lang w:val="x-none" w:eastAsia="x-none"/>
            </w:rPr>
          </w:pPr>
          <w:r w:rsidRPr="005F7AFE">
            <w:rPr>
              <w:spacing w:val="-2"/>
              <w:sz w:val="20"/>
              <w:szCs w:val="20"/>
              <w:lang w:val="x-none" w:eastAsia="x-none"/>
            </w:rPr>
            <w:fldChar w:fldCharType="begin"/>
          </w:r>
          <w:r w:rsidRPr="005F7AFE">
            <w:rPr>
              <w:spacing w:val="-2"/>
              <w:sz w:val="20"/>
              <w:szCs w:val="20"/>
              <w:lang w:val="x-none" w:eastAsia="x-none"/>
            </w:rPr>
            <w:instrText xml:space="preserve"> PAGE </w:instrText>
          </w:r>
          <w:r w:rsidRPr="005F7AFE">
            <w:rPr>
              <w:spacing w:val="-2"/>
              <w:sz w:val="20"/>
              <w:szCs w:val="20"/>
              <w:lang w:val="x-none" w:eastAsia="x-none"/>
            </w:rPr>
            <w:fldChar w:fldCharType="separate"/>
          </w:r>
          <w:r w:rsidR="00A07F55">
            <w:rPr>
              <w:noProof/>
              <w:spacing w:val="-2"/>
              <w:sz w:val="20"/>
              <w:szCs w:val="20"/>
              <w:lang w:val="x-none" w:eastAsia="x-none"/>
            </w:rPr>
            <w:t>3</w:t>
          </w:r>
          <w:r w:rsidRPr="005F7AFE">
            <w:rPr>
              <w:spacing w:val="-2"/>
              <w:sz w:val="20"/>
              <w:szCs w:val="20"/>
              <w:lang w:val="x-none" w:eastAsia="x-none"/>
            </w:rPr>
            <w:fldChar w:fldCharType="end"/>
          </w:r>
        </w:p>
      </w:tc>
    </w:tr>
    <w:tr w:rsidR="00450F36" w:rsidRPr="005F7AFE" w14:paraId="00D95BC1" w14:textId="77777777" w:rsidTr="001F5393">
      <w:tc>
        <w:tcPr>
          <w:tcW w:w="8080" w:type="dxa"/>
          <w:tcBorders>
            <w:bottom w:val="single" w:sz="4" w:space="0" w:color="auto"/>
          </w:tcBorders>
          <w:shd w:val="clear" w:color="auto" w:fill="auto"/>
          <w:vAlign w:val="center"/>
        </w:tcPr>
        <w:p w14:paraId="3EC30256" w14:textId="77777777" w:rsidR="00450F36" w:rsidRPr="00DC33CF" w:rsidRDefault="00450F36" w:rsidP="001F5393">
          <w:pPr>
            <w:pStyle w:val="Header"/>
            <w:spacing w:before="0" w:after="0"/>
          </w:pPr>
          <w:r>
            <w:t>Explanatory Statement</w:t>
          </w:r>
        </w:p>
      </w:tc>
      <w:tc>
        <w:tcPr>
          <w:tcW w:w="425" w:type="dxa"/>
          <w:vMerge/>
          <w:tcBorders>
            <w:bottom w:val="single" w:sz="4" w:space="0" w:color="auto"/>
          </w:tcBorders>
          <w:shd w:val="clear" w:color="auto" w:fill="auto"/>
          <w:vAlign w:val="center"/>
        </w:tcPr>
        <w:p w14:paraId="5A3D685B" w14:textId="77777777" w:rsidR="00450F36" w:rsidRPr="005F7AFE" w:rsidRDefault="00450F36" w:rsidP="001F5393">
          <w:pPr>
            <w:tabs>
              <w:tab w:val="center" w:pos="4153"/>
              <w:tab w:val="right" w:pos="8306"/>
            </w:tabs>
            <w:suppressAutoHyphens/>
            <w:spacing w:before="0" w:after="0"/>
            <w:jc w:val="center"/>
            <w:rPr>
              <w:spacing w:val="-2"/>
              <w:sz w:val="20"/>
              <w:szCs w:val="20"/>
              <w:lang w:val="x-none" w:eastAsia="x-none"/>
            </w:rPr>
          </w:pPr>
        </w:p>
      </w:tc>
    </w:tr>
  </w:tbl>
  <w:p w14:paraId="4D2E80DD" w14:textId="7F9C4552" w:rsidR="00450F36" w:rsidRDefault="00450F36" w:rsidP="00D82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71C0A" w14:textId="116B7860" w:rsidR="00450F36" w:rsidRDefault="00450F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05" w:type="dxa"/>
      <w:tblLook w:val="01E0" w:firstRow="1" w:lastRow="1" w:firstColumn="1" w:lastColumn="1" w:noHBand="0" w:noVBand="0"/>
    </w:tblPr>
    <w:tblGrid>
      <w:gridCol w:w="8162"/>
      <w:gridCol w:w="343"/>
    </w:tblGrid>
    <w:tr w:rsidR="00450F36" w:rsidRPr="001F5393" w14:paraId="483F24D1" w14:textId="77777777" w:rsidTr="001E3FA7">
      <w:tc>
        <w:tcPr>
          <w:tcW w:w="8162" w:type="dxa"/>
          <w:shd w:val="clear" w:color="auto" w:fill="auto"/>
          <w:vAlign w:val="center"/>
        </w:tcPr>
        <w:p w14:paraId="2650AF64" w14:textId="611730F8" w:rsidR="00450F36" w:rsidRPr="001F5393" w:rsidRDefault="00450F36" w:rsidP="001F5393">
          <w:pPr>
            <w:pStyle w:val="Header"/>
            <w:spacing w:before="0" w:after="0"/>
            <w:rPr>
              <w:szCs w:val="20"/>
            </w:rPr>
          </w:pPr>
          <w:r w:rsidRPr="001F5393">
            <w:t>Vehicle Standard (Australian Design Rule 98/00 –Advanced Emergency Braking for Passenger</w:t>
          </w:r>
          <w:r>
            <w:t> </w:t>
          </w:r>
          <w:r w:rsidRPr="001F5393">
            <w:t>Vehicles and Light Goods Vehicles) 2021</w:t>
          </w:r>
        </w:p>
      </w:tc>
      <w:tc>
        <w:tcPr>
          <w:tcW w:w="343" w:type="dxa"/>
          <w:vMerge w:val="restart"/>
          <w:shd w:val="clear" w:color="auto" w:fill="auto"/>
        </w:tcPr>
        <w:p w14:paraId="0065461B" w14:textId="27F280B6" w:rsidR="00450F36" w:rsidRPr="001F5393" w:rsidRDefault="00450F36" w:rsidP="001F5393">
          <w:pPr>
            <w:tabs>
              <w:tab w:val="center" w:pos="4153"/>
              <w:tab w:val="right" w:pos="8306"/>
            </w:tabs>
            <w:suppressAutoHyphens/>
            <w:spacing w:before="0" w:after="0"/>
            <w:jc w:val="center"/>
            <w:rPr>
              <w:spacing w:val="-2"/>
              <w:sz w:val="20"/>
              <w:szCs w:val="20"/>
              <w:lang w:val="x-none" w:eastAsia="x-none"/>
            </w:rPr>
          </w:pPr>
          <w:r w:rsidRPr="001F5393">
            <w:rPr>
              <w:spacing w:val="-2"/>
              <w:sz w:val="20"/>
              <w:szCs w:val="20"/>
              <w:lang w:val="x-none" w:eastAsia="x-none"/>
            </w:rPr>
            <w:fldChar w:fldCharType="begin"/>
          </w:r>
          <w:r w:rsidRPr="001F5393">
            <w:rPr>
              <w:spacing w:val="-2"/>
              <w:sz w:val="20"/>
              <w:szCs w:val="20"/>
              <w:lang w:val="x-none" w:eastAsia="x-none"/>
            </w:rPr>
            <w:instrText xml:space="preserve"> PAGE </w:instrText>
          </w:r>
          <w:r w:rsidRPr="001F5393">
            <w:rPr>
              <w:spacing w:val="-2"/>
              <w:sz w:val="20"/>
              <w:szCs w:val="20"/>
              <w:lang w:val="x-none" w:eastAsia="x-none"/>
            </w:rPr>
            <w:fldChar w:fldCharType="separate"/>
          </w:r>
          <w:r w:rsidR="00A07F55">
            <w:rPr>
              <w:noProof/>
              <w:spacing w:val="-2"/>
              <w:sz w:val="20"/>
              <w:szCs w:val="20"/>
              <w:lang w:val="x-none" w:eastAsia="x-none"/>
            </w:rPr>
            <w:t>2</w:t>
          </w:r>
          <w:r w:rsidRPr="001F5393">
            <w:rPr>
              <w:spacing w:val="-2"/>
              <w:sz w:val="20"/>
              <w:szCs w:val="20"/>
              <w:lang w:val="x-none" w:eastAsia="x-none"/>
            </w:rPr>
            <w:fldChar w:fldCharType="end"/>
          </w:r>
        </w:p>
      </w:tc>
    </w:tr>
    <w:tr w:rsidR="00450F36" w:rsidRPr="001F5393" w14:paraId="676DA648" w14:textId="77777777" w:rsidTr="001E3FA7">
      <w:tc>
        <w:tcPr>
          <w:tcW w:w="8162" w:type="dxa"/>
          <w:tcBorders>
            <w:bottom w:val="single" w:sz="4" w:space="0" w:color="auto"/>
          </w:tcBorders>
          <w:shd w:val="clear" w:color="auto" w:fill="auto"/>
          <w:vAlign w:val="center"/>
        </w:tcPr>
        <w:p w14:paraId="397449CF" w14:textId="77777777" w:rsidR="00450F36" w:rsidRPr="001F5393" w:rsidRDefault="00450F36" w:rsidP="001F5393">
          <w:pPr>
            <w:pStyle w:val="Header"/>
            <w:spacing w:before="0" w:after="0"/>
          </w:pPr>
          <w:r w:rsidRPr="001F5393">
            <w:t>Explanatory Statement</w:t>
          </w:r>
        </w:p>
      </w:tc>
      <w:tc>
        <w:tcPr>
          <w:tcW w:w="343" w:type="dxa"/>
          <w:vMerge/>
          <w:tcBorders>
            <w:bottom w:val="single" w:sz="4" w:space="0" w:color="auto"/>
          </w:tcBorders>
          <w:shd w:val="clear" w:color="auto" w:fill="auto"/>
          <w:vAlign w:val="center"/>
        </w:tcPr>
        <w:p w14:paraId="3D4050EF" w14:textId="77777777" w:rsidR="00450F36" w:rsidRPr="001F5393" w:rsidRDefault="00450F36" w:rsidP="001F5393">
          <w:pPr>
            <w:tabs>
              <w:tab w:val="center" w:pos="4153"/>
              <w:tab w:val="right" w:pos="8306"/>
            </w:tabs>
            <w:suppressAutoHyphens/>
            <w:spacing w:before="0" w:after="0"/>
            <w:jc w:val="center"/>
            <w:rPr>
              <w:spacing w:val="-2"/>
              <w:sz w:val="20"/>
              <w:szCs w:val="20"/>
              <w:lang w:val="x-none" w:eastAsia="x-none"/>
            </w:rPr>
          </w:pPr>
        </w:p>
      </w:tc>
    </w:tr>
  </w:tbl>
  <w:p w14:paraId="70859D4D" w14:textId="462E0AD4" w:rsidR="00450F36" w:rsidRDefault="00450F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3007"/>
    <w:multiLevelType w:val="hybridMultilevel"/>
    <w:tmpl w:val="17B4D522"/>
    <w:lvl w:ilvl="0" w:tplc="2256AC6E">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716EAB"/>
    <w:multiLevelType w:val="multilevel"/>
    <w:tmpl w:val="E74C0852"/>
    <w:lvl w:ilvl="0">
      <w:start w:val="1"/>
      <w:numFmt w:val="decimal"/>
      <w:pStyle w:val="ESLevel1"/>
      <w:lvlText w:val="%1."/>
      <w:lvlJc w:val="left"/>
      <w:pPr>
        <w:ind w:left="851" w:hanging="851"/>
      </w:pPr>
      <w:rPr>
        <w:rFonts w:hint="default"/>
      </w:rPr>
    </w:lvl>
    <w:lvl w:ilvl="1">
      <w:start w:val="1"/>
      <w:numFmt w:val="decimal"/>
      <w:pStyle w:val="ESLevel2"/>
      <w:lvlText w:val="%1.%2."/>
      <w:lvlJc w:val="left"/>
      <w:pPr>
        <w:ind w:left="851" w:hanging="851"/>
      </w:pPr>
      <w:rPr>
        <w:rFonts w:hint="default"/>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 w15:restartNumberingAfterBreak="0">
    <w:nsid w:val="17A42E03"/>
    <w:multiLevelType w:val="hybridMultilevel"/>
    <w:tmpl w:val="BEB0E6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204C5C"/>
    <w:multiLevelType w:val="hybridMultilevel"/>
    <w:tmpl w:val="9494728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EB02DF"/>
    <w:multiLevelType w:val="hybridMultilevel"/>
    <w:tmpl w:val="C4CE8E1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020060"/>
    <w:multiLevelType w:val="hybridMultilevel"/>
    <w:tmpl w:val="01EAD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90145F"/>
    <w:multiLevelType w:val="hybridMultilevel"/>
    <w:tmpl w:val="7C740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A569EE"/>
    <w:multiLevelType w:val="hybridMultilevel"/>
    <w:tmpl w:val="3B349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CB4DDF"/>
    <w:multiLevelType w:val="hybridMultilevel"/>
    <w:tmpl w:val="56D48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7518A3"/>
    <w:multiLevelType w:val="hybridMultilevel"/>
    <w:tmpl w:val="FCCEF444"/>
    <w:lvl w:ilvl="0" w:tplc="5AAAB9BC">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CA2F67"/>
    <w:multiLevelType w:val="hybridMultilevel"/>
    <w:tmpl w:val="68D0958C"/>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3E754E85"/>
    <w:multiLevelType w:val="hybridMultilevel"/>
    <w:tmpl w:val="FFB449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8EB2CB8"/>
    <w:multiLevelType w:val="hybridMultilevel"/>
    <w:tmpl w:val="B0CAB6AA"/>
    <w:lvl w:ilvl="0" w:tplc="0C090001">
      <w:start w:val="1"/>
      <w:numFmt w:val="bullet"/>
      <w:lvlText w:val=""/>
      <w:lvlJc w:val="left"/>
      <w:pPr>
        <w:tabs>
          <w:tab w:val="num" w:pos="780"/>
        </w:tabs>
        <w:ind w:left="780" w:hanging="360"/>
      </w:pPr>
      <w:rPr>
        <w:rFonts w:ascii="Symbol" w:hAnsi="Symbol" w:hint="default"/>
      </w:rPr>
    </w:lvl>
    <w:lvl w:ilvl="1" w:tplc="084A7352"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4A171314"/>
    <w:multiLevelType w:val="multilevel"/>
    <w:tmpl w:val="5502C318"/>
    <w:lvl w:ilvl="0">
      <w:start w:val="1"/>
      <w:numFmt w:val="decimal"/>
      <w:lvlText w:val="%1."/>
      <w:lvlJc w:val="left"/>
      <w:pPr>
        <w:tabs>
          <w:tab w:val="num" w:pos="851"/>
        </w:tabs>
        <w:ind w:left="1418" w:hanging="1418"/>
      </w:pPr>
      <w:rPr>
        <w:rFonts w:hint="default"/>
      </w:rPr>
    </w:lvl>
    <w:lvl w:ilvl="1">
      <w:start w:val="1"/>
      <w:numFmt w:val="decimal"/>
      <w:lvlText w:val="%1.%2."/>
      <w:lvlJc w:val="left"/>
      <w:pPr>
        <w:tabs>
          <w:tab w:val="num" w:pos="851"/>
        </w:tabs>
        <w:ind w:left="1418" w:hanging="1418"/>
      </w:pPr>
      <w:rPr>
        <w:rFonts w:hint="default"/>
      </w:rPr>
    </w:lvl>
    <w:lvl w:ilvl="2">
      <w:start w:val="1"/>
      <w:numFmt w:val="decimal"/>
      <w:lvlText w:val="%1.%2.%3."/>
      <w:lvlJc w:val="left"/>
      <w:pPr>
        <w:tabs>
          <w:tab w:val="num" w:pos="851"/>
        </w:tabs>
        <w:ind w:left="1418" w:hanging="1418"/>
      </w:pPr>
      <w:rPr>
        <w:rFonts w:hint="default"/>
      </w:rPr>
    </w:lvl>
    <w:lvl w:ilvl="3">
      <w:start w:val="1"/>
      <w:numFmt w:val="decimal"/>
      <w:lvlText w:val="%1.%2.%3.%4."/>
      <w:lvlJc w:val="left"/>
      <w:pPr>
        <w:tabs>
          <w:tab w:val="num" w:pos="851"/>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4" w15:restartNumberingAfterBreak="0">
    <w:nsid w:val="4BDE40F6"/>
    <w:multiLevelType w:val="hybridMultilevel"/>
    <w:tmpl w:val="E092E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6B4EDE"/>
    <w:multiLevelType w:val="hybridMultilevel"/>
    <w:tmpl w:val="C2B647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F7506F"/>
    <w:multiLevelType w:val="multilevel"/>
    <w:tmpl w:val="7882B440"/>
    <w:lvl w:ilvl="0">
      <w:start w:val="1"/>
      <w:numFmt w:val="decimal"/>
      <w:pStyle w:val="MainHeadding"/>
      <w:lvlText w:val="%1."/>
      <w:lvlJc w:val="left"/>
      <w:pPr>
        <w:tabs>
          <w:tab w:val="num" w:pos="851"/>
        </w:tabs>
        <w:ind w:left="851" w:hanging="851"/>
      </w:pPr>
      <w:rPr>
        <w:rFonts w:hint="default"/>
      </w:rPr>
    </w:lvl>
    <w:lvl w:ilvl="1">
      <w:start w:val="1"/>
      <w:numFmt w:val="decimal"/>
      <w:pStyle w:val="Subsection"/>
      <w:lvlText w:val="%1.%2."/>
      <w:lvlJc w:val="left"/>
      <w:pPr>
        <w:tabs>
          <w:tab w:val="num" w:pos="3545"/>
        </w:tabs>
        <w:ind w:left="3545" w:hanging="851"/>
      </w:pPr>
      <w:rPr>
        <w:rFonts w:hint="default"/>
      </w:rPr>
    </w:lvl>
    <w:lvl w:ilvl="2">
      <w:start w:val="1"/>
      <w:numFmt w:val="decimal"/>
      <w:pStyle w:val="Subsubsection"/>
      <w:lvlText w:val="%1.%2.%3."/>
      <w:lvlJc w:val="left"/>
      <w:pPr>
        <w:tabs>
          <w:tab w:val="num" w:pos="851"/>
        </w:tabs>
        <w:ind w:left="851" w:hanging="851"/>
      </w:pPr>
      <w:rPr>
        <w:rFonts w:hint="default"/>
      </w:rPr>
    </w:lvl>
    <w:lvl w:ilvl="3">
      <w:start w:val="1"/>
      <w:numFmt w:val="decimal"/>
      <w:pStyle w:val="Subsubsubsection"/>
      <w:lvlText w:val="%1.%2.%3.%4."/>
      <w:lvlJc w:val="left"/>
      <w:pPr>
        <w:tabs>
          <w:tab w:val="num" w:pos="851"/>
        </w:tabs>
        <w:ind w:left="851" w:hanging="851"/>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7" w15:restartNumberingAfterBreak="0">
    <w:nsid w:val="5B4E0525"/>
    <w:multiLevelType w:val="hybridMultilevel"/>
    <w:tmpl w:val="1C5ECC6A"/>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5FA16E3A"/>
    <w:multiLevelType w:val="hybridMultilevel"/>
    <w:tmpl w:val="F266C3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56F26A8"/>
    <w:multiLevelType w:val="hybridMultilevel"/>
    <w:tmpl w:val="63A0553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6B7F7E"/>
    <w:multiLevelType w:val="multilevel"/>
    <w:tmpl w:val="462C6552"/>
    <w:lvl w:ilvl="0">
      <w:start w:val="1"/>
      <w:numFmt w:val="decimal"/>
      <w:pStyle w:val="MainHeading"/>
      <w:lvlText w:val="%1."/>
      <w:lvlJc w:val="left"/>
      <w:pPr>
        <w:tabs>
          <w:tab w:val="num" w:pos="851"/>
        </w:tabs>
        <w:ind w:left="0" w:firstLine="0"/>
      </w:pPr>
      <w:rPr>
        <w:rFonts w:hint="default"/>
      </w:rPr>
    </w:lvl>
    <w:lvl w:ilvl="1">
      <w:start w:val="1"/>
      <w:numFmt w:val="decimal"/>
      <w:pStyle w:val="Subheading"/>
      <w:lvlText w:val="%1.%2."/>
      <w:lvlJc w:val="left"/>
      <w:pPr>
        <w:tabs>
          <w:tab w:val="num" w:pos="851"/>
        </w:tabs>
        <w:ind w:left="0" w:firstLine="0"/>
      </w:pPr>
      <w:rPr>
        <w:rFonts w:hint="default"/>
      </w:rPr>
    </w:lvl>
    <w:lvl w:ilvl="2">
      <w:start w:val="1"/>
      <w:numFmt w:val="decimal"/>
      <w:pStyle w:val="Subheadingx2"/>
      <w:lvlText w:val="%1.%2.%3."/>
      <w:lvlJc w:val="left"/>
      <w:pPr>
        <w:tabs>
          <w:tab w:val="num" w:pos="851"/>
        </w:tabs>
        <w:ind w:left="0" w:firstLine="0"/>
      </w:pPr>
      <w:rPr>
        <w:rFonts w:hint="default"/>
      </w:rPr>
    </w:lvl>
    <w:lvl w:ilvl="3">
      <w:start w:val="1"/>
      <w:numFmt w:val="decimal"/>
      <w:pStyle w:val="subheadingx3"/>
      <w:lvlText w:val="%1.%2.%3.%4."/>
      <w:lvlJc w:val="left"/>
      <w:pPr>
        <w:tabs>
          <w:tab w:val="num" w:pos="851"/>
        </w:tabs>
        <w:ind w:left="0" w:firstLine="0"/>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21" w15:restartNumberingAfterBreak="0">
    <w:nsid w:val="782503B6"/>
    <w:multiLevelType w:val="hybridMultilevel"/>
    <w:tmpl w:val="2B0A834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9A08B4"/>
    <w:multiLevelType w:val="hybridMultilevel"/>
    <w:tmpl w:val="49221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21"/>
  </w:num>
  <w:num w:numId="3">
    <w:abstractNumId w:val="3"/>
  </w:num>
  <w:num w:numId="4">
    <w:abstractNumId w:val="20"/>
  </w:num>
  <w:num w:numId="5">
    <w:abstractNumId w:val="2"/>
  </w:num>
  <w:num w:numId="6">
    <w:abstractNumId w:val="19"/>
  </w:num>
  <w:num w:numId="7">
    <w:abstractNumId w:val="4"/>
  </w:num>
  <w:num w:numId="8">
    <w:abstractNumId w:val="15"/>
  </w:num>
  <w:num w:numId="9">
    <w:abstractNumId w:val="12"/>
  </w:num>
  <w:num w:numId="10">
    <w:abstractNumId w:val="17"/>
  </w:num>
  <w:num w:numId="11">
    <w:abstractNumId w:val="10"/>
  </w:num>
  <w:num w:numId="12">
    <w:abstractNumId w:val="14"/>
  </w:num>
  <w:num w:numId="13">
    <w:abstractNumId w:val="5"/>
  </w:num>
  <w:num w:numId="14">
    <w:abstractNumId w:val="13"/>
  </w:num>
  <w:num w:numId="15">
    <w:abstractNumId w:val="16"/>
  </w:num>
  <w:num w:numId="16">
    <w:abstractNumId w:val="16"/>
  </w:num>
  <w:num w:numId="17">
    <w:abstractNumId w:val="16"/>
  </w:num>
  <w:num w:numId="18">
    <w:abstractNumId w:val="16"/>
  </w:num>
  <w:num w:numId="19">
    <w:abstractNumId w:val="0"/>
  </w:num>
  <w:num w:numId="20">
    <w:abstractNumId w:val="16"/>
  </w:num>
  <w:num w:numId="21">
    <w:abstractNumId w:val="1"/>
  </w:num>
  <w:num w:numId="22">
    <w:abstractNumId w:val="16"/>
  </w:num>
  <w:num w:numId="23">
    <w:abstractNumId w:val="7"/>
  </w:num>
  <w:num w:numId="24">
    <w:abstractNumId w:val="8"/>
  </w:num>
  <w:num w:numId="25">
    <w:abstractNumId w:val="6"/>
  </w:num>
  <w:num w:numId="26">
    <w:abstractNumId w:val="18"/>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9"/>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F48"/>
    <w:rsid w:val="000040F7"/>
    <w:rsid w:val="00006046"/>
    <w:rsid w:val="00006B90"/>
    <w:rsid w:val="000157B0"/>
    <w:rsid w:val="000166ED"/>
    <w:rsid w:val="000220C0"/>
    <w:rsid w:val="00022CA1"/>
    <w:rsid w:val="00023874"/>
    <w:rsid w:val="000241C6"/>
    <w:rsid w:val="000245BE"/>
    <w:rsid w:val="00031C17"/>
    <w:rsid w:val="000335E2"/>
    <w:rsid w:val="00035887"/>
    <w:rsid w:val="00040841"/>
    <w:rsid w:val="00041D7B"/>
    <w:rsid w:val="0004459A"/>
    <w:rsid w:val="000450E7"/>
    <w:rsid w:val="00050C17"/>
    <w:rsid w:val="00050FB8"/>
    <w:rsid w:val="00052EF3"/>
    <w:rsid w:val="0005416F"/>
    <w:rsid w:val="00054851"/>
    <w:rsid w:val="00054DEF"/>
    <w:rsid w:val="000562F1"/>
    <w:rsid w:val="00056F3D"/>
    <w:rsid w:val="000604A0"/>
    <w:rsid w:val="00064AFA"/>
    <w:rsid w:val="000650DA"/>
    <w:rsid w:val="000655E9"/>
    <w:rsid w:val="00066290"/>
    <w:rsid w:val="00066F93"/>
    <w:rsid w:val="00067219"/>
    <w:rsid w:val="000713D8"/>
    <w:rsid w:val="00073E14"/>
    <w:rsid w:val="000740DE"/>
    <w:rsid w:val="00074D90"/>
    <w:rsid w:val="000760A3"/>
    <w:rsid w:val="0007625E"/>
    <w:rsid w:val="0008418F"/>
    <w:rsid w:val="00084625"/>
    <w:rsid w:val="0008652F"/>
    <w:rsid w:val="00093AA6"/>
    <w:rsid w:val="000957CE"/>
    <w:rsid w:val="0009658B"/>
    <w:rsid w:val="000968DF"/>
    <w:rsid w:val="000A5A8B"/>
    <w:rsid w:val="000B0430"/>
    <w:rsid w:val="000B0D5D"/>
    <w:rsid w:val="000B0E53"/>
    <w:rsid w:val="000B1B1F"/>
    <w:rsid w:val="000B1C73"/>
    <w:rsid w:val="000B3D64"/>
    <w:rsid w:val="000B3DBE"/>
    <w:rsid w:val="000B4684"/>
    <w:rsid w:val="000B60B9"/>
    <w:rsid w:val="000C0B71"/>
    <w:rsid w:val="000C0E62"/>
    <w:rsid w:val="000C14D3"/>
    <w:rsid w:val="000C171E"/>
    <w:rsid w:val="000C2AF4"/>
    <w:rsid w:val="000C3C06"/>
    <w:rsid w:val="000C57AC"/>
    <w:rsid w:val="000D1A08"/>
    <w:rsid w:val="000D2C70"/>
    <w:rsid w:val="000D3459"/>
    <w:rsid w:val="000D4AC1"/>
    <w:rsid w:val="000D6331"/>
    <w:rsid w:val="000E3161"/>
    <w:rsid w:val="000E3BAA"/>
    <w:rsid w:val="000E3CB6"/>
    <w:rsid w:val="000E46B1"/>
    <w:rsid w:val="000E556E"/>
    <w:rsid w:val="000E6F99"/>
    <w:rsid w:val="000E73ED"/>
    <w:rsid w:val="000E7A76"/>
    <w:rsid w:val="000F1192"/>
    <w:rsid w:val="000F162D"/>
    <w:rsid w:val="000F36B1"/>
    <w:rsid w:val="000F4182"/>
    <w:rsid w:val="000F534E"/>
    <w:rsid w:val="000F5B27"/>
    <w:rsid w:val="000F6F83"/>
    <w:rsid w:val="000F793B"/>
    <w:rsid w:val="00101E42"/>
    <w:rsid w:val="00102EE7"/>
    <w:rsid w:val="00105209"/>
    <w:rsid w:val="00106C75"/>
    <w:rsid w:val="001143B9"/>
    <w:rsid w:val="0012081F"/>
    <w:rsid w:val="0012110B"/>
    <w:rsid w:val="00121CBA"/>
    <w:rsid w:val="0012466F"/>
    <w:rsid w:val="00127289"/>
    <w:rsid w:val="00130F68"/>
    <w:rsid w:val="00131492"/>
    <w:rsid w:val="00131C34"/>
    <w:rsid w:val="00132EF4"/>
    <w:rsid w:val="00133187"/>
    <w:rsid w:val="001359EF"/>
    <w:rsid w:val="00141E4F"/>
    <w:rsid w:val="00141FF9"/>
    <w:rsid w:val="0014264C"/>
    <w:rsid w:val="00147F05"/>
    <w:rsid w:val="00150C04"/>
    <w:rsid w:val="0015120A"/>
    <w:rsid w:val="00152636"/>
    <w:rsid w:val="00155DDC"/>
    <w:rsid w:val="00155FE4"/>
    <w:rsid w:val="00157142"/>
    <w:rsid w:val="001572C8"/>
    <w:rsid w:val="00157631"/>
    <w:rsid w:val="001606BF"/>
    <w:rsid w:val="00160C84"/>
    <w:rsid w:val="00161B14"/>
    <w:rsid w:val="00161F08"/>
    <w:rsid w:val="00166DC2"/>
    <w:rsid w:val="00170AE8"/>
    <w:rsid w:val="001717FC"/>
    <w:rsid w:val="00171B84"/>
    <w:rsid w:val="00177811"/>
    <w:rsid w:val="00177ADF"/>
    <w:rsid w:val="001811E9"/>
    <w:rsid w:val="00181511"/>
    <w:rsid w:val="00187070"/>
    <w:rsid w:val="00187A7D"/>
    <w:rsid w:val="00187D37"/>
    <w:rsid w:val="00192B4F"/>
    <w:rsid w:val="00192F2E"/>
    <w:rsid w:val="00197EE4"/>
    <w:rsid w:val="001A0001"/>
    <w:rsid w:val="001A28AB"/>
    <w:rsid w:val="001B0EFB"/>
    <w:rsid w:val="001B217D"/>
    <w:rsid w:val="001B2451"/>
    <w:rsid w:val="001B29A2"/>
    <w:rsid w:val="001B38AA"/>
    <w:rsid w:val="001B3B65"/>
    <w:rsid w:val="001B5F38"/>
    <w:rsid w:val="001C2946"/>
    <w:rsid w:val="001C69AE"/>
    <w:rsid w:val="001D01E5"/>
    <w:rsid w:val="001D17F3"/>
    <w:rsid w:val="001D2618"/>
    <w:rsid w:val="001D2D0B"/>
    <w:rsid w:val="001D467A"/>
    <w:rsid w:val="001D4C8A"/>
    <w:rsid w:val="001D592B"/>
    <w:rsid w:val="001E0205"/>
    <w:rsid w:val="001E0A6A"/>
    <w:rsid w:val="001E1A19"/>
    <w:rsid w:val="001E218D"/>
    <w:rsid w:val="001E3FA7"/>
    <w:rsid w:val="001E543A"/>
    <w:rsid w:val="001E5490"/>
    <w:rsid w:val="001E6416"/>
    <w:rsid w:val="001E6F6F"/>
    <w:rsid w:val="001E7E7F"/>
    <w:rsid w:val="001F128D"/>
    <w:rsid w:val="001F5393"/>
    <w:rsid w:val="001F566C"/>
    <w:rsid w:val="00200879"/>
    <w:rsid w:val="00200AEE"/>
    <w:rsid w:val="002019EC"/>
    <w:rsid w:val="0020549D"/>
    <w:rsid w:val="00206EF3"/>
    <w:rsid w:val="002105AD"/>
    <w:rsid w:val="00210C5E"/>
    <w:rsid w:val="00212153"/>
    <w:rsid w:val="00215C84"/>
    <w:rsid w:val="00216DD3"/>
    <w:rsid w:val="002172AC"/>
    <w:rsid w:val="002214DC"/>
    <w:rsid w:val="00225589"/>
    <w:rsid w:val="0022575C"/>
    <w:rsid w:val="00225EEA"/>
    <w:rsid w:val="00226CB6"/>
    <w:rsid w:val="0022719C"/>
    <w:rsid w:val="00227A72"/>
    <w:rsid w:val="0023125C"/>
    <w:rsid w:val="002325B1"/>
    <w:rsid w:val="00232C1B"/>
    <w:rsid w:val="00233F4B"/>
    <w:rsid w:val="00235D5D"/>
    <w:rsid w:val="00237831"/>
    <w:rsid w:val="0024087E"/>
    <w:rsid w:val="002411F9"/>
    <w:rsid w:val="0024155C"/>
    <w:rsid w:val="002425A0"/>
    <w:rsid w:val="00242D6F"/>
    <w:rsid w:val="0024440F"/>
    <w:rsid w:val="002449FF"/>
    <w:rsid w:val="00246F06"/>
    <w:rsid w:val="002471BF"/>
    <w:rsid w:val="00253F55"/>
    <w:rsid w:val="002550C2"/>
    <w:rsid w:val="00256C8A"/>
    <w:rsid w:val="002640E7"/>
    <w:rsid w:val="00265ABF"/>
    <w:rsid w:val="002664F3"/>
    <w:rsid w:val="002667FE"/>
    <w:rsid w:val="00266FE7"/>
    <w:rsid w:val="002707F7"/>
    <w:rsid w:val="0027099F"/>
    <w:rsid w:val="00270FAD"/>
    <w:rsid w:val="002714C6"/>
    <w:rsid w:val="00271DCE"/>
    <w:rsid w:val="00276384"/>
    <w:rsid w:val="00277209"/>
    <w:rsid w:val="00282AAC"/>
    <w:rsid w:val="0028346B"/>
    <w:rsid w:val="002834A5"/>
    <w:rsid w:val="00283C75"/>
    <w:rsid w:val="00285ADA"/>
    <w:rsid w:val="00287770"/>
    <w:rsid w:val="002904A2"/>
    <w:rsid w:val="00290ABB"/>
    <w:rsid w:val="002918CC"/>
    <w:rsid w:val="00291E7B"/>
    <w:rsid w:val="00292D0D"/>
    <w:rsid w:val="002968C5"/>
    <w:rsid w:val="00296D1C"/>
    <w:rsid w:val="00297504"/>
    <w:rsid w:val="002975C7"/>
    <w:rsid w:val="00297D5D"/>
    <w:rsid w:val="002A005B"/>
    <w:rsid w:val="002A063C"/>
    <w:rsid w:val="002A4357"/>
    <w:rsid w:val="002A435A"/>
    <w:rsid w:val="002A4E59"/>
    <w:rsid w:val="002A5439"/>
    <w:rsid w:val="002A7B68"/>
    <w:rsid w:val="002B1FE3"/>
    <w:rsid w:val="002B574B"/>
    <w:rsid w:val="002B7491"/>
    <w:rsid w:val="002B7CA5"/>
    <w:rsid w:val="002C4578"/>
    <w:rsid w:val="002C55A1"/>
    <w:rsid w:val="002C5829"/>
    <w:rsid w:val="002D070C"/>
    <w:rsid w:val="002D0D1B"/>
    <w:rsid w:val="002D3608"/>
    <w:rsid w:val="002D508E"/>
    <w:rsid w:val="002D5B95"/>
    <w:rsid w:val="002D630E"/>
    <w:rsid w:val="002D6916"/>
    <w:rsid w:val="002D7277"/>
    <w:rsid w:val="002D7454"/>
    <w:rsid w:val="002D7D28"/>
    <w:rsid w:val="002D7E26"/>
    <w:rsid w:val="002E10E0"/>
    <w:rsid w:val="002E1691"/>
    <w:rsid w:val="002E1798"/>
    <w:rsid w:val="002E1BBE"/>
    <w:rsid w:val="002E37E2"/>
    <w:rsid w:val="002E5035"/>
    <w:rsid w:val="002E51D2"/>
    <w:rsid w:val="002E6D99"/>
    <w:rsid w:val="002E7A66"/>
    <w:rsid w:val="002F17FE"/>
    <w:rsid w:val="002F2A22"/>
    <w:rsid w:val="002F2C61"/>
    <w:rsid w:val="002F3A90"/>
    <w:rsid w:val="002F3EEF"/>
    <w:rsid w:val="002F48AF"/>
    <w:rsid w:val="002F5AF9"/>
    <w:rsid w:val="002F6B56"/>
    <w:rsid w:val="002F6C96"/>
    <w:rsid w:val="0030081B"/>
    <w:rsid w:val="0030182F"/>
    <w:rsid w:val="003039C0"/>
    <w:rsid w:val="00304422"/>
    <w:rsid w:val="003057C9"/>
    <w:rsid w:val="00307AA5"/>
    <w:rsid w:val="00310E9F"/>
    <w:rsid w:val="003119C5"/>
    <w:rsid w:val="00314E88"/>
    <w:rsid w:val="00315263"/>
    <w:rsid w:val="003157F6"/>
    <w:rsid w:val="00316D44"/>
    <w:rsid w:val="003210C8"/>
    <w:rsid w:val="00325734"/>
    <w:rsid w:val="00325E9B"/>
    <w:rsid w:val="003303E7"/>
    <w:rsid w:val="0033055C"/>
    <w:rsid w:val="003319EF"/>
    <w:rsid w:val="0033287C"/>
    <w:rsid w:val="00335687"/>
    <w:rsid w:val="0033629A"/>
    <w:rsid w:val="00340BB9"/>
    <w:rsid w:val="00341EF6"/>
    <w:rsid w:val="003443C2"/>
    <w:rsid w:val="0034457A"/>
    <w:rsid w:val="003447E5"/>
    <w:rsid w:val="00344A42"/>
    <w:rsid w:val="00347408"/>
    <w:rsid w:val="00347940"/>
    <w:rsid w:val="00347DD8"/>
    <w:rsid w:val="003502ED"/>
    <w:rsid w:val="0035037C"/>
    <w:rsid w:val="0035138A"/>
    <w:rsid w:val="00352BF0"/>
    <w:rsid w:val="0035354B"/>
    <w:rsid w:val="00353C97"/>
    <w:rsid w:val="00353DBD"/>
    <w:rsid w:val="003559D2"/>
    <w:rsid w:val="00356128"/>
    <w:rsid w:val="003567BF"/>
    <w:rsid w:val="00360AC0"/>
    <w:rsid w:val="0036182A"/>
    <w:rsid w:val="0036261D"/>
    <w:rsid w:val="0036300A"/>
    <w:rsid w:val="003634A7"/>
    <w:rsid w:val="00365500"/>
    <w:rsid w:val="00366380"/>
    <w:rsid w:val="00367091"/>
    <w:rsid w:val="00373116"/>
    <w:rsid w:val="003736E6"/>
    <w:rsid w:val="003737A4"/>
    <w:rsid w:val="00373852"/>
    <w:rsid w:val="00373A7D"/>
    <w:rsid w:val="00374CD7"/>
    <w:rsid w:val="00376103"/>
    <w:rsid w:val="003764FA"/>
    <w:rsid w:val="00376574"/>
    <w:rsid w:val="003771C7"/>
    <w:rsid w:val="003778A3"/>
    <w:rsid w:val="00380D2E"/>
    <w:rsid w:val="0038362C"/>
    <w:rsid w:val="003864BF"/>
    <w:rsid w:val="003868ED"/>
    <w:rsid w:val="0039041B"/>
    <w:rsid w:val="00390444"/>
    <w:rsid w:val="003917B0"/>
    <w:rsid w:val="0039439E"/>
    <w:rsid w:val="00395DAB"/>
    <w:rsid w:val="00396C92"/>
    <w:rsid w:val="00397976"/>
    <w:rsid w:val="00397F88"/>
    <w:rsid w:val="003A2BF6"/>
    <w:rsid w:val="003A3373"/>
    <w:rsid w:val="003A3E29"/>
    <w:rsid w:val="003A45FB"/>
    <w:rsid w:val="003A4F94"/>
    <w:rsid w:val="003A7701"/>
    <w:rsid w:val="003A7E34"/>
    <w:rsid w:val="003B220C"/>
    <w:rsid w:val="003B2EB6"/>
    <w:rsid w:val="003B4057"/>
    <w:rsid w:val="003B4091"/>
    <w:rsid w:val="003B4482"/>
    <w:rsid w:val="003B6992"/>
    <w:rsid w:val="003B7123"/>
    <w:rsid w:val="003B7C60"/>
    <w:rsid w:val="003C06B1"/>
    <w:rsid w:val="003C0FCE"/>
    <w:rsid w:val="003C14FD"/>
    <w:rsid w:val="003C33AE"/>
    <w:rsid w:val="003C3B0E"/>
    <w:rsid w:val="003D1A38"/>
    <w:rsid w:val="003D1AB8"/>
    <w:rsid w:val="003D1BC8"/>
    <w:rsid w:val="003D3D19"/>
    <w:rsid w:val="003D579C"/>
    <w:rsid w:val="003D7E2A"/>
    <w:rsid w:val="003E1D23"/>
    <w:rsid w:val="003E2ACE"/>
    <w:rsid w:val="003E40C9"/>
    <w:rsid w:val="003E49F6"/>
    <w:rsid w:val="003E5643"/>
    <w:rsid w:val="003E56E7"/>
    <w:rsid w:val="003E68EF"/>
    <w:rsid w:val="003E6EE5"/>
    <w:rsid w:val="003E6F11"/>
    <w:rsid w:val="003E6FFF"/>
    <w:rsid w:val="003F01D5"/>
    <w:rsid w:val="003F05AD"/>
    <w:rsid w:val="003F25A8"/>
    <w:rsid w:val="003F2671"/>
    <w:rsid w:val="003F3B46"/>
    <w:rsid w:val="003F3F23"/>
    <w:rsid w:val="003F43E4"/>
    <w:rsid w:val="003F4D6B"/>
    <w:rsid w:val="003F51E5"/>
    <w:rsid w:val="003F584A"/>
    <w:rsid w:val="003F6981"/>
    <w:rsid w:val="003F6FBD"/>
    <w:rsid w:val="004001EB"/>
    <w:rsid w:val="00402B28"/>
    <w:rsid w:val="00402C27"/>
    <w:rsid w:val="004047EF"/>
    <w:rsid w:val="00404CC7"/>
    <w:rsid w:val="00406B4C"/>
    <w:rsid w:val="00407B7A"/>
    <w:rsid w:val="00407EDD"/>
    <w:rsid w:val="00407F3B"/>
    <w:rsid w:val="00410063"/>
    <w:rsid w:val="00410952"/>
    <w:rsid w:val="00411ED1"/>
    <w:rsid w:val="004120B1"/>
    <w:rsid w:val="00412A94"/>
    <w:rsid w:val="00414BCC"/>
    <w:rsid w:val="004161CF"/>
    <w:rsid w:val="00420BFB"/>
    <w:rsid w:val="00422A41"/>
    <w:rsid w:val="004233CF"/>
    <w:rsid w:val="00423778"/>
    <w:rsid w:val="00426BF7"/>
    <w:rsid w:val="00430717"/>
    <w:rsid w:val="00431883"/>
    <w:rsid w:val="0043191E"/>
    <w:rsid w:val="004319D5"/>
    <w:rsid w:val="00433473"/>
    <w:rsid w:val="0043557B"/>
    <w:rsid w:val="00436451"/>
    <w:rsid w:val="00437142"/>
    <w:rsid w:val="00441D7B"/>
    <w:rsid w:val="00443380"/>
    <w:rsid w:val="004433E1"/>
    <w:rsid w:val="004454CA"/>
    <w:rsid w:val="00445A77"/>
    <w:rsid w:val="004472A2"/>
    <w:rsid w:val="00450F36"/>
    <w:rsid w:val="00450F3A"/>
    <w:rsid w:val="00451400"/>
    <w:rsid w:val="004524F9"/>
    <w:rsid w:val="00453027"/>
    <w:rsid w:val="00454834"/>
    <w:rsid w:val="00455920"/>
    <w:rsid w:val="004574BB"/>
    <w:rsid w:val="00457BD8"/>
    <w:rsid w:val="004619D3"/>
    <w:rsid w:val="004621A1"/>
    <w:rsid w:val="004625CE"/>
    <w:rsid w:val="00462A19"/>
    <w:rsid w:val="004661F6"/>
    <w:rsid w:val="004674D6"/>
    <w:rsid w:val="00471385"/>
    <w:rsid w:val="00471762"/>
    <w:rsid w:val="00471F50"/>
    <w:rsid w:val="00472C2C"/>
    <w:rsid w:val="004767B9"/>
    <w:rsid w:val="00476B93"/>
    <w:rsid w:val="00477560"/>
    <w:rsid w:val="00477592"/>
    <w:rsid w:val="00481ACE"/>
    <w:rsid w:val="0048427B"/>
    <w:rsid w:val="00484940"/>
    <w:rsid w:val="00485D93"/>
    <w:rsid w:val="00485E16"/>
    <w:rsid w:val="0049097D"/>
    <w:rsid w:val="00490CB0"/>
    <w:rsid w:val="00491690"/>
    <w:rsid w:val="0049177C"/>
    <w:rsid w:val="004923CD"/>
    <w:rsid w:val="00493A3B"/>
    <w:rsid w:val="004A12B5"/>
    <w:rsid w:val="004A369F"/>
    <w:rsid w:val="004A3C32"/>
    <w:rsid w:val="004A41E0"/>
    <w:rsid w:val="004A4440"/>
    <w:rsid w:val="004A68FD"/>
    <w:rsid w:val="004B17C6"/>
    <w:rsid w:val="004B182E"/>
    <w:rsid w:val="004B6091"/>
    <w:rsid w:val="004B6159"/>
    <w:rsid w:val="004B7D5C"/>
    <w:rsid w:val="004C0560"/>
    <w:rsid w:val="004C2A7B"/>
    <w:rsid w:val="004C3365"/>
    <w:rsid w:val="004C4E3A"/>
    <w:rsid w:val="004C52F0"/>
    <w:rsid w:val="004C68B7"/>
    <w:rsid w:val="004C77FE"/>
    <w:rsid w:val="004D6CC1"/>
    <w:rsid w:val="004D785B"/>
    <w:rsid w:val="004E0001"/>
    <w:rsid w:val="004E2968"/>
    <w:rsid w:val="004E3E84"/>
    <w:rsid w:val="004E5834"/>
    <w:rsid w:val="004E7515"/>
    <w:rsid w:val="004F2075"/>
    <w:rsid w:val="004F3265"/>
    <w:rsid w:val="004F39A3"/>
    <w:rsid w:val="004F56B7"/>
    <w:rsid w:val="004F7C96"/>
    <w:rsid w:val="005022F7"/>
    <w:rsid w:val="0050367A"/>
    <w:rsid w:val="0050439A"/>
    <w:rsid w:val="00507DEA"/>
    <w:rsid w:val="00510C5B"/>
    <w:rsid w:val="00510E74"/>
    <w:rsid w:val="005111D7"/>
    <w:rsid w:val="0051368F"/>
    <w:rsid w:val="00514C80"/>
    <w:rsid w:val="00515D0D"/>
    <w:rsid w:val="00517BDA"/>
    <w:rsid w:val="005242E3"/>
    <w:rsid w:val="00525905"/>
    <w:rsid w:val="00532D71"/>
    <w:rsid w:val="00532F57"/>
    <w:rsid w:val="005338E3"/>
    <w:rsid w:val="00536F80"/>
    <w:rsid w:val="005405AD"/>
    <w:rsid w:val="00540BD6"/>
    <w:rsid w:val="005421B3"/>
    <w:rsid w:val="0054227D"/>
    <w:rsid w:val="005425A9"/>
    <w:rsid w:val="00542FE1"/>
    <w:rsid w:val="0054701F"/>
    <w:rsid w:val="00550A6B"/>
    <w:rsid w:val="005517EA"/>
    <w:rsid w:val="00557504"/>
    <w:rsid w:val="00560C37"/>
    <w:rsid w:val="00561BCD"/>
    <w:rsid w:val="005625B8"/>
    <w:rsid w:val="005632AF"/>
    <w:rsid w:val="0056701E"/>
    <w:rsid w:val="00571229"/>
    <w:rsid w:val="00571381"/>
    <w:rsid w:val="00571507"/>
    <w:rsid w:val="005725C2"/>
    <w:rsid w:val="005737EB"/>
    <w:rsid w:val="00574ABB"/>
    <w:rsid w:val="005753E3"/>
    <w:rsid w:val="00577BF0"/>
    <w:rsid w:val="00581C0B"/>
    <w:rsid w:val="00581CB5"/>
    <w:rsid w:val="00581F4C"/>
    <w:rsid w:val="00582135"/>
    <w:rsid w:val="00582247"/>
    <w:rsid w:val="0058306B"/>
    <w:rsid w:val="005831BF"/>
    <w:rsid w:val="00583EAD"/>
    <w:rsid w:val="00586887"/>
    <w:rsid w:val="0059095D"/>
    <w:rsid w:val="0059192A"/>
    <w:rsid w:val="0059199F"/>
    <w:rsid w:val="00591CFD"/>
    <w:rsid w:val="00594765"/>
    <w:rsid w:val="00595B2F"/>
    <w:rsid w:val="005963A1"/>
    <w:rsid w:val="00596853"/>
    <w:rsid w:val="005A0F2A"/>
    <w:rsid w:val="005A3EFB"/>
    <w:rsid w:val="005A44A1"/>
    <w:rsid w:val="005A526D"/>
    <w:rsid w:val="005A7A67"/>
    <w:rsid w:val="005B114C"/>
    <w:rsid w:val="005B1202"/>
    <w:rsid w:val="005B1D19"/>
    <w:rsid w:val="005B31F5"/>
    <w:rsid w:val="005B36D2"/>
    <w:rsid w:val="005B578B"/>
    <w:rsid w:val="005B62EF"/>
    <w:rsid w:val="005B6759"/>
    <w:rsid w:val="005B70A8"/>
    <w:rsid w:val="005C0234"/>
    <w:rsid w:val="005C0DEA"/>
    <w:rsid w:val="005C1161"/>
    <w:rsid w:val="005C170C"/>
    <w:rsid w:val="005C4195"/>
    <w:rsid w:val="005C42CD"/>
    <w:rsid w:val="005C461B"/>
    <w:rsid w:val="005C46E4"/>
    <w:rsid w:val="005C48D4"/>
    <w:rsid w:val="005C5EEF"/>
    <w:rsid w:val="005C628F"/>
    <w:rsid w:val="005C65A4"/>
    <w:rsid w:val="005C7895"/>
    <w:rsid w:val="005C78A2"/>
    <w:rsid w:val="005C7A67"/>
    <w:rsid w:val="005C7C4A"/>
    <w:rsid w:val="005C7DD1"/>
    <w:rsid w:val="005D100B"/>
    <w:rsid w:val="005D138B"/>
    <w:rsid w:val="005D20B2"/>
    <w:rsid w:val="005D2108"/>
    <w:rsid w:val="005D21F5"/>
    <w:rsid w:val="005D3D03"/>
    <w:rsid w:val="005D43DE"/>
    <w:rsid w:val="005D5CDE"/>
    <w:rsid w:val="005D79C8"/>
    <w:rsid w:val="005E24DF"/>
    <w:rsid w:val="005E2B4C"/>
    <w:rsid w:val="005E4E5D"/>
    <w:rsid w:val="005E7CEF"/>
    <w:rsid w:val="005E7E6B"/>
    <w:rsid w:val="005F02D7"/>
    <w:rsid w:val="005F0774"/>
    <w:rsid w:val="005F1DF6"/>
    <w:rsid w:val="005F26EF"/>
    <w:rsid w:val="005F35E2"/>
    <w:rsid w:val="005F4354"/>
    <w:rsid w:val="005F51BD"/>
    <w:rsid w:val="005F67B0"/>
    <w:rsid w:val="005F6B63"/>
    <w:rsid w:val="005F7F32"/>
    <w:rsid w:val="00601B0E"/>
    <w:rsid w:val="00604430"/>
    <w:rsid w:val="00605DCE"/>
    <w:rsid w:val="00606506"/>
    <w:rsid w:val="00606DC2"/>
    <w:rsid w:val="00607F79"/>
    <w:rsid w:val="00610FED"/>
    <w:rsid w:val="00611123"/>
    <w:rsid w:val="006136AA"/>
    <w:rsid w:val="00613CD3"/>
    <w:rsid w:val="0061498D"/>
    <w:rsid w:val="00614AE7"/>
    <w:rsid w:val="00614BF2"/>
    <w:rsid w:val="0061509A"/>
    <w:rsid w:val="006152E5"/>
    <w:rsid w:val="0062031F"/>
    <w:rsid w:val="00621320"/>
    <w:rsid w:val="00621558"/>
    <w:rsid w:val="006245E9"/>
    <w:rsid w:val="00624845"/>
    <w:rsid w:val="00625912"/>
    <w:rsid w:val="00626433"/>
    <w:rsid w:val="00626576"/>
    <w:rsid w:val="00626DBC"/>
    <w:rsid w:val="00630795"/>
    <w:rsid w:val="00630A4B"/>
    <w:rsid w:val="00630F38"/>
    <w:rsid w:val="00631505"/>
    <w:rsid w:val="00631AE5"/>
    <w:rsid w:val="00633730"/>
    <w:rsid w:val="0063421C"/>
    <w:rsid w:val="00635090"/>
    <w:rsid w:val="00635444"/>
    <w:rsid w:val="00636B66"/>
    <w:rsid w:val="0063768F"/>
    <w:rsid w:val="00641268"/>
    <w:rsid w:val="006434F1"/>
    <w:rsid w:val="006438BB"/>
    <w:rsid w:val="006440AF"/>
    <w:rsid w:val="00644988"/>
    <w:rsid w:val="00645C09"/>
    <w:rsid w:val="00647E31"/>
    <w:rsid w:val="006512CC"/>
    <w:rsid w:val="00651832"/>
    <w:rsid w:val="006534F5"/>
    <w:rsid w:val="00654410"/>
    <w:rsid w:val="00654C03"/>
    <w:rsid w:val="006550CE"/>
    <w:rsid w:val="006562FA"/>
    <w:rsid w:val="00662397"/>
    <w:rsid w:val="00663810"/>
    <w:rsid w:val="0066449E"/>
    <w:rsid w:val="0066531B"/>
    <w:rsid w:val="006665C5"/>
    <w:rsid w:val="00672700"/>
    <w:rsid w:val="00673DD8"/>
    <w:rsid w:val="00674CF8"/>
    <w:rsid w:val="00675C3C"/>
    <w:rsid w:val="00680C49"/>
    <w:rsid w:val="0068132F"/>
    <w:rsid w:val="006815B3"/>
    <w:rsid w:val="00681FF3"/>
    <w:rsid w:val="00683139"/>
    <w:rsid w:val="00684418"/>
    <w:rsid w:val="00684A9B"/>
    <w:rsid w:val="006858D4"/>
    <w:rsid w:val="00686219"/>
    <w:rsid w:val="006875BF"/>
    <w:rsid w:val="00690355"/>
    <w:rsid w:val="006904FE"/>
    <w:rsid w:val="0069365C"/>
    <w:rsid w:val="00694C9C"/>
    <w:rsid w:val="00696758"/>
    <w:rsid w:val="006971C6"/>
    <w:rsid w:val="006A0D9E"/>
    <w:rsid w:val="006A3C57"/>
    <w:rsid w:val="006A4B82"/>
    <w:rsid w:val="006A5E2A"/>
    <w:rsid w:val="006A5FCD"/>
    <w:rsid w:val="006A6A5D"/>
    <w:rsid w:val="006A6CDC"/>
    <w:rsid w:val="006B2A4B"/>
    <w:rsid w:val="006B306D"/>
    <w:rsid w:val="006B420D"/>
    <w:rsid w:val="006B55BE"/>
    <w:rsid w:val="006B6354"/>
    <w:rsid w:val="006B7D5F"/>
    <w:rsid w:val="006C0B97"/>
    <w:rsid w:val="006C11BB"/>
    <w:rsid w:val="006C1E06"/>
    <w:rsid w:val="006C415F"/>
    <w:rsid w:val="006C4478"/>
    <w:rsid w:val="006C44F6"/>
    <w:rsid w:val="006C69D9"/>
    <w:rsid w:val="006C6A77"/>
    <w:rsid w:val="006C6AFC"/>
    <w:rsid w:val="006C7137"/>
    <w:rsid w:val="006D3E64"/>
    <w:rsid w:val="006D493C"/>
    <w:rsid w:val="006D5556"/>
    <w:rsid w:val="006D6283"/>
    <w:rsid w:val="006E1541"/>
    <w:rsid w:val="006E381D"/>
    <w:rsid w:val="006E6538"/>
    <w:rsid w:val="006F25F7"/>
    <w:rsid w:val="006F2BF5"/>
    <w:rsid w:val="006F4650"/>
    <w:rsid w:val="006F6F26"/>
    <w:rsid w:val="006F7D82"/>
    <w:rsid w:val="007011DC"/>
    <w:rsid w:val="00703ACD"/>
    <w:rsid w:val="0070692D"/>
    <w:rsid w:val="00707003"/>
    <w:rsid w:val="007136C2"/>
    <w:rsid w:val="0071541C"/>
    <w:rsid w:val="007163CE"/>
    <w:rsid w:val="007243F0"/>
    <w:rsid w:val="00725167"/>
    <w:rsid w:val="00725705"/>
    <w:rsid w:val="00727DCD"/>
    <w:rsid w:val="0073109B"/>
    <w:rsid w:val="00731996"/>
    <w:rsid w:val="00731D99"/>
    <w:rsid w:val="007324EE"/>
    <w:rsid w:val="00734046"/>
    <w:rsid w:val="0073476E"/>
    <w:rsid w:val="007358A7"/>
    <w:rsid w:val="00740F06"/>
    <w:rsid w:val="00741AB3"/>
    <w:rsid w:val="00743AC9"/>
    <w:rsid w:val="00743B9A"/>
    <w:rsid w:val="00744CAF"/>
    <w:rsid w:val="00745BB1"/>
    <w:rsid w:val="00746744"/>
    <w:rsid w:val="00746F95"/>
    <w:rsid w:val="00747D71"/>
    <w:rsid w:val="00747F6A"/>
    <w:rsid w:val="00750893"/>
    <w:rsid w:val="00757931"/>
    <w:rsid w:val="00760342"/>
    <w:rsid w:val="00760426"/>
    <w:rsid w:val="00761C3F"/>
    <w:rsid w:val="00762957"/>
    <w:rsid w:val="0076466E"/>
    <w:rsid w:val="007653BB"/>
    <w:rsid w:val="00765462"/>
    <w:rsid w:val="00765739"/>
    <w:rsid w:val="007668B6"/>
    <w:rsid w:val="007671F8"/>
    <w:rsid w:val="00767D05"/>
    <w:rsid w:val="007753E7"/>
    <w:rsid w:val="00776E99"/>
    <w:rsid w:val="00780DE8"/>
    <w:rsid w:val="0078303D"/>
    <w:rsid w:val="007832B9"/>
    <w:rsid w:val="00785284"/>
    <w:rsid w:val="00785BEC"/>
    <w:rsid w:val="00785C95"/>
    <w:rsid w:val="007861CC"/>
    <w:rsid w:val="00787252"/>
    <w:rsid w:val="00787CED"/>
    <w:rsid w:val="0079040E"/>
    <w:rsid w:val="00790656"/>
    <w:rsid w:val="00792C5E"/>
    <w:rsid w:val="00793E3C"/>
    <w:rsid w:val="00796570"/>
    <w:rsid w:val="00796751"/>
    <w:rsid w:val="00797677"/>
    <w:rsid w:val="00797BD2"/>
    <w:rsid w:val="00797ECB"/>
    <w:rsid w:val="007A1BE9"/>
    <w:rsid w:val="007A1E1A"/>
    <w:rsid w:val="007A36C3"/>
    <w:rsid w:val="007A3BB4"/>
    <w:rsid w:val="007A576D"/>
    <w:rsid w:val="007B136E"/>
    <w:rsid w:val="007B14D6"/>
    <w:rsid w:val="007B247C"/>
    <w:rsid w:val="007B331E"/>
    <w:rsid w:val="007B53B1"/>
    <w:rsid w:val="007B6B17"/>
    <w:rsid w:val="007B779C"/>
    <w:rsid w:val="007C337C"/>
    <w:rsid w:val="007C379F"/>
    <w:rsid w:val="007C4142"/>
    <w:rsid w:val="007C42D9"/>
    <w:rsid w:val="007C454A"/>
    <w:rsid w:val="007C6571"/>
    <w:rsid w:val="007D28E4"/>
    <w:rsid w:val="007D5AE7"/>
    <w:rsid w:val="007D65A6"/>
    <w:rsid w:val="007D671C"/>
    <w:rsid w:val="007D7CA7"/>
    <w:rsid w:val="007E0293"/>
    <w:rsid w:val="007E25A1"/>
    <w:rsid w:val="007F1CA7"/>
    <w:rsid w:val="007F2A6F"/>
    <w:rsid w:val="007F2AA2"/>
    <w:rsid w:val="007F3A3C"/>
    <w:rsid w:val="007F5327"/>
    <w:rsid w:val="007F5822"/>
    <w:rsid w:val="007F60ED"/>
    <w:rsid w:val="00802062"/>
    <w:rsid w:val="0080439B"/>
    <w:rsid w:val="00805CB4"/>
    <w:rsid w:val="00807755"/>
    <w:rsid w:val="00811BFA"/>
    <w:rsid w:val="00816F99"/>
    <w:rsid w:val="00816FAC"/>
    <w:rsid w:val="008175AE"/>
    <w:rsid w:val="00820DA2"/>
    <w:rsid w:val="0082139D"/>
    <w:rsid w:val="008217CA"/>
    <w:rsid w:val="008235EB"/>
    <w:rsid w:val="00826C3A"/>
    <w:rsid w:val="008276F3"/>
    <w:rsid w:val="00827FAE"/>
    <w:rsid w:val="00833446"/>
    <w:rsid w:val="008353AD"/>
    <w:rsid w:val="008356AB"/>
    <w:rsid w:val="00836221"/>
    <w:rsid w:val="0084069A"/>
    <w:rsid w:val="008439FD"/>
    <w:rsid w:val="0084493D"/>
    <w:rsid w:val="00845ABF"/>
    <w:rsid w:val="00845BB7"/>
    <w:rsid w:val="00846B0F"/>
    <w:rsid w:val="008470F8"/>
    <w:rsid w:val="008511A9"/>
    <w:rsid w:val="0085194A"/>
    <w:rsid w:val="00854C95"/>
    <w:rsid w:val="008553C3"/>
    <w:rsid w:val="0085695A"/>
    <w:rsid w:val="0085751C"/>
    <w:rsid w:val="00862803"/>
    <w:rsid w:val="00863EF3"/>
    <w:rsid w:val="00864344"/>
    <w:rsid w:val="00866749"/>
    <w:rsid w:val="00866C59"/>
    <w:rsid w:val="008701EA"/>
    <w:rsid w:val="00872B7C"/>
    <w:rsid w:val="00872FD2"/>
    <w:rsid w:val="008735E6"/>
    <w:rsid w:val="008750AE"/>
    <w:rsid w:val="00875846"/>
    <w:rsid w:val="008766E5"/>
    <w:rsid w:val="00876BE8"/>
    <w:rsid w:val="00880704"/>
    <w:rsid w:val="008807C9"/>
    <w:rsid w:val="00880D9C"/>
    <w:rsid w:val="00882145"/>
    <w:rsid w:val="0088281D"/>
    <w:rsid w:val="00883598"/>
    <w:rsid w:val="0088400D"/>
    <w:rsid w:val="00887FC8"/>
    <w:rsid w:val="00890219"/>
    <w:rsid w:val="00891FAC"/>
    <w:rsid w:val="008933EB"/>
    <w:rsid w:val="00894A34"/>
    <w:rsid w:val="00896B15"/>
    <w:rsid w:val="00896E0E"/>
    <w:rsid w:val="008A1EBB"/>
    <w:rsid w:val="008A207F"/>
    <w:rsid w:val="008A4638"/>
    <w:rsid w:val="008A51A2"/>
    <w:rsid w:val="008A5774"/>
    <w:rsid w:val="008A5EAE"/>
    <w:rsid w:val="008A5F73"/>
    <w:rsid w:val="008A62BC"/>
    <w:rsid w:val="008A647B"/>
    <w:rsid w:val="008B10C5"/>
    <w:rsid w:val="008B457B"/>
    <w:rsid w:val="008C037F"/>
    <w:rsid w:val="008C0815"/>
    <w:rsid w:val="008C1455"/>
    <w:rsid w:val="008C1BC3"/>
    <w:rsid w:val="008C2F93"/>
    <w:rsid w:val="008C3DED"/>
    <w:rsid w:val="008C5860"/>
    <w:rsid w:val="008C59A1"/>
    <w:rsid w:val="008C605A"/>
    <w:rsid w:val="008C6C0A"/>
    <w:rsid w:val="008C7693"/>
    <w:rsid w:val="008D0660"/>
    <w:rsid w:val="008D0CDE"/>
    <w:rsid w:val="008D374F"/>
    <w:rsid w:val="008D37EE"/>
    <w:rsid w:val="008D55D2"/>
    <w:rsid w:val="008E3028"/>
    <w:rsid w:val="008E4D40"/>
    <w:rsid w:val="008F2A0C"/>
    <w:rsid w:val="008F2C8A"/>
    <w:rsid w:val="008F6DCD"/>
    <w:rsid w:val="008F74E6"/>
    <w:rsid w:val="0090191B"/>
    <w:rsid w:val="009025D1"/>
    <w:rsid w:val="009043D9"/>
    <w:rsid w:val="0090564C"/>
    <w:rsid w:val="0090590B"/>
    <w:rsid w:val="009074B5"/>
    <w:rsid w:val="0091237F"/>
    <w:rsid w:val="00913CB4"/>
    <w:rsid w:val="00915987"/>
    <w:rsid w:val="009173CE"/>
    <w:rsid w:val="00921439"/>
    <w:rsid w:val="00921CEF"/>
    <w:rsid w:val="00921D04"/>
    <w:rsid w:val="009231EC"/>
    <w:rsid w:val="00923635"/>
    <w:rsid w:val="009245E3"/>
    <w:rsid w:val="009250CC"/>
    <w:rsid w:val="0092514E"/>
    <w:rsid w:val="00925A90"/>
    <w:rsid w:val="00925D8C"/>
    <w:rsid w:val="00927FBE"/>
    <w:rsid w:val="00931136"/>
    <w:rsid w:val="009327EF"/>
    <w:rsid w:val="0093299E"/>
    <w:rsid w:val="00933218"/>
    <w:rsid w:val="00933F3C"/>
    <w:rsid w:val="009348EC"/>
    <w:rsid w:val="00934F06"/>
    <w:rsid w:val="0093518C"/>
    <w:rsid w:val="00943DF1"/>
    <w:rsid w:val="00944396"/>
    <w:rsid w:val="00946AE0"/>
    <w:rsid w:val="00950BD1"/>
    <w:rsid w:val="00950F8F"/>
    <w:rsid w:val="0095143D"/>
    <w:rsid w:val="009514F9"/>
    <w:rsid w:val="0095255D"/>
    <w:rsid w:val="00952B82"/>
    <w:rsid w:val="0095385B"/>
    <w:rsid w:val="0095554F"/>
    <w:rsid w:val="00956D94"/>
    <w:rsid w:val="0095717C"/>
    <w:rsid w:val="0095780C"/>
    <w:rsid w:val="00957B66"/>
    <w:rsid w:val="00961EB0"/>
    <w:rsid w:val="00961F3B"/>
    <w:rsid w:val="00963ABC"/>
    <w:rsid w:val="00963CB4"/>
    <w:rsid w:val="00967BCA"/>
    <w:rsid w:val="00970EA1"/>
    <w:rsid w:val="00971128"/>
    <w:rsid w:val="00974A19"/>
    <w:rsid w:val="00975685"/>
    <w:rsid w:val="00976110"/>
    <w:rsid w:val="00976F8A"/>
    <w:rsid w:val="009776DF"/>
    <w:rsid w:val="009805AB"/>
    <w:rsid w:val="009835D6"/>
    <w:rsid w:val="0098397F"/>
    <w:rsid w:val="009846F3"/>
    <w:rsid w:val="00985846"/>
    <w:rsid w:val="00985862"/>
    <w:rsid w:val="009860B3"/>
    <w:rsid w:val="0098616B"/>
    <w:rsid w:val="0099296E"/>
    <w:rsid w:val="00992DAD"/>
    <w:rsid w:val="00995292"/>
    <w:rsid w:val="009975C1"/>
    <w:rsid w:val="00997893"/>
    <w:rsid w:val="009A08A2"/>
    <w:rsid w:val="009A1155"/>
    <w:rsid w:val="009A1670"/>
    <w:rsid w:val="009A17BF"/>
    <w:rsid w:val="009A1A44"/>
    <w:rsid w:val="009A269A"/>
    <w:rsid w:val="009A38D2"/>
    <w:rsid w:val="009A3B5E"/>
    <w:rsid w:val="009A40C7"/>
    <w:rsid w:val="009A4DF7"/>
    <w:rsid w:val="009B43CC"/>
    <w:rsid w:val="009C0B8F"/>
    <w:rsid w:val="009C0F3B"/>
    <w:rsid w:val="009C17E7"/>
    <w:rsid w:val="009C1BA6"/>
    <w:rsid w:val="009C1F80"/>
    <w:rsid w:val="009C3304"/>
    <w:rsid w:val="009C407C"/>
    <w:rsid w:val="009C4376"/>
    <w:rsid w:val="009C69B1"/>
    <w:rsid w:val="009C6FCA"/>
    <w:rsid w:val="009C70AE"/>
    <w:rsid w:val="009C7CE6"/>
    <w:rsid w:val="009D2E35"/>
    <w:rsid w:val="009D3676"/>
    <w:rsid w:val="009D3A0B"/>
    <w:rsid w:val="009D5BB8"/>
    <w:rsid w:val="009D6FB6"/>
    <w:rsid w:val="009E0D86"/>
    <w:rsid w:val="009E3AB8"/>
    <w:rsid w:val="009E6091"/>
    <w:rsid w:val="009E67A7"/>
    <w:rsid w:val="009E7D0B"/>
    <w:rsid w:val="009F04AC"/>
    <w:rsid w:val="009F5065"/>
    <w:rsid w:val="009F5254"/>
    <w:rsid w:val="009F6964"/>
    <w:rsid w:val="009F75E4"/>
    <w:rsid w:val="009F7D12"/>
    <w:rsid w:val="00A00F59"/>
    <w:rsid w:val="00A032F4"/>
    <w:rsid w:val="00A0637E"/>
    <w:rsid w:val="00A065ED"/>
    <w:rsid w:val="00A06C15"/>
    <w:rsid w:val="00A07F55"/>
    <w:rsid w:val="00A1063D"/>
    <w:rsid w:val="00A10B52"/>
    <w:rsid w:val="00A10F22"/>
    <w:rsid w:val="00A12980"/>
    <w:rsid w:val="00A2467A"/>
    <w:rsid w:val="00A24E14"/>
    <w:rsid w:val="00A25E5A"/>
    <w:rsid w:val="00A27335"/>
    <w:rsid w:val="00A275B2"/>
    <w:rsid w:val="00A30939"/>
    <w:rsid w:val="00A30DC9"/>
    <w:rsid w:val="00A310A8"/>
    <w:rsid w:val="00A31E20"/>
    <w:rsid w:val="00A321D7"/>
    <w:rsid w:val="00A32D89"/>
    <w:rsid w:val="00A34A31"/>
    <w:rsid w:val="00A36FAB"/>
    <w:rsid w:val="00A41F5B"/>
    <w:rsid w:val="00A43237"/>
    <w:rsid w:val="00A4528C"/>
    <w:rsid w:val="00A45ACC"/>
    <w:rsid w:val="00A46041"/>
    <w:rsid w:val="00A501A3"/>
    <w:rsid w:val="00A50649"/>
    <w:rsid w:val="00A50768"/>
    <w:rsid w:val="00A51E84"/>
    <w:rsid w:val="00A52B9D"/>
    <w:rsid w:val="00A53C3C"/>
    <w:rsid w:val="00A54A7E"/>
    <w:rsid w:val="00A553E3"/>
    <w:rsid w:val="00A55A94"/>
    <w:rsid w:val="00A6049F"/>
    <w:rsid w:val="00A606E7"/>
    <w:rsid w:val="00A62388"/>
    <w:rsid w:val="00A63852"/>
    <w:rsid w:val="00A63A1A"/>
    <w:rsid w:val="00A63FE4"/>
    <w:rsid w:val="00A65769"/>
    <w:rsid w:val="00A65A2C"/>
    <w:rsid w:val="00A65E15"/>
    <w:rsid w:val="00A66905"/>
    <w:rsid w:val="00A66D92"/>
    <w:rsid w:val="00A67413"/>
    <w:rsid w:val="00A713DD"/>
    <w:rsid w:val="00A71585"/>
    <w:rsid w:val="00A73D37"/>
    <w:rsid w:val="00A7469D"/>
    <w:rsid w:val="00A74D08"/>
    <w:rsid w:val="00A7568B"/>
    <w:rsid w:val="00A75C91"/>
    <w:rsid w:val="00A763D0"/>
    <w:rsid w:val="00A81491"/>
    <w:rsid w:val="00A81CBC"/>
    <w:rsid w:val="00A82B4B"/>
    <w:rsid w:val="00A8398A"/>
    <w:rsid w:val="00A8675A"/>
    <w:rsid w:val="00A87D8E"/>
    <w:rsid w:val="00A9150F"/>
    <w:rsid w:val="00A954A2"/>
    <w:rsid w:val="00A95C01"/>
    <w:rsid w:val="00A9660B"/>
    <w:rsid w:val="00A96EC8"/>
    <w:rsid w:val="00AA205A"/>
    <w:rsid w:val="00AA2899"/>
    <w:rsid w:val="00AA2EDF"/>
    <w:rsid w:val="00AA584B"/>
    <w:rsid w:val="00AA61C9"/>
    <w:rsid w:val="00AA791B"/>
    <w:rsid w:val="00AB119D"/>
    <w:rsid w:val="00AB1873"/>
    <w:rsid w:val="00AB42B4"/>
    <w:rsid w:val="00AB4A3F"/>
    <w:rsid w:val="00AB52D9"/>
    <w:rsid w:val="00AB7541"/>
    <w:rsid w:val="00AC2F31"/>
    <w:rsid w:val="00AC3972"/>
    <w:rsid w:val="00AC547F"/>
    <w:rsid w:val="00AC74A7"/>
    <w:rsid w:val="00AD12BE"/>
    <w:rsid w:val="00AD435B"/>
    <w:rsid w:val="00AD4991"/>
    <w:rsid w:val="00AD4A22"/>
    <w:rsid w:val="00AE000F"/>
    <w:rsid w:val="00AE13EB"/>
    <w:rsid w:val="00AE2D53"/>
    <w:rsid w:val="00AE5123"/>
    <w:rsid w:val="00AE52FE"/>
    <w:rsid w:val="00AE549C"/>
    <w:rsid w:val="00AE5AB2"/>
    <w:rsid w:val="00AE6EF0"/>
    <w:rsid w:val="00AE73B7"/>
    <w:rsid w:val="00AF47C2"/>
    <w:rsid w:val="00AF5477"/>
    <w:rsid w:val="00AF5A65"/>
    <w:rsid w:val="00AF6452"/>
    <w:rsid w:val="00AF7A7F"/>
    <w:rsid w:val="00B01F01"/>
    <w:rsid w:val="00B03FF8"/>
    <w:rsid w:val="00B049DB"/>
    <w:rsid w:val="00B065D6"/>
    <w:rsid w:val="00B06A40"/>
    <w:rsid w:val="00B06BC0"/>
    <w:rsid w:val="00B07505"/>
    <w:rsid w:val="00B07906"/>
    <w:rsid w:val="00B07B3F"/>
    <w:rsid w:val="00B129D9"/>
    <w:rsid w:val="00B13139"/>
    <w:rsid w:val="00B1441E"/>
    <w:rsid w:val="00B14F33"/>
    <w:rsid w:val="00B16CF5"/>
    <w:rsid w:val="00B208CF"/>
    <w:rsid w:val="00B20EE0"/>
    <w:rsid w:val="00B25A3B"/>
    <w:rsid w:val="00B2602F"/>
    <w:rsid w:val="00B262E8"/>
    <w:rsid w:val="00B26D4D"/>
    <w:rsid w:val="00B27156"/>
    <w:rsid w:val="00B271A5"/>
    <w:rsid w:val="00B27EF4"/>
    <w:rsid w:val="00B31E5C"/>
    <w:rsid w:val="00B36270"/>
    <w:rsid w:val="00B41A41"/>
    <w:rsid w:val="00B441BF"/>
    <w:rsid w:val="00B44D3B"/>
    <w:rsid w:val="00B45E39"/>
    <w:rsid w:val="00B45F4C"/>
    <w:rsid w:val="00B462C5"/>
    <w:rsid w:val="00B468E6"/>
    <w:rsid w:val="00B47651"/>
    <w:rsid w:val="00B50DFD"/>
    <w:rsid w:val="00B512EE"/>
    <w:rsid w:val="00B534ED"/>
    <w:rsid w:val="00B5379B"/>
    <w:rsid w:val="00B54024"/>
    <w:rsid w:val="00B550CF"/>
    <w:rsid w:val="00B559A6"/>
    <w:rsid w:val="00B614E4"/>
    <w:rsid w:val="00B62D54"/>
    <w:rsid w:val="00B633CD"/>
    <w:rsid w:val="00B64155"/>
    <w:rsid w:val="00B64F65"/>
    <w:rsid w:val="00B6776C"/>
    <w:rsid w:val="00B67ABE"/>
    <w:rsid w:val="00B67EB7"/>
    <w:rsid w:val="00B75982"/>
    <w:rsid w:val="00B774F3"/>
    <w:rsid w:val="00B779DB"/>
    <w:rsid w:val="00B831FE"/>
    <w:rsid w:val="00B83C7F"/>
    <w:rsid w:val="00B86670"/>
    <w:rsid w:val="00B900B5"/>
    <w:rsid w:val="00B9033E"/>
    <w:rsid w:val="00B90D86"/>
    <w:rsid w:val="00B927B4"/>
    <w:rsid w:val="00B92C90"/>
    <w:rsid w:val="00B94ED8"/>
    <w:rsid w:val="00B9726F"/>
    <w:rsid w:val="00BA0190"/>
    <w:rsid w:val="00BA233E"/>
    <w:rsid w:val="00BA4CCD"/>
    <w:rsid w:val="00BA4F48"/>
    <w:rsid w:val="00BA642A"/>
    <w:rsid w:val="00BB05C3"/>
    <w:rsid w:val="00BB1899"/>
    <w:rsid w:val="00BB31F0"/>
    <w:rsid w:val="00BB3C00"/>
    <w:rsid w:val="00BB3D12"/>
    <w:rsid w:val="00BB5D41"/>
    <w:rsid w:val="00BB6CEE"/>
    <w:rsid w:val="00BC0731"/>
    <w:rsid w:val="00BC1371"/>
    <w:rsid w:val="00BC1B09"/>
    <w:rsid w:val="00BC2672"/>
    <w:rsid w:val="00BC2B83"/>
    <w:rsid w:val="00BC3DB2"/>
    <w:rsid w:val="00BC5A17"/>
    <w:rsid w:val="00BC5CF7"/>
    <w:rsid w:val="00BC6AC3"/>
    <w:rsid w:val="00BC77EA"/>
    <w:rsid w:val="00BC77EE"/>
    <w:rsid w:val="00BD170E"/>
    <w:rsid w:val="00BD187C"/>
    <w:rsid w:val="00BD3C7B"/>
    <w:rsid w:val="00BD4467"/>
    <w:rsid w:val="00BD453B"/>
    <w:rsid w:val="00BD4708"/>
    <w:rsid w:val="00BD4AA2"/>
    <w:rsid w:val="00BD5904"/>
    <w:rsid w:val="00BD69F3"/>
    <w:rsid w:val="00BD71DF"/>
    <w:rsid w:val="00BE0FE0"/>
    <w:rsid w:val="00BE1F6D"/>
    <w:rsid w:val="00BE409A"/>
    <w:rsid w:val="00BE4399"/>
    <w:rsid w:val="00BE44C6"/>
    <w:rsid w:val="00BE51BB"/>
    <w:rsid w:val="00BE7974"/>
    <w:rsid w:val="00BF2FD1"/>
    <w:rsid w:val="00C00EFA"/>
    <w:rsid w:val="00C02832"/>
    <w:rsid w:val="00C02EE1"/>
    <w:rsid w:val="00C03821"/>
    <w:rsid w:val="00C03DAD"/>
    <w:rsid w:val="00C04554"/>
    <w:rsid w:val="00C0461E"/>
    <w:rsid w:val="00C073E6"/>
    <w:rsid w:val="00C11D56"/>
    <w:rsid w:val="00C12E27"/>
    <w:rsid w:val="00C14345"/>
    <w:rsid w:val="00C14482"/>
    <w:rsid w:val="00C14FE4"/>
    <w:rsid w:val="00C15408"/>
    <w:rsid w:val="00C16AC9"/>
    <w:rsid w:val="00C17538"/>
    <w:rsid w:val="00C17636"/>
    <w:rsid w:val="00C20AA8"/>
    <w:rsid w:val="00C22F60"/>
    <w:rsid w:val="00C24B5D"/>
    <w:rsid w:val="00C254BE"/>
    <w:rsid w:val="00C25D8B"/>
    <w:rsid w:val="00C25FC1"/>
    <w:rsid w:val="00C262AF"/>
    <w:rsid w:val="00C271D6"/>
    <w:rsid w:val="00C277F3"/>
    <w:rsid w:val="00C3088D"/>
    <w:rsid w:val="00C319A8"/>
    <w:rsid w:val="00C319F9"/>
    <w:rsid w:val="00C3530A"/>
    <w:rsid w:val="00C353B7"/>
    <w:rsid w:val="00C3585B"/>
    <w:rsid w:val="00C35C89"/>
    <w:rsid w:val="00C36570"/>
    <w:rsid w:val="00C36EEA"/>
    <w:rsid w:val="00C43C8F"/>
    <w:rsid w:val="00C449E5"/>
    <w:rsid w:val="00C451FF"/>
    <w:rsid w:val="00C45889"/>
    <w:rsid w:val="00C476BC"/>
    <w:rsid w:val="00C47BC6"/>
    <w:rsid w:val="00C50F05"/>
    <w:rsid w:val="00C51114"/>
    <w:rsid w:val="00C51F93"/>
    <w:rsid w:val="00C52421"/>
    <w:rsid w:val="00C52AD3"/>
    <w:rsid w:val="00C54034"/>
    <w:rsid w:val="00C56213"/>
    <w:rsid w:val="00C56894"/>
    <w:rsid w:val="00C62C8A"/>
    <w:rsid w:val="00C6582D"/>
    <w:rsid w:val="00C667DD"/>
    <w:rsid w:val="00C72D86"/>
    <w:rsid w:val="00C73560"/>
    <w:rsid w:val="00C73CDE"/>
    <w:rsid w:val="00C74150"/>
    <w:rsid w:val="00C749DA"/>
    <w:rsid w:val="00C77983"/>
    <w:rsid w:val="00C77AE1"/>
    <w:rsid w:val="00C80926"/>
    <w:rsid w:val="00C818D7"/>
    <w:rsid w:val="00C847AA"/>
    <w:rsid w:val="00C87C30"/>
    <w:rsid w:val="00C90D80"/>
    <w:rsid w:val="00C9217F"/>
    <w:rsid w:val="00C92559"/>
    <w:rsid w:val="00C931EC"/>
    <w:rsid w:val="00C937E6"/>
    <w:rsid w:val="00C940D9"/>
    <w:rsid w:val="00C96DCD"/>
    <w:rsid w:val="00CA0B88"/>
    <w:rsid w:val="00CA1826"/>
    <w:rsid w:val="00CA1D08"/>
    <w:rsid w:val="00CA25DB"/>
    <w:rsid w:val="00CA283F"/>
    <w:rsid w:val="00CA31E3"/>
    <w:rsid w:val="00CA46B8"/>
    <w:rsid w:val="00CA5C25"/>
    <w:rsid w:val="00CA6875"/>
    <w:rsid w:val="00CA6F29"/>
    <w:rsid w:val="00CA70D7"/>
    <w:rsid w:val="00CA7778"/>
    <w:rsid w:val="00CA7F62"/>
    <w:rsid w:val="00CA7FA6"/>
    <w:rsid w:val="00CB0314"/>
    <w:rsid w:val="00CB09A7"/>
    <w:rsid w:val="00CB1379"/>
    <w:rsid w:val="00CB2CAE"/>
    <w:rsid w:val="00CB3A64"/>
    <w:rsid w:val="00CB5631"/>
    <w:rsid w:val="00CB5A16"/>
    <w:rsid w:val="00CB5E63"/>
    <w:rsid w:val="00CB6542"/>
    <w:rsid w:val="00CB73CD"/>
    <w:rsid w:val="00CC0A3F"/>
    <w:rsid w:val="00CC1180"/>
    <w:rsid w:val="00CC28A7"/>
    <w:rsid w:val="00CD02EB"/>
    <w:rsid w:val="00CD085E"/>
    <w:rsid w:val="00CD3030"/>
    <w:rsid w:val="00CD3BF9"/>
    <w:rsid w:val="00CD4839"/>
    <w:rsid w:val="00CD4BC8"/>
    <w:rsid w:val="00CD5C4D"/>
    <w:rsid w:val="00CD5CEA"/>
    <w:rsid w:val="00CD7B08"/>
    <w:rsid w:val="00CE7CEC"/>
    <w:rsid w:val="00CF0DE5"/>
    <w:rsid w:val="00CF1DAF"/>
    <w:rsid w:val="00CF2EA4"/>
    <w:rsid w:val="00CF5C81"/>
    <w:rsid w:val="00CF6DAA"/>
    <w:rsid w:val="00CF7B2E"/>
    <w:rsid w:val="00D00F46"/>
    <w:rsid w:val="00D02685"/>
    <w:rsid w:val="00D0517D"/>
    <w:rsid w:val="00D0611E"/>
    <w:rsid w:val="00D065C8"/>
    <w:rsid w:val="00D10E77"/>
    <w:rsid w:val="00D13401"/>
    <w:rsid w:val="00D158C9"/>
    <w:rsid w:val="00D160C9"/>
    <w:rsid w:val="00D1718C"/>
    <w:rsid w:val="00D2039E"/>
    <w:rsid w:val="00D20477"/>
    <w:rsid w:val="00D2150E"/>
    <w:rsid w:val="00D21C2F"/>
    <w:rsid w:val="00D2209E"/>
    <w:rsid w:val="00D22DA8"/>
    <w:rsid w:val="00D3110E"/>
    <w:rsid w:val="00D320C8"/>
    <w:rsid w:val="00D32E8F"/>
    <w:rsid w:val="00D3344C"/>
    <w:rsid w:val="00D35304"/>
    <w:rsid w:val="00D36368"/>
    <w:rsid w:val="00D4201E"/>
    <w:rsid w:val="00D42718"/>
    <w:rsid w:val="00D43142"/>
    <w:rsid w:val="00D43A16"/>
    <w:rsid w:val="00D452A5"/>
    <w:rsid w:val="00D50541"/>
    <w:rsid w:val="00D514DB"/>
    <w:rsid w:val="00D5709E"/>
    <w:rsid w:val="00D600BE"/>
    <w:rsid w:val="00D647E7"/>
    <w:rsid w:val="00D65666"/>
    <w:rsid w:val="00D6570D"/>
    <w:rsid w:val="00D6618A"/>
    <w:rsid w:val="00D66306"/>
    <w:rsid w:val="00D67391"/>
    <w:rsid w:val="00D71B6E"/>
    <w:rsid w:val="00D723CB"/>
    <w:rsid w:val="00D73018"/>
    <w:rsid w:val="00D73BC7"/>
    <w:rsid w:val="00D7635A"/>
    <w:rsid w:val="00D769DF"/>
    <w:rsid w:val="00D77391"/>
    <w:rsid w:val="00D803FA"/>
    <w:rsid w:val="00D8139A"/>
    <w:rsid w:val="00D81A4E"/>
    <w:rsid w:val="00D821C1"/>
    <w:rsid w:val="00D823F9"/>
    <w:rsid w:val="00D82CC0"/>
    <w:rsid w:val="00D850AF"/>
    <w:rsid w:val="00D85DE4"/>
    <w:rsid w:val="00D86FF6"/>
    <w:rsid w:val="00D91886"/>
    <w:rsid w:val="00D92FE3"/>
    <w:rsid w:val="00D93B61"/>
    <w:rsid w:val="00D952C5"/>
    <w:rsid w:val="00D96789"/>
    <w:rsid w:val="00D97173"/>
    <w:rsid w:val="00D97232"/>
    <w:rsid w:val="00DA1DB9"/>
    <w:rsid w:val="00DA4154"/>
    <w:rsid w:val="00DA4394"/>
    <w:rsid w:val="00DA45D5"/>
    <w:rsid w:val="00DA477B"/>
    <w:rsid w:val="00DA5969"/>
    <w:rsid w:val="00DA76B7"/>
    <w:rsid w:val="00DB132D"/>
    <w:rsid w:val="00DB3101"/>
    <w:rsid w:val="00DB47E9"/>
    <w:rsid w:val="00DB7024"/>
    <w:rsid w:val="00DC0845"/>
    <w:rsid w:val="00DC233D"/>
    <w:rsid w:val="00DC4200"/>
    <w:rsid w:val="00DC6202"/>
    <w:rsid w:val="00DC6A07"/>
    <w:rsid w:val="00DD24B1"/>
    <w:rsid w:val="00DD375E"/>
    <w:rsid w:val="00DD3D05"/>
    <w:rsid w:val="00DD4F22"/>
    <w:rsid w:val="00DD51BB"/>
    <w:rsid w:val="00DD5763"/>
    <w:rsid w:val="00DD5A80"/>
    <w:rsid w:val="00DD6F4A"/>
    <w:rsid w:val="00DE0385"/>
    <w:rsid w:val="00DE1C49"/>
    <w:rsid w:val="00DE550D"/>
    <w:rsid w:val="00DE57E6"/>
    <w:rsid w:val="00DE7B48"/>
    <w:rsid w:val="00DF02AF"/>
    <w:rsid w:val="00DF0E66"/>
    <w:rsid w:val="00DF305F"/>
    <w:rsid w:val="00DF31B1"/>
    <w:rsid w:val="00DF4F8A"/>
    <w:rsid w:val="00DF5206"/>
    <w:rsid w:val="00DF536E"/>
    <w:rsid w:val="00DF5443"/>
    <w:rsid w:val="00DF7C51"/>
    <w:rsid w:val="00E03457"/>
    <w:rsid w:val="00E0625B"/>
    <w:rsid w:val="00E069A2"/>
    <w:rsid w:val="00E12716"/>
    <w:rsid w:val="00E13FD9"/>
    <w:rsid w:val="00E15765"/>
    <w:rsid w:val="00E15849"/>
    <w:rsid w:val="00E173CC"/>
    <w:rsid w:val="00E20518"/>
    <w:rsid w:val="00E21837"/>
    <w:rsid w:val="00E24EFB"/>
    <w:rsid w:val="00E25F87"/>
    <w:rsid w:val="00E2681E"/>
    <w:rsid w:val="00E31604"/>
    <w:rsid w:val="00E32662"/>
    <w:rsid w:val="00E34C8D"/>
    <w:rsid w:val="00E3785E"/>
    <w:rsid w:val="00E43E64"/>
    <w:rsid w:val="00E44BDA"/>
    <w:rsid w:val="00E452CA"/>
    <w:rsid w:val="00E4548F"/>
    <w:rsid w:val="00E4712A"/>
    <w:rsid w:val="00E50EC0"/>
    <w:rsid w:val="00E524EA"/>
    <w:rsid w:val="00E52BE8"/>
    <w:rsid w:val="00E540B0"/>
    <w:rsid w:val="00E5549B"/>
    <w:rsid w:val="00E5721E"/>
    <w:rsid w:val="00E60568"/>
    <w:rsid w:val="00E61E45"/>
    <w:rsid w:val="00E62678"/>
    <w:rsid w:val="00E62757"/>
    <w:rsid w:val="00E63D47"/>
    <w:rsid w:val="00E64E18"/>
    <w:rsid w:val="00E65EAB"/>
    <w:rsid w:val="00E708DE"/>
    <w:rsid w:val="00E71CF4"/>
    <w:rsid w:val="00E757F0"/>
    <w:rsid w:val="00E76467"/>
    <w:rsid w:val="00E7707B"/>
    <w:rsid w:val="00E829CA"/>
    <w:rsid w:val="00E82C94"/>
    <w:rsid w:val="00E86850"/>
    <w:rsid w:val="00E901A5"/>
    <w:rsid w:val="00E9029F"/>
    <w:rsid w:val="00E90AB5"/>
    <w:rsid w:val="00E91645"/>
    <w:rsid w:val="00E919FA"/>
    <w:rsid w:val="00E932EE"/>
    <w:rsid w:val="00E9460A"/>
    <w:rsid w:val="00E952CB"/>
    <w:rsid w:val="00EA1C6D"/>
    <w:rsid w:val="00EA2383"/>
    <w:rsid w:val="00EA41AD"/>
    <w:rsid w:val="00EA57A3"/>
    <w:rsid w:val="00EB037C"/>
    <w:rsid w:val="00EB07AF"/>
    <w:rsid w:val="00EB0B49"/>
    <w:rsid w:val="00EB14A8"/>
    <w:rsid w:val="00EB1C77"/>
    <w:rsid w:val="00EB275D"/>
    <w:rsid w:val="00EB293D"/>
    <w:rsid w:val="00EB3DE0"/>
    <w:rsid w:val="00EB4CDB"/>
    <w:rsid w:val="00EB6FF1"/>
    <w:rsid w:val="00EB7372"/>
    <w:rsid w:val="00EB7D96"/>
    <w:rsid w:val="00EC209B"/>
    <w:rsid w:val="00EC2F81"/>
    <w:rsid w:val="00EC5E6A"/>
    <w:rsid w:val="00EC6915"/>
    <w:rsid w:val="00EC76A9"/>
    <w:rsid w:val="00EC7758"/>
    <w:rsid w:val="00ED0B82"/>
    <w:rsid w:val="00ED3152"/>
    <w:rsid w:val="00ED3E7E"/>
    <w:rsid w:val="00EE025D"/>
    <w:rsid w:val="00EE02BB"/>
    <w:rsid w:val="00EE0782"/>
    <w:rsid w:val="00EE276D"/>
    <w:rsid w:val="00EE32E7"/>
    <w:rsid w:val="00EE6384"/>
    <w:rsid w:val="00EE68A7"/>
    <w:rsid w:val="00EF1E7E"/>
    <w:rsid w:val="00EF1F5F"/>
    <w:rsid w:val="00EF414D"/>
    <w:rsid w:val="00EF7A48"/>
    <w:rsid w:val="00F00724"/>
    <w:rsid w:val="00F061F9"/>
    <w:rsid w:val="00F10914"/>
    <w:rsid w:val="00F10F26"/>
    <w:rsid w:val="00F11530"/>
    <w:rsid w:val="00F122DA"/>
    <w:rsid w:val="00F12511"/>
    <w:rsid w:val="00F135DF"/>
    <w:rsid w:val="00F14473"/>
    <w:rsid w:val="00F1554D"/>
    <w:rsid w:val="00F157F1"/>
    <w:rsid w:val="00F20ADC"/>
    <w:rsid w:val="00F231F5"/>
    <w:rsid w:val="00F24B9A"/>
    <w:rsid w:val="00F25A34"/>
    <w:rsid w:val="00F26AF1"/>
    <w:rsid w:val="00F312C1"/>
    <w:rsid w:val="00F34566"/>
    <w:rsid w:val="00F37121"/>
    <w:rsid w:val="00F376C5"/>
    <w:rsid w:val="00F37DB9"/>
    <w:rsid w:val="00F424DD"/>
    <w:rsid w:val="00F44541"/>
    <w:rsid w:val="00F452BF"/>
    <w:rsid w:val="00F45D54"/>
    <w:rsid w:val="00F4754C"/>
    <w:rsid w:val="00F51B92"/>
    <w:rsid w:val="00F51DE9"/>
    <w:rsid w:val="00F51F5C"/>
    <w:rsid w:val="00F52A23"/>
    <w:rsid w:val="00F53289"/>
    <w:rsid w:val="00F53CDB"/>
    <w:rsid w:val="00F5446D"/>
    <w:rsid w:val="00F553C0"/>
    <w:rsid w:val="00F55A53"/>
    <w:rsid w:val="00F569A1"/>
    <w:rsid w:val="00F56EDC"/>
    <w:rsid w:val="00F57937"/>
    <w:rsid w:val="00F6076A"/>
    <w:rsid w:val="00F6085C"/>
    <w:rsid w:val="00F61CCA"/>
    <w:rsid w:val="00F62DED"/>
    <w:rsid w:val="00F63CE3"/>
    <w:rsid w:val="00F64443"/>
    <w:rsid w:val="00F648B2"/>
    <w:rsid w:val="00F65091"/>
    <w:rsid w:val="00F67361"/>
    <w:rsid w:val="00F7011B"/>
    <w:rsid w:val="00F71B4E"/>
    <w:rsid w:val="00F727EF"/>
    <w:rsid w:val="00F7387B"/>
    <w:rsid w:val="00F7536E"/>
    <w:rsid w:val="00F7564C"/>
    <w:rsid w:val="00F763DA"/>
    <w:rsid w:val="00F80A33"/>
    <w:rsid w:val="00F81DA7"/>
    <w:rsid w:val="00F82B48"/>
    <w:rsid w:val="00F8343B"/>
    <w:rsid w:val="00F85838"/>
    <w:rsid w:val="00F8665A"/>
    <w:rsid w:val="00F875AE"/>
    <w:rsid w:val="00F90262"/>
    <w:rsid w:val="00F90A19"/>
    <w:rsid w:val="00F90E0B"/>
    <w:rsid w:val="00F9142C"/>
    <w:rsid w:val="00F92159"/>
    <w:rsid w:val="00F921F9"/>
    <w:rsid w:val="00F946B9"/>
    <w:rsid w:val="00FA1357"/>
    <w:rsid w:val="00FA6A12"/>
    <w:rsid w:val="00FA6A3F"/>
    <w:rsid w:val="00FA6E0C"/>
    <w:rsid w:val="00FB06DA"/>
    <w:rsid w:val="00FB5BE9"/>
    <w:rsid w:val="00FB7A5C"/>
    <w:rsid w:val="00FC0F02"/>
    <w:rsid w:val="00FC1CA3"/>
    <w:rsid w:val="00FC3F44"/>
    <w:rsid w:val="00FC7C4B"/>
    <w:rsid w:val="00FD0DE3"/>
    <w:rsid w:val="00FD12B2"/>
    <w:rsid w:val="00FD142D"/>
    <w:rsid w:val="00FD2136"/>
    <w:rsid w:val="00FD272C"/>
    <w:rsid w:val="00FD59BF"/>
    <w:rsid w:val="00FD6C2B"/>
    <w:rsid w:val="00FD6ED5"/>
    <w:rsid w:val="00FD79D3"/>
    <w:rsid w:val="00FE05F0"/>
    <w:rsid w:val="00FE36E8"/>
    <w:rsid w:val="00FE5281"/>
    <w:rsid w:val="00FE666D"/>
    <w:rsid w:val="00FE73BF"/>
    <w:rsid w:val="00FE769F"/>
    <w:rsid w:val="00FF12A4"/>
    <w:rsid w:val="00FF14E5"/>
    <w:rsid w:val="00FF614A"/>
    <w:rsid w:val="00FF7A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7DA11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CC0"/>
    <w:pPr>
      <w:spacing w:before="120" w:after="120"/>
    </w:pPr>
    <w:rPr>
      <w:sz w:val="24"/>
      <w:szCs w:val="24"/>
    </w:rPr>
  </w:style>
  <w:style w:type="paragraph" w:styleId="Heading1">
    <w:name w:val="heading 1"/>
    <w:basedOn w:val="ADRTitle"/>
    <w:next w:val="Normal"/>
    <w:qFormat/>
    <w:rsid w:val="00785284"/>
    <w:pPr>
      <w:tabs>
        <w:tab w:val="left" w:pos="900"/>
      </w:tabs>
      <w:jc w:val="center"/>
      <w:outlineLvl w:val="0"/>
    </w:pPr>
  </w:style>
  <w:style w:type="paragraph" w:styleId="Heading2">
    <w:name w:val="heading 2"/>
    <w:basedOn w:val="Subsection"/>
    <w:next w:val="Normal"/>
    <w:link w:val="Heading2Char"/>
    <w:qFormat/>
    <w:rsid w:val="00DD24B1"/>
    <w:pPr>
      <w:numPr>
        <w:ilvl w:val="0"/>
        <w:numId w:val="0"/>
      </w:numPr>
    </w:pPr>
  </w:style>
  <w:style w:type="paragraph" w:styleId="Heading3">
    <w:name w:val="heading 3"/>
    <w:basedOn w:val="Normal"/>
    <w:next w:val="Normal"/>
    <w:qFormat/>
    <w:rsid w:val="0095717C"/>
    <w:pP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BA4F48"/>
    <w:pPr>
      <w:spacing w:after="480"/>
    </w:pPr>
    <w:rPr>
      <w:b/>
      <w:sz w:val="40"/>
    </w:rPr>
  </w:style>
  <w:style w:type="paragraph" w:customStyle="1" w:styleId="MainHeadding">
    <w:name w:val="Main Headding"/>
    <w:basedOn w:val="Normal"/>
    <w:next w:val="Normal"/>
    <w:link w:val="MainHeaddingChar"/>
    <w:rsid w:val="00BA4CCD"/>
    <w:pPr>
      <w:numPr>
        <w:numId w:val="1"/>
      </w:numPr>
      <w:spacing w:before="240"/>
      <w:outlineLvl w:val="0"/>
    </w:pPr>
    <w:rPr>
      <w:b/>
      <w:caps/>
    </w:rPr>
  </w:style>
  <w:style w:type="paragraph" w:customStyle="1" w:styleId="Subsection">
    <w:name w:val="Sub section"/>
    <w:basedOn w:val="Normal"/>
    <w:next w:val="Normal"/>
    <w:link w:val="SubsectionChar"/>
    <w:rsid w:val="00BA4CCD"/>
    <w:pPr>
      <w:numPr>
        <w:ilvl w:val="1"/>
        <w:numId w:val="1"/>
      </w:numPr>
      <w:outlineLvl w:val="1"/>
    </w:pPr>
  </w:style>
  <w:style w:type="paragraph" w:customStyle="1" w:styleId="Subsubsection">
    <w:name w:val="Subsub section"/>
    <w:basedOn w:val="Normal"/>
    <w:next w:val="Normal"/>
    <w:rsid w:val="00BA4F48"/>
    <w:pPr>
      <w:numPr>
        <w:ilvl w:val="2"/>
        <w:numId w:val="1"/>
      </w:numPr>
    </w:pPr>
  </w:style>
  <w:style w:type="paragraph" w:customStyle="1" w:styleId="Subsubsubsection">
    <w:name w:val="Subsubsub section"/>
    <w:basedOn w:val="Normal"/>
    <w:next w:val="Normal"/>
    <w:rsid w:val="00BA4F48"/>
    <w:pPr>
      <w:numPr>
        <w:ilvl w:val="3"/>
        <w:numId w:val="1"/>
      </w:numPr>
    </w:pPr>
  </w:style>
  <w:style w:type="paragraph" w:styleId="TOC1">
    <w:name w:val="toc 1"/>
    <w:basedOn w:val="Normal"/>
    <w:next w:val="Normal"/>
    <w:link w:val="TOC1Char"/>
    <w:autoRedefine/>
    <w:uiPriority w:val="39"/>
    <w:rsid w:val="005421B3"/>
    <w:pPr>
      <w:tabs>
        <w:tab w:val="left" w:pos="851"/>
        <w:tab w:val="right" w:leader="dot" w:pos="8494"/>
      </w:tabs>
      <w:ind w:left="851" w:hanging="851"/>
    </w:pPr>
    <w:rPr>
      <w:caps/>
    </w:rPr>
  </w:style>
  <w:style w:type="paragraph" w:styleId="Header">
    <w:name w:val="header"/>
    <w:aliases w:val="6_G"/>
    <w:basedOn w:val="Normal"/>
    <w:link w:val="HeaderChar"/>
    <w:uiPriority w:val="99"/>
    <w:rsid w:val="00BA4F48"/>
    <w:pPr>
      <w:tabs>
        <w:tab w:val="center" w:pos="4153"/>
        <w:tab w:val="right" w:pos="8306"/>
      </w:tabs>
    </w:pPr>
    <w:rPr>
      <w:sz w:val="20"/>
    </w:rPr>
  </w:style>
  <w:style w:type="paragraph" w:styleId="Footer">
    <w:name w:val="footer"/>
    <w:basedOn w:val="Normal"/>
    <w:rsid w:val="00BA4F48"/>
    <w:pPr>
      <w:tabs>
        <w:tab w:val="center" w:pos="4153"/>
        <w:tab w:val="right" w:pos="8306"/>
      </w:tabs>
    </w:pPr>
    <w:rPr>
      <w:sz w:val="20"/>
    </w:rPr>
  </w:style>
  <w:style w:type="character" w:styleId="PageNumber">
    <w:name w:val="page number"/>
    <w:basedOn w:val="DefaultParagraphFont"/>
    <w:rsid w:val="00BA4F48"/>
  </w:style>
  <w:style w:type="table" w:styleId="TableGrid">
    <w:name w:val="Table Grid"/>
    <w:basedOn w:val="TableNormal"/>
    <w:rsid w:val="00BA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
    <w:name w:val="dot"/>
    <w:basedOn w:val="Normal"/>
    <w:rsid w:val="00BA4F48"/>
    <w:pPr>
      <w:ind w:left="567" w:hanging="567"/>
    </w:pPr>
    <w:rPr>
      <w:rFonts w:ascii="Courier New" w:hAnsi="Courier New"/>
      <w:szCs w:val="20"/>
    </w:rPr>
  </w:style>
  <w:style w:type="paragraph" w:styleId="BodyText">
    <w:name w:val="Body Text"/>
    <w:basedOn w:val="Normal"/>
    <w:link w:val="BodyTextChar"/>
    <w:rsid w:val="00BA4F48"/>
  </w:style>
  <w:style w:type="character" w:styleId="Hyperlink">
    <w:name w:val="Hyperlink"/>
    <w:uiPriority w:val="99"/>
    <w:rsid w:val="00AE000F"/>
    <w:rPr>
      <w:color w:val="auto"/>
      <w:u w:val="single"/>
    </w:rPr>
  </w:style>
  <w:style w:type="paragraph" w:styleId="TOC2">
    <w:name w:val="toc 2"/>
    <w:basedOn w:val="Normal"/>
    <w:next w:val="Normal"/>
    <w:autoRedefine/>
    <w:uiPriority w:val="39"/>
    <w:rsid w:val="00BA4CCD"/>
    <w:pPr>
      <w:tabs>
        <w:tab w:val="left" w:pos="851"/>
        <w:tab w:val="right" w:leader="dot" w:pos="8494"/>
      </w:tabs>
    </w:pPr>
  </w:style>
  <w:style w:type="paragraph" w:styleId="TOC3">
    <w:name w:val="toc 3"/>
    <w:basedOn w:val="Normal"/>
    <w:next w:val="Normal"/>
    <w:autoRedefine/>
    <w:semiHidden/>
    <w:rsid w:val="003A3373"/>
    <w:pPr>
      <w:ind w:left="480"/>
    </w:pPr>
  </w:style>
  <w:style w:type="paragraph" w:customStyle="1" w:styleId="MainHeading">
    <w:name w:val="Main Heading"/>
    <w:basedOn w:val="Normal"/>
    <w:next w:val="Body"/>
    <w:rsid w:val="003A3373"/>
    <w:pPr>
      <w:numPr>
        <w:numId w:val="4"/>
      </w:numPr>
    </w:pPr>
    <w:rPr>
      <w:b/>
      <w:sz w:val="28"/>
      <w:u w:val="single"/>
    </w:rPr>
  </w:style>
  <w:style w:type="paragraph" w:customStyle="1" w:styleId="Subheading">
    <w:name w:val="Sub heading"/>
    <w:basedOn w:val="MainHeading"/>
    <w:next w:val="Body"/>
    <w:rsid w:val="003A3373"/>
    <w:pPr>
      <w:numPr>
        <w:ilvl w:val="1"/>
      </w:numPr>
    </w:pPr>
    <w:rPr>
      <w:sz w:val="24"/>
      <w:u w:val="none"/>
    </w:rPr>
  </w:style>
  <w:style w:type="paragraph" w:customStyle="1" w:styleId="Subheadingx2">
    <w:name w:val="Sub heading x2"/>
    <w:basedOn w:val="Subheading"/>
    <w:next w:val="Body"/>
    <w:rsid w:val="003A3373"/>
    <w:pPr>
      <w:numPr>
        <w:ilvl w:val="2"/>
      </w:numPr>
    </w:pPr>
    <w:rPr>
      <w:b w:val="0"/>
    </w:rPr>
  </w:style>
  <w:style w:type="paragraph" w:customStyle="1" w:styleId="subheadingx3">
    <w:name w:val="sub heading x3"/>
    <w:basedOn w:val="Normal"/>
    <w:next w:val="Body"/>
    <w:rsid w:val="003A3373"/>
    <w:pPr>
      <w:numPr>
        <w:ilvl w:val="3"/>
        <w:numId w:val="4"/>
      </w:numPr>
      <w:spacing w:after="240"/>
    </w:pPr>
  </w:style>
  <w:style w:type="paragraph" w:customStyle="1" w:styleId="Body">
    <w:name w:val="Body"/>
    <w:basedOn w:val="Normal"/>
    <w:rsid w:val="003A3373"/>
    <w:pPr>
      <w:spacing w:after="240"/>
    </w:pPr>
  </w:style>
  <w:style w:type="paragraph" w:customStyle="1" w:styleId="Appendixheading">
    <w:name w:val="Appendix heading"/>
    <w:basedOn w:val="MainHeading"/>
    <w:next w:val="Body"/>
    <w:rsid w:val="003A3373"/>
    <w:pPr>
      <w:numPr>
        <w:numId w:val="0"/>
      </w:numPr>
      <w:spacing w:after="240"/>
      <w:jc w:val="center"/>
    </w:pPr>
  </w:style>
  <w:style w:type="paragraph" w:customStyle="1" w:styleId="section0clauseheaddings">
    <w:name w:val="section 0 clause headdings"/>
    <w:basedOn w:val="Normal"/>
    <w:next w:val="Normal"/>
    <w:rsid w:val="00395DAB"/>
    <w:pPr>
      <w:tabs>
        <w:tab w:val="left" w:pos="1134"/>
      </w:tabs>
      <w:spacing w:before="240"/>
      <w:ind w:left="1134" w:hanging="1134"/>
    </w:pPr>
    <w:rPr>
      <w:b/>
      <w:caps/>
    </w:rPr>
  </w:style>
  <w:style w:type="paragraph" w:styleId="BalloonText">
    <w:name w:val="Balloon Text"/>
    <w:basedOn w:val="Normal"/>
    <w:semiHidden/>
    <w:rsid w:val="000C171E"/>
    <w:rPr>
      <w:rFonts w:ascii="Tahoma" w:hAnsi="Tahoma" w:cs="Tahoma"/>
      <w:sz w:val="16"/>
      <w:szCs w:val="16"/>
    </w:rPr>
  </w:style>
  <w:style w:type="paragraph" w:customStyle="1" w:styleId="Subclause">
    <w:name w:val="Sub clause"/>
    <w:basedOn w:val="Normal"/>
    <w:next w:val="Normal"/>
    <w:link w:val="SubclauseChar"/>
    <w:rsid w:val="0035037C"/>
    <w:pPr>
      <w:tabs>
        <w:tab w:val="num" w:pos="1418"/>
      </w:tabs>
      <w:ind w:left="1418" w:hanging="1418"/>
    </w:pPr>
  </w:style>
  <w:style w:type="character" w:customStyle="1" w:styleId="SubclauseChar">
    <w:name w:val="Sub clause Char"/>
    <w:link w:val="Subclause"/>
    <w:rsid w:val="0035037C"/>
    <w:rPr>
      <w:sz w:val="24"/>
      <w:szCs w:val="24"/>
    </w:rPr>
  </w:style>
  <w:style w:type="paragraph" w:customStyle="1" w:styleId="StyledotArialLeft0cmFirstline0cmAfter12pt">
    <w:name w:val="Style dot + Arial Left:  0 cm First line:  0 cm After:  12 pt"/>
    <w:basedOn w:val="dot"/>
    <w:rsid w:val="003F01D5"/>
    <w:pPr>
      <w:spacing w:after="240"/>
      <w:ind w:left="0" w:firstLine="0"/>
    </w:pPr>
    <w:rPr>
      <w:rFonts w:ascii="Times New Roman" w:hAnsi="Times New Roman"/>
    </w:rPr>
  </w:style>
  <w:style w:type="paragraph" w:customStyle="1" w:styleId="Subsubsubclause">
    <w:name w:val="Subsubsub clause"/>
    <w:basedOn w:val="Normal"/>
    <w:next w:val="Normal"/>
    <w:rsid w:val="003F01D5"/>
    <w:pPr>
      <w:tabs>
        <w:tab w:val="num" w:pos="1418"/>
      </w:tabs>
      <w:ind w:left="1418" w:hanging="1418"/>
    </w:pPr>
  </w:style>
  <w:style w:type="character" w:customStyle="1" w:styleId="HeaderChar">
    <w:name w:val="Header Char"/>
    <w:aliases w:val="6_G Char"/>
    <w:link w:val="Header"/>
    <w:uiPriority w:val="99"/>
    <w:rsid w:val="009C1BA6"/>
    <w:rPr>
      <w:szCs w:val="24"/>
    </w:rPr>
  </w:style>
  <w:style w:type="character" w:customStyle="1" w:styleId="BodyTextChar">
    <w:name w:val="Body Text Char"/>
    <w:link w:val="BodyText"/>
    <w:rsid w:val="00CB5A16"/>
    <w:rPr>
      <w:sz w:val="24"/>
      <w:szCs w:val="24"/>
    </w:rPr>
  </w:style>
  <w:style w:type="paragraph" w:customStyle="1" w:styleId="HeadingLevel1">
    <w:name w:val="Heading Level 1"/>
    <w:basedOn w:val="MainHeadding"/>
    <w:link w:val="HeadingLevel1Char"/>
    <w:qFormat/>
    <w:rsid w:val="00785284"/>
  </w:style>
  <w:style w:type="paragraph" w:customStyle="1" w:styleId="HeadingLevel2">
    <w:name w:val="Heading Level 2"/>
    <w:basedOn w:val="Subsection"/>
    <w:link w:val="HeadingLevel2Char"/>
    <w:qFormat/>
    <w:rsid w:val="00B90D86"/>
    <w:pPr>
      <w:ind w:left="851"/>
    </w:pPr>
  </w:style>
  <w:style w:type="character" w:customStyle="1" w:styleId="MainHeaddingChar">
    <w:name w:val="Main Headding Char"/>
    <w:link w:val="MainHeadding"/>
    <w:rsid w:val="00BA4CCD"/>
    <w:rPr>
      <w:b/>
      <w:caps/>
      <w:sz w:val="24"/>
      <w:szCs w:val="24"/>
    </w:rPr>
  </w:style>
  <w:style w:type="character" w:customStyle="1" w:styleId="HeadingLevel1Char">
    <w:name w:val="Heading Level 1 Char"/>
    <w:basedOn w:val="MainHeaddingChar"/>
    <w:link w:val="HeadingLevel1"/>
    <w:rsid w:val="00785284"/>
    <w:rPr>
      <w:b/>
      <w:caps/>
      <w:sz w:val="24"/>
      <w:szCs w:val="24"/>
    </w:rPr>
  </w:style>
  <w:style w:type="paragraph" w:customStyle="1" w:styleId="BulletList">
    <w:name w:val="Bullet List"/>
    <w:basedOn w:val="ListParagraph"/>
    <w:link w:val="BulletListChar"/>
    <w:qFormat/>
    <w:rsid w:val="00BD453B"/>
    <w:pPr>
      <w:widowControl w:val="0"/>
      <w:numPr>
        <w:numId w:val="19"/>
      </w:numPr>
      <w:spacing w:before="60" w:after="60" w:line="264" w:lineRule="auto"/>
      <w:ind w:left="357" w:hanging="357"/>
    </w:pPr>
    <w:rPr>
      <w:rFonts w:eastAsia="Calibri"/>
      <w:szCs w:val="22"/>
      <w:lang w:eastAsia="en-US"/>
    </w:rPr>
  </w:style>
  <w:style w:type="character" w:customStyle="1" w:styleId="SubsectionChar">
    <w:name w:val="Sub section Char"/>
    <w:link w:val="Subsection"/>
    <w:rsid w:val="00BA4CCD"/>
    <w:rPr>
      <w:sz w:val="24"/>
      <w:szCs w:val="24"/>
    </w:rPr>
  </w:style>
  <w:style w:type="character" w:customStyle="1" w:styleId="Heading2Char">
    <w:name w:val="Heading 2 Char"/>
    <w:basedOn w:val="SubsectionChar"/>
    <w:link w:val="Heading2"/>
    <w:rsid w:val="00785284"/>
    <w:rPr>
      <w:sz w:val="24"/>
      <w:szCs w:val="24"/>
    </w:rPr>
  </w:style>
  <w:style w:type="character" w:customStyle="1" w:styleId="HeadingLevel2Char">
    <w:name w:val="Heading Level 2 Char"/>
    <w:basedOn w:val="Heading2Char"/>
    <w:link w:val="HeadingLevel2"/>
    <w:rsid w:val="00B90D86"/>
    <w:rPr>
      <w:sz w:val="24"/>
      <w:szCs w:val="24"/>
    </w:rPr>
  </w:style>
  <w:style w:type="character" w:customStyle="1" w:styleId="BulletListChar">
    <w:name w:val="Bullet List Char"/>
    <w:link w:val="BulletList"/>
    <w:rsid w:val="00BD453B"/>
    <w:rPr>
      <w:rFonts w:eastAsia="Calibri"/>
      <w:sz w:val="24"/>
      <w:szCs w:val="22"/>
      <w:lang w:eastAsia="en-US"/>
    </w:rPr>
  </w:style>
  <w:style w:type="paragraph" w:styleId="ListParagraph">
    <w:name w:val="List Paragraph"/>
    <w:basedOn w:val="Normal"/>
    <w:uiPriority w:val="34"/>
    <w:qFormat/>
    <w:rsid w:val="00C14345"/>
    <w:pPr>
      <w:ind w:left="720"/>
    </w:pPr>
  </w:style>
  <w:style w:type="paragraph" w:customStyle="1" w:styleId="ContentsHeading">
    <w:name w:val="Contents Heading"/>
    <w:basedOn w:val="Normal"/>
    <w:link w:val="ContentsHeadingChar"/>
    <w:qFormat/>
    <w:rsid w:val="00780DE8"/>
    <w:pPr>
      <w:tabs>
        <w:tab w:val="left" w:pos="900"/>
      </w:tabs>
      <w:jc w:val="center"/>
    </w:pPr>
    <w:rPr>
      <w:b/>
    </w:rPr>
  </w:style>
  <w:style w:type="character" w:customStyle="1" w:styleId="ContentsHeadingChar">
    <w:name w:val="Contents Heading Char"/>
    <w:link w:val="ContentsHeading"/>
    <w:rsid w:val="00780DE8"/>
    <w:rPr>
      <w:b/>
      <w:sz w:val="24"/>
      <w:szCs w:val="24"/>
    </w:rPr>
  </w:style>
  <w:style w:type="paragraph" w:customStyle="1" w:styleId="TOCLevel2">
    <w:name w:val="TOC Level 2"/>
    <w:basedOn w:val="Normal"/>
    <w:link w:val="TOCLevel2Char"/>
    <w:qFormat/>
    <w:rsid w:val="002E10E0"/>
    <w:pPr>
      <w:tabs>
        <w:tab w:val="left" w:pos="851"/>
        <w:tab w:val="left" w:leader="dot" w:pos="8392"/>
      </w:tabs>
    </w:pPr>
  </w:style>
  <w:style w:type="paragraph" w:customStyle="1" w:styleId="TOCLevel1">
    <w:name w:val="TOC Level 1"/>
    <w:basedOn w:val="TOC1"/>
    <w:link w:val="TOCLevel1Char"/>
    <w:qFormat/>
    <w:rsid w:val="002E10E0"/>
    <w:pPr>
      <w:tabs>
        <w:tab w:val="clear" w:pos="8494"/>
        <w:tab w:val="left" w:leader="dot" w:pos="8392"/>
      </w:tabs>
    </w:pPr>
    <w:rPr>
      <w:noProof/>
    </w:rPr>
  </w:style>
  <w:style w:type="character" w:customStyle="1" w:styleId="TOCLevel2Char">
    <w:name w:val="TOC Level 2 Char"/>
    <w:link w:val="TOCLevel2"/>
    <w:rsid w:val="002E10E0"/>
    <w:rPr>
      <w:sz w:val="24"/>
      <w:szCs w:val="24"/>
    </w:rPr>
  </w:style>
  <w:style w:type="character" w:customStyle="1" w:styleId="TOC1Char">
    <w:name w:val="TOC 1 Char"/>
    <w:link w:val="TOC1"/>
    <w:uiPriority w:val="39"/>
    <w:rsid w:val="005421B3"/>
    <w:rPr>
      <w:caps/>
      <w:sz w:val="24"/>
      <w:szCs w:val="24"/>
    </w:rPr>
  </w:style>
  <w:style w:type="character" w:customStyle="1" w:styleId="TOCLevel1Char">
    <w:name w:val="TOC Level 1 Char"/>
    <w:link w:val="TOCLevel1"/>
    <w:rsid w:val="002E10E0"/>
    <w:rPr>
      <w:caps/>
      <w:noProof/>
      <w:sz w:val="24"/>
      <w:szCs w:val="24"/>
    </w:rPr>
  </w:style>
  <w:style w:type="paragraph" w:customStyle="1" w:styleId="ESNormal">
    <w:name w:val="ES_Normal"/>
    <w:link w:val="ESNormalChar"/>
    <w:qFormat/>
    <w:rsid w:val="00376103"/>
    <w:pPr>
      <w:spacing w:before="120" w:after="120" w:line="276" w:lineRule="auto"/>
    </w:pPr>
    <w:rPr>
      <w:rFonts w:eastAsiaTheme="minorHAnsi" w:cstheme="minorBidi"/>
      <w:sz w:val="24"/>
      <w:szCs w:val="22"/>
      <w:lang w:eastAsia="en-US"/>
    </w:rPr>
  </w:style>
  <w:style w:type="character" w:customStyle="1" w:styleId="ESNormalChar">
    <w:name w:val="ES_Normal Char"/>
    <w:basedOn w:val="DefaultParagraphFont"/>
    <w:link w:val="ESNormal"/>
    <w:rsid w:val="00376103"/>
    <w:rPr>
      <w:rFonts w:eastAsiaTheme="minorHAnsi" w:cstheme="minorBidi"/>
      <w:sz w:val="24"/>
      <w:szCs w:val="22"/>
      <w:lang w:eastAsia="en-US"/>
    </w:rPr>
  </w:style>
  <w:style w:type="paragraph" w:customStyle="1" w:styleId="ESLevel1">
    <w:name w:val="ES_Level1"/>
    <w:basedOn w:val="ESNormal"/>
    <w:qFormat/>
    <w:rsid w:val="00376103"/>
    <w:pPr>
      <w:keepNext/>
      <w:numPr>
        <w:numId w:val="21"/>
      </w:numPr>
      <w:tabs>
        <w:tab w:val="num" w:pos="851"/>
      </w:tabs>
      <w:spacing w:before="240" w:after="240"/>
    </w:pPr>
    <w:rPr>
      <w:b/>
      <w:caps/>
    </w:rPr>
  </w:style>
  <w:style w:type="paragraph" w:customStyle="1" w:styleId="ESLevel2">
    <w:name w:val="ES_Level2"/>
    <w:basedOn w:val="ESNormal"/>
    <w:next w:val="ESNormal"/>
    <w:qFormat/>
    <w:rsid w:val="00376103"/>
    <w:pPr>
      <w:keepNext/>
      <w:numPr>
        <w:ilvl w:val="1"/>
        <w:numId w:val="21"/>
      </w:numPr>
      <w:tabs>
        <w:tab w:val="num" w:pos="851"/>
      </w:tabs>
      <w:spacing w:before="240" w:after="240"/>
    </w:pPr>
  </w:style>
  <w:style w:type="character" w:styleId="CommentReference">
    <w:name w:val="annotation reference"/>
    <w:basedOn w:val="DefaultParagraphFont"/>
    <w:uiPriority w:val="99"/>
    <w:semiHidden/>
    <w:unhideWhenUsed/>
    <w:rsid w:val="00D821C1"/>
    <w:rPr>
      <w:sz w:val="16"/>
      <w:szCs w:val="16"/>
    </w:rPr>
  </w:style>
  <w:style w:type="paragraph" w:styleId="CommentText">
    <w:name w:val="annotation text"/>
    <w:basedOn w:val="Normal"/>
    <w:link w:val="CommentTextChar"/>
    <w:uiPriority w:val="99"/>
    <w:unhideWhenUsed/>
    <w:rsid w:val="00D821C1"/>
    <w:rPr>
      <w:sz w:val="20"/>
      <w:szCs w:val="20"/>
    </w:rPr>
  </w:style>
  <w:style w:type="character" w:customStyle="1" w:styleId="CommentTextChar">
    <w:name w:val="Comment Text Char"/>
    <w:basedOn w:val="DefaultParagraphFont"/>
    <w:link w:val="CommentText"/>
    <w:uiPriority w:val="99"/>
    <w:rsid w:val="00D821C1"/>
  </w:style>
  <w:style w:type="paragraph" w:styleId="CommentSubject">
    <w:name w:val="annotation subject"/>
    <w:basedOn w:val="CommentText"/>
    <w:next w:val="CommentText"/>
    <w:link w:val="CommentSubjectChar"/>
    <w:uiPriority w:val="99"/>
    <w:semiHidden/>
    <w:unhideWhenUsed/>
    <w:rsid w:val="00D821C1"/>
    <w:rPr>
      <w:b/>
      <w:bCs/>
    </w:rPr>
  </w:style>
  <w:style w:type="character" w:customStyle="1" w:styleId="CommentSubjectChar">
    <w:name w:val="Comment Subject Char"/>
    <w:basedOn w:val="CommentTextChar"/>
    <w:link w:val="CommentSubject"/>
    <w:uiPriority w:val="99"/>
    <w:semiHidden/>
    <w:rsid w:val="00D821C1"/>
    <w:rPr>
      <w:b/>
      <w:bCs/>
    </w:rPr>
  </w:style>
  <w:style w:type="paragraph" w:styleId="FootnoteText">
    <w:name w:val="footnote text"/>
    <w:basedOn w:val="Normal"/>
    <w:link w:val="FootnoteTextChar"/>
    <w:uiPriority w:val="99"/>
    <w:semiHidden/>
    <w:unhideWhenUsed/>
    <w:rsid w:val="004C0560"/>
    <w:pPr>
      <w:spacing w:before="0" w:after="0"/>
    </w:pPr>
    <w:rPr>
      <w:sz w:val="20"/>
      <w:szCs w:val="20"/>
    </w:rPr>
  </w:style>
  <w:style w:type="character" w:customStyle="1" w:styleId="FootnoteTextChar">
    <w:name w:val="Footnote Text Char"/>
    <w:basedOn w:val="DefaultParagraphFont"/>
    <w:link w:val="FootnoteText"/>
    <w:uiPriority w:val="99"/>
    <w:semiHidden/>
    <w:rsid w:val="004C0560"/>
  </w:style>
  <w:style w:type="character" w:styleId="FootnoteReference">
    <w:name w:val="footnote reference"/>
    <w:basedOn w:val="DefaultParagraphFont"/>
    <w:uiPriority w:val="99"/>
    <w:semiHidden/>
    <w:unhideWhenUsed/>
    <w:rsid w:val="004C0560"/>
    <w:rPr>
      <w:vertAlign w:val="superscript"/>
    </w:rPr>
  </w:style>
  <w:style w:type="paragraph" w:styleId="TOCHeading">
    <w:name w:val="TOC Heading"/>
    <w:basedOn w:val="Heading1"/>
    <w:next w:val="Normal"/>
    <w:uiPriority w:val="39"/>
    <w:unhideWhenUsed/>
    <w:qFormat/>
    <w:rsid w:val="002A5439"/>
    <w:pPr>
      <w:keepNext/>
      <w:keepLines/>
      <w:tabs>
        <w:tab w:val="clear" w:pos="900"/>
      </w:tabs>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Revision">
    <w:name w:val="Revision"/>
    <w:hidden/>
    <w:uiPriority w:val="99"/>
    <w:semiHidden/>
    <w:rsid w:val="00D420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stm.org/readinglibrar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ece.org/trans/main/welcwp2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82585A6AD3DA141988857DEEC89C5FB" ma:contentTypeVersion="" ma:contentTypeDescription="PDMS Document Site Content Type" ma:contentTypeScope="" ma:versionID="485512718cf8e8c65aadd9a9426380b0">
  <xsd:schema xmlns:xsd="http://www.w3.org/2001/XMLSchema" xmlns:xs="http://www.w3.org/2001/XMLSchema" xmlns:p="http://schemas.microsoft.com/office/2006/metadata/properties" xmlns:ns2="ECFE41A0-522F-462D-984C-19A8B719298F" targetNamespace="http://schemas.microsoft.com/office/2006/metadata/properties" ma:root="true" ma:fieldsID="9e7943573587d8e22f0f734658fffe56" ns2:_="">
    <xsd:import namespace="ECFE41A0-522F-462D-984C-19A8B719298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E41A0-522F-462D-984C-19A8B719298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ECFE41A0-522F-462D-984C-19A8B719298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7D617-3843-4B85-8247-D136B69CD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E41A0-522F-462D-984C-19A8B7192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B228B6-9936-4DCD-89A0-DB5D9A3FDD84}">
  <ds:schemaRefs>
    <ds:schemaRef ds:uri="http://schemas.microsoft.com/sharepoint/v3/contenttype/forms"/>
  </ds:schemaRefs>
</ds:datastoreItem>
</file>

<file path=customXml/itemProps3.xml><?xml version="1.0" encoding="utf-8"?>
<ds:datastoreItem xmlns:ds="http://schemas.openxmlformats.org/officeDocument/2006/customXml" ds:itemID="{EFF13BFC-7A95-4E67-88EA-37DC8AA74F47}">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ECFE41A0-522F-462D-984C-19A8B719298F"/>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132CB534-B948-46AB-89C4-812F5DEFD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4439</Words>
  <Characters>25307</Characters>
  <Application>Microsoft Office Word</Application>
  <DocSecurity>4</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2021-10-10T23:56:00Z</dcterms:created>
  <dcterms:modified xsi:type="dcterms:W3CDTF">2021-10-10T23:56:00Z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0x010100266966F133664895A6EE3632470D45F500782585A6AD3DA141988857DEEC89C5FB</vt:lpwstr>
  </property>
</Properties>
</file>