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06272" w14:textId="77777777" w:rsidR="00715914" w:rsidRPr="00F17CC6" w:rsidRDefault="00A774BD" w:rsidP="00365E41">
      <w:pPr>
        <w:pStyle w:val="LDBodytext"/>
        <w:rPr>
          <w:sz w:val="28"/>
        </w:rPr>
      </w:pPr>
      <w:r>
        <w:rPr>
          <w:noProof/>
          <w:lang w:eastAsia="zh-CN"/>
        </w:rPr>
        <w:drawing>
          <wp:inline distT="0" distB="0" distL="0" distR="0" wp14:anchorId="01988EA5" wp14:editId="54A4EF43">
            <wp:extent cx="1503045" cy="1104900"/>
            <wp:effectExtent l="0" t="0" r="1905" b="0"/>
            <wp:docPr id="1" name="Picture 1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66C9" w14:textId="77777777" w:rsidR="009E3D4E" w:rsidRPr="000A3524" w:rsidRDefault="009E3D4E" w:rsidP="009E3D4E">
      <w:pPr>
        <w:pStyle w:val="LDTitle"/>
      </w:pPr>
      <w:bookmarkStart w:id="0" w:name="LIN"/>
      <w:r>
        <w:t>LIN</w:t>
      </w:r>
      <w:r w:rsidR="00A33A4A">
        <w:t> 21</w:t>
      </w:r>
      <w:r w:rsidRPr="007C5FDD">
        <w:t>/</w:t>
      </w:r>
      <w:r w:rsidR="00A33A4A">
        <w:t>075</w:t>
      </w:r>
      <w:bookmarkEnd w:id="0"/>
    </w:p>
    <w:p w14:paraId="02DD0FC7" w14:textId="0F3B2BAF" w:rsidR="009228CB" w:rsidRPr="00E171A2" w:rsidRDefault="00A33A4A" w:rsidP="009E3D4E">
      <w:pPr>
        <w:pStyle w:val="LDDescription"/>
      </w:pPr>
      <w:bookmarkStart w:id="1" w:name="Title"/>
      <w:r w:rsidRPr="00A33A4A">
        <w:t>Migration (</w:t>
      </w:r>
      <w:r w:rsidR="004E3650">
        <w:t>I</w:t>
      </w:r>
      <w:r w:rsidR="00FB49DE" w:rsidRPr="00A33A4A">
        <w:t>nternational trade obligations relating to labour</w:t>
      </w:r>
      <w:r w:rsidR="00FB49DE">
        <w:t xml:space="preserve"> market testing) </w:t>
      </w:r>
      <w:r w:rsidR="00695BBC">
        <w:t xml:space="preserve">Determination </w:t>
      </w:r>
      <w:r w:rsidR="00FB49DE">
        <w:t>(LIN 21/075</w:t>
      </w:r>
      <w:r w:rsidR="004C3B98">
        <w:t>) </w:t>
      </w:r>
      <w:r w:rsidR="00FB49DE">
        <w:t>2021</w:t>
      </w:r>
      <w:bookmarkEnd w:id="1"/>
    </w:p>
    <w:p w14:paraId="75B30833" w14:textId="77777777" w:rsidR="00554826" w:rsidRDefault="00554826" w:rsidP="00365E41">
      <w:pPr>
        <w:pStyle w:val="LDBodytext"/>
      </w:pPr>
      <w:r w:rsidRPr="009464C5">
        <w:t xml:space="preserve">I, </w:t>
      </w:r>
      <w:r w:rsidR="00FA5BB2">
        <w:t>Alex Hawke,</w:t>
      </w:r>
      <w:r w:rsidR="00FA5BB2" w:rsidRPr="00FA5BB2">
        <w:t xml:space="preserve"> Minister for Immigration, Citizenship, Migrant Services and Multicultural Affairs</w:t>
      </w:r>
      <w:r w:rsidRPr="009464C5">
        <w:t>, make th</w:t>
      </w:r>
      <w:r w:rsidR="00B73647">
        <w:t>is instrument</w:t>
      </w:r>
      <w:r w:rsidR="003B3646" w:rsidRPr="009464C5">
        <w:t xml:space="preserve"> under </w:t>
      </w:r>
      <w:r w:rsidR="00740E60">
        <w:t>subsection </w:t>
      </w:r>
      <w:r w:rsidR="00E453EA" w:rsidRPr="00E453EA">
        <w:t>140GBA(2)</w:t>
      </w:r>
      <w:r w:rsidR="00BD08C0">
        <w:t xml:space="preserve"> </w:t>
      </w:r>
      <w:r w:rsidR="00F27438" w:rsidRPr="009464C5">
        <w:t xml:space="preserve">of the </w:t>
      </w:r>
      <w:r w:rsidR="00740E60">
        <w:rPr>
          <w:i/>
          <w:iCs/>
        </w:rPr>
        <w:t>Migration Act </w:t>
      </w:r>
      <w:r w:rsidR="00E453EA" w:rsidRPr="00E453EA">
        <w:rPr>
          <w:i/>
          <w:iCs/>
        </w:rPr>
        <w:t xml:space="preserve">1958 </w:t>
      </w:r>
      <w:r w:rsidR="000B14AD" w:rsidRPr="009464C5">
        <w:t xml:space="preserve">(the </w:t>
      </w:r>
      <w:r w:rsidR="00E453EA">
        <w:rPr>
          <w:rStyle w:val="LDBoldItal"/>
        </w:rPr>
        <w:t>Act</w:t>
      </w:r>
      <w:r w:rsidR="000B14AD" w:rsidRPr="009464C5">
        <w:t>)</w:t>
      </w:r>
      <w:r w:rsidR="00F27438" w:rsidRPr="009464C5">
        <w:rPr>
          <w:i/>
        </w:rPr>
        <w:t>.</w:t>
      </w:r>
    </w:p>
    <w:p w14:paraId="704E9499" w14:textId="5FF0F81A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FA2414">
        <w:rPr>
          <w:szCs w:val="22"/>
        </w:rPr>
        <w:t xml:space="preserve">        28 October </w:t>
      </w:r>
      <w:r w:rsidR="001E1BEA">
        <w:rPr>
          <w:szCs w:val="22"/>
        </w:rPr>
        <w:t>2021</w:t>
      </w:r>
    </w:p>
    <w:p w14:paraId="11A79D1B" w14:textId="6CDCCD12" w:rsidR="003B3646" w:rsidRPr="00953A29" w:rsidRDefault="00FA2414" w:rsidP="000E7118">
      <w:pPr>
        <w:pStyle w:val="LDSign"/>
      </w:pPr>
      <w:r>
        <w:t>Alex Hawke</w:t>
      </w:r>
      <w:bookmarkStart w:id="2" w:name="_GoBack"/>
      <w:bookmarkEnd w:id="2"/>
    </w:p>
    <w:p w14:paraId="0603AE75" w14:textId="5B2F88DA" w:rsidR="00F6696E" w:rsidRPr="00F17CC6" w:rsidRDefault="006825B2" w:rsidP="00365E41">
      <w:pPr>
        <w:pStyle w:val="LDBodytext"/>
        <w:sectPr w:rsidR="00F6696E" w:rsidRPr="00F17CC6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  <w:r w:rsidRPr="00FA5BB2">
        <w:t>Minister for Immigration, Citizenship, Migrant Services and Multicultural Affairs</w:t>
      </w:r>
      <w:r>
        <w:t xml:space="preserve"> </w:t>
      </w:r>
    </w:p>
    <w:bookmarkStart w:id="3" w:name="_Toc454512513"/>
    <w:bookmarkStart w:id="4" w:name="_Toc454512517"/>
    <w:p w14:paraId="56487128" w14:textId="3A9D7F1A" w:rsidR="003B3646" w:rsidRDefault="00053C8F" w:rsidP="000B14AD">
      <w:pPr>
        <w:pStyle w:val="LDSecHead"/>
      </w:pPr>
      <w:r>
        <w:lastRenderedPageBreak/>
        <w:fldChar w:fldCharType="begin"/>
      </w:r>
      <w:r>
        <w:instrText xml:space="preserve"> SEQ SecNo \* MERGEFORMAT </w:instrText>
      </w:r>
      <w:r>
        <w:fldChar w:fldCharType="separate"/>
      </w:r>
      <w:bookmarkStart w:id="5" w:name="_Toc31201286"/>
      <w:r w:rsidR="00476C29">
        <w:rPr>
          <w:noProof/>
        </w:rPr>
        <w:t>1</w:t>
      </w:r>
      <w:r>
        <w:rPr>
          <w:noProof/>
        </w:rPr>
        <w:fldChar w:fldCharType="end"/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14:paraId="3429DD47" w14:textId="37F143DC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Pr="00C569B6">
        <w:rPr>
          <w:i/>
        </w:rPr>
        <w:fldChar w:fldCharType="begin"/>
      </w:r>
      <w:r w:rsidRPr="00C569B6">
        <w:rPr>
          <w:i/>
        </w:rPr>
        <w:instrText xml:space="preserve"> REF Title \h  \* MERGEFORMAT </w:instrText>
      </w:r>
      <w:r w:rsidRPr="00C569B6">
        <w:rPr>
          <w:i/>
        </w:rPr>
      </w:r>
      <w:r w:rsidRPr="00C569B6">
        <w:rPr>
          <w:i/>
        </w:rPr>
        <w:fldChar w:fldCharType="separate"/>
      </w:r>
      <w:r w:rsidR="00476C29" w:rsidRPr="00476C29">
        <w:rPr>
          <w:i/>
        </w:rPr>
        <w:t>Migration (International trade obligations relating to labour market testing) Determination (LIN 21/075) 2021</w:t>
      </w:r>
      <w:r w:rsidRPr="00C569B6">
        <w:rPr>
          <w:i/>
        </w:rPr>
        <w:fldChar w:fldCharType="end"/>
      </w:r>
      <w:r>
        <w:t>.</w:t>
      </w:r>
    </w:p>
    <w:bookmarkStart w:id="6" w:name="_Toc454512514"/>
    <w:p w14:paraId="451ACD27" w14:textId="4F8E7473" w:rsidR="003B3646" w:rsidRPr="007E11B9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7" w:name="_Toc31201287"/>
      <w:r w:rsidR="00476C29">
        <w:rPr>
          <w:noProof/>
        </w:rPr>
        <w:t>2</w:t>
      </w:r>
      <w:r>
        <w:fldChar w:fldCharType="end"/>
      </w:r>
      <w:r w:rsidR="000B14AD">
        <w:tab/>
      </w:r>
      <w:r w:rsidR="003B3646" w:rsidRPr="00F17CC6">
        <w:t>Commencement</w:t>
      </w:r>
      <w:bookmarkEnd w:id="6"/>
      <w:bookmarkEnd w:id="7"/>
    </w:p>
    <w:p w14:paraId="303D1B46" w14:textId="125AC7D4" w:rsidR="003B364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9D1B0D" w:rsidRPr="009D1B0D">
        <w:t xml:space="preserve">immediately after the commencement of </w:t>
      </w:r>
      <w:r w:rsidR="009D1B0D">
        <w:t>S</w:t>
      </w:r>
      <w:r w:rsidR="001E23C1">
        <w:t>chedule </w:t>
      </w:r>
      <w:r w:rsidR="005E01D2">
        <w:t>1</w:t>
      </w:r>
      <w:r w:rsidR="009D1B0D" w:rsidRPr="009D1B0D">
        <w:t xml:space="preserve"> to the </w:t>
      </w:r>
      <w:r w:rsidR="009D1B0D" w:rsidRPr="009D1B0D">
        <w:rPr>
          <w:i/>
        </w:rPr>
        <w:t xml:space="preserve">Customs Amendment (Regional Comprehensive Economic Partnership Agreement Implementation) </w:t>
      </w:r>
      <w:r w:rsidR="001E23C1">
        <w:rPr>
          <w:i/>
        </w:rPr>
        <w:t>Act</w:t>
      </w:r>
      <w:r w:rsidR="009D1B0D" w:rsidRPr="009D1B0D">
        <w:rPr>
          <w:i/>
        </w:rPr>
        <w:t xml:space="preserve"> 2021</w:t>
      </w:r>
      <w:r w:rsidR="009D1B0D">
        <w:t>.</w:t>
      </w:r>
    </w:p>
    <w:p w14:paraId="71DD3E1A" w14:textId="06DB830D" w:rsidR="005E01D2" w:rsidRPr="00807EE7" w:rsidRDefault="005E01D2" w:rsidP="00316386">
      <w:pPr>
        <w:pStyle w:val="LDNote"/>
      </w:pPr>
      <w:r>
        <w:rPr>
          <w:i/>
        </w:rPr>
        <w:t>Note:</w:t>
      </w:r>
      <w:r>
        <w:rPr>
          <w:i/>
        </w:rPr>
        <w:tab/>
      </w:r>
      <w:r>
        <w:t>See section </w:t>
      </w:r>
      <w:r w:rsidR="00E42F9D">
        <w:t xml:space="preserve">2 of that Act, noting that Act will not commence at all if the Regional Comprehensive Economic Partnership Agreement does not enter into force for Australia.  </w:t>
      </w:r>
    </w:p>
    <w:bookmarkStart w:id="9" w:name="_Toc454512516"/>
    <w:bookmarkEnd w:id="8"/>
    <w:p w14:paraId="334C188F" w14:textId="7CC77817" w:rsidR="003B3646" w:rsidRPr="00F17CC6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0" w:name="_Toc31201288"/>
      <w:r w:rsidR="00476C29">
        <w:rPr>
          <w:noProof/>
        </w:rPr>
        <w:t>3</w:t>
      </w:r>
      <w:r>
        <w:fldChar w:fldCharType="end"/>
      </w:r>
      <w:r w:rsidR="000B14AD">
        <w:tab/>
      </w:r>
      <w:r w:rsidR="003B3646" w:rsidRPr="00F17CC6">
        <w:t>Definitions</w:t>
      </w:r>
      <w:bookmarkEnd w:id="9"/>
      <w:bookmarkEnd w:id="10"/>
    </w:p>
    <w:p w14:paraId="0956EE69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  <w:t>In this instrument</w:t>
      </w:r>
      <w:r w:rsidR="00E5722B">
        <w:t>:</w:t>
      </w:r>
    </w:p>
    <w:p w14:paraId="3FE18DD8" w14:textId="77777777" w:rsidR="00D51022" w:rsidRPr="00D51022" w:rsidRDefault="00D51022" w:rsidP="00BB4CB2">
      <w:pPr>
        <w:pStyle w:val="LDdefinition"/>
        <w:rPr>
          <w:b/>
          <w:i/>
        </w:rPr>
      </w:pPr>
      <w:r w:rsidRPr="00D51022">
        <w:rPr>
          <w:b/>
          <w:i/>
        </w:rPr>
        <w:t xml:space="preserve">ASEAN </w:t>
      </w:r>
      <w:r w:rsidRPr="00D51022">
        <w:t>means Association of Southeast Asian Nations.</w:t>
      </w:r>
    </w:p>
    <w:p w14:paraId="4B0B5B81" w14:textId="3C3B797D" w:rsidR="00BA1DD8" w:rsidRPr="00BA1DD8" w:rsidRDefault="00BA1DD8" w:rsidP="004D2ABC">
      <w:pPr>
        <w:pStyle w:val="LDNote"/>
      </w:pPr>
      <w:r w:rsidRPr="00BE3FFE">
        <w:rPr>
          <w:i/>
        </w:rPr>
        <w:t>Note:</w:t>
      </w:r>
      <w:r>
        <w:tab/>
      </w:r>
      <w:r w:rsidRPr="00BA1DD8">
        <w:t xml:space="preserve">Section 46 of the </w:t>
      </w:r>
      <w:r w:rsidRPr="004D2ABC">
        <w:rPr>
          <w:i/>
        </w:rPr>
        <w:t>Acts Interpretation Act 1901</w:t>
      </w:r>
      <w:r w:rsidRPr="00BA1DD8">
        <w:t xml:space="preserve"> applies to this instrument, meaning that terms defined in the Act have the same meaning in this instrument, including </w:t>
      </w:r>
      <w:r>
        <w:rPr>
          <w:b/>
          <w:i/>
        </w:rPr>
        <w:t>labour market testing</w:t>
      </w:r>
      <w:r>
        <w:t>.</w:t>
      </w:r>
    </w:p>
    <w:p w14:paraId="0DC23B02" w14:textId="01EE5103" w:rsidR="00621427" w:rsidRPr="00F17CC6" w:rsidRDefault="00476C29" w:rsidP="00621427">
      <w:pPr>
        <w:pStyle w:val="LDSecHead"/>
      </w:pPr>
      <w:fldSimple w:instr=" SEQ SecNo \* MERGEFORMAT ">
        <w:r>
          <w:rPr>
            <w:noProof/>
          </w:rPr>
          <w:t>4</w:t>
        </w:r>
      </w:fldSimple>
      <w:r w:rsidR="00621427">
        <w:tab/>
      </w:r>
      <w:r w:rsidR="00621427" w:rsidRPr="00F17CC6">
        <w:t>Repeal</w:t>
      </w:r>
    </w:p>
    <w:p w14:paraId="6F5E78B7" w14:textId="77777777" w:rsidR="00BA1DD8" w:rsidRDefault="00621427" w:rsidP="00621427">
      <w:pPr>
        <w:pStyle w:val="LDSec1"/>
      </w:pPr>
      <w:r>
        <w:tab/>
      </w:r>
      <w:r>
        <w:tab/>
      </w:r>
      <w:r w:rsidR="00BA1DD8">
        <w:t xml:space="preserve">The following instruments are repealed: </w:t>
      </w:r>
    </w:p>
    <w:p w14:paraId="1649FF24" w14:textId="77777777" w:rsidR="00BA1DD8" w:rsidRDefault="00BA1DD8" w:rsidP="004D2ABC">
      <w:pPr>
        <w:pStyle w:val="LDP1a"/>
      </w:pPr>
      <w:r>
        <w:t>(a)</w:t>
      </w:r>
      <w:r>
        <w:tab/>
      </w:r>
      <w:r w:rsidR="00621427" w:rsidRPr="004D2ABC">
        <w:rPr>
          <w:i/>
        </w:rPr>
        <w:t>Migration (LIN 20/029: Determination of International Trade Obligations Relating to Labour Market Testing) Instrument 2020</w:t>
      </w:r>
      <w:r>
        <w:t>;</w:t>
      </w:r>
      <w:r w:rsidR="00621427" w:rsidRPr="009464C5">
        <w:t xml:space="preserve"> </w:t>
      </w:r>
      <w:r w:rsidR="00621427">
        <w:t xml:space="preserve">and </w:t>
      </w:r>
    </w:p>
    <w:p w14:paraId="2FCDC8E4" w14:textId="7BB7B3D8" w:rsidR="00621427" w:rsidRPr="00A36035" w:rsidRDefault="00BA1DD8" w:rsidP="004D2ABC">
      <w:pPr>
        <w:pStyle w:val="LDP1a"/>
        <w:rPr>
          <w:highlight w:val="yellow"/>
        </w:rPr>
      </w:pPr>
      <w:r>
        <w:t>(b)</w:t>
      </w:r>
      <w:r>
        <w:tab/>
      </w:r>
      <w:r w:rsidR="00D83F89" w:rsidRPr="004D2ABC">
        <w:rPr>
          <w:i/>
        </w:rPr>
        <w:t>Migration (LIN</w:t>
      </w:r>
      <w:r w:rsidR="00DD69A2" w:rsidRPr="004D2ABC">
        <w:rPr>
          <w:i/>
        </w:rPr>
        <w:t> </w:t>
      </w:r>
      <w:r w:rsidR="00D83F89" w:rsidRPr="004D2ABC">
        <w:rPr>
          <w:i/>
        </w:rPr>
        <w:t>18/219: Determination of International Trade Obligations Relating to Labour Market Testing) Instrument 2018</w:t>
      </w:r>
      <w:r w:rsidR="00621427" w:rsidRPr="009464C5">
        <w:t>.</w:t>
      </w:r>
    </w:p>
    <w:bookmarkEnd w:id="4"/>
    <w:p w14:paraId="04A0B13E" w14:textId="6094AE66" w:rsidR="003A6B64" w:rsidRPr="00E419FA" w:rsidRDefault="00B05E22" w:rsidP="003A6B64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1" w:name="_Toc31201290"/>
      <w:r w:rsidR="00476C29">
        <w:rPr>
          <w:noProof/>
        </w:rPr>
        <w:t>5</w:t>
      </w:r>
      <w:r>
        <w:fldChar w:fldCharType="end"/>
      </w:r>
      <w:r>
        <w:tab/>
      </w:r>
      <w:r w:rsidR="003A6B64">
        <w:t>I</w:t>
      </w:r>
      <w:r w:rsidR="003A6B64" w:rsidRPr="00873455">
        <w:t>nterna</w:t>
      </w:r>
      <w:r w:rsidR="00BB4467">
        <w:t>tional trade obligations</w:t>
      </w:r>
    </w:p>
    <w:p w14:paraId="23BC45E8" w14:textId="23FFF4AF" w:rsidR="003A6B64" w:rsidRPr="002A70D9" w:rsidRDefault="00D36F4A" w:rsidP="00D36F4A">
      <w:pPr>
        <w:pStyle w:val="LDSec1"/>
        <w:keepNext/>
      </w:pPr>
      <w:r>
        <w:tab/>
      </w:r>
      <w:r>
        <w:tab/>
      </w:r>
      <w:r w:rsidR="003A6B64" w:rsidRPr="002A70D9">
        <w:t xml:space="preserve">For paragraph 140GBA(1)(c) of the Act, each obligation of Australia under international law, </w:t>
      </w:r>
      <w:r w:rsidR="00BA1DD8">
        <w:t>relating</w:t>
      </w:r>
      <w:r w:rsidR="003A6B64" w:rsidRPr="002A70D9">
        <w:t xml:space="preserve"> to international trade, under the following agreements is determined as an international trade obligation of Australia:</w:t>
      </w:r>
    </w:p>
    <w:p w14:paraId="08D29978" w14:textId="77777777" w:rsidR="003A6B64" w:rsidRPr="00A11C6F" w:rsidRDefault="00895E56" w:rsidP="00895E56">
      <w:pPr>
        <w:pStyle w:val="LDP1a"/>
      </w:pPr>
      <w:r>
        <w:t>(a)</w:t>
      </w:r>
      <w:r>
        <w:tab/>
      </w:r>
      <w:r w:rsidR="003A6B64" w:rsidRPr="00A11C6F">
        <w:t>Agreement Establishing the ASEAN-Australia-New Zealand Free Trade Area</w:t>
      </w:r>
      <w:r w:rsidR="003A6B64">
        <w:t xml:space="preserve"> (</w:t>
      </w:r>
      <w:r w:rsidR="003A6B64" w:rsidRPr="00A11C6F">
        <w:t>AANZFTA);</w:t>
      </w:r>
    </w:p>
    <w:p w14:paraId="12564F50" w14:textId="77777777" w:rsidR="003A6B64" w:rsidRPr="00A11C6F" w:rsidRDefault="002D521F" w:rsidP="00895E56">
      <w:pPr>
        <w:pStyle w:val="LDP1a"/>
        <w:rPr>
          <w:szCs w:val="22"/>
        </w:rPr>
      </w:pPr>
      <w:r>
        <w:t>(b)</w:t>
      </w:r>
      <w:r>
        <w:tab/>
      </w:r>
      <w:r w:rsidR="003A6B64" w:rsidRPr="00895E56">
        <w:t>Australia</w:t>
      </w:r>
      <w:r w:rsidR="003A6B64" w:rsidRPr="00A11C6F">
        <w:rPr>
          <w:szCs w:val="22"/>
        </w:rPr>
        <w:t>-Chile Free Trade Agreement (</w:t>
      </w:r>
      <w:proofErr w:type="spellStart"/>
      <w:r w:rsidR="003A6B64" w:rsidRPr="00A11C6F">
        <w:rPr>
          <w:szCs w:val="22"/>
        </w:rPr>
        <w:t>ACl</w:t>
      </w:r>
      <w:proofErr w:type="spellEnd"/>
      <w:r w:rsidR="003A6B64" w:rsidRPr="00A11C6F">
        <w:rPr>
          <w:szCs w:val="22"/>
        </w:rPr>
        <w:t>-FTA);</w:t>
      </w:r>
    </w:p>
    <w:p w14:paraId="142D64D1" w14:textId="77777777" w:rsidR="003A6B64" w:rsidRPr="00A11C6F" w:rsidRDefault="002D521F" w:rsidP="00895E56">
      <w:pPr>
        <w:pStyle w:val="LDP1a"/>
        <w:rPr>
          <w:szCs w:val="22"/>
        </w:rPr>
      </w:pPr>
      <w:r>
        <w:rPr>
          <w:szCs w:val="22"/>
        </w:rPr>
        <w:t>(</w:t>
      </w:r>
      <w:r w:rsidR="009A31F2">
        <w:rPr>
          <w:szCs w:val="22"/>
        </w:rPr>
        <w:t>c</w:t>
      </w:r>
      <w:r>
        <w:rPr>
          <w:szCs w:val="22"/>
        </w:rPr>
        <w:t>)</w:t>
      </w:r>
      <w:r>
        <w:rPr>
          <w:szCs w:val="22"/>
        </w:rPr>
        <w:tab/>
      </w:r>
      <w:r w:rsidR="003A6B64" w:rsidRPr="00A11C6F">
        <w:rPr>
          <w:szCs w:val="22"/>
        </w:rPr>
        <w:t>China-</w:t>
      </w:r>
      <w:r w:rsidR="003A6B64" w:rsidRPr="00895E56">
        <w:t>Australia</w:t>
      </w:r>
      <w:r w:rsidR="003A6B64" w:rsidRPr="00A11C6F">
        <w:rPr>
          <w:szCs w:val="22"/>
        </w:rPr>
        <w:t xml:space="preserve"> Free Trade Agreement (</w:t>
      </w:r>
      <w:proofErr w:type="spellStart"/>
      <w:r w:rsidR="003A6B64" w:rsidRPr="00A11C6F">
        <w:rPr>
          <w:szCs w:val="22"/>
        </w:rPr>
        <w:t>ChAFTA</w:t>
      </w:r>
      <w:proofErr w:type="spellEnd"/>
      <w:r w:rsidR="003A6B64" w:rsidRPr="00A11C6F">
        <w:rPr>
          <w:szCs w:val="22"/>
        </w:rPr>
        <w:t>);</w:t>
      </w:r>
    </w:p>
    <w:p w14:paraId="2C81549C" w14:textId="77777777" w:rsidR="003A6B64" w:rsidRPr="00A11C6F" w:rsidRDefault="009A31F2" w:rsidP="00895E56">
      <w:pPr>
        <w:pStyle w:val="LDP1a"/>
        <w:rPr>
          <w:szCs w:val="22"/>
        </w:rPr>
      </w:pPr>
      <w:r>
        <w:t>(d</w:t>
      </w:r>
      <w:r w:rsidR="002D521F">
        <w:t>)</w:t>
      </w:r>
      <w:r w:rsidR="002D521F">
        <w:tab/>
      </w:r>
      <w:r w:rsidR="003A6B64" w:rsidRPr="00895E56">
        <w:t>Comprehensive</w:t>
      </w:r>
      <w:r w:rsidR="003A6B64" w:rsidRPr="00A11C6F">
        <w:rPr>
          <w:szCs w:val="22"/>
        </w:rPr>
        <w:t xml:space="preserve"> and Progressive Agreement for Trans-Pacific Partnership (CPTPP);</w:t>
      </w:r>
    </w:p>
    <w:p w14:paraId="78979E5D" w14:textId="77777777" w:rsidR="009A31F2" w:rsidRPr="00A11C6F" w:rsidRDefault="009A31F2" w:rsidP="009A31F2">
      <w:pPr>
        <w:pStyle w:val="LDP1a"/>
        <w:rPr>
          <w:szCs w:val="22"/>
        </w:rPr>
      </w:pPr>
      <w:r>
        <w:rPr>
          <w:szCs w:val="22"/>
        </w:rPr>
        <w:t>(e</w:t>
      </w:r>
      <w:r w:rsidR="002D521F">
        <w:rPr>
          <w:szCs w:val="22"/>
        </w:rPr>
        <w:t>)</w:t>
      </w:r>
      <w:r w:rsidR="002D521F">
        <w:rPr>
          <w:szCs w:val="22"/>
        </w:rPr>
        <w:tab/>
      </w:r>
      <w:r w:rsidRPr="00A11C6F">
        <w:rPr>
          <w:szCs w:val="22"/>
        </w:rPr>
        <w:t xml:space="preserve">Free </w:t>
      </w:r>
      <w:r w:rsidRPr="00895E56">
        <w:t>Trade</w:t>
      </w:r>
      <w:r w:rsidRPr="00A11C6F">
        <w:rPr>
          <w:szCs w:val="22"/>
        </w:rPr>
        <w:t xml:space="preserve"> Agreement between Australia and Hong Kong, China</w:t>
      </w:r>
      <w:r w:rsidRPr="00A11C6F" w:rsidDel="006A33AE">
        <w:rPr>
          <w:szCs w:val="22"/>
        </w:rPr>
        <w:t xml:space="preserve"> </w:t>
      </w:r>
      <w:r w:rsidRPr="00A11C6F">
        <w:rPr>
          <w:szCs w:val="22"/>
        </w:rPr>
        <w:t>(A</w:t>
      </w:r>
      <w:r w:rsidRPr="00A11C6F">
        <w:rPr>
          <w:szCs w:val="22"/>
        </w:rPr>
        <w:noBreakHyphen/>
        <w:t xml:space="preserve">HKFTA); </w:t>
      </w:r>
    </w:p>
    <w:p w14:paraId="6BA350BD" w14:textId="77777777" w:rsidR="003A6B64" w:rsidRPr="00A11C6F" w:rsidRDefault="009A31F2" w:rsidP="00895E56">
      <w:pPr>
        <w:pStyle w:val="LDP1a"/>
        <w:rPr>
          <w:szCs w:val="22"/>
        </w:rPr>
      </w:pPr>
      <w:r>
        <w:rPr>
          <w:szCs w:val="22"/>
        </w:rPr>
        <w:t>(f)</w:t>
      </w:r>
      <w:r>
        <w:rPr>
          <w:szCs w:val="22"/>
        </w:rPr>
        <w:tab/>
      </w:r>
      <w:r w:rsidR="003A6B64" w:rsidRPr="00A11C6F">
        <w:rPr>
          <w:szCs w:val="22"/>
        </w:rPr>
        <w:t>General Agreement on Trade in Services at Annex 1B to the Marrakesh Agreement Establishing the World Trade Organization (GATS);</w:t>
      </w:r>
    </w:p>
    <w:p w14:paraId="735D65B5" w14:textId="77777777" w:rsidR="003A6B64" w:rsidRPr="00A11C6F" w:rsidRDefault="002D521F" w:rsidP="00895E56">
      <w:pPr>
        <w:pStyle w:val="LDP1a"/>
        <w:rPr>
          <w:szCs w:val="22"/>
        </w:rPr>
      </w:pPr>
      <w:r>
        <w:rPr>
          <w:szCs w:val="22"/>
        </w:rPr>
        <w:t>(g)</w:t>
      </w:r>
      <w:r>
        <w:rPr>
          <w:szCs w:val="22"/>
        </w:rPr>
        <w:tab/>
      </w:r>
      <w:r w:rsidR="003A6B64" w:rsidRPr="00A11C6F">
        <w:rPr>
          <w:szCs w:val="22"/>
        </w:rPr>
        <w:t>Indonesia-Australia Comprehensive Economic Partnership Agreement</w:t>
      </w:r>
      <w:r w:rsidR="007356F1">
        <w:rPr>
          <w:szCs w:val="22"/>
        </w:rPr>
        <w:t xml:space="preserve"> (IA</w:t>
      </w:r>
      <w:r w:rsidR="007356F1">
        <w:rPr>
          <w:szCs w:val="22"/>
        </w:rPr>
        <w:noBreakHyphen/>
      </w:r>
      <w:r w:rsidR="003A6B64" w:rsidRPr="00A11C6F">
        <w:rPr>
          <w:szCs w:val="22"/>
        </w:rPr>
        <w:t xml:space="preserve">CEPA); </w:t>
      </w:r>
    </w:p>
    <w:p w14:paraId="6113C51E" w14:textId="77777777" w:rsidR="003A6B64" w:rsidRPr="00A11C6F" w:rsidRDefault="002D521F" w:rsidP="00895E56">
      <w:pPr>
        <w:pStyle w:val="LDP1a"/>
        <w:rPr>
          <w:szCs w:val="22"/>
        </w:rPr>
      </w:pPr>
      <w:r>
        <w:rPr>
          <w:szCs w:val="22"/>
        </w:rPr>
        <w:t>(h)</w:t>
      </w:r>
      <w:r>
        <w:rPr>
          <w:szCs w:val="22"/>
        </w:rPr>
        <w:tab/>
      </w:r>
      <w:r w:rsidR="003A6B64" w:rsidRPr="00A11C6F">
        <w:rPr>
          <w:szCs w:val="22"/>
        </w:rPr>
        <w:t xml:space="preserve">Japan-Australia Economic Partnership Agreement (JAEPA); </w:t>
      </w:r>
    </w:p>
    <w:p w14:paraId="4E7DED2F" w14:textId="77777777" w:rsidR="003A6B64" w:rsidRPr="00A11C6F" w:rsidRDefault="002D521F" w:rsidP="00895E56">
      <w:pPr>
        <w:pStyle w:val="LDP1a"/>
        <w:rPr>
          <w:szCs w:val="22"/>
        </w:rPr>
      </w:pPr>
      <w:r>
        <w:rPr>
          <w:szCs w:val="22"/>
        </w:rPr>
        <w:t>(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>)</w:t>
      </w:r>
      <w:r>
        <w:rPr>
          <w:szCs w:val="22"/>
        </w:rPr>
        <w:tab/>
      </w:r>
      <w:r w:rsidR="003A6B64" w:rsidRPr="00A11C6F">
        <w:rPr>
          <w:szCs w:val="22"/>
        </w:rPr>
        <w:t>Korea-Australia Free Trade Agreement (KAFTA);</w:t>
      </w:r>
    </w:p>
    <w:p w14:paraId="50010362" w14:textId="77777777" w:rsidR="003A6B64" w:rsidRDefault="002D521F" w:rsidP="00895E56">
      <w:pPr>
        <w:pStyle w:val="LDP1a"/>
        <w:rPr>
          <w:szCs w:val="22"/>
        </w:rPr>
      </w:pPr>
      <w:r>
        <w:rPr>
          <w:szCs w:val="22"/>
        </w:rPr>
        <w:t>(j)</w:t>
      </w:r>
      <w:r>
        <w:rPr>
          <w:szCs w:val="22"/>
        </w:rPr>
        <w:tab/>
      </w:r>
      <w:r w:rsidR="003A6B64" w:rsidRPr="00A11C6F">
        <w:rPr>
          <w:szCs w:val="22"/>
        </w:rPr>
        <w:t>Malaysia-Australia Free Trade Agreement (MAFTA);</w:t>
      </w:r>
    </w:p>
    <w:p w14:paraId="51EBA23D" w14:textId="77777777" w:rsidR="00895E56" w:rsidRPr="00A11C6F" w:rsidRDefault="002D521F" w:rsidP="00895E56">
      <w:pPr>
        <w:pStyle w:val="LDP1a"/>
        <w:rPr>
          <w:szCs w:val="22"/>
        </w:rPr>
      </w:pPr>
      <w:r>
        <w:rPr>
          <w:szCs w:val="22"/>
        </w:rPr>
        <w:t>(k)</w:t>
      </w:r>
      <w:r>
        <w:rPr>
          <w:szCs w:val="22"/>
        </w:rPr>
        <w:tab/>
      </w:r>
      <w:r w:rsidR="00895E56" w:rsidRPr="00895E56">
        <w:rPr>
          <w:szCs w:val="22"/>
        </w:rPr>
        <w:t>Pacific Agreement on Closer Economic Relations Plus</w:t>
      </w:r>
      <w:r w:rsidR="00BE08E3">
        <w:rPr>
          <w:szCs w:val="22"/>
        </w:rPr>
        <w:t xml:space="preserve"> </w:t>
      </w:r>
      <w:r w:rsidR="00BE08E3" w:rsidRPr="00BE08E3">
        <w:rPr>
          <w:szCs w:val="22"/>
        </w:rPr>
        <w:t>(PACER Plus)</w:t>
      </w:r>
      <w:r w:rsidR="00895E56">
        <w:rPr>
          <w:szCs w:val="22"/>
        </w:rPr>
        <w:t>;</w:t>
      </w:r>
    </w:p>
    <w:p w14:paraId="57BBDD9E" w14:textId="4928392C" w:rsidR="00953A29" w:rsidRDefault="002D521F" w:rsidP="00895E56">
      <w:pPr>
        <w:pStyle w:val="LDP1a"/>
        <w:rPr>
          <w:szCs w:val="22"/>
        </w:rPr>
      </w:pPr>
      <w:r>
        <w:rPr>
          <w:szCs w:val="22"/>
        </w:rPr>
        <w:t>(l)</w:t>
      </w:r>
      <w:r>
        <w:rPr>
          <w:szCs w:val="22"/>
        </w:rPr>
        <w:tab/>
      </w:r>
      <w:r w:rsidR="003A6B64" w:rsidRPr="00A11C6F">
        <w:rPr>
          <w:szCs w:val="22"/>
        </w:rPr>
        <w:t>Peru-Australia Free Trade Agreement (PAFTA);</w:t>
      </w:r>
    </w:p>
    <w:p w14:paraId="27261691" w14:textId="4A692DA3" w:rsidR="003A6B64" w:rsidRPr="00953A29" w:rsidRDefault="00953A29" w:rsidP="00953A29">
      <w:pPr>
        <w:tabs>
          <w:tab w:val="left" w:pos="3465"/>
        </w:tabs>
      </w:pPr>
      <w:r>
        <w:tab/>
      </w:r>
    </w:p>
    <w:p w14:paraId="3F182DCC" w14:textId="76944AE7" w:rsidR="00F9208D" w:rsidRPr="00A11C6F" w:rsidRDefault="002D521F" w:rsidP="00895E56">
      <w:pPr>
        <w:pStyle w:val="LDP1a"/>
        <w:rPr>
          <w:szCs w:val="22"/>
        </w:rPr>
      </w:pPr>
      <w:r>
        <w:rPr>
          <w:szCs w:val="22"/>
        </w:rPr>
        <w:lastRenderedPageBreak/>
        <w:t>(m)</w:t>
      </w:r>
      <w:r>
        <w:rPr>
          <w:szCs w:val="22"/>
        </w:rPr>
        <w:tab/>
      </w:r>
      <w:r w:rsidR="003A6B64" w:rsidRPr="00A11C6F">
        <w:rPr>
          <w:szCs w:val="22"/>
        </w:rPr>
        <w:t>Protocol on Trade in Services to the Australia-New Zealand Closer Economic Relations Trade Agreement (ANZCERTA);</w:t>
      </w:r>
    </w:p>
    <w:p w14:paraId="5D6A2AAC" w14:textId="77777777" w:rsidR="00D6691B" w:rsidRDefault="002D521F" w:rsidP="00895E56">
      <w:pPr>
        <w:pStyle w:val="LDP1a"/>
        <w:rPr>
          <w:szCs w:val="22"/>
        </w:rPr>
      </w:pPr>
      <w:r>
        <w:rPr>
          <w:szCs w:val="22"/>
        </w:rPr>
        <w:t>(n)</w:t>
      </w:r>
      <w:r>
        <w:rPr>
          <w:szCs w:val="22"/>
        </w:rPr>
        <w:tab/>
      </w:r>
      <w:r w:rsidR="00D6691B" w:rsidRPr="00D6691B">
        <w:rPr>
          <w:szCs w:val="22"/>
        </w:rPr>
        <w:t>Regional Comprehensive Economic Partnership Agreement (RCEP)</w:t>
      </w:r>
      <w:r w:rsidR="001351F7">
        <w:rPr>
          <w:szCs w:val="22"/>
        </w:rPr>
        <w:t>;</w:t>
      </w:r>
    </w:p>
    <w:p w14:paraId="4CF3F2CF" w14:textId="77777777" w:rsidR="003A6B64" w:rsidRPr="00A11C6F" w:rsidRDefault="002D521F" w:rsidP="00895E56">
      <w:pPr>
        <w:pStyle w:val="LDP1a"/>
        <w:rPr>
          <w:szCs w:val="22"/>
        </w:rPr>
      </w:pPr>
      <w:r>
        <w:rPr>
          <w:szCs w:val="22"/>
        </w:rPr>
        <w:t>(o)</w:t>
      </w:r>
      <w:r>
        <w:rPr>
          <w:szCs w:val="22"/>
        </w:rPr>
        <w:tab/>
      </w:r>
      <w:r w:rsidR="003A6B64" w:rsidRPr="00A11C6F">
        <w:rPr>
          <w:szCs w:val="22"/>
        </w:rPr>
        <w:t>Singapore-Australia Free Trade Agreement (SAFTA);</w:t>
      </w:r>
    </w:p>
    <w:p w14:paraId="45B6BF5F" w14:textId="77777777" w:rsidR="003A6B64" w:rsidRDefault="002D521F" w:rsidP="00895E56">
      <w:pPr>
        <w:pStyle w:val="LDP1a"/>
      </w:pPr>
      <w:r>
        <w:rPr>
          <w:szCs w:val="22"/>
        </w:rPr>
        <w:t>(p)</w:t>
      </w:r>
      <w:r>
        <w:rPr>
          <w:szCs w:val="22"/>
        </w:rPr>
        <w:tab/>
      </w:r>
      <w:r w:rsidR="003A6B64" w:rsidRPr="00A11C6F">
        <w:rPr>
          <w:szCs w:val="22"/>
        </w:rPr>
        <w:t>Thailand-Australia Free Trade Agreement (TAFTA).</w:t>
      </w:r>
    </w:p>
    <w:bookmarkEnd w:id="11"/>
    <w:p w14:paraId="23BF6BD5" w14:textId="77777777" w:rsidR="00B7692E" w:rsidRDefault="00B7692E" w:rsidP="00C562C7">
      <w:pPr>
        <w:pStyle w:val="LDLine"/>
      </w:pPr>
    </w:p>
    <w:sectPr w:rsidR="00B7692E" w:rsidSect="00861378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66DD9" w14:textId="77777777" w:rsidR="00053C8F" w:rsidRDefault="00053C8F" w:rsidP="00715914">
      <w:pPr>
        <w:spacing w:line="240" w:lineRule="auto"/>
      </w:pPr>
      <w:r>
        <w:separator/>
      </w:r>
    </w:p>
    <w:p w14:paraId="6DB0E4C9" w14:textId="77777777" w:rsidR="00053C8F" w:rsidRDefault="00053C8F"/>
    <w:p w14:paraId="3645F3BF" w14:textId="77777777" w:rsidR="00053C8F" w:rsidRDefault="00053C8F"/>
  </w:endnote>
  <w:endnote w:type="continuationSeparator" w:id="0">
    <w:p w14:paraId="2FCB3E9B" w14:textId="77777777" w:rsidR="00053C8F" w:rsidRDefault="00053C8F" w:rsidP="00715914">
      <w:pPr>
        <w:spacing w:line="240" w:lineRule="auto"/>
      </w:pPr>
      <w:r>
        <w:continuationSeparator/>
      </w:r>
    </w:p>
    <w:p w14:paraId="232D88EB" w14:textId="77777777" w:rsidR="00053C8F" w:rsidRDefault="00053C8F"/>
    <w:p w14:paraId="24EA5339" w14:textId="77777777" w:rsidR="00053C8F" w:rsidRDefault="00053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A3037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7D49E4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8850F9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9733A0" w14:textId="73701259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76C29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A472C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ED49AE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C8DD0B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D477AB1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C3D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2"/>
      <w:gridCol w:w="701"/>
    </w:tblGrid>
    <w:tr w:rsidR="0072147A" w14:paraId="45A5868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EA868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376DC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7ABCA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6C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9CA83E6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26B3BE" w14:textId="77777777" w:rsidR="0072147A" w:rsidRDefault="0072147A" w:rsidP="00A369E3">
          <w:pPr>
            <w:rPr>
              <w:sz w:val="18"/>
            </w:rPr>
          </w:pPr>
        </w:p>
      </w:tc>
    </w:tr>
  </w:tbl>
  <w:p w14:paraId="2932DC68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830D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0F040215" w14:textId="77777777" w:rsidTr="00A87A58">
      <w:tc>
        <w:tcPr>
          <w:tcW w:w="365" w:type="pct"/>
        </w:tcPr>
        <w:p w14:paraId="16C5BDA3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B08C56C" w14:textId="0FBA9A94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476C29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5A8A8458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08773B2C" w14:textId="77777777" w:rsidTr="00A87A58">
      <w:tc>
        <w:tcPr>
          <w:tcW w:w="5000" w:type="pct"/>
          <w:gridSpan w:val="3"/>
        </w:tcPr>
        <w:p w14:paraId="27D09880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6125C433" w14:textId="77777777" w:rsidR="008C2EAC" w:rsidRPr="00ED79B6" w:rsidRDefault="008C2EAC" w:rsidP="000A6C6A">
    <w:pPr>
      <w:rPr>
        <w:i/>
        <w:sz w:val="18"/>
      </w:rPr>
    </w:pPr>
  </w:p>
  <w:p w14:paraId="00E4C1BB" w14:textId="77777777" w:rsidR="00CD0A7C" w:rsidRDefault="00CD0A7C"/>
  <w:p w14:paraId="62E8D74F" w14:textId="77777777" w:rsidR="00CD0A7C" w:rsidRDefault="00CD0A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2024B" w14:textId="4371EA98" w:rsidR="007C5FDD" w:rsidRPr="00532FFB" w:rsidRDefault="007C5FDD" w:rsidP="007C5FDD">
    <w:pPr>
      <w:pStyle w:val="LDFooter"/>
      <w:rPr>
        <w:i/>
      </w:rPr>
    </w:pPr>
    <w:r w:rsidRPr="00532FFB">
      <w:rPr>
        <w:i/>
      </w:rPr>
      <w:fldChar w:fldCharType="begin"/>
    </w:r>
    <w:r w:rsidRPr="00532FFB">
      <w:rPr>
        <w:i/>
      </w:rPr>
      <w:instrText xml:space="preserve"> REF Title \h  \* MERGEFORMAT </w:instrText>
    </w:r>
    <w:r w:rsidRPr="00532FFB">
      <w:rPr>
        <w:i/>
      </w:rPr>
    </w:r>
    <w:r w:rsidRPr="00532FFB">
      <w:rPr>
        <w:i/>
      </w:rPr>
      <w:fldChar w:fldCharType="separate"/>
    </w:r>
    <w:r w:rsidR="00476C29" w:rsidRPr="00476C29">
      <w:rPr>
        <w:i/>
      </w:rPr>
      <w:t>Migration (International trade obligations relating to labour market testing) Determination (LIN 21/075) 2021</w:t>
    </w:r>
    <w:r w:rsidRPr="00532FFB">
      <w:rPr>
        <w:i/>
      </w:rPr>
      <w:fldChar w:fldCharType="end"/>
    </w:r>
  </w:p>
  <w:p w14:paraId="1FEEFB1F" w14:textId="0F0D79DE" w:rsidR="001C6494" w:rsidRPr="007C5FDD" w:rsidRDefault="008C5A19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476C29">
      <w:t>LIN 21</w:t>
    </w:r>
    <w:r w:rsidR="00476C29" w:rsidRPr="007C5FDD">
      <w:t>/</w:t>
    </w:r>
    <w:r w:rsidR="00476C29">
      <w:t>075</w:t>
    </w:r>
    <w:r>
      <w:fldChar w:fldCharType="end"/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FA2414">
      <w:rPr>
        <w:noProof/>
      </w:rPr>
      <w:t>3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9D85E" w14:textId="77777777" w:rsidR="00053C8F" w:rsidRDefault="00053C8F" w:rsidP="00715914">
      <w:pPr>
        <w:spacing w:line="240" w:lineRule="auto"/>
      </w:pPr>
      <w:r>
        <w:separator/>
      </w:r>
    </w:p>
    <w:p w14:paraId="2EAE4DD7" w14:textId="77777777" w:rsidR="00053C8F" w:rsidRDefault="00053C8F"/>
    <w:p w14:paraId="6FECF3B7" w14:textId="77777777" w:rsidR="00053C8F" w:rsidRDefault="00053C8F"/>
  </w:footnote>
  <w:footnote w:type="continuationSeparator" w:id="0">
    <w:p w14:paraId="16C30D27" w14:textId="77777777" w:rsidR="00053C8F" w:rsidRDefault="00053C8F" w:rsidP="00715914">
      <w:pPr>
        <w:spacing w:line="240" w:lineRule="auto"/>
      </w:pPr>
      <w:r>
        <w:continuationSeparator/>
      </w:r>
    </w:p>
    <w:p w14:paraId="53DC3FD9" w14:textId="77777777" w:rsidR="00053C8F" w:rsidRDefault="00053C8F"/>
    <w:p w14:paraId="438A47E4" w14:textId="77777777" w:rsidR="00053C8F" w:rsidRDefault="00053C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DFB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B75B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866AB" w14:textId="77777777" w:rsidR="00150195" w:rsidRDefault="00150195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B165" w14:textId="77777777" w:rsidR="004E1307" w:rsidRDefault="004E1307" w:rsidP="00715914">
    <w:pPr>
      <w:rPr>
        <w:sz w:val="20"/>
      </w:rPr>
    </w:pPr>
  </w:p>
  <w:p w14:paraId="668854FE" w14:textId="77777777" w:rsidR="004E1307" w:rsidRDefault="004E1307" w:rsidP="00715914">
    <w:pPr>
      <w:rPr>
        <w:sz w:val="20"/>
      </w:rPr>
    </w:pPr>
  </w:p>
  <w:p w14:paraId="1731844B" w14:textId="77777777" w:rsidR="004E1307" w:rsidRPr="007A1328" w:rsidRDefault="004E1307" w:rsidP="00715914">
    <w:pPr>
      <w:rPr>
        <w:sz w:val="20"/>
      </w:rPr>
    </w:pPr>
  </w:p>
  <w:p w14:paraId="61ACF9ED" w14:textId="77777777" w:rsidR="004E1307" w:rsidRPr="007A1328" w:rsidRDefault="004E1307" w:rsidP="00715914">
    <w:pPr>
      <w:rPr>
        <w:b/>
        <w:sz w:val="24"/>
      </w:rPr>
    </w:pPr>
  </w:p>
  <w:p w14:paraId="43FCDA48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564EC62F" w14:textId="77777777" w:rsidR="00CD0A7C" w:rsidRDefault="00CD0A7C"/>
  <w:p w14:paraId="2715E499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86CC" w14:textId="77777777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DFE4391"/>
    <w:multiLevelType w:val="hybridMultilevel"/>
    <w:tmpl w:val="2376ACFC"/>
    <w:lvl w:ilvl="0" w:tplc="6B982C6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D3DEA05E">
      <w:start w:val="1"/>
      <w:numFmt w:val="lowerLetter"/>
      <w:lvlText w:val="(%2)"/>
      <w:lvlJc w:val="left"/>
      <w:pPr>
        <w:ind w:left="1212" w:hanging="360"/>
      </w:pPr>
      <w:rPr>
        <w:rFonts w:ascii="Times New Roman" w:eastAsiaTheme="minorHAnsi" w:hAnsi="Times New Roman" w:cstheme="minorBidi"/>
        <w:b w:val="0"/>
      </w:rPr>
    </w:lvl>
    <w:lvl w:ilvl="2" w:tplc="0C09001B">
      <w:start w:val="1"/>
      <w:numFmt w:val="lowerRoman"/>
      <w:lvlText w:val="%3."/>
      <w:lvlJc w:val="right"/>
      <w:pPr>
        <w:ind w:left="2550" w:hanging="180"/>
      </w:pPr>
    </w:lvl>
    <w:lvl w:ilvl="3" w:tplc="0C09000F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6"/>
  </w:num>
  <w:num w:numId="21">
    <w:abstractNumId w:val="17"/>
  </w:num>
  <w:num w:numId="22">
    <w:abstractNumId w:val="20"/>
  </w:num>
  <w:num w:numId="23">
    <w:abstractNumId w:val="23"/>
  </w:num>
  <w:num w:numId="24">
    <w:abstractNumId w:val="24"/>
  </w:num>
  <w:num w:numId="25">
    <w:abstractNumId w:val="12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8F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3C8F"/>
    <w:rsid w:val="0005691F"/>
    <w:rsid w:val="000614BF"/>
    <w:rsid w:val="0006709C"/>
    <w:rsid w:val="00074376"/>
    <w:rsid w:val="0007722C"/>
    <w:rsid w:val="000978F5"/>
    <w:rsid w:val="000A3E46"/>
    <w:rsid w:val="000A64E8"/>
    <w:rsid w:val="000B14AD"/>
    <w:rsid w:val="000B15CD"/>
    <w:rsid w:val="000B35EB"/>
    <w:rsid w:val="000B3719"/>
    <w:rsid w:val="000D05EF"/>
    <w:rsid w:val="000D081D"/>
    <w:rsid w:val="000E08E4"/>
    <w:rsid w:val="000E0BC4"/>
    <w:rsid w:val="000E2261"/>
    <w:rsid w:val="000E7118"/>
    <w:rsid w:val="000E78B7"/>
    <w:rsid w:val="000F21C1"/>
    <w:rsid w:val="000F29C1"/>
    <w:rsid w:val="000F5B84"/>
    <w:rsid w:val="000F6B99"/>
    <w:rsid w:val="001031F5"/>
    <w:rsid w:val="0010745C"/>
    <w:rsid w:val="0011242F"/>
    <w:rsid w:val="001244DA"/>
    <w:rsid w:val="00132CEB"/>
    <w:rsid w:val="001339B0"/>
    <w:rsid w:val="00134429"/>
    <w:rsid w:val="001351F7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B31A4"/>
    <w:rsid w:val="001C1715"/>
    <w:rsid w:val="001C61C5"/>
    <w:rsid w:val="001C6494"/>
    <w:rsid w:val="001C69C4"/>
    <w:rsid w:val="001D37EF"/>
    <w:rsid w:val="001D5600"/>
    <w:rsid w:val="001D681A"/>
    <w:rsid w:val="001D729F"/>
    <w:rsid w:val="001E1BEA"/>
    <w:rsid w:val="001E23C1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0864"/>
    <w:rsid w:val="002A506E"/>
    <w:rsid w:val="002A7BCF"/>
    <w:rsid w:val="002C3FD1"/>
    <w:rsid w:val="002D043A"/>
    <w:rsid w:val="002D266B"/>
    <w:rsid w:val="002D43A4"/>
    <w:rsid w:val="002D521F"/>
    <w:rsid w:val="002D6224"/>
    <w:rsid w:val="002D67E8"/>
    <w:rsid w:val="002F5727"/>
    <w:rsid w:val="00303C90"/>
    <w:rsid w:val="00304F8B"/>
    <w:rsid w:val="00316386"/>
    <w:rsid w:val="003218F9"/>
    <w:rsid w:val="00335BC6"/>
    <w:rsid w:val="003415D3"/>
    <w:rsid w:val="00343D01"/>
    <w:rsid w:val="00344338"/>
    <w:rsid w:val="00344701"/>
    <w:rsid w:val="00350A6C"/>
    <w:rsid w:val="00352B0F"/>
    <w:rsid w:val="003551C7"/>
    <w:rsid w:val="00355410"/>
    <w:rsid w:val="00360459"/>
    <w:rsid w:val="00365E41"/>
    <w:rsid w:val="0038049F"/>
    <w:rsid w:val="003A6B64"/>
    <w:rsid w:val="003B1B4B"/>
    <w:rsid w:val="003B3646"/>
    <w:rsid w:val="003C0B92"/>
    <w:rsid w:val="003C12FE"/>
    <w:rsid w:val="003C6231"/>
    <w:rsid w:val="003C7F9F"/>
    <w:rsid w:val="003D0BFE"/>
    <w:rsid w:val="003D3084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1D07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6C29"/>
    <w:rsid w:val="00477830"/>
    <w:rsid w:val="00480BB0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3B98"/>
    <w:rsid w:val="004C4E59"/>
    <w:rsid w:val="004C6809"/>
    <w:rsid w:val="004D2ABC"/>
    <w:rsid w:val="004D4B19"/>
    <w:rsid w:val="004D6E62"/>
    <w:rsid w:val="004E063A"/>
    <w:rsid w:val="004E1307"/>
    <w:rsid w:val="004E3650"/>
    <w:rsid w:val="004E47CE"/>
    <w:rsid w:val="004E498B"/>
    <w:rsid w:val="004E7BEC"/>
    <w:rsid w:val="004F3A8C"/>
    <w:rsid w:val="00503398"/>
    <w:rsid w:val="00505D3D"/>
    <w:rsid w:val="00506AF6"/>
    <w:rsid w:val="0051232F"/>
    <w:rsid w:val="00516B8D"/>
    <w:rsid w:val="00525780"/>
    <w:rsid w:val="005303C8"/>
    <w:rsid w:val="005329F2"/>
    <w:rsid w:val="00532FFB"/>
    <w:rsid w:val="0053439B"/>
    <w:rsid w:val="00537FBC"/>
    <w:rsid w:val="00541EBC"/>
    <w:rsid w:val="00554826"/>
    <w:rsid w:val="00562877"/>
    <w:rsid w:val="005734D4"/>
    <w:rsid w:val="005756C1"/>
    <w:rsid w:val="005801D9"/>
    <w:rsid w:val="00580C9B"/>
    <w:rsid w:val="005835E0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5E01D2"/>
    <w:rsid w:val="005F5235"/>
    <w:rsid w:val="00600219"/>
    <w:rsid w:val="00604F2A"/>
    <w:rsid w:val="00607C3E"/>
    <w:rsid w:val="00620076"/>
    <w:rsid w:val="00621427"/>
    <w:rsid w:val="006224B1"/>
    <w:rsid w:val="0062438A"/>
    <w:rsid w:val="006273BE"/>
    <w:rsid w:val="00627E0A"/>
    <w:rsid w:val="006303E3"/>
    <w:rsid w:val="00647380"/>
    <w:rsid w:val="006504D5"/>
    <w:rsid w:val="0065488B"/>
    <w:rsid w:val="006707B2"/>
    <w:rsid w:val="00670EA1"/>
    <w:rsid w:val="00677CC2"/>
    <w:rsid w:val="00681F8B"/>
    <w:rsid w:val="006825B2"/>
    <w:rsid w:val="00684D78"/>
    <w:rsid w:val="0068744B"/>
    <w:rsid w:val="006905DE"/>
    <w:rsid w:val="0069207B"/>
    <w:rsid w:val="00692BFD"/>
    <w:rsid w:val="00693FC6"/>
    <w:rsid w:val="0069408C"/>
    <w:rsid w:val="00694E6D"/>
    <w:rsid w:val="00695A3E"/>
    <w:rsid w:val="00695BBC"/>
    <w:rsid w:val="006A154F"/>
    <w:rsid w:val="006A437B"/>
    <w:rsid w:val="006A5437"/>
    <w:rsid w:val="006A6A97"/>
    <w:rsid w:val="006A77E6"/>
    <w:rsid w:val="006B5789"/>
    <w:rsid w:val="006C30C5"/>
    <w:rsid w:val="006C45EF"/>
    <w:rsid w:val="006C507A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23BCF"/>
    <w:rsid w:val="00730942"/>
    <w:rsid w:val="00731D97"/>
    <w:rsid w:val="00731E00"/>
    <w:rsid w:val="0073333A"/>
    <w:rsid w:val="007356F1"/>
    <w:rsid w:val="00740E60"/>
    <w:rsid w:val="007440B7"/>
    <w:rsid w:val="00745E80"/>
    <w:rsid w:val="007500C8"/>
    <w:rsid w:val="007523F9"/>
    <w:rsid w:val="00756272"/>
    <w:rsid w:val="00762D38"/>
    <w:rsid w:val="007715C9"/>
    <w:rsid w:val="00771613"/>
    <w:rsid w:val="00774EDD"/>
    <w:rsid w:val="007757EC"/>
    <w:rsid w:val="0078011C"/>
    <w:rsid w:val="00782441"/>
    <w:rsid w:val="00783E89"/>
    <w:rsid w:val="00792DB4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C7885"/>
    <w:rsid w:val="007D1046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07EE7"/>
    <w:rsid w:val="008117E9"/>
    <w:rsid w:val="00824498"/>
    <w:rsid w:val="00825587"/>
    <w:rsid w:val="00826BD1"/>
    <w:rsid w:val="00832267"/>
    <w:rsid w:val="0084208C"/>
    <w:rsid w:val="00850046"/>
    <w:rsid w:val="00854D0B"/>
    <w:rsid w:val="008559BF"/>
    <w:rsid w:val="00856A31"/>
    <w:rsid w:val="00860B4E"/>
    <w:rsid w:val="00861378"/>
    <w:rsid w:val="00867B37"/>
    <w:rsid w:val="008754D0"/>
    <w:rsid w:val="00875D13"/>
    <w:rsid w:val="00881923"/>
    <w:rsid w:val="008855C9"/>
    <w:rsid w:val="00886456"/>
    <w:rsid w:val="0089029F"/>
    <w:rsid w:val="00895E56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C5A19"/>
    <w:rsid w:val="008D0EE0"/>
    <w:rsid w:val="008E0027"/>
    <w:rsid w:val="008E31A1"/>
    <w:rsid w:val="008E6067"/>
    <w:rsid w:val="008F186F"/>
    <w:rsid w:val="008F3675"/>
    <w:rsid w:val="008F54E7"/>
    <w:rsid w:val="00902E57"/>
    <w:rsid w:val="00903422"/>
    <w:rsid w:val="00905A44"/>
    <w:rsid w:val="00906CEE"/>
    <w:rsid w:val="00916E8D"/>
    <w:rsid w:val="009228CB"/>
    <w:rsid w:val="00922BC7"/>
    <w:rsid w:val="00923013"/>
    <w:rsid w:val="009254C3"/>
    <w:rsid w:val="00932377"/>
    <w:rsid w:val="00941236"/>
    <w:rsid w:val="009420F1"/>
    <w:rsid w:val="00943FD5"/>
    <w:rsid w:val="009464C5"/>
    <w:rsid w:val="00947D5A"/>
    <w:rsid w:val="009505E3"/>
    <w:rsid w:val="009532A5"/>
    <w:rsid w:val="00953A29"/>
    <w:rsid w:val="009545BD"/>
    <w:rsid w:val="00964CF0"/>
    <w:rsid w:val="00965421"/>
    <w:rsid w:val="009713DE"/>
    <w:rsid w:val="00973DC6"/>
    <w:rsid w:val="00977806"/>
    <w:rsid w:val="00982242"/>
    <w:rsid w:val="009868E9"/>
    <w:rsid w:val="009900A3"/>
    <w:rsid w:val="00994EB3"/>
    <w:rsid w:val="00995433"/>
    <w:rsid w:val="009A31F2"/>
    <w:rsid w:val="009A7C1F"/>
    <w:rsid w:val="009C215C"/>
    <w:rsid w:val="009C3413"/>
    <w:rsid w:val="009D0C05"/>
    <w:rsid w:val="009D1B0D"/>
    <w:rsid w:val="009E3D4E"/>
    <w:rsid w:val="009F13F4"/>
    <w:rsid w:val="009F49B2"/>
    <w:rsid w:val="009F69F1"/>
    <w:rsid w:val="00A0441E"/>
    <w:rsid w:val="00A06CA5"/>
    <w:rsid w:val="00A12128"/>
    <w:rsid w:val="00A127E7"/>
    <w:rsid w:val="00A17B99"/>
    <w:rsid w:val="00A21B5F"/>
    <w:rsid w:val="00A22C98"/>
    <w:rsid w:val="00A231E2"/>
    <w:rsid w:val="00A252F1"/>
    <w:rsid w:val="00A33A4A"/>
    <w:rsid w:val="00A369E3"/>
    <w:rsid w:val="00A57600"/>
    <w:rsid w:val="00A60E4D"/>
    <w:rsid w:val="00A64396"/>
    <w:rsid w:val="00A64912"/>
    <w:rsid w:val="00A70A74"/>
    <w:rsid w:val="00A72548"/>
    <w:rsid w:val="00A75A0B"/>
    <w:rsid w:val="00A75FE9"/>
    <w:rsid w:val="00A774BD"/>
    <w:rsid w:val="00A800DE"/>
    <w:rsid w:val="00A8241B"/>
    <w:rsid w:val="00A94216"/>
    <w:rsid w:val="00AA2CB1"/>
    <w:rsid w:val="00AA7A1C"/>
    <w:rsid w:val="00AC7B08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7692E"/>
    <w:rsid w:val="00B80199"/>
    <w:rsid w:val="00B83204"/>
    <w:rsid w:val="00B856E7"/>
    <w:rsid w:val="00B869EF"/>
    <w:rsid w:val="00B96487"/>
    <w:rsid w:val="00B97BDE"/>
    <w:rsid w:val="00BA1DD8"/>
    <w:rsid w:val="00BA220B"/>
    <w:rsid w:val="00BA3A57"/>
    <w:rsid w:val="00BA72C4"/>
    <w:rsid w:val="00BB1533"/>
    <w:rsid w:val="00BB29D5"/>
    <w:rsid w:val="00BB4467"/>
    <w:rsid w:val="00BB4CB2"/>
    <w:rsid w:val="00BB4E1A"/>
    <w:rsid w:val="00BB6030"/>
    <w:rsid w:val="00BC015E"/>
    <w:rsid w:val="00BC1E98"/>
    <w:rsid w:val="00BC7312"/>
    <w:rsid w:val="00BC76AC"/>
    <w:rsid w:val="00BD08C0"/>
    <w:rsid w:val="00BD0ECB"/>
    <w:rsid w:val="00BE08E3"/>
    <w:rsid w:val="00BE2155"/>
    <w:rsid w:val="00BE3FFE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569B6"/>
    <w:rsid w:val="00C608DE"/>
    <w:rsid w:val="00C73B6F"/>
    <w:rsid w:val="00C7573B"/>
    <w:rsid w:val="00C96D4F"/>
    <w:rsid w:val="00C97A54"/>
    <w:rsid w:val="00CA5B23"/>
    <w:rsid w:val="00CB602E"/>
    <w:rsid w:val="00CB7E90"/>
    <w:rsid w:val="00CB7FC5"/>
    <w:rsid w:val="00CC6838"/>
    <w:rsid w:val="00CC77B2"/>
    <w:rsid w:val="00CC795A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02F61"/>
    <w:rsid w:val="00D13441"/>
    <w:rsid w:val="00D150E7"/>
    <w:rsid w:val="00D23BA5"/>
    <w:rsid w:val="00D32EA1"/>
    <w:rsid w:val="00D36F4A"/>
    <w:rsid w:val="00D51022"/>
    <w:rsid w:val="00D52DC2"/>
    <w:rsid w:val="00D53BCC"/>
    <w:rsid w:val="00D54C9E"/>
    <w:rsid w:val="00D56422"/>
    <w:rsid w:val="00D6537E"/>
    <w:rsid w:val="00D6691B"/>
    <w:rsid w:val="00D70DFB"/>
    <w:rsid w:val="00D766DF"/>
    <w:rsid w:val="00D8206C"/>
    <w:rsid w:val="00D83F89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3B04"/>
    <w:rsid w:val="00DC4F88"/>
    <w:rsid w:val="00DC51B5"/>
    <w:rsid w:val="00DD22E6"/>
    <w:rsid w:val="00DD2D35"/>
    <w:rsid w:val="00DD54CD"/>
    <w:rsid w:val="00DD69A2"/>
    <w:rsid w:val="00DE08BC"/>
    <w:rsid w:val="00DE107C"/>
    <w:rsid w:val="00DF2388"/>
    <w:rsid w:val="00E05704"/>
    <w:rsid w:val="00E05CB5"/>
    <w:rsid w:val="00E12DE4"/>
    <w:rsid w:val="00E13901"/>
    <w:rsid w:val="00E14961"/>
    <w:rsid w:val="00E171A2"/>
    <w:rsid w:val="00E20015"/>
    <w:rsid w:val="00E23301"/>
    <w:rsid w:val="00E31F79"/>
    <w:rsid w:val="00E32172"/>
    <w:rsid w:val="00E33196"/>
    <w:rsid w:val="00E338EF"/>
    <w:rsid w:val="00E42F9D"/>
    <w:rsid w:val="00E453EA"/>
    <w:rsid w:val="00E45925"/>
    <w:rsid w:val="00E544BB"/>
    <w:rsid w:val="00E55A12"/>
    <w:rsid w:val="00E5722B"/>
    <w:rsid w:val="00E6260D"/>
    <w:rsid w:val="00E742C1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C6618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6327"/>
    <w:rsid w:val="00F17CC6"/>
    <w:rsid w:val="00F207EF"/>
    <w:rsid w:val="00F27438"/>
    <w:rsid w:val="00F32BA8"/>
    <w:rsid w:val="00F32EE0"/>
    <w:rsid w:val="00F349F1"/>
    <w:rsid w:val="00F4350D"/>
    <w:rsid w:val="00F479C4"/>
    <w:rsid w:val="00F567F7"/>
    <w:rsid w:val="00F6696E"/>
    <w:rsid w:val="00F72DF8"/>
    <w:rsid w:val="00F73BD6"/>
    <w:rsid w:val="00F7570C"/>
    <w:rsid w:val="00F80382"/>
    <w:rsid w:val="00F83989"/>
    <w:rsid w:val="00F85099"/>
    <w:rsid w:val="00F86FAC"/>
    <w:rsid w:val="00F875DC"/>
    <w:rsid w:val="00F87F6A"/>
    <w:rsid w:val="00F9208D"/>
    <w:rsid w:val="00F9379C"/>
    <w:rsid w:val="00F9632C"/>
    <w:rsid w:val="00FA1E52"/>
    <w:rsid w:val="00FA2414"/>
    <w:rsid w:val="00FA5BB2"/>
    <w:rsid w:val="00FB49DE"/>
    <w:rsid w:val="00FB5A08"/>
    <w:rsid w:val="00FC0830"/>
    <w:rsid w:val="00FC3B35"/>
    <w:rsid w:val="00FC6A80"/>
    <w:rsid w:val="00FD227E"/>
    <w:rsid w:val="00FD7481"/>
    <w:rsid w:val="00FE4688"/>
    <w:rsid w:val="00FF04EE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A4D1AB"/>
  <w15:docId w15:val="{46FF0CC3-02DA-4B02-BB8E-C2E35C23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customStyle="1" w:styleId="ActHead5">
    <w:name w:val="ActHead 5"/>
    <w:aliases w:val="s"/>
    <w:basedOn w:val="Normal"/>
    <w:next w:val="subsection"/>
    <w:qFormat/>
    <w:rsid w:val="003A6B64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CTA1ai">
    <w:name w:val="CTA 1(a)(i)"/>
    <w:basedOn w:val="Normal"/>
    <w:rsid w:val="003A6B64"/>
    <w:pPr>
      <w:tabs>
        <w:tab w:val="right" w:pos="1004"/>
      </w:tabs>
      <w:spacing w:before="40" w:line="240" w:lineRule="atLeast"/>
      <w:ind w:left="1253" w:hanging="1253"/>
    </w:pPr>
    <w:rPr>
      <w:rFonts w:eastAsia="Times New Roman" w:cs="Times New Roman"/>
      <w:sz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3A6B64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A6B64"/>
    <w:rPr>
      <w:rFonts w:eastAsia="Times New Roman" w:cs="Times New Roman"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3A6B64"/>
    <w:pPr>
      <w:spacing w:line="240" w:lineRule="auto"/>
      <w:ind w:left="720"/>
    </w:pPr>
    <w:rPr>
      <w:rFonts w:ascii="Calibri" w:hAnsi="Calibri" w:cs="Calibri"/>
      <w:szCs w:val="22"/>
      <w:lang w:val="en-US"/>
    </w:rPr>
  </w:style>
  <w:style w:type="paragraph" w:styleId="Revision">
    <w:name w:val="Revision"/>
    <w:hidden/>
    <w:uiPriority w:val="99"/>
    <w:semiHidden/>
    <w:rsid w:val="004D2ABC"/>
    <w:rPr>
      <w:sz w:val="22"/>
    </w:rPr>
  </w:style>
  <w:style w:type="paragraph" w:styleId="Footer">
    <w:name w:val="footer"/>
    <w:basedOn w:val="Normal"/>
    <w:link w:val="FooterChar"/>
    <w:unhideWhenUsed/>
    <w:rsid w:val="00953A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53A2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9D0E1668-83BF-4573-8A8D-7850E6D93ED8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26C821-A990-43D6-B8D1-2924EEEC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HU</dc:creator>
  <cp:lastModifiedBy>Hannah HU</cp:lastModifiedBy>
  <cp:revision>8</cp:revision>
  <cp:lastPrinted>2021-10-20T00:13:00Z</cp:lastPrinted>
  <dcterms:created xsi:type="dcterms:W3CDTF">2021-10-19T03:52:00Z</dcterms:created>
  <dcterms:modified xsi:type="dcterms:W3CDTF">2021-10-28T22:56:00Z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