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4FDD5" w14:textId="77777777" w:rsidR="00FB640B" w:rsidRPr="008B24C8" w:rsidRDefault="0057002B" w:rsidP="00BB0CF2">
      <w:pPr>
        <w:pStyle w:val="ESTitleHeader"/>
      </w:pPr>
      <w:r w:rsidRPr="008B24C8">
        <w:t>EXPLANATORY STATEMENT</w:t>
      </w:r>
    </w:p>
    <w:p w14:paraId="329A99FD" w14:textId="77777777" w:rsidR="0057002B" w:rsidRPr="008B24C8" w:rsidRDefault="0057002B" w:rsidP="00BB0CF2">
      <w:pPr>
        <w:pStyle w:val="ESTitleDecisionMaker"/>
      </w:pPr>
      <w:r w:rsidRPr="008B24C8">
        <w:t xml:space="preserve">Issued by authority of the </w:t>
      </w:r>
      <w:r w:rsidR="00822757" w:rsidRPr="00FA5BB2">
        <w:t>Minister for Immigration, Citizenship, Migrant Services and Multicultural Affairs</w:t>
      </w:r>
    </w:p>
    <w:p w14:paraId="70124EEE" w14:textId="77777777" w:rsidR="0057002B" w:rsidRPr="008B24C8" w:rsidRDefault="00604E06" w:rsidP="00BB0CF2">
      <w:pPr>
        <w:pStyle w:val="ESTitleEnablingLegislation"/>
      </w:pPr>
      <w:r>
        <w:t>Migration Act 1958</w:t>
      </w:r>
    </w:p>
    <w:p w14:paraId="096B005E" w14:textId="6D68ECFF" w:rsidR="0057002B" w:rsidRPr="008B24C8" w:rsidRDefault="008508D5" w:rsidP="00BB0CF2">
      <w:pPr>
        <w:pStyle w:val="ESTitleInstrumentName"/>
      </w:pPr>
      <w:bookmarkStart w:id="0" w:name="title"/>
      <w:r>
        <w:t>Migration (I</w:t>
      </w:r>
      <w:r w:rsidR="00710D41" w:rsidRPr="00710D41">
        <w:t>nternational trade obligations relating to labour market test</w:t>
      </w:r>
      <w:r w:rsidR="00C0034F">
        <w:t>ing) Determination (LIN 21/075) </w:t>
      </w:r>
      <w:r w:rsidR="00710D41" w:rsidRPr="00710D41">
        <w:t>2021</w:t>
      </w:r>
      <w:bookmarkEnd w:id="0"/>
    </w:p>
    <w:p w14:paraId="68F9CC05" w14:textId="6858EC3F" w:rsidR="0057002B" w:rsidRPr="008B24C8" w:rsidRDefault="0057002B" w:rsidP="002D167E">
      <w:pPr>
        <w:pStyle w:val="ESPara"/>
      </w:pPr>
      <w:r w:rsidRPr="008B24C8">
        <w:t>The inst</w:t>
      </w:r>
      <w:r w:rsidR="00FB133E">
        <w:t>rument, Departmental reference LIN 21/075</w:t>
      </w:r>
      <w:r w:rsidRPr="008B24C8">
        <w:t xml:space="preserve">, is made under </w:t>
      </w:r>
      <w:r w:rsidR="00FB133E">
        <w:t>subsection </w:t>
      </w:r>
      <w:proofErr w:type="gramStart"/>
      <w:r w:rsidR="00FB133E" w:rsidRPr="00E453EA">
        <w:t>140GBA(</w:t>
      </w:r>
      <w:proofErr w:type="gramEnd"/>
      <w:r w:rsidR="00FB133E" w:rsidRPr="00E453EA">
        <w:t>2)</w:t>
      </w:r>
      <w:r w:rsidR="00FB133E">
        <w:t xml:space="preserve"> </w:t>
      </w:r>
      <w:r w:rsidRPr="008B24C8">
        <w:t xml:space="preserve">of the </w:t>
      </w:r>
      <w:r w:rsidR="00C81A5E">
        <w:rPr>
          <w:i/>
        </w:rPr>
        <w:t>Migration Act 1958</w:t>
      </w:r>
      <w:r w:rsidR="000C5E27">
        <w:t xml:space="preserve"> (the Act).</w:t>
      </w:r>
    </w:p>
    <w:p w14:paraId="5214CCA8" w14:textId="74C12F82" w:rsidR="00EA12C9" w:rsidRPr="008B24C8" w:rsidRDefault="00EA12C9" w:rsidP="002D167E">
      <w:pPr>
        <w:pStyle w:val="ESPara"/>
      </w:pPr>
      <w:r w:rsidRPr="008B24C8">
        <w:t xml:space="preserve">The instrument </w:t>
      </w:r>
      <w:r w:rsidR="00B75478">
        <w:t>repeal</w:t>
      </w:r>
      <w:r w:rsidR="00F62585">
        <w:t>s</w:t>
      </w:r>
      <w:r w:rsidR="00B75478">
        <w:t xml:space="preserve"> </w:t>
      </w:r>
      <w:r w:rsidR="00AC5F3C" w:rsidRPr="00621427">
        <w:rPr>
          <w:i/>
        </w:rPr>
        <w:t>Migration (LIN 20/029: Determination of International Trade Obligations Relating to Labour Market Testing) Instrument 2020</w:t>
      </w:r>
      <w:r w:rsidR="00AC5F3C" w:rsidRPr="009464C5">
        <w:t xml:space="preserve"> </w:t>
      </w:r>
      <w:r w:rsidR="00AC5F3C" w:rsidRPr="00AC5F3C">
        <w:t>(LIN 20/029)</w:t>
      </w:r>
      <w:r w:rsidR="00AC5F3C">
        <w:t xml:space="preserve"> and </w:t>
      </w:r>
      <w:r w:rsidR="00AC5F3C" w:rsidRPr="00D83F89">
        <w:rPr>
          <w:i/>
        </w:rPr>
        <w:t>Migration (LIN</w:t>
      </w:r>
      <w:r w:rsidR="00AC5F3C">
        <w:rPr>
          <w:i/>
        </w:rPr>
        <w:t> </w:t>
      </w:r>
      <w:r w:rsidR="00AC5F3C" w:rsidRPr="00D83F89">
        <w:rPr>
          <w:i/>
        </w:rPr>
        <w:t>18/219: Determination of International Trade Obligations Relating to Labour Market Testing) Instrument 2018</w:t>
      </w:r>
      <w:r w:rsidR="00AC5F3C">
        <w:rPr>
          <w:i/>
        </w:rPr>
        <w:t xml:space="preserve"> </w:t>
      </w:r>
      <w:r w:rsidR="00B75478">
        <w:t>(</w:t>
      </w:r>
      <w:r w:rsidR="00AC5F3C" w:rsidRPr="00AC5F3C">
        <w:t>LIN 18/219</w:t>
      </w:r>
      <w:r w:rsidR="00B75478">
        <w:t xml:space="preserve">) </w:t>
      </w:r>
      <w:r w:rsidRPr="008B24C8">
        <w:t xml:space="preserve">in accordance with subsection 33(3) of the </w:t>
      </w:r>
      <w:r w:rsidRPr="008B24C8">
        <w:rPr>
          <w:i/>
        </w:rPr>
        <w:t>Acts Interpretation Act 1901</w:t>
      </w:r>
      <w:r w:rsidR="00AC5F3C">
        <w:t xml:space="preserve">. </w:t>
      </w:r>
      <w:r w:rsidR="000E7BC8">
        <w:t xml:space="preserve"> </w:t>
      </w:r>
      <w:r w:rsidRPr="008B24C8">
        <w:t xml:space="preserve">That subsection provides that </w:t>
      </w:r>
      <w:r w:rsidR="00100DFC">
        <w:t>a power to make a legislative instrument includes a power to amend or repeal that instrument in the same manner, and subject to the same conditions, as the power to make the instrument</w:t>
      </w:r>
      <w:r w:rsidR="00AC5F3C">
        <w:t xml:space="preserve">. </w:t>
      </w:r>
    </w:p>
    <w:p w14:paraId="02FC3801" w14:textId="3009F9CF" w:rsidR="00BD598E" w:rsidRPr="008B24C8" w:rsidRDefault="00AA4557" w:rsidP="002D167E">
      <w:pPr>
        <w:pStyle w:val="ESPara"/>
      </w:pPr>
      <w:r>
        <w:t>The instrument commences</w:t>
      </w:r>
      <w:r w:rsidR="000034F9">
        <w:t xml:space="preserve"> immediately</w:t>
      </w:r>
      <w:r>
        <w:t xml:space="preserve"> </w:t>
      </w:r>
      <w:r w:rsidR="000034F9" w:rsidRPr="009D1B0D">
        <w:t xml:space="preserve">after the commencement of </w:t>
      </w:r>
      <w:r w:rsidR="000034F9">
        <w:t>Schedule 1</w:t>
      </w:r>
      <w:r w:rsidR="000034F9" w:rsidRPr="009D1B0D">
        <w:t xml:space="preserve"> to the </w:t>
      </w:r>
      <w:r w:rsidR="000034F9" w:rsidRPr="009D1B0D">
        <w:rPr>
          <w:i/>
        </w:rPr>
        <w:t xml:space="preserve">Customs Amendment (Regional Comprehensive Economic Partnership Agreement Implementation) </w:t>
      </w:r>
      <w:r w:rsidR="000034F9">
        <w:rPr>
          <w:i/>
        </w:rPr>
        <w:t>Act</w:t>
      </w:r>
      <w:r w:rsidR="000034F9" w:rsidRPr="009D1B0D">
        <w:rPr>
          <w:i/>
        </w:rPr>
        <w:t xml:space="preserve"> 2021</w:t>
      </w:r>
      <w:r w:rsidR="009B0400">
        <w:t xml:space="preserve">, </w:t>
      </w:r>
      <w:proofErr w:type="gramStart"/>
      <w:r>
        <w:t>and</w:t>
      </w:r>
      <w:proofErr w:type="gramEnd"/>
      <w:r>
        <w:t xml:space="preserve"> i</w:t>
      </w:r>
      <w:r w:rsidR="00BD598E" w:rsidRPr="008B24C8">
        <w:t xml:space="preserve">s a </w:t>
      </w:r>
      <w:r>
        <w:t>legislative</w:t>
      </w:r>
      <w:r w:rsidR="00BD598E" w:rsidRPr="008B24C8">
        <w:t xml:space="preserve"> instrument for </w:t>
      </w:r>
      <w:r w:rsidR="00B75478">
        <w:t xml:space="preserve">the </w:t>
      </w:r>
      <w:r w:rsidR="00100DFC">
        <w:rPr>
          <w:i/>
        </w:rPr>
        <w:t>Legislation Act 2003</w:t>
      </w:r>
      <w:r w:rsidR="00100DFC">
        <w:t xml:space="preserve"> (the Legislation Act)</w:t>
      </w:r>
      <w:r w:rsidR="00BD598E" w:rsidRPr="008B24C8">
        <w:t xml:space="preserve">.  </w:t>
      </w:r>
    </w:p>
    <w:p w14:paraId="20FD3237" w14:textId="77777777" w:rsidR="00EA12C9" w:rsidRPr="00C7111A" w:rsidRDefault="00BD598E" w:rsidP="00100DFC">
      <w:pPr>
        <w:pStyle w:val="ESHeading"/>
      </w:pPr>
      <w:r w:rsidRPr="008B24C8">
        <w:t>Purpos</w:t>
      </w:r>
      <w:r w:rsidRPr="00C7111A">
        <w:t>e</w:t>
      </w:r>
    </w:p>
    <w:p w14:paraId="77DD8CAB" w14:textId="7DCE06B7" w:rsidR="004F5365" w:rsidRPr="00870D02" w:rsidRDefault="009A66CC" w:rsidP="004F5365">
      <w:pPr>
        <w:pStyle w:val="ESPara"/>
      </w:pPr>
      <w:r>
        <w:t xml:space="preserve">Section 140GBA </w:t>
      </w:r>
      <w:r w:rsidRPr="00870D02">
        <w:t xml:space="preserve">of the Act </w:t>
      </w:r>
      <w:r>
        <w:t xml:space="preserve">sets </w:t>
      </w:r>
      <w:r w:rsidR="005760DA">
        <w:t xml:space="preserve">out </w:t>
      </w:r>
      <w:r w:rsidR="00D87B0B">
        <w:t xml:space="preserve">a </w:t>
      </w:r>
      <w:r>
        <w:t>condition for</w:t>
      </w:r>
      <w:r w:rsidR="005760DA">
        <w:t xml:space="preserve"> </w:t>
      </w:r>
      <w:r>
        <w:t>l</w:t>
      </w:r>
      <w:r w:rsidR="005760DA">
        <w:t xml:space="preserve">abour </w:t>
      </w:r>
      <w:r>
        <w:t>m</w:t>
      </w:r>
      <w:r w:rsidR="005760DA">
        <w:t>arket testing</w:t>
      </w:r>
      <w:r w:rsidR="00D87B0B">
        <w:t xml:space="preserve"> that needs to be met by</w:t>
      </w:r>
      <w:r w:rsidR="009B0400">
        <w:t xml:space="preserve"> </w:t>
      </w:r>
      <w:r w:rsidR="009B0400" w:rsidRPr="009B0400">
        <w:t>approved work sponsors who wish to apply for w</w:t>
      </w:r>
      <w:r w:rsidR="0033422A">
        <w:t xml:space="preserve">ork-related visas on behalf of </w:t>
      </w:r>
      <w:r w:rsidR="0033422A">
        <w:rPr>
          <w:rFonts w:hint="eastAsia"/>
          <w:lang w:eastAsia="zh-CN"/>
        </w:rPr>
        <w:t>a</w:t>
      </w:r>
      <w:r w:rsidR="009B0400" w:rsidRPr="009B0400">
        <w:t xml:space="preserve"> visa applicant in certain circumstances (see subsection 140GB(2) of the Act)</w:t>
      </w:r>
      <w:r w:rsidR="009B0400">
        <w:t xml:space="preserve">.  </w:t>
      </w:r>
      <w:r w:rsidR="005760DA">
        <w:t>Subsection 140GBA(1)</w:t>
      </w:r>
      <w:r w:rsidR="004F5365" w:rsidRPr="00870D02">
        <w:t xml:space="preserve"> provides that </w:t>
      </w:r>
      <w:r w:rsidR="00D87B0B">
        <w:t>the labour market testing condition</w:t>
      </w:r>
      <w:r w:rsidR="00D87B0B" w:rsidRPr="00870D02">
        <w:t xml:space="preserve"> </w:t>
      </w:r>
      <w:r w:rsidR="004F5365" w:rsidRPr="00870D02">
        <w:t>applies to a nomination by a person if:</w:t>
      </w:r>
      <w:r>
        <w:t xml:space="preserve"> </w:t>
      </w:r>
    </w:p>
    <w:p w14:paraId="096A7E46" w14:textId="3858F890" w:rsidR="004F5365" w:rsidRPr="00870D02" w:rsidRDefault="004F5365" w:rsidP="004F5365">
      <w:pPr>
        <w:pStyle w:val="ESPara"/>
        <w:numPr>
          <w:ilvl w:val="0"/>
          <w:numId w:val="8"/>
        </w:numPr>
      </w:pPr>
      <w:r w:rsidRPr="00870D02">
        <w:t>the person is or has applied to be, in a class of approved work sponsors</w:t>
      </w:r>
      <w:r w:rsidR="0094779E">
        <w:t xml:space="preserve"> (paragraph</w:t>
      </w:r>
      <w:r w:rsidR="009A66CC">
        <w:t> </w:t>
      </w:r>
      <w:r w:rsidR="0094779E">
        <w:t>140GBA(1)(a))</w:t>
      </w:r>
      <w:r w:rsidRPr="00870D02">
        <w:t xml:space="preserve">; </w:t>
      </w:r>
      <w:r w:rsidR="00AE51FC">
        <w:t>and</w:t>
      </w:r>
    </w:p>
    <w:p w14:paraId="557B0A89" w14:textId="42BB53AA" w:rsidR="004F5365" w:rsidRPr="00870D02" w:rsidRDefault="004F5365" w:rsidP="004F5365">
      <w:pPr>
        <w:pStyle w:val="ESPara"/>
        <w:numPr>
          <w:ilvl w:val="0"/>
          <w:numId w:val="8"/>
        </w:numPr>
      </w:pPr>
      <w:r w:rsidRPr="00870D02">
        <w:t>the person nominates a proposed occupation and a particular position, associated with the nominated occupation, that is to be filled by a visa applicant (including proposed applicants) or a visa holder identified in the nomination</w:t>
      </w:r>
      <w:r w:rsidR="0094779E">
        <w:t xml:space="preserve"> (paragraph</w:t>
      </w:r>
      <w:r w:rsidR="009A66CC">
        <w:t> </w:t>
      </w:r>
      <w:r w:rsidR="0094779E">
        <w:t>140GBA(1)(b))</w:t>
      </w:r>
      <w:r w:rsidRPr="00870D02">
        <w:t xml:space="preserve">; and </w:t>
      </w:r>
    </w:p>
    <w:p w14:paraId="6C501211" w14:textId="47A09552" w:rsidR="004F5365" w:rsidRPr="00870D02" w:rsidRDefault="004F5365" w:rsidP="004F5365">
      <w:pPr>
        <w:pStyle w:val="ESPara"/>
        <w:numPr>
          <w:ilvl w:val="0"/>
          <w:numId w:val="8"/>
        </w:numPr>
      </w:pPr>
      <w:r w:rsidRPr="00870D02">
        <w:t xml:space="preserve">it would not be inconsistent with any international trade obligation of Australia determined </w:t>
      </w:r>
      <w:r w:rsidR="0094779E">
        <w:t xml:space="preserve">in a legislative instrument made </w:t>
      </w:r>
      <w:r w:rsidRPr="00870D02">
        <w:t>under subsection 140GBA(2) to require the person to satisfy the labour market testing condition, in relation to the nominated position</w:t>
      </w:r>
      <w:r w:rsidR="0094779E">
        <w:t xml:space="preserve"> (paragraph</w:t>
      </w:r>
      <w:r w:rsidR="009A66CC">
        <w:t> </w:t>
      </w:r>
      <w:r w:rsidR="0094779E">
        <w:t>140GBA(1)(c))</w:t>
      </w:r>
      <w:r w:rsidRPr="00870D02">
        <w:t>.</w:t>
      </w:r>
    </w:p>
    <w:p w14:paraId="171CDAD4" w14:textId="6B0867FF" w:rsidR="002C7BE0" w:rsidRDefault="007151FC" w:rsidP="00E148A1">
      <w:pPr>
        <w:pStyle w:val="ESPara"/>
      </w:pPr>
      <w:r>
        <w:t>The purpose of the</w:t>
      </w:r>
      <w:r w:rsidR="00870D02" w:rsidRPr="00870D02">
        <w:t xml:space="preserve"> instrument is to </w:t>
      </w:r>
      <w:r w:rsidR="00D87B0B">
        <w:t>determine</w:t>
      </w:r>
      <w:r w:rsidR="00870D02" w:rsidRPr="00870D02">
        <w:t xml:space="preserve"> Australia’s obligations under i</w:t>
      </w:r>
      <w:r w:rsidR="00F61F8D">
        <w:t>nternational trade agreements</w:t>
      </w:r>
      <w:r w:rsidR="00D87B0B">
        <w:t xml:space="preserve"> under subsection </w:t>
      </w:r>
      <w:proofErr w:type="gramStart"/>
      <w:r w:rsidR="00D87B0B">
        <w:t>140GBA(</w:t>
      </w:r>
      <w:proofErr w:type="gramEnd"/>
      <w:r w:rsidR="00D87B0B">
        <w:t>2)</w:t>
      </w:r>
      <w:r w:rsidR="004910FC">
        <w:t xml:space="preserve"> of the Act</w:t>
      </w:r>
      <w:r w:rsidR="00F61F8D">
        <w:t xml:space="preserve">, </w:t>
      </w:r>
      <w:r w:rsidR="00C22462">
        <w:t>to give domestic effect to tho</w:t>
      </w:r>
      <w:r w:rsidR="00D87B0B">
        <w:t xml:space="preserve">se obligations </w:t>
      </w:r>
      <w:r w:rsidR="00870D02" w:rsidRPr="00870D02">
        <w:t xml:space="preserve">for </w:t>
      </w:r>
      <w:r w:rsidR="003E65D0">
        <w:t xml:space="preserve">the purposes of </w:t>
      </w:r>
      <w:r w:rsidR="00870D02" w:rsidRPr="00870D02">
        <w:t>applying the la</w:t>
      </w:r>
      <w:r w:rsidR="00C70D45">
        <w:t xml:space="preserve">bour market testing condition. </w:t>
      </w:r>
      <w:r w:rsidR="002B6BFF">
        <w:t xml:space="preserve"> </w:t>
      </w:r>
    </w:p>
    <w:p w14:paraId="0AA241B8" w14:textId="7C699145" w:rsidR="00E040EA" w:rsidRPr="00E040EA" w:rsidRDefault="00E26091" w:rsidP="00E148A1">
      <w:pPr>
        <w:pStyle w:val="ESPara"/>
      </w:pPr>
      <w:r>
        <w:t>Prior to the</w:t>
      </w:r>
      <w:r w:rsidR="00D87B0B">
        <w:t xml:space="preserve"> instrument being made, the international trade obligations </w:t>
      </w:r>
      <w:r w:rsidR="004910FC">
        <w:t xml:space="preserve">were </w:t>
      </w:r>
      <w:r w:rsidR="00D87B0B">
        <w:t>determined for subsection </w:t>
      </w:r>
      <w:proofErr w:type="gramStart"/>
      <w:r w:rsidR="00D87B0B">
        <w:t>140GBA(</w:t>
      </w:r>
      <w:proofErr w:type="gramEnd"/>
      <w:r w:rsidR="00D87B0B">
        <w:t xml:space="preserve">2) </w:t>
      </w:r>
      <w:r>
        <w:t xml:space="preserve">in </w:t>
      </w:r>
      <w:r w:rsidR="00D87B0B">
        <w:t xml:space="preserve">two separate instruments, LIN 20/029 and LIN 18/219. </w:t>
      </w:r>
      <w:r w:rsidR="008508D5">
        <w:t xml:space="preserve"> </w:t>
      </w:r>
      <w:r>
        <w:t>The</w:t>
      </w:r>
      <w:r w:rsidR="00D87B0B">
        <w:t xml:space="preserve"> instrument </w:t>
      </w:r>
      <w:r w:rsidR="00200D66">
        <w:lastRenderedPageBreak/>
        <w:t xml:space="preserve">consolidates </w:t>
      </w:r>
      <w:r w:rsidR="00D87B0B">
        <w:t xml:space="preserve">the </w:t>
      </w:r>
      <w:r w:rsidR="00200D66">
        <w:t>international trade agreements determined</w:t>
      </w:r>
      <w:r w:rsidR="00D87B0B">
        <w:t xml:space="preserve"> in those </w:t>
      </w:r>
      <w:r w:rsidR="000E5355">
        <w:t xml:space="preserve">two </w:t>
      </w:r>
      <w:r w:rsidR="00D87B0B">
        <w:t>instruments</w:t>
      </w:r>
      <w:r w:rsidR="0023070F">
        <w:t xml:space="preserve"> into one instrument</w:t>
      </w:r>
      <w:r>
        <w:t xml:space="preserve">, and </w:t>
      </w:r>
      <w:r w:rsidR="00870D02" w:rsidRPr="00870D02">
        <w:t xml:space="preserve">includes </w:t>
      </w:r>
      <w:r w:rsidR="009956D6">
        <w:t xml:space="preserve">one </w:t>
      </w:r>
      <w:r w:rsidR="00D62802">
        <w:t xml:space="preserve">additional </w:t>
      </w:r>
      <w:r w:rsidR="009956D6">
        <w:t>trade agreement</w:t>
      </w:r>
      <w:r w:rsidR="00D62802">
        <w:t xml:space="preserve">, the </w:t>
      </w:r>
      <w:r w:rsidR="00D62802" w:rsidRPr="00D6691B">
        <w:t>Regional Comprehensive Economic Partnership Agreement (RCEP)</w:t>
      </w:r>
      <w:r w:rsidR="00DB384B">
        <w:t xml:space="preserve">. </w:t>
      </w:r>
      <w:r w:rsidR="003C45F9">
        <w:t xml:space="preserve"> </w:t>
      </w:r>
      <w:r w:rsidR="00D62802">
        <w:t xml:space="preserve">The RCEP is a new international </w:t>
      </w:r>
      <w:r w:rsidR="003C45F9">
        <w:t xml:space="preserve">trade </w:t>
      </w:r>
      <w:r w:rsidR="00D62802">
        <w:t xml:space="preserve">agreement and is </w:t>
      </w:r>
      <w:r w:rsidR="00D62802" w:rsidRPr="00870D02">
        <w:t>made</w:t>
      </w:r>
      <w:r w:rsidR="00DF7AC0" w:rsidRPr="00DF7AC0">
        <w:rPr>
          <w:rFonts w:ascii="Segoe UI" w:hAnsi="Segoe UI" w:cs="Segoe UI"/>
          <w:color w:val="313131"/>
          <w:lang w:val="en"/>
        </w:rPr>
        <w:t xml:space="preserve"> </w:t>
      </w:r>
      <w:r w:rsidR="00DF7AC0" w:rsidRPr="00DF7AC0">
        <w:rPr>
          <w:lang w:val="en"/>
        </w:rPr>
        <w:t xml:space="preserve">between the Association of Southeast Asian Nations (ASEAN includes </w:t>
      </w:r>
      <w:r w:rsidR="009842A3" w:rsidRPr="009842A3">
        <w:t>Brunei Darussalam, Cambodia, Indonesia, Lao People’s Democratic Republic, Malaysia, Myanmar, the Philippines, Singapore, Thailand, and Viet Nam</w:t>
      </w:r>
      <w:r w:rsidR="007620E5">
        <w:rPr>
          <w:lang w:val="en"/>
        </w:rPr>
        <w:t xml:space="preserve">) and </w:t>
      </w:r>
      <w:r w:rsidR="00DF7AC0" w:rsidRPr="00DF7AC0">
        <w:rPr>
          <w:lang w:val="en"/>
        </w:rPr>
        <w:t>ASEAN’s</w:t>
      </w:r>
      <w:r w:rsidR="007620E5">
        <w:rPr>
          <w:lang w:val="en"/>
        </w:rPr>
        <w:t xml:space="preserve"> free trade agreement partners including </w:t>
      </w:r>
      <w:r w:rsidR="00DF7AC0" w:rsidRPr="00DF7AC0">
        <w:rPr>
          <w:lang w:val="en"/>
        </w:rPr>
        <w:t xml:space="preserve">Australia, </w:t>
      </w:r>
      <w:r w:rsidR="005B3C2C">
        <w:t>China, Japan, New Zealand and</w:t>
      </w:r>
      <w:r w:rsidR="009842A3" w:rsidRPr="009842A3">
        <w:t xml:space="preserve"> the Republic of Korea</w:t>
      </w:r>
      <w:r w:rsidR="00DF7AC0" w:rsidRPr="00DF7AC0">
        <w:rPr>
          <w:lang w:val="en"/>
        </w:rPr>
        <w:t>.</w:t>
      </w:r>
      <w:r w:rsidR="00D62802" w:rsidRPr="00870D02">
        <w:t xml:space="preserve"> </w:t>
      </w:r>
      <w:r w:rsidR="00DF7AC0">
        <w:t xml:space="preserve"> </w:t>
      </w:r>
    </w:p>
    <w:p w14:paraId="51A2CBD0" w14:textId="03758AAD" w:rsidR="00DF7AC0" w:rsidRPr="00DF7AC0" w:rsidRDefault="00E040EA" w:rsidP="00E040EA">
      <w:pPr>
        <w:pStyle w:val="ESPara"/>
      </w:pPr>
      <w:r>
        <w:t>T</w:t>
      </w:r>
      <w:r w:rsidRPr="00870D02">
        <w:t xml:space="preserve">he </w:t>
      </w:r>
      <w:r w:rsidRPr="00332AE8">
        <w:rPr>
          <w:i/>
        </w:rPr>
        <w:t xml:space="preserve">Customs Amendment (Regional Comprehensive Economic Partnership Agreement Implementation) </w:t>
      </w:r>
      <w:r>
        <w:rPr>
          <w:i/>
        </w:rPr>
        <w:t>Act</w:t>
      </w:r>
      <w:r w:rsidRPr="00332AE8">
        <w:rPr>
          <w:i/>
        </w:rPr>
        <w:t xml:space="preserve"> 2021</w:t>
      </w:r>
      <w:r>
        <w:t xml:space="preserve"> a</w:t>
      </w:r>
      <w:r>
        <w:rPr>
          <w:sz w:val="23"/>
          <w:szCs w:val="23"/>
        </w:rPr>
        <w:t xml:space="preserve">mends the </w:t>
      </w:r>
      <w:r>
        <w:rPr>
          <w:i/>
          <w:iCs/>
          <w:sz w:val="23"/>
          <w:szCs w:val="23"/>
        </w:rPr>
        <w:t>Customs Act 1901</w:t>
      </w:r>
      <w:r>
        <w:rPr>
          <w:sz w:val="23"/>
          <w:szCs w:val="23"/>
        </w:rPr>
        <w:t xml:space="preserve"> (the Customs Act) and the</w:t>
      </w:r>
      <w:r w:rsidRPr="00E040EA">
        <w:rPr>
          <w:i/>
        </w:rPr>
        <w:t xml:space="preserve"> </w:t>
      </w:r>
      <w:r w:rsidRPr="009D1B0D">
        <w:rPr>
          <w:i/>
        </w:rPr>
        <w:t xml:space="preserve">Customs Tariff Amendment (Regional Comprehensive Economic Partnership Agreement Implementation) </w:t>
      </w:r>
      <w:r>
        <w:rPr>
          <w:i/>
        </w:rPr>
        <w:t>Act</w:t>
      </w:r>
      <w:r w:rsidRPr="009D1B0D">
        <w:rPr>
          <w:i/>
        </w:rPr>
        <w:t xml:space="preserve"> 2021</w:t>
      </w:r>
      <w:r>
        <w:t xml:space="preserve"> </w:t>
      </w:r>
      <w:r>
        <w:rPr>
          <w:sz w:val="23"/>
          <w:szCs w:val="23"/>
        </w:rPr>
        <w:t xml:space="preserve">amends the </w:t>
      </w:r>
      <w:r>
        <w:rPr>
          <w:i/>
          <w:iCs/>
          <w:sz w:val="23"/>
          <w:szCs w:val="23"/>
        </w:rPr>
        <w:t xml:space="preserve">Customs Tariff Act 1995 </w:t>
      </w:r>
      <w:r>
        <w:rPr>
          <w:sz w:val="23"/>
          <w:szCs w:val="23"/>
        </w:rPr>
        <w:t>(the Customs Tariff Act) to implement the RCEP.</w:t>
      </w:r>
      <w:r>
        <w:t xml:space="preserve">  </w:t>
      </w:r>
      <w:r w:rsidR="009B4E90" w:rsidRPr="00E040EA">
        <w:rPr>
          <w:sz w:val="23"/>
          <w:szCs w:val="23"/>
        </w:rPr>
        <w:t xml:space="preserve">To give effect to the preferential entry of goods under the </w:t>
      </w:r>
      <w:r w:rsidR="009B4E90">
        <w:rPr>
          <w:sz w:val="23"/>
          <w:szCs w:val="23"/>
        </w:rPr>
        <w:t>RCEP,</w:t>
      </w:r>
      <w:r w:rsidR="009B4E90" w:rsidRPr="00E040EA">
        <w:rPr>
          <w:sz w:val="23"/>
          <w:szCs w:val="23"/>
        </w:rPr>
        <w:t xml:space="preserve"> </w:t>
      </w:r>
      <w:r w:rsidR="009B4E90">
        <w:rPr>
          <w:sz w:val="23"/>
          <w:szCs w:val="23"/>
        </w:rPr>
        <w:t>t</w:t>
      </w:r>
      <w:r w:rsidR="00DF7AC0" w:rsidRPr="00E040EA">
        <w:rPr>
          <w:sz w:val="23"/>
          <w:szCs w:val="23"/>
        </w:rPr>
        <w:t>he amendment</w:t>
      </w:r>
      <w:r w:rsidR="009B4E90">
        <w:rPr>
          <w:sz w:val="23"/>
          <w:szCs w:val="23"/>
        </w:rPr>
        <w:t>s</w:t>
      </w:r>
      <w:r w:rsidR="00DF7AC0" w:rsidRPr="00E040EA">
        <w:rPr>
          <w:sz w:val="23"/>
          <w:szCs w:val="23"/>
        </w:rPr>
        <w:t xml:space="preserve"> to the Customs Act </w:t>
      </w:r>
      <w:r w:rsidR="009B4E90" w:rsidRPr="00E040EA">
        <w:rPr>
          <w:sz w:val="23"/>
          <w:szCs w:val="23"/>
        </w:rPr>
        <w:t xml:space="preserve">provide rules for determining whether goods are originating goods </w:t>
      </w:r>
      <w:r w:rsidR="009B4E90">
        <w:rPr>
          <w:sz w:val="23"/>
          <w:szCs w:val="23"/>
        </w:rPr>
        <w:t>to</w:t>
      </w:r>
      <w:r w:rsidR="00DF7AC0" w:rsidRPr="00E040EA">
        <w:rPr>
          <w:sz w:val="23"/>
          <w:szCs w:val="23"/>
        </w:rPr>
        <w:t xml:space="preserve"> enable goods that satisfy the rules of origin to enter Australia at preferential rates of customs duty.</w:t>
      </w:r>
      <w:r w:rsidR="009B4E90">
        <w:rPr>
          <w:sz w:val="23"/>
          <w:szCs w:val="23"/>
        </w:rPr>
        <w:t xml:space="preserve">  </w:t>
      </w:r>
      <w:r w:rsidRPr="00E040EA">
        <w:rPr>
          <w:sz w:val="23"/>
          <w:szCs w:val="23"/>
        </w:rPr>
        <w:t>The amendments to the Customs Tariff Act provide for the preferential entry</w:t>
      </w:r>
      <w:r w:rsidR="00461408">
        <w:rPr>
          <w:sz w:val="23"/>
          <w:szCs w:val="23"/>
        </w:rPr>
        <w:t xml:space="preserve"> of goods that meet those rules.</w:t>
      </w:r>
    </w:p>
    <w:p w14:paraId="3FC6710C" w14:textId="62135EAB" w:rsidR="008B24C8" w:rsidRDefault="008B24C8" w:rsidP="00100DFC">
      <w:pPr>
        <w:pStyle w:val="ESHeading"/>
      </w:pPr>
      <w:r w:rsidRPr="008B24C8">
        <w:t>Consultation</w:t>
      </w:r>
    </w:p>
    <w:p w14:paraId="40544E28" w14:textId="7B11C433" w:rsidR="00754DC2" w:rsidRPr="003B42AA" w:rsidRDefault="00C07D56" w:rsidP="00754DC2">
      <w:pPr>
        <w:pStyle w:val="ESPara"/>
      </w:pPr>
      <w:r w:rsidRPr="003B42AA">
        <w:t xml:space="preserve">Consultation was undertaken with the </w:t>
      </w:r>
      <w:r w:rsidRPr="008066C3">
        <w:t>Department of Foreign Affairs and Trade</w:t>
      </w:r>
      <w:r w:rsidRPr="003B42AA">
        <w:t>.</w:t>
      </w:r>
      <w:r w:rsidR="003C45F9" w:rsidRPr="003B42AA">
        <w:t xml:space="preserve"> </w:t>
      </w:r>
      <w:r w:rsidRPr="003B42AA">
        <w:t xml:space="preserve"> No concerns were raised with</w:t>
      </w:r>
      <w:r w:rsidR="00281839" w:rsidRPr="003B42AA">
        <w:t xml:space="preserve"> </w:t>
      </w:r>
      <w:r w:rsidR="00754DC2" w:rsidRPr="003B42AA">
        <w:t>giving domestic effect to Australia’s commitments under RCEP for applying the labour market testing condition.</w:t>
      </w:r>
    </w:p>
    <w:p w14:paraId="7EDC21FB" w14:textId="4A848425" w:rsidR="008B24C8" w:rsidRPr="008B24C8" w:rsidRDefault="008B24C8" w:rsidP="002D167E">
      <w:pPr>
        <w:pStyle w:val="ESPara"/>
      </w:pPr>
      <w:r w:rsidRPr="008B24C8">
        <w:t>The Office of Best Practice Regulation (OBPR) was also consulted and considered that the instrument dealt with m</w:t>
      </w:r>
      <w:r>
        <w:t xml:space="preserve">atters of a </w:t>
      </w:r>
      <w:r w:rsidR="006C7735">
        <w:t>machinery</w:t>
      </w:r>
      <w:r w:rsidRPr="008B24C8">
        <w:t xml:space="preserve"> nature and no regulatory impact statement was required. </w:t>
      </w:r>
      <w:r w:rsidR="00541E0A">
        <w:t xml:space="preserve"> </w:t>
      </w:r>
      <w:r>
        <w:t xml:space="preserve">The OBPR reference number is </w:t>
      </w:r>
      <w:r w:rsidR="00671240">
        <w:t>20888</w:t>
      </w:r>
      <w:r w:rsidR="003B42AA">
        <w:t xml:space="preserve">.  </w:t>
      </w:r>
    </w:p>
    <w:p w14:paraId="627BFFAE" w14:textId="77777777" w:rsidR="00AA4557" w:rsidRDefault="00464080" w:rsidP="00100DFC">
      <w:pPr>
        <w:pStyle w:val="ESHeading"/>
      </w:pPr>
      <w:r>
        <w:t>Details</w:t>
      </w:r>
      <w:r w:rsidR="00AA4557">
        <w:t xml:space="preserve"> of the instrument</w:t>
      </w:r>
    </w:p>
    <w:p w14:paraId="4A0CA3AE" w14:textId="77777777" w:rsidR="00AA4557" w:rsidRDefault="00AA4557" w:rsidP="002D167E">
      <w:pPr>
        <w:pStyle w:val="ESPara"/>
      </w:pPr>
      <w:r>
        <w:t>Section 1 sets out</w:t>
      </w:r>
      <w:r w:rsidR="00E03DCC">
        <w:t xml:space="preserve"> the name of the instrument. </w:t>
      </w:r>
    </w:p>
    <w:p w14:paraId="61F03282" w14:textId="32F51350" w:rsidR="00AA4557" w:rsidRDefault="00AA4557" w:rsidP="00EE4F73">
      <w:pPr>
        <w:pStyle w:val="ESPara"/>
      </w:pPr>
      <w:r>
        <w:t>Section 2 provides the instrument</w:t>
      </w:r>
      <w:r w:rsidR="00D5178F">
        <w:t xml:space="preserve"> commences</w:t>
      </w:r>
      <w:r w:rsidR="001A6DA3">
        <w:t xml:space="preserve"> </w:t>
      </w:r>
      <w:r w:rsidR="001A6DA3" w:rsidRPr="009D1B0D">
        <w:t>immediately</w:t>
      </w:r>
      <w:r w:rsidR="00875DB5" w:rsidRPr="00875DB5">
        <w:t xml:space="preserve"> </w:t>
      </w:r>
      <w:r w:rsidR="00875DB5" w:rsidRPr="009D1B0D">
        <w:t xml:space="preserve">after the commencement of </w:t>
      </w:r>
      <w:r w:rsidR="00875DB5">
        <w:t>Schedule 1</w:t>
      </w:r>
      <w:r w:rsidR="00875DB5" w:rsidRPr="009D1B0D">
        <w:t xml:space="preserve"> to the </w:t>
      </w:r>
      <w:r w:rsidR="00875DB5" w:rsidRPr="009D1B0D">
        <w:rPr>
          <w:i/>
        </w:rPr>
        <w:t xml:space="preserve">Customs Amendment (Regional Comprehensive Economic Partnership Agreement Implementation) </w:t>
      </w:r>
      <w:r w:rsidR="00875DB5">
        <w:rPr>
          <w:i/>
        </w:rPr>
        <w:t>Act</w:t>
      </w:r>
      <w:r w:rsidR="00875DB5" w:rsidRPr="009D1B0D">
        <w:rPr>
          <w:i/>
        </w:rPr>
        <w:t xml:space="preserve"> 2021</w:t>
      </w:r>
      <w:r>
        <w:t>.</w:t>
      </w:r>
    </w:p>
    <w:p w14:paraId="56CE9F6F" w14:textId="3C4CA57C" w:rsidR="00E03DCC" w:rsidRDefault="00E03DCC" w:rsidP="002D167E">
      <w:pPr>
        <w:pStyle w:val="ESPara"/>
      </w:pPr>
      <w:r>
        <w:t>Section 3 s</w:t>
      </w:r>
      <w:r w:rsidR="00063F37">
        <w:t xml:space="preserve">ets out </w:t>
      </w:r>
      <w:r w:rsidR="00786E77">
        <w:t>the</w:t>
      </w:r>
      <w:r w:rsidR="003B42AA">
        <w:t xml:space="preserve"> definition of ASEAN, to be </w:t>
      </w:r>
      <w:r w:rsidR="001162C6">
        <w:t xml:space="preserve">the </w:t>
      </w:r>
      <w:r w:rsidR="008066C3" w:rsidRPr="008066C3">
        <w:t xml:space="preserve">Association of Southeast Asian </w:t>
      </w:r>
      <w:bookmarkStart w:id="1" w:name="_GoBack"/>
      <w:bookmarkEnd w:id="1"/>
      <w:r w:rsidR="008066C3" w:rsidRPr="008066C3">
        <w:t>Nations</w:t>
      </w:r>
      <w:r w:rsidR="008066C3">
        <w:t>.</w:t>
      </w:r>
    </w:p>
    <w:p w14:paraId="37C2D5AA" w14:textId="77777777" w:rsidR="00DB384B" w:rsidRDefault="00063F37" w:rsidP="00100DFC">
      <w:pPr>
        <w:pStyle w:val="ESPara"/>
      </w:pPr>
      <w:r>
        <w:t xml:space="preserve">Section 4 provides that </w:t>
      </w:r>
      <w:r w:rsidRPr="00621427">
        <w:rPr>
          <w:i/>
        </w:rPr>
        <w:t>Migration (LIN 20/029: Determination of International Trade Obligations Relating to Labour Market Testing) Instrument 2020</w:t>
      </w:r>
      <w:r w:rsidRPr="009464C5">
        <w:t xml:space="preserve"> </w:t>
      </w:r>
      <w:r>
        <w:t xml:space="preserve">and </w:t>
      </w:r>
      <w:r w:rsidRPr="00D83F89">
        <w:rPr>
          <w:i/>
        </w:rPr>
        <w:t>Migration (LIN</w:t>
      </w:r>
      <w:r>
        <w:rPr>
          <w:i/>
        </w:rPr>
        <w:t> </w:t>
      </w:r>
      <w:r w:rsidRPr="00D83F89">
        <w:rPr>
          <w:i/>
        </w:rPr>
        <w:t>18/219: Determination of International Trade Obligations Relating to Labour Market Testing) Instrument 2018</w:t>
      </w:r>
      <w:r>
        <w:rPr>
          <w:i/>
        </w:rPr>
        <w:t xml:space="preserve"> </w:t>
      </w:r>
      <w:r>
        <w:t>are</w:t>
      </w:r>
      <w:r w:rsidRPr="006D42D0">
        <w:t xml:space="preserve"> repealed</w:t>
      </w:r>
      <w:r>
        <w:t>.</w:t>
      </w:r>
    </w:p>
    <w:p w14:paraId="310F8DC4" w14:textId="73912675" w:rsidR="00DB384B" w:rsidRDefault="00B45607" w:rsidP="00100DFC">
      <w:pPr>
        <w:pStyle w:val="ESPara"/>
      </w:pPr>
      <w:r w:rsidRPr="00275AD2">
        <w:t>Section 5</w:t>
      </w:r>
      <w:r w:rsidR="00AA4557" w:rsidRPr="00275AD2">
        <w:t xml:space="preserve"> sets out</w:t>
      </w:r>
      <w:r w:rsidR="00377190" w:rsidRPr="00275AD2">
        <w:t xml:space="preserve"> </w:t>
      </w:r>
      <w:r w:rsidR="0038514B" w:rsidRPr="00275AD2">
        <w:t>sixteen (16) international trade agreemen</w:t>
      </w:r>
      <w:r w:rsidR="00275AD2" w:rsidRPr="00275AD2">
        <w:t xml:space="preserve">ts which the Minister </w:t>
      </w:r>
      <w:r w:rsidR="00D5178F">
        <w:t xml:space="preserve">has </w:t>
      </w:r>
      <w:r w:rsidR="00275AD2" w:rsidRPr="00275AD2">
        <w:t>determined</w:t>
      </w:r>
      <w:r w:rsidR="0038514B" w:rsidRPr="00275AD2">
        <w:t xml:space="preserve"> </w:t>
      </w:r>
      <w:r w:rsidR="00D5178F">
        <w:t>are</w:t>
      </w:r>
      <w:r w:rsidR="0038514B" w:rsidRPr="00275AD2">
        <w:t xml:space="preserve"> international trade obligation</w:t>
      </w:r>
      <w:r w:rsidR="00A21F25" w:rsidRPr="00275AD2">
        <w:t>s of Australia</w:t>
      </w:r>
      <w:r w:rsidR="0038514B" w:rsidRPr="00275AD2">
        <w:t xml:space="preserve"> </w:t>
      </w:r>
      <w:r w:rsidR="007F4134">
        <w:t xml:space="preserve">for paragraph 140GBA(1)(c) under </w:t>
      </w:r>
      <w:r w:rsidR="00CF383B" w:rsidRPr="00275AD2">
        <w:t xml:space="preserve">subsection 140GBA(2) </w:t>
      </w:r>
      <w:r w:rsidR="0038514B" w:rsidRPr="00275AD2">
        <w:t>of the Act</w:t>
      </w:r>
      <w:r w:rsidR="00C66CED">
        <w:t xml:space="preserve">. </w:t>
      </w:r>
    </w:p>
    <w:p w14:paraId="73455686" w14:textId="3A8590C4" w:rsidR="00AA4557" w:rsidRPr="00AA4557" w:rsidRDefault="001A3F37" w:rsidP="00100DFC">
      <w:pPr>
        <w:pStyle w:val="ESHeading"/>
      </w:pPr>
      <w:r>
        <w:t>Parliamentary scrutiny etc.</w:t>
      </w:r>
    </w:p>
    <w:p w14:paraId="461551FC" w14:textId="45E232B5" w:rsidR="00E03DCC" w:rsidRDefault="00E03DCC" w:rsidP="002D167E">
      <w:pPr>
        <w:pStyle w:val="ESPara"/>
      </w:pPr>
      <w:r>
        <w:t>The instrument is exempt from disallowance under sect</w:t>
      </w:r>
      <w:r w:rsidR="00E455DC">
        <w:t xml:space="preserve">ion 42 of the Legislation Act. </w:t>
      </w:r>
      <w:r w:rsidR="003C45F9">
        <w:t xml:space="preserve"> </w:t>
      </w:r>
      <w:r w:rsidR="00E455DC" w:rsidRPr="00095008">
        <w:t xml:space="preserve">This is because it is prescribed in </w:t>
      </w:r>
      <w:proofErr w:type="spellStart"/>
      <w:r w:rsidR="00E455DC" w:rsidRPr="00095008">
        <w:t>subitem</w:t>
      </w:r>
      <w:proofErr w:type="spellEnd"/>
      <w:r w:rsidR="00E455DC" w:rsidRPr="00095008">
        <w:t> 20(</w:t>
      </w:r>
      <w:r w:rsidR="00E455DC">
        <w:t>a</w:t>
      </w:r>
      <w:r w:rsidR="00E455DC" w:rsidRPr="00095008">
        <w:t>) of</w:t>
      </w:r>
      <w:r w:rsidR="003B42AA">
        <w:t xml:space="preserve"> the table in</w:t>
      </w:r>
      <w:r w:rsidR="00E455DC" w:rsidRPr="00095008">
        <w:t xml:space="preserve"> section 10 of the </w:t>
      </w:r>
      <w:r w:rsidR="00E455DC" w:rsidRPr="00095008">
        <w:rPr>
          <w:i/>
        </w:rPr>
        <w:t>Legislation (Exemptions and Other Matters) Regulation 2015</w:t>
      </w:r>
      <w:r w:rsidR="00E455DC" w:rsidRPr="00095008">
        <w:t>.</w:t>
      </w:r>
    </w:p>
    <w:p w14:paraId="30176381" w14:textId="227D3A4F" w:rsidR="00915032" w:rsidRPr="00CA29D2" w:rsidRDefault="00B75478" w:rsidP="00944733">
      <w:pPr>
        <w:pStyle w:val="ESPara"/>
      </w:pPr>
      <w:r w:rsidRPr="00B75478">
        <w:lastRenderedPageBreak/>
        <w:t xml:space="preserve">The </w:t>
      </w:r>
      <w:r>
        <w:t xml:space="preserve">instrument was made by </w:t>
      </w:r>
      <w:r w:rsidR="00E65FF9">
        <w:t xml:space="preserve">the </w:t>
      </w:r>
      <w:r w:rsidR="00704408" w:rsidRPr="00FA5BB2">
        <w:t>Minister for Immigration, Citizenship, Migrant Services and Multicultural Affairs</w:t>
      </w:r>
      <w:r>
        <w:t xml:space="preserve">, in accordance with </w:t>
      </w:r>
      <w:r w:rsidR="00704408">
        <w:t>subsection </w:t>
      </w:r>
      <w:proofErr w:type="gramStart"/>
      <w:r w:rsidR="00704408" w:rsidRPr="00E453EA">
        <w:t>140GBA(</w:t>
      </w:r>
      <w:proofErr w:type="gramEnd"/>
      <w:r w:rsidR="00704408" w:rsidRPr="00E453EA">
        <w:t>2)</w:t>
      </w:r>
      <w:r w:rsidR="00704408">
        <w:t xml:space="preserve"> </w:t>
      </w:r>
      <w:r w:rsidR="00704408" w:rsidRPr="008B24C8">
        <w:t xml:space="preserve">of the </w:t>
      </w:r>
      <w:r w:rsidR="00704408" w:rsidRPr="00704408">
        <w:t>Act</w:t>
      </w:r>
      <w:r>
        <w:t>.</w:t>
      </w:r>
    </w:p>
    <w:sectPr w:rsidR="00915032" w:rsidRPr="00CA29D2" w:rsidSect="008C2A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276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84201" w14:textId="77777777" w:rsidR="00842279" w:rsidRDefault="00842279" w:rsidP="00842279">
      <w:pPr>
        <w:spacing w:after="0" w:line="240" w:lineRule="auto"/>
      </w:pPr>
      <w:r>
        <w:separator/>
      </w:r>
    </w:p>
  </w:endnote>
  <w:endnote w:type="continuationSeparator" w:id="0">
    <w:p w14:paraId="2EBDB326" w14:textId="77777777" w:rsidR="00842279" w:rsidRDefault="00842279" w:rsidP="00842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446E8" w14:textId="77777777" w:rsidR="00BF0392" w:rsidRDefault="00BF0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936FB" w14:textId="114B8AE5" w:rsidR="008C2A97" w:rsidRPr="008066C3" w:rsidRDefault="008C2A97" w:rsidP="00E56A12">
    <w:pPr>
      <w:pStyle w:val="Footer"/>
      <w:pBdr>
        <w:top w:val="single" w:sz="4" w:space="1" w:color="auto"/>
      </w:pBdr>
      <w:tabs>
        <w:tab w:val="clear" w:pos="9026"/>
        <w:tab w:val="right" w:pos="9746"/>
      </w:tabs>
      <w:rPr>
        <w:rFonts w:ascii="Times New Roman" w:hAnsi="Times New Roman" w:cs="Times New Roman"/>
        <w:sz w:val="20"/>
        <w:szCs w:val="20"/>
      </w:rPr>
    </w:pPr>
    <w:r w:rsidRPr="008066C3">
      <w:rPr>
        <w:rFonts w:ascii="Times New Roman" w:hAnsi="Times New Roman" w:cs="Times New Roman"/>
        <w:i/>
        <w:sz w:val="20"/>
        <w:szCs w:val="20"/>
      </w:rPr>
      <w:fldChar w:fldCharType="begin"/>
    </w:r>
    <w:r w:rsidRPr="008066C3">
      <w:rPr>
        <w:rFonts w:ascii="Times New Roman" w:hAnsi="Times New Roman" w:cs="Times New Roman"/>
        <w:i/>
        <w:sz w:val="20"/>
        <w:szCs w:val="20"/>
      </w:rPr>
      <w:instrText xml:space="preserve"> REF Title \h  \* MERGEFORMAT </w:instrText>
    </w:r>
    <w:r w:rsidRPr="008066C3">
      <w:rPr>
        <w:rFonts w:ascii="Times New Roman" w:hAnsi="Times New Roman" w:cs="Times New Roman"/>
        <w:i/>
        <w:sz w:val="20"/>
        <w:szCs w:val="20"/>
      </w:rPr>
    </w:r>
    <w:r w:rsidRPr="008066C3">
      <w:rPr>
        <w:rFonts w:ascii="Times New Roman" w:hAnsi="Times New Roman" w:cs="Times New Roman"/>
        <w:i/>
        <w:sz w:val="20"/>
        <w:szCs w:val="20"/>
      </w:rPr>
      <w:fldChar w:fldCharType="separate"/>
    </w:r>
    <w:r w:rsidR="0097482C" w:rsidRPr="0097482C">
      <w:rPr>
        <w:rFonts w:ascii="Times New Roman" w:hAnsi="Times New Roman" w:cs="Times New Roman"/>
        <w:bCs/>
        <w:i/>
        <w:sz w:val="20"/>
        <w:szCs w:val="20"/>
        <w:lang w:val="en-US"/>
      </w:rPr>
      <w:t>Migration (International trade obligations relating</w:t>
    </w:r>
    <w:r w:rsidR="0097482C" w:rsidRPr="0097482C">
      <w:rPr>
        <w:rFonts w:ascii="Times New Roman" w:hAnsi="Times New Roman" w:cs="Times New Roman"/>
        <w:b/>
        <w:bCs/>
        <w:i/>
        <w:sz w:val="20"/>
        <w:szCs w:val="20"/>
        <w:lang w:val="en-US"/>
      </w:rPr>
      <w:t xml:space="preserve"> </w:t>
    </w:r>
    <w:r w:rsidR="0097482C" w:rsidRPr="0097482C">
      <w:rPr>
        <w:rFonts w:ascii="Times New Roman" w:hAnsi="Times New Roman" w:cs="Times New Roman"/>
        <w:i/>
        <w:sz w:val="20"/>
        <w:szCs w:val="20"/>
      </w:rPr>
      <w:t>to labour market testing) Determination (LIN 21/075) 2021</w:t>
    </w:r>
    <w:r w:rsidRPr="008066C3">
      <w:rPr>
        <w:rFonts w:ascii="Times New Roman" w:hAnsi="Times New Roman" w:cs="Times New Roman"/>
        <w:i/>
        <w:sz w:val="20"/>
        <w:szCs w:val="20"/>
      </w:rPr>
      <w:fldChar w:fldCharType="end"/>
    </w:r>
    <w:r w:rsidRPr="008066C3">
      <w:rPr>
        <w:rFonts w:ascii="Times New Roman" w:hAnsi="Times New Roman" w:cs="Times New Roman"/>
        <w:sz w:val="20"/>
        <w:szCs w:val="20"/>
      </w:rPr>
      <w:tab/>
    </w:r>
    <w:r w:rsidRPr="008066C3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8066C3">
      <w:rPr>
        <w:rStyle w:val="PageNumber"/>
        <w:rFonts w:ascii="Times New Roman" w:hAnsi="Times New Roman" w:cs="Times New Roman"/>
        <w:sz w:val="20"/>
        <w:szCs w:val="20"/>
      </w:rPr>
      <w:instrText xml:space="preserve"> PAGE </w:instrText>
    </w:r>
    <w:r w:rsidRPr="008066C3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97482C">
      <w:rPr>
        <w:rStyle w:val="PageNumber"/>
        <w:rFonts w:ascii="Times New Roman" w:hAnsi="Times New Roman" w:cs="Times New Roman"/>
        <w:noProof/>
        <w:sz w:val="20"/>
        <w:szCs w:val="20"/>
      </w:rPr>
      <w:t>3</w:t>
    </w:r>
    <w:r w:rsidRPr="008066C3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901CB" w14:textId="77777777" w:rsidR="00BF0392" w:rsidRDefault="00BF03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DEDB5" w14:textId="77777777" w:rsidR="00842279" w:rsidRDefault="00842279" w:rsidP="00842279">
      <w:pPr>
        <w:spacing w:after="0" w:line="240" w:lineRule="auto"/>
      </w:pPr>
      <w:r>
        <w:separator/>
      </w:r>
    </w:p>
  </w:footnote>
  <w:footnote w:type="continuationSeparator" w:id="0">
    <w:p w14:paraId="2B7DDFA5" w14:textId="77777777" w:rsidR="00842279" w:rsidRDefault="00842279" w:rsidP="00842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08BF0" w14:textId="1F0DC940" w:rsidR="00BF0392" w:rsidRDefault="00BF03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D9504" w14:textId="6EEE69E0" w:rsidR="00BF0392" w:rsidRDefault="00BF03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7C78E" w14:textId="2F02F215" w:rsidR="00BF0392" w:rsidRDefault="00BF03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B3044"/>
    <w:multiLevelType w:val="hybridMultilevel"/>
    <w:tmpl w:val="24789CBA"/>
    <w:lvl w:ilvl="0" w:tplc="EEB6804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1DAC016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622F1"/>
    <w:multiLevelType w:val="hybridMultilevel"/>
    <w:tmpl w:val="7C16EE40"/>
    <w:lvl w:ilvl="0" w:tplc="EEB6804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561B3"/>
    <w:multiLevelType w:val="hybridMultilevel"/>
    <w:tmpl w:val="953E02E6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AE532A9"/>
    <w:multiLevelType w:val="hybridMultilevel"/>
    <w:tmpl w:val="16DE8FA2"/>
    <w:lvl w:ilvl="0" w:tplc="C80632DA">
      <w:start w:val="1"/>
      <w:numFmt w:val="decimal"/>
      <w:pStyle w:val="ESSubparaHeader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ABC2DF26">
      <w:start w:val="1"/>
      <w:numFmt w:val="bullet"/>
      <w:pStyle w:val="ESSubparaLis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76A56"/>
    <w:multiLevelType w:val="hybridMultilevel"/>
    <w:tmpl w:val="686C90EA"/>
    <w:lvl w:ilvl="0" w:tplc="EEB6804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B22CF"/>
    <w:multiLevelType w:val="hybridMultilevel"/>
    <w:tmpl w:val="2DCEB73C"/>
    <w:lvl w:ilvl="0" w:tplc="2A36B062">
      <w:start w:val="2"/>
      <w:numFmt w:val="bullet"/>
      <w:pStyle w:val="ESAttLis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D668D"/>
    <w:multiLevelType w:val="hybridMultilevel"/>
    <w:tmpl w:val="0F4884F0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comments" w:enforcement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69"/>
    <w:rsid w:val="00000849"/>
    <w:rsid w:val="000034F9"/>
    <w:rsid w:val="00006A3E"/>
    <w:rsid w:val="000426B3"/>
    <w:rsid w:val="00063F37"/>
    <w:rsid w:val="000B78FA"/>
    <w:rsid w:val="000C5E27"/>
    <w:rsid w:val="000D014F"/>
    <w:rsid w:val="000D3EEA"/>
    <w:rsid w:val="000E5355"/>
    <w:rsid w:val="000E6121"/>
    <w:rsid w:val="000E7BC8"/>
    <w:rsid w:val="000F70C9"/>
    <w:rsid w:val="00100DFC"/>
    <w:rsid w:val="00104C39"/>
    <w:rsid w:val="001162C6"/>
    <w:rsid w:val="001246B3"/>
    <w:rsid w:val="00140172"/>
    <w:rsid w:val="00155C45"/>
    <w:rsid w:val="00181B7C"/>
    <w:rsid w:val="0019164E"/>
    <w:rsid w:val="00192F89"/>
    <w:rsid w:val="001A3F37"/>
    <w:rsid w:val="001A6DA3"/>
    <w:rsid w:val="001C1ABE"/>
    <w:rsid w:val="001C440B"/>
    <w:rsid w:val="001D3543"/>
    <w:rsid w:val="001D3DF6"/>
    <w:rsid w:val="001E0DC8"/>
    <w:rsid w:val="00200D66"/>
    <w:rsid w:val="002035C8"/>
    <w:rsid w:val="002121BE"/>
    <w:rsid w:val="002237C8"/>
    <w:rsid w:val="0023070F"/>
    <w:rsid w:val="002402E0"/>
    <w:rsid w:val="00241C0D"/>
    <w:rsid w:val="00275AD2"/>
    <w:rsid w:val="00280D2C"/>
    <w:rsid w:val="00281839"/>
    <w:rsid w:val="002B6BFF"/>
    <w:rsid w:val="002C7BE0"/>
    <w:rsid w:val="002D106F"/>
    <w:rsid w:val="002D167E"/>
    <w:rsid w:val="002E7812"/>
    <w:rsid w:val="00302590"/>
    <w:rsid w:val="00312B47"/>
    <w:rsid w:val="00332AE8"/>
    <w:rsid w:val="0033422A"/>
    <w:rsid w:val="00345CFF"/>
    <w:rsid w:val="003614BC"/>
    <w:rsid w:val="00377190"/>
    <w:rsid w:val="0038514B"/>
    <w:rsid w:val="003A4340"/>
    <w:rsid w:val="003B42AA"/>
    <w:rsid w:val="003C0362"/>
    <w:rsid w:val="003C45F9"/>
    <w:rsid w:val="003E65D0"/>
    <w:rsid w:val="00405894"/>
    <w:rsid w:val="0042354C"/>
    <w:rsid w:val="004518C7"/>
    <w:rsid w:val="00457D4A"/>
    <w:rsid w:val="00461408"/>
    <w:rsid w:val="00461E89"/>
    <w:rsid w:val="00464080"/>
    <w:rsid w:val="00473FAE"/>
    <w:rsid w:val="00483C2E"/>
    <w:rsid w:val="004910FC"/>
    <w:rsid w:val="004C16ED"/>
    <w:rsid w:val="004D5E3C"/>
    <w:rsid w:val="004F5365"/>
    <w:rsid w:val="004F5CE4"/>
    <w:rsid w:val="00535496"/>
    <w:rsid w:val="00541E0A"/>
    <w:rsid w:val="0055544F"/>
    <w:rsid w:val="00560B24"/>
    <w:rsid w:val="0057002B"/>
    <w:rsid w:val="005760DA"/>
    <w:rsid w:val="005A0BE1"/>
    <w:rsid w:val="005B1769"/>
    <w:rsid w:val="005B3C2C"/>
    <w:rsid w:val="005C797C"/>
    <w:rsid w:val="005D6E4C"/>
    <w:rsid w:val="005E35B8"/>
    <w:rsid w:val="00604E06"/>
    <w:rsid w:val="006552B6"/>
    <w:rsid w:val="00671240"/>
    <w:rsid w:val="00690E25"/>
    <w:rsid w:val="006B2ABC"/>
    <w:rsid w:val="006C7735"/>
    <w:rsid w:val="006D12D8"/>
    <w:rsid w:val="006E0F17"/>
    <w:rsid w:val="006F196F"/>
    <w:rsid w:val="00704408"/>
    <w:rsid w:val="00707258"/>
    <w:rsid w:val="00710D41"/>
    <w:rsid w:val="007151FC"/>
    <w:rsid w:val="00735BFB"/>
    <w:rsid w:val="00754DC2"/>
    <w:rsid w:val="007620E5"/>
    <w:rsid w:val="00786E77"/>
    <w:rsid w:val="00790BA1"/>
    <w:rsid w:val="007A5E68"/>
    <w:rsid w:val="007E00B6"/>
    <w:rsid w:val="007E3BF2"/>
    <w:rsid w:val="007E4691"/>
    <w:rsid w:val="007F4134"/>
    <w:rsid w:val="008029F0"/>
    <w:rsid w:val="008032D2"/>
    <w:rsid w:val="008066C3"/>
    <w:rsid w:val="0081339F"/>
    <w:rsid w:val="00822757"/>
    <w:rsid w:val="0082580D"/>
    <w:rsid w:val="00842279"/>
    <w:rsid w:val="00844C52"/>
    <w:rsid w:val="008508D5"/>
    <w:rsid w:val="00856F35"/>
    <w:rsid w:val="00870D02"/>
    <w:rsid w:val="00875DB5"/>
    <w:rsid w:val="0088407D"/>
    <w:rsid w:val="008961C5"/>
    <w:rsid w:val="008964BA"/>
    <w:rsid w:val="00897970"/>
    <w:rsid w:val="008A3F63"/>
    <w:rsid w:val="008B24C8"/>
    <w:rsid w:val="008C2A97"/>
    <w:rsid w:val="008C74C7"/>
    <w:rsid w:val="0091091B"/>
    <w:rsid w:val="009140A6"/>
    <w:rsid w:val="00914A1F"/>
    <w:rsid w:val="00915032"/>
    <w:rsid w:val="009309A4"/>
    <w:rsid w:val="00936DC1"/>
    <w:rsid w:val="00944733"/>
    <w:rsid w:val="0094779E"/>
    <w:rsid w:val="0097482C"/>
    <w:rsid w:val="0097513D"/>
    <w:rsid w:val="009842A3"/>
    <w:rsid w:val="00991E8F"/>
    <w:rsid w:val="009956D6"/>
    <w:rsid w:val="009A66CC"/>
    <w:rsid w:val="009B0400"/>
    <w:rsid w:val="009B4E90"/>
    <w:rsid w:val="009C73CF"/>
    <w:rsid w:val="009D592A"/>
    <w:rsid w:val="009F5712"/>
    <w:rsid w:val="009F68D6"/>
    <w:rsid w:val="00A04EFA"/>
    <w:rsid w:val="00A14B6D"/>
    <w:rsid w:val="00A21F25"/>
    <w:rsid w:val="00A42A20"/>
    <w:rsid w:val="00A4712E"/>
    <w:rsid w:val="00A532CD"/>
    <w:rsid w:val="00A55B0A"/>
    <w:rsid w:val="00A745B1"/>
    <w:rsid w:val="00A86FFD"/>
    <w:rsid w:val="00A934EB"/>
    <w:rsid w:val="00AA18D0"/>
    <w:rsid w:val="00AA4557"/>
    <w:rsid w:val="00AC5F3C"/>
    <w:rsid w:val="00AD1749"/>
    <w:rsid w:val="00AE51FC"/>
    <w:rsid w:val="00B445D9"/>
    <w:rsid w:val="00B45607"/>
    <w:rsid w:val="00B511DE"/>
    <w:rsid w:val="00B65A06"/>
    <w:rsid w:val="00B75478"/>
    <w:rsid w:val="00B921B3"/>
    <w:rsid w:val="00BA4E00"/>
    <w:rsid w:val="00BA51E2"/>
    <w:rsid w:val="00BA6516"/>
    <w:rsid w:val="00BB0CF2"/>
    <w:rsid w:val="00BD598E"/>
    <w:rsid w:val="00BE4977"/>
    <w:rsid w:val="00BF0143"/>
    <w:rsid w:val="00BF0392"/>
    <w:rsid w:val="00BF602E"/>
    <w:rsid w:val="00C0034F"/>
    <w:rsid w:val="00C027C1"/>
    <w:rsid w:val="00C07D56"/>
    <w:rsid w:val="00C1277E"/>
    <w:rsid w:val="00C22462"/>
    <w:rsid w:val="00C42BAB"/>
    <w:rsid w:val="00C66CED"/>
    <w:rsid w:val="00C70D45"/>
    <w:rsid w:val="00C7111A"/>
    <w:rsid w:val="00C733EA"/>
    <w:rsid w:val="00C77300"/>
    <w:rsid w:val="00C81A5E"/>
    <w:rsid w:val="00C930F2"/>
    <w:rsid w:val="00CA29D2"/>
    <w:rsid w:val="00CC0011"/>
    <w:rsid w:val="00CC5194"/>
    <w:rsid w:val="00CD4206"/>
    <w:rsid w:val="00CE2E17"/>
    <w:rsid w:val="00CE6ED4"/>
    <w:rsid w:val="00CF383B"/>
    <w:rsid w:val="00D2074E"/>
    <w:rsid w:val="00D40E1E"/>
    <w:rsid w:val="00D5178F"/>
    <w:rsid w:val="00D62802"/>
    <w:rsid w:val="00D82DB5"/>
    <w:rsid w:val="00D834D5"/>
    <w:rsid w:val="00D87B0B"/>
    <w:rsid w:val="00DB384B"/>
    <w:rsid w:val="00DF2B6F"/>
    <w:rsid w:val="00DF7AC0"/>
    <w:rsid w:val="00E03DCC"/>
    <w:rsid w:val="00E040EA"/>
    <w:rsid w:val="00E1048D"/>
    <w:rsid w:val="00E148A1"/>
    <w:rsid w:val="00E26091"/>
    <w:rsid w:val="00E455DC"/>
    <w:rsid w:val="00E45FE2"/>
    <w:rsid w:val="00E56A12"/>
    <w:rsid w:val="00E65FF9"/>
    <w:rsid w:val="00EA12C9"/>
    <w:rsid w:val="00ED247B"/>
    <w:rsid w:val="00EE4F73"/>
    <w:rsid w:val="00F30AF9"/>
    <w:rsid w:val="00F61534"/>
    <w:rsid w:val="00F61F8D"/>
    <w:rsid w:val="00F62585"/>
    <w:rsid w:val="00F82CCE"/>
    <w:rsid w:val="00FA7E71"/>
    <w:rsid w:val="00FB133E"/>
    <w:rsid w:val="00FE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61685A0"/>
  <w15:chartTrackingRefBased/>
  <w15:docId w15:val="{E50AC3C9-D5EB-414D-9C2B-5EEF5336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7002B"/>
    <w:pPr>
      <w:ind w:left="720"/>
      <w:contextualSpacing/>
    </w:pPr>
  </w:style>
  <w:style w:type="paragraph" w:customStyle="1" w:styleId="ESParagraph">
    <w:name w:val="ES_Paragraph"/>
    <w:basedOn w:val="ListParagraph"/>
    <w:link w:val="ESParagraphChar"/>
    <w:rsid w:val="00100DFC"/>
    <w:pPr>
      <w:spacing w:before="240" w:after="240" w:line="276" w:lineRule="auto"/>
      <w:ind w:left="567" w:hanging="567"/>
      <w:contextualSpacing w:val="0"/>
    </w:pPr>
    <w:rPr>
      <w:rFonts w:ascii="Times New Roman" w:hAnsi="Times New Roman" w:cs="Times New Roman"/>
    </w:rPr>
  </w:style>
  <w:style w:type="paragraph" w:customStyle="1" w:styleId="ESHeading">
    <w:name w:val="ES_Heading"/>
    <w:basedOn w:val="ListParagraph"/>
    <w:link w:val="ESHeadingChar"/>
    <w:qFormat/>
    <w:rsid w:val="00100DFC"/>
    <w:pPr>
      <w:keepNext/>
      <w:spacing w:before="240" w:after="240" w:line="276" w:lineRule="auto"/>
      <w:ind w:left="0"/>
      <w:contextualSpacing w:val="0"/>
    </w:pPr>
    <w:rPr>
      <w:rFonts w:ascii="Times New Roman" w:hAnsi="Times New Roman" w:cs="Times New Roman"/>
      <w:b/>
      <w:i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00DFC"/>
  </w:style>
  <w:style w:type="character" w:customStyle="1" w:styleId="ESParagraphChar">
    <w:name w:val="ES_Paragraph Char"/>
    <w:basedOn w:val="ListParagraphChar"/>
    <w:link w:val="ESParagraph"/>
    <w:rsid w:val="00100DFC"/>
    <w:rPr>
      <w:rFonts w:ascii="Times New Roman" w:hAnsi="Times New Roman" w:cs="Times New Roman"/>
    </w:rPr>
  </w:style>
  <w:style w:type="paragraph" w:customStyle="1" w:styleId="ESAttAttName">
    <w:name w:val="ESAtt_AttName"/>
    <w:basedOn w:val="Normal"/>
    <w:link w:val="ESAttAttNameChar"/>
    <w:qFormat/>
    <w:rsid w:val="00100DFC"/>
    <w:pPr>
      <w:spacing w:before="240" w:after="240" w:line="276" w:lineRule="auto"/>
      <w:jc w:val="right"/>
    </w:pPr>
    <w:rPr>
      <w:rFonts w:ascii="Times New Roman" w:hAnsi="Times New Roman" w:cs="Times New Roman"/>
      <w:b/>
      <w:u w:val="single"/>
    </w:rPr>
  </w:style>
  <w:style w:type="character" w:customStyle="1" w:styleId="ESHeadingChar">
    <w:name w:val="ES_Heading Char"/>
    <w:basedOn w:val="ListParagraphChar"/>
    <w:link w:val="ESHeading"/>
    <w:rsid w:val="00100DFC"/>
    <w:rPr>
      <w:rFonts w:ascii="Times New Roman" w:hAnsi="Times New Roman" w:cs="Times New Roman"/>
      <w:b/>
      <w:i/>
    </w:rPr>
  </w:style>
  <w:style w:type="paragraph" w:customStyle="1" w:styleId="ESAttHeading">
    <w:name w:val="ESAtt_Heading"/>
    <w:basedOn w:val="Normal"/>
    <w:link w:val="ESAttHeadingChar"/>
    <w:qFormat/>
    <w:rsid w:val="00100DFC"/>
    <w:pPr>
      <w:keepNext/>
      <w:spacing w:before="240" w:after="240" w:line="276" w:lineRule="auto"/>
    </w:pPr>
    <w:rPr>
      <w:rFonts w:ascii="Times New Roman" w:hAnsi="Times New Roman" w:cs="Times New Roman"/>
      <w:b/>
    </w:rPr>
  </w:style>
  <w:style w:type="character" w:customStyle="1" w:styleId="ESAttAttNameChar">
    <w:name w:val="ESAtt_AttName Char"/>
    <w:basedOn w:val="DefaultParagraphFont"/>
    <w:link w:val="ESAttAttName"/>
    <w:rsid w:val="00100DFC"/>
    <w:rPr>
      <w:rFonts w:ascii="Times New Roman" w:hAnsi="Times New Roman" w:cs="Times New Roman"/>
      <w:b/>
      <w:u w:val="single"/>
    </w:rPr>
  </w:style>
  <w:style w:type="paragraph" w:customStyle="1" w:styleId="ESAttNormal">
    <w:name w:val="ESAtt_Normal"/>
    <w:basedOn w:val="Normal"/>
    <w:link w:val="ESAttNormalChar"/>
    <w:qFormat/>
    <w:rsid w:val="00100DFC"/>
    <w:pPr>
      <w:spacing w:before="240" w:after="240" w:line="276" w:lineRule="auto"/>
    </w:pPr>
    <w:rPr>
      <w:rFonts w:ascii="Times New Roman" w:hAnsi="Times New Roman" w:cs="Times New Roman"/>
    </w:rPr>
  </w:style>
  <w:style w:type="character" w:customStyle="1" w:styleId="ESAttHeadingChar">
    <w:name w:val="ESAtt_Heading Char"/>
    <w:basedOn w:val="DefaultParagraphFont"/>
    <w:link w:val="ESAttHeading"/>
    <w:rsid w:val="00100DFC"/>
    <w:rPr>
      <w:rFonts w:ascii="Times New Roman" w:hAnsi="Times New Roman" w:cs="Times New Roman"/>
      <w:b/>
    </w:rPr>
  </w:style>
  <w:style w:type="paragraph" w:customStyle="1" w:styleId="ESAttListHeader">
    <w:name w:val="ESAtt_ListHeader"/>
    <w:basedOn w:val="Normal"/>
    <w:link w:val="ESAttListHeaderChar"/>
    <w:qFormat/>
    <w:rsid w:val="00100DFC"/>
    <w:pPr>
      <w:keepNext/>
      <w:spacing w:before="240" w:after="240" w:line="276" w:lineRule="auto"/>
    </w:pPr>
    <w:rPr>
      <w:rFonts w:ascii="Times New Roman" w:hAnsi="Times New Roman" w:cs="Times New Roman"/>
    </w:rPr>
  </w:style>
  <w:style w:type="character" w:customStyle="1" w:styleId="ESAttNormalChar">
    <w:name w:val="ESAtt_Normal Char"/>
    <w:basedOn w:val="DefaultParagraphFont"/>
    <w:link w:val="ESAttNormal"/>
    <w:rsid w:val="00100DFC"/>
    <w:rPr>
      <w:rFonts w:ascii="Times New Roman" w:hAnsi="Times New Roman" w:cs="Times New Roman"/>
    </w:rPr>
  </w:style>
  <w:style w:type="paragraph" w:customStyle="1" w:styleId="ESAttList">
    <w:name w:val="ESAtt_List"/>
    <w:basedOn w:val="ListParagraph"/>
    <w:link w:val="ESAttListChar"/>
    <w:qFormat/>
    <w:rsid w:val="00100DFC"/>
    <w:pPr>
      <w:numPr>
        <w:numId w:val="2"/>
      </w:numPr>
      <w:spacing w:before="240" w:after="240" w:line="276" w:lineRule="auto"/>
      <w:contextualSpacing w:val="0"/>
    </w:pPr>
    <w:rPr>
      <w:rFonts w:ascii="Times New Roman" w:hAnsi="Times New Roman" w:cs="Times New Roman"/>
    </w:rPr>
  </w:style>
  <w:style w:type="character" w:customStyle="1" w:styleId="ESAttListHeaderChar">
    <w:name w:val="ESAtt_ListHeader Char"/>
    <w:basedOn w:val="DefaultParagraphFont"/>
    <w:link w:val="ESAttListHeader"/>
    <w:rsid w:val="00100DFC"/>
    <w:rPr>
      <w:rFonts w:ascii="Times New Roman" w:hAnsi="Times New Roman" w:cs="Times New Roman"/>
    </w:rPr>
  </w:style>
  <w:style w:type="paragraph" w:customStyle="1" w:styleId="ESSubHeading">
    <w:name w:val="ES_SubHeading"/>
    <w:basedOn w:val="ESHeading"/>
    <w:link w:val="ESSubHeadingChar"/>
    <w:qFormat/>
    <w:rsid w:val="00BB0CF2"/>
    <w:rPr>
      <w:b w:val="0"/>
    </w:rPr>
  </w:style>
  <w:style w:type="character" w:customStyle="1" w:styleId="ESAttListChar">
    <w:name w:val="ESAtt_List Char"/>
    <w:basedOn w:val="ListParagraphChar"/>
    <w:link w:val="ESAttList"/>
    <w:rsid w:val="00100DFC"/>
    <w:rPr>
      <w:rFonts w:ascii="Times New Roman" w:hAnsi="Times New Roman" w:cs="Times New Roman"/>
    </w:rPr>
  </w:style>
  <w:style w:type="paragraph" w:customStyle="1" w:styleId="ESTitleInstrumentName">
    <w:name w:val="ESTitle_InstrumentName"/>
    <w:basedOn w:val="Normal"/>
    <w:link w:val="ESTitleInstrumentNameChar"/>
    <w:qFormat/>
    <w:rsid w:val="00BB0CF2"/>
    <w:pPr>
      <w:spacing w:before="360" w:after="600" w:line="276" w:lineRule="auto"/>
      <w:jc w:val="center"/>
    </w:pPr>
    <w:rPr>
      <w:rFonts w:ascii="Times New Roman" w:hAnsi="Times New Roman" w:cs="Times New Roman"/>
      <w:b/>
      <w:i/>
    </w:rPr>
  </w:style>
  <w:style w:type="character" w:customStyle="1" w:styleId="ESSubHeadingChar">
    <w:name w:val="ES_SubHeading Char"/>
    <w:basedOn w:val="ESHeadingChar"/>
    <w:link w:val="ESSubHeading"/>
    <w:rsid w:val="00BB0CF2"/>
    <w:rPr>
      <w:rFonts w:ascii="Times New Roman" w:hAnsi="Times New Roman" w:cs="Times New Roman"/>
      <w:b w:val="0"/>
      <w:i/>
    </w:rPr>
  </w:style>
  <w:style w:type="paragraph" w:customStyle="1" w:styleId="ESTitleEnablingLegislation">
    <w:name w:val="ESTitle_EnablingLegislation"/>
    <w:basedOn w:val="Normal"/>
    <w:link w:val="ESTitleEnablingLegislationChar"/>
    <w:qFormat/>
    <w:rsid w:val="00BB0CF2"/>
    <w:pPr>
      <w:spacing w:line="276" w:lineRule="auto"/>
      <w:jc w:val="center"/>
    </w:pPr>
    <w:rPr>
      <w:rFonts w:ascii="Times New Roman" w:hAnsi="Times New Roman" w:cs="Times New Roman"/>
      <w:i/>
    </w:rPr>
  </w:style>
  <w:style w:type="character" w:customStyle="1" w:styleId="ESTitleInstrumentNameChar">
    <w:name w:val="ESTitle_InstrumentName Char"/>
    <w:basedOn w:val="DefaultParagraphFont"/>
    <w:link w:val="ESTitleInstrumentName"/>
    <w:rsid w:val="00BB0CF2"/>
    <w:rPr>
      <w:rFonts w:ascii="Times New Roman" w:hAnsi="Times New Roman" w:cs="Times New Roman"/>
      <w:b/>
      <w:i/>
    </w:rPr>
  </w:style>
  <w:style w:type="paragraph" w:customStyle="1" w:styleId="ESTitleDecisionMaker">
    <w:name w:val="ESTitle_DecisionMaker"/>
    <w:basedOn w:val="Normal"/>
    <w:link w:val="ESTitleDecisionMakerChar"/>
    <w:qFormat/>
    <w:rsid w:val="00BB0CF2"/>
    <w:pPr>
      <w:spacing w:line="276" w:lineRule="auto"/>
      <w:jc w:val="center"/>
    </w:pPr>
    <w:rPr>
      <w:rFonts w:ascii="Times New Roman" w:hAnsi="Times New Roman" w:cs="Times New Roman"/>
    </w:rPr>
  </w:style>
  <w:style w:type="character" w:customStyle="1" w:styleId="ESTitleEnablingLegislationChar">
    <w:name w:val="ESTitle_EnablingLegislation Char"/>
    <w:basedOn w:val="DefaultParagraphFont"/>
    <w:link w:val="ESTitleEnablingLegislation"/>
    <w:rsid w:val="00BB0CF2"/>
    <w:rPr>
      <w:rFonts w:ascii="Times New Roman" w:hAnsi="Times New Roman" w:cs="Times New Roman"/>
      <w:i/>
    </w:rPr>
  </w:style>
  <w:style w:type="paragraph" w:customStyle="1" w:styleId="ESTitleHeader">
    <w:name w:val="ESTitle_Header"/>
    <w:basedOn w:val="Normal"/>
    <w:link w:val="ESTitleHeaderChar"/>
    <w:qFormat/>
    <w:rsid w:val="00BB0CF2"/>
    <w:pPr>
      <w:spacing w:line="276" w:lineRule="auto"/>
      <w:jc w:val="center"/>
    </w:pPr>
    <w:rPr>
      <w:rFonts w:ascii="Times New Roman" w:hAnsi="Times New Roman" w:cs="Times New Roman"/>
      <w:u w:val="single"/>
    </w:rPr>
  </w:style>
  <w:style w:type="character" w:customStyle="1" w:styleId="ESTitleDecisionMakerChar">
    <w:name w:val="ESTitle_DecisionMaker Char"/>
    <w:basedOn w:val="DefaultParagraphFont"/>
    <w:link w:val="ESTitleDecisionMaker"/>
    <w:rsid w:val="00BB0CF2"/>
    <w:rPr>
      <w:rFonts w:ascii="Times New Roman" w:hAnsi="Times New Roman" w:cs="Times New Roman"/>
    </w:rPr>
  </w:style>
  <w:style w:type="paragraph" w:customStyle="1" w:styleId="ESSubparaHeader">
    <w:name w:val="ES_SubparaHeader"/>
    <w:basedOn w:val="ListParagraph"/>
    <w:next w:val="ESSubparaList"/>
    <w:link w:val="ESSubparaHeaderChar"/>
    <w:qFormat/>
    <w:rsid w:val="00BB0CF2"/>
    <w:pPr>
      <w:keepNext/>
      <w:numPr>
        <w:numId w:val="1"/>
      </w:numPr>
      <w:spacing w:before="240" w:after="240" w:line="276" w:lineRule="auto"/>
      <w:ind w:left="567" w:hanging="567"/>
      <w:contextualSpacing w:val="0"/>
    </w:pPr>
    <w:rPr>
      <w:rFonts w:ascii="Times New Roman" w:hAnsi="Times New Roman" w:cs="Times New Roman"/>
    </w:rPr>
  </w:style>
  <w:style w:type="character" w:customStyle="1" w:styleId="ESTitleHeaderChar">
    <w:name w:val="ESTitle_Header Char"/>
    <w:basedOn w:val="DefaultParagraphFont"/>
    <w:link w:val="ESTitleHeader"/>
    <w:rsid w:val="00BB0CF2"/>
    <w:rPr>
      <w:rFonts w:ascii="Times New Roman" w:hAnsi="Times New Roman" w:cs="Times New Roman"/>
      <w:u w:val="single"/>
    </w:rPr>
  </w:style>
  <w:style w:type="paragraph" w:customStyle="1" w:styleId="ESSubparaList">
    <w:name w:val="ES_SubparaList"/>
    <w:basedOn w:val="ListParagraph"/>
    <w:link w:val="ESSubparaListChar"/>
    <w:qFormat/>
    <w:rsid w:val="00BB0CF2"/>
    <w:pPr>
      <w:numPr>
        <w:ilvl w:val="1"/>
        <w:numId w:val="1"/>
      </w:numPr>
      <w:spacing w:before="240" w:after="240" w:line="276" w:lineRule="auto"/>
      <w:ind w:left="1276" w:hanging="425"/>
      <w:contextualSpacing w:val="0"/>
    </w:pPr>
    <w:rPr>
      <w:rFonts w:ascii="Times New Roman" w:hAnsi="Times New Roman" w:cs="Times New Roman"/>
    </w:rPr>
  </w:style>
  <w:style w:type="character" w:customStyle="1" w:styleId="ESSubparaHeaderChar">
    <w:name w:val="ES_SubparaHeader Char"/>
    <w:basedOn w:val="ListParagraphChar"/>
    <w:link w:val="ESSubparaHeader"/>
    <w:rsid w:val="00BB0CF2"/>
    <w:rPr>
      <w:rFonts w:ascii="Times New Roman" w:hAnsi="Times New Roman" w:cs="Times New Roman"/>
    </w:rPr>
  </w:style>
  <w:style w:type="character" w:customStyle="1" w:styleId="ESSubparaListChar">
    <w:name w:val="ES_SubparaList Char"/>
    <w:basedOn w:val="ListParagraphChar"/>
    <w:link w:val="ESSubparaList"/>
    <w:rsid w:val="00BB0CF2"/>
    <w:rPr>
      <w:rFonts w:ascii="Times New Roman" w:hAnsi="Times New Roman" w:cs="Times New Roman"/>
    </w:rPr>
  </w:style>
  <w:style w:type="paragraph" w:customStyle="1" w:styleId="ESPara">
    <w:name w:val="ES_Para"/>
    <w:basedOn w:val="ESSubparaHeader"/>
    <w:link w:val="ESParaChar"/>
    <w:qFormat/>
    <w:rsid w:val="002D167E"/>
    <w:pPr>
      <w:keepNext w:val="0"/>
    </w:pPr>
  </w:style>
  <w:style w:type="character" w:customStyle="1" w:styleId="ESParaChar">
    <w:name w:val="ES_Para Char"/>
    <w:basedOn w:val="ESSubparaHeaderChar"/>
    <w:link w:val="ESPara"/>
    <w:rsid w:val="002D167E"/>
    <w:rPr>
      <w:rFonts w:ascii="Times New Roman" w:hAnsi="Times New Roman" w:cs="Times New Roman"/>
    </w:rPr>
  </w:style>
  <w:style w:type="character" w:customStyle="1" w:styleId="LDBoldItal">
    <w:name w:val="LDBoldItal"/>
    <w:uiPriority w:val="1"/>
    <w:qFormat/>
    <w:rsid w:val="00FB133E"/>
    <w:rPr>
      <w:b/>
      <w:i/>
    </w:rPr>
  </w:style>
  <w:style w:type="paragraph" w:styleId="Header">
    <w:name w:val="header"/>
    <w:basedOn w:val="Normal"/>
    <w:link w:val="HeaderChar"/>
    <w:uiPriority w:val="99"/>
    <w:unhideWhenUsed/>
    <w:rsid w:val="00842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279"/>
  </w:style>
  <w:style w:type="paragraph" w:styleId="Footer">
    <w:name w:val="footer"/>
    <w:basedOn w:val="Normal"/>
    <w:link w:val="FooterChar"/>
    <w:uiPriority w:val="99"/>
    <w:unhideWhenUsed/>
    <w:rsid w:val="00842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279"/>
  </w:style>
  <w:style w:type="character" w:styleId="PageNumber">
    <w:name w:val="page number"/>
    <w:basedOn w:val="DefaultParagraphFont"/>
    <w:rsid w:val="00842279"/>
  </w:style>
  <w:style w:type="character" w:styleId="CommentReference">
    <w:name w:val="annotation reference"/>
    <w:basedOn w:val="DefaultParagraphFont"/>
    <w:uiPriority w:val="99"/>
    <w:semiHidden/>
    <w:unhideWhenUsed/>
    <w:rsid w:val="009C73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73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73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3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3C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D17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3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73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8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8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36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53778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020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16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2601A-01F9-4BD6-BB30-3520A6454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HU</dc:creator>
  <cp:keywords/>
  <dc:description/>
  <cp:lastModifiedBy>Hannah HU</cp:lastModifiedBy>
  <cp:revision>3</cp:revision>
  <cp:lastPrinted>2021-10-20T00:11:00Z</cp:lastPrinted>
  <dcterms:created xsi:type="dcterms:W3CDTF">2021-10-20T00:11:00Z</dcterms:created>
  <dcterms:modified xsi:type="dcterms:W3CDTF">2021-10-20T00:14:00Z</dcterms:modified>
</cp:coreProperties>
</file>