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97F98" w14:textId="77777777" w:rsidR="003D202D" w:rsidRPr="00EF788F" w:rsidRDefault="003D202D" w:rsidP="003D202D">
      <w:pPr>
        <w:rPr>
          <w:sz w:val="28"/>
        </w:rPr>
      </w:pPr>
      <w:r w:rsidRPr="00EF788F">
        <w:rPr>
          <w:noProof/>
          <w:lang w:eastAsia="en-AU"/>
        </w:rPr>
        <w:drawing>
          <wp:inline distT="0" distB="0" distL="0" distR="0" wp14:anchorId="3C894EA2" wp14:editId="7A9A83E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510CE8C" w14:textId="77777777" w:rsidR="003D202D" w:rsidRPr="00EF788F" w:rsidRDefault="003D202D" w:rsidP="003D202D">
      <w:pPr>
        <w:rPr>
          <w:sz w:val="19"/>
        </w:rPr>
      </w:pPr>
    </w:p>
    <w:p w14:paraId="50D0B304" w14:textId="77777777" w:rsidR="003D202D" w:rsidRPr="00EF788F" w:rsidRDefault="003D202D" w:rsidP="003D202D">
      <w:pPr>
        <w:pStyle w:val="ShortT"/>
      </w:pPr>
      <w:r w:rsidRPr="00EF788F">
        <w:t xml:space="preserve">Therapeutic Goods Legislation Amendment (2021 Measures No. 3) </w:t>
      </w:r>
      <w:r w:rsidR="00EF1DEF" w:rsidRPr="00EF788F">
        <w:t>Regulations 2</w:t>
      </w:r>
      <w:r w:rsidRPr="00EF788F">
        <w:t>021</w:t>
      </w:r>
    </w:p>
    <w:p w14:paraId="71707857" w14:textId="77777777" w:rsidR="00F65930" w:rsidRPr="00EF788F" w:rsidRDefault="00F65930" w:rsidP="008B252A">
      <w:pPr>
        <w:pStyle w:val="SignCoverPageStart"/>
        <w:spacing w:before="240"/>
        <w:rPr>
          <w:szCs w:val="22"/>
        </w:rPr>
      </w:pPr>
      <w:r w:rsidRPr="00EF788F">
        <w:rPr>
          <w:szCs w:val="22"/>
        </w:rPr>
        <w:t>I, General the Honourable David Hurley AC DSC (</w:t>
      </w:r>
      <w:proofErr w:type="spellStart"/>
      <w:r w:rsidRPr="00EF788F">
        <w:rPr>
          <w:szCs w:val="22"/>
        </w:rPr>
        <w:t>Retd</w:t>
      </w:r>
      <w:proofErr w:type="spellEnd"/>
      <w:r w:rsidRPr="00EF788F">
        <w:rPr>
          <w:szCs w:val="22"/>
        </w:rPr>
        <w:t>), Governor</w:t>
      </w:r>
      <w:r w:rsidR="00EF788F">
        <w:rPr>
          <w:szCs w:val="22"/>
        </w:rPr>
        <w:noBreakHyphen/>
      </w:r>
      <w:r w:rsidRPr="00EF788F">
        <w:rPr>
          <w:szCs w:val="22"/>
        </w:rPr>
        <w:t>General of the Commonwealth of Australia, acting with the advice of the Federal Executive Council, make the following regulations.</w:t>
      </w:r>
    </w:p>
    <w:p w14:paraId="02C5A449" w14:textId="67729C02" w:rsidR="00F65930" w:rsidRPr="00EF788F" w:rsidRDefault="00F65930" w:rsidP="008B252A">
      <w:pPr>
        <w:keepNext/>
        <w:spacing w:before="720" w:line="240" w:lineRule="atLeast"/>
        <w:ind w:right="397"/>
        <w:jc w:val="both"/>
        <w:rPr>
          <w:szCs w:val="22"/>
        </w:rPr>
      </w:pPr>
      <w:r w:rsidRPr="00EF788F">
        <w:rPr>
          <w:szCs w:val="22"/>
        </w:rPr>
        <w:t xml:space="preserve">Dated </w:t>
      </w:r>
      <w:r w:rsidRPr="00EF788F">
        <w:rPr>
          <w:szCs w:val="22"/>
        </w:rPr>
        <w:fldChar w:fldCharType="begin"/>
      </w:r>
      <w:r w:rsidRPr="00EF788F">
        <w:rPr>
          <w:szCs w:val="22"/>
        </w:rPr>
        <w:instrText xml:space="preserve"> DOCPROPERTY  DateMade </w:instrText>
      </w:r>
      <w:r w:rsidRPr="00EF788F">
        <w:rPr>
          <w:szCs w:val="22"/>
        </w:rPr>
        <w:fldChar w:fldCharType="separate"/>
      </w:r>
      <w:r w:rsidR="009D3244">
        <w:rPr>
          <w:szCs w:val="22"/>
        </w:rPr>
        <w:t>28 October 2021</w:t>
      </w:r>
      <w:r w:rsidRPr="00EF788F">
        <w:rPr>
          <w:szCs w:val="22"/>
        </w:rPr>
        <w:fldChar w:fldCharType="end"/>
      </w:r>
    </w:p>
    <w:p w14:paraId="733C2F9A" w14:textId="77777777" w:rsidR="00F65930" w:rsidRPr="00EF788F" w:rsidRDefault="00F65930" w:rsidP="008B252A">
      <w:pPr>
        <w:keepNext/>
        <w:tabs>
          <w:tab w:val="left" w:pos="3402"/>
        </w:tabs>
        <w:spacing w:before="1080" w:line="300" w:lineRule="atLeast"/>
        <w:ind w:left="397" w:right="397"/>
        <w:jc w:val="right"/>
        <w:rPr>
          <w:szCs w:val="22"/>
        </w:rPr>
      </w:pPr>
      <w:r w:rsidRPr="00EF788F">
        <w:rPr>
          <w:szCs w:val="22"/>
        </w:rPr>
        <w:t>David Hurley</w:t>
      </w:r>
    </w:p>
    <w:p w14:paraId="66FB11CB" w14:textId="77777777" w:rsidR="00F65930" w:rsidRPr="00EF788F" w:rsidRDefault="00F65930" w:rsidP="008B252A">
      <w:pPr>
        <w:keepNext/>
        <w:tabs>
          <w:tab w:val="left" w:pos="3402"/>
        </w:tabs>
        <w:spacing w:line="300" w:lineRule="atLeast"/>
        <w:ind w:left="397" w:right="397"/>
        <w:jc w:val="right"/>
        <w:rPr>
          <w:szCs w:val="22"/>
        </w:rPr>
      </w:pPr>
      <w:r w:rsidRPr="00EF788F">
        <w:rPr>
          <w:szCs w:val="22"/>
        </w:rPr>
        <w:t>Governor</w:t>
      </w:r>
      <w:r w:rsidR="00EF788F">
        <w:rPr>
          <w:szCs w:val="22"/>
        </w:rPr>
        <w:noBreakHyphen/>
      </w:r>
      <w:r w:rsidRPr="00EF788F">
        <w:rPr>
          <w:szCs w:val="22"/>
        </w:rPr>
        <w:t>General</w:t>
      </w:r>
    </w:p>
    <w:p w14:paraId="48E68A69" w14:textId="77777777" w:rsidR="00F65930" w:rsidRPr="00EF788F" w:rsidRDefault="00F65930" w:rsidP="008B252A">
      <w:pPr>
        <w:keepNext/>
        <w:tabs>
          <w:tab w:val="left" w:pos="3402"/>
        </w:tabs>
        <w:spacing w:before="840" w:after="1080" w:line="300" w:lineRule="atLeast"/>
        <w:ind w:right="397"/>
        <w:rPr>
          <w:szCs w:val="22"/>
        </w:rPr>
      </w:pPr>
      <w:r w:rsidRPr="00EF788F">
        <w:rPr>
          <w:szCs w:val="22"/>
        </w:rPr>
        <w:t>By His Excellency’s Command</w:t>
      </w:r>
    </w:p>
    <w:p w14:paraId="4F58CD0A" w14:textId="77777777" w:rsidR="00F65930" w:rsidRPr="00EF788F" w:rsidRDefault="00F65930" w:rsidP="008B252A">
      <w:pPr>
        <w:keepNext/>
        <w:tabs>
          <w:tab w:val="left" w:pos="3402"/>
        </w:tabs>
        <w:spacing w:before="480" w:line="300" w:lineRule="atLeast"/>
        <w:ind w:right="397"/>
        <w:rPr>
          <w:szCs w:val="22"/>
        </w:rPr>
      </w:pPr>
      <w:r w:rsidRPr="00EF788F">
        <w:rPr>
          <w:szCs w:val="22"/>
        </w:rPr>
        <w:t>Greg Hunt</w:t>
      </w:r>
    </w:p>
    <w:p w14:paraId="1CBECBE1" w14:textId="77777777" w:rsidR="00F65930" w:rsidRPr="00EF788F" w:rsidRDefault="00F65930" w:rsidP="008B252A">
      <w:pPr>
        <w:pStyle w:val="SignCoverPageEnd"/>
        <w:rPr>
          <w:szCs w:val="22"/>
        </w:rPr>
      </w:pPr>
      <w:r w:rsidRPr="00EF788F">
        <w:rPr>
          <w:szCs w:val="22"/>
        </w:rPr>
        <w:t>Minister for Health and Aged Care</w:t>
      </w:r>
    </w:p>
    <w:p w14:paraId="5EA04902" w14:textId="77777777" w:rsidR="00F65930" w:rsidRPr="00EF788F" w:rsidRDefault="00F65930" w:rsidP="008B252A"/>
    <w:p w14:paraId="461DBC80" w14:textId="77777777" w:rsidR="00F65930" w:rsidRPr="00EF788F" w:rsidRDefault="00F65930" w:rsidP="008B252A"/>
    <w:p w14:paraId="7DD54E1E" w14:textId="77777777" w:rsidR="00F65930" w:rsidRPr="00EF788F" w:rsidRDefault="00F65930" w:rsidP="008B252A"/>
    <w:p w14:paraId="7B22CA02" w14:textId="77777777" w:rsidR="0048364F" w:rsidRPr="00C518BF" w:rsidRDefault="0048364F" w:rsidP="0048364F">
      <w:pPr>
        <w:pStyle w:val="Header"/>
        <w:tabs>
          <w:tab w:val="clear" w:pos="4150"/>
          <w:tab w:val="clear" w:pos="8307"/>
        </w:tabs>
      </w:pPr>
      <w:r w:rsidRPr="00C518BF">
        <w:rPr>
          <w:rStyle w:val="CharAmSchNo"/>
        </w:rPr>
        <w:t xml:space="preserve"> </w:t>
      </w:r>
      <w:r w:rsidRPr="00C518BF">
        <w:rPr>
          <w:rStyle w:val="CharAmSchText"/>
        </w:rPr>
        <w:t xml:space="preserve"> </w:t>
      </w:r>
    </w:p>
    <w:p w14:paraId="00ACAB56" w14:textId="77777777" w:rsidR="0048364F" w:rsidRPr="00C518BF" w:rsidRDefault="0048364F" w:rsidP="0048364F">
      <w:pPr>
        <w:pStyle w:val="Header"/>
        <w:tabs>
          <w:tab w:val="clear" w:pos="4150"/>
          <w:tab w:val="clear" w:pos="8307"/>
        </w:tabs>
      </w:pPr>
      <w:r w:rsidRPr="00C518BF">
        <w:rPr>
          <w:rStyle w:val="CharAmPartNo"/>
        </w:rPr>
        <w:t xml:space="preserve"> </w:t>
      </w:r>
      <w:r w:rsidRPr="00C518BF">
        <w:rPr>
          <w:rStyle w:val="CharAmPartText"/>
        </w:rPr>
        <w:t xml:space="preserve"> </w:t>
      </w:r>
    </w:p>
    <w:p w14:paraId="7B35B869" w14:textId="77777777" w:rsidR="0048364F" w:rsidRPr="00EF788F" w:rsidRDefault="0048364F" w:rsidP="0048364F">
      <w:pPr>
        <w:sectPr w:rsidR="0048364F" w:rsidRPr="00EF788F" w:rsidSect="00873404">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56F0A0DC" w14:textId="77777777" w:rsidR="00220A0C" w:rsidRPr="00EF788F" w:rsidRDefault="0048364F" w:rsidP="0048364F">
      <w:pPr>
        <w:outlineLvl w:val="0"/>
        <w:rPr>
          <w:sz w:val="36"/>
        </w:rPr>
      </w:pPr>
      <w:r w:rsidRPr="00EF788F">
        <w:rPr>
          <w:sz w:val="36"/>
        </w:rPr>
        <w:lastRenderedPageBreak/>
        <w:t>Contents</w:t>
      </w:r>
    </w:p>
    <w:p w14:paraId="685801F1" w14:textId="017BF875" w:rsidR="00DA28D8" w:rsidRPr="00EF788F" w:rsidRDefault="00DA28D8">
      <w:pPr>
        <w:pStyle w:val="TOC5"/>
        <w:rPr>
          <w:rFonts w:asciiTheme="minorHAnsi" w:eastAsiaTheme="minorEastAsia" w:hAnsiTheme="minorHAnsi" w:cstheme="minorBidi"/>
          <w:noProof/>
          <w:kern w:val="0"/>
          <w:sz w:val="22"/>
          <w:szCs w:val="22"/>
        </w:rPr>
      </w:pPr>
      <w:r w:rsidRPr="00EF788F">
        <w:fldChar w:fldCharType="begin"/>
      </w:r>
      <w:r w:rsidRPr="00EF788F">
        <w:instrText xml:space="preserve"> TOC \o "1-9" </w:instrText>
      </w:r>
      <w:r w:rsidRPr="00EF788F">
        <w:fldChar w:fldCharType="separate"/>
      </w:r>
      <w:r w:rsidRPr="00EF788F">
        <w:rPr>
          <w:noProof/>
        </w:rPr>
        <w:t>1</w:t>
      </w:r>
      <w:r w:rsidRPr="00EF788F">
        <w:rPr>
          <w:noProof/>
        </w:rPr>
        <w:tab/>
        <w:t>Name</w:t>
      </w:r>
      <w:r w:rsidRPr="00EF788F">
        <w:rPr>
          <w:noProof/>
        </w:rPr>
        <w:tab/>
      </w:r>
      <w:r w:rsidRPr="00EF788F">
        <w:rPr>
          <w:noProof/>
        </w:rPr>
        <w:fldChar w:fldCharType="begin"/>
      </w:r>
      <w:r w:rsidRPr="00EF788F">
        <w:rPr>
          <w:noProof/>
        </w:rPr>
        <w:instrText xml:space="preserve"> PAGEREF _Toc84835136 \h </w:instrText>
      </w:r>
      <w:r w:rsidRPr="00EF788F">
        <w:rPr>
          <w:noProof/>
        </w:rPr>
      </w:r>
      <w:r w:rsidRPr="00EF788F">
        <w:rPr>
          <w:noProof/>
        </w:rPr>
        <w:fldChar w:fldCharType="separate"/>
      </w:r>
      <w:r w:rsidR="009D3244">
        <w:rPr>
          <w:noProof/>
        </w:rPr>
        <w:t>1</w:t>
      </w:r>
      <w:r w:rsidRPr="00EF788F">
        <w:rPr>
          <w:noProof/>
        </w:rPr>
        <w:fldChar w:fldCharType="end"/>
      </w:r>
    </w:p>
    <w:p w14:paraId="134F7B95" w14:textId="27DF7292" w:rsidR="00DA28D8" w:rsidRPr="00EF788F" w:rsidRDefault="00DA28D8">
      <w:pPr>
        <w:pStyle w:val="TOC5"/>
        <w:rPr>
          <w:rFonts w:asciiTheme="minorHAnsi" w:eastAsiaTheme="minorEastAsia" w:hAnsiTheme="minorHAnsi" w:cstheme="minorBidi"/>
          <w:noProof/>
          <w:kern w:val="0"/>
          <w:sz w:val="22"/>
          <w:szCs w:val="22"/>
        </w:rPr>
      </w:pPr>
      <w:r w:rsidRPr="00EF788F">
        <w:rPr>
          <w:noProof/>
        </w:rPr>
        <w:t>2</w:t>
      </w:r>
      <w:r w:rsidRPr="00EF788F">
        <w:rPr>
          <w:noProof/>
        </w:rPr>
        <w:tab/>
        <w:t>Commencement</w:t>
      </w:r>
      <w:r w:rsidRPr="00EF788F">
        <w:rPr>
          <w:noProof/>
        </w:rPr>
        <w:tab/>
      </w:r>
      <w:r w:rsidRPr="00EF788F">
        <w:rPr>
          <w:noProof/>
        </w:rPr>
        <w:fldChar w:fldCharType="begin"/>
      </w:r>
      <w:r w:rsidRPr="00EF788F">
        <w:rPr>
          <w:noProof/>
        </w:rPr>
        <w:instrText xml:space="preserve"> PAGEREF _Toc84835137 \h </w:instrText>
      </w:r>
      <w:r w:rsidRPr="00EF788F">
        <w:rPr>
          <w:noProof/>
        </w:rPr>
      </w:r>
      <w:r w:rsidRPr="00EF788F">
        <w:rPr>
          <w:noProof/>
        </w:rPr>
        <w:fldChar w:fldCharType="separate"/>
      </w:r>
      <w:r w:rsidR="009D3244">
        <w:rPr>
          <w:noProof/>
        </w:rPr>
        <w:t>1</w:t>
      </w:r>
      <w:r w:rsidRPr="00EF788F">
        <w:rPr>
          <w:noProof/>
        </w:rPr>
        <w:fldChar w:fldCharType="end"/>
      </w:r>
    </w:p>
    <w:p w14:paraId="6B44AE5C" w14:textId="6D0AA6A2" w:rsidR="00DA28D8" w:rsidRPr="00EF788F" w:rsidRDefault="00DA28D8">
      <w:pPr>
        <w:pStyle w:val="TOC5"/>
        <w:rPr>
          <w:rFonts w:asciiTheme="minorHAnsi" w:eastAsiaTheme="minorEastAsia" w:hAnsiTheme="minorHAnsi" w:cstheme="minorBidi"/>
          <w:noProof/>
          <w:kern w:val="0"/>
          <w:sz w:val="22"/>
          <w:szCs w:val="22"/>
        </w:rPr>
      </w:pPr>
      <w:r w:rsidRPr="00EF788F">
        <w:rPr>
          <w:noProof/>
        </w:rPr>
        <w:t>3</w:t>
      </w:r>
      <w:r w:rsidRPr="00EF788F">
        <w:rPr>
          <w:noProof/>
        </w:rPr>
        <w:tab/>
        <w:t>Authority</w:t>
      </w:r>
      <w:r w:rsidRPr="00EF788F">
        <w:rPr>
          <w:noProof/>
        </w:rPr>
        <w:tab/>
      </w:r>
      <w:r w:rsidRPr="00EF788F">
        <w:rPr>
          <w:noProof/>
        </w:rPr>
        <w:fldChar w:fldCharType="begin"/>
      </w:r>
      <w:r w:rsidRPr="00EF788F">
        <w:rPr>
          <w:noProof/>
        </w:rPr>
        <w:instrText xml:space="preserve"> PAGEREF _Toc84835138 \h </w:instrText>
      </w:r>
      <w:r w:rsidRPr="00EF788F">
        <w:rPr>
          <w:noProof/>
        </w:rPr>
      </w:r>
      <w:r w:rsidRPr="00EF788F">
        <w:rPr>
          <w:noProof/>
        </w:rPr>
        <w:fldChar w:fldCharType="separate"/>
      </w:r>
      <w:r w:rsidR="009D3244">
        <w:rPr>
          <w:noProof/>
        </w:rPr>
        <w:t>1</w:t>
      </w:r>
      <w:r w:rsidRPr="00EF788F">
        <w:rPr>
          <w:noProof/>
        </w:rPr>
        <w:fldChar w:fldCharType="end"/>
      </w:r>
    </w:p>
    <w:p w14:paraId="44E1F835" w14:textId="542DAA7C" w:rsidR="00DA28D8" w:rsidRPr="00EF788F" w:rsidRDefault="00DA28D8">
      <w:pPr>
        <w:pStyle w:val="TOC5"/>
        <w:rPr>
          <w:rFonts w:asciiTheme="minorHAnsi" w:eastAsiaTheme="minorEastAsia" w:hAnsiTheme="minorHAnsi" w:cstheme="minorBidi"/>
          <w:noProof/>
          <w:kern w:val="0"/>
          <w:sz w:val="22"/>
          <w:szCs w:val="22"/>
        </w:rPr>
      </w:pPr>
      <w:r w:rsidRPr="00EF788F">
        <w:rPr>
          <w:noProof/>
        </w:rPr>
        <w:t>4</w:t>
      </w:r>
      <w:r w:rsidRPr="00EF788F">
        <w:rPr>
          <w:noProof/>
        </w:rPr>
        <w:tab/>
        <w:t>Schedules</w:t>
      </w:r>
      <w:r w:rsidRPr="00EF788F">
        <w:rPr>
          <w:noProof/>
        </w:rPr>
        <w:tab/>
      </w:r>
      <w:r w:rsidRPr="00EF788F">
        <w:rPr>
          <w:noProof/>
        </w:rPr>
        <w:fldChar w:fldCharType="begin"/>
      </w:r>
      <w:r w:rsidRPr="00EF788F">
        <w:rPr>
          <w:noProof/>
        </w:rPr>
        <w:instrText xml:space="preserve"> PAGEREF _Toc84835139 \h </w:instrText>
      </w:r>
      <w:r w:rsidRPr="00EF788F">
        <w:rPr>
          <w:noProof/>
        </w:rPr>
      </w:r>
      <w:r w:rsidRPr="00EF788F">
        <w:rPr>
          <w:noProof/>
        </w:rPr>
        <w:fldChar w:fldCharType="separate"/>
      </w:r>
      <w:r w:rsidR="009D3244">
        <w:rPr>
          <w:noProof/>
        </w:rPr>
        <w:t>1</w:t>
      </w:r>
      <w:r w:rsidRPr="00EF788F">
        <w:rPr>
          <w:noProof/>
        </w:rPr>
        <w:fldChar w:fldCharType="end"/>
      </w:r>
    </w:p>
    <w:p w14:paraId="2BFBDB9A" w14:textId="45445AE3" w:rsidR="00DA28D8" w:rsidRPr="00EF788F" w:rsidRDefault="00DA28D8">
      <w:pPr>
        <w:pStyle w:val="TOC6"/>
        <w:rPr>
          <w:rFonts w:asciiTheme="minorHAnsi" w:eastAsiaTheme="minorEastAsia" w:hAnsiTheme="minorHAnsi" w:cstheme="minorBidi"/>
          <w:b w:val="0"/>
          <w:noProof/>
          <w:kern w:val="0"/>
          <w:sz w:val="22"/>
          <w:szCs w:val="22"/>
        </w:rPr>
      </w:pPr>
      <w:r w:rsidRPr="00EF788F">
        <w:rPr>
          <w:noProof/>
        </w:rPr>
        <w:t>Schedule 1—Amendments</w:t>
      </w:r>
      <w:r w:rsidRPr="00EF788F">
        <w:rPr>
          <w:b w:val="0"/>
          <w:noProof/>
          <w:sz w:val="18"/>
        </w:rPr>
        <w:tab/>
      </w:r>
      <w:r w:rsidRPr="00EF788F">
        <w:rPr>
          <w:b w:val="0"/>
          <w:noProof/>
          <w:sz w:val="18"/>
        </w:rPr>
        <w:fldChar w:fldCharType="begin"/>
      </w:r>
      <w:r w:rsidRPr="00EF788F">
        <w:rPr>
          <w:b w:val="0"/>
          <w:noProof/>
          <w:sz w:val="18"/>
        </w:rPr>
        <w:instrText xml:space="preserve"> PAGEREF _Toc84835140 \h </w:instrText>
      </w:r>
      <w:r w:rsidRPr="00EF788F">
        <w:rPr>
          <w:b w:val="0"/>
          <w:noProof/>
          <w:sz w:val="18"/>
        </w:rPr>
      </w:r>
      <w:r w:rsidRPr="00EF788F">
        <w:rPr>
          <w:b w:val="0"/>
          <w:noProof/>
          <w:sz w:val="18"/>
        </w:rPr>
        <w:fldChar w:fldCharType="separate"/>
      </w:r>
      <w:r w:rsidR="009D3244">
        <w:rPr>
          <w:b w:val="0"/>
          <w:noProof/>
          <w:sz w:val="18"/>
        </w:rPr>
        <w:t>2</w:t>
      </w:r>
      <w:r w:rsidRPr="00EF788F">
        <w:rPr>
          <w:b w:val="0"/>
          <w:noProof/>
          <w:sz w:val="18"/>
        </w:rPr>
        <w:fldChar w:fldCharType="end"/>
      </w:r>
    </w:p>
    <w:p w14:paraId="78246E52" w14:textId="6D24A98B" w:rsidR="00DA28D8" w:rsidRPr="00EF788F" w:rsidRDefault="00DA28D8">
      <w:pPr>
        <w:pStyle w:val="TOC7"/>
        <w:rPr>
          <w:rFonts w:asciiTheme="minorHAnsi" w:eastAsiaTheme="minorEastAsia" w:hAnsiTheme="minorHAnsi" w:cstheme="minorBidi"/>
          <w:noProof/>
          <w:kern w:val="0"/>
          <w:sz w:val="22"/>
          <w:szCs w:val="22"/>
        </w:rPr>
      </w:pPr>
      <w:r w:rsidRPr="00EF788F">
        <w:rPr>
          <w:noProof/>
        </w:rPr>
        <w:t>Part 1—System or procedure packs</w:t>
      </w:r>
      <w:r w:rsidRPr="00EF788F">
        <w:rPr>
          <w:noProof/>
          <w:sz w:val="18"/>
        </w:rPr>
        <w:tab/>
      </w:r>
      <w:r w:rsidRPr="00EF788F">
        <w:rPr>
          <w:noProof/>
          <w:sz w:val="18"/>
        </w:rPr>
        <w:fldChar w:fldCharType="begin"/>
      </w:r>
      <w:r w:rsidRPr="00EF788F">
        <w:rPr>
          <w:noProof/>
          <w:sz w:val="18"/>
        </w:rPr>
        <w:instrText xml:space="preserve"> PAGEREF _Toc84835141 \h </w:instrText>
      </w:r>
      <w:r w:rsidRPr="00EF788F">
        <w:rPr>
          <w:noProof/>
          <w:sz w:val="18"/>
        </w:rPr>
      </w:r>
      <w:r w:rsidRPr="00EF788F">
        <w:rPr>
          <w:noProof/>
          <w:sz w:val="18"/>
        </w:rPr>
        <w:fldChar w:fldCharType="separate"/>
      </w:r>
      <w:r w:rsidR="009D3244">
        <w:rPr>
          <w:noProof/>
          <w:sz w:val="18"/>
        </w:rPr>
        <w:t>2</w:t>
      </w:r>
      <w:r w:rsidRPr="00EF788F">
        <w:rPr>
          <w:noProof/>
          <w:sz w:val="18"/>
        </w:rPr>
        <w:fldChar w:fldCharType="end"/>
      </w:r>
    </w:p>
    <w:p w14:paraId="28A935A7" w14:textId="52D0F84B" w:rsidR="00DA28D8" w:rsidRPr="00EF788F" w:rsidRDefault="00DA28D8">
      <w:pPr>
        <w:pStyle w:val="TOC9"/>
        <w:rPr>
          <w:rFonts w:asciiTheme="minorHAnsi" w:eastAsiaTheme="minorEastAsia" w:hAnsiTheme="minorHAnsi" w:cstheme="minorBidi"/>
          <w:i w:val="0"/>
          <w:noProof/>
          <w:kern w:val="0"/>
          <w:sz w:val="22"/>
          <w:szCs w:val="22"/>
        </w:rPr>
      </w:pPr>
      <w:r w:rsidRPr="00EF788F">
        <w:rPr>
          <w:noProof/>
        </w:rPr>
        <w:t>Therapeutic Goods (Medical Devices) Regulations 2002</w:t>
      </w:r>
      <w:r w:rsidRPr="00EF788F">
        <w:rPr>
          <w:i w:val="0"/>
          <w:noProof/>
          <w:sz w:val="18"/>
        </w:rPr>
        <w:tab/>
      </w:r>
      <w:r w:rsidRPr="00EF788F">
        <w:rPr>
          <w:i w:val="0"/>
          <w:noProof/>
          <w:sz w:val="18"/>
        </w:rPr>
        <w:fldChar w:fldCharType="begin"/>
      </w:r>
      <w:r w:rsidRPr="00EF788F">
        <w:rPr>
          <w:i w:val="0"/>
          <w:noProof/>
          <w:sz w:val="18"/>
        </w:rPr>
        <w:instrText xml:space="preserve"> PAGEREF _Toc84835142 \h </w:instrText>
      </w:r>
      <w:r w:rsidRPr="00EF788F">
        <w:rPr>
          <w:i w:val="0"/>
          <w:noProof/>
          <w:sz w:val="18"/>
        </w:rPr>
      </w:r>
      <w:r w:rsidRPr="00EF788F">
        <w:rPr>
          <w:i w:val="0"/>
          <w:noProof/>
          <w:sz w:val="18"/>
        </w:rPr>
        <w:fldChar w:fldCharType="separate"/>
      </w:r>
      <w:r w:rsidR="009D3244">
        <w:rPr>
          <w:i w:val="0"/>
          <w:noProof/>
          <w:sz w:val="18"/>
        </w:rPr>
        <w:t>2</w:t>
      </w:r>
      <w:r w:rsidRPr="00EF788F">
        <w:rPr>
          <w:i w:val="0"/>
          <w:noProof/>
          <w:sz w:val="18"/>
        </w:rPr>
        <w:fldChar w:fldCharType="end"/>
      </w:r>
    </w:p>
    <w:p w14:paraId="7E7C16DD" w14:textId="5E64AE22" w:rsidR="00DA28D8" w:rsidRPr="00EF788F" w:rsidRDefault="00DA28D8">
      <w:pPr>
        <w:pStyle w:val="TOC7"/>
        <w:rPr>
          <w:rFonts w:asciiTheme="minorHAnsi" w:eastAsiaTheme="minorEastAsia" w:hAnsiTheme="minorHAnsi" w:cstheme="minorBidi"/>
          <w:noProof/>
          <w:kern w:val="0"/>
          <w:sz w:val="22"/>
          <w:szCs w:val="22"/>
        </w:rPr>
      </w:pPr>
      <w:r w:rsidRPr="00EF788F">
        <w:rPr>
          <w:noProof/>
        </w:rPr>
        <w:t>Part 2—Reports about adverse events or occurrences for medical devices</w:t>
      </w:r>
      <w:r w:rsidRPr="00EF788F">
        <w:rPr>
          <w:noProof/>
          <w:sz w:val="18"/>
        </w:rPr>
        <w:tab/>
      </w:r>
      <w:r w:rsidRPr="00EF788F">
        <w:rPr>
          <w:noProof/>
          <w:sz w:val="18"/>
        </w:rPr>
        <w:fldChar w:fldCharType="begin"/>
      </w:r>
      <w:r w:rsidRPr="00EF788F">
        <w:rPr>
          <w:noProof/>
          <w:sz w:val="18"/>
        </w:rPr>
        <w:instrText xml:space="preserve"> PAGEREF _Toc84835143 \h </w:instrText>
      </w:r>
      <w:r w:rsidRPr="00EF788F">
        <w:rPr>
          <w:noProof/>
          <w:sz w:val="18"/>
        </w:rPr>
      </w:r>
      <w:r w:rsidRPr="00EF788F">
        <w:rPr>
          <w:noProof/>
          <w:sz w:val="18"/>
        </w:rPr>
        <w:fldChar w:fldCharType="separate"/>
      </w:r>
      <w:r w:rsidR="009D3244">
        <w:rPr>
          <w:noProof/>
          <w:sz w:val="18"/>
        </w:rPr>
        <w:t>5</w:t>
      </w:r>
      <w:r w:rsidRPr="00EF788F">
        <w:rPr>
          <w:noProof/>
          <w:sz w:val="18"/>
        </w:rPr>
        <w:fldChar w:fldCharType="end"/>
      </w:r>
    </w:p>
    <w:p w14:paraId="79861C42" w14:textId="5FCAFD2B" w:rsidR="00DA28D8" w:rsidRPr="00EF788F" w:rsidRDefault="00DA28D8">
      <w:pPr>
        <w:pStyle w:val="TOC9"/>
        <w:rPr>
          <w:rFonts w:asciiTheme="minorHAnsi" w:eastAsiaTheme="minorEastAsia" w:hAnsiTheme="minorHAnsi" w:cstheme="minorBidi"/>
          <w:i w:val="0"/>
          <w:noProof/>
          <w:kern w:val="0"/>
          <w:sz w:val="22"/>
          <w:szCs w:val="22"/>
        </w:rPr>
      </w:pPr>
      <w:r w:rsidRPr="00EF788F">
        <w:rPr>
          <w:noProof/>
        </w:rPr>
        <w:t>Therapeutic Goods (Medical Devices) Regulations 2002</w:t>
      </w:r>
      <w:r w:rsidRPr="00EF788F">
        <w:rPr>
          <w:i w:val="0"/>
          <w:noProof/>
          <w:sz w:val="18"/>
        </w:rPr>
        <w:tab/>
      </w:r>
      <w:r w:rsidRPr="00EF788F">
        <w:rPr>
          <w:i w:val="0"/>
          <w:noProof/>
          <w:sz w:val="18"/>
        </w:rPr>
        <w:fldChar w:fldCharType="begin"/>
      </w:r>
      <w:r w:rsidRPr="00EF788F">
        <w:rPr>
          <w:i w:val="0"/>
          <w:noProof/>
          <w:sz w:val="18"/>
        </w:rPr>
        <w:instrText xml:space="preserve"> PAGEREF _Toc84835144 \h </w:instrText>
      </w:r>
      <w:r w:rsidRPr="00EF788F">
        <w:rPr>
          <w:i w:val="0"/>
          <w:noProof/>
          <w:sz w:val="18"/>
        </w:rPr>
      </w:r>
      <w:r w:rsidRPr="00EF788F">
        <w:rPr>
          <w:i w:val="0"/>
          <w:noProof/>
          <w:sz w:val="18"/>
        </w:rPr>
        <w:fldChar w:fldCharType="separate"/>
      </w:r>
      <w:r w:rsidR="009D3244">
        <w:rPr>
          <w:i w:val="0"/>
          <w:noProof/>
          <w:sz w:val="18"/>
        </w:rPr>
        <w:t>5</w:t>
      </w:r>
      <w:r w:rsidRPr="00EF788F">
        <w:rPr>
          <w:i w:val="0"/>
          <w:noProof/>
          <w:sz w:val="18"/>
        </w:rPr>
        <w:fldChar w:fldCharType="end"/>
      </w:r>
    </w:p>
    <w:p w14:paraId="28F71979" w14:textId="25217C65" w:rsidR="00DA28D8" w:rsidRPr="00EF788F" w:rsidRDefault="00DA28D8">
      <w:pPr>
        <w:pStyle w:val="TOC7"/>
        <w:rPr>
          <w:rFonts w:asciiTheme="minorHAnsi" w:eastAsiaTheme="minorEastAsia" w:hAnsiTheme="minorHAnsi" w:cstheme="minorBidi"/>
          <w:noProof/>
          <w:kern w:val="0"/>
          <w:sz w:val="22"/>
          <w:szCs w:val="22"/>
        </w:rPr>
      </w:pPr>
      <w:r w:rsidRPr="00EF788F">
        <w:rPr>
          <w:noProof/>
        </w:rPr>
        <w:t>Part 3—Patient implant cards and patient information leaflets</w:t>
      </w:r>
      <w:r w:rsidRPr="00EF788F">
        <w:rPr>
          <w:noProof/>
          <w:sz w:val="18"/>
        </w:rPr>
        <w:tab/>
      </w:r>
      <w:r w:rsidRPr="00EF788F">
        <w:rPr>
          <w:noProof/>
          <w:sz w:val="18"/>
        </w:rPr>
        <w:fldChar w:fldCharType="begin"/>
      </w:r>
      <w:r w:rsidRPr="00EF788F">
        <w:rPr>
          <w:noProof/>
          <w:sz w:val="18"/>
        </w:rPr>
        <w:instrText xml:space="preserve"> PAGEREF _Toc84835146 \h </w:instrText>
      </w:r>
      <w:r w:rsidRPr="00EF788F">
        <w:rPr>
          <w:noProof/>
          <w:sz w:val="18"/>
        </w:rPr>
      </w:r>
      <w:r w:rsidRPr="00EF788F">
        <w:rPr>
          <w:noProof/>
          <w:sz w:val="18"/>
        </w:rPr>
        <w:fldChar w:fldCharType="separate"/>
      </w:r>
      <w:r w:rsidR="009D3244">
        <w:rPr>
          <w:noProof/>
          <w:sz w:val="18"/>
        </w:rPr>
        <w:t>6</w:t>
      </w:r>
      <w:r w:rsidRPr="00EF788F">
        <w:rPr>
          <w:noProof/>
          <w:sz w:val="18"/>
        </w:rPr>
        <w:fldChar w:fldCharType="end"/>
      </w:r>
    </w:p>
    <w:p w14:paraId="2A98F66C" w14:textId="7B0F2EAD" w:rsidR="00DA28D8" w:rsidRPr="00EF788F" w:rsidRDefault="00DA28D8">
      <w:pPr>
        <w:pStyle w:val="TOC9"/>
        <w:rPr>
          <w:rFonts w:asciiTheme="minorHAnsi" w:eastAsiaTheme="minorEastAsia" w:hAnsiTheme="minorHAnsi" w:cstheme="minorBidi"/>
          <w:i w:val="0"/>
          <w:noProof/>
          <w:kern w:val="0"/>
          <w:sz w:val="22"/>
          <w:szCs w:val="22"/>
        </w:rPr>
      </w:pPr>
      <w:r w:rsidRPr="00EF788F">
        <w:rPr>
          <w:noProof/>
        </w:rPr>
        <w:t>Therapeutic Goods (Medical Devices) Regulations 2002</w:t>
      </w:r>
      <w:r w:rsidRPr="00EF788F">
        <w:rPr>
          <w:i w:val="0"/>
          <w:noProof/>
          <w:sz w:val="18"/>
        </w:rPr>
        <w:tab/>
      </w:r>
      <w:r w:rsidRPr="00EF788F">
        <w:rPr>
          <w:i w:val="0"/>
          <w:noProof/>
          <w:sz w:val="18"/>
        </w:rPr>
        <w:fldChar w:fldCharType="begin"/>
      </w:r>
      <w:r w:rsidRPr="00EF788F">
        <w:rPr>
          <w:i w:val="0"/>
          <w:noProof/>
          <w:sz w:val="18"/>
        </w:rPr>
        <w:instrText xml:space="preserve"> PAGEREF _Toc84835147 \h </w:instrText>
      </w:r>
      <w:r w:rsidRPr="00EF788F">
        <w:rPr>
          <w:i w:val="0"/>
          <w:noProof/>
          <w:sz w:val="18"/>
        </w:rPr>
      </w:r>
      <w:r w:rsidRPr="00EF788F">
        <w:rPr>
          <w:i w:val="0"/>
          <w:noProof/>
          <w:sz w:val="18"/>
        </w:rPr>
        <w:fldChar w:fldCharType="separate"/>
      </w:r>
      <w:r w:rsidR="009D3244">
        <w:rPr>
          <w:i w:val="0"/>
          <w:noProof/>
          <w:sz w:val="18"/>
        </w:rPr>
        <w:t>6</w:t>
      </w:r>
      <w:r w:rsidRPr="00EF788F">
        <w:rPr>
          <w:i w:val="0"/>
          <w:noProof/>
          <w:sz w:val="18"/>
        </w:rPr>
        <w:fldChar w:fldCharType="end"/>
      </w:r>
    </w:p>
    <w:p w14:paraId="4932614E" w14:textId="6464A580" w:rsidR="00DA28D8" w:rsidRPr="00EF788F" w:rsidRDefault="00DA28D8">
      <w:pPr>
        <w:pStyle w:val="TOC7"/>
        <w:rPr>
          <w:rFonts w:asciiTheme="minorHAnsi" w:eastAsiaTheme="minorEastAsia" w:hAnsiTheme="minorHAnsi" w:cstheme="minorBidi"/>
          <w:noProof/>
          <w:kern w:val="0"/>
          <w:sz w:val="22"/>
          <w:szCs w:val="22"/>
        </w:rPr>
      </w:pPr>
      <w:r w:rsidRPr="00EF788F">
        <w:rPr>
          <w:noProof/>
        </w:rPr>
        <w:t>Part 4—Reclassification of medical devices</w:t>
      </w:r>
      <w:r w:rsidRPr="00EF788F">
        <w:rPr>
          <w:noProof/>
          <w:sz w:val="18"/>
        </w:rPr>
        <w:tab/>
      </w:r>
      <w:r w:rsidRPr="00EF788F">
        <w:rPr>
          <w:noProof/>
          <w:sz w:val="18"/>
        </w:rPr>
        <w:fldChar w:fldCharType="begin"/>
      </w:r>
      <w:r w:rsidRPr="00EF788F">
        <w:rPr>
          <w:noProof/>
          <w:sz w:val="18"/>
        </w:rPr>
        <w:instrText xml:space="preserve"> PAGEREF _Toc84835154 \h </w:instrText>
      </w:r>
      <w:r w:rsidRPr="00EF788F">
        <w:rPr>
          <w:noProof/>
          <w:sz w:val="18"/>
        </w:rPr>
      </w:r>
      <w:r w:rsidRPr="00EF788F">
        <w:rPr>
          <w:noProof/>
          <w:sz w:val="18"/>
        </w:rPr>
        <w:fldChar w:fldCharType="separate"/>
      </w:r>
      <w:r w:rsidR="009D3244">
        <w:rPr>
          <w:noProof/>
          <w:sz w:val="18"/>
        </w:rPr>
        <w:t>9</w:t>
      </w:r>
      <w:r w:rsidRPr="00EF788F">
        <w:rPr>
          <w:noProof/>
          <w:sz w:val="18"/>
        </w:rPr>
        <w:fldChar w:fldCharType="end"/>
      </w:r>
    </w:p>
    <w:p w14:paraId="2CCBBF89" w14:textId="76584705" w:rsidR="00DA28D8" w:rsidRPr="00EF788F" w:rsidRDefault="00DA28D8">
      <w:pPr>
        <w:pStyle w:val="TOC9"/>
        <w:rPr>
          <w:rFonts w:asciiTheme="minorHAnsi" w:eastAsiaTheme="minorEastAsia" w:hAnsiTheme="minorHAnsi" w:cstheme="minorBidi"/>
          <w:i w:val="0"/>
          <w:noProof/>
          <w:kern w:val="0"/>
          <w:sz w:val="22"/>
          <w:szCs w:val="22"/>
        </w:rPr>
      </w:pPr>
      <w:r w:rsidRPr="00EF788F">
        <w:rPr>
          <w:noProof/>
        </w:rPr>
        <w:t>Therapeutic Goods (Medical Devices) Regulations 2002</w:t>
      </w:r>
      <w:r w:rsidRPr="00EF788F">
        <w:rPr>
          <w:i w:val="0"/>
          <w:noProof/>
          <w:sz w:val="18"/>
        </w:rPr>
        <w:tab/>
      </w:r>
      <w:r w:rsidRPr="00EF788F">
        <w:rPr>
          <w:i w:val="0"/>
          <w:noProof/>
          <w:sz w:val="18"/>
        </w:rPr>
        <w:fldChar w:fldCharType="begin"/>
      </w:r>
      <w:r w:rsidRPr="00EF788F">
        <w:rPr>
          <w:i w:val="0"/>
          <w:noProof/>
          <w:sz w:val="18"/>
        </w:rPr>
        <w:instrText xml:space="preserve"> PAGEREF _Toc84835155 \h </w:instrText>
      </w:r>
      <w:r w:rsidRPr="00EF788F">
        <w:rPr>
          <w:i w:val="0"/>
          <w:noProof/>
          <w:sz w:val="18"/>
        </w:rPr>
      </w:r>
      <w:r w:rsidRPr="00EF788F">
        <w:rPr>
          <w:i w:val="0"/>
          <w:noProof/>
          <w:sz w:val="18"/>
        </w:rPr>
        <w:fldChar w:fldCharType="separate"/>
      </w:r>
      <w:r w:rsidR="009D3244">
        <w:rPr>
          <w:i w:val="0"/>
          <w:noProof/>
          <w:sz w:val="18"/>
        </w:rPr>
        <w:t>9</w:t>
      </w:r>
      <w:r w:rsidRPr="00EF788F">
        <w:rPr>
          <w:i w:val="0"/>
          <w:noProof/>
          <w:sz w:val="18"/>
        </w:rPr>
        <w:fldChar w:fldCharType="end"/>
      </w:r>
    </w:p>
    <w:p w14:paraId="1F7FA837" w14:textId="08AC02FC" w:rsidR="00DA28D8" w:rsidRPr="00EF788F" w:rsidRDefault="00DA28D8">
      <w:pPr>
        <w:pStyle w:val="TOC7"/>
        <w:rPr>
          <w:rFonts w:asciiTheme="minorHAnsi" w:eastAsiaTheme="minorEastAsia" w:hAnsiTheme="minorHAnsi" w:cstheme="minorBidi"/>
          <w:noProof/>
          <w:kern w:val="0"/>
          <w:sz w:val="22"/>
          <w:szCs w:val="22"/>
        </w:rPr>
      </w:pPr>
      <w:r w:rsidRPr="00EF788F">
        <w:rPr>
          <w:noProof/>
        </w:rPr>
        <w:t>Part 5—Medical devices assembled or adapted at point of care</w:t>
      </w:r>
      <w:r w:rsidRPr="00EF788F">
        <w:rPr>
          <w:noProof/>
          <w:sz w:val="18"/>
        </w:rPr>
        <w:tab/>
      </w:r>
      <w:r w:rsidRPr="00EF788F">
        <w:rPr>
          <w:noProof/>
          <w:sz w:val="18"/>
        </w:rPr>
        <w:fldChar w:fldCharType="begin"/>
      </w:r>
      <w:r w:rsidRPr="00EF788F">
        <w:rPr>
          <w:noProof/>
          <w:sz w:val="18"/>
        </w:rPr>
        <w:instrText xml:space="preserve"> PAGEREF _Toc84835158 \h </w:instrText>
      </w:r>
      <w:r w:rsidRPr="00EF788F">
        <w:rPr>
          <w:noProof/>
          <w:sz w:val="18"/>
        </w:rPr>
      </w:r>
      <w:r w:rsidRPr="00EF788F">
        <w:rPr>
          <w:noProof/>
          <w:sz w:val="18"/>
        </w:rPr>
        <w:fldChar w:fldCharType="separate"/>
      </w:r>
      <w:r w:rsidR="009D3244">
        <w:rPr>
          <w:noProof/>
          <w:sz w:val="18"/>
        </w:rPr>
        <w:t>11</w:t>
      </w:r>
      <w:r w:rsidRPr="00EF788F">
        <w:rPr>
          <w:noProof/>
          <w:sz w:val="18"/>
        </w:rPr>
        <w:fldChar w:fldCharType="end"/>
      </w:r>
    </w:p>
    <w:p w14:paraId="7F64F75B" w14:textId="46970DB4" w:rsidR="00DA28D8" w:rsidRPr="00EF788F" w:rsidRDefault="00DA28D8">
      <w:pPr>
        <w:pStyle w:val="TOC9"/>
        <w:rPr>
          <w:rFonts w:asciiTheme="minorHAnsi" w:eastAsiaTheme="minorEastAsia" w:hAnsiTheme="minorHAnsi" w:cstheme="minorBidi"/>
          <w:i w:val="0"/>
          <w:noProof/>
          <w:kern w:val="0"/>
          <w:sz w:val="22"/>
          <w:szCs w:val="22"/>
        </w:rPr>
      </w:pPr>
      <w:r w:rsidRPr="00EF788F">
        <w:rPr>
          <w:noProof/>
        </w:rPr>
        <w:t>Therapeutic Goods (Medical Devices) Regulations 2002</w:t>
      </w:r>
      <w:r w:rsidRPr="00EF788F">
        <w:rPr>
          <w:i w:val="0"/>
          <w:noProof/>
          <w:sz w:val="18"/>
        </w:rPr>
        <w:tab/>
      </w:r>
      <w:r w:rsidRPr="00EF788F">
        <w:rPr>
          <w:i w:val="0"/>
          <w:noProof/>
          <w:sz w:val="18"/>
        </w:rPr>
        <w:fldChar w:fldCharType="begin"/>
      </w:r>
      <w:r w:rsidRPr="00EF788F">
        <w:rPr>
          <w:i w:val="0"/>
          <w:noProof/>
          <w:sz w:val="18"/>
        </w:rPr>
        <w:instrText xml:space="preserve"> PAGEREF _Toc84835159 \h </w:instrText>
      </w:r>
      <w:r w:rsidRPr="00EF788F">
        <w:rPr>
          <w:i w:val="0"/>
          <w:noProof/>
          <w:sz w:val="18"/>
        </w:rPr>
      </w:r>
      <w:r w:rsidRPr="00EF788F">
        <w:rPr>
          <w:i w:val="0"/>
          <w:noProof/>
          <w:sz w:val="18"/>
        </w:rPr>
        <w:fldChar w:fldCharType="separate"/>
      </w:r>
      <w:r w:rsidR="009D3244">
        <w:rPr>
          <w:i w:val="0"/>
          <w:noProof/>
          <w:sz w:val="18"/>
        </w:rPr>
        <w:t>11</w:t>
      </w:r>
      <w:r w:rsidRPr="00EF788F">
        <w:rPr>
          <w:i w:val="0"/>
          <w:noProof/>
          <w:sz w:val="18"/>
        </w:rPr>
        <w:fldChar w:fldCharType="end"/>
      </w:r>
    </w:p>
    <w:p w14:paraId="5F7252CC" w14:textId="04AFF504" w:rsidR="00DA28D8" w:rsidRPr="00EF788F" w:rsidRDefault="00DA28D8">
      <w:pPr>
        <w:pStyle w:val="TOC7"/>
        <w:rPr>
          <w:rFonts w:asciiTheme="minorHAnsi" w:eastAsiaTheme="minorEastAsia" w:hAnsiTheme="minorHAnsi" w:cstheme="minorBidi"/>
          <w:noProof/>
          <w:kern w:val="0"/>
          <w:sz w:val="22"/>
          <w:szCs w:val="22"/>
        </w:rPr>
      </w:pPr>
      <w:r w:rsidRPr="00EF788F">
        <w:rPr>
          <w:noProof/>
        </w:rPr>
        <w:t>Part 6—Patient</w:t>
      </w:r>
      <w:r w:rsidR="00EF788F">
        <w:rPr>
          <w:noProof/>
        </w:rPr>
        <w:noBreakHyphen/>
      </w:r>
      <w:r w:rsidRPr="00EF788F">
        <w:rPr>
          <w:noProof/>
        </w:rPr>
        <w:t>matched medical devices</w:t>
      </w:r>
      <w:r w:rsidRPr="00EF788F">
        <w:rPr>
          <w:noProof/>
          <w:sz w:val="18"/>
        </w:rPr>
        <w:tab/>
      </w:r>
      <w:r w:rsidRPr="00EF788F">
        <w:rPr>
          <w:noProof/>
          <w:sz w:val="18"/>
        </w:rPr>
        <w:fldChar w:fldCharType="begin"/>
      </w:r>
      <w:r w:rsidRPr="00EF788F">
        <w:rPr>
          <w:noProof/>
          <w:sz w:val="18"/>
        </w:rPr>
        <w:instrText xml:space="preserve"> PAGEREF _Toc84835162 \h </w:instrText>
      </w:r>
      <w:r w:rsidRPr="00EF788F">
        <w:rPr>
          <w:noProof/>
          <w:sz w:val="18"/>
        </w:rPr>
      </w:r>
      <w:r w:rsidRPr="00EF788F">
        <w:rPr>
          <w:noProof/>
          <w:sz w:val="18"/>
        </w:rPr>
        <w:fldChar w:fldCharType="separate"/>
      </w:r>
      <w:r w:rsidR="009D3244">
        <w:rPr>
          <w:noProof/>
          <w:sz w:val="18"/>
        </w:rPr>
        <w:t>13</w:t>
      </w:r>
      <w:r w:rsidRPr="00EF788F">
        <w:rPr>
          <w:noProof/>
          <w:sz w:val="18"/>
        </w:rPr>
        <w:fldChar w:fldCharType="end"/>
      </w:r>
    </w:p>
    <w:p w14:paraId="3FDF35F3" w14:textId="4A7D87D0" w:rsidR="00DA28D8" w:rsidRPr="00EF788F" w:rsidRDefault="00DA28D8">
      <w:pPr>
        <w:pStyle w:val="TOC9"/>
        <w:rPr>
          <w:rFonts w:asciiTheme="minorHAnsi" w:eastAsiaTheme="minorEastAsia" w:hAnsiTheme="minorHAnsi" w:cstheme="minorBidi"/>
          <w:i w:val="0"/>
          <w:noProof/>
          <w:kern w:val="0"/>
          <w:sz w:val="22"/>
          <w:szCs w:val="22"/>
        </w:rPr>
      </w:pPr>
      <w:r w:rsidRPr="00EF788F">
        <w:rPr>
          <w:noProof/>
        </w:rPr>
        <w:t>Therapeutic Goods (Medical Devices) Regulations 2002</w:t>
      </w:r>
      <w:r w:rsidRPr="00EF788F">
        <w:rPr>
          <w:i w:val="0"/>
          <w:noProof/>
          <w:sz w:val="18"/>
        </w:rPr>
        <w:tab/>
      </w:r>
      <w:r w:rsidRPr="00EF788F">
        <w:rPr>
          <w:i w:val="0"/>
          <w:noProof/>
          <w:sz w:val="18"/>
        </w:rPr>
        <w:fldChar w:fldCharType="begin"/>
      </w:r>
      <w:r w:rsidRPr="00EF788F">
        <w:rPr>
          <w:i w:val="0"/>
          <w:noProof/>
          <w:sz w:val="18"/>
        </w:rPr>
        <w:instrText xml:space="preserve"> PAGEREF _Toc84835163 \h </w:instrText>
      </w:r>
      <w:r w:rsidRPr="00EF788F">
        <w:rPr>
          <w:i w:val="0"/>
          <w:noProof/>
          <w:sz w:val="18"/>
        </w:rPr>
      </w:r>
      <w:r w:rsidRPr="00EF788F">
        <w:rPr>
          <w:i w:val="0"/>
          <w:noProof/>
          <w:sz w:val="18"/>
        </w:rPr>
        <w:fldChar w:fldCharType="separate"/>
      </w:r>
      <w:r w:rsidR="009D3244">
        <w:rPr>
          <w:i w:val="0"/>
          <w:noProof/>
          <w:sz w:val="18"/>
        </w:rPr>
        <w:t>13</w:t>
      </w:r>
      <w:r w:rsidRPr="00EF788F">
        <w:rPr>
          <w:i w:val="0"/>
          <w:noProof/>
          <w:sz w:val="18"/>
        </w:rPr>
        <w:fldChar w:fldCharType="end"/>
      </w:r>
    </w:p>
    <w:p w14:paraId="71257CF2" w14:textId="64A4D601" w:rsidR="00DA28D8" w:rsidRPr="00EF788F" w:rsidRDefault="00DA28D8">
      <w:pPr>
        <w:pStyle w:val="TOC7"/>
        <w:rPr>
          <w:rFonts w:asciiTheme="minorHAnsi" w:eastAsiaTheme="minorEastAsia" w:hAnsiTheme="minorHAnsi" w:cstheme="minorBidi"/>
          <w:noProof/>
          <w:kern w:val="0"/>
          <w:sz w:val="22"/>
          <w:szCs w:val="22"/>
        </w:rPr>
      </w:pPr>
      <w:r w:rsidRPr="00EF788F">
        <w:rPr>
          <w:noProof/>
        </w:rPr>
        <w:t>Part 7—Surgical loan kits</w:t>
      </w:r>
      <w:r w:rsidRPr="00EF788F">
        <w:rPr>
          <w:noProof/>
          <w:sz w:val="18"/>
        </w:rPr>
        <w:tab/>
      </w:r>
      <w:r w:rsidRPr="00EF788F">
        <w:rPr>
          <w:noProof/>
          <w:sz w:val="18"/>
        </w:rPr>
        <w:fldChar w:fldCharType="begin"/>
      </w:r>
      <w:r w:rsidRPr="00EF788F">
        <w:rPr>
          <w:noProof/>
          <w:sz w:val="18"/>
        </w:rPr>
        <w:instrText xml:space="preserve"> PAGEREF _Toc84835164 \h </w:instrText>
      </w:r>
      <w:r w:rsidRPr="00EF788F">
        <w:rPr>
          <w:noProof/>
          <w:sz w:val="18"/>
        </w:rPr>
      </w:r>
      <w:r w:rsidRPr="00EF788F">
        <w:rPr>
          <w:noProof/>
          <w:sz w:val="18"/>
        </w:rPr>
        <w:fldChar w:fldCharType="separate"/>
      </w:r>
      <w:r w:rsidR="009D3244">
        <w:rPr>
          <w:noProof/>
          <w:sz w:val="18"/>
        </w:rPr>
        <w:t>14</w:t>
      </w:r>
      <w:r w:rsidRPr="00EF788F">
        <w:rPr>
          <w:noProof/>
          <w:sz w:val="18"/>
        </w:rPr>
        <w:fldChar w:fldCharType="end"/>
      </w:r>
    </w:p>
    <w:p w14:paraId="46374FAB" w14:textId="3E9F1DE8" w:rsidR="00DA28D8" w:rsidRPr="00EF788F" w:rsidRDefault="00DA28D8">
      <w:pPr>
        <w:pStyle w:val="TOC9"/>
        <w:rPr>
          <w:rFonts w:asciiTheme="minorHAnsi" w:eastAsiaTheme="minorEastAsia" w:hAnsiTheme="minorHAnsi" w:cstheme="minorBidi"/>
          <w:i w:val="0"/>
          <w:noProof/>
          <w:kern w:val="0"/>
          <w:sz w:val="22"/>
          <w:szCs w:val="22"/>
        </w:rPr>
      </w:pPr>
      <w:r w:rsidRPr="00EF788F">
        <w:rPr>
          <w:noProof/>
        </w:rPr>
        <w:t>Therapeutic Goods (Medical Devices) Regulations 2002</w:t>
      </w:r>
      <w:r w:rsidRPr="00EF788F">
        <w:rPr>
          <w:i w:val="0"/>
          <w:noProof/>
          <w:sz w:val="18"/>
        </w:rPr>
        <w:tab/>
      </w:r>
      <w:r w:rsidRPr="00EF788F">
        <w:rPr>
          <w:i w:val="0"/>
          <w:noProof/>
          <w:sz w:val="18"/>
        </w:rPr>
        <w:fldChar w:fldCharType="begin"/>
      </w:r>
      <w:r w:rsidRPr="00EF788F">
        <w:rPr>
          <w:i w:val="0"/>
          <w:noProof/>
          <w:sz w:val="18"/>
        </w:rPr>
        <w:instrText xml:space="preserve"> PAGEREF _Toc84835165 \h </w:instrText>
      </w:r>
      <w:r w:rsidRPr="00EF788F">
        <w:rPr>
          <w:i w:val="0"/>
          <w:noProof/>
          <w:sz w:val="18"/>
        </w:rPr>
      </w:r>
      <w:r w:rsidRPr="00EF788F">
        <w:rPr>
          <w:i w:val="0"/>
          <w:noProof/>
          <w:sz w:val="18"/>
        </w:rPr>
        <w:fldChar w:fldCharType="separate"/>
      </w:r>
      <w:r w:rsidR="009D3244">
        <w:rPr>
          <w:i w:val="0"/>
          <w:noProof/>
          <w:sz w:val="18"/>
        </w:rPr>
        <w:t>14</w:t>
      </w:r>
      <w:r w:rsidRPr="00EF788F">
        <w:rPr>
          <w:i w:val="0"/>
          <w:noProof/>
          <w:sz w:val="18"/>
        </w:rPr>
        <w:fldChar w:fldCharType="end"/>
      </w:r>
    </w:p>
    <w:p w14:paraId="52F8216C" w14:textId="53DAD9EA" w:rsidR="00DA28D8" w:rsidRPr="00EF788F" w:rsidRDefault="00DA28D8">
      <w:pPr>
        <w:pStyle w:val="TOC7"/>
        <w:rPr>
          <w:rFonts w:asciiTheme="minorHAnsi" w:eastAsiaTheme="minorEastAsia" w:hAnsiTheme="minorHAnsi" w:cstheme="minorBidi"/>
          <w:noProof/>
          <w:kern w:val="0"/>
          <w:sz w:val="22"/>
          <w:szCs w:val="22"/>
        </w:rPr>
      </w:pPr>
      <w:r w:rsidRPr="00EF788F">
        <w:rPr>
          <w:noProof/>
        </w:rPr>
        <w:t>Part 8—Nicotine vaping products</w:t>
      </w:r>
      <w:r w:rsidRPr="00EF788F">
        <w:rPr>
          <w:noProof/>
          <w:sz w:val="18"/>
        </w:rPr>
        <w:tab/>
      </w:r>
      <w:r w:rsidRPr="00EF788F">
        <w:rPr>
          <w:noProof/>
          <w:sz w:val="18"/>
        </w:rPr>
        <w:fldChar w:fldCharType="begin"/>
      </w:r>
      <w:r w:rsidRPr="00EF788F">
        <w:rPr>
          <w:noProof/>
          <w:sz w:val="18"/>
        </w:rPr>
        <w:instrText xml:space="preserve"> PAGEREF _Toc84835166 \h </w:instrText>
      </w:r>
      <w:r w:rsidRPr="00EF788F">
        <w:rPr>
          <w:noProof/>
          <w:sz w:val="18"/>
        </w:rPr>
      </w:r>
      <w:r w:rsidRPr="00EF788F">
        <w:rPr>
          <w:noProof/>
          <w:sz w:val="18"/>
        </w:rPr>
        <w:fldChar w:fldCharType="separate"/>
      </w:r>
      <w:r w:rsidR="009D3244">
        <w:rPr>
          <w:noProof/>
          <w:sz w:val="18"/>
        </w:rPr>
        <w:t>16</w:t>
      </w:r>
      <w:r w:rsidRPr="00EF788F">
        <w:rPr>
          <w:noProof/>
          <w:sz w:val="18"/>
        </w:rPr>
        <w:fldChar w:fldCharType="end"/>
      </w:r>
    </w:p>
    <w:p w14:paraId="1426FEF5" w14:textId="6A3DA3C6" w:rsidR="00DA28D8" w:rsidRPr="00EF788F" w:rsidRDefault="00DA28D8">
      <w:pPr>
        <w:pStyle w:val="TOC9"/>
        <w:rPr>
          <w:rFonts w:asciiTheme="minorHAnsi" w:eastAsiaTheme="minorEastAsia" w:hAnsiTheme="minorHAnsi" w:cstheme="minorBidi"/>
          <w:i w:val="0"/>
          <w:noProof/>
          <w:kern w:val="0"/>
          <w:sz w:val="22"/>
          <w:szCs w:val="22"/>
        </w:rPr>
      </w:pPr>
      <w:r w:rsidRPr="00EF788F">
        <w:rPr>
          <w:noProof/>
        </w:rPr>
        <w:t>Therapeutic Goods (Medical Devices) Regulations 2002</w:t>
      </w:r>
      <w:r w:rsidRPr="00EF788F">
        <w:rPr>
          <w:i w:val="0"/>
          <w:noProof/>
          <w:sz w:val="18"/>
        </w:rPr>
        <w:tab/>
      </w:r>
      <w:r w:rsidRPr="00EF788F">
        <w:rPr>
          <w:i w:val="0"/>
          <w:noProof/>
          <w:sz w:val="18"/>
        </w:rPr>
        <w:fldChar w:fldCharType="begin"/>
      </w:r>
      <w:r w:rsidRPr="00EF788F">
        <w:rPr>
          <w:i w:val="0"/>
          <w:noProof/>
          <w:sz w:val="18"/>
        </w:rPr>
        <w:instrText xml:space="preserve"> PAGEREF _Toc84835167 \h </w:instrText>
      </w:r>
      <w:r w:rsidRPr="00EF788F">
        <w:rPr>
          <w:i w:val="0"/>
          <w:noProof/>
          <w:sz w:val="18"/>
        </w:rPr>
      </w:r>
      <w:r w:rsidRPr="00EF788F">
        <w:rPr>
          <w:i w:val="0"/>
          <w:noProof/>
          <w:sz w:val="18"/>
        </w:rPr>
        <w:fldChar w:fldCharType="separate"/>
      </w:r>
      <w:r w:rsidR="009D3244">
        <w:rPr>
          <w:i w:val="0"/>
          <w:noProof/>
          <w:sz w:val="18"/>
        </w:rPr>
        <w:t>16</w:t>
      </w:r>
      <w:r w:rsidRPr="00EF788F">
        <w:rPr>
          <w:i w:val="0"/>
          <w:noProof/>
          <w:sz w:val="18"/>
        </w:rPr>
        <w:fldChar w:fldCharType="end"/>
      </w:r>
    </w:p>
    <w:p w14:paraId="370FC4DC" w14:textId="578024E7" w:rsidR="00DA28D8" w:rsidRPr="00EF788F" w:rsidRDefault="00DA28D8">
      <w:pPr>
        <w:pStyle w:val="TOC9"/>
        <w:rPr>
          <w:rFonts w:asciiTheme="minorHAnsi" w:eastAsiaTheme="minorEastAsia" w:hAnsiTheme="minorHAnsi" w:cstheme="minorBidi"/>
          <w:i w:val="0"/>
          <w:noProof/>
          <w:kern w:val="0"/>
          <w:sz w:val="22"/>
          <w:szCs w:val="22"/>
        </w:rPr>
      </w:pPr>
      <w:r w:rsidRPr="00EF788F">
        <w:rPr>
          <w:noProof/>
        </w:rPr>
        <w:t>Therapeutic Goods Regulations 1990</w:t>
      </w:r>
      <w:r w:rsidRPr="00EF788F">
        <w:rPr>
          <w:i w:val="0"/>
          <w:noProof/>
          <w:sz w:val="18"/>
        </w:rPr>
        <w:tab/>
      </w:r>
      <w:r w:rsidRPr="00EF788F">
        <w:rPr>
          <w:i w:val="0"/>
          <w:noProof/>
          <w:sz w:val="18"/>
        </w:rPr>
        <w:fldChar w:fldCharType="begin"/>
      </w:r>
      <w:r w:rsidRPr="00EF788F">
        <w:rPr>
          <w:i w:val="0"/>
          <w:noProof/>
          <w:sz w:val="18"/>
        </w:rPr>
        <w:instrText xml:space="preserve"> PAGEREF _Toc84835168 \h </w:instrText>
      </w:r>
      <w:r w:rsidRPr="00EF788F">
        <w:rPr>
          <w:i w:val="0"/>
          <w:noProof/>
          <w:sz w:val="18"/>
        </w:rPr>
      </w:r>
      <w:r w:rsidRPr="00EF788F">
        <w:rPr>
          <w:i w:val="0"/>
          <w:noProof/>
          <w:sz w:val="18"/>
        </w:rPr>
        <w:fldChar w:fldCharType="separate"/>
      </w:r>
      <w:r w:rsidR="009D3244">
        <w:rPr>
          <w:i w:val="0"/>
          <w:noProof/>
          <w:sz w:val="18"/>
        </w:rPr>
        <w:t>16</w:t>
      </w:r>
      <w:r w:rsidRPr="00EF788F">
        <w:rPr>
          <w:i w:val="0"/>
          <w:noProof/>
          <w:sz w:val="18"/>
        </w:rPr>
        <w:fldChar w:fldCharType="end"/>
      </w:r>
    </w:p>
    <w:p w14:paraId="73000D2D" w14:textId="3278D52F" w:rsidR="00DA28D8" w:rsidRPr="00EF788F" w:rsidRDefault="00DA28D8">
      <w:pPr>
        <w:pStyle w:val="TOC7"/>
        <w:rPr>
          <w:rFonts w:asciiTheme="minorHAnsi" w:eastAsiaTheme="minorEastAsia" w:hAnsiTheme="minorHAnsi" w:cstheme="minorBidi"/>
          <w:noProof/>
          <w:kern w:val="0"/>
          <w:sz w:val="22"/>
          <w:szCs w:val="22"/>
        </w:rPr>
      </w:pPr>
      <w:r w:rsidRPr="00EF788F">
        <w:rPr>
          <w:noProof/>
        </w:rPr>
        <w:t>Part 9—Access to medicines in emergency situations</w:t>
      </w:r>
      <w:r w:rsidRPr="00EF788F">
        <w:rPr>
          <w:noProof/>
          <w:sz w:val="18"/>
        </w:rPr>
        <w:tab/>
      </w:r>
      <w:r w:rsidRPr="00EF788F">
        <w:rPr>
          <w:noProof/>
          <w:sz w:val="18"/>
        </w:rPr>
        <w:fldChar w:fldCharType="begin"/>
      </w:r>
      <w:r w:rsidRPr="00EF788F">
        <w:rPr>
          <w:noProof/>
          <w:sz w:val="18"/>
        </w:rPr>
        <w:instrText xml:space="preserve"> PAGEREF _Toc84835169 \h </w:instrText>
      </w:r>
      <w:r w:rsidRPr="00EF788F">
        <w:rPr>
          <w:noProof/>
          <w:sz w:val="18"/>
        </w:rPr>
      </w:r>
      <w:r w:rsidRPr="00EF788F">
        <w:rPr>
          <w:noProof/>
          <w:sz w:val="18"/>
        </w:rPr>
        <w:fldChar w:fldCharType="separate"/>
      </w:r>
      <w:r w:rsidR="009D3244">
        <w:rPr>
          <w:noProof/>
          <w:sz w:val="18"/>
        </w:rPr>
        <w:t>17</w:t>
      </w:r>
      <w:r w:rsidRPr="00EF788F">
        <w:rPr>
          <w:noProof/>
          <w:sz w:val="18"/>
        </w:rPr>
        <w:fldChar w:fldCharType="end"/>
      </w:r>
    </w:p>
    <w:p w14:paraId="64066EB5" w14:textId="22DB5C4A" w:rsidR="00DA28D8" w:rsidRPr="00EF788F" w:rsidRDefault="00DA28D8">
      <w:pPr>
        <w:pStyle w:val="TOC9"/>
        <w:rPr>
          <w:rFonts w:asciiTheme="minorHAnsi" w:eastAsiaTheme="minorEastAsia" w:hAnsiTheme="minorHAnsi" w:cstheme="minorBidi"/>
          <w:i w:val="0"/>
          <w:noProof/>
          <w:kern w:val="0"/>
          <w:sz w:val="22"/>
          <w:szCs w:val="22"/>
        </w:rPr>
      </w:pPr>
      <w:r w:rsidRPr="00EF788F">
        <w:rPr>
          <w:noProof/>
        </w:rPr>
        <w:t>Therapeutic Goods Regulations 1990</w:t>
      </w:r>
      <w:r w:rsidRPr="00EF788F">
        <w:rPr>
          <w:i w:val="0"/>
          <w:noProof/>
          <w:sz w:val="18"/>
        </w:rPr>
        <w:tab/>
      </w:r>
      <w:r w:rsidRPr="00EF788F">
        <w:rPr>
          <w:i w:val="0"/>
          <w:noProof/>
          <w:sz w:val="18"/>
        </w:rPr>
        <w:fldChar w:fldCharType="begin"/>
      </w:r>
      <w:r w:rsidRPr="00EF788F">
        <w:rPr>
          <w:i w:val="0"/>
          <w:noProof/>
          <w:sz w:val="18"/>
        </w:rPr>
        <w:instrText xml:space="preserve"> PAGEREF _Toc84835170 \h </w:instrText>
      </w:r>
      <w:r w:rsidRPr="00EF788F">
        <w:rPr>
          <w:i w:val="0"/>
          <w:noProof/>
          <w:sz w:val="18"/>
        </w:rPr>
      </w:r>
      <w:r w:rsidRPr="00EF788F">
        <w:rPr>
          <w:i w:val="0"/>
          <w:noProof/>
          <w:sz w:val="18"/>
        </w:rPr>
        <w:fldChar w:fldCharType="separate"/>
      </w:r>
      <w:r w:rsidR="009D3244">
        <w:rPr>
          <w:i w:val="0"/>
          <w:noProof/>
          <w:sz w:val="18"/>
        </w:rPr>
        <w:t>17</w:t>
      </w:r>
      <w:r w:rsidRPr="00EF788F">
        <w:rPr>
          <w:i w:val="0"/>
          <w:noProof/>
          <w:sz w:val="18"/>
        </w:rPr>
        <w:fldChar w:fldCharType="end"/>
      </w:r>
    </w:p>
    <w:p w14:paraId="65D1FD3A" w14:textId="74040980" w:rsidR="00DA28D8" w:rsidRPr="00EF788F" w:rsidRDefault="00DA28D8">
      <w:pPr>
        <w:pStyle w:val="TOC7"/>
        <w:rPr>
          <w:rFonts w:asciiTheme="minorHAnsi" w:eastAsiaTheme="minorEastAsia" w:hAnsiTheme="minorHAnsi" w:cstheme="minorBidi"/>
          <w:noProof/>
          <w:kern w:val="0"/>
          <w:sz w:val="22"/>
          <w:szCs w:val="22"/>
        </w:rPr>
      </w:pPr>
      <w:r w:rsidRPr="00EF788F">
        <w:rPr>
          <w:noProof/>
        </w:rPr>
        <w:t>Part 10—Consumer medicine information documents</w:t>
      </w:r>
      <w:r w:rsidRPr="00EF788F">
        <w:rPr>
          <w:noProof/>
          <w:sz w:val="18"/>
        </w:rPr>
        <w:tab/>
      </w:r>
      <w:r w:rsidRPr="00EF788F">
        <w:rPr>
          <w:noProof/>
          <w:sz w:val="18"/>
        </w:rPr>
        <w:fldChar w:fldCharType="begin"/>
      </w:r>
      <w:r w:rsidRPr="00EF788F">
        <w:rPr>
          <w:noProof/>
          <w:sz w:val="18"/>
        </w:rPr>
        <w:instrText xml:space="preserve"> PAGEREF _Toc84835171 \h </w:instrText>
      </w:r>
      <w:r w:rsidRPr="00EF788F">
        <w:rPr>
          <w:noProof/>
          <w:sz w:val="18"/>
        </w:rPr>
      </w:r>
      <w:r w:rsidRPr="00EF788F">
        <w:rPr>
          <w:noProof/>
          <w:sz w:val="18"/>
        </w:rPr>
        <w:fldChar w:fldCharType="separate"/>
      </w:r>
      <w:r w:rsidR="009D3244">
        <w:rPr>
          <w:noProof/>
          <w:sz w:val="18"/>
        </w:rPr>
        <w:t>18</w:t>
      </w:r>
      <w:r w:rsidRPr="00EF788F">
        <w:rPr>
          <w:noProof/>
          <w:sz w:val="18"/>
        </w:rPr>
        <w:fldChar w:fldCharType="end"/>
      </w:r>
    </w:p>
    <w:p w14:paraId="43EC945A" w14:textId="025D7618" w:rsidR="00DA28D8" w:rsidRPr="00EF788F" w:rsidRDefault="00DA28D8">
      <w:pPr>
        <w:pStyle w:val="TOC9"/>
        <w:rPr>
          <w:rFonts w:asciiTheme="minorHAnsi" w:eastAsiaTheme="minorEastAsia" w:hAnsiTheme="minorHAnsi" w:cstheme="minorBidi"/>
          <w:i w:val="0"/>
          <w:noProof/>
          <w:kern w:val="0"/>
          <w:sz w:val="22"/>
          <w:szCs w:val="22"/>
        </w:rPr>
      </w:pPr>
      <w:r w:rsidRPr="00EF788F">
        <w:rPr>
          <w:noProof/>
        </w:rPr>
        <w:t>Therapeutic Goods Regulations 1990</w:t>
      </w:r>
      <w:r w:rsidRPr="00EF788F">
        <w:rPr>
          <w:i w:val="0"/>
          <w:noProof/>
          <w:sz w:val="18"/>
        </w:rPr>
        <w:tab/>
      </w:r>
      <w:r w:rsidRPr="00EF788F">
        <w:rPr>
          <w:i w:val="0"/>
          <w:noProof/>
          <w:sz w:val="18"/>
        </w:rPr>
        <w:fldChar w:fldCharType="begin"/>
      </w:r>
      <w:r w:rsidRPr="00EF788F">
        <w:rPr>
          <w:i w:val="0"/>
          <w:noProof/>
          <w:sz w:val="18"/>
        </w:rPr>
        <w:instrText xml:space="preserve"> PAGEREF _Toc84835172 \h </w:instrText>
      </w:r>
      <w:r w:rsidRPr="00EF788F">
        <w:rPr>
          <w:i w:val="0"/>
          <w:noProof/>
          <w:sz w:val="18"/>
        </w:rPr>
      </w:r>
      <w:r w:rsidRPr="00EF788F">
        <w:rPr>
          <w:i w:val="0"/>
          <w:noProof/>
          <w:sz w:val="18"/>
        </w:rPr>
        <w:fldChar w:fldCharType="separate"/>
      </w:r>
      <w:r w:rsidR="009D3244">
        <w:rPr>
          <w:i w:val="0"/>
          <w:noProof/>
          <w:sz w:val="18"/>
        </w:rPr>
        <w:t>18</w:t>
      </w:r>
      <w:r w:rsidRPr="00EF788F">
        <w:rPr>
          <w:i w:val="0"/>
          <w:noProof/>
          <w:sz w:val="18"/>
        </w:rPr>
        <w:fldChar w:fldCharType="end"/>
      </w:r>
    </w:p>
    <w:p w14:paraId="66042B51" w14:textId="40F86FA4" w:rsidR="00DA28D8" w:rsidRPr="00EF788F" w:rsidRDefault="00DA28D8">
      <w:pPr>
        <w:pStyle w:val="TOC7"/>
        <w:rPr>
          <w:rFonts w:asciiTheme="minorHAnsi" w:eastAsiaTheme="minorEastAsia" w:hAnsiTheme="minorHAnsi" w:cstheme="minorBidi"/>
          <w:noProof/>
          <w:kern w:val="0"/>
          <w:sz w:val="22"/>
          <w:szCs w:val="22"/>
        </w:rPr>
      </w:pPr>
      <w:r w:rsidRPr="00EF788F">
        <w:rPr>
          <w:noProof/>
        </w:rPr>
        <w:t>Part 11—Other amendments</w:t>
      </w:r>
      <w:r w:rsidRPr="00EF788F">
        <w:rPr>
          <w:noProof/>
          <w:sz w:val="18"/>
        </w:rPr>
        <w:tab/>
      </w:r>
      <w:r w:rsidRPr="00EF788F">
        <w:rPr>
          <w:noProof/>
          <w:sz w:val="18"/>
        </w:rPr>
        <w:fldChar w:fldCharType="begin"/>
      </w:r>
      <w:r w:rsidRPr="00EF788F">
        <w:rPr>
          <w:noProof/>
          <w:sz w:val="18"/>
        </w:rPr>
        <w:instrText xml:space="preserve"> PAGEREF _Toc84835173 \h </w:instrText>
      </w:r>
      <w:r w:rsidRPr="00EF788F">
        <w:rPr>
          <w:noProof/>
          <w:sz w:val="18"/>
        </w:rPr>
      </w:r>
      <w:r w:rsidRPr="00EF788F">
        <w:rPr>
          <w:noProof/>
          <w:sz w:val="18"/>
        </w:rPr>
        <w:fldChar w:fldCharType="separate"/>
      </w:r>
      <w:r w:rsidR="009D3244">
        <w:rPr>
          <w:noProof/>
          <w:sz w:val="18"/>
        </w:rPr>
        <w:t>19</w:t>
      </w:r>
      <w:r w:rsidRPr="00EF788F">
        <w:rPr>
          <w:noProof/>
          <w:sz w:val="18"/>
        </w:rPr>
        <w:fldChar w:fldCharType="end"/>
      </w:r>
    </w:p>
    <w:p w14:paraId="48FEAE79" w14:textId="4286EA52" w:rsidR="00DA28D8" w:rsidRPr="00EF788F" w:rsidRDefault="00DA28D8">
      <w:pPr>
        <w:pStyle w:val="TOC9"/>
        <w:rPr>
          <w:rFonts w:asciiTheme="minorHAnsi" w:eastAsiaTheme="minorEastAsia" w:hAnsiTheme="minorHAnsi" w:cstheme="minorBidi"/>
          <w:i w:val="0"/>
          <w:noProof/>
          <w:kern w:val="0"/>
          <w:sz w:val="22"/>
          <w:szCs w:val="22"/>
        </w:rPr>
      </w:pPr>
      <w:r w:rsidRPr="00EF788F">
        <w:rPr>
          <w:noProof/>
        </w:rPr>
        <w:t>Therapeutic Goods (Medical Devices) Regulations 2002</w:t>
      </w:r>
      <w:r w:rsidRPr="00EF788F">
        <w:rPr>
          <w:i w:val="0"/>
          <w:noProof/>
          <w:sz w:val="18"/>
        </w:rPr>
        <w:tab/>
      </w:r>
      <w:r w:rsidRPr="00EF788F">
        <w:rPr>
          <w:i w:val="0"/>
          <w:noProof/>
          <w:sz w:val="18"/>
        </w:rPr>
        <w:fldChar w:fldCharType="begin"/>
      </w:r>
      <w:r w:rsidRPr="00EF788F">
        <w:rPr>
          <w:i w:val="0"/>
          <w:noProof/>
          <w:sz w:val="18"/>
        </w:rPr>
        <w:instrText xml:space="preserve"> PAGEREF _Toc84835174 \h </w:instrText>
      </w:r>
      <w:r w:rsidRPr="00EF788F">
        <w:rPr>
          <w:i w:val="0"/>
          <w:noProof/>
          <w:sz w:val="18"/>
        </w:rPr>
      </w:r>
      <w:r w:rsidRPr="00EF788F">
        <w:rPr>
          <w:i w:val="0"/>
          <w:noProof/>
          <w:sz w:val="18"/>
        </w:rPr>
        <w:fldChar w:fldCharType="separate"/>
      </w:r>
      <w:r w:rsidR="009D3244">
        <w:rPr>
          <w:i w:val="0"/>
          <w:noProof/>
          <w:sz w:val="18"/>
        </w:rPr>
        <w:t>19</w:t>
      </w:r>
      <w:r w:rsidRPr="00EF788F">
        <w:rPr>
          <w:i w:val="0"/>
          <w:noProof/>
          <w:sz w:val="18"/>
        </w:rPr>
        <w:fldChar w:fldCharType="end"/>
      </w:r>
    </w:p>
    <w:p w14:paraId="6D782EF2" w14:textId="1BB25CF4" w:rsidR="00DA28D8" w:rsidRPr="00EF788F" w:rsidRDefault="00DA28D8">
      <w:pPr>
        <w:pStyle w:val="TOC9"/>
        <w:rPr>
          <w:rFonts w:asciiTheme="minorHAnsi" w:eastAsiaTheme="minorEastAsia" w:hAnsiTheme="minorHAnsi" w:cstheme="minorBidi"/>
          <w:i w:val="0"/>
          <w:noProof/>
          <w:kern w:val="0"/>
          <w:sz w:val="22"/>
          <w:szCs w:val="22"/>
        </w:rPr>
      </w:pPr>
      <w:r w:rsidRPr="00EF788F">
        <w:rPr>
          <w:noProof/>
        </w:rPr>
        <w:t>Therapeutic Goods Regulations 1990</w:t>
      </w:r>
      <w:r w:rsidRPr="00EF788F">
        <w:rPr>
          <w:i w:val="0"/>
          <w:noProof/>
          <w:sz w:val="18"/>
        </w:rPr>
        <w:tab/>
      </w:r>
      <w:r w:rsidRPr="00EF788F">
        <w:rPr>
          <w:i w:val="0"/>
          <w:noProof/>
          <w:sz w:val="18"/>
        </w:rPr>
        <w:fldChar w:fldCharType="begin"/>
      </w:r>
      <w:r w:rsidRPr="00EF788F">
        <w:rPr>
          <w:i w:val="0"/>
          <w:noProof/>
          <w:sz w:val="18"/>
        </w:rPr>
        <w:instrText xml:space="preserve"> PAGEREF _Toc84835177 \h </w:instrText>
      </w:r>
      <w:r w:rsidRPr="00EF788F">
        <w:rPr>
          <w:i w:val="0"/>
          <w:noProof/>
          <w:sz w:val="18"/>
        </w:rPr>
      </w:r>
      <w:r w:rsidRPr="00EF788F">
        <w:rPr>
          <w:i w:val="0"/>
          <w:noProof/>
          <w:sz w:val="18"/>
        </w:rPr>
        <w:fldChar w:fldCharType="separate"/>
      </w:r>
      <w:r w:rsidR="009D3244">
        <w:rPr>
          <w:i w:val="0"/>
          <w:noProof/>
          <w:sz w:val="18"/>
        </w:rPr>
        <w:t>21</w:t>
      </w:r>
      <w:r w:rsidRPr="00EF788F">
        <w:rPr>
          <w:i w:val="0"/>
          <w:noProof/>
          <w:sz w:val="18"/>
        </w:rPr>
        <w:fldChar w:fldCharType="end"/>
      </w:r>
    </w:p>
    <w:p w14:paraId="36ADF5B2" w14:textId="61CDC97A" w:rsidR="00DA28D8" w:rsidRPr="00EF788F" w:rsidRDefault="00DA28D8">
      <w:pPr>
        <w:pStyle w:val="TOC7"/>
        <w:rPr>
          <w:rFonts w:asciiTheme="minorHAnsi" w:eastAsiaTheme="minorEastAsia" w:hAnsiTheme="minorHAnsi" w:cstheme="minorBidi"/>
          <w:noProof/>
          <w:kern w:val="0"/>
          <w:sz w:val="22"/>
          <w:szCs w:val="22"/>
        </w:rPr>
      </w:pPr>
      <w:r w:rsidRPr="00EF788F">
        <w:rPr>
          <w:noProof/>
        </w:rPr>
        <w:t>Part 12—Application and transitional provisions</w:t>
      </w:r>
      <w:r w:rsidRPr="00EF788F">
        <w:rPr>
          <w:noProof/>
          <w:sz w:val="18"/>
        </w:rPr>
        <w:tab/>
      </w:r>
      <w:r w:rsidRPr="00EF788F">
        <w:rPr>
          <w:noProof/>
          <w:sz w:val="18"/>
        </w:rPr>
        <w:fldChar w:fldCharType="begin"/>
      </w:r>
      <w:r w:rsidRPr="00EF788F">
        <w:rPr>
          <w:noProof/>
          <w:sz w:val="18"/>
        </w:rPr>
        <w:instrText xml:space="preserve"> PAGEREF _Toc84835178 \h </w:instrText>
      </w:r>
      <w:r w:rsidRPr="00EF788F">
        <w:rPr>
          <w:noProof/>
          <w:sz w:val="18"/>
        </w:rPr>
      </w:r>
      <w:r w:rsidRPr="00EF788F">
        <w:rPr>
          <w:noProof/>
          <w:sz w:val="18"/>
        </w:rPr>
        <w:fldChar w:fldCharType="separate"/>
      </w:r>
      <w:r w:rsidR="009D3244">
        <w:rPr>
          <w:noProof/>
          <w:sz w:val="18"/>
        </w:rPr>
        <w:t>26</w:t>
      </w:r>
      <w:r w:rsidRPr="00EF788F">
        <w:rPr>
          <w:noProof/>
          <w:sz w:val="18"/>
        </w:rPr>
        <w:fldChar w:fldCharType="end"/>
      </w:r>
    </w:p>
    <w:p w14:paraId="4AB78A33" w14:textId="44B39291" w:rsidR="00DA28D8" w:rsidRPr="00EF788F" w:rsidRDefault="00DA28D8">
      <w:pPr>
        <w:pStyle w:val="TOC9"/>
        <w:rPr>
          <w:rFonts w:asciiTheme="minorHAnsi" w:eastAsiaTheme="minorEastAsia" w:hAnsiTheme="minorHAnsi" w:cstheme="minorBidi"/>
          <w:i w:val="0"/>
          <w:noProof/>
          <w:kern w:val="0"/>
          <w:sz w:val="22"/>
          <w:szCs w:val="22"/>
        </w:rPr>
      </w:pPr>
      <w:r w:rsidRPr="00EF788F">
        <w:rPr>
          <w:noProof/>
        </w:rPr>
        <w:t>Therapeutic Goods (Medical Devices) Regulations 2002</w:t>
      </w:r>
      <w:r w:rsidRPr="00EF788F">
        <w:rPr>
          <w:i w:val="0"/>
          <w:noProof/>
          <w:sz w:val="18"/>
        </w:rPr>
        <w:tab/>
      </w:r>
      <w:r w:rsidRPr="00EF788F">
        <w:rPr>
          <w:i w:val="0"/>
          <w:noProof/>
          <w:sz w:val="18"/>
        </w:rPr>
        <w:fldChar w:fldCharType="begin"/>
      </w:r>
      <w:r w:rsidRPr="00EF788F">
        <w:rPr>
          <w:i w:val="0"/>
          <w:noProof/>
          <w:sz w:val="18"/>
        </w:rPr>
        <w:instrText xml:space="preserve"> PAGEREF _Toc84835179 \h </w:instrText>
      </w:r>
      <w:r w:rsidRPr="00EF788F">
        <w:rPr>
          <w:i w:val="0"/>
          <w:noProof/>
          <w:sz w:val="18"/>
        </w:rPr>
      </w:r>
      <w:r w:rsidRPr="00EF788F">
        <w:rPr>
          <w:i w:val="0"/>
          <w:noProof/>
          <w:sz w:val="18"/>
        </w:rPr>
        <w:fldChar w:fldCharType="separate"/>
      </w:r>
      <w:r w:rsidR="009D3244">
        <w:rPr>
          <w:i w:val="0"/>
          <w:noProof/>
          <w:sz w:val="18"/>
        </w:rPr>
        <w:t>26</w:t>
      </w:r>
      <w:r w:rsidRPr="00EF788F">
        <w:rPr>
          <w:i w:val="0"/>
          <w:noProof/>
          <w:sz w:val="18"/>
        </w:rPr>
        <w:fldChar w:fldCharType="end"/>
      </w:r>
    </w:p>
    <w:p w14:paraId="7E3DACE0" w14:textId="07B85EED" w:rsidR="00DA28D8" w:rsidRPr="00EF788F" w:rsidRDefault="00DA28D8">
      <w:pPr>
        <w:pStyle w:val="TOC9"/>
        <w:rPr>
          <w:rFonts w:asciiTheme="minorHAnsi" w:eastAsiaTheme="minorEastAsia" w:hAnsiTheme="minorHAnsi" w:cstheme="minorBidi"/>
          <w:i w:val="0"/>
          <w:noProof/>
          <w:kern w:val="0"/>
          <w:sz w:val="22"/>
          <w:szCs w:val="22"/>
        </w:rPr>
      </w:pPr>
      <w:r w:rsidRPr="00EF788F">
        <w:rPr>
          <w:noProof/>
        </w:rPr>
        <w:t>Therapeutic Goods Regulations 1990</w:t>
      </w:r>
      <w:r w:rsidRPr="00EF788F">
        <w:rPr>
          <w:i w:val="0"/>
          <w:noProof/>
          <w:sz w:val="18"/>
        </w:rPr>
        <w:tab/>
      </w:r>
      <w:r w:rsidRPr="00EF788F">
        <w:rPr>
          <w:i w:val="0"/>
          <w:noProof/>
          <w:sz w:val="18"/>
        </w:rPr>
        <w:fldChar w:fldCharType="begin"/>
      </w:r>
      <w:r w:rsidRPr="00EF788F">
        <w:rPr>
          <w:i w:val="0"/>
          <w:noProof/>
          <w:sz w:val="18"/>
        </w:rPr>
        <w:instrText xml:space="preserve"> PAGEREF _Toc84835189 \h </w:instrText>
      </w:r>
      <w:r w:rsidRPr="00EF788F">
        <w:rPr>
          <w:i w:val="0"/>
          <w:noProof/>
          <w:sz w:val="18"/>
        </w:rPr>
      </w:r>
      <w:r w:rsidRPr="00EF788F">
        <w:rPr>
          <w:i w:val="0"/>
          <w:noProof/>
          <w:sz w:val="18"/>
        </w:rPr>
        <w:fldChar w:fldCharType="separate"/>
      </w:r>
      <w:r w:rsidR="009D3244">
        <w:rPr>
          <w:i w:val="0"/>
          <w:noProof/>
          <w:sz w:val="18"/>
        </w:rPr>
        <w:t>29</w:t>
      </w:r>
      <w:r w:rsidRPr="00EF788F">
        <w:rPr>
          <w:i w:val="0"/>
          <w:noProof/>
          <w:sz w:val="18"/>
        </w:rPr>
        <w:fldChar w:fldCharType="end"/>
      </w:r>
    </w:p>
    <w:p w14:paraId="1F1E123A" w14:textId="77777777" w:rsidR="0048364F" w:rsidRPr="00EF788F" w:rsidRDefault="00DA28D8" w:rsidP="0048364F">
      <w:r w:rsidRPr="00EF788F">
        <w:fldChar w:fldCharType="end"/>
      </w:r>
    </w:p>
    <w:p w14:paraId="5FADF07E" w14:textId="77777777" w:rsidR="0048364F" w:rsidRPr="00EF788F" w:rsidRDefault="0048364F" w:rsidP="0048364F">
      <w:pPr>
        <w:sectPr w:rsidR="0048364F" w:rsidRPr="00EF788F" w:rsidSect="00873404">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2EEFFF2C" w14:textId="77777777" w:rsidR="00F65930" w:rsidRPr="00EF788F" w:rsidRDefault="00F65930" w:rsidP="00F65930">
      <w:pPr>
        <w:pStyle w:val="ActHead5"/>
      </w:pPr>
      <w:bookmarkStart w:id="0" w:name="_Toc84835136"/>
      <w:r w:rsidRPr="00C518BF">
        <w:rPr>
          <w:rStyle w:val="CharSectno"/>
        </w:rPr>
        <w:lastRenderedPageBreak/>
        <w:t>1</w:t>
      </w:r>
      <w:r w:rsidRPr="00EF788F">
        <w:t xml:space="preserve">  Name</w:t>
      </w:r>
      <w:bookmarkEnd w:id="0"/>
    </w:p>
    <w:p w14:paraId="481CF5F4" w14:textId="77777777" w:rsidR="00F65930" w:rsidRPr="00EF788F" w:rsidRDefault="00F65930" w:rsidP="00F65930">
      <w:pPr>
        <w:pStyle w:val="subsection"/>
      </w:pPr>
      <w:r w:rsidRPr="00EF788F">
        <w:tab/>
      </w:r>
      <w:r w:rsidRPr="00EF788F">
        <w:tab/>
        <w:t xml:space="preserve">This instrument is the </w:t>
      </w:r>
      <w:r w:rsidR="002D62DD" w:rsidRPr="00EF788F">
        <w:rPr>
          <w:i/>
          <w:noProof/>
        </w:rPr>
        <w:t>Therapeutic Goods Legislation Amendment (2021 Measures No. 3) Regulations 2021</w:t>
      </w:r>
      <w:r w:rsidRPr="00EF788F">
        <w:t>.</w:t>
      </w:r>
    </w:p>
    <w:p w14:paraId="1A14699C" w14:textId="77777777" w:rsidR="00F65930" w:rsidRPr="00EF788F" w:rsidRDefault="00F65930" w:rsidP="00F65930">
      <w:pPr>
        <w:pStyle w:val="ActHead5"/>
      </w:pPr>
      <w:bookmarkStart w:id="1" w:name="_Toc84835137"/>
      <w:r w:rsidRPr="00C518BF">
        <w:rPr>
          <w:rStyle w:val="CharSectno"/>
        </w:rPr>
        <w:t>2</w:t>
      </w:r>
      <w:r w:rsidRPr="00EF788F">
        <w:t xml:space="preserve">  Commencement</w:t>
      </w:r>
      <w:bookmarkEnd w:id="1"/>
    </w:p>
    <w:p w14:paraId="1C244297" w14:textId="77777777" w:rsidR="00F65930" w:rsidRPr="00EF788F" w:rsidRDefault="00F65930" w:rsidP="00F65930">
      <w:pPr>
        <w:pStyle w:val="subsection"/>
      </w:pPr>
      <w:r w:rsidRPr="00EF788F">
        <w:tab/>
        <w:t>(1)</w:t>
      </w:r>
      <w:r w:rsidRPr="00EF788F">
        <w:tab/>
        <w:t>Each provision of this instrument specified in column 1 of the table commences, or is taken to have commenced, in accordance with column 2 of the table. Any other statement in column 2 has effect according to its terms.</w:t>
      </w:r>
    </w:p>
    <w:p w14:paraId="361B682F" w14:textId="77777777" w:rsidR="00F65930" w:rsidRPr="00EF788F" w:rsidRDefault="00F65930" w:rsidP="00F65930">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65930" w:rsidRPr="00EF788F" w14:paraId="316982E4" w14:textId="77777777" w:rsidTr="008B252A">
        <w:trPr>
          <w:cantSplit/>
          <w:tblHeader/>
        </w:trPr>
        <w:tc>
          <w:tcPr>
            <w:tcW w:w="8364" w:type="dxa"/>
            <w:gridSpan w:val="3"/>
            <w:tcBorders>
              <w:top w:val="single" w:sz="12" w:space="0" w:color="auto"/>
              <w:left w:val="nil"/>
              <w:bottom w:val="single" w:sz="6" w:space="0" w:color="auto"/>
              <w:right w:val="nil"/>
            </w:tcBorders>
            <w:hideMark/>
          </w:tcPr>
          <w:p w14:paraId="547897EF" w14:textId="77777777" w:rsidR="00F65930" w:rsidRPr="00EF788F" w:rsidRDefault="00F65930" w:rsidP="008B252A">
            <w:pPr>
              <w:pStyle w:val="TableHeading"/>
            </w:pPr>
            <w:r w:rsidRPr="00EF788F">
              <w:t>Commencement information</w:t>
            </w:r>
          </w:p>
        </w:tc>
      </w:tr>
      <w:tr w:rsidR="00F65930" w:rsidRPr="00EF788F" w14:paraId="7142B3D5" w14:textId="77777777" w:rsidTr="008B252A">
        <w:trPr>
          <w:cantSplit/>
          <w:tblHeader/>
        </w:trPr>
        <w:tc>
          <w:tcPr>
            <w:tcW w:w="2127" w:type="dxa"/>
            <w:tcBorders>
              <w:top w:val="single" w:sz="6" w:space="0" w:color="auto"/>
              <w:left w:val="nil"/>
              <w:bottom w:val="single" w:sz="6" w:space="0" w:color="auto"/>
              <w:right w:val="nil"/>
            </w:tcBorders>
            <w:hideMark/>
          </w:tcPr>
          <w:p w14:paraId="37CF4137" w14:textId="77777777" w:rsidR="00F65930" w:rsidRPr="00EF788F" w:rsidRDefault="00F65930" w:rsidP="008B252A">
            <w:pPr>
              <w:pStyle w:val="TableHeading"/>
            </w:pPr>
            <w:r w:rsidRPr="00EF788F">
              <w:t>Column 1</w:t>
            </w:r>
          </w:p>
        </w:tc>
        <w:tc>
          <w:tcPr>
            <w:tcW w:w="4394" w:type="dxa"/>
            <w:tcBorders>
              <w:top w:val="single" w:sz="6" w:space="0" w:color="auto"/>
              <w:left w:val="nil"/>
              <w:bottom w:val="single" w:sz="6" w:space="0" w:color="auto"/>
              <w:right w:val="nil"/>
            </w:tcBorders>
            <w:hideMark/>
          </w:tcPr>
          <w:p w14:paraId="2505B366" w14:textId="77777777" w:rsidR="00F65930" w:rsidRPr="00EF788F" w:rsidRDefault="00F65930" w:rsidP="008B252A">
            <w:pPr>
              <w:pStyle w:val="TableHeading"/>
            </w:pPr>
            <w:r w:rsidRPr="00EF788F">
              <w:t>Column 2</w:t>
            </w:r>
          </w:p>
        </w:tc>
        <w:tc>
          <w:tcPr>
            <w:tcW w:w="1843" w:type="dxa"/>
            <w:tcBorders>
              <w:top w:val="single" w:sz="6" w:space="0" w:color="auto"/>
              <w:left w:val="nil"/>
              <w:bottom w:val="single" w:sz="6" w:space="0" w:color="auto"/>
              <w:right w:val="nil"/>
            </w:tcBorders>
            <w:hideMark/>
          </w:tcPr>
          <w:p w14:paraId="66C0106B" w14:textId="77777777" w:rsidR="00F65930" w:rsidRPr="00EF788F" w:rsidRDefault="00F65930" w:rsidP="008B252A">
            <w:pPr>
              <w:pStyle w:val="TableHeading"/>
            </w:pPr>
            <w:r w:rsidRPr="00EF788F">
              <w:t>Column 3</w:t>
            </w:r>
          </w:p>
        </w:tc>
      </w:tr>
      <w:tr w:rsidR="00F65930" w:rsidRPr="00EF788F" w14:paraId="012277B7" w14:textId="77777777" w:rsidTr="008B252A">
        <w:trPr>
          <w:cantSplit/>
          <w:tblHeader/>
        </w:trPr>
        <w:tc>
          <w:tcPr>
            <w:tcW w:w="2127" w:type="dxa"/>
            <w:tcBorders>
              <w:top w:val="single" w:sz="6" w:space="0" w:color="auto"/>
              <w:left w:val="nil"/>
              <w:bottom w:val="single" w:sz="12" w:space="0" w:color="auto"/>
              <w:right w:val="nil"/>
            </w:tcBorders>
            <w:hideMark/>
          </w:tcPr>
          <w:p w14:paraId="26F9DFDA" w14:textId="77777777" w:rsidR="00F65930" w:rsidRPr="00EF788F" w:rsidRDefault="00F65930" w:rsidP="008B252A">
            <w:pPr>
              <w:pStyle w:val="TableHeading"/>
            </w:pPr>
            <w:r w:rsidRPr="00EF788F">
              <w:t>Provisions</w:t>
            </w:r>
          </w:p>
        </w:tc>
        <w:tc>
          <w:tcPr>
            <w:tcW w:w="4394" w:type="dxa"/>
            <w:tcBorders>
              <w:top w:val="single" w:sz="6" w:space="0" w:color="auto"/>
              <w:left w:val="nil"/>
              <w:bottom w:val="single" w:sz="12" w:space="0" w:color="auto"/>
              <w:right w:val="nil"/>
            </w:tcBorders>
            <w:hideMark/>
          </w:tcPr>
          <w:p w14:paraId="5B0D7035" w14:textId="77777777" w:rsidR="00F65930" w:rsidRPr="00EF788F" w:rsidRDefault="00F65930" w:rsidP="008B252A">
            <w:pPr>
              <w:pStyle w:val="TableHeading"/>
            </w:pPr>
            <w:r w:rsidRPr="00EF788F">
              <w:t>Commencement</w:t>
            </w:r>
          </w:p>
        </w:tc>
        <w:tc>
          <w:tcPr>
            <w:tcW w:w="1843" w:type="dxa"/>
            <w:tcBorders>
              <w:top w:val="single" w:sz="6" w:space="0" w:color="auto"/>
              <w:left w:val="nil"/>
              <w:bottom w:val="single" w:sz="12" w:space="0" w:color="auto"/>
              <w:right w:val="nil"/>
            </w:tcBorders>
            <w:hideMark/>
          </w:tcPr>
          <w:p w14:paraId="2D967C12" w14:textId="77777777" w:rsidR="00F65930" w:rsidRPr="00EF788F" w:rsidRDefault="00F65930" w:rsidP="008B252A">
            <w:pPr>
              <w:pStyle w:val="TableHeading"/>
            </w:pPr>
            <w:r w:rsidRPr="00EF788F">
              <w:t>Date/Details</w:t>
            </w:r>
          </w:p>
        </w:tc>
      </w:tr>
      <w:tr w:rsidR="00F65930" w:rsidRPr="00EF788F" w14:paraId="054C2C29" w14:textId="77777777" w:rsidTr="008B252A">
        <w:trPr>
          <w:cantSplit/>
        </w:trPr>
        <w:tc>
          <w:tcPr>
            <w:tcW w:w="2127" w:type="dxa"/>
            <w:tcBorders>
              <w:top w:val="single" w:sz="12" w:space="0" w:color="auto"/>
              <w:left w:val="nil"/>
              <w:bottom w:val="single" w:sz="2" w:space="0" w:color="auto"/>
              <w:right w:val="nil"/>
            </w:tcBorders>
            <w:hideMark/>
          </w:tcPr>
          <w:p w14:paraId="22574B4C" w14:textId="77777777" w:rsidR="00F65930" w:rsidRPr="00EF788F" w:rsidRDefault="00F65930" w:rsidP="008B252A">
            <w:pPr>
              <w:pStyle w:val="Tabletext"/>
            </w:pPr>
            <w:r w:rsidRPr="00EF788F">
              <w:t>1.  Sections 1 to 4 and anything in this instrument not elsewhere covered by this table</w:t>
            </w:r>
          </w:p>
        </w:tc>
        <w:tc>
          <w:tcPr>
            <w:tcW w:w="4394" w:type="dxa"/>
            <w:tcBorders>
              <w:top w:val="single" w:sz="12" w:space="0" w:color="auto"/>
              <w:left w:val="nil"/>
              <w:bottom w:val="single" w:sz="2" w:space="0" w:color="auto"/>
              <w:right w:val="nil"/>
            </w:tcBorders>
            <w:hideMark/>
          </w:tcPr>
          <w:p w14:paraId="09F075B6" w14:textId="77777777" w:rsidR="00F65930" w:rsidRPr="00EF788F" w:rsidRDefault="00F65930" w:rsidP="008B252A">
            <w:pPr>
              <w:pStyle w:val="Tabletext"/>
            </w:pPr>
            <w:r w:rsidRPr="00EF788F">
              <w:t>The day after this instrument is registered.</w:t>
            </w:r>
          </w:p>
        </w:tc>
        <w:tc>
          <w:tcPr>
            <w:tcW w:w="1843" w:type="dxa"/>
            <w:tcBorders>
              <w:top w:val="single" w:sz="12" w:space="0" w:color="auto"/>
              <w:left w:val="nil"/>
              <w:bottom w:val="single" w:sz="2" w:space="0" w:color="auto"/>
              <w:right w:val="nil"/>
            </w:tcBorders>
          </w:tcPr>
          <w:p w14:paraId="68E07096" w14:textId="426252BD" w:rsidR="00F65930" w:rsidRPr="00EF788F" w:rsidRDefault="00D010FB" w:rsidP="008B252A">
            <w:pPr>
              <w:pStyle w:val="Tabletext"/>
            </w:pPr>
            <w:r>
              <w:t>29 October 2021</w:t>
            </w:r>
          </w:p>
        </w:tc>
      </w:tr>
      <w:tr w:rsidR="00DF511B" w:rsidRPr="00EF788F" w14:paraId="3AD757F7" w14:textId="77777777" w:rsidTr="00BA5D88">
        <w:trPr>
          <w:cantSplit/>
        </w:trPr>
        <w:tc>
          <w:tcPr>
            <w:tcW w:w="2127" w:type="dxa"/>
            <w:tcBorders>
              <w:top w:val="single" w:sz="2" w:space="0" w:color="auto"/>
              <w:left w:val="nil"/>
              <w:bottom w:val="single" w:sz="2" w:space="0" w:color="auto"/>
              <w:right w:val="nil"/>
            </w:tcBorders>
          </w:tcPr>
          <w:p w14:paraId="5646CDDA" w14:textId="77777777" w:rsidR="00DF511B" w:rsidRPr="00EF788F" w:rsidRDefault="00DF511B" w:rsidP="00DF511B">
            <w:pPr>
              <w:pStyle w:val="Tabletext"/>
            </w:pPr>
            <w:r w:rsidRPr="00EF788F">
              <w:t xml:space="preserve">2.  </w:t>
            </w:r>
            <w:r w:rsidR="00E30156" w:rsidRPr="00EF788F">
              <w:t>Schedule 1</w:t>
            </w:r>
            <w:r w:rsidR="004B03A5" w:rsidRPr="00EF788F">
              <w:t xml:space="preserve">, </w:t>
            </w:r>
            <w:r w:rsidR="00E30156" w:rsidRPr="00EF788F">
              <w:t>Part 1</w:t>
            </w:r>
          </w:p>
        </w:tc>
        <w:tc>
          <w:tcPr>
            <w:tcW w:w="4394" w:type="dxa"/>
            <w:tcBorders>
              <w:top w:val="single" w:sz="2" w:space="0" w:color="auto"/>
              <w:left w:val="nil"/>
              <w:bottom w:val="single" w:sz="2" w:space="0" w:color="auto"/>
              <w:right w:val="nil"/>
            </w:tcBorders>
          </w:tcPr>
          <w:p w14:paraId="7553FD6F" w14:textId="77777777" w:rsidR="00DF511B" w:rsidRPr="00EF788F" w:rsidRDefault="00DF511B" w:rsidP="00DF511B">
            <w:pPr>
              <w:pStyle w:val="Tabletext"/>
            </w:pPr>
            <w:r w:rsidRPr="00EF788F">
              <w:t>25 November 2021.</w:t>
            </w:r>
          </w:p>
        </w:tc>
        <w:tc>
          <w:tcPr>
            <w:tcW w:w="1843" w:type="dxa"/>
            <w:tcBorders>
              <w:top w:val="single" w:sz="2" w:space="0" w:color="auto"/>
              <w:left w:val="nil"/>
              <w:bottom w:val="single" w:sz="2" w:space="0" w:color="auto"/>
              <w:right w:val="nil"/>
            </w:tcBorders>
          </w:tcPr>
          <w:p w14:paraId="322E71FA" w14:textId="77777777" w:rsidR="00DF511B" w:rsidRPr="00EF788F" w:rsidRDefault="00DF511B" w:rsidP="00DF511B">
            <w:pPr>
              <w:pStyle w:val="Tabletext"/>
            </w:pPr>
            <w:r w:rsidRPr="00EF788F">
              <w:t>25 November 2021</w:t>
            </w:r>
          </w:p>
        </w:tc>
      </w:tr>
      <w:tr w:rsidR="00BA5D88" w:rsidRPr="00EF788F" w14:paraId="3AB9B493" w14:textId="77777777" w:rsidTr="006649EB">
        <w:trPr>
          <w:cantSplit/>
        </w:trPr>
        <w:tc>
          <w:tcPr>
            <w:tcW w:w="2127" w:type="dxa"/>
            <w:tcBorders>
              <w:top w:val="single" w:sz="2" w:space="0" w:color="auto"/>
              <w:left w:val="nil"/>
              <w:bottom w:val="single" w:sz="2" w:space="0" w:color="auto"/>
              <w:right w:val="nil"/>
            </w:tcBorders>
          </w:tcPr>
          <w:p w14:paraId="725677E4" w14:textId="77777777" w:rsidR="00BA5D88" w:rsidRPr="00EF788F" w:rsidRDefault="00BA5D88" w:rsidP="00DF511B">
            <w:pPr>
              <w:pStyle w:val="Tabletext"/>
            </w:pPr>
            <w:r w:rsidRPr="00EF788F">
              <w:t xml:space="preserve">3.  </w:t>
            </w:r>
            <w:r w:rsidR="00E30156" w:rsidRPr="00EF788F">
              <w:t>Schedule 1</w:t>
            </w:r>
            <w:r w:rsidRPr="00EF788F">
              <w:t xml:space="preserve">, </w:t>
            </w:r>
            <w:r w:rsidR="004E5D3A" w:rsidRPr="00EF788F">
              <w:t>Part</w:t>
            </w:r>
            <w:r w:rsidR="00562059" w:rsidRPr="00EF788F">
              <w:t>s</w:t>
            </w:r>
            <w:r w:rsidR="004E5D3A" w:rsidRPr="00EF788F">
              <w:t> 2</w:t>
            </w:r>
            <w:r w:rsidR="00562059" w:rsidRPr="00EF788F">
              <w:t xml:space="preserve"> and 3</w:t>
            </w:r>
          </w:p>
        </w:tc>
        <w:tc>
          <w:tcPr>
            <w:tcW w:w="4394" w:type="dxa"/>
            <w:tcBorders>
              <w:top w:val="single" w:sz="2" w:space="0" w:color="auto"/>
              <w:left w:val="nil"/>
              <w:bottom w:val="single" w:sz="2" w:space="0" w:color="auto"/>
              <w:right w:val="nil"/>
            </w:tcBorders>
          </w:tcPr>
          <w:p w14:paraId="7A426BDF" w14:textId="77777777" w:rsidR="00BA5D88" w:rsidRPr="00EF788F" w:rsidRDefault="00BA5D88" w:rsidP="00DF511B">
            <w:pPr>
              <w:pStyle w:val="Tabletext"/>
            </w:pPr>
            <w:r w:rsidRPr="00EF788F">
              <w:t>The day after this instrument is registered.</w:t>
            </w:r>
          </w:p>
        </w:tc>
        <w:tc>
          <w:tcPr>
            <w:tcW w:w="1843" w:type="dxa"/>
            <w:tcBorders>
              <w:top w:val="single" w:sz="2" w:space="0" w:color="auto"/>
              <w:left w:val="nil"/>
              <w:bottom w:val="single" w:sz="2" w:space="0" w:color="auto"/>
              <w:right w:val="nil"/>
            </w:tcBorders>
          </w:tcPr>
          <w:p w14:paraId="61314890" w14:textId="31A9E602" w:rsidR="00BA5D88" w:rsidRPr="00EF788F" w:rsidRDefault="00D010FB" w:rsidP="00DF511B">
            <w:pPr>
              <w:pStyle w:val="Tabletext"/>
            </w:pPr>
            <w:r>
              <w:t>29 October 2021</w:t>
            </w:r>
          </w:p>
        </w:tc>
      </w:tr>
      <w:tr w:rsidR="006649EB" w:rsidRPr="00EF788F" w14:paraId="40B730DA" w14:textId="77777777" w:rsidTr="006649EB">
        <w:trPr>
          <w:cantSplit/>
        </w:trPr>
        <w:tc>
          <w:tcPr>
            <w:tcW w:w="2127" w:type="dxa"/>
            <w:tcBorders>
              <w:top w:val="single" w:sz="2" w:space="0" w:color="auto"/>
              <w:left w:val="nil"/>
              <w:bottom w:val="single" w:sz="2" w:space="0" w:color="auto"/>
              <w:right w:val="nil"/>
            </w:tcBorders>
          </w:tcPr>
          <w:p w14:paraId="01513356" w14:textId="77777777" w:rsidR="006649EB" w:rsidRPr="00EF788F" w:rsidRDefault="00562059" w:rsidP="006649EB">
            <w:pPr>
              <w:pStyle w:val="Tabletext"/>
            </w:pPr>
            <w:r w:rsidRPr="00EF788F">
              <w:t>4</w:t>
            </w:r>
            <w:r w:rsidR="006649EB" w:rsidRPr="00EF788F">
              <w:t xml:space="preserve">.  </w:t>
            </w:r>
            <w:r w:rsidR="00E30156" w:rsidRPr="00EF788F">
              <w:t>Schedule 1</w:t>
            </w:r>
            <w:r w:rsidR="006649EB" w:rsidRPr="00EF788F">
              <w:t xml:space="preserve">, </w:t>
            </w:r>
            <w:r w:rsidR="00E30156" w:rsidRPr="00EF788F">
              <w:t>Part 4</w:t>
            </w:r>
          </w:p>
        </w:tc>
        <w:tc>
          <w:tcPr>
            <w:tcW w:w="4394" w:type="dxa"/>
            <w:tcBorders>
              <w:top w:val="single" w:sz="2" w:space="0" w:color="auto"/>
              <w:left w:val="nil"/>
              <w:bottom w:val="single" w:sz="2" w:space="0" w:color="auto"/>
              <w:right w:val="nil"/>
            </w:tcBorders>
          </w:tcPr>
          <w:p w14:paraId="232B2C1B" w14:textId="77777777" w:rsidR="006649EB" w:rsidRPr="00EF788F" w:rsidRDefault="006649EB" w:rsidP="006649EB">
            <w:pPr>
              <w:pStyle w:val="Tabletext"/>
            </w:pPr>
            <w:r w:rsidRPr="00EF788F">
              <w:t xml:space="preserve">Immediately after the commencement of </w:t>
            </w:r>
            <w:r w:rsidR="00E30156" w:rsidRPr="00EF788F">
              <w:t>Schedule 1</w:t>
            </w:r>
            <w:r w:rsidRPr="00EF788F">
              <w:t xml:space="preserve"> to the </w:t>
            </w:r>
            <w:r w:rsidR="0050726D" w:rsidRPr="00EF788F">
              <w:rPr>
                <w:i/>
              </w:rPr>
              <w:t xml:space="preserve">Therapeutic Goods Legislation Amendment (2019 Measures No. 1) </w:t>
            </w:r>
            <w:r w:rsidR="00EF1DEF" w:rsidRPr="00EF788F">
              <w:rPr>
                <w:i/>
              </w:rPr>
              <w:t>Regulations 2</w:t>
            </w:r>
            <w:r w:rsidR="0050726D" w:rsidRPr="00EF788F">
              <w:rPr>
                <w:i/>
              </w:rPr>
              <w:t>019</w:t>
            </w:r>
            <w:r w:rsidR="0050726D" w:rsidRPr="00EF788F">
              <w:t>.</w:t>
            </w:r>
          </w:p>
        </w:tc>
        <w:tc>
          <w:tcPr>
            <w:tcW w:w="1843" w:type="dxa"/>
            <w:tcBorders>
              <w:top w:val="single" w:sz="2" w:space="0" w:color="auto"/>
              <w:left w:val="nil"/>
              <w:bottom w:val="single" w:sz="2" w:space="0" w:color="auto"/>
              <w:right w:val="nil"/>
            </w:tcBorders>
          </w:tcPr>
          <w:p w14:paraId="4A47D4B0" w14:textId="77777777" w:rsidR="006649EB" w:rsidRPr="00EF788F" w:rsidRDefault="006649EB" w:rsidP="006649EB">
            <w:pPr>
              <w:pStyle w:val="Tabletext"/>
            </w:pPr>
            <w:r w:rsidRPr="00EF788F">
              <w:t>25 November 2021</w:t>
            </w:r>
          </w:p>
        </w:tc>
      </w:tr>
      <w:tr w:rsidR="00734485" w:rsidRPr="00EF788F" w14:paraId="3E6DD81D" w14:textId="77777777" w:rsidTr="00FB7DB9">
        <w:trPr>
          <w:cantSplit/>
        </w:trPr>
        <w:tc>
          <w:tcPr>
            <w:tcW w:w="2127" w:type="dxa"/>
            <w:tcBorders>
              <w:top w:val="single" w:sz="2" w:space="0" w:color="auto"/>
              <w:left w:val="nil"/>
              <w:bottom w:val="single" w:sz="2" w:space="0" w:color="auto"/>
              <w:right w:val="nil"/>
            </w:tcBorders>
          </w:tcPr>
          <w:p w14:paraId="4ED9F34F" w14:textId="77777777" w:rsidR="00734485" w:rsidRPr="00EF788F" w:rsidRDefault="008E2627" w:rsidP="006649EB">
            <w:pPr>
              <w:pStyle w:val="Tabletext"/>
            </w:pPr>
            <w:r w:rsidRPr="00EF788F">
              <w:t>5</w:t>
            </w:r>
            <w:r w:rsidR="00734485" w:rsidRPr="00EF788F">
              <w:t xml:space="preserve">.  </w:t>
            </w:r>
            <w:r w:rsidR="00E30156" w:rsidRPr="00EF788F">
              <w:t>Schedule 1</w:t>
            </w:r>
            <w:r w:rsidR="00734485" w:rsidRPr="00EF788F">
              <w:t xml:space="preserve">, </w:t>
            </w:r>
            <w:r w:rsidR="000A70DA" w:rsidRPr="00EF788F">
              <w:t>Parts </w:t>
            </w:r>
            <w:r w:rsidRPr="00EF788F">
              <w:t>5</w:t>
            </w:r>
            <w:r w:rsidR="00386E8E" w:rsidRPr="00EF788F">
              <w:t xml:space="preserve"> </w:t>
            </w:r>
            <w:r w:rsidR="00FB7DB9" w:rsidRPr="00EF788F">
              <w:t>and 6</w:t>
            </w:r>
          </w:p>
        </w:tc>
        <w:tc>
          <w:tcPr>
            <w:tcW w:w="4394" w:type="dxa"/>
            <w:tcBorders>
              <w:top w:val="single" w:sz="2" w:space="0" w:color="auto"/>
              <w:left w:val="nil"/>
              <w:bottom w:val="single" w:sz="2" w:space="0" w:color="auto"/>
              <w:right w:val="nil"/>
            </w:tcBorders>
          </w:tcPr>
          <w:p w14:paraId="1A580EEB" w14:textId="77777777" w:rsidR="00734485" w:rsidRPr="00EF788F" w:rsidRDefault="00734485" w:rsidP="006649EB">
            <w:pPr>
              <w:pStyle w:val="Tabletext"/>
            </w:pPr>
            <w:r w:rsidRPr="00EF788F">
              <w:t>The day after this instrument is registered.</w:t>
            </w:r>
          </w:p>
        </w:tc>
        <w:tc>
          <w:tcPr>
            <w:tcW w:w="1843" w:type="dxa"/>
            <w:tcBorders>
              <w:top w:val="single" w:sz="2" w:space="0" w:color="auto"/>
              <w:left w:val="nil"/>
              <w:bottom w:val="single" w:sz="2" w:space="0" w:color="auto"/>
              <w:right w:val="nil"/>
            </w:tcBorders>
          </w:tcPr>
          <w:p w14:paraId="3F411275" w14:textId="73E64401" w:rsidR="00734485" w:rsidRPr="00EF788F" w:rsidRDefault="00D010FB" w:rsidP="006649EB">
            <w:pPr>
              <w:pStyle w:val="Tabletext"/>
            </w:pPr>
            <w:r>
              <w:t>29 October 2021</w:t>
            </w:r>
          </w:p>
        </w:tc>
      </w:tr>
      <w:tr w:rsidR="00FB7DB9" w:rsidRPr="00EF788F" w14:paraId="4B8684EA" w14:textId="77777777" w:rsidTr="00FB7DB9">
        <w:trPr>
          <w:cantSplit/>
        </w:trPr>
        <w:tc>
          <w:tcPr>
            <w:tcW w:w="2127" w:type="dxa"/>
            <w:tcBorders>
              <w:top w:val="single" w:sz="2" w:space="0" w:color="auto"/>
              <w:left w:val="nil"/>
              <w:bottom w:val="single" w:sz="2" w:space="0" w:color="auto"/>
              <w:right w:val="nil"/>
            </w:tcBorders>
          </w:tcPr>
          <w:p w14:paraId="1708A090" w14:textId="77777777" w:rsidR="00FB7DB9" w:rsidRPr="00EF788F" w:rsidRDefault="00FB7DB9" w:rsidP="00FB7DB9">
            <w:pPr>
              <w:pStyle w:val="Tabletext"/>
            </w:pPr>
            <w:r w:rsidRPr="00EF788F">
              <w:t xml:space="preserve">6.  </w:t>
            </w:r>
            <w:r w:rsidR="00E30156" w:rsidRPr="00EF788F">
              <w:t>Schedule 1</w:t>
            </w:r>
            <w:r w:rsidRPr="00EF788F">
              <w:t>, Part 7</w:t>
            </w:r>
          </w:p>
        </w:tc>
        <w:tc>
          <w:tcPr>
            <w:tcW w:w="4394" w:type="dxa"/>
            <w:tcBorders>
              <w:top w:val="single" w:sz="2" w:space="0" w:color="auto"/>
              <w:left w:val="nil"/>
              <w:bottom w:val="single" w:sz="2" w:space="0" w:color="auto"/>
              <w:right w:val="nil"/>
            </w:tcBorders>
          </w:tcPr>
          <w:p w14:paraId="4104677D" w14:textId="77777777" w:rsidR="00FB7DB9" w:rsidRPr="00EF788F" w:rsidRDefault="00FB7DB9" w:rsidP="00FB7DB9">
            <w:pPr>
              <w:pStyle w:val="Tabletext"/>
            </w:pPr>
            <w:r w:rsidRPr="00EF788F">
              <w:t>25 November 2021.</w:t>
            </w:r>
          </w:p>
        </w:tc>
        <w:tc>
          <w:tcPr>
            <w:tcW w:w="1843" w:type="dxa"/>
            <w:tcBorders>
              <w:top w:val="single" w:sz="2" w:space="0" w:color="auto"/>
              <w:left w:val="nil"/>
              <w:bottom w:val="single" w:sz="2" w:space="0" w:color="auto"/>
              <w:right w:val="nil"/>
            </w:tcBorders>
          </w:tcPr>
          <w:p w14:paraId="61030292" w14:textId="77777777" w:rsidR="00FB7DB9" w:rsidRPr="00EF788F" w:rsidRDefault="00FB7DB9" w:rsidP="00FB7DB9">
            <w:pPr>
              <w:pStyle w:val="Tabletext"/>
            </w:pPr>
            <w:r w:rsidRPr="00EF788F">
              <w:t>25 November 2021</w:t>
            </w:r>
          </w:p>
        </w:tc>
      </w:tr>
      <w:tr w:rsidR="00FB7DB9" w:rsidRPr="00EF788F" w14:paraId="1134615C" w14:textId="77777777" w:rsidTr="008B252A">
        <w:trPr>
          <w:cantSplit/>
        </w:trPr>
        <w:tc>
          <w:tcPr>
            <w:tcW w:w="2127" w:type="dxa"/>
            <w:tcBorders>
              <w:top w:val="single" w:sz="2" w:space="0" w:color="auto"/>
              <w:left w:val="nil"/>
              <w:bottom w:val="single" w:sz="12" w:space="0" w:color="auto"/>
              <w:right w:val="nil"/>
            </w:tcBorders>
          </w:tcPr>
          <w:p w14:paraId="02A5D1BD" w14:textId="77777777" w:rsidR="00FB7DB9" w:rsidRPr="00EF788F" w:rsidRDefault="00FB7DB9" w:rsidP="006649EB">
            <w:pPr>
              <w:pStyle w:val="Tabletext"/>
            </w:pPr>
            <w:r w:rsidRPr="00EF788F">
              <w:t xml:space="preserve">7.  </w:t>
            </w:r>
            <w:r w:rsidR="00E30156" w:rsidRPr="00EF788F">
              <w:t>Schedule 1</w:t>
            </w:r>
            <w:r w:rsidRPr="00EF788F">
              <w:t xml:space="preserve">, </w:t>
            </w:r>
            <w:r w:rsidR="00E30156" w:rsidRPr="00EF788F">
              <w:t>Parts 8</w:t>
            </w:r>
            <w:r w:rsidRPr="00EF788F">
              <w:t xml:space="preserve"> to 12</w:t>
            </w:r>
          </w:p>
        </w:tc>
        <w:tc>
          <w:tcPr>
            <w:tcW w:w="4394" w:type="dxa"/>
            <w:tcBorders>
              <w:top w:val="single" w:sz="2" w:space="0" w:color="auto"/>
              <w:left w:val="nil"/>
              <w:bottom w:val="single" w:sz="12" w:space="0" w:color="auto"/>
              <w:right w:val="nil"/>
            </w:tcBorders>
          </w:tcPr>
          <w:p w14:paraId="2E6BF323" w14:textId="77777777" w:rsidR="00FB7DB9" w:rsidRPr="00EF788F" w:rsidRDefault="00FB7DB9" w:rsidP="006649EB">
            <w:pPr>
              <w:pStyle w:val="Tabletext"/>
            </w:pPr>
            <w:r w:rsidRPr="00EF788F">
              <w:t>The day after this instrument is registered.</w:t>
            </w:r>
          </w:p>
        </w:tc>
        <w:tc>
          <w:tcPr>
            <w:tcW w:w="1843" w:type="dxa"/>
            <w:tcBorders>
              <w:top w:val="single" w:sz="2" w:space="0" w:color="auto"/>
              <w:left w:val="nil"/>
              <w:bottom w:val="single" w:sz="12" w:space="0" w:color="auto"/>
              <w:right w:val="nil"/>
            </w:tcBorders>
          </w:tcPr>
          <w:p w14:paraId="7E5B5763" w14:textId="7A069DD1" w:rsidR="00FB7DB9" w:rsidRPr="00EF788F" w:rsidRDefault="00D010FB" w:rsidP="006649EB">
            <w:pPr>
              <w:pStyle w:val="Tabletext"/>
            </w:pPr>
            <w:r>
              <w:t>29 Octob</w:t>
            </w:r>
            <w:bookmarkStart w:id="2" w:name="_GoBack"/>
            <w:bookmarkEnd w:id="2"/>
            <w:r>
              <w:t>er 2021</w:t>
            </w:r>
          </w:p>
        </w:tc>
      </w:tr>
    </w:tbl>
    <w:p w14:paraId="2187CB95" w14:textId="77777777" w:rsidR="00F65930" w:rsidRPr="00EF788F" w:rsidRDefault="00F65930" w:rsidP="00F65930">
      <w:pPr>
        <w:pStyle w:val="notetext"/>
      </w:pPr>
      <w:r w:rsidRPr="00EF788F">
        <w:rPr>
          <w:snapToGrid w:val="0"/>
          <w:lang w:eastAsia="en-US"/>
        </w:rPr>
        <w:t>Note:</w:t>
      </w:r>
      <w:r w:rsidRPr="00EF788F">
        <w:rPr>
          <w:snapToGrid w:val="0"/>
          <w:lang w:eastAsia="en-US"/>
        </w:rPr>
        <w:tab/>
        <w:t xml:space="preserve">This table relates only to the provisions of this </w:t>
      </w:r>
      <w:r w:rsidRPr="00EF788F">
        <w:t xml:space="preserve">instrument </w:t>
      </w:r>
      <w:r w:rsidRPr="00EF788F">
        <w:rPr>
          <w:snapToGrid w:val="0"/>
          <w:lang w:eastAsia="en-US"/>
        </w:rPr>
        <w:t xml:space="preserve">as originally made. It will not be amended to deal with any later amendments of this </w:t>
      </w:r>
      <w:r w:rsidRPr="00EF788F">
        <w:t>instrument</w:t>
      </w:r>
      <w:r w:rsidRPr="00EF788F">
        <w:rPr>
          <w:snapToGrid w:val="0"/>
          <w:lang w:eastAsia="en-US"/>
        </w:rPr>
        <w:t>.</w:t>
      </w:r>
    </w:p>
    <w:p w14:paraId="7199DFB4" w14:textId="77777777" w:rsidR="00F65930" w:rsidRPr="00EF788F" w:rsidRDefault="00F65930" w:rsidP="00F65930">
      <w:pPr>
        <w:pStyle w:val="subsection"/>
      </w:pPr>
      <w:r w:rsidRPr="00EF788F">
        <w:tab/>
        <w:t>(2)</w:t>
      </w:r>
      <w:r w:rsidRPr="00EF788F">
        <w:tab/>
        <w:t>Any information in column 3 of the table is not part of this instrument. Information may be inserted in this column, or information in it may be edited, in any published version of this instrument.</w:t>
      </w:r>
    </w:p>
    <w:p w14:paraId="3727EEA8" w14:textId="77777777" w:rsidR="00F65930" w:rsidRPr="00EF788F" w:rsidRDefault="00F65930" w:rsidP="00F65930">
      <w:pPr>
        <w:pStyle w:val="ActHead5"/>
      </w:pPr>
      <w:bookmarkStart w:id="3" w:name="_Toc84835138"/>
      <w:r w:rsidRPr="00C518BF">
        <w:rPr>
          <w:rStyle w:val="CharSectno"/>
        </w:rPr>
        <w:t>3</w:t>
      </w:r>
      <w:r w:rsidRPr="00EF788F">
        <w:t xml:space="preserve">  Authority</w:t>
      </w:r>
      <w:bookmarkEnd w:id="3"/>
    </w:p>
    <w:p w14:paraId="11FB7D06" w14:textId="77777777" w:rsidR="00F65930" w:rsidRPr="00EF788F" w:rsidRDefault="00F65930" w:rsidP="00F65930">
      <w:pPr>
        <w:pStyle w:val="subsection"/>
      </w:pPr>
      <w:r w:rsidRPr="00EF788F">
        <w:tab/>
      </w:r>
      <w:r w:rsidRPr="00EF788F">
        <w:tab/>
        <w:t xml:space="preserve">This instrument is made under the </w:t>
      </w:r>
      <w:r w:rsidRPr="00EF788F">
        <w:rPr>
          <w:i/>
        </w:rPr>
        <w:t>Therapeutic Goods Act 1989</w:t>
      </w:r>
      <w:r w:rsidRPr="00EF788F">
        <w:t>.</w:t>
      </w:r>
    </w:p>
    <w:p w14:paraId="77F8086C" w14:textId="77777777" w:rsidR="00F65930" w:rsidRPr="00EF788F" w:rsidRDefault="00F65930" w:rsidP="00F65930">
      <w:pPr>
        <w:pStyle w:val="ActHead5"/>
      </w:pPr>
      <w:bookmarkStart w:id="4" w:name="_Toc84835139"/>
      <w:r w:rsidRPr="00C518BF">
        <w:rPr>
          <w:rStyle w:val="CharSectno"/>
        </w:rPr>
        <w:t>4</w:t>
      </w:r>
      <w:r w:rsidRPr="00EF788F">
        <w:t xml:space="preserve">  Schedules</w:t>
      </w:r>
      <w:bookmarkEnd w:id="4"/>
    </w:p>
    <w:p w14:paraId="01680EC0" w14:textId="77777777" w:rsidR="00F65930" w:rsidRPr="00EF788F" w:rsidRDefault="00F65930" w:rsidP="00F65930">
      <w:pPr>
        <w:pStyle w:val="subsection"/>
      </w:pPr>
      <w:r w:rsidRPr="00EF788F">
        <w:tab/>
      </w:r>
      <w:r w:rsidRPr="00EF788F">
        <w:tab/>
        <w:t>Each instrument that is specified in a Schedule to this instrument is amended or repealed as set out in the applicable items in the Schedule concerned, and any other item in a Schedule to this instrument has effect according to its terms.</w:t>
      </w:r>
    </w:p>
    <w:p w14:paraId="100A8470" w14:textId="77777777" w:rsidR="00F65930" w:rsidRPr="00EF788F" w:rsidRDefault="00E30156" w:rsidP="00F65930">
      <w:pPr>
        <w:pStyle w:val="ActHead6"/>
        <w:pageBreakBefore/>
      </w:pPr>
      <w:bookmarkStart w:id="5" w:name="_Toc84835140"/>
      <w:bookmarkStart w:id="6" w:name="opcAmSched"/>
      <w:bookmarkStart w:id="7" w:name="opcCurrentFind"/>
      <w:r w:rsidRPr="00C518BF">
        <w:rPr>
          <w:rStyle w:val="CharAmSchNo"/>
        </w:rPr>
        <w:lastRenderedPageBreak/>
        <w:t>Schedule 1</w:t>
      </w:r>
      <w:r w:rsidR="00F65930" w:rsidRPr="00EF788F">
        <w:t>—</w:t>
      </w:r>
      <w:r w:rsidR="00DF511B" w:rsidRPr="00C518BF">
        <w:rPr>
          <w:rStyle w:val="CharAmSchText"/>
        </w:rPr>
        <w:t>Am</w:t>
      </w:r>
      <w:r w:rsidR="00F65930" w:rsidRPr="00C518BF">
        <w:rPr>
          <w:rStyle w:val="CharAmSchText"/>
        </w:rPr>
        <w:t>endments</w:t>
      </w:r>
      <w:bookmarkEnd w:id="5"/>
    </w:p>
    <w:p w14:paraId="7E87885D" w14:textId="77777777" w:rsidR="00F65930" w:rsidRPr="00EF788F" w:rsidRDefault="00E30156" w:rsidP="00F65930">
      <w:pPr>
        <w:pStyle w:val="ActHead7"/>
      </w:pPr>
      <w:bookmarkStart w:id="8" w:name="_Toc84835141"/>
      <w:bookmarkEnd w:id="6"/>
      <w:bookmarkEnd w:id="7"/>
      <w:r w:rsidRPr="00C518BF">
        <w:rPr>
          <w:rStyle w:val="CharAmPartNo"/>
        </w:rPr>
        <w:t>Part 1</w:t>
      </w:r>
      <w:r w:rsidR="00F65930" w:rsidRPr="00EF788F">
        <w:t>—</w:t>
      </w:r>
      <w:r w:rsidR="004B03A5" w:rsidRPr="00C518BF">
        <w:rPr>
          <w:rStyle w:val="CharAmPartText"/>
        </w:rPr>
        <w:t>System or procedure packs</w:t>
      </w:r>
      <w:bookmarkEnd w:id="8"/>
    </w:p>
    <w:p w14:paraId="30874EA9" w14:textId="77777777" w:rsidR="00F65930" w:rsidRPr="00EF788F" w:rsidRDefault="00F65930" w:rsidP="00F65930">
      <w:pPr>
        <w:pStyle w:val="ActHead9"/>
      </w:pPr>
      <w:bookmarkStart w:id="9" w:name="_Toc84835142"/>
      <w:r w:rsidRPr="00EF788F">
        <w:t xml:space="preserve">Therapeutic Goods (Medical Devices) </w:t>
      </w:r>
      <w:r w:rsidR="00EF1DEF" w:rsidRPr="00EF788F">
        <w:t>Regulations 2</w:t>
      </w:r>
      <w:r w:rsidRPr="00EF788F">
        <w:t>002</w:t>
      </w:r>
      <w:bookmarkEnd w:id="9"/>
    </w:p>
    <w:p w14:paraId="51E176CB" w14:textId="77777777" w:rsidR="00F65930" w:rsidRPr="00EF788F" w:rsidRDefault="002D62DD" w:rsidP="00F65930">
      <w:pPr>
        <w:pStyle w:val="ItemHead"/>
      </w:pPr>
      <w:r w:rsidRPr="00EF788F">
        <w:t>1</w:t>
      </w:r>
      <w:r w:rsidR="00F65930" w:rsidRPr="00EF788F">
        <w:t xml:space="preserve">  Paragraph 3.10(3)(aa)</w:t>
      </w:r>
    </w:p>
    <w:p w14:paraId="51973BF0" w14:textId="77777777" w:rsidR="00DF2EB4" w:rsidRPr="00EF788F" w:rsidRDefault="00DF2EB4" w:rsidP="00DF2EB4">
      <w:pPr>
        <w:pStyle w:val="Item"/>
      </w:pPr>
      <w:r w:rsidRPr="00EF788F">
        <w:t>Repeal the paragraph, substitute:</w:t>
      </w:r>
    </w:p>
    <w:p w14:paraId="31E33922" w14:textId="77777777" w:rsidR="00A97BAB" w:rsidRPr="00EF788F" w:rsidRDefault="00DF2EB4" w:rsidP="00DF2EB4">
      <w:pPr>
        <w:pStyle w:val="paragraph"/>
      </w:pPr>
      <w:r w:rsidRPr="00EF788F">
        <w:tab/>
        <w:t>(aa)</w:t>
      </w:r>
      <w:r w:rsidRPr="00EF788F">
        <w:tab/>
        <w:t>if one or more medicines, biologicals or other therapeutic goods are included in the system or procedure pack</w:t>
      </w:r>
      <w:r w:rsidR="00A97BAB" w:rsidRPr="00EF788F">
        <w:t>:</w:t>
      </w:r>
    </w:p>
    <w:p w14:paraId="7513AA1C" w14:textId="77777777" w:rsidR="00F73DE2" w:rsidRPr="00EF788F" w:rsidRDefault="00F73DE2" w:rsidP="00F73DE2">
      <w:pPr>
        <w:pStyle w:val="paragraphsub"/>
      </w:pPr>
      <w:r w:rsidRPr="00EF788F">
        <w:tab/>
        <w:t>(</w:t>
      </w:r>
      <w:proofErr w:type="spellStart"/>
      <w:r w:rsidRPr="00EF788F">
        <w:t>i</w:t>
      </w:r>
      <w:proofErr w:type="spellEnd"/>
      <w:r w:rsidRPr="00EF788F">
        <w:t>)</w:t>
      </w:r>
      <w:r w:rsidRPr="00EF788F">
        <w:tab/>
        <w:t>if all of those medicines and biologicals are entered on the Register; and</w:t>
      </w:r>
    </w:p>
    <w:p w14:paraId="0E71EF6F" w14:textId="77777777" w:rsidR="0022160E" w:rsidRPr="00EF788F" w:rsidRDefault="0022160E" w:rsidP="0022160E">
      <w:pPr>
        <w:pStyle w:val="paragraphsub"/>
      </w:pPr>
      <w:r w:rsidRPr="00EF788F">
        <w:tab/>
        <w:t>(ii)</w:t>
      </w:r>
      <w:r w:rsidRPr="00EF788F">
        <w:tab/>
        <w:t>if all of those other therapeutic goods are entered on the Register</w:t>
      </w:r>
      <w:r w:rsidR="004D5E18" w:rsidRPr="00EF788F">
        <w:t>,</w:t>
      </w:r>
      <w:r w:rsidRPr="00EF788F">
        <w:t xml:space="preserve"> or are covered by </w:t>
      </w:r>
      <w:proofErr w:type="spellStart"/>
      <w:r w:rsidR="00E30156" w:rsidRPr="00EF788F">
        <w:t>subregulation</w:t>
      </w:r>
      <w:proofErr w:type="spellEnd"/>
      <w:r w:rsidR="00E30156" w:rsidRPr="00EF788F">
        <w:t> 1</w:t>
      </w:r>
      <w:r w:rsidRPr="00EF788F">
        <w:t xml:space="preserve">2(1) of the </w:t>
      </w:r>
      <w:r w:rsidRPr="00EF788F">
        <w:rPr>
          <w:i/>
        </w:rPr>
        <w:t xml:space="preserve">Therapeutic Goods </w:t>
      </w:r>
      <w:r w:rsidR="00E30156" w:rsidRPr="00EF788F">
        <w:rPr>
          <w:i/>
        </w:rPr>
        <w:t>Regulations 1</w:t>
      </w:r>
      <w:r w:rsidRPr="00EF788F">
        <w:rPr>
          <w:i/>
        </w:rPr>
        <w:t xml:space="preserve">990 </w:t>
      </w:r>
      <w:r w:rsidRPr="00EF788F">
        <w:t>to the extent that they are tampons, menstrual cups or disinfectants; and</w:t>
      </w:r>
    </w:p>
    <w:p w14:paraId="43FB2128" w14:textId="77777777" w:rsidR="00A97BAB" w:rsidRPr="00EF788F" w:rsidRDefault="00A97BAB" w:rsidP="00A97BAB">
      <w:pPr>
        <w:pStyle w:val="paragraphsub"/>
      </w:pPr>
      <w:r w:rsidRPr="00EF788F">
        <w:tab/>
        <w:t>(iii)</w:t>
      </w:r>
      <w:r w:rsidRPr="00EF788F">
        <w:tab/>
      </w:r>
      <w:r w:rsidR="009B28B1" w:rsidRPr="00EF788F">
        <w:t>if</w:t>
      </w:r>
      <w:r w:rsidRPr="00EF788F">
        <w:t xml:space="preserve"> there has been no modification of the packaging of any </w:t>
      </w:r>
      <w:r w:rsidR="007D0833" w:rsidRPr="00EF788F">
        <w:t>of those</w:t>
      </w:r>
      <w:r w:rsidRPr="00EF788F">
        <w:t xml:space="preserve"> medicine</w:t>
      </w:r>
      <w:r w:rsidR="004E5F61" w:rsidRPr="00EF788F">
        <w:t>s</w:t>
      </w:r>
      <w:r w:rsidRPr="00EF788F">
        <w:t>, biological</w:t>
      </w:r>
      <w:r w:rsidR="004E5F61" w:rsidRPr="00EF788F">
        <w:t>s</w:t>
      </w:r>
      <w:r w:rsidRPr="00EF788F">
        <w:t xml:space="preserve"> or other therapeutic goods</w:t>
      </w:r>
      <w:r w:rsidR="00612501" w:rsidRPr="00EF788F">
        <w:t>;</w:t>
      </w:r>
      <w:r w:rsidRPr="00EF788F">
        <w:t xml:space="preserve"> and</w:t>
      </w:r>
    </w:p>
    <w:p w14:paraId="1433DF57" w14:textId="77777777" w:rsidR="00A97BAB" w:rsidRPr="00EF788F" w:rsidRDefault="00A97BAB" w:rsidP="00A97BAB">
      <w:pPr>
        <w:pStyle w:val="paragraphsub"/>
      </w:pPr>
      <w:r w:rsidRPr="00EF788F">
        <w:tab/>
        <w:t>(iv)</w:t>
      </w:r>
      <w:r w:rsidRPr="00EF788F">
        <w:tab/>
      </w:r>
      <w:r w:rsidR="009B28B1" w:rsidRPr="00EF788F">
        <w:t>if</w:t>
      </w:r>
      <w:r w:rsidRPr="00EF788F">
        <w:t xml:space="preserve"> </w:t>
      </w:r>
      <w:r w:rsidR="004D5E18" w:rsidRPr="00EF788F">
        <w:t xml:space="preserve">there </w:t>
      </w:r>
      <w:r w:rsidRPr="00EF788F">
        <w:t xml:space="preserve">has been no modification of any </w:t>
      </w:r>
      <w:r w:rsidR="004E5F61" w:rsidRPr="00EF788F">
        <w:t>of those</w:t>
      </w:r>
      <w:r w:rsidRPr="00EF788F">
        <w:t xml:space="preserve"> medicine</w:t>
      </w:r>
      <w:r w:rsidR="004E5F61" w:rsidRPr="00EF788F">
        <w:t>s</w:t>
      </w:r>
      <w:r w:rsidRPr="00EF788F">
        <w:t>, biologica</w:t>
      </w:r>
      <w:r w:rsidR="004E5F61" w:rsidRPr="00EF788F">
        <w:t>ls</w:t>
      </w:r>
      <w:r w:rsidRPr="00EF788F">
        <w:t xml:space="preserve"> or other therapeutic goods; and</w:t>
      </w:r>
    </w:p>
    <w:p w14:paraId="250BBDFC" w14:textId="77777777" w:rsidR="000619D7" w:rsidRPr="00EF788F" w:rsidRDefault="002D62DD" w:rsidP="000619D7">
      <w:pPr>
        <w:pStyle w:val="ItemHead"/>
      </w:pPr>
      <w:bookmarkStart w:id="10" w:name="_Hlk65769219"/>
      <w:r w:rsidRPr="00EF788F">
        <w:t>2</w:t>
      </w:r>
      <w:r w:rsidR="000619D7" w:rsidRPr="00EF788F">
        <w:t xml:space="preserve">  Paragraphs 3.10(3)(b) and (c)</w:t>
      </w:r>
    </w:p>
    <w:p w14:paraId="4E843AEC" w14:textId="77777777" w:rsidR="000619D7" w:rsidRPr="00EF788F" w:rsidRDefault="000619D7" w:rsidP="000619D7">
      <w:pPr>
        <w:pStyle w:val="Item"/>
      </w:pPr>
      <w:r w:rsidRPr="00EF788F">
        <w:t>Omit “for use”.</w:t>
      </w:r>
    </w:p>
    <w:p w14:paraId="41D5496C" w14:textId="77777777" w:rsidR="00D74D1F" w:rsidRPr="00EF788F" w:rsidRDefault="002D62DD" w:rsidP="00D74D1F">
      <w:pPr>
        <w:pStyle w:val="ItemHead"/>
      </w:pPr>
      <w:r w:rsidRPr="00EF788F">
        <w:t>3</w:t>
      </w:r>
      <w:r w:rsidR="00D74D1F" w:rsidRPr="00EF788F">
        <w:t xml:space="preserve">  </w:t>
      </w:r>
      <w:proofErr w:type="spellStart"/>
      <w:r w:rsidR="00E30156" w:rsidRPr="00EF788F">
        <w:t>Subregulation</w:t>
      </w:r>
      <w:proofErr w:type="spellEnd"/>
      <w:r w:rsidR="00E30156" w:rsidRPr="00EF788F">
        <w:t> 3</w:t>
      </w:r>
      <w:r w:rsidR="00D74D1F" w:rsidRPr="00EF788F">
        <w:t>.10(4)</w:t>
      </w:r>
    </w:p>
    <w:p w14:paraId="2E6E9E56" w14:textId="77777777" w:rsidR="00D74D1F" w:rsidRPr="00EF788F" w:rsidRDefault="00D74D1F" w:rsidP="00D74D1F">
      <w:pPr>
        <w:pStyle w:val="Item"/>
      </w:pPr>
      <w:r w:rsidRPr="00EF788F">
        <w:t xml:space="preserve">Repeal the </w:t>
      </w:r>
      <w:proofErr w:type="spellStart"/>
      <w:r w:rsidRPr="00EF788F">
        <w:t>subregulation</w:t>
      </w:r>
      <w:proofErr w:type="spellEnd"/>
      <w:r w:rsidR="004E5F61" w:rsidRPr="00EF788F">
        <w:t xml:space="preserve"> (including the note)</w:t>
      </w:r>
      <w:r w:rsidRPr="00EF788F">
        <w:t>, substitute:</w:t>
      </w:r>
    </w:p>
    <w:p w14:paraId="64BD0482" w14:textId="77777777" w:rsidR="00E16A42" w:rsidRPr="00EF788F" w:rsidRDefault="00E16A42" w:rsidP="00E16A42">
      <w:pPr>
        <w:pStyle w:val="subsection"/>
      </w:pPr>
      <w:r w:rsidRPr="00EF788F">
        <w:tab/>
        <w:t>(4)</w:t>
      </w:r>
      <w:r w:rsidRPr="00EF788F">
        <w:tab/>
        <w:t>If a system or procedure pack is intended by the manufacturer to be supplied in a sterile state:</w:t>
      </w:r>
    </w:p>
    <w:p w14:paraId="4262E311" w14:textId="77777777" w:rsidR="00E16A42" w:rsidRPr="00EF788F" w:rsidRDefault="00E16A42" w:rsidP="00E16A42">
      <w:pPr>
        <w:pStyle w:val="paragraph"/>
      </w:pPr>
      <w:r w:rsidRPr="00EF788F">
        <w:tab/>
        <w:t>(a)</w:t>
      </w:r>
      <w:r w:rsidRPr="00EF788F">
        <w:tab/>
        <w:t>the full quality assurance procedures (other than clause 1.6); or</w:t>
      </w:r>
    </w:p>
    <w:p w14:paraId="66ADD5F8" w14:textId="77777777" w:rsidR="00E16A42" w:rsidRPr="00EF788F" w:rsidRDefault="00E16A42" w:rsidP="00E16A42">
      <w:pPr>
        <w:pStyle w:val="paragraph"/>
      </w:pPr>
      <w:r w:rsidRPr="00EF788F">
        <w:tab/>
        <w:t>(b)</w:t>
      </w:r>
      <w:r w:rsidRPr="00EF788F">
        <w:tab/>
        <w:t>the production quality assurance procedures (other than clause 4.7);</w:t>
      </w:r>
    </w:p>
    <w:p w14:paraId="35F68048" w14:textId="77777777" w:rsidR="00E16A42" w:rsidRPr="00EF788F" w:rsidRDefault="00E16A42" w:rsidP="00E16A42">
      <w:pPr>
        <w:pStyle w:val="subsection2"/>
      </w:pPr>
      <w:r w:rsidRPr="00EF788F">
        <w:t>must also be applied to the system or procedure pack in relation to the aspects of the manufacturing process that relate to ensuring that the system or procedure pack is supplied and maintained in a sterile state.</w:t>
      </w:r>
    </w:p>
    <w:p w14:paraId="4CA4274B" w14:textId="77777777" w:rsidR="002571D6" w:rsidRPr="00EF788F" w:rsidRDefault="002571D6" w:rsidP="002571D6">
      <w:pPr>
        <w:pStyle w:val="notetext"/>
      </w:pPr>
      <w:r w:rsidRPr="00EF788F">
        <w:t>Note:</w:t>
      </w:r>
      <w:r w:rsidRPr="00EF788F">
        <w:tab/>
        <w:t xml:space="preserve">If a medicine is included in the system or procedure pack, the manufacturer of the system or procedure pack must ensure that the method to be used for sterilisation or </w:t>
      </w:r>
      <w:proofErr w:type="spellStart"/>
      <w:r w:rsidRPr="00EF788F">
        <w:t>resterilisation</w:t>
      </w:r>
      <w:proofErr w:type="spellEnd"/>
      <w:r w:rsidRPr="00EF788F">
        <w:t xml:space="preserve"> is appropriate or is in accordance with the approved indications of the medicine.</w:t>
      </w:r>
    </w:p>
    <w:p w14:paraId="5084399E" w14:textId="77777777" w:rsidR="00F65930" w:rsidRPr="00EF788F" w:rsidRDefault="002D62DD" w:rsidP="00F65930">
      <w:pPr>
        <w:pStyle w:val="ItemHead"/>
      </w:pPr>
      <w:r w:rsidRPr="00EF788F">
        <w:t>4</w:t>
      </w:r>
      <w:r w:rsidR="00F65930" w:rsidRPr="00EF788F">
        <w:t xml:space="preserve">  </w:t>
      </w:r>
      <w:r w:rsidR="00AD1C2B" w:rsidRPr="00EF788F">
        <w:t>Paragraph 7</w:t>
      </w:r>
      <w:r w:rsidR="00F65930" w:rsidRPr="00EF788F">
        <w:t xml:space="preserve">.5(2)(e) of </w:t>
      </w:r>
      <w:r w:rsidR="00AD1C2B" w:rsidRPr="00EF788F">
        <w:t>Schedule 3</w:t>
      </w:r>
    </w:p>
    <w:p w14:paraId="7BA34646" w14:textId="77777777" w:rsidR="00F65930" w:rsidRPr="00EF788F" w:rsidRDefault="00F65930" w:rsidP="00F65930">
      <w:pPr>
        <w:pStyle w:val="Item"/>
      </w:pPr>
      <w:r w:rsidRPr="00EF788F">
        <w:t xml:space="preserve">Before “state”, insert “except in relation to a medical device covered by </w:t>
      </w:r>
      <w:r w:rsidR="00E30156" w:rsidRPr="00EF788F">
        <w:t>paragraph (</w:t>
      </w:r>
      <w:proofErr w:type="spellStart"/>
      <w:r w:rsidRPr="00EF788F">
        <w:t>ia</w:t>
      </w:r>
      <w:proofErr w:type="spellEnd"/>
      <w:r w:rsidRPr="00EF788F">
        <w:t>)—”.</w:t>
      </w:r>
    </w:p>
    <w:p w14:paraId="41CBF081" w14:textId="77777777" w:rsidR="00F65930" w:rsidRPr="00EF788F" w:rsidRDefault="002D62DD" w:rsidP="00F65930">
      <w:pPr>
        <w:pStyle w:val="ItemHead"/>
      </w:pPr>
      <w:r w:rsidRPr="00EF788F">
        <w:t>5</w:t>
      </w:r>
      <w:r w:rsidR="00F65930" w:rsidRPr="00EF788F">
        <w:t xml:space="preserve">  </w:t>
      </w:r>
      <w:r w:rsidR="00AD1C2B" w:rsidRPr="00EF788F">
        <w:t>Paragraph 7</w:t>
      </w:r>
      <w:r w:rsidR="00F65930" w:rsidRPr="00EF788F">
        <w:t xml:space="preserve">.5(2)(e) of </w:t>
      </w:r>
      <w:r w:rsidR="00AD1C2B" w:rsidRPr="00EF788F">
        <w:t>Schedule 3</w:t>
      </w:r>
    </w:p>
    <w:p w14:paraId="47D64F1E" w14:textId="77777777" w:rsidR="00F65930" w:rsidRPr="00EF788F" w:rsidRDefault="00F65930" w:rsidP="00F65930">
      <w:pPr>
        <w:pStyle w:val="Item"/>
      </w:pPr>
      <w:r w:rsidRPr="00EF788F">
        <w:t>Omit “evidence”.</w:t>
      </w:r>
    </w:p>
    <w:p w14:paraId="03A60BF7" w14:textId="77777777" w:rsidR="00F65930" w:rsidRPr="00EF788F" w:rsidRDefault="002D62DD" w:rsidP="00F65930">
      <w:pPr>
        <w:pStyle w:val="ItemHead"/>
      </w:pPr>
      <w:r w:rsidRPr="00EF788F">
        <w:t>6</w:t>
      </w:r>
      <w:r w:rsidR="00F65930" w:rsidRPr="00EF788F">
        <w:t xml:space="preserve">  </w:t>
      </w:r>
      <w:r w:rsidR="00077831" w:rsidRPr="00EF788F">
        <w:t>Subparagraph 7</w:t>
      </w:r>
      <w:r w:rsidR="00F65930" w:rsidRPr="00EF788F">
        <w:t>.5(2)(e)(</w:t>
      </w:r>
      <w:proofErr w:type="spellStart"/>
      <w:r w:rsidR="00F65930" w:rsidRPr="00EF788F">
        <w:t>i</w:t>
      </w:r>
      <w:proofErr w:type="spellEnd"/>
      <w:r w:rsidR="00F65930" w:rsidRPr="00EF788F">
        <w:t xml:space="preserve">) of </w:t>
      </w:r>
      <w:r w:rsidR="00AD1C2B" w:rsidRPr="00EF788F">
        <w:t>Schedule 3</w:t>
      </w:r>
    </w:p>
    <w:p w14:paraId="1425C2F2" w14:textId="77777777" w:rsidR="00F65930" w:rsidRPr="00EF788F" w:rsidRDefault="00F65930" w:rsidP="00F65930">
      <w:pPr>
        <w:pStyle w:val="Item"/>
      </w:pPr>
      <w:r w:rsidRPr="00EF788F">
        <w:t>Repeal the subparagraph, substitute:</w:t>
      </w:r>
    </w:p>
    <w:p w14:paraId="07B48AF2" w14:textId="77777777" w:rsidR="00F65930" w:rsidRPr="00EF788F" w:rsidRDefault="00F65930" w:rsidP="00F65930">
      <w:pPr>
        <w:pStyle w:val="paragraphsub"/>
      </w:pPr>
      <w:r w:rsidRPr="00EF788F">
        <w:tab/>
        <w:t>(</w:t>
      </w:r>
      <w:proofErr w:type="spellStart"/>
      <w:r w:rsidRPr="00EF788F">
        <w:t>i</w:t>
      </w:r>
      <w:proofErr w:type="spellEnd"/>
      <w:r w:rsidRPr="00EF788F">
        <w:t>)</w:t>
      </w:r>
      <w:r w:rsidRPr="00EF788F">
        <w:tab/>
        <w:t xml:space="preserve">a conformity assessment document, a declaration of conformity under </w:t>
      </w:r>
      <w:r w:rsidR="00077831" w:rsidRPr="00EF788F">
        <w:t>clause 6</w:t>
      </w:r>
      <w:r w:rsidRPr="00EF788F">
        <w:t xml:space="preserve">.6 or a statement under </w:t>
      </w:r>
      <w:r w:rsidR="00077831" w:rsidRPr="00EF788F">
        <w:t>subclause 7</w:t>
      </w:r>
      <w:r w:rsidRPr="00EF788F">
        <w:t xml:space="preserve">.2(2) for each medical </w:t>
      </w:r>
      <w:r w:rsidRPr="00EF788F">
        <w:lastRenderedPageBreak/>
        <w:t>device in the system or procedure pack for which such a document, declaration or statement is required; and</w:t>
      </w:r>
    </w:p>
    <w:p w14:paraId="34430EE7" w14:textId="77777777" w:rsidR="00F65930" w:rsidRPr="00EF788F" w:rsidRDefault="002D62DD" w:rsidP="00F65930">
      <w:pPr>
        <w:pStyle w:val="ItemHead"/>
      </w:pPr>
      <w:r w:rsidRPr="00EF788F">
        <w:t>7</w:t>
      </w:r>
      <w:r w:rsidR="00F65930" w:rsidRPr="00EF788F">
        <w:t xml:space="preserve">  </w:t>
      </w:r>
      <w:r w:rsidR="00077831" w:rsidRPr="00EF788F">
        <w:t>Subparagraph 7</w:t>
      </w:r>
      <w:r w:rsidR="00F65930" w:rsidRPr="00EF788F">
        <w:t xml:space="preserve">.5(2)(e)(ii) of </w:t>
      </w:r>
      <w:r w:rsidR="00AD1C2B" w:rsidRPr="00EF788F">
        <w:t>Schedule 3</w:t>
      </w:r>
    </w:p>
    <w:p w14:paraId="0B9F751C" w14:textId="77777777" w:rsidR="00F65930" w:rsidRPr="00EF788F" w:rsidRDefault="00F65930" w:rsidP="00F65930">
      <w:pPr>
        <w:pStyle w:val="Item"/>
      </w:pPr>
      <w:r w:rsidRPr="00EF788F">
        <w:t>Before “that”, insert “evidence”.</w:t>
      </w:r>
    </w:p>
    <w:p w14:paraId="7F5C67B1" w14:textId="77777777" w:rsidR="00B451B4" w:rsidRPr="00EF788F" w:rsidRDefault="002D62DD" w:rsidP="00B451B4">
      <w:pPr>
        <w:pStyle w:val="ItemHead"/>
      </w:pPr>
      <w:r w:rsidRPr="00EF788F">
        <w:t>8</w:t>
      </w:r>
      <w:r w:rsidR="00B451B4" w:rsidRPr="00EF788F">
        <w:t xml:space="preserve">  </w:t>
      </w:r>
      <w:r w:rsidR="00AD1C2B" w:rsidRPr="00EF788F">
        <w:t>Paragraph 7</w:t>
      </w:r>
      <w:r w:rsidR="00B451B4" w:rsidRPr="00EF788F">
        <w:t xml:space="preserve">.5(2)(g) of </w:t>
      </w:r>
      <w:r w:rsidR="00AD1C2B" w:rsidRPr="00EF788F">
        <w:t>Schedule 3</w:t>
      </w:r>
    </w:p>
    <w:p w14:paraId="1702FE2B" w14:textId="77777777" w:rsidR="00B451B4" w:rsidRPr="00EF788F" w:rsidRDefault="00B451B4" w:rsidP="00B451B4">
      <w:pPr>
        <w:pStyle w:val="Item"/>
      </w:pPr>
      <w:r w:rsidRPr="00EF788F">
        <w:t>Omit “for use specified by the manufacturers of those items”, substitute “of the medicine, biological or other therapeutic goods”.</w:t>
      </w:r>
    </w:p>
    <w:p w14:paraId="68DD7DAD" w14:textId="77777777" w:rsidR="00F65930" w:rsidRPr="00EF788F" w:rsidRDefault="002D62DD" w:rsidP="00F65930">
      <w:pPr>
        <w:pStyle w:val="ItemHead"/>
      </w:pPr>
      <w:r w:rsidRPr="00EF788F">
        <w:t>9</w:t>
      </w:r>
      <w:r w:rsidR="00F65930" w:rsidRPr="00EF788F">
        <w:t xml:space="preserve">  </w:t>
      </w:r>
      <w:r w:rsidR="00AD1C2B" w:rsidRPr="00EF788F">
        <w:t>Paragraph 7</w:t>
      </w:r>
      <w:r w:rsidR="00F65930" w:rsidRPr="00EF788F">
        <w:t xml:space="preserve">.5(2)(h) of </w:t>
      </w:r>
      <w:r w:rsidR="00AD1C2B" w:rsidRPr="00EF788F">
        <w:t>Schedule 3</w:t>
      </w:r>
    </w:p>
    <w:p w14:paraId="142B4FAF" w14:textId="77777777" w:rsidR="00F65930" w:rsidRPr="00EF788F" w:rsidRDefault="00F65930" w:rsidP="00F65930">
      <w:pPr>
        <w:pStyle w:val="Item"/>
      </w:pPr>
      <w:r w:rsidRPr="00EF788F">
        <w:t>Repeal the paragraph, substitute:</w:t>
      </w:r>
    </w:p>
    <w:p w14:paraId="5C9CAD63" w14:textId="77777777" w:rsidR="00F65930" w:rsidRPr="00EF788F" w:rsidRDefault="00F65930" w:rsidP="00F65930">
      <w:pPr>
        <w:pStyle w:val="paragraph"/>
      </w:pPr>
      <w:r w:rsidRPr="00EF788F">
        <w:tab/>
        <w:t>(h)</w:t>
      </w:r>
      <w:r w:rsidRPr="00EF788F">
        <w:tab/>
        <w:t>state that the mutual compatibility of each medical device, medicine, biological or other therapeutic goods, and any other goods, in the system or procedure pack has been verified in accordance with:</w:t>
      </w:r>
    </w:p>
    <w:p w14:paraId="01B48D61" w14:textId="77777777" w:rsidR="00F65930" w:rsidRPr="00EF788F" w:rsidRDefault="00F65930" w:rsidP="00F65930">
      <w:pPr>
        <w:pStyle w:val="paragraphsub"/>
      </w:pPr>
      <w:r w:rsidRPr="00EF788F">
        <w:tab/>
        <w:t>(</w:t>
      </w:r>
      <w:proofErr w:type="spellStart"/>
      <w:r w:rsidRPr="00EF788F">
        <w:t>i</w:t>
      </w:r>
      <w:proofErr w:type="spellEnd"/>
      <w:r w:rsidRPr="00EF788F">
        <w:t>)</w:t>
      </w:r>
      <w:r w:rsidRPr="00EF788F">
        <w:tab/>
        <w:t>the instructions for use of each medical device included in the system or procedure pack, being the instructions for use provided by the manufacturer of the device; and</w:t>
      </w:r>
    </w:p>
    <w:p w14:paraId="06A0709F" w14:textId="77777777" w:rsidR="00F65930" w:rsidRPr="00EF788F" w:rsidRDefault="00F65930" w:rsidP="00F65930">
      <w:pPr>
        <w:pStyle w:val="paragraphsub"/>
      </w:pPr>
      <w:r w:rsidRPr="00EF788F">
        <w:tab/>
        <w:t>(ii)</w:t>
      </w:r>
      <w:r w:rsidRPr="00EF788F">
        <w:tab/>
        <w:t xml:space="preserve">the approved indications of each medicine, biological </w:t>
      </w:r>
      <w:r w:rsidR="00EE20AD" w:rsidRPr="00EF788F">
        <w:t>and</w:t>
      </w:r>
      <w:r w:rsidRPr="00EF788F">
        <w:t xml:space="preserve"> other therapeutic goods (if any) included in the system or procedure pack; and</w:t>
      </w:r>
    </w:p>
    <w:p w14:paraId="540D47F3" w14:textId="77777777" w:rsidR="00F65930" w:rsidRPr="00EF788F" w:rsidRDefault="00F65930" w:rsidP="00F65930">
      <w:pPr>
        <w:pStyle w:val="paragraph"/>
      </w:pPr>
      <w:r w:rsidRPr="00EF788F">
        <w:tab/>
        <w:t>(ha)</w:t>
      </w:r>
      <w:r w:rsidRPr="00EF788F">
        <w:tab/>
        <w:t xml:space="preserve">state that the manufacturer of the system or procedure pack has manufactured the system or procedure pack in accordance with the instructions referred to in </w:t>
      </w:r>
      <w:r w:rsidR="00E30156" w:rsidRPr="00EF788F">
        <w:t>subparagraph (</w:t>
      </w:r>
      <w:r w:rsidRPr="00EF788F">
        <w:t>h)(</w:t>
      </w:r>
      <w:proofErr w:type="spellStart"/>
      <w:r w:rsidRPr="00EF788F">
        <w:t>i</w:t>
      </w:r>
      <w:proofErr w:type="spellEnd"/>
      <w:r w:rsidRPr="00EF788F">
        <w:t xml:space="preserve">) and the indications referred to in </w:t>
      </w:r>
      <w:r w:rsidR="00E30156" w:rsidRPr="00EF788F">
        <w:t>subparagraph (</w:t>
      </w:r>
      <w:r w:rsidRPr="00EF788F">
        <w:t>h)(ii); and</w:t>
      </w:r>
    </w:p>
    <w:p w14:paraId="1C8E0AFD" w14:textId="77777777" w:rsidR="00F65930" w:rsidRPr="00EF788F" w:rsidRDefault="002D62DD" w:rsidP="00F65930">
      <w:pPr>
        <w:pStyle w:val="ItemHead"/>
      </w:pPr>
      <w:r w:rsidRPr="00EF788F">
        <w:t>10</w:t>
      </w:r>
      <w:r w:rsidR="00F65930" w:rsidRPr="00EF788F">
        <w:t xml:space="preserve">  After paragraph 7.5(2)(</w:t>
      </w:r>
      <w:proofErr w:type="spellStart"/>
      <w:r w:rsidR="00F65930" w:rsidRPr="00EF788F">
        <w:t>i</w:t>
      </w:r>
      <w:proofErr w:type="spellEnd"/>
      <w:r w:rsidR="00F65930" w:rsidRPr="00EF788F">
        <w:t xml:space="preserve">) of </w:t>
      </w:r>
      <w:r w:rsidR="00AD1C2B" w:rsidRPr="00EF788F">
        <w:t>Schedule 3</w:t>
      </w:r>
    </w:p>
    <w:p w14:paraId="10484EAD" w14:textId="77777777" w:rsidR="00F65930" w:rsidRPr="00EF788F" w:rsidRDefault="00F65930" w:rsidP="00F65930">
      <w:pPr>
        <w:pStyle w:val="Item"/>
      </w:pPr>
      <w:r w:rsidRPr="00EF788F">
        <w:t>Insert:</w:t>
      </w:r>
    </w:p>
    <w:p w14:paraId="40FEF041" w14:textId="77777777" w:rsidR="00F65930" w:rsidRPr="00EF788F" w:rsidRDefault="00F65930" w:rsidP="00F65930">
      <w:pPr>
        <w:pStyle w:val="paragraph"/>
      </w:pPr>
      <w:r w:rsidRPr="00EF788F">
        <w:tab/>
        <w:t>(</w:t>
      </w:r>
      <w:proofErr w:type="spellStart"/>
      <w:r w:rsidRPr="00EF788F">
        <w:t>ia</w:t>
      </w:r>
      <w:proofErr w:type="spellEnd"/>
      <w:r w:rsidRPr="00EF788F">
        <w:t>)</w:t>
      </w:r>
      <w:r w:rsidRPr="00EF788F">
        <w:tab/>
        <w:t xml:space="preserve">if the manufacturer of the system or procedure pack has modified the packaging of any medical device included in the system or procedure pack or modified any medical device included in the system or procedure pack—state the matters covered by </w:t>
      </w:r>
      <w:r w:rsidR="00E30156" w:rsidRPr="00EF788F">
        <w:t>subclause (</w:t>
      </w:r>
      <w:r w:rsidRPr="00EF788F">
        <w:t>2A); and</w:t>
      </w:r>
    </w:p>
    <w:bookmarkEnd w:id="10"/>
    <w:p w14:paraId="0F53CA4E" w14:textId="77777777" w:rsidR="00EE20AD" w:rsidRPr="00EF788F" w:rsidRDefault="002D62DD" w:rsidP="00EE20AD">
      <w:pPr>
        <w:pStyle w:val="ItemHead"/>
      </w:pPr>
      <w:r w:rsidRPr="00EF788F">
        <w:t>11</w:t>
      </w:r>
      <w:r w:rsidR="00EE20AD" w:rsidRPr="00EF788F">
        <w:t xml:space="preserve">  </w:t>
      </w:r>
      <w:r w:rsidR="00AD1C2B" w:rsidRPr="00EF788F">
        <w:t>Paragraph 7</w:t>
      </w:r>
      <w:r w:rsidR="00EE20AD" w:rsidRPr="00EF788F">
        <w:t xml:space="preserve">.5(2)(k) of </w:t>
      </w:r>
      <w:r w:rsidR="00AD1C2B" w:rsidRPr="00EF788F">
        <w:t>Schedule 3</w:t>
      </w:r>
    </w:p>
    <w:p w14:paraId="1C84B9E7" w14:textId="77777777" w:rsidR="00EE20AD" w:rsidRPr="00EF788F" w:rsidRDefault="00EE20AD" w:rsidP="00EE20AD">
      <w:pPr>
        <w:pStyle w:val="Item"/>
      </w:pPr>
      <w:r w:rsidRPr="00EF788F">
        <w:t>Repeal the paragraph, substitute:</w:t>
      </w:r>
    </w:p>
    <w:p w14:paraId="2ADC82CC" w14:textId="77777777" w:rsidR="00EE20AD" w:rsidRPr="00EF788F" w:rsidRDefault="00EE20AD" w:rsidP="00EE20AD">
      <w:pPr>
        <w:pStyle w:val="paragraph"/>
      </w:pPr>
      <w:r w:rsidRPr="00EF788F">
        <w:tab/>
        <w:t>(k)</w:t>
      </w:r>
      <w:r w:rsidRPr="00EF788F">
        <w:tab/>
      </w:r>
      <w:r w:rsidR="00BE0B95" w:rsidRPr="00EF788F">
        <w:t>if the system or procedure pack is intended by the manufacturer to be supplied in a sterile state—state that the</w:t>
      </w:r>
      <w:r w:rsidR="002571D6" w:rsidRPr="00EF788F">
        <w:t xml:space="preserve"> full quality assurance procedures (other than clause 1.6), or the </w:t>
      </w:r>
      <w:r w:rsidR="00BE0B95" w:rsidRPr="00EF788F">
        <w:t>production quality assurance procedures (other than clause 4.7)</w:t>
      </w:r>
      <w:r w:rsidR="002571D6" w:rsidRPr="00EF788F">
        <w:t>,</w:t>
      </w:r>
      <w:r w:rsidR="00BE0B95" w:rsidRPr="00EF788F">
        <w:t xml:space="preserve"> have been applied to the system or procedure pack in accordance with</w:t>
      </w:r>
      <w:r w:rsidRPr="00EF788F">
        <w:t>:</w:t>
      </w:r>
    </w:p>
    <w:p w14:paraId="6892A892" w14:textId="77777777" w:rsidR="00EE20AD" w:rsidRPr="00EF788F" w:rsidRDefault="00EE20AD" w:rsidP="00EE20AD">
      <w:pPr>
        <w:pStyle w:val="paragraphsub"/>
      </w:pPr>
      <w:r w:rsidRPr="00EF788F">
        <w:tab/>
        <w:t>(</w:t>
      </w:r>
      <w:proofErr w:type="spellStart"/>
      <w:r w:rsidRPr="00EF788F">
        <w:t>i</w:t>
      </w:r>
      <w:proofErr w:type="spellEnd"/>
      <w:r w:rsidRPr="00EF788F">
        <w:t>)</w:t>
      </w:r>
      <w:r w:rsidRPr="00EF788F">
        <w:tab/>
        <w:t>the instructions for use of each medical device included in the system or procedure pack, being the instructions for use provided by the manufacturer of the device; and</w:t>
      </w:r>
    </w:p>
    <w:p w14:paraId="5D59C86C" w14:textId="77777777" w:rsidR="00EE20AD" w:rsidRPr="00EF788F" w:rsidRDefault="00EE20AD" w:rsidP="00EE20AD">
      <w:pPr>
        <w:pStyle w:val="paragraphsub"/>
      </w:pPr>
      <w:r w:rsidRPr="00EF788F">
        <w:tab/>
        <w:t>(ii)</w:t>
      </w:r>
      <w:r w:rsidRPr="00EF788F">
        <w:tab/>
        <w:t>the approved indications of each medicine, biological and other therapeutic goods (if any) included in the system or procedure pack; and</w:t>
      </w:r>
    </w:p>
    <w:p w14:paraId="586AB9D7" w14:textId="77777777" w:rsidR="00F65930" w:rsidRPr="00EF788F" w:rsidRDefault="002D62DD" w:rsidP="00F65930">
      <w:pPr>
        <w:pStyle w:val="ItemHead"/>
      </w:pPr>
      <w:r w:rsidRPr="00EF788F">
        <w:t>12</w:t>
      </w:r>
      <w:r w:rsidR="00F65930" w:rsidRPr="00EF788F">
        <w:t xml:space="preserve">  After </w:t>
      </w:r>
      <w:r w:rsidR="00077831" w:rsidRPr="00EF788F">
        <w:t>subclause 7</w:t>
      </w:r>
      <w:r w:rsidR="00F65930" w:rsidRPr="00EF788F">
        <w:t xml:space="preserve">.5(2) of </w:t>
      </w:r>
      <w:r w:rsidR="00AD1C2B" w:rsidRPr="00EF788F">
        <w:t>Schedule 3</w:t>
      </w:r>
    </w:p>
    <w:p w14:paraId="11684872" w14:textId="77777777" w:rsidR="00F65930" w:rsidRPr="00EF788F" w:rsidRDefault="00F65930" w:rsidP="00F65930">
      <w:pPr>
        <w:pStyle w:val="Item"/>
      </w:pPr>
      <w:r w:rsidRPr="00EF788F">
        <w:t>Insert:</w:t>
      </w:r>
    </w:p>
    <w:p w14:paraId="68B000FF" w14:textId="77777777" w:rsidR="00F65930" w:rsidRPr="00EF788F" w:rsidRDefault="00F65930" w:rsidP="00F65930">
      <w:pPr>
        <w:pStyle w:val="subsection"/>
      </w:pPr>
      <w:r w:rsidRPr="00EF788F">
        <w:tab/>
        <w:t>(2A)</w:t>
      </w:r>
      <w:r w:rsidRPr="00EF788F">
        <w:tab/>
        <w:t xml:space="preserve">For the purposes of </w:t>
      </w:r>
      <w:r w:rsidR="00E30156" w:rsidRPr="00EF788F">
        <w:t>paragraph (</w:t>
      </w:r>
      <w:r w:rsidRPr="00EF788F">
        <w:t>2)(</w:t>
      </w:r>
      <w:proofErr w:type="spellStart"/>
      <w:r w:rsidRPr="00EF788F">
        <w:t>ia</w:t>
      </w:r>
      <w:proofErr w:type="spellEnd"/>
      <w:r w:rsidRPr="00EF788F">
        <w:t>), the matters are the following:</w:t>
      </w:r>
    </w:p>
    <w:p w14:paraId="432330B2" w14:textId="77777777" w:rsidR="00F65930" w:rsidRPr="00EF788F" w:rsidRDefault="00F65930" w:rsidP="00F65930">
      <w:pPr>
        <w:pStyle w:val="paragraph"/>
      </w:pPr>
      <w:r w:rsidRPr="00EF788F">
        <w:lastRenderedPageBreak/>
        <w:tab/>
        <w:t>(a)</w:t>
      </w:r>
      <w:r w:rsidRPr="00EF788F">
        <w:tab/>
        <w:t>that the modification has not affected the quality, safety or performance of the medical device;</w:t>
      </w:r>
    </w:p>
    <w:p w14:paraId="380FF262" w14:textId="77777777" w:rsidR="00F65930" w:rsidRPr="00EF788F" w:rsidRDefault="00F65930" w:rsidP="00F65930">
      <w:pPr>
        <w:pStyle w:val="paragraph"/>
      </w:pPr>
      <w:r w:rsidRPr="00EF788F">
        <w:tab/>
        <w:t>(b)</w:t>
      </w:r>
      <w:r w:rsidRPr="00EF788F">
        <w:tab/>
        <w:t>if the modification has not been done in accordance with the instructions for use of the medical device provided by the manufacturer of the device—that the manufacturer of the system or procedure pack has:</w:t>
      </w:r>
    </w:p>
    <w:p w14:paraId="56D26BA6" w14:textId="77777777" w:rsidR="00F65930" w:rsidRPr="00EF788F" w:rsidRDefault="00F65930" w:rsidP="00F65930">
      <w:pPr>
        <w:pStyle w:val="paragraphsub"/>
      </w:pPr>
      <w:r w:rsidRPr="00EF788F">
        <w:tab/>
        <w:t>(</w:t>
      </w:r>
      <w:proofErr w:type="spellStart"/>
      <w:r w:rsidRPr="00EF788F">
        <w:t>i</w:t>
      </w:r>
      <w:proofErr w:type="spellEnd"/>
      <w:r w:rsidRPr="00EF788F">
        <w:t>)</w:t>
      </w:r>
      <w:r w:rsidRPr="00EF788F">
        <w:tab/>
        <w:t xml:space="preserve">if a conformity assessment document, a declaration of conformity under </w:t>
      </w:r>
      <w:r w:rsidR="00077831" w:rsidRPr="00EF788F">
        <w:t>clause 6</w:t>
      </w:r>
      <w:r w:rsidRPr="00EF788F">
        <w:t xml:space="preserve">.6 or a statement under </w:t>
      </w:r>
      <w:r w:rsidR="00077831" w:rsidRPr="00EF788F">
        <w:t>subclause 7</w:t>
      </w:r>
      <w:r w:rsidRPr="00EF788F">
        <w:t>.2(2) is required for the medical device—such a document, declaration or statement for the medical device, as affected by the modification; and</w:t>
      </w:r>
    </w:p>
    <w:p w14:paraId="6178952C" w14:textId="77777777" w:rsidR="00F65930" w:rsidRPr="00EF788F" w:rsidRDefault="00F65930" w:rsidP="00F65930">
      <w:pPr>
        <w:pStyle w:val="paragraphsub"/>
      </w:pPr>
      <w:r w:rsidRPr="00EF788F">
        <w:tab/>
        <w:t>(ii)</w:t>
      </w:r>
      <w:r w:rsidRPr="00EF788F">
        <w:tab/>
        <w:t>evidence that the medical device, as affected by the modification, complies with the applicable provisions of the essential principles.</w:t>
      </w:r>
    </w:p>
    <w:p w14:paraId="69FF98F7" w14:textId="77777777" w:rsidR="00F65930" w:rsidRPr="00EF788F" w:rsidRDefault="00F65930" w:rsidP="00F65930">
      <w:pPr>
        <w:pStyle w:val="subsection"/>
      </w:pPr>
      <w:r w:rsidRPr="00EF788F">
        <w:tab/>
        <w:t>(2B)</w:t>
      </w:r>
      <w:r w:rsidRPr="00EF788F">
        <w:tab/>
        <w:t>If the manufacturer of a system or procedure pack has modified the packaging of any medical device included in the system or procedure pack or modified any medical device included in the system or procedure pack:</w:t>
      </w:r>
    </w:p>
    <w:p w14:paraId="0D9C2FB9" w14:textId="77777777" w:rsidR="00F65930" w:rsidRPr="00EF788F" w:rsidRDefault="00F65930" w:rsidP="00F65930">
      <w:pPr>
        <w:pStyle w:val="paragraph"/>
      </w:pPr>
      <w:r w:rsidRPr="00EF788F">
        <w:tab/>
        <w:t>(a)</w:t>
      </w:r>
      <w:r w:rsidRPr="00EF788F">
        <w:tab/>
        <w:t>the manufacturer of the system or procedure pack must ensure that the modification does not affect the quality, safety or performance of the medical device; and</w:t>
      </w:r>
    </w:p>
    <w:p w14:paraId="3BDF8694" w14:textId="77777777" w:rsidR="00F65930" w:rsidRPr="00EF788F" w:rsidRDefault="00F65930" w:rsidP="00F65930">
      <w:pPr>
        <w:pStyle w:val="paragraph"/>
      </w:pPr>
      <w:r w:rsidRPr="00EF788F">
        <w:tab/>
        <w:t>(b)</w:t>
      </w:r>
      <w:r w:rsidRPr="00EF788F">
        <w:tab/>
        <w:t>if the modification has not been done in accordance with the instructions for use of the medical device provided by the manufacturer of the device—the manufacturer of the system or procedure pack must have:</w:t>
      </w:r>
    </w:p>
    <w:p w14:paraId="093AA25A" w14:textId="77777777" w:rsidR="00F65930" w:rsidRPr="00EF788F" w:rsidRDefault="00F65930" w:rsidP="00F65930">
      <w:pPr>
        <w:pStyle w:val="paragraphsub"/>
      </w:pPr>
      <w:r w:rsidRPr="00EF788F">
        <w:tab/>
        <w:t>(</w:t>
      </w:r>
      <w:proofErr w:type="spellStart"/>
      <w:r w:rsidRPr="00EF788F">
        <w:t>i</w:t>
      </w:r>
      <w:proofErr w:type="spellEnd"/>
      <w:r w:rsidRPr="00EF788F">
        <w:t>)</w:t>
      </w:r>
      <w:r w:rsidRPr="00EF788F">
        <w:tab/>
        <w:t xml:space="preserve">if a conformity assessment document, a declaration of conformity under </w:t>
      </w:r>
      <w:r w:rsidR="00077831" w:rsidRPr="00EF788F">
        <w:t>clause 6</w:t>
      </w:r>
      <w:r w:rsidRPr="00EF788F">
        <w:t xml:space="preserve">.6 or a statement under </w:t>
      </w:r>
      <w:r w:rsidR="00077831" w:rsidRPr="00EF788F">
        <w:t>subclause 7</w:t>
      </w:r>
      <w:r w:rsidRPr="00EF788F">
        <w:t>.2(2) is required for the medical device—such a document, declaration or statement for the medical device, as affected by the modification; and</w:t>
      </w:r>
    </w:p>
    <w:p w14:paraId="29730E38" w14:textId="77777777" w:rsidR="00F65930" w:rsidRPr="00EF788F" w:rsidRDefault="00F65930" w:rsidP="00F65930">
      <w:pPr>
        <w:pStyle w:val="paragraphsub"/>
      </w:pPr>
      <w:r w:rsidRPr="00EF788F">
        <w:tab/>
        <w:t>(ii)</w:t>
      </w:r>
      <w:r w:rsidRPr="00EF788F">
        <w:tab/>
        <w:t>evidence that the medical device, as affected by the modification, complies with the applicable provisions of the essential principles.</w:t>
      </w:r>
    </w:p>
    <w:p w14:paraId="3DF544AC" w14:textId="77777777" w:rsidR="000619D7" w:rsidRPr="00EF788F" w:rsidRDefault="002D62DD" w:rsidP="000619D7">
      <w:pPr>
        <w:pStyle w:val="ItemHead"/>
      </w:pPr>
      <w:r w:rsidRPr="00EF788F">
        <w:t>13</w:t>
      </w:r>
      <w:r w:rsidR="000619D7" w:rsidRPr="00EF788F">
        <w:t xml:space="preserve">  Dictionary</w:t>
      </w:r>
    </w:p>
    <w:p w14:paraId="05585B85" w14:textId="77777777" w:rsidR="000619D7" w:rsidRPr="00EF788F" w:rsidRDefault="000619D7" w:rsidP="000619D7">
      <w:pPr>
        <w:pStyle w:val="Item"/>
      </w:pPr>
      <w:r w:rsidRPr="00EF788F">
        <w:t>Insert:</w:t>
      </w:r>
    </w:p>
    <w:p w14:paraId="29BBB969" w14:textId="77777777" w:rsidR="000619D7" w:rsidRPr="00EF788F" w:rsidRDefault="000619D7" w:rsidP="000619D7">
      <w:pPr>
        <w:pStyle w:val="Definition"/>
      </w:pPr>
      <w:r w:rsidRPr="00EF788F">
        <w:rPr>
          <w:b/>
          <w:i/>
        </w:rPr>
        <w:t>approved indications</w:t>
      </w:r>
      <w:r w:rsidRPr="00EF788F">
        <w:t xml:space="preserve">, </w:t>
      </w:r>
      <w:r w:rsidR="00B451B4" w:rsidRPr="00EF788F">
        <w:t xml:space="preserve">of a medicine, biological </w:t>
      </w:r>
      <w:r w:rsidR="00EE20AD" w:rsidRPr="00EF788F">
        <w:t>or</w:t>
      </w:r>
      <w:r w:rsidR="00B451B4" w:rsidRPr="00EF788F">
        <w:t xml:space="preserve"> other therapeutic goods, means:</w:t>
      </w:r>
    </w:p>
    <w:p w14:paraId="21C4BE8C" w14:textId="77777777" w:rsidR="00B451B4" w:rsidRPr="00EF788F" w:rsidRDefault="00B451B4" w:rsidP="00B451B4">
      <w:pPr>
        <w:pStyle w:val="paragraph"/>
      </w:pPr>
      <w:r w:rsidRPr="00EF788F">
        <w:tab/>
        <w:t>(a)</w:t>
      </w:r>
      <w:r w:rsidRPr="00EF788F">
        <w:tab/>
        <w:t>if the medicine, biological or other therapeutic goods are entered on the Register—the indications included in the Register in relation to the medicine, biological or other therapeutic goods; or</w:t>
      </w:r>
    </w:p>
    <w:p w14:paraId="13CECCB1" w14:textId="77777777" w:rsidR="00B451B4" w:rsidRPr="00EF788F" w:rsidRDefault="00B451B4" w:rsidP="00B451B4">
      <w:pPr>
        <w:pStyle w:val="paragraph"/>
      </w:pPr>
      <w:r w:rsidRPr="00EF788F">
        <w:tab/>
        <w:t>(b)</w:t>
      </w:r>
      <w:r w:rsidRPr="00EF788F">
        <w:tab/>
        <w:t>otherwise—the indications in relation to the medicine, biological or other therapeutic goods.</w:t>
      </w:r>
    </w:p>
    <w:p w14:paraId="7F8F4EE1" w14:textId="77777777" w:rsidR="00B451B4" w:rsidRPr="00EF788F" w:rsidRDefault="00B451B4" w:rsidP="00B451B4">
      <w:pPr>
        <w:pStyle w:val="notetext"/>
      </w:pPr>
      <w:r w:rsidRPr="00EF788F">
        <w:t>Note:</w:t>
      </w:r>
      <w:r w:rsidRPr="00EF788F">
        <w:tab/>
        <w:t xml:space="preserve">For </w:t>
      </w:r>
      <w:r w:rsidRPr="00EF788F">
        <w:rPr>
          <w:b/>
          <w:i/>
        </w:rPr>
        <w:t>indications</w:t>
      </w:r>
      <w:r w:rsidRPr="00EF788F">
        <w:t xml:space="preserve">, see </w:t>
      </w:r>
      <w:r w:rsidR="00AD1C2B" w:rsidRPr="00EF788F">
        <w:t>subsection 3</w:t>
      </w:r>
      <w:r w:rsidRPr="00EF788F">
        <w:t>(1) of the Act.</w:t>
      </w:r>
    </w:p>
    <w:p w14:paraId="37D210DD" w14:textId="77777777" w:rsidR="004B03A5" w:rsidRPr="00EF788F" w:rsidRDefault="00E30156" w:rsidP="004B03A5">
      <w:pPr>
        <w:pStyle w:val="ActHead7"/>
        <w:pageBreakBefore/>
      </w:pPr>
      <w:bookmarkStart w:id="11" w:name="_Toc84835143"/>
      <w:r w:rsidRPr="00C518BF">
        <w:rPr>
          <w:rStyle w:val="CharAmPartNo"/>
        </w:rPr>
        <w:lastRenderedPageBreak/>
        <w:t>Part 2</w:t>
      </w:r>
      <w:r w:rsidR="004B03A5" w:rsidRPr="00EF788F">
        <w:t>—</w:t>
      </w:r>
      <w:r w:rsidR="004E5D3A" w:rsidRPr="00C518BF">
        <w:rPr>
          <w:rStyle w:val="CharAmPartText"/>
        </w:rPr>
        <w:t>Reports about</w:t>
      </w:r>
      <w:r w:rsidR="004B03A5" w:rsidRPr="00C518BF">
        <w:rPr>
          <w:rStyle w:val="CharAmPartText"/>
        </w:rPr>
        <w:t xml:space="preserve"> adverse events</w:t>
      </w:r>
      <w:r w:rsidR="00BA5D88" w:rsidRPr="00C518BF">
        <w:rPr>
          <w:rStyle w:val="CharAmPartText"/>
        </w:rPr>
        <w:t xml:space="preserve"> </w:t>
      </w:r>
      <w:r w:rsidR="004E5D3A" w:rsidRPr="00C518BF">
        <w:rPr>
          <w:rStyle w:val="CharAmPartText"/>
        </w:rPr>
        <w:t xml:space="preserve">or occurrences </w:t>
      </w:r>
      <w:r w:rsidR="00BA5D88" w:rsidRPr="00C518BF">
        <w:rPr>
          <w:rStyle w:val="CharAmPartText"/>
        </w:rPr>
        <w:t>for medical devices</w:t>
      </w:r>
      <w:bookmarkEnd w:id="11"/>
    </w:p>
    <w:p w14:paraId="10DDC355" w14:textId="77777777" w:rsidR="004B03A5" w:rsidRPr="00EF788F" w:rsidRDefault="004B03A5" w:rsidP="004B03A5">
      <w:pPr>
        <w:pStyle w:val="ActHead9"/>
      </w:pPr>
      <w:bookmarkStart w:id="12" w:name="_Toc84835144"/>
      <w:r w:rsidRPr="00EF788F">
        <w:t xml:space="preserve">Therapeutic Goods (Medical Devices) </w:t>
      </w:r>
      <w:r w:rsidR="00EF1DEF" w:rsidRPr="00EF788F">
        <w:t>Regulations 2</w:t>
      </w:r>
      <w:r w:rsidRPr="00EF788F">
        <w:t>002</w:t>
      </w:r>
      <w:bookmarkEnd w:id="12"/>
    </w:p>
    <w:p w14:paraId="269B4D93" w14:textId="77777777" w:rsidR="00D87FD0" w:rsidRPr="00EF788F" w:rsidRDefault="002D62DD" w:rsidP="00C66346">
      <w:pPr>
        <w:pStyle w:val="ItemHead"/>
      </w:pPr>
      <w:r w:rsidRPr="00EF788F">
        <w:t>14</w:t>
      </w:r>
      <w:r w:rsidR="00D87FD0" w:rsidRPr="00EF788F">
        <w:t xml:space="preserve">  </w:t>
      </w:r>
      <w:r w:rsidR="00C66346" w:rsidRPr="00EF788F">
        <w:t xml:space="preserve">At the end of </w:t>
      </w:r>
      <w:proofErr w:type="spellStart"/>
      <w:r w:rsidR="004E5D3A" w:rsidRPr="00EF788F">
        <w:t>subregulation</w:t>
      </w:r>
      <w:proofErr w:type="spellEnd"/>
      <w:r w:rsidR="004E5D3A" w:rsidRPr="00EF788F">
        <w:t> 5</w:t>
      </w:r>
      <w:r w:rsidR="00C66346" w:rsidRPr="00EF788F">
        <w:t>.7(1)</w:t>
      </w:r>
    </w:p>
    <w:p w14:paraId="2EFBD4FF" w14:textId="77777777" w:rsidR="00C66346" w:rsidRPr="00EF788F" w:rsidRDefault="00C66346" w:rsidP="00C66346">
      <w:pPr>
        <w:pStyle w:val="Item"/>
      </w:pPr>
      <w:r w:rsidRPr="00EF788F">
        <w:t>Add:</w:t>
      </w:r>
    </w:p>
    <w:p w14:paraId="0E271740" w14:textId="77777777" w:rsidR="00C66346" w:rsidRPr="00EF788F" w:rsidRDefault="00C66346" w:rsidP="00C66346">
      <w:pPr>
        <w:pStyle w:val="notetext"/>
      </w:pPr>
      <w:r w:rsidRPr="00EF788F">
        <w:t>Note:</w:t>
      </w:r>
      <w:r w:rsidRPr="00EF788F">
        <w:tab/>
        <w:t xml:space="preserve">See also </w:t>
      </w:r>
      <w:r w:rsidR="004E5D3A" w:rsidRPr="00EF788F">
        <w:t>regulation 5</w:t>
      </w:r>
      <w:r w:rsidRPr="00EF788F">
        <w:t xml:space="preserve">.8A (which deals with the giving of a report after information is given within a period covered by </w:t>
      </w:r>
      <w:r w:rsidR="00E30156" w:rsidRPr="00EF788F">
        <w:t>paragraph (</w:t>
      </w:r>
      <w:r w:rsidRPr="00EF788F">
        <w:t>1)(a), (b) or (c) of this regulation).</w:t>
      </w:r>
    </w:p>
    <w:p w14:paraId="0CB3B936" w14:textId="77777777" w:rsidR="00C66346" w:rsidRPr="00EF788F" w:rsidRDefault="002D62DD" w:rsidP="00C66346">
      <w:pPr>
        <w:pStyle w:val="ItemHead"/>
      </w:pPr>
      <w:r w:rsidRPr="00EF788F">
        <w:t>15</w:t>
      </w:r>
      <w:r w:rsidR="00C66346" w:rsidRPr="00EF788F">
        <w:t xml:space="preserve">  After </w:t>
      </w:r>
      <w:r w:rsidR="004E5D3A" w:rsidRPr="00EF788F">
        <w:t>regulation 5</w:t>
      </w:r>
      <w:r w:rsidR="00C66346" w:rsidRPr="00EF788F">
        <w:t>.8</w:t>
      </w:r>
    </w:p>
    <w:p w14:paraId="65D5009E" w14:textId="77777777" w:rsidR="00C66346" w:rsidRPr="00EF788F" w:rsidRDefault="00C66346" w:rsidP="00C66346">
      <w:pPr>
        <w:pStyle w:val="Item"/>
      </w:pPr>
      <w:r w:rsidRPr="00EF788F">
        <w:t>Insert:</w:t>
      </w:r>
    </w:p>
    <w:p w14:paraId="3785897C" w14:textId="77777777" w:rsidR="00C66346" w:rsidRPr="00EF788F" w:rsidRDefault="00C66346" w:rsidP="00C66346">
      <w:pPr>
        <w:pStyle w:val="ActHead5"/>
      </w:pPr>
      <w:bookmarkStart w:id="13" w:name="_Toc84835145"/>
      <w:r w:rsidRPr="00C518BF">
        <w:rPr>
          <w:rStyle w:val="CharSectno"/>
        </w:rPr>
        <w:t>5.8A</w:t>
      </w:r>
      <w:r w:rsidRPr="00EF788F">
        <w:t xml:space="preserve">  Conditions applying automatically—giving of report about adverse events </w:t>
      </w:r>
      <w:r w:rsidR="004E5D3A" w:rsidRPr="00EF788F">
        <w:t>or occurrences</w:t>
      </w:r>
      <w:r w:rsidRPr="00EF788F">
        <w:t xml:space="preserve"> (Act s 41FN)</w:t>
      </w:r>
      <w:bookmarkEnd w:id="13"/>
    </w:p>
    <w:p w14:paraId="18F83CF4" w14:textId="77777777" w:rsidR="00C66346" w:rsidRPr="00EF788F" w:rsidRDefault="00F464DB" w:rsidP="00C66346">
      <w:pPr>
        <w:pStyle w:val="subsection"/>
      </w:pPr>
      <w:r w:rsidRPr="00EF788F">
        <w:tab/>
        <w:t>(1)</w:t>
      </w:r>
      <w:r w:rsidRPr="00EF788F">
        <w:tab/>
        <w:t>For the purposes of subsection 41FN(5A) of the Act,</w:t>
      </w:r>
      <w:r w:rsidR="004E5D3A" w:rsidRPr="00EF788F">
        <w:t xml:space="preserve"> if the person in relation to whom a kind of medical device is included in the Register gives information of a kind mentioned in subsection 41MP(2) or 41MPA(2) of the Act to the Secretary within the period covered by paragraph 5.7(1)(a), (b) or (c) of </w:t>
      </w:r>
      <w:r w:rsidR="004E5F61" w:rsidRPr="00EF788F">
        <w:t>these Regulations</w:t>
      </w:r>
      <w:r w:rsidR="004E5D3A" w:rsidRPr="00EF788F">
        <w:t>, the person must give a written report to the Secretary in accordance with this regulation.</w:t>
      </w:r>
    </w:p>
    <w:p w14:paraId="06472D7E" w14:textId="77777777" w:rsidR="004E5D3A" w:rsidRPr="00EF788F" w:rsidRDefault="004E5D3A" w:rsidP="00C66346">
      <w:pPr>
        <w:pStyle w:val="subsection"/>
      </w:pPr>
      <w:r w:rsidRPr="00EF788F">
        <w:tab/>
        <w:t>(2)</w:t>
      </w:r>
      <w:r w:rsidRPr="00EF788F">
        <w:tab/>
        <w:t>The person must give the report to the Secretary before the end of the period of 120 days beginning on the day the person gave that information to the Secretary.</w:t>
      </w:r>
    </w:p>
    <w:p w14:paraId="73A8EDDF" w14:textId="77777777" w:rsidR="004E5D3A" w:rsidRPr="00EF788F" w:rsidRDefault="004E5D3A" w:rsidP="00C66346">
      <w:pPr>
        <w:pStyle w:val="subsection"/>
      </w:pPr>
      <w:r w:rsidRPr="00EF788F">
        <w:tab/>
        <w:t>(3)</w:t>
      </w:r>
      <w:r w:rsidRPr="00EF788F">
        <w:tab/>
        <w:t>The report</w:t>
      </w:r>
      <w:r w:rsidR="001B5EE7" w:rsidRPr="00EF788F">
        <w:t xml:space="preserve"> must:</w:t>
      </w:r>
    </w:p>
    <w:p w14:paraId="32BA7F92" w14:textId="77777777" w:rsidR="001B5EE7" w:rsidRPr="00EF788F" w:rsidRDefault="001B5EE7" w:rsidP="001B5EE7">
      <w:pPr>
        <w:pStyle w:val="paragraph"/>
      </w:pPr>
      <w:r w:rsidRPr="00EF788F">
        <w:tab/>
        <w:t>(a)</w:t>
      </w:r>
      <w:r w:rsidRPr="00EF788F">
        <w:tab/>
        <w:t>deal with any updates to that information since that information was given; and</w:t>
      </w:r>
    </w:p>
    <w:p w14:paraId="37BCCBBF" w14:textId="77777777" w:rsidR="001B5EE7" w:rsidRPr="00EF788F" w:rsidRDefault="001B5EE7" w:rsidP="001B5EE7">
      <w:pPr>
        <w:pStyle w:val="paragraph"/>
      </w:pPr>
      <w:r w:rsidRPr="00EF788F">
        <w:tab/>
        <w:t>(b)</w:t>
      </w:r>
      <w:r w:rsidRPr="00EF788F">
        <w:tab/>
      </w:r>
      <w:r w:rsidR="00F55834" w:rsidRPr="00EF788F">
        <w:t xml:space="preserve">set out details of the action the person has taken, or the </w:t>
      </w:r>
      <w:r w:rsidR="003D69F1" w:rsidRPr="00EF788F">
        <w:t>manufacturer</w:t>
      </w:r>
      <w:r w:rsidR="00F55834" w:rsidRPr="00EF788F">
        <w:t xml:space="preserve"> of the kind of medical device has taken, to investigate the event or other occurrence concerned; and</w:t>
      </w:r>
    </w:p>
    <w:p w14:paraId="60E131B5" w14:textId="77777777" w:rsidR="00F55834" w:rsidRPr="00EF788F" w:rsidRDefault="00F55834" w:rsidP="001B5EE7">
      <w:pPr>
        <w:pStyle w:val="paragraph"/>
      </w:pPr>
      <w:r w:rsidRPr="00EF788F">
        <w:tab/>
        <w:t>(c)</w:t>
      </w:r>
      <w:r w:rsidRPr="00EF788F">
        <w:tab/>
        <w:t xml:space="preserve">set out details of the action the person has taken, or the </w:t>
      </w:r>
      <w:r w:rsidR="003D69F1" w:rsidRPr="00EF788F">
        <w:t>manufacturer</w:t>
      </w:r>
      <w:r w:rsidRPr="00EF788F">
        <w:t xml:space="preserve"> of the kind of medical device has taken, to alleviate the impact of the event or other occurrence concerned for patients or for users of the kind of medical device; and</w:t>
      </w:r>
    </w:p>
    <w:p w14:paraId="3A3CC5FF" w14:textId="77777777" w:rsidR="00F55834" w:rsidRPr="00EF788F" w:rsidRDefault="00F55834" w:rsidP="001B5EE7">
      <w:pPr>
        <w:pStyle w:val="paragraph"/>
      </w:pPr>
      <w:r w:rsidRPr="00EF788F">
        <w:tab/>
        <w:t>(d)</w:t>
      </w:r>
      <w:r w:rsidRPr="00EF788F">
        <w:tab/>
        <w:t xml:space="preserve">set out details of similar events or occurrences that have occurred in </w:t>
      </w:r>
      <w:r w:rsidR="00562EB6" w:rsidRPr="00EF788F">
        <w:t>the last 3 years</w:t>
      </w:r>
      <w:r w:rsidR="0070710A" w:rsidRPr="00EF788F">
        <w:t>,</w:t>
      </w:r>
      <w:r w:rsidR="00562EB6" w:rsidRPr="00EF788F">
        <w:t xml:space="preserve"> in </w:t>
      </w:r>
      <w:r w:rsidRPr="00EF788F">
        <w:t>relation to the kind of medical device</w:t>
      </w:r>
      <w:r w:rsidR="0070710A" w:rsidRPr="00EF788F">
        <w:t>,</w:t>
      </w:r>
      <w:r w:rsidR="00AD3C48" w:rsidRPr="00EF788F">
        <w:t xml:space="preserve"> of which the person is aware.</w:t>
      </w:r>
    </w:p>
    <w:p w14:paraId="488487ED" w14:textId="77777777" w:rsidR="006B3E44" w:rsidRPr="00EF788F" w:rsidRDefault="00E30156" w:rsidP="006B3E44">
      <w:pPr>
        <w:pStyle w:val="ActHead7"/>
        <w:pageBreakBefore/>
      </w:pPr>
      <w:bookmarkStart w:id="14" w:name="_Toc84835146"/>
      <w:r w:rsidRPr="00C518BF">
        <w:rPr>
          <w:rStyle w:val="CharAmPartNo"/>
        </w:rPr>
        <w:lastRenderedPageBreak/>
        <w:t>Part 3</w:t>
      </w:r>
      <w:r w:rsidR="006B3E44" w:rsidRPr="00EF788F">
        <w:t>—</w:t>
      </w:r>
      <w:r w:rsidR="00562059" w:rsidRPr="00C518BF">
        <w:rPr>
          <w:rStyle w:val="CharAmPartText"/>
        </w:rPr>
        <w:t>Patient implant cards and patient information leaflets</w:t>
      </w:r>
      <w:bookmarkEnd w:id="14"/>
    </w:p>
    <w:p w14:paraId="1F5F6318" w14:textId="77777777" w:rsidR="006B3E44" w:rsidRPr="00EF788F" w:rsidRDefault="006B3E44" w:rsidP="006B3E44">
      <w:pPr>
        <w:pStyle w:val="ActHead9"/>
      </w:pPr>
      <w:bookmarkStart w:id="15" w:name="_Toc84835147"/>
      <w:r w:rsidRPr="00EF788F">
        <w:t xml:space="preserve">Therapeutic Goods (Medical Devices) </w:t>
      </w:r>
      <w:r w:rsidR="00EF1DEF" w:rsidRPr="00EF788F">
        <w:t>Regulations 2</w:t>
      </w:r>
      <w:r w:rsidRPr="00EF788F">
        <w:t>002</w:t>
      </w:r>
      <w:bookmarkEnd w:id="15"/>
    </w:p>
    <w:p w14:paraId="29695AF3" w14:textId="77777777" w:rsidR="00B265A1" w:rsidRPr="00EF788F" w:rsidRDefault="002D62DD" w:rsidP="00B265A1">
      <w:pPr>
        <w:pStyle w:val="ItemHead"/>
      </w:pPr>
      <w:r w:rsidRPr="00EF788F">
        <w:t>16</w:t>
      </w:r>
      <w:r w:rsidR="00B265A1" w:rsidRPr="00EF788F">
        <w:t xml:space="preserve">  After </w:t>
      </w:r>
      <w:r w:rsidR="00EF1DEF" w:rsidRPr="00EF788F">
        <w:t>Division 9</w:t>
      </w:r>
      <w:r w:rsidR="00B265A1" w:rsidRPr="00EF788F">
        <w:t xml:space="preserve">.1 of </w:t>
      </w:r>
      <w:r w:rsidR="00EF1DEF" w:rsidRPr="00EF788F">
        <w:t>Part 9</w:t>
      </w:r>
    </w:p>
    <w:p w14:paraId="49D2DDD7" w14:textId="77777777" w:rsidR="00B265A1" w:rsidRPr="00EF788F" w:rsidRDefault="00B265A1" w:rsidP="00B265A1">
      <w:pPr>
        <w:pStyle w:val="Item"/>
      </w:pPr>
      <w:r w:rsidRPr="00EF788F">
        <w:t>Insert:</w:t>
      </w:r>
    </w:p>
    <w:p w14:paraId="39955879" w14:textId="77777777" w:rsidR="00B265A1" w:rsidRPr="00EF788F" w:rsidRDefault="00EF1DEF" w:rsidP="00B265A1">
      <w:pPr>
        <w:pStyle w:val="ActHead3"/>
      </w:pPr>
      <w:bookmarkStart w:id="16" w:name="_Toc84835148"/>
      <w:r w:rsidRPr="00C518BF">
        <w:rPr>
          <w:rStyle w:val="CharDivNo"/>
        </w:rPr>
        <w:t>Division 9</w:t>
      </w:r>
      <w:r w:rsidR="00B265A1" w:rsidRPr="00C518BF">
        <w:rPr>
          <w:rStyle w:val="CharDivNo"/>
        </w:rPr>
        <w:t>.1A</w:t>
      </w:r>
      <w:r w:rsidR="00B265A1" w:rsidRPr="00EF788F">
        <w:t>—</w:t>
      </w:r>
      <w:r w:rsidR="00B265A1" w:rsidRPr="00C518BF">
        <w:rPr>
          <w:rStyle w:val="CharDivText"/>
        </w:rPr>
        <w:t>Reduc</w:t>
      </w:r>
      <w:r w:rsidR="003B2C4D" w:rsidRPr="00C518BF">
        <w:rPr>
          <w:rStyle w:val="CharDivText"/>
        </w:rPr>
        <w:t>ed fee</w:t>
      </w:r>
      <w:r w:rsidR="00B265A1" w:rsidRPr="00C518BF">
        <w:rPr>
          <w:rStyle w:val="CharDivText"/>
        </w:rPr>
        <w:t xml:space="preserve"> for consent to </w:t>
      </w:r>
      <w:r w:rsidR="005314E1" w:rsidRPr="00C518BF">
        <w:rPr>
          <w:rStyle w:val="CharDivText"/>
        </w:rPr>
        <w:t xml:space="preserve">import, </w:t>
      </w:r>
      <w:r w:rsidR="00B265A1" w:rsidRPr="00C518BF">
        <w:rPr>
          <w:rStyle w:val="CharDivText"/>
        </w:rPr>
        <w:t>supply</w:t>
      </w:r>
      <w:r w:rsidR="005314E1" w:rsidRPr="00C518BF">
        <w:rPr>
          <w:rStyle w:val="CharDivText"/>
        </w:rPr>
        <w:t xml:space="preserve"> or export implantable medical devices—patient implant cards and patient information leaflets</w:t>
      </w:r>
      <w:bookmarkEnd w:id="16"/>
    </w:p>
    <w:p w14:paraId="316FEBDB" w14:textId="77777777" w:rsidR="005314E1" w:rsidRPr="00EF788F" w:rsidRDefault="005314E1" w:rsidP="005314E1">
      <w:pPr>
        <w:pStyle w:val="ActHead5"/>
      </w:pPr>
      <w:bookmarkStart w:id="17" w:name="_Toc84835149"/>
      <w:r w:rsidRPr="00C518BF">
        <w:rPr>
          <w:rStyle w:val="CharSectno"/>
        </w:rPr>
        <w:t>9.1AA</w:t>
      </w:r>
      <w:r w:rsidRPr="00EF788F">
        <w:t xml:space="preserve">  Working out the </w:t>
      </w:r>
      <w:r w:rsidR="003B2C4D" w:rsidRPr="00EF788F">
        <w:t>reduced fee</w:t>
      </w:r>
      <w:bookmarkEnd w:id="17"/>
    </w:p>
    <w:p w14:paraId="2DB7F87E" w14:textId="77777777" w:rsidR="002908C9" w:rsidRPr="00EF788F" w:rsidRDefault="002908C9" w:rsidP="002908C9">
      <w:pPr>
        <w:pStyle w:val="subsection"/>
      </w:pPr>
      <w:r w:rsidRPr="00EF788F">
        <w:tab/>
        <w:t>(1)</w:t>
      </w:r>
      <w:r w:rsidRPr="00EF788F">
        <w:tab/>
        <w:t>If:</w:t>
      </w:r>
    </w:p>
    <w:p w14:paraId="05C4BBA4" w14:textId="77777777" w:rsidR="002908C9" w:rsidRPr="00EF788F" w:rsidRDefault="002908C9" w:rsidP="002908C9">
      <w:pPr>
        <w:pStyle w:val="paragraph"/>
      </w:pPr>
      <w:r w:rsidRPr="00EF788F">
        <w:tab/>
        <w:t>(a)</w:t>
      </w:r>
      <w:r w:rsidRPr="00EF788F">
        <w:tab/>
        <w:t xml:space="preserve">an application is covered by </w:t>
      </w:r>
      <w:r w:rsidR="00E30156" w:rsidRPr="00EF788F">
        <w:t>paragraph (</w:t>
      </w:r>
      <w:r w:rsidRPr="00EF788F">
        <w:t xml:space="preserve">a) of </w:t>
      </w:r>
      <w:r w:rsidR="00E30156" w:rsidRPr="00EF788F">
        <w:t>item 1</w:t>
      </w:r>
      <w:r w:rsidRPr="00EF788F">
        <w:t xml:space="preserve">.15 of the table in </w:t>
      </w:r>
      <w:r w:rsidR="00E30156" w:rsidRPr="00EF788F">
        <w:t>Part 1</w:t>
      </w:r>
      <w:r w:rsidRPr="00EF788F">
        <w:t xml:space="preserve"> of </w:t>
      </w:r>
      <w:r w:rsidR="00E30156" w:rsidRPr="00EF788F">
        <w:t>Schedule 5</w:t>
      </w:r>
      <w:r w:rsidRPr="00EF788F">
        <w:t>; and</w:t>
      </w:r>
    </w:p>
    <w:p w14:paraId="675F2917" w14:textId="77777777" w:rsidR="002908C9" w:rsidRPr="00EF788F" w:rsidRDefault="002908C9" w:rsidP="002908C9">
      <w:pPr>
        <w:pStyle w:val="paragraph"/>
      </w:pPr>
      <w:r w:rsidRPr="00EF788F">
        <w:tab/>
        <w:t>(b)</w:t>
      </w:r>
      <w:r w:rsidRPr="00EF788F">
        <w:tab/>
        <w:t xml:space="preserve">the application is made solely in relation to the application of either or both of </w:t>
      </w:r>
      <w:r w:rsidR="00E30156" w:rsidRPr="00EF788F">
        <w:t>clauses 1</w:t>
      </w:r>
      <w:r w:rsidRPr="00EF788F">
        <w:t xml:space="preserve">3A.2 </w:t>
      </w:r>
      <w:r w:rsidR="00EA2AD2" w:rsidRPr="00EF788F">
        <w:t>and</w:t>
      </w:r>
      <w:r w:rsidRPr="00EF788F">
        <w:t xml:space="preserve"> 13A.3 of </w:t>
      </w:r>
      <w:r w:rsidR="00E30156" w:rsidRPr="00EF788F">
        <w:t>Schedule 1</w:t>
      </w:r>
      <w:r w:rsidRPr="00EF788F">
        <w:t>;</w:t>
      </w:r>
    </w:p>
    <w:p w14:paraId="48B83F22" w14:textId="77777777" w:rsidR="002908C9" w:rsidRPr="00EF788F" w:rsidRDefault="002908C9" w:rsidP="002908C9">
      <w:pPr>
        <w:pStyle w:val="subsection2"/>
      </w:pPr>
      <w:r w:rsidRPr="00EF788F">
        <w:t xml:space="preserve">the amount of the fee is not worked out in accordance with </w:t>
      </w:r>
      <w:r w:rsidR="00E30156" w:rsidRPr="00EF788F">
        <w:t>Part 1</w:t>
      </w:r>
      <w:r w:rsidRPr="00EF788F">
        <w:t xml:space="preserve"> of </w:t>
      </w:r>
      <w:r w:rsidR="00E30156" w:rsidRPr="00EF788F">
        <w:t>Schedule 5</w:t>
      </w:r>
      <w:r w:rsidRPr="00EF788F">
        <w:t>. Instead, the amount of the fee is $30.</w:t>
      </w:r>
    </w:p>
    <w:p w14:paraId="5F5AC4C8" w14:textId="77777777" w:rsidR="005314E1" w:rsidRPr="00EF788F" w:rsidRDefault="005314E1" w:rsidP="005314E1">
      <w:pPr>
        <w:pStyle w:val="subsection"/>
      </w:pPr>
      <w:r w:rsidRPr="00EF788F">
        <w:tab/>
      </w:r>
      <w:r w:rsidR="002908C9" w:rsidRPr="00EF788F">
        <w:t>(2)</w:t>
      </w:r>
      <w:r w:rsidRPr="00EF788F">
        <w:tab/>
        <w:t>If:</w:t>
      </w:r>
    </w:p>
    <w:p w14:paraId="383C06CC" w14:textId="77777777" w:rsidR="005314E1" w:rsidRPr="00EF788F" w:rsidRDefault="005314E1" w:rsidP="005314E1">
      <w:pPr>
        <w:pStyle w:val="paragraph"/>
      </w:pPr>
      <w:r w:rsidRPr="00EF788F">
        <w:tab/>
        <w:t>(a)</w:t>
      </w:r>
      <w:r w:rsidRPr="00EF788F">
        <w:tab/>
        <w:t xml:space="preserve">an application is covered by </w:t>
      </w:r>
      <w:r w:rsidR="00E30156" w:rsidRPr="00EF788F">
        <w:t>paragraph (</w:t>
      </w:r>
      <w:r w:rsidRPr="00EF788F">
        <w:t xml:space="preserve">b) of </w:t>
      </w:r>
      <w:r w:rsidR="00E30156" w:rsidRPr="00EF788F">
        <w:t>item 1</w:t>
      </w:r>
      <w:r w:rsidRPr="00EF788F">
        <w:t xml:space="preserve">.15 of the table in </w:t>
      </w:r>
      <w:r w:rsidR="00E30156" w:rsidRPr="00EF788F">
        <w:t>Part 1</w:t>
      </w:r>
      <w:r w:rsidR="001B666C" w:rsidRPr="00EF788F">
        <w:t xml:space="preserve"> of </w:t>
      </w:r>
      <w:r w:rsidR="00E30156" w:rsidRPr="00EF788F">
        <w:t>Schedule 5</w:t>
      </w:r>
      <w:r w:rsidRPr="00EF788F">
        <w:t>; and</w:t>
      </w:r>
    </w:p>
    <w:p w14:paraId="71DD874A" w14:textId="77777777" w:rsidR="005314E1" w:rsidRPr="00EF788F" w:rsidRDefault="005314E1" w:rsidP="005314E1">
      <w:pPr>
        <w:pStyle w:val="paragraph"/>
      </w:pPr>
      <w:r w:rsidRPr="00EF788F">
        <w:tab/>
        <w:t>(b)</w:t>
      </w:r>
      <w:r w:rsidRPr="00EF788F">
        <w:tab/>
        <w:t xml:space="preserve">the application is made solely in relation to the application of either or both of </w:t>
      </w:r>
      <w:r w:rsidR="00E30156" w:rsidRPr="00EF788F">
        <w:t>clauses 1</w:t>
      </w:r>
      <w:r w:rsidRPr="00EF788F">
        <w:t xml:space="preserve">3A.2 </w:t>
      </w:r>
      <w:r w:rsidR="00BD3D26" w:rsidRPr="00EF788F">
        <w:t>and</w:t>
      </w:r>
      <w:r w:rsidRPr="00EF788F">
        <w:t xml:space="preserve"> 13A.3 of </w:t>
      </w:r>
      <w:r w:rsidR="00E30156" w:rsidRPr="00EF788F">
        <w:t>Schedule 1</w:t>
      </w:r>
      <w:r w:rsidRPr="00EF788F">
        <w:t>;</w:t>
      </w:r>
    </w:p>
    <w:p w14:paraId="5A9C1126" w14:textId="77777777" w:rsidR="005314E1" w:rsidRPr="00EF788F" w:rsidRDefault="005314E1" w:rsidP="005314E1">
      <w:pPr>
        <w:pStyle w:val="subsection2"/>
      </w:pPr>
      <w:r w:rsidRPr="00EF788F">
        <w:t xml:space="preserve">the amount of the fee is not worked </w:t>
      </w:r>
      <w:r w:rsidR="00C85E2E" w:rsidRPr="00EF788F">
        <w:t xml:space="preserve">out </w:t>
      </w:r>
      <w:r w:rsidRPr="00EF788F">
        <w:t xml:space="preserve">in </w:t>
      </w:r>
      <w:r w:rsidR="0020147D" w:rsidRPr="00EF788F">
        <w:t xml:space="preserve">accordance with </w:t>
      </w:r>
      <w:r w:rsidR="00E30156" w:rsidRPr="00EF788F">
        <w:t>Part 1</w:t>
      </w:r>
      <w:r w:rsidR="001B666C" w:rsidRPr="00EF788F">
        <w:t xml:space="preserve"> of </w:t>
      </w:r>
      <w:r w:rsidR="00E30156" w:rsidRPr="00EF788F">
        <w:t>Schedule 5</w:t>
      </w:r>
      <w:r w:rsidR="0020147D" w:rsidRPr="00EF788F">
        <w:t>. Instead, the amount of the fee is</w:t>
      </w:r>
      <w:r w:rsidR="002908C9" w:rsidRPr="00EF788F">
        <w:t xml:space="preserve"> </w:t>
      </w:r>
      <w:r w:rsidR="0020147D" w:rsidRPr="00EF788F">
        <w:t>worked out in accordance with the following method statement:</w:t>
      </w:r>
    </w:p>
    <w:p w14:paraId="304AD4F8" w14:textId="77777777" w:rsidR="0020147D" w:rsidRPr="00EF788F" w:rsidRDefault="0020147D" w:rsidP="0020147D">
      <w:pPr>
        <w:pStyle w:val="BoxHeadItalic"/>
      </w:pPr>
      <w:r w:rsidRPr="00EF788F">
        <w:t>Method statement</w:t>
      </w:r>
    </w:p>
    <w:p w14:paraId="41D8F2BA" w14:textId="77777777" w:rsidR="0020147D" w:rsidRPr="00EF788F" w:rsidRDefault="0020147D" w:rsidP="0020147D">
      <w:pPr>
        <w:pStyle w:val="BoxStep"/>
      </w:pPr>
      <w:r w:rsidRPr="00EF788F">
        <w:t>Step 1.</w:t>
      </w:r>
      <w:r w:rsidRPr="00EF788F">
        <w:tab/>
      </w:r>
      <w:r w:rsidR="002908C9" w:rsidRPr="00EF788F">
        <w:t>Work out the number of separate entries in the Register in relation to the devices concerned</w:t>
      </w:r>
      <w:r w:rsidRPr="00EF788F">
        <w:t>.</w:t>
      </w:r>
    </w:p>
    <w:p w14:paraId="3AE4B219" w14:textId="77777777" w:rsidR="0020147D" w:rsidRPr="00EF788F" w:rsidRDefault="0020147D" w:rsidP="0020147D">
      <w:pPr>
        <w:pStyle w:val="BoxStep"/>
      </w:pPr>
      <w:r w:rsidRPr="00EF788F">
        <w:t xml:space="preserve">Step </w:t>
      </w:r>
      <w:r w:rsidR="002908C9" w:rsidRPr="00EF788F">
        <w:t>2</w:t>
      </w:r>
      <w:r w:rsidRPr="00EF788F">
        <w:t>.</w:t>
      </w:r>
      <w:r w:rsidRPr="00EF788F">
        <w:tab/>
        <w:t xml:space="preserve">The amount of the fee is the </w:t>
      </w:r>
      <w:r w:rsidR="002908C9" w:rsidRPr="00EF788F">
        <w:t xml:space="preserve">number at step 1 </w:t>
      </w:r>
      <w:r w:rsidR="003B2C4D" w:rsidRPr="00EF788F">
        <w:t>multiplied</w:t>
      </w:r>
      <w:r w:rsidR="002908C9" w:rsidRPr="00EF788F">
        <w:t xml:space="preserve"> by $30.</w:t>
      </w:r>
    </w:p>
    <w:p w14:paraId="72912B77" w14:textId="77777777" w:rsidR="00A61594" w:rsidRPr="00EF788F" w:rsidRDefault="002D62DD" w:rsidP="00A61594">
      <w:pPr>
        <w:pStyle w:val="ItemHead"/>
      </w:pPr>
      <w:r w:rsidRPr="00EF788F">
        <w:t>17</w:t>
      </w:r>
      <w:r w:rsidR="00A61594" w:rsidRPr="00EF788F">
        <w:t xml:space="preserve">  </w:t>
      </w:r>
      <w:r w:rsidR="00E30156" w:rsidRPr="00EF788F">
        <w:t>Clause 1</w:t>
      </w:r>
      <w:r w:rsidR="00A61594" w:rsidRPr="00EF788F">
        <w:t xml:space="preserve">3A </w:t>
      </w:r>
      <w:r w:rsidR="00B001CC" w:rsidRPr="00EF788F">
        <w:t xml:space="preserve">of </w:t>
      </w:r>
      <w:r w:rsidR="00E30156" w:rsidRPr="00EF788F">
        <w:t>Schedule 1</w:t>
      </w:r>
      <w:r w:rsidR="00B001CC" w:rsidRPr="00EF788F">
        <w:t xml:space="preserve"> </w:t>
      </w:r>
      <w:r w:rsidR="00A61594" w:rsidRPr="00EF788F">
        <w:t>(heading)</w:t>
      </w:r>
    </w:p>
    <w:p w14:paraId="463D71E3" w14:textId="77777777" w:rsidR="00A61594" w:rsidRPr="00EF788F" w:rsidRDefault="00A61594" w:rsidP="00A61594">
      <w:pPr>
        <w:pStyle w:val="Item"/>
      </w:pPr>
      <w:r w:rsidRPr="00EF788F">
        <w:t>Repeal the heading, substitute:</w:t>
      </w:r>
    </w:p>
    <w:p w14:paraId="3E46DC78" w14:textId="77777777" w:rsidR="00A61594" w:rsidRPr="00EF788F" w:rsidRDefault="00A61594" w:rsidP="00A61594">
      <w:pPr>
        <w:pStyle w:val="ActHead5"/>
      </w:pPr>
      <w:bookmarkStart w:id="18" w:name="_Toc84835150"/>
      <w:r w:rsidRPr="00C518BF">
        <w:rPr>
          <w:rStyle w:val="CharSectno"/>
        </w:rPr>
        <w:t>13A</w:t>
      </w:r>
      <w:r w:rsidRPr="00EF788F">
        <w:t xml:space="preserve">  Patient information about implantable medical devices or active implantable medical devices to be made available</w:t>
      </w:r>
      <w:bookmarkEnd w:id="18"/>
    </w:p>
    <w:p w14:paraId="3F84BA9D" w14:textId="77777777" w:rsidR="000C4B07" w:rsidRPr="00EF788F" w:rsidRDefault="002D62DD" w:rsidP="000C4B07">
      <w:pPr>
        <w:pStyle w:val="ItemHead"/>
      </w:pPr>
      <w:r w:rsidRPr="00EF788F">
        <w:t>18</w:t>
      </w:r>
      <w:r w:rsidR="000C4B07" w:rsidRPr="00EF788F">
        <w:t xml:space="preserve">  </w:t>
      </w:r>
      <w:r w:rsidR="00E30156" w:rsidRPr="00EF788F">
        <w:t>Paragraph 1</w:t>
      </w:r>
      <w:r w:rsidR="000C4B07" w:rsidRPr="00EF788F">
        <w:t>3A.1(b)</w:t>
      </w:r>
      <w:r w:rsidR="00B001CC" w:rsidRPr="00EF788F">
        <w:t xml:space="preserve"> of </w:t>
      </w:r>
      <w:r w:rsidR="00E30156" w:rsidRPr="00EF788F">
        <w:t>Schedule 1</w:t>
      </w:r>
    </w:p>
    <w:p w14:paraId="61F7FCC3" w14:textId="77777777" w:rsidR="000C4B07" w:rsidRPr="00EF788F" w:rsidRDefault="000C4B07" w:rsidP="000C4B07">
      <w:pPr>
        <w:pStyle w:val="Item"/>
      </w:pPr>
      <w:r w:rsidRPr="00EF788F">
        <w:t>Omit “or connector”, substitute “, connector or similar article”.</w:t>
      </w:r>
    </w:p>
    <w:p w14:paraId="01A8BBFB" w14:textId="77777777" w:rsidR="00562059" w:rsidRPr="00EF788F" w:rsidRDefault="002D62DD" w:rsidP="005078BB">
      <w:pPr>
        <w:pStyle w:val="ItemHead"/>
      </w:pPr>
      <w:r w:rsidRPr="00EF788F">
        <w:t>19</w:t>
      </w:r>
      <w:r w:rsidR="00562059" w:rsidRPr="00EF788F">
        <w:t xml:space="preserve">  </w:t>
      </w:r>
      <w:r w:rsidR="00E30156" w:rsidRPr="00EF788F">
        <w:t>Clause 1</w:t>
      </w:r>
      <w:r w:rsidR="005078BB" w:rsidRPr="00EF788F">
        <w:t xml:space="preserve">3A.2 </w:t>
      </w:r>
      <w:r w:rsidR="00B001CC" w:rsidRPr="00EF788F">
        <w:t xml:space="preserve">of </w:t>
      </w:r>
      <w:r w:rsidR="00E30156" w:rsidRPr="00EF788F">
        <w:t>Schedule 1</w:t>
      </w:r>
      <w:r w:rsidR="00B001CC" w:rsidRPr="00EF788F">
        <w:t xml:space="preserve"> </w:t>
      </w:r>
      <w:r w:rsidR="005078BB" w:rsidRPr="00EF788F">
        <w:t>(heading)</w:t>
      </w:r>
    </w:p>
    <w:p w14:paraId="41403851" w14:textId="77777777" w:rsidR="005078BB" w:rsidRPr="00EF788F" w:rsidRDefault="005078BB" w:rsidP="005078BB">
      <w:pPr>
        <w:pStyle w:val="Item"/>
      </w:pPr>
      <w:r w:rsidRPr="00EF788F">
        <w:t>Repeal the heading, substitute:</w:t>
      </w:r>
    </w:p>
    <w:p w14:paraId="57BD54BE" w14:textId="77777777" w:rsidR="005078BB" w:rsidRPr="00EF788F" w:rsidRDefault="005078BB" w:rsidP="005078BB">
      <w:pPr>
        <w:pStyle w:val="ActHead5"/>
      </w:pPr>
      <w:bookmarkStart w:id="19" w:name="_Toc84835151"/>
      <w:r w:rsidRPr="00C518BF">
        <w:rPr>
          <w:rStyle w:val="CharSectno"/>
        </w:rPr>
        <w:lastRenderedPageBreak/>
        <w:t>13A.2</w:t>
      </w:r>
      <w:r w:rsidRPr="00EF788F">
        <w:t xml:space="preserve">  Patient implant cards etc. for implantable devices</w:t>
      </w:r>
      <w:bookmarkEnd w:id="19"/>
    </w:p>
    <w:p w14:paraId="1568CFBF" w14:textId="77777777" w:rsidR="0091737A" w:rsidRPr="00EF788F" w:rsidRDefault="002D62DD" w:rsidP="0091737A">
      <w:pPr>
        <w:pStyle w:val="ItemHead"/>
      </w:pPr>
      <w:r w:rsidRPr="00EF788F">
        <w:t>20</w:t>
      </w:r>
      <w:r w:rsidR="0091737A" w:rsidRPr="00EF788F">
        <w:t xml:space="preserve">  </w:t>
      </w:r>
      <w:r w:rsidR="00E30156" w:rsidRPr="00EF788F">
        <w:t>Subclause 1</w:t>
      </w:r>
      <w:r w:rsidR="0091737A" w:rsidRPr="00EF788F">
        <w:t>3A.2(1)</w:t>
      </w:r>
      <w:r w:rsidR="00B001CC" w:rsidRPr="00EF788F">
        <w:t xml:space="preserve"> of </w:t>
      </w:r>
      <w:r w:rsidR="00E30156" w:rsidRPr="00EF788F">
        <w:t>Schedule 1</w:t>
      </w:r>
    </w:p>
    <w:p w14:paraId="70F69A3E" w14:textId="77777777" w:rsidR="0091737A" w:rsidRPr="00EF788F" w:rsidRDefault="0091737A" w:rsidP="0091737A">
      <w:pPr>
        <w:pStyle w:val="Item"/>
      </w:pPr>
      <w:r w:rsidRPr="00EF788F">
        <w:t>Repeal the sub</w:t>
      </w:r>
      <w:r w:rsidR="00B001CC" w:rsidRPr="00EF788F">
        <w:t>clause</w:t>
      </w:r>
      <w:r w:rsidRPr="00EF788F">
        <w:t>, substitute:</w:t>
      </w:r>
    </w:p>
    <w:p w14:paraId="3F881DC8" w14:textId="77777777" w:rsidR="00B60C2D" w:rsidRPr="00EF788F" w:rsidRDefault="00B60C2D" w:rsidP="00B60C2D">
      <w:pPr>
        <w:pStyle w:val="subsection"/>
      </w:pPr>
      <w:bookmarkStart w:id="20" w:name="_Hlk82589492"/>
      <w:r w:rsidRPr="00EF788F">
        <w:tab/>
        <w:t>(1)</w:t>
      </w:r>
      <w:r w:rsidRPr="00EF788F">
        <w:tab/>
        <w:t>Either:</w:t>
      </w:r>
    </w:p>
    <w:p w14:paraId="63EB52CD" w14:textId="77777777" w:rsidR="00B60C2D" w:rsidRPr="00EF788F" w:rsidRDefault="00B60C2D" w:rsidP="00B60C2D">
      <w:pPr>
        <w:pStyle w:val="paragraph"/>
      </w:pPr>
      <w:r w:rsidRPr="00EF788F">
        <w:tab/>
        <w:t>(a)</w:t>
      </w:r>
      <w:r w:rsidRPr="00EF788F">
        <w:tab/>
        <w:t xml:space="preserve">a card (a </w:t>
      </w:r>
      <w:r w:rsidRPr="00EF788F">
        <w:rPr>
          <w:b/>
          <w:i/>
        </w:rPr>
        <w:t>patient implant card</w:t>
      </w:r>
      <w:r w:rsidRPr="00EF788F">
        <w:t xml:space="preserve">) that includes the information covered by </w:t>
      </w:r>
      <w:r w:rsidR="00E30156" w:rsidRPr="00EF788F">
        <w:t>subclause (</w:t>
      </w:r>
      <w:r w:rsidRPr="00EF788F">
        <w:t>2) and that satisfies clause 13A.4 must be made available for provision to the patient concerned;</w:t>
      </w:r>
      <w:r w:rsidR="00A35057" w:rsidRPr="00EF788F">
        <w:t xml:space="preserve"> or</w:t>
      </w:r>
    </w:p>
    <w:p w14:paraId="55D477CF" w14:textId="77777777" w:rsidR="00B60C2D" w:rsidRPr="00EF788F" w:rsidRDefault="00B60C2D" w:rsidP="00B60C2D">
      <w:pPr>
        <w:pStyle w:val="paragraph"/>
      </w:pPr>
      <w:r w:rsidRPr="00EF788F">
        <w:tab/>
        <w:t>(b)</w:t>
      </w:r>
      <w:r w:rsidRPr="00EF788F">
        <w:tab/>
        <w:t xml:space="preserve">information covered by </w:t>
      </w:r>
      <w:r w:rsidR="00E30156" w:rsidRPr="00EF788F">
        <w:t>subclause (</w:t>
      </w:r>
      <w:r w:rsidRPr="00EF788F">
        <w:t>2) that is in electronic form and that satisfies clause 13A.4 must be made available in a way that is readily accessible by the patient concerned.</w:t>
      </w:r>
    </w:p>
    <w:bookmarkEnd w:id="20"/>
    <w:p w14:paraId="53052B45" w14:textId="77777777" w:rsidR="005B5A76" w:rsidRPr="00EF788F" w:rsidRDefault="002D62DD" w:rsidP="008C5EEB">
      <w:pPr>
        <w:pStyle w:val="ItemHead"/>
      </w:pPr>
      <w:r w:rsidRPr="00EF788F">
        <w:t>21</w:t>
      </w:r>
      <w:r w:rsidR="008C5EEB" w:rsidRPr="00EF788F">
        <w:t xml:space="preserve">  </w:t>
      </w:r>
      <w:r w:rsidR="00E30156" w:rsidRPr="00EF788F">
        <w:t>Subclause 1</w:t>
      </w:r>
      <w:r w:rsidR="008C5EEB" w:rsidRPr="00EF788F">
        <w:t>3A.2(2)</w:t>
      </w:r>
      <w:r w:rsidR="00B001CC" w:rsidRPr="00EF788F">
        <w:t xml:space="preserve"> of </w:t>
      </w:r>
      <w:r w:rsidR="00E30156" w:rsidRPr="00EF788F">
        <w:t>Schedule 1</w:t>
      </w:r>
    </w:p>
    <w:p w14:paraId="0859E590" w14:textId="77777777" w:rsidR="008C5EEB" w:rsidRPr="00EF788F" w:rsidRDefault="008C5EEB" w:rsidP="008C5EEB">
      <w:pPr>
        <w:pStyle w:val="Item"/>
      </w:pPr>
      <w:r w:rsidRPr="00EF788F">
        <w:t>Omit “The card must include the information mentioned in the following table”, substitute “</w:t>
      </w:r>
      <w:r w:rsidR="005B51C5" w:rsidRPr="00EF788F">
        <w:t>The information covered by this sub</w:t>
      </w:r>
      <w:r w:rsidR="00654D30" w:rsidRPr="00EF788F">
        <w:t>clause</w:t>
      </w:r>
      <w:r w:rsidR="005B51C5" w:rsidRPr="00EF788F">
        <w:t xml:space="preserve"> is the information in the following table</w:t>
      </w:r>
      <w:r w:rsidRPr="00EF788F">
        <w:t>”.</w:t>
      </w:r>
    </w:p>
    <w:p w14:paraId="7BC88393" w14:textId="77777777" w:rsidR="008C5EEB" w:rsidRPr="00EF788F" w:rsidRDefault="002D62DD" w:rsidP="008C5EEB">
      <w:pPr>
        <w:pStyle w:val="ItemHead"/>
      </w:pPr>
      <w:r w:rsidRPr="00EF788F">
        <w:t>22</w:t>
      </w:r>
      <w:r w:rsidR="008C5EEB" w:rsidRPr="00EF788F">
        <w:t xml:space="preserve">  </w:t>
      </w:r>
      <w:r w:rsidR="00E30156" w:rsidRPr="00EF788F">
        <w:t>Subclause 1</w:t>
      </w:r>
      <w:r w:rsidR="008C5EEB" w:rsidRPr="00EF788F">
        <w:t>3A.2(2)</w:t>
      </w:r>
      <w:r w:rsidR="00B001CC" w:rsidRPr="00EF788F">
        <w:t xml:space="preserve"> of </w:t>
      </w:r>
      <w:r w:rsidR="00E30156" w:rsidRPr="00EF788F">
        <w:t>Schedule 1</w:t>
      </w:r>
      <w:r w:rsidR="008C5EEB" w:rsidRPr="00EF788F">
        <w:t xml:space="preserve"> (table heading)</w:t>
      </w:r>
    </w:p>
    <w:p w14:paraId="566C9C6E" w14:textId="77777777" w:rsidR="008C5EEB" w:rsidRPr="00EF788F" w:rsidRDefault="008C5EEB" w:rsidP="008C5EEB">
      <w:pPr>
        <w:pStyle w:val="Item"/>
      </w:pPr>
      <w:r w:rsidRPr="00EF788F">
        <w:t>Repeal the heading, substitute:</w:t>
      </w:r>
    </w:p>
    <w:p w14:paraId="1FBA15E2" w14:textId="77777777" w:rsidR="008C5EEB" w:rsidRPr="00EF788F" w:rsidRDefault="008C5EEB" w:rsidP="008C5EEB">
      <w:pPr>
        <w:pStyle w:val="TableHeading"/>
      </w:pPr>
      <w:r w:rsidRPr="00EF788F">
        <w:tab/>
        <w:t>Information to be made available for provision to patient</w:t>
      </w:r>
    </w:p>
    <w:p w14:paraId="40E6447C" w14:textId="77777777" w:rsidR="008C5EEB" w:rsidRPr="00EF788F" w:rsidRDefault="002D62DD" w:rsidP="008C5EEB">
      <w:pPr>
        <w:pStyle w:val="ItemHead"/>
      </w:pPr>
      <w:r w:rsidRPr="00EF788F">
        <w:t>23</w:t>
      </w:r>
      <w:r w:rsidR="008C5EEB" w:rsidRPr="00EF788F">
        <w:t xml:space="preserve">  </w:t>
      </w:r>
      <w:r w:rsidR="00E30156" w:rsidRPr="00EF788F">
        <w:t>Subclause 1</w:t>
      </w:r>
      <w:r w:rsidR="008C5EEB" w:rsidRPr="00EF788F">
        <w:t xml:space="preserve">3A.2(2) </w:t>
      </w:r>
      <w:r w:rsidR="00B001CC" w:rsidRPr="00EF788F">
        <w:t xml:space="preserve">of </w:t>
      </w:r>
      <w:r w:rsidR="00E30156" w:rsidRPr="00EF788F">
        <w:t>Schedule 1</w:t>
      </w:r>
      <w:r w:rsidR="00B001CC" w:rsidRPr="00EF788F">
        <w:t xml:space="preserve"> </w:t>
      </w:r>
      <w:r w:rsidR="008C5EEB" w:rsidRPr="00EF788F">
        <w:t>(table, heading to column headed “</w:t>
      </w:r>
      <w:r w:rsidR="00895FAC" w:rsidRPr="00EF788F">
        <w:t>Information to be included”)</w:t>
      </w:r>
    </w:p>
    <w:p w14:paraId="5CDE2A87" w14:textId="77777777" w:rsidR="00895FAC" w:rsidRPr="00EF788F" w:rsidRDefault="00895FAC" w:rsidP="00895FAC">
      <w:pPr>
        <w:pStyle w:val="Item"/>
      </w:pPr>
      <w:r w:rsidRPr="00EF788F">
        <w:t>Repeal the heading, substitute:</w:t>
      </w:r>
    </w:p>
    <w:p w14:paraId="521262F2" w14:textId="77777777" w:rsidR="00895FAC" w:rsidRPr="00EF788F" w:rsidRDefault="00895FAC" w:rsidP="00895FAC">
      <w:pPr>
        <w:pStyle w:val="TableHeading"/>
      </w:pPr>
      <w:r w:rsidRPr="00EF788F">
        <w:tab/>
        <w:t>Information</w:t>
      </w:r>
    </w:p>
    <w:p w14:paraId="266AB8F4" w14:textId="77777777" w:rsidR="00390027" w:rsidRPr="00EF788F" w:rsidRDefault="002D62DD" w:rsidP="00390027">
      <w:pPr>
        <w:pStyle w:val="ItemHead"/>
      </w:pPr>
      <w:r w:rsidRPr="00EF788F">
        <w:t>24</w:t>
      </w:r>
      <w:r w:rsidR="00390027" w:rsidRPr="00EF788F">
        <w:t xml:space="preserve">  </w:t>
      </w:r>
      <w:r w:rsidR="00E30156" w:rsidRPr="00EF788F">
        <w:t>Clause 1</w:t>
      </w:r>
      <w:r w:rsidR="00390027" w:rsidRPr="00EF788F">
        <w:t xml:space="preserve">3A.3 </w:t>
      </w:r>
      <w:r w:rsidR="00B001CC" w:rsidRPr="00EF788F">
        <w:t xml:space="preserve">of </w:t>
      </w:r>
      <w:r w:rsidR="00E30156" w:rsidRPr="00EF788F">
        <w:t>Schedule 1</w:t>
      </w:r>
      <w:r w:rsidR="00B001CC" w:rsidRPr="00EF788F">
        <w:t xml:space="preserve"> </w:t>
      </w:r>
      <w:r w:rsidR="00390027" w:rsidRPr="00EF788F">
        <w:t>(heading)</w:t>
      </w:r>
    </w:p>
    <w:p w14:paraId="674636B7" w14:textId="77777777" w:rsidR="00390027" w:rsidRPr="00EF788F" w:rsidRDefault="00390027" w:rsidP="00390027">
      <w:pPr>
        <w:pStyle w:val="Item"/>
      </w:pPr>
      <w:r w:rsidRPr="00EF788F">
        <w:t>Repeal the heading, substitute:</w:t>
      </w:r>
    </w:p>
    <w:p w14:paraId="0BADEEAA" w14:textId="77777777" w:rsidR="00390027" w:rsidRPr="00EF788F" w:rsidRDefault="00390027" w:rsidP="00390027">
      <w:pPr>
        <w:pStyle w:val="ActHead5"/>
      </w:pPr>
      <w:bookmarkStart w:id="21" w:name="_Toc84835152"/>
      <w:r w:rsidRPr="00C518BF">
        <w:rPr>
          <w:rStyle w:val="CharSectno"/>
        </w:rPr>
        <w:t>13A.3</w:t>
      </w:r>
      <w:r w:rsidRPr="00EF788F">
        <w:t xml:space="preserve">  Patient information leaflets etc. for implantable devices</w:t>
      </w:r>
      <w:bookmarkEnd w:id="21"/>
    </w:p>
    <w:p w14:paraId="2AA99D9E" w14:textId="77777777" w:rsidR="00390027" w:rsidRPr="00EF788F" w:rsidRDefault="002D62DD" w:rsidP="00390027">
      <w:pPr>
        <w:pStyle w:val="ItemHead"/>
      </w:pPr>
      <w:r w:rsidRPr="00EF788F">
        <w:t>25</w:t>
      </w:r>
      <w:r w:rsidR="00390027" w:rsidRPr="00EF788F">
        <w:t xml:space="preserve">  </w:t>
      </w:r>
      <w:r w:rsidR="00E30156" w:rsidRPr="00EF788F">
        <w:t>Subclause 1</w:t>
      </w:r>
      <w:r w:rsidR="00390027" w:rsidRPr="00EF788F">
        <w:t>3A.3(1)</w:t>
      </w:r>
      <w:r w:rsidR="00B001CC" w:rsidRPr="00EF788F">
        <w:t xml:space="preserve"> of </w:t>
      </w:r>
      <w:r w:rsidR="00E30156" w:rsidRPr="00EF788F">
        <w:t>Schedule 1</w:t>
      </w:r>
    </w:p>
    <w:p w14:paraId="4810702B" w14:textId="77777777" w:rsidR="00390027" w:rsidRPr="00EF788F" w:rsidRDefault="00390027" w:rsidP="00390027">
      <w:pPr>
        <w:pStyle w:val="Item"/>
      </w:pPr>
      <w:r w:rsidRPr="00EF788F">
        <w:t>Repeal the sub</w:t>
      </w:r>
      <w:r w:rsidR="00B001CC" w:rsidRPr="00EF788F">
        <w:t>clause</w:t>
      </w:r>
      <w:r w:rsidRPr="00EF788F">
        <w:t>, substitute:</w:t>
      </w:r>
    </w:p>
    <w:p w14:paraId="39ABFD2F" w14:textId="77777777" w:rsidR="00390027" w:rsidRPr="00EF788F" w:rsidRDefault="00390027" w:rsidP="00390027">
      <w:pPr>
        <w:pStyle w:val="subsection"/>
      </w:pPr>
      <w:r w:rsidRPr="00EF788F">
        <w:tab/>
        <w:t>(1)</w:t>
      </w:r>
      <w:r w:rsidRPr="00EF788F">
        <w:tab/>
        <w:t>Either:</w:t>
      </w:r>
    </w:p>
    <w:p w14:paraId="161CCC91" w14:textId="77777777" w:rsidR="00390027" w:rsidRPr="00EF788F" w:rsidRDefault="00390027" w:rsidP="00390027">
      <w:pPr>
        <w:pStyle w:val="paragraph"/>
      </w:pPr>
      <w:r w:rsidRPr="00EF788F">
        <w:tab/>
        <w:t>(a)</w:t>
      </w:r>
      <w:r w:rsidRPr="00EF788F">
        <w:tab/>
        <w:t>a leaflet (a</w:t>
      </w:r>
      <w:r w:rsidRPr="00EF788F">
        <w:rPr>
          <w:b/>
          <w:i/>
        </w:rPr>
        <w:t xml:space="preserve"> patient information leaflet</w:t>
      </w:r>
      <w:r w:rsidRPr="00EF788F">
        <w:t xml:space="preserve">) that includes the information covered by </w:t>
      </w:r>
      <w:r w:rsidR="00E30156" w:rsidRPr="00EF788F">
        <w:t>subclauses (</w:t>
      </w:r>
      <w:r w:rsidRPr="00EF788F">
        <w:t xml:space="preserve">2) and (3) and that satisfies </w:t>
      </w:r>
      <w:r w:rsidR="00E30156" w:rsidRPr="00EF788F">
        <w:t>subclause (</w:t>
      </w:r>
      <w:r w:rsidRPr="00EF788F">
        <w:t>4) and clause 13A.4</w:t>
      </w:r>
      <w:r w:rsidR="00B001CC" w:rsidRPr="00EF788F">
        <w:t xml:space="preserve"> must be made available for provision to the patient concerned</w:t>
      </w:r>
      <w:r w:rsidRPr="00EF788F">
        <w:t>;</w:t>
      </w:r>
      <w:r w:rsidR="00A35057" w:rsidRPr="00EF788F">
        <w:t xml:space="preserve"> or</w:t>
      </w:r>
    </w:p>
    <w:p w14:paraId="69E09E01" w14:textId="77777777" w:rsidR="00390027" w:rsidRPr="00EF788F" w:rsidRDefault="00390027" w:rsidP="00390027">
      <w:pPr>
        <w:pStyle w:val="paragraph"/>
      </w:pPr>
      <w:r w:rsidRPr="00EF788F">
        <w:tab/>
        <w:t>(b)</w:t>
      </w:r>
      <w:r w:rsidRPr="00EF788F">
        <w:tab/>
        <w:t xml:space="preserve">information covered by </w:t>
      </w:r>
      <w:r w:rsidR="00E30156" w:rsidRPr="00EF788F">
        <w:t>subclauses (</w:t>
      </w:r>
      <w:r w:rsidRPr="00EF788F">
        <w:t xml:space="preserve">2) and (3) that is in electronic form and that satisfies </w:t>
      </w:r>
      <w:r w:rsidR="00E30156" w:rsidRPr="00EF788F">
        <w:t>subclause (</w:t>
      </w:r>
      <w:r w:rsidRPr="00EF788F">
        <w:t>4) and clause 13A.4</w:t>
      </w:r>
      <w:r w:rsidR="00B001CC" w:rsidRPr="00EF788F">
        <w:t xml:space="preserve"> must be made available in a way that is readily accessible by the patient concerned</w:t>
      </w:r>
      <w:r w:rsidRPr="00EF788F">
        <w:t>.</w:t>
      </w:r>
    </w:p>
    <w:p w14:paraId="691A8991" w14:textId="77777777" w:rsidR="00390027" w:rsidRPr="00EF788F" w:rsidRDefault="002D62DD" w:rsidP="005B51C5">
      <w:pPr>
        <w:pStyle w:val="ItemHead"/>
      </w:pPr>
      <w:r w:rsidRPr="00EF788F">
        <w:t>26</w:t>
      </w:r>
      <w:r w:rsidR="005B51C5" w:rsidRPr="00EF788F">
        <w:t xml:space="preserve">  </w:t>
      </w:r>
      <w:r w:rsidR="00E30156" w:rsidRPr="00EF788F">
        <w:t>Subclause 1</w:t>
      </w:r>
      <w:r w:rsidR="005B51C5" w:rsidRPr="00EF788F">
        <w:t>3A.3(2)</w:t>
      </w:r>
      <w:r w:rsidR="00B001CC" w:rsidRPr="00EF788F">
        <w:t xml:space="preserve"> of </w:t>
      </w:r>
      <w:r w:rsidR="00E30156" w:rsidRPr="00EF788F">
        <w:t>Schedule 1</w:t>
      </w:r>
    </w:p>
    <w:p w14:paraId="3A1C6D85" w14:textId="77777777" w:rsidR="005B51C5" w:rsidRPr="00EF788F" w:rsidRDefault="005B51C5" w:rsidP="005B51C5">
      <w:pPr>
        <w:pStyle w:val="Item"/>
      </w:pPr>
      <w:r w:rsidRPr="00EF788F">
        <w:t>Omit “The leaflet must include the following information”, substitute “The information covered by this sub</w:t>
      </w:r>
      <w:r w:rsidR="00654D30" w:rsidRPr="00EF788F">
        <w:t>clause</w:t>
      </w:r>
      <w:r w:rsidRPr="00EF788F">
        <w:t xml:space="preserve"> is the following information”.</w:t>
      </w:r>
    </w:p>
    <w:p w14:paraId="6FA26C18" w14:textId="77777777" w:rsidR="005B51C5" w:rsidRPr="00EF788F" w:rsidRDefault="002D62DD" w:rsidP="005B51C5">
      <w:pPr>
        <w:pStyle w:val="ItemHead"/>
      </w:pPr>
      <w:r w:rsidRPr="00EF788F">
        <w:lastRenderedPageBreak/>
        <w:t>27</w:t>
      </w:r>
      <w:r w:rsidR="005B51C5" w:rsidRPr="00EF788F">
        <w:t xml:space="preserve">  </w:t>
      </w:r>
      <w:r w:rsidR="00E30156" w:rsidRPr="00EF788F">
        <w:t>Subclause 1</w:t>
      </w:r>
      <w:r w:rsidR="005B51C5" w:rsidRPr="00EF788F">
        <w:t>3A.3(3)</w:t>
      </w:r>
      <w:r w:rsidR="00B001CC" w:rsidRPr="00EF788F">
        <w:t xml:space="preserve"> of </w:t>
      </w:r>
      <w:r w:rsidR="00E30156" w:rsidRPr="00EF788F">
        <w:t>Schedule 1</w:t>
      </w:r>
    </w:p>
    <w:p w14:paraId="4519BA52" w14:textId="77777777" w:rsidR="005B51C5" w:rsidRPr="00EF788F" w:rsidRDefault="005B51C5" w:rsidP="005B51C5">
      <w:pPr>
        <w:pStyle w:val="Item"/>
      </w:pPr>
      <w:r w:rsidRPr="00EF788F">
        <w:t xml:space="preserve">Omit “In particular, the leaflet must include the information mentioned in the following table”, substitute “The information covered by this </w:t>
      </w:r>
      <w:r w:rsidR="00654D30" w:rsidRPr="00EF788F">
        <w:t>subclause</w:t>
      </w:r>
      <w:r w:rsidRPr="00EF788F">
        <w:t xml:space="preserve"> is the information in the following table”.</w:t>
      </w:r>
    </w:p>
    <w:p w14:paraId="070DC152" w14:textId="77777777" w:rsidR="005B51C5" w:rsidRPr="00EF788F" w:rsidRDefault="002D62DD" w:rsidP="005B51C5">
      <w:pPr>
        <w:pStyle w:val="ItemHead"/>
      </w:pPr>
      <w:r w:rsidRPr="00EF788F">
        <w:t>28</w:t>
      </w:r>
      <w:r w:rsidR="005B51C5" w:rsidRPr="00EF788F">
        <w:t xml:space="preserve">  </w:t>
      </w:r>
      <w:r w:rsidR="00E30156" w:rsidRPr="00EF788F">
        <w:t>Subclause 1</w:t>
      </w:r>
      <w:r w:rsidR="005B51C5" w:rsidRPr="00EF788F">
        <w:t xml:space="preserve">3A.3(3) </w:t>
      </w:r>
      <w:r w:rsidR="00B001CC" w:rsidRPr="00EF788F">
        <w:t xml:space="preserve">of </w:t>
      </w:r>
      <w:r w:rsidR="00E30156" w:rsidRPr="00EF788F">
        <w:t>Schedule 1</w:t>
      </w:r>
      <w:r w:rsidR="00B001CC" w:rsidRPr="00EF788F">
        <w:t xml:space="preserve"> </w:t>
      </w:r>
      <w:r w:rsidR="005B51C5" w:rsidRPr="00EF788F">
        <w:t>(table heading)</w:t>
      </w:r>
    </w:p>
    <w:p w14:paraId="35BE1EFC" w14:textId="77777777" w:rsidR="005B51C5" w:rsidRPr="00EF788F" w:rsidRDefault="005B51C5" w:rsidP="005B51C5">
      <w:pPr>
        <w:pStyle w:val="Item"/>
      </w:pPr>
      <w:r w:rsidRPr="00EF788F">
        <w:t>Repeal the heading, substitute:</w:t>
      </w:r>
    </w:p>
    <w:p w14:paraId="59B78C3A" w14:textId="77777777" w:rsidR="005B51C5" w:rsidRPr="00EF788F" w:rsidRDefault="005B51C5" w:rsidP="005B51C5">
      <w:pPr>
        <w:pStyle w:val="TableHeading"/>
      </w:pPr>
      <w:r w:rsidRPr="00EF788F">
        <w:tab/>
        <w:t>Information to be made available for provision to patient</w:t>
      </w:r>
    </w:p>
    <w:p w14:paraId="718B6F60" w14:textId="77777777" w:rsidR="005B51C5" w:rsidRPr="00EF788F" w:rsidRDefault="002D62DD" w:rsidP="005B51C5">
      <w:pPr>
        <w:pStyle w:val="ItemHead"/>
      </w:pPr>
      <w:r w:rsidRPr="00EF788F">
        <w:t>29</w:t>
      </w:r>
      <w:r w:rsidR="005B51C5" w:rsidRPr="00EF788F">
        <w:t xml:space="preserve">  </w:t>
      </w:r>
      <w:r w:rsidR="00E30156" w:rsidRPr="00EF788F">
        <w:t>Subclause 1</w:t>
      </w:r>
      <w:r w:rsidR="005B51C5" w:rsidRPr="00EF788F">
        <w:t xml:space="preserve">3A.3(3) </w:t>
      </w:r>
      <w:r w:rsidR="00B001CC" w:rsidRPr="00EF788F">
        <w:t xml:space="preserve">of </w:t>
      </w:r>
      <w:r w:rsidR="00E30156" w:rsidRPr="00EF788F">
        <w:t>Schedule 1</w:t>
      </w:r>
      <w:r w:rsidR="00B001CC" w:rsidRPr="00EF788F">
        <w:t xml:space="preserve"> </w:t>
      </w:r>
      <w:r w:rsidR="005B51C5" w:rsidRPr="00EF788F">
        <w:t>(table, heading to column headed “Information to be included”)</w:t>
      </w:r>
    </w:p>
    <w:p w14:paraId="0D3C9BB5" w14:textId="77777777" w:rsidR="005B51C5" w:rsidRPr="00EF788F" w:rsidRDefault="005B51C5" w:rsidP="005B51C5">
      <w:pPr>
        <w:pStyle w:val="Item"/>
      </w:pPr>
      <w:r w:rsidRPr="00EF788F">
        <w:t>Repeal the heading, substitute:</w:t>
      </w:r>
    </w:p>
    <w:p w14:paraId="692E1C88" w14:textId="77777777" w:rsidR="005B51C5" w:rsidRPr="00EF788F" w:rsidRDefault="005B51C5" w:rsidP="005B51C5">
      <w:pPr>
        <w:pStyle w:val="TableHeading"/>
      </w:pPr>
      <w:r w:rsidRPr="00EF788F">
        <w:tab/>
        <w:t>Information</w:t>
      </w:r>
    </w:p>
    <w:p w14:paraId="29098CF0" w14:textId="77777777" w:rsidR="005B51C5" w:rsidRPr="00EF788F" w:rsidRDefault="002D62DD" w:rsidP="005B51C5">
      <w:pPr>
        <w:pStyle w:val="ItemHead"/>
      </w:pPr>
      <w:r w:rsidRPr="00EF788F">
        <w:t>30</w:t>
      </w:r>
      <w:r w:rsidR="005B51C5" w:rsidRPr="00EF788F">
        <w:t xml:space="preserve">  </w:t>
      </w:r>
      <w:r w:rsidR="00E30156" w:rsidRPr="00EF788F">
        <w:t>Subclause 1</w:t>
      </w:r>
      <w:r w:rsidR="005B51C5" w:rsidRPr="00EF788F">
        <w:t>3A.3(</w:t>
      </w:r>
      <w:r w:rsidR="00F37991" w:rsidRPr="00EF788F">
        <w:t>4</w:t>
      </w:r>
      <w:r w:rsidR="005B51C5" w:rsidRPr="00EF788F">
        <w:t>)</w:t>
      </w:r>
      <w:r w:rsidR="00B001CC" w:rsidRPr="00EF788F">
        <w:t xml:space="preserve"> of </w:t>
      </w:r>
      <w:r w:rsidR="00E30156" w:rsidRPr="00EF788F">
        <w:t>Schedule 1</w:t>
      </w:r>
    </w:p>
    <w:p w14:paraId="6E708C81" w14:textId="77777777" w:rsidR="005B51C5" w:rsidRPr="00EF788F" w:rsidRDefault="005B51C5" w:rsidP="005B51C5">
      <w:pPr>
        <w:pStyle w:val="Item"/>
      </w:pPr>
      <w:r w:rsidRPr="00EF788F">
        <w:t xml:space="preserve">Omit “The information in the leaflet”, substitute “The information covered by </w:t>
      </w:r>
      <w:r w:rsidR="00E30156" w:rsidRPr="00EF788F">
        <w:t>subclauses (</w:t>
      </w:r>
      <w:r w:rsidRPr="00EF788F">
        <w:t>2) and (3)”.</w:t>
      </w:r>
    </w:p>
    <w:p w14:paraId="6ECB2F57" w14:textId="77777777" w:rsidR="00390027" w:rsidRPr="00EF788F" w:rsidRDefault="002D62DD" w:rsidP="005B51C5">
      <w:pPr>
        <w:pStyle w:val="ItemHead"/>
      </w:pPr>
      <w:r w:rsidRPr="00EF788F">
        <w:t>31</w:t>
      </w:r>
      <w:r w:rsidR="005B51C5" w:rsidRPr="00EF788F">
        <w:t xml:space="preserve">  </w:t>
      </w:r>
      <w:r w:rsidR="00E30156" w:rsidRPr="00EF788F">
        <w:t>Clause 1</w:t>
      </w:r>
      <w:r w:rsidR="005B51C5" w:rsidRPr="00EF788F">
        <w:t>3A.4</w:t>
      </w:r>
      <w:r w:rsidR="00B001CC" w:rsidRPr="00EF788F">
        <w:t xml:space="preserve"> of </w:t>
      </w:r>
      <w:r w:rsidR="00E30156" w:rsidRPr="00EF788F">
        <w:t>Schedule 1</w:t>
      </w:r>
      <w:r w:rsidR="005B51C5" w:rsidRPr="00EF788F">
        <w:t xml:space="preserve"> (heading)</w:t>
      </w:r>
    </w:p>
    <w:p w14:paraId="03E40DD3" w14:textId="77777777" w:rsidR="005B51C5" w:rsidRPr="00EF788F" w:rsidRDefault="005B51C5" w:rsidP="005B51C5">
      <w:pPr>
        <w:pStyle w:val="Item"/>
      </w:pPr>
      <w:r w:rsidRPr="00EF788F">
        <w:t>Repeal the heading, substitute:</w:t>
      </w:r>
    </w:p>
    <w:p w14:paraId="5EF31CCF" w14:textId="77777777" w:rsidR="005B51C5" w:rsidRPr="00EF788F" w:rsidRDefault="005B51C5" w:rsidP="005B51C5">
      <w:pPr>
        <w:pStyle w:val="ActHead5"/>
      </w:pPr>
      <w:bookmarkStart w:id="22" w:name="_Toc84835153"/>
      <w:r w:rsidRPr="00C518BF">
        <w:rPr>
          <w:rStyle w:val="CharSectno"/>
        </w:rPr>
        <w:t>13A.4</w:t>
      </w:r>
      <w:r w:rsidRPr="00EF788F">
        <w:t xml:space="preserve">  General requirements for information to be </w:t>
      </w:r>
      <w:r w:rsidR="00181325" w:rsidRPr="00EF788F">
        <w:t xml:space="preserve">made </w:t>
      </w:r>
      <w:r w:rsidRPr="00EF788F">
        <w:t>available for patients</w:t>
      </w:r>
      <w:bookmarkEnd w:id="22"/>
    </w:p>
    <w:p w14:paraId="2FA52424" w14:textId="77777777" w:rsidR="005B51C5" w:rsidRPr="00EF788F" w:rsidRDefault="002D62DD" w:rsidP="005B51C5">
      <w:pPr>
        <w:pStyle w:val="ItemHead"/>
      </w:pPr>
      <w:r w:rsidRPr="00EF788F">
        <w:t>32</w:t>
      </w:r>
      <w:r w:rsidR="005B51C5" w:rsidRPr="00EF788F">
        <w:t xml:space="preserve">  </w:t>
      </w:r>
      <w:r w:rsidR="00E30156" w:rsidRPr="00EF788F">
        <w:t>Subclause 1</w:t>
      </w:r>
      <w:r w:rsidR="005B51C5" w:rsidRPr="00EF788F">
        <w:t>3A.4(1)</w:t>
      </w:r>
      <w:r w:rsidR="00B001CC" w:rsidRPr="00EF788F">
        <w:t xml:space="preserve"> of </w:t>
      </w:r>
      <w:r w:rsidR="00E30156" w:rsidRPr="00EF788F">
        <w:t>Schedule 1</w:t>
      </w:r>
    </w:p>
    <w:p w14:paraId="6D6844FA" w14:textId="77777777" w:rsidR="005B51C5" w:rsidRPr="00EF788F" w:rsidRDefault="005B51C5" w:rsidP="005B51C5">
      <w:pPr>
        <w:pStyle w:val="Item"/>
      </w:pPr>
      <w:r w:rsidRPr="00EF788F">
        <w:t xml:space="preserve">Omit “The information required by clause 13A.2 or 13A.3 to be included in a patient implant card or patient information leaflet”, substitute “The information covered by </w:t>
      </w:r>
      <w:r w:rsidR="00E30156" w:rsidRPr="00EF788F">
        <w:t>subclause 1</w:t>
      </w:r>
      <w:r w:rsidRPr="00EF788F">
        <w:t>3A.</w:t>
      </w:r>
      <w:r w:rsidR="00F37991" w:rsidRPr="00EF788F">
        <w:t>2</w:t>
      </w:r>
      <w:r w:rsidRPr="00EF788F">
        <w:t>(2) or 13A.3(2) or (3)”.</w:t>
      </w:r>
    </w:p>
    <w:p w14:paraId="542B2B19" w14:textId="77777777" w:rsidR="005B51C5" w:rsidRPr="00EF788F" w:rsidRDefault="002D62DD" w:rsidP="00F37991">
      <w:pPr>
        <w:pStyle w:val="ItemHead"/>
      </w:pPr>
      <w:r w:rsidRPr="00EF788F">
        <w:t>33</w:t>
      </w:r>
      <w:r w:rsidR="00F37991" w:rsidRPr="00EF788F">
        <w:t xml:space="preserve">  </w:t>
      </w:r>
      <w:r w:rsidR="00E30156" w:rsidRPr="00EF788F">
        <w:t>Subclause 1</w:t>
      </w:r>
      <w:r w:rsidR="00F37991" w:rsidRPr="00EF788F">
        <w:t>3A.4(2)</w:t>
      </w:r>
      <w:r w:rsidR="00B001CC" w:rsidRPr="00EF788F">
        <w:t xml:space="preserve"> of </w:t>
      </w:r>
      <w:r w:rsidR="00E30156" w:rsidRPr="00EF788F">
        <w:t>Schedule 1</w:t>
      </w:r>
    </w:p>
    <w:p w14:paraId="172136BA" w14:textId="77777777" w:rsidR="00F37991" w:rsidRPr="00EF788F" w:rsidRDefault="00F37991" w:rsidP="00F37991">
      <w:pPr>
        <w:pStyle w:val="Item"/>
      </w:pPr>
      <w:r w:rsidRPr="00EF788F">
        <w:t>Omit “</w:t>
      </w:r>
      <w:r w:rsidR="00A92A20" w:rsidRPr="00EF788F">
        <w:t>number, letter, symbol, or letter or number in a symbol, used in a patient implant card or patient information leaflet</w:t>
      </w:r>
      <w:r w:rsidRPr="00EF788F">
        <w:t>”, substitute “</w:t>
      </w:r>
      <w:r w:rsidR="00A92A20" w:rsidRPr="00EF788F">
        <w:t xml:space="preserve">number, letter or symbol, or letter or number in a symbol, </w:t>
      </w:r>
      <w:r w:rsidRPr="00EF788F">
        <w:t xml:space="preserve">that is part of the information covered by </w:t>
      </w:r>
      <w:r w:rsidR="00E30156" w:rsidRPr="00EF788F">
        <w:t>subclause 1</w:t>
      </w:r>
      <w:r w:rsidRPr="00EF788F">
        <w:t>3A.2(2) or 13A.3(2) or (3)”.</w:t>
      </w:r>
    </w:p>
    <w:p w14:paraId="703D2C79" w14:textId="77777777" w:rsidR="00F37991" w:rsidRPr="00EF788F" w:rsidRDefault="002D62DD" w:rsidP="00F37991">
      <w:pPr>
        <w:pStyle w:val="ItemHead"/>
      </w:pPr>
      <w:r w:rsidRPr="00EF788F">
        <w:t>34</w:t>
      </w:r>
      <w:r w:rsidR="00F37991" w:rsidRPr="00EF788F">
        <w:t xml:space="preserve">  </w:t>
      </w:r>
      <w:r w:rsidR="00E30156" w:rsidRPr="00EF788F">
        <w:t>Paragraph 1</w:t>
      </w:r>
      <w:r w:rsidR="00F37991" w:rsidRPr="00EF788F">
        <w:t>3A.4(2)(b)</w:t>
      </w:r>
      <w:r w:rsidR="00B001CC" w:rsidRPr="00EF788F">
        <w:t xml:space="preserve"> of </w:t>
      </w:r>
      <w:r w:rsidR="00E30156" w:rsidRPr="00EF788F">
        <w:t>Schedule 1</w:t>
      </w:r>
    </w:p>
    <w:p w14:paraId="75E012EB" w14:textId="77777777" w:rsidR="00F37991" w:rsidRPr="00EF788F" w:rsidRDefault="00F37991" w:rsidP="00F37991">
      <w:pPr>
        <w:pStyle w:val="Item"/>
      </w:pPr>
      <w:r w:rsidRPr="00EF788F">
        <w:t>Before “at least”, insert “</w:t>
      </w:r>
      <w:r w:rsidR="002B6F12" w:rsidRPr="00EF788F">
        <w:t>if the number, letter</w:t>
      </w:r>
      <w:r w:rsidR="00A92A20" w:rsidRPr="00EF788F">
        <w:t xml:space="preserve"> or</w:t>
      </w:r>
      <w:r w:rsidR="002B6F12" w:rsidRPr="00EF788F">
        <w:t xml:space="preserve"> symbol, or letter or number in a symbol, is</w:t>
      </w:r>
      <w:r w:rsidRPr="00EF788F">
        <w:t xml:space="preserve"> </w:t>
      </w:r>
      <w:r w:rsidR="000E72E3" w:rsidRPr="00EF788F">
        <w:t>included</w:t>
      </w:r>
      <w:r w:rsidRPr="00EF788F">
        <w:t xml:space="preserve"> in a patient implant card or patient information leaflet—”.</w:t>
      </w:r>
    </w:p>
    <w:p w14:paraId="3042B00B" w14:textId="77777777" w:rsidR="000C4B07" w:rsidRPr="00EF788F" w:rsidRDefault="002D62DD" w:rsidP="000C4B07">
      <w:pPr>
        <w:pStyle w:val="ItemHead"/>
      </w:pPr>
      <w:r w:rsidRPr="00EF788F">
        <w:t>35</w:t>
      </w:r>
      <w:r w:rsidR="000C4B07" w:rsidRPr="00EF788F">
        <w:t xml:space="preserve">  </w:t>
      </w:r>
      <w:r w:rsidR="00E30156" w:rsidRPr="00EF788F">
        <w:t>Part 1</w:t>
      </w:r>
      <w:r w:rsidR="000C4B07" w:rsidRPr="00EF788F">
        <w:t xml:space="preserve"> of </w:t>
      </w:r>
      <w:r w:rsidR="00E30156" w:rsidRPr="00EF788F">
        <w:t>Schedule 5</w:t>
      </w:r>
      <w:r w:rsidR="000C4B07" w:rsidRPr="00EF788F">
        <w:t xml:space="preserve"> (table </w:t>
      </w:r>
      <w:r w:rsidR="00E30156" w:rsidRPr="00EF788F">
        <w:t>item 1</w:t>
      </w:r>
      <w:r w:rsidR="000C4B07" w:rsidRPr="00EF788F">
        <w:t xml:space="preserve">.15, column headed “Matter”, </w:t>
      </w:r>
      <w:r w:rsidR="00E30156" w:rsidRPr="00EF788F">
        <w:t>paragraph (</w:t>
      </w:r>
      <w:r w:rsidR="000C4B07" w:rsidRPr="00EF788F">
        <w:t>a))</w:t>
      </w:r>
    </w:p>
    <w:p w14:paraId="0968546A" w14:textId="77777777" w:rsidR="000C4B07" w:rsidRPr="00EF788F" w:rsidRDefault="000C4B07" w:rsidP="000C4B07">
      <w:pPr>
        <w:pStyle w:val="Item"/>
      </w:pPr>
      <w:r w:rsidRPr="00EF788F">
        <w:t>After “relating to”, insert “a medical device that is not incl</w:t>
      </w:r>
      <w:r w:rsidR="00FE12C4" w:rsidRPr="00EF788F">
        <w:t>uded in the Register or to”.</w:t>
      </w:r>
    </w:p>
    <w:p w14:paraId="027B25C0" w14:textId="77777777" w:rsidR="00CD2E3A" w:rsidRPr="00EF788F" w:rsidRDefault="002D62DD" w:rsidP="00CD2E3A">
      <w:pPr>
        <w:pStyle w:val="ItemHead"/>
      </w:pPr>
      <w:r w:rsidRPr="00EF788F">
        <w:t>36</w:t>
      </w:r>
      <w:r w:rsidR="00CD2E3A" w:rsidRPr="00EF788F">
        <w:t xml:space="preserve">  </w:t>
      </w:r>
      <w:r w:rsidR="00E30156" w:rsidRPr="00EF788F">
        <w:t>Part 1</w:t>
      </w:r>
      <w:r w:rsidR="00CD2E3A" w:rsidRPr="00EF788F">
        <w:t xml:space="preserve"> of </w:t>
      </w:r>
      <w:r w:rsidR="00E30156" w:rsidRPr="00EF788F">
        <w:t>Schedule 5</w:t>
      </w:r>
      <w:r w:rsidR="00CD2E3A" w:rsidRPr="00EF788F">
        <w:t xml:space="preserve"> (table </w:t>
      </w:r>
      <w:r w:rsidR="00E30156" w:rsidRPr="00EF788F">
        <w:t>item 1</w:t>
      </w:r>
      <w:r w:rsidR="00CD2E3A" w:rsidRPr="00EF788F">
        <w:t>.15, column headed “Amount ($)”)</w:t>
      </w:r>
    </w:p>
    <w:p w14:paraId="4963F5EA" w14:textId="77777777" w:rsidR="00CD2E3A" w:rsidRPr="00EF788F" w:rsidRDefault="00CD2E3A" w:rsidP="00CD2E3A">
      <w:pPr>
        <w:pStyle w:val="Item"/>
      </w:pPr>
      <w:r w:rsidRPr="00EF788F">
        <w:t xml:space="preserve">Before “500” (first occurring), insert “Subject to </w:t>
      </w:r>
      <w:r w:rsidR="00E30156" w:rsidRPr="00EF788F">
        <w:t>regulation 9</w:t>
      </w:r>
      <w:r w:rsidRPr="00EF788F">
        <w:t>.1AA,”.</w:t>
      </w:r>
    </w:p>
    <w:p w14:paraId="1ADDF092" w14:textId="77777777" w:rsidR="00CD2E3A" w:rsidRPr="00EF788F" w:rsidRDefault="002D62DD" w:rsidP="00CD2E3A">
      <w:pPr>
        <w:pStyle w:val="ItemHead"/>
      </w:pPr>
      <w:r w:rsidRPr="00EF788F">
        <w:t>37</w:t>
      </w:r>
      <w:r w:rsidR="00CD2E3A" w:rsidRPr="00EF788F">
        <w:t xml:space="preserve">  </w:t>
      </w:r>
      <w:r w:rsidR="00E30156" w:rsidRPr="00EF788F">
        <w:t>Part 1</w:t>
      </w:r>
      <w:r w:rsidR="00CD2E3A" w:rsidRPr="00EF788F">
        <w:t xml:space="preserve"> of </w:t>
      </w:r>
      <w:r w:rsidR="00E30156" w:rsidRPr="00EF788F">
        <w:t>Schedule 5</w:t>
      </w:r>
      <w:r w:rsidR="00CD2E3A" w:rsidRPr="00EF788F">
        <w:t xml:space="preserve"> (table </w:t>
      </w:r>
      <w:r w:rsidR="00E30156" w:rsidRPr="00EF788F">
        <w:t>item 1</w:t>
      </w:r>
      <w:r w:rsidR="00CD2E3A" w:rsidRPr="00EF788F">
        <w:t>.15, column headed “Amount ($)”)</w:t>
      </w:r>
    </w:p>
    <w:p w14:paraId="4F62E45C" w14:textId="77777777" w:rsidR="00CD2E3A" w:rsidRPr="00EF788F" w:rsidRDefault="00CD2E3A" w:rsidP="00CD2E3A">
      <w:pPr>
        <w:pStyle w:val="Item"/>
      </w:pPr>
      <w:r w:rsidRPr="00EF788F">
        <w:t xml:space="preserve">Before “500 for the first”, insert “Subject to </w:t>
      </w:r>
      <w:r w:rsidR="00E30156" w:rsidRPr="00EF788F">
        <w:t>regulation 9</w:t>
      </w:r>
      <w:r w:rsidRPr="00EF788F">
        <w:t>.1AA,”.</w:t>
      </w:r>
    </w:p>
    <w:p w14:paraId="1FDF76AA" w14:textId="77777777" w:rsidR="00562059" w:rsidRPr="00EF788F" w:rsidRDefault="00E30156" w:rsidP="00562059">
      <w:pPr>
        <w:pStyle w:val="ActHead7"/>
        <w:pageBreakBefore/>
      </w:pPr>
      <w:bookmarkStart w:id="23" w:name="_Toc84835154"/>
      <w:r w:rsidRPr="00C518BF">
        <w:rPr>
          <w:rStyle w:val="CharAmPartNo"/>
        </w:rPr>
        <w:lastRenderedPageBreak/>
        <w:t>Part 4</w:t>
      </w:r>
      <w:r w:rsidR="00562059" w:rsidRPr="00EF788F">
        <w:t>—</w:t>
      </w:r>
      <w:r w:rsidR="00562059" w:rsidRPr="00C518BF">
        <w:rPr>
          <w:rStyle w:val="CharAmPartText"/>
        </w:rPr>
        <w:t>Reclassification of medical devices</w:t>
      </w:r>
      <w:bookmarkEnd w:id="23"/>
    </w:p>
    <w:p w14:paraId="5AD8180C" w14:textId="77777777" w:rsidR="00562059" w:rsidRPr="00EF788F" w:rsidRDefault="00562059" w:rsidP="00562059">
      <w:pPr>
        <w:pStyle w:val="ActHead9"/>
      </w:pPr>
      <w:bookmarkStart w:id="24" w:name="_Toc84835155"/>
      <w:r w:rsidRPr="00EF788F">
        <w:t xml:space="preserve">Therapeutic Goods (Medical Devices) </w:t>
      </w:r>
      <w:r w:rsidR="00EF1DEF" w:rsidRPr="00EF788F">
        <w:t>Regulations 2</w:t>
      </w:r>
      <w:r w:rsidRPr="00EF788F">
        <w:t>002</w:t>
      </w:r>
      <w:bookmarkEnd w:id="24"/>
    </w:p>
    <w:p w14:paraId="2F1F585B" w14:textId="77777777" w:rsidR="00A70C6E" w:rsidRPr="00EF788F" w:rsidRDefault="002D62DD" w:rsidP="00A70C6E">
      <w:pPr>
        <w:pStyle w:val="ItemHead"/>
      </w:pPr>
      <w:r w:rsidRPr="00EF788F">
        <w:t>38</w:t>
      </w:r>
      <w:r w:rsidR="00A70C6E" w:rsidRPr="00EF788F">
        <w:t xml:space="preserve">  </w:t>
      </w:r>
      <w:r w:rsidR="003037D6" w:rsidRPr="00EF788F">
        <w:t>Subclause 3</w:t>
      </w:r>
      <w:r w:rsidR="00A70C6E" w:rsidRPr="00EF788F">
        <w:t xml:space="preserve">.1(1) of </w:t>
      </w:r>
      <w:r w:rsidR="003037D6" w:rsidRPr="00EF788F">
        <w:t>Schedule 2</w:t>
      </w:r>
    </w:p>
    <w:p w14:paraId="608D6649" w14:textId="77777777" w:rsidR="00A70C6E" w:rsidRPr="00EF788F" w:rsidRDefault="00A70C6E" w:rsidP="00A70C6E">
      <w:pPr>
        <w:pStyle w:val="Item"/>
      </w:pPr>
      <w:r w:rsidRPr="00EF788F">
        <w:t xml:space="preserve">After “surgically invasive medical device”, insert “or a medical device covered by </w:t>
      </w:r>
      <w:r w:rsidR="003037D6" w:rsidRPr="00EF788F">
        <w:t>clause 5</w:t>
      </w:r>
      <w:r w:rsidRPr="00EF788F">
        <w:t>.10 or 5.11”.</w:t>
      </w:r>
    </w:p>
    <w:p w14:paraId="2B99E672" w14:textId="77777777" w:rsidR="00A456DD" w:rsidRPr="00EF788F" w:rsidRDefault="002D62DD" w:rsidP="00A456DD">
      <w:pPr>
        <w:pStyle w:val="ItemHead"/>
      </w:pPr>
      <w:r w:rsidRPr="00EF788F">
        <w:t>39</w:t>
      </w:r>
      <w:r w:rsidR="00A456DD" w:rsidRPr="00EF788F">
        <w:t xml:space="preserve">  </w:t>
      </w:r>
      <w:r w:rsidR="003037D6" w:rsidRPr="00EF788F">
        <w:t>Subclause 3</w:t>
      </w:r>
      <w:r w:rsidR="00A456DD" w:rsidRPr="00EF788F">
        <w:t xml:space="preserve">.1(2A) of </w:t>
      </w:r>
      <w:r w:rsidR="003037D6" w:rsidRPr="00EF788F">
        <w:t>Schedule 2</w:t>
      </w:r>
    </w:p>
    <w:p w14:paraId="4A2A7AC8" w14:textId="77777777" w:rsidR="00A456DD" w:rsidRPr="00EF788F" w:rsidRDefault="00A456DD" w:rsidP="00A456DD">
      <w:pPr>
        <w:pStyle w:val="Item"/>
      </w:pPr>
      <w:r w:rsidRPr="00EF788F">
        <w:t>Repeal the subclause</w:t>
      </w:r>
      <w:r w:rsidR="00E113A7" w:rsidRPr="00EF788F">
        <w:t>.</w:t>
      </w:r>
    </w:p>
    <w:p w14:paraId="5AB51C8D" w14:textId="77777777" w:rsidR="00D050C9" w:rsidRPr="00EF788F" w:rsidRDefault="002D62DD" w:rsidP="00D050C9">
      <w:pPr>
        <w:pStyle w:val="ItemHead"/>
      </w:pPr>
      <w:r w:rsidRPr="00EF788F">
        <w:t>40</w:t>
      </w:r>
      <w:r w:rsidR="00D050C9" w:rsidRPr="00EF788F">
        <w:t xml:space="preserve">  </w:t>
      </w:r>
      <w:r w:rsidR="003037D6" w:rsidRPr="00EF788F">
        <w:t>Subclause 3</w:t>
      </w:r>
      <w:r w:rsidR="00D050C9" w:rsidRPr="00EF788F">
        <w:t xml:space="preserve">.1(4) of </w:t>
      </w:r>
      <w:r w:rsidR="003037D6" w:rsidRPr="00EF788F">
        <w:t>Schedule 2</w:t>
      </w:r>
    </w:p>
    <w:p w14:paraId="71153B84" w14:textId="77777777" w:rsidR="00D050C9" w:rsidRPr="00EF788F" w:rsidRDefault="00D050C9" w:rsidP="00D050C9">
      <w:pPr>
        <w:pStyle w:val="Item"/>
      </w:pPr>
      <w:r w:rsidRPr="00EF788F">
        <w:t>Repeal the subclause</w:t>
      </w:r>
      <w:r w:rsidR="00E113A7" w:rsidRPr="00EF788F">
        <w:t>.</w:t>
      </w:r>
    </w:p>
    <w:p w14:paraId="56991F2D" w14:textId="77777777" w:rsidR="006B3E44" w:rsidRPr="00EF788F" w:rsidRDefault="002D62DD" w:rsidP="00B44F6F">
      <w:pPr>
        <w:pStyle w:val="ItemHead"/>
      </w:pPr>
      <w:r w:rsidRPr="00EF788F">
        <w:t>41</w:t>
      </w:r>
      <w:r w:rsidR="006B3E44" w:rsidRPr="00EF788F">
        <w:t xml:space="preserve">  </w:t>
      </w:r>
      <w:r w:rsidR="003037D6" w:rsidRPr="00EF788F">
        <w:t>Subclause 3</w:t>
      </w:r>
      <w:r w:rsidR="00B44F6F" w:rsidRPr="00EF788F">
        <w:t xml:space="preserve">.2(3A) of </w:t>
      </w:r>
      <w:r w:rsidR="003037D6" w:rsidRPr="00EF788F">
        <w:t>Schedule 2</w:t>
      </w:r>
    </w:p>
    <w:p w14:paraId="4B4DF4A9" w14:textId="77777777" w:rsidR="00B44F6F" w:rsidRPr="00EF788F" w:rsidRDefault="00B44F6F" w:rsidP="00B44F6F">
      <w:pPr>
        <w:pStyle w:val="Item"/>
      </w:pPr>
      <w:r w:rsidRPr="00EF788F">
        <w:t>After “If the device is”, insert “not a reusable surgical instrument and the device is”.</w:t>
      </w:r>
    </w:p>
    <w:p w14:paraId="08AFE624" w14:textId="77777777" w:rsidR="00734485" w:rsidRPr="00EF788F" w:rsidRDefault="002D62DD" w:rsidP="00734485">
      <w:pPr>
        <w:pStyle w:val="ItemHead"/>
      </w:pPr>
      <w:r w:rsidRPr="00EF788F">
        <w:t>42</w:t>
      </w:r>
      <w:r w:rsidR="00734485" w:rsidRPr="00EF788F">
        <w:t xml:space="preserve">  </w:t>
      </w:r>
      <w:r w:rsidR="003037D6" w:rsidRPr="00EF788F">
        <w:t>Subclause 3</w:t>
      </w:r>
      <w:r w:rsidR="00734485" w:rsidRPr="00EF788F">
        <w:t xml:space="preserve">.4(4B) of </w:t>
      </w:r>
      <w:r w:rsidR="003037D6" w:rsidRPr="00EF788F">
        <w:t>Schedule 2</w:t>
      </w:r>
    </w:p>
    <w:p w14:paraId="5F1CB863" w14:textId="77777777" w:rsidR="00734485" w:rsidRPr="00EF788F" w:rsidRDefault="00734485" w:rsidP="00734485">
      <w:pPr>
        <w:pStyle w:val="Item"/>
      </w:pPr>
      <w:r w:rsidRPr="00EF788F">
        <w:t>Repeal the subclause, substitute:</w:t>
      </w:r>
    </w:p>
    <w:p w14:paraId="6BDA887A" w14:textId="77777777" w:rsidR="00734485" w:rsidRPr="00EF788F" w:rsidRDefault="00734485" w:rsidP="00734485">
      <w:pPr>
        <w:pStyle w:val="subsection"/>
      </w:pPr>
      <w:r w:rsidRPr="00EF788F">
        <w:tab/>
        <w:t>(4B)</w:t>
      </w:r>
      <w:r w:rsidRPr="00EF788F">
        <w:tab/>
        <w:t>If the device is intended by the manufacturer to be a motion</w:t>
      </w:r>
      <w:r w:rsidR="00EF788F">
        <w:noBreakHyphen/>
      </w:r>
      <w:r w:rsidRPr="00EF788F">
        <w:t>preserving device for the spine (such as a spinal disc replacement), the device is classified as Class III.</w:t>
      </w:r>
    </w:p>
    <w:p w14:paraId="39B29A58" w14:textId="77777777" w:rsidR="00E113A7" w:rsidRPr="00EF788F" w:rsidRDefault="002D62DD" w:rsidP="00E113A7">
      <w:pPr>
        <w:pStyle w:val="ItemHead"/>
      </w:pPr>
      <w:r w:rsidRPr="00EF788F">
        <w:t>43</w:t>
      </w:r>
      <w:r w:rsidR="00E113A7" w:rsidRPr="00EF788F">
        <w:t xml:space="preserve">  At the end of </w:t>
      </w:r>
      <w:r w:rsidR="00E30156" w:rsidRPr="00EF788F">
        <w:t>Part 5</w:t>
      </w:r>
      <w:r w:rsidR="00E113A7" w:rsidRPr="00EF788F">
        <w:t xml:space="preserve"> of </w:t>
      </w:r>
      <w:r w:rsidR="003037D6" w:rsidRPr="00EF788F">
        <w:t>Schedule 2</w:t>
      </w:r>
    </w:p>
    <w:p w14:paraId="13D7FCB6" w14:textId="77777777" w:rsidR="00E113A7" w:rsidRPr="00EF788F" w:rsidRDefault="00E113A7" w:rsidP="00E113A7">
      <w:pPr>
        <w:pStyle w:val="Item"/>
      </w:pPr>
      <w:r w:rsidRPr="00EF788F">
        <w:t>Add:</w:t>
      </w:r>
    </w:p>
    <w:p w14:paraId="60068451" w14:textId="77777777" w:rsidR="00E113A7" w:rsidRPr="00EF788F" w:rsidRDefault="00E113A7" w:rsidP="00E113A7">
      <w:pPr>
        <w:pStyle w:val="ActHead5"/>
      </w:pPr>
      <w:bookmarkStart w:id="25" w:name="_Toc84835156"/>
      <w:r w:rsidRPr="00C518BF">
        <w:rPr>
          <w:rStyle w:val="CharSectno"/>
        </w:rPr>
        <w:t>5.1</w:t>
      </w:r>
      <w:r w:rsidR="007C32CC" w:rsidRPr="00C518BF">
        <w:rPr>
          <w:rStyle w:val="CharSectno"/>
        </w:rPr>
        <w:t>0</w:t>
      </w:r>
      <w:r w:rsidRPr="00EF788F">
        <w:t xml:space="preserve">  Medical devices that administer medicines or biologicals by inhalation</w:t>
      </w:r>
      <w:bookmarkEnd w:id="25"/>
    </w:p>
    <w:p w14:paraId="750F0C16" w14:textId="77777777" w:rsidR="00E113A7" w:rsidRPr="00EF788F" w:rsidRDefault="00E113A7" w:rsidP="00E113A7">
      <w:pPr>
        <w:pStyle w:val="subsection"/>
      </w:pPr>
      <w:r w:rsidRPr="00EF788F">
        <w:tab/>
      </w:r>
      <w:r w:rsidRPr="00EF788F">
        <w:tab/>
        <w:t>If a medical device is intended to be used to administer medicines or biologicals by inhalation:</w:t>
      </w:r>
    </w:p>
    <w:p w14:paraId="5D4FA113" w14:textId="77777777" w:rsidR="00E113A7" w:rsidRPr="00EF788F" w:rsidRDefault="00E113A7" w:rsidP="00E113A7">
      <w:pPr>
        <w:pStyle w:val="paragraph"/>
      </w:pPr>
      <w:r w:rsidRPr="00EF788F">
        <w:tab/>
        <w:t>(a)</w:t>
      </w:r>
      <w:r w:rsidRPr="00EF788F">
        <w:tab/>
        <w:t>if the mode of action of the device has an essential impact on the efficacy and safety of the medicines or biologicals—the device is classified as Class IIb; or</w:t>
      </w:r>
    </w:p>
    <w:p w14:paraId="52E3441F" w14:textId="77777777" w:rsidR="00E113A7" w:rsidRPr="00EF788F" w:rsidRDefault="00E113A7" w:rsidP="00E113A7">
      <w:pPr>
        <w:pStyle w:val="paragraph"/>
      </w:pPr>
      <w:r w:rsidRPr="00EF788F">
        <w:tab/>
        <w:t>(b)</w:t>
      </w:r>
      <w:r w:rsidRPr="00EF788F">
        <w:tab/>
        <w:t>if the device is intended to treat a life</w:t>
      </w:r>
      <w:r w:rsidR="00EF788F">
        <w:noBreakHyphen/>
      </w:r>
      <w:r w:rsidRPr="00EF788F">
        <w:t>threatening condition—the device is classified as Class IIb; or</w:t>
      </w:r>
    </w:p>
    <w:p w14:paraId="73B93A84" w14:textId="77777777" w:rsidR="00E113A7" w:rsidRPr="00EF788F" w:rsidRDefault="00E113A7" w:rsidP="00E113A7">
      <w:pPr>
        <w:pStyle w:val="paragraph"/>
      </w:pPr>
      <w:r w:rsidRPr="00EF788F">
        <w:tab/>
        <w:t>(c)</w:t>
      </w:r>
      <w:r w:rsidRPr="00EF788F">
        <w:tab/>
        <w:t xml:space="preserve">if paragraphs (a) and (b) do not apply—the device is classified as Class </w:t>
      </w:r>
      <w:proofErr w:type="spellStart"/>
      <w:r w:rsidRPr="00EF788F">
        <w:t>IIa</w:t>
      </w:r>
      <w:proofErr w:type="spellEnd"/>
      <w:r w:rsidRPr="00EF788F">
        <w:t>.</w:t>
      </w:r>
    </w:p>
    <w:p w14:paraId="2406D151" w14:textId="77777777" w:rsidR="007C32CC" w:rsidRPr="00EF788F" w:rsidRDefault="007C32CC" w:rsidP="007C32CC">
      <w:pPr>
        <w:pStyle w:val="ActHead5"/>
      </w:pPr>
      <w:bookmarkStart w:id="26" w:name="_Toc84835157"/>
      <w:bookmarkStart w:id="27" w:name="_Hlk84586045"/>
      <w:r w:rsidRPr="00C518BF">
        <w:rPr>
          <w:rStyle w:val="CharSectno"/>
        </w:rPr>
        <w:t>5.11</w:t>
      </w:r>
      <w:r w:rsidRPr="00EF788F">
        <w:t xml:space="preserve">  Medical devices that are substances to be introduced into the body or applied to </w:t>
      </w:r>
      <w:r w:rsidR="001B31BB" w:rsidRPr="00EF788F">
        <w:t xml:space="preserve">and absorbed by </w:t>
      </w:r>
      <w:r w:rsidRPr="00EF788F">
        <w:t>the skin</w:t>
      </w:r>
      <w:bookmarkEnd w:id="26"/>
    </w:p>
    <w:p w14:paraId="3498D18A" w14:textId="77777777" w:rsidR="007C32CC" w:rsidRPr="00EF788F" w:rsidRDefault="007C32CC" w:rsidP="007C32CC">
      <w:pPr>
        <w:pStyle w:val="subsection"/>
      </w:pPr>
      <w:r w:rsidRPr="00EF788F">
        <w:tab/>
      </w:r>
      <w:r w:rsidRPr="00EF788F">
        <w:tab/>
        <w:t>If a medical device is composed of substances, or combinations of substances, that are intended to be:</w:t>
      </w:r>
    </w:p>
    <w:p w14:paraId="65AB6F0D" w14:textId="77777777" w:rsidR="007C32CC" w:rsidRPr="00EF788F" w:rsidRDefault="007C32CC" w:rsidP="007C32CC">
      <w:pPr>
        <w:pStyle w:val="paragraph"/>
      </w:pPr>
      <w:r w:rsidRPr="00EF788F">
        <w:tab/>
        <w:t>(a)</w:t>
      </w:r>
      <w:r w:rsidRPr="00EF788F">
        <w:tab/>
        <w:t>introduced into the human body through a body orifice; or</w:t>
      </w:r>
    </w:p>
    <w:p w14:paraId="7CD03058" w14:textId="77777777" w:rsidR="007C32CC" w:rsidRPr="00EF788F" w:rsidRDefault="007C32CC" w:rsidP="007C32CC">
      <w:pPr>
        <w:pStyle w:val="paragraph"/>
      </w:pPr>
      <w:r w:rsidRPr="00EF788F">
        <w:tab/>
        <w:t>(b)</w:t>
      </w:r>
      <w:r w:rsidRPr="00EF788F">
        <w:tab/>
        <w:t>applied to</w:t>
      </w:r>
      <w:r w:rsidR="000107FF" w:rsidRPr="00EF788F">
        <w:t xml:space="preserve"> </w:t>
      </w:r>
      <w:r w:rsidR="000107FF" w:rsidRPr="00EF788F">
        <w:rPr>
          <w:lang w:eastAsia="en-US"/>
        </w:rPr>
        <w:t>and absorbed by</w:t>
      </w:r>
      <w:r w:rsidRPr="00EF788F">
        <w:t xml:space="preserve"> the skin;</w:t>
      </w:r>
    </w:p>
    <w:p w14:paraId="59DB8C04" w14:textId="77777777" w:rsidR="007C32CC" w:rsidRPr="00EF788F" w:rsidRDefault="007C32CC" w:rsidP="007C32CC">
      <w:pPr>
        <w:pStyle w:val="subsection2"/>
      </w:pPr>
      <w:r w:rsidRPr="00EF788F">
        <w:t>the device is classified as follows:</w:t>
      </w:r>
    </w:p>
    <w:p w14:paraId="56974C98" w14:textId="77777777" w:rsidR="007C32CC" w:rsidRPr="00EF788F" w:rsidRDefault="007C32CC" w:rsidP="007C32CC">
      <w:pPr>
        <w:pStyle w:val="paragraph"/>
      </w:pPr>
      <w:r w:rsidRPr="00EF788F">
        <w:tab/>
        <w:t>(c)</w:t>
      </w:r>
      <w:r w:rsidRPr="00EF788F">
        <w:tab/>
        <w:t xml:space="preserve">if the device is </w:t>
      </w:r>
      <w:r w:rsidR="00876E8C" w:rsidRPr="00EF788F">
        <w:t xml:space="preserve">introduced into the nasal or oral cavity as far as the pharynx, or is </w:t>
      </w:r>
      <w:r w:rsidR="00D868DC" w:rsidRPr="00EF788F">
        <w:t xml:space="preserve">applied to </w:t>
      </w:r>
      <w:r w:rsidR="00D868DC" w:rsidRPr="00EF788F">
        <w:rPr>
          <w:lang w:eastAsia="en-US"/>
        </w:rPr>
        <w:t>and absorbed by</w:t>
      </w:r>
      <w:r w:rsidR="00D868DC" w:rsidRPr="00EF788F">
        <w:t xml:space="preserve"> the skin</w:t>
      </w:r>
      <w:r w:rsidRPr="00EF788F">
        <w:t xml:space="preserve">, and achieves its intended purpose </w:t>
      </w:r>
      <w:r w:rsidR="00876E8C" w:rsidRPr="00EF788F">
        <w:t xml:space="preserve">in that cavity or </w:t>
      </w:r>
      <w:r w:rsidRPr="00EF788F">
        <w:t xml:space="preserve">on the skin—Class </w:t>
      </w:r>
      <w:proofErr w:type="spellStart"/>
      <w:r w:rsidRPr="00EF788F">
        <w:t>IIa</w:t>
      </w:r>
      <w:proofErr w:type="spellEnd"/>
      <w:r w:rsidRPr="00EF788F">
        <w:t>;</w:t>
      </w:r>
    </w:p>
    <w:p w14:paraId="05624694" w14:textId="77777777" w:rsidR="007C32CC" w:rsidRPr="00EF788F" w:rsidRDefault="007C32CC" w:rsidP="007C32CC">
      <w:pPr>
        <w:pStyle w:val="paragraph"/>
      </w:pPr>
      <w:r w:rsidRPr="00EF788F">
        <w:lastRenderedPageBreak/>
        <w:tab/>
        <w:t>(d)</w:t>
      </w:r>
      <w:r w:rsidRPr="00EF788F">
        <w:tab/>
        <w:t>in any other case—Class IIb.</w:t>
      </w:r>
    </w:p>
    <w:p w14:paraId="263A49B3" w14:textId="77777777" w:rsidR="00445164" w:rsidRPr="00EF788F" w:rsidRDefault="00E30156" w:rsidP="00445164">
      <w:pPr>
        <w:pStyle w:val="ActHead7"/>
        <w:pageBreakBefore/>
      </w:pPr>
      <w:bookmarkStart w:id="28" w:name="_Toc84835158"/>
      <w:bookmarkEnd w:id="27"/>
      <w:r w:rsidRPr="00C518BF">
        <w:rPr>
          <w:rStyle w:val="CharAmPartNo"/>
        </w:rPr>
        <w:lastRenderedPageBreak/>
        <w:t>Part 5</w:t>
      </w:r>
      <w:r w:rsidR="00445164" w:rsidRPr="00EF788F">
        <w:t>—</w:t>
      </w:r>
      <w:r w:rsidR="000D4B54" w:rsidRPr="00C518BF">
        <w:rPr>
          <w:rStyle w:val="CharAmPartText"/>
        </w:rPr>
        <w:t>Medical devices assembled or adapted at point of care</w:t>
      </w:r>
      <w:bookmarkEnd w:id="28"/>
    </w:p>
    <w:p w14:paraId="252A18C4" w14:textId="77777777" w:rsidR="00445164" w:rsidRPr="00EF788F" w:rsidRDefault="00445164" w:rsidP="00445164">
      <w:pPr>
        <w:pStyle w:val="ActHead9"/>
      </w:pPr>
      <w:bookmarkStart w:id="29" w:name="_Toc84835159"/>
      <w:r w:rsidRPr="00EF788F">
        <w:t xml:space="preserve">Therapeutic Goods (Medical Devices) </w:t>
      </w:r>
      <w:r w:rsidR="00EF1DEF" w:rsidRPr="00EF788F">
        <w:t>Regulations 2</w:t>
      </w:r>
      <w:r w:rsidRPr="00EF788F">
        <w:t>002</w:t>
      </w:r>
      <w:bookmarkEnd w:id="29"/>
    </w:p>
    <w:p w14:paraId="5B04EEA5" w14:textId="77777777" w:rsidR="003D55A6" w:rsidRPr="00EF788F" w:rsidRDefault="002D62DD" w:rsidP="00DC0C05">
      <w:pPr>
        <w:pStyle w:val="ItemHead"/>
      </w:pPr>
      <w:r w:rsidRPr="00EF788F">
        <w:t>44</w:t>
      </w:r>
      <w:r w:rsidR="003D55A6" w:rsidRPr="00EF788F">
        <w:t xml:space="preserve">  </w:t>
      </w:r>
      <w:r w:rsidR="00DC0C05" w:rsidRPr="00EF788F">
        <w:t xml:space="preserve">At the end of </w:t>
      </w:r>
      <w:r w:rsidR="00EF1DEF" w:rsidRPr="00EF788F">
        <w:t>Part 9</w:t>
      </w:r>
    </w:p>
    <w:p w14:paraId="674408CE" w14:textId="77777777" w:rsidR="00DC0C05" w:rsidRPr="00EF788F" w:rsidRDefault="00DC0C05" w:rsidP="00DC0C05">
      <w:pPr>
        <w:pStyle w:val="Item"/>
      </w:pPr>
      <w:r w:rsidRPr="00EF788F">
        <w:t>Add:</w:t>
      </w:r>
    </w:p>
    <w:p w14:paraId="3812B103" w14:textId="77777777" w:rsidR="00DC0C05" w:rsidRPr="00EF788F" w:rsidRDefault="00EF1DEF" w:rsidP="00DC0C05">
      <w:pPr>
        <w:pStyle w:val="ActHead3"/>
      </w:pPr>
      <w:bookmarkStart w:id="30" w:name="_Toc84835160"/>
      <w:r w:rsidRPr="00C518BF">
        <w:rPr>
          <w:rStyle w:val="CharDivNo"/>
        </w:rPr>
        <w:t>Division 9</w:t>
      </w:r>
      <w:r w:rsidR="00DC0C05" w:rsidRPr="00C518BF">
        <w:rPr>
          <w:rStyle w:val="CharDivNo"/>
        </w:rPr>
        <w:t>.4</w:t>
      </w:r>
      <w:r w:rsidR="00DC0C05" w:rsidRPr="00EF788F">
        <w:t>—</w:t>
      </w:r>
      <w:r w:rsidR="00DC0C05" w:rsidRPr="00C518BF">
        <w:rPr>
          <w:rStyle w:val="CharDivText"/>
        </w:rPr>
        <w:t>Other refunds or waivers of fees</w:t>
      </w:r>
      <w:bookmarkEnd w:id="30"/>
    </w:p>
    <w:p w14:paraId="401D8254" w14:textId="77777777" w:rsidR="00DC0C05" w:rsidRPr="00EF788F" w:rsidRDefault="00DC0C05" w:rsidP="00DC0C05">
      <w:pPr>
        <w:pStyle w:val="ActHead5"/>
      </w:pPr>
      <w:bookmarkStart w:id="31" w:name="_Toc84835161"/>
      <w:r w:rsidRPr="00C518BF">
        <w:rPr>
          <w:rStyle w:val="CharSectno"/>
        </w:rPr>
        <w:t>9.</w:t>
      </w:r>
      <w:r w:rsidR="0057185A" w:rsidRPr="00C518BF">
        <w:rPr>
          <w:rStyle w:val="CharSectno"/>
        </w:rPr>
        <w:t>9</w:t>
      </w:r>
      <w:r w:rsidRPr="00EF788F">
        <w:t xml:space="preserve">  Other refunds or waivers of fees</w:t>
      </w:r>
      <w:bookmarkEnd w:id="31"/>
    </w:p>
    <w:p w14:paraId="471D99DF" w14:textId="77777777" w:rsidR="00A11978" w:rsidRPr="00EF788F" w:rsidRDefault="00A11978" w:rsidP="00A11978">
      <w:pPr>
        <w:pStyle w:val="SubsectionHead"/>
      </w:pPr>
      <w:r w:rsidRPr="00EF788F">
        <w:t>Refunds</w:t>
      </w:r>
    </w:p>
    <w:p w14:paraId="55A4D32E" w14:textId="77777777" w:rsidR="00DC0C05" w:rsidRPr="00EF788F" w:rsidRDefault="00DC0C05" w:rsidP="00DC0C05">
      <w:pPr>
        <w:pStyle w:val="subsection"/>
      </w:pPr>
      <w:r w:rsidRPr="00EF788F">
        <w:tab/>
        <w:t>(1)</w:t>
      </w:r>
      <w:r w:rsidRPr="00EF788F">
        <w:tab/>
        <w:t xml:space="preserve">For the purposes of </w:t>
      </w:r>
      <w:r w:rsidR="000A70DA" w:rsidRPr="00EF788F">
        <w:t>paragraph 6</w:t>
      </w:r>
      <w:r w:rsidRPr="00EF788F">
        <w:t>3(3)(b) of the Act, the Secretary must</w:t>
      </w:r>
      <w:r w:rsidR="003B2C4D" w:rsidRPr="00EF788F">
        <w:t xml:space="preserve">, on behalf of the Commonwealth, </w:t>
      </w:r>
      <w:r w:rsidRPr="00EF788F">
        <w:t xml:space="preserve">refund the fee covered by </w:t>
      </w:r>
      <w:r w:rsidR="00E30156" w:rsidRPr="00EF788F">
        <w:t>item 1</w:t>
      </w:r>
      <w:r w:rsidRPr="00EF788F">
        <w:t xml:space="preserve">.6A of the table in </w:t>
      </w:r>
      <w:r w:rsidR="00E30156" w:rsidRPr="00EF788F">
        <w:t>Part 1</w:t>
      </w:r>
      <w:r w:rsidRPr="00EF788F">
        <w:t xml:space="preserve"> of </w:t>
      </w:r>
      <w:r w:rsidR="00E30156" w:rsidRPr="00EF788F">
        <w:t>Schedule 5</w:t>
      </w:r>
      <w:r w:rsidRPr="00EF788F">
        <w:t xml:space="preserve"> if:</w:t>
      </w:r>
    </w:p>
    <w:p w14:paraId="2F467D61" w14:textId="77777777" w:rsidR="00E445C0" w:rsidRPr="00EF788F" w:rsidRDefault="00E445C0" w:rsidP="00DC0C05">
      <w:pPr>
        <w:pStyle w:val="paragraph"/>
      </w:pPr>
      <w:r w:rsidRPr="00EF788F">
        <w:tab/>
        <w:t>(a)</w:t>
      </w:r>
      <w:r w:rsidRPr="00EF788F">
        <w:tab/>
        <w:t xml:space="preserve">the request </w:t>
      </w:r>
      <w:r w:rsidR="00073EFF" w:rsidRPr="00EF788F">
        <w:t xml:space="preserve">referred to in that item </w:t>
      </w:r>
      <w:r w:rsidRPr="00EF788F">
        <w:t xml:space="preserve">was made on or after </w:t>
      </w:r>
      <w:r w:rsidR="000A70DA" w:rsidRPr="00EF788F">
        <w:t>21 August</w:t>
      </w:r>
      <w:r w:rsidRPr="00EF788F">
        <w:t xml:space="preserve"> 2021 and before the commencement of this regulation; and</w:t>
      </w:r>
    </w:p>
    <w:p w14:paraId="3E44BAC5" w14:textId="77777777" w:rsidR="00DC0C05" w:rsidRPr="00EF788F" w:rsidRDefault="00DC0C05" w:rsidP="00DC0C05">
      <w:pPr>
        <w:pStyle w:val="paragraph"/>
      </w:pPr>
      <w:r w:rsidRPr="00EF788F">
        <w:tab/>
        <w:t>(</w:t>
      </w:r>
      <w:r w:rsidR="00E445C0" w:rsidRPr="00EF788F">
        <w:t>b</w:t>
      </w:r>
      <w:r w:rsidRPr="00EF788F">
        <w:t>)</w:t>
      </w:r>
      <w:r w:rsidRPr="00EF788F">
        <w:tab/>
        <w:t>th</w:t>
      </w:r>
      <w:r w:rsidR="00073EFF" w:rsidRPr="00EF788F">
        <w:t>at</w:t>
      </w:r>
      <w:r w:rsidRPr="00EF788F">
        <w:t xml:space="preserve"> </w:t>
      </w:r>
      <w:r w:rsidR="00C1721C" w:rsidRPr="00EF788F">
        <w:t xml:space="preserve">request </w:t>
      </w:r>
      <w:r w:rsidR="00073EFF" w:rsidRPr="00EF788F">
        <w:t>was</w:t>
      </w:r>
      <w:r w:rsidR="00C1721C" w:rsidRPr="00EF788F">
        <w:t xml:space="preserve"> for revocation of the cancellation of an entry of a kind of medical device </w:t>
      </w:r>
      <w:r w:rsidR="007E7F8D" w:rsidRPr="00EF788F">
        <w:t xml:space="preserve">covered by </w:t>
      </w:r>
      <w:r w:rsidR="00E30156" w:rsidRPr="00EF788F">
        <w:t>item 3</w:t>
      </w:r>
      <w:r w:rsidR="007E7F8D" w:rsidRPr="00EF788F">
        <w:t xml:space="preserve">A, 3B, 3C, 3D or 3E of the table in </w:t>
      </w:r>
      <w:r w:rsidR="00E30156" w:rsidRPr="00EF788F">
        <w:t>Schedule 1</w:t>
      </w:r>
      <w:r w:rsidR="007E7F8D" w:rsidRPr="00EF788F">
        <w:t xml:space="preserve"> to the </w:t>
      </w:r>
      <w:r w:rsidR="007E7F8D" w:rsidRPr="00EF788F">
        <w:rPr>
          <w:i/>
        </w:rPr>
        <w:t>Therapeutic Goods (Medical Devices—Specified Articles) Instrument 2020</w:t>
      </w:r>
      <w:r w:rsidR="00DC570E" w:rsidRPr="00EF788F">
        <w:t>, as that instrument was in force before that commencement</w:t>
      </w:r>
      <w:r w:rsidR="00E445C0" w:rsidRPr="00EF788F">
        <w:t>.</w:t>
      </w:r>
    </w:p>
    <w:p w14:paraId="6DBDEACF" w14:textId="77777777" w:rsidR="00A11978" w:rsidRPr="00EF788F" w:rsidRDefault="00A11978" w:rsidP="00A11978">
      <w:pPr>
        <w:pStyle w:val="SubsectionHead"/>
      </w:pPr>
      <w:r w:rsidRPr="00EF788F">
        <w:t>Waivers</w:t>
      </w:r>
    </w:p>
    <w:p w14:paraId="29E5FFD6" w14:textId="77777777" w:rsidR="00DC0C05" w:rsidRPr="00EF788F" w:rsidRDefault="00DC0C05" w:rsidP="00DC0C05">
      <w:pPr>
        <w:pStyle w:val="subsection"/>
      </w:pPr>
      <w:r w:rsidRPr="00EF788F">
        <w:tab/>
        <w:t>(</w:t>
      </w:r>
      <w:r w:rsidR="00F16FAA" w:rsidRPr="00EF788F">
        <w:t>2</w:t>
      </w:r>
      <w:r w:rsidRPr="00EF788F">
        <w:t>)</w:t>
      </w:r>
      <w:r w:rsidRPr="00EF788F">
        <w:tab/>
        <w:t xml:space="preserve">For the purposes of </w:t>
      </w:r>
      <w:r w:rsidR="000A70DA" w:rsidRPr="00EF788F">
        <w:t>paragraph 6</w:t>
      </w:r>
      <w:r w:rsidRPr="00EF788F">
        <w:t>3(3)(b) of the Act, the Secretary must</w:t>
      </w:r>
      <w:r w:rsidR="003B2C4D" w:rsidRPr="00EF788F">
        <w:t xml:space="preserve">, on behalf of the Commonwealth, </w:t>
      </w:r>
      <w:r w:rsidRPr="00EF788F">
        <w:t xml:space="preserve">waive the fee covered by </w:t>
      </w:r>
      <w:r w:rsidR="00E30156" w:rsidRPr="00EF788F">
        <w:t>item 1</w:t>
      </w:r>
      <w:r w:rsidRPr="00EF788F">
        <w:t xml:space="preserve">.6A of the table </w:t>
      </w:r>
      <w:r w:rsidR="003D69F1" w:rsidRPr="00EF788F">
        <w:t>in</w:t>
      </w:r>
      <w:r w:rsidRPr="00EF788F">
        <w:t xml:space="preserve"> </w:t>
      </w:r>
      <w:r w:rsidR="00E30156" w:rsidRPr="00EF788F">
        <w:t>Part 1</w:t>
      </w:r>
      <w:r w:rsidRPr="00EF788F">
        <w:t xml:space="preserve"> of </w:t>
      </w:r>
      <w:r w:rsidR="00E30156" w:rsidRPr="00EF788F">
        <w:t>Schedule 5</w:t>
      </w:r>
      <w:r w:rsidRPr="00EF788F">
        <w:t xml:space="preserve"> if:</w:t>
      </w:r>
    </w:p>
    <w:p w14:paraId="7794794C" w14:textId="77777777" w:rsidR="00E445C0" w:rsidRPr="00EF788F" w:rsidRDefault="00E445C0" w:rsidP="00E445C0">
      <w:pPr>
        <w:pStyle w:val="paragraph"/>
      </w:pPr>
      <w:r w:rsidRPr="00EF788F">
        <w:tab/>
        <w:t>(a)</w:t>
      </w:r>
      <w:r w:rsidRPr="00EF788F">
        <w:tab/>
        <w:t xml:space="preserve">the request </w:t>
      </w:r>
      <w:r w:rsidR="00073EFF" w:rsidRPr="00EF788F">
        <w:t xml:space="preserve">referred to in that item </w:t>
      </w:r>
      <w:r w:rsidRPr="00EF788F">
        <w:t xml:space="preserve">is made on or after the commencement of this regulation and before the end of </w:t>
      </w:r>
      <w:r w:rsidR="000A70DA" w:rsidRPr="00EF788F">
        <w:t>3</w:t>
      </w:r>
      <w:r w:rsidR="00E30156" w:rsidRPr="00EF788F">
        <w:t>1 December</w:t>
      </w:r>
      <w:r w:rsidRPr="00EF788F">
        <w:t xml:space="preserve"> 2022; and</w:t>
      </w:r>
    </w:p>
    <w:p w14:paraId="15FE6088" w14:textId="77777777" w:rsidR="00DC0C05" w:rsidRPr="00EF788F" w:rsidRDefault="00DC0C05" w:rsidP="00DC0C05">
      <w:pPr>
        <w:pStyle w:val="paragraph"/>
      </w:pPr>
      <w:r w:rsidRPr="00EF788F">
        <w:tab/>
        <w:t>(</w:t>
      </w:r>
      <w:r w:rsidR="00E445C0" w:rsidRPr="00EF788F">
        <w:t>b</w:t>
      </w:r>
      <w:r w:rsidRPr="00EF788F">
        <w:t>)</w:t>
      </w:r>
      <w:r w:rsidRPr="00EF788F">
        <w:tab/>
      </w:r>
      <w:r w:rsidR="00C1721C" w:rsidRPr="00EF788F">
        <w:t>th</w:t>
      </w:r>
      <w:r w:rsidR="00073EFF" w:rsidRPr="00EF788F">
        <w:t>at</w:t>
      </w:r>
      <w:r w:rsidR="00C1721C" w:rsidRPr="00EF788F">
        <w:t xml:space="preserve"> request is for revocation of the cancellation of an entry of a kind of medical device covered by</w:t>
      </w:r>
      <w:r w:rsidR="00F71275" w:rsidRPr="00EF788F">
        <w:t xml:space="preserve"> </w:t>
      </w:r>
      <w:r w:rsidR="00E30156" w:rsidRPr="00EF788F">
        <w:t>item 3</w:t>
      </w:r>
      <w:r w:rsidR="00F71275" w:rsidRPr="00EF788F">
        <w:t xml:space="preserve">A, 3B, 3C, 3D or 3E of the table in </w:t>
      </w:r>
      <w:r w:rsidR="00E30156" w:rsidRPr="00EF788F">
        <w:t>Schedule 1</w:t>
      </w:r>
      <w:r w:rsidR="00F71275" w:rsidRPr="00EF788F">
        <w:t xml:space="preserve"> to the </w:t>
      </w:r>
      <w:r w:rsidR="00F71275" w:rsidRPr="00EF788F">
        <w:rPr>
          <w:i/>
        </w:rPr>
        <w:t>Therapeutic Goods (Medical Devices—Specified Articles) Instrument 2020</w:t>
      </w:r>
      <w:r w:rsidR="00F71275" w:rsidRPr="00EF788F">
        <w:t>, as that instrument is in force from time to time</w:t>
      </w:r>
      <w:r w:rsidR="00E445C0" w:rsidRPr="00EF788F">
        <w:t>.</w:t>
      </w:r>
    </w:p>
    <w:p w14:paraId="5ACA0810" w14:textId="77777777" w:rsidR="00A11978" w:rsidRPr="00EF788F" w:rsidRDefault="00A11978" w:rsidP="00A11978">
      <w:pPr>
        <w:pStyle w:val="subsection"/>
      </w:pPr>
      <w:r w:rsidRPr="00EF788F">
        <w:tab/>
        <w:t>(</w:t>
      </w:r>
      <w:r w:rsidR="00F16FAA" w:rsidRPr="00EF788F">
        <w:t>3)</w:t>
      </w:r>
      <w:r w:rsidRPr="00EF788F">
        <w:tab/>
        <w:t xml:space="preserve">For the purposes of </w:t>
      </w:r>
      <w:r w:rsidR="000A70DA" w:rsidRPr="00EF788F">
        <w:t>paragraph 6</w:t>
      </w:r>
      <w:r w:rsidRPr="00EF788F">
        <w:t>3(3)(b) of the Act, the Secretary must</w:t>
      </w:r>
      <w:r w:rsidR="003B2C4D" w:rsidRPr="00EF788F">
        <w:t xml:space="preserve">, on behalf of the Commonwealth, </w:t>
      </w:r>
      <w:r w:rsidRPr="00EF788F">
        <w:t xml:space="preserve">waive the fee covered by </w:t>
      </w:r>
      <w:r w:rsidR="00E30156" w:rsidRPr="00EF788F">
        <w:t>item 1</w:t>
      </w:r>
      <w:r w:rsidRPr="00EF788F">
        <w:t xml:space="preserve">.5 of the table in </w:t>
      </w:r>
      <w:r w:rsidR="00E30156" w:rsidRPr="00EF788F">
        <w:t>Part 1</w:t>
      </w:r>
      <w:r w:rsidRPr="00EF788F">
        <w:t xml:space="preserve"> of </w:t>
      </w:r>
      <w:r w:rsidR="00E30156" w:rsidRPr="00EF788F">
        <w:t>Schedule 5</w:t>
      </w:r>
      <w:r w:rsidRPr="00EF788F">
        <w:t xml:space="preserve"> if:</w:t>
      </w:r>
    </w:p>
    <w:p w14:paraId="13A432AB" w14:textId="77777777" w:rsidR="00E445C0" w:rsidRPr="00EF788F" w:rsidRDefault="00E445C0" w:rsidP="00E445C0">
      <w:pPr>
        <w:pStyle w:val="paragraph"/>
      </w:pPr>
      <w:r w:rsidRPr="00EF788F">
        <w:tab/>
        <w:t>(a)</w:t>
      </w:r>
      <w:r w:rsidRPr="00EF788F">
        <w:tab/>
        <w:t xml:space="preserve">the application </w:t>
      </w:r>
      <w:r w:rsidR="00073EFF" w:rsidRPr="00EF788F">
        <w:t xml:space="preserve">referred to in that item </w:t>
      </w:r>
      <w:r w:rsidRPr="00EF788F">
        <w:t xml:space="preserve">is made on or after the commencement of this regulation and before the end of </w:t>
      </w:r>
      <w:r w:rsidR="000A70DA" w:rsidRPr="00EF788F">
        <w:t>3</w:t>
      </w:r>
      <w:r w:rsidR="00E30156" w:rsidRPr="00EF788F">
        <w:t>1 December</w:t>
      </w:r>
      <w:r w:rsidRPr="00EF788F">
        <w:t xml:space="preserve"> 2022; and</w:t>
      </w:r>
    </w:p>
    <w:p w14:paraId="1D389055" w14:textId="77777777" w:rsidR="00A11978" w:rsidRPr="00EF788F" w:rsidRDefault="00A11978" w:rsidP="00A11978">
      <w:pPr>
        <w:pStyle w:val="paragraph"/>
      </w:pPr>
      <w:r w:rsidRPr="00EF788F">
        <w:tab/>
        <w:t>(</w:t>
      </w:r>
      <w:r w:rsidR="00E445C0" w:rsidRPr="00EF788F">
        <w:t>b</w:t>
      </w:r>
      <w:r w:rsidRPr="00EF788F">
        <w:t>)</w:t>
      </w:r>
      <w:r w:rsidRPr="00EF788F">
        <w:tab/>
        <w:t>th</w:t>
      </w:r>
      <w:r w:rsidR="00073EFF" w:rsidRPr="00EF788F">
        <w:t>at</w:t>
      </w:r>
      <w:r w:rsidR="00F16FAA" w:rsidRPr="00EF788F">
        <w:t xml:space="preserve"> </w:t>
      </w:r>
      <w:r w:rsidR="00C1721C" w:rsidRPr="00EF788F">
        <w:t xml:space="preserve">application is for inclusion in the Register of a </w:t>
      </w:r>
      <w:r w:rsidRPr="00EF788F">
        <w:t xml:space="preserve">kind of medical device </w:t>
      </w:r>
      <w:r w:rsidR="000F60A6" w:rsidRPr="00EF788F">
        <w:t xml:space="preserve">covered by </w:t>
      </w:r>
      <w:r w:rsidR="00E30156" w:rsidRPr="00EF788F">
        <w:t>item 3</w:t>
      </w:r>
      <w:r w:rsidR="000F60A6" w:rsidRPr="00EF788F">
        <w:t xml:space="preserve">A, 3B, 3C, 3D or 3E of the table in </w:t>
      </w:r>
      <w:r w:rsidR="00E30156" w:rsidRPr="00EF788F">
        <w:t>Schedule 1</w:t>
      </w:r>
      <w:r w:rsidR="000F60A6" w:rsidRPr="00EF788F">
        <w:t xml:space="preserve"> to the </w:t>
      </w:r>
      <w:r w:rsidR="000F60A6" w:rsidRPr="00EF788F">
        <w:rPr>
          <w:i/>
        </w:rPr>
        <w:t>Therapeutic Goods (Medical Devices—Specified Articles) Instrument 2020</w:t>
      </w:r>
      <w:r w:rsidR="000F60A6" w:rsidRPr="00EF788F">
        <w:t>, as that instrument is in force from time to time</w:t>
      </w:r>
      <w:r w:rsidR="00FC285C" w:rsidRPr="00EF788F">
        <w:t>; and</w:t>
      </w:r>
    </w:p>
    <w:p w14:paraId="1E05C7ED" w14:textId="77777777" w:rsidR="00FC285C" w:rsidRPr="00EF788F" w:rsidRDefault="00FC285C" w:rsidP="00A11978">
      <w:pPr>
        <w:pStyle w:val="paragraph"/>
      </w:pPr>
      <w:r w:rsidRPr="00EF788F">
        <w:tab/>
        <w:t>(c)</w:t>
      </w:r>
      <w:r w:rsidRPr="00EF788F">
        <w:tab/>
        <w:t>the person</w:t>
      </w:r>
      <w:r w:rsidRPr="00EF788F">
        <w:rPr>
          <w:i/>
        </w:rPr>
        <w:t xml:space="preserve"> </w:t>
      </w:r>
      <w:r w:rsidR="00F16FAA" w:rsidRPr="00EF788F">
        <w:t>making that application had</w:t>
      </w:r>
      <w:r w:rsidRPr="00EF788F">
        <w:t xml:space="preserve"> made </w:t>
      </w:r>
      <w:r w:rsidR="00F16FAA" w:rsidRPr="00EF788F">
        <w:t xml:space="preserve">a request before the commencement of this regulation </w:t>
      </w:r>
      <w:r w:rsidRPr="00EF788F">
        <w:t xml:space="preserve">under </w:t>
      </w:r>
      <w:r w:rsidR="000A70DA" w:rsidRPr="00EF788F">
        <w:t>paragraph 4</w:t>
      </w:r>
      <w:r w:rsidRPr="00EF788F">
        <w:t xml:space="preserve">1GL(d) </w:t>
      </w:r>
      <w:r w:rsidR="00F16FAA" w:rsidRPr="00EF788F">
        <w:t xml:space="preserve">of the Act </w:t>
      </w:r>
      <w:r w:rsidRPr="00EF788F">
        <w:t xml:space="preserve">for cancellation of the </w:t>
      </w:r>
      <w:r w:rsidR="00F16FAA" w:rsidRPr="00EF788F">
        <w:t xml:space="preserve">entry of the </w:t>
      </w:r>
      <w:r w:rsidRPr="00EF788F">
        <w:t xml:space="preserve">kind of device </w:t>
      </w:r>
      <w:r w:rsidR="00F16FAA" w:rsidRPr="00EF788F">
        <w:t>that is the subject of that application</w:t>
      </w:r>
      <w:r w:rsidRPr="00EF788F">
        <w:t>.</w:t>
      </w:r>
    </w:p>
    <w:p w14:paraId="5ED387AB" w14:textId="77777777" w:rsidR="008B1AD7" w:rsidRPr="00EF788F" w:rsidRDefault="002D62DD" w:rsidP="008B1AD7">
      <w:pPr>
        <w:pStyle w:val="ItemHead"/>
      </w:pPr>
      <w:r w:rsidRPr="00EF788F">
        <w:lastRenderedPageBreak/>
        <w:t>45</w:t>
      </w:r>
      <w:r w:rsidR="00445164" w:rsidRPr="00EF788F">
        <w:t xml:space="preserve">  </w:t>
      </w:r>
      <w:r w:rsidR="00E30156" w:rsidRPr="00EF788F">
        <w:t>Part 1</w:t>
      </w:r>
      <w:r w:rsidR="008B1AD7" w:rsidRPr="00EF788F">
        <w:t xml:space="preserve"> of </w:t>
      </w:r>
      <w:r w:rsidR="00E30156" w:rsidRPr="00EF788F">
        <w:t>Schedule 4</w:t>
      </w:r>
      <w:r w:rsidR="008B1AD7" w:rsidRPr="00EF788F">
        <w:t xml:space="preserve"> (after table </w:t>
      </w:r>
      <w:r w:rsidR="00E30156" w:rsidRPr="00EF788F">
        <w:t>item 1</w:t>
      </w:r>
      <w:r w:rsidR="008B1AD7" w:rsidRPr="00EF788F">
        <w:t>.3A)</w:t>
      </w:r>
    </w:p>
    <w:p w14:paraId="74088A47" w14:textId="77777777" w:rsidR="008B1AD7" w:rsidRPr="00EF788F" w:rsidRDefault="008B1AD7" w:rsidP="008B1AD7">
      <w:pPr>
        <w:pStyle w:val="Item"/>
      </w:pPr>
      <w:r w:rsidRPr="00EF788F">
        <w:t>Insert:</w:t>
      </w:r>
    </w:p>
    <w:tbl>
      <w:tblPr>
        <w:tblW w:w="5000" w:type="pct"/>
        <w:tblLook w:val="0000" w:firstRow="0" w:lastRow="0" w:firstColumn="0" w:lastColumn="0" w:noHBand="0" w:noVBand="0"/>
      </w:tblPr>
      <w:tblGrid>
        <w:gridCol w:w="778"/>
        <w:gridCol w:w="7751"/>
      </w:tblGrid>
      <w:tr w:rsidR="008B1AD7" w:rsidRPr="00EF788F" w14:paraId="77C0934E" w14:textId="77777777" w:rsidTr="007D7822">
        <w:tc>
          <w:tcPr>
            <w:tcW w:w="456" w:type="pct"/>
            <w:shd w:val="clear" w:color="auto" w:fill="auto"/>
          </w:tcPr>
          <w:p w14:paraId="06ADB9DC" w14:textId="77777777" w:rsidR="008B1AD7" w:rsidRPr="00EF788F" w:rsidRDefault="008B1AD7" w:rsidP="007D7822">
            <w:pPr>
              <w:pStyle w:val="Tabletext"/>
            </w:pPr>
            <w:r w:rsidRPr="00EF788F">
              <w:t>1.3B</w:t>
            </w:r>
          </w:p>
        </w:tc>
        <w:tc>
          <w:tcPr>
            <w:tcW w:w="4544" w:type="pct"/>
            <w:shd w:val="clear" w:color="auto" w:fill="auto"/>
          </w:tcPr>
          <w:p w14:paraId="51BFEE55" w14:textId="77777777" w:rsidR="008B1AD7" w:rsidRPr="00EF788F" w:rsidRDefault="008B1AD7" w:rsidP="007D7822">
            <w:pPr>
              <w:pStyle w:val="Tabletext"/>
            </w:pPr>
            <w:r w:rsidRPr="00EF788F">
              <w:t>Medical device that is</w:t>
            </w:r>
            <w:r w:rsidR="00E57256" w:rsidRPr="00EF788F">
              <w:t>:</w:t>
            </w:r>
          </w:p>
          <w:p w14:paraId="4B2722AC" w14:textId="77777777" w:rsidR="00E57256" w:rsidRPr="00EF788F" w:rsidRDefault="00E57256" w:rsidP="00E57256">
            <w:pPr>
              <w:pStyle w:val="Tablea"/>
            </w:pPr>
            <w:r w:rsidRPr="00EF788F">
              <w:t>(a) ma</w:t>
            </w:r>
            <w:r w:rsidR="002E56C2" w:rsidRPr="00EF788F">
              <w:t>n</w:t>
            </w:r>
            <w:r w:rsidRPr="00EF788F">
              <w:t xml:space="preserve">ufactured </w:t>
            </w:r>
            <w:r w:rsidR="00AD2BD5" w:rsidRPr="00EF788F">
              <w:t>by a health professional</w:t>
            </w:r>
            <w:r w:rsidR="00AB2D2E" w:rsidRPr="00EF788F">
              <w:t xml:space="preserve"> </w:t>
            </w:r>
            <w:r w:rsidR="002E56C2" w:rsidRPr="00EF788F">
              <w:t>or</w:t>
            </w:r>
            <w:r w:rsidR="00AB2D2E" w:rsidRPr="00EF788F">
              <w:t xml:space="preserve"> by a person </w:t>
            </w:r>
            <w:r w:rsidR="00AA38E1" w:rsidRPr="00EF788F">
              <w:t xml:space="preserve">acting under the </w:t>
            </w:r>
            <w:r w:rsidR="00D8034A" w:rsidRPr="00EF788F">
              <w:t xml:space="preserve">written </w:t>
            </w:r>
            <w:r w:rsidR="00AA38E1" w:rsidRPr="00EF788F">
              <w:t>instructions</w:t>
            </w:r>
            <w:r w:rsidR="00AB2D2E" w:rsidRPr="00EF788F">
              <w:t xml:space="preserve"> of a health professional; and</w:t>
            </w:r>
          </w:p>
          <w:p w14:paraId="3769FAA0" w14:textId="77777777" w:rsidR="00AB2D2E" w:rsidRPr="00EF788F" w:rsidRDefault="00AB2D2E" w:rsidP="00E57256">
            <w:pPr>
              <w:pStyle w:val="Tablea"/>
            </w:pPr>
            <w:r w:rsidRPr="00EF788F">
              <w:t xml:space="preserve">(b) manufactured from other medical devices that are included in the Register </w:t>
            </w:r>
            <w:r w:rsidR="00D55557" w:rsidRPr="00EF788F">
              <w:t xml:space="preserve">and are </w:t>
            </w:r>
            <w:r w:rsidR="00D8034A" w:rsidRPr="00EF788F">
              <w:t xml:space="preserve">covered by </w:t>
            </w:r>
            <w:r w:rsidR="00E30156" w:rsidRPr="00EF788F">
              <w:t>item 3</w:t>
            </w:r>
            <w:r w:rsidR="00D8034A" w:rsidRPr="00EF788F">
              <w:t xml:space="preserve">A, 3B, 3C, 3D or 3E of the table in </w:t>
            </w:r>
            <w:r w:rsidR="00E30156" w:rsidRPr="00EF788F">
              <w:t>Schedule 1</w:t>
            </w:r>
            <w:r w:rsidR="00D8034A" w:rsidRPr="00EF788F">
              <w:t xml:space="preserve"> to the </w:t>
            </w:r>
            <w:r w:rsidR="00D8034A" w:rsidRPr="00EF788F">
              <w:rPr>
                <w:i/>
              </w:rPr>
              <w:t>Therapeutic Goods (Medical Devices—Specified Articles) Instrument 2020</w:t>
            </w:r>
            <w:r w:rsidR="00D8034A" w:rsidRPr="00EF788F">
              <w:t>, as that instrument is in force from time to time</w:t>
            </w:r>
          </w:p>
        </w:tc>
      </w:tr>
    </w:tbl>
    <w:p w14:paraId="31E0069B" w14:textId="77777777" w:rsidR="00250EC0" w:rsidRPr="00EF788F" w:rsidRDefault="00250EC0" w:rsidP="00250EC0">
      <w:pPr>
        <w:pStyle w:val="ActHead7"/>
        <w:pageBreakBefore/>
      </w:pPr>
      <w:bookmarkStart w:id="32" w:name="_Toc84835162"/>
      <w:r w:rsidRPr="00C518BF">
        <w:rPr>
          <w:rStyle w:val="CharAmPartNo"/>
        </w:rPr>
        <w:lastRenderedPageBreak/>
        <w:t>Part </w:t>
      </w:r>
      <w:r w:rsidR="001B5EE7" w:rsidRPr="00C518BF">
        <w:rPr>
          <w:rStyle w:val="CharAmPartNo"/>
        </w:rPr>
        <w:t>6</w:t>
      </w:r>
      <w:r w:rsidRPr="00EF788F">
        <w:t>—</w:t>
      </w:r>
      <w:r w:rsidRPr="00C518BF">
        <w:rPr>
          <w:rStyle w:val="CharAmPartText"/>
        </w:rPr>
        <w:t>Patient</w:t>
      </w:r>
      <w:r w:rsidR="00EF788F" w:rsidRPr="00C518BF">
        <w:rPr>
          <w:rStyle w:val="CharAmPartText"/>
        </w:rPr>
        <w:noBreakHyphen/>
      </w:r>
      <w:r w:rsidRPr="00C518BF">
        <w:rPr>
          <w:rStyle w:val="CharAmPartText"/>
        </w:rPr>
        <w:t>matched medical devices</w:t>
      </w:r>
      <w:bookmarkEnd w:id="32"/>
    </w:p>
    <w:p w14:paraId="7A6A381B" w14:textId="77777777" w:rsidR="00250EC0" w:rsidRPr="00EF788F" w:rsidRDefault="00250EC0" w:rsidP="00250EC0">
      <w:pPr>
        <w:pStyle w:val="ActHead9"/>
      </w:pPr>
      <w:bookmarkStart w:id="33" w:name="_Toc84835163"/>
      <w:r w:rsidRPr="00EF788F">
        <w:t xml:space="preserve">Therapeutic Goods (Medical Devices) </w:t>
      </w:r>
      <w:r w:rsidR="00EF1DEF" w:rsidRPr="00EF788F">
        <w:t>Regulations 2</w:t>
      </w:r>
      <w:r w:rsidRPr="00EF788F">
        <w:t>002</w:t>
      </w:r>
      <w:bookmarkEnd w:id="33"/>
    </w:p>
    <w:p w14:paraId="57F74ECE" w14:textId="77777777" w:rsidR="00250EC0" w:rsidRPr="00EF788F" w:rsidRDefault="002D62DD" w:rsidP="00250EC0">
      <w:pPr>
        <w:pStyle w:val="ItemHead"/>
      </w:pPr>
      <w:r w:rsidRPr="00EF788F">
        <w:t>46</w:t>
      </w:r>
      <w:r w:rsidR="00250EC0" w:rsidRPr="00EF788F">
        <w:t xml:space="preserve">  At the end of </w:t>
      </w:r>
      <w:r w:rsidR="004E5D3A" w:rsidRPr="00EF788F">
        <w:t>regulation 7</w:t>
      </w:r>
      <w:r w:rsidR="00A92A20" w:rsidRPr="00EF788F">
        <w:t>.1</w:t>
      </w:r>
    </w:p>
    <w:p w14:paraId="45971D5C" w14:textId="77777777" w:rsidR="00250EC0" w:rsidRPr="00EF788F" w:rsidRDefault="00250EC0" w:rsidP="00250EC0">
      <w:pPr>
        <w:pStyle w:val="Item"/>
      </w:pPr>
      <w:r w:rsidRPr="00EF788F">
        <w:t>Add:</w:t>
      </w:r>
    </w:p>
    <w:p w14:paraId="514E3B2C" w14:textId="77777777" w:rsidR="00250EC0" w:rsidRPr="00EF788F" w:rsidRDefault="00250EC0" w:rsidP="00250EC0">
      <w:pPr>
        <w:pStyle w:val="subsection"/>
      </w:pPr>
      <w:r w:rsidRPr="00EF788F">
        <w:tab/>
        <w:t>(8)</w:t>
      </w:r>
      <w:r w:rsidRPr="00EF788F">
        <w:tab/>
        <w:t xml:space="preserve">For a kind of medical device that is exempt under </w:t>
      </w:r>
      <w:r w:rsidR="00E30156" w:rsidRPr="00EF788F">
        <w:t>item 1</w:t>
      </w:r>
      <w:r w:rsidRPr="00EF788F">
        <w:t>.</w:t>
      </w:r>
      <w:r w:rsidR="005677CB" w:rsidRPr="00EF788F">
        <w:t>7</w:t>
      </w:r>
      <w:r w:rsidRPr="00EF788F">
        <w:t xml:space="preserve"> of the table in </w:t>
      </w:r>
      <w:r w:rsidR="00E30156" w:rsidRPr="00EF788F">
        <w:t>Part 1</w:t>
      </w:r>
      <w:r w:rsidRPr="00EF788F">
        <w:t xml:space="preserve"> of </w:t>
      </w:r>
      <w:r w:rsidR="00E30156" w:rsidRPr="00EF788F">
        <w:t>Schedule 4</w:t>
      </w:r>
      <w:r w:rsidRPr="00EF788F">
        <w:t>, the exemption</w:t>
      </w:r>
      <w:r w:rsidR="005677CB" w:rsidRPr="00EF788F">
        <w:t xml:space="preserve">, to the extent </w:t>
      </w:r>
      <w:r w:rsidR="00CD4DE9" w:rsidRPr="00EF788F">
        <w:t xml:space="preserve">that </w:t>
      </w:r>
      <w:r w:rsidR="005677CB" w:rsidRPr="00EF788F">
        <w:t>it relates to a particular manufacturer of a patient</w:t>
      </w:r>
      <w:r w:rsidR="00EF788F">
        <w:noBreakHyphen/>
      </w:r>
      <w:r w:rsidR="005677CB" w:rsidRPr="00EF788F">
        <w:t xml:space="preserve">matched medical device, </w:t>
      </w:r>
      <w:r w:rsidRPr="00EF788F">
        <w:t xml:space="preserve">is subject to the condition that the exemption only has effect in relation to </w:t>
      </w:r>
      <w:r w:rsidR="005677CB" w:rsidRPr="00EF788F">
        <w:t xml:space="preserve">the first </w:t>
      </w:r>
      <w:r w:rsidR="006F7713" w:rsidRPr="00EF788F">
        <w:t>5</w:t>
      </w:r>
      <w:r w:rsidR="005677CB" w:rsidRPr="00EF788F">
        <w:t xml:space="preserve"> patient</w:t>
      </w:r>
      <w:r w:rsidR="00EF788F">
        <w:noBreakHyphen/>
      </w:r>
      <w:r w:rsidR="005677CB" w:rsidRPr="00EF788F">
        <w:t xml:space="preserve">matched medical devices manufactured by the manufacturer in a </w:t>
      </w:r>
      <w:r w:rsidR="008E2627" w:rsidRPr="00EF788F">
        <w:t>financial</w:t>
      </w:r>
      <w:r w:rsidR="005677CB" w:rsidRPr="00EF788F">
        <w:t xml:space="preserve"> year</w:t>
      </w:r>
      <w:r w:rsidRPr="00EF788F">
        <w:t>.</w:t>
      </w:r>
    </w:p>
    <w:p w14:paraId="4140DE47" w14:textId="77777777" w:rsidR="00250EC0" w:rsidRPr="00EF788F" w:rsidRDefault="002D62DD" w:rsidP="00250EC0">
      <w:pPr>
        <w:pStyle w:val="ItemHead"/>
      </w:pPr>
      <w:r w:rsidRPr="00EF788F">
        <w:t>47</w:t>
      </w:r>
      <w:r w:rsidR="00250EC0" w:rsidRPr="00EF788F">
        <w:t xml:space="preserve">  </w:t>
      </w:r>
      <w:r w:rsidR="00E30156" w:rsidRPr="00EF788F">
        <w:t>Part 1</w:t>
      </w:r>
      <w:r w:rsidR="00250EC0" w:rsidRPr="00EF788F">
        <w:t xml:space="preserve"> of </w:t>
      </w:r>
      <w:r w:rsidR="00E30156" w:rsidRPr="00EF788F">
        <w:t>Schedule 4</w:t>
      </w:r>
      <w:r w:rsidR="00250EC0" w:rsidRPr="00EF788F">
        <w:t xml:space="preserve"> (at the end of the table)</w:t>
      </w:r>
    </w:p>
    <w:p w14:paraId="709C14B8" w14:textId="77777777" w:rsidR="00250EC0" w:rsidRPr="00EF788F" w:rsidRDefault="00250EC0" w:rsidP="00250EC0">
      <w:pPr>
        <w:pStyle w:val="Item"/>
      </w:pPr>
      <w:r w:rsidRPr="00EF788F">
        <w:t>Add:</w:t>
      </w:r>
    </w:p>
    <w:tbl>
      <w:tblPr>
        <w:tblW w:w="5000" w:type="pct"/>
        <w:tblLook w:val="0000" w:firstRow="0" w:lastRow="0" w:firstColumn="0" w:lastColumn="0" w:noHBand="0" w:noVBand="0"/>
      </w:tblPr>
      <w:tblGrid>
        <w:gridCol w:w="778"/>
        <w:gridCol w:w="7751"/>
      </w:tblGrid>
      <w:tr w:rsidR="00250EC0" w:rsidRPr="00EF788F" w14:paraId="6B470548" w14:textId="77777777" w:rsidTr="00250EC0">
        <w:tc>
          <w:tcPr>
            <w:tcW w:w="456" w:type="pct"/>
            <w:shd w:val="clear" w:color="auto" w:fill="auto"/>
          </w:tcPr>
          <w:p w14:paraId="2ED3C943" w14:textId="77777777" w:rsidR="00250EC0" w:rsidRPr="00EF788F" w:rsidRDefault="00250EC0" w:rsidP="0092501B">
            <w:pPr>
              <w:pStyle w:val="Tabletext"/>
            </w:pPr>
            <w:r w:rsidRPr="00EF788F">
              <w:t>1.7</w:t>
            </w:r>
          </w:p>
        </w:tc>
        <w:tc>
          <w:tcPr>
            <w:tcW w:w="4544" w:type="pct"/>
            <w:shd w:val="clear" w:color="auto" w:fill="auto"/>
          </w:tcPr>
          <w:p w14:paraId="0DDCD0E8" w14:textId="77777777" w:rsidR="00250EC0" w:rsidRPr="00EF788F" w:rsidRDefault="00250EC0" w:rsidP="0092501B">
            <w:pPr>
              <w:pStyle w:val="Tabletext"/>
            </w:pPr>
            <w:r w:rsidRPr="00EF788F">
              <w:t>Patient</w:t>
            </w:r>
            <w:r w:rsidR="00EF788F">
              <w:noBreakHyphen/>
            </w:r>
            <w:r w:rsidRPr="00EF788F">
              <w:t>matched medical device</w:t>
            </w:r>
          </w:p>
        </w:tc>
      </w:tr>
    </w:tbl>
    <w:p w14:paraId="1EA2936B" w14:textId="77777777" w:rsidR="00344E85" w:rsidRPr="00EF788F" w:rsidRDefault="002D62DD" w:rsidP="00344E85">
      <w:pPr>
        <w:pStyle w:val="ItemHead"/>
      </w:pPr>
      <w:r w:rsidRPr="00EF788F">
        <w:t>48</w:t>
      </w:r>
      <w:r w:rsidR="00344E85" w:rsidRPr="00EF788F">
        <w:t xml:space="preserve">  </w:t>
      </w:r>
      <w:r w:rsidR="00E30156" w:rsidRPr="00EF788F">
        <w:t>Part 2</w:t>
      </w:r>
      <w:r w:rsidR="00344E85" w:rsidRPr="00EF788F">
        <w:t xml:space="preserve"> of </w:t>
      </w:r>
      <w:r w:rsidR="00E30156" w:rsidRPr="00EF788F">
        <w:t>Schedule 4</w:t>
      </w:r>
      <w:r w:rsidR="00344E85" w:rsidRPr="00EF788F">
        <w:t xml:space="preserve"> (table </w:t>
      </w:r>
      <w:r w:rsidR="004E5D3A" w:rsidRPr="00EF788F">
        <w:t>item 2</w:t>
      </w:r>
      <w:r w:rsidR="0042111C" w:rsidRPr="00EF788F">
        <w:t>.</w:t>
      </w:r>
      <w:r w:rsidR="00344E85" w:rsidRPr="00EF788F">
        <w:t>14, column headed “Conditions”)</w:t>
      </w:r>
    </w:p>
    <w:p w14:paraId="5DFE37E0" w14:textId="77777777" w:rsidR="00344E85" w:rsidRPr="00EF788F" w:rsidRDefault="00344E85" w:rsidP="00344E85">
      <w:pPr>
        <w:pStyle w:val="Item"/>
      </w:pPr>
      <w:r w:rsidRPr="00EF788F">
        <w:t>Omit “25 August 2021”, substitute “25 August 2022”.</w:t>
      </w:r>
    </w:p>
    <w:p w14:paraId="7CB27B91" w14:textId="77777777" w:rsidR="00BD66AB" w:rsidRPr="00EF788F" w:rsidRDefault="004E5D3A" w:rsidP="00BD66AB">
      <w:pPr>
        <w:pStyle w:val="ActHead7"/>
        <w:pageBreakBefore/>
      </w:pPr>
      <w:bookmarkStart w:id="34" w:name="_Toc84835164"/>
      <w:r w:rsidRPr="00C518BF">
        <w:rPr>
          <w:rStyle w:val="CharAmPartNo"/>
        </w:rPr>
        <w:lastRenderedPageBreak/>
        <w:t>Part </w:t>
      </w:r>
      <w:r w:rsidR="001B5EE7" w:rsidRPr="00C518BF">
        <w:rPr>
          <w:rStyle w:val="CharAmPartNo"/>
        </w:rPr>
        <w:t>7</w:t>
      </w:r>
      <w:r w:rsidR="00BD66AB" w:rsidRPr="00EF788F">
        <w:t>—</w:t>
      </w:r>
      <w:r w:rsidR="00BD66AB" w:rsidRPr="00C518BF">
        <w:rPr>
          <w:rStyle w:val="CharAmPartText"/>
        </w:rPr>
        <w:t>Surgical loan kits</w:t>
      </w:r>
      <w:bookmarkEnd w:id="34"/>
    </w:p>
    <w:p w14:paraId="663B58CB" w14:textId="77777777" w:rsidR="00BD66AB" w:rsidRPr="00EF788F" w:rsidRDefault="00BD66AB" w:rsidP="00BD66AB">
      <w:pPr>
        <w:pStyle w:val="ActHead9"/>
      </w:pPr>
      <w:bookmarkStart w:id="35" w:name="_Toc84835165"/>
      <w:r w:rsidRPr="00EF788F">
        <w:t xml:space="preserve">Therapeutic Goods (Medical Devices) </w:t>
      </w:r>
      <w:r w:rsidR="00EF1DEF" w:rsidRPr="00EF788F">
        <w:t>Regulations 2</w:t>
      </w:r>
      <w:r w:rsidRPr="00EF788F">
        <w:t>002</w:t>
      </w:r>
      <w:bookmarkEnd w:id="35"/>
    </w:p>
    <w:p w14:paraId="0DCA4BFA" w14:textId="77777777" w:rsidR="00344E85" w:rsidRPr="00EF788F" w:rsidRDefault="002D62DD" w:rsidP="00344E85">
      <w:pPr>
        <w:pStyle w:val="ItemHead"/>
      </w:pPr>
      <w:r w:rsidRPr="00EF788F">
        <w:t>49</w:t>
      </w:r>
      <w:r w:rsidR="005216A8" w:rsidRPr="00EF788F">
        <w:t xml:space="preserve">  </w:t>
      </w:r>
      <w:r w:rsidR="00E30156" w:rsidRPr="00EF788F">
        <w:t>Part 2</w:t>
      </w:r>
      <w:r w:rsidR="00344E85" w:rsidRPr="00EF788F">
        <w:t xml:space="preserve"> of </w:t>
      </w:r>
      <w:r w:rsidR="00E30156" w:rsidRPr="00EF788F">
        <w:t>Schedule 4</w:t>
      </w:r>
      <w:r w:rsidR="00344E85" w:rsidRPr="00EF788F">
        <w:t xml:space="preserve"> (at the end of the table)</w:t>
      </w:r>
    </w:p>
    <w:p w14:paraId="24D15C56" w14:textId="77777777" w:rsidR="00344E85" w:rsidRPr="00EF788F" w:rsidRDefault="00344E85" w:rsidP="00344E85">
      <w:pPr>
        <w:pStyle w:val="Item"/>
      </w:pPr>
      <w:r w:rsidRPr="00EF788F">
        <w:t>Add:</w:t>
      </w:r>
    </w:p>
    <w:tbl>
      <w:tblPr>
        <w:tblW w:w="5000" w:type="pct"/>
        <w:tblLook w:val="0480" w:firstRow="0" w:lastRow="0" w:firstColumn="1" w:lastColumn="0" w:noHBand="0" w:noVBand="1"/>
      </w:tblPr>
      <w:tblGrid>
        <w:gridCol w:w="731"/>
        <w:gridCol w:w="3279"/>
        <w:gridCol w:w="4519"/>
      </w:tblGrid>
      <w:tr w:rsidR="00C06DF3" w:rsidRPr="00EF788F" w14:paraId="27502F73" w14:textId="77777777" w:rsidTr="00344E85">
        <w:tc>
          <w:tcPr>
            <w:tcW w:w="429" w:type="pct"/>
            <w:shd w:val="clear" w:color="auto" w:fill="auto"/>
          </w:tcPr>
          <w:p w14:paraId="0ED010A8" w14:textId="77777777" w:rsidR="00C06DF3" w:rsidRPr="00EF788F" w:rsidRDefault="00C06DF3" w:rsidP="0092501B">
            <w:pPr>
              <w:pStyle w:val="Tabletext"/>
            </w:pPr>
            <w:r w:rsidRPr="00EF788F">
              <w:t>2.1</w:t>
            </w:r>
            <w:r w:rsidR="0092501B" w:rsidRPr="00EF788F">
              <w:t>6</w:t>
            </w:r>
          </w:p>
        </w:tc>
        <w:tc>
          <w:tcPr>
            <w:tcW w:w="1922" w:type="pct"/>
            <w:shd w:val="clear" w:color="auto" w:fill="auto"/>
          </w:tcPr>
          <w:p w14:paraId="5F1BC676" w14:textId="77777777" w:rsidR="00C06DF3" w:rsidRPr="00EF788F" w:rsidRDefault="0092501B" w:rsidP="0092501B">
            <w:pPr>
              <w:pStyle w:val="Tabletext"/>
            </w:pPr>
            <w:r w:rsidRPr="00EF788F">
              <w:t>Medical device that is a surgical loan kit</w:t>
            </w:r>
            <w:r w:rsidR="00040EC3" w:rsidRPr="00EF788F">
              <w:t>, where</w:t>
            </w:r>
            <w:r w:rsidR="00C06DF3" w:rsidRPr="00EF788F">
              <w:t>:</w:t>
            </w:r>
          </w:p>
          <w:p w14:paraId="47997701" w14:textId="77777777" w:rsidR="0092501B" w:rsidRPr="00EF788F" w:rsidRDefault="00C06DF3" w:rsidP="0092501B">
            <w:pPr>
              <w:pStyle w:val="Tablea"/>
            </w:pPr>
            <w:r w:rsidRPr="00EF788F">
              <w:t xml:space="preserve">(a) </w:t>
            </w:r>
            <w:r w:rsidR="00040EC3" w:rsidRPr="00EF788F">
              <w:t xml:space="preserve">the </w:t>
            </w:r>
            <w:r w:rsidR="000B743A" w:rsidRPr="00EF788F">
              <w:t>kit</w:t>
            </w:r>
            <w:r w:rsidR="00040EC3" w:rsidRPr="00EF788F">
              <w:t xml:space="preserve"> </w:t>
            </w:r>
            <w:r w:rsidRPr="00EF788F">
              <w:t>is intended</w:t>
            </w:r>
            <w:r w:rsidR="0092501B" w:rsidRPr="00EF788F">
              <w:t xml:space="preserve"> by its manufacturer to be supplied to hospitals in Australia; and</w:t>
            </w:r>
          </w:p>
          <w:p w14:paraId="65774EE8" w14:textId="77777777" w:rsidR="00C06DF3" w:rsidRPr="00EF788F" w:rsidRDefault="00C06DF3" w:rsidP="0092501B">
            <w:pPr>
              <w:pStyle w:val="Tablea"/>
            </w:pPr>
            <w:r w:rsidRPr="00EF788F">
              <w:t xml:space="preserve">(b) </w:t>
            </w:r>
            <w:r w:rsidR="00040EC3" w:rsidRPr="00EF788F">
              <w:t xml:space="preserve">the </w:t>
            </w:r>
            <w:r w:rsidR="000B743A" w:rsidRPr="00EF788F">
              <w:t>kit</w:t>
            </w:r>
            <w:r w:rsidR="00040EC3" w:rsidRPr="00EF788F">
              <w:t xml:space="preserve"> </w:t>
            </w:r>
            <w:r w:rsidRPr="00EF788F">
              <w:t xml:space="preserve">is </w:t>
            </w:r>
            <w:r w:rsidR="0092501B" w:rsidRPr="00EF788F">
              <w:t xml:space="preserve">intended by its manufacturer to be used </w:t>
            </w:r>
            <w:r w:rsidR="00E24749" w:rsidRPr="00EF788F">
              <w:t>in a surgical procedure</w:t>
            </w:r>
            <w:r w:rsidR="0092501B" w:rsidRPr="00EF788F">
              <w:t>; and</w:t>
            </w:r>
          </w:p>
          <w:p w14:paraId="2D1B098D" w14:textId="77777777" w:rsidR="00E16A42" w:rsidRPr="00EF788F" w:rsidRDefault="00E16A42" w:rsidP="0092501B">
            <w:pPr>
              <w:pStyle w:val="Tablea"/>
            </w:pPr>
            <w:r w:rsidRPr="00EF788F">
              <w:t xml:space="preserve">(c) the kit contains 2 or more reusable surgical instruments and the only other therapeutic goods (if any) in the kit are </w:t>
            </w:r>
            <w:r w:rsidR="00EF53FD" w:rsidRPr="00EF788F">
              <w:t xml:space="preserve">either or both of </w:t>
            </w:r>
            <w:r w:rsidRPr="00EF788F">
              <w:t>the following:</w:t>
            </w:r>
          </w:p>
          <w:p w14:paraId="014A35F3" w14:textId="77777777" w:rsidR="00040EC3" w:rsidRPr="00EF788F" w:rsidRDefault="00AF6731" w:rsidP="00AF6731">
            <w:pPr>
              <w:pStyle w:val="Tablei"/>
            </w:pPr>
            <w:r w:rsidRPr="00EF788F">
              <w:t>(</w:t>
            </w:r>
            <w:proofErr w:type="spellStart"/>
            <w:r w:rsidRPr="00EF788F">
              <w:t>i</w:t>
            </w:r>
            <w:proofErr w:type="spellEnd"/>
            <w:r w:rsidRPr="00EF788F">
              <w:t xml:space="preserve">) </w:t>
            </w:r>
            <w:r w:rsidR="00A92A20" w:rsidRPr="00EF788F">
              <w:t>one</w:t>
            </w:r>
            <w:r w:rsidR="00475A57" w:rsidRPr="00EF788F">
              <w:t xml:space="preserve"> or</w:t>
            </w:r>
            <w:r w:rsidR="0092501B" w:rsidRPr="00EF788F">
              <w:t xml:space="preserve"> more implantable medical device</w:t>
            </w:r>
            <w:r w:rsidR="00040EC3" w:rsidRPr="00EF788F">
              <w:t>s</w:t>
            </w:r>
            <w:r w:rsidR="00734485" w:rsidRPr="00EF788F">
              <w:t>;</w:t>
            </w:r>
          </w:p>
          <w:p w14:paraId="170468F2" w14:textId="77777777" w:rsidR="00E16A42" w:rsidRPr="00EF788F" w:rsidRDefault="00E16A42" w:rsidP="00AF6731">
            <w:pPr>
              <w:pStyle w:val="Tablei"/>
            </w:pPr>
            <w:r w:rsidRPr="00EF788F">
              <w:t xml:space="preserve">(ii) </w:t>
            </w:r>
            <w:r w:rsidR="00A92A20" w:rsidRPr="00EF788F">
              <w:t>one</w:t>
            </w:r>
            <w:r w:rsidRPr="00EF788F">
              <w:t xml:space="preserve"> or more </w:t>
            </w:r>
            <w:r w:rsidR="00024A8C" w:rsidRPr="00EF788F">
              <w:t>Class I medical device</w:t>
            </w:r>
            <w:r w:rsidRPr="00EF788F">
              <w:t>s; and</w:t>
            </w:r>
          </w:p>
          <w:p w14:paraId="1F3AD233" w14:textId="77777777" w:rsidR="00040EC3" w:rsidRPr="00EF788F" w:rsidRDefault="00040EC3" w:rsidP="0092501B">
            <w:pPr>
              <w:pStyle w:val="Tablea"/>
            </w:pPr>
            <w:r w:rsidRPr="00EF788F">
              <w:t xml:space="preserve">(d) </w:t>
            </w:r>
            <w:r w:rsidR="003E7008" w:rsidRPr="00EF788F">
              <w:t xml:space="preserve">each of </w:t>
            </w:r>
            <w:r w:rsidR="00E16A42" w:rsidRPr="00EF788F">
              <w:t xml:space="preserve">the </w:t>
            </w:r>
            <w:r w:rsidR="007A1DA9" w:rsidRPr="00EF788F">
              <w:t>medical devices</w:t>
            </w:r>
            <w:r w:rsidR="00E16A42" w:rsidRPr="00EF788F">
              <w:t xml:space="preserve"> in the kit </w:t>
            </w:r>
            <w:r w:rsidR="003E7008" w:rsidRPr="00EF788F">
              <w:t>is included in the Register</w:t>
            </w:r>
          </w:p>
        </w:tc>
        <w:tc>
          <w:tcPr>
            <w:tcW w:w="2649" w:type="pct"/>
            <w:shd w:val="clear" w:color="auto" w:fill="auto"/>
          </w:tcPr>
          <w:p w14:paraId="2E9EBC0B" w14:textId="77777777" w:rsidR="00C06DF3" w:rsidRPr="00EF788F" w:rsidRDefault="00C06DF3" w:rsidP="0092501B">
            <w:pPr>
              <w:pStyle w:val="Tablea"/>
            </w:pPr>
            <w:r w:rsidRPr="00EF788F">
              <w:t>(a) The device must comply with the essential principles.</w:t>
            </w:r>
          </w:p>
          <w:p w14:paraId="1AA0B519" w14:textId="77777777" w:rsidR="00C06DF3" w:rsidRPr="00EF788F" w:rsidRDefault="00C06DF3" w:rsidP="0092501B">
            <w:pPr>
              <w:pStyle w:val="Tablea"/>
            </w:pPr>
            <w:r w:rsidRPr="00EF788F">
              <w:t xml:space="preserve">(b) The manufacturer of the device must apply </w:t>
            </w:r>
            <w:r w:rsidR="003039EF" w:rsidRPr="00EF788F">
              <w:t>the</w:t>
            </w:r>
            <w:r w:rsidRPr="00EF788F">
              <w:t xml:space="preserve"> appropriate conformity assessment procedures </w:t>
            </w:r>
            <w:r w:rsidR="003039EF" w:rsidRPr="00EF788F">
              <w:t xml:space="preserve">(if any) </w:t>
            </w:r>
            <w:r w:rsidRPr="00EF788F">
              <w:t>at all times.</w:t>
            </w:r>
          </w:p>
          <w:p w14:paraId="225039AB" w14:textId="77777777" w:rsidR="00C06DF3" w:rsidRPr="00EF788F" w:rsidRDefault="00C06DF3" w:rsidP="0092501B">
            <w:pPr>
              <w:pStyle w:val="Tablea"/>
            </w:pPr>
            <w:r w:rsidRPr="00EF788F">
              <w:t>(c) The manufacturer of the device must, on request by the Secretary, provide the following information within 20 working days of receiving the request:</w:t>
            </w:r>
          </w:p>
          <w:p w14:paraId="7AC10C14" w14:textId="77777777" w:rsidR="00C06DF3" w:rsidRPr="00EF788F" w:rsidRDefault="00C06DF3" w:rsidP="0092501B">
            <w:pPr>
              <w:pStyle w:val="Tablei"/>
            </w:pPr>
            <w:r w:rsidRPr="00EF788F">
              <w:t>(</w:t>
            </w:r>
            <w:proofErr w:type="spellStart"/>
            <w:r w:rsidRPr="00EF788F">
              <w:t>i</w:t>
            </w:r>
            <w:proofErr w:type="spellEnd"/>
            <w:r w:rsidRPr="00EF788F">
              <w:t>) whether the device complies with the essential principles;</w:t>
            </w:r>
          </w:p>
          <w:p w14:paraId="5AF9513D" w14:textId="77777777" w:rsidR="00C06DF3" w:rsidRPr="00EF788F" w:rsidRDefault="00C06DF3" w:rsidP="0092501B">
            <w:pPr>
              <w:pStyle w:val="Tablei"/>
            </w:pPr>
            <w:r w:rsidRPr="00EF788F">
              <w:t xml:space="preserve">(ii) whether the conformity assessment procedures </w:t>
            </w:r>
            <w:r w:rsidR="003074FD" w:rsidRPr="00EF788F">
              <w:t xml:space="preserve">(if any) </w:t>
            </w:r>
            <w:r w:rsidRPr="00EF788F">
              <w:t>have been applied to the device;</w:t>
            </w:r>
          </w:p>
          <w:p w14:paraId="29AE7E08" w14:textId="77777777" w:rsidR="00C06DF3" w:rsidRPr="00EF788F" w:rsidRDefault="00C06DF3" w:rsidP="0092501B">
            <w:pPr>
              <w:pStyle w:val="Tablei"/>
            </w:pPr>
            <w:r w:rsidRPr="00EF788F">
              <w:t xml:space="preserve">(iii) whether the device complies with every requirement (if any) relating to advertising applicable under </w:t>
            </w:r>
            <w:r w:rsidR="00E30156" w:rsidRPr="00EF788F">
              <w:t>Part 5</w:t>
            </w:r>
            <w:r w:rsidR="00EF788F">
              <w:noBreakHyphen/>
            </w:r>
            <w:r w:rsidRPr="00EF788F">
              <w:t xml:space="preserve">1 of the Act or the </w:t>
            </w:r>
            <w:r w:rsidRPr="00EF788F">
              <w:rPr>
                <w:i/>
              </w:rPr>
              <w:t xml:space="preserve">Therapeutic Goods </w:t>
            </w:r>
            <w:r w:rsidR="00E30156" w:rsidRPr="00EF788F">
              <w:rPr>
                <w:i/>
              </w:rPr>
              <w:t>Regulations 1</w:t>
            </w:r>
            <w:r w:rsidRPr="00EF788F">
              <w:rPr>
                <w:i/>
              </w:rPr>
              <w:t>990</w:t>
            </w:r>
            <w:r w:rsidRPr="00EF788F">
              <w:t>.</w:t>
            </w:r>
          </w:p>
          <w:p w14:paraId="2625CFD3" w14:textId="77777777" w:rsidR="00C06DF3" w:rsidRPr="00EF788F" w:rsidRDefault="00C06DF3" w:rsidP="00A249D0">
            <w:pPr>
              <w:pStyle w:val="Tablea"/>
            </w:pPr>
            <w:r w:rsidRPr="00EF788F">
              <w:t>(d) The manufacturer of the device must, at all times, have available</w:t>
            </w:r>
            <w:r w:rsidR="00A249D0" w:rsidRPr="00EF788F">
              <w:t xml:space="preserve"> sufficient information to substantiate that the conformity assessment procedures (if any) have been applied to the device.</w:t>
            </w:r>
          </w:p>
          <w:p w14:paraId="13A2A01B" w14:textId="77777777" w:rsidR="00C06DF3" w:rsidRPr="00EF788F" w:rsidRDefault="00C06DF3" w:rsidP="0092501B">
            <w:pPr>
              <w:pStyle w:val="Tablea"/>
            </w:pPr>
            <w:r w:rsidRPr="00EF788F">
              <w:t>(e) The manufacturer of the device must allow an authorised person to do any of the following:</w:t>
            </w:r>
          </w:p>
          <w:p w14:paraId="60E4E61A" w14:textId="77777777" w:rsidR="00C06DF3" w:rsidRPr="00EF788F" w:rsidRDefault="00C06DF3" w:rsidP="0092501B">
            <w:pPr>
              <w:pStyle w:val="Tablei"/>
            </w:pPr>
            <w:r w:rsidRPr="00EF788F">
              <w:t>(</w:t>
            </w:r>
            <w:proofErr w:type="spellStart"/>
            <w:r w:rsidRPr="00EF788F">
              <w:t>i</w:t>
            </w:r>
            <w:proofErr w:type="spellEnd"/>
            <w:r w:rsidRPr="00EF788F">
              <w:t>) enter, at any reasonable time, any premises at which the manufacturer manufactures the device;</w:t>
            </w:r>
          </w:p>
          <w:p w14:paraId="485C596C" w14:textId="77777777" w:rsidR="00C06DF3" w:rsidRPr="00EF788F" w:rsidRDefault="00C06DF3" w:rsidP="0092501B">
            <w:pPr>
              <w:pStyle w:val="Tablei"/>
            </w:pPr>
            <w:r w:rsidRPr="00EF788F">
              <w:t>(ii) inspect the premises and the device, and examine, take measurements of, conduct tests on or require tests to be conducted on the device or anything on those premises that relates to the device;</w:t>
            </w:r>
          </w:p>
          <w:p w14:paraId="19DF663E" w14:textId="77777777" w:rsidR="00C06DF3" w:rsidRPr="00EF788F" w:rsidRDefault="00C06DF3" w:rsidP="0092501B">
            <w:pPr>
              <w:pStyle w:val="Tablei"/>
            </w:pPr>
            <w:r w:rsidRPr="00EF788F">
              <w:t>(iii) make any still or moving image or any recording of those premises or anything on those premises.</w:t>
            </w:r>
          </w:p>
          <w:p w14:paraId="2A62227B" w14:textId="77777777" w:rsidR="00C06DF3" w:rsidRPr="00EF788F" w:rsidRDefault="00C06DF3" w:rsidP="0092501B">
            <w:pPr>
              <w:pStyle w:val="Tablea"/>
            </w:pPr>
            <w:r w:rsidRPr="00EF788F">
              <w:t>(f) If asked to do so by an authorised person, the manufacturer of the device must give to the person any documents relating to the device that the person requires and allow the person to copy the documents.</w:t>
            </w:r>
          </w:p>
          <w:p w14:paraId="11D186E1" w14:textId="77777777" w:rsidR="00C06DF3" w:rsidRPr="00EF788F" w:rsidRDefault="00C06DF3" w:rsidP="0092501B">
            <w:pPr>
              <w:pStyle w:val="Tablea"/>
            </w:pPr>
            <w:r w:rsidRPr="00EF788F">
              <w:t>(g) The Secretary must not have directed that the supply of the device be stopped or should cease because the supply compromises public health and safety.</w:t>
            </w:r>
          </w:p>
          <w:p w14:paraId="2E301013" w14:textId="77777777" w:rsidR="00C06DF3" w:rsidRPr="00EF788F" w:rsidRDefault="00C06DF3" w:rsidP="0092501B">
            <w:pPr>
              <w:pStyle w:val="Tablea"/>
            </w:pPr>
            <w:r w:rsidRPr="00EF788F">
              <w:t xml:space="preserve">(h) The manufacturer or sponsor of the device must provide information of a kind mentioned in </w:t>
            </w:r>
            <w:r w:rsidRPr="00EF788F">
              <w:lastRenderedPageBreak/>
              <w:t>subsection 41MP(2) or 41MPA(2) of the Act to the Secretary within the following periods:</w:t>
            </w:r>
          </w:p>
          <w:p w14:paraId="04E5746F" w14:textId="77777777" w:rsidR="00C06DF3" w:rsidRPr="00EF788F" w:rsidRDefault="00C06DF3" w:rsidP="0092501B">
            <w:pPr>
              <w:pStyle w:val="Tablei"/>
              <w:pageBreakBefore/>
            </w:pPr>
            <w:r w:rsidRPr="00EF788F">
              <w:t>(</w:t>
            </w:r>
            <w:proofErr w:type="spellStart"/>
            <w:r w:rsidRPr="00EF788F">
              <w:t>i</w:t>
            </w:r>
            <w:proofErr w:type="spellEnd"/>
            <w:r w:rsidRPr="00EF788F">
              <w:t>) if the information relates to an event or other occurrence that represents a serious threat to public health—48 hours after the manufacturer or sponsor becomes aware of the event or occurrence;</w:t>
            </w:r>
          </w:p>
          <w:p w14:paraId="71B07D65" w14:textId="77777777" w:rsidR="00C06DF3" w:rsidRPr="00EF788F" w:rsidRDefault="00C06DF3" w:rsidP="0092501B">
            <w:pPr>
              <w:pStyle w:val="Tablei"/>
            </w:pPr>
            <w:r w:rsidRPr="00EF788F">
              <w:t>(ii) if the information relates to an event or other occurrence that led to the death, or a serious deterioration in the state of health, of a patient, a user of the device, or another person—10 days after the manufacturer or sponsor becomes aware of the event or occurrence;</w:t>
            </w:r>
          </w:p>
          <w:p w14:paraId="1AC778F1" w14:textId="77777777" w:rsidR="00C06DF3" w:rsidRPr="00EF788F" w:rsidRDefault="00C06DF3" w:rsidP="0092501B">
            <w:pPr>
              <w:pStyle w:val="Tablei"/>
            </w:pPr>
            <w:r w:rsidRPr="00EF788F">
              <w:t>(iii) if the information relates to an event or other occurrence a recurrence of which might lead to the death, or a serious deterioration in the state of health, of a patient, a user of the device, or another person—30 days after the manufacturer or sponsor becomes aware of the event or occurrence;</w:t>
            </w:r>
          </w:p>
          <w:p w14:paraId="717762BB" w14:textId="77777777" w:rsidR="00C06DF3" w:rsidRPr="00EF788F" w:rsidRDefault="00C06DF3" w:rsidP="0092501B">
            <w:pPr>
              <w:pStyle w:val="Tablei"/>
            </w:pPr>
            <w:r w:rsidRPr="00EF788F">
              <w:t>(iv) in any other case—60 days after the manufacturer or sponsor becomes aware of the information.</w:t>
            </w:r>
          </w:p>
          <w:p w14:paraId="0C138E15" w14:textId="77777777" w:rsidR="00C06DF3" w:rsidRPr="00EF788F" w:rsidRDefault="00C06DF3" w:rsidP="0092501B">
            <w:pPr>
              <w:pStyle w:val="Tablea"/>
            </w:pPr>
            <w:r w:rsidRPr="00EF788F">
              <w:t>(</w:t>
            </w:r>
            <w:proofErr w:type="spellStart"/>
            <w:r w:rsidRPr="00EF788F">
              <w:t>i</w:t>
            </w:r>
            <w:proofErr w:type="spellEnd"/>
            <w:r w:rsidRPr="00EF788F">
              <w:t>) The person under whose name the device is or is to be supplied must keep records relating to the supply of the device by or on behalf of the person.</w:t>
            </w:r>
          </w:p>
          <w:p w14:paraId="653E6FB4" w14:textId="77777777" w:rsidR="00C06DF3" w:rsidRPr="00EF788F" w:rsidRDefault="00C06DF3" w:rsidP="0092501B">
            <w:pPr>
              <w:pStyle w:val="Tablea"/>
            </w:pPr>
            <w:r w:rsidRPr="00EF788F">
              <w:t>(j) The person under whose name the device is or is to be supplied must, on request by the Secretary, provide to the Secretary those records within 20 working days of receiving the request or a longer period agreed to by the Secretary.</w:t>
            </w:r>
          </w:p>
        </w:tc>
      </w:tr>
    </w:tbl>
    <w:p w14:paraId="4A390733" w14:textId="77777777" w:rsidR="00E9045B" w:rsidRPr="00EF788F" w:rsidRDefault="000A70DA" w:rsidP="00E9045B">
      <w:pPr>
        <w:pStyle w:val="ActHead7"/>
        <w:pageBreakBefore/>
      </w:pPr>
      <w:bookmarkStart w:id="36" w:name="_Toc84835166"/>
      <w:r w:rsidRPr="00C518BF">
        <w:rPr>
          <w:rStyle w:val="CharAmPartNo"/>
        </w:rPr>
        <w:lastRenderedPageBreak/>
        <w:t>Part 8</w:t>
      </w:r>
      <w:r w:rsidR="00E9045B" w:rsidRPr="00EF788F">
        <w:t>—</w:t>
      </w:r>
      <w:r w:rsidR="000A4D93" w:rsidRPr="00C518BF">
        <w:rPr>
          <w:rStyle w:val="CharAmPartText"/>
        </w:rPr>
        <w:t>N</w:t>
      </w:r>
      <w:r w:rsidR="00E9045B" w:rsidRPr="00C518BF">
        <w:rPr>
          <w:rStyle w:val="CharAmPartText"/>
        </w:rPr>
        <w:t>icotine vaping products</w:t>
      </w:r>
      <w:bookmarkEnd w:id="36"/>
    </w:p>
    <w:p w14:paraId="08D600C1" w14:textId="77777777" w:rsidR="0005729F" w:rsidRPr="00EF788F" w:rsidRDefault="0005729F" w:rsidP="0005729F">
      <w:pPr>
        <w:pStyle w:val="ActHead9"/>
      </w:pPr>
      <w:bookmarkStart w:id="37" w:name="_Toc84835167"/>
      <w:r w:rsidRPr="00EF788F">
        <w:t xml:space="preserve">Therapeutic Goods (Medical Devices) </w:t>
      </w:r>
      <w:r w:rsidR="00EF1DEF" w:rsidRPr="00EF788F">
        <w:t>Regulations 2</w:t>
      </w:r>
      <w:r w:rsidRPr="00EF788F">
        <w:t>002</w:t>
      </w:r>
      <w:bookmarkEnd w:id="37"/>
    </w:p>
    <w:p w14:paraId="14E79BB2" w14:textId="77777777" w:rsidR="007A1DA9" w:rsidRPr="00EF788F" w:rsidRDefault="002D62DD" w:rsidP="007A1DA9">
      <w:pPr>
        <w:pStyle w:val="ItemHead"/>
      </w:pPr>
      <w:r w:rsidRPr="00EF788F">
        <w:t>50</w:t>
      </w:r>
      <w:r w:rsidR="007A1DA9" w:rsidRPr="00EF788F">
        <w:t xml:space="preserve">  </w:t>
      </w:r>
      <w:r w:rsidR="00E30156" w:rsidRPr="00EF788F">
        <w:t>Part 1</w:t>
      </w:r>
      <w:r w:rsidR="007A1DA9" w:rsidRPr="00EF788F">
        <w:t xml:space="preserve"> of </w:t>
      </w:r>
      <w:r w:rsidR="00E30156" w:rsidRPr="00EF788F">
        <w:t>Schedule 4</w:t>
      </w:r>
      <w:r w:rsidR="007A1DA9" w:rsidRPr="00EF788F">
        <w:t xml:space="preserve"> (table </w:t>
      </w:r>
      <w:r w:rsidR="00E30156" w:rsidRPr="00EF788F">
        <w:t>item 1</w:t>
      </w:r>
      <w:r w:rsidR="007A1DA9" w:rsidRPr="00EF788F">
        <w:t xml:space="preserve">.6, column headed “Kinds of medical devices”, </w:t>
      </w:r>
      <w:r w:rsidR="00E30156" w:rsidRPr="00EF788F">
        <w:t>subparagraph (</w:t>
      </w:r>
      <w:r w:rsidR="007A1DA9" w:rsidRPr="00EF788F">
        <w:t>a)(iii))</w:t>
      </w:r>
    </w:p>
    <w:p w14:paraId="144CBC41" w14:textId="77777777" w:rsidR="007A1DA9" w:rsidRPr="00EF788F" w:rsidRDefault="007A1DA9" w:rsidP="007A1DA9">
      <w:pPr>
        <w:pStyle w:val="Item"/>
      </w:pPr>
      <w:r w:rsidRPr="00EF788F">
        <w:t xml:space="preserve">Before “the sponsor”, insert “the nicotine vaping product is covered by an item in the table in </w:t>
      </w:r>
      <w:r w:rsidR="00E30156" w:rsidRPr="00EF788F">
        <w:t>Schedule 5</w:t>
      </w:r>
      <w:r w:rsidRPr="00EF788F">
        <w:t xml:space="preserve"> or 5A to those regulations or”.</w:t>
      </w:r>
    </w:p>
    <w:p w14:paraId="5EDED31E" w14:textId="77777777" w:rsidR="00E9045B" w:rsidRPr="00EF788F" w:rsidRDefault="002D62DD" w:rsidP="00E9045B">
      <w:pPr>
        <w:pStyle w:val="ItemHead"/>
      </w:pPr>
      <w:r w:rsidRPr="00EF788F">
        <w:t>51</w:t>
      </w:r>
      <w:r w:rsidR="00E9045B" w:rsidRPr="00EF788F">
        <w:t xml:space="preserve">  </w:t>
      </w:r>
      <w:r w:rsidR="00E30156" w:rsidRPr="00EF788F">
        <w:t>Part 1</w:t>
      </w:r>
      <w:r w:rsidR="0005729F" w:rsidRPr="00EF788F">
        <w:t xml:space="preserve"> of </w:t>
      </w:r>
      <w:r w:rsidR="00E30156" w:rsidRPr="00EF788F">
        <w:t>Schedule 4</w:t>
      </w:r>
      <w:r w:rsidR="0005729F" w:rsidRPr="00EF788F">
        <w:t xml:space="preserve"> (table </w:t>
      </w:r>
      <w:r w:rsidR="00E30156" w:rsidRPr="00EF788F">
        <w:t>item 1</w:t>
      </w:r>
      <w:r w:rsidR="0005729F" w:rsidRPr="00EF788F">
        <w:t xml:space="preserve">.6, column headed “Kinds of medical devices”, </w:t>
      </w:r>
      <w:r w:rsidR="00E30156" w:rsidRPr="00EF788F">
        <w:t>subparagraph (</w:t>
      </w:r>
      <w:r w:rsidR="0005729F" w:rsidRPr="00EF788F">
        <w:t>b)(iii))</w:t>
      </w:r>
    </w:p>
    <w:p w14:paraId="25560702" w14:textId="77777777" w:rsidR="0005729F" w:rsidRPr="00EF788F" w:rsidRDefault="0005729F" w:rsidP="0005729F">
      <w:pPr>
        <w:pStyle w:val="Item"/>
      </w:pPr>
      <w:r w:rsidRPr="00EF788F">
        <w:t xml:space="preserve">Before “the manufacturer”, insert “the nicotine vaping product is covered by </w:t>
      </w:r>
      <w:r w:rsidR="00EF0259" w:rsidRPr="00EF788F">
        <w:t xml:space="preserve">an </w:t>
      </w:r>
      <w:r w:rsidRPr="00EF788F">
        <w:t xml:space="preserve">item </w:t>
      </w:r>
      <w:r w:rsidR="00EF0259" w:rsidRPr="00EF788F">
        <w:t>in the table in</w:t>
      </w:r>
      <w:r w:rsidRPr="00EF788F">
        <w:t xml:space="preserve"> </w:t>
      </w:r>
      <w:r w:rsidR="00E30156" w:rsidRPr="00EF788F">
        <w:t>Schedule 5</w:t>
      </w:r>
      <w:r w:rsidRPr="00EF788F">
        <w:t xml:space="preserve"> </w:t>
      </w:r>
      <w:r w:rsidR="00EF0259" w:rsidRPr="00EF788F">
        <w:t xml:space="preserve">or 5A </w:t>
      </w:r>
      <w:r w:rsidRPr="00EF788F">
        <w:t xml:space="preserve">to </w:t>
      </w:r>
      <w:r w:rsidR="000C7D63" w:rsidRPr="00EF788F">
        <w:t>those regulations</w:t>
      </w:r>
      <w:r w:rsidRPr="00EF788F">
        <w:t xml:space="preserve"> or”.</w:t>
      </w:r>
    </w:p>
    <w:p w14:paraId="70579AC9" w14:textId="77777777" w:rsidR="0005729F" w:rsidRPr="00EF788F" w:rsidRDefault="002D62DD" w:rsidP="0005729F">
      <w:pPr>
        <w:pStyle w:val="ItemHead"/>
      </w:pPr>
      <w:r w:rsidRPr="00EF788F">
        <w:t>52</w:t>
      </w:r>
      <w:r w:rsidR="0005729F" w:rsidRPr="00EF788F">
        <w:t xml:space="preserve">  </w:t>
      </w:r>
      <w:r w:rsidR="00E30156" w:rsidRPr="00EF788F">
        <w:t>Part 1</w:t>
      </w:r>
      <w:r w:rsidR="0005729F" w:rsidRPr="00EF788F">
        <w:t xml:space="preserve"> of </w:t>
      </w:r>
      <w:r w:rsidR="00E30156" w:rsidRPr="00EF788F">
        <w:t>Schedule 4</w:t>
      </w:r>
      <w:r w:rsidR="0005729F" w:rsidRPr="00EF788F">
        <w:t xml:space="preserve"> (table </w:t>
      </w:r>
      <w:r w:rsidR="00E30156" w:rsidRPr="00EF788F">
        <w:t>item 1</w:t>
      </w:r>
      <w:r w:rsidR="0005729F" w:rsidRPr="00EF788F">
        <w:t xml:space="preserve">.6, column headed “Kinds of medical devices”, </w:t>
      </w:r>
      <w:r w:rsidR="00E30156" w:rsidRPr="00EF788F">
        <w:t>subparagraph (</w:t>
      </w:r>
      <w:r w:rsidR="0005729F" w:rsidRPr="00EF788F">
        <w:t>c)(iii))</w:t>
      </w:r>
    </w:p>
    <w:p w14:paraId="6BDA00A9" w14:textId="77777777" w:rsidR="0005729F" w:rsidRPr="00EF788F" w:rsidRDefault="0005729F" w:rsidP="0005729F">
      <w:pPr>
        <w:pStyle w:val="Item"/>
      </w:pPr>
      <w:r w:rsidRPr="00EF788F">
        <w:t xml:space="preserve">Before “the intermediate supplier”, insert “the nicotine vaping product is </w:t>
      </w:r>
      <w:r w:rsidR="00EF0259" w:rsidRPr="00EF788F">
        <w:t xml:space="preserve">covered by an item in the table in </w:t>
      </w:r>
      <w:r w:rsidR="00E30156" w:rsidRPr="00EF788F">
        <w:t>Schedule 5</w:t>
      </w:r>
      <w:r w:rsidR="00EF0259" w:rsidRPr="00EF788F">
        <w:t xml:space="preserve"> or 5A to</w:t>
      </w:r>
      <w:r w:rsidRPr="00EF788F">
        <w:t xml:space="preserve"> </w:t>
      </w:r>
      <w:r w:rsidR="000C7D63" w:rsidRPr="00EF788F">
        <w:t>those regulations</w:t>
      </w:r>
      <w:r w:rsidRPr="00EF788F">
        <w:t xml:space="preserve"> or”.</w:t>
      </w:r>
    </w:p>
    <w:p w14:paraId="2558461D" w14:textId="77777777" w:rsidR="0005729F" w:rsidRPr="00EF788F" w:rsidRDefault="002D62DD" w:rsidP="0005729F">
      <w:pPr>
        <w:pStyle w:val="ItemHead"/>
      </w:pPr>
      <w:r w:rsidRPr="00EF788F">
        <w:t>53</w:t>
      </w:r>
      <w:r w:rsidR="0005729F" w:rsidRPr="00EF788F">
        <w:t xml:space="preserve">  </w:t>
      </w:r>
      <w:r w:rsidR="00E30156" w:rsidRPr="00EF788F">
        <w:t>Part 1</w:t>
      </w:r>
      <w:r w:rsidR="0005729F" w:rsidRPr="00EF788F">
        <w:t xml:space="preserve"> of </w:t>
      </w:r>
      <w:r w:rsidR="00E30156" w:rsidRPr="00EF788F">
        <w:t>Schedule 4</w:t>
      </w:r>
      <w:r w:rsidR="0005729F" w:rsidRPr="00EF788F">
        <w:t xml:space="preserve"> (table </w:t>
      </w:r>
      <w:r w:rsidR="00E30156" w:rsidRPr="00EF788F">
        <w:t>item 1</w:t>
      </w:r>
      <w:r w:rsidR="0005729F" w:rsidRPr="00EF788F">
        <w:t xml:space="preserve">.6, column headed “Kinds of medical devices”, </w:t>
      </w:r>
      <w:r w:rsidR="00E30156" w:rsidRPr="00EF788F">
        <w:t>subparagraph (</w:t>
      </w:r>
      <w:r w:rsidR="000C7D63" w:rsidRPr="00EF788F">
        <w:t>d</w:t>
      </w:r>
      <w:r w:rsidR="0005729F" w:rsidRPr="00EF788F">
        <w:t>)(iii))</w:t>
      </w:r>
    </w:p>
    <w:p w14:paraId="46867D9B" w14:textId="77777777" w:rsidR="0005729F" w:rsidRPr="00EF788F" w:rsidRDefault="000C7D63" w:rsidP="0005729F">
      <w:pPr>
        <w:pStyle w:val="Item"/>
      </w:pPr>
      <w:r w:rsidRPr="00EF788F">
        <w:t>After</w:t>
      </w:r>
      <w:r w:rsidR="0005729F" w:rsidRPr="00EF788F">
        <w:t xml:space="preserve"> “</w:t>
      </w:r>
      <w:r w:rsidRPr="00EF788F">
        <w:t>the nicotine vaping product is</w:t>
      </w:r>
      <w:r w:rsidR="0005729F" w:rsidRPr="00EF788F">
        <w:t>”, insert “</w:t>
      </w:r>
      <w:r w:rsidR="00EF0259" w:rsidRPr="00EF788F">
        <w:t xml:space="preserve">covered by an item in the table in </w:t>
      </w:r>
      <w:r w:rsidR="00E30156" w:rsidRPr="00EF788F">
        <w:t>Schedule 5</w:t>
      </w:r>
      <w:r w:rsidR="00EF0259" w:rsidRPr="00EF788F">
        <w:t xml:space="preserve"> or 5A to</w:t>
      </w:r>
      <w:r w:rsidR="0005729F" w:rsidRPr="00EF788F">
        <w:t xml:space="preserve"> </w:t>
      </w:r>
      <w:r w:rsidRPr="00EF788F">
        <w:t>those regulations</w:t>
      </w:r>
      <w:r w:rsidR="0005729F" w:rsidRPr="00EF788F">
        <w:t xml:space="preserve"> or</w:t>
      </w:r>
      <w:r w:rsidRPr="00EF788F">
        <w:t xml:space="preserve"> is</w:t>
      </w:r>
      <w:r w:rsidR="0005729F" w:rsidRPr="00EF788F">
        <w:t>”.</w:t>
      </w:r>
    </w:p>
    <w:p w14:paraId="308D908E" w14:textId="77777777" w:rsidR="008407C1" w:rsidRPr="00EF788F" w:rsidRDefault="008407C1" w:rsidP="008407C1">
      <w:pPr>
        <w:pStyle w:val="ActHead9"/>
      </w:pPr>
      <w:bookmarkStart w:id="38" w:name="_Toc84835168"/>
      <w:r w:rsidRPr="00EF788F">
        <w:t xml:space="preserve">Therapeutic Goods </w:t>
      </w:r>
      <w:r w:rsidR="00E30156" w:rsidRPr="00EF788F">
        <w:t>Regulations 1</w:t>
      </w:r>
      <w:r w:rsidRPr="00EF788F">
        <w:t>990</w:t>
      </w:r>
      <w:bookmarkEnd w:id="38"/>
    </w:p>
    <w:p w14:paraId="41EF6AFB" w14:textId="77777777" w:rsidR="0005729F" w:rsidRPr="00EF788F" w:rsidRDefault="002D62DD" w:rsidP="0005729F">
      <w:pPr>
        <w:pStyle w:val="ItemHead"/>
      </w:pPr>
      <w:r w:rsidRPr="00EF788F">
        <w:t>54</w:t>
      </w:r>
      <w:r w:rsidR="008407C1" w:rsidRPr="00EF788F">
        <w:t xml:space="preserve">  </w:t>
      </w:r>
      <w:r w:rsidR="00E30156" w:rsidRPr="00EF788F">
        <w:t>Schedule 5</w:t>
      </w:r>
      <w:r w:rsidR="008407C1" w:rsidRPr="00EF788F">
        <w:t xml:space="preserve"> (after table </w:t>
      </w:r>
      <w:r w:rsidR="00E30156" w:rsidRPr="00EF788F">
        <w:t>item 5</w:t>
      </w:r>
      <w:r w:rsidR="008407C1" w:rsidRPr="00EF788F">
        <w:t>)</w:t>
      </w:r>
    </w:p>
    <w:p w14:paraId="18E7FF65" w14:textId="77777777" w:rsidR="008407C1" w:rsidRPr="00EF788F" w:rsidRDefault="008407C1" w:rsidP="008407C1">
      <w:pPr>
        <w:pStyle w:val="Item"/>
      </w:pPr>
      <w:r w:rsidRPr="00EF788F">
        <w:t>Insert:</w:t>
      </w:r>
    </w:p>
    <w:tbl>
      <w:tblPr>
        <w:tblW w:w="5000" w:type="pct"/>
        <w:tblLook w:val="0000" w:firstRow="0" w:lastRow="0" w:firstColumn="0" w:lastColumn="0" w:noHBand="0" w:noVBand="0"/>
      </w:tblPr>
      <w:tblGrid>
        <w:gridCol w:w="1146"/>
        <w:gridCol w:w="7383"/>
      </w:tblGrid>
      <w:tr w:rsidR="008407C1" w:rsidRPr="00EF788F" w14:paraId="19061E9C" w14:textId="77777777" w:rsidTr="008407C1">
        <w:tc>
          <w:tcPr>
            <w:tcW w:w="672" w:type="pct"/>
            <w:shd w:val="clear" w:color="auto" w:fill="auto"/>
          </w:tcPr>
          <w:p w14:paraId="173D81DD" w14:textId="77777777" w:rsidR="008407C1" w:rsidRPr="00EF788F" w:rsidRDefault="008407C1" w:rsidP="00E8746A">
            <w:pPr>
              <w:pStyle w:val="Tabletext"/>
            </w:pPr>
            <w:r w:rsidRPr="00EF788F">
              <w:t>5A</w:t>
            </w:r>
          </w:p>
        </w:tc>
        <w:tc>
          <w:tcPr>
            <w:tcW w:w="4328" w:type="pct"/>
            <w:shd w:val="clear" w:color="auto" w:fill="auto"/>
          </w:tcPr>
          <w:p w14:paraId="2DABA94B" w14:textId="77777777" w:rsidR="008407C1" w:rsidRPr="00EF788F" w:rsidRDefault="00146CE4" w:rsidP="00E8746A">
            <w:pPr>
              <w:pStyle w:val="Tabletext"/>
            </w:pPr>
            <w:r w:rsidRPr="00EF788F">
              <w:t>a</w:t>
            </w:r>
            <w:r w:rsidR="008407C1" w:rsidRPr="00EF788F">
              <w:t xml:space="preserve"> kit covered by </w:t>
            </w:r>
            <w:r w:rsidR="00E30156" w:rsidRPr="00EF788F">
              <w:t>subsection 7</w:t>
            </w:r>
            <w:r w:rsidR="008407C1" w:rsidRPr="00EF788F">
              <w:t>B(1) of the Act if:</w:t>
            </w:r>
          </w:p>
          <w:p w14:paraId="2D8A69F4" w14:textId="77777777" w:rsidR="008407C1" w:rsidRPr="00EF788F" w:rsidRDefault="008407C1" w:rsidP="008407C1">
            <w:pPr>
              <w:pStyle w:val="Tablea"/>
            </w:pPr>
            <w:r w:rsidRPr="00EF788F">
              <w:t xml:space="preserve">(a) the kit contains </w:t>
            </w:r>
            <w:r w:rsidR="00237D66" w:rsidRPr="00EF788F">
              <w:t>one or more</w:t>
            </w:r>
            <w:r w:rsidRPr="00EF788F">
              <w:t xml:space="preserve"> nicotine vaping product</w:t>
            </w:r>
            <w:r w:rsidR="00EF0259" w:rsidRPr="00EF788F">
              <w:t>s</w:t>
            </w:r>
            <w:r w:rsidRPr="00EF788F">
              <w:t>; and</w:t>
            </w:r>
          </w:p>
          <w:p w14:paraId="320F88F6" w14:textId="77777777" w:rsidR="008407C1" w:rsidRPr="00EF788F" w:rsidRDefault="008407C1" w:rsidP="008407C1">
            <w:pPr>
              <w:pStyle w:val="Tablea"/>
            </w:pPr>
            <w:r w:rsidRPr="00EF788F">
              <w:t>(b) the kit does not contain any other therapeutic goods</w:t>
            </w:r>
          </w:p>
        </w:tc>
      </w:tr>
    </w:tbl>
    <w:p w14:paraId="1AD106F7" w14:textId="77777777" w:rsidR="004F69FF" w:rsidRPr="00EF788F" w:rsidRDefault="00EF1DEF" w:rsidP="004F69FF">
      <w:pPr>
        <w:pStyle w:val="ActHead7"/>
        <w:pageBreakBefore/>
      </w:pPr>
      <w:bookmarkStart w:id="39" w:name="_Toc84835169"/>
      <w:r w:rsidRPr="00C518BF">
        <w:rPr>
          <w:rStyle w:val="CharAmPartNo"/>
        </w:rPr>
        <w:lastRenderedPageBreak/>
        <w:t>Part 9</w:t>
      </w:r>
      <w:r w:rsidR="004F69FF" w:rsidRPr="00EF788F">
        <w:t>—</w:t>
      </w:r>
      <w:r w:rsidR="009325B8" w:rsidRPr="00C518BF">
        <w:rPr>
          <w:rStyle w:val="CharAmPartText"/>
        </w:rPr>
        <w:t>Access to medicines in emergency situations</w:t>
      </w:r>
      <w:bookmarkEnd w:id="39"/>
    </w:p>
    <w:p w14:paraId="6004DF5C" w14:textId="77777777" w:rsidR="004F69FF" w:rsidRPr="00EF788F" w:rsidRDefault="004F69FF" w:rsidP="004F69FF">
      <w:pPr>
        <w:pStyle w:val="ActHead9"/>
      </w:pPr>
      <w:bookmarkStart w:id="40" w:name="_Toc84835170"/>
      <w:r w:rsidRPr="00EF788F">
        <w:t xml:space="preserve">Therapeutic Goods </w:t>
      </w:r>
      <w:r w:rsidR="00E30156" w:rsidRPr="00EF788F">
        <w:t>Regulations 1</w:t>
      </w:r>
      <w:r w:rsidRPr="00EF788F">
        <w:t>990</w:t>
      </w:r>
      <w:bookmarkEnd w:id="40"/>
    </w:p>
    <w:p w14:paraId="35F9BE04" w14:textId="77777777" w:rsidR="004F69FF" w:rsidRPr="00EF788F" w:rsidRDefault="002D62DD" w:rsidP="004F69FF">
      <w:pPr>
        <w:pStyle w:val="ItemHead"/>
      </w:pPr>
      <w:r w:rsidRPr="00EF788F">
        <w:t>55</w:t>
      </w:r>
      <w:r w:rsidR="004F69FF" w:rsidRPr="00EF788F">
        <w:t xml:space="preserve">  </w:t>
      </w:r>
      <w:r w:rsidR="00E30156" w:rsidRPr="00EF788F">
        <w:t>Schedule 5</w:t>
      </w:r>
      <w:r w:rsidR="00BA7888" w:rsidRPr="00EF788F">
        <w:t xml:space="preserve">A (after table </w:t>
      </w:r>
      <w:r w:rsidR="00E30156" w:rsidRPr="00EF788F">
        <w:t>item 1</w:t>
      </w:r>
      <w:r w:rsidR="00BA7888" w:rsidRPr="00EF788F">
        <w:t>A)</w:t>
      </w:r>
    </w:p>
    <w:p w14:paraId="48FB6104" w14:textId="77777777" w:rsidR="00BA7888" w:rsidRPr="00EF788F" w:rsidRDefault="00BA7888" w:rsidP="00BA7888">
      <w:pPr>
        <w:pStyle w:val="Item"/>
      </w:pPr>
      <w:r w:rsidRPr="00EF788F">
        <w:t>Insert:</w:t>
      </w:r>
    </w:p>
    <w:tbl>
      <w:tblPr>
        <w:tblW w:w="5000" w:type="pct"/>
        <w:tblLook w:val="0000" w:firstRow="0" w:lastRow="0" w:firstColumn="0" w:lastColumn="0" w:noHBand="0" w:noVBand="0"/>
      </w:tblPr>
      <w:tblGrid>
        <w:gridCol w:w="1174"/>
        <w:gridCol w:w="2635"/>
        <w:gridCol w:w="4720"/>
      </w:tblGrid>
      <w:tr w:rsidR="00BA7888" w:rsidRPr="00EF788F" w:rsidDel="000E647F" w14:paraId="4F854288" w14:textId="77777777" w:rsidTr="00BA7888">
        <w:trPr>
          <w:trHeight w:val="20"/>
        </w:trPr>
        <w:tc>
          <w:tcPr>
            <w:tcW w:w="688" w:type="pct"/>
            <w:shd w:val="clear" w:color="auto" w:fill="auto"/>
          </w:tcPr>
          <w:p w14:paraId="6EC5ADD1" w14:textId="77777777" w:rsidR="00BA7888" w:rsidRPr="00EF788F" w:rsidDel="000E647F" w:rsidRDefault="00BA7888" w:rsidP="00BA7888">
            <w:pPr>
              <w:pStyle w:val="Tabletext"/>
            </w:pPr>
            <w:r w:rsidRPr="00EF788F">
              <w:t>1B</w:t>
            </w:r>
          </w:p>
        </w:tc>
        <w:tc>
          <w:tcPr>
            <w:tcW w:w="1545" w:type="pct"/>
            <w:shd w:val="clear" w:color="auto" w:fill="auto"/>
          </w:tcPr>
          <w:p w14:paraId="30AA2330" w14:textId="77777777" w:rsidR="00BA7888" w:rsidRPr="00EF788F" w:rsidDel="000E647F" w:rsidRDefault="00BA7888" w:rsidP="00BA7888">
            <w:pPr>
              <w:pStyle w:val="Tabletext"/>
            </w:pPr>
            <w:r w:rsidRPr="00EF788F">
              <w:t>Therapeutic goods imported into Australia that are needed for dispensing as a medicine prescribed for persons who are seriously ill with a condition from which premature death is reasonably likely to occur in the absence of early treatment</w:t>
            </w:r>
          </w:p>
        </w:tc>
        <w:tc>
          <w:tcPr>
            <w:tcW w:w="2767" w:type="pct"/>
            <w:shd w:val="clear" w:color="auto" w:fill="auto"/>
          </w:tcPr>
          <w:p w14:paraId="0A14B072" w14:textId="77777777" w:rsidR="00BA7888" w:rsidRPr="00EF788F" w:rsidRDefault="00BA7888" w:rsidP="00BA7888">
            <w:pPr>
              <w:pStyle w:val="Tablea"/>
            </w:pPr>
            <w:r w:rsidRPr="00EF788F">
              <w:t>(a) the supply of the goods must be in accordance with such a prescription; and</w:t>
            </w:r>
          </w:p>
          <w:p w14:paraId="56C1CE3E" w14:textId="77777777" w:rsidR="00BA7888" w:rsidRPr="00EF788F" w:rsidRDefault="00BA7888" w:rsidP="00BA7888">
            <w:pPr>
              <w:pStyle w:val="Tablea"/>
            </w:pPr>
            <w:r w:rsidRPr="00EF788F">
              <w:t>(b) until the goods need to be so supplied, either or both of the following apply:</w:t>
            </w:r>
          </w:p>
          <w:p w14:paraId="64120FA4" w14:textId="77777777" w:rsidR="00BA7888" w:rsidRPr="00EF788F" w:rsidRDefault="00BA7888" w:rsidP="00BA7888">
            <w:pPr>
              <w:pStyle w:val="Tablei"/>
            </w:pPr>
            <w:r w:rsidRPr="00EF788F">
              <w:t>(</w:t>
            </w:r>
            <w:proofErr w:type="spellStart"/>
            <w:r w:rsidRPr="00EF788F">
              <w:t>i</w:t>
            </w:r>
            <w:proofErr w:type="spellEnd"/>
            <w:r w:rsidRPr="00EF788F">
              <w:t>) the goods are kept in a warehouse or a properly secured area under the control of the sponsor;</w:t>
            </w:r>
          </w:p>
          <w:p w14:paraId="23EEEEBB" w14:textId="77777777" w:rsidR="00BA7888" w:rsidRPr="00EF788F" w:rsidRDefault="00BA7888" w:rsidP="00BA7888">
            <w:pPr>
              <w:pStyle w:val="Tablei"/>
            </w:pPr>
            <w:r w:rsidRPr="00EF788F">
              <w:t xml:space="preserve">(ii) </w:t>
            </w:r>
            <w:r w:rsidR="005C1358" w:rsidRPr="00EF788F">
              <w:t xml:space="preserve">the goods are kept at a hospital or other healthcare facility after being </w:t>
            </w:r>
            <w:r w:rsidR="000A70DA" w:rsidRPr="00EF788F">
              <w:t>delivered</w:t>
            </w:r>
            <w:r w:rsidR="005C1358" w:rsidRPr="00EF788F">
              <w:t xml:space="preserve"> to the hospital or facility by, or on behalf of, the </w:t>
            </w:r>
            <w:r w:rsidR="000A70DA" w:rsidRPr="00EF788F">
              <w:t>sponsor</w:t>
            </w:r>
            <w:r w:rsidR="005C1358" w:rsidRPr="00EF788F">
              <w:t>; and</w:t>
            </w:r>
          </w:p>
          <w:p w14:paraId="204941D8" w14:textId="77777777" w:rsidR="00BA7888" w:rsidRPr="00EF788F" w:rsidDel="000E647F" w:rsidRDefault="00BA7888" w:rsidP="00BA7888">
            <w:pPr>
              <w:pStyle w:val="Tablea"/>
            </w:pPr>
            <w:r w:rsidRPr="00EF788F">
              <w:t>(</w:t>
            </w:r>
            <w:r w:rsidR="005C1358" w:rsidRPr="00EF788F">
              <w:t>c</w:t>
            </w:r>
            <w:r w:rsidRPr="00EF788F">
              <w:t>) the sponsor must:</w:t>
            </w:r>
          </w:p>
          <w:p w14:paraId="356FC101" w14:textId="77777777" w:rsidR="00BA7888" w:rsidRPr="00EF788F" w:rsidRDefault="00BA7888" w:rsidP="00BA7888">
            <w:pPr>
              <w:pStyle w:val="Tablei"/>
              <w:tabs>
                <w:tab w:val="clear" w:pos="970"/>
              </w:tabs>
              <w:ind w:left="774"/>
            </w:pPr>
            <w:r w:rsidRPr="00EF788F">
              <w:t>(</w:t>
            </w:r>
            <w:proofErr w:type="spellStart"/>
            <w:r w:rsidRPr="00EF788F">
              <w:t>i</w:t>
            </w:r>
            <w:proofErr w:type="spellEnd"/>
            <w:r w:rsidRPr="00EF788F">
              <w:t>) keep records relating to the source</w:t>
            </w:r>
            <w:r w:rsidR="005C1358" w:rsidRPr="00EF788F">
              <w:t>, and delivery,</w:t>
            </w:r>
            <w:r w:rsidRPr="00EF788F">
              <w:t xml:space="preserve"> of the goods; and</w:t>
            </w:r>
          </w:p>
          <w:p w14:paraId="1B4C0C6C" w14:textId="77777777" w:rsidR="00BA7888" w:rsidRPr="00EF788F" w:rsidDel="000E647F" w:rsidRDefault="00BA7888" w:rsidP="00BA7888">
            <w:pPr>
              <w:pStyle w:val="Tablei"/>
              <w:tabs>
                <w:tab w:val="clear" w:pos="970"/>
              </w:tabs>
              <w:ind w:left="774"/>
            </w:pPr>
            <w:r w:rsidRPr="00EF788F">
              <w:t>(ii) if requested by the Secretary, give the records to the Secretary</w:t>
            </w:r>
          </w:p>
        </w:tc>
      </w:tr>
    </w:tbl>
    <w:p w14:paraId="46563731" w14:textId="77777777" w:rsidR="009254CA" w:rsidRPr="00EF788F" w:rsidRDefault="00E30156" w:rsidP="00077831">
      <w:pPr>
        <w:pStyle w:val="ActHead7"/>
        <w:pageBreakBefore/>
      </w:pPr>
      <w:bookmarkStart w:id="41" w:name="_Toc84835171"/>
      <w:r w:rsidRPr="00C518BF">
        <w:rPr>
          <w:rStyle w:val="CharAmPartNo"/>
        </w:rPr>
        <w:lastRenderedPageBreak/>
        <w:t>Part 1</w:t>
      </w:r>
      <w:r w:rsidR="00386E8E" w:rsidRPr="00C518BF">
        <w:rPr>
          <w:rStyle w:val="CharAmPartNo"/>
        </w:rPr>
        <w:t>0</w:t>
      </w:r>
      <w:r w:rsidR="00386E8E" w:rsidRPr="00EF788F">
        <w:t>—</w:t>
      </w:r>
      <w:r w:rsidR="00386E8E" w:rsidRPr="00C518BF">
        <w:rPr>
          <w:rStyle w:val="CharAmPartText"/>
        </w:rPr>
        <w:t>Consumer medicine information documents</w:t>
      </w:r>
      <w:bookmarkEnd w:id="41"/>
    </w:p>
    <w:p w14:paraId="74904031" w14:textId="77777777" w:rsidR="00386E8E" w:rsidRPr="00EF788F" w:rsidRDefault="00386E8E" w:rsidP="00386E8E">
      <w:pPr>
        <w:pStyle w:val="ActHead9"/>
      </w:pPr>
      <w:bookmarkStart w:id="42" w:name="_Toc84835172"/>
      <w:r w:rsidRPr="00EF788F">
        <w:t xml:space="preserve">Therapeutic Goods </w:t>
      </w:r>
      <w:r w:rsidR="00E30156" w:rsidRPr="00EF788F">
        <w:t>Regulations 1</w:t>
      </w:r>
      <w:r w:rsidRPr="00EF788F">
        <w:t>990</w:t>
      </w:r>
      <w:bookmarkEnd w:id="42"/>
    </w:p>
    <w:p w14:paraId="5CFB9F7F" w14:textId="77777777" w:rsidR="00106216" w:rsidRPr="00EF788F" w:rsidRDefault="002D62DD" w:rsidP="00106216">
      <w:pPr>
        <w:pStyle w:val="ItemHead"/>
      </w:pPr>
      <w:r w:rsidRPr="00EF788F">
        <w:t>56</w:t>
      </w:r>
      <w:r w:rsidR="00106216" w:rsidRPr="00EF788F">
        <w:t xml:space="preserve">  </w:t>
      </w:r>
      <w:proofErr w:type="spellStart"/>
      <w:r w:rsidR="000A70DA" w:rsidRPr="00EF788F">
        <w:t>Sub</w:t>
      </w:r>
      <w:r w:rsidR="00E30156" w:rsidRPr="00EF788F">
        <w:t>regulation</w:t>
      </w:r>
      <w:proofErr w:type="spellEnd"/>
      <w:r w:rsidR="00E30156" w:rsidRPr="00EF788F">
        <w:t> 9</w:t>
      </w:r>
      <w:r w:rsidR="00106216" w:rsidRPr="00EF788F">
        <w:t>A(1)</w:t>
      </w:r>
    </w:p>
    <w:p w14:paraId="3C22A32E" w14:textId="77777777" w:rsidR="00106216" w:rsidRPr="00EF788F" w:rsidRDefault="00106216" w:rsidP="00106216">
      <w:pPr>
        <w:pStyle w:val="Item"/>
      </w:pPr>
      <w:r w:rsidRPr="00EF788F">
        <w:t>After “</w:t>
      </w:r>
      <w:r w:rsidR="00E30156" w:rsidRPr="00EF788F">
        <w:t>Schedule 1</w:t>
      </w:r>
      <w:r w:rsidRPr="00EF788F">
        <w:t>0”, insert “and are included in the Register”.</w:t>
      </w:r>
    </w:p>
    <w:p w14:paraId="17DADF99" w14:textId="77777777" w:rsidR="00106216" w:rsidRPr="00EF788F" w:rsidRDefault="002D62DD" w:rsidP="00106216">
      <w:pPr>
        <w:pStyle w:val="ItemHead"/>
      </w:pPr>
      <w:r w:rsidRPr="00EF788F">
        <w:t>57</w:t>
      </w:r>
      <w:r w:rsidR="00106216" w:rsidRPr="00EF788F">
        <w:t xml:space="preserve">  </w:t>
      </w:r>
      <w:r w:rsidR="000A70DA" w:rsidRPr="00EF788F">
        <w:t>Paragraph 9</w:t>
      </w:r>
      <w:r w:rsidR="00106216" w:rsidRPr="00EF788F">
        <w:t>A(1A)(b)</w:t>
      </w:r>
    </w:p>
    <w:p w14:paraId="42C0B9CA" w14:textId="77777777" w:rsidR="00106216" w:rsidRPr="00EF788F" w:rsidRDefault="00106216" w:rsidP="00106216">
      <w:pPr>
        <w:pStyle w:val="Item"/>
      </w:pPr>
      <w:r w:rsidRPr="00EF788F">
        <w:t>Omit “are”.</w:t>
      </w:r>
    </w:p>
    <w:p w14:paraId="76A43F9D" w14:textId="77777777" w:rsidR="00106216" w:rsidRPr="00EF788F" w:rsidRDefault="002D62DD" w:rsidP="00106216">
      <w:pPr>
        <w:pStyle w:val="ItemHead"/>
      </w:pPr>
      <w:r w:rsidRPr="00EF788F">
        <w:t>58</w:t>
      </w:r>
      <w:r w:rsidR="00106216" w:rsidRPr="00EF788F">
        <w:t xml:space="preserve">  After </w:t>
      </w:r>
      <w:r w:rsidR="00E30156" w:rsidRPr="00EF788F">
        <w:t>paragraph 9</w:t>
      </w:r>
      <w:r w:rsidR="00106216" w:rsidRPr="00EF788F">
        <w:t>A(1A)(b)</w:t>
      </w:r>
    </w:p>
    <w:p w14:paraId="162963F2" w14:textId="77777777" w:rsidR="00106216" w:rsidRPr="00EF788F" w:rsidRDefault="00106216" w:rsidP="00106216">
      <w:pPr>
        <w:pStyle w:val="Item"/>
      </w:pPr>
      <w:r w:rsidRPr="00EF788F">
        <w:t>Insert:</w:t>
      </w:r>
    </w:p>
    <w:p w14:paraId="4CEC02C5" w14:textId="77777777" w:rsidR="00106216" w:rsidRPr="00EF788F" w:rsidRDefault="00106216" w:rsidP="00106216">
      <w:pPr>
        <w:pStyle w:val="paragraph"/>
      </w:pPr>
      <w:r w:rsidRPr="00EF788F">
        <w:tab/>
        <w:t xml:space="preserve"> and (c)</w:t>
      </w:r>
      <w:r w:rsidRPr="00EF788F">
        <w:tab/>
        <w:t>included in the Register;</w:t>
      </w:r>
    </w:p>
    <w:p w14:paraId="153320D4" w14:textId="77777777" w:rsidR="00386E8E" w:rsidRPr="00EF788F" w:rsidRDefault="002D62DD" w:rsidP="00CD04FA">
      <w:pPr>
        <w:pStyle w:val="ItemHead"/>
      </w:pPr>
      <w:r w:rsidRPr="00EF788F">
        <w:t>59</w:t>
      </w:r>
      <w:r w:rsidR="00386E8E" w:rsidRPr="00EF788F">
        <w:t xml:space="preserve">  </w:t>
      </w:r>
      <w:proofErr w:type="spellStart"/>
      <w:r w:rsidR="00E30156" w:rsidRPr="00EF788F">
        <w:t>Subregulation</w:t>
      </w:r>
      <w:proofErr w:type="spellEnd"/>
      <w:r w:rsidR="00E30156" w:rsidRPr="00EF788F">
        <w:t> 7</w:t>
      </w:r>
      <w:r w:rsidR="00CD04FA" w:rsidRPr="00EF788F">
        <w:t>2(2)</w:t>
      </w:r>
    </w:p>
    <w:p w14:paraId="657F0FA6" w14:textId="77777777" w:rsidR="00CD04FA" w:rsidRPr="00EF788F" w:rsidRDefault="00CD04FA" w:rsidP="00CD04FA">
      <w:pPr>
        <w:pStyle w:val="Item"/>
      </w:pPr>
      <w:r w:rsidRPr="00EF788F">
        <w:t xml:space="preserve">Repeal the </w:t>
      </w:r>
      <w:proofErr w:type="spellStart"/>
      <w:r w:rsidRPr="00EF788F">
        <w:t>subregulation</w:t>
      </w:r>
      <w:proofErr w:type="spellEnd"/>
      <w:r w:rsidRPr="00EF788F">
        <w:t>, substitute:</w:t>
      </w:r>
    </w:p>
    <w:p w14:paraId="56883AB4" w14:textId="77777777" w:rsidR="00CD5020" w:rsidRPr="00EF788F" w:rsidRDefault="00CD5020" w:rsidP="00CD5020">
      <w:pPr>
        <w:pStyle w:val="SubsectionHead"/>
      </w:pPr>
      <w:r w:rsidRPr="00EF788F">
        <w:t>Transitional medicines</w:t>
      </w:r>
    </w:p>
    <w:p w14:paraId="4340FEB5" w14:textId="77777777" w:rsidR="00CD5020" w:rsidRPr="00EF788F" w:rsidRDefault="00CD5020" w:rsidP="00CD5020">
      <w:pPr>
        <w:pStyle w:val="subsection"/>
      </w:pPr>
      <w:r w:rsidRPr="00EF788F">
        <w:tab/>
        <w:t>(2)</w:t>
      </w:r>
      <w:r w:rsidRPr="00EF788F">
        <w:tab/>
        <w:t xml:space="preserve">Subject to </w:t>
      </w:r>
      <w:proofErr w:type="spellStart"/>
      <w:r w:rsidRPr="00EF788F">
        <w:t>subregulation</w:t>
      </w:r>
      <w:proofErr w:type="spellEnd"/>
      <w:r w:rsidRPr="00EF788F">
        <w:t xml:space="preserve"> (3), the amendments of regulations 9A and 9B and Schedules 12 and 13 made by Schedule 6 to the amending regulations do not apply in relation to supplies of a medicine of a kind (a </w:t>
      </w:r>
      <w:r w:rsidRPr="00EF788F">
        <w:rPr>
          <w:b/>
          <w:i/>
        </w:rPr>
        <w:t>transitional medicine</w:t>
      </w:r>
      <w:r w:rsidRPr="00EF788F">
        <w:t xml:space="preserve">) that immediately before </w:t>
      </w:r>
      <w:r w:rsidR="00E30156" w:rsidRPr="00EF788F">
        <w:t>1 January</w:t>
      </w:r>
      <w:r w:rsidRPr="00EF788F">
        <w:t xml:space="preserve"> 2021 was a registered good.</w:t>
      </w:r>
    </w:p>
    <w:p w14:paraId="2F782E23" w14:textId="77777777" w:rsidR="00900282" w:rsidRPr="00EF788F" w:rsidRDefault="002D62DD" w:rsidP="00900282">
      <w:pPr>
        <w:pStyle w:val="ItemHead"/>
      </w:pPr>
      <w:r w:rsidRPr="00EF788F">
        <w:t>60</w:t>
      </w:r>
      <w:r w:rsidR="00900282" w:rsidRPr="00EF788F">
        <w:t xml:space="preserve">  At the end of </w:t>
      </w:r>
      <w:proofErr w:type="spellStart"/>
      <w:r w:rsidR="000A70DA" w:rsidRPr="00EF788F">
        <w:t>subregulation</w:t>
      </w:r>
      <w:proofErr w:type="spellEnd"/>
      <w:r w:rsidR="000A70DA" w:rsidRPr="00EF788F">
        <w:t> 7</w:t>
      </w:r>
      <w:r w:rsidR="00900282" w:rsidRPr="00EF788F">
        <w:t>2(3)</w:t>
      </w:r>
    </w:p>
    <w:p w14:paraId="308EBA06" w14:textId="77777777" w:rsidR="00900282" w:rsidRPr="00EF788F" w:rsidRDefault="00900282" w:rsidP="00900282">
      <w:pPr>
        <w:pStyle w:val="Item"/>
      </w:pPr>
      <w:r w:rsidRPr="00EF788F">
        <w:t>Add:</w:t>
      </w:r>
    </w:p>
    <w:p w14:paraId="6E8352B1" w14:textId="77777777" w:rsidR="00900282" w:rsidRPr="00EF788F" w:rsidRDefault="00900282" w:rsidP="00900282">
      <w:pPr>
        <w:pStyle w:val="notetext"/>
      </w:pPr>
      <w:r w:rsidRPr="00EF788F">
        <w:t>Note:</w:t>
      </w:r>
      <w:r w:rsidRPr="00EF788F">
        <w:tab/>
      </w:r>
      <w:proofErr w:type="spellStart"/>
      <w:r w:rsidR="00106216" w:rsidRPr="00EF788F">
        <w:t>Subregulations</w:t>
      </w:r>
      <w:proofErr w:type="spellEnd"/>
      <w:r w:rsidR="00106216" w:rsidRPr="00EF788F">
        <w:t> 9A(1) and (1A) cover supplies of therapeutic goods that are included in the Register.</w:t>
      </w:r>
    </w:p>
    <w:p w14:paraId="3F083A53" w14:textId="77777777" w:rsidR="00900282" w:rsidRPr="00EF788F" w:rsidRDefault="002D62DD" w:rsidP="00900282">
      <w:pPr>
        <w:pStyle w:val="ItemHead"/>
      </w:pPr>
      <w:r w:rsidRPr="00EF788F">
        <w:t>61</w:t>
      </w:r>
      <w:r w:rsidR="00900282" w:rsidRPr="00EF788F">
        <w:t xml:space="preserve">  </w:t>
      </w:r>
      <w:proofErr w:type="spellStart"/>
      <w:r w:rsidR="00E30156" w:rsidRPr="00EF788F">
        <w:t>Subregulation</w:t>
      </w:r>
      <w:proofErr w:type="spellEnd"/>
      <w:r w:rsidR="00E30156" w:rsidRPr="00EF788F">
        <w:t> 7</w:t>
      </w:r>
      <w:r w:rsidR="00900282" w:rsidRPr="00EF788F">
        <w:t>2(5)</w:t>
      </w:r>
    </w:p>
    <w:p w14:paraId="39B25CE4" w14:textId="77777777" w:rsidR="00900282" w:rsidRPr="00EF788F" w:rsidRDefault="00900282" w:rsidP="00900282">
      <w:pPr>
        <w:pStyle w:val="Item"/>
      </w:pPr>
      <w:r w:rsidRPr="00EF788F">
        <w:t xml:space="preserve">Repeal the </w:t>
      </w:r>
      <w:proofErr w:type="spellStart"/>
      <w:r w:rsidRPr="00EF788F">
        <w:t>subregulation</w:t>
      </w:r>
      <w:proofErr w:type="spellEnd"/>
      <w:r w:rsidRPr="00EF788F">
        <w:t>, substitute:</w:t>
      </w:r>
    </w:p>
    <w:p w14:paraId="0AA26F66" w14:textId="77777777" w:rsidR="00900282" w:rsidRPr="00EF788F" w:rsidRDefault="00900282" w:rsidP="00900282">
      <w:pPr>
        <w:pStyle w:val="subsection"/>
      </w:pPr>
      <w:r w:rsidRPr="00EF788F">
        <w:tab/>
        <w:t>(5)</w:t>
      </w:r>
      <w:r w:rsidRPr="00EF788F">
        <w:tab/>
      </w:r>
      <w:bookmarkStart w:id="43" w:name="_Hlk82096983"/>
      <w:r w:rsidRPr="00EF788F">
        <w:t xml:space="preserve">The amendments of regulations 9A and 9B and Schedules 12 and 13 made by Schedule 6 to the amending regulations apply in relation to supplies of transitional application medicines on and after </w:t>
      </w:r>
      <w:r w:rsidR="00E30156" w:rsidRPr="00EF788F">
        <w:t>1 January</w:t>
      </w:r>
      <w:r w:rsidRPr="00EF788F">
        <w:t xml:space="preserve"> 2026.</w:t>
      </w:r>
      <w:bookmarkEnd w:id="43"/>
    </w:p>
    <w:p w14:paraId="149843FF" w14:textId="77777777" w:rsidR="00106216" w:rsidRPr="00EF788F" w:rsidRDefault="00106216" w:rsidP="00106216">
      <w:pPr>
        <w:pStyle w:val="notetext"/>
      </w:pPr>
      <w:r w:rsidRPr="00EF788F">
        <w:t>Note:</w:t>
      </w:r>
      <w:r w:rsidRPr="00EF788F">
        <w:tab/>
      </w:r>
      <w:proofErr w:type="spellStart"/>
      <w:r w:rsidRPr="00EF788F">
        <w:t>Subregulations</w:t>
      </w:r>
      <w:proofErr w:type="spellEnd"/>
      <w:r w:rsidRPr="00EF788F">
        <w:t> 9A(1) and (1A) cover supplies of therapeutic goods that are included in the Register.</w:t>
      </w:r>
    </w:p>
    <w:p w14:paraId="307539FF" w14:textId="77777777" w:rsidR="009054C7" w:rsidRPr="00EF788F" w:rsidRDefault="00E30156" w:rsidP="009054C7">
      <w:pPr>
        <w:pStyle w:val="ActHead7"/>
        <w:pageBreakBefore/>
      </w:pPr>
      <w:bookmarkStart w:id="44" w:name="_Toc84835173"/>
      <w:r w:rsidRPr="00C518BF">
        <w:rPr>
          <w:rStyle w:val="CharAmPartNo"/>
        </w:rPr>
        <w:lastRenderedPageBreak/>
        <w:t>Part 1</w:t>
      </w:r>
      <w:r w:rsidR="009054C7" w:rsidRPr="00C518BF">
        <w:rPr>
          <w:rStyle w:val="CharAmPartNo"/>
        </w:rPr>
        <w:t>1</w:t>
      </w:r>
      <w:r w:rsidR="009054C7" w:rsidRPr="00EF788F">
        <w:t>—</w:t>
      </w:r>
      <w:r w:rsidR="009054C7" w:rsidRPr="00C518BF">
        <w:rPr>
          <w:rStyle w:val="CharAmPartText"/>
        </w:rPr>
        <w:t>Other amendments</w:t>
      </w:r>
      <w:bookmarkEnd w:id="44"/>
    </w:p>
    <w:p w14:paraId="1C3EB37F" w14:textId="77777777" w:rsidR="00273144" w:rsidRPr="00EF788F" w:rsidRDefault="00273144" w:rsidP="00273144">
      <w:pPr>
        <w:pStyle w:val="ActHead9"/>
      </w:pPr>
      <w:bookmarkStart w:id="45" w:name="_Toc84835174"/>
      <w:r w:rsidRPr="00EF788F">
        <w:t xml:space="preserve">Therapeutic Goods (Medical Devices) </w:t>
      </w:r>
      <w:r w:rsidR="00EF1DEF" w:rsidRPr="00EF788F">
        <w:t>Regulations 2</w:t>
      </w:r>
      <w:r w:rsidRPr="00EF788F">
        <w:t>002</w:t>
      </w:r>
      <w:bookmarkEnd w:id="45"/>
    </w:p>
    <w:p w14:paraId="2C78CA08" w14:textId="77777777" w:rsidR="003728F7" w:rsidRPr="00EF788F" w:rsidRDefault="002D62DD" w:rsidP="003728F7">
      <w:pPr>
        <w:pStyle w:val="ItemHead"/>
      </w:pPr>
      <w:bookmarkStart w:id="46" w:name="_Hlk84596134"/>
      <w:r w:rsidRPr="00EF788F">
        <w:t>62</w:t>
      </w:r>
      <w:r w:rsidR="003728F7" w:rsidRPr="00EF788F">
        <w:t xml:space="preserve">  </w:t>
      </w:r>
      <w:r w:rsidR="00EF1DEF" w:rsidRPr="00EF788F">
        <w:t>Division 9</w:t>
      </w:r>
      <w:r w:rsidR="003728F7" w:rsidRPr="00EF788F">
        <w:t xml:space="preserve">.3 of </w:t>
      </w:r>
      <w:r w:rsidR="00EF1DEF" w:rsidRPr="00EF788F">
        <w:t>Part 9</w:t>
      </w:r>
      <w:r w:rsidR="003728F7" w:rsidRPr="00EF788F">
        <w:t xml:space="preserve"> (heading)</w:t>
      </w:r>
    </w:p>
    <w:p w14:paraId="30EB65E8" w14:textId="77777777" w:rsidR="003728F7" w:rsidRPr="00EF788F" w:rsidRDefault="003728F7" w:rsidP="003728F7">
      <w:pPr>
        <w:pStyle w:val="Item"/>
      </w:pPr>
      <w:r w:rsidRPr="00EF788F">
        <w:t>Repeal the heading, substitute:</w:t>
      </w:r>
    </w:p>
    <w:p w14:paraId="51B13651" w14:textId="77777777" w:rsidR="003728F7" w:rsidRPr="00EF788F" w:rsidRDefault="00EF1DEF" w:rsidP="003728F7">
      <w:pPr>
        <w:pStyle w:val="ActHead3"/>
      </w:pPr>
      <w:bookmarkStart w:id="47" w:name="_Toc84835175"/>
      <w:r w:rsidRPr="00C518BF">
        <w:rPr>
          <w:rStyle w:val="CharDivNo"/>
        </w:rPr>
        <w:t>Division 9</w:t>
      </w:r>
      <w:r w:rsidR="003728F7" w:rsidRPr="00C518BF">
        <w:rPr>
          <w:rStyle w:val="CharDivNo"/>
        </w:rPr>
        <w:t>.3</w:t>
      </w:r>
      <w:r w:rsidR="003728F7" w:rsidRPr="00EF788F">
        <w:t>—</w:t>
      </w:r>
      <w:r w:rsidR="003728F7" w:rsidRPr="00C518BF">
        <w:rPr>
          <w:rStyle w:val="CharDivText"/>
        </w:rPr>
        <w:t>Assessment fees and reductions or refunds of fees connected with applications for conformity assessment certificates</w:t>
      </w:r>
      <w:bookmarkEnd w:id="47"/>
    </w:p>
    <w:bookmarkEnd w:id="46"/>
    <w:p w14:paraId="167DB4BE" w14:textId="77777777" w:rsidR="00273144" w:rsidRPr="00EF788F" w:rsidRDefault="002D62DD" w:rsidP="00273144">
      <w:pPr>
        <w:pStyle w:val="ItemHead"/>
      </w:pPr>
      <w:r w:rsidRPr="00EF788F">
        <w:t>63</w:t>
      </w:r>
      <w:r w:rsidR="00273144" w:rsidRPr="00EF788F">
        <w:t xml:space="preserve">  At the end of </w:t>
      </w:r>
      <w:r w:rsidR="00EF1DEF" w:rsidRPr="00EF788F">
        <w:t>Division 9</w:t>
      </w:r>
      <w:r w:rsidR="00273144" w:rsidRPr="00EF788F">
        <w:t xml:space="preserve">.3 of </w:t>
      </w:r>
      <w:r w:rsidR="00EF1DEF" w:rsidRPr="00EF788F">
        <w:t>Part 9</w:t>
      </w:r>
    </w:p>
    <w:p w14:paraId="6F8BA567" w14:textId="77777777" w:rsidR="00273144" w:rsidRPr="00EF788F" w:rsidRDefault="00273144" w:rsidP="00273144">
      <w:pPr>
        <w:pStyle w:val="Item"/>
      </w:pPr>
      <w:r w:rsidRPr="00EF788F">
        <w:t>Add:</w:t>
      </w:r>
    </w:p>
    <w:p w14:paraId="5B554C17" w14:textId="77777777" w:rsidR="00273144" w:rsidRPr="00EF788F" w:rsidRDefault="00273144" w:rsidP="00273144">
      <w:pPr>
        <w:pStyle w:val="ActHead5"/>
      </w:pPr>
      <w:bookmarkStart w:id="48" w:name="_Toc84835176"/>
      <w:r w:rsidRPr="00C518BF">
        <w:rPr>
          <w:rStyle w:val="CharSectno"/>
        </w:rPr>
        <w:t>9.8</w:t>
      </w:r>
      <w:r w:rsidRPr="00EF788F">
        <w:t xml:space="preserve">  Refund of fees—kinds of medical devices covered by former </w:t>
      </w:r>
      <w:r w:rsidR="00E30156" w:rsidRPr="00EF788F">
        <w:t>regulation 4</w:t>
      </w:r>
      <w:r w:rsidRPr="00EF788F">
        <w:t>.1</w:t>
      </w:r>
      <w:bookmarkEnd w:id="48"/>
    </w:p>
    <w:p w14:paraId="7254E8F1" w14:textId="77777777" w:rsidR="00273144" w:rsidRPr="00EF788F" w:rsidRDefault="00273144" w:rsidP="00273144">
      <w:pPr>
        <w:pStyle w:val="subsection"/>
      </w:pPr>
      <w:r w:rsidRPr="00EF788F">
        <w:tab/>
        <w:t>(1)</w:t>
      </w:r>
      <w:r w:rsidRPr="00EF788F">
        <w:tab/>
      </w:r>
      <w:r w:rsidR="004646C0" w:rsidRPr="00EF788F">
        <w:t>If:</w:t>
      </w:r>
    </w:p>
    <w:p w14:paraId="3E79568B" w14:textId="77777777" w:rsidR="004646C0" w:rsidRPr="00EF788F" w:rsidRDefault="004646C0" w:rsidP="004646C0">
      <w:pPr>
        <w:pStyle w:val="paragraph"/>
      </w:pPr>
      <w:r w:rsidRPr="00EF788F">
        <w:tab/>
        <w:t>(a)</w:t>
      </w:r>
      <w:r w:rsidRPr="00EF788F">
        <w:tab/>
      </w:r>
      <w:r w:rsidR="00013287" w:rsidRPr="00EF788F">
        <w:t xml:space="preserve">on or after </w:t>
      </w:r>
      <w:r w:rsidR="00E30156" w:rsidRPr="00EF788F">
        <w:t>1 January</w:t>
      </w:r>
      <w:r w:rsidR="00013287" w:rsidRPr="00EF788F">
        <w:t xml:space="preserve"> 2019 and </w:t>
      </w:r>
      <w:r w:rsidRPr="00EF788F">
        <w:t xml:space="preserve">before </w:t>
      </w:r>
      <w:r w:rsidR="00013287" w:rsidRPr="00EF788F">
        <w:t>the commencement of this regulation,</w:t>
      </w:r>
      <w:r w:rsidR="001B666C" w:rsidRPr="00EF788F">
        <w:t xml:space="preserve"> </w:t>
      </w:r>
      <w:r w:rsidRPr="00EF788F">
        <w:t xml:space="preserve">a person made an application under section 41EB of the Act for a conformity assessment certificate in respect of a kind of medical device covered by </w:t>
      </w:r>
      <w:r w:rsidR="00E30156" w:rsidRPr="00EF788F">
        <w:t>regulation 4</w:t>
      </w:r>
      <w:r w:rsidRPr="00EF788F">
        <w:t xml:space="preserve">.1 (as in force immediately before </w:t>
      </w:r>
      <w:r w:rsidR="00E30156" w:rsidRPr="00EF788F">
        <w:t>28 July</w:t>
      </w:r>
      <w:r w:rsidRPr="00EF788F">
        <w:t xml:space="preserve"> 2021); and</w:t>
      </w:r>
    </w:p>
    <w:p w14:paraId="4FF9E90A" w14:textId="77777777" w:rsidR="000E5C38" w:rsidRPr="00EF788F" w:rsidRDefault="004646C0" w:rsidP="004646C0">
      <w:pPr>
        <w:pStyle w:val="paragraph"/>
      </w:pPr>
      <w:r w:rsidRPr="00EF788F">
        <w:tab/>
        <w:t>(b)</w:t>
      </w:r>
      <w:r w:rsidRPr="00EF788F">
        <w:tab/>
      </w:r>
      <w:r w:rsidR="00013287" w:rsidRPr="00EF788F">
        <w:t xml:space="preserve">on or after </w:t>
      </w:r>
      <w:r w:rsidR="00E30156" w:rsidRPr="00EF788F">
        <w:t>1 January</w:t>
      </w:r>
      <w:r w:rsidR="00013287" w:rsidRPr="00EF788F">
        <w:t xml:space="preserve"> 2019</w:t>
      </w:r>
      <w:r w:rsidR="00064008" w:rsidRPr="00EF788F">
        <w:t xml:space="preserve"> and before </w:t>
      </w:r>
      <w:r w:rsidR="00E30156" w:rsidRPr="00EF788F">
        <w:t>1 December</w:t>
      </w:r>
      <w:r w:rsidR="00064008" w:rsidRPr="00EF788F">
        <w:t xml:space="preserve"> 2021</w:t>
      </w:r>
      <w:r w:rsidR="00013287" w:rsidRPr="00EF788F">
        <w:t>,</w:t>
      </w:r>
      <w:r w:rsidRPr="00EF788F">
        <w:t xml:space="preserve"> the person paid all or part of</w:t>
      </w:r>
      <w:r w:rsidR="000E5C38" w:rsidRPr="00EF788F">
        <w:t xml:space="preserve"> one or more of the following:</w:t>
      </w:r>
    </w:p>
    <w:p w14:paraId="416DF69B" w14:textId="77777777" w:rsidR="00846BA9" w:rsidRPr="00EF788F" w:rsidRDefault="00846BA9" w:rsidP="000E5C38">
      <w:pPr>
        <w:pStyle w:val="paragraphsub"/>
      </w:pPr>
      <w:r w:rsidRPr="00EF788F">
        <w:tab/>
        <w:t>(</w:t>
      </w:r>
      <w:proofErr w:type="spellStart"/>
      <w:r w:rsidRPr="00EF788F">
        <w:t>i</w:t>
      </w:r>
      <w:proofErr w:type="spellEnd"/>
      <w:r w:rsidRPr="00EF788F">
        <w:t>)</w:t>
      </w:r>
      <w:r w:rsidRPr="00EF788F">
        <w:tab/>
        <w:t xml:space="preserve">the fee covered by </w:t>
      </w:r>
      <w:r w:rsidR="00E30156" w:rsidRPr="00EF788F">
        <w:t>item 1</w:t>
      </w:r>
      <w:r w:rsidRPr="00EF788F">
        <w:t>.</w:t>
      </w:r>
      <w:r w:rsidR="00CF30F8" w:rsidRPr="00EF788F">
        <w:t>1 of</w:t>
      </w:r>
      <w:r w:rsidRPr="00EF788F">
        <w:t xml:space="preserve"> the table in </w:t>
      </w:r>
      <w:r w:rsidR="00E30156" w:rsidRPr="00EF788F">
        <w:t>Part 1</w:t>
      </w:r>
      <w:r w:rsidRPr="00EF788F">
        <w:t xml:space="preserve"> of </w:t>
      </w:r>
      <w:r w:rsidR="00E30156" w:rsidRPr="00EF788F">
        <w:t>Schedule 5</w:t>
      </w:r>
      <w:r w:rsidRPr="00EF788F">
        <w:t xml:space="preserve"> in connection with the application</w:t>
      </w:r>
      <w:r w:rsidR="00CF30F8" w:rsidRPr="00EF788F">
        <w:t>;</w:t>
      </w:r>
    </w:p>
    <w:p w14:paraId="329A6736" w14:textId="77777777" w:rsidR="004646C0" w:rsidRPr="00EF788F" w:rsidRDefault="000E5C38" w:rsidP="000E5C38">
      <w:pPr>
        <w:pStyle w:val="paragraphsub"/>
      </w:pPr>
      <w:r w:rsidRPr="00EF788F">
        <w:tab/>
        <w:t>(</w:t>
      </w:r>
      <w:r w:rsidR="00CF30F8" w:rsidRPr="00EF788F">
        <w:t>i</w:t>
      </w:r>
      <w:r w:rsidRPr="00EF788F">
        <w:t>i)</w:t>
      </w:r>
      <w:r w:rsidRPr="00EF788F">
        <w:tab/>
      </w:r>
      <w:r w:rsidR="004646C0" w:rsidRPr="00EF788F">
        <w:t xml:space="preserve">the fee covered by </w:t>
      </w:r>
      <w:r w:rsidR="00E30156" w:rsidRPr="00EF788F">
        <w:t>item 1</w:t>
      </w:r>
      <w:r w:rsidR="001B666C" w:rsidRPr="00EF788F">
        <w:t xml:space="preserve">.9, 1.9A, 1.10 or 1.10A of the table in </w:t>
      </w:r>
      <w:r w:rsidR="00E30156" w:rsidRPr="00EF788F">
        <w:t>Part 1</w:t>
      </w:r>
      <w:r w:rsidR="001B666C" w:rsidRPr="00EF788F">
        <w:t xml:space="preserve"> of </w:t>
      </w:r>
      <w:r w:rsidR="00E30156" w:rsidRPr="00EF788F">
        <w:t>Schedule 5</w:t>
      </w:r>
      <w:r w:rsidR="001B666C" w:rsidRPr="00EF788F">
        <w:t xml:space="preserve"> </w:t>
      </w:r>
      <w:r w:rsidR="00CF30F8" w:rsidRPr="00EF788F">
        <w:t>(to the extent that fee is in connection with the application)</w:t>
      </w:r>
      <w:r w:rsidR="001B666C" w:rsidRPr="00EF788F">
        <w:t>;</w:t>
      </w:r>
    </w:p>
    <w:p w14:paraId="6876405B" w14:textId="77777777" w:rsidR="000E5C38" w:rsidRPr="00EF788F" w:rsidRDefault="000E5C38" w:rsidP="000E5C38">
      <w:pPr>
        <w:pStyle w:val="paragraphsub"/>
      </w:pPr>
      <w:r w:rsidRPr="00EF788F">
        <w:tab/>
        <w:t>(ii</w:t>
      </w:r>
      <w:r w:rsidR="00CF30F8" w:rsidRPr="00EF788F">
        <w:t>i</w:t>
      </w:r>
      <w:r w:rsidRPr="00EF788F">
        <w:t>)</w:t>
      </w:r>
      <w:r w:rsidRPr="00EF788F">
        <w:tab/>
        <w:t xml:space="preserve">the fee covered by </w:t>
      </w:r>
      <w:r w:rsidR="00E30156" w:rsidRPr="00EF788F">
        <w:t>item 1</w:t>
      </w:r>
      <w:r w:rsidR="00F55111" w:rsidRPr="00EF788F">
        <w:t xml:space="preserve">.11 or </w:t>
      </w:r>
      <w:r w:rsidRPr="00EF788F">
        <w:t xml:space="preserve">1.12 of the table in </w:t>
      </w:r>
      <w:r w:rsidR="00E30156" w:rsidRPr="00EF788F">
        <w:t>Part 1</w:t>
      </w:r>
      <w:r w:rsidRPr="00EF788F">
        <w:t xml:space="preserve"> of </w:t>
      </w:r>
      <w:r w:rsidR="00E30156" w:rsidRPr="00EF788F">
        <w:t>Schedule 5</w:t>
      </w:r>
      <w:r w:rsidRPr="00EF788F">
        <w:t xml:space="preserve"> </w:t>
      </w:r>
      <w:r w:rsidR="00CF30F8" w:rsidRPr="00EF788F">
        <w:t>(to the extent that fee is in connection with the application)</w:t>
      </w:r>
      <w:r w:rsidR="00064008" w:rsidRPr="00EF788F">
        <w:t>;</w:t>
      </w:r>
    </w:p>
    <w:p w14:paraId="1B8FD6AD" w14:textId="77777777" w:rsidR="000E5C38" w:rsidRPr="00EF788F" w:rsidRDefault="000E5C38" w:rsidP="000E5C38">
      <w:pPr>
        <w:pStyle w:val="paragraphsub"/>
      </w:pPr>
      <w:r w:rsidRPr="00EF788F">
        <w:tab/>
        <w:t>(i</w:t>
      </w:r>
      <w:r w:rsidR="00CF30F8" w:rsidRPr="00EF788F">
        <w:t>v</w:t>
      </w:r>
      <w:r w:rsidRPr="00EF788F">
        <w:t>)</w:t>
      </w:r>
      <w:r w:rsidRPr="00EF788F">
        <w:tab/>
        <w:t xml:space="preserve">the fee covered by </w:t>
      </w:r>
      <w:r w:rsidR="00E30156" w:rsidRPr="00EF788F">
        <w:t>clause 2</w:t>
      </w:r>
      <w:r w:rsidR="00F55111" w:rsidRPr="00EF788F">
        <w:t xml:space="preserve">.1 or </w:t>
      </w:r>
      <w:r w:rsidRPr="00EF788F">
        <w:t xml:space="preserve">2.2 in </w:t>
      </w:r>
      <w:r w:rsidR="00E30156" w:rsidRPr="00EF788F">
        <w:t>Part 2</w:t>
      </w:r>
      <w:r w:rsidRPr="00EF788F">
        <w:t xml:space="preserve"> of </w:t>
      </w:r>
      <w:r w:rsidR="00E30156" w:rsidRPr="00EF788F">
        <w:t>Schedule 5</w:t>
      </w:r>
      <w:r w:rsidR="00064008" w:rsidRPr="00EF788F">
        <w:t xml:space="preserve"> (</w:t>
      </w:r>
      <w:r w:rsidR="00CF30F8" w:rsidRPr="00EF788F">
        <w:t>to the extent that fee is in connection with the application)</w:t>
      </w:r>
      <w:r w:rsidR="00064008" w:rsidRPr="00EF788F">
        <w:t>; and</w:t>
      </w:r>
    </w:p>
    <w:p w14:paraId="782B68BC" w14:textId="77777777" w:rsidR="001B666C" w:rsidRPr="00EF788F" w:rsidRDefault="001B666C" w:rsidP="004646C0">
      <w:pPr>
        <w:pStyle w:val="paragraph"/>
      </w:pPr>
      <w:r w:rsidRPr="00EF788F">
        <w:tab/>
        <w:t>(c)</w:t>
      </w:r>
      <w:r w:rsidRPr="00EF788F">
        <w:tab/>
      </w:r>
      <w:r w:rsidR="00EC3241" w:rsidRPr="00EF788F">
        <w:t xml:space="preserve">on or after </w:t>
      </w:r>
      <w:r w:rsidR="00E30156" w:rsidRPr="00EF788F">
        <w:t>28 July</w:t>
      </w:r>
      <w:r w:rsidR="00EC3241" w:rsidRPr="00EF788F">
        <w:t xml:space="preserve"> 2021 and </w:t>
      </w:r>
      <w:r w:rsidR="00013287" w:rsidRPr="00EF788F">
        <w:t xml:space="preserve">before </w:t>
      </w:r>
      <w:r w:rsidR="00E30156" w:rsidRPr="00EF788F">
        <w:t>1 March</w:t>
      </w:r>
      <w:r w:rsidR="007A774D" w:rsidRPr="00EF788F">
        <w:t xml:space="preserve"> 2022</w:t>
      </w:r>
      <w:r w:rsidR="00B179F4" w:rsidRPr="00EF788F">
        <w:t>,</w:t>
      </w:r>
      <w:r w:rsidR="00013287" w:rsidRPr="00EF788F">
        <w:t xml:space="preserve"> </w:t>
      </w:r>
      <w:r w:rsidRPr="00EF788F">
        <w:t>the person, by notice in writing given to the Secretary, withdr</w:t>
      </w:r>
      <w:r w:rsidR="0053779E" w:rsidRPr="00EF788F">
        <w:t>ew</w:t>
      </w:r>
      <w:r w:rsidRPr="00EF788F">
        <w:t xml:space="preserve"> the application; and</w:t>
      </w:r>
    </w:p>
    <w:p w14:paraId="345DF5D9" w14:textId="77777777" w:rsidR="00B179F4" w:rsidRPr="00EF788F" w:rsidRDefault="00B179F4" w:rsidP="004646C0">
      <w:pPr>
        <w:pStyle w:val="paragraph"/>
      </w:pPr>
      <w:r w:rsidRPr="00EF788F">
        <w:tab/>
        <w:t>(d)</w:t>
      </w:r>
      <w:r w:rsidRPr="00EF788F">
        <w:tab/>
        <w:t>the person withdrew the application before the Secretary had made a decision on the application; and</w:t>
      </w:r>
    </w:p>
    <w:p w14:paraId="13AD61EC" w14:textId="77777777" w:rsidR="001B666C" w:rsidRPr="00EF788F" w:rsidRDefault="001B666C" w:rsidP="004646C0">
      <w:pPr>
        <w:pStyle w:val="paragraph"/>
      </w:pPr>
      <w:r w:rsidRPr="00EF788F">
        <w:tab/>
        <w:t>(</w:t>
      </w:r>
      <w:r w:rsidR="00B179F4" w:rsidRPr="00EF788F">
        <w:t>e</w:t>
      </w:r>
      <w:r w:rsidRPr="00EF788F">
        <w:t>)</w:t>
      </w:r>
      <w:r w:rsidRPr="00EF788F">
        <w:tab/>
      </w:r>
      <w:r w:rsidR="00EC3241" w:rsidRPr="00EF788F">
        <w:t xml:space="preserve">on or after </w:t>
      </w:r>
      <w:r w:rsidR="00E30156" w:rsidRPr="00EF788F">
        <w:t>28 July</w:t>
      </w:r>
      <w:r w:rsidR="00EC3241" w:rsidRPr="00EF788F">
        <w:t xml:space="preserve"> 2021 and </w:t>
      </w:r>
      <w:r w:rsidR="00B179F4" w:rsidRPr="00EF788F">
        <w:t xml:space="preserve">before </w:t>
      </w:r>
      <w:r w:rsidR="00E30156" w:rsidRPr="00EF788F">
        <w:t>1 March</w:t>
      </w:r>
      <w:r w:rsidR="007A774D" w:rsidRPr="00EF788F">
        <w:t xml:space="preserve"> 2022</w:t>
      </w:r>
      <w:r w:rsidRPr="00EF788F">
        <w:t>, the person requested the Secretary, in writing, for a refund of th</w:t>
      </w:r>
      <w:r w:rsidR="00EC3241" w:rsidRPr="00EF788F">
        <w:t>at fee;</w:t>
      </w:r>
      <w:r w:rsidR="00B179F4" w:rsidRPr="00EF788F">
        <w:t xml:space="preserve"> and</w:t>
      </w:r>
    </w:p>
    <w:p w14:paraId="7D925746" w14:textId="77777777" w:rsidR="00B179F4" w:rsidRPr="00EF788F" w:rsidRDefault="00B179F4" w:rsidP="004646C0">
      <w:pPr>
        <w:pStyle w:val="paragraph"/>
      </w:pPr>
      <w:r w:rsidRPr="00EF788F">
        <w:tab/>
        <w:t>(f)</w:t>
      </w:r>
      <w:r w:rsidRPr="00EF788F">
        <w:tab/>
        <w:t xml:space="preserve">the </w:t>
      </w:r>
      <w:r w:rsidR="00CE732A" w:rsidRPr="00EF788F">
        <w:t>request is accompanied by information</w:t>
      </w:r>
      <w:r w:rsidR="00B72B6B" w:rsidRPr="00EF788F">
        <w:t xml:space="preserve"> that satisfies the requirements of </w:t>
      </w:r>
      <w:r w:rsidR="00E30156" w:rsidRPr="00EF788F">
        <w:t>subparagraphs 4</w:t>
      </w:r>
      <w:r w:rsidR="00B72B6B" w:rsidRPr="00EF788F">
        <w:t>1FDB(2)(d)(</w:t>
      </w:r>
      <w:proofErr w:type="spellStart"/>
      <w:r w:rsidR="00B72B6B" w:rsidRPr="00EF788F">
        <w:t>i</w:t>
      </w:r>
      <w:proofErr w:type="spellEnd"/>
      <w:r w:rsidR="00B72B6B" w:rsidRPr="00EF788F">
        <w:t>) and (ii) of the Act for that classification of medical device;</w:t>
      </w:r>
    </w:p>
    <w:p w14:paraId="722B0FA3" w14:textId="77777777" w:rsidR="00EC3241" w:rsidRPr="00EF788F" w:rsidRDefault="00EC3241" w:rsidP="00EC3241">
      <w:pPr>
        <w:pStyle w:val="subsection2"/>
      </w:pPr>
      <w:r w:rsidRPr="00EF788F">
        <w:t xml:space="preserve">then, </w:t>
      </w:r>
      <w:r w:rsidR="000A4A28" w:rsidRPr="00EF788F">
        <w:t xml:space="preserve">before the end of the applicable period, </w:t>
      </w:r>
      <w:r w:rsidRPr="00EF788F">
        <w:t>the Secretary must:</w:t>
      </w:r>
    </w:p>
    <w:p w14:paraId="7903E01D" w14:textId="77777777" w:rsidR="00EC3241" w:rsidRPr="00EF788F" w:rsidRDefault="00EC3241" w:rsidP="00EC3241">
      <w:pPr>
        <w:pStyle w:val="paragraph"/>
      </w:pPr>
      <w:r w:rsidRPr="00EF788F">
        <w:tab/>
        <w:t>(</w:t>
      </w:r>
      <w:r w:rsidR="00B72B6B" w:rsidRPr="00EF788F">
        <w:t>g</w:t>
      </w:r>
      <w:r w:rsidRPr="00EF788F">
        <w:t>)</w:t>
      </w:r>
      <w:r w:rsidRPr="00EF788F">
        <w:tab/>
        <w:t xml:space="preserve">decide whether </w:t>
      </w:r>
      <w:r w:rsidR="00B53B1A" w:rsidRPr="00EF788F">
        <w:t xml:space="preserve">or not </w:t>
      </w:r>
      <w:r w:rsidRPr="00EF788F">
        <w:t>to refund any of th</w:t>
      </w:r>
      <w:r w:rsidR="00A9660B" w:rsidRPr="00EF788F">
        <w:t>at</w:t>
      </w:r>
      <w:r w:rsidRPr="00EF788F">
        <w:t xml:space="preserve"> fee; and</w:t>
      </w:r>
    </w:p>
    <w:p w14:paraId="24B9BB23" w14:textId="77777777" w:rsidR="00EC3241" w:rsidRPr="00EF788F" w:rsidRDefault="00EC3241" w:rsidP="00EC3241">
      <w:pPr>
        <w:pStyle w:val="paragraph"/>
      </w:pPr>
      <w:r w:rsidRPr="00EF788F">
        <w:tab/>
        <w:t>(</w:t>
      </w:r>
      <w:r w:rsidR="00B72B6B" w:rsidRPr="00EF788F">
        <w:t>h</w:t>
      </w:r>
      <w:r w:rsidRPr="00EF788F">
        <w:t>)</w:t>
      </w:r>
      <w:r w:rsidRPr="00EF788F">
        <w:tab/>
        <w:t xml:space="preserve">if </w:t>
      </w:r>
      <w:r w:rsidR="00B53B1A" w:rsidRPr="00EF788F">
        <w:t>the Secretary decides to make a refund</w:t>
      </w:r>
      <w:r w:rsidR="003B2C4D" w:rsidRPr="00EF788F">
        <w:t xml:space="preserve"> on behalf of the Commonwealth</w:t>
      </w:r>
      <w:r w:rsidRPr="00EF788F">
        <w:t>—</w:t>
      </w:r>
      <w:r w:rsidR="007F7BE1" w:rsidRPr="00EF788F">
        <w:t xml:space="preserve">decide </w:t>
      </w:r>
      <w:r w:rsidRPr="00EF788F">
        <w:t>the amount of th</w:t>
      </w:r>
      <w:r w:rsidR="00A9660B" w:rsidRPr="00EF788F">
        <w:t>at</w:t>
      </w:r>
      <w:r w:rsidRPr="00EF788F">
        <w:t xml:space="preserve"> fee to be refunded.</w:t>
      </w:r>
    </w:p>
    <w:p w14:paraId="044CF846" w14:textId="77777777" w:rsidR="0024334D" w:rsidRPr="00EF788F" w:rsidRDefault="0024334D" w:rsidP="0024334D">
      <w:pPr>
        <w:pStyle w:val="subsection"/>
      </w:pPr>
      <w:bookmarkStart w:id="49" w:name="_Hlk83733362"/>
      <w:r w:rsidRPr="00EF788F">
        <w:lastRenderedPageBreak/>
        <w:tab/>
        <w:t>(2)</w:t>
      </w:r>
      <w:r w:rsidRPr="00EF788F">
        <w:tab/>
        <w:t xml:space="preserve">In making a decision under </w:t>
      </w:r>
      <w:r w:rsidR="00E30156" w:rsidRPr="00EF788F">
        <w:t>paragraph (</w:t>
      </w:r>
      <w:r w:rsidRPr="00EF788F">
        <w:t xml:space="preserve">1)(g) or (h), the Secretary must </w:t>
      </w:r>
      <w:r w:rsidR="00676D7E" w:rsidRPr="00EF788F">
        <w:t>take into account</w:t>
      </w:r>
      <w:r w:rsidRPr="00EF788F">
        <w:t xml:space="preserve"> the extent of completion of the assessment or assessments</w:t>
      </w:r>
      <w:r w:rsidR="000F6DD0" w:rsidRPr="00EF788F">
        <w:t>,</w:t>
      </w:r>
      <w:r w:rsidR="00487B21" w:rsidRPr="00EF788F">
        <w:t xml:space="preserve"> or of the testing</w:t>
      </w:r>
      <w:r w:rsidRPr="00EF788F">
        <w:t>, in</w:t>
      </w:r>
      <w:r w:rsidR="00487B21" w:rsidRPr="00EF788F">
        <w:t xml:space="preserve"> connection with</w:t>
      </w:r>
      <w:r w:rsidRPr="00EF788F">
        <w:t xml:space="preserve"> the application for the conformity assessment certificate, at the time the person withdrew the application.</w:t>
      </w:r>
    </w:p>
    <w:p w14:paraId="17DD3EA5" w14:textId="77777777" w:rsidR="0024334D" w:rsidRPr="00EF788F" w:rsidRDefault="0024334D" w:rsidP="0024334D">
      <w:pPr>
        <w:pStyle w:val="subsection"/>
      </w:pPr>
      <w:r w:rsidRPr="00EF788F">
        <w:tab/>
        <w:t>(3)</w:t>
      </w:r>
      <w:r w:rsidRPr="00EF788F">
        <w:tab/>
      </w:r>
      <w:proofErr w:type="spellStart"/>
      <w:r w:rsidRPr="00EF788F">
        <w:t>Subregulation</w:t>
      </w:r>
      <w:proofErr w:type="spellEnd"/>
      <w:r w:rsidRPr="00EF788F">
        <w:t> (2) does not limit the matters the Secretary may take into account.</w:t>
      </w:r>
    </w:p>
    <w:bookmarkEnd w:id="49"/>
    <w:p w14:paraId="1DB8EFAC" w14:textId="77777777" w:rsidR="000A4A28" w:rsidRPr="00EF788F" w:rsidRDefault="000A4A28" w:rsidP="00EC3241">
      <w:pPr>
        <w:pStyle w:val="subsection"/>
      </w:pPr>
      <w:r w:rsidRPr="00EF788F">
        <w:tab/>
        <w:t>(</w:t>
      </w:r>
      <w:r w:rsidR="0024334D" w:rsidRPr="00EF788F">
        <w:t>4</w:t>
      </w:r>
      <w:r w:rsidRPr="00EF788F">
        <w:t>)</w:t>
      </w:r>
      <w:r w:rsidRPr="00EF788F">
        <w:tab/>
        <w:t xml:space="preserve">For the purposes of this regulation, the </w:t>
      </w:r>
      <w:r w:rsidRPr="00EF788F">
        <w:rPr>
          <w:b/>
          <w:i/>
        </w:rPr>
        <w:t xml:space="preserve">applicable period </w:t>
      </w:r>
      <w:r w:rsidRPr="00EF788F">
        <w:t>is:</w:t>
      </w:r>
    </w:p>
    <w:p w14:paraId="5ACF6802" w14:textId="77777777" w:rsidR="000A4A28" w:rsidRPr="00EF788F" w:rsidRDefault="000A4A28" w:rsidP="000A4A28">
      <w:pPr>
        <w:pStyle w:val="paragraph"/>
      </w:pPr>
      <w:r w:rsidRPr="00EF788F">
        <w:tab/>
        <w:t>(a)</w:t>
      </w:r>
      <w:r w:rsidRPr="00EF788F">
        <w:tab/>
        <w:t xml:space="preserve">if the person requested the refund on or after </w:t>
      </w:r>
      <w:r w:rsidR="00E30156" w:rsidRPr="00EF788F">
        <w:t>28 July</w:t>
      </w:r>
      <w:r w:rsidRPr="00EF788F">
        <w:t xml:space="preserve"> 2021 and before the commencement of this regulation—the period of 20 working days beginning on the day this regulation commences; or</w:t>
      </w:r>
    </w:p>
    <w:p w14:paraId="61D5FC5A" w14:textId="77777777" w:rsidR="000A4A28" w:rsidRPr="00EF788F" w:rsidRDefault="000A4A28" w:rsidP="000A4A28">
      <w:pPr>
        <w:pStyle w:val="paragraph"/>
      </w:pPr>
      <w:r w:rsidRPr="00EF788F">
        <w:tab/>
        <w:t>(b)</w:t>
      </w:r>
      <w:r w:rsidRPr="00EF788F">
        <w:tab/>
        <w:t>if the person requested the refund on or after the commencement of this regulation—the period of 20 working days beginning on the day the Secretary received the request.</w:t>
      </w:r>
    </w:p>
    <w:p w14:paraId="693EEA8D" w14:textId="77777777" w:rsidR="009C0D4C" w:rsidRPr="00EF788F" w:rsidRDefault="002D62DD" w:rsidP="009C0D4C">
      <w:pPr>
        <w:pStyle w:val="ItemHead"/>
      </w:pPr>
      <w:r w:rsidRPr="00EF788F">
        <w:t>64</w:t>
      </w:r>
      <w:r w:rsidR="009C0D4C" w:rsidRPr="00EF788F">
        <w:t xml:space="preserve">  </w:t>
      </w:r>
      <w:proofErr w:type="spellStart"/>
      <w:r w:rsidR="00E30156" w:rsidRPr="00EF788F">
        <w:t>Subregulation</w:t>
      </w:r>
      <w:proofErr w:type="spellEnd"/>
      <w:r w:rsidR="00E30156" w:rsidRPr="00EF788F">
        <w:t> 1</w:t>
      </w:r>
      <w:r w:rsidR="009C0D4C" w:rsidRPr="00EF788F">
        <w:t xml:space="preserve">0.7(1) (at the end of the definition of </w:t>
      </w:r>
      <w:r w:rsidR="009C0D4C" w:rsidRPr="00EF788F">
        <w:rPr>
          <w:i/>
        </w:rPr>
        <w:t>initial decision</w:t>
      </w:r>
      <w:r w:rsidR="009C0D4C" w:rsidRPr="00EF788F">
        <w:t>)</w:t>
      </w:r>
    </w:p>
    <w:p w14:paraId="2DB9059B" w14:textId="77777777" w:rsidR="009C0D4C" w:rsidRPr="00EF788F" w:rsidRDefault="009C0D4C" w:rsidP="009C0D4C">
      <w:pPr>
        <w:pStyle w:val="Item"/>
      </w:pPr>
      <w:r w:rsidRPr="00EF788F">
        <w:t>Add:</w:t>
      </w:r>
    </w:p>
    <w:p w14:paraId="2E18D1BE" w14:textId="77777777" w:rsidR="009C0D4C" w:rsidRPr="00EF788F" w:rsidRDefault="009C0D4C" w:rsidP="009C0D4C">
      <w:pPr>
        <w:pStyle w:val="paragraph"/>
      </w:pPr>
      <w:r w:rsidRPr="00EF788F">
        <w:tab/>
        <w:t>; (d)</w:t>
      </w:r>
      <w:r w:rsidRPr="00EF788F">
        <w:tab/>
      </w:r>
      <w:r w:rsidR="00E30156" w:rsidRPr="00EF788F">
        <w:t>paragraph 9</w:t>
      </w:r>
      <w:r w:rsidR="00580E7E" w:rsidRPr="00EF788F">
        <w:t>.8(1)(</w:t>
      </w:r>
      <w:r w:rsidR="00B72B6B" w:rsidRPr="00EF788F">
        <w:t>g</w:t>
      </w:r>
      <w:r w:rsidR="00580E7E" w:rsidRPr="00EF788F">
        <w:t>) or (</w:t>
      </w:r>
      <w:r w:rsidR="00B72B6B" w:rsidRPr="00EF788F">
        <w:t>h</w:t>
      </w:r>
      <w:r w:rsidR="00580E7E" w:rsidRPr="00EF788F">
        <w:t>).</w:t>
      </w:r>
    </w:p>
    <w:p w14:paraId="093335FA" w14:textId="77777777" w:rsidR="00612123" w:rsidRPr="00EF788F" w:rsidRDefault="002D62DD" w:rsidP="006A3CDF">
      <w:pPr>
        <w:pStyle w:val="ItemHead"/>
      </w:pPr>
      <w:r w:rsidRPr="00EF788F">
        <w:t>65</w:t>
      </w:r>
      <w:r w:rsidR="00612123" w:rsidRPr="00EF788F">
        <w:t xml:space="preserve">  </w:t>
      </w:r>
      <w:proofErr w:type="spellStart"/>
      <w:r w:rsidR="00E30156" w:rsidRPr="00EF788F">
        <w:t>Subregulation</w:t>
      </w:r>
      <w:proofErr w:type="spellEnd"/>
      <w:r w:rsidR="00E30156" w:rsidRPr="00EF788F">
        <w:t> 1</w:t>
      </w:r>
      <w:r w:rsidR="006A3CDF" w:rsidRPr="00EF788F">
        <w:t>1.29(2)</w:t>
      </w:r>
    </w:p>
    <w:p w14:paraId="0CAA6408" w14:textId="77777777" w:rsidR="006A3CDF" w:rsidRPr="00EF788F" w:rsidRDefault="006A3CDF" w:rsidP="006A3CDF">
      <w:pPr>
        <w:pStyle w:val="Item"/>
      </w:pPr>
      <w:r w:rsidRPr="00EF788F">
        <w:t>Omit “</w:t>
      </w:r>
      <w:proofErr w:type="spellStart"/>
      <w:r w:rsidRPr="00EF788F">
        <w:t>subregulation</w:t>
      </w:r>
      <w:proofErr w:type="spellEnd"/>
      <w:r w:rsidRPr="00EF788F">
        <w:t> (3)”, substitute “</w:t>
      </w:r>
      <w:proofErr w:type="spellStart"/>
      <w:r w:rsidRPr="00EF788F">
        <w:t>subregulations</w:t>
      </w:r>
      <w:proofErr w:type="spellEnd"/>
      <w:r w:rsidRPr="00EF788F">
        <w:t> (3) and (</w:t>
      </w:r>
      <w:r w:rsidR="00A24359" w:rsidRPr="00EF788F">
        <w:t>4A</w:t>
      </w:r>
      <w:r w:rsidRPr="00EF788F">
        <w:t>)”.</w:t>
      </w:r>
    </w:p>
    <w:p w14:paraId="7FCC40D2" w14:textId="77777777" w:rsidR="006A3CDF" w:rsidRPr="00EF788F" w:rsidRDefault="002D62DD" w:rsidP="00FC29B4">
      <w:pPr>
        <w:pStyle w:val="ItemHead"/>
      </w:pPr>
      <w:bookmarkStart w:id="50" w:name="_Hlk85124137"/>
      <w:r w:rsidRPr="00EF788F">
        <w:t>66</w:t>
      </w:r>
      <w:r w:rsidR="006A3CDF" w:rsidRPr="00EF788F">
        <w:t xml:space="preserve">  </w:t>
      </w:r>
      <w:proofErr w:type="spellStart"/>
      <w:r w:rsidR="00E30156" w:rsidRPr="00EF788F">
        <w:t>Subregulation</w:t>
      </w:r>
      <w:proofErr w:type="spellEnd"/>
      <w:r w:rsidR="00E30156" w:rsidRPr="00EF788F">
        <w:t> 1</w:t>
      </w:r>
      <w:r w:rsidR="00FC29B4" w:rsidRPr="00EF788F">
        <w:t>1.29(3)</w:t>
      </w:r>
    </w:p>
    <w:p w14:paraId="59DFC826" w14:textId="77777777" w:rsidR="00FC29B4" w:rsidRPr="00EF788F" w:rsidRDefault="00FC29B4" w:rsidP="00FC29B4">
      <w:pPr>
        <w:pStyle w:val="Item"/>
      </w:pPr>
      <w:r w:rsidRPr="00EF788F">
        <w:t xml:space="preserve">Repeal the </w:t>
      </w:r>
      <w:proofErr w:type="spellStart"/>
      <w:r w:rsidRPr="00EF788F">
        <w:t>subregulation</w:t>
      </w:r>
      <w:proofErr w:type="spellEnd"/>
      <w:r w:rsidRPr="00EF788F">
        <w:t>, substitute:</w:t>
      </w:r>
    </w:p>
    <w:p w14:paraId="790E506A" w14:textId="77777777" w:rsidR="00C7249F" w:rsidRPr="00EF788F" w:rsidRDefault="00FC29B4" w:rsidP="00FC29B4">
      <w:pPr>
        <w:pStyle w:val="subsection"/>
      </w:pPr>
      <w:r w:rsidRPr="00EF788F">
        <w:tab/>
        <w:t>(3)</w:t>
      </w:r>
      <w:r w:rsidRPr="00EF788F">
        <w:tab/>
        <w:t>The amendment does not apply in relation to the pre</w:t>
      </w:r>
      <w:r w:rsidR="00EF788F">
        <w:noBreakHyphen/>
      </w:r>
      <w:r w:rsidRPr="00EF788F">
        <w:t xml:space="preserve">commencement entry before the day mentioned in </w:t>
      </w:r>
      <w:proofErr w:type="spellStart"/>
      <w:r w:rsidRPr="00EF788F">
        <w:t>subregulation</w:t>
      </w:r>
      <w:proofErr w:type="spellEnd"/>
      <w:r w:rsidRPr="00EF788F">
        <w:t> (4) if</w:t>
      </w:r>
      <w:r w:rsidR="00C7249F" w:rsidRPr="00EF788F">
        <w:t>:</w:t>
      </w:r>
    </w:p>
    <w:p w14:paraId="352FE0F4" w14:textId="77777777" w:rsidR="00FC29B4" w:rsidRPr="00EF788F" w:rsidRDefault="00C7249F" w:rsidP="00C7249F">
      <w:pPr>
        <w:pStyle w:val="paragraph"/>
      </w:pPr>
      <w:r w:rsidRPr="00EF788F">
        <w:tab/>
        <w:t>(a)</w:t>
      </w:r>
      <w:r w:rsidRPr="00EF788F">
        <w:tab/>
      </w:r>
      <w:r w:rsidR="00FC29B4" w:rsidRPr="00EF788F">
        <w:t>the person applies under the Act:</w:t>
      </w:r>
    </w:p>
    <w:p w14:paraId="08D5C098" w14:textId="77777777" w:rsidR="00003369" w:rsidRPr="00EF788F" w:rsidRDefault="00003369" w:rsidP="00EF788F">
      <w:pPr>
        <w:pStyle w:val="paragraphsub"/>
      </w:pPr>
      <w:r w:rsidRPr="00EF788F">
        <w:tab/>
        <w:t>(</w:t>
      </w:r>
      <w:proofErr w:type="spellStart"/>
      <w:r w:rsidR="00EF788F" w:rsidRPr="00EF788F">
        <w:t>i</w:t>
      </w:r>
      <w:proofErr w:type="spellEnd"/>
      <w:r w:rsidRPr="00EF788F">
        <w:t>)</w:t>
      </w:r>
      <w:r w:rsidRPr="00EF788F">
        <w:tab/>
        <w:t>on or after the inclusion day for the pre</w:t>
      </w:r>
      <w:r w:rsidR="00EF788F">
        <w:noBreakHyphen/>
      </w:r>
      <w:r w:rsidRPr="00EF788F">
        <w:t>commencement entry; and</w:t>
      </w:r>
    </w:p>
    <w:p w14:paraId="0B4A336E" w14:textId="77777777" w:rsidR="00003369" w:rsidRPr="00EF788F" w:rsidRDefault="00003369" w:rsidP="00EF788F">
      <w:pPr>
        <w:pStyle w:val="paragraphsub"/>
      </w:pPr>
      <w:r w:rsidRPr="00EF788F">
        <w:tab/>
        <w:t>(</w:t>
      </w:r>
      <w:r w:rsidR="00EF788F" w:rsidRPr="00EF788F">
        <w:t>ii</w:t>
      </w:r>
      <w:r w:rsidRPr="00EF788F">
        <w:t>)</w:t>
      </w:r>
      <w:r w:rsidRPr="00EF788F">
        <w:tab/>
        <w:t xml:space="preserve">on or after </w:t>
      </w:r>
      <w:r w:rsidR="00394357" w:rsidRPr="00EF788F">
        <w:t xml:space="preserve">the commencement of </w:t>
      </w:r>
      <w:r w:rsidR="00E30156" w:rsidRPr="00EF788F">
        <w:t>Part 1</w:t>
      </w:r>
      <w:r w:rsidR="004942EB" w:rsidRPr="00EF788F">
        <w:t xml:space="preserve">1 of </w:t>
      </w:r>
      <w:r w:rsidR="00E30156" w:rsidRPr="00EF788F">
        <w:t>Schedule 1</w:t>
      </w:r>
      <w:r w:rsidR="004942EB" w:rsidRPr="00EF788F">
        <w:t xml:space="preserve"> to the </w:t>
      </w:r>
      <w:r w:rsidR="004942EB" w:rsidRPr="00EF788F">
        <w:rPr>
          <w:i/>
        </w:rPr>
        <w:t xml:space="preserve">Therapeutic Goods Legislation Amendment (2021 Measures No. 3) </w:t>
      </w:r>
      <w:r w:rsidR="00EF1DEF" w:rsidRPr="00EF788F">
        <w:rPr>
          <w:i/>
        </w:rPr>
        <w:t>Regulations 2</w:t>
      </w:r>
      <w:r w:rsidR="004942EB" w:rsidRPr="00EF788F">
        <w:rPr>
          <w:i/>
        </w:rPr>
        <w:t>021</w:t>
      </w:r>
      <w:r w:rsidRPr="00EF788F">
        <w:t>; and</w:t>
      </w:r>
    </w:p>
    <w:p w14:paraId="38A3BCE2" w14:textId="77777777" w:rsidR="00003369" w:rsidRPr="00EF788F" w:rsidRDefault="00003369" w:rsidP="00EF788F">
      <w:pPr>
        <w:pStyle w:val="paragraphsub"/>
      </w:pPr>
      <w:r w:rsidRPr="00EF788F">
        <w:tab/>
        <w:t>(</w:t>
      </w:r>
      <w:r w:rsidR="00EF788F" w:rsidRPr="00EF788F">
        <w:t>iii</w:t>
      </w:r>
      <w:r w:rsidRPr="00EF788F">
        <w:t>)</w:t>
      </w:r>
      <w:r w:rsidRPr="00EF788F">
        <w:tab/>
        <w:t xml:space="preserve">before </w:t>
      </w:r>
      <w:r w:rsidR="00E30156" w:rsidRPr="00EF788F">
        <w:t>1 December</w:t>
      </w:r>
      <w:r w:rsidRPr="00EF788F">
        <w:t xml:space="preserve"> 2021;</w:t>
      </w:r>
    </w:p>
    <w:p w14:paraId="7C91ED3C" w14:textId="77777777" w:rsidR="00EF788F" w:rsidRPr="00EF788F" w:rsidRDefault="00EF788F" w:rsidP="00EF788F">
      <w:pPr>
        <w:pStyle w:val="paragraph"/>
      </w:pPr>
      <w:r w:rsidRPr="00EF788F">
        <w:tab/>
      </w:r>
      <w:r w:rsidRPr="00EF788F">
        <w:tab/>
      </w:r>
      <w:r w:rsidR="00003369" w:rsidRPr="00EF788F">
        <w:t>to have a kind of medical device included in the Register</w:t>
      </w:r>
      <w:r w:rsidRPr="00EF788F">
        <w:t>; and</w:t>
      </w:r>
    </w:p>
    <w:p w14:paraId="05470D6A" w14:textId="77777777" w:rsidR="00003369" w:rsidRPr="00EF788F" w:rsidRDefault="00EF788F" w:rsidP="00EF788F">
      <w:pPr>
        <w:pStyle w:val="paragraph"/>
      </w:pPr>
      <w:r w:rsidRPr="00EF788F">
        <w:tab/>
        <w:t>(b)</w:t>
      </w:r>
      <w:r w:rsidRPr="00EF788F">
        <w:tab/>
      </w:r>
      <w:r w:rsidR="00003369" w:rsidRPr="00EF788F">
        <w:t xml:space="preserve">that </w:t>
      </w:r>
      <w:r w:rsidRPr="00EF788F">
        <w:t xml:space="preserve">kind of medical device </w:t>
      </w:r>
      <w:r w:rsidR="00003369" w:rsidRPr="00EF788F">
        <w:t xml:space="preserve">is surgical mesh (other than </w:t>
      </w:r>
      <w:proofErr w:type="spellStart"/>
      <w:r w:rsidR="00003369" w:rsidRPr="00EF788F">
        <w:t>urogynaecological</w:t>
      </w:r>
      <w:proofErr w:type="spellEnd"/>
      <w:r w:rsidR="00003369" w:rsidRPr="00EF788F">
        <w:t xml:space="preserve"> mesh).</w:t>
      </w:r>
    </w:p>
    <w:p w14:paraId="11DA3D4E" w14:textId="77777777" w:rsidR="006A3CDF" w:rsidRPr="00EF788F" w:rsidRDefault="002D62DD" w:rsidP="00292758">
      <w:pPr>
        <w:pStyle w:val="ItemHead"/>
      </w:pPr>
      <w:bookmarkStart w:id="51" w:name="_Hlk83041968"/>
      <w:bookmarkEnd w:id="50"/>
      <w:r w:rsidRPr="00EF788F">
        <w:t>67</w:t>
      </w:r>
      <w:r w:rsidR="006A3CDF" w:rsidRPr="00EF788F">
        <w:t xml:space="preserve">  </w:t>
      </w:r>
      <w:r w:rsidR="00A24359" w:rsidRPr="00EF788F">
        <w:t xml:space="preserve">After </w:t>
      </w:r>
      <w:proofErr w:type="spellStart"/>
      <w:r w:rsidR="00E30156" w:rsidRPr="00EF788F">
        <w:t>subregulation</w:t>
      </w:r>
      <w:proofErr w:type="spellEnd"/>
      <w:r w:rsidR="00E30156" w:rsidRPr="00EF788F">
        <w:t> 1</w:t>
      </w:r>
      <w:r w:rsidR="00292758" w:rsidRPr="00EF788F">
        <w:t>1.29</w:t>
      </w:r>
      <w:r w:rsidR="00A24359" w:rsidRPr="00EF788F">
        <w:t>(4)</w:t>
      </w:r>
    </w:p>
    <w:p w14:paraId="7C6E89BC" w14:textId="77777777" w:rsidR="00292758" w:rsidRPr="00EF788F" w:rsidRDefault="00A24359" w:rsidP="00292758">
      <w:pPr>
        <w:pStyle w:val="Item"/>
      </w:pPr>
      <w:r w:rsidRPr="00EF788F">
        <w:t>Insert</w:t>
      </w:r>
      <w:r w:rsidR="00292758" w:rsidRPr="00EF788F">
        <w:t>:</w:t>
      </w:r>
    </w:p>
    <w:p w14:paraId="37A6FE8A" w14:textId="77777777" w:rsidR="006A3CDF" w:rsidRPr="00EF788F" w:rsidRDefault="006A3CDF" w:rsidP="006A3CDF">
      <w:pPr>
        <w:pStyle w:val="subsection"/>
      </w:pPr>
      <w:r w:rsidRPr="00EF788F">
        <w:tab/>
        <w:t>(</w:t>
      </w:r>
      <w:r w:rsidR="00A24359" w:rsidRPr="00EF788F">
        <w:t>4A</w:t>
      </w:r>
      <w:r w:rsidRPr="00EF788F">
        <w:t>)</w:t>
      </w:r>
      <w:r w:rsidRPr="00EF788F">
        <w:tab/>
        <w:t xml:space="preserve">The amendment </w:t>
      </w:r>
      <w:r w:rsidR="00292758" w:rsidRPr="00EF788F">
        <w:t xml:space="preserve">referred to in </w:t>
      </w:r>
      <w:proofErr w:type="spellStart"/>
      <w:r w:rsidR="00292758" w:rsidRPr="00EF788F">
        <w:t>subregulation</w:t>
      </w:r>
      <w:proofErr w:type="spellEnd"/>
      <w:r w:rsidR="00292758" w:rsidRPr="00EF788F">
        <w:t xml:space="preserve"> (2) </w:t>
      </w:r>
      <w:r w:rsidRPr="00EF788F">
        <w:t>does not apply in relation to the pre</w:t>
      </w:r>
      <w:r w:rsidR="00EF788F">
        <w:noBreakHyphen/>
      </w:r>
      <w:r w:rsidRPr="00EF788F">
        <w:t xml:space="preserve">commencement entry before the day </w:t>
      </w:r>
      <w:r w:rsidR="00360220" w:rsidRPr="00EF788F">
        <w:t>applicable under</w:t>
      </w:r>
      <w:r w:rsidRPr="00EF788F">
        <w:t xml:space="preserve"> </w:t>
      </w:r>
      <w:proofErr w:type="spellStart"/>
      <w:r w:rsidRPr="00EF788F">
        <w:t>subregulation</w:t>
      </w:r>
      <w:proofErr w:type="spellEnd"/>
      <w:r w:rsidRPr="00EF788F">
        <w:t> (</w:t>
      </w:r>
      <w:r w:rsidR="00A24359" w:rsidRPr="00EF788F">
        <w:t>4B</w:t>
      </w:r>
      <w:r w:rsidRPr="00EF788F">
        <w:t>) if:</w:t>
      </w:r>
    </w:p>
    <w:p w14:paraId="1C7FB6BF" w14:textId="77777777" w:rsidR="006A3CDF" w:rsidRPr="00EF788F" w:rsidRDefault="006A3CDF" w:rsidP="006A3CDF">
      <w:pPr>
        <w:pStyle w:val="paragraph"/>
      </w:pPr>
      <w:r w:rsidRPr="00EF788F">
        <w:tab/>
        <w:t>(a)</w:t>
      </w:r>
      <w:r w:rsidRPr="00EF788F">
        <w:tab/>
        <w:t xml:space="preserve">the kind of medical device covered by that entry </w:t>
      </w:r>
      <w:r w:rsidR="00F53496" w:rsidRPr="00EF788F">
        <w:t xml:space="preserve">is surgical mesh (other than </w:t>
      </w:r>
      <w:proofErr w:type="spellStart"/>
      <w:r w:rsidR="00F53496" w:rsidRPr="00EF788F">
        <w:t>urogynaecological</w:t>
      </w:r>
      <w:proofErr w:type="spellEnd"/>
      <w:r w:rsidR="00F53496" w:rsidRPr="00EF788F">
        <w:t xml:space="preserve"> mesh)</w:t>
      </w:r>
      <w:r w:rsidRPr="00EF788F">
        <w:t>; and</w:t>
      </w:r>
    </w:p>
    <w:p w14:paraId="6A928338" w14:textId="77777777" w:rsidR="006A3CDF" w:rsidRPr="00EF788F" w:rsidRDefault="006A3CDF" w:rsidP="006A3CDF">
      <w:pPr>
        <w:pStyle w:val="paragraph"/>
      </w:pPr>
      <w:r w:rsidRPr="00EF788F">
        <w:tab/>
        <w:t>(b)</w:t>
      </w:r>
      <w:r w:rsidRPr="00EF788F">
        <w:tab/>
        <w:t xml:space="preserve">the person </w:t>
      </w:r>
      <w:r w:rsidR="00DA4403" w:rsidRPr="00EF788F">
        <w:t>has not made</w:t>
      </w:r>
      <w:r w:rsidRPr="00EF788F">
        <w:t xml:space="preserve"> an application of the kind covered by </w:t>
      </w:r>
      <w:proofErr w:type="spellStart"/>
      <w:r w:rsidR="00003369" w:rsidRPr="00EF788F">
        <w:t>subregulation</w:t>
      </w:r>
      <w:proofErr w:type="spellEnd"/>
      <w:r w:rsidR="00003369" w:rsidRPr="00EF788F">
        <w:t xml:space="preserve"> </w:t>
      </w:r>
      <w:r w:rsidRPr="00EF788F">
        <w:t xml:space="preserve">(3) </w:t>
      </w:r>
      <w:r w:rsidR="0005181A" w:rsidRPr="00EF788F">
        <w:t xml:space="preserve">(as in force before or after the commencement of this </w:t>
      </w:r>
      <w:proofErr w:type="spellStart"/>
      <w:r w:rsidR="0005181A" w:rsidRPr="00EF788F">
        <w:t>subregulation</w:t>
      </w:r>
      <w:proofErr w:type="spellEnd"/>
      <w:r w:rsidR="0005181A" w:rsidRPr="00EF788F">
        <w:t xml:space="preserve">) </w:t>
      </w:r>
      <w:r w:rsidRPr="00EF788F">
        <w:t xml:space="preserve">before </w:t>
      </w:r>
      <w:r w:rsidR="00E30156" w:rsidRPr="00EF788F">
        <w:t>1 December</w:t>
      </w:r>
      <w:r w:rsidRPr="00EF788F">
        <w:t xml:space="preserve"> 2021; and</w:t>
      </w:r>
    </w:p>
    <w:p w14:paraId="11C0E046" w14:textId="77777777" w:rsidR="006A3CDF" w:rsidRPr="00EF788F" w:rsidRDefault="006A3CDF" w:rsidP="006A3CDF">
      <w:pPr>
        <w:pStyle w:val="paragraph"/>
      </w:pPr>
      <w:r w:rsidRPr="00EF788F">
        <w:tab/>
        <w:t>(c)</w:t>
      </w:r>
      <w:r w:rsidRPr="00EF788F">
        <w:tab/>
        <w:t xml:space="preserve">on or after </w:t>
      </w:r>
      <w:r w:rsidR="00E30156" w:rsidRPr="00EF788F">
        <w:t>1 July</w:t>
      </w:r>
      <w:r w:rsidR="00CD5603" w:rsidRPr="00EF788F">
        <w:t xml:space="preserve"> 2020</w:t>
      </w:r>
      <w:r w:rsidR="00292758" w:rsidRPr="00EF788F">
        <w:t xml:space="preserve"> </w:t>
      </w:r>
      <w:r w:rsidRPr="00EF788F">
        <w:t xml:space="preserve">and before </w:t>
      </w:r>
      <w:r w:rsidR="00E30156" w:rsidRPr="00EF788F">
        <w:t>1 December</w:t>
      </w:r>
      <w:r w:rsidRPr="00EF788F">
        <w:t xml:space="preserve"> 2021, the person made an application under section 41EB of the Act for a conformity assessment certificate in respect of </w:t>
      </w:r>
      <w:r w:rsidR="00292758" w:rsidRPr="00EF788F">
        <w:t>a kind of medical device</w:t>
      </w:r>
      <w:r w:rsidR="00003369" w:rsidRPr="00EF788F">
        <w:t xml:space="preserve"> that is surgical mesh (other than </w:t>
      </w:r>
      <w:proofErr w:type="spellStart"/>
      <w:r w:rsidR="00003369" w:rsidRPr="00EF788F">
        <w:t>urogynaecological</w:t>
      </w:r>
      <w:proofErr w:type="spellEnd"/>
      <w:r w:rsidR="00003369" w:rsidRPr="00EF788F">
        <w:t xml:space="preserve"> mesh)</w:t>
      </w:r>
      <w:r w:rsidR="00292758" w:rsidRPr="00EF788F">
        <w:t>; and</w:t>
      </w:r>
    </w:p>
    <w:p w14:paraId="2F68AA9B" w14:textId="77777777" w:rsidR="00AC642B" w:rsidRPr="00EF788F" w:rsidRDefault="00AC642B" w:rsidP="006A3CDF">
      <w:pPr>
        <w:pStyle w:val="paragraph"/>
      </w:pPr>
      <w:r w:rsidRPr="00EF788F">
        <w:lastRenderedPageBreak/>
        <w:tab/>
        <w:t>(d)</w:t>
      </w:r>
      <w:r w:rsidRPr="00EF788F">
        <w:tab/>
        <w:t xml:space="preserve">the person has not withdrawn that application before </w:t>
      </w:r>
      <w:r w:rsidR="00E30156" w:rsidRPr="00EF788F">
        <w:t>1 December</w:t>
      </w:r>
      <w:r w:rsidRPr="00EF788F">
        <w:t xml:space="preserve"> 2021; and</w:t>
      </w:r>
    </w:p>
    <w:p w14:paraId="5D65D998" w14:textId="77777777" w:rsidR="00AC642B" w:rsidRPr="00EF788F" w:rsidRDefault="00AC642B" w:rsidP="006A3CDF">
      <w:pPr>
        <w:pStyle w:val="paragraph"/>
      </w:pPr>
      <w:r w:rsidRPr="00EF788F">
        <w:tab/>
        <w:t>(e)</w:t>
      </w:r>
      <w:r w:rsidRPr="00EF788F">
        <w:tab/>
        <w:t xml:space="preserve">that application has not lapsed under section 41EG of the Act before </w:t>
      </w:r>
      <w:r w:rsidR="00E30156" w:rsidRPr="00EF788F">
        <w:t>1 December</w:t>
      </w:r>
      <w:r w:rsidRPr="00EF788F">
        <w:t xml:space="preserve"> 2021; and</w:t>
      </w:r>
    </w:p>
    <w:p w14:paraId="27597B88" w14:textId="77777777" w:rsidR="00D13784" w:rsidRPr="00EF788F" w:rsidRDefault="00D13784" w:rsidP="006A3CDF">
      <w:pPr>
        <w:pStyle w:val="paragraph"/>
      </w:pPr>
      <w:r w:rsidRPr="00EF788F">
        <w:tab/>
        <w:t>(f)</w:t>
      </w:r>
      <w:r w:rsidRPr="00EF788F">
        <w:tab/>
        <w:t xml:space="preserve">if the conformity assessment certificate was issued before </w:t>
      </w:r>
      <w:r w:rsidR="00E30156" w:rsidRPr="00EF788F">
        <w:t>1 December</w:t>
      </w:r>
      <w:r w:rsidRPr="00EF788F">
        <w:t xml:space="preserve"> 2021—the period of 6 months beginning on the day of the issue of the certificate has not ended before </w:t>
      </w:r>
      <w:r w:rsidR="00E30156" w:rsidRPr="00EF788F">
        <w:t>1 December</w:t>
      </w:r>
      <w:r w:rsidRPr="00EF788F">
        <w:t xml:space="preserve"> 2021</w:t>
      </w:r>
      <w:r w:rsidR="00003369" w:rsidRPr="00EF788F">
        <w:t>.</w:t>
      </w:r>
    </w:p>
    <w:p w14:paraId="2EE4C5AE" w14:textId="77777777" w:rsidR="00292758" w:rsidRPr="00EF788F" w:rsidRDefault="00292758" w:rsidP="00292758">
      <w:pPr>
        <w:pStyle w:val="subsection"/>
      </w:pPr>
      <w:r w:rsidRPr="00EF788F">
        <w:tab/>
        <w:t>(</w:t>
      </w:r>
      <w:r w:rsidR="00A24359" w:rsidRPr="00EF788F">
        <w:t>4B</w:t>
      </w:r>
      <w:r w:rsidRPr="00EF788F">
        <w:t>)</w:t>
      </w:r>
      <w:r w:rsidRPr="00EF788F">
        <w:tab/>
        <w:t xml:space="preserve">For the purposes of </w:t>
      </w:r>
      <w:proofErr w:type="spellStart"/>
      <w:r w:rsidRPr="00EF788F">
        <w:t>subregulation</w:t>
      </w:r>
      <w:proofErr w:type="spellEnd"/>
      <w:r w:rsidRPr="00EF788F">
        <w:t> (</w:t>
      </w:r>
      <w:r w:rsidR="00A24359" w:rsidRPr="00EF788F">
        <w:t>4A</w:t>
      </w:r>
      <w:r w:rsidRPr="00EF788F">
        <w:t xml:space="preserve">), the day </w:t>
      </w:r>
      <w:r w:rsidR="00066049" w:rsidRPr="00EF788F">
        <w:t xml:space="preserve">applicable under this </w:t>
      </w:r>
      <w:proofErr w:type="spellStart"/>
      <w:r w:rsidR="00066049" w:rsidRPr="00EF788F">
        <w:t>subregulation</w:t>
      </w:r>
      <w:proofErr w:type="spellEnd"/>
      <w:r w:rsidR="00066049" w:rsidRPr="00EF788F">
        <w:t xml:space="preserve"> </w:t>
      </w:r>
      <w:r w:rsidRPr="00EF788F">
        <w:t xml:space="preserve">is </w:t>
      </w:r>
      <w:r w:rsidR="00066049" w:rsidRPr="00EF788F">
        <w:t xml:space="preserve">the later of </w:t>
      </w:r>
      <w:r w:rsidR="00E30156" w:rsidRPr="00EF788F">
        <w:t>1 December</w:t>
      </w:r>
      <w:r w:rsidR="00066049" w:rsidRPr="00EF788F">
        <w:t xml:space="preserve"> 2021 and </w:t>
      </w:r>
      <w:r w:rsidRPr="00EF788F">
        <w:t xml:space="preserve">the day after the </w:t>
      </w:r>
      <w:r w:rsidR="00CE4D3E" w:rsidRPr="00EF788F">
        <w:t xml:space="preserve">earliest of the following </w:t>
      </w:r>
      <w:r w:rsidRPr="00EF788F">
        <w:t>day</w:t>
      </w:r>
      <w:r w:rsidR="00CE4D3E" w:rsidRPr="00EF788F">
        <w:t>s</w:t>
      </w:r>
      <w:r w:rsidRPr="00EF788F">
        <w:t>:</w:t>
      </w:r>
    </w:p>
    <w:p w14:paraId="198083AC" w14:textId="77777777" w:rsidR="00292758" w:rsidRPr="00EF788F" w:rsidRDefault="00CE4D3E" w:rsidP="00CE4D3E">
      <w:pPr>
        <w:pStyle w:val="paragraph"/>
      </w:pPr>
      <w:r w:rsidRPr="00EF788F">
        <w:tab/>
        <w:t>(a)</w:t>
      </w:r>
      <w:r w:rsidRPr="00EF788F">
        <w:tab/>
        <w:t xml:space="preserve">the day the person withdraws the application mentioned in </w:t>
      </w:r>
      <w:r w:rsidR="00E30156" w:rsidRPr="00EF788F">
        <w:t>paragraph (</w:t>
      </w:r>
      <w:r w:rsidR="00A24359" w:rsidRPr="00EF788F">
        <w:t>4A)</w:t>
      </w:r>
      <w:r w:rsidRPr="00EF788F">
        <w:t>(</w:t>
      </w:r>
      <w:r w:rsidR="00A24359" w:rsidRPr="00EF788F">
        <w:t>c</w:t>
      </w:r>
      <w:r w:rsidRPr="00EF788F">
        <w:t>);</w:t>
      </w:r>
    </w:p>
    <w:p w14:paraId="724820B1" w14:textId="77777777" w:rsidR="00CE4D3E" w:rsidRPr="00EF788F" w:rsidRDefault="00CE4D3E" w:rsidP="00CE4D3E">
      <w:pPr>
        <w:pStyle w:val="paragraph"/>
      </w:pPr>
      <w:r w:rsidRPr="00EF788F">
        <w:tab/>
        <w:t>(b)</w:t>
      </w:r>
      <w:r w:rsidRPr="00EF788F">
        <w:tab/>
        <w:t>the day th</w:t>
      </w:r>
      <w:r w:rsidR="00A24359" w:rsidRPr="00EF788F">
        <w:t>at</w:t>
      </w:r>
      <w:r w:rsidRPr="00EF788F">
        <w:t xml:space="preserve"> application lapses under section 41EG of the Act;</w:t>
      </w:r>
    </w:p>
    <w:p w14:paraId="541B23E1" w14:textId="77777777" w:rsidR="00CE4D3E" w:rsidRPr="00EF788F" w:rsidRDefault="00CE4D3E" w:rsidP="00CE4D3E">
      <w:pPr>
        <w:pStyle w:val="paragraph"/>
      </w:pPr>
      <w:r w:rsidRPr="00EF788F">
        <w:tab/>
        <w:t>(c)</w:t>
      </w:r>
      <w:r w:rsidRPr="00EF788F">
        <w:tab/>
        <w:t>i</w:t>
      </w:r>
      <w:r w:rsidR="00300BB0" w:rsidRPr="00EF788F">
        <w:t>n the case of a decision to</w:t>
      </w:r>
      <w:r w:rsidRPr="00EF788F">
        <w:t xml:space="preserve"> refuse to issue the conformity assessment certificate and </w:t>
      </w:r>
      <w:r w:rsidR="00A84BB9" w:rsidRPr="00EF788F">
        <w:t xml:space="preserve">where </w:t>
      </w:r>
      <w:r w:rsidRPr="00EF788F">
        <w:t>there is no longer any possibility of a change in the outcome of that decision—the first day on which there is no longer that possibility;</w:t>
      </w:r>
    </w:p>
    <w:p w14:paraId="303C5910" w14:textId="77777777" w:rsidR="00300BB0" w:rsidRPr="00EF788F" w:rsidRDefault="00CE4D3E" w:rsidP="00CE4D3E">
      <w:pPr>
        <w:pStyle w:val="paragraph"/>
      </w:pPr>
      <w:r w:rsidRPr="00EF788F">
        <w:tab/>
        <w:t>(d)</w:t>
      </w:r>
      <w:r w:rsidRPr="00EF788F">
        <w:tab/>
      </w:r>
      <w:r w:rsidR="00300BB0" w:rsidRPr="00EF788F">
        <w:t xml:space="preserve">if the conformity assessment certificate </w:t>
      </w:r>
      <w:r w:rsidR="00823C5A" w:rsidRPr="00EF788F">
        <w:t>was</w:t>
      </w:r>
      <w:r w:rsidR="00E9655A" w:rsidRPr="00EF788F">
        <w:t xml:space="preserve"> issued</w:t>
      </w:r>
      <w:r w:rsidR="00300BB0" w:rsidRPr="00EF788F">
        <w:t>:</w:t>
      </w:r>
    </w:p>
    <w:p w14:paraId="16318AFD" w14:textId="77777777" w:rsidR="00CE4D3E" w:rsidRPr="00EF788F" w:rsidRDefault="00300BB0" w:rsidP="00300BB0">
      <w:pPr>
        <w:pStyle w:val="paragraphsub"/>
      </w:pPr>
      <w:r w:rsidRPr="00EF788F">
        <w:tab/>
        <w:t>(</w:t>
      </w:r>
      <w:proofErr w:type="spellStart"/>
      <w:r w:rsidRPr="00EF788F">
        <w:t>i</w:t>
      </w:r>
      <w:proofErr w:type="spellEnd"/>
      <w:r w:rsidRPr="00EF788F">
        <w:t>)</w:t>
      </w:r>
      <w:r w:rsidRPr="00EF788F">
        <w:tab/>
        <w:t xml:space="preserve">if, at the end of the period of 6 months beginning on the </w:t>
      </w:r>
      <w:r w:rsidR="00E9655A" w:rsidRPr="00EF788F">
        <w:t>day o</w:t>
      </w:r>
      <w:r w:rsidR="00823C5A" w:rsidRPr="00EF788F">
        <w:t>f the issue of the certificate</w:t>
      </w:r>
      <w:r w:rsidRPr="00EF788F">
        <w:t xml:space="preserve">, the person has not made an application under the Act to have the kind of medical device referred to in </w:t>
      </w:r>
      <w:r w:rsidR="00E30156" w:rsidRPr="00EF788F">
        <w:t>paragraph (</w:t>
      </w:r>
      <w:r w:rsidR="00A24359" w:rsidRPr="00EF788F">
        <w:t>4A</w:t>
      </w:r>
      <w:r w:rsidRPr="00EF788F">
        <w:t>)(c) included in the Register—the last day of that 6</w:t>
      </w:r>
      <w:r w:rsidR="00EF788F">
        <w:noBreakHyphen/>
      </w:r>
      <w:r w:rsidRPr="00EF788F">
        <w:t>month period; or</w:t>
      </w:r>
    </w:p>
    <w:p w14:paraId="05ADCD07" w14:textId="77777777" w:rsidR="00300BB0" w:rsidRPr="00EF788F" w:rsidRDefault="00300BB0" w:rsidP="00300BB0">
      <w:pPr>
        <w:pStyle w:val="paragraphsub"/>
      </w:pPr>
      <w:r w:rsidRPr="00EF788F">
        <w:tab/>
        <w:t>(ii)</w:t>
      </w:r>
      <w:r w:rsidRPr="00EF788F">
        <w:tab/>
        <w:t xml:space="preserve">if, before the end of the period of 6 months </w:t>
      </w:r>
      <w:r w:rsidR="00D13784" w:rsidRPr="00EF788F">
        <w:t>beginning on the day of the issue of the certificate</w:t>
      </w:r>
      <w:r w:rsidRPr="00EF788F">
        <w:t xml:space="preserve">, the person has made an application under the Act to have the kind of medical device referred to in </w:t>
      </w:r>
      <w:r w:rsidR="00E30156" w:rsidRPr="00EF788F">
        <w:t>paragraph (</w:t>
      </w:r>
      <w:r w:rsidR="00A24359" w:rsidRPr="00EF788F">
        <w:t>4A)</w:t>
      </w:r>
      <w:r w:rsidRPr="00EF788F">
        <w:t>(c) included in the Register—</w:t>
      </w:r>
      <w:r w:rsidR="00A24359" w:rsidRPr="00EF788F">
        <w:t xml:space="preserve">the </w:t>
      </w:r>
      <w:r w:rsidR="00066049" w:rsidRPr="00EF788F">
        <w:t>relevant</w:t>
      </w:r>
      <w:r w:rsidR="00A24359" w:rsidRPr="00EF788F">
        <w:t xml:space="preserve"> day under </w:t>
      </w:r>
      <w:proofErr w:type="spellStart"/>
      <w:r w:rsidR="00A24359" w:rsidRPr="00EF788F">
        <w:t>subregulation</w:t>
      </w:r>
      <w:proofErr w:type="spellEnd"/>
      <w:r w:rsidR="00A24359" w:rsidRPr="00EF788F">
        <w:t xml:space="preserve"> (4C).</w:t>
      </w:r>
    </w:p>
    <w:p w14:paraId="779F3319" w14:textId="77777777" w:rsidR="00A24359" w:rsidRPr="00EF788F" w:rsidRDefault="00A24359" w:rsidP="00A24359">
      <w:pPr>
        <w:pStyle w:val="subsection"/>
      </w:pPr>
      <w:r w:rsidRPr="00EF788F">
        <w:tab/>
        <w:t>(4C)</w:t>
      </w:r>
      <w:r w:rsidRPr="00EF788F">
        <w:tab/>
        <w:t xml:space="preserve">For the purposes of </w:t>
      </w:r>
      <w:r w:rsidR="00E30156" w:rsidRPr="00EF788F">
        <w:t>subparagraph (</w:t>
      </w:r>
      <w:r w:rsidRPr="00EF788F">
        <w:t xml:space="preserve">4B)(d)(ii), the </w:t>
      </w:r>
      <w:r w:rsidR="00066049" w:rsidRPr="00EF788F">
        <w:rPr>
          <w:b/>
          <w:i/>
        </w:rPr>
        <w:t>relevant</w:t>
      </w:r>
      <w:r w:rsidRPr="00EF788F">
        <w:rPr>
          <w:b/>
          <w:i/>
        </w:rPr>
        <w:t xml:space="preserve"> day</w:t>
      </w:r>
      <w:r w:rsidRPr="00EF788F">
        <w:t xml:space="preserve"> is:</w:t>
      </w:r>
    </w:p>
    <w:p w14:paraId="317830B5" w14:textId="77777777" w:rsidR="00A24359" w:rsidRPr="00EF788F" w:rsidRDefault="00A24359" w:rsidP="00A24359">
      <w:pPr>
        <w:pStyle w:val="paragraph"/>
      </w:pPr>
      <w:r w:rsidRPr="00EF788F">
        <w:tab/>
        <w:t>(a)</w:t>
      </w:r>
      <w:r w:rsidRPr="00EF788F">
        <w:tab/>
        <w:t xml:space="preserve">the day the person withdraws the application mentioned in </w:t>
      </w:r>
      <w:r w:rsidR="00ED37D3" w:rsidRPr="00EF788F">
        <w:t xml:space="preserve">that </w:t>
      </w:r>
      <w:r w:rsidRPr="00EF788F">
        <w:t>subparagraph; or</w:t>
      </w:r>
    </w:p>
    <w:p w14:paraId="6AF15583" w14:textId="77777777" w:rsidR="00A24359" w:rsidRPr="00EF788F" w:rsidRDefault="00A24359" w:rsidP="00A24359">
      <w:pPr>
        <w:pStyle w:val="paragraph"/>
      </w:pPr>
      <w:r w:rsidRPr="00EF788F">
        <w:tab/>
        <w:t>(b)</w:t>
      </w:r>
      <w:r w:rsidRPr="00EF788F">
        <w:tab/>
        <w:t>the day that application lapses under section 41FK of the Act; or</w:t>
      </w:r>
    </w:p>
    <w:p w14:paraId="476A608D" w14:textId="77777777" w:rsidR="00A24359" w:rsidRPr="00EF788F" w:rsidRDefault="00A24359" w:rsidP="00A24359">
      <w:pPr>
        <w:pStyle w:val="paragraph"/>
      </w:pPr>
      <w:r w:rsidRPr="00EF788F">
        <w:tab/>
        <w:t>(c)</w:t>
      </w:r>
      <w:r w:rsidRPr="00EF788F">
        <w:tab/>
        <w:t>the day on which that application is finally determined;</w:t>
      </w:r>
    </w:p>
    <w:p w14:paraId="5706D2AB" w14:textId="77777777" w:rsidR="00A24359" w:rsidRPr="00EF788F" w:rsidRDefault="00A24359" w:rsidP="00A24359">
      <w:pPr>
        <w:pStyle w:val="subsection2"/>
      </w:pPr>
      <w:r w:rsidRPr="00EF788F">
        <w:t>whichever occurs first.</w:t>
      </w:r>
    </w:p>
    <w:bookmarkEnd w:id="51"/>
    <w:p w14:paraId="3BCCD4F8" w14:textId="77777777" w:rsidR="00A24359" w:rsidRPr="00EF788F" w:rsidRDefault="002D62DD" w:rsidP="00A24359">
      <w:pPr>
        <w:pStyle w:val="ItemHead"/>
      </w:pPr>
      <w:r w:rsidRPr="00EF788F">
        <w:t>68</w:t>
      </w:r>
      <w:r w:rsidR="00A24359" w:rsidRPr="00EF788F">
        <w:t xml:space="preserve">  </w:t>
      </w:r>
      <w:proofErr w:type="spellStart"/>
      <w:r w:rsidR="00E30156" w:rsidRPr="00EF788F">
        <w:t>Subregulation</w:t>
      </w:r>
      <w:proofErr w:type="spellEnd"/>
      <w:r w:rsidR="00E30156" w:rsidRPr="00EF788F">
        <w:t> 1</w:t>
      </w:r>
      <w:r w:rsidR="00A24359" w:rsidRPr="00EF788F">
        <w:t>1.29(5)</w:t>
      </w:r>
    </w:p>
    <w:p w14:paraId="3C1308AF" w14:textId="77777777" w:rsidR="00A24359" w:rsidRPr="00EF788F" w:rsidRDefault="00A24359" w:rsidP="00A24359">
      <w:pPr>
        <w:pStyle w:val="Item"/>
      </w:pPr>
      <w:r w:rsidRPr="00EF788F">
        <w:t>Omit “The”, substitute “For the purposes of this regulation, an”.</w:t>
      </w:r>
    </w:p>
    <w:p w14:paraId="4140EC34" w14:textId="77777777" w:rsidR="00003369" w:rsidRPr="00EF788F" w:rsidRDefault="002D62DD" w:rsidP="00003369">
      <w:pPr>
        <w:pStyle w:val="ItemHead"/>
      </w:pPr>
      <w:r w:rsidRPr="00EF788F">
        <w:t>69</w:t>
      </w:r>
      <w:r w:rsidR="00003369" w:rsidRPr="00EF788F">
        <w:t xml:space="preserve">  </w:t>
      </w:r>
      <w:r w:rsidR="00E30156" w:rsidRPr="00EF788F">
        <w:t>Regulation 1</w:t>
      </w:r>
      <w:r w:rsidR="00003369" w:rsidRPr="00EF788F">
        <w:t>1.30</w:t>
      </w:r>
    </w:p>
    <w:p w14:paraId="72B25D6E" w14:textId="77777777" w:rsidR="00003369" w:rsidRPr="00EF788F" w:rsidRDefault="00003369" w:rsidP="00003369">
      <w:pPr>
        <w:pStyle w:val="Item"/>
      </w:pPr>
      <w:r w:rsidRPr="00EF788F">
        <w:t>Repeal the regulation.</w:t>
      </w:r>
    </w:p>
    <w:p w14:paraId="3FB73D4C" w14:textId="77777777" w:rsidR="009054C7" w:rsidRPr="00EF788F" w:rsidRDefault="009054C7" w:rsidP="009054C7">
      <w:pPr>
        <w:pStyle w:val="ActHead9"/>
      </w:pPr>
      <w:bookmarkStart w:id="52" w:name="_Toc84835177"/>
      <w:r w:rsidRPr="00EF788F">
        <w:t xml:space="preserve">Therapeutic Goods </w:t>
      </w:r>
      <w:r w:rsidR="00E30156" w:rsidRPr="00EF788F">
        <w:t>Regulations 1</w:t>
      </w:r>
      <w:r w:rsidRPr="00EF788F">
        <w:t>990</w:t>
      </w:r>
      <w:bookmarkEnd w:id="52"/>
    </w:p>
    <w:p w14:paraId="73B75BA8" w14:textId="77777777" w:rsidR="009054C7" w:rsidRPr="00EF788F" w:rsidRDefault="002D62DD" w:rsidP="009054C7">
      <w:pPr>
        <w:pStyle w:val="ItemHead"/>
      </w:pPr>
      <w:r w:rsidRPr="00EF788F">
        <w:t>70</w:t>
      </w:r>
      <w:r w:rsidR="009054C7" w:rsidRPr="00EF788F">
        <w:t xml:space="preserve">  After </w:t>
      </w:r>
      <w:r w:rsidR="00E30156" w:rsidRPr="00EF788F">
        <w:t>paragraph 3</w:t>
      </w:r>
      <w:r w:rsidR="009054C7" w:rsidRPr="00EF788F">
        <w:t>(3)(</w:t>
      </w:r>
      <w:proofErr w:type="spellStart"/>
      <w:r w:rsidR="009054C7" w:rsidRPr="00EF788F">
        <w:t>ba</w:t>
      </w:r>
      <w:proofErr w:type="spellEnd"/>
      <w:r w:rsidR="009054C7" w:rsidRPr="00EF788F">
        <w:t>)</w:t>
      </w:r>
    </w:p>
    <w:p w14:paraId="5C442E12" w14:textId="77777777" w:rsidR="009054C7" w:rsidRPr="00EF788F" w:rsidRDefault="009054C7" w:rsidP="009054C7">
      <w:pPr>
        <w:pStyle w:val="Item"/>
      </w:pPr>
      <w:r w:rsidRPr="00EF788F">
        <w:t>Insert:</w:t>
      </w:r>
    </w:p>
    <w:p w14:paraId="3EA85410" w14:textId="77777777" w:rsidR="009054C7" w:rsidRPr="00EF788F" w:rsidRDefault="009054C7" w:rsidP="009054C7">
      <w:pPr>
        <w:pStyle w:val="paragraph"/>
        <w:rPr>
          <w:lang w:eastAsia="en-US"/>
        </w:rPr>
      </w:pPr>
      <w:r w:rsidRPr="00EF788F">
        <w:tab/>
        <w:t>(baa)</w:t>
      </w:r>
      <w:r w:rsidRPr="00EF788F">
        <w:tab/>
        <w:t xml:space="preserve">the </w:t>
      </w:r>
      <w:r w:rsidRPr="00EF788F">
        <w:rPr>
          <w:i/>
          <w:lang w:eastAsia="en-US"/>
        </w:rPr>
        <w:t>Therapeutic Goods Act 2019</w:t>
      </w:r>
      <w:r w:rsidRPr="00EF788F">
        <w:rPr>
          <w:lang w:eastAsia="en-US"/>
        </w:rPr>
        <w:t xml:space="preserve"> (Qld);</w:t>
      </w:r>
    </w:p>
    <w:p w14:paraId="5AADB663" w14:textId="77777777" w:rsidR="009054C7" w:rsidRPr="00EF788F" w:rsidRDefault="009054C7" w:rsidP="009054C7">
      <w:pPr>
        <w:pStyle w:val="paragraph"/>
        <w:rPr>
          <w:lang w:eastAsia="en-US"/>
        </w:rPr>
      </w:pPr>
      <w:r w:rsidRPr="00EF788F">
        <w:tab/>
        <w:t>(</w:t>
      </w:r>
      <w:proofErr w:type="spellStart"/>
      <w:r w:rsidRPr="00EF788F">
        <w:t>bab</w:t>
      </w:r>
      <w:proofErr w:type="spellEnd"/>
      <w:r w:rsidRPr="00EF788F">
        <w:t>)</w:t>
      </w:r>
      <w:r w:rsidRPr="00EF788F">
        <w:tab/>
        <w:t xml:space="preserve">the </w:t>
      </w:r>
      <w:r w:rsidRPr="00EF788F">
        <w:rPr>
          <w:i/>
          <w:lang w:eastAsia="en-US"/>
        </w:rPr>
        <w:t xml:space="preserve">Therapeutic Goods </w:t>
      </w:r>
      <w:r w:rsidR="00E30156" w:rsidRPr="00EF788F">
        <w:rPr>
          <w:i/>
          <w:lang w:eastAsia="en-US"/>
        </w:rPr>
        <w:t>Regulation 2</w:t>
      </w:r>
      <w:r w:rsidRPr="00EF788F">
        <w:rPr>
          <w:i/>
          <w:lang w:eastAsia="en-US"/>
        </w:rPr>
        <w:t>021</w:t>
      </w:r>
      <w:r w:rsidRPr="00EF788F">
        <w:rPr>
          <w:lang w:eastAsia="en-US"/>
        </w:rPr>
        <w:t xml:space="preserve"> (Qld);</w:t>
      </w:r>
    </w:p>
    <w:p w14:paraId="553AE63B" w14:textId="77777777" w:rsidR="0048286D" w:rsidRPr="00EF788F" w:rsidRDefault="002D62DD" w:rsidP="005144E0">
      <w:pPr>
        <w:pStyle w:val="ItemHead"/>
      </w:pPr>
      <w:r w:rsidRPr="00EF788F">
        <w:lastRenderedPageBreak/>
        <w:t>71</w:t>
      </w:r>
      <w:r w:rsidR="0048286D" w:rsidRPr="00EF788F">
        <w:t xml:space="preserve">  </w:t>
      </w:r>
      <w:proofErr w:type="spellStart"/>
      <w:r w:rsidR="00E30156" w:rsidRPr="00EF788F">
        <w:t>Subregulation</w:t>
      </w:r>
      <w:proofErr w:type="spellEnd"/>
      <w:r w:rsidR="00E30156" w:rsidRPr="00EF788F">
        <w:t> 1</w:t>
      </w:r>
      <w:r w:rsidR="0048286D" w:rsidRPr="00EF788F">
        <w:t xml:space="preserve">2B(1B) (table </w:t>
      </w:r>
      <w:r w:rsidR="00E30156" w:rsidRPr="00EF788F">
        <w:t>item 1</w:t>
      </w:r>
      <w:r w:rsidR="0048286D" w:rsidRPr="00EF788F">
        <w:t>)</w:t>
      </w:r>
    </w:p>
    <w:p w14:paraId="4F9F3F59" w14:textId="77777777" w:rsidR="0048286D" w:rsidRPr="00EF788F" w:rsidRDefault="0048286D" w:rsidP="0048286D">
      <w:pPr>
        <w:pStyle w:val="Item"/>
      </w:pPr>
      <w:r w:rsidRPr="00EF788F">
        <w:t>Repeal the item.</w:t>
      </w:r>
    </w:p>
    <w:p w14:paraId="2B4E11F9" w14:textId="77777777" w:rsidR="005144E0" w:rsidRPr="00EF788F" w:rsidRDefault="002D62DD" w:rsidP="005144E0">
      <w:pPr>
        <w:pStyle w:val="ItemHead"/>
      </w:pPr>
      <w:r w:rsidRPr="00EF788F">
        <w:t>72</w:t>
      </w:r>
      <w:r w:rsidR="005144E0" w:rsidRPr="00EF788F">
        <w:t xml:space="preserve">  </w:t>
      </w:r>
      <w:proofErr w:type="spellStart"/>
      <w:r w:rsidR="00E30156" w:rsidRPr="00EF788F">
        <w:t>Subregulation</w:t>
      </w:r>
      <w:proofErr w:type="spellEnd"/>
      <w:r w:rsidR="00E30156" w:rsidRPr="00EF788F">
        <w:t> 1</w:t>
      </w:r>
      <w:r w:rsidR="005144E0" w:rsidRPr="00EF788F">
        <w:t xml:space="preserve">2B(1B) (after table </w:t>
      </w:r>
      <w:r w:rsidR="00E30156" w:rsidRPr="00EF788F">
        <w:t>item 4</w:t>
      </w:r>
      <w:r w:rsidR="005144E0" w:rsidRPr="00EF788F">
        <w:t>)</w:t>
      </w:r>
    </w:p>
    <w:p w14:paraId="6D1452B9" w14:textId="77777777" w:rsidR="005144E0" w:rsidRPr="00EF788F" w:rsidRDefault="005144E0" w:rsidP="005144E0">
      <w:pPr>
        <w:pStyle w:val="Item"/>
      </w:pPr>
      <w:r w:rsidRPr="00EF788F">
        <w:t>Insert:</w:t>
      </w:r>
    </w:p>
    <w:tbl>
      <w:tblPr>
        <w:tblW w:w="5000" w:type="pct"/>
        <w:tblLayout w:type="fixed"/>
        <w:tblLook w:val="0000" w:firstRow="0" w:lastRow="0" w:firstColumn="0" w:lastColumn="0" w:noHBand="0" w:noVBand="0"/>
      </w:tblPr>
      <w:tblGrid>
        <w:gridCol w:w="1101"/>
        <w:gridCol w:w="2125"/>
        <w:gridCol w:w="1283"/>
        <w:gridCol w:w="1552"/>
        <w:gridCol w:w="2468"/>
      </w:tblGrid>
      <w:tr w:rsidR="005144E0" w:rsidRPr="00EF788F" w14:paraId="76E85C9D" w14:textId="77777777" w:rsidTr="00301D89">
        <w:trPr>
          <w:trHeight w:val="20"/>
        </w:trPr>
        <w:tc>
          <w:tcPr>
            <w:tcW w:w="645" w:type="pct"/>
          </w:tcPr>
          <w:p w14:paraId="3FB6782C" w14:textId="77777777" w:rsidR="005144E0" w:rsidRPr="00EF788F" w:rsidRDefault="005144E0" w:rsidP="0048286D">
            <w:pPr>
              <w:pStyle w:val="Tabletext"/>
            </w:pPr>
            <w:r w:rsidRPr="00EF788F">
              <w:t>4A</w:t>
            </w:r>
          </w:p>
        </w:tc>
        <w:tc>
          <w:tcPr>
            <w:tcW w:w="1246" w:type="pct"/>
            <w:shd w:val="clear" w:color="auto" w:fill="auto"/>
          </w:tcPr>
          <w:p w14:paraId="562CF84A" w14:textId="77777777" w:rsidR="005144E0" w:rsidRPr="00EF788F" w:rsidRDefault="005A5504" w:rsidP="0048286D">
            <w:pPr>
              <w:pStyle w:val="Tabletext"/>
            </w:pPr>
            <w:proofErr w:type="spellStart"/>
            <w:r w:rsidRPr="00EF788F">
              <w:t>argipressin</w:t>
            </w:r>
            <w:proofErr w:type="spellEnd"/>
          </w:p>
        </w:tc>
        <w:tc>
          <w:tcPr>
            <w:tcW w:w="752" w:type="pct"/>
            <w:shd w:val="clear" w:color="auto" w:fill="auto"/>
          </w:tcPr>
          <w:p w14:paraId="163E1397" w14:textId="77777777" w:rsidR="005144E0" w:rsidRPr="00EF788F" w:rsidRDefault="005144E0" w:rsidP="0048286D">
            <w:pPr>
              <w:pStyle w:val="Tabletext"/>
            </w:pPr>
            <w:r w:rsidRPr="00EF788F">
              <w:t>injection</w:t>
            </w:r>
          </w:p>
        </w:tc>
        <w:tc>
          <w:tcPr>
            <w:tcW w:w="910" w:type="pct"/>
            <w:shd w:val="clear" w:color="auto" w:fill="auto"/>
          </w:tcPr>
          <w:p w14:paraId="66824020" w14:textId="77777777" w:rsidR="005144E0" w:rsidRPr="00EF788F" w:rsidRDefault="005144E0" w:rsidP="0048286D">
            <w:pPr>
              <w:pStyle w:val="Tabletext"/>
            </w:pPr>
            <w:r w:rsidRPr="00EF788F">
              <w:t>intravenous</w:t>
            </w:r>
          </w:p>
        </w:tc>
        <w:tc>
          <w:tcPr>
            <w:tcW w:w="1447" w:type="pct"/>
            <w:shd w:val="clear" w:color="auto" w:fill="auto"/>
          </w:tcPr>
          <w:p w14:paraId="2DE2F546" w14:textId="77777777" w:rsidR="005144E0" w:rsidRPr="00EF788F" w:rsidRDefault="005144E0" w:rsidP="0048286D">
            <w:pPr>
              <w:pStyle w:val="Tabletext"/>
            </w:pPr>
            <w:r w:rsidRPr="00EF788F">
              <w:t>to increase blood pressure in adults with vasodilatory shock who remain hypotensive despite fluids and catecholamines</w:t>
            </w:r>
          </w:p>
        </w:tc>
      </w:tr>
    </w:tbl>
    <w:p w14:paraId="4B35D93D" w14:textId="77777777" w:rsidR="0048286D" w:rsidRPr="00EF788F" w:rsidRDefault="002D62DD" w:rsidP="0048286D">
      <w:pPr>
        <w:pStyle w:val="ItemHead"/>
      </w:pPr>
      <w:r w:rsidRPr="00EF788F">
        <w:t>73</w:t>
      </w:r>
      <w:r w:rsidR="0048286D" w:rsidRPr="00EF788F">
        <w:t xml:space="preserve">  </w:t>
      </w:r>
      <w:proofErr w:type="spellStart"/>
      <w:r w:rsidR="00E30156" w:rsidRPr="00EF788F">
        <w:t>Subregulation</w:t>
      </w:r>
      <w:proofErr w:type="spellEnd"/>
      <w:r w:rsidR="00E30156" w:rsidRPr="00EF788F">
        <w:t> 1</w:t>
      </w:r>
      <w:r w:rsidR="0048286D" w:rsidRPr="00EF788F">
        <w:t>2B(1B) (after table item 26)</w:t>
      </w:r>
    </w:p>
    <w:p w14:paraId="6BDBC9B5" w14:textId="77777777" w:rsidR="0048286D" w:rsidRPr="00EF788F" w:rsidRDefault="0048286D" w:rsidP="0048286D">
      <w:pPr>
        <w:pStyle w:val="Item"/>
      </w:pPr>
      <w:r w:rsidRPr="00EF788F">
        <w:t>Insert:</w:t>
      </w:r>
    </w:p>
    <w:tbl>
      <w:tblPr>
        <w:tblW w:w="5000" w:type="pct"/>
        <w:tblLayout w:type="fixed"/>
        <w:tblLook w:val="0000" w:firstRow="0" w:lastRow="0" w:firstColumn="0" w:lastColumn="0" w:noHBand="0" w:noVBand="0"/>
      </w:tblPr>
      <w:tblGrid>
        <w:gridCol w:w="1101"/>
        <w:gridCol w:w="2125"/>
        <w:gridCol w:w="1283"/>
        <w:gridCol w:w="1552"/>
        <w:gridCol w:w="2468"/>
      </w:tblGrid>
      <w:tr w:rsidR="0048286D" w:rsidRPr="00EF788F" w14:paraId="5DF21EB3" w14:textId="77777777" w:rsidTr="00301D89">
        <w:trPr>
          <w:trHeight w:val="20"/>
        </w:trPr>
        <w:tc>
          <w:tcPr>
            <w:tcW w:w="645" w:type="pct"/>
          </w:tcPr>
          <w:p w14:paraId="69D608B5" w14:textId="77777777" w:rsidR="0048286D" w:rsidRPr="00EF788F" w:rsidRDefault="0048286D" w:rsidP="0048286D">
            <w:pPr>
              <w:pStyle w:val="Tabletext"/>
            </w:pPr>
            <w:r w:rsidRPr="00EF788F">
              <w:t>26A</w:t>
            </w:r>
          </w:p>
        </w:tc>
        <w:tc>
          <w:tcPr>
            <w:tcW w:w="1246" w:type="pct"/>
            <w:shd w:val="clear" w:color="auto" w:fill="auto"/>
          </w:tcPr>
          <w:p w14:paraId="5318ED95" w14:textId="77777777" w:rsidR="0048286D" w:rsidRPr="00EF788F" w:rsidRDefault="0048286D" w:rsidP="0048286D">
            <w:pPr>
              <w:pStyle w:val="Tabletext"/>
            </w:pPr>
            <w:r w:rsidRPr="00EF788F">
              <w:t>disulfiram</w:t>
            </w:r>
          </w:p>
        </w:tc>
        <w:tc>
          <w:tcPr>
            <w:tcW w:w="752" w:type="pct"/>
            <w:shd w:val="clear" w:color="auto" w:fill="auto"/>
          </w:tcPr>
          <w:p w14:paraId="7E5F4132" w14:textId="77777777" w:rsidR="0048286D" w:rsidRPr="00EF788F" w:rsidRDefault="0048286D" w:rsidP="0048286D">
            <w:pPr>
              <w:pStyle w:val="Tabletext"/>
            </w:pPr>
            <w:r w:rsidRPr="00EF788F">
              <w:t>tablet</w:t>
            </w:r>
          </w:p>
        </w:tc>
        <w:tc>
          <w:tcPr>
            <w:tcW w:w="910" w:type="pct"/>
            <w:shd w:val="clear" w:color="auto" w:fill="auto"/>
          </w:tcPr>
          <w:p w14:paraId="275513BA" w14:textId="77777777" w:rsidR="0048286D" w:rsidRPr="00EF788F" w:rsidRDefault="0048286D" w:rsidP="0048286D">
            <w:pPr>
              <w:pStyle w:val="Tabletext"/>
            </w:pPr>
            <w:r w:rsidRPr="00EF788F">
              <w:t>oral</w:t>
            </w:r>
          </w:p>
        </w:tc>
        <w:tc>
          <w:tcPr>
            <w:tcW w:w="1447" w:type="pct"/>
            <w:shd w:val="clear" w:color="auto" w:fill="auto"/>
          </w:tcPr>
          <w:p w14:paraId="05E28417" w14:textId="77777777" w:rsidR="0048286D" w:rsidRPr="00EF788F" w:rsidRDefault="0048286D" w:rsidP="0048286D">
            <w:pPr>
              <w:pStyle w:val="Tabletext"/>
            </w:pPr>
            <w:r w:rsidRPr="00EF788F">
              <w:t>deterrent to alcohol consumption</w:t>
            </w:r>
          </w:p>
        </w:tc>
      </w:tr>
    </w:tbl>
    <w:p w14:paraId="2C90A9A5" w14:textId="77777777" w:rsidR="005144E0" w:rsidRPr="00EF788F" w:rsidRDefault="002D62DD" w:rsidP="005144E0">
      <w:pPr>
        <w:pStyle w:val="ItemHead"/>
      </w:pPr>
      <w:r w:rsidRPr="00EF788F">
        <w:t>74</w:t>
      </w:r>
      <w:r w:rsidR="005144E0" w:rsidRPr="00EF788F">
        <w:t xml:space="preserve">  </w:t>
      </w:r>
      <w:proofErr w:type="spellStart"/>
      <w:r w:rsidR="00E30156" w:rsidRPr="00EF788F">
        <w:t>Subregulation</w:t>
      </w:r>
      <w:proofErr w:type="spellEnd"/>
      <w:r w:rsidR="00E30156" w:rsidRPr="00EF788F">
        <w:t> 1</w:t>
      </w:r>
      <w:r w:rsidR="005144E0" w:rsidRPr="00EF788F">
        <w:t xml:space="preserve">2B(1B) (after table </w:t>
      </w:r>
      <w:r w:rsidR="00E30156" w:rsidRPr="00EF788F">
        <w:t>item 3</w:t>
      </w:r>
      <w:r w:rsidR="005144E0" w:rsidRPr="00EF788F">
        <w:t>0)</w:t>
      </w:r>
    </w:p>
    <w:p w14:paraId="44C8F901" w14:textId="77777777" w:rsidR="005144E0" w:rsidRPr="00EF788F" w:rsidRDefault="005144E0" w:rsidP="005144E0">
      <w:pPr>
        <w:pStyle w:val="Item"/>
      </w:pPr>
      <w:r w:rsidRPr="00EF788F">
        <w:t>Insert:</w:t>
      </w:r>
    </w:p>
    <w:tbl>
      <w:tblPr>
        <w:tblW w:w="5000" w:type="pct"/>
        <w:tblLayout w:type="fixed"/>
        <w:tblLook w:val="0000" w:firstRow="0" w:lastRow="0" w:firstColumn="0" w:lastColumn="0" w:noHBand="0" w:noVBand="0"/>
      </w:tblPr>
      <w:tblGrid>
        <w:gridCol w:w="1101"/>
        <w:gridCol w:w="2125"/>
        <w:gridCol w:w="1283"/>
        <w:gridCol w:w="1552"/>
        <w:gridCol w:w="2468"/>
      </w:tblGrid>
      <w:tr w:rsidR="005144E0" w:rsidRPr="00EF788F" w14:paraId="3EBC1451" w14:textId="77777777" w:rsidTr="00301D89">
        <w:trPr>
          <w:trHeight w:val="20"/>
        </w:trPr>
        <w:tc>
          <w:tcPr>
            <w:tcW w:w="645" w:type="pct"/>
          </w:tcPr>
          <w:p w14:paraId="6D0581F0" w14:textId="77777777" w:rsidR="005144E0" w:rsidRPr="00EF788F" w:rsidRDefault="005144E0" w:rsidP="0048286D">
            <w:pPr>
              <w:pStyle w:val="Tabletext"/>
            </w:pPr>
            <w:r w:rsidRPr="00EF788F">
              <w:t>30A</w:t>
            </w:r>
          </w:p>
        </w:tc>
        <w:tc>
          <w:tcPr>
            <w:tcW w:w="1246" w:type="pct"/>
            <w:shd w:val="clear" w:color="auto" w:fill="auto"/>
          </w:tcPr>
          <w:p w14:paraId="0756C795" w14:textId="77777777" w:rsidR="005144E0" w:rsidRPr="00EF788F" w:rsidRDefault="005144E0" w:rsidP="0048286D">
            <w:pPr>
              <w:pStyle w:val="Tabletext"/>
            </w:pPr>
            <w:r w:rsidRPr="00EF788F">
              <w:t>famotidine</w:t>
            </w:r>
          </w:p>
        </w:tc>
        <w:tc>
          <w:tcPr>
            <w:tcW w:w="752" w:type="pct"/>
            <w:shd w:val="clear" w:color="auto" w:fill="auto"/>
          </w:tcPr>
          <w:p w14:paraId="2733481E" w14:textId="77777777" w:rsidR="005144E0" w:rsidRPr="00EF788F" w:rsidRDefault="005144E0" w:rsidP="0048286D">
            <w:pPr>
              <w:pStyle w:val="Tabletext"/>
            </w:pPr>
            <w:r w:rsidRPr="00EF788F">
              <w:t>injection</w:t>
            </w:r>
          </w:p>
        </w:tc>
        <w:tc>
          <w:tcPr>
            <w:tcW w:w="910" w:type="pct"/>
            <w:shd w:val="clear" w:color="auto" w:fill="auto"/>
          </w:tcPr>
          <w:p w14:paraId="75626815" w14:textId="77777777" w:rsidR="005144E0" w:rsidRPr="00EF788F" w:rsidRDefault="005144E0" w:rsidP="0048286D">
            <w:pPr>
              <w:pStyle w:val="Tabletext"/>
            </w:pPr>
            <w:r w:rsidRPr="00EF788F">
              <w:t>intravenous</w:t>
            </w:r>
          </w:p>
        </w:tc>
        <w:tc>
          <w:tcPr>
            <w:tcW w:w="1447" w:type="pct"/>
            <w:shd w:val="clear" w:color="auto" w:fill="auto"/>
          </w:tcPr>
          <w:p w14:paraId="5B3FEEE1" w14:textId="77777777" w:rsidR="005144E0" w:rsidRPr="00EF788F" w:rsidRDefault="005144E0" w:rsidP="0048286D">
            <w:pPr>
              <w:pStyle w:val="Tabletext"/>
            </w:pPr>
            <w:r w:rsidRPr="00EF788F">
              <w:t>prevention and management of hypersensitivity reactions to chemotherapy</w:t>
            </w:r>
          </w:p>
        </w:tc>
      </w:tr>
    </w:tbl>
    <w:p w14:paraId="50643474" w14:textId="77777777" w:rsidR="003D0CDE" w:rsidRPr="00EF788F" w:rsidRDefault="002D62DD" w:rsidP="003D0CDE">
      <w:pPr>
        <w:pStyle w:val="ItemHead"/>
      </w:pPr>
      <w:r w:rsidRPr="00EF788F">
        <w:t>75</w:t>
      </w:r>
      <w:r w:rsidR="003D0CDE" w:rsidRPr="00EF788F">
        <w:t xml:space="preserve">  </w:t>
      </w:r>
      <w:proofErr w:type="spellStart"/>
      <w:r w:rsidR="00E30156" w:rsidRPr="00EF788F">
        <w:t>Subregulation</w:t>
      </w:r>
      <w:proofErr w:type="spellEnd"/>
      <w:r w:rsidR="00E30156" w:rsidRPr="00EF788F">
        <w:t> 1</w:t>
      </w:r>
      <w:r w:rsidR="003D0CDE" w:rsidRPr="00EF788F">
        <w:t xml:space="preserve">2B(1B) (after table </w:t>
      </w:r>
      <w:r w:rsidR="00E30156" w:rsidRPr="00EF788F">
        <w:t>item 4</w:t>
      </w:r>
      <w:r w:rsidR="003D0CDE" w:rsidRPr="00EF788F">
        <w:t>0)</w:t>
      </w:r>
    </w:p>
    <w:p w14:paraId="2F3D157E" w14:textId="77777777" w:rsidR="003D0CDE" w:rsidRPr="00EF788F" w:rsidRDefault="003D0CDE" w:rsidP="003D0CDE">
      <w:pPr>
        <w:pStyle w:val="Item"/>
      </w:pPr>
      <w:r w:rsidRPr="00EF788F">
        <w:t>Insert:</w:t>
      </w:r>
    </w:p>
    <w:tbl>
      <w:tblPr>
        <w:tblW w:w="5000" w:type="pct"/>
        <w:tblLayout w:type="fixed"/>
        <w:tblLook w:val="0000" w:firstRow="0" w:lastRow="0" w:firstColumn="0" w:lastColumn="0" w:noHBand="0" w:noVBand="0"/>
      </w:tblPr>
      <w:tblGrid>
        <w:gridCol w:w="1101"/>
        <w:gridCol w:w="2125"/>
        <w:gridCol w:w="1283"/>
        <w:gridCol w:w="1552"/>
        <w:gridCol w:w="2468"/>
      </w:tblGrid>
      <w:tr w:rsidR="003D0CDE" w:rsidRPr="00EF788F" w14:paraId="7930AD31" w14:textId="77777777" w:rsidTr="00301D89">
        <w:trPr>
          <w:trHeight w:val="20"/>
        </w:trPr>
        <w:tc>
          <w:tcPr>
            <w:tcW w:w="645" w:type="pct"/>
          </w:tcPr>
          <w:p w14:paraId="556E43F6" w14:textId="77777777" w:rsidR="003D0CDE" w:rsidRPr="00EF788F" w:rsidRDefault="003D0CDE" w:rsidP="0048286D">
            <w:pPr>
              <w:pStyle w:val="Tabletext"/>
            </w:pPr>
            <w:r w:rsidRPr="00EF788F">
              <w:t>40A</w:t>
            </w:r>
          </w:p>
        </w:tc>
        <w:tc>
          <w:tcPr>
            <w:tcW w:w="1246" w:type="pct"/>
            <w:shd w:val="clear" w:color="auto" w:fill="auto"/>
          </w:tcPr>
          <w:p w14:paraId="02320F42" w14:textId="77777777" w:rsidR="003D0CDE" w:rsidRPr="00EF788F" w:rsidRDefault="003D0CDE" w:rsidP="0048286D">
            <w:pPr>
              <w:pStyle w:val="Tabletext"/>
            </w:pPr>
            <w:proofErr w:type="spellStart"/>
            <w:r w:rsidRPr="00EF788F">
              <w:t>iloprost</w:t>
            </w:r>
            <w:proofErr w:type="spellEnd"/>
          </w:p>
        </w:tc>
        <w:tc>
          <w:tcPr>
            <w:tcW w:w="752" w:type="pct"/>
            <w:shd w:val="clear" w:color="auto" w:fill="auto"/>
          </w:tcPr>
          <w:p w14:paraId="5580171D" w14:textId="77777777" w:rsidR="003D0CDE" w:rsidRPr="00EF788F" w:rsidRDefault="003D0CDE" w:rsidP="0048286D">
            <w:pPr>
              <w:pStyle w:val="Tabletext"/>
            </w:pPr>
            <w:r w:rsidRPr="00EF788F">
              <w:t>injection</w:t>
            </w:r>
          </w:p>
        </w:tc>
        <w:tc>
          <w:tcPr>
            <w:tcW w:w="910" w:type="pct"/>
            <w:shd w:val="clear" w:color="auto" w:fill="auto"/>
          </w:tcPr>
          <w:p w14:paraId="2E039FF6" w14:textId="77777777" w:rsidR="003D0CDE" w:rsidRPr="00EF788F" w:rsidRDefault="003D0CDE" w:rsidP="0048286D">
            <w:pPr>
              <w:pStyle w:val="Tabletext"/>
            </w:pPr>
            <w:r w:rsidRPr="00EF788F">
              <w:t>intravenous infusion</w:t>
            </w:r>
          </w:p>
        </w:tc>
        <w:tc>
          <w:tcPr>
            <w:tcW w:w="1447" w:type="pct"/>
            <w:shd w:val="clear" w:color="auto" w:fill="auto"/>
          </w:tcPr>
          <w:p w14:paraId="5C1C647A" w14:textId="77777777" w:rsidR="00EF1DEF" w:rsidRPr="00EF788F" w:rsidRDefault="00EF1DEF" w:rsidP="00EF1DEF">
            <w:pPr>
              <w:pStyle w:val="Tablea"/>
            </w:pPr>
            <w:r w:rsidRPr="00EF788F">
              <w:t xml:space="preserve">(a) </w:t>
            </w:r>
            <w:r w:rsidR="003D0CDE" w:rsidRPr="00EF788F">
              <w:t>treatment of patients with severe disabling Raynaud</w:t>
            </w:r>
            <w:r w:rsidR="000F6DD0" w:rsidRPr="00EF788F">
              <w:t>’</w:t>
            </w:r>
            <w:r w:rsidR="003D0CDE" w:rsidRPr="00EF788F">
              <w:t>s phenomenon</w:t>
            </w:r>
            <w:r w:rsidRPr="00EF788F">
              <w:t>;</w:t>
            </w:r>
            <w:r w:rsidR="003D0CDE" w:rsidRPr="00EF788F">
              <w:t xml:space="preserve"> or</w:t>
            </w:r>
          </w:p>
          <w:p w14:paraId="48477A6E" w14:textId="77777777" w:rsidR="003D0CDE" w:rsidRPr="00EF788F" w:rsidRDefault="00EF1DEF" w:rsidP="00EF1DEF">
            <w:pPr>
              <w:pStyle w:val="Tablea"/>
            </w:pPr>
            <w:r w:rsidRPr="00EF788F">
              <w:t xml:space="preserve">(b) </w:t>
            </w:r>
            <w:r w:rsidR="003D0CDE" w:rsidRPr="00EF788F">
              <w:t xml:space="preserve">treatment of peripheral </w:t>
            </w:r>
            <w:proofErr w:type="spellStart"/>
            <w:r w:rsidR="003D0CDE" w:rsidRPr="00EF788F">
              <w:t>ischaemia</w:t>
            </w:r>
            <w:proofErr w:type="spellEnd"/>
          </w:p>
        </w:tc>
      </w:tr>
    </w:tbl>
    <w:p w14:paraId="5B712BD5" w14:textId="77777777" w:rsidR="003D0CDE" w:rsidRPr="00EF788F" w:rsidRDefault="002D62DD" w:rsidP="003D0CDE">
      <w:pPr>
        <w:pStyle w:val="ItemHead"/>
      </w:pPr>
      <w:r w:rsidRPr="00EF788F">
        <w:t>76</w:t>
      </w:r>
      <w:r w:rsidR="003D0CDE" w:rsidRPr="00EF788F">
        <w:t xml:space="preserve">  </w:t>
      </w:r>
      <w:proofErr w:type="spellStart"/>
      <w:r w:rsidR="00E30156" w:rsidRPr="00EF788F">
        <w:t>Subregulation</w:t>
      </w:r>
      <w:proofErr w:type="spellEnd"/>
      <w:r w:rsidR="00E30156" w:rsidRPr="00EF788F">
        <w:t> 1</w:t>
      </w:r>
      <w:r w:rsidR="003D0CDE" w:rsidRPr="00EF788F">
        <w:t xml:space="preserve">2B(1B) (after table </w:t>
      </w:r>
      <w:r w:rsidR="00E30156" w:rsidRPr="00EF788F">
        <w:t>item 4</w:t>
      </w:r>
      <w:r w:rsidR="003D0CDE" w:rsidRPr="00EF788F">
        <w:t>2)</w:t>
      </w:r>
    </w:p>
    <w:p w14:paraId="1FAB6E1C" w14:textId="77777777" w:rsidR="003D0CDE" w:rsidRPr="00EF788F" w:rsidRDefault="003D0CDE" w:rsidP="003D0CDE">
      <w:pPr>
        <w:pStyle w:val="Item"/>
      </w:pPr>
      <w:r w:rsidRPr="00EF788F">
        <w:t>Insert:</w:t>
      </w:r>
    </w:p>
    <w:tbl>
      <w:tblPr>
        <w:tblW w:w="5000" w:type="pct"/>
        <w:tblLayout w:type="fixed"/>
        <w:tblLook w:val="0000" w:firstRow="0" w:lastRow="0" w:firstColumn="0" w:lastColumn="0" w:noHBand="0" w:noVBand="0"/>
      </w:tblPr>
      <w:tblGrid>
        <w:gridCol w:w="1101"/>
        <w:gridCol w:w="2125"/>
        <w:gridCol w:w="1283"/>
        <w:gridCol w:w="1552"/>
        <w:gridCol w:w="2468"/>
      </w:tblGrid>
      <w:tr w:rsidR="003D0CDE" w:rsidRPr="00EF788F" w14:paraId="2CC8661B" w14:textId="77777777" w:rsidTr="00301D89">
        <w:trPr>
          <w:trHeight w:val="20"/>
        </w:trPr>
        <w:tc>
          <w:tcPr>
            <w:tcW w:w="645" w:type="pct"/>
          </w:tcPr>
          <w:p w14:paraId="0EABF8F3" w14:textId="77777777" w:rsidR="003D0CDE" w:rsidRPr="00EF788F" w:rsidRDefault="003D0CDE" w:rsidP="0048286D">
            <w:pPr>
              <w:pStyle w:val="Tabletext"/>
            </w:pPr>
            <w:r w:rsidRPr="00EF788F">
              <w:t>42AA</w:t>
            </w:r>
          </w:p>
        </w:tc>
        <w:tc>
          <w:tcPr>
            <w:tcW w:w="1246" w:type="pct"/>
            <w:shd w:val="clear" w:color="auto" w:fill="auto"/>
          </w:tcPr>
          <w:p w14:paraId="767A2E68" w14:textId="77777777" w:rsidR="003D0CDE" w:rsidRPr="00EF788F" w:rsidRDefault="003D0CDE" w:rsidP="0048286D">
            <w:pPr>
              <w:pStyle w:val="Tabletext"/>
            </w:pPr>
            <w:r w:rsidRPr="00EF788F">
              <w:t>interferon alpha</w:t>
            </w:r>
            <w:r w:rsidR="00EF788F">
              <w:noBreakHyphen/>
            </w:r>
            <w:r w:rsidRPr="00EF788F">
              <w:t>2b</w:t>
            </w:r>
          </w:p>
        </w:tc>
        <w:tc>
          <w:tcPr>
            <w:tcW w:w="752" w:type="pct"/>
            <w:shd w:val="clear" w:color="auto" w:fill="auto"/>
          </w:tcPr>
          <w:p w14:paraId="48534B75" w14:textId="77777777" w:rsidR="003D0CDE" w:rsidRPr="00EF788F" w:rsidRDefault="0048286D" w:rsidP="0048286D">
            <w:pPr>
              <w:pStyle w:val="Tabletext"/>
            </w:pPr>
            <w:r w:rsidRPr="00EF788F">
              <w:t>eye drops</w:t>
            </w:r>
          </w:p>
        </w:tc>
        <w:tc>
          <w:tcPr>
            <w:tcW w:w="910" w:type="pct"/>
            <w:shd w:val="clear" w:color="auto" w:fill="auto"/>
          </w:tcPr>
          <w:p w14:paraId="3E82B520" w14:textId="77777777" w:rsidR="003D0CDE" w:rsidRPr="00EF788F" w:rsidRDefault="0048286D" w:rsidP="0048286D">
            <w:pPr>
              <w:pStyle w:val="Tabletext"/>
            </w:pPr>
            <w:r w:rsidRPr="00EF788F">
              <w:t>ophthalmic</w:t>
            </w:r>
          </w:p>
        </w:tc>
        <w:tc>
          <w:tcPr>
            <w:tcW w:w="1447" w:type="pct"/>
            <w:shd w:val="clear" w:color="auto" w:fill="auto"/>
          </w:tcPr>
          <w:p w14:paraId="376B5C80" w14:textId="77777777" w:rsidR="003D0CDE" w:rsidRPr="00EF788F" w:rsidRDefault="0048286D" w:rsidP="0048286D">
            <w:pPr>
              <w:pStyle w:val="Tabletext"/>
            </w:pPr>
            <w:r w:rsidRPr="00EF788F">
              <w:t>treatment of ocular surface squamous neoplasia</w:t>
            </w:r>
          </w:p>
        </w:tc>
      </w:tr>
    </w:tbl>
    <w:p w14:paraId="1F01D7DA" w14:textId="77777777" w:rsidR="0048286D" w:rsidRPr="00EF788F" w:rsidRDefault="002D62DD" w:rsidP="0048286D">
      <w:pPr>
        <w:pStyle w:val="ItemHead"/>
      </w:pPr>
      <w:r w:rsidRPr="00EF788F">
        <w:t>77</w:t>
      </w:r>
      <w:r w:rsidR="0048286D" w:rsidRPr="00EF788F">
        <w:t xml:space="preserve">  </w:t>
      </w:r>
      <w:proofErr w:type="spellStart"/>
      <w:r w:rsidR="00E30156" w:rsidRPr="00EF788F">
        <w:t>Subregulation</w:t>
      </w:r>
      <w:proofErr w:type="spellEnd"/>
      <w:r w:rsidR="00E30156" w:rsidRPr="00EF788F">
        <w:t> 1</w:t>
      </w:r>
      <w:r w:rsidR="0048286D" w:rsidRPr="00EF788F">
        <w:t xml:space="preserve">2B(1B) (after table </w:t>
      </w:r>
      <w:r w:rsidR="00E30156" w:rsidRPr="00EF788F">
        <w:t>item 4</w:t>
      </w:r>
      <w:r w:rsidR="0048286D" w:rsidRPr="00EF788F">
        <w:t>5)</w:t>
      </w:r>
    </w:p>
    <w:p w14:paraId="24C288F5" w14:textId="77777777" w:rsidR="0048286D" w:rsidRPr="00EF788F" w:rsidRDefault="0048286D" w:rsidP="0048286D">
      <w:pPr>
        <w:pStyle w:val="Item"/>
      </w:pPr>
      <w:r w:rsidRPr="00EF788F">
        <w:t>Insert:</w:t>
      </w:r>
    </w:p>
    <w:tbl>
      <w:tblPr>
        <w:tblW w:w="5000" w:type="pct"/>
        <w:tblLayout w:type="fixed"/>
        <w:tblLook w:val="0000" w:firstRow="0" w:lastRow="0" w:firstColumn="0" w:lastColumn="0" w:noHBand="0" w:noVBand="0"/>
      </w:tblPr>
      <w:tblGrid>
        <w:gridCol w:w="1101"/>
        <w:gridCol w:w="2125"/>
        <w:gridCol w:w="1283"/>
        <w:gridCol w:w="1552"/>
        <w:gridCol w:w="2468"/>
      </w:tblGrid>
      <w:tr w:rsidR="0048286D" w:rsidRPr="00EF788F" w14:paraId="2094A96D" w14:textId="77777777" w:rsidTr="00301D89">
        <w:trPr>
          <w:trHeight w:val="20"/>
        </w:trPr>
        <w:tc>
          <w:tcPr>
            <w:tcW w:w="645" w:type="pct"/>
          </w:tcPr>
          <w:p w14:paraId="560CF2C6" w14:textId="77777777" w:rsidR="0048286D" w:rsidRPr="00EF788F" w:rsidRDefault="0048286D" w:rsidP="0048286D">
            <w:pPr>
              <w:pStyle w:val="Tabletext"/>
            </w:pPr>
            <w:r w:rsidRPr="00EF788F">
              <w:t>45A</w:t>
            </w:r>
          </w:p>
        </w:tc>
        <w:tc>
          <w:tcPr>
            <w:tcW w:w="1246" w:type="pct"/>
            <w:shd w:val="clear" w:color="auto" w:fill="auto"/>
          </w:tcPr>
          <w:p w14:paraId="49CA729E" w14:textId="77777777" w:rsidR="0048286D" w:rsidRPr="00EF788F" w:rsidRDefault="0048286D" w:rsidP="0048286D">
            <w:pPr>
              <w:pStyle w:val="Tabletext"/>
            </w:pPr>
            <w:proofErr w:type="spellStart"/>
            <w:r w:rsidRPr="00EF788F">
              <w:t>lifitegrast</w:t>
            </w:r>
            <w:proofErr w:type="spellEnd"/>
          </w:p>
        </w:tc>
        <w:tc>
          <w:tcPr>
            <w:tcW w:w="752" w:type="pct"/>
            <w:shd w:val="clear" w:color="auto" w:fill="auto"/>
          </w:tcPr>
          <w:p w14:paraId="769BE552" w14:textId="77777777" w:rsidR="0048286D" w:rsidRPr="00EF788F" w:rsidRDefault="0048286D" w:rsidP="0048286D">
            <w:pPr>
              <w:pStyle w:val="Tabletext"/>
            </w:pPr>
            <w:r w:rsidRPr="00EF788F">
              <w:t>eye drops</w:t>
            </w:r>
          </w:p>
        </w:tc>
        <w:tc>
          <w:tcPr>
            <w:tcW w:w="910" w:type="pct"/>
            <w:shd w:val="clear" w:color="auto" w:fill="auto"/>
          </w:tcPr>
          <w:p w14:paraId="55B97765" w14:textId="77777777" w:rsidR="0048286D" w:rsidRPr="00EF788F" w:rsidRDefault="0048286D" w:rsidP="0048286D">
            <w:pPr>
              <w:pStyle w:val="Tabletext"/>
            </w:pPr>
            <w:r w:rsidRPr="00EF788F">
              <w:t>topical</w:t>
            </w:r>
          </w:p>
        </w:tc>
        <w:tc>
          <w:tcPr>
            <w:tcW w:w="1447" w:type="pct"/>
            <w:shd w:val="clear" w:color="auto" w:fill="auto"/>
          </w:tcPr>
          <w:p w14:paraId="47263A3A" w14:textId="77777777" w:rsidR="0048286D" w:rsidRPr="00EF788F" w:rsidRDefault="0048286D" w:rsidP="0048286D">
            <w:pPr>
              <w:pStyle w:val="Tabletext"/>
            </w:pPr>
            <w:r w:rsidRPr="00EF788F">
              <w:t>treatment of dry eye disease</w:t>
            </w:r>
          </w:p>
        </w:tc>
      </w:tr>
    </w:tbl>
    <w:p w14:paraId="023472B9" w14:textId="77777777" w:rsidR="003D0CDE" w:rsidRPr="00EF788F" w:rsidRDefault="002D62DD" w:rsidP="003D0CDE">
      <w:pPr>
        <w:pStyle w:val="ItemHead"/>
      </w:pPr>
      <w:r w:rsidRPr="00EF788F">
        <w:t>78</w:t>
      </w:r>
      <w:r w:rsidR="003D0CDE" w:rsidRPr="00EF788F">
        <w:t xml:space="preserve">  </w:t>
      </w:r>
      <w:proofErr w:type="spellStart"/>
      <w:r w:rsidR="00E30156" w:rsidRPr="00EF788F">
        <w:t>Subregulation</w:t>
      </w:r>
      <w:proofErr w:type="spellEnd"/>
      <w:r w:rsidR="00E30156" w:rsidRPr="00EF788F">
        <w:t> 1</w:t>
      </w:r>
      <w:r w:rsidR="003D0CDE" w:rsidRPr="00EF788F">
        <w:t xml:space="preserve">2B(1B) (after table </w:t>
      </w:r>
      <w:r w:rsidR="00E30156" w:rsidRPr="00EF788F">
        <w:t>item 4</w:t>
      </w:r>
      <w:r w:rsidR="003D0CDE" w:rsidRPr="00EF788F">
        <w:t>6)</w:t>
      </w:r>
    </w:p>
    <w:p w14:paraId="3121D88F" w14:textId="77777777" w:rsidR="003D0CDE" w:rsidRPr="00EF788F" w:rsidRDefault="003D0CDE" w:rsidP="003D0CDE">
      <w:pPr>
        <w:pStyle w:val="Item"/>
      </w:pPr>
      <w:r w:rsidRPr="00EF788F">
        <w:t>Insert:</w:t>
      </w:r>
    </w:p>
    <w:tbl>
      <w:tblPr>
        <w:tblW w:w="5000" w:type="pct"/>
        <w:tblBorders>
          <w:insideH w:val="single" w:sz="2" w:space="0" w:color="auto"/>
        </w:tblBorders>
        <w:tblLayout w:type="fixed"/>
        <w:tblLook w:val="0000" w:firstRow="0" w:lastRow="0" w:firstColumn="0" w:lastColumn="0" w:noHBand="0" w:noVBand="0"/>
      </w:tblPr>
      <w:tblGrid>
        <w:gridCol w:w="1101"/>
        <w:gridCol w:w="2125"/>
        <w:gridCol w:w="1283"/>
        <w:gridCol w:w="1552"/>
        <w:gridCol w:w="2468"/>
      </w:tblGrid>
      <w:tr w:rsidR="003D0CDE" w:rsidRPr="00EF788F" w14:paraId="6EAF89AE" w14:textId="77777777" w:rsidTr="007C6B78">
        <w:trPr>
          <w:trHeight w:val="20"/>
        </w:trPr>
        <w:tc>
          <w:tcPr>
            <w:tcW w:w="645" w:type="pct"/>
            <w:tcBorders>
              <w:top w:val="nil"/>
              <w:bottom w:val="single" w:sz="2" w:space="0" w:color="auto"/>
            </w:tcBorders>
          </w:tcPr>
          <w:p w14:paraId="7A7DA603" w14:textId="77777777" w:rsidR="003D0CDE" w:rsidRPr="00EF788F" w:rsidRDefault="003D0CDE" w:rsidP="0048286D">
            <w:pPr>
              <w:pStyle w:val="Tabletext"/>
            </w:pPr>
            <w:r w:rsidRPr="00EF788F">
              <w:t>46</w:t>
            </w:r>
            <w:r w:rsidR="0081445A" w:rsidRPr="00EF788F">
              <w:t>A</w:t>
            </w:r>
          </w:p>
        </w:tc>
        <w:tc>
          <w:tcPr>
            <w:tcW w:w="1246" w:type="pct"/>
            <w:tcBorders>
              <w:top w:val="nil"/>
              <w:bottom w:val="single" w:sz="2" w:space="0" w:color="auto"/>
            </w:tcBorders>
            <w:shd w:val="clear" w:color="auto" w:fill="auto"/>
          </w:tcPr>
          <w:p w14:paraId="4156BD8C" w14:textId="77777777" w:rsidR="003D0CDE" w:rsidRPr="00EF788F" w:rsidRDefault="003D0CDE" w:rsidP="0048286D">
            <w:pPr>
              <w:pStyle w:val="Tabletext"/>
            </w:pPr>
            <w:r w:rsidRPr="00EF788F">
              <w:t>lutetium</w:t>
            </w:r>
            <w:r w:rsidR="00EF788F">
              <w:noBreakHyphen/>
            </w:r>
            <w:r w:rsidRPr="00EF788F">
              <w:t xml:space="preserve">177 (Lu 177) </w:t>
            </w:r>
            <w:proofErr w:type="spellStart"/>
            <w:r w:rsidRPr="00EF788F">
              <w:t>dotatate</w:t>
            </w:r>
            <w:proofErr w:type="spellEnd"/>
          </w:p>
        </w:tc>
        <w:tc>
          <w:tcPr>
            <w:tcW w:w="752" w:type="pct"/>
            <w:tcBorders>
              <w:top w:val="nil"/>
              <w:bottom w:val="single" w:sz="2" w:space="0" w:color="auto"/>
            </w:tcBorders>
            <w:shd w:val="clear" w:color="auto" w:fill="auto"/>
          </w:tcPr>
          <w:p w14:paraId="37B27276" w14:textId="77777777" w:rsidR="003D0CDE" w:rsidRPr="00EF788F" w:rsidRDefault="003D0CDE" w:rsidP="0048286D">
            <w:pPr>
              <w:pStyle w:val="Tabletext"/>
            </w:pPr>
            <w:r w:rsidRPr="00EF788F">
              <w:t>injection</w:t>
            </w:r>
          </w:p>
        </w:tc>
        <w:tc>
          <w:tcPr>
            <w:tcW w:w="910" w:type="pct"/>
            <w:tcBorders>
              <w:top w:val="nil"/>
              <w:bottom w:val="single" w:sz="2" w:space="0" w:color="auto"/>
            </w:tcBorders>
            <w:shd w:val="clear" w:color="auto" w:fill="auto"/>
          </w:tcPr>
          <w:p w14:paraId="53DDE119" w14:textId="77777777" w:rsidR="003D0CDE" w:rsidRPr="00EF788F" w:rsidRDefault="003D0CDE" w:rsidP="0048286D">
            <w:pPr>
              <w:pStyle w:val="Tabletext"/>
            </w:pPr>
            <w:r w:rsidRPr="00EF788F">
              <w:t>intravenous</w:t>
            </w:r>
          </w:p>
        </w:tc>
        <w:tc>
          <w:tcPr>
            <w:tcW w:w="1447" w:type="pct"/>
            <w:tcBorders>
              <w:top w:val="nil"/>
              <w:bottom w:val="single" w:sz="2" w:space="0" w:color="auto"/>
            </w:tcBorders>
            <w:shd w:val="clear" w:color="auto" w:fill="auto"/>
          </w:tcPr>
          <w:p w14:paraId="021159D2" w14:textId="77777777" w:rsidR="003D0CDE" w:rsidRPr="00EF788F" w:rsidRDefault="003D0CDE" w:rsidP="0048286D">
            <w:pPr>
              <w:pStyle w:val="Tabletext"/>
            </w:pPr>
            <w:r w:rsidRPr="00EF788F">
              <w:t>treatment of somatostatin receptor</w:t>
            </w:r>
            <w:r w:rsidR="00EF788F">
              <w:noBreakHyphen/>
            </w:r>
            <w:r w:rsidRPr="00EF788F">
              <w:t xml:space="preserve">positive </w:t>
            </w:r>
            <w:proofErr w:type="spellStart"/>
            <w:r w:rsidRPr="00EF788F">
              <w:t>gastroenteropancreatic</w:t>
            </w:r>
            <w:proofErr w:type="spellEnd"/>
            <w:r w:rsidRPr="00EF788F">
              <w:t xml:space="preserve"> neuroendocrine </w:t>
            </w:r>
            <w:proofErr w:type="spellStart"/>
            <w:r w:rsidRPr="00EF788F">
              <w:t>tumors</w:t>
            </w:r>
            <w:proofErr w:type="spellEnd"/>
            <w:r w:rsidRPr="00EF788F">
              <w:t xml:space="preserve"> (</w:t>
            </w:r>
            <w:proofErr w:type="spellStart"/>
            <w:r w:rsidRPr="00EF788F">
              <w:t>GEP</w:t>
            </w:r>
            <w:r w:rsidR="00EF788F">
              <w:noBreakHyphen/>
            </w:r>
            <w:r w:rsidRPr="00EF788F">
              <w:t>NETs</w:t>
            </w:r>
            <w:proofErr w:type="spellEnd"/>
            <w:r w:rsidRPr="00EF788F">
              <w:t>)</w:t>
            </w:r>
          </w:p>
        </w:tc>
      </w:tr>
      <w:tr w:rsidR="007C6B78" w:rsidRPr="00EF788F" w14:paraId="2F8127B4" w14:textId="77777777" w:rsidTr="007C6B78">
        <w:trPr>
          <w:trHeight w:val="20"/>
        </w:trPr>
        <w:tc>
          <w:tcPr>
            <w:tcW w:w="645" w:type="pct"/>
            <w:tcBorders>
              <w:top w:val="single" w:sz="2" w:space="0" w:color="auto"/>
              <w:bottom w:val="nil"/>
            </w:tcBorders>
          </w:tcPr>
          <w:p w14:paraId="5F41C17C" w14:textId="77777777" w:rsidR="007C6B78" w:rsidRPr="00EF788F" w:rsidRDefault="007C6B78" w:rsidP="00301D89">
            <w:pPr>
              <w:pStyle w:val="Tabletext"/>
            </w:pPr>
            <w:r w:rsidRPr="00EF788F">
              <w:t>46</w:t>
            </w:r>
            <w:r w:rsidR="0081445A" w:rsidRPr="00EF788F">
              <w:t>B</w:t>
            </w:r>
          </w:p>
        </w:tc>
        <w:tc>
          <w:tcPr>
            <w:tcW w:w="1246" w:type="pct"/>
            <w:tcBorders>
              <w:top w:val="single" w:sz="2" w:space="0" w:color="auto"/>
              <w:bottom w:val="nil"/>
            </w:tcBorders>
            <w:shd w:val="clear" w:color="auto" w:fill="auto"/>
          </w:tcPr>
          <w:p w14:paraId="78A8AAC1" w14:textId="77777777" w:rsidR="007C6B78" w:rsidRPr="00EF788F" w:rsidRDefault="007C6B78" w:rsidP="00301D89">
            <w:pPr>
              <w:pStyle w:val="Tabletext"/>
            </w:pPr>
            <w:bookmarkStart w:id="53" w:name="_Hlk84511860"/>
            <w:r w:rsidRPr="00EF788F">
              <w:t>lutetium</w:t>
            </w:r>
            <w:r w:rsidR="00EF788F">
              <w:noBreakHyphen/>
            </w:r>
            <w:r w:rsidRPr="00EF788F">
              <w:t xml:space="preserve">177 </w:t>
            </w:r>
            <w:r w:rsidR="0081445A" w:rsidRPr="00EF788F">
              <w:rPr>
                <w:lang w:eastAsia="en-US"/>
              </w:rPr>
              <w:t xml:space="preserve">(Lu 177) </w:t>
            </w:r>
            <w:r w:rsidRPr="00EF788F">
              <w:t xml:space="preserve">Prostate Specific Membrane Antigen </w:t>
            </w:r>
            <w:r w:rsidRPr="00EF788F">
              <w:lastRenderedPageBreak/>
              <w:t>(</w:t>
            </w:r>
            <w:proofErr w:type="spellStart"/>
            <w:r w:rsidRPr="00EF788F">
              <w:t>PSMA</w:t>
            </w:r>
            <w:proofErr w:type="spellEnd"/>
            <w:r w:rsidRPr="00EF788F">
              <w:t>)</w:t>
            </w:r>
            <w:bookmarkEnd w:id="53"/>
          </w:p>
        </w:tc>
        <w:tc>
          <w:tcPr>
            <w:tcW w:w="752" w:type="pct"/>
            <w:tcBorders>
              <w:top w:val="single" w:sz="2" w:space="0" w:color="auto"/>
              <w:bottom w:val="nil"/>
            </w:tcBorders>
            <w:shd w:val="clear" w:color="auto" w:fill="auto"/>
          </w:tcPr>
          <w:p w14:paraId="79AB9FDA" w14:textId="77777777" w:rsidR="007C6B78" w:rsidRPr="00EF788F" w:rsidRDefault="007C6B78" w:rsidP="00301D89">
            <w:pPr>
              <w:pStyle w:val="Tabletext"/>
            </w:pPr>
            <w:r w:rsidRPr="00EF788F">
              <w:lastRenderedPageBreak/>
              <w:t>injection</w:t>
            </w:r>
          </w:p>
        </w:tc>
        <w:tc>
          <w:tcPr>
            <w:tcW w:w="910" w:type="pct"/>
            <w:tcBorders>
              <w:top w:val="single" w:sz="2" w:space="0" w:color="auto"/>
              <w:bottom w:val="nil"/>
            </w:tcBorders>
            <w:shd w:val="clear" w:color="auto" w:fill="auto"/>
          </w:tcPr>
          <w:p w14:paraId="48206435" w14:textId="77777777" w:rsidR="007C6B78" w:rsidRPr="00EF788F" w:rsidRDefault="007C6B78" w:rsidP="00301D89">
            <w:pPr>
              <w:pStyle w:val="Tabletext"/>
            </w:pPr>
            <w:r w:rsidRPr="00EF788F">
              <w:t>intravenous</w:t>
            </w:r>
          </w:p>
        </w:tc>
        <w:tc>
          <w:tcPr>
            <w:tcW w:w="1447" w:type="pct"/>
            <w:tcBorders>
              <w:top w:val="single" w:sz="2" w:space="0" w:color="auto"/>
              <w:bottom w:val="nil"/>
            </w:tcBorders>
            <w:shd w:val="clear" w:color="auto" w:fill="auto"/>
          </w:tcPr>
          <w:p w14:paraId="1DB12264" w14:textId="77777777" w:rsidR="007C6B78" w:rsidRPr="00EF788F" w:rsidRDefault="007C6B78" w:rsidP="00301D89">
            <w:pPr>
              <w:pStyle w:val="Tabletext"/>
            </w:pPr>
            <w:r w:rsidRPr="00EF788F">
              <w:t>treatment of metastatic castration</w:t>
            </w:r>
            <w:r w:rsidR="00EF788F">
              <w:noBreakHyphen/>
            </w:r>
            <w:r w:rsidRPr="00EF788F">
              <w:t>resistant prostate cancer</w:t>
            </w:r>
          </w:p>
        </w:tc>
      </w:tr>
    </w:tbl>
    <w:p w14:paraId="08DCE1E9" w14:textId="77777777" w:rsidR="00166FF6" w:rsidRPr="00EF788F" w:rsidRDefault="002D62DD" w:rsidP="00166FF6">
      <w:pPr>
        <w:pStyle w:val="ItemHead"/>
      </w:pPr>
      <w:r w:rsidRPr="00EF788F">
        <w:t>79</w:t>
      </w:r>
      <w:r w:rsidR="00166FF6" w:rsidRPr="00EF788F">
        <w:t xml:space="preserve">  </w:t>
      </w:r>
      <w:proofErr w:type="spellStart"/>
      <w:r w:rsidR="00E30156" w:rsidRPr="00EF788F">
        <w:t>Subregulation</w:t>
      </w:r>
      <w:proofErr w:type="spellEnd"/>
      <w:r w:rsidR="00E30156" w:rsidRPr="00EF788F">
        <w:t> 1</w:t>
      </w:r>
      <w:r w:rsidR="00166FF6" w:rsidRPr="00EF788F">
        <w:t xml:space="preserve">2B(1B) (after table </w:t>
      </w:r>
      <w:r w:rsidR="00E30156" w:rsidRPr="00EF788F">
        <w:t>item 5</w:t>
      </w:r>
      <w:r w:rsidR="00166FF6" w:rsidRPr="00EF788F">
        <w:t>8)</w:t>
      </w:r>
    </w:p>
    <w:p w14:paraId="1CD35FFE" w14:textId="77777777" w:rsidR="00166FF6" w:rsidRPr="00EF788F" w:rsidRDefault="00166FF6" w:rsidP="00166FF6">
      <w:pPr>
        <w:pStyle w:val="Item"/>
      </w:pPr>
      <w:r w:rsidRPr="00EF788F">
        <w:t>Insert:</w:t>
      </w:r>
    </w:p>
    <w:tbl>
      <w:tblPr>
        <w:tblW w:w="5000" w:type="pct"/>
        <w:tblBorders>
          <w:insideH w:val="single" w:sz="2" w:space="0" w:color="auto"/>
        </w:tblBorders>
        <w:tblLayout w:type="fixed"/>
        <w:tblLook w:val="0000" w:firstRow="0" w:lastRow="0" w:firstColumn="0" w:lastColumn="0" w:noHBand="0" w:noVBand="0"/>
      </w:tblPr>
      <w:tblGrid>
        <w:gridCol w:w="1101"/>
        <w:gridCol w:w="2125"/>
        <w:gridCol w:w="1283"/>
        <w:gridCol w:w="1552"/>
        <w:gridCol w:w="2468"/>
      </w:tblGrid>
      <w:tr w:rsidR="00166FF6" w:rsidRPr="00EF788F" w14:paraId="1321CEB1" w14:textId="77777777" w:rsidTr="007C6B78">
        <w:trPr>
          <w:trHeight w:val="20"/>
        </w:trPr>
        <w:tc>
          <w:tcPr>
            <w:tcW w:w="645" w:type="pct"/>
          </w:tcPr>
          <w:p w14:paraId="74165D86" w14:textId="77777777" w:rsidR="00166FF6" w:rsidRPr="00EF788F" w:rsidRDefault="00166FF6" w:rsidP="0048286D">
            <w:pPr>
              <w:pStyle w:val="Tabletext"/>
            </w:pPr>
            <w:r w:rsidRPr="00EF788F">
              <w:t>58A</w:t>
            </w:r>
          </w:p>
        </w:tc>
        <w:tc>
          <w:tcPr>
            <w:tcW w:w="1246" w:type="pct"/>
            <w:shd w:val="clear" w:color="auto" w:fill="auto"/>
          </w:tcPr>
          <w:p w14:paraId="190EDE1C" w14:textId="77777777" w:rsidR="00166FF6" w:rsidRPr="00EF788F" w:rsidRDefault="00166FF6" w:rsidP="0048286D">
            <w:pPr>
              <w:pStyle w:val="Tabletext"/>
            </w:pPr>
            <w:r w:rsidRPr="00EF788F">
              <w:t>nifedipine</w:t>
            </w:r>
          </w:p>
        </w:tc>
        <w:tc>
          <w:tcPr>
            <w:tcW w:w="752" w:type="pct"/>
            <w:shd w:val="clear" w:color="auto" w:fill="auto"/>
          </w:tcPr>
          <w:p w14:paraId="6A6B9888" w14:textId="77777777" w:rsidR="00166FF6" w:rsidRPr="00EF788F" w:rsidRDefault="00166FF6" w:rsidP="0048286D">
            <w:pPr>
              <w:pStyle w:val="Tabletext"/>
            </w:pPr>
            <w:r w:rsidRPr="00EF788F">
              <w:t>immediate release tablet</w:t>
            </w:r>
          </w:p>
        </w:tc>
        <w:tc>
          <w:tcPr>
            <w:tcW w:w="910" w:type="pct"/>
            <w:shd w:val="clear" w:color="auto" w:fill="auto"/>
          </w:tcPr>
          <w:p w14:paraId="3CC79ABC" w14:textId="77777777" w:rsidR="00166FF6" w:rsidRPr="00EF788F" w:rsidRDefault="00166FF6" w:rsidP="0048286D">
            <w:pPr>
              <w:pStyle w:val="Tabletext"/>
            </w:pPr>
            <w:r w:rsidRPr="00EF788F">
              <w:t>oral</w:t>
            </w:r>
          </w:p>
        </w:tc>
        <w:tc>
          <w:tcPr>
            <w:tcW w:w="1447" w:type="pct"/>
            <w:shd w:val="clear" w:color="auto" w:fill="auto"/>
          </w:tcPr>
          <w:p w14:paraId="5087E567" w14:textId="77777777" w:rsidR="00EF1DEF" w:rsidRPr="00EF788F" w:rsidRDefault="00EF1DEF" w:rsidP="00EF1DEF">
            <w:pPr>
              <w:pStyle w:val="Tablea"/>
            </w:pPr>
            <w:r w:rsidRPr="00EF788F">
              <w:t xml:space="preserve">(a) </w:t>
            </w:r>
            <w:r w:rsidR="00166FF6" w:rsidRPr="00EF788F">
              <w:t>treatment of preterm labo</w:t>
            </w:r>
            <w:r w:rsidR="005A5504" w:rsidRPr="00EF788F">
              <w:t>u</w:t>
            </w:r>
            <w:r w:rsidR="00166FF6" w:rsidRPr="00EF788F">
              <w:t>r</w:t>
            </w:r>
            <w:r w:rsidRPr="00EF788F">
              <w:t>;</w:t>
            </w:r>
            <w:r w:rsidR="00166FF6" w:rsidRPr="00EF788F">
              <w:t xml:space="preserve"> or</w:t>
            </w:r>
          </w:p>
          <w:p w14:paraId="087888B9" w14:textId="77777777" w:rsidR="005144E0" w:rsidRPr="00EF788F" w:rsidRDefault="00EF1DEF" w:rsidP="00EF1DEF">
            <w:pPr>
              <w:pStyle w:val="Tablea"/>
            </w:pPr>
            <w:r w:rsidRPr="00EF788F">
              <w:t xml:space="preserve">(b) </w:t>
            </w:r>
            <w:r w:rsidR="00166FF6" w:rsidRPr="00EF788F">
              <w:t>treatment of pre</w:t>
            </w:r>
            <w:r w:rsidR="00EF788F">
              <w:noBreakHyphen/>
            </w:r>
            <w:r w:rsidR="00166FF6" w:rsidRPr="00EF788F">
              <w:t>eclampsia</w:t>
            </w:r>
          </w:p>
        </w:tc>
      </w:tr>
      <w:tr w:rsidR="00EF1DEF" w:rsidRPr="00EF788F" w14:paraId="45F296EA" w14:textId="77777777" w:rsidTr="007C6B78">
        <w:trPr>
          <w:trHeight w:val="20"/>
        </w:trPr>
        <w:tc>
          <w:tcPr>
            <w:tcW w:w="645" w:type="pct"/>
          </w:tcPr>
          <w:p w14:paraId="13031998" w14:textId="77777777" w:rsidR="00EF1DEF" w:rsidRPr="00EF788F" w:rsidRDefault="00EF1DEF" w:rsidP="00EF1DEF">
            <w:pPr>
              <w:pStyle w:val="Tabletext"/>
            </w:pPr>
            <w:r w:rsidRPr="00EF788F">
              <w:t>58B</w:t>
            </w:r>
          </w:p>
        </w:tc>
        <w:tc>
          <w:tcPr>
            <w:tcW w:w="1246" w:type="pct"/>
            <w:shd w:val="clear" w:color="auto" w:fill="auto"/>
          </w:tcPr>
          <w:p w14:paraId="78F9A605" w14:textId="77777777" w:rsidR="00EF1DEF" w:rsidRPr="00EF788F" w:rsidRDefault="00EF1DEF" w:rsidP="00EF1DEF">
            <w:pPr>
              <w:pStyle w:val="Tabletext"/>
            </w:pPr>
            <w:r w:rsidRPr="00EF788F">
              <w:t>nifedipine</w:t>
            </w:r>
          </w:p>
        </w:tc>
        <w:tc>
          <w:tcPr>
            <w:tcW w:w="752" w:type="pct"/>
            <w:shd w:val="clear" w:color="auto" w:fill="auto"/>
          </w:tcPr>
          <w:p w14:paraId="1C630ACD" w14:textId="77777777" w:rsidR="00EF1DEF" w:rsidRPr="00EF788F" w:rsidRDefault="00EF1DEF" w:rsidP="00EF1DEF">
            <w:pPr>
              <w:pStyle w:val="Tabletext"/>
            </w:pPr>
            <w:r w:rsidRPr="00EF788F">
              <w:t>capsule</w:t>
            </w:r>
          </w:p>
        </w:tc>
        <w:tc>
          <w:tcPr>
            <w:tcW w:w="910" w:type="pct"/>
            <w:shd w:val="clear" w:color="auto" w:fill="auto"/>
          </w:tcPr>
          <w:p w14:paraId="1EA20D0D" w14:textId="77777777" w:rsidR="00EF1DEF" w:rsidRPr="00EF788F" w:rsidRDefault="00EF1DEF" w:rsidP="00EF1DEF">
            <w:pPr>
              <w:pStyle w:val="Tabletext"/>
            </w:pPr>
            <w:r w:rsidRPr="00EF788F">
              <w:t>oral</w:t>
            </w:r>
          </w:p>
        </w:tc>
        <w:tc>
          <w:tcPr>
            <w:tcW w:w="1447" w:type="pct"/>
            <w:shd w:val="clear" w:color="auto" w:fill="auto"/>
          </w:tcPr>
          <w:p w14:paraId="49DB7680" w14:textId="77777777" w:rsidR="00EF1DEF" w:rsidRPr="00EF788F" w:rsidRDefault="00EF1DEF" w:rsidP="00EF1DEF">
            <w:pPr>
              <w:pStyle w:val="Tablea"/>
            </w:pPr>
            <w:r w:rsidRPr="00EF788F">
              <w:t>(a) treatment of preterm labour; or</w:t>
            </w:r>
          </w:p>
          <w:p w14:paraId="035DF0FC" w14:textId="77777777" w:rsidR="00EF1DEF" w:rsidRPr="00EF788F" w:rsidRDefault="00EF1DEF" w:rsidP="00EF1DEF">
            <w:pPr>
              <w:pStyle w:val="Tablea"/>
            </w:pPr>
            <w:r w:rsidRPr="00EF788F">
              <w:t>(b) treatment of pre</w:t>
            </w:r>
            <w:r w:rsidR="00EF788F">
              <w:noBreakHyphen/>
            </w:r>
            <w:r w:rsidRPr="00EF788F">
              <w:t>eclampsia</w:t>
            </w:r>
          </w:p>
        </w:tc>
      </w:tr>
    </w:tbl>
    <w:p w14:paraId="06945EA9" w14:textId="77777777" w:rsidR="005144E0" w:rsidRPr="00EF788F" w:rsidRDefault="002D62DD" w:rsidP="005144E0">
      <w:pPr>
        <w:pStyle w:val="ItemHead"/>
      </w:pPr>
      <w:r w:rsidRPr="00EF788F">
        <w:t>80</w:t>
      </w:r>
      <w:r w:rsidR="005144E0" w:rsidRPr="00EF788F">
        <w:t xml:space="preserve">  </w:t>
      </w:r>
      <w:proofErr w:type="spellStart"/>
      <w:r w:rsidR="00E30156" w:rsidRPr="00EF788F">
        <w:t>Subregulation</w:t>
      </w:r>
      <w:proofErr w:type="spellEnd"/>
      <w:r w:rsidR="00E30156" w:rsidRPr="00EF788F">
        <w:t> 1</w:t>
      </w:r>
      <w:r w:rsidR="005144E0" w:rsidRPr="00EF788F">
        <w:t>2B(1B) (after table item 63)</w:t>
      </w:r>
    </w:p>
    <w:p w14:paraId="05003019" w14:textId="77777777" w:rsidR="005144E0" w:rsidRPr="00EF788F" w:rsidRDefault="005144E0" w:rsidP="005144E0">
      <w:pPr>
        <w:pStyle w:val="Item"/>
      </w:pPr>
      <w:r w:rsidRPr="00EF788F">
        <w:t>Insert:</w:t>
      </w:r>
    </w:p>
    <w:tbl>
      <w:tblPr>
        <w:tblW w:w="5000" w:type="pct"/>
        <w:tblBorders>
          <w:insideH w:val="single" w:sz="2" w:space="0" w:color="auto"/>
        </w:tblBorders>
        <w:tblLayout w:type="fixed"/>
        <w:tblLook w:val="0000" w:firstRow="0" w:lastRow="0" w:firstColumn="0" w:lastColumn="0" w:noHBand="0" w:noVBand="0"/>
      </w:tblPr>
      <w:tblGrid>
        <w:gridCol w:w="1101"/>
        <w:gridCol w:w="2125"/>
        <w:gridCol w:w="1283"/>
        <w:gridCol w:w="1552"/>
        <w:gridCol w:w="2468"/>
      </w:tblGrid>
      <w:tr w:rsidR="005144E0" w:rsidRPr="00EF788F" w14:paraId="7DA3E0A9" w14:textId="77777777" w:rsidTr="007C6B78">
        <w:trPr>
          <w:trHeight w:val="20"/>
        </w:trPr>
        <w:tc>
          <w:tcPr>
            <w:tcW w:w="645" w:type="pct"/>
          </w:tcPr>
          <w:p w14:paraId="7341D31F" w14:textId="77777777" w:rsidR="005144E0" w:rsidRPr="00EF788F" w:rsidRDefault="005144E0" w:rsidP="007C6B78">
            <w:pPr>
              <w:pStyle w:val="Tabletext"/>
            </w:pPr>
            <w:r w:rsidRPr="00EF788F">
              <w:t>63A</w:t>
            </w:r>
          </w:p>
        </w:tc>
        <w:tc>
          <w:tcPr>
            <w:tcW w:w="1246" w:type="pct"/>
            <w:shd w:val="clear" w:color="auto" w:fill="auto"/>
          </w:tcPr>
          <w:p w14:paraId="3F4D3443" w14:textId="77777777" w:rsidR="005144E0" w:rsidRPr="00EF788F" w:rsidRDefault="005144E0" w:rsidP="007C6B78">
            <w:pPr>
              <w:pStyle w:val="Tabletext"/>
            </w:pPr>
            <w:r w:rsidRPr="00EF788F">
              <w:t>progesterone</w:t>
            </w:r>
          </w:p>
        </w:tc>
        <w:tc>
          <w:tcPr>
            <w:tcW w:w="752" w:type="pct"/>
            <w:shd w:val="clear" w:color="auto" w:fill="auto"/>
          </w:tcPr>
          <w:p w14:paraId="0FDACCAE" w14:textId="77777777" w:rsidR="005144E0" w:rsidRPr="00EF788F" w:rsidRDefault="005144E0" w:rsidP="007C6B78">
            <w:pPr>
              <w:pStyle w:val="Tabletext"/>
            </w:pPr>
            <w:r w:rsidRPr="00EF788F">
              <w:t>injection</w:t>
            </w:r>
          </w:p>
        </w:tc>
        <w:tc>
          <w:tcPr>
            <w:tcW w:w="910" w:type="pct"/>
            <w:shd w:val="clear" w:color="auto" w:fill="auto"/>
          </w:tcPr>
          <w:p w14:paraId="57EAD69F" w14:textId="77777777" w:rsidR="005144E0" w:rsidRPr="00EF788F" w:rsidRDefault="005144E0" w:rsidP="007C6B78">
            <w:pPr>
              <w:pStyle w:val="Tabletext"/>
            </w:pPr>
            <w:r w:rsidRPr="00EF788F">
              <w:t>subcutaneous</w:t>
            </w:r>
          </w:p>
        </w:tc>
        <w:tc>
          <w:tcPr>
            <w:tcW w:w="1447" w:type="pct"/>
            <w:shd w:val="clear" w:color="auto" w:fill="auto"/>
          </w:tcPr>
          <w:p w14:paraId="6738806E" w14:textId="77777777" w:rsidR="005144E0" w:rsidRPr="00EF788F" w:rsidRDefault="005144E0" w:rsidP="007C6B78">
            <w:pPr>
              <w:pStyle w:val="Tabletext"/>
            </w:pPr>
            <w:r w:rsidRPr="00EF788F">
              <w:t>treatment of progesterone deficiency</w:t>
            </w:r>
          </w:p>
        </w:tc>
      </w:tr>
      <w:tr w:rsidR="005144E0" w:rsidRPr="00EF788F" w14:paraId="17FBDAAF" w14:textId="77777777" w:rsidTr="007C6B78">
        <w:trPr>
          <w:trHeight w:val="20"/>
        </w:trPr>
        <w:tc>
          <w:tcPr>
            <w:tcW w:w="645" w:type="pct"/>
          </w:tcPr>
          <w:p w14:paraId="12EEB865" w14:textId="77777777" w:rsidR="005144E0" w:rsidRPr="00EF788F" w:rsidRDefault="005144E0" w:rsidP="007C6B78">
            <w:pPr>
              <w:pStyle w:val="Tabletext"/>
            </w:pPr>
            <w:r w:rsidRPr="00EF788F">
              <w:t>63B</w:t>
            </w:r>
          </w:p>
        </w:tc>
        <w:tc>
          <w:tcPr>
            <w:tcW w:w="1246" w:type="pct"/>
            <w:shd w:val="clear" w:color="auto" w:fill="auto"/>
          </w:tcPr>
          <w:p w14:paraId="6B24BE0D" w14:textId="77777777" w:rsidR="005144E0" w:rsidRPr="00EF788F" w:rsidRDefault="005144E0" w:rsidP="007C6B78">
            <w:pPr>
              <w:pStyle w:val="Tabletext"/>
            </w:pPr>
            <w:r w:rsidRPr="00EF788F">
              <w:t>progesterone in oil</w:t>
            </w:r>
          </w:p>
        </w:tc>
        <w:tc>
          <w:tcPr>
            <w:tcW w:w="752" w:type="pct"/>
            <w:shd w:val="clear" w:color="auto" w:fill="auto"/>
          </w:tcPr>
          <w:p w14:paraId="7B9BDDDF" w14:textId="77777777" w:rsidR="005144E0" w:rsidRPr="00EF788F" w:rsidRDefault="005144E0" w:rsidP="007C6B78">
            <w:pPr>
              <w:pStyle w:val="Tabletext"/>
            </w:pPr>
            <w:r w:rsidRPr="00EF788F">
              <w:t>injection</w:t>
            </w:r>
          </w:p>
        </w:tc>
        <w:tc>
          <w:tcPr>
            <w:tcW w:w="910" w:type="pct"/>
            <w:shd w:val="clear" w:color="auto" w:fill="auto"/>
          </w:tcPr>
          <w:p w14:paraId="259BBC9C" w14:textId="77777777" w:rsidR="005144E0" w:rsidRPr="00EF788F" w:rsidRDefault="003D0CDE" w:rsidP="007C6B78">
            <w:pPr>
              <w:pStyle w:val="Tabletext"/>
            </w:pPr>
            <w:r w:rsidRPr="00EF788F">
              <w:t>intramuscular</w:t>
            </w:r>
          </w:p>
        </w:tc>
        <w:tc>
          <w:tcPr>
            <w:tcW w:w="1447" w:type="pct"/>
            <w:shd w:val="clear" w:color="auto" w:fill="auto"/>
          </w:tcPr>
          <w:p w14:paraId="629F653E" w14:textId="77777777" w:rsidR="005144E0" w:rsidRPr="00EF788F" w:rsidRDefault="005144E0" w:rsidP="007C6B78">
            <w:pPr>
              <w:pStyle w:val="Tabletext"/>
            </w:pPr>
            <w:r w:rsidRPr="00EF788F">
              <w:t>treatment of progesterone deficiency</w:t>
            </w:r>
          </w:p>
        </w:tc>
      </w:tr>
    </w:tbl>
    <w:p w14:paraId="34013947" w14:textId="77777777" w:rsidR="003D0CDE" w:rsidRPr="00EF788F" w:rsidRDefault="002D62DD" w:rsidP="003D0CDE">
      <w:pPr>
        <w:pStyle w:val="ItemHead"/>
      </w:pPr>
      <w:r w:rsidRPr="00EF788F">
        <w:t>81</w:t>
      </w:r>
      <w:r w:rsidR="003D0CDE" w:rsidRPr="00EF788F">
        <w:t xml:space="preserve">  </w:t>
      </w:r>
      <w:proofErr w:type="spellStart"/>
      <w:r w:rsidR="00E30156" w:rsidRPr="00EF788F">
        <w:t>Subregulation</w:t>
      </w:r>
      <w:proofErr w:type="spellEnd"/>
      <w:r w:rsidR="00E30156" w:rsidRPr="00EF788F">
        <w:t> 1</w:t>
      </w:r>
      <w:r w:rsidR="003D0CDE" w:rsidRPr="00EF788F">
        <w:t>2B(1B) (after table item 72)</w:t>
      </w:r>
    </w:p>
    <w:p w14:paraId="2DFF1A22" w14:textId="77777777" w:rsidR="003D0CDE" w:rsidRPr="00EF788F" w:rsidRDefault="003D0CDE" w:rsidP="003D0CDE">
      <w:pPr>
        <w:pStyle w:val="Item"/>
      </w:pPr>
      <w:r w:rsidRPr="00EF788F">
        <w:t>Insert:</w:t>
      </w:r>
    </w:p>
    <w:tbl>
      <w:tblPr>
        <w:tblW w:w="5000" w:type="pct"/>
        <w:tblLayout w:type="fixed"/>
        <w:tblLook w:val="0000" w:firstRow="0" w:lastRow="0" w:firstColumn="0" w:lastColumn="0" w:noHBand="0" w:noVBand="0"/>
      </w:tblPr>
      <w:tblGrid>
        <w:gridCol w:w="1101"/>
        <w:gridCol w:w="2125"/>
        <w:gridCol w:w="1283"/>
        <w:gridCol w:w="1552"/>
        <w:gridCol w:w="2468"/>
      </w:tblGrid>
      <w:tr w:rsidR="003D0CDE" w:rsidRPr="00EF788F" w14:paraId="1FD19174" w14:textId="77777777" w:rsidTr="00301D89">
        <w:trPr>
          <w:trHeight w:val="20"/>
        </w:trPr>
        <w:tc>
          <w:tcPr>
            <w:tcW w:w="645" w:type="pct"/>
          </w:tcPr>
          <w:p w14:paraId="2E9A4CD0" w14:textId="77777777" w:rsidR="003D0CDE" w:rsidRPr="00EF788F" w:rsidRDefault="003D0CDE" w:rsidP="007C6B78">
            <w:pPr>
              <w:pStyle w:val="Tabletext"/>
            </w:pPr>
            <w:r w:rsidRPr="00EF788F">
              <w:t>72A</w:t>
            </w:r>
          </w:p>
        </w:tc>
        <w:tc>
          <w:tcPr>
            <w:tcW w:w="1246" w:type="pct"/>
            <w:shd w:val="clear" w:color="auto" w:fill="auto"/>
          </w:tcPr>
          <w:p w14:paraId="7081A5D2" w14:textId="77777777" w:rsidR="003D0CDE" w:rsidRPr="00EF788F" w:rsidRDefault="003D0CDE" w:rsidP="007C6B78">
            <w:pPr>
              <w:pStyle w:val="Tabletext"/>
            </w:pPr>
            <w:r w:rsidRPr="00EF788F">
              <w:t>Technetium</w:t>
            </w:r>
            <w:r w:rsidR="00EF788F">
              <w:noBreakHyphen/>
            </w:r>
            <w:r w:rsidRPr="00EF788F">
              <w:t xml:space="preserve">99m (99m Tc) </w:t>
            </w:r>
            <w:r w:rsidR="00142B13" w:rsidRPr="00EF788F">
              <w:t>p</w:t>
            </w:r>
            <w:r w:rsidRPr="00EF788F">
              <w:t xml:space="preserve">rostate </w:t>
            </w:r>
            <w:r w:rsidR="00142B13" w:rsidRPr="00EF788F">
              <w:t>s</w:t>
            </w:r>
            <w:r w:rsidRPr="00EF788F">
              <w:t xml:space="preserve">pecific </w:t>
            </w:r>
            <w:r w:rsidR="00142B13" w:rsidRPr="00EF788F">
              <w:t>m</w:t>
            </w:r>
            <w:r w:rsidRPr="00EF788F">
              <w:t xml:space="preserve">embrane </w:t>
            </w:r>
            <w:r w:rsidR="00142B13" w:rsidRPr="00EF788F">
              <w:t>a</w:t>
            </w:r>
            <w:r w:rsidRPr="00EF788F">
              <w:t>ntigen (</w:t>
            </w:r>
            <w:proofErr w:type="spellStart"/>
            <w:r w:rsidRPr="00EF788F">
              <w:t>PSMA</w:t>
            </w:r>
            <w:proofErr w:type="spellEnd"/>
            <w:r w:rsidRPr="00EF788F">
              <w:t>)</w:t>
            </w:r>
          </w:p>
        </w:tc>
        <w:tc>
          <w:tcPr>
            <w:tcW w:w="752" w:type="pct"/>
            <w:shd w:val="clear" w:color="auto" w:fill="auto"/>
          </w:tcPr>
          <w:p w14:paraId="38C35676" w14:textId="77777777" w:rsidR="003D0CDE" w:rsidRPr="00EF788F" w:rsidRDefault="003D0CDE" w:rsidP="007C6B78">
            <w:pPr>
              <w:pStyle w:val="Tabletext"/>
            </w:pPr>
            <w:r w:rsidRPr="00EF788F">
              <w:t>injection</w:t>
            </w:r>
          </w:p>
        </w:tc>
        <w:tc>
          <w:tcPr>
            <w:tcW w:w="910" w:type="pct"/>
            <w:shd w:val="clear" w:color="auto" w:fill="auto"/>
          </w:tcPr>
          <w:p w14:paraId="38D8B95F" w14:textId="77777777" w:rsidR="003D0CDE" w:rsidRPr="00EF788F" w:rsidRDefault="003D0CDE" w:rsidP="007C6B78">
            <w:pPr>
              <w:pStyle w:val="Tabletext"/>
            </w:pPr>
            <w:r w:rsidRPr="00EF788F">
              <w:t>intravenous</w:t>
            </w:r>
          </w:p>
        </w:tc>
        <w:tc>
          <w:tcPr>
            <w:tcW w:w="1447" w:type="pct"/>
            <w:shd w:val="clear" w:color="auto" w:fill="auto"/>
          </w:tcPr>
          <w:p w14:paraId="6D4C3671" w14:textId="77777777" w:rsidR="003D0CDE" w:rsidRPr="00EF788F" w:rsidRDefault="003D0CDE" w:rsidP="007C6B78">
            <w:pPr>
              <w:pStyle w:val="Tabletext"/>
            </w:pPr>
            <w:r w:rsidRPr="00EF788F">
              <w:t>prostate cancer imaging study</w:t>
            </w:r>
          </w:p>
        </w:tc>
      </w:tr>
    </w:tbl>
    <w:p w14:paraId="45C5C11E" w14:textId="77777777" w:rsidR="0005181A" w:rsidRPr="00EF788F" w:rsidRDefault="002D62DD" w:rsidP="0005181A">
      <w:pPr>
        <w:pStyle w:val="ItemHead"/>
      </w:pPr>
      <w:r w:rsidRPr="00EF788F">
        <w:t>82</w:t>
      </w:r>
      <w:r w:rsidR="0005181A" w:rsidRPr="00EF788F">
        <w:t xml:space="preserve">  After </w:t>
      </w:r>
      <w:proofErr w:type="spellStart"/>
      <w:r w:rsidR="00E30156" w:rsidRPr="00EF788F">
        <w:t>subregulation</w:t>
      </w:r>
      <w:proofErr w:type="spellEnd"/>
      <w:r w:rsidR="00E30156" w:rsidRPr="00EF788F">
        <w:t> 1</w:t>
      </w:r>
      <w:r w:rsidR="0005181A" w:rsidRPr="00EF788F">
        <w:t>2B(1B)</w:t>
      </w:r>
    </w:p>
    <w:p w14:paraId="4E8E7BA8" w14:textId="77777777" w:rsidR="0005181A" w:rsidRPr="00EF788F" w:rsidRDefault="0005181A" w:rsidP="0005181A">
      <w:pPr>
        <w:pStyle w:val="Item"/>
      </w:pPr>
      <w:r w:rsidRPr="00EF788F">
        <w:t>Insert:</w:t>
      </w:r>
    </w:p>
    <w:p w14:paraId="4B2ABB1D" w14:textId="77777777" w:rsidR="0005181A" w:rsidRPr="00EF788F" w:rsidRDefault="0005181A" w:rsidP="0005181A">
      <w:pPr>
        <w:pStyle w:val="subsection"/>
      </w:pPr>
      <w:r w:rsidRPr="00EF788F">
        <w:tab/>
        <w:t>(1C)</w:t>
      </w:r>
      <w:r w:rsidRPr="00EF788F">
        <w:tab/>
        <w:t xml:space="preserve">For the purposes of subsection 19(6) of the Act, </w:t>
      </w:r>
      <w:r w:rsidR="00E30156" w:rsidRPr="00EF788F">
        <w:t>paragraph 1</w:t>
      </w:r>
      <w:r w:rsidRPr="00EF788F">
        <w:t>9(6)(aa) of the Act does not apply if the supply is of a medicine by the medical practitioner to a patient of that practitioner, where:</w:t>
      </w:r>
    </w:p>
    <w:p w14:paraId="415934A2" w14:textId="77777777" w:rsidR="0005181A" w:rsidRPr="00EF788F" w:rsidRDefault="0005181A" w:rsidP="0005181A">
      <w:pPr>
        <w:pStyle w:val="paragraph"/>
      </w:pPr>
      <w:r w:rsidRPr="00EF788F">
        <w:tab/>
        <w:t>(a)</w:t>
      </w:r>
      <w:r w:rsidRPr="00EF788F">
        <w:tab/>
        <w:t xml:space="preserve">the </w:t>
      </w:r>
      <w:r w:rsidR="00CF30F8" w:rsidRPr="00EF788F">
        <w:t>circumstances</w:t>
      </w:r>
      <w:r w:rsidRPr="00EF788F">
        <w:t xml:space="preserve"> specified in column 2 of an item in the following table </w:t>
      </w:r>
      <w:r w:rsidR="00CF30F8" w:rsidRPr="00EF788F">
        <w:t>exist</w:t>
      </w:r>
      <w:r w:rsidRPr="00EF788F">
        <w:t xml:space="preserve"> in relation to the medicine; and</w:t>
      </w:r>
    </w:p>
    <w:p w14:paraId="1644F050" w14:textId="77777777" w:rsidR="0005181A" w:rsidRPr="00EF788F" w:rsidRDefault="0005181A" w:rsidP="0005181A">
      <w:pPr>
        <w:pStyle w:val="paragraph"/>
      </w:pPr>
      <w:r w:rsidRPr="00EF788F">
        <w:tab/>
        <w:t>(b)</w:t>
      </w:r>
      <w:r w:rsidRPr="00EF788F">
        <w:tab/>
        <w:t>the medicine is in the dosage form specified in column 3 of that item; and</w:t>
      </w:r>
    </w:p>
    <w:p w14:paraId="6DC3EF26" w14:textId="77777777" w:rsidR="0005181A" w:rsidRPr="00EF788F" w:rsidRDefault="0005181A" w:rsidP="0005181A">
      <w:pPr>
        <w:pStyle w:val="paragraph"/>
      </w:pPr>
      <w:r w:rsidRPr="00EF788F">
        <w:tab/>
        <w:t>(</w:t>
      </w:r>
      <w:r w:rsidR="00D32E1E" w:rsidRPr="00EF788F">
        <w:t>c</w:t>
      </w:r>
      <w:r w:rsidRPr="00EF788F">
        <w:t>)</w:t>
      </w:r>
      <w:r w:rsidRPr="00EF788F">
        <w:tab/>
        <w:t>the medicine is to be administered by the route specified in column 4 of that item; and</w:t>
      </w:r>
    </w:p>
    <w:p w14:paraId="10BA6697" w14:textId="77777777" w:rsidR="0005181A" w:rsidRPr="00EF788F" w:rsidRDefault="0005181A" w:rsidP="0005181A">
      <w:pPr>
        <w:pStyle w:val="paragraph"/>
      </w:pPr>
      <w:r w:rsidRPr="00EF788F">
        <w:tab/>
        <w:t>(</w:t>
      </w:r>
      <w:r w:rsidR="00D32E1E" w:rsidRPr="00EF788F">
        <w:t>d</w:t>
      </w:r>
      <w:r w:rsidRPr="00EF788F">
        <w:t>)</w:t>
      </w:r>
      <w:r w:rsidRPr="00EF788F">
        <w:tab/>
        <w:t>the supply is for the indication specified in column 5 of that item.</w:t>
      </w:r>
    </w:p>
    <w:p w14:paraId="59FE63FA" w14:textId="77777777" w:rsidR="0005181A" w:rsidRPr="00EF788F" w:rsidRDefault="0005181A" w:rsidP="0005181A">
      <w:pPr>
        <w:pStyle w:val="Tabletext"/>
      </w:pP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00"/>
        <w:gridCol w:w="2409"/>
        <w:gridCol w:w="1134"/>
        <w:gridCol w:w="1561"/>
        <w:gridCol w:w="2325"/>
      </w:tblGrid>
      <w:tr w:rsidR="0005181A" w:rsidRPr="00EF788F" w14:paraId="4DA09C35" w14:textId="77777777" w:rsidTr="0081445A">
        <w:trPr>
          <w:trHeight w:val="57"/>
          <w:tblHeader/>
        </w:trPr>
        <w:tc>
          <w:tcPr>
            <w:tcW w:w="5000" w:type="pct"/>
            <w:gridSpan w:val="5"/>
            <w:tcBorders>
              <w:top w:val="single" w:sz="12" w:space="0" w:color="auto"/>
              <w:bottom w:val="nil"/>
            </w:tcBorders>
          </w:tcPr>
          <w:p w14:paraId="0F4E65B5" w14:textId="77777777" w:rsidR="0005181A" w:rsidRPr="00EF788F" w:rsidRDefault="0005181A" w:rsidP="0081445A">
            <w:pPr>
              <w:pStyle w:val="TableHeading"/>
            </w:pPr>
            <w:r w:rsidRPr="00EF788F">
              <w:t>Specified therapeutic goods</w:t>
            </w:r>
          </w:p>
        </w:tc>
      </w:tr>
      <w:tr w:rsidR="0005181A" w:rsidRPr="00EF788F" w14:paraId="3C87136F" w14:textId="77777777" w:rsidTr="00D32E1E">
        <w:trPr>
          <w:trHeight w:val="57"/>
          <w:tblHeader/>
        </w:trPr>
        <w:tc>
          <w:tcPr>
            <w:tcW w:w="645" w:type="pct"/>
            <w:tcBorders>
              <w:top w:val="nil"/>
              <w:bottom w:val="single" w:sz="2" w:space="0" w:color="auto"/>
            </w:tcBorders>
          </w:tcPr>
          <w:p w14:paraId="259573B9" w14:textId="77777777" w:rsidR="0005181A" w:rsidRPr="00EF788F" w:rsidRDefault="0005181A" w:rsidP="0081445A">
            <w:pPr>
              <w:pStyle w:val="TableHeading"/>
            </w:pPr>
            <w:r w:rsidRPr="00EF788F">
              <w:t>Column 1</w:t>
            </w:r>
          </w:p>
        </w:tc>
        <w:tc>
          <w:tcPr>
            <w:tcW w:w="1412" w:type="pct"/>
            <w:tcBorders>
              <w:top w:val="nil"/>
              <w:bottom w:val="single" w:sz="2" w:space="0" w:color="auto"/>
            </w:tcBorders>
            <w:shd w:val="clear" w:color="auto" w:fill="auto"/>
          </w:tcPr>
          <w:p w14:paraId="71854B35" w14:textId="77777777" w:rsidR="0005181A" w:rsidRPr="00EF788F" w:rsidRDefault="0005181A" w:rsidP="0081445A">
            <w:pPr>
              <w:pStyle w:val="TableHeading"/>
            </w:pPr>
            <w:r w:rsidRPr="00EF788F">
              <w:t>Column 2</w:t>
            </w:r>
          </w:p>
        </w:tc>
        <w:tc>
          <w:tcPr>
            <w:tcW w:w="665" w:type="pct"/>
            <w:tcBorders>
              <w:top w:val="nil"/>
              <w:bottom w:val="single" w:sz="2" w:space="0" w:color="auto"/>
            </w:tcBorders>
            <w:shd w:val="clear" w:color="auto" w:fill="auto"/>
          </w:tcPr>
          <w:p w14:paraId="21A329A4" w14:textId="77777777" w:rsidR="0005181A" w:rsidRPr="00EF788F" w:rsidRDefault="0005181A" w:rsidP="0081445A">
            <w:pPr>
              <w:pStyle w:val="TableHeading"/>
            </w:pPr>
            <w:r w:rsidRPr="00EF788F">
              <w:t>Column 3</w:t>
            </w:r>
          </w:p>
        </w:tc>
        <w:tc>
          <w:tcPr>
            <w:tcW w:w="915" w:type="pct"/>
            <w:tcBorders>
              <w:top w:val="nil"/>
              <w:bottom w:val="single" w:sz="2" w:space="0" w:color="auto"/>
            </w:tcBorders>
            <w:shd w:val="clear" w:color="auto" w:fill="auto"/>
          </w:tcPr>
          <w:p w14:paraId="0B8135F3" w14:textId="77777777" w:rsidR="0005181A" w:rsidRPr="00EF788F" w:rsidRDefault="0005181A" w:rsidP="0081445A">
            <w:pPr>
              <w:pStyle w:val="TableHeading"/>
            </w:pPr>
            <w:r w:rsidRPr="00EF788F">
              <w:t>Column 4</w:t>
            </w:r>
          </w:p>
        </w:tc>
        <w:tc>
          <w:tcPr>
            <w:tcW w:w="1363" w:type="pct"/>
            <w:tcBorders>
              <w:top w:val="nil"/>
              <w:bottom w:val="single" w:sz="2" w:space="0" w:color="auto"/>
            </w:tcBorders>
            <w:shd w:val="clear" w:color="auto" w:fill="auto"/>
          </w:tcPr>
          <w:p w14:paraId="76FF55AF" w14:textId="77777777" w:rsidR="0005181A" w:rsidRPr="00EF788F" w:rsidRDefault="0005181A" w:rsidP="0081445A">
            <w:pPr>
              <w:pStyle w:val="TableHeading"/>
            </w:pPr>
            <w:r w:rsidRPr="00EF788F">
              <w:t>Column 5</w:t>
            </w:r>
          </w:p>
        </w:tc>
      </w:tr>
      <w:tr w:rsidR="0005181A" w:rsidRPr="00EF788F" w14:paraId="029E0974" w14:textId="77777777" w:rsidTr="00D32E1E">
        <w:trPr>
          <w:trHeight w:val="57"/>
          <w:tblHeader/>
        </w:trPr>
        <w:tc>
          <w:tcPr>
            <w:tcW w:w="645" w:type="pct"/>
            <w:tcBorders>
              <w:top w:val="single" w:sz="2" w:space="0" w:color="auto"/>
              <w:bottom w:val="single" w:sz="12" w:space="0" w:color="auto"/>
            </w:tcBorders>
          </w:tcPr>
          <w:p w14:paraId="250162B7" w14:textId="77777777" w:rsidR="0005181A" w:rsidRPr="00EF788F" w:rsidRDefault="0005181A" w:rsidP="0081445A">
            <w:pPr>
              <w:pStyle w:val="TableHeading"/>
            </w:pPr>
            <w:r w:rsidRPr="00EF788F">
              <w:t>Item</w:t>
            </w:r>
          </w:p>
        </w:tc>
        <w:tc>
          <w:tcPr>
            <w:tcW w:w="1412" w:type="pct"/>
            <w:tcBorders>
              <w:top w:val="single" w:sz="2" w:space="0" w:color="auto"/>
              <w:bottom w:val="single" w:sz="12" w:space="0" w:color="auto"/>
            </w:tcBorders>
            <w:shd w:val="clear" w:color="auto" w:fill="auto"/>
          </w:tcPr>
          <w:p w14:paraId="4134D4B5" w14:textId="77777777" w:rsidR="0005181A" w:rsidRPr="00EF788F" w:rsidRDefault="00CF30F8" w:rsidP="0081445A">
            <w:pPr>
              <w:pStyle w:val="TableHeading"/>
            </w:pPr>
            <w:r w:rsidRPr="00EF788F">
              <w:t>Circumstances</w:t>
            </w:r>
          </w:p>
        </w:tc>
        <w:tc>
          <w:tcPr>
            <w:tcW w:w="665" w:type="pct"/>
            <w:tcBorders>
              <w:top w:val="single" w:sz="2" w:space="0" w:color="auto"/>
              <w:bottom w:val="single" w:sz="12" w:space="0" w:color="auto"/>
            </w:tcBorders>
            <w:shd w:val="clear" w:color="auto" w:fill="auto"/>
          </w:tcPr>
          <w:p w14:paraId="22D0EF82" w14:textId="77777777" w:rsidR="0005181A" w:rsidRPr="00EF788F" w:rsidRDefault="0005181A" w:rsidP="0081445A">
            <w:pPr>
              <w:pStyle w:val="TableHeading"/>
            </w:pPr>
            <w:r w:rsidRPr="00EF788F">
              <w:t>Dosage form</w:t>
            </w:r>
          </w:p>
        </w:tc>
        <w:tc>
          <w:tcPr>
            <w:tcW w:w="915" w:type="pct"/>
            <w:tcBorders>
              <w:top w:val="single" w:sz="2" w:space="0" w:color="auto"/>
              <w:bottom w:val="single" w:sz="12" w:space="0" w:color="auto"/>
            </w:tcBorders>
            <w:shd w:val="clear" w:color="auto" w:fill="auto"/>
          </w:tcPr>
          <w:p w14:paraId="44811A34" w14:textId="77777777" w:rsidR="0005181A" w:rsidRPr="00EF788F" w:rsidRDefault="0005181A" w:rsidP="0081445A">
            <w:pPr>
              <w:pStyle w:val="TableHeading"/>
            </w:pPr>
            <w:r w:rsidRPr="00EF788F">
              <w:t>Route of administration</w:t>
            </w:r>
          </w:p>
        </w:tc>
        <w:tc>
          <w:tcPr>
            <w:tcW w:w="1363" w:type="pct"/>
            <w:tcBorders>
              <w:top w:val="single" w:sz="2" w:space="0" w:color="auto"/>
              <w:bottom w:val="single" w:sz="12" w:space="0" w:color="auto"/>
            </w:tcBorders>
            <w:shd w:val="clear" w:color="auto" w:fill="auto"/>
          </w:tcPr>
          <w:p w14:paraId="27D71DC6" w14:textId="77777777" w:rsidR="0005181A" w:rsidRPr="00EF788F" w:rsidRDefault="0005181A" w:rsidP="0081445A">
            <w:pPr>
              <w:pStyle w:val="TableHeading"/>
            </w:pPr>
            <w:r w:rsidRPr="00EF788F">
              <w:t>Indication</w:t>
            </w:r>
          </w:p>
        </w:tc>
      </w:tr>
      <w:tr w:rsidR="0005181A" w:rsidRPr="00EF788F" w14:paraId="3EAB4B6C" w14:textId="77777777" w:rsidTr="00D32E1E">
        <w:trPr>
          <w:trHeight w:val="20"/>
        </w:trPr>
        <w:tc>
          <w:tcPr>
            <w:tcW w:w="645" w:type="pct"/>
            <w:tcBorders>
              <w:top w:val="single" w:sz="2" w:space="0" w:color="auto"/>
              <w:bottom w:val="single" w:sz="2" w:space="0" w:color="auto"/>
            </w:tcBorders>
          </w:tcPr>
          <w:p w14:paraId="03DD566D" w14:textId="77777777" w:rsidR="0005181A" w:rsidRPr="00EF788F" w:rsidRDefault="0005181A" w:rsidP="0081445A">
            <w:pPr>
              <w:pStyle w:val="Tabletext"/>
            </w:pPr>
            <w:r w:rsidRPr="00EF788F">
              <w:t>1</w:t>
            </w:r>
          </w:p>
        </w:tc>
        <w:tc>
          <w:tcPr>
            <w:tcW w:w="1412" w:type="pct"/>
            <w:tcBorders>
              <w:top w:val="single" w:sz="2" w:space="0" w:color="auto"/>
              <w:bottom w:val="single" w:sz="2" w:space="0" w:color="auto"/>
            </w:tcBorders>
            <w:shd w:val="clear" w:color="auto" w:fill="auto"/>
          </w:tcPr>
          <w:p w14:paraId="5D493850" w14:textId="77777777" w:rsidR="0005181A" w:rsidRPr="00EF788F" w:rsidRDefault="00D32E1E" w:rsidP="00D32E1E">
            <w:pPr>
              <w:pStyle w:val="Tablea"/>
            </w:pPr>
            <w:r w:rsidRPr="00EF788F">
              <w:t xml:space="preserve">(a) </w:t>
            </w:r>
            <w:r w:rsidR="00D501B8" w:rsidRPr="00EF788F">
              <w:t>cannabidiol comprise</w:t>
            </w:r>
            <w:r w:rsidR="00CF30F8" w:rsidRPr="00EF788F">
              <w:t>s</w:t>
            </w:r>
            <w:r w:rsidR="00D501B8" w:rsidRPr="00EF788F">
              <w:t xml:space="preserve"> 98% or more of the total cannabinoid content of the medicine; and</w:t>
            </w:r>
          </w:p>
          <w:p w14:paraId="5D02460B" w14:textId="77777777" w:rsidR="00D32E1E" w:rsidRPr="00EF788F" w:rsidRDefault="00D32E1E" w:rsidP="00D32E1E">
            <w:pPr>
              <w:pStyle w:val="Tablea"/>
            </w:pPr>
            <w:r w:rsidRPr="00EF788F">
              <w:t xml:space="preserve">(b) </w:t>
            </w:r>
            <w:r w:rsidR="00D501B8" w:rsidRPr="00EF788F">
              <w:t xml:space="preserve">any cannabinoids, other than cannabidiol, in the </w:t>
            </w:r>
            <w:r w:rsidR="00D501B8" w:rsidRPr="00EF788F">
              <w:lastRenderedPageBreak/>
              <w:t xml:space="preserve">medicine </w:t>
            </w:r>
            <w:r w:rsidR="00CF30F8" w:rsidRPr="00EF788F">
              <w:t>are</w:t>
            </w:r>
            <w:r w:rsidR="00D501B8" w:rsidRPr="00EF788F">
              <w:t xml:space="preserve"> only those naturally found in cannabis and comprise 2% or less of the total cannabinoid content of the medicine; and</w:t>
            </w:r>
          </w:p>
          <w:p w14:paraId="3B46019E" w14:textId="77777777" w:rsidR="00D32E1E" w:rsidRPr="00EF788F" w:rsidRDefault="00D32E1E" w:rsidP="00D32E1E">
            <w:pPr>
              <w:pStyle w:val="Tablea"/>
            </w:pPr>
            <w:r w:rsidRPr="00EF788F">
              <w:t>(c) the medicine</w:t>
            </w:r>
            <w:r w:rsidR="00D501B8" w:rsidRPr="00EF788F">
              <w:t xml:space="preserve"> </w:t>
            </w:r>
            <w:r w:rsidRPr="00EF788F">
              <w:t>contain</w:t>
            </w:r>
            <w:r w:rsidR="00CF30F8" w:rsidRPr="00EF788F">
              <w:t>s</w:t>
            </w:r>
            <w:r w:rsidRPr="00EF788F">
              <w:t xml:space="preserve"> no other active ingredients</w:t>
            </w:r>
          </w:p>
        </w:tc>
        <w:tc>
          <w:tcPr>
            <w:tcW w:w="665" w:type="pct"/>
            <w:tcBorders>
              <w:top w:val="single" w:sz="2" w:space="0" w:color="auto"/>
              <w:bottom w:val="single" w:sz="2" w:space="0" w:color="auto"/>
            </w:tcBorders>
            <w:shd w:val="clear" w:color="auto" w:fill="auto"/>
          </w:tcPr>
          <w:p w14:paraId="07B8DA47" w14:textId="77777777" w:rsidR="0005181A" w:rsidRPr="00EF788F" w:rsidRDefault="00D32E1E" w:rsidP="00D32E1E">
            <w:pPr>
              <w:pStyle w:val="Tabletext"/>
            </w:pPr>
            <w:r w:rsidRPr="00EF788F">
              <w:lastRenderedPageBreak/>
              <w:t>liquid</w:t>
            </w:r>
          </w:p>
        </w:tc>
        <w:tc>
          <w:tcPr>
            <w:tcW w:w="915" w:type="pct"/>
            <w:tcBorders>
              <w:top w:val="single" w:sz="2" w:space="0" w:color="auto"/>
              <w:bottom w:val="single" w:sz="2" w:space="0" w:color="auto"/>
            </w:tcBorders>
            <w:shd w:val="clear" w:color="auto" w:fill="auto"/>
          </w:tcPr>
          <w:p w14:paraId="599A7B08" w14:textId="77777777" w:rsidR="0005181A" w:rsidRPr="00EF788F" w:rsidRDefault="00D32E1E" w:rsidP="0081445A">
            <w:pPr>
              <w:pStyle w:val="Tabletext"/>
            </w:pPr>
            <w:r w:rsidRPr="00EF788F">
              <w:t>oral</w:t>
            </w:r>
          </w:p>
        </w:tc>
        <w:tc>
          <w:tcPr>
            <w:tcW w:w="1363" w:type="pct"/>
            <w:tcBorders>
              <w:top w:val="single" w:sz="2" w:space="0" w:color="auto"/>
              <w:bottom w:val="single" w:sz="2" w:space="0" w:color="auto"/>
            </w:tcBorders>
            <w:shd w:val="clear" w:color="auto" w:fill="auto"/>
          </w:tcPr>
          <w:p w14:paraId="166EC650" w14:textId="77777777" w:rsidR="0081445A" w:rsidRPr="00EF788F" w:rsidRDefault="0081445A" w:rsidP="0081445A">
            <w:pPr>
              <w:pStyle w:val="Tablea"/>
            </w:pPr>
            <w:r w:rsidRPr="00EF788F">
              <w:t xml:space="preserve">(a) </w:t>
            </w:r>
            <w:r w:rsidR="00D32E1E" w:rsidRPr="00EF788F">
              <w:t>treatment of refractory chronic pain in adult patients</w:t>
            </w:r>
            <w:r w:rsidRPr="00EF788F">
              <w:t xml:space="preserve">; </w:t>
            </w:r>
            <w:r w:rsidR="00D32E1E" w:rsidRPr="00EF788F">
              <w:t>or</w:t>
            </w:r>
          </w:p>
          <w:p w14:paraId="32BAADD3" w14:textId="77777777" w:rsidR="0005181A" w:rsidRPr="00EF788F" w:rsidRDefault="0081445A" w:rsidP="0081445A">
            <w:pPr>
              <w:pStyle w:val="Tablea"/>
            </w:pPr>
            <w:r w:rsidRPr="00EF788F">
              <w:t xml:space="preserve">(b) </w:t>
            </w:r>
            <w:r w:rsidR="00D32E1E" w:rsidRPr="00EF788F">
              <w:t>treatment of refractory anxiety in adult patients</w:t>
            </w:r>
          </w:p>
        </w:tc>
      </w:tr>
      <w:tr w:rsidR="0081445A" w:rsidRPr="00EF788F" w14:paraId="61C7EB6D" w14:textId="77777777" w:rsidTr="00D32E1E">
        <w:trPr>
          <w:trHeight w:val="20"/>
        </w:trPr>
        <w:tc>
          <w:tcPr>
            <w:tcW w:w="645" w:type="pct"/>
            <w:tcBorders>
              <w:top w:val="single" w:sz="2" w:space="0" w:color="auto"/>
              <w:bottom w:val="single" w:sz="2" w:space="0" w:color="auto"/>
            </w:tcBorders>
          </w:tcPr>
          <w:p w14:paraId="4C794AEC" w14:textId="77777777" w:rsidR="0081445A" w:rsidRPr="00EF788F" w:rsidRDefault="0081445A" w:rsidP="0081445A">
            <w:pPr>
              <w:pStyle w:val="Tabletext"/>
            </w:pPr>
            <w:r w:rsidRPr="00EF788F">
              <w:t>2</w:t>
            </w:r>
          </w:p>
        </w:tc>
        <w:tc>
          <w:tcPr>
            <w:tcW w:w="1412" w:type="pct"/>
            <w:tcBorders>
              <w:top w:val="single" w:sz="2" w:space="0" w:color="auto"/>
              <w:bottom w:val="single" w:sz="2" w:space="0" w:color="auto"/>
            </w:tcBorders>
            <w:shd w:val="clear" w:color="auto" w:fill="auto"/>
          </w:tcPr>
          <w:p w14:paraId="643C0DA8" w14:textId="77777777" w:rsidR="0081445A" w:rsidRPr="00EF788F" w:rsidRDefault="0081445A" w:rsidP="0081445A">
            <w:pPr>
              <w:pStyle w:val="Tablea"/>
            </w:pPr>
            <w:r w:rsidRPr="00EF788F">
              <w:t>(a) cannabidiol comprise</w:t>
            </w:r>
            <w:r w:rsidR="00685761" w:rsidRPr="00EF788F">
              <w:t>s</w:t>
            </w:r>
            <w:r w:rsidRPr="00EF788F">
              <w:t xml:space="preserve"> 98% or more of the total cannabinoid content of the medicine; and</w:t>
            </w:r>
          </w:p>
          <w:p w14:paraId="6EE4E2A2" w14:textId="77777777" w:rsidR="0081445A" w:rsidRPr="00EF788F" w:rsidRDefault="0081445A" w:rsidP="0081445A">
            <w:pPr>
              <w:pStyle w:val="Tablea"/>
            </w:pPr>
            <w:r w:rsidRPr="00EF788F">
              <w:t xml:space="preserve">(b) any cannabinoids, other than cannabidiol, in the medicine </w:t>
            </w:r>
            <w:r w:rsidR="00A5312B" w:rsidRPr="00EF788F">
              <w:t>are</w:t>
            </w:r>
            <w:r w:rsidRPr="00EF788F">
              <w:t xml:space="preserve"> only those naturally found in cannabis and comprise 2% or less of the total cannabinoid content of the medicine; and</w:t>
            </w:r>
          </w:p>
          <w:p w14:paraId="5DD763AD" w14:textId="77777777" w:rsidR="0081445A" w:rsidRPr="00EF788F" w:rsidRDefault="0081445A" w:rsidP="0081445A">
            <w:pPr>
              <w:pStyle w:val="Tablea"/>
            </w:pPr>
            <w:r w:rsidRPr="00EF788F">
              <w:t>(c) the medicine contain</w:t>
            </w:r>
            <w:r w:rsidR="00A5312B" w:rsidRPr="00EF788F">
              <w:t>s</w:t>
            </w:r>
            <w:r w:rsidRPr="00EF788F">
              <w:t xml:space="preserve"> no other active ingredients</w:t>
            </w:r>
          </w:p>
        </w:tc>
        <w:tc>
          <w:tcPr>
            <w:tcW w:w="665" w:type="pct"/>
            <w:tcBorders>
              <w:top w:val="single" w:sz="2" w:space="0" w:color="auto"/>
              <w:bottom w:val="single" w:sz="2" w:space="0" w:color="auto"/>
            </w:tcBorders>
            <w:shd w:val="clear" w:color="auto" w:fill="auto"/>
          </w:tcPr>
          <w:p w14:paraId="2B17C362" w14:textId="77777777" w:rsidR="0081445A" w:rsidRPr="00EF788F" w:rsidRDefault="0081445A" w:rsidP="0081445A">
            <w:pPr>
              <w:pStyle w:val="Tabletext"/>
            </w:pPr>
            <w:r w:rsidRPr="00EF788F">
              <w:t>capsule</w:t>
            </w:r>
          </w:p>
        </w:tc>
        <w:tc>
          <w:tcPr>
            <w:tcW w:w="915" w:type="pct"/>
            <w:tcBorders>
              <w:top w:val="single" w:sz="2" w:space="0" w:color="auto"/>
              <w:bottom w:val="single" w:sz="2" w:space="0" w:color="auto"/>
            </w:tcBorders>
            <w:shd w:val="clear" w:color="auto" w:fill="auto"/>
          </w:tcPr>
          <w:p w14:paraId="49AF50C8" w14:textId="77777777" w:rsidR="0081445A" w:rsidRPr="00EF788F" w:rsidRDefault="0081445A" w:rsidP="0081445A">
            <w:pPr>
              <w:pStyle w:val="Tabletext"/>
            </w:pPr>
            <w:r w:rsidRPr="00EF788F">
              <w:t>oral</w:t>
            </w:r>
          </w:p>
        </w:tc>
        <w:tc>
          <w:tcPr>
            <w:tcW w:w="1363" w:type="pct"/>
            <w:tcBorders>
              <w:top w:val="single" w:sz="2" w:space="0" w:color="auto"/>
              <w:bottom w:val="single" w:sz="2" w:space="0" w:color="auto"/>
            </w:tcBorders>
            <w:shd w:val="clear" w:color="auto" w:fill="auto"/>
          </w:tcPr>
          <w:p w14:paraId="65BADBC0" w14:textId="77777777" w:rsidR="0081445A" w:rsidRPr="00EF788F" w:rsidRDefault="0081445A" w:rsidP="0081445A">
            <w:pPr>
              <w:pStyle w:val="Tablea"/>
            </w:pPr>
            <w:r w:rsidRPr="00EF788F">
              <w:t>(a) treatment of refractory chronic pain in adult patients; or</w:t>
            </w:r>
          </w:p>
          <w:p w14:paraId="4C8D3F73" w14:textId="77777777" w:rsidR="0081445A" w:rsidRPr="00EF788F" w:rsidRDefault="0081445A" w:rsidP="0081445A">
            <w:pPr>
              <w:pStyle w:val="Tablea"/>
            </w:pPr>
            <w:r w:rsidRPr="00EF788F">
              <w:t>(b) treatment of refractory anxiety in adult patients</w:t>
            </w:r>
          </w:p>
        </w:tc>
      </w:tr>
      <w:tr w:rsidR="0081445A" w:rsidRPr="00EF788F" w14:paraId="3705AB94" w14:textId="77777777" w:rsidTr="00D32E1E">
        <w:trPr>
          <w:trHeight w:val="20"/>
        </w:trPr>
        <w:tc>
          <w:tcPr>
            <w:tcW w:w="645" w:type="pct"/>
            <w:tcBorders>
              <w:top w:val="single" w:sz="2" w:space="0" w:color="auto"/>
              <w:bottom w:val="single" w:sz="2" w:space="0" w:color="auto"/>
            </w:tcBorders>
          </w:tcPr>
          <w:p w14:paraId="4D9FADD5" w14:textId="77777777" w:rsidR="0081445A" w:rsidRPr="00EF788F" w:rsidRDefault="0081445A" w:rsidP="0081445A">
            <w:pPr>
              <w:pStyle w:val="Tabletext"/>
            </w:pPr>
            <w:r w:rsidRPr="00EF788F">
              <w:t>3</w:t>
            </w:r>
          </w:p>
        </w:tc>
        <w:tc>
          <w:tcPr>
            <w:tcW w:w="1412" w:type="pct"/>
            <w:tcBorders>
              <w:top w:val="single" w:sz="2" w:space="0" w:color="auto"/>
              <w:bottom w:val="single" w:sz="2" w:space="0" w:color="auto"/>
            </w:tcBorders>
            <w:shd w:val="clear" w:color="auto" w:fill="auto"/>
          </w:tcPr>
          <w:p w14:paraId="01DC9A2D" w14:textId="77777777" w:rsidR="0081445A" w:rsidRPr="00EF788F" w:rsidRDefault="0081445A" w:rsidP="0081445A">
            <w:pPr>
              <w:pStyle w:val="Tablea"/>
            </w:pPr>
            <w:r w:rsidRPr="00EF788F">
              <w:t>(a) cannabidiol derived from cannabis comprise</w:t>
            </w:r>
            <w:r w:rsidR="00A5312B" w:rsidRPr="00EF788F">
              <w:t>s</w:t>
            </w:r>
            <w:r w:rsidRPr="00EF788F">
              <w:t xml:space="preserve"> 60% or more and less than 98% of the total cannabinoid content of the medicine; and</w:t>
            </w:r>
          </w:p>
          <w:p w14:paraId="07136301" w14:textId="77777777" w:rsidR="0081445A" w:rsidRPr="00EF788F" w:rsidRDefault="0081445A" w:rsidP="0081445A">
            <w:pPr>
              <w:pStyle w:val="Tablea"/>
            </w:pPr>
            <w:r w:rsidRPr="00EF788F">
              <w:t>(b) other cannabinoids (including tetrahydrocannabinol) derived from cannabis comprise the remaining cannabinoid content of the medicine; and</w:t>
            </w:r>
          </w:p>
          <w:p w14:paraId="0DC9C8C1" w14:textId="77777777" w:rsidR="0081445A" w:rsidRPr="00EF788F" w:rsidRDefault="0081445A" w:rsidP="0081445A">
            <w:pPr>
              <w:pStyle w:val="Tablea"/>
            </w:pPr>
            <w:r w:rsidRPr="00EF788F">
              <w:t>(c) the medicine contain</w:t>
            </w:r>
            <w:r w:rsidR="00A5312B" w:rsidRPr="00EF788F">
              <w:t>s</w:t>
            </w:r>
            <w:r w:rsidRPr="00EF788F">
              <w:t xml:space="preserve"> no other active ingredients</w:t>
            </w:r>
          </w:p>
        </w:tc>
        <w:tc>
          <w:tcPr>
            <w:tcW w:w="665" w:type="pct"/>
            <w:tcBorders>
              <w:top w:val="single" w:sz="2" w:space="0" w:color="auto"/>
              <w:bottom w:val="single" w:sz="2" w:space="0" w:color="auto"/>
            </w:tcBorders>
            <w:shd w:val="clear" w:color="auto" w:fill="auto"/>
          </w:tcPr>
          <w:p w14:paraId="11273EBE" w14:textId="77777777" w:rsidR="0081445A" w:rsidRPr="00EF788F" w:rsidRDefault="0081445A" w:rsidP="0081445A">
            <w:pPr>
              <w:pStyle w:val="Tabletext"/>
            </w:pPr>
            <w:r w:rsidRPr="00EF788F">
              <w:t>liquid</w:t>
            </w:r>
          </w:p>
        </w:tc>
        <w:tc>
          <w:tcPr>
            <w:tcW w:w="915" w:type="pct"/>
            <w:tcBorders>
              <w:top w:val="single" w:sz="2" w:space="0" w:color="auto"/>
              <w:bottom w:val="single" w:sz="2" w:space="0" w:color="auto"/>
            </w:tcBorders>
            <w:shd w:val="clear" w:color="auto" w:fill="auto"/>
          </w:tcPr>
          <w:p w14:paraId="299EB0D1" w14:textId="77777777" w:rsidR="0081445A" w:rsidRPr="00EF788F" w:rsidRDefault="0081445A" w:rsidP="0081445A">
            <w:pPr>
              <w:pStyle w:val="Tabletext"/>
            </w:pPr>
            <w:r w:rsidRPr="00EF788F">
              <w:t>oral</w:t>
            </w:r>
          </w:p>
        </w:tc>
        <w:tc>
          <w:tcPr>
            <w:tcW w:w="1363" w:type="pct"/>
            <w:tcBorders>
              <w:top w:val="single" w:sz="2" w:space="0" w:color="auto"/>
              <w:bottom w:val="single" w:sz="2" w:space="0" w:color="auto"/>
            </w:tcBorders>
            <w:shd w:val="clear" w:color="auto" w:fill="auto"/>
          </w:tcPr>
          <w:p w14:paraId="47F1FD15" w14:textId="77777777" w:rsidR="0081445A" w:rsidRPr="00EF788F" w:rsidRDefault="0081445A" w:rsidP="0081445A">
            <w:pPr>
              <w:pStyle w:val="Tablea"/>
            </w:pPr>
            <w:r w:rsidRPr="00EF788F">
              <w:t>(a) treatment of refractory chronic pain in adult patients; or</w:t>
            </w:r>
          </w:p>
          <w:p w14:paraId="2986E4D6" w14:textId="77777777" w:rsidR="0081445A" w:rsidRPr="00EF788F" w:rsidRDefault="0081445A" w:rsidP="0081445A">
            <w:pPr>
              <w:pStyle w:val="Tablea"/>
            </w:pPr>
            <w:r w:rsidRPr="00EF788F">
              <w:t>(b) treatment of refractory anxiety in adult patients</w:t>
            </w:r>
          </w:p>
        </w:tc>
      </w:tr>
      <w:tr w:rsidR="000932AC" w:rsidRPr="00EF788F" w14:paraId="1DBF95CE" w14:textId="77777777" w:rsidTr="00D32E1E">
        <w:trPr>
          <w:trHeight w:val="20"/>
        </w:trPr>
        <w:tc>
          <w:tcPr>
            <w:tcW w:w="645" w:type="pct"/>
            <w:tcBorders>
              <w:top w:val="single" w:sz="2" w:space="0" w:color="auto"/>
              <w:bottom w:val="single" w:sz="2" w:space="0" w:color="auto"/>
            </w:tcBorders>
          </w:tcPr>
          <w:p w14:paraId="6F940B54" w14:textId="77777777" w:rsidR="000932AC" w:rsidRPr="00EF788F" w:rsidRDefault="000932AC" w:rsidP="000932AC">
            <w:pPr>
              <w:pStyle w:val="Tabletext"/>
            </w:pPr>
            <w:r w:rsidRPr="00EF788F">
              <w:t>4</w:t>
            </w:r>
          </w:p>
        </w:tc>
        <w:tc>
          <w:tcPr>
            <w:tcW w:w="1412" w:type="pct"/>
            <w:tcBorders>
              <w:top w:val="single" w:sz="2" w:space="0" w:color="auto"/>
              <w:bottom w:val="single" w:sz="2" w:space="0" w:color="auto"/>
            </w:tcBorders>
            <w:shd w:val="clear" w:color="auto" w:fill="auto"/>
          </w:tcPr>
          <w:p w14:paraId="1D83890F" w14:textId="77777777" w:rsidR="000932AC" w:rsidRPr="00EF788F" w:rsidRDefault="000932AC" w:rsidP="000932AC">
            <w:pPr>
              <w:pStyle w:val="Tablea"/>
            </w:pPr>
            <w:r w:rsidRPr="00EF788F">
              <w:t>(a) cannabidiol derived from cannabis comprise</w:t>
            </w:r>
            <w:r w:rsidR="00A5312B" w:rsidRPr="00EF788F">
              <w:t>s</w:t>
            </w:r>
            <w:r w:rsidRPr="00EF788F">
              <w:t xml:space="preserve"> 60% or more and less than 98% of the total cannabinoid content of the medicine; and</w:t>
            </w:r>
          </w:p>
          <w:p w14:paraId="5A2DBB85" w14:textId="77777777" w:rsidR="000932AC" w:rsidRPr="00EF788F" w:rsidRDefault="000932AC" w:rsidP="000932AC">
            <w:pPr>
              <w:pStyle w:val="Tablea"/>
            </w:pPr>
            <w:r w:rsidRPr="00EF788F">
              <w:t xml:space="preserve">(b) other cannabinoids (including </w:t>
            </w:r>
            <w:r w:rsidRPr="00EF788F">
              <w:lastRenderedPageBreak/>
              <w:t>tetrahydrocannabinol) derived from cannabis comprise the remaining cannabinoid content of the medicine; and</w:t>
            </w:r>
          </w:p>
          <w:p w14:paraId="277FCA90" w14:textId="77777777" w:rsidR="000932AC" w:rsidRPr="00EF788F" w:rsidRDefault="000932AC" w:rsidP="000932AC">
            <w:pPr>
              <w:pStyle w:val="Tablea"/>
            </w:pPr>
            <w:r w:rsidRPr="00EF788F">
              <w:t>(c) the medicine contain</w:t>
            </w:r>
            <w:r w:rsidR="00A5312B" w:rsidRPr="00EF788F">
              <w:t>s</w:t>
            </w:r>
            <w:r w:rsidRPr="00EF788F">
              <w:t xml:space="preserve"> no other active ingredients</w:t>
            </w:r>
          </w:p>
        </w:tc>
        <w:tc>
          <w:tcPr>
            <w:tcW w:w="665" w:type="pct"/>
            <w:tcBorders>
              <w:top w:val="single" w:sz="2" w:space="0" w:color="auto"/>
              <w:bottom w:val="single" w:sz="2" w:space="0" w:color="auto"/>
            </w:tcBorders>
            <w:shd w:val="clear" w:color="auto" w:fill="auto"/>
          </w:tcPr>
          <w:p w14:paraId="6C8AC9B5" w14:textId="77777777" w:rsidR="000932AC" w:rsidRPr="00EF788F" w:rsidRDefault="000932AC" w:rsidP="000932AC">
            <w:pPr>
              <w:pStyle w:val="Tabletext"/>
            </w:pPr>
            <w:r w:rsidRPr="00EF788F">
              <w:lastRenderedPageBreak/>
              <w:t>capsule</w:t>
            </w:r>
          </w:p>
        </w:tc>
        <w:tc>
          <w:tcPr>
            <w:tcW w:w="915" w:type="pct"/>
            <w:tcBorders>
              <w:top w:val="single" w:sz="2" w:space="0" w:color="auto"/>
              <w:bottom w:val="single" w:sz="2" w:space="0" w:color="auto"/>
            </w:tcBorders>
            <w:shd w:val="clear" w:color="auto" w:fill="auto"/>
          </w:tcPr>
          <w:p w14:paraId="236904F7" w14:textId="77777777" w:rsidR="000932AC" w:rsidRPr="00EF788F" w:rsidRDefault="000932AC" w:rsidP="000932AC">
            <w:pPr>
              <w:pStyle w:val="Tabletext"/>
            </w:pPr>
            <w:r w:rsidRPr="00EF788F">
              <w:t>oral</w:t>
            </w:r>
          </w:p>
        </w:tc>
        <w:tc>
          <w:tcPr>
            <w:tcW w:w="1363" w:type="pct"/>
            <w:tcBorders>
              <w:top w:val="single" w:sz="2" w:space="0" w:color="auto"/>
              <w:bottom w:val="single" w:sz="2" w:space="0" w:color="auto"/>
            </w:tcBorders>
            <w:shd w:val="clear" w:color="auto" w:fill="auto"/>
          </w:tcPr>
          <w:p w14:paraId="0EF033E7" w14:textId="77777777" w:rsidR="000932AC" w:rsidRPr="00EF788F" w:rsidRDefault="000932AC" w:rsidP="000932AC">
            <w:pPr>
              <w:pStyle w:val="Tablea"/>
            </w:pPr>
            <w:r w:rsidRPr="00EF788F">
              <w:t>(a) treatment of refractory chronic pain in adult patients; or</w:t>
            </w:r>
          </w:p>
          <w:p w14:paraId="3003D2ED" w14:textId="77777777" w:rsidR="000932AC" w:rsidRPr="00EF788F" w:rsidRDefault="000932AC" w:rsidP="000932AC">
            <w:pPr>
              <w:pStyle w:val="Tablea"/>
            </w:pPr>
            <w:r w:rsidRPr="00EF788F">
              <w:t>(b) treatment of refractory anxiety in adult patients</w:t>
            </w:r>
          </w:p>
        </w:tc>
      </w:tr>
      <w:tr w:rsidR="00D32E1E" w:rsidRPr="00EF788F" w14:paraId="51265606" w14:textId="77777777" w:rsidTr="00D32E1E">
        <w:trPr>
          <w:trHeight w:val="20"/>
        </w:trPr>
        <w:tc>
          <w:tcPr>
            <w:tcW w:w="645" w:type="pct"/>
            <w:tcBorders>
              <w:top w:val="single" w:sz="2" w:space="0" w:color="auto"/>
              <w:bottom w:val="single" w:sz="2" w:space="0" w:color="auto"/>
            </w:tcBorders>
          </w:tcPr>
          <w:p w14:paraId="59E2D328" w14:textId="77777777" w:rsidR="00D32E1E" w:rsidRPr="00EF788F" w:rsidRDefault="00D32E1E" w:rsidP="00D32E1E">
            <w:pPr>
              <w:pStyle w:val="Tabletext"/>
            </w:pPr>
            <w:r w:rsidRPr="00EF788F">
              <w:t>5</w:t>
            </w:r>
          </w:p>
        </w:tc>
        <w:tc>
          <w:tcPr>
            <w:tcW w:w="1412" w:type="pct"/>
            <w:tcBorders>
              <w:top w:val="single" w:sz="2" w:space="0" w:color="auto"/>
              <w:bottom w:val="single" w:sz="2" w:space="0" w:color="auto"/>
            </w:tcBorders>
            <w:shd w:val="clear" w:color="auto" w:fill="auto"/>
          </w:tcPr>
          <w:p w14:paraId="6DCB7EC5" w14:textId="77777777" w:rsidR="00D32E1E" w:rsidRPr="00EF788F" w:rsidRDefault="00D32E1E" w:rsidP="00D32E1E">
            <w:pPr>
              <w:pStyle w:val="Tablea"/>
            </w:pPr>
            <w:r w:rsidRPr="00EF788F">
              <w:t>(a) cannabidiol derived from cannabis comprise</w:t>
            </w:r>
            <w:r w:rsidR="00A5312B" w:rsidRPr="00EF788F">
              <w:t>s</w:t>
            </w:r>
            <w:r w:rsidRPr="00EF788F">
              <w:t xml:space="preserve"> 40% or more and less than 60% of the total cannabinoid content of the medicine; and</w:t>
            </w:r>
          </w:p>
          <w:p w14:paraId="32CB3238" w14:textId="77777777" w:rsidR="00D32E1E" w:rsidRPr="00EF788F" w:rsidRDefault="00D32E1E" w:rsidP="00D32E1E">
            <w:pPr>
              <w:pStyle w:val="Tablea"/>
            </w:pPr>
            <w:r w:rsidRPr="00EF788F">
              <w:t>(b) other cannabinoids (including tetrahydrocannabinol) derived from cannabis comprise the remaining cannabinoid content of the medicine; and</w:t>
            </w:r>
          </w:p>
          <w:p w14:paraId="3852627D" w14:textId="77777777" w:rsidR="00D32E1E" w:rsidRPr="00EF788F" w:rsidRDefault="00D32E1E" w:rsidP="00D32E1E">
            <w:pPr>
              <w:pStyle w:val="Tablea"/>
            </w:pPr>
            <w:r w:rsidRPr="00EF788F">
              <w:t>(c) the medicine contain</w:t>
            </w:r>
            <w:r w:rsidR="00A5312B" w:rsidRPr="00EF788F">
              <w:t>s</w:t>
            </w:r>
            <w:r w:rsidRPr="00EF788F">
              <w:t xml:space="preserve"> no other active ingredients</w:t>
            </w:r>
          </w:p>
        </w:tc>
        <w:tc>
          <w:tcPr>
            <w:tcW w:w="665" w:type="pct"/>
            <w:tcBorders>
              <w:top w:val="single" w:sz="2" w:space="0" w:color="auto"/>
              <w:bottom w:val="single" w:sz="2" w:space="0" w:color="auto"/>
            </w:tcBorders>
            <w:shd w:val="clear" w:color="auto" w:fill="auto"/>
          </w:tcPr>
          <w:p w14:paraId="4B992E93" w14:textId="77777777" w:rsidR="00D32E1E" w:rsidRPr="00EF788F" w:rsidRDefault="00D32E1E" w:rsidP="00D32E1E">
            <w:pPr>
              <w:pStyle w:val="Tabletext"/>
            </w:pPr>
            <w:r w:rsidRPr="00EF788F">
              <w:t>liquid</w:t>
            </w:r>
          </w:p>
        </w:tc>
        <w:tc>
          <w:tcPr>
            <w:tcW w:w="915" w:type="pct"/>
            <w:tcBorders>
              <w:top w:val="single" w:sz="2" w:space="0" w:color="auto"/>
              <w:bottom w:val="single" w:sz="2" w:space="0" w:color="auto"/>
            </w:tcBorders>
            <w:shd w:val="clear" w:color="auto" w:fill="auto"/>
          </w:tcPr>
          <w:p w14:paraId="4E9C9D16" w14:textId="77777777" w:rsidR="00D32E1E" w:rsidRPr="00EF788F" w:rsidRDefault="00D32E1E" w:rsidP="00D32E1E">
            <w:pPr>
              <w:pStyle w:val="Tabletext"/>
            </w:pPr>
            <w:r w:rsidRPr="00EF788F">
              <w:t>oral</w:t>
            </w:r>
          </w:p>
        </w:tc>
        <w:tc>
          <w:tcPr>
            <w:tcW w:w="1363" w:type="pct"/>
            <w:tcBorders>
              <w:top w:val="single" w:sz="2" w:space="0" w:color="auto"/>
              <w:bottom w:val="single" w:sz="2" w:space="0" w:color="auto"/>
            </w:tcBorders>
            <w:shd w:val="clear" w:color="auto" w:fill="auto"/>
          </w:tcPr>
          <w:p w14:paraId="69432D1B" w14:textId="77777777" w:rsidR="00D32E1E" w:rsidRPr="00EF788F" w:rsidRDefault="00D32E1E" w:rsidP="00D32E1E">
            <w:pPr>
              <w:pStyle w:val="Tabletext"/>
            </w:pPr>
            <w:r w:rsidRPr="00EF788F">
              <w:t xml:space="preserve">treatment of </w:t>
            </w:r>
            <w:r w:rsidRPr="00EF788F">
              <w:rPr>
                <w:iCs/>
              </w:rPr>
              <w:t>refractory chronic pain in adult patients</w:t>
            </w:r>
          </w:p>
        </w:tc>
      </w:tr>
      <w:tr w:rsidR="00D501B8" w:rsidRPr="00EF788F" w14:paraId="4EE24BBF" w14:textId="77777777" w:rsidTr="00D32E1E">
        <w:trPr>
          <w:trHeight w:val="20"/>
        </w:trPr>
        <w:tc>
          <w:tcPr>
            <w:tcW w:w="645" w:type="pct"/>
            <w:tcBorders>
              <w:top w:val="single" w:sz="2" w:space="0" w:color="auto"/>
              <w:bottom w:val="single" w:sz="12" w:space="0" w:color="auto"/>
            </w:tcBorders>
          </w:tcPr>
          <w:p w14:paraId="46BF0FA0" w14:textId="77777777" w:rsidR="00D501B8" w:rsidRPr="00EF788F" w:rsidRDefault="00D501B8" w:rsidP="00D501B8">
            <w:pPr>
              <w:pStyle w:val="Tabletext"/>
            </w:pPr>
            <w:r w:rsidRPr="00EF788F">
              <w:t>6</w:t>
            </w:r>
          </w:p>
        </w:tc>
        <w:tc>
          <w:tcPr>
            <w:tcW w:w="1412" w:type="pct"/>
            <w:tcBorders>
              <w:top w:val="single" w:sz="2" w:space="0" w:color="auto"/>
              <w:bottom w:val="single" w:sz="12" w:space="0" w:color="auto"/>
            </w:tcBorders>
            <w:shd w:val="clear" w:color="auto" w:fill="auto"/>
          </w:tcPr>
          <w:p w14:paraId="2AC75919" w14:textId="77777777" w:rsidR="00D501B8" w:rsidRPr="00EF788F" w:rsidRDefault="00D501B8" w:rsidP="00D501B8">
            <w:pPr>
              <w:pStyle w:val="Tablea"/>
            </w:pPr>
            <w:r w:rsidRPr="00EF788F">
              <w:t>(a) cannabidiol derived from cannabis comprise</w:t>
            </w:r>
            <w:r w:rsidR="00A5312B" w:rsidRPr="00EF788F">
              <w:t>s</w:t>
            </w:r>
            <w:r w:rsidRPr="00EF788F">
              <w:t xml:space="preserve"> 40% or more and less than 60% of the total cannabinoid content of the medicine; and</w:t>
            </w:r>
          </w:p>
          <w:p w14:paraId="3CB1E41B" w14:textId="77777777" w:rsidR="00D501B8" w:rsidRPr="00EF788F" w:rsidRDefault="00D501B8" w:rsidP="00D501B8">
            <w:pPr>
              <w:pStyle w:val="Tablea"/>
            </w:pPr>
            <w:r w:rsidRPr="00EF788F">
              <w:t>(b) other cannabinoids (including tetrahydrocannabinol) derived from cannabis comprise the remaining cannabinoid content of the medicine; and</w:t>
            </w:r>
          </w:p>
          <w:p w14:paraId="0F88B95A" w14:textId="77777777" w:rsidR="00D501B8" w:rsidRPr="00EF788F" w:rsidRDefault="00D501B8" w:rsidP="00D501B8">
            <w:pPr>
              <w:pStyle w:val="Tablea"/>
            </w:pPr>
            <w:r w:rsidRPr="00EF788F">
              <w:t>(c) the medicine contain</w:t>
            </w:r>
            <w:r w:rsidR="00A5312B" w:rsidRPr="00EF788F">
              <w:t>s</w:t>
            </w:r>
            <w:r w:rsidRPr="00EF788F">
              <w:t xml:space="preserve"> no other active ingredients</w:t>
            </w:r>
          </w:p>
        </w:tc>
        <w:tc>
          <w:tcPr>
            <w:tcW w:w="665" w:type="pct"/>
            <w:tcBorders>
              <w:top w:val="single" w:sz="2" w:space="0" w:color="auto"/>
              <w:bottom w:val="single" w:sz="12" w:space="0" w:color="auto"/>
            </w:tcBorders>
            <w:shd w:val="clear" w:color="auto" w:fill="auto"/>
          </w:tcPr>
          <w:p w14:paraId="0B3B677F" w14:textId="77777777" w:rsidR="00D501B8" w:rsidRPr="00EF788F" w:rsidRDefault="00D501B8" w:rsidP="00D501B8">
            <w:pPr>
              <w:pStyle w:val="Tabletext"/>
            </w:pPr>
            <w:r w:rsidRPr="00EF788F">
              <w:t>capsule</w:t>
            </w:r>
          </w:p>
        </w:tc>
        <w:tc>
          <w:tcPr>
            <w:tcW w:w="915" w:type="pct"/>
            <w:tcBorders>
              <w:top w:val="single" w:sz="2" w:space="0" w:color="auto"/>
              <w:bottom w:val="single" w:sz="12" w:space="0" w:color="auto"/>
            </w:tcBorders>
            <w:shd w:val="clear" w:color="auto" w:fill="auto"/>
          </w:tcPr>
          <w:p w14:paraId="00FE36A7" w14:textId="77777777" w:rsidR="00D501B8" w:rsidRPr="00EF788F" w:rsidRDefault="00D501B8" w:rsidP="00D501B8">
            <w:pPr>
              <w:pStyle w:val="Tabletext"/>
            </w:pPr>
            <w:r w:rsidRPr="00EF788F">
              <w:t>oral</w:t>
            </w:r>
          </w:p>
        </w:tc>
        <w:tc>
          <w:tcPr>
            <w:tcW w:w="1363" w:type="pct"/>
            <w:tcBorders>
              <w:top w:val="single" w:sz="2" w:space="0" w:color="auto"/>
              <w:bottom w:val="single" w:sz="12" w:space="0" w:color="auto"/>
            </w:tcBorders>
            <w:shd w:val="clear" w:color="auto" w:fill="auto"/>
          </w:tcPr>
          <w:p w14:paraId="33834B08" w14:textId="77777777" w:rsidR="00D501B8" w:rsidRPr="00EF788F" w:rsidRDefault="00D501B8" w:rsidP="00D501B8">
            <w:pPr>
              <w:pStyle w:val="Tabletext"/>
            </w:pPr>
            <w:r w:rsidRPr="00EF788F">
              <w:t xml:space="preserve">treatment of </w:t>
            </w:r>
            <w:r w:rsidRPr="00EF788F">
              <w:rPr>
                <w:iCs/>
              </w:rPr>
              <w:t>refractory chronic pain in adult patients</w:t>
            </w:r>
          </w:p>
        </w:tc>
      </w:tr>
    </w:tbl>
    <w:p w14:paraId="5A80BB8F" w14:textId="77777777" w:rsidR="00F65930" w:rsidRPr="00EF788F" w:rsidRDefault="00E30156" w:rsidP="00077831">
      <w:pPr>
        <w:pStyle w:val="ActHead7"/>
        <w:pageBreakBefore/>
      </w:pPr>
      <w:bookmarkStart w:id="54" w:name="_Toc84835178"/>
      <w:r w:rsidRPr="00C518BF">
        <w:rPr>
          <w:rStyle w:val="CharAmPartNo"/>
        </w:rPr>
        <w:lastRenderedPageBreak/>
        <w:t>Part 1</w:t>
      </w:r>
      <w:r w:rsidR="001359E8" w:rsidRPr="00C518BF">
        <w:rPr>
          <w:rStyle w:val="CharAmPartNo"/>
        </w:rPr>
        <w:t>2</w:t>
      </w:r>
      <w:r w:rsidR="00F65930" w:rsidRPr="00EF788F">
        <w:t>—</w:t>
      </w:r>
      <w:r w:rsidR="00F65930" w:rsidRPr="00C518BF">
        <w:rPr>
          <w:rStyle w:val="CharAmPartText"/>
        </w:rPr>
        <w:t xml:space="preserve">Application </w:t>
      </w:r>
      <w:r w:rsidRPr="00C518BF">
        <w:rPr>
          <w:rStyle w:val="CharAmPartText"/>
        </w:rPr>
        <w:t xml:space="preserve">and transitional </w:t>
      </w:r>
      <w:r w:rsidR="00F65930" w:rsidRPr="00C518BF">
        <w:rPr>
          <w:rStyle w:val="CharAmPartText"/>
        </w:rPr>
        <w:t>provisions</w:t>
      </w:r>
      <w:bookmarkEnd w:id="54"/>
    </w:p>
    <w:p w14:paraId="17A844F4" w14:textId="77777777" w:rsidR="00F65930" w:rsidRPr="00EF788F" w:rsidRDefault="00F65930" w:rsidP="00F65930">
      <w:pPr>
        <w:pStyle w:val="ActHead9"/>
      </w:pPr>
      <w:bookmarkStart w:id="55" w:name="_Toc84835179"/>
      <w:r w:rsidRPr="00EF788F">
        <w:t xml:space="preserve">Therapeutic Goods (Medical Devices) </w:t>
      </w:r>
      <w:r w:rsidR="00EF1DEF" w:rsidRPr="00EF788F">
        <w:t>Regulations 2</w:t>
      </w:r>
      <w:r w:rsidRPr="00EF788F">
        <w:t>002</w:t>
      </w:r>
      <w:bookmarkEnd w:id="55"/>
    </w:p>
    <w:p w14:paraId="2D69FC9D" w14:textId="77777777" w:rsidR="00E30156" w:rsidRPr="00EF788F" w:rsidRDefault="002D62DD" w:rsidP="00E30156">
      <w:pPr>
        <w:pStyle w:val="ItemHead"/>
      </w:pPr>
      <w:r w:rsidRPr="00EF788F">
        <w:t>83</w:t>
      </w:r>
      <w:r w:rsidR="00E30156" w:rsidRPr="00EF788F">
        <w:t xml:space="preserve">  Regulation 11.39 (column 1 of item 3 of the table in the definition of </w:t>
      </w:r>
      <w:r w:rsidR="00E30156" w:rsidRPr="00EF788F">
        <w:rPr>
          <w:i/>
        </w:rPr>
        <w:t>transitional medical device</w:t>
      </w:r>
      <w:r w:rsidR="00E30156" w:rsidRPr="00EF788F">
        <w:t>)</w:t>
      </w:r>
    </w:p>
    <w:p w14:paraId="560CE0CF" w14:textId="77777777" w:rsidR="00E30156" w:rsidRPr="00EF788F" w:rsidRDefault="00E30156" w:rsidP="00E30156">
      <w:pPr>
        <w:pStyle w:val="Item"/>
      </w:pPr>
      <w:r w:rsidRPr="00EF788F">
        <w:t>Omit “subclause 3.1(2A)”, substitute “</w:t>
      </w:r>
      <w:r w:rsidR="003037D6" w:rsidRPr="00EF788F">
        <w:t>clause 5</w:t>
      </w:r>
      <w:r w:rsidRPr="00EF788F">
        <w:t>.10”.</w:t>
      </w:r>
    </w:p>
    <w:p w14:paraId="471953DE" w14:textId="77777777" w:rsidR="00E30156" w:rsidRPr="00EF788F" w:rsidRDefault="002D62DD" w:rsidP="00E30156">
      <w:pPr>
        <w:pStyle w:val="ItemHead"/>
      </w:pPr>
      <w:r w:rsidRPr="00EF788F">
        <w:t>84</w:t>
      </w:r>
      <w:r w:rsidR="00E30156" w:rsidRPr="00EF788F">
        <w:t xml:space="preserve">  Regulation 11.39 (column 1 of item 4 of the table in the definition of </w:t>
      </w:r>
      <w:r w:rsidR="00E30156" w:rsidRPr="00EF788F">
        <w:rPr>
          <w:i/>
        </w:rPr>
        <w:t>transitional medical device</w:t>
      </w:r>
      <w:r w:rsidR="00E30156" w:rsidRPr="00EF788F">
        <w:t>)</w:t>
      </w:r>
    </w:p>
    <w:p w14:paraId="31B3505A" w14:textId="77777777" w:rsidR="00E30156" w:rsidRPr="00EF788F" w:rsidRDefault="00E30156" w:rsidP="00E30156">
      <w:pPr>
        <w:pStyle w:val="Item"/>
      </w:pPr>
      <w:r w:rsidRPr="00EF788F">
        <w:t>Omit “subclause 3.1(4)”, substitute “</w:t>
      </w:r>
      <w:r w:rsidR="003037D6" w:rsidRPr="00EF788F">
        <w:t>clause 5</w:t>
      </w:r>
      <w:r w:rsidRPr="00EF788F">
        <w:t>.1</w:t>
      </w:r>
      <w:r w:rsidR="00B51A98" w:rsidRPr="00EF788F">
        <w:t>1</w:t>
      </w:r>
      <w:r w:rsidRPr="00EF788F">
        <w:t>”.</w:t>
      </w:r>
    </w:p>
    <w:p w14:paraId="471E6B54" w14:textId="77777777" w:rsidR="00E30156" w:rsidRPr="00EF788F" w:rsidRDefault="002D62DD" w:rsidP="00E30156">
      <w:pPr>
        <w:pStyle w:val="ItemHead"/>
      </w:pPr>
      <w:r w:rsidRPr="00EF788F">
        <w:t>85</w:t>
      </w:r>
      <w:r w:rsidR="00E30156" w:rsidRPr="00EF788F">
        <w:t xml:space="preserve">  </w:t>
      </w:r>
      <w:proofErr w:type="spellStart"/>
      <w:r w:rsidR="00E30156" w:rsidRPr="00EF788F">
        <w:t>Subregulations</w:t>
      </w:r>
      <w:proofErr w:type="spellEnd"/>
      <w:r w:rsidR="00E30156" w:rsidRPr="00EF788F">
        <w:t> 11.40(1), (2), (3) and (5)</w:t>
      </w:r>
    </w:p>
    <w:p w14:paraId="75085F29" w14:textId="77777777" w:rsidR="00E30156" w:rsidRPr="00EF788F" w:rsidRDefault="00E30156" w:rsidP="00E30156">
      <w:pPr>
        <w:pStyle w:val="Item"/>
      </w:pPr>
      <w:r w:rsidRPr="00EF788F">
        <w:t xml:space="preserve">After “amending regulations”, insert “, and the amendments made by Part 4 of Schedule 1 to the </w:t>
      </w:r>
      <w:r w:rsidRPr="00EF788F">
        <w:rPr>
          <w:i/>
        </w:rPr>
        <w:t xml:space="preserve">Therapeutic Goods Legislation Amendment (2021 Measures No. 3) </w:t>
      </w:r>
      <w:r w:rsidR="00EF1DEF" w:rsidRPr="00EF788F">
        <w:rPr>
          <w:i/>
        </w:rPr>
        <w:t>Regulations 2</w:t>
      </w:r>
      <w:r w:rsidRPr="00EF788F">
        <w:rPr>
          <w:i/>
        </w:rPr>
        <w:t>021</w:t>
      </w:r>
      <w:r w:rsidRPr="00EF788F">
        <w:t>,”.</w:t>
      </w:r>
    </w:p>
    <w:p w14:paraId="5D37AC71" w14:textId="77777777" w:rsidR="00F65930" w:rsidRPr="00EF788F" w:rsidRDefault="002D62DD" w:rsidP="00F65930">
      <w:pPr>
        <w:pStyle w:val="ItemHead"/>
      </w:pPr>
      <w:r w:rsidRPr="00EF788F">
        <w:t>86</w:t>
      </w:r>
      <w:r w:rsidR="00F65930" w:rsidRPr="00EF788F">
        <w:t xml:space="preserve">  In the appropriate position in </w:t>
      </w:r>
      <w:r w:rsidR="00E30156" w:rsidRPr="00EF788F">
        <w:t>Part 1</w:t>
      </w:r>
      <w:r w:rsidR="00F65930" w:rsidRPr="00EF788F">
        <w:t>1</w:t>
      </w:r>
    </w:p>
    <w:p w14:paraId="3BDF5154" w14:textId="77777777" w:rsidR="00F65930" w:rsidRPr="00EF788F" w:rsidRDefault="00F65930" w:rsidP="00F65930">
      <w:pPr>
        <w:pStyle w:val="Item"/>
      </w:pPr>
      <w:r w:rsidRPr="00EF788F">
        <w:t>Insert:</w:t>
      </w:r>
    </w:p>
    <w:p w14:paraId="013FDB09" w14:textId="77777777" w:rsidR="00F65930" w:rsidRPr="00EF788F" w:rsidRDefault="00077831" w:rsidP="00F65930">
      <w:pPr>
        <w:pStyle w:val="ActHead3"/>
      </w:pPr>
      <w:bookmarkStart w:id="56" w:name="_Toc84835180"/>
      <w:r w:rsidRPr="00C518BF">
        <w:rPr>
          <w:rStyle w:val="CharDivNo"/>
        </w:rPr>
        <w:t>Division 1</w:t>
      </w:r>
      <w:r w:rsidR="00F65930" w:rsidRPr="00C518BF">
        <w:rPr>
          <w:rStyle w:val="CharDivNo"/>
        </w:rPr>
        <w:t>1.1</w:t>
      </w:r>
      <w:r w:rsidR="000A7727" w:rsidRPr="00C518BF">
        <w:rPr>
          <w:rStyle w:val="CharDivNo"/>
        </w:rPr>
        <w:t>3</w:t>
      </w:r>
      <w:r w:rsidR="00F65930" w:rsidRPr="00EF788F">
        <w:t>—</w:t>
      </w:r>
      <w:r w:rsidR="00F65930" w:rsidRPr="00C518BF">
        <w:rPr>
          <w:rStyle w:val="CharDivText"/>
        </w:rPr>
        <w:t>Application</w:t>
      </w:r>
      <w:r w:rsidR="004942EB" w:rsidRPr="00C518BF">
        <w:rPr>
          <w:rStyle w:val="CharDivText"/>
        </w:rPr>
        <w:t>, saving</w:t>
      </w:r>
      <w:r w:rsidR="00F65930" w:rsidRPr="00C518BF">
        <w:rPr>
          <w:rStyle w:val="CharDivText"/>
        </w:rPr>
        <w:t xml:space="preserve"> </w:t>
      </w:r>
      <w:r w:rsidR="00CE6C6A" w:rsidRPr="00C518BF">
        <w:rPr>
          <w:rStyle w:val="CharDivText"/>
        </w:rPr>
        <w:t xml:space="preserve">and transitional </w:t>
      </w:r>
      <w:r w:rsidR="00F65930" w:rsidRPr="00C518BF">
        <w:rPr>
          <w:rStyle w:val="CharDivText"/>
        </w:rPr>
        <w:t xml:space="preserve">provisions relating to the Therapeutic Goods Legislation Amendment (2021 Measures No. </w:t>
      </w:r>
      <w:r w:rsidR="00C90757" w:rsidRPr="00C518BF">
        <w:rPr>
          <w:rStyle w:val="CharDivText"/>
        </w:rPr>
        <w:t>3</w:t>
      </w:r>
      <w:r w:rsidR="00F65930" w:rsidRPr="00C518BF">
        <w:rPr>
          <w:rStyle w:val="CharDivText"/>
        </w:rPr>
        <w:t xml:space="preserve">) </w:t>
      </w:r>
      <w:r w:rsidR="00EF1DEF" w:rsidRPr="00C518BF">
        <w:rPr>
          <w:rStyle w:val="CharDivText"/>
        </w:rPr>
        <w:t>Regulations 2</w:t>
      </w:r>
      <w:r w:rsidR="00F65930" w:rsidRPr="00C518BF">
        <w:rPr>
          <w:rStyle w:val="CharDivText"/>
        </w:rPr>
        <w:t>021</w:t>
      </w:r>
      <w:bookmarkEnd w:id="56"/>
    </w:p>
    <w:p w14:paraId="09C2A1BE" w14:textId="77777777" w:rsidR="00F65930" w:rsidRPr="00EF788F" w:rsidRDefault="00F65930" w:rsidP="00F65930">
      <w:pPr>
        <w:pStyle w:val="ActHead5"/>
      </w:pPr>
      <w:bookmarkStart w:id="57" w:name="_Toc84835181"/>
      <w:r w:rsidRPr="00C518BF">
        <w:rPr>
          <w:rStyle w:val="CharSectno"/>
        </w:rPr>
        <w:t>11.5</w:t>
      </w:r>
      <w:r w:rsidR="000A7727" w:rsidRPr="00C518BF">
        <w:rPr>
          <w:rStyle w:val="CharSectno"/>
        </w:rPr>
        <w:t>9</w:t>
      </w:r>
      <w:r w:rsidRPr="00EF788F">
        <w:t xml:space="preserve">  System or procedure packs</w:t>
      </w:r>
      <w:bookmarkEnd w:id="57"/>
    </w:p>
    <w:p w14:paraId="0AC3B5B8" w14:textId="77777777" w:rsidR="00F65930" w:rsidRPr="00EF788F" w:rsidRDefault="00F65930" w:rsidP="00F65930">
      <w:pPr>
        <w:pStyle w:val="SubsectionHead"/>
      </w:pPr>
      <w:r w:rsidRPr="00EF788F">
        <w:t>Applications and entries other than a transitional kind of medical device</w:t>
      </w:r>
    </w:p>
    <w:p w14:paraId="111EFB99" w14:textId="77777777" w:rsidR="00F65930" w:rsidRPr="00EF788F" w:rsidRDefault="00F65930" w:rsidP="00F65930">
      <w:pPr>
        <w:pStyle w:val="subsection"/>
      </w:pPr>
      <w:r w:rsidRPr="00EF788F">
        <w:tab/>
        <w:t>(1)</w:t>
      </w:r>
      <w:r w:rsidRPr="00EF788F">
        <w:tab/>
        <w:t xml:space="preserve">The amendments made by </w:t>
      </w:r>
      <w:r w:rsidR="00E30156" w:rsidRPr="00EF788F">
        <w:t>Part 1</w:t>
      </w:r>
      <w:r w:rsidRPr="00EF788F">
        <w:t xml:space="preserve"> of </w:t>
      </w:r>
      <w:r w:rsidR="00E30156" w:rsidRPr="00EF788F">
        <w:t>Schedule 1</w:t>
      </w:r>
      <w:r w:rsidRPr="00EF788F">
        <w:t xml:space="preserve"> to the </w:t>
      </w:r>
      <w:r w:rsidRPr="00EF788F">
        <w:rPr>
          <w:i/>
        </w:rPr>
        <w:t xml:space="preserve">Therapeutic Goods Legislation Amendment (2021 Measures No. </w:t>
      </w:r>
      <w:r w:rsidR="00C90757" w:rsidRPr="00EF788F">
        <w:rPr>
          <w:i/>
        </w:rPr>
        <w:t>3</w:t>
      </w:r>
      <w:r w:rsidRPr="00EF788F">
        <w:rPr>
          <w:i/>
        </w:rPr>
        <w:t xml:space="preserve">) </w:t>
      </w:r>
      <w:r w:rsidR="00EF1DEF" w:rsidRPr="00EF788F">
        <w:rPr>
          <w:i/>
        </w:rPr>
        <w:t>Regulations 2</w:t>
      </w:r>
      <w:r w:rsidRPr="00EF788F">
        <w:rPr>
          <w:i/>
        </w:rPr>
        <w:t>021</w:t>
      </w:r>
      <w:r w:rsidRPr="00EF788F">
        <w:t xml:space="preserve"> apply in relation to the following:</w:t>
      </w:r>
    </w:p>
    <w:p w14:paraId="6CA6CAB3" w14:textId="77777777" w:rsidR="00F65930" w:rsidRPr="00EF788F" w:rsidRDefault="00F65930" w:rsidP="00F65930">
      <w:pPr>
        <w:pStyle w:val="paragraph"/>
      </w:pPr>
      <w:r w:rsidRPr="00EF788F">
        <w:tab/>
        <w:t>(a)</w:t>
      </w:r>
      <w:r w:rsidRPr="00EF788F">
        <w:tab/>
        <w:t>an application for a kind of medical device to be included in the Register that is made on or after 25 November 2021;</w:t>
      </w:r>
    </w:p>
    <w:p w14:paraId="55BB1A5E" w14:textId="77777777" w:rsidR="00F65930" w:rsidRPr="00EF788F" w:rsidRDefault="00F65930" w:rsidP="00F65930">
      <w:pPr>
        <w:pStyle w:val="paragraph"/>
      </w:pPr>
      <w:r w:rsidRPr="00EF788F">
        <w:tab/>
        <w:t>(b)</w:t>
      </w:r>
      <w:r w:rsidRPr="00EF788F">
        <w:tab/>
        <w:t>a kind of medical device that is included in the Register as a result of such an application.</w:t>
      </w:r>
    </w:p>
    <w:p w14:paraId="05EF6896" w14:textId="77777777" w:rsidR="00F65930" w:rsidRPr="00EF788F" w:rsidRDefault="00F65930" w:rsidP="00F65930">
      <w:pPr>
        <w:pStyle w:val="SubsectionHead"/>
      </w:pPr>
      <w:r w:rsidRPr="00EF788F">
        <w:t>Transitional kind of medical device</w:t>
      </w:r>
    </w:p>
    <w:p w14:paraId="4C8BED33" w14:textId="77777777" w:rsidR="00F65930" w:rsidRPr="00EF788F" w:rsidRDefault="00F65930" w:rsidP="00F65930">
      <w:pPr>
        <w:pStyle w:val="subsection"/>
      </w:pPr>
      <w:r w:rsidRPr="00EF788F">
        <w:tab/>
        <w:t>(2)</w:t>
      </w:r>
      <w:r w:rsidRPr="00EF788F">
        <w:tab/>
        <w:t xml:space="preserve">The amendments made by </w:t>
      </w:r>
      <w:r w:rsidR="00E30156" w:rsidRPr="00EF788F">
        <w:t>Part 1</w:t>
      </w:r>
      <w:r w:rsidRPr="00EF788F">
        <w:t xml:space="preserve"> of </w:t>
      </w:r>
      <w:r w:rsidR="00E30156" w:rsidRPr="00EF788F">
        <w:t>Schedule 1</w:t>
      </w:r>
      <w:r w:rsidRPr="00EF788F">
        <w:t xml:space="preserve"> to the </w:t>
      </w:r>
      <w:r w:rsidRPr="00EF788F">
        <w:rPr>
          <w:i/>
        </w:rPr>
        <w:t xml:space="preserve">Therapeutic Goods Legislation Amendment (2021 Measures No. </w:t>
      </w:r>
      <w:r w:rsidR="00C90757" w:rsidRPr="00EF788F">
        <w:rPr>
          <w:i/>
        </w:rPr>
        <w:t>3</w:t>
      </w:r>
      <w:r w:rsidRPr="00EF788F">
        <w:rPr>
          <w:i/>
        </w:rPr>
        <w:t xml:space="preserve">) </w:t>
      </w:r>
      <w:r w:rsidR="00EF1DEF" w:rsidRPr="00EF788F">
        <w:rPr>
          <w:i/>
        </w:rPr>
        <w:t>Regulations 2</w:t>
      </w:r>
      <w:r w:rsidRPr="00EF788F">
        <w:rPr>
          <w:i/>
        </w:rPr>
        <w:t>021</w:t>
      </w:r>
      <w:r w:rsidRPr="00EF788F">
        <w:t xml:space="preserve"> apply in relation to a transitional kind of medical device on and after </w:t>
      </w:r>
      <w:r w:rsidR="00B60FF3" w:rsidRPr="00EF788F">
        <w:t>25</w:t>
      </w:r>
      <w:r w:rsidRPr="00EF788F">
        <w:t> November 202</w:t>
      </w:r>
      <w:r w:rsidR="00B60FF3" w:rsidRPr="00EF788F">
        <w:t>5</w:t>
      </w:r>
      <w:r w:rsidRPr="00EF788F">
        <w:t>.</w:t>
      </w:r>
    </w:p>
    <w:p w14:paraId="2F17ABE6" w14:textId="77777777" w:rsidR="0019651F" w:rsidRPr="00EF788F" w:rsidRDefault="0019651F" w:rsidP="0019651F">
      <w:pPr>
        <w:pStyle w:val="SubsectionHead"/>
      </w:pPr>
      <w:r w:rsidRPr="00EF788F">
        <w:t>Exempt devices</w:t>
      </w:r>
    </w:p>
    <w:p w14:paraId="3A2A5F63" w14:textId="77777777" w:rsidR="00AD027F" w:rsidRPr="00EF788F" w:rsidRDefault="00AD027F" w:rsidP="00AD027F">
      <w:pPr>
        <w:pStyle w:val="subsection"/>
      </w:pPr>
      <w:r w:rsidRPr="00EF788F">
        <w:tab/>
        <w:t>(3)</w:t>
      </w:r>
      <w:r w:rsidRPr="00EF788F">
        <w:tab/>
        <w:t xml:space="preserve">The amendments made by </w:t>
      </w:r>
      <w:r w:rsidR="00E30156" w:rsidRPr="00EF788F">
        <w:t>Part 1</w:t>
      </w:r>
      <w:r w:rsidRPr="00EF788F">
        <w:t xml:space="preserve"> of </w:t>
      </w:r>
      <w:r w:rsidR="00E30156" w:rsidRPr="00EF788F">
        <w:t>Schedule 1</w:t>
      </w:r>
      <w:r w:rsidRPr="00EF788F">
        <w:t xml:space="preserve"> to the </w:t>
      </w:r>
      <w:r w:rsidRPr="00EF788F">
        <w:rPr>
          <w:i/>
        </w:rPr>
        <w:t xml:space="preserve">Therapeutic Goods Legislation Amendment (2021 Measures No. </w:t>
      </w:r>
      <w:r w:rsidR="00C90757" w:rsidRPr="00EF788F">
        <w:rPr>
          <w:i/>
        </w:rPr>
        <w:t>3</w:t>
      </w:r>
      <w:r w:rsidRPr="00EF788F">
        <w:rPr>
          <w:i/>
        </w:rPr>
        <w:t xml:space="preserve">) </w:t>
      </w:r>
      <w:r w:rsidR="00EF1DEF" w:rsidRPr="00EF788F">
        <w:rPr>
          <w:i/>
        </w:rPr>
        <w:t>Regulations 2</w:t>
      </w:r>
      <w:r w:rsidRPr="00EF788F">
        <w:rPr>
          <w:i/>
        </w:rPr>
        <w:t>021</w:t>
      </w:r>
      <w:r w:rsidRPr="00EF788F">
        <w:t xml:space="preserve">, to the extent the amendments relate to </w:t>
      </w:r>
      <w:r w:rsidR="00AF78E9" w:rsidRPr="00EF788F">
        <w:t xml:space="preserve">a system or procedure pack covered by an item in </w:t>
      </w:r>
      <w:r w:rsidR="00E30156" w:rsidRPr="00EF788F">
        <w:t>Part 1</w:t>
      </w:r>
      <w:r w:rsidR="00AF78E9" w:rsidRPr="00EF788F">
        <w:t xml:space="preserve"> of </w:t>
      </w:r>
      <w:r w:rsidR="00E30156" w:rsidRPr="00EF788F">
        <w:t>Schedule 4</w:t>
      </w:r>
      <w:r w:rsidR="00AF78E9" w:rsidRPr="00EF788F">
        <w:t xml:space="preserve">, or by column 2 of an item in </w:t>
      </w:r>
      <w:r w:rsidR="00E30156" w:rsidRPr="00EF788F">
        <w:t>Part 2</w:t>
      </w:r>
      <w:r w:rsidR="00AF78E9" w:rsidRPr="00EF788F">
        <w:t xml:space="preserve"> of </w:t>
      </w:r>
      <w:r w:rsidR="00E30156" w:rsidRPr="00EF788F">
        <w:t>Schedule 4</w:t>
      </w:r>
      <w:r w:rsidR="00AF78E9" w:rsidRPr="00EF788F">
        <w:t xml:space="preserve">, </w:t>
      </w:r>
      <w:r w:rsidRPr="00EF788F">
        <w:t>to these Regulations, apply in relation to a system or procedure pack that is manufactured on or after 25 November 2025.</w:t>
      </w:r>
    </w:p>
    <w:p w14:paraId="069A21B9" w14:textId="77777777" w:rsidR="0019651F" w:rsidRPr="00EF788F" w:rsidRDefault="0019651F" w:rsidP="0019651F">
      <w:pPr>
        <w:pStyle w:val="SubsectionHead"/>
      </w:pPr>
      <w:r w:rsidRPr="00EF788F">
        <w:lastRenderedPageBreak/>
        <w:t>Definitions</w:t>
      </w:r>
    </w:p>
    <w:p w14:paraId="620C77FE" w14:textId="77777777" w:rsidR="00F65930" w:rsidRPr="00EF788F" w:rsidRDefault="00F65930" w:rsidP="00F65930">
      <w:pPr>
        <w:pStyle w:val="subsection"/>
      </w:pPr>
      <w:r w:rsidRPr="00EF788F">
        <w:tab/>
        <w:t>(</w:t>
      </w:r>
      <w:r w:rsidR="0019651F" w:rsidRPr="00EF788F">
        <w:t>4</w:t>
      </w:r>
      <w:r w:rsidRPr="00EF788F">
        <w:t>)</w:t>
      </w:r>
      <w:r w:rsidRPr="00EF788F">
        <w:tab/>
        <w:t>In this regulation:</w:t>
      </w:r>
    </w:p>
    <w:p w14:paraId="1364378C" w14:textId="77777777" w:rsidR="00F65930" w:rsidRPr="00EF788F" w:rsidRDefault="00F65930" w:rsidP="00F65930">
      <w:pPr>
        <w:pStyle w:val="Definition"/>
        <w:rPr>
          <w:b/>
          <w:i/>
        </w:rPr>
      </w:pPr>
      <w:r w:rsidRPr="00EF788F">
        <w:rPr>
          <w:b/>
          <w:i/>
        </w:rPr>
        <w:t>inclusion day</w:t>
      </w:r>
      <w:r w:rsidRPr="00EF788F">
        <w:t xml:space="preserve"> for an entry of a kind of medical device in the Register means the day on which the inclusion of that kind of device in the Register commences.</w:t>
      </w:r>
    </w:p>
    <w:p w14:paraId="06B3BB66" w14:textId="77777777" w:rsidR="00F65930" w:rsidRPr="00EF788F" w:rsidRDefault="00F65930" w:rsidP="00F65930">
      <w:pPr>
        <w:pStyle w:val="Definition"/>
      </w:pPr>
      <w:r w:rsidRPr="00EF788F">
        <w:rPr>
          <w:b/>
          <w:i/>
        </w:rPr>
        <w:t xml:space="preserve">transitional kind of medical device </w:t>
      </w:r>
      <w:r w:rsidRPr="00EF788F">
        <w:t xml:space="preserve">means a kind of medical device included in the Register because of an application </w:t>
      </w:r>
      <w:r w:rsidR="00FD0420" w:rsidRPr="00EF788F">
        <w:t xml:space="preserve">that was </w:t>
      </w:r>
      <w:r w:rsidRPr="00EF788F">
        <w:t>made before 25 November 2021 (whether the inclusion day for the entry of that kind of medical device occurred before, on or after that day).</w:t>
      </w:r>
    </w:p>
    <w:p w14:paraId="3828DABF" w14:textId="77777777" w:rsidR="004E5D3A" w:rsidRPr="00EF788F" w:rsidRDefault="004E5D3A" w:rsidP="00734485">
      <w:pPr>
        <w:pStyle w:val="ActHead5"/>
      </w:pPr>
      <w:bookmarkStart w:id="58" w:name="_Toc84835182"/>
      <w:r w:rsidRPr="00C518BF">
        <w:rPr>
          <w:rStyle w:val="CharSectno"/>
        </w:rPr>
        <w:t>11.6</w:t>
      </w:r>
      <w:r w:rsidR="003F19AA" w:rsidRPr="00C518BF">
        <w:rPr>
          <w:rStyle w:val="CharSectno"/>
        </w:rPr>
        <w:t>0</w:t>
      </w:r>
      <w:r w:rsidRPr="00EF788F">
        <w:t xml:space="preserve">  Reports about adverse events or occurrences for medical devices</w:t>
      </w:r>
      <w:bookmarkEnd w:id="58"/>
    </w:p>
    <w:p w14:paraId="125CAF0D" w14:textId="77777777" w:rsidR="004E5D3A" w:rsidRPr="00EF788F" w:rsidRDefault="004E5D3A" w:rsidP="004E5D3A">
      <w:pPr>
        <w:pStyle w:val="subsection"/>
      </w:pPr>
      <w:r w:rsidRPr="00EF788F">
        <w:tab/>
      </w:r>
      <w:r w:rsidRPr="00EF788F">
        <w:tab/>
      </w:r>
      <w:proofErr w:type="spellStart"/>
      <w:r w:rsidRPr="00EF788F">
        <w:t>Subregulation</w:t>
      </w:r>
      <w:proofErr w:type="spellEnd"/>
      <w:r w:rsidRPr="00EF788F">
        <w:t xml:space="preserve"> 5.8A(1), as inserted by </w:t>
      </w:r>
      <w:r w:rsidR="00E30156" w:rsidRPr="00EF788F">
        <w:t>Part 2</w:t>
      </w:r>
      <w:r w:rsidRPr="00EF788F">
        <w:t xml:space="preserve"> of </w:t>
      </w:r>
      <w:r w:rsidR="00E30156" w:rsidRPr="00EF788F">
        <w:t>Schedule 1</w:t>
      </w:r>
      <w:r w:rsidRPr="00EF788F">
        <w:t xml:space="preserve"> to the </w:t>
      </w:r>
      <w:r w:rsidRPr="00EF788F">
        <w:rPr>
          <w:i/>
        </w:rPr>
        <w:t xml:space="preserve">Therapeutic Goods Legislation Amendment (2021 Measures No. 3) </w:t>
      </w:r>
      <w:r w:rsidR="00EF1DEF" w:rsidRPr="00EF788F">
        <w:rPr>
          <w:i/>
        </w:rPr>
        <w:t>Regulations 2</w:t>
      </w:r>
      <w:r w:rsidRPr="00EF788F">
        <w:rPr>
          <w:i/>
        </w:rPr>
        <w:t>021</w:t>
      </w:r>
      <w:r w:rsidRPr="00EF788F">
        <w:t>, applies in relation to information of a kind mentioned in subsection 41MP(2) or 41MPA(2) of the Act that is given to the Secretary on or after the commencement of that Part.</w:t>
      </w:r>
    </w:p>
    <w:p w14:paraId="08B43B26" w14:textId="77777777" w:rsidR="003F19AA" w:rsidRPr="00EF788F" w:rsidRDefault="003F19AA" w:rsidP="003F19AA">
      <w:pPr>
        <w:pStyle w:val="ActHead5"/>
      </w:pPr>
      <w:bookmarkStart w:id="59" w:name="_Toc84835183"/>
      <w:r w:rsidRPr="00C518BF">
        <w:rPr>
          <w:rStyle w:val="CharSectno"/>
        </w:rPr>
        <w:t>11.61</w:t>
      </w:r>
      <w:r w:rsidRPr="00EF788F">
        <w:t xml:space="preserve">  </w:t>
      </w:r>
      <w:r w:rsidR="00B51A98" w:rsidRPr="00C518BF">
        <w:t>Patient implant cards and patient information leaflets</w:t>
      </w:r>
      <w:bookmarkEnd w:id="59"/>
    </w:p>
    <w:p w14:paraId="054DE7D7" w14:textId="77777777" w:rsidR="0020147D" w:rsidRPr="00EF788F" w:rsidRDefault="0020147D" w:rsidP="0020147D">
      <w:pPr>
        <w:pStyle w:val="subsection"/>
      </w:pPr>
      <w:r w:rsidRPr="00EF788F">
        <w:tab/>
        <w:t>(1)</w:t>
      </w:r>
      <w:r w:rsidRPr="00EF788F">
        <w:tab/>
        <w:t xml:space="preserve">The amendments of </w:t>
      </w:r>
      <w:r w:rsidR="00EF1DEF" w:rsidRPr="00EF788F">
        <w:t>Part 9</w:t>
      </w:r>
      <w:r w:rsidRPr="00EF788F">
        <w:t xml:space="preserve"> and of </w:t>
      </w:r>
      <w:r w:rsidR="00E30156" w:rsidRPr="00EF788F">
        <w:t>item 1</w:t>
      </w:r>
      <w:r w:rsidRPr="00EF788F">
        <w:t xml:space="preserve">.15 of the table in </w:t>
      </w:r>
      <w:r w:rsidR="00E30156" w:rsidRPr="00EF788F">
        <w:t>Part 1</w:t>
      </w:r>
      <w:r w:rsidRPr="00EF788F">
        <w:t xml:space="preserve"> of </w:t>
      </w:r>
      <w:r w:rsidR="00E30156" w:rsidRPr="00EF788F">
        <w:t>Schedule 5</w:t>
      </w:r>
      <w:r w:rsidRPr="00EF788F">
        <w:t xml:space="preserve"> made by </w:t>
      </w:r>
      <w:r w:rsidR="00E30156" w:rsidRPr="00EF788F">
        <w:t>Part 3</w:t>
      </w:r>
      <w:r w:rsidRPr="00EF788F">
        <w:t xml:space="preserve"> of </w:t>
      </w:r>
      <w:r w:rsidR="00E30156" w:rsidRPr="00EF788F">
        <w:t>Schedule 1</w:t>
      </w:r>
      <w:r w:rsidRPr="00EF788F">
        <w:t xml:space="preserve"> to the </w:t>
      </w:r>
      <w:r w:rsidRPr="00EF788F">
        <w:rPr>
          <w:i/>
        </w:rPr>
        <w:t xml:space="preserve">Therapeutic Goods Legislation Amendment (2021 Measures No. 3) </w:t>
      </w:r>
      <w:r w:rsidR="00EF1DEF" w:rsidRPr="00EF788F">
        <w:rPr>
          <w:i/>
        </w:rPr>
        <w:t>Regulations 2</w:t>
      </w:r>
      <w:r w:rsidRPr="00EF788F">
        <w:rPr>
          <w:i/>
        </w:rPr>
        <w:t>021</w:t>
      </w:r>
      <w:r w:rsidRPr="00EF788F">
        <w:t xml:space="preserve"> apply in relation to an application for consent that is made on or after the commencement of those amendments.</w:t>
      </w:r>
    </w:p>
    <w:p w14:paraId="18C3DE14" w14:textId="77777777" w:rsidR="003F19AA" w:rsidRPr="00EF788F" w:rsidRDefault="003F19AA" w:rsidP="003F19AA">
      <w:pPr>
        <w:pStyle w:val="subsection"/>
      </w:pPr>
      <w:r w:rsidRPr="00EF788F">
        <w:tab/>
      </w:r>
      <w:r w:rsidR="000C4B07" w:rsidRPr="00EF788F">
        <w:t>(</w:t>
      </w:r>
      <w:r w:rsidR="0020147D" w:rsidRPr="00EF788F">
        <w:t>2</w:t>
      </w:r>
      <w:r w:rsidR="000C4B07" w:rsidRPr="00EF788F">
        <w:t>)</w:t>
      </w:r>
      <w:r w:rsidRPr="00EF788F">
        <w:tab/>
        <w:t xml:space="preserve">The amendments </w:t>
      </w:r>
      <w:r w:rsidR="000C4B07" w:rsidRPr="00EF788F">
        <w:t xml:space="preserve">of </w:t>
      </w:r>
      <w:r w:rsidR="0092500D" w:rsidRPr="00EF788F">
        <w:t>clauses</w:t>
      </w:r>
      <w:r w:rsidR="00E30156" w:rsidRPr="00EF788F">
        <w:t> 1</w:t>
      </w:r>
      <w:r w:rsidR="000C4B07" w:rsidRPr="00EF788F">
        <w:t xml:space="preserve">3A.1 to 13A.4 </w:t>
      </w:r>
      <w:r w:rsidR="0092500D" w:rsidRPr="00EF788F">
        <w:t xml:space="preserve">of Schedule 1 </w:t>
      </w:r>
      <w:r w:rsidRPr="00EF788F">
        <w:t xml:space="preserve">made by </w:t>
      </w:r>
      <w:r w:rsidR="00E30156" w:rsidRPr="00EF788F">
        <w:t>Part 3</w:t>
      </w:r>
      <w:r w:rsidRPr="00EF788F">
        <w:t xml:space="preserve"> of </w:t>
      </w:r>
      <w:r w:rsidR="00E30156" w:rsidRPr="00EF788F">
        <w:t>Schedule 1</w:t>
      </w:r>
      <w:r w:rsidRPr="00EF788F">
        <w:t xml:space="preserve"> to the </w:t>
      </w:r>
      <w:r w:rsidRPr="00EF788F">
        <w:rPr>
          <w:i/>
        </w:rPr>
        <w:t xml:space="preserve">Therapeutic Goods Legislation Amendment (2021 Measures No. 3) </w:t>
      </w:r>
      <w:r w:rsidR="00EF1DEF" w:rsidRPr="00EF788F">
        <w:rPr>
          <w:i/>
        </w:rPr>
        <w:t>Regulations 2</w:t>
      </w:r>
      <w:r w:rsidRPr="00EF788F">
        <w:rPr>
          <w:i/>
        </w:rPr>
        <w:t>021</w:t>
      </w:r>
      <w:r w:rsidRPr="00EF788F">
        <w:t xml:space="preserve"> apply in relation to an implantable medical device</w:t>
      </w:r>
      <w:r w:rsidR="00055428" w:rsidRPr="00EF788F">
        <w:t>,</w:t>
      </w:r>
      <w:r w:rsidRPr="00EF788F">
        <w:t xml:space="preserve"> or an active implantable medical device</w:t>
      </w:r>
      <w:r w:rsidR="00055428" w:rsidRPr="00EF788F">
        <w:t>,</w:t>
      </w:r>
      <w:r w:rsidRPr="00EF788F">
        <w:t xml:space="preserve"> that is imported, supplied or exported on or after the commencement of that </w:t>
      </w:r>
      <w:r w:rsidR="007F001F" w:rsidRPr="00EF788F">
        <w:t>Part</w:t>
      </w:r>
      <w:r w:rsidRPr="00EF788F">
        <w:t>.</w:t>
      </w:r>
    </w:p>
    <w:p w14:paraId="2D2B56DF" w14:textId="77777777" w:rsidR="00CD2E3A" w:rsidRPr="00EF788F" w:rsidRDefault="00CD2E3A" w:rsidP="00CD2E3A">
      <w:pPr>
        <w:pStyle w:val="subsection"/>
      </w:pPr>
      <w:r w:rsidRPr="00EF788F">
        <w:tab/>
        <w:t>(</w:t>
      </w:r>
      <w:r w:rsidR="003B2C4D" w:rsidRPr="00EF788F">
        <w:t>3</w:t>
      </w:r>
      <w:r w:rsidRPr="00EF788F">
        <w:t>)</w:t>
      </w:r>
      <w:r w:rsidRPr="00EF788F">
        <w:tab/>
        <w:t>If:</w:t>
      </w:r>
    </w:p>
    <w:p w14:paraId="72B065ED" w14:textId="77777777" w:rsidR="00CD2E3A" w:rsidRPr="00EF788F" w:rsidRDefault="00CD2E3A" w:rsidP="00CD2E3A">
      <w:pPr>
        <w:pStyle w:val="paragraph"/>
      </w:pPr>
      <w:r w:rsidRPr="00EF788F">
        <w:tab/>
        <w:t>(a)</w:t>
      </w:r>
      <w:r w:rsidRPr="00EF788F">
        <w:tab/>
        <w:t xml:space="preserve">on or after </w:t>
      </w:r>
      <w:r w:rsidR="00E30156" w:rsidRPr="00EF788F">
        <w:t>1 January</w:t>
      </w:r>
      <w:r w:rsidRPr="00EF788F">
        <w:t xml:space="preserve"> 2021 and before the commencement of this regulation, a person made an application of a kind covered by </w:t>
      </w:r>
      <w:r w:rsidR="00E30156" w:rsidRPr="00EF788F">
        <w:t>paragraph (</w:t>
      </w:r>
      <w:r w:rsidRPr="00EF788F">
        <w:t xml:space="preserve">a) </w:t>
      </w:r>
      <w:r w:rsidR="003B2C4D" w:rsidRPr="00EF788F">
        <w:t xml:space="preserve">or (b) </w:t>
      </w:r>
      <w:r w:rsidRPr="00EF788F">
        <w:t xml:space="preserve">of </w:t>
      </w:r>
      <w:r w:rsidR="00E30156" w:rsidRPr="00EF788F">
        <w:t>item 1</w:t>
      </w:r>
      <w:r w:rsidRPr="00EF788F">
        <w:t xml:space="preserve">.15 of the table in </w:t>
      </w:r>
      <w:r w:rsidR="00E30156" w:rsidRPr="00EF788F">
        <w:t>Part 1</w:t>
      </w:r>
      <w:r w:rsidRPr="00EF788F">
        <w:t xml:space="preserve"> of </w:t>
      </w:r>
      <w:r w:rsidR="00E30156" w:rsidRPr="00EF788F">
        <w:t>Schedule 5</w:t>
      </w:r>
      <w:r w:rsidRPr="00EF788F">
        <w:t xml:space="preserve"> (as that item was in force before that commencement); and</w:t>
      </w:r>
    </w:p>
    <w:p w14:paraId="744328C9" w14:textId="77777777" w:rsidR="00CD2E3A" w:rsidRPr="00EF788F" w:rsidRDefault="00CD2E3A" w:rsidP="00CD2E3A">
      <w:pPr>
        <w:pStyle w:val="paragraph"/>
      </w:pPr>
      <w:r w:rsidRPr="00EF788F">
        <w:tab/>
        <w:t>(b)</w:t>
      </w:r>
      <w:r w:rsidRPr="00EF788F">
        <w:tab/>
        <w:t xml:space="preserve">the application was made solely in relation to the application of either or both of </w:t>
      </w:r>
      <w:r w:rsidR="00E30156" w:rsidRPr="00EF788F">
        <w:t>clauses 1</w:t>
      </w:r>
      <w:r w:rsidRPr="00EF788F">
        <w:t xml:space="preserve">3A.2 </w:t>
      </w:r>
      <w:r w:rsidR="0092500D" w:rsidRPr="00EF788F">
        <w:t>and</w:t>
      </w:r>
      <w:r w:rsidRPr="00EF788F">
        <w:t xml:space="preserve"> 13A.3 of </w:t>
      </w:r>
      <w:r w:rsidR="00E30156" w:rsidRPr="00EF788F">
        <w:t>Schedule 1</w:t>
      </w:r>
      <w:r w:rsidR="00965C68">
        <w:t xml:space="preserve"> </w:t>
      </w:r>
      <w:r w:rsidR="00015C10" w:rsidRPr="00EF788F">
        <w:t xml:space="preserve">(as </w:t>
      </w:r>
      <w:r w:rsidR="00015C10">
        <w:t>those clauses were</w:t>
      </w:r>
      <w:r w:rsidR="00015C10" w:rsidRPr="00EF788F">
        <w:t xml:space="preserve"> in force before that commencement)</w:t>
      </w:r>
      <w:r w:rsidRPr="00EF788F">
        <w:t>;</w:t>
      </w:r>
      <w:r w:rsidR="003B2C4D" w:rsidRPr="00EF788F">
        <w:t xml:space="preserve"> and</w:t>
      </w:r>
    </w:p>
    <w:p w14:paraId="4F80923E" w14:textId="77777777" w:rsidR="00CD2E3A" w:rsidRPr="00EF788F" w:rsidRDefault="00CD2E3A" w:rsidP="00CD2E3A">
      <w:pPr>
        <w:pStyle w:val="paragraph"/>
      </w:pPr>
      <w:r w:rsidRPr="00EF788F">
        <w:tab/>
        <w:t>(c)</w:t>
      </w:r>
      <w:r w:rsidRPr="00EF788F">
        <w:tab/>
        <w:t xml:space="preserve">on or after </w:t>
      </w:r>
      <w:r w:rsidR="00E30156" w:rsidRPr="00EF788F">
        <w:t>1 January</w:t>
      </w:r>
      <w:r w:rsidRPr="00EF788F">
        <w:t xml:space="preserve"> 2021 and before the commencement of this regulation, the person paid the fee applicable in relation to the application under </w:t>
      </w:r>
      <w:r w:rsidR="00E30156" w:rsidRPr="00EF788F">
        <w:t>item 1</w:t>
      </w:r>
      <w:r w:rsidRPr="00EF788F">
        <w:t xml:space="preserve">.15 of the table in </w:t>
      </w:r>
      <w:r w:rsidR="00E30156" w:rsidRPr="00EF788F">
        <w:t>Part 1</w:t>
      </w:r>
      <w:r w:rsidRPr="00EF788F">
        <w:t xml:space="preserve"> of </w:t>
      </w:r>
      <w:r w:rsidR="00E30156" w:rsidRPr="00EF788F">
        <w:t>Schedule 5</w:t>
      </w:r>
      <w:r w:rsidRPr="00EF788F">
        <w:t xml:space="preserve"> (as that item was in force before that commencement);</w:t>
      </w:r>
    </w:p>
    <w:p w14:paraId="12772BAB" w14:textId="77777777" w:rsidR="00CD2E3A" w:rsidRPr="00EF788F" w:rsidRDefault="00CD2E3A" w:rsidP="00CD2E3A">
      <w:pPr>
        <w:pStyle w:val="subsection2"/>
      </w:pPr>
      <w:r w:rsidRPr="00EF788F">
        <w:t>the Secretary must</w:t>
      </w:r>
      <w:r w:rsidR="003B2C4D" w:rsidRPr="00EF788F">
        <w:t xml:space="preserve">, on behalf of the Commonwealth, </w:t>
      </w:r>
      <w:r w:rsidRPr="00EF788F">
        <w:t xml:space="preserve">refund to the person the difference between the fee paid and the fee </w:t>
      </w:r>
      <w:r w:rsidR="003B2C4D" w:rsidRPr="00EF788F">
        <w:t>that would have been applicable</w:t>
      </w:r>
      <w:r w:rsidRPr="00EF788F">
        <w:t xml:space="preserve"> in relation to the application </w:t>
      </w:r>
      <w:r w:rsidR="003B2C4D" w:rsidRPr="00EF788F">
        <w:t xml:space="preserve">under </w:t>
      </w:r>
      <w:r w:rsidR="00E30156" w:rsidRPr="00EF788F">
        <w:t>regulation 9</w:t>
      </w:r>
      <w:r w:rsidR="003B2C4D" w:rsidRPr="00EF788F">
        <w:t>.1AA if the application had been made on the day on which this regulation commences</w:t>
      </w:r>
      <w:r w:rsidRPr="00EF788F">
        <w:t>.</w:t>
      </w:r>
    </w:p>
    <w:p w14:paraId="00D2FC1E" w14:textId="77777777" w:rsidR="00C1721C" w:rsidRPr="00EF788F" w:rsidRDefault="00C1721C" w:rsidP="00734485">
      <w:pPr>
        <w:pStyle w:val="ActHead5"/>
      </w:pPr>
      <w:bookmarkStart w:id="60" w:name="_Toc84835184"/>
      <w:r w:rsidRPr="00C518BF">
        <w:rPr>
          <w:rStyle w:val="CharSectno"/>
        </w:rPr>
        <w:t>11.6</w:t>
      </w:r>
      <w:r w:rsidR="003F19AA" w:rsidRPr="00C518BF">
        <w:rPr>
          <w:rStyle w:val="CharSectno"/>
        </w:rPr>
        <w:t>2</w:t>
      </w:r>
      <w:r w:rsidRPr="00EF788F">
        <w:t xml:space="preserve">  Medical devices assembled or adapted at point of care</w:t>
      </w:r>
      <w:bookmarkEnd w:id="60"/>
    </w:p>
    <w:p w14:paraId="391EB8D5" w14:textId="77777777" w:rsidR="00C1721C" w:rsidRPr="00EF788F" w:rsidRDefault="00C1721C" w:rsidP="00C1721C">
      <w:pPr>
        <w:pStyle w:val="subsection"/>
      </w:pPr>
      <w:r w:rsidRPr="00EF788F">
        <w:tab/>
      </w:r>
      <w:r w:rsidRPr="00EF788F">
        <w:tab/>
      </w:r>
      <w:r w:rsidR="000A70DA" w:rsidRPr="00EF788F">
        <w:t>Item 1</w:t>
      </w:r>
      <w:r w:rsidRPr="00EF788F">
        <w:t xml:space="preserve">.3B of the table in </w:t>
      </w:r>
      <w:r w:rsidR="00E30156" w:rsidRPr="00EF788F">
        <w:t>Part 1</w:t>
      </w:r>
      <w:r w:rsidRPr="00EF788F">
        <w:t xml:space="preserve"> of </w:t>
      </w:r>
      <w:r w:rsidR="00E30156" w:rsidRPr="00EF788F">
        <w:t>Schedule 4</w:t>
      </w:r>
      <w:r w:rsidRPr="00EF788F">
        <w:t xml:space="preserve">, as inserted by </w:t>
      </w:r>
      <w:r w:rsidR="00E30156" w:rsidRPr="00EF788F">
        <w:t>Part 5</w:t>
      </w:r>
      <w:r w:rsidRPr="00EF788F">
        <w:t xml:space="preserve"> of </w:t>
      </w:r>
      <w:r w:rsidR="00E30156" w:rsidRPr="00EF788F">
        <w:t>Schedule 1</w:t>
      </w:r>
      <w:r w:rsidRPr="00EF788F">
        <w:t xml:space="preserve"> to the </w:t>
      </w:r>
      <w:r w:rsidRPr="00EF788F">
        <w:rPr>
          <w:i/>
        </w:rPr>
        <w:t xml:space="preserve">Therapeutic Goods Legislation Amendment (2021 Measures No. 3) </w:t>
      </w:r>
      <w:r w:rsidR="00EF1DEF" w:rsidRPr="00EF788F">
        <w:rPr>
          <w:i/>
        </w:rPr>
        <w:lastRenderedPageBreak/>
        <w:t>Regulations 2</w:t>
      </w:r>
      <w:r w:rsidRPr="00EF788F">
        <w:rPr>
          <w:i/>
        </w:rPr>
        <w:t>021</w:t>
      </w:r>
      <w:r w:rsidRPr="00EF788F">
        <w:t>, applies in relation to a medical device that is manufactured on or after the commencement of that item.</w:t>
      </w:r>
    </w:p>
    <w:p w14:paraId="6AA5841E" w14:textId="77777777" w:rsidR="008E2627" w:rsidRPr="00EF788F" w:rsidRDefault="008E2627" w:rsidP="00734485">
      <w:pPr>
        <w:pStyle w:val="ActHead5"/>
      </w:pPr>
      <w:bookmarkStart w:id="61" w:name="_Toc84835185"/>
      <w:r w:rsidRPr="00C518BF">
        <w:rPr>
          <w:rStyle w:val="CharSectno"/>
        </w:rPr>
        <w:t>11.63</w:t>
      </w:r>
      <w:r w:rsidRPr="00EF788F">
        <w:t xml:space="preserve">  Patient</w:t>
      </w:r>
      <w:r w:rsidR="00EF788F">
        <w:noBreakHyphen/>
      </w:r>
      <w:r w:rsidRPr="00EF788F">
        <w:t>matched medical devices</w:t>
      </w:r>
      <w:bookmarkEnd w:id="61"/>
    </w:p>
    <w:p w14:paraId="6ACA55CD" w14:textId="77777777" w:rsidR="008E2627" w:rsidRPr="00EF788F" w:rsidRDefault="008E2627" w:rsidP="008E2627">
      <w:pPr>
        <w:pStyle w:val="subsection"/>
      </w:pPr>
      <w:r w:rsidRPr="00EF788F">
        <w:tab/>
      </w:r>
      <w:r w:rsidRPr="00EF788F">
        <w:tab/>
      </w:r>
      <w:proofErr w:type="spellStart"/>
      <w:r w:rsidR="00E30156" w:rsidRPr="00EF788F">
        <w:t>Subregulation</w:t>
      </w:r>
      <w:proofErr w:type="spellEnd"/>
      <w:r w:rsidR="00E30156" w:rsidRPr="00EF788F">
        <w:t> 7</w:t>
      </w:r>
      <w:r w:rsidR="000546F7" w:rsidRPr="00EF788F">
        <w:t>.1</w:t>
      </w:r>
      <w:r w:rsidRPr="00EF788F">
        <w:t xml:space="preserve">(8) and </w:t>
      </w:r>
      <w:r w:rsidR="00E30156" w:rsidRPr="00EF788F">
        <w:t>item 1</w:t>
      </w:r>
      <w:r w:rsidRPr="00EF788F">
        <w:t xml:space="preserve">.7 of </w:t>
      </w:r>
      <w:r w:rsidR="00E30156" w:rsidRPr="00EF788F">
        <w:t>Part 1</w:t>
      </w:r>
      <w:r w:rsidRPr="00EF788F">
        <w:t xml:space="preserve"> of </w:t>
      </w:r>
      <w:r w:rsidR="00E30156" w:rsidRPr="00EF788F">
        <w:t>Schedule 4</w:t>
      </w:r>
      <w:r w:rsidRPr="00EF788F">
        <w:t xml:space="preserve">, as added by Part 6 of </w:t>
      </w:r>
      <w:r w:rsidR="00E30156" w:rsidRPr="00EF788F">
        <w:t>Schedule 1</w:t>
      </w:r>
      <w:r w:rsidRPr="00EF788F">
        <w:t xml:space="preserve"> to the </w:t>
      </w:r>
      <w:r w:rsidRPr="00EF788F">
        <w:rPr>
          <w:i/>
        </w:rPr>
        <w:t xml:space="preserve">Therapeutic Goods Legislation Amendment (2021 Measures No. 3) </w:t>
      </w:r>
      <w:r w:rsidR="00EF1DEF" w:rsidRPr="00EF788F">
        <w:rPr>
          <w:i/>
        </w:rPr>
        <w:t>Regulations 2</w:t>
      </w:r>
      <w:r w:rsidRPr="00EF788F">
        <w:rPr>
          <w:i/>
        </w:rPr>
        <w:t>021</w:t>
      </w:r>
      <w:r w:rsidRPr="00EF788F">
        <w:t>, apply in relation to patient</w:t>
      </w:r>
      <w:r w:rsidR="00EF788F">
        <w:noBreakHyphen/>
      </w:r>
      <w:r w:rsidRPr="00EF788F">
        <w:t>matched medical devices manufactured on or after the commencement of that item in the following:</w:t>
      </w:r>
    </w:p>
    <w:p w14:paraId="6F4A90AE" w14:textId="77777777" w:rsidR="008E2627" w:rsidRPr="00EF788F" w:rsidRDefault="008E2627" w:rsidP="008E2627">
      <w:pPr>
        <w:pStyle w:val="paragraph"/>
      </w:pPr>
      <w:r w:rsidRPr="00EF788F">
        <w:tab/>
        <w:t>(a)</w:t>
      </w:r>
      <w:r w:rsidRPr="00EF788F">
        <w:tab/>
        <w:t>the financial year in which that item commences;</w:t>
      </w:r>
    </w:p>
    <w:p w14:paraId="1A9D631E" w14:textId="77777777" w:rsidR="008E2627" w:rsidRPr="00EF788F" w:rsidRDefault="008E2627" w:rsidP="008E2627">
      <w:pPr>
        <w:pStyle w:val="paragraph"/>
      </w:pPr>
      <w:r w:rsidRPr="00EF788F">
        <w:tab/>
        <w:t>(b)</w:t>
      </w:r>
      <w:r w:rsidRPr="00EF788F">
        <w:tab/>
        <w:t>each later financial year.</w:t>
      </w:r>
    </w:p>
    <w:p w14:paraId="22F02BC6" w14:textId="77777777" w:rsidR="00734485" w:rsidRPr="00EF788F" w:rsidRDefault="00734485" w:rsidP="00734485">
      <w:pPr>
        <w:pStyle w:val="ActHead5"/>
      </w:pPr>
      <w:bookmarkStart w:id="62" w:name="_Toc84835186"/>
      <w:r w:rsidRPr="00C518BF">
        <w:rPr>
          <w:rStyle w:val="CharSectno"/>
        </w:rPr>
        <w:t>11.6</w:t>
      </w:r>
      <w:r w:rsidR="008E2627" w:rsidRPr="00C518BF">
        <w:rPr>
          <w:rStyle w:val="CharSectno"/>
        </w:rPr>
        <w:t>4</w:t>
      </w:r>
      <w:r w:rsidRPr="00EF788F">
        <w:t xml:space="preserve">  Surgical loan kits</w:t>
      </w:r>
      <w:bookmarkEnd w:id="62"/>
    </w:p>
    <w:p w14:paraId="72CC1568" w14:textId="77777777" w:rsidR="00734485" w:rsidRPr="00EF788F" w:rsidRDefault="00734485" w:rsidP="00734485">
      <w:pPr>
        <w:pStyle w:val="subsection"/>
      </w:pPr>
      <w:r w:rsidRPr="00EF788F">
        <w:tab/>
      </w:r>
      <w:r w:rsidRPr="00EF788F">
        <w:tab/>
        <w:t xml:space="preserve">The amendment made by </w:t>
      </w:r>
      <w:r w:rsidR="004E5D3A" w:rsidRPr="00EF788F">
        <w:t>Part </w:t>
      </w:r>
      <w:r w:rsidR="001B5EE7" w:rsidRPr="00EF788F">
        <w:t>7</w:t>
      </w:r>
      <w:r w:rsidRPr="00EF788F">
        <w:t xml:space="preserve"> of </w:t>
      </w:r>
      <w:r w:rsidR="00E30156" w:rsidRPr="00EF788F">
        <w:t>Schedule 1</w:t>
      </w:r>
      <w:r w:rsidRPr="00EF788F">
        <w:t xml:space="preserve"> to the </w:t>
      </w:r>
      <w:r w:rsidRPr="00EF788F">
        <w:rPr>
          <w:i/>
        </w:rPr>
        <w:t xml:space="preserve">Therapeutic Goods Legislation Amendment (2021 Measures No. 3) </w:t>
      </w:r>
      <w:r w:rsidR="00EF1DEF" w:rsidRPr="00EF788F">
        <w:rPr>
          <w:i/>
        </w:rPr>
        <w:t>Regulations 2</w:t>
      </w:r>
      <w:r w:rsidRPr="00EF788F">
        <w:rPr>
          <w:i/>
        </w:rPr>
        <w:t>021</w:t>
      </w:r>
      <w:r w:rsidRPr="00EF788F">
        <w:t xml:space="preserve"> appl</w:t>
      </w:r>
      <w:r w:rsidR="00954ADE" w:rsidRPr="00EF788F">
        <w:t>ies</w:t>
      </w:r>
      <w:r w:rsidRPr="00EF788F">
        <w:t xml:space="preserve"> </w:t>
      </w:r>
      <w:r w:rsidR="00FA723C" w:rsidRPr="00EF788F">
        <w:t xml:space="preserve">on and after the commencement of that </w:t>
      </w:r>
      <w:r w:rsidR="004E5D3A" w:rsidRPr="00EF788F">
        <w:t>Part i</w:t>
      </w:r>
      <w:r w:rsidR="00FA723C" w:rsidRPr="00EF788F">
        <w:t>n relation to a surgical loan kit manufactured before, on or after that commencement.</w:t>
      </w:r>
    </w:p>
    <w:p w14:paraId="1A5E25C1" w14:textId="77777777" w:rsidR="000C7D63" w:rsidRPr="00EF788F" w:rsidRDefault="000C7D63" w:rsidP="000C7D63">
      <w:pPr>
        <w:pStyle w:val="ActHead5"/>
        <w:rPr>
          <w:b w:val="0"/>
        </w:rPr>
      </w:pPr>
      <w:bookmarkStart w:id="63" w:name="_Toc84835187"/>
      <w:r w:rsidRPr="00C518BF">
        <w:rPr>
          <w:rStyle w:val="CharSectno"/>
        </w:rPr>
        <w:t>11.6</w:t>
      </w:r>
      <w:r w:rsidR="008E2627" w:rsidRPr="00C518BF">
        <w:rPr>
          <w:rStyle w:val="CharSectno"/>
        </w:rPr>
        <w:t>5</w:t>
      </w:r>
      <w:r w:rsidRPr="00EF788F">
        <w:t xml:space="preserve">  Nicotine vaping products</w:t>
      </w:r>
      <w:bookmarkEnd w:id="63"/>
    </w:p>
    <w:p w14:paraId="28DB110A" w14:textId="77777777" w:rsidR="007A1DA9" w:rsidRPr="00EF788F" w:rsidRDefault="007A1DA9" w:rsidP="007A1DA9">
      <w:pPr>
        <w:pStyle w:val="subsection"/>
      </w:pPr>
      <w:r w:rsidRPr="00EF788F">
        <w:tab/>
        <w:t>(1)</w:t>
      </w:r>
      <w:r w:rsidRPr="00EF788F">
        <w:tab/>
        <w:t xml:space="preserve">The amendment of </w:t>
      </w:r>
      <w:r w:rsidR="00E30156" w:rsidRPr="00EF788F">
        <w:t>subparagraph (</w:t>
      </w:r>
      <w:r w:rsidRPr="00EF788F">
        <w:t xml:space="preserve">a)(iii) of </w:t>
      </w:r>
      <w:r w:rsidR="00E30156" w:rsidRPr="00EF788F">
        <w:t>item 1</w:t>
      </w:r>
      <w:r w:rsidRPr="00EF788F">
        <w:t xml:space="preserve">.6 of the table in </w:t>
      </w:r>
      <w:r w:rsidR="00E30156" w:rsidRPr="00EF788F">
        <w:t>Part 1</w:t>
      </w:r>
      <w:r w:rsidRPr="00EF788F">
        <w:t xml:space="preserve"> of </w:t>
      </w:r>
      <w:r w:rsidR="00E30156" w:rsidRPr="00EF788F">
        <w:t>Schedule 4</w:t>
      </w:r>
      <w:r w:rsidRPr="00EF788F">
        <w:t xml:space="preserve"> made by Part 8 of </w:t>
      </w:r>
      <w:r w:rsidR="00E30156" w:rsidRPr="00EF788F">
        <w:t>Schedule 1</w:t>
      </w:r>
      <w:r w:rsidRPr="00EF788F">
        <w:t xml:space="preserve"> to the </w:t>
      </w:r>
      <w:r w:rsidRPr="00EF788F">
        <w:rPr>
          <w:i/>
        </w:rPr>
        <w:t xml:space="preserve">Therapeutic Goods Legislation Amendment (2021 Measures No. 3) </w:t>
      </w:r>
      <w:r w:rsidR="00EF1DEF" w:rsidRPr="00EF788F">
        <w:rPr>
          <w:i/>
        </w:rPr>
        <w:t>Regulations 2</w:t>
      </w:r>
      <w:r w:rsidRPr="00EF788F">
        <w:rPr>
          <w:i/>
        </w:rPr>
        <w:t>021</w:t>
      </w:r>
      <w:r w:rsidRPr="00EF788F">
        <w:t xml:space="preserve"> applies in relation to a system or procedure pack imported into Australia on or after the commencement of that amendment.</w:t>
      </w:r>
    </w:p>
    <w:p w14:paraId="772981C0" w14:textId="77777777" w:rsidR="000C7D63" w:rsidRPr="00EF788F" w:rsidRDefault="000C7D63" w:rsidP="000C7D63">
      <w:pPr>
        <w:pStyle w:val="subsection"/>
      </w:pPr>
      <w:r w:rsidRPr="00EF788F">
        <w:tab/>
        <w:t>(</w:t>
      </w:r>
      <w:r w:rsidR="007A1DA9" w:rsidRPr="00EF788F">
        <w:t>2</w:t>
      </w:r>
      <w:r w:rsidRPr="00EF788F">
        <w:t>)</w:t>
      </w:r>
      <w:r w:rsidRPr="00EF788F">
        <w:tab/>
        <w:t xml:space="preserve">The amendment of </w:t>
      </w:r>
      <w:r w:rsidR="00E30156" w:rsidRPr="00EF788F">
        <w:t>subparagraph (</w:t>
      </w:r>
      <w:r w:rsidRPr="00EF788F">
        <w:t xml:space="preserve">b)(iii) of </w:t>
      </w:r>
      <w:r w:rsidR="00E30156" w:rsidRPr="00EF788F">
        <w:t>item 1</w:t>
      </w:r>
      <w:r w:rsidRPr="00EF788F">
        <w:t xml:space="preserve">.6 of the table in </w:t>
      </w:r>
      <w:r w:rsidR="00E30156" w:rsidRPr="00EF788F">
        <w:t>Part 1</w:t>
      </w:r>
      <w:r w:rsidRPr="00EF788F">
        <w:t xml:space="preserve"> of </w:t>
      </w:r>
      <w:r w:rsidR="00E30156" w:rsidRPr="00EF788F">
        <w:t>Schedule 4</w:t>
      </w:r>
      <w:r w:rsidRPr="00EF788F">
        <w:t xml:space="preserve"> made by Part 8 of </w:t>
      </w:r>
      <w:r w:rsidR="00E30156" w:rsidRPr="00EF788F">
        <w:t>Schedule 1</w:t>
      </w:r>
      <w:r w:rsidRPr="00EF788F">
        <w:t xml:space="preserve"> to the </w:t>
      </w:r>
      <w:r w:rsidRPr="00EF788F">
        <w:rPr>
          <w:i/>
        </w:rPr>
        <w:t xml:space="preserve">Therapeutic Goods Legislation Amendment (2021 Measures No. 3) </w:t>
      </w:r>
      <w:r w:rsidR="00EF1DEF" w:rsidRPr="00EF788F">
        <w:rPr>
          <w:i/>
        </w:rPr>
        <w:t>Regulations 2</w:t>
      </w:r>
      <w:r w:rsidRPr="00EF788F">
        <w:rPr>
          <w:i/>
        </w:rPr>
        <w:t>021</w:t>
      </w:r>
      <w:r w:rsidRPr="00EF788F">
        <w:t xml:space="preserve"> applies in relation to a system or procedure pack manufactured on or after the commencement of that amendment.</w:t>
      </w:r>
    </w:p>
    <w:p w14:paraId="0E6389C8" w14:textId="77777777" w:rsidR="000C7D63" w:rsidRPr="00EF788F" w:rsidRDefault="000C7D63" w:rsidP="000C7D63">
      <w:pPr>
        <w:pStyle w:val="subsection"/>
      </w:pPr>
      <w:r w:rsidRPr="00EF788F">
        <w:tab/>
        <w:t>(</w:t>
      </w:r>
      <w:r w:rsidR="007A1DA9" w:rsidRPr="00EF788F">
        <w:t>3</w:t>
      </w:r>
      <w:r w:rsidRPr="00EF788F">
        <w:t>)</w:t>
      </w:r>
      <w:r w:rsidRPr="00EF788F">
        <w:tab/>
        <w:t xml:space="preserve">The amendment of </w:t>
      </w:r>
      <w:r w:rsidR="00E30156" w:rsidRPr="00EF788F">
        <w:t>subparagraph (</w:t>
      </w:r>
      <w:r w:rsidRPr="00EF788F">
        <w:t xml:space="preserve">c)(iii) of </w:t>
      </w:r>
      <w:r w:rsidR="00E30156" w:rsidRPr="00EF788F">
        <w:t>item 1</w:t>
      </w:r>
      <w:r w:rsidRPr="00EF788F">
        <w:t xml:space="preserve">.6 of the table in </w:t>
      </w:r>
      <w:r w:rsidR="00E30156" w:rsidRPr="00EF788F">
        <w:t>Part 1</w:t>
      </w:r>
      <w:r w:rsidRPr="00EF788F">
        <w:t xml:space="preserve"> of </w:t>
      </w:r>
      <w:r w:rsidR="00E30156" w:rsidRPr="00EF788F">
        <w:t>Schedule 4</w:t>
      </w:r>
      <w:r w:rsidRPr="00EF788F">
        <w:t xml:space="preserve"> made by Part 8 of </w:t>
      </w:r>
      <w:r w:rsidR="00E30156" w:rsidRPr="00EF788F">
        <w:t>Schedule 1</w:t>
      </w:r>
      <w:r w:rsidRPr="00EF788F">
        <w:t xml:space="preserve"> to the </w:t>
      </w:r>
      <w:r w:rsidRPr="00EF788F">
        <w:rPr>
          <w:i/>
        </w:rPr>
        <w:t xml:space="preserve">Therapeutic Goods Legislation Amendment (2021 Measures No. 3) </w:t>
      </w:r>
      <w:r w:rsidR="00EF1DEF" w:rsidRPr="00EF788F">
        <w:rPr>
          <w:i/>
        </w:rPr>
        <w:t>Regulations 2</w:t>
      </w:r>
      <w:r w:rsidRPr="00EF788F">
        <w:rPr>
          <w:i/>
        </w:rPr>
        <w:t>021</w:t>
      </w:r>
      <w:r w:rsidRPr="00EF788F">
        <w:t xml:space="preserve"> applies in relation to a system or procedure pack supplied on or after the commencement of that amendment, where that system or procedure pack was </w:t>
      </w:r>
      <w:r w:rsidR="001E3D58" w:rsidRPr="00EF788F">
        <w:t xml:space="preserve">imported or </w:t>
      </w:r>
      <w:r w:rsidRPr="00EF788F">
        <w:t>manufactured on or after that commencement.</w:t>
      </w:r>
    </w:p>
    <w:p w14:paraId="1BA967D8" w14:textId="77777777" w:rsidR="0026731C" w:rsidRPr="00EF788F" w:rsidRDefault="0026731C" w:rsidP="0026731C">
      <w:pPr>
        <w:pStyle w:val="subsection"/>
      </w:pPr>
      <w:r w:rsidRPr="00EF788F">
        <w:tab/>
        <w:t>(</w:t>
      </w:r>
      <w:r w:rsidR="007A1DA9" w:rsidRPr="00EF788F">
        <w:t>4</w:t>
      </w:r>
      <w:r w:rsidRPr="00EF788F">
        <w:t>)</w:t>
      </w:r>
      <w:r w:rsidRPr="00EF788F">
        <w:tab/>
        <w:t xml:space="preserve">The amendment of </w:t>
      </w:r>
      <w:r w:rsidR="00E30156" w:rsidRPr="00EF788F">
        <w:t>subparagraph (</w:t>
      </w:r>
      <w:r w:rsidRPr="00EF788F">
        <w:t xml:space="preserve">d)(iii) of </w:t>
      </w:r>
      <w:r w:rsidR="00E30156" w:rsidRPr="00EF788F">
        <w:t>item 1</w:t>
      </w:r>
      <w:r w:rsidRPr="00EF788F">
        <w:t xml:space="preserve">.6 of the table in </w:t>
      </w:r>
      <w:r w:rsidR="00E30156" w:rsidRPr="00EF788F">
        <w:t>Part 1</w:t>
      </w:r>
      <w:r w:rsidRPr="00EF788F">
        <w:t xml:space="preserve"> of </w:t>
      </w:r>
      <w:r w:rsidR="00E30156" w:rsidRPr="00EF788F">
        <w:t>Schedule 4</w:t>
      </w:r>
      <w:r w:rsidRPr="00EF788F">
        <w:t xml:space="preserve"> made by Part 8 of </w:t>
      </w:r>
      <w:r w:rsidR="00E30156" w:rsidRPr="00EF788F">
        <w:t>Schedule 1</w:t>
      </w:r>
      <w:r w:rsidRPr="00EF788F">
        <w:t xml:space="preserve"> to the </w:t>
      </w:r>
      <w:r w:rsidRPr="00EF788F">
        <w:rPr>
          <w:i/>
        </w:rPr>
        <w:t xml:space="preserve">Therapeutic Goods Legislation Amendment (2021 Measures No. 3) </w:t>
      </w:r>
      <w:r w:rsidR="00EF1DEF" w:rsidRPr="00EF788F">
        <w:rPr>
          <w:i/>
        </w:rPr>
        <w:t>Regulations 2</w:t>
      </w:r>
      <w:r w:rsidRPr="00EF788F">
        <w:rPr>
          <w:i/>
        </w:rPr>
        <w:t>021</w:t>
      </w:r>
      <w:r w:rsidRPr="00EF788F">
        <w:t xml:space="preserve"> applies in relation to a system or procedure pack supplied on or after the commencement of that amendment, where that system or procedure pack was </w:t>
      </w:r>
      <w:r w:rsidR="001E3D58" w:rsidRPr="00EF788F">
        <w:t xml:space="preserve">imported or </w:t>
      </w:r>
      <w:r w:rsidRPr="00EF788F">
        <w:t>manufactured on or after that commencement.</w:t>
      </w:r>
    </w:p>
    <w:p w14:paraId="4D01870F" w14:textId="77777777" w:rsidR="004942EB" w:rsidRPr="00EF788F" w:rsidRDefault="004942EB" w:rsidP="004942EB">
      <w:pPr>
        <w:pStyle w:val="ActHead5"/>
      </w:pPr>
      <w:bookmarkStart w:id="64" w:name="_Toc84835188"/>
      <w:r w:rsidRPr="00C518BF">
        <w:rPr>
          <w:rStyle w:val="CharSectno"/>
        </w:rPr>
        <w:t>11.66</w:t>
      </w:r>
      <w:r w:rsidRPr="00EF788F">
        <w:t xml:space="preserve">  Surgical mesh</w:t>
      </w:r>
      <w:bookmarkEnd w:id="64"/>
    </w:p>
    <w:p w14:paraId="4EA73020" w14:textId="77777777" w:rsidR="004942EB" w:rsidRPr="00EF788F" w:rsidRDefault="004942EB" w:rsidP="004942EB">
      <w:pPr>
        <w:pStyle w:val="subsection"/>
      </w:pPr>
      <w:r w:rsidRPr="00EF788F">
        <w:tab/>
      </w:r>
      <w:r w:rsidRPr="00EF788F">
        <w:tab/>
      </w:r>
      <w:r w:rsidR="00E30156" w:rsidRPr="00EF788F">
        <w:t>Regulations 1</w:t>
      </w:r>
      <w:r w:rsidRPr="00EF788F">
        <w:t>1.29</w:t>
      </w:r>
      <w:r w:rsidR="0005181A" w:rsidRPr="00EF788F">
        <w:t xml:space="preserve"> and 11.30</w:t>
      </w:r>
      <w:r w:rsidRPr="00EF788F">
        <w:t xml:space="preserve">, as in force immediately before the commencement of </w:t>
      </w:r>
      <w:r w:rsidR="00E30156" w:rsidRPr="00EF788F">
        <w:t>Part 1</w:t>
      </w:r>
      <w:r w:rsidRPr="00EF788F">
        <w:t xml:space="preserve">1 of </w:t>
      </w:r>
      <w:r w:rsidR="00E30156" w:rsidRPr="00EF788F">
        <w:t>Schedule 1</w:t>
      </w:r>
      <w:r w:rsidRPr="00EF788F">
        <w:t xml:space="preserve"> to the </w:t>
      </w:r>
      <w:r w:rsidRPr="00EF788F">
        <w:rPr>
          <w:i/>
        </w:rPr>
        <w:t xml:space="preserve">Therapeutic Goods Legislation Amendment (2021 Measures No. 3) </w:t>
      </w:r>
      <w:r w:rsidR="00EF1DEF" w:rsidRPr="00EF788F">
        <w:rPr>
          <w:i/>
        </w:rPr>
        <w:t>Regulations 2</w:t>
      </w:r>
      <w:r w:rsidRPr="00EF788F">
        <w:rPr>
          <w:i/>
        </w:rPr>
        <w:t>021</w:t>
      </w:r>
      <w:r w:rsidRPr="00EF788F">
        <w:t xml:space="preserve">, continue to apply on and after that commencement in relation to an application </w:t>
      </w:r>
      <w:r w:rsidR="0005181A" w:rsidRPr="00EF788F">
        <w:t xml:space="preserve">referred to in </w:t>
      </w:r>
      <w:r w:rsidR="00E30156" w:rsidRPr="00EF788F">
        <w:t>paragraph 1</w:t>
      </w:r>
      <w:r w:rsidR="0005181A" w:rsidRPr="00EF788F">
        <w:t xml:space="preserve">1.29(3)(a) (as so in force) that was </w:t>
      </w:r>
      <w:r w:rsidRPr="00EF788F">
        <w:t>made before that commencement.</w:t>
      </w:r>
    </w:p>
    <w:p w14:paraId="7EEE281E" w14:textId="77777777" w:rsidR="00106216" w:rsidRPr="00EF788F" w:rsidRDefault="00106216" w:rsidP="00AB30D0">
      <w:pPr>
        <w:pStyle w:val="ActHead9"/>
      </w:pPr>
      <w:bookmarkStart w:id="65" w:name="_Toc84835189"/>
      <w:r w:rsidRPr="00EF788F">
        <w:lastRenderedPageBreak/>
        <w:t xml:space="preserve">Therapeutic Goods </w:t>
      </w:r>
      <w:r w:rsidR="00E30156" w:rsidRPr="00EF788F">
        <w:t>Regulations 1</w:t>
      </w:r>
      <w:r w:rsidRPr="00EF788F">
        <w:t>990</w:t>
      </w:r>
      <w:bookmarkEnd w:id="65"/>
    </w:p>
    <w:p w14:paraId="118607B4" w14:textId="77777777" w:rsidR="00AB30D0" w:rsidRPr="00EF788F" w:rsidRDefault="002D62DD" w:rsidP="00AB30D0">
      <w:pPr>
        <w:pStyle w:val="ItemHead"/>
      </w:pPr>
      <w:r w:rsidRPr="00EF788F">
        <w:t>87</w:t>
      </w:r>
      <w:r w:rsidR="00AB30D0" w:rsidRPr="00EF788F">
        <w:t xml:space="preserve">  In the appropriate position in </w:t>
      </w:r>
      <w:r w:rsidR="00EF1DEF" w:rsidRPr="00EF788F">
        <w:t>Part 9</w:t>
      </w:r>
    </w:p>
    <w:p w14:paraId="5DE24128" w14:textId="77777777" w:rsidR="00AB30D0" w:rsidRPr="00EF788F" w:rsidRDefault="00AB30D0" w:rsidP="00AB30D0">
      <w:pPr>
        <w:pStyle w:val="Item"/>
      </w:pPr>
      <w:r w:rsidRPr="00EF788F">
        <w:t>Insert:</w:t>
      </w:r>
    </w:p>
    <w:p w14:paraId="4BEA8149" w14:textId="77777777" w:rsidR="00AB30D0" w:rsidRPr="00EF788F" w:rsidRDefault="00AB30D0" w:rsidP="00AB30D0">
      <w:pPr>
        <w:pStyle w:val="ActHead3"/>
      </w:pPr>
      <w:bookmarkStart w:id="66" w:name="_Toc84835190"/>
      <w:r w:rsidRPr="00C518BF">
        <w:rPr>
          <w:rStyle w:val="CharDivNo"/>
        </w:rPr>
        <w:t>Division 1</w:t>
      </w:r>
      <w:r w:rsidR="00255D38" w:rsidRPr="00C518BF">
        <w:rPr>
          <w:rStyle w:val="CharDivNo"/>
        </w:rPr>
        <w:t>6</w:t>
      </w:r>
      <w:r w:rsidRPr="00EF788F">
        <w:t>—</w:t>
      </w:r>
      <w:r w:rsidRPr="00C518BF">
        <w:rPr>
          <w:rStyle w:val="CharDivText"/>
        </w:rPr>
        <w:t xml:space="preserve">Application provisions relating to the Therapeutic Goods Legislation Amendment (2021 Measures No. 3) </w:t>
      </w:r>
      <w:r w:rsidR="00EF1DEF" w:rsidRPr="00C518BF">
        <w:rPr>
          <w:rStyle w:val="CharDivText"/>
        </w:rPr>
        <w:t>Regulations 2</w:t>
      </w:r>
      <w:r w:rsidRPr="00C518BF">
        <w:rPr>
          <w:rStyle w:val="CharDivText"/>
        </w:rPr>
        <w:t>021</w:t>
      </w:r>
      <w:bookmarkEnd w:id="66"/>
    </w:p>
    <w:p w14:paraId="7E6E9A9E" w14:textId="77777777" w:rsidR="007F18A6" w:rsidRPr="00EF788F" w:rsidRDefault="00255D38" w:rsidP="00AB30D0">
      <w:pPr>
        <w:pStyle w:val="ActHead5"/>
      </w:pPr>
      <w:bookmarkStart w:id="67" w:name="_Toc84835191"/>
      <w:r w:rsidRPr="00C518BF">
        <w:rPr>
          <w:rStyle w:val="CharSectno"/>
        </w:rPr>
        <w:t>80</w:t>
      </w:r>
      <w:r w:rsidR="007F18A6" w:rsidRPr="00EF788F">
        <w:t xml:space="preserve">  Nicotine vaping products</w:t>
      </w:r>
      <w:bookmarkEnd w:id="67"/>
    </w:p>
    <w:p w14:paraId="742E9C14" w14:textId="77777777" w:rsidR="00812525" w:rsidRPr="00EF788F" w:rsidRDefault="007F18A6" w:rsidP="00812525">
      <w:pPr>
        <w:pStyle w:val="subsection"/>
      </w:pPr>
      <w:r w:rsidRPr="00EF788F">
        <w:tab/>
      </w:r>
      <w:r w:rsidRPr="00EF788F">
        <w:tab/>
      </w:r>
      <w:r w:rsidR="00812525" w:rsidRPr="00EF788F">
        <w:t xml:space="preserve">Item 5A of the table in </w:t>
      </w:r>
      <w:r w:rsidR="00E30156" w:rsidRPr="00EF788F">
        <w:t>Schedule 5</w:t>
      </w:r>
      <w:r w:rsidR="00812525" w:rsidRPr="00EF788F">
        <w:t xml:space="preserve">, as inserted by Part 8 of </w:t>
      </w:r>
      <w:r w:rsidR="00E30156" w:rsidRPr="00EF788F">
        <w:t>Schedule 1</w:t>
      </w:r>
      <w:r w:rsidR="00812525" w:rsidRPr="00EF788F">
        <w:t xml:space="preserve"> to the </w:t>
      </w:r>
      <w:r w:rsidR="00812525" w:rsidRPr="00EF788F">
        <w:rPr>
          <w:i/>
        </w:rPr>
        <w:t xml:space="preserve">Therapeutic Goods Legislation Amendment (2021 Measures No. 3) </w:t>
      </w:r>
      <w:r w:rsidR="00EF1DEF" w:rsidRPr="00EF788F">
        <w:rPr>
          <w:i/>
        </w:rPr>
        <w:t>Regulations 2</w:t>
      </w:r>
      <w:r w:rsidR="00812525" w:rsidRPr="00EF788F">
        <w:rPr>
          <w:i/>
        </w:rPr>
        <w:t>021</w:t>
      </w:r>
      <w:r w:rsidR="00812525" w:rsidRPr="00EF788F">
        <w:t>, applies in relation to kits manufactured on or after the commencement of that Part.</w:t>
      </w:r>
    </w:p>
    <w:p w14:paraId="3B268EB2" w14:textId="77777777" w:rsidR="00FF1997" w:rsidRPr="00EF788F" w:rsidRDefault="007F18A6" w:rsidP="00AB30D0">
      <w:pPr>
        <w:pStyle w:val="ActHead5"/>
      </w:pPr>
      <w:bookmarkStart w:id="68" w:name="_Toc84835192"/>
      <w:r w:rsidRPr="00C518BF">
        <w:rPr>
          <w:rStyle w:val="CharSectno"/>
        </w:rPr>
        <w:t>8</w:t>
      </w:r>
      <w:r w:rsidR="00255D38" w:rsidRPr="00C518BF">
        <w:rPr>
          <w:rStyle w:val="CharSectno"/>
        </w:rPr>
        <w:t>1</w:t>
      </w:r>
      <w:r w:rsidR="00FF1997" w:rsidRPr="00EF788F">
        <w:t xml:space="preserve">  Access to medicines in emergency situations</w:t>
      </w:r>
      <w:bookmarkEnd w:id="68"/>
    </w:p>
    <w:p w14:paraId="513D1E00" w14:textId="77777777" w:rsidR="00FF1997" w:rsidRPr="00EF788F" w:rsidRDefault="00FF1997" w:rsidP="00FF1997">
      <w:pPr>
        <w:pStyle w:val="subsection"/>
      </w:pPr>
      <w:r w:rsidRPr="00EF788F">
        <w:tab/>
      </w:r>
      <w:r w:rsidRPr="00EF788F">
        <w:tab/>
      </w:r>
      <w:r w:rsidR="000A70DA" w:rsidRPr="00EF788F">
        <w:t>Item 1</w:t>
      </w:r>
      <w:r w:rsidRPr="00EF788F">
        <w:t xml:space="preserve">B of the table in </w:t>
      </w:r>
      <w:r w:rsidR="00E30156" w:rsidRPr="00EF788F">
        <w:t>Schedule 5</w:t>
      </w:r>
      <w:r w:rsidRPr="00EF788F">
        <w:t xml:space="preserve">A, as inserted by </w:t>
      </w:r>
      <w:r w:rsidR="00EF1DEF" w:rsidRPr="00EF788F">
        <w:t>Part 9</w:t>
      </w:r>
      <w:r w:rsidRPr="00EF788F">
        <w:t xml:space="preserve"> of </w:t>
      </w:r>
      <w:r w:rsidR="00E30156" w:rsidRPr="00EF788F">
        <w:t>Schedule 1</w:t>
      </w:r>
      <w:r w:rsidRPr="00EF788F">
        <w:t xml:space="preserve"> to the </w:t>
      </w:r>
      <w:r w:rsidRPr="00EF788F">
        <w:rPr>
          <w:i/>
        </w:rPr>
        <w:t xml:space="preserve">Therapeutic Goods Legislation Amendment (2021 Measures No. 3) </w:t>
      </w:r>
      <w:r w:rsidR="00EF1DEF" w:rsidRPr="00EF788F">
        <w:rPr>
          <w:i/>
        </w:rPr>
        <w:t>Regulations 2</w:t>
      </w:r>
      <w:r w:rsidRPr="00EF788F">
        <w:rPr>
          <w:i/>
        </w:rPr>
        <w:t>021</w:t>
      </w:r>
      <w:r w:rsidRPr="00EF788F">
        <w:t>, applies in relation to therapeutic goods imported into Australia on or after the commencement of that Part.</w:t>
      </w:r>
    </w:p>
    <w:p w14:paraId="30B4CFF3" w14:textId="77777777" w:rsidR="00AB30D0" w:rsidRPr="00EF788F" w:rsidRDefault="00FF1997" w:rsidP="00AB30D0">
      <w:pPr>
        <w:pStyle w:val="ActHead5"/>
      </w:pPr>
      <w:bookmarkStart w:id="69" w:name="_Toc84835193"/>
      <w:r w:rsidRPr="00C518BF">
        <w:rPr>
          <w:rStyle w:val="CharSectno"/>
        </w:rPr>
        <w:t>8</w:t>
      </w:r>
      <w:r w:rsidR="00255D38" w:rsidRPr="00C518BF">
        <w:rPr>
          <w:rStyle w:val="CharSectno"/>
        </w:rPr>
        <w:t>2</w:t>
      </w:r>
      <w:r w:rsidR="00AB30D0" w:rsidRPr="00EF788F">
        <w:t xml:space="preserve">  Consumer medicine information documents</w:t>
      </w:r>
      <w:bookmarkEnd w:id="69"/>
    </w:p>
    <w:p w14:paraId="239A70F9" w14:textId="77777777" w:rsidR="00AB30D0" w:rsidRPr="00EF788F" w:rsidRDefault="00AB30D0" w:rsidP="00AB30D0">
      <w:pPr>
        <w:pStyle w:val="subsection"/>
      </w:pPr>
      <w:r w:rsidRPr="00EF788F">
        <w:tab/>
      </w:r>
      <w:r w:rsidRPr="00EF788F">
        <w:tab/>
        <w:t xml:space="preserve">The amendments of </w:t>
      </w:r>
      <w:r w:rsidR="00E30156" w:rsidRPr="00EF788F">
        <w:t>regulation 9</w:t>
      </w:r>
      <w:r w:rsidRPr="00EF788F">
        <w:t xml:space="preserve">A (except the amendment of </w:t>
      </w:r>
      <w:r w:rsidR="00E30156" w:rsidRPr="00EF788F">
        <w:t>paragraph 9</w:t>
      </w:r>
      <w:r w:rsidRPr="00EF788F">
        <w:t xml:space="preserve">A(1A)(b)) made by </w:t>
      </w:r>
      <w:r w:rsidR="00E30156" w:rsidRPr="00EF788F">
        <w:t>Part 1</w:t>
      </w:r>
      <w:r w:rsidRPr="00EF788F">
        <w:t xml:space="preserve">0 of </w:t>
      </w:r>
      <w:r w:rsidR="00E30156" w:rsidRPr="00EF788F">
        <w:t>Schedule 1</w:t>
      </w:r>
      <w:r w:rsidRPr="00EF788F">
        <w:t xml:space="preserve"> to the </w:t>
      </w:r>
      <w:r w:rsidRPr="00EF788F">
        <w:rPr>
          <w:i/>
        </w:rPr>
        <w:t xml:space="preserve">Therapeutic Goods Legislation Amendment (2021 Measures No. 3) </w:t>
      </w:r>
      <w:r w:rsidR="00EF1DEF" w:rsidRPr="00EF788F">
        <w:rPr>
          <w:i/>
        </w:rPr>
        <w:t>Regulations 2</w:t>
      </w:r>
      <w:r w:rsidRPr="00EF788F">
        <w:rPr>
          <w:i/>
        </w:rPr>
        <w:t>021</w:t>
      </w:r>
      <w:r w:rsidRPr="00EF788F">
        <w:t xml:space="preserve"> apply in </w:t>
      </w:r>
      <w:r w:rsidR="00051412" w:rsidRPr="00EF788F">
        <w:t xml:space="preserve">relation </w:t>
      </w:r>
      <w:r w:rsidRPr="00EF788F">
        <w:t>to supplies of therapeutic goods on or after the commencement of that Part (whether the goods were included in the Register before, on or after that commencement).</w:t>
      </w:r>
    </w:p>
    <w:p w14:paraId="76ECD62C" w14:textId="77777777" w:rsidR="007F2129" w:rsidRPr="00EF788F" w:rsidRDefault="007F2129" w:rsidP="007F2129">
      <w:pPr>
        <w:pStyle w:val="ActHead5"/>
      </w:pPr>
      <w:bookmarkStart w:id="70" w:name="_Toc84835194"/>
      <w:r w:rsidRPr="00C518BF">
        <w:rPr>
          <w:rStyle w:val="CharSectno"/>
        </w:rPr>
        <w:t>83</w:t>
      </w:r>
      <w:r w:rsidRPr="00EF788F">
        <w:t xml:space="preserve">  Approving supply of therapeutic goods under authorised prescriber scheme</w:t>
      </w:r>
      <w:bookmarkEnd w:id="70"/>
    </w:p>
    <w:p w14:paraId="76E14E64" w14:textId="77777777" w:rsidR="007F2129" w:rsidRPr="00EF788F" w:rsidRDefault="007F2129" w:rsidP="007F2129">
      <w:pPr>
        <w:pStyle w:val="subsection"/>
      </w:pPr>
      <w:r w:rsidRPr="00EF788F">
        <w:tab/>
      </w:r>
      <w:r w:rsidRPr="00EF788F">
        <w:tab/>
        <w:t xml:space="preserve">The amendments of regulation 12B made by </w:t>
      </w:r>
      <w:r w:rsidR="00E30156" w:rsidRPr="00EF788F">
        <w:t>Part 1</w:t>
      </w:r>
      <w:r w:rsidRPr="00EF788F">
        <w:t xml:space="preserve">1 of </w:t>
      </w:r>
      <w:r w:rsidR="00E30156" w:rsidRPr="00EF788F">
        <w:t>Schedule 1</w:t>
      </w:r>
      <w:r w:rsidRPr="00EF788F">
        <w:t xml:space="preserve"> to the </w:t>
      </w:r>
      <w:r w:rsidRPr="00EF788F">
        <w:rPr>
          <w:i/>
        </w:rPr>
        <w:t xml:space="preserve">Therapeutic Goods Legislation Amendment (2021 Measures No. 3) </w:t>
      </w:r>
      <w:r w:rsidR="00EF1DEF" w:rsidRPr="00EF788F">
        <w:rPr>
          <w:i/>
        </w:rPr>
        <w:t>Regulations 2</w:t>
      </w:r>
      <w:r w:rsidRPr="00EF788F">
        <w:rPr>
          <w:i/>
        </w:rPr>
        <w:t>021</w:t>
      </w:r>
      <w:r w:rsidRPr="00EF788F">
        <w:t xml:space="preserve"> apply in relation to an authority given under subsection 19(5) of the Act on or after the commencement of that Part.</w:t>
      </w:r>
    </w:p>
    <w:sectPr w:rsidR="007F2129" w:rsidRPr="00EF788F" w:rsidSect="00873404">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899A0" w14:textId="77777777" w:rsidR="00EC2083" w:rsidRDefault="00EC2083" w:rsidP="0048364F">
      <w:pPr>
        <w:spacing w:line="240" w:lineRule="auto"/>
      </w:pPr>
      <w:r>
        <w:separator/>
      </w:r>
    </w:p>
  </w:endnote>
  <w:endnote w:type="continuationSeparator" w:id="0">
    <w:p w14:paraId="7058AF32" w14:textId="77777777" w:rsidR="00EC2083" w:rsidRDefault="00EC208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62C2D" w14:textId="77777777" w:rsidR="00EC2083" w:rsidRPr="00873404" w:rsidRDefault="00873404" w:rsidP="00873404">
    <w:pPr>
      <w:pStyle w:val="Footer"/>
      <w:tabs>
        <w:tab w:val="clear" w:pos="4153"/>
        <w:tab w:val="clear" w:pos="8306"/>
        <w:tab w:val="center" w:pos="4150"/>
        <w:tab w:val="right" w:pos="8307"/>
      </w:tabs>
      <w:spacing w:before="120"/>
      <w:rPr>
        <w:i/>
        <w:sz w:val="18"/>
      </w:rPr>
    </w:pPr>
    <w:r w:rsidRPr="00873404">
      <w:rPr>
        <w:i/>
        <w:sz w:val="18"/>
      </w:rPr>
      <w:t>OPC65171 -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31F6" w14:textId="77777777" w:rsidR="00EC2083" w:rsidRDefault="00EC2083" w:rsidP="00E97334"/>
  <w:p w14:paraId="0D3D57A1" w14:textId="77777777" w:rsidR="00EC2083" w:rsidRPr="00873404" w:rsidRDefault="00873404" w:rsidP="00873404">
    <w:pPr>
      <w:rPr>
        <w:rFonts w:cs="Times New Roman"/>
        <w:i/>
        <w:sz w:val="18"/>
      </w:rPr>
    </w:pPr>
    <w:r w:rsidRPr="00873404">
      <w:rPr>
        <w:rFonts w:cs="Times New Roman"/>
        <w:i/>
        <w:sz w:val="18"/>
      </w:rPr>
      <w:t>OPC65171 -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22F9E" w14:textId="77777777" w:rsidR="00EC2083" w:rsidRPr="00873404" w:rsidRDefault="00873404" w:rsidP="00873404">
    <w:pPr>
      <w:pStyle w:val="Footer"/>
      <w:tabs>
        <w:tab w:val="clear" w:pos="4153"/>
        <w:tab w:val="clear" w:pos="8306"/>
        <w:tab w:val="center" w:pos="4150"/>
        <w:tab w:val="right" w:pos="8307"/>
      </w:tabs>
      <w:spacing w:before="120"/>
      <w:rPr>
        <w:i/>
        <w:sz w:val="18"/>
      </w:rPr>
    </w:pPr>
    <w:r w:rsidRPr="00873404">
      <w:rPr>
        <w:i/>
        <w:sz w:val="18"/>
      </w:rPr>
      <w:t>OPC65171 -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7B942" w14:textId="77777777" w:rsidR="00EC2083" w:rsidRPr="00E33C1C" w:rsidRDefault="00EC208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C2083" w14:paraId="713AFE2D" w14:textId="77777777" w:rsidTr="00C518BF">
      <w:tc>
        <w:tcPr>
          <w:tcW w:w="709" w:type="dxa"/>
          <w:tcBorders>
            <w:top w:val="nil"/>
            <w:left w:val="nil"/>
            <w:bottom w:val="nil"/>
            <w:right w:val="nil"/>
          </w:tcBorders>
        </w:tcPr>
        <w:p w14:paraId="772AF19D" w14:textId="77777777" w:rsidR="00EC2083" w:rsidRDefault="00EC2083" w:rsidP="008B252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5840FAB" w14:textId="5CA665EC" w:rsidR="00EC2083" w:rsidRDefault="00EC2083" w:rsidP="008B252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3244">
            <w:rPr>
              <w:i/>
              <w:sz w:val="18"/>
            </w:rPr>
            <w:t>Therapeutic Goods Legislation Amendment (2021 Measures No. 3) Regulations 2021</w:t>
          </w:r>
          <w:r w:rsidRPr="007A1328">
            <w:rPr>
              <w:i/>
              <w:sz w:val="18"/>
            </w:rPr>
            <w:fldChar w:fldCharType="end"/>
          </w:r>
        </w:p>
      </w:tc>
      <w:tc>
        <w:tcPr>
          <w:tcW w:w="1384" w:type="dxa"/>
          <w:tcBorders>
            <w:top w:val="nil"/>
            <w:left w:val="nil"/>
            <w:bottom w:val="nil"/>
            <w:right w:val="nil"/>
          </w:tcBorders>
        </w:tcPr>
        <w:p w14:paraId="7659E1DE" w14:textId="77777777" w:rsidR="00EC2083" w:rsidRDefault="00EC2083" w:rsidP="008B252A">
          <w:pPr>
            <w:spacing w:line="0" w:lineRule="atLeast"/>
            <w:jc w:val="right"/>
            <w:rPr>
              <w:sz w:val="18"/>
            </w:rPr>
          </w:pPr>
        </w:p>
      </w:tc>
    </w:tr>
  </w:tbl>
  <w:p w14:paraId="7F36005A" w14:textId="77777777" w:rsidR="00EC2083" w:rsidRPr="00873404" w:rsidRDefault="00873404" w:rsidP="00873404">
    <w:pPr>
      <w:rPr>
        <w:rFonts w:cs="Times New Roman"/>
        <w:i/>
        <w:sz w:val="18"/>
      </w:rPr>
    </w:pPr>
    <w:r w:rsidRPr="00873404">
      <w:rPr>
        <w:rFonts w:cs="Times New Roman"/>
        <w:i/>
        <w:sz w:val="18"/>
      </w:rPr>
      <w:t>OPC65171 -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8EEA7" w14:textId="77777777" w:rsidR="00EC2083" w:rsidRPr="00E33C1C" w:rsidRDefault="00EC208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EC2083" w14:paraId="178A1BA5" w14:textId="77777777" w:rsidTr="00C518BF">
      <w:tc>
        <w:tcPr>
          <w:tcW w:w="1383" w:type="dxa"/>
          <w:tcBorders>
            <w:top w:val="nil"/>
            <w:left w:val="nil"/>
            <w:bottom w:val="nil"/>
            <w:right w:val="nil"/>
          </w:tcBorders>
        </w:tcPr>
        <w:p w14:paraId="179838C3" w14:textId="77777777" w:rsidR="00EC2083" w:rsidRDefault="00EC2083" w:rsidP="008B252A">
          <w:pPr>
            <w:spacing w:line="0" w:lineRule="atLeast"/>
            <w:rPr>
              <w:sz w:val="18"/>
            </w:rPr>
          </w:pPr>
        </w:p>
      </w:tc>
      <w:tc>
        <w:tcPr>
          <w:tcW w:w="6379" w:type="dxa"/>
          <w:tcBorders>
            <w:top w:val="nil"/>
            <w:left w:val="nil"/>
            <w:bottom w:val="nil"/>
            <w:right w:val="nil"/>
          </w:tcBorders>
        </w:tcPr>
        <w:p w14:paraId="45C65E3E" w14:textId="72E1A31B" w:rsidR="00EC2083" w:rsidRDefault="00EC2083" w:rsidP="008B252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3244">
            <w:rPr>
              <w:i/>
              <w:sz w:val="18"/>
            </w:rPr>
            <w:t>Therapeutic Goods Legislation Amendment (2021 Measures No. 3) Regulations 2021</w:t>
          </w:r>
          <w:r w:rsidRPr="007A1328">
            <w:rPr>
              <w:i/>
              <w:sz w:val="18"/>
            </w:rPr>
            <w:fldChar w:fldCharType="end"/>
          </w:r>
        </w:p>
      </w:tc>
      <w:tc>
        <w:tcPr>
          <w:tcW w:w="710" w:type="dxa"/>
          <w:tcBorders>
            <w:top w:val="nil"/>
            <w:left w:val="nil"/>
            <w:bottom w:val="nil"/>
            <w:right w:val="nil"/>
          </w:tcBorders>
        </w:tcPr>
        <w:p w14:paraId="661A3C59" w14:textId="77777777" w:rsidR="00EC2083" w:rsidRDefault="00EC2083" w:rsidP="008B252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8533F57" w14:textId="77777777" w:rsidR="00EC2083" w:rsidRPr="00873404" w:rsidRDefault="00873404" w:rsidP="00873404">
    <w:pPr>
      <w:rPr>
        <w:rFonts w:cs="Times New Roman"/>
        <w:i/>
        <w:sz w:val="18"/>
      </w:rPr>
    </w:pPr>
    <w:r w:rsidRPr="00873404">
      <w:rPr>
        <w:rFonts w:cs="Times New Roman"/>
        <w:i/>
        <w:sz w:val="18"/>
      </w:rPr>
      <w:t>OPC65171 -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3BABC" w14:textId="77777777" w:rsidR="00EC2083" w:rsidRPr="00E33C1C" w:rsidRDefault="00EC208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C2083" w14:paraId="4E353B40" w14:textId="77777777" w:rsidTr="00C518BF">
      <w:tc>
        <w:tcPr>
          <w:tcW w:w="709" w:type="dxa"/>
          <w:tcBorders>
            <w:top w:val="nil"/>
            <w:left w:val="nil"/>
            <w:bottom w:val="nil"/>
            <w:right w:val="nil"/>
          </w:tcBorders>
        </w:tcPr>
        <w:p w14:paraId="5DDF91D7" w14:textId="77777777" w:rsidR="00EC2083" w:rsidRDefault="00EC2083" w:rsidP="008B252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4EAD340" w14:textId="41CA78C8" w:rsidR="00EC2083" w:rsidRDefault="00EC2083" w:rsidP="008B252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3244">
            <w:rPr>
              <w:i/>
              <w:sz w:val="18"/>
            </w:rPr>
            <w:t>Therapeutic Goods Legislation Amendment (2021 Measures No. 3) Regulations 2021</w:t>
          </w:r>
          <w:r w:rsidRPr="007A1328">
            <w:rPr>
              <w:i/>
              <w:sz w:val="18"/>
            </w:rPr>
            <w:fldChar w:fldCharType="end"/>
          </w:r>
        </w:p>
      </w:tc>
      <w:tc>
        <w:tcPr>
          <w:tcW w:w="1384" w:type="dxa"/>
          <w:tcBorders>
            <w:top w:val="nil"/>
            <w:left w:val="nil"/>
            <w:bottom w:val="nil"/>
            <w:right w:val="nil"/>
          </w:tcBorders>
        </w:tcPr>
        <w:p w14:paraId="1FB7188A" w14:textId="77777777" w:rsidR="00EC2083" w:rsidRDefault="00EC2083" w:rsidP="008B252A">
          <w:pPr>
            <w:spacing w:line="0" w:lineRule="atLeast"/>
            <w:jc w:val="right"/>
            <w:rPr>
              <w:sz w:val="18"/>
            </w:rPr>
          </w:pPr>
        </w:p>
      </w:tc>
    </w:tr>
  </w:tbl>
  <w:p w14:paraId="6B2EED46" w14:textId="77777777" w:rsidR="00EC2083" w:rsidRPr="00873404" w:rsidRDefault="00873404" w:rsidP="00873404">
    <w:pPr>
      <w:rPr>
        <w:rFonts w:cs="Times New Roman"/>
        <w:i/>
        <w:sz w:val="18"/>
      </w:rPr>
    </w:pPr>
    <w:r w:rsidRPr="00873404">
      <w:rPr>
        <w:rFonts w:cs="Times New Roman"/>
        <w:i/>
        <w:sz w:val="18"/>
      </w:rPr>
      <w:t>OPC65171 -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546D8" w14:textId="77777777" w:rsidR="00EC2083" w:rsidRPr="00E33C1C" w:rsidRDefault="00EC208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C2083" w14:paraId="636360D9" w14:textId="77777777" w:rsidTr="008B252A">
      <w:tc>
        <w:tcPr>
          <w:tcW w:w="1384" w:type="dxa"/>
          <w:tcBorders>
            <w:top w:val="nil"/>
            <w:left w:val="nil"/>
            <w:bottom w:val="nil"/>
            <w:right w:val="nil"/>
          </w:tcBorders>
        </w:tcPr>
        <w:p w14:paraId="189B777C" w14:textId="77777777" w:rsidR="00EC2083" w:rsidRDefault="00EC2083" w:rsidP="008B252A">
          <w:pPr>
            <w:spacing w:line="0" w:lineRule="atLeast"/>
            <w:rPr>
              <w:sz w:val="18"/>
            </w:rPr>
          </w:pPr>
        </w:p>
      </w:tc>
      <w:tc>
        <w:tcPr>
          <w:tcW w:w="6379" w:type="dxa"/>
          <w:tcBorders>
            <w:top w:val="nil"/>
            <w:left w:val="nil"/>
            <w:bottom w:val="nil"/>
            <w:right w:val="nil"/>
          </w:tcBorders>
        </w:tcPr>
        <w:p w14:paraId="1F437E34" w14:textId="34A600EF" w:rsidR="00EC2083" w:rsidRDefault="00EC2083" w:rsidP="008B252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3244">
            <w:rPr>
              <w:i/>
              <w:sz w:val="18"/>
            </w:rPr>
            <w:t>Therapeutic Goods Legislation Amendment (2021 Measures No. 3) Regulations 2021</w:t>
          </w:r>
          <w:r w:rsidRPr="007A1328">
            <w:rPr>
              <w:i/>
              <w:sz w:val="18"/>
            </w:rPr>
            <w:fldChar w:fldCharType="end"/>
          </w:r>
        </w:p>
      </w:tc>
      <w:tc>
        <w:tcPr>
          <w:tcW w:w="709" w:type="dxa"/>
          <w:tcBorders>
            <w:top w:val="nil"/>
            <w:left w:val="nil"/>
            <w:bottom w:val="nil"/>
            <w:right w:val="nil"/>
          </w:tcBorders>
        </w:tcPr>
        <w:p w14:paraId="7B4D6688" w14:textId="77777777" w:rsidR="00EC2083" w:rsidRDefault="00EC2083" w:rsidP="008B252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6873EF8" w14:textId="77777777" w:rsidR="00EC2083" w:rsidRPr="00873404" w:rsidRDefault="00873404" w:rsidP="00873404">
    <w:pPr>
      <w:rPr>
        <w:rFonts w:cs="Times New Roman"/>
        <w:i/>
        <w:sz w:val="18"/>
      </w:rPr>
    </w:pPr>
    <w:r w:rsidRPr="00873404">
      <w:rPr>
        <w:rFonts w:cs="Times New Roman"/>
        <w:i/>
        <w:sz w:val="18"/>
      </w:rPr>
      <w:t>OPC65171 -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5DE61" w14:textId="77777777" w:rsidR="00EC2083" w:rsidRPr="00E33C1C" w:rsidRDefault="00EC2083"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C2083" w14:paraId="0B63661A" w14:textId="77777777" w:rsidTr="007A6863">
      <w:tc>
        <w:tcPr>
          <w:tcW w:w="1384" w:type="dxa"/>
          <w:tcBorders>
            <w:top w:val="nil"/>
            <w:left w:val="nil"/>
            <w:bottom w:val="nil"/>
            <w:right w:val="nil"/>
          </w:tcBorders>
        </w:tcPr>
        <w:p w14:paraId="57B0F645" w14:textId="77777777" w:rsidR="00EC2083" w:rsidRDefault="00EC2083" w:rsidP="008B252A">
          <w:pPr>
            <w:spacing w:line="0" w:lineRule="atLeast"/>
            <w:rPr>
              <w:sz w:val="18"/>
            </w:rPr>
          </w:pPr>
        </w:p>
      </w:tc>
      <w:tc>
        <w:tcPr>
          <w:tcW w:w="6379" w:type="dxa"/>
          <w:tcBorders>
            <w:top w:val="nil"/>
            <w:left w:val="nil"/>
            <w:bottom w:val="nil"/>
            <w:right w:val="nil"/>
          </w:tcBorders>
        </w:tcPr>
        <w:p w14:paraId="3AE49666" w14:textId="21BCFE2D" w:rsidR="00EC2083" w:rsidRDefault="00EC2083" w:rsidP="008B252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3244">
            <w:rPr>
              <w:i/>
              <w:sz w:val="18"/>
            </w:rPr>
            <w:t>Therapeutic Goods Legislation Amendment (2021 Measures No. 3) Regulations 2021</w:t>
          </w:r>
          <w:r w:rsidRPr="007A1328">
            <w:rPr>
              <w:i/>
              <w:sz w:val="18"/>
            </w:rPr>
            <w:fldChar w:fldCharType="end"/>
          </w:r>
        </w:p>
      </w:tc>
      <w:tc>
        <w:tcPr>
          <w:tcW w:w="709" w:type="dxa"/>
          <w:tcBorders>
            <w:top w:val="nil"/>
            <w:left w:val="nil"/>
            <w:bottom w:val="nil"/>
            <w:right w:val="nil"/>
          </w:tcBorders>
        </w:tcPr>
        <w:p w14:paraId="6E6A9F05" w14:textId="77777777" w:rsidR="00EC2083" w:rsidRDefault="00EC2083" w:rsidP="008B252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7F509A7B" w14:textId="77777777" w:rsidR="00EC2083" w:rsidRPr="00873404" w:rsidRDefault="00873404" w:rsidP="00873404">
    <w:pPr>
      <w:rPr>
        <w:rFonts w:cs="Times New Roman"/>
        <w:i/>
        <w:sz w:val="18"/>
      </w:rPr>
    </w:pPr>
    <w:r w:rsidRPr="00873404">
      <w:rPr>
        <w:rFonts w:cs="Times New Roman"/>
        <w:i/>
        <w:sz w:val="18"/>
      </w:rPr>
      <w:t>OPC65171 -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A4E5D" w14:textId="77777777" w:rsidR="00EC2083" w:rsidRDefault="00EC2083" w:rsidP="0048364F">
      <w:pPr>
        <w:spacing w:line="240" w:lineRule="auto"/>
      </w:pPr>
      <w:r>
        <w:separator/>
      </w:r>
    </w:p>
  </w:footnote>
  <w:footnote w:type="continuationSeparator" w:id="0">
    <w:p w14:paraId="12CC039B" w14:textId="77777777" w:rsidR="00EC2083" w:rsidRDefault="00EC208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ADADD" w14:textId="77777777" w:rsidR="00EC2083" w:rsidRPr="005F1388" w:rsidRDefault="00EC2083"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0ACE" w14:textId="77777777" w:rsidR="00EC2083" w:rsidRPr="005F1388" w:rsidRDefault="00EC2083"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758A" w14:textId="77777777" w:rsidR="00EC2083" w:rsidRPr="005F1388" w:rsidRDefault="00EC208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13CAB" w14:textId="77777777" w:rsidR="00EC2083" w:rsidRPr="00ED79B6" w:rsidRDefault="00EC2083"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2185" w14:textId="77777777" w:rsidR="00EC2083" w:rsidRPr="00ED79B6" w:rsidRDefault="00EC2083"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91D9F" w14:textId="77777777" w:rsidR="00EC2083" w:rsidRPr="00ED79B6" w:rsidRDefault="00EC208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87E71" w14:textId="538DF9CA" w:rsidR="00EC2083" w:rsidRPr="00A961C4" w:rsidRDefault="00EC2083" w:rsidP="0048364F">
    <w:pPr>
      <w:rPr>
        <w:b/>
        <w:sz w:val="20"/>
      </w:rPr>
    </w:pPr>
    <w:r>
      <w:rPr>
        <w:b/>
        <w:sz w:val="20"/>
      </w:rPr>
      <w:fldChar w:fldCharType="begin"/>
    </w:r>
    <w:r>
      <w:rPr>
        <w:b/>
        <w:sz w:val="20"/>
      </w:rPr>
      <w:instrText xml:space="preserve"> STYLEREF CharAmSchNo </w:instrText>
    </w:r>
    <w:r>
      <w:rPr>
        <w:b/>
        <w:sz w:val="20"/>
      </w:rPr>
      <w:fldChar w:fldCharType="separate"/>
    </w:r>
    <w:r w:rsidR="00D010F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D010FB">
      <w:rPr>
        <w:noProof/>
        <w:sz w:val="20"/>
      </w:rPr>
      <w:t>Amendments</w:t>
    </w:r>
    <w:r>
      <w:rPr>
        <w:sz w:val="20"/>
      </w:rPr>
      <w:fldChar w:fldCharType="end"/>
    </w:r>
  </w:p>
  <w:p w14:paraId="1617A991" w14:textId="5A926F38" w:rsidR="00EC2083" w:rsidRPr="00A961C4" w:rsidRDefault="00EC2083" w:rsidP="0048364F">
    <w:pPr>
      <w:rPr>
        <w:b/>
        <w:sz w:val="20"/>
      </w:rPr>
    </w:pPr>
    <w:r>
      <w:rPr>
        <w:b/>
        <w:sz w:val="20"/>
      </w:rPr>
      <w:fldChar w:fldCharType="begin"/>
    </w:r>
    <w:r>
      <w:rPr>
        <w:b/>
        <w:sz w:val="20"/>
      </w:rPr>
      <w:instrText xml:space="preserve"> STYLEREF CharAmPartNo </w:instrText>
    </w:r>
    <w:r>
      <w:rPr>
        <w:b/>
        <w:sz w:val="20"/>
      </w:rPr>
      <w:fldChar w:fldCharType="separate"/>
    </w:r>
    <w:r w:rsidR="00D010FB">
      <w:rPr>
        <w:b/>
        <w:noProof/>
        <w:sz w:val="20"/>
      </w:rPr>
      <w:t>Part 11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D010FB">
      <w:rPr>
        <w:noProof/>
        <w:sz w:val="20"/>
      </w:rPr>
      <w:t>Other amendments</w:t>
    </w:r>
    <w:r>
      <w:rPr>
        <w:sz w:val="20"/>
      </w:rPr>
      <w:fldChar w:fldCharType="end"/>
    </w:r>
  </w:p>
  <w:p w14:paraId="24D0E476" w14:textId="77777777" w:rsidR="00EC2083" w:rsidRPr="00A961C4" w:rsidRDefault="00EC2083"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0AE3D" w14:textId="1D5C1636" w:rsidR="00EC2083" w:rsidRPr="00A961C4" w:rsidRDefault="00EC2083" w:rsidP="0048364F">
    <w:pPr>
      <w:jc w:val="right"/>
      <w:rPr>
        <w:sz w:val="20"/>
      </w:rPr>
    </w:pPr>
    <w:r w:rsidRPr="00A961C4">
      <w:rPr>
        <w:sz w:val="20"/>
      </w:rPr>
      <w:fldChar w:fldCharType="begin"/>
    </w:r>
    <w:r w:rsidRPr="00A961C4">
      <w:rPr>
        <w:sz w:val="20"/>
      </w:rPr>
      <w:instrText xml:space="preserve"> STYLEREF CharAmSchText </w:instrText>
    </w:r>
    <w:r w:rsidR="00D010FB">
      <w:rPr>
        <w:sz w:val="20"/>
      </w:rPr>
      <w:fldChar w:fldCharType="separate"/>
    </w:r>
    <w:r w:rsidR="00D010FB">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010FB">
      <w:rPr>
        <w:b/>
        <w:sz w:val="20"/>
      </w:rPr>
      <w:fldChar w:fldCharType="separate"/>
    </w:r>
    <w:r w:rsidR="00D010FB">
      <w:rPr>
        <w:b/>
        <w:noProof/>
        <w:sz w:val="20"/>
      </w:rPr>
      <w:t>Schedule 1</w:t>
    </w:r>
    <w:r>
      <w:rPr>
        <w:b/>
        <w:sz w:val="20"/>
      </w:rPr>
      <w:fldChar w:fldCharType="end"/>
    </w:r>
  </w:p>
  <w:p w14:paraId="0A393234" w14:textId="76DD0067" w:rsidR="00EC2083" w:rsidRPr="00A961C4" w:rsidRDefault="00EC2083" w:rsidP="0048364F">
    <w:pPr>
      <w:jc w:val="right"/>
      <w:rPr>
        <w:b/>
        <w:sz w:val="20"/>
      </w:rPr>
    </w:pPr>
    <w:r w:rsidRPr="00A961C4">
      <w:rPr>
        <w:sz w:val="20"/>
      </w:rPr>
      <w:fldChar w:fldCharType="begin"/>
    </w:r>
    <w:r w:rsidRPr="00A961C4">
      <w:rPr>
        <w:sz w:val="20"/>
      </w:rPr>
      <w:instrText xml:space="preserve"> STYLEREF CharAmPartText </w:instrText>
    </w:r>
    <w:r w:rsidR="00D010FB">
      <w:rPr>
        <w:sz w:val="20"/>
      </w:rPr>
      <w:fldChar w:fldCharType="separate"/>
    </w:r>
    <w:r w:rsidR="00D010FB">
      <w:rPr>
        <w:noProof/>
        <w:sz w:val="20"/>
      </w:rPr>
      <w:t>Other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D010FB">
      <w:rPr>
        <w:b/>
        <w:sz w:val="20"/>
      </w:rPr>
      <w:fldChar w:fldCharType="separate"/>
    </w:r>
    <w:r w:rsidR="00D010FB">
      <w:rPr>
        <w:b/>
        <w:noProof/>
        <w:sz w:val="20"/>
      </w:rPr>
      <w:t>Part 11</w:t>
    </w:r>
    <w:r w:rsidRPr="00A961C4">
      <w:rPr>
        <w:b/>
        <w:sz w:val="20"/>
      </w:rPr>
      <w:fldChar w:fldCharType="end"/>
    </w:r>
  </w:p>
  <w:p w14:paraId="4F47B8C6" w14:textId="77777777" w:rsidR="00EC2083" w:rsidRPr="00A961C4" w:rsidRDefault="00EC2083"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765A3" w14:textId="77777777" w:rsidR="00EC2083" w:rsidRPr="00A961C4" w:rsidRDefault="00EC208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65930"/>
    <w:rsid w:val="00000263"/>
    <w:rsid w:val="00003369"/>
    <w:rsid w:val="000076FF"/>
    <w:rsid w:val="000107FF"/>
    <w:rsid w:val="000113BC"/>
    <w:rsid w:val="00013287"/>
    <w:rsid w:val="000136AF"/>
    <w:rsid w:val="00015C10"/>
    <w:rsid w:val="000224C1"/>
    <w:rsid w:val="00024A8C"/>
    <w:rsid w:val="000347FE"/>
    <w:rsid w:val="00035EA7"/>
    <w:rsid w:val="00036DEA"/>
    <w:rsid w:val="0004044E"/>
    <w:rsid w:val="00040EC3"/>
    <w:rsid w:val="00046F47"/>
    <w:rsid w:val="0005120E"/>
    <w:rsid w:val="00051412"/>
    <w:rsid w:val="0005181A"/>
    <w:rsid w:val="00054577"/>
    <w:rsid w:val="000546F7"/>
    <w:rsid w:val="00055428"/>
    <w:rsid w:val="0005729F"/>
    <w:rsid w:val="000614BF"/>
    <w:rsid w:val="000619D7"/>
    <w:rsid w:val="00064008"/>
    <w:rsid w:val="00066049"/>
    <w:rsid w:val="00066E3B"/>
    <w:rsid w:val="0007169C"/>
    <w:rsid w:val="00073EFF"/>
    <w:rsid w:val="00077593"/>
    <w:rsid w:val="00077831"/>
    <w:rsid w:val="00083F48"/>
    <w:rsid w:val="000843C7"/>
    <w:rsid w:val="000932AC"/>
    <w:rsid w:val="000937D2"/>
    <w:rsid w:val="000A4A28"/>
    <w:rsid w:val="000A4D93"/>
    <w:rsid w:val="000A70DA"/>
    <w:rsid w:val="000A7727"/>
    <w:rsid w:val="000A7DF9"/>
    <w:rsid w:val="000B153E"/>
    <w:rsid w:val="000B743A"/>
    <w:rsid w:val="000C1EC7"/>
    <w:rsid w:val="000C4686"/>
    <w:rsid w:val="000C4B07"/>
    <w:rsid w:val="000C7B20"/>
    <w:rsid w:val="000C7D63"/>
    <w:rsid w:val="000D05EF"/>
    <w:rsid w:val="000D4B54"/>
    <w:rsid w:val="000D5485"/>
    <w:rsid w:val="000E11AD"/>
    <w:rsid w:val="000E27D2"/>
    <w:rsid w:val="000E5C38"/>
    <w:rsid w:val="000E72E3"/>
    <w:rsid w:val="000F21C1"/>
    <w:rsid w:val="000F60A6"/>
    <w:rsid w:val="000F69E7"/>
    <w:rsid w:val="000F6DD0"/>
    <w:rsid w:val="000F70D7"/>
    <w:rsid w:val="0010307D"/>
    <w:rsid w:val="00104546"/>
    <w:rsid w:val="00105D72"/>
    <w:rsid w:val="00106216"/>
    <w:rsid w:val="0010745C"/>
    <w:rsid w:val="00117277"/>
    <w:rsid w:val="00120A5C"/>
    <w:rsid w:val="001249F5"/>
    <w:rsid w:val="001359E8"/>
    <w:rsid w:val="00142B13"/>
    <w:rsid w:val="00146CE4"/>
    <w:rsid w:val="00160BD7"/>
    <w:rsid w:val="001643C9"/>
    <w:rsid w:val="00164D3D"/>
    <w:rsid w:val="00165568"/>
    <w:rsid w:val="00166082"/>
    <w:rsid w:val="00166C2F"/>
    <w:rsid w:val="00166FF6"/>
    <w:rsid w:val="00170A56"/>
    <w:rsid w:val="001716C9"/>
    <w:rsid w:val="001723F3"/>
    <w:rsid w:val="001769EA"/>
    <w:rsid w:val="00181325"/>
    <w:rsid w:val="00184261"/>
    <w:rsid w:val="00190BA1"/>
    <w:rsid w:val="00190DF5"/>
    <w:rsid w:val="00193461"/>
    <w:rsid w:val="001939E1"/>
    <w:rsid w:val="00195382"/>
    <w:rsid w:val="0019651F"/>
    <w:rsid w:val="001A3B9F"/>
    <w:rsid w:val="001A65C0"/>
    <w:rsid w:val="001B31BB"/>
    <w:rsid w:val="001B5EE7"/>
    <w:rsid w:val="001B6456"/>
    <w:rsid w:val="001B666C"/>
    <w:rsid w:val="001B7A5D"/>
    <w:rsid w:val="001C69C4"/>
    <w:rsid w:val="001E0A8D"/>
    <w:rsid w:val="001E2102"/>
    <w:rsid w:val="001E3590"/>
    <w:rsid w:val="001E3D58"/>
    <w:rsid w:val="001E6F90"/>
    <w:rsid w:val="001E7407"/>
    <w:rsid w:val="001F5B56"/>
    <w:rsid w:val="001F782C"/>
    <w:rsid w:val="001F7C34"/>
    <w:rsid w:val="0020147D"/>
    <w:rsid w:val="00201D27"/>
    <w:rsid w:val="0020300C"/>
    <w:rsid w:val="00204421"/>
    <w:rsid w:val="002129C5"/>
    <w:rsid w:val="002156D5"/>
    <w:rsid w:val="00220A0C"/>
    <w:rsid w:val="0022160E"/>
    <w:rsid w:val="00223E4A"/>
    <w:rsid w:val="002302EA"/>
    <w:rsid w:val="0023717B"/>
    <w:rsid w:val="00237D66"/>
    <w:rsid w:val="00240749"/>
    <w:rsid w:val="0024334D"/>
    <w:rsid w:val="002468D7"/>
    <w:rsid w:val="00250EC0"/>
    <w:rsid w:val="00255D38"/>
    <w:rsid w:val="002571D6"/>
    <w:rsid w:val="002652F4"/>
    <w:rsid w:val="0026731C"/>
    <w:rsid w:val="00273144"/>
    <w:rsid w:val="00280E86"/>
    <w:rsid w:val="00283616"/>
    <w:rsid w:val="00285CDD"/>
    <w:rsid w:val="002908C9"/>
    <w:rsid w:val="00290FF3"/>
    <w:rsid w:val="00291167"/>
    <w:rsid w:val="00292758"/>
    <w:rsid w:val="00296F26"/>
    <w:rsid w:val="00297ECB"/>
    <w:rsid w:val="002A1948"/>
    <w:rsid w:val="002B1914"/>
    <w:rsid w:val="002B6F12"/>
    <w:rsid w:val="002C152A"/>
    <w:rsid w:val="002D043A"/>
    <w:rsid w:val="002D62DD"/>
    <w:rsid w:val="002E0129"/>
    <w:rsid w:val="002E56C2"/>
    <w:rsid w:val="002F75FD"/>
    <w:rsid w:val="00300BB0"/>
    <w:rsid w:val="00301D89"/>
    <w:rsid w:val="003037D6"/>
    <w:rsid w:val="003039EF"/>
    <w:rsid w:val="003074FD"/>
    <w:rsid w:val="0031434B"/>
    <w:rsid w:val="0031713F"/>
    <w:rsid w:val="00321913"/>
    <w:rsid w:val="0032274F"/>
    <w:rsid w:val="003238EF"/>
    <w:rsid w:val="00324EE6"/>
    <w:rsid w:val="003316DC"/>
    <w:rsid w:val="00332423"/>
    <w:rsid w:val="00332E0D"/>
    <w:rsid w:val="00336551"/>
    <w:rsid w:val="003415D3"/>
    <w:rsid w:val="00344E85"/>
    <w:rsid w:val="00346335"/>
    <w:rsid w:val="00352B0F"/>
    <w:rsid w:val="003561B0"/>
    <w:rsid w:val="00360220"/>
    <w:rsid w:val="00367960"/>
    <w:rsid w:val="003728F7"/>
    <w:rsid w:val="0038034B"/>
    <w:rsid w:val="00386E8E"/>
    <w:rsid w:val="00390027"/>
    <w:rsid w:val="00392048"/>
    <w:rsid w:val="00392CDA"/>
    <w:rsid w:val="00394357"/>
    <w:rsid w:val="003A15AC"/>
    <w:rsid w:val="003A56EB"/>
    <w:rsid w:val="003B0627"/>
    <w:rsid w:val="003B2C4D"/>
    <w:rsid w:val="003C5F2B"/>
    <w:rsid w:val="003C7EF7"/>
    <w:rsid w:val="003D0BFE"/>
    <w:rsid w:val="003D0CDE"/>
    <w:rsid w:val="003D202D"/>
    <w:rsid w:val="003D55A6"/>
    <w:rsid w:val="003D5700"/>
    <w:rsid w:val="003D69F1"/>
    <w:rsid w:val="003E7008"/>
    <w:rsid w:val="003F0F5A"/>
    <w:rsid w:val="003F19AA"/>
    <w:rsid w:val="003F4FE9"/>
    <w:rsid w:val="003F5018"/>
    <w:rsid w:val="00400A30"/>
    <w:rsid w:val="004022CA"/>
    <w:rsid w:val="0040238F"/>
    <w:rsid w:val="004116CD"/>
    <w:rsid w:val="00414ADE"/>
    <w:rsid w:val="0042111C"/>
    <w:rsid w:val="00424CA9"/>
    <w:rsid w:val="004257BB"/>
    <w:rsid w:val="004261D9"/>
    <w:rsid w:val="00431AB5"/>
    <w:rsid w:val="00434950"/>
    <w:rsid w:val="0044291A"/>
    <w:rsid w:val="00445164"/>
    <w:rsid w:val="004517C7"/>
    <w:rsid w:val="0045535A"/>
    <w:rsid w:val="00460499"/>
    <w:rsid w:val="00461267"/>
    <w:rsid w:val="00463303"/>
    <w:rsid w:val="004646C0"/>
    <w:rsid w:val="00466E43"/>
    <w:rsid w:val="0047241D"/>
    <w:rsid w:val="00474835"/>
    <w:rsid w:val="00475A57"/>
    <w:rsid w:val="00477DE6"/>
    <w:rsid w:val="004819C7"/>
    <w:rsid w:val="0048286D"/>
    <w:rsid w:val="0048364F"/>
    <w:rsid w:val="0048693C"/>
    <w:rsid w:val="00486CCB"/>
    <w:rsid w:val="00487A39"/>
    <w:rsid w:val="00487B21"/>
    <w:rsid w:val="00490F2E"/>
    <w:rsid w:val="004921FA"/>
    <w:rsid w:val="004942EB"/>
    <w:rsid w:val="00496DB3"/>
    <w:rsid w:val="00496F97"/>
    <w:rsid w:val="004A53EA"/>
    <w:rsid w:val="004B03A5"/>
    <w:rsid w:val="004B074D"/>
    <w:rsid w:val="004B2B24"/>
    <w:rsid w:val="004B5425"/>
    <w:rsid w:val="004D5E18"/>
    <w:rsid w:val="004D5F67"/>
    <w:rsid w:val="004E5D3A"/>
    <w:rsid w:val="004E5F61"/>
    <w:rsid w:val="004F0AB5"/>
    <w:rsid w:val="004F1FAC"/>
    <w:rsid w:val="004F2C15"/>
    <w:rsid w:val="004F2C1A"/>
    <w:rsid w:val="004F6331"/>
    <w:rsid w:val="004F676E"/>
    <w:rsid w:val="004F69FF"/>
    <w:rsid w:val="00504503"/>
    <w:rsid w:val="0050726D"/>
    <w:rsid w:val="005078BB"/>
    <w:rsid w:val="005144E0"/>
    <w:rsid w:val="005152FD"/>
    <w:rsid w:val="00516B8D"/>
    <w:rsid w:val="005216A8"/>
    <w:rsid w:val="0052686F"/>
    <w:rsid w:val="00526895"/>
    <w:rsid w:val="0052756C"/>
    <w:rsid w:val="00530230"/>
    <w:rsid w:val="00530CC9"/>
    <w:rsid w:val="005314E1"/>
    <w:rsid w:val="0053779E"/>
    <w:rsid w:val="00537FBC"/>
    <w:rsid w:val="005405DE"/>
    <w:rsid w:val="00541D73"/>
    <w:rsid w:val="00543469"/>
    <w:rsid w:val="005452CC"/>
    <w:rsid w:val="00546FA3"/>
    <w:rsid w:val="00553671"/>
    <w:rsid w:val="00554243"/>
    <w:rsid w:val="00557C7A"/>
    <w:rsid w:val="00562059"/>
    <w:rsid w:val="00562A58"/>
    <w:rsid w:val="00562EB6"/>
    <w:rsid w:val="00565BAC"/>
    <w:rsid w:val="005677CB"/>
    <w:rsid w:val="00567D13"/>
    <w:rsid w:val="0057185A"/>
    <w:rsid w:val="00580E7E"/>
    <w:rsid w:val="00581211"/>
    <w:rsid w:val="00581DCE"/>
    <w:rsid w:val="00584811"/>
    <w:rsid w:val="00593AA6"/>
    <w:rsid w:val="00594161"/>
    <w:rsid w:val="00594512"/>
    <w:rsid w:val="00594749"/>
    <w:rsid w:val="005A482B"/>
    <w:rsid w:val="005A5504"/>
    <w:rsid w:val="005B4067"/>
    <w:rsid w:val="005B51C5"/>
    <w:rsid w:val="005B54B4"/>
    <w:rsid w:val="005B5A76"/>
    <w:rsid w:val="005C1358"/>
    <w:rsid w:val="005C36E0"/>
    <w:rsid w:val="005C3F41"/>
    <w:rsid w:val="005C7078"/>
    <w:rsid w:val="005C7699"/>
    <w:rsid w:val="005D168D"/>
    <w:rsid w:val="005D5EA1"/>
    <w:rsid w:val="005E61D3"/>
    <w:rsid w:val="005F7738"/>
    <w:rsid w:val="00600219"/>
    <w:rsid w:val="006018CE"/>
    <w:rsid w:val="00607396"/>
    <w:rsid w:val="00612123"/>
    <w:rsid w:val="00612501"/>
    <w:rsid w:val="00612EE4"/>
    <w:rsid w:val="00613EAD"/>
    <w:rsid w:val="006158AC"/>
    <w:rsid w:val="00617BF8"/>
    <w:rsid w:val="00627A7F"/>
    <w:rsid w:val="00632C92"/>
    <w:rsid w:val="00634657"/>
    <w:rsid w:val="00640402"/>
    <w:rsid w:val="00640F78"/>
    <w:rsid w:val="00646E7B"/>
    <w:rsid w:val="00653292"/>
    <w:rsid w:val="00654D30"/>
    <w:rsid w:val="00655D6A"/>
    <w:rsid w:val="00656DE9"/>
    <w:rsid w:val="0065759A"/>
    <w:rsid w:val="006649EB"/>
    <w:rsid w:val="00676D7E"/>
    <w:rsid w:val="00677CC2"/>
    <w:rsid w:val="00685761"/>
    <w:rsid w:val="00685F42"/>
    <w:rsid w:val="006866A1"/>
    <w:rsid w:val="006866C8"/>
    <w:rsid w:val="006870A9"/>
    <w:rsid w:val="00691103"/>
    <w:rsid w:val="0069207B"/>
    <w:rsid w:val="006922E6"/>
    <w:rsid w:val="00693018"/>
    <w:rsid w:val="006A3CDF"/>
    <w:rsid w:val="006A4309"/>
    <w:rsid w:val="006A5165"/>
    <w:rsid w:val="006B0E55"/>
    <w:rsid w:val="006B3E44"/>
    <w:rsid w:val="006B7006"/>
    <w:rsid w:val="006C5510"/>
    <w:rsid w:val="006C7F8C"/>
    <w:rsid w:val="006D13E0"/>
    <w:rsid w:val="006D7AB9"/>
    <w:rsid w:val="006E16D2"/>
    <w:rsid w:val="006F0685"/>
    <w:rsid w:val="006F191C"/>
    <w:rsid w:val="006F7713"/>
    <w:rsid w:val="00700B2C"/>
    <w:rsid w:val="00704CF8"/>
    <w:rsid w:val="007067BB"/>
    <w:rsid w:val="0070710A"/>
    <w:rsid w:val="007108B3"/>
    <w:rsid w:val="00713084"/>
    <w:rsid w:val="007154F9"/>
    <w:rsid w:val="007175EC"/>
    <w:rsid w:val="007176BC"/>
    <w:rsid w:val="00720FC2"/>
    <w:rsid w:val="00727DDC"/>
    <w:rsid w:val="00731E00"/>
    <w:rsid w:val="00732D35"/>
    <w:rsid w:val="00732E9D"/>
    <w:rsid w:val="007339F0"/>
    <w:rsid w:val="00734485"/>
    <w:rsid w:val="0073491A"/>
    <w:rsid w:val="00740B15"/>
    <w:rsid w:val="007440B7"/>
    <w:rsid w:val="00747993"/>
    <w:rsid w:val="007518C4"/>
    <w:rsid w:val="007634AD"/>
    <w:rsid w:val="007655A1"/>
    <w:rsid w:val="00766EA2"/>
    <w:rsid w:val="007715C9"/>
    <w:rsid w:val="00774EDD"/>
    <w:rsid w:val="00775608"/>
    <w:rsid w:val="007757EC"/>
    <w:rsid w:val="00780B40"/>
    <w:rsid w:val="0078398B"/>
    <w:rsid w:val="0079451B"/>
    <w:rsid w:val="00796281"/>
    <w:rsid w:val="007A0C44"/>
    <w:rsid w:val="007A0E77"/>
    <w:rsid w:val="007A115D"/>
    <w:rsid w:val="007A1940"/>
    <w:rsid w:val="007A1DA9"/>
    <w:rsid w:val="007A35E6"/>
    <w:rsid w:val="007A5ABD"/>
    <w:rsid w:val="007A6863"/>
    <w:rsid w:val="007A774D"/>
    <w:rsid w:val="007B277A"/>
    <w:rsid w:val="007B539C"/>
    <w:rsid w:val="007B5520"/>
    <w:rsid w:val="007B5598"/>
    <w:rsid w:val="007C32CC"/>
    <w:rsid w:val="007C6B78"/>
    <w:rsid w:val="007D0833"/>
    <w:rsid w:val="007D136C"/>
    <w:rsid w:val="007D45C1"/>
    <w:rsid w:val="007D7822"/>
    <w:rsid w:val="007E7D4A"/>
    <w:rsid w:val="007E7F8D"/>
    <w:rsid w:val="007F001F"/>
    <w:rsid w:val="007F18A6"/>
    <w:rsid w:val="007F2129"/>
    <w:rsid w:val="007F48ED"/>
    <w:rsid w:val="007F7947"/>
    <w:rsid w:val="007F7BE1"/>
    <w:rsid w:val="00810070"/>
    <w:rsid w:val="00812525"/>
    <w:rsid w:val="00812F45"/>
    <w:rsid w:val="0081445A"/>
    <w:rsid w:val="00823B55"/>
    <w:rsid w:val="00823C5A"/>
    <w:rsid w:val="008338F3"/>
    <w:rsid w:val="008407C1"/>
    <w:rsid w:val="0084172C"/>
    <w:rsid w:val="0084510B"/>
    <w:rsid w:val="00846BA9"/>
    <w:rsid w:val="008563F3"/>
    <w:rsid w:val="00856A31"/>
    <w:rsid w:val="00873404"/>
    <w:rsid w:val="008736B5"/>
    <w:rsid w:val="008754D0"/>
    <w:rsid w:val="00876E8C"/>
    <w:rsid w:val="00877D48"/>
    <w:rsid w:val="008816F0"/>
    <w:rsid w:val="0088345B"/>
    <w:rsid w:val="00895FAC"/>
    <w:rsid w:val="008A16A5"/>
    <w:rsid w:val="008B0C5A"/>
    <w:rsid w:val="008B1AD7"/>
    <w:rsid w:val="008B252A"/>
    <w:rsid w:val="008B5D42"/>
    <w:rsid w:val="008B77BD"/>
    <w:rsid w:val="008C2B5D"/>
    <w:rsid w:val="008C3977"/>
    <w:rsid w:val="008C5EEB"/>
    <w:rsid w:val="008D0EE0"/>
    <w:rsid w:val="008D3701"/>
    <w:rsid w:val="008D535F"/>
    <w:rsid w:val="008D5B99"/>
    <w:rsid w:val="008D7A27"/>
    <w:rsid w:val="008E20C2"/>
    <w:rsid w:val="008E2627"/>
    <w:rsid w:val="008E4702"/>
    <w:rsid w:val="008E69AA"/>
    <w:rsid w:val="008F2366"/>
    <w:rsid w:val="008F4F1C"/>
    <w:rsid w:val="00900282"/>
    <w:rsid w:val="00900F86"/>
    <w:rsid w:val="009054C7"/>
    <w:rsid w:val="0091737A"/>
    <w:rsid w:val="00922764"/>
    <w:rsid w:val="0092500D"/>
    <w:rsid w:val="0092501B"/>
    <w:rsid w:val="009254CA"/>
    <w:rsid w:val="00932377"/>
    <w:rsid w:val="009325B8"/>
    <w:rsid w:val="009408EA"/>
    <w:rsid w:val="00943102"/>
    <w:rsid w:val="00944C17"/>
    <w:rsid w:val="0094523D"/>
    <w:rsid w:val="00954ADE"/>
    <w:rsid w:val="009559E6"/>
    <w:rsid w:val="00957E49"/>
    <w:rsid w:val="00965C68"/>
    <w:rsid w:val="0096790E"/>
    <w:rsid w:val="00973EF9"/>
    <w:rsid w:val="00974527"/>
    <w:rsid w:val="00974E79"/>
    <w:rsid w:val="00976A63"/>
    <w:rsid w:val="00977486"/>
    <w:rsid w:val="009775BC"/>
    <w:rsid w:val="00983419"/>
    <w:rsid w:val="009866C9"/>
    <w:rsid w:val="0099121D"/>
    <w:rsid w:val="00991F0E"/>
    <w:rsid w:val="0099245E"/>
    <w:rsid w:val="00994821"/>
    <w:rsid w:val="009A6649"/>
    <w:rsid w:val="009B28B1"/>
    <w:rsid w:val="009C0D4C"/>
    <w:rsid w:val="009C3431"/>
    <w:rsid w:val="009C5989"/>
    <w:rsid w:val="009D08DA"/>
    <w:rsid w:val="009D2CED"/>
    <w:rsid w:val="009D3244"/>
    <w:rsid w:val="009D6AA3"/>
    <w:rsid w:val="009E1791"/>
    <w:rsid w:val="009E6D5B"/>
    <w:rsid w:val="00A06860"/>
    <w:rsid w:val="00A11978"/>
    <w:rsid w:val="00A136F5"/>
    <w:rsid w:val="00A231E2"/>
    <w:rsid w:val="00A24359"/>
    <w:rsid w:val="00A249D0"/>
    <w:rsid w:val="00A2550D"/>
    <w:rsid w:val="00A27E6A"/>
    <w:rsid w:val="00A30B6D"/>
    <w:rsid w:val="00A31335"/>
    <w:rsid w:val="00A35057"/>
    <w:rsid w:val="00A4169B"/>
    <w:rsid w:val="00A445F2"/>
    <w:rsid w:val="00A456DD"/>
    <w:rsid w:val="00A47CF8"/>
    <w:rsid w:val="00A50D55"/>
    <w:rsid w:val="00A5165B"/>
    <w:rsid w:val="00A52FDA"/>
    <w:rsid w:val="00A5312B"/>
    <w:rsid w:val="00A54878"/>
    <w:rsid w:val="00A5627C"/>
    <w:rsid w:val="00A61594"/>
    <w:rsid w:val="00A64912"/>
    <w:rsid w:val="00A70A74"/>
    <w:rsid w:val="00A70C6E"/>
    <w:rsid w:val="00A73753"/>
    <w:rsid w:val="00A7699A"/>
    <w:rsid w:val="00A80466"/>
    <w:rsid w:val="00A8283D"/>
    <w:rsid w:val="00A84BB9"/>
    <w:rsid w:val="00A90EA8"/>
    <w:rsid w:val="00A92A20"/>
    <w:rsid w:val="00A9660B"/>
    <w:rsid w:val="00A97BAB"/>
    <w:rsid w:val="00AA0343"/>
    <w:rsid w:val="00AA2A5C"/>
    <w:rsid w:val="00AA38E1"/>
    <w:rsid w:val="00AB2D2E"/>
    <w:rsid w:val="00AB30D0"/>
    <w:rsid w:val="00AB52FA"/>
    <w:rsid w:val="00AB5642"/>
    <w:rsid w:val="00AB6F19"/>
    <w:rsid w:val="00AB78E9"/>
    <w:rsid w:val="00AC4EEE"/>
    <w:rsid w:val="00AC642B"/>
    <w:rsid w:val="00AD027F"/>
    <w:rsid w:val="00AD183A"/>
    <w:rsid w:val="00AD183B"/>
    <w:rsid w:val="00AD1C2B"/>
    <w:rsid w:val="00AD2BD5"/>
    <w:rsid w:val="00AD3467"/>
    <w:rsid w:val="00AD3C48"/>
    <w:rsid w:val="00AD5641"/>
    <w:rsid w:val="00AD7252"/>
    <w:rsid w:val="00AE0F9B"/>
    <w:rsid w:val="00AE57D5"/>
    <w:rsid w:val="00AF55FF"/>
    <w:rsid w:val="00AF6731"/>
    <w:rsid w:val="00AF78E9"/>
    <w:rsid w:val="00B001CC"/>
    <w:rsid w:val="00B032D8"/>
    <w:rsid w:val="00B07227"/>
    <w:rsid w:val="00B179F4"/>
    <w:rsid w:val="00B20CC6"/>
    <w:rsid w:val="00B265A1"/>
    <w:rsid w:val="00B33B3C"/>
    <w:rsid w:val="00B343A3"/>
    <w:rsid w:val="00B40D74"/>
    <w:rsid w:val="00B44F6F"/>
    <w:rsid w:val="00B451B4"/>
    <w:rsid w:val="00B51A98"/>
    <w:rsid w:val="00B52365"/>
    <w:rsid w:val="00B52663"/>
    <w:rsid w:val="00B53B1A"/>
    <w:rsid w:val="00B56DCB"/>
    <w:rsid w:val="00B57562"/>
    <w:rsid w:val="00B6030B"/>
    <w:rsid w:val="00B60C2D"/>
    <w:rsid w:val="00B60FF3"/>
    <w:rsid w:val="00B630B2"/>
    <w:rsid w:val="00B71A1A"/>
    <w:rsid w:val="00B72B6B"/>
    <w:rsid w:val="00B770D2"/>
    <w:rsid w:val="00B8240B"/>
    <w:rsid w:val="00B8435E"/>
    <w:rsid w:val="00B872FF"/>
    <w:rsid w:val="00B94F68"/>
    <w:rsid w:val="00BA47A3"/>
    <w:rsid w:val="00BA5026"/>
    <w:rsid w:val="00BA5D88"/>
    <w:rsid w:val="00BA6225"/>
    <w:rsid w:val="00BA7888"/>
    <w:rsid w:val="00BB0590"/>
    <w:rsid w:val="00BB6E79"/>
    <w:rsid w:val="00BD0B6A"/>
    <w:rsid w:val="00BD1C35"/>
    <w:rsid w:val="00BD3D26"/>
    <w:rsid w:val="00BD66AB"/>
    <w:rsid w:val="00BE0B95"/>
    <w:rsid w:val="00BE3B31"/>
    <w:rsid w:val="00BE719A"/>
    <w:rsid w:val="00BE720A"/>
    <w:rsid w:val="00BF1AF7"/>
    <w:rsid w:val="00BF2653"/>
    <w:rsid w:val="00BF4BCC"/>
    <w:rsid w:val="00BF6650"/>
    <w:rsid w:val="00BF6E9D"/>
    <w:rsid w:val="00BF6ED5"/>
    <w:rsid w:val="00C04138"/>
    <w:rsid w:val="00C06050"/>
    <w:rsid w:val="00C067E5"/>
    <w:rsid w:val="00C06DF3"/>
    <w:rsid w:val="00C1254A"/>
    <w:rsid w:val="00C13F61"/>
    <w:rsid w:val="00C164CA"/>
    <w:rsid w:val="00C1721C"/>
    <w:rsid w:val="00C2030A"/>
    <w:rsid w:val="00C22DC4"/>
    <w:rsid w:val="00C42BF8"/>
    <w:rsid w:val="00C44EC0"/>
    <w:rsid w:val="00C460AE"/>
    <w:rsid w:val="00C50043"/>
    <w:rsid w:val="00C50A0F"/>
    <w:rsid w:val="00C518BF"/>
    <w:rsid w:val="00C574E5"/>
    <w:rsid w:val="00C66346"/>
    <w:rsid w:val="00C7249F"/>
    <w:rsid w:val="00C7573B"/>
    <w:rsid w:val="00C76CF3"/>
    <w:rsid w:val="00C8066C"/>
    <w:rsid w:val="00C85E2E"/>
    <w:rsid w:val="00C8681A"/>
    <w:rsid w:val="00C90757"/>
    <w:rsid w:val="00C97292"/>
    <w:rsid w:val="00C976E5"/>
    <w:rsid w:val="00CA0EC8"/>
    <w:rsid w:val="00CA5A18"/>
    <w:rsid w:val="00CA7844"/>
    <w:rsid w:val="00CB1F36"/>
    <w:rsid w:val="00CB58EF"/>
    <w:rsid w:val="00CB5E93"/>
    <w:rsid w:val="00CC5CA5"/>
    <w:rsid w:val="00CD04FA"/>
    <w:rsid w:val="00CD2E3A"/>
    <w:rsid w:val="00CD4DE9"/>
    <w:rsid w:val="00CD5020"/>
    <w:rsid w:val="00CD5603"/>
    <w:rsid w:val="00CE4D3E"/>
    <w:rsid w:val="00CE6C6A"/>
    <w:rsid w:val="00CE732A"/>
    <w:rsid w:val="00CE7D64"/>
    <w:rsid w:val="00CF051B"/>
    <w:rsid w:val="00CF0BB2"/>
    <w:rsid w:val="00CF30F8"/>
    <w:rsid w:val="00D006E8"/>
    <w:rsid w:val="00D010FB"/>
    <w:rsid w:val="00D050C9"/>
    <w:rsid w:val="00D13441"/>
    <w:rsid w:val="00D13784"/>
    <w:rsid w:val="00D20665"/>
    <w:rsid w:val="00D243A3"/>
    <w:rsid w:val="00D3200B"/>
    <w:rsid w:val="00D32E1E"/>
    <w:rsid w:val="00D33440"/>
    <w:rsid w:val="00D37789"/>
    <w:rsid w:val="00D37E7B"/>
    <w:rsid w:val="00D45DE2"/>
    <w:rsid w:val="00D501B8"/>
    <w:rsid w:val="00D52983"/>
    <w:rsid w:val="00D52EFE"/>
    <w:rsid w:val="00D53D45"/>
    <w:rsid w:val="00D55557"/>
    <w:rsid w:val="00D56A0D"/>
    <w:rsid w:val="00D5767F"/>
    <w:rsid w:val="00D57FF7"/>
    <w:rsid w:val="00D63EF6"/>
    <w:rsid w:val="00D662D0"/>
    <w:rsid w:val="00D66518"/>
    <w:rsid w:val="00D70DFB"/>
    <w:rsid w:val="00D71EEA"/>
    <w:rsid w:val="00D735CD"/>
    <w:rsid w:val="00D74D1F"/>
    <w:rsid w:val="00D766DF"/>
    <w:rsid w:val="00D8034A"/>
    <w:rsid w:val="00D83057"/>
    <w:rsid w:val="00D863A1"/>
    <w:rsid w:val="00D868DC"/>
    <w:rsid w:val="00D87FD0"/>
    <w:rsid w:val="00D95891"/>
    <w:rsid w:val="00DA28D8"/>
    <w:rsid w:val="00DA3047"/>
    <w:rsid w:val="00DA4403"/>
    <w:rsid w:val="00DB5CB4"/>
    <w:rsid w:val="00DB63A9"/>
    <w:rsid w:val="00DB6C39"/>
    <w:rsid w:val="00DC0C05"/>
    <w:rsid w:val="00DC1FBF"/>
    <w:rsid w:val="00DC570E"/>
    <w:rsid w:val="00DE149E"/>
    <w:rsid w:val="00DF09B7"/>
    <w:rsid w:val="00DF2EB4"/>
    <w:rsid w:val="00DF511B"/>
    <w:rsid w:val="00DF5A51"/>
    <w:rsid w:val="00DF64E4"/>
    <w:rsid w:val="00E03FB3"/>
    <w:rsid w:val="00E05704"/>
    <w:rsid w:val="00E113A7"/>
    <w:rsid w:val="00E12F1A"/>
    <w:rsid w:val="00E15561"/>
    <w:rsid w:val="00E16A42"/>
    <w:rsid w:val="00E21CFB"/>
    <w:rsid w:val="00E22935"/>
    <w:rsid w:val="00E24749"/>
    <w:rsid w:val="00E30156"/>
    <w:rsid w:val="00E34E4A"/>
    <w:rsid w:val="00E445C0"/>
    <w:rsid w:val="00E47F30"/>
    <w:rsid w:val="00E54179"/>
    <w:rsid w:val="00E54292"/>
    <w:rsid w:val="00E5627A"/>
    <w:rsid w:val="00E57256"/>
    <w:rsid w:val="00E60191"/>
    <w:rsid w:val="00E65B35"/>
    <w:rsid w:val="00E6662E"/>
    <w:rsid w:val="00E74DC7"/>
    <w:rsid w:val="00E8746A"/>
    <w:rsid w:val="00E87699"/>
    <w:rsid w:val="00E9045B"/>
    <w:rsid w:val="00E90C29"/>
    <w:rsid w:val="00E92E27"/>
    <w:rsid w:val="00E94C44"/>
    <w:rsid w:val="00E9586B"/>
    <w:rsid w:val="00E9655A"/>
    <w:rsid w:val="00E97334"/>
    <w:rsid w:val="00EA0D36"/>
    <w:rsid w:val="00EA2AD2"/>
    <w:rsid w:val="00EA3E5C"/>
    <w:rsid w:val="00EB110A"/>
    <w:rsid w:val="00EB217B"/>
    <w:rsid w:val="00EB37C2"/>
    <w:rsid w:val="00EC1186"/>
    <w:rsid w:val="00EC2083"/>
    <w:rsid w:val="00EC3241"/>
    <w:rsid w:val="00EC63AB"/>
    <w:rsid w:val="00ED37D3"/>
    <w:rsid w:val="00ED4928"/>
    <w:rsid w:val="00ED76B9"/>
    <w:rsid w:val="00EE20AD"/>
    <w:rsid w:val="00EE3749"/>
    <w:rsid w:val="00EE6190"/>
    <w:rsid w:val="00EF0259"/>
    <w:rsid w:val="00EF1DEF"/>
    <w:rsid w:val="00EF2E3A"/>
    <w:rsid w:val="00EF3182"/>
    <w:rsid w:val="00EF53FD"/>
    <w:rsid w:val="00EF6402"/>
    <w:rsid w:val="00EF788F"/>
    <w:rsid w:val="00F025DF"/>
    <w:rsid w:val="00F047E2"/>
    <w:rsid w:val="00F04D57"/>
    <w:rsid w:val="00F078DC"/>
    <w:rsid w:val="00F136F0"/>
    <w:rsid w:val="00F13E86"/>
    <w:rsid w:val="00F16FAA"/>
    <w:rsid w:val="00F31F15"/>
    <w:rsid w:val="00F32FCB"/>
    <w:rsid w:val="00F37991"/>
    <w:rsid w:val="00F425ED"/>
    <w:rsid w:val="00F464DB"/>
    <w:rsid w:val="00F53496"/>
    <w:rsid w:val="00F55111"/>
    <w:rsid w:val="00F55834"/>
    <w:rsid w:val="00F559A3"/>
    <w:rsid w:val="00F63976"/>
    <w:rsid w:val="00F65930"/>
    <w:rsid w:val="00F6709F"/>
    <w:rsid w:val="00F677A9"/>
    <w:rsid w:val="00F71275"/>
    <w:rsid w:val="00F723BD"/>
    <w:rsid w:val="00F732EA"/>
    <w:rsid w:val="00F73DE2"/>
    <w:rsid w:val="00F77D91"/>
    <w:rsid w:val="00F80D28"/>
    <w:rsid w:val="00F84CF5"/>
    <w:rsid w:val="00F8612E"/>
    <w:rsid w:val="00FA420B"/>
    <w:rsid w:val="00FA723C"/>
    <w:rsid w:val="00FB7DB9"/>
    <w:rsid w:val="00FC285C"/>
    <w:rsid w:val="00FC29B4"/>
    <w:rsid w:val="00FD0420"/>
    <w:rsid w:val="00FE06C7"/>
    <w:rsid w:val="00FE0781"/>
    <w:rsid w:val="00FE12C4"/>
    <w:rsid w:val="00FF1997"/>
    <w:rsid w:val="00FF39DE"/>
    <w:rsid w:val="00FF43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13CD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F1DEF"/>
    <w:pPr>
      <w:spacing w:line="260" w:lineRule="atLeast"/>
    </w:pPr>
    <w:rPr>
      <w:sz w:val="22"/>
    </w:rPr>
  </w:style>
  <w:style w:type="paragraph" w:styleId="Heading1">
    <w:name w:val="heading 1"/>
    <w:basedOn w:val="Normal"/>
    <w:next w:val="Normal"/>
    <w:link w:val="Heading1Char"/>
    <w:uiPriority w:val="9"/>
    <w:qFormat/>
    <w:rsid w:val="00EF1DE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F1DE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1DE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F1DE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F1DE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F1DE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F1DE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F1DE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F1DE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F1DEF"/>
  </w:style>
  <w:style w:type="paragraph" w:customStyle="1" w:styleId="OPCParaBase">
    <w:name w:val="OPCParaBase"/>
    <w:qFormat/>
    <w:rsid w:val="00EF1DEF"/>
    <w:pPr>
      <w:spacing w:line="260" w:lineRule="atLeast"/>
    </w:pPr>
    <w:rPr>
      <w:rFonts w:eastAsia="Times New Roman" w:cs="Times New Roman"/>
      <w:sz w:val="22"/>
      <w:lang w:eastAsia="en-AU"/>
    </w:rPr>
  </w:style>
  <w:style w:type="paragraph" w:customStyle="1" w:styleId="ShortT">
    <w:name w:val="ShortT"/>
    <w:basedOn w:val="OPCParaBase"/>
    <w:next w:val="Normal"/>
    <w:qFormat/>
    <w:rsid w:val="00EF1DEF"/>
    <w:pPr>
      <w:spacing w:line="240" w:lineRule="auto"/>
    </w:pPr>
    <w:rPr>
      <w:b/>
      <w:sz w:val="40"/>
    </w:rPr>
  </w:style>
  <w:style w:type="paragraph" w:customStyle="1" w:styleId="ActHead1">
    <w:name w:val="ActHead 1"/>
    <w:aliases w:val="c"/>
    <w:basedOn w:val="OPCParaBase"/>
    <w:next w:val="Normal"/>
    <w:qFormat/>
    <w:rsid w:val="00EF1DE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F1DE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F1DE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F1DE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F1DE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F1DE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F1DE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F1DE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F1DE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F1DEF"/>
  </w:style>
  <w:style w:type="paragraph" w:customStyle="1" w:styleId="Blocks">
    <w:name w:val="Blocks"/>
    <w:aliases w:val="bb"/>
    <w:basedOn w:val="OPCParaBase"/>
    <w:qFormat/>
    <w:rsid w:val="00EF1DEF"/>
    <w:pPr>
      <w:spacing w:line="240" w:lineRule="auto"/>
    </w:pPr>
    <w:rPr>
      <w:sz w:val="24"/>
    </w:rPr>
  </w:style>
  <w:style w:type="paragraph" w:customStyle="1" w:styleId="BoxText">
    <w:name w:val="BoxText"/>
    <w:aliases w:val="bt"/>
    <w:basedOn w:val="OPCParaBase"/>
    <w:qFormat/>
    <w:rsid w:val="00EF1DE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F1DEF"/>
    <w:rPr>
      <w:b/>
    </w:rPr>
  </w:style>
  <w:style w:type="paragraph" w:customStyle="1" w:styleId="BoxHeadItalic">
    <w:name w:val="BoxHeadItalic"/>
    <w:aliases w:val="bhi"/>
    <w:basedOn w:val="BoxText"/>
    <w:next w:val="BoxStep"/>
    <w:qFormat/>
    <w:rsid w:val="00EF1DEF"/>
    <w:rPr>
      <w:i/>
    </w:rPr>
  </w:style>
  <w:style w:type="paragraph" w:customStyle="1" w:styleId="BoxList">
    <w:name w:val="BoxList"/>
    <w:aliases w:val="bl"/>
    <w:basedOn w:val="BoxText"/>
    <w:qFormat/>
    <w:rsid w:val="00EF1DEF"/>
    <w:pPr>
      <w:ind w:left="1559" w:hanging="425"/>
    </w:pPr>
  </w:style>
  <w:style w:type="paragraph" w:customStyle="1" w:styleId="BoxNote">
    <w:name w:val="BoxNote"/>
    <w:aliases w:val="bn"/>
    <w:basedOn w:val="BoxText"/>
    <w:qFormat/>
    <w:rsid w:val="00EF1DEF"/>
    <w:pPr>
      <w:tabs>
        <w:tab w:val="left" w:pos="1985"/>
      </w:tabs>
      <w:spacing w:before="122" w:line="198" w:lineRule="exact"/>
      <w:ind w:left="2948" w:hanging="1814"/>
    </w:pPr>
    <w:rPr>
      <w:sz w:val="18"/>
    </w:rPr>
  </w:style>
  <w:style w:type="paragraph" w:customStyle="1" w:styleId="BoxPara">
    <w:name w:val="BoxPara"/>
    <w:aliases w:val="bp"/>
    <w:basedOn w:val="BoxText"/>
    <w:qFormat/>
    <w:rsid w:val="00EF1DEF"/>
    <w:pPr>
      <w:tabs>
        <w:tab w:val="right" w:pos="2268"/>
      </w:tabs>
      <w:ind w:left="2552" w:hanging="1418"/>
    </w:pPr>
  </w:style>
  <w:style w:type="paragraph" w:customStyle="1" w:styleId="BoxStep">
    <w:name w:val="BoxStep"/>
    <w:aliases w:val="bs"/>
    <w:basedOn w:val="BoxText"/>
    <w:qFormat/>
    <w:rsid w:val="00EF1DEF"/>
    <w:pPr>
      <w:ind w:left="1985" w:hanging="851"/>
    </w:pPr>
  </w:style>
  <w:style w:type="character" w:customStyle="1" w:styleId="CharAmPartNo">
    <w:name w:val="CharAmPartNo"/>
    <w:basedOn w:val="OPCCharBase"/>
    <w:qFormat/>
    <w:rsid w:val="00EF1DEF"/>
  </w:style>
  <w:style w:type="character" w:customStyle="1" w:styleId="CharAmPartText">
    <w:name w:val="CharAmPartText"/>
    <w:basedOn w:val="OPCCharBase"/>
    <w:qFormat/>
    <w:rsid w:val="00EF1DEF"/>
  </w:style>
  <w:style w:type="character" w:customStyle="1" w:styleId="CharAmSchNo">
    <w:name w:val="CharAmSchNo"/>
    <w:basedOn w:val="OPCCharBase"/>
    <w:qFormat/>
    <w:rsid w:val="00EF1DEF"/>
  </w:style>
  <w:style w:type="character" w:customStyle="1" w:styleId="CharAmSchText">
    <w:name w:val="CharAmSchText"/>
    <w:basedOn w:val="OPCCharBase"/>
    <w:qFormat/>
    <w:rsid w:val="00EF1DEF"/>
  </w:style>
  <w:style w:type="character" w:customStyle="1" w:styleId="CharBoldItalic">
    <w:name w:val="CharBoldItalic"/>
    <w:basedOn w:val="OPCCharBase"/>
    <w:uiPriority w:val="1"/>
    <w:qFormat/>
    <w:rsid w:val="00EF1DEF"/>
    <w:rPr>
      <w:b/>
      <w:i/>
    </w:rPr>
  </w:style>
  <w:style w:type="character" w:customStyle="1" w:styleId="CharChapNo">
    <w:name w:val="CharChapNo"/>
    <w:basedOn w:val="OPCCharBase"/>
    <w:uiPriority w:val="1"/>
    <w:qFormat/>
    <w:rsid w:val="00EF1DEF"/>
  </w:style>
  <w:style w:type="character" w:customStyle="1" w:styleId="CharChapText">
    <w:name w:val="CharChapText"/>
    <w:basedOn w:val="OPCCharBase"/>
    <w:uiPriority w:val="1"/>
    <w:qFormat/>
    <w:rsid w:val="00EF1DEF"/>
  </w:style>
  <w:style w:type="character" w:customStyle="1" w:styleId="CharDivNo">
    <w:name w:val="CharDivNo"/>
    <w:basedOn w:val="OPCCharBase"/>
    <w:uiPriority w:val="1"/>
    <w:qFormat/>
    <w:rsid w:val="00EF1DEF"/>
  </w:style>
  <w:style w:type="character" w:customStyle="1" w:styleId="CharDivText">
    <w:name w:val="CharDivText"/>
    <w:basedOn w:val="OPCCharBase"/>
    <w:uiPriority w:val="1"/>
    <w:qFormat/>
    <w:rsid w:val="00EF1DEF"/>
  </w:style>
  <w:style w:type="character" w:customStyle="1" w:styleId="CharItalic">
    <w:name w:val="CharItalic"/>
    <w:basedOn w:val="OPCCharBase"/>
    <w:uiPriority w:val="1"/>
    <w:qFormat/>
    <w:rsid w:val="00EF1DEF"/>
    <w:rPr>
      <w:i/>
    </w:rPr>
  </w:style>
  <w:style w:type="character" w:customStyle="1" w:styleId="CharPartNo">
    <w:name w:val="CharPartNo"/>
    <w:basedOn w:val="OPCCharBase"/>
    <w:uiPriority w:val="1"/>
    <w:qFormat/>
    <w:rsid w:val="00EF1DEF"/>
  </w:style>
  <w:style w:type="character" w:customStyle="1" w:styleId="CharPartText">
    <w:name w:val="CharPartText"/>
    <w:basedOn w:val="OPCCharBase"/>
    <w:uiPriority w:val="1"/>
    <w:qFormat/>
    <w:rsid w:val="00EF1DEF"/>
  </w:style>
  <w:style w:type="character" w:customStyle="1" w:styleId="CharSectno">
    <w:name w:val="CharSectno"/>
    <w:basedOn w:val="OPCCharBase"/>
    <w:qFormat/>
    <w:rsid w:val="00EF1DEF"/>
  </w:style>
  <w:style w:type="character" w:customStyle="1" w:styleId="CharSubdNo">
    <w:name w:val="CharSubdNo"/>
    <w:basedOn w:val="OPCCharBase"/>
    <w:uiPriority w:val="1"/>
    <w:qFormat/>
    <w:rsid w:val="00EF1DEF"/>
  </w:style>
  <w:style w:type="character" w:customStyle="1" w:styleId="CharSubdText">
    <w:name w:val="CharSubdText"/>
    <w:basedOn w:val="OPCCharBase"/>
    <w:uiPriority w:val="1"/>
    <w:qFormat/>
    <w:rsid w:val="00EF1DEF"/>
  </w:style>
  <w:style w:type="paragraph" w:customStyle="1" w:styleId="CTA--">
    <w:name w:val="CTA --"/>
    <w:basedOn w:val="OPCParaBase"/>
    <w:next w:val="Normal"/>
    <w:rsid w:val="00EF1DEF"/>
    <w:pPr>
      <w:spacing w:before="60" w:line="240" w:lineRule="atLeast"/>
      <w:ind w:left="142" w:hanging="142"/>
    </w:pPr>
    <w:rPr>
      <w:sz w:val="20"/>
    </w:rPr>
  </w:style>
  <w:style w:type="paragraph" w:customStyle="1" w:styleId="CTA-">
    <w:name w:val="CTA -"/>
    <w:basedOn w:val="OPCParaBase"/>
    <w:rsid w:val="00EF1DEF"/>
    <w:pPr>
      <w:spacing w:before="60" w:line="240" w:lineRule="atLeast"/>
      <w:ind w:left="85" w:hanging="85"/>
    </w:pPr>
    <w:rPr>
      <w:sz w:val="20"/>
    </w:rPr>
  </w:style>
  <w:style w:type="paragraph" w:customStyle="1" w:styleId="CTA---">
    <w:name w:val="CTA ---"/>
    <w:basedOn w:val="OPCParaBase"/>
    <w:next w:val="Normal"/>
    <w:rsid w:val="00EF1DEF"/>
    <w:pPr>
      <w:spacing w:before="60" w:line="240" w:lineRule="atLeast"/>
      <w:ind w:left="198" w:hanging="198"/>
    </w:pPr>
    <w:rPr>
      <w:sz w:val="20"/>
    </w:rPr>
  </w:style>
  <w:style w:type="paragraph" w:customStyle="1" w:styleId="CTA----">
    <w:name w:val="CTA ----"/>
    <w:basedOn w:val="OPCParaBase"/>
    <w:next w:val="Normal"/>
    <w:rsid w:val="00EF1DEF"/>
    <w:pPr>
      <w:spacing w:before="60" w:line="240" w:lineRule="atLeast"/>
      <w:ind w:left="255" w:hanging="255"/>
    </w:pPr>
    <w:rPr>
      <w:sz w:val="20"/>
    </w:rPr>
  </w:style>
  <w:style w:type="paragraph" w:customStyle="1" w:styleId="CTA1a">
    <w:name w:val="CTA 1(a)"/>
    <w:basedOn w:val="OPCParaBase"/>
    <w:rsid w:val="00EF1DEF"/>
    <w:pPr>
      <w:tabs>
        <w:tab w:val="right" w:pos="414"/>
      </w:tabs>
      <w:spacing w:before="40" w:line="240" w:lineRule="atLeast"/>
      <w:ind w:left="675" w:hanging="675"/>
    </w:pPr>
    <w:rPr>
      <w:sz w:val="20"/>
    </w:rPr>
  </w:style>
  <w:style w:type="paragraph" w:customStyle="1" w:styleId="CTA1ai">
    <w:name w:val="CTA 1(a)(i)"/>
    <w:basedOn w:val="OPCParaBase"/>
    <w:rsid w:val="00EF1DEF"/>
    <w:pPr>
      <w:tabs>
        <w:tab w:val="right" w:pos="1004"/>
      </w:tabs>
      <w:spacing w:before="40" w:line="240" w:lineRule="atLeast"/>
      <w:ind w:left="1253" w:hanging="1253"/>
    </w:pPr>
    <w:rPr>
      <w:sz w:val="20"/>
    </w:rPr>
  </w:style>
  <w:style w:type="paragraph" w:customStyle="1" w:styleId="CTA2a">
    <w:name w:val="CTA 2(a)"/>
    <w:basedOn w:val="OPCParaBase"/>
    <w:rsid w:val="00EF1DEF"/>
    <w:pPr>
      <w:tabs>
        <w:tab w:val="right" w:pos="482"/>
      </w:tabs>
      <w:spacing w:before="40" w:line="240" w:lineRule="atLeast"/>
      <w:ind w:left="748" w:hanging="748"/>
    </w:pPr>
    <w:rPr>
      <w:sz w:val="20"/>
    </w:rPr>
  </w:style>
  <w:style w:type="paragraph" w:customStyle="1" w:styleId="CTA2ai">
    <w:name w:val="CTA 2(a)(i)"/>
    <w:basedOn w:val="OPCParaBase"/>
    <w:rsid w:val="00EF1DEF"/>
    <w:pPr>
      <w:tabs>
        <w:tab w:val="right" w:pos="1089"/>
      </w:tabs>
      <w:spacing w:before="40" w:line="240" w:lineRule="atLeast"/>
      <w:ind w:left="1327" w:hanging="1327"/>
    </w:pPr>
    <w:rPr>
      <w:sz w:val="20"/>
    </w:rPr>
  </w:style>
  <w:style w:type="paragraph" w:customStyle="1" w:styleId="CTA3a">
    <w:name w:val="CTA 3(a)"/>
    <w:basedOn w:val="OPCParaBase"/>
    <w:rsid w:val="00EF1DEF"/>
    <w:pPr>
      <w:tabs>
        <w:tab w:val="right" w:pos="556"/>
      </w:tabs>
      <w:spacing w:before="40" w:line="240" w:lineRule="atLeast"/>
      <w:ind w:left="805" w:hanging="805"/>
    </w:pPr>
    <w:rPr>
      <w:sz w:val="20"/>
    </w:rPr>
  </w:style>
  <w:style w:type="paragraph" w:customStyle="1" w:styleId="CTA3ai">
    <w:name w:val="CTA 3(a)(i)"/>
    <w:basedOn w:val="OPCParaBase"/>
    <w:rsid w:val="00EF1DEF"/>
    <w:pPr>
      <w:tabs>
        <w:tab w:val="right" w:pos="1140"/>
      </w:tabs>
      <w:spacing w:before="40" w:line="240" w:lineRule="atLeast"/>
      <w:ind w:left="1361" w:hanging="1361"/>
    </w:pPr>
    <w:rPr>
      <w:sz w:val="20"/>
    </w:rPr>
  </w:style>
  <w:style w:type="paragraph" w:customStyle="1" w:styleId="CTA4a">
    <w:name w:val="CTA 4(a)"/>
    <w:basedOn w:val="OPCParaBase"/>
    <w:rsid w:val="00EF1DEF"/>
    <w:pPr>
      <w:tabs>
        <w:tab w:val="right" w:pos="624"/>
      </w:tabs>
      <w:spacing w:before="40" w:line="240" w:lineRule="atLeast"/>
      <w:ind w:left="873" w:hanging="873"/>
    </w:pPr>
    <w:rPr>
      <w:sz w:val="20"/>
    </w:rPr>
  </w:style>
  <w:style w:type="paragraph" w:customStyle="1" w:styleId="CTA4ai">
    <w:name w:val="CTA 4(a)(i)"/>
    <w:basedOn w:val="OPCParaBase"/>
    <w:rsid w:val="00EF1DEF"/>
    <w:pPr>
      <w:tabs>
        <w:tab w:val="right" w:pos="1213"/>
      </w:tabs>
      <w:spacing w:before="40" w:line="240" w:lineRule="atLeast"/>
      <w:ind w:left="1452" w:hanging="1452"/>
    </w:pPr>
    <w:rPr>
      <w:sz w:val="20"/>
    </w:rPr>
  </w:style>
  <w:style w:type="paragraph" w:customStyle="1" w:styleId="CTACAPS">
    <w:name w:val="CTA CAPS"/>
    <w:basedOn w:val="OPCParaBase"/>
    <w:rsid w:val="00EF1DEF"/>
    <w:pPr>
      <w:spacing w:before="60" w:line="240" w:lineRule="atLeast"/>
    </w:pPr>
    <w:rPr>
      <w:sz w:val="20"/>
    </w:rPr>
  </w:style>
  <w:style w:type="paragraph" w:customStyle="1" w:styleId="CTAright">
    <w:name w:val="CTA right"/>
    <w:basedOn w:val="OPCParaBase"/>
    <w:rsid w:val="00EF1DEF"/>
    <w:pPr>
      <w:spacing w:before="60" w:line="240" w:lineRule="auto"/>
      <w:jc w:val="right"/>
    </w:pPr>
    <w:rPr>
      <w:sz w:val="20"/>
    </w:rPr>
  </w:style>
  <w:style w:type="paragraph" w:customStyle="1" w:styleId="subsection">
    <w:name w:val="subsection"/>
    <w:aliases w:val="ss,Subsection"/>
    <w:basedOn w:val="OPCParaBase"/>
    <w:link w:val="subsectionChar"/>
    <w:rsid w:val="00EF1DEF"/>
    <w:pPr>
      <w:tabs>
        <w:tab w:val="right" w:pos="1021"/>
      </w:tabs>
      <w:spacing w:before="180" w:line="240" w:lineRule="auto"/>
      <w:ind w:left="1134" w:hanging="1134"/>
    </w:pPr>
  </w:style>
  <w:style w:type="paragraph" w:customStyle="1" w:styleId="Definition">
    <w:name w:val="Definition"/>
    <w:aliases w:val="dd"/>
    <w:basedOn w:val="OPCParaBase"/>
    <w:rsid w:val="00EF1DEF"/>
    <w:pPr>
      <w:spacing w:before="180" w:line="240" w:lineRule="auto"/>
      <w:ind w:left="1134"/>
    </w:pPr>
  </w:style>
  <w:style w:type="paragraph" w:customStyle="1" w:styleId="ETAsubitem">
    <w:name w:val="ETA(subitem)"/>
    <w:basedOn w:val="OPCParaBase"/>
    <w:rsid w:val="00EF1DEF"/>
    <w:pPr>
      <w:tabs>
        <w:tab w:val="right" w:pos="340"/>
      </w:tabs>
      <w:spacing w:before="60" w:line="240" w:lineRule="auto"/>
      <w:ind w:left="454" w:hanging="454"/>
    </w:pPr>
    <w:rPr>
      <w:sz w:val="20"/>
    </w:rPr>
  </w:style>
  <w:style w:type="paragraph" w:customStyle="1" w:styleId="ETApara">
    <w:name w:val="ETA(para)"/>
    <w:basedOn w:val="OPCParaBase"/>
    <w:rsid w:val="00EF1DEF"/>
    <w:pPr>
      <w:tabs>
        <w:tab w:val="right" w:pos="754"/>
      </w:tabs>
      <w:spacing w:before="60" w:line="240" w:lineRule="auto"/>
      <w:ind w:left="828" w:hanging="828"/>
    </w:pPr>
    <w:rPr>
      <w:sz w:val="20"/>
    </w:rPr>
  </w:style>
  <w:style w:type="paragraph" w:customStyle="1" w:styleId="ETAsubpara">
    <w:name w:val="ETA(subpara)"/>
    <w:basedOn w:val="OPCParaBase"/>
    <w:rsid w:val="00EF1DEF"/>
    <w:pPr>
      <w:tabs>
        <w:tab w:val="right" w:pos="1083"/>
      </w:tabs>
      <w:spacing w:before="60" w:line="240" w:lineRule="auto"/>
      <w:ind w:left="1191" w:hanging="1191"/>
    </w:pPr>
    <w:rPr>
      <w:sz w:val="20"/>
    </w:rPr>
  </w:style>
  <w:style w:type="paragraph" w:customStyle="1" w:styleId="ETAsub-subpara">
    <w:name w:val="ETA(sub-subpara)"/>
    <w:basedOn w:val="OPCParaBase"/>
    <w:rsid w:val="00EF1DEF"/>
    <w:pPr>
      <w:tabs>
        <w:tab w:val="right" w:pos="1412"/>
      </w:tabs>
      <w:spacing w:before="60" w:line="240" w:lineRule="auto"/>
      <w:ind w:left="1525" w:hanging="1525"/>
    </w:pPr>
    <w:rPr>
      <w:sz w:val="20"/>
    </w:rPr>
  </w:style>
  <w:style w:type="paragraph" w:customStyle="1" w:styleId="Formula">
    <w:name w:val="Formula"/>
    <w:basedOn w:val="OPCParaBase"/>
    <w:rsid w:val="00EF1DEF"/>
    <w:pPr>
      <w:spacing w:line="240" w:lineRule="auto"/>
      <w:ind w:left="1134"/>
    </w:pPr>
    <w:rPr>
      <w:sz w:val="20"/>
    </w:rPr>
  </w:style>
  <w:style w:type="paragraph" w:styleId="Header">
    <w:name w:val="header"/>
    <w:basedOn w:val="OPCParaBase"/>
    <w:link w:val="HeaderChar"/>
    <w:unhideWhenUsed/>
    <w:rsid w:val="00EF1DE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F1DEF"/>
    <w:rPr>
      <w:rFonts w:eastAsia="Times New Roman" w:cs="Times New Roman"/>
      <w:sz w:val="16"/>
      <w:lang w:eastAsia="en-AU"/>
    </w:rPr>
  </w:style>
  <w:style w:type="paragraph" w:customStyle="1" w:styleId="House">
    <w:name w:val="House"/>
    <w:basedOn w:val="OPCParaBase"/>
    <w:rsid w:val="00EF1DEF"/>
    <w:pPr>
      <w:spacing w:line="240" w:lineRule="auto"/>
    </w:pPr>
    <w:rPr>
      <w:sz w:val="28"/>
    </w:rPr>
  </w:style>
  <w:style w:type="paragraph" w:customStyle="1" w:styleId="Item">
    <w:name w:val="Item"/>
    <w:aliases w:val="i"/>
    <w:basedOn w:val="OPCParaBase"/>
    <w:next w:val="ItemHead"/>
    <w:link w:val="ItemChar"/>
    <w:rsid w:val="00EF1DEF"/>
    <w:pPr>
      <w:keepLines/>
      <w:spacing w:before="80" w:line="240" w:lineRule="auto"/>
      <w:ind w:left="709"/>
    </w:pPr>
  </w:style>
  <w:style w:type="paragraph" w:customStyle="1" w:styleId="ItemHead">
    <w:name w:val="ItemHead"/>
    <w:aliases w:val="ih"/>
    <w:basedOn w:val="OPCParaBase"/>
    <w:next w:val="Item"/>
    <w:rsid w:val="00EF1DE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F1DEF"/>
    <w:pPr>
      <w:spacing w:line="240" w:lineRule="auto"/>
    </w:pPr>
    <w:rPr>
      <w:b/>
      <w:sz w:val="32"/>
    </w:rPr>
  </w:style>
  <w:style w:type="paragraph" w:customStyle="1" w:styleId="notedraft">
    <w:name w:val="note(draft)"/>
    <w:aliases w:val="nd"/>
    <w:basedOn w:val="OPCParaBase"/>
    <w:rsid w:val="00EF1DEF"/>
    <w:pPr>
      <w:spacing w:before="240" w:line="240" w:lineRule="auto"/>
      <w:ind w:left="284" w:hanging="284"/>
    </w:pPr>
    <w:rPr>
      <w:i/>
      <w:sz w:val="24"/>
    </w:rPr>
  </w:style>
  <w:style w:type="paragraph" w:customStyle="1" w:styleId="notemargin">
    <w:name w:val="note(margin)"/>
    <w:aliases w:val="nm"/>
    <w:basedOn w:val="OPCParaBase"/>
    <w:rsid w:val="00EF1DEF"/>
    <w:pPr>
      <w:tabs>
        <w:tab w:val="left" w:pos="709"/>
      </w:tabs>
      <w:spacing w:before="122" w:line="198" w:lineRule="exact"/>
      <w:ind w:left="709" w:hanging="709"/>
    </w:pPr>
    <w:rPr>
      <w:sz w:val="18"/>
    </w:rPr>
  </w:style>
  <w:style w:type="paragraph" w:customStyle="1" w:styleId="noteToPara">
    <w:name w:val="noteToPara"/>
    <w:aliases w:val="ntp"/>
    <w:basedOn w:val="OPCParaBase"/>
    <w:rsid w:val="00EF1DEF"/>
    <w:pPr>
      <w:spacing w:before="122" w:line="198" w:lineRule="exact"/>
      <w:ind w:left="2353" w:hanging="709"/>
    </w:pPr>
    <w:rPr>
      <w:sz w:val="18"/>
    </w:rPr>
  </w:style>
  <w:style w:type="paragraph" w:customStyle="1" w:styleId="noteParlAmend">
    <w:name w:val="note(ParlAmend)"/>
    <w:aliases w:val="npp"/>
    <w:basedOn w:val="OPCParaBase"/>
    <w:next w:val="ParlAmend"/>
    <w:rsid w:val="00EF1DEF"/>
    <w:pPr>
      <w:spacing w:line="240" w:lineRule="auto"/>
      <w:jc w:val="right"/>
    </w:pPr>
    <w:rPr>
      <w:rFonts w:ascii="Arial" w:hAnsi="Arial"/>
      <w:b/>
      <w:i/>
    </w:rPr>
  </w:style>
  <w:style w:type="paragraph" w:customStyle="1" w:styleId="Page1">
    <w:name w:val="Page1"/>
    <w:basedOn w:val="OPCParaBase"/>
    <w:rsid w:val="00EF1DEF"/>
    <w:pPr>
      <w:spacing w:before="5600" w:line="240" w:lineRule="auto"/>
    </w:pPr>
    <w:rPr>
      <w:b/>
      <w:sz w:val="32"/>
    </w:rPr>
  </w:style>
  <w:style w:type="paragraph" w:customStyle="1" w:styleId="PageBreak">
    <w:name w:val="PageBreak"/>
    <w:aliases w:val="pb"/>
    <w:basedOn w:val="OPCParaBase"/>
    <w:rsid w:val="00EF1DEF"/>
    <w:pPr>
      <w:spacing w:line="240" w:lineRule="auto"/>
    </w:pPr>
    <w:rPr>
      <w:sz w:val="20"/>
    </w:rPr>
  </w:style>
  <w:style w:type="paragraph" w:customStyle="1" w:styleId="paragraphsub">
    <w:name w:val="paragraph(sub)"/>
    <w:aliases w:val="aa"/>
    <w:basedOn w:val="OPCParaBase"/>
    <w:rsid w:val="00EF1DEF"/>
    <w:pPr>
      <w:tabs>
        <w:tab w:val="right" w:pos="1985"/>
      </w:tabs>
      <w:spacing w:before="40" w:line="240" w:lineRule="auto"/>
      <w:ind w:left="2098" w:hanging="2098"/>
    </w:pPr>
  </w:style>
  <w:style w:type="paragraph" w:customStyle="1" w:styleId="paragraphsub-sub">
    <w:name w:val="paragraph(sub-sub)"/>
    <w:aliases w:val="aaa"/>
    <w:basedOn w:val="OPCParaBase"/>
    <w:rsid w:val="00EF1DEF"/>
    <w:pPr>
      <w:tabs>
        <w:tab w:val="right" w:pos="2722"/>
      </w:tabs>
      <w:spacing w:before="40" w:line="240" w:lineRule="auto"/>
      <w:ind w:left="2835" w:hanging="2835"/>
    </w:pPr>
  </w:style>
  <w:style w:type="paragraph" w:customStyle="1" w:styleId="paragraph">
    <w:name w:val="paragraph"/>
    <w:aliases w:val="a"/>
    <w:basedOn w:val="OPCParaBase"/>
    <w:link w:val="paragraphChar"/>
    <w:rsid w:val="00EF1DEF"/>
    <w:pPr>
      <w:tabs>
        <w:tab w:val="right" w:pos="1531"/>
      </w:tabs>
      <w:spacing w:before="40" w:line="240" w:lineRule="auto"/>
      <w:ind w:left="1644" w:hanging="1644"/>
    </w:pPr>
  </w:style>
  <w:style w:type="paragraph" w:customStyle="1" w:styleId="ParlAmend">
    <w:name w:val="ParlAmend"/>
    <w:aliases w:val="pp"/>
    <w:basedOn w:val="OPCParaBase"/>
    <w:rsid w:val="00EF1DEF"/>
    <w:pPr>
      <w:spacing w:before="240" w:line="240" w:lineRule="atLeast"/>
      <w:ind w:hanging="567"/>
    </w:pPr>
    <w:rPr>
      <w:sz w:val="24"/>
    </w:rPr>
  </w:style>
  <w:style w:type="paragraph" w:customStyle="1" w:styleId="Penalty">
    <w:name w:val="Penalty"/>
    <w:basedOn w:val="OPCParaBase"/>
    <w:rsid w:val="00EF1DEF"/>
    <w:pPr>
      <w:tabs>
        <w:tab w:val="left" w:pos="2977"/>
      </w:tabs>
      <w:spacing w:before="180" w:line="240" w:lineRule="auto"/>
      <w:ind w:left="1985" w:hanging="851"/>
    </w:pPr>
  </w:style>
  <w:style w:type="paragraph" w:customStyle="1" w:styleId="Portfolio">
    <w:name w:val="Portfolio"/>
    <w:basedOn w:val="OPCParaBase"/>
    <w:rsid w:val="00EF1DEF"/>
    <w:pPr>
      <w:spacing w:line="240" w:lineRule="auto"/>
    </w:pPr>
    <w:rPr>
      <w:i/>
      <w:sz w:val="20"/>
    </w:rPr>
  </w:style>
  <w:style w:type="paragraph" w:customStyle="1" w:styleId="Preamble">
    <w:name w:val="Preamble"/>
    <w:basedOn w:val="OPCParaBase"/>
    <w:next w:val="Normal"/>
    <w:rsid w:val="00EF1DE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F1DEF"/>
    <w:pPr>
      <w:spacing w:line="240" w:lineRule="auto"/>
    </w:pPr>
    <w:rPr>
      <w:i/>
      <w:sz w:val="20"/>
    </w:rPr>
  </w:style>
  <w:style w:type="paragraph" w:customStyle="1" w:styleId="Session">
    <w:name w:val="Session"/>
    <w:basedOn w:val="OPCParaBase"/>
    <w:rsid w:val="00EF1DEF"/>
    <w:pPr>
      <w:spacing w:line="240" w:lineRule="auto"/>
    </w:pPr>
    <w:rPr>
      <w:sz w:val="28"/>
    </w:rPr>
  </w:style>
  <w:style w:type="paragraph" w:customStyle="1" w:styleId="Sponsor">
    <w:name w:val="Sponsor"/>
    <w:basedOn w:val="OPCParaBase"/>
    <w:rsid w:val="00EF1DEF"/>
    <w:pPr>
      <w:spacing w:line="240" w:lineRule="auto"/>
    </w:pPr>
    <w:rPr>
      <w:i/>
    </w:rPr>
  </w:style>
  <w:style w:type="paragraph" w:customStyle="1" w:styleId="Subitem">
    <w:name w:val="Subitem"/>
    <w:aliases w:val="iss"/>
    <w:basedOn w:val="OPCParaBase"/>
    <w:rsid w:val="00EF1DEF"/>
    <w:pPr>
      <w:spacing w:before="180" w:line="240" w:lineRule="auto"/>
      <w:ind w:left="709" w:hanging="709"/>
    </w:pPr>
  </w:style>
  <w:style w:type="paragraph" w:customStyle="1" w:styleId="SubitemHead">
    <w:name w:val="SubitemHead"/>
    <w:aliases w:val="issh"/>
    <w:basedOn w:val="OPCParaBase"/>
    <w:rsid w:val="00EF1DE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F1DEF"/>
    <w:pPr>
      <w:spacing w:before="40" w:line="240" w:lineRule="auto"/>
      <w:ind w:left="1134"/>
    </w:pPr>
  </w:style>
  <w:style w:type="paragraph" w:customStyle="1" w:styleId="SubsectionHead">
    <w:name w:val="SubsectionHead"/>
    <w:aliases w:val="ssh"/>
    <w:basedOn w:val="OPCParaBase"/>
    <w:next w:val="subsection"/>
    <w:rsid w:val="00EF1DEF"/>
    <w:pPr>
      <w:keepNext/>
      <w:keepLines/>
      <w:spacing w:before="240" w:line="240" w:lineRule="auto"/>
      <w:ind w:left="1134"/>
    </w:pPr>
    <w:rPr>
      <w:i/>
    </w:rPr>
  </w:style>
  <w:style w:type="paragraph" w:customStyle="1" w:styleId="Tablea">
    <w:name w:val="Table(a)"/>
    <w:aliases w:val="ta"/>
    <w:basedOn w:val="OPCParaBase"/>
    <w:rsid w:val="00EF1DEF"/>
    <w:pPr>
      <w:spacing w:before="60" w:line="240" w:lineRule="auto"/>
      <w:ind w:left="284" w:hanging="284"/>
    </w:pPr>
    <w:rPr>
      <w:sz w:val="20"/>
    </w:rPr>
  </w:style>
  <w:style w:type="paragraph" w:customStyle="1" w:styleId="TableAA">
    <w:name w:val="Table(AA)"/>
    <w:aliases w:val="taaa"/>
    <w:basedOn w:val="OPCParaBase"/>
    <w:rsid w:val="00EF1DE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F1DE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F1DEF"/>
    <w:pPr>
      <w:spacing w:before="60" w:line="240" w:lineRule="atLeast"/>
    </w:pPr>
    <w:rPr>
      <w:sz w:val="20"/>
    </w:rPr>
  </w:style>
  <w:style w:type="paragraph" w:customStyle="1" w:styleId="TLPBoxTextnote">
    <w:name w:val="TLPBoxText(note"/>
    <w:aliases w:val="right)"/>
    <w:basedOn w:val="OPCParaBase"/>
    <w:rsid w:val="00EF1DE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F1DE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F1DEF"/>
    <w:pPr>
      <w:spacing w:before="122" w:line="198" w:lineRule="exact"/>
      <w:ind w:left="1985" w:hanging="851"/>
      <w:jc w:val="right"/>
    </w:pPr>
    <w:rPr>
      <w:sz w:val="18"/>
    </w:rPr>
  </w:style>
  <w:style w:type="paragraph" w:customStyle="1" w:styleId="TLPTableBullet">
    <w:name w:val="TLPTableBullet"/>
    <w:aliases w:val="ttb"/>
    <w:basedOn w:val="OPCParaBase"/>
    <w:rsid w:val="00EF1DEF"/>
    <w:pPr>
      <w:spacing w:line="240" w:lineRule="exact"/>
      <w:ind w:left="284" w:hanging="284"/>
    </w:pPr>
    <w:rPr>
      <w:sz w:val="20"/>
    </w:rPr>
  </w:style>
  <w:style w:type="paragraph" w:styleId="TOC1">
    <w:name w:val="toc 1"/>
    <w:basedOn w:val="Normal"/>
    <w:next w:val="Normal"/>
    <w:uiPriority w:val="39"/>
    <w:unhideWhenUsed/>
    <w:rsid w:val="00EF1DE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F1DE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F1DE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F1DE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F1DE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F1DE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F1DE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F1DE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F1DE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F1DEF"/>
    <w:pPr>
      <w:keepLines/>
      <w:spacing w:before="240" w:after="120" w:line="240" w:lineRule="auto"/>
      <w:ind w:left="794"/>
    </w:pPr>
    <w:rPr>
      <w:b/>
      <w:kern w:val="28"/>
      <w:sz w:val="20"/>
    </w:rPr>
  </w:style>
  <w:style w:type="paragraph" w:customStyle="1" w:styleId="TofSectsHeading">
    <w:name w:val="TofSects(Heading)"/>
    <w:basedOn w:val="OPCParaBase"/>
    <w:rsid w:val="00EF1DEF"/>
    <w:pPr>
      <w:spacing w:before="240" w:after="120" w:line="240" w:lineRule="auto"/>
    </w:pPr>
    <w:rPr>
      <w:b/>
      <w:sz w:val="24"/>
    </w:rPr>
  </w:style>
  <w:style w:type="paragraph" w:customStyle="1" w:styleId="TofSectsSection">
    <w:name w:val="TofSects(Section)"/>
    <w:basedOn w:val="OPCParaBase"/>
    <w:rsid w:val="00EF1DEF"/>
    <w:pPr>
      <w:keepLines/>
      <w:spacing w:before="40" w:line="240" w:lineRule="auto"/>
      <w:ind w:left="1588" w:hanging="794"/>
    </w:pPr>
    <w:rPr>
      <w:kern w:val="28"/>
      <w:sz w:val="18"/>
    </w:rPr>
  </w:style>
  <w:style w:type="paragraph" w:customStyle="1" w:styleId="TofSectsSubdiv">
    <w:name w:val="TofSects(Subdiv)"/>
    <w:basedOn w:val="OPCParaBase"/>
    <w:rsid w:val="00EF1DEF"/>
    <w:pPr>
      <w:keepLines/>
      <w:spacing w:before="80" w:line="240" w:lineRule="auto"/>
      <w:ind w:left="1588" w:hanging="794"/>
    </w:pPr>
    <w:rPr>
      <w:kern w:val="28"/>
    </w:rPr>
  </w:style>
  <w:style w:type="paragraph" w:customStyle="1" w:styleId="WRStyle">
    <w:name w:val="WR Style"/>
    <w:aliases w:val="WR"/>
    <w:basedOn w:val="OPCParaBase"/>
    <w:rsid w:val="00EF1DEF"/>
    <w:pPr>
      <w:spacing w:before="240" w:line="240" w:lineRule="auto"/>
      <w:ind w:left="284" w:hanging="284"/>
    </w:pPr>
    <w:rPr>
      <w:b/>
      <w:i/>
      <w:kern w:val="28"/>
      <w:sz w:val="24"/>
    </w:rPr>
  </w:style>
  <w:style w:type="paragraph" w:customStyle="1" w:styleId="notepara">
    <w:name w:val="note(para)"/>
    <w:aliases w:val="na"/>
    <w:basedOn w:val="OPCParaBase"/>
    <w:rsid w:val="00EF1DEF"/>
    <w:pPr>
      <w:spacing w:before="40" w:line="198" w:lineRule="exact"/>
      <w:ind w:left="2354" w:hanging="369"/>
    </w:pPr>
    <w:rPr>
      <w:sz w:val="18"/>
    </w:rPr>
  </w:style>
  <w:style w:type="paragraph" w:styleId="Footer">
    <w:name w:val="footer"/>
    <w:link w:val="FooterChar"/>
    <w:rsid w:val="00EF1DE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F1DEF"/>
    <w:rPr>
      <w:rFonts w:eastAsia="Times New Roman" w:cs="Times New Roman"/>
      <w:sz w:val="22"/>
      <w:szCs w:val="24"/>
      <w:lang w:eastAsia="en-AU"/>
    </w:rPr>
  </w:style>
  <w:style w:type="character" w:styleId="LineNumber">
    <w:name w:val="line number"/>
    <w:basedOn w:val="OPCCharBase"/>
    <w:uiPriority w:val="99"/>
    <w:unhideWhenUsed/>
    <w:rsid w:val="00EF1DEF"/>
    <w:rPr>
      <w:sz w:val="16"/>
    </w:rPr>
  </w:style>
  <w:style w:type="table" w:customStyle="1" w:styleId="CFlag">
    <w:name w:val="CFlag"/>
    <w:basedOn w:val="TableNormal"/>
    <w:uiPriority w:val="99"/>
    <w:rsid w:val="00EF1DEF"/>
    <w:rPr>
      <w:rFonts w:eastAsia="Times New Roman" w:cs="Times New Roman"/>
      <w:lang w:eastAsia="en-AU"/>
    </w:rPr>
    <w:tblPr/>
  </w:style>
  <w:style w:type="paragraph" w:styleId="BalloonText">
    <w:name w:val="Balloon Text"/>
    <w:basedOn w:val="Normal"/>
    <w:link w:val="BalloonTextChar"/>
    <w:uiPriority w:val="99"/>
    <w:unhideWhenUsed/>
    <w:rsid w:val="00EF1D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F1DEF"/>
    <w:rPr>
      <w:rFonts w:ascii="Tahoma" w:hAnsi="Tahoma" w:cs="Tahoma"/>
      <w:sz w:val="16"/>
      <w:szCs w:val="16"/>
    </w:rPr>
  </w:style>
  <w:style w:type="table" w:styleId="TableGrid">
    <w:name w:val="Table Grid"/>
    <w:basedOn w:val="TableNormal"/>
    <w:uiPriority w:val="59"/>
    <w:rsid w:val="00EF1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F1DEF"/>
    <w:rPr>
      <w:b/>
      <w:sz w:val="28"/>
      <w:szCs w:val="32"/>
    </w:rPr>
  </w:style>
  <w:style w:type="paragraph" w:customStyle="1" w:styleId="LegislationMadeUnder">
    <w:name w:val="LegislationMadeUnder"/>
    <w:basedOn w:val="OPCParaBase"/>
    <w:next w:val="Normal"/>
    <w:rsid w:val="00EF1DEF"/>
    <w:rPr>
      <w:i/>
      <w:sz w:val="32"/>
      <w:szCs w:val="32"/>
    </w:rPr>
  </w:style>
  <w:style w:type="paragraph" w:customStyle="1" w:styleId="SignCoverPageEnd">
    <w:name w:val="SignCoverPageEnd"/>
    <w:basedOn w:val="OPCParaBase"/>
    <w:next w:val="Normal"/>
    <w:rsid w:val="00EF1DE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F1DEF"/>
    <w:pPr>
      <w:pBdr>
        <w:top w:val="single" w:sz="4" w:space="1" w:color="auto"/>
      </w:pBdr>
      <w:spacing w:before="360"/>
      <w:ind w:right="397"/>
      <w:jc w:val="both"/>
    </w:pPr>
  </w:style>
  <w:style w:type="paragraph" w:customStyle="1" w:styleId="NotesHeading1">
    <w:name w:val="NotesHeading 1"/>
    <w:basedOn w:val="OPCParaBase"/>
    <w:next w:val="Normal"/>
    <w:rsid w:val="00EF1DEF"/>
    <w:rPr>
      <w:b/>
      <w:sz w:val="28"/>
      <w:szCs w:val="28"/>
    </w:rPr>
  </w:style>
  <w:style w:type="paragraph" w:customStyle="1" w:styleId="NotesHeading2">
    <w:name w:val="NotesHeading 2"/>
    <w:basedOn w:val="OPCParaBase"/>
    <w:next w:val="Normal"/>
    <w:rsid w:val="00EF1DEF"/>
    <w:rPr>
      <w:b/>
      <w:sz w:val="28"/>
      <w:szCs w:val="28"/>
    </w:rPr>
  </w:style>
  <w:style w:type="paragraph" w:customStyle="1" w:styleId="ENotesText">
    <w:name w:val="ENotesText"/>
    <w:aliases w:val="Ent"/>
    <w:basedOn w:val="OPCParaBase"/>
    <w:next w:val="Normal"/>
    <w:rsid w:val="00EF1DEF"/>
    <w:pPr>
      <w:spacing w:before="120"/>
    </w:pPr>
  </w:style>
  <w:style w:type="paragraph" w:customStyle="1" w:styleId="CompiledActNo">
    <w:name w:val="CompiledActNo"/>
    <w:basedOn w:val="OPCParaBase"/>
    <w:next w:val="Normal"/>
    <w:rsid w:val="00EF1DEF"/>
    <w:rPr>
      <w:b/>
      <w:sz w:val="24"/>
      <w:szCs w:val="24"/>
    </w:rPr>
  </w:style>
  <w:style w:type="paragraph" w:customStyle="1" w:styleId="CompiledMadeUnder">
    <w:name w:val="CompiledMadeUnder"/>
    <w:basedOn w:val="OPCParaBase"/>
    <w:next w:val="Normal"/>
    <w:rsid w:val="00EF1DEF"/>
    <w:rPr>
      <w:i/>
      <w:sz w:val="24"/>
      <w:szCs w:val="24"/>
    </w:rPr>
  </w:style>
  <w:style w:type="paragraph" w:customStyle="1" w:styleId="Paragraphsub-sub-sub">
    <w:name w:val="Paragraph(sub-sub-sub)"/>
    <w:aliases w:val="aaaa"/>
    <w:basedOn w:val="OPCParaBase"/>
    <w:rsid w:val="00EF1DE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F1DE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F1DE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F1DE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F1DE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F1DEF"/>
    <w:pPr>
      <w:spacing w:before="60" w:line="240" w:lineRule="auto"/>
    </w:pPr>
    <w:rPr>
      <w:rFonts w:cs="Arial"/>
      <w:sz w:val="20"/>
      <w:szCs w:val="22"/>
    </w:rPr>
  </w:style>
  <w:style w:type="paragraph" w:customStyle="1" w:styleId="NoteToSubpara">
    <w:name w:val="NoteToSubpara"/>
    <w:aliases w:val="nts"/>
    <w:basedOn w:val="OPCParaBase"/>
    <w:rsid w:val="00EF1DEF"/>
    <w:pPr>
      <w:spacing w:before="40" w:line="198" w:lineRule="exact"/>
      <w:ind w:left="2835" w:hanging="709"/>
    </w:pPr>
    <w:rPr>
      <w:sz w:val="18"/>
    </w:rPr>
  </w:style>
  <w:style w:type="paragraph" w:customStyle="1" w:styleId="ENoteTableHeading">
    <w:name w:val="ENoteTableHeading"/>
    <w:aliases w:val="enth"/>
    <w:basedOn w:val="OPCParaBase"/>
    <w:rsid w:val="00EF1DEF"/>
    <w:pPr>
      <w:keepNext/>
      <w:spacing w:before="60" w:line="240" w:lineRule="atLeast"/>
    </w:pPr>
    <w:rPr>
      <w:rFonts w:ascii="Arial" w:hAnsi="Arial"/>
      <w:b/>
      <w:sz w:val="16"/>
    </w:rPr>
  </w:style>
  <w:style w:type="paragraph" w:customStyle="1" w:styleId="ENoteTTi">
    <w:name w:val="ENoteTTi"/>
    <w:aliases w:val="entti"/>
    <w:basedOn w:val="OPCParaBase"/>
    <w:rsid w:val="00EF1DEF"/>
    <w:pPr>
      <w:keepNext/>
      <w:spacing w:before="60" w:line="240" w:lineRule="atLeast"/>
      <w:ind w:left="170"/>
    </w:pPr>
    <w:rPr>
      <w:sz w:val="16"/>
    </w:rPr>
  </w:style>
  <w:style w:type="paragraph" w:customStyle="1" w:styleId="ENotesHeading1">
    <w:name w:val="ENotesHeading 1"/>
    <w:aliases w:val="Enh1"/>
    <w:basedOn w:val="OPCParaBase"/>
    <w:next w:val="Normal"/>
    <w:rsid w:val="00EF1DEF"/>
    <w:pPr>
      <w:spacing w:before="120"/>
      <w:outlineLvl w:val="1"/>
    </w:pPr>
    <w:rPr>
      <w:b/>
      <w:sz w:val="28"/>
      <w:szCs w:val="28"/>
    </w:rPr>
  </w:style>
  <w:style w:type="paragraph" w:customStyle="1" w:styleId="ENotesHeading2">
    <w:name w:val="ENotesHeading 2"/>
    <w:aliases w:val="Enh2"/>
    <w:basedOn w:val="OPCParaBase"/>
    <w:next w:val="Normal"/>
    <w:rsid w:val="00EF1DEF"/>
    <w:pPr>
      <w:spacing w:before="120" w:after="120"/>
      <w:outlineLvl w:val="2"/>
    </w:pPr>
    <w:rPr>
      <w:b/>
      <w:sz w:val="24"/>
      <w:szCs w:val="28"/>
    </w:rPr>
  </w:style>
  <w:style w:type="paragraph" w:customStyle="1" w:styleId="ENoteTTIndentHeading">
    <w:name w:val="ENoteTTIndentHeading"/>
    <w:aliases w:val="enTTHi"/>
    <w:basedOn w:val="OPCParaBase"/>
    <w:rsid w:val="00EF1DE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F1DEF"/>
    <w:pPr>
      <w:spacing w:before="60" w:line="240" w:lineRule="atLeast"/>
    </w:pPr>
    <w:rPr>
      <w:sz w:val="16"/>
    </w:rPr>
  </w:style>
  <w:style w:type="paragraph" w:customStyle="1" w:styleId="MadeunderText">
    <w:name w:val="MadeunderText"/>
    <w:basedOn w:val="OPCParaBase"/>
    <w:next w:val="Normal"/>
    <w:rsid w:val="00EF1DEF"/>
    <w:pPr>
      <w:spacing w:before="240"/>
    </w:pPr>
    <w:rPr>
      <w:sz w:val="24"/>
      <w:szCs w:val="24"/>
    </w:rPr>
  </w:style>
  <w:style w:type="paragraph" w:customStyle="1" w:styleId="ENotesHeading3">
    <w:name w:val="ENotesHeading 3"/>
    <w:aliases w:val="Enh3"/>
    <w:basedOn w:val="OPCParaBase"/>
    <w:next w:val="Normal"/>
    <w:rsid w:val="00EF1DEF"/>
    <w:pPr>
      <w:keepNext/>
      <w:spacing w:before="120" w:line="240" w:lineRule="auto"/>
      <w:outlineLvl w:val="4"/>
    </w:pPr>
    <w:rPr>
      <w:b/>
      <w:szCs w:val="24"/>
    </w:rPr>
  </w:style>
  <w:style w:type="character" w:customStyle="1" w:styleId="CharSubPartTextCASA">
    <w:name w:val="CharSubPartText(CASA)"/>
    <w:basedOn w:val="OPCCharBase"/>
    <w:uiPriority w:val="1"/>
    <w:rsid w:val="00EF1DEF"/>
  </w:style>
  <w:style w:type="character" w:customStyle="1" w:styleId="CharSubPartNoCASA">
    <w:name w:val="CharSubPartNo(CASA)"/>
    <w:basedOn w:val="OPCCharBase"/>
    <w:uiPriority w:val="1"/>
    <w:rsid w:val="00EF1DEF"/>
  </w:style>
  <w:style w:type="paragraph" w:customStyle="1" w:styleId="ENoteTTIndentHeadingSub">
    <w:name w:val="ENoteTTIndentHeadingSub"/>
    <w:aliases w:val="enTTHis"/>
    <w:basedOn w:val="OPCParaBase"/>
    <w:rsid w:val="00EF1DEF"/>
    <w:pPr>
      <w:keepNext/>
      <w:spacing w:before="60" w:line="240" w:lineRule="atLeast"/>
      <w:ind w:left="340"/>
    </w:pPr>
    <w:rPr>
      <w:b/>
      <w:sz w:val="16"/>
    </w:rPr>
  </w:style>
  <w:style w:type="paragraph" w:customStyle="1" w:styleId="ENoteTTiSub">
    <w:name w:val="ENoteTTiSub"/>
    <w:aliases w:val="enttis"/>
    <w:basedOn w:val="OPCParaBase"/>
    <w:rsid w:val="00EF1DEF"/>
    <w:pPr>
      <w:keepNext/>
      <w:spacing w:before="60" w:line="240" w:lineRule="atLeast"/>
      <w:ind w:left="340"/>
    </w:pPr>
    <w:rPr>
      <w:sz w:val="16"/>
    </w:rPr>
  </w:style>
  <w:style w:type="paragraph" w:customStyle="1" w:styleId="SubDivisionMigration">
    <w:name w:val="SubDivisionMigration"/>
    <w:aliases w:val="sdm"/>
    <w:basedOn w:val="OPCParaBase"/>
    <w:rsid w:val="00EF1DE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F1DE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F1DEF"/>
    <w:pPr>
      <w:spacing w:before="122" w:line="240" w:lineRule="auto"/>
      <w:ind w:left="1985" w:hanging="851"/>
    </w:pPr>
    <w:rPr>
      <w:sz w:val="18"/>
    </w:rPr>
  </w:style>
  <w:style w:type="paragraph" w:customStyle="1" w:styleId="FreeForm">
    <w:name w:val="FreeForm"/>
    <w:rsid w:val="00EF1DEF"/>
    <w:rPr>
      <w:rFonts w:ascii="Arial" w:hAnsi="Arial"/>
      <w:sz w:val="22"/>
    </w:rPr>
  </w:style>
  <w:style w:type="paragraph" w:customStyle="1" w:styleId="SOText">
    <w:name w:val="SO Text"/>
    <w:aliases w:val="sot"/>
    <w:link w:val="SOTextChar"/>
    <w:rsid w:val="00EF1DE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F1DEF"/>
    <w:rPr>
      <w:sz w:val="22"/>
    </w:rPr>
  </w:style>
  <w:style w:type="paragraph" w:customStyle="1" w:styleId="SOTextNote">
    <w:name w:val="SO TextNote"/>
    <w:aliases w:val="sont"/>
    <w:basedOn w:val="SOText"/>
    <w:qFormat/>
    <w:rsid w:val="00EF1DEF"/>
    <w:pPr>
      <w:spacing w:before="122" w:line="198" w:lineRule="exact"/>
      <w:ind w:left="1843" w:hanging="709"/>
    </w:pPr>
    <w:rPr>
      <w:sz w:val="18"/>
    </w:rPr>
  </w:style>
  <w:style w:type="paragraph" w:customStyle="1" w:styleId="SOPara">
    <w:name w:val="SO Para"/>
    <w:aliases w:val="soa"/>
    <w:basedOn w:val="SOText"/>
    <w:link w:val="SOParaChar"/>
    <w:qFormat/>
    <w:rsid w:val="00EF1DEF"/>
    <w:pPr>
      <w:tabs>
        <w:tab w:val="right" w:pos="1786"/>
      </w:tabs>
      <w:spacing w:before="40"/>
      <w:ind w:left="2070" w:hanging="936"/>
    </w:pPr>
  </w:style>
  <w:style w:type="character" w:customStyle="1" w:styleId="SOParaChar">
    <w:name w:val="SO Para Char"/>
    <w:aliases w:val="soa Char"/>
    <w:basedOn w:val="DefaultParagraphFont"/>
    <w:link w:val="SOPara"/>
    <w:rsid w:val="00EF1DEF"/>
    <w:rPr>
      <w:sz w:val="22"/>
    </w:rPr>
  </w:style>
  <w:style w:type="paragraph" w:customStyle="1" w:styleId="FileName">
    <w:name w:val="FileName"/>
    <w:basedOn w:val="Normal"/>
    <w:rsid w:val="00EF1DEF"/>
  </w:style>
  <w:style w:type="paragraph" w:customStyle="1" w:styleId="TableHeading">
    <w:name w:val="TableHeading"/>
    <w:aliases w:val="th"/>
    <w:basedOn w:val="OPCParaBase"/>
    <w:next w:val="Tabletext"/>
    <w:rsid w:val="00EF1DEF"/>
    <w:pPr>
      <w:keepNext/>
      <w:spacing w:before="60" w:line="240" w:lineRule="atLeast"/>
    </w:pPr>
    <w:rPr>
      <w:b/>
      <w:sz w:val="20"/>
    </w:rPr>
  </w:style>
  <w:style w:type="paragraph" w:customStyle="1" w:styleId="SOHeadBold">
    <w:name w:val="SO HeadBold"/>
    <w:aliases w:val="sohb"/>
    <w:basedOn w:val="SOText"/>
    <w:next w:val="SOText"/>
    <w:link w:val="SOHeadBoldChar"/>
    <w:qFormat/>
    <w:rsid w:val="00EF1DEF"/>
    <w:rPr>
      <w:b/>
    </w:rPr>
  </w:style>
  <w:style w:type="character" w:customStyle="1" w:styleId="SOHeadBoldChar">
    <w:name w:val="SO HeadBold Char"/>
    <w:aliases w:val="sohb Char"/>
    <w:basedOn w:val="DefaultParagraphFont"/>
    <w:link w:val="SOHeadBold"/>
    <w:rsid w:val="00EF1DEF"/>
    <w:rPr>
      <w:b/>
      <w:sz w:val="22"/>
    </w:rPr>
  </w:style>
  <w:style w:type="paragraph" w:customStyle="1" w:styleId="SOHeadItalic">
    <w:name w:val="SO HeadItalic"/>
    <w:aliases w:val="sohi"/>
    <w:basedOn w:val="SOText"/>
    <w:next w:val="SOText"/>
    <w:link w:val="SOHeadItalicChar"/>
    <w:qFormat/>
    <w:rsid w:val="00EF1DEF"/>
    <w:rPr>
      <w:i/>
    </w:rPr>
  </w:style>
  <w:style w:type="character" w:customStyle="1" w:styleId="SOHeadItalicChar">
    <w:name w:val="SO HeadItalic Char"/>
    <w:aliases w:val="sohi Char"/>
    <w:basedOn w:val="DefaultParagraphFont"/>
    <w:link w:val="SOHeadItalic"/>
    <w:rsid w:val="00EF1DEF"/>
    <w:rPr>
      <w:i/>
      <w:sz w:val="22"/>
    </w:rPr>
  </w:style>
  <w:style w:type="paragraph" w:customStyle="1" w:styleId="SOBullet">
    <w:name w:val="SO Bullet"/>
    <w:aliases w:val="sotb"/>
    <w:basedOn w:val="SOText"/>
    <w:link w:val="SOBulletChar"/>
    <w:qFormat/>
    <w:rsid w:val="00EF1DEF"/>
    <w:pPr>
      <w:ind w:left="1559" w:hanging="425"/>
    </w:pPr>
  </w:style>
  <w:style w:type="character" w:customStyle="1" w:styleId="SOBulletChar">
    <w:name w:val="SO Bullet Char"/>
    <w:aliases w:val="sotb Char"/>
    <w:basedOn w:val="DefaultParagraphFont"/>
    <w:link w:val="SOBullet"/>
    <w:rsid w:val="00EF1DEF"/>
    <w:rPr>
      <w:sz w:val="22"/>
    </w:rPr>
  </w:style>
  <w:style w:type="paragraph" w:customStyle="1" w:styleId="SOBulletNote">
    <w:name w:val="SO BulletNote"/>
    <w:aliases w:val="sonb"/>
    <w:basedOn w:val="SOTextNote"/>
    <w:link w:val="SOBulletNoteChar"/>
    <w:qFormat/>
    <w:rsid w:val="00EF1DEF"/>
    <w:pPr>
      <w:tabs>
        <w:tab w:val="left" w:pos="1560"/>
      </w:tabs>
      <w:ind w:left="2268" w:hanging="1134"/>
    </w:pPr>
  </w:style>
  <w:style w:type="character" w:customStyle="1" w:styleId="SOBulletNoteChar">
    <w:name w:val="SO BulletNote Char"/>
    <w:aliases w:val="sonb Char"/>
    <w:basedOn w:val="DefaultParagraphFont"/>
    <w:link w:val="SOBulletNote"/>
    <w:rsid w:val="00EF1DEF"/>
    <w:rPr>
      <w:sz w:val="18"/>
    </w:rPr>
  </w:style>
  <w:style w:type="paragraph" w:customStyle="1" w:styleId="SOText2">
    <w:name w:val="SO Text2"/>
    <w:aliases w:val="sot2"/>
    <w:basedOn w:val="Normal"/>
    <w:next w:val="SOText"/>
    <w:link w:val="SOText2Char"/>
    <w:rsid w:val="00EF1DE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F1DEF"/>
    <w:rPr>
      <w:sz w:val="22"/>
    </w:rPr>
  </w:style>
  <w:style w:type="paragraph" w:customStyle="1" w:styleId="SubPartCASA">
    <w:name w:val="SubPart(CASA)"/>
    <w:aliases w:val="csp"/>
    <w:basedOn w:val="OPCParaBase"/>
    <w:next w:val="ActHead3"/>
    <w:rsid w:val="00EF1DE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F1DEF"/>
    <w:rPr>
      <w:rFonts w:eastAsia="Times New Roman" w:cs="Times New Roman"/>
      <w:sz w:val="22"/>
      <w:lang w:eastAsia="en-AU"/>
    </w:rPr>
  </w:style>
  <w:style w:type="character" w:customStyle="1" w:styleId="notetextChar">
    <w:name w:val="note(text) Char"/>
    <w:aliases w:val="n Char"/>
    <w:basedOn w:val="DefaultParagraphFont"/>
    <w:link w:val="notetext"/>
    <w:rsid w:val="00EF1DEF"/>
    <w:rPr>
      <w:rFonts w:eastAsia="Times New Roman" w:cs="Times New Roman"/>
      <w:sz w:val="18"/>
      <w:lang w:eastAsia="en-AU"/>
    </w:rPr>
  </w:style>
  <w:style w:type="character" w:customStyle="1" w:styleId="Heading1Char">
    <w:name w:val="Heading 1 Char"/>
    <w:basedOn w:val="DefaultParagraphFont"/>
    <w:link w:val="Heading1"/>
    <w:uiPriority w:val="9"/>
    <w:rsid w:val="00EF1D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F1D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1DE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F1DE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F1DE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F1DE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F1DE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F1D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F1DEF"/>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EF1DEF"/>
  </w:style>
  <w:style w:type="character" w:customStyle="1" w:styleId="charlegsubtitle1">
    <w:name w:val="charlegsubtitle1"/>
    <w:basedOn w:val="DefaultParagraphFont"/>
    <w:rsid w:val="00EF1DEF"/>
    <w:rPr>
      <w:rFonts w:ascii="Arial" w:hAnsi="Arial" w:cs="Arial" w:hint="default"/>
      <w:b/>
      <w:bCs/>
      <w:sz w:val="28"/>
      <w:szCs w:val="28"/>
    </w:rPr>
  </w:style>
  <w:style w:type="paragraph" w:styleId="Index1">
    <w:name w:val="index 1"/>
    <w:basedOn w:val="Normal"/>
    <w:next w:val="Normal"/>
    <w:autoRedefine/>
    <w:rsid w:val="00EF1DEF"/>
    <w:pPr>
      <w:ind w:left="240" w:hanging="240"/>
    </w:pPr>
  </w:style>
  <w:style w:type="paragraph" w:styleId="Index2">
    <w:name w:val="index 2"/>
    <w:basedOn w:val="Normal"/>
    <w:next w:val="Normal"/>
    <w:autoRedefine/>
    <w:rsid w:val="00EF1DEF"/>
    <w:pPr>
      <w:ind w:left="480" w:hanging="240"/>
    </w:pPr>
  </w:style>
  <w:style w:type="paragraph" w:styleId="Index3">
    <w:name w:val="index 3"/>
    <w:basedOn w:val="Normal"/>
    <w:next w:val="Normal"/>
    <w:autoRedefine/>
    <w:rsid w:val="00EF1DEF"/>
    <w:pPr>
      <w:ind w:left="720" w:hanging="240"/>
    </w:pPr>
  </w:style>
  <w:style w:type="paragraph" w:styleId="Index4">
    <w:name w:val="index 4"/>
    <w:basedOn w:val="Normal"/>
    <w:next w:val="Normal"/>
    <w:autoRedefine/>
    <w:rsid w:val="00EF1DEF"/>
    <w:pPr>
      <w:ind w:left="960" w:hanging="240"/>
    </w:pPr>
  </w:style>
  <w:style w:type="paragraph" w:styleId="Index5">
    <w:name w:val="index 5"/>
    <w:basedOn w:val="Normal"/>
    <w:next w:val="Normal"/>
    <w:autoRedefine/>
    <w:rsid w:val="00EF1DEF"/>
    <w:pPr>
      <w:ind w:left="1200" w:hanging="240"/>
    </w:pPr>
  </w:style>
  <w:style w:type="paragraph" w:styleId="Index6">
    <w:name w:val="index 6"/>
    <w:basedOn w:val="Normal"/>
    <w:next w:val="Normal"/>
    <w:autoRedefine/>
    <w:rsid w:val="00EF1DEF"/>
    <w:pPr>
      <w:ind w:left="1440" w:hanging="240"/>
    </w:pPr>
  </w:style>
  <w:style w:type="paragraph" w:styleId="Index7">
    <w:name w:val="index 7"/>
    <w:basedOn w:val="Normal"/>
    <w:next w:val="Normal"/>
    <w:autoRedefine/>
    <w:rsid w:val="00EF1DEF"/>
    <w:pPr>
      <w:ind w:left="1680" w:hanging="240"/>
    </w:pPr>
  </w:style>
  <w:style w:type="paragraph" w:styleId="Index8">
    <w:name w:val="index 8"/>
    <w:basedOn w:val="Normal"/>
    <w:next w:val="Normal"/>
    <w:autoRedefine/>
    <w:rsid w:val="00EF1DEF"/>
    <w:pPr>
      <w:ind w:left="1920" w:hanging="240"/>
    </w:pPr>
  </w:style>
  <w:style w:type="paragraph" w:styleId="Index9">
    <w:name w:val="index 9"/>
    <w:basedOn w:val="Normal"/>
    <w:next w:val="Normal"/>
    <w:autoRedefine/>
    <w:rsid w:val="00EF1DEF"/>
    <w:pPr>
      <w:ind w:left="2160" w:hanging="240"/>
    </w:pPr>
  </w:style>
  <w:style w:type="paragraph" w:styleId="NormalIndent">
    <w:name w:val="Normal Indent"/>
    <w:basedOn w:val="Normal"/>
    <w:rsid w:val="00EF1DEF"/>
    <w:pPr>
      <w:ind w:left="720"/>
    </w:pPr>
  </w:style>
  <w:style w:type="paragraph" w:styleId="FootnoteText">
    <w:name w:val="footnote text"/>
    <w:basedOn w:val="Normal"/>
    <w:link w:val="FootnoteTextChar"/>
    <w:rsid w:val="00EF1DEF"/>
    <w:rPr>
      <w:sz w:val="20"/>
    </w:rPr>
  </w:style>
  <w:style w:type="character" w:customStyle="1" w:styleId="FootnoteTextChar">
    <w:name w:val="Footnote Text Char"/>
    <w:basedOn w:val="DefaultParagraphFont"/>
    <w:link w:val="FootnoteText"/>
    <w:rsid w:val="00EF1DEF"/>
  </w:style>
  <w:style w:type="paragraph" w:styleId="CommentText">
    <w:name w:val="annotation text"/>
    <w:basedOn w:val="Normal"/>
    <w:link w:val="CommentTextChar"/>
    <w:rsid w:val="00EF1DEF"/>
    <w:rPr>
      <w:sz w:val="20"/>
    </w:rPr>
  </w:style>
  <w:style w:type="character" w:customStyle="1" w:styleId="CommentTextChar">
    <w:name w:val="Comment Text Char"/>
    <w:basedOn w:val="DefaultParagraphFont"/>
    <w:link w:val="CommentText"/>
    <w:rsid w:val="00EF1DEF"/>
  </w:style>
  <w:style w:type="paragraph" w:styleId="IndexHeading">
    <w:name w:val="index heading"/>
    <w:basedOn w:val="Normal"/>
    <w:next w:val="Index1"/>
    <w:rsid w:val="00EF1DEF"/>
    <w:rPr>
      <w:rFonts w:ascii="Arial" w:hAnsi="Arial" w:cs="Arial"/>
      <w:b/>
      <w:bCs/>
    </w:rPr>
  </w:style>
  <w:style w:type="paragraph" w:styleId="Caption">
    <w:name w:val="caption"/>
    <w:basedOn w:val="Normal"/>
    <w:next w:val="Normal"/>
    <w:qFormat/>
    <w:rsid w:val="00EF1DEF"/>
    <w:pPr>
      <w:spacing w:before="120" w:after="120"/>
    </w:pPr>
    <w:rPr>
      <w:b/>
      <w:bCs/>
      <w:sz w:val="20"/>
    </w:rPr>
  </w:style>
  <w:style w:type="paragraph" w:styleId="TableofFigures">
    <w:name w:val="table of figures"/>
    <w:basedOn w:val="Normal"/>
    <w:next w:val="Normal"/>
    <w:rsid w:val="00EF1DEF"/>
    <w:pPr>
      <w:ind w:left="480" w:hanging="480"/>
    </w:pPr>
  </w:style>
  <w:style w:type="paragraph" w:styleId="EnvelopeAddress">
    <w:name w:val="envelope address"/>
    <w:basedOn w:val="Normal"/>
    <w:rsid w:val="00EF1DE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F1DEF"/>
    <w:rPr>
      <w:rFonts w:ascii="Arial" w:hAnsi="Arial" w:cs="Arial"/>
      <w:sz w:val="20"/>
    </w:rPr>
  </w:style>
  <w:style w:type="character" w:styleId="FootnoteReference">
    <w:name w:val="footnote reference"/>
    <w:basedOn w:val="DefaultParagraphFont"/>
    <w:rsid w:val="00EF1DEF"/>
    <w:rPr>
      <w:rFonts w:ascii="Times New Roman" w:hAnsi="Times New Roman"/>
      <w:sz w:val="20"/>
      <w:vertAlign w:val="superscript"/>
    </w:rPr>
  </w:style>
  <w:style w:type="character" w:styleId="CommentReference">
    <w:name w:val="annotation reference"/>
    <w:basedOn w:val="DefaultParagraphFont"/>
    <w:rsid w:val="00EF1DEF"/>
    <w:rPr>
      <w:sz w:val="16"/>
      <w:szCs w:val="16"/>
    </w:rPr>
  </w:style>
  <w:style w:type="character" w:styleId="PageNumber">
    <w:name w:val="page number"/>
    <w:basedOn w:val="DefaultParagraphFont"/>
    <w:rsid w:val="00EF1DEF"/>
  </w:style>
  <w:style w:type="character" w:styleId="EndnoteReference">
    <w:name w:val="endnote reference"/>
    <w:basedOn w:val="DefaultParagraphFont"/>
    <w:rsid w:val="00EF1DEF"/>
    <w:rPr>
      <w:vertAlign w:val="superscript"/>
    </w:rPr>
  </w:style>
  <w:style w:type="paragraph" w:styleId="EndnoteText">
    <w:name w:val="endnote text"/>
    <w:basedOn w:val="Normal"/>
    <w:link w:val="EndnoteTextChar"/>
    <w:rsid w:val="00EF1DEF"/>
    <w:rPr>
      <w:sz w:val="20"/>
    </w:rPr>
  </w:style>
  <w:style w:type="character" w:customStyle="1" w:styleId="EndnoteTextChar">
    <w:name w:val="Endnote Text Char"/>
    <w:basedOn w:val="DefaultParagraphFont"/>
    <w:link w:val="EndnoteText"/>
    <w:rsid w:val="00EF1DEF"/>
  </w:style>
  <w:style w:type="paragraph" w:styleId="TableofAuthorities">
    <w:name w:val="table of authorities"/>
    <w:basedOn w:val="Normal"/>
    <w:next w:val="Normal"/>
    <w:rsid w:val="00EF1DEF"/>
    <w:pPr>
      <w:ind w:left="240" w:hanging="240"/>
    </w:pPr>
  </w:style>
  <w:style w:type="paragraph" w:styleId="MacroText">
    <w:name w:val="macro"/>
    <w:link w:val="MacroTextChar"/>
    <w:rsid w:val="00EF1DE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F1DEF"/>
    <w:rPr>
      <w:rFonts w:ascii="Courier New" w:eastAsia="Times New Roman" w:hAnsi="Courier New" w:cs="Courier New"/>
      <w:lang w:eastAsia="en-AU"/>
    </w:rPr>
  </w:style>
  <w:style w:type="paragraph" w:styleId="TOAHeading">
    <w:name w:val="toa heading"/>
    <w:basedOn w:val="Normal"/>
    <w:next w:val="Normal"/>
    <w:rsid w:val="00EF1DEF"/>
    <w:pPr>
      <w:spacing w:before="120"/>
    </w:pPr>
    <w:rPr>
      <w:rFonts w:ascii="Arial" w:hAnsi="Arial" w:cs="Arial"/>
      <w:b/>
      <w:bCs/>
    </w:rPr>
  </w:style>
  <w:style w:type="paragraph" w:styleId="List">
    <w:name w:val="List"/>
    <w:basedOn w:val="Normal"/>
    <w:rsid w:val="00EF1DEF"/>
    <w:pPr>
      <w:ind w:left="283" w:hanging="283"/>
    </w:pPr>
  </w:style>
  <w:style w:type="paragraph" w:styleId="ListBullet">
    <w:name w:val="List Bullet"/>
    <w:basedOn w:val="Normal"/>
    <w:autoRedefine/>
    <w:rsid w:val="00EF1DEF"/>
    <w:pPr>
      <w:tabs>
        <w:tab w:val="num" w:pos="360"/>
      </w:tabs>
      <w:ind w:left="360" w:hanging="360"/>
    </w:pPr>
  </w:style>
  <w:style w:type="paragraph" w:styleId="ListNumber">
    <w:name w:val="List Number"/>
    <w:basedOn w:val="Normal"/>
    <w:rsid w:val="00EF1DEF"/>
    <w:pPr>
      <w:tabs>
        <w:tab w:val="num" w:pos="360"/>
      </w:tabs>
      <w:ind w:left="360" w:hanging="360"/>
    </w:pPr>
  </w:style>
  <w:style w:type="paragraph" w:styleId="List2">
    <w:name w:val="List 2"/>
    <w:basedOn w:val="Normal"/>
    <w:rsid w:val="00EF1DEF"/>
    <w:pPr>
      <w:ind w:left="566" w:hanging="283"/>
    </w:pPr>
  </w:style>
  <w:style w:type="paragraph" w:styleId="List3">
    <w:name w:val="List 3"/>
    <w:basedOn w:val="Normal"/>
    <w:rsid w:val="00EF1DEF"/>
    <w:pPr>
      <w:ind w:left="849" w:hanging="283"/>
    </w:pPr>
  </w:style>
  <w:style w:type="paragraph" w:styleId="List4">
    <w:name w:val="List 4"/>
    <w:basedOn w:val="Normal"/>
    <w:rsid w:val="00EF1DEF"/>
    <w:pPr>
      <w:ind w:left="1132" w:hanging="283"/>
    </w:pPr>
  </w:style>
  <w:style w:type="paragraph" w:styleId="List5">
    <w:name w:val="List 5"/>
    <w:basedOn w:val="Normal"/>
    <w:rsid w:val="00EF1DEF"/>
    <w:pPr>
      <w:ind w:left="1415" w:hanging="283"/>
    </w:pPr>
  </w:style>
  <w:style w:type="paragraph" w:styleId="ListBullet2">
    <w:name w:val="List Bullet 2"/>
    <w:basedOn w:val="Normal"/>
    <w:autoRedefine/>
    <w:rsid w:val="00EF1DEF"/>
    <w:pPr>
      <w:tabs>
        <w:tab w:val="num" w:pos="360"/>
      </w:tabs>
    </w:pPr>
  </w:style>
  <w:style w:type="paragraph" w:styleId="ListBullet3">
    <w:name w:val="List Bullet 3"/>
    <w:basedOn w:val="Normal"/>
    <w:autoRedefine/>
    <w:rsid w:val="00EF1DEF"/>
    <w:pPr>
      <w:tabs>
        <w:tab w:val="num" w:pos="926"/>
      </w:tabs>
      <w:ind w:left="926" w:hanging="360"/>
    </w:pPr>
  </w:style>
  <w:style w:type="paragraph" w:styleId="ListBullet4">
    <w:name w:val="List Bullet 4"/>
    <w:basedOn w:val="Normal"/>
    <w:autoRedefine/>
    <w:rsid w:val="00EF1DEF"/>
    <w:pPr>
      <w:tabs>
        <w:tab w:val="num" w:pos="1209"/>
      </w:tabs>
      <w:ind w:left="1209" w:hanging="360"/>
    </w:pPr>
  </w:style>
  <w:style w:type="paragraph" w:styleId="ListBullet5">
    <w:name w:val="List Bullet 5"/>
    <w:basedOn w:val="Normal"/>
    <w:autoRedefine/>
    <w:rsid w:val="00EF1DEF"/>
    <w:pPr>
      <w:tabs>
        <w:tab w:val="num" w:pos="1492"/>
      </w:tabs>
      <w:ind w:left="1492" w:hanging="360"/>
    </w:pPr>
  </w:style>
  <w:style w:type="paragraph" w:styleId="ListNumber2">
    <w:name w:val="List Number 2"/>
    <w:basedOn w:val="Normal"/>
    <w:rsid w:val="00EF1DEF"/>
    <w:pPr>
      <w:tabs>
        <w:tab w:val="num" w:pos="643"/>
      </w:tabs>
      <w:ind w:left="643" w:hanging="360"/>
    </w:pPr>
  </w:style>
  <w:style w:type="paragraph" w:styleId="ListNumber3">
    <w:name w:val="List Number 3"/>
    <w:basedOn w:val="Normal"/>
    <w:rsid w:val="00EF1DEF"/>
    <w:pPr>
      <w:tabs>
        <w:tab w:val="num" w:pos="926"/>
      </w:tabs>
      <w:ind w:left="926" w:hanging="360"/>
    </w:pPr>
  </w:style>
  <w:style w:type="paragraph" w:styleId="ListNumber4">
    <w:name w:val="List Number 4"/>
    <w:basedOn w:val="Normal"/>
    <w:rsid w:val="00EF1DEF"/>
    <w:pPr>
      <w:tabs>
        <w:tab w:val="num" w:pos="1209"/>
      </w:tabs>
      <w:ind w:left="1209" w:hanging="360"/>
    </w:pPr>
  </w:style>
  <w:style w:type="paragraph" w:styleId="ListNumber5">
    <w:name w:val="List Number 5"/>
    <w:basedOn w:val="Normal"/>
    <w:rsid w:val="00EF1DEF"/>
    <w:pPr>
      <w:tabs>
        <w:tab w:val="num" w:pos="1492"/>
      </w:tabs>
      <w:ind w:left="1492" w:hanging="360"/>
    </w:pPr>
  </w:style>
  <w:style w:type="paragraph" w:styleId="Title">
    <w:name w:val="Title"/>
    <w:basedOn w:val="Normal"/>
    <w:link w:val="TitleChar"/>
    <w:qFormat/>
    <w:rsid w:val="00EF1DEF"/>
    <w:pPr>
      <w:spacing w:before="240" w:after="60"/>
    </w:pPr>
    <w:rPr>
      <w:rFonts w:ascii="Arial" w:hAnsi="Arial" w:cs="Arial"/>
      <w:b/>
      <w:bCs/>
      <w:sz w:val="40"/>
      <w:szCs w:val="40"/>
    </w:rPr>
  </w:style>
  <w:style w:type="character" w:customStyle="1" w:styleId="TitleChar">
    <w:name w:val="Title Char"/>
    <w:basedOn w:val="DefaultParagraphFont"/>
    <w:link w:val="Title"/>
    <w:rsid w:val="00EF1DEF"/>
    <w:rPr>
      <w:rFonts w:ascii="Arial" w:hAnsi="Arial" w:cs="Arial"/>
      <w:b/>
      <w:bCs/>
      <w:sz w:val="40"/>
      <w:szCs w:val="40"/>
    </w:rPr>
  </w:style>
  <w:style w:type="paragraph" w:styleId="Closing">
    <w:name w:val="Closing"/>
    <w:basedOn w:val="Normal"/>
    <w:link w:val="ClosingChar"/>
    <w:rsid w:val="00EF1DEF"/>
    <w:pPr>
      <w:ind w:left="4252"/>
    </w:pPr>
  </w:style>
  <w:style w:type="character" w:customStyle="1" w:styleId="ClosingChar">
    <w:name w:val="Closing Char"/>
    <w:basedOn w:val="DefaultParagraphFont"/>
    <w:link w:val="Closing"/>
    <w:rsid w:val="00EF1DEF"/>
    <w:rPr>
      <w:sz w:val="22"/>
    </w:rPr>
  </w:style>
  <w:style w:type="paragraph" w:styleId="Signature">
    <w:name w:val="Signature"/>
    <w:basedOn w:val="Normal"/>
    <w:link w:val="SignatureChar"/>
    <w:rsid w:val="00EF1DEF"/>
    <w:pPr>
      <w:ind w:left="4252"/>
    </w:pPr>
  </w:style>
  <w:style w:type="character" w:customStyle="1" w:styleId="SignatureChar">
    <w:name w:val="Signature Char"/>
    <w:basedOn w:val="DefaultParagraphFont"/>
    <w:link w:val="Signature"/>
    <w:rsid w:val="00EF1DEF"/>
    <w:rPr>
      <w:sz w:val="22"/>
    </w:rPr>
  </w:style>
  <w:style w:type="paragraph" w:styleId="BodyText">
    <w:name w:val="Body Text"/>
    <w:basedOn w:val="Normal"/>
    <w:link w:val="BodyTextChar"/>
    <w:rsid w:val="00EF1DEF"/>
    <w:pPr>
      <w:spacing w:after="120"/>
    </w:pPr>
  </w:style>
  <w:style w:type="character" w:customStyle="1" w:styleId="BodyTextChar">
    <w:name w:val="Body Text Char"/>
    <w:basedOn w:val="DefaultParagraphFont"/>
    <w:link w:val="BodyText"/>
    <w:rsid w:val="00EF1DEF"/>
    <w:rPr>
      <w:sz w:val="22"/>
    </w:rPr>
  </w:style>
  <w:style w:type="paragraph" w:styleId="BodyTextIndent">
    <w:name w:val="Body Text Indent"/>
    <w:basedOn w:val="Normal"/>
    <w:link w:val="BodyTextIndentChar"/>
    <w:rsid w:val="00EF1DEF"/>
    <w:pPr>
      <w:spacing w:after="120"/>
      <w:ind w:left="283"/>
    </w:pPr>
  </w:style>
  <w:style w:type="character" w:customStyle="1" w:styleId="BodyTextIndentChar">
    <w:name w:val="Body Text Indent Char"/>
    <w:basedOn w:val="DefaultParagraphFont"/>
    <w:link w:val="BodyTextIndent"/>
    <w:rsid w:val="00EF1DEF"/>
    <w:rPr>
      <w:sz w:val="22"/>
    </w:rPr>
  </w:style>
  <w:style w:type="paragraph" w:styleId="ListContinue">
    <w:name w:val="List Continue"/>
    <w:basedOn w:val="Normal"/>
    <w:rsid w:val="00EF1DEF"/>
    <w:pPr>
      <w:spacing w:after="120"/>
      <w:ind w:left="283"/>
    </w:pPr>
  </w:style>
  <w:style w:type="paragraph" w:styleId="ListContinue2">
    <w:name w:val="List Continue 2"/>
    <w:basedOn w:val="Normal"/>
    <w:rsid w:val="00EF1DEF"/>
    <w:pPr>
      <w:spacing w:after="120"/>
      <w:ind w:left="566"/>
    </w:pPr>
  </w:style>
  <w:style w:type="paragraph" w:styleId="ListContinue3">
    <w:name w:val="List Continue 3"/>
    <w:basedOn w:val="Normal"/>
    <w:rsid w:val="00EF1DEF"/>
    <w:pPr>
      <w:spacing w:after="120"/>
      <w:ind w:left="849"/>
    </w:pPr>
  </w:style>
  <w:style w:type="paragraph" w:styleId="ListContinue4">
    <w:name w:val="List Continue 4"/>
    <w:basedOn w:val="Normal"/>
    <w:rsid w:val="00EF1DEF"/>
    <w:pPr>
      <w:spacing w:after="120"/>
      <w:ind w:left="1132"/>
    </w:pPr>
  </w:style>
  <w:style w:type="paragraph" w:styleId="ListContinue5">
    <w:name w:val="List Continue 5"/>
    <w:basedOn w:val="Normal"/>
    <w:rsid w:val="00EF1DEF"/>
    <w:pPr>
      <w:spacing w:after="120"/>
      <w:ind w:left="1415"/>
    </w:pPr>
  </w:style>
  <w:style w:type="paragraph" w:styleId="MessageHeader">
    <w:name w:val="Message Header"/>
    <w:basedOn w:val="Normal"/>
    <w:link w:val="MessageHeaderChar"/>
    <w:rsid w:val="00EF1DE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F1DEF"/>
    <w:rPr>
      <w:rFonts w:ascii="Arial" w:hAnsi="Arial" w:cs="Arial"/>
      <w:sz w:val="22"/>
      <w:shd w:val="pct20" w:color="auto" w:fill="auto"/>
    </w:rPr>
  </w:style>
  <w:style w:type="paragraph" w:styleId="Subtitle">
    <w:name w:val="Subtitle"/>
    <w:basedOn w:val="Normal"/>
    <w:link w:val="SubtitleChar"/>
    <w:qFormat/>
    <w:rsid w:val="00EF1DEF"/>
    <w:pPr>
      <w:spacing w:after="60"/>
      <w:jc w:val="center"/>
      <w:outlineLvl w:val="1"/>
    </w:pPr>
    <w:rPr>
      <w:rFonts w:ascii="Arial" w:hAnsi="Arial" w:cs="Arial"/>
    </w:rPr>
  </w:style>
  <w:style w:type="character" w:customStyle="1" w:styleId="SubtitleChar">
    <w:name w:val="Subtitle Char"/>
    <w:basedOn w:val="DefaultParagraphFont"/>
    <w:link w:val="Subtitle"/>
    <w:rsid w:val="00EF1DEF"/>
    <w:rPr>
      <w:rFonts w:ascii="Arial" w:hAnsi="Arial" w:cs="Arial"/>
      <w:sz w:val="22"/>
    </w:rPr>
  </w:style>
  <w:style w:type="paragraph" w:styleId="Salutation">
    <w:name w:val="Salutation"/>
    <w:basedOn w:val="Normal"/>
    <w:next w:val="Normal"/>
    <w:link w:val="SalutationChar"/>
    <w:rsid w:val="00EF1DEF"/>
  </w:style>
  <w:style w:type="character" w:customStyle="1" w:styleId="SalutationChar">
    <w:name w:val="Salutation Char"/>
    <w:basedOn w:val="DefaultParagraphFont"/>
    <w:link w:val="Salutation"/>
    <w:rsid w:val="00EF1DEF"/>
    <w:rPr>
      <w:sz w:val="22"/>
    </w:rPr>
  </w:style>
  <w:style w:type="paragraph" w:styleId="Date">
    <w:name w:val="Date"/>
    <w:basedOn w:val="Normal"/>
    <w:next w:val="Normal"/>
    <w:link w:val="DateChar"/>
    <w:rsid w:val="00EF1DEF"/>
  </w:style>
  <w:style w:type="character" w:customStyle="1" w:styleId="DateChar">
    <w:name w:val="Date Char"/>
    <w:basedOn w:val="DefaultParagraphFont"/>
    <w:link w:val="Date"/>
    <w:rsid w:val="00EF1DEF"/>
    <w:rPr>
      <w:sz w:val="22"/>
    </w:rPr>
  </w:style>
  <w:style w:type="paragraph" w:styleId="BodyTextFirstIndent">
    <w:name w:val="Body Text First Indent"/>
    <w:basedOn w:val="BodyText"/>
    <w:link w:val="BodyTextFirstIndentChar"/>
    <w:rsid w:val="00EF1DEF"/>
    <w:pPr>
      <w:ind w:firstLine="210"/>
    </w:pPr>
  </w:style>
  <w:style w:type="character" w:customStyle="1" w:styleId="BodyTextFirstIndentChar">
    <w:name w:val="Body Text First Indent Char"/>
    <w:basedOn w:val="BodyTextChar"/>
    <w:link w:val="BodyTextFirstIndent"/>
    <w:rsid w:val="00EF1DEF"/>
    <w:rPr>
      <w:sz w:val="22"/>
    </w:rPr>
  </w:style>
  <w:style w:type="paragraph" w:styleId="BodyTextFirstIndent2">
    <w:name w:val="Body Text First Indent 2"/>
    <w:basedOn w:val="BodyTextIndent"/>
    <w:link w:val="BodyTextFirstIndent2Char"/>
    <w:rsid w:val="00EF1DEF"/>
    <w:pPr>
      <w:ind w:firstLine="210"/>
    </w:pPr>
  </w:style>
  <w:style w:type="character" w:customStyle="1" w:styleId="BodyTextFirstIndent2Char">
    <w:name w:val="Body Text First Indent 2 Char"/>
    <w:basedOn w:val="BodyTextIndentChar"/>
    <w:link w:val="BodyTextFirstIndent2"/>
    <w:rsid w:val="00EF1DEF"/>
    <w:rPr>
      <w:sz w:val="22"/>
    </w:rPr>
  </w:style>
  <w:style w:type="paragraph" w:styleId="BodyText2">
    <w:name w:val="Body Text 2"/>
    <w:basedOn w:val="Normal"/>
    <w:link w:val="BodyText2Char"/>
    <w:rsid w:val="00EF1DEF"/>
    <w:pPr>
      <w:spacing w:after="120" w:line="480" w:lineRule="auto"/>
    </w:pPr>
  </w:style>
  <w:style w:type="character" w:customStyle="1" w:styleId="BodyText2Char">
    <w:name w:val="Body Text 2 Char"/>
    <w:basedOn w:val="DefaultParagraphFont"/>
    <w:link w:val="BodyText2"/>
    <w:rsid w:val="00EF1DEF"/>
    <w:rPr>
      <w:sz w:val="22"/>
    </w:rPr>
  </w:style>
  <w:style w:type="paragraph" w:styleId="BodyText3">
    <w:name w:val="Body Text 3"/>
    <w:basedOn w:val="Normal"/>
    <w:link w:val="BodyText3Char"/>
    <w:rsid w:val="00EF1DEF"/>
    <w:pPr>
      <w:spacing w:after="120"/>
    </w:pPr>
    <w:rPr>
      <w:sz w:val="16"/>
      <w:szCs w:val="16"/>
    </w:rPr>
  </w:style>
  <w:style w:type="character" w:customStyle="1" w:styleId="BodyText3Char">
    <w:name w:val="Body Text 3 Char"/>
    <w:basedOn w:val="DefaultParagraphFont"/>
    <w:link w:val="BodyText3"/>
    <w:rsid w:val="00EF1DEF"/>
    <w:rPr>
      <w:sz w:val="16"/>
      <w:szCs w:val="16"/>
    </w:rPr>
  </w:style>
  <w:style w:type="paragraph" w:styleId="BodyTextIndent2">
    <w:name w:val="Body Text Indent 2"/>
    <w:basedOn w:val="Normal"/>
    <w:link w:val="BodyTextIndent2Char"/>
    <w:rsid w:val="00EF1DEF"/>
    <w:pPr>
      <w:spacing w:after="120" w:line="480" w:lineRule="auto"/>
      <w:ind w:left="283"/>
    </w:pPr>
  </w:style>
  <w:style w:type="character" w:customStyle="1" w:styleId="BodyTextIndent2Char">
    <w:name w:val="Body Text Indent 2 Char"/>
    <w:basedOn w:val="DefaultParagraphFont"/>
    <w:link w:val="BodyTextIndent2"/>
    <w:rsid w:val="00EF1DEF"/>
    <w:rPr>
      <w:sz w:val="22"/>
    </w:rPr>
  </w:style>
  <w:style w:type="paragraph" w:styleId="BodyTextIndent3">
    <w:name w:val="Body Text Indent 3"/>
    <w:basedOn w:val="Normal"/>
    <w:link w:val="BodyTextIndent3Char"/>
    <w:rsid w:val="00EF1DEF"/>
    <w:pPr>
      <w:spacing w:after="120"/>
      <w:ind w:left="283"/>
    </w:pPr>
    <w:rPr>
      <w:sz w:val="16"/>
      <w:szCs w:val="16"/>
    </w:rPr>
  </w:style>
  <w:style w:type="character" w:customStyle="1" w:styleId="BodyTextIndent3Char">
    <w:name w:val="Body Text Indent 3 Char"/>
    <w:basedOn w:val="DefaultParagraphFont"/>
    <w:link w:val="BodyTextIndent3"/>
    <w:rsid w:val="00EF1DEF"/>
    <w:rPr>
      <w:sz w:val="16"/>
      <w:szCs w:val="16"/>
    </w:rPr>
  </w:style>
  <w:style w:type="paragraph" w:styleId="BlockText">
    <w:name w:val="Block Text"/>
    <w:basedOn w:val="Normal"/>
    <w:rsid w:val="00EF1DEF"/>
    <w:pPr>
      <w:spacing w:after="120"/>
      <w:ind w:left="1440" w:right="1440"/>
    </w:pPr>
  </w:style>
  <w:style w:type="character" w:styleId="Hyperlink">
    <w:name w:val="Hyperlink"/>
    <w:basedOn w:val="DefaultParagraphFont"/>
    <w:rsid w:val="00EF1DEF"/>
    <w:rPr>
      <w:color w:val="0000FF"/>
      <w:u w:val="single"/>
    </w:rPr>
  </w:style>
  <w:style w:type="character" w:styleId="FollowedHyperlink">
    <w:name w:val="FollowedHyperlink"/>
    <w:basedOn w:val="DefaultParagraphFont"/>
    <w:rsid w:val="00EF1DEF"/>
    <w:rPr>
      <w:color w:val="800080"/>
      <w:u w:val="single"/>
    </w:rPr>
  </w:style>
  <w:style w:type="character" w:styleId="Strong">
    <w:name w:val="Strong"/>
    <w:basedOn w:val="DefaultParagraphFont"/>
    <w:qFormat/>
    <w:rsid w:val="00EF1DEF"/>
    <w:rPr>
      <w:b/>
      <w:bCs/>
    </w:rPr>
  </w:style>
  <w:style w:type="character" w:styleId="Emphasis">
    <w:name w:val="Emphasis"/>
    <w:basedOn w:val="DefaultParagraphFont"/>
    <w:qFormat/>
    <w:rsid w:val="00EF1DEF"/>
    <w:rPr>
      <w:i/>
      <w:iCs/>
    </w:rPr>
  </w:style>
  <w:style w:type="paragraph" w:styleId="DocumentMap">
    <w:name w:val="Document Map"/>
    <w:basedOn w:val="Normal"/>
    <w:link w:val="DocumentMapChar"/>
    <w:rsid w:val="00EF1DEF"/>
    <w:pPr>
      <w:shd w:val="clear" w:color="auto" w:fill="000080"/>
    </w:pPr>
    <w:rPr>
      <w:rFonts w:ascii="Tahoma" w:hAnsi="Tahoma" w:cs="Tahoma"/>
    </w:rPr>
  </w:style>
  <w:style w:type="character" w:customStyle="1" w:styleId="DocumentMapChar">
    <w:name w:val="Document Map Char"/>
    <w:basedOn w:val="DefaultParagraphFont"/>
    <w:link w:val="DocumentMap"/>
    <w:rsid w:val="00EF1DEF"/>
    <w:rPr>
      <w:rFonts w:ascii="Tahoma" w:hAnsi="Tahoma" w:cs="Tahoma"/>
      <w:sz w:val="22"/>
      <w:shd w:val="clear" w:color="auto" w:fill="000080"/>
    </w:rPr>
  </w:style>
  <w:style w:type="paragraph" w:styleId="PlainText">
    <w:name w:val="Plain Text"/>
    <w:basedOn w:val="Normal"/>
    <w:link w:val="PlainTextChar"/>
    <w:rsid w:val="00EF1DEF"/>
    <w:rPr>
      <w:rFonts w:ascii="Courier New" w:hAnsi="Courier New" w:cs="Courier New"/>
      <w:sz w:val="20"/>
    </w:rPr>
  </w:style>
  <w:style w:type="character" w:customStyle="1" w:styleId="PlainTextChar">
    <w:name w:val="Plain Text Char"/>
    <w:basedOn w:val="DefaultParagraphFont"/>
    <w:link w:val="PlainText"/>
    <w:rsid w:val="00EF1DEF"/>
    <w:rPr>
      <w:rFonts w:ascii="Courier New" w:hAnsi="Courier New" w:cs="Courier New"/>
    </w:rPr>
  </w:style>
  <w:style w:type="paragraph" w:styleId="E-mailSignature">
    <w:name w:val="E-mail Signature"/>
    <w:basedOn w:val="Normal"/>
    <w:link w:val="E-mailSignatureChar"/>
    <w:rsid w:val="00EF1DEF"/>
  </w:style>
  <w:style w:type="character" w:customStyle="1" w:styleId="E-mailSignatureChar">
    <w:name w:val="E-mail Signature Char"/>
    <w:basedOn w:val="DefaultParagraphFont"/>
    <w:link w:val="E-mailSignature"/>
    <w:rsid w:val="00EF1DEF"/>
    <w:rPr>
      <w:sz w:val="22"/>
    </w:rPr>
  </w:style>
  <w:style w:type="paragraph" w:styleId="NormalWeb">
    <w:name w:val="Normal (Web)"/>
    <w:basedOn w:val="Normal"/>
    <w:rsid w:val="00EF1DEF"/>
  </w:style>
  <w:style w:type="character" w:styleId="HTMLAcronym">
    <w:name w:val="HTML Acronym"/>
    <w:basedOn w:val="DefaultParagraphFont"/>
    <w:rsid w:val="00EF1DEF"/>
  </w:style>
  <w:style w:type="paragraph" w:styleId="HTMLAddress">
    <w:name w:val="HTML Address"/>
    <w:basedOn w:val="Normal"/>
    <w:link w:val="HTMLAddressChar"/>
    <w:rsid w:val="00EF1DEF"/>
    <w:rPr>
      <w:i/>
      <w:iCs/>
    </w:rPr>
  </w:style>
  <w:style w:type="character" w:customStyle="1" w:styleId="HTMLAddressChar">
    <w:name w:val="HTML Address Char"/>
    <w:basedOn w:val="DefaultParagraphFont"/>
    <w:link w:val="HTMLAddress"/>
    <w:rsid w:val="00EF1DEF"/>
    <w:rPr>
      <w:i/>
      <w:iCs/>
      <w:sz w:val="22"/>
    </w:rPr>
  </w:style>
  <w:style w:type="character" w:styleId="HTMLCite">
    <w:name w:val="HTML Cite"/>
    <w:basedOn w:val="DefaultParagraphFont"/>
    <w:rsid w:val="00EF1DEF"/>
    <w:rPr>
      <w:i/>
      <w:iCs/>
    </w:rPr>
  </w:style>
  <w:style w:type="character" w:styleId="HTMLCode">
    <w:name w:val="HTML Code"/>
    <w:basedOn w:val="DefaultParagraphFont"/>
    <w:rsid w:val="00EF1DEF"/>
    <w:rPr>
      <w:rFonts w:ascii="Courier New" w:hAnsi="Courier New" w:cs="Courier New"/>
      <w:sz w:val="20"/>
      <w:szCs w:val="20"/>
    </w:rPr>
  </w:style>
  <w:style w:type="character" w:styleId="HTMLDefinition">
    <w:name w:val="HTML Definition"/>
    <w:basedOn w:val="DefaultParagraphFont"/>
    <w:rsid w:val="00EF1DEF"/>
    <w:rPr>
      <w:i/>
      <w:iCs/>
    </w:rPr>
  </w:style>
  <w:style w:type="character" w:styleId="HTMLKeyboard">
    <w:name w:val="HTML Keyboard"/>
    <w:basedOn w:val="DefaultParagraphFont"/>
    <w:rsid w:val="00EF1DEF"/>
    <w:rPr>
      <w:rFonts w:ascii="Courier New" w:hAnsi="Courier New" w:cs="Courier New"/>
      <w:sz w:val="20"/>
      <w:szCs w:val="20"/>
    </w:rPr>
  </w:style>
  <w:style w:type="paragraph" w:styleId="HTMLPreformatted">
    <w:name w:val="HTML Preformatted"/>
    <w:basedOn w:val="Normal"/>
    <w:link w:val="HTMLPreformattedChar"/>
    <w:rsid w:val="00EF1DEF"/>
    <w:rPr>
      <w:rFonts w:ascii="Courier New" w:hAnsi="Courier New" w:cs="Courier New"/>
      <w:sz w:val="20"/>
    </w:rPr>
  </w:style>
  <w:style w:type="character" w:customStyle="1" w:styleId="HTMLPreformattedChar">
    <w:name w:val="HTML Preformatted Char"/>
    <w:basedOn w:val="DefaultParagraphFont"/>
    <w:link w:val="HTMLPreformatted"/>
    <w:rsid w:val="00EF1DEF"/>
    <w:rPr>
      <w:rFonts w:ascii="Courier New" w:hAnsi="Courier New" w:cs="Courier New"/>
    </w:rPr>
  </w:style>
  <w:style w:type="character" w:styleId="HTMLSample">
    <w:name w:val="HTML Sample"/>
    <w:basedOn w:val="DefaultParagraphFont"/>
    <w:rsid w:val="00EF1DEF"/>
    <w:rPr>
      <w:rFonts w:ascii="Courier New" w:hAnsi="Courier New" w:cs="Courier New"/>
    </w:rPr>
  </w:style>
  <w:style w:type="character" w:styleId="HTMLTypewriter">
    <w:name w:val="HTML Typewriter"/>
    <w:basedOn w:val="DefaultParagraphFont"/>
    <w:rsid w:val="00EF1DEF"/>
    <w:rPr>
      <w:rFonts w:ascii="Courier New" w:hAnsi="Courier New" w:cs="Courier New"/>
      <w:sz w:val="20"/>
      <w:szCs w:val="20"/>
    </w:rPr>
  </w:style>
  <w:style w:type="character" w:styleId="HTMLVariable">
    <w:name w:val="HTML Variable"/>
    <w:basedOn w:val="DefaultParagraphFont"/>
    <w:rsid w:val="00EF1DEF"/>
    <w:rPr>
      <w:i/>
      <w:iCs/>
    </w:rPr>
  </w:style>
  <w:style w:type="paragraph" w:styleId="CommentSubject">
    <w:name w:val="annotation subject"/>
    <w:basedOn w:val="CommentText"/>
    <w:next w:val="CommentText"/>
    <w:link w:val="CommentSubjectChar"/>
    <w:rsid w:val="00EF1DEF"/>
    <w:rPr>
      <w:b/>
      <w:bCs/>
    </w:rPr>
  </w:style>
  <w:style w:type="character" w:customStyle="1" w:styleId="CommentSubjectChar">
    <w:name w:val="Comment Subject Char"/>
    <w:basedOn w:val="CommentTextChar"/>
    <w:link w:val="CommentSubject"/>
    <w:rsid w:val="00EF1DEF"/>
    <w:rPr>
      <w:b/>
      <w:bCs/>
    </w:rPr>
  </w:style>
  <w:style w:type="numbering" w:styleId="1ai">
    <w:name w:val="Outline List 1"/>
    <w:basedOn w:val="NoList"/>
    <w:rsid w:val="00EF1DEF"/>
    <w:pPr>
      <w:numPr>
        <w:numId w:val="14"/>
      </w:numPr>
    </w:pPr>
  </w:style>
  <w:style w:type="numbering" w:styleId="111111">
    <w:name w:val="Outline List 2"/>
    <w:basedOn w:val="NoList"/>
    <w:rsid w:val="00EF1DEF"/>
    <w:pPr>
      <w:numPr>
        <w:numId w:val="15"/>
      </w:numPr>
    </w:pPr>
  </w:style>
  <w:style w:type="numbering" w:styleId="ArticleSection">
    <w:name w:val="Outline List 3"/>
    <w:basedOn w:val="NoList"/>
    <w:rsid w:val="00EF1DEF"/>
    <w:pPr>
      <w:numPr>
        <w:numId w:val="17"/>
      </w:numPr>
    </w:pPr>
  </w:style>
  <w:style w:type="table" w:styleId="TableSimple1">
    <w:name w:val="Table Simple 1"/>
    <w:basedOn w:val="TableNormal"/>
    <w:rsid w:val="00EF1DE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F1DE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F1D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F1DE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F1DE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F1DE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F1DE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F1DE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F1DE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F1DE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F1DE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F1DE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F1DE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F1DE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F1DE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F1DE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F1DE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F1DE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F1DE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F1D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F1D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F1DE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F1DE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F1DE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F1DE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F1DE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F1DE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F1DE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F1DE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F1DE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F1DE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F1DE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F1DE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F1DE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F1DE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F1DE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F1DE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F1DE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F1DE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F1DE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F1DE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F1DE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F1DE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F1DEF"/>
    <w:rPr>
      <w:rFonts w:eastAsia="Times New Roman" w:cs="Times New Roman"/>
      <w:b/>
      <w:kern w:val="28"/>
      <w:sz w:val="24"/>
      <w:lang w:eastAsia="en-AU"/>
    </w:rPr>
  </w:style>
  <w:style w:type="character" w:customStyle="1" w:styleId="ItemChar">
    <w:name w:val="Item Char"/>
    <w:aliases w:val="i Char"/>
    <w:basedOn w:val="DefaultParagraphFont"/>
    <w:link w:val="Item"/>
    <w:rsid w:val="00F65930"/>
    <w:rPr>
      <w:rFonts w:eastAsia="Times New Roman" w:cs="Times New Roman"/>
      <w:sz w:val="22"/>
      <w:lang w:eastAsia="en-AU"/>
    </w:rPr>
  </w:style>
  <w:style w:type="character" w:customStyle="1" w:styleId="paragraphChar">
    <w:name w:val="paragraph Char"/>
    <w:aliases w:val="a Char"/>
    <w:link w:val="paragraph"/>
    <w:rsid w:val="00F65930"/>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6DF4-6E7B-4AE1-BF1D-AF390639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33</Pages>
  <Words>8894</Words>
  <Characters>43848</Characters>
  <Application>Microsoft Office Word</Application>
  <DocSecurity>0</DocSecurity>
  <PresentationFormat/>
  <Lines>3654</Lines>
  <Paragraphs>1648</Paragraphs>
  <ScaleCrop>false</ScaleCrop>
  <HeadingPairs>
    <vt:vector size="2" baseType="variant">
      <vt:variant>
        <vt:lpstr>Title</vt:lpstr>
      </vt:variant>
      <vt:variant>
        <vt:i4>1</vt:i4>
      </vt:variant>
    </vt:vector>
  </HeadingPairs>
  <TitlesOfParts>
    <vt:vector size="1" baseType="lpstr">
      <vt:lpstr>Therapeutic Goods Legislation Amendment (2021 Measures No. 3) Regulations 2021</vt:lpstr>
    </vt:vector>
  </TitlesOfParts>
  <Manager/>
  <Company/>
  <LinksUpToDate>false</LinksUpToDate>
  <CharactersWithSpaces>51094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2021-10-25T05:56:00Z</dcterms:created>
  <dcterms:modified xsi:type="dcterms:W3CDTF">2021-10-28T05:37:00Z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Therapeutic Goods Legislation Amendment (2021 Measures No. 3)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28 October 2021</vt:lpwstr>
  </property>
  <property fmtid="{D5CDD505-2E9C-101B-9397-08002B2CF9AE}" pid="10" name="ID">
    <vt:lpwstr>OPC65171</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28 October 2021</vt:lpwstr>
  </property>
</Properties>
</file>