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DCBBC5" w14:textId="77777777" w:rsidR="007231B2" w:rsidRPr="005327F5" w:rsidRDefault="007231B2" w:rsidP="007231B2">
      <w:pPr>
        <w:jc w:val="center"/>
        <w:rPr>
          <w:rFonts w:ascii="Times New Roman" w:hAnsi="Times New Roman"/>
          <w:b/>
          <w:szCs w:val="24"/>
          <w:u w:val="single"/>
        </w:rPr>
      </w:pPr>
      <w:r w:rsidRPr="005327F5">
        <w:rPr>
          <w:rFonts w:ascii="Times New Roman" w:hAnsi="Times New Roman"/>
          <w:b/>
          <w:szCs w:val="24"/>
          <w:u w:val="single"/>
        </w:rPr>
        <w:t>EXPLANATORY STATEMENT</w:t>
      </w:r>
    </w:p>
    <w:p w14:paraId="061C5AB3" w14:textId="77777777" w:rsidR="007231B2" w:rsidRPr="005327F5" w:rsidRDefault="007231B2" w:rsidP="007231B2">
      <w:pPr>
        <w:rPr>
          <w:rFonts w:ascii="Times New Roman" w:hAnsi="Times New Roman"/>
          <w:b/>
          <w:szCs w:val="24"/>
        </w:rPr>
      </w:pPr>
    </w:p>
    <w:p w14:paraId="08D0283F" w14:textId="77777777" w:rsidR="007231B2" w:rsidRPr="005C529F" w:rsidRDefault="007231B2" w:rsidP="007231B2">
      <w:pPr>
        <w:jc w:val="center"/>
        <w:rPr>
          <w:rFonts w:ascii="Times New Roman" w:hAnsi="Times New Roman"/>
          <w:sz w:val="22"/>
          <w:szCs w:val="22"/>
          <w:u w:val="single"/>
        </w:rPr>
      </w:pPr>
      <w:r w:rsidRPr="005C529F">
        <w:rPr>
          <w:rFonts w:ascii="Times New Roman" w:hAnsi="Times New Roman"/>
          <w:i/>
          <w:sz w:val="22"/>
          <w:szCs w:val="22"/>
        </w:rPr>
        <w:t>Therapeutic Goods Act 1989</w:t>
      </w:r>
    </w:p>
    <w:p w14:paraId="34A4BA9A" w14:textId="77777777" w:rsidR="007231B2" w:rsidRPr="005C529F" w:rsidRDefault="007231B2" w:rsidP="007231B2">
      <w:pPr>
        <w:rPr>
          <w:rFonts w:ascii="Times New Roman" w:hAnsi="Times New Roman"/>
          <w:sz w:val="22"/>
          <w:szCs w:val="22"/>
          <w:u w:val="single"/>
        </w:rPr>
      </w:pPr>
    </w:p>
    <w:p w14:paraId="2E9764E3" w14:textId="418E3863" w:rsidR="002757A6" w:rsidRPr="005C529F" w:rsidRDefault="00CD6487" w:rsidP="007231B2">
      <w:pPr>
        <w:jc w:val="center"/>
        <w:rPr>
          <w:rFonts w:ascii="Times New Roman" w:hAnsi="Times New Roman"/>
          <w:i/>
          <w:sz w:val="22"/>
          <w:szCs w:val="22"/>
        </w:rPr>
      </w:pPr>
      <w:bookmarkStart w:id="0" w:name="_Hlk86061206"/>
      <w:r w:rsidRPr="005C529F">
        <w:rPr>
          <w:rFonts w:ascii="Times New Roman" w:hAnsi="Times New Roman"/>
          <w:i/>
          <w:sz w:val="22"/>
          <w:szCs w:val="22"/>
        </w:rPr>
        <w:t>Therapeutic Goods (</w:t>
      </w:r>
      <w:bookmarkStart w:id="1" w:name="_Hlk85533196"/>
      <w:r w:rsidR="005C529F" w:rsidRPr="005C529F">
        <w:rPr>
          <w:rFonts w:ascii="Times New Roman" w:hAnsi="Times New Roman"/>
          <w:i/>
          <w:sz w:val="22"/>
          <w:szCs w:val="22"/>
        </w:rPr>
        <w:t>Prescription</w:t>
      </w:r>
      <w:r w:rsidR="004B7DFF" w:rsidRPr="005C529F">
        <w:rPr>
          <w:rFonts w:ascii="Times New Roman" w:hAnsi="Times New Roman"/>
          <w:i/>
          <w:sz w:val="22"/>
          <w:szCs w:val="22"/>
        </w:rPr>
        <w:t xml:space="preserve"> </w:t>
      </w:r>
      <w:r w:rsidRPr="005C529F">
        <w:rPr>
          <w:rFonts w:ascii="Times New Roman" w:hAnsi="Times New Roman"/>
          <w:i/>
          <w:sz w:val="22"/>
          <w:szCs w:val="22"/>
        </w:rPr>
        <w:t>Medicines—Information Accompany</w:t>
      </w:r>
      <w:r w:rsidR="005C529F" w:rsidRPr="005C529F">
        <w:rPr>
          <w:rFonts w:ascii="Times New Roman" w:hAnsi="Times New Roman"/>
          <w:i/>
          <w:sz w:val="22"/>
          <w:szCs w:val="22"/>
        </w:rPr>
        <w:t>ing</w:t>
      </w:r>
      <w:r w:rsidRPr="005C529F">
        <w:rPr>
          <w:rFonts w:ascii="Times New Roman" w:hAnsi="Times New Roman"/>
          <w:i/>
          <w:sz w:val="22"/>
          <w:szCs w:val="22"/>
        </w:rPr>
        <w:t xml:space="preserve"> Application</w:t>
      </w:r>
      <w:r w:rsidR="005C529F" w:rsidRPr="005C529F">
        <w:rPr>
          <w:rFonts w:ascii="Times New Roman" w:hAnsi="Times New Roman"/>
          <w:i/>
          <w:sz w:val="22"/>
          <w:szCs w:val="22"/>
        </w:rPr>
        <w:t>s</w:t>
      </w:r>
      <w:r w:rsidRPr="005C529F">
        <w:rPr>
          <w:rFonts w:ascii="Times New Roman" w:hAnsi="Times New Roman"/>
          <w:i/>
          <w:sz w:val="22"/>
          <w:szCs w:val="22"/>
        </w:rPr>
        <w:t xml:space="preserve"> for Registration) Determination 20</w:t>
      </w:r>
      <w:r w:rsidR="005C529F" w:rsidRPr="005C529F">
        <w:rPr>
          <w:rFonts w:ascii="Times New Roman" w:hAnsi="Times New Roman"/>
          <w:i/>
          <w:sz w:val="22"/>
          <w:szCs w:val="22"/>
        </w:rPr>
        <w:t>21</w:t>
      </w:r>
      <w:bookmarkEnd w:id="1"/>
    </w:p>
    <w:bookmarkEnd w:id="0"/>
    <w:p w14:paraId="01062220" w14:textId="77777777" w:rsidR="00CD6487" w:rsidRPr="005C529F" w:rsidRDefault="00CD6487" w:rsidP="007231B2">
      <w:pPr>
        <w:jc w:val="center"/>
        <w:rPr>
          <w:rFonts w:ascii="Times New Roman" w:hAnsi="Times New Roman"/>
          <w:b/>
          <w:sz w:val="22"/>
          <w:szCs w:val="22"/>
        </w:rPr>
      </w:pPr>
    </w:p>
    <w:p w14:paraId="399E49BC" w14:textId="17444276" w:rsidR="007231B2" w:rsidRPr="00E876EF" w:rsidRDefault="005C529F" w:rsidP="007231B2">
      <w:pPr>
        <w:autoSpaceDE w:val="0"/>
        <w:autoSpaceDN w:val="0"/>
        <w:adjustRightInd w:val="0"/>
        <w:rPr>
          <w:rFonts w:ascii="Times New Roman" w:hAnsi="Times New Roman"/>
          <w:sz w:val="22"/>
          <w:szCs w:val="22"/>
        </w:rPr>
      </w:pPr>
      <w:r w:rsidRPr="00E876EF">
        <w:rPr>
          <w:rFonts w:ascii="Times New Roman" w:hAnsi="Times New Roman"/>
          <w:sz w:val="22"/>
          <w:szCs w:val="22"/>
        </w:rPr>
        <w:t xml:space="preserve">The </w:t>
      </w:r>
      <w:r w:rsidRPr="00E876EF">
        <w:rPr>
          <w:rFonts w:ascii="Times New Roman" w:hAnsi="Times New Roman"/>
          <w:i/>
          <w:sz w:val="22"/>
          <w:szCs w:val="22"/>
        </w:rPr>
        <w:t>Therapeutic Goods Act 1989</w:t>
      </w:r>
      <w:r w:rsidRPr="00E876EF">
        <w:rPr>
          <w:rFonts w:ascii="Times New Roman" w:hAnsi="Times New Roman"/>
          <w:sz w:val="22"/>
          <w:szCs w:val="22"/>
        </w:rPr>
        <w:t xml:space="preserve"> (“the Act”) provides for the establishment and maintenance of a national system of controls for the quality, safety, efficacy and timely availability of therapeutic goods that are used in or exported from Australia. </w:t>
      </w:r>
      <w:r w:rsidR="002714A7">
        <w:rPr>
          <w:rFonts w:ascii="Times New Roman" w:hAnsi="Times New Roman"/>
          <w:sz w:val="22"/>
          <w:szCs w:val="22"/>
        </w:rPr>
        <w:t xml:space="preserve"> </w:t>
      </w:r>
      <w:r w:rsidRPr="00E876EF">
        <w:rPr>
          <w:rFonts w:ascii="Times New Roman" w:hAnsi="Times New Roman"/>
          <w:sz w:val="22"/>
          <w:szCs w:val="22"/>
        </w:rPr>
        <w:t>The Act is administered by the Therapeutic Goods Administration (“the TGA”) within the Australian Government Department of Health.</w:t>
      </w:r>
    </w:p>
    <w:p w14:paraId="21B414C8" w14:textId="77777777" w:rsidR="005C529F" w:rsidRPr="00E876EF" w:rsidRDefault="005C529F" w:rsidP="007231B2">
      <w:pPr>
        <w:autoSpaceDE w:val="0"/>
        <w:autoSpaceDN w:val="0"/>
        <w:adjustRightInd w:val="0"/>
        <w:rPr>
          <w:rFonts w:ascii="Times New Roman" w:hAnsi="Times New Roman"/>
          <w:sz w:val="22"/>
          <w:szCs w:val="22"/>
        </w:rPr>
      </w:pPr>
    </w:p>
    <w:p w14:paraId="2DDAA4B3" w14:textId="075686CD" w:rsidR="00E44DB1" w:rsidRPr="005C529F" w:rsidRDefault="00C45F4D" w:rsidP="002714A7">
      <w:pPr>
        <w:rPr>
          <w:rFonts w:ascii="Times New Roman" w:hAnsi="Times New Roman"/>
          <w:sz w:val="22"/>
          <w:szCs w:val="22"/>
        </w:rPr>
      </w:pPr>
      <w:r w:rsidRPr="00E876EF">
        <w:rPr>
          <w:rFonts w:ascii="Times New Roman" w:hAnsi="Times New Roman"/>
          <w:sz w:val="22"/>
          <w:szCs w:val="22"/>
        </w:rPr>
        <w:t xml:space="preserve">The </w:t>
      </w:r>
      <w:r w:rsidRPr="00E876EF">
        <w:rPr>
          <w:rFonts w:ascii="Times New Roman" w:hAnsi="Times New Roman"/>
          <w:i/>
          <w:sz w:val="22"/>
          <w:szCs w:val="22"/>
        </w:rPr>
        <w:t>Therapeutic Goods Amendment (2017 Measures No.1) Act 2018</w:t>
      </w:r>
      <w:r w:rsidRPr="00E876EF">
        <w:rPr>
          <w:rFonts w:ascii="Times New Roman" w:hAnsi="Times New Roman"/>
          <w:sz w:val="22"/>
          <w:szCs w:val="22"/>
        </w:rPr>
        <w:t xml:space="preserve"> (</w:t>
      </w:r>
      <w:r w:rsidR="005C529F" w:rsidRPr="00E876EF">
        <w:rPr>
          <w:rFonts w:ascii="Times New Roman" w:hAnsi="Times New Roman"/>
          <w:sz w:val="22"/>
          <w:szCs w:val="22"/>
        </w:rPr>
        <w:t>“</w:t>
      </w:r>
      <w:r w:rsidRPr="00E876EF">
        <w:rPr>
          <w:rFonts w:ascii="Times New Roman" w:hAnsi="Times New Roman"/>
          <w:sz w:val="22"/>
          <w:szCs w:val="22"/>
        </w:rPr>
        <w:t>the Amendment Act</w:t>
      </w:r>
      <w:r w:rsidR="005C529F" w:rsidRPr="00E876EF">
        <w:rPr>
          <w:rFonts w:ascii="Times New Roman" w:hAnsi="Times New Roman"/>
          <w:sz w:val="22"/>
          <w:szCs w:val="22"/>
        </w:rPr>
        <w:t>”</w:t>
      </w:r>
      <w:r w:rsidRPr="00E876EF">
        <w:rPr>
          <w:rFonts w:ascii="Times New Roman" w:hAnsi="Times New Roman"/>
          <w:sz w:val="22"/>
          <w:szCs w:val="22"/>
        </w:rPr>
        <w:t xml:space="preserve">) </w:t>
      </w:r>
      <w:r w:rsidR="00E44DB1" w:rsidRPr="00E876EF">
        <w:rPr>
          <w:rFonts w:ascii="Times New Roman" w:hAnsi="Times New Roman"/>
          <w:sz w:val="22"/>
          <w:szCs w:val="22"/>
        </w:rPr>
        <w:t>amended the Act to, among other things</w:t>
      </w:r>
      <w:r w:rsidR="00D636EA">
        <w:rPr>
          <w:rFonts w:ascii="Times New Roman" w:hAnsi="Times New Roman"/>
          <w:sz w:val="22"/>
          <w:szCs w:val="22"/>
        </w:rPr>
        <w:t xml:space="preserve">, </w:t>
      </w:r>
      <w:r w:rsidR="00E44DB1" w:rsidRPr="00E876EF">
        <w:rPr>
          <w:rFonts w:ascii="Times New Roman" w:hAnsi="Times New Roman"/>
          <w:sz w:val="22"/>
          <w:szCs w:val="22"/>
        </w:rPr>
        <w:t xml:space="preserve">provide greater clarity in relation to the </w:t>
      </w:r>
      <w:r w:rsidR="007C1299">
        <w:rPr>
          <w:rFonts w:ascii="Times New Roman" w:hAnsi="Times New Roman"/>
          <w:sz w:val="22"/>
          <w:szCs w:val="22"/>
        </w:rPr>
        <w:t>preliminary assessment</w:t>
      </w:r>
      <w:r w:rsidR="007C1299" w:rsidRPr="00E876EF">
        <w:rPr>
          <w:rFonts w:ascii="Times New Roman" w:hAnsi="Times New Roman"/>
          <w:sz w:val="22"/>
          <w:szCs w:val="22"/>
        </w:rPr>
        <w:t xml:space="preserve"> </w:t>
      </w:r>
      <w:r w:rsidR="00E44DB1" w:rsidRPr="00E876EF">
        <w:rPr>
          <w:rFonts w:ascii="Times New Roman" w:hAnsi="Times New Roman"/>
          <w:sz w:val="22"/>
          <w:szCs w:val="22"/>
        </w:rPr>
        <w:t>of applications for the inclusion of therapeutic goods in the Australian Register of Therapeutic Goods (</w:t>
      </w:r>
      <w:r w:rsidR="00D636EA">
        <w:rPr>
          <w:rFonts w:ascii="Times New Roman" w:hAnsi="Times New Roman"/>
          <w:sz w:val="22"/>
          <w:szCs w:val="22"/>
        </w:rPr>
        <w:t>“</w:t>
      </w:r>
      <w:r w:rsidR="00E44DB1" w:rsidRPr="00E876EF">
        <w:rPr>
          <w:rFonts w:ascii="Times New Roman" w:hAnsi="Times New Roman"/>
          <w:sz w:val="22"/>
          <w:szCs w:val="22"/>
        </w:rPr>
        <w:t>the Register</w:t>
      </w:r>
      <w:r w:rsidR="00E876EF" w:rsidRPr="00E876EF">
        <w:rPr>
          <w:rFonts w:ascii="Times New Roman" w:hAnsi="Times New Roman"/>
          <w:sz w:val="22"/>
          <w:szCs w:val="22"/>
        </w:rPr>
        <w:t>”</w:t>
      </w:r>
      <w:r w:rsidR="00E44DB1" w:rsidRPr="00E876EF">
        <w:rPr>
          <w:rFonts w:ascii="Times New Roman" w:hAnsi="Times New Roman"/>
          <w:sz w:val="22"/>
          <w:szCs w:val="22"/>
        </w:rPr>
        <w:t>)</w:t>
      </w:r>
      <w:r w:rsidR="002714A7">
        <w:rPr>
          <w:rFonts w:ascii="Times New Roman" w:hAnsi="Times New Roman"/>
          <w:sz w:val="22"/>
          <w:szCs w:val="22"/>
        </w:rPr>
        <w:t>.</w:t>
      </w:r>
      <w:r w:rsidR="007C1299">
        <w:rPr>
          <w:rFonts w:ascii="Times New Roman" w:hAnsi="Times New Roman"/>
          <w:sz w:val="22"/>
          <w:szCs w:val="22"/>
        </w:rPr>
        <w:t xml:space="preserve">  In particular, </w:t>
      </w:r>
      <w:r w:rsidR="007C1299" w:rsidRPr="005C529F">
        <w:rPr>
          <w:rFonts w:ascii="Times New Roman" w:hAnsi="Times New Roman"/>
          <w:sz w:val="22"/>
          <w:szCs w:val="22"/>
        </w:rPr>
        <w:t xml:space="preserve">the Amendment Act introduced measures to </w:t>
      </w:r>
      <w:r w:rsidR="007C1299">
        <w:rPr>
          <w:rFonts w:ascii="Times New Roman" w:hAnsi="Times New Roman"/>
          <w:sz w:val="22"/>
          <w:szCs w:val="22"/>
        </w:rPr>
        <w:t>require</w:t>
      </w:r>
      <w:r w:rsidR="007C1299" w:rsidRPr="005C529F">
        <w:rPr>
          <w:rFonts w:ascii="Times New Roman" w:hAnsi="Times New Roman"/>
          <w:sz w:val="22"/>
          <w:szCs w:val="22"/>
        </w:rPr>
        <w:t xml:space="preserve"> an application for the inclusion of a medicine, biological or medical device in the Register </w:t>
      </w:r>
      <w:r w:rsidR="00797CE3">
        <w:rPr>
          <w:rFonts w:ascii="Times New Roman" w:hAnsi="Times New Roman"/>
          <w:sz w:val="22"/>
          <w:szCs w:val="22"/>
        </w:rPr>
        <w:t>to</w:t>
      </w:r>
      <w:r w:rsidR="007C1299" w:rsidRPr="005C529F">
        <w:rPr>
          <w:rFonts w:ascii="Times New Roman" w:hAnsi="Times New Roman"/>
          <w:sz w:val="22"/>
          <w:szCs w:val="22"/>
        </w:rPr>
        <w:t xml:space="preserve"> meet certain preliminary requirements before the Secretary </w:t>
      </w:r>
      <w:r w:rsidR="007C1299">
        <w:rPr>
          <w:rFonts w:ascii="Times New Roman" w:hAnsi="Times New Roman"/>
          <w:sz w:val="22"/>
          <w:szCs w:val="22"/>
        </w:rPr>
        <w:t>may proceed</w:t>
      </w:r>
      <w:r w:rsidR="007C1299" w:rsidRPr="005C529F">
        <w:rPr>
          <w:rFonts w:ascii="Times New Roman" w:hAnsi="Times New Roman"/>
          <w:sz w:val="22"/>
          <w:szCs w:val="22"/>
        </w:rPr>
        <w:t xml:space="preserve"> to evaluat</w:t>
      </w:r>
      <w:r w:rsidR="00797CE3">
        <w:rPr>
          <w:rFonts w:ascii="Times New Roman" w:hAnsi="Times New Roman"/>
          <w:sz w:val="22"/>
          <w:szCs w:val="22"/>
        </w:rPr>
        <w:t>ion</w:t>
      </w:r>
      <w:r w:rsidR="007C1299">
        <w:rPr>
          <w:rFonts w:ascii="Times New Roman" w:hAnsi="Times New Roman"/>
          <w:sz w:val="22"/>
          <w:szCs w:val="22"/>
        </w:rPr>
        <w:t>.  The Amendment Act also provided</w:t>
      </w:r>
      <w:r w:rsidR="007C1299" w:rsidRPr="005C529F">
        <w:rPr>
          <w:rFonts w:ascii="Times New Roman" w:hAnsi="Times New Roman"/>
          <w:sz w:val="22"/>
          <w:szCs w:val="22"/>
        </w:rPr>
        <w:t xml:space="preserve"> the Secretary </w:t>
      </w:r>
      <w:r w:rsidR="007C1299">
        <w:rPr>
          <w:rFonts w:ascii="Times New Roman" w:hAnsi="Times New Roman"/>
          <w:sz w:val="22"/>
          <w:szCs w:val="22"/>
        </w:rPr>
        <w:t>with</w:t>
      </w:r>
      <w:r w:rsidR="007C1299" w:rsidRPr="005C529F">
        <w:rPr>
          <w:rFonts w:ascii="Times New Roman" w:hAnsi="Times New Roman"/>
          <w:sz w:val="22"/>
          <w:szCs w:val="22"/>
        </w:rPr>
        <w:t xml:space="preserve"> the power to refuse an application prior to </w:t>
      </w:r>
      <w:r w:rsidR="007C1299">
        <w:rPr>
          <w:rFonts w:ascii="Times New Roman" w:hAnsi="Times New Roman"/>
          <w:sz w:val="22"/>
          <w:szCs w:val="22"/>
        </w:rPr>
        <w:t xml:space="preserve">evaluation </w:t>
      </w:r>
      <w:r w:rsidR="007C1299" w:rsidRPr="005C529F">
        <w:rPr>
          <w:rFonts w:ascii="Times New Roman" w:hAnsi="Times New Roman"/>
          <w:sz w:val="22"/>
          <w:szCs w:val="22"/>
        </w:rPr>
        <w:t xml:space="preserve">if the application does not meet </w:t>
      </w:r>
      <w:r w:rsidR="00797CE3">
        <w:rPr>
          <w:rFonts w:ascii="Times New Roman" w:hAnsi="Times New Roman"/>
          <w:sz w:val="22"/>
          <w:szCs w:val="22"/>
        </w:rPr>
        <w:t>those</w:t>
      </w:r>
      <w:r w:rsidR="007C1299" w:rsidRPr="005C529F">
        <w:rPr>
          <w:rFonts w:ascii="Times New Roman" w:hAnsi="Times New Roman"/>
          <w:sz w:val="22"/>
          <w:szCs w:val="22"/>
        </w:rPr>
        <w:t xml:space="preserve"> requirements</w:t>
      </w:r>
      <w:r w:rsidR="007C1299">
        <w:rPr>
          <w:rFonts w:ascii="Times New Roman" w:hAnsi="Times New Roman"/>
          <w:sz w:val="22"/>
          <w:szCs w:val="22"/>
        </w:rPr>
        <w:t>.</w:t>
      </w:r>
    </w:p>
    <w:p w14:paraId="37ED1F86" w14:textId="77777777" w:rsidR="00C45F4D" w:rsidRPr="005C529F" w:rsidRDefault="00C45F4D" w:rsidP="00E90759">
      <w:pPr>
        <w:autoSpaceDE w:val="0"/>
        <w:autoSpaceDN w:val="0"/>
        <w:adjustRightInd w:val="0"/>
        <w:rPr>
          <w:rFonts w:ascii="Times New Roman" w:hAnsi="Times New Roman"/>
          <w:sz w:val="22"/>
          <w:szCs w:val="22"/>
        </w:rPr>
      </w:pPr>
    </w:p>
    <w:p w14:paraId="1EDF2FDF" w14:textId="5A3CECAF" w:rsidR="00E44DB1" w:rsidRPr="005C529F" w:rsidRDefault="00E44DB1" w:rsidP="00E44DB1">
      <w:pPr>
        <w:rPr>
          <w:rFonts w:ascii="Times New Roman" w:hAnsi="Times New Roman"/>
          <w:sz w:val="22"/>
          <w:szCs w:val="22"/>
        </w:rPr>
      </w:pPr>
      <w:r w:rsidRPr="005C529F">
        <w:rPr>
          <w:rFonts w:ascii="Times New Roman" w:hAnsi="Times New Roman"/>
          <w:sz w:val="22"/>
          <w:szCs w:val="22"/>
        </w:rPr>
        <w:t>These requirements include</w:t>
      </w:r>
      <w:r w:rsidR="007C1299">
        <w:rPr>
          <w:rFonts w:ascii="Times New Roman" w:hAnsi="Times New Roman"/>
          <w:sz w:val="22"/>
          <w:szCs w:val="22"/>
        </w:rPr>
        <w:t xml:space="preserve"> </w:t>
      </w:r>
      <w:r w:rsidRPr="005C529F">
        <w:rPr>
          <w:rFonts w:ascii="Times New Roman" w:hAnsi="Times New Roman"/>
          <w:sz w:val="22"/>
          <w:szCs w:val="22"/>
        </w:rPr>
        <w:t xml:space="preserve">that an application has been made in accordance with the appropriate approved form for the </w:t>
      </w:r>
      <w:r w:rsidR="00797CE3">
        <w:rPr>
          <w:rFonts w:ascii="Times New Roman" w:hAnsi="Times New Roman"/>
          <w:sz w:val="22"/>
          <w:szCs w:val="22"/>
        </w:rPr>
        <w:t xml:space="preserve">relevant </w:t>
      </w:r>
      <w:r w:rsidR="007C1299">
        <w:rPr>
          <w:rFonts w:ascii="Times New Roman" w:hAnsi="Times New Roman"/>
          <w:sz w:val="22"/>
          <w:szCs w:val="22"/>
        </w:rPr>
        <w:t>class of</w:t>
      </w:r>
      <w:r w:rsidR="00985ECF">
        <w:rPr>
          <w:rFonts w:ascii="Times New Roman" w:hAnsi="Times New Roman"/>
          <w:sz w:val="22"/>
          <w:szCs w:val="22"/>
        </w:rPr>
        <w:t xml:space="preserve"> therapeutic</w:t>
      </w:r>
      <w:r w:rsidRPr="005C529F">
        <w:rPr>
          <w:rFonts w:ascii="Times New Roman" w:hAnsi="Times New Roman"/>
          <w:sz w:val="22"/>
          <w:szCs w:val="22"/>
        </w:rPr>
        <w:t xml:space="preserve"> goods, and </w:t>
      </w:r>
      <w:r w:rsidR="00EA4431">
        <w:rPr>
          <w:rFonts w:ascii="Times New Roman" w:hAnsi="Times New Roman"/>
          <w:sz w:val="22"/>
          <w:szCs w:val="22"/>
        </w:rPr>
        <w:t>is accompanied by</w:t>
      </w:r>
      <w:r w:rsidRPr="005C529F">
        <w:rPr>
          <w:rFonts w:ascii="Times New Roman" w:hAnsi="Times New Roman"/>
          <w:sz w:val="22"/>
          <w:szCs w:val="22"/>
        </w:rPr>
        <w:t xml:space="preserve"> the necessary </w:t>
      </w:r>
      <w:r w:rsidR="007C1299">
        <w:rPr>
          <w:rFonts w:ascii="Times New Roman" w:hAnsi="Times New Roman"/>
          <w:sz w:val="22"/>
          <w:szCs w:val="22"/>
        </w:rPr>
        <w:t xml:space="preserve">kind of </w:t>
      </w:r>
      <w:r w:rsidRPr="005C529F">
        <w:rPr>
          <w:rFonts w:ascii="Times New Roman" w:hAnsi="Times New Roman"/>
          <w:sz w:val="22"/>
          <w:szCs w:val="22"/>
        </w:rPr>
        <w:t>information needed to evaluate the application</w:t>
      </w:r>
      <w:r w:rsidR="007C1299">
        <w:rPr>
          <w:rFonts w:ascii="Times New Roman" w:hAnsi="Times New Roman"/>
          <w:sz w:val="22"/>
          <w:szCs w:val="22"/>
        </w:rPr>
        <w:t xml:space="preserve">.  The requirements </w:t>
      </w:r>
      <w:r w:rsidRPr="005C529F">
        <w:rPr>
          <w:rFonts w:ascii="Times New Roman" w:hAnsi="Times New Roman"/>
          <w:sz w:val="22"/>
          <w:szCs w:val="22"/>
        </w:rPr>
        <w:t xml:space="preserve">are designed to enable the effective management of resources by the Department in the </w:t>
      </w:r>
      <w:r w:rsidR="00985ECF">
        <w:rPr>
          <w:rFonts w:ascii="Times New Roman" w:hAnsi="Times New Roman"/>
          <w:sz w:val="22"/>
          <w:szCs w:val="22"/>
        </w:rPr>
        <w:t>evaluation</w:t>
      </w:r>
      <w:r w:rsidR="00985ECF" w:rsidRPr="005C529F">
        <w:rPr>
          <w:rFonts w:ascii="Times New Roman" w:hAnsi="Times New Roman"/>
          <w:sz w:val="22"/>
          <w:szCs w:val="22"/>
        </w:rPr>
        <w:t xml:space="preserve"> </w:t>
      </w:r>
      <w:r w:rsidRPr="005C529F">
        <w:rPr>
          <w:rFonts w:ascii="Times New Roman" w:hAnsi="Times New Roman"/>
          <w:sz w:val="22"/>
          <w:szCs w:val="22"/>
        </w:rPr>
        <w:t xml:space="preserve">of </w:t>
      </w:r>
      <w:r w:rsidR="00985ECF">
        <w:rPr>
          <w:rFonts w:ascii="Times New Roman" w:hAnsi="Times New Roman"/>
          <w:sz w:val="22"/>
          <w:szCs w:val="22"/>
        </w:rPr>
        <w:t>therapeutic goods</w:t>
      </w:r>
      <w:r w:rsidRPr="005C529F">
        <w:rPr>
          <w:rFonts w:ascii="Times New Roman" w:hAnsi="Times New Roman"/>
          <w:sz w:val="22"/>
          <w:szCs w:val="22"/>
        </w:rPr>
        <w:t xml:space="preserve">, and to create certainty for sponsors as to the </w:t>
      </w:r>
      <w:r w:rsidR="00985ECF">
        <w:rPr>
          <w:rFonts w:ascii="Times New Roman" w:hAnsi="Times New Roman"/>
          <w:sz w:val="22"/>
          <w:szCs w:val="22"/>
        </w:rPr>
        <w:t xml:space="preserve">appropriate characterisation of, and regulatory pathway for, </w:t>
      </w:r>
      <w:r w:rsidRPr="005C529F">
        <w:rPr>
          <w:rFonts w:ascii="Times New Roman" w:hAnsi="Times New Roman"/>
          <w:sz w:val="22"/>
          <w:szCs w:val="22"/>
        </w:rPr>
        <w:t xml:space="preserve">their products.  A full evaluation process represents a considerable investment in, and use of, </w:t>
      </w:r>
      <w:r w:rsidR="00985ECF">
        <w:rPr>
          <w:rFonts w:ascii="Times New Roman" w:hAnsi="Times New Roman"/>
          <w:sz w:val="22"/>
          <w:szCs w:val="22"/>
        </w:rPr>
        <w:t xml:space="preserve">Commonwealth </w:t>
      </w:r>
      <w:r w:rsidRPr="005C529F">
        <w:rPr>
          <w:rFonts w:ascii="Times New Roman" w:hAnsi="Times New Roman"/>
          <w:sz w:val="22"/>
          <w:szCs w:val="22"/>
        </w:rPr>
        <w:t>resources.</w:t>
      </w:r>
      <w:r w:rsidR="002714A7">
        <w:rPr>
          <w:rFonts w:ascii="Times New Roman" w:hAnsi="Times New Roman"/>
          <w:sz w:val="22"/>
          <w:szCs w:val="22"/>
        </w:rPr>
        <w:t xml:space="preserve"> </w:t>
      </w:r>
      <w:r w:rsidRPr="005C529F">
        <w:rPr>
          <w:rFonts w:ascii="Times New Roman" w:hAnsi="Times New Roman"/>
          <w:sz w:val="22"/>
          <w:szCs w:val="22"/>
        </w:rPr>
        <w:t xml:space="preserve"> </w:t>
      </w:r>
      <w:r w:rsidR="005B1AF9">
        <w:rPr>
          <w:rFonts w:ascii="Times New Roman" w:hAnsi="Times New Roman"/>
          <w:sz w:val="22"/>
          <w:szCs w:val="22"/>
        </w:rPr>
        <w:t xml:space="preserve">Consequently, there are considerable efficiencies to be gained in mandating content and form requirements for applications to provide clarity regarding application requirements, to streamline </w:t>
      </w:r>
      <w:r w:rsidR="00536044">
        <w:rPr>
          <w:rFonts w:ascii="Times New Roman" w:hAnsi="Times New Roman"/>
          <w:sz w:val="22"/>
          <w:szCs w:val="22"/>
        </w:rPr>
        <w:t xml:space="preserve">application and evaluation </w:t>
      </w:r>
      <w:r w:rsidR="005B1AF9">
        <w:rPr>
          <w:rFonts w:ascii="Times New Roman" w:hAnsi="Times New Roman"/>
          <w:sz w:val="22"/>
          <w:szCs w:val="22"/>
        </w:rPr>
        <w:t>processes</w:t>
      </w:r>
      <w:r w:rsidR="00536044">
        <w:rPr>
          <w:rFonts w:ascii="Times New Roman" w:hAnsi="Times New Roman"/>
          <w:sz w:val="22"/>
          <w:szCs w:val="22"/>
        </w:rPr>
        <w:t>,</w:t>
      </w:r>
      <w:r w:rsidR="005B1AF9">
        <w:rPr>
          <w:rFonts w:ascii="Times New Roman" w:hAnsi="Times New Roman"/>
          <w:sz w:val="22"/>
          <w:szCs w:val="22"/>
        </w:rPr>
        <w:t xml:space="preserve"> and to prevent delays in evaluating applications.</w:t>
      </w:r>
    </w:p>
    <w:p w14:paraId="733C4FD5" w14:textId="77777777" w:rsidR="00E44DB1" w:rsidRPr="005C529F" w:rsidRDefault="00E44DB1" w:rsidP="00E90759">
      <w:pPr>
        <w:autoSpaceDE w:val="0"/>
        <w:autoSpaceDN w:val="0"/>
        <w:adjustRightInd w:val="0"/>
        <w:rPr>
          <w:rFonts w:ascii="Times New Roman" w:hAnsi="Times New Roman"/>
          <w:sz w:val="22"/>
          <w:szCs w:val="22"/>
        </w:rPr>
      </w:pPr>
    </w:p>
    <w:p w14:paraId="7AC89D1B" w14:textId="1620AA8A" w:rsidR="005D2FC2" w:rsidRPr="005C529F" w:rsidRDefault="007C1299" w:rsidP="005D2FC2">
      <w:pPr>
        <w:rPr>
          <w:rFonts w:ascii="Times New Roman" w:hAnsi="Times New Roman"/>
          <w:sz w:val="22"/>
          <w:szCs w:val="22"/>
        </w:rPr>
      </w:pPr>
      <w:r>
        <w:rPr>
          <w:rFonts w:ascii="Times New Roman" w:hAnsi="Times New Roman"/>
          <w:sz w:val="22"/>
          <w:szCs w:val="22"/>
        </w:rPr>
        <w:t>Specifically</w:t>
      </w:r>
      <w:r w:rsidR="00E44DB1" w:rsidRPr="005C529F">
        <w:rPr>
          <w:rFonts w:ascii="Times New Roman" w:hAnsi="Times New Roman"/>
          <w:sz w:val="22"/>
          <w:szCs w:val="22"/>
        </w:rPr>
        <w:t xml:space="preserve">, the </w:t>
      </w:r>
      <w:r w:rsidR="00C45F4D" w:rsidRPr="005C529F">
        <w:rPr>
          <w:rFonts w:ascii="Times New Roman" w:hAnsi="Times New Roman"/>
          <w:sz w:val="22"/>
          <w:szCs w:val="22"/>
        </w:rPr>
        <w:t xml:space="preserve">Amendment Act </w:t>
      </w:r>
      <w:r w:rsidR="00E44DB1" w:rsidRPr="005C529F">
        <w:rPr>
          <w:rFonts w:ascii="Times New Roman" w:hAnsi="Times New Roman"/>
          <w:sz w:val="22"/>
          <w:szCs w:val="22"/>
        </w:rPr>
        <w:t xml:space="preserve">introduced </w:t>
      </w:r>
      <w:r w:rsidR="005D2FC2" w:rsidRPr="005C529F">
        <w:rPr>
          <w:rFonts w:ascii="Times New Roman" w:hAnsi="Times New Roman"/>
          <w:sz w:val="22"/>
          <w:szCs w:val="22"/>
        </w:rPr>
        <w:t xml:space="preserve">new </w:t>
      </w:r>
      <w:r w:rsidR="00C45F4D" w:rsidRPr="005C529F">
        <w:rPr>
          <w:rFonts w:ascii="Times New Roman" w:hAnsi="Times New Roman"/>
          <w:sz w:val="22"/>
          <w:szCs w:val="22"/>
        </w:rPr>
        <w:t>section</w:t>
      </w:r>
      <w:r w:rsidR="005D2FC2" w:rsidRPr="005C529F">
        <w:rPr>
          <w:rFonts w:ascii="Times New Roman" w:hAnsi="Times New Roman"/>
          <w:sz w:val="22"/>
          <w:szCs w:val="22"/>
        </w:rPr>
        <w:t>s</w:t>
      </w:r>
      <w:r w:rsidR="00C45F4D" w:rsidRPr="005C529F">
        <w:rPr>
          <w:rFonts w:ascii="Times New Roman" w:hAnsi="Times New Roman"/>
          <w:sz w:val="22"/>
          <w:szCs w:val="22"/>
        </w:rPr>
        <w:t xml:space="preserve"> </w:t>
      </w:r>
      <w:r w:rsidR="005D2FC2" w:rsidRPr="005C529F">
        <w:rPr>
          <w:rFonts w:ascii="Times New Roman" w:hAnsi="Times New Roman"/>
          <w:sz w:val="22"/>
          <w:szCs w:val="22"/>
        </w:rPr>
        <w:t xml:space="preserve">23A and </w:t>
      </w:r>
      <w:r w:rsidR="00C45F4D" w:rsidRPr="005C529F">
        <w:rPr>
          <w:rFonts w:ascii="Times New Roman" w:hAnsi="Times New Roman"/>
          <w:sz w:val="22"/>
          <w:szCs w:val="22"/>
        </w:rPr>
        <w:t>23B to the Act</w:t>
      </w:r>
      <w:r w:rsidR="005D2FC2" w:rsidRPr="005C529F">
        <w:rPr>
          <w:rFonts w:ascii="Times New Roman" w:hAnsi="Times New Roman"/>
          <w:sz w:val="22"/>
          <w:szCs w:val="22"/>
        </w:rPr>
        <w:t xml:space="preserve">. </w:t>
      </w:r>
      <w:r w:rsidR="002714A7">
        <w:rPr>
          <w:rFonts w:ascii="Times New Roman" w:hAnsi="Times New Roman"/>
          <w:sz w:val="22"/>
          <w:szCs w:val="22"/>
        </w:rPr>
        <w:t xml:space="preserve"> </w:t>
      </w:r>
      <w:r w:rsidR="005D2FC2" w:rsidRPr="005C529F">
        <w:rPr>
          <w:rFonts w:ascii="Times New Roman" w:hAnsi="Times New Roman"/>
          <w:sz w:val="22"/>
          <w:szCs w:val="22"/>
        </w:rPr>
        <w:t>Section 23A provides for the Secretary, by notifiable instrument, to specify different classes of therapeutic goods for the purposes of section 23B.</w:t>
      </w:r>
      <w:r w:rsidR="000F2215">
        <w:rPr>
          <w:rFonts w:ascii="Times New Roman" w:hAnsi="Times New Roman"/>
          <w:sz w:val="22"/>
          <w:szCs w:val="22"/>
        </w:rPr>
        <w:t xml:space="preserve">  </w:t>
      </w:r>
      <w:r w:rsidR="005D2FC2" w:rsidRPr="005C529F">
        <w:rPr>
          <w:rFonts w:ascii="Times New Roman" w:hAnsi="Times New Roman"/>
          <w:sz w:val="22"/>
          <w:szCs w:val="22"/>
        </w:rPr>
        <w:t>Section 23B sets</w:t>
      </w:r>
      <w:r w:rsidR="00C45F4D" w:rsidRPr="005C529F">
        <w:rPr>
          <w:rFonts w:ascii="Times New Roman" w:hAnsi="Times New Roman"/>
          <w:sz w:val="22"/>
          <w:szCs w:val="22"/>
        </w:rPr>
        <w:t xml:space="preserve"> out </w:t>
      </w:r>
      <w:r w:rsidR="00E44DB1" w:rsidRPr="005C529F">
        <w:rPr>
          <w:rFonts w:ascii="Times New Roman" w:hAnsi="Times New Roman"/>
          <w:sz w:val="22"/>
          <w:szCs w:val="22"/>
        </w:rPr>
        <w:t xml:space="preserve">the </w:t>
      </w:r>
      <w:r w:rsidR="00C45F4D" w:rsidRPr="005C529F">
        <w:rPr>
          <w:rFonts w:ascii="Times New Roman" w:hAnsi="Times New Roman"/>
          <w:sz w:val="22"/>
          <w:szCs w:val="22"/>
        </w:rPr>
        <w:t xml:space="preserve">preliminary assessment requirements relating to applications for </w:t>
      </w:r>
      <w:r w:rsidR="00E44DB1" w:rsidRPr="005C529F">
        <w:rPr>
          <w:rFonts w:ascii="Times New Roman" w:hAnsi="Times New Roman"/>
          <w:sz w:val="22"/>
          <w:szCs w:val="22"/>
        </w:rPr>
        <w:t xml:space="preserve">the </w:t>
      </w:r>
      <w:r w:rsidR="00C45F4D" w:rsidRPr="005C529F">
        <w:rPr>
          <w:rFonts w:ascii="Times New Roman" w:hAnsi="Times New Roman"/>
          <w:sz w:val="22"/>
          <w:szCs w:val="22"/>
        </w:rPr>
        <w:t>registration of therapeutic goods</w:t>
      </w:r>
      <w:r w:rsidR="002714A7">
        <w:rPr>
          <w:rFonts w:ascii="Times New Roman" w:hAnsi="Times New Roman"/>
          <w:sz w:val="22"/>
          <w:szCs w:val="22"/>
        </w:rPr>
        <w:t xml:space="preserve">, </w:t>
      </w:r>
      <w:r w:rsidR="005D2FC2" w:rsidRPr="005C529F">
        <w:rPr>
          <w:rFonts w:ascii="Times New Roman" w:hAnsi="Times New Roman"/>
          <w:sz w:val="22"/>
          <w:szCs w:val="22"/>
        </w:rPr>
        <w:t xml:space="preserve">and </w:t>
      </w:r>
      <w:r w:rsidR="00E44DB1" w:rsidRPr="005C529F">
        <w:rPr>
          <w:rFonts w:ascii="Times New Roman" w:hAnsi="Times New Roman"/>
          <w:sz w:val="22"/>
          <w:szCs w:val="22"/>
        </w:rPr>
        <w:t xml:space="preserve">the </w:t>
      </w:r>
      <w:r w:rsidR="005D2FC2" w:rsidRPr="005C529F">
        <w:rPr>
          <w:rFonts w:ascii="Times New Roman" w:hAnsi="Times New Roman"/>
          <w:sz w:val="22"/>
          <w:szCs w:val="22"/>
        </w:rPr>
        <w:t>listing of medicines under section 26AE of the Act</w:t>
      </w:r>
      <w:r w:rsidR="00C45F4D" w:rsidRPr="005C529F">
        <w:rPr>
          <w:rFonts w:ascii="Times New Roman" w:hAnsi="Times New Roman"/>
          <w:sz w:val="22"/>
          <w:szCs w:val="22"/>
        </w:rPr>
        <w:t xml:space="preserve">. </w:t>
      </w:r>
      <w:r w:rsidR="002714A7">
        <w:rPr>
          <w:rFonts w:ascii="Times New Roman" w:hAnsi="Times New Roman"/>
          <w:sz w:val="22"/>
          <w:szCs w:val="22"/>
        </w:rPr>
        <w:t xml:space="preserve"> </w:t>
      </w:r>
      <w:r w:rsidR="00C45F4D" w:rsidRPr="005C529F">
        <w:rPr>
          <w:rFonts w:ascii="Times New Roman" w:hAnsi="Times New Roman"/>
          <w:sz w:val="22"/>
          <w:szCs w:val="22"/>
        </w:rPr>
        <w:t>The</w:t>
      </w:r>
      <w:r w:rsidR="00E44DB1" w:rsidRPr="005C529F">
        <w:rPr>
          <w:rFonts w:ascii="Times New Roman" w:hAnsi="Times New Roman"/>
          <w:sz w:val="22"/>
          <w:szCs w:val="22"/>
        </w:rPr>
        <w:t>se</w:t>
      </w:r>
      <w:r w:rsidR="00C45F4D" w:rsidRPr="005C529F">
        <w:rPr>
          <w:rFonts w:ascii="Times New Roman" w:hAnsi="Times New Roman"/>
          <w:sz w:val="22"/>
          <w:szCs w:val="22"/>
        </w:rPr>
        <w:t xml:space="preserve"> requirements include a requirement that the application be accompanied by information that is of a kind determined under </w:t>
      </w:r>
      <w:r w:rsidR="005D2FC2" w:rsidRPr="005C529F">
        <w:rPr>
          <w:rFonts w:ascii="Times New Roman" w:hAnsi="Times New Roman"/>
          <w:sz w:val="22"/>
          <w:szCs w:val="22"/>
        </w:rPr>
        <w:t xml:space="preserve">subsection </w:t>
      </w:r>
      <w:r w:rsidR="00C45F4D" w:rsidRPr="005C529F">
        <w:rPr>
          <w:rFonts w:ascii="Times New Roman" w:hAnsi="Times New Roman"/>
          <w:sz w:val="22"/>
          <w:szCs w:val="22"/>
        </w:rPr>
        <w:t xml:space="preserve">23B(9), and </w:t>
      </w:r>
      <w:r w:rsidR="00E44DB1" w:rsidRPr="005C529F">
        <w:rPr>
          <w:rFonts w:ascii="Times New Roman" w:hAnsi="Times New Roman"/>
          <w:sz w:val="22"/>
          <w:szCs w:val="22"/>
        </w:rPr>
        <w:t xml:space="preserve">that the information is </w:t>
      </w:r>
      <w:r w:rsidR="00C45F4D" w:rsidRPr="005C529F">
        <w:rPr>
          <w:rFonts w:ascii="Times New Roman" w:hAnsi="Times New Roman"/>
          <w:sz w:val="22"/>
          <w:szCs w:val="22"/>
        </w:rPr>
        <w:t>in a form determined under subsection 23B(10)</w:t>
      </w:r>
      <w:r w:rsidR="005D2FC2" w:rsidRPr="005C529F">
        <w:rPr>
          <w:rFonts w:ascii="Times New Roman" w:hAnsi="Times New Roman"/>
          <w:sz w:val="22"/>
          <w:szCs w:val="22"/>
        </w:rPr>
        <w:t>.</w:t>
      </w:r>
    </w:p>
    <w:p w14:paraId="7D4002F3" w14:textId="77777777" w:rsidR="005D2FC2" w:rsidRPr="005C529F" w:rsidRDefault="005D2FC2" w:rsidP="005D2FC2">
      <w:pPr>
        <w:rPr>
          <w:rFonts w:ascii="Times New Roman" w:hAnsi="Times New Roman"/>
          <w:sz w:val="22"/>
          <w:szCs w:val="22"/>
        </w:rPr>
      </w:pPr>
    </w:p>
    <w:p w14:paraId="1BBE2515" w14:textId="77777777" w:rsidR="002E3566" w:rsidRPr="005C529F" w:rsidRDefault="002E0A39" w:rsidP="005D2FC2">
      <w:pPr>
        <w:rPr>
          <w:rFonts w:ascii="Times New Roman" w:hAnsi="Times New Roman"/>
          <w:sz w:val="22"/>
          <w:szCs w:val="22"/>
        </w:rPr>
      </w:pPr>
      <w:r w:rsidRPr="005C529F">
        <w:rPr>
          <w:rFonts w:ascii="Times New Roman" w:hAnsi="Times New Roman"/>
          <w:sz w:val="22"/>
          <w:szCs w:val="22"/>
        </w:rPr>
        <w:t>S</w:t>
      </w:r>
      <w:r w:rsidR="008D0491" w:rsidRPr="005C529F">
        <w:rPr>
          <w:rFonts w:ascii="Times New Roman" w:hAnsi="Times New Roman"/>
          <w:sz w:val="22"/>
          <w:szCs w:val="22"/>
        </w:rPr>
        <w:t>ubs</w:t>
      </w:r>
      <w:r w:rsidRPr="005C529F">
        <w:rPr>
          <w:rFonts w:ascii="Times New Roman" w:hAnsi="Times New Roman"/>
          <w:sz w:val="22"/>
          <w:szCs w:val="22"/>
        </w:rPr>
        <w:t xml:space="preserve">ection </w:t>
      </w:r>
      <w:r w:rsidR="00CD6487" w:rsidRPr="005C529F">
        <w:rPr>
          <w:rFonts w:ascii="Times New Roman" w:hAnsi="Times New Roman"/>
          <w:sz w:val="22"/>
          <w:szCs w:val="22"/>
        </w:rPr>
        <w:t>23B</w:t>
      </w:r>
      <w:r w:rsidR="008D0491" w:rsidRPr="005C529F">
        <w:rPr>
          <w:rFonts w:ascii="Times New Roman" w:hAnsi="Times New Roman"/>
          <w:sz w:val="22"/>
          <w:szCs w:val="22"/>
        </w:rPr>
        <w:t>(</w:t>
      </w:r>
      <w:r w:rsidR="00CD6487" w:rsidRPr="005C529F">
        <w:rPr>
          <w:rFonts w:ascii="Times New Roman" w:hAnsi="Times New Roman"/>
          <w:sz w:val="22"/>
          <w:szCs w:val="22"/>
        </w:rPr>
        <w:t>9</w:t>
      </w:r>
      <w:r w:rsidR="008D0491" w:rsidRPr="005C529F">
        <w:rPr>
          <w:rFonts w:ascii="Times New Roman" w:hAnsi="Times New Roman"/>
          <w:sz w:val="22"/>
          <w:szCs w:val="22"/>
        </w:rPr>
        <w:t>)</w:t>
      </w:r>
      <w:r w:rsidRPr="005C529F">
        <w:rPr>
          <w:rFonts w:ascii="Times New Roman" w:hAnsi="Times New Roman"/>
          <w:sz w:val="22"/>
          <w:szCs w:val="22"/>
        </w:rPr>
        <w:t xml:space="preserve"> of the Act </w:t>
      </w:r>
      <w:r w:rsidR="00BA30C2" w:rsidRPr="005C529F">
        <w:rPr>
          <w:rFonts w:ascii="Times New Roman" w:hAnsi="Times New Roman"/>
          <w:sz w:val="22"/>
          <w:szCs w:val="22"/>
        </w:rPr>
        <w:t xml:space="preserve">relevantly </w:t>
      </w:r>
      <w:r w:rsidR="00A309AD" w:rsidRPr="005C529F">
        <w:rPr>
          <w:rFonts w:ascii="Times New Roman" w:hAnsi="Times New Roman"/>
          <w:sz w:val="22"/>
          <w:szCs w:val="22"/>
        </w:rPr>
        <w:t xml:space="preserve">provides that the </w:t>
      </w:r>
      <w:r w:rsidR="00CD6487" w:rsidRPr="005C529F">
        <w:rPr>
          <w:rFonts w:ascii="Times New Roman" w:hAnsi="Times New Roman"/>
          <w:sz w:val="22"/>
          <w:szCs w:val="22"/>
        </w:rPr>
        <w:t xml:space="preserve">Secretary </w:t>
      </w:r>
      <w:r w:rsidR="002757A6" w:rsidRPr="005C529F">
        <w:rPr>
          <w:rFonts w:ascii="Times New Roman" w:hAnsi="Times New Roman"/>
          <w:sz w:val="22"/>
          <w:szCs w:val="22"/>
        </w:rPr>
        <w:t xml:space="preserve">may, by legislative instrument, </w:t>
      </w:r>
      <w:r w:rsidR="00CD6487" w:rsidRPr="005C529F">
        <w:rPr>
          <w:rFonts w:ascii="Times New Roman" w:hAnsi="Times New Roman"/>
          <w:sz w:val="22"/>
          <w:szCs w:val="22"/>
        </w:rPr>
        <w:t>determine a kind of information for the purposes of the application of subparagraph 23B(2)(d)(</w:t>
      </w:r>
      <w:proofErr w:type="spellStart"/>
      <w:r w:rsidR="00CD6487" w:rsidRPr="005C529F">
        <w:rPr>
          <w:rFonts w:ascii="Times New Roman" w:hAnsi="Times New Roman"/>
          <w:sz w:val="22"/>
          <w:szCs w:val="22"/>
        </w:rPr>
        <w:t>i</w:t>
      </w:r>
      <w:proofErr w:type="spellEnd"/>
      <w:r w:rsidR="00CD6487" w:rsidRPr="005C529F">
        <w:rPr>
          <w:rFonts w:ascii="Times New Roman" w:hAnsi="Times New Roman"/>
          <w:sz w:val="22"/>
          <w:szCs w:val="22"/>
        </w:rPr>
        <w:t>) of the Act to a class of therapeutic goods that is specified under section 23A of the Act</w:t>
      </w:r>
      <w:r w:rsidR="002757A6" w:rsidRPr="005C529F">
        <w:rPr>
          <w:rFonts w:ascii="Times New Roman" w:hAnsi="Times New Roman"/>
          <w:sz w:val="22"/>
          <w:szCs w:val="22"/>
        </w:rPr>
        <w:t>.</w:t>
      </w:r>
    </w:p>
    <w:p w14:paraId="68A15365" w14:textId="77777777" w:rsidR="002E3566" w:rsidRPr="005C529F" w:rsidRDefault="002E3566" w:rsidP="005D2FC2">
      <w:pPr>
        <w:rPr>
          <w:rFonts w:ascii="Times New Roman" w:hAnsi="Times New Roman"/>
          <w:sz w:val="22"/>
          <w:szCs w:val="22"/>
        </w:rPr>
      </w:pPr>
    </w:p>
    <w:p w14:paraId="10092F73" w14:textId="77777777" w:rsidR="001D3026" w:rsidRPr="005C529F" w:rsidRDefault="00607490" w:rsidP="005D2FC2">
      <w:pPr>
        <w:rPr>
          <w:rFonts w:ascii="Times New Roman" w:hAnsi="Times New Roman"/>
          <w:sz w:val="22"/>
          <w:szCs w:val="22"/>
        </w:rPr>
      </w:pPr>
      <w:r w:rsidRPr="005C529F">
        <w:rPr>
          <w:rFonts w:ascii="Times New Roman" w:hAnsi="Times New Roman"/>
          <w:sz w:val="22"/>
          <w:szCs w:val="22"/>
        </w:rPr>
        <w:t>S</w:t>
      </w:r>
      <w:r w:rsidR="008D0491" w:rsidRPr="005C529F">
        <w:rPr>
          <w:rFonts w:ascii="Times New Roman" w:hAnsi="Times New Roman"/>
          <w:sz w:val="22"/>
          <w:szCs w:val="22"/>
        </w:rPr>
        <w:t xml:space="preserve">ubsection </w:t>
      </w:r>
      <w:r w:rsidR="00CD6487" w:rsidRPr="005C529F">
        <w:rPr>
          <w:rFonts w:ascii="Times New Roman" w:hAnsi="Times New Roman"/>
          <w:sz w:val="22"/>
          <w:szCs w:val="22"/>
        </w:rPr>
        <w:t>23B</w:t>
      </w:r>
      <w:r w:rsidR="008D0491" w:rsidRPr="005C529F">
        <w:rPr>
          <w:rFonts w:ascii="Times New Roman" w:hAnsi="Times New Roman"/>
          <w:sz w:val="22"/>
          <w:szCs w:val="22"/>
        </w:rPr>
        <w:t>(</w:t>
      </w:r>
      <w:r w:rsidR="00CD6487" w:rsidRPr="005C529F">
        <w:rPr>
          <w:rFonts w:ascii="Times New Roman" w:hAnsi="Times New Roman"/>
          <w:sz w:val="22"/>
          <w:szCs w:val="22"/>
        </w:rPr>
        <w:t>10</w:t>
      </w:r>
      <w:r w:rsidR="008D0491" w:rsidRPr="005C529F">
        <w:rPr>
          <w:rFonts w:ascii="Times New Roman" w:hAnsi="Times New Roman"/>
          <w:sz w:val="22"/>
          <w:szCs w:val="22"/>
        </w:rPr>
        <w:t xml:space="preserve">) </w:t>
      </w:r>
      <w:r w:rsidR="00E44DB1" w:rsidRPr="005C529F">
        <w:rPr>
          <w:rFonts w:ascii="Times New Roman" w:hAnsi="Times New Roman"/>
          <w:sz w:val="22"/>
          <w:szCs w:val="22"/>
        </w:rPr>
        <w:t xml:space="preserve">of the Act </w:t>
      </w:r>
      <w:r w:rsidR="008D0491" w:rsidRPr="005C529F">
        <w:rPr>
          <w:rFonts w:ascii="Times New Roman" w:hAnsi="Times New Roman"/>
          <w:sz w:val="22"/>
          <w:szCs w:val="22"/>
        </w:rPr>
        <w:t>relevantly provides</w:t>
      </w:r>
      <w:r w:rsidR="00CD6487" w:rsidRPr="005C529F">
        <w:rPr>
          <w:rFonts w:ascii="Times New Roman" w:hAnsi="Times New Roman"/>
          <w:sz w:val="22"/>
          <w:szCs w:val="22"/>
        </w:rPr>
        <w:t xml:space="preserve"> that the Secretary may</w:t>
      </w:r>
      <w:r w:rsidRPr="005C529F">
        <w:rPr>
          <w:rFonts w:ascii="Times New Roman" w:hAnsi="Times New Roman"/>
          <w:sz w:val="22"/>
          <w:szCs w:val="22"/>
        </w:rPr>
        <w:t>,</w:t>
      </w:r>
      <w:r w:rsidR="008D0491" w:rsidRPr="005C529F">
        <w:rPr>
          <w:rFonts w:ascii="Times New Roman" w:hAnsi="Times New Roman"/>
          <w:sz w:val="22"/>
          <w:szCs w:val="22"/>
        </w:rPr>
        <w:t xml:space="preserve"> </w:t>
      </w:r>
      <w:r w:rsidR="00CD6487" w:rsidRPr="005C529F">
        <w:rPr>
          <w:rFonts w:ascii="Times New Roman" w:hAnsi="Times New Roman"/>
          <w:sz w:val="22"/>
          <w:szCs w:val="22"/>
        </w:rPr>
        <w:t>by legislative instrument, determine a form of information for the purposes of the application of subparagraph 23B(2)(d)(ii) to a class of therapeutic goods that is specified under section 23A</w:t>
      </w:r>
      <w:r w:rsidR="002E3566" w:rsidRPr="005C529F">
        <w:rPr>
          <w:rFonts w:ascii="Times New Roman" w:hAnsi="Times New Roman"/>
          <w:sz w:val="22"/>
          <w:szCs w:val="22"/>
        </w:rPr>
        <w:t>.</w:t>
      </w:r>
    </w:p>
    <w:p w14:paraId="4B6DF584" w14:textId="7C47CB20" w:rsidR="001D3026" w:rsidRDefault="001D3026" w:rsidP="005D2FC2">
      <w:pPr>
        <w:rPr>
          <w:rFonts w:ascii="Times New Roman" w:hAnsi="Times New Roman"/>
          <w:sz w:val="22"/>
          <w:szCs w:val="22"/>
        </w:rPr>
      </w:pPr>
    </w:p>
    <w:p w14:paraId="0ABA455F" w14:textId="6BB69152" w:rsidR="00157BA1" w:rsidRDefault="005B1AF9" w:rsidP="00967299">
      <w:pPr>
        <w:rPr>
          <w:rFonts w:ascii="Times New Roman" w:hAnsi="Times New Roman"/>
          <w:sz w:val="22"/>
          <w:szCs w:val="22"/>
        </w:rPr>
      </w:pPr>
      <w:r>
        <w:rPr>
          <w:rFonts w:ascii="Times New Roman" w:hAnsi="Times New Roman"/>
          <w:sz w:val="22"/>
          <w:szCs w:val="22"/>
        </w:rPr>
        <w:t>C</w:t>
      </w:r>
      <w:r w:rsidR="00157BA1">
        <w:rPr>
          <w:rFonts w:ascii="Times New Roman" w:hAnsi="Times New Roman"/>
          <w:sz w:val="22"/>
          <w:szCs w:val="22"/>
        </w:rPr>
        <w:t>lasses of therapeutic goods are specified in t</w:t>
      </w:r>
      <w:r w:rsidR="006C1D2A">
        <w:rPr>
          <w:rFonts w:ascii="Times New Roman" w:hAnsi="Times New Roman"/>
          <w:sz w:val="22"/>
          <w:szCs w:val="22"/>
        </w:rPr>
        <w:t xml:space="preserve">he </w:t>
      </w:r>
      <w:r w:rsidR="006C1D2A" w:rsidRPr="00F44D4E">
        <w:rPr>
          <w:rFonts w:ascii="Times New Roman" w:hAnsi="Times New Roman"/>
          <w:i/>
          <w:iCs/>
          <w:sz w:val="22"/>
          <w:szCs w:val="22"/>
        </w:rPr>
        <w:t xml:space="preserve">Therapeutic </w:t>
      </w:r>
      <w:r w:rsidR="006C1D2A" w:rsidRPr="003D3C6A">
        <w:rPr>
          <w:rFonts w:ascii="Times New Roman" w:hAnsi="Times New Roman"/>
          <w:i/>
          <w:iCs/>
          <w:sz w:val="22"/>
          <w:szCs w:val="22"/>
        </w:rPr>
        <w:t>Goods (Classes of Therapeutic Goods) Instrument 2018</w:t>
      </w:r>
      <w:r w:rsidR="0097078B">
        <w:rPr>
          <w:rFonts w:ascii="Times New Roman" w:hAnsi="Times New Roman"/>
          <w:sz w:val="22"/>
          <w:szCs w:val="22"/>
        </w:rPr>
        <w:t xml:space="preserve"> (“the Classes Instrument”), </w:t>
      </w:r>
      <w:r w:rsidR="00797CE3">
        <w:rPr>
          <w:rFonts w:ascii="Times New Roman" w:hAnsi="Times New Roman"/>
          <w:sz w:val="22"/>
          <w:szCs w:val="22"/>
        </w:rPr>
        <w:t xml:space="preserve">which </w:t>
      </w:r>
      <w:r w:rsidR="0073656E">
        <w:rPr>
          <w:rFonts w:ascii="Times New Roman" w:hAnsi="Times New Roman"/>
          <w:sz w:val="22"/>
          <w:szCs w:val="22"/>
        </w:rPr>
        <w:t xml:space="preserve">is </w:t>
      </w:r>
      <w:r w:rsidR="006C1D2A" w:rsidRPr="003D3C6A">
        <w:rPr>
          <w:rFonts w:ascii="Times New Roman" w:hAnsi="Times New Roman"/>
          <w:sz w:val="22"/>
          <w:szCs w:val="22"/>
        </w:rPr>
        <w:t xml:space="preserve">made </w:t>
      </w:r>
      <w:r w:rsidR="00080F79">
        <w:rPr>
          <w:rFonts w:ascii="Times New Roman" w:hAnsi="Times New Roman"/>
          <w:sz w:val="22"/>
          <w:szCs w:val="22"/>
        </w:rPr>
        <w:t xml:space="preserve">under </w:t>
      </w:r>
      <w:r w:rsidR="006C1D2A" w:rsidRPr="003D3C6A">
        <w:rPr>
          <w:rFonts w:ascii="Times New Roman" w:hAnsi="Times New Roman"/>
          <w:sz w:val="22"/>
          <w:szCs w:val="22"/>
        </w:rPr>
        <w:t>section</w:t>
      </w:r>
      <w:r w:rsidR="003D3C6A" w:rsidRPr="003D3C6A">
        <w:rPr>
          <w:rFonts w:ascii="Times New Roman" w:hAnsi="Times New Roman"/>
          <w:sz w:val="22"/>
          <w:szCs w:val="22"/>
        </w:rPr>
        <w:t xml:space="preserve"> 23A of the Act</w:t>
      </w:r>
      <w:r w:rsidR="00C42896">
        <w:rPr>
          <w:rFonts w:ascii="Times New Roman" w:hAnsi="Times New Roman"/>
          <w:sz w:val="22"/>
          <w:szCs w:val="22"/>
        </w:rPr>
        <w:t>.  The Classes Instrument</w:t>
      </w:r>
      <w:r w:rsidR="006C1D2A" w:rsidRPr="003D3C6A">
        <w:rPr>
          <w:rFonts w:ascii="Times New Roman" w:hAnsi="Times New Roman"/>
          <w:sz w:val="22"/>
          <w:szCs w:val="22"/>
        </w:rPr>
        <w:t xml:space="preserve"> includ</w:t>
      </w:r>
      <w:r w:rsidR="0073656E">
        <w:rPr>
          <w:rFonts w:ascii="Times New Roman" w:hAnsi="Times New Roman"/>
          <w:sz w:val="22"/>
          <w:szCs w:val="22"/>
        </w:rPr>
        <w:t>es</w:t>
      </w:r>
      <w:r w:rsidR="006C1D2A" w:rsidRPr="003D3C6A">
        <w:rPr>
          <w:rFonts w:ascii="Times New Roman" w:hAnsi="Times New Roman"/>
          <w:sz w:val="22"/>
          <w:szCs w:val="22"/>
        </w:rPr>
        <w:t xml:space="preserve"> </w:t>
      </w:r>
      <w:r w:rsidR="00157BA1">
        <w:rPr>
          <w:rFonts w:ascii="Times New Roman" w:hAnsi="Times New Roman"/>
          <w:sz w:val="22"/>
          <w:szCs w:val="22"/>
        </w:rPr>
        <w:t xml:space="preserve">the class </w:t>
      </w:r>
      <w:r w:rsidR="00AD7403">
        <w:rPr>
          <w:rFonts w:ascii="Times New Roman" w:hAnsi="Times New Roman"/>
          <w:sz w:val="22"/>
          <w:szCs w:val="22"/>
        </w:rPr>
        <w:t>‘</w:t>
      </w:r>
      <w:r w:rsidR="006C1D2A" w:rsidRPr="003D3C6A">
        <w:rPr>
          <w:rFonts w:ascii="Times New Roman" w:hAnsi="Times New Roman"/>
          <w:sz w:val="22"/>
          <w:szCs w:val="22"/>
        </w:rPr>
        <w:t>prescription and other medicines</w:t>
      </w:r>
      <w:r w:rsidR="00AD7403">
        <w:rPr>
          <w:rFonts w:ascii="Times New Roman" w:hAnsi="Times New Roman"/>
          <w:sz w:val="22"/>
          <w:szCs w:val="22"/>
        </w:rPr>
        <w:t>’</w:t>
      </w:r>
      <w:r w:rsidR="00157BA1">
        <w:rPr>
          <w:rFonts w:ascii="Times New Roman" w:hAnsi="Times New Roman"/>
          <w:sz w:val="22"/>
          <w:szCs w:val="22"/>
        </w:rPr>
        <w:t>,</w:t>
      </w:r>
      <w:r w:rsidR="006C1D2A" w:rsidRPr="003D3C6A">
        <w:rPr>
          <w:rFonts w:ascii="Times New Roman" w:hAnsi="Times New Roman"/>
          <w:sz w:val="22"/>
          <w:szCs w:val="22"/>
        </w:rPr>
        <w:t xml:space="preserve"> to which the </w:t>
      </w:r>
      <w:r w:rsidR="003D3C6A" w:rsidRPr="003D3C6A">
        <w:rPr>
          <w:rFonts w:ascii="Times New Roman" w:hAnsi="Times New Roman"/>
          <w:i/>
          <w:sz w:val="22"/>
          <w:szCs w:val="22"/>
        </w:rPr>
        <w:t>Therapeutic Goods (Prescription Medicines—Form of Information Accompanying Applications for Registration) Determination 2021</w:t>
      </w:r>
      <w:r w:rsidR="006C1D2A" w:rsidRPr="003D3C6A">
        <w:rPr>
          <w:rFonts w:ascii="Times New Roman" w:hAnsi="Times New Roman"/>
          <w:sz w:val="22"/>
          <w:szCs w:val="22"/>
        </w:rPr>
        <w:t xml:space="preserve"> </w:t>
      </w:r>
      <w:r w:rsidR="003D3C6A">
        <w:rPr>
          <w:rFonts w:ascii="Times New Roman" w:hAnsi="Times New Roman"/>
          <w:sz w:val="22"/>
          <w:szCs w:val="22"/>
        </w:rPr>
        <w:t>(“the Determination”) applies.</w:t>
      </w:r>
      <w:r w:rsidR="006C3F6D">
        <w:rPr>
          <w:rFonts w:ascii="Times New Roman" w:hAnsi="Times New Roman"/>
          <w:sz w:val="22"/>
          <w:szCs w:val="22"/>
        </w:rPr>
        <w:t xml:space="preserve">  </w:t>
      </w:r>
      <w:r w:rsidR="00797CE3">
        <w:rPr>
          <w:rFonts w:ascii="Times New Roman" w:hAnsi="Times New Roman"/>
          <w:sz w:val="22"/>
          <w:szCs w:val="22"/>
        </w:rPr>
        <w:t>S</w:t>
      </w:r>
      <w:r w:rsidR="006C3F6D">
        <w:rPr>
          <w:rFonts w:ascii="Times New Roman" w:hAnsi="Times New Roman"/>
          <w:sz w:val="22"/>
          <w:szCs w:val="22"/>
        </w:rPr>
        <w:t>ection 4 of the Classes Instrument</w:t>
      </w:r>
      <w:r w:rsidR="00797CE3">
        <w:rPr>
          <w:rFonts w:ascii="Times New Roman" w:hAnsi="Times New Roman"/>
          <w:sz w:val="22"/>
          <w:szCs w:val="22"/>
        </w:rPr>
        <w:t xml:space="preserve"> specifies</w:t>
      </w:r>
      <w:r w:rsidR="006C3F6D">
        <w:rPr>
          <w:rFonts w:ascii="Times New Roman" w:hAnsi="Times New Roman"/>
          <w:sz w:val="22"/>
          <w:szCs w:val="22"/>
        </w:rPr>
        <w:t xml:space="preserve"> the following kinds of medicines as ‘prescription and other medicines’:</w:t>
      </w:r>
    </w:p>
    <w:p w14:paraId="24099F0A" w14:textId="77777777" w:rsidR="006C3F6D" w:rsidRDefault="006C3F6D" w:rsidP="00967299">
      <w:pPr>
        <w:rPr>
          <w:rFonts w:ascii="Times New Roman" w:hAnsi="Times New Roman"/>
          <w:sz w:val="22"/>
          <w:szCs w:val="22"/>
        </w:rPr>
      </w:pPr>
    </w:p>
    <w:p w14:paraId="146A00DD" w14:textId="507E1444" w:rsidR="006C3F6D" w:rsidRPr="00E013EB" w:rsidRDefault="006C3F6D" w:rsidP="00E013EB">
      <w:pPr>
        <w:pStyle w:val="ListParagraph"/>
        <w:numPr>
          <w:ilvl w:val="0"/>
          <w:numId w:val="4"/>
        </w:numPr>
        <w:rPr>
          <w:rFonts w:ascii="Times New Roman" w:hAnsi="Times New Roman"/>
          <w:sz w:val="22"/>
          <w:szCs w:val="22"/>
        </w:rPr>
      </w:pPr>
      <w:r w:rsidRPr="00E013EB">
        <w:rPr>
          <w:rFonts w:ascii="Times New Roman" w:hAnsi="Times New Roman"/>
          <w:sz w:val="22"/>
          <w:szCs w:val="22"/>
        </w:rPr>
        <w:lastRenderedPageBreak/>
        <w:t xml:space="preserve">prescription and other medicines specified in items 1 to 13 of Part 1 of Schedule 10 to the </w:t>
      </w:r>
      <w:r w:rsidRPr="00E013EB">
        <w:rPr>
          <w:rFonts w:ascii="Times New Roman" w:hAnsi="Times New Roman"/>
          <w:i/>
          <w:iCs/>
          <w:sz w:val="22"/>
          <w:szCs w:val="22"/>
        </w:rPr>
        <w:t>Therapeutic Goods Regulations 1990</w:t>
      </w:r>
      <w:r w:rsidRPr="00E013EB">
        <w:rPr>
          <w:rFonts w:ascii="Times New Roman" w:hAnsi="Times New Roman"/>
          <w:sz w:val="22"/>
          <w:szCs w:val="22"/>
        </w:rPr>
        <w:t>;</w:t>
      </w:r>
    </w:p>
    <w:p w14:paraId="1298C5CC" w14:textId="1CD8CF99" w:rsidR="006C3F6D" w:rsidRPr="00E013EB" w:rsidRDefault="006C3F6D" w:rsidP="00E013EB">
      <w:pPr>
        <w:pStyle w:val="ListParagraph"/>
        <w:numPr>
          <w:ilvl w:val="0"/>
          <w:numId w:val="4"/>
        </w:numPr>
        <w:rPr>
          <w:rFonts w:ascii="Times New Roman" w:hAnsi="Times New Roman"/>
          <w:sz w:val="22"/>
          <w:szCs w:val="22"/>
        </w:rPr>
      </w:pPr>
      <w:r w:rsidRPr="00E013EB">
        <w:rPr>
          <w:rFonts w:ascii="Times New Roman" w:hAnsi="Times New Roman"/>
          <w:sz w:val="22"/>
          <w:szCs w:val="22"/>
        </w:rPr>
        <w:t>medicines containing oral nitrates for the treatment of heart disease;</w:t>
      </w:r>
    </w:p>
    <w:p w14:paraId="460C9830" w14:textId="4C6C8995" w:rsidR="006C3F6D" w:rsidRPr="00E013EB" w:rsidRDefault="006C3F6D" w:rsidP="00E013EB">
      <w:pPr>
        <w:pStyle w:val="ListParagraph"/>
        <w:numPr>
          <w:ilvl w:val="0"/>
          <w:numId w:val="4"/>
        </w:numPr>
        <w:rPr>
          <w:rFonts w:ascii="Times New Roman" w:hAnsi="Times New Roman"/>
          <w:sz w:val="22"/>
          <w:szCs w:val="22"/>
        </w:rPr>
      </w:pPr>
      <w:r w:rsidRPr="00E013EB">
        <w:rPr>
          <w:rFonts w:ascii="Times New Roman" w:hAnsi="Times New Roman"/>
          <w:sz w:val="22"/>
          <w:szCs w:val="22"/>
        </w:rPr>
        <w:t>nasal corticosteroids;</w:t>
      </w:r>
    </w:p>
    <w:p w14:paraId="1F7028B7" w14:textId="261D537B" w:rsidR="006C3F6D" w:rsidRPr="00E013EB" w:rsidRDefault="006C3F6D" w:rsidP="00E013EB">
      <w:pPr>
        <w:pStyle w:val="ListParagraph"/>
        <w:numPr>
          <w:ilvl w:val="0"/>
          <w:numId w:val="4"/>
        </w:numPr>
        <w:rPr>
          <w:rFonts w:ascii="Times New Roman" w:hAnsi="Times New Roman"/>
          <w:sz w:val="22"/>
          <w:szCs w:val="22"/>
        </w:rPr>
      </w:pPr>
      <w:r w:rsidRPr="00E013EB">
        <w:rPr>
          <w:rFonts w:ascii="Times New Roman" w:hAnsi="Times New Roman"/>
          <w:sz w:val="22"/>
          <w:szCs w:val="22"/>
        </w:rPr>
        <w:t>metered-dose asthma inhalers;</w:t>
      </w:r>
      <w:r w:rsidR="005B1AF9">
        <w:rPr>
          <w:rFonts w:ascii="Times New Roman" w:hAnsi="Times New Roman"/>
          <w:sz w:val="22"/>
          <w:szCs w:val="22"/>
        </w:rPr>
        <w:t xml:space="preserve"> and</w:t>
      </w:r>
    </w:p>
    <w:p w14:paraId="60D1AE21" w14:textId="06B7E121" w:rsidR="00157BA1" w:rsidRDefault="006C3F6D" w:rsidP="006C3F6D">
      <w:pPr>
        <w:pStyle w:val="ListParagraph"/>
        <w:numPr>
          <w:ilvl w:val="0"/>
          <w:numId w:val="4"/>
        </w:numPr>
        <w:rPr>
          <w:rFonts w:ascii="Times New Roman" w:hAnsi="Times New Roman"/>
          <w:sz w:val="22"/>
          <w:szCs w:val="22"/>
        </w:rPr>
      </w:pPr>
      <w:r w:rsidRPr="00E013EB">
        <w:rPr>
          <w:rFonts w:ascii="Times New Roman" w:hAnsi="Times New Roman"/>
          <w:sz w:val="22"/>
          <w:szCs w:val="22"/>
        </w:rPr>
        <w:t>transdermal nicotine patches.</w:t>
      </w:r>
    </w:p>
    <w:p w14:paraId="57446649" w14:textId="77777777" w:rsidR="006C3F6D" w:rsidRPr="00E013EB" w:rsidRDefault="006C3F6D" w:rsidP="00850919">
      <w:pPr>
        <w:rPr>
          <w:rFonts w:ascii="Times New Roman" w:hAnsi="Times New Roman"/>
          <w:sz w:val="22"/>
          <w:szCs w:val="22"/>
        </w:rPr>
      </w:pPr>
    </w:p>
    <w:p w14:paraId="7C5C5825" w14:textId="3CA356C8" w:rsidR="00C42896" w:rsidRDefault="003D3C6A" w:rsidP="00967299">
      <w:pPr>
        <w:rPr>
          <w:rFonts w:ascii="Times New Roman" w:hAnsi="Times New Roman"/>
          <w:sz w:val="22"/>
          <w:szCs w:val="22"/>
        </w:rPr>
      </w:pPr>
      <w:r>
        <w:rPr>
          <w:rFonts w:ascii="Times New Roman" w:hAnsi="Times New Roman"/>
          <w:sz w:val="22"/>
          <w:szCs w:val="22"/>
        </w:rPr>
        <w:t>T</w:t>
      </w:r>
      <w:r w:rsidR="00147EBC" w:rsidRPr="00B05C36">
        <w:rPr>
          <w:rFonts w:ascii="Times New Roman" w:hAnsi="Times New Roman"/>
          <w:sz w:val="22"/>
          <w:szCs w:val="22"/>
        </w:rPr>
        <w:t>he Determination</w:t>
      </w:r>
      <w:r w:rsidR="00294A49" w:rsidRPr="00B05C36">
        <w:rPr>
          <w:rFonts w:ascii="Times New Roman" w:hAnsi="Times New Roman"/>
          <w:sz w:val="22"/>
          <w:szCs w:val="22"/>
        </w:rPr>
        <w:t xml:space="preserve"> </w:t>
      </w:r>
      <w:r w:rsidR="00A27C61" w:rsidRPr="00B05C36">
        <w:rPr>
          <w:rFonts w:ascii="Times New Roman" w:hAnsi="Times New Roman"/>
          <w:sz w:val="22"/>
          <w:szCs w:val="22"/>
        </w:rPr>
        <w:t xml:space="preserve">is </w:t>
      </w:r>
      <w:r w:rsidR="00147EBC" w:rsidRPr="00B05C36">
        <w:rPr>
          <w:rFonts w:ascii="Times New Roman" w:hAnsi="Times New Roman"/>
          <w:sz w:val="22"/>
          <w:szCs w:val="22"/>
        </w:rPr>
        <w:t>made under subsection</w:t>
      </w:r>
      <w:r>
        <w:rPr>
          <w:rFonts w:ascii="Times New Roman" w:hAnsi="Times New Roman"/>
          <w:sz w:val="22"/>
          <w:szCs w:val="22"/>
        </w:rPr>
        <w:t xml:space="preserve"> 2</w:t>
      </w:r>
      <w:r w:rsidR="00147EBC" w:rsidRPr="00B05C36">
        <w:rPr>
          <w:rFonts w:ascii="Times New Roman" w:hAnsi="Times New Roman"/>
          <w:sz w:val="22"/>
          <w:szCs w:val="22"/>
        </w:rPr>
        <w:t>3B(</w:t>
      </w:r>
      <w:r>
        <w:rPr>
          <w:rFonts w:ascii="Times New Roman" w:hAnsi="Times New Roman"/>
          <w:sz w:val="22"/>
          <w:szCs w:val="22"/>
        </w:rPr>
        <w:t>10</w:t>
      </w:r>
      <w:r w:rsidR="00147EBC" w:rsidRPr="00B05C36">
        <w:rPr>
          <w:rFonts w:ascii="Times New Roman" w:hAnsi="Times New Roman"/>
          <w:sz w:val="22"/>
          <w:szCs w:val="22"/>
        </w:rPr>
        <w:t xml:space="preserve">) </w:t>
      </w:r>
      <w:r>
        <w:rPr>
          <w:rFonts w:ascii="Times New Roman" w:hAnsi="Times New Roman"/>
          <w:sz w:val="22"/>
          <w:szCs w:val="22"/>
        </w:rPr>
        <w:t xml:space="preserve">of the Act </w:t>
      </w:r>
      <w:r w:rsidR="00B10B79" w:rsidRPr="00B05C36">
        <w:rPr>
          <w:rFonts w:ascii="Times New Roman" w:hAnsi="Times New Roman"/>
          <w:sz w:val="22"/>
          <w:szCs w:val="22"/>
        </w:rPr>
        <w:t xml:space="preserve">for </w:t>
      </w:r>
      <w:r w:rsidR="00AC59C2" w:rsidRPr="00B05C36">
        <w:rPr>
          <w:rFonts w:ascii="Times New Roman" w:hAnsi="Times New Roman"/>
          <w:sz w:val="22"/>
          <w:szCs w:val="22"/>
        </w:rPr>
        <w:t xml:space="preserve">the </w:t>
      </w:r>
      <w:r>
        <w:rPr>
          <w:rFonts w:ascii="Times New Roman" w:hAnsi="Times New Roman"/>
          <w:sz w:val="22"/>
          <w:szCs w:val="22"/>
        </w:rPr>
        <w:t>p</w:t>
      </w:r>
      <w:r w:rsidR="00147EBC" w:rsidRPr="00B05C36">
        <w:rPr>
          <w:rFonts w:ascii="Times New Roman" w:hAnsi="Times New Roman"/>
          <w:sz w:val="22"/>
          <w:szCs w:val="22"/>
        </w:rPr>
        <w:t>urpose</w:t>
      </w:r>
      <w:r>
        <w:rPr>
          <w:rFonts w:ascii="Times New Roman" w:hAnsi="Times New Roman"/>
          <w:sz w:val="22"/>
          <w:szCs w:val="22"/>
        </w:rPr>
        <w:t>s of</w:t>
      </w:r>
      <w:r w:rsidR="00147EBC" w:rsidRPr="00B05C36">
        <w:rPr>
          <w:rFonts w:ascii="Times New Roman" w:hAnsi="Times New Roman"/>
          <w:sz w:val="22"/>
          <w:szCs w:val="22"/>
        </w:rPr>
        <w:t xml:space="preserve"> subparagraph 23B(2)(d)(i</w:t>
      </w:r>
      <w:r>
        <w:rPr>
          <w:rFonts w:ascii="Times New Roman" w:hAnsi="Times New Roman"/>
          <w:sz w:val="22"/>
          <w:szCs w:val="22"/>
        </w:rPr>
        <w:t>i</w:t>
      </w:r>
      <w:r w:rsidR="00147EBC" w:rsidRPr="00B05C36">
        <w:rPr>
          <w:rFonts w:ascii="Times New Roman" w:hAnsi="Times New Roman"/>
          <w:sz w:val="22"/>
          <w:szCs w:val="22"/>
        </w:rPr>
        <w:t>)</w:t>
      </w:r>
      <w:r>
        <w:rPr>
          <w:rFonts w:ascii="Times New Roman" w:hAnsi="Times New Roman"/>
          <w:sz w:val="22"/>
          <w:szCs w:val="22"/>
        </w:rPr>
        <w:t>.</w:t>
      </w:r>
      <w:r w:rsidR="009F1610">
        <w:rPr>
          <w:rFonts w:ascii="Times New Roman" w:hAnsi="Times New Roman"/>
          <w:sz w:val="22"/>
          <w:szCs w:val="22"/>
        </w:rPr>
        <w:t xml:space="preserve"> </w:t>
      </w:r>
      <w:r>
        <w:rPr>
          <w:rFonts w:ascii="Times New Roman" w:hAnsi="Times New Roman"/>
          <w:sz w:val="22"/>
          <w:szCs w:val="22"/>
        </w:rPr>
        <w:t xml:space="preserve"> It </w:t>
      </w:r>
      <w:r w:rsidR="00AD7403">
        <w:rPr>
          <w:rFonts w:ascii="Times New Roman" w:hAnsi="Times New Roman"/>
          <w:sz w:val="22"/>
          <w:szCs w:val="22"/>
        </w:rPr>
        <w:t xml:space="preserve">has the effect of </w:t>
      </w:r>
      <w:r w:rsidR="000C3A89">
        <w:rPr>
          <w:rFonts w:ascii="Times New Roman" w:hAnsi="Times New Roman"/>
          <w:sz w:val="22"/>
          <w:szCs w:val="22"/>
        </w:rPr>
        <w:t>determin</w:t>
      </w:r>
      <w:r w:rsidR="00B04C63">
        <w:rPr>
          <w:rFonts w:ascii="Times New Roman" w:hAnsi="Times New Roman"/>
          <w:sz w:val="22"/>
          <w:szCs w:val="22"/>
        </w:rPr>
        <w:t>ing</w:t>
      </w:r>
      <w:r>
        <w:rPr>
          <w:rFonts w:ascii="Times New Roman" w:hAnsi="Times New Roman"/>
          <w:sz w:val="22"/>
          <w:szCs w:val="22"/>
        </w:rPr>
        <w:t xml:space="preserve"> that the information </w:t>
      </w:r>
      <w:r w:rsidR="00301377">
        <w:rPr>
          <w:rFonts w:ascii="Times New Roman" w:hAnsi="Times New Roman"/>
          <w:sz w:val="22"/>
          <w:szCs w:val="22"/>
        </w:rPr>
        <w:t xml:space="preserve">in an application dossier </w:t>
      </w:r>
      <w:r>
        <w:rPr>
          <w:rFonts w:ascii="Times New Roman" w:hAnsi="Times New Roman"/>
          <w:sz w:val="22"/>
          <w:szCs w:val="22"/>
        </w:rPr>
        <w:t xml:space="preserve">that accompanies </w:t>
      </w:r>
      <w:r w:rsidR="00B04C63">
        <w:rPr>
          <w:rFonts w:ascii="Times New Roman" w:hAnsi="Times New Roman"/>
          <w:sz w:val="22"/>
          <w:szCs w:val="22"/>
        </w:rPr>
        <w:t xml:space="preserve">an </w:t>
      </w:r>
      <w:r>
        <w:rPr>
          <w:rFonts w:ascii="Times New Roman" w:hAnsi="Times New Roman"/>
          <w:sz w:val="22"/>
          <w:szCs w:val="22"/>
        </w:rPr>
        <w:t xml:space="preserve">application for </w:t>
      </w:r>
      <w:r w:rsidR="00B04C63">
        <w:rPr>
          <w:rFonts w:ascii="Times New Roman" w:hAnsi="Times New Roman"/>
          <w:sz w:val="22"/>
          <w:szCs w:val="22"/>
        </w:rPr>
        <w:t xml:space="preserve">the </w:t>
      </w:r>
      <w:r>
        <w:rPr>
          <w:rFonts w:ascii="Times New Roman" w:hAnsi="Times New Roman"/>
          <w:sz w:val="22"/>
          <w:szCs w:val="22"/>
        </w:rPr>
        <w:t xml:space="preserve">registration of </w:t>
      </w:r>
      <w:r w:rsidR="00B04C63">
        <w:rPr>
          <w:rFonts w:ascii="Times New Roman" w:hAnsi="Times New Roman"/>
          <w:sz w:val="22"/>
          <w:szCs w:val="22"/>
        </w:rPr>
        <w:t xml:space="preserve">a </w:t>
      </w:r>
      <w:r>
        <w:rPr>
          <w:rFonts w:ascii="Times New Roman" w:hAnsi="Times New Roman"/>
          <w:sz w:val="22"/>
          <w:szCs w:val="22"/>
        </w:rPr>
        <w:t>medicine</w:t>
      </w:r>
      <w:r w:rsidR="00B04C63">
        <w:rPr>
          <w:rFonts w:ascii="Times New Roman" w:hAnsi="Times New Roman"/>
          <w:sz w:val="22"/>
          <w:szCs w:val="22"/>
        </w:rPr>
        <w:t xml:space="preserve"> in </w:t>
      </w:r>
      <w:r w:rsidR="0097078B">
        <w:rPr>
          <w:rFonts w:ascii="Times New Roman" w:hAnsi="Times New Roman"/>
          <w:sz w:val="22"/>
          <w:szCs w:val="22"/>
        </w:rPr>
        <w:t xml:space="preserve">the </w:t>
      </w:r>
      <w:r w:rsidR="001E334A">
        <w:rPr>
          <w:rFonts w:ascii="Times New Roman" w:hAnsi="Times New Roman"/>
          <w:sz w:val="22"/>
          <w:szCs w:val="22"/>
        </w:rPr>
        <w:t>‘</w:t>
      </w:r>
      <w:r w:rsidR="0097078B">
        <w:rPr>
          <w:rFonts w:ascii="Times New Roman" w:hAnsi="Times New Roman"/>
          <w:sz w:val="22"/>
          <w:szCs w:val="22"/>
        </w:rPr>
        <w:t>prescription and other medicines</w:t>
      </w:r>
      <w:r w:rsidR="001E334A">
        <w:rPr>
          <w:rFonts w:ascii="Times New Roman" w:hAnsi="Times New Roman"/>
          <w:sz w:val="22"/>
          <w:szCs w:val="22"/>
        </w:rPr>
        <w:t>’</w:t>
      </w:r>
      <w:r w:rsidR="0097078B">
        <w:rPr>
          <w:rFonts w:ascii="Times New Roman" w:hAnsi="Times New Roman"/>
          <w:sz w:val="22"/>
          <w:szCs w:val="22"/>
        </w:rPr>
        <w:t xml:space="preserve"> class</w:t>
      </w:r>
      <w:r w:rsidR="00301377">
        <w:rPr>
          <w:rFonts w:ascii="Times New Roman" w:hAnsi="Times New Roman"/>
          <w:sz w:val="22"/>
          <w:szCs w:val="22"/>
        </w:rPr>
        <w:t xml:space="preserve"> </w:t>
      </w:r>
      <w:r w:rsidR="00DD1B27">
        <w:rPr>
          <w:rFonts w:ascii="Times New Roman" w:hAnsi="Times New Roman"/>
          <w:sz w:val="22"/>
          <w:szCs w:val="22"/>
        </w:rPr>
        <w:t>mentioned</w:t>
      </w:r>
      <w:r w:rsidR="00301377">
        <w:rPr>
          <w:rFonts w:ascii="Times New Roman" w:hAnsi="Times New Roman"/>
          <w:sz w:val="22"/>
          <w:szCs w:val="22"/>
        </w:rPr>
        <w:t xml:space="preserve"> in Schedule 1</w:t>
      </w:r>
      <w:r w:rsidR="00287F27">
        <w:rPr>
          <w:rFonts w:ascii="Times New Roman" w:hAnsi="Times New Roman"/>
          <w:sz w:val="22"/>
          <w:szCs w:val="22"/>
        </w:rPr>
        <w:t>,</w:t>
      </w:r>
      <w:r w:rsidR="0097078B">
        <w:rPr>
          <w:rFonts w:ascii="Times New Roman" w:hAnsi="Times New Roman"/>
          <w:sz w:val="22"/>
          <w:szCs w:val="22"/>
        </w:rPr>
        <w:t xml:space="preserve"> </w:t>
      </w:r>
      <w:r>
        <w:rPr>
          <w:rFonts w:ascii="Times New Roman" w:hAnsi="Times New Roman"/>
          <w:sz w:val="22"/>
          <w:szCs w:val="22"/>
        </w:rPr>
        <w:t>must be in the</w:t>
      </w:r>
      <w:r w:rsidR="00F841B5">
        <w:rPr>
          <w:rFonts w:ascii="Times New Roman" w:hAnsi="Times New Roman"/>
          <w:sz w:val="22"/>
          <w:szCs w:val="22"/>
        </w:rPr>
        <w:t xml:space="preserve"> </w:t>
      </w:r>
      <w:r>
        <w:rPr>
          <w:rFonts w:ascii="Times New Roman" w:hAnsi="Times New Roman"/>
          <w:sz w:val="22"/>
          <w:szCs w:val="22"/>
        </w:rPr>
        <w:t>eCTD format</w:t>
      </w:r>
      <w:r w:rsidR="000C3A89">
        <w:rPr>
          <w:rFonts w:ascii="Times New Roman" w:hAnsi="Times New Roman"/>
          <w:sz w:val="22"/>
          <w:szCs w:val="22"/>
        </w:rPr>
        <w:t xml:space="preserve"> or, in exceptional circumstances, another format</w:t>
      </w:r>
      <w:r w:rsidR="00CF7239">
        <w:rPr>
          <w:rFonts w:ascii="Times New Roman" w:hAnsi="Times New Roman"/>
          <w:sz w:val="22"/>
          <w:szCs w:val="22"/>
        </w:rPr>
        <w:t xml:space="preserve"> with the prior written agreement of the TGA</w:t>
      </w:r>
      <w:r w:rsidR="00F841B5">
        <w:rPr>
          <w:rFonts w:ascii="Times New Roman" w:hAnsi="Times New Roman"/>
          <w:sz w:val="22"/>
          <w:szCs w:val="22"/>
        </w:rPr>
        <w:t>.</w:t>
      </w:r>
    </w:p>
    <w:p w14:paraId="28FA99C4" w14:textId="77777777" w:rsidR="00C42896" w:rsidRDefault="00C42896" w:rsidP="00967299">
      <w:pPr>
        <w:rPr>
          <w:rFonts w:ascii="Times New Roman" w:hAnsi="Times New Roman"/>
          <w:sz w:val="22"/>
          <w:szCs w:val="22"/>
        </w:rPr>
      </w:pPr>
    </w:p>
    <w:p w14:paraId="71627726" w14:textId="3206C4C4" w:rsidR="00287F27" w:rsidRDefault="00F841B5" w:rsidP="00967299">
      <w:pPr>
        <w:rPr>
          <w:rFonts w:ascii="Times New Roman" w:hAnsi="Times New Roman"/>
          <w:sz w:val="22"/>
          <w:szCs w:val="22"/>
        </w:rPr>
      </w:pPr>
      <w:r>
        <w:rPr>
          <w:rFonts w:ascii="Times New Roman" w:hAnsi="Times New Roman"/>
          <w:sz w:val="22"/>
          <w:szCs w:val="22"/>
        </w:rPr>
        <w:t xml:space="preserve">eCTD is an international standard formatting style that is used by many comparable overseas regulators. </w:t>
      </w:r>
      <w:r w:rsidR="001E334A">
        <w:rPr>
          <w:rFonts w:ascii="Times New Roman" w:hAnsi="Times New Roman"/>
          <w:sz w:val="22"/>
          <w:szCs w:val="22"/>
        </w:rPr>
        <w:t xml:space="preserve"> </w:t>
      </w:r>
      <w:r w:rsidR="007B2D87">
        <w:rPr>
          <w:rFonts w:ascii="Times New Roman" w:hAnsi="Times New Roman"/>
          <w:sz w:val="22"/>
          <w:szCs w:val="22"/>
        </w:rPr>
        <w:t>The m</w:t>
      </w:r>
      <w:r>
        <w:rPr>
          <w:rFonts w:ascii="Times New Roman" w:hAnsi="Times New Roman"/>
          <w:sz w:val="22"/>
          <w:szCs w:val="22"/>
        </w:rPr>
        <w:t xml:space="preserve">ajority of the sponsors of medicines to which the Determination applies already use the eCTD format.  </w:t>
      </w:r>
      <w:r w:rsidR="007B2D87">
        <w:rPr>
          <w:rFonts w:ascii="Times New Roman" w:hAnsi="Times New Roman"/>
          <w:sz w:val="22"/>
          <w:szCs w:val="22"/>
        </w:rPr>
        <w:t xml:space="preserve">However, a </w:t>
      </w:r>
      <w:r w:rsidR="007C1299">
        <w:rPr>
          <w:rFonts w:ascii="Times New Roman" w:hAnsi="Times New Roman"/>
          <w:sz w:val="22"/>
          <w:szCs w:val="22"/>
        </w:rPr>
        <w:t xml:space="preserve">small </w:t>
      </w:r>
      <w:r w:rsidR="007B2D87">
        <w:rPr>
          <w:rFonts w:ascii="Times New Roman" w:hAnsi="Times New Roman"/>
          <w:sz w:val="22"/>
          <w:szCs w:val="22"/>
        </w:rPr>
        <w:t xml:space="preserve">number </w:t>
      </w:r>
      <w:r w:rsidR="007C1299">
        <w:rPr>
          <w:rFonts w:ascii="Times New Roman" w:hAnsi="Times New Roman"/>
          <w:sz w:val="22"/>
          <w:szCs w:val="22"/>
        </w:rPr>
        <w:t xml:space="preserve">continue </w:t>
      </w:r>
      <w:r w:rsidR="007B2D87">
        <w:rPr>
          <w:rFonts w:ascii="Times New Roman" w:hAnsi="Times New Roman"/>
          <w:sz w:val="22"/>
          <w:szCs w:val="22"/>
        </w:rPr>
        <w:t>to use other formats, and s</w:t>
      </w:r>
      <w:r w:rsidR="00AA47C4">
        <w:rPr>
          <w:rFonts w:ascii="Times New Roman" w:hAnsi="Times New Roman"/>
          <w:sz w:val="22"/>
          <w:szCs w:val="22"/>
        </w:rPr>
        <w:t>ection 2 of t</w:t>
      </w:r>
      <w:r>
        <w:rPr>
          <w:rFonts w:ascii="Times New Roman" w:hAnsi="Times New Roman"/>
          <w:sz w:val="22"/>
          <w:szCs w:val="22"/>
        </w:rPr>
        <w:t xml:space="preserve">he Determination </w:t>
      </w:r>
      <w:r w:rsidR="00AA47C4">
        <w:rPr>
          <w:rFonts w:ascii="Times New Roman" w:hAnsi="Times New Roman"/>
          <w:sz w:val="22"/>
          <w:szCs w:val="22"/>
        </w:rPr>
        <w:t>(</w:t>
      </w:r>
      <w:r w:rsidR="007C1299">
        <w:rPr>
          <w:rFonts w:ascii="Times New Roman" w:hAnsi="Times New Roman"/>
          <w:sz w:val="22"/>
          <w:szCs w:val="22"/>
        </w:rPr>
        <w:t xml:space="preserve">relating to </w:t>
      </w:r>
      <w:r w:rsidR="00AA47C4">
        <w:rPr>
          <w:rFonts w:ascii="Times New Roman" w:hAnsi="Times New Roman"/>
          <w:sz w:val="22"/>
          <w:szCs w:val="22"/>
        </w:rPr>
        <w:t xml:space="preserve">commencement) </w:t>
      </w:r>
      <w:r>
        <w:rPr>
          <w:rFonts w:ascii="Times New Roman" w:hAnsi="Times New Roman"/>
          <w:sz w:val="22"/>
          <w:szCs w:val="22"/>
        </w:rPr>
        <w:t>provides a staggered implementatio</w:t>
      </w:r>
      <w:r w:rsidR="00361519">
        <w:rPr>
          <w:rFonts w:ascii="Times New Roman" w:hAnsi="Times New Roman"/>
          <w:sz w:val="22"/>
          <w:szCs w:val="22"/>
        </w:rPr>
        <w:t>n</w:t>
      </w:r>
      <w:r>
        <w:rPr>
          <w:rFonts w:ascii="Times New Roman" w:hAnsi="Times New Roman"/>
          <w:sz w:val="22"/>
          <w:szCs w:val="22"/>
        </w:rPr>
        <w:t xml:space="preserve"> </w:t>
      </w:r>
      <w:r w:rsidR="00AA47C4">
        <w:rPr>
          <w:rFonts w:ascii="Times New Roman" w:hAnsi="Times New Roman"/>
          <w:sz w:val="22"/>
          <w:szCs w:val="22"/>
        </w:rPr>
        <w:t>of the new requirements</w:t>
      </w:r>
      <w:r w:rsidR="00E46796">
        <w:rPr>
          <w:rFonts w:ascii="Times New Roman" w:hAnsi="Times New Roman"/>
          <w:sz w:val="22"/>
          <w:szCs w:val="22"/>
        </w:rPr>
        <w:t>.  Th</w:t>
      </w:r>
      <w:r w:rsidR="00797CE3">
        <w:rPr>
          <w:rFonts w:ascii="Times New Roman" w:hAnsi="Times New Roman"/>
          <w:sz w:val="22"/>
          <w:szCs w:val="22"/>
        </w:rPr>
        <w:t>e staggered implementation</w:t>
      </w:r>
      <w:r w:rsidR="00E46796">
        <w:rPr>
          <w:rFonts w:ascii="Times New Roman" w:hAnsi="Times New Roman"/>
          <w:sz w:val="22"/>
          <w:szCs w:val="22"/>
        </w:rPr>
        <w:t xml:space="preserve"> is </w:t>
      </w:r>
      <w:r w:rsidR="00AA47C4">
        <w:rPr>
          <w:rFonts w:ascii="Times New Roman" w:hAnsi="Times New Roman"/>
          <w:sz w:val="22"/>
          <w:szCs w:val="22"/>
        </w:rPr>
        <w:t xml:space="preserve">principally </w:t>
      </w:r>
      <w:r>
        <w:rPr>
          <w:rFonts w:ascii="Times New Roman" w:hAnsi="Times New Roman"/>
          <w:sz w:val="22"/>
          <w:szCs w:val="22"/>
        </w:rPr>
        <w:t xml:space="preserve">to allow sponsors </w:t>
      </w:r>
      <w:r w:rsidR="001E334A">
        <w:rPr>
          <w:rFonts w:ascii="Times New Roman" w:hAnsi="Times New Roman"/>
          <w:sz w:val="22"/>
          <w:szCs w:val="22"/>
        </w:rPr>
        <w:t xml:space="preserve">of certain types of prescription medicines </w:t>
      </w:r>
      <w:r w:rsidR="00361519">
        <w:rPr>
          <w:rFonts w:ascii="Times New Roman" w:hAnsi="Times New Roman"/>
          <w:sz w:val="22"/>
          <w:szCs w:val="22"/>
        </w:rPr>
        <w:t xml:space="preserve">who do not </w:t>
      </w:r>
      <w:r w:rsidR="00DD1B27">
        <w:rPr>
          <w:rFonts w:ascii="Times New Roman" w:hAnsi="Times New Roman"/>
          <w:sz w:val="22"/>
          <w:szCs w:val="22"/>
        </w:rPr>
        <w:t>currently</w:t>
      </w:r>
      <w:r w:rsidR="001E334A">
        <w:rPr>
          <w:rFonts w:ascii="Times New Roman" w:hAnsi="Times New Roman"/>
          <w:sz w:val="22"/>
          <w:szCs w:val="22"/>
        </w:rPr>
        <w:t xml:space="preserve"> </w:t>
      </w:r>
      <w:r w:rsidR="00361519">
        <w:rPr>
          <w:rFonts w:ascii="Times New Roman" w:hAnsi="Times New Roman"/>
          <w:sz w:val="22"/>
          <w:szCs w:val="22"/>
        </w:rPr>
        <w:t>use eCTD</w:t>
      </w:r>
      <w:r w:rsidR="001E334A">
        <w:rPr>
          <w:rFonts w:ascii="Times New Roman" w:hAnsi="Times New Roman"/>
          <w:sz w:val="22"/>
          <w:szCs w:val="22"/>
        </w:rPr>
        <w:t>,</w:t>
      </w:r>
      <w:r w:rsidR="00361519">
        <w:rPr>
          <w:rFonts w:ascii="Times New Roman" w:hAnsi="Times New Roman"/>
          <w:sz w:val="22"/>
          <w:szCs w:val="22"/>
        </w:rPr>
        <w:t xml:space="preserve"> </w:t>
      </w:r>
      <w:r w:rsidR="00AA47C4">
        <w:rPr>
          <w:rFonts w:ascii="Times New Roman" w:hAnsi="Times New Roman"/>
          <w:sz w:val="22"/>
          <w:szCs w:val="22"/>
        </w:rPr>
        <w:t xml:space="preserve">additional time (until 1 June 2022) </w:t>
      </w:r>
      <w:r>
        <w:rPr>
          <w:rFonts w:ascii="Times New Roman" w:hAnsi="Times New Roman"/>
          <w:sz w:val="22"/>
          <w:szCs w:val="22"/>
        </w:rPr>
        <w:t xml:space="preserve">to update their </w:t>
      </w:r>
      <w:r w:rsidR="007C1299">
        <w:rPr>
          <w:rFonts w:ascii="Times New Roman" w:hAnsi="Times New Roman"/>
          <w:sz w:val="22"/>
          <w:szCs w:val="22"/>
        </w:rPr>
        <w:t xml:space="preserve">systems and </w:t>
      </w:r>
      <w:r>
        <w:rPr>
          <w:rFonts w:ascii="Times New Roman" w:hAnsi="Times New Roman"/>
          <w:sz w:val="22"/>
          <w:szCs w:val="22"/>
        </w:rPr>
        <w:t>processes.</w:t>
      </w:r>
    </w:p>
    <w:p w14:paraId="03F329FE" w14:textId="6AEF9A10" w:rsidR="00776B2B" w:rsidRPr="00B05C36" w:rsidRDefault="00776B2B" w:rsidP="005327F5">
      <w:pPr>
        <w:rPr>
          <w:rFonts w:ascii="Times New Roman" w:hAnsi="Times New Roman"/>
          <w:sz w:val="22"/>
          <w:szCs w:val="22"/>
        </w:rPr>
      </w:pPr>
    </w:p>
    <w:p w14:paraId="04F65279" w14:textId="5C260201" w:rsidR="003C565E" w:rsidRPr="00B05C36" w:rsidRDefault="003C565E" w:rsidP="003C565E">
      <w:pPr>
        <w:autoSpaceDE w:val="0"/>
        <w:autoSpaceDN w:val="0"/>
        <w:adjustRightInd w:val="0"/>
        <w:rPr>
          <w:rFonts w:ascii="Times New Roman" w:hAnsi="Times New Roman"/>
          <w:b/>
          <w:sz w:val="22"/>
          <w:szCs w:val="22"/>
        </w:rPr>
      </w:pPr>
      <w:r w:rsidRPr="00B05C36">
        <w:rPr>
          <w:rFonts w:ascii="Times New Roman" w:hAnsi="Times New Roman"/>
          <w:b/>
          <w:sz w:val="22"/>
          <w:szCs w:val="22"/>
        </w:rPr>
        <w:t>Consultation</w:t>
      </w:r>
    </w:p>
    <w:p w14:paraId="78DEDFF9" w14:textId="3927B5C8" w:rsidR="003C565E" w:rsidRPr="00B05C36" w:rsidRDefault="003C565E" w:rsidP="005327F5">
      <w:pPr>
        <w:rPr>
          <w:rFonts w:ascii="Times New Roman" w:hAnsi="Times New Roman"/>
          <w:sz w:val="22"/>
          <w:szCs w:val="22"/>
        </w:rPr>
      </w:pPr>
    </w:p>
    <w:p w14:paraId="4ADB49EE" w14:textId="3EB6FDFD" w:rsidR="00C42896" w:rsidRDefault="003C565E" w:rsidP="003C565E">
      <w:pPr>
        <w:rPr>
          <w:rFonts w:ascii="Times New Roman" w:hAnsi="Times New Roman"/>
          <w:sz w:val="22"/>
          <w:szCs w:val="22"/>
        </w:rPr>
      </w:pPr>
      <w:r w:rsidRPr="00B05C36">
        <w:rPr>
          <w:rFonts w:ascii="Times New Roman" w:hAnsi="Times New Roman"/>
          <w:sz w:val="22"/>
          <w:szCs w:val="22"/>
        </w:rPr>
        <w:t xml:space="preserve">Public consultation occurred </w:t>
      </w:r>
      <w:r w:rsidR="00863BDC">
        <w:rPr>
          <w:rFonts w:ascii="Times New Roman" w:hAnsi="Times New Roman"/>
          <w:sz w:val="22"/>
          <w:szCs w:val="22"/>
        </w:rPr>
        <w:t xml:space="preserve">during </w:t>
      </w:r>
      <w:r w:rsidRPr="00B05C36">
        <w:rPr>
          <w:rFonts w:ascii="Times New Roman" w:hAnsi="Times New Roman"/>
          <w:sz w:val="22"/>
          <w:szCs w:val="22"/>
        </w:rPr>
        <w:t>November</w:t>
      </w:r>
      <w:r w:rsidR="00863BDC">
        <w:rPr>
          <w:rFonts w:ascii="Times New Roman" w:hAnsi="Times New Roman"/>
          <w:sz w:val="22"/>
          <w:szCs w:val="22"/>
        </w:rPr>
        <w:t xml:space="preserve"> to </w:t>
      </w:r>
      <w:r w:rsidRPr="00B05C36">
        <w:rPr>
          <w:rFonts w:ascii="Times New Roman" w:hAnsi="Times New Roman"/>
          <w:sz w:val="22"/>
          <w:szCs w:val="22"/>
        </w:rPr>
        <w:t xml:space="preserve">December </w:t>
      </w:r>
      <w:r w:rsidR="00863BDC">
        <w:rPr>
          <w:rFonts w:ascii="Times New Roman" w:hAnsi="Times New Roman"/>
          <w:sz w:val="22"/>
          <w:szCs w:val="22"/>
        </w:rPr>
        <w:t xml:space="preserve">in </w:t>
      </w:r>
      <w:r w:rsidRPr="00B05C36">
        <w:rPr>
          <w:rFonts w:ascii="Times New Roman" w:hAnsi="Times New Roman"/>
          <w:sz w:val="22"/>
          <w:szCs w:val="22"/>
        </w:rPr>
        <w:t>2018.</w:t>
      </w:r>
      <w:r w:rsidR="00850919">
        <w:rPr>
          <w:rFonts w:ascii="Times New Roman" w:hAnsi="Times New Roman"/>
          <w:sz w:val="22"/>
          <w:szCs w:val="22"/>
        </w:rPr>
        <w:t xml:space="preserve"> </w:t>
      </w:r>
      <w:r w:rsidRPr="00B05C36">
        <w:rPr>
          <w:rFonts w:ascii="Times New Roman" w:hAnsi="Times New Roman"/>
          <w:sz w:val="22"/>
          <w:szCs w:val="22"/>
        </w:rPr>
        <w:t xml:space="preserve"> </w:t>
      </w:r>
      <w:r w:rsidR="00AA47C4" w:rsidRPr="00B05C36">
        <w:rPr>
          <w:rFonts w:ascii="Times New Roman" w:hAnsi="Times New Roman"/>
          <w:sz w:val="22"/>
          <w:szCs w:val="22"/>
        </w:rPr>
        <w:t xml:space="preserve">The TGA received 22 </w:t>
      </w:r>
      <w:r w:rsidR="00985ECF" w:rsidRPr="00B05C36">
        <w:rPr>
          <w:rFonts w:ascii="Times New Roman" w:hAnsi="Times New Roman"/>
          <w:sz w:val="22"/>
          <w:szCs w:val="22"/>
        </w:rPr>
        <w:t>responses:</w:t>
      </w:r>
      <w:r w:rsidR="00AA47C4" w:rsidRPr="00B05C36">
        <w:rPr>
          <w:rFonts w:ascii="Times New Roman" w:hAnsi="Times New Roman"/>
          <w:sz w:val="22"/>
          <w:szCs w:val="22"/>
        </w:rPr>
        <w:t xml:space="preserve"> 19 from </w:t>
      </w:r>
      <w:r w:rsidR="00942C94">
        <w:rPr>
          <w:rFonts w:ascii="Times New Roman" w:hAnsi="Times New Roman"/>
          <w:sz w:val="22"/>
          <w:szCs w:val="22"/>
        </w:rPr>
        <w:t>sponsors</w:t>
      </w:r>
      <w:r w:rsidR="00AA47C4" w:rsidRPr="00B05C36">
        <w:rPr>
          <w:rFonts w:ascii="Times New Roman" w:hAnsi="Times New Roman"/>
          <w:sz w:val="22"/>
          <w:szCs w:val="22"/>
        </w:rPr>
        <w:t xml:space="preserve"> </w:t>
      </w:r>
      <w:r w:rsidR="00942C94">
        <w:rPr>
          <w:rFonts w:ascii="Times New Roman" w:hAnsi="Times New Roman"/>
          <w:sz w:val="22"/>
          <w:szCs w:val="22"/>
        </w:rPr>
        <w:t>or</w:t>
      </w:r>
      <w:r w:rsidR="00AA47C4" w:rsidRPr="00B05C36">
        <w:rPr>
          <w:rFonts w:ascii="Times New Roman" w:hAnsi="Times New Roman"/>
          <w:sz w:val="22"/>
          <w:szCs w:val="22"/>
        </w:rPr>
        <w:t xml:space="preserve"> regulatory consultants, two from industry representative groups, and one from a related software vendor.</w:t>
      </w:r>
    </w:p>
    <w:p w14:paraId="4F1A1AE6" w14:textId="77777777" w:rsidR="00C42896" w:rsidRDefault="00C42896" w:rsidP="003C565E">
      <w:pPr>
        <w:rPr>
          <w:rFonts w:ascii="Times New Roman" w:hAnsi="Times New Roman"/>
          <w:sz w:val="22"/>
          <w:szCs w:val="22"/>
        </w:rPr>
      </w:pPr>
    </w:p>
    <w:p w14:paraId="0DE6501A" w14:textId="09084316" w:rsidR="00C42896" w:rsidRDefault="00C42896" w:rsidP="00C42896">
      <w:pPr>
        <w:rPr>
          <w:rFonts w:ascii="Times New Roman" w:hAnsi="Times New Roman"/>
          <w:sz w:val="22"/>
          <w:szCs w:val="22"/>
        </w:rPr>
      </w:pPr>
      <w:r>
        <w:rPr>
          <w:rFonts w:ascii="Times New Roman" w:hAnsi="Times New Roman"/>
          <w:sz w:val="22"/>
          <w:szCs w:val="22"/>
        </w:rPr>
        <w:t>All</w:t>
      </w:r>
      <w:r w:rsidRPr="00B05C36">
        <w:rPr>
          <w:rFonts w:ascii="Times New Roman" w:hAnsi="Times New Roman"/>
          <w:sz w:val="22"/>
          <w:szCs w:val="22"/>
        </w:rPr>
        <w:t xml:space="preserve"> respondents support</w:t>
      </w:r>
      <w:r>
        <w:rPr>
          <w:rFonts w:ascii="Times New Roman" w:hAnsi="Times New Roman"/>
          <w:sz w:val="22"/>
          <w:szCs w:val="22"/>
        </w:rPr>
        <w:t>ed</w:t>
      </w:r>
      <w:r w:rsidRPr="00B05C36">
        <w:rPr>
          <w:rFonts w:ascii="Times New Roman" w:hAnsi="Times New Roman"/>
          <w:sz w:val="22"/>
          <w:szCs w:val="22"/>
        </w:rPr>
        <w:t xml:space="preserve"> mandating the eCTD format for prescription medicines</w:t>
      </w:r>
      <w:r>
        <w:rPr>
          <w:rFonts w:ascii="Times New Roman" w:hAnsi="Times New Roman"/>
          <w:sz w:val="22"/>
          <w:szCs w:val="22"/>
        </w:rPr>
        <w:t xml:space="preserve"> and</w:t>
      </w:r>
      <w:r w:rsidRPr="00B05C36">
        <w:rPr>
          <w:rFonts w:ascii="Times New Roman" w:hAnsi="Times New Roman"/>
          <w:sz w:val="22"/>
          <w:szCs w:val="22"/>
        </w:rPr>
        <w:t xml:space="preserve"> 95</w:t>
      </w:r>
      <w:r>
        <w:rPr>
          <w:rFonts w:ascii="Times New Roman" w:hAnsi="Times New Roman"/>
          <w:sz w:val="22"/>
          <w:szCs w:val="22"/>
        </w:rPr>
        <w:t xml:space="preserve"> per cent</w:t>
      </w:r>
      <w:r w:rsidRPr="00B05C36">
        <w:rPr>
          <w:rFonts w:ascii="Times New Roman" w:hAnsi="Times New Roman"/>
          <w:sz w:val="22"/>
          <w:szCs w:val="22"/>
        </w:rPr>
        <w:t xml:space="preserve"> of respondents support</w:t>
      </w:r>
      <w:r>
        <w:rPr>
          <w:rFonts w:ascii="Times New Roman" w:hAnsi="Times New Roman"/>
          <w:sz w:val="22"/>
          <w:szCs w:val="22"/>
        </w:rPr>
        <w:t>ed</w:t>
      </w:r>
      <w:r w:rsidRPr="00B05C36">
        <w:rPr>
          <w:rFonts w:ascii="Times New Roman" w:hAnsi="Times New Roman"/>
          <w:sz w:val="22"/>
          <w:szCs w:val="22"/>
        </w:rPr>
        <w:t xml:space="preserve"> </w:t>
      </w:r>
      <w:r>
        <w:rPr>
          <w:rFonts w:ascii="Times New Roman" w:hAnsi="Times New Roman"/>
          <w:sz w:val="22"/>
          <w:szCs w:val="22"/>
        </w:rPr>
        <w:t>a staggered</w:t>
      </w:r>
      <w:r w:rsidRPr="00B05C36">
        <w:rPr>
          <w:rFonts w:ascii="Times New Roman" w:hAnsi="Times New Roman"/>
          <w:sz w:val="22"/>
          <w:szCs w:val="22"/>
        </w:rPr>
        <w:t xml:space="preserve"> implementation </w:t>
      </w:r>
      <w:r>
        <w:rPr>
          <w:rFonts w:ascii="Times New Roman" w:hAnsi="Times New Roman"/>
          <w:sz w:val="22"/>
          <w:szCs w:val="22"/>
        </w:rPr>
        <w:t xml:space="preserve">approach to the introduction of the proposed new requirement, </w:t>
      </w:r>
      <w:r w:rsidRPr="00B05C36">
        <w:rPr>
          <w:rFonts w:ascii="Times New Roman" w:hAnsi="Times New Roman"/>
          <w:sz w:val="22"/>
          <w:szCs w:val="22"/>
        </w:rPr>
        <w:t xml:space="preserve">beginning with </w:t>
      </w:r>
      <w:r>
        <w:rPr>
          <w:rFonts w:ascii="Times New Roman" w:hAnsi="Times New Roman"/>
          <w:sz w:val="22"/>
          <w:szCs w:val="22"/>
        </w:rPr>
        <w:t xml:space="preserve">those medicines for which applicants were already using the eCTD format.  </w:t>
      </w:r>
      <w:r w:rsidRPr="00B05C36">
        <w:rPr>
          <w:rFonts w:ascii="Times New Roman" w:hAnsi="Times New Roman"/>
          <w:sz w:val="22"/>
          <w:szCs w:val="22"/>
        </w:rPr>
        <w:t>54</w:t>
      </w:r>
      <w:r>
        <w:rPr>
          <w:rFonts w:ascii="Times New Roman" w:hAnsi="Times New Roman"/>
          <w:sz w:val="22"/>
          <w:szCs w:val="22"/>
        </w:rPr>
        <w:t xml:space="preserve"> per cent</w:t>
      </w:r>
      <w:r w:rsidRPr="00B05C36">
        <w:rPr>
          <w:rFonts w:ascii="Times New Roman" w:hAnsi="Times New Roman"/>
          <w:sz w:val="22"/>
          <w:szCs w:val="22"/>
        </w:rPr>
        <w:t xml:space="preserve"> of respondents requested additional time to transition to eCTD</w:t>
      </w:r>
      <w:r>
        <w:rPr>
          <w:rFonts w:ascii="Times New Roman" w:hAnsi="Times New Roman"/>
          <w:sz w:val="22"/>
          <w:szCs w:val="22"/>
        </w:rPr>
        <w:t>, which was accommodated by delaying the commencement of the Determination until 1 November 2021 (and until 1 June 2022 for some medicines, such as new generic medicines).</w:t>
      </w:r>
    </w:p>
    <w:p w14:paraId="46D4F8F1" w14:textId="77777777" w:rsidR="00C42896" w:rsidRDefault="00C42896" w:rsidP="003C565E">
      <w:pPr>
        <w:rPr>
          <w:rFonts w:ascii="Times New Roman" w:hAnsi="Times New Roman"/>
          <w:sz w:val="22"/>
          <w:szCs w:val="22"/>
        </w:rPr>
      </w:pPr>
    </w:p>
    <w:p w14:paraId="40CEE3AA" w14:textId="17C8BCCB" w:rsidR="00AA47C4" w:rsidRDefault="00AA47C4" w:rsidP="003C565E">
      <w:pPr>
        <w:rPr>
          <w:rFonts w:ascii="Times New Roman" w:hAnsi="Times New Roman"/>
          <w:sz w:val="22"/>
          <w:szCs w:val="22"/>
        </w:rPr>
      </w:pPr>
      <w:r w:rsidRPr="00B05C36">
        <w:rPr>
          <w:rFonts w:ascii="Times New Roman" w:hAnsi="Times New Roman"/>
          <w:sz w:val="22"/>
          <w:szCs w:val="22"/>
        </w:rPr>
        <w:t>In early February 2020</w:t>
      </w:r>
      <w:r w:rsidR="00985ECF">
        <w:rPr>
          <w:rFonts w:ascii="Times New Roman" w:hAnsi="Times New Roman"/>
          <w:sz w:val="22"/>
          <w:szCs w:val="22"/>
        </w:rPr>
        <w:t>,</w:t>
      </w:r>
      <w:r w:rsidRPr="00B05C36">
        <w:rPr>
          <w:rFonts w:ascii="Times New Roman" w:hAnsi="Times New Roman"/>
          <w:sz w:val="22"/>
          <w:szCs w:val="22"/>
        </w:rPr>
        <w:t xml:space="preserve"> </w:t>
      </w:r>
      <w:r>
        <w:rPr>
          <w:rFonts w:ascii="Times New Roman" w:hAnsi="Times New Roman"/>
          <w:sz w:val="22"/>
          <w:szCs w:val="22"/>
        </w:rPr>
        <w:t>the TGA co</w:t>
      </w:r>
      <w:r w:rsidRPr="00B05C36">
        <w:rPr>
          <w:rFonts w:ascii="Times New Roman" w:hAnsi="Times New Roman"/>
          <w:sz w:val="22"/>
          <w:szCs w:val="22"/>
        </w:rPr>
        <w:t xml:space="preserve">ntacted </w:t>
      </w:r>
      <w:r w:rsidR="00C42896">
        <w:rPr>
          <w:rFonts w:ascii="Times New Roman" w:hAnsi="Times New Roman"/>
          <w:sz w:val="22"/>
          <w:szCs w:val="22"/>
        </w:rPr>
        <w:t>16</w:t>
      </w:r>
      <w:r w:rsidRPr="00B05C36">
        <w:rPr>
          <w:rFonts w:ascii="Times New Roman" w:hAnsi="Times New Roman"/>
          <w:sz w:val="22"/>
          <w:szCs w:val="22"/>
        </w:rPr>
        <w:t xml:space="preserve"> sponsors </w:t>
      </w:r>
      <w:r w:rsidR="00942C94">
        <w:rPr>
          <w:rFonts w:ascii="Times New Roman" w:hAnsi="Times New Roman"/>
          <w:sz w:val="22"/>
          <w:szCs w:val="22"/>
        </w:rPr>
        <w:t xml:space="preserve">not currently using the eCTD format </w:t>
      </w:r>
      <w:r w:rsidRPr="00B05C36">
        <w:rPr>
          <w:rFonts w:ascii="Times New Roman" w:hAnsi="Times New Roman"/>
          <w:sz w:val="22"/>
          <w:szCs w:val="22"/>
        </w:rPr>
        <w:t xml:space="preserve">to seek </w:t>
      </w:r>
      <w:r w:rsidR="00942C94">
        <w:rPr>
          <w:rFonts w:ascii="Times New Roman" w:hAnsi="Times New Roman"/>
          <w:sz w:val="22"/>
          <w:szCs w:val="22"/>
        </w:rPr>
        <w:t xml:space="preserve">their </w:t>
      </w:r>
      <w:r w:rsidRPr="00B05C36">
        <w:rPr>
          <w:rFonts w:ascii="Times New Roman" w:hAnsi="Times New Roman"/>
          <w:sz w:val="22"/>
          <w:szCs w:val="22"/>
        </w:rPr>
        <w:t>feedback on their current plans to transition to eCTD</w:t>
      </w:r>
      <w:r w:rsidR="00C42896">
        <w:rPr>
          <w:rFonts w:ascii="Times New Roman" w:hAnsi="Times New Roman"/>
          <w:sz w:val="22"/>
          <w:szCs w:val="22"/>
        </w:rPr>
        <w:t>,</w:t>
      </w:r>
      <w:r w:rsidRPr="00B05C36">
        <w:rPr>
          <w:rFonts w:ascii="Times New Roman" w:hAnsi="Times New Roman"/>
          <w:sz w:val="22"/>
          <w:szCs w:val="22"/>
        </w:rPr>
        <w:t xml:space="preserve"> and </w:t>
      </w:r>
      <w:r w:rsidR="00942C94">
        <w:rPr>
          <w:rFonts w:ascii="Times New Roman" w:hAnsi="Times New Roman"/>
          <w:sz w:val="22"/>
          <w:szCs w:val="22"/>
        </w:rPr>
        <w:t xml:space="preserve">to </w:t>
      </w:r>
      <w:r w:rsidRPr="00B05C36">
        <w:rPr>
          <w:rFonts w:ascii="Times New Roman" w:hAnsi="Times New Roman"/>
          <w:sz w:val="22"/>
          <w:szCs w:val="22"/>
        </w:rPr>
        <w:t>offer support and guidance</w:t>
      </w:r>
      <w:r>
        <w:rPr>
          <w:rFonts w:ascii="Times New Roman" w:hAnsi="Times New Roman"/>
          <w:sz w:val="22"/>
          <w:szCs w:val="22"/>
        </w:rPr>
        <w:t xml:space="preserve">. </w:t>
      </w:r>
      <w:r w:rsidRPr="00B05C36">
        <w:rPr>
          <w:rFonts w:ascii="Times New Roman" w:hAnsi="Times New Roman"/>
          <w:sz w:val="22"/>
          <w:szCs w:val="22"/>
        </w:rPr>
        <w:t xml:space="preserve"> </w:t>
      </w:r>
      <w:r w:rsidR="00C42896">
        <w:rPr>
          <w:rFonts w:ascii="Times New Roman" w:hAnsi="Times New Roman"/>
          <w:sz w:val="22"/>
          <w:szCs w:val="22"/>
        </w:rPr>
        <w:t>F</w:t>
      </w:r>
      <w:r w:rsidRPr="00B05C36">
        <w:rPr>
          <w:rFonts w:ascii="Times New Roman" w:hAnsi="Times New Roman"/>
          <w:sz w:val="22"/>
          <w:szCs w:val="22"/>
        </w:rPr>
        <w:t>our responses were received</w:t>
      </w:r>
      <w:r w:rsidR="00C42896">
        <w:rPr>
          <w:rFonts w:ascii="Times New Roman" w:hAnsi="Times New Roman"/>
          <w:sz w:val="22"/>
          <w:szCs w:val="22"/>
        </w:rPr>
        <w:t>, with t</w:t>
      </w:r>
      <w:r w:rsidRPr="00B05C36">
        <w:rPr>
          <w:rFonts w:ascii="Times New Roman" w:hAnsi="Times New Roman"/>
          <w:sz w:val="22"/>
          <w:szCs w:val="22"/>
        </w:rPr>
        <w:t>hree respondents stat</w:t>
      </w:r>
      <w:r w:rsidR="00C42896">
        <w:rPr>
          <w:rFonts w:ascii="Times New Roman" w:hAnsi="Times New Roman"/>
          <w:sz w:val="22"/>
          <w:szCs w:val="22"/>
        </w:rPr>
        <w:t>ing</w:t>
      </w:r>
      <w:r w:rsidRPr="00B05C36">
        <w:rPr>
          <w:rFonts w:ascii="Times New Roman" w:hAnsi="Times New Roman"/>
          <w:sz w:val="22"/>
          <w:szCs w:val="22"/>
        </w:rPr>
        <w:t xml:space="preserve"> </w:t>
      </w:r>
      <w:r w:rsidR="00C42896">
        <w:rPr>
          <w:rFonts w:ascii="Times New Roman" w:hAnsi="Times New Roman"/>
          <w:sz w:val="22"/>
          <w:szCs w:val="22"/>
        </w:rPr>
        <w:t xml:space="preserve">that </w:t>
      </w:r>
      <w:r w:rsidRPr="00B05C36">
        <w:rPr>
          <w:rFonts w:ascii="Times New Roman" w:hAnsi="Times New Roman"/>
          <w:sz w:val="22"/>
          <w:szCs w:val="22"/>
        </w:rPr>
        <w:t xml:space="preserve">they </w:t>
      </w:r>
      <w:r w:rsidR="00C42896">
        <w:rPr>
          <w:rFonts w:ascii="Times New Roman" w:hAnsi="Times New Roman"/>
          <w:sz w:val="22"/>
          <w:szCs w:val="22"/>
        </w:rPr>
        <w:t>were</w:t>
      </w:r>
      <w:r w:rsidRPr="00B05C36">
        <w:rPr>
          <w:rFonts w:ascii="Times New Roman" w:hAnsi="Times New Roman"/>
          <w:sz w:val="22"/>
          <w:szCs w:val="22"/>
        </w:rPr>
        <w:t xml:space="preserve"> currently preparing for a transition to eCTD and would appreciate further advice on the TGA’s eCTD implementation plan.</w:t>
      </w:r>
    </w:p>
    <w:p w14:paraId="25BC7D81" w14:textId="77777777" w:rsidR="00AA47C4" w:rsidRDefault="00AA47C4" w:rsidP="003C565E">
      <w:pPr>
        <w:rPr>
          <w:rFonts w:ascii="Times New Roman" w:hAnsi="Times New Roman"/>
          <w:sz w:val="22"/>
          <w:szCs w:val="22"/>
        </w:rPr>
      </w:pPr>
    </w:p>
    <w:p w14:paraId="43759631" w14:textId="65D565A5" w:rsidR="003C565E" w:rsidRPr="00B05C36" w:rsidRDefault="003C565E" w:rsidP="003C565E">
      <w:pPr>
        <w:rPr>
          <w:rFonts w:ascii="Times New Roman" w:hAnsi="Times New Roman"/>
          <w:sz w:val="22"/>
          <w:szCs w:val="22"/>
        </w:rPr>
      </w:pPr>
      <w:r w:rsidRPr="00B05C36">
        <w:rPr>
          <w:rFonts w:ascii="Times New Roman" w:hAnsi="Times New Roman"/>
          <w:sz w:val="22"/>
          <w:szCs w:val="22"/>
        </w:rPr>
        <w:t xml:space="preserve">The Office of Best Practice Regulation </w:t>
      </w:r>
      <w:r w:rsidR="003321D3">
        <w:rPr>
          <w:rFonts w:ascii="Times New Roman" w:hAnsi="Times New Roman"/>
          <w:sz w:val="22"/>
          <w:szCs w:val="22"/>
        </w:rPr>
        <w:t xml:space="preserve">(“OBPR”) </w:t>
      </w:r>
      <w:r w:rsidRPr="00B05C36">
        <w:rPr>
          <w:rFonts w:ascii="Times New Roman" w:hAnsi="Times New Roman"/>
          <w:sz w:val="22"/>
          <w:szCs w:val="22"/>
        </w:rPr>
        <w:t>a</w:t>
      </w:r>
      <w:r w:rsidR="003321D3">
        <w:rPr>
          <w:rFonts w:ascii="Times New Roman" w:hAnsi="Times New Roman"/>
          <w:sz w:val="22"/>
          <w:szCs w:val="22"/>
        </w:rPr>
        <w:t>dvised that</w:t>
      </w:r>
      <w:r w:rsidRPr="00B05C36">
        <w:rPr>
          <w:rFonts w:ascii="Times New Roman" w:hAnsi="Times New Roman"/>
          <w:sz w:val="22"/>
          <w:szCs w:val="22"/>
        </w:rPr>
        <w:t xml:space="preserve"> this proposal would be unlikely to have more than </w:t>
      </w:r>
      <w:r w:rsidR="00D636EA">
        <w:rPr>
          <w:rFonts w:ascii="Times New Roman" w:hAnsi="Times New Roman"/>
          <w:sz w:val="22"/>
          <w:szCs w:val="22"/>
        </w:rPr>
        <w:t xml:space="preserve">a </w:t>
      </w:r>
      <w:r w:rsidRPr="00B05C36">
        <w:rPr>
          <w:rFonts w:ascii="Times New Roman" w:hAnsi="Times New Roman"/>
          <w:sz w:val="22"/>
          <w:szCs w:val="22"/>
        </w:rPr>
        <w:t xml:space="preserve">minor </w:t>
      </w:r>
      <w:r w:rsidR="00D636EA">
        <w:rPr>
          <w:rFonts w:ascii="Times New Roman" w:hAnsi="Times New Roman"/>
          <w:sz w:val="22"/>
          <w:szCs w:val="22"/>
        </w:rPr>
        <w:t xml:space="preserve">regulatory </w:t>
      </w:r>
      <w:r w:rsidR="001A5A89" w:rsidRPr="00B05C36">
        <w:rPr>
          <w:rFonts w:ascii="Times New Roman" w:hAnsi="Times New Roman"/>
          <w:sz w:val="22"/>
          <w:szCs w:val="22"/>
        </w:rPr>
        <w:t>impact</w:t>
      </w:r>
      <w:r w:rsidR="001A5A89">
        <w:rPr>
          <w:rFonts w:ascii="Times New Roman" w:hAnsi="Times New Roman"/>
          <w:sz w:val="22"/>
          <w:szCs w:val="22"/>
        </w:rPr>
        <w:t xml:space="preserve"> and</w:t>
      </w:r>
      <w:r w:rsidRPr="00B05C36">
        <w:rPr>
          <w:rFonts w:ascii="Times New Roman" w:hAnsi="Times New Roman"/>
          <w:sz w:val="22"/>
          <w:szCs w:val="22"/>
        </w:rPr>
        <w:t xml:space="preserve"> determined that a Regulatory Impact Statement (RIS) would not be required (OBPR reference 25620).</w:t>
      </w:r>
    </w:p>
    <w:p w14:paraId="3A9D2C5B" w14:textId="77777777" w:rsidR="003B2462" w:rsidRPr="00B05C36" w:rsidRDefault="003B2462" w:rsidP="007231B2">
      <w:pPr>
        <w:rPr>
          <w:rFonts w:ascii="Times New Roman" w:hAnsi="Times New Roman"/>
          <w:sz w:val="22"/>
          <w:szCs w:val="22"/>
        </w:rPr>
      </w:pPr>
    </w:p>
    <w:p w14:paraId="3ABB6E8F" w14:textId="77777777" w:rsidR="00294A49" w:rsidRPr="00B05C36" w:rsidRDefault="00294A49" w:rsidP="007231B2">
      <w:pPr>
        <w:rPr>
          <w:rFonts w:ascii="Times New Roman" w:hAnsi="Times New Roman"/>
          <w:sz w:val="22"/>
          <w:szCs w:val="22"/>
        </w:rPr>
      </w:pPr>
      <w:r w:rsidRPr="00B05C36">
        <w:rPr>
          <w:rFonts w:ascii="Times New Roman" w:hAnsi="Times New Roman"/>
          <w:sz w:val="22"/>
          <w:szCs w:val="22"/>
        </w:rPr>
        <w:t xml:space="preserve">Details of the </w:t>
      </w:r>
      <w:r w:rsidR="00147EBC" w:rsidRPr="00B05C36">
        <w:rPr>
          <w:rFonts w:ascii="Times New Roman" w:hAnsi="Times New Roman"/>
          <w:sz w:val="22"/>
          <w:szCs w:val="22"/>
        </w:rPr>
        <w:t xml:space="preserve">Determination </w:t>
      </w:r>
      <w:r w:rsidRPr="00B05C36">
        <w:rPr>
          <w:rFonts w:ascii="Times New Roman" w:hAnsi="Times New Roman"/>
          <w:sz w:val="22"/>
          <w:szCs w:val="22"/>
        </w:rPr>
        <w:t xml:space="preserve">are set out in </w:t>
      </w:r>
      <w:r w:rsidRPr="00B05C36">
        <w:rPr>
          <w:rFonts w:ascii="Times New Roman" w:hAnsi="Times New Roman"/>
          <w:sz w:val="22"/>
          <w:szCs w:val="22"/>
          <w:u w:val="single"/>
        </w:rPr>
        <w:t>Attachment A</w:t>
      </w:r>
      <w:r w:rsidRPr="00B05C36">
        <w:rPr>
          <w:rFonts w:ascii="Times New Roman" w:hAnsi="Times New Roman"/>
          <w:sz w:val="22"/>
          <w:szCs w:val="22"/>
        </w:rPr>
        <w:t>.</w:t>
      </w:r>
    </w:p>
    <w:p w14:paraId="438D3313" w14:textId="77777777" w:rsidR="00294A49" w:rsidRPr="00B05C36" w:rsidRDefault="00294A49" w:rsidP="007231B2">
      <w:pPr>
        <w:rPr>
          <w:rFonts w:ascii="Times New Roman" w:hAnsi="Times New Roman"/>
          <w:sz w:val="22"/>
          <w:szCs w:val="22"/>
        </w:rPr>
      </w:pPr>
    </w:p>
    <w:p w14:paraId="1AED328D" w14:textId="78A30062" w:rsidR="00294A49" w:rsidRPr="00B05C36" w:rsidRDefault="00294A49" w:rsidP="00294A49">
      <w:pPr>
        <w:rPr>
          <w:rFonts w:ascii="Times New Roman" w:hAnsi="Times New Roman"/>
          <w:sz w:val="22"/>
          <w:szCs w:val="22"/>
        </w:rPr>
      </w:pPr>
      <w:r w:rsidRPr="00B05C36">
        <w:rPr>
          <w:rFonts w:ascii="Times New Roman" w:hAnsi="Times New Roman"/>
          <w:sz w:val="22"/>
          <w:szCs w:val="22"/>
        </w:rPr>
        <w:t xml:space="preserve">The </w:t>
      </w:r>
      <w:r w:rsidR="00147EBC" w:rsidRPr="00B05C36">
        <w:rPr>
          <w:rFonts w:ascii="Times New Roman" w:hAnsi="Times New Roman"/>
          <w:sz w:val="22"/>
          <w:szCs w:val="22"/>
        </w:rPr>
        <w:t>Determination</w:t>
      </w:r>
      <w:r w:rsidRPr="00B05C36">
        <w:rPr>
          <w:rFonts w:ascii="Times New Roman" w:hAnsi="Times New Roman"/>
          <w:sz w:val="22"/>
          <w:szCs w:val="22"/>
        </w:rPr>
        <w:t xml:space="preserve"> is compatible with human rights and freedoms recognised or declared under section 3 of the </w:t>
      </w:r>
      <w:r w:rsidRPr="00B05C36">
        <w:rPr>
          <w:rFonts w:ascii="Times New Roman" w:hAnsi="Times New Roman"/>
          <w:i/>
          <w:sz w:val="22"/>
          <w:szCs w:val="22"/>
        </w:rPr>
        <w:t>Human Rights (Parliamentary Scrutiny) Act 2011</w:t>
      </w:r>
      <w:r w:rsidRPr="00B05C36">
        <w:rPr>
          <w:rFonts w:ascii="Times New Roman" w:hAnsi="Times New Roman"/>
          <w:sz w:val="22"/>
          <w:szCs w:val="22"/>
        </w:rPr>
        <w:t xml:space="preserve">. </w:t>
      </w:r>
      <w:r w:rsidR="009F1610">
        <w:rPr>
          <w:rFonts w:ascii="Times New Roman" w:hAnsi="Times New Roman"/>
          <w:sz w:val="22"/>
          <w:szCs w:val="22"/>
        </w:rPr>
        <w:t xml:space="preserve"> </w:t>
      </w:r>
      <w:r w:rsidRPr="00B05C36">
        <w:rPr>
          <w:rFonts w:ascii="Times New Roman" w:hAnsi="Times New Roman"/>
          <w:sz w:val="22"/>
          <w:szCs w:val="22"/>
        </w:rPr>
        <w:t xml:space="preserve">A full statement of compatibility is set out in </w:t>
      </w:r>
      <w:r w:rsidRPr="00B05C36">
        <w:rPr>
          <w:rFonts w:ascii="Times New Roman" w:hAnsi="Times New Roman"/>
          <w:sz w:val="22"/>
          <w:szCs w:val="22"/>
          <w:u w:val="single"/>
        </w:rPr>
        <w:t>Attachment B</w:t>
      </w:r>
      <w:r w:rsidRPr="00B05C36">
        <w:rPr>
          <w:rFonts w:ascii="Times New Roman" w:hAnsi="Times New Roman"/>
          <w:sz w:val="22"/>
          <w:szCs w:val="22"/>
        </w:rPr>
        <w:t>.</w:t>
      </w:r>
    </w:p>
    <w:p w14:paraId="18B90C1D" w14:textId="77777777" w:rsidR="00294A49" w:rsidRPr="00B05C36" w:rsidRDefault="00294A49" w:rsidP="007231B2">
      <w:pPr>
        <w:rPr>
          <w:rFonts w:ascii="Times New Roman" w:hAnsi="Times New Roman"/>
          <w:sz w:val="22"/>
          <w:szCs w:val="22"/>
        </w:rPr>
      </w:pPr>
    </w:p>
    <w:p w14:paraId="582CDAF5" w14:textId="49B10F4F" w:rsidR="0028480D" w:rsidRPr="00B05C36" w:rsidRDefault="00CC7CE5" w:rsidP="0028480D">
      <w:pPr>
        <w:autoSpaceDE w:val="0"/>
        <w:autoSpaceDN w:val="0"/>
        <w:adjustRightInd w:val="0"/>
        <w:rPr>
          <w:rFonts w:ascii="Times New Roman" w:hAnsi="Times New Roman"/>
          <w:sz w:val="22"/>
          <w:szCs w:val="22"/>
        </w:rPr>
      </w:pPr>
      <w:r w:rsidRPr="00B05C36">
        <w:rPr>
          <w:rFonts w:ascii="Times New Roman" w:hAnsi="Times New Roman"/>
          <w:sz w:val="22"/>
          <w:szCs w:val="22"/>
        </w:rPr>
        <w:t xml:space="preserve">The </w:t>
      </w:r>
      <w:r w:rsidR="00147EBC" w:rsidRPr="00B05C36">
        <w:rPr>
          <w:rFonts w:ascii="Times New Roman" w:hAnsi="Times New Roman"/>
          <w:sz w:val="22"/>
          <w:szCs w:val="22"/>
        </w:rPr>
        <w:t xml:space="preserve">Determination </w:t>
      </w:r>
      <w:r w:rsidRPr="00B05C36">
        <w:rPr>
          <w:rFonts w:ascii="Times New Roman" w:hAnsi="Times New Roman"/>
          <w:sz w:val="22"/>
          <w:szCs w:val="22"/>
        </w:rPr>
        <w:t>is a disallowable legislative instrument</w:t>
      </w:r>
      <w:r w:rsidRPr="00B05C36">
        <w:rPr>
          <w:rFonts w:ascii="Times New Roman" w:hAnsi="Times New Roman"/>
          <w:i/>
          <w:sz w:val="22"/>
          <w:szCs w:val="22"/>
        </w:rPr>
        <w:t xml:space="preserve"> </w:t>
      </w:r>
      <w:r w:rsidR="006833B2" w:rsidRPr="00B05C36">
        <w:rPr>
          <w:rFonts w:ascii="Times New Roman" w:hAnsi="Times New Roman"/>
          <w:sz w:val="22"/>
          <w:szCs w:val="22"/>
        </w:rPr>
        <w:t xml:space="preserve">and </w:t>
      </w:r>
      <w:r w:rsidR="009F1610">
        <w:rPr>
          <w:rFonts w:ascii="Times New Roman" w:hAnsi="Times New Roman"/>
          <w:sz w:val="22"/>
          <w:szCs w:val="22"/>
        </w:rPr>
        <w:t xml:space="preserve">has a staggered </w:t>
      </w:r>
      <w:r w:rsidR="006833B2" w:rsidRPr="00B05C36">
        <w:rPr>
          <w:rFonts w:ascii="Times New Roman" w:hAnsi="Times New Roman"/>
          <w:sz w:val="22"/>
          <w:szCs w:val="22"/>
        </w:rPr>
        <w:t>commence</w:t>
      </w:r>
      <w:r w:rsidR="009F1610">
        <w:rPr>
          <w:rFonts w:ascii="Times New Roman" w:hAnsi="Times New Roman"/>
          <w:sz w:val="22"/>
          <w:szCs w:val="22"/>
        </w:rPr>
        <w:t>ment beginning on 1 November 2021</w:t>
      </w:r>
      <w:r w:rsidRPr="00B05C36">
        <w:rPr>
          <w:rFonts w:ascii="Times New Roman" w:hAnsi="Times New Roman"/>
          <w:sz w:val="22"/>
          <w:szCs w:val="22"/>
        </w:rPr>
        <w:t>.</w:t>
      </w:r>
    </w:p>
    <w:p w14:paraId="2BC05477" w14:textId="77777777" w:rsidR="0028480D" w:rsidRPr="00B05C36" w:rsidRDefault="0028480D">
      <w:pPr>
        <w:spacing w:after="200" w:line="276" w:lineRule="auto"/>
        <w:rPr>
          <w:rFonts w:ascii="Times New Roman" w:hAnsi="Times New Roman"/>
          <w:sz w:val="22"/>
          <w:szCs w:val="22"/>
        </w:rPr>
      </w:pPr>
      <w:r w:rsidRPr="00B05C36">
        <w:rPr>
          <w:rFonts w:ascii="Times New Roman" w:hAnsi="Times New Roman"/>
          <w:sz w:val="22"/>
          <w:szCs w:val="22"/>
        </w:rPr>
        <w:br w:type="page"/>
      </w:r>
    </w:p>
    <w:p w14:paraId="4BD8DCEB" w14:textId="77777777" w:rsidR="00294A49" w:rsidRPr="00B05C36" w:rsidRDefault="00294A49" w:rsidP="00294A49">
      <w:pPr>
        <w:jc w:val="right"/>
        <w:rPr>
          <w:rFonts w:ascii="Times New Roman" w:hAnsi="Times New Roman"/>
          <w:b/>
          <w:bCs/>
          <w:sz w:val="22"/>
          <w:szCs w:val="22"/>
        </w:rPr>
      </w:pPr>
      <w:r w:rsidRPr="00B05C36">
        <w:rPr>
          <w:rFonts w:ascii="Times New Roman" w:hAnsi="Times New Roman"/>
          <w:b/>
          <w:bCs/>
          <w:sz w:val="22"/>
          <w:szCs w:val="22"/>
        </w:rPr>
        <w:lastRenderedPageBreak/>
        <w:t>Attachment A</w:t>
      </w:r>
    </w:p>
    <w:p w14:paraId="599FFD22" w14:textId="77777777" w:rsidR="00294A49" w:rsidRPr="00B05C36" w:rsidRDefault="00294A49" w:rsidP="00294A49">
      <w:pPr>
        <w:rPr>
          <w:rFonts w:ascii="Times New Roman" w:hAnsi="Times New Roman"/>
          <w:b/>
          <w:bCs/>
          <w:sz w:val="22"/>
          <w:szCs w:val="22"/>
        </w:rPr>
      </w:pPr>
    </w:p>
    <w:p w14:paraId="69BEF26B" w14:textId="70E7CE45" w:rsidR="00294A49" w:rsidRPr="00B05C36" w:rsidRDefault="00294A49" w:rsidP="00294A49">
      <w:pPr>
        <w:rPr>
          <w:rFonts w:ascii="Times New Roman" w:hAnsi="Times New Roman"/>
          <w:b/>
          <w:bCs/>
          <w:i/>
          <w:sz w:val="22"/>
          <w:szCs w:val="22"/>
        </w:rPr>
      </w:pPr>
      <w:r w:rsidRPr="00B05C36">
        <w:rPr>
          <w:rFonts w:ascii="Times New Roman" w:hAnsi="Times New Roman"/>
          <w:b/>
          <w:bCs/>
          <w:sz w:val="22"/>
          <w:szCs w:val="22"/>
        </w:rPr>
        <w:t xml:space="preserve">Details of the </w:t>
      </w:r>
      <w:r w:rsidR="0060165C" w:rsidRPr="00B05C36">
        <w:rPr>
          <w:rFonts w:ascii="Times New Roman" w:hAnsi="Times New Roman"/>
          <w:b/>
          <w:i/>
          <w:sz w:val="22"/>
          <w:szCs w:val="22"/>
        </w:rPr>
        <w:t>Therapeutic Goods (</w:t>
      </w:r>
      <w:r w:rsidR="0028480D" w:rsidRPr="00B05C36">
        <w:rPr>
          <w:rFonts w:ascii="Times New Roman" w:hAnsi="Times New Roman"/>
          <w:b/>
          <w:i/>
          <w:sz w:val="22"/>
          <w:szCs w:val="22"/>
        </w:rPr>
        <w:t>Prescription Medicines—Information Accompanying Applications for Registration) Determination 2021</w:t>
      </w:r>
    </w:p>
    <w:p w14:paraId="5D66D061" w14:textId="77777777" w:rsidR="00294A49" w:rsidRPr="00B05C36" w:rsidRDefault="00294A49" w:rsidP="00294A49">
      <w:pPr>
        <w:rPr>
          <w:rFonts w:ascii="Times New Roman" w:hAnsi="Times New Roman"/>
          <w:b/>
          <w:bCs/>
          <w:i/>
          <w:sz w:val="22"/>
          <w:szCs w:val="22"/>
        </w:rPr>
      </w:pPr>
    </w:p>
    <w:p w14:paraId="4C550D74" w14:textId="77777777" w:rsidR="00294A49" w:rsidRPr="00B05C36" w:rsidRDefault="00B279BF" w:rsidP="00294A49">
      <w:pPr>
        <w:rPr>
          <w:rFonts w:ascii="Times New Roman" w:hAnsi="Times New Roman"/>
          <w:b/>
          <w:bCs/>
          <w:sz w:val="22"/>
          <w:szCs w:val="22"/>
        </w:rPr>
      </w:pPr>
      <w:r w:rsidRPr="00B05C36">
        <w:rPr>
          <w:rFonts w:ascii="Times New Roman" w:hAnsi="Times New Roman"/>
          <w:b/>
          <w:bCs/>
          <w:sz w:val="22"/>
          <w:szCs w:val="22"/>
        </w:rPr>
        <w:t>Section 1 – Name</w:t>
      </w:r>
    </w:p>
    <w:p w14:paraId="75F1EA69" w14:textId="77777777" w:rsidR="00B279BF" w:rsidRPr="00B05C36" w:rsidRDefault="00B279BF" w:rsidP="00294A49">
      <w:pPr>
        <w:rPr>
          <w:rFonts w:ascii="Times New Roman" w:hAnsi="Times New Roman"/>
          <w:b/>
          <w:bCs/>
          <w:sz w:val="22"/>
          <w:szCs w:val="22"/>
        </w:rPr>
      </w:pPr>
    </w:p>
    <w:p w14:paraId="5CBAC517" w14:textId="0712574B" w:rsidR="00B279BF" w:rsidRPr="00B05C36" w:rsidRDefault="00B279BF" w:rsidP="00294A49">
      <w:pPr>
        <w:rPr>
          <w:rFonts w:ascii="Times New Roman" w:hAnsi="Times New Roman"/>
          <w:bCs/>
          <w:sz w:val="22"/>
          <w:szCs w:val="22"/>
        </w:rPr>
      </w:pPr>
      <w:r w:rsidRPr="00B05C36">
        <w:rPr>
          <w:rFonts w:ascii="Times New Roman" w:hAnsi="Times New Roman"/>
          <w:bCs/>
          <w:sz w:val="22"/>
          <w:szCs w:val="22"/>
        </w:rPr>
        <w:t>This section provides that the name of th</w:t>
      </w:r>
      <w:r w:rsidR="00846A95" w:rsidRPr="00B05C36">
        <w:rPr>
          <w:rFonts w:ascii="Times New Roman" w:hAnsi="Times New Roman"/>
          <w:bCs/>
          <w:sz w:val="22"/>
          <w:szCs w:val="22"/>
        </w:rPr>
        <w:t>e</w:t>
      </w:r>
      <w:r w:rsidRPr="00B05C36">
        <w:rPr>
          <w:rFonts w:ascii="Times New Roman" w:hAnsi="Times New Roman"/>
          <w:bCs/>
          <w:sz w:val="22"/>
          <w:szCs w:val="22"/>
        </w:rPr>
        <w:t xml:space="preserve"> </w:t>
      </w:r>
      <w:r w:rsidR="006667BD" w:rsidRPr="00B05C36">
        <w:rPr>
          <w:rFonts w:ascii="Times New Roman" w:hAnsi="Times New Roman"/>
          <w:bCs/>
          <w:sz w:val="22"/>
          <w:szCs w:val="22"/>
        </w:rPr>
        <w:t>Determination</w:t>
      </w:r>
      <w:r w:rsidRPr="00B05C36">
        <w:rPr>
          <w:rFonts w:ascii="Times New Roman" w:hAnsi="Times New Roman"/>
          <w:bCs/>
          <w:sz w:val="22"/>
          <w:szCs w:val="22"/>
        </w:rPr>
        <w:t xml:space="preserve"> is the </w:t>
      </w:r>
      <w:r w:rsidR="0028480D" w:rsidRPr="00B05C36">
        <w:rPr>
          <w:rFonts w:ascii="Times New Roman" w:hAnsi="Times New Roman"/>
          <w:i/>
          <w:sz w:val="22"/>
          <w:szCs w:val="22"/>
        </w:rPr>
        <w:t>Therapeutic Goods (Prescription Medicines—Information Accompanying Applications for Registration) Determination 2021</w:t>
      </w:r>
      <w:r w:rsidR="000836D4" w:rsidRPr="00B05C36">
        <w:rPr>
          <w:rFonts w:ascii="Times New Roman" w:hAnsi="Times New Roman"/>
          <w:i/>
          <w:sz w:val="22"/>
          <w:szCs w:val="22"/>
        </w:rPr>
        <w:t xml:space="preserve"> </w:t>
      </w:r>
      <w:r w:rsidR="000836D4" w:rsidRPr="00B05C36">
        <w:rPr>
          <w:rFonts w:ascii="Times New Roman" w:hAnsi="Times New Roman"/>
          <w:iCs/>
          <w:sz w:val="22"/>
          <w:szCs w:val="22"/>
        </w:rPr>
        <w:t>(“the Determination”)</w:t>
      </w:r>
      <w:r w:rsidR="00337507" w:rsidRPr="00B05C36">
        <w:rPr>
          <w:rFonts w:ascii="Times New Roman" w:hAnsi="Times New Roman"/>
          <w:i/>
          <w:sz w:val="22"/>
          <w:szCs w:val="22"/>
        </w:rPr>
        <w:t>.</w:t>
      </w:r>
    </w:p>
    <w:p w14:paraId="0427E272" w14:textId="77777777" w:rsidR="00B279BF" w:rsidRPr="00FD6770" w:rsidRDefault="00B279BF" w:rsidP="00294A49">
      <w:pPr>
        <w:rPr>
          <w:rFonts w:ascii="Times New Roman" w:hAnsi="Times New Roman"/>
          <w:b/>
          <w:sz w:val="22"/>
          <w:szCs w:val="22"/>
        </w:rPr>
      </w:pPr>
    </w:p>
    <w:p w14:paraId="0926CFC9" w14:textId="77777777" w:rsidR="00B279BF" w:rsidRPr="00B05C36" w:rsidRDefault="00B279BF" w:rsidP="00294A49">
      <w:pPr>
        <w:rPr>
          <w:rFonts w:ascii="Times New Roman" w:hAnsi="Times New Roman"/>
          <w:b/>
          <w:bCs/>
          <w:sz w:val="22"/>
          <w:szCs w:val="22"/>
        </w:rPr>
      </w:pPr>
      <w:r w:rsidRPr="00B05C36">
        <w:rPr>
          <w:rFonts w:ascii="Times New Roman" w:hAnsi="Times New Roman"/>
          <w:b/>
          <w:bCs/>
          <w:sz w:val="22"/>
          <w:szCs w:val="22"/>
        </w:rPr>
        <w:t>Section 2 – Commencement</w:t>
      </w:r>
    </w:p>
    <w:p w14:paraId="30FE177B" w14:textId="77777777" w:rsidR="00B279BF" w:rsidRPr="00B05C36" w:rsidRDefault="00B279BF" w:rsidP="00294A49">
      <w:pPr>
        <w:rPr>
          <w:rFonts w:ascii="Times New Roman" w:hAnsi="Times New Roman"/>
          <w:b/>
          <w:bCs/>
          <w:sz w:val="22"/>
          <w:szCs w:val="22"/>
        </w:rPr>
      </w:pPr>
    </w:p>
    <w:p w14:paraId="1ED78BC6" w14:textId="460C7C33" w:rsidR="00B279BF" w:rsidRPr="00B05C36" w:rsidRDefault="00B279BF" w:rsidP="00294A49">
      <w:pPr>
        <w:rPr>
          <w:rFonts w:ascii="Times New Roman" w:hAnsi="Times New Roman"/>
          <w:bCs/>
          <w:sz w:val="22"/>
          <w:szCs w:val="22"/>
        </w:rPr>
      </w:pPr>
      <w:r w:rsidRPr="00B05C36">
        <w:rPr>
          <w:rFonts w:ascii="Times New Roman" w:hAnsi="Times New Roman"/>
          <w:bCs/>
          <w:sz w:val="22"/>
          <w:szCs w:val="22"/>
        </w:rPr>
        <w:t xml:space="preserve">This section provides that </w:t>
      </w:r>
      <w:r w:rsidR="0028480D" w:rsidRPr="00B05C36">
        <w:rPr>
          <w:rFonts w:ascii="Times New Roman" w:hAnsi="Times New Roman"/>
          <w:bCs/>
          <w:sz w:val="22"/>
          <w:szCs w:val="22"/>
        </w:rPr>
        <w:t>sections 1 to 7</w:t>
      </w:r>
      <w:r w:rsidR="0040666F">
        <w:rPr>
          <w:rFonts w:ascii="Times New Roman" w:hAnsi="Times New Roman"/>
          <w:bCs/>
          <w:sz w:val="22"/>
          <w:szCs w:val="22"/>
        </w:rPr>
        <w:t>,</w:t>
      </w:r>
      <w:r w:rsidR="0028480D" w:rsidRPr="00B05C36">
        <w:rPr>
          <w:rFonts w:ascii="Times New Roman" w:hAnsi="Times New Roman"/>
          <w:bCs/>
          <w:sz w:val="22"/>
          <w:szCs w:val="22"/>
        </w:rPr>
        <w:t xml:space="preserve"> and items 1 to 4 of Schedule 1</w:t>
      </w:r>
      <w:r w:rsidR="0040666F">
        <w:rPr>
          <w:rFonts w:ascii="Times New Roman" w:hAnsi="Times New Roman"/>
          <w:bCs/>
          <w:sz w:val="22"/>
          <w:szCs w:val="22"/>
        </w:rPr>
        <w:t>,</w:t>
      </w:r>
      <w:r w:rsidR="0028480D" w:rsidRPr="00B05C36">
        <w:rPr>
          <w:rFonts w:ascii="Times New Roman" w:hAnsi="Times New Roman"/>
          <w:bCs/>
          <w:sz w:val="22"/>
          <w:szCs w:val="22"/>
        </w:rPr>
        <w:t xml:space="preserve"> of </w:t>
      </w:r>
      <w:r w:rsidR="00846A95" w:rsidRPr="00B05C36">
        <w:rPr>
          <w:rFonts w:ascii="Times New Roman" w:hAnsi="Times New Roman"/>
          <w:bCs/>
          <w:sz w:val="22"/>
          <w:szCs w:val="22"/>
        </w:rPr>
        <w:t xml:space="preserve">the </w:t>
      </w:r>
      <w:r w:rsidR="006667BD" w:rsidRPr="00B05C36">
        <w:rPr>
          <w:rFonts w:ascii="Times New Roman" w:hAnsi="Times New Roman"/>
          <w:bCs/>
          <w:sz w:val="22"/>
          <w:szCs w:val="22"/>
        </w:rPr>
        <w:t xml:space="preserve">Determination </w:t>
      </w:r>
      <w:r w:rsidR="00846A95" w:rsidRPr="00B05C36">
        <w:rPr>
          <w:rFonts w:ascii="Times New Roman" w:hAnsi="Times New Roman"/>
          <w:bCs/>
          <w:sz w:val="22"/>
          <w:szCs w:val="22"/>
        </w:rPr>
        <w:t>commence</w:t>
      </w:r>
      <w:r w:rsidR="000836D4" w:rsidRPr="00B05C36">
        <w:rPr>
          <w:rFonts w:ascii="Times New Roman" w:hAnsi="Times New Roman"/>
          <w:bCs/>
          <w:sz w:val="22"/>
          <w:szCs w:val="22"/>
        </w:rPr>
        <w:t xml:space="preserve"> on 1 November 2021</w:t>
      </w:r>
      <w:r w:rsidR="0040666F">
        <w:rPr>
          <w:rFonts w:ascii="Times New Roman" w:hAnsi="Times New Roman"/>
          <w:bCs/>
          <w:sz w:val="22"/>
          <w:szCs w:val="22"/>
        </w:rPr>
        <w:t>,</w:t>
      </w:r>
      <w:r w:rsidR="000836D4" w:rsidRPr="00B05C36">
        <w:rPr>
          <w:rFonts w:ascii="Times New Roman" w:hAnsi="Times New Roman"/>
          <w:bCs/>
          <w:sz w:val="22"/>
          <w:szCs w:val="22"/>
        </w:rPr>
        <w:t xml:space="preserve"> </w:t>
      </w:r>
      <w:r w:rsidR="0040666F">
        <w:rPr>
          <w:rFonts w:ascii="Times New Roman" w:hAnsi="Times New Roman"/>
          <w:bCs/>
          <w:sz w:val="22"/>
          <w:szCs w:val="22"/>
        </w:rPr>
        <w:t>and that</w:t>
      </w:r>
      <w:r w:rsidR="000836D4" w:rsidRPr="00B05C36">
        <w:rPr>
          <w:rFonts w:ascii="Times New Roman" w:hAnsi="Times New Roman"/>
          <w:bCs/>
          <w:sz w:val="22"/>
          <w:szCs w:val="22"/>
        </w:rPr>
        <w:t xml:space="preserve"> items 5 to 7 of Schedule 1 commence on 1 June 2022.</w:t>
      </w:r>
    </w:p>
    <w:p w14:paraId="4E19E659" w14:textId="77777777" w:rsidR="00B279BF" w:rsidRPr="00B05C36" w:rsidRDefault="00B279BF" w:rsidP="00294A49">
      <w:pPr>
        <w:rPr>
          <w:rFonts w:ascii="Times New Roman" w:hAnsi="Times New Roman"/>
          <w:b/>
          <w:bCs/>
          <w:sz w:val="22"/>
          <w:szCs w:val="22"/>
        </w:rPr>
      </w:pPr>
    </w:p>
    <w:p w14:paraId="0AE54515" w14:textId="317A5EDA" w:rsidR="0040666F" w:rsidRDefault="0040666F" w:rsidP="00294A49">
      <w:pPr>
        <w:rPr>
          <w:rFonts w:ascii="Times New Roman" w:hAnsi="Times New Roman"/>
          <w:b/>
          <w:bCs/>
          <w:sz w:val="22"/>
          <w:szCs w:val="22"/>
        </w:rPr>
      </w:pPr>
      <w:r>
        <w:rPr>
          <w:rFonts w:ascii="Times New Roman" w:hAnsi="Times New Roman"/>
          <w:b/>
          <w:bCs/>
          <w:sz w:val="22"/>
          <w:szCs w:val="22"/>
        </w:rPr>
        <w:t>Section 3 – Authority</w:t>
      </w:r>
    </w:p>
    <w:p w14:paraId="47AB7162" w14:textId="3E95AEB5" w:rsidR="0040666F" w:rsidRDefault="0040666F" w:rsidP="00294A49">
      <w:pPr>
        <w:rPr>
          <w:rFonts w:ascii="Times New Roman" w:hAnsi="Times New Roman"/>
          <w:b/>
          <w:bCs/>
          <w:sz w:val="22"/>
          <w:szCs w:val="22"/>
        </w:rPr>
      </w:pPr>
    </w:p>
    <w:p w14:paraId="0F5C239C" w14:textId="7A8FC910" w:rsidR="0040666F" w:rsidRPr="0040666F" w:rsidRDefault="0040666F" w:rsidP="00294A49">
      <w:pPr>
        <w:rPr>
          <w:rFonts w:ascii="Times New Roman" w:hAnsi="Times New Roman"/>
          <w:sz w:val="22"/>
          <w:szCs w:val="22"/>
        </w:rPr>
      </w:pPr>
      <w:r>
        <w:rPr>
          <w:rFonts w:ascii="Times New Roman" w:hAnsi="Times New Roman"/>
          <w:sz w:val="22"/>
          <w:szCs w:val="22"/>
        </w:rPr>
        <w:t xml:space="preserve">This section provides that the legislative authority for making the Determination is subsection 23B(10) of the </w:t>
      </w:r>
      <w:r w:rsidR="00560B2A">
        <w:rPr>
          <w:rFonts w:ascii="Times New Roman" w:hAnsi="Times New Roman"/>
          <w:i/>
          <w:iCs/>
          <w:sz w:val="22"/>
          <w:szCs w:val="22"/>
        </w:rPr>
        <w:t xml:space="preserve">Therapeutic Goods Act 1989 </w:t>
      </w:r>
      <w:r w:rsidR="00560B2A">
        <w:rPr>
          <w:rFonts w:ascii="Times New Roman" w:hAnsi="Times New Roman"/>
          <w:sz w:val="22"/>
          <w:szCs w:val="22"/>
        </w:rPr>
        <w:t xml:space="preserve">(“the </w:t>
      </w:r>
      <w:r>
        <w:rPr>
          <w:rFonts w:ascii="Times New Roman" w:hAnsi="Times New Roman"/>
          <w:sz w:val="22"/>
          <w:szCs w:val="22"/>
        </w:rPr>
        <w:t>Act</w:t>
      </w:r>
      <w:r w:rsidR="00560B2A">
        <w:rPr>
          <w:rFonts w:ascii="Times New Roman" w:hAnsi="Times New Roman"/>
          <w:sz w:val="22"/>
          <w:szCs w:val="22"/>
        </w:rPr>
        <w:t>”)</w:t>
      </w:r>
      <w:r>
        <w:rPr>
          <w:rFonts w:ascii="Times New Roman" w:hAnsi="Times New Roman"/>
          <w:sz w:val="22"/>
          <w:szCs w:val="22"/>
        </w:rPr>
        <w:t>.</w:t>
      </w:r>
    </w:p>
    <w:p w14:paraId="16F71FBE" w14:textId="77777777" w:rsidR="0040666F" w:rsidRDefault="0040666F" w:rsidP="00294A49">
      <w:pPr>
        <w:rPr>
          <w:rFonts w:ascii="Times New Roman" w:hAnsi="Times New Roman"/>
          <w:b/>
          <w:bCs/>
          <w:sz w:val="22"/>
          <w:szCs w:val="22"/>
        </w:rPr>
      </w:pPr>
    </w:p>
    <w:p w14:paraId="52A6BFBE" w14:textId="68058CFD" w:rsidR="00B279BF" w:rsidRPr="00B05C36" w:rsidRDefault="00B279BF" w:rsidP="00294A49">
      <w:pPr>
        <w:rPr>
          <w:rFonts w:ascii="Times New Roman" w:hAnsi="Times New Roman"/>
          <w:b/>
          <w:bCs/>
          <w:sz w:val="22"/>
          <w:szCs w:val="22"/>
        </w:rPr>
      </w:pPr>
      <w:r w:rsidRPr="00B05C36">
        <w:rPr>
          <w:rFonts w:ascii="Times New Roman" w:hAnsi="Times New Roman"/>
          <w:b/>
          <w:bCs/>
          <w:sz w:val="22"/>
          <w:szCs w:val="22"/>
        </w:rPr>
        <w:t xml:space="preserve">Section </w:t>
      </w:r>
      <w:r w:rsidR="0040666F">
        <w:rPr>
          <w:rFonts w:ascii="Times New Roman" w:hAnsi="Times New Roman"/>
          <w:b/>
          <w:bCs/>
          <w:sz w:val="22"/>
          <w:szCs w:val="22"/>
        </w:rPr>
        <w:t>4</w:t>
      </w:r>
      <w:r w:rsidRPr="00B05C36">
        <w:rPr>
          <w:rFonts w:ascii="Times New Roman" w:hAnsi="Times New Roman"/>
          <w:b/>
          <w:bCs/>
          <w:sz w:val="22"/>
          <w:szCs w:val="22"/>
        </w:rPr>
        <w:t xml:space="preserve"> – </w:t>
      </w:r>
      <w:r w:rsidR="00116077" w:rsidRPr="00B05C36">
        <w:rPr>
          <w:rFonts w:ascii="Times New Roman" w:hAnsi="Times New Roman"/>
          <w:b/>
          <w:bCs/>
          <w:sz w:val="22"/>
          <w:szCs w:val="22"/>
        </w:rPr>
        <w:t>Definitions</w:t>
      </w:r>
    </w:p>
    <w:p w14:paraId="6216CCF0" w14:textId="77777777" w:rsidR="00B279BF" w:rsidRPr="00B05C36" w:rsidRDefault="00B279BF" w:rsidP="00294A49">
      <w:pPr>
        <w:rPr>
          <w:rFonts w:ascii="Times New Roman" w:hAnsi="Times New Roman"/>
          <w:b/>
          <w:bCs/>
          <w:sz w:val="22"/>
          <w:szCs w:val="22"/>
        </w:rPr>
      </w:pPr>
    </w:p>
    <w:p w14:paraId="1FC10920" w14:textId="194B5689" w:rsidR="00D41D94" w:rsidRPr="00B05C36" w:rsidRDefault="00E02B26" w:rsidP="00B279BF">
      <w:pPr>
        <w:rPr>
          <w:rFonts w:ascii="Times New Roman" w:hAnsi="Times New Roman"/>
          <w:bCs/>
          <w:sz w:val="22"/>
          <w:szCs w:val="22"/>
        </w:rPr>
      </w:pPr>
      <w:r w:rsidRPr="00B05C36">
        <w:rPr>
          <w:rFonts w:ascii="Times New Roman" w:hAnsi="Times New Roman"/>
          <w:bCs/>
          <w:sz w:val="22"/>
          <w:szCs w:val="22"/>
        </w:rPr>
        <w:t xml:space="preserve">This section provides the definitions of key terms used in the Determination, including </w:t>
      </w:r>
      <w:r w:rsidR="003542E9">
        <w:rPr>
          <w:rFonts w:ascii="Times New Roman" w:hAnsi="Times New Roman"/>
          <w:bCs/>
          <w:sz w:val="22"/>
          <w:szCs w:val="22"/>
        </w:rPr>
        <w:t>‘</w:t>
      </w:r>
      <w:r w:rsidR="0040666F">
        <w:rPr>
          <w:rFonts w:ascii="Times New Roman" w:hAnsi="Times New Roman"/>
          <w:bCs/>
          <w:sz w:val="22"/>
          <w:szCs w:val="22"/>
        </w:rPr>
        <w:t>eCTD</w:t>
      </w:r>
      <w:r w:rsidR="003542E9">
        <w:rPr>
          <w:rFonts w:ascii="Times New Roman" w:hAnsi="Times New Roman"/>
          <w:bCs/>
          <w:sz w:val="22"/>
          <w:szCs w:val="22"/>
        </w:rPr>
        <w:t>’</w:t>
      </w:r>
      <w:r w:rsidR="0040666F">
        <w:rPr>
          <w:rFonts w:ascii="Times New Roman" w:hAnsi="Times New Roman"/>
          <w:bCs/>
          <w:sz w:val="22"/>
          <w:szCs w:val="22"/>
        </w:rPr>
        <w:t xml:space="preserve">, </w:t>
      </w:r>
      <w:r w:rsidRPr="00B05C36">
        <w:rPr>
          <w:rFonts w:ascii="Times New Roman" w:hAnsi="Times New Roman"/>
          <w:bCs/>
          <w:sz w:val="22"/>
          <w:szCs w:val="22"/>
        </w:rPr>
        <w:t>‘</w:t>
      </w:r>
      <w:r w:rsidR="00B05C36" w:rsidRPr="00B05C36">
        <w:rPr>
          <w:rFonts w:ascii="Times New Roman" w:hAnsi="Times New Roman"/>
          <w:bCs/>
          <w:sz w:val="22"/>
          <w:szCs w:val="22"/>
        </w:rPr>
        <w:t>new chemical entity medicine</w:t>
      </w:r>
      <w:r w:rsidRPr="00B05C36">
        <w:rPr>
          <w:rFonts w:ascii="Times New Roman" w:hAnsi="Times New Roman"/>
          <w:bCs/>
          <w:sz w:val="22"/>
          <w:szCs w:val="22"/>
        </w:rPr>
        <w:t>’ and ‘</w:t>
      </w:r>
      <w:r w:rsidR="009F1610">
        <w:rPr>
          <w:rFonts w:ascii="Times New Roman" w:hAnsi="Times New Roman"/>
          <w:bCs/>
          <w:sz w:val="22"/>
          <w:szCs w:val="22"/>
        </w:rPr>
        <w:t>new generic medicine</w:t>
      </w:r>
      <w:r w:rsidRPr="00B05C36">
        <w:rPr>
          <w:rFonts w:ascii="Times New Roman" w:hAnsi="Times New Roman"/>
          <w:bCs/>
          <w:sz w:val="22"/>
          <w:szCs w:val="22"/>
        </w:rPr>
        <w:t xml:space="preserve">’. </w:t>
      </w:r>
      <w:r w:rsidR="000C3A89">
        <w:rPr>
          <w:rFonts w:ascii="Times New Roman" w:hAnsi="Times New Roman"/>
          <w:bCs/>
          <w:sz w:val="22"/>
          <w:szCs w:val="22"/>
        </w:rPr>
        <w:t xml:space="preserve"> </w:t>
      </w:r>
      <w:r w:rsidRPr="00B05C36">
        <w:rPr>
          <w:rFonts w:ascii="Times New Roman" w:hAnsi="Times New Roman"/>
          <w:bCs/>
          <w:sz w:val="22"/>
          <w:szCs w:val="22"/>
        </w:rPr>
        <w:t xml:space="preserve">This section also </w:t>
      </w:r>
      <w:r w:rsidR="003542E9">
        <w:rPr>
          <w:rFonts w:ascii="Times New Roman" w:hAnsi="Times New Roman"/>
          <w:bCs/>
          <w:sz w:val="22"/>
          <w:szCs w:val="22"/>
        </w:rPr>
        <w:t>notes</w:t>
      </w:r>
      <w:r w:rsidR="003542E9" w:rsidRPr="00B05C36">
        <w:rPr>
          <w:rFonts w:ascii="Times New Roman" w:hAnsi="Times New Roman"/>
          <w:bCs/>
          <w:sz w:val="22"/>
          <w:szCs w:val="22"/>
        </w:rPr>
        <w:t xml:space="preserve"> </w:t>
      </w:r>
      <w:r w:rsidRPr="00B05C36">
        <w:rPr>
          <w:rFonts w:ascii="Times New Roman" w:hAnsi="Times New Roman"/>
          <w:bCs/>
          <w:sz w:val="22"/>
          <w:szCs w:val="22"/>
        </w:rPr>
        <w:t xml:space="preserve">that </w:t>
      </w:r>
      <w:r w:rsidR="0040666F">
        <w:rPr>
          <w:rFonts w:ascii="Times New Roman" w:hAnsi="Times New Roman"/>
          <w:bCs/>
          <w:sz w:val="22"/>
          <w:szCs w:val="22"/>
        </w:rPr>
        <w:t>a number of</w:t>
      </w:r>
      <w:r w:rsidRPr="00B05C36">
        <w:rPr>
          <w:rFonts w:ascii="Times New Roman" w:hAnsi="Times New Roman"/>
          <w:bCs/>
          <w:sz w:val="22"/>
          <w:szCs w:val="22"/>
        </w:rPr>
        <w:t xml:space="preserve"> expression</w:t>
      </w:r>
      <w:r w:rsidR="009F1610">
        <w:rPr>
          <w:rFonts w:ascii="Times New Roman" w:hAnsi="Times New Roman"/>
          <w:bCs/>
          <w:sz w:val="22"/>
          <w:szCs w:val="22"/>
        </w:rPr>
        <w:t>s</w:t>
      </w:r>
      <w:r w:rsidR="0040666F">
        <w:rPr>
          <w:rFonts w:ascii="Times New Roman" w:hAnsi="Times New Roman"/>
          <w:bCs/>
          <w:sz w:val="22"/>
          <w:szCs w:val="22"/>
        </w:rPr>
        <w:t xml:space="preserve"> used in the Determination, including</w:t>
      </w:r>
      <w:r w:rsidRPr="00B05C36">
        <w:rPr>
          <w:rFonts w:ascii="Times New Roman" w:hAnsi="Times New Roman"/>
          <w:bCs/>
          <w:sz w:val="22"/>
          <w:szCs w:val="22"/>
        </w:rPr>
        <w:t xml:space="preserve"> ‘</w:t>
      </w:r>
      <w:r w:rsidR="009F1610">
        <w:rPr>
          <w:rFonts w:ascii="Times New Roman" w:hAnsi="Times New Roman"/>
          <w:bCs/>
          <w:sz w:val="22"/>
          <w:szCs w:val="22"/>
        </w:rPr>
        <w:t>medicine</w:t>
      </w:r>
      <w:r w:rsidRPr="00B05C36">
        <w:rPr>
          <w:rFonts w:ascii="Times New Roman" w:hAnsi="Times New Roman"/>
          <w:bCs/>
          <w:sz w:val="22"/>
          <w:szCs w:val="22"/>
        </w:rPr>
        <w:t>’</w:t>
      </w:r>
      <w:r w:rsidR="009F1610">
        <w:rPr>
          <w:rFonts w:ascii="Times New Roman" w:hAnsi="Times New Roman"/>
          <w:bCs/>
          <w:sz w:val="22"/>
          <w:szCs w:val="22"/>
        </w:rPr>
        <w:t xml:space="preserve"> and ‘registered goods’</w:t>
      </w:r>
      <w:r w:rsidR="0040666F">
        <w:rPr>
          <w:rFonts w:ascii="Times New Roman" w:hAnsi="Times New Roman"/>
          <w:bCs/>
          <w:sz w:val="22"/>
          <w:szCs w:val="22"/>
        </w:rPr>
        <w:t>,</w:t>
      </w:r>
      <w:r w:rsidRPr="00B05C36">
        <w:rPr>
          <w:rFonts w:ascii="Times New Roman" w:hAnsi="Times New Roman"/>
          <w:bCs/>
          <w:sz w:val="22"/>
          <w:szCs w:val="22"/>
        </w:rPr>
        <w:t xml:space="preserve"> ha</w:t>
      </w:r>
      <w:r w:rsidR="0040666F">
        <w:rPr>
          <w:rFonts w:ascii="Times New Roman" w:hAnsi="Times New Roman"/>
          <w:bCs/>
          <w:sz w:val="22"/>
          <w:szCs w:val="22"/>
        </w:rPr>
        <w:t>ve</w:t>
      </w:r>
      <w:r w:rsidRPr="00B05C36">
        <w:rPr>
          <w:rFonts w:ascii="Times New Roman" w:hAnsi="Times New Roman"/>
          <w:bCs/>
          <w:sz w:val="22"/>
          <w:szCs w:val="22"/>
        </w:rPr>
        <w:t xml:space="preserve"> the same meaning as in the Act</w:t>
      </w:r>
      <w:r w:rsidR="00B07040" w:rsidRPr="00B05C36">
        <w:rPr>
          <w:rFonts w:ascii="Times New Roman" w:hAnsi="Times New Roman"/>
          <w:bCs/>
          <w:sz w:val="22"/>
          <w:szCs w:val="22"/>
        </w:rPr>
        <w:t>.</w:t>
      </w:r>
    </w:p>
    <w:p w14:paraId="4B87E6B8" w14:textId="77777777" w:rsidR="004B7DFF" w:rsidRPr="00FD6770" w:rsidRDefault="004B7DFF" w:rsidP="00B279BF">
      <w:pPr>
        <w:rPr>
          <w:rFonts w:ascii="Times New Roman" w:hAnsi="Times New Roman"/>
          <w:b/>
          <w:strike/>
          <w:sz w:val="22"/>
          <w:szCs w:val="22"/>
        </w:rPr>
      </w:pPr>
    </w:p>
    <w:p w14:paraId="37AAEF5F" w14:textId="0BF93BC2" w:rsidR="00BA366D" w:rsidRPr="00B05C36" w:rsidRDefault="00BA366D" w:rsidP="00BA366D">
      <w:pPr>
        <w:rPr>
          <w:rFonts w:ascii="Times New Roman" w:hAnsi="Times New Roman"/>
          <w:b/>
          <w:bCs/>
          <w:sz w:val="22"/>
          <w:szCs w:val="22"/>
        </w:rPr>
      </w:pPr>
      <w:r w:rsidRPr="00B05C36">
        <w:rPr>
          <w:rFonts w:ascii="Times New Roman" w:hAnsi="Times New Roman"/>
          <w:b/>
          <w:bCs/>
          <w:sz w:val="22"/>
          <w:szCs w:val="22"/>
        </w:rPr>
        <w:t xml:space="preserve">Section </w:t>
      </w:r>
      <w:r w:rsidR="0040666F">
        <w:rPr>
          <w:rFonts w:ascii="Times New Roman" w:hAnsi="Times New Roman"/>
          <w:b/>
          <w:bCs/>
          <w:sz w:val="22"/>
          <w:szCs w:val="22"/>
        </w:rPr>
        <w:t>5</w:t>
      </w:r>
      <w:r w:rsidRPr="00B05C36">
        <w:rPr>
          <w:rFonts w:ascii="Times New Roman" w:hAnsi="Times New Roman"/>
          <w:b/>
          <w:bCs/>
          <w:sz w:val="22"/>
          <w:szCs w:val="22"/>
        </w:rPr>
        <w:t xml:space="preserve"> </w:t>
      </w:r>
      <w:r w:rsidR="00487413" w:rsidRPr="00B05C36">
        <w:rPr>
          <w:rFonts w:ascii="Times New Roman" w:hAnsi="Times New Roman"/>
          <w:b/>
          <w:bCs/>
          <w:sz w:val="22"/>
          <w:szCs w:val="22"/>
        </w:rPr>
        <w:t>–</w:t>
      </w:r>
      <w:r w:rsidRPr="00B05C36">
        <w:rPr>
          <w:rFonts w:ascii="Times New Roman" w:hAnsi="Times New Roman"/>
          <w:b/>
          <w:bCs/>
          <w:sz w:val="22"/>
          <w:szCs w:val="22"/>
        </w:rPr>
        <w:t xml:space="preserve"> </w:t>
      </w:r>
      <w:r w:rsidR="00487413" w:rsidRPr="00B05C36">
        <w:rPr>
          <w:rFonts w:ascii="Times New Roman" w:hAnsi="Times New Roman"/>
          <w:b/>
          <w:bCs/>
          <w:sz w:val="22"/>
          <w:szCs w:val="22"/>
        </w:rPr>
        <w:t>Application</w:t>
      </w:r>
    </w:p>
    <w:p w14:paraId="33ADD0C6" w14:textId="77777777" w:rsidR="00BA366D" w:rsidRPr="00B05C36" w:rsidRDefault="00BA366D" w:rsidP="00BA366D">
      <w:pPr>
        <w:rPr>
          <w:rFonts w:ascii="Times New Roman" w:hAnsi="Times New Roman"/>
          <w:b/>
          <w:bCs/>
          <w:strike/>
          <w:sz w:val="22"/>
          <w:szCs w:val="22"/>
        </w:rPr>
      </w:pPr>
    </w:p>
    <w:p w14:paraId="60968A66" w14:textId="69DAD562" w:rsidR="005327F5" w:rsidRDefault="00487413" w:rsidP="00BA366D">
      <w:pPr>
        <w:rPr>
          <w:rFonts w:ascii="Times New Roman" w:hAnsi="Times New Roman"/>
          <w:bCs/>
          <w:sz w:val="22"/>
          <w:szCs w:val="22"/>
        </w:rPr>
      </w:pPr>
      <w:r w:rsidRPr="00B05C36">
        <w:rPr>
          <w:rFonts w:ascii="Times New Roman" w:hAnsi="Times New Roman"/>
          <w:bCs/>
          <w:sz w:val="22"/>
          <w:szCs w:val="22"/>
        </w:rPr>
        <w:t>This section provides that the Determination applies</w:t>
      </w:r>
      <w:r w:rsidR="00B05C36" w:rsidRPr="00B05C36">
        <w:rPr>
          <w:rFonts w:ascii="Times New Roman" w:hAnsi="Times New Roman"/>
          <w:bCs/>
          <w:sz w:val="22"/>
          <w:szCs w:val="22"/>
        </w:rPr>
        <w:t xml:space="preserve"> to medicines of the class specified in paragraph 4(1)(a) of the </w:t>
      </w:r>
      <w:r w:rsidR="00B05C36" w:rsidRPr="00B05C36">
        <w:rPr>
          <w:rFonts w:ascii="Times New Roman" w:hAnsi="Times New Roman"/>
          <w:bCs/>
          <w:i/>
          <w:iCs/>
          <w:sz w:val="22"/>
          <w:szCs w:val="22"/>
        </w:rPr>
        <w:t>Therapeutic Goods (Classes of Therapeutic Goods) Instrument 2018</w:t>
      </w:r>
      <w:r w:rsidR="00B05C36" w:rsidRPr="00B05C36">
        <w:rPr>
          <w:rFonts w:ascii="Times New Roman" w:hAnsi="Times New Roman"/>
          <w:bCs/>
          <w:sz w:val="22"/>
          <w:szCs w:val="22"/>
        </w:rPr>
        <w:t>.</w:t>
      </w:r>
    </w:p>
    <w:p w14:paraId="0B390D96" w14:textId="26CAE612" w:rsidR="0040666F" w:rsidRPr="00FD6770" w:rsidRDefault="0040666F" w:rsidP="00BA366D">
      <w:pPr>
        <w:rPr>
          <w:rFonts w:ascii="Times New Roman" w:hAnsi="Times New Roman"/>
          <w:b/>
          <w:sz w:val="22"/>
          <w:szCs w:val="22"/>
        </w:rPr>
      </w:pPr>
    </w:p>
    <w:p w14:paraId="50E90B51" w14:textId="6729FDCF" w:rsidR="0040666F" w:rsidRPr="00B05C36" w:rsidRDefault="0040666F" w:rsidP="00BA366D">
      <w:pPr>
        <w:rPr>
          <w:rFonts w:ascii="Times New Roman" w:hAnsi="Times New Roman"/>
          <w:bCs/>
          <w:sz w:val="22"/>
          <w:szCs w:val="22"/>
        </w:rPr>
      </w:pPr>
      <w:r>
        <w:rPr>
          <w:rFonts w:ascii="Times New Roman" w:hAnsi="Times New Roman"/>
          <w:bCs/>
          <w:sz w:val="22"/>
          <w:szCs w:val="22"/>
        </w:rPr>
        <w:t xml:space="preserve">The note to this section highlights that the </w:t>
      </w:r>
      <w:r w:rsidRPr="00B05C36">
        <w:rPr>
          <w:rFonts w:ascii="Times New Roman" w:hAnsi="Times New Roman"/>
          <w:bCs/>
          <w:i/>
          <w:iCs/>
          <w:sz w:val="22"/>
          <w:szCs w:val="22"/>
        </w:rPr>
        <w:t>Therapeutic Goods (Classes of Therapeutic Goods) Instrument 2018</w:t>
      </w:r>
      <w:r>
        <w:rPr>
          <w:rFonts w:ascii="Times New Roman" w:hAnsi="Times New Roman"/>
          <w:bCs/>
          <w:i/>
          <w:iCs/>
          <w:sz w:val="22"/>
          <w:szCs w:val="22"/>
        </w:rPr>
        <w:t xml:space="preserve"> </w:t>
      </w:r>
      <w:r>
        <w:rPr>
          <w:rFonts w:ascii="Times New Roman" w:hAnsi="Times New Roman"/>
          <w:bCs/>
          <w:sz w:val="22"/>
          <w:szCs w:val="22"/>
        </w:rPr>
        <w:t>is a notifiable instrument and is published on the Federal Register of Legislation at www.legislation.gov.au.</w:t>
      </w:r>
    </w:p>
    <w:p w14:paraId="4693BF5F" w14:textId="77777777" w:rsidR="00487413" w:rsidRPr="00FD6770" w:rsidRDefault="00487413" w:rsidP="00294A49">
      <w:pPr>
        <w:rPr>
          <w:rFonts w:ascii="Times New Roman" w:hAnsi="Times New Roman"/>
          <w:b/>
          <w:bCs/>
          <w:sz w:val="22"/>
          <w:szCs w:val="22"/>
        </w:rPr>
      </w:pPr>
    </w:p>
    <w:p w14:paraId="2D218903" w14:textId="2AD6B214" w:rsidR="000D45DC" w:rsidRPr="00B05C36" w:rsidRDefault="000D45DC" w:rsidP="0013396D">
      <w:pPr>
        <w:keepNext/>
        <w:rPr>
          <w:rFonts w:ascii="Times New Roman" w:hAnsi="Times New Roman"/>
          <w:b/>
          <w:bCs/>
          <w:sz w:val="22"/>
          <w:szCs w:val="22"/>
        </w:rPr>
      </w:pPr>
      <w:r w:rsidRPr="00B05C36">
        <w:rPr>
          <w:rFonts w:ascii="Times New Roman" w:hAnsi="Times New Roman"/>
          <w:b/>
          <w:bCs/>
          <w:sz w:val="22"/>
          <w:szCs w:val="22"/>
        </w:rPr>
        <w:t xml:space="preserve">Section </w:t>
      </w:r>
      <w:r w:rsidR="002F3953" w:rsidRPr="00B05C36">
        <w:rPr>
          <w:rFonts w:ascii="Times New Roman" w:hAnsi="Times New Roman"/>
          <w:b/>
          <w:bCs/>
          <w:sz w:val="22"/>
          <w:szCs w:val="22"/>
        </w:rPr>
        <w:t>6</w:t>
      </w:r>
      <w:r w:rsidRPr="00B05C36">
        <w:rPr>
          <w:rFonts w:ascii="Times New Roman" w:hAnsi="Times New Roman"/>
          <w:b/>
          <w:bCs/>
          <w:sz w:val="22"/>
          <w:szCs w:val="22"/>
        </w:rPr>
        <w:t xml:space="preserve"> – </w:t>
      </w:r>
      <w:r w:rsidR="00487413" w:rsidRPr="00B05C36">
        <w:rPr>
          <w:rFonts w:ascii="Times New Roman" w:hAnsi="Times New Roman"/>
          <w:b/>
          <w:bCs/>
          <w:sz w:val="22"/>
          <w:szCs w:val="22"/>
        </w:rPr>
        <w:t xml:space="preserve">Form of </w:t>
      </w:r>
      <w:r w:rsidR="009F1610" w:rsidRPr="00B05C36">
        <w:rPr>
          <w:rFonts w:ascii="Times New Roman" w:hAnsi="Times New Roman"/>
          <w:b/>
          <w:bCs/>
          <w:sz w:val="22"/>
          <w:szCs w:val="22"/>
        </w:rPr>
        <w:t>information</w:t>
      </w:r>
    </w:p>
    <w:p w14:paraId="7A920856" w14:textId="77777777" w:rsidR="000D45DC" w:rsidRPr="00FD6770" w:rsidRDefault="000D45DC" w:rsidP="000D45DC">
      <w:pPr>
        <w:rPr>
          <w:rFonts w:ascii="Times New Roman" w:hAnsi="Times New Roman"/>
          <w:b/>
          <w:bCs/>
          <w:strike/>
          <w:sz w:val="22"/>
          <w:szCs w:val="22"/>
        </w:rPr>
      </w:pPr>
    </w:p>
    <w:p w14:paraId="4F56B9B0" w14:textId="7921682A" w:rsidR="004B7DFF" w:rsidRPr="00B05C36" w:rsidRDefault="004B7DFF" w:rsidP="004B7DFF">
      <w:pPr>
        <w:rPr>
          <w:rFonts w:ascii="Times New Roman" w:hAnsi="Times New Roman"/>
          <w:bCs/>
          <w:sz w:val="22"/>
          <w:szCs w:val="22"/>
        </w:rPr>
      </w:pPr>
      <w:r w:rsidRPr="00B05C36">
        <w:rPr>
          <w:rFonts w:ascii="Times New Roman" w:hAnsi="Times New Roman"/>
          <w:bCs/>
          <w:sz w:val="22"/>
          <w:szCs w:val="22"/>
        </w:rPr>
        <w:t xml:space="preserve">This section </w:t>
      </w:r>
      <w:r w:rsidR="0040666F">
        <w:rPr>
          <w:rFonts w:ascii="Times New Roman" w:hAnsi="Times New Roman"/>
          <w:bCs/>
          <w:sz w:val="22"/>
          <w:szCs w:val="22"/>
        </w:rPr>
        <w:t>provides</w:t>
      </w:r>
      <w:r w:rsidR="00467116">
        <w:rPr>
          <w:rFonts w:ascii="Times New Roman" w:hAnsi="Times New Roman"/>
          <w:bCs/>
          <w:sz w:val="22"/>
          <w:szCs w:val="22"/>
        </w:rPr>
        <w:t xml:space="preserve"> that</w:t>
      </w:r>
      <w:r w:rsidR="0040666F">
        <w:rPr>
          <w:rFonts w:ascii="Times New Roman" w:hAnsi="Times New Roman"/>
          <w:bCs/>
          <w:sz w:val="22"/>
          <w:szCs w:val="22"/>
        </w:rPr>
        <w:t>, for the purposes of subparagraph 23B(2)(d)(ii) of the Act,</w:t>
      </w:r>
      <w:r w:rsidRPr="00B05C36">
        <w:rPr>
          <w:rFonts w:ascii="Times New Roman" w:hAnsi="Times New Roman"/>
          <w:bCs/>
          <w:sz w:val="22"/>
          <w:szCs w:val="22"/>
        </w:rPr>
        <w:t xml:space="preserve"> </w:t>
      </w:r>
      <w:r w:rsidR="00467116" w:rsidRPr="00467116">
        <w:rPr>
          <w:rFonts w:ascii="Times New Roman" w:hAnsi="Times New Roman"/>
          <w:bCs/>
          <w:sz w:val="22"/>
          <w:szCs w:val="22"/>
        </w:rPr>
        <w:t>the information in an application dossier, that accompanies an application for the registration of a medicine mentioned in Schedule 1, must be in the eCTD format</w:t>
      </w:r>
      <w:r w:rsidR="000C3A89">
        <w:rPr>
          <w:rFonts w:ascii="Times New Roman" w:hAnsi="Times New Roman"/>
          <w:bCs/>
          <w:sz w:val="22"/>
          <w:szCs w:val="22"/>
        </w:rPr>
        <w:t xml:space="preserve"> or, </w:t>
      </w:r>
      <w:r w:rsidR="000C3A89" w:rsidRPr="000C3A89">
        <w:rPr>
          <w:rFonts w:ascii="Times New Roman" w:hAnsi="Times New Roman"/>
          <w:bCs/>
          <w:sz w:val="22"/>
          <w:szCs w:val="22"/>
        </w:rPr>
        <w:t>if exceptional circumstances exist</w:t>
      </w:r>
      <w:r w:rsidR="000C3A89">
        <w:rPr>
          <w:rFonts w:ascii="Times New Roman" w:hAnsi="Times New Roman"/>
          <w:bCs/>
          <w:sz w:val="22"/>
          <w:szCs w:val="22"/>
        </w:rPr>
        <w:t xml:space="preserve">, </w:t>
      </w:r>
      <w:r w:rsidR="000C3A89" w:rsidRPr="000C3A89">
        <w:rPr>
          <w:rFonts w:ascii="Times New Roman" w:hAnsi="Times New Roman"/>
          <w:bCs/>
          <w:sz w:val="22"/>
          <w:szCs w:val="22"/>
        </w:rPr>
        <w:t>another format</w:t>
      </w:r>
      <w:r w:rsidR="000C3A89">
        <w:rPr>
          <w:rFonts w:ascii="Times New Roman" w:hAnsi="Times New Roman"/>
          <w:bCs/>
          <w:sz w:val="22"/>
          <w:szCs w:val="22"/>
        </w:rPr>
        <w:t xml:space="preserve"> </w:t>
      </w:r>
      <w:r w:rsidR="0040666F">
        <w:rPr>
          <w:rFonts w:ascii="Times New Roman" w:hAnsi="Times New Roman"/>
          <w:bCs/>
          <w:sz w:val="22"/>
          <w:szCs w:val="22"/>
        </w:rPr>
        <w:t xml:space="preserve">with the prior written agreement of </w:t>
      </w:r>
      <w:r w:rsidR="000C3A89">
        <w:rPr>
          <w:rFonts w:ascii="Times New Roman" w:hAnsi="Times New Roman"/>
          <w:bCs/>
          <w:sz w:val="22"/>
          <w:szCs w:val="22"/>
        </w:rPr>
        <w:t>the Therapeutic Goods Administration.</w:t>
      </w:r>
    </w:p>
    <w:p w14:paraId="4D1E64E3" w14:textId="3B9C7652" w:rsidR="00B05C36" w:rsidRPr="00FD6770" w:rsidRDefault="00B05C36" w:rsidP="000D45DC">
      <w:pPr>
        <w:rPr>
          <w:rFonts w:ascii="Times New Roman" w:hAnsi="Times New Roman"/>
          <w:b/>
          <w:sz w:val="22"/>
          <w:szCs w:val="22"/>
        </w:rPr>
      </w:pPr>
    </w:p>
    <w:p w14:paraId="06BD6E34" w14:textId="6DD02F37" w:rsidR="005F2138" w:rsidRPr="00FD6770" w:rsidRDefault="005F2138" w:rsidP="005F2138">
      <w:pPr>
        <w:rPr>
          <w:rFonts w:ascii="Times New Roman" w:hAnsi="Times New Roman"/>
          <w:b/>
          <w:bCs/>
          <w:sz w:val="22"/>
          <w:szCs w:val="22"/>
        </w:rPr>
      </w:pPr>
      <w:r w:rsidRPr="00FD6770">
        <w:rPr>
          <w:rFonts w:ascii="Times New Roman" w:hAnsi="Times New Roman"/>
          <w:b/>
          <w:bCs/>
          <w:sz w:val="22"/>
          <w:szCs w:val="22"/>
        </w:rPr>
        <w:t>Schedule 1 – Prescription Medicines</w:t>
      </w:r>
    </w:p>
    <w:p w14:paraId="7C73EFA4" w14:textId="4D9DCE58" w:rsidR="005F2138" w:rsidRPr="00FD6770" w:rsidRDefault="005F2138" w:rsidP="000D45DC">
      <w:pPr>
        <w:rPr>
          <w:rFonts w:ascii="Times New Roman" w:hAnsi="Times New Roman"/>
          <w:b/>
          <w:sz w:val="22"/>
          <w:szCs w:val="22"/>
        </w:rPr>
      </w:pPr>
    </w:p>
    <w:p w14:paraId="3A01D1A6" w14:textId="4CD2626C" w:rsidR="005F2138" w:rsidRPr="00985ECF" w:rsidRDefault="005F2138" w:rsidP="000D45DC">
      <w:pPr>
        <w:rPr>
          <w:rFonts w:ascii="Times New Roman" w:hAnsi="Times New Roman"/>
          <w:bCs/>
          <w:sz w:val="22"/>
          <w:szCs w:val="22"/>
        </w:rPr>
      </w:pPr>
      <w:r w:rsidRPr="00FD6770">
        <w:rPr>
          <w:rFonts w:ascii="Times New Roman" w:hAnsi="Times New Roman"/>
          <w:sz w:val="22"/>
          <w:szCs w:val="22"/>
        </w:rPr>
        <w:t xml:space="preserve">This schedule specifies different types of medicine within the class mentioned in section 4, for the purposes of section 6. </w:t>
      </w:r>
      <w:r w:rsidR="00D71635" w:rsidRPr="00FD6770">
        <w:rPr>
          <w:rFonts w:ascii="Times New Roman" w:hAnsi="Times New Roman"/>
          <w:sz w:val="22"/>
          <w:szCs w:val="22"/>
        </w:rPr>
        <w:t xml:space="preserve"> </w:t>
      </w:r>
      <w:r w:rsidRPr="00FD6770">
        <w:rPr>
          <w:rFonts w:ascii="Times New Roman" w:hAnsi="Times New Roman"/>
          <w:sz w:val="22"/>
          <w:szCs w:val="22"/>
        </w:rPr>
        <w:t>These types inc</w:t>
      </w:r>
      <w:r w:rsidR="009662E2" w:rsidRPr="00FD6770">
        <w:rPr>
          <w:rFonts w:ascii="Times New Roman" w:hAnsi="Times New Roman"/>
          <w:sz w:val="22"/>
          <w:szCs w:val="22"/>
        </w:rPr>
        <w:t>lude</w:t>
      </w:r>
      <w:r w:rsidR="000F1DC9" w:rsidRPr="00FD6770">
        <w:rPr>
          <w:rFonts w:ascii="Times New Roman" w:hAnsi="Times New Roman"/>
          <w:sz w:val="22"/>
          <w:szCs w:val="22"/>
        </w:rPr>
        <w:t>, for example,</w:t>
      </w:r>
      <w:r w:rsidR="009662E2" w:rsidRPr="00FD6770">
        <w:rPr>
          <w:rFonts w:ascii="Times New Roman" w:hAnsi="Times New Roman"/>
          <w:sz w:val="22"/>
          <w:szCs w:val="22"/>
        </w:rPr>
        <w:t xml:space="preserve"> a ‘new entity medicine’ and</w:t>
      </w:r>
      <w:r w:rsidR="009F1610" w:rsidRPr="00FD6770">
        <w:rPr>
          <w:rFonts w:ascii="Times New Roman" w:hAnsi="Times New Roman"/>
          <w:sz w:val="22"/>
          <w:szCs w:val="22"/>
        </w:rPr>
        <w:t xml:space="preserve"> a</w:t>
      </w:r>
      <w:r w:rsidR="009662E2" w:rsidRPr="00FD6770">
        <w:rPr>
          <w:rFonts w:ascii="Times New Roman" w:hAnsi="Times New Roman"/>
          <w:sz w:val="22"/>
          <w:szCs w:val="22"/>
        </w:rPr>
        <w:t xml:space="preserve"> ‘new combination medicine’.</w:t>
      </w:r>
    </w:p>
    <w:p w14:paraId="2DD46A35" w14:textId="77777777" w:rsidR="00B05C36" w:rsidRPr="00B05C36" w:rsidRDefault="00B05C36">
      <w:pPr>
        <w:spacing w:after="200" w:line="276" w:lineRule="auto"/>
        <w:rPr>
          <w:rFonts w:ascii="Times New Roman" w:hAnsi="Times New Roman"/>
          <w:bCs/>
          <w:sz w:val="22"/>
          <w:szCs w:val="22"/>
        </w:rPr>
      </w:pPr>
      <w:r w:rsidRPr="00B05C36">
        <w:rPr>
          <w:rFonts w:ascii="Times New Roman" w:hAnsi="Times New Roman"/>
          <w:bCs/>
          <w:sz w:val="22"/>
          <w:szCs w:val="22"/>
        </w:rPr>
        <w:br w:type="page"/>
      </w:r>
    </w:p>
    <w:p w14:paraId="07ACD88E" w14:textId="77777777" w:rsidR="00294A49" w:rsidRPr="00B05C36" w:rsidRDefault="00294A49" w:rsidP="004164A4">
      <w:pPr>
        <w:spacing w:after="200" w:line="276" w:lineRule="auto"/>
        <w:jc w:val="right"/>
        <w:rPr>
          <w:rFonts w:ascii="Times New Roman" w:hAnsi="Times New Roman"/>
          <w:b/>
          <w:bCs/>
          <w:sz w:val="22"/>
          <w:szCs w:val="22"/>
        </w:rPr>
      </w:pPr>
      <w:r w:rsidRPr="00B05C36">
        <w:rPr>
          <w:rFonts w:ascii="Times New Roman" w:hAnsi="Times New Roman"/>
          <w:b/>
          <w:bCs/>
          <w:sz w:val="22"/>
          <w:szCs w:val="22"/>
        </w:rPr>
        <w:lastRenderedPageBreak/>
        <w:t>Attachment B</w:t>
      </w:r>
    </w:p>
    <w:p w14:paraId="0CFC82BA" w14:textId="77777777" w:rsidR="00294A49" w:rsidRPr="00B05C36" w:rsidRDefault="00294A49" w:rsidP="007231B2">
      <w:pPr>
        <w:rPr>
          <w:rFonts w:ascii="Times New Roman" w:hAnsi="Times New Roman"/>
          <w:b/>
          <w:bCs/>
          <w:sz w:val="22"/>
          <w:szCs w:val="22"/>
        </w:rPr>
      </w:pPr>
    </w:p>
    <w:p w14:paraId="4E2FC374" w14:textId="77777777" w:rsidR="0030123E" w:rsidRPr="00B05C36" w:rsidRDefault="00846A95" w:rsidP="00D71635">
      <w:pPr>
        <w:jc w:val="center"/>
        <w:rPr>
          <w:rFonts w:ascii="Times New Roman" w:hAnsi="Times New Roman"/>
          <w:b/>
          <w:bCs/>
          <w:sz w:val="22"/>
          <w:szCs w:val="22"/>
        </w:rPr>
      </w:pPr>
      <w:r w:rsidRPr="00B05C36">
        <w:rPr>
          <w:rFonts w:ascii="Times New Roman" w:hAnsi="Times New Roman"/>
          <w:b/>
          <w:bCs/>
          <w:sz w:val="22"/>
          <w:szCs w:val="22"/>
        </w:rPr>
        <w:t>Statement of compatibility with human rights</w:t>
      </w:r>
    </w:p>
    <w:p w14:paraId="196A2796" w14:textId="77777777" w:rsidR="0030123E" w:rsidRPr="00B05C36" w:rsidRDefault="0030123E" w:rsidP="00D71635">
      <w:pPr>
        <w:jc w:val="center"/>
        <w:rPr>
          <w:rFonts w:ascii="Times New Roman" w:hAnsi="Times New Roman"/>
          <w:bCs/>
          <w:sz w:val="22"/>
          <w:szCs w:val="22"/>
        </w:rPr>
      </w:pPr>
    </w:p>
    <w:p w14:paraId="187D754B" w14:textId="212B94EA" w:rsidR="007231B2" w:rsidRPr="00B05C36" w:rsidRDefault="00D71635" w:rsidP="00D71635">
      <w:pPr>
        <w:jc w:val="center"/>
        <w:rPr>
          <w:rFonts w:ascii="Times New Roman" w:hAnsi="Times New Roman"/>
          <w:sz w:val="22"/>
          <w:szCs w:val="22"/>
        </w:rPr>
      </w:pPr>
      <w:r>
        <w:rPr>
          <w:rFonts w:ascii="Times New Roman" w:hAnsi="Times New Roman"/>
          <w:sz w:val="22"/>
          <w:szCs w:val="22"/>
        </w:rPr>
        <w:t>P</w:t>
      </w:r>
      <w:r w:rsidR="007231B2" w:rsidRPr="00B05C36">
        <w:rPr>
          <w:rFonts w:ascii="Times New Roman" w:hAnsi="Times New Roman"/>
          <w:sz w:val="22"/>
          <w:szCs w:val="22"/>
        </w:rPr>
        <w:t xml:space="preserve">repared in accordance with </w:t>
      </w:r>
      <w:r w:rsidR="004164A4">
        <w:rPr>
          <w:rFonts w:ascii="Times New Roman" w:hAnsi="Times New Roman"/>
          <w:sz w:val="22"/>
          <w:szCs w:val="22"/>
        </w:rPr>
        <w:t xml:space="preserve">Part 3 </w:t>
      </w:r>
      <w:r w:rsidR="007231B2" w:rsidRPr="00B05C36">
        <w:rPr>
          <w:rFonts w:ascii="Times New Roman" w:hAnsi="Times New Roman"/>
          <w:sz w:val="22"/>
          <w:szCs w:val="22"/>
        </w:rPr>
        <w:t xml:space="preserve">of the </w:t>
      </w:r>
      <w:r w:rsidR="007231B2" w:rsidRPr="00B05C36">
        <w:rPr>
          <w:rFonts w:ascii="Times New Roman" w:hAnsi="Times New Roman"/>
          <w:i/>
          <w:sz w:val="22"/>
          <w:szCs w:val="22"/>
        </w:rPr>
        <w:t>Human Rights (Parliamentary Scrutiny) Act 2011</w:t>
      </w:r>
      <w:r w:rsidR="00350252" w:rsidRPr="00B05C36">
        <w:rPr>
          <w:rFonts w:ascii="Times New Roman" w:hAnsi="Times New Roman"/>
          <w:sz w:val="22"/>
          <w:szCs w:val="22"/>
        </w:rPr>
        <w:t>.</w:t>
      </w:r>
    </w:p>
    <w:p w14:paraId="200982E2" w14:textId="77777777" w:rsidR="0030123E" w:rsidRPr="00B05C36" w:rsidRDefault="0030123E" w:rsidP="00D71635">
      <w:pPr>
        <w:jc w:val="center"/>
        <w:rPr>
          <w:rFonts w:ascii="Times New Roman" w:hAnsi="Times New Roman"/>
          <w:sz w:val="22"/>
          <w:szCs w:val="22"/>
        </w:rPr>
      </w:pPr>
    </w:p>
    <w:p w14:paraId="27EEDA44" w14:textId="53DDF96A" w:rsidR="0030123E" w:rsidRPr="00B05C36" w:rsidRDefault="0060165C" w:rsidP="00D71635">
      <w:pPr>
        <w:jc w:val="center"/>
        <w:rPr>
          <w:rFonts w:ascii="Times New Roman" w:hAnsi="Times New Roman"/>
          <w:b/>
          <w:i/>
          <w:sz w:val="22"/>
          <w:szCs w:val="22"/>
        </w:rPr>
      </w:pPr>
      <w:r w:rsidRPr="00B05C36">
        <w:rPr>
          <w:rFonts w:ascii="Times New Roman" w:hAnsi="Times New Roman"/>
          <w:b/>
          <w:i/>
          <w:sz w:val="22"/>
          <w:szCs w:val="22"/>
        </w:rPr>
        <w:t>Therapeutic Goods (</w:t>
      </w:r>
      <w:r w:rsidR="009662E2">
        <w:rPr>
          <w:rFonts w:ascii="Times New Roman" w:hAnsi="Times New Roman"/>
          <w:b/>
          <w:i/>
          <w:sz w:val="22"/>
          <w:szCs w:val="22"/>
        </w:rPr>
        <w:t>Prescription Medicines</w:t>
      </w:r>
      <w:r w:rsidRPr="00B05C36">
        <w:rPr>
          <w:rFonts w:ascii="Times New Roman" w:hAnsi="Times New Roman"/>
          <w:b/>
          <w:i/>
          <w:sz w:val="22"/>
          <w:szCs w:val="22"/>
        </w:rPr>
        <w:t>—</w:t>
      </w:r>
      <w:r w:rsidR="00812679" w:rsidRPr="00812679">
        <w:rPr>
          <w:rFonts w:ascii="Times New Roman" w:hAnsi="Times New Roman"/>
          <w:b/>
          <w:i/>
          <w:sz w:val="22"/>
          <w:szCs w:val="22"/>
        </w:rPr>
        <w:t>Information Accompanying Applications for Registration</w:t>
      </w:r>
      <w:r w:rsidRPr="00B05C36">
        <w:rPr>
          <w:rFonts w:ascii="Times New Roman" w:hAnsi="Times New Roman"/>
          <w:b/>
          <w:i/>
          <w:sz w:val="22"/>
          <w:szCs w:val="22"/>
        </w:rPr>
        <w:t>) Determination</w:t>
      </w:r>
      <w:r w:rsidR="008528B3" w:rsidRPr="00B05C36">
        <w:rPr>
          <w:rFonts w:ascii="Times New Roman" w:hAnsi="Times New Roman"/>
          <w:b/>
          <w:i/>
          <w:sz w:val="22"/>
          <w:szCs w:val="22"/>
        </w:rPr>
        <w:t xml:space="preserve"> </w:t>
      </w:r>
      <w:r w:rsidRPr="00B05C36">
        <w:rPr>
          <w:rFonts w:ascii="Times New Roman" w:hAnsi="Times New Roman"/>
          <w:b/>
          <w:i/>
          <w:sz w:val="22"/>
          <w:szCs w:val="22"/>
        </w:rPr>
        <w:t>20</w:t>
      </w:r>
      <w:r w:rsidR="00812679">
        <w:rPr>
          <w:rFonts w:ascii="Times New Roman" w:hAnsi="Times New Roman"/>
          <w:b/>
          <w:i/>
          <w:sz w:val="22"/>
          <w:szCs w:val="22"/>
        </w:rPr>
        <w:t>21</w:t>
      </w:r>
    </w:p>
    <w:p w14:paraId="11382518" w14:textId="77777777" w:rsidR="0030123E" w:rsidRPr="00B05C36" w:rsidRDefault="0030123E" w:rsidP="00D71635">
      <w:pPr>
        <w:jc w:val="center"/>
        <w:rPr>
          <w:rFonts w:ascii="Times New Roman" w:hAnsi="Times New Roman"/>
          <w:sz w:val="22"/>
          <w:szCs w:val="22"/>
        </w:rPr>
      </w:pPr>
    </w:p>
    <w:p w14:paraId="6E4C3D3B" w14:textId="6C816E5F" w:rsidR="0030123E" w:rsidRDefault="0030123E" w:rsidP="0030123E">
      <w:pPr>
        <w:rPr>
          <w:rFonts w:ascii="Times New Roman" w:hAnsi="Times New Roman"/>
          <w:i/>
          <w:iCs/>
          <w:sz w:val="22"/>
          <w:szCs w:val="22"/>
        </w:rPr>
      </w:pPr>
      <w:r w:rsidRPr="00B05C36">
        <w:rPr>
          <w:rFonts w:ascii="Times New Roman" w:hAnsi="Times New Roman"/>
          <w:sz w:val="22"/>
          <w:szCs w:val="22"/>
        </w:rPr>
        <w:t xml:space="preserve">The </w:t>
      </w:r>
      <w:r w:rsidR="0060165C" w:rsidRPr="00B05C36">
        <w:rPr>
          <w:rFonts w:ascii="Times New Roman" w:hAnsi="Times New Roman"/>
          <w:i/>
          <w:sz w:val="22"/>
          <w:szCs w:val="22"/>
        </w:rPr>
        <w:t>Therapeutic Goods (</w:t>
      </w:r>
      <w:r w:rsidR="00812679">
        <w:rPr>
          <w:rFonts w:ascii="Times New Roman" w:hAnsi="Times New Roman"/>
          <w:i/>
          <w:sz w:val="22"/>
          <w:szCs w:val="22"/>
        </w:rPr>
        <w:t>Prescription Medicines</w:t>
      </w:r>
      <w:r w:rsidR="0060165C" w:rsidRPr="00B05C36">
        <w:rPr>
          <w:rFonts w:ascii="Times New Roman" w:hAnsi="Times New Roman"/>
          <w:i/>
          <w:sz w:val="22"/>
          <w:szCs w:val="22"/>
        </w:rPr>
        <w:t>—</w:t>
      </w:r>
      <w:r w:rsidR="00812679">
        <w:rPr>
          <w:rFonts w:ascii="Times New Roman" w:hAnsi="Times New Roman"/>
          <w:i/>
          <w:sz w:val="22"/>
          <w:szCs w:val="22"/>
        </w:rPr>
        <w:t xml:space="preserve">Information Accompanying </w:t>
      </w:r>
      <w:r w:rsidR="0060165C" w:rsidRPr="00B05C36">
        <w:rPr>
          <w:rFonts w:ascii="Times New Roman" w:hAnsi="Times New Roman"/>
          <w:i/>
          <w:sz w:val="22"/>
          <w:szCs w:val="22"/>
        </w:rPr>
        <w:t>Application</w:t>
      </w:r>
      <w:r w:rsidR="00812679">
        <w:rPr>
          <w:rFonts w:ascii="Times New Roman" w:hAnsi="Times New Roman"/>
          <w:i/>
          <w:sz w:val="22"/>
          <w:szCs w:val="22"/>
        </w:rPr>
        <w:t>s</w:t>
      </w:r>
      <w:r w:rsidR="0060165C" w:rsidRPr="00B05C36">
        <w:rPr>
          <w:rFonts w:ascii="Times New Roman" w:hAnsi="Times New Roman"/>
          <w:i/>
          <w:sz w:val="22"/>
          <w:szCs w:val="22"/>
        </w:rPr>
        <w:t xml:space="preserve"> for Registration) Determination 20</w:t>
      </w:r>
      <w:r w:rsidR="00812679">
        <w:rPr>
          <w:rFonts w:ascii="Times New Roman" w:hAnsi="Times New Roman"/>
          <w:i/>
          <w:sz w:val="22"/>
          <w:szCs w:val="22"/>
        </w:rPr>
        <w:t>21</w:t>
      </w:r>
      <w:r w:rsidR="00820BA2" w:rsidRPr="00B05C36">
        <w:rPr>
          <w:rFonts w:ascii="Times New Roman" w:hAnsi="Times New Roman"/>
          <w:i/>
          <w:sz w:val="22"/>
          <w:szCs w:val="22"/>
        </w:rPr>
        <w:t xml:space="preserve"> </w:t>
      </w:r>
      <w:r w:rsidR="0065023A">
        <w:rPr>
          <w:rFonts w:ascii="Times New Roman" w:hAnsi="Times New Roman"/>
          <w:iCs/>
          <w:sz w:val="22"/>
          <w:szCs w:val="22"/>
        </w:rPr>
        <w:t xml:space="preserve">(“the </w:t>
      </w:r>
      <w:r w:rsidR="00D71635">
        <w:rPr>
          <w:rFonts w:ascii="Times New Roman" w:hAnsi="Times New Roman"/>
          <w:iCs/>
          <w:sz w:val="22"/>
          <w:szCs w:val="22"/>
        </w:rPr>
        <w:t>instrument</w:t>
      </w:r>
      <w:r w:rsidR="0065023A">
        <w:rPr>
          <w:rFonts w:ascii="Times New Roman" w:hAnsi="Times New Roman"/>
          <w:iCs/>
          <w:sz w:val="22"/>
          <w:szCs w:val="22"/>
        </w:rPr>
        <w:t xml:space="preserve">”) </w:t>
      </w:r>
      <w:r w:rsidR="00462DFB" w:rsidRPr="00B05C36">
        <w:rPr>
          <w:rFonts w:ascii="Times New Roman" w:hAnsi="Times New Roman"/>
          <w:sz w:val="22"/>
          <w:szCs w:val="22"/>
        </w:rPr>
        <w:t>is</w:t>
      </w:r>
      <w:r w:rsidR="004164A4">
        <w:rPr>
          <w:rFonts w:ascii="Times New Roman" w:hAnsi="Times New Roman"/>
          <w:sz w:val="22"/>
          <w:szCs w:val="22"/>
        </w:rPr>
        <w:t xml:space="preserve"> a</w:t>
      </w:r>
      <w:r w:rsidR="00462DFB" w:rsidRPr="00B05C36">
        <w:rPr>
          <w:rFonts w:ascii="Times New Roman" w:hAnsi="Times New Roman"/>
          <w:sz w:val="22"/>
          <w:szCs w:val="22"/>
        </w:rPr>
        <w:t xml:space="preserve"> </w:t>
      </w:r>
      <w:r w:rsidR="004164A4" w:rsidRPr="004164A4">
        <w:rPr>
          <w:rFonts w:ascii="Times New Roman" w:hAnsi="Times New Roman"/>
          <w:sz w:val="22"/>
          <w:szCs w:val="22"/>
        </w:rPr>
        <w:t>disallowable legislative instrument</w:t>
      </w:r>
      <w:r w:rsidR="004164A4">
        <w:rPr>
          <w:rFonts w:ascii="Times New Roman" w:hAnsi="Times New Roman"/>
          <w:sz w:val="22"/>
          <w:szCs w:val="22"/>
        </w:rPr>
        <w:t xml:space="preserve"> and</w:t>
      </w:r>
      <w:r w:rsidR="004164A4" w:rsidRPr="004164A4">
        <w:rPr>
          <w:rFonts w:ascii="Times New Roman" w:hAnsi="Times New Roman"/>
          <w:sz w:val="22"/>
          <w:szCs w:val="22"/>
        </w:rPr>
        <w:t xml:space="preserve"> is compatible with the human rights and freedoms recognised or declared in the international instruments listed in section 3 of </w:t>
      </w:r>
      <w:r w:rsidR="004164A4" w:rsidRPr="004164A4">
        <w:rPr>
          <w:rFonts w:ascii="Times New Roman" w:hAnsi="Times New Roman"/>
          <w:i/>
          <w:iCs/>
          <w:sz w:val="22"/>
          <w:szCs w:val="22"/>
        </w:rPr>
        <w:t>the Human Rights (Parliamentary Scrutiny) Act 2011.</w:t>
      </w:r>
    </w:p>
    <w:p w14:paraId="721A75C6" w14:textId="77777777" w:rsidR="004164A4" w:rsidRPr="00FD6770" w:rsidRDefault="004164A4" w:rsidP="0030123E">
      <w:pPr>
        <w:rPr>
          <w:rFonts w:ascii="Times New Roman" w:hAnsi="Times New Roman"/>
          <w:b/>
          <w:bCs/>
          <w:sz w:val="22"/>
          <w:szCs w:val="22"/>
        </w:rPr>
      </w:pPr>
    </w:p>
    <w:p w14:paraId="7DD5F2D8" w14:textId="7FD5FF90" w:rsidR="000A5AE3" w:rsidRPr="00B05C36" w:rsidRDefault="00862B50" w:rsidP="0030123E">
      <w:pPr>
        <w:rPr>
          <w:rFonts w:ascii="Times New Roman" w:hAnsi="Times New Roman"/>
          <w:b/>
          <w:sz w:val="22"/>
          <w:szCs w:val="22"/>
        </w:rPr>
      </w:pPr>
      <w:r w:rsidRPr="00B05C36">
        <w:rPr>
          <w:rFonts w:ascii="Times New Roman" w:hAnsi="Times New Roman"/>
          <w:b/>
          <w:sz w:val="22"/>
          <w:szCs w:val="22"/>
        </w:rPr>
        <w:t>Overview of legislative instrument</w:t>
      </w:r>
    </w:p>
    <w:p w14:paraId="13D256C3" w14:textId="77777777" w:rsidR="000A5AE3" w:rsidRPr="00B05C36" w:rsidRDefault="000A5AE3" w:rsidP="0030123E">
      <w:pPr>
        <w:rPr>
          <w:rFonts w:ascii="Times New Roman" w:hAnsi="Times New Roman"/>
          <w:sz w:val="22"/>
          <w:szCs w:val="22"/>
        </w:rPr>
      </w:pPr>
    </w:p>
    <w:p w14:paraId="558BB68F" w14:textId="0D3AAEC7" w:rsidR="00985ECF" w:rsidRPr="005C529F" w:rsidRDefault="002C5EA2" w:rsidP="00985ECF">
      <w:pPr>
        <w:rPr>
          <w:rFonts w:ascii="Times New Roman" w:hAnsi="Times New Roman"/>
          <w:sz w:val="22"/>
          <w:szCs w:val="22"/>
        </w:rPr>
      </w:pPr>
      <w:r>
        <w:rPr>
          <w:rFonts w:ascii="Times New Roman" w:hAnsi="Times New Roman"/>
          <w:sz w:val="22"/>
          <w:szCs w:val="22"/>
        </w:rPr>
        <w:t>In 2018, t</w:t>
      </w:r>
      <w:r w:rsidRPr="00E876EF">
        <w:rPr>
          <w:rFonts w:ascii="Times New Roman" w:hAnsi="Times New Roman"/>
          <w:sz w:val="22"/>
          <w:szCs w:val="22"/>
        </w:rPr>
        <w:t xml:space="preserve">he </w:t>
      </w:r>
      <w:r w:rsidRPr="00E876EF">
        <w:rPr>
          <w:rFonts w:ascii="Times New Roman" w:hAnsi="Times New Roman"/>
          <w:i/>
          <w:sz w:val="22"/>
          <w:szCs w:val="22"/>
        </w:rPr>
        <w:t>Therapeutic Goods Amendment (2017 Measures No.1) Act 2018</w:t>
      </w:r>
      <w:r w:rsidRPr="00E876EF">
        <w:rPr>
          <w:rFonts w:ascii="Times New Roman" w:hAnsi="Times New Roman"/>
          <w:sz w:val="22"/>
          <w:szCs w:val="22"/>
        </w:rPr>
        <w:t xml:space="preserve"> (“the Amendment Act”)</w:t>
      </w:r>
      <w:r>
        <w:rPr>
          <w:rFonts w:ascii="Times New Roman" w:hAnsi="Times New Roman"/>
          <w:sz w:val="22"/>
          <w:szCs w:val="22"/>
        </w:rPr>
        <w:t xml:space="preserve"> </w:t>
      </w:r>
      <w:r w:rsidRPr="00E876EF">
        <w:rPr>
          <w:rFonts w:ascii="Times New Roman" w:hAnsi="Times New Roman"/>
          <w:sz w:val="22"/>
          <w:szCs w:val="22"/>
        </w:rPr>
        <w:t>amend</w:t>
      </w:r>
      <w:r>
        <w:rPr>
          <w:rFonts w:ascii="Times New Roman" w:hAnsi="Times New Roman"/>
          <w:sz w:val="22"/>
          <w:szCs w:val="22"/>
        </w:rPr>
        <w:t xml:space="preserve">ed the </w:t>
      </w:r>
      <w:r w:rsidRPr="002C5EA2">
        <w:rPr>
          <w:rFonts w:ascii="Times New Roman" w:hAnsi="Times New Roman"/>
          <w:i/>
          <w:iCs/>
          <w:sz w:val="22"/>
          <w:szCs w:val="22"/>
        </w:rPr>
        <w:t>Therapeutic Goods Act 1989</w:t>
      </w:r>
      <w:r>
        <w:rPr>
          <w:rFonts w:ascii="Times New Roman" w:hAnsi="Times New Roman"/>
          <w:sz w:val="22"/>
          <w:szCs w:val="22"/>
        </w:rPr>
        <w:t xml:space="preserve"> (“</w:t>
      </w:r>
      <w:r w:rsidRPr="00E876EF">
        <w:rPr>
          <w:rFonts w:ascii="Times New Roman" w:hAnsi="Times New Roman"/>
          <w:sz w:val="22"/>
          <w:szCs w:val="22"/>
        </w:rPr>
        <w:t>the Act</w:t>
      </w:r>
      <w:r>
        <w:rPr>
          <w:rFonts w:ascii="Times New Roman" w:hAnsi="Times New Roman"/>
          <w:sz w:val="22"/>
          <w:szCs w:val="22"/>
        </w:rPr>
        <w:t>”) to,</w:t>
      </w:r>
      <w:r w:rsidRPr="00E876EF">
        <w:rPr>
          <w:rFonts w:ascii="Times New Roman" w:hAnsi="Times New Roman"/>
          <w:sz w:val="22"/>
          <w:szCs w:val="22"/>
        </w:rPr>
        <w:t xml:space="preserve"> among other things</w:t>
      </w:r>
      <w:r>
        <w:rPr>
          <w:rFonts w:ascii="Times New Roman" w:hAnsi="Times New Roman"/>
          <w:sz w:val="22"/>
          <w:szCs w:val="22"/>
        </w:rPr>
        <w:t xml:space="preserve">, </w:t>
      </w:r>
      <w:r w:rsidRPr="00E876EF">
        <w:rPr>
          <w:rFonts w:ascii="Times New Roman" w:hAnsi="Times New Roman"/>
          <w:sz w:val="22"/>
          <w:szCs w:val="22"/>
        </w:rPr>
        <w:t xml:space="preserve">provide greater clarity in relation to the </w:t>
      </w:r>
      <w:r w:rsidR="00985ECF">
        <w:rPr>
          <w:rFonts w:ascii="Times New Roman" w:hAnsi="Times New Roman"/>
          <w:sz w:val="22"/>
          <w:szCs w:val="22"/>
        </w:rPr>
        <w:t xml:space="preserve">preliminary assessment </w:t>
      </w:r>
      <w:r w:rsidRPr="00E876EF">
        <w:rPr>
          <w:rFonts w:ascii="Times New Roman" w:hAnsi="Times New Roman"/>
          <w:sz w:val="22"/>
          <w:szCs w:val="22"/>
        </w:rPr>
        <w:t>of applications for the inclusion of therapeutic goods in the Australian Register of Therapeutic Goods (</w:t>
      </w:r>
      <w:r>
        <w:rPr>
          <w:rFonts w:ascii="Times New Roman" w:hAnsi="Times New Roman"/>
          <w:sz w:val="22"/>
          <w:szCs w:val="22"/>
        </w:rPr>
        <w:t>“</w:t>
      </w:r>
      <w:r w:rsidRPr="00E876EF">
        <w:rPr>
          <w:rFonts w:ascii="Times New Roman" w:hAnsi="Times New Roman"/>
          <w:sz w:val="22"/>
          <w:szCs w:val="22"/>
        </w:rPr>
        <w:t>the Register”)</w:t>
      </w:r>
      <w:r w:rsidR="00985ECF">
        <w:rPr>
          <w:rFonts w:ascii="Times New Roman" w:hAnsi="Times New Roman"/>
          <w:sz w:val="22"/>
          <w:szCs w:val="22"/>
        </w:rPr>
        <w:t>.</w:t>
      </w:r>
      <w:r>
        <w:rPr>
          <w:rFonts w:ascii="Times New Roman" w:hAnsi="Times New Roman"/>
          <w:sz w:val="22"/>
          <w:szCs w:val="22"/>
        </w:rPr>
        <w:t xml:space="preserve"> </w:t>
      </w:r>
      <w:r w:rsidR="00985ECF">
        <w:rPr>
          <w:rFonts w:ascii="Times New Roman" w:hAnsi="Times New Roman"/>
          <w:sz w:val="22"/>
          <w:szCs w:val="22"/>
        </w:rPr>
        <w:t xml:space="preserve"> In particular, </w:t>
      </w:r>
      <w:r w:rsidR="00985ECF" w:rsidRPr="005C529F">
        <w:rPr>
          <w:rFonts w:ascii="Times New Roman" w:hAnsi="Times New Roman"/>
          <w:sz w:val="22"/>
          <w:szCs w:val="22"/>
        </w:rPr>
        <w:t xml:space="preserve">the Amendment Act introduced measures to </w:t>
      </w:r>
      <w:r w:rsidR="00985ECF">
        <w:rPr>
          <w:rFonts w:ascii="Times New Roman" w:hAnsi="Times New Roman"/>
          <w:sz w:val="22"/>
          <w:szCs w:val="22"/>
        </w:rPr>
        <w:t>require</w:t>
      </w:r>
      <w:r w:rsidR="00985ECF" w:rsidRPr="005C529F">
        <w:rPr>
          <w:rFonts w:ascii="Times New Roman" w:hAnsi="Times New Roman"/>
          <w:sz w:val="22"/>
          <w:szCs w:val="22"/>
        </w:rPr>
        <w:t xml:space="preserve"> an application for the inclusion of a medicine, biological or medical device in the Register </w:t>
      </w:r>
      <w:r w:rsidR="00797CE3">
        <w:rPr>
          <w:rFonts w:ascii="Times New Roman" w:hAnsi="Times New Roman"/>
          <w:sz w:val="22"/>
          <w:szCs w:val="22"/>
        </w:rPr>
        <w:t xml:space="preserve">to </w:t>
      </w:r>
      <w:r w:rsidR="00985ECF" w:rsidRPr="005C529F">
        <w:rPr>
          <w:rFonts w:ascii="Times New Roman" w:hAnsi="Times New Roman"/>
          <w:sz w:val="22"/>
          <w:szCs w:val="22"/>
        </w:rPr>
        <w:t xml:space="preserve">meet certain preliminary requirements before the Secretary </w:t>
      </w:r>
      <w:r w:rsidR="00985ECF">
        <w:rPr>
          <w:rFonts w:ascii="Times New Roman" w:hAnsi="Times New Roman"/>
          <w:sz w:val="22"/>
          <w:szCs w:val="22"/>
        </w:rPr>
        <w:t>may proceed</w:t>
      </w:r>
      <w:r w:rsidR="00985ECF" w:rsidRPr="005C529F">
        <w:rPr>
          <w:rFonts w:ascii="Times New Roman" w:hAnsi="Times New Roman"/>
          <w:sz w:val="22"/>
          <w:szCs w:val="22"/>
        </w:rPr>
        <w:t xml:space="preserve"> to evaluat</w:t>
      </w:r>
      <w:r w:rsidR="00797CE3">
        <w:rPr>
          <w:rFonts w:ascii="Times New Roman" w:hAnsi="Times New Roman"/>
          <w:sz w:val="22"/>
          <w:szCs w:val="22"/>
        </w:rPr>
        <w:t>ion</w:t>
      </w:r>
      <w:r w:rsidR="00985ECF">
        <w:rPr>
          <w:rFonts w:ascii="Times New Roman" w:hAnsi="Times New Roman"/>
          <w:sz w:val="22"/>
          <w:szCs w:val="22"/>
        </w:rPr>
        <w:t>.  The Amendment Act also provided</w:t>
      </w:r>
      <w:r w:rsidR="00985ECF" w:rsidRPr="005C529F">
        <w:rPr>
          <w:rFonts w:ascii="Times New Roman" w:hAnsi="Times New Roman"/>
          <w:sz w:val="22"/>
          <w:szCs w:val="22"/>
        </w:rPr>
        <w:t xml:space="preserve"> the Secretary </w:t>
      </w:r>
      <w:r w:rsidR="00985ECF">
        <w:rPr>
          <w:rFonts w:ascii="Times New Roman" w:hAnsi="Times New Roman"/>
          <w:sz w:val="22"/>
          <w:szCs w:val="22"/>
        </w:rPr>
        <w:t>with</w:t>
      </w:r>
      <w:r w:rsidR="00985ECF" w:rsidRPr="005C529F">
        <w:rPr>
          <w:rFonts w:ascii="Times New Roman" w:hAnsi="Times New Roman"/>
          <w:sz w:val="22"/>
          <w:szCs w:val="22"/>
        </w:rPr>
        <w:t xml:space="preserve"> the power to refuse an application prior to </w:t>
      </w:r>
      <w:r w:rsidR="00985ECF">
        <w:rPr>
          <w:rFonts w:ascii="Times New Roman" w:hAnsi="Times New Roman"/>
          <w:sz w:val="22"/>
          <w:szCs w:val="22"/>
        </w:rPr>
        <w:t xml:space="preserve">evaluation </w:t>
      </w:r>
      <w:r w:rsidR="00985ECF" w:rsidRPr="005C529F">
        <w:rPr>
          <w:rFonts w:ascii="Times New Roman" w:hAnsi="Times New Roman"/>
          <w:sz w:val="22"/>
          <w:szCs w:val="22"/>
        </w:rPr>
        <w:t xml:space="preserve">if the application does not meet </w:t>
      </w:r>
      <w:r w:rsidR="00985ECF">
        <w:rPr>
          <w:rFonts w:ascii="Times New Roman" w:hAnsi="Times New Roman"/>
          <w:sz w:val="22"/>
          <w:szCs w:val="22"/>
        </w:rPr>
        <w:t>those</w:t>
      </w:r>
      <w:r w:rsidR="00985ECF" w:rsidRPr="005C529F">
        <w:rPr>
          <w:rFonts w:ascii="Times New Roman" w:hAnsi="Times New Roman"/>
          <w:sz w:val="22"/>
          <w:szCs w:val="22"/>
        </w:rPr>
        <w:t xml:space="preserve"> requirements</w:t>
      </w:r>
      <w:r w:rsidR="00985ECF">
        <w:rPr>
          <w:rFonts w:ascii="Times New Roman" w:hAnsi="Times New Roman"/>
          <w:sz w:val="22"/>
          <w:szCs w:val="22"/>
        </w:rPr>
        <w:t>.</w:t>
      </w:r>
    </w:p>
    <w:p w14:paraId="6BE75C92" w14:textId="77777777" w:rsidR="00985ECF" w:rsidRPr="005C529F" w:rsidRDefault="00985ECF" w:rsidP="00985ECF">
      <w:pPr>
        <w:autoSpaceDE w:val="0"/>
        <w:autoSpaceDN w:val="0"/>
        <w:adjustRightInd w:val="0"/>
        <w:rPr>
          <w:rFonts w:ascii="Times New Roman" w:hAnsi="Times New Roman"/>
          <w:sz w:val="22"/>
          <w:szCs w:val="22"/>
        </w:rPr>
      </w:pPr>
    </w:p>
    <w:p w14:paraId="25D737F7" w14:textId="057AD72A" w:rsidR="00985ECF" w:rsidRPr="005C529F" w:rsidRDefault="00985ECF" w:rsidP="00985ECF">
      <w:pPr>
        <w:rPr>
          <w:rFonts w:ascii="Times New Roman" w:hAnsi="Times New Roman"/>
          <w:sz w:val="22"/>
          <w:szCs w:val="22"/>
        </w:rPr>
      </w:pPr>
      <w:r w:rsidRPr="005C529F">
        <w:rPr>
          <w:rFonts w:ascii="Times New Roman" w:hAnsi="Times New Roman"/>
          <w:sz w:val="22"/>
          <w:szCs w:val="22"/>
        </w:rPr>
        <w:t>Th</w:t>
      </w:r>
      <w:r w:rsidR="00797CE3">
        <w:rPr>
          <w:rFonts w:ascii="Times New Roman" w:hAnsi="Times New Roman"/>
          <w:sz w:val="22"/>
          <w:szCs w:val="22"/>
        </w:rPr>
        <w:t>ese</w:t>
      </w:r>
      <w:r w:rsidRPr="005C529F">
        <w:rPr>
          <w:rFonts w:ascii="Times New Roman" w:hAnsi="Times New Roman"/>
          <w:sz w:val="22"/>
          <w:szCs w:val="22"/>
        </w:rPr>
        <w:t xml:space="preserve"> requirements include</w:t>
      </w:r>
      <w:r>
        <w:rPr>
          <w:rFonts w:ascii="Times New Roman" w:hAnsi="Times New Roman"/>
          <w:sz w:val="22"/>
          <w:szCs w:val="22"/>
        </w:rPr>
        <w:t xml:space="preserve"> </w:t>
      </w:r>
      <w:r w:rsidRPr="005C529F">
        <w:rPr>
          <w:rFonts w:ascii="Times New Roman" w:hAnsi="Times New Roman"/>
          <w:sz w:val="22"/>
          <w:szCs w:val="22"/>
        </w:rPr>
        <w:t xml:space="preserve">that an application has been made in accordance with the appropriate approved form for the </w:t>
      </w:r>
      <w:r w:rsidR="00797CE3">
        <w:rPr>
          <w:rFonts w:ascii="Times New Roman" w:hAnsi="Times New Roman"/>
          <w:sz w:val="22"/>
          <w:szCs w:val="22"/>
        </w:rPr>
        <w:t xml:space="preserve">relevant </w:t>
      </w:r>
      <w:r>
        <w:rPr>
          <w:rFonts w:ascii="Times New Roman" w:hAnsi="Times New Roman"/>
          <w:sz w:val="22"/>
          <w:szCs w:val="22"/>
        </w:rPr>
        <w:t>class of therapeutic</w:t>
      </w:r>
      <w:r w:rsidRPr="005C529F">
        <w:rPr>
          <w:rFonts w:ascii="Times New Roman" w:hAnsi="Times New Roman"/>
          <w:sz w:val="22"/>
          <w:szCs w:val="22"/>
        </w:rPr>
        <w:t xml:space="preserve"> </w:t>
      </w:r>
      <w:r w:rsidR="00797CE3" w:rsidRPr="005C529F">
        <w:rPr>
          <w:rFonts w:ascii="Times New Roman" w:hAnsi="Times New Roman"/>
          <w:sz w:val="22"/>
          <w:szCs w:val="22"/>
        </w:rPr>
        <w:t>goods and</w:t>
      </w:r>
      <w:r w:rsidRPr="005C529F">
        <w:rPr>
          <w:rFonts w:ascii="Times New Roman" w:hAnsi="Times New Roman"/>
          <w:sz w:val="22"/>
          <w:szCs w:val="22"/>
        </w:rPr>
        <w:t xml:space="preserve"> </w:t>
      </w:r>
      <w:r>
        <w:rPr>
          <w:rFonts w:ascii="Times New Roman" w:hAnsi="Times New Roman"/>
          <w:sz w:val="22"/>
          <w:szCs w:val="22"/>
        </w:rPr>
        <w:t>is accompanied by</w:t>
      </w:r>
      <w:r w:rsidRPr="005C529F">
        <w:rPr>
          <w:rFonts w:ascii="Times New Roman" w:hAnsi="Times New Roman"/>
          <w:sz w:val="22"/>
          <w:szCs w:val="22"/>
        </w:rPr>
        <w:t xml:space="preserve"> the necessary </w:t>
      </w:r>
      <w:r>
        <w:rPr>
          <w:rFonts w:ascii="Times New Roman" w:hAnsi="Times New Roman"/>
          <w:sz w:val="22"/>
          <w:szCs w:val="22"/>
        </w:rPr>
        <w:t xml:space="preserve">kind of </w:t>
      </w:r>
      <w:r w:rsidRPr="005C529F">
        <w:rPr>
          <w:rFonts w:ascii="Times New Roman" w:hAnsi="Times New Roman"/>
          <w:sz w:val="22"/>
          <w:szCs w:val="22"/>
        </w:rPr>
        <w:t>information needed to evaluate the application</w:t>
      </w:r>
      <w:r>
        <w:rPr>
          <w:rFonts w:ascii="Times New Roman" w:hAnsi="Times New Roman"/>
          <w:sz w:val="22"/>
          <w:szCs w:val="22"/>
        </w:rPr>
        <w:t xml:space="preserve">.  The requirements </w:t>
      </w:r>
      <w:r w:rsidRPr="005C529F">
        <w:rPr>
          <w:rFonts w:ascii="Times New Roman" w:hAnsi="Times New Roman"/>
          <w:sz w:val="22"/>
          <w:szCs w:val="22"/>
        </w:rPr>
        <w:t xml:space="preserve">are designed to enable the effective management of resources by the Department in the </w:t>
      </w:r>
      <w:r>
        <w:rPr>
          <w:rFonts w:ascii="Times New Roman" w:hAnsi="Times New Roman"/>
          <w:sz w:val="22"/>
          <w:szCs w:val="22"/>
        </w:rPr>
        <w:t>evaluation</w:t>
      </w:r>
      <w:r w:rsidRPr="005C529F">
        <w:rPr>
          <w:rFonts w:ascii="Times New Roman" w:hAnsi="Times New Roman"/>
          <w:sz w:val="22"/>
          <w:szCs w:val="22"/>
        </w:rPr>
        <w:t xml:space="preserve"> of </w:t>
      </w:r>
      <w:r>
        <w:rPr>
          <w:rFonts w:ascii="Times New Roman" w:hAnsi="Times New Roman"/>
          <w:sz w:val="22"/>
          <w:szCs w:val="22"/>
        </w:rPr>
        <w:t>therapeutic goods</w:t>
      </w:r>
      <w:r w:rsidRPr="005C529F">
        <w:rPr>
          <w:rFonts w:ascii="Times New Roman" w:hAnsi="Times New Roman"/>
          <w:sz w:val="22"/>
          <w:szCs w:val="22"/>
        </w:rPr>
        <w:t xml:space="preserve">, and to create certainty for sponsors as to the </w:t>
      </w:r>
      <w:r>
        <w:rPr>
          <w:rFonts w:ascii="Times New Roman" w:hAnsi="Times New Roman"/>
          <w:sz w:val="22"/>
          <w:szCs w:val="22"/>
        </w:rPr>
        <w:t xml:space="preserve">appropriate characterisation of, and regulatory pathway for, </w:t>
      </w:r>
      <w:r w:rsidRPr="005C529F">
        <w:rPr>
          <w:rFonts w:ascii="Times New Roman" w:hAnsi="Times New Roman"/>
          <w:sz w:val="22"/>
          <w:szCs w:val="22"/>
        </w:rPr>
        <w:t xml:space="preserve">their products.  A full evaluation process represents a considerable investment in, and use of, </w:t>
      </w:r>
      <w:r>
        <w:rPr>
          <w:rFonts w:ascii="Times New Roman" w:hAnsi="Times New Roman"/>
          <w:sz w:val="22"/>
          <w:szCs w:val="22"/>
        </w:rPr>
        <w:t xml:space="preserve">Commonwealth </w:t>
      </w:r>
      <w:r w:rsidRPr="005C529F">
        <w:rPr>
          <w:rFonts w:ascii="Times New Roman" w:hAnsi="Times New Roman"/>
          <w:sz w:val="22"/>
          <w:szCs w:val="22"/>
        </w:rPr>
        <w:t>resources.</w:t>
      </w:r>
      <w:r>
        <w:rPr>
          <w:rFonts w:ascii="Times New Roman" w:hAnsi="Times New Roman"/>
          <w:sz w:val="22"/>
          <w:szCs w:val="22"/>
        </w:rPr>
        <w:t xml:space="preserve"> </w:t>
      </w:r>
      <w:r w:rsidRPr="005C529F">
        <w:rPr>
          <w:rFonts w:ascii="Times New Roman" w:hAnsi="Times New Roman"/>
          <w:sz w:val="22"/>
          <w:szCs w:val="22"/>
        </w:rPr>
        <w:t xml:space="preserve"> </w:t>
      </w:r>
      <w:r w:rsidR="00536044">
        <w:rPr>
          <w:rFonts w:ascii="Times New Roman" w:hAnsi="Times New Roman"/>
          <w:sz w:val="22"/>
          <w:szCs w:val="22"/>
        </w:rPr>
        <w:t>Consequently, there are considerable efficiencies to be gained in mandating content and form requirements for applications to provide clarity regarding application requirements, to streamline application and evaluation processes, and to prevent delays in evaluating applications</w:t>
      </w:r>
      <w:r w:rsidRPr="005C529F">
        <w:rPr>
          <w:rFonts w:ascii="Times New Roman" w:hAnsi="Times New Roman"/>
          <w:sz w:val="22"/>
          <w:szCs w:val="22"/>
        </w:rPr>
        <w:t>.</w:t>
      </w:r>
    </w:p>
    <w:p w14:paraId="4CA0D561" w14:textId="77777777" w:rsidR="002C5EA2" w:rsidRDefault="002C5EA2" w:rsidP="002C5EA2">
      <w:pPr>
        <w:rPr>
          <w:rFonts w:ascii="Times New Roman" w:hAnsi="Times New Roman"/>
          <w:sz w:val="22"/>
          <w:szCs w:val="22"/>
        </w:rPr>
      </w:pPr>
    </w:p>
    <w:p w14:paraId="1294F891" w14:textId="22441795" w:rsidR="002C5EA2" w:rsidRPr="005C529F" w:rsidRDefault="00985ECF" w:rsidP="002C5EA2">
      <w:pPr>
        <w:rPr>
          <w:rFonts w:ascii="Times New Roman" w:hAnsi="Times New Roman"/>
          <w:sz w:val="22"/>
          <w:szCs w:val="22"/>
        </w:rPr>
      </w:pPr>
      <w:r>
        <w:rPr>
          <w:rFonts w:ascii="Times New Roman" w:hAnsi="Times New Roman"/>
          <w:sz w:val="22"/>
          <w:szCs w:val="22"/>
        </w:rPr>
        <w:t>Specifically</w:t>
      </w:r>
      <w:r w:rsidR="002C5EA2" w:rsidRPr="005C529F">
        <w:rPr>
          <w:rFonts w:ascii="Times New Roman" w:hAnsi="Times New Roman"/>
          <w:sz w:val="22"/>
          <w:szCs w:val="22"/>
        </w:rPr>
        <w:t xml:space="preserve">, the Amendment Act introduced new sections 23A and 23B to the Act. </w:t>
      </w:r>
      <w:r w:rsidR="002C5EA2">
        <w:rPr>
          <w:rFonts w:ascii="Times New Roman" w:hAnsi="Times New Roman"/>
          <w:sz w:val="22"/>
          <w:szCs w:val="22"/>
        </w:rPr>
        <w:t xml:space="preserve"> </w:t>
      </w:r>
      <w:r w:rsidR="002C5EA2" w:rsidRPr="005C529F">
        <w:rPr>
          <w:rFonts w:ascii="Times New Roman" w:hAnsi="Times New Roman"/>
          <w:sz w:val="22"/>
          <w:szCs w:val="22"/>
        </w:rPr>
        <w:t>Section 23A provides for the Secretary to specify different classes of therapeutic goods</w:t>
      </w:r>
      <w:r w:rsidR="00536044">
        <w:rPr>
          <w:rFonts w:ascii="Times New Roman" w:hAnsi="Times New Roman"/>
          <w:sz w:val="22"/>
          <w:szCs w:val="22"/>
        </w:rPr>
        <w:t>, by notifiable instrument,</w:t>
      </w:r>
      <w:r w:rsidR="002C5EA2" w:rsidRPr="005C529F">
        <w:rPr>
          <w:rFonts w:ascii="Times New Roman" w:hAnsi="Times New Roman"/>
          <w:sz w:val="22"/>
          <w:szCs w:val="22"/>
        </w:rPr>
        <w:t xml:space="preserve"> for the purposes of section 23B.</w:t>
      </w:r>
      <w:r w:rsidR="002C5EA2">
        <w:rPr>
          <w:rFonts w:ascii="Times New Roman" w:hAnsi="Times New Roman"/>
          <w:sz w:val="22"/>
          <w:szCs w:val="22"/>
        </w:rPr>
        <w:t xml:space="preserve">  </w:t>
      </w:r>
      <w:r w:rsidR="002C5EA2" w:rsidRPr="005C529F">
        <w:rPr>
          <w:rFonts w:ascii="Times New Roman" w:hAnsi="Times New Roman"/>
          <w:sz w:val="22"/>
          <w:szCs w:val="22"/>
        </w:rPr>
        <w:t>Section 23B sets out the preliminary assessment requirements relating to applications for the registration of therapeutic goods</w:t>
      </w:r>
      <w:r w:rsidR="002C5EA2">
        <w:rPr>
          <w:rFonts w:ascii="Times New Roman" w:hAnsi="Times New Roman"/>
          <w:sz w:val="22"/>
          <w:szCs w:val="22"/>
        </w:rPr>
        <w:t xml:space="preserve">, </w:t>
      </w:r>
      <w:r w:rsidR="002C5EA2" w:rsidRPr="005C529F">
        <w:rPr>
          <w:rFonts w:ascii="Times New Roman" w:hAnsi="Times New Roman"/>
          <w:sz w:val="22"/>
          <w:szCs w:val="22"/>
        </w:rPr>
        <w:t xml:space="preserve">and the listing of medicines under section 26AE of the Act. </w:t>
      </w:r>
      <w:r w:rsidR="002C5EA2">
        <w:rPr>
          <w:rFonts w:ascii="Times New Roman" w:hAnsi="Times New Roman"/>
          <w:sz w:val="22"/>
          <w:szCs w:val="22"/>
        </w:rPr>
        <w:t xml:space="preserve"> </w:t>
      </w:r>
      <w:r w:rsidR="002C5EA2" w:rsidRPr="005C529F">
        <w:rPr>
          <w:rFonts w:ascii="Times New Roman" w:hAnsi="Times New Roman"/>
          <w:sz w:val="22"/>
          <w:szCs w:val="22"/>
        </w:rPr>
        <w:t>These requirements include a requirement that the application be accompanied by information that is of a kind determined under subsection 23B(9)</w:t>
      </w:r>
      <w:r w:rsidR="008002A1">
        <w:rPr>
          <w:rFonts w:ascii="Times New Roman" w:hAnsi="Times New Roman"/>
          <w:sz w:val="22"/>
          <w:szCs w:val="22"/>
        </w:rPr>
        <w:t xml:space="preserve"> of the Act</w:t>
      </w:r>
      <w:r w:rsidR="002C5EA2" w:rsidRPr="005C529F">
        <w:rPr>
          <w:rFonts w:ascii="Times New Roman" w:hAnsi="Times New Roman"/>
          <w:sz w:val="22"/>
          <w:szCs w:val="22"/>
        </w:rPr>
        <w:t>, and that the information is in a form determined under subsection 23B(10).</w:t>
      </w:r>
    </w:p>
    <w:p w14:paraId="7810A099" w14:textId="77777777" w:rsidR="002C5EA2" w:rsidRPr="005C529F" w:rsidRDefault="002C5EA2" w:rsidP="002C5EA2">
      <w:pPr>
        <w:rPr>
          <w:rFonts w:ascii="Times New Roman" w:hAnsi="Times New Roman"/>
          <w:sz w:val="22"/>
          <w:szCs w:val="22"/>
        </w:rPr>
      </w:pPr>
    </w:p>
    <w:p w14:paraId="30EE0A30" w14:textId="77777777" w:rsidR="002C5EA2" w:rsidRPr="005C529F" w:rsidRDefault="002C5EA2" w:rsidP="002C5EA2">
      <w:pPr>
        <w:rPr>
          <w:rFonts w:ascii="Times New Roman" w:hAnsi="Times New Roman"/>
          <w:sz w:val="22"/>
          <w:szCs w:val="22"/>
        </w:rPr>
      </w:pPr>
      <w:r w:rsidRPr="005C529F">
        <w:rPr>
          <w:rFonts w:ascii="Times New Roman" w:hAnsi="Times New Roman"/>
          <w:sz w:val="22"/>
          <w:szCs w:val="22"/>
        </w:rPr>
        <w:t>Subsection 23B(9) of the Act relevantly provides that the Secretary may, by legislative instrument, determine a kind of information for the purposes of the application of subparagraph 23B(2)(d)(</w:t>
      </w:r>
      <w:proofErr w:type="spellStart"/>
      <w:r w:rsidRPr="005C529F">
        <w:rPr>
          <w:rFonts w:ascii="Times New Roman" w:hAnsi="Times New Roman"/>
          <w:sz w:val="22"/>
          <w:szCs w:val="22"/>
        </w:rPr>
        <w:t>i</w:t>
      </w:r>
      <w:proofErr w:type="spellEnd"/>
      <w:r w:rsidRPr="005C529F">
        <w:rPr>
          <w:rFonts w:ascii="Times New Roman" w:hAnsi="Times New Roman"/>
          <w:sz w:val="22"/>
          <w:szCs w:val="22"/>
        </w:rPr>
        <w:t>) of the Act to a class of therapeutic goods that is specified under section 23A of the Act.</w:t>
      </w:r>
    </w:p>
    <w:p w14:paraId="3709AFFA" w14:textId="77777777" w:rsidR="002C5EA2" w:rsidRPr="005C529F" w:rsidRDefault="002C5EA2" w:rsidP="002C5EA2">
      <w:pPr>
        <w:rPr>
          <w:rFonts w:ascii="Times New Roman" w:hAnsi="Times New Roman"/>
          <w:sz w:val="22"/>
          <w:szCs w:val="22"/>
        </w:rPr>
      </w:pPr>
    </w:p>
    <w:p w14:paraId="09B0C9D0" w14:textId="77777777" w:rsidR="002C5EA2" w:rsidRPr="005C529F" w:rsidRDefault="002C5EA2" w:rsidP="002C5EA2">
      <w:pPr>
        <w:rPr>
          <w:rFonts w:ascii="Times New Roman" w:hAnsi="Times New Roman"/>
          <w:sz w:val="22"/>
          <w:szCs w:val="22"/>
        </w:rPr>
      </w:pPr>
      <w:r w:rsidRPr="005C529F">
        <w:rPr>
          <w:rFonts w:ascii="Times New Roman" w:hAnsi="Times New Roman"/>
          <w:sz w:val="22"/>
          <w:szCs w:val="22"/>
        </w:rPr>
        <w:t>Subsection 23B(10) of the Act relevantly provides that the Secretary may, by legislative instrument, determine a form of information for the purposes of the application of subparagraph 23B(2)(d)(ii) to a class of therapeutic goods that is specified under section 23A.</w:t>
      </w:r>
    </w:p>
    <w:p w14:paraId="5E3AE8AF" w14:textId="77777777" w:rsidR="002C5EA2" w:rsidRDefault="002C5EA2" w:rsidP="002C5EA2">
      <w:pPr>
        <w:rPr>
          <w:rFonts w:ascii="Times New Roman" w:hAnsi="Times New Roman"/>
          <w:sz w:val="22"/>
          <w:szCs w:val="22"/>
        </w:rPr>
      </w:pPr>
    </w:p>
    <w:p w14:paraId="14FD5D4A" w14:textId="28014506" w:rsidR="002C5EA2" w:rsidRDefault="00536044" w:rsidP="002C5EA2">
      <w:pPr>
        <w:rPr>
          <w:rFonts w:ascii="Times New Roman" w:hAnsi="Times New Roman"/>
          <w:sz w:val="22"/>
          <w:szCs w:val="22"/>
        </w:rPr>
      </w:pPr>
      <w:r>
        <w:rPr>
          <w:rFonts w:ascii="Times New Roman" w:hAnsi="Times New Roman"/>
          <w:sz w:val="22"/>
          <w:szCs w:val="22"/>
        </w:rPr>
        <w:t>C</w:t>
      </w:r>
      <w:r w:rsidR="002C5EA2">
        <w:rPr>
          <w:rFonts w:ascii="Times New Roman" w:hAnsi="Times New Roman"/>
          <w:sz w:val="22"/>
          <w:szCs w:val="22"/>
        </w:rPr>
        <w:t xml:space="preserve">lasses of therapeutic goods are specified in the </w:t>
      </w:r>
      <w:r w:rsidR="002C5EA2" w:rsidRPr="00F44D4E">
        <w:rPr>
          <w:rFonts w:ascii="Times New Roman" w:hAnsi="Times New Roman"/>
          <w:i/>
          <w:iCs/>
          <w:sz w:val="22"/>
          <w:szCs w:val="22"/>
        </w:rPr>
        <w:t xml:space="preserve">Therapeutic </w:t>
      </w:r>
      <w:r w:rsidR="002C5EA2" w:rsidRPr="003D3C6A">
        <w:rPr>
          <w:rFonts w:ascii="Times New Roman" w:hAnsi="Times New Roman"/>
          <w:i/>
          <w:iCs/>
          <w:sz w:val="22"/>
          <w:szCs w:val="22"/>
        </w:rPr>
        <w:t>Goods (Classes of Therapeutic Goods) Instrument 2018</w:t>
      </w:r>
      <w:r>
        <w:rPr>
          <w:rFonts w:ascii="Times New Roman" w:hAnsi="Times New Roman"/>
          <w:sz w:val="22"/>
          <w:szCs w:val="22"/>
        </w:rPr>
        <w:t xml:space="preserve">, which </w:t>
      </w:r>
      <w:r w:rsidR="002C5EA2" w:rsidRPr="003D3C6A">
        <w:rPr>
          <w:rFonts w:ascii="Times New Roman" w:hAnsi="Times New Roman"/>
          <w:sz w:val="22"/>
          <w:szCs w:val="22"/>
        </w:rPr>
        <w:t>is made</w:t>
      </w:r>
      <w:r w:rsidR="00B02EDD">
        <w:rPr>
          <w:rFonts w:ascii="Times New Roman" w:hAnsi="Times New Roman"/>
          <w:sz w:val="22"/>
          <w:szCs w:val="22"/>
        </w:rPr>
        <w:t xml:space="preserve"> under</w:t>
      </w:r>
      <w:r w:rsidR="002C5EA2" w:rsidRPr="003D3C6A">
        <w:rPr>
          <w:rFonts w:ascii="Times New Roman" w:hAnsi="Times New Roman"/>
          <w:sz w:val="22"/>
          <w:szCs w:val="22"/>
        </w:rPr>
        <w:t xml:space="preserve"> section 23A of the Act</w:t>
      </w:r>
      <w:r w:rsidR="002C5EA2">
        <w:rPr>
          <w:rFonts w:ascii="Times New Roman" w:hAnsi="Times New Roman"/>
          <w:sz w:val="22"/>
          <w:szCs w:val="22"/>
        </w:rPr>
        <w:t xml:space="preserve"> </w:t>
      </w:r>
      <w:r w:rsidR="00CD49F2">
        <w:rPr>
          <w:rFonts w:ascii="Times New Roman" w:hAnsi="Times New Roman"/>
          <w:sz w:val="22"/>
          <w:szCs w:val="22"/>
        </w:rPr>
        <w:t>and</w:t>
      </w:r>
      <w:r w:rsidR="002C5EA2" w:rsidRPr="003D3C6A">
        <w:rPr>
          <w:rFonts w:ascii="Times New Roman" w:hAnsi="Times New Roman"/>
          <w:sz w:val="22"/>
          <w:szCs w:val="22"/>
        </w:rPr>
        <w:t xml:space="preserve"> includ</w:t>
      </w:r>
      <w:r w:rsidR="00CD49F2">
        <w:rPr>
          <w:rFonts w:ascii="Times New Roman" w:hAnsi="Times New Roman"/>
          <w:sz w:val="22"/>
          <w:szCs w:val="22"/>
        </w:rPr>
        <w:t>es</w:t>
      </w:r>
      <w:r w:rsidR="002C5EA2" w:rsidRPr="003D3C6A">
        <w:rPr>
          <w:rFonts w:ascii="Times New Roman" w:hAnsi="Times New Roman"/>
          <w:sz w:val="22"/>
          <w:szCs w:val="22"/>
        </w:rPr>
        <w:t xml:space="preserve"> </w:t>
      </w:r>
      <w:r w:rsidR="002C5EA2">
        <w:rPr>
          <w:rFonts w:ascii="Times New Roman" w:hAnsi="Times New Roman"/>
          <w:sz w:val="22"/>
          <w:szCs w:val="22"/>
        </w:rPr>
        <w:t>the class ‘</w:t>
      </w:r>
      <w:r w:rsidR="002C5EA2" w:rsidRPr="003D3C6A">
        <w:rPr>
          <w:rFonts w:ascii="Times New Roman" w:hAnsi="Times New Roman"/>
          <w:sz w:val="22"/>
          <w:szCs w:val="22"/>
        </w:rPr>
        <w:t>prescription and other medicines</w:t>
      </w:r>
      <w:r w:rsidR="002C5EA2">
        <w:rPr>
          <w:rFonts w:ascii="Times New Roman" w:hAnsi="Times New Roman"/>
          <w:sz w:val="22"/>
          <w:szCs w:val="22"/>
        </w:rPr>
        <w:t>’.</w:t>
      </w:r>
    </w:p>
    <w:p w14:paraId="56F09FF2" w14:textId="77777777" w:rsidR="002C5EA2" w:rsidRDefault="002C5EA2" w:rsidP="002C5EA2">
      <w:pPr>
        <w:rPr>
          <w:rFonts w:ascii="Times New Roman" w:hAnsi="Times New Roman"/>
          <w:sz w:val="22"/>
          <w:szCs w:val="22"/>
        </w:rPr>
      </w:pPr>
    </w:p>
    <w:p w14:paraId="1C3D1C1B" w14:textId="3C50E092" w:rsidR="007B2D87" w:rsidRDefault="002C5EA2" w:rsidP="002C5EA2">
      <w:pPr>
        <w:rPr>
          <w:rFonts w:ascii="Times New Roman" w:hAnsi="Times New Roman"/>
          <w:sz w:val="22"/>
          <w:szCs w:val="22"/>
        </w:rPr>
      </w:pPr>
      <w:r>
        <w:rPr>
          <w:rFonts w:ascii="Times New Roman" w:hAnsi="Times New Roman"/>
          <w:sz w:val="22"/>
          <w:szCs w:val="22"/>
        </w:rPr>
        <w:t>T</w:t>
      </w:r>
      <w:r w:rsidRPr="00B05C36">
        <w:rPr>
          <w:rFonts w:ascii="Times New Roman" w:hAnsi="Times New Roman"/>
          <w:sz w:val="22"/>
          <w:szCs w:val="22"/>
        </w:rPr>
        <w:t>h</w:t>
      </w:r>
      <w:r w:rsidR="00E46796">
        <w:rPr>
          <w:rFonts w:ascii="Times New Roman" w:hAnsi="Times New Roman"/>
          <w:sz w:val="22"/>
          <w:szCs w:val="22"/>
        </w:rPr>
        <w:t>e</w:t>
      </w:r>
      <w:r w:rsidR="007B2D87">
        <w:rPr>
          <w:rFonts w:ascii="Times New Roman" w:hAnsi="Times New Roman"/>
          <w:sz w:val="22"/>
          <w:szCs w:val="22"/>
        </w:rPr>
        <w:t xml:space="preserve"> instrument</w:t>
      </w:r>
      <w:r w:rsidRPr="00B05C36">
        <w:rPr>
          <w:rFonts w:ascii="Times New Roman" w:hAnsi="Times New Roman"/>
          <w:sz w:val="22"/>
          <w:szCs w:val="22"/>
        </w:rPr>
        <w:t xml:space="preserve"> </w:t>
      </w:r>
      <w:r w:rsidR="00E46796">
        <w:rPr>
          <w:rFonts w:ascii="Times New Roman" w:hAnsi="Times New Roman"/>
          <w:sz w:val="22"/>
          <w:szCs w:val="22"/>
        </w:rPr>
        <w:t xml:space="preserve">to which this statement relates </w:t>
      </w:r>
      <w:r w:rsidRPr="00B05C36">
        <w:rPr>
          <w:rFonts w:ascii="Times New Roman" w:hAnsi="Times New Roman"/>
          <w:sz w:val="22"/>
          <w:szCs w:val="22"/>
        </w:rPr>
        <w:t>is made under subsection</w:t>
      </w:r>
      <w:r>
        <w:rPr>
          <w:rFonts w:ascii="Times New Roman" w:hAnsi="Times New Roman"/>
          <w:sz w:val="22"/>
          <w:szCs w:val="22"/>
        </w:rPr>
        <w:t xml:space="preserve"> 2</w:t>
      </w:r>
      <w:r w:rsidRPr="00B05C36">
        <w:rPr>
          <w:rFonts w:ascii="Times New Roman" w:hAnsi="Times New Roman"/>
          <w:sz w:val="22"/>
          <w:szCs w:val="22"/>
        </w:rPr>
        <w:t>3B(</w:t>
      </w:r>
      <w:r>
        <w:rPr>
          <w:rFonts w:ascii="Times New Roman" w:hAnsi="Times New Roman"/>
          <w:sz w:val="22"/>
          <w:szCs w:val="22"/>
        </w:rPr>
        <w:t>10</w:t>
      </w:r>
      <w:r w:rsidRPr="00B05C36">
        <w:rPr>
          <w:rFonts w:ascii="Times New Roman" w:hAnsi="Times New Roman"/>
          <w:sz w:val="22"/>
          <w:szCs w:val="22"/>
        </w:rPr>
        <w:t xml:space="preserve">) </w:t>
      </w:r>
      <w:r>
        <w:rPr>
          <w:rFonts w:ascii="Times New Roman" w:hAnsi="Times New Roman"/>
          <w:sz w:val="22"/>
          <w:szCs w:val="22"/>
        </w:rPr>
        <w:t xml:space="preserve">of the Act </w:t>
      </w:r>
      <w:r w:rsidRPr="00B05C36">
        <w:rPr>
          <w:rFonts w:ascii="Times New Roman" w:hAnsi="Times New Roman"/>
          <w:sz w:val="22"/>
          <w:szCs w:val="22"/>
        </w:rPr>
        <w:t xml:space="preserve">for the </w:t>
      </w:r>
      <w:r>
        <w:rPr>
          <w:rFonts w:ascii="Times New Roman" w:hAnsi="Times New Roman"/>
          <w:sz w:val="22"/>
          <w:szCs w:val="22"/>
        </w:rPr>
        <w:t>p</w:t>
      </w:r>
      <w:r w:rsidRPr="00B05C36">
        <w:rPr>
          <w:rFonts w:ascii="Times New Roman" w:hAnsi="Times New Roman"/>
          <w:sz w:val="22"/>
          <w:szCs w:val="22"/>
        </w:rPr>
        <w:t>urpose</w:t>
      </w:r>
      <w:r>
        <w:rPr>
          <w:rFonts w:ascii="Times New Roman" w:hAnsi="Times New Roman"/>
          <w:sz w:val="22"/>
          <w:szCs w:val="22"/>
        </w:rPr>
        <w:t>s of</w:t>
      </w:r>
      <w:r w:rsidRPr="00B05C36">
        <w:rPr>
          <w:rFonts w:ascii="Times New Roman" w:hAnsi="Times New Roman"/>
          <w:sz w:val="22"/>
          <w:szCs w:val="22"/>
        </w:rPr>
        <w:t xml:space="preserve"> subparagraph 23B(2)(d)(i</w:t>
      </w:r>
      <w:r>
        <w:rPr>
          <w:rFonts w:ascii="Times New Roman" w:hAnsi="Times New Roman"/>
          <w:sz w:val="22"/>
          <w:szCs w:val="22"/>
        </w:rPr>
        <w:t>i</w:t>
      </w:r>
      <w:r w:rsidRPr="00B05C36">
        <w:rPr>
          <w:rFonts w:ascii="Times New Roman" w:hAnsi="Times New Roman"/>
          <w:sz w:val="22"/>
          <w:szCs w:val="22"/>
        </w:rPr>
        <w:t>)</w:t>
      </w:r>
      <w:r w:rsidR="007B2D87">
        <w:rPr>
          <w:rFonts w:ascii="Times New Roman" w:hAnsi="Times New Roman"/>
          <w:sz w:val="22"/>
          <w:szCs w:val="22"/>
        </w:rPr>
        <w:t xml:space="preserve"> of the Act</w:t>
      </w:r>
      <w:r w:rsidR="00E46796">
        <w:rPr>
          <w:rFonts w:ascii="Times New Roman" w:hAnsi="Times New Roman"/>
          <w:sz w:val="22"/>
          <w:szCs w:val="22"/>
        </w:rPr>
        <w:t xml:space="preserve">.  </w:t>
      </w:r>
      <w:r w:rsidR="00536044">
        <w:rPr>
          <w:rFonts w:ascii="Times New Roman" w:hAnsi="Times New Roman"/>
          <w:sz w:val="22"/>
          <w:szCs w:val="22"/>
        </w:rPr>
        <w:t>I</w:t>
      </w:r>
      <w:r w:rsidR="007B2D87">
        <w:rPr>
          <w:rFonts w:ascii="Times New Roman" w:hAnsi="Times New Roman"/>
          <w:sz w:val="22"/>
          <w:szCs w:val="22"/>
        </w:rPr>
        <w:t>ts purpose is to</w:t>
      </w:r>
      <w:r>
        <w:rPr>
          <w:rFonts w:ascii="Times New Roman" w:hAnsi="Times New Roman"/>
          <w:sz w:val="22"/>
          <w:szCs w:val="22"/>
        </w:rPr>
        <w:t xml:space="preserve"> determin</w:t>
      </w:r>
      <w:r w:rsidR="007B2D87">
        <w:rPr>
          <w:rFonts w:ascii="Times New Roman" w:hAnsi="Times New Roman"/>
          <w:sz w:val="22"/>
          <w:szCs w:val="22"/>
        </w:rPr>
        <w:t>e</w:t>
      </w:r>
      <w:r>
        <w:rPr>
          <w:rFonts w:ascii="Times New Roman" w:hAnsi="Times New Roman"/>
          <w:sz w:val="22"/>
          <w:szCs w:val="22"/>
        </w:rPr>
        <w:t xml:space="preserve"> the </w:t>
      </w:r>
      <w:r w:rsidR="00E46796">
        <w:rPr>
          <w:rFonts w:ascii="Times New Roman" w:hAnsi="Times New Roman"/>
          <w:sz w:val="22"/>
          <w:szCs w:val="22"/>
        </w:rPr>
        <w:t xml:space="preserve">form in which </w:t>
      </w:r>
      <w:r>
        <w:rPr>
          <w:rFonts w:ascii="Times New Roman" w:hAnsi="Times New Roman"/>
          <w:sz w:val="22"/>
          <w:szCs w:val="22"/>
        </w:rPr>
        <w:t xml:space="preserve">information </w:t>
      </w:r>
      <w:r w:rsidR="00CD49F2">
        <w:rPr>
          <w:rFonts w:ascii="Times New Roman" w:hAnsi="Times New Roman"/>
          <w:sz w:val="22"/>
          <w:szCs w:val="22"/>
        </w:rPr>
        <w:t xml:space="preserve">in an application dossier </w:t>
      </w:r>
      <w:r>
        <w:rPr>
          <w:rFonts w:ascii="Times New Roman" w:hAnsi="Times New Roman"/>
          <w:sz w:val="22"/>
          <w:szCs w:val="22"/>
        </w:rPr>
        <w:t xml:space="preserve">that accompanies an application for the registration of a medicine in the </w:t>
      </w:r>
      <w:r w:rsidR="00CD49F2">
        <w:rPr>
          <w:rFonts w:ascii="Times New Roman" w:hAnsi="Times New Roman"/>
          <w:sz w:val="22"/>
          <w:szCs w:val="22"/>
        </w:rPr>
        <w:t>‘</w:t>
      </w:r>
      <w:r>
        <w:rPr>
          <w:rFonts w:ascii="Times New Roman" w:hAnsi="Times New Roman"/>
          <w:sz w:val="22"/>
          <w:szCs w:val="22"/>
        </w:rPr>
        <w:t>prescription and other medicines</w:t>
      </w:r>
      <w:r w:rsidR="00CD49F2">
        <w:rPr>
          <w:rFonts w:ascii="Times New Roman" w:hAnsi="Times New Roman"/>
          <w:sz w:val="22"/>
          <w:szCs w:val="22"/>
        </w:rPr>
        <w:t>’</w:t>
      </w:r>
      <w:r>
        <w:rPr>
          <w:rFonts w:ascii="Times New Roman" w:hAnsi="Times New Roman"/>
          <w:sz w:val="22"/>
          <w:szCs w:val="22"/>
        </w:rPr>
        <w:t xml:space="preserve"> class </w:t>
      </w:r>
      <w:r w:rsidR="00E46796">
        <w:rPr>
          <w:rFonts w:ascii="Times New Roman" w:hAnsi="Times New Roman"/>
          <w:sz w:val="22"/>
          <w:szCs w:val="22"/>
        </w:rPr>
        <w:t xml:space="preserve">is submitted to the Secretary.  The medicines to which the instrument relates are those </w:t>
      </w:r>
      <w:r>
        <w:rPr>
          <w:rFonts w:ascii="Times New Roman" w:hAnsi="Times New Roman"/>
          <w:sz w:val="22"/>
          <w:szCs w:val="22"/>
        </w:rPr>
        <w:t>specified in</w:t>
      </w:r>
      <w:r w:rsidR="007B2D87">
        <w:rPr>
          <w:rFonts w:ascii="Times New Roman" w:hAnsi="Times New Roman"/>
          <w:sz w:val="22"/>
          <w:szCs w:val="22"/>
        </w:rPr>
        <w:t xml:space="preserve"> paragraph 4(1)(a) of the </w:t>
      </w:r>
      <w:r w:rsidR="00E46796" w:rsidRPr="00F44D4E">
        <w:rPr>
          <w:rFonts w:ascii="Times New Roman" w:hAnsi="Times New Roman"/>
          <w:i/>
          <w:iCs/>
          <w:sz w:val="22"/>
          <w:szCs w:val="22"/>
        </w:rPr>
        <w:t xml:space="preserve">Therapeutic </w:t>
      </w:r>
      <w:r w:rsidR="00E46796" w:rsidRPr="003D3C6A">
        <w:rPr>
          <w:rFonts w:ascii="Times New Roman" w:hAnsi="Times New Roman"/>
          <w:i/>
          <w:iCs/>
          <w:sz w:val="22"/>
          <w:szCs w:val="22"/>
        </w:rPr>
        <w:t>Goods (Classes of Therapeutic Goods) Instrument 2018</w:t>
      </w:r>
      <w:r w:rsidR="00CD49F2">
        <w:rPr>
          <w:rFonts w:ascii="Times New Roman" w:hAnsi="Times New Roman"/>
          <w:sz w:val="22"/>
          <w:szCs w:val="22"/>
        </w:rPr>
        <w:t xml:space="preserve">) </w:t>
      </w:r>
      <w:r w:rsidR="00E46796">
        <w:rPr>
          <w:rFonts w:ascii="Times New Roman" w:hAnsi="Times New Roman"/>
          <w:sz w:val="22"/>
          <w:szCs w:val="22"/>
        </w:rPr>
        <w:t>and</w:t>
      </w:r>
      <w:r w:rsidR="00CD49F2">
        <w:rPr>
          <w:rFonts w:ascii="Times New Roman" w:hAnsi="Times New Roman"/>
          <w:sz w:val="22"/>
          <w:szCs w:val="22"/>
        </w:rPr>
        <w:t xml:space="preserve"> mentioned in Schedule 1 to the instrument</w:t>
      </w:r>
      <w:r w:rsidR="00E46796">
        <w:rPr>
          <w:rFonts w:ascii="Times New Roman" w:hAnsi="Times New Roman"/>
          <w:sz w:val="22"/>
          <w:szCs w:val="22"/>
        </w:rPr>
        <w:t xml:space="preserve">.  The form that is determined in the instrument is </w:t>
      </w:r>
      <w:r>
        <w:rPr>
          <w:rFonts w:ascii="Times New Roman" w:hAnsi="Times New Roman"/>
          <w:sz w:val="22"/>
          <w:szCs w:val="22"/>
        </w:rPr>
        <w:t>the eCTD format or, in exceptional circumstances, another format with the prior written agreement of the TGA.  eCTD is an international standard formatting style that is used by many comparable overseas regulators.</w:t>
      </w:r>
    </w:p>
    <w:p w14:paraId="19790957" w14:textId="77777777" w:rsidR="007B2D87" w:rsidRDefault="007B2D87" w:rsidP="002C5EA2">
      <w:pPr>
        <w:rPr>
          <w:rFonts w:ascii="Times New Roman" w:hAnsi="Times New Roman"/>
          <w:sz w:val="22"/>
          <w:szCs w:val="22"/>
        </w:rPr>
      </w:pPr>
    </w:p>
    <w:p w14:paraId="398A0068" w14:textId="4D20143D" w:rsidR="007B2D87" w:rsidRPr="00B05C36" w:rsidRDefault="007B2D87" w:rsidP="007B2D87">
      <w:pPr>
        <w:rPr>
          <w:rFonts w:ascii="Times New Roman" w:hAnsi="Times New Roman"/>
          <w:sz w:val="22"/>
          <w:szCs w:val="22"/>
        </w:rPr>
      </w:pPr>
      <w:r>
        <w:rPr>
          <w:rFonts w:ascii="Times New Roman" w:hAnsi="Times New Roman"/>
          <w:sz w:val="22"/>
          <w:szCs w:val="22"/>
        </w:rPr>
        <w:t xml:space="preserve">The majority of the sponsors of medicines to which the </w:t>
      </w:r>
      <w:r w:rsidR="00DD1B27">
        <w:rPr>
          <w:rFonts w:ascii="Times New Roman" w:hAnsi="Times New Roman"/>
          <w:sz w:val="22"/>
          <w:szCs w:val="22"/>
        </w:rPr>
        <w:t>instrument</w:t>
      </w:r>
      <w:r>
        <w:rPr>
          <w:rFonts w:ascii="Times New Roman" w:hAnsi="Times New Roman"/>
          <w:sz w:val="22"/>
          <w:szCs w:val="22"/>
        </w:rPr>
        <w:t xml:space="preserve"> applies already use the eCTD format.  However, a </w:t>
      </w:r>
      <w:r w:rsidR="00985ECF">
        <w:rPr>
          <w:rFonts w:ascii="Times New Roman" w:hAnsi="Times New Roman"/>
          <w:sz w:val="22"/>
          <w:szCs w:val="22"/>
        </w:rPr>
        <w:t xml:space="preserve">small </w:t>
      </w:r>
      <w:r>
        <w:rPr>
          <w:rFonts w:ascii="Times New Roman" w:hAnsi="Times New Roman"/>
          <w:sz w:val="22"/>
          <w:szCs w:val="22"/>
        </w:rPr>
        <w:t xml:space="preserve">number </w:t>
      </w:r>
      <w:r w:rsidR="00985ECF">
        <w:rPr>
          <w:rFonts w:ascii="Times New Roman" w:hAnsi="Times New Roman"/>
          <w:sz w:val="22"/>
          <w:szCs w:val="22"/>
        </w:rPr>
        <w:t>continue</w:t>
      </w:r>
      <w:r>
        <w:rPr>
          <w:rFonts w:ascii="Times New Roman" w:hAnsi="Times New Roman"/>
          <w:sz w:val="22"/>
          <w:szCs w:val="22"/>
        </w:rPr>
        <w:t xml:space="preserve"> to use other formats, and section 2 of the </w:t>
      </w:r>
      <w:r w:rsidR="00DD1B27">
        <w:rPr>
          <w:rFonts w:ascii="Times New Roman" w:hAnsi="Times New Roman"/>
          <w:sz w:val="22"/>
          <w:szCs w:val="22"/>
        </w:rPr>
        <w:t>instrument</w:t>
      </w:r>
      <w:r>
        <w:rPr>
          <w:rFonts w:ascii="Times New Roman" w:hAnsi="Times New Roman"/>
          <w:sz w:val="22"/>
          <w:szCs w:val="22"/>
        </w:rPr>
        <w:t xml:space="preserve"> (</w:t>
      </w:r>
      <w:r w:rsidR="00985ECF">
        <w:rPr>
          <w:rFonts w:ascii="Times New Roman" w:hAnsi="Times New Roman"/>
          <w:sz w:val="22"/>
          <w:szCs w:val="22"/>
        </w:rPr>
        <w:t xml:space="preserve">relating to </w:t>
      </w:r>
      <w:r>
        <w:rPr>
          <w:rFonts w:ascii="Times New Roman" w:hAnsi="Times New Roman"/>
          <w:sz w:val="22"/>
          <w:szCs w:val="22"/>
        </w:rPr>
        <w:t>commencement) provides a staggered implementation of the new requirements</w:t>
      </w:r>
      <w:r w:rsidR="00E46796">
        <w:rPr>
          <w:rFonts w:ascii="Times New Roman" w:hAnsi="Times New Roman"/>
          <w:sz w:val="22"/>
          <w:szCs w:val="22"/>
        </w:rPr>
        <w:t>.  This is</w:t>
      </w:r>
      <w:r>
        <w:rPr>
          <w:rFonts w:ascii="Times New Roman" w:hAnsi="Times New Roman"/>
          <w:sz w:val="22"/>
          <w:szCs w:val="22"/>
        </w:rPr>
        <w:t xml:space="preserve"> principally to allow sponsors </w:t>
      </w:r>
      <w:r w:rsidR="00DD1B27">
        <w:rPr>
          <w:rFonts w:ascii="Times New Roman" w:hAnsi="Times New Roman"/>
          <w:sz w:val="22"/>
          <w:szCs w:val="22"/>
        </w:rPr>
        <w:t xml:space="preserve">of certain types of medicines </w:t>
      </w:r>
      <w:r>
        <w:rPr>
          <w:rFonts w:ascii="Times New Roman" w:hAnsi="Times New Roman"/>
          <w:sz w:val="22"/>
          <w:szCs w:val="22"/>
        </w:rPr>
        <w:t xml:space="preserve">who do not </w:t>
      </w:r>
      <w:r w:rsidR="00DD1B27">
        <w:rPr>
          <w:rFonts w:ascii="Times New Roman" w:hAnsi="Times New Roman"/>
          <w:sz w:val="22"/>
          <w:szCs w:val="22"/>
        </w:rPr>
        <w:t xml:space="preserve">currently </w:t>
      </w:r>
      <w:r>
        <w:rPr>
          <w:rFonts w:ascii="Times New Roman" w:hAnsi="Times New Roman"/>
          <w:sz w:val="22"/>
          <w:szCs w:val="22"/>
        </w:rPr>
        <w:t xml:space="preserve">use eCTD additional time (until 1 June 2022) to update their </w:t>
      </w:r>
      <w:r w:rsidR="00985ECF">
        <w:rPr>
          <w:rFonts w:ascii="Times New Roman" w:hAnsi="Times New Roman"/>
          <w:sz w:val="22"/>
          <w:szCs w:val="22"/>
        </w:rPr>
        <w:t xml:space="preserve">systems and </w:t>
      </w:r>
      <w:r>
        <w:rPr>
          <w:rFonts w:ascii="Times New Roman" w:hAnsi="Times New Roman"/>
          <w:sz w:val="22"/>
          <w:szCs w:val="22"/>
        </w:rPr>
        <w:t>processes.</w:t>
      </w:r>
    </w:p>
    <w:p w14:paraId="096097E2" w14:textId="77777777" w:rsidR="002C5EA2" w:rsidRDefault="002C5EA2" w:rsidP="00EF1A58">
      <w:pPr>
        <w:rPr>
          <w:rFonts w:ascii="Times New Roman" w:hAnsi="Times New Roman"/>
          <w:sz w:val="22"/>
          <w:szCs w:val="22"/>
        </w:rPr>
      </w:pPr>
    </w:p>
    <w:p w14:paraId="5B34F536" w14:textId="77777777" w:rsidR="007231B2" w:rsidRPr="00B05C36" w:rsidRDefault="007231B2" w:rsidP="0030123E">
      <w:pPr>
        <w:rPr>
          <w:rFonts w:ascii="Times New Roman" w:hAnsi="Times New Roman"/>
          <w:b/>
          <w:sz w:val="22"/>
          <w:szCs w:val="22"/>
        </w:rPr>
      </w:pPr>
      <w:r w:rsidRPr="00B05C36">
        <w:rPr>
          <w:rFonts w:ascii="Times New Roman" w:hAnsi="Times New Roman"/>
          <w:b/>
          <w:sz w:val="22"/>
          <w:szCs w:val="22"/>
        </w:rPr>
        <w:t>Human rights implications</w:t>
      </w:r>
    </w:p>
    <w:p w14:paraId="19B00797" w14:textId="77777777" w:rsidR="0030123E" w:rsidRPr="00B05C36" w:rsidRDefault="0030123E" w:rsidP="0030123E">
      <w:pPr>
        <w:rPr>
          <w:rFonts w:ascii="Times New Roman" w:hAnsi="Times New Roman"/>
          <w:sz w:val="22"/>
          <w:szCs w:val="22"/>
        </w:rPr>
      </w:pPr>
    </w:p>
    <w:p w14:paraId="36D1852B" w14:textId="62B55986" w:rsidR="004164A4" w:rsidRPr="004164A4" w:rsidRDefault="004164A4" w:rsidP="004164A4">
      <w:pPr>
        <w:rPr>
          <w:rFonts w:ascii="Times New Roman" w:hAnsi="Times New Roman"/>
          <w:sz w:val="22"/>
          <w:szCs w:val="22"/>
        </w:rPr>
      </w:pPr>
      <w:r w:rsidRPr="004164A4">
        <w:rPr>
          <w:rFonts w:ascii="Times New Roman" w:hAnsi="Times New Roman"/>
          <w:sz w:val="22"/>
          <w:szCs w:val="22"/>
        </w:rPr>
        <w:t xml:space="preserve">The instrument engages the right to health in Article 12 of the </w:t>
      </w:r>
      <w:r w:rsidRPr="007110BF">
        <w:rPr>
          <w:rFonts w:ascii="Times New Roman" w:hAnsi="Times New Roman"/>
          <w:i/>
          <w:iCs/>
          <w:sz w:val="22"/>
          <w:szCs w:val="22"/>
        </w:rPr>
        <w:t>International Covenant on Economic, Social and Cultural Rights</w:t>
      </w:r>
      <w:r w:rsidRPr="004164A4">
        <w:rPr>
          <w:rFonts w:ascii="Times New Roman" w:hAnsi="Times New Roman"/>
          <w:sz w:val="22"/>
          <w:szCs w:val="22"/>
        </w:rPr>
        <w:t xml:space="preserve"> (“the ICESCR”).  Article 12 of the ICESCR promotes the</w:t>
      </w:r>
      <w:r w:rsidR="00594125">
        <w:rPr>
          <w:rFonts w:ascii="Times New Roman" w:hAnsi="Times New Roman"/>
          <w:sz w:val="22"/>
          <w:szCs w:val="22"/>
        </w:rPr>
        <w:t> </w:t>
      </w:r>
      <w:r w:rsidRPr="004164A4">
        <w:rPr>
          <w:rFonts w:ascii="Times New Roman" w:hAnsi="Times New Roman"/>
          <w:sz w:val="22"/>
          <w:szCs w:val="22"/>
        </w:rPr>
        <w:t xml:space="preserve">right of all individuals to enjoy the highest attainable standards of physical and mental health.  In </w:t>
      </w:r>
      <w:r w:rsidRPr="007110BF">
        <w:rPr>
          <w:rFonts w:ascii="Times New Roman" w:hAnsi="Times New Roman"/>
          <w:i/>
          <w:iCs/>
          <w:sz w:val="22"/>
          <w:szCs w:val="22"/>
        </w:rPr>
        <w:t xml:space="preserve">General Comment No. 14: </w:t>
      </w:r>
      <w:r w:rsidR="007110BF" w:rsidRPr="007110BF">
        <w:rPr>
          <w:rFonts w:ascii="Times New Roman" w:hAnsi="Times New Roman"/>
          <w:i/>
          <w:iCs/>
          <w:sz w:val="22"/>
          <w:szCs w:val="22"/>
        </w:rPr>
        <w:t xml:space="preserve"> </w:t>
      </w:r>
      <w:r w:rsidRPr="007110BF">
        <w:rPr>
          <w:rFonts w:ascii="Times New Roman" w:hAnsi="Times New Roman"/>
          <w:i/>
          <w:iCs/>
          <w:sz w:val="22"/>
          <w:szCs w:val="22"/>
        </w:rPr>
        <w:t>The Right to the Highest Attainable Standard of Health (Art. 12) (2000)</w:t>
      </w:r>
      <w:r w:rsidRPr="004164A4">
        <w:rPr>
          <w:rFonts w:ascii="Times New Roman" w:hAnsi="Times New Roman"/>
          <w:sz w:val="22"/>
          <w:szCs w:val="22"/>
        </w:rPr>
        <w:t>, the United Nations Committee on Economic, Social and Cultural Rights states that health is a ‘fundamental human right indispensable for the exercise of other human rights’, and that the right to health is not to be understood as the right to be healthy, but includes the right to a system of health protection which provides equal opportunity for people to enjoy the highest attainable level of health.</w:t>
      </w:r>
    </w:p>
    <w:p w14:paraId="1EEE8143" w14:textId="77777777" w:rsidR="004164A4" w:rsidRPr="004164A4" w:rsidRDefault="004164A4" w:rsidP="004164A4">
      <w:pPr>
        <w:rPr>
          <w:rFonts w:ascii="Times New Roman" w:hAnsi="Times New Roman"/>
          <w:sz w:val="22"/>
          <w:szCs w:val="22"/>
        </w:rPr>
      </w:pPr>
    </w:p>
    <w:p w14:paraId="0ED5F0E8" w14:textId="62386310" w:rsidR="0030123E" w:rsidRDefault="004164A4" w:rsidP="007110BF">
      <w:pPr>
        <w:rPr>
          <w:rFonts w:ascii="Times New Roman" w:hAnsi="Times New Roman"/>
          <w:sz w:val="22"/>
          <w:szCs w:val="22"/>
        </w:rPr>
      </w:pPr>
      <w:r w:rsidRPr="004164A4">
        <w:rPr>
          <w:rFonts w:ascii="Times New Roman" w:hAnsi="Times New Roman"/>
          <w:sz w:val="22"/>
          <w:szCs w:val="22"/>
        </w:rPr>
        <w:t xml:space="preserve">The instrument takes positive steps to promote the right to health by </w:t>
      </w:r>
      <w:r w:rsidR="007110BF">
        <w:rPr>
          <w:rFonts w:ascii="Times New Roman" w:hAnsi="Times New Roman"/>
          <w:sz w:val="22"/>
          <w:szCs w:val="22"/>
        </w:rPr>
        <w:t xml:space="preserve">ensuring </w:t>
      </w:r>
      <w:r w:rsidR="007B2D87">
        <w:rPr>
          <w:rFonts w:ascii="Times New Roman" w:hAnsi="Times New Roman"/>
          <w:sz w:val="22"/>
          <w:szCs w:val="22"/>
        </w:rPr>
        <w:t xml:space="preserve">that </w:t>
      </w:r>
      <w:r w:rsidR="007110BF">
        <w:rPr>
          <w:rFonts w:ascii="Times New Roman" w:hAnsi="Times New Roman"/>
          <w:sz w:val="22"/>
          <w:szCs w:val="22"/>
        </w:rPr>
        <w:t xml:space="preserve">the </w:t>
      </w:r>
      <w:r w:rsidR="007B2D87">
        <w:rPr>
          <w:rFonts w:ascii="Times New Roman" w:hAnsi="Times New Roman"/>
          <w:sz w:val="22"/>
          <w:szCs w:val="22"/>
        </w:rPr>
        <w:t xml:space="preserve">process for applying for the </w:t>
      </w:r>
      <w:r w:rsidR="007110BF">
        <w:rPr>
          <w:rFonts w:ascii="Times New Roman" w:hAnsi="Times New Roman"/>
          <w:sz w:val="22"/>
          <w:szCs w:val="22"/>
        </w:rPr>
        <w:t xml:space="preserve">registration </w:t>
      </w:r>
      <w:r w:rsidR="007B2D87">
        <w:rPr>
          <w:rFonts w:ascii="Times New Roman" w:hAnsi="Times New Roman"/>
          <w:sz w:val="22"/>
          <w:szCs w:val="22"/>
        </w:rPr>
        <w:t xml:space="preserve">of a prescription or other medicine </w:t>
      </w:r>
      <w:r w:rsidR="007110BF">
        <w:rPr>
          <w:rFonts w:ascii="Times New Roman" w:hAnsi="Times New Roman"/>
          <w:sz w:val="22"/>
          <w:szCs w:val="22"/>
        </w:rPr>
        <w:t>is as efficient</w:t>
      </w:r>
      <w:r w:rsidR="007B2D87">
        <w:rPr>
          <w:rFonts w:ascii="Times New Roman" w:hAnsi="Times New Roman"/>
          <w:sz w:val="22"/>
          <w:szCs w:val="22"/>
        </w:rPr>
        <w:t xml:space="preserve">, transparent and reliable as </w:t>
      </w:r>
      <w:r w:rsidR="007110BF">
        <w:rPr>
          <w:rFonts w:ascii="Times New Roman" w:hAnsi="Times New Roman"/>
          <w:sz w:val="22"/>
          <w:szCs w:val="22"/>
        </w:rPr>
        <w:t xml:space="preserve">possible. </w:t>
      </w:r>
      <w:r w:rsidR="00035254">
        <w:rPr>
          <w:rFonts w:ascii="Times New Roman" w:hAnsi="Times New Roman"/>
          <w:sz w:val="22"/>
          <w:szCs w:val="22"/>
        </w:rPr>
        <w:t xml:space="preserve"> </w:t>
      </w:r>
      <w:r w:rsidR="007110BF">
        <w:rPr>
          <w:rFonts w:ascii="Times New Roman" w:hAnsi="Times New Roman"/>
          <w:sz w:val="22"/>
          <w:szCs w:val="22"/>
        </w:rPr>
        <w:t xml:space="preserve">The use of an internationally recognised standard format will </w:t>
      </w:r>
      <w:r w:rsidR="007B2D87">
        <w:rPr>
          <w:rFonts w:ascii="Times New Roman" w:hAnsi="Times New Roman"/>
          <w:sz w:val="22"/>
          <w:szCs w:val="22"/>
        </w:rPr>
        <w:t>support th</w:t>
      </w:r>
      <w:r w:rsidR="00E46796">
        <w:rPr>
          <w:rFonts w:ascii="Times New Roman" w:hAnsi="Times New Roman"/>
          <w:sz w:val="22"/>
          <w:szCs w:val="22"/>
        </w:rPr>
        <w:t>e right to health</w:t>
      </w:r>
      <w:r w:rsidR="007B2D87">
        <w:rPr>
          <w:rFonts w:ascii="Times New Roman" w:hAnsi="Times New Roman"/>
          <w:sz w:val="22"/>
          <w:szCs w:val="22"/>
        </w:rPr>
        <w:t xml:space="preserve"> by </w:t>
      </w:r>
      <w:r w:rsidR="007110BF">
        <w:rPr>
          <w:rFonts w:ascii="Times New Roman" w:hAnsi="Times New Roman"/>
          <w:sz w:val="22"/>
          <w:szCs w:val="22"/>
        </w:rPr>
        <w:t>streamlin</w:t>
      </w:r>
      <w:r w:rsidR="007B2D87">
        <w:rPr>
          <w:rFonts w:ascii="Times New Roman" w:hAnsi="Times New Roman"/>
          <w:sz w:val="22"/>
          <w:szCs w:val="22"/>
        </w:rPr>
        <w:t>ing</w:t>
      </w:r>
      <w:r w:rsidR="007110BF">
        <w:rPr>
          <w:rFonts w:ascii="Times New Roman" w:hAnsi="Times New Roman"/>
          <w:sz w:val="22"/>
          <w:szCs w:val="22"/>
        </w:rPr>
        <w:t xml:space="preserve"> the </w:t>
      </w:r>
      <w:r w:rsidR="007B2D87">
        <w:rPr>
          <w:rFonts w:ascii="Times New Roman" w:hAnsi="Times New Roman"/>
          <w:sz w:val="22"/>
          <w:szCs w:val="22"/>
        </w:rPr>
        <w:t xml:space="preserve">application </w:t>
      </w:r>
      <w:r w:rsidR="007110BF">
        <w:rPr>
          <w:rFonts w:ascii="Times New Roman" w:hAnsi="Times New Roman"/>
          <w:sz w:val="22"/>
          <w:szCs w:val="22"/>
        </w:rPr>
        <w:t xml:space="preserve">process for </w:t>
      </w:r>
      <w:r w:rsidR="007B2D87">
        <w:rPr>
          <w:rFonts w:ascii="Times New Roman" w:hAnsi="Times New Roman"/>
          <w:sz w:val="22"/>
          <w:szCs w:val="22"/>
        </w:rPr>
        <w:t>sponsors, with flow-on benefits for patients and health practitioners through quicker access to important new medicines in Australia</w:t>
      </w:r>
      <w:r w:rsidR="007110BF">
        <w:rPr>
          <w:rFonts w:ascii="Times New Roman" w:hAnsi="Times New Roman"/>
          <w:sz w:val="22"/>
          <w:szCs w:val="22"/>
        </w:rPr>
        <w:t>.</w:t>
      </w:r>
    </w:p>
    <w:p w14:paraId="4344FD06" w14:textId="77777777" w:rsidR="007110BF" w:rsidRPr="00B05C36" w:rsidRDefault="007110BF" w:rsidP="007110BF">
      <w:pPr>
        <w:rPr>
          <w:rFonts w:ascii="Times New Roman" w:hAnsi="Times New Roman"/>
          <w:sz w:val="22"/>
          <w:szCs w:val="22"/>
        </w:rPr>
      </w:pPr>
    </w:p>
    <w:p w14:paraId="4087B911" w14:textId="30E9B012" w:rsidR="0030123E" w:rsidRPr="00B05C36" w:rsidRDefault="0030123E" w:rsidP="0030123E">
      <w:pPr>
        <w:rPr>
          <w:rFonts w:ascii="Times New Roman" w:hAnsi="Times New Roman"/>
          <w:b/>
          <w:sz w:val="22"/>
          <w:szCs w:val="22"/>
        </w:rPr>
      </w:pPr>
      <w:r w:rsidRPr="00B05C36">
        <w:rPr>
          <w:rFonts w:ascii="Times New Roman" w:hAnsi="Times New Roman"/>
          <w:b/>
          <w:sz w:val="22"/>
          <w:szCs w:val="22"/>
        </w:rPr>
        <w:t>Conclusion</w:t>
      </w:r>
    </w:p>
    <w:p w14:paraId="31D39146" w14:textId="77777777" w:rsidR="0030123E" w:rsidRPr="00B05C36" w:rsidRDefault="0030123E" w:rsidP="0030123E">
      <w:pPr>
        <w:rPr>
          <w:rFonts w:ascii="Times New Roman" w:hAnsi="Times New Roman"/>
          <w:sz w:val="22"/>
          <w:szCs w:val="22"/>
        </w:rPr>
      </w:pPr>
    </w:p>
    <w:p w14:paraId="56471AFE" w14:textId="18F9C5E9" w:rsidR="00853624" w:rsidRPr="007110BF" w:rsidRDefault="007110BF" w:rsidP="007110BF">
      <w:pPr>
        <w:rPr>
          <w:sz w:val="22"/>
          <w:szCs w:val="22"/>
        </w:rPr>
      </w:pPr>
      <w:r w:rsidRPr="006C2D2C">
        <w:rPr>
          <w:sz w:val="22"/>
          <w:szCs w:val="22"/>
        </w:rPr>
        <w:t>This legislative instrument is compatible with human rights because it promotes the right to health in Article 12 of the ICESCR and otherwise does not raise any other human rights issues.</w:t>
      </w:r>
    </w:p>
    <w:sectPr w:rsidR="00853624" w:rsidRPr="007110BF" w:rsidSect="000675AB">
      <w:headerReference w:type="even" r:id="rId8"/>
      <w:headerReference w:type="default" r:id="rId9"/>
      <w:footerReference w:type="default" r:id="rId10"/>
      <w:footerReference w:type="first" r:id="rId11"/>
      <w:pgSz w:w="11907" w:h="16840" w:code="9"/>
      <w:pgMar w:top="1134" w:right="1701" w:bottom="1021"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C2CC03" w14:textId="77777777" w:rsidR="006011C9" w:rsidRDefault="006011C9">
      <w:r>
        <w:separator/>
      </w:r>
    </w:p>
  </w:endnote>
  <w:endnote w:type="continuationSeparator" w:id="0">
    <w:p w14:paraId="578AC7C1" w14:textId="77777777" w:rsidR="006011C9" w:rsidRDefault="0060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5972775"/>
      <w:docPartObj>
        <w:docPartGallery w:val="Page Numbers (Bottom of Page)"/>
        <w:docPartUnique/>
      </w:docPartObj>
    </w:sdtPr>
    <w:sdtEndPr>
      <w:rPr>
        <w:noProof/>
      </w:rPr>
    </w:sdtEndPr>
    <w:sdtContent>
      <w:p w14:paraId="0BA79E05" w14:textId="77777777" w:rsidR="006011C9" w:rsidRDefault="006011C9">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3865C9DC" w14:textId="77777777" w:rsidR="006011C9" w:rsidRPr="00877529" w:rsidRDefault="006011C9" w:rsidP="008775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45249" w14:textId="77777777" w:rsidR="006011C9" w:rsidRDefault="006011C9" w:rsidP="007F5E4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E36DE0" w14:textId="77777777" w:rsidR="006011C9" w:rsidRDefault="006011C9">
      <w:r>
        <w:separator/>
      </w:r>
    </w:p>
  </w:footnote>
  <w:footnote w:type="continuationSeparator" w:id="0">
    <w:p w14:paraId="452C50BB" w14:textId="77777777" w:rsidR="006011C9" w:rsidRDefault="00601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777292" w14:textId="77777777" w:rsidR="006011C9" w:rsidRDefault="006011C9" w:rsidP="007F5E4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F732CAC" w14:textId="77777777" w:rsidR="006011C9" w:rsidRDefault="006011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631B75" w14:textId="77777777" w:rsidR="006011C9" w:rsidRDefault="006011C9" w:rsidP="00AD1943">
    <w:pPr>
      <w:pStyle w:val="Header"/>
      <w:tabs>
        <w:tab w:val="clear" w:pos="4153"/>
        <w:tab w:val="clear" w:pos="8306"/>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6A7A95"/>
    <w:multiLevelType w:val="hybridMultilevel"/>
    <w:tmpl w:val="E594FB66"/>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 w15:restartNumberingAfterBreak="0">
    <w:nsid w:val="18621A11"/>
    <w:multiLevelType w:val="hybridMultilevel"/>
    <w:tmpl w:val="477E27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7F0394"/>
    <w:multiLevelType w:val="hybridMultilevel"/>
    <w:tmpl w:val="D87EFEDE"/>
    <w:lvl w:ilvl="0" w:tplc="09CC3552">
      <w:start w:val="1"/>
      <w:numFmt w:val="lowerLetter"/>
      <w:lvlText w:val="(%1)"/>
      <w:lvlJc w:val="left"/>
      <w:pPr>
        <w:ind w:left="530" w:hanging="360"/>
      </w:pPr>
      <w:rPr>
        <w:rFonts w:hint="default"/>
      </w:rPr>
    </w:lvl>
    <w:lvl w:ilvl="1" w:tplc="0C090019" w:tentative="1">
      <w:start w:val="1"/>
      <w:numFmt w:val="lowerLetter"/>
      <w:lvlText w:val="%2."/>
      <w:lvlJc w:val="left"/>
      <w:pPr>
        <w:ind w:left="1250" w:hanging="360"/>
      </w:pPr>
    </w:lvl>
    <w:lvl w:ilvl="2" w:tplc="0C09001B" w:tentative="1">
      <w:start w:val="1"/>
      <w:numFmt w:val="lowerRoman"/>
      <w:lvlText w:val="%3."/>
      <w:lvlJc w:val="right"/>
      <w:pPr>
        <w:ind w:left="1970" w:hanging="180"/>
      </w:pPr>
    </w:lvl>
    <w:lvl w:ilvl="3" w:tplc="0C09000F" w:tentative="1">
      <w:start w:val="1"/>
      <w:numFmt w:val="decimal"/>
      <w:lvlText w:val="%4."/>
      <w:lvlJc w:val="left"/>
      <w:pPr>
        <w:ind w:left="2690" w:hanging="360"/>
      </w:pPr>
    </w:lvl>
    <w:lvl w:ilvl="4" w:tplc="0C090019" w:tentative="1">
      <w:start w:val="1"/>
      <w:numFmt w:val="lowerLetter"/>
      <w:lvlText w:val="%5."/>
      <w:lvlJc w:val="left"/>
      <w:pPr>
        <w:ind w:left="3410" w:hanging="360"/>
      </w:pPr>
    </w:lvl>
    <w:lvl w:ilvl="5" w:tplc="0C09001B" w:tentative="1">
      <w:start w:val="1"/>
      <w:numFmt w:val="lowerRoman"/>
      <w:lvlText w:val="%6."/>
      <w:lvlJc w:val="right"/>
      <w:pPr>
        <w:ind w:left="4130" w:hanging="180"/>
      </w:pPr>
    </w:lvl>
    <w:lvl w:ilvl="6" w:tplc="0C09000F" w:tentative="1">
      <w:start w:val="1"/>
      <w:numFmt w:val="decimal"/>
      <w:lvlText w:val="%7."/>
      <w:lvlJc w:val="left"/>
      <w:pPr>
        <w:ind w:left="4850" w:hanging="360"/>
      </w:pPr>
    </w:lvl>
    <w:lvl w:ilvl="7" w:tplc="0C090019" w:tentative="1">
      <w:start w:val="1"/>
      <w:numFmt w:val="lowerLetter"/>
      <w:lvlText w:val="%8."/>
      <w:lvlJc w:val="left"/>
      <w:pPr>
        <w:ind w:left="5570" w:hanging="360"/>
      </w:pPr>
    </w:lvl>
    <w:lvl w:ilvl="8" w:tplc="0C09001B" w:tentative="1">
      <w:start w:val="1"/>
      <w:numFmt w:val="lowerRoman"/>
      <w:lvlText w:val="%9."/>
      <w:lvlJc w:val="right"/>
      <w:pPr>
        <w:ind w:left="6290" w:hanging="180"/>
      </w:pPr>
    </w:lvl>
  </w:abstractNum>
  <w:abstractNum w:abstractNumId="3" w15:restartNumberingAfterBreak="0">
    <w:nsid w:val="72667CE7"/>
    <w:multiLevelType w:val="hybridMultilevel"/>
    <w:tmpl w:val="F4B8EC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4537703"/>
    <w:multiLevelType w:val="hybridMultilevel"/>
    <w:tmpl w:val="F956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1B2"/>
    <w:rsid w:val="00012656"/>
    <w:rsid w:val="00013323"/>
    <w:rsid w:val="00014D8F"/>
    <w:rsid w:val="00025116"/>
    <w:rsid w:val="000257B7"/>
    <w:rsid w:val="00035254"/>
    <w:rsid w:val="000372AF"/>
    <w:rsid w:val="00037CA7"/>
    <w:rsid w:val="00042068"/>
    <w:rsid w:val="00045BDF"/>
    <w:rsid w:val="0006546D"/>
    <w:rsid w:val="000664F1"/>
    <w:rsid w:val="00066CAF"/>
    <w:rsid w:val="000675AB"/>
    <w:rsid w:val="00072CA3"/>
    <w:rsid w:val="00080F79"/>
    <w:rsid w:val="000836D4"/>
    <w:rsid w:val="00085CCF"/>
    <w:rsid w:val="0009078D"/>
    <w:rsid w:val="000917B7"/>
    <w:rsid w:val="00092F0C"/>
    <w:rsid w:val="00093E11"/>
    <w:rsid w:val="00094B6D"/>
    <w:rsid w:val="00094D51"/>
    <w:rsid w:val="00096083"/>
    <w:rsid w:val="000A0B26"/>
    <w:rsid w:val="000A1279"/>
    <w:rsid w:val="000A1F6B"/>
    <w:rsid w:val="000A5402"/>
    <w:rsid w:val="000A5AE3"/>
    <w:rsid w:val="000B005F"/>
    <w:rsid w:val="000B58FD"/>
    <w:rsid w:val="000B7645"/>
    <w:rsid w:val="000C3A89"/>
    <w:rsid w:val="000D45CA"/>
    <w:rsid w:val="000D45DC"/>
    <w:rsid w:val="000E4089"/>
    <w:rsid w:val="000F1DC9"/>
    <w:rsid w:val="000F2215"/>
    <w:rsid w:val="000F414D"/>
    <w:rsid w:val="00115FCF"/>
    <w:rsid w:val="00116077"/>
    <w:rsid w:val="001262A6"/>
    <w:rsid w:val="00132FF7"/>
    <w:rsid w:val="0013396D"/>
    <w:rsid w:val="00141D8C"/>
    <w:rsid w:val="00146B03"/>
    <w:rsid w:val="00147EBC"/>
    <w:rsid w:val="00157BA1"/>
    <w:rsid w:val="001811A6"/>
    <w:rsid w:val="00190FC6"/>
    <w:rsid w:val="00195047"/>
    <w:rsid w:val="00197BB2"/>
    <w:rsid w:val="001A1188"/>
    <w:rsid w:val="001A4C5C"/>
    <w:rsid w:val="001A5A89"/>
    <w:rsid w:val="001C30A4"/>
    <w:rsid w:val="001D19ED"/>
    <w:rsid w:val="001D3026"/>
    <w:rsid w:val="001D5008"/>
    <w:rsid w:val="001E334A"/>
    <w:rsid w:val="001E6D11"/>
    <w:rsid w:val="001F1376"/>
    <w:rsid w:val="001F73A0"/>
    <w:rsid w:val="00201305"/>
    <w:rsid w:val="00204B5E"/>
    <w:rsid w:val="002308E0"/>
    <w:rsid w:val="0023790D"/>
    <w:rsid w:val="002666A0"/>
    <w:rsid w:val="002707DC"/>
    <w:rsid w:val="002714A7"/>
    <w:rsid w:val="002757A6"/>
    <w:rsid w:val="00277520"/>
    <w:rsid w:val="0028480D"/>
    <w:rsid w:val="00287F27"/>
    <w:rsid w:val="00287FCA"/>
    <w:rsid w:val="00292B07"/>
    <w:rsid w:val="00294A49"/>
    <w:rsid w:val="00294DFA"/>
    <w:rsid w:val="002B1D7C"/>
    <w:rsid w:val="002C5EA2"/>
    <w:rsid w:val="002D37B0"/>
    <w:rsid w:val="002E0A39"/>
    <w:rsid w:val="002E2C4A"/>
    <w:rsid w:val="002E3566"/>
    <w:rsid w:val="002F2C22"/>
    <w:rsid w:val="002F3953"/>
    <w:rsid w:val="0030123E"/>
    <w:rsid w:val="00301377"/>
    <w:rsid w:val="0031255D"/>
    <w:rsid w:val="00314200"/>
    <w:rsid w:val="00324D6B"/>
    <w:rsid w:val="003321D3"/>
    <w:rsid w:val="00337507"/>
    <w:rsid w:val="0034158F"/>
    <w:rsid w:val="003473D3"/>
    <w:rsid w:val="0034742D"/>
    <w:rsid w:val="00350252"/>
    <w:rsid w:val="003533D3"/>
    <w:rsid w:val="003542E9"/>
    <w:rsid w:val="00361519"/>
    <w:rsid w:val="00366DB2"/>
    <w:rsid w:val="00387260"/>
    <w:rsid w:val="00395762"/>
    <w:rsid w:val="00395FAE"/>
    <w:rsid w:val="003B2462"/>
    <w:rsid w:val="003C04A2"/>
    <w:rsid w:val="003C16E5"/>
    <w:rsid w:val="003C17BC"/>
    <w:rsid w:val="003C191C"/>
    <w:rsid w:val="003C223D"/>
    <w:rsid w:val="003C2A3E"/>
    <w:rsid w:val="003C52E5"/>
    <w:rsid w:val="003C565E"/>
    <w:rsid w:val="003C635E"/>
    <w:rsid w:val="003D187B"/>
    <w:rsid w:val="003D2315"/>
    <w:rsid w:val="003D3C6A"/>
    <w:rsid w:val="003E0599"/>
    <w:rsid w:val="003F64DA"/>
    <w:rsid w:val="0040666F"/>
    <w:rsid w:val="00407BD8"/>
    <w:rsid w:val="00413B76"/>
    <w:rsid w:val="004164A4"/>
    <w:rsid w:val="00420786"/>
    <w:rsid w:val="004324BB"/>
    <w:rsid w:val="004366EB"/>
    <w:rsid w:val="0044018D"/>
    <w:rsid w:val="00442059"/>
    <w:rsid w:val="00451CCD"/>
    <w:rsid w:val="00453338"/>
    <w:rsid w:val="0046020B"/>
    <w:rsid w:val="00462DFB"/>
    <w:rsid w:val="0046497F"/>
    <w:rsid w:val="00464E36"/>
    <w:rsid w:val="00467116"/>
    <w:rsid w:val="00473CD2"/>
    <w:rsid w:val="00473F00"/>
    <w:rsid w:val="00480D1D"/>
    <w:rsid w:val="004818B1"/>
    <w:rsid w:val="00481C2F"/>
    <w:rsid w:val="004833CC"/>
    <w:rsid w:val="00486AE4"/>
    <w:rsid w:val="00487413"/>
    <w:rsid w:val="00490CE7"/>
    <w:rsid w:val="004966C9"/>
    <w:rsid w:val="00497396"/>
    <w:rsid w:val="004A1A83"/>
    <w:rsid w:val="004B2AAC"/>
    <w:rsid w:val="004B4B45"/>
    <w:rsid w:val="004B7DFF"/>
    <w:rsid w:val="004E1773"/>
    <w:rsid w:val="004E32CA"/>
    <w:rsid w:val="004E668D"/>
    <w:rsid w:val="004F2CA3"/>
    <w:rsid w:val="004F33FD"/>
    <w:rsid w:val="005000FF"/>
    <w:rsid w:val="00504A03"/>
    <w:rsid w:val="005327F5"/>
    <w:rsid w:val="005340C6"/>
    <w:rsid w:val="00536044"/>
    <w:rsid w:val="0053604F"/>
    <w:rsid w:val="0054626F"/>
    <w:rsid w:val="005539E1"/>
    <w:rsid w:val="00560B2A"/>
    <w:rsid w:val="00561F82"/>
    <w:rsid w:val="005623D6"/>
    <w:rsid w:val="0057215F"/>
    <w:rsid w:val="00580AF5"/>
    <w:rsid w:val="00593609"/>
    <w:rsid w:val="00594125"/>
    <w:rsid w:val="005961E5"/>
    <w:rsid w:val="0059755B"/>
    <w:rsid w:val="005B1AF9"/>
    <w:rsid w:val="005C02D8"/>
    <w:rsid w:val="005C235E"/>
    <w:rsid w:val="005C529F"/>
    <w:rsid w:val="005D2FC2"/>
    <w:rsid w:val="005D5ECA"/>
    <w:rsid w:val="005E15CB"/>
    <w:rsid w:val="005E1BCC"/>
    <w:rsid w:val="005E26CD"/>
    <w:rsid w:val="005E7ABA"/>
    <w:rsid w:val="005F2138"/>
    <w:rsid w:val="006011C9"/>
    <w:rsid w:val="0060165C"/>
    <w:rsid w:val="00603ED5"/>
    <w:rsid w:val="00605E56"/>
    <w:rsid w:val="00607490"/>
    <w:rsid w:val="00611E64"/>
    <w:rsid w:val="00616634"/>
    <w:rsid w:val="00621156"/>
    <w:rsid w:val="006217AB"/>
    <w:rsid w:val="00622597"/>
    <w:rsid w:val="0062448C"/>
    <w:rsid w:val="006264E3"/>
    <w:rsid w:val="00634C8C"/>
    <w:rsid w:val="006351A7"/>
    <w:rsid w:val="00635C35"/>
    <w:rsid w:val="00636FD2"/>
    <w:rsid w:val="0065023A"/>
    <w:rsid w:val="00650907"/>
    <w:rsid w:val="0065156C"/>
    <w:rsid w:val="00656611"/>
    <w:rsid w:val="0066158A"/>
    <w:rsid w:val="006667BD"/>
    <w:rsid w:val="006709C9"/>
    <w:rsid w:val="006833B2"/>
    <w:rsid w:val="00695811"/>
    <w:rsid w:val="006A75F9"/>
    <w:rsid w:val="006B0291"/>
    <w:rsid w:val="006B6868"/>
    <w:rsid w:val="006C1D2A"/>
    <w:rsid w:val="006C3F6D"/>
    <w:rsid w:val="006E3506"/>
    <w:rsid w:val="006F22BA"/>
    <w:rsid w:val="006F372C"/>
    <w:rsid w:val="006F7A45"/>
    <w:rsid w:val="00700FE9"/>
    <w:rsid w:val="0070469F"/>
    <w:rsid w:val="007110BF"/>
    <w:rsid w:val="007231B2"/>
    <w:rsid w:val="00723277"/>
    <w:rsid w:val="00723D4C"/>
    <w:rsid w:val="00730B87"/>
    <w:rsid w:val="00733C83"/>
    <w:rsid w:val="00735A9C"/>
    <w:rsid w:val="0073656E"/>
    <w:rsid w:val="00737D92"/>
    <w:rsid w:val="007444E7"/>
    <w:rsid w:val="007505C7"/>
    <w:rsid w:val="007529F8"/>
    <w:rsid w:val="00776B2B"/>
    <w:rsid w:val="00797CE3"/>
    <w:rsid w:val="007A0A2B"/>
    <w:rsid w:val="007A2E78"/>
    <w:rsid w:val="007B18F6"/>
    <w:rsid w:val="007B2D87"/>
    <w:rsid w:val="007C1299"/>
    <w:rsid w:val="007C2577"/>
    <w:rsid w:val="007D3909"/>
    <w:rsid w:val="007D454B"/>
    <w:rsid w:val="007E4CD6"/>
    <w:rsid w:val="007F5E46"/>
    <w:rsid w:val="008002A1"/>
    <w:rsid w:val="00812679"/>
    <w:rsid w:val="00813DFF"/>
    <w:rsid w:val="00813F58"/>
    <w:rsid w:val="00820BA2"/>
    <w:rsid w:val="00824C87"/>
    <w:rsid w:val="00826B69"/>
    <w:rsid w:val="00846A95"/>
    <w:rsid w:val="00850919"/>
    <w:rsid w:val="008528B3"/>
    <w:rsid w:val="00853624"/>
    <w:rsid w:val="00853F80"/>
    <w:rsid w:val="008553EC"/>
    <w:rsid w:val="008566DA"/>
    <w:rsid w:val="00862B50"/>
    <w:rsid w:val="00863009"/>
    <w:rsid w:val="00863BDC"/>
    <w:rsid w:val="00877529"/>
    <w:rsid w:val="00891CD0"/>
    <w:rsid w:val="0089273D"/>
    <w:rsid w:val="0089549B"/>
    <w:rsid w:val="008A4504"/>
    <w:rsid w:val="008B6B9F"/>
    <w:rsid w:val="008C2DFA"/>
    <w:rsid w:val="008C7D76"/>
    <w:rsid w:val="008D0491"/>
    <w:rsid w:val="008D1520"/>
    <w:rsid w:val="008E4262"/>
    <w:rsid w:val="008E7CA0"/>
    <w:rsid w:val="008F0DE7"/>
    <w:rsid w:val="008F7C91"/>
    <w:rsid w:val="00924BE6"/>
    <w:rsid w:val="009300E0"/>
    <w:rsid w:val="009377D2"/>
    <w:rsid w:val="0094112E"/>
    <w:rsid w:val="00942C94"/>
    <w:rsid w:val="00946A18"/>
    <w:rsid w:val="00946D6F"/>
    <w:rsid w:val="00950602"/>
    <w:rsid w:val="0095160E"/>
    <w:rsid w:val="00954C8A"/>
    <w:rsid w:val="00957D1D"/>
    <w:rsid w:val="00961DBB"/>
    <w:rsid w:val="009662E2"/>
    <w:rsid w:val="00967299"/>
    <w:rsid w:val="0097078B"/>
    <w:rsid w:val="00970B28"/>
    <w:rsid w:val="00985ECF"/>
    <w:rsid w:val="009A4CA4"/>
    <w:rsid w:val="009B084B"/>
    <w:rsid w:val="009B2729"/>
    <w:rsid w:val="009D24B6"/>
    <w:rsid w:val="009E4235"/>
    <w:rsid w:val="009F042D"/>
    <w:rsid w:val="009F079E"/>
    <w:rsid w:val="009F1610"/>
    <w:rsid w:val="009F1A03"/>
    <w:rsid w:val="009F7C21"/>
    <w:rsid w:val="00A01398"/>
    <w:rsid w:val="00A0659F"/>
    <w:rsid w:val="00A1397B"/>
    <w:rsid w:val="00A23F76"/>
    <w:rsid w:val="00A27874"/>
    <w:rsid w:val="00A27C61"/>
    <w:rsid w:val="00A309AD"/>
    <w:rsid w:val="00A33510"/>
    <w:rsid w:val="00A35596"/>
    <w:rsid w:val="00A374C4"/>
    <w:rsid w:val="00A42AB8"/>
    <w:rsid w:val="00A51246"/>
    <w:rsid w:val="00A5338E"/>
    <w:rsid w:val="00A6223E"/>
    <w:rsid w:val="00A65717"/>
    <w:rsid w:val="00A74B02"/>
    <w:rsid w:val="00A76193"/>
    <w:rsid w:val="00A81139"/>
    <w:rsid w:val="00A91B54"/>
    <w:rsid w:val="00A941AB"/>
    <w:rsid w:val="00AA47C4"/>
    <w:rsid w:val="00AA6C67"/>
    <w:rsid w:val="00AB49B2"/>
    <w:rsid w:val="00AC0B76"/>
    <w:rsid w:val="00AC0C99"/>
    <w:rsid w:val="00AC59C2"/>
    <w:rsid w:val="00AD1943"/>
    <w:rsid w:val="00AD7403"/>
    <w:rsid w:val="00AE04AB"/>
    <w:rsid w:val="00AE29B9"/>
    <w:rsid w:val="00AE750C"/>
    <w:rsid w:val="00AF61D6"/>
    <w:rsid w:val="00B02EDD"/>
    <w:rsid w:val="00B04C63"/>
    <w:rsid w:val="00B04E0B"/>
    <w:rsid w:val="00B05C36"/>
    <w:rsid w:val="00B07040"/>
    <w:rsid w:val="00B071F4"/>
    <w:rsid w:val="00B105B0"/>
    <w:rsid w:val="00B10B79"/>
    <w:rsid w:val="00B279BF"/>
    <w:rsid w:val="00B339C2"/>
    <w:rsid w:val="00B4475C"/>
    <w:rsid w:val="00B60387"/>
    <w:rsid w:val="00B761CB"/>
    <w:rsid w:val="00B8360C"/>
    <w:rsid w:val="00B8739B"/>
    <w:rsid w:val="00BA30C2"/>
    <w:rsid w:val="00BA366D"/>
    <w:rsid w:val="00BB1578"/>
    <w:rsid w:val="00BB708E"/>
    <w:rsid w:val="00BC4C90"/>
    <w:rsid w:val="00BC551A"/>
    <w:rsid w:val="00BD342D"/>
    <w:rsid w:val="00BE215A"/>
    <w:rsid w:val="00C01456"/>
    <w:rsid w:val="00C0721E"/>
    <w:rsid w:val="00C109D1"/>
    <w:rsid w:val="00C21B58"/>
    <w:rsid w:val="00C27768"/>
    <w:rsid w:val="00C318E5"/>
    <w:rsid w:val="00C3349C"/>
    <w:rsid w:val="00C377F0"/>
    <w:rsid w:val="00C42896"/>
    <w:rsid w:val="00C45F4D"/>
    <w:rsid w:val="00C51AC0"/>
    <w:rsid w:val="00C54F44"/>
    <w:rsid w:val="00C62ABA"/>
    <w:rsid w:val="00C62CD2"/>
    <w:rsid w:val="00C64F2C"/>
    <w:rsid w:val="00C650E1"/>
    <w:rsid w:val="00C65D06"/>
    <w:rsid w:val="00C66DC2"/>
    <w:rsid w:val="00C74E09"/>
    <w:rsid w:val="00C86C60"/>
    <w:rsid w:val="00C933AA"/>
    <w:rsid w:val="00CA5153"/>
    <w:rsid w:val="00CA7C73"/>
    <w:rsid w:val="00CB3006"/>
    <w:rsid w:val="00CB4CA9"/>
    <w:rsid w:val="00CC233B"/>
    <w:rsid w:val="00CC588D"/>
    <w:rsid w:val="00CC7CE5"/>
    <w:rsid w:val="00CD25AD"/>
    <w:rsid w:val="00CD46EE"/>
    <w:rsid w:val="00CD49F2"/>
    <w:rsid w:val="00CD6487"/>
    <w:rsid w:val="00CF1662"/>
    <w:rsid w:val="00CF36D5"/>
    <w:rsid w:val="00CF7239"/>
    <w:rsid w:val="00D00488"/>
    <w:rsid w:val="00D1427F"/>
    <w:rsid w:val="00D16A53"/>
    <w:rsid w:val="00D41D94"/>
    <w:rsid w:val="00D53194"/>
    <w:rsid w:val="00D56FFC"/>
    <w:rsid w:val="00D636EA"/>
    <w:rsid w:val="00D71635"/>
    <w:rsid w:val="00D74AC5"/>
    <w:rsid w:val="00D936F7"/>
    <w:rsid w:val="00D938ED"/>
    <w:rsid w:val="00DA231C"/>
    <w:rsid w:val="00DA6E14"/>
    <w:rsid w:val="00DA735D"/>
    <w:rsid w:val="00DB4E3C"/>
    <w:rsid w:val="00DB5E73"/>
    <w:rsid w:val="00DB766E"/>
    <w:rsid w:val="00DC0B9E"/>
    <w:rsid w:val="00DC7829"/>
    <w:rsid w:val="00DD1B27"/>
    <w:rsid w:val="00DD3DBC"/>
    <w:rsid w:val="00DE1A9E"/>
    <w:rsid w:val="00DF0128"/>
    <w:rsid w:val="00DF0B72"/>
    <w:rsid w:val="00DF7F7E"/>
    <w:rsid w:val="00E0126C"/>
    <w:rsid w:val="00E013EB"/>
    <w:rsid w:val="00E01D06"/>
    <w:rsid w:val="00E02B26"/>
    <w:rsid w:val="00E0415F"/>
    <w:rsid w:val="00E046D0"/>
    <w:rsid w:val="00E0552A"/>
    <w:rsid w:val="00E06A99"/>
    <w:rsid w:val="00E32FD9"/>
    <w:rsid w:val="00E43D84"/>
    <w:rsid w:val="00E44DB1"/>
    <w:rsid w:val="00E46796"/>
    <w:rsid w:val="00E54856"/>
    <w:rsid w:val="00E566BD"/>
    <w:rsid w:val="00E62E77"/>
    <w:rsid w:val="00E84FA8"/>
    <w:rsid w:val="00E876EF"/>
    <w:rsid w:val="00E90759"/>
    <w:rsid w:val="00E92FFE"/>
    <w:rsid w:val="00E97364"/>
    <w:rsid w:val="00EA4431"/>
    <w:rsid w:val="00EA4EA8"/>
    <w:rsid w:val="00EB0061"/>
    <w:rsid w:val="00EB4DA4"/>
    <w:rsid w:val="00EC079E"/>
    <w:rsid w:val="00ED1D1B"/>
    <w:rsid w:val="00ED3829"/>
    <w:rsid w:val="00EE2D71"/>
    <w:rsid w:val="00EF1A58"/>
    <w:rsid w:val="00EF5682"/>
    <w:rsid w:val="00F013C1"/>
    <w:rsid w:val="00F071D4"/>
    <w:rsid w:val="00F13638"/>
    <w:rsid w:val="00F26F50"/>
    <w:rsid w:val="00F30219"/>
    <w:rsid w:val="00F31646"/>
    <w:rsid w:val="00F348DA"/>
    <w:rsid w:val="00F41CB2"/>
    <w:rsid w:val="00F44D4E"/>
    <w:rsid w:val="00F841B5"/>
    <w:rsid w:val="00F84730"/>
    <w:rsid w:val="00F86F17"/>
    <w:rsid w:val="00F94FB3"/>
    <w:rsid w:val="00FA47BE"/>
    <w:rsid w:val="00FA7E1B"/>
    <w:rsid w:val="00FB2407"/>
    <w:rsid w:val="00FB6877"/>
    <w:rsid w:val="00FC0F7B"/>
    <w:rsid w:val="00FC14E0"/>
    <w:rsid w:val="00FC3E91"/>
    <w:rsid w:val="00FD41F1"/>
    <w:rsid w:val="00FD6770"/>
    <w:rsid w:val="00FE7A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970A0"/>
  <w15:docId w15:val="{7A963794-EA10-4586-AC1C-366146989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1B2"/>
    <w:pPr>
      <w:spacing w:after="0" w:line="240" w:lineRule="auto"/>
    </w:pPr>
    <w:rPr>
      <w:rFonts w:ascii="Tms Rmn" w:eastAsia="Times New Roman" w:hAnsi="Tms Rmn" w:cs="Times New Roman"/>
      <w:sz w:val="24"/>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31B2"/>
    <w:pPr>
      <w:tabs>
        <w:tab w:val="center" w:pos="4153"/>
        <w:tab w:val="right" w:pos="8306"/>
      </w:tabs>
    </w:pPr>
  </w:style>
  <w:style w:type="character" w:customStyle="1" w:styleId="FooterChar">
    <w:name w:val="Footer Char"/>
    <w:basedOn w:val="DefaultParagraphFont"/>
    <w:link w:val="Footer"/>
    <w:uiPriority w:val="99"/>
    <w:rsid w:val="007231B2"/>
    <w:rPr>
      <w:rFonts w:ascii="Tms Rmn" w:eastAsia="Times New Roman" w:hAnsi="Tms Rmn" w:cs="Times New Roman"/>
      <w:sz w:val="24"/>
      <w:szCs w:val="20"/>
      <w:lang w:eastAsia="en-AU"/>
    </w:rPr>
  </w:style>
  <w:style w:type="paragraph" w:styleId="Header">
    <w:name w:val="header"/>
    <w:basedOn w:val="Normal"/>
    <w:link w:val="HeaderChar"/>
    <w:rsid w:val="007231B2"/>
    <w:pPr>
      <w:tabs>
        <w:tab w:val="center" w:pos="4153"/>
        <w:tab w:val="right" w:pos="8306"/>
      </w:tabs>
    </w:pPr>
  </w:style>
  <w:style w:type="character" w:customStyle="1" w:styleId="HeaderChar">
    <w:name w:val="Header Char"/>
    <w:basedOn w:val="DefaultParagraphFont"/>
    <w:link w:val="Header"/>
    <w:rsid w:val="007231B2"/>
    <w:rPr>
      <w:rFonts w:ascii="Tms Rmn" w:eastAsia="Times New Roman" w:hAnsi="Tms Rmn" w:cs="Times New Roman"/>
      <w:sz w:val="24"/>
      <w:szCs w:val="20"/>
      <w:lang w:eastAsia="en-AU"/>
    </w:rPr>
  </w:style>
  <w:style w:type="character" w:styleId="PageNumber">
    <w:name w:val="page number"/>
    <w:basedOn w:val="DefaultParagraphFont"/>
    <w:rsid w:val="007231B2"/>
  </w:style>
  <w:style w:type="character" w:styleId="Hyperlink">
    <w:name w:val="Hyperlink"/>
    <w:basedOn w:val="DefaultParagraphFont"/>
    <w:rsid w:val="007231B2"/>
    <w:rPr>
      <w:color w:val="0000FF"/>
      <w:u w:val="single"/>
    </w:rPr>
  </w:style>
  <w:style w:type="paragraph" w:customStyle="1" w:styleId="Schedulepara">
    <w:name w:val="Schedule para"/>
    <w:basedOn w:val="Normal"/>
    <w:rsid w:val="007231B2"/>
    <w:pPr>
      <w:tabs>
        <w:tab w:val="right" w:pos="567"/>
      </w:tabs>
      <w:spacing w:before="180" w:line="260" w:lineRule="exact"/>
      <w:ind w:left="964" w:hanging="964"/>
      <w:jc w:val="both"/>
    </w:pPr>
    <w:rPr>
      <w:rFonts w:ascii="Times New Roman" w:hAnsi="Times New Roman"/>
      <w:szCs w:val="24"/>
    </w:rPr>
  </w:style>
  <w:style w:type="paragraph" w:styleId="ListParagraph">
    <w:name w:val="List Paragraph"/>
    <w:basedOn w:val="Normal"/>
    <w:uiPriority w:val="34"/>
    <w:qFormat/>
    <w:rsid w:val="003C2A3E"/>
    <w:pPr>
      <w:ind w:left="720"/>
      <w:contextualSpacing/>
    </w:pPr>
  </w:style>
  <w:style w:type="character" w:styleId="CommentReference">
    <w:name w:val="annotation reference"/>
    <w:basedOn w:val="DefaultParagraphFont"/>
    <w:uiPriority w:val="99"/>
    <w:semiHidden/>
    <w:unhideWhenUsed/>
    <w:rsid w:val="00C62ABA"/>
    <w:rPr>
      <w:sz w:val="16"/>
      <w:szCs w:val="16"/>
    </w:rPr>
  </w:style>
  <w:style w:type="paragraph" w:styleId="CommentText">
    <w:name w:val="annotation text"/>
    <w:basedOn w:val="Normal"/>
    <w:link w:val="CommentTextChar"/>
    <w:uiPriority w:val="99"/>
    <w:semiHidden/>
    <w:unhideWhenUsed/>
    <w:rsid w:val="00C62ABA"/>
    <w:rPr>
      <w:sz w:val="20"/>
    </w:rPr>
  </w:style>
  <w:style w:type="character" w:customStyle="1" w:styleId="CommentTextChar">
    <w:name w:val="Comment Text Char"/>
    <w:basedOn w:val="DefaultParagraphFont"/>
    <w:link w:val="CommentText"/>
    <w:uiPriority w:val="99"/>
    <w:semiHidden/>
    <w:rsid w:val="00C62ABA"/>
    <w:rPr>
      <w:rFonts w:ascii="Tms Rmn" w:eastAsia="Times New Roman" w:hAnsi="Tms Rm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C62ABA"/>
    <w:rPr>
      <w:b/>
      <w:bCs/>
    </w:rPr>
  </w:style>
  <w:style w:type="character" w:customStyle="1" w:styleId="CommentSubjectChar">
    <w:name w:val="Comment Subject Char"/>
    <w:basedOn w:val="CommentTextChar"/>
    <w:link w:val="CommentSubject"/>
    <w:uiPriority w:val="99"/>
    <w:semiHidden/>
    <w:rsid w:val="00C62ABA"/>
    <w:rPr>
      <w:rFonts w:ascii="Tms Rmn" w:eastAsia="Times New Roman" w:hAnsi="Tms Rmn" w:cs="Times New Roman"/>
      <w:b/>
      <w:bCs/>
      <w:sz w:val="20"/>
      <w:szCs w:val="20"/>
      <w:lang w:eastAsia="en-AU"/>
    </w:rPr>
  </w:style>
  <w:style w:type="paragraph" w:styleId="Revision">
    <w:name w:val="Revision"/>
    <w:hidden/>
    <w:uiPriority w:val="99"/>
    <w:semiHidden/>
    <w:rsid w:val="00C62ABA"/>
    <w:pPr>
      <w:spacing w:after="0" w:line="240" w:lineRule="auto"/>
    </w:pPr>
    <w:rPr>
      <w:rFonts w:ascii="Tms Rmn" w:eastAsia="Times New Roman" w:hAnsi="Tms Rmn" w:cs="Times New Roman"/>
      <w:sz w:val="24"/>
      <w:szCs w:val="20"/>
      <w:lang w:eastAsia="en-AU"/>
    </w:rPr>
  </w:style>
  <w:style w:type="paragraph" w:styleId="BalloonText">
    <w:name w:val="Balloon Text"/>
    <w:basedOn w:val="Normal"/>
    <w:link w:val="BalloonTextChar"/>
    <w:uiPriority w:val="99"/>
    <w:semiHidden/>
    <w:unhideWhenUsed/>
    <w:rsid w:val="00C62ABA"/>
    <w:rPr>
      <w:rFonts w:ascii="Tahoma" w:hAnsi="Tahoma" w:cs="Tahoma"/>
      <w:sz w:val="16"/>
      <w:szCs w:val="16"/>
    </w:rPr>
  </w:style>
  <w:style w:type="character" w:customStyle="1" w:styleId="BalloonTextChar">
    <w:name w:val="Balloon Text Char"/>
    <w:basedOn w:val="DefaultParagraphFont"/>
    <w:link w:val="BalloonText"/>
    <w:uiPriority w:val="99"/>
    <w:semiHidden/>
    <w:rsid w:val="00C62ABA"/>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1097">
      <w:bodyDiv w:val="1"/>
      <w:marLeft w:val="0"/>
      <w:marRight w:val="0"/>
      <w:marTop w:val="0"/>
      <w:marBottom w:val="0"/>
      <w:divBdr>
        <w:top w:val="none" w:sz="0" w:space="0" w:color="auto"/>
        <w:left w:val="none" w:sz="0" w:space="0" w:color="auto"/>
        <w:bottom w:val="none" w:sz="0" w:space="0" w:color="auto"/>
        <w:right w:val="none" w:sz="0" w:space="0" w:color="auto"/>
      </w:divBdr>
      <w:divsChild>
        <w:div w:id="2096394718">
          <w:marLeft w:val="0"/>
          <w:marRight w:val="0"/>
          <w:marTop w:val="0"/>
          <w:marBottom w:val="0"/>
          <w:divBdr>
            <w:top w:val="none" w:sz="0" w:space="0" w:color="auto"/>
            <w:left w:val="none" w:sz="0" w:space="0" w:color="auto"/>
            <w:bottom w:val="none" w:sz="0" w:space="0" w:color="auto"/>
            <w:right w:val="none" w:sz="0" w:space="0" w:color="auto"/>
          </w:divBdr>
          <w:divsChild>
            <w:div w:id="298652366">
              <w:marLeft w:val="0"/>
              <w:marRight w:val="0"/>
              <w:marTop w:val="0"/>
              <w:marBottom w:val="0"/>
              <w:divBdr>
                <w:top w:val="none" w:sz="0" w:space="0" w:color="auto"/>
                <w:left w:val="none" w:sz="0" w:space="0" w:color="auto"/>
                <w:bottom w:val="none" w:sz="0" w:space="0" w:color="auto"/>
                <w:right w:val="none" w:sz="0" w:space="0" w:color="auto"/>
              </w:divBdr>
              <w:divsChild>
                <w:div w:id="156851604">
                  <w:marLeft w:val="0"/>
                  <w:marRight w:val="0"/>
                  <w:marTop w:val="0"/>
                  <w:marBottom w:val="0"/>
                  <w:divBdr>
                    <w:top w:val="none" w:sz="0" w:space="0" w:color="auto"/>
                    <w:left w:val="none" w:sz="0" w:space="0" w:color="auto"/>
                    <w:bottom w:val="none" w:sz="0" w:space="0" w:color="auto"/>
                    <w:right w:val="none" w:sz="0" w:space="0" w:color="auto"/>
                  </w:divBdr>
                  <w:divsChild>
                    <w:div w:id="1397170632">
                      <w:marLeft w:val="0"/>
                      <w:marRight w:val="0"/>
                      <w:marTop w:val="0"/>
                      <w:marBottom w:val="0"/>
                      <w:divBdr>
                        <w:top w:val="none" w:sz="0" w:space="0" w:color="auto"/>
                        <w:left w:val="none" w:sz="0" w:space="0" w:color="auto"/>
                        <w:bottom w:val="none" w:sz="0" w:space="0" w:color="auto"/>
                        <w:right w:val="none" w:sz="0" w:space="0" w:color="auto"/>
                      </w:divBdr>
                      <w:divsChild>
                        <w:div w:id="465322688">
                          <w:marLeft w:val="0"/>
                          <w:marRight w:val="0"/>
                          <w:marTop w:val="0"/>
                          <w:marBottom w:val="0"/>
                          <w:divBdr>
                            <w:top w:val="none" w:sz="0" w:space="0" w:color="auto"/>
                            <w:left w:val="none" w:sz="0" w:space="0" w:color="auto"/>
                            <w:bottom w:val="none" w:sz="0" w:space="0" w:color="auto"/>
                            <w:right w:val="none" w:sz="0" w:space="0" w:color="auto"/>
                          </w:divBdr>
                          <w:divsChild>
                            <w:div w:id="245463126">
                              <w:marLeft w:val="0"/>
                              <w:marRight w:val="0"/>
                              <w:marTop w:val="0"/>
                              <w:marBottom w:val="0"/>
                              <w:divBdr>
                                <w:top w:val="none" w:sz="0" w:space="0" w:color="auto"/>
                                <w:left w:val="none" w:sz="0" w:space="0" w:color="auto"/>
                                <w:bottom w:val="none" w:sz="0" w:space="0" w:color="auto"/>
                                <w:right w:val="none" w:sz="0" w:space="0" w:color="auto"/>
                              </w:divBdr>
                              <w:divsChild>
                                <w:div w:id="1716194252">
                                  <w:marLeft w:val="0"/>
                                  <w:marRight w:val="0"/>
                                  <w:marTop w:val="0"/>
                                  <w:marBottom w:val="0"/>
                                  <w:divBdr>
                                    <w:top w:val="none" w:sz="0" w:space="0" w:color="auto"/>
                                    <w:left w:val="none" w:sz="0" w:space="0" w:color="auto"/>
                                    <w:bottom w:val="none" w:sz="0" w:space="0" w:color="auto"/>
                                    <w:right w:val="none" w:sz="0" w:space="0" w:color="auto"/>
                                  </w:divBdr>
                                  <w:divsChild>
                                    <w:div w:id="1800950279">
                                      <w:marLeft w:val="0"/>
                                      <w:marRight w:val="0"/>
                                      <w:marTop w:val="0"/>
                                      <w:marBottom w:val="0"/>
                                      <w:divBdr>
                                        <w:top w:val="none" w:sz="0" w:space="0" w:color="auto"/>
                                        <w:left w:val="none" w:sz="0" w:space="0" w:color="auto"/>
                                        <w:bottom w:val="none" w:sz="0" w:space="0" w:color="auto"/>
                                        <w:right w:val="none" w:sz="0" w:space="0" w:color="auto"/>
                                      </w:divBdr>
                                      <w:divsChild>
                                        <w:div w:id="919364941">
                                          <w:marLeft w:val="0"/>
                                          <w:marRight w:val="0"/>
                                          <w:marTop w:val="0"/>
                                          <w:marBottom w:val="0"/>
                                          <w:divBdr>
                                            <w:top w:val="none" w:sz="0" w:space="0" w:color="auto"/>
                                            <w:left w:val="none" w:sz="0" w:space="0" w:color="auto"/>
                                            <w:bottom w:val="none" w:sz="0" w:space="0" w:color="auto"/>
                                            <w:right w:val="none" w:sz="0" w:space="0" w:color="auto"/>
                                          </w:divBdr>
                                          <w:divsChild>
                                            <w:div w:id="1351176936">
                                              <w:marLeft w:val="0"/>
                                              <w:marRight w:val="0"/>
                                              <w:marTop w:val="0"/>
                                              <w:marBottom w:val="0"/>
                                              <w:divBdr>
                                                <w:top w:val="none" w:sz="0" w:space="0" w:color="auto"/>
                                                <w:left w:val="none" w:sz="0" w:space="0" w:color="auto"/>
                                                <w:bottom w:val="none" w:sz="0" w:space="0" w:color="auto"/>
                                                <w:right w:val="none" w:sz="0" w:space="0" w:color="auto"/>
                                              </w:divBdr>
                                              <w:divsChild>
                                                <w:div w:id="1647665524">
                                                  <w:marLeft w:val="0"/>
                                                  <w:marRight w:val="0"/>
                                                  <w:marTop w:val="0"/>
                                                  <w:marBottom w:val="0"/>
                                                  <w:divBdr>
                                                    <w:top w:val="none" w:sz="0" w:space="0" w:color="auto"/>
                                                    <w:left w:val="none" w:sz="0" w:space="0" w:color="auto"/>
                                                    <w:bottom w:val="none" w:sz="0" w:space="0" w:color="auto"/>
                                                    <w:right w:val="none" w:sz="0" w:space="0" w:color="auto"/>
                                                  </w:divBdr>
                                                  <w:divsChild>
                                                    <w:div w:id="1442531916">
                                                      <w:marLeft w:val="0"/>
                                                      <w:marRight w:val="0"/>
                                                      <w:marTop w:val="0"/>
                                                      <w:marBottom w:val="0"/>
                                                      <w:divBdr>
                                                        <w:top w:val="none" w:sz="0" w:space="0" w:color="auto"/>
                                                        <w:left w:val="none" w:sz="0" w:space="0" w:color="auto"/>
                                                        <w:bottom w:val="none" w:sz="0" w:space="0" w:color="auto"/>
                                                        <w:right w:val="none" w:sz="0" w:space="0" w:color="auto"/>
                                                      </w:divBdr>
                                                      <w:divsChild>
                                                        <w:div w:id="118085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799397">
      <w:bodyDiv w:val="1"/>
      <w:marLeft w:val="0"/>
      <w:marRight w:val="0"/>
      <w:marTop w:val="0"/>
      <w:marBottom w:val="0"/>
      <w:divBdr>
        <w:top w:val="none" w:sz="0" w:space="0" w:color="auto"/>
        <w:left w:val="none" w:sz="0" w:space="0" w:color="auto"/>
        <w:bottom w:val="none" w:sz="0" w:space="0" w:color="auto"/>
        <w:right w:val="none" w:sz="0" w:space="0" w:color="auto"/>
      </w:divBdr>
    </w:div>
    <w:div w:id="523131826">
      <w:bodyDiv w:val="1"/>
      <w:marLeft w:val="0"/>
      <w:marRight w:val="0"/>
      <w:marTop w:val="0"/>
      <w:marBottom w:val="0"/>
      <w:divBdr>
        <w:top w:val="none" w:sz="0" w:space="0" w:color="auto"/>
        <w:left w:val="none" w:sz="0" w:space="0" w:color="auto"/>
        <w:bottom w:val="none" w:sz="0" w:space="0" w:color="auto"/>
        <w:right w:val="none" w:sz="0" w:space="0" w:color="auto"/>
      </w:divBdr>
    </w:div>
    <w:div w:id="106321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579FD5-4B69-44B0-9FC1-B33DA9367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2365</Words>
  <Characters>13487</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15821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Edlington, Mandy</dc:creator>
  <cp:lastModifiedBy>ALLEN, Donna</cp:lastModifiedBy>
  <cp:revision>2</cp:revision>
  <cp:lastPrinted>2018-02-22T02:03:00Z</cp:lastPrinted>
  <dcterms:created xsi:type="dcterms:W3CDTF">2021-10-26T22:31:00Z</dcterms:created>
  <dcterms:modified xsi:type="dcterms:W3CDTF">2021-10-26T22:31:00Z</dcterms:modified>
</cp:coreProperties>
</file>