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E9E1D" w14:textId="77777777" w:rsidR="00FB640B" w:rsidRPr="008B24C8" w:rsidRDefault="0057002B" w:rsidP="00915032">
      <w:pPr>
        <w:spacing w:line="276" w:lineRule="auto"/>
        <w:jc w:val="center"/>
        <w:rPr>
          <w:rFonts w:ascii="Times New Roman" w:hAnsi="Times New Roman" w:cs="Times New Roman"/>
          <w:u w:val="single"/>
        </w:rPr>
      </w:pPr>
      <w:bookmarkStart w:id="0" w:name="_GoBack"/>
      <w:bookmarkEnd w:id="0"/>
      <w:r w:rsidRPr="008B24C8">
        <w:rPr>
          <w:rFonts w:ascii="Times New Roman" w:hAnsi="Times New Roman" w:cs="Times New Roman"/>
          <w:u w:val="single"/>
        </w:rPr>
        <w:t>EXPLANATORY STATEMENT</w:t>
      </w:r>
    </w:p>
    <w:p w14:paraId="1E74978D" w14:textId="77777777" w:rsidR="0057002B" w:rsidRPr="008B24C8" w:rsidRDefault="00FA7139" w:rsidP="00915032">
      <w:pPr>
        <w:spacing w:line="276" w:lineRule="auto"/>
        <w:jc w:val="center"/>
        <w:rPr>
          <w:rFonts w:ascii="Times New Roman" w:hAnsi="Times New Roman" w:cs="Times New Roman"/>
        </w:rPr>
      </w:pPr>
      <w:r>
        <w:rPr>
          <w:rFonts w:ascii="Times New Roman" w:hAnsi="Times New Roman" w:cs="Times New Roman"/>
        </w:rPr>
        <w:t xml:space="preserve">Issued by authority of the </w:t>
      </w:r>
      <w:r w:rsidRPr="00FA7139">
        <w:rPr>
          <w:rFonts w:ascii="Times New Roman" w:hAnsi="Times New Roman" w:cs="Times New Roman"/>
        </w:rPr>
        <w:t>Assistant Minister for Customs, Community Safety and Multicultural Affairs</w:t>
      </w:r>
    </w:p>
    <w:p w14:paraId="79E6CDF7" w14:textId="77777777" w:rsidR="0057002B" w:rsidRPr="008B24C8" w:rsidRDefault="00FA7139" w:rsidP="00915032">
      <w:pPr>
        <w:spacing w:line="276" w:lineRule="auto"/>
        <w:jc w:val="center"/>
        <w:rPr>
          <w:rFonts w:ascii="Times New Roman" w:hAnsi="Times New Roman" w:cs="Times New Roman"/>
          <w:i/>
        </w:rPr>
      </w:pPr>
      <w:r>
        <w:rPr>
          <w:rFonts w:ascii="Times New Roman" w:hAnsi="Times New Roman" w:cs="Times New Roman"/>
          <w:i/>
        </w:rPr>
        <w:t>Migration Act 1958</w:t>
      </w:r>
    </w:p>
    <w:p w14:paraId="26788374" w14:textId="4C2F4DCF" w:rsidR="0057002B" w:rsidRPr="008B24C8" w:rsidRDefault="000E13EF" w:rsidP="00915032">
      <w:pPr>
        <w:spacing w:before="360" w:after="600" w:line="276" w:lineRule="auto"/>
        <w:jc w:val="center"/>
        <w:rPr>
          <w:rFonts w:ascii="Times New Roman" w:hAnsi="Times New Roman" w:cs="Times New Roman"/>
          <w:b/>
          <w:i/>
        </w:rPr>
      </w:pPr>
      <w:bookmarkStart w:id="1" w:name="Title"/>
      <w:r w:rsidRPr="000E13EF">
        <w:rPr>
          <w:rFonts w:ascii="Times New Roman" w:hAnsi="Times New Roman" w:cs="Times New Roman"/>
          <w:b/>
          <w:i/>
        </w:rPr>
        <w:t>Migration (MARA—Extension of eligible period for restricted legal practitioners) Instrument (LIN 21/020) 202</w:t>
      </w:r>
      <w:r w:rsidR="00FA7139" w:rsidRPr="00FA7139">
        <w:rPr>
          <w:rFonts w:ascii="Times New Roman" w:hAnsi="Times New Roman" w:cs="Times New Roman"/>
          <w:b/>
          <w:i/>
        </w:rPr>
        <w:t>1</w:t>
      </w:r>
      <w:bookmarkEnd w:id="1"/>
    </w:p>
    <w:p w14:paraId="7857C364" w14:textId="77777777" w:rsidR="0057002B" w:rsidRPr="008B24C8" w:rsidRDefault="0057002B" w:rsidP="00D72E40">
      <w:pPr>
        <w:pStyle w:val="ESPara"/>
        <w:ind w:left="567" w:hanging="567"/>
      </w:pPr>
      <w:r w:rsidRPr="008B24C8">
        <w:t>The inst</w:t>
      </w:r>
      <w:r w:rsidR="00BE6CDE">
        <w:t>rument, Departmental reference LIN 21/020</w:t>
      </w:r>
      <w:r w:rsidRPr="008B24C8">
        <w:t xml:space="preserve">, is made under </w:t>
      </w:r>
      <w:r w:rsidR="00BE6CDE">
        <w:t>subsection </w:t>
      </w:r>
      <w:proofErr w:type="gramStart"/>
      <w:r w:rsidR="00BE6CDE" w:rsidRPr="00BE6CDE">
        <w:t>278A(</w:t>
      </w:r>
      <w:proofErr w:type="gramEnd"/>
      <w:r w:rsidR="00BE6CDE" w:rsidRPr="00BE6CDE">
        <w:t>9)</w:t>
      </w:r>
      <w:r w:rsidRPr="008B24C8">
        <w:t xml:space="preserve"> of the </w:t>
      </w:r>
      <w:r w:rsidR="00BE6CDE">
        <w:rPr>
          <w:i/>
        </w:rPr>
        <w:t>Migration Act </w:t>
      </w:r>
      <w:r w:rsidRPr="008B24C8">
        <w:rPr>
          <w:i/>
        </w:rPr>
        <w:t>195</w:t>
      </w:r>
      <w:r w:rsidR="00BE6CDE">
        <w:rPr>
          <w:i/>
        </w:rPr>
        <w:t>8</w:t>
      </w:r>
      <w:r w:rsidRPr="008B24C8">
        <w:t xml:space="preserve"> (the </w:t>
      </w:r>
      <w:r w:rsidRPr="002D5E66">
        <w:t>Migration Act</w:t>
      </w:r>
      <w:r w:rsidRPr="008B24C8">
        <w:t xml:space="preserve">).  </w:t>
      </w:r>
    </w:p>
    <w:p w14:paraId="59EFD3C1" w14:textId="77777777" w:rsidR="00BD598E" w:rsidRPr="008B24C8" w:rsidRDefault="00AA4557" w:rsidP="00D72E40">
      <w:pPr>
        <w:pStyle w:val="ESPara"/>
        <w:ind w:left="567" w:hanging="567"/>
      </w:pPr>
      <w:r>
        <w:t xml:space="preserve">The instrument commences </w:t>
      </w:r>
      <w:r w:rsidR="003D296D">
        <w:t xml:space="preserve">on </w:t>
      </w:r>
      <w:r w:rsidR="003D296D" w:rsidRPr="005D0872">
        <w:t>the day after it is registered on the Federal Register of Legislation</w:t>
      </w:r>
      <w:r>
        <w:t>, and i</w:t>
      </w:r>
      <w:r w:rsidR="00BD598E" w:rsidRPr="008B24C8">
        <w:t xml:space="preserve">s a </w:t>
      </w:r>
      <w:r>
        <w:t>legislative</w:t>
      </w:r>
      <w:r w:rsidR="00BD598E" w:rsidRPr="008B24C8">
        <w:t xml:space="preserve"> instrument for </w:t>
      </w:r>
      <w:r w:rsidR="00CA1D35">
        <w:t xml:space="preserve">the </w:t>
      </w:r>
      <w:r w:rsidR="00116186">
        <w:rPr>
          <w:i/>
        </w:rPr>
        <w:t>Legislation Act </w:t>
      </w:r>
      <w:r w:rsidR="00CA1D35" w:rsidRPr="008B24C8">
        <w:rPr>
          <w:i/>
        </w:rPr>
        <w:t>2003</w:t>
      </w:r>
      <w:r w:rsidR="00CA1D35">
        <w:t xml:space="preserve"> (the</w:t>
      </w:r>
      <w:r w:rsidR="00CA1D35" w:rsidRPr="00163368">
        <w:rPr>
          <w:b/>
          <w:i/>
        </w:rPr>
        <w:t xml:space="preserve"> </w:t>
      </w:r>
      <w:r w:rsidR="00CA1D35" w:rsidRPr="002D5E66">
        <w:t>Legislation Act</w:t>
      </w:r>
      <w:r w:rsidR="00CA1D35">
        <w:t>).</w:t>
      </w:r>
    </w:p>
    <w:p w14:paraId="609B79D7" w14:textId="77777777" w:rsidR="00EA12C9" w:rsidRDefault="00BD598E" w:rsidP="0021555F">
      <w:pPr>
        <w:pStyle w:val="ESHeading"/>
        <w:rPr>
          <w:b w:val="0"/>
          <w:i w:val="0"/>
        </w:rPr>
      </w:pPr>
      <w:r w:rsidRPr="008B24C8">
        <w:t>Purpose</w:t>
      </w:r>
    </w:p>
    <w:p w14:paraId="52D06F0F" w14:textId="397B0359" w:rsidR="00E4131F" w:rsidRPr="00BE5D76" w:rsidRDefault="00035725" w:rsidP="00D72E40">
      <w:pPr>
        <w:pStyle w:val="ESPara"/>
        <w:ind w:left="567" w:hanging="567"/>
      </w:pPr>
      <w:r w:rsidRPr="00C560DB">
        <w:t xml:space="preserve">The </w:t>
      </w:r>
      <w:r w:rsidRPr="00C560DB">
        <w:rPr>
          <w:i/>
        </w:rPr>
        <w:t>Migration Amendment (Regulation of Migration Agents) Act 2020</w:t>
      </w:r>
      <w:r w:rsidRPr="00C560DB">
        <w:t xml:space="preserve"> </w:t>
      </w:r>
      <w:r w:rsidR="00CE5532">
        <w:t>(the Amendment Act) amended the Migration Act</w:t>
      </w:r>
      <w:r w:rsidR="00E4131F">
        <w:t xml:space="preserve"> </w:t>
      </w:r>
      <w:r w:rsidR="00E4131F" w:rsidRPr="00E4131F">
        <w:t>to improve the effectiveness of the scheme that regulates migration agents.</w:t>
      </w:r>
      <w:r w:rsidR="000B6976">
        <w:t xml:space="preserve"> </w:t>
      </w:r>
      <w:r w:rsidR="00CE5532" w:rsidRPr="00BE5D76">
        <w:t>The</w:t>
      </w:r>
      <w:r w:rsidR="00227CFE">
        <w:t> </w:t>
      </w:r>
      <w:r w:rsidR="00CE5532" w:rsidRPr="00BE5D76">
        <w:t>Amendment Act removed unrestricted legal practitioners from</w:t>
      </w:r>
      <w:r w:rsidR="00E4131F" w:rsidRPr="00BE5D76">
        <w:t xml:space="preserve"> the regulatory scheme</w:t>
      </w:r>
      <w:r w:rsidR="00BE5D76">
        <w:t xml:space="preserve"> that governs migration agents to provide </w:t>
      </w:r>
      <w:r w:rsidR="00E4131F" w:rsidRPr="00BE5D76">
        <w:t>that unrestricted legal practitioners cannot register as migration agents and are entirely regulated by their own professional bodies</w:t>
      </w:r>
      <w:r w:rsidR="00CE5532" w:rsidRPr="00BE5D76">
        <w:t xml:space="preserve">. </w:t>
      </w:r>
    </w:p>
    <w:p w14:paraId="325B9924" w14:textId="166D759C" w:rsidR="001462FC" w:rsidRPr="00227CFE" w:rsidRDefault="00E4131F" w:rsidP="00D72E40">
      <w:pPr>
        <w:pStyle w:val="ESPara"/>
        <w:ind w:left="567" w:hanging="567"/>
      </w:pPr>
      <w:r w:rsidRPr="00227CFE">
        <w:t>T</w:t>
      </w:r>
      <w:r w:rsidR="001436C4" w:rsidRPr="00227CFE">
        <w:t>he amendments made by the Amendment Act also permit</w:t>
      </w:r>
      <w:r w:rsidR="00CE5532" w:rsidRPr="00227CFE">
        <w:t xml:space="preserve"> eligible restricted legal practitioners </w:t>
      </w:r>
      <w:r w:rsidR="001436C4" w:rsidRPr="00227CFE">
        <w:t>to</w:t>
      </w:r>
      <w:r w:rsidR="00CE5532" w:rsidRPr="00227CFE">
        <w:t xml:space="preserve"> be both registered migration agents and restricted legal practitioners</w:t>
      </w:r>
      <w:r w:rsidR="001436C4" w:rsidRPr="00227CFE">
        <w:t xml:space="preserve"> </w:t>
      </w:r>
      <w:r w:rsidRPr="00227CFE">
        <w:t>for a period of up to two years</w:t>
      </w:r>
      <w:r w:rsidR="001462FC" w:rsidRPr="00227CFE">
        <w:t xml:space="preserve">. </w:t>
      </w:r>
    </w:p>
    <w:p w14:paraId="2D0F8E69" w14:textId="69B16F5C" w:rsidR="00C7188D" w:rsidRPr="00BE5D76" w:rsidRDefault="002664D0" w:rsidP="00D72E40">
      <w:pPr>
        <w:pStyle w:val="ESPara"/>
        <w:ind w:left="567" w:hanging="567"/>
      </w:pPr>
      <w:r>
        <w:t>S</w:t>
      </w:r>
      <w:r w:rsidR="001436C4">
        <w:t xml:space="preserve">ubsection 278A(3) of the </w:t>
      </w:r>
      <w:r w:rsidR="00370A62">
        <w:t xml:space="preserve">Migration </w:t>
      </w:r>
      <w:r w:rsidR="001436C4">
        <w:t xml:space="preserve">Act provides that </w:t>
      </w:r>
      <w:r w:rsidR="00C7188D">
        <w:t xml:space="preserve">the eligible period is </w:t>
      </w:r>
      <w:r w:rsidR="00370A62">
        <w:t xml:space="preserve">two </w:t>
      </w:r>
      <w:r w:rsidR="00C7188D">
        <w:t xml:space="preserve">years </w:t>
      </w:r>
      <w:r w:rsidR="002E2708">
        <w:t xml:space="preserve">from the time </w:t>
      </w:r>
      <w:r w:rsidR="00C7188D">
        <w:t>the person</w:t>
      </w:r>
      <w:r w:rsidR="00C7188D" w:rsidRPr="00C7188D">
        <w:t xml:space="preserve"> first held a restricted practising certificate.</w:t>
      </w:r>
      <w:r w:rsidR="00C7188D" w:rsidRPr="00BE5D76">
        <w:t xml:space="preserve"> However, </w:t>
      </w:r>
      <w:r w:rsidR="00C7188D">
        <w:t xml:space="preserve">section 333C </w:t>
      </w:r>
      <w:r w:rsidR="00954B65">
        <w:t xml:space="preserve">of the Act </w:t>
      </w:r>
      <w:r w:rsidR="00C7188D">
        <w:t xml:space="preserve">provides </w:t>
      </w:r>
      <w:r w:rsidR="006A6C2D">
        <w:t xml:space="preserve">that </w:t>
      </w:r>
      <w:r w:rsidR="00C7188D" w:rsidRPr="00BE5D76">
        <w:t xml:space="preserve">the eligible period for a person who was a restricted legal practitioner immediately before </w:t>
      </w:r>
      <w:r w:rsidR="00370A62">
        <w:t xml:space="preserve">the day </w:t>
      </w:r>
      <w:r w:rsidR="00954B65">
        <w:t>Division </w:t>
      </w:r>
      <w:r w:rsidR="00C7188D" w:rsidRPr="00BE5D76">
        <w:t>8 commence</w:t>
      </w:r>
      <w:r w:rsidR="00954B65">
        <w:t>d</w:t>
      </w:r>
      <w:r w:rsidR="00C7188D">
        <w:t xml:space="preserve"> (22 March 2021)</w:t>
      </w:r>
      <w:r w:rsidR="00C7188D" w:rsidRPr="00BE5D76">
        <w:t xml:space="preserve"> is </w:t>
      </w:r>
      <w:r w:rsidR="00370A62">
        <w:t>two</w:t>
      </w:r>
      <w:r w:rsidR="00C7188D" w:rsidRPr="00BE5D76">
        <w:t xml:space="preserve"> years after that commencement</w:t>
      </w:r>
      <w:r w:rsidR="00370A62">
        <w:t xml:space="preserve"> day</w:t>
      </w:r>
      <w:r w:rsidR="00C7188D">
        <w:t>.</w:t>
      </w:r>
    </w:p>
    <w:p w14:paraId="1F75F58B" w14:textId="16D0A325" w:rsidR="002664D0" w:rsidRDefault="002664D0" w:rsidP="00D72E40">
      <w:pPr>
        <w:pStyle w:val="ESPara"/>
        <w:ind w:left="567" w:hanging="567"/>
      </w:pPr>
      <w:r>
        <w:t>S</w:t>
      </w:r>
      <w:r w:rsidR="001436C4">
        <w:t xml:space="preserve">ubsection </w:t>
      </w:r>
      <w:proofErr w:type="gramStart"/>
      <w:r w:rsidR="001436C4">
        <w:t>278A(</w:t>
      </w:r>
      <w:proofErr w:type="gramEnd"/>
      <w:r w:rsidR="001436C4">
        <w:t xml:space="preserve">4) provides that an eligible restricted legal practitioner may apply </w:t>
      </w:r>
      <w:r w:rsidR="00C7188D">
        <w:t>t</w:t>
      </w:r>
      <w:r w:rsidR="00CE0CBF">
        <w:t xml:space="preserve">o the Migration Agents Registration Authority (MARA) </w:t>
      </w:r>
      <w:r w:rsidR="001436C4">
        <w:t xml:space="preserve">for an extension </w:t>
      </w:r>
      <w:r w:rsidR="00CE0CBF">
        <w:t xml:space="preserve">of the eligible period </w:t>
      </w:r>
      <w:r w:rsidR="003F40B2">
        <w:t>for a period of up to two years.</w:t>
      </w:r>
      <w:r>
        <w:t xml:space="preserve"> </w:t>
      </w:r>
    </w:p>
    <w:p w14:paraId="664C3C45" w14:textId="7FDBE732" w:rsidR="00CE5532" w:rsidRDefault="002664D0" w:rsidP="00D72E40">
      <w:pPr>
        <w:pStyle w:val="ESPara"/>
        <w:ind w:left="567" w:hanging="567"/>
      </w:pPr>
      <w:r>
        <w:t xml:space="preserve">Under subsection </w:t>
      </w:r>
      <w:proofErr w:type="gramStart"/>
      <w:r>
        <w:t>278A(</w:t>
      </w:r>
      <w:proofErr w:type="gramEnd"/>
      <w:r>
        <w:t xml:space="preserve">6), </w:t>
      </w:r>
      <w:r w:rsidR="00C37356">
        <w:t xml:space="preserve">the </w:t>
      </w:r>
      <w:r>
        <w:t xml:space="preserve">MARA must decide whether or not to grant the </w:t>
      </w:r>
      <w:r w:rsidR="003F40B2">
        <w:t>extension</w:t>
      </w:r>
      <w:r w:rsidR="00370A62">
        <w:t xml:space="preserve"> no later than 28 days before the end of the eligible period</w:t>
      </w:r>
      <w:r>
        <w:t>. Under</w:t>
      </w:r>
      <w:r w:rsidR="003F40B2">
        <w:t> </w:t>
      </w:r>
      <w:r>
        <w:t>subsection 278(7), the MARA may only grant the extension if it considers it reasonable to do so in the circumstances, including</w:t>
      </w:r>
      <w:r w:rsidR="003F40B2">
        <w:t xml:space="preserve"> (but not limited to)</w:t>
      </w:r>
      <w:r>
        <w:t xml:space="preserve"> any circumstances </w:t>
      </w:r>
      <w:r w:rsidR="003F40B2">
        <w:t>determined under</w:t>
      </w:r>
      <w:r>
        <w:t xml:space="preserve"> subsection </w:t>
      </w:r>
      <w:proofErr w:type="gramStart"/>
      <w:r>
        <w:t>278A(</w:t>
      </w:r>
      <w:proofErr w:type="gramEnd"/>
      <w:r>
        <w:t xml:space="preserve">9). </w:t>
      </w:r>
    </w:p>
    <w:p w14:paraId="21994AB8" w14:textId="76DA7F48" w:rsidR="002664D0" w:rsidRDefault="003F40B2" w:rsidP="00D72E40">
      <w:pPr>
        <w:pStyle w:val="ESPara"/>
        <w:ind w:left="567" w:hanging="567"/>
      </w:pPr>
      <w:r>
        <w:t>S</w:t>
      </w:r>
      <w:r w:rsidR="002664D0">
        <w:t xml:space="preserve">ubsection </w:t>
      </w:r>
      <w:proofErr w:type="gramStart"/>
      <w:r w:rsidR="002664D0">
        <w:t>278A(</w:t>
      </w:r>
      <w:proofErr w:type="gramEnd"/>
      <w:r w:rsidR="002664D0">
        <w:t>8)</w:t>
      </w:r>
      <w:r>
        <w:t xml:space="preserve"> provides that</w:t>
      </w:r>
      <w:r w:rsidR="002664D0">
        <w:t xml:space="preserve"> the notice of </w:t>
      </w:r>
      <w:r>
        <w:t xml:space="preserve">the </w:t>
      </w:r>
      <w:r w:rsidR="002664D0">
        <w:t xml:space="preserve">decision made </w:t>
      </w:r>
      <w:r>
        <w:t xml:space="preserve">by the MARA </w:t>
      </w:r>
      <w:r w:rsidR="002664D0">
        <w:t xml:space="preserve">must include any details </w:t>
      </w:r>
      <w:r>
        <w:t xml:space="preserve">determined </w:t>
      </w:r>
      <w:r w:rsidR="002664D0">
        <w:t>under subsection 278A(9).</w:t>
      </w:r>
    </w:p>
    <w:p w14:paraId="65592B9B" w14:textId="5B37292C" w:rsidR="002664D0" w:rsidRPr="002D5E66" w:rsidRDefault="002664D0" w:rsidP="00D72E40">
      <w:pPr>
        <w:pStyle w:val="ESPara"/>
        <w:ind w:left="567" w:hanging="567"/>
      </w:pPr>
      <w:r>
        <w:t xml:space="preserve">Under subsection </w:t>
      </w:r>
      <w:proofErr w:type="gramStart"/>
      <w:r>
        <w:t>278A(</w:t>
      </w:r>
      <w:proofErr w:type="gramEnd"/>
      <w:r>
        <w:t>9), the Minister may</w:t>
      </w:r>
      <w:r w:rsidR="003F40B2">
        <w:t>, by legislative instrument,</w:t>
      </w:r>
      <w:r>
        <w:t xml:space="preserve"> make a determination for the purposes of subsections 278A(</w:t>
      </w:r>
      <w:r w:rsidR="00370A62">
        <w:t>7</w:t>
      </w:r>
      <w:r>
        <w:t>) or (</w:t>
      </w:r>
      <w:r w:rsidR="00370A62">
        <w:t>8</w:t>
      </w:r>
      <w:r>
        <w:t>).</w:t>
      </w:r>
    </w:p>
    <w:p w14:paraId="14A861A6" w14:textId="6E3369ED" w:rsidR="009D07E5" w:rsidRPr="00B36D58" w:rsidRDefault="009D07E5" w:rsidP="00D72E40">
      <w:pPr>
        <w:pStyle w:val="ESPara"/>
        <w:ind w:left="567" w:hanging="567"/>
      </w:pPr>
      <w:r w:rsidRPr="00B36D58">
        <w:t xml:space="preserve">The </w:t>
      </w:r>
      <w:r w:rsidR="00507A97">
        <w:t>purpose of the instrument is</w:t>
      </w:r>
      <w:r w:rsidRPr="00B36D58">
        <w:t xml:space="preserve"> to specify the </w:t>
      </w:r>
      <w:r>
        <w:t>circumstances</w:t>
      </w:r>
      <w:r w:rsidRPr="00B36D58">
        <w:t xml:space="preserve"> </w:t>
      </w:r>
      <w:r w:rsidRPr="004B754B">
        <w:t xml:space="preserve">for extension of </w:t>
      </w:r>
      <w:r>
        <w:t xml:space="preserve">the </w:t>
      </w:r>
      <w:r w:rsidRPr="004B754B">
        <w:t xml:space="preserve">eligible period for restricted legal practitioners </w:t>
      </w:r>
      <w:r w:rsidRPr="00B36D58">
        <w:t xml:space="preserve">and </w:t>
      </w:r>
      <w:r>
        <w:t>the details</w:t>
      </w:r>
      <w:r w:rsidRPr="004B754B">
        <w:rPr>
          <w:rFonts w:ascii="Arial" w:hAnsi="Arial" w:cs="Arial"/>
          <w:szCs w:val="20"/>
        </w:rPr>
        <w:t xml:space="preserve"> </w:t>
      </w:r>
      <w:r w:rsidRPr="004B754B">
        <w:t xml:space="preserve">to be included in </w:t>
      </w:r>
      <w:r w:rsidR="00235E00">
        <w:t xml:space="preserve">a </w:t>
      </w:r>
      <w:r w:rsidRPr="004B754B">
        <w:t>written notice</w:t>
      </w:r>
      <w:r w:rsidRPr="004B754B">
        <w:rPr>
          <w:rFonts w:eastAsia="SimSun"/>
          <w:szCs w:val="24"/>
        </w:rPr>
        <w:t xml:space="preserve"> </w:t>
      </w:r>
      <w:r w:rsidRPr="00C24493">
        <w:rPr>
          <w:rFonts w:eastAsia="SimSun"/>
          <w:szCs w:val="24"/>
        </w:rPr>
        <w:t xml:space="preserve">of </w:t>
      </w:r>
      <w:r w:rsidR="000D0AA1" w:rsidRPr="00F7181D">
        <w:t xml:space="preserve">the </w:t>
      </w:r>
      <w:r w:rsidRPr="00C24493">
        <w:rPr>
          <w:rFonts w:eastAsia="SimSun"/>
          <w:szCs w:val="24"/>
        </w:rPr>
        <w:t>decision</w:t>
      </w:r>
      <w:r w:rsidR="00507A97">
        <w:rPr>
          <w:rFonts w:eastAsia="SimSun"/>
          <w:szCs w:val="24"/>
        </w:rPr>
        <w:t xml:space="preserve">, </w:t>
      </w:r>
      <w:r w:rsidR="00507A97" w:rsidRPr="003B06B9">
        <w:t>for</w:t>
      </w:r>
      <w:r w:rsidR="002E2708">
        <w:t> </w:t>
      </w:r>
      <w:r w:rsidR="00507A97" w:rsidRPr="003B06B9">
        <w:t>subsections 278A(7</w:t>
      </w:r>
      <w:r w:rsidR="005816CD">
        <w:t>) and</w:t>
      </w:r>
      <w:r w:rsidR="00507A97" w:rsidRPr="003B06B9">
        <w:t xml:space="preserve"> (8)</w:t>
      </w:r>
      <w:r w:rsidR="00507A97">
        <w:t xml:space="preserve"> of the Migration Act</w:t>
      </w:r>
      <w:r w:rsidRPr="00B36D58">
        <w:t>.</w:t>
      </w:r>
    </w:p>
    <w:p w14:paraId="749F215E" w14:textId="55F2894C" w:rsidR="009B5EC7" w:rsidRDefault="002664D0" w:rsidP="00D72E40">
      <w:pPr>
        <w:pStyle w:val="ESPara"/>
        <w:ind w:left="567" w:hanging="567"/>
      </w:pPr>
      <w:r>
        <w:lastRenderedPageBreak/>
        <w:t>I</w:t>
      </w:r>
      <w:r w:rsidR="00F7181D" w:rsidRPr="00F60112">
        <w:t>n considering whether there are reasonable circumstances</w:t>
      </w:r>
      <w:r>
        <w:t xml:space="preserve"> for subsection </w:t>
      </w:r>
      <w:proofErr w:type="gramStart"/>
      <w:r>
        <w:t>278A(</w:t>
      </w:r>
      <w:proofErr w:type="gramEnd"/>
      <w:r>
        <w:t>7) of the Act</w:t>
      </w:r>
      <w:r w:rsidR="00F7181D" w:rsidRPr="00F60112">
        <w:t>, the</w:t>
      </w:r>
      <w:r w:rsidR="003F40B2">
        <w:t> </w:t>
      </w:r>
      <w:r w:rsidR="00F7181D" w:rsidRPr="00F60112">
        <w:t xml:space="preserve">MARA </w:t>
      </w:r>
      <w:r w:rsidR="00635122">
        <w:t>may</w:t>
      </w:r>
      <w:r w:rsidR="00F7181D" w:rsidRPr="00F60112">
        <w:t xml:space="preserve"> </w:t>
      </w:r>
      <w:r>
        <w:t>take into account</w:t>
      </w:r>
      <w:r w:rsidR="00F60112" w:rsidRPr="00F60112">
        <w:t>, but</w:t>
      </w:r>
      <w:r w:rsidR="00F7181D" w:rsidRPr="00F60112">
        <w:t xml:space="preserve"> </w:t>
      </w:r>
      <w:r w:rsidR="00F60112" w:rsidRPr="00F60112">
        <w:t xml:space="preserve">is not limited to, </w:t>
      </w:r>
      <w:r w:rsidR="00F7181D" w:rsidRPr="00F60112">
        <w:t xml:space="preserve">any circumstances determined </w:t>
      </w:r>
      <w:r w:rsidR="00F60112" w:rsidRPr="00F60112">
        <w:t>under section</w:t>
      </w:r>
      <w:r w:rsidR="008F2303">
        <w:t> </w:t>
      </w:r>
      <w:r w:rsidR="00BE1605">
        <w:t>3</w:t>
      </w:r>
      <w:r w:rsidR="00F60112" w:rsidRPr="00F60112">
        <w:t xml:space="preserve"> of the </w:t>
      </w:r>
      <w:r w:rsidR="00F7181D" w:rsidRPr="00F60112">
        <w:t>instrument</w:t>
      </w:r>
      <w:r w:rsidR="00F60112">
        <w:t xml:space="preserve">. </w:t>
      </w:r>
      <w:r w:rsidR="00F60112" w:rsidRPr="00F60112">
        <w:t>As such, section</w:t>
      </w:r>
      <w:r w:rsidR="00C73920">
        <w:t> </w:t>
      </w:r>
      <w:r w:rsidR="00BE1605">
        <w:t>3</w:t>
      </w:r>
      <w:r w:rsidR="00F60112" w:rsidRPr="00F60112">
        <w:t xml:space="preserve"> of the instrument provides a </w:t>
      </w:r>
      <w:r w:rsidR="00474D36" w:rsidRPr="00F60112">
        <w:t xml:space="preserve">non-exhaustive list </w:t>
      </w:r>
      <w:r w:rsidR="00F60112" w:rsidRPr="00F60112">
        <w:t xml:space="preserve">of the circumstances </w:t>
      </w:r>
      <w:r w:rsidR="00883772" w:rsidRPr="00B12A82">
        <w:t>in which</w:t>
      </w:r>
      <w:r w:rsidR="00883772">
        <w:t xml:space="preserve"> the </w:t>
      </w:r>
      <w:r w:rsidR="00883772" w:rsidRPr="0036317C">
        <w:t xml:space="preserve">MARA may </w:t>
      </w:r>
      <w:r w:rsidR="00883772">
        <w:t xml:space="preserve">consider it reasonable to </w:t>
      </w:r>
      <w:r w:rsidR="00883772" w:rsidRPr="0036317C">
        <w:t xml:space="preserve">extend the eligible period </w:t>
      </w:r>
      <w:r w:rsidR="00883772">
        <w:t>for restricted legal practitioners</w:t>
      </w:r>
      <w:r w:rsidR="00F46E87">
        <w:t xml:space="preserve"> for up to an additional two years</w:t>
      </w:r>
      <w:r w:rsidR="00043EC8" w:rsidRPr="002F0411">
        <w:t>.</w:t>
      </w:r>
      <w:r w:rsidR="008F2303">
        <w:t xml:space="preserve"> </w:t>
      </w:r>
    </w:p>
    <w:p w14:paraId="17CFF6CE" w14:textId="3615B484" w:rsidR="0006411E" w:rsidRDefault="008F2303" w:rsidP="00D72E40">
      <w:pPr>
        <w:pStyle w:val="ESPara"/>
        <w:ind w:left="567" w:hanging="567"/>
      </w:pPr>
      <w:r>
        <w:t xml:space="preserve">This </w:t>
      </w:r>
      <w:r w:rsidR="00805884" w:rsidRPr="008F2303">
        <w:t>allow</w:t>
      </w:r>
      <w:r w:rsidR="002664D0">
        <w:t>s</w:t>
      </w:r>
      <w:r w:rsidR="00805884" w:rsidRPr="008F2303">
        <w:t xml:space="preserve"> a restricted legal practitioner who requires longer than the standard eligible period to obtain an unrestricte</w:t>
      </w:r>
      <w:r w:rsidR="003B24ED">
        <w:t>d legal practicing certificate</w:t>
      </w:r>
      <w:r w:rsidR="00BE1605">
        <w:t xml:space="preserve"> to register with the MARA for a maximum period of four years in total. </w:t>
      </w:r>
      <w:r w:rsidR="002E2708">
        <w:t>Once the legal practitioner obtains a</w:t>
      </w:r>
      <w:r w:rsidR="00BE1605">
        <w:t>n unrestricted practicing certificate</w:t>
      </w:r>
      <w:r w:rsidR="002E2708">
        <w:t xml:space="preserve">, they are permitted </w:t>
      </w:r>
      <w:r w:rsidR="0006411E" w:rsidRPr="008F2303">
        <w:t xml:space="preserve">to </w:t>
      </w:r>
      <w:r w:rsidR="0006411E">
        <w:t xml:space="preserve">provide immigration assistance </w:t>
      </w:r>
      <w:r w:rsidR="002E2708">
        <w:t>in connection with legal practice</w:t>
      </w:r>
      <w:r w:rsidR="00697AA2">
        <w:t>, and are no longer able to register</w:t>
      </w:r>
      <w:r w:rsidR="0006411E">
        <w:t xml:space="preserve"> with the MARA</w:t>
      </w:r>
      <w:r w:rsidR="00BE1605">
        <w:t>.</w:t>
      </w:r>
    </w:p>
    <w:p w14:paraId="39DD57F0" w14:textId="4752F9C0" w:rsidR="00805884" w:rsidRDefault="002664D0" w:rsidP="00D72E40">
      <w:pPr>
        <w:pStyle w:val="ESPara"/>
        <w:ind w:left="567" w:hanging="567"/>
      </w:pPr>
      <w:r>
        <w:t>For subsection 278A(8) of the Act,</w:t>
      </w:r>
      <w:r w:rsidR="00CE74AF">
        <w:t xml:space="preserve"> written notice of the</w:t>
      </w:r>
      <w:r w:rsidR="00CE74AF" w:rsidRPr="00CE74AF">
        <w:t xml:space="preserve"> </w:t>
      </w:r>
      <w:r w:rsidR="00BE0A17">
        <w:t>MARA</w:t>
      </w:r>
      <w:r w:rsidR="00CE74AF">
        <w:t xml:space="preserve">’s decision to </w:t>
      </w:r>
      <w:r w:rsidR="00CE74AF">
        <w:rPr>
          <w:rFonts w:eastAsia="SimSun"/>
          <w:szCs w:val="24"/>
        </w:rPr>
        <w:t>either extend the eligible period by a stated period of no more than two years or refuse to extend the eligible period</w:t>
      </w:r>
      <w:r w:rsidR="00F15458">
        <w:t xml:space="preserve"> must include the details </w:t>
      </w:r>
      <w:r w:rsidR="00F15458">
        <w:rPr>
          <w:szCs w:val="24"/>
        </w:rPr>
        <w:t xml:space="preserve">set </w:t>
      </w:r>
      <w:r w:rsidR="00F15458" w:rsidRPr="00D72E40">
        <w:t>out</w:t>
      </w:r>
      <w:r w:rsidR="00F15458">
        <w:rPr>
          <w:szCs w:val="24"/>
        </w:rPr>
        <w:t xml:space="preserve"> </w:t>
      </w:r>
      <w:r w:rsidR="00C37356">
        <w:t>under section 4</w:t>
      </w:r>
      <w:r w:rsidR="00F15458">
        <w:t xml:space="preserve"> of the instrument</w:t>
      </w:r>
      <w:r w:rsidR="00F15458">
        <w:rPr>
          <w:szCs w:val="24"/>
        </w:rPr>
        <w:t xml:space="preserve">. This is to ensure that </w:t>
      </w:r>
      <w:r w:rsidR="00F15458">
        <w:t xml:space="preserve">the written notice </w:t>
      </w:r>
      <w:r w:rsidR="00235E00">
        <w:t>addresses</w:t>
      </w:r>
      <w:r w:rsidR="00F15458">
        <w:t xml:space="preserve"> the question </w:t>
      </w:r>
      <w:r w:rsidR="00235E00">
        <w:t xml:space="preserve">as to </w:t>
      </w:r>
      <w:r w:rsidR="00F15458">
        <w:t xml:space="preserve">whether the circumstances of a restricted legal practitioner </w:t>
      </w:r>
      <w:r w:rsidR="00235E00">
        <w:t>warrant</w:t>
      </w:r>
      <w:r w:rsidR="00F15458">
        <w:t xml:space="preserve"> the time extension</w:t>
      </w:r>
      <w:r w:rsidR="00A36F20">
        <w:t xml:space="preserve"> by the MARA</w:t>
      </w:r>
      <w:r w:rsidR="00F15458">
        <w:t>.</w:t>
      </w:r>
    </w:p>
    <w:p w14:paraId="7B8362E2" w14:textId="77777777" w:rsidR="008B24C8" w:rsidRDefault="008B24C8" w:rsidP="0021555F">
      <w:pPr>
        <w:pStyle w:val="ESHeading"/>
        <w:rPr>
          <w:b w:val="0"/>
          <w:i w:val="0"/>
        </w:rPr>
      </w:pPr>
      <w:r w:rsidRPr="008B24C8">
        <w:t>Consultation</w:t>
      </w:r>
    </w:p>
    <w:p w14:paraId="7A7569FD" w14:textId="6FCCDBCA" w:rsidR="008833B7" w:rsidRDefault="008D1E97" w:rsidP="00D72E40">
      <w:pPr>
        <w:pStyle w:val="ESPara"/>
        <w:ind w:left="567" w:hanging="567"/>
      </w:pPr>
      <w:r>
        <w:t>The Department of Home Affairs has consulted with migration advice industry peak</w:t>
      </w:r>
      <w:r w:rsidR="00BE5D76">
        <w:t xml:space="preserve"> bodies – </w:t>
      </w:r>
      <w:r w:rsidR="00E12C50">
        <w:t xml:space="preserve">the </w:t>
      </w:r>
      <w:r>
        <w:t xml:space="preserve">Migration Institute of Australia, </w:t>
      </w:r>
      <w:r w:rsidR="00E12C50">
        <w:t xml:space="preserve">the </w:t>
      </w:r>
      <w:r>
        <w:t xml:space="preserve">Migration Alliance and </w:t>
      </w:r>
      <w:r w:rsidR="00E12C50">
        <w:t xml:space="preserve">the </w:t>
      </w:r>
      <w:r>
        <w:t xml:space="preserve">Law Council of Australia </w:t>
      </w:r>
      <w:r w:rsidR="00BE5D76">
        <w:t xml:space="preserve">– </w:t>
      </w:r>
      <w:r>
        <w:t>when making this instrument.</w:t>
      </w:r>
    </w:p>
    <w:p w14:paraId="057012B7" w14:textId="77777777" w:rsidR="00B24547" w:rsidRDefault="00B24547" w:rsidP="00D72E40">
      <w:pPr>
        <w:pStyle w:val="ESPara"/>
        <w:ind w:left="567" w:hanging="567"/>
      </w:pPr>
      <w:r w:rsidRPr="00BE0A17">
        <w:t>The Office of Best Practice Regulation (</w:t>
      </w:r>
      <w:r w:rsidRPr="002D5E66">
        <w:t>OBPR</w:t>
      </w:r>
      <w:r w:rsidRPr="00BE0A17">
        <w:t>) was consulted and considered that the instrument dealt</w:t>
      </w:r>
      <w:r w:rsidRPr="008B24C8">
        <w:t xml:space="preserve"> with m</w:t>
      </w:r>
      <w:r>
        <w:t xml:space="preserve">atters of a minor </w:t>
      </w:r>
      <w:r w:rsidRPr="008B24C8">
        <w:t xml:space="preserve">nature and no regulatory </w:t>
      </w:r>
      <w:r>
        <w:t xml:space="preserve">impact statement was required. The OBPR reference number is </w:t>
      </w:r>
      <w:r w:rsidRPr="00B24547">
        <w:t>22900</w:t>
      </w:r>
      <w:r w:rsidRPr="008B24C8">
        <w:t>.</w:t>
      </w:r>
    </w:p>
    <w:p w14:paraId="378A9713" w14:textId="77777777" w:rsidR="00AA4557" w:rsidRPr="008833B7" w:rsidRDefault="00464080" w:rsidP="0021555F">
      <w:pPr>
        <w:pStyle w:val="ESHeading"/>
      </w:pPr>
      <w:r w:rsidRPr="008833B7">
        <w:t>Details</w:t>
      </w:r>
      <w:r w:rsidR="00AA4557" w:rsidRPr="008833B7">
        <w:t xml:space="preserve"> of the instrument</w:t>
      </w:r>
    </w:p>
    <w:p w14:paraId="5AD28E44" w14:textId="77777777" w:rsidR="00B24547" w:rsidRDefault="00B24547" w:rsidP="00D72E40">
      <w:pPr>
        <w:pStyle w:val="ESPara"/>
        <w:ind w:left="567" w:hanging="567"/>
      </w:pPr>
      <w:r>
        <w:t xml:space="preserve">Section 1 sets out the name of the instrument.  </w:t>
      </w:r>
    </w:p>
    <w:p w14:paraId="5AA8A2CA" w14:textId="397B6D64" w:rsidR="00B24547" w:rsidRDefault="00B24547" w:rsidP="00D72E40">
      <w:pPr>
        <w:pStyle w:val="ESPara"/>
        <w:ind w:left="567" w:hanging="567"/>
      </w:pPr>
      <w:r>
        <w:t xml:space="preserve">Section 2 provides </w:t>
      </w:r>
      <w:r w:rsidR="008D1E97">
        <w:t xml:space="preserve">for </w:t>
      </w:r>
      <w:r>
        <w:t xml:space="preserve">the commencement of the instrument, which is on </w:t>
      </w:r>
      <w:r w:rsidR="003C6007">
        <w:t>the day after registration</w:t>
      </w:r>
      <w:r w:rsidR="00741252">
        <w:t xml:space="preserve"> on the Federal Register of Legislation</w:t>
      </w:r>
      <w:r>
        <w:t>.</w:t>
      </w:r>
    </w:p>
    <w:p w14:paraId="0BE68C26" w14:textId="632DA987" w:rsidR="00C37356" w:rsidRDefault="004774DD" w:rsidP="00D72E40">
      <w:pPr>
        <w:pStyle w:val="ESPara"/>
        <w:ind w:left="567" w:hanging="567"/>
      </w:pPr>
      <w:r w:rsidRPr="004774DD">
        <w:t>Section 3 determines, for subsection 278A(7) of the Act, the general circumstances in which the MARA may consider it reasonable to extend the eligible period for an eligible person who has made an application</w:t>
      </w:r>
      <w:r w:rsidR="00C5284A">
        <w:t xml:space="preserve"> </w:t>
      </w:r>
      <w:r w:rsidR="00C5284A" w:rsidRPr="004774DD">
        <w:t>(the applicant)</w:t>
      </w:r>
      <w:r w:rsidR="00C5284A">
        <w:t xml:space="preserve"> </w:t>
      </w:r>
      <w:r w:rsidRPr="004774DD">
        <w:t>under subsection 278A(4) of the Act by up to two years.</w:t>
      </w:r>
    </w:p>
    <w:p w14:paraId="531AA9D9" w14:textId="77777777" w:rsidR="004774DD" w:rsidRPr="004774DD" w:rsidRDefault="004774DD" w:rsidP="004774DD">
      <w:pPr>
        <w:pStyle w:val="ESPara"/>
        <w:ind w:left="567" w:hanging="567"/>
      </w:pPr>
      <w:r w:rsidRPr="004774DD">
        <w:t>These circumstances are:</w:t>
      </w:r>
    </w:p>
    <w:p w14:paraId="40F2B92E" w14:textId="77777777" w:rsidR="004774DD" w:rsidRPr="004774DD" w:rsidRDefault="004774DD" w:rsidP="004774DD">
      <w:pPr>
        <w:pStyle w:val="ListParagraph"/>
        <w:numPr>
          <w:ilvl w:val="0"/>
          <w:numId w:val="5"/>
        </w:numPr>
        <w:spacing w:before="240" w:after="240" w:line="276" w:lineRule="auto"/>
        <w:contextualSpacing w:val="0"/>
        <w:rPr>
          <w:rFonts w:ascii="Times New Roman" w:hAnsi="Times New Roman" w:cs="Times New Roman"/>
        </w:rPr>
      </w:pPr>
      <w:r w:rsidRPr="004774DD">
        <w:rPr>
          <w:rFonts w:ascii="Times New Roman" w:hAnsi="Times New Roman" w:cs="Times New Roman"/>
        </w:rPr>
        <w:t>the applicant’s employment, business and volunteering commitments; and</w:t>
      </w:r>
    </w:p>
    <w:p w14:paraId="3AB70143" w14:textId="77777777" w:rsidR="004774DD" w:rsidRPr="004774DD" w:rsidRDefault="004774DD" w:rsidP="004774DD">
      <w:pPr>
        <w:pStyle w:val="ListParagraph"/>
        <w:numPr>
          <w:ilvl w:val="0"/>
          <w:numId w:val="5"/>
        </w:numPr>
        <w:spacing w:before="240" w:after="240" w:line="276" w:lineRule="auto"/>
        <w:contextualSpacing w:val="0"/>
        <w:rPr>
          <w:rFonts w:ascii="Times New Roman" w:hAnsi="Times New Roman" w:cs="Times New Roman"/>
        </w:rPr>
      </w:pPr>
      <w:r w:rsidRPr="004774DD">
        <w:rPr>
          <w:rFonts w:ascii="Times New Roman" w:hAnsi="Times New Roman" w:cs="Times New Roman"/>
        </w:rPr>
        <w:t>the applicant’s financial circumstances; and</w:t>
      </w:r>
    </w:p>
    <w:p w14:paraId="19B8423B" w14:textId="77777777" w:rsidR="004774DD" w:rsidRPr="004774DD" w:rsidRDefault="004774DD" w:rsidP="004774DD">
      <w:pPr>
        <w:pStyle w:val="ListParagraph"/>
        <w:numPr>
          <w:ilvl w:val="0"/>
          <w:numId w:val="5"/>
        </w:numPr>
        <w:spacing w:before="240" w:after="240" w:line="276" w:lineRule="auto"/>
        <w:contextualSpacing w:val="0"/>
        <w:rPr>
          <w:rFonts w:ascii="Times New Roman" w:hAnsi="Times New Roman" w:cs="Times New Roman"/>
        </w:rPr>
      </w:pPr>
      <w:r w:rsidRPr="004774DD">
        <w:rPr>
          <w:rFonts w:ascii="Times New Roman" w:hAnsi="Times New Roman" w:cs="Times New Roman"/>
        </w:rPr>
        <w:t>any attempt made by the applicant to secure a supervised legal practice placement on a full</w:t>
      </w:r>
      <w:r w:rsidRPr="004774DD">
        <w:rPr>
          <w:rFonts w:ascii="Times New Roman" w:hAnsi="Times New Roman" w:cs="Times New Roman"/>
        </w:rPr>
        <w:noBreakHyphen/>
        <w:t>time basis for a two-year period; and</w:t>
      </w:r>
    </w:p>
    <w:p w14:paraId="4CD19192" w14:textId="77777777" w:rsidR="004774DD" w:rsidRPr="004774DD" w:rsidRDefault="004774DD" w:rsidP="004774DD">
      <w:pPr>
        <w:pStyle w:val="ListParagraph"/>
        <w:numPr>
          <w:ilvl w:val="0"/>
          <w:numId w:val="5"/>
        </w:numPr>
        <w:spacing w:before="240" w:after="240" w:line="276" w:lineRule="auto"/>
        <w:contextualSpacing w:val="0"/>
        <w:rPr>
          <w:rFonts w:ascii="Times New Roman" w:hAnsi="Times New Roman" w:cs="Times New Roman"/>
        </w:rPr>
      </w:pPr>
      <w:r w:rsidRPr="004774DD">
        <w:rPr>
          <w:rFonts w:ascii="Times New Roman" w:hAnsi="Times New Roman" w:cs="Times New Roman"/>
        </w:rPr>
        <w:t>the applicant’s study commitments; and</w:t>
      </w:r>
    </w:p>
    <w:p w14:paraId="1ECA7A76" w14:textId="77777777" w:rsidR="004774DD" w:rsidRPr="004774DD" w:rsidRDefault="004774DD" w:rsidP="004774DD">
      <w:pPr>
        <w:pStyle w:val="ListParagraph"/>
        <w:numPr>
          <w:ilvl w:val="0"/>
          <w:numId w:val="5"/>
        </w:numPr>
        <w:spacing w:before="240" w:after="240" w:line="276" w:lineRule="auto"/>
        <w:contextualSpacing w:val="0"/>
        <w:rPr>
          <w:rFonts w:ascii="Times New Roman" w:hAnsi="Times New Roman" w:cs="Times New Roman"/>
        </w:rPr>
      </w:pPr>
      <w:r w:rsidRPr="004774DD">
        <w:rPr>
          <w:rFonts w:ascii="Times New Roman" w:hAnsi="Times New Roman" w:cs="Times New Roman"/>
        </w:rPr>
        <w:t>the applicant’s family responsibilities; and</w:t>
      </w:r>
    </w:p>
    <w:p w14:paraId="58C8D456" w14:textId="77777777" w:rsidR="004774DD" w:rsidRPr="004774DD" w:rsidRDefault="004774DD" w:rsidP="004774DD">
      <w:pPr>
        <w:pStyle w:val="ListParagraph"/>
        <w:numPr>
          <w:ilvl w:val="0"/>
          <w:numId w:val="5"/>
        </w:numPr>
        <w:spacing w:before="240" w:after="240" w:line="276" w:lineRule="auto"/>
        <w:contextualSpacing w:val="0"/>
        <w:rPr>
          <w:rFonts w:ascii="Times New Roman" w:hAnsi="Times New Roman" w:cs="Times New Roman"/>
        </w:rPr>
      </w:pPr>
      <w:r w:rsidRPr="004774DD">
        <w:rPr>
          <w:rFonts w:ascii="Times New Roman" w:hAnsi="Times New Roman" w:cs="Times New Roman"/>
        </w:rPr>
        <w:lastRenderedPageBreak/>
        <w:t>any medical condition that the applicant has; and</w:t>
      </w:r>
    </w:p>
    <w:p w14:paraId="2B86CE6C" w14:textId="77777777" w:rsidR="004774DD" w:rsidRPr="004774DD" w:rsidRDefault="004774DD" w:rsidP="004774DD">
      <w:pPr>
        <w:pStyle w:val="ListParagraph"/>
        <w:numPr>
          <w:ilvl w:val="0"/>
          <w:numId w:val="5"/>
        </w:numPr>
        <w:spacing w:before="240" w:after="240" w:line="276" w:lineRule="auto"/>
        <w:contextualSpacing w:val="0"/>
        <w:rPr>
          <w:rFonts w:ascii="Times New Roman" w:hAnsi="Times New Roman" w:cs="Times New Roman"/>
        </w:rPr>
      </w:pPr>
      <w:proofErr w:type="gramStart"/>
      <w:r w:rsidRPr="004774DD">
        <w:rPr>
          <w:rFonts w:ascii="Times New Roman" w:hAnsi="Times New Roman" w:cs="Times New Roman"/>
        </w:rPr>
        <w:t>any</w:t>
      </w:r>
      <w:proofErr w:type="gramEnd"/>
      <w:r w:rsidRPr="004774DD">
        <w:rPr>
          <w:rFonts w:ascii="Times New Roman" w:hAnsi="Times New Roman" w:cs="Times New Roman"/>
        </w:rPr>
        <w:t xml:space="preserve"> other hardship that applies to the applicant.</w:t>
      </w:r>
    </w:p>
    <w:p w14:paraId="6DB6A1BA" w14:textId="073983A0" w:rsidR="00B24547" w:rsidRPr="00023741" w:rsidRDefault="004774DD" w:rsidP="00D72E40">
      <w:pPr>
        <w:pStyle w:val="ESPara"/>
        <w:ind w:left="567" w:hanging="567"/>
      </w:pPr>
      <w:r w:rsidRPr="004774DD">
        <w:t xml:space="preserve">The MARA may </w:t>
      </w:r>
      <w:r w:rsidR="00245AFD">
        <w:t xml:space="preserve">assess the reasonableness and </w:t>
      </w:r>
      <w:r w:rsidR="00BE1746">
        <w:t xml:space="preserve">decide whether </w:t>
      </w:r>
      <w:r w:rsidR="001F0375" w:rsidRPr="004774DD">
        <w:t xml:space="preserve">it </w:t>
      </w:r>
      <w:r w:rsidR="001F0375">
        <w:t xml:space="preserve">is </w:t>
      </w:r>
      <w:r w:rsidR="001F0375" w:rsidRPr="004774DD">
        <w:t xml:space="preserve">reasonable to </w:t>
      </w:r>
      <w:r w:rsidRPr="004774DD">
        <w:t>extend the eligible</w:t>
      </w:r>
      <w:r w:rsidR="001F0375">
        <w:t xml:space="preserve"> period by a particular period </w:t>
      </w:r>
      <w:r w:rsidRPr="004774DD">
        <w:t>in the circumstances</w:t>
      </w:r>
      <w:r w:rsidR="00652CC3">
        <w:t xml:space="preserve"> outlined above</w:t>
      </w:r>
      <w:r w:rsidRPr="004774DD">
        <w:t>.</w:t>
      </w:r>
      <w:r>
        <w:t xml:space="preserve"> </w:t>
      </w:r>
      <w:r w:rsidR="00983A91">
        <w:t>However, t</w:t>
      </w:r>
      <w:r w:rsidR="00C37356" w:rsidRPr="00023741">
        <w:t xml:space="preserve">he MARA is not required to take into account any </w:t>
      </w:r>
      <w:r w:rsidR="00741252" w:rsidRPr="00023741">
        <w:t>particular</w:t>
      </w:r>
      <w:r w:rsidR="00C37356" w:rsidRPr="00023741">
        <w:t xml:space="preserve"> circumstance</w:t>
      </w:r>
      <w:r w:rsidR="00AE1FBE">
        <w:t xml:space="preserve"> </w:t>
      </w:r>
      <w:r w:rsidR="00652CC3" w:rsidRPr="00023741">
        <w:t xml:space="preserve">set out </w:t>
      </w:r>
      <w:r w:rsidR="00776674" w:rsidRPr="00023741">
        <w:t>in section 3 of the instrument</w:t>
      </w:r>
      <w:r w:rsidR="00AE1FBE" w:rsidRPr="00023741" w:rsidDel="00AE1FBE">
        <w:t xml:space="preserve"> </w:t>
      </w:r>
      <w:r w:rsidR="00C37356" w:rsidRPr="00023741">
        <w:t xml:space="preserve">if </w:t>
      </w:r>
      <w:r w:rsidR="00741252" w:rsidRPr="00023741">
        <w:t>the circumstance would not be relevant</w:t>
      </w:r>
      <w:r w:rsidR="00C37356" w:rsidRPr="00023741">
        <w:t>.</w:t>
      </w:r>
      <w:r w:rsidR="00224BA3" w:rsidRPr="00023741">
        <w:t xml:space="preserve"> In addition, under subsection </w:t>
      </w:r>
      <w:proofErr w:type="gramStart"/>
      <w:r w:rsidR="00224BA3" w:rsidRPr="00023741">
        <w:t>2</w:t>
      </w:r>
      <w:r w:rsidR="00017F48">
        <w:t>78</w:t>
      </w:r>
      <w:r w:rsidR="00224BA3" w:rsidRPr="00023741">
        <w:t>A(</w:t>
      </w:r>
      <w:proofErr w:type="gramEnd"/>
      <w:r w:rsidR="00224BA3" w:rsidRPr="00023741">
        <w:t>7) of the Act, it is also open to the MARA to take into account any other circumstances it considers to be reasonable.</w:t>
      </w:r>
    </w:p>
    <w:p w14:paraId="12675C67" w14:textId="2C6C2A23" w:rsidR="00DC6C86" w:rsidRDefault="00C4293E" w:rsidP="00D72E40">
      <w:pPr>
        <w:pStyle w:val="ESPara"/>
        <w:ind w:left="567" w:hanging="567"/>
      </w:pPr>
      <w:r>
        <w:t>Section 4</w:t>
      </w:r>
      <w:r w:rsidR="00DC6C86">
        <w:t xml:space="preserve"> </w:t>
      </w:r>
      <w:r>
        <w:t>determines</w:t>
      </w:r>
      <w:r w:rsidR="00DC6C86">
        <w:t xml:space="preserve"> the </w:t>
      </w:r>
      <w:r w:rsidR="00E57F99">
        <w:t>details</w:t>
      </w:r>
      <w:r w:rsidR="00C37356">
        <w:t xml:space="preserve">, for subsection </w:t>
      </w:r>
      <w:proofErr w:type="gramStart"/>
      <w:r w:rsidR="00C37356">
        <w:t>278A(</w:t>
      </w:r>
      <w:proofErr w:type="gramEnd"/>
      <w:r w:rsidR="00C37356">
        <w:t>8) of the Act,</w:t>
      </w:r>
      <w:r w:rsidR="00E57F99">
        <w:t xml:space="preserve"> to be included in</w:t>
      </w:r>
      <w:r w:rsidR="00666DF3">
        <w:t xml:space="preserve"> a</w:t>
      </w:r>
      <w:r w:rsidR="00E57F99">
        <w:t xml:space="preserve"> written notice</w:t>
      </w:r>
      <w:r w:rsidR="00C37356">
        <w:t xml:space="preserve"> provided by MARA of its decision under subsection 278A(6).</w:t>
      </w:r>
      <w:r w:rsidR="00EF4078">
        <w:t xml:space="preserve"> </w:t>
      </w:r>
      <w:r w:rsidR="00C37356">
        <w:t>Section 4 provides that this must</w:t>
      </w:r>
      <w:r w:rsidR="00C37356">
        <w:rPr>
          <w:szCs w:val="24"/>
        </w:rPr>
        <w:t xml:space="preserve"> </w:t>
      </w:r>
      <w:r w:rsidR="00666DF3">
        <w:rPr>
          <w:szCs w:val="24"/>
        </w:rPr>
        <w:t>include the reasons for the decision, findings on material questions of fact</w:t>
      </w:r>
      <w:r w:rsidR="006E70F5">
        <w:rPr>
          <w:szCs w:val="24"/>
        </w:rPr>
        <w:t xml:space="preserve"> </w:t>
      </w:r>
      <w:r w:rsidR="006C4C3A" w:rsidRPr="006C4C3A">
        <w:rPr>
          <w:szCs w:val="24"/>
        </w:rPr>
        <w:t>relied upon in making the decision</w:t>
      </w:r>
      <w:r w:rsidR="006C4C3A">
        <w:rPr>
          <w:szCs w:val="24"/>
        </w:rPr>
        <w:t xml:space="preserve"> </w:t>
      </w:r>
      <w:r w:rsidR="00666DF3">
        <w:rPr>
          <w:szCs w:val="24"/>
        </w:rPr>
        <w:t>and reference to the evidence or other material on which those findings were based.</w:t>
      </w:r>
      <w:r w:rsidR="00C37356">
        <w:rPr>
          <w:szCs w:val="24"/>
        </w:rPr>
        <w:t xml:space="preserve"> The MARA may also include any other relevant details in the notice under subsection </w:t>
      </w:r>
      <w:proofErr w:type="gramStart"/>
      <w:r w:rsidR="00C37356">
        <w:rPr>
          <w:szCs w:val="24"/>
        </w:rPr>
        <w:t>278A(</w:t>
      </w:r>
      <w:proofErr w:type="gramEnd"/>
      <w:r w:rsidR="00C37356">
        <w:rPr>
          <w:szCs w:val="24"/>
        </w:rPr>
        <w:t>6) of the Act.</w:t>
      </w:r>
    </w:p>
    <w:p w14:paraId="22508A66" w14:textId="77777777" w:rsidR="00AA4557" w:rsidRPr="00AA4557" w:rsidRDefault="00AA4557" w:rsidP="0021555F">
      <w:pPr>
        <w:pStyle w:val="ESHeading"/>
        <w:rPr>
          <w:b w:val="0"/>
          <w:i w:val="0"/>
        </w:rPr>
      </w:pPr>
      <w:r>
        <w:t xml:space="preserve">Parliamentary scrutiny etc.  </w:t>
      </w:r>
    </w:p>
    <w:p w14:paraId="06DA40A0" w14:textId="77777777" w:rsidR="00E03DCC" w:rsidRPr="00464080" w:rsidRDefault="00AA4557" w:rsidP="00D72E40">
      <w:pPr>
        <w:pStyle w:val="ESPara"/>
        <w:ind w:left="567" w:hanging="567"/>
      </w:pPr>
      <w:r w:rsidRPr="00464080">
        <w:t xml:space="preserve">The instrument </w:t>
      </w:r>
      <w:r w:rsidR="00E03DCC" w:rsidRPr="00464080">
        <w:t>is subject to disallowance under sect</w:t>
      </w:r>
      <w:r w:rsidR="00B24547">
        <w:t xml:space="preserve">ion 42 of the Legislation Act. </w:t>
      </w:r>
      <w:r w:rsidR="006F64F9" w:rsidRPr="00464080">
        <w:t xml:space="preserve">A Statement of Compatibility with Human Rights has been prepared in relation to the instrument, and provides that </w:t>
      </w:r>
      <w:r w:rsidR="006F64F9" w:rsidRPr="00C52D2D">
        <w:t>the instrument does not engage any of the appl</w:t>
      </w:r>
      <w:r w:rsidR="006F64F9">
        <w:t xml:space="preserve">icable human rights or freedoms. </w:t>
      </w:r>
      <w:r w:rsidR="006F64F9" w:rsidRPr="00464080">
        <w:t xml:space="preserve">The Statement is included at </w:t>
      </w:r>
      <w:r w:rsidR="006F64F9">
        <w:rPr>
          <w:b/>
          <w:u w:val="single"/>
        </w:rPr>
        <w:t>Attachment A</w:t>
      </w:r>
      <w:r w:rsidR="006F64F9" w:rsidRPr="00464080">
        <w:t xml:space="preserve"> to this explanatory statement.</w:t>
      </w:r>
      <w:r w:rsidR="00E03DCC" w:rsidRPr="00464080">
        <w:t xml:space="preserve">  </w:t>
      </w:r>
    </w:p>
    <w:p w14:paraId="7DEDFE3B" w14:textId="77777777" w:rsidR="00B75478" w:rsidRDefault="00B75478" w:rsidP="00D72E40">
      <w:pPr>
        <w:pStyle w:val="ESPara"/>
        <w:ind w:left="567" w:hanging="567"/>
      </w:pPr>
      <w:r w:rsidRPr="00B75478">
        <w:t xml:space="preserve">The </w:t>
      </w:r>
      <w:r>
        <w:t xml:space="preserve">instrument was made by </w:t>
      </w:r>
      <w:r w:rsidR="00B24547" w:rsidRPr="00B24547">
        <w:t>Jason Wood, Assistant Minister for Customs, Community Safety and Multicultural Affairs</w:t>
      </w:r>
      <w:r w:rsidR="00B24547">
        <w:t xml:space="preserve">, in accordance with </w:t>
      </w:r>
      <w:r w:rsidR="00B24547" w:rsidRPr="00B24547">
        <w:t>subsection 278A(9) of the Migration Act</w:t>
      </w:r>
      <w:r>
        <w:t>.</w:t>
      </w:r>
    </w:p>
    <w:p w14:paraId="2E3F21E9" w14:textId="77777777" w:rsidR="004F5CE4" w:rsidRPr="005575FD" w:rsidRDefault="007E4691" w:rsidP="005575FD">
      <w:pPr>
        <w:rPr>
          <w:rFonts w:ascii="Times New Roman" w:hAnsi="Times New Roman" w:cs="Times New Roman"/>
        </w:rPr>
      </w:pPr>
      <w:r>
        <w:rPr>
          <w:rFonts w:ascii="Times New Roman" w:hAnsi="Times New Roman" w:cs="Times New Roman"/>
        </w:rPr>
        <w:br w:type="page"/>
      </w:r>
    </w:p>
    <w:p w14:paraId="4704A084" w14:textId="77777777" w:rsidR="004F5CE4" w:rsidRDefault="007E4691" w:rsidP="004F5CE4">
      <w:pPr>
        <w:spacing w:before="240" w:after="240" w:line="276" w:lineRule="auto"/>
        <w:jc w:val="right"/>
        <w:rPr>
          <w:rFonts w:ascii="Times New Roman" w:hAnsi="Times New Roman" w:cs="Times New Roman"/>
          <w:b/>
          <w:u w:val="single"/>
        </w:rPr>
      </w:pPr>
      <w:r>
        <w:rPr>
          <w:rFonts w:ascii="Times New Roman" w:hAnsi="Times New Roman" w:cs="Times New Roman"/>
          <w:b/>
          <w:u w:val="single"/>
        </w:rPr>
        <w:lastRenderedPageBreak/>
        <w:t xml:space="preserve">Attachment </w:t>
      </w:r>
      <w:r w:rsidR="005575FD">
        <w:rPr>
          <w:rFonts w:ascii="Times New Roman" w:hAnsi="Times New Roman" w:cs="Times New Roman"/>
          <w:b/>
          <w:u w:val="single"/>
        </w:rPr>
        <w:t>A</w:t>
      </w:r>
    </w:p>
    <w:p w14:paraId="5BE449E6" w14:textId="77777777" w:rsidR="007902BC" w:rsidRPr="007902BC" w:rsidRDefault="007902BC" w:rsidP="007902BC">
      <w:pPr>
        <w:autoSpaceDE w:val="0"/>
        <w:autoSpaceDN w:val="0"/>
        <w:adjustRightInd w:val="0"/>
        <w:spacing w:after="0" w:line="240" w:lineRule="auto"/>
        <w:jc w:val="center"/>
        <w:rPr>
          <w:rFonts w:ascii="Times New Roman" w:eastAsia="Times New Roman" w:hAnsi="Times New Roman" w:cs="Times New Roman"/>
          <w:sz w:val="24"/>
          <w:szCs w:val="24"/>
          <w:lang w:eastAsia="en-AU"/>
        </w:rPr>
      </w:pPr>
      <w:r w:rsidRPr="007902BC">
        <w:rPr>
          <w:rFonts w:ascii="Times New Roman" w:eastAsia="Times New Roman" w:hAnsi="Times New Roman" w:cs="Times New Roman"/>
          <w:b/>
          <w:bCs/>
          <w:sz w:val="24"/>
          <w:szCs w:val="24"/>
          <w:lang w:eastAsia="en-AU"/>
        </w:rPr>
        <w:t>Statement of Compatibility with Human Rights</w:t>
      </w:r>
    </w:p>
    <w:p w14:paraId="5FF3E7DA" w14:textId="77777777" w:rsidR="007902BC" w:rsidRPr="007902BC" w:rsidRDefault="007902BC" w:rsidP="007902BC">
      <w:pPr>
        <w:autoSpaceDE w:val="0"/>
        <w:autoSpaceDN w:val="0"/>
        <w:adjustRightInd w:val="0"/>
        <w:spacing w:after="0" w:line="240" w:lineRule="auto"/>
        <w:jc w:val="center"/>
        <w:rPr>
          <w:rFonts w:ascii="Times New Roman" w:eastAsia="Times New Roman" w:hAnsi="Times New Roman" w:cs="Times New Roman"/>
          <w:i/>
          <w:iCs/>
          <w:sz w:val="24"/>
          <w:szCs w:val="24"/>
          <w:lang w:eastAsia="en-AU"/>
        </w:rPr>
      </w:pPr>
      <w:r w:rsidRPr="007902BC">
        <w:rPr>
          <w:rFonts w:ascii="Times New Roman" w:eastAsia="Times New Roman" w:hAnsi="Times New Roman" w:cs="Times New Roman"/>
          <w:i/>
          <w:iCs/>
          <w:sz w:val="24"/>
          <w:szCs w:val="24"/>
          <w:lang w:eastAsia="en-AU"/>
        </w:rPr>
        <w:t>Prepared in accordance with Part 3 of the Human Rights (Parliamentary Scrutiny) Act 2011</w:t>
      </w:r>
    </w:p>
    <w:p w14:paraId="2B12743B" w14:textId="58256A11" w:rsidR="007902BC" w:rsidRPr="007902BC" w:rsidRDefault="0055747D" w:rsidP="007902BC">
      <w:pPr>
        <w:spacing w:before="240" w:after="120" w:line="360" w:lineRule="auto"/>
        <w:ind w:hanging="23"/>
        <w:jc w:val="center"/>
        <w:rPr>
          <w:rFonts w:ascii="Times New Roman" w:eastAsia="Times New Roman" w:hAnsi="Times New Roman" w:cs="Times New Roman"/>
          <w:i/>
          <w:sz w:val="24"/>
          <w:szCs w:val="20"/>
          <w:lang w:eastAsia="en-AU"/>
        </w:rPr>
      </w:pPr>
      <w:r w:rsidRPr="0055747D">
        <w:rPr>
          <w:rFonts w:ascii="Times New Roman" w:eastAsia="Times New Roman" w:hAnsi="Times New Roman" w:cs="Times New Roman"/>
          <w:b/>
          <w:i/>
          <w:sz w:val="24"/>
          <w:szCs w:val="20"/>
          <w:lang w:eastAsia="en-AU"/>
        </w:rPr>
        <w:t>Migration (MARA—Extension of eligible period for restricted legal practitioners) Instrument (LIN 21/020) 202</w:t>
      </w:r>
      <w:r>
        <w:rPr>
          <w:rFonts w:ascii="Times New Roman" w:eastAsia="Times New Roman" w:hAnsi="Times New Roman" w:cs="Times New Roman"/>
          <w:b/>
          <w:i/>
          <w:sz w:val="24"/>
          <w:szCs w:val="20"/>
          <w:lang w:eastAsia="en-AU"/>
        </w:rPr>
        <w:t>1</w:t>
      </w:r>
    </w:p>
    <w:p w14:paraId="7E01D3B2" w14:textId="77777777" w:rsidR="007902BC" w:rsidRPr="007902BC" w:rsidRDefault="007902BC" w:rsidP="007902BC">
      <w:pPr>
        <w:autoSpaceDE w:val="0"/>
        <w:autoSpaceDN w:val="0"/>
        <w:adjustRightInd w:val="0"/>
        <w:spacing w:after="0" w:line="264" w:lineRule="auto"/>
        <w:jc w:val="center"/>
        <w:rPr>
          <w:rFonts w:ascii="Times New Roman" w:eastAsia="Times New Roman" w:hAnsi="Times New Roman" w:cs="Times New Roman"/>
          <w:sz w:val="24"/>
          <w:szCs w:val="24"/>
          <w:lang w:eastAsia="en-AU"/>
        </w:rPr>
      </w:pPr>
      <w:r w:rsidRPr="007902BC">
        <w:rPr>
          <w:rFonts w:ascii="Times New Roman" w:eastAsia="Times New Roman" w:hAnsi="Times New Roman" w:cs="Times New Roman"/>
          <w:sz w:val="24"/>
          <w:szCs w:val="24"/>
          <w:lang w:eastAsia="en-AU"/>
        </w:rPr>
        <w:t xml:space="preserve">This Disallowable Legislative Instrument is compatible with the human rights and freedoms recognised or declared in the international instruments listed in section 3 of the </w:t>
      </w:r>
      <w:r w:rsidRPr="007902BC">
        <w:rPr>
          <w:rFonts w:ascii="Times New Roman" w:eastAsia="Times New Roman" w:hAnsi="Times New Roman" w:cs="Times New Roman"/>
          <w:i/>
          <w:iCs/>
          <w:sz w:val="24"/>
          <w:szCs w:val="24"/>
          <w:lang w:eastAsia="en-AU"/>
        </w:rPr>
        <w:t>Human Rights (Parliamentary Scrutiny) Act 2011</w:t>
      </w:r>
      <w:r w:rsidRPr="007902BC">
        <w:rPr>
          <w:rFonts w:ascii="Times New Roman" w:eastAsia="Times New Roman" w:hAnsi="Times New Roman" w:cs="Times New Roman"/>
          <w:sz w:val="24"/>
          <w:szCs w:val="24"/>
          <w:lang w:eastAsia="en-AU"/>
        </w:rPr>
        <w:t>.</w:t>
      </w:r>
    </w:p>
    <w:p w14:paraId="272352D2" w14:textId="77777777" w:rsidR="007902BC" w:rsidRPr="007902BC" w:rsidRDefault="007902BC" w:rsidP="007902BC">
      <w:pPr>
        <w:spacing w:after="0" w:line="240" w:lineRule="auto"/>
        <w:contextualSpacing/>
        <w:rPr>
          <w:rFonts w:ascii="Times New Roman" w:eastAsia="Times New Roman" w:hAnsi="Times New Roman" w:cs="Times New Roman"/>
          <w:b/>
          <w:sz w:val="24"/>
          <w:szCs w:val="24"/>
          <w:u w:val="single"/>
          <w:lang w:eastAsia="en-AU"/>
        </w:rPr>
      </w:pPr>
    </w:p>
    <w:p w14:paraId="112CFF35" w14:textId="77777777" w:rsidR="007902BC" w:rsidRPr="007902BC" w:rsidRDefault="007902BC" w:rsidP="007902BC">
      <w:pPr>
        <w:tabs>
          <w:tab w:val="left" w:pos="601"/>
        </w:tabs>
        <w:spacing w:after="0" w:line="240" w:lineRule="auto"/>
        <w:ind w:left="601" w:hanging="601"/>
        <w:rPr>
          <w:rFonts w:ascii="Times New Roman" w:eastAsia="Times New Roman" w:hAnsi="Times New Roman" w:cs="Times New Roman"/>
          <w:b/>
          <w:sz w:val="24"/>
          <w:szCs w:val="24"/>
          <w:lang w:eastAsia="en-AU"/>
        </w:rPr>
      </w:pPr>
      <w:r w:rsidRPr="007902BC">
        <w:rPr>
          <w:rFonts w:ascii="Times New Roman" w:eastAsia="Times New Roman" w:hAnsi="Times New Roman" w:cs="Times New Roman"/>
          <w:b/>
          <w:sz w:val="24"/>
          <w:szCs w:val="24"/>
          <w:lang w:eastAsia="en-AU"/>
        </w:rPr>
        <w:t>Overview of the Disallowable Legislative Instrument</w:t>
      </w:r>
    </w:p>
    <w:p w14:paraId="06476195" w14:textId="77777777" w:rsidR="007902BC" w:rsidRPr="00463773" w:rsidRDefault="007902BC" w:rsidP="007902BC">
      <w:pPr>
        <w:tabs>
          <w:tab w:val="left" w:pos="601"/>
        </w:tabs>
        <w:spacing w:after="0" w:line="240" w:lineRule="auto"/>
        <w:rPr>
          <w:rFonts w:ascii="Times New Roman" w:eastAsia="Calibri" w:hAnsi="Times New Roman" w:cs="Times New Roman"/>
          <w:sz w:val="24"/>
          <w:szCs w:val="24"/>
        </w:rPr>
      </w:pPr>
    </w:p>
    <w:p w14:paraId="7B7755FC" w14:textId="76E099D5" w:rsidR="007902BC" w:rsidRPr="007902BC" w:rsidRDefault="007902BC" w:rsidP="007902BC">
      <w:pPr>
        <w:shd w:val="clear" w:color="auto" w:fill="FFFFFF"/>
        <w:spacing w:after="240" w:line="264" w:lineRule="auto"/>
        <w:rPr>
          <w:rFonts w:ascii="Times New Roman" w:eastAsia="Times New Roman" w:hAnsi="Times New Roman" w:cs="Times New Roman"/>
          <w:sz w:val="24"/>
          <w:szCs w:val="24"/>
          <w:lang w:eastAsia="en-AU"/>
        </w:rPr>
      </w:pPr>
      <w:r w:rsidRPr="00463773">
        <w:rPr>
          <w:rFonts w:ascii="Times New Roman" w:eastAsia="Times New Roman" w:hAnsi="Times New Roman" w:cs="Times New Roman"/>
          <w:sz w:val="24"/>
          <w:szCs w:val="24"/>
          <w:lang w:eastAsia="en-AU"/>
        </w:rPr>
        <w:t xml:space="preserve">The </w:t>
      </w:r>
      <w:r w:rsidR="006A6C2D" w:rsidRPr="006A6C2D">
        <w:rPr>
          <w:rFonts w:ascii="Times New Roman" w:hAnsi="Times New Roman" w:cs="Times New Roman"/>
          <w:i/>
          <w:sz w:val="24"/>
          <w:szCs w:val="24"/>
        </w:rPr>
        <w:t>Migration (MARA—Extension of eligible period for restricted legal practitioners) Instrument (LIN 21/020) 2021</w:t>
      </w:r>
      <w:r w:rsidR="00463773" w:rsidRPr="00463773">
        <w:rPr>
          <w:rFonts w:ascii="Times New Roman" w:eastAsia="Times New Roman" w:hAnsi="Times New Roman" w:cs="Times New Roman"/>
          <w:i/>
          <w:sz w:val="24"/>
          <w:szCs w:val="24"/>
          <w:lang w:eastAsia="en-AU"/>
        </w:rPr>
        <w:t xml:space="preserve"> </w:t>
      </w:r>
      <w:r w:rsidRPr="00463773">
        <w:rPr>
          <w:rFonts w:ascii="Times New Roman" w:eastAsia="Times New Roman" w:hAnsi="Times New Roman" w:cs="Times New Roman"/>
          <w:sz w:val="24"/>
          <w:szCs w:val="24"/>
          <w:lang w:eastAsia="en-AU"/>
        </w:rPr>
        <w:t>(</w:t>
      </w:r>
      <w:r w:rsidRPr="007902BC">
        <w:rPr>
          <w:rFonts w:ascii="Times New Roman" w:eastAsia="Times New Roman" w:hAnsi="Times New Roman" w:cs="Times New Roman"/>
          <w:sz w:val="24"/>
          <w:szCs w:val="24"/>
          <w:lang w:eastAsia="en-AU"/>
        </w:rPr>
        <w:t xml:space="preserve">the Instrument) is made under subsection </w:t>
      </w:r>
      <w:proofErr w:type="gramStart"/>
      <w:r w:rsidRPr="007902BC">
        <w:rPr>
          <w:rFonts w:ascii="Times New Roman" w:eastAsia="Times New Roman" w:hAnsi="Times New Roman" w:cs="Times New Roman"/>
          <w:sz w:val="24"/>
          <w:szCs w:val="24"/>
          <w:lang w:eastAsia="en-AU"/>
        </w:rPr>
        <w:t>278A(</w:t>
      </w:r>
      <w:proofErr w:type="gramEnd"/>
      <w:r w:rsidRPr="007902BC">
        <w:rPr>
          <w:rFonts w:ascii="Times New Roman" w:eastAsia="Times New Roman" w:hAnsi="Times New Roman" w:cs="Times New Roman"/>
          <w:sz w:val="24"/>
          <w:szCs w:val="24"/>
          <w:lang w:eastAsia="en-AU"/>
        </w:rPr>
        <w:t xml:space="preserve">9) of the </w:t>
      </w:r>
      <w:r w:rsidRPr="007902BC">
        <w:rPr>
          <w:rFonts w:ascii="Times New Roman" w:eastAsia="Times New Roman" w:hAnsi="Times New Roman" w:cs="Times New Roman"/>
          <w:i/>
          <w:sz w:val="24"/>
          <w:szCs w:val="24"/>
          <w:lang w:eastAsia="en-AU"/>
        </w:rPr>
        <w:t xml:space="preserve">Migration Act 1958 </w:t>
      </w:r>
      <w:r w:rsidRPr="007902BC">
        <w:rPr>
          <w:rFonts w:ascii="Times New Roman" w:eastAsia="Times New Roman" w:hAnsi="Times New Roman" w:cs="Times New Roman"/>
          <w:sz w:val="24"/>
          <w:szCs w:val="24"/>
          <w:lang w:eastAsia="en-AU"/>
        </w:rPr>
        <w:t xml:space="preserve">(the Act). </w:t>
      </w:r>
    </w:p>
    <w:p w14:paraId="2C2AA1FA" w14:textId="4DC4AC49" w:rsidR="007902BC" w:rsidRPr="007902BC" w:rsidRDefault="007902BC" w:rsidP="007902BC">
      <w:pPr>
        <w:shd w:val="clear" w:color="auto" w:fill="FFFFFF"/>
        <w:spacing w:after="240" w:line="264" w:lineRule="auto"/>
        <w:rPr>
          <w:rFonts w:ascii="Times New Roman" w:eastAsia="Times New Roman" w:hAnsi="Times New Roman" w:cs="Times New Roman"/>
          <w:sz w:val="24"/>
          <w:szCs w:val="24"/>
          <w:lang w:eastAsia="en-AU"/>
        </w:rPr>
      </w:pPr>
      <w:r w:rsidRPr="007902BC">
        <w:rPr>
          <w:rFonts w:ascii="Times New Roman" w:eastAsia="Times New Roman" w:hAnsi="Times New Roman" w:cs="Times New Roman"/>
          <w:sz w:val="24"/>
          <w:szCs w:val="24"/>
          <w:lang w:eastAsia="en-AU"/>
        </w:rPr>
        <w:t>The Instrument specifies circumstances that the Migration Agents Registration Authority (MARA) is to consider when deciding whether there are reasonable circumstances for extension of the eligible p</w:t>
      </w:r>
      <w:r w:rsidRPr="00590896">
        <w:rPr>
          <w:rFonts w:ascii="Times New Roman" w:eastAsia="Times New Roman" w:hAnsi="Times New Roman" w:cs="Times New Roman"/>
          <w:sz w:val="24"/>
          <w:szCs w:val="24"/>
          <w:lang w:eastAsia="en-AU"/>
        </w:rPr>
        <w:t xml:space="preserve">eriod during which a restricted legal practitioner can be registered with the MARA. The Instrument specifies the following circumstances: </w:t>
      </w:r>
      <w:r w:rsidR="00590896" w:rsidRPr="00590896">
        <w:rPr>
          <w:rFonts w:ascii="Times New Roman" w:eastAsia="Times New Roman" w:hAnsi="Times New Roman" w:cs="Times New Roman"/>
          <w:sz w:val="24"/>
          <w:szCs w:val="24"/>
          <w:lang w:eastAsia="en-AU"/>
        </w:rPr>
        <w:t>employment, business and volunteering commitments</w:t>
      </w:r>
      <w:r w:rsidRPr="00590896">
        <w:rPr>
          <w:rFonts w:ascii="Times New Roman" w:eastAsia="Times New Roman" w:hAnsi="Times New Roman" w:cs="Times New Roman"/>
          <w:sz w:val="24"/>
          <w:szCs w:val="24"/>
          <w:lang w:eastAsia="en-AU"/>
        </w:rPr>
        <w:t xml:space="preserve">, </w:t>
      </w:r>
      <w:r w:rsidR="00590896" w:rsidRPr="00590896">
        <w:rPr>
          <w:rFonts w:ascii="Times New Roman" w:eastAsia="Times New Roman" w:hAnsi="Times New Roman" w:cs="Times New Roman"/>
          <w:sz w:val="24"/>
          <w:szCs w:val="24"/>
          <w:lang w:eastAsia="en-AU"/>
        </w:rPr>
        <w:t>financial circumstances,</w:t>
      </w:r>
      <w:r w:rsidR="00590896" w:rsidRPr="003B5A3C">
        <w:rPr>
          <w:rFonts w:ascii="Times New Roman" w:hAnsi="Times New Roman"/>
          <w:sz w:val="24"/>
          <w:szCs w:val="24"/>
        </w:rPr>
        <w:t xml:space="preserve"> </w:t>
      </w:r>
      <w:r w:rsidR="00AD6698">
        <w:rPr>
          <w:rFonts w:ascii="Times New Roman" w:hAnsi="Times New Roman"/>
          <w:sz w:val="24"/>
          <w:szCs w:val="24"/>
        </w:rPr>
        <w:t xml:space="preserve">any </w:t>
      </w:r>
      <w:r w:rsidR="00590896" w:rsidRPr="003B5A3C">
        <w:rPr>
          <w:rFonts w:ascii="Times New Roman" w:hAnsi="Times New Roman"/>
          <w:sz w:val="24"/>
          <w:szCs w:val="24"/>
        </w:rPr>
        <w:t>attempt to secure a supervised legal practice placement</w:t>
      </w:r>
      <w:r w:rsidR="00AD6698" w:rsidRPr="00AD6698">
        <w:rPr>
          <w:rFonts w:ascii="Times New Roman" w:hAnsi="Times New Roman" w:cs="Times New Roman"/>
        </w:rPr>
        <w:t xml:space="preserve"> </w:t>
      </w:r>
      <w:r w:rsidR="00AD6698" w:rsidRPr="004774DD">
        <w:rPr>
          <w:rFonts w:ascii="Times New Roman" w:hAnsi="Times New Roman" w:cs="Times New Roman"/>
        </w:rPr>
        <w:t>on a full</w:t>
      </w:r>
      <w:r w:rsidR="00AD6698" w:rsidRPr="004774DD">
        <w:rPr>
          <w:rFonts w:ascii="Times New Roman" w:hAnsi="Times New Roman" w:cs="Times New Roman"/>
        </w:rPr>
        <w:noBreakHyphen/>
        <w:t>time basis for a two-year period</w:t>
      </w:r>
      <w:r w:rsidR="00590896" w:rsidRPr="003B5A3C">
        <w:rPr>
          <w:rFonts w:ascii="Times New Roman" w:hAnsi="Times New Roman"/>
          <w:sz w:val="24"/>
          <w:szCs w:val="24"/>
        </w:rPr>
        <w:t xml:space="preserve">, </w:t>
      </w:r>
      <w:r w:rsidR="00590896" w:rsidRPr="00590896">
        <w:rPr>
          <w:rFonts w:ascii="Times New Roman" w:eastAsia="Times New Roman" w:hAnsi="Times New Roman" w:cs="Times New Roman"/>
          <w:sz w:val="24"/>
          <w:szCs w:val="24"/>
          <w:lang w:eastAsia="en-AU"/>
        </w:rPr>
        <w:t>study commitments, family responsibilities, medical condition</w:t>
      </w:r>
      <w:r w:rsidR="008C49FC">
        <w:rPr>
          <w:rFonts w:ascii="Times New Roman" w:eastAsia="Times New Roman" w:hAnsi="Times New Roman" w:cs="Times New Roman"/>
          <w:sz w:val="24"/>
          <w:szCs w:val="24"/>
          <w:lang w:eastAsia="en-AU"/>
        </w:rPr>
        <w:t>s</w:t>
      </w:r>
      <w:r w:rsidR="00590896" w:rsidRPr="00590896">
        <w:rPr>
          <w:rFonts w:ascii="Times New Roman" w:eastAsia="Times New Roman" w:hAnsi="Times New Roman" w:cs="Times New Roman"/>
          <w:sz w:val="24"/>
          <w:szCs w:val="24"/>
          <w:lang w:eastAsia="en-AU"/>
        </w:rPr>
        <w:t xml:space="preserve"> and </w:t>
      </w:r>
      <w:r w:rsidR="008C49FC">
        <w:rPr>
          <w:rFonts w:ascii="Times New Roman" w:eastAsia="Times New Roman" w:hAnsi="Times New Roman" w:cs="Times New Roman"/>
          <w:sz w:val="24"/>
          <w:szCs w:val="24"/>
          <w:lang w:eastAsia="en-AU"/>
        </w:rPr>
        <w:t xml:space="preserve">any </w:t>
      </w:r>
      <w:r w:rsidR="00590896" w:rsidRPr="00590896">
        <w:rPr>
          <w:rFonts w:ascii="Times New Roman" w:eastAsia="Times New Roman" w:hAnsi="Times New Roman" w:cs="Times New Roman"/>
          <w:sz w:val="24"/>
          <w:szCs w:val="24"/>
          <w:lang w:eastAsia="en-AU"/>
        </w:rPr>
        <w:t>other hardship applies to the</w:t>
      </w:r>
      <w:r w:rsidR="008C49FC">
        <w:rPr>
          <w:rFonts w:ascii="Times New Roman" w:eastAsia="Times New Roman" w:hAnsi="Times New Roman" w:cs="Times New Roman"/>
          <w:sz w:val="24"/>
          <w:szCs w:val="24"/>
          <w:lang w:eastAsia="en-AU"/>
        </w:rPr>
        <w:t xml:space="preserve"> eligible</w:t>
      </w:r>
      <w:r w:rsidR="00590896" w:rsidRPr="00590896">
        <w:rPr>
          <w:rFonts w:ascii="Times New Roman" w:eastAsia="Times New Roman" w:hAnsi="Times New Roman" w:cs="Times New Roman"/>
          <w:sz w:val="24"/>
          <w:szCs w:val="24"/>
          <w:lang w:eastAsia="en-AU"/>
        </w:rPr>
        <w:t xml:space="preserve"> restricted legal practitioners</w:t>
      </w:r>
      <w:r w:rsidR="008C49FC">
        <w:rPr>
          <w:rFonts w:ascii="Times New Roman" w:eastAsia="Times New Roman" w:hAnsi="Times New Roman" w:cs="Times New Roman"/>
          <w:sz w:val="24"/>
          <w:szCs w:val="24"/>
          <w:lang w:eastAsia="en-AU"/>
        </w:rPr>
        <w:t xml:space="preserve"> who have made </w:t>
      </w:r>
      <w:r w:rsidR="008C49FC" w:rsidRPr="008C49FC">
        <w:rPr>
          <w:rFonts w:ascii="Times New Roman" w:eastAsia="Times New Roman" w:hAnsi="Times New Roman" w:cs="Times New Roman"/>
          <w:sz w:val="24"/>
          <w:szCs w:val="24"/>
          <w:lang w:eastAsia="en-AU"/>
        </w:rPr>
        <w:t>application</w:t>
      </w:r>
      <w:r w:rsidR="008C49FC">
        <w:rPr>
          <w:rFonts w:ascii="Times New Roman" w:eastAsia="Times New Roman" w:hAnsi="Times New Roman" w:cs="Times New Roman"/>
          <w:sz w:val="24"/>
          <w:szCs w:val="24"/>
          <w:lang w:eastAsia="en-AU"/>
        </w:rPr>
        <w:t>s</w:t>
      </w:r>
      <w:r w:rsidR="008C49FC" w:rsidRPr="008C49FC">
        <w:rPr>
          <w:rFonts w:ascii="Times New Roman" w:eastAsia="Times New Roman" w:hAnsi="Times New Roman" w:cs="Times New Roman"/>
          <w:sz w:val="24"/>
          <w:szCs w:val="24"/>
          <w:lang w:eastAsia="en-AU"/>
        </w:rPr>
        <w:t xml:space="preserve"> under subsection 278A(4) of the Act</w:t>
      </w:r>
      <w:r w:rsidRPr="00590896">
        <w:rPr>
          <w:rFonts w:ascii="Times New Roman" w:eastAsia="Times New Roman" w:hAnsi="Times New Roman" w:cs="Times New Roman"/>
          <w:sz w:val="24"/>
          <w:szCs w:val="24"/>
          <w:lang w:eastAsia="en-AU"/>
        </w:rPr>
        <w:t>. The MARA is not limited to the circumstances specified in the Instrument. This part of the Instrument complements the following provisions of the Act:</w:t>
      </w:r>
    </w:p>
    <w:p w14:paraId="7A94D05A" w14:textId="77777777" w:rsidR="007902BC" w:rsidRPr="007902BC" w:rsidRDefault="007902BC" w:rsidP="007902BC">
      <w:pPr>
        <w:numPr>
          <w:ilvl w:val="0"/>
          <w:numId w:val="3"/>
        </w:numPr>
        <w:shd w:val="clear" w:color="auto" w:fill="FFFFFF"/>
        <w:spacing w:before="240" w:after="240" w:line="264" w:lineRule="auto"/>
        <w:rPr>
          <w:rFonts w:ascii="Times New Roman" w:eastAsia="Times New Roman" w:hAnsi="Times New Roman" w:cs="Times New Roman"/>
          <w:sz w:val="24"/>
          <w:szCs w:val="24"/>
          <w:lang w:eastAsia="en-AU"/>
        </w:rPr>
      </w:pPr>
      <w:r w:rsidRPr="007902BC">
        <w:rPr>
          <w:rFonts w:ascii="Times New Roman" w:eastAsia="Times New Roman" w:hAnsi="Times New Roman" w:cs="Times New Roman"/>
          <w:sz w:val="24"/>
          <w:szCs w:val="24"/>
          <w:lang w:eastAsia="en-AU"/>
        </w:rPr>
        <w:t xml:space="preserve">Subsection 278A(3), which provides that the eligible period is the period of 2 years after the person first held a restricted practicing certificate. </w:t>
      </w:r>
    </w:p>
    <w:p w14:paraId="3A0A1969" w14:textId="77777777" w:rsidR="007902BC" w:rsidRPr="007902BC" w:rsidRDefault="007902BC" w:rsidP="007902BC">
      <w:pPr>
        <w:numPr>
          <w:ilvl w:val="0"/>
          <w:numId w:val="3"/>
        </w:numPr>
        <w:shd w:val="clear" w:color="auto" w:fill="FFFFFF"/>
        <w:spacing w:before="240" w:after="240" w:line="264" w:lineRule="auto"/>
        <w:rPr>
          <w:rFonts w:ascii="Times New Roman" w:eastAsia="Times New Roman" w:hAnsi="Times New Roman" w:cs="Times New Roman"/>
          <w:sz w:val="24"/>
          <w:szCs w:val="24"/>
          <w:lang w:eastAsia="en-AU"/>
        </w:rPr>
      </w:pPr>
      <w:r w:rsidRPr="007902BC">
        <w:rPr>
          <w:rFonts w:ascii="Times New Roman" w:eastAsia="Times New Roman" w:hAnsi="Times New Roman" w:cs="Times New Roman"/>
          <w:sz w:val="24"/>
          <w:szCs w:val="24"/>
          <w:lang w:eastAsia="en-AU"/>
        </w:rPr>
        <w:t xml:space="preserve">Subsection </w:t>
      </w:r>
      <w:proofErr w:type="gramStart"/>
      <w:r w:rsidRPr="007902BC">
        <w:rPr>
          <w:rFonts w:ascii="Times New Roman" w:eastAsia="Times New Roman" w:hAnsi="Times New Roman" w:cs="Times New Roman"/>
          <w:sz w:val="24"/>
          <w:szCs w:val="24"/>
          <w:lang w:eastAsia="en-AU"/>
        </w:rPr>
        <w:t>278A(</w:t>
      </w:r>
      <w:proofErr w:type="gramEnd"/>
      <w:r w:rsidRPr="007902BC">
        <w:rPr>
          <w:rFonts w:ascii="Times New Roman" w:eastAsia="Times New Roman" w:hAnsi="Times New Roman" w:cs="Times New Roman"/>
          <w:sz w:val="24"/>
          <w:szCs w:val="24"/>
          <w:lang w:eastAsia="en-AU"/>
        </w:rPr>
        <w:t xml:space="preserve">4), which provides that the MARA may extend the eligible period for a period of up to 2 years. </w:t>
      </w:r>
    </w:p>
    <w:p w14:paraId="307DAFC8" w14:textId="77777777" w:rsidR="007902BC" w:rsidRPr="007902BC" w:rsidRDefault="007902BC" w:rsidP="007902BC">
      <w:pPr>
        <w:numPr>
          <w:ilvl w:val="0"/>
          <w:numId w:val="3"/>
        </w:numPr>
        <w:shd w:val="clear" w:color="auto" w:fill="FFFFFF"/>
        <w:spacing w:before="240" w:after="240" w:line="264" w:lineRule="auto"/>
        <w:rPr>
          <w:rFonts w:ascii="Times New Roman" w:eastAsia="Times New Roman" w:hAnsi="Times New Roman" w:cs="Times New Roman"/>
          <w:sz w:val="24"/>
          <w:szCs w:val="24"/>
          <w:lang w:eastAsia="en-AU"/>
        </w:rPr>
      </w:pPr>
      <w:r w:rsidRPr="007902BC">
        <w:rPr>
          <w:rFonts w:ascii="Times New Roman" w:eastAsia="Times New Roman" w:hAnsi="Times New Roman" w:cs="Times New Roman"/>
          <w:sz w:val="24"/>
          <w:szCs w:val="24"/>
          <w:lang w:eastAsia="en-AU"/>
        </w:rPr>
        <w:t xml:space="preserve">Subsection </w:t>
      </w:r>
      <w:proofErr w:type="gramStart"/>
      <w:r w:rsidRPr="007902BC">
        <w:rPr>
          <w:rFonts w:ascii="Times New Roman" w:eastAsia="Times New Roman" w:hAnsi="Times New Roman" w:cs="Times New Roman"/>
          <w:sz w:val="24"/>
          <w:szCs w:val="24"/>
          <w:lang w:eastAsia="en-AU"/>
        </w:rPr>
        <w:t>278A(</w:t>
      </w:r>
      <w:proofErr w:type="gramEnd"/>
      <w:r w:rsidRPr="007902BC">
        <w:rPr>
          <w:rFonts w:ascii="Times New Roman" w:eastAsia="Times New Roman" w:hAnsi="Times New Roman" w:cs="Times New Roman"/>
          <w:sz w:val="24"/>
          <w:szCs w:val="24"/>
          <w:lang w:eastAsia="en-AU"/>
        </w:rPr>
        <w:t xml:space="preserve">7), which provides that the MARA may only extend the eligible period by a particular period if the MARA considers it reasonable to do so in the circumstances. </w:t>
      </w:r>
    </w:p>
    <w:p w14:paraId="60CD4EF1" w14:textId="0D1245B0" w:rsidR="007902BC" w:rsidRPr="007902BC" w:rsidRDefault="007902BC" w:rsidP="007902BC">
      <w:pPr>
        <w:shd w:val="clear" w:color="auto" w:fill="FFFFFF"/>
        <w:spacing w:after="240" w:line="264" w:lineRule="auto"/>
        <w:rPr>
          <w:rFonts w:ascii="Times New Roman" w:eastAsia="Times New Roman" w:hAnsi="Times New Roman" w:cs="Times New Roman"/>
          <w:sz w:val="24"/>
          <w:szCs w:val="24"/>
          <w:lang w:eastAsia="en-AU"/>
        </w:rPr>
      </w:pPr>
      <w:r w:rsidRPr="007902BC">
        <w:rPr>
          <w:rFonts w:ascii="Times New Roman" w:eastAsia="Times New Roman" w:hAnsi="Times New Roman" w:cs="Times New Roman"/>
          <w:sz w:val="24"/>
          <w:szCs w:val="24"/>
          <w:lang w:eastAsia="en-AU"/>
        </w:rPr>
        <w:t xml:space="preserve">The Instrument also specifies the details to be included in the notice of the decision by the MARA to grant or not to grant an extension of the eligible period. The Instrument specifies the following details to be included in the notice of the decision: reasons for the decision, findings on material questions of fact </w:t>
      </w:r>
      <w:r w:rsidR="001A7920" w:rsidRPr="006C4C3A">
        <w:rPr>
          <w:rFonts w:ascii="Times New Roman" w:hAnsi="Times New Roman"/>
          <w:szCs w:val="24"/>
        </w:rPr>
        <w:t>relied upon in making the decision</w:t>
      </w:r>
      <w:r w:rsidR="001A7920">
        <w:rPr>
          <w:rFonts w:ascii="Times New Roman" w:hAnsi="Times New Roman"/>
          <w:szCs w:val="24"/>
        </w:rPr>
        <w:t xml:space="preserve"> </w:t>
      </w:r>
      <w:r w:rsidRPr="007902BC">
        <w:rPr>
          <w:rFonts w:ascii="Times New Roman" w:eastAsia="Times New Roman" w:hAnsi="Times New Roman" w:cs="Times New Roman"/>
          <w:sz w:val="24"/>
          <w:szCs w:val="24"/>
          <w:lang w:eastAsia="en-AU"/>
        </w:rPr>
        <w:t>and reference to the evidence that the applicant’s circumstances warranted the time extension by the MARA. The Instrument complements subsection</w:t>
      </w:r>
      <w:r w:rsidR="00590896">
        <w:rPr>
          <w:rFonts w:ascii="Times New Roman" w:eastAsia="Times New Roman" w:hAnsi="Times New Roman" w:cs="Times New Roman"/>
          <w:sz w:val="24"/>
          <w:szCs w:val="24"/>
          <w:lang w:eastAsia="en-AU"/>
        </w:rPr>
        <w:t> </w:t>
      </w:r>
      <w:proofErr w:type="gramStart"/>
      <w:r w:rsidRPr="007902BC">
        <w:rPr>
          <w:rFonts w:ascii="Times New Roman" w:eastAsia="Times New Roman" w:hAnsi="Times New Roman" w:cs="Times New Roman"/>
          <w:sz w:val="24"/>
          <w:szCs w:val="24"/>
          <w:lang w:eastAsia="en-AU"/>
        </w:rPr>
        <w:t>278A(</w:t>
      </w:r>
      <w:proofErr w:type="gramEnd"/>
      <w:r w:rsidRPr="007902BC">
        <w:rPr>
          <w:rFonts w:ascii="Times New Roman" w:eastAsia="Times New Roman" w:hAnsi="Times New Roman" w:cs="Times New Roman"/>
          <w:sz w:val="24"/>
          <w:szCs w:val="24"/>
          <w:lang w:eastAsia="en-AU"/>
        </w:rPr>
        <w:t>8) of the Act, which provides that the notice of the decision must include any details determined under subsection 278A(9).</w:t>
      </w:r>
    </w:p>
    <w:p w14:paraId="3F5A51BC" w14:textId="77777777" w:rsidR="007902BC" w:rsidRPr="007902BC" w:rsidRDefault="007902BC" w:rsidP="003B5A3C">
      <w:pPr>
        <w:keepNext/>
        <w:spacing w:after="240" w:line="240" w:lineRule="auto"/>
        <w:rPr>
          <w:rFonts w:ascii="Times New Roman" w:eastAsia="Times New Roman" w:hAnsi="Times New Roman" w:cs="Times New Roman"/>
          <w:sz w:val="24"/>
          <w:szCs w:val="20"/>
          <w:lang w:eastAsia="en-AU"/>
        </w:rPr>
      </w:pPr>
      <w:r w:rsidRPr="007902BC">
        <w:rPr>
          <w:rFonts w:ascii="Times New Roman" w:eastAsia="Times New Roman" w:hAnsi="Times New Roman" w:cs="Times New Roman"/>
          <w:b/>
          <w:sz w:val="24"/>
          <w:szCs w:val="24"/>
          <w:lang w:eastAsia="en-AU"/>
        </w:rPr>
        <w:lastRenderedPageBreak/>
        <w:t>Human rights implications</w:t>
      </w:r>
    </w:p>
    <w:p w14:paraId="06FE7F81" w14:textId="77777777" w:rsidR="007902BC" w:rsidRPr="007902BC" w:rsidRDefault="007902BC" w:rsidP="007902BC">
      <w:pPr>
        <w:spacing w:after="240" w:line="240" w:lineRule="auto"/>
        <w:rPr>
          <w:rFonts w:ascii="Times New Roman" w:eastAsia="Times New Roman" w:hAnsi="Times New Roman" w:cs="Times New Roman"/>
          <w:sz w:val="24"/>
          <w:szCs w:val="20"/>
          <w:lang w:eastAsia="en-AU"/>
        </w:rPr>
      </w:pPr>
      <w:r w:rsidRPr="007902BC">
        <w:rPr>
          <w:rFonts w:ascii="Times New Roman" w:eastAsia="Times New Roman" w:hAnsi="Times New Roman" w:cs="Times New Roman"/>
          <w:sz w:val="24"/>
          <w:szCs w:val="20"/>
          <w:lang w:eastAsia="en-AU"/>
        </w:rPr>
        <w:t>This Disallowable Legislative Instrument does not engage any of the applicable human rights or freedoms.</w:t>
      </w:r>
    </w:p>
    <w:p w14:paraId="6C6E220C" w14:textId="77777777" w:rsidR="007902BC" w:rsidRPr="007902BC" w:rsidRDefault="007902BC" w:rsidP="007902BC">
      <w:pPr>
        <w:keepNext/>
        <w:tabs>
          <w:tab w:val="left" w:pos="601"/>
        </w:tabs>
        <w:spacing w:after="240" w:line="240" w:lineRule="auto"/>
        <w:ind w:left="601" w:hanging="601"/>
        <w:rPr>
          <w:rFonts w:ascii="Times New Roman" w:eastAsia="Times New Roman" w:hAnsi="Times New Roman" w:cs="Times New Roman"/>
          <w:b/>
          <w:sz w:val="24"/>
          <w:szCs w:val="24"/>
          <w:lang w:eastAsia="en-AU"/>
        </w:rPr>
      </w:pPr>
      <w:r w:rsidRPr="007902BC">
        <w:rPr>
          <w:rFonts w:ascii="Times New Roman" w:eastAsia="Times New Roman" w:hAnsi="Times New Roman" w:cs="Times New Roman"/>
          <w:b/>
          <w:sz w:val="24"/>
          <w:szCs w:val="24"/>
          <w:lang w:eastAsia="en-AU"/>
        </w:rPr>
        <w:t>Conclusion</w:t>
      </w:r>
    </w:p>
    <w:p w14:paraId="581D0A50" w14:textId="77777777" w:rsidR="007902BC" w:rsidRPr="007902BC" w:rsidRDefault="007902BC" w:rsidP="007902BC">
      <w:pPr>
        <w:spacing w:after="240" w:line="240" w:lineRule="auto"/>
        <w:rPr>
          <w:rFonts w:ascii="Times New Roman" w:eastAsia="Times New Roman" w:hAnsi="Times New Roman" w:cs="Times New Roman"/>
          <w:sz w:val="24"/>
          <w:szCs w:val="20"/>
          <w:lang w:eastAsia="en-AU"/>
        </w:rPr>
      </w:pPr>
      <w:r w:rsidRPr="007902BC">
        <w:rPr>
          <w:rFonts w:ascii="Times New Roman" w:eastAsia="Times New Roman" w:hAnsi="Times New Roman" w:cs="Times New Roman"/>
          <w:sz w:val="24"/>
          <w:szCs w:val="20"/>
          <w:lang w:eastAsia="en-AU"/>
        </w:rPr>
        <w:t>This Disallowable Legislative Instrument is compatible with human rights as it does not raise any human rights issues.</w:t>
      </w:r>
    </w:p>
    <w:p w14:paraId="6D2184E3" w14:textId="77777777" w:rsidR="007902BC" w:rsidRPr="007902BC" w:rsidRDefault="007902BC" w:rsidP="007902BC">
      <w:pPr>
        <w:keepNext/>
        <w:keepLines/>
        <w:spacing w:after="0" w:line="240" w:lineRule="auto"/>
        <w:jc w:val="center"/>
        <w:rPr>
          <w:rFonts w:ascii="Times New Roman" w:eastAsia="Calibri" w:hAnsi="Times New Roman" w:cs="Times New Roman"/>
          <w:b/>
          <w:sz w:val="24"/>
          <w:szCs w:val="24"/>
        </w:rPr>
      </w:pPr>
      <w:r w:rsidRPr="007902BC">
        <w:rPr>
          <w:rFonts w:ascii="Times New Roman" w:eastAsia="Calibri" w:hAnsi="Times New Roman" w:cs="Times New Roman"/>
          <w:b/>
          <w:sz w:val="24"/>
          <w:szCs w:val="24"/>
        </w:rPr>
        <w:t>The Hon Jason Wood MP, Assistant Minister for Customs, Community Safety and Multicultural Affairs</w:t>
      </w:r>
    </w:p>
    <w:p w14:paraId="178EBCA0" w14:textId="77777777" w:rsidR="00915032" w:rsidRPr="00915032" w:rsidRDefault="00915032" w:rsidP="00915032">
      <w:pPr>
        <w:spacing w:before="240" w:after="240" w:line="276" w:lineRule="auto"/>
        <w:rPr>
          <w:rFonts w:ascii="Times New Roman" w:hAnsi="Times New Roman" w:cs="Times New Roman"/>
          <w:b/>
        </w:rPr>
      </w:pPr>
    </w:p>
    <w:sectPr w:rsidR="00915032" w:rsidRPr="00915032" w:rsidSect="00FA7139">
      <w:footerReference w:type="default" r:id="rId7"/>
      <w:pgSz w:w="11906" w:h="16838"/>
      <w:pgMar w:top="1440" w:right="1080" w:bottom="1276"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692EA" w14:textId="77777777" w:rsidR="0011467F" w:rsidRDefault="0011467F" w:rsidP="00FA7139">
      <w:pPr>
        <w:spacing w:after="0" w:line="240" w:lineRule="auto"/>
      </w:pPr>
      <w:r>
        <w:separator/>
      </w:r>
    </w:p>
  </w:endnote>
  <w:endnote w:type="continuationSeparator" w:id="0">
    <w:p w14:paraId="01B356DF" w14:textId="77777777" w:rsidR="0011467F" w:rsidRDefault="0011467F" w:rsidP="00FA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745C2" w14:textId="6CF29D8E" w:rsidR="00FA7139" w:rsidRPr="00FA7139" w:rsidRDefault="00FA7139" w:rsidP="00FA7139">
    <w:pPr>
      <w:pStyle w:val="Footer"/>
      <w:pBdr>
        <w:top w:val="single" w:sz="4" w:space="1" w:color="auto"/>
      </w:pBdr>
      <w:tabs>
        <w:tab w:val="clear" w:pos="9026"/>
        <w:tab w:val="right" w:pos="9746"/>
      </w:tabs>
      <w:rPr>
        <w:rFonts w:ascii="Arial" w:hAnsi="Arial" w:cs="Arial"/>
        <w:sz w:val="16"/>
        <w:szCs w:val="16"/>
      </w:rPr>
    </w:pPr>
    <w:r w:rsidRPr="009777CE">
      <w:rPr>
        <w:rFonts w:ascii="Times New Roman" w:hAnsi="Times New Roman" w:cs="Times New Roman"/>
        <w:i/>
        <w:sz w:val="18"/>
        <w:szCs w:val="18"/>
      </w:rPr>
      <w:fldChar w:fldCharType="begin"/>
    </w:r>
    <w:r w:rsidRPr="009777CE">
      <w:rPr>
        <w:rFonts w:ascii="Times New Roman" w:hAnsi="Times New Roman" w:cs="Times New Roman"/>
        <w:i/>
        <w:sz w:val="18"/>
        <w:szCs w:val="18"/>
      </w:rPr>
      <w:instrText xml:space="preserve"> REF Title \h  \* MERGEFORMAT </w:instrText>
    </w:r>
    <w:r w:rsidRPr="009777CE">
      <w:rPr>
        <w:rFonts w:ascii="Times New Roman" w:hAnsi="Times New Roman" w:cs="Times New Roman"/>
        <w:i/>
        <w:sz w:val="18"/>
        <w:szCs w:val="18"/>
      </w:rPr>
    </w:r>
    <w:r w:rsidRPr="009777CE">
      <w:rPr>
        <w:rFonts w:ascii="Times New Roman" w:hAnsi="Times New Roman" w:cs="Times New Roman"/>
        <w:i/>
        <w:sz w:val="18"/>
        <w:szCs w:val="18"/>
      </w:rPr>
      <w:fldChar w:fldCharType="separate"/>
    </w:r>
    <w:r w:rsidR="00CA43DC" w:rsidRPr="00CA43DC">
      <w:rPr>
        <w:rFonts w:ascii="Times New Roman" w:hAnsi="Times New Roman" w:cs="Times New Roman"/>
        <w:i/>
        <w:sz w:val="18"/>
        <w:szCs w:val="18"/>
      </w:rPr>
      <w:t>Migration (MARA—Extension of eligible period for restricted legal practitioners) Instrument (LIN 21/020) 2021</w:t>
    </w:r>
    <w:r w:rsidRPr="009777CE">
      <w:rPr>
        <w:rFonts w:ascii="Times New Roman" w:hAnsi="Times New Roman" w:cs="Times New Roman"/>
        <w:i/>
        <w:sz w:val="18"/>
        <w:szCs w:val="18"/>
      </w:rPr>
      <w:fldChar w:fldCharType="end"/>
    </w:r>
    <w:r>
      <w:rPr>
        <w:rFonts w:ascii="Arial" w:hAnsi="Arial" w:cs="Arial"/>
        <w:sz w:val="16"/>
        <w:szCs w:val="16"/>
      </w:rPr>
      <w:tab/>
    </w:r>
    <w:r w:rsidR="002A1BD3">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15614C">
      <w:rPr>
        <w:rStyle w:val="PageNumber"/>
        <w:rFonts w:ascii="Arial" w:hAnsi="Arial" w:cs="Arial"/>
        <w:noProof/>
        <w:sz w:val="16"/>
        <w:szCs w:val="16"/>
      </w:rPr>
      <w:t>5</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00BCD" w14:textId="77777777" w:rsidR="0011467F" w:rsidRDefault="0011467F" w:rsidP="00FA7139">
      <w:pPr>
        <w:spacing w:after="0" w:line="240" w:lineRule="auto"/>
      </w:pPr>
      <w:r>
        <w:separator/>
      </w:r>
    </w:p>
  </w:footnote>
  <w:footnote w:type="continuationSeparator" w:id="0">
    <w:p w14:paraId="6B72B9DD" w14:textId="77777777" w:rsidR="0011467F" w:rsidRDefault="0011467F" w:rsidP="00FA7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7103FB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183A5C"/>
    <w:multiLevelType w:val="hybridMultilevel"/>
    <w:tmpl w:val="569AEA08"/>
    <w:lvl w:ilvl="0" w:tplc="DC462D46">
      <w:start w:val="1"/>
      <w:numFmt w:val="lowerLetter"/>
      <w:lvlText w:val="(%1)"/>
      <w:lvlJc w:val="left"/>
      <w:pPr>
        <w:ind w:left="128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AE532A9"/>
    <w:multiLevelType w:val="hybridMultilevel"/>
    <w:tmpl w:val="AB86C216"/>
    <w:lvl w:ilvl="0" w:tplc="60CE3BB0">
      <w:start w:val="1"/>
      <w:numFmt w:val="decimal"/>
      <w:pStyle w:val="ESPara"/>
      <w:lvlText w:val="%1"/>
      <w:lvlJc w:val="left"/>
      <w:pPr>
        <w:ind w:left="720" w:hanging="360"/>
      </w:pPr>
      <w:rPr>
        <w:rFonts w:hint="default"/>
        <w:b w:val="0"/>
        <w:i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44C4AA1"/>
    <w:multiLevelType w:val="hybridMultilevel"/>
    <w:tmpl w:val="7B1EA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8B22CF"/>
    <w:multiLevelType w:val="hybridMultilevel"/>
    <w:tmpl w:val="A35811AA"/>
    <w:lvl w:ilvl="0" w:tplc="C1545C0C">
      <w:start w:val="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trackedChange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67F"/>
    <w:rsid w:val="00017F48"/>
    <w:rsid w:val="00023741"/>
    <w:rsid w:val="00024120"/>
    <w:rsid w:val="000242D8"/>
    <w:rsid w:val="000349A5"/>
    <w:rsid w:val="00035725"/>
    <w:rsid w:val="00040F21"/>
    <w:rsid w:val="00043EC8"/>
    <w:rsid w:val="00044D49"/>
    <w:rsid w:val="000537AF"/>
    <w:rsid w:val="00055B9C"/>
    <w:rsid w:val="0006411E"/>
    <w:rsid w:val="00064F98"/>
    <w:rsid w:val="000967E4"/>
    <w:rsid w:val="000B1A86"/>
    <w:rsid w:val="000B368F"/>
    <w:rsid w:val="000B6976"/>
    <w:rsid w:val="000D014F"/>
    <w:rsid w:val="000D0AA1"/>
    <w:rsid w:val="000D6D5F"/>
    <w:rsid w:val="000E13EF"/>
    <w:rsid w:val="000F44F2"/>
    <w:rsid w:val="0011467F"/>
    <w:rsid w:val="00116186"/>
    <w:rsid w:val="00117772"/>
    <w:rsid w:val="00134920"/>
    <w:rsid w:val="001436C4"/>
    <w:rsid w:val="001462FC"/>
    <w:rsid w:val="0015614C"/>
    <w:rsid w:val="00174F73"/>
    <w:rsid w:val="001777EB"/>
    <w:rsid w:val="001906B5"/>
    <w:rsid w:val="0019164E"/>
    <w:rsid w:val="001A7920"/>
    <w:rsid w:val="001B65FA"/>
    <w:rsid w:val="001B7F0A"/>
    <w:rsid w:val="001D3587"/>
    <w:rsid w:val="001F0375"/>
    <w:rsid w:val="00207EE3"/>
    <w:rsid w:val="0021555F"/>
    <w:rsid w:val="00224BA3"/>
    <w:rsid w:val="0022562D"/>
    <w:rsid w:val="00227CFE"/>
    <w:rsid w:val="00235E00"/>
    <w:rsid w:val="00237295"/>
    <w:rsid w:val="002402E0"/>
    <w:rsid w:val="0024197C"/>
    <w:rsid w:val="00245AFD"/>
    <w:rsid w:val="00246D66"/>
    <w:rsid w:val="00251374"/>
    <w:rsid w:val="002664D0"/>
    <w:rsid w:val="00281267"/>
    <w:rsid w:val="002A1BD3"/>
    <w:rsid w:val="002A5A1E"/>
    <w:rsid w:val="002A7C78"/>
    <w:rsid w:val="002B1985"/>
    <w:rsid w:val="002C69F3"/>
    <w:rsid w:val="002D5E66"/>
    <w:rsid w:val="002E2708"/>
    <w:rsid w:val="002F0411"/>
    <w:rsid w:val="002F395B"/>
    <w:rsid w:val="002F41BE"/>
    <w:rsid w:val="00313D3D"/>
    <w:rsid w:val="00330DEF"/>
    <w:rsid w:val="00332FF6"/>
    <w:rsid w:val="00334511"/>
    <w:rsid w:val="003439FA"/>
    <w:rsid w:val="0036317C"/>
    <w:rsid w:val="0036679C"/>
    <w:rsid w:val="00370A62"/>
    <w:rsid w:val="00386DB2"/>
    <w:rsid w:val="00387561"/>
    <w:rsid w:val="003B06B9"/>
    <w:rsid w:val="003B0A36"/>
    <w:rsid w:val="003B24ED"/>
    <w:rsid w:val="003B5A3C"/>
    <w:rsid w:val="003C6007"/>
    <w:rsid w:val="003C68C9"/>
    <w:rsid w:val="003D296D"/>
    <w:rsid w:val="003D6B1E"/>
    <w:rsid w:val="003F40B2"/>
    <w:rsid w:val="003F570C"/>
    <w:rsid w:val="004038C6"/>
    <w:rsid w:val="00407597"/>
    <w:rsid w:val="0041570D"/>
    <w:rsid w:val="00423D2B"/>
    <w:rsid w:val="004260F2"/>
    <w:rsid w:val="004338E2"/>
    <w:rsid w:val="00442F41"/>
    <w:rsid w:val="00454E96"/>
    <w:rsid w:val="00457D4A"/>
    <w:rsid w:val="004603C5"/>
    <w:rsid w:val="00463773"/>
    <w:rsid w:val="00464080"/>
    <w:rsid w:val="00474D36"/>
    <w:rsid w:val="004774DD"/>
    <w:rsid w:val="004B754B"/>
    <w:rsid w:val="004F0E52"/>
    <w:rsid w:val="004F5A88"/>
    <w:rsid w:val="004F5CE4"/>
    <w:rsid w:val="00501C09"/>
    <w:rsid w:val="00507A97"/>
    <w:rsid w:val="0052652B"/>
    <w:rsid w:val="0055747D"/>
    <w:rsid w:val="005575FD"/>
    <w:rsid w:val="00560B24"/>
    <w:rsid w:val="00564DD6"/>
    <w:rsid w:val="0057002B"/>
    <w:rsid w:val="005816CD"/>
    <w:rsid w:val="00583272"/>
    <w:rsid w:val="005875C5"/>
    <w:rsid w:val="00590896"/>
    <w:rsid w:val="005B3BF3"/>
    <w:rsid w:val="005B630B"/>
    <w:rsid w:val="005B680D"/>
    <w:rsid w:val="005D6031"/>
    <w:rsid w:val="005F4F73"/>
    <w:rsid w:val="00635122"/>
    <w:rsid w:val="00652CC3"/>
    <w:rsid w:val="00666616"/>
    <w:rsid w:val="00666DF3"/>
    <w:rsid w:val="00670FC6"/>
    <w:rsid w:val="00683D9F"/>
    <w:rsid w:val="00686C5C"/>
    <w:rsid w:val="00697AA2"/>
    <w:rsid w:val="006A6C2D"/>
    <w:rsid w:val="006C4C3A"/>
    <w:rsid w:val="006E2B18"/>
    <w:rsid w:val="006E70F5"/>
    <w:rsid w:val="006F64F9"/>
    <w:rsid w:val="00721166"/>
    <w:rsid w:val="00721DBE"/>
    <w:rsid w:val="00736757"/>
    <w:rsid w:val="00741252"/>
    <w:rsid w:val="00776674"/>
    <w:rsid w:val="007902BC"/>
    <w:rsid w:val="007943BF"/>
    <w:rsid w:val="0079521A"/>
    <w:rsid w:val="007B3CCB"/>
    <w:rsid w:val="007E333F"/>
    <w:rsid w:val="007E4691"/>
    <w:rsid w:val="00805884"/>
    <w:rsid w:val="00816630"/>
    <w:rsid w:val="00845680"/>
    <w:rsid w:val="008544BA"/>
    <w:rsid w:val="00861775"/>
    <w:rsid w:val="008833B7"/>
    <w:rsid w:val="00883772"/>
    <w:rsid w:val="00883A43"/>
    <w:rsid w:val="0088407D"/>
    <w:rsid w:val="008902D5"/>
    <w:rsid w:val="008A407A"/>
    <w:rsid w:val="008B24C8"/>
    <w:rsid w:val="008C49FC"/>
    <w:rsid w:val="008D1E97"/>
    <w:rsid w:val="008E7D0B"/>
    <w:rsid w:val="008F120A"/>
    <w:rsid w:val="008F2303"/>
    <w:rsid w:val="00915032"/>
    <w:rsid w:val="009278FF"/>
    <w:rsid w:val="00930414"/>
    <w:rsid w:val="00930F84"/>
    <w:rsid w:val="00954B65"/>
    <w:rsid w:val="00974A49"/>
    <w:rsid w:val="009777CE"/>
    <w:rsid w:val="00983A91"/>
    <w:rsid w:val="009B5EC7"/>
    <w:rsid w:val="009C717D"/>
    <w:rsid w:val="009D07E5"/>
    <w:rsid w:val="009D1FB7"/>
    <w:rsid w:val="00A04289"/>
    <w:rsid w:val="00A15642"/>
    <w:rsid w:val="00A1757F"/>
    <w:rsid w:val="00A354D6"/>
    <w:rsid w:val="00A3631A"/>
    <w:rsid w:val="00A36F20"/>
    <w:rsid w:val="00A56F84"/>
    <w:rsid w:val="00A66FA3"/>
    <w:rsid w:val="00A70A4D"/>
    <w:rsid w:val="00A826DA"/>
    <w:rsid w:val="00AA4557"/>
    <w:rsid w:val="00AA5F1F"/>
    <w:rsid w:val="00AB0565"/>
    <w:rsid w:val="00AD6698"/>
    <w:rsid w:val="00AD6825"/>
    <w:rsid w:val="00AE1FBE"/>
    <w:rsid w:val="00B006E7"/>
    <w:rsid w:val="00B13E91"/>
    <w:rsid w:val="00B24547"/>
    <w:rsid w:val="00B2551A"/>
    <w:rsid w:val="00B36D58"/>
    <w:rsid w:val="00B40E7A"/>
    <w:rsid w:val="00B445D9"/>
    <w:rsid w:val="00B75478"/>
    <w:rsid w:val="00B86EC7"/>
    <w:rsid w:val="00BC173E"/>
    <w:rsid w:val="00BD598E"/>
    <w:rsid w:val="00BE0A17"/>
    <w:rsid w:val="00BE1605"/>
    <w:rsid w:val="00BE1746"/>
    <w:rsid w:val="00BE5D76"/>
    <w:rsid w:val="00BE6CDE"/>
    <w:rsid w:val="00C37356"/>
    <w:rsid w:val="00C4293E"/>
    <w:rsid w:val="00C45651"/>
    <w:rsid w:val="00C5284A"/>
    <w:rsid w:val="00C5653F"/>
    <w:rsid w:val="00C7188D"/>
    <w:rsid w:val="00C73920"/>
    <w:rsid w:val="00C901EE"/>
    <w:rsid w:val="00C9265B"/>
    <w:rsid w:val="00C92C6E"/>
    <w:rsid w:val="00C930F2"/>
    <w:rsid w:val="00CA1D35"/>
    <w:rsid w:val="00CA43DC"/>
    <w:rsid w:val="00CC4B34"/>
    <w:rsid w:val="00CD11F5"/>
    <w:rsid w:val="00CD48BB"/>
    <w:rsid w:val="00CD78B7"/>
    <w:rsid w:val="00CE0CBF"/>
    <w:rsid w:val="00CE1FF8"/>
    <w:rsid w:val="00CE5532"/>
    <w:rsid w:val="00CE74AF"/>
    <w:rsid w:val="00D03E71"/>
    <w:rsid w:val="00D11130"/>
    <w:rsid w:val="00D22CC5"/>
    <w:rsid w:val="00D45316"/>
    <w:rsid w:val="00D54549"/>
    <w:rsid w:val="00D72E40"/>
    <w:rsid w:val="00DA139C"/>
    <w:rsid w:val="00DC6C86"/>
    <w:rsid w:val="00DE7E0C"/>
    <w:rsid w:val="00DF1441"/>
    <w:rsid w:val="00E03DCC"/>
    <w:rsid w:val="00E12C50"/>
    <w:rsid w:val="00E204B7"/>
    <w:rsid w:val="00E23A19"/>
    <w:rsid w:val="00E25A7A"/>
    <w:rsid w:val="00E4131F"/>
    <w:rsid w:val="00E4610F"/>
    <w:rsid w:val="00E57F99"/>
    <w:rsid w:val="00EA12C9"/>
    <w:rsid w:val="00EA27A9"/>
    <w:rsid w:val="00EC11D6"/>
    <w:rsid w:val="00EE253A"/>
    <w:rsid w:val="00EF1531"/>
    <w:rsid w:val="00EF4078"/>
    <w:rsid w:val="00F00CE9"/>
    <w:rsid w:val="00F15458"/>
    <w:rsid w:val="00F46E87"/>
    <w:rsid w:val="00F60112"/>
    <w:rsid w:val="00F7181D"/>
    <w:rsid w:val="00FA00C4"/>
    <w:rsid w:val="00FA0EE2"/>
    <w:rsid w:val="00FA7139"/>
    <w:rsid w:val="00FB6D36"/>
    <w:rsid w:val="00FC47E6"/>
    <w:rsid w:val="00FC4F6F"/>
    <w:rsid w:val="00FE0FEE"/>
    <w:rsid w:val="00FF2C2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29F226"/>
  <w15:chartTrackingRefBased/>
  <w15:docId w15:val="{50B68509-66CE-40D1-962C-50729218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02B"/>
    <w:pPr>
      <w:ind w:left="720"/>
      <w:contextualSpacing/>
    </w:pPr>
  </w:style>
  <w:style w:type="paragraph" w:styleId="Header">
    <w:name w:val="header"/>
    <w:aliases w:val="LDHeader"/>
    <w:basedOn w:val="Normal"/>
    <w:link w:val="HeaderChar"/>
    <w:unhideWhenUsed/>
    <w:rsid w:val="00FA7139"/>
    <w:pPr>
      <w:tabs>
        <w:tab w:val="center" w:pos="4513"/>
        <w:tab w:val="right" w:pos="9026"/>
      </w:tabs>
      <w:spacing w:after="0" w:line="240" w:lineRule="auto"/>
    </w:pPr>
  </w:style>
  <w:style w:type="character" w:customStyle="1" w:styleId="HeaderChar">
    <w:name w:val="Header Char"/>
    <w:aliases w:val="LDHeader Char"/>
    <w:basedOn w:val="DefaultParagraphFont"/>
    <w:link w:val="Header"/>
    <w:rsid w:val="00FA7139"/>
  </w:style>
  <w:style w:type="paragraph" w:styleId="Footer">
    <w:name w:val="footer"/>
    <w:basedOn w:val="Normal"/>
    <w:link w:val="FooterChar"/>
    <w:unhideWhenUsed/>
    <w:rsid w:val="00FA7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139"/>
  </w:style>
  <w:style w:type="character" w:styleId="PageNumber">
    <w:name w:val="page number"/>
    <w:basedOn w:val="DefaultParagraphFont"/>
    <w:rsid w:val="00FA7139"/>
  </w:style>
  <w:style w:type="character" w:styleId="CommentReference">
    <w:name w:val="annotation reference"/>
    <w:basedOn w:val="DefaultParagraphFont"/>
    <w:uiPriority w:val="99"/>
    <w:semiHidden/>
    <w:unhideWhenUsed/>
    <w:rsid w:val="003B0A36"/>
    <w:rPr>
      <w:sz w:val="16"/>
      <w:szCs w:val="16"/>
    </w:rPr>
  </w:style>
  <w:style w:type="paragraph" w:styleId="CommentText">
    <w:name w:val="annotation text"/>
    <w:basedOn w:val="Normal"/>
    <w:link w:val="CommentTextChar"/>
    <w:uiPriority w:val="99"/>
    <w:unhideWhenUsed/>
    <w:rsid w:val="003B0A36"/>
    <w:pPr>
      <w:spacing w:line="240" w:lineRule="auto"/>
    </w:pPr>
    <w:rPr>
      <w:sz w:val="20"/>
      <w:szCs w:val="20"/>
    </w:rPr>
  </w:style>
  <w:style w:type="character" w:customStyle="1" w:styleId="CommentTextChar">
    <w:name w:val="Comment Text Char"/>
    <w:basedOn w:val="DefaultParagraphFont"/>
    <w:link w:val="CommentText"/>
    <w:uiPriority w:val="99"/>
    <w:rsid w:val="003B0A36"/>
    <w:rPr>
      <w:sz w:val="20"/>
      <w:szCs w:val="20"/>
    </w:rPr>
  </w:style>
  <w:style w:type="paragraph" w:styleId="CommentSubject">
    <w:name w:val="annotation subject"/>
    <w:basedOn w:val="CommentText"/>
    <w:next w:val="CommentText"/>
    <w:link w:val="CommentSubjectChar"/>
    <w:uiPriority w:val="99"/>
    <w:semiHidden/>
    <w:unhideWhenUsed/>
    <w:rsid w:val="003B0A36"/>
    <w:rPr>
      <w:b/>
      <w:bCs/>
    </w:rPr>
  </w:style>
  <w:style w:type="character" w:customStyle="1" w:styleId="CommentSubjectChar">
    <w:name w:val="Comment Subject Char"/>
    <w:basedOn w:val="CommentTextChar"/>
    <w:link w:val="CommentSubject"/>
    <w:uiPriority w:val="99"/>
    <w:semiHidden/>
    <w:rsid w:val="003B0A36"/>
    <w:rPr>
      <w:b/>
      <w:bCs/>
      <w:sz w:val="20"/>
      <w:szCs w:val="20"/>
    </w:rPr>
  </w:style>
  <w:style w:type="paragraph" w:styleId="BalloonText">
    <w:name w:val="Balloon Text"/>
    <w:basedOn w:val="Normal"/>
    <w:link w:val="BalloonTextChar"/>
    <w:uiPriority w:val="99"/>
    <w:semiHidden/>
    <w:unhideWhenUsed/>
    <w:rsid w:val="003B0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36"/>
    <w:rPr>
      <w:rFonts w:ascii="Segoe UI" w:hAnsi="Segoe UI" w:cs="Segoe UI"/>
      <w:sz w:val="18"/>
      <w:szCs w:val="18"/>
    </w:rPr>
  </w:style>
  <w:style w:type="paragraph" w:customStyle="1" w:styleId="Default">
    <w:name w:val="Default"/>
    <w:rsid w:val="00F1545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C717D"/>
    <w:pPr>
      <w:spacing w:after="0" w:line="240" w:lineRule="auto"/>
    </w:pPr>
  </w:style>
  <w:style w:type="paragraph" w:customStyle="1" w:styleId="ESPara">
    <w:name w:val="ES_Para"/>
    <w:basedOn w:val="ListParagraph"/>
    <w:rsid w:val="00D72E40"/>
    <w:pPr>
      <w:numPr>
        <w:numId w:val="1"/>
      </w:numPr>
      <w:spacing w:before="240" w:after="240" w:line="276" w:lineRule="auto"/>
      <w:contextualSpacing w:val="0"/>
    </w:pPr>
    <w:rPr>
      <w:rFonts w:ascii="Times New Roman" w:hAnsi="Times New Roman" w:cs="Times New Roman"/>
    </w:rPr>
  </w:style>
  <w:style w:type="paragraph" w:customStyle="1" w:styleId="ESHeading">
    <w:name w:val="ES_Heading"/>
    <w:basedOn w:val="ListParagraph"/>
    <w:rsid w:val="0021555F"/>
    <w:pPr>
      <w:spacing w:before="240" w:after="240" w:line="276" w:lineRule="auto"/>
      <w:ind w:left="0"/>
      <w:contextualSpacing w:val="0"/>
    </w:pPr>
    <w:rPr>
      <w:rFonts w:ascii="Times New Roman" w:hAnsi="Times New Roman" w:cs="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c72xd\AppData\Local\Hewlett-Packard\HP%20TRIM\TEMP\HPTRIM.7856\ADD2021%202321245%20%20DRAFT%20-%20LIN21020%20-%20ES%20-%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ADD2021 2321245  DRAFT - LIN21020 - ES - v1</Template>
  <TotalTime>1</TotalTime>
  <Pages>5</Pages>
  <Words>1493</Words>
  <Characters>8513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NEWMAN-MARTIN</dc:creator>
  <cp:keywords/>
  <dc:description/>
  <cp:lastModifiedBy>Andrew NEWMAN-MARTIN</cp:lastModifiedBy>
  <cp:revision>2</cp:revision>
  <cp:lastPrinted>2021-09-21T01:25:00Z</cp:lastPrinted>
  <dcterms:created xsi:type="dcterms:W3CDTF">2021-10-21T00:22:00Z</dcterms:created>
  <dcterms:modified xsi:type="dcterms:W3CDTF">2021-10-21T00:22:00Z</dcterms:modified>
</cp:coreProperties>
</file>