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B49A5" w14:textId="77777777" w:rsidR="00F109D4" w:rsidRPr="00607E37" w:rsidRDefault="00F109D4" w:rsidP="00647BB7">
      <w:pPr>
        <w:pStyle w:val="Heading1"/>
        <w:spacing w:after="360"/>
        <w:rPr>
          <w:rFonts w:ascii="Times New Roman" w:hAnsi="Times New Roman"/>
          <w:sz w:val="24"/>
          <w:szCs w:val="24"/>
        </w:rPr>
      </w:pPr>
      <w:r w:rsidRPr="00607E37">
        <w:rPr>
          <w:rFonts w:ascii="Times New Roman" w:hAnsi="Times New Roman"/>
          <w:sz w:val="24"/>
          <w:szCs w:val="24"/>
        </w:rPr>
        <w:t>EXPLANATORY STATEMENT</w:t>
      </w:r>
    </w:p>
    <w:p w14:paraId="41B4FD6F" w14:textId="6B7C53AC" w:rsidR="007662C7" w:rsidRPr="00607E37" w:rsidRDefault="00F109D4" w:rsidP="003E1CE3">
      <w:pPr>
        <w:pStyle w:val="Heading2"/>
        <w:jc w:val="center"/>
        <w:rPr>
          <w:sz w:val="24"/>
          <w:szCs w:val="24"/>
        </w:rPr>
      </w:pPr>
      <w:r w:rsidRPr="00607E37">
        <w:rPr>
          <w:sz w:val="24"/>
          <w:szCs w:val="24"/>
        </w:rPr>
        <w:t>Issued by authority of the</w:t>
      </w:r>
      <w:r w:rsidR="00076178" w:rsidRPr="00607E37">
        <w:rPr>
          <w:sz w:val="24"/>
          <w:szCs w:val="24"/>
        </w:rPr>
        <w:t xml:space="preserve"> </w:t>
      </w:r>
      <w:sdt>
        <w:sdtPr>
          <w:rPr>
            <w:sz w:val="24"/>
            <w:szCs w:val="24"/>
          </w:rPr>
          <w:id w:val="435951383"/>
          <w:placeholder>
            <w:docPart w:val="C16323D8743E408694AF5E4D6A17A33A"/>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26660" w:rsidRPr="00607E37">
            <w:rPr>
              <w:sz w:val="24"/>
              <w:szCs w:val="24"/>
            </w:rPr>
            <w:t>Treasurer</w:t>
          </w:r>
        </w:sdtContent>
      </w:sdt>
    </w:p>
    <w:p w14:paraId="576B5188" w14:textId="62611FF3" w:rsidR="00F109D4" w:rsidRPr="00607E37" w:rsidRDefault="00F26660" w:rsidP="003C7907">
      <w:pPr>
        <w:spacing w:before="240" w:after="240"/>
        <w:jc w:val="center"/>
        <w:rPr>
          <w:i/>
        </w:rPr>
      </w:pPr>
      <w:r w:rsidRPr="00607E37">
        <w:rPr>
          <w:i/>
        </w:rPr>
        <w:t>Competition and Consumer Act 2010</w:t>
      </w:r>
    </w:p>
    <w:p w14:paraId="4B23AFD0" w14:textId="4174B464" w:rsidR="00F109D4" w:rsidRPr="00607E37" w:rsidRDefault="00951DDC" w:rsidP="00AA1689">
      <w:pPr>
        <w:tabs>
          <w:tab w:val="left" w:pos="1418"/>
        </w:tabs>
        <w:spacing w:before="0" w:after="240"/>
        <w:jc w:val="center"/>
        <w:rPr>
          <w:i/>
          <w:iCs/>
        </w:rPr>
      </w:pPr>
      <w:r w:rsidRPr="00607E37">
        <w:rPr>
          <w:i/>
          <w:iCs/>
        </w:rPr>
        <w:t>Competition and Consumer Amendment (State/Territory Energy Law) Regulations</w:t>
      </w:r>
      <w:r w:rsidR="00FC5E6E" w:rsidRPr="00607E37">
        <w:rPr>
          <w:i/>
          <w:iCs/>
        </w:rPr>
        <w:t> </w:t>
      </w:r>
      <w:r w:rsidRPr="00607E37">
        <w:rPr>
          <w:i/>
          <w:iCs/>
        </w:rPr>
        <w:t>2021</w:t>
      </w:r>
    </w:p>
    <w:p w14:paraId="331C9D7F" w14:textId="776690EC" w:rsidR="00F109D4" w:rsidRPr="00607E37" w:rsidRDefault="00C55D29" w:rsidP="00963AC4">
      <w:pPr>
        <w:spacing w:before="240"/>
      </w:pPr>
      <w:r w:rsidRPr="00607E37">
        <w:t xml:space="preserve">Section </w:t>
      </w:r>
      <w:r w:rsidR="00836E29" w:rsidRPr="00607E37">
        <w:t>1</w:t>
      </w:r>
      <w:r w:rsidR="00EA0407" w:rsidRPr="00607E37">
        <w:t>72</w:t>
      </w:r>
      <w:r w:rsidR="005E4BAC" w:rsidRPr="00607E37">
        <w:t xml:space="preserve"> </w:t>
      </w:r>
      <w:r w:rsidR="00F109D4" w:rsidRPr="00607E37">
        <w:t xml:space="preserve">of the </w:t>
      </w:r>
      <w:r w:rsidR="001C4EA9" w:rsidRPr="00607E37">
        <w:rPr>
          <w:i/>
        </w:rPr>
        <w:t>Competition and Consumer Act 2010</w:t>
      </w:r>
      <w:r w:rsidR="00F109D4" w:rsidRPr="00607E37">
        <w:t xml:space="preserve"> </w:t>
      </w:r>
      <w:r w:rsidR="00DE7B5B" w:rsidRPr="00607E37">
        <w:t xml:space="preserve">(the Act) </w:t>
      </w:r>
      <w:r w:rsidR="00F109D4" w:rsidRPr="00607E37">
        <w:t>provides that the Governor</w:t>
      </w:r>
      <w:r w:rsidR="00DA65F3" w:rsidRPr="00607E37">
        <w:noBreakHyphen/>
      </w:r>
      <w:r w:rsidR="00F109D4" w:rsidRPr="00607E37">
        <w:t>General may make regulations prescribing matters required or permitted by the Act to be prescribed, or necessary or convenient to be prescribed for carrying out or giving effect to the Act.</w:t>
      </w:r>
    </w:p>
    <w:p w14:paraId="13072E9D" w14:textId="2A448083" w:rsidR="005E7156" w:rsidRPr="00607E37" w:rsidRDefault="008F32F4" w:rsidP="00C13A92">
      <w:pPr>
        <w:spacing w:before="240"/>
      </w:pPr>
      <w:r w:rsidRPr="00607E37">
        <w:t>Subsection 44</w:t>
      </w:r>
      <w:proofErr w:type="gramStart"/>
      <w:r w:rsidRPr="00607E37">
        <w:t>AI(</w:t>
      </w:r>
      <w:proofErr w:type="gramEnd"/>
      <w:r w:rsidRPr="00607E37">
        <w:t xml:space="preserve">3) of the </w:t>
      </w:r>
      <w:r w:rsidR="00DE7B5B" w:rsidRPr="00607E37">
        <w:t>Act</w:t>
      </w:r>
      <w:r w:rsidRPr="00607E37">
        <w:t xml:space="preserve"> provides for the Australian Energy Regulator</w:t>
      </w:r>
      <w:r w:rsidR="0009155B" w:rsidRPr="00607E37">
        <w:t xml:space="preserve"> (AER)</w:t>
      </w:r>
      <w:r w:rsidRPr="00607E37">
        <w:t xml:space="preserve"> to perform a duty or function, or exercise a power, under a State</w:t>
      </w:r>
      <w:r w:rsidR="005E7156" w:rsidRPr="00607E37">
        <w:t xml:space="preserve"> or </w:t>
      </w:r>
      <w:r w:rsidRPr="00607E37">
        <w:t>Territory energy law</w:t>
      </w:r>
      <w:r w:rsidR="00E6465D" w:rsidRPr="00607E37">
        <w:t xml:space="preserve"> only if it is</w:t>
      </w:r>
      <w:r w:rsidRPr="00607E37">
        <w:t xml:space="preserve"> </w:t>
      </w:r>
      <w:r w:rsidR="005E7156" w:rsidRPr="00607E37">
        <w:t>in accordance with an agreement between the Commonwealth and the relevant State</w:t>
      </w:r>
      <w:r w:rsidR="00E6465D" w:rsidRPr="00607E37">
        <w:t>s</w:t>
      </w:r>
      <w:r w:rsidR="005E7156" w:rsidRPr="00607E37">
        <w:t xml:space="preserve"> or Territor</w:t>
      </w:r>
      <w:r w:rsidR="00E6465D" w:rsidRPr="00607E37">
        <w:t>ies</w:t>
      </w:r>
      <w:r w:rsidR="005E7156" w:rsidRPr="00607E37">
        <w:t>.</w:t>
      </w:r>
      <w:r w:rsidR="00E6465D" w:rsidRPr="00607E37">
        <w:t xml:space="preserve"> The Commonwealth and NSW Governments have signed an agreement consenting to the AER performing the functions of a regulator under the </w:t>
      </w:r>
      <w:r w:rsidR="00DE7B5B" w:rsidRPr="00607E37">
        <w:rPr>
          <w:i/>
          <w:iCs/>
        </w:rPr>
        <w:t>Electricity Infrastructure Investment Act 2020</w:t>
      </w:r>
      <w:r w:rsidR="00DE7B5B" w:rsidRPr="00607E37">
        <w:t xml:space="preserve"> (NSW) (the </w:t>
      </w:r>
      <w:r w:rsidR="00E6465D" w:rsidRPr="00607E37">
        <w:t>NSW Act</w:t>
      </w:r>
      <w:r w:rsidR="00DE7B5B" w:rsidRPr="00607E37">
        <w:t>)</w:t>
      </w:r>
      <w:r w:rsidR="00E6465D" w:rsidRPr="00607E37">
        <w:t>. This intergovernmental agreement is titled the ‘Conferral of functions on the Australian Energy Regulator under the Electricity Infrastructure Investment Act 2020 (NSW)’.</w:t>
      </w:r>
    </w:p>
    <w:p w14:paraId="21FA8F76" w14:textId="5300960D" w:rsidR="00AC5A75" w:rsidRPr="00607E37" w:rsidRDefault="003B5872" w:rsidP="005E7156">
      <w:pPr>
        <w:spacing w:before="240"/>
      </w:pPr>
      <w:bookmarkStart w:id="0" w:name="_Hlk79488417"/>
      <w:r w:rsidRPr="00607E37">
        <w:t xml:space="preserve">The </w:t>
      </w:r>
      <w:r w:rsidRPr="00607E37">
        <w:rPr>
          <w:i/>
          <w:iCs/>
        </w:rPr>
        <w:t>Competition and Consumer Amendment (State/Territory Energy Law) Regulations 2021</w:t>
      </w:r>
      <w:r w:rsidRPr="00607E37">
        <w:t xml:space="preserve"> (the Regulations) give effect to the intergovernmental</w:t>
      </w:r>
      <w:r w:rsidR="00E6465D" w:rsidRPr="00607E37">
        <w:t xml:space="preserve"> agreement</w:t>
      </w:r>
      <w:r w:rsidR="00F9661E" w:rsidRPr="00607E37">
        <w:t xml:space="preserve">. </w:t>
      </w:r>
      <w:r w:rsidR="00E6465D" w:rsidRPr="00607E37">
        <w:t xml:space="preserve">The Regulations prescribe the NSW Act as a State/Territory energy </w:t>
      </w:r>
      <w:proofErr w:type="gramStart"/>
      <w:r w:rsidR="00E6465D" w:rsidRPr="00607E37">
        <w:t>law, and</w:t>
      </w:r>
      <w:proofErr w:type="gramEnd"/>
      <w:r w:rsidR="00E6465D" w:rsidRPr="00607E37">
        <w:t xml:space="preserve"> </w:t>
      </w:r>
      <w:r w:rsidR="005E7156" w:rsidRPr="00607E37">
        <w:t xml:space="preserve">provide for the </w:t>
      </w:r>
      <w:r w:rsidR="00EF4028" w:rsidRPr="00607E37">
        <w:t>AER</w:t>
      </w:r>
      <w:r w:rsidR="005E7156" w:rsidRPr="00607E37">
        <w:t xml:space="preserve"> to administer the </w:t>
      </w:r>
      <w:r w:rsidR="00E6465D" w:rsidRPr="00607E37">
        <w:t>NSW Act</w:t>
      </w:r>
      <w:r w:rsidR="005E7156" w:rsidRPr="00607E37">
        <w:t>.</w:t>
      </w:r>
      <w:bookmarkEnd w:id="0"/>
    </w:p>
    <w:p w14:paraId="1D33A5B7" w14:textId="0EB84330" w:rsidR="008A7304" w:rsidRPr="00607E37" w:rsidRDefault="0009155B" w:rsidP="00A26CD8">
      <w:pPr>
        <w:spacing w:before="240"/>
        <w:rPr>
          <w:szCs w:val="24"/>
        </w:rPr>
      </w:pPr>
      <w:r w:rsidRPr="00607E37">
        <w:rPr>
          <w:color w:val="000000"/>
          <w:szCs w:val="24"/>
        </w:rPr>
        <w:t xml:space="preserve">Consultation was undertaken with the AER and the NSW Government. Public consultation was not undertaken given the </w:t>
      </w:r>
      <w:r w:rsidR="00DD3007" w:rsidRPr="00607E37">
        <w:rPr>
          <w:color w:val="000000"/>
          <w:szCs w:val="24"/>
        </w:rPr>
        <w:t xml:space="preserve">machinery nature </w:t>
      </w:r>
      <w:r w:rsidRPr="00607E37">
        <w:rPr>
          <w:color w:val="000000"/>
          <w:szCs w:val="24"/>
        </w:rPr>
        <w:t>of the instrument.</w:t>
      </w:r>
    </w:p>
    <w:p w14:paraId="70DAD17B" w14:textId="67E8A4F2" w:rsidR="009143A0" w:rsidRPr="00607E37" w:rsidRDefault="002C226C" w:rsidP="00A26CD8">
      <w:pPr>
        <w:spacing w:before="240"/>
        <w:rPr>
          <w:i/>
        </w:rPr>
      </w:pPr>
      <w:r w:rsidRPr="00607E37">
        <w:t xml:space="preserve">The Regulations are a legislative instrument for the purposes of the </w:t>
      </w:r>
      <w:r w:rsidRPr="00607E37">
        <w:rPr>
          <w:i/>
        </w:rPr>
        <w:t>Legislation Act</w:t>
      </w:r>
      <w:r w:rsidR="00FC5E6E" w:rsidRPr="00607E37">
        <w:rPr>
          <w:i/>
        </w:rPr>
        <w:t> </w:t>
      </w:r>
      <w:r w:rsidRPr="00607E37">
        <w:rPr>
          <w:i/>
        </w:rPr>
        <w:t>2003</w:t>
      </w:r>
      <w:r w:rsidRPr="00607E37">
        <w:t>.</w:t>
      </w:r>
      <w:r w:rsidR="006A2C35" w:rsidRPr="00607E37">
        <w:t xml:space="preserve"> </w:t>
      </w:r>
      <w:r w:rsidR="00F109D4" w:rsidRPr="00607E37">
        <w:t xml:space="preserve">The Regulations commence </w:t>
      </w:r>
      <w:r w:rsidR="003E2584" w:rsidRPr="00607E37">
        <w:t>the day after registration.</w:t>
      </w:r>
      <w:r w:rsidR="00691899" w:rsidRPr="00607E37">
        <w:t xml:space="preserve"> The Regulations apply from the day of commencement.</w:t>
      </w:r>
    </w:p>
    <w:p w14:paraId="305B8BA3" w14:textId="77450D3F" w:rsidR="00234917" w:rsidRPr="00607E37" w:rsidRDefault="00234917" w:rsidP="00A26CD8">
      <w:pPr>
        <w:spacing w:before="240"/>
        <w:rPr>
          <w:szCs w:val="24"/>
        </w:rPr>
      </w:pPr>
      <w:r w:rsidRPr="00607E37">
        <w:rPr>
          <w:rStyle w:val="CommentReference"/>
          <w:sz w:val="24"/>
          <w:szCs w:val="24"/>
        </w:rPr>
        <w:t>The Office of Best Practice Regulation considered that the proposal was unlikely to have a more than minor regulatory impact. The preparation of a Regulation Impact Statement was not required.</w:t>
      </w:r>
    </w:p>
    <w:p w14:paraId="2BAC649A" w14:textId="6A8779DC" w:rsidR="00EA4DD8" w:rsidRPr="00607E37" w:rsidRDefault="00EB2AEF" w:rsidP="00A26CD8">
      <w:pPr>
        <w:spacing w:before="240"/>
        <w:rPr>
          <w:b/>
          <w:kern w:val="28"/>
        </w:rPr>
      </w:pPr>
      <w:r w:rsidRPr="00607E37">
        <w:t xml:space="preserve">A statement of Compatibility with Human Rights is at </w:t>
      </w:r>
      <w:r w:rsidRPr="00607E37">
        <w:rPr>
          <w:u w:val="single"/>
        </w:rPr>
        <w:t xml:space="preserve">Attachment </w:t>
      </w:r>
      <w:r w:rsidR="002370FC" w:rsidRPr="00607E37">
        <w:rPr>
          <w:u w:val="single"/>
        </w:rPr>
        <w:t>A</w:t>
      </w:r>
      <w:r w:rsidR="000B39A1" w:rsidRPr="00607E37">
        <w:t>.</w:t>
      </w:r>
    </w:p>
    <w:p w14:paraId="0F9C2923" w14:textId="1261107F" w:rsidR="007A55A7" w:rsidRPr="00607E37" w:rsidRDefault="007A55A7" w:rsidP="00013390">
      <w:pPr>
        <w:pageBreakBefore/>
        <w:spacing w:before="240"/>
        <w:jc w:val="right"/>
        <w:rPr>
          <w:b/>
          <w:u w:val="single"/>
        </w:rPr>
      </w:pPr>
      <w:r w:rsidRPr="00607E37">
        <w:rPr>
          <w:b/>
          <w:u w:val="single"/>
        </w:rPr>
        <w:lastRenderedPageBreak/>
        <w:t xml:space="preserve">ATTACHMENT </w:t>
      </w:r>
      <w:r w:rsidR="002370FC" w:rsidRPr="00607E37">
        <w:rPr>
          <w:b/>
          <w:u w:val="single"/>
        </w:rPr>
        <w:t>A</w:t>
      </w:r>
    </w:p>
    <w:p w14:paraId="74E2D83D" w14:textId="77777777" w:rsidR="00E4438C" w:rsidRPr="00607E37" w:rsidRDefault="00E4438C" w:rsidP="003E1CE3">
      <w:pPr>
        <w:pStyle w:val="Heading3"/>
      </w:pPr>
      <w:r w:rsidRPr="00607E37">
        <w:t>Statement of Compatibility with Human Rights</w:t>
      </w:r>
    </w:p>
    <w:p w14:paraId="3D8E82AA" w14:textId="77777777" w:rsidR="00E4438C" w:rsidRPr="00607E37" w:rsidRDefault="00E4438C" w:rsidP="00AC1D15">
      <w:pPr>
        <w:spacing w:before="240"/>
        <w:jc w:val="center"/>
        <w:rPr>
          <w:i/>
        </w:rPr>
      </w:pPr>
      <w:r w:rsidRPr="00607E37">
        <w:rPr>
          <w:i/>
        </w:rPr>
        <w:t>Prepared in accordance with Part 3 of the Human Rights (Parliamentary Scrutiny) Act 2011</w:t>
      </w:r>
    </w:p>
    <w:p w14:paraId="1F3779D1" w14:textId="2B300499" w:rsidR="00E4438C" w:rsidRPr="00607E37" w:rsidRDefault="00390979" w:rsidP="003E1CE3">
      <w:pPr>
        <w:pStyle w:val="Heading3"/>
        <w:jc w:val="center"/>
        <w:rPr>
          <w:szCs w:val="24"/>
        </w:rPr>
      </w:pPr>
      <w:r w:rsidRPr="00607E37">
        <w:rPr>
          <w:color w:val="000000"/>
          <w:szCs w:val="24"/>
        </w:rPr>
        <w:t>Competition and Consumer Amendment (State/Territory Energy Law) Regulation</w:t>
      </w:r>
      <w:r w:rsidR="009E6307" w:rsidRPr="00607E37">
        <w:rPr>
          <w:color w:val="000000"/>
          <w:szCs w:val="24"/>
        </w:rPr>
        <w:t>s</w:t>
      </w:r>
      <w:r w:rsidRPr="00607E37">
        <w:rPr>
          <w:color w:val="000000"/>
          <w:szCs w:val="24"/>
        </w:rPr>
        <w:t xml:space="preserve"> 2021</w:t>
      </w:r>
    </w:p>
    <w:p w14:paraId="2E491A66" w14:textId="2285B614" w:rsidR="00E4438C" w:rsidRPr="00607E37" w:rsidRDefault="00E4438C" w:rsidP="00647BB7">
      <w:pPr>
        <w:spacing w:before="240"/>
      </w:pPr>
      <w:r w:rsidRPr="00607E37">
        <w:t xml:space="preserve">This Legislative Instrument is compatible with the human rights and freedoms recognised or declared in the international instruments listed in section 3 of the </w:t>
      </w:r>
      <w:r w:rsidRPr="00607E37">
        <w:rPr>
          <w:i/>
        </w:rPr>
        <w:t>Human Rights (Parliamentary Scrutiny) Act 2011</w:t>
      </w:r>
      <w:r w:rsidRPr="00607E37">
        <w:t>.</w:t>
      </w:r>
    </w:p>
    <w:p w14:paraId="45867BDE" w14:textId="77777777" w:rsidR="00E4438C" w:rsidRPr="00607E37" w:rsidRDefault="00E4438C" w:rsidP="003E1CE3">
      <w:pPr>
        <w:pStyle w:val="Heading3"/>
      </w:pPr>
      <w:r w:rsidRPr="00607E37">
        <w:t>Overview of the Legislative Instrument</w:t>
      </w:r>
    </w:p>
    <w:p w14:paraId="565C7993" w14:textId="3786B5B3" w:rsidR="00025F8B" w:rsidRPr="00607E37" w:rsidRDefault="00025F8B" w:rsidP="00025F8B">
      <w:pPr>
        <w:spacing w:before="240"/>
      </w:pPr>
      <w:r w:rsidRPr="00607E37">
        <w:t>The ins</w:t>
      </w:r>
      <w:r w:rsidR="00AC5A75" w:rsidRPr="00607E37">
        <w:t>trument</w:t>
      </w:r>
      <w:r w:rsidRPr="00607E37">
        <w:t xml:space="preserve"> gives effect to the intergovernmental agreement </w:t>
      </w:r>
      <w:r w:rsidR="00F9661E" w:rsidRPr="00607E37">
        <w:t xml:space="preserve">titled ‘Conferral of functions on the Australian Energy Regulator under the </w:t>
      </w:r>
      <w:r w:rsidR="00F9661E" w:rsidRPr="00607E37">
        <w:rPr>
          <w:i/>
          <w:iCs/>
        </w:rPr>
        <w:t xml:space="preserve">Electricity Infrastructure Investment Act 2020 </w:t>
      </w:r>
      <w:r w:rsidR="00F9661E" w:rsidRPr="00607E37">
        <w:t xml:space="preserve">(NSW)’ </w:t>
      </w:r>
      <w:r w:rsidRPr="00607E37">
        <w:t>between the Commonwealth Government and the NSW Government</w:t>
      </w:r>
      <w:r w:rsidR="00F9661E" w:rsidRPr="00607E37">
        <w:t>. The instrument</w:t>
      </w:r>
      <w:r w:rsidRPr="00607E37">
        <w:t xml:space="preserve"> provide</w:t>
      </w:r>
      <w:r w:rsidR="00F9661E" w:rsidRPr="00607E37">
        <w:t>s</w:t>
      </w:r>
      <w:r w:rsidRPr="00607E37">
        <w:t xml:space="preserve"> for the Australian Energy Regulator to administer the New South Wales</w:t>
      </w:r>
      <w:r w:rsidRPr="00607E37">
        <w:rPr>
          <w:i/>
          <w:iCs/>
        </w:rPr>
        <w:t xml:space="preserve"> Electricity Infrastructure Investment Act 2020</w:t>
      </w:r>
      <w:r w:rsidRPr="00607E37">
        <w:t>.</w:t>
      </w:r>
    </w:p>
    <w:p w14:paraId="78695E31" w14:textId="77777777" w:rsidR="00E4438C" w:rsidRPr="00607E37" w:rsidRDefault="00E4438C" w:rsidP="003E1CE3">
      <w:pPr>
        <w:pStyle w:val="Heading3"/>
      </w:pPr>
      <w:r w:rsidRPr="00607E37">
        <w:t>Human rights implications</w:t>
      </w:r>
    </w:p>
    <w:p w14:paraId="7D4F6858" w14:textId="77777777" w:rsidR="00E4438C" w:rsidRPr="00607E37" w:rsidRDefault="00E4438C" w:rsidP="00647BB7">
      <w:pPr>
        <w:spacing w:before="240"/>
      </w:pPr>
      <w:r w:rsidRPr="00607E37">
        <w:t>This Legislative Instrument does not engage any of the applicable rights or freedoms.</w:t>
      </w:r>
    </w:p>
    <w:p w14:paraId="6A63038F" w14:textId="77777777" w:rsidR="00E4438C" w:rsidRPr="00607E37" w:rsidRDefault="00E4438C" w:rsidP="003E1CE3">
      <w:pPr>
        <w:pStyle w:val="Heading3"/>
      </w:pPr>
      <w:r w:rsidRPr="00607E37">
        <w:t>Conclusion</w:t>
      </w:r>
    </w:p>
    <w:p w14:paraId="6D67A2AB" w14:textId="7E144427" w:rsidR="00482B81" w:rsidRPr="00EA4DD8" w:rsidRDefault="00E4438C" w:rsidP="00D94168">
      <w:pPr>
        <w:shd w:val="clear" w:color="auto" w:fill="FFFFFF" w:themeFill="background1"/>
        <w:spacing w:before="240"/>
      </w:pPr>
      <w:r w:rsidRPr="00607E37">
        <w:t>This Legislative Instrument is compatible with human rights as it does not raise any human rights issues.</w:t>
      </w:r>
    </w:p>
    <w:sectPr w:rsidR="00482B81" w:rsidRPr="00EA4DD8" w:rsidSect="00392BBA">
      <w:headerReference w:type="even"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DBC85" w14:textId="77777777" w:rsidR="00850C91" w:rsidRDefault="00850C91" w:rsidP="00954679">
      <w:pPr>
        <w:spacing w:before="0" w:after="0"/>
      </w:pPr>
      <w:r>
        <w:separator/>
      </w:r>
    </w:p>
  </w:endnote>
  <w:endnote w:type="continuationSeparator" w:id="0">
    <w:p w14:paraId="26CCA326" w14:textId="77777777" w:rsidR="00850C91" w:rsidRDefault="00850C91" w:rsidP="00954679">
      <w:pPr>
        <w:spacing w:before="0" w:after="0"/>
      </w:pPr>
      <w:r>
        <w:continuationSeparator/>
      </w:r>
    </w:p>
  </w:endnote>
  <w:endnote w:type="continuationNotice" w:id="1">
    <w:p w14:paraId="596D26C7" w14:textId="77777777" w:rsidR="00850C91" w:rsidRDefault="00850C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99BA5" w14:textId="64280BCC" w:rsidR="00847496" w:rsidRDefault="00D51572" w:rsidP="00F81F64">
    <w:pPr>
      <w:pStyle w:val="SecurityClassificationFooter"/>
    </w:pPr>
    <w:r>
      <w:fldChar w:fldCharType="begin"/>
    </w:r>
    <w:r>
      <w:instrText xml:space="preserve"> DOCPROPER</w:instrText>
    </w:r>
    <w:r>
      <w:instrText xml:space="preserve">TY WorkingDocStatus \* MERGEFORMAT </w:instrText>
    </w:r>
    <w:r>
      <w:fldChar w:fldCharType="separate"/>
    </w:r>
    <w:r w:rsidR="0018064F">
      <w:t>DRAFT WORKING DOCUMENT</w:t>
    </w:r>
    <w:r>
      <w:fldChar w:fldCharType="end"/>
    </w:r>
  </w:p>
  <w:p w14:paraId="4661B0AD" w14:textId="57FDB4B1" w:rsidR="00040AD5" w:rsidRDefault="00E6465D" w:rsidP="00040AD5">
    <w:pPr>
      <w:pStyle w:val="SecurityClassificationFooter"/>
    </w:pPr>
    <w:fldSimple w:instr=" DOCPROPERTY SecurityClassification \* MERGEFORMAT ">
      <w:r w:rsidR="0018064F">
        <w:t>Sensitive:  Legal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A85A81E" w14:textId="267085AB" w:rsidR="00040AD5" w:rsidRDefault="00850C91" w:rsidP="00476B05">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DCBA" w14:textId="5F97F8D0" w:rsidR="00847496" w:rsidRDefault="00D51572" w:rsidP="00F81F64">
    <w:pPr>
      <w:pStyle w:val="SecurityClassificationFooter"/>
    </w:pPr>
    <w:r>
      <w:fldChar w:fldCharType="begin"/>
    </w:r>
    <w:r>
      <w:instrText xml:space="preserve"> DOCPROPERTY WorkingDocStatus \* MERGEFORMAT </w:instrText>
    </w:r>
    <w:r>
      <w:fldChar w:fldCharType="separate"/>
    </w:r>
    <w:r w:rsidR="0018064F">
      <w:t>DRAFT WORKING DOCUMENT</w:t>
    </w:r>
    <w:r>
      <w:fldChar w:fldCharType="end"/>
    </w:r>
  </w:p>
  <w:p w14:paraId="386F4827" w14:textId="4B64488A" w:rsidR="00040AD5" w:rsidRDefault="00E6465D" w:rsidP="00040AD5">
    <w:pPr>
      <w:pStyle w:val="SecurityClassificationFooter"/>
    </w:pPr>
    <w:fldSimple w:instr=" DOCPROPERTY SecurityClassification \* MERGEFORMAT ">
      <w:r w:rsidR="0018064F">
        <w:t>Sensitive:  Legal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18D82" w14:textId="77777777" w:rsidR="00850C91" w:rsidRDefault="00850C91" w:rsidP="00954679">
      <w:pPr>
        <w:spacing w:before="0" w:after="0"/>
      </w:pPr>
      <w:r>
        <w:separator/>
      </w:r>
    </w:p>
  </w:footnote>
  <w:footnote w:type="continuationSeparator" w:id="0">
    <w:p w14:paraId="7FA56E19" w14:textId="77777777" w:rsidR="00850C91" w:rsidRDefault="00850C91" w:rsidP="00954679">
      <w:pPr>
        <w:spacing w:before="0" w:after="0"/>
      </w:pPr>
      <w:r>
        <w:continuationSeparator/>
      </w:r>
    </w:p>
  </w:footnote>
  <w:footnote w:type="continuationNotice" w:id="1">
    <w:p w14:paraId="5872B0EB" w14:textId="77777777" w:rsidR="00850C91" w:rsidRDefault="00850C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88DB" w14:textId="2D1BB4EF" w:rsidR="00040AD5" w:rsidRDefault="00E6465D" w:rsidP="00040AD5">
    <w:pPr>
      <w:pStyle w:val="SecurityClassificationHeader"/>
    </w:pPr>
    <w:fldSimple w:instr=" DOCPROPERTY SecurityClassification \* MERGEFORMAT ">
      <w:r w:rsidR="0018064F">
        <w:t>Sensitive:  Legal</w:t>
      </w:r>
    </w:fldSimple>
  </w:p>
  <w:p w14:paraId="380CA3FF" w14:textId="5BB7EF57" w:rsidR="00847496" w:rsidRDefault="00D51572" w:rsidP="00F81F64">
    <w:pPr>
      <w:pStyle w:val="SecurityClassificationHeader"/>
    </w:pPr>
    <w:r>
      <w:fldChar w:fldCharType="begin"/>
    </w:r>
    <w:r>
      <w:instrText xml:space="preserve"> DOCPROPERTY WorkingDocStatus \* MERGEFORMAT </w:instrText>
    </w:r>
    <w:r>
      <w:fldChar w:fldCharType="separate"/>
    </w:r>
    <w:r w:rsidR="0018064F">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6689D" w14:textId="1F01834B" w:rsidR="00040AD5" w:rsidRDefault="00E6465D" w:rsidP="00040AD5">
    <w:pPr>
      <w:pStyle w:val="SecurityClassificationHeader"/>
    </w:pPr>
    <w:fldSimple w:instr=" DOCPROPERTY SecurityClassification \* MERGEFORMAT ">
      <w:r w:rsidR="0018064F">
        <w:t>Sensitive:  Legal</w:t>
      </w:r>
    </w:fldSimple>
  </w:p>
  <w:p w14:paraId="7351D6A2" w14:textId="34308C92" w:rsidR="00847496" w:rsidRDefault="00D51572" w:rsidP="00F81F64">
    <w:pPr>
      <w:pStyle w:val="SecurityClassificationHeader"/>
    </w:pPr>
    <w:r>
      <w:fldChar w:fldCharType="begin"/>
    </w:r>
    <w:r>
      <w:instrText xml:space="preserve"> DOCPROPERTY WorkingDocStatus \* MERGEFORMAT </w:instrText>
    </w:r>
    <w:r>
      <w:fldChar w:fldCharType="separate"/>
    </w:r>
    <w:r w:rsidR="0018064F">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True"/>
  </w:docVars>
  <w:rsids>
    <w:rsidRoot w:val="00FB7A89"/>
    <w:rsid w:val="00005B1E"/>
    <w:rsid w:val="00011A19"/>
    <w:rsid w:val="00013390"/>
    <w:rsid w:val="00016EA2"/>
    <w:rsid w:val="00025F8B"/>
    <w:rsid w:val="0003305E"/>
    <w:rsid w:val="00040AD5"/>
    <w:rsid w:val="00053ACF"/>
    <w:rsid w:val="00076178"/>
    <w:rsid w:val="0009155B"/>
    <w:rsid w:val="000934C8"/>
    <w:rsid w:val="00095211"/>
    <w:rsid w:val="000A5CCC"/>
    <w:rsid w:val="000B03B5"/>
    <w:rsid w:val="000B35DD"/>
    <w:rsid w:val="000B39A1"/>
    <w:rsid w:val="000C10DF"/>
    <w:rsid w:val="000C6935"/>
    <w:rsid w:val="000E32E3"/>
    <w:rsid w:val="000F05ED"/>
    <w:rsid w:val="000F6066"/>
    <w:rsid w:val="00113B45"/>
    <w:rsid w:val="001267CA"/>
    <w:rsid w:val="001452EC"/>
    <w:rsid w:val="00167942"/>
    <w:rsid w:val="0018064F"/>
    <w:rsid w:val="001B2720"/>
    <w:rsid w:val="001B7349"/>
    <w:rsid w:val="001B7535"/>
    <w:rsid w:val="001C4EA9"/>
    <w:rsid w:val="001E2256"/>
    <w:rsid w:val="001E6A74"/>
    <w:rsid w:val="001F00B3"/>
    <w:rsid w:val="001F41D0"/>
    <w:rsid w:val="00220F16"/>
    <w:rsid w:val="00234917"/>
    <w:rsid w:val="002370FC"/>
    <w:rsid w:val="00254C5B"/>
    <w:rsid w:val="00270358"/>
    <w:rsid w:val="00281B30"/>
    <w:rsid w:val="00286D3E"/>
    <w:rsid w:val="002A01A5"/>
    <w:rsid w:val="002A7E1F"/>
    <w:rsid w:val="002B79E3"/>
    <w:rsid w:val="002C226C"/>
    <w:rsid w:val="002D54B5"/>
    <w:rsid w:val="002E209F"/>
    <w:rsid w:val="003041FA"/>
    <w:rsid w:val="003126F8"/>
    <w:rsid w:val="003342CD"/>
    <w:rsid w:val="00335042"/>
    <w:rsid w:val="00351B0B"/>
    <w:rsid w:val="00355488"/>
    <w:rsid w:val="0036001D"/>
    <w:rsid w:val="0036035C"/>
    <w:rsid w:val="00362B70"/>
    <w:rsid w:val="00366E45"/>
    <w:rsid w:val="00384FF0"/>
    <w:rsid w:val="003854FA"/>
    <w:rsid w:val="00390979"/>
    <w:rsid w:val="00392BBA"/>
    <w:rsid w:val="003954FD"/>
    <w:rsid w:val="003B505A"/>
    <w:rsid w:val="003B5872"/>
    <w:rsid w:val="003C7907"/>
    <w:rsid w:val="003D60D7"/>
    <w:rsid w:val="003E1CE3"/>
    <w:rsid w:val="003E2584"/>
    <w:rsid w:val="0040105A"/>
    <w:rsid w:val="004601C1"/>
    <w:rsid w:val="00462095"/>
    <w:rsid w:val="00463E4A"/>
    <w:rsid w:val="00476B05"/>
    <w:rsid w:val="00482B81"/>
    <w:rsid w:val="00482D4C"/>
    <w:rsid w:val="004B3C0F"/>
    <w:rsid w:val="004C05E4"/>
    <w:rsid w:val="004D0105"/>
    <w:rsid w:val="004D3585"/>
    <w:rsid w:val="004E39E1"/>
    <w:rsid w:val="004F56D0"/>
    <w:rsid w:val="00503E44"/>
    <w:rsid w:val="00515283"/>
    <w:rsid w:val="0052727C"/>
    <w:rsid w:val="00533926"/>
    <w:rsid w:val="00546E6D"/>
    <w:rsid w:val="0055675D"/>
    <w:rsid w:val="00562BD9"/>
    <w:rsid w:val="00566E8F"/>
    <w:rsid w:val="0057422E"/>
    <w:rsid w:val="005833BE"/>
    <w:rsid w:val="005931F9"/>
    <w:rsid w:val="005957C0"/>
    <w:rsid w:val="00595859"/>
    <w:rsid w:val="005D7D5A"/>
    <w:rsid w:val="005E3DC3"/>
    <w:rsid w:val="005E4BAC"/>
    <w:rsid w:val="005E7156"/>
    <w:rsid w:val="005F3D80"/>
    <w:rsid w:val="0060130D"/>
    <w:rsid w:val="00607E37"/>
    <w:rsid w:val="00612333"/>
    <w:rsid w:val="0064129F"/>
    <w:rsid w:val="00647BB7"/>
    <w:rsid w:val="00666F98"/>
    <w:rsid w:val="00680297"/>
    <w:rsid w:val="006873CE"/>
    <w:rsid w:val="00691899"/>
    <w:rsid w:val="006A0786"/>
    <w:rsid w:val="006A0DB9"/>
    <w:rsid w:val="006A2C35"/>
    <w:rsid w:val="006F59FB"/>
    <w:rsid w:val="00710E94"/>
    <w:rsid w:val="00720B33"/>
    <w:rsid w:val="00727D8A"/>
    <w:rsid w:val="00731FEA"/>
    <w:rsid w:val="00735FDE"/>
    <w:rsid w:val="00736F61"/>
    <w:rsid w:val="00742253"/>
    <w:rsid w:val="007662C7"/>
    <w:rsid w:val="00776306"/>
    <w:rsid w:val="007A55A7"/>
    <w:rsid w:val="007B1F10"/>
    <w:rsid w:val="007B335E"/>
    <w:rsid w:val="007C0791"/>
    <w:rsid w:val="007C2F2F"/>
    <w:rsid w:val="007E018D"/>
    <w:rsid w:val="007F1B71"/>
    <w:rsid w:val="00802CFE"/>
    <w:rsid w:val="00807E7D"/>
    <w:rsid w:val="00831675"/>
    <w:rsid w:val="00834243"/>
    <w:rsid w:val="00836E29"/>
    <w:rsid w:val="00847496"/>
    <w:rsid w:val="00850C91"/>
    <w:rsid w:val="0088467C"/>
    <w:rsid w:val="00894579"/>
    <w:rsid w:val="008A1F05"/>
    <w:rsid w:val="008A5B67"/>
    <w:rsid w:val="008A7304"/>
    <w:rsid w:val="008C6BC0"/>
    <w:rsid w:val="008D16F7"/>
    <w:rsid w:val="008E1427"/>
    <w:rsid w:val="008F32F4"/>
    <w:rsid w:val="00904B8C"/>
    <w:rsid w:val="009143A0"/>
    <w:rsid w:val="00936902"/>
    <w:rsid w:val="00951DDC"/>
    <w:rsid w:val="00954679"/>
    <w:rsid w:val="00963AC4"/>
    <w:rsid w:val="0098088C"/>
    <w:rsid w:val="009C6A1E"/>
    <w:rsid w:val="009E2F86"/>
    <w:rsid w:val="009E6307"/>
    <w:rsid w:val="00A00357"/>
    <w:rsid w:val="00A12209"/>
    <w:rsid w:val="00A206D6"/>
    <w:rsid w:val="00A26CD8"/>
    <w:rsid w:val="00A36DF3"/>
    <w:rsid w:val="00A532DD"/>
    <w:rsid w:val="00A6557F"/>
    <w:rsid w:val="00A76BA4"/>
    <w:rsid w:val="00A80BCF"/>
    <w:rsid w:val="00A8369C"/>
    <w:rsid w:val="00AA1689"/>
    <w:rsid w:val="00AA5770"/>
    <w:rsid w:val="00AC1D15"/>
    <w:rsid w:val="00AC5A75"/>
    <w:rsid w:val="00B07B0C"/>
    <w:rsid w:val="00B25563"/>
    <w:rsid w:val="00B26D48"/>
    <w:rsid w:val="00B27742"/>
    <w:rsid w:val="00B31B57"/>
    <w:rsid w:val="00B352FE"/>
    <w:rsid w:val="00B42EE1"/>
    <w:rsid w:val="00B55203"/>
    <w:rsid w:val="00B726B1"/>
    <w:rsid w:val="00B8293D"/>
    <w:rsid w:val="00B92478"/>
    <w:rsid w:val="00B96EC0"/>
    <w:rsid w:val="00BA6188"/>
    <w:rsid w:val="00BB5A23"/>
    <w:rsid w:val="00BD61A2"/>
    <w:rsid w:val="00BE484D"/>
    <w:rsid w:val="00C13A92"/>
    <w:rsid w:val="00C37E05"/>
    <w:rsid w:val="00C55D29"/>
    <w:rsid w:val="00C81973"/>
    <w:rsid w:val="00CA0BE9"/>
    <w:rsid w:val="00CA138D"/>
    <w:rsid w:val="00CB3D77"/>
    <w:rsid w:val="00CC7641"/>
    <w:rsid w:val="00CD4903"/>
    <w:rsid w:val="00CD54F2"/>
    <w:rsid w:val="00D01297"/>
    <w:rsid w:val="00D10C60"/>
    <w:rsid w:val="00D13794"/>
    <w:rsid w:val="00D2106D"/>
    <w:rsid w:val="00D24052"/>
    <w:rsid w:val="00D24386"/>
    <w:rsid w:val="00D31575"/>
    <w:rsid w:val="00D34626"/>
    <w:rsid w:val="00D34FB4"/>
    <w:rsid w:val="00D3629E"/>
    <w:rsid w:val="00D41AF0"/>
    <w:rsid w:val="00D4257A"/>
    <w:rsid w:val="00D42684"/>
    <w:rsid w:val="00D502FD"/>
    <w:rsid w:val="00D51572"/>
    <w:rsid w:val="00D62665"/>
    <w:rsid w:val="00D8113A"/>
    <w:rsid w:val="00D82E47"/>
    <w:rsid w:val="00D94168"/>
    <w:rsid w:val="00DA65F3"/>
    <w:rsid w:val="00DC0CDE"/>
    <w:rsid w:val="00DC2D64"/>
    <w:rsid w:val="00DC4D72"/>
    <w:rsid w:val="00DD3007"/>
    <w:rsid w:val="00DE4015"/>
    <w:rsid w:val="00DE7B5B"/>
    <w:rsid w:val="00DF4BAA"/>
    <w:rsid w:val="00E0624D"/>
    <w:rsid w:val="00E064EA"/>
    <w:rsid w:val="00E11376"/>
    <w:rsid w:val="00E1457D"/>
    <w:rsid w:val="00E236BD"/>
    <w:rsid w:val="00E436CD"/>
    <w:rsid w:val="00E4438C"/>
    <w:rsid w:val="00E457F3"/>
    <w:rsid w:val="00E6465D"/>
    <w:rsid w:val="00E85FE0"/>
    <w:rsid w:val="00EA0407"/>
    <w:rsid w:val="00EA4DD8"/>
    <w:rsid w:val="00EB2AEF"/>
    <w:rsid w:val="00EB7E71"/>
    <w:rsid w:val="00EF4028"/>
    <w:rsid w:val="00F07EE9"/>
    <w:rsid w:val="00F109D4"/>
    <w:rsid w:val="00F15EE9"/>
    <w:rsid w:val="00F26660"/>
    <w:rsid w:val="00F339BA"/>
    <w:rsid w:val="00F47585"/>
    <w:rsid w:val="00F81F64"/>
    <w:rsid w:val="00F85E6F"/>
    <w:rsid w:val="00F9661E"/>
    <w:rsid w:val="00FB7A89"/>
    <w:rsid w:val="00FC5E6E"/>
    <w:rsid w:val="00FE04E4"/>
    <w:rsid w:val="00FE10E5"/>
    <w:rsid w:val="00FE6235"/>
    <w:rsid w:val="00FE73F9"/>
    <w:rsid w:val="00FE7883"/>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5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8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UnresolvedMention">
    <w:name w:val="Unresolved Mention"/>
    <w:basedOn w:val="DefaultParagraphFont"/>
    <w:uiPriority w:val="99"/>
    <w:semiHidden/>
    <w:unhideWhenUsed/>
    <w:rsid w:val="00595859"/>
    <w:rPr>
      <w:color w:val="605E5C"/>
      <w:shd w:val="clear" w:color="auto" w:fill="E1DFDD"/>
    </w:rPr>
  </w:style>
  <w:style w:type="paragraph" w:customStyle="1" w:styleId="SecurityClassificationHeader">
    <w:name w:val="Security Classification Header"/>
    <w:link w:val="SecurityClassificationHeaderChar"/>
    <w:rsid w:val="00847496"/>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847496"/>
    <w:rPr>
      <w:rFonts w:ascii="Calibri" w:hAnsi="Calibri" w:cs="Calibri"/>
      <w:b/>
      <w:caps/>
      <w:sz w:val="24"/>
    </w:rPr>
  </w:style>
  <w:style w:type="paragraph" w:customStyle="1" w:styleId="SecurityClassificationFooter">
    <w:name w:val="Security Classification Footer"/>
    <w:link w:val="SecurityClassificationFooterChar"/>
    <w:rsid w:val="00847496"/>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847496"/>
    <w:rPr>
      <w:rFonts w:ascii="Calibri" w:hAnsi="Calibri" w:cs="Calibri"/>
      <w:b/>
      <w:caps/>
      <w:sz w:val="24"/>
    </w:rPr>
  </w:style>
  <w:style w:type="paragraph" w:customStyle="1" w:styleId="DLMSecurityHeader">
    <w:name w:val="DLM Security Header"/>
    <w:link w:val="DLMSecurityHeaderChar"/>
    <w:rsid w:val="00847496"/>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847496"/>
    <w:rPr>
      <w:rFonts w:ascii="Calibri" w:hAnsi="Calibri" w:cs="Calibri"/>
      <w:b/>
      <w:caps/>
      <w:sz w:val="24"/>
    </w:rPr>
  </w:style>
  <w:style w:type="paragraph" w:customStyle="1" w:styleId="DLMSecurityFooter">
    <w:name w:val="DLM Security Footer"/>
    <w:link w:val="DLMSecurityFooterChar"/>
    <w:rsid w:val="00847496"/>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847496"/>
    <w:rPr>
      <w:rFonts w:ascii="Calibri" w:hAnsi="Calibri" w:cs="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6323D8743E408694AF5E4D6A17A33A"/>
        <w:category>
          <w:name w:val="General"/>
          <w:gallery w:val="placeholder"/>
        </w:category>
        <w:types>
          <w:type w:val="bbPlcHdr"/>
        </w:types>
        <w:behaviors>
          <w:behavior w:val="content"/>
        </w:behaviors>
        <w:guid w:val="{104C510E-311A-44C5-9FDB-146CBAAFF43C}"/>
      </w:docPartPr>
      <w:docPartBody>
        <w:p w:rsidR="009F6BE9" w:rsidRDefault="009F6BE9">
          <w:pPr>
            <w:pStyle w:val="C16323D8743E408694AF5E4D6A17A33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E9"/>
    <w:rsid w:val="00456231"/>
    <w:rsid w:val="009F6BE9"/>
    <w:rsid w:val="00BB5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6323D8743E408694AF5E4D6A17A33A">
    <w:name w:val="C16323D8743E408694AF5E4D6A17A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1507" ma:contentTypeDescription=" " ma:contentTypeScope="" ma:versionID="f279e721a8eaa6daf3ecdd1c6508d79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2021RG-111-21444</_dlc_DocId>
    <TaxCatchAll xmlns="0f563589-9cf9-4143-b1eb-fb0534803d38">
      <Value>1</Value>
    </TaxCatchAll>
    <_dlc_DocIdUrl xmlns="0f563589-9cf9-4143-b1eb-fb0534803d38">
      <Url>http://tweb/sites/rg/ldp/lmu/_layouts/15/DocIdRedir.aspx?ID=2021RG-111-21444</Url>
      <Description>2021RG-111-21444</Description>
    </_dlc_DocIdUrl>
    <i6880fa62fd2465ea894b48b45824d1c xmlns="9f7bc583-7cbe-45b9-a2bd-8bbb6543b37e">
      <Terms xmlns="http://schemas.microsoft.com/office/infopath/2007/PartnerControls"/>
    </i6880fa62fd2465ea894b48b45824d1c>
    <IconOverlay xmlns="http://schemas.microsoft.com/sharepoint/v4" xsi:nil="true"/>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09031697-0572-4923-9D57-F4F3F076FE93}"/>
</file>

<file path=customXml/itemProps3.xml><?xml version="1.0" encoding="utf-8"?>
<ds:datastoreItem xmlns:ds="http://schemas.openxmlformats.org/officeDocument/2006/customXml" ds:itemID="{93099397-C1F9-4A3C-97BD-FA345E982F6C}"/>
</file>

<file path=customXml/itemProps4.xml><?xml version="1.0" encoding="utf-8"?>
<ds:datastoreItem xmlns:ds="http://schemas.openxmlformats.org/officeDocument/2006/customXml" ds:itemID="{BAEB3475-BA26-4318-B1D9-1B3508165B23}"/>
</file>

<file path=customXml/itemProps5.xml><?xml version="1.0" encoding="utf-8"?>
<ds:datastoreItem xmlns:ds="http://schemas.openxmlformats.org/officeDocument/2006/customXml" ds:itemID="{6DFE46D7-3617-455F-832F-13AFFA5FB385}"/>
</file>

<file path=customXml/itemProps6.xml><?xml version="1.0" encoding="utf-8"?>
<ds:datastoreItem xmlns:ds="http://schemas.openxmlformats.org/officeDocument/2006/customXml" ds:itemID="{A618FA47-1434-4333-8B0C-5D274295F41D}"/>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2021-10-11T23:33:00Z</dcterms:created>
  <dcterms:modified xsi:type="dcterms:W3CDTF">2021-10-11T23:33:00Z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ingToolsShownOnce">
    <vt:lpwstr/>
  </property>
  <property fmtid="{D5CDD505-2E9C-101B-9397-08002B2CF9AE}" pid="3" name="TSYTopic">
    <vt:lpwstr/>
  </property>
  <property fmtid="{D5CDD505-2E9C-101B-9397-08002B2CF9AE}" pid="4" name="_AuthorEmailDisplayName">
    <vt:lpwstr>Osborne, Lea</vt:lpwstr>
  </property>
  <property fmtid="{D5CDD505-2E9C-101B-9397-08002B2CF9AE}" pid="5" name="_AdHocReviewCycleID">
    <vt:i4>-1533705720</vt:i4>
  </property>
  <property fmtid="{D5CDD505-2E9C-101B-9397-08002B2CF9AE}" pid="6" name="_NewReviewCycle">
    <vt:lpwstr/>
  </property>
  <property fmtid="{D5CDD505-2E9C-101B-9397-08002B2CF9AE}" pid="7" name="_EmailSubject">
    <vt:lpwstr>Templates Assist job attachments [SEC=UNCLASSIFIED]</vt:lpwstr>
  </property>
  <property fmtid="{D5CDD505-2E9C-101B-9397-08002B2CF9AE}" pid="8" name="ContentTypeId">
    <vt:lpwstr>0x01010036BB8DE7EC542E42A8B2E98CC20CB69700D5C18F41BA18FB44827A222ACD6776F5</vt:lpwstr>
  </property>
  <property fmtid="{D5CDD505-2E9C-101B-9397-08002B2CF9AE}" pid="9" name="_PreviousAdHocReviewCycleID">
    <vt:i4>1180105450</vt:i4>
  </property>
  <property fmtid="{D5CDD505-2E9C-101B-9397-08002B2CF9AE}" pid="10" name="SecurityClassification">
    <vt:lpwstr>Sensitive:  Legal</vt:lpwstr>
  </property>
  <property fmtid="{D5CDD505-2E9C-101B-9397-08002B2CF9AE}" pid="11" name="WorkingDocStatus">
    <vt:lpwstr>DRAFT WORKING DOCUMENT</vt:lpwstr>
  </property>
  <property fmtid="{D5CDD505-2E9C-101B-9397-08002B2CF9AE}" pid="12" name="TSYRecordClass">
    <vt:lpwstr>1;#AE-20260-Destroy 7 years after action completed|623f5ec9-ec5d-4824-8e13-9c9bfc51fe7e</vt:lpwstr>
  </property>
  <property fmtid="{D5CDD505-2E9C-101B-9397-08002B2CF9AE}" pid="13" name="_AuthorEmail">
    <vt:lpwstr>Lea.Osborne@TREASURY.GOV.AU</vt:lpwstr>
  </property>
  <property fmtid="{D5CDD505-2E9C-101B-9397-08002B2CF9AE}" pid="14" name="_dlc_DocIdItemGuid">
    <vt:lpwstr>890e2a5f-fd72-411a-924c-90b9904765a9</vt:lpwstr>
  </property>
  <property fmtid="{D5CDD505-2E9C-101B-9397-08002B2CF9AE}" pid="15" name="DLMSecurityClassification">
    <vt:lpwstr/>
  </property>
</Properties>
</file>