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2B143" w14:textId="77777777" w:rsidR="009A1AC3" w:rsidRPr="00596D0D" w:rsidRDefault="009A1AC3" w:rsidP="009A1AC3">
      <w:pPr>
        <w:pStyle w:val="Heading1"/>
        <w:spacing w:after="240" w:line="276" w:lineRule="auto"/>
        <w:rPr>
          <w:sz w:val="22"/>
          <w:szCs w:val="22"/>
        </w:rPr>
      </w:pPr>
      <w:r w:rsidRPr="00596D0D">
        <w:rPr>
          <w:sz w:val="22"/>
          <w:szCs w:val="22"/>
        </w:rPr>
        <w:t>EXPLANATORY STATEMENT</w:t>
      </w:r>
    </w:p>
    <w:p w14:paraId="78E2B144" w14:textId="77777777" w:rsidR="00F32C66" w:rsidRPr="00596D0D" w:rsidRDefault="00F32C66" w:rsidP="00F32C66">
      <w:pPr>
        <w:spacing w:line="276" w:lineRule="auto"/>
        <w:jc w:val="center"/>
        <w:rPr>
          <w:rFonts w:cs="Arial"/>
          <w:b/>
          <w:i/>
          <w:sz w:val="22"/>
          <w:szCs w:val="22"/>
        </w:rPr>
      </w:pPr>
      <w:r w:rsidRPr="00596D0D">
        <w:rPr>
          <w:rFonts w:cs="Arial"/>
          <w:b/>
          <w:i/>
          <w:sz w:val="22"/>
          <w:szCs w:val="22"/>
        </w:rPr>
        <w:t>Social Security (Australian Government Disaster Recovery Payment</w:t>
      </w:r>
      <w:r w:rsidR="00F27571" w:rsidRPr="00596D0D">
        <w:rPr>
          <w:rFonts w:cs="Arial"/>
          <w:b/>
          <w:i/>
          <w:sz w:val="22"/>
          <w:szCs w:val="22"/>
        </w:rPr>
        <w:t>—</w:t>
      </w:r>
      <w:r w:rsidR="006C320E" w:rsidRPr="00596D0D">
        <w:rPr>
          <w:rFonts w:cs="Arial"/>
          <w:b/>
          <w:i/>
          <w:sz w:val="22"/>
          <w:szCs w:val="22"/>
        </w:rPr>
        <w:t>Victorian storms and</w:t>
      </w:r>
      <w:r w:rsidR="007D7525" w:rsidRPr="00596D0D">
        <w:rPr>
          <w:rFonts w:cs="Arial"/>
          <w:b/>
          <w:i/>
          <w:sz w:val="22"/>
          <w:szCs w:val="22"/>
        </w:rPr>
        <w:t xml:space="preserve"> floods</w:t>
      </w:r>
      <w:r w:rsidRPr="00596D0D">
        <w:rPr>
          <w:rFonts w:cs="Arial"/>
          <w:b/>
          <w:i/>
          <w:sz w:val="22"/>
          <w:szCs w:val="22"/>
        </w:rPr>
        <w:t xml:space="preserve">) Determination </w:t>
      </w:r>
      <w:r w:rsidR="008074E9" w:rsidRPr="00596D0D">
        <w:rPr>
          <w:rFonts w:cs="Arial"/>
          <w:b/>
          <w:i/>
          <w:sz w:val="22"/>
          <w:szCs w:val="22"/>
        </w:rPr>
        <w:t>2021</w:t>
      </w:r>
      <w:r w:rsidRPr="00596D0D">
        <w:rPr>
          <w:rFonts w:cs="Arial"/>
          <w:b/>
          <w:i/>
          <w:sz w:val="22"/>
          <w:szCs w:val="22"/>
        </w:rPr>
        <w:t xml:space="preserve"> (No</w:t>
      </w:r>
      <w:r w:rsidR="00FB55B1" w:rsidRPr="002E793D">
        <w:rPr>
          <w:rFonts w:cs="Arial"/>
          <w:b/>
          <w:i/>
          <w:sz w:val="22"/>
          <w:szCs w:val="22"/>
        </w:rPr>
        <w:t xml:space="preserve">. </w:t>
      </w:r>
      <w:r w:rsidR="00A152E8" w:rsidRPr="002E793D">
        <w:rPr>
          <w:rFonts w:cs="Arial"/>
          <w:b/>
          <w:i/>
          <w:sz w:val="22"/>
          <w:szCs w:val="22"/>
        </w:rPr>
        <w:t>8</w:t>
      </w:r>
      <w:r w:rsidRPr="002E793D">
        <w:rPr>
          <w:rFonts w:cs="Arial"/>
          <w:b/>
          <w:i/>
          <w:sz w:val="22"/>
          <w:szCs w:val="22"/>
        </w:rPr>
        <w:t>)</w:t>
      </w:r>
    </w:p>
    <w:p w14:paraId="78E2B145" w14:textId="77777777" w:rsidR="00F32C66" w:rsidRPr="00596D0D" w:rsidRDefault="00F32C66" w:rsidP="00F32C66">
      <w:pPr>
        <w:pStyle w:val="Heading2"/>
        <w:spacing w:before="120" w:after="240" w:line="276" w:lineRule="auto"/>
        <w:ind w:left="0" w:firstLine="0"/>
        <w:rPr>
          <w:sz w:val="22"/>
          <w:szCs w:val="22"/>
        </w:rPr>
      </w:pPr>
      <w:r w:rsidRPr="00596D0D">
        <w:rPr>
          <w:rFonts w:cs="Arial"/>
          <w:i/>
          <w:sz w:val="22"/>
          <w:szCs w:val="22"/>
        </w:rPr>
        <w:t>Social Security Act 1991</w:t>
      </w:r>
    </w:p>
    <w:p w14:paraId="78E2B146" w14:textId="77777777" w:rsidR="009A1AC3" w:rsidRPr="00596D0D" w:rsidRDefault="009A1AC3" w:rsidP="00EF6ABF">
      <w:pPr>
        <w:pStyle w:val="Heading1"/>
        <w:spacing w:after="240" w:line="276" w:lineRule="auto"/>
        <w:rPr>
          <w:b w:val="0"/>
          <w:sz w:val="22"/>
          <w:szCs w:val="22"/>
          <w:u w:val="none"/>
        </w:rPr>
      </w:pPr>
      <w:r w:rsidRPr="00596D0D">
        <w:rPr>
          <w:b w:val="0"/>
          <w:sz w:val="22"/>
          <w:szCs w:val="22"/>
          <w:u w:val="none"/>
        </w:rPr>
        <w:t>Issued by authority of the Minister for Emergency Management</w:t>
      </w:r>
      <w:r w:rsidR="003519A7">
        <w:rPr>
          <w:b w:val="0"/>
          <w:sz w:val="22"/>
          <w:szCs w:val="22"/>
          <w:u w:val="none"/>
        </w:rPr>
        <w:t xml:space="preserve"> and National Recovery and Resilience</w:t>
      </w:r>
    </w:p>
    <w:p w14:paraId="78E2B147" w14:textId="77777777" w:rsidR="009A1AC3" w:rsidRPr="00596D0D" w:rsidRDefault="009A1AC3" w:rsidP="00F27571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567"/>
        <w:jc w:val="both"/>
        <w:rPr>
          <w:sz w:val="22"/>
          <w:szCs w:val="22"/>
        </w:rPr>
      </w:pPr>
      <w:r w:rsidRPr="00596D0D">
        <w:rPr>
          <w:sz w:val="22"/>
          <w:szCs w:val="22"/>
        </w:rPr>
        <w:t>The Australian Government Disaster Recovery Payment (the AGDRP) provides an immediate, one-off payment to Australians adversely affected by a major disaster.</w:t>
      </w:r>
    </w:p>
    <w:p w14:paraId="78E2B148" w14:textId="77777777" w:rsidR="009A1AC3" w:rsidRPr="00596D0D" w:rsidRDefault="009A1AC3" w:rsidP="00EF6ABF">
      <w:pPr>
        <w:numPr>
          <w:ilvl w:val="0"/>
          <w:numId w:val="1"/>
        </w:numPr>
        <w:tabs>
          <w:tab w:val="left" w:pos="851"/>
        </w:tabs>
        <w:spacing w:before="240" w:line="276" w:lineRule="auto"/>
        <w:ind w:left="851" w:hanging="567"/>
        <w:jc w:val="both"/>
        <w:rPr>
          <w:rFonts w:cs="Arial"/>
          <w:sz w:val="22"/>
          <w:szCs w:val="22"/>
        </w:rPr>
      </w:pPr>
      <w:r w:rsidRPr="00596D0D">
        <w:rPr>
          <w:rFonts w:cs="Arial"/>
          <w:sz w:val="22"/>
          <w:szCs w:val="22"/>
        </w:rPr>
        <w:t xml:space="preserve">Section 1061K of the </w:t>
      </w:r>
      <w:r w:rsidRPr="00596D0D">
        <w:rPr>
          <w:rFonts w:cs="Arial"/>
          <w:i/>
          <w:sz w:val="22"/>
          <w:szCs w:val="22"/>
        </w:rPr>
        <w:t>Social Security Act 1991</w:t>
      </w:r>
      <w:r w:rsidRPr="00596D0D">
        <w:rPr>
          <w:rFonts w:cs="Arial"/>
          <w:sz w:val="22"/>
          <w:szCs w:val="22"/>
        </w:rPr>
        <w:t xml:space="preserve"> (the Act) specifies the qualification criteria for the AGDRP. One of the qualification criteria requires a person to be “adversely affected by a major disaster”.</w:t>
      </w:r>
    </w:p>
    <w:p w14:paraId="78E2B149" w14:textId="77777777" w:rsidR="009A1AC3" w:rsidRPr="00596D0D" w:rsidRDefault="009A1AC3" w:rsidP="00EF6ABF">
      <w:pPr>
        <w:numPr>
          <w:ilvl w:val="0"/>
          <w:numId w:val="1"/>
        </w:numPr>
        <w:tabs>
          <w:tab w:val="left" w:pos="851"/>
        </w:tabs>
        <w:spacing w:before="240" w:line="276" w:lineRule="auto"/>
        <w:ind w:left="851" w:hanging="567"/>
        <w:jc w:val="both"/>
        <w:rPr>
          <w:rFonts w:cs="Arial"/>
          <w:sz w:val="22"/>
          <w:szCs w:val="22"/>
        </w:rPr>
      </w:pPr>
      <w:r w:rsidRPr="00596D0D">
        <w:rPr>
          <w:rFonts w:cs="Arial"/>
          <w:sz w:val="22"/>
          <w:szCs w:val="22"/>
        </w:rPr>
        <w:t>Subsection 1061L(1) of the Act provides that</w:t>
      </w:r>
      <w:r w:rsidR="00374A64" w:rsidRPr="00596D0D">
        <w:rPr>
          <w:rFonts w:cs="Arial"/>
          <w:sz w:val="22"/>
          <w:szCs w:val="22"/>
        </w:rPr>
        <w:t xml:space="preserve">, for the purposes of the Act, </w:t>
      </w:r>
      <w:r w:rsidRPr="00596D0D">
        <w:rPr>
          <w:rFonts w:cs="Arial"/>
          <w:sz w:val="22"/>
          <w:szCs w:val="22"/>
        </w:rPr>
        <w:t>a person is adversely affected by a major disaster if the person is affected by the disaster in a way determined by the Minis</w:t>
      </w:r>
      <w:r w:rsidR="00374A64" w:rsidRPr="00596D0D">
        <w:rPr>
          <w:rFonts w:cs="Arial"/>
          <w:sz w:val="22"/>
          <w:szCs w:val="22"/>
        </w:rPr>
        <w:t>ter in relation to the disaster</w:t>
      </w:r>
      <w:r w:rsidRPr="00596D0D">
        <w:rPr>
          <w:rFonts w:cs="Arial"/>
          <w:sz w:val="22"/>
          <w:szCs w:val="22"/>
        </w:rPr>
        <w:t>.</w:t>
      </w:r>
    </w:p>
    <w:p w14:paraId="78E2B14A" w14:textId="77777777" w:rsidR="009A1AC3" w:rsidRPr="00596D0D" w:rsidRDefault="009A1AC3" w:rsidP="00EF6ABF">
      <w:pPr>
        <w:numPr>
          <w:ilvl w:val="0"/>
          <w:numId w:val="1"/>
        </w:numPr>
        <w:tabs>
          <w:tab w:val="left" w:pos="851"/>
        </w:tabs>
        <w:spacing w:before="240" w:line="276" w:lineRule="auto"/>
        <w:ind w:left="851" w:hanging="567"/>
        <w:jc w:val="both"/>
        <w:rPr>
          <w:rFonts w:cs="Arial"/>
          <w:sz w:val="22"/>
          <w:szCs w:val="22"/>
        </w:rPr>
      </w:pPr>
      <w:r w:rsidRPr="00596D0D">
        <w:rPr>
          <w:rFonts w:cs="Arial"/>
          <w:sz w:val="22"/>
          <w:szCs w:val="22"/>
        </w:rPr>
        <w:t>Subsection 1061L(2</w:t>
      </w:r>
      <w:r w:rsidR="00374A64" w:rsidRPr="00596D0D">
        <w:rPr>
          <w:rFonts w:cs="Arial"/>
          <w:sz w:val="22"/>
          <w:szCs w:val="22"/>
        </w:rPr>
        <w:t xml:space="preserve">) of the Act provides that the </w:t>
      </w:r>
      <w:r w:rsidRPr="00596D0D">
        <w:rPr>
          <w:rFonts w:cs="Arial"/>
          <w:sz w:val="22"/>
          <w:szCs w:val="22"/>
        </w:rPr>
        <w:t>Minister may determine in writing, in relation to a major disaster, the circumstances in which persons are to be taken to be adv</w:t>
      </w:r>
      <w:r w:rsidR="00374A64" w:rsidRPr="00596D0D">
        <w:rPr>
          <w:rFonts w:cs="Arial"/>
          <w:sz w:val="22"/>
          <w:szCs w:val="22"/>
        </w:rPr>
        <w:t>ersely affected by the disaster</w:t>
      </w:r>
      <w:r w:rsidRPr="00596D0D">
        <w:rPr>
          <w:rFonts w:cs="Arial"/>
          <w:sz w:val="22"/>
          <w:szCs w:val="22"/>
        </w:rPr>
        <w:t>.</w:t>
      </w:r>
    </w:p>
    <w:p w14:paraId="78E2B14B" w14:textId="77777777" w:rsidR="00591539" w:rsidRPr="00596D0D" w:rsidRDefault="009A1AC3" w:rsidP="00591539">
      <w:pPr>
        <w:numPr>
          <w:ilvl w:val="0"/>
          <w:numId w:val="1"/>
        </w:numPr>
        <w:tabs>
          <w:tab w:val="left" w:pos="851"/>
        </w:tabs>
        <w:spacing w:before="240" w:line="276" w:lineRule="auto"/>
        <w:ind w:left="851" w:hanging="567"/>
        <w:jc w:val="both"/>
        <w:rPr>
          <w:rFonts w:cs="Arial"/>
          <w:sz w:val="22"/>
          <w:szCs w:val="22"/>
        </w:rPr>
      </w:pPr>
      <w:r w:rsidRPr="00596D0D">
        <w:rPr>
          <w:rFonts w:cs="Arial"/>
          <w:sz w:val="22"/>
          <w:szCs w:val="22"/>
        </w:rPr>
        <w:t>Section 36 of the Act empowers the Minister to determine</w:t>
      </w:r>
      <w:r w:rsidR="00374A64" w:rsidRPr="00596D0D">
        <w:rPr>
          <w:rFonts w:cs="Arial"/>
          <w:sz w:val="22"/>
          <w:szCs w:val="22"/>
        </w:rPr>
        <w:t xml:space="preserve"> in writing that an event is a ‘major disaster’</w:t>
      </w:r>
      <w:r w:rsidRPr="00596D0D">
        <w:rPr>
          <w:rFonts w:cs="Arial"/>
          <w:sz w:val="22"/>
          <w:szCs w:val="22"/>
        </w:rPr>
        <w:t xml:space="preserve"> if the Minister is satisfied that an event is a disaster that has such a significant impact on individuals that a government response is required.</w:t>
      </w:r>
      <w:r w:rsidR="00374A64" w:rsidRPr="00596D0D">
        <w:rPr>
          <w:rFonts w:cs="Arial"/>
          <w:sz w:val="22"/>
          <w:szCs w:val="22"/>
        </w:rPr>
        <w:t xml:space="preserve"> </w:t>
      </w:r>
    </w:p>
    <w:p w14:paraId="78E2B14C" w14:textId="77777777" w:rsidR="007D7525" w:rsidRPr="00596D0D" w:rsidRDefault="009A1AC3" w:rsidP="00591539">
      <w:pPr>
        <w:numPr>
          <w:ilvl w:val="0"/>
          <w:numId w:val="1"/>
        </w:numPr>
        <w:tabs>
          <w:tab w:val="left" w:pos="851"/>
        </w:tabs>
        <w:spacing w:before="240" w:line="276" w:lineRule="auto"/>
        <w:ind w:left="851" w:hanging="567"/>
        <w:jc w:val="both"/>
        <w:rPr>
          <w:rFonts w:cs="Arial"/>
          <w:sz w:val="22"/>
          <w:szCs w:val="22"/>
        </w:rPr>
      </w:pPr>
      <w:r w:rsidRPr="00596D0D">
        <w:rPr>
          <w:sz w:val="22"/>
          <w:szCs w:val="22"/>
        </w:rPr>
        <w:t xml:space="preserve">The </w:t>
      </w:r>
      <w:r w:rsidRPr="00596D0D">
        <w:rPr>
          <w:rFonts w:cs="Arial"/>
          <w:sz w:val="22"/>
          <w:szCs w:val="22"/>
        </w:rPr>
        <w:t>Minister has made</w:t>
      </w:r>
      <w:r w:rsidRPr="00596D0D">
        <w:rPr>
          <w:sz w:val="22"/>
          <w:szCs w:val="22"/>
        </w:rPr>
        <w:t xml:space="preserve"> a determination under section 36</w:t>
      </w:r>
      <w:r w:rsidR="00B45FA1" w:rsidRPr="00596D0D">
        <w:rPr>
          <w:sz w:val="22"/>
          <w:szCs w:val="22"/>
        </w:rPr>
        <w:t>(1)</w:t>
      </w:r>
      <w:r w:rsidRPr="00596D0D">
        <w:rPr>
          <w:sz w:val="22"/>
          <w:szCs w:val="22"/>
        </w:rPr>
        <w:t xml:space="preserve"> of the Act that applies only to </w:t>
      </w:r>
      <w:r w:rsidR="00AF2504" w:rsidRPr="00596D0D">
        <w:rPr>
          <w:sz w:val="22"/>
          <w:szCs w:val="22"/>
        </w:rPr>
        <w:t xml:space="preserve">the severe storms and associated flooding that occurred between 9 June 2021 and 17 June 2021 in Victoria affecting the local government areas of </w:t>
      </w:r>
      <w:r w:rsidR="00A152E8">
        <w:rPr>
          <w:sz w:val="22"/>
          <w:szCs w:val="22"/>
        </w:rPr>
        <w:t xml:space="preserve">Bass Coast, </w:t>
      </w:r>
      <w:r w:rsidR="00EC2A27">
        <w:rPr>
          <w:sz w:val="22"/>
          <w:szCs w:val="22"/>
        </w:rPr>
        <w:t xml:space="preserve">Baw Baw, Cardinia, </w:t>
      </w:r>
      <w:r w:rsidR="00AF2504" w:rsidRPr="00596D0D">
        <w:rPr>
          <w:sz w:val="22"/>
          <w:szCs w:val="22"/>
        </w:rPr>
        <w:t xml:space="preserve">Hepburn, Latrobe, </w:t>
      </w:r>
      <w:r w:rsidR="00A152E8">
        <w:rPr>
          <w:sz w:val="22"/>
          <w:szCs w:val="22"/>
        </w:rPr>
        <w:t xml:space="preserve">Macedon Ranges, </w:t>
      </w:r>
      <w:r w:rsidR="00AF2504" w:rsidRPr="00596D0D">
        <w:rPr>
          <w:sz w:val="22"/>
          <w:szCs w:val="22"/>
        </w:rPr>
        <w:t>Moorabool</w:t>
      </w:r>
      <w:r w:rsidR="00EC2A27">
        <w:rPr>
          <w:sz w:val="22"/>
          <w:szCs w:val="22"/>
        </w:rPr>
        <w:t>, Mornington Peninsula, South Gippsland</w:t>
      </w:r>
      <w:r w:rsidR="003A0437">
        <w:rPr>
          <w:sz w:val="22"/>
          <w:szCs w:val="22"/>
        </w:rPr>
        <w:t>, Wellington</w:t>
      </w:r>
      <w:r w:rsidR="00AF2504" w:rsidRPr="00596D0D">
        <w:rPr>
          <w:sz w:val="22"/>
          <w:szCs w:val="22"/>
        </w:rPr>
        <w:t xml:space="preserve"> and Yarra Ranges.</w:t>
      </w:r>
      <w:r w:rsidR="007D7525" w:rsidRPr="00596D0D">
        <w:rPr>
          <w:sz w:val="22"/>
          <w:szCs w:val="22"/>
        </w:rPr>
        <w:t xml:space="preserve"> </w:t>
      </w:r>
    </w:p>
    <w:p w14:paraId="78E2B14D" w14:textId="77777777" w:rsidR="009A1AC3" w:rsidRPr="00596D0D" w:rsidRDefault="009A1AC3" w:rsidP="00591539">
      <w:pPr>
        <w:numPr>
          <w:ilvl w:val="0"/>
          <w:numId w:val="1"/>
        </w:numPr>
        <w:tabs>
          <w:tab w:val="left" w:pos="851"/>
        </w:tabs>
        <w:spacing w:before="240" w:line="276" w:lineRule="auto"/>
        <w:ind w:left="851" w:hanging="567"/>
        <w:jc w:val="both"/>
        <w:rPr>
          <w:rFonts w:cs="Arial"/>
          <w:sz w:val="22"/>
          <w:szCs w:val="22"/>
        </w:rPr>
      </w:pPr>
      <w:r w:rsidRPr="00596D0D">
        <w:rPr>
          <w:rFonts w:cs="Arial"/>
          <w:sz w:val="22"/>
          <w:szCs w:val="22"/>
        </w:rPr>
        <w:t xml:space="preserve">The </w:t>
      </w:r>
      <w:r w:rsidRPr="00596D0D">
        <w:rPr>
          <w:rFonts w:cs="Arial"/>
          <w:i/>
          <w:sz w:val="22"/>
          <w:szCs w:val="22"/>
        </w:rPr>
        <w:t>Social Security (Australian Government Disaster Recovery Payment</w:t>
      </w:r>
      <w:r w:rsidR="00374A64" w:rsidRPr="00596D0D">
        <w:rPr>
          <w:rFonts w:cs="Arial"/>
          <w:i/>
          <w:sz w:val="22"/>
          <w:szCs w:val="22"/>
        </w:rPr>
        <w:t>—</w:t>
      </w:r>
      <w:r w:rsidR="006C320E" w:rsidRPr="00596D0D">
        <w:rPr>
          <w:rFonts w:cs="Arial"/>
          <w:i/>
          <w:sz w:val="22"/>
          <w:szCs w:val="22"/>
        </w:rPr>
        <w:t>Victorian storms and</w:t>
      </w:r>
      <w:r w:rsidR="000431A2" w:rsidRPr="00596D0D">
        <w:rPr>
          <w:rFonts w:cs="Arial"/>
          <w:i/>
          <w:sz w:val="22"/>
          <w:szCs w:val="22"/>
        </w:rPr>
        <w:t xml:space="preserve"> floods</w:t>
      </w:r>
      <w:r w:rsidRPr="00596D0D">
        <w:rPr>
          <w:rFonts w:cs="Arial"/>
          <w:i/>
          <w:sz w:val="22"/>
          <w:szCs w:val="22"/>
        </w:rPr>
        <w:t xml:space="preserve">) Determination </w:t>
      </w:r>
      <w:r w:rsidR="008074E9" w:rsidRPr="00596D0D">
        <w:rPr>
          <w:rFonts w:cs="Arial"/>
          <w:i/>
          <w:sz w:val="22"/>
          <w:szCs w:val="22"/>
        </w:rPr>
        <w:t>2021</w:t>
      </w:r>
      <w:r w:rsidR="00A14F6C" w:rsidRPr="00596D0D">
        <w:rPr>
          <w:rFonts w:cs="Arial"/>
          <w:i/>
          <w:sz w:val="22"/>
          <w:szCs w:val="22"/>
        </w:rPr>
        <w:t xml:space="preserve"> (</w:t>
      </w:r>
      <w:r w:rsidR="00A14F6C" w:rsidRPr="002E793D">
        <w:rPr>
          <w:rFonts w:cs="Arial"/>
          <w:i/>
          <w:sz w:val="22"/>
          <w:szCs w:val="22"/>
        </w:rPr>
        <w:t>No</w:t>
      </w:r>
      <w:r w:rsidR="00240AE3" w:rsidRPr="002E793D">
        <w:rPr>
          <w:rFonts w:cs="Arial"/>
          <w:i/>
          <w:sz w:val="22"/>
          <w:szCs w:val="22"/>
        </w:rPr>
        <w:t xml:space="preserve">. </w:t>
      </w:r>
      <w:r w:rsidR="00A152E8" w:rsidRPr="002E793D">
        <w:rPr>
          <w:rFonts w:cs="Arial"/>
          <w:i/>
          <w:sz w:val="22"/>
          <w:szCs w:val="22"/>
        </w:rPr>
        <w:t>8</w:t>
      </w:r>
      <w:r w:rsidRPr="002E793D">
        <w:rPr>
          <w:rFonts w:cs="Arial"/>
          <w:i/>
          <w:sz w:val="22"/>
          <w:szCs w:val="22"/>
        </w:rPr>
        <w:t>)</w:t>
      </w:r>
      <w:r w:rsidRPr="002E793D">
        <w:rPr>
          <w:rFonts w:cs="Arial"/>
          <w:b/>
          <w:i/>
          <w:sz w:val="22"/>
          <w:szCs w:val="22"/>
        </w:rPr>
        <w:t xml:space="preserve"> </w:t>
      </w:r>
      <w:r w:rsidRPr="002E793D">
        <w:rPr>
          <w:rFonts w:cs="Arial"/>
          <w:sz w:val="22"/>
          <w:szCs w:val="22"/>
        </w:rPr>
        <w:t xml:space="preserve">(the </w:t>
      </w:r>
      <w:r w:rsidRPr="002E793D">
        <w:rPr>
          <w:sz w:val="22"/>
          <w:szCs w:val="22"/>
        </w:rPr>
        <w:t>Determination</w:t>
      </w:r>
      <w:r w:rsidRPr="002E793D">
        <w:rPr>
          <w:rFonts w:cs="Arial"/>
          <w:sz w:val="22"/>
          <w:szCs w:val="22"/>
        </w:rPr>
        <w:t>)</w:t>
      </w:r>
      <w:r w:rsidRPr="002E793D">
        <w:rPr>
          <w:rFonts w:cs="Arial"/>
          <w:i/>
          <w:sz w:val="22"/>
          <w:szCs w:val="22"/>
        </w:rPr>
        <w:t xml:space="preserve"> </w:t>
      </w:r>
      <w:r w:rsidRPr="002E793D">
        <w:rPr>
          <w:rFonts w:cs="Arial"/>
          <w:sz w:val="22"/>
          <w:szCs w:val="22"/>
        </w:rPr>
        <w:t>gives effect to the disaster referred to above and sets out the circumstan</w:t>
      </w:r>
      <w:r w:rsidR="00374A64" w:rsidRPr="002E793D">
        <w:rPr>
          <w:rFonts w:cs="Arial"/>
          <w:sz w:val="22"/>
          <w:szCs w:val="22"/>
        </w:rPr>
        <w:t>c</w:t>
      </w:r>
      <w:r w:rsidR="00374A64" w:rsidRPr="00596D0D">
        <w:rPr>
          <w:rFonts w:cs="Arial"/>
          <w:sz w:val="22"/>
          <w:szCs w:val="22"/>
        </w:rPr>
        <w:t>es in which a person is to be ‘</w:t>
      </w:r>
      <w:r w:rsidR="00374A64" w:rsidRPr="00596D0D">
        <w:rPr>
          <w:sz w:val="22"/>
          <w:szCs w:val="22"/>
        </w:rPr>
        <w:t>adversely</w:t>
      </w:r>
      <w:r w:rsidR="00374A64" w:rsidRPr="00596D0D">
        <w:rPr>
          <w:rFonts w:cs="Arial"/>
          <w:sz w:val="22"/>
          <w:szCs w:val="22"/>
        </w:rPr>
        <w:t xml:space="preserve"> affected’ by the major disaster</w:t>
      </w:r>
      <w:r w:rsidRPr="00596D0D">
        <w:rPr>
          <w:sz w:val="22"/>
          <w:szCs w:val="22"/>
        </w:rPr>
        <w:t xml:space="preserve">. </w:t>
      </w:r>
    </w:p>
    <w:p w14:paraId="78E2B14E" w14:textId="77777777" w:rsidR="009A1AC3" w:rsidRPr="00596D0D" w:rsidRDefault="009A1AC3" w:rsidP="00591539">
      <w:pPr>
        <w:numPr>
          <w:ilvl w:val="0"/>
          <w:numId w:val="1"/>
        </w:numPr>
        <w:tabs>
          <w:tab w:val="left" w:pos="851"/>
        </w:tabs>
        <w:spacing w:before="240" w:line="276" w:lineRule="auto"/>
        <w:ind w:left="851" w:hanging="567"/>
        <w:jc w:val="both"/>
        <w:rPr>
          <w:rFonts w:cs="Arial"/>
          <w:sz w:val="22"/>
          <w:szCs w:val="22"/>
        </w:rPr>
      </w:pPr>
      <w:r w:rsidRPr="00596D0D">
        <w:rPr>
          <w:rFonts w:cs="Arial"/>
          <w:sz w:val="22"/>
          <w:szCs w:val="22"/>
        </w:rPr>
        <w:t xml:space="preserve">Section 1 of </w:t>
      </w:r>
      <w:r w:rsidR="007E3F43" w:rsidRPr="00596D0D">
        <w:rPr>
          <w:rFonts w:cs="Arial"/>
          <w:sz w:val="22"/>
          <w:szCs w:val="22"/>
        </w:rPr>
        <w:t xml:space="preserve">the </w:t>
      </w:r>
      <w:r w:rsidRPr="00596D0D">
        <w:rPr>
          <w:sz w:val="22"/>
          <w:szCs w:val="22"/>
        </w:rPr>
        <w:t>Determination</w:t>
      </w:r>
      <w:r w:rsidRPr="00596D0D">
        <w:rPr>
          <w:rFonts w:cs="Arial"/>
          <w:sz w:val="22"/>
          <w:szCs w:val="22"/>
        </w:rPr>
        <w:t xml:space="preserve"> specifies the name of the determination.</w:t>
      </w:r>
      <w:r w:rsidR="007E3F43" w:rsidRPr="00596D0D">
        <w:rPr>
          <w:rFonts w:cs="Arial"/>
          <w:sz w:val="22"/>
          <w:szCs w:val="22"/>
        </w:rPr>
        <w:t xml:space="preserve"> </w:t>
      </w:r>
    </w:p>
    <w:p w14:paraId="78E2B14F" w14:textId="77777777" w:rsidR="009A1AC3" w:rsidRPr="00596D0D" w:rsidRDefault="00EF6ABF" w:rsidP="00591539">
      <w:pPr>
        <w:numPr>
          <w:ilvl w:val="0"/>
          <w:numId w:val="1"/>
        </w:numPr>
        <w:tabs>
          <w:tab w:val="left" w:pos="851"/>
        </w:tabs>
        <w:spacing w:before="240" w:line="276" w:lineRule="auto"/>
        <w:ind w:left="851" w:hanging="567"/>
        <w:jc w:val="both"/>
        <w:rPr>
          <w:rFonts w:cs="Arial"/>
          <w:sz w:val="22"/>
          <w:szCs w:val="22"/>
        </w:rPr>
      </w:pPr>
      <w:r w:rsidRPr="00596D0D">
        <w:rPr>
          <w:rFonts w:cs="Arial"/>
          <w:sz w:val="22"/>
          <w:szCs w:val="22"/>
        </w:rPr>
        <w:t>Section 2</w:t>
      </w:r>
      <w:r w:rsidR="009A1AC3" w:rsidRPr="00596D0D">
        <w:rPr>
          <w:rFonts w:cs="Arial"/>
          <w:sz w:val="22"/>
          <w:szCs w:val="22"/>
        </w:rPr>
        <w:t xml:space="preserve"> provides that </w:t>
      </w:r>
      <w:r w:rsidR="007E3F43" w:rsidRPr="00596D0D">
        <w:rPr>
          <w:rFonts w:cs="Arial"/>
          <w:sz w:val="22"/>
          <w:szCs w:val="22"/>
        </w:rPr>
        <w:t xml:space="preserve">the Determination </w:t>
      </w:r>
      <w:r w:rsidR="009A1AC3" w:rsidRPr="00596D0D">
        <w:rPr>
          <w:sz w:val="22"/>
          <w:szCs w:val="22"/>
        </w:rPr>
        <w:t>commences</w:t>
      </w:r>
      <w:r w:rsidR="009A1AC3" w:rsidRPr="00596D0D">
        <w:rPr>
          <w:rFonts w:cs="Arial"/>
          <w:sz w:val="22"/>
          <w:szCs w:val="22"/>
        </w:rPr>
        <w:t xml:space="preserve"> on the day it is signed.</w:t>
      </w:r>
      <w:r w:rsidR="007E3F43" w:rsidRPr="00596D0D">
        <w:rPr>
          <w:rFonts w:cs="Arial"/>
          <w:sz w:val="22"/>
          <w:szCs w:val="22"/>
        </w:rPr>
        <w:t xml:space="preserve"> </w:t>
      </w:r>
      <w:r w:rsidR="007E3F43" w:rsidRPr="00596D0D">
        <w:rPr>
          <w:sz w:val="22"/>
          <w:szCs w:val="22"/>
        </w:rPr>
        <w:t>For</w:t>
      </w:r>
      <w:r w:rsidR="007E3F43" w:rsidRPr="00596D0D">
        <w:rPr>
          <w:rFonts w:cs="Arial"/>
          <w:sz w:val="22"/>
          <w:szCs w:val="22"/>
        </w:rPr>
        <w:t xml:space="preserve"> the purposes of section 12 of the </w:t>
      </w:r>
      <w:r w:rsidR="007E3F43" w:rsidRPr="00596D0D">
        <w:rPr>
          <w:rFonts w:cs="Arial"/>
          <w:i/>
          <w:sz w:val="22"/>
          <w:szCs w:val="22"/>
        </w:rPr>
        <w:t>Legislation Act 2003</w:t>
      </w:r>
      <w:r w:rsidR="007E3F43" w:rsidRPr="00596D0D">
        <w:rPr>
          <w:rFonts w:cs="Arial"/>
          <w:sz w:val="22"/>
          <w:szCs w:val="22"/>
        </w:rPr>
        <w:t xml:space="preserve">, the Determination may commence before it is registered as it will not disadvantage any persons adversely affected by the disaster. </w:t>
      </w:r>
    </w:p>
    <w:p w14:paraId="78E2B150" w14:textId="77777777" w:rsidR="009A1AC3" w:rsidRPr="00596D0D" w:rsidRDefault="00EF6ABF" w:rsidP="00591539">
      <w:pPr>
        <w:numPr>
          <w:ilvl w:val="0"/>
          <w:numId w:val="1"/>
        </w:numPr>
        <w:tabs>
          <w:tab w:val="left" w:pos="851"/>
        </w:tabs>
        <w:spacing w:before="240" w:line="276" w:lineRule="auto"/>
        <w:ind w:left="851" w:hanging="567"/>
        <w:jc w:val="both"/>
        <w:rPr>
          <w:rFonts w:cs="Arial"/>
          <w:sz w:val="22"/>
          <w:szCs w:val="22"/>
        </w:rPr>
      </w:pPr>
      <w:r w:rsidRPr="00596D0D">
        <w:rPr>
          <w:rFonts w:cs="Arial"/>
          <w:sz w:val="22"/>
          <w:szCs w:val="22"/>
        </w:rPr>
        <w:t>Section 3</w:t>
      </w:r>
      <w:r w:rsidR="009A1AC3" w:rsidRPr="00596D0D">
        <w:rPr>
          <w:rFonts w:cs="Arial"/>
          <w:sz w:val="22"/>
          <w:szCs w:val="22"/>
        </w:rPr>
        <w:t xml:space="preserve"> of Determination contains definitions relevant to the determination.</w:t>
      </w:r>
    </w:p>
    <w:p w14:paraId="78E2B151" w14:textId="77777777" w:rsidR="00293935" w:rsidRPr="00596D0D" w:rsidRDefault="00EF6ABF" w:rsidP="00591539">
      <w:pPr>
        <w:numPr>
          <w:ilvl w:val="0"/>
          <w:numId w:val="1"/>
        </w:numPr>
        <w:tabs>
          <w:tab w:val="left" w:pos="851"/>
        </w:tabs>
        <w:spacing w:before="240" w:line="276" w:lineRule="auto"/>
        <w:ind w:left="851" w:hanging="567"/>
        <w:jc w:val="both"/>
        <w:rPr>
          <w:rFonts w:cs="Arial"/>
          <w:sz w:val="22"/>
          <w:szCs w:val="22"/>
        </w:rPr>
      </w:pPr>
      <w:r w:rsidRPr="00596D0D">
        <w:rPr>
          <w:rFonts w:cs="Arial"/>
          <w:sz w:val="22"/>
          <w:szCs w:val="22"/>
        </w:rPr>
        <w:t>Subsection 4</w:t>
      </w:r>
      <w:r w:rsidR="009A1AC3" w:rsidRPr="00596D0D">
        <w:rPr>
          <w:rFonts w:cs="Arial"/>
          <w:sz w:val="22"/>
          <w:szCs w:val="22"/>
        </w:rPr>
        <w:t xml:space="preserve">(1) of the Determination </w:t>
      </w:r>
      <w:r w:rsidR="009A1AC3" w:rsidRPr="00596D0D">
        <w:rPr>
          <w:sz w:val="22"/>
          <w:szCs w:val="22"/>
        </w:rPr>
        <w:t>provides</w:t>
      </w:r>
      <w:r w:rsidR="009A1AC3" w:rsidRPr="00596D0D">
        <w:rPr>
          <w:rFonts w:cs="Arial"/>
          <w:sz w:val="22"/>
          <w:szCs w:val="22"/>
        </w:rPr>
        <w:t xml:space="preserve"> that the Determination applies to the major disaster being </w:t>
      </w:r>
      <w:r w:rsidR="00AF2504" w:rsidRPr="00596D0D">
        <w:rPr>
          <w:sz w:val="22"/>
          <w:szCs w:val="22"/>
        </w:rPr>
        <w:t xml:space="preserve">the severe storms and associated flooding that occurred between 9 June 2021 and 17 June 2021 in Victoria affecting the local government areas of </w:t>
      </w:r>
      <w:r w:rsidR="00A152E8">
        <w:rPr>
          <w:sz w:val="22"/>
          <w:szCs w:val="22"/>
        </w:rPr>
        <w:t xml:space="preserve">Bass Coast, </w:t>
      </w:r>
      <w:r w:rsidR="00EC2A27">
        <w:rPr>
          <w:sz w:val="22"/>
          <w:szCs w:val="22"/>
        </w:rPr>
        <w:t xml:space="preserve">Baw Baw, </w:t>
      </w:r>
      <w:r w:rsidR="00EC2A27">
        <w:rPr>
          <w:sz w:val="22"/>
          <w:szCs w:val="22"/>
        </w:rPr>
        <w:lastRenderedPageBreak/>
        <w:t xml:space="preserve">Cardinia, </w:t>
      </w:r>
      <w:r w:rsidR="00EC2A27" w:rsidRPr="00596D0D">
        <w:rPr>
          <w:sz w:val="22"/>
          <w:szCs w:val="22"/>
        </w:rPr>
        <w:t xml:space="preserve">Hepburn, Latrobe, </w:t>
      </w:r>
      <w:r w:rsidR="00A152E8">
        <w:rPr>
          <w:sz w:val="22"/>
          <w:szCs w:val="22"/>
        </w:rPr>
        <w:t xml:space="preserve">Macedon Ranges, </w:t>
      </w:r>
      <w:r w:rsidR="00EC2A27" w:rsidRPr="00596D0D">
        <w:rPr>
          <w:sz w:val="22"/>
          <w:szCs w:val="22"/>
        </w:rPr>
        <w:t>Moorabool</w:t>
      </w:r>
      <w:r w:rsidR="00EC2A27">
        <w:rPr>
          <w:sz w:val="22"/>
          <w:szCs w:val="22"/>
        </w:rPr>
        <w:t>, Mornington Peninsula, South</w:t>
      </w:r>
      <w:r w:rsidR="00A152E8">
        <w:rPr>
          <w:sz w:val="22"/>
          <w:szCs w:val="22"/>
        </w:rPr>
        <w:t> </w:t>
      </w:r>
      <w:r w:rsidR="00EC2A27">
        <w:rPr>
          <w:sz w:val="22"/>
          <w:szCs w:val="22"/>
        </w:rPr>
        <w:t>Gippsland</w:t>
      </w:r>
      <w:r w:rsidR="003A0437">
        <w:rPr>
          <w:sz w:val="22"/>
          <w:szCs w:val="22"/>
        </w:rPr>
        <w:t>, Wellington and Yarra </w:t>
      </w:r>
      <w:r w:rsidR="00EC2A27" w:rsidRPr="00596D0D">
        <w:rPr>
          <w:sz w:val="22"/>
          <w:szCs w:val="22"/>
        </w:rPr>
        <w:t xml:space="preserve">Ranges. </w:t>
      </w:r>
    </w:p>
    <w:p w14:paraId="78E2B152" w14:textId="77777777" w:rsidR="00FE0B40" w:rsidRPr="00596D0D" w:rsidRDefault="00FE0B40" w:rsidP="00591539">
      <w:pPr>
        <w:numPr>
          <w:ilvl w:val="0"/>
          <w:numId w:val="1"/>
        </w:numPr>
        <w:tabs>
          <w:tab w:val="left" w:pos="851"/>
        </w:tabs>
        <w:spacing w:before="240" w:after="240" w:line="276" w:lineRule="auto"/>
        <w:ind w:left="851" w:hanging="567"/>
        <w:jc w:val="both"/>
        <w:rPr>
          <w:rFonts w:cs="Arial"/>
          <w:sz w:val="22"/>
          <w:szCs w:val="22"/>
        </w:rPr>
      </w:pPr>
      <w:r w:rsidRPr="00596D0D">
        <w:rPr>
          <w:rFonts w:cs="Arial"/>
          <w:sz w:val="22"/>
          <w:szCs w:val="22"/>
        </w:rPr>
        <w:t xml:space="preserve">Subsection 4(2) of the </w:t>
      </w:r>
      <w:r w:rsidR="001A60E4" w:rsidRPr="00596D0D">
        <w:rPr>
          <w:sz w:val="22"/>
          <w:szCs w:val="22"/>
        </w:rPr>
        <w:t>Determination</w:t>
      </w:r>
      <w:r w:rsidR="001A60E4" w:rsidRPr="00596D0D">
        <w:rPr>
          <w:rFonts w:cs="Arial"/>
          <w:sz w:val="22"/>
          <w:szCs w:val="22"/>
        </w:rPr>
        <w:t xml:space="preserve"> </w:t>
      </w:r>
      <w:r w:rsidRPr="00596D0D">
        <w:rPr>
          <w:rFonts w:cs="Arial"/>
          <w:sz w:val="22"/>
          <w:szCs w:val="22"/>
        </w:rPr>
        <w:t xml:space="preserve">provides that the circumstances in which a person will be taken to be </w:t>
      </w:r>
      <w:r w:rsidRPr="00596D0D">
        <w:rPr>
          <w:sz w:val="22"/>
          <w:szCs w:val="22"/>
        </w:rPr>
        <w:t>adversely</w:t>
      </w:r>
      <w:r w:rsidRPr="00596D0D">
        <w:rPr>
          <w:rFonts w:cs="Arial"/>
          <w:sz w:val="22"/>
          <w:szCs w:val="22"/>
        </w:rPr>
        <w:t xml:space="preserve"> affected by the major disaster described in subsection 4(1) are where:</w:t>
      </w:r>
    </w:p>
    <w:p w14:paraId="78E2B153" w14:textId="77777777" w:rsidR="00FE0B40" w:rsidRPr="00596D0D" w:rsidRDefault="00FE0B40" w:rsidP="00797280">
      <w:pPr>
        <w:numPr>
          <w:ilvl w:val="1"/>
          <w:numId w:val="1"/>
        </w:numPr>
        <w:tabs>
          <w:tab w:val="left" w:pos="1701"/>
        </w:tabs>
        <w:spacing w:before="120" w:line="276" w:lineRule="auto"/>
        <w:ind w:left="1701" w:hanging="709"/>
        <w:jc w:val="both"/>
        <w:rPr>
          <w:rFonts w:cs="Arial"/>
          <w:sz w:val="22"/>
          <w:szCs w:val="22"/>
        </w:rPr>
      </w:pPr>
      <w:r w:rsidRPr="00596D0D">
        <w:rPr>
          <w:rFonts w:cs="Arial"/>
          <w:sz w:val="22"/>
          <w:szCs w:val="22"/>
        </w:rPr>
        <w:t xml:space="preserve">the person is seriously injured as a direct result of the disaster (paragraph 4(2)(a)); or </w:t>
      </w:r>
    </w:p>
    <w:p w14:paraId="78E2B154" w14:textId="77777777" w:rsidR="00FE0B40" w:rsidRPr="00596D0D" w:rsidRDefault="00FE0B40" w:rsidP="00797280">
      <w:pPr>
        <w:numPr>
          <w:ilvl w:val="1"/>
          <w:numId w:val="1"/>
        </w:numPr>
        <w:tabs>
          <w:tab w:val="left" w:pos="1701"/>
        </w:tabs>
        <w:spacing w:before="120" w:line="276" w:lineRule="auto"/>
        <w:ind w:left="1701" w:hanging="709"/>
        <w:jc w:val="both"/>
        <w:rPr>
          <w:rFonts w:cs="Arial"/>
          <w:sz w:val="22"/>
          <w:szCs w:val="22"/>
        </w:rPr>
      </w:pPr>
      <w:r w:rsidRPr="00596D0D">
        <w:rPr>
          <w:rFonts w:cs="Arial"/>
          <w:sz w:val="22"/>
          <w:szCs w:val="22"/>
        </w:rPr>
        <w:t xml:space="preserve">the person is an immediate family member of an Australian who is killed as a direct result of the disaster (paragraph 4(2)(b)); or </w:t>
      </w:r>
    </w:p>
    <w:p w14:paraId="78E2B155" w14:textId="77777777" w:rsidR="00FE0B40" w:rsidRPr="00596D0D" w:rsidRDefault="00FE0B40" w:rsidP="00797280">
      <w:pPr>
        <w:numPr>
          <w:ilvl w:val="1"/>
          <w:numId w:val="1"/>
        </w:numPr>
        <w:tabs>
          <w:tab w:val="left" w:pos="1701"/>
        </w:tabs>
        <w:spacing w:before="120" w:line="276" w:lineRule="auto"/>
        <w:ind w:left="1701" w:hanging="709"/>
        <w:jc w:val="both"/>
        <w:rPr>
          <w:rFonts w:cs="Arial"/>
          <w:sz w:val="22"/>
          <w:szCs w:val="22"/>
        </w:rPr>
      </w:pPr>
      <w:r w:rsidRPr="00596D0D">
        <w:rPr>
          <w:rFonts w:cs="Arial"/>
          <w:sz w:val="22"/>
          <w:szCs w:val="22"/>
        </w:rPr>
        <w:t xml:space="preserve">the person’s principal place of residence has been destroyed or has major damage as a direct result of the disaster (paragraph 4(2)(c)); or </w:t>
      </w:r>
    </w:p>
    <w:p w14:paraId="78E2B156" w14:textId="77777777" w:rsidR="00FE0B40" w:rsidRPr="00596D0D" w:rsidRDefault="00FE0B40" w:rsidP="00797280">
      <w:pPr>
        <w:numPr>
          <w:ilvl w:val="1"/>
          <w:numId w:val="1"/>
        </w:numPr>
        <w:tabs>
          <w:tab w:val="left" w:pos="1701"/>
        </w:tabs>
        <w:spacing w:before="120" w:line="276" w:lineRule="auto"/>
        <w:ind w:left="1701" w:hanging="709"/>
        <w:jc w:val="both"/>
        <w:rPr>
          <w:rFonts w:cs="Arial"/>
          <w:sz w:val="22"/>
          <w:szCs w:val="22"/>
        </w:rPr>
      </w:pPr>
      <w:r w:rsidRPr="00596D0D">
        <w:rPr>
          <w:rFonts w:cs="Arial"/>
          <w:sz w:val="22"/>
          <w:szCs w:val="22"/>
        </w:rPr>
        <w:t>a major asset or assets of the person has or have been destroyed or suffered major damage as a result of the disaster; or</w:t>
      </w:r>
    </w:p>
    <w:p w14:paraId="78E2B157" w14:textId="77777777" w:rsidR="009A1AC3" w:rsidRPr="00596D0D" w:rsidRDefault="00FE0B40" w:rsidP="00797280">
      <w:pPr>
        <w:numPr>
          <w:ilvl w:val="1"/>
          <w:numId w:val="1"/>
        </w:numPr>
        <w:tabs>
          <w:tab w:val="left" w:pos="1701"/>
        </w:tabs>
        <w:spacing w:before="120" w:line="276" w:lineRule="auto"/>
        <w:ind w:left="1701" w:hanging="709"/>
        <w:jc w:val="both"/>
        <w:rPr>
          <w:rFonts w:cs="Arial"/>
          <w:sz w:val="22"/>
          <w:szCs w:val="22"/>
        </w:rPr>
      </w:pPr>
      <w:r w:rsidRPr="00596D0D">
        <w:rPr>
          <w:rFonts w:cs="Arial"/>
          <w:sz w:val="22"/>
          <w:szCs w:val="22"/>
        </w:rPr>
        <w:t>the person is a principal carer of a child to whom paragraphs 4(2)(a), (b), (c) or (d) apply (paragraph 4(2)(e)).</w:t>
      </w:r>
    </w:p>
    <w:p w14:paraId="78E2B158" w14:textId="77777777" w:rsidR="00CC570F" w:rsidRPr="002E793D" w:rsidRDefault="00CC570F" w:rsidP="005D7E96">
      <w:pPr>
        <w:numPr>
          <w:ilvl w:val="0"/>
          <w:numId w:val="1"/>
        </w:numPr>
        <w:tabs>
          <w:tab w:val="left" w:pos="851"/>
        </w:tabs>
        <w:spacing w:before="240" w:line="276" w:lineRule="auto"/>
        <w:ind w:left="851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Section 5 of the Determination provides that the </w:t>
      </w:r>
      <w:r>
        <w:rPr>
          <w:rFonts w:cs="Arial"/>
          <w:i/>
          <w:sz w:val="22"/>
          <w:szCs w:val="22"/>
        </w:rPr>
        <w:t xml:space="preserve">Social Security (Australian Government Disaster Recovery Payment – </w:t>
      </w:r>
      <w:r w:rsidR="00B44EE1">
        <w:rPr>
          <w:rFonts w:cs="Arial"/>
          <w:i/>
          <w:sz w:val="22"/>
          <w:szCs w:val="22"/>
        </w:rPr>
        <w:t>Victorian storms and</w:t>
      </w:r>
      <w:r>
        <w:rPr>
          <w:rFonts w:cs="Arial"/>
          <w:i/>
          <w:sz w:val="22"/>
          <w:szCs w:val="22"/>
        </w:rPr>
        <w:t xml:space="preserve"> floods) Determination 2021 (</w:t>
      </w:r>
      <w:r w:rsidRPr="002E793D">
        <w:rPr>
          <w:rFonts w:cs="Arial"/>
          <w:i/>
          <w:sz w:val="22"/>
          <w:szCs w:val="22"/>
        </w:rPr>
        <w:t>No.</w:t>
      </w:r>
      <w:r w:rsidR="00A152E8" w:rsidRPr="002E793D">
        <w:rPr>
          <w:rFonts w:cs="Arial"/>
          <w:i/>
          <w:sz w:val="22"/>
          <w:szCs w:val="22"/>
        </w:rPr>
        <w:t>7</w:t>
      </w:r>
      <w:r w:rsidRPr="002E793D">
        <w:rPr>
          <w:rFonts w:cs="Arial"/>
          <w:i/>
          <w:sz w:val="22"/>
          <w:szCs w:val="22"/>
        </w:rPr>
        <w:t>)</w:t>
      </w:r>
      <w:r w:rsidRPr="002E793D">
        <w:rPr>
          <w:rFonts w:cs="Arial"/>
          <w:sz w:val="22"/>
          <w:szCs w:val="22"/>
        </w:rPr>
        <w:t xml:space="preserve"> is repealed, </w:t>
      </w:r>
      <w:r w:rsidR="00EE3840" w:rsidRPr="002E793D">
        <w:rPr>
          <w:rFonts w:cs="Arial"/>
          <w:sz w:val="22"/>
          <w:szCs w:val="22"/>
        </w:rPr>
        <w:t>as enabled under</w:t>
      </w:r>
      <w:r w:rsidRPr="002E793D">
        <w:rPr>
          <w:rFonts w:cs="Arial"/>
          <w:sz w:val="22"/>
          <w:szCs w:val="22"/>
        </w:rPr>
        <w:t xml:space="preserve"> section 33(3) of the </w:t>
      </w:r>
      <w:r w:rsidRPr="002E793D">
        <w:rPr>
          <w:rFonts w:cs="Arial"/>
          <w:i/>
          <w:sz w:val="22"/>
          <w:szCs w:val="22"/>
        </w:rPr>
        <w:t>Acts Interpretation Act 1901</w:t>
      </w:r>
      <w:r w:rsidRPr="002E793D">
        <w:rPr>
          <w:rFonts w:cs="Arial"/>
          <w:sz w:val="22"/>
          <w:szCs w:val="22"/>
        </w:rPr>
        <w:t xml:space="preserve">. </w:t>
      </w:r>
    </w:p>
    <w:p w14:paraId="78E2B159" w14:textId="77777777" w:rsidR="00CC570F" w:rsidRPr="002E793D" w:rsidRDefault="00CC570F" w:rsidP="005D7E96">
      <w:pPr>
        <w:numPr>
          <w:ilvl w:val="0"/>
          <w:numId w:val="1"/>
        </w:numPr>
        <w:tabs>
          <w:tab w:val="left" w:pos="851"/>
        </w:tabs>
        <w:spacing w:before="240" w:line="276" w:lineRule="auto"/>
        <w:ind w:left="851" w:hanging="567"/>
        <w:jc w:val="both"/>
        <w:rPr>
          <w:rFonts w:cs="Arial"/>
          <w:sz w:val="22"/>
          <w:szCs w:val="22"/>
        </w:rPr>
      </w:pPr>
      <w:r w:rsidRPr="002E793D">
        <w:rPr>
          <w:rFonts w:cs="Arial"/>
          <w:sz w:val="22"/>
          <w:szCs w:val="22"/>
        </w:rPr>
        <w:t xml:space="preserve">Section 6 provides that despite the operation of section 5, anything done under the </w:t>
      </w:r>
      <w:r w:rsidRPr="002E793D">
        <w:rPr>
          <w:rFonts w:cs="Arial"/>
          <w:i/>
          <w:sz w:val="22"/>
          <w:szCs w:val="22"/>
        </w:rPr>
        <w:t xml:space="preserve">Social Security (Australian Government Disaster Recovery Payment – Victorian storms and </w:t>
      </w:r>
      <w:r w:rsidR="00A152E8" w:rsidRPr="002E793D">
        <w:rPr>
          <w:rFonts w:cs="Arial"/>
          <w:i/>
          <w:sz w:val="22"/>
          <w:szCs w:val="22"/>
        </w:rPr>
        <w:t>floods) Determination 2021 (No.7</w:t>
      </w:r>
      <w:r w:rsidRPr="002E793D">
        <w:rPr>
          <w:rFonts w:cs="Arial"/>
          <w:i/>
          <w:sz w:val="22"/>
          <w:szCs w:val="22"/>
        </w:rPr>
        <w:t xml:space="preserve">) </w:t>
      </w:r>
      <w:r w:rsidRPr="002E793D">
        <w:rPr>
          <w:rFonts w:cs="Arial"/>
          <w:sz w:val="22"/>
          <w:szCs w:val="22"/>
        </w:rPr>
        <w:t xml:space="preserve">continues to be in effect. </w:t>
      </w:r>
    </w:p>
    <w:p w14:paraId="78E2B15A" w14:textId="77777777" w:rsidR="009A1AC3" w:rsidRDefault="00374A64" w:rsidP="00591539">
      <w:pPr>
        <w:numPr>
          <w:ilvl w:val="0"/>
          <w:numId w:val="1"/>
        </w:numPr>
        <w:tabs>
          <w:tab w:val="left" w:pos="851"/>
        </w:tabs>
        <w:spacing w:before="240" w:line="276" w:lineRule="auto"/>
        <w:ind w:left="851" w:hanging="567"/>
        <w:jc w:val="both"/>
        <w:rPr>
          <w:rFonts w:cs="Arial"/>
          <w:sz w:val="22"/>
          <w:szCs w:val="22"/>
        </w:rPr>
      </w:pPr>
      <w:r w:rsidRPr="00596D0D">
        <w:rPr>
          <w:rFonts w:cs="Arial"/>
          <w:sz w:val="22"/>
          <w:szCs w:val="22"/>
        </w:rPr>
        <w:t xml:space="preserve">The </w:t>
      </w:r>
      <w:r w:rsidRPr="00596D0D">
        <w:rPr>
          <w:sz w:val="22"/>
          <w:szCs w:val="22"/>
        </w:rPr>
        <w:t>terms</w:t>
      </w:r>
      <w:r w:rsidRPr="00596D0D">
        <w:rPr>
          <w:rFonts w:cs="Arial"/>
          <w:sz w:val="22"/>
          <w:szCs w:val="22"/>
        </w:rPr>
        <w:t xml:space="preserve"> ‘destroyed’, ‘immediate family member’,</w:t>
      </w:r>
      <w:r w:rsidR="001A60E4" w:rsidRPr="00596D0D">
        <w:rPr>
          <w:rFonts w:cs="Arial"/>
          <w:sz w:val="22"/>
          <w:szCs w:val="22"/>
        </w:rPr>
        <w:t xml:space="preserve"> ‘major asset or assets’,</w:t>
      </w:r>
      <w:r w:rsidRPr="00596D0D">
        <w:rPr>
          <w:rFonts w:cs="Arial"/>
          <w:sz w:val="22"/>
          <w:szCs w:val="22"/>
        </w:rPr>
        <w:t xml:space="preserve"> ‘major damage’ and ‘seriously injured’</w:t>
      </w:r>
      <w:r w:rsidR="009A1AC3" w:rsidRPr="00596D0D">
        <w:rPr>
          <w:rFonts w:cs="Arial"/>
          <w:sz w:val="22"/>
          <w:szCs w:val="22"/>
        </w:rPr>
        <w:t xml:space="preserve"> are defined in </w:t>
      </w:r>
      <w:r w:rsidR="001A60E4" w:rsidRPr="00596D0D">
        <w:rPr>
          <w:rFonts w:cs="Arial"/>
          <w:sz w:val="22"/>
          <w:szCs w:val="22"/>
        </w:rPr>
        <w:t xml:space="preserve">subsection </w:t>
      </w:r>
      <w:r w:rsidR="00EB44F5" w:rsidRPr="00596D0D">
        <w:rPr>
          <w:rFonts w:cs="Arial"/>
          <w:sz w:val="22"/>
          <w:szCs w:val="22"/>
        </w:rPr>
        <w:t>3</w:t>
      </w:r>
      <w:r w:rsidR="001A60E4" w:rsidRPr="00596D0D">
        <w:rPr>
          <w:rFonts w:cs="Arial"/>
          <w:sz w:val="22"/>
          <w:szCs w:val="22"/>
        </w:rPr>
        <w:t>(1)</w:t>
      </w:r>
      <w:r w:rsidR="009A1AC3" w:rsidRPr="00596D0D">
        <w:rPr>
          <w:rFonts w:cs="Arial"/>
          <w:sz w:val="22"/>
          <w:szCs w:val="22"/>
        </w:rPr>
        <w:t xml:space="preserve"> of Determination.</w:t>
      </w:r>
      <w:r w:rsidR="001A60E4" w:rsidRPr="00596D0D">
        <w:rPr>
          <w:rFonts w:cs="Arial"/>
          <w:sz w:val="22"/>
          <w:szCs w:val="22"/>
        </w:rPr>
        <w:t xml:space="preserve"> Subsection 3(2) defines what a ‘pri</w:t>
      </w:r>
      <w:r w:rsidR="000431A2" w:rsidRPr="00596D0D">
        <w:rPr>
          <w:rFonts w:cs="Arial"/>
          <w:sz w:val="22"/>
          <w:szCs w:val="22"/>
        </w:rPr>
        <w:t xml:space="preserve">ncipal place of residence’ is. </w:t>
      </w:r>
    </w:p>
    <w:p w14:paraId="78E2B15B" w14:textId="77777777" w:rsidR="009A1AC3" w:rsidRPr="00596D0D" w:rsidRDefault="009A1AC3" w:rsidP="00591539">
      <w:pPr>
        <w:numPr>
          <w:ilvl w:val="0"/>
          <w:numId w:val="1"/>
        </w:numPr>
        <w:tabs>
          <w:tab w:val="left" w:pos="851"/>
        </w:tabs>
        <w:spacing w:before="240" w:line="276" w:lineRule="auto"/>
        <w:ind w:left="851" w:hanging="567"/>
        <w:jc w:val="both"/>
        <w:rPr>
          <w:rFonts w:cs="Arial"/>
          <w:sz w:val="22"/>
          <w:szCs w:val="22"/>
        </w:rPr>
      </w:pPr>
      <w:r w:rsidRPr="00596D0D">
        <w:rPr>
          <w:rFonts w:cs="Arial"/>
          <w:sz w:val="22"/>
          <w:szCs w:val="22"/>
        </w:rPr>
        <w:t xml:space="preserve">Subsection 1061L(3) of the Act provides that a determination under section 1061L is a legislative instrument. However, this instrument is not subject to disallowance by the Parliament as subsection 1061L(3) of the Act provides that section 42 of the </w:t>
      </w:r>
      <w:bookmarkStart w:id="0" w:name="OLE_LINK12"/>
      <w:bookmarkStart w:id="1" w:name="OLE_LINK11"/>
      <w:r w:rsidRPr="00596D0D">
        <w:rPr>
          <w:rFonts w:cs="Arial"/>
          <w:i/>
          <w:sz w:val="22"/>
          <w:szCs w:val="22"/>
        </w:rPr>
        <w:t>Legislation Act 2003</w:t>
      </w:r>
      <w:r w:rsidRPr="00596D0D">
        <w:rPr>
          <w:rFonts w:cs="Arial"/>
          <w:sz w:val="22"/>
          <w:szCs w:val="22"/>
        </w:rPr>
        <w:t xml:space="preserve"> </w:t>
      </w:r>
      <w:bookmarkEnd w:id="0"/>
      <w:bookmarkEnd w:id="1"/>
      <w:r w:rsidRPr="00596D0D">
        <w:rPr>
          <w:rFonts w:cs="Arial"/>
          <w:sz w:val="22"/>
          <w:szCs w:val="22"/>
        </w:rPr>
        <w:t xml:space="preserve">does not apply to the Determination. </w:t>
      </w:r>
    </w:p>
    <w:p w14:paraId="78E2B15C" w14:textId="77777777" w:rsidR="00A22D46" w:rsidRPr="00596D0D" w:rsidRDefault="009A1AC3" w:rsidP="00591539">
      <w:pPr>
        <w:numPr>
          <w:ilvl w:val="0"/>
          <w:numId w:val="1"/>
        </w:numPr>
        <w:tabs>
          <w:tab w:val="left" w:pos="851"/>
        </w:tabs>
        <w:spacing w:before="240" w:line="276" w:lineRule="auto"/>
        <w:ind w:left="851" w:hanging="567"/>
        <w:jc w:val="both"/>
        <w:rPr>
          <w:sz w:val="22"/>
          <w:szCs w:val="22"/>
        </w:rPr>
      </w:pPr>
      <w:r w:rsidRPr="00596D0D">
        <w:rPr>
          <w:rFonts w:cs="Arial"/>
          <w:sz w:val="22"/>
          <w:szCs w:val="22"/>
        </w:rPr>
        <w:t xml:space="preserve">Formal </w:t>
      </w:r>
      <w:r w:rsidRPr="00596D0D">
        <w:rPr>
          <w:sz w:val="22"/>
          <w:szCs w:val="22"/>
        </w:rPr>
        <w:t>consultation</w:t>
      </w:r>
      <w:r w:rsidRPr="00596D0D">
        <w:rPr>
          <w:rFonts w:cs="Arial"/>
          <w:sz w:val="22"/>
          <w:szCs w:val="22"/>
        </w:rPr>
        <w:t xml:space="preserve"> has not been undertaken as </w:t>
      </w:r>
      <w:r w:rsidR="00A07265" w:rsidRPr="00596D0D">
        <w:rPr>
          <w:rFonts w:cs="Arial"/>
          <w:sz w:val="22"/>
          <w:szCs w:val="22"/>
        </w:rPr>
        <w:t xml:space="preserve">the </w:t>
      </w:r>
      <w:r w:rsidRPr="00596D0D">
        <w:rPr>
          <w:rFonts w:cs="Arial"/>
          <w:sz w:val="22"/>
          <w:szCs w:val="22"/>
        </w:rPr>
        <w:t xml:space="preserve">Determination was required </w:t>
      </w:r>
      <w:r w:rsidR="00A14F6C" w:rsidRPr="00596D0D">
        <w:rPr>
          <w:rFonts w:cs="Arial"/>
          <w:sz w:val="22"/>
          <w:szCs w:val="22"/>
        </w:rPr>
        <w:t xml:space="preserve">to commence </w:t>
      </w:r>
      <w:r w:rsidRPr="00596D0D">
        <w:rPr>
          <w:rFonts w:cs="Arial"/>
          <w:sz w:val="22"/>
          <w:szCs w:val="22"/>
        </w:rPr>
        <w:t>as a matter of urgency.</w:t>
      </w:r>
      <w:bookmarkStart w:id="2" w:name="_GoBack"/>
      <w:bookmarkEnd w:id="2"/>
    </w:p>
    <w:sectPr w:rsidR="00A22D46" w:rsidRPr="00596D0D" w:rsidSect="00A15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1416" w:bottom="993" w:left="1418" w:header="426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7B695" w14:textId="77777777" w:rsidR="00BA63DB" w:rsidRDefault="00BA63DB" w:rsidP="00BA63DB">
      <w:r>
        <w:separator/>
      </w:r>
    </w:p>
  </w:endnote>
  <w:endnote w:type="continuationSeparator" w:id="0">
    <w:p w14:paraId="4043AE73" w14:textId="77777777" w:rsidR="00BA63DB" w:rsidRDefault="00BA63DB" w:rsidP="00BA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181D8" w14:textId="77777777" w:rsidR="00BA63DB" w:rsidRDefault="00BA6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4EC16" w14:textId="77777777" w:rsidR="00BA63DB" w:rsidRDefault="00BA63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A15F9" w14:textId="77777777" w:rsidR="00BA63DB" w:rsidRDefault="00BA6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38A42" w14:textId="77777777" w:rsidR="00BA63DB" w:rsidRDefault="00BA63DB" w:rsidP="00BA63DB">
      <w:r>
        <w:separator/>
      </w:r>
    </w:p>
  </w:footnote>
  <w:footnote w:type="continuationSeparator" w:id="0">
    <w:p w14:paraId="647F348B" w14:textId="77777777" w:rsidR="00BA63DB" w:rsidRDefault="00BA63DB" w:rsidP="00BA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25348" w14:textId="77777777" w:rsidR="00BA63DB" w:rsidRDefault="00BA6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6842C" w14:textId="77777777" w:rsidR="00BA63DB" w:rsidRDefault="00BA63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8C9E3" w14:textId="77777777" w:rsidR="00BA63DB" w:rsidRDefault="00BA6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3044"/>
    <w:multiLevelType w:val="hybridMultilevel"/>
    <w:tmpl w:val="6EF2ACBA"/>
    <w:lvl w:ilvl="0" w:tplc="EEB680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C3"/>
    <w:rsid w:val="00027B11"/>
    <w:rsid w:val="000431A2"/>
    <w:rsid w:val="00052830"/>
    <w:rsid w:val="00065C36"/>
    <w:rsid w:val="000902BF"/>
    <w:rsid w:val="000C17E9"/>
    <w:rsid w:val="000F7FC0"/>
    <w:rsid w:val="00105CE5"/>
    <w:rsid w:val="00132AF3"/>
    <w:rsid w:val="0014111D"/>
    <w:rsid w:val="00157659"/>
    <w:rsid w:val="001813D4"/>
    <w:rsid w:val="001A60E4"/>
    <w:rsid w:val="00205852"/>
    <w:rsid w:val="002407A9"/>
    <w:rsid w:val="00240AE3"/>
    <w:rsid w:val="00244070"/>
    <w:rsid w:val="00252EA8"/>
    <w:rsid w:val="00287A44"/>
    <w:rsid w:val="00293935"/>
    <w:rsid w:val="002B1B60"/>
    <w:rsid w:val="002C3FFF"/>
    <w:rsid w:val="002C5101"/>
    <w:rsid w:val="002E793D"/>
    <w:rsid w:val="0030486E"/>
    <w:rsid w:val="003501EE"/>
    <w:rsid w:val="003519A7"/>
    <w:rsid w:val="0036281C"/>
    <w:rsid w:val="00374A64"/>
    <w:rsid w:val="003A0437"/>
    <w:rsid w:val="003D7D47"/>
    <w:rsid w:val="00400A78"/>
    <w:rsid w:val="00404C32"/>
    <w:rsid w:val="00407330"/>
    <w:rsid w:val="004A13C9"/>
    <w:rsid w:val="004F490B"/>
    <w:rsid w:val="00526498"/>
    <w:rsid w:val="00591539"/>
    <w:rsid w:val="00596D0D"/>
    <w:rsid w:val="005D7E96"/>
    <w:rsid w:val="006C320E"/>
    <w:rsid w:val="006C7550"/>
    <w:rsid w:val="006D6671"/>
    <w:rsid w:val="00766C23"/>
    <w:rsid w:val="00796576"/>
    <w:rsid w:val="00797280"/>
    <w:rsid w:val="007A7E92"/>
    <w:rsid w:val="007C0EE6"/>
    <w:rsid w:val="007C7392"/>
    <w:rsid w:val="007D7525"/>
    <w:rsid w:val="007E3F43"/>
    <w:rsid w:val="007F1745"/>
    <w:rsid w:val="007F40A9"/>
    <w:rsid w:val="00803BBF"/>
    <w:rsid w:val="008074E9"/>
    <w:rsid w:val="008119C9"/>
    <w:rsid w:val="00840B44"/>
    <w:rsid w:val="00841834"/>
    <w:rsid w:val="00842AB7"/>
    <w:rsid w:val="008942D0"/>
    <w:rsid w:val="008E3A3E"/>
    <w:rsid w:val="008E4326"/>
    <w:rsid w:val="00942D34"/>
    <w:rsid w:val="00986190"/>
    <w:rsid w:val="0099214F"/>
    <w:rsid w:val="0099740D"/>
    <w:rsid w:val="009A1AC3"/>
    <w:rsid w:val="009B5234"/>
    <w:rsid w:val="00A07265"/>
    <w:rsid w:val="00A14F6C"/>
    <w:rsid w:val="00A152E8"/>
    <w:rsid w:val="00A95892"/>
    <w:rsid w:val="00AA5170"/>
    <w:rsid w:val="00AD04D2"/>
    <w:rsid w:val="00AE07C8"/>
    <w:rsid w:val="00AF2504"/>
    <w:rsid w:val="00B44E9E"/>
    <w:rsid w:val="00B44EE1"/>
    <w:rsid w:val="00B45FA1"/>
    <w:rsid w:val="00B57530"/>
    <w:rsid w:val="00B708A5"/>
    <w:rsid w:val="00B83E61"/>
    <w:rsid w:val="00BA63DB"/>
    <w:rsid w:val="00BA6DD8"/>
    <w:rsid w:val="00BB1E63"/>
    <w:rsid w:val="00BB5DF3"/>
    <w:rsid w:val="00BC76DA"/>
    <w:rsid w:val="00C45996"/>
    <w:rsid w:val="00C67E38"/>
    <w:rsid w:val="00C924B9"/>
    <w:rsid w:val="00CC0003"/>
    <w:rsid w:val="00CC570F"/>
    <w:rsid w:val="00CE38C2"/>
    <w:rsid w:val="00D1256B"/>
    <w:rsid w:val="00D21F7A"/>
    <w:rsid w:val="00D62062"/>
    <w:rsid w:val="00DC45D1"/>
    <w:rsid w:val="00DF641A"/>
    <w:rsid w:val="00E30430"/>
    <w:rsid w:val="00E50E81"/>
    <w:rsid w:val="00E539DB"/>
    <w:rsid w:val="00E548C2"/>
    <w:rsid w:val="00E71E40"/>
    <w:rsid w:val="00E72223"/>
    <w:rsid w:val="00E83150"/>
    <w:rsid w:val="00EA58CA"/>
    <w:rsid w:val="00EB44F5"/>
    <w:rsid w:val="00EC2A27"/>
    <w:rsid w:val="00ED2BF4"/>
    <w:rsid w:val="00EE3840"/>
    <w:rsid w:val="00EF6ABF"/>
    <w:rsid w:val="00F27571"/>
    <w:rsid w:val="00F32C66"/>
    <w:rsid w:val="00F45D02"/>
    <w:rsid w:val="00FB55B1"/>
    <w:rsid w:val="00FB713F"/>
    <w:rsid w:val="00FC0C06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2B1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9A1AC3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9A1AC3"/>
    <w:pPr>
      <w:keepNext/>
      <w:ind w:left="1440" w:hanging="1440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1AC3"/>
    <w:rPr>
      <w:rFonts w:ascii="Times New Roman" w:eastAsia="Times New Roman" w:hAnsi="Times New Roman" w:cs="Times New Roman"/>
      <w:b/>
      <w:sz w:val="24"/>
      <w:szCs w:val="20"/>
      <w:u w:val="single"/>
      <w:lang w:eastAsia="en-AU"/>
    </w:rPr>
  </w:style>
  <w:style w:type="character" w:customStyle="1" w:styleId="Heading2Char">
    <w:name w:val="Heading 2 Char"/>
    <w:basedOn w:val="DefaultParagraphFont"/>
    <w:link w:val="Heading2"/>
    <w:rsid w:val="009A1AC3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D7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D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D47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D47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D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D47"/>
    <w:rPr>
      <w:rFonts w:ascii="Segoe UI" w:eastAsia="Times New Roman" w:hAnsi="Segoe UI" w:cs="Segoe UI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A63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3DB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A63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3DB"/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744E34F194762841BC115BC91D2E75B8" ma:contentTypeVersion="12" ma:contentTypeDescription="ShareHub Document" ma:contentTypeScope="" ma:versionID="c2ae4cc3518ac56194161f47b87d52c6">
  <xsd:schema xmlns:xsd="http://www.w3.org/2001/XMLSchema" xmlns:xs="http://www.w3.org/2001/XMLSchema" xmlns:p="http://schemas.microsoft.com/office/2006/metadata/properties" xmlns:ns1="7b177a8e-f54e-48e4-9001-d701f1df7289" xmlns:ns3="685f9fda-bd71-4433-b331-92feb9553089" targetNamespace="http://schemas.microsoft.com/office/2006/metadata/properties" ma:root="true" ma:fieldsID="26c7b9d8df8511e2f4bc572fd3d16d1c" ns1:_="" ns3:_="">
    <xsd:import namespace="7b177a8e-f54e-48e4-9001-d701f1df7289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a7f0d5894973417fb6bbff31bedb6606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77a8e-f54e-48e4-9001-d701f1df7289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37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a411638-f581-49b2-8608-76bad1c81f9c}" ma:internalName="TaxCatchAll" ma:showField="CatchAllData" ma:web="7b177a8e-f54e-48e4-9001-d701f1df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a411638-f581-49b2-8608-76bad1c81f9c}" ma:internalName="TaxCatchAllLabel" ma:readOnly="true" ma:showField="CatchAllDataLabel" ma:web="7b177a8e-f54e-48e4-9001-d701f1df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f0d5894973417fb6bbff31bedb6606" ma:index="17" nillable="true" ma:taxonomy="true" ma:internalName="a7f0d5894973417fb6bbff31bedb6606" ma:taxonomyFieldName="ESearchTags" ma:displayName="Tags" ma:fieldId="{a7f0d589-4973-417f-b6bb-ff31bedb6606}" ma:taxonomyMulti="true" ma:sspId="fdd71c70-8dda-4116-8995-314ca52d638a" ma:termSetId="8f252924-ebd5-4b35-b39d-81596a6204b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d1c641577414dfdab1686c9d5d0dbd0 xmlns="7b177a8e-f54e-48e4-9001-d701f1df7289">
      <Terms xmlns="http://schemas.microsoft.com/office/infopath/2007/PartnerControls"/>
    </jd1c641577414dfdab1686c9d5d0dbd0>
    <PMCNotes xmlns="7b177a8e-f54e-48e4-9001-d701f1df7289" xsi:nil="true"/>
    <TaxCatchAll xmlns="7b177a8e-f54e-48e4-9001-d701f1df7289">
      <Value>37</Value>
    </TaxCatchAll>
    <ShareHubID xmlns="7b177a8e-f54e-48e4-9001-d701f1df7289">DOC21-287153</ShareHubID>
    <NonRecordJustification xmlns="685f9fda-bd71-4433-b331-92feb9553089">None</NonRecordJustification>
    <mc5611b894cf49d8aeeb8ebf39dc09bc xmlns="7b177a8e-f54e-48e4-9001-d701f1df72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a7f0d5894973417fb6bbff31bedb6606 xmlns="7b177a8e-f54e-48e4-9001-d701f1df7289">
      <Terms xmlns="http://schemas.microsoft.com/office/infopath/2007/PartnerControls"/>
    </a7f0d5894973417fb6bbff31bedb6606>
  </documentManagement>
</p:properties>
</file>

<file path=customXml/itemProps1.xml><?xml version="1.0" encoding="utf-8"?>
<ds:datastoreItem xmlns:ds="http://schemas.openxmlformats.org/officeDocument/2006/customXml" ds:itemID="{E2B43928-B6A1-4751-8FDF-FE58C6642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77a8e-f54e-48e4-9001-d701f1df7289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03C90-BB9E-4724-9F9C-ABFB7CD871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DEEFB-7192-49AA-B713-A88DD392B5B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b177a8e-f54e-48e4-9001-d701f1df7289"/>
    <ds:schemaRef ds:uri="http://schemas.microsoft.com/office/infopath/2007/PartnerControls"/>
    <ds:schemaRef ds:uri="http://purl.org/dc/elements/1.1/"/>
    <ds:schemaRef ds:uri="http://schemas.microsoft.com/office/2006/metadata/properties"/>
    <ds:schemaRef ds:uri="685f9fda-bd71-4433-b331-92feb955308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2021-10-11T06:35:00Z</dcterms:created>
  <dcterms:modified xsi:type="dcterms:W3CDTF">2021-10-11T06:35:00Z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0x0101002825A64A6E1845A99A9D8EE8A5686ECB00744E34F194762841BC115BC91D2E75B8</vt:lpwstr>
  </property>
  <property fmtid="{D5CDD505-2E9C-101B-9397-08002B2CF9AE}" pid="3" name="ESearchTags">
    <vt:lpwstr/>
  </property>
  <property fmtid="{D5CDD505-2E9C-101B-9397-08002B2CF9AE}" pid="5" name="HPRMSecurityLevel">
    <vt:lpwstr>37;#OFFICIAL|11463c70-78df-4e3b-b0ff-f66cd3cb26ec</vt:lpwstr>
  </property>
  <property fmtid="{D5CDD505-2E9C-101B-9397-08002B2CF9AE}" pid="6" name="HPRMSecurityCaveat">
    <vt:lpwstr/>
  </property>
</Properties>
</file>