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4EF01" w14:textId="7D9070CA" w:rsidR="00046334" w:rsidRDefault="00046334" w:rsidP="00046334">
      <w:pPr>
        <w:jc w:val="center"/>
        <w:rPr>
          <w:rFonts w:ascii="Times New Roman" w:hAnsi="Times New Roman"/>
          <w:b/>
          <w:color w:val="000000"/>
          <w:sz w:val="24"/>
          <w:szCs w:val="24"/>
          <w:u w:val="single"/>
        </w:rPr>
      </w:pPr>
      <w:r w:rsidRPr="009F1E40">
        <w:rPr>
          <w:rFonts w:ascii="Times New Roman" w:hAnsi="Times New Roman"/>
          <w:b/>
          <w:color w:val="000000"/>
          <w:sz w:val="24"/>
          <w:szCs w:val="24"/>
          <w:u w:val="single"/>
        </w:rPr>
        <w:t>EXPLANATORY STATEMENT</w:t>
      </w:r>
    </w:p>
    <w:p w14:paraId="2943F2D1" w14:textId="486A23B3" w:rsidR="004A2038" w:rsidRDefault="004A2038" w:rsidP="00046334">
      <w:pPr>
        <w:jc w:val="center"/>
        <w:rPr>
          <w:rFonts w:ascii="Times New Roman" w:hAnsi="Times New Roman"/>
          <w:b/>
          <w:color w:val="000000"/>
          <w:sz w:val="24"/>
          <w:szCs w:val="24"/>
          <w:u w:val="single"/>
        </w:rPr>
      </w:pPr>
    </w:p>
    <w:p w14:paraId="2AE85362" w14:textId="49FD4D31" w:rsidR="00F33B00" w:rsidRPr="009F1E40" w:rsidRDefault="00F33B00" w:rsidP="00046334">
      <w:pPr>
        <w:jc w:val="center"/>
        <w:rPr>
          <w:rFonts w:ascii="Times New Roman" w:hAnsi="Times New Roman"/>
          <w:b/>
          <w:color w:val="000000"/>
          <w:sz w:val="24"/>
          <w:szCs w:val="24"/>
          <w:u w:val="single"/>
        </w:rPr>
      </w:pPr>
      <w:r>
        <w:rPr>
          <w:rFonts w:ascii="Times New Roman" w:hAnsi="Times New Roman"/>
          <w:b/>
          <w:color w:val="000000"/>
          <w:sz w:val="24"/>
          <w:szCs w:val="24"/>
          <w:u w:val="single"/>
        </w:rPr>
        <w:t xml:space="preserve">Issued by the authority of the </w:t>
      </w:r>
      <w:r w:rsidR="00817311">
        <w:rPr>
          <w:rFonts w:ascii="Times New Roman" w:hAnsi="Times New Roman"/>
          <w:b/>
          <w:color w:val="000000"/>
          <w:sz w:val="24"/>
          <w:szCs w:val="24"/>
          <w:u w:val="single"/>
        </w:rPr>
        <w:t xml:space="preserve">Minister for Education and Youth </w:t>
      </w:r>
    </w:p>
    <w:p w14:paraId="7CD1DBD1" w14:textId="77777777" w:rsidR="00046334" w:rsidRPr="009F1E40" w:rsidRDefault="00046334" w:rsidP="002A35E7">
      <w:pPr>
        <w:jc w:val="center"/>
        <w:rPr>
          <w:rFonts w:ascii="Times New Roman" w:hAnsi="Times New Roman"/>
          <w:color w:val="000000"/>
          <w:sz w:val="24"/>
          <w:szCs w:val="24"/>
        </w:rPr>
      </w:pPr>
    </w:p>
    <w:p w14:paraId="19EAD4D8" w14:textId="1FA98334" w:rsidR="00046334" w:rsidRPr="00F11654" w:rsidRDefault="00046334" w:rsidP="00046334">
      <w:pPr>
        <w:jc w:val="center"/>
        <w:rPr>
          <w:rFonts w:ascii="Times New Roman" w:hAnsi="Times New Roman"/>
          <w:b/>
          <w:bCs/>
          <w:i/>
          <w:color w:val="000000"/>
          <w:sz w:val="24"/>
          <w:szCs w:val="24"/>
        </w:rPr>
      </w:pPr>
      <w:r w:rsidRPr="00F11654">
        <w:rPr>
          <w:rFonts w:ascii="Times New Roman" w:hAnsi="Times New Roman"/>
          <w:b/>
          <w:bCs/>
          <w:i/>
          <w:color w:val="000000"/>
          <w:sz w:val="24"/>
          <w:szCs w:val="24"/>
        </w:rPr>
        <w:t>Higher Education Support Act 2003</w:t>
      </w:r>
    </w:p>
    <w:p w14:paraId="60F415F1" w14:textId="77777777" w:rsidR="00046334" w:rsidRPr="009F1E40" w:rsidRDefault="00046334" w:rsidP="00046334">
      <w:pPr>
        <w:jc w:val="center"/>
        <w:rPr>
          <w:rFonts w:ascii="Times New Roman" w:hAnsi="Times New Roman"/>
          <w:color w:val="000000"/>
          <w:sz w:val="24"/>
          <w:szCs w:val="24"/>
          <w:u w:val="single"/>
        </w:rPr>
      </w:pPr>
    </w:p>
    <w:p w14:paraId="433B71E2" w14:textId="22619E2B" w:rsidR="00046334" w:rsidRPr="00F11654" w:rsidRDefault="00F550A1" w:rsidP="00F550A1">
      <w:pPr>
        <w:jc w:val="center"/>
        <w:rPr>
          <w:rFonts w:ascii="Times New Roman" w:hAnsi="Times New Roman"/>
          <w:b/>
          <w:bCs/>
          <w:color w:val="000000"/>
          <w:sz w:val="24"/>
          <w:szCs w:val="24"/>
          <w:u w:val="single"/>
        </w:rPr>
      </w:pPr>
      <w:r w:rsidRPr="00F11654">
        <w:rPr>
          <w:rFonts w:ascii="Times New Roman" w:hAnsi="Times New Roman"/>
          <w:b/>
          <w:bCs/>
          <w:i/>
          <w:color w:val="000000"/>
          <w:sz w:val="24"/>
          <w:szCs w:val="24"/>
        </w:rPr>
        <w:t>Higher Education Support (Visa Specification for Eligible Former Permanent Humanitarian Visa Holders) Determination 2021</w:t>
      </w:r>
    </w:p>
    <w:p w14:paraId="5A8CB953" w14:textId="77777777" w:rsidR="00046334" w:rsidRPr="009F1E40" w:rsidRDefault="00046334" w:rsidP="00046334">
      <w:pPr>
        <w:rPr>
          <w:rFonts w:ascii="Times New Roman" w:hAnsi="Times New Roman"/>
          <w:color w:val="000000"/>
          <w:sz w:val="24"/>
          <w:szCs w:val="24"/>
        </w:rPr>
      </w:pPr>
    </w:p>
    <w:p w14:paraId="63AE9744" w14:textId="77777777" w:rsidR="00046334" w:rsidRPr="00CB1519" w:rsidRDefault="00046334" w:rsidP="00046334">
      <w:pPr>
        <w:rPr>
          <w:rFonts w:ascii="Times New Roman" w:hAnsi="Times New Roman"/>
          <w:b/>
          <w:color w:val="000000"/>
          <w:sz w:val="24"/>
          <w:szCs w:val="24"/>
        </w:rPr>
      </w:pPr>
      <w:r w:rsidRPr="00CB1519">
        <w:rPr>
          <w:rFonts w:ascii="Times New Roman" w:hAnsi="Times New Roman"/>
          <w:b/>
          <w:color w:val="000000"/>
          <w:sz w:val="24"/>
          <w:szCs w:val="24"/>
        </w:rPr>
        <w:t>Authority</w:t>
      </w:r>
    </w:p>
    <w:p w14:paraId="3BEDFE0B" w14:textId="77777777" w:rsidR="00046334" w:rsidRPr="009F1E40" w:rsidRDefault="00046334" w:rsidP="00046334">
      <w:pPr>
        <w:rPr>
          <w:rFonts w:ascii="Times New Roman" w:hAnsi="Times New Roman"/>
          <w:color w:val="000000"/>
          <w:sz w:val="24"/>
          <w:szCs w:val="24"/>
          <w:u w:val="single"/>
        </w:rPr>
      </w:pPr>
    </w:p>
    <w:p w14:paraId="1E8E9DC0" w14:textId="2526A024" w:rsidR="003960EB" w:rsidRDefault="00482AAB" w:rsidP="00046334">
      <w:pPr>
        <w:rPr>
          <w:rFonts w:ascii="Times New Roman" w:hAnsi="Times New Roman"/>
          <w:color w:val="000000"/>
          <w:sz w:val="24"/>
          <w:szCs w:val="24"/>
        </w:rPr>
      </w:pPr>
      <w:r w:rsidRPr="00482AAB">
        <w:rPr>
          <w:rFonts w:ascii="Times New Roman" w:hAnsi="Times New Roman"/>
          <w:iCs/>
          <w:color w:val="000000"/>
          <w:sz w:val="24"/>
          <w:szCs w:val="24"/>
        </w:rPr>
        <w:t>The</w:t>
      </w:r>
      <w:r>
        <w:rPr>
          <w:rFonts w:ascii="Times New Roman" w:hAnsi="Times New Roman"/>
          <w:i/>
          <w:color w:val="000000"/>
          <w:sz w:val="24"/>
          <w:szCs w:val="24"/>
        </w:rPr>
        <w:t xml:space="preserve"> </w:t>
      </w:r>
      <w:r w:rsidR="00363F3A" w:rsidRPr="006F1B56">
        <w:rPr>
          <w:rFonts w:ascii="Times New Roman" w:hAnsi="Times New Roman"/>
          <w:i/>
          <w:color w:val="000000"/>
          <w:sz w:val="24"/>
          <w:szCs w:val="24"/>
        </w:rPr>
        <w:t xml:space="preserve">Higher Education Support (Visa Specification for Eligible Former Permanent Humanitarian Visa Holders) Determination 2021 </w:t>
      </w:r>
      <w:r w:rsidR="00363F3A">
        <w:rPr>
          <w:rFonts w:ascii="Times New Roman" w:hAnsi="Times New Roman"/>
          <w:iCs/>
          <w:color w:val="000000"/>
          <w:sz w:val="24"/>
          <w:szCs w:val="24"/>
        </w:rPr>
        <w:t xml:space="preserve">(the Determination) is made under </w:t>
      </w:r>
      <w:r w:rsidR="00363F3A">
        <w:rPr>
          <w:rFonts w:ascii="Times New Roman" w:hAnsi="Times New Roman"/>
          <w:color w:val="000000"/>
          <w:sz w:val="24"/>
          <w:szCs w:val="24"/>
        </w:rPr>
        <w:t>s</w:t>
      </w:r>
      <w:r w:rsidR="00F550A1">
        <w:rPr>
          <w:rFonts w:ascii="Times New Roman" w:hAnsi="Times New Roman"/>
          <w:color w:val="000000"/>
          <w:sz w:val="24"/>
          <w:szCs w:val="24"/>
        </w:rPr>
        <w:t>ubclause 1(1A) of Schedule 1</w:t>
      </w:r>
      <w:r w:rsidR="00046334" w:rsidRPr="009F1E40">
        <w:rPr>
          <w:rFonts w:ascii="Times New Roman" w:hAnsi="Times New Roman"/>
          <w:color w:val="000000"/>
          <w:sz w:val="24"/>
          <w:szCs w:val="24"/>
        </w:rPr>
        <w:t xml:space="preserve"> </w:t>
      </w:r>
      <w:r w:rsidR="002C3556">
        <w:rPr>
          <w:rFonts w:ascii="Times New Roman" w:hAnsi="Times New Roman"/>
          <w:color w:val="000000"/>
          <w:sz w:val="24"/>
          <w:szCs w:val="24"/>
        </w:rPr>
        <w:t>to</w:t>
      </w:r>
      <w:r w:rsidR="002C3556" w:rsidRPr="009F1E40">
        <w:rPr>
          <w:rFonts w:ascii="Times New Roman" w:hAnsi="Times New Roman"/>
          <w:color w:val="000000"/>
          <w:sz w:val="24"/>
          <w:szCs w:val="24"/>
        </w:rPr>
        <w:t xml:space="preserve"> </w:t>
      </w:r>
      <w:r w:rsidR="00046334" w:rsidRPr="009F1E40">
        <w:rPr>
          <w:rFonts w:ascii="Times New Roman" w:hAnsi="Times New Roman"/>
          <w:color w:val="000000"/>
          <w:sz w:val="24"/>
          <w:szCs w:val="24"/>
        </w:rPr>
        <w:t xml:space="preserve">the </w:t>
      </w:r>
      <w:r w:rsidR="00046334" w:rsidRPr="009F1E40">
        <w:rPr>
          <w:rFonts w:ascii="Times New Roman" w:hAnsi="Times New Roman"/>
          <w:i/>
          <w:color w:val="000000"/>
          <w:sz w:val="24"/>
          <w:szCs w:val="24"/>
        </w:rPr>
        <w:t>Higher Education Support Act 2003</w:t>
      </w:r>
      <w:r w:rsidR="00046334" w:rsidRPr="009F1E40">
        <w:rPr>
          <w:rFonts w:ascii="Times New Roman" w:hAnsi="Times New Roman"/>
          <w:color w:val="000000"/>
          <w:sz w:val="24"/>
          <w:szCs w:val="24"/>
        </w:rPr>
        <w:t xml:space="preserve"> (the Act)</w:t>
      </w:r>
      <w:r w:rsidR="00363F3A">
        <w:rPr>
          <w:rFonts w:ascii="Times New Roman" w:hAnsi="Times New Roman"/>
          <w:color w:val="000000"/>
          <w:sz w:val="24"/>
          <w:szCs w:val="24"/>
        </w:rPr>
        <w:t>. Subclause 1</w:t>
      </w:r>
      <w:r w:rsidR="00871312">
        <w:rPr>
          <w:rFonts w:ascii="Times New Roman" w:hAnsi="Times New Roman"/>
          <w:color w:val="000000"/>
          <w:sz w:val="24"/>
          <w:szCs w:val="24"/>
        </w:rPr>
        <w:t xml:space="preserve">(1A) of Schedule 1 to </w:t>
      </w:r>
      <w:r w:rsidR="0061761D">
        <w:rPr>
          <w:rFonts w:ascii="Times New Roman" w:hAnsi="Times New Roman"/>
          <w:color w:val="000000"/>
          <w:sz w:val="24"/>
          <w:szCs w:val="24"/>
        </w:rPr>
        <w:t>the Act</w:t>
      </w:r>
      <w:r w:rsidR="00046334" w:rsidRPr="009F1E40">
        <w:rPr>
          <w:rFonts w:ascii="Times New Roman" w:hAnsi="Times New Roman"/>
          <w:color w:val="000000"/>
          <w:sz w:val="24"/>
          <w:szCs w:val="24"/>
        </w:rPr>
        <w:t xml:space="preserve"> provides that the Minister may</w:t>
      </w:r>
      <w:r w:rsidR="00F550A1">
        <w:rPr>
          <w:rFonts w:ascii="Times New Roman" w:hAnsi="Times New Roman"/>
          <w:color w:val="000000"/>
          <w:sz w:val="24"/>
          <w:szCs w:val="24"/>
        </w:rPr>
        <w:t xml:space="preserve">, for the purposes of paragraph (c) of the definition of </w:t>
      </w:r>
      <w:r w:rsidR="006A475D">
        <w:rPr>
          <w:rFonts w:ascii="Times New Roman" w:hAnsi="Times New Roman"/>
          <w:color w:val="000000"/>
          <w:sz w:val="24"/>
          <w:szCs w:val="24"/>
        </w:rPr>
        <w:t>“</w:t>
      </w:r>
      <w:r w:rsidR="00F550A1">
        <w:rPr>
          <w:rFonts w:ascii="Times New Roman" w:hAnsi="Times New Roman"/>
          <w:color w:val="000000"/>
          <w:sz w:val="24"/>
          <w:szCs w:val="24"/>
        </w:rPr>
        <w:t>eligible former permanent humanitarian visa holder</w:t>
      </w:r>
      <w:r w:rsidR="006A475D">
        <w:rPr>
          <w:rFonts w:ascii="Times New Roman" w:hAnsi="Times New Roman"/>
          <w:color w:val="000000"/>
          <w:sz w:val="24"/>
          <w:szCs w:val="24"/>
        </w:rPr>
        <w:t>”</w:t>
      </w:r>
      <w:r w:rsidR="00F550A1">
        <w:rPr>
          <w:rFonts w:ascii="Times New Roman" w:hAnsi="Times New Roman"/>
          <w:color w:val="000000"/>
          <w:sz w:val="24"/>
          <w:szCs w:val="24"/>
        </w:rPr>
        <w:t xml:space="preserve"> in subclause 1(1) of Schedule 1 </w:t>
      </w:r>
      <w:r w:rsidR="002C3624">
        <w:rPr>
          <w:rFonts w:ascii="Times New Roman" w:hAnsi="Times New Roman"/>
          <w:color w:val="000000"/>
          <w:sz w:val="24"/>
          <w:szCs w:val="24"/>
        </w:rPr>
        <w:t xml:space="preserve">to </w:t>
      </w:r>
      <w:r w:rsidR="00F550A1">
        <w:rPr>
          <w:rFonts w:ascii="Times New Roman" w:hAnsi="Times New Roman"/>
          <w:color w:val="000000"/>
          <w:sz w:val="24"/>
          <w:szCs w:val="24"/>
        </w:rPr>
        <w:t>the Act,</w:t>
      </w:r>
      <w:r w:rsidR="00046334" w:rsidRPr="009F1E40">
        <w:rPr>
          <w:rFonts w:ascii="Times New Roman" w:hAnsi="Times New Roman"/>
          <w:color w:val="000000"/>
          <w:sz w:val="24"/>
          <w:szCs w:val="24"/>
        </w:rPr>
        <w:t xml:space="preserve"> make </w:t>
      </w:r>
      <w:r w:rsidR="00F550A1">
        <w:rPr>
          <w:rFonts w:ascii="Times New Roman" w:hAnsi="Times New Roman"/>
          <w:color w:val="000000"/>
          <w:sz w:val="24"/>
          <w:szCs w:val="24"/>
        </w:rPr>
        <w:t xml:space="preserve">a determination in writing specifying a class or subclass of visas provided for by the </w:t>
      </w:r>
      <w:r w:rsidR="00F550A1">
        <w:rPr>
          <w:rFonts w:ascii="Times New Roman" w:hAnsi="Times New Roman"/>
          <w:i/>
          <w:iCs/>
          <w:color w:val="000000"/>
          <w:sz w:val="24"/>
          <w:szCs w:val="24"/>
        </w:rPr>
        <w:t xml:space="preserve">Migration Act 1958 </w:t>
      </w:r>
      <w:r w:rsidR="001C3798">
        <w:rPr>
          <w:rFonts w:ascii="Times New Roman" w:hAnsi="Times New Roman"/>
          <w:color w:val="000000"/>
          <w:sz w:val="24"/>
          <w:szCs w:val="24"/>
        </w:rPr>
        <w:t xml:space="preserve">(Migration Act) </w:t>
      </w:r>
      <w:r w:rsidR="00F550A1">
        <w:rPr>
          <w:rFonts w:ascii="Times New Roman" w:hAnsi="Times New Roman"/>
          <w:color w:val="000000"/>
          <w:sz w:val="24"/>
          <w:szCs w:val="24"/>
        </w:rPr>
        <w:t xml:space="preserve">or regulations made under that Act. </w:t>
      </w:r>
    </w:p>
    <w:p w14:paraId="0D4F0D9D" w14:textId="77777777" w:rsidR="003960EB" w:rsidRDefault="003960EB" w:rsidP="00046334">
      <w:pPr>
        <w:rPr>
          <w:rFonts w:ascii="Times New Roman" w:hAnsi="Times New Roman"/>
          <w:color w:val="000000"/>
          <w:sz w:val="24"/>
          <w:szCs w:val="24"/>
        </w:rPr>
      </w:pPr>
    </w:p>
    <w:p w14:paraId="3437CCE1" w14:textId="7BE55B32" w:rsidR="00046334" w:rsidRDefault="00BD0FA9" w:rsidP="00046334">
      <w:pPr>
        <w:rPr>
          <w:rFonts w:ascii="Times New Roman" w:hAnsi="Times New Roman"/>
          <w:color w:val="000000"/>
          <w:sz w:val="24"/>
          <w:szCs w:val="24"/>
        </w:rPr>
      </w:pPr>
      <w:r>
        <w:rPr>
          <w:rFonts w:ascii="Times New Roman" w:hAnsi="Times New Roman"/>
          <w:color w:val="000000"/>
          <w:sz w:val="24"/>
          <w:szCs w:val="24"/>
        </w:rPr>
        <w:t>The definition of “eligible former permanent humanitarian visa holder” and the Minister</w:t>
      </w:r>
      <w:r w:rsidR="003960EB">
        <w:rPr>
          <w:rFonts w:ascii="Times New Roman" w:hAnsi="Times New Roman"/>
          <w:color w:val="000000"/>
          <w:sz w:val="24"/>
          <w:szCs w:val="24"/>
        </w:rPr>
        <w:t xml:space="preserve">’s power </w:t>
      </w:r>
      <w:r w:rsidR="00C81BFE">
        <w:rPr>
          <w:rFonts w:ascii="Times New Roman" w:hAnsi="Times New Roman"/>
          <w:color w:val="000000"/>
          <w:sz w:val="24"/>
          <w:szCs w:val="24"/>
        </w:rPr>
        <w:t xml:space="preserve">to make the determination </w:t>
      </w:r>
      <w:r w:rsidR="003960EB">
        <w:rPr>
          <w:rFonts w:ascii="Times New Roman" w:hAnsi="Times New Roman"/>
          <w:color w:val="000000"/>
          <w:sz w:val="24"/>
          <w:szCs w:val="24"/>
        </w:rPr>
        <w:t>in subclause 1(</w:t>
      </w:r>
      <w:r w:rsidR="00171625">
        <w:rPr>
          <w:rFonts w:ascii="Times New Roman" w:hAnsi="Times New Roman"/>
          <w:color w:val="000000"/>
          <w:sz w:val="24"/>
          <w:szCs w:val="24"/>
        </w:rPr>
        <w:t>1A) of Schedule 1A to the Act take effect from 1</w:t>
      </w:r>
      <w:r w:rsidR="00230086">
        <w:rPr>
          <w:rFonts w:ascii="Times New Roman" w:hAnsi="Times New Roman"/>
          <w:color w:val="000000"/>
          <w:sz w:val="24"/>
          <w:szCs w:val="24"/>
        </w:rPr>
        <w:t> </w:t>
      </w:r>
      <w:r w:rsidR="00171625">
        <w:rPr>
          <w:rFonts w:ascii="Times New Roman" w:hAnsi="Times New Roman"/>
          <w:color w:val="000000"/>
          <w:sz w:val="24"/>
          <w:szCs w:val="24"/>
        </w:rPr>
        <w:t xml:space="preserve">January 2022 (Part 1 of Schedule 1 to the </w:t>
      </w:r>
      <w:r w:rsidR="005C26F8" w:rsidRPr="00335FE6">
        <w:rPr>
          <w:rFonts w:ascii="Times New Roman" w:hAnsi="Times New Roman"/>
          <w:i/>
          <w:iCs/>
          <w:color w:val="000000"/>
          <w:sz w:val="24"/>
          <w:szCs w:val="24"/>
        </w:rPr>
        <w:t>Education Legislation Amendment (2021 Measures No. 2) Act 2021</w:t>
      </w:r>
      <w:r w:rsidR="005C26F8">
        <w:rPr>
          <w:rFonts w:ascii="Times New Roman" w:hAnsi="Times New Roman"/>
          <w:color w:val="000000"/>
          <w:sz w:val="24"/>
          <w:szCs w:val="24"/>
        </w:rPr>
        <w:t>)</w:t>
      </w:r>
      <w:r w:rsidR="00C96773">
        <w:rPr>
          <w:rFonts w:ascii="Times New Roman" w:hAnsi="Times New Roman"/>
          <w:color w:val="000000"/>
          <w:sz w:val="24"/>
          <w:szCs w:val="24"/>
        </w:rPr>
        <w:t xml:space="preserve"> (</w:t>
      </w:r>
      <w:r w:rsidR="001508A7">
        <w:rPr>
          <w:rFonts w:ascii="Times New Roman" w:hAnsi="Times New Roman"/>
          <w:color w:val="000000"/>
          <w:sz w:val="24"/>
          <w:szCs w:val="24"/>
        </w:rPr>
        <w:t>the Amendment Act)</w:t>
      </w:r>
      <w:r w:rsidR="005C26F8">
        <w:rPr>
          <w:rFonts w:ascii="Times New Roman" w:hAnsi="Times New Roman"/>
          <w:color w:val="000000"/>
          <w:sz w:val="24"/>
          <w:szCs w:val="24"/>
        </w:rPr>
        <w:t>.</w:t>
      </w:r>
    </w:p>
    <w:p w14:paraId="157C3511" w14:textId="590C8E5D" w:rsidR="004F1D41" w:rsidRDefault="004F1D41" w:rsidP="00046334">
      <w:pPr>
        <w:rPr>
          <w:rFonts w:ascii="Times New Roman" w:hAnsi="Times New Roman"/>
          <w:color w:val="000000"/>
          <w:sz w:val="24"/>
          <w:szCs w:val="24"/>
        </w:rPr>
      </w:pPr>
    </w:p>
    <w:p w14:paraId="51BE60AC" w14:textId="3933F9DF" w:rsidR="004F1D41" w:rsidRDefault="00FA0A99" w:rsidP="00046334">
      <w:pPr>
        <w:rPr>
          <w:rFonts w:ascii="Times New Roman" w:hAnsi="Times New Roman"/>
          <w:color w:val="000000"/>
          <w:sz w:val="24"/>
          <w:szCs w:val="24"/>
        </w:rPr>
      </w:pPr>
      <w:r>
        <w:rPr>
          <w:rFonts w:ascii="Times New Roman" w:hAnsi="Times New Roman"/>
          <w:color w:val="000000"/>
          <w:sz w:val="24"/>
          <w:szCs w:val="24"/>
        </w:rPr>
        <w:t xml:space="preserve">The Minister </w:t>
      </w:r>
      <w:r w:rsidR="005C26F8">
        <w:rPr>
          <w:rFonts w:ascii="Times New Roman" w:hAnsi="Times New Roman"/>
          <w:color w:val="000000"/>
          <w:sz w:val="24"/>
          <w:szCs w:val="24"/>
        </w:rPr>
        <w:t xml:space="preserve">may, in accordance with subsection 4(2) of the </w:t>
      </w:r>
      <w:r w:rsidR="005C26F8" w:rsidRPr="00C81BFE">
        <w:rPr>
          <w:rFonts w:ascii="Times New Roman" w:hAnsi="Times New Roman"/>
          <w:i/>
          <w:iCs/>
          <w:color w:val="000000"/>
          <w:sz w:val="24"/>
          <w:szCs w:val="24"/>
        </w:rPr>
        <w:t xml:space="preserve">Acts </w:t>
      </w:r>
      <w:r w:rsidR="0041440A" w:rsidRPr="00C81BFE">
        <w:rPr>
          <w:rFonts w:ascii="Times New Roman" w:hAnsi="Times New Roman"/>
          <w:i/>
          <w:iCs/>
          <w:color w:val="000000"/>
          <w:sz w:val="24"/>
          <w:szCs w:val="24"/>
        </w:rPr>
        <w:t>Interpretation Act 1901</w:t>
      </w:r>
      <w:r w:rsidR="0041440A">
        <w:rPr>
          <w:rFonts w:ascii="Times New Roman" w:hAnsi="Times New Roman"/>
          <w:color w:val="000000"/>
          <w:sz w:val="24"/>
          <w:szCs w:val="24"/>
        </w:rPr>
        <w:t xml:space="preserve"> (</w:t>
      </w:r>
      <w:r w:rsidR="00FB68AE">
        <w:rPr>
          <w:rFonts w:ascii="Times New Roman" w:hAnsi="Times New Roman"/>
          <w:color w:val="000000"/>
          <w:sz w:val="24"/>
          <w:szCs w:val="24"/>
        </w:rPr>
        <w:t>AIA)</w:t>
      </w:r>
      <w:r w:rsidR="0041440A">
        <w:rPr>
          <w:rFonts w:ascii="Times New Roman" w:hAnsi="Times New Roman"/>
          <w:color w:val="000000"/>
          <w:sz w:val="24"/>
          <w:szCs w:val="24"/>
        </w:rPr>
        <w:t xml:space="preserve">, exercise the power to make the </w:t>
      </w:r>
      <w:r w:rsidR="00C81BFE">
        <w:rPr>
          <w:rFonts w:ascii="Times New Roman" w:hAnsi="Times New Roman"/>
          <w:color w:val="000000"/>
          <w:sz w:val="24"/>
          <w:szCs w:val="24"/>
        </w:rPr>
        <w:t xml:space="preserve">determination </w:t>
      </w:r>
      <w:r w:rsidR="00335FE6">
        <w:rPr>
          <w:rFonts w:ascii="Times New Roman" w:hAnsi="Times New Roman"/>
          <w:color w:val="000000"/>
          <w:sz w:val="24"/>
          <w:szCs w:val="24"/>
        </w:rPr>
        <w:t xml:space="preserve">in the period after </w:t>
      </w:r>
      <w:r w:rsidR="0005242E">
        <w:rPr>
          <w:rFonts w:ascii="Times New Roman" w:hAnsi="Times New Roman"/>
          <w:color w:val="000000"/>
          <w:sz w:val="24"/>
          <w:szCs w:val="24"/>
        </w:rPr>
        <w:t>the Amendment</w:t>
      </w:r>
      <w:r w:rsidR="00760981">
        <w:rPr>
          <w:rFonts w:ascii="Times New Roman" w:hAnsi="Times New Roman"/>
          <w:color w:val="000000"/>
          <w:sz w:val="24"/>
          <w:szCs w:val="24"/>
        </w:rPr>
        <w:t xml:space="preserve"> Act</w:t>
      </w:r>
      <w:r w:rsidR="0005242E">
        <w:rPr>
          <w:rFonts w:ascii="Times New Roman" w:hAnsi="Times New Roman"/>
          <w:color w:val="000000"/>
          <w:sz w:val="24"/>
          <w:szCs w:val="24"/>
        </w:rPr>
        <w:t xml:space="preserve"> is enacted but before the </w:t>
      </w:r>
      <w:r w:rsidR="00D43E5C">
        <w:rPr>
          <w:rFonts w:ascii="Times New Roman" w:hAnsi="Times New Roman"/>
          <w:color w:val="000000"/>
          <w:sz w:val="24"/>
          <w:szCs w:val="24"/>
        </w:rPr>
        <w:t xml:space="preserve">enabling provisions commence. </w:t>
      </w:r>
      <w:r w:rsidR="001B3BDA">
        <w:rPr>
          <w:rFonts w:ascii="Times New Roman" w:hAnsi="Times New Roman"/>
          <w:color w:val="000000"/>
          <w:sz w:val="24"/>
          <w:szCs w:val="24"/>
        </w:rPr>
        <w:t>If the Deter</w:t>
      </w:r>
      <w:r w:rsidR="0061761D">
        <w:rPr>
          <w:rFonts w:ascii="Times New Roman" w:hAnsi="Times New Roman"/>
          <w:color w:val="000000"/>
          <w:sz w:val="24"/>
          <w:szCs w:val="24"/>
        </w:rPr>
        <w:t>mination is registered before 1</w:t>
      </w:r>
      <w:r w:rsidR="0053079A">
        <w:rPr>
          <w:rFonts w:ascii="Times New Roman" w:hAnsi="Times New Roman"/>
          <w:color w:val="000000"/>
          <w:sz w:val="24"/>
          <w:szCs w:val="24"/>
        </w:rPr>
        <w:t> </w:t>
      </w:r>
      <w:r w:rsidR="0061761D">
        <w:rPr>
          <w:rFonts w:ascii="Times New Roman" w:hAnsi="Times New Roman"/>
          <w:color w:val="000000"/>
          <w:sz w:val="24"/>
          <w:szCs w:val="24"/>
        </w:rPr>
        <w:t>January</w:t>
      </w:r>
      <w:r w:rsidR="0053079A">
        <w:rPr>
          <w:rFonts w:ascii="Times New Roman" w:hAnsi="Times New Roman"/>
          <w:color w:val="000000"/>
          <w:sz w:val="24"/>
          <w:szCs w:val="24"/>
        </w:rPr>
        <w:t> </w:t>
      </w:r>
      <w:r w:rsidR="0061761D">
        <w:rPr>
          <w:rFonts w:ascii="Times New Roman" w:hAnsi="Times New Roman"/>
          <w:color w:val="000000"/>
          <w:sz w:val="24"/>
          <w:szCs w:val="24"/>
        </w:rPr>
        <w:t xml:space="preserve">2022, </w:t>
      </w:r>
      <w:r w:rsidR="0003015F">
        <w:rPr>
          <w:rFonts w:ascii="Times New Roman" w:hAnsi="Times New Roman"/>
          <w:color w:val="000000"/>
          <w:sz w:val="24"/>
          <w:szCs w:val="24"/>
        </w:rPr>
        <w:t xml:space="preserve">the Minister relies on this power to ensure the Determination will become effective </w:t>
      </w:r>
      <w:r w:rsidR="007742C7" w:rsidRPr="003F095E">
        <w:rPr>
          <w:rFonts w:ascii="Times New Roman" w:hAnsi="Times New Roman"/>
          <w:color w:val="000000"/>
          <w:sz w:val="24"/>
          <w:szCs w:val="24"/>
        </w:rPr>
        <w:t>from 1</w:t>
      </w:r>
      <w:r w:rsidR="0053079A">
        <w:rPr>
          <w:rFonts w:ascii="Times New Roman" w:hAnsi="Times New Roman"/>
          <w:color w:val="000000"/>
          <w:sz w:val="24"/>
          <w:szCs w:val="24"/>
        </w:rPr>
        <w:t> </w:t>
      </w:r>
      <w:r w:rsidR="007742C7" w:rsidRPr="003F095E">
        <w:rPr>
          <w:rFonts w:ascii="Times New Roman" w:hAnsi="Times New Roman"/>
          <w:color w:val="000000"/>
          <w:sz w:val="24"/>
          <w:szCs w:val="24"/>
        </w:rPr>
        <w:t>January 202</w:t>
      </w:r>
      <w:r w:rsidR="007F0957">
        <w:rPr>
          <w:rFonts w:ascii="Times New Roman" w:hAnsi="Times New Roman"/>
          <w:color w:val="000000"/>
          <w:sz w:val="24"/>
          <w:szCs w:val="24"/>
        </w:rPr>
        <w:t>2</w:t>
      </w:r>
      <w:r w:rsidR="007742C7" w:rsidRPr="003F095E">
        <w:rPr>
          <w:rFonts w:ascii="Times New Roman" w:hAnsi="Times New Roman"/>
          <w:color w:val="000000"/>
          <w:sz w:val="24"/>
          <w:szCs w:val="24"/>
        </w:rPr>
        <w:t xml:space="preserve">, </w:t>
      </w:r>
      <w:r w:rsidR="0003015F">
        <w:rPr>
          <w:rFonts w:ascii="Times New Roman" w:hAnsi="Times New Roman"/>
          <w:color w:val="000000"/>
          <w:sz w:val="24"/>
          <w:szCs w:val="24"/>
        </w:rPr>
        <w:t xml:space="preserve">to determine </w:t>
      </w:r>
      <w:r w:rsidR="00EC1389" w:rsidRPr="007F0957">
        <w:rPr>
          <w:rFonts w:ascii="Times New Roman" w:hAnsi="Times New Roman"/>
          <w:color w:val="000000"/>
          <w:sz w:val="24"/>
          <w:szCs w:val="24"/>
        </w:rPr>
        <w:t xml:space="preserve">who falls within the </w:t>
      </w:r>
      <w:r w:rsidR="00EC1389" w:rsidRPr="00E51ACD">
        <w:rPr>
          <w:rFonts w:ascii="Times New Roman" w:hAnsi="Times New Roman"/>
          <w:color w:val="000000"/>
          <w:sz w:val="24"/>
          <w:szCs w:val="24"/>
        </w:rPr>
        <w:t>sc</w:t>
      </w:r>
      <w:r w:rsidR="00EC1389" w:rsidRPr="00BE1D27">
        <w:rPr>
          <w:rFonts w:ascii="Times New Roman" w:hAnsi="Times New Roman"/>
          <w:color w:val="000000"/>
          <w:sz w:val="24"/>
          <w:szCs w:val="24"/>
        </w:rPr>
        <w:t xml:space="preserve">ope of the definition of </w:t>
      </w:r>
      <w:r w:rsidR="00EC1389" w:rsidRPr="006D4FDC">
        <w:rPr>
          <w:rFonts w:ascii="Times New Roman" w:hAnsi="Times New Roman"/>
          <w:color w:val="000000"/>
          <w:sz w:val="24"/>
          <w:szCs w:val="24"/>
        </w:rPr>
        <w:t>“eligible former permanent humanitarian visa holder</w:t>
      </w:r>
      <w:r w:rsidR="00EC1389" w:rsidRPr="00754C0D">
        <w:rPr>
          <w:rFonts w:ascii="Times New Roman" w:hAnsi="Times New Roman"/>
          <w:color w:val="000000"/>
          <w:sz w:val="24"/>
          <w:szCs w:val="24"/>
        </w:rPr>
        <w:t xml:space="preserve">” </w:t>
      </w:r>
      <w:r w:rsidR="00754C0D" w:rsidRPr="00754C0D">
        <w:rPr>
          <w:rFonts w:ascii="Times New Roman" w:hAnsi="Times New Roman"/>
          <w:color w:val="000000"/>
          <w:sz w:val="24"/>
          <w:szCs w:val="24"/>
        </w:rPr>
        <w:t>and</w:t>
      </w:r>
      <w:r w:rsidR="007F0957">
        <w:rPr>
          <w:rFonts w:ascii="Times New Roman" w:hAnsi="Times New Roman"/>
          <w:color w:val="000000"/>
          <w:sz w:val="24"/>
          <w:szCs w:val="24"/>
        </w:rPr>
        <w:t>,</w:t>
      </w:r>
      <w:r w:rsidR="00754C0D" w:rsidRPr="007F0957">
        <w:rPr>
          <w:rFonts w:ascii="Times New Roman" w:hAnsi="Times New Roman"/>
          <w:color w:val="000000"/>
          <w:sz w:val="24"/>
          <w:szCs w:val="24"/>
        </w:rPr>
        <w:t xml:space="preserve"> therefore</w:t>
      </w:r>
      <w:r w:rsidR="007F0957">
        <w:rPr>
          <w:rFonts w:ascii="Times New Roman" w:hAnsi="Times New Roman"/>
          <w:color w:val="000000"/>
          <w:sz w:val="24"/>
          <w:szCs w:val="24"/>
        </w:rPr>
        <w:t>, is</w:t>
      </w:r>
      <w:r w:rsidR="00754C0D" w:rsidRPr="007F0957">
        <w:rPr>
          <w:rFonts w:ascii="Times New Roman" w:hAnsi="Times New Roman"/>
          <w:color w:val="000000"/>
          <w:sz w:val="24"/>
          <w:szCs w:val="24"/>
        </w:rPr>
        <w:t xml:space="preserve"> eligible for Commonwealth a</w:t>
      </w:r>
      <w:r w:rsidR="00754C0D" w:rsidRPr="00BE1D27">
        <w:rPr>
          <w:rFonts w:ascii="Times New Roman" w:hAnsi="Times New Roman"/>
          <w:color w:val="000000"/>
          <w:sz w:val="24"/>
          <w:szCs w:val="24"/>
        </w:rPr>
        <w:t>ssistance under the A</w:t>
      </w:r>
      <w:r w:rsidR="00754C0D" w:rsidRPr="006D4FDC">
        <w:rPr>
          <w:rFonts w:ascii="Times New Roman" w:hAnsi="Times New Roman"/>
          <w:color w:val="000000"/>
          <w:sz w:val="24"/>
          <w:szCs w:val="24"/>
        </w:rPr>
        <w:t>ct.</w:t>
      </w:r>
      <w:r w:rsidR="00952B7A">
        <w:rPr>
          <w:rFonts w:ascii="Times New Roman" w:hAnsi="Times New Roman"/>
          <w:color w:val="000000"/>
          <w:sz w:val="24"/>
          <w:szCs w:val="24"/>
        </w:rPr>
        <w:t xml:space="preserve"> If the Determination is registered after 1 January 2022, it will commence prospectively</w:t>
      </w:r>
      <w:r w:rsidR="00615A08">
        <w:rPr>
          <w:rFonts w:ascii="Times New Roman" w:hAnsi="Times New Roman"/>
          <w:color w:val="000000"/>
          <w:sz w:val="24"/>
          <w:szCs w:val="24"/>
        </w:rPr>
        <w:t xml:space="preserve"> </w:t>
      </w:r>
      <w:r w:rsidR="00952B7A">
        <w:rPr>
          <w:rFonts w:ascii="Times New Roman" w:hAnsi="Times New Roman"/>
          <w:color w:val="000000"/>
          <w:sz w:val="24"/>
          <w:szCs w:val="24"/>
        </w:rPr>
        <w:t>and</w:t>
      </w:r>
      <w:r w:rsidR="00615A08">
        <w:rPr>
          <w:rFonts w:ascii="Times New Roman" w:hAnsi="Times New Roman"/>
          <w:color w:val="000000"/>
          <w:sz w:val="24"/>
          <w:szCs w:val="24"/>
        </w:rPr>
        <w:t>,</w:t>
      </w:r>
      <w:r w:rsidR="00952B7A">
        <w:rPr>
          <w:rFonts w:ascii="Times New Roman" w:hAnsi="Times New Roman"/>
          <w:color w:val="000000"/>
          <w:sz w:val="24"/>
          <w:szCs w:val="24"/>
        </w:rPr>
        <w:t xml:space="preserve"> therefore</w:t>
      </w:r>
      <w:r w:rsidR="00615A08">
        <w:rPr>
          <w:rFonts w:ascii="Times New Roman" w:hAnsi="Times New Roman"/>
          <w:color w:val="000000"/>
          <w:sz w:val="24"/>
          <w:szCs w:val="24"/>
        </w:rPr>
        <w:t xml:space="preserve">, have effect </w:t>
      </w:r>
      <w:r w:rsidR="004940EF">
        <w:rPr>
          <w:rFonts w:ascii="Times New Roman" w:hAnsi="Times New Roman"/>
          <w:color w:val="000000"/>
          <w:sz w:val="24"/>
          <w:szCs w:val="24"/>
        </w:rPr>
        <w:t>from the da</w:t>
      </w:r>
      <w:r w:rsidR="00417D65">
        <w:rPr>
          <w:rFonts w:ascii="Times New Roman" w:hAnsi="Times New Roman"/>
          <w:color w:val="000000"/>
          <w:sz w:val="24"/>
          <w:szCs w:val="24"/>
        </w:rPr>
        <w:t>y after it is registered.</w:t>
      </w:r>
      <w:r w:rsidR="00615A08">
        <w:rPr>
          <w:rFonts w:ascii="Times New Roman" w:hAnsi="Times New Roman"/>
          <w:color w:val="000000"/>
          <w:sz w:val="24"/>
          <w:szCs w:val="24"/>
        </w:rPr>
        <w:t xml:space="preserve"> </w:t>
      </w:r>
    </w:p>
    <w:p w14:paraId="5BBBA842" w14:textId="77777777" w:rsidR="00046334" w:rsidRPr="009F1E40" w:rsidRDefault="00046334" w:rsidP="00046334">
      <w:pPr>
        <w:rPr>
          <w:rFonts w:ascii="Times New Roman" w:hAnsi="Times New Roman"/>
          <w:color w:val="000000"/>
          <w:sz w:val="24"/>
          <w:szCs w:val="24"/>
        </w:rPr>
      </w:pPr>
    </w:p>
    <w:p w14:paraId="4932C19F" w14:textId="260F32CF" w:rsidR="00046334" w:rsidRPr="00CB1519" w:rsidRDefault="004E045E" w:rsidP="00046334">
      <w:pPr>
        <w:rPr>
          <w:rFonts w:ascii="Times New Roman" w:hAnsi="Times New Roman"/>
          <w:b/>
          <w:color w:val="000000"/>
          <w:sz w:val="24"/>
          <w:szCs w:val="24"/>
        </w:rPr>
      </w:pPr>
      <w:r>
        <w:rPr>
          <w:rFonts w:ascii="Times New Roman" w:hAnsi="Times New Roman"/>
          <w:b/>
          <w:color w:val="000000"/>
          <w:sz w:val="24"/>
          <w:szCs w:val="24"/>
        </w:rPr>
        <w:t xml:space="preserve">Background, </w:t>
      </w:r>
      <w:r w:rsidR="00046334" w:rsidRPr="00CB1519">
        <w:rPr>
          <w:rFonts w:ascii="Times New Roman" w:hAnsi="Times New Roman"/>
          <w:b/>
          <w:color w:val="000000"/>
          <w:sz w:val="24"/>
          <w:szCs w:val="24"/>
        </w:rPr>
        <w:t>Purpose</w:t>
      </w:r>
      <w:r w:rsidR="00046334">
        <w:rPr>
          <w:rFonts w:ascii="Times New Roman" w:hAnsi="Times New Roman"/>
          <w:b/>
          <w:color w:val="000000"/>
          <w:sz w:val="24"/>
          <w:szCs w:val="24"/>
        </w:rPr>
        <w:t xml:space="preserve"> and </w:t>
      </w:r>
      <w:r>
        <w:rPr>
          <w:rFonts w:ascii="Times New Roman" w:hAnsi="Times New Roman"/>
          <w:b/>
          <w:color w:val="000000"/>
          <w:sz w:val="24"/>
          <w:szCs w:val="24"/>
        </w:rPr>
        <w:t>Operation</w:t>
      </w:r>
    </w:p>
    <w:p w14:paraId="3B3ABBD7" w14:textId="25A0DBFD" w:rsidR="00046334" w:rsidRDefault="00046334" w:rsidP="00046334">
      <w:pPr>
        <w:rPr>
          <w:rFonts w:ascii="Times New Roman" w:hAnsi="Times New Roman"/>
          <w:color w:val="000000"/>
          <w:sz w:val="24"/>
          <w:szCs w:val="24"/>
        </w:rPr>
      </w:pPr>
    </w:p>
    <w:p w14:paraId="27244D5B" w14:textId="3A28216C" w:rsidR="004C634A" w:rsidRPr="009A2E8A" w:rsidRDefault="004C634A" w:rsidP="00046334">
      <w:pPr>
        <w:rPr>
          <w:rFonts w:ascii="Times New Roman" w:hAnsi="Times New Roman"/>
          <w:color w:val="000000"/>
          <w:sz w:val="24"/>
          <w:szCs w:val="24"/>
        </w:rPr>
      </w:pPr>
      <w:r>
        <w:rPr>
          <w:rFonts w:ascii="Times New Roman" w:hAnsi="Times New Roman"/>
          <w:color w:val="000000"/>
          <w:sz w:val="24"/>
          <w:szCs w:val="24"/>
        </w:rPr>
        <w:t xml:space="preserve">Under Part 3-2 of the Act, </w:t>
      </w:r>
      <w:r w:rsidR="009A2E8A">
        <w:rPr>
          <w:rFonts w:ascii="Times New Roman" w:hAnsi="Times New Roman"/>
          <w:color w:val="000000"/>
          <w:sz w:val="24"/>
          <w:szCs w:val="24"/>
        </w:rPr>
        <w:t xml:space="preserve">one of the factors in determining whether </w:t>
      </w:r>
      <w:r>
        <w:rPr>
          <w:rFonts w:ascii="Times New Roman" w:hAnsi="Times New Roman"/>
          <w:color w:val="000000"/>
          <w:sz w:val="24"/>
          <w:szCs w:val="24"/>
        </w:rPr>
        <w:t xml:space="preserve">students are entitled to </w:t>
      </w:r>
      <w:r w:rsidR="000E0B22">
        <w:rPr>
          <w:rFonts w:ascii="Times New Roman" w:hAnsi="Times New Roman"/>
          <w:color w:val="000000"/>
          <w:sz w:val="24"/>
          <w:szCs w:val="24"/>
        </w:rPr>
        <w:t>Higher Education Loan Program (</w:t>
      </w:r>
      <w:r>
        <w:rPr>
          <w:rFonts w:ascii="Times New Roman" w:hAnsi="Times New Roman"/>
          <w:color w:val="000000"/>
          <w:sz w:val="24"/>
          <w:szCs w:val="24"/>
        </w:rPr>
        <w:t>HELP</w:t>
      </w:r>
      <w:r w:rsidR="000E0B22">
        <w:rPr>
          <w:rFonts w:ascii="Times New Roman" w:hAnsi="Times New Roman"/>
          <w:color w:val="000000"/>
          <w:sz w:val="24"/>
          <w:szCs w:val="24"/>
        </w:rPr>
        <w:t>)</w:t>
      </w:r>
      <w:r>
        <w:rPr>
          <w:rFonts w:ascii="Times New Roman" w:hAnsi="Times New Roman"/>
          <w:color w:val="000000"/>
          <w:sz w:val="24"/>
          <w:szCs w:val="24"/>
        </w:rPr>
        <w:t xml:space="preserve"> assistance </w:t>
      </w:r>
      <w:r w:rsidR="009A2E8A">
        <w:rPr>
          <w:rFonts w:ascii="Times New Roman" w:hAnsi="Times New Roman"/>
          <w:color w:val="000000"/>
          <w:sz w:val="24"/>
          <w:szCs w:val="24"/>
        </w:rPr>
        <w:t xml:space="preserve">is that they must satisfy the citizenship or residency requirements under the relevant provisions in the Act. </w:t>
      </w:r>
      <w:r w:rsidR="00927F0E">
        <w:rPr>
          <w:rFonts w:ascii="Times New Roman" w:hAnsi="Times New Roman"/>
          <w:color w:val="000000"/>
          <w:sz w:val="24"/>
          <w:szCs w:val="24"/>
        </w:rPr>
        <w:t xml:space="preserve">As a result of amendments to the Act contained in Part 1 of Schedule 1 to the Amendment Act, </w:t>
      </w:r>
      <w:r w:rsidR="009A2E8A">
        <w:rPr>
          <w:rFonts w:ascii="Times New Roman" w:hAnsi="Times New Roman"/>
          <w:color w:val="000000"/>
          <w:sz w:val="24"/>
          <w:szCs w:val="24"/>
        </w:rPr>
        <w:t xml:space="preserve">eligible former permanent humanitarian visa holders </w:t>
      </w:r>
      <w:r w:rsidR="006A475D">
        <w:rPr>
          <w:rFonts w:ascii="Times New Roman" w:hAnsi="Times New Roman"/>
          <w:color w:val="000000"/>
          <w:sz w:val="24"/>
          <w:szCs w:val="24"/>
        </w:rPr>
        <w:t>can</w:t>
      </w:r>
      <w:r w:rsidR="009A2E8A">
        <w:rPr>
          <w:rFonts w:ascii="Times New Roman" w:hAnsi="Times New Roman"/>
          <w:color w:val="000000"/>
          <w:sz w:val="24"/>
          <w:szCs w:val="24"/>
        </w:rPr>
        <w:t xml:space="preserve"> meet the citizenship or residency requirements </w:t>
      </w:r>
      <w:r w:rsidR="00356AD5">
        <w:rPr>
          <w:rFonts w:ascii="Times New Roman" w:hAnsi="Times New Roman"/>
          <w:color w:val="000000"/>
          <w:sz w:val="24"/>
          <w:szCs w:val="24"/>
        </w:rPr>
        <w:t xml:space="preserve">for HELP </w:t>
      </w:r>
      <w:r w:rsidR="00F037F6">
        <w:rPr>
          <w:rFonts w:ascii="Times New Roman" w:hAnsi="Times New Roman"/>
          <w:color w:val="000000"/>
          <w:sz w:val="24"/>
          <w:szCs w:val="24"/>
        </w:rPr>
        <w:t xml:space="preserve">assistance </w:t>
      </w:r>
      <w:r w:rsidR="009A2E8A">
        <w:rPr>
          <w:rFonts w:ascii="Times New Roman" w:hAnsi="Times New Roman"/>
          <w:color w:val="000000"/>
          <w:sz w:val="24"/>
          <w:szCs w:val="24"/>
        </w:rPr>
        <w:t>under the Act</w:t>
      </w:r>
      <w:r w:rsidR="006A475D">
        <w:rPr>
          <w:rFonts w:ascii="Times New Roman" w:hAnsi="Times New Roman"/>
          <w:color w:val="000000"/>
          <w:sz w:val="24"/>
          <w:szCs w:val="24"/>
        </w:rPr>
        <w:t xml:space="preserve"> where they hold certain specified visa classes or subclasses</w:t>
      </w:r>
      <w:r w:rsidR="0069320D">
        <w:rPr>
          <w:rFonts w:ascii="Times New Roman" w:hAnsi="Times New Roman"/>
          <w:color w:val="000000"/>
          <w:sz w:val="24"/>
          <w:szCs w:val="24"/>
        </w:rPr>
        <w:t xml:space="preserve"> (see specifically the amendments to paragraphs </w:t>
      </w:r>
      <w:r w:rsidR="0026022B">
        <w:rPr>
          <w:rFonts w:ascii="Times New Roman" w:hAnsi="Times New Roman"/>
          <w:iCs/>
          <w:color w:val="000000"/>
          <w:sz w:val="24"/>
          <w:szCs w:val="24"/>
        </w:rPr>
        <w:t>90-5(1)(b), 104-5(1)(b), 118-5(1)(b) and 126-5(1)(b) of the Act in Part 1 of Schedule 1 to the Amend</w:t>
      </w:r>
      <w:r w:rsidR="00E250CA">
        <w:rPr>
          <w:rFonts w:ascii="Times New Roman" w:hAnsi="Times New Roman"/>
          <w:iCs/>
          <w:color w:val="000000"/>
          <w:sz w:val="24"/>
          <w:szCs w:val="24"/>
        </w:rPr>
        <w:t>ment Act)</w:t>
      </w:r>
      <w:r w:rsidR="009A2E8A">
        <w:rPr>
          <w:rFonts w:ascii="Times New Roman" w:hAnsi="Times New Roman"/>
          <w:color w:val="000000"/>
          <w:sz w:val="24"/>
          <w:szCs w:val="24"/>
        </w:rPr>
        <w:t>.</w:t>
      </w:r>
    </w:p>
    <w:p w14:paraId="2FF6AEE9" w14:textId="77777777" w:rsidR="004C634A" w:rsidRDefault="004C634A" w:rsidP="00046334">
      <w:pPr>
        <w:tabs>
          <w:tab w:val="left" w:pos="851"/>
        </w:tabs>
        <w:rPr>
          <w:rFonts w:ascii="Times New Roman" w:hAnsi="Times New Roman"/>
          <w:iCs/>
          <w:color w:val="000000"/>
          <w:sz w:val="24"/>
          <w:szCs w:val="24"/>
        </w:rPr>
      </w:pPr>
    </w:p>
    <w:p w14:paraId="57450118" w14:textId="1397D4F8" w:rsidR="00046334" w:rsidRDefault="00046334" w:rsidP="00046334">
      <w:pPr>
        <w:tabs>
          <w:tab w:val="left" w:pos="851"/>
        </w:tabs>
        <w:rPr>
          <w:rFonts w:ascii="Times New Roman" w:hAnsi="Times New Roman"/>
          <w:iCs/>
          <w:color w:val="000000"/>
          <w:sz w:val="24"/>
          <w:szCs w:val="24"/>
        </w:rPr>
      </w:pPr>
      <w:r>
        <w:rPr>
          <w:rFonts w:ascii="Times New Roman" w:hAnsi="Times New Roman"/>
          <w:iCs/>
          <w:color w:val="000000"/>
          <w:sz w:val="24"/>
          <w:szCs w:val="24"/>
        </w:rPr>
        <w:t xml:space="preserve">The purpose of the </w:t>
      </w:r>
      <w:r w:rsidR="006F1B56" w:rsidRPr="006F1B56">
        <w:rPr>
          <w:rFonts w:ascii="Times New Roman" w:hAnsi="Times New Roman"/>
          <w:i/>
          <w:color w:val="000000"/>
          <w:sz w:val="24"/>
          <w:szCs w:val="24"/>
        </w:rPr>
        <w:t xml:space="preserve">Higher Education Support (Visa Specification for Eligible Former Permanent Humanitarian Visa Holders) Determination 2021 </w:t>
      </w:r>
      <w:r>
        <w:rPr>
          <w:rFonts w:ascii="Times New Roman" w:hAnsi="Times New Roman"/>
          <w:iCs/>
          <w:color w:val="000000"/>
          <w:sz w:val="24"/>
          <w:szCs w:val="24"/>
        </w:rPr>
        <w:t xml:space="preserve">(the </w:t>
      </w:r>
      <w:r w:rsidR="006F1B56">
        <w:rPr>
          <w:rFonts w:ascii="Times New Roman" w:hAnsi="Times New Roman"/>
          <w:iCs/>
          <w:color w:val="000000"/>
          <w:sz w:val="24"/>
          <w:szCs w:val="24"/>
        </w:rPr>
        <w:t>Determination</w:t>
      </w:r>
      <w:r>
        <w:rPr>
          <w:rFonts w:ascii="Times New Roman" w:hAnsi="Times New Roman"/>
          <w:iCs/>
          <w:color w:val="000000"/>
          <w:sz w:val="24"/>
          <w:szCs w:val="24"/>
        </w:rPr>
        <w:t xml:space="preserve">) is to specify </w:t>
      </w:r>
      <w:r w:rsidR="006F1B56">
        <w:rPr>
          <w:rFonts w:ascii="Times New Roman" w:hAnsi="Times New Roman"/>
          <w:iCs/>
          <w:color w:val="000000"/>
          <w:sz w:val="24"/>
          <w:szCs w:val="24"/>
        </w:rPr>
        <w:t>the class</w:t>
      </w:r>
      <w:r w:rsidR="006A475D">
        <w:rPr>
          <w:rFonts w:ascii="Times New Roman" w:hAnsi="Times New Roman"/>
          <w:iCs/>
          <w:color w:val="000000"/>
          <w:sz w:val="24"/>
          <w:szCs w:val="24"/>
        </w:rPr>
        <w:t>es</w:t>
      </w:r>
      <w:r w:rsidR="006F1B56">
        <w:rPr>
          <w:rFonts w:ascii="Times New Roman" w:hAnsi="Times New Roman"/>
          <w:iCs/>
          <w:color w:val="000000"/>
          <w:sz w:val="24"/>
          <w:szCs w:val="24"/>
        </w:rPr>
        <w:t xml:space="preserve"> or subclass</w:t>
      </w:r>
      <w:r w:rsidR="006A475D">
        <w:rPr>
          <w:rFonts w:ascii="Times New Roman" w:hAnsi="Times New Roman"/>
          <w:iCs/>
          <w:color w:val="000000"/>
          <w:sz w:val="24"/>
          <w:szCs w:val="24"/>
        </w:rPr>
        <w:t>es</w:t>
      </w:r>
      <w:r w:rsidR="006F1B56">
        <w:rPr>
          <w:rFonts w:ascii="Times New Roman" w:hAnsi="Times New Roman"/>
          <w:iCs/>
          <w:color w:val="000000"/>
          <w:sz w:val="24"/>
          <w:szCs w:val="24"/>
        </w:rPr>
        <w:t xml:space="preserve"> of visas </w:t>
      </w:r>
      <w:r w:rsidR="007908C2">
        <w:rPr>
          <w:rFonts w:ascii="Times New Roman" w:hAnsi="Times New Roman"/>
          <w:iCs/>
          <w:color w:val="000000"/>
          <w:sz w:val="24"/>
          <w:szCs w:val="24"/>
        </w:rPr>
        <w:t>provided for by the</w:t>
      </w:r>
      <w:r w:rsidR="005F27B4">
        <w:rPr>
          <w:rFonts w:ascii="Times New Roman" w:hAnsi="Times New Roman"/>
          <w:iCs/>
          <w:color w:val="000000"/>
          <w:sz w:val="24"/>
          <w:szCs w:val="24"/>
        </w:rPr>
        <w:t xml:space="preserve"> Migration Act </w:t>
      </w:r>
      <w:r w:rsidR="007908C2">
        <w:rPr>
          <w:rFonts w:ascii="Times New Roman" w:hAnsi="Times New Roman"/>
          <w:iCs/>
          <w:color w:val="000000"/>
          <w:sz w:val="24"/>
          <w:szCs w:val="24"/>
        </w:rPr>
        <w:t xml:space="preserve">or regulations made under that Act for the purposes of paragraph (c) </w:t>
      </w:r>
      <w:r w:rsidR="007904CC">
        <w:rPr>
          <w:rFonts w:ascii="Times New Roman" w:hAnsi="Times New Roman"/>
          <w:iCs/>
          <w:color w:val="000000"/>
          <w:sz w:val="24"/>
          <w:szCs w:val="24"/>
        </w:rPr>
        <w:t>of</w:t>
      </w:r>
      <w:r w:rsidR="007908C2">
        <w:rPr>
          <w:rFonts w:ascii="Times New Roman" w:hAnsi="Times New Roman"/>
          <w:iCs/>
          <w:color w:val="000000"/>
          <w:sz w:val="24"/>
          <w:szCs w:val="24"/>
        </w:rPr>
        <w:t xml:space="preserve"> the definition of “eligible former permanent humanitarian visa holder” in subclause 1(1) of Schedule 1 to the Act. </w:t>
      </w:r>
    </w:p>
    <w:p w14:paraId="1951F0BC" w14:textId="32799FBE" w:rsidR="00046334" w:rsidRDefault="00046334" w:rsidP="00046334">
      <w:pPr>
        <w:tabs>
          <w:tab w:val="left" w:pos="851"/>
        </w:tabs>
        <w:rPr>
          <w:rFonts w:ascii="Times New Roman" w:hAnsi="Times New Roman"/>
          <w:iCs/>
          <w:color w:val="000000"/>
          <w:sz w:val="24"/>
          <w:szCs w:val="24"/>
        </w:rPr>
      </w:pPr>
    </w:p>
    <w:p w14:paraId="7EF21988" w14:textId="39E78627" w:rsidR="006F1B56" w:rsidRDefault="006F1B56" w:rsidP="00046334">
      <w:pPr>
        <w:tabs>
          <w:tab w:val="left" w:pos="851"/>
        </w:tabs>
        <w:rPr>
          <w:rFonts w:ascii="Times New Roman" w:hAnsi="Times New Roman"/>
          <w:iCs/>
          <w:color w:val="000000"/>
          <w:sz w:val="24"/>
          <w:szCs w:val="24"/>
        </w:rPr>
      </w:pPr>
      <w:r>
        <w:rPr>
          <w:rFonts w:ascii="Times New Roman" w:hAnsi="Times New Roman"/>
          <w:iCs/>
          <w:color w:val="000000"/>
          <w:sz w:val="24"/>
          <w:szCs w:val="24"/>
        </w:rPr>
        <w:lastRenderedPageBreak/>
        <w:t xml:space="preserve">The </w:t>
      </w:r>
      <w:r w:rsidR="006A475D">
        <w:rPr>
          <w:rFonts w:ascii="Times New Roman" w:hAnsi="Times New Roman"/>
          <w:iCs/>
          <w:color w:val="000000"/>
          <w:sz w:val="24"/>
          <w:szCs w:val="24"/>
        </w:rPr>
        <w:t xml:space="preserve">effect of the </w:t>
      </w:r>
      <w:r>
        <w:rPr>
          <w:rFonts w:ascii="Times New Roman" w:hAnsi="Times New Roman"/>
          <w:iCs/>
          <w:color w:val="000000"/>
          <w:sz w:val="24"/>
          <w:szCs w:val="24"/>
        </w:rPr>
        <w:t xml:space="preserve">Determination </w:t>
      </w:r>
      <w:r w:rsidR="006A475D">
        <w:rPr>
          <w:rFonts w:ascii="Times New Roman" w:hAnsi="Times New Roman"/>
          <w:iCs/>
          <w:color w:val="000000"/>
          <w:sz w:val="24"/>
          <w:szCs w:val="24"/>
        </w:rPr>
        <w:t>is that</w:t>
      </w:r>
      <w:r>
        <w:rPr>
          <w:rFonts w:ascii="Times New Roman" w:hAnsi="Times New Roman"/>
          <w:iCs/>
          <w:color w:val="000000"/>
          <w:sz w:val="24"/>
          <w:szCs w:val="24"/>
        </w:rPr>
        <w:t xml:space="preserve"> </w:t>
      </w:r>
      <w:r w:rsidR="00CC07D2">
        <w:rPr>
          <w:rFonts w:ascii="Times New Roman" w:hAnsi="Times New Roman"/>
          <w:color w:val="000000"/>
          <w:sz w:val="24"/>
          <w:szCs w:val="24"/>
        </w:rPr>
        <w:t xml:space="preserve">holders of the specified classes or subclasses of visas </w:t>
      </w:r>
      <w:r w:rsidR="006A475D">
        <w:rPr>
          <w:rFonts w:ascii="Times New Roman" w:hAnsi="Times New Roman"/>
          <w:color w:val="000000"/>
          <w:sz w:val="24"/>
          <w:szCs w:val="24"/>
        </w:rPr>
        <w:t>will</w:t>
      </w:r>
      <w:r w:rsidR="00CC07D2">
        <w:rPr>
          <w:rFonts w:ascii="Times New Roman" w:hAnsi="Times New Roman"/>
          <w:color w:val="000000"/>
          <w:sz w:val="24"/>
          <w:szCs w:val="24"/>
        </w:rPr>
        <w:t xml:space="preserve"> meet the definition of </w:t>
      </w:r>
      <w:r w:rsidR="006A475D">
        <w:rPr>
          <w:rFonts w:ascii="Times New Roman" w:hAnsi="Times New Roman"/>
          <w:color w:val="000000"/>
          <w:sz w:val="24"/>
          <w:szCs w:val="24"/>
        </w:rPr>
        <w:t>“</w:t>
      </w:r>
      <w:r w:rsidR="00CC07D2">
        <w:rPr>
          <w:rFonts w:ascii="Times New Roman" w:hAnsi="Times New Roman"/>
          <w:color w:val="000000"/>
          <w:sz w:val="24"/>
          <w:szCs w:val="24"/>
        </w:rPr>
        <w:t>eligible former permanent humanitarian visa holder</w:t>
      </w:r>
      <w:r w:rsidR="006A475D">
        <w:rPr>
          <w:rFonts w:ascii="Times New Roman" w:hAnsi="Times New Roman"/>
          <w:color w:val="000000"/>
          <w:sz w:val="24"/>
          <w:szCs w:val="24"/>
        </w:rPr>
        <w:t>”</w:t>
      </w:r>
      <w:r w:rsidR="00CC07D2">
        <w:rPr>
          <w:rFonts w:ascii="Times New Roman" w:hAnsi="Times New Roman"/>
          <w:color w:val="000000"/>
          <w:sz w:val="24"/>
          <w:szCs w:val="24"/>
        </w:rPr>
        <w:t xml:space="preserve"> in subclause 1(1) of Schedule 1 </w:t>
      </w:r>
      <w:r w:rsidR="006021A4">
        <w:rPr>
          <w:rFonts w:ascii="Times New Roman" w:hAnsi="Times New Roman"/>
          <w:color w:val="000000"/>
          <w:sz w:val="24"/>
          <w:szCs w:val="24"/>
        </w:rPr>
        <w:t xml:space="preserve">to </w:t>
      </w:r>
      <w:r w:rsidR="00CC07D2">
        <w:rPr>
          <w:rFonts w:ascii="Times New Roman" w:hAnsi="Times New Roman"/>
          <w:color w:val="000000"/>
          <w:sz w:val="24"/>
          <w:szCs w:val="24"/>
        </w:rPr>
        <w:t xml:space="preserve">the Act </w:t>
      </w:r>
      <w:r w:rsidR="006A475D">
        <w:rPr>
          <w:rFonts w:ascii="Times New Roman" w:hAnsi="Times New Roman"/>
          <w:color w:val="000000"/>
          <w:sz w:val="24"/>
          <w:szCs w:val="24"/>
        </w:rPr>
        <w:t>where they also</w:t>
      </w:r>
      <w:r w:rsidR="00CC07D2">
        <w:rPr>
          <w:rFonts w:ascii="Times New Roman" w:hAnsi="Times New Roman"/>
          <w:color w:val="000000"/>
          <w:sz w:val="24"/>
          <w:szCs w:val="24"/>
        </w:rPr>
        <w:t xml:space="preserve"> satisfy paragraphs (a) and (b) in that definition</w:t>
      </w:r>
      <w:r w:rsidR="006A475D">
        <w:rPr>
          <w:rFonts w:ascii="Times New Roman" w:hAnsi="Times New Roman"/>
          <w:color w:val="000000"/>
          <w:sz w:val="24"/>
          <w:szCs w:val="24"/>
        </w:rPr>
        <w:t xml:space="preserve"> (which they will satisfy where they were </w:t>
      </w:r>
      <w:r w:rsidR="006A475D" w:rsidRPr="006A475D">
        <w:rPr>
          <w:rFonts w:ascii="Times New Roman" w:hAnsi="Times New Roman"/>
          <w:color w:val="000000"/>
          <w:sz w:val="24"/>
          <w:szCs w:val="24"/>
        </w:rPr>
        <w:t>previously</w:t>
      </w:r>
      <w:r w:rsidR="006A475D">
        <w:rPr>
          <w:rFonts w:ascii="Times New Roman" w:hAnsi="Times New Roman"/>
          <w:color w:val="000000"/>
          <w:sz w:val="24"/>
          <w:szCs w:val="24"/>
        </w:rPr>
        <w:t>, but not currently,</w:t>
      </w:r>
      <w:r w:rsidR="006A475D" w:rsidRPr="006A475D">
        <w:rPr>
          <w:rFonts w:ascii="Times New Roman" w:hAnsi="Times New Roman"/>
          <w:color w:val="000000"/>
          <w:sz w:val="24"/>
          <w:szCs w:val="24"/>
        </w:rPr>
        <w:t xml:space="preserve"> permanent humanitarian visa holder</w:t>
      </w:r>
      <w:r w:rsidR="00795375">
        <w:rPr>
          <w:rFonts w:ascii="Times New Roman" w:hAnsi="Times New Roman"/>
          <w:color w:val="000000"/>
          <w:sz w:val="24"/>
          <w:szCs w:val="24"/>
        </w:rPr>
        <w:t>s</w:t>
      </w:r>
      <w:r w:rsidR="006A475D">
        <w:rPr>
          <w:rFonts w:ascii="Times New Roman" w:hAnsi="Times New Roman"/>
          <w:color w:val="000000"/>
          <w:sz w:val="24"/>
          <w:szCs w:val="24"/>
        </w:rPr>
        <w:t xml:space="preserve">). </w:t>
      </w:r>
      <w:r w:rsidR="007B28D4">
        <w:rPr>
          <w:rFonts w:ascii="Times New Roman" w:hAnsi="Times New Roman"/>
          <w:color w:val="000000"/>
          <w:sz w:val="24"/>
          <w:szCs w:val="24"/>
        </w:rPr>
        <w:t xml:space="preserve">In turn, </w:t>
      </w:r>
      <w:r w:rsidR="00117C52">
        <w:rPr>
          <w:rFonts w:ascii="Times New Roman" w:hAnsi="Times New Roman"/>
          <w:color w:val="000000"/>
          <w:sz w:val="24"/>
          <w:szCs w:val="24"/>
        </w:rPr>
        <w:t xml:space="preserve">eligible former permanent humanitarian visa holders will </w:t>
      </w:r>
      <w:r w:rsidR="00B75201">
        <w:rPr>
          <w:rFonts w:ascii="Times New Roman" w:hAnsi="Times New Roman"/>
          <w:color w:val="000000"/>
          <w:sz w:val="24"/>
          <w:szCs w:val="24"/>
        </w:rPr>
        <w:t xml:space="preserve">be able to </w:t>
      </w:r>
      <w:r w:rsidR="00117C52">
        <w:rPr>
          <w:rFonts w:ascii="Times New Roman" w:hAnsi="Times New Roman"/>
          <w:color w:val="000000"/>
          <w:sz w:val="24"/>
          <w:szCs w:val="24"/>
        </w:rPr>
        <w:t xml:space="preserve">meet </w:t>
      </w:r>
      <w:r w:rsidR="00B75201">
        <w:rPr>
          <w:rFonts w:ascii="Times New Roman" w:hAnsi="Times New Roman"/>
          <w:color w:val="000000"/>
          <w:sz w:val="24"/>
          <w:szCs w:val="24"/>
        </w:rPr>
        <w:t xml:space="preserve">the </w:t>
      </w:r>
      <w:r w:rsidR="00117C52">
        <w:rPr>
          <w:rFonts w:ascii="Times New Roman" w:hAnsi="Times New Roman"/>
          <w:color w:val="000000"/>
          <w:sz w:val="24"/>
          <w:szCs w:val="24"/>
        </w:rPr>
        <w:t xml:space="preserve">citizenship or residency requirements for HELP </w:t>
      </w:r>
      <w:r w:rsidR="00CC2A9A">
        <w:rPr>
          <w:rFonts w:ascii="Times New Roman" w:hAnsi="Times New Roman"/>
          <w:color w:val="000000"/>
          <w:sz w:val="24"/>
          <w:szCs w:val="24"/>
        </w:rPr>
        <w:t xml:space="preserve">assistance </w:t>
      </w:r>
      <w:r w:rsidR="00117C52">
        <w:rPr>
          <w:rFonts w:ascii="Times New Roman" w:hAnsi="Times New Roman"/>
          <w:color w:val="000000"/>
          <w:sz w:val="24"/>
          <w:szCs w:val="24"/>
        </w:rPr>
        <w:t>eligibility.</w:t>
      </w:r>
    </w:p>
    <w:p w14:paraId="7C3812DA" w14:textId="4CCB2F96" w:rsidR="00046334" w:rsidRDefault="00046334" w:rsidP="00046334">
      <w:pPr>
        <w:rPr>
          <w:rFonts w:ascii="Times New Roman" w:hAnsi="Times New Roman"/>
          <w:iCs/>
          <w:color w:val="000000"/>
          <w:sz w:val="24"/>
          <w:szCs w:val="24"/>
        </w:rPr>
      </w:pPr>
    </w:p>
    <w:p w14:paraId="29ED6D2D" w14:textId="05CA6CFB" w:rsidR="004E045E" w:rsidRDefault="004E045E" w:rsidP="00046334">
      <w:pPr>
        <w:rPr>
          <w:rFonts w:ascii="Times New Roman" w:hAnsi="Times New Roman"/>
          <w:b/>
          <w:bCs/>
          <w:iCs/>
          <w:color w:val="000000"/>
          <w:sz w:val="24"/>
          <w:szCs w:val="24"/>
        </w:rPr>
      </w:pPr>
      <w:r w:rsidRPr="00005188">
        <w:rPr>
          <w:rFonts w:ascii="Times New Roman" w:hAnsi="Times New Roman"/>
          <w:b/>
          <w:bCs/>
          <w:iCs/>
          <w:color w:val="000000"/>
          <w:sz w:val="24"/>
          <w:szCs w:val="24"/>
        </w:rPr>
        <w:t>Regulatory Impact</w:t>
      </w:r>
      <w:r w:rsidRPr="004E045E">
        <w:rPr>
          <w:rFonts w:ascii="Times New Roman" w:hAnsi="Times New Roman"/>
          <w:b/>
          <w:bCs/>
          <w:iCs/>
          <w:color w:val="000000"/>
          <w:sz w:val="24"/>
          <w:szCs w:val="24"/>
        </w:rPr>
        <w:t xml:space="preserve"> </w:t>
      </w:r>
    </w:p>
    <w:p w14:paraId="41C37BF3" w14:textId="60B425AF" w:rsidR="00005188" w:rsidRDefault="00005188" w:rsidP="00046334">
      <w:pPr>
        <w:rPr>
          <w:rFonts w:ascii="Times New Roman" w:hAnsi="Times New Roman"/>
          <w:b/>
          <w:bCs/>
          <w:iCs/>
          <w:color w:val="000000"/>
          <w:sz w:val="24"/>
          <w:szCs w:val="24"/>
        </w:rPr>
      </w:pPr>
    </w:p>
    <w:p w14:paraId="7A168862" w14:textId="66AB49E0" w:rsidR="00005188" w:rsidRPr="00005188" w:rsidRDefault="00005188" w:rsidP="00005188">
      <w:pPr>
        <w:tabs>
          <w:tab w:val="left" w:pos="851"/>
        </w:tabs>
        <w:rPr>
          <w:rFonts w:ascii="Times New Roman" w:hAnsi="Times New Roman"/>
          <w:color w:val="000000"/>
          <w:sz w:val="24"/>
          <w:szCs w:val="24"/>
        </w:rPr>
      </w:pPr>
      <w:r w:rsidRPr="00005188">
        <w:rPr>
          <w:rFonts w:ascii="Times New Roman" w:hAnsi="Times New Roman"/>
          <w:color w:val="000000"/>
          <w:sz w:val="24"/>
          <w:szCs w:val="24"/>
        </w:rPr>
        <w:t xml:space="preserve">The Office of Best Practice Regulation (OBPR) has advised that a regulatory impact statement is not required for this </w:t>
      </w:r>
      <w:r w:rsidR="004666E8">
        <w:rPr>
          <w:rFonts w:ascii="Times New Roman" w:hAnsi="Times New Roman"/>
          <w:color w:val="000000"/>
          <w:sz w:val="24"/>
          <w:szCs w:val="24"/>
        </w:rPr>
        <w:t>Determination</w:t>
      </w:r>
      <w:r w:rsidRPr="00005188">
        <w:rPr>
          <w:rFonts w:ascii="Times New Roman" w:hAnsi="Times New Roman"/>
          <w:color w:val="000000"/>
          <w:sz w:val="24"/>
          <w:szCs w:val="24"/>
        </w:rPr>
        <w:t xml:space="preserve"> (OBPR reference </w:t>
      </w:r>
      <w:r w:rsidR="003D7D61">
        <w:rPr>
          <w:rFonts w:ascii="Times New Roman" w:hAnsi="Times New Roman"/>
          <w:color w:val="000000"/>
          <w:sz w:val="24"/>
          <w:szCs w:val="24"/>
        </w:rPr>
        <w:t>44341</w:t>
      </w:r>
      <w:r w:rsidRPr="00005188">
        <w:rPr>
          <w:rFonts w:ascii="Times New Roman" w:hAnsi="Times New Roman"/>
          <w:color w:val="000000"/>
          <w:sz w:val="24"/>
          <w:szCs w:val="24"/>
        </w:rPr>
        <w:t>).</w:t>
      </w:r>
    </w:p>
    <w:p w14:paraId="6163B315" w14:textId="77777777" w:rsidR="004E045E" w:rsidRPr="009F1E40" w:rsidRDefault="004E045E" w:rsidP="00046334">
      <w:pPr>
        <w:rPr>
          <w:rFonts w:ascii="Times New Roman" w:hAnsi="Times New Roman"/>
          <w:iCs/>
          <w:color w:val="000000"/>
          <w:sz w:val="24"/>
          <w:szCs w:val="24"/>
        </w:rPr>
      </w:pPr>
    </w:p>
    <w:p w14:paraId="0E384031" w14:textId="77777777" w:rsidR="00046334" w:rsidRDefault="00046334" w:rsidP="00046334">
      <w:pPr>
        <w:rPr>
          <w:rFonts w:ascii="Times New Roman" w:hAnsi="Times New Roman"/>
          <w:b/>
          <w:iCs/>
          <w:color w:val="000000"/>
          <w:sz w:val="24"/>
          <w:szCs w:val="24"/>
        </w:rPr>
      </w:pPr>
      <w:r w:rsidRPr="00BE19BA">
        <w:rPr>
          <w:rFonts w:ascii="Times New Roman" w:hAnsi="Times New Roman"/>
          <w:b/>
          <w:iCs/>
          <w:color w:val="000000"/>
          <w:sz w:val="24"/>
          <w:szCs w:val="24"/>
        </w:rPr>
        <w:t>Commencement</w:t>
      </w:r>
    </w:p>
    <w:p w14:paraId="1F03492E" w14:textId="77777777" w:rsidR="00046334" w:rsidRPr="00142EC6" w:rsidRDefault="00046334" w:rsidP="00046334">
      <w:pPr>
        <w:rPr>
          <w:rFonts w:ascii="Times New Roman" w:hAnsi="Times New Roman"/>
          <w:color w:val="000000"/>
          <w:sz w:val="24"/>
          <w:szCs w:val="24"/>
        </w:rPr>
      </w:pPr>
    </w:p>
    <w:p w14:paraId="5C1B3816" w14:textId="75C90771" w:rsidR="00046334" w:rsidRPr="00CA19CF" w:rsidRDefault="00046334" w:rsidP="00046334">
      <w:pPr>
        <w:tabs>
          <w:tab w:val="left" w:pos="851"/>
        </w:tabs>
        <w:rPr>
          <w:rFonts w:ascii="Times New Roman" w:hAnsi="Times New Roman"/>
          <w:bCs/>
          <w:iCs/>
          <w:sz w:val="24"/>
          <w:szCs w:val="24"/>
        </w:rPr>
      </w:pPr>
      <w:r>
        <w:rPr>
          <w:rFonts w:ascii="Times New Roman" w:hAnsi="Times New Roman"/>
          <w:bCs/>
          <w:color w:val="000000"/>
          <w:sz w:val="24"/>
          <w:szCs w:val="24"/>
        </w:rPr>
        <w:t xml:space="preserve">The </w:t>
      </w:r>
      <w:r w:rsidR="009A2E8A">
        <w:rPr>
          <w:rFonts w:ascii="Times New Roman" w:hAnsi="Times New Roman"/>
          <w:bCs/>
          <w:color w:val="000000"/>
          <w:sz w:val="24"/>
          <w:szCs w:val="24"/>
        </w:rPr>
        <w:t>Determination</w:t>
      </w:r>
      <w:r>
        <w:rPr>
          <w:rFonts w:ascii="Times New Roman" w:hAnsi="Times New Roman"/>
          <w:bCs/>
          <w:color w:val="000000"/>
          <w:sz w:val="24"/>
          <w:szCs w:val="24"/>
        </w:rPr>
        <w:t xml:space="preserve"> takes effect from</w:t>
      </w:r>
      <w:r w:rsidR="007759E9">
        <w:rPr>
          <w:rFonts w:ascii="Times New Roman" w:hAnsi="Times New Roman"/>
          <w:bCs/>
          <w:color w:val="000000"/>
          <w:sz w:val="24"/>
          <w:szCs w:val="24"/>
        </w:rPr>
        <w:t xml:space="preserve"> the later of: (a) the start of the day </w:t>
      </w:r>
      <w:r w:rsidR="00BC1FBC">
        <w:rPr>
          <w:rFonts w:ascii="Times New Roman" w:hAnsi="Times New Roman"/>
          <w:bCs/>
          <w:color w:val="000000"/>
          <w:sz w:val="24"/>
          <w:szCs w:val="24"/>
        </w:rPr>
        <w:t xml:space="preserve">after </w:t>
      </w:r>
      <w:r w:rsidR="00CC7014">
        <w:rPr>
          <w:rFonts w:ascii="Times New Roman" w:hAnsi="Times New Roman"/>
          <w:bCs/>
          <w:color w:val="000000"/>
          <w:sz w:val="24"/>
          <w:szCs w:val="24"/>
        </w:rPr>
        <w:t xml:space="preserve">the Determination </w:t>
      </w:r>
      <w:r w:rsidR="00BC1FBC">
        <w:rPr>
          <w:rFonts w:ascii="Times New Roman" w:hAnsi="Times New Roman"/>
          <w:bCs/>
          <w:color w:val="000000"/>
          <w:sz w:val="24"/>
          <w:szCs w:val="24"/>
        </w:rPr>
        <w:t>is registered (in case it is registered after 1 January 2022)</w:t>
      </w:r>
      <w:r w:rsidR="000F4C03">
        <w:rPr>
          <w:rFonts w:ascii="Times New Roman" w:hAnsi="Times New Roman"/>
          <w:bCs/>
          <w:color w:val="000000"/>
          <w:sz w:val="24"/>
          <w:szCs w:val="24"/>
        </w:rPr>
        <w:t>; and (b) on</w:t>
      </w:r>
      <w:r>
        <w:rPr>
          <w:rFonts w:ascii="Times New Roman" w:hAnsi="Times New Roman"/>
          <w:bCs/>
          <w:color w:val="000000"/>
          <w:sz w:val="24"/>
          <w:szCs w:val="24"/>
        </w:rPr>
        <w:t xml:space="preserve"> 1 January 202</w:t>
      </w:r>
      <w:r w:rsidR="006F1B56">
        <w:rPr>
          <w:rFonts w:ascii="Times New Roman" w:hAnsi="Times New Roman"/>
          <w:bCs/>
          <w:color w:val="000000"/>
          <w:sz w:val="24"/>
          <w:szCs w:val="24"/>
        </w:rPr>
        <w:t>2</w:t>
      </w:r>
      <w:r>
        <w:rPr>
          <w:rFonts w:ascii="Times New Roman" w:hAnsi="Times New Roman"/>
          <w:bCs/>
          <w:color w:val="000000"/>
          <w:sz w:val="24"/>
          <w:szCs w:val="24"/>
        </w:rPr>
        <w:t xml:space="preserve">, </w:t>
      </w:r>
      <w:r w:rsidR="000F4C03">
        <w:rPr>
          <w:rFonts w:ascii="Times New Roman" w:hAnsi="Times New Roman"/>
          <w:bCs/>
          <w:color w:val="000000"/>
          <w:sz w:val="24"/>
          <w:szCs w:val="24"/>
        </w:rPr>
        <w:t>immediately after the commencement of Part 1 of Schedule 1 to the Amendment Act.</w:t>
      </w:r>
    </w:p>
    <w:p w14:paraId="1B437DAF" w14:textId="77777777" w:rsidR="00046334" w:rsidRPr="00142EC6" w:rsidRDefault="00046334" w:rsidP="00046334">
      <w:pPr>
        <w:rPr>
          <w:rFonts w:ascii="Times New Roman" w:hAnsi="Times New Roman"/>
          <w:color w:val="000000"/>
          <w:sz w:val="24"/>
          <w:szCs w:val="24"/>
        </w:rPr>
      </w:pPr>
      <w:bookmarkStart w:id="0" w:name="OLE_LINK4"/>
    </w:p>
    <w:p w14:paraId="4016C655" w14:textId="7C09EBC5" w:rsidR="00046334" w:rsidRPr="004C634A" w:rsidRDefault="00046334" w:rsidP="00046334">
      <w:pPr>
        <w:rPr>
          <w:rFonts w:ascii="Times New Roman" w:hAnsi="Times New Roman"/>
          <w:b/>
          <w:color w:val="000000"/>
          <w:sz w:val="24"/>
          <w:szCs w:val="24"/>
        </w:rPr>
      </w:pPr>
      <w:r>
        <w:rPr>
          <w:rFonts w:ascii="Times New Roman" w:hAnsi="Times New Roman"/>
          <w:b/>
          <w:color w:val="000000"/>
          <w:sz w:val="24"/>
          <w:szCs w:val="24"/>
        </w:rPr>
        <w:t>Consultation</w:t>
      </w:r>
    </w:p>
    <w:p w14:paraId="00CF6E37" w14:textId="77777777" w:rsidR="004C634A" w:rsidRDefault="004C634A" w:rsidP="004C634A">
      <w:pPr>
        <w:tabs>
          <w:tab w:val="left" w:pos="851"/>
        </w:tabs>
        <w:rPr>
          <w:rFonts w:ascii="Times New Roman" w:hAnsi="Times New Roman"/>
          <w:sz w:val="24"/>
          <w:szCs w:val="24"/>
          <w:lang w:eastAsia="en-AU"/>
        </w:rPr>
      </w:pPr>
    </w:p>
    <w:p w14:paraId="5B36F43A" w14:textId="38B7B3D4" w:rsidR="004C634A" w:rsidRDefault="00143735">
      <w:pPr>
        <w:rPr>
          <w:rFonts w:ascii="Times New Roman" w:hAnsi="Times New Roman"/>
          <w:b/>
          <w:color w:val="000000"/>
          <w:sz w:val="24"/>
          <w:szCs w:val="24"/>
        </w:rPr>
      </w:pPr>
      <w:r w:rsidRPr="00B1415B">
        <w:rPr>
          <w:rFonts w:ascii="Times New Roman" w:hAnsi="Times New Roman"/>
          <w:sz w:val="24"/>
          <w:szCs w:val="24"/>
          <w:lang w:eastAsia="en-AU"/>
        </w:rPr>
        <w:t xml:space="preserve">The Department of Education, Skills and Employment consulted with the Department of Home Affairs </w:t>
      </w:r>
      <w:r w:rsidR="00BB00DB" w:rsidRPr="00B1415B">
        <w:rPr>
          <w:rFonts w:ascii="Times New Roman" w:hAnsi="Times New Roman"/>
          <w:sz w:val="24"/>
          <w:szCs w:val="24"/>
          <w:lang w:eastAsia="en-AU"/>
        </w:rPr>
        <w:t xml:space="preserve">for the specification of </w:t>
      </w:r>
      <w:r w:rsidR="00B1415B">
        <w:rPr>
          <w:rFonts w:ascii="Times New Roman" w:hAnsi="Times New Roman"/>
          <w:sz w:val="24"/>
          <w:szCs w:val="24"/>
          <w:lang w:eastAsia="en-AU"/>
        </w:rPr>
        <w:t xml:space="preserve">the classes or subclasses of </w:t>
      </w:r>
      <w:r w:rsidR="00BB00DB" w:rsidRPr="00B1415B">
        <w:rPr>
          <w:rFonts w:ascii="Times New Roman" w:hAnsi="Times New Roman"/>
          <w:sz w:val="24"/>
          <w:szCs w:val="24"/>
          <w:lang w:eastAsia="en-AU"/>
        </w:rPr>
        <w:t>visas in the Determination in July and August 2021. The Department of Home Affairs</w:t>
      </w:r>
      <w:r w:rsidR="00B71692" w:rsidRPr="00B1415B">
        <w:rPr>
          <w:rFonts w:ascii="Times New Roman" w:hAnsi="Times New Roman"/>
          <w:sz w:val="24"/>
          <w:szCs w:val="24"/>
          <w:lang w:eastAsia="en-AU"/>
        </w:rPr>
        <w:t xml:space="preserve"> is </w:t>
      </w:r>
      <w:r w:rsidR="00BB00DB" w:rsidRPr="00B1415B">
        <w:rPr>
          <w:rFonts w:ascii="Times New Roman" w:hAnsi="Times New Roman"/>
          <w:sz w:val="24"/>
          <w:szCs w:val="24"/>
          <w:lang w:eastAsia="en-AU"/>
        </w:rPr>
        <w:t xml:space="preserve">broadly </w:t>
      </w:r>
      <w:r w:rsidR="00B71692" w:rsidRPr="00B1415B">
        <w:rPr>
          <w:rFonts w:ascii="Times New Roman" w:hAnsi="Times New Roman"/>
          <w:sz w:val="24"/>
          <w:szCs w:val="24"/>
          <w:lang w:eastAsia="en-AU"/>
        </w:rPr>
        <w:t>supportive of</w:t>
      </w:r>
      <w:r w:rsidR="00BB00DB" w:rsidRPr="00B1415B">
        <w:rPr>
          <w:rFonts w:ascii="Times New Roman" w:hAnsi="Times New Roman"/>
          <w:sz w:val="24"/>
          <w:szCs w:val="24"/>
          <w:lang w:eastAsia="en-AU"/>
        </w:rPr>
        <w:t xml:space="preserve"> the </w:t>
      </w:r>
      <w:r w:rsidR="00FE5B69">
        <w:rPr>
          <w:rFonts w:ascii="Times New Roman" w:hAnsi="Times New Roman"/>
          <w:sz w:val="24"/>
          <w:szCs w:val="24"/>
          <w:lang w:eastAsia="en-AU"/>
        </w:rPr>
        <w:t>Determination and it</w:t>
      </w:r>
      <w:r w:rsidR="005E0400">
        <w:rPr>
          <w:rFonts w:ascii="Times New Roman" w:hAnsi="Times New Roman"/>
          <w:sz w:val="24"/>
          <w:szCs w:val="24"/>
          <w:lang w:eastAsia="en-AU"/>
        </w:rPr>
        <w:t xml:space="preserve">s </w:t>
      </w:r>
      <w:proofErr w:type="gramStart"/>
      <w:r w:rsidR="005E0400">
        <w:rPr>
          <w:rFonts w:ascii="Times New Roman" w:hAnsi="Times New Roman"/>
          <w:sz w:val="24"/>
          <w:szCs w:val="24"/>
          <w:lang w:eastAsia="en-AU"/>
        </w:rPr>
        <w:t>operation</w:t>
      </w:r>
      <w:r w:rsidR="005F27B4">
        <w:rPr>
          <w:rFonts w:ascii="Times New Roman" w:hAnsi="Times New Roman"/>
          <w:sz w:val="24"/>
          <w:szCs w:val="24"/>
          <w:lang w:eastAsia="en-AU"/>
        </w:rPr>
        <w:t>,</w:t>
      </w:r>
      <w:r w:rsidR="005E0400">
        <w:rPr>
          <w:rFonts w:ascii="Times New Roman" w:hAnsi="Times New Roman"/>
          <w:sz w:val="24"/>
          <w:szCs w:val="24"/>
          <w:lang w:eastAsia="en-AU"/>
        </w:rPr>
        <w:t xml:space="preserve"> </w:t>
      </w:r>
      <w:r w:rsidR="00356AD5">
        <w:rPr>
          <w:rFonts w:ascii="Times New Roman" w:hAnsi="Times New Roman"/>
          <w:sz w:val="24"/>
          <w:szCs w:val="24"/>
          <w:lang w:eastAsia="en-AU"/>
        </w:rPr>
        <w:t>and</w:t>
      </w:r>
      <w:proofErr w:type="gramEnd"/>
      <w:r w:rsidR="00BB00DB" w:rsidRPr="00B1415B">
        <w:rPr>
          <w:rFonts w:ascii="Times New Roman" w:hAnsi="Times New Roman"/>
          <w:sz w:val="24"/>
          <w:szCs w:val="24"/>
          <w:lang w:eastAsia="en-AU"/>
        </w:rPr>
        <w:t xml:space="preserve"> </w:t>
      </w:r>
      <w:r w:rsidR="00B71692" w:rsidRPr="00B1415B">
        <w:rPr>
          <w:rFonts w:ascii="Times New Roman" w:hAnsi="Times New Roman"/>
          <w:sz w:val="24"/>
          <w:szCs w:val="24"/>
          <w:lang w:eastAsia="en-AU"/>
        </w:rPr>
        <w:t>gave</w:t>
      </w:r>
      <w:r w:rsidR="00BB00DB" w:rsidRPr="00B1415B">
        <w:rPr>
          <w:rFonts w:ascii="Times New Roman" w:hAnsi="Times New Roman"/>
          <w:sz w:val="24"/>
          <w:szCs w:val="24"/>
          <w:lang w:eastAsia="en-AU"/>
        </w:rPr>
        <w:t xml:space="preserve"> advice on</w:t>
      </w:r>
      <w:r w:rsidR="00B833E0">
        <w:rPr>
          <w:rFonts w:ascii="Times New Roman" w:hAnsi="Times New Roman"/>
          <w:sz w:val="24"/>
          <w:szCs w:val="24"/>
          <w:lang w:eastAsia="en-AU"/>
        </w:rPr>
        <w:t xml:space="preserve"> the specification of</w:t>
      </w:r>
      <w:r w:rsidR="00BB00DB" w:rsidRPr="00B1415B">
        <w:rPr>
          <w:rFonts w:ascii="Times New Roman" w:hAnsi="Times New Roman"/>
          <w:sz w:val="24"/>
          <w:szCs w:val="24"/>
          <w:lang w:eastAsia="en-AU"/>
        </w:rPr>
        <w:t xml:space="preserve"> resident return visa </w:t>
      </w:r>
      <w:r w:rsidR="00B833E0" w:rsidRPr="00822428">
        <w:rPr>
          <w:rFonts w:ascii="Times New Roman" w:hAnsi="Times New Roman"/>
          <w:sz w:val="24"/>
          <w:szCs w:val="24"/>
          <w:lang w:eastAsia="en-AU"/>
        </w:rPr>
        <w:t>subclass</w:t>
      </w:r>
      <w:r w:rsidR="00B833E0">
        <w:rPr>
          <w:rFonts w:ascii="Times New Roman" w:hAnsi="Times New Roman"/>
          <w:sz w:val="24"/>
          <w:szCs w:val="24"/>
          <w:lang w:eastAsia="en-AU"/>
        </w:rPr>
        <w:t>es</w:t>
      </w:r>
      <w:r w:rsidR="00B833E0" w:rsidRPr="00822428">
        <w:rPr>
          <w:rFonts w:ascii="Times New Roman" w:hAnsi="Times New Roman"/>
          <w:sz w:val="24"/>
          <w:szCs w:val="24"/>
          <w:lang w:eastAsia="en-AU"/>
        </w:rPr>
        <w:t xml:space="preserve"> </w:t>
      </w:r>
      <w:r w:rsidR="00B833E0">
        <w:rPr>
          <w:rFonts w:ascii="Times New Roman" w:hAnsi="Times New Roman"/>
          <w:sz w:val="24"/>
          <w:szCs w:val="24"/>
          <w:lang w:eastAsia="en-AU"/>
        </w:rPr>
        <w:t xml:space="preserve">under the </w:t>
      </w:r>
      <w:r w:rsidR="00B833E0" w:rsidRPr="00B1415B">
        <w:rPr>
          <w:rFonts w:ascii="Times New Roman" w:hAnsi="Times New Roman"/>
          <w:i/>
          <w:sz w:val="24"/>
          <w:szCs w:val="24"/>
          <w:lang w:eastAsia="en-AU"/>
        </w:rPr>
        <w:t>Migration Regulations 1994</w:t>
      </w:r>
      <w:r w:rsidR="00D93046">
        <w:rPr>
          <w:rFonts w:ascii="Times New Roman" w:hAnsi="Times New Roman"/>
          <w:sz w:val="24"/>
          <w:szCs w:val="24"/>
          <w:lang w:eastAsia="en-AU"/>
        </w:rPr>
        <w:t xml:space="preserve">. The Department of Home Affairs’ advice </w:t>
      </w:r>
      <w:r w:rsidR="00BB00DB" w:rsidRPr="00B1415B">
        <w:rPr>
          <w:rFonts w:ascii="Times New Roman" w:hAnsi="Times New Roman"/>
          <w:sz w:val="24"/>
          <w:szCs w:val="24"/>
          <w:lang w:eastAsia="en-AU"/>
        </w:rPr>
        <w:t xml:space="preserve">informed the </w:t>
      </w:r>
      <w:r w:rsidR="00B71692" w:rsidRPr="00B1415B">
        <w:rPr>
          <w:rFonts w:ascii="Times New Roman" w:hAnsi="Times New Roman"/>
          <w:sz w:val="24"/>
          <w:szCs w:val="24"/>
          <w:lang w:eastAsia="en-AU"/>
        </w:rPr>
        <w:t>development</w:t>
      </w:r>
      <w:r w:rsidR="00BB00DB" w:rsidRPr="00B1415B">
        <w:rPr>
          <w:rFonts w:ascii="Times New Roman" w:hAnsi="Times New Roman"/>
          <w:sz w:val="24"/>
          <w:szCs w:val="24"/>
          <w:lang w:eastAsia="en-AU"/>
        </w:rPr>
        <w:t xml:space="preserve"> of </w:t>
      </w:r>
      <w:r w:rsidR="00B71692" w:rsidRPr="00B1415B">
        <w:rPr>
          <w:rFonts w:ascii="Times New Roman" w:hAnsi="Times New Roman"/>
          <w:sz w:val="24"/>
          <w:szCs w:val="24"/>
          <w:lang w:eastAsia="en-AU"/>
        </w:rPr>
        <w:t>the</w:t>
      </w:r>
      <w:r w:rsidR="00BB00DB" w:rsidRPr="00B1415B">
        <w:rPr>
          <w:rFonts w:ascii="Times New Roman" w:hAnsi="Times New Roman"/>
          <w:sz w:val="24"/>
          <w:szCs w:val="24"/>
          <w:lang w:eastAsia="en-AU"/>
        </w:rPr>
        <w:t xml:space="preserve"> Determination.</w:t>
      </w:r>
      <w:r w:rsidR="004C634A">
        <w:rPr>
          <w:rFonts w:ascii="Times New Roman" w:hAnsi="Times New Roman"/>
          <w:b/>
          <w:color w:val="000000"/>
          <w:sz w:val="24"/>
          <w:szCs w:val="24"/>
        </w:rPr>
        <w:br w:type="page"/>
      </w:r>
    </w:p>
    <w:p w14:paraId="3E708E47" w14:textId="3547817C" w:rsidR="006C5960" w:rsidRPr="009F1E40" w:rsidRDefault="007C598A" w:rsidP="006C5960">
      <w:pPr>
        <w:jc w:val="center"/>
        <w:rPr>
          <w:rFonts w:ascii="Times New Roman" w:hAnsi="Times New Roman"/>
          <w:b/>
          <w:sz w:val="24"/>
          <w:szCs w:val="24"/>
        </w:rPr>
      </w:pPr>
      <w:r w:rsidRPr="009F1E40">
        <w:rPr>
          <w:rFonts w:ascii="Times New Roman" w:hAnsi="Times New Roman"/>
          <w:b/>
          <w:sz w:val="24"/>
          <w:szCs w:val="24"/>
        </w:rPr>
        <w:lastRenderedPageBreak/>
        <w:t>STATEMENT OF COMPATIBILITY WITH HUMAN RIGHTS</w:t>
      </w:r>
    </w:p>
    <w:p w14:paraId="7F0F18A6" w14:textId="77777777" w:rsidR="006C5960" w:rsidRPr="009F1E40" w:rsidRDefault="006C5960" w:rsidP="006C5960">
      <w:pPr>
        <w:jc w:val="center"/>
        <w:rPr>
          <w:rFonts w:ascii="Times New Roman" w:hAnsi="Times New Roman"/>
          <w:i/>
          <w:sz w:val="24"/>
          <w:szCs w:val="24"/>
        </w:rPr>
      </w:pPr>
    </w:p>
    <w:p w14:paraId="013196DD" w14:textId="77777777" w:rsidR="006C5960" w:rsidRPr="009F1E40" w:rsidRDefault="006C5960" w:rsidP="006C5960">
      <w:pPr>
        <w:jc w:val="center"/>
        <w:rPr>
          <w:rFonts w:ascii="Times New Roman" w:hAnsi="Times New Roman"/>
          <w:sz w:val="24"/>
          <w:szCs w:val="24"/>
        </w:rPr>
      </w:pPr>
      <w:r w:rsidRPr="009F1E40">
        <w:rPr>
          <w:rFonts w:ascii="Times New Roman" w:hAnsi="Times New Roman"/>
          <w:i/>
          <w:sz w:val="24"/>
          <w:szCs w:val="24"/>
        </w:rPr>
        <w:t>Prepared in accordance with Part 3 of the Human Rights (Parliamentary Scrutiny) Act 2011</w:t>
      </w:r>
    </w:p>
    <w:p w14:paraId="667547D1" w14:textId="77777777" w:rsidR="006C5960" w:rsidRPr="009F1E40" w:rsidRDefault="006C5960" w:rsidP="006C5960">
      <w:pPr>
        <w:jc w:val="center"/>
        <w:rPr>
          <w:rFonts w:ascii="Times New Roman" w:hAnsi="Times New Roman"/>
          <w:sz w:val="24"/>
          <w:szCs w:val="24"/>
        </w:rPr>
      </w:pPr>
    </w:p>
    <w:p w14:paraId="3C510B39" w14:textId="77777777" w:rsidR="006C5960" w:rsidRPr="007C598A" w:rsidRDefault="006C5960" w:rsidP="006C5960">
      <w:pPr>
        <w:jc w:val="center"/>
        <w:rPr>
          <w:rFonts w:ascii="Times New Roman" w:hAnsi="Times New Roman"/>
          <w:iCs/>
          <w:color w:val="000000"/>
          <w:sz w:val="24"/>
          <w:szCs w:val="24"/>
          <w:u w:val="single"/>
        </w:rPr>
      </w:pPr>
      <w:r w:rsidRPr="002A35E7">
        <w:rPr>
          <w:rFonts w:ascii="Times New Roman" w:hAnsi="Times New Roman"/>
          <w:iCs/>
          <w:color w:val="000000"/>
          <w:sz w:val="24"/>
          <w:szCs w:val="24"/>
          <w:u w:val="single"/>
        </w:rPr>
        <w:t>Higher Education Support (Visa Specification for Eligible Former Permanent Humanitarian Visa Holders) Determination 2021</w:t>
      </w:r>
      <w:r w:rsidRPr="002A35E7">
        <w:rPr>
          <w:rFonts w:ascii="Times New Roman" w:hAnsi="Times New Roman"/>
          <w:b/>
          <w:iCs/>
          <w:sz w:val="24"/>
          <w:szCs w:val="24"/>
          <w:u w:val="single"/>
        </w:rPr>
        <w:br/>
      </w:r>
    </w:p>
    <w:p w14:paraId="0C285709" w14:textId="77777777" w:rsidR="006C5960" w:rsidRPr="009F1E40" w:rsidRDefault="006C5960" w:rsidP="006C5960">
      <w:pPr>
        <w:rPr>
          <w:rFonts w:ascii="Times New Roman" w:hAnsi="Times New Roman"/>
          <w:sz w:val="24"/>
          <w:szCs w:val="24"/>
        </w:rPr>
      </w:pPr>
      <w:r w:rsidRPr="009F1E40">
        <w:rPr>
          <w:rFonts w:ascii="Times New Roman" w:hAnsi="Times New Roman"/>
          <w:sz w:val="24"/>
          <w:szCs w:val="24"/>
        </w:rPr>
        <w:t>Th</w:t>
      </w:r>
      <w:r>
        <w:rPr>
          <w:rFonts w:ascii="Times New Roman" w:hAnsi="Times New Roman"/>
          <w:sz w:val="24"/>
          <w:szCs w:val="24"/>
        </w:rPr>
        <w:t xml:space="preserve">e </w:t>
      </w:r>
      <w:r w:rsidRPr="00F550A1">
        <w:rPr>
          <w:rFonts w:ascii="Times New Roman" w:hAnsi="Times New Roman"/>
          <w:i/>
          <w:color w:val="000000"/>
          <w:sz w:val="24"/>
          <w:szCs w:val="24"/>
        </w:rPr>
        <w:t>Higher Education Support (Visa Specification for Eligible Former Permanent Humanitarian Visa Holders) Determination 2021</w:t>
      </w:r>
      <w:r>
        <w:rPr>
          <w:rFonts w:ascii="Times New Roman" w:hAnsi="Times New Roman"/>
          <w:sz w:val="24"/>
          <w:szCs w:val="24"/>
        </w:rPr>
        <w:t xml:space="preserve"> (the Determination)</w:t>
      </w:r>
      <w:r w:rsidRPr="009F1E40">
        <w:rPr>
          <w:rFonts w:ascii="Times New Roman" w:hAnsi="Times New Roman"/>
          <w:sz w:val="24"/>
          <w:szCs w:val="24"/>
        </w:rPr>
        <w:t xml:space="preserve"> is compatible with the human rights and freedoms recognised or declared in the international instruments listed in section 3 of the </w:t>
      </w:r>
      <w:r w:rsidRPr="009F1E40">
        <w:rPr>
          <w:rFonts w:ascii="Times New Roman" w:hAnsi="Times New Roman"/>
          <w:i/>
          <w:sz w:val="24"/>
          <w:szCs w:val="24"/>
        </w:rPr>
        <w:t>Human Rights (Parliamentary Scrutiny) Act 2011</w:t>
      </w:r>
      <w:r w:rsidRPr="009F1E40">
        <w:rPr>
          <w:rFonts w:ascii="Times New Roman" w:hAnsi="Times New Roman"/>
          <w:sz w:val="24"/>
          <w:szCs w:val="24"/>
        </w:rPr>
        <w:t>.</w:t>
      </w:r>
    </w:p>
    <w:p w14:paraId="029FB922" w14:textId="77777777" w:rsidR="006C5960" w:rsidRPr="009F1E40" w:rsidRDefault="006C5960" w:rsidP="006C5960">
      <w:pPr>
        <w:rPr>
          <w:rFonts w:ascii="Times New Roman" w:hAnsi="Times New Roman"/>
          <w:sz w:val="24"/>
          <w:szCs w:val="24"/>
        </w:rPr>
      </w:pPr>
    </w:p>
    <w:p w14:paraId="16583B7A" w14:textId="013EE6FB" w:rsidR="006C5960" w:rsidRPr="009F1E40" w:rsidRDefault="006C5960" w:rsidP="002A35E7">
      <w:pPr>
        <w:keepNext/>
        <w:rPr>
          <w:rFonts w:ascii="Times New Roman" w:hAnsi="Times New Roman"/>
          <w:sz w:val="24"/>
          <w:szCs w:val="24"/>
        </w:rPr>
      </w:pPr>
      <w:r w:rsidRPr="009F1E40">
        <w:rPr>
          <w:rFonts w:ascii="Times New Roman" w:hAnsi="Times New Roman"/>
          <w:b/>
          <w:sz w:val="24"/>
          <w:szCs w:val="24"/>
        </w:rPr>
        <w:t>Overview of the Legislative Instrument</w:t>
      </w:r>
    </w:p>
    <w:p w14:paraId="51EE8060" w14:textId="55339CE4" w:rsidR="006C5960" w:rsidRPr="009A2E8A" w:rsidRDefault="006C5960" w:rsidP="006502E7">
      <w:pPr>
        <w:spacing w:before="240"/>
        <w:rPr>
          <w:rFonts w:ascii="Times New Roman" w:hAnsi="Times New Roman"/>
          <w:color w:val="000000"/>
          <w:sz w:val="24"/>
          <w:szCs w:val="24"/>
        </w:rPr>
      </w:pPr>
      <w:r>
        <w:rPr>
          <w:rFonts w:ascii="Times New Roman" w:hAnsi="Times New Roman"/>
          <w:color w:val="000000"/>
          <w:sz w:val="24"/>
          <w:szCs w:val="24"/>
        </w:rPr>
        <w:t xml:space="preserve">Under Part 3-2 of the </w:t>
      </w:r>
      <w:r>
        <w:rPr>
          <w:rFonts w:ascii="Times New Roman" w:hAnsi="Times New Roman"/>
          <w:i/>
          <w:iCs/>
          <w:color w:val="000000"/>
          <w:sz w:val="24"/>
          <w:szCs w:val="24"/>
        </w:rPr>
        <w:t xml:space="preserve">Higher Education Support Act </w:t>
      </w:r>
      <w:r w:rsidR="006D4FDC">
        <w:rPr>
          <w:rFonts w:ascii="Times New Roman" w:hAnsi="Times New Roman"/>
          <w:i/>
          <w:iCs/>
          <w:color w:val="000000"/>
          <w:sz w:val="24"/>
          <w:szCs w:val="24"/>
        </w:rPr>
        <w:t xml:space="preserve">2003 </w:t>
      </w:r>
      <w:r>
        <w:rPr>
          <w:rFonts w:ascii="Times New Roman" w:hAnsi="Times New Roman"/>
          <w:color w:val="000000"/>
          <w:sz w:val="24"/>
          <w:szCs w:val="24"/>
        </w:rPr>
        <w:t xml:space="preserve">(the Act), one of the factors in determining whether students are entitled to Higher Education Loan Program (HELP) assistance is that they must satisfy the citizenship or residency requirements under the relevant provisions in the Act. </w:t>
      </w:r>
      <w:r w:rsidR="006D4FDC">
        <w:rPr>
          <w:rFonts w:ascii="Times New Roman" w:hAnsi="Times New Roman"/>
          <w:color w:val="000000"/>
          <w:sz w:val="24"/>
          <w:szCs w:val="24"/>
        </w:rPr>
        <w:t xml:space="preserve">As a result of amendments to the Act contained in Part 1 of Schedule 1 to the </w:t>
      </w:r>
      <w:r>
        <w:rPr>
          <w:rFonts w:ascii="Times New Roman" w:hAnsi="Times New Roman"/>
          <w:i/>
          <w:iCs/>
          <w:color w:val="000000"/>
          <w:sz w:val="24"/>
          <w:szCs w:val="24"/>
        </w:rPr>
        <w:t>Education Legislation Amendment (2021 Measures No. 2) Act 2021</w:t>
      </w:r>
      <w:r>
        <w:rPr>
          <w:rFonts w:ascii="Times New Roman" w:hAnsi="Times New Roman"/>
          <w:color w:val="000000"/>
          <w:sz w:val="24"/>
          <w:szCs w:val="24"/>
        </w:rPr>
        <w:t xml:space="preserve"> </w:t>
      </w:r>
      <w:r w:rsidR="0036377C">
        <w:rPr>
          <w:rFonts w:ascii="Times New Roman" w:hAnsi="Times New Roman"/>
          <w:color w:val="000000"/>
          <w:sz w:val="24"/>
          <w:szCs w:val="24"/>
        </w:rPr>
        <w:t xml:space="preserve">(the Amendment Act), </w:t>
      </w:r>
      <w:r>
        <w:rPr>
          <w:rFonts w:ascii="Times New Roman" w:hAnsi="Times New Roman"/>
          <w:color w:val="000000"/>
          <w:sz w:val="24"/>
          <w:szCs w:val="24"/>
        </w:rPr>
        <w:t xml:space="preserve">eligible former permanent humanitarian visa holders </w:t>
      </w:r>
      <w:r w:rsidR="00174921">
        <w:rPr>
          <w:rFonts w:ascii="Times New Roman" w:hAnsi="Times New Roman"/>
          <w:color w:val="000000"/>
          <w:sz w:val="24"/>
          <w:szCs w:val="24"/>
        </w:rPr>
        <w:t xml:space="preserve">can </w:t>
      </w:r>
      <w:r>
        <w:rPr>
          <w:rFonts w:ascii="Times New Roman" w:hAnsi="Times New Roman"/>
          <w:color w:val="000000"/>
          <w:sz w:val="24"/>
          <w:szCs w:val="24"/>
        </w:rPr>
        <w:t xml:space="preserve">meet the citizenship or residency requirements </w:t>
      </w:r>
      <w:r w:rsidR="00B27DC3">
        <w:rPr>
          <w:rFonts w:ascii="Times New Roman" w:hAnsi="Times New Roman"/>
          <w:color w:val="000000"/>
          <w:sz w:val="24"/>
          <w:szCs w:val="24"/>
        </w:rPr>
        <w:t xml:space="preserve">for HELP assistance </w:t>
      </w:r>
      <w:r>
        <w:rPr>
          <w:rFonts w:ascii="Times New Roman" w:hAnsi="Times New Roman"/>
          <w:color w:val="000000"/>
          <w:sz w:val="24"/>
          <w:szCs w:val="24"/>
        </w:rPr>
        <w:t>under the Act</w:t>
      </w:r>
      <w:r w:rsidR="00464B3E">
        <w:rPr>
          <w:rFonts w:ascii="Times New Roman" w:hAnsi="Times New Roman"/>
          <w:color w:val="000000"/>
          <w:sz w:val="24"/>
          <w:szCs w:val="24"/>
        </w:rPr>
        <w:t xml:space="preserve"> where they hold certain specified visa classes or subclasses</w:t>
      </w:r>
      <w:r w:rsidR="006502E7">
        <w:rPr>
          <w:rFonts w:ascii="Times New Roman" w:hAnsi="Times New Roman"/>
          <w:color w:val="000000"/>
          <w:sz w:val="24"/>
          <w:szCs w:val="24"/>
        </w:rPr>
        <w:t xml:space="preserve"> (see specifically the amendments to paragraphs </w:t>
      </w:r>
      <w:r w:rsidR="006502E7">
        <w:rPr>
          <w:rFonts w:ascii="Times New Roman" w:hAnsi="Times New Roman"/>
          <w:iCs/>
          <w:color w:val="000000"/>
          <w:sz w:val="24"/>
          <w:szCs w:val="24"/>
        </w:rPr>
        <w:t>90-5(1)(b), 104-5(1)(b), 118</w:t>
      </w:r>
      <w:r w:rsidR="007908C2">
        <w:rPr>
          <w:rFonts w:ascii="Times New Roman" w:hAnsi="Times New Roman"/>
          <w:iCs/>
          <w:color w:val="000000"/>
          <w:sz w:val="24"/>
          <w:szCs w:val="24"/>
        </w:rPr>
        <w:noBreakHyphen/>
      </w:r>
      <w:r w:rsidR="006502E7">
        <w:rPr>
          <w:rFonts w:ascii="Times New Roman" w:hAnsi="Times New Roman"/>
          <w:iCs/>
          <w:color w:val="000000"/>
          <w:sz w:val="24"/>
          <w:szCs w:val="24"/>
        </w:rPr>
        <w:t>5(1)(b) and 126-5(1)(b) of the Act in Part 1 of Schedule 1 to the Amendment Act)</w:t>
      </w:r>
      <w:r>
        <w:rPr>
          <w:rFonts w:ascii="Times New Roman" w:hAnsi="Times New Roman"/>
          <w:color w:val="000000"/>
          <w:sz w:val="24"/>
          <w:szCs w:val="24"/>
        </w:rPr>
        <w:t xml:space="preserve">.  </w:t>
      </w:r>
    </w:p>
    <w:p w14:paraId="45BFC089" w14:textId="77777777" w:rsidR="006C5960" w:rsidRDefault="006C5960" w:rsidP="006C5960">
      <w:pPr>
        <w:tabs>
          <w:tab w:val="left" w:pos="851"/>
        </w:tabs>
        <w:rPr>
          <w:rFonts w:ascii="Times New Roman" w:hAnsi="Times New Roman"/>
          <w:iCs/>
          <w:color w:val="000000"/>
          <w:sz w:val="24"/>
          <w:szCs w:val="24"/>
        </w:rPr>
      </w:pPr>
    </w:p>
    <w:p w14:paraId="684A238E" w14:textId="0B539213" w:rsidR="006C5960" w:rsidRDefault="006C5960" w:rsidP="006C5960">
      <w:pPr>
        <w:tabs>
          <w:tab w:val="left" w:pos="851"/>
        </w:tabs>
        <w:rPr>
          <w:rFonts w:ascii="Times New Roman" w:hAnsi="Times New Roman"/>
          <w:iCs/>
          <w:color w:val="000000"/>
          <w:sz w:val="24"/>
          <w:szCs w:val="24"/>
        </w:rPr>
      </w:pPr>
      <w:r>
        <w:rPr>
          <w:rFonts w:ascii="Times New Roman" w:hAnsi="Times New Roman"/>
          <w:iCs/>
          <w:color w:val="000000"/>
          <w:sz w:val="24"/>
          <w:szCs w:val="24"/>
        </w:rPr>
        <w:t>The purpose of the Determination is to specify the class</w:t>
      </w:r>
      <w:r w:rsidR="00464B3E">
        <w:rPr>
          <w:rFonts w:ascii="Times New Roman" w:hAnsi="Times New Roman"/>
          <w:iCs/>
          <w:color w:val="000000"/>
          <w:sz w:val="24"/>
          <w:szCs w:val="24"/>
        </w:rPr>
        <w:t>es</w:t>
      </w:r>
      <w:r>
        <w:rPr>
          <w:rFonts w:ascii="Times New Roman" w:hAnsi="Times New Roman"/>
          <w:iCs/>
          <w:color w:val="000000"/>
          <w:sz w:val="24"/>
          <w:szCs w:val="24"/>
        </w:rPr>
        <w:t xml:space="preserve"> or subclass</w:t>
      </w:r>
      <w:r w:rsidR="00464B3E">
        <w:rPr>
          <w:rFonts w:ascii="Times New Roman" w:hAnsi="Times New Roman"/>
          <w:iCs/>
          <w:color w:val="000000"/>
          <w:sz w:val="24"/>
          <w:szCs w:val="24"/>
        </w:rPr>
        <w:t>es</w:t>
      </w:r>
      <w:r>
        <w:rPr>
          <w:rFonts w:ascii="Times New Roman" w:hAnsi="Times New Roman"/>
          <w:iCs/>
          <w:color w:val="000000"/>
          <w:sz w:val="24"/>
          <w:szCs w:val="24"/>
        </w:rPr>
        <w:t xml:space="preserve"> of visas provided for by the </w:t>
      </w:r>
      <w:r>
        <w:rPr>
          <w:rFonts w:ascii="Times New Roman" w:hAnsi="Times New Roman"/>
          <w:i/>
          <w:color w:val="000000"/>
          <w:sz w:val="24"/>
          <w:szCs w:val="24"/>
        </w:rPr>
        <w:t xml:space="preserve">Migration Act 1958 </w:t>
      </w:r>
      <w:r>
        <w:rPr>
          <w:rFonts w:ascii="Times New Roman" w:hAnsi="Times New Roman"/>
          <w:iCs/>
          <w:color w:val="000000"/>
          <w:sz w:val="24"/>
          <w:szCs w:val="24"/>
        </w:rPr>
        <w:t xml:space="preserve">or regulations made under that Act for the purposes of paragraph (c) in the definition of </w:t>
      </w:r>
      <w:r w:rsidR="006E3797">
        <w:rPr>
          <w:rFonts w:ascii="Times New Roman" w:hAnsi="Times New Roman"/>
          <w:iCs/>
          <w:color w:val="000000"/>
          <w:sz w:val="24"/>
          <w:szCs w:val="24"/>
        </w:rPr>
        <w:t>“</w:t>
      </w:r>
      <w:r>
        <w:rPr>
          <w:rFonts w:ascii="Times New Roman" w:hAnsi="Times New Roman"/>
          <w:iCs/>
          <w:color w:val="000000"/>
          <w:sz w:val="24"/>
          <w:szCs w:val="24"/>
        </w:rPr>
        <w:t>eligible former permanent humanitarian visa holder</w:t>
      </w:r>
      <w:r w:rsidR="006E3797">
        <w:rPr>
          <w:rFonts w:ascii="Times New Roman" w:hAnsi="Times New Roman"/>
          <w:iCs/>
          <w:color w:val="000000"/>
          <w:sz w:val="24"/>
          <w:szCs w:val="24"/>
        </w:rPr>
        <w:t>”</w:t>
      </w:r>
      <w:r>
        <w:rPr>
          <w:rFonts w:ascii="Times New Roman" w:hAnsi="Times New Roman"/>
          <w:iCs/>
          <w:color w:val="000000"/>
          <w:sz w:val="24"/>
          <w:szCs w:val="24"/>
        </w:rPr>
        <w:t xml:space="preserve"> in subclause 1(1) of Schedule 1 </w:t>
      </w:r>
      <w:r w:rsidR="00313603">
        <w:rPr>
          <w:rFonts w:ascii="Times New Roman" w:hAnsi="Times New Roman"/>
          <w:iCs/>
          <w:color w:val="000000"/>
          <w:sz w:val="24"/>
          <w:szCs w:val="24"/>
        </w:rPr>
        <w:t xml:space="preserve">to </w:t>
      </w:r>
      <w:r>
        <w:rPr>
          <w:rFonts w:ascii="Times New Roman" w:hAnsi="Times New Roman"/>
          <w:iCs/>
          <w:color w:val="000000"/>
          <w:sz w:val="24"/>
          <w:szCs w:val="24"/>
        </w:rPr>
        <w:t xml:space="preserve">the Act. </w:t>
      </w:r>
    </w:p>
    <w:p w14:paraId="7F42EBFA" w14:textId="77777777" w:rsidR="006C5960" w:rsidRDefault="006C5960" w:rsidP="006C5960">
      <w:pPr>
        <w:tabs>
          <w:tab w:val="left" w:pos="851"/>
        </w:tabs>
        <w:rPr>
          <w:rFonts w:ascii="Times New Roman" w:hAnsi="Times New Roman"/>
          <w:iCs/>
          <w:color w:val="000000"/>
          <w:sz w:val="24"/>
          <w:szCs w:val="24"/>
        </w:rPr>
      </w:pPr>
    </w:p>
    <w:p w14:paraId="7293C4D1" w14:textId="59D4DE2C" w:rsidR="00BD3034" w:rsidRDefault="008B24B6" w:rsidP="006C5960">
      <w:pPr>
        <w:tabs>
          <w:tab w:val="left" w:pos="851"/>
        </w:tabs>
        <w:rPr>
          <w:rFonts w:ascii="Times New Roman" w:hAnsi="Times New Roman"/>
          <w:iCs/>
          <w:color w:val="000000"/>
          <w:sz w:val="24"/>
          <w:szCs w:val="24"/>
        </w:rPr>
      </w:pPr>
      <w:r>
        <w:rPr>
          <w:rFonts w:ascii="Times New Roman" w:hAnsi="Times New Roman"/>
          <w:iCs/>
          <w:color w:val="000000"/>
          <w:sz w:val="24"/>
          <w:szCs w:val="24"/>
        </w:rPr>
        <w:t xml:space="preserve">The effect of the Determination is that </w:t>
      </w:r>
      <w:r>
        <w:rPr>
          <w:rFonts w:ascii="Times New Roman" w:hAnsi="Times New Roman"/>
          <w:color w:val="000000"/>
          <w:sz w:val="24"/>
          <w:szCs w:val="24"/>
        </w:rPr>
        <w:t xml:space="preserve">holders of the specified classes or subclasses of visas will meet the definition of “eligible former permanent humanitarian visa holder” in subclause 1(1) of Schedule 1 to the Act where they also satisfy paragraphs (a) and (b) </w:t>
      </w:r>
      <w:r w:rsidR="009D0FD8">
        <w:rPr>
          <w:rFonts w:ascii="Times New Roman" w:hAnsi="Times New Roman"/>
          <w:color w:val="000000"/>
          <w:sz w:val="24"/>
          <w:szCs w:val="24"/>
        </w:rPr>
        <w:t>of</w:t>
      </w:r>
      <w:r>
        <w:rPr>
          <w:rFonts w:ascii="Times New Roman" w:hAnsi="Times New Roman"/>
          <w:color w:val="000000"/>
          <w:sz w:val="24"/>
          <w:szCs w:val="24"/>
        </w:rPr>
        <w:t xml:space="preserve"> that definition (which they will satisfy where they were </w:t>
      </w:r>
      <w:r w:rsidRPr="006A475D">
        <w:rPr>
          <w:rFonts w:ascii="Times New Roman" w:hAnsi="Times New Roman"/>
          <w:color w:val="000000"/>
          <w:sz w:val="24"/>
          <w:szCs w:val="24"/>
        </w:rPr>
        <w:t>previously</w:t>
      </w:r>
      <w:r>
        <w:rPr>
          <w:rFonts w:ascii="Times New Roman" w:hAnsi="Times New Roman"/>
          <w:color w:val="000000"/>
          <w:sz w:val="24"/>
          <w:szCs w:val="24"/>
        </w:rPr>
        <w:t>, but not currently,</w:t>
      </w:r>
      <w:r w:rsidRPr="006A475D">
        <w:rPr>
          <w:rFonts w:ascii="Times New Roman" w:hAnsi="Times New Roman"/>
          <w:color w:val="000000"/>
          <w:sz w:val="24"/>
          <w:szCs w:val="24"/>
        </w:rPr>
        <w:t xml:space="preserve"> permanent humanitarian visa holder</w:t>
      </w:r>
      <w:r>
        <w:rPr>
          <w:rFonts w:ascii="Times New Roman" w:hAnsi="Times New Roman"/>
          <w:color w:val="000000"/>
          <w:sz w:val="24"/>
          <w:szCs w:val="24"/>
        </w:rPr>
        <w:t>s). In turn, eligible former permanent humanitarian visa holders will be able to meet the citizenship or residency requirements for HELP assistance eligibility.</w:t>
      </w:r>
    </w:p>
    <w:p w14:paraId="2335E8FF" w14:textId="77777777" w:rsidR="006C5960" w:rsidRPr="009F1E40" w:rsidRDefault="006C5960" w:rsidP="006C5960">
      <w:pPr>
        <w:tabs>
          <w:tab w:val="left" w:pos="851"/>
        </w:tabs>
        <w:rPr>
          <w:rFonts w:ascii="Times New Roman" w:hAnsi="Times New Roman"/>
          <w:sz w:val="24"/>
          <w:szCs w:val="24"/>
        </w:rPr>
      </w:pPr>
    </w:p>
    <w:p w14:paraId="66384285" w14:textId="77777777" w:rsidR="006C5960" w:rsidRPr="009F1E40" w:rsidRDefault="006C5960" w:rsidP="006C5960">
      <w:pPr>
        <w:keepNext/>
        <w:rPr>
          <w:rFonts w:ascii="Times New Roman" w:hAnsi="Times New Roman"/>
          <w:sz w:val="24"/>
          <w:szCs w:val="24"/>
        </w:rPr>
      </w:pPr>
      <w:r w:rsidRPr="009F1E40">
        <w:rPr>
          <w:rFonts w:ascii="Times New Roman" w:hAnsi="Times New Roman"/>
          <w:b/>
          <w:sz w:val="24"/>
          <w:szCs w:val="24"/>
        </w:rPr>
        <w:t>Human rights implications</w:t>
      </w:r>
    </w:p>
    <w:p w14:paraId="175CD7E3" w14:textId="77777777" w:rsidR="006C5960" w:rsidRPr="009F1E40" w:rsidRDefault="006C5960" w:rsidP="006C5960">
      <w:pPr>
        <w:rPr>
          <w:rFonts w:ascii="Times New Roman" w:hAnsi="Times New Roman"/>
          <w:i/>
          <w:sz w:val="24"/>
          <w:szCs w:val="24"/>
        </w:rPr>
      </w:pPr>
    </w:p>
    <w:p w14:paraId="5FD2E4B2" w14:textId="77777777" w:rsidR="006C5960" w:rsidRPr="00736FC4" w:rsidRDefault="006C5960" w:rsidP="006C5960">
      <w:pPr>
        <w:rPr>
          <w:rFonts w:ascii="Times New Roman" w:hAnsi="Times New Roman"/>
          <w:iCs/>
          <w:sz w:val="24"/>
          <w:szCs w:val="24"/>
          <w:u w:val="single"/>
        </w:rPr>
      </w:pPr>
      <w:r w:rsidRPr="00736FC4">
        <w:rPr>
          <w:rFonts w:ascii="Times New Roman" w:hAnsi="Times New Roman"/>
          <w:iCs/>
          <w:sz w:val="24"/>
          <w:szCs w:val="24"/>
          <w:u w:val="single"/>
        </w:rPr>
        <w:t>Right to education</w:t>
      </w:r>
    </w:p>
    <w:p w14:paraId="389C7A93" w14:textId="77777777" w:rsidR="006C5960" w:rsidRDefault="006C5960" w:rsidP="006C5960">
      <w:pPr>
        <w:shd w:val="clear" w:color="auto" w:fill="FFFFFF"/>
        <w:spacing w:before="100" w:beforeAutospacing="1" w:after="100" w:afterAutospacing="1"/>
        <w:textAlignment w:val="top"/>
        <w:rPr>
          <w:rFonts w:ascii="Times New Roman" w:hAnsi="Times New Roman"/>
          <w:sz w:val="24"/>
          <w:szCs w:val="24"/>
        </w:rPr>
      </w:pPr>
      <w:r>
        <w:rPr>
          <w:rFonts w:ascii="Times New Roman" w:hAnsi="Times New Roman"/>
          <w:sz w:val="24"/>
          <w:szCs w:val="24"/>
        </w:rPr>
        <w:t xml:space="preserve">The Determination supports the right to education, under Article 13 of the </w:t>
      </w:r>
      <w:r w:rsidRPr="00736FC4">
        <w:rPr>
          <w:rFonts w:ascii="Times New Roman" w:hAnsi="Times New Roman"/>
          <w:sz w:val="24"/>
          <w:szCs w:val="24"/>
        </w:rPr>
        <w:t>International Covenant on Economic, Social and Cultural Rights (ICESCR). Paragraph 13(2)(c) of the ICESCR provides that higher education shall be made equally accessible to all, on the basis of capacity, by every appropriate means, and in particular by the progressive introduction of free education.</w:t>
      </w:r>
    </w:p>
    <w:p w14:paraId="2060E25D" w14:textId="73D86B19" w:rsidR="006C5960" w:rsidRDefault="006C5960" w:rsidP="006C5960">
      <w:pPr>
        <w:spacing w:before="240"/>
        <w:rPr>
          <w:rFonts w:ascii="Times New Roman" w:hAnsi="Times New Roman"/>
          <w:color w:val="000000"/>
          <w:sz w:val="24"/>
          <w:szCs w:val="24"/>
        </w:rPr>
      </w:pPr>
      <w:r>
        <w:rPr>
          <w:rFonts w:ascii="Times New Roman" w:hAnsi="Times New Roman"/>
          <w:color w:val="000000"/>
          <w:sz w:val="24"/>
          <w:szCs w:val="24"/>
        </w:rPr>
        <w:t xml:space="preserve">The Determination enables holders of the specified classes or subclasses of visas to meet the definition of </w:t>
      </w:r>
      <w:r w:rsidR="00F67B45">
        <w:rPr>
          <w:rFonts w:ascii="Times New Roman" w:hAnsi="Times New Roman"/>
          <w:color w:val="000000"/>
          <w:sz w:val="24"/>
          <w:szCs w:val="24"/>
        </w:rPr>
        <w:t>“</w:t>
      </w:r>
      <w:r>
        <w:rPr>
          <w:rFonts w:ascii="Times New Roman" w:hAnsi="Times New Roman"/>
          <w:color w:val="000000"/>
          <w:sz w:val="24"/>
          <w:szCs w:val="24"/>
        </w:rPr>
        <w:t>eligible former permanent humanitarian visa holder</w:t>
      </w:r>
      <w:r w:rsidR="00F67B45">
        <w:rPr>
          <w:rFonts w:ascii="Times New Roman" w:hAnsi="Times New Roman"/>
          <w:color w:val="000000"/>
          <w:sz w:val="24"/>
          <w:szCs w:val="24"/>
        </w:rPr>
        <w:t>”</w:t>
      </w:r>
      <w:r>
        <w:rPr>
          <w:rFonts w:ascii="Times New Roman" w:hAnsi="Times New Roman"/>
          <w:color w:val="000000"/>
          <w:sz w:val="24"/>
          <w:szCs w:val="24"/>
        </w:rPr>
        <w:t xml:space="preserve"> in subclause 1(1) of Schedule 1 </w:t>
      </w:r>
      <w:r w:rsidR="00F67B45">
        <w:rPr>
          <w:rFonts w:ascii="Times New Roman" w:hAnsi="Times New Roman"/>
          <w:color w:val="000000"/>
          <w:sz w:val="24"/>
          <w:szCs w:val="24"/>
        </w:rPr>
        <w:t xml:space="preserve">to </w:t>
      </w:r>
      <w:r>
        <w:rPr>
          <w:rFonts w:ascii="Times New Roman" w:hAnsi="Times New Roman"/>
          <w:color w:val="000000"/>
          <w:sz w:val="24"/>
          <w:szCs w:val="24"/>
        </w:rPr>
        <w:t xml:space="preserve">the Act (as long as they also satisfy paragraphs (a) and (b) in that definition), which is relevant for determining eligibility for HELP assistance under the Act. This </w:t>
      </w:r>
      <w:r w:rsidR="005C36FF">
        <w:rPr>
          <w:rFonts w:ascii="Times New Roman" w:hAnsi="Times New Roman"/>
          <w:color w:val="000000"/>
          <w:sz w:val="24"/>
          <w:szCs w:val="24"/>
        </w:rPr>
        <w:t xml:space="preserve">will </w:t>
      </w:r>
      <w:r>
        <w:rPr>
          <w:rFonts w:ascii="Times New Roman" w:hAnsi="Times New Roman"/>
          <w:color w:val="000000"/>
          <w:sz w:val="24"/>
          <w:szCs w:val="24"/>
        </w:rPr>
        <w:t xml:space="preserve">allow a greater </w:t>
      </w:r>
      <w:r>
        <w:rPr>
          <w:rFonts w:ascii="Times New Roman" w:hAnsi="Times New Roman"/>
          <w:color w:val="000000"/>
          <w:sz w:val="24"/>
          <w:szCs w:val="24"/>
        </w:rPr>
        <w:lastRenderedPageBreak/>
        <w:t xml:space="preserve">number of students to be eligible for HELP assistance, which will reduce barriers for those students in pursuing higher education. </w:t>
      </w:r>
    </w:p>
    <w:p w14:paraId="3FD8DEE7" w14:textId="5091991D" w:rsidR="006C5960" w:rsidRPr="005C36FF" w:rsidRDefault="006C5960" w:rsidP="006C5960">
      <w:pPr>
        <w:spacing w:before="240"/>
        <w:rPr>
          <w:rFonts w:ascii="Times New Roman" w:hAnsi="Times New Roman"/>
          <w:color w:val="000000"/>
          <w:sz w:val="24"/>
          <w:szCs w:val="24"/>
          <w:u w:val="single"/>
        </w:rPr>
      </w:pPr>
      <w:r w:rsidRPr="005C36FF">
        <w:rPr>
          <w:rFonts w:ascii="Times New Roman" w:hAnsi="Times New Roman"/>
          <w:color w:val="000000"/>
          <w:sz w:val="24"/>
          <w:szCs w:val="24"/>
          <w:u w:val="single"/>
        </w:rPr>
        <w:t xml:space="preserve">Freedom of </w:t>
      </w:r>
      <w:r w:rsidR="00A60B5D">
        <w:rPr>
          <w:rFonts w:ascii="Times New Roman" w:hAnsi="Times New Roman"/>
          <w:color w:val="000000"/>
          <w:sz w:val="24"/>
          <w:szCs w:val="24"/>
          <w:u w:val="single"/>
        </w:rPr>
        <w:t>m</w:t>
      </w:r>
      <w:r w:rsidRPr="005C36FF">
        <w:rPr>
          <w:rFonts w:ascii="Times New Roman" w:hAnsi="Times New Roman"/>
          <w:color w:val="000000"/>
          <w:sz w:val="24"/>
          <w:szCs w:val="24"/>
          <w:u w:val="single"/>
        </w:rPr>
        <w:t>ovement</w:t>
      </w:r>
    </w:p>
    <w:p w14:paraId="7D188E58" w14:textId="6687EE79" w:rsidR="00DB2CCA" w:rsidRDefault="006C5960" w:rsidP="006C5960">
      <w:pPr>
        <w:spacing w:before="240"/>
        <w:rPr>
          <w:rFonts w:ascii="Times New Roman" w:hAnsi="Times New Roman"/>
          <w:sz w:val="24"/>
          <w:szCs w:val="24"/>
        </w:rPr>
      </w:pPr>
      <w:r w:rsidRPr="005C36FF">
        <w:rPr>
          <w:rFonts w:ascii="Times New Roman" w:hAnsi="Times New Roman"/>
          <w:sz w:val="24"/>
          <w:szCs w:val="24"/>
        </w:rPr>
        <w:t xml:space="preserve">The </w:t>
      </w:r>
      <w:r w:rsidR="00A60B5D">
        <w:rPr>
          <w:rFonts w:ascii="Times New Roman" w:hAnsi="Times New Roman"/>
          <w:sz w:val="24"/>
          <w:szCs w:val="24"/>
        </w:rPr>
        <w:t>D</w:t>
      </w:r>
      <w:r w:rsidRPr="005C36FF">
        <w:rPr>
          <w:rFonts w:ascii="Times New Roman" w:hAnsi="Times New Roman"/>
          <w:sz w:val="24"/>
          <w:szCs w:val="24"/>
        </w:rPr>
        <w:t xml:space="preserve">etermination engages the right to free movement set out in Article 12 of the </w:t>
      </w:r>
      <w:r w:rsidR="00367D90">
        <w:rPr>
          <w:rFonts w:ascii="Times New Roman" w:hAnsi="Times New Roman"/>
          <w:sz w:val="24"/>
          <w:szCs w:val="24"/>
        </w:rPr>
        <w:t>International Covenant on Civil and Political Rights (</w:t>
      </w:r>
      <w:r w:rsidRPr="005C36FF">
        <w:rPr>
          <w:rFonts w:ascii="Times New Roman" w:hAnsi="Times New Roman"/>
          <w:sz w:val="24"/>
          <w:szCs w:val="24"/>
        </w:rPr>
        <w:t>ICCPR</w:t>
      </w:r>
      <w:r w:rsidR="00367D90">
        <w:rPr>
          <w:rFonts w:ascii="Times New Roman" w:hAnsi="Times New Roman"/>
          <w:sz w:val="24"/>
          <w:szCs w:val="24"/>
        </w:rPr>
        <w:t>)</w:t>
      </w:r>
      <w:r w:rsidRPr="005C36FF">
        <w:rPr>
          <w:rFonts w:ascii="Times New Roman" w:hAnsi="Times New Roman"/>
          <w:sz w:val="24"/>
          <w:szCs w:val="24"/>
        </w:rPr>
        <w:t xml:space="preserve">, which provides that a person lawfully within the territory of a State (i.e. country) shall be free to move around that State and shall not be prevented from leaving that State. </w:t>
      </w:r>
    </w:p>
    <w:p w14:paraId="7DEC2AF1" w14:textId="036C4F37" w:rsidR="006C5960" w:rsidRPr="005C36FF" w:rsidRDefault="00356BCE" w:rsidP="006C5960">
      <w:pPr>
        <w:spacing w:before="240"/>
        <w:rPr>
          <w:rFonts w:ascii="Times New Roman" w:hAnsi="Times New Roman"/>
          <w:sz w:val="24"/>
          <w:szCs w:val="24"/>
        </w:rPr>
      </w:pPr>
      <w:r>
        <w:rPr>
          <w:rFonts w:ascii="Times New Roman" w:hAnsi="Times New Roman"/>
          <w:sz w:val="24"/>
          <w:szCs w:val="24"/>
        </w:rPr>
        <w:t xml:space="preserve">Prior to the amendments </w:t>
      </w:r>
      <w:r w:rsidR="007F7A4C">
        <w:rPr>
          <w:rFonts w:ascii="Times New Roman" w:hAnsi="Times New Roman"/>
          <w:sz w:val="24"/>
          <w:szCs w:val="24"/>
        </w:rPr>
        <w:t xml:space="preserve">in the Amendment Act, </w:t>
      </w:r>
      <w:r w:rsidR="00C84A4A">
        <w:rPr>
          <w:rFonts w:ascii="Times New Roman" w:hAnsi="Times New Roman"/>
          <w:sz w:val="24"/>
          <w:szCs w:val="24"/>
        </w:rPr>
        <w:t xml:space="preserve">the </w:t>
      </w:r>
      <w:r w:rsidR="007A73E7">
        <w:rPr>
          <w:rFonts w:ascii="Times New Roman" w:hAnsi="Times New Roman"/>
          <w:sz w:val="24"/>
          <w:szCs w:val="24"/>
        </w:rPr>
        <w:t xml:space="preserve">effect of the </w:t>
      </w:r>
      <w:r w:rsidR="00C84A4A">
        <w:rPr>
          <w:rFonts w:ascii="Times New Roman" w:hAnsi="Times New Roman"/>
          <w:sz w:val="24"/>
          <w:szCs w:val="24"/>
        </w:rPr>
        <w:t xml:space="preserve">citizenship and residency requirements in the Act </w:t>
      </w:r>
      <w:r w:rsidR="00EE50A5">
        <w:rPr>
          <w:rFonts w:ascii="Times New Roman" w:hAnsi="Times New Roman"/>
          <w:sz w:val="24"/>
          <w:szCs w:val="24"/>
        </w:rPr>
        <w:t xml:space="preserve">was that </w:t>
      </w:r>
      <w:r w:rsidR="00C904F3">
        <w:rPr>
          <w:rFonts w:ascii="Times New Roman" w:hAnsi="Times New Roman"/>
          <w:sz w:val="24"/>
          <w:szCs w:val="24"/>
        </w:rPr>
        <w:t xml:space="preserve">individuals on permanent </w:t>
      </w:r>
      <w:r w:rsidR="00A93508">
        <w:rPr>
          <w:rFonts w:ascii="Times New Roman" w:hAnsi="Times New Roman"/>
          <w:sz w:val="24"/>
          <w:szCs w:val="24"/>
        </w:rPr>
        <w:t xml:space="preserve">humanitarian </w:t>
      </w:r>
      <w:r w:rsidR="00C904F3">
        <w:rPr>
          <w:rFonts w:ascii="Times New Roman" w:hAnsi="Times New Roman"/>
          <w:sz w:val="24"/>
          <w:szCs w:val="24"/>
        </w:rPr>
        <w:t>visas who lawfully exit</w:t>
      </w:r>
      <w:r w:rsidR="00EE50A5">
        <w:rPr>
          <w:rFonts w:ascii="Times New Roman" w:hAnsi="Times New Roman"/>
          <w:sz w:val="24"/>
          <w:szCs w:val="24"/>
        </w:rPr>
        <w:t>ed</w:t>
      </w:r>
      <w:r w:rsidR="00C904F3">
        <w:rPr>
          <w:rFonts w:ascii="Times New Roman" w:hAnsi="Times New Roman"/>
          <w:sz w:val="24"/>
          <w:szCs w:val="24"/>
        </w:rPr>
        <w:t xml:space="preserve"> and return</w:t>
      </w:r>
      <w:r w:rsidR="00EE50A5">
        <w:rPr>
          <w:rFonts w:ascii="Times New Roman" w:hAnsi="Times New Roman"/>
          <w:sz w:val="24"/>
          <w:szCs w:val="24"/>
        </w:rPr>
        <w:t>ed</w:t>
      </w:r>
      <w:r w:rsidR="00C904F3">
        <w:rPr>
          <w:rFonts w:ascii="Times New Roman" w:hAnsi="Times New Roman"/>
          <w:sz w:val="24"/>
          <w:szCs w:val="24"/>
        </w:rPr>
        <w:t xml:space="preserve"> </w:t>
      </w:r>
      <w:r w:rsidR="004F1003">
        <w:rPr>
          <w:rFonts w:ascii="Times New Roman" w:hAnsi="Times New Roman"/>
          <w:sz w:val="24"/>
          <w:szCs w:val="24"/>
        </w:rPr>
        <w:t xml:space="preserve">to Australia outside of </w:t>
      </w:r>
      <w:r w:rsidR="00FB62A8">
        <w:rPr>
          <w:rFonts w:ascii="Times New Roman" w:hAnsi="Times New Roman"/>
          <w:sz w:val="24"/>
          <w:szCs w:val="24"/>
        </w:rPr>
        <w:t>the</w:t>
      </w:r>
      <w:r w:rsidR="004F1003">
        <w:rPr>
          <w:rFonts w:ascii="Times New Roman" w:hAnsi="Times New Roman"/>
          <w:sz w:val="24"/>
          <w:szCs w:val="24"/>
        </w:rPr>
        <w:t xml:space="preserve"> five-year travel facility on their visas</w:t>
      </w:r>
      <w:r w:rsidR="00EE50A5">
        <w:rPr>
          <w:rFonts w:ascii="Times New Roman" w:hAnsi="Times New Roman"/>
          <w:sz w:val="24"/>
          <w:szCs w:val="24"/>
        </w:rPr>
        <w:t xml:space="preserve"> would lose access to HELP assistance. </w:t>
      </w:r>
      <w:r w:rsidR="00865879">
        <w:rPr>
          <w:rFonts w:ascii="Times New Roman" w:hAnsi="Times New Roman"/>
          <w:sz w:val="24"/>
          <w:szCs w:val="24"/>
        </w:rPr>
        <w:t xml:space="preserve">This </w:t>
      </w:r>
      <w:r w:rsidR="00DD5696">
        <w:rPr>
          <w:rFonts w:ascii="Times New Roman" w:hAnsi="Times New Roman"/>
          <w:sz w:val="24"/>
          <w:szCs w:val="24"/>
        </w:rPr>
        <w:t xml:space="preserve">consequence </w:t>
      </w:r>
      <w:r w:rsidR="00865879">
        <w:rPr>
          <w:rFonts w:ascii="Times New Roman" w:hAnsi="Times New Roman"/>
          <w:sz w:val="24"/>
          <w:szCs w:val="24"/>
        </w:rPr>
        <w:t xml:space="preserve">had the potential to limit </w:t>
      </w:r>
      <w:r w:rsidR="008E69BD">
        <w:rPr>
          <w:rFonts w:ascii="Times New Roman" w:hAnsi="Times New Roman"/>
          <w:sz w:val="24"/>
          <w:szCs w:val="24"/>
        </w:rPr>
        <w:t xml:space="preserve">these individuals’ freedom of movement, as </w:t>
      </w:r>
      <w:r w:rsidR="00C26038">
        <w:rPr>
          <w:rFonts w:ascii="Times New Roman" w:hAnsi="Times New Roman"/>
          <w:sz w:val="24"/>
          <w:szCs w:val="24"/>
        </w:rPr>
        <w:t xml:space="preserve">they may have avoided travelling in order to retain their access to HELP assistance. </w:t>
      </w:r>
      <w:r w:rsidR="006C5960" w:rsidRPr="005C36FF">
        <w:rPr>
          <w:rFonts w:ascii="Times New Roman" w:hAnsi="Times New Roman"/>
          <w:sz w:val="24"/>
          <w:szCs w:val="24"/>
        </w:rPr>
        <w:t xml:space="preserve">Including resident return visa holders </w:t>
      </w:r>
      <w:r w:rsidR="00050C52">
        <w:rPr>
          <w:rFonts w:ascii="Times New Roman" w:hAnsi="Times New Roman"/>
          <w:sz w:val="24"/>
          <w:szCs w:val="24"/>
        </w:rPr>
        <w:t>in the definition of</w:t>
      </w:r>
      <w:r w:rsidR="00C35E7F">
        <w:rPr>
          <w:rFonts w:ascii="Times New Roman" w:hAnsi="Times New Roman"/>
          <w:sz w:val="24"/>
          <w:szCs w:val="24"/>
        </w:rPr>
        <w:t xml:space="preserve"> “eligible former permanent humanitarian visa holders” </w:t>
      </w:r>
      <w:r w:rsidR="006C5960" w:rsidRPr="005C36FF">
        <w:rPr>
          <w:rFonts w:ascii="Times New Roman" w:hAnsi="Times New Roman"/>
          <w:sz w:val="24"/>
          <w:szCs w:val="24"/>
        </w:rPr>
        <w:t xml:space="preserve">preserves and promotes </w:t>
      </w:r>
      <w:r w:rsidR="00BC10FE">
        <w:rPr>
          <w:rFonts w:ascii="Times New Roman" w:hAnsi="Times New Roman"/>
          <w:sz w:val="24"/>
          <w:szCs w:val="24"/>
        </w:rPr>
        <w:t xml:space="preserve">the right to free movement </w:t>
      </w:r>
      <w:r w:rsidR="006C5960" w:rsidRPr="005C36FF">
        <w:rPr>
          <w:rFonts w:ascii="Times New Roman" w:hAnsi="Times New Roman"/>
          <w:sz w:val="24"/>
          <w:szCs w:val="24"/>
        </w:rPr>
        <w:t xml:space="preserve">by ensuring that permanent humanitarian visa holders are not penalised when they lawfully travel outside Australia. </w:t>
      </w:r>
    </w:p>
    <w:p w14:paraId="68385663" w14:textId="11906654" w:rsidR="006C5960" w:rsidRPr="005C36FF" w:rsidRDefault="006C5960" w:rsidP="006C5960">
      <w:pPr>
        <w:spacing w:before="240"/>
        <w:rPr>
          <w:rFonts w:ascii="Times New Roman" w:hAnsi="Times New Roman"/>
          <w:sz w:val="24"/>
          <w:szCs w:val="24"/>
          <w:u w:val="single"/>
        </w:rPr>
      </w:pPr>
      <w:r w:rsidRPr="005C36FF">
        <w:rPr>
          <w:rFonts w:ascii="Times New Roman" w:hAnsi="Times New Roman"/>
          <w:sz w:val="24"/>
          <w:szCs w:val="24"/>
          <w:u w:val="single"/>
        </w:rPr>
        <w:t xml:space="preserve">Right to </w:t>
      </w:r>
      <w:r w:rsidR="00A60B5D">
        <w:rPr>
          <w:rFonts w:ascii="Times New Roman" w:hAnsi="Times New Roman"/>
          <w:sz w:val="24"/>
          <w:szCs w:val="24"/>
          <w:u w:val="single"/>
        </w:rPr>
        <w:t>e</w:t>
      </w:r>
      <w:r w:rsidRPr="005C36FF">
        <w:rPr>
          <w:rFonts w:ascii="Times New Roman" w:hAnsi="Times New Roman"/>
          <w:sz w:val="24"/>
          <w:szCs w:val="24"/>
          <w:u w:val="single"/>
        </w:rPr>
        <w:t>quality and non-</w:t>
      </w:r>
      <w:r w:rsidR="00A60B5D">
        <w:rPr>
          <w:rFonts w:ascii="Times New Roman" w:hAnsi="Times New Roman"/>
          <w:sz w:val="24"/>
          <w:szCs w:val="24"/>
          <w:u w:val="single"/>
        </w:rPr>
        <w:t>d</w:t>
      </w:r>
      <w:r w:rsidRPr="005C36FF">
        <w:rPr>
          <w:rFonts w:ascii="Times New Roman" w:hAnsi="Times New Roman"/>
          <w:sz w:val="24"/>
          <w:szCs w:val="24"/>
          <w:u w:val="single"/>
        </w:rPr>
        <w:t>iscrimination</w:t>
      </w:r>
    </w:p>
    <w:p w14:paraId="2109D891" w14:textId="289D36AF" w:rsidR="007435E7" w:rsidRDefault="006C5960" w:rsidP="006C5960">
      <w:pPr>
        <w:spacing w:before="240"/>
        <w:rPr>
          <w:rFonts w:ascii="Times New Roman" w:hAnsi="Times New Roman"/>
          <w:sz w:val="24"/>
          <w:szCs w:val="24"/>
        </w:rPr>
      </w:pPr>
      <w:r w:rsidRPr="005C36FF">
        <w:rPr>
          <w:rFonts w:ascii="Times New Roman" w:hAnsi="Times New Roman"/>
          <w:sz w:val="24"/>
          <w:szCs w:val="24"/>
        </w:rPr>
        <w:t xml:space="preserve">The </w:t>
      </w:r>
      <w:r w:rsidR="009A16E3">
        <w:rPr>
          <w:rFonts w:ascii="Times New Roman" w:hAnsi="Times New Roman"/>
          <w:sz w:val="24"/>
          <w:szCs w:val="24"/>
        </w:rPr>
        <w:t>D</w:t>
      </w:r>
      <w:r w:rsidRPr="005C36FF">
        <w:rPr>
          <w:rFonts w:ascii="Times New Roman" w:hAnsi="Times New Roman"/>
          <w:sz w:val="24"/>
          <w:szCs w:val="24"/>
        </w:rPr>
        <w:t xml:space="preserve">etermination </w:t>
      </w:r>
      <w:r w:rsidR="007435E7">
        <w:rPr>
          <w:rFonts w:ascii="Times New Roman" w:hAnsi="Times New Roman"/>
          <w:sz w:val="24"/>
          <w:szCs w:val="24"/>
        </w:rPr>
        <w:t>engages Article 26 of the ICCPR</w:t>
      </w:r>
      <w:r w:rsidR="00DB2CCA">
        <w:rPr>
          <w:rFonts w:ascii="Times New Roman" w:hAnsi="Times New Roman"/>
          <w:sz w:val="24"/>
          <w:szCs w:val="24"/>
        </w:rPr>
        <w:t xml:space="preserve">, which states that </w:t>
      </w:r>
      <w:r w:rsidR="0045740B">
        <w:rPr>
          <w:rFonts w:ascii="Times New Roman" w:hAnsi="Times New Roman"/>
          <w:sz w:val="24"/>
          <w:szCs w:val="24"/>
        </w:rPr>
        <w:t>“</w:t>
      </w:r>
      <w:r w:rsidR="00DB2CCA" w:rsidRPr="00DB2CCA">
        <w:rPr>
          <w:rFonts w:ascii="Times New Roman" w:hAnsi="Times New Roman"/>
          <w:sz w:val="24"/>
          <w:szCs w:val="24"/>
        </w:rPr>
        <w:t>the law shall prohibit any discrimination and guarantee to all persons equal protection against discrimination on any ground such as race, colour, sex, language, religion, political or other opinion, national or social origin, property, birth or other status</w:t>
      </w:r>
      <w:r w:rsidR="00811B5A">
        <w:rPr>
          <w:rFonts w:ascii="Times New Roman" w:hAnsi="Times New Roman"/>
          <w:sz w:val="24"/>
          <w:szCs w:val="24"/>
        </w:rPr>
        <w:t>”</w:t>
      </w:r>
      <w:r w:rsidR="00DB2CCA" w:rsidRPr="00DB2CCA">
        <w:rPr>
          <w:rFonts w:ascii="Times New Roman" w:hAnsi="Times New Roman"/>
          <w:sz w:val="24"/>
          <w:szCs w:val="24"/>
        </w:rPr>
        <w:t>.</w:t>
      </w:r>
    </w:p>
    <w:p w14:paraId="5456F11A" w14:textId="0737191F" w:rsidR="006C5960" w:rsidRDefault="00DB2CCA" w:rsidP="006C5960">
      <w:pPr>
        <w:spacing w:before="240"/>
        <w:rPr>
          <w:rFonts w:ascii="Times New Roman" w:hAnsi="Times New Roman"/>
          <w:sz w:val="24"/>
          <w:szCs w:val="24"/>
        </w:rPr>
      </w:pPr>
      <w:r>
        <w:rPr>
          <w:rFonts w:ascii="Times New Roman" w:hAnsi="Times New Roman"/>
          <w:sz w:val="24"/>
          <w:szCs w:val="24"/>
        </w:rPr>
        <w:t xml:space="preserve">The Determination </w:t>
      </w:r>
      <w:r w:rsidR="006C5960" w:rsidRPr="005C36FF">
        <w:rPr>
          <w:rFonts w:ascii="Times New Roman" w:hAnsi="Times New Roman"/>
          <w:sz w:val="24"/>
          <w:szCs w:val="24"/>
        </w:rPr>
        <w:t xml:space="preserve">promotes </w:t>
      </w:r>
      <w:r>
        <w:rPr>
          <w:rFonts w:ascii="Times New Roman" w:hAnsi="Times New Roman"/>
          <w:sz w:val="24"/>
          <w:szCs w:val="24"/>
        </w:rPr>
        <w:t xml:space="preserve">this </w:t>
      </w:r>
      <w:r w:rsidR="006C5960" w:rsidRPr="005C36FF">
        <w:rPr>
          <w:rFonts w:ascii="Times New Roman" w:hAnsi="Times New Roman"/>
          <w:sz w:val="24"/>
          <w:szCs w:val="24"/>
        </w:rPr>
        <w:t xml:space="preserve">right by aligning the right to access HELP </w:t>
      </w:r>
      <w:r w:rsidR="00C111CA">
        <w:rPr>
          <w:rFonts w:ascii="Times New Roman" w:hAnsi="Times New Roman"/>
          <w:sz w:val="24"/>
          <w:szCs w:val="24"/>
        </w:rPr>
        <w:t xml:space="preserve">assistance </w:t>
      </w:r>
      <w:r w:rsidR="006C5960" w:rsidRPr="005C36FF">
        <w:rPr>
          <w:rFonts w:ascii="Times New Roman" w:hAnsi="Times New Roman"/>
          <w:sz w:val="24"/>
          <w:szCs w:val="24"/>
        </w:rPr>
        <w:t xml:space="preserve">for permanent humanitarian visa holders with those of Australian citizens and New Zealand citizens on Special Category Visas. </w:t>
      </w:r>
      <w:r w:rsidR="001F7028">
        <w:rPr>
          <w:rFonts w:ascii="Times New Roman" w:hAnsi="Times New Roman"/>
          <w:sz w:val="24"/>
          <w:szCs w:val="24"/>
        </w:rPr>
        <w:t>Prior to the amendments in the Amendment Act,</w:t>
      </w:r>
      <w:r w:rsidR="001F7028" w:rsidRPr="005C36FF">
        <w:rPr>
          <w:rFonts w:ascii="Times New Roman" w:hAnsi="Times New Roman"/>
          <w:sz w:val="24"/>
          <w:szCs w:val="24"/>
        </w:rPr>
        <w:t xml:space="preserve"> </w:t>
      </w:r>
      <w:r w:rsidR="006C5960" w:rsidRPr="005C36FF">
        <w:rPr>
          <w:rFonts w:ascii="Times New Roman" w:hAnsi="Times New Roman"/>
          <w:sz w:val="24"/>
          <w:szCs w:val="24"/>
        </w:rPr>
        <w:t xml:space="preserve">Australian citizens and New Zealand citizens on a Special Category Visa </w:t>
      </w:r>
      <w:r w:rsidR="00AC522B">
        <w:rPr>
          <w:rFonts w:ascii="Times New Roman" w:hAnsi="Times New Roman"/>
          <w:sz w:val="24"/>
          <w:szCs w:val="24"/>
        </w:rPr>
        <w:t>could</w:t>
      </w:r>
      <w:r w:rsidR="00AC522B" w:rsidRPr="005C36FF">
        <w:rPr>
          <w:rFonts w:ascii="Times New Roman" w:hAnsi="Times New Roman"/>
          <w:sz w:val="24"/>
          <w:szCs w:val="24"/>
        </w:rPr>
        <w:t xml:space="preserve"> </w:t>
      </w:r>
      <w:r w:rsidR="006C5960" w:rsidRPr="005C36FF">
        <w:rPr>
          <w:rFonts w:ascii="Times New Roman" w:hAnsi="Times New Roman"/>
          <w:sz w:val="24"/>
          <w:szCs w:val="24"/>
        </w:rPr>
        <w:t>exit and return to Australia whilst maintaining their access to HELP</w:t>
      </w:r>
      <w:r w:rsidR="00C111CA">
        <w:rPr>
          <w:rFonts w:ascii="Times New Roman" w:hAnsi="Times New Roman"/>
          <w:sz w:val="24"/>
          <w:szCs w:val="24"/>
        </w:rPr>
        <w:t xml:space="preserve"> assistance</w:t>
      </w:r>
      <w:r w:rsidR="00AC522B">
        <w:rPr>
          <w:rFonts w:ascii="Times New Roman" w:hAnsi="Times New Roman"/>
          <w:sz w:val="24"/>
          <w:szCs w:val="24"/>
        </w:rPr>
        <w:t xml:space="preserve">, but this was not the case for </w:t>
      </w:r>
      <w:r w:rsidR="00D75A5D">
        <w:rPr>
          <w:rFonts w:ascii="Times New Roman" w:hAnsi="Times New Roman"/>
          <w:sz w:val="24"/>
          <w:szCs w:val="24"/>
        </w:rPr>
        <w:t>permanent humanitarian visa holders</w:t>
      </w:r>
      <w:r w:rsidR="006C5960" w:rsidRPr="005C36FF">
        <w:rPr>
          <w:rFonts w:ascii="Times New Roman" w:hAnsi="Times New Roman"/>
          <w:sz w:val="24"/>
          <w:szCs w:val="24"/>
        </w:rPr>
        <w:t xml:space="preserve">. Permanent humanitarian visa holders now enjoy this same right. </w:t>
      </w:r>
    </w:p>
    <w:p w14:paraId="27641208" w14:textId="77777777" w:rsidR="005C36FF" w:rsidRPr="005C36FF" w:rsidRDefault="005C36FF" w:rsidP="006C5960">
      <w:pPr>
        <w:spacing w:before="240"/>
        <w:rPr>
          <w:rFonts w:ascii="Times New Roman" w:hAnsi="Times New Roman"/>
          <w:sz w:val="24"/>
          <w:szCs w:val="24"/>
        </w:rPr>
      </w:pPr>
    </w:p>
    <w:p w14:paraId="266C43D2" w14:textId="77777777" w:rsidR="006C5960" w:rsidRPr="003C7780" w:rsidRDefault="006C5960" w:rsidP="006C5960">
      <w:pPr>
        <w:keepNext/>
        <w:rPr>
          <w:rFonts w:ascii="Times New Roman" w:hAnsi="Times New Roman"/>
          <w:b/>
          <w:sz w:val="24"/>
          <w:szCs w:val="24"/>
        </w:rPr>
      </w:pPr>
      <w:r w:rsidRPr="003C7780">
        <w:rPr>
          <w:rFonts w:ascii="Times New Roman" w:hAnsi="Times New Roman"/>
          <w:b/>
          <w:sz w:val="24"/>
          <w:szCs w:val="24"/>
        </w:rPr>
        <w:t>Conclusion</w:t>
      </w:r>
    </w:p>
    <w:p w14:paraId="22728CCF" w14:textId="77777777" w:rsidR="006C5960" w:rsidRPr="009F1E40" w:rsidRDefault="006C5960" w:rsidP="006C5960">
      <w:pPr>
        <w:rPr>
          <w:rFonts w:ascii="Times New Roman" w:hAnsi="Times New Roman"/>
          <w:sz w:val="24"/>
          <w:szCs w:val="24"/>
        </w:rPr>
      </w:pPr>
    </w:p>
    <w:p w14:paraId="1F90998C" w14:textId="4C40910C" w:rsidR="006C5960" w:rsidRPr="009F1E40" w:rsidRDefault="006C5960" w:rsidP="006C5960">
      <w:pPr>
        <w:rPr>
          <w:rFonts w:ascii="Times New Roman" w:hAnsi="Times New Roman"/>
          <w:sz w:val="24"/>
          <w:szCs w:val="24"/>
        </w:rPr>
      </w:pPr>
      <w:r w:rsidRPr="009F1E40">
        <w:rPr>
          <w:rFonts w:ascii="Times New Roman" w:hAnsi="Times New Roman"/>
          <w:sz w:val="24"/>
          <w:szCs w:val="24"/>
        </w:rPr>
        <w:t xml:space="preserve">This </w:t>
      </w:r>
      <w:r>
        <w:rPr>
          <w:rFonts w:ascii="Times New Roman" w:hAnsi="Times New Roman"/>
          <w:sz w:val="24"/>
          <w:szCs w:val="24"/>
        </w:rPr>
        <w:t>Determination</w:t>
      </w:r>
      <w:r w:rsidRPr="009F1E40">
        <w:rPr>
          <w:rFonts w:ascii="Times New Roman" w:hAnsi="Times New Roman"/>
          <w:sz w:val="24"/>
          <w:szCs w:val="24"/>
        </w:rPr>
        <w:t xml:space="preserve"> is compatible with human rights because it </w:t>
      </w:r>
      <w:r>
        <w:rPr>
          <w:rFonts w:ascii="Times New Roman" w:hAnsi="Times New Roman"/>
          <w:sz w:val="24"/>
          <w:szCs w:val="24"/>
        </w:rPr>
        <w:t>promotes the right to education</w:t>
      </w:r>
      <w:r w:rsidR="00453ED7">
        <w:rPr>
          <w:rFonts w:ascii="Times New Roman" w:hAnsi="Times New Roman"/>
          <w:sz w:val="24"/>
          <w:szCs w:val="24"/>
        </w:rPr>
        <w:t>, the freedom of movement and the right to equality and non-discrimination</w:t>
      </w:r>
      <w:r>
        <w:rPr>
          <w:rFonts w:ascii="Times New Roman" w:hAnsi="Times New Roman"/>
          <w:sz w:val="24"/>
          <w:szCs w:val="24"/>
        </w:rPr>
        <w:t xml:space="preserve">. </w:t>
      </w:r>
    </w:p>
    <w:p w14:paraId="095F5A1E" w14:textId="77777777" w:rsidR="006C5960" w:rsidRPr="009F1E40" w:rsidRDefault="006C5960" w:rsidP="006C5960">
      <w:pPr>
        <w:rPr>
          <w:rFonts w:ascii="Times New Roman" w:hAnsi="Times New Roman"/>
          <w:sz w:val="24"/>
          <w:szCs w:val="24"/>
        </w:rPr>
      </w:pPr>
    </w:p>
    <w:p w14:paraId="2A10E49A" w14:textId="6556C400" w:rsidR="0017048B" w:rsidRDefault="006C5960" w:rsidP="006C5960">
      <w:pPr>
        <w:jc w:val="center"/>
        <w:rPr>
          <w:rFonts w:ascii="Times New Roman" w:hAnsi="Times New Roman"/>
          <w:b/>
          <w:sz w:val="24"/>
          <w:szCs w:val="24"/>
        </w:rPr>
      </w:pPr>
      <w:r>
        <w:rPr>
          <w:rFonts w:ascii="Times New Roman" w:hAnsi="Times New Roman"/>
          <w:b/>
          <w:sz w:val="24"/>
          <w:szCs w:val="24"/>
        </w:rPr>
        <w:t>Hon Alan Tudge MP</w:t>
      </w:r>
      <w:r w:rsidRPr="009F1E40">
        <w:rPr>
          <w:rFonts w:ascii="Times New Roman" w:hAnsi="Times New Roman"/>
          <w:b/>
          <w:sz w:val="24"/>
          <w:szCs w:val="24"/>
        </w:rPr>
        <w:t xml:space="preserve">, Minister for Education </w:t>
      </w:r>
      <w:r>
        <w:rPr>
          <w:rFonts w:ascii="Times New Roman" w:hAnsi="Times New Roman"/>
          <w:b/>
          <w:sz w:val="24"/>
          <w:szCs w:val="24"/>
        </w:rPr>
        <w:t>and Youth</w:t>
      </w:r>
    </w:p>
    <w:p w14:paraId="4CAA2225" w14:textId="77777777" w:rsidR="0017048B" w:rsidRDefault="0017048B">
      <w:pPr>
        <w:rPr>
          <w:rFonts w:ascii="Times New Roman" w:hAnsi="Times New Roman"/>
          <w:b/>
          <w:sz w:val="24"/>
          <w:szCs w:val="24"/>
        </w:rPr>
      </w:pPr>
      <w:r>
        <w:rPr>
          <w:rFonts w:ascii="Times New Roman" w:hAnsi="Times New Roman"/>
          <w:b/>
          <w:sz w:val="24"/>
          <w:szCs w:val="24"/>
        </w:rPr>
        <w:br w:type="page"/>
      </w:r>
    </w:p>
    <w:p w14:paraId="1C51DDD9" w14:textId="67CB7860" w:rsidR="009A73B3" w:rsidRDefault="009A73B3" w:rsidP="0017048B">
      <w:pPr>
        <w:jc w:val="center"/>
        <w:rPr>
          <w:rFonts w:ascii="Times New Roman" w:hAnsi="Times New Roman"/>
          <w:b/>
          <w:color w:val="000000"/>
          <w:sz w:val="24"/>
          <w:szCs w:val="24"/>
        </w:rPr>
      </w:pPr>
      <w:r w:rsidRPr="009A73B3">
        <w:rPr>
          <w:rFonts w:ascii="Times New Roman" w:hAnsi="Times New Roman"/>
          <w:b/>
          <w:color w:val="000000"/>
          <w:sz w:val="24"/>
          <w:szCs w:val="24"/>
        </w:rPr>
        <w:lastRenderedPageBreak/>
        <w:t>HIGHER EDUCATION SUPPORT (VISA SPECIFICATION FOR ELIGIBLE FORMER PERMANENT HUMANITARIAN VISA HOLDERS) DETERMINATION 2021</w:t>
      </w:r>
      <w:r w:rsidRPr="000E2BF4">
        <w:rPr>
          <w:rFonts w:ascii="Times New Roman" w:hAnsi="Times New Roman"/>
          <w:b/>
          <w:color w:val="000000"/>
          <w:sz w:val="24"/>
          <w:szCs w:val="24"/>
        </w:rPr>
        <w:br/>
      </w:r>
    </w:p>
    <w:p w14:paraId="0062ACEB" w14:textId="79D61AB2" w:rsidR="00634555" w:rsidRDefault="00634555" w:rsidP="00634555">
      <w:pPr>
        <w:jc w:val="center"/>
        <w:rPr>
          <w:rFonts w:ascii="Times New Roman" w:hAnsi="Times New Roman"/>
          <w:b/>
          <w:color w:val="000000"/>
          <w:sz w:val="24"/>
          <w:szCs w:val="24"/>
        </w:rPr>
      </w:pPr>
      <w:r>
        <w:rPr>
          <w:rFonts w:ascii="Times New Roman" w:hAnsi="Times New Roman"/>
          <w:b/>
          <w:color w:val="000000"/>
          <w:sz w:val="24"/>
          <w:szCs w:val="24"/>
        </w:rPr>
        <w:t>EXPLANATION OF PROVISIONS</w:t>
      </w:r>
    </w:p>
    <w:p w14:paraId="5E9FCB0E" w14:textId="77777777" w:rsidR="009A73B3" w:rsidRPr="00F3611B" w:rsidRDefault="009A73B3" w:rsidP="009A73B3">
      <w:pPr>
        <w:jc w:val="center"/>
        <w:rPr>
          <w:rFonts w:ascii="Times New Roman" w:hAnsi="Times New Roman"/>
          <w:b/>
          <w:color w:val="000000"/>
          <w:sz w:val="24"/>
          <w:szCs w:val="24"/>
        </w:rPr>
      </w:pPr>
    </w:p>
    <w:bookmarkEnd w:id="0"/>
    <w:p w14:paraId="1B752CBF" w14:textId="77777777" w:rsidR="004C634A" w:rsidRPr="004C634A" w:rsidRDefault="004C634A" w:rsidP="004C634A">
      <w:pPr>
        <w:ind w:right="-45"/>
        <w:rPr>
          <w:rFonts w:ascii="Times New Roman" w:hAnsi="Times New Roman"/>
          <w:sz w:val="24"/>
          <w:szCs w:val="24"/>
          <w:u w:val="single"/>
        </w:rPr>
      </w:pPr>
      <w:r w:rsidRPr="004C634A">
        <w:rPr>
          <w:rFonts w:ascii="Times New Roman" w:hAnsi="Times New Roman"/>
          <w:sz w:val="24"/>
          <w:szCs w:val="24"/>
          <w:u w:val="single"/>
        </w:rPr>
        <w:t>Section 1 – Name</w:t>
      </w:r>
      <w:r w:rsidRPr="004C634A">
        <w:rPr>
          <w:rFonts w:ascii="Times New Roman" w:hAnsi="Times New Roman"/>
          <w:sz w:val="24"/>
          <w:szCs w:val="24"/>
        </w:rPr>
        <w:t xml:space="preserve"> </w:t>
      </w:r>
    </w:p>
    <w:p w14:paraId="79424D23" w14:textId="31E76766"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t xml:space="preserve">This section provides that the title of the </w:t>
      </w:r>
      <w:r w:rsidR="00542492">
        <w:rPr>
          <w:rFonts w:ascii="Times New Roman" w:hAnsi="Times New Roman"/>
          <w:sz w:val="24"/>
          <w:szCs w:val="24"/>
          <w:lang w:eastAsia="en-AU"/>
        </w:rPr>
        <w:t>instrument</w:t>
      </w:r>
      <w:r w:rsidR="00542492" w:rsidRPr="004C634A">
        <w:rPr>
          <w:rFonts w:ascii="Times New Roman" w:hAnsi="Times New Roman"/>
          <w:sz w:val="24"/>
          <w:szCs w:val="24"/>
          <w:lang w:eastAsia="en-AU"/>
        </w:rPr>
        <w:t xml:space="preserve"> </w:t>
      </w:r>
      <w:r w:rsidRPr="004C634A">
        <w:rPr>
          <w:rFonts w:ascii="Times New Roman" w:hAnsi="Times New Roman"/>
          <w:sz w:val="24"/>
          <w:szCs w:val="24"/>
          <w:lang w:eastAsia="en-AU"/>
        </w:rPr>
        <w:t xml:space="preserve">is the </w:t>
      </w:r>
      <w:r w:rsidR="009A2E8A" w:rsidRPr="009A2E8A">
        <w:rPr>
          <w:rFonts w:ascii="Times New Roman" w:hAnsi="Times New Roman"/>
          <w:i/>
          <w:sz w:val="24"/>
          <w:szCs w:val="24"/>
          <w:lang w:eastAsia="en-AU"/>
        </w:rPr>
        <w:t>Higher Education Support (Visa Specification for Eligible Former Permanent Humanitarian Visa Holders) Determination 2021</w:t>
      </w:r>
      <w:r w:rsidR="009A2E8A">
        <w:rPr>
          <w:rFonts w:ascii="Times New Roman" w:hAnsi="Times New Roman"/>
          <w:i/>
          <w:sz w:val="24"/>
          <w:szCs w:val="24"/>
          <w:lang w:eastAsia="en-AU"/>
        </w:rPr>
        <w:t xml:space="preserve"> </w:t>
      </w:r>
      <w:r w:rsidRPr="004C634A">
        <w:rPr>
          <w:rFonts w:ascii="Times New Roman" w:hAnsi="Times New Roman"/>
          <w:iCs/>
          <w:sz w:val="24"/>
          <w:szCs w:val="24"/>
          <w:lang w:eastAsia="en-AU"/>
        </w:rPr>
        <w:t xml:space="preserve">(the </w:t>
      </w:r>
      <w:r w:rsidR="009A2E8A">
        <w:rPr>
          <w:rFonts w:ascii="Times New Roman" w:hAnsi="Times New Roman"/>
          <w:iCs/>
          <w:sz w:val="24"/>
          <w:szCs w:val="24"/>
          <w:lang w:eastAsia="en-AU"/>
        </w:rPr>
        <w:t>Determination</w:t>
      </w:r>
      <w:r w:rsidRPr="004C634A">
        <w:rPr>
          <w:rFonts w:ascii="Times New Roman" w:hAnsi="Times New Roman"/>
          <w:iCs/>
          <w:sz w:val="24"/>
          <w:szCs w:val="24"/>
          <w:lang w:eastAsia="en-AU"/>
        </w:rPr>
        <w:t>)</w:t>
      </w:r>
      <w:r w:rsidRPr="004C634A">
        <w:rPr>
          <w:rFonts w:ascii="Times New Roman" w:hAnsi="Times New Roman"/>
          <w:sz w:val="24"/>
          <w:szCs w:val="24"/>
          <w:lang w:eastAsia="en-AU"/>
        </w:rPr>
        <w:t xml:space="preserve">. </w:t>
      </w:r>
    </w:p>
    <w:p w14:paraId="7F9628EE" w14:textId="77777777" w:rsidR="004C634A" w:rsidRPr="004C634A" w:rsidRDefault="004C634A" w:rsidP="004C634A">
      <w:pPr>
        <w:spacing w:before="240"/>
        <w:ind w:right="91"/>
        <w:rPr>
          <w:rFonts w:ascii="Times New Roman" w:hAnsi="Times New Roman"/>
          <w:bCs/>
          <w:sz w:val="24"/>
          <w:szCs w:val="24"/>
          <w:u w:val="single"/>
        </w:rPr>
      </w:pPr>
      <w:r w:rsidRPr="004C634A">
        <w:rPr>
          <w:rFonts w:ascii="Times New Roman" w:hAnsi="Times New Roman"/>
          <w:sz w:val="24"/>
          <w:szCs w:val="24"/>
          <w:u w:val="single"/>
        </w:rPr>
        <w:t>Section 2 – Commencement</w:t>
      </w:r>
    </w:p>
    <w:p w14:paraId="3EAD1DFC" w14:textId="6A1B07DB" w:rsid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t xml:space="preserve">This section provides </w:t>
      </w:r>
      <w:r w:rsidR="00D777A5">
        <w:rPr>
          <w:rFonts w:ascii="Times New Roman" w:hAnsi="Times New Roman"/>
          <w:sz w:val="24"/>
          <w:szCs w:val="24"/>
          <w:lang w:eastAsia="en-AU"/>
        </w:rPr>
        <w:t xml:space="preserve">that the Determination will commence </w:t>
      </w:r>
      <w:r w:rsidR="00CC7014">
        <w:rPr>
          <w:rFonts w:ascii="Times New Roman" w:hAnsi="Times New Roman"/>
          <w:bCs/>
          <w:color w:val="000000"/>
          <w:sz w:val="24"/>
          <w:szCs w:val="24"/>
        </w:rPr>
        <w:t xml:space="preserve">the later of: (a) the start of the day after the Determination is registered; and (b) immediately after the commencement of Part 1 of Schedule 1 to the </w:t>
      </w:r>
      <w:r w:rsidR="00EB4D38">
        <w:rPr>
          <w:rFonts w:ascii="Times New Roman" w:hAnsi="Times New Roman"/>
          <w:i/>
          <w:iCs/>
          <w:sz w:val="24"/>
          <w:szCs w:val="24"/>
          <w:lang w:eastAsia="en-AU"/>
        </w:rPr>
        <w:t xml:space="preserve">Education Legislation Amendment (2021 Measures No. 2) Act 2021 </w:t>
      </w:r>
      <w:r w:rsidR="00EB4D38">
        <w:rPr>
          <w:rFonts w:ascii="Times New Roman" w:hAnsi="Times New Roman"/>
          <w:sz w:val="24"/>
          <w:szCs w:val="24"/>
          <w:lang w:eastAsia="en-AU"/>
        </w:rPr>
        <w:t xml:space="preserve">(the </w:t>
      </w:r>
      <w:r w:rsidR="00CC7014">
        <w:rPr>
          <w:rFonts w:ascii="Times New Roman" w:hAnsi="Times New Roman"/>
          <w:bCs/>
          <w:color w:val="000000"/>
          <w:sz w:val="24"/>
          <w:szCs w:val="24"/>
        </w:rPr>
        <w:t>Amendment Act</w:t>
      </w:r>
      <w:r w:rsidR="00EB4D38">
        <w:rPr>
          <w:rFonts w:ascii="Times New Roman" w:hAnsi="Times New Roman"/>
          <w:bCs/>
          <w:color w:val="000000"/>
          <w:sz w:val="24"/>
          <w:szCs w:val="24"/>
        </w:rPr>
        <w:t xml:space="preserve">), which contains the </w:t>
      </w:r>
      <w:r w:rsidR="00C84AB8">
        <w:rPr>
          <w:rFonts w:ascii="Times New Roman" w:hAnsi="Times New Roman"/>
          <w:bCs/>
          <w:color w:val="000000"/>
          <w:sz w:val="24"/>
          <w:szCs w:val="24"/>
        </w:rPr>
        <w:t>enabling provisions for the Determination</w:t>
      </w:r>
      <w:r w:rsidR="00CA1BEB">
        <w:rPr>
          <w:rFonts w:ascii="Times New Roman" w:hAnsi="Times New Roman"/>
          <w:bCs/>
          <w:color w:val="000000"/>
          <w:sz w:val="24"/>
          <w:szCs w:val="24"/>
        </w:rPr>
        <w:t xml:space="preserve"> and will commence on 1 January 2022</w:t>
      </w:r>
      <w:r w:rsidR="00C84AB8">
        <w:rPr>
          <w:rFonts w:ascii="Times New Roman" w:hAnsi="Times New Roman"/>
          <w:bCs/>
          <w:color w:val="000000"/>
          <w:sz w:val="24"/>
          <w:szCs w:val="24"/>
        </w:rPr>
        <w:t xml:space="preserve">. </w:t>
      </w:r>
    </w:p>
    <w:p w14:paraId="44BA4405" w14:textId="0F2D68D4" w:rsidR="004A6A35" w:rsidRPr="00E7302F" w:rsidRDefault="00061AD0" w:rsidP="004C634A">
      <w:pPr>
        <w:spacing w:before="240"/>
        <w:rPr>
          <w:rFonts w:ascii="Times New Roman" w:hAnsi="Times New Roman"/>
          <w:sz w:val="24"/>
          <w:szCs w:val="24"/>
          <w:lang w:eastAsia="en-AU"/>
        </w:rPr>
      </w:pPr>
      <w:r w:rsidRPr="00E7302F">
        <w:rPr>
          <w:rFonts w:ascii="Times New Roman" w:hAnsi="Times New Roman"/>
          <w:sz w:val="24"/>
          <w:szCs w:val="24"/>
          <w:lang w:eastAsia="en-AU"/>
        </w:rPr>
        <w:t>If the</w:t>
      </w:r>
      <w:r w:rsidR="004A6A35" w:rsidRPr="00E7302F">
        <w:rPr>
          <w:rFonts w:ascii="Times New Roman" w:hAnsi="Times New Roman"/>
          <w:sz w:val="24"/>
          <w:szCs w:val="24"/>
          <w:lang w:eastAsia="en-AU"/>
        </w:rPr>
        <w:t xml:space="preserve"> Minister make</w:t>
      </w:r>
      <w:r w:rsidR="00317040" w:rsidRPr="00E7302F">
        <w:rPr>
          <w:rFonts w:ascii="Times New Roman" w:hAnsi="Times New Roman"/>
          <w:sz w:val="24"/>
          <w:szCs w:val="24"/>
          <w:lang w:eastAsia="en-AU"/>
        </w:rPr>
        <w:t>s</w:t>
      </w:r>
      <w:r w:rsidR="004A6A35" w:rsidRPr="00E7302F">
        <w:rPr>
          <w:rFonts w:ascii="Times New Roman" w:hAnsi="Times New Roman"/>
          <w:sz w:val="24"/>
          <w:szCs w:val="24"/>
          <w:lang w:eastAsia="en-AU"/>
        </w:rPr>
        <w:t xml:space="preserve"> </w:t>
      </w:r>
      <w:r w:rsidR="00317040" w:rsidRPr="00E7302F">
        <w:rPr>
          <w:rFonts w:ascii="Times New Roman" w:hAnsi="Times New Roman"/>
          <w:sz w:val="24"/>
          <w:szCs w:val="24"/>
          <w:lang w:eastAsia="en-AU"/>
        </w:rPr>
        <w:t xml:space="preserve">and registers </w:t>
      </w:r>
      <w:r w:rsidR="004A6A35" w:rsidRPr="00E7302F">
        <w:rPr>
          <w:rFonts w:ascii="Times New Roman" w:hAnsi="Times New Roman"/>
          <w:sz w:val="24"/>
          <w:szCs w:val="24"/>
          <w:lang w:eastAsia="en-AU"/>
        </w:rPr>
        <w:t xml:space="preserve">the Determination </w:t>
      </w:r>
      <w:r w:rsidR="000378A5" w:rsidRPr="00E7302F">
        <w:rPr>
          <w:rFonts w:ascii="Times New Roman" w:hAnsi="Times New Roman"/>
          <w:sz w:val="24"/>
          <w:szCs w:val="24"/>
          <w:lang w:eastAsia="en-AU"/>
        </w:rPr>
        <w:t xml:space="preserve">after the Amendment Act is enacted but before </w:t>
      </w:r>
      <w:r w:rsidR="00CA1BEB" w:rsidRPr="00E7302F">
        <w:rPr>
          <w:rFonts w:ascii="Times New Roman" w:hAnsi="Times New Roman"/>
          <w:sz w:val="24"/>
          <w:szCs w:val="24"/>
          <w:lang w:eastAsia="en-AU"/>
        </w:rPr>
        <w:t xml:space="preserve">the enabling provisions </w:t>
      </w:r>
      <w:r w:rsidR="00C0466A" w:rsidRPr="00E7302F">
        <w:rPr>
          <w:rFonts w:ascii="Times New Roman" w:hAnsi="Times New Roman"/>
          <w:sz w:val="24"/>
          <w:szCs w:val="24"/>
          <w:lang w:eastAsia="en-AU"/>
        </w:rPr>
        <w:t>commence</w:t>
      </w:r>
      <w:r w:rsidR="00317040" w:rsidRPr="00E7302F">
        <w:rPr>
          <w:rFonts w:ascii="Times New Roman" w:hAnsi="Times New Roman"/>
          <w:sz w:val="24"/>
          <w:szCs w:val="24"/>
          <w:lang w:eastAsia="en-AU"/>
        </w:rPr>
        <w:t xml:space="preserve"> (on 1 January 2022)</w:t>
      </w:r>
      <w:r w:rsidR="00C0466A" w:rsidRPr="00E7302F">
        <w:rPr>
          <w:rFonts w:ascii="Times New Roman" w:hAnsi="Times New Roman"/>
          <w:sz w:val="24"/>
          <w:szCs w:val="24"/>
          <w:lang w:eastAsia="en-AU"/>
        </w:rPr>
        <w:t xml:space="preserve">, </w:t>
      </w:r>
      <w:r w:rsidR="001D29A1" w:rsidRPr="00E7302F">
        <w:rPr>
          <w:rFonts w:ascii="Times New Roman" w:hAnsi="Times New Roman"/>
          <w:sz w:val="24"/>
          <w:szCs w:val="24"/>
          <w:lang w:eastAsia="en-AU"/>
        </w:rPr>
        <w:t xml:space="preserve">the power to make the Determination </w:t>
      </w:r>
      <w:r w:rsidR="00B84019" w:rsidRPr="00E7302F">
        <w:rPr>
          <w:rFonts w:ascii="Times New Roman" w:hAnsi="Times New Roman"/>
          <w:sz w:val="24"/>
          <w:szCs w:val="24"/>
          <w:lang w:eastAsia="en-AU"/>
        </w:rPr>
        <w:t xml:space="preserve">in that “pre-commencement” period </w:t>
      </w:r>
      <w:r w:rsidR="0071680A" w:rsidRPr="00E7302F">
        <w:rPr>
          <w:rFonts w:ascii="Times New Roman" w:hAnsi="Times New Roman"/>
          <w:sz w:val="24"/>
          <w:szCs w:val="24"/>
          <w:lang w:eastAsia="en-AU"/>
        </w:rPr>
        <w:t xml:space="preserve">will derive from </w:t>
      </w:r>
      <w:r w:rsidR="00C0466A" w:rsidRPr="00E7302F">
        <w:rPr>
          <w:rFonts w:ascii="Times New Roman" w:hAnsi="Times New Roman"/>
          <w:sz w:val="24"/>
          <w:szCs w:val="24"/>
          <w:lang w:eastAsia="en-AU"/>
        </w:rPr>
        <w:t xml:space="preserve">subsection 4(2) of the </w:t>
      </w:r>
      <w:r w:rsidR="00C0466A" w:rsidRPr="00E7302F">
        <w:rPr>
          <w:rFonts w:ascii="Times New Roman" w:hAnsi="Times New Roman"/>
          <w:i/>
          <w:iCs/>
          <w:sz w:val="24"/>
          <w:szCs w:val="24"/>
          <w:lang w:eastAsia="en-AU"/>
        </w:rPr>
        <w:t>Acts Interpretation Act 1901</w:t>
      </w:r>
      <w:r w:rsidR="00C0466A" w:rsidRPr="00E7302F">
        <w:rPr>
          <w:rFonts w:ascii="Times New Roman" w:hAnsi="Times New Roman"/>
          <w:sz w:val="24"/>
          <w:szCs w:val="24"/>
          <w:lang w:eastAsia="en-AU"/>
        </w:rPr>
        <w:t xml:space="preserve"> (AIA)</w:t>
      </w:r>
      <w:r w:rsidR="004A7281" w:rsidRPr="00E7302F">
        <w:rPr>
          <w:rFonts w:ascii="Times New Roman" w:hAnsi="Times New Roman"/>
          <w:sz w:val="24"/>
          <w:szCs w:val="24"/>
          <w:lang w:eastAsia="en-AU"/>
        </w:rPr>
        <w:t xml:space="preserve"> (noting this provision will not be applicable if the Determination is made and registered </w:t>
      </w:r>
      <w:r w:rsidR="003163B5" w:rsidRPr="00E7302F">
        <w:rPr>
          <w:rFonts w:ascii="Times New Roman" w:hAnsi="Times New Roman"/>
          <w:sz w:val="24"/>
          <w:szCs w:val="24"/>
          <w:lang w:eastAsia="en-AU"/>
        </w:rPr>
        <w:t>after 1 January 20</w:t>
      </w:r>
      <w:r w:rsidR="00F4592E" w:rsidRPr="00E7302F">
        <w:rPr>
          <w:rFonts w:ascii="Times New Roman" w:hAnsi="Times New Roman"/>
          <w:sz w:val="24"/>
          <w:szCs w:val="24"/>
          <w:lang w:eastAsia="en-AU"/>
        </w:rPr>
        <w:t>22)</w:t>
      </w:r>
      <w:r w:rsidR="00C0466A" w:rsidRPr="00E7302F">
        <w:rPr>
          <w:rFonts w:ascii="Times New Roman" w:hAnsi="Times New Roman"/>
          <w:sz w:val="24"/>
          <w:szCs w:val="24"/>
          <w:lang w:eastAsia="en-AU"/>
        </w:rPr>
        <w:t xml:space="preserve">. </w:t>
      </w:r>
      <w:r w:rsidR="00D90E03" w:rsidRPr="00E7302F">
        <w:rPr>
          <w:rFonts w:ascii="Times New Roman" w:hAnsi="Times New Roman"/>
          <w:sz w:val="24"/>
          <w:szCs w:val="24"/>
          <w:lang w:eastAsia="en-AU"/>
        </w:rPr>
        <w:t xml:space="preserve">This commencement provision ensures the Determination </w:t>
      </w:r>
      <w:r w:rsidR="00975904" w:rsidRPr="00E7302F">
        <w:rPr>
          <w:rFonts w:ascii="Times New Roman" w:hAnsi="Times New Roman"/>
          <w:sz w:val="24"/>
          <w:szCs w:val="24"/>
          <w:lang w:eastAsia="en-AU"/>
        </w:rPr>
        <w:t xml:space="preserve">will commence and become effective on either: (a) the day after it is registered, if it is registered after 1 January 2022; or (b) on 1 January 2022, if it is registered before that day.  In both cases, the Determination will be purely prospective in its effect (and cannot be effective before 1 January 2022). </w:t>
      </w:r>
    </w:p>
    <w:p w14:paraId="12641934" w14:textId="77777777"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u w:val="single"/>
          <w:lang w:eastAsia="en-AU"/>
        </w:rPr>
        <w:t>Section 3 – Authority</w:t>
      </w:r>
    </w:p>
    <w:p w14:paraId="25278C66" w14:textId="3372FBFC" w:rsid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t xml:space="preserve">This section provides that the </w:t>
      </w:r>
      <w:r w:rsidR="00D777A5">
        <w:rPr>
          <w:rFonts w:ascii="Times New Roman" w:hAnsi="Times New Roman"/>
          <w:sz w:val="24"/>
          <w:szCs w:val="24"/>
          <w:lang w:eastAsia="en-AU"/>
        </w:rPr>
        <w:t>Determination</w:t>
      </w:r>
      <w:r w:rsidRPr="004C634A">
        <w:rPr>
          <w:rFonts w:ascii="Times New Roman" w:hAnsi="Times New Roman"/>
          <w:sz w:val="24"/>
          <w:szCs w:val="24"/>
          <w:lang w:eastAsia="en-AU"/>
        </w:rPr>
        <w:t xml:space="preserve"> is made under </w:t>
      </w:r>
      <w:r w:rsidR="00D777A5">
        <w:rPr>
          <w:rFonts w:ascii="Times New Roman" w:hAnsi="Times New Roman"/>
          <w:sz w:val="24"/>
          <w:szCs w:val="24"/>
          <w:lang w:eastAsia="en-AU"/>
        </w:rPr>
        <w:t xml:space="preserve">subclause 1(1A) of Schedule 1 </w:t>
      </w:r>
      <w:r w:rsidR="006921C5">
        <w:rPr>
          <w:rFonts w:ascii="Times New Roman" w:hAnsi="Times New Roman"/>
          <w:sz w:val="24"/>
          <w:szCs w:val="24"/>
          <w:lang w:eastAsia="en-AU"/>
        </w:rPr>
        <w:t xml:space="preserve">to </w:t>
      </w:r>
      <w:r w:rsidR="00D777A5">
        <w:rPr>
          <w:rFonts w:ascii="Times New Roman" w:hAnsi="Times New Roman"/>
          <w:sz w:val="24"/>
          <w:szCs w:val="24"/>
          <w:lang w:eastAsia="en-AU"/>
        </w:rPr>
        <w:t xml:space="preserve">the </w:t>
      </w:r>
      <w:r w:rsidR="006921C5">
        <w:rPr>
          <w:rFonts w:ascii="Times New Roman" w:hAnsi="Times New Roman"/>
          <w:sz w:val="24"/>
          <w:szCs w:val="24"/>
          <w:lang w:eastAsia="en-AU"/>
        </w:rPr>
        <w:t>Act</w:t>
      </w:r>
      <w:r w:rsidR="00D777A5">
        <w:rPr>
          <w:rFonts w:ascii="Times New Roman" w:hAnsi="Times New Roman"/>
          <w:sz w:val="24"/>
          <w:szCs w:val="24"/>
          <w:lang w:eastAsia="en-AU"/>
        </w:rPr>
        <w:t xml:space="preserve">. </w:t>
      </w:r>
      <w:r w:rsidR="003464B8">
        <w:rPr>
          <w:rFonts w:ascii="Times New Roman" w:hAnsi="Times New Roman"/>
          <w:sz w:val="24"/>
          <w:szCs w:val="24"/>
          <w:lang w:eastAsia="en-AU"/>
        </w:rPr>
        <w:t xml:space="preserve">As noted above, </w:t>
      </w:r>
      <w:r w:rsidR="003D1DA0">
        <w:rPr>
          <w:rFonts w:ascii="Times New Roman" w:hAnsi="Times New Roman"/>
          <w:sz w:val="24"/>
          <w:szCs w:val="24"/>
          <w:lang w:eastAsia="en-AU"/>
        </w:rPr>
        <w:t xml:space="preserve">if the Determination is made and registered before 1 January </w:t>
      </w:r>
      <w:r w:rsidR="00061AD0">
        <w:rPr>
          <w:rFonts w:ascii="Times New Roman" w:hAnsi="Times New Roman"/>
          <w:sz w:val="24"/>
          <w:szCs w:val="24"/>
          <w:lang w:eastAsia="en-AU"/>
        </w:rPr>
        <w:t xml:space="preserve">2022, it will also be authorised by subsection 4(2) of the AIA. </w:t>
      </w:r>
    </w:p>
    <w:p w14:paraId="7941FAD8" w14:textId="559361E1"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u w:val="single"/>
          <w:lang w:eastAsia="en-AU"/>
        </w:rPr>
        <w:t>Section 4 – Definition</w:t>
      </w:r>
    </w:p>
    <w:p w14:paraId="73412FD8" w14:textId="287D7187" w:rsidR="004C634A" w:rsidRPr="004C634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t xml:space="preserve">This section defines </w:t>
      </w:r>
      <w:r w:rsidR="00D777A5">
        <w:rPr>
          <w:rFonts w:ascii="Times New Roman" w:hAnsi="Times New Roman"/>
          <w:sz w:val="24"/>
          <w:szCs w:val="24"/>
          <w:lang w:eastAsia="en-AU"/>
        </w:rPr>
        <w:t xml:space="preserve">a </w:t>
      </w:r>
      <w:r w:rsidRPr="004C634A">
        <w:rPr>
          <w:rFonts w:ascii="Times New Roman" w:hAnsi="Times New Roman"/>
          <w:sz w:val="24"/>
          <w:szCs w:val="24"/>
          <w:lang w:eastAsia="en-AU"/>
        </w:rPr>
        <w:t xml:space="preserve">term used in the </w:t>
      </w:r>
      <w:r w:rsidR="00D777A5">
        <w:rPr>
          <w:rFonts w:ascii="Times New Roman" w:hAnsi="Times New Roman"/>
          <w:sz w:val="24"/>
          <w:szCs w:val="24"/>
          <w:lang w:eastAsia="en-AU"/>
        </w:rPr>
        <w:t>Determination</w:t>
      </w:r>
      <w:r w:rsidR="00117C52">
        <w:rPr>
          <w:rFonts w:ascii="Times New Roman" w:hAnsi="Times New Roman"/>
          <w:sz w:val="24"/>
          <w:szCs w:val="24"/>
          <w:lang w:eastAsia="en-AU"/>
        </w:rPr>
        <w:t>, which is the name of the enabling Act</w:t>
      </w:r>
      <w:r w:rsidRPr="004C634A">
        <w:rPr>
          <w:rFonts w:ascii="Times New Roman" w:hAnsi="Times New Roman"/>
          <w:sz w:val="24"/>
          <w:szCs w:val="24"/>
          <w:lang w:eastAsia="en-AU"/>
        </w:rPr>
        <w:t xml:space="preserve">. </w:t>
      </w:r>
    </w:p>
    <w:p w14:paraId="26D56995" w14:textId="4E20B998" w:rsidR="004C634A" w:rsidRPr="004C634A" w:rsidRDefault="004C634A" w:rsidP="004C634A">
      <w:pPr>
        <w:spacing w:before="240"/>
        <w:rPr>
          <w:rFonts w:ascii="Times New Roman" w:hAnsi="Times New Roman"/>
          <w:sz w:val="24"/>
          <w:szCs w:val="24"/>
          <w:u w:val="single"/>
          <w:lang w:eastAsia="en-AU"/>
        </w:rPr>
      </w:pPr>
      <w:r w:rsidRPr="004C634A">
        <w:rPr>
          <w:rFonts w:ascii="Times New Roman" w:hAnsi="Times New Roman"/>
          <w:sz w:val="24"/>
          <w:szCs w:val="24"/>
          <w:u w:val="single"/>
          <w:lang w:eastAsia="en-AU"/>
        </w:rPr>
        <w:t xml:space="preserve">Section 5 – </w:t>
      </w:r>
      <w:r w:rsidR="00D777A5">
        <w:rPr>
          <w:rFonts w:ascii="Times New Roman" w:hAnsi="Times New Roman"/>
          <w:sz w:val="24"/>
          <w:szCs w:val="24"/>
          <w:u w:val="single"/>
          <w:lang w:eastAsia="en-AU"/>
        </w:rPr>
        <w:t xml:space="preserve">Specification of visas </w:t>
      </w:r>
    </w:p>
    <w:p w14:paraId="2900A188" w14:textId="28537436" w:rsidR="00FE763A" w:rsidRDefault="004C634A" w:rsidP="004C634A">
      <w:pPr>
        <w:spacing w:before="240"/>
        <w:rPr>
          <w:rFonts w:ascii="Times New Roman" w:hAnsi="Times New Roman"/>
          <w:sz w:val="24"/>
          <w:szCs w:val="24"/>
          <w:lang w:eastAsia="en-AU"/>
        </w:rPr>
      </w:pPr>
      <w:r w:rsidRPr="004C634A">
        <w:rPr>
          <w:rFonts w:ascii="Times New Roman" w:hAnsi="Times New Roman"/>
          <w:sz w:val="24"/>
          <w:szCs w:val="24"/>
          <w:lang w:eastAsia="en-AU"/>
        </w:rPr>
        <w:t xml:space="preserve">This section specifies the </w:t>
      </w:r>
      <w:r w:rsidR="00D777A5">
        <w:rPr>
          <w:rFonts w:ascii="Times New Roman" w:hAnsi="Times New Roman"/>
          <w:sz w:val="24"/>
          <w:szCs w:val="24"/>
          <w:lang w:eastAsia="en-AU"/>
        </w:rPr>
        <w:t xml:space="preserve">classes or subclasses of visas provided for </w:t>
      </w:r>
      <w:r w:rsidR="00686F87">
        <w:rPr>
          <w:rFonts w:ascii="Times New Roman" w:hAnsi="Times New Roman"/>
          <w:sz w:val="24"/>
          <w:szCs w:val="24"/>
          <w:lang w:eastAsia="en-AU"/>
        </w:rPr>
        <w:t xml:space="preserve">by the </w:t>
      </w:r>
      <w:r w:rsidR="00686F87" w:rsidRPr="00F75DF3">
        <w:rPr>
          <w:rFonts w:ascii="Times New Roman" w:hAnsi="Times New Roman"/>
          <w:i/>
          <w:iCs/>
          <w:sz w:val="24"/>
          <w:szCs w:val="24"/>
          <w:lang w:eastAsia="en-AU"/>
        </w:rPr>
        <w:t xml:space="preserve">Migration Act </w:t>
      </w:r>
      <w:r w:rsidR="00F75DF3" w:rsidRPr="00F75DF3">
        <w:rPr>
          <w:rFonts w:ascii="Times New Roman" w:hAnsi="Times New Roman"/>
          <w:i/>
          <w:iCs/>
          <w:sz w:val="24"/>
          <w:szCs w:val="24"/>
          <w:lang w:eastAsia="en-AU"/>
        </w:rPr>
        <w:t>1958</w:t>
      </w:r>
      <w:r w:rsidR="00F75DF3">
        <w:rPr>
          <w:rFonts w:ascii="Times New Roman" w:hAnsi="Times New Roman"/>
          <w:sz w:val="24"/>
          <w:szCs w:val="24"/>
          <w:lang w:eastAsia="en-AU"/>
        </w:rPr>
        <w:t xml:space="preserve"> </w:t>
      </w:r>
      <w:r w:rsidR="00FE763A">
        <w:rPr>
          <w:rFonts w:ascii="Times New Roman" w:hAnsi="Times New Roman"/>
          <w:sz w:val="24"/>
          <w:szCs w:val="24"/>
          <w:lang w:eastAsia="en-AU"/>
        </w:rPr>
        <w:t xml:space="preserve">the purposes of paragraph (c) in the definition of </w:t>
      </w:r>
      <w:r w:rsidR="00117C52">
        <w:rPr>
          <w:rFonts w:ascii="Times New Roman" w:hAnsi="Times New Roman"/>
          <w:sz w:val="24"/>
          <w:szCs w:val="24"/>
          <w:lang w:eastAsia="en-AU"/>
        </w:rPr>
        <w:t>“</w:t>
      </w:r>
      <w:r w:rsidR="00FE763A">
        <w:rPr>
          <w:rFonts w:ascii="Times New Roman" w:hAnsi="Times New Roman"/>
          <w:sz w:val="24"/>
          <w:szCs w:val="24"/>
          <w:lang w:eastAsia="en-AU"/>
        </w:rPr>
        <w:t>eligible former permanent humanitarian visa holder</w:t>
      </w:r>
      <w:r w:rsidR="00117C52">
        <w:rPr>
          <w:rFonts w:ascii="Times New Roman" w:hAnsi="Times New Roman"/>
          <w:sz w:val="24"/>
          <w:szCs w:val="24"/>
          <w:lang w:eastAsia="en-AU"/>
        </w:rPr>
        <w:t>”</w:t>
      </w:r>
      <w:r w:rsidR="00FE763A">
        <w:rPr>
          <w:rFonts w:ascii="Times New Roman" w:hAnsi="Times New Roman"/>
          <w:sz w:val="24"/>
          <w:szCs w:val="24"/>
          <w:lang w:eastAsia="en-AU"/>
        </w:rPr>
        <w:t xml:space="preserve"> in subclause </w:t>
      </w:r>
      <w:r w:rsidR="00FA7DB6">
        <w:rPr>
          <w:rFonts w:ascii="Times New Roman" w:hAnsi="Times New Roman"/>
          <w:sz w:val="24"/>
          <w:szCs w:val="24"/>
          <w:lang w:eastAsia="en-AU"/>
        </w:rPr>
        <w:t>1</w:t>
      </w:r>
      <w:r w:rsidR="00FE763A">
        <w:rPr>
          <w:rFonts w:ascii="Times New Roman" w:hAnsi="Times New Roman"/>
          <w:sz w:val="24"/>
          <w:szCs w:val="24"/>
          <w:lang w:eastAsia="en-AU"/>
        </w:rPr>
        <w:t>(1) of Schedule 1 to the Act.</w:t>
      </w:r>
    </w:p>
    <w:p w14:paraId="32C14ED1" w14:textId="10AEDF79" w:rsidR="00117C52" w:rsidRDefault="00CC07D2" w:rsidP="004C634A">
      <w:pPr>
        <w:spacing w:before="240"/>
        <w:rPr>
          <w:rFonts w:ascii="Times New Roman" w:hAnsi="Times New Roman"/>
          <w:color w:val="000000"/>
          <w:sz w:val="24"/>
          <w:szCs w:val="24"/>
        </w:rPr>
      </w:pPr>
      <w:r>
        <w:rPr>
          <w:rFonts w:ascii="Times New Roman" w:hAnsi="Times New Roman"/>
          <w:color w:val="000000"/>
          <w:sz w:val="24"/>
          <w:szCs w:val="24"/>
        </w:rPr>
        <w:t xml:space="preserve">This enables holders of the specified classes or subclasses of visas to meet the definition of </w:t>
      </w:r>
      <w:r w:rsidR="00CA08F2">
        <w:rPr>
          <w:rFonts w:ascii="Times New Roman" w:hAnsi="Times New Roman"/>
          <w:color w:val="000000"/>
          <w:sz w:val="24"/>
          <w:szCs w:val="24"/>
        </w:rPr>
        <w:t>“</w:t>
      </w:r>
      <w:r>
        <w:rPr>
          <w:rFonts w:ascii="Times New Roman" w:hAnsi="Times New Roman"/>
          <w:color w:val="000000"/>
          <w:sz w:val="24"/>
          <w:szCs w:val="24"/>
        </w:rPr>
        <w:t>eligible former permanent humanitarian visa holder</w:t>
      </w:r>
      <w:r w:rsidR="00CA08F2">
        <w:rPr>
          <w:rFonts w:ascii="Times New Roman" w:hAnsi="Times New Roman"/>
          <w:color w:val="000000"/>
          <w:sz w:val="24"/>
          <w:szCs w:val="24"/>
        </w:rPr>
        <w:t>”</w:t>
      </w:r>
      <w:r>
        <w:rPr>
          <w:rFonts w:ascii="Times New Roman" w:hAnsi="Times New Roman"/>
          <w:color w:val="000000"/>
          <w:sz w:val="24"/>
          <w:szCs w:val="24"/>
        </w:rPr>
        <w:t xml:space="preserve"> in subclause 1(1) of Schedule 1 </w:t>
      </w:r>
      <w:r w:rsidR="00066AB1">
        <w:rPr>
          <w:rFonts w:ascii="Times New Roman" w:hAnsi="Times New Roman"/>
          <w:color w:val="000000"/>
          <w:sz w:val="24"/>
          <w:szCs w:val="24"/>
        </w:rPr>
        <w:t xml:space="preserve">to </w:t>
      </w:r>
      <w:r>
        <w:rPr>
          <w:rFonts w:ascii="Times New Roman" w:hAnsi="Times New Roman"/>
          <w:color w:val="000000"/>
          <w:sz w:val="24"/>
          <w:szCs w:val="24"/>
        </w:rPr>
        <w:t>the Act (as long as they also satisfy paragraphs (a) and (b) in that definition)</w:t>
      </w:r>
      <w:r w:rsidR="0091462D">
        <w:rPr>
          <w:rFonts w:ascii="Times New Roman" w:hAnsi="Times New Roman"/>
          <w:color w:val="000000"/>
          <w:sz w:val="24"/>
          <w:szCs w:val="24"/>
        </w:rPr>
        <w:t xml:space="preserve">. In turn, </w:t>
      </w:r>
      <w:r w:rsidR="00B87705">
        <w:rPr>
          <w:rFonts w:ascii="Times New Roman" w:hAnsi="Times New Roman"/>
          <w:color w:val="000000"/>
          <w:sz w:val="24"/>
          <w:szCs w:val="24"/>
        </w:rPr>
        <w:t xml:space="preserve">the holders </w:t>
      </w:r>
      <w:r w:rsidR="0045591C">
        <w:rPr>
          <w:rFonts w:ascii="Times New Roman" w:hAnsi="Times New Roman"/>
          <w:color w:val="000000"/>
          <w:sz w:val="24"/>
          <w:szCs w:val="24"/>
        </w:rPr>
        <w:t xml:space="preserve">of the specified classes or subclasses of visas will be able to meet the </w:t>
      </w:r>
      <w:r w:rsidR="00A445ED">
        <w:rPr>
          <w:rFonts w:ascii="Times New Roman" w:hAnsi="Times New Roman"/>
          <w:color w:val="000000"/>
          <w:sz w:val="24"/>
          <w:szCs w:val="24"/>
        </w:rPr>
        <w:t xml:space="preserve">citizenship or residency requirements for </w:t>
      </w:r>
      <w:r w:rsidR="002D79F8">
        <w:rPr>
          <w:rFonts w:ascii="Times New Roman" w:hAnsi="Times New Roman"/>
          <w:color w:val="000000"/>
          <w:sz w:val="24"/>
          <w:szCs w:val="24"/>
        </w:rPr>
        <w:t xml:space="preserve">eligibility to HELP assistance in the Act (as contained in </w:t>
      </w:r>
      <w:r w:rsidR="006F3129">
        <w:rPr>
          <w:rFonts w:ascii="Times New Roman" w:hAnsi="Times New Roman"/>
          <w:color w:val="000000"/>
          <w:sz w:val="24"/>
          <w:szCs w:val="24"/>
        </w:rPr>
        <w:t>sections 90-5, 104-5, 118-</w:t>
      </w:r>
      <w:r w:rsidR="00DC3BC8">
        <w:rPr>
          <w:rFonts w:ascii="Times New Roman" w:hAnsi="Times New Roman"/>
          <w:color w:val="000000"/>
          <w:sz w:val="24"/>
          <w:szCs w:val="24"/>
        </w:rPr>
        <w:t xml:space="preserve">5 and 126-5 of </w:t>
      </w:r>
      <w:r w:rsidR="002432ED">
        <w:rPr>
          <w:rFonts w:ascii="Times New Roman" w:hAnsi="Times New Roman"/>
          <w:color w:val="000000"/>
          <w:sz w:val="24"/>
          <w:szCs w:val="24"/>
        </w:rPr>
        <w:t>the Act</w:t>
      </w:r>
      <w:r w:rsidR="00DC3BC8">
        <w:rPr>
          <w:rFonts w:ascii="Times New Roman" w:hAnsi="Times New Roman"/>
          <w:color w:val="000000"/>
          <w:sz w:val="24"/>
          <w:szCs w:val="24"/>
        </w:rPr>
        <w:t xml:space="preserve">). </w:t>
      </w:r>
    </w:p>
    <w:p w14:paraId="0390DECF" w14:textId="1A357A4D" w:rsidR="00117C52" w:rsidRPr="00C66628" w:rsidRDefault="00117C52" w:rsidP="004C634A">
      <w:pPr>
        <w:spacing w:before="240"/>
        <w:rPr>
          <w:rFonts w:ascii="Times New Roman" w:hAnsi="Times New Roman"/>
          <w:color w:val="000000"/>
          <w:sz w:val="24"/>
          <w:szCs w:val="24"/>
        </w:rPr>
      </w:pPr>
      <w:r w:rsidRPr="00C66628">
        <w:rPr>
          <w:rFonts w:ascii="Times New Roman" w:hAnsi="Times New Roman"/>
          <w:color w:val="000000"/>
          <w:sz w:val="24"/>
          <w:szCs w:val="24"/>
        </w:rPr>
        <w:lastRenderedPageBreak/>
        <w:t>The following visa classes and subclasses are specified:</w:t>
      </w:r>
    </w:p>
    <w:p w14:paraId="10A196B8" w14:textId="77777777" w:rsidR="00117C52" w:rsidRPr="00C66628" w:rsidRDefault="00117C52" w:rsidP="00117C52">
      <w:pPr>
        <w:rPr>
          <w:rFonts w:ascii="Times New Roman" w:hAnsi="Times New Roman"/>
          <w:color w:val="000000"/>
          <w:sz w:val="24"/>
          <w:szCs w:val="24"/>
        </w:rPr>
      </w:pPr>
    </w:p>
    <w:p w14:paraId="096FEC26" w14:textId="334ED6A6" w:rsidR="00117C52" w:rsidRPr="00C66628" w:rsidRDefault="00117C52" w:rsidP="00117C52">
      <w:pPr>
        <w:pStyle w:val="paragraph"/>
        <w:keepNext/>
        <w:numPr>
          <w:ilvl w:val="0"/>
          <w:numId w:val="48"/>
        </w:numPr>
        <w:rPr>
          <w:sz w:val="24"/>
          <w:szCs w:val="24"/>
        </w:rPr>
      </w:pPr>
      <w:r w:rsidRPr="00C66628">
        <w:rPr>
          <w:sz w:val="24"/>
          <w:szCs w:val="24"/>
        </w:rPr>
        <w:t xml:space="preserve">subclass 155—Five Year Resident Return, of Return (Residence) (Class BB), as referred to in item 1128 of Schedule 1 and clauses 155.1 to 155.6 of Schedule 2 to the </w:t>
      </w:r>
      <w:r w:rsidRPr="00C66628">
        <w:rPr>
          <w:i/>
          <w:iCs/>
          <w:sz w:val="24"/>
          <w:szCs w:val="24"/>
        </w:rPr>
        <w:t>Migration Regulations 1994</w:t>
      </w:r>
      <w:r w:rsidRPr="00C66628">
        <w:rPr>
          <w:sz w:val="24"/>
          <w:szCs w:val="24"/>
        </w:rPr>
        <w:t>; and</w:t>
      </w:r>
    </w:p>
    <w:p w14:paraId="5DC34975" w14:textId="77777777" w:rsidR="00117C52" w:rsidRPr="00C66628" w:rsidRDefault="00117C52" w:rsidP="00117C52">
      <w:pPr>
        <w:pStyle w:val="paragraph"/>
        <w:keepNext/>
        <w:ind w:left="1650" w:firstLine="0"/>
        <w:rPr>
          <w:sz w:val="24"/>
          <w:szCs w:val="24"/>
        </w:rPr>
      </w:pPr>
    </w:p>
    <w:p w14:paraId="25C33237" w14:textId="34E89BE9" w:rsidR="00117C52" w:rsidRPr="00C66628" w:rsidRDefault="00117C52" w:rsidP="00117C52">
      <w:pPr>
        <w:pStyle w:val="paragraph"/>
        <w:keepNext/>
        <w:rPr>
          <w:sz w:val="24"/>
          <w:szCs w:val="24"/>
        </w:rPr>
      </w:pPr>
      <w:r w:rsidRPr="00C66628">
        <w:rPr>
          <w:sz w:val="24"/>
          <w:szCs w:val="24"/>
        </w:rPr>
        <w:tab/>
        <w:t>(b)</w:t>
      </w:r>
      <w:r w:rsidRPr="00C66628">
        <w:rPr>
          <w:sz w:val="24"/>
          <w:szCs w:val="24"/>
        </w:rPr>
        <w:tab/>
        <w:t xml:space="preserve">subclass 157—Three Month Resident Return, of Return (Residence) (Class BB), as referred to in item 1128 of Schedule 1 and clauses 157.1 to 157.6 of Schedule 2 to the </w:t>
      </w:r>
      <w:r w:rsidRPr="00C66628">
        <w:rPr>
          <w:i/>
          <w:iCs/>
          <w:sz w:val="24"/>
          <w:szCs w:val="24"/>
        </w:rPr>
        <w:t>Migration Regulations 1994</w:t>
      </w:r>
      <w:r w:rsidRPr="00C66628">
        <w:rPr>
          <w:sz w:val="24"/>
          <w:szCs w:val="24"/>
        </w:rPr>
        <w:t>.</w:t>
      </w:r>
    </w:p>
    <w:p w14:paraId="320EE5A2" w14:textId="725DF157" w:rsidR="003735A9" w:rsidRPr="00046334" w:rsidRDefault="00CC07D2" w:rsidP="00037560">
      <w:r>
        <w:rPr>
          <w:rFonts w:ascii="Times New Roman" w:hAnsi="Times New Roman"/>
          <w:color w:val="000000"/>
          <w:sz w:val="24"/>
          <w:szCs w:val="24"/>
        </w:rPr>
        <w:t xml:space="preserve"> </w:t>
      </w:r>
    </w:p>
    <w:sectPr w:rsidR="003735A9" w:rsidRPr="00046334" w:rsidSect="00B4410E">
      <w:footerReference w:type="even" r:id="rId11"/>
      <w:footerReference w:type="default" r:id="rId12"/>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27A24" w14:textId="77777777" w:rsidR="00607E30" w:rsidRDefault="00607E30">
      <w:r>
        <w:separator/>
      </w:r>
    </w:p>
  </w:endnote>
  <w:endnote w:type="continuationSeparator" w:id="0">
    <w:p w14:paraId="5BF0169A" w14:textId="77777777" w:rsidR="00607E30" w:rsidRDefault="0060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CCEC" w14:textId="77777777" w:rsidR="006E0594" w:rsidRDefault="006E0594" w:rsidP="00E12A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2B5885" w14:textId="77777777" w:rsidR="006E0594" w:rsidRDefault="006E0594" w:rsidP="00E12A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0FF14" w14:textId="30E8BA5D" w:rsidR="006E0594" w:rsidRPr="00E12AEC" w:rsidRDefault="006E0594" w:rsidP="00E12AEC">
    <w:pPr>
      <w:pStyle w:val="Footer"/>
      <w:framePr w:wrap="around" w:vAnchor="text" w:hAnchor="margin" w:xAlign="right" w:y="1"/>
      <w:rPr>
        <w:rStyle w:val="PageNumber"/>
        <w:rFonts w:ascii="Times New Roman" w:hAnsi="Times New Roman"/>
      </w:rPr>
    </w:pPr>
    <w:r w:rsidRPr="00E12AEC">
      <w:rPr>
        <w:rStyle w:val="PageNumber"/>
        <w:rFonts w:ascii="Times New Roman" w:hAnsi="Times New Roman"/>
      </w:rPr>
      <w:fldChar w:fldCharType="begin"/>
    </w:r>
    <w:r w:rsidRPr="00E12AEC">
      <w:rPr>
        <w:rStyle w:val="PageNumber"/>
        <w:rFonts w:ascii="Times New Roman" w:hAnsi="Times New Roman"/>
      </w:rPr>
      <w:instrText xml:space="preserve">PAGE  </w:instrText>
    </w:r>
    <w:r w:rsidRPr="00E12AEC">
      <w:rPr>
        <w:rStyle w:val="PageNumber"/>
        <w:rFonts w:ascii="Times New Roman" w:hAnsi="Times New Roman"/>
      </w:rPr>
      <w:fldChar w:fldCharType="separate"/>
    </w:r>
    <w:r w:rsidR="00822428">
      <w:rPr>
        <w:rStyle w:val="PageNumber"/>
        <w:rFonts w:ascii="Times New Roman" w:hAnsi="Times New Roman"/>
        <w:noProof/>
      </w:rPr>
      <w:t>1</w:t>
    </w:r>
    <w:r w:rsidRPr="00E12AEC">
      <w:rPr>
        <w:rStyle w:val="PageNumber"/>
        <w:rFonts w:ascii="Times New Roman" w:hAnsi="Times New Roman"/>
      </w:rPr>
      <w:fldChar w:fldCharType="end"/>
    </w:r>
  </w:p>
  <w:p w14:paraId="522662DA" w14:textId="77777777" w:rsidR="006E0594" w:rsidRDefault="006E0594" w:rsidP="00E12A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4AEFB" w14:textId="77777777" w:rsidR="00607E30" w:rsidRDefault="00607E30">
      <w:r>
        <w:separator/>
      </w:r>
    </w:p>
  </w:footnote>
  <w:footnote w:type="continuationSeparator" w:id="0">
    <w:p w14:paraId="21C373E2" w14:textId="77777777" w:rsidR="00607E30" w:rsidRDefault="0060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01E7"/>
    <w:multiLevelType w:val="hybridMultilevel"/>
    <w:tmpl w:val="4EAA671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51935CC"/>
    <w:multiLevelType w:val="multilevel"/>
    <w:tmpl w:val="298AF228"/>
    <w:lvl w:ilvl="0">
      <w:start w:val="1"/>
      <w:numFmt w:val="decimal"/>
      <w:lvlText w:val="%1"/>
      <w:lvlJc w:val="left"/>
      <w:pPr>
        <w:tabs>
          <w:tab w:val="num" w:pos="1140"/>
        </w:tabs>
        <w:ind w:left="1140" w:hanging="1140"/>
      </w:pPr>
      <w:rPr>
        <w:rFonts w:hint="default"/>
      </w:rPr>
    </w:lvl>
    <w:lvl w:ilvl="1">
      <w:start w:val="85"/>
      <w:numFmt w:val="decimal"/>
      <w:lvlText w:val="%1.%2"/>
      <w:lvlJc w:val="left"/>
      <w:pPr>
        <w:tabs>
          <w:tab w:val="num" w:pos="1140"/>
        </w:tabs>
        <w:ind w:left="1140" w:hanging="1140"/>
      </w:pPr>
      <w:rPr>
        <w:rFonts w:hint="default"/>
      </w:rPr>
    </w:lvl>
    <w:lvl w:ilvl="2">
      <w:start w:val="2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DC6E5A"/>
    <w:multiLevelType w:val="multilevel"/>
    <w:tmpl w:val="6F825BDA"/>
    <w:lvl w:ilvl="0">
      <w:start w:val="1"/>
      <w:numFmt w:val="decimal"/>
      <w:lvlText w:val="%1"/>
      <w:lvlJc w:val="left"/>
      <w:pPr>
        <w:tabs>
          <w:tab w:val="num" w:pos="600"/>
        </w:tabs>
        <w:ind w:left="600" w:hanging="600"/>
      </w:pPr>
      <w:rPr>
        <w:rFonts w:hint="default"/>
      </w:rPr>
    </w:lvl>
    <w:lvl w:ilvl="1">
      <w:start w:val="7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A57D3"/>
    <w:multiLevelType w:val="multilevel"/>
    <w:tmpl w:val="24564948"/>
    <w:lvl w:ilvl="0">
      <w:start w:val="1"/>
      <w:numFmt w:val="decimal"/>
      <w:lvlText w:val="%1"/>
      <w:lvlJc w:val="left"/>
      <w:pPr>
        <w:tabs>
          <w:tab w:val="num" w:pos="900"/>
        </w:tabs>
        <w:ind w:left="900" w:hanging="900"/>
      </w:pPr>
      <w:rPr>
        <w:rFonts w:hint="default"/>
      </w:rPr>
    </w:lvl>
    <w:lvl w:ilvl="1">
      <w:start w:val="6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1A0DEE"/>
    <w:multiLevelType w:val="multilevel"/>
    <w:tmpl w:val="2C7AC788"/>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8C266D"/>
    <w:multiLevelType w:val="multilevel"/>
    <w:tmpl w:val="C3B48742"/>
    <w:lvl w:ilvl="0">
      <w:start w:val="6"/>
      <w:numFmt w:val="decimal"/>
      <w:lvlText w:val="%1"/>
      <w:lvlJc w:val="left"/>
      <w:pPr>
        <w:tabs>
          <w:tab w:val="num" w:pos="1140"/>
        </w:tabs>
        <w:ind w:left="1140" w:hanging="1140"/>
      </w:pPr>
      <w:rPr>
        <w:rFonts w:hint="default"/>
      </w:rPr>
    </w:lvl>
    <w:lvl w:ilvl="1">
      <w:start w:val="2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77615F"/>
    <w:multiLevelType w:val="multilevel"/>
    <w:tmpl w:val="AE00C42A"/>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BD3845"/>
    <w:multiLevelType w:val="multilevel"/>
    <w:tmpl w:val="C71C131E"/>
    <w:lvl w:ilvl="0">
      <w:start w:val="1"/>
      <w:numFmt w:val="decimal"/>
      <w:lvlText w:val="%1"/>
      <w:lvlJc w:val="left"/>
      <w:pPr>
        <w:tabs>
          <w:tab w:val="num" w:pos="1140"/>
        </w:tabs>
        <w:ind w:left="1140" w:hanging="1140"/>
      </w:pPr>
      <w:rPr>
        <w:rFonts w:hint="default"/>
      </w:rPr>
    </w:lvl>
    <w:lvl w:ilvl="1">
      <w:start w:val="7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E828C8"/>
    <w:multiLevelType w:val="hybridMultilevel"/>
    <w:tmpl w:val="775804B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835253F"/>
    <w:multiLevelType w:val="multilevel"/>
    <w:tmpl w:val="23F4AF92"/>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E71EC1"/>
    <w:multiLevelType w:val="hybridMultilevel"/>
    <w:tmpl w:val="0BB46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81BDC"/>
    <w:multiLevelType w:val="multilevel"/>
    <w:tmpl w:val="E4FADDC8"/>
    <w:lvl w:ilvl="0">
      <w:start w:val="6"/>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7371AA"/>
    <w:multiLevelType w:val="hybridMultilevel"/>
    <w:tmpl w:val="36F48BB6"/>
    <w:lvl w:ilvl="0" w:tplc="58460BCC">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011098"/>
    <w:multiLevelType w:val="hybridMultilevel"/>
    <w:tmpl w:val="9724B58C"/>
    <w:lvl w:ilvl="0" w:tplc="0C090001">
      <w:start w:val="1"/>
      <w:numFmt w:val="bullet"/>
      <w:lvlText w:val=""/>
      <w:lvlJc w:val="left"/>
      <w:pPr>
        <w:tabs>
          <w:tab w:val="num" w:pos="1260"/>
        </w:tabs>
        <w:ind w:left="1260" w:hanging="360"/>
      </w:pPr>
      <w:rPr>
        <w:rFonts w:ascii="Symbol" w:hAnsi="Symbol" w:hint="default"/>
      </w:rPr>
    </w:lvl>
    <w:lvl w:ilvl="1" w:tplc="0C090003">
      <w:start w:val="1"/>
      <w:numFmt w:val="decimal"/>
      <w:lvlText w:val="%2."/>
      <w:lvlJc w:val="left"/>
      <w:pPr>
        <w:tabs>
          <w:tab w:val="num" w:pos="1980"/>
        </w:tabs>
        <w:ind w:left="1980" w:hanging="360"/>
      </w:pPr>
    </w:lvl>
    <w:lvl w:ilvl="2" w:tplc="0C090005">
      <w:start w:val="1"/>
      <w:numFmt w:val="decimal"/>
      <w:lvlText w:val="%3."/>
      <w:lvlJc w:val="left"/>
      <w:pPr>
        <w:tabs>
          <w:tab w:val="num" w:pos="2700"/>
        </w:tabs>
        <w:ind w:left="2700" w:hanging="360"/>
      </w:pPr>
    </w:lvl>
    <w:lvl w:ilvl="3" w:tplc="0C090001">
      <w:start w:val="1"/>
      <w:numFmt w:val="decimal"/>
      <w:lvlText w:val="%4."/>
      <w:lvlJc w:val="left"/>
      <w:pPr>
        <w:tabs>
          <w:tab w:val="num" w:pos="3420"/>
        </w:tabs>
        <w:ind w:left="3420" w:hanging="360"/>
      </w:pPr>
    </w:lvl>
    <w:lvl w:ilvl="4" w:tplc="0C090003">
      <w:start w:val="1"/>
      <w:numFmt w:val="decimal"/>
      <w:lvlText w:val="%5."/>
      <w:lvlJc w:val="left"/>
      <w:pPr>
        <w:tabs>
          <w:tab w:val="num" w:pos="4140"/>
        </w:tabs>
        <w:ind w:left="4140" w:hanging="360"/>
      </w:pPr>
    </w:lvl>
    <w:lvl w:ilvl="5" w:tplc="0C090005">
      <w:start w:val="1"/>
      <w:numFmt w:val="decimal"/>
      <w:lvlText w:val="%6."/>
      <w:lvlJc w:val="left"/>
      <w:pPr>
        <w:tabs>
          <w:tab w:val="num" w:pos="4860"/>
        </w:tabs>
        <w:ind w:left="4860" w:hanging="360"/>
      </w:pPr>
    </w:lvl>
    <w:lvl w:ilvl="6" w:tplc="0C090001">
      <w:start w:val="1"/>
      <w:numFmt w:val="decimal"/>
      <w:lvlText w:val="%7."/>
      <w:lvlJc w:val="left"/>
      <w:pPr>
        <w:tabs>
          <w:tab w:val="num" w:pos="5580"/>
        </w:tabs>
        <w:ind w:left="5580" w:hanging="360"/>
      </w:pPr>
    </w:lvl>
    <w:lvl w:ilvl="7" w:tplc="0C090003">
      <w:start w:val="1"/>
      <w:numFmt w:val="decimal"/>
      <w:lvlText w:val="%8."/>
      <w:lvlJc w:val="left"/>
      <w:pPr>
        <w:tabs>
          <w:tab w:val="num" w:pos="6300"/>
        </w:tabs>
        <w:ind w:left="6300" w:hanging="360"/>
      </w:pPr>
    </w:lvl>
    <w:lvl w:ilvl="8" w:tplc="0C090005">
      <w:start w:val="1"/>
      <w:numFmt w:val="decimal"/>
      <w:lvlText w:val="%9."/>
      <w:lvlJc w:val="left"/>
      <w:pPr>
        <w:tabs>
          <w:tab w:val="num" w:pos="7020"/>
        </w:tabs>
        <w:ind w:left="7020" w:hanging="360"/>
      </w:pPr>
    </w:lvl>
  </w:abstractNum>
  <w:abstractNum w:abstractNumId="15" w15:restartNumberingAfterBreak="0">
    <w:nsid w:val="34BC431A"/>
    <w:multiLevelType w:val="hybridMultilevel"/>
    <w:tmpl w:val="08D66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8D4E75"/>
    <w:multiLevelType w:val="multilevel"/>
    <w:tmpl w:val="38B60EE6"/>
    <w:lvl w:ilvl="0">
      <w:start w:val="1"/>
      <w:numFmt w:val="decimal"/>
      <w:lvlText w:val="%1"/>
      <w:lvlJc w:val="left"/>
      <w:pPr>
        <w:tabs>
          <w:tab w:val="num" w:pos="1140"/>
        </w:tabs>
        <w:ind w:left="1140" w:hanging="1140"/>
      </w:pPr>
      <w:rPr>
        <w:rFonts w:hint="default"/>
      </w:rPr>
    </w:lvl>
    <w:lvl w:ilvl="1">
      <w:start w:val="95"/>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A453FB"/>
    <w:multiLevelType w:val="hybridMultilevel"/>
    <w:tmpl w:val="283ABB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DC2BA6"/>
    <w:multiLevelType w:val="hybridMultilevel"/>
    <w:tmpl w:val="B5AE4B24"/>
    <w:lvl w:ilvl="0" w:tplc="DCD0AC20">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9" w15:restartNumberingAfterBreak="0">
    <w:nsid w:val="3E260AB6"/>
    <w:multiLevelType w:val="hybridMultilevel"/>
    <w:tmpl w:val="1EC6D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11C0D7B"/>
    <w:multiLevelType w:val="multilevel"/>
    <w:tmpl w:val="ACEA244A"/>
    <w:lvl w:ilvl="0">
      <w:start w:val="7"/>
      <w:numFmt w:val="decimal"/>
      <w:lvlText w:val="%1"/>
      <w:lvlJc w:val="left"/>
      <w:pPr>
        <w:tabs>
          <w:tab w:val="num" w:pos="1260"/>
        </w:tabs>
        <w:ind w:left="1260" w:hanging="1260"/>
      </w:pPr>
      <w:rPr>
        <w:rFonts w:hint="default"/>
      </w:rPr>
    </w:lvl>
    <w:lvl w:ilvl="1">
      <w:start w:val="30"/>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B45C3C"/>
    <w:multiLevelType w:val="hybridMultilevel"/>
    <w:tmpl w:val="6938F40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45C66E8D"/>
    <w:multiLevelType w:val="hybridMultilevel"/>
    <w:tmpl w:val="EBCA58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686160"/>
    <w:multiLevelType w:val="hybridMultilevel"/>
    <w:tmpl w:val="FC88732A"/>
    <w:lvl w:ilvl="0" w:tplc="3782FC1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50A761EF"/>
    <w:multiLevelType w:val="multilevel"/>
    <w:tmpl w:val="8D103076"/>
    <w:lvl w:ilvl="0">
      <w:start w:val="1"/>
      <w:numFmt w:val="decimal"/>
      <w:lvlText w:val="%1"/>
      <w:lvlJc w:val="left"/>
      <w:pPr>
        <w:tabs>
          <w:tab w:val="num" w:pos="435"/>
        </w:tabs>
        <w:ind w:left="435" w:hanging="435"/>
      </w:pPr>
      <w:rPr>
        <w:rFonts w:hint="default"/>
      </w:rPr>
    </w:lvl>
    <w:lvl w:ilvl="1">
      <w:start w:val="8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211FCE"/>
    <w:multiLevelType w:val="multilevel"/>
    <w:tmpl w:val="B5FACA38"/>
    <w:lvl w:ilvl="0">
      <w:start w:val="1"/>
      <w:numFmt w:val="decimal"/>
      <w:lvlText w:val="%1"/>
      <w:lvlJc w:val="left"/>
      <w:pPr>
        <w:tabs>
          <w:tab w:val="num" w:pos="1140"/>
        </w:tabs>
        <w:ind w:left="1140" w:hanging="1140"/>
      </w:pPr>
      <w:rPr>
        <w:rFonts w:hint="default"/>
      </w:rPr>
    </w:lvl>
    <w:lvl w:ilvl="1">
      <w:start w:val="9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BA7BFA"/>
    <w:multiLevelType w:val="multilevel"/>
    <w:tmpl w:val="F0C8C412"/>
    <w:lvl w:ilvl="0">
      <w:start w:val="1"/>
      <w:numFmt w:val="decimal"/>
      <w:lvlText w:val="%1"/>
      <w:lvlJc w:val="left"/>
      <w:pPr>
        <w:tabs>
          <w:tab w:val="num" w:pos="900"/>
        </w:tabs>
        <w:ind w:left="900" w:hanging="900"/>
      </w:pPr>
      <w:rPr>
        <w:rFonts w:hint="default"/>
      </w:rPr>
    </w:lvl>
    <w:lvl w:ilvl="1">
      <w:start w:val="50"/>
      <w:numFmt w:val="decimal"/>
      <w:lvlText w:val="%1.%2"/>
      <w:lvlJc w:val="left"/>
      <w:pPr>
        <w:tabs>
          <w:tab w:val="num" w:pos="900"/>
        </w:tabs>
        <w:ind w:left="900" w:hanging="900"/>
      </w:pPr>
      <w:rPr>
        <w:rFonts w:hint="default"/>
      </w:rPr>
    </w:lvl>
    <w:lvl w:ilvl="2">
      <w:start w:val="15"/>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D050E9"/>
    <w:multiLevelType w:val="multilevel"/>
    <w:tmpl w:val="9DB4A740"/>
    <w:lvl w:ilvl="0">
      <w:start w:val="1"/>
      <w:numFmt w:val="decimal"/>
      <w:lvlText w:val="%1"/>
      <w:lvlJc w:val="left"/>
      <w:pPr>
        <w:tabs>
          <w:tab w:val="num" w:pos="1140"/>
        </w:tabs>
        <w:ind w:left="1140" w:hanging="1140"/>
      </w:pPr>
      <w:rPr>
        <w:rFonts w:hint="default"/>
      </w:rPr>
    </w:lvl>
    <w:lvl w:ilvl="1">
      <w:start w:val="7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5A0FA8"/>
    <w:multiLevelType w:val="hybridMultilevel"/>
    <w:tmpl w:val="98C09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8DD5EED"/>
    <w:multiLevelType w:val="multilevel"/>
    <w:tmpl w:val="FE80202A"/>
    <w:lvl w:ilvl="0">
      <w:start w:val="1"/>
      <w:numFmt w:val="decimal"/>
      <w:lvlText w:val="%1"/>
      <w:lvlJc w:val="left"/>
      <w:pPr>
        <w:ind w:left="672" w:hanging="672"/>
      </w:pPr>
      <w:rPr>
        <w:rFonts w:hint="default"/>
      </w:rPr>
    </w:lvl>
    <w:lvl w:ilvl="1">
      <w:start w:val="25"/>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2B5603"/>
    <w:multiLevelType w:val="hybridMultilevel"/>
    <w:tmpl w:val="022C93AE"/>
    <w:lvl w:ilvl="0" w:tplc="0C090001">
      <w:start w:val="1"/>
      <w:numFmt w:val="bullet"/>
      <w:lvlText w:val=""/>
      <w:lvlJc w:val="left"/>
      <w:pPr>
        <w:ind w:left="2081" w:hanging="360"/>
      </w:pPr>
      <w:rPr>
        <w:rFonts w:ascii="Symbol" w:hAnsi="Symbol" w:hint="default"/>
      </w:rPr>
    </w:lvl>
    <w:lvl w:ilvl="1" w:tplc="0C090003" w:tentative="1">
      <w:start w:val="1"/>
      <w:numFmt w:val="bullet"/>
      <w:lvlText w:val="o"/>
      <w:lvlJc w:val="left"/>
      <w:pPr>
        <w:ind w:left="2801" w:hanging="360"/>
      </w:pPr>
      <w:rPr>
        <w:rFonts w:ascii="Courier New" w:hAnsi="Courier New" w:cs="Courier New" w:hint="default"/>
      </w:rPr>
    </w:lvl>
    <w:lvl w:ilvl="2" w:tplc="0C090005" w:tentative="1">
      <w:start w:val="1"/>
      <w:numFmt w:val="bullet"/>
      <w:lvlText w:val=""/>
      <w:lvlJc w:val="left"/>
      <w:pPr>
        <w:ind w:left="3521" w:hanging="360"/>
      </w:pPr>
      <w:rPr>
        <w:rFonts w:ascii="Wingdings" w:hAnsi="Wingdings" w:hint="default"/>
      </w:rPr>
    </w:lvl>
    <w:lvl w:ilvl="3" w:tplc="0C090001" w:tentative="1">
      <w:start w:val="1"/>
      <w:numFmt w:val="bullet"/>
      <w:lvlText w:val=""/>
      <w:lvlJc w:val="left"/>
      <w:pPr>
        <w:ind w:left="4241" w:hanging="360"/>
      </w:pPr>
      <w:rPr>
        <w:rFonts w:ascii="Symbol" w:hAnsi="Symbol" w:hint="default"/>
      </w:rPr>
    </w:lvl>
    <w:lvl w:ilvl="4" w:tplc="0C090003" w:tentative="1">
      <w:start w:val="1"/>
      <w:numFmt w:val="bullet"/>
      <w:lvlText w:val="o"/>
      <w:lvlJc w:val="left"/>
      <w:pPr>
        <w:ind w:left="4961" w:hanging="360"/>
      </w:pPr>
      <w:rPr>
        <w:rFonts w:ascii="Courier New" w:hAnsi="Courier New" w:cs="Courier New" w:hint="default"/>
      </w:rPr>
    </w:lvl>
    <w:lvl w:ilvl="5" w:tplc="0C090005" w:tentative="1">
      <w:start w:val="1"/>
      <w:numFmt w:val="bullet"/>
      <w:lvlText w:val=""/>
      <w:lvlJc w:val="left"/>
      <w:pPr>
        <w:ind w:left="5681" w:hanging="360"/>
      </w:pPr>
      <w:rPr>
        <w:rFonts w:ascii="Wingdings" w:hAnsi="Wingdings" w:hint="default"/>
      </w:rPr>
    </w:lvl>
    <w:lvl w:ilvl="6" w:tplc="0C090001" w:tentative="1">
      <w:start w:val="1"/>
      <w:numFmt w:val="bullet"/>
      <w:lvlText w:val=""/>
      <w:lvlJc w:val="left"/>
      <w:pPr>
        <w:ind w:left="6401" w:hanging="360"/>
      </w:pPr>
      <w:rPr>
        <w:rFonts w:ascii="Symbol" w:hAnsi="Symbol" w:hint="default"/>
      </w:rPr>
    </w:lvl>
    <w:lvl w:ilvl="7" w:tplc="0C090003" w:tentative="1">
      <w:start w:val="1"/>
      <w:numFmt w:val="bullet"/>
      <w:lvlText w:val="o"/>
      <w:lvlJc w:val="left"/>
      <w:pPr>
        <w:ind w:left="7121" w:hanging="360"/>
      </w:pPr>
      <w:rPr>
        <w:rFonts w:ascii="Courier New" w:hAnsi="Courier New" w:cs="Courier New" w:hint="default"/>
      </w:rPr>
    </w:lvl>
    <w:lvl w:ilvl="8" w:tplc="0C090005" w:tentative="1">
      <w:start w:val="1"/>
      <w:numFmt w:val="bullet"/>
      <w:lvlText w:val=""/>
      <w:lvlJc w:val="left"/>
      <w:pPr>
        <w:ind w:left="7841" w:hanging="360"/>
      </w:pPr>
      <w:rPr>
        <w:rFonts w:ascii="Wingdings" w:hAnsi="Wingdings" w:hint="default"/>
      </w:rPr>
    </w:lvl>
  </w:abstractNum>
  <w:abstractNum w:abstractNumId="31" w15:restartNumberingAfterBreak="0">
    <w:nsid w:val="5E4D7F6A"/>
    <w:multiLevelType w:val="multilevel"/>
    <w:tmpl w:val="D0CE0B12"/>
    <w:lvl w:ilvl="0">
      <w:start w:val="1"/>
      <w:numFmt w:val="decimal"/>
      <w:lvlText w:val="%1"/>
      <w:lvlJc w:val="left"/>
      <w:pPr>
        <w:tabs>
          <w:tab w:val="num" w:pos="1140"/>
        </w:tabs>
        <w:ind w:left="1140" w:hanging="1140"/>
      </w:pPr>
      <w:rPr>
        <w:rFonts w:hint="default"/>
      </w:rPr>
    </w:lvl>
    <w:lvl w:ilvl="1">
      <w:start w:val="85"/>
      <w:numFmt w:val="decimal"/>
      <w:lvlText w:val="%1.%2"/>
      <w:lvlJc w:val="left"/>
      <w:pPr>
        <w:tabs>
          <w:tab w:val="num" w:pos="1140"/>
        </w:tabs>
        <w:ind w:left="1140" w:hanging="1140"/>
      </w:pPr>
      <w:rPr>
        <w:rFonts w:hint="default"/>
      </w:rPr>
    </w:lvl>
    <w:lvl w:ilvl="2">
      <w:start w:val="1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F814BF"/>
    <w:multiLevelType w:val="hybridMultilevel"/>
    <w:tmpl w:val="174E4E56"/>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33" w15:restartNumberingAfterBreak="0">
    <w:nsid w:val="5F841B3B"/>
    <w:multiLevelType w:val="multilevel"/>
    <w:tmpl w:val="9BAC903C"/>
    <w:lvl w:ilvl="0">
      <w:start w:val="1"/>
      <w:numFmt w:val="decimal"/>
      <w:lvlText w:val="%1"/>
      <w:lvlJc w:val="left"/>
      <w:pPr>
        <w:tabs>
          <w:tab w:val="num" w:pos="570"/>
        </w:tabs>
        <w:ind w:left="570" w:hanging="570"/>
      </w:pPr>
      <w:rPr>
        <w:rFonts w:hint="default"/>
      </w:rPr>
    </w:lvl>
    <w:lvl w:ilvl="1">
      <w:start w:val="80"/>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D874C9"/>
    <w:multiLevelType w:val="multilevel"/>
    <w:tmpl w:val="3A52EACC"/>
    <w:lvl w:ilvl="0">
      <w:start w:val="1"/>
      <w:numFmt w:val="decimal"/>
      <w:lvlText w:val="%1"/>
      <w:lvlJc w:val="left"/>
      <w:pPr>
        <w:tabs>
          <w:tab w:val="num" w:pos="1140"/>
        </w:tabs>
        <w:ind w:left="1140" w:hanging="1140"/>
      </w:pPr>
      <w:rPr>
        <w:rFonts w:hint="default"/>
      </w:rPr>
    </w:lvl>
    <w:lvl w:ilvl="1">
      <w:start w:val="75"/>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7A1684C"/>
    <w:multiLevelType w:val="multilevel"/>
    <w:tmpl w:val="EDC077B0"/>
    <w:lvl w:ilvl="0">
      <w:start w:val="6"/>
      <w:numFmt w:val="decimal"/>
      <w:lvlText w:val="%1"/>
      <w:lvlJc w:val="left"/>
      <w:pPr>
        <w:tabs>
          <w:tab w:val="num" w:pos="1140"/>
        </w:tabs>
        <w:ind w:left="1140" w:hanging="1140"/>
      </w:pPr>
      <w:rPr>
        <w:rFonts w:hint="default"/>
      </w:rPr>
    </w:lvl>
    <w:lvl w:ilvl="1">
      <w:start w:val="1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83F1344"/>
    <w:multiLevelType w:val="hybridMultilevel"/>
    <w:tmpl w:val="AD62FAE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7" w15:restartNumberingAfterBreak="0">
    <w:nsid w:val="6A4E7283"/>
    <w:multiLevelType w:val="hybridMultilevel"/>
    <w:tmpl w:val="B282AFCE"/>
    <w:lvl w:ilvl="0" w:tplc="0C090007">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6BCC4C49"/>
    <w:multiLevelType w:val="hybridMultilevel"/>
    <w:tmpl w:val="B940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387551"/>
    <w:multiLevelType w:val="hybridMultilevel"/>
    <w:tmpl w:val="5882CC88"/>
    <w:lvl w:ilvl="0" w:tplc="569E42AE">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C458D1"/>
    <w:multiLevelType w:val="hybridMultilevel"/>
    <w:tmpl w:val="4A3E7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5C23BB"/>
    <w:multiLevelType w:val="multilevel"/>
    <w:tmpl w:val="D9504CD2"/>
    <w:lvl w:ilvl="0">
      <w:start w:val="7"/>
      <w:numFmt w:val="decimal"/>
      <w:lvlText w:val="%1"/>
      <w:lvlJc w:val="left"/>
      <w:pPr>
        <w:tabs>
          <w:tab w:val="num" w:pos="1140"/>
        </w:tabs>
        <w:ind w:left="1140" w:hanging="1140"/>
      </w:pPr>
      <w:rPr>
        <w:rFonts w:hint="default"/>
      </w:rPr>
    </w:lvl>
    <w:lvl w:ilvl="1">
      <w:start w:val="3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692E6F"/>
    <w:multiLevelType w:val="hybridMultilevel"/>
    <w:tmpl w:val="176C03D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3" w15:restartNumberingAfterBreak="0">
    <w:nsid w:val="7B9B2A8E"/>
    <w:multiLevelType w:val="hybridMultilevel"/>
    <w:tmpl w:val="D1D6B94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6B5B82"/>
    <w:multiLevelType w:val="hybridMultilevel"/>
    <w:tmpl w:val="852ECCC4"/>
    <w:lvl w:ilvl="0" w:tplc="0C090001">
      <w:start w:val="1"/>
      <w:numFmt w:val="bullet"/>
      <w:lvlText w:val=""/>
      <w:lvlJc w:val="left"/>
      <w:pPr>
        <w:ind w:left="180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5" w15:restartNumberingAfterBreak="0">
    <w:nsid w:val="7C9E19E4"/>
    <w:multiLevelType w:val="multilevel"/>
    <w:tmpl w:val="03649418"/>
    <w:lvl w:ilvl="0">
      <w:start w:val="1"/>
      <w:numFmt w:val="decimal"/>
      <w:lvlText w:val="%1"/>
      <w:lvlJc w:val="left"/>
      <w:pPr>
        <w:tabs>
          <w:tab w:val="num" w:pos="360"/>
        </w:tabs>
        <w:ind w:left="360" w:hanging="360"/>
      </w:pPr>
      <w:rPr>
        <w:rFonts w:hint="default"/>
      </w:rPr>
    </w:lvl>
    <w:lvl w:ilvl="1">
      <w:start w:val="50"/>
      <w:numFmt w:val="decimal"/>
      <w:lvlText w:val="%1.%2"/>
      <w:lvlJc w:val="left"/>
      <w:pPr>
        <w:tabs>
          <w:tab w:val="num" w:pos="360"/>
        </w:tabs>
        <w:ind w:left="360" w:hanging="360"/>
      </w:pPr>
      <w:rPr>
        <w:rFonts w:hint="default"/>
      </w:rPr>
    </w:lvl>
    <w:lvl w:ilvl="2">
      <w:start w:val="2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F3574E"/>
    <w:multiLevelType w:val="multilevel"/>
    <w:tmpl w:val="481A856C"/>
    <w:lvl w:ilvl="0">
      <w:start w:val="1"/>
      <w:numFmt w:val="decimal"/>
      <w:lvlText w:val="%1"/>
      <w:lvlJc w:val="left"/>
      <w:pPr>
        <w:tabs>
          <w:tab w:val="num" w:pos="900"/>
        </w:tabs>
        <w:ind w:left="900" w:hanging="900"/>
      </w:pPr>
      <w:rPr>
        <w:rFonts w:hint="default"/>
      </w:rPr>
    </w:lvl>
    <w:lvl w:ilvl="1">
      <w:start w:val="50"/>
      <w:numFmt w:val="decimal"/>
      <w:lvlText w:val="%1.%2"/>
      <w:lvlJc w:val="left"/>
      <w:pPr>
        <w:tabs>
          <w:tab w:val="num" w:pos="900"/>
        </w:tabs>
        <w:ind w:left="900" w:hanging="900"/>
      </w:pPr>
      <w:rPr>
        <w:rFonts w:hint="default"/>
      </w:rPr>
    </w:lvl>
    <w:lvl w:ilvl="2">
      <w:start w:val="25"/>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41300C"/>
    <w:multiLevelType w:val="hybridMultilevel"/>
    <w:tmpl w:val="B6B01DFC"/>
    <w:lvl w:ilvl="0" w:tplc="A2062ACC">
      <w:start w:val="1"/>
      <w:numFmt w:val="lowerRoman"/>
      <w:lvlText w:val="(%1)"/>
      <w:lvlJc w:val="left"/>
      <w:pPr>
        <w:ind w:left="1800" w:hanging="360"/>
      </w:pPr>
      <w:rPr>
        <w:rFonts w:ascii="Arial" w:eastAsia="Times New Roman" w:hAnsi="Arial" w:cs="Times New Roman"/>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6"/>
  </w:num>
  <w:num w:numId="4">
    <w:abstractNumId w:val="43"/>
  </w:num>
  <w:num w:numId="5">
    <w:abstractNumId w:val="20"/>
  </w:num>
  <w:num w:numId="6">
    <w:abstractNumId w:val="41"/>
  </w:num>
  <w:num w:numId="7">
    <w:abstractNumId w:val="12"/>
  </w:num>
  <w:num w:numId="8">
    <w:abstractNumId w:val="35"/>
  </w:num>
  <w:num w:numId="9">
    <w:abstractNumId w:val="5"/>
  </w:num>
  <w:num w:numId="10">
    <w:abstractNumId w:val="26"/>
  </w:num>
  <w:num w:numId="11">
    <w:abstractNumId w:val="3"/>
  </w:num>
  <w:num w:numId="12">
    <w:abstractNumId w:val="27"/>
  </w:num>
  <w:num w:numId="13">
    <w:abstractNumId w:val="8"/>
  </w:num>
  <w:num w:numId="14">
    <w:abstractNumId w:val="34"/>
  </w:num>
  <w:num w:numId="15">
    <w:abstractNumId w:val="33"/>
  </w:num>
  <w:num w:numId="16">
    <w:abstractNumId w:val="24"/>
  </w:num>
  <w:num w:numId="17">
    <w:abstractNumId w:val="25"/>
  </w:num>
  <w:num w:numId="18">
    <w:abstractNumId w:val="16"/>
  </w:num>
  <w:num w:numId="19">
    <w:abstractNumId w:val="6"/>
  </w:num>
  <w:num w:numId="20">
    <w:abstractNumId w:val="4"/>
  </w:num>
  <w:num w:numId="21">
    <w:abstractNumId w:val="10"/>
  </w:num>
  <w:num w:numId="22">
    <w:abstractNumId w:val="45"/>
  </w:num>
  <w:num w:numId="23">
    <w:abstractNumId w:val="2"/>
  </w:num>
  <w:num w:numId="24">
    <w:abstractNumId w:val="31"/>
  </w:num>
  <w:num w:numId="25">
    <w:abstractNumId w:val="1"/>
  </w:num>
  <w:num w:numId="26">
    <w:abstractNumId w:val="15"/>
  </w:num>
  <w:num w:numId="27">
    <w:abstractNumId w:val="22"/>
  </w:num>
  <w:num w:numId="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14"/>
  </w:num>
  <w:num w:numId="31">
    <w:abstractNumId w:val="36"/>
  </w:num>
  <w:num w:numId="32">
    <w:abstractNumId w:val="9"/>
  </w:num>
  <w:num w:numId="33">
    <w:abstractNumId w:val="21"/>
  </w:num>
  <w:num w:numId="34">
    <w:abstractNumId w:val="23"/>
  </w:num>
  <w:num w:numId="35">
    <w:abstractNumId w:val="0"/>
  </w:num>
  <w:num w:numId="36">
    <w:abstractNumId w:val="42"/>
  </w:num>
  <w:num w:numId="37">
    <w:abstractNumId w:val="17"/>
  </w:num>
  <w:num w:numId="38">
    <w:abstractNumId w:val="13"/>
  </w:num>
  <w:num w:numId="39">
    <w:abstractNumId w:val="29"/>
  </w:num>
  <w:num w:numId="40">
    <w:abstractNumId w:val="47"/>
  </w:num>
  <w:num w:numId="41">
    <w:abstractNumId w:val="32"/>
  </w:num>
  <w:num w:numId="42">
    <w:abstractNumId w:val="30"/>
  </w:num>
  <w:num w:numId="43">
    <w:abstractNumId w:val="11"/>
  </w:num>
  <w:num w:numId="44">
    <w:abstractNumId w:val="40"/>
  </w:num>
  <w:num w:numId="45">
    <w:abstractNumId w:val="28"/>
  </w:num>
  <w:num w:numId="46">
    <w:abstractNumId w:val="19"/>
  </w:num>
  <w:num w:numId="47">
    <w:abstractNumId w:val="7"/>
  </w:num>
  <w:num w:numId="48">
    <w:abstractNumId w:val="1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8988d6cc-8420-4ee9-b317-b5a513521ae1"/>
  </w:docVars>
  <w:rsids>
    <w:rsidRoot w:val="00B4410E"/>
    <w:rsid w:val="0000113E"/>
    <w:rsid w:val="000024CB"/>
    <w:rsid w:val="00002601"/>
    <w:rsid w:val="00002891"/>
    <w:rsid w:val="00004BE5"/>
    <w:rsid w:val="00005188"/>
    <w:rsid w:val="00005855"/>
    <w:rsid w:val="00005905"/>
    <w:rsid w:val="00007383"/>
    <w:rsid w:val="0001332E"/>
    <w:rsid w:val="000143C0"/>
    <w:rsid w:val="000145E4"/>
    <w:rsid w:val="000157B4"/>
    <w:rsid w:val="00021638"/>
    <w:rsid w:val="00022CD8"/>
    <w:rsid w:val="00026C2A"/>
    <w:rsid w:val="0003008A"/>
    <w:rsid w:val="0003015F"/>
    <w:rsid w:val="000306D9"/>
    <w:rsid w:val="000317D3"/>
    <w:rsid w:val="00034F72"/>
    <w:rsid w:val="00036058"/>
    <w:rsid w:val="000362AF"/>
    <w:rsid w:val="0003696B"/>
    <w:rsid w:val="000369AE"/>
    <w:rsid w:val="00037560"/>
    <w:rsid w:val="000378A5"/>
    <w:rsid w:val="00037D93"/>
    <w:rsid w:val="000406CF"/>
    <w:rsid w:val="000439E3"/>
    <w:rsid w:val="00044C7F"/>
    <w:rsid w:val="00046334"/>
    <w:rsid w:val="00050C52"/>
    <w:rsid w:val="00051650"/>
    <w:rsid w:val="0005242E"/>
    <w:rsid w:val="00053C56"/>
    <w:rsid w:val="00054DEA"/>
    <w:rsid w:val="000552D1"/>
    <w:rsid w:val="00056D4E"/>
    <w:rsid w:val="000602E1"/>
    <w:rsid w:val="0006072E"/>
    <w:rsid w:val="00061351"/>
    <w:rsid w:val="0006138B"/>
    <w:rsid w:val="000614EA"/>
    <w:rsid w:val="00061AD0"/>
    <w:rsid w:val="000649E7"/>
    <w:rsid w:val="000652B2"/>
    <w:rsid w:val="0006678B"/>
    <w:rsid w:val="00066AB1"/>
    <w:rsid w:val="00070A19"/>
    <w:rsid w:val="00072E1C"/>
    <w:rsid w:val="00077359"/>
    <w:rsid w:val="000815AA"/>
    <w:rsid w:val="00081F64"/>
    <w:rsid w:val="000834F5"/>
    <w:rsid w:val="00083867"/>
    <w:rsid w:val="00085B15"/>
    <w:rsid w:val="00086288"/>
    <w:rsid w:val="0008637E"/>
    <w:rsid w:val="000876D9"/>
    <w:rsid w:val="0009037A"/>
    <w:rsid w:val="000917DA"/>
    <w:rsid w:val="0009191B"/>
    <w:rsid w:val="0009310E"/>
    <w:rsid w:val="00094008"/>
    <w:rsid w:val="00095503"/>
    <w:rsid w:val="00096193"/>
    <w:rsid w:val="0009740F"/>
    <w:rsid w:val="00097F4F"/>
    <w:rsid w:val="000A08A6"/>
    <w:rsid w:val="000A19B0"/>
    <w:rsid w:val="000A459B"/>
    <w:rsid w:val="000A46A1"/>
    <w:rsid w:val="000A4948"/>
    <w:rsid w:val="000A6471"/>
    <w:rsid w:val="000A76A9"/>
    <w:rsid w:val="000B0AC3"/>
    <w:rsid w:val="000B3218"/>
    <w:rsid w:val="000B47DD"/>
    <w:rsid w:val="000B48E4"/>
    <w:rsid w:val="000B62CD"/>
    <w:rsid w:val="000B6FAB"/>
    <w:rsid w:val="000B7179"/>
    <w:rsid w:val="000B75F3"/>
    <w:rsid w:val="000B7F18"/>
    <w:rsid w:val="000C14F5"/>
    <w:rsid w:val="000C1BD1"/>
    <w:rsid w:val="000C3EFD"/>
    <w:rsid w:val="000C68AA"/>
    <w:rsid w:val="000D0DD9"/>
    <w:rsid w:val="000D5C7D"/>
    <w:rsid w:val="000D7F2B"/>
    <w:rsid w:val="000E0B22"/>
    <w:rsid w:val="000E2BF4"/>
    <w:rsid w:val="000E3D7F"/>
    <w:rsid w:val="000E6B52"/>
    <w:rsid w:val="000E6D9E"/>
    <w:rsid w:val="000E75D2"/>
    <w:rsid w:val="000F01B9"/>
    <w:rsid w:val="000F32A2"/>
    <w:rsid w:val="000F4C03"/>
    <w:rsid w:val="000F5BAA"/>
    <w:rsid w:val="000F5D19"/>
    <w:rsid w:val="0010191B"/>
    <w:rsid w:val="001030DF"/>
    <w:rsid w:val="001062DF"/>
    <w:rsid w:val="001065B2"/>
    <w:rsid w:val="001110A2"/>
    <w:rsid w:val="00112E79"/>
    <w:rsid w:val="00113F5E"/>
    <w:rsid w:val="00114603"/>
    <w:rsid w:val="00115679"/>
    <w:rsid w:val="00116102"/>
    <w:rsid w:val="0011717A"/>
    <w:rsid w:val="00117C52"/>
    <w:rsid w:val="001200A1"/>
    <w:rsid w:val="00122411"/>
    <w:rsid w:val="001276A6"/>
    <w:rsid w:val="001350FF"/>
    <w:rsid w:val="00140B07"/>
    <w:rsid w:val="00141573"/>
    <w:rsid w:val="001419A2"/>
    <w:rsid w:val="00142086"/>
    <w:rsid w:val="00142EC6"/>
    <w:rsid w:val="001436B2"/>
    <w:rsid w:val="00143735"/>
    <w:rsid w:val="00144E11"/>
    <w:rsid w:val="001458D6"/>
    <w:rsid w:val="00145C5C"/>
    <w:rsid w:val="0014758D"/>
    <w:rsid w:val="001508A7"/>
    <w:rsid w:val="00151B92"/>
    <w:rsid w:val="00151D9B"/>
    <w:rsid w:val="001526AB"/>
    <w:rsid w:val="00153524"/>
    <w:rsid w:val="001536D6"/>
    <w:rsid w:val="0015446F"/>
    <w:rsid w:val="00157BEF"/>
    <w:rsid w:val="001650CD"/>
    <w:rsid w:val="0016655D"/>
    <w:rsid w:val="00167179"/>
    <w:rsid w:val="0017048B"/>
    <w:rsid w:val="00170772"/>
    <w:rsid w:val="001710E5"/>
    <w:rsid w:val="00171625"/>
    <w:rsid w:val="001732A7"/>
    <w:rsid w:val="00174921"/>
    <w:rsid w:val="001767B1"/>
    <w:rsid w:val="001814CD"/>
    <w:rsid w:val="0018284A"/>
    <w:rsid w:val="001843A0"/>
    <w:rsid w:val="001860BE"/>
    <w:rsid w:val="001863ED"/>
    <w:rsid w:val="001909C6"/>
    <w:rsid w:val="00192590"/>
    <w:rsid w:val="001939D0"/>
    <w:rsid w:val="001944BB"/>
    <w:rsid w:val="0019508B"/>
    <w:rsid w:val="001954D8"/>
    <w:rsid w:val="0019659C"/>
    <w:rsid w:val="001A2A36"/>
    <w:rsid w:val="001A32F2"/>
    <w:rsid w:val="001A355E"/>
    <w:rsid w:val="001A7E57"/>
    <w:rsid w:val="001B3BDA"/>
    <w:rsid w:val="001B4A92"/>
    <w:rsid w:val="001B52DC"/>
    <w:rsid w:val="001C0E3C"/>
    <w:rsid w:val="001C375D"/>
    <w:rsid w:val="001C3798"/>
    <w:rsid w:val="001C7D1A"/>
    <w:rsid w:val="001D0C2B"/>
    <w:rsid w:val="001D1EDB"/>
    <w:rsid w:val="001D29A1"/>
    <w:rsid w:val="001D35E7"/>
    <w:rsid w:val="001D3DE0"/>
    <w:rsid w:val="001D5F2C"/>
    <w:rsid w:val="001D65CC"/>
    <w:rsid w:val="001E0F2A"/>
    <w:rsid w:val="001E37AA"/>
    <w:rsid w:val="001E38FD"/>
    <w:rsid w:val="001E462C"/>
    <w:rsid w:val="001E565A"/>
    <w:rsid w:val="001F092D"/>
    <w:rsid w:val="001F0D9E"/>
    <w:rsid w:val="001F43AA"/>
    <w:rsid w:val="001F4600"/>
    <w:rsid w:val="001F467A"/>
    <w:rsid w:val="001F4D8E"/>
    <w:rsid w:val="001F7028"/>
    <w:rsid w:val="0020076A"/>
    <w:rsid w:val="00201D53"/>
    <w:rsid w:val="002028EB"/>
    <w:rsid w:val="002037C0"/>
    <w:rsid w:val="002053A8"/>
    <w:rsid w:val="00206373"/>
    <w:rsid w:val="00207343"/>
    <w:rsid w:val="002100DD"/>
    <w:rsid w:val="00210C57"/>
    <w:rsid w:val="002112F7"/>
    <w:rsid w:val="00212375"/>
    <w:rsid w:val="002135D1"/>
    <w:rsid w:val="00214CC2"/>
    <w:rsid w:val="002150F7"/>
    <w:rsid w:val="00215C98"/>
    <w:rsid w:val="002179C7"/>
    <w:rsid w:val="00226B85"/>
    <w:rsid w:val="00226FC5"/>
    <w:rsid w:val="00227E07"/>
    <w:rsid w:val="00230086"/>
    <w:rsid w:val="00231C76"/>
    <w:rsid w:val="00235974"/>
    <w:rsid w:val="002432ED"/>
    <w:rsid w:val="00246A8A"/>
    <w:rsid w:val="00246CAE"/>
    <w:rsid w:val="002471E8"/>
    <w:rsid w:val="00251236"/>
    <w:rsid w:val="002512DC"/>
    <w:rsid w:val="00253354"/>
    <w:rsid w:val="0025347A"/>
    <w:rsid w:val="002547EC"/>
    <w:rsid w:val="002553C8"/>
    <w:rsid w:val="002573B0"/>
    <w:rsid w:val="002574D0"/>
    <w:rsid w:val="0026022B"/>
    <w:rsid w:val="002604AA"/>
    <w:rsid w:val="00260DF4"/>
    <w:rsid w:val="00263743"/>
    <w:rsid w:val="00263CF9"/>
    <w:rsid w:val="00265FFC"/>
    <w:rsid w:val="00266959"/>
    <w:rsid w:val="00266DA4"/>
    <w:rsid w:val="00266F3F"/>
    <w:rsid w:val="002713EA"/>
    <w:rsid w:val="00274117"/>
    <w:rsid w:val="00281008"/>
    <w:rsid w:val="002859B5"/>
    <w:rsid w:val="002871AA"/>
    <w:rsid w:val="00290A68"/>
    <w:rsid w:val="0029221F"/>
    <w:rsid w:val="00292C74"/>
    <w:rsid w:val="00293212"/>
    <w:rsid w:val="002933E8"/>
    <w:rsid w:val="0029487E"/>
    <w:rsid w:val="00294C5B"/>
    <w:rsid w:val="00295248"/>
    <w:rsid w:val="00297BBD"/>
    <w:rsid w:val="002A063D"/>
    <w:rsid w:val="002A35E7"/>
    <w:rsid w:val="002A5748"/>
    <w:rsid w:val="002A74DA"/>
    <w:rsid w:val="002B10C8"/>
    <w:rsid w:val="002B198D"/>
    <w:rsid w:val="002B4F5F"/>
    <w:rsid w:val="002B525B"/>
    <w:rsid w:val="002B7129"/>
    <w:rsid w:val="002C1DD3"/>
    <w:rsid w:val="002C3556"/>
    <w:rsid w:val="002C3624"/>
    <w:rsid w:val="002C3895"/>
    <w:rsid w:val="002C3935"/>
    <w:rsid w:val="002C4BB9"/>
    <w:rsid w:val="002C5D44"/>
    <w:rsid w:val="002C6C2F"/>
    <w:rsid w:val="002D02E4"/>
    <w:rsid w:val="002D08C6"/>
    <w:rsid w:val="002D2C1B"/>
    <w:rsid w:val="002D3AF1"/>
    <w:rsid w:val="002D3EE2"/>
    <w:rsid w:val="002D67E4"/>
    <w:rsid w:val="002D79F8"/>
    <w:rsid w:val="002E19E7"/>
    <w:rsid w:val="002E259C"/>
    <w:rsid w:val="002E265A"/>
    <w:rsid w:val="002E3AE5"/>
    <w:rsid w:val="002E5923"/>
    <w:rsid w:val="002E7912"/>
    <w:rsid w:val="002F03B3"/>
    <w:rsid w:val="002F3B9B"/>
    <w:rsid w:val="002F602A"/>
    <w:rsid w:val="002F6989"/>
    <w:rsid w:val="002F754C"/>
    <w:rsid w:val="00300618"/>
    <w:rsid w:val="003022DE"/>
    <w:rsid w:val="0030327A"/>
    <w:rsid w:val="00305B83"/>
    <w:rsid w:val="00305D2A"/>
    <w:rsid w:val="00310EF8"/>
    <w:rsid w:val="003113BC"/>
    <w:rsid w:val="0031220E"/>
    <w:rsid w:val="00313603"/>
    <w:rsid w:val="0031590A"/>
    <w:rsid w:val="00316007"/>
    <w:rsid w:val="00316014"/>
    <w:rsid w:val="003163B5"/>
    <w:rsid w:val="00317040"/>
    <w:rsid w:val="0031711D"/>
    <w:rsid w:val="003173AE"/>
    <w:rsid w:val="00317A43"/>
    <w:rsid w:val="00320B6B"/>
    <w:rsid w:val="00320BB4"/>
    <w:rsid w:val="00321191"/>
    <w:rsid w:val="00325A5C"/>
    <w:rsid w:val="00325D8C"/>
    <w:rsid w:val="00330852"/>
    <w:rsid w:val="0033152A"/>
    <w:rsid w:val="00335FE6"/>
    <w:rsid w:val="00337B27"/>
    <w:rsid w:val="00340662"/>
    <w:rsid w:val="00340CA5"/>
    <w:rsid w:val="00341585"/>
    <w:rsid w:val="00344BAE"/>
    <w:rsid w:val="00345DF4"/>
    <w:rsid w:val="003464B8"/>
    <w:rsid w:val="00351577"/>
    <w:rsid w:val="00355ABE"/>
    <w:rsid w:val="00355D13"/>
    <w:rsid w:val="00356AD5"/>
    <w:rsid w:val="00356BCE"/>
    <w:rsid w:val="00360598"/>
    <w:rsid w:val="00362B73"/>
    <w:rsid w:val="00362F84"/>
    <w:rsid w:val="0036377C"/>
    <w:rsid w:val="00363F3A"/>
    <w:rsid w:val="0036532E"/>
    <w:rsid w:val="003658A8"/>
    <w:rsid w:val="00367D90"/>
    <w:rsid w:val="00371D48"/>
    <w:rsid w:val="003720BE"/>
    <w:rsid w:val="003735A9"/>
    <w:rsid w:val="003735C7"/>
    <w:rsid w:val="00373F2E"/>
    <w:rsid w:val="003740DF"/>
    <w:rsid w:val="00374285"/>
    <w:rsid w:val="00374978"/>
    <w:rsid w:val="0037603D"/>
    <w:rsid w:val="00376FD9"/>
    <w:rsid w:val="0037730B"/>
    <w:rsid w:val="00381F6C"/>
    <w:rsid w:val="003831F6"/>
    <w:rsid w:val="003879DF"/>
    <w:rsid w:val="003917C8"/>
    <w:rsid w:val="003922E6"/>
    <w:rsid w:val="00393355"/>
    <w:rsid w:val="00393425"/>
    <w:rsid w:val="00394178"/>
    <w:rsid w:val="003960EB"/>
    <w:rsid w:val="003A08BD"/>
    <w:rsid w:val="003A3F97"/>
    <w:rsid w:val="003A5E8A"/>
    <w:rsid w:val="003A68E9"/>
    <w:rsid w:val="003B350A"/>
    <w:rsid w:val="003B5950"/>
    <w:rsid w:val="003B5D73"/>
    <w:rsid w:val="003C0B31"/>
    <w:rsid w:val="003C17C1"/>
    <w:rsid w:val="003C38AE"/>
    <w:rsid w:val="003C39BC"/>
    <w:rsid w:val="003C3A4D"/>
    <w:rsid w:val="003C4412"/>
    <w:rsid w:val="003C492D"/>
    <w:rsid w:val="003C565C"/>
    <w:rsid w:val="003C7780"/>
    <w:rsid w:val="003D1DA0"/>
    <w:rsid w:val="003D243A"/>
    <w:rsid w:val="003D39C8"/>
    <w:rsid w:val="003D3E20"/>
    <w:rsid w:val="003D49F0"/>
    <w:rsid w:val="003D5F97"/>
    <w:rsid w:val="003D6033"/>
    <w:rsid w:val="003D7D61"/>
    <w:rsid w:val="003D7FD5"/>
    <w:rsid w:val="003E2A43"/>
    <w:rsid w:val="003E4BDA"/>
    <w:rsid w:val="003E4EAC"/>
    <w:rsid w:val="003E517B"/>
    <w:rsid w:val="003E5522"/>
    <w:rsid w:val="003E75F0"/>
    <w:rsid w:val="003F01F9"/>
    <w:rsid w:val="003F0247"/>
    <w:rsid w:val="003F06E4"/>
    <w:rsid w:val="003F08B6"/>
    <w:rsid w:val="003F095E"/>
    <w:rsid w:val="003F11FD"/>
    <w:rsid w:val="003F162A"/>
    <w:rsid w:val="003F16BE"/>
    <w:rsid w:val="003F1FDF"/>
    <w:rsid w:val="003F21AD"/>
    <w:rsid w:val="003F269A"/>
    <w:rsid w:val="003F2C73"/>
    <w:rsid w:val="003F2E0A"/>
    <w:rsid w:val="003F371E"/>
    <w:rsid w:val="003F618D"/>
    <w:rsid w:val="003F670B"/>
    <w:rsid w:val="003F74C1"/>
    <w:rsid w:val="004036F8"/>
    <w:rsid w:val="004104D3"/>
    <w:rsid w:val="004112F2"/>
    <w:rsid w:val="00413E47"/>
    <w:rsid w:val="004141DE"/>
    <w:rsid w:val="0041440A"/>
    <w:rsid w:val="0041453E"/>
    <w:rsid w:val="00414E18"/>
    <w:rsid w:val="00415F06"/>
    <w:rsid w:val="004161BF"/>
    <w:rsid w:val="00416CD7"/>
    <w:rsid w:val="00417D65"/>
    <w:rsid w:val="0042399B"/>
    <w:rsid w:val="00423B9D"/>
    <w:rsid w:val="0042576E"/>
    <w:rsid w:val="00426186"/>
    <w:rsid w:val="004300BE"/>
    <w:rsid w:val="00430EEF"/>
    <w:rsid w:val="00432BC2"/>
    <w:rsid w:val="00433005"/>
    <w:rsid w:val="0043353B"/>
    <w:rsid w:val="00436819"/>
    <w:rsid w:val="00436F36"/>
    <w:rsid w:val="00440E0F"/>
    <w:rsid w:val="00441187"/>
    <w:rsid w:val="00441789"/>
    <w:rsid w:val="00442C64"/>
    <w:rsid w:val="00445E9C"/>
    <w:rsid w:val="00445ECF"/>
    <w:rsid w:val="004476CE"/>
    <w:rsid w:val="004508DE"/>
    <w:rsid w:val="004522D4"/>
    <w:rsid w:val="0045367A"/>
    <w:rsid w:val="00453ED7"/>
    <w:rsid w:val="0045591C"/>
    <w:rsid w:val="004564DE"/>
    <w:rsid w:val="00456A26"/>
    <w:rsid w:val="0045740B"/>
    <w:rsid w:val="00460647"/>
    <w:rsid w:val="00460C06"/>
    <w:rsid w:val="00461CD0"/>
    <w:rsid w:val="00462A2B"/>
    <w:rsid w:val="004634AB"/>
    <w:rsid w:val="00464B3E"/>
    <w:rsid w:val="004666E8"/>
    <w:rsid w:val="00466835"/>
    <w:rsid w:val="00471DEA"/>
    <w:rsid w:val="00474288"/>
    <w:rsid w:val="0047488F"/>
    <w:rsid w:val="0047662E"/>
    <w:rsid w:val="00477311"/>
    <w:rsid w:val="004776CC"/>
    <w:rsid w:val="00482AAB"/>
    <w:rsid w:val="004864DA"/>
    <w:rsid w:val="004901C4"/>
    <w:rsid w:val="00490D3B"/>
    <w:rsid w:val="004922FC"/>
    <w:rsid w:val="004940EF"/>
    <w:rsid w:val="00495268"/>
    <w:rsid w:val="00496CD6"/>
    <w:rsid w:val="004A2038"/>
    <w:rsid w:val="004A242A"/>
    <w:rsid w:val="004A378D"/>
    <w:rsid w:val="004A4194"/>
    <w:rsid w:val="004A4B75"/>
    <w:rsid w:val="004A6A35"/>
    <w:rsid w:val="004A704D"/>
    <w:rsid w:val="004A7281"/>
    <w:rsid w:val="004B2633"/>
    <w:rsid w:val="004B4771"/>
    <w:rsid w:val="004B72D7"/>
    <w:rsid w:val="004B78C6"/>
    <w:rsid w:val="004B7C7E"/>
    <w:rsid w:val="004C3D1F"/>
    <w:rsid w:val="004C61F3"/>
    <w:rsid w:val="004C634A"/>
    <w:rsid w:val="004D14EC"/>
    <w:rsid w:val="004D52CF"/>
    <w:rsid w:val="004E045E"/>
    <w:rsid w:val="004E05F3"/>
    <w:rsid w:val="004E2722"/>
    <w:rsid w:val="004E5AB8"/>
    <w:rsid w:val="004E5CC6"/>
    <w:rsid w:val="004E5E84"/>
    <w:rsid w:val="004E6233"/>
    <w:rsid w:val="004F1003"/>
    <w:rsid w:val="004F1099"/>
    <w:rsid w:val="004F147D"/>
    <w:rsid w:val="004F14BB"/>
    <w:rsid w:val="004F1D41"/>
    <w:rsid w:val="004F2C6E"/>
    <w:rsid w:val="004F3365"/>
    <w:rsid w:val="004F5347"/>
    <w:rsid w:val="004F5C59"/>
    <w:rsid w:val="004F5E7B"/>
    <w:rsid w:val="004F6472"/>
    <w:rsid w:val="0050017A"/>
    <w:rsid w:val="00501700"/>
    <w:rsid w:val="00502FF9"/>
    <w:rsid w:val="005036C5"/>
    <w:rsid w:val="005042C3"/>
    <w:rsid w:val="00505BEC"/>
    <w:rsid w:val="00505ED8"/>
    <w:rsid w:val="00506F02"/>
    <w:rsid w:val="00506FFD"/>
    <w:rsid w:val="0050700A"/>
    <w:rsid w:val="00510A8A"/>
    <w:rsid w:val="00512073"/>
    <w:rsid w:val="00513D27"/>
    <w:rsid w:val="00516EE2"/>
    <w:rsid w:val="005171F6"/>
    <w:rsid w:val="005176A2"/>
    <w:rsid w:val="00520797"/>
    <w:rsid w:val="00521ED7"/>
    <w:rsid w:val="00523ABD"/>
    <w:rsid w:val="005272B8"/>
    <w:rsid w:val="00530480"/>
    <w:rsid w:val="0053079A"/>
    <w:rsid w:val="005311B4"/>
    <w:rsid w:val="00533C72"/>
    <w:rsid w:val="00533F25"/>
    <w:rsid w:val="005340A7"/>
    <w:rsid w:val="00534914"/>
    <w:rsid w:val="00534A78"/>
    <w:rsid w:val="00536848"/>
    <w:rsid w:val="00542492"/>
    <w:rsid w:val="00543285"/>
    <w:rsid w:val="00543491"/>
    <w:rsid w:val="005445BF"/>
    <w:rsid w:val="005467AA"/>
    <w:rsid w:val="00552343"/>
    <w:rsid w:val="00555312"/>
    <w:rsid w:val="0055532B"/>
    <w:rsid w:val="00555359"/>
    <w:rsid w:val="005570FD"/>
    <w:rsid w:val="005624FE"/>
    <w:rsid w:val="00562581"/>
    <w:rsid w:val="005646A6"/>
    <w:rsid w:val="0056591E"/>
    <w:rsid w:val="00565E8C"/>
    <w:rsid w:val="00571714"/>
    <w:rsid w:val="00572943"/>
    <w:rsid w:val="00572AE4"/>
    <w:rsid w:val="005734E2"/>
    <w:rsid w:val="00573661"/>
    <w:rsid w:val="00573796"/>
    <w:rsid w:val="00577528"/>
    <w:rsid w:val="00577C85"/>
    <w:rsid w:val="00582D7D"/>
    <w:rsid w:val="005942D0"/>
    <w:rsid w:val="00595A93"/>
    <w:rsid w:val="00596728"/>
    <w:rsid w:val="0059720E"/>
    <w:rsid w:val="00597E64"/>
    <w:rsid w:val="005A139F"/>
    <w:rsid w:val="005A247C"/>
    <w:rsid w:val="005A2E62"/>
    <w:rsid w:val="005A34B0"/>
    <w:rsid w:val="005A783C"/>
    <w:rsid w:val="005B449A"/>
    <w:rsid w:val="005B59BB"/>
    <w:rsid w:val="005B5A79"/>
    <w:rsid w:val="005B5B5E"/>
    <w:rsid w:val="005B5D03"/>
    <w:rsid w:val="005B5E17"/>
    <w:rsid w:val="005C0E9A"/>
    <w:rsid w:val="005C1BE1"/>
    <w:rsid w:val="005C1BE7"/>
    <w:rsid w:val="005C26F8"/>
    <w:rsid w:val="005C36FF"/>
    <w:rsid w:val="005C3E11"/>
    <w:rsid w:val="005C5760"/>
    <w:rsid w:val="005C7778"/>
    <w:rsid w:val="005D0537"/>
    <w:rsid w:val="005D236C"/>
    <w:rsid w:val="005D3613"/>
    <w:rsid w:val="005D4B77"/>
    <w:rsid w:val="005D575D"/>
    <w:rsid w:val="005D6BE0"/>
    <w:rsid w:val="005D78BB"/>
    <w:rsid w:val="005E02F8"/>
    <w:rsid w:val="005E0400"/>
    <w:rsid w:val="005E63C3"/>
    <w:rsid w:val="005E6F49"/>
    <w:rsid w:val="005F2577"/>
    <w:rsid w:val="005F27B4"/>
    <w:rsid w:val="005F6128"/>
    <w:rsid w:val="005F61E2"/>
    <w:rsid w:val="006021A4"/>
    <w:rsid w:val="006070A5"/>
    <w:rsid w:val="00607E30"/>
    <w:rsid w:val="00612900"/>
    <w:rsid w:val="006141F0"/>
    <w:rsid w:val="006155B7"/>
    <w:rsid w:val="00615A08"/>
    <w:rsid w:val="0061761D"/>
    <w:rsid w:val="00617886"/>
    <w:rsid w:val="0062148A"/>
    <w:rsid w:val="006218CC"/>
    <w:rsid w:val="00623A2E"/>
    <w:rsid w:val="00624019"/>
    <w:rsid w:val="00630C54"/>
    <w:rsid w:val="006315D6"/>
    <w:rsid w:val="00634555"/>
    <w:rsid w:val="00635149"/>
    <w:rsid w:val="006354FC"/>
    <w:rsid w:val="006363FA"/>
    <w:rsid w:val="00637657"/>
    <w:rsid w:val="006502E7"/>
    <w:rsid w:val="006529D4"/>
    <w:rsid w:val="0065442C"/>
    <w:rsid w:val="00654E10"/>
    <w:rsid w:val="006555BD"/>
    <w:rsid w:val="00655E71"/>
    <w:rsid w:val="00656E0D"/>
    <w:rsid w:val="00660A90"/>
    <w:rsid w:val="006649A6"/>
    <w:rsid w:val="00665A48"/>
    <w:rsid w:val="00666841"/>
    <w:rsid w:val="00666B4F"/>
    <w:rsid w:val="00667C32"/>
    <w:rsid w:val="00673205"/>
    <w:rsid w:val="006757C7"/>
    <w:rsid w:val="00680E7F"/>
    <w:rsid w:val="006828EB"/>
    <w:rsid w:val="00683A4F"/>
    <w:rsid w:val="00685EFD"/>
    <w:rsid w:val="00686F87"/>
    <w:rsid w:val="006871C8"/>
    <w:rsid w:val="00690E29"/>
    <w:rsid w:val="006914A6"/>
    <w:rsid w:val="006921C5"/>
    <w:rsid w:val="0069320D"/>
    <w:rsid w:val="00693E6E"/>
    <w:rsid w:val="00694455"/>
    <w:rsid w:val="006946A6"/>
    <w:rsid w:val="00697CA3"/>
    <w:rsid w:val="006A0A52"/>
    <w:rsid w:val="006A16C5"/>
    <w:rsid w:val="006A197C"/>
    <w:rsid w:val="006A2896"/>
    <w:rsid w:val="006A2F59"/>
    <w:rsid w:val="006A465D"/>
    <w:rsid w:val="006A475D"/>
    <w:rsid w:val="006A52CE"/>
    <w:rsid w:val="006A56CA"/>
    <w:rsid w:val="006A6D71"/>
    <w:rsid w:val="006B1253"/>
    <w:rsid w:val="006B1C89"/>
    <w:rsid w:val="006B1FD5"/>
    <w:rsid w:val="006C0CD3"/>
    <w:rsid w:val="006C2378"/>
    <w:rsid w:val="006C2A0F"/>
    <w:rsid w:val="006C5960"/>
    <w:rsid w:val="006C620A"/>
    <w:rsid w:val="006D0EE0"/>
    <w:rsid w:val="006D4FDC"/>
    <w:rsid w:val="006D76CB"/>
    <w:rsid w:val="006E0594"/>
    <w:rsid w:val="006E2754"/>
    <w:rsid w:val="006E3797"/>
    <w:rsid w:val="006E4C3D"/>
    <w:rsid w:val="006E5389"/>
    <w:rsid w:val="006E5CFF"/>
    <w:rsid w:val="006F086B"/>
    <w:rsid w:val="006F1B56"/>
    <w:rsid w:val="006F2306"/>
    <w:rsid w:val="006F3129"/>
    <w:rsid w:val="006F3277"/>
    <w:rsid w:val="006F3CF8"/>
    <w:rsid w:val="006F6F07"/>
    <w:rsid w:val="00702ACB"/>
    <w:rsid w:val="00710702"/>
    <w:rsid w:val="00710EC1"/>
    <w:rsid w:val="00711EBB"/>
    <w:rsid w:val="00712455"/>
    <w:rsid w:val="00712497"/>
    <w:rsid w:val="0071680A"/>
    <w:rsid w:val="0071686E"/>
    <w:rsid w:val="00716921"/>
    <w:rsid w:val="0071750F"/>
    <w:rsid w:val="00721CC2"/>
    <w:rsid w:val="00723CD9"/>
    <w:rsid w:val="00724DCC"/>
    <w:rsid w:val="007260A0"/>
    <w:rsid w:val="0072785B"/>
    <w:rsid w:val="007303BD"/>
    <w:rsid w:val="0073103A"/>
    <w:rsid w:val="007320F1"/>
    <w:rsid w:val="00734459"/>
    <w:rsid w:val="00736FC4"/>
    <w:rsid w:val="00737AB0"/>
    <w:rsid w:val="00737B46"/>
    <w:rsid w:val="00740B80"/>
    <w:rsid w:val="00742E74"/>
    <w:rsid w:val="007435E7"/>
    <w:rsid w:val="0074365F"/>
    <w:rsid w:val="0074526D"/>
    <w:rsid w:val="00745F8A"/>
    <w:rsid w:val="007513BF"/>
    <w:rsid w:val="00754C0D"/>
    <w:rsid w:val="00757C77"/>
    <w:rsid w:val="0076054D"/>
    <w:rsid w:val="00760561"/>
    <w:rsid w:val="00760981"/>
    <w:rsid w:val="0076416B"/>
    <w:rsid w:val="00764A65"/>
    <w:rsid w:val="0076583B"/>
    <w:rsid w:val="00766386"/>
    <w:rsid w:val="007663FF"/>
    <w:rsid w:val="00767834"/>
    <w:rsid w:val="00771ADC"/>
    <w:rsid w:val="007725C1"/>
    <w:rsid w:val="007742C7"/>
    <w:rsid w:val="0077554A"/>
    <w:rsid w:val="007759E9"/>
    <w:rsid w:val="00775F4E"/>
    <w:rsid w:val="0077610B"/>
    <w:rsid w:val="0077696E"/>
    <w:rsid w:val="00776A40"/>
    <w:rsid w:val="00780FB6"/>
    <w:rsid w:val="00781BE8"/>
    <w:rsid w:val="00782788"/>
    <w:rsid w:val="00782F3A"/>
    <w:rsid w:val="00783975"/>
    <w:rsid w:val="00784904"/>
    <w:rsid w:val="007850AA"/>
    <w:rsid w:val="00786222"/>
    <w:rsid w:val="00786297"/>
    <w:rsid w:val="007904CC"/>
    <w:rsid w:val="007908C2"/>
    <w:rsid w:val="0079140A"/>
    <w:rsid w:val="00792211"/>
    <w:rsid w:val="00793D7D"/>
    <w:rsid w:val="00794952"/>
    <w:rsid w:val="00795375"/>
    <w:rsid w:val="007970C2"/>
    <w:rsid w:val="007A314F"/>
    <w:rsid w:val="007A38BD"/>
    <w:rsid w:val="007A3971"/>
    <w:rsid w:val="007A5662"/>
    <w:rsid w:val="007A663C"/>
    <w:rsid w:val="007A6B0E"/>
    <w:rsid w:val="007A73E7"/>
    <w:rsid w:val="007B1A89"/>
    <w:rsid w:val="007B28D4"/>
    <w:rsid w:val="007B4203"/>
    <w:rsid w:val="007C1AD8"/>
    <w:rsid w:val="007C5778"/>
    <w:rsid w:val="007C598A"/>
    <w:rsid w:val="007C616B"/>
    <w:rsid w:val="007C6ECC"/>
    <w:rsid w:val="007C7C20"/>
    <w:rsid w:val="007D136F"/>
    <w:rsid w:val="007D1EB4"/>
    <w:rsid w:val="007D2C37"/>
    <w:rsid w:val="007D4C77"/>
    <w:rsid w:val="007D59A4"/>
    <w:rsid w:val="007D62FE"/>
    <w:rsid w:val="007D6509"/>
    <w:rsid w:val="007D7746"/>
    <w:rsid w:val="007D7DA4"/>
    <w:rsid w:val="007E3F11"/>
    <w:rsid w:val="007E4D89"/>
    <w:rsid w:val="007E7046"/>
    <w:rsid w:val="007F0957"/>
    <w:rsid w:val="007F1630"/>
    <w:rsid w:val="007F1F1D"/>
    <w:rsid w:val="007F2C12"/>
    <w:rsid w:val="007F2EEF"/>
    <w:rsid w:val="007F76BD"/>
    <w:rsid w:val="007F7A4C"/>
    <w:rsid w:val="00800132"/>
    <w:rsid w:val="00804273"/>
    <w:rsid w:val="00804F14"/>
    <w:rsid w:val="0080628C"/>
    <w:rsid w:val="008068FA"/>
    <w:rsid w:val="00811B5A"/>
    <w:rsid w:val="00811BFF"/>
    <w:rsid w:val="00814880"/>
    <w:rsid w:val="00817311"/>
    <w:rsid w:val="008215B9"/>
    <w:rsid w:val="00822428"/>
    <w:rsid w:val="00822B22"/>
    <w:rsid w:val="008230A1"/>
    <w:rsid w:val="008245F5"/>
    <w:rsid w:val="00824D96"/>
    <w:rsid w:val="008250CF"/>
    <w:rsid w:val="00832F5B"/>
    <w:rsid w:val="00835004"/>
    <w:rsid w:val="00836714"/>
    <w:rsid w:val="008412A4"/>
    <w:rsid w:val="008440BC"/>
    <w:rsid w:val="008515D3"/>
    <w:rsid w:val="00851FAF"/>
    <w:rsid w:val="00852B63"/>
    <w:rsid w:val="00854572"/>
    <w:rsid w:val="00857460"/>
    <w:rsid w:val="00857DE0"/>
    <w:rsid w:val="00861338"/>
    <w:rsid w:val="008613DD"/>
    <w:rsid w:val="00861776"/>
    <w:rsid w:val="0086329F"/>
    <w:rsid w:val="00863D4A"/>
    <w:rsid w:val="00864F31"/>
    <w:rsid w:val="008656F8"/>
    <w:rsid w:val="00865879"/>
    <w:rsid w:val="0087057D"/>
    <w:rsid w:val="00871312"/>
    <w:rsid w:val="0087388C"/>
    <w:rsid w:val="008739B1"/>
    <w:rsid w:val="00874B3B"/>
    <w:rsid w:val="0088176E"/>
    <w:rsid w:val="008834C0"/>
    <w:rsid w:val="008914F2"/>
    <w:rsid w:val="008941C6"/>
    <w:rsid w:val="008A19A3"/>
    <w:rsid w:val="008A732E"/>
    <w:rsid w:val="008B08F1"/>
    <w:rsid w:val="008B0D9B"/>
    <w:rsid w:val="008B114C"/>
    <w:rsid w:val="008B24B6"/>
    <w:rsid w:val="008B5019"/>
    <w:rsid w:val="008B59C0"/>
    <w:rsid w:val="008C285F"/>
    <w:rsid w:val="008C73BA"/>
    <w:rsid w:val="008C7B69"/>
    <w:rsid w:val="008D153B"/>
    <w:rsid w:val="008D177B"/>
    <w:rsid w:val="008D49E3"/>
    <w:rsid w:val="008D6CEC"/>
    <w:rsid w:val="008E12AB"/>
    <w:rsid w:val="008E3C70"/>
    <w:rsid w:val="008E49EA"/>
    <w:rsid w:val="008E5C9C"/>
    <w:rsid w:val="008E69BD"/>
    <w:rsid w:val="008E7CEA"/>
    <w:rsid w:val="008F02E8"/>
    <w:rsid w:val="008F0A8F"/>
    <w:rsid w:val="008F194F"/>
    <w:rsid w:val="008F346A"/>
    <w:rsid w:val="008F559A"/>
    <w:rsid w:val="008F71A9"/>
    <w:rsid w:val="008F747E"/>
    <w:rsid w:val="009011E5"/>
    <w:rsid w:val="00904CE9"/>
    <w:rsid w:val="00907E82"/>
    <w:rsid w:val="00910E42"/>
    <w:rsid w:val="00913564"/>
    <w:rsid w:val="0091462D"/>
    <w:rsid w:val="00915A2A"/>
    <w:rsid w:val="00916496"/>
    <w:rsid w:val="00917873"/>
    <w:rsid w:val="00917D89"/>
    <w:rsid w:val="00920891"/>
    <w:rsid w:val="0092140B"/>
    <w:rsid w:val="00923591"/>
    <w:rsid w:val="0092682E"/>
    <w:rsid w:val="00927F0E"/>
    <w:rsid w:val="009311EF"/>
    <w:rsid w:val="00931EBF"/>
    <w:rsid w:val="0093231C"/>
    <w:rsid w:val="009325F4"/>
    <w:rsid w:val="00932720"/>
    <w:rsid w:val="009344C5"/>
    <w:rsid w:val="00934AC9"/>
    <w:rsid w:val="00936268"/>
    <w:rsid w:val="0093713D"/>
    <w:rsid w:val="00941981"/>
    <w:rsid w:val="00941AB9"/>
    <w:rsid w:val="00943656"/>
    <w:rsid w:val="0094547E"/>
    <w:rsid w:val="00945AB2"/>
    <w:rsid w:val="00945E98"/>
    <w:rsid w:val="009504C5"/>
    <w:rsid w:val="009516C5"/>
    <w:rsid w:val="00952B7A"/>
    <w:rsid w:val="00955EC1"/>
    <w:rsid w:val="009600D9"/>
    <w:rsid w:val="009605A7"/>
    <w:rsid w:val="00960753"/>
    <w:rsid w:val="00960EAD"/>
    <w:rsid w:val="00961331"/>
    <w:rsid w:val="00961426"/>
    <w:rsid w:val="00961C53"/>
    <w:rsid w:val="009631E0"/>
    <w:rsid w:val="009633DA"/>
    <w:rsid w:val="00963ACA"/>
    <w:rsid w:val="00967532"/>
    <w:rsid w:val="009705A2"/>
    <w:rsid w:val="0097092B"/>
    <w:rsid w:val="00971621"/>
    <w:rsid w:val="00971C65"/>
    <w:rsid w:val="00972752"/>
    <w:rsid w:val="009730A2"/>
    <w:rsid w:val="00975904"/>
    <w:rsid w:val="009763E4"/>
    <w:rsid w:val="00976A32"/>
    <w:rsid w:val="00976B19"/>
    <w:rsid w:val="0097790E"/>
    <w:rsid w:val="00981234"/>
    <w:rsid w:val="00984E4F"/>
    <w:rsid w:val="009858D2"/>
    <w:rsid w:val="00990E79"/>
    <w:rsid w:val="0099235D"/>
    <w:rsid w:val="009928C3"/>
    <w:rsid w:val="009A16E3"/>
    <w:rsid w:val="009A2E8A"/>
    <w:rsid w:val="009A3E64"/>
    <w:rsid w:val="009A5B9F"/>
    <w:rsid w:val="009A5C72"/>
    <w:rsid w:val="009A627D"/>
    <w:rsid w:val="009A6C7D"/>
    <w:rsid w:val="009A73B3"/>
    <w:rsid w:val="009B0EB1"/>
    <w:rsid w:val="009B1E69"/>
    <w:rsid w:val="009B38BA"/>
    <w:rsid w:val="009B640D"/>
    <w:rsid w:val="009B65CF"/>
    <w:rsid w:val="009B7199"/>
    <w:rsid w:val="009B78CD"/>
    <w:rsid w:val="009B7A77"/>
    <w:rsid w:val="009C0C15"/>
    <w:rsid w:val="009C3C22"/>
    <w:rsid w:val="009C510D"/>
    <w:rsid w:val="009C60ED"/>
    <w:rsid w:val="009C6AA8"/>
    <w:rsid w:val="009C7157"/>
    <w:rsid w:val="009C7265"/>
    <w:rsid w:val="009D0441"/>
    <w:rsid w:val="009D0736"/>
    <w:rsid w:val="009D0FD8"/>
    <w:rsid w:val="009D14C7"/>
    <w:rsid w:val="009D1DB5"/>
    <w:rsid w:val="009D2B32"/>
    <w:rsid w:val="009D4013"/>
    <w:rsid w:val="009D52AD"/>
    <w:rsid w:val="009E072C"/>
    <w:rsid w:val="009E38A1"/>
    <w:rsid w:val="009F0DA8"/>
    <w:rsid w:val="009F1E40"/>
    <w:rsid w:val="009F3368"/>
    <w:rsid w:val="009F3AAF"/>
    <w:rsid w:val="009F4938"/>
    <w:rsid w:val="009F6F5C"/>
    <w:rsid w:val="00A01215"/>
    <w:rsid w:val="00A02C5B"/>
    <w:rsid w:val="00A0310F"/>
    <w:rsid w:val="00A0482E"/>
    <w:rsid w:val="00A04B55"/>
    <w:rsid w:val="00A072F7"/>
    <w:rsid w:val="00A101B6"/>
    <w:rsid w:val="00A1331E"/>
    <w:rsid w:val="00A168C9"/>
    <w:rsid w:val="00A169A8"/>
    <w:rsid w:val="00A17AAB"/>
    <w:rsid w:val="00A21440"/>
    <w:rsid w:val="00A22581"/>
    <w:rsid w:val="00A27D0F"/>
    <w:rsid w:val="00A30D80"/>
    <w:rsid w:val="00A33988"/>
    <w:rsid w:val="00A347DF"/>
    <w:rsid w:val="00A35BAC"/>
    <w:rsid w:val="00A37669"/>
    <w:rsid w:val="00A40740"/>
    <w:rsid w:val="00A40EA3"/>
    <w:rsid w:val="00A41BDB"/>
    <w:rsid w:val="00A41CE0"/>
    <w:rsid w:val="00A42FA7"/>
    <w:rsid w:val="00A445ED"/>
    <w:rsid w:val="00A448DC"/>
    <w:rsid w:val="00A45D09"/>
    <w:rsid w:val="00A50F3A"/>
    <w:rsid w:val="00A52C4E"/>
    <w:rsid w:val="00A53213"/>
    <w:rsid w:val="00A54EC8"/>
    <w:rsid w:val="00A54ED9"/>
    <w:rsid w:val="00A55966"/>
    <w:rsid w:val="00A55A43"/>
    <w:rsid w:val="00A608C5"/>
    <w:rsid w:val="00A60B5D"/>
    <w:rsid w:val="00A612D2"/>
    <w:rsid w:val="00A64094"/>
    <w:rsid w:val="00A662EC"/>
    <w:rsid w:val="00A67188"/>
    <w:rsid w:val="00A70C71"/>
    <w:rsid w:val="00A7184D"/>
    <w:rsid w:val="00A72C86"/>
    <w:rsid w:val="00A72CC0"/>
    <w:rsid w:val="00A7392B"/>
    <w:rsid w:val="00A74764"/>
    <w:rsid w:val="00A80B69"/>
    <w:rsid w:val="00A81378"/>
    <w:rsid w:val="00A842FA"/>
    <w:rsid w:val="00A84946"/>
    <w:rsid w:val="00A85319"/>
    <w:rsid w:val="00A85C5B"/>
    <w:rsid w:val="00A86D75"/>
    <w:rsid w:val="00A90622"/>
    <w:rsid w:val="00A92104"/>
    <w:rsid w:val="00A932ED"/>
    <w:rsid w:val="00A934FB"/>
    <w:rsid w:val="00A93508"/>
    <w:rsid w:val="00A94E71"/>
    <w:rsid w:val="00A95448"/>
    <w:rsid w:val="00AA1DDD"/>
    <w:rsid w:val="00AA35D3"/>
    <w:rsid w:val="00AA5901"/>
    <w:rsid w:val="00AA5A87"/>
    <w:rsid w:val="00AA5FE7"/>
    <w:rsid w:val="00AA6E6A"/>
    <w:rsid w:val="00AA70C3"/>
    <w:rsid w:val="00AA75D7"/>
    <w:rsid w:val="00AA7683"/>
    <w:rsid w:val="00AB0605"/>
    <w:rsid w:val="00AB15E0"/>
    <w:rsid w:val="00AB1E59"/>
    <w:rsid w:val="00AB312B"/>
    <w:rsid w:val="00AB4F32"/>
    <w:rsid w:val="00AB5DF9"/>
    <w:rsid w:val="00AC103E"/>
    <w:rsid w:val="00AC121B"/>
    <w:rsid w:val="00AC22D2"/>
    <w:rsid w:val="00AC47F3"/>
    <w:rsid w:val="00AC522B"/>
    <w:rsid w:val="00AC6FB6"/>
    <w:rsid w:val="00AC7AFB"/>
    <w:rsid w:val="00AC7E30"/>
    <w:rsid w:val="00AD217E"/>
    <w:rsid w:val="00AD346D"/>
    <w:rsid w:val="00AD5040"/>
    <w:rsid w:val="00AD6606"/>
    <w:rsid w:val="00AD79C2"/>
    <w:rsid w:val="00AE0BD8"/>
    <w:rsid w:val="00AE2019"/>
    <w:rsid w:val="00AE2546"/>
    <w:rsid w:val="00AE2C00"/>
    <w:rsid w:val="00AE3050"/>
    <w:rsid w:val="00AE499D"/>
    <w:rsid w:val="00AE4A2B"/>
    <w:rsid w:val="00AE5567"/>
    <w:rsid w:val="00AF336C"/>
    <w:rsid w:val="00AF6922"/>
    <w:rsid w:val="00AF6AA1"/>
    <w:rsid w:val="00B0063B"/>
    <w:rsid w:val="00B05DCA"/>
    <w:rsid w:val="00B06E52"/>
    <w:rsid w:val="00B104A1"/>
    <w:rsid w:val="00B106E9"/>
    <w:rsid w:val="00B10994"/>
    <w:rsid w:val="00B1103D"/>
    <w:rsid w:val="00B121B9"/>
    <w:rsid w:val="00B1415B"/>
    <w:rsid w:val="00B16C7A"/>
    <w:rsid w:val="00B16E07"/>
    <w:rsid w:val="00B17DEB"/>
    <w:rsid w:val="00B22905"/>
    <w:rsid w:val="00B22E1D"/>
    <w:rsid w:val="00B27DC3"/>
    <w:rsid w:val="00B343F2"/>
    <w:rsid w:val="00B350B3"/>
    <w:rsid w:val="00B415BD"/>
    <w:rsid w:val="00B43919"/>
    <w:rsid w:val="00B4410E"/>
    <w:rsid w:val="00B504B1"/>
    <w:rsid w:val="00B53275"/>
    <w:rsid w:val="00B55D1B"/>
    <w:rsid w:val="00B61B3B"/>
    <w:rsid w:val="00B671FA"/>
    <w:rsid w:val="00B71692"/>
    <w:rsid w:val="00B73ADE"/>
    <w:rsid w:val="00B73E36"/>
    <w:rsid w:val="00B75201"/>
    <w:rsid w:val="00B811D2"/>
    <w:rsid w:val="00B833E0"/>
    <w:rsid w:val="00B839F4"/>
    <w:rsid w:val="00B84019"/>
    <w:rsid w:val="00B84E7C"/>
    <w:rsid w:val="00B866D8"/>
    <w:rsid w:val="00B87705"/>
    <w:rsid w:val="00B91130"/>
    <w:rsid w:val="00B9114A"/>
    <w:rsid w:val="00B9501D"/>
    <w:rsid w:val="00B951C3"/>
    <w:rsid w:val="00B972EC"/>
    <w:rsid w:val="00BA22CF"/>
    <w:rsid w:val="00BA3DDF"/>
    <w:rsid w:val="00BA3F34"/>
    <w:rsid w:val="00BB00DB"/>
    <w:rsid w:val="00BB45C0"/>
    <w:rsid w:val="00BB5BB9"/>
    <w:rsid w:val="00BC10FE"/>
    <w:rsid w:val="00BC1F10"/>
    <w:rsid w:val="00BC1FBC"/>
    <w:rsid w:val="00BC3C9A"/>
    <w:rsid w:val="00BC4BB1"/>
    <w:rsid w:val="00BC61A7"/>
    <w:rsid w:val="00BD0FA9"/>
    <w:rsid w:val="00BD2EC3"/>
    <w:rsid w:val="00BD3034"/>
    <w:rsid w:val="00BD3D85"/>
    <w:rsid w:val="00BD4C26"/>
    <w:rsid w:val="00BE1D27"/>
    <w:rsid w:val="00BE1D96"/>
    <w:rsid w:val="00BE27DF"/>
    <w:rsid w:val="00BE3AAC"/>
    <w:rsid w:val="00BE53DC"/>
    <w:rsid w:val="00BE6873"/>
    <w:rsid w:val="00BF1723"/>
    <w:rsid w:val="00BF36F1"/>
    <w:rsid w:val="00BF41AF"/>
    <w:rsid w:val="00BF5996"/>
    <w:rsid w:val="00BF6C5E"/>
    <w:rsid w:val="00C00745"/>
    <w:rsid w:val="00C01732"/>
    <w:rsid w:val="00C02020"/>
    <w:rsid w:val="00C02B6D"/>
    <w:rsid w:val="00C0466A"/>
    <w:rsid w:val="00C04E04"/>
    <w:rsid w:val="00C111CA"/>
    <w:rsid w:val="00C1139E"/>
    <w:rsid w:val="00C1232A"/>
    <w:rsid w:val="00C16978"/>
    <w:rsid w:val="00C212E7"/>
    <w:rsid w:val="00C225B0"/>
    <w:rsid w:val="00C25160"/>
    <w:rsid w:val="00C26038"/>
    <w:rsid w:val="00C2724F"/>
    <w:rsid w:val="00C32314"/>
    <w:rsid w:val="00C35E7F"/>
    <w:rsid w:val="00C3733D"/>
    <w:rsid w:val="00C40F76"/>
    <w:rsid w:val="00C431C5"/>
    <w:rsid w:val="00C44F1D"/>
    <w:rsid w:val="00C465B8"/>
    <w:rsid w:val="00C53CB0"/>
    <w:rsid w:val="00C56073"/>
    <w:rsid w:val="00C56F74"/>
    <w:rsid w:val="00C61385"/>
    <w:rsid w:val="00C638F4"/>
    <w:rsid w:val="00C649B8"/>
    <w:rsid w:val="00C65972"/>
    <w:rsid w:val="00C65E7F"/>
    <w:rsid w:val="00C6625D"/>
    <w:rsid w:val="00C66628"/>
    <w:rsid w:val="00C66C5F"/>
    <w:rsid w:val="00C7073A"/>
    <w:rsid w:val="00C7157A"/>
    <w:rsid w:val="00C729FC"/>
    <w:rsid w:val="00C74A96"/>
    <w:rsid w:val="00C75BD6"/>
    <w:rsid w:val="00C76B8A"/>
    <w:rsid w:val="00C7781E"/>
    <w:rsid w:val="00C81BFE"/>
    <w:rsid w:val="00C83FE0"/>
    <w:rsid w:val="00C84A4A"/>
    <w:rsid w:val="00C84AB8"/>
    <w:rsid w:val="00C86CF4"/>
    <w:rsid w:val="00C904F3"/>
    <w:rsid w:val="00C90F9F"/>
    <w:rsid w:val="00C923EB"/>
    <w:rsid w:val="00C924DF"/>
    <w:rsid w:val="00C94916"/>
    <w:rsid w:val="00C96773"/>
    <w:rsid w:val="00C96DEF"/>
    <w:rsid w:val="00CA08F2"/>
    <w:rsid w:val="00CA19CF"/>
    <w:rsid w:val="00CA1BEB"/>
    <w:rsid w:val="00CA1E6E"/>
    <w:rsid w:val="00CA3144"/>
    <w:rsid w:val="00CA3403"/>
    <w:rsid w:val="00CA3D73"/>
    <w:rsid w:val="00CA541F"/>
    <w:rsid w:val="00CA71C1"/>
    <w:rsid w:val="00CB1519"/>
    <w:rsid w:val="00CB1C48"/>
    <w:rsid w:val="00CB44DE"/>
    <w:rsid w:val="00CB5AFD"/>
    <w:rsid w:val="00CB627B"/>
    <w:rsid w:val="00CB6CEB"/>
    <w:rsid w:val="00CC07D2"/>
    <w:rsid w:val="00CC18B4"/>
    <w:rsid w:val="00CC1CA0"/>
    <w:rsid w:val="00CC1DE4"/>
    <w:rsid w:val="00CC24BB"/>
    <w:rsid w:val="00CC2A9A"/>
    <w:rsid w:val="00CC3873"/>
    <w:rsid w:val="00CC7014"/>
    <w:rsid w:val="00CD06B0"/>
    <w:rsid w:val="00CD2B58"/>
    <w:rsid w:val="00CD329F"/>
    <w:rsid w:val="00CE083B"/>
    <w:rsid w:val="00CE0926"/>
    <w:rsid w:val="00CE0EF2"/>
    <w:rsid w:val="00CE3F78"/>
    <w:rsid w:val="00CE700F"/>
    <w:rsid w:val="00CE76EB"/>
    <w:rsid w:val="00CF3FB6"/>
    <w:rsid w:val="00CF4E15"/>
    <w:rsid w:val="00CF55E5"/>
    <w:rsid w:val="00CF6AF8"/>
    <w:rsid w:val="00CF79AA"/>
    <w:rsid w:val="00D0661B"/>
    <w:rsid w:val="00D0757C"/>
    <w:rsid w:val="00D07ED3"/>
    <w:rsid w:val="00D1071F"/>
    <w:rsid w:val="00D11A65"/>
    <w:rsid w:val="00D1257F"/>
    <w:rsid w:val="00D13955"/>
    <w:rsid w:val="00D14747"/>
    <w:rsid w:val="00D1612E"/>
    <w:rsid w:val="00D20A06"/>
    <w:rsid w:val="00D245B0"/>
    <w:rsid w:val="00D27052"/>
    <w:rsid w:val="00D27D8D"/>
    <w:rsid w:val="00D3223A"/>
    <w:rsid w:val="00D3627C"/>
    <w:rsid w:val="00D3704A"/>
    <w:rsid w:val="00D42805"/>
    <w:rsid w:val="00D42ADF"/>
    <w:rsid w:val="00D42F85"/>
    <w:rsid w:val="00D43DC4"/>
    <w:rsid w:val="00D43E5C"/>
    <w:rsid w:val="00D448C4"/>
    <w:rsid w:val="00D44DAC"/>
    <w:rsid w:val="00D45674"/>
    <w:rsid w:val="00D515BD"/>
    <w:rsid w:val="00D51B09"/>
    <w:rsid w:val="00D53440"/>
    <w:rsid w:val="00D53FEF"/>
    <w:rsid w:val="00D54985"/>
    <w:rsid w:val="00D55351"/>
    <w:rsid w:val="00D560B9"/>
    <w:rsid w:val="00D623A9"/>
    <w:rsid w:val="00D62C43"/>
    <w:rsid w:val="00D63823"/>
    <w:rsid w:val="00D63DA8"/>
    <w:rsid w:val="00D6422A"/>
    <w:rsid w:val="00D64239"/>
    <w:rsid w:val="00D6594B"/>
    <w:rsid w:val="00D73775"/>
    <w:rsid w:val="00D7449C"/>
    <w:rsid w:val="00D75A5D"/>
    <w:rsid w:val="00D76EB4"/>
    <w:rsid w:val="00D777A5"/>
    <w:rsid w:val="00D82EC6"/>
    <w:rsid w:val="00D835B5"/>
    <w:rsid w:val="00D85DB5"/>
    <w:rsid w:val="00D8715E"/>
    <w:rsid w:val="00D87537"/>
    <w:rsid w:val="00D90E03"/>
    <w:rsid w:val="00D91344"/>
    <w:rsid w:val="00D91F9A"/>
    <w:rsid w:val="00D92B46"/>
    <w:rsid w:val="00D93046"/>
    <w:rsid w:val="00DA0D54"/>
    <w:rsid w:val="00DA204C"/>
    <w:rsid w:val="00DA288E"/>
    <w:rsid w:val="00DA3914"/>
    <w:rsid w:val="00DA7F99"/>
    <w:rsid w:val="00DB1ABB"/>
    <w:rsid w:val="00DB2CCA"/>
    <w:rsid w:val="00DB3B47"/>
    <w:rsid w:val="00DB557A"/>
    <w:rsid w:val="00DC3BC8"/>
    <w:rsid w:val="00DC4009"/>
    <w:rsid w:val="00DC4F80"/>
    <w:rsid w:val="00DC5F46"/>
    <w:rsid w:val="00DC6226"/>
    <w:rsid w:val="00DD4522"/>
    <w:rsid w:val="00DD53AF"/>
    <w:rsid w:val="00DD5696"/>
    <w:rsid w:val="00DD5DA4"/>
    <w:rsid w:val="00DD75D6"/>
    <w:rsid w:val="00DE5370"/>
    <w:rsid w:val="00DE6ECA"/>
    <w:rsid w:val="00DF1EB7"/>
    <w:rsid w:val="00DF436E"/>
    <w:rsid w:val="00DF5C43"/>
    <w:rsid w:val="00E006BB"/>
    <w:rsid w:val="00E0159D"/>
    <w:rsid w:val="00E05465"/>
    <w:rsid w:val="00E0712F"/>
    <w:rsid w:val="00E10FA9"/>
    <w:rsid w:val="00E1103E"/>
    <w:rsid w:val="00E11D2E"/>
    <w:rsid w:val="00E1232F"/>
    <w:rsid w:val="00E12AEC"/>
    <w:rsid w:val="00E13FD0"/>
    <w:rsid w:val="00E143C4"/>
    <w:rsid w:val="00E16D62"/>
    <w:rsid w:val="00E22A32"/>
    <w:rsid w:val="00E2457E"/>
    <w:rsid w:val="00E250CA"/>
    <w:rsid w:val="00E256FB"/>
    <w:rsid w:val="00E2641C"/>
    <w:rsid w:val="00E30CDE"/>
    <w:rsid w:val="00E320C2"/>
    <w:rsid w:val="00E33650"/>
    <w:rsid w:val="00E33D79"/>
    <w:rsid w:val="00E34280"/>
    <w:rsid w:val="00E345B3"/>
    <w:rsid w:val="00E35571"/>
    <w:rsid w:val="00E37989"/>
    <w:rsid w:val="00E41260"/>
    <w:rsid w:val="00E418A6"/>
    <w:rsid w:val="00E451A3"/>
    <w:rsid w:val="00E459E1"/>
    <w:rsid w:val="00E461C5"/>
    <w:rsid w:val="00E506D1"/>
    <w:rsid w:val="00E51ACD"/>
    <w:rsid w:val="00E54371"/>
    <w:rsid w:val="00E56165"/>
    <w:rsid w:val="00E60282"/>
    <w:rsid w:val="00E60737"/>
    <w:rsid w:val="00E62E4C"/>
    <w:rsid w:val="00E6576A"/>
    <w:rsid w:val="00E65DE5"/>
    <w:rsid w:val="00E660FD"/>
    <w:rsid w:val="00E67322"/>
    <w:rsid w:val="00E67735"/>
    <w:rsid w:val="00E71422"/>
    <w:rsid w:val="00E7302F"/>
    <w:rsid w:val="00E762ED"/>
    <w:rsid w:val="00E81C53"/>
    <w:rsid w:val="00E8647C"/>
    <w:rsid w:val="00E90745"/>
    <w:rsid w:val="00E90DDD"/>
    <w:rsid w:val="00E923C6"/>
    <w:rsid w:val="00E96412"/>
    <w:rsid w:val="00E964C5"/>
    <w:rsid w:val="00E9650A"/>
    <w:rsid w:val="00E96EFD"/>
    <w:rsid w:val="00EA153E"/>
    <w:rsid w:val="00EA6499"/>
    <w:rsid w:val="00EA6B50"/>
    <w:rsid w:val="00EB482A"/>
    <w:rsid w:val="00EB4D38"/>
    <w:rsid w:val="00EB6A0D"/>
    <w:rsid w:val="00EB6BBF"/>
    <w:rsid w:val="00EC0027"/>
    <w:rsid w:val="00EC1026"/>
    <w:rsid w:val="00EC1389"/>
    <w:rsid w:val="00EC2FEC"/>
    <w:rsid w:val="00EC407B"/>
    <w:rsid w:val="00EC74E7"/>
    <w:rsid w:val="00ED1257"/>
    <w:rsid w:val="00ED52A4"/>
    <w:rsid w:val="00ED6A9C"/>
    <w:rsid w:val="00ED7207"/>
    <w:rsid w:val="00EE0C41"/>
    <w:rsid w:val="00EE3E51"/>
    <w:rsid w:val="00EE50A5"/>
    <w:rsid w:val="00EF3C42"/>
    <w:rsid w:val="00F012D4"/>
    <w:rsid w:val="00F02A94"/>
    <w:rsid w:val="00F037F6"/>
    <w:rsid w:val="00F04F7C"/>
    <w:rsid w:val="00F05E86"/>
    <w:rsid w:val="00F11654"/>
    <w:rsid w:val="00F135ED"/>
    <w:rsid w:val="00F14FAE"/>
    <w:rsid w:val="00F221DF"/>
    <w:rsid w:val="00F23E4A"/>
    <w:rsid w:val="00F24C16"/>
    <w:rsid w:val="00F27066"/>
    <w:rsid w:val="00F324BC"/>
    <w:rsid w:val="00F337F2"/>
    <w:rsid w:val="00F33B00"/>
    <w:rsid w:val="00F345C9"/>
    <w:rsid w:val="00F3611B"/>
    <w:rsid w:val="00F3752A"/>
    <w:rsid w:val="00F4494E"/>
    <w:rsid w:val="00F45073"/>
    <w:rsid w:val="00F45395"/>
    <w:rsid w:val="00F4592E"/>
    <w:rsid w:val="00F45A6B"/>
    <w:rsid w:val="00F5254C"/>
    <w:rsid w:val="00F54E0B"/>
    <w:rsid w:val="00F550A1"/>
    <w:rsid w:val="00F56A85"/>
    <w:rsid w:val="00F62D39"/>
    <w:rsid w:val="00F64CC0"/>
    <w:rsid w:val="00F65184"/>
    <w:rsid w:val="00F67137"/>
    <w:rsid w:val="00F67B45"/>
    <w:rsid w:val="00F70B17"/>
    <w:rsid w:val="00F71D7E"/>
    <w:rsid w:val="00F71E10"/>
    <w:rsid w:val="00F73B92"/>
    <w:rsid w:val="00F73C5C"/>
    <w:rsid w:val="00F74B21"/>
    <w:rsid w:val="00F75DF3"/>
    <w:rsid w:val="00F76A45"/>
    <w:rsid w:val="00F778E1"/>
    <w:rsid w:val="00F805EF"/>
    <w:rsid w:val="00F80A18"/>
    <w:rsid w:val="00F817E3"/>
    <w:rsid w:val="00F81EAC"/>
    <w:rsid w:val="00F84A71"/>
    <w:rsid w:val="00F90337"/>
    <w:rsid w:val="00F9148E"/>
    <w:rsid w:val="00F97B0F"/>
    <w:rsid w:val="00FA0615"/>
    <w:rsid w:val="00FA0A99"/>
    <w:rsid w:val="00FA21D3"/>
    <w:rsid w:val="00FA46D0"/>
    <w:rsid w:val="00FA6277"/>
    <w:rsid w:val="00FA7C95"/>
    <w:rsid w:val="00FA7DB6"/>
    <w:rsid w:val="00FB1A8C"/>
    <w:rsid w:val="00FB2956"/>
    <w:rsid w:val="00FB2F67"/>
    <w:rsid w:val="00FB377F"/>
    <w:rsid w:val="00FB4354"/>
    <w:rsid w:val="00FB62A8"/>
    <w:rsid w:val="00FB68AE"/>
    <w:rsid w:val="00FB75AC"/>
    <w:rsid w:val="00FB75E5"/>
    <w:rsid w:val="00FC282D"/>
    <w:rsid w:val="00FC3053"/>
    <w:rsid w:val="00FC37E2"/>
    <w:rsid w:val="00FC58F2"/>
    <w:rsid w:val="00FC59CD"/>
    <w:rsid w:val="00FC5D7E"/>
    <w:rsid w:val="00FD0314"/>
    <w:rsid w:val="00FD16BC"/>
    <w:rsid w:val="00FD1D95"/>
    <w:rsid w:val="00FD2350"/>
    <w:rsid w:val="00FD25B3"/>
    <w:rsid w:val="00FD37DA"/>
    <w:rsid w:val="00FD5000"/>
    <w:rsid w:val="00FE061F"/>
    <w:rsid w:val="00FE3334"/>
    <w:rsid w:val="00FE42A3"/>
    <w:rsid w:val="00FE545B"/>
    <w:rsid w:val="00FE5B69"/>
    <w:rsid w:val="00FE6778"/>
    <w:rsid w:val="00FE763A"/>
    <w:rsid w:val="00FF0033"/>
    <w:rsid w:val="00FF2BD5"/>
    <w:rsid w:val="00FF3E0A"/>
    <w:rsid w:val="00FF4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C3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2"/>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5D09"/>
    <w:rPr>
      <w:color w:val="0000FF"/>
      <w:u w:val="single"/>
    </w:rPr>
  </w:style>
  <w:style w:type="paragraph" w:customStyle="1" w:styleId="CharChar1CharCharCharCharCharCharCharCharChar">
    <w:name w:val="Char Char1 Char Char Char Char Char Char Char Char Char"/>
    <w:basedOn w:val="Normal"/>
    <w:rsid w:val="00FB75E5"/>
  </w:style>
  <w:style w:type="character" w:customStyle="1" w:styleId="BodyTextChar">
    <w:name w:val="Body Text Char"/>
    <w:link w:val="BodyText"/>
    <w:rsid w:val="007D1EB4"/>
    <w:rPr>
      <w:rFonts w:ascii="Arial" w:hAnsi="Arial"/>
      <w:color w:val="0000FF"/>
      <w:sz w:val="22"/>
      <w:lang w:val="en-AU" w:eastAsia="en-US" w:bidi="ar-SA"/>
    </w:rPr>
  </w:style>
  <w:style w:type="paragraph" w:styleId="BodyText">
    <w:name w:val="Body Text"/>
    <w:basedOn w:val="Normal"/>
    <w:link w:val="BodyTextChar"/>
    <w:rsid w:val="007D1EB4"/>
    <w:pPr>
      <w:keepLines/>
      <w:widowControl w:val="0"/>
      <w:ind w:right="-567"/>
    </w:pPr>
    <w:rPr>
      <w:color w:val="0000FF"/>
    </w:rPr>
  </w:style>
  <w:style w:type="paragraph" w:styleId="Footer">
    <w:name w:val="footer"/>
    <w:basedOn w:val="Normal"/>
    <w:rsid w:val="00E12AEC"/>
    <w:pPr>
      <w:tabs>
        <w:tab w:val="center" w:pos="4153"/>
        <w:tab w:val="right" w:pos="8306"/>
      </w:tabs>
    </w:pPr>
  </w:style>
  <w:style w:type="character" w:styleId="PageNumber">
    <w:name w:val="page number"/>
    <w:basedOn w:val="DefaultParagraphFont"/>
    <w:rsid w:val="00E12AEC"/>
  </w:style>
  <w:style w:type="paragraph" w:styleId="Header">
    <w:name w:val="header"/>
    <w:basedOn w:val="Normal"/>
    <w:rsid w:val="00E12AEC"/>
    <w:pPr>
      <w:tabs>
        <w:tab w:val="center" w:pos="4153"/>
        <w:tab w:val="right" w:pos="8306"/>
      </w:tabs>
    </w:pPr>
  </w:style>
  <w:style w:type="paragraph" w:styleId="BalloonText">
    <w:name w:val="Balloon Text"/>
    <w:basedOn w:val="Normal"/>
    <w:semiHidden/>
    <w:rsid w:val="00ED52A4"/>
    <w:rPr>
      <w:rFonts w:ascii="Tahoma" w:hAnsi="Tahoma" w:cs="Tahoma"/>
      <w:sz w:val="16"/>
      <w:szCs w:val="16"/>
    </w:rPr>
  </w:style>
  <w:style w:type="character" w:customStyle="1" w:styleId="Heading2CharChar1">
    <w:name w:val="Heading 2 Char Char1"/>
    <w:aliases w:val="Heading 2 Char1 Char Char1,Heading 2 Char Char Char Char1,Heading 2 Char3 Char Char Char Char,Heading 2 Char2 Char Char Char Char Char,Heading 2 Char1 Char Char Char Char Char Char,Heading 2 Char Char Char Char Char Char Char Char"/>
    <w:rsid w:val="00A84946"/>
    <w:rPr>
      <w:rFonts w:ascii="Arial" w:hAnsi="Arial" w:cs="Arial"/>
      <w:b/>
      <w:bCs/>
      <w:iCs/>
      <w:sz w:val="26"/>
      <w:szCs w:val="28"/>
      <w:lang w:val="en-AU" w:eastAsia="en-US" w:bidi="ar-SA"/>
    </w:rPr>
  </w:style>
  <w:style w:type="paragraph" w:styleId="NormalWeb">
    <w:name w:val="Normal (Web)"/>
    <w:basedOn w:val="Normal"/>
    <w:rsid w:val="00E67735"/>
    <w:pPr>
      <w:spacing w:before="100" w:beforeAutospacing="1" w:after="100" w:afterAutospacing="1"/>
    </w:pPr>
    <w:rPr>
      <w:rFonts w:ascii="Times New Roman" w:hAnsi="Times New Roman"/>
      <w:sz w:val="24"/>
      <w:szCs w:val="24"/>
      <w:lang w:eastAsia="en-AU"/>
    </w:rPr>
  </w:style>
  <w:style w:type="character" w:styleId="Emphasis">
    <w:name w:val="Emphasis"/>
    <w:qFormat/>
    <w:rsid w:val="006E5CFF"/>
    <w:rPr>
      <w:i/>
      <w:iCs/>
    </w:rPr>
  </w:style>
  <w:style w:type="character" w:styleId="CommentReference">
    <w:name w:val="annotation reference"/>
    <w:uiPriority w:val="99"/>
    <w:semiHidden/>
    <w:rsid w:val="00F04F7C"/>
    <w:rPr>
      <w:sz w:val="16"/>
      <w:szCs w:val="16"/>
    </w:rPr>
  </w:style>
  <w:style w:type="paragraph" w:styleId="CommentText">
    <w:name w:val="annotation text"/>
    <w:basedOn w:val="Normal"/>
    <w:link w:val="CommentTextChar"/>
    <w:uiPriority w:val="99"/>
    <w:rsid w:val="00F04F7C"/>
    <w:rPr>
      <w:sz w:val="20"/>
    </w:rPr>
  </w:style>
  <w:style w:type="paragraph" w:styleId="CommentSubject">
    <w:name w:val="annotation subject"/>
    <w:basedOn w:val="CommentText"/>
    <w:next w:val="CommentText"/>
    <w:semiHidden/>
    <w:rsid w:val="00F04F7C"/>
    <w:rPr>
      <w:b/>
      <w:bCs/>
    </w:rPr>
  </w:style>
  <w:style w:type="paragraph" w:styleId="ListParagraph">
    <w:name w:val="List Paragraph"/>
    <w:basedOn w:val="Normal"/>
    <w:link w:val="ListParagraphChar"/>
    <w:uiPriority w:val="34"/>
    <w:qFormat/>
    <w:rsid w:val="00B9114A"/>
    <w:pPr>
      <w:ind w:left="567"/>
    </w:pPr>
  </w:style>
  <w:style w:type="character" w:customStyle="1" w:styleId="ListParagraphChar">
    <w:name w:val="List Paragraph Char"/>
    <w:link w:val="ListParagraph"/>
    <w:uiPriority w:val="34"/>
    <w:locked/>
    <w:rsid w:val="00D515BD"/>
    <w:rPr>
      <w:rFonts w:ascii="Arial" w:hAnsi="Arial"/>
      <w:sz w:val="22"/>
      <w:lang w:eastAsia="en-US"/>
    </w:rPr>
  </w:style>
  <w:style w:type="paragraph" w:styleId="Revision">
    <w:name w:val="Revision"/>
    <w:hidden/>
    <w:uiPriority w:val="99"/>
    <w:semiHidden/>
    <w:rsid w:val="00B106E9"/>
    <w:rPr>
      <w:rFonts w:ascii="Arial" w:hAnsi="Arial"/>
      <w:sz w:val="22"/>
      <w:lang w:eastAsia="en-US"/>
    </w:rPr>
  </w:style>
  <w:style w:type="character" w:customStyle="1" w:styleId="CommentTextChar">
    <w:name w:val="Comment Text Char"/>
    <w:basedOn w:val="DefaultParagraphFont"/>
    <w:link w:val="CommentText"/>
    <w:uiPriority w:val="99"/>
    <w:rsid w:val="00B9501D"/>
    <w:rPr>
      <w:rFonts w:ascii="Arial" w:hAnsi="Arial"/>
      <w:lang w:eastAsia="en-US"/>
    </w:rPr>
  </w:style>
  <w:style w:type="paragraph" w:customStyle="1" w:styleId="Default">
    <w:name w:val="Default"/>
    <w:rsid w:val="004B4771"/>
    <w:pPr>
      <w:autoSpaceDE w:val="0"/>
      <w:autoSpaceDN w:val="0"/>
      <w:adjustRightInd w:val="0"/>
    </w:pPr>
    <w:rPr>
      <w:rFonts w:eastAsiaTheme="minorHAnsi"/>
      <w:color w:val="000000"/>
      <w:sz w:val="24"/>
      <w:szCs w:val="24"/>
      <w:lang w:eastAsia="en-US"/>
    </w:rPr>
  </w:style>
  <w:style w:type="character" w:customStyle="1" w:styleId="UnresolvedMention1">
    <w:name w:val="Unresolved Mention1"/>
    <w:basedOn w:val="DefaultParagraphFont"/>
    <w:uiPriority w:val="99"/>
    <w:semiHidden/>
    <w:unhideWhenUsed/>
    <w:rsid w:val="002E7912"/>
    <w:rPr>
      <w:color w:val="605E5C"/>
      <w:shd w:val="clear" w:color="auto" w:fill="E1DFDD"/>
    </w:rPr>
  </w:style>
  <w:style w:type="paragraph" w:customStyle="1" w:styleId="paragraph">
    <w:name w:val="paragraph"/>
    <w:aliases w:val="a"/>
    <w:basedOn w:val="Normal"/>
    <w:rsid w:val="00117C52"/>
    <w:pPr>
      <w:tabs>
        <w:tab w:val="right" w:pos="1531"/>
      </w:tabs>
      <w:spacing w:before="40"/>
      <w:ind w:left="1644" w:hanging="1644"/>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96938">
      <w:bodyDiv w:val="1"/>
      <w:marLeft w:val="0"/>
      <w:marRight w:val="0"/>
      <w:marTop w:val="0"/>
      <w:marBottom w:val="0"/>
      <w:divBdr>
        <w:top w:val="none" w:sz="0" w:space="0" w:color="auto"/>
        <w:left w:val="none" w:sz="0" w:space="0" w:color="auto"/>
        <w:bottom w:val="none" w:sz="0" w:space="0" w:color="auto"/>
        <w:right w:val="none" w:sz="0" w:space="0" w:color="auto"/>
      </w:divBdr>
      <w:divsChild>
        <w:div w:id="667901305">
          <w:marLeft w:val="0"/>
          <w:marRight w:val="0"/>
          <w:marTop w:val="0"/>
          <w:marBottom w:val="0"/>
          <w:divBdr>
            <w:top w:val="none" w:sz="0" w:space="0" w:color="auto"/>
            <w:left w:val="none" w:sz="0" w:space="0" w:color="auto"/>
            <w:bottom w:val="none" w:sz="0" w:space="0" w:color="auto"/>
            <w:right w:val="none" w:sz="0" w:space="0" w:color="auto"/>
          </w:divBdr>
          <w:divsChild>
            <w:div w:id="479810230">
              <w:marLeft w:val="0"/>
              <w:marRight w:val="0"/>
              <w:marTop w:val="0"/>
              <w:marBottom w:val="0"/>
              <w:divBdr>
                <w:top w:val="none" w:sz="0" w:space="0" w:color="auto"/>
                <w:left w:val="none" w:sz="0" w:space="0" w:color="auto"/>
                <w:bottom w:val="none" w:sz="0" w:space="0" w:color="auto"/>
                <w:right w:val="none" w:sz="0" w:space="0" w:color="auto"/>
              </w:divBdr>
              <w:divsChild>
                <w:div w:id="1056901762">
                  <w:marLeft w:val="0"/>
                  <w:marRight w:val="0"/>
                  <w:marTop w:val="0"/>
                  <w:marBottom w:val="0"/>
                  <w:divBdr>
                    <w:top w:val="none" w:sz="0" w:space="0" w:color="auto"/>
                    <w:left w:val="none" w:sz="0" w:space="0" w:color="auto"/>
                    <w:bottom w:val="none" w:sz="0" w:space="0" w:color="auto"/>
                    <w:right w:val="none" w:sz="0" w:space="0" w:color="auto"/>
                  </w:divBdr>
                  <w:divsChild>
                    <w:div w:id="1815101082">
                      <w:marLeft w:val="0"/>
                      <w:marRight w:val="0"/>
                      <w:marTop w:val="0"/>
                      <w:marBottom w:val="0"/>
                      <w:divBdr>
                        <w:top w:val="none" w:sz="0" w:space="0" w:color="auto"/>
                        <w:left w:val="none" w:sz="0" w:space="0" w:color="auto"/>
                        <w:bottom w:val="none" w:sz="0" w:space="0" w:color="auto"/>
                        <w:right w:val="none" w:sz="0" w:space="0" w:color="auto"/>
                      </w:divBdr>
                      <w:divsChild>
                        <w:div w:id="124979457">
                          <w:marLeft w:val="0"/>
                          <w:marRight w:val="0"/>
                          <w:marTop w:val="0"/>
                          <w:marBottom w:val="0"/>
                          <w:divBdr>
                            <w:top w:val="single" w:sz="6" w:space="0" w:color="828282"/>
                            <w:left w:val="single" w:sz="6" w:space="0" w:color="828282"/>
                            <w:bottom w:val="single" w:sz="6" w:space="0" w:color="828282"/>
                            <w:right w:val="single" w:sz="6" w:space="0" w:color="828282"/>
                          </w:divBdr>
                          <w:divsChild>
                            <w:div w:id="247278215">
                              <w:marLeft w:val="0"/>
                              <w:marRight w:val="0"/>
                              <w:marTop w:val="0"/>
                              <w:marBottom w:val="0"/>
                              <w:divBdr>
                                <w:top w:val="none" w:sz="0" w:space="0" w:color="auto"/>
                                <w:left w:val="none" w:sz="0" w:space="0" w:color="auto"/>
                                <w:bottom w:val="none" w:sz="0" w:space="0" w:color="auto"/>
                                <w:right w:val="none" w:sz="0" w:space="0" w:color="auto"/>
                              </w:divBdr>
                              <w:divsChild>
                                <w:div w:id="1506550550">
                                  <w:marLeft w:val="0"/>
                                  <w:marRight w:val="0"/>
                                  <w:marTop w:val="0"/>
                                  <w:marBottom w:val="0"/>
                                  <w:divBdr>
                                    <w:top w:val="none" w:sz="0" w:space="0" w:color="auto"/>
                                    <w:left w:val="none" w:sz="0" w:space="0" w:color="auto"/>
                                    <w:bottom w:val="none" w:sz="0" w:space="0" w:color="auto"/>
                                    <w:right w:val="none" w:sz="0" w:space="0" w:color="auto"/>
                                  </w:divBdr>
                                  <w:divsChild>
                                    <w:div w:id="600187185">
                                      <w:marLeft w:val="0"/>
                                      <w:marRight w:val="0"/>
                                      <w:marTop w:val="0"/>
                                      <w:marBottom w:val="0"/>
                                      <w:divBdr>
                                        <w:top w:val="none" w:sz="0" w:space="0" w:color="auto"/>
                                        <w:left w:val="none" w:sz="0" w:space="0" w:color="auto"/>
                                        <w:bottom w:val="none" w:sz="0" w:space="0" w:color="auto"/>
                                        <w:right w:val="none" w:sz="0" w:space="0" w:color="auto"/>
                                      </w:divBdr>
                                      <w:divsChild>
                                        <w:div w:id="2069763331">
                                          <w:marLeft w:val="0"/>
                                          <w:marRight w:val="0"/>
                                          <w:marTop w:val="0"/>
                                          <w:marBottom w:val="0"/>
                                          <w:divBdr>
                                            <w:top w:val="none" w:sz="0" w:space="0" w:color="auto"/>
                                            <w:left w:val="none" w:sz="0" w:space="0" w:color="auto"/>
                                            <w:bottom w:val="none" w:sz="0" w:space="0" w:color="auto"/>
                                            <w:right w:val="none" w:sz="0" w:space="0" w:color="auto"/>
                                          </w:divBdr>
                                          <w:divsChild>
                                            <w:div w:id="194315344">
                                              <w:marLeft w:val="0"/>
                                              <w:marRight w:val="0"/>
                                              <w:marTop w:val="0"/>
                                              <w:marBottom w:val="0"/>
                                              <w:divBdr>
                                                <w:top w:val="none" w:sz="0" w:space="0" w:color="auto"/>
                                                <w:left w:val="none" w:sz="0" w:space="0" w:color="auto"/>
                                                <w:bottom w:val="none" w:sz="0" w:space="0" w:color="auto"/>
                                                <w:right w:val="none" w:sz="0" w:space="0" w:color="auto"/>
                                              </w:divBdr>
                                              <w:divsChild>
                                                <w:div w:id="1738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81052">
      <w:bodyDiv w:val="1"/>
      <w:marLeft w:val="0"/>
      <w:marRight w:val="0"/>
      <w:marTop w:val="0"/>
      <w:marBottom w:val="0"/>
      <w:divBdr>
        <w:top w:val="none" w:sz="0" w:space="0" w:color="auto"/>
        <w:left w:val="none" w:sz="0" w:space="0" w:color="auto"/>
        <w:bottom w:val="none" w:sz="0" w:space="0" w:color="auto"/>
        <w:right w:val="none" w:sz="0" w:space="0" w:color="auto"/>
      </w:divBdr>
    </w:div>
    <w:div w:id="251938034">
      <w:bodyDiv w:val="1"/>
      <w:marLeft w:val="0"/>
      <w:marRight w:val="0"/>
      <w:marTop w:val="0"/>
      <w:marBottom w:val="0"/>
      <w:divBdr>
        <w:top w:val="none" w:sz="0" w:space="0" w:color="auto"/>
        <w:left w:val="none" w:sz="0" w:space="0" w:color="auto"/>
        <w:bottom w:val="none" w:sz="0" w:space="0" w:color="auto"/>
        <w:right w:val="none" w:sz="0" w:space="0" w:color="auto"/>
      </w:divBdr>
    </w:div>
    <w:div w:id="292096792">
      <w:bodyDiv w:val="1"/>
      <w:marLeft w:val="0"/>
      <w:marRight w:val="0"/>
      <w:marTop w:val="0"/>
      <w:marBottom w:val="0"/>
      <w:divBdr>
        <w:top w:val="none" w:sz="0" w:space="0" w:color="auto"/>
        <w:left w:val="none" w:sz="0" w:space="0" w:color="auto"/>
        <w:bottom w:val="none" w:sz="0" w:space="0" w:color="auto"/>
        <w:right w:val="none" w:sz="0" w:space="0" w:color="auto"/>
      </w:divBdr>
    </w:div>
    <w:div w:id="366029573">
      <w:bodyDiv w:val="1"/>
      <w:marLeft w:val="0"/>
      <w:marRight w:val="0"/>
      <w:marTop w:val="0"/>
      <w:marBottom w:val="0"/>
      <w:divBdr>
        <w:top w:val="none" w:sz="0" w:space="0" w:color="auto"/>
        <w:left w:val="none" w:sz="0" w:space="0" w:color="auto"/>
        <w:bottom w:val="none" w:sz="0" w:space="0" w:color="auto"/>
        <w:right w:val="none" w:sz="0" w:space="0" w:color="auto"/>
      </w:divBdr>
    </w:div>
    <w:div w:id="506948686">
      <w:bodyDiv w:val="1"/>
      <w:marLeft w:val="0"/>
      <w:marRight w:val="0"/>
      <w:marTop w:val="0"/>
      <w:marBottom w:val="0"/>
      <w:divBdr>
        <w:top w:val="none" w:sz="0" w:space="0" w:color="auto"/>
        <w:left w:val="none" w:sz="0" w:space="0" w:color="auto"/>
        <w:bottom w:val="none" w:sz="0" w:space="0" w:color="auto"/>
        <w:right w:val="none" w:sz="0" w:space="0" w:color="auto"/>
      </w:divBdr>
    </w:div>
    <w:div w:id="706878854">
      <w:bodyDiv w:val="1"/>
      <w:marLeft w:val="0"/>
      <w:marRight w:val="0"/>
      <w:marTop w:val="0"/>
      <w:marBottom w:val="0"/>
      <w:divBdr>
        <w:top w:val="none" w:sz="0" w:space="0" w:color="auto"/>
        <w:left w:val="none" w:sz="0" w:space="0" w:color="auto"/>
        <w:bottom w:val="none" w:sz="0" w:space="0" w:color="auto"/>
        <w:right w:val="none" w:sz="0" w:space="0" w:color="auto"/>
      </w:divBdr>
    </w:div>
    <w:div w:id="747962702">
      <w:bodyDiv w:val="1"/>
      <w:marLeft w:val="0"/>
      <w:marRight w:val="0"/>
      <w:marTop w:val="0"/>
      <w:marBottom w:val="0"/>
      <w:divBdr>
        <w:top w:val="none" w:sz="0" w:space="0" w:color="auto"/>
        <w:left w:val="none" w:sz="0" w:space="0" w:color="auto"/>
        <w:bottom w:val="none" w:sz="0" w:space="0" w:color="auto"/>
        <w:right w:val="none" w:sz="0" w:space="0" w:color="auto"/>
      </w:divBdr>
    </w:div>
    <w:div w:id="822045538">
      <w:bodyDiv w:val="1"/>
      <w:marLeft w:val="0"/>
      <w:marRight w:val="0"/>
      <w:marTop w:val="0"/>
      <w:marBottom w:val="0"/>
      <w:divBdr>
        <w:top w:val="none" w:sz="0" w:space="0" w:color="auto"/>
        <w:left w:val="none" w:sz="0" w:space="0" w:color="auto"/>
        <w:bottom w:val="none" w:sz="0" w:space="0" w:color="auto"/>
        <w:right w:val="none" w:sz="0" w:space="0" w:color="auto"/>
      </w:divBdr>
    </w:div>
    <w:div w:id="927739670">
      <w:bodyDiv w:val="1"/>
      <w:marLeft w:val="0"/>
      <w:marRight w:val="0"/>
      <w:marTop w:val="0"/>
      <w:marBottom w:val="0"/>
      <w:divBdr>
        <w:top w:val="none" w:sz="0" w:space="0" w:color="auto"/>
        <w:left w:val="none" w:sz="0" w:space="0" w:color="auto"/>
        <w:bottom w:val="none" w:sz="0" w:space="0" w:color="auto"/>
        <w:right w:val="none" w:sz="0" w:space="0" w:color="auto"/>
      </w:divBdr>
    </w:div>
    <w:div w:id="997266892">
      <w:bodyDiv w:val="1"/>
      <w:marLeft w:val="0"/>
      <w:marRight w:val="0"/>
      <w:marTop w:val="0"/>
      <w:marBottom w:val="0"/>
      <w:divBdr>
        <w:top w:val="none" w:sz="0" w:space="0" w:color="auto"/>
        <w:left w:val="none" w:sz="0" w:space="0" w:color="auto"/>
        <w:bottom w:val="none" w:sz="0" w:space="0" w:color="auto"/>
        <w:right w:val="none" w:sz="0" w:space="0" w:color="auto"/>
      </w:divBdr>
    </w:div>
    <w:div w:id="1026522089">
      <w:bodyDiv w:val="1"/>
      <w:marLeft w:val="0"/>
      <w:marRight w:val="0"/>
      <w:marTop w:val="0"/>
      <w:marBottom w:val="0"/>
      <w:divBdr>
        <w:top w:val="none" w:sz="0" w:space="0" w:color="auto"/>
        <w:left w:val="none" w:sz="0" w:space="0" w:color="auto"/>
        <w:bottom w:val="none" w:sz="0" w:space="0" w:color="auto"/>
        <w:right w:val="none" w:sz="0" w:space="0" w:color="auto"/>
      </w:divBdr>
    </w:div>
    <w:div w:id="1134257564">
      <w:bodyDiv w:val="1"/>
      <w:marLeft w:val="0"/>
      <w:marRight w:val="0"/>
      <w:marTop w:val="0"/>
      <w:marBottom w:val="0"/>
      <w:divBdr>
        <w:top w:val="none" w:sz="0" w:space="0" w:color="auto"/>
        <w:left w:val="none" w:sz="0" w:space="0" w:color="auto"/>
        <w:bottom w:val="none" w:sz="0" w:space="0" w:color="auto"/>
        <w:right w:val="none" w:sz="0" w:space="0" w:color="auto"/>
      </w:divBdr>
    </w:div>
    <w:div w:id="1412241193">
      <w:bodyDiv w:val="1"/>
      <w:marLeft w:val="0"/>
      <w:marRight w:val="0"/>
      <w:marTop w:val="0"/>
      <w:marBottom w:val="0"/>
      <w:divBdr>
        <w:top w:val="none" w:sz="0" w:space="0" w:color="auto"/>
        <w:left w:val="none" w:sz="0" w:space="0" w:color="auto"/>
        <w:bottom w:val="none" w:sz="0" w:space="0" w:color="auto"/>
        <w:right w:val="none" w:sz="0" w:space="0" w:color="auto"/>
      </w:divBdr>
    </w:div>
    <w:div w:id="1724939662">
      <w:bodyDiv w:val="1"/>
      <w:marLeft w:val="0"/>
      <w:marRight w:val="0"/>
      <w:marTop w:val="0"/>
      <w:marBottom w:val="0"/>
      <w:divBdr>
        <w:top w:val="none" w:sz="0" w:space="0" w:color="auto"/>
        <w:left w:val="none" w:sz="0" w:space="0" w:color="auto"/>
        <w:bottom w:val="none" w:sz="0" w:space="0" w:color="auto"/>
        <w:right w:val="none" w:sz="0" w:space="0" w:color="auto"/>
      </w:divBdr>
    </w:div>
    <w:div w:id="1776905726">
      <w:bodyDiv w:val="1"/>
      <w:marLeft w:val="0"/>
      <w:marRight w:val="0"/>
      <w:marTop w:val="0"/>
      <w:marBottom w:val="0"/>
      <w:divBdr>
        <w:top w:val="none" w:sz="0" w:space="0" w:color="auto"/>
        <w:left w:val="none" w:sz="0" w:space="0" w:color="auto"/>
        <w:bottom w:val="none" w:sz="0" w:space="0" w:color="auto"/>
        <w:right w:val="none" w:sz="0" w:space="0" w:color="auto"/>
      </w:divBdr>
    </w:div>
    <w:div w:id="1799293960">
      <w:bodyDiv w:val="1"/>
      <w:marLeft w:val="0"/>
      <w:marRight w:val="0"/>
      <w:marTop w:val="0"/>
      <w:marBottom w:val="0"/>
      <w:divBdr>
        <w:top w:val="none" w:sz="0" w:space="0" w:color="auto"/>
        <w:left w:val="none" w:sz="0" w:space="0" w:color="auto"/>
        <w:bottom w:val="none" w:sz="0" w:space="0" w:color="auto"/>
        <w:right w:val="none" w:sz="0" w:space="0" w:color="auto"/>
      </w:divBdr>
    </w:div>
    <w:div w:id="2025592147">
      <w:bodyDiv w:val="1"/>
      <w:marLeft w:val="0"/>
      <w:marRight w:val="0"/>
      <w:marTop w:val="0"/>
      <w:marBottom w:val="0"/>
      <w:divBdr>
        <w:top w:val="none" w:sz="0" w:space="0" w:color="auto"/>
        <w:left w:val="none" w:sz="0" w:space="0" w:color="auto"/>
        <w:bottom w:val="none" w:sz="0" w:space="0" w:color="auto"/>
        <w:right w:val="none" w:sz="0" w:space="0" w:color="auto"/>
      </w:divBdr>
    </w:div>
    <w:div w:id="2097164727">
      <w:bodyDiv w:val="1"/>
      <w:marLeft w:val="0"/>
      <w:marRight w:val="0"/>
      <w:marTop w:val="0"/>
      <w:marBottom w:val="0"/>
      <w:divBdr>
        <w:top w:val="none" w:sz="0" w:space="0" w:color="auto"/>
        <w:left w:val="none" w:sz="0" w:space="0" w:color="auto"/>
        <w:bottom w:val="none" w:sz="0" w:space="0" w:color="auto"/>
        <w:right w:val="none" w:sz="0" w:space="0" w:color="auto"/>
      </w:divBdr>
      <w:divsChild>
        <w:div w:id="1769230712">
          <w:marLeft w:val="0"/>
          <w:marRight w:val="0"/>
          <w:marTop w:val="0"/>
          <w:marBottom w:val="0"/>
          <w:divBdr>
            <w:top w:val="none" w:sz="0" w:space="0" w:color="auto"/>
            <w:left w:val="none" w:sz="0" w:space="0" w:color="auto"/>
            <w:bottom w:val="none" w:sz="0" w:space="0" w:color="auto"/>
            <w:right w:val="none" w:sz="0" w:space="0" w:color="auto"/>
          </w:divBdr>
          <w:divsChild>
            <w:div w:id="106855285">
              <w:marLeft w:val="0"/>
              <w:marRight w:val="0"/>
              <w:marTop w:val="0"/>
              <w:marBottom w:val="0"/>
              <w:divBdr>
                <w:top w:val="none" w:sz="0" w:space="0" w:color="auto"/>
                <w:left w:val="none" w:sz="0" w:space="0" w:color="auto"/>
                <w:bottom w:val="none" w:sz="0" w:space="0" w:color="auto"/>
                <w:right w:val="none" w:sz="0" w:space="0" w:color="auto"/>
              </w:divBdr>
              <w:divsChild>
                <w:div w:id="1697274229">
                  <w:marLeft w:val="0"/>
                  <w:marRight w:val="0"/>
                  <w:marTop w:val="0"/>
                  <w:marBottom w:val="0"/>
                  <w:divBdr>
                    <w:top w:val="none" w:sz="0" w:space="0" w:color="auto"/>
                    <w:left w:val="none" w:sz="0" w:space="0" w:color="auto"/>
                    <w:bottom w:val="none" w:sz="0" w:space="0" w:color="auto"/>
                    <w:right w:val="none" w:sz="0" w:space="0" w:color="auto"/>
                  </w:divBdr>
                  <w:divsChild>
                    <w:div w:id="135731261">
                      <w:marLeft w:val="0"/>
                      <w:marRight w:val="0"/>
                      <w:marTop w:val="0"/>
                      <w:marBottom w:val="0"/>
                      <w:divBdr>
                        <w:top w:val="none" w:sz="0" w:space="0" w:color="auto"/>
                        <w:left w:val="none" w:sz="0" w:space="0" w:color="auto"/>
                        <w:bottom w:val="none" w:sz="0" w:space="0" w:color="auto"/>
                        <w:right w:val="none" w:sz="0" w:space="0" w:color="auto"/>
                      </w:divBdr>
                      <w:divsChild>
                        <w:div w:id="433356609">
                          <w:marLeft w:val="0"/>
                          <w:marRight w:val="0"/>
                          <w:marTop w:val="0"/>
                          <w:marBottom w:val="0"/>
                          <w:divBdr>
                            <w:top w:val="single" w:sz="6" w:space="0" w:color="828282"/>
                            <w:left w:val="single" w:sz="6" w:space="0" w:color="828282"/>
                            <w:bottom w:val="single" w:sz="6" w:space="0" w:color="828282"/>
                            <w:right w:val="single" w:sz="6" w:space="0" w:color="828282"/>
                          </w:divBdr>
                          <w:divsChild>
                            <w:div w:id="606696306">
                              <w:marLeft w:val="0"/>
                              <w:marRight w:val="0"/>
                              <w:marTop w:val="0"/>
                              <w:marBottom w:val="0"/>
                              <w:divBdr>
                                <w:top w:val="none" w:sz="0" w:space="0" w:color="auto"/>
                                <w:left w:val="none" w:sz="0" w:space="0" w:color="auto"/>
                                <w:bottom w:val="none" w:sz="0" w:space="0" w:color="auto"/>
                                <w:right w:val="none" w:sz="0" w:space="0" w:color="auto"/>
                              </w:divBdr>
                              <w:divsChild>
                                <w:div w:id="1154494695">
                                  <w:marLeft w:val="0"/>
                                  <w:marRight w:val="0"/>
                                  <w:marTop w:val="0"/>
                                  <w:marBottom w:val="0"/>
                                  <w:divBdr>
                                    <w:top w:val="none" w:sz="0" w:space="0" w:color="auto"/>
                                    <w:left w:val="none" w:sz="0" w:space="0" w:color="auto"/>
                                    <w:bottom w:val="none" w:sz="0" w:space="0" w:color="auto"/>
                                    <w:right w:val="none" w:sz="0" w:space="0" w:color="auto"/>
                                  </w:divBdr>
                                  <w:divsChild>
                                    <w:div w:id="1941064397">
                                      <w:marLeft w:val="0"/>
                                      <w:marRight w:val="0"/>
                                      <w:marTop w:val="0"/>
                                      <w:marBottom w:val="0"/>
                                      <w:divBdr>
                                        <w:top w:val="none" w:sz="0" w:space="0" w:color="auto"/>
                                        <w:left w:val="none" w:sz="0" w:space="0" w:color="auto"/>
                                        <w:bottom w:val="none" w:sz="0" w:space="0" w:color="auto"/>
                                        <w:right w:val="none" w:sz="0" w:space="0" w:color="auto"/>
                                      </w:divBdr>
                                      <w:divsChild>
                                        <w:div w:id="453058855">
                                          <w:marLeft w:val="0"/>
                                          <w:marRight w:val="0"/>
                                          <w:marTop w:val="0"/>
                                          <w:marBottom w:val="0"/>
                                          <w:divBdr>
                                            <w:top w:val="none" w:sz="0" w:space="0" w:color="auto"/>
                                            <w:left w:val="none" w:sz="0" w:space="0" w:color="auto"/>
                                            <w:bottom w:val="none" w:sz="0" w:space="0" w:color="auto"/>
                                            <w:right w:val="none" w:sz="0" w:space="0" w:color="auto"/>
                                          </w:divBdr>
                                          <w:divsChild>
                                            <w:div w:id="526022855">
                                              <w:marLeft w:val="0"/>
                                              <w:marRight w:val="0"/>
                                              <w:marTop w:val="0"/>
                                              <w:marBottom w:val="0"/>
                                              <w:divBdr>
                                                <w:top w:val="none" w:sz="0" w:space="0" w:color="auto"/>
                                                <w:left w:val="none" w:sz="0" w:space="0" w:color="auto"/>
                                                <w:bottom w:val="none" w:sz="0" w:space="0" w:color="auto"/>
                                                <w:right w:val="none" w:sz="0" w:space="0" w:color="auto"/>
                                              </w:divBdr>
                                              <w:divsChild>
                                                <w:div w:id="6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4DC88725CFD2044A5BB3D8F2709FCC1" ma:contentTypeVersion="" ma:contentTypeDescription="PDMS Document Site Content Type" ma:contentTypeScope="" ma:versionID="7aa4ef905fd05c75333bd7228d8331ee">
  <xsd:schema xmlns:xsd="http://www.w3.org/2001/XMLSchema" xmlns:xs="http://www.w3.org/2001/XMLSchema" xmlns:p="http://schemas.microsoft.com/office/2006/metadata/properties" xmlns:ns2="F9801A24-8D8A-4414-8397-80EADEE084F9" targetNamespace="http://schemas.microsoft.com/office/2006/metadata/properties" ma:root="true" ma:fieldsID="80065cd2ec358f889ce55ad708787b5c" ns2:_="">
    <xsd:import namespace="F9801A24-8D8A-4414-8397-80EADEE084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01A24-8D8A-4414-8397-80EADEE084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9801A24-8D8A-4414-8397-80EADEE084F9" xsi:nil="true"/>
  </documentManagement>
</p:properties>
</file>

<file path=customXml/itemProps1.xml><?xml version="1.0" encoding="utf-8"?>
<ds:datastoreItem xmlns:ds="http://schemas.openxmlformats.org/officeDocument/2006/customXml" ds:itemID="{7BF0960C-31AF-414F-80FC-41C686A9F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01A24-8D8A-4414-8397-80EADEE08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5CCDD-4BBB-4B19-B85E-35A2EBEF5F00}">
  <ds:schemaRefs>
    <ds:schemaRef ds:uri="http://schemas.openxmlformats.org/officeDocument/2006/bibliography"/>
  </ds:schemaRefs>
</ds:datastoreItem>
</file>

<file path=customXml/itemProps3.xml><?xml version="1.0" encoding="utf-8"?>
<ds:datastoreItem xmlns:ds="http://schemas.openxmlformats.org/officeDocument/2006/customXml" ds:itemID="{ED5BB067-D96A-41E0-9059-463197650F58}">
  <ds:schemaRefs>
    <ds:schemaRef ds:uri="http://schemas.microsoft.com/sharepoint/v3/contenttype/forms"/>
  </ds:schemaRefs>
</ds:datastoreItem>
</file>

<file path=customXml/itemProps4.xml><?xml version="1.0" encoding="utf-8"?>
<ds:datastoreItem xmlns:ds="http://schemas.openxmlformats.org/officeDocument/2006/customXml" ds:itemID="{57BCB878-D225-44CB-8E0A-8A501649E5F5}">
  <ds:schemaRef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F9801A24-8D8A-4414-8397-80EADEE084F9"/>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Attachment VIII - Explanatory Statement</vt:lpstr>
    </vt:vector>
  </TitlesOfParts>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VIII - Explanatory Statement</dc:title>
  <dc:creator/>
  <cp:lastModifiedBy/>
  <cp:revision>1</cp:revision>
  <cp:lastPrinted>2008-10-23T05:53:00Z</cp:lastPrinted>
  <dcterms:created xsi:type="dcterms:W3CDTF">2021-08-19T10:04:00Z</dcterms:created>
  <dcterms:modified xsi:type="dcterms:W3CDTF">2021-09-01T07:56:00Z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ms_AttachedBy">
    <vt:lpwstr>JENNINGS, Bruce</vt:lpwstr>
  </property>
  <property fmtid="{D5CDD505-2E9C-101B-9397-08002B2CF9AE}" pid="3" name="pdms_DocumentType">
    <vt:lpwstr>Briefing Attachment</vt:lpwstr>
  </property>
  <property fmtid="{D5CDD505-2E9C-101B-9397-08002B2CF9AE}" pid="4" name="pdms_Reason">
    <vt:lpwstr/>
  </property>
  <property fmtid="{D5CDD505-2E9C-101B-9397-08002B2CF9AE}" pid="5" name="pdms_DiRECtURI">
    <vt:lpwstr/>
  </property>
  <property fmtid="{D5CDD505-2E9C-101B-9397-08002B2CF9AE}" pid="6" name="pdms_MarkedAsDeleted">
    <vt:lpwstr>0</vt:lpwstr>
  </property>
  <property fmtid="{D5CDD505-2E9C-101B-9397-08002B2CF9AE}" pid="7" name="ContentType">
    <vt:lpwstr>PDR Documentation</vt:lpwstr>
  </property>
  <property fmtid="{D5CDD505-2E9C-101B-9397-08002B2CF9AE}" pid="8" name="ContentTypeId">
    <vt:lpwstr>0x010100266966F133664895A6EE3632470D45F50014DC88725CFD2044A5BB3D8F2709FCC1</vt:lpwstr>
  </property>
</Properties>
</file>