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54F56" w14:textId="77777777" w:rsidR="00F109D4" w:rsidRPr="00731FEA" w:rsidRDefault="00F109D4" w:rsidP="008E0360">
      <w:pPr>
        <w:pStyle w:val="Heading1"/>
        <w:spacing w:after="360"/>
        <w:rPr>
          <w:rFonts w:ascii="Times New Roman" w:hAnsi="Times New Roman"/>
          <w:sz w:val="24"/>
          <w:szCs w:val="24"/>
        </w:rPr>
      </w:pPr>
      <w:bookmarkStart w:id="0" w:name="_Hlk82688253"/>
      <w:r w:rsidRPr="00731FEA">
        <w:rPr>
          <w:rFonts w:ascii="Times New Roman" w:hAnsi="Times New Roman"/>
          <w:sz w:val="24"/>
          <w:szCs w:val="24"/>
        </w:rPr>
        <w:t>EXPLANATORY STATEMENT</w:t>
      </w:r>
    </w:p>
    <w:p w14:paraId="5C019E3C" w14:textId="473A9D26" w:rsidR="007662C7" w:rsidRPr="00731FEA" w:rsidRDefault="00F109D4" w:rsidP="008E0360">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FAA10695FF3240C981382C2C8431EC73"/>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Content>
          <w:r w:rsidR="00B27AB0">
            <w:rPr>
              <w:sz w:val="24"/>
              <w:szCs w:val="24"/>
            </w:rPr>
            <w:t xml:space="preserve">Minister for Superannuation, Financial </w:t>
          </w:r>
          <w:proofErr w:type="gramStart"/>
          <w:r w:rsidR="00B27AB0">
            <w:rPr>
              <w:sz w:val="24"/>
              <w:szCs w:val="24"/>
            </w:rPr>
            <w:t>Services</w:t>
          </w:r>
          <w:proofErr w:type="gramEnd"/>
          <w:r w:rsidR="00B27AB0">
            <w:rPr>
              <w:sz w:val="24"/>
              <w:szCs w:val="24"/>
            </w:rPr>
            <w:t xml:space="preserve"> and the Digital Economy</w:t>
          </w:r>
        </w:sdtContent>
      </w:sdt>
    </w:p>
    <w:p w14:paraId="452057B6" w14:textId="3B248793" w:rsidR="00F109D4" w:rsidRDefault="00B27AB0" w:rsidP="008E0360">
      <w:pPr>
        <w:spacing w:before="240" w:after="240"/>
        <w:jc w:val="center"/>
        <w:rPr>
          <w:i/>
        </w:rPr>
      </w:pPr>
      <w:r>
        <w:rPr>
          <w:i/>
        </w:rPr>
        <w:t>Competition and Consumer Act 2010</w:t>
      </w:r>
    </w:p>
    <w:p w14:paraId="04D1BAE3" w14:textId="1AA35110" w:rsidR="00F109D4" w:rsidRPr="00503E44" w:rsidRDefault="00B27AB0" w:rsidP="008E0360">
      <w:pPr>
        <w:tabs>
          <w:tab w:val="left" w:pos="1418"/>
        </w:tabs>
        <w:spacing w:before="0" w:after="240"/>
        <w:jc w:val="center"/>
        <w:rPr>
          <w:i/>
        </w:rPr>
      </w:pPr>
      <w:r>
        <w:rPr>
          <w:i/>
        </w:rPr>
        <w:t xml:space="preserve">Competition and Consumer (Consumer Data Right) Amendment Rules </w:t>
      </w:r>
      <w:r w:rsidR="000D3828">
        <w:rPr>
          <w:i/>
        </w:rPr>
        <w:t xml:space="preserve">(No. 1) </w:t>
      </w:r>
      <w:r>
        <w:rPr>
          <w:i/>
        </w:rPr>
        <w:t>2021</w:t>
      </w:r>
    </w:p>
    <w:p w14:paraId="48EAA396" w14:textId="77777777" w:rsidR="00274F70" w:rsidRDefault="00274F70" w:rsidP="008E0360">
      <w:r w:rsidRPr="00503E44">
        <w:t xml:space="preserve">Section </w:t>
      </w:r>
      <w:r>
        <w:t xml:space="preserve">56BA </w:t>
      </w:r>
      <w:r w:rsidRPr="00503E44">
        <w:t xml:space="preserve">of the </w:t>
      </w:r>
      <w:r w:rsidRPr="004635D2">
        <w:rPr>
          <w:i/>
          <w:iCs/>
        </w:rPr>
        <w:t>Competition and Consumer Act 2010</w:t>
      </w:r>
      <w:r w:rsidRPr="00503E44">
        <w:t xml:space="preserve"> (the Act) provides that the </w:t>
      </w:r>
      <w:r>
        <w:t>Minister</w:t>
      </w:r>
      <w:r w:rsidRPr="00503E44">
        <w:t xml:space="preserve"> may</w:t>
      </w:r>
      <w:r>
        <w:t>, by legislative instrument,</w:t>
      </w:r>
      <w:r w:rsidRPr="00503E44">
        <w:t xml:space="preserve"> make </w:t>
      </w:r>
      <w:r>
        <w:t>consumer data rules for designated sectors in accordance with Division 2 of Part IVD of the Act</w:t>
      </w:r>
      <w:r w:rsidRPr="00503E44">
        <w:t>.</w:t>
      </w:r>
    </w:p>
    <w:p w14:paraId="6C9290CC" w14:textId="77777777" w:rsidR="00274F70" w:rsidRDefault="00274F70" w:rsidP="008E0360">
      <w:r>
        <w:t>The Consumer Data Right (CDR) is an economy-wide regime which gives consumers access to and control over their data, and the ability to obtain products and services from accredited persons using CDR data.</w:t>
      </w:r>
    </w:p>
    <w:p w14:paraId="2C7FE960" w14:textId="77C016B3" w:rsidR="00CE594E" w:rsidRDefault="00274F70" w:rsidP="008E0360">
      <w:r>
        <w:t>The</w:t>
      </w:r>
      <w:r w:rsidR="00A12F31">
        <w:t xml:space="preserve"> purpose of the</w:t>
      </w:r>
      <w:r>
        <w:t xml:space="preserve"> </w:t>
      </w:r>
      <w:r>
        <w:rPr>
          <w:i/>
          <w:iCs/>
        </w:rPr>
        <w:t xml:space="preserve">Competition and Consumer (Consumer Data Right) Amendment Rules </w:t>
      </w:r>
      <w:r w:rsidR="000D3828">
        <w:rPr>
          <w:i/>
          <w:iCs/>
        </w:rPr>
        <w:t xml:space="preserve">(No. 1) </w:t>
      </w:r>
      <w:r>
        <w:rPr>
          <w:i/>
          <w:iCs/>
        </w:rPr>
        <w:t xml:space="preserve">2021 </w:t>
      </w:r>
      <w:r>
        <w:t xml:space="preserve">(the </w:t>
      </w:r>
      <w:r w:rsidR="00F45169">
        <w:t xml:space="preserve">Amending </w:t>
      </w:r>
      <w:r>
        <w:t xml:space="preserve">Rules) </w:t>
      </w:r>
      <w:r w:rsidR="00A12F31">
        <w:t xml:space="preserve">is to </w:t>
      </w:r>
      <w:r>
        <w:t xml:space="preserve">amend the </w:t>
      </w:r>
      <w:r w:rsidRPr="00C569A7">
        <w:rPr>
          <w:i/>
          <w:iCs/>
        </w:rPr>
        <w:t>Competition and Consumer (Consumer Data Right) Rules 2020</w:t>
      </w:r>
      <w:r>
        <w:t xml:space="preserve"> (the CDR Rules) to: </w:t>
      </w:r>
    </w:p>
    <w:p w14:paraId="307CF3CC" w14:textId="77777777" w:rsidR="00CE594E" w:rsidRDefault="00274F70" w:rsidP="008E0360">
      <w:pPr>
        <w:pStyle w:val="Bullet"/>
        <w:spacing w:before="120"/>
      </w:pPr>
      <w:r>
        <w:t xml:space="preserve">facilitate greater participation in the CDR regime by participants and </w:t>
      </w:r>
      <w:proofErr w:type="gramStart"/>
      <w:r>
        <w:t>consumers;</w:t>
      </w:r>
      <w:proofErr w:type="gramEnd"/>
      <w:r>
        <w:t xml:space="preserve"> </w:t>
      </w:r>
    </w:p>
    <w:p w14:paraId="0A94635E" w14:textId="77777777" w:rsidR="00CE594E" w:rsidRDefault="00274F70" w:rsidP="008E0360">
      <w:pPr>
        <w:pStyle w:val="Bullet"/>
        <w:spacing w:before="120"/>
      </w:pPr>
      <w:r>
        <w:t xml:space="preserve">provide greater control and choice to consumers in sharing their </w:t>
      </w:r>
      <w:proofErr w:type="gramStart"/>
      <w:r>
        <w:t>data;</w:t>
      </w:r>
      <w:proofErr w:type="gramEnd"/>
      <w:r>
        <w:t xml:space="preserve"> </w:t>
      </w:r>
    </w:p>
    <w:p w14:paraId="2562D667" w14:textId="77777777" w:rsidR="00CE594E" w:rsidRDefault="00274F70" w:rsidP="008E0360">
      <w:pPr>
        <w:pStyle w:val="Bullet"/>
        <w:spacing w:before="120"/>
      </w:pPr>
      <w:r>
        <w:t>promote innovation of CDR offerings including intermediary services; and</w:t>
      </w:r>
    </w:p>
    <w:p w14:paraId="4DC9E41C" w14:textId="13CE15E2" w:rsidR="00274F70" w:rsidRDefault="00274F70" w:rsidP="008E0360">
      <w:pPr>
        <w:pStyle w:val="Bullet"/>
        <w:spacing w:before="120"/>
      </w:pPr>
      <w:r>
        <w:t xml:space="preserve">enable services to be more effectively and efficiently provided to customers. </w:t>
      </w:r>
    </w:p>
    <w:p w14:paraId="68DAFE60" w14:textId="42CC89F0" w:rsidR="0077345D" w:rsidRDefault="0077345D" w:rsidP="008E0360">
      <w:pPr>
        <w:pStyle w:val="Dotpoint"/>
        <w:numPr>
          <w:ilvl w:val="0"/>
          <w:numId w:val="0"/>
        </w:numPr>
      </w:pPr>
      <w:r>
        <w:t xml:space="preserve">Schedule 1 to the </w:t>
      </w:r>
      <w:r w:rsidR="00F45169">
        <w:t xml:space="preserve">Amending </w:t>
      </w:r>
      <w:r>
        <w:t>Rules implements the sponsored accreditation model</w:t>
      </w:r>
      <w:r w:rsidR="00DB5EDF">
        <w:t>. This</w:t>
      </w:r>
      <w:r>
        <w:t xml:space="preserve"> reduces the cost of accreditation by altering certain obligations to establish information security capability as part of the accreditation process and ongoing accreditation obligations. </w:t>
      </w:r>
    </w:p>
    <w:p w14:paraId="345D8C75" w14:textId="7DF814F9" w:rsidR="0077345D" w:rsidRDefault="0077345D" w:rsidP="008E0360">
      <w:pPr>
        <w:pStyle w:val="Dotpoint"/>
        <w:numPr>
          <w:ilvl w:val="0"/>
          <w:numId w:val="0"/>
        </w:numPr>
      </w:pPr>
      <w:r>
        <w:t xml:space="preserve">Schedule 2 to the </w:t>
      </w:r>
      <w:r w:rsidR="00F45169">
        <w:t xml:space="preserve">Amending </w:t>
      </w:r>
      <w:r>
        <w:t>Rules establishes the CDR representative model</w:t>
      </w:r>
      <w:r w:rsidR="00DB5EDF">
        <w:t>. This</w:t>
      </w:r>
      <w:r>
        <w:t xml:space="preserve"> allows eligible participants to access </w:t>
      </w:r>
      <w:r w:rsidR="00DB5EDF">
        <w:t xml:space="preserve">the </w:t>
      </w:r>
      <w:r>
        <w:t xml:space="preserve">CDR and use data without the need for accreditation in circumstances where they offer CDR-related services to consumers as a representative of an </w:t>
      </w:r>
      <w:r w:rsidR="00B50035">
        <w:t>accredited data recipient</w:t>
      </w:r>
      <w:r>
        <w:t xml:space="preserve">. </w:t>
      </w:r>
    </w:p>
    <w:p w14:paraId="160C0F59" w14:textId="1CAA04E8" w:rsidR="0077345D" w:rsidRDefault="0077345D" w:rsidP="008E0360">
      <w:pPr>
        <w:pStyle w:val="Dotpoint"/>
        <w:numPr>
          <w:ilvl w:val="0"/>
          <w:numId w:val="0"/>
        </w:numPr>
      </w:pPr>
      <w:r>
        <w:t xml:space="preserve">Schedule 3 to the </w:t>
      </w:r>
      <w:r w:rsidR="00F45169">
        <w:t xml:space="preserve">Amending </w:t>
      </w:r>
      <w:r>
        <w:t xml:space="preserve">Rules allows </w:t>
      </w:r>
      <w:r w:rsidRPr="00600EAB">
        <w:t xml:space="preserve">consumers to </w:t>
      </w:r>
      <w:r>
        <w:t xml:space="preserve">nominate persons as </w:t>
      </w:r>
      <w:r>
        <w:rPr>
          <w:b/>
          <w:bCs/>
          <w:i/>
          <w:iCs/>
        </w:rPr>
        <w:t>trusted</w:t>
      </w:r>
      <w:r w:rsidRPr="00600EAB">
        <w:rPr>
          <w:b/>
          <w:bCs/>
          <w:i/>
          <w:iCs/>
        </w:rPr>
        <w:t xml:space="preserve"> advisers</w:t>
      </w:r>
      <w:r w:rsidRPr="00600EAB">
        <w:t xml:space="preserve"> </w:t>
      </w:r>
      <w:r>
        <w:t>to whom an accredited person may disclose</w:t>
      </w:r>
      <w:r w:rsidRPr="00600EAB">
        <w:t xml:space="preserve"> the</w:t>
      </w:r>
      <w:r>
        <w:t xml:space="preserve"> consumer’s </w:t>
      </w:r>
      <w:r w:rsidRPr="00600EAB">
        <w:t xml:space="preserve">data outside the CDR </w:t>
      </w:r>
      <w:r>
        <w:t xml:space="preserve">regime. The classes of trusted advisers are </w:t>
      </w:r>
      <w:r w:rsidRPr="00600EAB">
        <w:t xml:space="preserve">professions that </w:t>
      </w:r>
      <w:proofErr w:type="gramStart"/>
      <w:r>
        <w:t xml:space="preserve">are </w:t>
      </w:r>
      <w:r w:rsidR="003D5822">
        <w:t>considered to be</w:t>
      </w:r>
      <w:proofErr w:type="gramEnd"/>
      <w:r w:rsidR="003D5822">
        <w:t xml:space="preserve"> </w:t>
      </w:r>
      <w:r w:rsidR="0043245D">
        <w:t>appropriately</w:t>
      </w:r>
      <w:r w:rsidRPr="00600EAB">
        <w:t xml:space="preserve"> regulated to ensure a strong level of consumer protection is maintained</w:t>
      </w:r>
      <w:r>
        <w:t>.</w:t>
      </w:r>
    </w:p>
    <w:p w14:paraId="67B57B88" w14:textId="5590B568" w:rsidR="0077345D" w:rsidRDefault="0077345D" w:rsidP="008E0360">
      <w:pPr>
        <w:pStyle w:val="Dotpoint"/>
        <w:numPr>
          <w:ilvl w:val="0"/>
          <w:numId w:val="0"/>
        </w:numPr>
      </w:pPr>
      <w:r>
        <w:t xml:space="preserve">Schedule 3 to the </w:t>
      </w:r>
      <w:r w:rsidR="00F45169">
        <w:t xml:space="preserve">Amending </w:t>
      </w:r>
      <w:r>
        <w:t>Rules also introduces the concept of a CDR insight</w:t>
      </w:r>
      <w:r w:rsidR="00D366A0">
        <w:t>. This</w:t>
      </w:r>
      <w:r>
        <w:t xml:space="preserve"> allows CDR consumers to consent to their data being shared outside the CDR regime for prescribed purposes that are considered low risk and that are designed to limit the data shared to only what is necessary for the consumer to receive a service. </w:t>
      </w:r>
    </w:p>
    <w:p w14:paraId="38510512" w14:textId="424B3A50" w:rsidR="0077345D" w:rsidRDefault="0077345D" w:rsidP="008E0360">
      <w:pPr>
        <w:pStyle w:val="Dotpoint"/>
        <w:numPr>
          <w:ilvl w:val="0"/>
          <w:numId w:val="0"/>
        </w:numPr>
      </w:pPr>
      <w:r>
        <w:t xml:space="preserve">Schedule 4 to the </w:t>
      </w:r>
      <w:r w:rsidR="00F45169">
        <w:t xml:space="preserve">Amending </w:t>
      </w:r>
      <w:r>
        <w:t>Rules provides for joint accounts to be in scope</w:t>
      </w:r>
      <w:r w:rsidDel="00597DF2">
        <w:t xml:space="preserve"> </w:t>
      </w:r>
      <w:r>
        <w:t>for data sharing under the CDR by default (a ‘pre-approval’ setting)</w:t>
      </w:r>
      <w:r w:rsidR="00455A7D">
        <w:t xml:space="preserve">, with </w:t>
      </w:r>
      <w:r>
        <w:t>mechanisms by which a joint account holder may adjust or change the pre-approval option</w:t>
      </w:r>
      <w:r w:rsidR="00455A7D">
        <w:t xml:space="preserve"> also </w:t>
      </w:r>
      <w:r w:rsidR="00455A7D">
        <w:lastRenderedPageBreak/>
        <w:t>provided</w:t>
      </w:r>
      <w:r>
        <w:t xml:space="preserve">. Any joint account holder </w:t>
      </w:r>
      <w:r w:rsidR="00AF3533">
        <w:t>may</w:t>
      </w:r>
      <w:r>
        <w:t xml:space="preserve"> withdraw a consent for data sharing on an account at any time.</w:t>
      </w:r>
    </w:p>
    <w:p w14:paraId="173C5643" w14:textId="780FE29D" w:rsidR="0077345D" w:rsidRDefault="0077345D" w:rsidP="008E0360">
      <w:pPr>
        <w:pStyle w:val="Dotpoint"/>
        <w:numPr>
          <w:ilvl w:val="0"/>
          <w:numId w:val="0"/>
        </w:numPr>
      </w:pPr>
      <w:r>
        <w:t xml:space="preserve">Schedule 5 to the </w:t>
      </w:r>
      <w:r w:rsidR="00F45169">
        <w:t xml:space="preserve">Amending </w:t>
      </w:r>
      <w:r>
        <w:t xml:space="preserve">Rules provides for staged implementation of rules relating to joint accounts and </w:t>
      </w:r>
      <w:r w:rsidR="00FA6B8C">
        <w:t>‘</w:t>
      </w:r>
      <w:r>
        <w:t>direct to consumer</w:t>
      </w:r>
      <w:r w:rsidR="00FA6B8C">
        <w:t>’</w:t>
      </w:r>
      <w:r>
        <w:t xml:space="preserve"> obligations in the banking sector.</w:t>
      </w:r>
    </w:p>
    <w:p w14:paraId="56994C28" w14:textId="1D090BD9" w:rsidR="00AC4865" w:rsidRDefault="0077345D" w:rsidP="008E0360">
      <w:pPr>
        <w:pStyle w:val="Dotpoint"/>
        <w:numPr>
          <w:ilvl w:val="0"/>
          <w:numId w:val="0"/>
        </w:numPr>
      </w:pPr>
      <w:r>
        <w:t xml:space="preserve">Schedule 6 to the </w:t>
      </w:r>
      <w:r w:rsidR="00F45169">
        <w:t xml:space="preserve">Amending </w:t>
      </w:r>
      <w:r>
        <w:t xml:space="preserve">Rules </w:t>
      </w:r>
      <w:r w:rsidR="00AC4865">
        <w:t xml:space="preserve">enables an accredited person to rely on unaccredited outsourced service providers to collect CDR data and thereby reduce the cost of building and operating application programming interfaces that connect to data holders. </w:t>
      </w:r>
    </w:p>
    <w:p w14:paraId="00C61033" w14:textId="57DEEFA2" w:rsidR="0077345D" w:rsidRDefault="0077345D" w:rsidP="008E0360">
      <w:pPr>
        <w:pStyle w:val="Dotpoint"/>
        <w:numPr>
          <w:ilvl w:val="0"/>
          <w:numId w:val="0"/>
        </w:numPr>
      </w:pPr>
      <w:r>
        <w:t xml:space="preserve">Schedule 6 to the </w:t>
      </w:r>
      <w:r w:rsidR="00F45169">
        <w:t xml:space="preserve">Amending </w:t>
      </w:r>
      <w:r>
        <w:t xml:space="preserve">Rules </w:t>
      </w:r>
      <w:r w:rsidR="00AC4865">
        <w:t xml:space="preserve">also </w:t>
      </w:r>
      <w:r w:rsidR="005330C3">
        <w:t>makes consequential and minor amendments, with Schedule 7 to Amending Rules setting</w:t>
      </w:r>
      <w:r>
        <w:t xml:space="preserve"> out transitional matters</w:t>
      </w:r>
      <w:r w:rsidR="00495664">
        <w:t xml:space="preserve"> relating to the joint account amendments.</w:t>
      </w:r>
    </w:p>
    <w:p w14:paraId="1F5D9198" w14:textId="77777777" w:rsidR="002C226C" w:rsidRDefault="007368C0" w:rsidP="008E0360">
      <w:r>
        <w:t xml:space="preserve">Details of the Amending Rules are set out in </w:t>
      </w:r>
      <w:r w:rsidRPr="00317816">
        <w:rPr>
          <w:u w:val="single"/>
        </w:rPr>
        <w:t>Attachment</w:t>
      </w:r>
      <w:r>
        <w:rPr>
          <w:u w:val="single"/>
        </w:rPr>
        <w:t xml:space="preserve"> A</w:t>
      </w:r>
      <w:r>
        <w:t>.</w:t>
      </w:r>
    </w:p>
    <w:p w14:paraId="5597106A" w14:textId="73CD9D69" w:rsidR="00C132EB" w:rsidRPr="00C132EB" w:rsidRDefault="00C132EB" w:rsidP="008E0360">
      <w:pPr>
        <w:rPr>
          <w:i/>
        </w:rPr>
      </w:pPr>
      <w:r>
        <w:t xml:space="preserve">A Statement of Compatibility with Human Rights is at </w:t>
      </w:r>
      <w:r>
        <w:rPr>
          <w:u w:val="single"/>
        </w:rPr>
        <w:t>Attachment B</w:t>
      </w:r>
      <w:r>
        <w:t>.</w:t>
      </w:r>
    </w:p>
    <w:p w14:paraId="2C1798B8" w14:textId="0DE998C9" w:rsidR="00D63FAC" w:rsidRDefault="00D63FAC" w:rsidP="008E0360">
      <w:pPr>
        <w:pStyle w:val="Dotpoint"/>
        <w:numPr>
          <w:ilvl w:val="0"/>
          <w:numId w:val="0"/>
        </w:numPr>
      </w:pPr>
      <w:r w:rsidRPr="006C0EB1">
        <w:t xml:space="preserve">Before making consumer data rules, section 56BP of the Act requires the Minister to have regard to certain matters outlined in section 56AD. These include the effect of the rules on the interests of consumers, the efficiency of relevant markets, the privacy and confidentiality of consumers’ information, and the regulatory impact of the rules. The Minister has considered each of the factors required by the legislation when making the </w:t>
      </w:r>
      <w:r>
        <w:t>Amending Rules</w:t>
      </w:r>
      <w:r w:rsidRPr="006C0EB1">
        <w:t>.</w:t>
      </w:r>
    </w:p>
    <w:p w14:paraId="2446532E" w14:textId="56113BD3" w:rsidR="00467754" w:rsidRDefault="00467754" w:rsidP="008E0360">
      <w:pPr>
        <w:pStyle w:val="Dotpoint"/>
        <w:numPr>
          <w:ilvl w:val="0"/>
          <w:numId w:val="0"/>
        </w:numPr>
      </w:pPr>
      <w:r>
        <w:t xml:space="preserve">Section 56BP requires the Minister to be satisfied that the Secretary of the Department has arranged for consultation </w:t>
      </w:r>
      <w:r w:rsidR="00431C67">
        <w:t xml:space="preserve">as required by the Act </w:t>
      </w:r>
      <w:r>
        <w:t>and a report before the rules are made. This requirement has been met.</w:t>
      </w:r>
    </w:p>
    <w:p w14:paraId="49CB02BE" w14:textId="11967380" w:rsidR="009C592E" w:rsidRDefault="009C592E" w:rsidP="008E0360">
      <w:pPr>
        <w:pStyle w:val="Dotpoint"/>
        <w:numPr>
          <w:ilvl w:val="0"/>
          <w:numId w:val="0"/>
        </w:numPr>
      </w:pPr>
      <w:r>
        <w:t xml:space="preserve">Section 56BP also requires </w:t>
      </w:r>
      <w:r w:rsidR="00467754">
        <w:t xml:space="preserve">the Minister to wait at least 60 days after the day public consultation begins before making consumer data rules. With public consultation having </w:t>
      </w:r>
      <w:r w:rsidR="00431C67">
        <w:t>commenced</w:t>
      </w:r>
      <w:r w:rsidR="00467754">
        <w:t xml:space="preserve"> on 1 July 2021</w:t>
      </w:r>
      <w:r w:rsidR="00431C67">
        <w:t xml:space="preserve"> with publication of draft exposure rules on the Treasury website</w:t>
      </w:r>
      <w:r w:rsidR="00467754">
        <w:t>, this requirement has been met.</w:t>
      </w:r>
    </w:p>
    <w:p w14:paraId="64467194" w14:textId="5AA9620C" w:rsidR="0088467C" w:rsidRDefault="009C592E" w:rsidP="008E0360">
      <w:pPr>
        <w:pStyle w:val="Dotpoint"/>
        <w:numPr>
          <w:ilvl w:val="0"/>
          <w:numId w:val="0"/>
        </w:numPr>
      </w:pPr>
      <w:r>
        <w:t>A</w:t>
      </w:r>
      <w:r w:rsidR="003308D5" w:rsidRPr="009C592E">
        <w:t>n exposure draft of t</w:t>
      </w:r>
      <w:r w:rsidR="00F26CD7" w:rsidRPr="009C592E">
        <w:t xml:space="preserve">he </w:t>
      </w:r>
      <w:r w:rsidR="003308D5" w:rsidRPr="009C592E">
        <w:t xml:space="preserve">Amending </w:t>
      </w:r>
      <w:r w:rsidR="00F26CD7" w:rsidRPr="009C592E">
        <w:t xml:space="preserve">Rules </w:t>
      </w:r>
      <w:r w:rsidRPr="009C592E">
        <w:t xml:space="preserve">was released for consultation </w:t>
      </w:r>
      <w:r w:rsidR="00F26CD7" w:rsidRPr="009C592E">
        <w:t xml:space="preserve">from </w:t>
      </w:r>
      <w:r w:rsidR="00073E3C" w:rsidRPr="009C592E">
        <w:t>1</w:t>
      </w:r>
      <w:r>
        <w:t> </w:t>
      </w:r>
      <w:r w:rsidR="00073E3C" w:rsidRPr="009C592E">
        <w:t>July</w:t>
      </w:r>
      <w:r>
        <w:t> </w:t>
      </w:r>
      <w:r w:rsidR="00073E3C" w:rsidRPr="009C592E">
        <w:t xml:space="preserve">2021 to 30 July 2021. Submissions were received from </w:t>
      </w:r>
      <w:r w:rsidR="00547017">
        <w:t>56</w:t>
      </w:r>
      <w:r w:rsidR="00073E3C" w:rsidRPr="009C592E">
        <w:t xml:space="preserve"> </w:t>
      </w:r>
      <w:r w:rsidRPr="009C592E">
        <w:t>respondents</w:t>
      </w:r>
      <w:r w:rsidR="00073E3C" w:rsidRPr="009C592E">
        <w:t xml:space="preserve">. Stakeholders were largely supportive of the proposed reforms. Feedback from stakeholders has been </w:t>
      </w:r>
      <w:proofErr w:type="gramStart"/>
      <w:r w:rsidR="00073E3C" w:rsidRPr="009C592E">
        <w:t>taken into account</w:t>
      </w:r>
      <w:proofErr w:type="gramEnd"/>
      <w:r w:rsidR="00073E3C" w:rsidRPr="009C592E">
        <w:t xml:space="preserve"> in drafting minor changes to the </w:t>
      </w:r>
      <w:r w:rsidR="00F45169" w:rsidRPr="009C592E">
        <w:t xml:space="preserve">Amending </w:t>
      </w:r>
      <w:r w:rsidR="00073E3C" w:rsidRPr="009C592E">
        <w:t>Rules post consultation.</w:t>
      </w:r>
      <w:r w:rsidR="00073E3C">
        <w:t xml:space="preserve"> </w:t>
      </w:r>
    </w:p>
    <w:p w14:paraId="274ABDC2" w14:textId="2B3D22C2" w:rsidR="00D63FAC" w:rsidRDefault="00D63FAC" w:rsidP="008E0360">
      <w:r>
        <w:t xml:space="preserve">Schedules 1 to 4 to the Amending Rules implement recommendations of the 2017 Review into Open Banking, which was previously certified by Treasury as having undertaken a process and analysis equivalent to a Regulation Impact Statement. </w:t>
      </w:r>
      <w:r w:rsidRPr="00840C0A">
        <w:t>The</w:t>
      </w:r>
      <w:r>
        <w:t>se</w:t>
      </w:r>
      <w:r w:rsidRPr="00840C0A">
        <w:t xml:space="preserve"> </w:t>
      </w:r>
      <w:r>
        <w:t>amendments are not considered to significantly impact on the estimate of annual regulatory costs assessed for the implementation of the CDR Rules</w:t>
      </w:r>
      <w:r w:rsidRPr="00840C0A">
        <w:t>.</w:t>
      </w:r>
      <w:r>
        <w:t xml:space="preserve"> Schedules 5 and 6 are minor in nature. On this basis, the Office of Best Practice Regulation (OBPR) advised that a Regulation Impact Statement was not required (OBPR reference ID 24996).</w:t>
      </w:r>
    </w:p>
    <w:p w14:paraId="0D955740" w14:textId="6F2A34B5" w:rsidR="002C226C" w:rsidRDefault="002C226C" w:rsidP="008E0360">
      <w:r>
        <w:t>The</w:t>
      </w:r>
      <w:r w:rsidRPr="00D3322F">
        <w:t xml:space="preserve"> </w:t>
      </w:r>
      <w:r w:rsidR="003308D5">
        <w:t xml:space="preserve">Amending </w:t>
      </w:r>
      <w:r w:rsidRPr="00D3322F">
        <w:t>R</w:t>
      </w:r>
      <w:r w:rsidR="00264491">
        <w:t>ules</w:t>
      </w:r>
      <w:r>
        <w:t xml:space="preserve"> are</w:t>
      </w:r>
      <w:r w:rsidRPr="00D3322F">
        <w:t xml:space="preserve"> a legislative instrument for the purposes of the</w:t>
      </w:r>
      <w:r w:rsidRPr="00322524">
        <w:t xml:space="preserve"> </w:t>
      </w:r>
      <w:r w:rsidRPr="00D3322F">
        <w:rPr>
          <w:i/>
        </w:rPr>
        <w:t>Legislation Act 2003</w:t>
      </w:r>
      <w:r w:rsidRPr="00D3322F">
        <w:t>.</w:t>
      </w:r>
    </w:p>
    <w:p w14:paraId="2695B29D" w14:textId="3B7E63C5" w:rsidR="00E505A4" w:rsidRPr="00E505A4" w:rsidRDefault="00E505A4" w:rsidP="008E0360">
      <w:r w:rsidRPr="009C592E">
        <w:t xml:space="preserve">The Amending Rules commenced on the day after they were registered on the Federal Register of Legislation. </w:t>
      </w:r>
      <w:r w:rsidRPr="00E505A4">
        <w:t xml:space="preserve">Schedule 1 </w:t>
      </w:r>
      <w:r>
        <w:t xml:space="preserve">commenced </w:t>
      </w:r>
      <w:r w:rsidRPr="00E505A4">
        <w:t>on 1 February 2022</w:t>
      </w:r>
      <w:r>
        <w:t xml:space="preserve">. </w:t>
      </w:r>
      <w:r w:rsidRPr="00E505A4">
        <w:t>Schedule 2</w:t>
      </w:r>
      <w:r>
        <w:t xml:space="preserve"> and certain items in Schedule 6 relating to outsourced service providers commenced on </w:t>
      </w:r>
      <w:r w:rsidRPr="00E505A4">
        <w:lastRenderedPageBreak/>
        <w:t>the day 14 days after registration of the Amending Rules</w:t>
      </w:r>
      <w:r>
        <w:t xml:space="preserve">. </w:t>
      </w:r>
      <w:r w:rsidRPr="00E505A4">
        <w:t>Schedules 3</w:t>
      </w:r>
      <w:r>
        <w:t xml:space="preserve">, 4, 5 and </w:t>
      </w:r>
      <w:r w:rsidRPr="00E505A4">
        <w:t>7</w:t>
      </w:r>
      <w:r>
        <w:t>, and the balance of Schedule 6,</w:t>
      </w:r>
      <w:r w:rsidRPr="00E505A4">
        <w:t xml:space="preserve"> </w:t>
      </w:r>
      <w:r>
        <w:t xml:space="preserve">commenced </w:t>
      </w:r>
      <w:r w:rsidRPr="00E505A4">
        <w:t xml:space="preserve">on the day after </w:t>
      </w:r>
      <w:r>
        <w:t>registration</w:t>
      </w:r>
      <w:r w:rsidRPr="00E505A4">
        <w:t>.</w:t>
      </w:r>
    </w:p>
    <w:p w14:paraId="7A62D56F" w14:textId="541002DA" w:rsidR="00EA4DD8" w:rsidRDefault="00EA4DD8" w:rsidP="008E0360">
      <w:pPr>
        <w:pageBreakBefore/>
        <w:spacing w:before="240"/>
        <w:jc w:val="right"/>
        <w:rPr>
          <w:b/>
          <w:u w:val="single"/>
        </w:rPr>
      </w:pPr>
      <w:r w:rsidRPr="007B335E">
        <w:rPr>
          <w:b/>
          <w:u w:val="single"/>
        </w:rPr>
        <w:lastRenderedPageBreak/>
        <w:t xml:space="preserve">ATTACHMENT </w:t>
      </w:r>
      <w:r w:rsidR="0077345D">
        <w:rPr>
          <w:b/>
          <w:u w:val="single"/>
        </w:rPr>
        <w:t>A</w:t>
      </w:r>
    </w:p>
    <w:p w14:paraId="48D48FFC" w14:textId="55725530" w:rsidR="00FA345A" w:rsidRDefault="00FA345A" w:rsidP="008E0360">
      <w:pPr>
        <w:spacing w:before="240"/>
        <w:ind w:right="91"/>
        <w:rPr>
          <w:b/>
          <w:bCs/>
          <w:szCs w:val="24"/>
          <w:u w:val="single"/>
        </w:rPr>
      </w:pPr>
      <w:r>
        <w:rPr>
          <w:b/>
          <w:bCs/>
          <w:u w:val="single"/>
        </w:rPr>
        <w:t xml:space="preserve">Details of the </w:t>
      </w:r>
      <w:r>
        <w:rPr>
          <w:b/>
          <w:i/>
          <w:u w:val="single"/>
        </w:rPr>
        <w:t xml:space="preserve">Competition and Consumer (Consumer Data Right) Amendment </w:t>
      </w:r>
      <w:r w:rsidR="000D3828">
        <w:rPr>
          <w:b/>
          <w:i/>
          <w:u w:val="single"/>
        </w:rPr>
        <w:t xml:space="preserve">Rules </w:t>
      </w:r>
      <w:r>
        <w:rPr>
          <w:b/>
          <w:i/>
          <w:u w:val="single"/>
        </w:rPr>
        <w:t>(No. 1) 2021</w:t>
      </w:r>
      <w:r>
        <w:rPr>
          <w:b/>
          <w:bCs/>
          <w:u w:val="single"/>
        </w:rPr>
        <w:t xml:space="preserve"> </w:t>
      </w:r>
    </w:p>
    <w:p w14:paraId="046A85C6" w14:textId="62AE1461" w:rsidR="00FA345A" w:rsidRDefault="00FA345A" w:rsidP="008E0360">
      <w:pPr>
        <w:spacing w:before="240"/>
        <w:rPr>
          <w:rFonts w:ascii="Calibri" w:hAnsi="Calibri"/>
          <w:sz w:val="22"/>
          <w:szCs w:val="22"/>
          <w:u w:val="single"/>
          <w:lang w:eastAsia="en-US"/>
        </w:rPr>
      </w:pPr>
      <w:r>
        <w:rPr>
          <w:u w:val="single"/>
        </w:rPr>
        <w:t xml:space="preserve">Section 1 – Name of the </w:t>
      </w:r>
      <w:r w:rsidR="003308D5">
        <w:rPr>
          <w:u w:val="single"/>
        </w:rPr>
        <w:t>instrument</w:t>
      </w:r>
    </w:p>
    <w:p w14:paraId="059AA88B" w14:textId="4B50C8B8" w:rsidR="00FA345A" w:rsidRPr="005B6AA1" w:rsidRDefault="00FA345A" w:rsidP="008E0360">
      <w:pPr>
        <w:spacing w:before="240"/>
      </w:pPr>
      <w:r>
        <w:t xml:space="preserve">This section provides that the name of the </w:t>
      </w:r>
      <w:r w:rsidR="003308D5">
        <w:t>instrument</w:t>
      </w:r>
      <w:r>
        <w:t xml:space="preserve"> is the </w:t>
      </w:r>
      <w:r>
        <w:rPr>
          <w:i/>
          <w:iCs/>
        </w:rPr>
        <w:t xml:space="preserve">Competition and Consumer (Consumer Data Right) Amendment </w:t>
      </w:r>
      <w:r w:rsidR="000D3828">
        <w:rPr>
          <w:i/>
          <w:iCs/>
        </w:rPr>
        <w:t xml:space="preserve">Rules </w:t>
      </w:r>
      <w:r>
        <w:rPr>
          <w:i/>
          <w:iCs/>
        </w:rPr>
        <w:t>(No. 1) 2021</w:t>
      </w:r>
      <w:r>
        <w:t xml:space="preserve"> (the </w:t>
      </w:r>
      <w:r w:rsidR="003308D5">
        <w:t xml:space="preserve">Amending </w:t>
      </w:r>
      <w:r>
        <w:t>Rules).</w:t>
      </w:r>
    </w:p>
    <w:p w14:paraId="19408509" w14:textId="77777777" w:rsidR="00FA345A" w:rsidRDefault="00FA345A" w:rsidP="008E0360">
      <w:pPr>
        <w:spacing w:before="240"/>
        <w:ind w:right="91"/>
        <w:rPr>
          <w:u w:val="single"/>
        </w:rPr>
      </w:pPr>
      <w:r>
        <w:rPr>
          <w:u w:val="single"/>
        </w:rPr>
        <w:t>Section 2 – Commencement</w:t>
      </w:r>
    </w:p>
    <w:p w14:paraId="7717324D" w14:textId="77777777" w:rsidR="007E395A" w:rsidRPr="00E505A4" w:rsidRDefault="00CE5BCA" w:rsidP="008E0360">
      <w:pPr>
        <w:spacing w:before="240"/>
        <w:ind w:right="91"/>
      </w:pPr>
      <w:r w:rsidRPr="00CE5BCA">
        <w:t xml:space="preserve">This section provides that sections 1 to 4 of the Amending Rules commence on the day after the Amending Rules are registered. It also provides that the Schedules to </w:t>
      </w:r>
      <w:r w:rsidRPr="00E505A4">
        <w:t xml:space="preserve">the Amending Rules commence </w:t>
      </w:r>
      <w:r w:rsidR="007E395A" w:rsidRPr="00E505A4">
        <w:t>as follows:</w:t>
      </w:r>
    </w:p>
    <w:p w14:paraId="718A6E88" w14:textId="77777777" w:rsidR="007E395A" w:rsidRPr="00E505A4" w:rsidRDefault="007E395A" w:rsidP="008E0360">
      <w:pPr>
        <w:pStyle w:val="Bullet"/>
        <w:spacing w:before="120"/>
      </w:pPr>
      <w:r w:rsidRPr="00E505A4">
        <w:t xml:space="preserve">Schedule 1 on 1 February </w:t>
      </w:r>
      <w:proofErr w:type="gramStart"/>
      <w:r w:rsidRPr="00E505A4">
        <w:t>2022;</w:t>
      </w:r>
      <w:proofErr w:type="gramEnd"/>
    </w:p>
    <w:p w14:paraId="6184C6B8" w14:textId="63BB2184" w:rsidR="007E395A" w:rsidRPr="00E505A4" w:rsidRDefault="007E395A" w:rsidP="008E0360">
      <w:pPr>
        <w:pStyle w:val="Bullet"/>
        <w:spacing w:before="120"/>
      </w:pPr>
      <w:r w:rsidRPr="00E505A4">
        <w:t>Schedule 2</w:t>
      </w:r>
      <w:r w:rsidR="00E505A4">
        <w:t xml:space="preserve"> and certain items in Schedule 6 relating to outsourced service providers (items 1, 2, 3, 15, 18 and 19)</w:t>
      </w:r>
      <w:r w:rsidRPr="00E505A4">
        <w:t xml:space="preserve"> – </w:t>
      </w:r>
      <w:r w:rsidR="00E505A4">
        <w:t xml:space="preserve">on </w:t>
      </w:r>
      <w:r w:rsidR="000A4DCA" w:rsidRPr="00E505A4">
        <w:t xml:space="preserve">the day 14 days after </w:t>
      </w:r>
      <w:r w:rsidRPr="00E505A4">
        <w:t>registration of the Amending Rules; and</w:t>
      </w:r>
    </w:p>
    <w:p w14:paraId="20AAE29C" w14:textId="48FB9A05" w:rsidR="00CE5BCA" w:rsidRPr="00E505A4" w:rsidRDefault="007E395A" w:rsidP="008E0360">
      <w:pPr>
        <w:pStyle w:val="Bullet"/>
        <w:spacing w:before="120"/>
      </w:pPr>
      <w:r w:rsidRPr="00E505A4">
        <w:t>Schedules 3</w:t>
      </w:r>
      <w:r w:rsidR="00E505A4">
        <w:t xml:space="preserve">, 4, 5 and </w:t>
      </w:r>
      <w:r w:rsidRPr="00E505A4">
        <w:t>7</w:t>
      </w:r>
      <w:r w:rsidR="00E505A4">
        <w:t>, and the balance of Schedule 6,</w:t>
      </w:r>
      <w:r w:rsidRPr="00E505A4">
        <w:t xml:space="preserve"> on the day after the Amending Rules are registered.</w:t>
      </w:r>
    </w:p>
    <w:p w14:paraId="376F0857" w14:textId="77777777" w:rsidR="00FA345A" w:rsidRDefault="00FA345A" w:rsidP="008E0360">
      <w:pPr>
        <w:spacing w:before="240"/>
        <w:ind w:right="91"/>
        <w:rPr>
          <w:u w:val="single"/>
        </w:rPr>
      </w:pPr>
      <w:r>
        <w:rPr>
          <w:u w:val="single"/>
        </w:rPr>
        <w:t>Section 3 – Authority</w:t>
      </w:r>
    </w:p>
    <w:p w14:paraId="399FD5DC" w14:textId="07235A6E" w:rsidR="00FA345A" w:rsidRDefault="00FA345A" w:rsidP="008E0360">
      <w:pPr>
        <w:spacing w:before="240"/>
        <w:ind w:right="91"/>
      </w:pPr>
      <w:r>
        <w:t xml:space="preserve">The </w:t>
      </w:r>
      <w:r w:rsidR="003308D5">
        <w:t xml:space="preserve">Amending </w:t>
      </w:r>
      <w:r>
        <w:t xml:space="preserve">Rules are made under the </w:t>
      </w:r>
      <w:r>
        <w:rPr>
          <w:i/>
        </w:rPr>
        <w:t>Competition and Consumer Act 2010</w:t>
      </w:r>
      <w:r>
        <w:t xml:space="preserve"> (the Act).</w:t>
      </w:r>
    </w:p>
    <w:p w14:paraId="43DC341C" w14:textId="78ED387B" w:rsidR="00FA345A" w:rsidRDefault="00FA345A" w:rsidP="008E0360">
      <w:pPr>
        <w:spacing w:before="240"/>
        <w:ind w:right="91"/>
        <w:rPr>
          <w:u w:val="single"/>
        </w:rPr>
      </w:pPr>
      <w:r>
        <w:rPr>
          <w:u w:val="single"/>
        </w:rPr>
        <w:t>Section 4 – Schedule</w:t>
      </w:r>
      <w:r w:rsidRPr="002540E9">
        <w:rPr>
          <w:u w:val="single"/>
        </w:rPr>
        <w:t>s</w:t>
      </w:r>
    </w:p>
    <w:p w14:paraId="71C7F22E" w14:textId="0BF46173" w:rsidR="00FA345A" w:rsidRDefault="00FA345A" w:rsidP="008E0360">
      <w:pPr>
        <w:spacing w:before="240" w:after="200"/>
        <w:ind w:right="91"/>
      </w:pPr>
      <w:r>
        <w:t xml:space="preserve">This section provides that each instrument specified in </w:t>
      </w:r>
      <w:r w:rsidR="00104A82">
        <w:t xml:space="preserve">a </w:t>
      </w:r>
      <w:r>
        <w:t>Schedule to this instrument will be amended or repealed as set out in the applicable items in the Schedule</w:t>
      </w:r>
      <w:r w:rsidR="00104A82">
        <w:t xml:space="preserve"> concerned</w:t>
      </w:r>
      <w:r w:rsidR="002C6316">
        <w:t>.</w:t>
      </w:r>
      <w:r>
        <w:t xml:space="preserve"> </w:t>
      </w:r>
      <w:r w:rsidR="002C6316">
        <w:t>A</w:t>
      </w:r>
      <w:r>
        <w:t xml:space="preserve">ny other item in </w:t>
      </w:r>
      <w:r w:rsidR="00104A82">
        <w:t xml:space="preserve">a </w:t>
      </w:r>
      <w:r>
        <w:t>Schedule to this instrument has effect according to its terms.</w:t>
      </w:r>
    </w:p>
    <w:p w14:paraId="31420DEA" w14:textId="652F6B5E" w:rsidR="00186216" w:rsidRDefault="00186216" w:rsidP="008E0360">
      <w:pPr>
        <w:ind w:right="91"/>
      </w:pPr>
      <w:r>
        <w:t>In citations of provisions in this explanatory statement, unless otherwise specified:</w:t>
      </w:r>
    </w:p>
    <w:p w14:paraId="615D3A3E" w14:textId="5E79CA19" w:rsidR="00186216" w:rsidRDefault="00186216" w:rsidP="008E0360">
      <w:pPr>
        <w:pStyle w:val="Bullet"/>
        <w:spacing w:before="120"/>
      </w:pPr>
      <w:r>
        <w:t>r</w:t>
      </w:r>
      <w:r w:rsidRPr="00186216">
        <w:t>eferences to Schedules in citations of provisions in this explanatory statement are to Schedules to the Amending Rules, unless otherwise specified</w:t>
      </w:r>
      <w:r>
        <w:t>; and</w:t>
      </w:r>
    </w:p>
    <w:p w14:paraId="355C9E72" w14:textId="754CC73D" w:rsidR="00186216" w:rsidRPr="00186216" w:rsidRDefault="00186216" w:rsidP="008E0360">
      <w:pPr>
        <w:pStyle w:val="Bullet"/>
        <w:spacing w:before="120"/>
      </w:pPr>
      <w:r>
        <w:t>references to rules are to CDR Rules</w:t>
      </w:r>
      <w:r w:rsidRPr="00186216">
        <w:t>.</w:t>
      </w:r>
      <w:r>
        <w:t xml:space="preserve"> </w:t>
      </w:r>
    </w:p>
    <w:p w14:paraId="439F6B30" w14:textId="77777777" w:rsidR="004C409E" w:rsidRDefault="004C409E" w:rsidP="008E0360">
      <w:pPr>
        <w:spacing w:before="360" w:after="0"/>
        <w:rPr>
          <w:b/>
          <w:bCs/>
          <w:sz w:val="28"/>
          <w:szCs w:val="28"/>
          <w:u w:val="single"/>
        </w:rPr>
      </w:pPr>
    </w:p>
    <w:p w14:paraId="08F7E54E" w14:textId="77777777" w:rsidR="004C409E" w:rsidRDefault="004C409E" w:rsidP="008E0360">
      <w:pPr>
        <w:spacing w:before="0" w:after="0"/>
        <w:rPr>
          <w:b/>
          <w:bCs/>
          <w:sz w:val="28"/>
          <w:szCs w:val="28"/>
          <w:u w:val="single"/>
        </w:rPr>
      </w:pPr>
      <w:r>
        <w:rPr>
          <w:b/>
          <w:bCs/>
          <w:sz w:val="28"/>
          <w:szCs w:val="28"/>
          <w:u w:val="single"/>
        </w:rPr>
        <w:br w:type="page"/>
      </w:r>
    </w:p>
    <w:p w14:paraId="465E3F38" w14:textId="51025B8F" w:rsidR="009E0D18" w:rsidRPr="00875563" w:rsidRDefault="009E0D18" w:rsidP="008E0360">
      <w:pPr>
        <w:spacing w:before="360" w:after="0"/>
        <w:rPr>
          <w:sz w:val="28"/>
          <w:szCs w:val="28"/>
          <w:u w:val="single"/>
        </w:rPr>
      </w:pPr>
      <w:r w:rsidRPr="00875563">
        <w:rPr>
          <w:b/>
          <w:bCs/>
          <w:sz w:val="28"/>
          <w:szCs w:val="28"/>
          <w:u w:val="single"/>
        </w:rPr>
        <w:lastRenderedPageBreak/>
        <w:t xml:space="preserve">Schedule 1 - </w:t>
      </w:r>
      <w:r w:rsidR="00DB41C7" w:rsidRPr="002D464A">
        <w:rPr>
          <w:b/>
          <w:bCs/>
          <w:sz w:val="28"/>
          <w:szCs w:val="28"/>
          <w:u w:val="single"/>
        </w:rPr>
        <w:t>Amendments relating to sponsored accreditation</w:t>
      </w:r>
      <w:r w:rsidR="00DB41C7" w:rsidRPr="00875563" w:rsidDel="00DB41C7">
        <w:rPr>
          <w:b/>
          <w:bCs/>
          <w:sz w:val="28"/>
          <w:szCs w:val="28"/>
          <w:u w:val="single"/>
        </w:rPr>
        <w:t xml:space="preserve"> </w:t>
      </w:r>
    </w:p>
    <w:p w14:paraId="04A926F4" w14:textId="77777777" w:rsidR="009D1513" w:rsidRPr="004622BA" w:rsidRDefault="009D1513" w:rsidP="008E0360">
      <w:pPr>
        <w:spacing w:before="240" w:after="0"/>
        <w:ind w:right="91"/>
      </w:pPr>
      <w:r>
        <w:rPr>
          <w:i/>
          <w:iCs/>
        </w:rPr>
        <w:t>Background</w:t>
      </w:r>
    </w:p>
    <w:p w14:paraId="21067360" w14:textId="77777777" w:rsidR="00B26AB6" w:rsidRDefault="00951371" w:rsidP="008E0360">
      <w:pPr>
        <w:spacing w:after="0"/>
        <w:ind w:right="91"/>
      </w:pPr>
      <w:r>
        <w:t xml:space="preserve">Schedule 1 to the </w:t>
      </w:r>
      <w:r w:rsidR="003308D5">
        <w:t xml:space="preserve">Amending </w:t>
      </w:r>
      <w:r>
        <w:t xml:space="preserve">Rules introduces a new level of accreditation </w:t>
      </w:r>
      <w:r w:rsidR="00896BB3">
        <w:t xml:space="preserve">designed to reduce barriers </w:t>
      </w:r>
      <w:r w:rsidR="006E7FE3">
        <w:t xml:space="preserve">to entry for parties who wish to participate in the CDR regime as accredited persons. The new level of accreditation is known as sponsored accreditation. </w:t>
      </w:r>
    </w:p>
    <w:p w14:paraId="68480FCB" w14:textId="71686BEA" w:rsidR="009D1513" w:rsidRDefault="009D1513" w:rsidP="008E0360">
      <w:pPr>
        <w:spacing w:after="0"/>
        <w:ind w:right="91"/>
      </w:pPr>
      <w:r>
        <w:t xml:space="preserve">The sponsored level of accreditation is for persons with or who intend to have an arrangement with an unrestricted accredited person who is willing to act as their sponsor in the CDR regime. </w:t>
      </w:r>
      <w:r w:rsidR="007D23EA">
        <w:t xml:space="preserve">Persons with sponsored accreditation are restricted from accessing CDR data </w:t>
      </w:r>
      <w:r w:rsidR="00BD1D93">
        <w:t>directly</w:t>
      </w:r>
      <w:r w:rsidR="007D23EA">
        <w:t xml:space="preserve"> from </w:t>
      </w:r>
      <w:r w:rsidR="00BD1D93">
        <w:t>data holders</w:t>
      </w:r>
      <w:r w:rsidR="007D23EA">
        <w:t xml:space="preserve">. </w:t>
      </w:r>
    </w:p>
    <w:p w14:paraId="2F92BE95" w14:textId="6FA9E31C" w:rsidR="009D1513" w:rsidRDefault="009D1513" w:rsidP="008E0360">
      <w:pPr>
        <w:spacing w:after="0"/>
        <w:ind w:right="91"/>
      </w:pPr>
      <w:r>
        <w:t xml:space="preserve">A person accredited to the sponsored level and in a </w:t>
      </w:r>
      <w:proofErr w:type="gramStart"/>
      <w:r>
        <w:t>sponsorship</w:t>
      </w:r>
      <w:proofErr w:type="gramEnd"/>
      <w:r>
        <w:t xml:space="preserve"> arrangement </w:t>
      </w:r>
      <w:r w:rsidR="00BE6D87">
        <w:t xml:space="preserve">is </w:t>
      </w:r>
      <w:r>
        <w:t xml:space="preserve">known as an affiliate of its sponsor. </w:t>
      </w:r>
    </w:p>
    <w:p w14:paraId="2BA619D2" w14:textId="067947FA" w:rsidR="009D1513" w:rsidRDefault="009D1513" w:rsidP="008E0360">
      <w:pPr>
        <w:spacing w:after="0"/>
        <w:ind w:right="91"/>
      </w:pPr>
      <w:r>
        <w:t xml:space="preserve">Persons who wish to participate in the CDR </w:t>
      </w:r>
      <w:r w:rsidR="00993A30">
        <w:t>regime</w:t>
      </w:r>
      <w:r>
        <w:t xml:space="preserve"> as affiliates must have sponsored accreditation</w:t>
      </w:r>
      <w:r w:rsidR="00CE413C">
        <w:t>,</w:t>
      </w:r>
      <w:r>
        <w:t xml:space="preserve"> a</w:t>
      </w:r>
      <w:r w:rsidR="00234E97">
        <w:t>n arrangement with a registered sponsor</w:t>
      </w:r>
      <w:r w:rsidR="00CE413C">
        <w:t>, and have this arrangement published on the Register of Accredited Persons</w:t>
      </w:r>
      <w:r>
        <w:t xml:space="preserve"> before they can access CDR data. </w:t>
      </w:r>
    </w:p>
    <w:p w14:paraId="1E394FE7" w14:textId="16DF7819" w:rsidR="009D1513" w:rsidRDefault="009D1513" w:rsidP="008E0360">
      <w:pPr>
        <w:spacing w:after="0"/>
        <w:ind w:right="91"/>
      </w:pPr>
      <w:r>
        <w:t>An affiliate is an accredited person and is required to fulfil the obligations of an accredited person in the CDR regime. This includes (but is not limited to) compliance with dispute resolution obligations, the privacy safeguards and consent rules.</w:t>
      </w:r>
    </w:p>
    <w:p w14:paraId="28A5CBFA" w14:textId="220A9CB9" w:rsidR="00434FF7" w:rsidRDefault="009D1513" w:rsidP="008E0360">
      <w:pPr>
        <w:spacing w:after="0"/>
        <w:ind w:right="91"/>
      </w:pPr>
      <w:r w:rsidRPr="001D7BAB">
        <w:t xml:space="preserve">The accreditation criteria for sponsored accreditation </w:t>
      </w:r>
      <w:r w:rsidR="009D262F">
        <w:t xml:space="preserve">are </w:t>
      </w:r>
      <w:r w:rsidRPr="001D7BAB">
        <w:t xml:space="preserve">the same as for unrestricted accreditation. However, an affiliate </w:t>
      </w:r>
      <w:r w:rsidR="009D262F">
        <w:t>is</w:t>
      </w:r>
      <w:r w:rsidRPr="001D7BAB">
        <w:t xml:space="preserve"> not required to provide an assurance report to establish that it meets the information security criterion once accredited</w:t>
      </w:r>
      <w:r w:rsidR="004C582F">
        <w:t>, and this approach is intended to reflect the evidence that is required at the accreditation application stage as well</w:t>
      </w:r>
      <w:r w:rsidRPr="001D7BAB">
        <w:t>. Instead, an affiliate provide</w:t>
      </w:r>
      <w:r w:rsidR="009D262F">
        <w:t>s</w:t>
      </w:r>
      <w:r w:rsidRPr="001D7BAB">
        <w:t xml:space="preserve"> a self-assessment and attestation to the Data Recipient Accreditor (DRA). </w:t>
      </w:r>
    </w:p>
    <w:p w14:paraId="53A7E863" w14:textId="460040F0" w:rsidR="009D1513" w:rsidRDefault="009D1513" w:rsidP="008E0360">
      <w:pPr>
        <w:spacing w:after="0"/>
        <w:ind w:right="91"/>
      </w:pPr>
      <w:r>
        <w:t xml:space="preserve">The </w:t>
      </w:r>
      <w:r w:rsidR="00434FF7">
        <w:t>following table sets out</w:t>
      </w:r>
      <w:r>
        <w:t xml:space="preserve"> key differences between sponsored accreditation and unrestricted accreditation</w:t>
      </w:r>
      <w:r w:rsidR="00434FF7">
        <w:t>, with</w:t>
      </w:r>
      <w:r>
        <w:t xml:space="preserve"> more detail </w:t>
      </w:r>
      <w:r w:rsidR="00434FF7">
        <w:t xml:space="preserve">provided </w:t>
      </w:r>
      <w:r>
        <w:t>below</w:t>
      </w:r>
      <w:r w:rsidR="00434FF7">
        <w:t>.</w:t>
      </w:r>
    </w:p>
    <w:tbl>
      <w:tblPr>
        <w:tblStyle w:val="TableGrid"/>
        <w:tblW w:w="9073" w:type="dxa"/>
        <w:tblInd w:w="-147" w:type="dxa"/>
        <w:tblLook w:val="04A0" w:firstRow="1" w:lastRow="0" w:firstColumn="1" w:lastColumn="0" w:noHBand="0" w:noVBand="1"/>
      </w:tblPr>
      <w:tblGrid>
        <w:gridCol w:w="1681"/>
        <w:gridCol w:w="4411"/>
        <w:gridCol w:w="2981"/>
      </w:tblGrid>
      <w:tr w:rsidR="009D1513" w14:paraId="069BCC1A" w14:textId="77777777" w:rsidTr="001D02AF">
        <w:tc>
          <w:tcPr>
            <w:tcW w:w="1985" w:type="dxa"/>
          </w:tcPr>
          <w:p w14:paraId="6B8AFB66" w14:textId="77777777" w:rsidR="009D1513" w:rsidRPr="0055517F" w:rsidRDefault="009D1513" w:rsidP="008E0360">
            <w:pPr>
              <w:pStyle w:val="TableHeadingoutsidetable"/>
              <w:ind w:left="0"/>
              <w:rPr>
                <w:sz w:val="20"/>
              </w:rPr>
            </w:pPr>
            <w:r>
              <w:rPr>
                <w:sz w:val="20"/>
              </w:rPr>
              <w:lastRenderedPageBreak/>
              <w:t xml:space="preserve">Issue </w:t>
            </w:r>
          </w:p>
        </w:tc>
        <w:tc>
          <w:tcPr>
            <w:tcW w:w="3402" w:type="dxa"/>
          </w:tcPr>
          <w:p w14:paraId="4DDB654D" w14:textId="77777777" w:rsidR="009D1513" w:rsidRPr="0055517F" w:rsidRDefault="009D1513" w:rsidP="008E0360">
            <w:pPr>
              <w:pStyle w:val="TableHeadingoutsidetable"/>
              <w:ind w:left="0"/>
              <w:rPr>
                <w:sz w:val="20"/>
              </w:rPr>
            </w:pPr>
            <w:r w:rsidRPr="0055517F">
              <w:rPr>
                <w:sz w:val="20"/>
              </w:rPr>
              <w:t>Unrestricted</w:t>
            </w:r>
          </w:p>
        </w:tc>
        <w:tc>
          <w:tcPr>
            <w:tcW w:w="3686" w:type="dxa"/>
          </w:tcPr>
          <w:p w14:paraId="74CA0E84" w14:textId="77777777" w:rsidR="009D1513" w:rsidRPr="0055517F" w:rsidRDefault="009D1513" w:rsidP="008E0360">
            <w:pPr>
              <w:pStyle w:val="TableHeadingoutsidetable"/>
              <w:ind w:left="0"/>
              <w:rPr>
                <w:sz w:val="20"/>
              </w:rPr>
            </w:pPr>
            <w:r w:rsidRPr="0055517F">
              <w:rPr>
                <w:sz w:val="20"/>
              </w:rPr>
              <w:t>Sponsored</w:t>
            </w:r>
          </w:p>
        </w:tc>
      </w:tr>
      <w:tr w:rsidR="009D1513" w14:paraId="1E24A5D6" w14:textId="77777777" w:rsidTr="001D02AF">
        <w:tc>
          <w:tcPr>
            <w:tcW w:w="1985" w:type="dxa"/>
          </w:tcPr>
          <w:p w14:paraId="21F1B586" w14:textId="2C4432EB" w:rsidR="009D1513" w:rsidRPr="0055517F" w:rsidRDefault="009D1513" w:rsidP="008E0360">
            <w:pPr>
              <w:pStyle w:val="TableHeadingoutsidetable"/>
              <w:ind w:left="0"/>
              <w:rPr>
                <w:sz w:val="20"/>
              </w:rPr>
            </w:pPr>
            <w:r w:rsidRPr="0055517F">
              <w:rPr>
                <w:sz w:val="20"/>
              </w:rPr>
              <w:t xml:space="preserve">What is the evidence needed to establish information security on an ongoing basis? </w:t>
            </w:r>
          </w:p>
        </w:tc>
        <w:tc>
          <w:tcPr>
            <w:tcW w:w="3402" w:type="dxa"/>
          </w:tcPr>
          <w:p w14:paraId="50CD925F" w14:textId="77777777" w:rsidR="009D1513" w:rsidRPr="0055517F" w:rsidRDefault="009D1513" w:rsidP="008E0360">
            <w:pPr>
              <w:pStyle w:val="TableHeadingoutsidetable"/>
              <w:ind w:left="0"/>
              <w:rPr>
                <w:b w:val="0"/>
                <w:bCs/>
                <w:sz w:val="20"/>
              </w:rPr>
            </w:pPr>
            <w:r w:rsidRPr="0055517F">
              <w:rPr>
                <w:b w:val="0"/>
                <w:bCs/>
                <w:sz w:val="20"/>
              </w:rPr>
              <w:t>Independent third-party assurance report</w:t>
            </w:r>
            <w:r>
              <w:rPr>
                <w:b w:val="0"/>
                <w:bCs/>
                <w:sz w:val="20"/>
              </w:rPr>
              <w:t xml:space="preserve"> (for further information, including on partial acceptance of industry standards, see the ‘Supplementary Accreditation Guidelines’ published by the DRA)</w:t>
            </w:r>
            <w:r w:rsidRPr="0055517F">
              <w:rPr>
                <w:b w:val="0"/>
                <w:bCs/>
                <w:sz w:val="20"/>
              </w:rPr>
              <w:t xml:space="preserve">. </w:t>
            </w:r>
          </w:p>
        </w:tc>
        <w:tc>
          <w:tcPr>
            <w:tcW w:w="3686" w:type="dxa"/>
          </w:tcPr>
          <w:p w14:paraId="7975254B" w14:textId="207A0A12" w:rsidR="009D1513" w:rsidRPr="0055517F" w:rsidRDefault="009D1513" w:rsidP="008E0360">
            <w:pPr>
              <w:pStyle w:val="TableHeadingoutsidetable"/>
              <w:ind w:left="0"/>
              <w:rPr>
                <w:b w:val="0"/>
                <w:bCs/>
                <w:sz w:val="20"/>
              </w:rPr>
            </w:pPr>
            <w:r w:rsidRPr="0055517F">
              <w:rPr>
                <w:b w:val="0"/>
                <w:bCs/>
                <w:sz w:val="20"/>
              </w:rPr>
              <w:t>Self-assessment and attestation against accredited person’s ability to comply with Schedule 2</w:t>
            </w:r>
            <w:r w:rsidR="00147C35">
              <w:rPr>
                <w:b w:val="0"/>
                <w:bCs/>
                <w:sz w:val="20"/>
              </w:rPr>
              <w:t xml:space="preserve"> to the CDR Rules</w:t>
            </w:r>
            <w:r>
              <w:rPr>
                <w:b w:val="0"/>
                <w:bCs/>
                <w:sz w:val="20"/>
              </w:rPr>
              <w:t>.</w:t>
            </w:r>
          </w:p>
        </w:tc>
      </w:tr>
      <w:tr w:rsidR="009D1513" w14:paraId="51378EE1" w14:textId="77777777" w:rsidTr="001D02AF">
        <w:tc>
          <w:tcPr>
            <w:tcW w:w="1985" w:type="dxa"/>
          </w:tcPr>
          <w:p w14:paraId="7EFAB251" w14:textId="77777777" w:rsidR="009D1513" w:rsidRPr="0055517F" w:rsidRDefault="009D1513" w:rsidP="008E0360">
            <w:pPr>
              <w:pStyle w:val="TableHeadingoutsidetable"/>
              <w:ind w:left="0"/>
              <w:rPr>
                <w:sz w:val="20"/>
              </w:rPr>
            </w:pPr>
            <w:r w:rsidRPr="0055517F">
              <w:rPr>
                <w:sz w:val="20"/>
              </w:rPr>
              <w:t xml:space="preserve">When can the accredited person be an active participant in the CDR system? </w:t>
            </w:r>
          </w:p>
        </w:tc>
        <w:tc>
          <w:tcPr>
            <w:tcW w:w="3402" w:type="dxa"/>
          </w:tcPr>
          <w:p w14:paraId="7297DABD" w14:textId="00649D3D" w:rsidR="009D1513" w:rsidRPr="0055517F" w:rsidRDefault="009D1513" w:rsidP="008E0360">
            <w:pPr>
              <w:pStyle w:val="TableHeadingoutsidetable"/>
              <w:ind w:left="0"/>
              <w:rPr>
                <w:b w:val="0"/>
                <w:bCs/>
                <w:sz w:val="20"/>
              </w:rPr>
            </w:pPr>
            <w:r w:rsidRPr="0055517F">
              <w:rPr>
                <w:b w:val="0"/>
                <w:bCs/>
                <w:sz w:val="20"/>
              </w:rPr>
              <w:t>Upon accreditation</w:t>
            </w:r>
            <w:r w:rsidR="00A76BE3">
              <w:rPr>
                <w:b w:val="0"/>
                <w:bCs/>
                <w:sz w:val="20"/>
              </w:rPr>
              <w:t xml:space="preserve"> and successful </w:t>
            </w:r>
            <w:r w:rsidR="00726133">
              <w:rPr>
                <w:b w:val="0"/>
                <w:bCs/>
                <w:sz w:val="20"/>
              </w:rPr>
              <w:t xml:space="preserve">completion of any testing or other requirements determined by the Registrar </w:t>
            </w:r>
            <w:proofErr w:type="gramStart"/>
            <w:r w:rsidR="00726133">
              <w:rPr>
                <w:b w:val="0"/>
                <w:bCs/>
                <w:sz w:val="20"/>
              </w:rPr>
              <w:t>in order to</w:t>
            </w:r>
            <w:proofErr w:type="gramEnd"/>
            <w:r w:rsidR="00726133">
              <w:rPr>
                <w:b w:val="0"/>
                <w:bCs/>
                <w:sz w:val="20"/>
              </w:rPr>
              <w:t xml:space="preserve"> be included in the Register</w:t>
            </w:r>
            <w:r w:rsidRPr="0055517F">
              <w:rPr>
                <w:b w:val="0"/>
                <w:bCs/>
                <w:sz w:val="20"/>
              </w:rPr>
              <w:t>.</w:t>
            </w:r>
          </w:p>
        </w:tc>
        <w:tc>
          <w:tcPr>
            <w:tcW w:w="3686" w:type="dxa"/>
          </w:tcPr>
          <w:p w14:paraId="46AF74AE" w14:textId="77777777" w:rsidR="009D1513" w:rsidRPr="0055517F" w:rsidRDefault="009D1513" w:rsidP="008E0360">
            <w:pPr>
              <w:pStyle w:val="TableHeadingoutsidetable"/>
              <w:ind w:left="0"/>
              <w:rPr>
                <w:b w:val="0"/>
                <w:bCs/>
                <w:sz w:val="20"/>
              </w:rPr>
            </w:pPr>
            <w:r w:rsidRPr="0055517F">
              <w:rPr>
                <w:b w:val="0"/>
                <w:bCs/>
                <w:sz w:val="20"/>
              </w:rPr>
              <w:t xml:space="preserve">Must be accredited and in a sponsorship arrangement with an unrestricted accredited person. </w:t>
            </w:r>
          </w:p>
          <w:p w14:paraId="541BFFF7" w14:textId="1D07FEB5" w:rsidR="009D1513" w:rsidRPr="0055517F" w:rsidRDefault="009D1513" w:rsidP="008E0360">
            <w:pPr>
              <w:pStyle w:val="TableHeadingoutsidetable"/>
              <w:ind w:left="0"/>
              <w:rPr>
                <w:b w:val="0"/>
                <w:bCs/>
                <w:sz w:val="20"/>
              </w:rPr>
            </w:pPr>
            <w:r w:rsidRPr="0055517F">
              <w:rPr>
                <w:b w:val="0"/>
                <w:bCs/>
                <w:sz w:val="20"/>
              </w:rPr>
              <w:t xml:space="preserve">May not access CDR data or provide goods or services unless it has </w:t>
            </w:r>
            <w:r w:rsidR="00234E97">
              <w:rPr>
                <w:b w:val="0"/>
                <w:bCs/>
                <w:sz w:val="20"/>
              </w:rPr>
              <w:t>an arrangement with a registered sponsor</w:t>
            </w:r>
            <w:r w:rsidR="00C33AA9">
              <w:rPr>
                <w:b w:val="0"/>
                <w:bCs/>
                <w:sz w:val="20"/>
              </w:rPr>
              <w:t xml:space="preserve"> which has been entered on the Register of Accredited Persons</w:t>
            </w:r>
            <w:r w:rsidRPr="0055517F">
              <w:rPr>
                <w:b w:val="0"/>
                <w:bCs/>
                <w:sz w:val="20"/>
              </w:rPr>
              <w:t xml:space="preserve">. </w:t>
            </w:r>
          </w:p>
        </w:tc>
      </w:tr>
      <w:tr w:rsidR="009D1513" w14:paraId="2B0A9402" w14:textId="77777777" w:rsidTr="001D02AF">
        <w:tc>
          <w:tcPr>
            <w:tcW w:w="1985" w:type="dxa"/>
          </w:tcPr>
          <w:p w14:paraId="5B713A02" w14:textId="77777777" w:rsidR="009D1513" w:rsidRPr="0055517F" w:rsidRDefault="009D1513" w:rsidP="008E0360">
            <w:pPr>
              <w:pStyle w:val="TableHeadingoutsidetable"/>
              <w:ind w:left="0"/>
              <w:rPr>
                <w:sz w:val="20"/>
              </w:rPr>
            </w:pPr>
            <w:r w:rsidRPr="0055517F">
              <w:rPr>
                <w:sz w:val="20"/>
              </w:rPr>
              <w:t xml:space="preserve">Who can the accredited person collect </w:t>
            </w:r>
            <w:r>
              <w:rPr>
                <w:sz w:val="20"/>
              </w:rPr>
              <w:t xml:space="preserve">CDR </w:t>
            </w:r>
            <w:r w:rsidRPr="0055517F">
              <w:rPr>
                <w:sz w:val="20"/>
              </w:rPr>
              <w:t xml:space="preserve">data from? </w:t>
            </w:r>
          </w:p>
        </w:tc>
        <w:tc>
          <w:tcPr>
            <w:tcW w:w="3402" w:type="dxa"/>
          </w:tcPr>
          <w:p w14:paraId="21CB4AA0" w14:textId="77777777" w:rsidR="009D1513" w:rsidRPr="0055517F" w:rsidRDefault="009D1513" w:rsidP="008E0360">
            <w:pPr>
              <w:pStyle w:val="TableHeadingoutsidetable"/>
              <w:ind w:left="0"/>
              <w:rPr>
                <w:b w:val="0"/>
                <w:bCs/>
                <w:sz w:val="20"/>
              </w:rPr>
            </w:pPr>
            <w:r w:rsidRPr="0055517F">
              <w:rPr>
                <w:b w:val="0"/>
                <w:bCs/>
                <w:sz w:val="20"/>
              </w:rPr>
              <w:t xml:space="preserve">Data holders and other </w:t>
            </w:r>
            <w:r w:rsidR="00723E15">
              <w:rPr>
                <w:b w:val="0"/>
                <w:bCs/>
                <w:sz w:val="20"/>
              </w:rPr>
              <w:t>accredited data recipient</w:t>
            </w:r>
            <w:r w:rsidR="00971CED">
              <w:rPr>
                <w:b w:val="0"/>
                <w:bCs/>
                <w:sz w:val="20"/>
              </w:rPr>
              <w:t>s</w:t>
            </w:r>
            <w:r w:rsidRPr="0055517F">
              <w:rPr>
                <w:b w:val="0"/>
                <w:bCs/>
                <w:sz w:val="20"/>
              </w:rPr>
              <w:t xml:space="preserve">. </w:t>
            </w:r>
          </w:p>
        </w:tc>
        <w:tc>
          <w:tcPr>
            <w:tcW w:w="3686" w:type="dxa"/>
          </w:tcPr>
          <w:p w14:paraId="0EFAA52F" w14:textId="77777777" w:rsidR="009D1513" w:rsidRPr="0055517F" w:rsidRDefault="009D1513" w:rsidP="008E0360">
            <w:pPr>
              <w:pStyle w:val="TableHeadingoutsidetable"/>
              <w:ind w:left="0"/>
              <w:rPr>
                <w:b w:val="0"/>
                <w:bCs/>
                <w:sz w:val="20"/>
              </w:rPr>
            </w:pPr>
            <w:r w:rsidRPr="0055517F">
              <w:rPr>
                <w:b w:val="0"/>
                <w:bCs/>
                <w:sz w:val="20"/>
              </w:rPr>
              <w:t xml:space="preserve">Cannot collect data directly from data holders. </w:t>
            </w:r>
          </w:p>
          <w:p w14:paraId="409FB35F" w14:textId="32C3507A" w:rsidR="009D1513" w:rsidRPr="0055517F" w:rsidRDefault="009D1513" w:rsidP="008E0360">
            <w:pPr>
              <w:pStyle w:val="TableHeadingoutsidetable"/>
              <w:ind w:left="0"/>
              <w:rPr>
                <w:b w:val="0"/>
                <w:bCs/>
                <w:sz w:val="20"/>
              </w:rPr>
            </w:pPr>
            <w:r w:rsidRPr="0055517F">
              <w:rPr>
                <w:b w:val="0"/>
                <w:bCs/>
                <w:sz w:val="20"/>
              </w:rPr>
              <w:t xml:space="preserve">May request its sponsor to collect data from a data holder and </w:t>
            </w:r>
            <w:r w:rsidR="003E28B9">
              <w:rPr>
                <w:b w:val="0"/>
                <w:bCs/>
                <w:sz w:val="20"/>
              </w:rPr>
              <w:t>disclose</w:t>
            </w:r>
            <w:r w:rsidRPr="0055517F">
              <w:rPr>
                <w:b w:val="0"/>
                <w:bCs/>
                <w:sz w:val="20"/>
              </w:rPr>
              <w:t xml:space="preserve"> that data to the affiliate. </w:t>
            </w:r>
          </w:p>
          <w:p w14:paraId="49B11F4C" w14:textId="2D0D9DFE" w:rsidR="009D1513" w:rsidRPr="0055517F" w:rsidRDefault="009D1513" w:rsidP="008E0360">
            <w:pPr>
              <w:pStyle w:val="TableHeadingoutsidetable"/>
              <w:ind w:left="0"/>
              <w:rPr>
                <w:b w:val="0"/>
                <w:bCs/>
                <w:sz w:val="20"/>
              </w:rPr>
            </w:pPr>
            <w:r w:rsidRPr="0055517F">
              <w:rPr>
                <w:b w:val="0"/>
                <w:bCs/>
                <w:sz w:val="20"/>
              </w:rPr>
              <w:t xml:space="preserve">May also collect data from another accredited person who is not their sponsor, relying on the </w:t>
            </w:r>
            <w:r w:rsidR="002322A5">
              <w:rPr>
                <w:b w:val="0"/>
                <w:bCs/>
                <w:sz w:val="20"/>
              </w:rPr>
              <w:t>g</w:t>
            </w:r>
            <w:r w:rsidRPr="0055517F">
              <w:rPr>
                <w:b w:val="0"/>
                <w:bCs/>
                <w:sz w:val="20"/>
              </w:rPr>
              <w:t xml:space="preserve"> disclosure rules (see rule 1.10A).</w:t>
            </w:r>
          </w:p>
        </w:tc>
      </w:tr>
      <w:tr w:rsidR="009D1513" w14:paraId="4CA34CFB" w14:textId="77777777" w:rsidTr="001D02AF">
        <w:tc>
          <w:tcPr>
            <w:tcW w:w="1985" w:type="dxa"/>
          </w:tcPr>
          <w:p w14:paraId="4FDCCBB2" w14:textId="77777777" w:rsidR="009D1513" w:rsidRPr="0055517F" w:rsidRDefault="009D1513" w:rsidP="008E0360">
            <w:pPr>
              <w:pStyle w:val="TableHeadingoutsidetable"/>
              <w:ind w:left="0"/>
              <w:rPr>
                <w:sz w:val="20"/>
              </w:rPr>
            </w:pPr>
            <w:r w:rsidRPr="0055517F">
              <w:rPr>
                <w:sz w:val="20"/>
              </w:rPr>
              <w:t xml:space="preserve">Can the accredited person use outsourced service providers (OSPs)? </w:t>
            </w:r>
          </w:p>
        </w:tc>
        <w:tc>
          <w:tcPr>
            <w:tcW w:w="18146" w:type="dxa"/>
          </w:tcPr>
          <w:p w14:paraId="2FB77B8E" w14:textId="55AD78D0" w:rsidR="009D1513" w:rsidRPr="0055517F" w:rsidRDefault="009D1513" w:rsidP="008E0360">
            <w:pPr>
              <w:pStyle w:val="TableHeadingoutsidetable"/>
              <w:ind w:left="0"/>
              <w:rPr>
                <w:b w:val="0"/>
                <w:bCs/>
                <w:sz w:val="20"/>
              </w:rPr>
            </w:pPr>
            <w:r w:rsidRPr="0055517F">
              <w:rPr>
                <w:b w:val="0"/>
                <w:bCs/>
                <w:sz w:val="20"/>
              </w:rPr>
              <w:t xml:space="preserve">May </w:t>
            </w:r>
            <w:r w:rsidR="002331C2" w:rsidRPr="0055517F">
              <w:rPr>
                <w:b w:val="0"/>
                <w:bCs/>
                <w:sz w:val="20"/>
              </w:rPr>
              <w:t>use OSPs to collect data</w:t>
            </w:r>
            <w:r w:rsidR="002331C2">
              <w:rPr>
                <w:b w:val="0"/>
                <w:bCs/>
                <w:sz w:val="20"/>
              </w:rPr>
              <w:t xml:space="preserve"> under</w:t>
            </w:r>
            <w:r w:rsidRPr="0055517F">
              <w:rPr>
                <w:b w:val="0"/>
                <w:bCs/>
                <w:sz w:val="20"/>
              </w:rPr>
              <w:t xml:space="preserve"> a CDR outsourcing arrangement</w:t>
            </w:r>
            <w:r w:rsidR="002331C2" w:rsidRPr="0055517F">
              <w:rPr>
                <w:b w:val="0"/>
                <w:bCs/>
                <w:sz w:val="20"/>
              </w:rPr>
              <w:t xml:space="preserve">. </w:t>
            </w:r>
            <w:r w:rsidRPr="0055517F">
              <w:rPr>
                <w:b w:val="0"/>
                <w:bCs/>
                <w:sz w:val="20"/>
              </w:rPr>
              <w:t xml:space="preserve"> </w:t>
            </w:r>
          </w:p>
          <w:p w14:paraId="72E290C9" w14:textId="77777777" w:rsidR="009D1513" w:rsidRPr="0055517F" w:rsidRDefault="009D1513" w:rsidP="008E0360">
            <w:pPr>
              <w:pStyle w:val="TableHeadingoutsidetable"/>
              <w:ind w:left="0"/>
              <w:rPr>
                <w:b w:val="0"/>
                <w:bCs/>
                <w:sz w:val="20"/>
              </w:rPr>
            </w:pPr>
            <w:r>
              <w:rPr>
                <w:b w:val="0"/>
                <w:bCs/>
                <w:sz w:val="20"/>
              </w:rPr>
              <w:t>May</w:t>
            </w:r>
            <w:r w:rsidRPr="0055517F">
              <w:rPr>
                <w:b w:val="0"/>
                <w:bCs/>
                <w:sz w:val="20"/>
              </w:rPr>
              <w:t xml:space="preserve"> disclose data to OSPs</w:t>
            </w:r>
            <w:r>
              <w:rPr>
                <w:b w:val="0"/>
                <w:bCs/>
                <w:sz w:val="20"/>
              </w:rPr>
              <w:t xml:space="preserve"> under a CDR outsourcing arrangement</w:t>
            </w:r>
            <w:r w:rsidRPr="0055517F">
              <w:rPr>
                <w:b w:val="0"/>
                <w:bCs/>
                <w:sz w:val="20"/>
              </w:rPr>
              <w:t>.</w:t>
            </w:r>
          </w:p>
        </w:tc>
        <w:tc>
          <w:tcPr>
            <w:tcW w:w="11058" w:type="dxa"/>
          </w:tcPr>
          <w:p w14:paraId="7A8D5087" w14:textId="045938E6" w:rsidR="009D1513" w:rsidRPr="0055517F" w:rsidRDefault="009D1513" w:rsidP="008E0360">
            <w:pPr>
              <w:pStyle w:val="TableHeadingoutsidetable"/>
              <w:ind w:left="0"/>
              <w:rPr>
                <w:b w:val="0"/>
                <w:bCs/>
                <w:sz w:val="20"/>
              </w:rPr>
            </w:pPr>
            <w:r w:rsidRPr="0055517F">
              <w:rPr>
                <w:b w:val="0"/>
                <w:bCs/>
                <w:sz w:val="20"/>
              </w:rPr>
              <w:t xml:space="preserve">May not </w:t>
            </w:r>
            <w:proofErr w:type="gramStart"/>
            <w:r w:rsidRPr="0055517F">
              <w:rPr>
                <w:b w:val="0"/>
                <w:bCs/>
                <w:sz w:val="20"/>
              </w:rPr>
              <w:t>enter into</w:t>
            </w:r>
            <w:proofErr w:type="gramEnd"/>
            <w:r w:rsidRPr="0055517F">
              <w:rPr>
                <w:b w:val="0"/>
                <w:bCs/>
                <w:sz w:val="20"/>
              </w:rPr>
              <w:t xml:space="preserve"> a CDR outsourcing arrangement to collect CDR data. </w:t>
            </w:r>
          </w:p>
          <w:p w14:paraId="7131C62C" w14:textId="77777777" w:rsidR="009D1513" w:rsidRPr="0055517F" w:rsidRDefault="009D1513" w:rsidP="008E0360">
            <w:pPr>
              <w:pStyle w:val="TableHeadingoutsidetable"/>
              <w:ind w:left="0"/>
              <w:rPr>
                <w:b w:val="0"/>
                <w:bCs/>
                <w:sz w:val="20"/>
              </w:rPr>
            </w:pPr>
            <w:r>
              <w:rPr>
                <w:b w:val="0"/>
                <w:bCs/>
                <w:sz w:val="20"/>
              </w:rPr>
              <w:t>May</w:t>
            </w:r>
            <w:r w:rsidRPr="0055517F">
              <w:rPr>
                <w:b w:val="0"/>
                <w:bCs/>
                <w:sz w:val="20"/>
              </w:rPr>
              <w:t xml:space="preserve"> disclose data to OSPs</w:t>
            </w:r>
            <w:r>
              <w:rPr>
                <w:b w:val="0"/>
                <w:bCs/>
                <w:sz w:val="20"/>
              </w:rPr>
              <w:t xml:space="preserve"> under a CDR outsourcing arrangement</w:t>
            </w:r>
            <w:r w:rsidRPr="0055517F">
              <w:rPr>
                <w:b w:val="0"/>
                <w:bCs/>
                <w:sz w:val="20"/>
              </w:rPr>
              <w:t>.</w:t>
            </w:r>
          </w:p>
        </w:tc>
      </w:tr>
      <w:tr w:rsidR="009D1513" w14:paraId="6C79E189" w14:textId="77777777" w:rsidTr="001D02AF">
        <w:tc>
          <w:tcPr>
            <w:tcW w:w="1985" w:type="dxa"/>
          </w:tcPr>
          <w:p w14:paraId="2FCD2741" w14:textId="77777777" w:rsidR="009D1513" w:rsidRPr="0055517F" w:rsidRDefault="009D1513" w:rsidP="008E0360">
            <w:pPr>
              <w:pStyle w:val="TableHeadingoutsidetable"/>
              <w:ind w:left="0"/>
              <w:rPr>
                <w:sz w:val="20"/>
              </w:rPr>
            </w:pPr>
            <w:r w:rsidRPr="0055517F">
              <w:rPr>
                <w:sz w:val="20"/>
              </w:rPr>
              <w:t xml:space="preserve">Can the accredited person have CDR representatives? </w:t>
            </w:r>
          </w:p>
        </w:tc>
        <w:tc>
          <w:tcPr>
            <w:tcW w:w="3402" w:type="dxa"/>
          </w:tcPr>
          <w:p w14:paraId="6C67BBEE" w14:textId="77777777" w:rsidR="009D1513" w:rsidRPr="0055517F" w:rsidRDefault="009D1513" w:rsidP="008E0360">
            <w:pPr>
              <w:pStyle w:val="TableHeadingoutsidetable"/>
              <w:ind w:left="0"/>
              <w:rPr>
                <w:b w:val="0"/>
                <w:bCs/>
                <w:sz w:val="20"/>
              </w:rPr>
            </w:pPr>
            <w:r w:rsidRPr="0055517F">
              <w:rPr>
                <w:b w:val="0"/>
                <w:bCs/>
                <w:sz w:val="20"/>
              </w:rPr>
              <w:t>Yes.</w:t>
            </w:r>
          </w:p>
        </w:tc>
        <w:tc>
          <w:tcPr>
            <w:tcW w:w="3686" w:type="dxa"/>
          </w:tcPr>
          <w:p w14:paraId="62A19910" w14:textId="77777777" w:rsidR="009D1513" w:rsidRPr="0055517F" w:rsidRDefault="009D1513" w:rsidP="008E0360">
            <w:pPr>
              <w:pStyle w:val="TableHeadingoutsidetable"/>
              <w:ind w:left="0"/>
              <w:rPr>
                <w:b w:val="0"/>
                <w:bCs/>
                <w:sz w:val="20"/>
              </w:rPr>
            </w:pPr>
            <w:r w:rsidRPr="0055517F">
              <w:rPr>
                <w:b w:val="0"/>
                <w:bCs/>
                <w:sz w:val="20"/>
              </w:rPr>
              <w:t>No.</w:t>
            </w:r>
          </w:p>
        </w:tc>
      </w:tr>
    </w:tbl>
    <w:p w14:paraId="3F79D96B" w14:textId="77777777" w:rsidR="005527BC" w:rsidRDefault="005527BC" w:rsidP="008E0360">
      <w:pPr>
        <w:keepNext/>
        <w:keepLines/>
        <w:spacing w:before="240" w:after="0"/>
        <w:ind w:right="91"/>
        <w:rPr>
          <w:i/>
          <w:iCs/>
        </w:rPr>
      </w:pPr>
      <w:r>
        <w:rPr>
          <w:i/>
          <w:iCs/>
        </w:rPr>
        <w:t>Becoming accredited at the sponsored level</w:t>
      </w:r>
    </w:p>
    <w:p w14:paraId="4096A341" w14:textId="4B76C610" w:rsidR="005527BC" w:rsidRDefault="00D37AE1" w:rsidP="008E0360">
      <w:pPr>
        <w:pStyle w:val="base-text-paragraph"/>
        <w:ind w:left="0"/>
      </w:pPr>
      <w:r>
        <w:t>The Amending Rules introduce a</w:t>
      </w:r>
      <w:r w:rsidR="005527BC">
        <w:t xml:space="preserve"> new sponsored level of accreditation, with certain restrictions on participation in the CDR regime applicable for those with sponsored accreditation.</w:t>
      </w:r>
      <w:r w:rsidR="005527BC" w:rsidRPr="00B23E72">
        <w:rPr>
          <w:b/>
          <w:i/>
          <w:sz w:val="18"/>
          <w:szCs w:val="18"/>
        </w:rPr>
        <w:t xml:space="preserve"> </w:t>
      </w:r>
      <w:r w:rsidR="005527BC">
        <w:rPr>
          <w:b/>
          <w:bCs/>
          <w:i/>
          <w:iCs/>
          <w:sz w:val="18"/>
          <w:szCs w:val="18"/>
        </w:rPr>
        <w:t>[Schedule 1, item 8, Subdivision 5.2.1A]</w:t>
      </w:r>
      <w:r w:rsidR="005527BC">
        <w:t xml:space="preserve"> </w:t>
      </w:r>
    </w:p>
    <w:p w14:paraId="6E01D618" w14:textId="77777777" w:rsidR="005527BC" w:rsidRDefault="005527BC" w:rsidP="008E0360">
      <w:pPr>
        <w:pStyle w:val="base-text-paragraph"/>
        <w:ind w:left="0"/>
      </w:pPr>
      <w:r>
        <w:t xml:space="preserve">There are now two levels of accreditation within the CDR regime: unrestricted accreditation, and sponsored accreditation. </w:t>
      </w:r>
      <w:r>
        <w:rPr>
          <w:b/>
          <w:bCs/>
          <w:i/>
          <w:iCs/>
          <w:sz w:val="18"/>
          <w:szCs w:val="18"/>
        </w:rPr>
        <w:t>[Schedule 1, items 2 and 8,</w:t>
      </w:r>
      <w:r>
        <w:rPr>
          <w:b/>
          <w:i/>
          <w:sz w:val="18"/>
          <w:szCs w:val="18"/>
        </w:rPr>
        <w:t xml:space="preserve"> rule 1.7(1) and rule 5.1A</w:t>
      </w:r>
      <w:r>
        <w:rPr>
          <w:b/>
          <w:bCs/>
          <w:i/>
          <w:iCs/>
          <w:sz w:val="18"/>
          <w:szCs w:val="18"/>
        </w:rPr>
        <w:t>]</w:t>
      </w:r>
    </w:p>
    <w:p w14:paraId="577F3C9F" w14:textId="77777777" w:rsidR="005527BC" w:rsidRDefault="005527BC" w:rsidP="008E0360">
      <w:pPr>
        <w:pStyle w:val="base-text-paragraph"/>
        <w:ind w:left="0"/>
      </w:pPr>
      <w:r>
        <w:t xml:space="preserve">Consequential amendments are made throughout Part 5 of the CDR Rules to reflect that there are now two levels of accreditation within the CDR system. </w:t>
      </w:r>
      <w:r>
        <w:rPr>
          <w:b/>
          <w:bCs/>
          <w:i/>
          <w:iCs/>
          <w:sz w:val="18"/>
          <w:szCs w:val="18"/>
        </w:rPr>
        <w:t>[Schedule 1, items 1 and 9 to 16, rules 1.6(11), 5.2, 5.5 and 5.12]</w:t>
      </w:r>
      <w:r>
        <w:t xml:space="preserve"> </w:t>
      </w:r>
    </w:p>
    <w:p w14:paraId="47457ACD" w14:textId="32E6751C" w:rsidR="005527BC" w:rsidRDefault="005527BC" w:rsidP="008E0360">
      <w:pPr>
        <w:pStyle w:val="base-text-paragraph"/>
        <w:keepNext/>
        <w:keepLines/>
        <w:ind w:left="0"/>
      </w:pPr>
      <w:r>
        <w:lastRenderedPageBreak/>
        <w:t xml:space="preserve">Applicants for sponsored accreditation must make their application to the DRA in a form approved by the DRA and specify that the person seeks sponsored accreditation. </w:t>
      </w:r>
      <w:r>
        <w:rPr>
          <w:b/>
          <w:bCs/>
          <w:i/>
          <w:iCs/>
          <w:sz w:val="18"/>
          <w:szCs w:val="18"/>
        </w:rPr>
        <w:t>[Schedule 1, items 9 and 10, rule 5.2(</w:t>
      </w:r>
      <w:proofErr w:type="gramStart"/>
      <w:r>
        <w:rPr>
          <w:b/>
          <w:bCs/>
          <w:i/>
          <w:iCs/>
          <w:sz w:val="18"/>
          <w:szCs w:val="18"/>
        </w:rPr>
        <w:t>2)(</w:t>
      </w:r>
      <w:proofErr w:type="gramEnd"/>
      <w:r>
        <w:rPr>
          <w:b/>
          <w:bCs/>
          <w:i/>
          <w:iCs/>
          <w:sz w:val="18"/>
          <w:szCs w:val="18"/>
        </w:rPr>
        <w:t>aa)]</w:t>
      </w:r>
    </w:p>
    <w:p w14:paraId="4F84D88C" w14:textId="40DC56BF" w:rsidR="005527BC" w:rsidRDefault="005527BC" w:rsidP="008E0360">
      <w:pPr>
        <w:pStyle w:val="base-text-paragraph"/>
        <w:ind w:left="0"/>
      </w:pPr>
      <w:r>
        <w:t xml:space="preserve">Applicants for sponsored accreditation must meet the same accreditation criteria as persons with unrestricted accreditation. This includes complying with the obligations of an accredited person specified in rule 5.12 of the CDR Rules. </w:t>
      </w:r>
      <w:r>
        <w:rPr>
          <w:b/>
          <w:bCs/>
          <w:i/>
          <w:iCs/>
          <w:sz w:val="18"/>
          <w:szCs w:val="18"/>
        </w:rPr>
        <w:t>[Schedule 1, items 11 to 16, rules 5.5 and 5.12]</w:t>
      </w:r>
    </w:p>
    <w:p w14:paraId="3674570A" w14:textId="56E494EE" w:rsidR="005527BC" w:rsidRDefault="005527BC" w:rsidP="008E0360">
      <w:pPr>
        <w:pStyle w:val="base-text-paragraph"/>
        <w:ind w:left="0"/>
      </w:pPr>
      <w:r>
        <w:t xml:space="preserve">An affiliate’s accreditation is taken to have been surrendered if it is not in a sponsorship arrangement for 120 </w:t>
      </w:r>
      <w:r w:rsidR="00D85356">
        <w:t>consecutive</w:t>
      </w:r>
      <w:r>
        <w:t xml:space="preserve"> days.</w:t>
      </w:r>
      <w:r w:rsidR="00A26876">
        <w:t xml:space="preserve"> </w:t>
      </w:r>
      <w:r>
        <w:rPr>
          <w:b/>
          <w:bCs/>
          <w:i/>
          <w:iCs/>
          <w:sz w:val="18"/>
          <w:szCs w:val="18"/>
        </w:rPr>
        <w:t>[Schedule 1, item 8, rule 5.1B(7)]</w:t>
      </w:r>
      <w:r>
        <w:t xml:space="preserve"> </w:t>
      </w:r>
    </w:p>
    <w:p w14:paraId="7BF2D404" w14:textId="748744A1" w:rsidR="00720BE7" w:rsidRDefault="00720BE7" w:rsidP="008E0360">
      <w:pPr>
        <w:pStyle w:val="base-text-paragraph"/>
        <w:ind w:left="0"/>
        <w:rPr>
          <w:b/>
          <w:i/>
          <w:sz w:val="18"/>
          <w:szCs w:val="18"/>
        </w:rPr>
      </w:pPr>
      <w:r>
        <w:t xml:space="preserve">The DRA may suspend or revoke an affiliate’s accreditation if a sponsorship arrangement expires or terminates, if the sponsor’s accreditation is suspended or revoked, or if the affiliate no longer has a sponsor. </w:t>
      </w:r>
      <w:r w:rsidR="00715D1E">
        <w:t>Consistent with rules 5.1</w:t>
      </w:r>
      <w:r w:rsidR="005E349F">
        <w:t>8</w:t>
      </w:r>
      <w:r w:rsidR="00715D1E">
        <w:t xml:space="preserve"> and 5.20 of the Rules, the DRA must notify the accredited person of their intention to suspend or revoke their accreditation and give the accredited person a reasonable opportunity to respond. </w:t>
      </w:r>
      <w:r>
        <w:rPr>
          <w:b/>
          <w:bCs/>
          <w:i/>
          <w:iCs/>
          <w:sz w:val="18"/>
          <w:szCs w:val="18"/>
        </w:rPr>
        <w:t>[Schedule 1, item 18, item 11 of the table in rule 5.17(1)]</w:t>
      </w:r>
    </w:p>
    <w:p w14:paraId="6645AFCF" w14:textId="6ABE62EA" w:rsidR="003B1E23" w:rsidRPr="001D30CF" w:rsidRDefault="001C4A7F" w:rsidP="008E0360">
      <w:pPr>
        <w:rPr>
          <w:b/>
        </w:rPr>
      </w:pPr>
      <w:r w:rsidRPr="00D37AE1">
        <w:t>Before revoking</w:t>
      </w:r>
      <w:r>
        <w:rPr>
          <w:b/>
          <w:bCs/>
        </w:rPr>
        <w:t xml:space="preserve"> </w:t>
      </w:r>
      <w:r w:rsidRPr="00B77A91">
        <w:t>a sponsor’s accreditation, the DRA must inform any affiliate and give them a reasonabl</w:t>
      </w:r>
      <w:r w:rsidR="00715D1E" w:rsidRPr="00B77A91">
        <w:t>e</w:t>
      </w:r>
      <w:r w:rsidRPr="00B77A91">
        <w:t xml:space="preserve"> opportunity to be heard in relation to the proposed revocation, and vice versa before revoking an affiliate’s accreditation. If the DRA </w:t>
      </w:r>
      <w:r w:rsidR="0018507B" w:rsidRPr="00B77A91">
        <w:t>proceeds to</w:t>
      </w:r>
      <w:r w:rsidR="001D30CF" w:rsidRPr="00B77A91">
        <w:t xml:space="preserve"> </w:t>
      </w:r>
      <w:r w:rsidRPr="00B77A91">
        <w:t xml:space="preserve">revoke </w:t>
      </w:r>
      <w:r w:rsidR="001D30CF" w:rsidRPr="00B77A91">
        <w:t xml:space="preserve">a sponsor’s accreditation, it must notify any associate, and vice versa. </w:t>
      </w:r>
      <w:r w:rsidR="001D30CF" w:rsidRPr="00D37AE1">
        <w:rPr>
          <w:b/>
          <w:i/>
          <w:sz w:val="18"/>
          <w:szCs w:val="18"/>
        </w:rPr>
        <w:t>[Schedule</w:t>
      </w:r>
      <w:r w:rsidR="009713F7">
        <w:rPr>
          <w:b/>
          <w:i/>
          <w:sz w:val="18"/>
          <w:szCs w:val="18"/>
        </w:rPr>
        <w:t> </w:t>
      </w:r>
      <w:r w:rsidR="001D30CF" w:rsidRPr="00D37AE1">
        <w:rPr>
          <w:b/>
          <w:i/>
          <w:sz w:val="18"/>
          <w:szCs w:val="18"/>
        </w:rPr>
        <w:t>1, items 19 to 22, rule 5.18]</w:t>
      </w:r>
      <w:r w:rsidR="001D30CF">
        <w:rPr>
          <w:b/>
          <w:bCs/>
        </w:rPr>
        <w:t xml:space="preserve"> </w:t>
      </w:r>
    </w:p>
    <w:p w14:paraId="2DA6747B" w14:textId="24E58A9E" w:rsidR="00E14A1E" w:rsidRPr="00262E2F" w:rsidRDefault="00262E2F" w:rsidP="008E0360">
      <w:pPr>
        <w:spacing w:after="0"/>
        <w:ind w:right="91"/>
        <w:rPr>
          <w:b/>
          <w:bCs/>
        </w:rPr>
      </w:pPr>
      <w:r>
        <w:t xml:space="preserve">For a sponsor, the Accreditation Registrar must enter each affiliate of the sponsor on the Register of Accredited Persons, and vice versa for an affiliate. </w:t>
      </w:r>
      <w:r w:rsidRPr="00262E2F">
        <w:rPr>
          <w:b/>
          <w:bCs/>
          <w:i/>
          <w:iCs/>
          <w:sz w:val="18"/>
          <w:szCs w:val="18"/>
        </w:rPr>
        <w:t xml:space="preserve">[Schedule 1, items 23 </w:t>
      </w:r>
      <w:r w:rsidR="00203361">
        <w:rPr>
          <w:b/>
          <w:bCs/>
          <w:i/>
          <w:iCs/>
          <w:sz w:val="18"/>
          <w:szCs w:val="18"/>
        </w:rPr>
        <w:t>and</w:t>
      </w:r>
      <w:r w:rsidRPr="00262E2F">
        <w:rPr>
          <w:b/>
          <w:bCs/>
          <w:i/>
          <w:iCs/>
          <w:sz w:val="18"/>
          <w:szCs w:val="18"/>
        </w:rPr>
        <w:t xml:space="preserve"> 24, rules 5.24(</w:t>
      </w:r>
      <w:proofErr w:type="spellStart"/>
      <w:r w:rsidRPr="00262E2F">
        <w:rPr>
          <w:b/>
          <w:bCs/>
          <w:i/>
          <w:iCs/>
          <w:sz w:val="18"/>
          <w:szCs w:val="18"/>
        </w:rPr>
        <w:t>ba</w:t>
      </w:r>
      <w:proofErr w:type="spellEnd"/>
      <w:r w:rsidRPr="00262E2F">
        <w:rPr>
          <w:b/>
          <w:bCs/>
          <w:i/>
          <w:iCs/>
          <w:sz w:val="18"/>
          <w:szCs w:val="18"/>
        </w:rPr>
        <w:t>)-(bb)]</w:t>
      </w:r>
    </w:p>
    <w:p w14:paraId="5645E822" w14:textId="77777777" w:rsidR="001A039B" w:rsidRPr="009A1D6D" w:rsidRDefault="001A039B" w:rsidP="008E0360">
      <w:pPr>
        <w:pStyle w:val="Heading4"/>
        <w:spacing w:before="240"/>
        <w:rPr>
          <w:b w:val="0"/>
          <w:bCs/>
          <w:i/>
          <w:iCs/>
        </w:rPr>
      </w:pPr>
      <w:r>
        <w:rPr>
          <w:b w:val="0"/>
          <w:bCs/>
          <w:i/>
          <w:iCs/>
        </w:rPr>
        <w:t>The sponsor and affiliate relationship</w:t>
      </w:r>
    </w:p>
    <w:p w14:paraId="0D3A09C2" w14:textId="4915794B" w:rsidR="001A039B" w:rsidRDefault="001A039B" w:rsidP="008E0360">
      <w:pPr>
        <w:spacing w:after="0"/>
        <w:ind w:right="91"/>
      </w:pPr>
      <w:r>
        <w:t xml:space="preserve">A sponsorship arrangement must be a written contract between a person with unrestricted accreditation </w:t>
      </w:r>
      <w:r w:rsidR="009910D6">
        <w:t xml:space="preserve">(defined as the </w:t>
      </w:r>
      <w:r w:rsidR="009910D6">
        <w:rPr>
          <w:b/>
          <w:bCs/>
          <w:i/>
          <w:iCs/>
        </w:rPr>
        <w:t>sponsor</w:t>
      </w:r>
      <w:r w:rsidR="009910D6">
        <w:t xml:space="preserve">) </w:t>
      </w:r>
      <w:r>
        <w:t>and another person (</w:t>
      </w:r>
      <w:r w:rsidR="009910D6">
        <w:t xml:space="preserve">defined as the </w:t>
      </w:r>
      <w:r w:rsidR="009910D6">
        <w:rPr>
          <w:b/>
          <w:bCs/>
          <w:i/>
          <w:iCs/>
        </w:rPr>
        <w:t>affiliate</w:t>
      </w:r>
      <w:r>
        <w:t xml:space="preserve">). The other person may have sponsored accreditation at the time they enter into a sponsorship </w:t>
      </w:r>
      <w:proofErr w:type="gramStart"/>
      <w:r>
        <w:t>arrangement, or</w:t>
      </w:r>
      <w:proofErr w:type="gramEnd"/>
      <w:r>
        <w:t xml:space="preserve"> may apply for and be granted sponsored accreditation before having a sponsorship arrangement in place. </w:t>
      </w:r>
      <w:r w:rsidR="007C420C">
        <w:rPr>
          <w:b/>
          <w:bCs/>
          <w:i/>
          <w:iCs/>
          <w:sz w:val="18"/>
          <w:szCs w:val="18"/>
        </w:rPr>
        <w:t>[Schedule 1, items 2 and 3, rules 1.7(1) and 1.10D]</w:t>
      </w:r>
      <w:r>
        <w:t xml:space="preserve"> </w:t>
      </w:r>
    </w:p>
    <w:p w14:paraId="0695155F" w14:textId="26ADAA19" w:rsidR="001A039B" w:rsidRDefault="001A039B" w:rsidP="008E0360">
      <w:pPr>
        <w:spacing w:after="0"/>
        <w:ind w:right="91"/>
      </w:pPr>
      <w:r>
        <w:t xml:space="preserve">The sponsorship arrangement must provide for the sponsor to disclose CDR data to its affiliate, in response to a consumer data request. </w:t>
      </w:r>
      <w:r w:rsidR="007C420C">
        <w:rPr>
          <w:b/>
          <w:bCs/>
          <w:i/>
          <w:iCs/>
          <w:sz w:val="18"/>
          <w:szCs w:val="18"/>
        </w:rPr>
        <w:t>[Schedule 1, item 3, rule 1.10D(1)(a)]</w:t>
      </w:r>
      <w:r w:rsidR="007C420C">
        <w:t xml:space="preserve"> </w:t>
      </w:r>
    </w:p>
    <w:p w14:paraId="20619257" w14:textId="53889D15" w:rsidR="001A039B" w:rsidRDefault="001A039B" w:rsidP="008E0360">
      <w:pPr>
        <w:spacing w:after="0"/>
        <w:ind w:right="91"/>
      </w:pPr>
      <w:r>
        <w:t xml:space="preserve">The arrangement must also require the affiliate to provide the sponsor with the appropriate information and access to its operations as needed for the sponsor to fulfil its obligations as a sponsor. </w:t>
      </w:r>
      <w:r w:rsidR="007C420C">
        <w:rPr>
          <w:b/>
          <w:bCs/>
          <w:i/>
          <w:iCs/>
          <w:sz w:val="18"/>
          <w:szCs w:val="18"/>
        </w:rPr>
        <w:t>[Schedule 1, item 3, rule 1.10D(1)(b)]</w:t>
      </w:r>
    </w:p>
    <w:p w14:paraId="4240DD48" w14:textId="265F77DA" w:rsidR="00BA12A8" w:rsidRDefault="001A039B" w:rsidP="008E0360">
      <w:pPr>
        <w:spacing w:after="0"/>
        <w:ind w:right="91"/>
      </w:pPr>
      <w:r>
        <w:t xml:space="preserve">The parties may agree for the sponsor to make consumer data requests, or to use or disclose CDR data, at the request of the affiliate. In this case, the sponsor would be liable for its </w:t>
      </w:r>
      <w:r w:rsidR="00746569">
        <w:t>conduct</w:t>
      </w:r>
      <w:r>
        <w:t xml:space="preserve"> when it makes consumer data </w:t>
      </w:r>
      <w:proofErr w:type="gramStart"/>
      <w:r>
        <w:t xml:space="preserve">requests, </w:t>
      </w:r>
      <w:r w:rsidR="0087038E">
        <w:t>or</w:t>
      </w:r>
      <w:proofErr w:type="gramEnd"/>
      <w:r w:rsidR="0087038E">
        <w:t xml:space="preserve"> </w:t>
      </w:r>
      <w:r>
        <w:t xml:space="preserve">uses or discloses the data. This can be compared to outsourcing arrangements, where an </w:t>
      </w:r>
      <w:r w:rsidR="00723E15">
        <w:t>accredited data recipient</w:t>
      </w:r>
      <w:r>
        <w:t xml:space="preserve"> that uses </w:t>
      </w:r>
      <w:r w:rsidR="00615BFD">
        <w:t>outsourced service providers (</w:t>
      </w:r>
      <w:r>
        <w:t>OSPs</w:t>
      </w:r>
      <w:r w:rsidR="00615BFD">
        <w:t>)</w:t>
      </w:r>
      <w:r>
        <w:t xml:space="preserve"> for collection is ultimately liable for them. </w:t>
      </w:r>
      <w:r w:rsidR="00615BFD">
        <w:rPr>
          <w:b/>
          <w:bCs/>
          <w:i/>
          <w:iCs/>
          <w:sz w:val="18"/>
          <w:szCs w:val="18"/>
        </w:rPr>
        <w:t>[Schedule 1, item 3, rule</w:t>
      </w:r>
      <w:r w:rsidR="00172D86">
        <w:rPr>
          <w:b/>
          <w:bCs/>
          <w:i/>
          <w:iCs/>
          <w:sz w:val="18"/>
          <w:szCs w:val="18"/>
        </w:rPr>
        <w:t> </w:t>
      </w:r>
      <w:r w:rsidR="00615BFD">
        <w:rPr>
          <w:b/>
          <w:bCs/>
          <w:i/>
          <w:iCs/>
          <w:sz w:val="18"/>
          <w:szCs w:val="18"/>
        </w:rPr>
        <w:t>1.10D(2)]</w:t>
      </w:r>
    </w:p>
    <w:p w14:paraId="4D75EB6C" w14:textId="0CD7104B" w:rsidR="00BA12A8" w:rsidRPr="005441E8" w:rsidRDefault="001A039B" w:rsidP="008E0360">
      <w:pPr>
        <w:spacing w:after="0"/>
        <w:ind w:right="91"/>
      </w:pPr>
      <w:r>
        <w:t xml:space="preserve">Similarly, the affiliate would be </w:t>
      </w:r>
      <w:r w:rsidR="00746569">
        <w:t>liable for its conduct</w:t>
      </w:r>
      <w:r>
        <w:t xml:space="preserve"> when it uses or discloses CDR data to provide goods and services. </w:t>
      </w:r>
      <w:bookmarkStart w:id="1" w:name="_Hlk74775355"/>
    </w:p>
    <w:p w14:paraId="1190AF29" w14:textId="20655AF1" w:rsidR="009D1513" w:rsidRPr="009A1D6D" w:rsidRDefault="009D1513" w:rsidP="008E0360">
      <w:pPr>
        <w:pStyle w:val="Heading4"/>
        <w:spacing w:before="240"/>
        <w:rPr>
          <w:b w:val="0"/>
          <w:bCs/>
          <w:i/>
          <w:iCs/>
        </w:rPr>
      </w:pPr>
      <w:r w:rsidRPr="009A1D6D">
        <w:rPr>
          <w:b w:val="0"/>
          <w:bCs/>
          <w:i/>
          <w:iCs/>
        </w:rPr>
        <w:lastRenderedPageBreak/>
        <w:t>Collecting and using data</w:t>
      </w:r>
    </w:p>
    <w:p w14:paraId="51F2926F" w14:textId="1503A08C" w:rsidR="009D1513" w:rsidRDefault="00B23E72" w:rsidP="008E0360">
      <w:pPr>
        <w:pStyle w:val="base-text-paragraph"/>
        <w:ind w:left="0"/>
      </w:pPr>
      <w:r>
        <w:t>P</w:t>
      </w:r>
      <w:r w:rsidR="009D1513">
        <w:t xml:space="preserve">ersons with sponsored accreditation </w:t>
      </w:r>
      <w:r>
        <w:t xml:space="preserve">are prohibited </w:t>
      </w:r>
      <w:r w:rsidR="009D1513">
        <w:t xml:space="preserve">from making consumer data requests unless they are a party to a sponsorship arrangement. </w:t>
      </w:r>
      <w:r>
        <w:rPr>
          <w:b/>
          <w:bCs/>
          <w:i/>
          <w:iCs/>
          <w:sz w:val="18"/>
          <w:szCs w:val="18"/>
        </w:rPr>
        <w:t>[Schedule 1, item 8, rule</w:t>
      </w:r>
      <w:r w:rsidR="009713F7">
        <w:rPr>
          <w:b/>
          <w:bCs/>
          <w:i/>
          <w:iCs/>
          <w:sz w:val="18"/>
          <w:szCs w:val="18"/>
        </w:rPr>
        <w:t> </w:t>
      </w:r>
      <w:r>
        <w:rPr>
          <w:b/>
          <w:bCs/>
          <w:i/>
          <w:iCs/>
          <w:sz w:val="18"/>
          <w:szCs w:val="18"/>
        </w:rPr>
        <w:t>5.1B</w:t>
      </w:r>
      <w:r w:rsidR="00B926BF">
        <w:rPr>
          <w:b/>
          <w:bCs/>
          <w:i/>
          <w:iCs/>
          <w:sz w:val="18"/>
          <w:szCs w:val="18"/>
        </w:rPr>
        <w:t>(2)</w:t>
      </w:r>
      <w:r>
        <w:rPr>
          <w:b/>
          <w:bCs/>
          <w:i/>
          <w:iCs/>
          <w:sz w:val="18"/>
          <w:szCs w:val="18"/>
        </w:rPr>
        <w:t>]</w:t>
      </w:r>
    </w:p>
    <w:p w14:paraId="17F308BA" w14:textId="4732E9D5" w:rsidR="00697214" w:rsidRDefault="009D1513" w:rsidP="008E0360">
      <w:pPr>
        <w:pStyle w:val="Dotpoint"/>
        <w:numPr>
          <w:ilvl w:val="0"/>
          <w:numId w:val="0"/>
        </w:numPr>
      </w:pPr>
      <w:r>
        <w:t>Similarly, an affiliate cannot make a consumer data request otherwise than</w:t>
      </w:r>
      <w:r w:rsidR="00BD1A3E">
        <w:t xml:space="preserve"> </w:t>
      </w:r>
      <w:r>
        <w:t>through its sponso</w:t>
      </w:r>
      <w:r w:rsidR="00BD1A3E">
        <w:t xml:space="preserve">r or </w:t>
      </w:r>
      <w:r>
        <w:t>to an</w:t>
      </w:r>
      <w:r w:rsidR="00746569">
        <w:t>other</w:t>
      </w:r>
      <w:r>
        <w:t xml:space="preserve"> accredited data recipient</w:t>
      </w:r>
      <w:r w:rsidR="00746569">
        <w:t xml:space="preserve"> under the AP rules</w:t>
      </w:r>
      <w:r w:rsidR="00BD1A3E">
        <w:t>.</w:t>
      </w:r>
      <w:r w:rsidR="00BD1A3E" w:rsidRPr="00BD1A3E">
        <w:t xml:space="preserve"> </w:t>
      </w:r>
      <w:r w:rsidR="00BD1A3E">
        <w:t>This means an affiliate cannot make a consumer data request directly to a data holder</w:t>
      </w:r>
      <w:r w:rsidR="003D6E0C">
        <w:t>.</w:t>
      </w:r>
      <w:r w:rsidR="00BD1A3E">
        <w:t xml:space="preserve"> </w:t>
      </w:r>
      <w:r w:rsidR="00697214">
        <w:rPr>
          <w:b/>
          <w:bCs/>
          <w:i/>
          <w:iCs/>
          <w:sz w:val="18"/>
          <w:szCs w:val="18"/>
        </w:rPr>
        <w:t>[Schedule 1, item</w:t>
      </w:r>
      <w:r w:rsidR="009713F7">
        <w:rPr>
          <w:b/>
          <w:bCs/>
          <w:i/>
          <w:iCs/>
          <w:sz w:val="18"/>
          <w:szCs w:val="18"/>
        </w:rPr>
        <w:t> </w:t>
      </w:r>
      <w:r w:rsidR="00697214">
        <w:rPr>
          <w:b/>
          <w:bCs/>
          <w:i/>
          <w:iCs/>
          <w:sz w:val="18"/>
          <w:szCs w:val="18"/>
        </w:rPr>
        <w:t>8, rule 5.1B(3)]</w:t>
      </w:r>
    </w:p>
    <w:p w14:paraId="4DFC688F" w14:textId="5B2334DC" w:rsidR="00A3216C" w:rsidRDefault="00A3216C" w:rsidP="008E0360">
      <w:pPr>
        <w:pStyle w:val="Dotpoint"/>
        <w:numPr>
          <w:ilvl w:val="0"/>
          <w:numId w:val="0"/>
        </w:numPr>
      </w:pPr>
      <w:r>
        <w:t xml:space="preserve">An affiliate must not have a CDR representative (explained in connection with Schedule 2 to the Amending Rules in this explanatory statement) or engage an outsourced service provider to collect data from a CDR participant on its behalf. </w:t>
      </w:r>
      <w:r>
        <w:rPr>
          <w:b/>
          <w:bCs/>
          <w:i/>
          <w:iCs/>
          <w:sz w:val="18"/>
          <w:szCs w:val="18"/>
        </w:rPr>
        <w:t>[Schedule 1, item 8, rules 5.1B(4)-(5)]</w:t>
      </w:r>
    </w:p>
    <w:p w14:paraId="60046A4F" w14:textId="7629DA45" w:rsidR="00347864" w:rsidRDefault="00347864" w:rsidP="008E0360">
      <w:pPr>
        <w:pStyle w:val="base-text-paragraph"/>
        <w:ind w:left="0"/>
        <w:rPr>
          <w:b/>
          <w:bCs/>
          <w:i/>
          <w:iCs/>
          <w:sz w:val="18"/>
          <w:szCs w:val="18"/>
        </w:rPr>
      </w:pPr>
      <w:bookmarkStart w:id="2" w:name="_Hlk82781687"/>
      <w:r>
        <w:t>The standard maximum civil penalty for CDR Rule breaches applies for a contravention of these restrictions</w:t>
      </w:r>
      <w:r w:rsidR="00CC5F02">
        <w:t>.</w:t>
      </w:r>
      <w:r w:rsidRPr="00347864">
        <w:t xml:space="preserve"> </w:t>
      </w:r>
      <w:r w:rsidRPr="00AC24B6">
        <w:t xml:space="preserve">A robust penalty setting is important to deter </w:t>
      </w:r>
      <w:r>
        <w:t xml:space="preserve">sponsors or affiliates from entering arrangements or engaging in </w:t>
      </w:r>
      <w:r w:rsidRPr="00AC24B6">
        <w:t xml:space="preserve">conduct that would jeopardise the security of consumers’ data and undermine the integrity of the CDR </w:t>
      </w:r>
      <w:r w:rsidR="00431262">
        <w:t>regime</w:t>
      </w:r>
      <w:r w:rsidR="00746569">
        <w:t>, and is consistent with similar civil penalty obligations applying to accredited persons that already exist in the CDR rules</w:t>
      </w:r>
      <w:r w:rsidRPr="00AC24B6">
        <w:t>.</w:t>
      </w:r>
      <w:bookmarkEnd w:id="2"/>
      <w:r>
        <w:t xml:space="preserve"> </w:t>
      </w:r>
      <w:r w:rsidRPr="00AC24B6">
        <w:rPr>
          <w:b/>
          <w:bCs/>
          <w:i/>
          <w:iCs/>
          <w:sz w:val="18"/>
          <w:szCs w:val="18"/>
        </w:rPr>
        <w:t>[Schedule 6, item 21, rule 9.8(</w:t>
      </w:r>
      <w:proofErr w:type="spellStart"/>
      <w:r w:rsidR="00203361">
        <w:rPr>
          <w:b/>
          <w:bCs/>
          <w:i/>
          <w:iCs/>
          <w:sz w:val="18"/>
          <w:szCs w:val="18"/>
        </w:rPr>
        <w:t>nn</w:t>
      </w:r>
      <w:proofErr w:type="spellEnd"/>
      <w:r w:rsidRPr="00AC24B6">
        <w:rPr>
          <w:b/>
          <w:bCs/>
          <w:i/>
          <w:iCs/>
          <w:sz w:val="18"/>
          <w:szCs w:val="18"/>
        </w:rPr>
        <w:t>)-(</w:t>
      </w:r>
      <w:proofErr w:type="spellStart"/>
      <w:r w:rsidR="00203361">
        <w:rPr>
          <w:b/>
          <w:bCs/>
          <w:i/>
          <w:iCs/>
          <w:sz w:val="18"/>
          <w:szCs w:val="18"/>
        </w:rPr>
        <w:t>qq</w:t>
      </w:r>
      <w:proofErr w:type="spellEnd"/>
      <w:r w:rsidRPr="00AC24B6">
        <w:rPr>
          <w:b/>
          <w:bCs/>
          <w:i/>
          <w:iCs/>
          <w:sz w:val="18"/>
          <w:szCs w:val="18"/>
        </w:rPr>
        <w:t>)]</w:t>
      </w:r>
    </w:p>
    <w:p w14:paraId="0F7A63A0" w14:textId="45CE330D" w:rsidR="005527BC" w:rsidRDefault="009D1513" w:rsidP="008E0360">
      <w:pPr>
        <w:pStyle w:val="base-text-paragraph"/>
        <w:ind w:left="0"/>
      </w:pPr>
      <w:r>
        <w:t xml:space="preserve">When seeking to access data, an affiliate must comply with the consumer data request requirements in Part 4 </w:t>
      </w:r>
      <w:r w:rsidR="003D6E0C">
        <w:t xml:space="preserve">of the CDR Rules </w:t>
      </w:r>
      <w:r>
        <w:t>as amended by Schedule 1</w:t>
      </w:r>
      <w:r w:rsidR="00AF7693">
        <w:t xml:space="preserve"> to the Amending Rules</w:t>
      </w:r>
      <w:r>
        <w:t xml:space="preserve">. </w:t>
      </w:r>
    </w:p>
    <w:p w14:paraId="2F4B1EE4" w14:textId="5FC44A86" w:rsidR="005527BC" w:rsidRDefault="00300173" w:rsidP="008E0360">
      <w:pPr>
        <w:pStyle w:val="base-text-paragraph"/>
        <w:ind w:left="0"/>
      </w:pPr>
      <w:proofErr w:type="gramStart"/>
      <w:r>
        <w:t>In particular, when</w:t>
      </w:r>
      <w:proofErr w:type="gramEnd"/>
      <w:r>
        <w:t xml:space="preserve"> an affiliate seeks a collection consent from a consumer, and the consumer’s CDR data will be collected by the sponsor at the affiliate’s request, this fact must be disclosed to the CDR consumer. </w:t>
      </w:r>
      <w:r w:rsidR="005527BC">
        <w:t xml:space="preserve">In this case, if the consumer gives the collection consent, they are deemed to have consented to the sponsor collecting the CDR data, even though the consent is given to the affiliate. </w:t>
      </w:r>
      <w:r w:rsidR="005527BC">
        <w:rPr>
          <w:b/>
          <w:bCs/>
          <w:i/>
          <w:iCs/>
          <w:sz w:val="18"/>
          <w:szCs w:val="18"/>
        </w:rPr>
        <w:t>[Schedule 1, item 5, rule 4.3(2B)]</w:t>
      </w:r>
    </w:p>
    <w:p w14:paraId="6FECD0F7" w14:textId="51A6089D" w:rsidR="005527BC" w:rsidRPr="0065146E" w:rsidRDefault="005527BC" w:rsidP="008E0360">
      <w:pPr>
        <w:keepNext/>
        <w:keepLines/>
        <w:spacing w:after="0"/>
        <w:ind w:right="91"/>
      </w:pPr>
      <w:r>
        <w:t>If the consumer’s CDR data will be collected by a sponsor at the affiliate’s request, the affiliate must give the sponsor’s name, accreditation number, an explanation that the consumer can seek further information about the collection and disclosures of CDR data from the sponsor’s CDR policy, and a link to that CDR policy.</w:t>
      </w:r>
      <w:r w:rsidRPr="001A22E2">
        <w:rPr>
          <w:b/>
          <w:bCs/>
          <w:i/>
          <w:iCs/>
          <w:sz w:val="18"/>
          <w:szCs w:val="18"/>
        </w:rPr>
        <w:t xml:space="preserve"> </w:t>
      </w:r>
      <w:r>
        <w:rPr>
          <w:b/>
          <w:bCs/>
          <w:i/>
          <w:iCs/>
          <w:sz w:val="18"/>
          <w:szCs w:val="18"/>
        </w:rPr>
        <w:t>[Schedule 1, item 6, rule 4.11(3)(</w:t>
      </w:r>
      <w:proofErr w:type="spellStart"/>
      <w:r>
        <w:rPr>
          <w:b/>
          <w:bCs/>
          <w:i/>
          <w:iCs/>
          <w:sz w:val="18"/>
          <w:szCs w:val="18"/>
        </w:rPr>
        <w:t>i</w:t>
      </w:r>
      <w:proofErr w:type="spellEnd"/>
      <w:r>
        <w:rPr>
          <w:b/>
          <w:bCs/>
          <w:i/>
          <w:iCs/>
          <w:sz w:val="18"/>
          <w:szCs w:val="18"/>
        </w:rPr>
        <w:t>)]</w:t>
      </w:r>
      <w:r>
        <w:t xml:space="preserve"> </w:t>
      </w:r>
    </w:p>
    <w:p w14:paraId="6B198026" w14:textId="77777777" w:rsidR="005527BC" w:rsidRPr="0065146E" w:rsidRDefault="005527BC" w:rsidP="008E0360">
      <w:pPr>
        <w:keepNext/>
        <w:keepLines/>
        <w:spacing w:after="0"/>
        <w:ind w:right="91"/>
      </w:pPr>
      <w:r>
        <w:t xml:space="preserve">The affiliate must also state in the CDR consumer’s dashboard that their data will be collected by a sponsor at the affiliate’s request along with the sponsor’s name and accreditation number. </w:t>
      </w:r>
      <w:r>
        <w:rPr>
          <w:b/>
          <w:bCs/>
          <w:i/>
          <w:iCs/>
          <w:sz w:val="18"/>
          <w:szCs w:val="18"/>
        </w:rPr>
        <w:t>[Schedule 1, item 4, rule 1.14(</w:t>
      </w:r>
      <w:proofErr w:type="gramStart"/>
      <w:r>
        <w:rPr>
          <w:b/>
          <w:bCs/>
          <w:i/>
          <w:iCs/>
          <w:sz w:val="18"/>
          <w:szCs w:val="18"/>
        </w:rPr>
        <w:t>3)(</w:t>
      </w:r>
      <w:proofErr w:type="gramEnd"/>
      <w:r>
        <w:rPr>
          <w:b/>
          <w:bCs/>
          <w:i/>
          <w:iCs/>
          <w:sz w:val="18"/>
          <w:szCs w:val="18"/>
        </w:rPr>
        <w:t>ha)]</w:t>
      </w:r>
    </w:p>
    <w:p w14:paraId="4C562BB6" w14:textId="3DF25AF8" w:rsidR="005527BC" w:rsidRPr="006B3032" w:rsidRDefault="005527BC" w:rsidP="008E0360">
      <w:pPr>
        <w:keepNext/>
        <w:keepLines/>
        <w:spacing w:after="0"/>
        <w:ind w:right="91"/>
      </w:pPr>
      <w:r>
        <w:t xml:space="preserve">The sponsor and affiliate may choose which of the two of them will give the notifications required by Subdivision 4.3.5 of the CDR Rules (CDR receipts, etc.) in circumstances where those requirements would otherwise involve </w:t>
      </w:r>
      <w:proofErr w:type="gramStart"/>
      <w:r>
        <w:t>both of them</w:t>
      </w:r>
      <w:proofErr w:type="gramEnd"/>
      <w:r>
        <w:t xml:space="preserve"> giving a notice to a CDR consumer. </w:t>
      </w:r>
      <w:r>
        <w:rPr>
          <w:b/>
          <w:bCs/>
          <w:i/>
          <w:iCs/>
          <w:sz w:val="18"/>
          <w:szCs w:val="18"/>
        </w:rPr>
        <w:t>[Schedule 1, item 7, rule 4.20A]</w:t>
      </w:r>
    </w:p>
    <w:p w14:paraId="5DA92E1B" w14:textId="77777777" w:rsidR="009D1513" w:rsidRDefault="009D1513" w:rsidP="008E0360">
      <w:pPr>
        <w:pStyle w:val="base-text-paragraph"/>
        <w:ind w:left="0"/>
      </w:pPr>
      <w:r>
        <w:t xml:space="preserve">The AP disclosure consent rule (rule 4.7B) applies to both sponsors and affiliates. Where an affiliate seeks to rely on AP disclosure to access CDR data, it must comply with rule 4.7B in obtaining an AP disclosure consent. </w:t>
      </w:r>
    </w:p>
    <w:p w14:paraId="39BAEB4F" w14:textId="092B9848" w:rsidR="009D1513" w:rsidRDefault="009D1513" w:rsidP="008E0360">
      <w:pPr>
        <w:pStyle w:val="ExampleHeading"/>
        <w:ind w:left="1211"/>
      </w:pPr>
      <w:bookmarkStart w:id="3" w:name="_Hlk82607517"/>
      <w:bookmarkEnd w:id="1"/>
      <w:r>
        <w:t>Example</w:t>
      </w:r>
      <w:r w:rsidR="00A17557">
        <w:t xml:space="preserve"> 1</w:t>
      </w:r>
      <w:r>
        <w:t xml:space="preserve">: </w:t>
      </w:r>
      <w:r w:rsidR="00A17557">
        <w:t>C</w:t>
      </w:r>
      <w:r>
        <w:t xml:space="preserve">ustomer-facing affiliate accesses CDR data through non-customer-facing sponsor </w:t>
      </w:r>
    </w:p>
    <w:p w14:paraId="52E1F8D6" w14:textId="2C6A421D" w:rsidR="009D1513" w:rsidRDefault="009D1513" w:rsidP="008E0360">
      <w:pPr>
        <w:pStyle w:val="Dotpoint"/>
        <w:numPr>
          <w:ilvl w:val="0"/>
          <w:numId w:val="0"/>
        </w:numPr>
        <w:ind w:left="1211"/>
        <w:rPr>
          <w:sz w:val="22"/>
          <w:szCs w:val="22"/>
        </w:rPr>
      </w:pPr>
      <w:proofErr w:type="spellStart"/>
      <w:r w:rsidRPr="00755E51">
        <w:rPr>
          <w:sz w:val="22"/>
          <w:szCs w:val="22"/>
        </w:rPr>
        <w:t>iAggregate</w:t>
      </w:r>
      <w:proofErr w:type="spellEnd"/>
      <w:r w:rsidRPr="00755E51">
        <w:rPr>
          <w:sz w:val="22"/>
          <w:szCs w:val="22"/>
        </w:rPr>
        <w:t xml:space="preserve">, a </w:t>
      </w:r>
      <w:r w:rsidR="00B1463A">
        <w:rPr>
          <w:sz w:val="22"/>
          <w:szCs w:val="22"/>
        </w:rPr>
        <w:t>small-to-medium enterprise</w:t>
      </w:r>
      <w:r w:rsidRPr="00755E51">
        <w:rPr>
          <w:sz w:val="22"/>
          <w:szCs w:val="22"/>
        </w:rPr>
        <w:t xml:space="preserve">, wants to provide an account aggregation service to customers using CDR data and applies for accreditation at the sponsored level. </w:t>
      </w:r>
      <w:r w:rsidR="00D268AA" w:rsidRPr="00D268AA">
        <w:rPr>
          <w:sz w:val="22"/>
          <w:szCs w:val="22"/>
        </w:rPr>
        <w:t>Dachshund Data</w:t>
      </w:r>
      <w:r w:rsidRPr="00755E51">
        <w:rPr>
          <w:sz w:val="22"/>
          <w:szCs w:val="22"/>
        </w:rPr>
        <w:t xml:space="preserve"> </w:t>
      </w:r>
      <w:r>
        <w:rPr>
          <w:sz w:val="22"/>
          <w:szCs w:val="22"/>
        </w:rPr>
        <w:t xml:space="preserve">is accredited to the unrestricted level </w:t>
      </w:r>
      <w:r>
        <w:rPr>
          <w:sz w:val="22"/>
          <w:szCs w:val="22"/>
        </w:rPr>
        <w:lastRenderedPageBreak/>
        <w:t xml:space="preserve">and </w:t>
      </w:r>
      <w:proofErr w:type="gramStart"/>
      <w:r>
        <w:rPr>
          <w:sz w:val="22"/>
          <w:szCs w:val="22"/>
        </w:rPr>
        <w:t>enters into</w:t>
      </w:r>
      <w:proofErr w:type="gramEnd"/>
      <w:r>
        <w:rPr>
          <w:sz w:val="22"/>
          <w:szCs w:val="22"/>
        </w:rPr>
        <w:t xml:space="preserve"> a sponsorship </w:t>
      </w:r>
      <w:r w:rsidR="006B1EA3">
        <w:rPr>
          <w:sz w:val="22"/>
          <w:szCs w:val="22"/>
        </w:rPr>
        <w:t xml:space="preserve">arrangement </w:t>
      </w:r>
      <w:r w:rsidRPr="00755E51">
        <w:rPr>
          <w:sz w:val="22"/>
          <w:szCs w:val="22"/>
        </w:rPr>
        <w:t xml:space="preserve">to sponsor </w:t>
      </w:r>
      <w:proofErr w:type="spellStart"/>
      <w:r w:rsidRPr="00755E51">
        <w:rPr>
          <w:sz w:val="22"/>
          <w:szCs w:val="22"/>
        </w:rPr>
        <w:t>iAggregate</w:t>
      </w:r>
      <w:proofErr w:type="spellEnd"/>
      <w:r w:rsidRPr="00755E51">
        <w:rPr>
          <w:sz w:val="22"/>
          <w:szCs w:val="22"/>
        </w:rPr>
        <w:t xml:space="preserve"> as its affiliate in the CDR, enabling </w:t>
      </w:r>
      <w:proofErr w:type="spellStart"/>
      <w:r w:rsidRPr="00755E51">
        <w:rPr>
          <w:sz w:val="22"/>
          <w:szCs w:val="22"/>
        </w:rPr>
        <w:t>iAggregate</w:t>
      </w:r>
      <w:proofErr w:type="spellEnd"/>
      <w:r w:rsidRPr="00755E51">
        <w:rPr>
          <w:sz w:val="22"/>
          <w:szCs w:val="22"/>
        </w:rPr>
        <w:t xml:space="preserve"> to use CDR data for the service. Consumers </w:t>
      </w:r>
      <w:r w:rsidR="000A6FDB">
        <w:rPr>
          <w:sz w:val="22"/>
          <w:szCs w:val="22"/>
        </w:rPr>
        <w:t>give consent to</w:t>
      </w:r>
      <w:r w:rsidRPr="00755E51">
        <w:rPr>
          <w:sz w:val="22"/>
          <w:szCs w:val="22"/>
        </w:rPr>
        <w:t xml:space="preserve"> </w:t>
      </w:r>
      <w:proofErr w:type="spellStart"/>
      <w:r w:rsidRPr="00755E51">
        <w:rPr>
          <w:sz w:val="22"/>
          <w:szCs w:val="22"/>
        </w:rPr>
        <w:t>iAggregate</w:t>
      </w:r>
      <w:proofErr w:type="spellEnd"/>
      <w:r w:rsidRPr="00755E51">
        <w:rPr>
          <w:sz w:val="22"/>
          <w:szCs w:val="22"/>
        </w:rPr>
        <w:t xml:space="preserve"> </w:t>
      </w:r>
      <w:r w:rsidR="000A6FDB">
        <w:rPr>
          <w:sz w:val="22"/>
          <w:szCs w:val="22"/>
        </w:rPr>
        <w:t xml:space="preserve">for it to use their CDR data </w:t>
      </w:r>
      <w:r w:rsidRPr="00755E51">
        <w:rPr>
          <w:sz w:val="22"/>
          <w:szCs w:val="22"/>
        </w:rPr>
        <w:t xml:space="preserve">to </w:t>
      </w:r>
      <w:r w:rsidR="000A6FDB">
        <w:rPr>
          <w:sz w:val="22"/>
          <w:szCs w:val="22"/>
        </w:rPr>
        <w:t>provide</w:t>
      </w:r>
      <w:r w:rsidR="000A6FDB" w:rsidRPr="00755E51">
        <w:rPr>
          <w:sz w:val="22"/>
          <w:szCs w:val="22"/>
        </w:rPr>
        <w:t xml:space="preserve"> </w:t>
      </w:r>
      <w:r w:rsidRPr="00755E51">
        <w:rPr>
          <w:sz w:val="22"/>
          <w:szCs w:val="22"/>
        </w:rPr>
        <w:t xml:space="preserve">the account aggregation service. </w:t>
      </w:r>
      <w:r w:rsidR="00D268AA" w:rsidRPr="00D268AA">
        <w:rPr>
          <w:sz w:val="22"/>
          <w:szCs w:val="22"/>
        </w:rPr>
        <w:t>Dachshund Data</w:t>
      </w:r>
      <w:r w:rsidRPr="00755E51">
        <w:rPr>
          <w:sz w:val="22"/>
          <w:szCs w:val="22"/>
        </w:rPr>
        <w:t xml:space="preserve"> collect</w:t>
      </w:r>
      <w:r w:rsidR="000A6FDB">
        <w:rPr>
          <w:sz w:val="22"/>
          <w:szCs w:val="22"/>
        </w:rPr>
        <w:t>s</w:t>
      </w:r>
      <w:r w:rsidRPr="00755E51">
        <w:rPr>
          <w:sz w:val="22"/>
          <w:szCs w:val="22"/>
        </w:rPr>
        <w:t xml:space="preserve"> CDR data from data holders</w:t>
      </w:r>
      <w:r w:rsidR="000A6FDB">
        <w:rPr>
          <w:sz w:val="22"/>
          <w:szCs w:val="22"/>
        </w:rPr>
        <w:t xml:space="preserve"> at the request of </w:t>
      </w:r>
      <w:proofErr w:type="spellStart"/>
      <w:r w:rsidR="000A6FDB">
        <w:rPr>
          <w:sz w:val="22"/>
          <w:szCs w:val="22"/>
        </w:rPr>
        <w:t>iAggregate</w:t>
      </w:r>
      <w:proofErr w:type="spellEnd"/>
      <w:r w:rsidRPr="00755E51">
        <w:rPr>
          <w:sz w:val="22"/>
          <w:szCs w:val="22"/>
        </w:rPr>
        <w:t xml:space="preserve">. </w:t>
      </w:r>
      <w:r w:rsidR="000A6FDB">
        <w:rPr>
          <w:sz w:val="22"/>
          <w:szCs w:val="22"/>
        </w:rPr>
        <w:t>Although</w:t>
      </w:r>
      <w:r w:rsidRPr="00755E51">
        <w:rPr>
          <w:sz w:val="22"/>
          <w:szCs w:val="22"/>
        </w:rPr>
        <w:t xml:space="preserve"> </w:t>
      </w:r>
      <w:proofErr w:type="spellStart"/>
      <w:r w:rsidRPr="00755E51">
        <w:rPr>
          <w:sz w:val="22"/>
          <w:szCs w:val="22"/>
        </w:rPr>
        <w:t>iAggregate</w:t>
      </w:r>
      <w:r w:rsidR="000A6FDB">
        <w:rPr>
          <w:sz w:val="22"/>
          <w:szCs w:val="22"/>
        </w:rPr>
        <w:t>’s</w:t>
      </w:r>
      <w:proofErr w:type="spellEnd"/>
      <w:r w:rsidR="000A6FDB">
        <w:rPr>
          <w:sz w:val="22"/>
          <w:szCs w:val="22"/>
        </w:rPr>
        <w:t xml:space="preserve"> customers</w:t>
      </w:r>
      <w:r w:rsidRPr="00755E51">
        <w:rPr>
          <w:sz w:val="22"/>
          <w:szCs w:val="22"/>
        </w:rPr>
        <w:t xml:space="preserve"> do not have a direct relationship with </w:t>
      </w:r>
      <w:r w:rsidR="00D268AA" w:rsidRPr="00D268AA">
        <w:rPr>
          <w:sz w:val="22"/>
          <w:szCs w:val="22"/>
        </w:rPr>
        <w:t>Dachshund Data</w:t>
      </w:r>
      <w:r w:rsidR="000A6FDB">
        <w:rPr>
          <w:sz w:val="22"/>
          <w:szCs w:val="22"/>
        </w:rPr>
        <w:t xml:space="preserve">, they are informed that </w:t>
      </w:r>
      <w:r w:rsidR="00D268AA" w:rsidRPr="00D268AA">
        <w:rPr>
          <w:sz w:val="22"/>
          <w:szCs w:val="22"/>
        </w:rPr>
        <w:t>Dachshund Data</w:t>
      </w:r>
      <w:r w:rsidR="00D268AA">
        <w:rPr>
          <w:sz w:val="22"/>
          <w:szCs w:val="22"/>
        </w:rPr>
        <w:t xml:space="preserve"> </w:t>
      </w:r>
      <w:r w:rsidR="000A6FDB">
        <w:rPr>
          <w:sz w:val="22"/>
          <w:szCs w:val="22"/>
        </w:rPr>
        <w:t>collects their data during the consent process</w:t>
      </w:r>
      <w:r w:rsidRPr="00755E51">
        <w:rPr>
          <w:sz w:val="22"/>
          <w:szCs w:val="22"/>
        </w:rPr>
        <w:t xml:space="preserve">. </w:t>
      </w:r>
      <w:r w:rsidR="000A6FDB">
        <w:rPr>
          <w:sz w:val="22"/>
          <w:szCs w:val="22"/>
        </w:rPr>
        <w:t>As a sponsor</w:t>
      </w:r>
      <w:r w:rsidRPr="00755E51">
        <w:rPr>
          <w:sz w:val="22"/>
          <w:szCs w:val="22"/>
        </w:rPr>
        <w:t xml:space="preserve">, </w:t>
      </w:r>
      <w:r w:rsidR="00D268AA" w:rsidRPr="00D268AA">
        <w:rPr>
          <w:sz w:val="22"/>
          <w:szCs w:val="22"/>
        </w:rPr>
        <w:t>Dachshund Data</w:t>
      </w:r>
      <w:r w:rsidRPr="00755E51">
        <w:rPr>
          <w:sz w:val="22"/>
          <w:szCs w:val="22"/>
        </w:rPr>
        <w:t xml:space="preserve"> </w:t>
      </w:r>
      <w:r w:rsidR="000A6FDB">
        <w:rPr>
          <w:sz w:val="22"/>
          <w:szCs w:val="22"/>
        </w:rPr>
        <w:t>has a third-party management framework and</w:t>
      </w:r>
      <w:r w:rsidRPr="00755E51">
        <w:rPr>
          <w:sz w:val="22"/>
          <w:szCs w:val="22"/>
        </w:rPr>
        <w:t xml:space="preserve"> takes steps to ensure </w:t>
      </w:r>
      <w:proofErr w:type="spellStart"/>
      <w:r w:rsidRPr="00755E51">
        <w:rPr>
          <w:sz w:val="22"/>
          <w:szCs w:val="22"/>
        </w:rPr>
        <w:t>iAggregate’s</w:t>
      </w:r>
      <w:proofErr w:type="spellEnd"/>
      <w:r w:rsidRPr="00755E51">
        <w:rPr>
          <w:sz w:val="22"/>
          <w:szCs w:val="22"/>
        </w:rPr>
        <w:t xml:space="preserve"> </w:t>
      </w:r>
      <w:r>
        <w:rPr>
          <w:sz w:val="22"/>
          <w:szCs w:val="22"/>
        </w:rPr>
        <w:t>information security</w:t>
      </w:r>
      <w:r w:rsidRPr="00755E51">
        <w:rPr>
          <w:sz w:val="22"/>
          <w:szCs w:val="22"/>
        </w:rPr>
        <w:t xml:space="preserve"> is adequate by assisting </w:t>
      </w:r>
      <w:proofErr w:type="spellStart"/>
      <w:r w:rsidRPr="00755E51">
        <w:rPr>
          <w:sz w:val="22"/>
          <w:szCs w:val="22"/>
        </w:rPr>
        <w:t>iAggregate</w:t>
      </w:r>
      <w:proofErr w:type="spellEnd"/>
      <w:r w:rsidRPr="00755E51">
        <w:rPr>
          <w:sz w:val="22"/>
          <w:szCs w:val="22"/>
        </w:rPr>
        <w:t xml:space="preserve"> with tailored technical advice and assistance</w:t>
      </w:r>
      <w:r>
        <w:rPr>
          <w:sz w:val="22"/>
          <w:szCs w:val="22"/>
        </w:rPr>
        <w:t xml:space="preserve">, both before </w:t>
      </w:r>
      <w:proofErr w:type="gramStart"/>
      <w:r>
        <w:rPr>
          <w:sz w:val="22"/>
          <w:szCs w:val="22"/>
        </w:rPr>
        <w:t>entering into</w:t>
      </w:r>
      <w:proofErr w:type="gramEnd"/>
      <w:r>
        <w:rPr>
          <w:sz w:val="22"/>
          <w:szCs w:val="22"/>
        </w:rPr>
        <w:t xml:space="preserve"> the sponsorship arrangement and on an ongoing basis</w:t>
      </w:r>
      <w:r w:rsidRPr="00755E51">
        <w:rPr>
          <w:sz w:val="22"/>
          <w:szCs w:val="22"/>
        </w:rPr>
        <w:t>.</w:t>
      </w:r>
    </w:p>
    <w:p w14:paraId="4213F9FE" w14:textId="41673A50" w:rsidR="009D1513" w:rsidRPr="00755E51" w:rsidRDefault="009D1513" w:rsidP="008E0360">
      <w:pPr>
        <w:pStyle w:val="ExampleHeading"/>
        <w:ind w:left="1211"/>
      </w:pPr>
      <w:r w:rsidRPr="00755E51">
        <w:t>Example</w:t>
      </w:r>
      <w:r w:rsidR="00A17557">
        <w:t xml:space="preserve"> 2</w:t>
      </w:r>
      <w:r w:rsidRPr="00755E51">
        <w:t xml:space="preserve">: </w:t>
      </w:r>
      <w:r w:rsidR="00A17557">
        <w:t>A</w:t>
      </w:r>
      <w:r w:rsidRPr="00755E51">
        <w:t xml:space="preserve">ffiliate relies on AP disclosures of CDR data  </w:t>
      </w:r>
    </w:p>
    <w:p w14:paraId="136A4D5C" w14:textId="2C8DEE14" w:rsidR="009D1513" w:rsidRDefault="00AD4C6C" w:rsidP="008E0360">
      <w:pPr>
        <w:pStyle w:val="Dotpoint"/>
        <w:numPr>
          <w:ilvl w:val="0"/>
          <w:numId w:val="0"/>
        </w:numPr>
        <w:ind w:left="1211"/>
        <w:rPr>
          <w:sz w:val="22"/>
          <w:szCs w:val="22"/>
        </w:rPr>
      </w:pPr>
      <w:r>
        <w:rPr>
          <w:sz w:val="22"/>
          <w:szCs w:val="22"/>
        </w:rPr>
        <w:t>Pulpit</w:t>
      </w:r>
      <w:r w:rsidR="009D1513" w:rsidRPr="00755E51">
        <w:rPr>
          <w:sz w:val="22"/>
          <w:szCs w:val="22"/>
        </w:rPr>
        <w:t xml:space="preserve"> is a platform service provider that offers </w:t>
      </w:r>
      <w:r w:rsidR="002A2C1B">
        <w:rPr>
          <w:sz w:val="22"/>
          <w:szCs w:val="22"/>
        </w:rPr>
        <w:t xml:space="preserve">SaaS services to SME </w:t>
      </w:r>
      <w:r w:rsidR="009D1513" w:rsidRPr="00755E51">
        <w:rPr>
          <w:sz w:val="22"/>
          <w:szCs w:val="22"/>
        </w:rPr>
        <w:t xml:space="preserve">consumers </w:t>
      </w:r>
      <w:r w:rsidR="006861D9">
        <w:rPr>
          <w:sz w:val="22"/>
          <w:szCs w:val="22"/>
        </w:rPr>
        <w:t>directly,</w:t>
      </w:r>
      <w:r w:rsidR="009D1513" w:rsidRPr="00755E51">
        <w:rPr>
          <w:sz w:val="22"/>
          <w:szCs w:val="22"/>
        </w:rPr>
        <w:t xml:space="preserve"> as well as the ability to download apps from its marketplace and </w:t>
      </w:r>
      <w:r w:rsidR="006861D9">
        <w:rPr>
          <w:sz w:val="22"/>
          <w:szCs w:val="22"/>
        </w:rPr>
        <w:t xml:space="preserve">for consumers to </w:t>
      </w:r>
      <w:r w:rsidR="009D1513" w:rsidRPr="00755E51">
        <w:rPr>
          <w:sz w:val="22"/>
          <w:szCs w:val="22"/>
        </w:rPr>
        <w:t>share their data with them.</w:t>
      </w:r>
      <w:r w:rsidR="009D1513" w:rsidRPr="00755E51" w:rsidDel="00AD4C6C">
        <w:rPr>
          <w:sz w:val="22"/>
          <w:szCs w:val="22"/>
        </w:rPr>
        <w:t xml:space="preserve"> </w:t>
      </w:r>
      <w:r>
        <w:rPr>
          <w:sz w:val="22"/>
          <w:szCs w:val="22"/>
        </w:rPr>
        <w:t>Pulpit</w:t>
      </w:r>
      <w:r w:rsidR="009D1513" w:rsidRPr="00755E51">
        <w:rPr>
          <w:sz w:val="22"/>
          <w:szCs w:val="22"/>
        </w:rPr>
        <w:t xml:space="preserve"> is a person accredited to the unrestricted level that acts as a sponsor in the CDR</w:t>
      </w:r>
      <w:r w:rsidR="009D1513">
        <w:rPr>
          <w:sz w:val="22"/>
          <w:szCs w:val="22"/>
        </w:rPr>
        <w:t xml:space="preserve">, collects CDR data from data holders on behalf of consumers, and retains that data as an </w:t>
      </w:r>
      <w:r w:rsidR="00723E15">
        <w:rPr>
          <w:sz w:val="22"/>
          <w:szCs w:val="22"/>
        </w:rPr>
        <w:t>accredited data recipient</w:t>
      </w:r>
      <w:r w:rsidR="009D1513">
        <w:rPr>
          <w:sz w:val="22"/>
          <w:szCs w:val="22"/>
        </w:rPr>
        <w:t>.</w:t>
      </w:r>
      <w:r w:rsidR="009D1513" w:rsidRPr="00755E51">
        <w:rPr>
          <w:sz w:val="22"/>
          <w:szCs w:val="22"/>
        </w:rPr>
        <w:t xml:space="preserve"> </w:t>
      </w:r>
      <w:r w:rsidR="000F6B33">
        <w:rPr>
          <w:sz w:val="22"/>
          <w:szCs w:val="22"/>
        </w:rPr>
        <w:t>Pulpit</w:t>
      </w:r>
      <w:r w:rsidR="009D1513" w:rsidRPr="00755E51">
        <w:rPr>
          <w:sz w:val="22"/>
          <w:szCs w:val="22"/>
        </w:rPr>
        <w:t xml:space="preserve"> relies on the AP disclosure rules to share</w:t>
      </w:r>
      <w:r w:rsidR="009D1513">
        <w:rPr>
          <w:sz w:val="22"/>
          <w:szCs w:val="22"/>
        </w:rPr>
        <w:t xml:space="preserve"> </w:t>
      </w:r>
      <w:r w:rsidR="009D1513" w:rsidRPr="00755E51">
        <w:rPr>
          <w:sz w:val="22"/>
          <w:szCs w:val="22"/>
        </w:rPr>
        <w:t xml:space="preserve">data </w:t>
      </w:r>
      <w:r w:rsidR="009D1513">
        <w:rPr>
          <w:sz w:val="22"/>
          <w:szCs w:val="22"/>
        </w:rPr>
        <w:t>it holds</w:t>
      </w:r>
      <w:r w:rsidR="009D1513" w:rsidRPr="00755E51">
        <w:rPr>
          <w:sz w:val="22"/>
          <w:szCs w:val="22"/>
        </w:rPr>
        <w:t xml:space="preserve"> with its affiliates, at a consumer’s request, in situations where a consumer downloads </w:t>
      </w:r>
      <w:r w:rsidR="000A6FDB">
        <w:rPr>
          <w:sz w:val="22"/>
          <w:szCs w:val="22"/>
        </w:rPr>
        <w:t>an</w:t>
      </w:r>
      <w:r w:rsidR="000A6FDB" w:rsidRPr="00755E51">
        <w:rPr>
          <w:sz w:val="22"/>
          <w:szCs w:val="22"/>
        </w:rPr>
        <w:t xml:space="preserve"> </w:t>
      </w:r>
      <w:r w:rsidR="009D1513" w:rsidRPr="00755E51">
        <w:rPr>
          <w:sz w:val="22"/>
          <w:szCs w:val="22"/>
        </w:rPr>
        <w:t>affiliate</w:t>
      </w:r>
      <w:r w:rsidR="00577C96">
        <w:rPr>
          <w:sz w:val="22"/>
          <w:szCs w:val="22"/>
        </w:rPr>
        <w:t>’</w:t>
      </w:r>
      <w:r w:rsidR="009D1513" w:rsidRPr="00755E51">
        <w:rPr>
          <w:sz w:val="22"/>
          <w:szCs w:val="22"/>
        </w:rPr>
        <w:t xml:space="preserve">s app from its marketplace. Before deciding whether to sponsor affiliates, </w:t>
      </w:r>
      <w:r w:rsidR="000F6B33">
        <w:rPr>
          <w:sz w:val="22"/>
          <w:szCs w:val="22"/>
        </w:rPr>
        <w:t>Pulpit</w:t>
      </w:r>
      <w:r w:rsidR="000F6B33" w:rsidRPr="00755E51">
        <w:rPr>
          <w:sz w:val="22"/>
          <w:szCs w:val="22"/>
        </w:rPr>
        <w:t xml:space="preserve"> </w:t>
      </w:r>
      <w:r w:rsidR="009D1513" w:rsidRPr="00755E51">
        <w:rPr>
          <w:sz w:val="22"/>
          <w:szCs w:val="22"/>
        </w:rPr>
        <w:t xml:space="preserve">undertakes an assessment of whether they are appropriate partners for its platform. </w:t>
      </w:r>
      <w:r w:rsidR="000F6B33">
        <w:rPr>
          <w:sz w:val="22"/>
          <w:szCs w:val="22"/>
        </w:rPr>
        <w:t xml:space="preserve">Pulpit </w:t>
      </w:r>
      <w:r w:rsidR="000A6FDB" w:rsidRPr="00755E51">
        <w:rPr>
          <w:sz w:val="22"/>
          <w:szCs w:val="22"/>
        </w:rPr>
        <w:t>evaluat</w:t>
      </w:r>
      <w:r w:rsidR="000A6FDB">
        <w:rPr>
          <w:sz w:val="22"/>
          <w:szCs w:val="22"/>
        </w:rPr>
        <w:t>es</w:t>
      </w:r>
      <w:r w:rsidR="000A6FDB" w:rsidRPr="00755E51">
        <w:rPr>
          <w:sz w:val="22"/>
          <w:szCs w:val="22"/>
        </w:rPr>
        <w:t xml:space="preserve"> </w:t>
      </w:r>
      <w:r w:rsidR="009D1513" w:rsidRPr="00755E51">
        <w:rPr>
          <w:sz w:val="22"/>
          <w:szCs w:val="22"/>
        </w:rPr>
        <w:t xml:space="preserve">their general security posture </w:t>
      </w:r>
      <w:r w:rsidR="000A6FDB">
        <w:rPr>
          <w:sz w:val="22"/>
          <w:szCs w:val="22"/>
        </w:rPr>
        <w:t>by reference to Schedule 2</w:t>
      </w:r>
      <w:r w:rsidR="00AC799F">
        <w:rPr>
          <w:sz w:val="22"/>
          <w:szCs w:val="22"/>
        </w:rPr>
        <w:t xml:space="preserve"> to the CDR Rules</w:t>
      </w:r>
      <w:r w:rsidR="000A6FDB">
        <w:rPr>
          <w:sz w:val="22"/>
          <w:szCs w:val="22"/>
        </w:rPr>
        <w:t>.</w:t>
      </w:r>
      <w:r w:rsidR="009D1513" w:rsidRPr="00755E51">
        <w:rPr>
          <w:sz w:val="22"/>
          <w:szCs w:val="22"/>
        </w:rPr>
        <w:t xml:space="preserve"> </w:t>
      </w:r>
    </w:p>
    <w:bookmarkEnd w:id="3"/>
    <w:p w14:paraId="70B95E06" w14:textId="2D279AF7" w:rsidR="009D1513" w:rsidRPr="009A1D6D" w:rsidRDefault="009D1513" w:rsidP="008E0360">
      <w:pPr>
        <w:pStyle w:val="Heading4"/>
        <w:spacing w:before="240"/>
        <w:rPr>
          <w:b w:val="0"/>
          <w:bCs/>
          <w:i/>
          <w:iCs/>
        </w:rPr>
      </w:pPr>
      <w:r>
        <w:rPr>
          <w:b w:val="0"/>
          <w:bCs/>
          <w:i/>
          <w:iCs/>
        </w:rPr>
        <w:t>Responsibility and liability for affiliates’ use and disclosure of data</w:t>
      </w:r>
    </w:p>
    <w:p w14:paraId="1258FD79" w14:textId="6271251F" w:rsidR="009D1513" w:rsidRDefault="009D1513" w:rsidP="008E0360">
      <w:pPr>
        <w:pStyle w:val="base-text-paragraph"/>
        <w:ind w:left="0"/>
      </w:pPr>
      <w:r>
        <w:t>Affiliates are responsible for their use and disclosure of CDR data they receive</w:t>
      </w:r>
      <w:r w:rsidR="00FC654A">
        <w:t>, and management of CDR data in accordance with the obligations under the Act and rules</w:t>
      </w:r>
      <w:r>
        <w:t xml:space="preserve">. Like all accredited data recipients, affiliates must not use or disclose data collected under a consumer data request made under Part 4 </w:t>
      </w:r>
      <w:r w:rsidR="00CF101D">
        <w:t>of the CDR Rules</w:t>
      </w:r>
      <w:r>
        <w:t xml:space="preserve"> otherwise than for a permitted use or disclosure (rule 7.6(1)). This applies whether the affiliate accesses CDR data through its sponsor or through AP disclosure</w:t>
      </w:r>
      <w:r w:rsidR="00FC654A">
        <w:t xml:space="preserve"> rules</w:t>
      </w:r>
      <w:r>
        <w:t xml:space="preserve">. </w:t>
      </w:r>
    </w:p>
    <w:p w14:paraId="7B00D702" w14:textId="6ACE405C" w:rsidR="009D1513" w:rsidRDefault="009D1513" w:rsidP="008E0360">
      <w:pPr>
        <w:pStyle w:val="base-text-paragraph"/>
        <w:ind w:left="0"/>
        <w:rPr>
          <w:b/>
          <w:i/>
          <w:sz w:val="18"/>
          <w:szCs w:val="18"/>
        </w:rPr>
      </w:pPr>
      <w:r>
        <w:t xml:space="preserve">To ensure that affiliates are appropriately liable for their use and disclosure of data, any data collected by a sponsor at the request of an affiliate is </w:t>
      </w:r>
      <w:r w:rsidR="00C43382">
        <w:t>deemed</w:t>
      </w:r>
      <w:r>
        <w:t xml:space="preserve"> to have also been collected by the affiliate. This amendment ensures </w:t>
      </w:r>
      <w:r w:rsidR="00910F78">
        <w:t>the limitation to permitted uses and disclosures</w:t>
      </w:r>
      <w:r>
        <w:t xml:space="preserve"> applies to affiliates when they have used their sponsor to collect data from data holders. </w:t>
      </w:r>
      <w:r w:rsidR="00CF101D">
        <w:rPr>
          <w:b/>
          <w:bCs/>
          <w:i/>
          <w:iCs/>
          <w:sz w:val="18"/>
          <w:szCs w:val="18"/>
        </w:rPr>
        <w:t>[</w:t>
      </w:r>
      <w:r w:rsidR="00CF101D">
        <w:rPr>
          <w:b/>
          <w:i/>
          <w:sz w:val="18"/>
          <w:szCs w:val="18"/>
        </w:rPr>
        <w:t>Schedule 1, item 28, rule 7.6(3)]</w:t>
      </w:r>
    </w:p>
    <w:p w14:paraId="3823176B" w14:textId="2443CAD8" w:rsidR="00A20A12" w:rsidRPr="00A20A12" w:rsidRDefault="00A20A12" w:rsidP="008E0360">
      <w:pPr>
        <w:pStyle w:val="base-text-paragraph"/>
        <w:ind w:left="0"/>
        <w:rPr>
          <w:b/>
          <w:i/>
          <w:sz w:val="18"/>
          <w:szCs w:val="18"/>
        </w:rPr>
      </w:pPr>
      <w:r>
        <w:rPr>
          <w:bCs/>
          <w:iCs/>
          <w:szCs w:val="24"/>
        </w:rPr>
        <w:t xml:space="preserve">If an affiliate ceases to have a sponsor registered with the DRA, any collection consents </w:t>
      </w:r>
      <w:r w:rsidR="000F6B33">
        <w:rPr>
          <w:bCs/>
          <w:iCs/>
          <w:szCs w:val="24"/>
        </w:rPr>
        <w:t>relevant to that sponsor</w:t>
      </w:r>
      <w:r>
        <w:rPr>
          <w:bCs/>
          <w:iCs/>
          <w:szCs w:val="24"/>
        </w:rPr>
        <w:t xml:space="preserve"> for the affiliate expire, but </w:t>
      </w:r>
      <w:r w:rsidR="00D91971">
        <w:rPr>
          <w:bCs/>
          <w:iCs/>
          <w:szCs w:val="24"/>
        </w:rPr>
        <w:t xml:space="preserve">the corresponding </w:t>
      </w:r>
      <w:r>
        <w:rPr>
          <w:bCs/>
          <w:iCs/>
          <w:szCs w:val="24"/>
        </w:rPr>
        <w:t xml:space="preserve">use consents and disclosure consents continue in effect. </w:t>
      </w:r>
      <w:r>
        <w:rPr>
          <w:b/>
          <w:i/>
          <w:sz w:val="18"/>
          <w:szCs w:val="18"/>
        </w:rPr>
        <w:t>[Schedule 1, item 8, rules 5.1B(6) and (8)]</w:t>
      </w:r>
    </w:p>
    <w:p w14:paraId="6A454F93" w14:textId="77777777" w:rsidR="009D1513" w:rsidRPr="009A1D6D" w:rsidRDefault="009D1513" w:rsidP="008E0360">
      <w:pPr>
        <w:pStyle w:val="Heading4"/>
        <w:spacing w:before="240"/>
        <w:rPr>
          <w:b w:val="0"/>
          <w:bCs/>
          <w:i/>
          <w:iCs/>
        </w:rPr>
      </w:pPr>
      <w:r>
        <w:rPr>
          <w:b w:val="0"/>
          <w:bCs/>
          <w:i/>
          <w:iCs/>
        </w:rPr>
        <w:t>The affiliate’s obligations</w:t>
      </w:r>
    </w:p>
    <w:p w14:paraId="000AB151" w14:textId="370A83D9" w:rsidR="009D1513" w:rsidRDefault="009D1513" w:rsidP="008E0360">
      <w:pPr>
        <w:pStyle w:val="base-text-paragraph"/>
        <w:ind w:left="0"/>
      </w:pPr>
      <w:r>
        <w:t xml:space="preserve">As accredited persons, affiliates must comply with obligations on accredited persons in the CDR Rules. However, Schedule 1 </w:t>
      </w:r>
      <w:r w:rsidR="00AF7693">
        <w:t xml:space="preserve">to the Amending Rules </w:t>
      </w:r>
      <w:r>
        <w:t xml:space="preserve">adjusts some of these obligations specifically for persons with sponsored accreditation. Relevant instances are set out below. </w:t>
      </w:r>
    </w:p>
    <w:p w14:paraId="35412E05" w14:textId="7F690B04" w:rsidR="009D1513" w:rsidRDefault="009D1513" w:rsidP="008E0360">
      <w:pPr>
        <w:pStyle w:val="Bullet"/>
        <w:numPr>
          <w:ilvl w:val="0"/>
          <w:numId w:val="0"/>
        </w:numPr>
        <w:spacing w:before="120"/>
      </w:pPr>
      <w:r>
        <w:t xml:space="preserve">The ongoing reporting requirements in Schedule 1 to the CDR Rules, which are default conditions on accreditation, </w:t>
      </w:r>
      <w:r w:rsidR="00910F78">
        <w:t>are</w:t>
      </w:r>
      <w:r>
        <w:t xml:space="preserve"> adjusted for persons with sponsored accreditation. A person with sponsored accreditation must provide a self-assessment against the requirements in Schedule 2 to the CDR Rules (with respect to information </w:t>
      </w:r>
      <w:r>
        <w:lastRenderedPageBreak/>
        <w:t>security) and an attestation statement every two years</w:t>
      </w:r>
      <w:r w:rsidR="00DB02A4">
        <w:t xml:space="preserve">. The self-assessment and the attestation statement must be </w:t>
      </w:r>
      <w:r w:rsidR="00F34D3E">
        <w:t>made in the form of any approved requirements by the DRA</w:t>
      </w:r>
      <w:r>
        <w:t xml:space="preserve">. </w:t>
      </w:r>
      <w:r w:rsidR="00F04454">
        <w:rPr>
          <w:b/>
          <w:bCs/>
          <w:i/>
          <w:iCs/>
          <w:sz w:val="18"/>
          <w:szCs w:val="18"/>
        </w:rPr>
        <w:t>[</w:t>
      </w:r>
      <w:r>
        <w:rPr>
          <w:b/>
          <w:i/>
          <w:sz w:val="18"/>
          <w:szCs w:val="18"/>
        </w:rPr>
        <w:t>Schedule 1</w:t>
      </w:r>
      <w:r w:rsidR="00F04454">
        <w:rPr>
          <w:b/>
          <w:bCs/>
          <w:i/>
          <w:iCs/>
          <w:sz w:val="18"/>
          <w:szCs w:val="18"/>
        </w:rPr>
        <w:t>, items 3</w:t>
      </w:r>
      <w:r w:rsidR="00106C1F">
        <w:rPr>
          <w:b/>
          <w:bCs/>
          <w:i/>
          <w:iCs/>
          <w:sz w:val="18"/>
          <w:szCs w:val="18"/>
        </w:rPr>
        <w:t>3</w:t>
      </w:r>
      <w:r w:rsidR="00921263">
        <w:rPr>
          <w:b/>
          <w:bCs/>
          <w:i/>
          <w:iCs/>
          <w:sz w:val="18"/>
          <w:szCs w:val="18"/>
        </w:rPr>
        <w:t xml:space="preserve"> and 35</w:t>
      </w:r>
      <w:r w:rsidR="00F04454">
        <w:rPr>
          <w:b/>
          <w:bCs/>
          <w:i/>
          <w:iCs/>
          <w:sz w:val="18"/>
          <w:szCs w:val="18"/>
        </w:rPr>
        <w:t xml:space="preserve">, </w:t>
      </w:r>
      <w:r w:rsidR="0003176F">
        <w:rPr>
          <w:b/>
          <w:bCs/>
          <w:i/>
          <w:iCs/>
          <w:sz w:val="18"/>
          <w:szCs w:val="18"/>
        </w:rPr>
        <w:t xml:space="preserve">definitions of ‘assurance report’ and ‘attestation statement’ in clause 2.1(1) </w:t>
      </w:r>
      <w:r w:rsidR="00882774">
        <w:rPr>
          <w:b/>
          <w:bCs/>
          <w:i/>
          <w:iCs/>
          <w:sz w:val="18"/>
          <w:szCs w:val="18"/>
        </w:rPr>
        <w:t>of</w:t>
      </w:r>
      <w:r w:rsidR="0003176F">
        <w:rPr>
          <w:b/>
          <w:bCs/>
          <w:i/>
          <w:iCs/>
          <w:sz w:val="18"/>
          <w:szCs w:val="18"/>
        </w:rPr>
        <w:t xml:space="preserve"> Schedule 1 to the CDR Rules,</w:t>
      </w:r>
      <w:r w:rsidR="00921263">
        <w:rPr>
          <w:b/>
          <w:bCs/>
          <w:i/>
          <w:iCs/>
          <w:sz w:val="18"/>
          <w:szCs w:val="18"/>
        </w:rPr>
        <w:t xml:space="preserve"> and clause 1.5(1)(a) </w:t>
      </w:r>
      <w:r w:rsidR="00882774">
        <w:rPr>
          <w:b/>
          <w:bCs/>
          <w:i/>
          <w:iCs/>
          <w:sz w:val="18"/>
          <w:szCs w:val="18"/>
        </w:rPr>
        <w:t>of</w:t>
      </w:r>
      <w:r w:rsidR="00921263">
        <w:rPr>
          <w:b/>
          <w:bCs/>
          <w:i/>
          <w:iCs/>
          <w:sz w:val="18"/>
          <w:szCs w:val="18"/>
        </w:rPr>
        <w:t xml:space="preserve"> Schedule 2 to the CDR Rules</w:t>
      </w:r>
      <w:r w:rsidR="00F04454">
        <w:rPr>
          <w:b/>
          <w:bCs/>
          <w:i/>
          <w:iCs/>
          <w:sz w:val="18"/>
          <w:szCs w:val="18"/>
        </w:rPr>
        <w:t>]</w:t>
      </w:r>
    </w:p>
    <w:p w14:paraId="208F3522" w14:textId="77777777" w:rsidR="009D1513" w:rsidRDefault="009D1513" w:rsidP="008E0360">
      <w:pPr>
        <w:pStyle w:val="base-text-paragraph"/>
        <w:ind w:left="0"/>
      </w:pPr>
      <w:r>
        <w:t xml:space="preserve">Rules relating to privacy safeguards in Part 7 of the CDR Rules are also amended to reflect specific obligations for affiliates. In particular: </w:t>
      </w:r>
    </w:p>
    <w:p w14:paraId="30F62D1F" w14:textId="0A4FE886" w:rsidR="009D1513" w:rsidRDefault="009D1513" w:rsidP="008E0360">
      <w:pPr>
        <w:pStyle w:val="Bullet"/>
        <w:spacing w:before="120"/>
      </w:pPr>
      <w:r>
        <w:t>Rule 7.2 relating to privacy safeguard 1 is amended to require the a</w:t>
      </w:r>
      <w:r w:rsidR="009B7260">
        <w:t>ffiliate</w:t>
      </w:r>
      <w:r>
        <w:t xml:space="preserve">’s CDR policy to include a list of the persons with whom </w:t>
      </w:r>
      <w:r w:rsidR="009B7260">
        <w:t>it</w:t>
      </w:r>
      <w:r>
        <w:t xml:space="preserve"> has a sponsorship arrangement, and to provide information about the nature of the services one party provides to the other for each such sponsorship </w:t>
      </w:r>
      <w:proofErr w:type="gramStart"/>
      <w:r>
        <w:t>arrangement;</w:t>
      </w:r>
      <w:proofErr w:type="gramEnd"/>
      <w:r>
        <w:t xml:space="preserve"> and</w:t>
      </w:r>
    </w:p>
    <w:p w14:paraId="6F2DDAF2" w14:textId="28FBC129" w:rsidR="009D1513" w:rsidRDefault="009D1513" w:rsidP="008E0360">
      <w:pPr>
        <w:pStyle w:val="Bullet"/>
        <w:spacing w:before="120"/>
      </w:pPr>
      <w:r>
        <w:t>Rule 7.4 relating to privacy safeguard 5 is amended to require information about whether CDR data was collected by a sponsor at their affiliate’s request to be included in the consumer’s dashboard when notifying of the collection of CDR data</w:t>
      </w:r>
      <w:r w:rsidR="00BA2CD0">
        <w:t xml:space="preserve"> (with the sponsor and affiliate able to choose which of them will be responsible for updating the consumer’s dashboard)</w:t>
      </w:r>
      <w:r>
        <w:t>.</w:t>
      </w:r>
    </w:p>
    <w:p w14:paraId="027A02AA" w14:textId="5889C45A" w:rsidR="009B7260" w:rsidRPr="009B7260" w:rsidRDefault="009B7260" w:rsidP="008E0360">
      <w:pPr>
        <w:pStyle w:val="Bullet"/>
        <w:numPr>
          <w:ilvl w:val="0"/>
          <w:numId w:val="0"/>
        </w:numPr>
        <w:spacing w:before="120"/>
        <w:ind w:left="567"/>
        <w:rPr>
          <w:b/>
          <w:bCs/>
          <w:i/>
          <w:iCs/>
          <w:sz w:val="18"/>
          <w:szCs w:val="18"/>
        </w:rPr>
      </w:pPr>
      <w:r>
        <w:rPr>
          <w:b/>
          <w:bCs/>
          <w:i/>
          <w:iCs/>
          <w:sz w:val="18"/>
          <w:szCs w:val="18"/>
        </w:rPr>
        <w:t>[Schedule 1, items 25 and 26, rules 7.2(</w:t>
      </w:r>
      <w:proofErr w:type="gramStart"/>
      <w:r>
        <w:rPr>
          <w:b/>
          <w:bCs/>
          <w:i/>
          <w:iCs/>
          <w:sz w:val="18"/>
          <w:szCs w:val="18"/>
        </w:rPr>
        <w:t>4)(</w:t>
      </w:r>
      <w:proofErr w:type="gramEnd"/>
      <w:r>
        <w:rPr>
          <w:b/>
          <w:bCs/>
          <w:i/>
          <w:iCs/>
          <w:sz w:val="18"/>
          <w:szCs w:val="18"/>
        </w:rPr>
        <w:t>aa)-(ab) and 7.4]</w:t>
      </w:r>
    </w:p>
    <w:p w14:paraId="4D356A34" w14:textId="7FF2AA7B" w:rsidR="009D1513" w:rsidRDefault="009D1513" w:rsidP="008E0360">
      <w:pPr>
        <w:pStyle w:val="base-text-paragraph"/>
        <w:ind w:left="0"/>
      </w:pPr>
      <w:r>
        <w:t xml:space="preserve">Schedule 1 </w:t>
      </w:r>
      <w:r w:rsidR="00AF7693">
        <w:t xml:space="preserve">to the Amending Rules </w:t>
      </w:r>
      <w:r>
        <w:t>also inserts new obligations that only apply to affiliates</w:t>
      </w:r>
      <w:r w:rsidR="0003176F">
        <w:t>.</w:t>
      </w:r>
      <w:r>
        <w:t xml:space="preserve"> </w:t>
      </w:r>
    </w:p>
    <w:p w14:paraId="15382323" w14:textId="220E9154" w:rsidR="009D1513" w:rsidRDefault="009D1513" w:rsidP="008E0360">
      <w:pPr>
        <w:pStyle w:val="base-text-paragraph"/>
        <w:ind w:left="0"/>
      </w:pPr>
      <w:r>
        <w:t xml:space="preserve">Specifically, affiliates are prohibited from accessing data directly from data holders. </w:t>
      </w:r>
      <w:r w:rsidR="00C43382">
        <w:rPr>
          <w:b/>
          <w:bCs/>
          <w:i/>
          <w:iCs/>
          <w:sz w:val="18"/>
          <w:szCs w:val="18"/>
        </w:rPr>
        <w:t>[Schedule 1, item 8, rule</w:t>
      </w:r>
      <w:r>
        <w:rPr>
          <w:b/>
          <w:i/>
          <w:sz w:val="18"/>
          <w:szCs w:val="18"/>
        </w:rPr>
        <w:t xml:space="preserve"> 5.1B(</w:t>
      </w:r>
      <w:r w:rsidR="00C43382">
        <w:rPr>
          <w:b/>
          <w:bCs/>
          <w:i/>
          <w:iCs/>
          <w:sz w:val="18"/>
          <w:szCs w:val="18"/>
        </w:rPr>
        <w:t>3)]</w:t>
      </w:r>
      <w:r w:rsidR="00C43382">
        <w:t xml:space="preserve"> </w:t>
      </w:r>
      <w:r>
        <w:t xml:space="preserve"> </w:t>
      </w:r>
    </w:p>
    <w:p w14:paraId="25A8ABD1" w14:textId="0BE61D45" w:rsidR="009D1513" w:rsidRDefault="009D1513" w:rsidP="008E0360">
      <w:pPr>
        <w:pStyle w:val="base-text-paragraph"/>
        <w:ind w:left="0"/>
      </w:pPr>
      <w:r>
        <w:t>Affiliates must also provide their sponsor with the information and access to their operations it needs to fulfil its obligations as a sponsor, under the terms of the sponsorship arrangement.</w:t>
      </w:r>
      <w:r w:rsidR="00C43382">
        <w:t xml:space="preserve"> </w:t>
      </w:r>
      <w:r w:rsidR="00C43382">
        <w:rPr>
          <w:b/>
          <w:bCs/>
          <w:i/>
          <w:iCs/>
          <w:sz w:val="18"/>
          <w:szCs w:val="18"/>
        </w:rPr>
        <w:t xml:space="preserve">[Schedule 1, item 3, </w:t>
      </w:r>
      <w:r>
        <w:rPr>
          <w:b/>
          <w:i/>
          <w:sz w:val="18"/>
          <w:szCs w:val="18"/>
        </w:rPr>
        <w:t>rule 1.10D</w:t>
      </w:r>
      <w:r w:rsidR="00C43382">
        <w:rPr>
          <w:b/>
          <w:bCs/>
          <w:i/>
          <w:iCs/>
          <w:sz w:val="18"/>
          <w:szCs w:val="18"/>
        </w:rPr>
        <w:t>(1)(b)]</w:t>
      </w:r>
      <w:r>
        <w:t xml:space="preserve">  </w:t>
      </w:r>
    </w:p>
    <w:p w14:paraId="52D429F2" w14:textId="77777777" w:rsidR="009D1513" w:rsidRPr="009A1D6D" w:rsidRDefault="009D1513" w:rsidP="008E0360">
      <w:pPr>
        <w:pStyle w:val="Heading4"/>
        <w:spacing w:before="240"/>
        <w:rPr>
          <w:b w:val="0"/>
          <w:bCs/>
          <w:i/>
          <w:iCs/>
        </w:rPr>
      </w:pPr>
      <w:r>
        <w:rPr>
          <w:b w:val="0"/>
          <w:bCs/>
          <w:i/>
          <w:iCs/>
        </w:rPr>
        <w:t>The sponsor’s obligations</w:t>
      </w:r>
    </w:p>
    <w:p w14:paraId="305A0B85" w14:textId="7076926F" w:rsidR="009D1513" w:rsidRDefault="0077073D" w:rsidP="008E0360">
      <w:pPr>
        <w:pStyle w:val="base-text-paragraph"/>
        <w:ind w:left="0"/>
      </w:pPr>
      <w:r>
        <w:t>A</w:t>
      </w:r>
      <w:r w:rsidR="009D1513">
        <w:t xml:space="preserve">dditional obligations </w:t>
      </w:r>
      <w:r>
        <w:t>apply to</w:t>
      </w:r>
      <w:r w:rsidR="009D1513">
        <w:t xml:space="preserve"> sponsors with respect to their sponsorship arrangements and their affiliates. </w:t>
      </w:r>
    </w:p>
    <w:p w14:paraId="0978C8A8" w14:textId="5854A3C4" w:rsidR="009D1513" w:rsidRDefault="0077073D" w:rsidP="008E0360">
      <w:pPr>
        <w:pStyle w:val="base-text-paragraph"/>
        <w:ind w:left="0"/>
      </w:pPr>
      <w:r>
        <w:t>Under</w:t>
      </w:r>
      <w:r w:rsidR="009D1513">
        <w:t xml:space="preserve"> new default conditions on accreditation in Schedule 1 to the CDR Rules</w:t>
      </w:r>
      <w:r>
        <w:t>,</w:t>
      </w:r>
      <w:r w:rsidR="009D1513">
        <w:t xml:space="preserve"> sponsors and potential sponsors must: </w:t>
      </w:r>
    </w:p>
    <w:p w14:paraId="79B6989D" w14:textId="7EDF859E" w:rsidR="009D1513" w:rsidRDefault="009D1513" w:rsidP="008E0360">
      <w:pPr>
        <w:pStyle w:val="Bullet"/>
        <w:spacing w:before="120"/>
      </w:pPr>
      <w:r>
        <w:t xml:space="preserve">before entering into a sponsorship arrangement, </w:t>
      </w:r>
      <w:r w:rsidR="00BD1A06">
        <w:t>have in place a third-party management framework t</w:t>
      </w:r>
      <w:r w:rsidR="00264071">
        <w:t>hat will ensure the person maintains appropriate information security capabilities as an affiliate</w:t>
      </w:r>
      <w:r w:rsidR="00401CEF">
        <w:t>,</w:t>
      </w:r>
      <w:r w:rsidR="00264071">
        <w:t xml:space="preserve"> </w:t>
      </w:r>
      <w:proofErr w:type="gramStart"/>
      <w:r w:rsidR="00264071">
        <w:t>includ</w:t>
      </w:r>
      <w:r w:rsidR="00401CEF">
        <w:t>ing:</w:t>
      </w:r>
      <w:proofErr w:type="gramEnd"/>
      <w:r w:rsidR="00264071">
        <w:t xml:space="preserve"> due diligence requirements for </w:t>
      </w:r>
      <w:r w:rsidR="001A6A98">
        <w:t>new relationships or contracts, annual review and assurance activities, and reporting requirements</w:t>
      </w:r>
      <w:r w:rsidR="00401CEF">
        <w:t>;</w:t>
      </w:r>
    </w:p>
    <w:p w14:paraId="6D09B917" w14:textId="5CCC872E" w:rsidR="009D1513" w:rsidRDefault="009D1513" w:rsidP="008E0360">
      <w:pPr>
        <w:pStyle w:val="Bullet"/>
        <w:spacing w:before="120"/>
      </w:pPr>
      <w:r>
        <w:t xml:space="preserve">before entering into a sponsorship arrangement, provide </w:t>
      </w:r>
      <w:r w:rsidR="00F34D3E">
        <w:t>any appropriate</w:t>
      </w:r>
      <w:r>
        <w:t xml:space="preserve"> assistance </w:t>
      </w:r>
      <w:r w:rsidR="00977382">
        <w:t xml:space="preserve">or training </w:t>
      </w:r>
      <w:r>
        <w:t>to the proposed affiliate on technical and compliance matters</w:t>
      </w:r>
      <w:r w:rsidR="008811C9">
        <w:t xml:space="preserve"> relating to Schedule 2 </w:t>
      </w:r>
      <w:r w:rsidR="001A6A98">
        <w:t>to</w:t>
      </w:r>
      <w:r w:rsidR="008811C9">
        <w:t xml:space="preserve"> the CDR </w:t>
      </w:r>
      <w:proofErr w:type="gramStart"/>
      <w:r w:rsidR="008811C9">
        <w:t>Rules</w:t>
      </w:r>
      <w:r>
        <w:t>;</w:t>
      </w:r>
      <w:proofErr w:type="gramEnd"/>
    </w:p>
    <w:p w14:paraId="290EA383" w14:textId="398A909C" w:rsidR="009D1513" w:rsidRDefault="009D1513" w:rsidP="008E0360">
      <w:pPr>
        <w:pStyle w:val="Bullet"/>
        <w:spacing w:before="120"/>
      </w:pPr>
      <w:r>
        <w:t xml:space="preserve">once the sponsorship arrangement has commenced, continue to provide </w:t>
      </w:r>
      <w:r w:rsidR="00F34D3E">
        <w:t xml:space="preserve">any appropriate </w:t>
      </w:r>
      <w:r>
        <w:t>assistance and training in technical and compliance matters to affiliates</w:t>
      </w:r>
      <w:r w:rsidR="003E6DA8">
        <w:t>, maintain its third-party management framework, and manage its relationship with the affiliate in accordance with it</w:t>
      </w:r>
      <w:r>
        <w:t>; and</w:t>
      </w:r>
    </w:p>
    <w:p w14:paraId="31A3B1AE" w14:textId="0F65C541" w:rsidR="009D1513" w:rsidRDefault="009D1513" w:rsidP="008E0360">
      <w:pPr>
        <w:pStyle w:val="Bullet"/>
        <w:spacing w:before="120"/>
      </w:pPr>
      <w:r>
        <w:t>take reasonable steps to ensure</w:t>
      </w:r>
      <w:r w:rsidDel="005837A2">
        <w:t xml:space="preserve"> </w:t>
      </w:r>
      <w:r>
        <w:t xml:space="preserve">affiliates comply with their obligations </w:t>
      </w:r>
      <w:r w:rsidR="00F34D3E">
        <w:t>under Schedule 2</w:t>
      </w:r>
      <w:r w:rsidR="001A6A98">
        <w:t xml:space="preserve"> to the CDR Rules</w:t>
      </w:r>
      <w:r>
        <w:t>.</w:t>
      </w:r>
    </w:p>
    <w:p w14:paraId="513B6FB5" w14:textId="7BD88FE3" w:rsidR="00977382" w:rsidRPr="00977382" w:rsidRDefault="00977382" w:rsidP="008E0360">
      <w:pPr>
        <w:pStyle w:val="Bullet"/>
        <w:numPr>
          <w:ilvl w:val="0"/>
          <w:numId w:val="0"/>
        </w:numPr>
        <w:spacing w:before="120"/>
        <w:ind w:left="567"/>
        <w:rPr>
          <w:b/>
          <w:bCs/>
          <w:i/>
          <w:iCs/>
          <w:sz w:val="18"/>
          <w:szCs w:val="18"/>
        </w:rPr>
      </w:pPr>
      <w:r>
        <w:rPr>
          <w:b/>
          <w:bCs/>
          <w:i/>
          <w:iCs/>
          <w:sz w:val="18"/>
          <w:szCs w:val="18"/>
        </w:rPr>
        <w:lastRenderedPageBreak/>
        <w:t xml:space="preserve">[Schedule 1, item 34, clause 2.2 </w:t>
      </w:r>
      <w:r w:rsidR="00882774">
        <w:rPr>
          <w:b/>
          <w:bCs/>
          <w:i/>
          <w:iCs/>
          <w:sz w:val="18"/>
          <w:szCs w:val="18"/>
        </w:rPr>
        <w:t>of</w:t>
      </w:r>
      <w:r>
        <w:rPr>
          <w:b/>
          <w:bCs/>
          <w:i/>
          <w:iCs/>
          <w:sz w:val="18"/>
          <w:szCs w:val="18"/>
        </w:rPr>
        <w:t xml:space="preserve"> Schedule 1 to the CDR Rules]</w:t>
      </w:r>
    </w:p>
    <w:p w14:paraId="6FE438EC" w14:textId="0D6BC2B4" w:rsidR="009D1513" w:rsidRDefault="009D1513" w:rsidP="008E0360">
      <w:pPr>
        <w:pStyle w:val="base-text-paragraph"/>
        <w:ind w:left="0"/>
      </w:pPr>
      <w:r w:rsidRPr="00755E51">
        <w:t xml:space="preserve">These obligations are intended to be principles-based and scalable, with what constitutes reasonable steps and appropriate due diligence or assistance </w:t>
      </w:r>
      <w:r w:rsidR="00B84D0E">
        <w:t>with respect of information security</w:t>
      </w:r>
      <w:r w:rsidRPr="00755E51">
        <w:t xml:space="preserve"> depending</w:t>
      </w:r>
      <w:r>
        <w:t xml:space="preserve"> on </w:t>
      </w:r>
      <w:r w:rsidRPr="00755E51">
        <w:t xml:space="preserve">the nature </w:t>
      </w:r>
      <w:r>
        <w:t xml:space="preserve">and context </w:t>
      </w:r>
      <w:r w:rsidRPr="00755E51">
        <w:t xml:space="preserve">of the </w:t>
      </w:r>
      <w:r>
        <w:t>services being provided by affiliates using the CDR and under the sponsorship arrangement</w:t>
      </w:r>
      <w:r w:rsidRPr="00755E51">
        <w:t>.</w:t>
      </w:r>
    </w:p>
    <w:p w14:paraId="14A8F63F" w14:textId="1EA325D6" w:rsidR="009B7260" w:rsidRPr="009B7260" w:rsidRDefault="009D1513" w:rsidP="008E0360">
      <w:pPr>
        <w:pStyle w:val="Bullet"/>
        <w:numPr>
          <w:ilvl w:val="0"/>
          <w:numId w:val="0"/>
        </w:numPr>
        <w:spacing w:before="120"/>
        <w:rPr>
          <w:b/>
          <w:bCs/>
          <w:i/>
          <w:iCs/>
          <w:sz w:val="18"/>
          <w:szCs w:val="18"/>
        </w:rPr>
      </w:pPr>
      <w:r>
        <w:t>Sponsors must also comply with the rules relating to privacy safeguards in Part 7 as amended. Rules 7.2 and 7.4 as described above apply to sponsors in the same way as they do to affiliates.</w:t>
      </w:r>
      <w:r w:rsidR="009B7260">
        <w:t xml:space="preserve"> </w:t>
      </w:r>
      <w:r w:rsidR="009B7260">
        <w:rPr>
          <w:b/>
          <w:bCs/>
          <w:i/>
          <w:iCs/>
          <w:sz w:val="18"/>
          <w:szCs w:val="18"/>
        </w:rPr>
        <w:t>[Schedule 1, items 25 and 26, rules 7.2(</w:t>
      </w:r>
      <w:proofErr w:type="gramStart"/>
      <w:r w:rsidR="009B7260">
        <w:rPr>
          <w:b/>
          <w:bCs/>
          <w:i/>
          <w:iCs/>
          <w:sz w:val="18"/>
          <w:szCs w:val="18"/>
        </w:rPr>
        <w:t>4)(</w:t>
      </w:r>
      <w:proofErr w:type="gramEnd"/>
      <w:r w:rsidR="009B7260">
        <w:rPr>
          <w:b/>
          <w:bCs/>
          <w:i/>
          <w:iCs/>
          <w:sz w:val="18"/>
          <w:szCs w:val="18"/>
        </w:rPr>
        <w:t>aa)-(ab) and 7.4]</w:t>
      </w:r>
    </w:p>
    <w:p w14:paraId="163DB2B0" w14:textId="4B67FAE0" w:rsidR="009D1513" w:rsidRPr="00AE0B77" w:rsidRDefault="009D1513" w:rsidP="008E0360">
      <w:pPr>
        <w:pStyle w:val="base-text-paragraph"/>
        <w:ind w:left="0"/>
      </w:pPr>
      <w:r>
        <w:t xml:space="preserve">Sponsors </w:t>
      </w:r>
      <w:r w:rsidR="005527BC">
        <w:t>must notify the DRA of becoming a sponsor of an affiliate, or the suspension, expiration or termination of a sponsorship agreement</w:t>
      </w:r>
      <w:r>
        <w:t>.</w:t>
      </w:r>
      <w:r w:rsidR="005527BC">
        <w:t xml:space="preserve"> </w:t>
      </w:r>
      <w:r w:rsidR="006D01EF">
        <w:t>They must do so as soon as practicable, and in any event, within 5 business days</w:t>
      </w:r>
      <w:r w:rsidR="005527BC">
        <w:t xml:space="preserve"> </w:t>
      </w:r>
      <w:r w:rsidR="005527BC">
        <w:rPr>
          <w:b/>
          <w:bCs/>
          <w:i/>
          <w:iCs/>
          <w:sz w:val="18"/>
          <w:szCs w:val="18"/>
        </w:rPr>
        <w:t>[Schedule 1, item 17, rule 5.14(2)]</w:t>
      </w:r>
      <w:r>
        <w:t xml:space="preserve"> </w:t>
      </w:r>
    </w:p>
    <w:p w14:paraId="23C76533" w14:textId="13DCC66C" w:rsidR="00C611C0" w:rsidRDefault="00C611C0" w:rsidP="008E0360">
      <w:pPr>
        <w:pStyle w:val="base-text-paragraph"/>
        <w:keepNext/>
        <w:keepLines/>
        <w:spacing w:before="240"/>
        <w:ind w:left="0"/>
        <w:rPr>
          <w:i/>
          <w:iCs/>
        </w:rPr>
      </w:pPr>
      <w:r>
        <w:rPr>
          <w:i/>
          <w:iCs/>
        </w:rPr>
        <w:t>Record-keeping and reporting</w:t>
      </w:r>
    </w:p>
    <w:p w14:paraId="13C6F19E" w14:textId="4DA6C9A8" w:rsidR="00C611C0" w:rsidRPr="00C611C0" w:rsidRDefault="00865D80" w:rsidP="008E0360">
      <w:pPr>
        <w:pStyle w:val="base-text-paragraph"/>
        <w:ind w:left="0"/>
      </w:pPr>
      <w:r>
        <w:t>Sponsors and affiliates</w:t>
      </w:r>
      <w:r w:rsidR="00453A38">
        <w:t xml:space="preserve"> must keep and maintain records </w:t>
      </w:r>
      <w:r w:rsidR="004B3B8D">
        <w:t xml:space="preserve">of any sponsorship arrangement to which </w:t>
      </w:r>
      <w:r>
        <w:t>they are</w:t>
      </w:r>
      <w:r w:rsidR="004B3B8D">
        <w:t xml:space="preserve"> a party, as well as records of the </w:t>
      </w:r>
      <w:r>
        <w:t>other party</w:t>
      </w:r>
      <w:r w:rsidR="004B3B8D">
        <w:t xml:space="preserve">’s use and management of CDR data collected by it or provided to it under the arrangement. </w:t>
      </w:r>
      <w:r w:rsidR="002C0E3B">
        <w:rPr>
          <w:b/>
          <w:bCs/>
          <w:i/>
          <w:iCs/>
          <w:sz w:val="18"/>
          <w:szCs w:val="18"/>
        </w:rPr>
        <w:t>[Schedule 1, item 29, rule 9.3(2)(</w:t>
      </w:r>
      <w:proofErr w:type="spellStart"/>
      <w:r w:rsidR="002C0E3B">
        <w:rPr>
          <w:b/>
          <w:bCs/>
          <w:i/>
          <w:iCs/>
          <w:sz w:val="18"/>
          <w:szCs w:val="18"/>
        </w:rPr>
        <w:t>i</w:t>
      </w:r>
      <w:proofErr w:type="spellEnd"/>
      <w:r w:rsidR="002C0E3B">
        <w:rPr>
          <w:b/>
          <w:bCs/>
          <w:i/>
          <w:iCs/>
          <w:sz w:val="18"/>
          <w:szCs w:val="18"/>
        </w:rPr>
        <w:t>)]</w:t>
      </w:r>
      <w:r w:rsidR="004B3B8D">
        <w:t xml:space="preserve"> </w:t>
      </w:r>
    </w:p>
    <w:p w14:paraId="1435CB57" w14:textId="7BBCE6E8" w:rsidR="002C0E3B" w:rsidRDefault="00865D80" w:rsidP="008E0360">
      <w:pPr>
        <w:pStyle w:val="base-text-paragraph"/>
        <w:ind w:left="0"/>
      </w:pPr>
      <w:r>
        <w:t xml:space="preserve">Like other accredited data recipients, sponsors and affiliates must </w:t>
      </w:r>
      <w:r w:rsidR="00BC2E2A">
        <w:t xml:space="preserve">prepare a report </w:t>
      </w:r>
      <w:r>
        <w:t xml:space="preserve">of certain matters </w:t>
      </w:r>
      <w:r w:rsidR="00BC2E2A">
        <w:t>for the</w:t>
      </w:r>
      <w:r>
        <w:t xml:space="preserve"> Australian Competition and Consumer Commission and</w:t>
      </w:r>
      <w:r w:rsidR="00BC2E2A">
        <w:t xml:space="preserve"> Australian Inform</w:t>
      </w:r>
      <w:r>
        <w:t>ation Commissioner</w:t>
      </w:r>
      <w:r w:rsidR="00BC2E2A">
        <w:t xml:space="preserve"> each six-month reporting period</w:t>
      </w:r>
      <w:r>
        <w:t>.</w:t>
      </w:r>
      <w:r w:rsidR="00BC2E2A">
        <w:t xml:space="preserve"> </w:t>
      </w:r>
    </w:p>
    <w:p w14:paraId="60112C32" w14:textId="77777777" w:rsidR="00523026" w:rsidRDefault="00E9111E" w:rsidP="008E0360">
      <w:pPr>
        <w:pStyle w:val="base-text-paragraph"/>
        <w:ind w:left="0"/>
      </w:pPr>
      <w:r>
        <w:t>A</w:t>
      </w:r>
      <w:r w:rsidR="00523026">
        <w:t>mong other matters, a</w:t>
      </w:r>
      <w:r>
        <w:t xml:space="preserve"> sponsor’s report must set out</w:t>
      </w:r>
      <w:r w:rsidR="00523026">
        <w:t>:</w:t>
      </w:r>
    </w:p>
    <w:p w14:paraId="5480A803" w14:textId="0121419C" w:rsidR="00523026" w:rsidRDefault="00E9111E" w:rsidP="008E0360">
      <w:pPr>
        <w:pStyle w:val="Bullet"/>
        <w:spacing w:before="120"/>
      </w:pPr>
      <w:r>
        <w:t xml:space="preserve">the number of consumer data requests made during the reporting period, distinguishing between requests made on its own behalf and those made on behalf of </w:t>
      </w:r>
      <w:proofErr w:type="gramStart"/>
      <w:r>
        <w:t>affiliates</w:t>
      </w:r>
      <w:r w:rsidR="00A251CE">
        <w:t>;</w:t>
      </w:r>
      <w:proofErr w:type="gramEnd"/>
    </w:p>
    <w:p w14:paraId="0B212EEA" w14:textId="354C11C6" w:rsidR="00A251CE" w:rsidRDefault="00A251CE" w:rsidP="008E0360">
      <w:pPr>
        <w:pStyle w:val="Bullet"/>
        <w:spacing w:before="120"/>
      </w:pPr>
      <w:r>
        <w:t>the number of consumer data requests it received from an accredited person on behalf of a CDR consumer, distinguishing between requests from affiliates and other accredited persons; and</w:t>
      </w:r>
    </w:p>
    <w:p w14:paraId="504AF50C" w14:textId="77777777" w:rsidR="00BF36C4" w:rsidRPr="00BF36C4" w:rsidRDefault="00BF36C4" w:rsidP="008E0360">
      <w:pPr>
        <w:pStyle w:val="Bullet"/>
        <w:spacing w:before="120"/>
      </w:pPr>
      <w:r>
        <w:t>the number of sponsorship arrangements to which it was a party during the period</w:t>
      </w:r>
      <w:r w:rsidR="00E9111E">
        <w:t>.</w:t>
      </w:r>
      <w:r w:rsidR="00DB2078" w:rsidRPr="00DB2078">
        <w:rPr>
          <w:b/>
          <w:bCs/>
          <w:i/>
          <w:iCs/>
          <w:sz w:val="18"/>
          <w:szCs w:val="18"/>
        </w:rPr>
        <w:t xml:space="preserve"> </w:t>
      </w:r>
    </w:p>
    <w:p w14:paraId="18F34A52" w14:textId="18109C5A" w:rsidR="00865D80" w:rsidRDefault="00DB2078" w:rsidP="008E0360">
      <w:pPr>
        <w:pStyle w:val="Bullet"/>
        <w:numPr>
          <w:ilvl w:val="0"/>
          <w:numId w:val="0"/>
        </w:numPr>
        <w:spacing w:before="120"/>
        <w:ind w:left="567"/>
      </w:pPr>
      <w:r>
        <w:rPr>
          <w:b/>
          <w:bCs/>
          <w:i/>
          <w:iCs/>
          <w:sz w:val="18"/>
          <w:szCs w:val="18"/>
        </w:rPr>
        <w:t>[Schedule 1, item</w:t>
      </w:r>
      <w:r w:rsidR="00523026">
        <w:rPr>
          <w:b/>
          <w:bCs/>
          <w:i/>
          <w:iCs/>
          <w:sz w:val="18"/>
          <w:szCs w:val="18"/>
        </w:rPr>
        <w:t>s</w:t>
      </w:r>
      <w:r>
        <w:rPr>
          <w:b/>
          <w:bCs/>
          <w:i/>
          <w:iCs/>
          <w:sz w:val="18"/>
          <w:szCs w:val="18"/>
        </w:rPr>
        <w:t xml:space="preserve"> 30</w:t>
      </w:r>
      <w:r w:rsidR="00523026">
        <w:rPr>
          <w:b/>
          <w:bCs/>
          <w:i/>
          <w:iCs/>
          <w:sz w:val="18"/>
          <w:szCs w:val="18"/>
        </w:rPr>
        <w:t xml:space="preserve"> to 32</w:t>
      </w:r>
      <w:r>
        <w:rPr>
          <w:b/>
          <w:bCs/>
          <w:i/>
          <w:iCs/>
          <w:sz w:val="18"/>
          <w:szCs w:val="18"/>
        </w:rPr>
        <w:t>, rule</w:t>
      </w:r>
      <w:r w:rsidR="00523026">
        <w:rPr>
          <w:b/>
          <w:bCs/>
          <w:i/>
          <w:iCs/>
          <w:sz w:val="18"/>
          <w:szCs w:val="18"/>
        </w:rPr>
        <w:t>s</w:t>
      </w:r>
      <w:r>
        <w:rPr>
          <w:b/>
          <w:bCs/>
          <w:i/>
          <w:iCs/>
          <w:sz w:val="18"/>
          <w:szCs w:val="18"/>
        </w:rPr>
        <w:t xml:space="preserve"> 9.4(2)(f)(</w:t>
      </w:r>
      <w:proofErr w:type="spellStart"/>
      <w:r>
        <w:rPr>
          <w:b/>
          <w:bCs/>
          <w:i/>
          <w:iCs/>
          <w:sz w:val="18"/>
          <w:szCs w:val="18"/>
        </w:rPr>
        <w:t>i</w:t>
      </w:r>
      <w:proofErr w:type="spellEnd"/>
      <w:r>
        <w:rPr>
          <w:b/>
          <w:bCs/>
          <w:i/>
          <w:iCs/>
          <w:sz w:val="18"/>
          <w:szCs w:val="18"/>
        </w:rPr>
        <w:t>)(A)</w:t>
      </w:r>
      <w:r w:rsidR="00523026">
        <w:rPr>
          <w:b/>
          <w:bCs/>
          <w:i/>
          <w:iCs/>
          <w:sz w:val="18"/>
          <w:szCs w:val="18"/>
        </w:rPr>
        <w:t>, (iii) and (ix)</w:t>
      </w:r>
      <w:r>
        <w:rPr>
          <w:b/>
          <w:bCs/>
          <w:i/>
          <w:iCs/>
          <w:sz w:val="18"/>
          <w:szCs w:val="18"/>
        </w:rPr>
        <w:t>]</w:t>
      </w:r>
    </w:p>
    <w:p w14:paraId="2619337D" w14:textId="77777777" w:rsidR="00523026" w:rsidRDefault="00523026" w:rsidP="008E0360">
      <w:pPr>
        <w:pStyle w:val="base-text-paragraph"/>
        <w:ind w:left="0"/>
      </w:pPr>
      <w:r>
        <w:t>Among other matters, a</w:t>
      </w:r>
      <w:r w:rsidR="00E9111E">
        <w:t>n affiliate’s report must set out</w:t>
      </w:r>
      <w:r>
        <w:t>:</w:t>
      </w:r>
    </w:p>
    <w:p w14:paraId="644D6322" w14:textId="77777777" w:rsidR="00D92D4C" w:rsidRDefault="00E9111E" w:rsidP="008E0360">
      <w:pPr>
        <w:pStyle w:val="Bullet"/>
        <w:spacing w:before="120"/>
      </w:pPr>
      <w:r>
        <w:t xml:space="preserve">the number of consumer data requests made during the reporting period, distinguishing those made to its sponsors and those made to other accredited </w:t>
      </w:r>
      <w:proofErr w:type="gramStart"/>
      <w:r>
        <w:t>persons</w:t>
      </w:r>
      <w:r w:rsidR="00BF36C4">
        <w:t>;</w:t>
      </w:r>
      <w:proofErr w:type="gramEnd"/>
    </w:p>
    <w:p w14:paraId="1C193BC4" w14:textId="07E0FB7A" w:rsidR="00BF36C4" w:rsidRDefault="00D92D4C" w:rsidP="008E0360">
      <w:pPr>
        <w:pStyle w:val="Bullet"/>
        <w:spacing w:before="120"/>
      </w:pPr>
      <w:r>
        <w:t>the number of consumer data requests it received from an accredited person on behalf of a CDR consumer</w:t>
      </w:r>
      <w:r w:rsidR="00BF36C4">
        <w:t>; and</w:t>
      </w:r>
    </w:p>
    <w:p w14:paraId="494D3B1F" w14:textId="77777777" w:rsidR="00BF36C4" w:rsidRPr="00BF36C4" w:rsidRDefault="00BF36C4" w:rsidP="008E0360">
      <w:pPr>
        <w:pStyle w:val="Bullet"/>
        <w:spacing w:before="120"/>
      </w:pPr>
      <w:r>
        <w:t>the number of sponsorship arrangements to which it was a party during the period</w:t>
      </w:r>
      <w:r w:rsidR="00E9111E">
        <w:t>.</w:t>
      </w:r>
      <w:r w:rsidR="00DB2078" w:rsidRPr="00DB2078">
        <w:rPr>
          <w:b/>
          <w:bCs/>
          <w:i/>
          <w:iCs/>
          <w:sz w:val="18"/>
          <w:szCs w:val="18"/>
        </w:rPr>
        <w:t xml:space="preserve"> </w:t>
      </w:r>
    </w:p>
    <w:p w14:paraId="36A2A624" w14:textId="467F9F49" w:rsidR="00270013" w:rsidRDefault="00DB2078" w:rsidP="008E0360">
      <w:pPr>
        <w:pStyle w:val="Bullet"/>
        <w:numPr>
          <w:ilvl w:val="0"/>
          <w:numId w:val="0"/>
        </w:numPr>
        <w:spacing w:before="120"/>
        <w:ind w:left="567"/>
      </w:pPr>
      <w:r>
        <w:rPr>
          <w:b/>
          <w:bCs/>
          <w:i/>
          <w:iCs/>
          <w:sz w:val="18"/>
          <w:szCs w:val="18"/>
        </w:rPr>
        <w:t>[Schedule 1, item</w:t>
      </w:r>
      <w:r w:rsidR="00BF36C4">
        <w:rPr>
          <w:b/>
          <w:bCs/>
          <w:i/>
          <w:iCs/>
          <w:sz w:val="18"/>
          <w:szCs w:val="18"/>
        </w:rPr>
        <w:t>s</w:t>
      </w:r>
      <w:r>
        <w:rPr>
          <w:b/>
          <w:bCs/>
          <w:i/>
          <w:iCs/>
          <w:sz w:val="18"/>
          <w:szCs w:val="18"/>
        </w:rPr>
        <w:t xml:space="preserve"> 30</w:t>
      </w:r>
      <w:r w:rsidR="00BF36C4">
        <w:rPr>
          <w:b/>
          <w:bCs/>
          <w:i/>
          <w:iCs/>
          <w:sz w:val="18"/>
          <w:szCs w:val="18"/>
        </w:rPr>
        <w:t xml:space="preserve"> </w:t>
      </w:r>
      <w:r w:rsidR="00D92D4C">
        <w:rPr>
          <w:b/>
          <w:bCs/>
          <w:i/>
          <w:iCs/>
          <w:sz w:val="18"/>
          <w:szCs w:val="18"/>
        </w:rPr>
        <w:t>to</w:t>
      </w:r>
      <w:r w:rsidR="00BF36C4">
        <w:rPr>
          <w:b/>
          <w:bCs/>
          <w:i/>
          <w:iCs/>
          <w:sz w:val="18"/>
          <w:szCs w:val="18"/>
        </w:rPr>
        <w:t xml:space="preserve"> 32</w:t>
      </w:r>
      <w:r>
        <w:rPr>
          <w:b/>
          <w:bCs/>
          <w:i/>
          <w:iCs/>
          <w:sz w:val="18"/>
          <w:szCs w:val="18"/>
        </w:rPr>
        <w:t>, rule</w:t>
      </w:r>
      <w:r w:rsidR="00BF36C4">
        <w:rPr>
          <w:b/>
          <w:bCs/>
          <w:i/>
          <w:iCs/>
          <w:sz w:val="18"/>
          <w:szCs w:val="18"/>
        </w:rPr>
        <w:t>s</w:t>
      </w:r>
      <w:r>
        <w:rPr>
          <w:b/>
          <w:bCs/>
          <w:i/>
          <w:iCs/>
          <w:sz w:val="18"/>
          <w:szCs w:val="18"/>
        </w:rPr>
        <w:t xml:space="preserve"> 9.4(2)(f)(</w:t>
      </w:r>
      <w:proofErr w:type="spellStart"/>
      <w:r>
        <w:rPr>
          <w:b/>
          <w:bCs/>
          <w:i/>
          <w:iCs/>
          <w:sz w:val="18"/>
          <w:szCs w:val="18"/>
        </w:rPr>
        <w:t>i</w:t>
      </w:r>
      <w:proofErr w:type="spellEnd"/>
      <w:r>
        <w:rPr>
          <w:b/>
          <w:bCs/>
          <w:i/>
          <w:iCs/>
          <w:sz w:val="18"/>
          <w:szCs w:val="18"/>
        </w:rPr>
        <w:t>)(B</w:t>
      </w:r>
      <w:r w:rsidR="00523026">
        <w:rPr>
          <w:b/>
          <w:bCs/>
          <w:i/>
          <w:iCs/>
          <w:sz w:val="18"/>
          <w:szCs w:val="18"/>
        </w:rPr>
        <w:t>)</w:t>
      </w:r>
      <w:r w:rsidR="00D92D4C">
        <w:rPr>
          <w:b/>
          <w:bCs/>
          <w:i/>
          <w:iCs/>
          <w:sz w:val="18"/>
          <w:szCs w:val="18"/>
        </w:rPr>
        <w:t>, (iii</w:t>
      </w:r>
      <w:r w:rsidR="00523026">
        <w:rPr>
          <w:b/>
          <w:bCs/>
          <w:i/>
          <w:iCs/>
          <w:sz w:val="18"/>
          <w:szCs w:val="18"/>
        </w:rPr>
        <w:t>) and (ix</w:t>
      </w:r>
      <w:r>
        <w:rPr>
          <w:b/>
          <w:bCs/>
          <w:i/>
          <w:iCs/>
          <w:sz w:val="18"/>
          <w:szCs w:val="18"/>
        </w:rPr>
        <w:t>)]</w:t>
      </w:r>
    </w:p>
    <w:p w14:paraId="3A082862" w14:textId="0C05A73E" w:rsidR="00E9111E" w:rsidRPr="00C611C0" w:rsidRDefault="00E9111E" w:rsidP="008E0360">
      <w:pPr>
        <w:pStyle w:val="base-text-paragraph"/>
        <w:ind w:left="0"/>
      </w:pPr>
      <w:r>
        <w:t xml:space="preserve">A </w:t>
      </w:r>
      <w:r w:rsidR="0010385B">
        <w:t xml:space="preserve">maximum </w:t>
      </w:r>
      <w:r>
        <w:t>civil penalty of $50,000 for an individual and $250,000 for a body corporate applies for a contravention</w:t>
      </w:r>
      <w:r w:rsidR="00DB2078">
        <w:t xml:space="preserve"> of these record-keeping and reporting obligations</w:t>
      </w:r>
      <w:r>
        <w:t xml:space="preserve">. </w:t>
      </w:r>
      <w:r w:rsidR="003D0929">
        <w:t>This is consistent with the existing penalty provisions that apply to accredited data recipients under the CDR rules.</w:t>
      </w:r>
      <w:r w:rsidR="009C234E">
        <w:t xml:space="preserve"> </w:t>
      </w:r>
    </w:p>
    <w:p w14:paraId="7BF04FB7" w14:textId="7961975A" w:rsidR="00875563" w:rsidDel="00BD24F7" w:rsidRDefault="009E0D18" w:rsidP="008E0360">
      <w:pPr>
        <w:spacing w:before="360"/>
        <w:rPr>
          <w:b/>
          <w:bCs/>
          <w:sz w:val="28"/>
          <w:szCs w:val="28"/>
          <w:u w:val="single"/>
        </w:rPr>
      </w:pPr>
      <w:r w:rsidRPr="00875563">
        <w:rPr>
          <w:b/>
          <w:bCs/>
          <w:sz w:val="28"/>
          <w:szCs w:val="28"/>
          <w:u w:val="single"/>
        </w:rPr>
        <w:lastRenderedPageBreak/>
        <w:t xml:space="preserve">Schedule 2 - </w:t>
      </w:r>
      <w:r w:rsidR="00DB41C7" w:rsidRPr="000B4E16">
        <w:rPr>
          <w:b/>
          <w:sz w:val="28"/>
          <w:szCs w:val="28"/>
          <w:u w:val="single"/>
        </w:rPr>
        <w:t>Amendments relating to CDR representatives</w:t>
      </w:r>
      <w:r w:rsidR="00DB41C7" w:rsidRPr="00875563">
        <w:rPr>
          <w:b/>
          <w:bCs/>
          <w:sz w:val="28"/>
          <w:szCs w:val="28"/>
          <w:u w:val="single"/>
        </w:rPr>
        <w:t xml:space="preserve"> </w:t>
      </w:r>
    </w:p>
    <w:p w14:paraId="56BE5906" w14:textId="77777777" w:rsidR="009D1513" w:rsidRDefault="009D1513" w:rsidP="008E0360">
      <w:pPr>
        <w:pStyle w:val="base-text-paragraph"/>
        <w:ind w:left="0"/>
      </w:pPr>
      <w:r>
        <w:t>The CDR representative model enables unaccredited persons to provide goods and services to consumers using CDR data in circumstances where they are in a CDR representative arrangement with an unrestricted accredited person who is liable for them.</w:t>
      </w:r>
    </w:p>
    <w:p w14:paraId="5F6A10BF" w14:textId="68CD3167" w:rsidR="009D1513" w:rsidRDefault="009D1513" w:rsidP="008E0360">
      <w:pPr>
        <w:pStyle w:val="base-text-paragraph"/>
        <w:ind w:left="0"/>
      </w:pPr>
      <w:r>
        <w:t xml:space="preserve">An unaccredited person who is in a CDR representative arrangement </w:t>
      </w:r>
      <w:r w:rsidR="001D1CAC">
        <w:t>is</w:t>
      </w:r>
      <w:r>
        <w:t xml:space="preserve"> known as the CDR representative of the principal accredited person. </w:t>
      </w:r>
    </w:p>
    <w:p w14:paraId="031159DD" w14:textId="77777777" w:rsidR="009D1513" w:rsidRPr="00ED709C" w:rsidRDefault="009D1513" w:rsidP="008E0360">
      <w:pPr>
        <w:keepNext/>
        <w:keepLines/>
        <w:spacing w:before="240" w:line="276" w:lineRule="auto"/>
        <w:rPr>
          <w:i/>
          <w:iCs/>
        </w:rPr>
      </w:pPr>
      <w:r w:rsidRPr="00ED709C">
        <w:rPr>
          <w:i/>
          <w:iCs/>
        </w:rPr>
        <w:t>CDR representative and principal relationship</w:t>
      </w:r>
    </w:p>
    <w:p w14:paraId="4BB12B08" w14:textId="5D4A90C4" w:rsidR="009D1513" w:rsidRPr="004622BA" w:rsidRDefault="003F3621" w:rsidP="008E0360">
      <w:pPr>
        <w:spacing w:after="0"/>
        <w:ind w:right="91"/>
      </w:pPr>
      <w:r>
        <w:t xml:space="preserve">The </w:t>
      </w:r>
      <w:r w:rsidR="00AF7693">
        <w:t xml:space="preserve">Amending Rules </w:t>
      </w:r>
      <w:r>
        <w:t>introduce</w:t>
      </w:r>
      <w:r w:rsidR="009D1513">
        <w:t xml:space="preserve"> the new </w:t>
      </w:r>
      <w:r>
        <w:t>concepts of a</w:t>
      </w:r>
      <w:r w:rsidR="009D1513">
        <w:t xml:space="preserve"> </w:t>
      </w:r>
      <w:r w:rsidR="009D1513" w:rsidRPr="006B34C0">
        <w:rPr>
          <w:b/>
          <w:bCs/>
          <w:i/>
          <w:iCs/>
        </w:rPr>
        <w:t>CDR representative</w:t>
      </w:r>
      <w:r w:rsidR="009D1513">
        <w:t xml:space="preserve"> </w:t>
      </w:r>
      <w:r w:rsidR="001D1CAC">
        <w:t>and</w:t>
      </w:r>
      <w:r w:rsidR="009D1513">
        <w:t xml:space="preserve"> </w:t>
      </w:r>
      <w:r w:rsidR="009D1513" w:rsidRPr="006B34C0">
        <w:rPr>
          <w:b/>
          <w:bCs/>
          <w:i/>
          <w:iCs/>
        </w:rPr>
        <w:t>principal</w:t>
      </w:r>
      <w:r>
        <w:rPr>
          <w:b/>
          <w:bCs/>
          <w:i/>
          <w:iCs/>
        </w:rPr>
        <w:t xml:space="preserve">. </w:t>
      </w:r>
      <w:r>
        <w:t>The new rule also</w:t>
      </w:r>
      <w:r w:rsidR="009D1513">
        <w:t xml:space="preserve"> establishes the minimum required terms in a</w:t>
      </w:r>
      <w:r w:rsidR="006B34C0">
        <w:t xml:space="preserve"> </w:t>
      </w:r>
      <w:r w:rsidR="009D1513" w:rsidRPr="006B34C0">
        <w:rPr>
          <w:b/>
          <w:bCs/>
          <w:i/>
          <w:iCs/>
        </w:rPr>
        <w:t>CDR representative arrangement</w:t>
      </w:r>
      <w:r w:rsidR="009D1513">
        <w:t xml:space="preserve">. </w:t>
      </w:r>
      <w:r w:rsidR="00226303" w:rsidRPr="00226303">
        <w:rPr>
          <w:b/>
          <w:bCs/>
          <w:i/>
          <w:iCs/>
          <w:sz w:val="20"/>
        </w:rPr>
        <w:t>[Schedule 2, item</w:t>
      </w:r>
      <w:r w:rsidR="00617552">
        <w:rPr>
          <w:b/>
          <w:bCs/>
          <w:i/>
          <w:iCs/>
          <w:sz w:val="20"/>
        </w:rPr>
        <w:t>s 1</w:t>
      </w:r>
      <w:r w:rsidR="00226303" w:rsidRPr="00226303">
        <w:rPr>
          <w:b/>
          <w:bCs/>
          <w:i/>
          <w:iCs/>
          <w:sz w:val="20"/>
        </w:rPr>
        <w:t xml:space="preserve"> </w:t>
      </w:r>
      <w:r w:rsidR="00617552">
        <w:rPr>
          <w:b/>
          <w:bCs/>
          <w:i/>
          <w:iCs/>
          <w:sz w:val="20"/>
        </w:rPr>
        <w:t xml:space="preserve">and </w:t>
      </w:r>
      <w:r w:rsidR="00226303" w:rsidRPr="00226303">
        <w:rPr>
          <w:b/>
          <w:bCs/>
          <w:i/>
          <w:iCs/>
          <w:sz w:val="20"/>
        </w:rPr>
        <w:t>4, rule</w:t>
      </w:r>
      <w:r w:rsidR="00617552">
        <w:rPr>
          <w:b/>
          <w:bCs/>
          <w:i/>
          <w:iCs/>
          <w:sz w:val="20"/>
        </w:rPr>
        <w:t>s</w:t>
      </w:r>
      <w:r w:rsidR="00226303" w:rsidRPr="00226303">
        <w:rPr>
          <w:b/>
          <w:bCs/>
          <w:i/>
          <w:iCs/>
          <w:sz w:val="20"/>
        </w:rPr>
        <w:t xml:space="preserve"> </w:t>
      </w:r>
      <w:r w:rsidR="00617552">
        <w:rPr>
          <w:b/>
          <w:bCs/>
          <w:i/>
          <w:iCs/>
          <w:sz w:val="20"/>
        </w:rPr>
        <w:t xml:space="preserve">1.7(1) and </w:t>
      </w:r>
      <w:r w:rsidR="00226303" w:rsidRPr="00226303">
        <w:rPr>
          <w:b/>
          <w:bCs/>
          <w:i/>
          <w:iCs/>
          <w:sz w:val="20"/>
        </w:rPr>
        <w:t>1.10AA]</w:t>
      </w:r>
    </w:p>
    <w:p w14:paraId="66CCB124" w14:textId="4BC98435" w:rsidR="009D1513" w:rsidRDefault="009D1513" w:rsidP="008E0360">
      <w:pPr>
        <w:pStyle w:val="base-text-paragraph"/>
        <w:ind w:left="0"/>
      </w:pPr>
      <w:r>
        <w:t xml:space="preserve">A CDR representative arrangement must be a written contract between the principal (a person with unrestricted accreditation) and a CDR representative (a person without accreditation). The arrangement </w:t>
      </w:r>
      <w:r w:rsidR="00CF1DFE">
        <w:t xml:space="preserve">establishes a mechanism for CDR representatives to access and use CDR data and the obligations of both the principal and the CDR representative in respect of that CDR data. </w:t>
      </w:r>
    </w:p>
    <w:p w14:paraId="09298999" w14:textId="748B5381" w:rsidR="002373BC" w:rsidRDefault="002F1341" w:rsidP="008E0360">
      <w:pPr>
        <w:pStyle w:val="base-text-paragraph"/>
        <w:ind w:left="0"/>
      </w:pPr>
      <w:r>
        <w:t>W</w:t>
      </w:r>
      <w:r w:rsidR="009D1513">
        <w:t xml:space="preserve">here a representative has obtained the consent of a CDR consumer to collect and use CDR data, </w:t>
      </w:r>
      <w:r>
        <w:t>the principal’s obligations under the arrangement are</w:t>
      </w:r>
      <w:r w:rsidR="009D1513">
        <w:t xml:space="preserve"> to make a consumer data request and disclose the CDR data (</w:t>
      </w:r>
      <w:r w:rsidR="009D1513" w:rsidRPr="0065146E">
        <w:rPr>
          <w:b/>
          <w:i/>
        </w:rPr>
        <w:t xml:space="preserve">service </w:t>
      </w:r>
      <w:r w:rsidR="009D1513" w:rsidRPr="0065146E">
        <w:rPr>
          <w:b/>
          <w:bCs/>
          <w:i/>
          <w:iCs/>
        </w:rPr>
        <w:t>data</w:t>
      </w:r>
      <w:r w:rsidR="009D1513">
        <w:t xml:space="preserve">) it obtains </w:t>
      </w:r>
      <w:r w:rsidR="000F4400">
        <w:t>under</w:t>
      </w:r>
      <w:r w:rsidR="009D1513">
        <w:t xml:space="preserve"> the request to the representative. </w:t>
      </w:r>
      <w:r w:rsidR="002373BC" w:rsidRPr="00226303">
        <w:rPr>
          <w:b/>
          <w:bCs/>
          <w:i/>
          <w:iCs/>
          <w:sz w:val="20"/>
        </w:rPr>
        <w:t>[Schedule 2, item 4, rule 1.10AA</w:t>
      </w:r>
      <w:r w:rsidR="002373BC">
        <w:rPr>
          <w:b/>
          <w:bCs/>
          <w:i/>
          <w:iCs/>
          <w:sz w:val="20"/>
        </w:rPr>
        <w:t>(2)(a)</w:t>
      </w:r>
      <w:r w:rsidR="002373BC" w:rsidRPr="00226303">
        <w:rPr>
          <w:b/>
          <w:bCs/>
          <w:i/>
          <w:iCs/>
          <w:sz w:val="20"/>
        </w:rPr>
        <w:t>]</w:t>
      </w:r>
    </w:p>
    <w:p w14:paraId="7D6039E5" w14:textId="0C1C4C26" w:rsidR="00CF1DFE" w:rsidRDefault="00986980" w:rsidP="008E0360">
      <w:pPr>
        <w:pStyle w:val="base-text-paragraph"/>
        <w:ind w:left="0"/>
      </w:pPr>
      <w:r>
        <w:t xml:space="preserve">The CDR representative will then be able to use that CDR data to provide goods and services to the consumer. </w:t>
      </w:r>
      <w:r w:rsidRPr="00226303">
        <w:rPr>
          <w:b/>
          <w:bCs/>
          <w:i/>
          <w:iCs/>
          <w:sz w:val="20"/>
        </w:rPr>
        <w:t>[Schedule 2, item 4, rule 1.10AA</w:t>
      </w:r>
      <w:r>
        <w:rPr>
          <w:b/>
          <w:bCs/>
          <w:i/>
          <w:iCs/>
          <w:sz w:val="20"/>
        </w:rPr>
        <w:t>(2)(a)(ii)</w:t>
      </w:r>
      <w:r w:rsidRPr="00226303">
        <w:rPr>
          <w:b/>
          <w:bCs/>
          <w:i/>
          <w:iCs/>
          <w:sz w:val="20"/>
        </w:rPr>
        <w:t>]</w:t>
      </w:r>
    </w:p>
    <w:p w14:paraId="18CB11FB" w14:textId="4FEDAEFE" w:rsidR="00986980" w:rsidRDefault="00986980" w:rsidP="008E0360">
      <w:pPr>
        <w:pStyle w:val="base-text-paragraph"/>
        <w:ind w:left="0"/>
      </w:pPr>
      <w:r>
        <w:t xml:space="preserve">The CDR representative will also be able to disclose that CDR data (in accordance with a valid disclosure consent from the consumer). </w:t>
      </w:r>
      <w:r w:rsidRPr="00226303">
        <w:rPr>
          <w:b/>
          <w:bCs/>
          <w:i/>
          <w:iCs/>
          <w:sz w:val="20"/>
        </w:rPr>
        <w:t>[Schedule 2, item 4, rule</w:t>
      </w:r>
      <w:r w:rsidR="00BC2220">
        <w:rPr>
          <w:b/>
          <w:bCs/>
          <w:i/>
          <w:iCs/>
          <w:sz w:val="20"/>
        </w:rPr>
        <w:t> </w:t>
      </w:r>
      <w:r w:rsidRPr="00226303">
        <w:rPr>
          <w:b/>
          <w:bCs/>
          <w:i/>
          <w:iCs/>
          <w:sz w:val="20"/>
        </w:rPr>
        <w:t>1.10AA</w:t>
      </w:r>
      <w:r>
        <w:rPr>
          <w:b/>
          <w:bCs/>
          <w:i/>
          <w:iCs/>
          <w:sz w:val="20"/>
        </w:rPr>
        <w:t>(2)(a)(iii)</w:t>
      </w:r>
      <w:r w:rsidRPr="00226303">
        <w:rPr>
          <w:b/>
          <w:bCs/>
          <w:i/>
          <w:iCs/>
          <w:sz w:val="20"/>
        </w:rPr>
        <w:t>]</w:t>
      </w:r>
    </w:p>
    <w:p w14:paraId="3532D838" w14:textId="77777777" w:rsidR="00391239" w:rsidRDefault="00391239" w:rsidP="008E0360">
      <w:pPr>
        <w:pStyle w:val="base-text-paragraph"/>
        <w:ind w:left="0"/>
      </w:pPr>
      <w:r>
        <w:t xml:space="preserve">The CDR representative’s obligations under the arrangement are to: </w:t>
      </w:r>
    </w:p>
    <w:p w14:paraId="7A9DB222" w14:textId="77777777" w:rsidR="00391239" w:rsidRDefault="00391239" w:rsidP="008E0360">
      <w:pPr>
        <w:pStyle w:val="Bullet"/>
        <w:spacing w:before="120"/>
      </w:pPr>
      <w:r>
        <w:t xml:space="preserve">not enter into a CDR representative arrangement with another </w:t>
      </w:r>
      <w:proofErr w:type="gramStart"/>
      <w:r>
        <w:t>principal;</w:t>
      </w:r>
      <w:proofErr w:type="gramEnd"/>
      <w:r>
        <w:t xml:space="preserve"> </w:t>
      </w:r>
    </w:p>
    <w:p w14:paraId="49515F58" w14:textId="60979EA0" w:rsidR="00391239" w:rsidRDefault="00391239" w:rsidP="008E0360">
      <w:pPr>
        <w:pStyle w:val="Bullet"/>
        <w:spacing w:before="120"/>
      </w:pPr>
      <w:r>
        <w:t>not engage an outsourced service provider</w:t>
      </w:r>
      <w:r w:rsidR="00985A11">
        <w:t xml:space="preserve"> in its own </w:t>
      </w:r>
      <w:proofErr w:type="gramStart"/>
      <w:r w:rsidR="00985A11">
        <w:t>right</w:t>
      </w:r>
      <w:r>
        <w:t>;</w:t>
      </w:r>
      <w:proofErr w:type="gramEnd"/>
    </w:p>
    <w:p w14:paraId="0EC7C1BC" w14:textId="4A5BCA2D" w:rsidR="00391239" w:rsidRDefault="00391239" w:rsidP="008E0360">
      <w:pPr>
        <w:pStyle w:val="Bullet"/>
        <w:spacing w:before="120"/>
      </w:pPr>
      <w:r>
        <w:t xml:space="preserve">comply with privacy safeguard 2 (giving the CDR consumer the option of using a pseudonym, or not identifying themselves), privacy safeguard 4 (destroying unsolicited CDR data), privacy safeguard 8 (overseas disclosure of CDR data), privacy safeguard </w:t>
      </w:r>
      <w:r w:rsidR="001A125A">
        <w:t xml:space="preserve">9 (adoption or disclosure of government-related identifiers), </w:t>
      </w:r>
      <w:r>
        <w:t xml:space="preserve">privacy safeguard 11 (ensuring the quality of CDR data), privacy safeguard 12 (security of CDR data) and privacy safeguard 13 (correction of CDR data), as if it were the </w:t>
      </w:r>
      <w:proofErr w:type="gramStart"/>
      <w:r>
        <w:t>principal;</w:t>
      </w:r>
      <w:proofErr w:type="gramEnd"/>
      <w:r>
        <w:t xml:space="preserve"> </w:t>
      </w:r>
    </w:p>
    <w:p w14:paraId="205FF4AF" w14:textId="76AF4042" w:rsidR="00391239" w:rsidRDefault="00391239" w:rsidP="008E0360">
      <w:pPr>
        <w:pStyle w:val="Bullet"/>
        <w:spacing w:before="120"/>
      </w:pPr>
      <w:r>
        <w:t>take the steps in Schedule 2 to the CDR Rules to protect the service data</w:t>
      </w:r>
      <w:r w:rsidR="001A125A">
        <w:t xml:space="preserve"> for the purposes of privacy safeguard </w:t>
      </w:r>
      <w:proofErr w:type="gramStart"/>
      <w:r w:rsidR="001A125A">
        <w:t>12</w:t>
      </w:r>
      <w:r>
        <w:t>;</w:t>
      </w:r>
      <w:proofErr w:type="gramEnd"/>
      <w:r>
        <w:t xml:space="preserve"> </w:t>
      </w:r>
    </w:p>
    <w:p w14:paraId="1C3A9792" w14:textId="3E67F564" w:rsidR="00391239" w:rsidRDefault="00391239" w:rsidP="008E0360">
      <w:pPr>
        <w:pStyle w:val="Bullet"/>
        <w:spacing w:before="120"/>
      </w:pPr>
      <w:r>
        <w:t xml:space="preserve">not disclose the service data other than in accordance with the contract with the </w:t>
      </w:r>
      <w:proofErr w:type="gramStart"/>
      <w:r>
        <w:t>principal;</w:t>
      </w:r>
      <w:proofErr w:type="gramEnd"/>
      <w:r>
        <w:t xml:space="preserve"> </w:t>
      </w:r>
    </w:p>
    <w:p w14:paraId="0ED58625" w14:textId="353DDD63" w:rsidR="00391239" w:rsidRDefault="00391239" w:rsidP="008E0360">
      <w:pPr>
        <w:pStyle w:val="Bullet"/>
        <w:spacing w:before="120"/>
      </w:pPr>
      <w:r>
        <w:t>delete service data when directed to by the principal and provide records of the deletion; and</w:t>
      </w:r>
    </w:p>
    <w:p w14:paraId="30880592" w14:textId="77777777" w:rsidR="00391239" w:rsidRDefault="00391239" w:rsidP="008E0360">
      <w:pPr>
        <w:pStyle w:val="Bullet"/>
        <w:spacing w:before="120"/>
      </w:pPr>
      <w:r>
        <w:t>adopt and comply with the principal’s CDR policy in relation to the service data.</w:t>
      </w:r>
    </w:p>
    <w:p w14:paraId="6E563296" w14:textId="5D67BF6D" w:rsidR="007D0091" w:rsidRDefault="007D0091" w:rsidP="008E0360">
      <w:pPr>
        <w:pStyle w:val="Bullet"/>
        <w:numPr>
          <w:ilvl w:val="0"/>
          <w:numId w:val="0"/>
        </w:numPr>
        <w:spacing w:before="120"/>
        <w:ind w:left="567"/>
      </w:pPr>
      <w:r w:rsidRPr="00226303">
        <w:rPr>
          <w:b/>
          <w:bCs/>
          <w:i/>
          <w:iCs/>
          <w:sz w:val="20"/>
        </w:rPr>
        <w:lastRenderedPageBreak/>
        <w:t>[Schedule 2, item 4, rule 1.10AA</w:t>
      </w:r>
      <w:r>
        <w:rPr>
          <w:b/>
          <w:bCs/>
          <w:i/>
          <w:iCs/>
          <w:sz w:val="20"/>
        </w:rPr>
        <w:t>(2)(a)-(f)</w:t>
      </w:r>
      <w:r w:rsidRPr="00226303">
        <w:rPr>
          <w:b/>
          <w:bCs/>
          <w:i/>
          <w:iCs/>
          <w:sz w:val="20"/>
        </w:rPr>
        <w:t>]</w:t>
      </w:r>
    </w:p>
    <w:p w14:paraId="4BBB4774" w14:textId="5197FD53" w:rsidR="000578AF" w:rsidRDefault="00152762" w:rsidP="008E0360">
      <w:pPr>
        <w:pStyle w:val="Bullet"/>
        <w:numPr>
          <w:ilvl w:val="0"/>
          <w:numId w:val="0"/>
        </w:numPr>
        <w:spacing w:before="120"/>
      </w:pPr>
      <w:r>
        <w:t xml:space="preserve">However, the arrangement cannot allow the CDR representative to access </w:t>
      </w:r>
      <w:r w:rsidR="000578AF">
        <w:t xml:space="preserve">or use </w:t>
      </w:r>
      <w:r>
        <w:t xml:space="preserve">CDR data </w:t>
      </w:r>
      <w:r w:rsidR="000578AF">
        <w:t xml:space="preserve">unless the CDR representative’s details have been entered on the Register of Accredited Persons. This means that a CDR representative must not make any consumer data requests until it is registered. </w:t>
      </w:r>
      <w:r w:rsidR="000578AF" w:rsidRPr="00226303">
        <w:rPr>
          <w:b/>
          <w:bCs/>
          <w:i/>
          <w:iCs/>
          <w:sz w:val="20"/>
        </w:rPr>
        <w:t>[Schedule 2, item 4, rule 1.10AA</w:t>
      </w:r>
      <w:r w:rsidR="000578AF">
        <w:rPr>
          <w:b/>
          <w:bCs/>
          <w:i/>
          <w:iCs/>
          <w:sz w:val="20"/>
        </w:rPr>
        <w:t>(2)(g)</w:t>
      </w:r>
      <w:r w:rsidR="000578AF" w:rsidRPr="00226303">
        <w:rPr>
          <w:b/>
          <w:bCs/>
          <w:i/>
          <w:iCs/>
          <w:sz w:val="20"/>
        </w:rPr>
        <w:t>]</w:t>
      </w:r>
    </w:p>
    <w:p w14:paraId="67AF27CB" w14:textId="376B6F84" w:rsidR="007251C6" w:rsidRDefault="007251C6" w:rsidP="008E0360">
      <w:pPr>
        <w:pStyle w:val="Bullet"/>
        <w:numPr>
          <w:ilvl w:val="0"/>
          <w:numId w:val="0"/>
        </w:numPr>
        <w:spacing w:before="120"/>
      </w:pPr>
      <w:r>
        <w:t xml:space="preserve">The </w:t>
      </w:r>
      <w:r w:rsidR="005C2490">
        <w:t>Amending Rules impose</w:t>
      </w:r>
      <w:r>
        <w:t xml:space="preserve"> several obligations </w:t>
      </w:r>
      <w:r w:rsidR="005C2490">
        <w:t>on the CDR principal</w:t>
      </w:r>
      <w:r>
        <w:t xml:space="preserve"> in relation to </w:t>
      </w:r>
      <w:r w:rsidR="005C2490">
        <w:t>its</w:t>
      </w:r>
      <w:r>
        <w:t xml:space="preserve"> CDR representative arrangements. </w:t>
      </w:r>
      <w:r w:rsidR="005C2490">
        <w:t xml:space="preserve">These obligations are in addition to other deeming rules holding the CDR principal liable for the actions or omissions of its CDR representatives. Those deeming rules are explained under </w:t>
      </w:r>
      <w:r w:rsidR="005C2490">
        <w:rPr>
          <w:i/>
          <w:iCs/>
        </w:rPr>
        <w:t xml:space="preserve">Collecting, </w:t>
      </w:r>
      <w:proofErr w:type="gramStart"/>
      <w:r w:rsidR="005C2490">
        <w:rPr>
          <w:i/>
          <w:iCs/>
        </w:rPr>
        <w:t>using</w:t>
      </w:r>
      <w:proofErr w:type="gramEnd"/>
      <w:r w:rsidR="005C2490">
        <w:rPr>
          <w:i/>
          <w:iCs/>
        </w:rPr>
        <w:t xml:space="preserve"> and disclosing data</w:t>
      </w:r>
      <w:r w:rsidR="005C2490">
        <w:t xml:space="preserve">.  </w:t>
      </w:r>
    </w:p>
    <w:p w14:paraId="3B29C349" w14:textId="2162F390" w:rsidR="00D90111" w:rsidRDefault="00D90111" w:rsidP="008E0360">
      <w:pPr>
        <w:pStyle w:val="base-text-paragraph"/>
        <w:ind w:left="0"/>
      </w:pPr>
      <w:r>
        <w:t>Firstly,</w:t>
      </w:r>
      <w:r w:rsidDel="002C5318">
        <w:t xml:space="preserve"> </w:t>
      </w:r>
      <w:r>
        <w:t>the principal must ensure its CDR representatives comply with their requirements under the arrangement</w:t>
      </w:r>
      <w:r w:rsidR="002C5318">
        <w:t>.</w:t>
      </w:r>
      <w:r>
        <w:t xml:space="preserve"> </w:t>
      </w:r>
    </w:p>
    <w:p w14:paraId="60203B64" w14:textId="7C38FF78" w:rsidR="008E0D72" w:rsidRPr="00383537" w:rsidRDefault="002C5318" w:rsidP="008E0360">
      <w:pPr>
        <w:pStyle w:val="base-text-paragraph"/>
        <w:ind w:left="0"/>
        <w:rPr>
          <w:b/>
          <w:i/>
          <w:sz w:val="20"/>
        </w:rPr>
      </w:pPr>
      <w:r>
        <w:t xml:space="preserve">There is a new rule to hold </w:t>
      </w:r>
      <w:r w:rsidR="007E54C9">
        <w:t>a</w:t>
      </w:r>
      <w:r>
        <w:t xml:space="preserve"> CDR principal accountable if its CDR representative breaches any of the requirements that form part of the definition of </w:t>
      </w:r>
      <w:r w:rsidRPr="00B77A91">
        <w:t>CDR representative arrangement.</w:t>
      </w:r>
      <w:r w:rsidRPr="004F2573">
        <w:rPr>
          <w:b/>
          <w:bCs/>
          <w:i/>
          <w:iCs/>
        </w:rPr>
        <w:t xml:space="preserve"> </w:t>
      </w:r>
      <w:bookmarkStart w:id="4" w:name="_Hlk82781752"/>
      <w:r w:rsidR="007A4B1C">
        <w:t xml:space="preserve">The </w:t>
      </w:r>
      <w:r w:rsidR="008E0D72">
        <w:t xml:space="preserve">standard maximum civil penalty for CDR Rule breaches applies for a contravention of this rule. </w:t>
      </w:r>
      <w:r w:rsidR="008E0D72" w:rsidRPr="00AC24B6">
        <w:t xml:space="preserve">A robust penalty setting is important to deter </w:t>
      </w:r>
      <w:r w:rsidR="008E0D72">
        <w:t xml:space="preserve">principals from entering arrangements or facilitating </w:t>
      </w:r>
      <w:r w:rsidR="008E0D72" w:rsidRPr="00AC24B6">
        <w:t xml:space="preserve">conduct that would jeopardise the security of consumers’ data and undermine the integrity of the CDR </w:t>
      </w:r>
      <w:r w:rsidR="008E0D72">
        <w:t>regime</w:t>
      </w:r>
      <w:r w:rsidR="008E0D72" w:rsidRPr="00AC24B6">
        <w:t>.</w:t>
      </w:r>
      <w:bookmarkEnd w:id="4"/>
      <w:r w:rsidR="007A4B1C">
        <w:t xml:space="preserve"> </w:t>
      </w:r>
      <w:r w:rsidR="007A4B1C" w:rsidRPr="00226303">
        <w:rPr>
          <w:b/>
          <w:bCs/>
          <w:i/>
          <w:iCs/>
          <w:sz w:val="20"/>
        </w:rPr>
        <w:t xml:space="preserve">[Schedule 2, item </w:t>
      </w:r>
      <w:r w:rsidR="004F2573">
        <w:rPr>
          <w:b/>
          <w:bCs/>
          <w:i/>
          <w:iCs/>
          <w:sz w:val="20"/>
        </w:rPr>
        <w:t>7</w:t>
      </w:r>
      <w:r w:rsidR="007A4B1C" w:rsidRPr="00226303">
        <w:rPr>
          <w:b/>
          <w:bCs/>
          <w:i/>
          <w:iCs/>
          <w:sz w:val="20"/>
        </w:rPr>
        <w:t>, rule 1.</w:t>
      </w:r>
      <w:r w:rsidR="007A4B1C">
        <w:rPr>
          <w:b/>
          <w:bCs/>
          <w:i/>
          <w:iCs/>
          <w:sz w:val="20"/>
        </w:rPr>
        <w:t>16A</w:t>
      </w:r>
      <w:r w:rsidR="00F04708">
        <w:rPr>
          <w:b/>
          <w:bCs/>
          <w:i/>
          <w:iCs/>
          <w:sz w:val="20"/>
        </w:rPr>
        <w:t>(2)</w:t>
      </w:r>
      <w:r w:rsidR="0003176F">
        <w:rPr>
          <w:b/>
          <w:bCs/>
          <w:i/>
          <w:iCs/>
          <w:sz w:val="20"/>
        </w:rPr>
        <w:t>, and Schedule 6, item 21, rule 9.8(h)</w:t>
      </w:r>
      <w:r w:rsidR="007A4B1C" w:rsidRPr="00226303">
        <w:rPr>
          <w:b/>
          <w:bCs/>
          <w:i/>
          <w:iCs/>
          <w:sz w:val="20"/>
        </w:rPr>
        <w:t>]</w:t>
      </w:r>
    </w:p>
    <w:p w14:paraId="17498BB5" w14:textId="1A345521" w:rsidR="00D90111" w:rsidRDefault="00B86EB6" w:rsidP="008E0360">
      <w:pPr>
        <w:pStyle w:val="base-text-paragraph"/>
        <w:ind w:left="0"/>
      </w:pPr>
      <w:r>
        <w:t xml:space="preserve">In particular, and in relation to the collection of CDR data, a CDR principal may be liable for a civil penalty if their CDR representative makes a consumer data request before their details are entered on the Register of Accredited Persons. </w:t>
      </w:r>
      <w:r w:rsidR="004F2573" w:rsidRPr="00226303">
        <w:rPr>
          <w:b/>
          <w:bCs/>
          <w:i/>
          <w:iCs/>
          <w:sz w:val="20"/>
        </w:rPr>
        <w:t>[Schedule 2, item</w:t>
      </w:r>
      <w:r w:rsidR="004F2573">
        <w:rPr>
          <w:b/>
          <w:bCs/>
          <w:i/>
          <w:iCs/>
          <w:sz w:val="20"/>
        </w:rPr>
        <w:t>s</w:t>
      </w:r>
      <w:r w:rsidR="00BC2220">
        <w:rPr>
          <w:b/>
          <w:bCs/>
          <w:i/>
          <w:iCs/>
          <w:sz w:val="20"/>
        </w:rPr>
        <w:t> </w:t>
      </w:r>
      <w:r w:rsidR="004F2573" w:rsidRPr="00226303">
        <w:rPr>
          <w:b/>
          <w:bCs/>
          <w:i/>
          <w:iCs/>
          <w:sz w:val="20"/>
        </w:rPr>
        <w:t>4</w:t>
      </w:r>
      <w:r w:rsidR="004F2573">
        <w:rPr>
          <w:b/>
          <w:bCs/>
          <w:i/>
          <w:iCs/>
          <w:sz w:val="20"/>
        </w:rPr>
        <w:t xml:space="preserve"> and 7</w:t>
      </w:r>
      <w:r w:rsidR="004F2573" w:rsidRPr="00226303">
        <w:rPr>
          <w:b/>
          <w:bCs/>
          <w:i/>
          <w:iCs/>
          <w:sz w:val="20"/>
        </w:rPr>
        <w:t>, rule</w:t>
      </w:r>
      <w:r w:rsidR="004F2573">
        <w:rPr>
          <w:b/>
          <w:bCs/>
          <w:i/>
          <w:iCs/>
          <w:sz w:val="20"/>
        </w:rPr>
        <w:t>s</w:t>
      </w:r>
      <w:r w:rsidR="004F2573" w:rsidRPr="00226303">
        <w:rPr>
          <w:b/>
          <w:bCs/>
          <w:i/>
          <w:iCs/>
          <w:sz w:val="20"/>
        </w:rPr>
        <w:t xml:space="preserve"> </w:t>
      </w:r>
      <w:r w:rsidR="004F2573">
        <w:rPr>
          <w:b/>
          <w:bCs/>
          <w:i/>
          <w:iCs/>
          <w:sz w:val="20"/>
        </w:rPr>
        <w:t xml:space="preserve">1.10AA(2)(a) and </w:t>
      </w:r>
      <w:r w:rsidR="004F2573" w:rsidRPr="00226303">
        <w:rPr>
          <w:b/>
          <w:bCs/>
          <w:i/>
          <w:iCs/>
          <w:sz w:val="20"/>
        </w:rPr>
        <w:t>1.</w:t>
      </w:r>
      <w:r w:rsidR="004F2573">
        <w:rPr>
          <w:b/>
          <w:bCs/>
          <w:i/>
          <w:iCs/>
          <w:sz w:val="20"/>
        </w:rPr>
        <w:t>16A</w:t>
      </w:r>
      <w:r w:rsidR="004F2573" w:rsidRPr="00226303">
        <w:rPr>
          <w:b/>
          <w:bCs/>
          <w:i/>
          <w:iCs/>
          <w:sz w:val="20"/>
        </w:rPr>
        <w:t>]</w:t>
      </w:r>
    </w:p>
    <w:p w14:paraId="0FE65241" w14:textId="281E15D2" w:rsidR="003034DC" w:rsidRDefault="00D90111" w:rsidP="008E0360">
      <w:pPr>
        <w:pStyle w:val="base-text-paragraph"/>
        <w:ind w:left="0"/>
        <w:rPr>
          <w:b/>
          <w:i/>
          <w:sz w:val="20"/>
        </w:rPr>
      </w:pPr>
      <w:r>
        <w:t>Secondly</w:t>
      </w:r>
      <w:r w:rsidR="007251C6">
        <w:t xml:space="preserve">, </w:t>
      </w:r>
      <w:r w:rsidR="00452403">
        <w:t>the principal must</w:t>
      </w:r>
      <w:r w:rsidR="00452403" w:rsidRPr="00FC6B2E">
        <w:t xml:space="preserve"> </w:t>
      </w:r>
      <w:r w:rsidR="00452403" w:rsidRPr="00ED709C">
        <w:t>notify the D</w:t>
      </w:r>
      <w:r w:rsidR="00E7297E">
        <w:t>ata Recipient Accreditor</w:t>
      </w:r>
      <w:r w:rsidR="00452403" w:rsidRPr="00ED709C">
        <w:t xml:space="preserve"> </w:t>
      </w:r>
      <w:r w:rsidR="007E3EFD">
        <w:t xml:space="preserve">as soon as practicable, and </w:t>
      </w:r>
      <w:r w:rsidR="00452403">
        <w:t>within 5 business days</w:t>
      </w:r>
      <w:r w:rsidR="007E3EFD">
        <w:t>,</w:t>
      </w:r>
      <w:r w:rsidR="00452403" w:rsidRPr="00ED709C">
        <w:t xml:space="preserve"> of </w:t>
      </w:r>
      <w:proofErr w:type="gramStart"/>
      <w:r w:rsidR="00452403" w:rsidRPr="00ED709C">
        <w:t>entering into</w:t>
      </w:r>
      <w:proofErr w:type="gramEnd"/>
      <w:r w:rsidR="00452403" w:rsidRPr="00ED709C">
        <w:t xml:space="preserve"> </w:t>
      </w:r>
      <w:r w:rsidR="00452403">
        <w:t>a new</w:t>
      </w:r>
      <w:r w:rsidR="00452403" w:rsidRPr="00ED709C">
        <w:t xml:space="preserve"> CDR representative</w:t>
      </w:r>
      <w:r w:rsidR="00452403" w:rsidRPr="00FC6B2E">
        <w:t xml:space="preserve"> </w:t>
      </w:r>
      <w:r w:rsidR="00452403" w:rsidRPr="00ED709C">
        <w:t>arrangement</w:t>
      </w:r>
      <w:r w:rsidR="007E3EFD">
        <w:t xml:space="preserve"> for the purposes of having those details entered onto the Register of Accredited Persons</w:t>
      </w:r>
      <w:r w:rsidR="00452403">
        <w:t xml:space="preserve">. The 5-day </w:t>
      </w:r>
      <w:r w:rsidR="007E3EFD">
        <w:t xml:space="preserve">timeframe is the maximum time allowed before the principal must notify the </w:t>
      </w:r>
      <w:r w:rsidR="00E7297E" w:rsidRPr="00ED709C">
        <w:t>D</w:t>
      </w:r>
      <w:r w:rsidR="00E7297E">
        <w:t>ata Recipient Accreditor</w:t>
      </w:r>
      <w:r w:rsidR="007E3EFD">
        <w:t xml:space="preserve"> of the arrangement – the core obligation is to notify the </w:t>
      </w:r>
      <w:r w:rsidR="00E7297E" w:rsidRPr="00ED709C">
        <w:t>D</w:t>
      </w:r>
      <w:r w:rsidR="00E7297E">
        <w:t>ata Recipient Accreditor</w:t>
      </w:r>
      <w:r w:rsidR="007E3EFD">
        <w:t xml:space="preserve"> as soon as practicable after the event. This</w:t>
      </w:r>
      <w:r w:rsidR="00452403">
        <w:t xml:space="preserve"> is intended to protect the integrity of the </w:t>
      </w:r>
      <w:r w:rsidR="008B0144">
        <w:t xml:space="preserve">information contained in the </w:t>
      </w:r>
      <w:r w:rsidR="00452403">
        <w:t>Register. This shortened notification window complements other amendments to restrict CDR representatives from accessing CDR data unless they have been entered on the Register</w:t>
      </w:r>
      <w:r w:rsidR="002B6C42">
        <w:t xml:space="preserve"> (see rule 1.10A</w:t>
      </w:r>
      <w:r w:rsidR="007E3EFD">
        <w:t>A)</w:t>
      </w:r>
      <w:r w:rsidR="00452403">
        <w:t xml:space="preserve">. </w:t>
      </w:r>
      <w:r w:rsidR="007E3EFD" w:rsidRPr="00226303">
        <w:rPr>
          <w:b/>
          <w:bCs/>
          <w:i/>
          <w:iCs/>
          <w:sz w:val="20"/>
        </w:rPr>
        <w:t xml:space="preserve">[Schedule 2, item </w:t>
      </w:r>
      <w:r w:rsidR="007E3EFD">
        <w:rPr>
          <w:b/>
          <w:bCs/>
          <w:i/>
          <w:iCs/>
          <w:sz w:val="20"/>
        </w:rPr>
        <w:t>14</w:t>
      </w:r>
      <w:r w:rsidR="007E3EFD" w:rsidRPr="00226303">
        <w:rPr>
          <w:b/>
          <w:bCs/>
          <w:i/>
          <w:iCs/>
          <w:sz w:val="20"/>
        </w:rPr>
        <w:t>, rule</w:t>
      </w:r>
      <w:r w:rsidR="001C7D53">
        <w:rPr>
          <w:b/>
          <w:bCs/>
          <w:i/>
          <w:iCs/>
          <w:sz w:val="20"/>
        </w:rPr>
        <w:t>s</w:t>
      </w:r>
      <w:r w:rsidR="007E3EFD" w:rsidRPr="00226303">
        <w:rPr>
          <w:b/>
          <w:bCs/>
          <w:i/>
          <w:iCs/>
          <w:sz w:val="20"/>
        </w:rPr>
        <w:t xml:space="preserve"> </w:t>
      </w:r>
      <w:r w:rsidR="007E3EFD">
        <w:rPr>
          <w:b/>
          <w:bCs/>
          <w:i/>
          <w:iCs/>
          <w:sz w:val="20"/>
        </w:rPr>
        <w:t>5.14(3)</w:t>
      </w:r>
      <w:r w:rsidR="001C7D53">
        <w:rPr>
          <w:b/>
          <w:bCs/>
          <w:i/>
          <w:iCs/>
          <w:sz w:val="20"/>
        </w:rPr>
        <w:t xml:space="preserve"> and </w:t>
      </w:r>
      <w:r w:rsidR="007E3EFD">
        <w:rPr>
          <w:b/>
          <w:bCs/>
          <w:i/>
          <w:iCs/>
          <w:sz w:val="20"/>
        </w:rPr>
        <w:t>(4)</w:t>
      </w:r>
      <w:r w:rsidR="007E3EFD" w:rsidRPr="00226303">
        <w:rPr>
          <w:b/>
          <w:bCs/>
          <w:i/>
          <w:iCs/>
          <w:sz w:val="20"/>
        </w:rPr>
        <w:t>]</w:t>
      </w:r>
    </w:p>
    <w:p w14:paraId="3FB6238B" w14:textId="6FEB2274" w:rsidR="007F2038" w:rsidRDefault="007E3EFD" w:rsidP="008E0360">
      <w:pPr>
        <w:pStyle w:val="base-text-paragraph"/>
        <w:ind w:left="0"/>
        <w:rPr>
          <w:b/>
          <w:bCs/>
          <w:i/>
          <w:iCs/>
          <w:sz w:val="20"/>
        </w:rPr>
      </w:pPr>
      <w:r>
        <w:rPr>
          <w:szCs w:val="24"/>
        </w:rPr>
        <w:t xml:space="preserve">Likewise, the principal must notify the DRA if their arrangement with a CDR representative terminates or otherwise ends as soon as practicable after that happens, but in any case, within 5 business days. </w:t>
      </w:r>
      <w:r w:rsidRPr="00226303">
        <w:rPr>
          <w:b/>
          <w:bCs/>
          <w:i/>
          <w:iCs/>
          <w:sz w:val="20"/>
        </w:rPr>
        <w:t xml:space="preserve">[Schedule 2, item </w:t>
      </w:r>
      <w:r>
        <w:rPr>
          <w:b/>
          <w:bCs/>
          <w:i/>
          <w:iCs/>
          <w:sz w:val="20"/>
        </w:rPr>
        <w:t>14</w:t>
      </w:r>
      <w:r w:rsidRPr="00226303">
        <w:rPr>
          <w:b/>
          <w:bCs/>
          <w:i/>
          <w:iCs/>
          <w:sz w:val="20"/>
        </w:rPr>
        <w:t xml:space="preserve">, rule </w:t>
      </w:r>
      <w:r>
        <w:rPr>
          <w:b/>
          <w:bCs/>
          <w:i/>
          <w:iCs/>
          <w:sz w:val="20"/>
        </w:rPr>
        <w:t>5.14(5)</w:t>
      </w:r>
      <w:r w:rsidRPr="00226303">
        <w:rPr>
          <w:b/>
          <w:bCs/>
          <w:i/>
          <w:iCs/>
          <w:sz w:val="20"/>
        </w:rPr>
        <w:t>]</w:t>
      </w:r>
      <w:r w:rsidR="006A30A4">
        <w:rPr>
          <w:b/>
          <w:bCs/>
          <w:i/>
          <w:iCs/>
          <w:sz w:val="20"/>
        </w:rPr>
        <w:t>.</w:t>
      </w:r>
    </w:p>
    <w:p w14:paraId="1E37135C" w14:textId="289B1CBE" w:rsidR="007E3EFD" w:rsidRDefault="006A30A4" w:rsidP="008E0360">
      <w:pPr>
        <w:pStyle w:val="base-text-paragraph"/>
        <w:ind w:left="0"/>
        <w:rPr>
          <w:szCs w:val="24"/>
        </w:rPr>
      </w:pPr>
      <w:r w:rsidRPr="00B13599">
        <w:rPr>
          <w:szCs w:val="24"/>
        </w:rPr>
        <w:t>Once a CDR representative arrangement has ended or been terminated, the CDR representative is unable to continue collecting</w:t>
      </w:r>
      <w:r w:rsidR="006B7966">
        <w:rPr>
          <w:szCs w:val="24"/>
        </w:rPr>
        <w:t xml:space="preserve"> data from its principal</w:t>
      </w:r>
      <w:r w:rsidRPr="002322A5">
        <w:rPr>
          <w:szCs w:val="24"/>
        </w:rPr>
        <w:t>,</w:t>
      </w:r>
      <w:r w:rsidRPr="00B13599">
        <w:rPr>
          <w:szCs w:val="24"/>
        </w:rPr>
        <w:t xml:space="preserve"> </w:t>
      </w:r>
      <w:proofErr w:type="gramStart"/>
      <w:r w:rsidRPr="00B13599">
        <w:rPr>
          <w:szCs w:val="24"/>
        </w:rPr>
        <w:t>using</w:t>
      </w:r>
      <w:proofErr w:type="gramEnd"/>
      <w:r w:rsidRPr="00B13599">
        <w:rPr>
          <w:szCs w:val="24"/>
        </w:rPr>
        <w:t xml:space="preserve"> or otherwise managing CDR data. </w:t>
      </w:r>
    </w:p>
    <w:p w14:paraId="7E0F06AE" w14:textId="1ECF1F09" w:rsidR="007E3EFD" w:rsidRDefault="006A30A4" w:rsidP="008E0360">
      <w:pPr>
        <w:pStyle w:val="base-text-paragraph"/>
        <w:ind w:left="0"/>
      </w:pPr>
      <w:r>
        <w:t>T</w:t>
      </w:r>
      <w:r w:rsidR="007E3EFD">
        <w:t xml:space="preserve">he Accreditation Registrar is required to enter the name, ABN (if applicable) and business address (whether in Australia or overseas) of any CDR </w:t>
      </w:r>
      <w:r w:rsidR="00D90111">
        <w:t xml:space="preserve">representative of an accredited person. </w:t>
      </w:r>
      <w:r w:rsidR="00D90111" w:rsidRPr="00226303">
        <w:rPr>
          <w:b/>
          <w:bCs/>
          <w:i/>
          <w:iCs/>
          <w:sz w:val="20"/>
        </w:rPr>
        <w:t xml:space="preserve">[Schedule 2, item </w:t>
      </w:r>
      <w:r w:rsidR="00D90111">
        <w:rPr>
          <w:b/>
          <w:bCs/>
          <w:i/>
          <w:iCs/>
          <w:sz w:val="20"/>
        </w:rPr>
        <w:t>15</w:t>
      </w:r>
      <w:r w:rsidR="00D90111" w:rsidRPr="00226303">
        <w:rPr>
          <w:b/>
          <w:bCs/>
          <w:i/>
          <w:iCs/>
          <w:sz w:val="20"/>
        </w:rPr>
        <w:t xml:space="preserve">, rule </w:t>
      </w:r>
      <w:r w:rsidR="00D90111">
        <w:rPr>
          <w:b/>
          <w:bCs/>
          <w:i/>
          <w:iCs/>
          <w:sz w:val="20"/>
        </w:rPr>
        <w:t>5.24(</w:t>
      </w:r>
      <w:proofErr w:type="spellStart"/>
      <w:r w:rsidR="00BA4A7B">
        <w:rPr>
          <w:b/>
          <w:bCs/>
          <w:i/>
          <w:iCs/>
          <w:sz w:val="20"/>
        </w:rPr>
        <w:t>b</w:t>
      </w:r>
      <w:r w:rsidR="00D90111">
        <w:rPr>
          <w:b/>
          <w:bCs/>
          <w:i/>
          <w:iCs/>
          <w:sz w:val="20"/>
        </w:rPr>
        <w:t>c</w:t>
      </w:r>
      <w:proofErr w:type="spellEnd"/>
      <w:r w:rsidR="00D90111">
        <w:rPr>
          <w:b/>
          <w:bCs/>
          <w:i/>
          <w:iCs/>
          <w:sz w:val="20"/>
        </w:rPr>
        <w:t>)</w:t>
      </w:r>
      <w:r w:rsidR="00D90111" w:rsidRPr="00226303">
        <w:rPr>
          <w:b/>
          <w:bCs/>
          <w:i/>
          <w:iCs/>
          <w:sz w:val="20"/>
        </w:rPr>
        <w:t>]</w:t>
      </w:r>
    </w:p>
    <w:p w14:paraId="16926718" w14:textId="5F62B1B2" w:rsidR="007251C6" w:rsidRDefault="00E42ABF" w:rsidP="008E0360">
      <w:pPr>
        <w:pStyle w:val="Bullet"/>
        <w:numPr>
          <w:ilvl w:val="0"/>
          <w:numId w:val="0"/>
        </w:numPr>
        <w:spacing w:before="120"/>
      </w:pPr>
      <w:r>
        <w:t xml:space="preserve">Thirdly, the CDR principal is responsible for </w:t>
      </w:r>
      <w:r w:rsidRPr="00FC6B2E">
        <w:t>dispute resolution</w:t>
      </w:r>
      <w:r>
        <w:t xml:space="preserve"> in relation to its CDR representatives (consistently with its obligations as an accredited person under rule 5.12)</w:t>
      </w:r>
      <w:r w:rsidRPr="00FC6B2E">
        <w:t xml:space="preserve">. </w:t>
      </w:r>
      <w:r w:rsidR="000C2938">
        <w:t xml:space="preserve">The definition of </w:t>
      </w:r>
      <w:r w:rsidR="000C2938" w:rsidRPr="00B77A91">
        <w:rPr>
          <w:i/>
          <w:iCs/>
        </w:rPr>
        <w:t>CDR consumer complaint</w:t>
      </w:r>
      <w:r w:rsidR="000C2938">
        <w:t xml:space="preserve"> in rule 1.7(1) is amended to allow CDR consumers to complain directly to CDR representatives about the provision of </w:t>
      </w:r>
      <w:r w:rsidR="000C2938">
        <w:lastRenderedPageBreak/>
        <w:t xml:space="preserve">goods or services by that CDR representative, and therefore trigger the internal dispute resolution obligations of the CDR principal. </w:t>
      </w:r>
      <w:r w:rsidR="000C2938" w:rsidRPr="00226303">
        <w:rPr>
          <w:b/>
          <w:bCs/>
          <w:i/>
          <w:iCs/>
          <w:sz w:val="20"/>
        </w:rPr>
        <w:t xml:space="preserve">[Schedule 2, item </w:t>
      </w:r>
      <w:r w:rsidR="000C2938">
        <w:rPr>
          <w:b/>
          <w:bCs/>
          <w:i/>
          <w:iCs/>
          <w:sz w:val="20"/>
        </w:rPr>
        <w:t>2</w:t>
      </w:r>
      <w:r w:rsidR="000C2938" w:rsidRPr="00226303">
        <w:rPr>
          <w:b/>
          <w:bCs/>
          <w:i/>
          <w:iCs/>
          <w:sz w:val="20"/>
        </w:rPr>
        <w:t xml:space="preserve">, </w:t>
      </w:r>
      <w:r w:rsidR="000C2938">
        <w:rPr>
          <w:b/>
          <w:bCs/>
          <w:i/>
          <w:iCs/>
          <w:sz w:val="20"/>
        </w:rPr>
        <w:t>definition of ‘CDR consumer complaint’ in rule 1.7(1)</w:t>
      </w:r>
      <w:r w:rsidR="000C2938" w:rsidRPr="00226303">
        <w:rPr>
          <w:b/>
          <w:bCs/>
          <w:i/>
          <w:iCs/>
          <w:sz w:val="20"/>
        </w:rPr>
        <w:t>]</w:t>
      </w:r>
    </w:p>
    <w:p w14:paraId="0989BD45" w14:textId="03C3CC85" w:rsidR="00F855A6" w:rsidRDefault="00F855A6" w:rsidP="008E0360">
      <w:pPr>
        <w:pStyle w:val="base-text-paragraph"/>
        <w:ind w:left="0"/>
      </w:pPr>
      <w:r>
        <w:t>Fourth</w:t>
      </w:r>
      <w:r w:rsidR="001C7D53">
        <w:t>ly</w:t>
      </w:r>
      <w:r>
        <w:t xml:space="preserve">, the CDR principal must keep and maintain records in relation to each of its CDR representatives. Broadly, those records must cover and explain the CDR representative’s use and management of CDR data. Among other things, the records must cover and explain: </w:t>
      </w:r>
    </w:p>
    <w:p w14:paraId="54DF730E" w14:textId="77777777" w:rsidR="00F855A6" w:rsidRDefault="00F855A6" w:rsidP="008E0360">
      <w:pPr>
        <w:pStyle w:val="Bullet"/>
        <w:spacing w:before="120"/>
      </w:pPr>
      <w:r>
        <w:t xml:space="preserve">the CDR representative arrangement </w:t>
      </w:r>
      <w:proofErr w:type="gramStart"/>
      <w:r>
        <w:t>itself;</w:t>
      </w:r>
      <w:proofErr w:type="gramEnd"/>
    </w:p>
    <w:p w14:paraId="56C0CD25" w14:textId="77777777" w:rsidR="009636F2" w:rsidRDefault="009636F2" w:rsidP="008E0360">
      <w:pPr>
        <w:pStyle w:val="Bullet"/>
        <w:spacing w:before="120"/>
      </w:pPr>
      <w:r>
        <w:t xml:space="preserve">the steps the principal has taken to ensure the CDR representative complies with its obligations under the CDR representative </w:t>
      </w:r>
      <w:proofErr w:type="gramStart"/>
      <w:r>
        <w:t>arrangement;</w:t>
      </w:r>
      <w:proofErr w:type="gramEnd"/>
      <w:r>
        <w:t xml:space="preserve"> </w:t>
      </w:r>
    </w:p>
    <w:p w14:paraId="6EDEFAAD" w14:textId="354D3624" w:rsidR="009D1513" w:rsidRDefault="009636F2" w:rsidP="008E0360">
      <w:pPr>
        <w:pStyle w:val="Bullet"/>
        <w:spacing w:before="120"/>
      </w:pPr>
      <w:r>
        <w:t xml:space="preserve">records of all consents given to CDR representatives, amendments to and withdrawals of those consents by CDR consumers, the process by which the CDR representative asks for those consents, and notifications of withdrawals of authorisations by data </w:t>
      </w:r>
      <w:proofErr w:type="gramStart"/>
      <w:r>
        <w:t>holders;</w:t>
      </w:r>
      <w:proofErr w:type="gramEnd"/>
      <w:r>
        <w:t xml:space="preserve"> </w:t>
      </w:r>
    </w:p>
    <w:p w14:paraId="6E22D246" w14:textId="3FF98F09" w:rsidR="009636F2" w:rsidRDefault="009636F2" w:rsidP="008E0360">
      <w:pPr>
        <w:pStyle w:val="Bullet"/>
        <w:spacing w:before="120"/>
      </w:pPr>
      <w:r>
        <w:t xml:space="preserve">complaint </w:t>
      </w:r>
      <w:proofErr w:type="gramStart"/>
      <w:r>
        <w:t>data;</w:t>
      </w:r>
      <w:proofErr w:type="gramEnd"/>
    </w:p>
    <w:p w14:paraId="63F133D2" w14:textId="1025FE9D" w:rsidR="009636F2" w:rsidRDefault="009636F2" w:rsidP="008E0360">
      <w:pPr>
        <w:pStyle w:val="Bullet"/>
        <w:spacing w:before="120"/>
      </w:pPr>
      <w:r>
        <w:t>de-identification of CDR data and deletion of CDR data by the CDR representative and how the CDR representative used de-identified data if applicable; and</w:t>
      </w:r>
    </w:p>
    <w:p w14:paraId="1CA57F8A" w14:textId="5B90DEB3" w:rsidR="009636F2" w:rsidRDefault="00305C0D" w:rsidP="008E0360">
      <w:pPr>
        <w:pStyle w:val="Bullet"/>
        <w:spacing w:before="120"/>
      </w:pPr>
      <w:r>
        <w:t xml:space="preserve">the </w:t>
      </w:r>
      <w:r w:rsidR="009636F2">
        <w:t>terms and conditions on which the CDR representative offers goods and services to consumers</w:t>
      </w:r>
      <w:r w:rsidR="00252427">
        <w:t>, including</w:t>
      </w:r>
      <w:r w:rsidR="009636F2">
        <w:t xml:space="preserve"> the collection, use and disclosure of CDR data </w:t>
      </w:r>
      <w:proofErr w:type="gramStart"/>
      <w:r w:rsidR="009636F2">
        <w:t>in order to</w:t>
      </w:r>
      <w:proofErr w:type="gramEnd"/>
      <w:r w:rsidR="009636F2">
        <w:t xml:space="preserve"> provide those goods or services. </w:t>
      </w:r>
    </w:p>
    <w:p w14:paraId="1A8EBA67" w14:textId="3FE1C7BF" w:rsidR="009636F2" w:rsidRPr="009636F2" w:rsidRDefault="009636F2" w:rsidP="008E0360">
      <w:pPr>
        <w:pStyle w:val="Bullet"/>
        <w:numPr>
          <w:ilvl w:val="0"/>
          <w:numId w:val="0"/>
        </w:numPr>
        <w:spacing w:before="120"/>
        <w:ind w:left="567"/>
        <w:rPr>
          <w:b/>
          <w:bCs/>
          <w:i/>
          <w:iCs/>
          <w:sz w:val="20"/>
        </w:rPr>
      </w:pPr>
      <w:bookmarkStart w:id="5" w:name="_Hlk82625164"/>
      <w:r w:rsidRPr="009636F2">
        <w:rPr>
          <w:b/>
          <w:bCs/>
          <w:i/>
          <w:iCs/>
          <w:sz w:val="20"/>
        </w:rPr>
        <w:t xml:space="preserve">[Schedule 2, item </w:t>
      </w:r>
      <w:r>
        <w:rPr>
          <w:b/>
          <w:bCs/>
          <w:i/>
          <w:iCs/>
          <w:sz w:val="20"/>
        </w:rPr>
        <w:t>30</w:t>
      </w:r>
      <w:r w:rsidRPr="009636F2">
        <w:rPr>
          <w:b/>
          <w:bCs/>
          <w:i/>
          <w:iCs/>
          <w:sz w:val="20"/>
        </w:rPr>
        <w:t xml:space="preserve">, rule </w:t>
      </w:r>
      <w:r>
        <w:rPr>
          <w:b/>
          <w:bCs/>
          <w:i/>
          <w:iCs/>
          <w:sz w:val="20"/>
        </w:rPr>
        <w:t>9.3(2A)</w:t>
      </w:r>
      <w:r w:rsidRPr="009636F2">
        <w:rPr>
          <w:b/>
          <w:bCs/>
          <w:i/>
          <w:iCs/>
          <w:sz w:val="20"/>
        </w:rPr>
        <w:t>]</w:t>
      </w:r>
    </w:p>
    <w:bookmarkEnd w:id="5"/>
    <w:p w14:paraId="6CE6EB60" w14:textId="3D3B34F3" w:rsidR="00305C0D" w:rsidRDefault="009636F2" w:rsidP="008E0360">
      <w:pPr>
        <w:pStyle w:val="Bullet"/>
        <w:numPr>
          <w:ilvl w:val="0"/>
          <w:numId w:val="0"/>
        </w:numPr>
        <w:spacing w:before="120"/>
      </w:pPr>
      <w:r>
        <w:t>Fifth</w:t>
      </w:r>
      <w:r w:rsidR="0002797F">
        <w:t>ly</w:t>
      </w:r>
      <w:r>
        <w:t xml:space="preserve">, the CDR principal must </w:t>
      </w:r>
      <w:r w:rsidR="00305C0D">
        <w:t xml:space="preserve">prepare reports in relation to each of its CDR representatives. Among other things, the report must contain the following information: </w:t>
      </w:r>
    </w:p>
    <w:p w14:paraId="16A79A8E" w14:textId="31A01785" w:rsidR="00305C0D" w:rsidRDefault="00305C0D" w:rsidP="008E0360">
      <w:pPr>
        <w:pStyle w:val="Bullet"/>
        <w:spacing w:before="120"/>
      </w:pPr>
      <w:r>
        <w:t xml:space="preserve">a summary of the CDR complaint data for the reporting </w:t>
      </w:r>
      <w:proofErr w:type="gramStart"/>
      <w:r>
        <w:t>period;</w:t>
      </w:r>
      <w:proofErr w:type="gramEnd"/>
      <w:r>
        <w:t xml:space="preserve"> </w:t>
      </w:r>
    </w:p>
    <w:p w14:paraId="65B31392" w14:textId="7159CDCD" w:rsidR="00305C0D" w:rsidRDefault="00305C0D" w:rsidP="008E0360">
      <w:pPr>
        <w:pStyle w:val="Bullet"/>
        <w:spacing w:before="120"/>
      </w:pPr>
      <w:r>
        <w:t xml:space="preserve">a description of the goods or services provided by the CDR representative (if not provided in the previous reporting period) and the CDR data required to provide those goods and services, and any material changes made to those offerings since the previous reporting period; </w:t>
      </w:r>
      <w:r w:rsidR="004464EC">
        <w:t>and</w:t>
      </w:r>
    </w:p>
    <w:p w14:paraId="0D11F4E0" w14:textId="15D3C785" w:rsidR="00305C0D" w:rsidRDefault="00305C0D" w:rsidP="008E0360">
      <w:pPr>
        <w:pStyle w:val="Bullet"/>
        <w:spacing w:before="120"/>
      </w:pPr>
      <w:r>
        <w:t xml:space="preserve">the total number of consumer data requests made by the CDR principal </w:t>
      </w:r>
      <w:r w:rsidR="004464EC">
        <w:t xml:space="preserve">on behalf of its CDR representative, and the total number of consumer data requests the CDR representative made to the CDR principal. </w:t>
      </w:r>
    </w:p>
    <w:p w14:paraId="647CF953" w14:textId="22E8FD50" w:rsidR="004464EC" w:rsidRPr="009636F2" w:rsidRDefault="004464EC" w:rsidP="008E0360">
      <w:pPr>
        <w:pStyle w:val="Bullet"/>
        <w:numPr>
          <w:ilvl w:val="0"/>
          <w:numId w:val="0"/>
        </w:numPr>
        <w:spacing w:before="120"/>
        <w:ind w:left="567"/>
        <w:rPr>
          <w:b/>
          <w:bCs/>
          <w:i/>
          <w:iCs/>
          <w:sz w:val="20"/>
        </w:rPr>
      </w:pPr>
      <w:bookmarkStart w:id="6" w:name="_Hlk82634307"/>
      <w:r w:rsidRPr="009636F2">
        <w:rPr>
          <w:b/>
          <w:bCs/>
          <w:i/>
          <w:iCs/>
          <w:sz w:val="20"/>
        </w:rPr>
        <w:t xml:space="preserve">[Schedule 2, item </w:t>
      </w:r>
      <w:r>
        <w:rPr>
          <w:b/>
          <w:bCs/>
          <w:i/>
          <w:iCs/>
          <w:sz w:val="20"/>
        </w:rPr>
        <w:t>3</w:t>
      </w:r>
      <w:r w:rsidR="00ED460B">
        <w:rPr>
          <w:b/>
          <w:bCs/>
          <w:i/>
          <w:iCs/>
          <w:sz w:val="20"/>
        </w:rPr>
        <w:t>1</w:t>
      </w:r>
      <w:r w:rsidRPr="009636F2">
        <w:rPr>
          <w:b/>
          <w:bCs/>
          <w:i/>
          <w:iCs/>
          <w:sz w:val="20"/>
        </w:rPr>
        <w:t xml:space="preserve">, rule </w:t>
      </w:r>
      <w:r>
        <w:rPr>
          <w:b/>
          <w:bCs/>
          <w:i/>
          <w:iCs/>
          <w:sz w:val="20"/>
        </w:rPr>
        <w:t>9.</w:t>
      </w:r>
      <w:r w:rsidR="00ED460B">
        <w:rPr>
          <w:b/>
          <w:bCs/>
          <w:i/>
          <w:iCs/>
          <w:sz w:val="20"/>
        </w:rPr>
        <w:t>4</w:t>
      </w:r>
      <w:r>
        <w:rPr>
          <w:b/>
          <w:bCs/>
          <w:i/>
          <w:iCs/>
          <w:sz w:val="20"/>
        </w:rPr>
        <w:t>(2A)</w:t>
      </w:r>
      <w:r w:rsidRPr="009636F2">
        <w:rPr>
          <w:b/>
          <w:bCs/>
          <w:i/>
          <w:iCs/>
          <w:sz w:val="20"/>
        </w:rPr>
        <w:t>]</w:t>
      </w:r>
    </w:p>
    <w:bookmarkEnd w:id="6"/>
    <w:p w14:paraId="2360B30B" w14:textId="618171F9" w:rsidR="002C5318" w:rsidRDefault="00305C0D" w:rsidP="008E0360">
      <w:pPr>
        <w:pStyle w:val="base-text-paragraph"/>
        <w:ind w:left="0"/>
      </w:pPr>
      <w:r>
        <w:t xml:space="preserve">A </w:t>
      </w:r>
      <w:r w:rsidR="00C63277">
        <w:t>maximum</w:t>
      </w:r>
      <w:r>
        <w:t xml:space="preserve"> civil penalty of $50,000 for an individual and $250,000 for a body corporate applies for a contravention of these record-keeping and reporting obligations. </w:t>
      </w:r>
      <w:r w:rsidR="00804EA4">
        <w:t xml:space="preserve">This is consistent with the existing penalty provisions that apply to accredited data recipients under the CDR </w:t>
      </w:r>
      <w:r w:rsidR="0002797F">
        <w:t>R</w:t>
      </w:r>
      <w:r w:rsidR="00804EA4">
        <w:t>ules.</w:t>
      </w:r>
    </w:p>
    <w:p w14:paraId="7B43AE1D" w14:textId="05B990ED" w:rsidR="009D1513" w:rsidRPr="00D73FA8" w:rsidRDefault="008F515A" w:rsidP="008E0360">
      <w:pPr>
        <w:keepNext/>
        <w:spacing w:before="240" w:line="276" w:lineRule="auto"/>
        <w:rPr>
          <w:b/>
          <w:i/>
        </w:rPr>
      </w:pPr>
      <w:r>
        <w:rPr>
          <w:i/>
        </w:rPr>
        <w:t>Collection, use and disclosure of data and privacy safeguards</w:t>
      </w:r>
    </w:p>
    <w:p w14:paraId="6E7B84B2" w14:textId="48CE7EB3" w:rsidR="009D1513" w:rsidRPr="00ED709C" w:rsidRDefault="00A17557" w:rsidP="008E0360">
      <w:pPr>
        <w:pStyle w:val="base-text-paragraph"/>
        <w:ind w:left="0"/>
      </w:pPr>
      <w:r>
        <w:t>When necessary to provide requested goods or services to a consumer, r</w:t>
      </w:r>
      <w:r w:rsidR="009D1513">
        <w:t xml:space="preserve">ule 4.3A provides that a </w:t>
      </w:r>
      <w:r w:rsidR="009D1513" w:rsidRPr="00ED709C">
        <w:t xml:space="preserve">CDR representative </w:t>
      </w:r>
      <w:r w:rsidR="009D1513">
        <w:t>may</w:t>
      </w:r>
      <w:r>
        <w:t xml:space="preserve"> </w:t>
      </w:r>
      <w:r w:rsidR="009D1513">
        <w:t>ask the consumer for a collection consent for the principal</w:t>
      </w:r>
      <w:r w:rsidR="008C428E">
        <w:t xml:space="preserve"> to collect on the representative’s behalf</w:t>
      </w:r>
      <w:r w:rsidR="009D1513">
        <w:t xml:space="preserve">, a use consent for the principal to provide the CDR data to the representative, and </w:t>
      </w:r>
      <w:r>
        <w:t xml:space="preserve">a use consent </w:t>
      </w:r>
      <w:r w:rsidR="009D1513">
        <w:t xml:space="preserve">for the representative to </w:t>
      </w:r>
      <w:r w:rsidR="009D1513">
        <w:lastRenderedPageBreak/>
        <w:t xml:space="preserve">use the CDR data to provide the requested goods and services. </w:t>
      </w:r>
      <w:r w:rsidR="0009442E">
        <w:t xml:space="preserve">If the CDR consumer has given such a collection consent, the CDR representative may also ask the consumer to give a disclosure consent for that CDR data. </w:t>
      </w:r>
      <w:r w:rsidR="0009442E" w:rsidRPr="00226303">
        <w:rPr>
          <w:b/>
          <w:bCs/>
          <w:i/>
          <w:iCs/>
          <w:sz w:val="20"/>
        </w:rPr>
        <w:t>[Schedule 2, item</w:t>
      </w:r>
      <w:r w:rsidR="007E2EA4">
        <w:rPr>
          <w:b/>
          <w:bCs/>
          <w:i/>
          <w:iCs/>
          <w:sz w:val="20"/>
        </w:rPr>
        <w:t>s</w:t>
      </w:r>
      <w:r w:rsidR="0009442E" w:rsidRPr="00226303">
        <w:rPr>
          <w:b/>
          <w:bCs/>
          <w:i/>
          <w:iCs/>
          <w:sz w:val="20"/>
        </w:rPr>
        <w:t xml:space="preserve"> </w:t>
      </w:r>
      <w:r w:rsidR="00E3213F">
        <w:rPr>
          <w:b/>
          <w:bCs/>
          <w:i/>
          <w:iCs/>
          <w:sz w:val="20"/>
        </w:rPr>
        <w:t>8</w:t>
      </w:r>
      <w:r w:rsidR="000D4CA2">
        <w:rPr>
          <w:b/>
          <w:bCs/>
          <w:i/>
          <w:iCs/>
          <w:sz w:val="20"/>
        </w:rPr>
        <w:t xml:space="preserve"> to </w:t>
      </w:r>
      <w:r w:rsidR="00E3213F">
        <w:rPr>
          <w:b/>
          <w:bCs/>
          <w:i/>
          <w:iCs/>
          <w:sz w:val="20"/>
        </w:rPr>
        <w:t>1</w:t>
      </w:r>
      <w:r w:rsidR="00992351">
        <w:rPr>
          <w:b/>
          <w:bCs/>
          <w:i/>
          <w:iCs/>
          <w:sz w:val="20"/>
        </w:rPr>
        <w:t>3</w:t>
      </w:r>
      <w:r w:rsidR="0009442E" w:rsidRPr="00226303">
        <w:rPr>
          <w:b/>
          <w:bCs/>
          <w:i/>
          <w:iCs/>
          <w:sz w:val="20"/>
        </w:rPr>
        <w:t>, rule</w:t>
      </w:r>
      <w:r w:rsidR="00E3213F">
        <w:rPr>
          <w:b/>
          <w:bCs/>
          <w:i/>
          <w:iCs/>
          <w:sz w:val="20"/>
        </w:rPr>
        <w:t>s</w:t>
      </w:r>
      <w:r w:rsidR="00BC2220">
        <w:rPr>
          <w:b/>
          <w:bCs/>
          <w:i/>
          <w:iCs/>
          <w:sz w:val="20"/>
        </w:rPr>
        <w:t> </w:t>
      </w:r>
      <w:r w:rsidR="00E3213F">
        <w:rPr>
          <w:b/>
          <w:bCs/>
          <w:i/>
          <w:iCs/>
          <w:sz w:val="20"/>
        </w:rPr>
        <w:t xml:space="preserve">4.1, 4.3(2), </w:t>
      </w:r>
      <w:r w:rsidR="0009442E">
        <w:rPr>
          <w:b/>
          <w:bCs/>
          <w:i/>
          <w:iCs/>
          <w:sz w:val="20"/>
        </w:rPr>
        <w:t>4.3A</w:t>
      </w:r>
      <w:r w:rsidR="00E3213F">
        <w:rPr>
          <w:b/>
          <w:bCs/>
          <w:i/>
          <w:iCs/>
          <w:sz w:val="20"/>
        </w:rPr>
        <w:t>, 4.4(1)(a)</w:t>
      </w:r>
      <w:r w:rsidR="00992351">
        <w:rPr>
          <w:b/>
          <w:bCs/>
          <w:i/>
          <w:iCs/>
          <w:sz w:val="20"/>
        </w:rPr>
        <w:t xml:space="preserve">, </w:t>
      </w:r>
      <w:r w:rsidR="007E2EA4">
        <w:rPr>
          <w:b/>
          <w:bCs/>
          <w:i/>
          <w:iCs/>
          <w:sz w:val="20"/>
        </w:rPr>
        <w:t>4.7A</w:t>
      </w:r>
      <w:r w:rsidR="00BA4A7B">
        <w:rPr>
          <w:b/>
          <w:bCs/>
          <w:i/>
          <w:iCs/>
          <w:sz w:val="20"/>
        </w:rPr>
        <w:t>(1)(a)</w:t>
      </w:r>
      <w:r w:rsidR="00992351">
        <w:rPr>
          <w:b/>
          <w:bCs/>
          <w:i/>
          <w:iCs/>
          <w:sz w:val="20"/>
        </w:rPr>
        <w:t xml:space="preserve"> and 4.11</w:t>
      </w:r>
      <w:r w:rsidR="0009442E" w:rsidRPr="00226303">
        <w:rPr>
          <w:b/>
          <w:bCs/>
          <w:i/>
          <w:iCs/>
          <w:sz w:val="20"/>
        </w:rPr>
        <w:t>]</w:t>
      </w:r>
    </w:p>
    <w:p w14:paraId="14A86216" w14:textId="299AEFAB" w:rsidR="00702D9F" w:rsidRDefault="00702D9F" w:rsidP="008E0360">
      <w:pPr>
        <w:pStyle w:val="base-text-paragraph"/>
        <w:ind w:left="0"/>
      </w:pPr>
      <w:r>
        <w:t xml:space="preserve">New rule 4.3B applies the existing AP disclosure rules (rules 4.7A and 4.7B) to CDR representatives. </w:t>
      </w:r>
      <w:r w:rsidR="003C51A8">
        <w:t xml:space="preserve">The effect of this is to allow a CDR representative that receives an AP disclosure request from an accredited person to seek a disclosure consent from the CDR consumer. </w:t>
      </w:r>
      <w:r w:rsidR="003C51A8" w:rsidRPr="00226303">
        <w:rPr>
          <w:b/>
          <w:bCs/>
          <w:i/>
          <w:iCs/>
          <w:sz w:val="20"/>
        </w:rPr>
        <w:t xml:space="preserve">[Schedule 2, item </w:t>
      </w:r>
      <w:r w:rsidR="003C51A8">
        <w:rPr>
          <w:b/>
          <w:bCs/>
          <w:i/>
          <w:iCs/>
          <w:sz w:val="20"/>
        </w:rPr>
        <w:t>10</w:t>
      </w:r>
      <w:r w:rsidR="003C51A8" w:rsidRPr="00226303">
        <w:rPr>
          <w:b/>
          <w:bCs/>
          <w:i/>
          <w:iCs/>
          <w:sz w:val="20"/>
        </w:rPr>
        <w:t xml:space="preserve">, </w:t>
      </w:r>
      <w:r w:rsidR="003C51A8" w:rsidRPr="00226303">
        <w:rPr>
          <w:b/>
          <w:i/>
          <w:sz w:val="20"/>
        </w:rPr>
        <w:t xml:space="preserve">rule </w:t>
      </w:r>
      <w:r w:rsidR="003C51A8">
        <w:rPr>
          <w:b/>
          <w:i/>
          <w:sz w:val="20"/>
        </w:rPr>
        <w:t>4.3B</w:t>
      </w:r>
      <w:r w:rsidR="003C51A8" w:rsidRPr="00226303">
        <w:rPr>
          <w:b/>
          <w:bCs/>
          <w:i/>
          <w:iCs/>
          <w:sz w:val="20"/>
        </w:rPr>
        <w:t>]</w:t>
      </w:r>
    </w:p>
    <w:p w14:paraId="139E8BBD" w14:textId="1171A0E6" w:rsidR="009D1513" w:rsidRDefault="0009442E" w:rsidP="008E0360">
      <w:pPr>
        <w:pStyle w:val="base-text-paragraph"/>
        <w:ind w:left="0"/>
        <w:rPr>
          <w:b/>
          <w:i/>
          <w:sz w:val="20"/>
        </w:rPr>
      </w:pPr>
      <w:r>
        <w:t>New</w:t>
      </w:r>
      <w:r w:rsidR="009D1513">
        <w:t xml:space="preserve"> rule 4.3</w:t>
      </w:r>
      <w:r w:rsidR="00702D9F">
        <w:t>C</w:t>
      </w:r>
      <w:r w:rsidR="009D1513">
        <w:t xml:space="preserve"> requires the CDR principal to ensure that, when its CDR representative asks for the required consents from a consumer </w:t>
      </w:r>
      <w:proofErr w:type="gramStart"/>
      <w:r w:rsidR="009D1513">
        <w:t>in order to</w:t>
      </w:r>
      <w:proofErr w:type="gramEnd"/>
      <w:r w:rsidR="009D1513">
        <w:t xml:space="preserve"> provide goods and services, the CDR representative does so in accordance with Division 4.3. Rule 4.3</w:t>
      </w:r>
      <w:r w:rsidR="00702D9F">
        <w:t>C</w:t>
      </w:r>
      <w:r w:rsidR="009D1513">
        <w:t xml:space="preserve"> </w:t>
      </w:r>
      <w:r w:rsidR="00D20BE7">
        <w:t>also</w:t>
      </w:r>
      <w:r w:rsidR="009D1513">
        <w:t xml:space="preserve"> modifies specific provisions of Division 4.3 to ensure it can apply to CDR representatives and operate consistently with the principal-CDR representative relationship and liability framework. </w:t>
      </w:r>
      <w:bookmarkStart w:id="7" w:name="_Hlk82711190"/>
      <w:r w:rsidR="007E2EA4" w:rsidRPr="00226303">
        <w:rPr>
          <w:b/>
          <w:bCs/>
          <w:i/>
          <w:iCs/>
          <w:sz w:val="20"/>
        </w:rPr>
        <w:t xml:space="preserve">[Schedule 2, item </w:t>
      </w:r>
      <w:r w:rsidR="007E2EA4">
        <w:rPr>
          <w:b/>
          <w:bCs/>
          <w:i/>
          <w:iCs/>
          <w:sz w:val="20"/>
        </w:rPr>
        <w:t>10</w:t>
      </w:r>
      <w:r w:rsidR="007E2EA4" w:rsidRPr="00226303">
        <w:rPr>
          <w:b/>
          <w:bCs/>
          <w:i/>
          <w:iCs/>
          <w:sz w:val="20"/>
        </w:rPr>
        <w:t xml:space="preserve">, </w:t>
      </w:r>
      <w:r w:rsidR="009D1513" w:rsidRPr="00226303">
        <w:rPr>
          <w:b/>
          <w:i/>
          <w:sz w:val="20"/>
        </w:rPr>
        <w:t xml:space="preserve">rule </w:t>
      </w:r>
      <w:r w:rsidR="009D1513">
        <w:rPr>
          <w:b/>
          <w:i/>
          <w:sz w:val="20"/>
        </w:rPr>
        <w:t>4.3</w:t>
      </w:r>
      <w:r w:rsidR="00702D9F">
        <w:rPr>
          <w:b/>
          <w:i/>
          <w:sz w:val="20"/>
        </w:rPr>
        <w:t>C</w:t>
      </w:r>
      <w:r w:rsidR="007E2EA4" w:rsidRPr="00226303">
        <w:rPr>
          <w:b/>
          <w:bCs/>
          <w:i/>
          <w:iCs/>
          <w:sz w:val="20"/>
        </w:rPr>
        <w:t>]</w:t>
      </w:r>
      <w:bookmarkEnd w:id="7"/>
    </w:p>
    <w:p w14:paraId="50E5E524" w14:textId="34DF80CE" w:rsidR="00BE16C1" w:rsidRDefault="00BE16C1" w:rsidP="008E0360">
      <w:pPr>
        <w:pStyle w:val="base-text-paragraph"/>
        <w:ind w:left="0"/>
      </w:pPr>
      <w:r w:rsidRPr="00BE16C1">
        <w:t xml:space="preserve">The standard maximum civil penalty for CDR Rule breaches applies for a contravention of this rule. A robust penalty setting is important to </w:t>
      </w:r>
      <w:r>
        <w:t xml:space="preserve">ensure principals are responsible for preventing conduct that would jeopardise the security of consumers data and undermine the integrity of the CDR regime. </w:t>
      </w:r>
      <w:r w:rsidRPr="00AC24B6">
        <w:rPr>
          <w:b/>
          <w:bCs/>
          <w:i/>
          <w:iCs/>
          <w:sz w:val="18"/>
          <w:szCs w:val="18"/>
        </w:rPr>
        <w:t>[Schedule 6, item 21, rule</w:t>
      </w:r>
      <w:r w:rsidR="00BC2220">
        <w:rPr>
          <w:b/>
          <w:bCs/>
          <w:i/>
          <w:iCs/>
          <w:sz w:val="18"/>
          <w:szCs w:val="18"/>
        </w:rPr>
        <w:t> </w:t>
      </w:r>
      <w:r w:rsidRPr="00AC24B6">
        <w:rPr>
          <w:b/>
          <w:bCs/>
          <w:i/>
          <w:iCs/>
          <w:sz w:val="18"/>
          <w:szCs w:val="18"/>
        </w:rPr>
        <w:t>9.8(</w:t>
      </w:r>
      <w:r>
        <w:rPr>
          <w:b/>
          <w:bCs/>
          <w:i/>
          <w:iCs/>
          <w:sz w:val="18"/>
          <w:szCs w:val="18"/>
        </w:rPr>
        <w:t>n)</w:t>
      </w:r>
      <w:r w:rsidRPr="00AC24B6">
        <w:rPr>
          <w:b/>
          <w:bCs/>
          <w:i/>
          <w:iCs/>
          <w:sz w:val="18"/>
          <w:szCs w:val="18"/>
        </w:rPr>
        <w:t>]</w:t>
      </w:r>
    </w:p>
    <w:p w14:paraId="44639ADD" w14:textId="7D5D2843" w:rsidR="009D1513" w:rsidRDefault="00174891" w:rsidP="008E0360">
      <w:pPr>
        <w:pStyle w:val="base-text-paragraph"/>
        <w:ind w:left="0"/>
      </w:pPr>
      <w:r>
        <w:t>W</w:t>
      </w:r>
      <w:r w:rsidR="009D1513">
        <w:t xml:space="preserve">here a consumer gives a consent to a CDR representative for their principal to collect CDR data and disclose it to the CDR representative, this is also taken to be a collection consent. </w:t>
      </w:r>
      <w:r w:rsidRPr="00226303">
        <w:rPr>
          <w:b/>
          <w:bCs/>
          <w:i/>
          <w:iCs/>
          <w:sz w:val="20"/>
        </w:rPr>
        <w:t xml:space="preserve">[Schedule 2, item </w:t>
      </w:r>
      <w:r>
        <w:rPr>
          <w:b/>
          <w:bCs/>
          <w:i/>
          <w:iCs/>
          <w:sz w:val="20"/>
        </w:rPr>
        <w:t>5</w:t>
      </w:r>
      <w:r w:rsidRPr="00226303">
        <w:rPr>
          <w:b/>
          <w:bCs/>
          <w:i/>
          <w:iCs/>
          <w:sz w:val="20"/>
        </w:rPr>
        <w:t>, rule</w:t>
      </w:r>
      <w:r w:rsidR="0017290B">
        <w:rPr>
          <w:b/>
          <w:bCs/>
          <w:i/>
          <w:iCs/>
          <w:sz w:val="20"/>
        </w:rPr>
        <w:t>s</w:t>
      </w:r>
      <w:r w:rsidRPr="00226303">
        <w:rPr>
          <w:b/>
          <w:bCs/>
          <w:i/>
          <w:iCs/>
          <w:sz w:val="20"/>
        </w:rPr>
        <w:t xml:space="preserve"> </w:t>
      </w:r>
      <w:r>
        <w:rPr>
          <w:b/>
          <w:bCs/>
          <w:i/>
          <w:iCs/>
          <w:sz w:val="20"/>
        </w:rPr>
        <w:t>1.10A(4)</w:t>
      </w:r>
      <w:r w:rsidR="0017290B">
        <w:rPr>
          <w:b/>
          <w:bCs/>
          <w:i/>
          <w:iCs/>
          <w:sz w:val="20"/>
        </w:rPr>
        <w:t>-</w:t>
      </w:r>
      <w:r>
        <w:rPr>
          <w:b/>
          <w:bCs/>
          <w:i/>
          <w:iCs/>
          <w:sz w:val="20"/>
        </w:rPr>
        <w:t>(5)</w:t>
      </w:r>
      <w:r w:rsidRPr="00226303">
        <w:rPr>
          <w:b/>
          <w:bCs/>
          <w:i/>
          <w:iCs/>
          <w:sz w:val="20"/>
        </w:rPr>
        <w:t>]</w:t>
      </w:r>
    </w:p>
    <w:p w14:paraId="33FE54E0" w14:textId="4F36597E" w:rsidR="00370CAF" w:rsidRPr="00370CAF" w:rsidRDefault="00370CAF" w:rsidP="008E0360">
      <w:pPr>
        <w:pStyle w:val="base-text-paragraph"/>
        <w:ind w:left="0"/>
      </w:pPr>
      <w:r>
        <w:t xml:space="preserve">A CDR representative will be able to seek </w:t>
      </w:r>
      <w:r>
        <w:rPr>
          <w:b/>
          <w:bCs/>
          <w:i/>
          <w:iCs/>
        </w:rPr>
        <w:t>TA disclosure consents</w:t>
      </w:r>
      <w:r>
        <w:t xml:space="preserve">, </w:t>
      </w:r>
      <w:r>
        <w:rPr>
          <w:b/>
          <w:bCs/>
          <w:i/>
          <w:iCs/>
        </w:rPr>
        <w:t xml:space="preserve">AP disclosure consents </w:t>
      </w:r>
      <w:r>
        <w:t xml:space="preserve">and </w:t>
      </w:r>
      <w:r>
        <w:rPr>
          <w:b/>
          <w:bCs/>
          <w:i/>
          <w:iCs/>
        </w:rPr>
        <w:t xml:space="preserve">insight disclosure consents </w:t>
      </w:r>
      <w:r>
        <w:t xml:space="preserve">as well as collection and use consents </w:t>
      </w:r>
      <w:proofErr w:type="gramStart"/>
      <w:r>
        <w:t>in order to</w:t>
      </w:r>
      <w:proofErr w:type="gramEnd"/>
      <w:r>
        <w:t xml:space="preserve"> provide goods and services. </w:t>
      </w:r>
      <w:r w:rsidR="004162B0">
        <w:t xml:space="preserve">In this way, a CDR representative </w:t>
      </w:r>
      <w:proofErr w:type="gramStart"/>
      <w:r w:rsidR="004162B0">
        <w:t>is able to</w:t>
      </w:r>
      <w:proofErr w:type="gramEnd"/>
      <w:r w:rsidR="004162B0">
        <w:t xml:space="preserve"> disclose CDR data as if it is an accredited person. The only exception to this is that a CDR representative cannot disclose CDR data to an outsourced service provider. </w:t>
      </w:r>
      <w:r w:rsidR="003C51A8" w:rsidRPr="00226303">
        <w:rPr>
          <w:b/>
          <w:bCs/>
          <w:i/>
          <w:iCs/>
          <w:sz w:val="20"/>
        </w:rPr>
        <w:t>[Schedule 2, item</w:t>
      </w:r>
      <w:r w:rsidR="003C51A8">
        <w:rPr>
          <w:b/>
          <w:bCs/>
          <w:i/>
          <w:iCs/>
          <w:sz w:val="20"/>
        </w:rPr>
        <w:t>s</w:t>
      </w:r>
      <w:r w:rsidR="003C51A8" w:rsidRPr="00226303">
        <w:rPr>
          <w:b/>
          <w:bCs/>
          <w:i/>
          <w:iCs/>
          <w:sz w:val="20"/>
        </w:rPr>
        <w:t xml:space="preserve"> </w:t>
      </w:r>
      <w:r w:rsidR="003C51A8">
        <w:rPr>
          <w:b/>
          <w:bCs/>
          <w:i/>
          <w:iCs/>
          <w:sz w:val="20"/>
        </w:rPr>
        <w:t>5 and 10</w:t>
      </w:r>
      <w:r w:rsidR="003C51A8" w:rsidRPr="00226303">
        <w:rPr>
          <w:b/>
          <w:bCs/>
          <w:i/>
          <w:iCs/>
          <w:sz w:val="20"/>
        </w:rPr>
        <w:t xml:space="preserve">, </w:t>
      </w:r>
      <w:r w:rsidR="003C51A8" w:rsidRPr="00226303">
        <w:rPr>
          <w:b/>
          <w:i/>
          <w:sz w:val="20"/>
        </w:rPr>
        <w:t>rule</w:t>
      </w:r>
      <w:r w:rsidR="003C51A8">
        <w:rPr>
          <w:b/>
          <w:i/>
          <w:sz w:val="20"/>
        </w:rPr>
        <w:t>s</w:t>
      </w:r>
      <w:r w:rsidR="003C51A8" w:rsidRPr="00226303">
        <w:rPr>
          <w:b/>
          <w:i/>
          <w:sz w:val="20"/>
        </w:rPr>
        <w:t xml:space="preserve"> </w:t>
      </w:r>
      <w:r w:rsidR="003C51A8">
        <w:rPr>
          <w:b/>
          <w:i/>
          <w:sz w:val="20"/>
        </w:rPr>
        <w:t>1.10A and 4.3C</w:t>
      </w:r>
      <w:r w:rsidR="003C51A8" w:rsidRPr="00226303">
        <w:rPr>
          <w:b/>
          <w:bCs/>
          <w:i/>
          <w:iCs/>
          <w:sz w:val="20"/>
        </w:rPr>
        <w:t>]</w:t>
      </w:r>
    </w:p>
    <w:p w14:paraId="34B4F993" w14:textId="7B4F6EC4" w:rsidR="00B27B8F" w:rsidRDefault="00B27B8F" w:rsidP="008E0360">
      <w:pPr>
        <w:pStyle w:val="base-text-paragraph"/>
        <w:ind w:left="0"/>
      </w:pPr>
      <w:r>
        <w:t xml:space="preserve">A CDR principal is permitted to disclose data to a CDR representative </w:t>
      </w:r>
      <w:proofErr w:type="gramStart"/>
      <w:r>
        <w:t>in order for</w:t>
      </w:r>
      <w:proofErr w:type="gramEnd"/>
      <w:r>
        <w:t xml:space="preserve"> the CDR representative to do one or more of the following:</w:t>
      </w:r>
    </w:p>
    <w:p w14:paraId="1F15AF56" w14:textId="0BF069B7" w:rsidR="00B27B8F" w:rsidRDefault="00B27B8F" w:rsidP="008E0360">
      <w:pPr>
        <w:pStyle w:val="Bullet"/>
        <w:spacing w:before="120"/>
      </w:pPr>
      <w:r>
        <w:t>us</w:t>
      </w:r>
      <w:r w:rsidR="00754DEC">
        <w:t>e</w:t>
      </w:r>
      <w:r>
        <w:t xml:space="preserve"> the CDR data to provide goods or </w:t>
      </w:r>
      <w:proofErr w:type="gramStart"/>
      <w:r>
        <w:t>services;</w:t>
      </w:r>
      <w:proofErr w:type="gramEnd"/>
    </w:p>
    <w:p w14:paraId="6A979C4E" w14:textId="6A576903" w:rsidR="00B27B8F" w:rsidRDefault="00B27B8F" w:rsidP="008E0360">
      <w:pPr>
        <w:pStyle w:val="Bullet"/>
        <w:spacing w:before="120"/>
      </w:pPr>
      <w:r>
        <w:t>in accordance with a valid use consent, de-identify data to use for general research or to disclose (including by sale</w:t>
      </w:r>
      <w:proofErr w:type="gramStart"/>
      <w:r>
        <w:t>);</w:t>
      </w:r>
      <w:proofErr w:type="gramEnd"/>
    </w:p>
    <w:p w14:paraId="1FF613C3" w14:textId="082A9F6B" w:rsidR="00513C16" w:rsidRDefault="00513C16" w:rsidP="008E0360">
      <w:pPr>
        <w:pStyle w:val="Bullet"/>
        <w:spacing w:before="120"/>
      </w:pPr>
      <w:r>
        <w:t>disclos</w:t>
      </w:r>
      <w:r w:rsidR="00754DEC">
        <w:t>e</w:t>
      </w:r>
      <w:r>
        <w:t xml:space="preserve"> that de-identified data to any person (including by sale</w:t>
      </w:r>
      <w:proofErr w:type="gramStart"/>
      <w:r>
        <w:t>);</w:t>
      </w:r>
      <w:proofErr w:type="gramEnd"/>
    </w:p>
    <w:p w14:paraId="7A55BBC4" w14:textId="51C796EF" w:rsidR="00B27B8F" w:rsidRDefault="00970893" w:rsidP="008E0360">
      <w:pPr>
        <w:pStyle w:val="Bullet"/>
        <w:spacing w:before="120"/>
      </w:pPr>
      <w:r>
        <w:t xml:space="preserve">transform, analyse or otherwise derive CDR data to </w:t>
      </w:r>
      <w:r w:rsidR="00B27B8F" w:rsidDel="00970893">
        <w:t>provid</w:t>
      </w:r>
      <w:r w:rsidR="00B27B8F" w:rsidDel="004C2BB5">
        <w:t>e</w:t>
      </w:r>
      <w:r w:rsidR="00B27B8F">
        <w:t xml:space="preserve"> goods or services, or to de-identify for general research or on-</w:t>
      </w:r>
      <w:proofErr w:type="gramStart"/>
      <w:r w:rsidR="00B27B8F">
        <w:t>disclosure;</w:t>
      </w:r>
      <w:proofErr w:type="gramEnd"/>
    </w:p>
    <w:p w14:paraId="1B1AEB80" w14:textId="46BBF7DE" w:rsidR="00B27B8F" w:rsidRDefault="00B27B8F" w:rsidP="008E0360">
      <w:pPr>
        <w:pStyle w:val="Bullet"/>
        <w:spacing w:before="120"/>
      </w:pPr>
      <w:r>
        <w:t>disclos</w:t>
      </w:r>
      <w:r w:rsidR="00754DEC">
        <w:t>e</w:t>
      </w:r>
      <w:r>
        <w:t xml:space="preserve"> to the </w:t>
      </w:r>
      <w:r w:rsidR="00513C16">
        <w:t>CDR consumer any of their own CDR data to provide the consumer with goods or services; and</w:t>
      </w:r>
    </w:p>
    <w:p w14:paraId="17E0E4C7" w14:textId="06930A10" w:rsidR="00513C16" w:rsidRDefault="00513C16" w:rsidP="008E0360">
      <w:pPr>
        <w:pStyle w:val="Bullet"/>
        <w:spacing w:before="120"/>
      </w:pPr>
      <w:r>
        <w:t>otherwise disclos</w:t>
      </w:r>
      <w:r w:rsidR="00754DEC">
        <w:t>e</w:t>
      </w:r>
      <w:r>
        <w:t xml:space="preserve"> the consumer’s CDR data in accordance with a current disclosure consent. </w:t>
      </w:r>
    </w:p>
    <w:p w14:paraId="6AE89D6F" w14:textId="79DE92D7" w:rsidR="00513C16" w:rsidRPr="009636F2" w:rsidRDefault="00513C16" w:rsidP="008E0360">
      <w:pPr>
        <w:pStyle w:val="Bullet"/>
        <w:numPr>
          <w:ilvl w:val="0"/>
          <w:numId w:val="0"/>
        </w:numPr>
        <w:spacing w:before="120"/>
        <w:ind w:left="567"/>
        <w:rPr>
          <w:b/>
          <w:bCs/>
          <w:i/>
          <w:iCs/>
          <w:sz w:val="20"/>
        </w:rPr>
      </w:pPr>
      <w:r w:rsidRPr="009636F2">
        <w:rPr>
          <w:b/>
          <w:bCs/>
          <w:i/>
          <w:iCs/>
          <w:sz w:val="20"/>
        </w:rPr>
        <w:t xml:space="preserve">[Schedule 2, item </w:t>
      </w:r>
      <w:r>
        <w:rPr>
          <w:b/>
          <w:bCs/>
          <w:i/>
          <w:iCs/>
          <w:sz w:val="20"/>
        </w:rPr>
        <w:t>19</w:t>
      </w:r>
      <w:r w:rsidRPr="009636F2">
        <w:rPr>
          <w:b/>
          <w:bCs/>
          <w:i/>
          <w:iCs/>
          <w:sz w:val="20"/>
        </w:rPr>
        <w:t xml:space="preserve">, rule </w:t>
      </w:r>
      <w:r w:rsidR="00916D63">
        <w:rPr>
          <w:b/>
          <w:bCs/>
          <w:i/>
          <w:iCs/>
          <w:sz w:val="20"/>
        </w:rPr>
        <w:t>7.5(1)(</w:t>
      </w:r>
      <w:r w:rsidR="0017290B">
        <w:rPr>
          <w:b/>
          <w:bCs/>
          <w:i/>
          <w:iCs/>
          <w:sz w:val="20"/>
        </w:rPr>
        <w:t>h</w:t>
      </w:r>
      <w:r w:rsidR="00916D63">
        <w:rPr>
          <w:b/>
          <w:bCs/>
          <w:i/>
          <w:iCs/>
          <w:sz w:val="20"/>
        </w:rPr>
        <w:t>)</w:t>
      </w:r>
      <w:r w:rsidRPr="009636F2">
        <w:rPr>
          <w:b/>
          <w:bCs/>
          <w:i/>
          <w:iCs/>
          <w:sz w:val="20"/>
        </w:rPr>
        <w:t>]</w:t>
      </w:r>
    </w:p>
    <w:p w14:paraId="1554827C" w14:textId="7425BFE0" w:rsidR="00513C16" w:rsidRDefault="00916D63" w:rsidP="008E0360">
      <w:pPr>
        <w:pStyle w:val="Bullet"/>
        <w:keepNext/>
        <w:numPr>
          <w:ilvl w:val="0"/>
          <w:numId w:val="0"/>
        </w:numPr>
        <w:spacing w:before="120"/>
      </w:pPr>
      <w:r>
        <w:lastRenderedPageBreak/>
        <w:t xml:space="preserve">A CDR principal is also permitted to disclose data to a CDR representative for one of the following direct marketing uses or disclosures: </w:t>
      </w:r>
    </w:p>
    <w:p w14:paraId="673EF480" w14:textId="34AE9A21" w:rsidR="00916D63" w:rsidRDefault="00916D63" w:rsidP="008E0360">
      <w:pPr>
        <w:pStyle w:val="Bullet"/>
        <w:spacing w:before="120"/>
      </w:pPr>
      <w:r>
        <w:t xml:space="preserve">sending the CDR consumer information about upgraded or alternative goods or services, offers to renew existing goods or services, </w:t>
      </w:r>
      <w:r w:rsidR="005D1BED">
        <w:t>information about the benefits of existing goods or services, or information about other goods or services provided by another accredited person; or</w:t>
      </w:r>
    </w:p>
    <w:p w14:paraId="295BB643" w14:textId="67C751F8" w:rsidR="005D1BED" w:rsidRDefault="005D1BED" w:rsidP="008E0360">
      <w:pPr>
        <w:pStyle w:val="Bullet"/>
        <w:spacing w:before="120"/>
      </w:pPr>
      <w:r>
        <w:t xml:space="preserve">using the CDR data (including by analysing it) </w:t>
      </w:r>
      <w:proofErr w:type="gramStart"/>
      <w:r>
        <w:t>in order to</w:t>
      </w:r>
      <w:proofErr w:type="gramEnd"/>
      <w:r>
        <w:t xml:space="preserve"> send the consumer such information. </w:t>
      </w:r>
    </w:p>
    <w:p w14:paraId="57DCE8A9" w14:textId="6AB42FB9" w:rsidR="005D1BED" w:rsidRPr="009636F2" w:rsidRDefault="005D1BED" w:rsidP="008E0360">
      <w:pPr>
        <w:pStyle w:val="Bullet"/>
        <w:numPr>
          <w:ilvl w:val="0"/>
          <w:numId w:val="0"/>
        </w:numPr>
        <w:spacing w:before="120"/>
        <w:ind w:left="567"/>
        <w:rPr>
          <w:b/>
          <w:bCs/>
          <w:i/>
          <w:iCs/>
          <w:sz w:val="20"/>
        </w:rPr>
      </w:pPr>
      <w:r w:rsidRPr="009636F2">
        <w:rPr>
          <w:b/>
          <w:bCs/>
          <w:i/>
          <w:iCs/>
          <w:sz w:val="20"/>
        </w:rPr>
        <w:t xml:space="preserve">[Schedule 2, item </w:t>
      </w:r>
      <w:r>
        <w:rPr>
          <w:b/>
          <w:bCs/>
          <w:i/>
          <w:iCs/>
          <w:sz w:val="20"/>
        </w:rPr>
        <w:t>20</w:t>
      </w:r>
      <w:r w:rsidRPr="009636F2">
        <w:rPr>
          <w:b/>
          <w:bCs/>
          <w:i/>
          <w:iCs/>
          <w:sz w:val="20"/>
        </w:rPr>
        <w:t xml:space="preserve">, rule </w:t>
      </w:r>
      <w:r>
        <w:rPr>
          <w:b/>
          <w:bCs/>
          <w:i/>
          <w:iCs/>
          <w:sz w:val="20"/>
        </w:rPr>
        <w:t>7.5(3)(</w:t>
      </w:r>
      <w:r w:rsidR="0017290B">
        <w:rPr>
          <w:b/>
          <w:bCs/>
          <w:i/>
          <w:iCs/>
          <w:sz w:val="20"/>
        </w:rPr>
        <w:t>d</w:t>
      </w:r>
      <w:r>
        <w:rPr>
          <w:b/>
          <w:bCs/>
          <w:i/>
          <w:iCs/>
          <w:sz w:val="20"/>
        </w:rPr>
        <w:t>)</w:t>
      </w:r>
      <w:r w:rsidRPr="009636F2">
        <w:rPr>
          <w:b/>
          <w:bCs/>
          <w:i/>
          <w:iCs/>
          <w:sz w:val="20"/>
        </w:rPr>
        <w:t>]</w:t>
      </w:r>
    </w:p>
    <w:p w14:paraId="64A08F21" w14:textId="3507E6E3" w:rsidR="005D1BED" w:rsidRDefault="00370CAF" w:rsidP="008E0360">
      <w:pPr>
        <w:pStyle w:val="base-text-paragraph"/>
        <w:ind w:left="0"/>
      </w:pPr>
      <w:r>
        <w:t xml:space="preserve">Importantly, any use or disclosure of service data by a CDR representative is taken to have been by the unrestricted accredited data recipient principal, including any use or disclosure that occurs outside the scope of the CDR representative agreement. This means that if a CDR representative uses or discloses CDR data other than for a permitted purpose, it is the principal that is liable for the contravention of the existing civil penalty provision in rule 7.6(1). </w:t>
      </w:r>
      <w:r w:rsidRPr="00226303">
        <w:rPr>
          <w:b/>
          <w:bCs/>
          <w:i/>
          <w:iCs/>
          <w:sz w:val="20"/>
        </w:rPr>
        <w:t>[Schedule 2, item</w:t>
      </w:r>
      <w:r>
        <w:rPr>
          <w:b/>
          <w:bCs/>
          <w:i/>
          <w:iCs/>
          <w:sz w:val="20"/>
        </w:rPr>
        <w:t>s</w:t>
      </w:r>
      <w:r w:rsidRPr="00226303">
        <w:rPr>
          <w:b/>
          <w:bCs/>
          <w:i/>
          <w:iCs/>
          <w:sz w:val="20"/>
        </w:rPr>
        <w:t xml:space="preserve"> </w:t>
      </w:r>
      <w:r>
        <w:rPr>
          <w:b/>
          <w:bCs/>
          <w:i/>
          <w:iCs/>
          <w:sz w:val="20"/>
        </w:rPr>
        <w:t>21</w:t>
      </w:r>
      <w:r w:rsidR="000D4CA2">
        <w:rPr>
          <w:b/>
          <w:bCs/>
          <w:i/>
          <w:iCs/>
          <w:sz w:val="20"/>
        </w:rPr>
        <w:t xml:space="preserve"> and </w:t>
      </w:r>
      <w:r>
        <w:rPr>
          <w:b/>
          <w:bCs/>
          <w:i/>
          <w:iCs/>
          <w:sz w:val="20"/>
        </w:rPr>
        <w:t>22, note to rule 7.6(2) and rule</w:t>
      </w:r>
      <w:r w:rsidR="00BC2220">
        <w:rPr>
          <w:b/>
          <w:bCs/>
          <w:i/>
          <w:iCs/>
          <w:sz w:val="20"/>
        </w:rPr>
        <w:t> </w:t>
      </w:r>
      <w:r>
        <w:rPr>
          <w:b/>
          <w:bCs/>
          <w:i/>
          <w:iCs/>
          <w:sz w:val="20"/>
        </w:rPr>
        <w:t>7.6(4)</w:t>
      </w:r>
      <w:r w:rsidRPr="00226303">
        <w:rPr>
          <w:b/>
          <w:bCs/>
          <w:i/>
          <w:iCs/>
          <w:sz w:val="20"/>
        </w:rPr>
        <w:t>]</w:t>
      </w:r>
    </w:p>
    <w:p w14:paraId="1285836A" w14:textId="11332734" w:rsidR="007E2EA4" w:rsidRDefault="007E2EA4" w:rsidP="008E0360">
      <w:pPr>
        <w:pStyle w:val="base-text-paragraph"/>
        <w:ind w:left="0"/>
      </w:pPr>
      <w:r w:rsidRPr="00ED709C">
        <w:t xml:space="preserve">The principal must update and maintain the consumer dashboard </w:t>
      </w:r>
      <w:r>
        <w:t>for requests,</w:t>
      </w:r>
      <w:r w:rsidDel="00A054DF">
        <w:t xml:space="preserve"> </w:t>
      </w:r>
      <w:r w:rsidRPr="00ED709C">
        <w:t xml:space="preserve">although the principal may delegate this responsibility to the </w:t>
      </w:r>
      <w:r>
        <w:t>representative</w:t>
      </w:r>
      <w:r w:rsidRPr="00ED709C">
        <w:t xml:space="preserve"> in the CDR representative</w:t>
      </w:r>
      <w:r w:rsidRPr="00FC6B2E">
        <w:t xml:space="preserve"> </w:t>
      </w:r>
      <w:r w:rsidRPr="00ED709C">
        <w:t>arrangement</w:t>
      </w:r>
      <w:r w:rsidR="00905064">
        <w:t>.</w:t>
      </w:r>
      <w:r w:rsidRPr="00ED709C">
        <w:t xml:space="preserve"> </w:t>
      </w:r>
      <w:r w:rsidR="00905064">
        <w:t xml:space="preserve">For the purposes of complying with its obligations under </w:t>
      </w:r>
      <w:r w:rsidR="004C150F">
        <w:t>p</w:t>
      </w:r>
      <w:r w:rsidR="00905064">
        <w:t xml:space="preserve">rivacy </w:t>
      </w:r>
      <w:r w:rsidR="004C150F">
        <w:t>s</w:t>
      </w:r>
      <w:r w:rsidR="00905064">
        <w:t>afeguard 10, a disclosure of service data by a CDR representative is taken to have been a disclosure by the CDR principal. Accordingly, the obligation to update the consumer dashboard falls on the CDR principal</w:t>
      </w:r>
      <w:r w:rsidR="00882025">
        <w:t xml:space="preserve">, </w:t>
      </w:r>
      <w:r w:rsidR="003F5A48">
        <w:t>although it may delegate</w:t>
      </w:r>
      <w:r w:rsidR="00882025">
        <w:t xml:space="preserve"> </w:t>
      </w:r>
      <w:r w:rsidR="00033D86">
        <w:t>the performance of that obligation</w:t>
      </w:r>
      <w:r w:rsidR="00882025">
        <w:t xml:space="preserve"> to the CDR representative. </w:t>
      </w:r>
      <w:r w:rsidRPr="00226303">
        <w:rPr>
          <w:b/>
          <w:bCs/>
          <w:i/>
          <w:iCs/>
          <w:sz w:val="20"/>
        </w:rPr>
        <w:t>[Schedule 2, item</w:t>
      </w:r>
      <w:r w:rsidR="00905064">
        <w:rPr>
          <w:b/>
          <w:bCs/>
          <w:i/>
          <w:iCs/>
          <w:sz w:val="20"/>
        </w:rPr>
        <w:t>s</w:t>
      </w:r>
      <w:r w:rsidRPr="00226303">
        <w:rPr>
          <w:b/>
          <w:bCs/>
          <w:i/>
          <w:iCs/>
          <w:sz w:val="20"/>
        </w:rPr>
        <w:t xml:space="preserve"> </w:t>
      </w:r>
      <w:r>
        <w:rPr>
          <w:b/>
          <w:bCs/>
          <w:i/>
          <w:iCs/>
          <w:sz w:val="20"/>
        </w:rPr>
        <w:t>6</w:t>
      </w:r>
      <w:r w:rsidR="00905064">
        <w:rPr>
          <w:b/>
          <w:bCs/>
          <w:i/>
          <w:iCs/>
          <w:sz w:val="20"/>
        </w:rPr>
        <w:t xml:space="preserve"> and 24</w:t>
      </w:r>
      <w:r w:rsidRPr="00226303">
        <w:rPr>
          <w:b/>
          <w:bCs/>
          <w:i/>
          <w:iCs/>
          <w:sz w:val="20"/>
        </w:rPr>
        <w:t>, rule</w:t>
      </w:r>
      <w:r w:rsidR="00905064">
        <w:rPr>
          <w:b/>
          <w:bCs/>
          <w:i/>
          <w:iCs/>
          <w:sz w:val="20"/>
        </w:rPr>
        <w:t>s</w:t>
      </w:r>
      <w:r w:rsidRPr="00226303">
        <w:rPr>
          <w:b/>
          <w:bCs/>
          <w:i/>
          <w:iCs/>
          <w:sz w:val="20"/>
        </w:rPr>
        <w:t xml:space="preserve"> </w:t>
      </w:r>
      <w:r>
        <w:rPr>
          <w:b/>
          <w:bCs/>
          <w:i/>
          <w:iCs/>
          <w:sz w:val="20"/>
        </w:rPr>
        <w:t>1.14(5)</w:t>
      </w:r>
      <w:r w:rsidR="00905064">
        <w:rPr>
          <w:b/>
          <w:bCs/>
          <w:i/>
          <w:iCs/>
          <w:sz w:val="20"/>
        </w:rPr>
        <w:t xml:space="preserve"> and 7.9(5)</w:t>
      </w:r>
      <w:r w:rsidRPr="00226303">
        <w:rPr>
          <w:b/>
          <w:bCs/>
          <w:i/>
          <w:iCs/>
          <w:sz w:val="20"/>
        </w:rPr>
        <w:t>]</w:t>
      </w:r>
    </w:p>
    <w:p w14:paraId="2855BF50" w14:textId="539F8ABE" w:rsidR="008F515A" w:rsidRDefault="008F515A" w:rsidP="008E0360">
      <w:pPr>
        <w:pStyle w:val="base-text-paragraph"/>
        <w:ind w:left="0"/>
      </w:pPr>
      <w:r>
        <w:t xml:space="preserve">For the purposes of complying with its obligations under </w:t>
      </w:r>
      <w:r w:rsidR="004C150F">
        <w:t>p</w:t>
      </w:r>
      <w:r>
        <w:t xml:space="preserve">rivacy </w:t>
      </w:r>
      <w:r w:rsidR="004C150F">
        <w:t>s</w:t>
      </w:r>
      <w:r>
        <w:t>afeguard 1 (the open and transparent management of CDR data), the CDR principal must include a list of its CDR representatives in its policy about the management of CDR data</w:t>
      </w:r>
      <w:r w:rsidR="00215D5D">
        <w:t xml:space="preserve"> and a description of the goods</w:t>
      </w:r>
      <w:r w:rsidR="00D20BE7">
        <w:t xml:space="preserve"> and </w:t>
      </w:r>
      <w:r w:rsidR="00215D5D">
        <w:t>services they provide to consumers</w:t>
      </w:r>
      <w:r>
        <w:t xml:space="preserve">. </w:t>
      </w:r>
      <w:r w:rsidRPr="00226303">
        <w:rPr>
          <w:b/>
          <w:bCs/>
          <w:i/>
          <w:iCs/>
          <w:sz w:val="20"/>
        </w:rPr>
        <w:t>[Schedule 2, item</w:t>
      </w:r>
      <w:r w:rsidR="00882025">
        <w:rPr>
          <w:b/>
          <w:bCs/>
          <w:i/>
          <w:iCs/>
          <w:sz w:val="20"/>
        </w:rPr>
        <w:t>s</w:t>
      </w:r>
      <w:r w:rsidRPr="00226303">
        <w:rPr>
          <w:b/>
          <w:bCs/>
          <w:i/>
          <w:iCs/>
          <w:sz w:val="20"/>
        </w:rPr>
        <w:t xml:space="preserve"> </w:t>
      </w:r>
      <w:r>
        <w:rPr>
          <w:b/>
          <w:bCs/>
          <w:i/>
          <w:iCs/>
          <w:sz w:val="20"/>
        </w:rPr>
        <w:t>16</w:t>
      </w:r>
      <w:r w:rsidR="00D20BE7">
        <w:rPr>
          <w:b/>
          <w:bCs/>
          <w:i/>
          <w:iCs/>
          <w:sz w:val="20"/>
        </w:rPr>
        <w:t xml:space="preserve"> and </w:t>
      </w:r>
      <w:r w:rsidR="00882025">
        <w:rPr>
          <w:b/>
          <w:bCs/>
          <w:i/>
          <w:iCs/>
          <w:sz w:val="20"/>
        </w:rPr>
        <w:t>17</w:t>
      </w:r>
      <w:r w:rsidRPr="00226303">
        <w:rPr>
          <w:b/>
          <w:bCs/>
          <w:i/>
          <w:iCs/>
          <w:sz w:val="20"/>
        </w:rPr>
        <w:t>,</w:t>
      </w:r>
      <w:r w:rsidR="00D20BE7">
        <w:rPr>
          <w:b/>
          <w:bCs/>
          <w:i/>
          <w:iCs/>
          <w:sz w:val="20"/>
        </w:rPr>
        <w:t xml:space="preserve"> </w:t>
      </w:r>
      <w:r w:rsidRPr="00226303">
        <w:rPr>
          <w:b/>
          <w:bCs/>
          <w:i/>
          <w:iCs/>
          <w:sz w:val="20"/>
        </w:rPr>
        <w:t>rule</w:t>
      </w:r>
      <w:r w:rsidR="00D20BE7">
        <w:rPr>
          <w:b/>
          <w:bCs/>
          <w:i/>
          <w:iCs/>
          <w:sz w:val="20"/>
        </w:rPr>
        <w:t>s</w:t>
      </w:r>
      <w:r>
        <w:rPr>
          <w:b/>
          <w:bCs/>
          <w:i/>
          <w:iCs/>
          <w:sz w:val="20"/>
        </w:rPr>
        <w:t xml:space="preserve"> 7.2(</w:t>
      </w:r>
      <w:proofErr w:type="gramStart"/>
      <w:r>
        <w:rPr>
          <w:b/>
          <w:bCs/>
          <w:i/>
          <w:iCs/>
          <w:sz w:val="20"/>
        </w:rPr>
        <w:t>4)(</w:t>
      </w:r>
      <w:proofErr w:type="gramEnd"/>
      <w:r>
        <w:rPr>
          <w:b/>
          <w:bCs/>
          <w:i/>
          <w:iCs/>
          <w:sz w:val="20"/>
        </w:rPr>
        <w:t>ac)</w:t>
      </w:r>
      <w:r w:rsidR="0017290B">
        <w:rPr>
          <w:b/>
          <w:bCs/>
          <w:i/>
          <w:iCs/>
          <w:sz w:val="20"/>
        </w:rPr>
        <w:t>-(ad)</w:t>
      </w:r>
      <w:r w:rsidR="00882025">
        <w:rPr>
          <w:b/>
          <w:bCs/>
          <w:i/>
          <w:iCs/>
          <w:sz w:val="20"/>
        </w:rPr>
        <w:t xml:space="preserve"> and 7.2(8)</w:t>
      </w:r>
      <w:r w:rsidRPr="00226303">
        <w:rPr>
          <w:b/>
          <w:bCs/>
          <w:i/>
          <w:iCs/>
          <w:sz w:val="20"/>
        </w:rPr>
        <w:t>]</w:t>
      </w:r>
    </w:p>
    <w:p w14:paraId="12EF527B" w14:textId="77777777" w:rsidR="00A750E2" w:rsidRDefault="008F515A" w:rsidP="008E0360">
      <w:pPr>
        <w:pStyle w:val="base-text-paragraph"/>
        <w:ind w:left="0"/>
      </w:pPr>
      <w:r>
        <w:t xml:space="preserve">Where a </w:t>
      </w:r>
      <w:r w:rsidR="00A750E2">
        <w:t xml:space="preserve">CDR </w:t>
      </w:r>
      <w:r>
        <w:t>representative fails to comply with</w:t>
      </w:r>
      <w:r w:rsidR="00A750E2">
        <w:t>:</w:t>
      </w:r>
      <w:r>
        <w:t xml:space="preserve"> </w:t>
      </w:r>
    </w:p>
    <w:p w14:paraId="3027B689" w14:textId="2141DD29" w:rsidR="00A750E2" w:rsidRDefault="008F515A" w:rsidP="008E0360">
      <w:pPr>
        <w:pStyle w:val="Bullet"/>
        <w:spacing w:before="120"/>
      </w:pPr>
      <w:r>
        <w:t>privacy safeguard</w:t>
      </w:r>
      <w:r w:rsidR="00A750E2">
        <w:t xml:space="preserve"> </w:t>
      </w:r>
      <w:r>
        <w:t>2</w:t>
      </w:r>
      <w:r w:rsidR="00002F4F">
        <w:t xml:space="preserve"> (section 56E</w:t>
      </w:r>
      <w:r w:rsidR="006F5046">
        <w:t>E</w:t>
      </w:r>
      <w:r w:rsidR="00002F4F">
        <w:t xml:space="preserve"> of the Act</w:t>
      </w:r>
      <w:proofErr w:type="gramStart"/>
      <w:r w:rsidR="00002F4F">
        <w:t>)</w:t>
      </w:r>
      <w:r w:rsidR="00A750E2">
        <w:t>;</w:t>
      </w:r>
      <w:proofErr w:type="gramEnd"/>
      <w:r>
        <w:t xml:space="preserve"> </w:t>
      </w:r>
    </w:p>
    <w:p w14:paraId="7009C566" w14:textId="7D4AD9BC" w:rsidR="00A750E2" w:rsidRDefault="00002F4F" w:rsidP="008E0360">
      <w:pPr>
        <w:pStyle w:val="Bullet"/>
        <w:spacing w:before="120"/>
      </w:pPr>
      <w:r>
        <w:t xml:space="preserve">privacy safeguard </w:t>
      </w:r>
      <w:r w:rsidR="008F515A">
        <w:t>4</w:t>
      </w:r>
      <w:r>
        <w:t xml:space="preserve"> (section 56EG) of the Act</w:t>
      </w:r>
      <w:proofErr w:type="gramStart"/>
      <w:r>
        <w:t>)</w:t>
      </w:r>
      <w:r w:rsidR="006F5046">
        <w:t>;</w:t>
      </w:r>
      <w:proofErr w:type="gramEnd"/>
      <w:r w:rsidR="008F515A">
        <w:t xml:space="preserve"> </w:t>
      </w:r>
    </w:p>
    <w:p w14:paraId="4B037C0A" w14:textId="046B8C39" w:rsidR="00A750E2" w:rsidRDefault="00002F4F" w:rsidP="008E0360">
      <w:pPr>
        <w:pStyle w:val="Bullet"/>
        <w:spacing w:before="120"/>
      </w:pPr>
      <w:r>
        <w:t xml:space="preserve">privacy safeguard </w:t>
      </w:r>
      <w:r w:rsidR="00BC7EE0">
        <w:t>8</w:t>
      </w:r>
      <w:r>
        <w:t xml:space="preserve"> (section 56EK of the Act</w:t>
      </w:r>
      <w:proofErr w:type="gramStart"/>
      <w:r>
        <w:t>)</w:t>
      </w:r>
      <w:r w:rsidR="006F5046">
        <w:t>;</w:t>
      </w:r>
      <w:proofErr w:type="gramEnd"/>
      <w:r w:rsidR="00BC7EE0">
        <w:t xml:space="preserve"> </w:t>
      </w:r>
    </w:p>
    <w:p w14:paraId="30A35798" w14:textId="66F8BB4F" w:rsidR="00A750E2" w:rsidRDefault="00002F4F" w:rsidP="008E0360">
      <w:pPr>
        <w:pStyle w:val="Bullet"/>
        <w:spacing w:before="120"/>
      </w:pPr>
      <w:r>
        <w:t xml:space="preserve">privacy safeguard </w:t>
      </w:r>
      <w:r w:rsidR="00BC7EE0">
        <w:t>9</w:t>
      </w:r>
      <w:r>
        <w:t xml:space="preserve"> (section 56EL of the Act</w:t>
      </w:r>
      <w:proofErr w:type="gramStart"/>
      <w:r>
        <w:t>)</w:t>
      </w:r>
      <w:r w:rsidR="006F5046">
        <w:t>;</w:t>
      </w:r>
      <w:proofErr w:type="gramEnd"/>
      <w:r w:rsidR="00BC7EE0">
        <w:t xml:space="preserve"> </w:t>
      </w:r>
    </w:p>
    <w:p w14:paraId="5B4617B3" w14:textId="4DEE8F2E" w:rsidR="00A750E2" w:rsidRDefault="00002F4F" w:rsidP="008E0360">
      <w:pPr>
        <w:pStyle w:val="Bullet"/>
        <w:spacing w:before="120"/>
      </w:pPr>
      <w:r>
        <w:t xml:space="preserve">privacy safeguard </w:t>
      </w:r>
      <w:r w:rsidR="00BC7EE0">
        <w:t>11</w:t>
      </w:r>
      <w:r>
        <w:t>(section 56</w:t>
      </w:r>
      <w:proofErr w:type="gramStart"/>
      <w:r>
        <w:t>EN(</w:t>
      </w:r>
      <w:proofErr w:type="gramEnd"/>
      <w:r>
        <w:t>2) of the Act)</w:t>
      </w:r>
      <w:r w:rsidR="006F5046">
        <w:t>;</w:t>
      </w:r>
      <w:r w:rsidR="00BC7EE0">
        <w:t xml:space="preserve"> </w:t>
      </w:r>
    </w:p>
    <w:p w14:paraId="7E8BB540" w14:textId="26C7F0DB" w:rsidR="00A750E2" w:rsidRDefault="00002F4F" w:rsidP="008E0360">
      <w:pPr>
        <w:pStyle w:val="Bullet"/>
        <w:spacing w:before="120"/>
      </w:pPr>
      <w:r>
        <w:t xml:space="preserve">privacy safeguard </w:t>
      </w:r>
      <w:r w:rsidR="00BC7EE0">
        <w:t>12</w:t>
      </w:r>
      <w:r>
        <w:t xml:space="preserve"> (section 56</w:t>
      </w:r>
      <w:proofErr w:type="gramStart"/>
      <w:r>
        <w:t>EO(</w:t>
      </w:r>
      <w:proofErr w:type="gramEnd"/>
      <w:r>
        <w:t>2) of the Act)</w:t>
      </w:r>
      <w:r w:rsidR="00A750E2">
        <w:t>;</w:t>
      </w:r>
      <w:r w:rsidR="00BC7EE0">
        <w:t xml:space="preserve"> </w:t>
      </w:r>
      <w:r w:rsidR="006F5046">
        <w:t>or</w:t>
      </w:r>
      <w:r w:rsidR="00BC7EE0">
        <w:t xml:space="preserve"> </w:t>
      </w:r>
    </w:p>
    <w:p w14:paraId="1864FFFF" w14:textId="658A384A" w:rsidR="00A750E2" w:rsidRDefault="00002F4F" w:rsidP="008E0360">
      <w:pPr>
        <w:pStyle w:val="Bullet"/>
        <w:spacing w:before="120"/>
      </w:pPr>
      <w:r>
        <w:t xml:space="preserve">privacy safeguard </w:t>
      </w:r>
      <w:r w:rsidR="00BC7EE0">
        <w:t>13</w:t>
      </w:r>
      <w:r w:rsidR="00A750E2">
        <w:t xml:space="preserve"> (section 56</w:t>
      </w:r>
      <w:proofErr w:type="gramStart"/>
      <w:r w:rsidR="00A750E2">
        <w:t>EP(</w:t>
      </w:r>
      <w:proofErr w:type="gramEnd"/>
      <w:r w:rsidR="00A750E2">
        <w:t>2) of the Act)</w:t>
      </w:r>
    </w:p>
    <w:p w14:paraId="63B4D956" w14:textId="00A4CE91" w:rsidR="008F515A" w:rsidRDefault="00A750E2" w:rsidP="008E0360">
      <w:pPr>
        <w:pStyle w:val="Bullet"/>
        <w:numPr>
          <w:ilvl w:val="0"/>
          <w:numId w:val="0"/>
        </w:numPr>
        <w:spacing w:before="120"/>
      </w:pPr>
      <w:r>
        <w:t>as if it were an accredited person,</w:t>
      </w:r>
      <w:r w:rsidR="008F515A">
        <w:t xml:space="preserve"> this is also deemed to be a breach of </w:t>
      </w:r>
      <w:r w:rsidR="006F5046">
        <w:t xml:space="preserve">each relevant rule </w:t>
      </w:r>
      <w:r w:rsidR="008F515A">
        <w:t xml:space="preserve">by the </w:t>
      </w:r>
      <w:r>
        <w:t xml:space="preserve">CDR </w:t>
      </w:r>
      <w:r w:rsidR="008F515A">
        <w:t>principal</w:t>
      </w:r>
      <w:r>
        <w:t xml:space="preserve">. </w:t>
      </w:r>
      <w:r w:rsidR="002F2E76">
        <w:t xml:space="preserve">It is irrelevant whether the </w:t>
      </w:r>
      <w:r w:rsidR="00370CAF">
        <w:t>breach occurred within the scope of the CDR representative arrangement.</w:t>
      </w:r>
      <w:r>
        <w:t xml:space="preserve"> </w:t>
      </w:r>
      <w:r w:rsidRPr="00A750E2">
        <w:rPr>
          <w:b/>
          <w:bCs/>
          <w:i/>
          <w:iCs/>
          <w:sz w:val="20"/>
        </w:rPr>
        <w:t xml:space="preserve">[Schedule 2, items </w:t>
      </w:r>
      <w:r w:rsidR="000838C7">
        <w:rPr>
          <w:b/>
          <w:bCs/>
          <w:i/>
          <w:iCs/>
          <w:sz w:val="20"/>
        </w:rPr>
        <w:t xml:space="preserve">18, 23, </w:t>
      </w:r>
      <w:r w:rsidR="00905064">
        <w:rPr>
          <w:b/>
          <w:bCs/>
          <w:i/>
          <w:iCs/>
          <w:sz w:val="20"/>
        </w:rPr>
        <w:t>and 25</w:t>
      </w:r>
      <w:r w:rsidR="00D20BE7">
        <w:rPr>
          <w:b/>
          <w:bCs/>
          <w:i/>
          <w:iCs/>
          <w:sz w:val="20"/>
        </w:rPr>
        <w:t xml:space="preserve"> to </w:t>
      </w:r>
      <w:r w:rsidR="00905064">
        <w:rPr>
          <w:b/>
          <w:bCs/>
          <w:i/>
          <w:iCs/>
          <w:sz w:val="20"/>
        </w:rPr>
        <w:t>29,</w:t>
      </w:r>
      <w:r w:rsidRPr="00A750E2">
        <w:rPr>
          <w:b/>
          <w:bCs/>
          <w:i/>
          <w:iCs/>
          <w:sz w:val="20"/>
        </w:rPr>
        <w:t xml:space="preserve"> rule</w:t>
      </w:r>
      <w:r w:rsidR="00002F4F">
        <w:rPr>
          <w:b/>
          <w:bCs/>
          <w:i/>
          <w:iCs/>
          <w:sz w:val="20"/>
        </w:rPr>
        <w:t>s</w:t>
      </w:r>
      <w:r w:rsidR="00BC2220">
        <w:rPr>
          <w:b/>
          <w:bCs/>
          <w:i/>
          <w:iCs/>
          <w:sz w:val="20"/>
        </w:rPr>
        <w:t> </w:t>
      </w:r>
      <w:r w:rsidR="006F5046">
        <w:rPr>
          <w:b/>
          <w:bCs/>
          <w:i/>
          <w:iCs/>
          <w:sz w:val="20"/>
        </w:rPr>
        <w:t xml:space="preserve">7.3, </w:t>
      </w:r>
      <w:r w:rsidR="00002F4F">
        <w:rPr>
          <w:b/>
          <w:bCs/>
          <w:i/>
          <w:iCs/>
          <w:sz w:val="20"/>
        </w:rPr>
        <w:t xml:space="preserve">7.3A, 7.8A, 7.10A, 7.11(2), </w:t>
      </w:r>
      <w:r w:rsidR="00905064">
        <w:rPr>
          <w:b/>
          <w:bCs/>
          <w:i/>
          <w:iCs/>
          <w:sz w:val="20"/>
        </w:rPr>
        <w:t xml:space="preserve">7.12(2)(b), </w:t>
      </w:r>
      <w:r w:rsidR="00002F4F">
        <w:rPr>
          <w:b/>
          <w:bCs/>
          <w:i/>
          <w:iCs/>
          <w:sz w:val="20"/>
        </w:rPr>
        <w:t xml:space="preserve">7.12(3) </w:t>
      </w:r>
      <w:r w:rsidR="00905064">
        <w:rPr>
          <w:b/>
          <w:bCs/>
          <w:i/>
          <w:iCs/>
          <w:sz w:val="20"/>
        </w:rPr>
        <w:t xml:space="preserve">and </w:t>
      </w:r>
      <w:r w:rsidRPr="00A750E2">
        <w:rPr>
          <w:b/>
          <w:bCs/>
          <w:i/>
          <w:iCs/>
          <w:sz w:val="20"/>
        </w:rPr>
        <w:t>7.16]</w:t>
      </w:r>
    </w:p>
    <w:p w14:paraId="07553F16" w14:textId="5ABEA264" w:rsidR="00905064" w:rsidRPr="00B77A91" w:rsidDel="00BD24F7" w:rsidRDefault="006F5046" w:rsidP="008E0360">
      <w:pPr>
        <w:pStyle w:val="base-text-paragraph"/>
        <w:ind w:left="0"/>
        <w:rPr>
          <w:b/>
          <w:bCs/>
          <w:i/>
          <w:iCs/>
          <w:sz w:val="18"/>
          <w:szCs w:val="18"/>
        </w:rPr>
      </w:pPr>
      <w:r>
        <w:t xml:space="preserve">If a CDR representative fails to comply with one of the above privacy safeguards, its CDR principal is liable for </w:t>
      </w:r>
      <w:r w:rsidR="00E02C2D">
        <w:t>the maximum civil penalty for CDR Rule breaches. This</w:t>
      </w:r>
      <w:r>
        <w:t xml:space="preserve"> reflects the critical importance of the privacy safeguards to the CDR regime. These </w:t>
      </w:r>
      <w:r>
        <w:lastRenderedPageBreak/>
        <w:t xml:space="preserve">penalties are intended to put accredited persons who propose to become CDR principals on notice to ensure </w:t>
      </w:r>
      <w:r w:rsidR="000838C7">
        <w:t xml:space="preserve">that their CDR representatives properly protect any CDR data they handle, </w:t>
      </w:r>
      <w:proofErr w:type="gramStart"/>
      <w:r w:rsidR="000838C7">
        <w:t>use</w:t>
      </w:r>
      <w:proofErr w:type="gramEnd"/>
      <w:r w:rsidR="000838C7">
        <w:t xml:space="preserve"> or disclose. </w:t>
      </w:r>
      <w:r w:rsidR="0017290B">
        <w:rPr>
          <w:b/>
          <w:bCs/>
          <w:i/>
          <w:iCs/>
          <w:sz w:val="18"/>
          <w:szCs w:val="18"/>
        </w:rPr>
        <w:t>[Schedule 6, item 21, rules 9.8(</w:t>
      </w:r>
      <w:proofErr w:type="spellStart"/>
      <w:r w:rsidR="0017290B">
        <w:rPr>
          <w:b/>
          <w:bCs/>
          <w:i/>
          <w:iCs/>
          <w:sz w:val="18"/>
          <w:szCs w:val="18"/>
        </w:rPr>
        <w:t>fff</w:t>
      </w:r>
      <w:proofErr w:type="spellEnd"/>
      <w:r w:rsidR="0017290B">
        <w:rPr>
          <w:b/>
          <w:bCs/>
          <w:i/>
          <w:iCs/>
          <w:sz w:val="18"/>
          <w:szCs w:val="18"/>
        </w:rPr>
        <w:t>)-(</w:t>
      </w:r>
      <w:proofErr w:type="spellStart"/>
      <w:r w:rsidR="0017290B">
        <w:rPr>
          <w:b/>
          <w:bCs/>
          <w:i/>
          <w:iCs/>
          <w:sz w:val="18"/>
          <w:szCs w:val="18"/>
        </w:rPr>
        <w:t>ggg</w:t>
      </w:r>
      <w:proofErr w:type="spellEnd"/>
      <w:r w:rsidR="0017290B">
        <w:rPr>
          <w:b/>
          <w:bCs/>
          <w:i/>
          <w:iCs/>
          <w:sz w:val="18"/>
          <w:szCs w:val="18"/>
        </w:rPr>
        <w:t>), (iii)-(</w:t>
      </w:r>
      <w:proofErr w:type="spellStart"/>
      <w:r w:rsidR="0017290B">
        <w:rPr>
          <w:b/>
          <w:bCs/>
          <w:i/>
          <w:iCs/>
          <w:sz w:val="18"/>
          <w:szCs w:val="18"/>
        </w:rPr>
        <w:t>kkk</w:t>
      </w:r>
      <w:proofErr w:type="spellEnd"/>
      <w:r w:rsidR="0017290B">
        <w:rPr>
          <w:b/>
          <w:bCs/>
          <w:i/>
          <w:iCs/>
          <w:sz w:val="18"/>
          <w:szCs w:val="18"/>
        </w:rPr>
        <w:t>) and (</w:t>
      </w:r>
      <w:proofErr w:type="spellStart"/>
      <w:r w:rsidR="0017290B">
        <w:rPr>
          <w:b/>
          <w:bCs/>
          <w:i/>
          <w:iCs/>
          <w:sz w:val="18"/>
          <w:szCs w:val="18"/>
        </w:rPr>
        <w:t>nnn</w:t>
      </w:r>
      <w:proofErr w:type="spellEnd"/>
      <w:r w:rsidR="0017290B">
        <w:rPr>
          <w:b/>
          <w:bCs/>
          <w:i/>
          <w:iCs/>
          <w:sz w:val="18"/>
          <w:szCs w:val="18"/>
        </w:rPr>
        <w:t>)]</w:t>
      </w:r>
    </w:p>
    <w:p w14:paraId="00390E6F" w14:textId="66DBAC96" w:rsidR="009D1513" w:rsidRDefault="00A17557" w:rsidP="008E0360">
      <w:pPr>
        <w:pStyle w:val="ExampleHeading"/>
      </w:pPr>
      <w:bookmarkStart w:id="8" w:name="_Hlk82607458"/>
      <w:r>
        <w:t xml:space="preserve">Example </w:t>
      </w:r>
      <w:r w:rsidR="00102861">
        <w:t>3</w:t>
      </w:r>
      <w:r>
        <w:t xml:space="preserve">: </w:t>
      </w:r>
      <w:r w:rsidR="009D1513" w:rsidRPr="00124D2E">
        <w:t>White</w:t>
      </w:r>
      <w:r w:rsidR="00876161">
        <w:t>-</w:t>
      </w:r>
      <w:r w:rsidR="009D1513" w:rsidRPr="00124D2E">
        <w:t>labelled banking services with CDR functionality </w:t>
      </w:r>
    </w:p>
    <w:p w14:paraId="27EB7505" w14:textId="77777777" w:rsidR="009D1513" w:rsidRPr="00124D2E" w:rsidRDefault="009D1513" w:rsidP="008E0360">
      <w:pPr>
        <w:pStyle w:val="ExampleHeading"/>
        <w:rPr>
          <w:b w:val="0"/>
          <w:bCs/>
        </w:rPr>
      </w:pPr>
      <w:r w:rsidRPr="00124D2E">
        <w:rPr>
          <w:b w:val="0"/>
          <w:bCs/>
        </w:rPr>
        <w:t>Bank A is an unrestricted accredited person. It provides goods and services directly to</w:t>
      </w:r>
      <w:r w:rsidRPr="00124D2E" w:rsidDel="00AC7376">
        <w:rPr>
          <w:b w:val="0"/>
          <w:bCs/>
        </w:rPr>
        <w:t xml:space="preserve"> </w:t>
      </w:r>
      <w:r w:rsidRPr="00124D2E">
        <w:rPr>
          <w:b w:val="0"/>
          <w:bCs/>
        </w:rPr>
        <w:t xml:space="preserve">consumers under its Bank A brand. However, to grow its deposit base, Bank A is willing to take on liability for third parties that use its underlying banking infrastructure to provide consumers with </w:t>
      </w:r>
      <w:r>
        <w:rPr>
          <w:b w:val="0"/>
          <w:bCs/>
        </w:rPr>
        <w:t>banking products that also have added features that use</w:t>
      </w:r>
      <w:r w:rsidRPr="00124D2E">
        <w:rPr>
          <w:b w:val="0"/>
          <w:bCs/>
        </w:rPr>
        <w:t xml:space="preserve"> CDR data.  </w:t>
      </w:r>
    </w:p>
    <w:p w14:paraId="0EF4F93E" w14:textId="54BB4F81" w:rsidR="009D1513" w:rsidRPr="00124D2E" w:rsidRDefault="009D1513" w:rsidP="008E0360">
      <w:pPr>
        <w:pStyle w:val="ExampleHeading"/>
        <w:rPr>
          <w:b w:val="0"/>
          <w:bCs/>
        </w:rPr>
      </w:pPr>
      <w:r w:rsidRPr="00124D2E">
        <w:rPr>
          <w:b w:val="0"/>
          <w:bCs/>
        </w:rPr>
        <w:t>Bank A partners with Fintech B. Fintech B markets a service to consumers where they can open a Fintech B branded bank account which is </w:t>
      </w:r>
      <w:proofErr w:type="gramStart"/>
      <w:r w:rsidRPr="00124D2E">
        <w:rPr>
          <w:b w:val="0"/>
          <w:bCs/>
        </w:rPr>
        <w:t>white</w:t>
      </w:r>
      <w:r w:rsidR="00C62E42">
        <w:rPr>
          <w:b w:val="0"/>
          <w:bCs/>
        </w:rPr>
        <w:t>-</w:t>
      </w:r>
      <w:r w:rsidRPr="00124D2E">
        <w:rPr>
          <w:b w:val="0"/>
          <w:bCs/>
        </w:rPr>
        <w:t>labelled</w:t>
      </w:r>
      <w:proofErr w:type="gramEnd"/>
      <w:r w:rsidRPr="00124D2E">
        <w:rPr>
          <w:b w:val="0"/>
          <w:bCs/>
        </w:rPr>
        <w:t xml:space="preserve"> by Bank A, and see all their existing bank account balances in their Fintech B app (including from other banks). Bank A collects CDR data </w:t>
      </w:r>
      <w:proofErr w:type="gramStart"/>
      <w:r w:rsidRPr="00124D2E">
        <w:rPr>
          <w:b w:val="0"/>
          <w:bCs/>
        </w:rPr>
        <w:t>in order for</w:t>
      </w:r>
      <w:proofErr w:type="gramEnd"/>
      <w:r w:rsidRPr="00124D2E">
        <w:rPr>
          <w:b w:val="0"/>
          <w:bCs/>
        </w:rPr>
        <w:t xml:space="preserve"> Fintech B to display the </w:t>
      </w:r>
      <w:r>
        <w:rPr>
          <w:b w:val="0"/>
          <w:bCs/>
        </w:rPr>
        <w:t>aggregated</w:t>
      </w:r>
      <w:r w:rsidRPr="00124D2E">
        <w:rPr>
          <w:b w:val="0"/>
          <w:bCs/>
        </w:rPr>
        <w:t> account</w:t>
      </w:r>
      <w:r>
        <w:rPr>
          <w:b w:val="0"/>
          <w:bCs/>
        </w:rPr>
        <w:t>s and</w:t>
      </w:r>
      <w:r w:rsidRPr="00124D2E">
        <w:rPr>
          <w:b w:val="0"/>
          <w:bCs/>
        </w:rPr>
        <w:t xml:space="preserve"> balances.  </w:t>
      </w:r>
    </w:p>
    <w:p w14:paraId="670A78C4" w14:textId="77777777" w:rsidR="009D1513" w:rsidRPr="00124D2E" w:rsidRDefault="009D1513" w:rsidP="008E0360">
      <w:pPr>
        <w:pStyle w:val="ExampleHeading"/>
        <w:rPr>
          <w:b w:val="0"/>
          <w:bCs/>
        </w:rPr>
      </w:pPr>
      <w:r w:rsidRPr="00124D2E">
        <w:rPr>
          <w:b w:val="0"/>
          <w:bCs/>
        </w:rPr>
        <w:t xml:space="preserve">Sponsorship does not suit Bank A and Fintech B because Fintech B does not seek to become accredited. However, Bank A is prepared to </w:t>
      </w:r>
      <w:r>
        <w:rPr>
          <w:b w:val="0"/>
          <w:bCs/>
        </w:rPr>
        <w:t>assume</w:t>
      </w:r>
      <w:r w:rsidRPr="00124D2E">
        <w:rPr>
          <w:b w:val="0"/>
          <w:bCs/>
        </w:rPr>
        <w:t xml:space="preserve"> full liability for Fintech B’s use of CDR data</w:t>
      </w:r>
      <w:r>
        <w:rPr>
          <w:b w:val="0"/>
          <w:bCs/>
        </w:rPr>
        <w:t xml:space="preserve"> as part of its commercial arrangement with Fintech B</w:t>
      </w:r>
      <w:r w:rsidRPr="00124D2E">
        <w:rPr>
          <w:b w:val="0"/>
          <w:bCs/>
        </w:rPr>
        <w:t xml:space="preserve"> and therefore</w:t>
      </w:r>
      <w:r>
        <w:rPr>
          <w:b w:val="0"/>
          <w:bCs/>
        </w:rPr>
        <w:t xml:space="preserve"> agrees</w:t>
      </w:r>
      <w:r w:rsidRPr="00124D2E">
        <w:rPr>
          <w:b w:val="0"/>
          <w:bCs/>
        </w:rPr>
        <w:t xml:space="preserve"> to register Fintech B as its CDR representative.  </w:t>
      </w:r>
    </w:p>
    <w:p w14:paraId="17C7EEB7" w14:textId="7892D383" w:rsidR="009D1513" w:rsidRPr="00124D2E" w:rsidRDefault="00A17557" w:rsidP="008E0360">
      <w:pPr>
        <w:pStyle w:val="ExampleHeading"/>
      </w:pPr>
      <w:r>
        <w:t xml:space="preserve">Example </w:t>
      </w:r>
      <w:r w:rsidR="00102861">
        <w:t>4</w:t>
      </w:r>
      <w:r>
        <w:t xml:space="preserve">: </w:t>
      </w:r>
      <w:r w:rsidR="009D1513" w:rsidRPr="00124D2E">
        <w:t>‘CDR as a service’</w:t>
      </w:r>
    </w:p>
    <w:p w14:paraId="44EFA9AB" w14:textId="5695789C" w:rsidR="0023193F" w:rsidRDefault="00373FB6" w:rsidP="008E0360">
      <w:pPr>
        <w:pStyle w:val="ExampleHeading"/>
        <w:rPr>
          <w:b w:val="0"/>
          <w:bCs/>
        </w:rPr>
      </w:pPr>
      <w:proofErr w:type="spellStart"/>
      <w:r>
        <w:rPr>
          <w:b w:val="0"/>
          <w:bCs/>
        </w:rPr>
        <w:t>Fastroad</w:t>
      </w:r>
      <w:proofErr w:type="spellEnd"/>
      <w:r>
        <w:rPr>
          <w:b w:val="0"/>
          <w:bCs/>
        </w:rPr>
        <w:t xml:space="preserve"> </w:t>
      </w:r>
      <w:r w:rsidR="0023193F">
        <w:rPr>
          <w:b w:val="0"/>
          <w:bCs/>
        </w:rPr>
        <w:t>is a</w:t>
      </w:r>
      <w:r w:rsidR="00D040B4">
        <w:rPr>
          <w:b w:val="0"/>
          <w:bCs/>
        </w:rPr>
        <w:t xml:space="preserve"> fintech with unrestricted accreditation that provides </w:t>
      </w:r>
      <w:r w:rsidR="00BC5EF5">
        <w:rPr>
          <w:b w:val="0"/>
          <w:bCs/>
        </w:rPr>
        <w:t xml:space="preserve">a packaged suite of CDR services </w:t>
      </w:r>
      <w:r w:rsidR="003F5A48">
        <w:rPr>
          <w:b w:val="0"/>
          <w:bCs/>
        </w:rPr>
        <w:t xml:space="preserve">to which its customers may add </w:t>
      </w:r>
      <w:proofErr w:type="gramStart"/>
      <w:r w:rsidR="003F5A48">
        <w:rPr>
          <w:b w:val="0"/>
          <w:bCs/>
        </w:rPr>
        <w:t>branding</w:t>
      </w:r>
      <w:r w:rsidR="00FD145B">
        <w:rPr>
          <w:b w:val="0"/>
          <w:bCs/>
        </w:rPr>
        <w:t xml:space="preserve"> .</w:t>
      </w:r>
      <w:proofErr w:type="gramEnd"/>
      <w:r w:rsidR="00D040B4">
        <w:rPr>
          <w:b w:val="0"/>
          <w:bCs/>
        </w:rPr>
        <w:t xml:space="preserve"> </w:t>
      </w:r>
      <w:r w:rsidR="006C17A0">
        <w:rPr>
          <w:b w:val="0"/>
          <w:bCs/>
        </w:rPr>
        <w:t>In this instance, that</w:t>
      </w:r>
      <w:r w:rsidR="00D040B4">
        <w:rPr>
          <w:b w:val="0"/>
          <w:bCs/>
        </w:rPr>
        <w:t xml:space="preserve"> includes providing the infrastructure for collection, consent screens, CDR data storage, and dashboards.</w:t>
      </w:r>
      <w:r w:rsidR="00A17379">
        <w:rPr>
          <w:b w:val="0"/>
          <w:bCs/>
        </w:rPr>
        <w:t xml:space="preserve"> </w:t>
      </w:r>
      <w:proofErr w:type="spellStart"/>
      <w:r>
        <w:rPr>
          <w:b w:val="0"/>
          <w:bCs/>
        </w:rPr>
        <w:t>Jamborine</w:t>
      </w:r>
      <w:proofErr w:type="spellEnd"/>
      <w:r w:rsidR="00A17379">
        <w:rPr>
          <w:b w:val="0"/>
          <w:bCs/>
        </w:rPr>
        <w:t xml:space="preserve"> </w:t>
      </w:r>
      <w:r w:rsidR="00815B3B">
        <w:rPr>
          <w:b w:val="0"/>
          <w:bCs/>
        </w:rPr>
        <w:t xml:space="preserve">is an unaccredited business that </w:t>
      </w:r>
      <w:r w:rsidR="008677CE">
        <w:rPr>
          <w:b w:val="0"/>
          <w:bCs/>
        </w:rPr>
        <w:t>offers a budgeting service</w:t>
      </w:r>
      <w:r w:rsidR="00C941ED">
        <w:rPr>
          <w:b w:val="0"/>
          <w:bCs/>
        </w:rPr>
        <w:t xml:space="preserve">. </w:t>
      </w:r>
      <w:proofErr w:type="spellStart"/>
      <w:r>
        <w:rPr>
          <w:b w:val="0"/>
          <w:bCs/>
        </w:rPr>
        <w:t>Jamborine</w:t>
      </w:r>
      <w:proofErr w:type="spellEnd"/>
      <w:r w:rsidR="00C941ED">
        <w:rPr>
          <w:b w:val="0"/>
          <w:bCs/>
        </w:rPr>
        <w:t xml:space="preserve"> </w:t>
      </w:r>
      <w:r w:rsidR="00714B3A">
        <w:rPr>
          <w:b w:val="0"/>
          <w:bCs/>
        </w:rPr>
        <w:t xml:space="preserve">enters a representative arrangement with </w:t>
      </w:r>
      <w:proofErr w:type="spellStart"/>
      <w:r>
        <w:rPr>
          <w:b w:val="0"/>
          <w:bCs/>
        </w:rPr>
        <w:t>Fastroad</w:t>
      </w:r>
      <w:proofErr w:type="spellEnd"/>
      <w:r w:rsidR="00714B3A">
        <w:rPr>
          <w:b w:val="0"/>
          <w:bCs/>
        </w:rPr>
        <w:t xml:space="preserve">, who agrees to </w:t>
      </w:r>
      <w:r w:rsidR="00815B3B">
        <w:rPr>
          <w:b w:val="0"/>
          <w:bCs/>
        </w:rPr>
        <w:t>provide th</w:t>
      </w:r>
      <w:r w:rsidR="00714B3A">
        <w:rPr>
          <w:b w:val="0"/>
          <w:bCs/>
        </w:rPr>
        <w:t xml:space="preserve">e necessary CDR infrastructure and management services to </w:t>
      </w:r>
      <w:proofErr w:type="spellStart"/>
      <w:r>
        <w:rPr>
          <w:b w:val="0"/>
          <w:bCs/>
        </w:rPr>
        <w:t>Jamborine</w:t>
      </w:r>
      <w:proofErr w:type="spellEnd"/>
      <w:r w:rsidR="008677CE">
        <w:rPr>
          <w:b w:val="0"/>
          <w:bCs/>
        </w:rPr>
        <w:t xml:space="preserve"> so it can use CDR data to provide its service</w:t>
      </w:r>
      <w:r w:rsidR="00714B3A">
        <w:rPr>
          <w:b w:val="0"/>
          <w:bCs/>
        </w:rPr>
        <w:t xml:space="preserve">. </w:t>
      </w:r>
      <w:r w:rsidR="00236568">
        <w:rPr>
          <w:b w:val="0"/>
          <w:bCs/>
        </w:rPr>
        <w:t xml:space="preserve">To manage </w:t>
      </w:r>
      <w:r w:rsidR="00150B06">
        <w:rPr>
          <w:b w:val="0"/>
          <w:bCs/>
        </w:rPr>
        <w:t xml:space="preserve">the risks with being responsible for </w:t>
      </w:r>
      <w:proofErr w:type="spellStart"/>
      <w:r>
        <w:rPr>
          <w:b w:val="0"/>
          <w:bCs/>
        </w:rPr>
        <w:t>Jamborine</w:t>
      </w:r>
      <w:proofErr w:type="spellEnd"/>
      <w:r w:rsidR="00150B06">
        <w:rPr>
          <w:b w:val="0"/>
          <w:bCs/>
        </w:rPr>
        <w:t xml:space="preserve"> as its </w:t>
      </w:r>
      <w:r>
        <w:rPr>
          <w:b w:val="0"/>
          <w:bCs/>
        </w:rPr>
        <w:t>representative</w:t>
      </w:r>
      <w:r w:rsidR="00236568">
        <w:rPr>
          <w:b w:val="0"/>
          <w:bCs/>
        </w:rPr>
        <w:t>,</w:t>
      </w:r>
      <w:r w:rsidR="00236568" w:rsidDel="00373FB6">
        <w:rPr>
          <w:b w:val="0"/>
          <w:bCs/>
        </w:rPr>
        <w:t xml:space="preserve"> </w:t>
      </w:r>
      <w:proofErr w:type="spellStart"/>
      <w:r>
        <w:rPr>
          <w:b w:val="0"/>
          <w:bCs/>
        </w:rPr>
        <w:t>Fastroad</w:t>
      </w:r>
      <w:proofErr w:type="spellEnd"/>
      <w:r>
        <w:rPr>
          <w:b w:val="0"/>
          <w:bCs/>
        </w:rPr>
        <w:t xml:space="preserve"> </w:t>
      </w:r>
      <w:r w:rsidR="006643C7">
        <w:rPr>
          <w:b w:val="0"/>
          <w:bCs/>
        </w:rPr>
        <w:t xml:space="preserve">and </w:t>
      </w:r>
      <w:proofErr w:type="spellStart"/>
      <w:r>
        <w:rPr>
          <w:b w:val="0"/>
          <w:bCs/>
        </w:rPr>
        <w:t>Jamborine</w:t>
      </w:r>
      <w:proofErr w:type="spellEnd"/>
      <w:r w:rsidR="006643C7">
        <w:rPr>
          <w:b w:val="0"/>
          <w:bCs/>
        </w:rPr>
        <w:t xml:space="preserve"> agree that </w:t>
      </w:r>
      <w:proofErr w:type="spellStart"/>
      <w:r>
        <w:rPr>
          <w:b w:val="0"/>
          <w:bCs/>
        </w:rPr>
        <w:t>Jamborine</w:t>
      </w:r>
      <w:proofErr w:type="spellEnd"/>
      <w:r w:rsidR="006643C7">
        <w:rPr>
          <w:b w:val="0"/>
          <w:bCs/>
        </w:rPr>
        <w:t xml:space="preserve"> will not make disclosures to other accredited data recipients</w:t>
      </w:r>
      <w:r w:rsidR="008677CE">
        <w:rPr>
          <w:b w:val="0"/>
          <w:bCs/>
        </w:rPr>
        <w:t xml:space="preserve">, and </w:t>
      </w:r>
      <w:proofErr w:type="spellStart"/>
      <w:r>
        <w:rPr>
          <w:b w:val="0"/>
          <w:bCs/>
        </w:rPr>
        <w:t>Jamborine</w:t>
      </w:r>
      <w:proofErr w:type="spellEnd"/>
      <w:r w:rsidR="00236568">
        <w:rPr>
          <w:b w:val="0"/>
          <w:bCs/>
        </w:rPr>
        <w:t xml:space="preserve"> </w:t>
      </w:r>
      <w:r w:rsidR="008677CE">
        <w:rPr>
          <w:b w:val="0"/>
          <w:bCs/>
        </w:rPr>
        <w:t xml:space="preserve">will use CDR data within </w:t>
      </w:r>
      <w:proofErr w:type="spellStart"/>
      <w:r w:rsidR="00331BF5">
        <w:rPr>
          <w:b w:val="0"/>
          <w:bCs/>
        </w:rPr>
        <w:t>Fastroad’s</w:t>
      </w:r>
      <w:proofErr w:type="spellEnd"/>
      <w:r w:rsidR="00331BF5">
        <w:rPr>
          <w:b w:val="0"/>
          <w:bCs/>
        </w:rPr>
        <w:t xml:space="preserve"> </w:t>
      </w:r>
      <w:r w:rsidR="008677CE">
        <w:rPr>
          <w:b w:val="0"/>
          <w:bCs/>
        </w:rPr>
        <w:t>secure CDR data environment</w:t>
      </w:r>
      <w:r w:rsidR="00331BF5">
        <w:rPr>
          <w:b w:val="0"/>
          <w:bCs/>
        </w:rPr>
        <w:t>.</w:t>
      </w:r>
    </w:p>
    <w:bookmarkEnd w:id="8"/>
    <w:p w14:paraId="4AC877E2" w14:textId="7973081B" w:rsidR="0094711B" w:rsidRDefault="0094711B" w:rsidP="008E0360">
      <w:pPr>
        <w:pStyle w:val="ExampleHeading"/>
      </w:pPr>
      <w:r>
        <w:t xml:space="preserve">Example </w:t>
      </w:r>
      <w:r w:rsidR="00102861">
        <w:t>5</w:t>
      </w:r>
      <w:r>
        <w:t xml:space="preserve">: </w:t>
      </w:r>
      <w:r w:rsidR="00A508ED">
        <w:t>Subsidiary acting as a representative</w:t>
      </w:r>
      <w:r>
        <w:t xml:space="preserve"> </w:t>
      </w:r>
    </w:p>
    <w:p w14:paraId="45C2321B" w14:textId="14A04699" w:rsidR="0094711B" w:rsidRPr="003D05BF" w:rsidRDefault="0094711B" w:rsidP="008E0360">
      <w:pPr>
        <w:ind w:left="1134"/>
        <w:rPr>
          <w:bCs/>
          <w:sz w:val="22"/>
        </w:rPr>
      </w:pPr>
      <w:r w:rsidRPr="003D05BF">
        <w:rPr>
          <w:bCs/>
          <w:sz w:val="22"/>
        </w:rPr>
        <w:t xml:space="preserve">Bank </w:t>
      </w:r>
      <w:r w:rsidR="00C546CB">
        <w:rPr>
          <w:bCs/>
          <w:sz w:val="22"/>
        </w:rPr>
        <w:t>X</w:t>
      </w:r>
      <w:r w:rsidRPr="003D05BF">
        <w:rPr>
          <w:bCs/>
          <w:sz w:val="22"/>
        </w:rPr>
        <w:t xml:space="preserve"> is an </w:t>
      </w:r>
      <w:r w:rsidR="006769DE">
        <w:rPr>
          <w:bCs/>
          <w:sz w:val="22"/>
        </w:rPr>
        <w:t>Authorised Deposit-taking Institution (</w:t>
      </w:r>
      <w:r w:rsidRPr="003D05BF">
        <w:rPr>
          <w:bCs/>
          <w:sz w:val="22"/>
        </w:rPr>
        <w:t>ADI</w:t>
      </w:r>
      <w:r w:rsidR="006769DE">
        <w:rPr>
          <w:bCs/>
          <w:sz w:val="22"/>
        </w:rPr>
        <w:t>)</w:t>
      </w:r>
      <w:r w:rsidRPr="003D05BF">
        <w:rPr>
          <w:bCs/>
          <w:sz w:val="22"/>
        </w:rPr>
        <w:t xml:space="preserve"> </w:t>
      </w:r>
      <w:r w:rsidR="006C17A0">
        <w:rPr>
          <w:bCs/>
          <w:sz w:val="22"/>
        </w:rPr>
        <w:t>with</w:t>
      </w:r>
      <w:r w:rsidRPr="003D05BF">
        <w:rPr>
          <w:bCs/>
          <w:sz w:val="22"/>
        </w:rPr>
        <w:t xml:space="preserve"> unrestricted accreditation. </w:t>
      </w:r>
      <w:r w:rsidR="00C546CB">
        <w:rPr>
          <w:bCs/>
          <w:sz w:val="22"/>
        </w:rPr>
        <w:t>Y Financial</w:t>
      </w:r>
      <w:r w:rsidRPr="003D05BF">
        <w:rPr>
          <w:bCs/>
          <w:sz w:val="22"/>
        </w:rPr>
        <w:t xml:space="preserve"> is a subsidiary of Bank</w:t>
      </w:r>
      <w:r w:rsidR="003878FE">
        <w:rPr>
          <w:bCs/>
          <w:sz w:val="22"/>
        </w:rPr>
        <w:t xml:space="preserve"> </w:t>
      </w:r>
      <w:r w:rsidR="00C546CB">
        <w:rPr>
          <w:bCs/>
          <w:sz w:val="22"/>
        </w:rPr>
        <w:t>X</w:t>
      </w:r>
      <w:r w:rsidR="003878FE">
        <w:rPr>
          <w:bCs/>
          <w:sz w:val="22"/>
        </w:rPr>
        <w:t xml:space="preserve"> that provides retail financial advice services</w:t>
      </w:r>
      <w:r w:rsidRPr="003D05BF">
        <w:rPr>
          <w:bCs/>
          <w:sz w:val="22"/>
        </w:rPr>
        <w:t xml:space="preserve">. </w:t>
      </w:r>
      <w:r w:rsidR="00C546CB">
        <w:rPr>
          <w:bCs/>
          <w:sz w:val="22"/>
        </w:rPr>
        <w:t>Y Financial</w:t>
      </w:r>
      <w:r w:rsidR="00DA0899">
        <w:rPr>
          <w:bCs/>
          <w:sz w:val="22"/>
        </w:rPr>
        <w:t xml:space="preserve"> </w:t>
      </w:r>
      <w:r w:rsidR="00DF4DA1">
        <w:rPr>
          <w:bCs/>
          <w:sz w:val="22"/>
        </w:rPr>
        <w:t>wants to streamline its processes for reporting financial information to its customers’ accountants. It</w:t>
      </w:r>
      <w:r w:rsidRPr="003D05BF">
        <w:rPr>
          <w:bCs/>
          <w:sz w:val="22"/>
        </w:rPr>
        <w:t xml:space="preserve"> believes using the CDR to provide this service as an add</w:t>
      </w:r>
      <w:r w:rsidR="008677CE">
        <w:rPr>
          <w:bCs/>
          <w:sz w:val="22"/>
        </w:rPr>
        <w:t>-</w:t>
      </w:r>
      <w:r w:rsidRPr="003D05BF">
        <w:rPr>
          <w:bCs/>
          <w:sz w:val="22"/>
        </w:rPr>
        <w:t xml:space="preserve">on to its retail offering would be the simplest approach and wants to use its parent company’s accreditation to participate in the CDR. As a subsidiary, Bank </w:t>
      </w:r>
      <w:r w:rsidR="00C546CB">
        <w:rPr>
          <w:bCs/>
          <w:sz w:val="22"/>
        </w:rPr>
        <w:t>X</w:t>
      </w:r>
      <w:r w:rsidRPr="003D05BF">
        <w:rPr>
          <w:bCs/>
          <w:sz w:val="22"/>
        </w:rPr>
        <w:t xml:space="preserve"> is comfortable with taking on liability for </w:t>
      </w:r>
      <w:r w:rsidR="00C546CB">
        <w:rPr>
          <w:bCs/>
          <w:sz w:val="22"/>
        </w:rPr>
        <w:t>Y</w:t>
      </w:r>
      <w:r w:rsidR="00FD3391">
        <w:rPr>
          <w:bCs/>
          <w:sz w:val="22"/>
        </w:rPr>
        <w:t> </w:t>
      </w:r>
      <w:r w:rsidR="00C546CB">
        <w:rPr>
          <w:bCs/>
          <w:sz w:val="22"/>
        </w:rPr>
        <w:t>Financial</w:t>
      </w:r>
      <w:r w:rsidRPr="003D05BF">
        <w:rPr>
          <w:bCs/>
          <w:sz w:val="22"/>
        </w:rPr>
        <w:t xml:space="preserve">. Bank </w:t>
      </w:r>
      <w:r w:rsidR="00C546CB">
        <w:rPr>
          <w:bCs/>
          <w:sz w:val="22"/>
        </w:rPr>
        <w:t>X</w:t>
      </w:r>
      <w:r w:rsidRPr="003D05BF">
        <w:rPr>
          <w:bCs/>
          <w:sz w:val="22"/>
        </w:rPr>
        <w:t xml:space="preserve"> and </w:t>
      </w:r>
      <w:r w:rsidR="00BB360A">
        <w:rPr>
          <w:bCs/>
          <w:sz w:val="22"/>
        </w:rPr>
        <w:t>Y Financial</w:t>
      </w:r>
      <w:r w:rsidRPr="003D05BF">
        <w:rPr>
          <w:bCs/>
          <w:sz w:val="22"/>
        </w:rPr>
        <w:t xml:space="preserve"> enter a </w:t>
      </w:r>
      <w:r w:rsidR="00DF4DA1">
        <w:rPr>
          <w:bCs/>
          <w:sz w:val="22"/>
        </w:rPr>
        <w:t xml:space="preserve">CDR </w:t>
      </w:r>
      <w:r w:rsidRPr="003D05BF">
        <w:rPr>
          <w:bCs/>
          <w:sz w:val="22"/>
        </w:rPr>
        <w:t xml:space="preserve">representative </w:t>
      </w:r>
      <w:r w:rsidR="00DF4DA1">
        <w:rPr>
          <w:bCs/>
          <w:sz w:val="22"/>
        </w:rPr>
        <w:t>arrangement</w:t>
      </w:r>
      <w:r w:rsidRPr="003D05BF">
        <w:rPr>
          <w:bCs/>
          <w:sz w:val="22"/>
        </w:rPr>
        <w:t xml:space="preserve"> </w:t>
      </w:r>
      <w:r w:rsidR="000E2CAF">
        <w:rPr>
          <w:bCs/>
          <w:sz w:val="22"/>
        </w:rPr>
        <w:t>and notify the Data Recipient Accreditor of their arrangement</w:t>
      </w:r>
      <w:r w:rsidR="004D6B4D">
        <w:rPr>
          <w:bCs/>
          <w:sz w:val="22"/>
        </w:rPr>
        <w:t>. This</w:t>
      </w:r>
      <w:r w:rsidRPr="003D05BF">
        <w:rPr>
          <w:bCs/>
          <w:sz w:val="22"/>
        </w:rPr>
        <w:t xml:space="preserve"> allows </w:t>
      </w:r>
      <w:r w:rsidR="00C546CB">
        <w:rPr>
          <w:bCs/>
          <w:sz w:val="22"/>
        </w:rPr>
        <w:t>Y</w:t>
      </w:r>
      <w:r w:rsidR="00FD3391">
        <w:rPr>
          <w:bCs/>
          <w:sz w:val="22"/>
        </w:rPr>
        <w:t> </w:t>
      </w:r>
      <w:r w:rsidR="00C546CB">
        <w:rPr>
          <w:bCs/>
          <w:sz w:val="22"/>
        </w:rPr>
        <w:t>Financial</w:t>
      </w:r>
      <w:r w:rsidRPr="003D05BF">
        <w:rPr>
          <w:bCs/>
          <w:sz w:val="22"/>
        </w:rPr>
        <w:t xml:space="preserve"> to </w:t>
      </w:r>
      <w:r w:rsidR="00E80B04">
        <w:rPr>
          <w:bCs/>
          <w:sz w:val="22"/>
        </w:rPr>
        <w:t xml:space="preserve">collect </w:t>
      </w:r>
      <w:r w:rsidR="00DF4DA1">
        <w:rPr>
          <w:bCs/>
          <w:sz w:val="22"/>
        </w:rPr>
        <w:t>its customers’ CDR data</w:t>
      </w:r>
      <w:r w:rsidR="00E80B04">
        <w:rPr>
          <w:bCs/>
          <w:sz w:val="22"/>
        </w:rPr>
        <w:t xml:space="preserve"> through Bank</w:t>
      </w:r>
      <w:r w:rsidR="00C546CB">
        <w:rPr>
          <w:bCs/>
          <w:sz w:val="22"/>
        </w:rPr>
        <w:t xml:space="preserve"> X</w:t>
      </w:r>
      <w:r w:rsidR="00E80B04">
        <w:rPr>
          <w:bCs/>
          <w:sz w:val="22"/>
        </w:rPr>
        <w:t xml:space="preserve"> and disclose th</w:t>
      </w:r>
      <w:r w:rsidR="00582086">
        <w:rPr>
          <w:bCs/>
          <w:sz w:val="22"/>
        </w:rPr>
        <w:t>e</w:t>
      </w:r>
      <w:r w:rsidR="00E80B04">
        <w:rPr>
          <w:bCs/>
          <w:sz w:val="22"/>
        </w:rPr>
        <w:t xml:space="preserve"> information to the </w:t>
      </w:r>
      <w:r w:rsidR="00DA0899">
        <w:rPr>
          <w:bCs/>
          <w:sz w:val="22"/>
        </w:rPr>
        <w:t>customer</w:t>
      </w:r>
      <w:r w:rsidR="00E80B04">
        <w:rPr>
          <w:bCs/>
          <w:sz w:val="22"/>
        </w:rPr>
        <w:t>s</w:t>
      </w:r>
      <w:r w:rsidR="00DF4DA1">
        <w:rPr>
          <w:bCs/>
          <w:sz w:val="22"/>
        </w:rPr>
        <w:t>’</w:t>
      </w:r>
      <w:r w:rsidR="00E80B04">
        <w:rPr>
          <w:bCs/>
          <w:sz w:val="22"/>
        </w:rPr>
        <w:t xml:space="preserve"> </w:t>
      </w:r>
      <w:r w:rsidRPr="003D05BF">
        <w:rPr>
          <w:bCs/>
          <w:sz w:val="22"/>
        </w:rPr>
        <w:t>nominated trusted advisers</w:t>
      </w:r>
      <w:r w:rsidR="000E2CAF">
        <w:rPr>
          <w:bCs/>
          <w:sz w:val="22"/>
        </w:rPr>
        <w:t>.</w:t>
      </w:r>
    </w:p>
    <w:p w14:paraId="7FD1057B" w14:textId="77777777" w:rsidR="004512F1" w:rsidRPr="00A42730" w:rsidRDefault="00973AD7" w:rsidP="008E0360">
      <w:pPr>
        <w:keepNext/>
        <w:spacing w:before="360"/>
        <w:rPr>
          <w:b/>
          <w:sz w:val="28"/>
          <w:szCs w:val="28"/>
          <w:u w:val="single"/>
        </w:rPr>
      </w:pPr>
      <w:r>
        <w:rPr>
          <w:b/>
          <w:bCs/>
          <w:sz w:val="28"/>
          <w:szCs w:val="28"/>
          <w:u w:val="single"/>
        </w:rPr>
        <w:lastRenderedPageBreak/>
        <w:t xml:space="preserve">Schedule 3: </w:t>
      </w:r>
      <w:r w:rsidRPr="00CE2EA6">
        <w:rPr>
          <w:b/>
          <w:sz w:val="28"/>
          <w:szCs w:val="28"/>
          <w:u w:val="single"/>
        </w:rPr>
        <w:t>Amendments relating to trusted advisers</w:t>
      </w:r>
      <w:r w:rsidR="00DB41C7">
        <w:rPr>
          <w:b/>
          <w:bCs/>
          <w:sz w:val="28"/>
          <w:szCs w:val="28"/>
          <w:u w:val="single"/>
        </w:rPr>
        <w:t xml:space="preserve"> and insights</w:t>
      </w:r>
    </w:p>
    <w:p w14:paraId="20625DA0" w14:textId="06466C2D" w:rsidR="004512F1" w:rsidRPr="009677D3" w:rsidRDefault="004512F1" w:rsidP="008E0360">
      <w:pPr>
        <w:keepNext/>
        <w:spacing w:before="240" w:after="0"/>
        <w:ind w:right="91"/>
      </w:pPr>
      <w:bookmarkStart w:id="9" w:name="_Hlk82688125"/>
      <w:r w:rsidRPr="009677D3">
        <w:t xml:space="preserve">The </w:t>
      </w:r>
      <w:r w:rsidR="00356020">
        <w:t xml:space="preserve">Amending </w:t>
      </w:r>
      <w:r>
        <w:t xml:space="preserve">Rules establish </w:t>
      </w:r>
      <w:r w:rsidRPr="009677D3">
        <w:t xml:space="preserve">two new data sharing models which </w:t>
      </w:r>
      <w:r>
        <w:t xml:space="preserve">are intended to </w:t>
      </w:r>
      <w:r w:rsidRPr="009677D3">
        <w:t xml:space="preserve">provide consumers with greater choice in who they can direct that their data be shared with, while maintaining </w:t>
      </w:r>
      <w:r>
        <w:t>adequate protections</w:t>
      </w:r>
      <w:r w:rsidRPr="009677D3">
        <w:t xml:space="preserve">: </w:t>
      </w:r>
    </w:p>
    <w:p w14:paraId="78AE82BC" w14:textId="2C00D7E6" w:rsidR="004512F1" w:rsidRPr="009677D3" w:rsidRDefault="004512F1" w:rsidP="008E0360">
      <w:pPr>
        <w:pStyle w:val="Bullet"/>
        <w:spacing w:before="120"/>
      </w:pPr>
      <w:r w:rsidRPr="009677D3">
        <w:t>The trusted adviser model allow</w:t>
      </w:r>
      <w:r w:rsidR="006F5508">
        <w:t>s</w:t>
      </w:r>
      <w:r w:rsidRPr="009677D3">
        <w:t xml:space="preserve"> consumers to consent to an </w:t>
      </w:r>
      <w:r w:rsidR="00723E15">
        <w:t>accredited data recipient</w:t>
      </w:r>
      <w:r w:rsidRPr="009677D3">
        <w:t xml:space="preserve"> disclosing their CDR data outside the CDR system with </w:t>
      </w:r>
      <w:r w:rsidR="006F5508">
        <w:t xml:space="preserve">certain </w:t>
      </w:r>
      <w:r w:rsidRPr="009677D3">
        <w:t>professionals</w:t>
      </w:r>
      <w:r w:rsidR="006F5508">
        <w:t>. These are professions</w:t>
      </w:r>
      <w:r w:rsidRPr="009677D3">
        <w:t xml:space="preserve"> that </w:t>
      </w:r>
      <w:proofErr w:type="gramStart"/>
      <w:r w:rsidRPr="009677D3">
        <w:t xml:space="preserve">are </w:t>
      </w:r>
      <w:r w:rsidR="00200137">
        <w:t>considered to be</w:t>
      </w:r>
      <w:proofErr w:type="gramEnd"/>
      <w:r w:rsidR="00200137">
        <w:t xml:space="preserve"> </w:t>
      </w:r>
      <w:r w:rsidR="0043245D">
        <w:t>appropriately</w:t>
      </w:r>
      <w:r w:rsidRPr="009677D3">
        <w:t xml:space="preserve"> regulated to receive CDR data, particularly due to consumer protection mechanisms that form part of their regulatory framework. This </w:t>
      </w:r>
      <w:r w:rsidR="006F5508">
        <w:t>model</w:t>
      </w:r>
      <w:r w:rsidRPr="009677D3">
        <w:t xml:space="preserve"> </w:t>
      </w:r>
      <w:r>
        <w:t>facilitate</w:t>
      </w:r>
      <w:r w:rsidR="006F5508">
        <w:t>s</w:t>
      </w:r>
      <w:r w:rsidRPr="009677D3">
        <w:t xml:space="preserve"> access to relevant data </w:t>
      </w:r>
      <w:r w:rsidR="00197B42">
        <w:t>for</w:t>
      </w:r>
      <w:r w:rsidRPr="009677D3">
        <w:t xml:space="preserve"> those working within these professions, while ensuring that </w:t>
      </w:r>
      <w:r>
        <w:t xml:space="preserve">disclosure of data can only occur with a </w:t>
      </w:r>
      <w:r w:rsidRPr="009677D3">
        <w:t>consumer</w:t>
      </w:r>
      <w:r>
        <w:t>’s consent</w:t>
      </w:r>
      <w:r w:rsidRPr="009677D3">
        <w:t xml:space="preserve">. </w:t>
      </w:r>
    </w:p>
    <w:p w14:paraId="59DA6EAA" w14:textId="7839DDC8" w:rsidR="004512F1" w:rsidRPr="009677D3" w:rsidRDefault="004512F1" w:rsidP="008E0360">
      <w:pPr>
        <w:pStyle w:val="Bullet"/>
        <w:spacing w:before="120"/>
      </w:pPr>
      <w:r w:rsidRPr="009677D3">
        <w:t>The CDR insights model allow</w:t>
      </w:r>
      <w:r w:rsidR="00197B42">
        <w:t>s</w:t>
      </w:r>
      <w:r w:rsidRPr="009677D3">
        <w:t xml:space="preserve"> consumers to consent to </w:t>
      </w:r>
      <w:r>
        <w:t>insights</w:t>
      </w:r>
      <w:r w:rsidRPr="009677D3">
        <w:t xml:space="preserve"> </w:t>
      </w:r>
      <w:r>
        <w:t xml:space="preserve">informed by CDR data </w:t>
      </w:r>
      <w:r w:rsidRPr="009677D3">
        <w:t>being shared outside the system for a range of prescribed purposes that are considered low risk. This increase</w:t>
      </w:r>
      <w:r w:rsidR="003C6244">
        <w:t>s</w:t>
      </w:r>
      <w:r w:rsidRPr="009677D3">
        <w:t xml:space="preserve"> consumers’ ability to engage with </w:t>
      </w:r>
      <w:r w:rsidR="00197B42">
        <w:t>un</w:t>
      </w:r>
      <w:r w:rsidRPr="009677D3">
        <w:t xml:space="preserve">accredited parties in a way that limits the data they share to only what is necessary </w:t>
      </w:r>
      <w:r w:rsidR="005F7841">
        <w:t xml:space="preserve">for the prescribed </w:t>
      </w:r>
      <w:r w:rsidR="00E439BB">
        <w:t>purpose</w:t>
      </w:r>
      <w:r>
        <w:t>.</w:t>
      </w:r>
    </w:p>
    <w:p w14:paraId="4B3C4FA7" w14:textId="6A496378" w:rsidR="009E0D18" w:rsidRPr="00CC463B" w:rsidRDefault="009E0D18" w:rsidP="008E0360">
      <w:pPr>
        <w:spacing w:before="240" w:after="0"/>
        <w:ind w:right="91"/>
        <w:rPr>
          <w:b/>
        </w:rPr>
      </w:pPr>
      <w:r w:rsidRPr="00CC463B">
        <w:rPr>
          <w:b/>
        </w:rPr>
        <w:t>Trusted advisers</w:t>
      </w:r>
    </w:p>
    <w:p w14:paraId="3A5BBA84" w14:textId="77777777" w:rsidR="004512F1" w:rsidRDefault="004512F1" w:rsidP="008E0360">
      <w:pPr>
        <w:spacing w:before="240" w:after="0"/>
        <w:ind w:right="91"/>
        <w:rPr>
          <w:i/>
        </w:rPr>
      </w:pPr>
      <w:r w:rsidRPr="00CC463B">
        <w:rPr>
          <w:i/>
          <w:iCs/>
        </w:rPr>
        <w:t>Background</w:t>
      </w:r>
    </w:p>
    <w:p w14:paraId="120B5554" w14:textId="100A20C9" w:rsidR="003F5A3A" w:rsidRDefault="004512F1" w:rsidP="008E0360">
      <w:pPr>
        <w:ind w:right="91"/>
      </w:pPr>
      <w:r>
        <w:t>Schedule 3</w:t>
      </w:r>
      <w:r w:rsidR="00AF7693">
        <w:t xml:space="preserve"> to the Amending Rules</w:t>
      </w:r>
      <w:r>
        <w:t xml:space="preserve"> amends the CDR Rules to allow a consumer to consent to an accredited person disclosing </w:t>
      </w:r>
      <w:r w:rsidR="003F5A3A">
        <w:t>their</w:t>
      </w:r>
      <w:r>
        <w:t xml:space="preserve"> CDR data to a person within a specified class (referred to as </w:t>
      </w:r>
      <w:r w:rsidRPr="0065146E">
        <w:rPr>
          <w:b/>
          <w:i/>
        </w:rPr>
        <w:t xml:space="preserve">trusted </w:t>
      </w:r>
      <w:r w:rsidRPr="0065146E">
        <w:rPr>
          <w:b/>
          <w:bCs/>
          <w:i/>
          <w:iCs/>
        </w:rPr>
        <w:t>advisers</w:t>
      </w:r>
      <w:r>
        <w:t>). The intention is to</w:t>
      </w:r>
      <w:r w:rsidR="003F5A3A">
        <w:t>:</w:t>
      </w:r>
    </w:p>
    <w:p w14:paraId="297D1153" w14:textId="6938787B" w:rsidR="003F5A3A" w:rsidRDefault="004512F1" w:rsidP="008E0360">
      <w:pPr>
        <w:pStyle w:val="Bullet"/>
        <w:spacing w:before="120"/>
      </w:pPr>
      <w:r>
        <w:t xml:space="preserve">facilitate current consumer practices of </w:t>
      </w:r>
      <w:r w:rsidRPr="00EB5DDB">
        <w:t>shar</w:t>
      </w:r>
      <w:r>
        <w:t>ing</w:t>
      </w:r>
      <w:r w:rsidRPr="00EB5DDB">
        <w:t xml:space="preserve"> their data </w:t>
      </w:r>
      <w:r>
        <w:t xml:space="preserve">with </w:t>
      </w:r>
      <w:r w:rsidR="00150B06">
        <w:t xml:space="preserve">certain classes of </w:t>
      </w:r>
      <w:r>
        <w:t xml:space="preserve">trusted third parties </w:t>
      </w:r>
      <w:proofErr w:type="gramStart"/>
      <w:r>
        <w:t>in order to</w:t>
      </w:r>
      <w:proofErr w:type="gramEnd"/>
      <w:r>
        <w:t xml:space="preserve"> receive advice or a service</w:t>
      </w:r>
      <w:r w:rsidR="003F5A3A">
        <w:t>;</w:t>
      </w:r>
      <w:r>
        <w:t xml:space="preserve"> and </w:t>
      </w:r>
    </w:p>
    <w:p w14:paraId="74B2528A" w14:textId="57D535C8" w:rsidR="003F5A3A" w:rsidRDefault="004512F1" w:rsidP="008E0360">
      <w:pPr>
        <w:pStyle w:val="Bullet"/>
        <w:spacing w:before="120"/>
      </w:pPr>
      <w:r>
        <w:t xml:space="preserve">increase convenience and control for consumers by enabling them to use the CDR to share their </w:t>
      </w:r>
      <w:r w:rsidDel="003078EA">
        <w:t>data</w:t>
      </w:r>
      <w:r>
        <w:t xml:space="preserve"> with their chosen trusted advisers. </w:t>
      </w:r>
    </w:p>
    <w:p w14:paraId="6C0F23D4" w14:textId="2CBA8AE2" w:rsidR="004512F1" w:rsidRDefault="004512F1" w:rsidP="008E0360">
      <w:pPr>
        <w:ind w:right="91"/>
      </w:pPr>
      <w:r>
        <w:t>In turn, this</w:t>
      </w:r>
      <w:r w:rsidR="00B97078">
        <w:t xml:space="preserve"> is designed to</w:t>
      </w:r>
      <w:r>
        <w:t xml:space="preserve"> encourage greater participation in the CDR by accommodating existing and new use cases which rely on the ability to disclose data to third parties.</w:t>
      </w:r>
    </w:p>
    <w:p w14:paraId="1BDE7FF8" w14:textId="77777777" w:rsidR="004512F1" w:rsidRPr="00CC463B" w:rsidRDefault="004512F1" w:rsidP="008E0360">
      <w:pPr>
        <w:spacing w:before="240" w:after="0"/>
        <w:ind w:right="91"/>
        <w:rPr>
          <w:i/>
          <w:iCs/>
        </w:rPr>
      </w:pPr>
      <w:r w:rsidRPr="00CC463B">
        <w:rPr>
          <w:i/>
          <w:iCs/>
        </w:rPr>
        <w:t xml:space="preserve">Trusted </w:t>
      </w:r>
      <w:r>
        <w:rPr>
          <w:i/>
          <w:iCs/>
        </w:rPr>
        <w:t>a</w:t>
      </w:r>
      <w:r w:rsidRPr="00CC463B">
        <w:rPr>
          <w:i/>
          <w:iCs/>
        </w:rPr>
        <w:t>dviser disclosure</w:t>
      </w:r>
      <w:r>
        <w:rPr>
          <w:i/>
          <w:iCs/>
        </w:rPr>
        <w:t xml:space="preserve"> consent</w:t>
      </w:r>
    </w:p>
    <w:p w14:paraId="0427203D" w14:textId="6104D522" w:rsidR="00387DE7" w:rsidRDefault="00A03FCD" w:rsidP="008E0360">
      <w:pPr>
        <w:spacing w:after="0"/>
        <w:ind w:right="91"/>
      </w:pPr>
      <w:r>
        <w:t>A</w:t>
      </w:r>
      <w:r w:rsidR="00084ACB">
        <w:t xml:space="preserve"> new </w:t>
      </w:r>
      <w:r w:rsidR="00084ACB" w:rsidRPr="00C74FE4">
        <w:rPr>
          <w:b/>
          <w:bCs/>
          <w:i/>
          <w:iCs/>
        </w:rPr>
        <w:t>TA disclosure consent</w:t>
      </w:r>
      <w:r w:rsidR="00084ACB">
        <w:t xml:space="preserve"> </w:t>
      </w:r>
      <w:r w:rsidR="00387DE7">
        <w:t xml:space="preserve">enables a </w:t>
      </w:r>
      <w:r w:rsidR="004512F1">
        <w:t xml:space="preserve">consumer </w:t>
      </w:r>
      <w:r w:rsidR="00387DE7">
        <w:t>to</w:t>
      </w:r>
      <w:r w:rsidR="00EA66C1">
        <w:t xml:space="preserve"> </w:t>
      </w:r>
      <w:r w:rsidR="004512F1" w:rsidRPr="00C6335A">
        <w:t xml:space="preserve">consent to an </w:t>
      </w:r>
      <w:r w:rsidR="00723E15">
        <w:t>accredited data recipient</w:t>
      </w:r>
      <w:r w:rsidR="004512F1" w:rsidRPr="00C6335A">
        <w:t xml:space="preserve"> disclosing </w:t>
      </w:r>
      <w:r w:rsidR="005559B6">
        <w:t xml:space="preserve">their </w:t>
      </w:r>
      <w:r w:rsidR="004512F1" w:rsidRPr="00C6335A">
        <w:t xml:space="preserve">CDR data </w:t>
      </w:r>
      <w:r w:rsidR="004512F1">
        <w:t>to a nominated t</w:t>
      </w:r>
      <w:r w:rsidR="004512F1" w:rsidRPr="00C6335A">
        <w:t xml:space="preserve">rusted adviser. </w:t>
      </w:r>
      <w:r w:rsidR="00387DE7">
        <w:rPr>
          <w:b/>
          <w:bCs/>
          <w:i/>
          <w:iCs/>
          <w:sz w:val="18"/>
          <w:szCs w:val="18"/>
        </w:rPr>
        <w:t>[Schedule 3, item</w:t>
      </w:r>
      <w:r w:rsidR="00890BAC">
        <w:rPr>
          <w:b/>
          <w:bCs/>
          <w:i/>
          <w:iCs/>
          <w:sz w:val="18"/>
          <w:szCs w:val="18"/>
        </w:rPr>
        <w:t>s</w:t>
      </w:r>
      <w:r w:rsidR="00387DE7">
        <w:rPr>
          <w:b/>
          <w:bCs/>
          <w:i/>
          <w:iCs/>
          <w:sz w:val="18"/>
          <w:szCs w:val="18"/>
        </w:rPr>
        <w:t xml:space="preserve"> 1</w:t>
      </w:r>
      <w:r w:rsidR="009A2A6C">
        <w:rPr>
          <w:b/>
          <w:bCs/>
          <w:i/>
          <w:iCs/>
          <w:sz w:val="18"/>
          <w:szCs w:val="18"/>
        </w:rPr>
        <w:t xml:space="preserve"> </w:t>
      </w:r>
      <w:r w:rsidR="00890BAC">
        <w:rPr>
          <w:b/>
          <w:bCs/>
          <w:i/>
          <w:iCs/>
          <w:sz w:val="18"/>
          <w:szCs w:val="18"/>
        </w:rPr>
        <w:t>to</w:t>
      </w:r>
      <w:r w:rsidR="009A2A6C">
        <w:rPr>
          <w:b/>
          <w:bCs/>
          <w:i/>
          <w:iCs/>
          <w:sz w:val="18"/>
          <w:szCs w:val="18"/>
        </w:rPr>
        <w:t xml:space="preserve"> </w:t>
      </w:r>
      <w:r w:rsidR="006C54BC">
        <w:rPr>
          <w:b/>
          <w:bCs/>
          <w:i/>
          <w:iCs/>
          <w:sz w:val="18"/>
          <w:szCs w:val="18"/>
        </w:rPr>
        <w:t>3</w:t>
      </w:r>
      <w:r w:rsidR="009A2A6C">
        <w:rPr>
          <w:b/>
          <w:bCs/>
          <w:i/>
          <w:iCs/>
          <w:sz w:val="18"/>
          <w:szCs w:val="18"/>
        </w:rPr>
        <w:t>, rules 1.7(1), 1.10A(1)(c)(iii)</w:t>
      </w:r>
      <w:r w:rsidR="00890BAC">
        <w:rPr>
          <w:b/>
          <w:bCs/>
          <w:i/>
          <w:iCs/>
          <w:sz w:val="18"/>
          <w:szCs w:val="18"/>
        </w:rPr>
        <w:t xml:space="preserve"> and</w:t>
      </w:r>
      <w:r w:rsidR="009A2A6C">
        <w:rPr>
          <w:b/>
          <w:bCs/>
          <w:i/>
          <w:iCs/>
          <w:sz w:val="18"/>
          <w:szCs w:val="18"/>
        </w:rPr>
        <w:t xml:space="preserve"> 1.10A(2)(f)]</w:t>
      </w:r>
    </w:p>
    <w:p w14:paraId="41DFFBA0" w14:textId="1FCF6D37" w:rsidR="004512F1" w:rsidRPr="00C6335A" w:rsidRDefault="004512F1" w:rsidP="008E0360">
      <w:pPr>
        <w:spacing w:after="0"/>
        <w:ind w:right="91"/>
      </w:pPr>
      <w:r w:rsidRPr="00C6335A">
        <w:t xml:space="preserve">As with other CDR consumer consents, the </w:t>
      </w:r>
      <w:r>
        <w:t xml:space="preserve">accredited person’s processes for asking a consumer to give a </w:t>
      </w:r>
      <w:r w:rsidR="004735F8">
        <w:t xml:space="preserve">TA disclosure </w:t>
      </w:r>
      <w:r>
        <w:t>consent must accord with any consumer experience data standards</w:t>
      </w:r>
      <w:r w:rsidDel="00BD24F7">
        <w:t>,</w:t>
      </w:r>
      <w:r>
        <w:t xml:space="preserve"> and</w:t>
      </w:r>
      <w:r w:rsidR="00BD24F7">
        <w:t>,</w:t>
      </w:r>
      <w:r w:rsidR="00C928E9">
        <w:t xml:space="preserve"> </w:t>
      </w:r>
      <w:r w:rsidR="000D07AD">
        <w:t>consistent with the object set out in</w:t>
      </w:r>
      <w:r w:rsidR="00C928E9">
        <w:t xml:space="preserve"> rule 4.9,</w:t>
      </w:r>
      <w:r>
        <w:t xml:space="preserve"> the </w:t>
      </w:r>
      <w:r w:rsidRPr="00C6335A">
        <w:t xml:space="preserve">consent </w:t>
      </w:r>
      <w:r>
        <w:t>given must be</w:t>
      </w:r>
      <w:r w:rsidRPr="00C6335A">
        <w:t xml:space="preserve"> voluntary, express, informed, specific as to purpose, time limited and easily withdrawn.</w:t>
      </w:r>
    </w:p>
    <w:p w14:paraId="02D4F9AC" w14:textId="40120DCE" w:rsidR="00C74FE4" w:rsidRPr="00CC463B" w:rsidRDefault="009103C1" w:rsidP="008E0360">
      <w:pPr>
        <w:spacing w:after="0"/>
        <w:ind w:right="91"/>
      </w:pPr>
      <w:r>
        <w:t>A</w:t>
      </w:r>
      <w:r w:rsidR="004512F1" w:rsidRPr="00CC463B">
        <w:t>n accredited person can invite a CDR consumer to nominate one or more trusted</w:t>
      </w:r>
      <w:r w:rsidR="00C74FE4">
        <w:t xml:space="preserve"> </w:t>
      </w:r>
      <w:r w:rsidR="004512F1" w:rsidRPr="00CC463B">
        <w:t>advisers</w:t>
      </w:r>
      <w:r w:rsidR="004512F1">
        <w:t xml:space="preserve">. </w:t>
      </w:r>
      <w:r w:rsidR="004512F1" w:rsidRPr="00CC463B">
        <w:t xml:space="preserve">The trusted adviser </w:t>
      </w:r>
      <w:r w:rsidR="004512F1">
        <w:t xml:space="preserve">must </w:t>
      </w:r>
      <w:r w:rsidR="004512F1" w:rsidRPr="00CC463B">
        <w:t xml:space="preserve">be </w:t>
      </w:r>
      <w:r w:rsidR="004512F1">
        <w:t xml:space="preserve">a member of </w:t>
      </w:r>
      <w:r w:rsidR="004512F1" w:rsidRPr="00CC463B">
        <w:t>one of the following</w:t>
      </w:r>
      <w:r w:rsidR="004512F1">
        <w:t xml:space="preserve"> classes</w:t>
      </w:r>
      <w:r>
        <w:t>:</w:t>
      </w:r>
      <w:r w:rsidR="002B3318">
        <w:t xml:space="preserve"> </w:t>
      </w:r>
    </w:p>
    <w:p w14:paraId="47E77CB9" w14:textId="600E5C2C" w:rsidR="004512F1" w:rsidRPr="00CC463B" w:rsidRDefault="004512F1" w:rsidP="008E0360">
      <w:pPr>
        <w:pStyle w:val="Bullet"/>
        <w:spacing w:before="120"/>
      </w:pPr>
      <w:r w:rsidRPr="00CC463B">
        <w:t>qualified accountants</w:t>
      </w:r>
      <w:r w:rsidR="005B6D88">
        <w:t xml:space="preserve"> </w:t>
      </w:r>
      <w:r w:rsidR="005B6D88" w:rsidRPr="00367331">
        <w:t xml:space="preserve">within the meaning of the </w:t>
      </w:r>
      <w:r w:rsidR="005B6D88" w:rsidRPr="006B6DF8">
        <w:rPr>
          <w:i/>
          <w:iCs/>
        </w:rPr>
        <w:t xml:space="preserve">Corporations Act </w:t>
      </w:r>
      <w:proofErr w:type="gramStart"/>
      <w:r w:rsidR="005B6D88" w:rsidRPr="006B6DF8">
        <w:rPr>
          <w:i/>
          <w:iCs/>
        </w:rPr>
        <w:t>2001</w:t>
      </w:r>
      <w:r>
        <w:t>;</w:t>
      </w:r>
      <w:proofErr w:type="gramEnd"/>
    </w:p>
    <w:p w14:paraId="16A8A112" w14:textId="7F66217E" w:rsidR="004512F1" w:rsidRPr="00CC463B" w:rsidRDefault="004512F1" w:rsidP="008E0360">
      <w:pPr>
        <w:pStyle w:val="Bullet"/>
        <w:spacing w:before="120"/>
      </w:pPr>
      <w:r w:rsidRPr="00CC463B">
        <w:lastRenderedPageBreak/>
        <w:t>persons who are admitted to the legal profession</w:t>
      </w:r>
      <w:r w:rsidR="005B6D88">
        <w:t xml:space="preserve"> (however described) and hold a current practising certificate under a law of a State or Territory that regulates the legal </w:t>
      </w:r>
      <w:proofErr w:type="gramStart"/>
      <w:r w:rsidR="005B6D88">
        <w:t>profession</w:t>
      </w:r>
      <w:r>
        <w:t>;</w:t>
      </w:r>
      <w:proofErr w:type="gramEnd"/>
    </w:p>
    <w:p w14:paraId="5E37FD8A" w14:textId="46E6EBBE" w:rsidR="004512F1" w:rsidRPr="00CC463B" w:rsidRDefault="004512F1" w:rsidP="008E0360">
      <w:pPr>
        <w:pStyle w:val="Bullet"/>
        <w:spacing w:before="120"/>
      </w:pPr>
      <w:r w:rsidRPr="00CC463B">
        <w:t>registered tax agents, B</w:t>
      </w:r>
      <w:r w:rsidR="00EF5881">
        <w:t xml:space="preserve">usiness </w:t>
      </w:r>
      <w:r w:rsidRPr="00CC463B">
        <w:t>A</w:t>
      </w:r>
      <w:r w:rsidR="00EF5881">
        <w:t xml:space="preserve">ctivity </w:t>
      </w:r>
      <w:r w:rsidRPr="00CC463B">
        <w:t>S</w:t>
      </w:r>
      <w:r w:rsidR="00EF5881">
        <w:t>tatement</w:t>
      </w:r>
      <w:r w:rsidRPr="00CC463B">
        <w:t xml:space="preserve"> agents and tax (financial) advisers</w:t>
      </w:r>
      <w:r w:rsidR="005B6D88">
        <w:t xml:space="preserve"> within the meaning of the </w:t>
      </w:r>
      <w:r w:rsidR="005B6D88" w:rsidRPr="006B6DF8">
        <w:rPr>
          <w:i/>
          <w:iCs/>
        </w:rPr>
        <w:t xml:space="preserve">Tax Agent Services Act </w:t>
      </w:r>
      <w:proofErr w:type="gramStart"/>
      <w:r w:rsidR="005B6D88" w:rsidRPr="006B6DF8">
        <w:rPr>
          <w:i/>
          <w:iCs/>
        </w:rPr>
        <w:t>2009</w:t>
      </w:r>
      <w:r>
        <w:t>;</w:t>
      </w:r>
      <w:proofErr w:type="gramEnd"/>
    </w:p>
    <w:p w14:paraId="25067458" w14:textId="77777777" w:rsidR="004512F1" w:rsidRPr="00CC463B" w:rsidRDefault="004512F1" w:rsidP="008E0360">
      <w:pPr>
        <w:pStyle w:val="Bullet"/>
        <w:spacing w:before="120"/>
      </w:pPr>
      <w:r w:rsidRPr="00CC463B">
        <w:t xml:space="preserve">financial counselling </w:t>
      </w:r>
      <w:proofErr w:type="gramStart"/>
      <w:r w:rsidRPr="00CC463B">
        <w:t>agencies</w:t>
      </w:r>
      <w:r>
        <w:t>;</w:t>
      </w:r>
      <w:proofErr w:type="gramEnd"/>
    </w:p>
    <w:p w14:paraId="03AA2C50" w14:textId="14106E59" w:rsidR="004512F1" w:rsidRPr="00CC463B" w:rsidRDefault="005A324D" w:rsidP="008E0360">
      <w:pPr>
        <w:pStyle w:val="Bullet"/>
        <w:spacing w:before="120"/>
      </w:pPr>
      <w:r>
        <w:t xml:space="preserve">financial </w:t>
      </w:r>
      <w:proofErr w:type="gramStart"/>
      <w:r>
        <w:t>advisers</w:t>
      </w:r>
      <w:r w:rsidR="00901821">
        <w:t>;</w:t>
      </w:r>
      <w:proofErr w:type="gramEnd"/>
    </w:p>
    <w:p w14:paraId="3272B275" w14:textId="0BB05DC0" w:rsidR="004512F1" w:rsidRPr="009103C1" w:rsidRDefault="004512F1" w:rsidP="008E0360">
      <w:pPr>
        <w:pStyle w:val="Bullet"/>
        <w:spacing w:before="120"/>
      </w:pPr>
      <w:r w:rsidRPr="00CC463B">
        <w:t>mortgage</w:t>
      </w:r>
      <w:r>
        <w:t xml:space="preserve"> brokers</w:t>
      </w:r>
      <w:r w:rsidR="005B6D88" w:rsidRPr="005B6D88">
        <w:t xml:space="preserve"> </w:t>
      </w:r>
      <w:r w:rsidR="005B6D88">
        <w:t xml:space="preserve">within the meaning of the </w:t>
      </w:r>
      <w:r w:rsidR="005B6D88">
        <w:rPr>
          <w:i/>
        </w:rPr>
        <w:t>National Consumer Credit Protection Act 2009</w:t>
      </w:r>
      <w:r>
        <w:t>.</w:t>
      </w:r>
      <w:r w:rsidR="002B3318" w:rsidRPr="002B3318">
        <w:rPr>
          <w:b/>
          <w:bCs/>
          <w:i/>
          <w:iCs/>
          <w:sz w:val="18"/>
          <w:szCs w:val="18"/>
        </w:rPr>
        <w:t xml:space="preserve"> </w:t>
      </w:r>
    </w:p>
    <w:p w14:paraId="6C0136C0" w14:textId="63C117AC" w:rsidR="009103C1" w:rsidRPr="009103C1" w:rsidRDefault="009103C1" w:rsidP="008E0360">
      <w:pPr>
        <w:spacing w:after="0"/>
        <w:ind w:left="567" w:right="91"/>
        <w:rPr>
          <w:b/>
          <w:bCs/>
          <w:i/>
          <w:iCs/>
          <w:sz w:val="18"/>
          <w:szCs w:val="18"/>
        </w:rPr>
      </w:pPr>
      <w:r w:rsidRPr="009103C1">
        <w:rPr>
          <w:b/>
          <w:bCs/>
          <w:i/>
          <w:iCs/>
          <w:sz w:val="18"/>
          <w:szCs w:val="18"/>
        </w:rPr>
        <w:t xml:space="preserve">[Schedule 3, item 5, </w:t>
      </w:r>
      <w:r w:rsidR="009A2A6C">
        <w:rPr>
          <w:b/>
          <w:bCs/>
          <w:i/>
          <w:iCs/>
          <w:sz w:val="18"/>
          <w:szCs w:val="18"/>
        </w:rPr>
        <w:t>r</w:t>
      </w:r>
      <w:r w:rsidRPr="009103C1">
        <w:rPr>
          <w:b/>
          <w:bCs/>
          <w:i/>
          <w:iCs/>
          <w:sz w:val="18"/>
          <w:szCs w:val="18"/>
        </w:rPr>
        <w:t>ule</w:t>
      </w:r>
      <w:r w:rsidR="001E52D7">
        <w:rPr>
          <w:b/>
          <w:bCs/>
          <w:i/>
          <w:iCs/>
          <w:sz w:val="18"/>
          <w:szCs w:val="18"/>
        </w:rPr>
        <w:t>s</w:t>
      </w:r>
      <w:r w:rsidRPr="009103C1">
        <w:rPr>
          <w:b/>
          <w:bCs/>
          <w:i/>
          <w:iCs/>
          <w:sz w:val="18"/>
          <w:szCs w:val="18"/>
        </w:rPr>
        <w:t xml:space="preserve"> 1.10C(1)</w:t>
      </w:r>
      <w:r w:rsidR="0017290B">
        <w:rPr>
          <w:b/>
          <w:bCs/>
          <w:i/>
          <w:iCs/>
          <w:sz w:val="18"/>
          <w:szCs w:val="18"/>
        </w:rPr>
        <w:t>-</w:t>
      </w:r>
      <w:r w:rsidRPr="009103C1">
        <w:rPr>
          <w:b/>
          <w:bCs/>
          <w:i/>
          <w:iCs/>
          <w:sz w:val="18"/>
          <w:szCs w:val="18"/>
        </w:rPr>
        <w:t>(2)]</w:t>
      </w:r>
    </w:p>
    <w:p w14:paraId="69EAA3E7" w14:textId="1EC9E8E1" w:rsidR="00853FEA" w:rsidRDefault="00853FEA" w:rsidP="008E0360">
      <w:pPr>
        <w:spacing w:after="0"/>
        <w:ind w:right="91"/>
      </w:pPr>
      <w:r>
        <w:t xml:space="preserve">For defining the scope of financial counselling agencies, the </w:t>
      </w:r>
      <w:r w:rsidRPr="00E02472">
        <w:rPr>
          <w:i/>
          <w:iCs/>
        </w:rPr>
        <w:t>ASIC Corporations (Financial Counselling Agencies) Instrument 2017/792</w:t>
      </w:r>
      <w:r>
        <w:t xml:space="preserve"> is </w:t>
      </w:r>
      <w:r w:rsidRPr="00E02472">
        <w:t>incorporated by reference. Section 56BG of the Act provides</w:t>
      </w:r>
      <w:r>
        <w:t xml:space="preserve"> </w:t>
      </w:r>
      <w:r w:rsidRPr="00E02472">
        <w:t>that the rules may make provision by applying, adopting, or incorporating any matter contained in</w:t>
      </w:r>
      <w:r>
        <w:t xml:space="preserve"> </w:t>
      </w:r>
      <w:r w:rsidRPr="00E02472">
        <w:t>any other instrument or writing as in force or existing at a particular time or as in force or existing</w:t>
      </w:r>
      <w:r>
        <w:t xml:space="preserve"> </w:t>
      </w:r>
      <w:r w:rsidRPr="00E02472">
        <w:t xml:space="preserve">from time to time. </w:t>
      </w:r>
      <w:r w:rsidRPr="00CB1445">
        <w:rPr>
          <w:i/>
          <w:iCs/>
        </w:rPr>
        <w:t>ASIC Corporations (Financial Counselling Agencies) Instrument 2017/792</w:t>
      </w:r>
      <w:r>
        <w:t xml:space="preserve"> is </w:t>
      </w:r>
      <w:r w:rsidRPr="00E02472">
        <w:t>incorporated as existing</w:t>
      </w:r>
      <w:r>
        <w:t xml:space="preserve"> </w:t>
      </w:r>
      <w:r w:rsidRPr="00E02472">
        <w:t>from time to time.</w:t>
      </w:r>
      <w:r>
        <w:t xml:space="preserve"> The instrument can be found on the Australian Securities and Investments Commission (ASIC) website.</w:t>
      </w:r>
    </w:p>
    <w:p w14:paraId="1FE00050" w14:textId="5439E7C7" w:rsidR="008510A1" w:rsidRDefault="008510A1" w:rsidP="008E0360">
      <w:pPr>
        <w:spacing w:after="0"/>
        <w:ind w:right="91"/>
      </w:pPr>
      <w:r>
        <w:t xml:space="preserve">The scope of the ‘financial advisers’ class of trusted advisers relies on the broad definition of ‘relevant provider’ in the </w:t>
      </w:r>
      <w:r w:rsidRPr="000446B2">
        <w:rPr>
          <w:i/>
          <w:iCs/>
        </w:rPr>
        <w:t>Corporations Act 2001</w:t>
      </w:r>
      <w:r w:rsidRPr="000446B2">
        <w:t xml:space="preserve">. </w:t>
      </w:r>
      <w:r w:rsidR="00500648">
        <w:t xml:space="preserve">While they are ‘relevant providers’, </w:t>
      </w:r>
      <w:r w:rsidR="00500648" w:rsidRPr="005E7754">
        <w:t xml:space="preserve">limited-service time-sharing advisers and provisional relevant providers </w:t>
      </w:r>
      <w:r w:rsidR="00500648">
        <w:t xml:space="preserve">have been excluded on the basis that the </w:t>
      </w:r>
      <w:r w:rsidR="00500648" w:rsidRPr="00D2205A">
        <w:rPr>
          <w:i/>
          <w:iCs/>
        </w:rPr>
        <w:t>Corporations Act 2001</w:t>
      </w:r>
      <w:r w:rsidR="00500648">
        <w:t xml:space="preserve"> does not allow them to refer to themselves as ‘financial </w:t>
      </w:r>
      <w:proofErr w:type="gramStart"/>
      <w:r w:rsidR="00500648">
        <w:t>advisers’</w:t>
      </w:r>
      <w:proofErr w:type="gramEnd"/>
      <w:r w:rsidR="00500648">
        <w:t>.</w:t>
      </w:r>
      <w:r w:rsidR="00500648" w:rsidRPr="005E7754">
        <w:t xml:space="preserve"> </w:t>
      </w:r>
      <w:r w:rsidR="00500648">
        <w:t>Additionally, l</w:t>
      </w:r>
      <w:r w:rsidR="00500648" w:rsidRPr="005E7754">
        <w:t xml:space="preserve">imited-service time-sharing advisers </w:t>
      </w:r>
      <w:r w:rsidR="00500648">
        <w:t>have</w:t>
      </w:r>
      <w:r w:rsidR="00500648" w:rsidRPr="005E7754">
        <w:t xml:space="preserve"> lower </w:t>
      </w:r>
      <w:r w:rsidR="00500648">
        <w:t>education and training</w:t>
      </w:r>
      <w:r w:rsidR="00500648" w:rsidRPr="005E7754">
        <w:t xml:space="preserve"> </w:t>
      </w:r>
      <w:r w:rsidR="00500648">
        <w:t xml:space="preserve">standards </w:t>
      </w:r>
      <w:r>
        <w:t>and are exempt from the ban on conflicted remuneration</w:t>
      </w:r>
      <w:r w:rsidR="00500648">
        <w:t xml:space="preserve">, </w:t>
      </w:r>
      <w:r>
        <w:t>and provisional relevant providers are required to be supervised.</w:t>
      </w:r>
    </w:p>
    <w:p w14:paraId="3859066A" w14:textId="2342F077" w:rsidR="006F6101" w:rsidRPr="00CC463B" w:rsidRDefault="008557A2" w:rsidP="008E0360">
      <w:r>
        <w:t xml:space="preserve">Where an accredited </w:t>
      </w:r>
      <w:r w:rsidR="00B86B52">
        <w:t xml:space="preserve">data recipient </w:t>
      </w:r>
      <w:r>
        <w:t xml:space="preserve">discloses to someone who is not </w:t>
      </w:r>
      <w:r w:rsidR="00B760A1">
        <w:t>a member of a</w:t>
      </w:r>
      <w:r>
        <w:t xml:space="preserve"> trusted advis</w:t>
      </w:r>
      <w:r w:rsidR="00975712">
        <w:t>e</w:t>
      </w:r>
      <w:r>
        <w:t xml:space="preserve">r class, this would not be </w:t>
      </w:r>
      <w:r w:rsidR="00D36B25">
        <w:t>a</w:t>
      </w:r>
      <w:r>
        <w:t xml:space="preserve"> permitted use or disclosure and </w:t>
      </w:r>
      <w:r w:rsidR="009C4B88">
        <w:t>a contravention of the civil penalty obligation in</w:t>
      </w:r>
      <w:r w:rsidDel="009C4B88">
        <w:t xml:space="preserve"> </w:t>
      </w:r>
      <w:r w:rsidR="00B760A1">
        <w:t>existing rule 7.6.</w:t>
      </w:r>
      <w:r>
        <w:t xml:space="preserve"> </w:t>
      </w:r>
      <w:r w:rsidR="006769DE" w:rsidRPr="006769DE">
        <w:t>However, where an accredited person takes reasonable steps to confirm that a nominated trusted adviser was, and remains a member of a trusted adviser class, the person is taken to be a member of that class.</w:t>
      </w:r>
      <w:r w:rsidR="0069260D">
        <w:t xml:space="preserve"> </w:t>
      </w:r>
      <w:r w:rsidR="00BD3F88">
        <w:rPr>
          <w:b/>
          <w:bCs/>
          <w:i/>
          <w:iCs/>
          <w:sz w:val="18"/>
          <w:szCs w:val="18"/>
        </w:rPr>
        <w:t>[Schedule 3, item 5, rule 1.10C(3)]</w:t>
      </w:r>
    </w:p>
    <w:p w14:paraId="02A41273" w14:textId="002FD411" w:rsidR="00FB168A" w:rsidRDefault="00D57289" w:rsidP="008E0360">
      <w:pPr>
        <w:spacing w:after="0"/>
        <w:ind w:right="91"/>
      </w:pPr>
      <w:r>
        <w:t xml:space="preserve">The reasonable steps that an accredited </w:t>
      </w:r>
      <w:r w:rsidR="00BA4A6F">
        <w:t xml:space="preserve">data recipient may </w:t>
      </w:r>
      <w:r>
        <w:t xml:space="preserve">take </w:t>
      </w:r>
      <w:r w:rsidR="004572D4">
        <w:t xml:space="preserve">to confirm that a nominated trusted adviser is a </w:t>
      </w:r>
      <w:r w:rsidR="00BA4A6F">
        <w:t xml:space="preserve">member of a trusted adviser class is </w:t>
      </w:r>
      <w:r w:rsidR="004572D4">
        <w:t xml:space="preserve">a scalable standard that will depend on the circumstances. </w:t>
      </w:r>
      <w:r w:rsidR="004870FA">
        <w:t xml:space="preserve">For example, the intention is that </w:t>
      </w:r>
      <w:r w:rsidR="00FB168A">
        <w:t>seeking confirmation from the trusted adviser that they are a member of a class of trusted advisers</w:t>
      </w:r>
      <w:r w:rsidR="006D22EF">
        <w:t xml:space="preserve"> (which may take the form of a contractual warranty, or an attestation or representation by the adviser)</w:t>
      </w:r>
      <w:r w:rsidR="00FB168A">
        <w:t xml:space="preserve">, or </w:t>
      </w:r>
      <w:r w:rsidR="004870FA">
        <w:t>search</w:t>
      </w:r>
      <w:r w:rsidR="00FB168A">
        <w:t xml:space="preserve">ing </w:t>
      </w:r>
      <w:r w:rsidR="004870FA">
        <w:t>publicly available information</w:t>
      </w:r>
      <w:r w:rsidR="008C0466">
        <w:t>,</w:t>
      </w:r>
      <w:r w:rsidR="00FB168A">
        <w:t xml:space="preserve"> </w:t>
      </w:r>
      <w:r w:rsidR="00BA4A6F">
        <w:t>would generally</w:t>
      </w:r>
      <w:r w:rsidR="00FB168A">
        <w:t xml:space="preserve"> satisfy this test. </w:t>
      </w:r>
      <w:r w:rsidR="008B6252">
        <w:t xml:space="preserve">Circumstances that </w:t>
      </w:r>
      <w:r w:rsidR="00BA4A6F">
        <w:t xml:space="preserve">may </w:t>
      </w:r>
      <w:r w:rsidR="008B6252">
        <w:t>be relevant to whether</w:t>
      </w:r>
      <w:r w:rsidR="00922D50">
        <w:t xml:space="preserve"> </w:t>
      </w:r>
      <w:r w:rsidR="008B6252">
        <w:t>steps taken are ‘reasonable’ include whether it is the consumer</w:t>
      </w:r>
      <w:r w:rsidR="00A034CD">
        <w:t>,</w:t>
      </w:r>
      <w:r w:rsidR="008B6252">
        <w:t xml:space="preserve"> or accredited data recipient</w:t>
      </w:r>
      <w:r w:rsidR="00EE29CD">
        <w:t>,</w:t>
      </w:r>
      <w:r w:rsidR="008B6252">
        <w:t xml:space="preserve"> that has </w:t>
      </w:r>
      <w:r w:rsidR="00922D50">
        <w:t xml:space="preserve">a closer </w:t>
      </w:r>
      <w:r w:rsidR="008B6252">
        <w:t>relationship with the proposed trusted adviser</w:t>
      </w:r>
      <w:r w:rsidR="00922D50">
        <w:t xml:space="preserve"> when they are nominated by the consumer</w:t>
      </w:r>
      <w:r w:rsidR="008B6252">
        <w:t>, or whe</w:t>
      </w:r>
      <w:r w:rsidR="00BC1292">
        <w:t xml:space="preserve">ther </w:t>
      </w:r>
      <w:r w:rsidR="008B6252">
        <w:t>the accredited data reci</w:t>
      </w:r>
      <w:r w:rsidR="00A034CD">
        <w:t xml:space="preserve">pient </w:t>
      </w:r>
      <w:r w:rsidR="00FB168A">
        <w:t>kn</w:t>
      </w:r>
      <w:r w:rsidR="00BC1292">
        <w:t>ew</w:t>
      </w:r>
      <w:r w:rsidR="00EE29CD">
        <w:t>,</w:t>
      </w:r>
      <w:r w:rsidR="00BC1292">
        <w:t xml:space="preserve"> </w:t>
      </w:r>
      <w:r w:rsidR="00FB168A">
        <w:t xml:space="preserve">or ought to </w:t>
      </w:r>
      <w:r w:rsidR="00BC1292">
        <w:t xml:space="preserve">have </w:t>
      </w:r>
      <w:r w:rsidR="00FB168A">
        <w:t>know</w:t>
      </w:r>
      <w:r w:rsidR="00BC1292">
        <w:t>n</w:t>
      </w:r>
      <w:r w:rsidR="00A034CD">
        <w:t>,</w:t>
      </w:r>
      <w:r w:rsidR="00FB168A">
        <w:t xml:space="preserve"> that the </w:t>
      </w:r>
      <w:r w:rsidR="00BC1292">
        <w:t xml:space="preserve">relevant person was </w:t>
      </w:r>
      <w:r w:rsidR="00FB168A">
        <w:t xml:space="preserve">not a trusted adviser. </w:t>
      </w:r>
      <w:r w:rsidR="008A70CE">
        <w:t xml:space="preserve">Where the consumer has an existing relationship with the trusted adviser, the intention is that what is required to meet the reasonable steps test will be less onerous than where is the accredited </w:t>
      </w:r>
      <w:r w:rsidR="008A70CE">
        <w:lastRenderedPageBreak/>
        <w:t xml:space="preserve">data recipient that has </w:t>
      </w:r>
      <w:r w:rsidR="00922D50">
        <w:t xml:space="preserve">an </w:t>
      </w:r>
      <w:r w:rsidR="008A70CE">
        <w:t>existing relationship. Further, where the accredited data recipient knew, or ought to have know</w:t>
      </w:r>
      <w:r w:rsidR="00D67B31">
        <w:t>n</w:t>
      </w:r>
      <w:r w:rsidR="008A70CE">
        <w:t xml:space="preserve"> that a person is not a trusted adviser, the intention is that </w:t>
      </w:r>
      <w:r w:rsidR="00A44BBE">
        <w:t>they would not be able to satisfy the reasonable steps test</w:t>
      </w:r>
      <w:r w:rsidR="00503DD4">
        <w:t>.</w:t>
      </w:r>
    </w:p>
    <w:p w14:paraId="75351196" w14:textId="5EF862A1" w:rsidR="004512F1" w:rsidRPr="00CC463B" w:rsidRDefault="00B86B52" w:rsidP="008E0360">
      <w:pPr>
        <w:spacing w:after="0"/>
        <w:ind w:right="91"/>
      </w:pPr>
      <w:r>
        <w:t>An</w:t>
      </w:r>
      <w:r w:rsidR="004512F1" w:rsidRPr="00CC463B" w:rsidDel="00B86B52">
        <w:t xml:space="preserve"> </w:t>
      </w:r>
      <w:r w:rsidR="004512F1" w:rsidRPr="00CC463B">
        <w:t>accredited person cannot make the nomination of a trusted adviser or the giving of a TA disclosure consent a condition for the supply of goods and services requested by the CDR consumer.</w:t>
      </w:r>
      <w:r w:rsidR="00325EFD" w:rsidRPr="00325EFD">
        <w:rPr>
          <w:b/>
          <w:bCs/>
          <w:i/>
          <w:iCs/>
          <w:sz w:val="18"/>
          <w:szCs w:val="18"/>
        </w:rPr>
        <w:t xml:space="preserve"> </w:t>
      </w:r>
      <w:r w:rsidR="00325EFD">
        <w:rPr>
          <w:b/>
          <w:bCs/>
          <w:i/>
          <w:iCs/>
          <w:sz w:val="18"/>
          <w:szCs w:val="18"/>
        </w:rPr>
        <w:t>[Schedule 3, item 5, rule 1.10C(4)]</w:t>
      </w:r>
    </w:p>
    <w:p w14:paraId="0FF09497" w14:textId="77777777" w:rsidR="004512F1" w:rsidRPr="00CC463B" w:rsidRDefault="004512F1" w:rsidP="008E0360">
      <w:pPr>
        <w:spacing w:before="240" w:line="276" w:lineRule="auto"/>
        <w:rPr>
          <w:i/>
          <w:iCs/>
        </w:rPr>
      </w:pPr>
      <w:r w:rsidRPr="00CC463B">
        <w:rPr>
          <w:i/>
          <w:iCs/>
        </w:rPr>
        <w:t xml:space="preserve">Consumer protections </w:t>
      </w:r>
    </w:p>
    <w:p w14:paraId="1B812A51" w14:textId="69025D10" w:rsidR="004512F1" w:rsidRDefault="004512F1" w:rsidP="008E0360">
      <w:pPr>
        <w:spacing w:after="0"/>
        <w:ind w:right="91"/>
      </w:pPr>
      <w:r w:rsidRPr="00CC463B">
        <w:t xml:space="preserve">Trusted </w:t>
      </w:r>
      <w:r>
        <w:t>a</w:t>
      </w:r>
      <w:r w:rsidRPr="00CC463B">
        <w:t>dvisers</w:t>
      </w:r>
      <w:r w:rsidR="006D22EF">
        <w:t>, being unaccredited,</w:t>
      </w:r>
      <w:r w:rsidRPr="00CC463B">
        <w:t xml:space="preserve"> do not attract the regulatory obligations </w:t>
      </w:r>
      <w:r>
        <w:t>that apply to</w:t>
      </w:r>
      <w:r w:rsidRPr="00CC463B">
        <w:t xml:space="preserve"> </w:t>
      </w:r>
      <w:r w:rsidR="00723E15">
        <w:t>accredited data recipient</w:t>
      </w:r>
      <w:r>
        <w:t>s</w:t>
      </w:r>
      <w:r w:rsidRPr="00CC463B">
        <w:t xml:space="preserve"> under the CDR regime. However, </w:t>
      </w:r>
      <w:r>
        <w:t xml:space="preserve">the </w:t>
      </w:r>
      <w:r w:rsidR="00356020">
        <w:t xml:space="preserve">Amending </w:t>
      </w:r>
      <w:r w:rsidR="00EF5881">
        <w:t>R</w:t>
      </w:r>
      <w:r>
        <w:t xml:space="preserve">ules recognise that </w:t>
      </w:r>
      <w:r w:rsidRPr="00CC463B">
        <w:t xml:space="preserve">as members of a professional class, they are subject to existing professional or regulatory oversight, including obligations </w:t>
      </w:r>
      <w:r w:rsidR="001C15F5">
        <w:t>to act in accordance with the consumer’s interests</w:t>
      </w:r>
      <w:r w:rsidRPr="00CC463B">
        <w:t xml:space="preserve"> (</w:t>
      </w:r>
      <w:proofErr w:type="gramStart"/>
      <w:r w:rsidRPr="00CC463B">
        <w:t>e.g.</w:t>
      </w:r>
      <w:proofErr w:type="gramEnd"/>
      <w:r w:rsidRPr="00CC463B">
        <w:t xml:space="preserve"> fiduciary or other duties to act in the best interests of their clients).</w:t>
      </w:r>
    </w:p>
    <w:p w14:paraId="45412783" w14:textId="54E1972D" w:rsidR="004512F1" w:rsidRDefault="004512F1" w:rsidP="008E0360">
      <w:pPr>
        <w:spacing w:after="0"/>
        <w:ind w:right="91"/>
      </w:pPr>
      <w:r>
        <w:t xml:space="preserve">The following requirements strengthen the protections for CDR consumers </w:t>
      </w:r>
      <w:r w:rsidR="001D6B85">
        <w:t xml:space="preserve">who </w:t>
      </w:r>
      <w:r>
        <w:t>wish to disclose their CDR data to their nominated trusted advisers:</w:t>
      </w:r>
    </w:p>
    <w:p w14:paraId="4E0633C7" w14:textId="3294B44E" w:rsidR="00463015" w:rsidRPr="00CC463B" w:rsidRDefault="004512F1" w:rsidP="008E0360">
      <w:pPr>
        <w:pStyle w:val="Bullet"/>
        <w:spacing w:before="120"/>
      </w:pPr>
      <w:r>
        <w:t>T</w:t>
      </w:r>
      <w:r w:rsidRPr="00CC463B">
        <w:t>he</w:t>
      </w:r>
      <w:r w:rsidRPr="00CC463B" w:rsidDel="00C04AA6">
        <w:t xml:space="preserve"> </w:t>
      </w:r>
      <w:r w:rsidR="00C04AA6">
        <w:t>disclosure</w:t>
      </w:r>
      <w:r w:rsidRPr="00CC463B">
        <w:t xml:space="preserve"> of the CDR data from </w:t>
      </w:r>
      <w:r>
        <w:t>an</w:t>
      </w:r>
      <w:r w:rsidRPr="00CC463B">
        <w:t xml:space="preserve"> </w:t>
      </w:r>
      <w:r w:rsidR="00723E15">
        <w:t>accredited data recipient</w:t>
      </w:r>
      <w:r w:rsidRPr="00CC463B">
        <w:t xml:space="preserve"> to</w:t>
      </w:r>
      <w:r w:rsidRPr="00CC463B" w:rsidDel="00A368F9">
        <w:t xml:space="preserve"> </w:t>
      </w:r>
      <w:r>
        <w:t>a</w:t>
      </w:r>
      <w:r w:rsidRPr="00CC463B">
        <w:t xml:space="preserve"> trusted adviser is covered by the information security controls </w:t>
      </w:r>
      <w:r>
        <w:t>in</w:t>
      </w:r>
      <w:r w:rsidRPr="00CC463B">
        <w:t xml:space="preserve"> Schedule 2 </w:t>
      </w:r>
      <w:r>
        <w:t>to</w:t>
      </w:r>
      <w:r w:rsidRPr="00CC463B">
        <w:t xml:space="preserve"> the CDR Rules</w:t>
      </w:r>
      <w:r w:rsidR="00484BA5">
        <w:t xml:space="preserve">. Therefore, the minimum </w:t>
      </w:r>
      <w:r w:rsidR="00C04AA6">
        <w:t xml:space="preserve">information security </w:t>
      </w:r>
      <w:r w:rsidR="00484BA5">
        <w:t>control o</w:t>
      </w:r>
      <w:r w:rsidR="00C04AA6">
        <w:t>f</w:t>
      </w:r>
      <w:r w:rsidR="00484BA5">
        <w:t xml:space="preserve"> encrypt</w:t>
      </w:r>
      <w:r w:rsidR="00C04AA6">
        <w:t>ing</w:t>
      </w:r>
      <w:r w:rsidR="00484BA5">
        <w:t xml:space="preserve"> data in transit applies to the disclosure</w:t>
      </w:r>
      <w:r w:rsidRPr="00CC463B">
        <w:t>.</w:t>
      </w:r>
    </w:p>
    <w:p w14:paraId="09FCD81B" w14:textId="2D4C8E74" w:rsidR="004350D0" w:rsidRPr="00CC463B" w:rsidRDefault="00463015" w:rsidP="008E0360">
      <w:pPr>
        <w:pStyle w:val="Bullet"/>
        <w:spacing w:before="120"/>
      </w:pPr>
      <w:r>
        <w:t>TA d</w:t>
      </w:r>
      <w:r w:rsidR="004512F1">
        <w:t xml:space="preserve">isclosures are subject to </w:t>
      </w:r>
      <w:r w:rsidR="002925E0">
        <w:t>consumer experience</w:t>
      </w:r>
      <w:r w:rsidR="004512F1">
        <w:t xml:space="preserve"> </w:t>
      </w:r>
      <w:r w:rsidR="003F0614">
        <w:t xml:space="preserve">data </w:t>
      </w:r>
      <w:r w:rsidR="004512F1">
        <w:t xml:space="preserve">standards made by the Data Standards </w:t>
      </w:r>
      <w:r w:rsidR="003F0614">
        <w:t>Chair</w:t>
      </w:r>
      <w:r w:rsidR="00340FEE">
        <w:t>. A</w:t>
      </w:r>
      <w:r>
        <w:t xml:space="preserve"> disclosure to a trusted advis</w:t>
      </w:r>
      <w:r w:rsidR="006C57AF">
        <w:t>e</w:t>
      </w:r>
      <w:r>
        <w:t xml:space="preserve">r is not a permitted use or disclosure until 1 February 2022 or the day the Data Standards Chair makes the </w:t>
      </w:r>
      <w:r w:rsidR="00340FEE">
        <w:t xml:space="preserve">relevant </w:t>
      </w:r>
      <w:r>
        <w:t xml:space="preserve">data standards </w:t>
      </w:r>
      <w:r w:rsidRPr="00463015">
        <w:rPr>
          <w:b/>
          <w:bCs/>
          <w:i/>
          <w:iCs/>
          <w:sz w:val="18"/>
          <w:szCs w:val="18"/>
        </w:rPr>
        <w:t xml:space="preserve">[Schedule 3, item </w:t>
      </w:r>
      <w:r>
        <w:rPr>
          <w:b/>
          <w:bCs/>
          <w:i/>
          <w:iCs/>
          <w:sz w:val="18"/>
          <w:szCs w:val="18"/>
        </w:rPr>
        <w:t>10</w:t>
      </w:r>
      <w:r w:rsidRPr="00463015">
        <w:rPr>
          <w:b/>
          <w:bCs/>
          <w:i/>
          <w:iCs/>
          <w:sz w:val="18"/>
          <w:szCs w:val="18"/>
        </w:rPr>
        <w:t>, rule</w:t>
      </w:r>
      <w:r w:rsidR="006769DE">
        <w:rPr>
          <w:b/>
          <w:bCs/>
          <w:i/>
          <w:iCs/>
          <w:sz w:val="18"/>
          <w:szCs w:val="18"/>
        </w:rPr>
        <w:t> </w:t>
      </w:r>
      <w:r>
        <w:rPr>
          <w:b/>
          <w:bCs/>
          <w:i/>
          <w:iCs/>
          <w:sz w:val="18"/>
          <w:szCs w:val="18"/>
        </w:rPr>
        <w:t>7.5A(2)</w:t>
      </w:r>
      <w:r w:rsidRPr="00463015">
        <w:rPr>
          <w:b/>
          <w:bCs/>
          <w:i/>
          <w:iCs/>
          <w:sz w:val="18"/>
          <w:szCs w:val="18"/>
        </w:rPr>
        <w:t>]</w:t>
      </w:r>
      <w:r>
        <w:t xml:space="preserve">. </w:t>
      </w:r>
      <w:r w:rsidR="004512F1">
        <w:t>This ensure</w:t>
      </w:r>
      <w:r w:rsidR="002925E0">
        <w:t>s</w:t>
      </w:r>
      <w:r w:rsidR="004512F1">
        <w:t xml:space="preserve"> the CDR consumer is provided with adequate information to give informed consent </w:t>
      </w:r>
      <w:r w:rsidR="00F648B4">
        <w:t>–</w:t>
      </w:r>
      <w:r w:rsidR="004512F1">
        <w:t xml:space="preserve"> for example, </w:t>
      </w:r>
      <w:r w:rsidR="00C04AA6">
        <w:t xml:space="preserve">this may include </w:t>
      </w:r>
      <w:r w:rsidR="004512F1">
        <w:t xml:space="preserve">information that the use of the data by the recipient will not be covered by the CDR regime and the </w:t>
      </w:r>
      <w:r w:rsidR="004512F1" w:rsidDel="008510A1">
        <w:t>recipient</w:t>
      </w:r>
      <w:r w:rsidR="004512F1">
        <w:t xml:space="preserve"> may not have obligations under the </w:t>
      </w:r>
      <w:r w:rsidR="004512F1" w:rsidRPr="00C74FE4">
        <w:rPr>
          <w:i/>
          <w:iCs/>
        </w:rPr>
        <w:t>Privacy Act 1988.</w:t>
      </w:r>
      <w:r w:rsidR="004512F1" w:rsidRPr="00CC463B">
        <w:t xml:space="preserve"> </w:t>
      </w:r>
    </w:p>
    <w:p w14:paraId="2062A13E" w14:textId="739DB001" w:rsidR="004512F1" w:rsidRPr="001A0440" w:rsidRDefault="004512F1" w:rsidP="008E0360">
      <w:pPr>
        <w:pStyle w:val="Bullet"/>
        <w:spacing w:before="120"/>
      </w:pPr>
      <w:r>
        <w:t>W</w:t>
      </w:r>
      <w:r w:rsidRPr="00CC463B">
        <w:t xml:space="preserve">hen the </w:t>
      </w:r>
      <w:r w:rsidR="00723E15">
        <w:t>accredited data recipient</w:t>
      </w:r>
      <w:r w:rsidRPr="00CC463B">
        <w:t xml:space="preserve"> discloses the CDR data to a trusted adviser, the </w:t>
      </w:r>
      <w:r w:rsidR="00723E15">
        <w:t>accredited data recipient</w:t>
      </w:r>
      <w:r w:rsidRPr="00CC463B">
        <w:t xml:space="preserve"> must update each consumer dashboard that relates to the request to indicate what CDR data was disclosed, when it was disclosed and the name of the trusted adviser</w:t>
      </w:r>
      <w:r>
        <w:t xml:space="preserve"> it was disclosed to</w:t>
      </w:r>
      <w:r w:rsidRPr="00CC463B">
        <w:t>. This enable</w:t>
      </w:r>
      <w:r w:rsidR="00ED0C90">
        <w:t>s</w:t>
      </w:r>
      <w:r w:rsidRPr="00CC463B">
        <w:t xml:space="preserve"> the CDR consumer to monitor </w:t>
      </w:r>
      <w:r w:rsidR="00C04AA6">
        <w:t xml:space="preserve">who </w:t>
      </w:r>
      <w:r w:rsidR="00AA0199">
        <w:t xml:space="preserve">has received </w:t>
      </w:r>
      <w:r w:rsidRPr="00CC463B">
        <w:t xml:space="preserve">their data, and if </w:t>
      </w:r>
      <w:r w:rsidR="00C04AA6">
        <w:t xml:space="preserve">they </w:t>
      </w:r>
      <w:r w:rsidR="00AA0199">
        <w:t>decide to</w:t>
      </w:r>
      <w:r w:rsidRPr="00CC463B">
        <w:t xml:space="preserve">, withdraw </w:t>
      </w:r>
      <w:r w:rsidR="00AA0199">
        <w:t>any active</w:t>
      </w:r>
      <w:r>
        <w:t xml:space="preserve"> consent</w:t>
      </w:r>
      <w:r w:rsidR="00AA0199">
        <w:t>s</w:t>
      </w:r>
      <w:r w:rsidR="00C04AA6">
        <w:t xml:space="preserve"> to disclose further CDR data</w:t>
      </w:r>
      <w:r w:rsidRPr="00CC463B">
        <w:t>.</w:t>
      </w:r>
      <w:r w:rsidR="00C74FE4">
        <w:t xml:space="preserve"> </w:t>
      </w:r>
      <w:r w:rsidR="00C74FE4" w:rsidRPr="004350D0">
        <w:rPr>
          <w:b/>
          <w:bCs/>
          <w:i/>
          <w:iCs/>
          <w:sz w:val="18"/>
          <w:szCs w:val="18"/>
        </w:rPr>
        <w:t xml:space="preserve">[Schedule 3, item </w:t>
      </w:r>
      <w:r w:rsidR="00C74FE4">
        <w:rPr>
          <w:b/>
          <w:bCs/>
          <w:i/>
          <w:iCs/>
          <w:sz w:val="18"/>
          <w:szCs w:val="18"/>
        </w:rPr>
        <w:t>11</w:t>
      </w:r>
      <w:r w:rsidR="00C74FE4" w:rsidRPr="004350D0">
        <w:rPr>
          <w:b/>
          <w:bCs/>
          <w:i/>
          <w:iCs/>
          <w:sz w:val="18"/>
          <w:szCs w:val="18"/>
        </w:rPr>
        <w:t xml:space="preserve">, rule </w:t>
      </w:r>
      <w:r w:rsidR="00C74FE4">
        <w:rPr>
          <w:b/>
          <w:bCs/>
          <w:i/>
          <w:iCs/>
          <w:sz w:val="18"/>
          <w:szCs w:val="18"/>
        </w:rPr>
        <w:t>7.9</w:t>
      </w:r>
      <w:r w:rsidR="00C74FE4" w:rsidRPr="004350D0">
        <w:rPr>
          <w:b/>
          <w:bCs/>
          <w:i/>
          <w:iCs/>
          <w:sz w:val="18"/>
          <w:szCs w:val="18"/>
        </w:rPr>
        <w:t>(</w:t>
      </w:r>
      <w:r w:rsidR="00C74FE4">
        <w:rPr>
          <w:b/>
          <w:bCs/>
          <w:i/>
          <w:iCs/>
          <w:sz w:val="18"/>
          <w:szCs w:val="18"/>
        </w:rPr>
        <w:t>3</w:t>
      </w:r>
      <w:r w:rsidR="00C74FE4" w:rsidRPr="004350D0">
        <w:rPr>
          <w:b/>
          <w:bCs/>
          <w:i/>
          <w:iCs/>
          <w:sz w:val="18"/>
          <w:szCs w:val="18"/>
        </w:rPr>
        <w:t>)]</w:t>
      </w:r>
    </w:p>
    <w:p w14:paraId="183B84ED" w14:textId="6B7213DE" w:rsidR="004512F1" w:rsidRPr="00CC463B" w:rsidRDefault="004512F1" w:rsidP="008E0360">
      <w:pPr>
        <w:pStyle w:val="Dotpoint"/>
        <w:keepNext/>
        <w:numPr>
          <w:ilvl w:val="0"/>
          <w:numId w:val="0"/>
        </w:numPr>
        <w:spacing w:before="240"/>
        <w:rPr>
          <w:i/>
          <w:iCs/>
        </w:rPr>
      </w:pPr>
      <w:r w:rsidRPr="00CC463B">
        <w:rPr>
          <w:i/>
          <w:iCs/>
        </w:rPr>
        <w:t xml:space="preserve">Record keeping and reporting </w:t>
      </w:r>
    </w:p>
    <w:p w14:paraId="19107749" w14:textId="415A0414" w:rsidR="004512F1" w:rsidRDefault="00315C3D" w:rsidP="008E0360">
      <w:pPr>
        <w:spacing w:after="0"/>
        <w:ind w:right="91"/>
      </w:pPr>
      <w:r>
        <w:t xml:space="preserve">Accredited data recipients are subject to record keeping requirements for TA </w:t>
      </w:r>
      <w:r w:rsidR="006C57AF" w:rsidDel="00315C3D">
        <w:t>disclosures</w:t>
      </w:r>
      <w:r w:rsidR="006C57AF">
        <w:t>.</w:t>
      </w:r>
      <w:r>
        <w:t xml:space="preserve"> They must</w:t>
      </w:r>
      <w:r w:rsidR="004350D0" w:rsidDel="00315C3D">
        <w:t xml:space="preserve"> </w:t>
      </w:r>
      <w:r w:rsidR="004350D0">
        <w:t xml:space="preserve">maintain records </w:t>
      </w:r>
      <w:r w:rsidR="006C57AF">
        <w:t xml:space="preserve">of what CDR data was disclosed to trusted advisers, the trusted advisers to whom it was disclosed, and any steps taken to confirm that the trusted adviser was a member of a class of trusted advisers. </w:t>
      </w:r>
      <w:r w:rsidR="006C57AF" w:rsidRPr="0079324A">
        <w:rPr>
          <w:b/>
          <w:bCs/>
          <w:i/>
          <w:iCs/>
          <w:sz w:val="18"/>
          <w:szCs w:val="18"/>
        </w:rPr>
        <w:t>[Schedule</w:t>
      </w:r>
      <w:r w:rsidR="00E70637">
        <w:rPr>
          <w:b/>
          <w:bCs/>
          <w:i/>
          <w:iCs/>
          <w:sz w:val="18"/>
          <w:szCs w:val="18"/>
        </w:rPr>
        <w:t> </w:t>
      </w:r>
      <w:r w:rsidR="006C57AF" w:rsidRPr="0079324A">
        <w:rPr>
          <w:b/>
          <w:bCs/>
          <w:i/>
          <w:iCs/>
          <w:sz w:val="18"/>
          <w:szCs w:val="18"/>
        </w:rPr>
        <w:t xml:space="preserve">3, item </w:t>
      </w:r>
      <w:r w:rsidR="006C57AF">
        <w:rPr>
          <w:b/>
          <w:bCs/>
          <w:i/>
          <w:iCs/>
          <w:sz w:val="18"/>
          <w:szCs w:val="18"/>
        </w:rPr>
        <w:t>14</w:t>
      </w:r>
      <w:r w:rsidR="006C57AF" w:rsidRPr="0079324A">
        <w:rPr>
          <w:b/>
          <w:bCs/>
          <w:i/>
          <w:iCs/>
          <w:sz w:val="18"/>
          <w:szCs w:val="18"/>
        </w:rPr>
        <w:t>, rule</w:t>
      </w:r>
      <w:r w:rsidR="00E70637">
        <w:rPr>
          <w:b/>
          <w:bCs/>
          <w:i/>
          <w:iCs/>
          <w:sz w:val="18"/>
          <w:szCs w:val="18"/>
        </w:rPr>
        <w:t>s</w:t>
      </w:r>
      <w:r w:rsidR="006C57AF" w:rsidRPr="0079324A">
        <w:rPr>
          <w:b/>
          <w:bCs/>
          <w:i/>
          <w:iCs/>
          <w:sz w:val="18"/>
          <w:szCs w:val="18"/>
        </w:rPr>
        <w:t xml:space="preserve"> </w:t>
      </w:r>
      <w:r w:rsidR="006C57AF">
        <w:rPr>
          <w:b/>
          <w:bCs/>
          <w:i/>
          <w:iCs/>
          <w:sz w:val="18"/>
          <w:szCs w:val="18"/>
        </w:rPr>
        <w:t>9.3(</w:t>
      </w:r>
      <w:proofErr w:type="gramStart"/>
      <w:r w:rsidR="006C57AF">
        <w:rPr>
          <w:b/>
          <w:bCs/>
          <w:i/>
          <w:iCs/>
          <w:sz w:val="18"/>
          <w:szCs w:val="18"/>
        </w:rPr>
        <w:t>2</w:t>
      </w:r>
      <w:r w:rsidR="008E42AF">
        <w:rPr>
          <w:b/>
          <w:bCs/>
          <w:i/>
          <w:iCs/>
          <w:sz w:val="18"/>
          <w:szCs w:val="18"/>
        </w:rPr>
        <w:t>)</w:t>
      </w:r>
      <w:r w:rsidR="006C57AF">
        <w:rPr>
          <w:b/>
          <w:bCs/>
          <w:i/>
          <w:iCs/>
          <w:sz w:val="18"/>
          <w:szCs w:val="18"/>
        </w:rPr>
        <w:t>(</w:t>
      </w:r>
      <w:proofErr w:type="gramEnd"/>
      <w:r w:rsidR="006C57AF">
        <w:rPr>
          <w:b/>
          <w:bCs/>
          <w:i/>
          <w:iCs/>
          <w:sz w:val="18"/>
          <w:szCs w:val="18"/>
        </w:rPr>
        <w:t>eb)</w:t>
      </w:r>
      <w:r w:rsidR="00E70637">
        <w:rPr>
          <w:b/>
          <w:bCs/>
          <w:i/>
          <w:iCs/>
          <w:sz w:val="18"/>
          <w:szCs w:val="18"/>
        </w:rPr>
        <w:t>-</w:t>
      </w:r>
      <w:r w:rsidR="006C57AF">
        <w:rPr>
          <w:b/>
          <w:bCs/>
          <w:i/>
          <w:iCs/>
          <w:sz w:val="18"/>
          <w:szCs w:val="18"/>
        </w:rPr>
        <w:t>(</w:t>
      </w:r>
      <w:proofErr w:type="spellStart"/>
      <w:r w:rsidR="006C57AF">
        <w:rPr>
          <w:b/>
          <w:bCs/>
          <w:i/>
          <w:iCs/>
          <w:sz w:val="18"/>
          <w:szCs w:val="18"/>
        </w:rPr>
        <w:t>ec</w:t>
      </w:r>
      <w:proofErr w:type="spellEnd"/>
      <w:r w:rsidR="006C57AF">
        <w:rPr>
          <w:b/>
          <w:bCs/>
          <w:i/>
          <w:iCs/>
          <w:sz w:val="18"/>
          <w:szCs w:val="18"/>
        </w:rPr>
        <w:t>)</w:t>
      </w:r>
      <w:r w:rsidR="006C57AF" w:rsidRPr="0079324A">
        <w:rPr>
          <w:b/>
          <w:bCs/>
          <w:i/>
          <w:iCs/>
          <w:sz w:val="18"/>
          <w:szCs w:val="18"/>
        </w:rPr>
        <w:t>]</w:t>
      </w:r>
      <w:r w:rsidR="006C57AF">
        <w:t>.</w:t>
      </w:r>
      <w:r w:rsidR="004512F1">
        <w:t xml:space="preserve"> </w:t>
      </w:r>
    </w:p>
    <w:p w14:paraId="27BCDE79" w14:textId="12BA706F" w:rsidR="004512F1" w:rsidRDefault="00E869EB" w:rsidP="008E0360">
      <w:pPr>
        <w:pStyle w:val="Bullet"/>
        <w:numPr>
          <w:ilvl w:val="0"/>
          <w:numId w:val="0"/>
        </w:numPr>
        <w:spacing w:before="120"/>
      </w:pPr>
      <w:r>
        <w:t>A</w:t>
      </w:r>
      <w:r w:rsidR="004350D0">
        <w:t>ccredited data recipient</w:t>
      </w:r>
      <w:r w:rsidR="008E42AF">
        <w:t>s</w:t>
      </w:r>
      <w:r w:rsidR="004350D0">
        <w:t xml:space="preserve"> </w:t>
      </w:r>
      <w:r>
        <w:t>must include</w:t>
      </w:r>
      <w:r w:rsidR="008E42AF">
        <w:t>,</w:t>
      </w:r>
      <w:r>
        <w:t xml:space="preserve"> in </w:t>
      </w:r>
      <w:r w:rsidR="00E70637">
        <w:t>their</w:t>
      </w:r>
      <w:r>
        <w:t xml:space="preserve"> </w:t>
      </w:r>
      <w:r w:rsidR="00340FEE">
        <w:t xml:space="preserve">regular reports to the </w:t>
      </w:r>
      <w:r w:rsidR="006D136A" w:rsidRPr="0030796D">
        <w:t>A</w:t>
      </w:r>
      <w:r w:rsidR="006D136A">
        <w:t>ustralian Competition and Consumer Commission</w:t>
      </w:r>
      <w:r w:rsidR="00340FEE">
        <w:t>,</w:t>
      </w:r>
      <w:r w:rsidR="004512F1" w:rsidRPr="00CC463B" w:rsidDel="006D136A">
        <w:t xml:space="preserve"> </w:t>
      </w:r>
      <w:r w:rsidR="004512F1" w:rsidRPr="00CC463B">
        <w:t xml:space="preserve">the number of consents </w:t>
      </w:r>
      <w:r w:rsidR="00A26E5C">
        <w:t>they</w:t>
      </w:r>
      <w:r w:rsidR="004512F1" w:rsidRPr="00CC463B">
        <w:t xml:space="preserve"> receive from CDR </w:t>
      </w:r>
      <w:r w:rsidR="00A26E5C">
        <w:t>consumers</w:t>
      </w:r>
      <w:r w:rsidR="004512F1" w:rsidRPr="00CC463B">
        <w:t xml:space="preserve"> and</w:t>
      </w:r>
      <w:r w:rsidR="0061747F">
        <w:t>,</w:t>
      </w:r>
      <w:r w:rsidR="004512F1" w:rsidRPr="00CC463B">
        <w:t xml:space="preserve"> for each class of trusted adviser, the number of trusted advisers to whom the CDR data was disclosed</w:t>
      </w:r>
      <w:r w:rsidR="004512F1">
        <w:t>.</w:t>
      </w:r>
      <w:r w:rsidR="004350D0" w:rsidRPr="004350D0">
        <w:rPr>
          <w:b/>
          <w:bCs/>
          <w:i/>
          <w:iCs/>
          <w:sz w:val="18"/>
          <w:szCs w:val="18"/>
        </w:rPr>
        <w:t xml:space="preserve"> </w:t>
      </w:r>
      <w:r w:rsidR="004350D0" w:rsidRPr="0079324A">
        <w:rPr>
          <w:b/>
          <w:bCs/>
          <w:i/>
          <w:iCs/>
          <w:sz w:val="18"/>
          <w:szCs w:val="18"/>
        </w:rPr>
        <w:t xml:space="preserve">[Schedule 3, item </w:t>
      </w:r>
      <w:r w:rsidR="004350D0">
        <w:rPr>
          <w:b/>
          <w:bCs/>
          <w:i/>
          <w:iCs/>
          <w:sz w:val="18"/>
          <w:szCs w:val="18"/>
        </w:rPr>
        <w:t>15</w:t>
      </w:r>
      <w:r w:rsidR="004350D0" w:rsidRPr="0079324A">
        <w:rPr>
          <w:b/>
          <w:bCs/>
          <w:i/>
          <w:iCs/>
          <w:sz w:val="18"/>
          <w:szCs w:val="18"/>
        </w:rPr>
        <w:t xml:space="preserve">, </w:t>
      </w:r>
      <w:r w:rsidR="004512F1" w:rsidRPr="0079324A">
        <w:rPr>
          <w:b/>
          <w:i/>
          <w:sz w:val="18"/>
          <w:szCs w:val="18"/>
        </w:rPr>
        <w:t>rule</w:t>
      </w:r>
      <w:r w:rsidR="004512F1">
        <w:rPr>
          <w:b/>
          <w:i/>
          <w:sz w:val="18"/>
          <w:szCs w:val="18"/>
        </w:rPr>
        <w:t>s</w:t>
      </w:r>
      <w:r w:rsidR="004512F1" w:rsidRPr="0079324A">
        <w:rPr>
          <w:b/>
          <w:i/>
          <w:sz w:val="18"/>
          <w:szCs w:val="18"/>
        </w:rPr>
        <w:t xml:space="preserve"> </w:t>
      </w:r>
      <w:r w:rsidR="004512F1">
        <w:rPr>
          <w:b/>
          <w:i/>
          <w:sz w:val="18"/>
          <w:szCs w:val="18"/>
        </w:rPr>
        <w:t>9.4(2)(f)(vi)</w:t>
      </w:r>
      <w:r w:rsidR="00E70637">
        <w:rPr>
          <w:b/>
          <w:i/>
          <w:sz w:val="18"/>
          <w:szCs w:val="18"/>
        </w:rPr>
        <w:t>-</w:t>
      </w:r>
      <w:r w:rsidR="004350D0">
        <w:rPr>
          <w:b/>
          <w:bCs/>
          <w:i/>
          <w:iCs/>
          <w:sz w:val="18"/>
          <w:szCs w:val="18"/>
        </w:rPr>
        <w:t>(vii</w:t>
      </w:r>
      <w:r w:rsidR="004350D0" w:rsidRPr="0079324A">
        <w:rPr>
          <w:b/>
          <w:bCs/>
          <w:i/>
          <w:iCs/>
          <w:sz w:val="18"/>
          <w:szCs w:val="18"/>
        </w:rPr>
        <w:t>)]</w:t>
      </w:r>
    </w:p>
    <w:p w14:paraId="7BDA2E96" w14:textId="5DEFAF1C" w:rsidR="009E0D18" w:rsidRDefault="009E0D18" w:rsidP="008E0360">
      <w:pPr>
        <w:spacing w:before="360" w:after="0"/>
        <w:ind w:right="91"/>
        <w:rPr>
          <w:b/>
        </w:rPr>
      </w:pPr>
      <w:r w:rsidRPr="00CC463B">
        <w:rPr>
          <w:b/>
        </w:rPr>
        <w:lastRenderedPageBreak/>
        <w:t>CDR insights</w:t>
      </w:r>
    </w:p>
    <w:bookmarkEnd w:id="9"/>
    <w:p w14:paraId="63E26F74" w14:textId="77777777" w:rsidR="004512F1" w:rsidRPr="00CC463B" w:rsidRDefault="004512F1" w:rsidP="008E0360">
      <w:pPr>
        <w:spacing w:before="240" w:after="0"/>
        <w:ind w:right="91"/>
        <w:rPr>
          <w:i/>
          <w:iCs/>
        </w:rPr>
      </w:pPr>
      <w:r w:rsidRPr="00CC463B">
        <w:rPr>
          <w:i/>
          <w:iCs/>
        </w:rPr>
        <w:t>Background</w:t>
      </w:r>
    </w:p>
    <w:p w14:paraId="00DAA2C4" w14:textId="32444DEA" w:rsidR="004512F1" w:rsidRDefault="004512F1" w:rsidP="008E0360">
      <w:pPr>
        <w:spacing w:after="0"/>
        <w:ind w:right="91"/>
      </w:pPr>
      <w:r>
        <w:t>Schedule 3</w:t>
      </w:r>
      <w:r w:rsidR="00B57DF7">
        <w:t xml:space="preserve"> to the Amending Rules</w:t>
      </w:r>
      <w:r>
        <w:t xml:space="preserve"> amends the CDR Rules to allow a consumer to consent to an </w:t>
      </w:r>
      <w:r w:rsidR="00E767C6">
        <w:t>accredited data recipient</w:t>
      </w:r>
      <w:r w:rsidR="00E767C6" w:rsidDel="00287DA7">
        <w:t xml:space="preserve"> </w:t>
      </w:r>
      <w:r>
        <w:t xml:space="preserve">sharing CDR insights </w:t>
      </w:r>
      <w:r w:rsidR="00E767C6">
        <w:t>containing the consumer’s</w:t>
      </w:r>
      <w:r>
        <w:t xml:space="preserve"> CDR data </w:t>
      </w:r>
      <w:r w:rsidR="00E767C6">
        <w:t>with</w:t>
      </w:r>
      <w:r w:rsidR="00E767C6" w:rsidDel="00EC4977">
        <w:t xml:space="preserve"> </w:t>
      </w:r>
      <w:r>
        <w:t xml:space="preserve">any person, provided the disclosure is for one of the purposes </w:t>
      </w:r>
      <w:r w:rsidR="003C4D33">
        <w:t xml:space="preserve">specified </w:t>
      </w:r>
      <w:r>
        <w:t>in the CDR Rules.</w:t>
      </w:r>
    </w:p>
    <w:p w14:paraId="5EA2E2B6" w14:textId="1F183100" w:rsidR="004512F1" w:rsidRDefault="004512F1" w:rsidP="008E0360">
      <w:pPr>
        <w:spacing w:after="0"/>
        <w:ind w:right="91"/>
      </w:pPr>
      <w:r w:rsidRPr="00934061">
        <w:t xml:space="preserve">Allowing the disclosure of CDR insights </w:t>
      </w:r>
      <w:r>
        <w:t xml:space="preserve">is intended to </w:t>
      </w:r>
      <w:r w:rsidR="003B68CE">
        <w:t>provide</w:t>
      </w:r>
      <w:r w:rsidR="003B68CE" w:rsidRPr="00934061">
        <w:t xml:space="preserve"> </w:t>
      </w:r>
      <w:r w:rsidRPr="00934061">
        <w:t xml:space="preserve">a safer and more efficient way for consumers to share certain </w:t>
      </w:r>
      <w:r>
        <w:t>insights obtained</w:t>
      </w:r>
      <w:r w:rsidRPr="00934061">
        <w:t xml:space="preserve"> </w:t>
      </w:r>
      <w:r>
        <w:t>from their CDR data</w:t>
      </w:r>
      <w:r w:rsidRPr="00934061">
        <w:t xml:space="preserve"> to receive goods and services, reducing the need to share detailed </w:t>
      </w:r>
      <w:r>
        <w:t>records</w:t>
      </w:r>
      <w:r w:rsidRPr="00934061">
        <w:t xml:space="preserve"> or passwords to facilitate </w:t>
      </w:r>
      <w:r>
        <w:t>access to their information</w:t>
      </w:r>
      <w:r w:rsidRPr="00934061">
        <w:t xml:space="preserve">. </w:t>
      </w:r>
    </w:p>
    <w:p w14:paraId="29E05216" w14:textId="267BDC88" w:rsidR="004512F1" w:rsidRDefault="004512F1" w:rsidP="008E0360">
      <w:pPr>
        <w:spacing w:after="0"/>
        <w:ind w:right="91"/>
      </w:pPr>
      <w:r w:rsidRPr="00934061">
        <w:t>Th</w:t>
      </w:r>
      <w:r>
        <w:t>e</w:t>
      </w:r>
      <w:r w:rsidRPr="00934061">
        <w:t xml:space="preserve"> </w:t>
      </w:r>
      <w:r w:rsidR="00023C9B">
        <w:t xml:space="preserve">Amending rules </w:t>
      </w:r>
      <w:r w:rsidRPr="00934061">
        <w:t xml:space="preserve">allow consumers to </w:t>
      </w:r>
      <w:r w:rsidR="00023C9B">
        <w:t>request</w:t>
      </w:r>
      <w:r w:rsidRPr="00934061">
        <w:t xml:space="preserve"> that CDR insights be shared outside the CDR</w:t>
      </w:r>
      <w:r>
        <w:t xml:space="preserve"> system</w:t>
      </w:r>
      <w:r w:rsidRPr="00934061">
        <w:t xml:space="preserve">, meaning this data would no longer be subject to the protections of the </w:t>
      </w:r>
      <w:r w:rsidR="009F41BC">
        <w:t>CDR p</w:t>
      </w:r>
      <w:r w:rsidRPr="00934061">
        <w:t xml:space="preserve">rivacy </w:t>
      </w:r>
      <w:r w:rsidR="009F41BC">
        <w:t>s</w:t>
      </w:r>
      <w:r w:rsidRPr="00934061">
        <w:t xml:space="preserve">afeguards. </w:t>
      </w:r>
      <w:r w:rsidR="006C5646">
        <w:t>However,</w:t>
      </w:r>
      <w:r w:rsidRPr="00934061" w:rsidDel="00AC27EB">
        <w:t xml:space="preserve"> </w:t>
      </w:r>
      <w:r w:rsidRPr="00934061">
        <w:t xml:space="preserve">the CDR Rules limit the </w:t>
      </w:r>
      <w:r w:rsidR="006C5646">
        <w:t>data that can be disclosed in a CDR insight</w:t>
      </w:r>
      <w:r w:rsidRPr="00934061">
        <w:t xml:space="preserve"> </w:t>
      </w:r>
      <w:r>
        <w:t>by reference to specified purposes</w:t>
      </w:r>
      <w:r w:rsidRPr="00934061">
        <w:t xml:space="preserve">, and </w:t>
      </w:r>
      <w:r w:rsidR="00AA1DB2" w:rsidRPr="00AA1DB2">
        <w:t>specifically disallow the sharing of the amounts and dates of multiple transactions</w:t>
      </w:r>
      <w:r w:rsidR="00AA1DB2">
        <w:t>. Certain</w:t>
      </w:r>
      <w:r w:rsidRPr="00934061">
        <w:t xml:space="preserve"> protections </w:t>
      </w:r>
      <w:r w:rsidR="00AA1DB2">
        <w:t xml:space="preserve">are also provided </w:t>
      </w:r>
      <w:r w:rsidRPr="00934061">
        <w:t xml:space="preserve">to ensure consumers properly understand the nature of </w:t>
      </w:r>
      <w:r w:rsidR="00AA1DB2">
        <w:t>the information</w:t>
      </w:r>
      <w:r w:rsidRPr="00934061">
        <w:t xml:space="preserve"> they are agreeing to disclose.</w:t>
      </w:r>
    </w:p>
    <w:p w14:paraId="1DB9DF80" w14:textId="77777777" w:rsidR="004512F1" w:rsidRPr="00F03740" w:rsidRDefault="004512F1" w:rsidP="008E0360">
      <w:pPr>
        <w:spacing w:before="240" w:after="0"/>
        <w:ind w:right="91"/>
        <w:rPr>
          <w:i/>
          <w:iCs/>
        </w:rPr>
      </w:pPr>
      <w:r w:rsidRPr="00CC463B">
        <w:rPr>
          <w:i/>
          <w:iCs/>
        </w:rPr>
        <w:t>Insight disclosure consents</w:t>
      </w:r>
    </w:p>
    <w:p w14:paraId="7EBFEC3E" w14:textId="67F9201D" w:rsidR="004512F1" w:rsidRDefault="004512F1" w:rsidP="008E0360">
      <w:pPr>
        <w:spacing w:after="0"/>
        <w:ind w:right="91"/>
        <w:rPr>
          <w:rStyle w:val="base-text-paragraphChar"/>
          <w:b/>
          <w:bCs/>
          <w:i/>
          <w:iCs/>
          <w:sz w:val="18"/>
          <w:szCs w:val="18"/>
        </w:rPr>
      </w:pPr>
      <w:r>
        <w:t>A new</w:t>
      </w:r>
      <w:r w:rsidDel="00AC27EB">
        <w:t xml:space="preserve"> </w:t>
      </w:r>
      <w:r w:rsidRPr="004B2485">
        <w:rPr>
          <w:b/>
          <w:bCs/>
          <w:i/>
          <w:iCs/>
        </w:rPr>
        <w:t>insight disclosure consent</w:t>
      </w:r>
      <w:r w:rsidR="00B43FD8">
        <w:rPr>
          <w:b/>
          <w:bCs/>
          <w:i/>
          <w:iCs/>
        </w:rPr>
        <w:t xml:space="preserve"> </w:t>
      </w:r>
      <w:r w:rsidR="00B43FD8">
        <w:t xml:space="preserve">enables a consumer to consent to an accredited data recipient </w:t>
      </w:r>
      <w:r w:rsidR="005F7841">
        <w:t xml:space="preserve">disclosing </w:t>
      </w:r>
      <w:proofErr w:type="gramStart"/>
      <w:r w:rsidR="00B43FD8">
        <w:t>particular CDR</w:t>
      </w:r>
      <w:proofErr w:type="gramEnd"/>
      <w:r w:rsidR="00B43FD8">
        <w:t xml:space="preserve"> data to a specified person for a specified purpose</w:t>
      </w:r>
      <w:r>
        <w:t>.</w:t>
      </w:r>
      <w:r w:rsidR="007A33B0">
        <w:t xml:space="preserve"> </w:t>
      </w:r>
      <w:r w:rsidR="007A33B0" w:rsidRPr="00413975">
        <w:rPr>
          <w:rStyle w:val="base-text-paragraphChar"/>
          <w:b/>
          <w:bCs/>
          <w:i/>
          <w:iCs/>
          <w:sz w:val="18"/>
          <w:szCs w:val="18"/>
        </w:rPr>
        <w:t>[Schedule 3, item</w:t>
      </w:r>
      <w:r w:rsidR="00A804DB">
        <w:rPr>
          <w:rStyle w:val="base-text-paragraphChar"/>
          <w:b/>
          <w:bCs/>
          <w:i/>
          <w:iCs/>
          <w:sz w:val="18"/>
          <w:szCs w:val="18"/>
        </w:rPr>
        <w:t>s</w:t>
      </w:r>
      <w:r w:rsidR="007A33B0" w:rsidRPr="00413975">
        <w:rPr>
          <w:rStyle w:val="base-text-paragraphChar"/>
          <w:b/>
          <w:bCs/>
          <w:i/>
          <w:iCs/>
          <w:sz w:val="18"/>
          <w:szCs w:val="18"/>
        </w:rPr>
        <w:t xml:space="preserve"> </w:t>
      </w:r>
      <w:r w:rsidR="00E70637">
        <w:rPr>
          <w:rStyle w:val="base-text-paragraphChar"/>
          <w:b/>
          <w:bCs/>
          <w:i/>
          <w:iCs/>
          <w:sz w:val="18"/>
          <w:szCs w:val="18"/>
        </w:rPr>
        <w:t>1 to</w:t>
      </w:r>
      <w:r w:rsidR="00A804DB">
        <w:rPr>
          <w:rStyle w:val="base-text-paragraphChar"/>
          <w:b/>
          <w:bCs/>
          <w:i/>
          <w:iCs/>
          <w:sz w:val="18"/>
          <w:szCs w:val="18"/>
        </w:rPr>
        <w:t xml:space="preserve"> 3</w:t>
      </w:r>
      <w:r w:rsidR="00413975" w:rsidRPr="00413975">
        <w:rPr>
          <w:rStyle w:val="base-text-paragraphChar"/>
          <w:b/>
          <w:bCs/>
          <w:i/>
          <w:iCs/>
          <w:sz w:val="18"/>
          <w:szCs w:val="18"/>
        </w:rPr>
        <w:t>, rule</w:t>
      </w:r>
      <w:r w:rsidR="00A804DB">
        <w:rPr>
          <w:rStyle w:val="base-text-paragraphChar"/>
          <w:b/>
          <w:bCs/>
          <w:i/>
          <w:iCs/>
          <w:sz w:val="18"/>
          <w:szCs w:val="18"/>
        </w:rPr>
        <w:t>s</w:t>
      </w:r>
      <w:r w:rsidR="00E70637">
        <w:rPr>
          <w:rStyle w:val="base-text-paragraphChar"/>
          <w:b/>
          <w:bCs/>
          <w:i/>
          <w:iCs/>
          <w:sz w:val="18"/>
          <w:szCs w:val="18"/>
        </w:rPr>
        <w:t xml:space="preserve"> 1.7(1),</w:t>
      </w:r>
      <w:r w:rsidR="00413975" w:rsidRPr="00413975">
        <w:rPr>
          <w:rStyle w:val="base-text-paragraphChar"/>
          <w:b/>
          <w:bCs/>
          <w:i/>
          <w:iCs/>
          <w:sz w:val="18"/>
          <w:szCs w:val="18"/>
        </w:rPr>
        <w:t xml:space="preserve"> 1.10A(1)(c)(iv)</w:t>
      </w:r>
      <w:r w:rsidR="00A804DB">
        <w:rPr>
          <w:rStyle w:val="base-text-paragraphChar"/>
          <w:b/>
          <w:bCs/>
          <w:i/>
          <w:iCs/>
          <w:sz w:val="18"/>
          <w:szCs w:val="18"/>
        </w:rPr>
        <w:t xml:space="preserve"> and </w:t>
      </w:r>
      <w:r w:rsidR="00E70637">
        <w:rPr>
          <w:rStyle w:val="base-text-paragraphChar"/>
          <w:b/>
          <w:bCs/>
          <w:i/>
          <w:iCs/>
          <w:sz w:val="18"/>
          <w:szCs w:val="18"/>
        </w:rPr>
        <w:t>1.10A</w:t>
      </w:r>
      <w:r w:rsidR="00A804DB">
        <w:rPr>
          <w:rStyle w:val="base-text-paragraphChar"/>
          <w:b/>
          <w:bCs/>
          <w:i/>
          <w:iCs/>
          <w:sz w:val="18"/>
          <w:szCs w:val="18"/>
        </w:rPr>
        <w:t>(2)(g</w:t>
      </w:r>
      <w:r w:rsidR="00413975" w:rsidRPr="00413975">
        <w:rPr>
          <w:rStyle w:val="base-text-paragraphChar"/>
          <w:b/>
          <w:bCs/>
          <w:i/>
          <w:iCs/>
          <w:sz w:val="18"/>
          <w:szCs w:val="18"/>
        </w:rPr>
        <w:t>)]</w:t>
      </w:r>
    </w:p>
    <w:p w14:paraId="55CA0494" w14:textId="0CEDE513" w:rsidR="00BC1292" w:rsidRPr="00C6335A" w:rsidRDefault="00BC1292" w:rsidP="008E0360">
      <w:pPr>
        <w:spacing w:after="0"/>
        <w:ind w:right="91"/>
      </w:pPr>
      <w:r w:rsidRPr="00C6335A">
        <w:t xml:space="preserve">As with other CDR consumer consents, the </w:t>
      </w:r>
      <w:r>
        <w:t>accredited person’s processes for asking a consumer to give a</w:t>
      </w:r>
      <w:r w:rsidR="004735F8">
        <w:t xml:space="preserve">n insight disclosure </w:t>
      </w:r>
      <w:r>
        <w:t xml:space="preserve">consent must accord with consumer experience data standards, and, in accordance with rule 4.9, the </w:t>
      </w:r>
      <w:r w:rsidRPr="00C6335A">
        <w:t xml:space="preserve">consent </w:t>
      </w:r>
      <w:r>
        <w:t>given must be</w:t>
      </w:r>
      <w:r w:rsidRPr="00C6335A">
        <w:t xml:space="preserve"> voluntary, express, informed, specific as to purpose, time limited and easily withdrawn.</w:t>
      </w:r>
      <w:r w:rsidR="00EA2DE1" w:rsidRPr="00C6335A" w:rsidDel="00EA2DE1">
        <w:t xml:space="preserve"> </w:t>
      </w:r>
    </w:p>
    <w:p w14:paraId="53090A68" w14:textId="03627B5E" w:rsidR="00B43FD8" w:rsidRDefault="00B43FD8" w:rsidP="008E0360">
      <w:pPr>
        <w:spacing w:after="0"/>
        <w:ind w:right="91"/>
      </w:pPr>
      <w:r>
        <w:t>The CDR data that is disclosed under a</w:t>
      </w:r>
      <w:r w:rsidR="00EA2DE1">
        <w:t>n</w:t>
      </w:r>
      <w:r>
        <w:t xml:space="preserve"> insight disclosure consent is a </w:t>
      </w:r>
      <w:r>
        <w:rPr>
          <w:b/>
          <w:bCs/>
          <w:i/>
          <w:iCs/>
        </w:rPr>
        <w:t>CDR</w:t>
      </w:r>
      <w:r w:rsidRPr="00D6150E">
        <w:rPr>
          <w:b/>
          <w:bCs/>
          <w:i/>
          <w:iCs/>
        </w:rPr>
        <w:t xml:space="preserve"> insight</w:t>
      </w:r>
      <w:r>
        <w:t>.</w:t>
      </w:r>
      <w:r w:rsidRPr="00413975">
        <w:rPr>
          <w:rStyle w:val="base-text-paragraphChar"/>
          <w:b/>
          <w:bCs/>
          <w:i/>
          <w:iCs/>
          <w:sz w:val="18"/>
          <w:szCs w:val="18"/>
        </w:rPr>
        <w:t xml:space="preserve"> [Schedule 3, item </w:t>
      </w:r>
      <w:r>
        <w:rPr>
          <w:rStyle w:val="base-text-paragraphChar"/>
          <w:b/>
          <w:bCs/>
          <w:i/>
          <w:iCs/>
          <w:sz w:val="18"/>
          <w:szCs w:val="18"/>
        </w:rPr>
        <w:t>1,</w:t>
      </w:r>
      <w:r w:rsidRPr="00413975">
        <w:rPr>
          <w:rStyle w:val="base-text-paragraphChar"/>
          <w:b/>
          <w:bCs/>
          <w:i/>
          <w:iCs/>
          <w:sz w:val="18"/>
          <w:szCs w:val="18"/>
        </w:rPr>
        <w:t xml:space="preserve"> rule 1.</w:t>
      </w:r>
      <w:r>
        <w:rPr>
          <w:rStyle w:val="base-text-paragraphChar"/>
          <w:b/>
          <w:bCs/>
          <w:i/>
          <w:iCs/>
          <w:sz w:val="18"/>
          <w:szCs w:val="18"/>
        </w:rPr>
        <w:t>7(1)</w:t>
      </w:r>
      <w:r w:rsidRPr="00413975">
        <w:rPr>
          <w:rStyle w:val="base-text-paragraphChar"/>
          <w:b/>
          <w:bCs/>
          <w:i/>
          <w:iCs/>
          <w:sz w:val="18"/>
          <w:szCs w:val="18"/>
        </w:rPr>
        <w:t>]</w:t>
      </w:r>
    </w:p>
    <w:p w14:paraId="23D6EFF3" w14:textId="7161BD09" w:rsidR="004512F1" w:rsidRDefault="00EA17E3" w:rsidP="008E0360">
      <w:pPr>
        <w:spacing w:after="0"/>
        <w:ind w:right="91"/>
      </w:pPr>
      <w:r w:rsidRPr="00D6150E">
        <w:t>The</w:t>
      </w:r>
      <w:r>
        <w:t xml:space="preserve"> </w:t>
      </w:r>
      <w:r w:rsidR="00D6150E">
        <w:t xml:space="preserve">specified </w:t>
      </w:r>
      <w:r>
        <w:t xml:space="preserve">purposes </w:t>
      </w:r>
      <w:r w:rsidR="00D6150E">
        <w:t xml:space="preserve">for which an insight disclosure consent could be given </w:t>
      </w:r>
      <w:r w:rsidR="004512F1">
        <w:t>are:</w:t>
      </w:r>
    </w:p>
    <w:p w14:paraId="07C006A3" w14:textId="5E8359FB" w:rsidR="004512F1" w:rsidRDefault="004512F1" w:rsidP="008E0360">
      <w:pPr>
        <w:pStyle w:val="Bullet"/>
        <w:spacing w:before="120"/>
      </w:pPr>
      <w:r>
        <w:t xml:space="preserve">to </w:t>
      </w:r>
      <w:r w:rsidR="006C5646">
        <w:t xml:space="preserve">verify </w:t>
      </w:r>
      <w:r>
        <w:t>the consumer</w:t>
      </w:r>
      <w:r w:rsidR="00455A7D">
        <w:t>’s identity</w:t>
      </w:r>
      <w:r w:rsidR="006924FE">
        <w:t xml:space="preserve"> (</w:t>
      </w:r>
      <w:r w:rsidR="006924FE" w:rsidRPr="006924FE">
        <w:t xml:space="preserve">CDR insights </w:t>
      </w:r>
      <w:r w:rsidR="006924FE">
        <w:t xml:space="preserve">could be </w:t>
      </w:r>
      <w:r w:rsidR="006924FE" w:rsidRPr="006924FE">
        <w:t xml:space="preserve">used </w:t>
      </w:r>
      <w:r w:rsidR="00023C9B">
        <w:t>as supporting information</w:t>
      </w:r>
      <w:r w:rsidR="006924FE" w:rsidRPr="006924FE">
        <w:t xml:space="preserve"> about a consumer’s identity, </w:t>
      </w:r>
      <w:r w:rsidR="006924FE">
        <w:t>but</w:t>
      </w:r>
      <w:r w:rsidR="003D0BF6">
        <w:t xml:space="preserve"> </w:t>
      </w:r>
      <w:r w:rsidR="00217967">
        <w:t xml:space="preserve">they </w:t>
      </w:r>
      <w:r w:rsidR="00A30C8C">
        <w:t>would</w:t>
      </w:r>
      <w:r w:rsidR="006924FE">
        <w:t xml:space="preserve"> not </w:t>
      </w:r>
      <w:r w:rsidR="00217967">
        <w:t>necessarily</w:t>
      </w:r>
      <w:r w:rsidR="006924FE">
        <w:t xml:space="preserve"> </w:t>
      </w:r>
      <w:r w:rsidR="006924FE" w:rsidRPr="006924FE">
        <w:t xml:space="preserve">substitute for formal proof of identity requirements </w:t>
      </w:r>
      <w:r w:rsidR="006924FE">
        <w:t>such</w:t>
      </w:r>
      <w:r w:rsidR="006924FE" w:rsidRPr="006924FE">
        <w:t xml:space="preserve"> </w:t>
      </w:r>
      <w:r w:rsidR="006924FE">
        <w:t xml:space="preserve">as </w:t>
      </w:r>
      <w:r w:rsidR="006924FE" w:rsidRPr="006924FE">
        <w:t>proving someone is of age to buy alcohol</w:t>
      </w:r>
      <w:r w:rsidR="00C76B30">
        <w:t xml:space="preserve">, </w:t>
      </w:r>
      <w:r w:rsidR="006924FE">
        <w:t>identification</w:t>
      </w:r>
      <w:r w:rsidR="006924FE" w:rsidRPr="006924FE">
        <w:t xml:space="preserve"> </w:t>
      </w:r>
      <w:r w:rsidR="006924FE">
        <w:t>elements needed</w:t>
      </w:r>
      <w:r w:rsidR="006924FE" w:rsidRPr="006924FE">
        <w:t xml:space="preserve"> to set up a bank account</w:t>
      </w:r>
      <w:r w:rsidR="00C76B30">
        <w:t>, or instances where a particular identity proofing standard is required</w:t>
      </w:r>
      <w:proofErr w:type="gramStart"/>
      <w:r w:rsidR="006924FE">
        <w:t>)</w:t>
      </w:r>
      <w:r w:rsidR="00455A7D">
        <w:t>;</w:t>
      </w:r>
      <w:proofErr w:type="gramEnd"/>
    </w:p>
    <w:p w14:paraId="6CCB4805" w14:textId="477F0C60" w:rsidR="004512F1" w:rsidRDefault="004512F1" w:rsidP="008E0360">
      <w:pPr>
        <w:pStyle w:val="Bullet"/>
        <w:spacing w:before="120"/>
      </w:pPr>
      <w:r>
        <w:t>to verify the consumer’s account balance</w:t>
      </w:r>
      <w:r w:rsidR="00455A7D">
        <w:t>;</w:t>
      </w:r>
      <w:r w:rsidR="007A5DD4">
        <w:t xml:space="preserve"> or</w:t>
      </w:r>
    </w:p>
    <w:p w14:paraId="2509A1D1" w14:textId="77777777" w:rsidR="008D1CC5" w:rsidRPr="008D1CC5" w:rsidRDefault="004512F1" w:rsidP="008E0360">
      <w:pPr>
        <w:pStyle w:val="Bullet"/>
        <w:spacing w:before="120"/>
        <w:rPr>
          <w:rStyle w:val="base-text-paragraphChar"/>
        </w:rPr>
      </w:pPr>
      <w:r w:rsidRPr="00CE2EA6">
        <w:t xml:space="preserve">to verify </w:t>
      </w:r>
      <w:r w:rsidR="00D34229" w:rsidRPr="00CE2EA6">
        <w:t>the details of credits to or debits from the consumer’s accounts</w:t>
      </w:r>
      <w:r w:rsidR="003A0799" w:rsidRPr="00CE2EA6">
        <w:t>.</w:t>
      </w:r>
    </w:p>
    <w:p w14:paraId="2F2232A7" w14:textId="15A99018" w:rsidR="004512F1" w:rsidRPr="004B2485" w:rsidRDefault="00E377DB" w:rsidP="008E0360">
      <w:pPr>
        <w:pStyle w:val="Bullet"/>
        <w:numPr>
          <w:ilvl w:val="0"/>
          <w:numId w:val="0"/>
        </w:numPr>
        <w:spacing w:before="120"/>
        <w:ind w:left="567"/>
      </w:pPr>
      <w:r w:rsidRPr="00CE2EA6">
        <w:rPr>
          <w:rStyle w:val="base-text-paragraphChar"/>
          <w:b/>
          <w:bCs/>
          <w:i/>
          <w:iCs/>
          <w:color w:val="000000" w:themeColor="text1"/>
          <w:sz w:val="18"/>
          <w:szCs w:val="18"/>
        </w:rPr>
        <w:t>[</w:t>
      </w:r>
      <w:r w:rsidRPr="00413975">
        <w:rPr>
          <w:rStyle w:val="base-text-paragraphChar"/>
          <w:b/>
          <w:bCs/>
          <w:i/>
          <w:iCs/>
          <w:sz w:val="18"/>
          <w:szCs w:val="18"/>
        </w:rPr>
        <w:t xml:space="preserve">Schedule 3, item </w:t>
      </w:r>
      <w:r w:rsidR="00BF1DD8">
        <w:rPr>
          <w:rStyle w:val="base-text-paragraphChar"/>
          <w:b/>
          <w:bCs/>
          <w:i/>
          <w:iCs/>
          <w:sz w:val="18"/>
          <w:szCs w:val="18"/>
        </w:rPr>
        <w:t>4</w:t>
      </w:r>
      <w:r w:rsidRPr="00413975">
        <w:rPr>
          <w:rStyle w:val="base-text-paragraphChar"/>
          <w:b/>
          <w:bCs/>
          <w:i/>
          <w:iCs/>
          <w:sz w:val="18"/>
          <w:szCs w:val="18"/>
        </w:rPr>
        <w:t>, rule 1.10A(</w:t>
      </w:r>
      <w:r>
        <w:rPr>
          <w:rStyle w:val="base-text-paragraphChar"/>
          <w:b/>
          <w:bCs/>
          <w:i/>
          <w:iCs/>
          <w:sz w:val="18"/>
          <w:szCs w:val="18"/>
        </w:rPr>
        <w:t>3)(a)</w:t>
      </w:r>
      <w:r w:rsidRPr="00413975">
        <w:rPr>
          <w:rStyle w:val="base-text-paragraphChar"/>
          <w:b/>
          <w:bCs/>
          <w:i/>
          <w:iCs/>
          <w:sz w:val="18"/>
          <w:szCs w:val="18"/>
        </w:rPr>
        <w:t>]</w:t>
      </w:r>
    </w:p>
    <w:p w14:paraId="5D4E2539" w14:textId="7B2F4E11" w:rsidR="00660CE6" w:rsidRDefault="004512F1" w:rsidP="008E0360">
      <w:pPr>
        <w:spacing w:after="0"/>
        <w:ind w:right="91"/>
      </w:pPr>
      <w:r w:rsidRPr="00934061">
        <w:t xml:space="preserve">For these purposes, ‘verify’ </w:t>
      </w:r>
      <w:r w:rsidR="001558A0">
        <w:t>refers</w:t>
      </w:r>
      <w:r w:rsidR="001558A0" w:rsidRPr="00934061">
        <w:t xml:space="preserve"> </w:t>
      </w:r>
      <w:r w:rsidRPr="00934061">
        <w:t>to confirm</w:t>
      </w:r>
      <w:r w:rsidR="001558A0">
        <w:t>ing</w:t>
      </w:r>
      <w:r w:rsidRPr="00934061">
        <w:t xml:space="preserve">, </w:t>
      </w:r>
      <w:proofErr w:type="gramStart"/>
      <w:r w:rsidRPr="00934061">
        <w:t>deny</w:t>
      </w:r>
      <w:r w:rsidR="001558A0">
        <w:t>ing</w:t>
      </w:r>
      <w:proofErr w:type="gramEnd"/>
      <w:r w:rsidRPr="00934061">
        <w:t xml:space="preserve"> or provid</w:t>
      </w:r>
      <w:r w:rsidR="001558A0">
        <w:t>ing</w:t>
      </w:r>
      <w:r w:rsidRPr="00934061">
        <w:t xml:space="preserve"> some simple </w:t>
      </w:r>
      <w:r>
        <w:t>i</w:t>
      </w:r>
      <w:r w:rsidRPr="00934061">
        <w:t xml:space="preserve">nformation about the consumer’s identity, account balance, </w:t>
      </w:r>
      <w:r w:rsidR="00EA2DE1">
        <w:t>credits or debits</w:t>
      </w:r>
      <w:r w:rsidR="00D34229">
        <w:t xml:space="preserve"> </w:t>
      </w:r>
      <w:r w:rsidRPr="00934061">
        <w:t xml:space="preserve">based on their CDR data. </w:t>
      </w:r>
    </w:p>
    <w:p w14:paraId="4DFE0AE2" w14:textId="24F7535F" w:rsidR="004512F1" w:rsidRDefault="004512F1" w:rsidP="008E0360">
      <w:pPr>
        <w:spacing w:after="0"/>
        <w:ind w:right="91"/>
      </w:pPr>
      <w:r w:rsidRPr="00934061">
        <w:t xml:space="preserve">CDR insights allow consumers to securely provide and confirm relevant </w:t>
      </w:r>
      <w:proofErr w:type="gramStart"/>
      <w:r w:rsidRPr="00934061">
        <w:t>factual information</w:t>
      </w:r>
      <w:proofErr w:type="gramEnd"/>
      <w:r w:rsidRPr="00934061">
        <w:t xml:space="preserve"> about themselves, while giving the recipient comfort in its authenticity </w:t>
      </w:r>
      <w:r w:rsidRPr="00934061">
        <w:lastRenderedPageBreak/>
        <w:t>and accuracy. These purposes are intended to support the sharing of information that the consumer could themselves confirm and understand.</w:t>
      </w:r>
      <w:r w:rsidRPr="00934061" w:rsidDel="00934061">
        <w:t xml:space="preserve"> </w:t>
      </w:r>
    </w:p>
    <w:p w14:paraId="286AD866" w14:textId="3CEF0749" w:rsidR="004512F1" w:rsidRDefault="004512F1" w:rsidP="008E0360">
      <w:pPr>
        <w:spacing w:line="276" w:lineRule="auto"/>
      </w:pPr>
      <w:r>
        <w:t>For example, CDR insights could be used to:</w:t>
      </w:r>
    </w:p>
    <w:p w14:paraId="305A10AC" w14:textId="21840B93" w:rsidR="00DA54F3" w:rsidRDefault="00DA54F3" w:rsidP="008E0360">
      <w:pPr>
        <w:pStyle w:val="Bullet"/>
        <w:spacing w:before="120"/>
      </w:pPr>
      <w:r>
        <w:t xml:space="preserve">confirm whether a consumer’s account balance is over a certain </w:t>
      </w:r>
      <w:proofErr w:type="gramStart"/>
      <w:r>
        <w:t>amount</w:t>
      </w:r>
      <w:r w:rsidR="009650DE">
        <w:t>;</w:t>
      </w:r>
      <w:proofErr w:type="gramEnd"/>
    </w:p>
    <w:p w14:paraId="0A3E537B" w14:textId="2B1E9722" w:rsidR="00DA54F3" w:rsidRDefault="00DA54F3" w:rsidP="008E0360">
      <w:pPr>
        <w:pStyle w:val="Bullet"/>
        <w:spacing w:before="120"/>
      </w:pPr>
      <w:r>
        <w:t xml:space="preserve">disclose a consumer’s account balance at a specific point in </w:t>
      </w:r>
      <w:proofErr w:type="gramStart"/>
      <w:r>
        <w:t>time</w:t>
      </w:r>
      <w:r w:rsidR="009650DE">
        <w:t>;</w:t>
      </w:r>
      <w:proofErr w:type="gramEnd"/>
    </w:p>
    <w:p w14:paraId="1415439E" w14:textId="2FA1C6D3" w:rsidR="00DA54F3" w:rsidRDefault="00DA54F3" w:rsidP="008E0360">
      <w:pPr>
        <w:pStyle w:val="Bullet"/>
        <w:spacing w:before="120"/>
      </w:pPr>
      <w:r>
        <w:t xml:space="preserve">disclose the amount, date, counterparty and a description of a single </w:t>
      </w:r>
      <w:proofErr w:type="gramStart"/>
      <w:r>
        <w:t>transaction</w:t>
      </w:r>
      <w:r w:rsidR="009650DE">
        <w:t>;</w:t>
      </w:r>
      <w:proofErr w:type="gramEnd"/>
    </w:p>
    <w:p w14:paraId="0ECFC524" w14:textId="6F0A7867" w:rsidR="00DA54F3" w:rsidRDefault="00DA54F3" w:rsidP="008E0360">
      <w:pPr>
        <w:pStyle w:val="Bullet"/>
        <w:spacing w:before="120"/>
      </w:pPr>
      <w:r>
        <w:t xml:space="preserve">disclose the consumer’s average income over a specific period of </w:t>
      </w:r>
      <w:proofErr w:type="gramStart"/>
      <w:r>
        <w:t>time</w:t>
      </w:r>
      <w:r w:rsidR="009650DE">
        <w:t>;</w:t>
      </w:r>
      <w:proofErr w:type="gramEnd"/>
    </w:p>
    <w:p w14:paraId="53CAA728" w14:textId="69FCF55E" w:rsidR="00DA54F3" w:rsidRDefault="00DA54F3" w:rsidP="008E0360">
      <w:pPr>
        <w:pStyle w:val="Bullet"/>
        <w:spacing w:before="120"/>
      </w:pPr>
      <w:r>
        <w:t xml:space="preserve">provide a summary of the total amount a consumer spent at a store over a </w:t>
      </w:r>
      <w:proofErr w:type="gramStart"/>
      <w:r>
        <w:t>month</w:t>
      </w:r>
      <w:r w:rsidR="009650DE">
        <w:t>;</w:t>
      </w:r>
      <w:proofErr w:type="gramEnd"/>
    </w:p>
    <w:p w14:paraId="207B8266" w14:textId="4D80EB06" w:rsidR="00DA54F3" w:rsidRDefault="00DA54F3" w:rsidP="008E0360">
      <w:pPr>
        <w:pStyle w:val="Bullet"/>
        <w:spacing w:before="120"/>
      </w:pPr>
      <w:r>
        <w:t xml:space="preserve">provide a summary of the total amount a consumer spent on different categories of goods over a </w:t>
      </w:r>
      <w:proofErr w:type="gramStart"/>
      <w:r>
        <w:t>month</w:t>
      </w:r>
      <w:r w:rsidR="009650DE">
        <w:t>;</w:t>
      </w:r>
      <w:proofErr w:type="gramEnd"/>
      <w:r>
        <w:t xml:space="preserve"> </w:t>
      </w:r>
    </w:p>
    <w:p w14:paraId="3D4646DE" w14:textId="3D702A11" w:rsidR="00DA54F3" w:rsidRDefault="00BA30CC" w:rsidP="008E0360">
      <w:pPr>
        <w:pStyle w:val="Bullet"/>
        <w:spacing w:before="120"/>
      </w:pPr>
      <w:r>
        <w:t xml:space="preserve">confirm </w:t>
      </w:r>
      <w:r w:rsidR="00DA54F3">
        <w:t xml:space="preserve">whether a consumer has received a transfer of funds from a specific </w:t>
      </w:r>
      <w:proofErr w:type="gramStart"/>
      <w:r w:rsidR="00DA54F3">
        <w:t>counterparty</w:t>
      </w:r>
      <w:r w:rsidR="009650DE">
        <w:t>;</w:t>
      </w:r>
      <w:proofErr w:type="gramEnd"/>
    </w:p>
    <w:p w14:paraId="4C1974E2" w14:textId="7EACA9BE" w:rsidR="00DA54F3" w:rsidRDefault="00BA30CC" w:rsidP="008E0360">
      <w:pPr>
        <w:pStyle w:val="Bullet"/>
        <w:spacing w:before="120"/>
      </w:pPr>
      <w:r>
        <w:t>notify</w:t>
      </w:r>
      <w:r w:rsidR="00DA54F3">
        <w:t xml:space="preserve"> a merchant whether a direct debit payment will </w:t>
      </w:r>
      <w:proofErr w:type="gramStart"/>
      <w:r w:rsidR="00DA54F3">
        <w:t>fail</w:t>
      </w:r>
      <w:r w:rsidR="009650DE">
        <w:t>;</w:t>
      </w:r>
      <w:proofErr w:type="gramEnd"/>
    </w:p>
    <w:p w14:paraId="07A5F1D3" w14:textId="738EE17F" w:rsidR="00DA54F3" w:rsidRDefault="00BA30CC" w:rsidP="008E0360">
      <w:pPr>
        <w:pStyle w:val="Bullet"/>
        <w:spacing w:before="120"/>
      </w:pPr>
      <w:r>
        <w:t>notify</w:t>
      </w:r>
      <w:r w:rsidR="00DA54F3">
        <w:t xml:space="preserve"> when transactions with a particular store exceed a specific </w:t>
      </w:r>
      <w:proofErr w:type="gramStart"/>
      <w:r w:rsidR="00DA54F3">
        <w:t>amount</w:t>
      </w:r>
      <w:r w:rsidR="009650DE">
        <w:t>;</w:t>
      </w:r>
      <w:proofErr w:type="gramEnd"/>
    </w:p>
    <w:p w14:paraId="043AD877" w14:textId="0DECA301" w:rsidR="00DA54F3" w:rsidRDefault="00BA30CC" w:rsidP="008E0360">
      <w:pPr>
        <w:pStyle w:val="Bullet"/>
        <w:spacing w:before="120"/>
      </w:pPr>
      <w:r>
        <w:t>confirm</w:t>
      </w:r>
      <w:r w:rsidR="00DA54F3">
        <w:t xml:space="preserve"> whether a consumer made a transaction at a specific store on a specific </w:t>
      </w:r>
      <w:proofErr w:type="gramStart"/>
      <w:r w:rsidR="00DA54F3">
        <w:t>day</w:t>
      </w:r>
      <w:r w:rsidR="009650DE">
        <w:t>;</w:t>
      </w:r>
      <w:proofErr w:type="gramEnd"/>
    </w:p>
    <w:p w14:paraId="608EF22B" w14:textId="4F803B7F" w:rsidR="00DA54F3" w:rsidRDefault="00BA30CC" w:rsidP="008E0360">
      <w:pPr>
        <w:pStyle w:val="Bullet"/>
        <w:spacing w:before="120"/>
      </w:pPr>
      <w:r>
        <w:t>disclose</w:t>
      </w:r>
      <w:r w:rsidR="00DA54F3">
        <w:t xml:space="preserve"> a profit and loss statement (that does not include itemised transactions)</w:t>
      </w:r>
      <w:r w:rsidR="009650DE">
        <w:t>; or</w:t>
      </w:r>
    </w:p>
    <w:p w14:paraId="2F5388B0" w14:textId="7B5F4CC8" w:rsidR="004512F1" w:rsidRDefault="00BA30CC" w:rsidP="008E0360">
      <w:pPr>
        <w:pStyle w:val="Bullet"/>
        <w:spacing w:before="120"/>
      </w:pPr>
      <w:r>
        <w:t>confirm</w:t>
      </w:r>
      <w:r w:rsidR="00DA54F3">
        <w:t xml:space="preserve"> the number of times over the last 6 months that a consumer paid their rent after the due date</w:t>
      </w:r>
      <w:r w:rsidR="003A0799">
        <w:t>.</w:t>
      </w:r>
    </w:p>
    <w:p w14:paraId="32AF8D2C" w14:textId="78789D29" w:rsidR="004512F1" w:rsidRPr="005A2938" w:rsidRDefault="004512F1" w:rsidP="008E0360">
      <w:pPr>
        <w:pStyle w:val="ExampleHeading"/>
      </w:pPr>
      <w:bookmarkStart w:id="10" w:name="_Hlk74909907"/>
      <w:r w:rsidRPr="00400949">
        <w:t>Example</w:t>
      </w:r>
      <w:r w:rsidR="00760F42">
        <w:t xml:space="preserve"> </w:t>
      </w:r>
      <w:r w:rsidR="00102861">
        <w:t>6</w:t>
      </w:r>
      <w:r>
        <w:t>:</w:t>
      </w:r>
      <w:r w:rsidRPr="00400949">
        <w:t xml:space="preserve"> CDR insights to verify a consumer’s identity</w:t>
      </w:r>
    </w:p>
    <w:p w14:paraId="13C7A488" w14:textId="2F348DF8" w:rsidR="004512F1" w:rsidRPr="00B056D2" w:rsidRDefault="004512F1" w:rsidP="008E0360">
      <w:pPr>
        <w:ind w:left="1134"/>
        <w:rPr>
          <w:sz w:val="22"/>
          <w:szCs w:val="22"/>
        </w:rPr>
      </w:pPr>
      <w:r w:rsidRPr="00441272">
        <w:rPr>
          <w:sz w:val="22"/>
          <w:szCs w:val="22"/>
        </w:rPr>
        <w:t>A consumer i</w:t>
      </w:r>
      <w:r w:rsidRPr="00B056D2">
        <w:rPr>
          <w:sz w:val="22"/>
          <w:szCs w:val="22"/>
        </w:rPr>
        <w:t xml:space="preserve">s signing up to a new service provider and manually gives the provider their name and address. Though the service provider does not have a legal obligation to identify their customer, they want to know that </w:t>
      </w:r>
      <w:r w:rsidR="00687C3E">
        <w:rPr>
          <w:sz w:val="22"/>
          <w:szCs w:val="22"/>
        </w:rPr>
        <w:t xml:space="preserve">the person </w:t>
      </w:r>
      <w:r w:rsidRPr="00B056D2">
        <w:rPr>
          <w:sz w:val="22"/>
          <w:szCs w:val="22"/>
        </w:rPr>
        <w:t xml:space="preserve">they are dealing with </w:t>
      </w:r>
      <w:r w:rsidR="00687C3E">
        <w:rPr>
          <w:sz w:val="22"/>
          <w:szCs w:val="22"/>
        </w:rPr>
        <w:t>is who they claim to be</w:t>
      </w:r>
      <w:r w:rsidRPr="00B056D2">
        <w:rPr>
          <w:sz w:val="22"/>
          <w:szCs w:val="22"/>
        </w:rPr>
        <w:t>. Instead of asking for copies of identity documents to confirm the consumer</w:t>
      </w:r>
      <w:r w:rsidR="00687C3E">
        <w:rPr>
          <w:sz w:val="22"/>
          <w:szCs w:val="22"/>
        </w:rPr>
        <w:t>’s identity</w:t>
      </w:r>
      <w:r w:rsidRPr="00B056D2">
        <w:rPr>
          <w:sz w:val="22"/>
          <w:szCs w:val="22"/>
        </w:rPr>
        <w:t xml:space="preserve">, the service provider asks the consumer to verify their identity using an </w:t>
      </w:r>
      <w:r w:rsidR="00723E15" w:rsidRPr="00B056D2">
        <w:rPr>
          <w:sz w:val="22"/>
          <w:szCs w:val="22"/>
        </w:rPr>
        <w:t>accredited data recipient</w:t>
      </w:r>
      <w:r w:rsidRPr="00B056D2">
        <w:rPr>
          <w:sz w:val="22"/>
          <w:szCs w:val="22"/>
        </w:rPr>
        <w:t xml:space="preserve">.  </w:t>
      </w:r>
    </w:p>
    <w:p w14:paraId="6CFFBD2F" w14:textId="033970CC" w:rsidR="004512F1" w:rsidRPr="00B056D2" w:rsidRDefault="004512F1" w:rsidP="008E0360">
      <w:pPr>
        <w:ind w:left="1134"/>
        <w:rPr>
          <w:sz w:val="22"/>
          <w:szCs w:val="22"/>
        </w:rPr>
      </w:pPr>
      <w:r w:rsidRPr="00441272">
        <w:rPr>
          <w:sz w:val="22"/>
          <w:szCs w:val="22"/>
        </w:rPr>
        <w:t>Through this</w:t>
      </w:r>
      <w:r w:rsidRPr="00B056D2">
        <w:rPr>
          <w:sz w:val="22"/>
          <w:szCs w:val="22"/>
        </w:rPr>
        <w:t xml:space="preserve"> service, the consumer agrees to the new service provider sharing the details they provided with the </w:t>
      </w:r>
      <w:r w:rsidR="00723E15" w:rsidRPr="00B056D2">
        <w:rPr>
          <w:sz w:val="22"/>
          <w:szCs w:val="22"/>
        </w:rPr>
        <w:t>accredited data recipient</w:t>
      </w:r>
      <w:r w:rsidRPr="00B056D2">
        <w:rPr>
          <w:sz w:val="22"/>
          <w:szCs w:val="22"/>
        </w:rPr>
        <w:t xml:space="preserve">. The consumer then also consents to the </w:t>
      </w:r>
      <w:r w:rsidR="00723E15" w:rsidRPr="00B056D2">
        <w:rPr>
          <w:sz w:val="22"/>
          <w:szCs w:val="22"/>
        </w:rPr>
        <w:t>accredited data recipient</w:t>
      </w:r>
      <w:r w:rsidRPr="00B056D2">
        <w:rPr>
          <w:sz w:val="22"/>
          <w:szCs w:val="22"/>
        </w:rPr>
        <w:t xml:space="preserve"> securely collecting relevant details from their data holder through the CDR, and to the </w:t>
      </w:r>
      <w:r w:rsidR="00723E15" w:rsidRPr="00B056D2">
        <w:rPr>
          <w:sz w:val="22"/>
          <w:szCs w:val="22"/>
        </w:rPr>
        <w:t>accredited data recipient</w:t>
      </w:r>
      <w:r w:rsidRPr="00B056D2">
        <w:rPr>
          <w:sz w:val="22"/>
          <w:szCs w:val="22"/>
        </w:rPr>
        <w:t xml:space="preserve"> passing a ‘yes’ or ‘no’ CDR insight to their new service provider to confirm that the details they receive</w:t>
      </w:r>
      <w:r w:rsidR="00687C3E">
        <w:rPr>
          <w:sz w:val="22"/>
          <w:szCs w:val="22"/>
        </w:rPr>
        <w:t>d</w:t>
      </w:r>
      <w:r w:rsidRPr="00B056D2">
        <w:rPr>
          <w:sz w:val="22"/>
          <w:szCs w:val="22"/>
        </w:rPr>
        <w:t xml:space="preserve"> through the CDR match those provided manually. This gives the provider greater confidence regarding the consumer’s identity and allows the consumer to easily set up a new service.</w:t>
      </w:r>
      <w:r w:rsidRPr="00B056D2" w:rsidDel="0060294C">
        <w:rPr>
          <w:sz w:val="22"/>
          <w:szCs w:val="22"/>
        </w:rPr>
        <w:t xml:space="preserve"> </w:t>
      </w:r>
    </w:p>
    <w:bookmarkEnd w:id="10"/>
    <w:p w14:paraId="2A09B4BA" w14:textId="1C3B6627" w:rsidR="004512F1" w:rsidRPr="005A2938" w:rsidRDefault="004512F1" w:rsidP="008E0360">
      <w:pPr>
        <w:pStyle w:val="ExampleHeading"/>
        <w:rPr>
          <w:szCs w:val="22"/>
        </w:rPr>
      </w:pPr>
      <w:r w:rsidRPr="00400949">
        <w:rPr>
          <w:szCs w:val="22"/>
        </w:rPr>
        <w:t>Example</w:t>
      </w:r>
      <w:r w:rsidR="00760F42">
        <w:rPr>
          <w:szCs w:val="22"/>
        </w:rPr>
        <w:t xml:space="preserve"> </w:t>
      </w:r>
      <w:r w:rsidR="00102861">
        <w:rPr>
          <w:szCs w:val="22"/>
        </w:rPr>
        <w:t>7</w:t>
      </w:r>
      <w:r w:rsidRPr="00400949">
        <w:rPr>
          <w:szCs w:val="22"/>
        </w:rPr>
        <w:t>: CDR insights to v</w:t>
      </w:r>
      <w:r w:rsidRPr="005A2938">
        <w:rPr>
          <w:szCs w:val="22"/>
        </w:rPr>
        <w:t>erify a consumer’s account balance</w:t>
      </w:r>
    </w:p>
    <w:p w14:paraId="516718C3" w14:textId="7231211E" w:rsidR="004512F1" w:rsidRPr="00441272" w:rsidRDefault="004512F1" w:rsidP="008E0360">
      <w:pPr>
        <w:ind w:left="1134"/>
        <w:rPr>
          <w:sz w:val="22"/>
          <w:szCs w:val="22"/>
        </w:rPr>
      </w:pPr>
      <w:r w:rsidRPr="00441272">
        <w:rPr>
          <w:sz w:val="22"/>
          <w:szCs w:val="22"/>
        </w:rPr>
        <w:t xml:space="preserve">An </w:t>
      </w:r>
      <w:r w:rsidR="00723E15" w:rsidRPr="00441272">
        <w:rPr>
          <w:sz w:val="22"/>
          <w:szCs w:val="22"/>
        </w:rPr>
        <w:t>accredited data recipient</w:t>
      </w:r>
      <w:r w:rsidRPr="00441272">
        <w:rPr>
          <w:sz w:val="22"/>
          <w:szCs w:val="22"/>
        </w:rPr>
        <w:t xml:space="preserve"> partners with a gym to </w:t>
      </w:r>
      <w:r w:rsidR="00F373F8">
        <w:rPr>
          <w:sz w:val="22"/>
          <w:szCs w:val="22"/>
        </w:rPr>
        <w:t xml:space="preserve">allow a consumer to consent to </w:t>
      </w:r>
      <w:r w:rsidRPr="00441272" w:rsidDel="007B232A">
        <w:rPr>
          <w:sz w:val="22"/>
          <w:szCs w:val="22"/>
        </w:rPr>
        <w:t>disclos</w:t>
      </w:r>
      <w:r w:rsidR="00F373F8">
        <w:rPr>
          <w:sz w:val="22"/>
          <w:szCs w:val="22"/>
        </w:rPr>
        <w:t>ing</w:t>
      </w:r>
      <w:r w:rsidRPr="00441272">
        <w:rPr>
          <w:sz w:val="22"/>
          <w:szCs w:val="22"/>
        </w:rPr>
        <w:t xml:space="preserve"> </w:t>
      </w:r>
      <w:r w:rsidR="00327153">
        <w:rPr>
          <w:sz w:val="22"/>
          <w:szCs w:val="22"/>
        </w:rPr>
        <w:t xml:space="preserve">CDR </w:t>
      </w:r>
      <w:r w:rsidRPr="00441272">
        <w:rPr>
          <w:sz w:val="22"/>
          <w:szCs w:val="22"/>
        </w:rPr>
        <w:t xml:space="preserve">insights that inform the gym if a consumer has insufficient funds in their account to meet their </w:t>
      </w:r>
      <w:r w:rsidR="00D63F43" w:rsidRPr="00441272">
        <w:rPr>
          <w:sz w:val="22"/>
          <w:szCs w:val="22"/>
        </w:rPr>
        <w:t>subscription payment</w:t>
      </w:r>
      <w:r w:rsidRPr="00441272">
        <w:rPr>
          <w:sz w:val="22"/>
          <w:szCs w:val="22"/>
        </w:rPr>
        <w:t xml:space="preserve"> obligations. Where the insight reveals the consumer has insufficient funds, the gym </w:t>
      </w:r>
      <w:r w:rsidR="00D63F43" w:rsidRPr="00441272">
        <w:rPr>
          <w:sz w:val="22"/>
          <w:szCs w:val="22"/>
        </w:rPr>
        <w:t xml:space="preserve">can send </w:t>
      </w:r>
      <w:r w:rsidRPr="00441272">
        <w:rPr>
          <w:sz w:val="22"/>
          <w:szCs w:val="22"/>
        </w:rPr>
        <w:t>the consumer a prompt to transfer money into their account in time for their next payment and avoid a late payment fee.</w:t>
      </w:r>
    </w:p>
    <w:p w14:paraId="49941248" w14:textId="0BE883BB" w:rsidR="00D320A8" w:rsidRDefault="00485FDD" w:rsidP="008E0360">
      <w:pPr>
        <w:spacing w:after="0"/>
        <w:ind w:right="91"/>
      </w:pPr>
      <w:r>
        <w:lastRenderedPageBreak/>
        <w:t>The following would not be permitted to be disclosed as a CDR insight because they are not consistent with the listed verification purposes:</w:t>
      </w:r>
    </w:p>
    <w:p w14:paraId="432BBDE9" w14:textId="464AAD21" w:rsidR="001558A0" w:rsidRDefault="001558A0" w:rsidP="008E0360">
      <w:pPr>
        <w:pStyle w:val="Bullet"/>
        <w:spacing w:before="120"/>
      </w:pPr>
      <w:r>
        <w:t xml:space="preserve">disclose a recommendation to a provider about whether the consumer should be eligible for a product or </w:t>
      </w:r>
      <w:proofErr w:type="gramStart"/>
      <w:r>
        <w:t>service;</w:t>
      </w:r>
      <w:proofErr w:type="gramEnd"/>
    </w:p>
    <w:p w14:paraId="00216D1D" w14:textId="250790DD" w:rsidR="001558A0" w:rsidRDefault="001558A0" w:rsidP="008E0360">
      <w:pPr>
        <w:pStyle w:val="Bullet"/>
        <w:spacing w:before="120"/>
      </w:pPr>
      <w:r>
        <w:t>disclose a recommendation to a provider about the price a consumer should pay for a product or service; or</w:t>
      </w:r>
    </w:p>
    <w:p w14:paraId="1D63A05E" w14:textId="2E4D383E" w:rsidR="001558A0" w:rsidRDefault="001558A0" w:rsidP="008E0360">
      <w:pPr>
        <w:pStyle w:val="Bullet"/>
        <w:spacing w:before="120"/>
      </w:pPr>
      <w:r>
        <w:t>disclose a consumer ‘score’ or ‘ranking’.</w:t>
      </w:r>
    </w:p>
    <w:p w14:paraId="208B9AD6" w14:textId="0C4DCDA6" w:rsidR="000018C4" w:rsidRDefault="00723E15" w:rsidP="008E0360">
      <w:pPr>
        <w:pStyle w:val="Bullet"/>
        <w:numPr>
          <w:ilvl w:val="0"/>
          <w:numId w:val="0"/>
        </w:numPr>
        <w:spacing w:before="120"/>
      </w:pPr>
      <w:r>
        <w:t>Accredited data recipient</w:t>
      </w:r>
      <w:r w:rsidR="00971CED">
        <w:t>s</w:t>
      </w:r>
      <w:r w:rsidR="007A5DD4">
        <w:t xml:space="preserve"> </w:t>
      </w:r>
      <w:r w:rsidR="00170E2B">
        <w:t xml:space="preserve">are </w:t>
      </w:r>
      <w:r w:rsidR="007A5DD4">
        <w:t xml:space="preserve">responsible for ensuring that any CDR insights they disclose </w:t>
      </w:r>
      <w:r w:rsidR="000018C4">
        <w:t>are</w:t>
      </w:r>
      <w:r w:rsidR="007A5DD4">
        <w:t xml:space="preserve"> with</w:t>
      </w:r>
      <w:r w:rsidR="000018C4">
        <w:t>in</w:t>
      </w:r>
      <w:r w:rsidR="007A5DD4">
        <w:t xml:space="preserve"> the purposes consented to by the consumer</w:t>
      </w:r>
      <w:r w:rsidR="000018C4">
        <w:t xml:space="preserve"> and that</w:t>
      </w:r>
      <w:r w:rsidR="007A5DD4">
        <w:t xml:space="preserve"> these purposes align with the list of permitted purposes</w:t>
      </w:r>
      <w:r w:rsidR="000018C4">
        <w:t xml:space="preserve"> </w:t>
      </w:r>
      <w:r w:rsidR="007A5DD4">
        <w:t xml:space="preserve">and any other obligations that they have under the CDR </w:t>
      </w:r>
      <w:r w:rsidR="000018C4">
        <w:t>R</w:t>
      </w:r>
      <w:r w:rsidR="007A5DD4">
        <w:t xml:space="preserve">ules. </w:t>
      </w:r>
      <w:r w:rsidR="00AE0FD4">
        <w:t xml:space="preserve">Disclosure of CDR insights is subject to the existing civil penalty provision under rule 7.6 requiring that accredited data recipients’ </w:t>
      </w:r>
      <w:proofErr w:type="gramStart"/>
      <w:r w:rsidR="00AE0FD4">
        <w:t>use</w:t>
      </w:r>
      <w:proofErr w:type="gramEnd"/>
      <w:r w:rsidR="00AE0FD4">
        <w:t xml:space="preserve"> or disclosure of CDR data be a permitted use or disclosure.</w:t>
      </w:r>
      <w:r w:rsidR="00F74ECE" w:rsidDel="00F74ECE">
        <w:rPr>
          <w:rStyle w:val="CommentReference"/>
        </w:rPr>
        <w:t xml:space="preserve"> </w:t>
      </w:r>
    </w:p>
    <w:p w14:paraId="53A95C88" w14:textId="26CEF2DF" w:rsidR="001558A0" w:rsidRPr="001558A0" w:rsidRDefault="007A5DD4" w:rsidP="008E0360">
      <w:pPr>
        <w:spacing w:after="0"/>
        <w:ind w:right="91"/>
      </w:pPr>
      <w:r>
        <w:t xml:space="preserve">Once disclosed by the </w:t>
      </w:r>
      <w:r w:rsidR="00723E15">
        <w:t>accredited data recipient</w:t>
      </w:r>
      <w:r>
        <w:t xml:space="preserve">, the recipient of </w:t>
      </w:r>
      <w:r w:rsidR="00B91AD4">
        <w:t>a</w:t>
      </w:r>
      <w:r>
        <w:t xml:space="preserve"> CDR insight </w:t>
      </w:r>
      <w:r w:rsidR="00170E2B">
        <w:t xml:space="preserve">is </w:t>
      </w:r>
      <w:r>
        <w:t xml:space="preserve">responsible for ensuring that their use of this data is in line with any obligations </w:t>
      </w:r>
      <w:r w:rsidR="000018C4">
        <w:t>they may have that arise outside the CDR regime</w:t>
      </w:r>
      <w:r>
        <w:t>.</w:t>
      </w:r>
      <w:r w:rsidR="002B712F">
        <w:t xml:space="preserve"> For example, CDR insight recipients may be subject to obligations under the </w:t>
      </w:r>
      <w:r w:rsidR="002B712F" w:rsidRPr="00F057AC">
        <w:rPr>
          <w:i/>
          <w:iCs/>
        </w:rPr>
        <w:t>Privacy Act 19</w:t>
      </w:r>
      <w:r w:rsidR="002B712F">
        <w:rPr>
          <w:i/>
          <w:iCs/>
        </w:rPr>
        <w:t>8</w:t>
      </w:r>
      <w:r w:rsidR="002B712F" w:rsidRPr="00F057AC">
        <w:rPr>
          <w:i/>
          <w:iCs/>
        </w:rPr>
        <w:t>8</w:t>
      </w:r>
      <w:r w:rsidR="002B712F">
        <w:t>, including complying with the Australian Privacy Principles.</w:t>
      </w:r>
    </w:p>
    <w:p w14:paraId="7B2DDED5" w14:textId="22DB571B" w:rsidR="004512F1" w:rsidRPr="00CC463B" w:rsidRDefault="004512F1" w:rsidP="008E0360">
      <w:pPr>
        <w:spacing w:before="240" w:after="0"/>
        <w:ind w:right="91"/>
        <w:rPr>
          <w:i/>
          <w:iCs/>
        </w:rPr>
      </w:pPr>
      <w:r w:rsidRPr="00CC463B">
        <w:rPr>
          <w:i/>
          <w:iCs/>
        </w:rPr>
        <w:t>Consumer protections</w:t>
      </w:r>
    </w:p>
    <w:p w14:paraId="73089D47" w14:textId="77777777" w:rsidR="00891B4C" w:rsidRDefault="00891B4C" w:rsidP="008E0360">
      <w:pPr>
        <w:pStyle w:val="Dotpoint"/>
        <w:numPr>
          <w:ilvl w:val="0"/>
          <w:numId w:val="0"/>
        </w:numPr>
      </w:pPr>
      <w:r>
        <w:t xml:space="preserve">An accredited person must </w:t>
      </w:r>
      <w:proofErr w:type="gramStart"/>
      <w:r>
        <w:t>give an explanation of</w:t>
      </w:r>
      <w:proofErr w:type="gramEnd"/>
      <w:r>
        <w:t xml:space="preserve"> the CDR insight to the CDR consumer when seeking the insight disclosure consent that makes it clear what the CDR insight would reveal or describe. A CDR insight is not required to be shown to a consumer prior to it being disclosed. However, where practical, this could be done </w:t>
      </w:r>
      <w:proofErr w:type="gramStart"/>
      <w:r>
        <w:t>in order to</w:t>
      </w:r>
      <w:proofErr w:type="gramEnd"/>
      <w:r>
        <w:t xml:space="preserve"> assist the consumer’s understanding of what the CDR insight would reveal or describe and help meet the accredited person’s obligation under rule 4.11.</w:t>
      </w:r>
      <w:r w:rsidRPr="009335F3">
        <w:rPr>
          <w:rStyle w:val="base-text-paragraphChar"/>
          <w:b/>
          <w:bCs/>
          <w:i/>
          <w:iCs/>
          <w:sz w:val="18"/>
          <w:szCs w:val="18"/>
        </w:rPr>
        <w:t xml:space="preserve"> </w:t>
      </w:r>
      <w:r w:rsidRPr="00413975">
        <w:rPr>
          <w:rStyle w:val="base-text-paragraphChar"/>
          <w:b/>
          <w:bCs/>
          <w:i/>
          <w:iCs/>
          <w:sz w:val="18"/>
          <w:szCs w:val="18"/>
        </w:rPr>
        <w:t xml:space="preserve">[Schedule 3, item </w:t>
      </w:r>
      <w:r>
        <w:rPr>
          <w:rStyle w:val="base-text-paragraphChar"/>
          <w:b/>
          <w:bCs/>
          <w:i/>
          <w:iCs/>
          <w:sz w:val="18"/>
          <w:szCs w:val="18"/>
        </w:rPr>
        <w:t>9</w:t>
      </w:r>
      <w:r w:rsidRPr="00413975">
        <w:rPr>
          <w:rStyle w:val="base-text-paragraphChar"/>
          <w:b/>
          <w:bCs/>
          <w:i/>
          <w:iCs/>
          <w:sz w:val="18"/>
          <w:szCs w:val="18"/>
        </w:rPr>
        <w:t>, rule</w:t>
      </w:r>
      <w:r>
        <w:rPr>
          <w:rStyle w:val="base-text-paragraphChar"/>
          <w:b/>
          <w:bCs/>
          <w:i/>
          <w:iCs/>
          <w:sz w:val="18"/>
          <w:szCs w:val="18"/>
        </w:rPr>
        <w:t xml:space="preserve"> 4.11(</w:t>
      </w:r>
      <w:proofErr w:type="gramStart"/>
      <w:r>
        <w:rPr>
          <w:rStyle w:val="base-text-paragraphChar"/>
          <w:b/>
          <w:bCs/>
          <w:i/>
          <w:iCs/>
          <w:sz w:val="18"/>
          <w:szCs w:val="18"/>
        </w:rPr>
        <w:t>3)(</w:t>
      </w:r>
      <w:proofErr w:type="gramEnd"/>
      <w:r>
        <w:rPr>
          <w:rStyle w:val="base-text-paragraphChar"/>
          <w:b/>
          <w:bCs/>
          <w:i/>
          <w:iCs/>
          <w:sz w:val="18"/>
          <w:szCs w:val="18"/>
        </w:rPr>
        <w:t>ca)</w:t>
      </w:r>
      <w:r w:rsidRPr="00413975">
        <w:rPr>
          <w:rStyle w:val="base-text-paragraphChar"/>
          <w:b/>
          <w:bCs/>
          <w:i/>
          <w:iCs/>
          <w:sz w:val="18"/>
          <w:szCs w:val="18"/>
        </w:rPr>
        <w:t>]</w:t>
      </w:r>
    </w:p>
    <w:p w14:paraId="2C86AA39" w14:textId="674B64C2" w:rsidR="00891B4C" w:rsidRDefault="00891B4C" w:rsidP="008E0360">
      <w:pPr>
        <w:spacing w:after="0"/>
        <w:ind w:right="91"/>
      </w:pPr>
      <w:r>
        <w:t>Data standards are required to be made about the processes by which insight disclosure consents are obtained, including ensuring the consumer understands their data will leave the CDR system and explaining the CDR insight in accordance with rule 4.11.</w:t>
      </w:r>
      <w:r w:rsidRPr="00DB7A30">
        <w:rPr>
          <w:rStyle w:val="base-text-paragraphChar"/>
          <w:b/>
          <w:bCs/>
          <w:i/>
          <w:iCs/>
          <w:sz w:val="18"/>
          <w:szCs w:val="18"/>
        </w:rPr>
        <w:t xml:space="preserve"> </w:t>
      </w:r>
      <w:r w:rsidRPr="00413975">
        <w:rPr>
          <w:rStyle w:val="base-text-paragraphChar"/>
          <w:b/>
          <w:bCs/>
          <w:i/>
          <w:iCs/>
          <w:sz w:val="18"/>
          <w:szCs w:val="18"/>
        </w:rPr>
        <w:t>[Schedule 3, item</w:t>
      </w:r>
      <w:r>
        <w:rPr>
          <w:rStyle w:val="base-text-paragraphChar"/>
          <w:b/>
          <w:bCs/>
          <w:i/>
          <w:iCs/>
          <w:sz w:val="18"/>
          <w:szCs w:val="18"/>
        </w:rPr>
        <w:t>s</w:t>
      </w:r>
      <w:r w:rsidRPr="00413975">
        <w:rPr>
          <w:rStyle w:val="base-text-paragraphChar"/>
          <w:b/>
          <w:bCs/>
          <w:i/>
          <w:iCs/>
          <w:sz w:val="18"/>
          <w:szCs w:val="18"/>
        </w:rPr>
        <w:t xml:space="preserve"> </w:t>
      </w:r>
      <w:r>
        <w:rPr>
          <w:rStyle w:val="base-text-paragraphChar"/>
          <w:b/>
          <w:bCs/>
          <w:i/>
          <w:iCs/>
          <w:sz w:val="18"/>
          <w:szCs w:val="18"/>
        </w:rPr>
        <w:t>12 and 13, rules 8.11(1)(c)(v) and</w:t>
      </w:r>
      <w:r>
        <w:rPr>
          <w:rStyle w:val="base-text-paragraphChar"/>
          <w:b/>
          <w:i/>
          <w:sz w:val="18"/>
          <w:szCs w:val="18"/>
        </w:rPr>
        <w:t xml:space="preserve"> 8.11(1A</w:t>
      </w:r>
      <w:r>
        <w:rPr>
          <w:rStyle w:val="base-text-paragraphChar"/>
          <w:b/>
          <w:bCs/>
          <w:i/>
          <w:iCs/>
          <w:sz w:val="18"/>
          <w:szCs w:val="18"/>
        </w:rPr>
        <w:t>)</w:t>
      </w:r>
      <w:r w:rsidRPr="00413975">
        <w:rPr>
          <w:rStyle w:val="base-text-paragraphChar"/>
          <w:b/>
          <w:bCs/>
          <w:i/>
          <w:iCs/>
          <w:sz w:val="18"/>
          <w:szCs w:val="18"/>
        </w:rPr>
        <w:t>]</w:t>
      </w:r>
    </w:p>
    <w:p w14:paraId="29CA8419" w14:textId="21BBBEC7" w:rsidR="004512F1" w:rsidRDefault="004512F1" w:rsidP="008E0360">
      <w:pPr>
        <w:spacing w:after="0"/>
        <w:ind w:right="91"/>
      </w:pPr>
      <w:r>
        <w:t xml:space="preserve">The Data Minimisation Principle </w:t>
      </w:r>
      <w:r w:rsidR="005A7C91">
        <w:t>set ou</w:t>
      </w:r>
      <w:r w:rsidR="003F09E9">
        <w:t>t</w:t>
      </w:r>
      <w:r w:rsidR="005A7C91">
        <w:t xml:space="preserve"> in </w:t>
      </w:r>
      <w:r>
        <w:t xml:space="preserve">rule 1.8 prohibits an accredited person from collecting or using a CDR consumer’s data beyond what is reasonably needed to provide the goods and services the consumer requested. This requirement applies when an insight disclosure consent is sought and when the CDR insight is disclosed. As a result, </w:t>
      </w:r>
      <w:r w:rsidR="00723E15">
        <w:t>accredited data recipient</w:t>
      </w:r>
      <w:r>
        <w:t>s are required to limit CDR insights to the minimum information necessary to meet the consumer’s request.</w:t>
      </w:r>
    </w:p>
    <w:p w14:paraId="45E7B1E8" w14:textId="05AABF90" w:rsidR="00FD4BF0" w:rsidRDefault="00FD4BF0" w:rsidP="008E0360">
      <w:pPr>
        <w:spacing w:after="0"/>
        <w:ind w:right="91"/>
      </w:pPr>
      <w:r>
        <w:t xml:space="preserve">In addition, </w:t>
      </w:r>
      <w:r w:rsidRPr="00FD4BF0">
        <w:t xml:space="preserve">disclosure of CDR data </w:t>
      </w:r>
      <w:r>
        <w:t>in a CDR insight</w:t>
      </w:r>
      <w:r w:rsidRPr="00FD4BF0">
        <w:t xml:space="preserve"> is covered by the </w:t>
      </w:r>
      <w:r>
        <w:t xml:space="preserve">existing </w:t>
      </w:r>
      <w:r w:rsidRPr="00FD4BF0">
        <w:t>information security controls in Schedule 2 to the CDR Rules</w:t>
      </w:r>
      <w:r>
        <w:t>, which means that</w:t>
      </w:r>
      <w:r w:rsidRPr="00FD4BF0">
        <w:t xml:space="preserve"> the minimum information security control of encrypting data in transit applies to the disclosure</w:t>
      </w:r>
      <w:r>
        <w:t xml:space="preserve"> of the CDR insight</w:t>
      </w:r>
      <w:r w:rsidRPr="00FD4BF0">
        <w:t>.</w:t>
      </w:r>
    </w:p>
    <w:p w14:paraId="21C0E6DF" w14:textId="5B51DFDC" w:rsidR="00891B4C" w:rsidRDefault="00A7251F" w:rsidP="008E0360">
      <w:pPr>
        <w:spacing w:after="0"/>
        <w:ind w:right="91"/>
      </w:pPr>
      <w:r>
        <w:t>A</w:t>
      </w:r>
      <w:r w:rsidR="000A26DB">
        <w:t>n</w:t>
      </w:r>
      <w:r w:rsidR="002F39A6" w:rsidDel="000A26DB">
        <w:t xml:space="preserve"> </w:t>
      </w:r>
      <w:r w:rsidR="002F39A6">
        <w:t>accredited data recipient is not permitted to disclose the CDR insight if</w:t>
      </w:r>
      <w:r w:rsidR="006D136A">
        <w:t xml:space="preserve"> it</w:t>
      </w:r>
      <w:r>
        <w:t xml:space="preserve"> </w:t>
      </w:r>
      <w:r w:rsidRPr="00A7251F">
        <w:t xml:space="preserve">includes or reveals sensitive information within the meaning of the </w:t>
      </w:r>
      <w:r w:rsidRPr="00D563C2">
        <w:rPr>
          <w:i/>
        </w:rPr>
        <w:t>Privacy Act 1988</w:t>
      </w:r>
      <w:r w:rsidRPr="00A7251F">
        <w:t xml:space="preserve">. </w:t>
      </w:r>
      <w:r w:rsidRPr="002574F4">
        <w:rPr>
          <w:b/>
          <w:i/>
          <w:sz w:val="18"/>
          <w:szCs w:val="18"/>
        </w:rPr>
        <w:t>[Schedule 3, item 10, rule 7.5A(4</w:t>
      </w:r>
      <w:r w:rsidRPr="002574F4">
        <w:rPr>
          <w:b/>
          <w:bCs/>
          <w:i/>
          <w:iCs/>
          <w:sz w:val="18"/>
          <w:szCs w:val="18"/>
        </w:rPr>
        <w:t>)]</w:t>
      </w:r>
    </w:p>
    <w:p w14:paraId="2C0DD99E" w14:textId="41BE726C" w:rsidR="000A26DB" w:rsidRDefault="00A7251F" w:rsidP="008E0360">
      <w:pPr>
        <w:pStyle w:val="Bullet"/>
        <w:numPr>
          <w:ilvl w:val="0"/>
          <w:numId w:val="0"/>
        </w:numPr>
        <w:spacing w:before="120"/>
      </w:pPr>
      <w:r w:rsidRPr="00A7251F">
        <w:t xml:space="preserve">An insight disclosure consent that relates to more than one transaction cannot authorise the accredited data recipient to disclose the date or amount of any individual </w:t>
      </w:r>
      <w:r w:rsidRPr="00A7251F">
        <w:lastRenderedPageBreak/>
        <w:t>transaction.</w:t>
      </w:r>
      <w:r>
        <w:t xml:space="preserve"> </w:t>
      </w:r>
      <w:r w:rsidR="00AA1DB2" w:rsidRPr="00AA1DB2">
        <w:t xml:space="preserve">This is </w:t>
      </w:r>
      <w:r>
        <w:t>in order that</w:t>
      </w:r>
      <w:r w:rsidR="00AA1DB2" w:rsidRPr="00AA1DB2">
        <w:t xml:space="preserve"> large amounts of detailed </w:t>
      </w:r>
      <w:r w:rsidR="0050692C">
        <w:t>transaction</w:t>
      </w:r>
      <w:r w:rsidR="0050692C" w:rsidRPr="00AA1DB2">
        <w:t xml:space="preserve"> </w:t>
      </w:r>
      <w:r w:rsidR="00AA1DB2" w:rsidRPr="00AA1DB2">
        <w:t>data</w:t>
      </w:r>
      <w:r w:rsidR="008F1057">
        <w:t xml:space="preserve">, such as a full transaction list or </w:t>
      </w:r>
      <w:r w:rsidR="0050692C">
        <w:t xml:space="preserve">detailed </w:t>
      </w:r>
      <w:r w:rsidR="008F1057">
        <w:t>business ledger</w:t>
      </w:r>
      <w:r>
        <w:t xml:space="preserve"> will not be able to be disclosed using a CDR insight</w:t>
      </w:r>
      <w:r w:rsidR="00AA1DB2" w:rsidRPr="00AA1DB2">
        <w:t>.</w:t>
      </w:r>
      <w:r w:rsidR="002574F4">
        <w:t xml:space="preserve"> </w:t>
      </w:r>
      <w:r w:rsidR="0050692C">
        <w:t>However</w:t>
      </w:r>
      <w:r w:rsidR="000A26DB">
        <w:t>, a</w:t>
      </w:r>
      <w:r w:rsidR="00AA1DB2" w:rsidRPr="00AA1DB2">
        <w:t xml:space="preserve"> </w:t>
      </w:r>
      <w:r w:rsidR="00803821">
        <w:t xml:space="preserve">summary of transactions </w:t>
      </w:r>
      <w:r w:rsidR="00AA1DB2" w:rsidRPr="00AA1DB2">
        <w:t xml:space="preserve">disclosed as a verification of credits or debits could be </w:t>
      </w:r>
      <w:r w:rsidR="0050692C">
        <w:t>consented to</w:t>
      </w:r>
      <w:r w:rsidR="0050692C" w:rsidRPr="00AA1DB2">
        <w:t xml:space="preserve"> </w:t>
      </w:r>
      <w:r w:rsidR="0050692C">
        <w:t xml:space="preserve">as a CDR insight </w:t>
      </w:r>
      <w:r w:rsidR="00AA1DB2" w:rsidRPr="00AA1DB2">
        <w:t xml:space="preserve">provided it </w:t>
      </w:r>
      <w:r w:rsidR="00803821">
        <w:t xml:space="preserve">does not attribute a date or amount to any </w:t>
      </w:r>
      <w:r w:rsidR="00AA1DB2" w:rsidRPr="00AA1DB2">
        <w:t xml:space="preserve">specific </w:t>
      </w:r>
      <w:r w:rsidR="00803821">
        <w:t>transaction</w:t>
      </w:r>
      <w:r w:rsidR="00AA1DB2" w:rsidRPr="00AA1DB2">
        <w:t>.</w:t>
      </w:r>
      <w:r w:rsidR="00E377DB" w:rsidRPr="00BC38FB">
        <w:t xml:space="preserve"> </w:t>
      </w:r>
      <w:r w:rsidR="0050692C" w:rsidRPr="00AA1DB2">
        <w:t>The amount and date of</w:t>
      </w:r>
      <w:r w:rsidR="0050692C">
        <w:t xml:space="preserve"> a </w:t>
      </w:r>
      <w:r w:rsidR="0050692C" w:rsidRPr="00AA1DB2">
        <w:t xml:space="preserve">single credit or debit could be provided where the CDR insight </w:t>
      </w:r>
      <w:r w:rsidR="0050692C">
        <w:t xml:space="preserve">disclosure consent </w:t>
      </w:r>
      <w:r w:rsidR="0050692C" w:rsidRPr="00AA1DB2">
        <w:t>relates only to that transaction</w:t>
      </w:r>
      <w:r w:rsidR="000C4982">
        <w:t>.</w:t>
      </w:r>
      <w:r w:rsidR="0050692C" w:rsidRPr="006D136A">
        <w:rPr>
          <w:rStyle w:val="base-text-paragraphChar"/>
          <w:b/>
          <w:bCs/>
          <w:i/>
          <w:iCs/>
          <w:sz w:val="18"/>
          <w:szCs w:val="18"/>
        </w:rPr>
        <w:t xml:space="preserve"> </w:t>
      </w:r>
      <w:r w:rsidR="000A26DB" w:rsidRPr="006D136A">
        <w:rPr>
          <w:rStyle w:val="base-text-paragraphChar"/>
          <w:b/>
          <w:bCs/>
          <w:i/>
          <w:iCs/>
          <w:sz w:val="18"/>
          <w:szCs w:val="18"/>
        </w:rPr>
        <w:t>[Schedule 3, item 4, rule 1.10A(3)(b)]</w:t>
      </w:r>
    </w:p>
    <w:p w14:paraId="69179FA8" w14:textId="1DBA281F" w:rsidR="002F39A6" w:rsidRDefault="002F39A6" w:rsidP="008E0360">
      <w:pPr>
        <w:pStyle w:val="ExampleHeading"/>
      </w:pPr>
      <w:r w:rsidRPr="00400949">
        <w:rPr>
          <w:szCs w:val="22"/>
        </w:rPr>
        <w:t>Example</w:t>
      </w:r>
      <w:r w:rsidR="00760F42">
        <w:rPr>
          <w:szCs w:val="22"/>
        </w:rPr>
        <w:t xml:space="preserve"> </w:t>
      </w:r>
      <w:r w:rsidR="00102861">
        <w:rPr>
          <w:szCs w:val="22"/>
        </w:rPr>
        <w:t>8</w:t>
      </w:r>
      <w:r w:rsidRPr="00400949">
        <w:rPr>
          <w:szCs w:val="22"/>
        </w:rPr>
        <w:t xml:space="preserve">: CDR insights to </w:t>
      </w:r>
      <w:r>
        <w:rPr>
          <w:szCs w:val="22"/>
        </w:rPr>
        <w:t>verify a consumer’s income and rental payments</w:t>
      </w:r>
    </w:p>
    <w:p w14:paraId="2208C7B3" w14:textId="036D1FDC" w:rsidR="00B91AD4" w:rsidDel="00803821" w:rsidRDefault="002F39A6" w:rsidP="008E0360">
      <w:pPr>
        <w:pStyle w:val="ExampleHeading"/>
        <w:rPr>
          <w:b w:val="0"/>
          <w:szCs w:val="22"/>
        </w:rPr>
      </w:pPr>
      <w:r>
        <w:rPr>
          <w:b w:val="0"/>
          <w:szCs w:val="22"/>
        </w:rPr>
        <w:t xml:space="preserve">An </w:t>
      </w:r>
      <w:r w:rsidR="00803821">
        <w:rPr>
          <w:b w:val="0"/>
          <w:szCs w:val="22"/>
        </w:rPr>
        <w:t>accredited data recipient</w:t>
      </w:r>
      <w:r>
        <w:rPr>
          <w:b w:val="0"/>
          <w:szCs w:val="22"/>
        </w:rPr>
        <w:t xml:space="preserve"> offers a service to help real estate agents verify a consumer’s income and rental payment history using CDR </w:t>
      </w:r>
      <w:r w:rsidR="00803821">
        <w:rPr>
          <w:b w:val="0"/>
          <w:szCs w:val="22"/>
        </w:rPr>
        <w:t>i</w:t>
      </w:r>
      <w:r>
        <w:rPr>
          <w:b w:val="0"/>
          <w:szCs w:val="22"/>
        </w:rPr>
        <w:t xml:space="preserve">nsights. With the consumer’s consent, the </w:t>
      </w:r>
      <w:r w:rsidR="00803821">
        <w:rPr>
          <w:b w:val="0"/>
          <w:szCs w:val="22"/>
        </w:rPr>
        <w:t>accredited data recipient</w:t>
      </w:r>
      <w:r>
        <w:rPr>
          <w:b w:val="0"/>
          <w:szCs w:val="22"/>
        </w:rPr>
        <w:t xml:space="preserve"> discloses the consumer</w:t>
      </w:r>
      <w:r w:rsidR="00803821">
        <w:rPr>
          <w:b w:val="0"/>
          <w:szCs w:val="22"/>
        </w:rPr>
        <w:t>’</w:t>
      </w:r>
      <w:r>
        <w:rPr>
          <w:b w:val="0"/>
          <w:szCs w:val="22"/>
        </w:rPr>
        <w:t xml:space="preserve">s average monthly income based on </w:t>
      </w:r>
      <w:proofErr w:type="gramStart"/>
      <w:r>
        <w:rPr>
          <w:b w:val="0"/>
          <w:szCs w:val="22"/>
        </w:rPr>
        <w:t>all of</w:t>
      </w:r>
      <w:proofErr w:type="gramEnd"/>
      <w:r>
        <w:rPr>
          <w:b w:val="0"/>
          <w:szCs w:val="22"/>
        </w:rPr>
        <w:t xml:space="preserve"> the consumer’s income sources over the past 6 months. The CDR insight does not contain the specific dates or amounts of any of the incoming </w:t>
      </w:r>
      <w:r w:rsidR="00803821">
        <w:rPr>
          <w:b w:val="0"/>
          <w:szCs w:val="22"/>
        </w:rPr>
        <w:t>payments</w:t>
      </w:r>
      <w:r>
        <w:rPr>
          <w:b w:val="0"/>
          <w:szCs w:val="22"/>
        </w:rPr>
        <w:t xml:space="preserve">. </w:t>
      </w:r>
      <w:r w:rsidR="00803821" w:rsidRPr="00803821">
        <w:rPr>
          <w:b w:val="0"/>
          <w:szCs w:val="22"/>
        </w:rPr>
        <w:t xml:space="preserve">With the consumer’s consent, the </w:t>
      </w:r>
      <w:r w:rsidR="00A1524B">
        <w:rPr>
          <w:b w:val="0"/>
          <w:szCs w:val="22"/>
        </w:rPr>
        <w:t>accredited data recipient</w:t>
      </w:r>
      <w:r w:rsidR="00803821" w:rsidRPr="00803821">
        <w:rPr>
          <w:b w:val="0"/>
          <w:szCs w:val="22"/>
        </w:rPr>
        <w:t xml:space="preserve"> also discloses the number of times over the last 6 months that a rental payment was made from the consumer’s account after the rental due date. The CDR insight does not contain the specific dates or amounts of any of the outgoing transactions.</w:t>
      </w:r>
    </w:p>
    <w:p w14:paraId="5AF27EFE" w14:textId="1E7FE3B7" w:rsidR="00817FBA" w:rsidRDefault="007273F4" w:rsidP="008E0360">
      <w:pPr>
        <w:pStyle w:val="Bullet"/>
        <w:numPr>
          <w:ilvl w:val="0"/>
          <w:numId w:val="0"/>
        </w:numPr>
      </w:pPr>
      <w:r>
        <w:t xml:space="preserve">Accredited data recipients must </w:t>
      </w:r>
      <w:r w:rsidR="00D75424">
        <w:t>include on</w:t>
      </w:r>
      <w:r>
        <w:t xml:space="preserve"> consumers</w:t>
      </w:r>
      <w:r w:rsidR="00D75424">
        <w:t>’</w:t>
      </w:r>
      <w:r>
        <w:t xml:space="preserve"> dashboards </w:t>
      </w:r>
      <w:r w:rsidR="00717986">
        <w:t xml:space="preserve">for each insight disclosure consent, </w:t>
      </w:r>
      <w:r>
        <w:t xml:space="preserve">a description of </w:t>
      </w:r>
      <w:r w:rsidR="00717986">
        <w:t>the</w:t>
      </w:r>
      <w:r w:rsidR="00D75424">
        <w:t xml:space="preserve"> CDR insight and to whom it was disclosed. </w:t>
      </w:r>
      <w:r w:rsidR="00817FBA" w:rsidRPr="00413975">
        <w:rPr>
          <w:rStyle w:val="base-text-paragraphChar"/>
          <w:b/>
          <w:bCs/>
          <w:i/>
          <w:iCs/>
          <w:sz w:val="18"/>
          <w:szCs w:val="18"/>
        </w:rPr>
        <w:t>[Schedule 3, item</w:t>
      </w:r>
      <w:r w:rsidR="00817FBA">
        <w:rPr>
          <w:rStyle w:val="base-text-paragraphChar"/>
          <w:b/>
          <w:bCs/>
          <w:i/>
          <w:iCs/>
          <w:sz w:val="18"/>
          <w:szCs w:val="18"/>
        </w:rPr>
        <w:t>s 6</w:t>
      </w:r>
      <w:r w:rsidR="002C4A16">
        <w:rPr>
          <w:rStyle w:val="base-text-paragraphChar"/>
          <w:b/>
          <w:bCs/>
          <w:i/>
          <w:iCs/>
          <w:sz w:val="18"/>
          <w:szCs w:val="18"/>
        </w:rPr>
        <w:t xml:space="preserve"> and</w:t>
      </w:r>
      <w:r w:rsidR="00817FBA">
        <w:rPr>
          <w:rStyle w:val="base-text-paragraphChar"/>
          <w:b/>
          <w:bCs/>
          <w:i/>
          <w:iCs/>
          <w:sz w:val="18"/>
          <w:szCs w:val="18"/>
        </w:rPr>
        <w:t xml:space="preserve"> 7, rules 1.14(1)(b)</w:t>
      </w:r>
      <w:r w:rsidR="00717986">
        <w:rPr>
          <w:rStyle w:val="base-text-paragraphChar"/>
          <w:b/>
          <w:bCs/>
          <w:i/>
          <w:iCs/>
          <w:sz w:val="18"/>
          <w:szCs w:val="18"/>
        </w:rPr>
        <w:t xml:space="preserve"> and </w:t>
      </w:r>
      <w:r w:rsidR="00817FBA">
        <w:rPr>
          <w:rStyle w:val="base-text-paragraphChar"/>
          <w:b/>
          <w:bCs/>
          <w:i/>
          <w:iCs/>
          <w:sz w:val="18"/>
          <w:szCs w:val="18"/>
        </w:rPr>
        <w:t>(</w:t>
      </w:r>
      <w:proofErr w:type="gramStart"/>
      <w:r w:rsidR="00817FBA">
        <w:rPr>
          <w:rStyle w:val="base-text-paragraphChar"/>
          <w:b/>
          <w:bCs/>
          <w:i/>
          <w:iCs/>
          <w:sz w:val="18"/>
          <w:szCs w:val="18"/>
        </w:rPr>
        <w:t>3)(</w:t>
      </w:r>
      <w:proofErr w:type="spellStart"/>
      <w:proofErr w:type="gramEnd"/>
      <w:r w:rsidR="00817FBA">
        <w:rPr>
          <w:rStyle w:val="base-text-paragraphChar"/>
          <w:b/>
          <w:bCs/>
          <w:i/>
          <w:iCs/>
          <w:sz w:val="18"/>
          <w:szCs w:val="18"/>
        </w:rPr>
        <w:t>ea</w:t>
      </w:r>
      <w:proofErr w:type="spellEnd"/>
      <w:r w:rsidR="00817FBA">
        <w:rPr>
          <w:rStyle w:val="base-text-paragraphChar"/>
          <w:b/>
          <w:bCs/>
          <w:i/>
          <w:iCs/>
          <w:sz w:val="18"/>
          <w:szCs w:val="18"/>
        </w:rPr>
        <w:t>)]</w:t>
      </w:r>
    </w:p>
    <w:p w14:paraId="37CDF428" w14:textId="1A2CAC19" w:rsidR="004512F1" w:rsidRDefault="00F178F5" w:rsidP="008E0360">
      <w:pPr>
        <w:rPr>
          <w:rStyle w:val="base-text-paragraphChar"/>
          <w:b/>
          <w:bCs/>
          <w:i/>
          <w:iCs/>
          <w:sz w:val="18"/>
          <w:szCs w:val="18"/>
        </w:rPr>
      </w:pPr>
      <w:r>
        <w:t>A</w:t>
      </w:r>
      <w:r w:rsidR="000D6F0B">
        <w:t>s soon as practicable after disclosing a CDR insight in response to a consumer data request, a</w:t>
      </w:r>
      <w:r w:rsidR="00723E15">
        <w:t>ccredited data recipient</w:t>
      </w:r>
      <w:r>
        <w:t>s must</w:t>
      </w:r>
      <w:r w:rsidR="004512F1">
        <w:t xml:space="preserve"> </w:t>
      </w:r>
      <w:r w:rsidR="006F0B6D">
        <w:t xml:space="preserve">update </w:t>
      </w:r>
      <w:r w:rsidR="000D6F0B">
        <w:t>each</w:t>
      </w:r>
      <w:r w:rsidR="000D6F0B" w:rsidRPr="000D6F0B">
        <w:t xml:space="preserve"> </w:t>
      </w:r>
      <w:r w:rsidR="000D6F0B">
        <w:t xml:space="preserve">consumer dashboard that relates to </w:t>
      </w:r>
      <w:r w:rsidR="00036387">
        <w:t xml:space="preserve">the </w:t>
      </w:r>
      <w:r w:rsidR="000D6F0B">
        <w:t>request to indicate</w:t>
      </w:r>
      <w:r w:rsidR="006F4E3E">
        <w:t xml:space="preserve"> </w:t>
      </w:r>
      <w:r w:rsidR="000D6F0B">
        <w:t>what CDR data was disclosed and</w:t>
      </w:r>
      <w:r w:rsidR="006F4E3E">
        <w:t xml:space="preserve"> when and to whom it was disclosed</w:t>
      </w:r>
      <w:r w:rsidR="004512F1">
        <w:t>.</w:t>
      </w:r>
      <w:r w:rsidR="005E432E" w:rsidRPr="005E432E">
        <w:rPr>
          <w:rStyle w:val="base-text-paragraphChar"/>
          <w:b/>
          <w:bCs/>
          <w:i/>
          <w:iCs/>
          <w:sz w:val="18"/>
          <w:szCs w:val="18"/>
        </w:rPr>
        <w:t xml:space="preserve"> </w:t>
      </w:r>
      <w:r w:rsidR="005E432E" w:rsidRPr="00413975">
        <w:rPr>
          <w:rStyle w:val="base-text-paragraphChar"/>
          <w:b/>
          <w:bCs/>
          <w:i/>
          <w:iCs/>
          <w:sz w:val="18"/>
          <w:szCs w:val="18"/>
        </w:rPr>
        <w:t>[Schedul</w:t>
      </w:r>
      <w:r w:rsidR="005E432E">
        <w:rPr>
          <w:rStyle w:val="base-text-paragraphChar"/>
          <w:b/>
          <w:bCs/>
          <w:i/>
          <w:iCs/>
          <w:sz w:val="18"/>
          <w:szCs w:val="18"/>
        </w:rPr>
        <w:t xml:space="preserve">e </w:t>
      </w:r>
      <w:r w:rsidR="005E432E" w:rsidRPr="00413975">
        <w:rPr>
          <w:rStyle w:val="base-text-paragraphChar"/>
          <w:b/>
          <w:bCs/>
          <w:i/>
          <w:iCs/>
          <w:sz w:val="18"/>
          <w:szCs w:val="18"/>
        </w:rPr>
        <w:t xml:space="preserve">3, item </w:t>
      </w:r>
      <w:r w:rsidR="00196878">
        <w:rPr>
          <w:rStyle w:val="base-text-paragraphChar"/>
          <w:b/>
          <w:bCs/>
          <w:i/>
          <w:iCs/>
          <w:sz w:val="18"/>
          <w:szCs w:val="18"/>
        </w:rPr>
        <w:t>11</w:t>
      </w:r>
      <w:r w:rsidR="005E432E" w:rsidRPr="00413975">
        <w:rPr>
          <w:rStyle w:val="base-text-paragraphChar"/>
          <w:b/>
          <w:bCs/>
          <w:i/>
          <w:iCs/>
          <w:sz w:val="18"/>
          <w:szCs w:val="18"/>
        </w:rPr>
        <w:t>, rule</w:t>
      </w:r>
      <w:r w:rsidR="005E432E">
        <w:rPr>
          <w:rStyle w:val="base-text-paragraphChar"/>
          <w:b/>
          <w:bCs/>
          <w:i/>
          <w:iCs/>
          <w:sz w:val="18"/>
          <w:szCs w:val="18"/>
        </w:rPr>
        <w:t xml:space="preserve"> </w:t>
      </w:r>
      <w:r w:rsidR="00196878">
        <w:rPr>
          <w:rStyle w:val="base-text-paragraphChar"/>
          <w:b/>
          <w:bCs/>
          <w:i/>
          <w:iCs/>
          <w:sz w:val="18"/>
          <w:szCs w:val="18"/>
        </w:rPr>
        <w:t>7.9(4)</w:t>
      </w:r>
      <w:r w:rsidR="005E432E" w:rsidRPr="00413975">
        <w:rPr>
          <w:rStyle w:val="base-text-paragraphChar"/>
          <w:b/>
          <w:bCs/>
          <w:i/>
          <w:iCs/>
          <w:sz w:val="18"/>
          <w:szCs w:val="18"/>
        </w:rPr>
        <w:t>]</w:t>
      </w:r>
    </w:p>
    <w:p w14:paraId="5E6AD44D" w14:textId="50860E91" w:rsidR="006D136A" w:rsidRDefault="006D136A" w:rsidP="008E0360">
      <w:pPr>
        <w:pStyle w:val="Bullet"/>
        <w:numPr>
          <w:ilvl w:val="0"/>
          <w:numId w:val="0"/>
        </w:numPr>
        <w:spacing w:before="120"/>
      </w:pPr>
      <w:r>
        <w:t xml:space="preserve">A disclosure of CDR data under an insight disclosure consent is not a permitted use or disclosure until </w:t>
      </w:r>
      <w:r w:rsidRPr="00CC463B">
        <w:t xml:space="preserve">the earlier of </w:t>
      </w:r>
      <w:r>
        <w:t xml:space="preserve">1 February 2022 </w:t>
      </w:r>
      <w:r w:rsidRPr="00CC463B">
        <w:t xml:space="preserve">or when the Data Standards Chair makes </w:t>
      </w:r>
      <w:r>
        <w:t>consumer experience d</w:t>
      </w:r>
      <w:r w:rsidRPr="00CC463B">
        <w:t xml:space="preserve">ata </w:t>
      </w:r>
      <w:r>
        <w:t>s</w:t>
      </w:r>
      <w:r w:rsidRPr="00CC463B">
        <w:t xml:space="preserve">tandards for disclosure of CDR </w:t>
      </w:r>
      <w:r>
        <w:t>insights.</w:t>
      </w:r>
      <w:r w:rsidRPr="006D136A">
        <w:rPr>
          <w:rStyle w:val="base-text-paragraphChar"/>
          <w:b/>
          <w:bCs/>
          <w:i/>
          <w:iCs/>
          <w:sz w:val="18"/>
          <w:szCs w:val="18"/>
        </w:rPr>
        <w:t xml:space="preserve"> </w:t>
      </w:r>
      <w:r w:rsidRPr="00413975">
        <w:rPr>
          <w:rStyle w:val="base-text-paragraphChar"/>
          <w:b/>
          <w:bCs/>
          <w:i/>
          <w:iCs/>
          <w:sz w:val="18"/>
          <w:szCs w:val="18"/>
        </w:rPr>
        <w:t xml:space="preserve">[Schedule 3, item </w:t>
      </w:r>
      <w:r>
        <w:rPr>
          <w:rStyle w:val="base-text-paragraphChar"/>
          <w:b/>
          <w:bCs/>
          <w:i/>
          <w:iCs/>
          <w:sz w:val="18"/>
          <w:szCs w:val="18"/>
        </w:rPr>
        <w:t>10</w:t>
      </w:r>
      <w:r w:rsidRPr="00413975">
        <w:rPr>
          <w:rStyle w:val="base-text-paragraphChar"/>
          <w:b/>
          <w:bCs/>
          <w:i/>
          <w:iCs/>
          <w:sz w:val="18"/>
          <w:szCs w:val="18"/>
        </w:rPr>
        <w:t xml:space="preserve">, rule </w:t>
      </w:r>
      <w:r>
        <w:rPr>
          <w:rStyle w:val="base-text-paragraphChar"/>
          <w:b/>
          <w:bCs/>
          <w:i/>
          <w:iCs/>
          <w:sz w:val="18"/>
          <w:szCs w:val="18"/>
        </w:rPr>
        <w:t>7.5A(</w:t>
      </w:r>
      <w:r w:rsidR="00E70637">
        <w:rPr>
          <w:rStyle w:val="base-text-paragraphChar"/>
          <w:b/>
          <w:bCs/>
          <w:i/>
          <w:iCs/>
          <w:sz w:val="18"/>
          <w:szCs w:val="18"/>
        </w:rPr>
        <w:t>3</w:t>
      </w:r>
      <w:r>
        <w:rPr>
          <w:rStyle w:val="base-text-paragraphChar"/>
          <w:b/>
          <w:bCs/>
          <w:i/>
          <w:iCs/>
          <w:sz w:val="18"/>
          <w:szCs w:val="18"/>
        </w:rPr>
        <w:t>)</w:t>
      </w:r>
      <w:r w:rsidRPr="00413975">
        <w:rPr>
          <w:rStyle w:val="base-text-paragraphChar"/>
          <w:b/>
          <w:bCs/>
          <w:i/>
          <w:iCs/>
          <w:sz w:val="18"/>
          <w:szCs w:val="18"/>
        </w:rPr>
        <w:t>]</w:t>
      </w:r>
    </w:p>
    <w:p w14:paraId="731C76E6" w14:textId="119CC156" w:rsidR="004512F1" w:rsidRPr="00CC463B" w:rsidRDefault="004512F1" w:rsidP="008E0360">
      <w:pPr>
        <w:spacing w:before="240" w:after="0"/>
        <w:ind w:right="91"/>
        <w:rPr>
          <w:i/>
          <w:iCs/>
        </w:rPr>
      </w:pPr>
      <w:r w:rsidRPr="00CC463B">
        <w:rPr>
          <w:i/>
          <w:iCs/>
        </w:rPr>
        <w:t>Record</w:t>
      </w:r>
      <w:r w:rsidR="00172D86">
        <w:rPr>
          <w:i/>
          <w:iCs/>
        </w:rPr>
        <w:t>-</w:t>
      </w:r>
      <w:r w:rsidRPr="00CC463B">
        <w:rPr>
          <w:i/>
          <w:iCs/>
        </w:rPr>
        <w:t xml:space="preserve">keeping and reporting </w:t>
      </w:r>
    </w:p>
    <w:p w14:paraId="7869BF25" w14:textId="2E77F094" w:rsidR="00817FBA" w:rsidRDefault="005E432E" w:rsidP="008E0360">
      <w:pPr>
        <w:spacing w:after="0"/>
        <w:ind w:right="91"/>
      </w:pPr>
      <w:r>
        <w:t>A</w:t>
      </w:r>
      <w:r w:rsidR="004512F1">
        <w:t xml:space="preserve">ccredited data recipients </w:t>
      </w:r>
      <w:r>
        <w:t>must</w:t>
      </w:r>
      <w:r w:rsidR="004512F1">
        <w:t xml:space="preserve"> keep records of CDR insights, including a copy of each insight </w:t>
      </w:r>
      <w:r w:rsidR="00E51848">
        <w:t xml:space="preserve">disclosed </w:t>
      </w:r>
      <w:r w:rsidR="004512F1">
        <w:t>and when and to whom it was disclosed.</w:t>
      </w:r>
      <w:r w:rsidR="004512F1" w:rsidRPr="00E35E74">
        <w:t xml:space="preserve"> </w:t>
      </w:r>
      <w:r w:rsidR="005D6F6F" w:rsidRPr="00413975">
        <w:rPr>
          <w:rStyle w:val="base-text-paragraphChar"/>
          <w:b/>
          <w:bCs/>
          <w:i/>
          <w:iCs/>
          <w:sz w:val="18"/>
          <w:szCs w:val="18"/>
        </w:rPr>
        <w:t>[Schedul</w:t>
      </w:r>
      <w:r w:rsidR="005D6F6F">
        <w:rPr>
          <w:rStyle w:val="base-text-paragraphChar"/>
          <w:b/>
          <w:bCs/>
          <w:i/>
          <w:iCs/>
          <w:sz w:val="18"/>
          <w:szCs w:val="18"/>
        </w:rPr>
        <w:t xml:space="preserve">e </w:t>
      </w:r>
      <w:r w:rsidR="005D6F6F" w:rsidRPr="00413975">
        <w:rPr>
          <w:rStyle w:val="base-text-paragraphChar"/>
          <w:b/>
          <w:bCs/>
          <w:i/>
          <w:iCs/>
          <w:sz w:val="18"/>
          <w:szCs w:val="18"/>
        </w:rPr>
        <w:t xml:space="preserve">3, item </w:t>
      </w:r>
      <w:r w:rsidR="005D6F6F">
        <w:rPr>
          <w:rStyle w:val="base-text-paragraphChar"/>
          <w:b/>
          <w:bCs/>
          <w:i/>
          <w:iCs/>
          <w:sz w:val="18"/>
          <w:szCs w:val="18"/>
        </w:rPr>
        <w:t>14</w:t>
      </w:r>
      <w:r w:rsidR="005D6F6F" w:rsidRPr="00413975">
        <w:rPr>
          <w:rStyle w:val="base-text-paragraphChar"/>
          <w:b/>
          <w:bCs/>
          <w:i/>
          <w:iCs/>
          <w:sz w:val="18"/>
          <w:szCs w:val="18"/>
        </w:rPr>
        <w:t>, rule</w:t>
      </w:r>
      <w:r w:rsidR="005D6F6F">
        <w:rPr>
          <w:rStyle w:val="base-text-paragraphChar"/>
          <w:b/>
          <w:bCs/>
          <w:i/>
          <w:iCs/>
          <w:sz w:val="18"/>
          <w:szCs w:val="18"/>
        </w:rPr>
        <w:t xml:space="preserve"> 9.3(</w:t>
      </w:r>
      <w:proofErr w:type="gramStart"/>
      <w:r w:rsidR="005D6F6F">
        <w:rPr>
          <w:rStyle w:val="base-text-paragraphChar"/>
          <w:b/>
          <w:bCs/>
          <w:i/>
          <w:iCs/>
          <w:sz w:val="18"/>
          <w:szCs w:val="18"/>
        </w:rPr>
        <w:t>2)(</w:t>
      </w:r>
      <w:proofErr w:type="gramEnd"/>
      <w:r w:rsidR="005D6F6F">
        <w:rPr>
          <w:rStyle w:val="base-text-paragraphChar"/>
          <w:b/>
          <w:bCs/>
          <w:i/>
          <w:iCs/>
          <w:sz w:val="18"/>
          <w:szCs w:val="18"/>
        </w:rPr>
        <w:t>ed)</w:t>
      </w:r>
      <w:r w:rsidR="005D6F6F" w:rsidRPr="00413975">
        <w:rPr>
          <w:rStyle w:val="base-text-paragraphChar"/>
          <w:b/>
          <w:bCs/>
          <w:i/>
          <w:iCs/>
          <w:sz w:val="18"/>
          <w:szCs w:val="18"/>
        </w:rPr>
        <w:t>]</w:t>
      </w:r>
      <w:r w:rsidR="00817FBA">
        <w:t xml:space="preserve"> </w:t>
      </w:r>
    </w:p>
    <w:p w14:paraId="260A43A0" w14:textId="376F9A51" w:rsidR="004512F1" w:rsidRDefault="008603F1" w:rsidP="008E0360">
      <w:pPr>
        <w:spacing w:after="0"/>
        <w:ind w:right="91"/>
      </w:pPr>
      <w:r>
        <w:t xml:space="preserve">Accredited data recipients </w:t>
      </w:r>
      <w:r w:rsidR="00426EF7">
        <w:t xml:space="preserve">must include on consumers’ </w:t>
      </w:r>
      <w:r w:rsidR="004512F1">
        <w:t xml:space="preserve">dashboards </w:t>
      </w:r>
      <w:r w:rsidR="00426EF7">
        <w:t>a statement</w:t>
      </w:r>
      <w:r w:rsidR="004512F1">
        <w:t xml:space="preserve"> that </w:t>
      </w:r>
      <w:r w:rsidR="00426EF7">
        <w:t>the consumer is</w:t>
      </w:r>
      <w:r w:rsidR="004512F1">
        <w:t xml:space="preserve"> entitled to request </w:t>
      </w:r>
      <w:r w:rsidR="00426EF7">
        <w:t>copies of these</w:t>
      </w:r>
      <w:r w:rsidR="004512F1">
        <w:t xml:space="preserve"> records and how t</w:t>
      </w:r>
      <w:r w:rsidR="00214AFE">
        <w:t xml:space="preserve">hey </w:t>
      </w:r>
      <w:r w:rsidR="00426EF7">
        <w:t>may</w:t>
      </w:r>
      <w:r w:rsidR="004512F1">
        <w:t xml:space="preserve"> make such </w:t>
      </w:r>
      <w:r w:rsidR="00426EF7">
        <w:t>requests.</w:t>
      </w:r>
      <w:r w:rsidR="00214AFE">
        <w:t xml:space="preserve"> </w:t>
      </w:r>
      <w:r w:rsidR="00214AFE" w:rsidRPr="00413975">
        <w:rPr>
          <w:rStyle w:val="base-text-paragraphChar"/>
          <w:b/>
          <w:bCs/>
          <w:i/>
          <w:iCs/>
          <w:sz w:val="18"/>
          <w:szCs w:val="18"/>
        </w:rPr>
        <w:t xml:space="preserve">[Schedule 3, </w:t>
      </w:r>
      <w:r w:rsidR="00426EF7" w:rsidRPr="00413975">
        <w:rPr>
          <w:rStyle w:val="base-text-paragraphChar"/>
          <w:b/>
          <w:bCs/>
          <w:i/>
          <w:iCs/>
          <w:sz w:val="18"/>
          <w:szCs w:val="18"/>
        </w:rPr>
        <w:t xml:space="preserve">item </w:t>
      </w:r>
      <w:r w:rsidR="00426EF7">
        <w:rPr>
          <w:rStyle w:val="base-text-paragraphChar"/>
          <w:b/>
          <w:bCs/>
          <w:i/>
          <w:iCs/>
          <w:sz w:val="18"/>
          <w:szCs w:val="18"/>
        </w:rPr>
        <w:t>8</w:t>
      </w:r>
      <w:r w:rsidR="00426EF7" w:rsidRPr="00413975">
        <w:rPr>
          <w:rStyle w:val="base-text-paragraphChar"/>
          <w:b/>
          <w:bCs/>
          <w:i/>
          <w:iCs/>
          <w:sz w:val="18"/>
          <w:szCs w:val="18"/>
        </w:rPr>
        <w:t xml:space="preserve">, </w:t>
      </w:r>
      <w:r w:rsidR="004512F1" w:rsidRPr="00413975">
        <w:rPr>
          <w:rStyle w:val="base-text-paragraphChar"/>
          <w:b/>
          <w:i/>
          <w:sz w:val="18"/>
          <w:szCs w:val="18"/>
        </w:rPr>
        <w:t>rule</w:t>
      </w:r>
      <w:r w:rsidR="004512F1">
        <w:rPr>
          <w:rStyle w:val="base-text-paragraphChar"/>
          <w:b/>
          <w:i/>
          <w:sz w:val="18"/>
          <w:szCs w:val="18"/>
        </w:rPr>
        <w:t xml:space="preserve"> 1.14(3A</w:t>
      </w:r>
      <w:r w:rsidR="00426EF7">
        <w:rPr>
          <w:rStyle w:val="base-text-paragraphChar"/>
          <w:b/>
          <w:bCs/>
          <w:i/>
          <w:iCs/>
          <w:sz w:val="18"/>
          <w:szCs w:val="18"/>
        </w:rPr>
        <w:t>)</w:t>
      </w:r>
      <w:r w:rsidR="00426EF7" w:rsidRPr="00413975">
        <w:rPr>
          <w:rStyle w:val="base-text-paragraphChar"/>
          <w:b/>
          <w:bCs/>
          <w:i/>
          <w:iCs/>
          <w:sz w:val="18"/>
          <w:szCs w:val="18"/>
        </w:rPr>
        <w:t>]</w:t>
      </w:r>
    </w:p>
    <w:p w14:paraId="72D12484" w14:textId="3AD1FAB3" w:rsidR="004512F1" w:rsidRDefault="00425E2C" w:rsidP="008E0360">
      <w:pPr>
        <w:spacing w:after="0"/>
        <w:ind w:right="91"/>
      </w:pPr>
      <w:r>
        <w:t>A</w:t>
      </w:r>
      <w:r w:rsidR="00723E15">
        <w:t>ccredited data recipient</w:t>
      </w:r>
      <w:r w:rsidR="0073747C">
        <w:t>s</w:t>
      </w:r>
      <w:r w:rsidR="004512F1">
        <w:t xml:space="preserve"> </w:t>
      </w:r>
      <w:r>
        <w:t>must also</w:t>
      </w:r>
      <w:r w:rsidR="004512F1">
        <w:t xml:space="preserve"> report to the </w:t>
      </w:r>
      <w:r w:rsidR="004512F1" w:rsidRPr="0030796D">
        <w:t>A</w:t>
      </w:r>
      <w:r w:rsidR="0051660F">
        <w:t xml:space="preserve">ustralian </w:t>
      </w:r>
      <w:r w:rsidR="004512F1">
        <w:t>C</w:t>
      </w:r>
      <w:r w:rsidR="0051660F">
        <w:t xml:space="preserve">ompetition and </w:t>
      </w:r>
      <w:r w:rsidR="004512F1">
        <w:t>C</w:t>
      </w:r>
      <w:r w:rsidR="0051660F">
        <w:t xml:space="preserve">onsumer </w:t>
      </w:r>
      <w:r w:rsidR="004512F1">
        <w:t>C</w:t>
      </w:r>
      <w:r w:rsidR="0051660F">
        <w:t>ommission</w:t>
      </w:r>
      <w:r w:rsidR="004512F1" w:rsidRPr="0030796D">
        <w:t xml:space="preserve"> and the Office of the </w:t>
      </w:r>
      <w:r w:rsidR="004512F1">
        <w:t xml:space="preserve">Australian </w:t>
      </w:r>
      <w:r w:rsidR="004512F1" w:rsidRPr="0030796D">
        <w:t xml:space="preserve">Information Commissioner on the number of insight disclosure consents </w:t>
      </w:r>
      <w:r>
        <w:t>they</w:t>
      </w:r>
      <w:r w:rsidR="004512F1" w:rsidRPr="0030796D">
        <w:t xml:space="preserve"> received during a reporting period</w:t>
      </w:r>
      <w:r w:rsidR="004512F1">
        <w:t>.</w:t>
      </w:r>
      <w:r w:rsidRPr="00425E2C">
        <w:rPr>
          <w:rStyle w:val="base-text-paragraphChar"/>
          <w:b/>
          <w:bCs/>
          <w:i/>
          <w:iCs/>
          <w:sz w:val="18"/>
          <w:szCs w:val="18"/>
        </w:rPr>
        <w:t xml:space="preserve"> </w:t>
      </w:r>
      <w:r w:rsidRPr="00413975">
        <w:rPr>
          <w:rStyle w:val="base-text-paragraphChar"/>
          <w:b/>
          <w:bCs/>
          <w:i/>
          <w:iCs/>
          <w:sz w:val="18"/>
          <w:szCs w:val="18"/>
        </w:rPr>
        <w:t xml:space="preserve">[Schedule 3, item </w:t>
      </w:r>
      <w:r>
        <w:rPr>
          <w:rStyle w:val="base-text-paragraphChar"/>
          <w:b/>
          <w:bCs/>
          <w:i/>
          <w:iCs/>
          <w:sz w:val="18"/>
          <w:szCs w:val="18"/>
        </w:rPr>
        <w:t>15, rule 9.4(2)(f)(viii)]</w:t>
      </w:r>
    </w:p>
    <w:p w14:paraId="4466063B" w14:textId="21220B22" w:rsidR="0080325E" w:rsidRPr="00A42730" w:rsidRDefault="0080325E" w:rsidP="008E0360">
      <w:pPr>
        <w:spacing w:before="240"/>
        <w:rPr>
          <w:b/>
          <w:bCs/>
          <w:sz w:val="28"/>
          <w:szCs w:val="28"/>
          <w:u w:val="single"/>
        </w:rPr>
      </w:pPr>
      <w:r w:rsidRPr="00A42730">
        <w:rPr>
          <w:b/>
          <w:bCs/>
          <w:sz w:val="28"/>
          <w:szCs w:val="28"/>
          <w:u w:val="single"/>
        </w:rPr>
        <w:t xml:space="preserve">Schedule 4 </w:t>
      </w:r>
      <w:r w:rsidR="00856AF5">
        <w:rPr>
          <w:b/>
          <w:bCs/>
          <w:sz w:val="28"/>
          <w:szCs w:val="28"/>
          <w:u w:val="single"/>
        </w:rPr>
        <w:t>– Amendments relating to j</w:t>
      </w:r>
      <w:r w:rsidRPr="00A42730">
        <w:rPr>
          <w:b/>
          <w:bCs/>
          <w:sz w:val="28"/>
          <w:szCs w:val="28"/>
          <w:u w:val="single"/>
        </w:rPr>
        <w:t>oint accounts</w:t>
      </w:r>
    </w:p>
    <w:p w14:paraId="19D31E9A" w14:textId="77777777" w:rsidR="004512F1" w:rsidRPr="0097679D" w:rsidRDefault="004512F1" w:rsidP="008E0360">
      <w:pPr>
        <w:spacing w:before="240" w:after="0"/>
        <w:ind w:right="91"/>
        <w:rPr>
          <w:i/>
        </w:rPr>
      </w:pPr>
      <w:bookmarkStart w:id="11" w:name="_Hlk82706344"/>
      <w:r w:rsidRPr="0097679D">
        <w:rPr>
          <w:i/>
          <w:iCs/>
        </w:rPr>
        <w:t>Background</w:t>
      </w:r>
    </w:p>
    <w:p w14:paraId="3882BA64" w14:textId="3515CF96" w:rsidR="004512F1" w:rsidRDefault="004512F1" w:rsidP="008E0360">
      <w:pPr>
        <w:spacing w:after="0"/>
        <w:ind w:right="91"/>
      </w:pPr>
      <w:bookmarkStart w:id="12" w:name="_Hlk82613145"/>
      <w:r>
        <w:t xml:space="preserve">Schedule 4 to the </w:t>
      </w:r>
      <w:r w:rsidR="00B57DF7">
        <w:t xml:space="preserve">Amending </w:t>
      </w:r>
      <w:r>
        <w:t xml:space="preserve">Rules establishes new economy-wide rules that set out the approach for sharing </w:t>
      </w:r>
      <w:r w:rsidR="00CD1432">
        <w:t xml:space="preserve">CDR data held in joint accounts. </w:t>
      </w:r>
      <w:r>
        <w:t xml:space="preserve">Where the concept of a </w:t>
      </w:r>
      <w:r>
        <w:lastRenderedPageBreak/>
        <w:t xml:space="preserve">joint account is not relevant to a sector, the joint account rules would accordingly not be relevant. For example, in </w:t>
      </w:r>
      <w:r w:rsidR="00D617A6">
        <w:t xml:space="preserve">a </w:t>
      </w:r>
      <w:r>
        <w:t xml:space="preserve">sector where accounts are set up with a primary account holder, the existing secondary user rules </w:t>
      </w:r>
      <w:r w:rsidR="000019E6">
        <w:t>c</w:t>
      </w:r>
      <w:r>
        <w:t xml:space="preserve">ould be used to </w:t>
      </w:r>
      <w:r w:rsidR="006F7096">
        <w:t xml:space="preserve">enable an account holder to </w:t>
      </w:r>
      <w:r w:rsidR="000019E6">
        <w:t>provide</w:t>
      </w:r>
      <w:r>
        <w:t xml:space="preserve"> data sharing access to additional persons</w:t>
      </w:r>
      <w:r w:rsidR="00B358A6">
        <w:t>.</w:t>
      </w:r>
    </w:p>
    <w:p w14:paraId="4C351830" w14:textId="59793FD7" w:rsidR="00235962" w:rsidRDefault="001742A4" w:rsidP="008E0360">
      <w:pPr>
        <w:pStyle w:val="base-text-paragraph"/>
        <w:ind w:left="0"/>
      </w:pPr>
      <w:r>
        <w:t xml:space="preserve">The new rules </w:t>
      </w:r>
      <w:r w:rsidRPr="001742A4">
        <w:t xml:space="preserve">apply to consumer data requests under Part 4 </w:t>
      </w:r>
      <w:r w:rsidR="00235962">
        <w:t>that involve</w:t>
      </w:r>
      <w:r w:rsidRPr="001742A4">
        <w:t xml:space="preserve"> a request for disclosure of CDR data that relates to one or more joint accounts</w:t>
      </w:r>
      <w:r w:rsidR="00235962">
        <w:t>.</w:t>
      </w:r>
      <w:r w:rsidR="009B61D0">
        <w:t xml:space="preserve"> </w:t>
      </w:r>
      <w:r w:rsidR="009B61D0" w:rsidRPr="009B61D0">
        <w:t xml:space="preserve">CDR data that relates to a joint account </w:t>
      </w:r>
      <w:r w:rsidR="009B61D0">
        <w:t>must be</w:t>
      </w:r>
      <w:r w:rsidR="009B61D0" w:rsidRPr="009B61D0">
        <w:t xml:space="preserve"> disclosed in accordance with the disclosure option that applies to the account</w:t>
      </w:r>
      <w:r w:rsidR="00AC6792">
        <w:t>, and the process for dealing with such requests and disclosure</w:t>
      </w:r>
      <w:r w:rsidR="00790B05">
        <w:t>s</w:t>
      </w:r>
      <w:r w:rsidR="00AC6792">
        <w:t xml:space="preserve"> is set out in the </w:t>
      </w:r>
      <w:r w:rsidR="002F3EE6">
        <w:t>new Part 4A of the CDR Rules</w:t>
      </w:r>
      <w:r w:rsidR="00AC6792">
        <w:t>.</w:t>
      </w:r>
      <w:r w:rsidR="002F3EE6">
        <w:t xml:space="preserve"> </w:t>
      </w:r>
      <w:r w:rsidR="002F3EE6" w:rsidRPr="00413975">
        <w:rPr>
          <w:rStyle w:val="base-text-paragraphChar"/>
          <w:b/>
          <w:bCs/>
          <w:i/>
          <w:iCs/>
          <w:sz w:val="18"/>
          <w:szCs w:val="18"/>
        </w:rPr>
        <w:t xml:space="preserve">[Schedule </w:t>
      </w:r>
      <w:r w:rsidR="002F3EE6">
        <w:rPr>
          <w:rStyle w:val="base-text-paragraphChar"/>
          <w:b/>
          <w:bCs/>
          <w:i/>
          <w:iCs/>
          <w:sz w:val="18"/>
          <w:szCs w:val="18"/>
        </w:rPr>
        <w:t>4</w:t>
      </w:r>
      <w:r w:rsidR="002F3EE6" w:rsidRPr="00413975">
        <w:rPr>
          <w:rStyle w:val="base-text-paragraphChar"/>
          <w:b/>
          <w:bCs/>
          <w:i/>
          <w:iCs/>
          <w:sz w:val="18"/>
          <w:szCs w:val="18"/>
        </w:rPr>
        <w:t>, item</w:t>
      </w:r>
      <w:r w:rsidR="002F3EE6">
        <w:rPr>
          <w:rStyle w:val="base-text-paragraphChar"/>
          <w:b/>
          <w:bCs/>
          <w:i/>
          <w:iCs/>
          <w:sz w:val="18"/>
          <w:szCs w:val="18"/>
        </w:rPr>
        <w:t xml:space="preserve"> 14</w:t>
      </w:r>
      <w:r w:rsidR="004A5EBC">
        <w:rPr>
          <w:rStyle w:val="base-text-paragraphChar"/>
          <w:b/>
          <w:bCs/>
          <w:i/>
          <w:iCs/>
          <w:sz w:val="18"/>
          <w:szCs w:val="18"/>
        </w:rPr>
        <w:t>, Part 4A</w:t>
      </w:r>
      <w:r w:rsidR="002F3EE6" w:rsidRPr="00413975">
        <w:rPr>
          <w:rStyle w:val="base-text-paragraphChar"/>
          <w:b/>
          <w:bCs/>
          <w:i/>
          <w:iCs/>
          <w:sz w:val="18"/>
          <w:szCs w:val="18"/>
        </w:rPr>
        <w:t>]</w:t>
      </w:r>
    </w:p>
    <w:p w14:paraId="38BD9C37" w14:textId="28543D90" w:rsidR="00EA3564" w:rsidRPr="00430426" w:rsidRDefault="00EA3564" w:rsidP="008E0360">
      <w:pPr>
        <w:spacing w:before="240"/>
        <w:ind w:right="91"/>
      </w:pPr>
      <w:r>
        <w:t>The new rules aim to provide s</w:t>
      </w:r>
      <w:r w:rsidRPr="00EA3564">
        <w:t xml:space="preserve">imple, intuitive data sharing on joint accounts, while providing joint account holders with increased oversight and control of data sharing, compared to </w:t>
      </w:r>
      <w:r w:rsidR="00632B63">
        <w:t xml:space="preserve">current </w:t>
      </w:r>
      <w:r w:rsidRPr="00EA3564">
        <w:t>data sharing practices outside the CDR.</w:t>
      </w:r>
    </w:p>
    <w:p w14:paraId="34180029" w14:textId="18B37C8B" w:rsidR="004512F1" w:rsidRPr="000C383B" w:rsidRDefault="004512F1" w:rsidP="008E0360">
      <w:pPr>
        <w:spacing w:before="240"/>
        <w:ind w:right="91"/>
        <w:rPr>
          <w:i/>
          <w:iCs/>
        </w:rPr>
      </w:pPr>
      <w:r w:rsidRPr="000C383B">
        <w:rPr>
          <w:i/>
          <w:iCs/>
        </w:rPr>
        <w:t xml:space="preserve">Disclosure options </w:t>
      </w:r>
    </w:p>
    <w:p w14:paraId="17CAF3F2" w14:textId="4126C7DD" w:rsidR="004512F1" w:rsidRPr="007D709F" w:rsidRDefault="006113F0" w:rsidP="008E0360">
      <w:pPr>
        <w:pStyle w:val="base-text-paragraph"/>
        <w:ind w:left="0"/>
      </w:pPr>
      <w:r>
        <w:t xml:space="preserve">One of three </w:t>
      </w:r>
      <w:r w:rsidR="004512F1" w:rsidRPr="007D709F">
        <w:t>disclosure options</w:t>
      </w:r>
      <w:r w:rsidR="005A76F4">
        <w:t xml:space="preserve"> - pre-approval, co-approval, or non-disclosure </w:t>
      </w:r>
      <w:r w:rsidR="00314D48">
        <w:t>–</w:t>
      </w:r>
      <w:r w:rsidR="004512F1" w:rsidRPr="007D709F" w:rsidDel="00314D48">
        <w:t xml:space="preserve"> </w:t>
      </w:r>
      <w:r w:rsidR="00037E98">
        <w:t xml:space="preserve">will </w:t>
      </w:r>
      <w:r w:rsidR="004512F1" w:rsidRPr="007D709F">
        <w:t>appl</w:t>
      </w:r>
      <w:r>
        <w:t xml:space="preserve">y </w:t>
      </w:r>
      <w:r w:rsidR="00E61091">
        <w:t>to</w:t>
      </w:r>
      <w:r>
        <w:t xml:space="preserve"> </w:t>
      </w:r>
      <w:r w:rsidR="004512F1" w:rsidRPr="007D709F">
        <w:t xml:space="preserve">a joint account. These disclosure options are relevant when an </w:t>
      </w:r>
      <w:r w:rsidR="004512F1" w:rsidRPr="0065146E">
        <w:t xml:space="preserve">accredited person makes a consumer data request </w:t>
      </w:r>
      <w:r w:rsidR="0049746F">
        <w:t xml:space="preserve">under Part 4 </w:t>
      </w:r>
      <w:r w:rsidR="00EF7B4D">
        <w:t xml:space="preserve">that relates to one or more joint accounts </w:t>
      </w:r>
      <w:r w:rsidR="004512F1" w:rsidRPr="0065146E">
        <w:t xml:space="preserve">on behalf of </w:t>
      </w:r>
      <w:r w:rsidR="00E61091">
        <w:t>a</w:t>
      </w:r>
      <w:r w:rsidR="00E61091" w:rsidRPr="0065146E">
        <w:t xml:space="preserve"> </w:t>
      </w:r>
      <w:r w:rsidR="004512F1" w:rsidRPr="0065146E">
        <w:t xml:space="preserve">joint account holder or a secondary user </w:t>
      </w:r>
      <w:r w:rsidR="0049746F">
        <w:t>on the account</w:t>
      </w:r>
      <w:r w:rsidR="004512F1" w:rsidRPr="0065146E">
        <w:t>.</w:t>
      </w:r>
      <w:r w:rsidR="00A873E0">
        <w:t xml:space="preserve"> </w:t>
      </w:r>
      <w:r w:rsidR="00A873E0" w:rsidRPr="00413975">
        <w:rPr>
          <w:rStyle w:val="base-text-paragraphChar"/>
          <w:b/>
          <w:bCs/>
          <w:i/>
          <w:iCs/>
          <w:sz w:val="18"/>
          <w:szCs w:val="18"/>
        </w:rPr>
        <w:t xml:space="preserve">[Schedule </w:t>
      </w:r>
      <w:r w:rsidR="00A873E0">
        <w:rPr>
          <w:rStyle w:val="base-text-paragraphChar"/>
          <w:b/>
          <w:bCs/>
          <w:i/>
          <w:iCs/>
          <w:sz w:val="18"/>
          <w:szCs w:val="18"/>
        </w:rPr>
        <w:t>4</w:t>
      </w:r>
      <w:r w:rsidR="00A873E0" w:rsidRPr="00413975">
        <w:rPr>
          <w:rStyle w:val="base-text-paragraphChar"/>
          <w:b/>
          <w:bCs/>
          <w:i/>
          <w:iCs/>
          <w:sz w:val="18"/>
          <w:szCs w:val="18"/>
        </w:rPr>
        <w:t>, item</w:t>
      </w:r>
      <w:r w:rsidR="00A873E0">
        <w:rPr>
          <w:rStyle w:val="base-text-paragraphChar"/>
          <w:b/>
          <w:bCs/>
          <w:i/>
          <w:iCs/>
          <w:sz w:val="18"/>
          <w:szCs w:val="18"/>
        </w:rPr>
        <w:t xml:space="preserve"> 14, rule 4A.5</w:t>
      </w:r>
      <w:r w:rsidR="00A873E0" w:rsidRPr="00413975">
        <w:rPr>
          <w:rStyle w:val="base-text-paragraphChar"/>
          <w:b/>
          <w:bCs/>
          <w:i/>
          <w:iCs/>
          <w:sz w:val="18"/>
          <w:szCs w:val="18"/>
        </w:rPr>
        <w:t>]</w:t>
      </w:r>
    </w:p>
    <w:p w14:paraId="5FFD5697" w14:textId="5AA50A58" w:rsidR="004512F1" w:rsidRPr="00314D48" w:rsidRDefault="006113F0" w:rsidP="008E0360">
      <w:pPr>
        <w:pStyle w:val="base-text-paragraph"/>
        <w:ind w:left="0"/>
      </w:pPr>
      <w:r>
        <w:t xml:space="preserve">Unless otherwise provided in a sector </w:t>
      </w:r>
      <w:r w:rsidR="0049746F">
        <w:t>S</w:t>
      </w:r>
      <w:r>
        <w:t>chedule, t</w:t>
      </w:r>
      <w:r w:rsidR="004512F1" w:rsidRPr="0065146E">
        <w:t>he pre</w:t>
      </w:r>
      <w:r w:rsidR="004512F1" w:rsidRPr="0065146E">
        <w:noBreakHyphen/>
        <w:t xml:space="preserve">approval option </w:t>
      </w:r>
      <w:r w:rsidR="003974BB">
        <w:t>applies by default</w:t>
      </w:r>
      <w:r w:rsidR="004512F1" w:rsidRPr="0065146E">
        <w:t xml:space="preserve">. </w:t>
      </w:r>
      <w:r w:rsidR="004512F1">
        <w:t>This automatically allows an individual joint account holder to independently share data on the joint account by consenting to an accredited person</w:t>
      </w:r>
      <w:r w:rsidR="004512F1" w:rsidRPr="00EC704E">
        <w:t xml:space="preserve"> </w:t>
      </w:r>
      <w:r w:rsidR="004512F1">
        <w:t xml:space="preserve">collecting and using the data from </w:t>
      </w:r>
      <w:r>
        <w:t xml:space="preserve">the </w:t>
      </w:r>
      <w:r w:rsidR="004512F1">
        <w:t xml:space="preserve">joint </w:t>
      </w:r>
      <w:proofErr w:type="gramStart"/>
      <w:r w:rsidR="004512F1">
        <w:t>account, and</w:t>
      </w:r>
      <w:proofErr w:type="gramEnd"/>
      <w:r w:rsidR="004512F1">
        <w:t xml:space="preserve"> authorising the </w:t>
      </w:r>
      <w:r w:rsidR="003974BB">
        <w:t>data holder to disclose</w:t>
      </w:r>
      <w:r w:rsidR="004512F1">
        <w:t xml:space="preserve"> that data.</w:t>
      </w:r>
      <w:r w:rsidR="005A76F4">
        <w:t xml:space="preserve"> If </w:t>
      </w:r>
      <w:r>
        <w:t xml:space="preserve">the </w:t>
      </w:r>
      <w:r w:rsidR="005A76F4">
        <w:t xml:space="preserve">pre-approval </w:t>
      </w:r>
      <w:r>
        <w:t xml:space="preserve">option </w:t>
      </w:r>
      <w:r w:rsidR="005A76F4">
        <w:t xml:space="preserve">applies to a joint account, when a data holder receives a consumer data request </w:t>
      </w:r>
      <w:r w:rsidR="00357A75">
        <w:t xml:space="preserve">from a joint account holder </w:t>
      </w:r>
      <w:r w:rsidR="00EF7B4D">
        <w:t>or a secondary user</w:t>
      </w:r>
      <w:r w:rsidR="00571257">
        <w:t xml:space="preserve"> </w:t>
      </w:r>
      <w:r w:rsidR="00357A75">
        <w:t xml:space="preserve">(the </w:t>
      </w:r>
      <w:r w:rsidR="00357A75" w:rsidRPr="002650CB">
        <w:rPr>
          <w:b/>
          <w:i/>
        </w:rPr>
        <w:t>requester</w:t>
      </w:r>
      <w:r w:rsidR="00357A75">
        <w:t xml:space="preserve">) </w:t>
      </w:r>
      <w:r w:rsidR="005A76F4">
        <w:t xml:space="preserve">that includes CDR data relating to the joint account, the data holder must process the request </w:t>
      </w:r>
      <w:r>
        <w:t>(</w:t>
      </w:r>
      <w:r w:rsidR="00363EAE">
        <w:t xml:space="preserve">under </w:t>
      </w:r>
      <w:r w:rsidR="005A76F4">
        <w:t>existing rules 4.5 to 4.7</w:t>
      </w:r>
      <w:r>
        <w:t>)</w:t>
      </w:r>
      <w:r w:rsidR="00363EAE">
        <w:t xml:space="preserve"> as it would any other request on a non-joint account</w:t>
      </w:r>
      <w:r w:rsidR="005A76F4">
        <w:t xml:space="preserve"> unless an account holder</w:t>
      </w:r>
      <w:r w:rsidR="005D5365">
        <w:t xml:space="preserve"> other th</w:t>
      </w:r>
      <w:r w:rsidR="00357A75">
        <w:t>a</w:t>
      </w:r>
      <w:r w:rsidR="005D5365">
        <w:t>n the requester</w:t>
      </w:r>
      <w:r w:rsidR="001B6998">
        <w:t xml:space="preserve"> (</w:t>
      </w:r>
      <w:r w:rsidR="0049746F">
        <w:t xml:space="preserve">a </w:t>
      </w:r>
      <w:r w:rsidR="001B6998" w:rsidRPr="002650CB">
        <w:rPr>
          <w:b/>
          <w:i/>
        </w:rPr>
        <w:t>relevant account holder</w:t>
      </w:r>
      <w:r w:rsidR="001B6998">
        <w:t>)</w:t>
      </w:r>
      <w:r w:rsidR="005D5365">
        <w:t xml:space="preserve"> </w:t>
      </w:r>
      <w:r w:rsidR="005A76F4">
        <w:t>has withdrawn their approval</w:t>
      </w:r>
      <w:r w:rsidR="0049746F">
        <w:t xml:space="preserve"> to disclosure</w:t>
      </w:r>
      <w:r w:rsidR="005A76F4">
        <w:t xml:space="preserve">, in which case, the data holder cannot disclose the requested </w:t>
      </w:r>
      <w:r w:rsidR="00BC286E">
        <w:t xml:space="preserve">joint account </w:t>
      </w:r>
      <w:r w:rsidR="005A76F4">
        <w:t>data.</w:t>
      </w:r>
      <w:r w:rsidR="00F42616" w:rsidRPr="00F42616">
        <w:rPr>
          <w:rStyle w:val="base-text-paragraphChar"/>
          <w:b/>
          <w:bCs/>
          <w:i/>
          <w:iCs/>
          <w:sz w:val="18"/>
          <w:szCs w:val="18"/>
        </w:rPr>
        <w:t xml:space="preserve"> </w:t>
      </w:r>
      <w:r w:rsidR="00F42616" w:rsidRPr="00413975">
        <w:rPr>
          <w:rStyle w:val="base-text-paragraphChar"/>
          <w:b/>
          <w:bCs/>
          <w:i/>
          <w:iCs/>
          <w:sz w:val="18"/>
          <w:szCs w:val="18"/>
        </w:rPr>
        <w:t xml:space="preserve">[Schedule </w:t>
      </w:r>
      <w:r w:rsidR="00F42616">
        <w:rPr>
          <w:rStyle w:val="base-text-paragraphChar"/>
          <w:b/>
          <w:bCs/>
          <w:i/>
          <w:iCs/>
          <w:sz w:val="18"/>
          <w:szCs w:val="18"/>
        </w:rPr>
        <w:t>4</w:t>
      </w:r>
      <w:r w:rsidR="00F42616" w:rsidRPr="00413975">
        <w:rPr>
          <w:rStyle w:val="base-text-paragraphChar"/>
          <w:b/>
          <w:bCs/>
          <w:i/>
          <w:iCs/>
          <w:sz w:val="18"/>
          <w:szCs w:val="18"/>
        </w:rPr>
        <w:t>, item</w:t>
      </w:r>
      <w:r w:rsidR="00F42616">
        <w:rPr>
          <w:rStyle w:val="base-text-paragraphChar"/>
          <w:b/>
          <w:bCs/>
          <w:i/>
          <w:iCs/>
          <w:sz w:val="18"/>
          <w:szCs w:val="18"/>
        </w:rPr>
        <w:t xml:space="preserve"> 14, rule</w:t>
      </w:r>
      <w:r w:rsidR="00483DB9">
        <w:rPr>
          <w:rStyle w:val="base-text-paragraphChar"/>
          <w:b/>
          <w:bCs/>
          <w:i/>
          <w:iCs/>
          <w:sz w:val="18"/>
          <w:szCs w:val="18"/>
        </w:rPr>
        <w:t>s</w:t>
      </w:r>
      <w:r w:rsidR="00F42616">
        <w:rPr>
          <w:rStyle w:val="base-text-paragraphChar"/>
          <w:b/>
          <w:bCs/>
          <w:i/>
          <w:iCs/>
          <w:sz w:val="18"/>
          <w:szCs w:val="18"/>
        </w:rPr>
        <w:t xml:space="preserve"> 4A.</w:t>
      </w:r>
      <w:r w:rsidR="0049746F">
        <w:rPr>
          <w:rStyle w:val="base-text-paragraphChar"/>
          <w:b/>
          <w:bCs/>
          <w:i/>
          <w:iCs/>
          <w:sz w:val="18"/>
          <w:szCs w:val="18"/>
        </w:rPr>
        <w:t xml:space="preserve">3, </w:t>
      </w:r>
      <w:r w:rsidR="00F42616">
        <w:rPr>
          <w:rStyle w:val="base-text-paragraphChar"/>
          <w:b/>
          <w:bCs/>
          <w:i/>
          <w:iCs/>
          <w:sz w:val="18"/>
          <w:szCs w:val="18"/>
        </w:rPr>
        <w:t>4A.5(1)(a)</w:t>
      </w:r>
      <w:r w:rsidR="0051065D">
        <w:rPr>
          <w:rStyle w:val="base-text-paragraphChar"/>
          <w:b/>
          <w:bCs/>
          <w:i/>
          <w:iCs/>
          <w:sz w:val="18"/>
          <w:szCs w:val="18"/>
        </w:rPr>
        <w:t xml:space="preserve"> </w:t>
      </w:r>
      <w:r w:rsidR="00F42616" w:rsidDel="00204D08">
        <w:rPr>
          <w:rStyle w:val="base-text-paragraphChar"/>
          <w:b/>
          <w:bCs/>
          <w:i/>
          <w:iCs/>
          <w:sz w:val="18"/>
          <w:szCs w:val="18"/>
        </w:rPr>
        <w:t xml:space="preserve">and </w:t>
      </w:r>
      <w:r w:rsidR="00F42616">
        <w:rPr>
          <w:rStyle w:val="base-text-paragraphChar"/>
          <w:b/>
          <w:bCs/>
          <w:i/>
          <w:iCs/>
          <w:sz w:val="18"/>
          <w:szCs w:val="18"/>
        </w:rPr>
        <w:t>(5)</w:t>
      </w:r>
      <w:r w:rsidR="00204D08">
        <w:rPr>
          <w:rStyle w:val="base-text-paragraphChar"/>
          <w:b/>
          <w:bCs/>
          <w:i/>
          <w:iCs/>
          <w:sz w:val="18"/>
          <w:szCs w:val="18"/>
        </w:rPr>
        <w:t>,</w:t>
      </w:r>
      <w:r w:rsidR="00483DB9">
        <w:rPr>
          <w:rStyle w:val="base-text-paragraphChar"/>
          <w:b/>
          <w:bCs/>
          <w:i/>
          <w:iCs/>
          <w:sz w:val="18"/>
          <w:szCs w:val="18"/>
        </w:rPr>
        <w:t xml:space="preserve"> and</w:t>
      </w:r>
      <w:r w:rsidR="00204D08">
        <w:rPr>
          <w:rStyle w:val="base-text-paragraphChar"/>
          <w:b/>
          <w:bCs/>
          <w:i/>
          <w:iCs/>
          <w:sz w:val="18"/>
          <w:szCs w:val="18"/>
        </w:rPr>
        <w:t xml:space="preserve"> 4A.10(2)</w:t>
      </w:r>
      <w:r w:rsidR="00483DB9">
        <w:rPr>
          <w:rStyle w:val="base-text-paragraphChar"/>
          <w:b/>
          <w:bCs/>
          <w:i/>
          <w:iCs/>
          <w:sz w:val="18"/>
          <w:szCs w:val="18"/>
        </w:rPr>
        <w:t xml:space="preserve"> and </w:t>
      </w:r>
      <w:r w:rsidR="00204D08">
        <w:rPr>
          <w:rStyle w:val="base-text-paragraphChar"/>
          <w:b/>
          <w:bCs/>
          <w:i/>
          <w:iCs/>
          <w:sz w:val="18"/>
          <w:szCs w:val="18"/>
        </w:rPr>
        <w:t>(3)</w:t>
      </w:r>
      <w:r w:rsidR="00F42616" w:rsidRPr="00413975">
        <w:rPr>
          <w:rStyle w:val="base-text-paragraphChar"/>
          <w:b/>
          <w:bCs/>
          <w:i/>
          <w:iCs/>
          <w:sz w:val="18"/>
          <w:szCs w:val="18"/>
        </w:rPr>
        <w:t>]</w:t>
      </w:r>
    </w:p>
    <w:p w14:paraId="09552686" w14:textId="69051750" w:rsidR="005A76F4" w:rsidRPr="00BC38FB" w:rsidRDefault="005A76F4" w:rsidP="008E0360">
      <w:pPr>
        <w:pStyle w:val="base-text-paragraph"/>
        <w:ind w:left="0"/>
        <w:rPr>
          <w:b/>
          <w:i/>
          <w:sz w:val="18"/>
          <w:szCs w:val="18"/>
        </w:rPr>
      </w:pPr>
      <w:r>
        <w:t xml:space="preserve">Under the </w:t>
      </w:r>
      <w:r w:rsidRPr="0065146E">
        <w:t>co</w:t>
      </w:r>
      <w:r w:rsidRPr="0065146E">
        <w:noBreakHyphen/>
        <w:t>approval option</w:t>
      </w:r>
      <w:r w:rsidR="009C149C">
        <w:t>,</w:t>
      </w:r>
      <w:r>
        <w:t xml:space="preserve"> </w:t>
      </w:r>
      <w:r w:rsidRPr="00A873E0">
        <w:t xml:space="preserve">joint account data may be disclosed in response to a valid consumer data request </w:t>
      </w:r>
      <w:r w:rsidR="002650CB">
        <w:t xml:space="preserve">that relates to a joint account </w:t>
      </w:r>
      <w:r w:rsidR="00F45363">
        <w:t xml:space="preserve">with the agreement of all </w:t>
      </w:r>
      <w:r>
        <w:t>account holders</w:t>
      </w:r>
      <w:r w:rsidRPr="0065146E">
        <w:t>.</w:t>
      </w:r>
      <w:r w:rsidRPr="00F42616">
        <w:rPr>
          <w:rStyle w:val="base-text-paragraphChar"/>
          <w:b/>
          <w:bCs/>
          <w:i/>
          <w:iCs/>
          <w:sz w:val="18"/>
          <w:szCs w:val="18"/>
        </w:rPr>
        <w:t xml:space="preserve"> </w:t>
      </w:r>
      <w:r>
        <w:t xml:space="preserve">If co-approval applies, and the </w:t>
      </w:r>
      <w:r w:rsidR="00467C08">
        <w:t>requester</w:t>
      </w:r>
      <w:r>
        <w:t xml:space="preserve"> has authorised disclosure, the data holder must seek the </w:t>
      </w:r>
      <w:r w:rsidR="00315AEA">
        <w:t>relevant</w:t>
      </w:r>
      <w:r>
        <w:t xml:space="preserve"> account holders’ approval to disclose</w:t>
      </w:r>
      <w:r w:rsidR="00AD59FC">
        <w:t>. I</w:t>
      </w:r>
      <w:r>
        <w:t xml:space="preserve">f such approval is given, </w:t>
      </w:r>
      <w:r w:rsidR="00AD59FC">
        <w:t xml:space="preserve">the data holder must </w:t>
      </w:r>
      <w:r>
        <w:t xml:space="preserve">disclose the requested data </w:t>
      </w:r>
      <w:r w:rsidR="00204D08">
        <w:t>(</w:t>
      </w:r>
      <w:r w:rsidR="00483DB9">
        <w:t>under</w:t>
      </w:r>
      <w:r>
        <w:t xml:space="preserve"> rules 4.6 to 4.7</w:t>
      </w:r>
      <w:r w:rsidR="00204D08">
        <w:t>)</w:t>
      </w:r>
      <w:r>
        <w:t>,</w:t>
      </w:r>
      <w:r w:rsidR="00483DB9">
        <w:t xml:space="preserve"> as it would any other request on a non-joint account</w:t>
      </w:r>
      <w:r>
        <w:t>, unless a</w:t>
      </w:r>
      <w:r w:rsidR="001B6998">
        <w:t xml:space="preserve"> relevant </w:t>
      </w:r>
      <w:r>
        <w:t xml:space="preserve">account holder has withdrawn their approval, in which case the requested </w:t>
      </w:r>
      <w:r w:rsidR="00AD59FC">
        <w:t>joint account</w:t>
      </w:r>
      <w:r>
        <w:t xml:space="preserve"> data cannot be disclosed.</w:t>
      </w:r>
      <w:r w:rsidR="009C149C">
        <w:t xml:space="preserve"> </w:t>
      </w:r>
      <w:r w:rsidRPr="00413975">
        <w:rPr>
          <w:rStyle w:val="base-text-paragraphChar"/>
          <w:b/>
          <w:bCs/>
          <w:i/>
          <w:iCs/>
          <w:sz w:val="18"/>
          <w:szCs w:val="18"/>
        </w:rPr>
        <w:t xml:space="preserve">[Schedule </w:t>
      </w:r>
      <w:r>
        <w:rPr>
          <w:rStyle w:val="base-text-paragraphChar"/>
          <w:b/>
          <w:bCs/>
          <w:i/>
          <w:iCs/>
          <w:sz w:val="18"/>
          <w:szCs w:val="18"/>
        </w:rPr>
        <w:t>4</w:t>
      </w:r>
      <w:r w:rsidRPr="00413975">
        <w:rPr>
          <w:rStyle w:val="base-text-paragraphChar"/>
          <w:b/>
          <w:bCs/>
          <w:i/>
          <w:iCs/>
          <w:sz w:val="18"/>
          <w:szCs w:val="18"/>
        </w:rPr>
        <w:t>, item</w:t>
      </w:r>
      <w:r>
        <w:rPr>
          <w:rStyle w:val="base-text-paragraphChar"/>
          <w:b/>
          <w:bCs/>
          <w:i/>
          <w:iCs/>
          <w:sz w:val="18"/>
          <w:szCs w:val="18"/>
        </w:rPr>
        <w:t xml:space="preserve"> 14, rule</w:t>
      </w:r>
      <w:r w:rsidR="00483DB9">
        <w:rPr>
          <w:rStyle w:val="base-text-paragraphChar"/>
          <w:b/>
          <w:bCs/>
          <w:i/>
          <w:iCs/>
          <w:sz w:val="18"/>
          <w:szCs w:val="18"/>
        </w:rPr>
        <w:t>s</w:t>
      </w:r>
      <w:r>
        <w:rPr>
          <w:rStyle w:val="base-text-paragraphChar"/>
          <w:b/>
          <w:bCs/>
          <w:i/>
          <w:iCs/>
          <w:sz w:val="18"/>
          <w:szCs w:val="18"/>
        </w:rPr>
        <w:t xml:space="preserve"> 4A.5(1)(b)</w:t>
      </w:r>
      <w:r w:rsidR="005D5365">
        <w:rPr>
          <w:rStyle w:val="base-text-paragraphChar"/>
          <w:b/>
          <w:bCs/>
          <w:i/>
          <w:iCs/>
          <w:sz w:val="18"/>
          <w:szCs w:val="18"/>
        </w:rPr>
        <w:t xml:space="preserve"> and </w:t>
      </w:r>
      <w:r w:rsidR="00204D08">
        <w:rPr>
          <w:rStyle w:val="base-text-paragraphChar"/>
          <w:b/>
          <w:bCs/>
          <w:i/>
          <w:iCs/>
          <w:sz w:val="18"/>
          <w:szCs w:val="18"/>
        </w:rPr>
        <w:t>4A.10(4</w:t>
      </w:r>
      <w:r w:rsidR="00483DB9">
        <w:rPr>
          <w:rStyle w:val="base-text-paragraphChar"/>
          <w:b/>
          <w:bCs/>
          <w:i/>
          <w:iCs/>
          <w:sz w:val="18"/>
          <w:szCs w:val="18"/>
        </w:rPr>
        <w:t>) and (5</w:t>
      </w:r>
      <w:r w:rsidR="00204D08">
        <w:rPr>
          <w:rStyle w:val="base-text-paragraphChar"/>
          <w:b/>
          <w:bCs/>
          <w:i/>
          <w:iCs/>
          <w:sz w:val="18"/>
          <w:szCs w:val="18"/>
        </w:rPr>
        <w:t>)</w:t>
      </w:r>
      <w:r w:rsidRPr="00413975">
        <w:rPr>
          <w:rStyle w:val="base-text-paragraphChar"/>
          <w:b/>
          <w:bCs/>
          <w:i/>
          <w:iCs/>
          <w:sz w:val="18"/>
          <w:szCs w:val="18"/>
        </w:rPr>
        <w:t>]</w:t>
      </w:r>
    </w:p>
    <w:p w14:paraId="14EFCA3B" w14:textId="3EDFFD5D" w:rsidR="004512F1" w:rsidRPr="0065146E" w:rsidRDefault="00F45363" w:rsidP="008E0360">
      <w:pPr>
        <w:pStyle w:val="base-text-paragraph"/>
        <w:ind w:left="0"/>
      </w:pPr>
      <w:r>
        <w:t xml:space="preserve">Under the </w:t>
      </w:r>
      <w:r w:rsidR="004512F1" w:rsidRPr="0065146E">
        <w:t>non-disclosure option</w:t>
      </w:r>
      <w:r w:rsidR="00A873E0">
        <w:t>,</w:t>
      </w:r>
      <w:r w:rsidR="004512F1" w:rsidRPr="0065146E">
        <w:t xml:space="preserve"> </w:t>
      </w:r>
      <w:r>
        <w:t xml:space="preserve">a data holder must refuse a consumer data request to disclose </w:t>
      </w:r>
      <w:r w:rsidR="00A873E0" w:rsidRPr="00A873E0">
        <w:t>CDR data relating to the joint account</w:t>
      </w:r>
      <w:r w:rsidR="004512F1" w:rsidRPr="0065146E">
        <w:t>.</w:t>
      </w:r>
      <w:r w:rsidR="00F42616" w:rsidRPr="00F42616">
        <w:rPr>
          <w:rStyle w:val="base-text-paragraphChar"/>
          <w:b/>
          <w:bCs/>
          <w:i/>
          <w:iCs/>
          <w:sz w:val="18"/>
          <w:szCs w:val="18"/>
        </w:rPr>
        <w:t xml:space="preserve"> </w:t>
      </w:r>
      <w:r w:rsidR="00F42616" w:rsidRPr="00413975">
        <w:rPr>
          <w:rStyle w:val="base-text-paragraphChar"/>
          <w:b/>
          <w:bCs/>
          <w:i/>
          <w:iCs/>
          <w:sz w:val="18"/>
          <w:szCs w:val="18"/>
        </w:rPr>
        <w:t xml:space="preserve">[Schedule </w:t>
      </w:r>
      <w:r w:rsidR="00F42616">
        <w:rPr>
          <w:rStyle w:val="base-text-paragraphChar"/>
          <w:b/>
          <w:bCs/>
          <w:i/>
          <w:iCs/>
          <w:sz w:val="18"/>
          <w:szCs w:val="18"/>
        </w:rPr>
        <w:t>4</w:t>
      </w:r>
      <w:r w:rsidR="00F42616" w:rsidRPr="00413975">
        <w:rPr>
          <w:rStyle w:val="base-text-paragraphChar"/>
          <w:b/>
          <w:bCs/>
          <w:i/>
          <w:iCs/>
          <w:sz w:val="18"/>
          <w:szCs w:val="18"/>
        </w:rPr>
        <w:t>, item</w:t>
      </w:r>
      <w:r w:rsidR="00F42616">
        <w:rPr>
          <w:rStyle w:val="base-text-paragraphChar"/>
          <w:b/>
          <w:bCs/>
          <w:i/>
          <w:iCs/>
          <w:sz w:val="18"/>
          <w:szCs w:val="18"/>
        </w:rPr>
        <w:t xml:space="preserve"> 14, rule</w:t>
      </w:r>
      <w:r w:rsidR="00483DB9">
        <w:rPr>
          <w:rStyle w:val="base-text-paragraphChar"/>
          <w:b/>
          <w:bCs/>
          <w:i/>
          <w:iCs/>
          <w:sz w:val="18"/>
          <w:szCs w:val="18"/>
        </w:rPr>
        <w:t>s</w:t>
      </w:r>
      <w:r w:rsidR="00F42616">
        <w:rPr>
          <w:rStyle w:val="base-text-paragraphChar"/>
          <w:b/>
          <w:bCs/>
          <w:i/>
          <w:iCs/>
          <w:sz w:val="18"/>
          <w:szCs w:val="18"/>
        </w:rPr>
        <w:t xml:space="preserve"> 4A.5(1)(c)</w:t>
      </w:r>
      <w:r w:rsidR="005D5365">
        <w:rPr>
          <w:rStyle w:val="base-text-paragraphChar"/>
          <w:b/>
          <w:bCs/>
          <w:i/>
          <w:iCs/>
          <w:sz w:val="18"/>
          <w:szCs w:val="18"/>
        </w:rPr>
        <w:t xml:space="preserve"> and 4A.10(6)</w:t>
      </w:r>
      <w:r w:rsidR="00F42616" w:rsidRPr="00413975">
        <w:rPr>
          <w:rStyle w:val="base-text-paragraphChar"/>
          <w:b/>
          <w:bCs/>
          <w:i/>
          <w:iCs/>
          <w:sz w:val="18"/>
          <w:szCs w:val="18"/>
        </w:rPr>
        <w:t>]</w:t>
      </w:r>
    </w:p>
    <w:p w14:paraId="5492C50C" w14:textId="3207ACEE" w:rsidR="004512F1" w:rsidRPr="0065146E" w:rsidRDefault="004512F1" w:rsidP="008E0360">
      <w:pPr>
        <w:pStyle w:val="base-text-paragraph"/>
        <w:ind w:left="0"/>
      </w:pPr>
      <w:r w:rsidRPr="0065146E">
        <w:t>Data holders must offer the pre</w:t>
      </w:r>
      <w:r w:rsidRPr="0065146E">
        <w:noBreakHyphen/>
        <w:t xml:space="preserve">approval option and non-disclosure option on joint </w:t>
      </w:r>
      <w:proofErr w:type="gramStart"/>
      <w:r w:rsidRPr="0065146E">
        <w:t>accounts, and</w:t>
      </w:r>
      <w:proofErr w:type="gramEnd"/>
      <w:r w:rsidRPr="0065146E">
        <w:t xml:space="preserve"> may </w:t>
      </w:r>
      <w:r w:rsidR="009F3A6F">
        <w:t xml:space="preserve">choose to also </w:t>
      </w:r>
      <w:r w:rsidRPr="0065146E">
        <w:t>offer the co</w:t>
      </w:r>
      <w:r w:rsidRPr="0065146E">
        <w:noBreakHyphen/>
        <w:t>approval option</w:t>
      </w:r>
      <w:bookmarkEnd w:id="12"/>
      <w:r w:rsidRPr="0065146E">
        <w:t>.</w:t>
      </w:r>
      <w:r w:rsidR="00F42616" w:rsidRPr="00F42616">
        <w:rPr>
          <w:rStyle w:val="base-text-paragraphChar"/>
          <w:b/>
          <w:bCs/>
          <w:i/>
          <w:iCs/>
          <w:sz w:val="18"/>
          <w:szCs w:val="18"/>
        </w:rPr>
        <w:t xml:space="preserve"> </w:t>
      </w:r>
      <w:r w:rsidR="00F42616" w:rsidRPr="00413975">
        <w:rPr>
          <w:rStyle w:val="base-text-paragraphChar"/>
          <w:b/>
          <w:bCs/>
          <w:i/>
          <w:iCs/>
          <w:sz w:val="18"/>
          <w:szCs w:val="18"/>
        </w:rPr>
        <w:t xml:space="preserve">[Schedule </w:t>
      </w:r>
      <w:r w:rsidR="00F42616">
        <w:rPr>
          <w:rStyle w:val="base-text-paragraphChar"/>
          <w:b/>
          <w:bCs/>
          <w:i/>
          <w:iCs/>
          <w:sz w:val="18"/>
          <w:szCs w:val="18"/>
        </w:rPr>
        <w:t>4</w:t>
      </w:r>
      <w:r w:rsidR="00F42616" w:rsidRPr="00413975">
        <w:rPr>
          <w:rStyle w:val="base-text-paragraphChar"/>
          <w:b/>
          <w:bCs/>
          <w:i/>
          <w:iCs/>
          <w:sz w:val="18"/>
          <w:szCs w:val="18"/>
        </w:rPr>
        <w:t>, item</w:t>
      </w:r>
      <w:r w:rsidR="00F42616">
        <w:rPr>
          <w:rStyle w:val="base-text-paragraphChar"/>
          <w:b/>
          <w:bCs/>
          <w:i/>
          <w:iCs/>
          <w:sz w:val="18"/>
          <w:szCs w:val="18"/>
        </w:rPr>
        <w:t xml:space="preserve"> 14, rule</w:t>
      </w:r>
      <w:r w:rsidR="00FC5F66">
        <w:rPr>
          <w:rStyle w:val="base-text-paragraphChar"/>
          <w:b/>
          <w:bCs/>
          <w:i/>
          <w:iCs/>
          <w:sz w:val="18"/>
          <w:szCs w:val="18"/>
        </w:rPr>
        <w:t>s </w:t>
      </w:r>
      <w:r w:rsidR="00F42616">
        <w:rPr>
          <w:rStyle w:val="base-text-paragraphChar"/>
          <w:b/>
          <w:bCs/>
          <w:i/>
          <w:iCs/>
          <w:sz w:val="18"/>
          <w:szCs w:val="18"/>
        </w:rPr>
        <w:t>4A.5(2) an</w:t>
      </w:r>
      <w:r w:rsidR="00E52AB3">
        <w:rPr>
          <w:rStyle w:val="base-text-paragraphChar"/>
          <w:b/>
          <w:bCs/>
          <w:i/>
          <w:iCs/>
          <w:sz w:val="18"/>
          <w:szCs w:val="18"/>
        </w:rPr>
        <w:t xml:space="preserve">d </w:t>
      </w:r>
      <w:r w:rsidR="00F42616">
        <w:rPr>
          <w:rStyle w:val="base-text-paragraphChar"/>
          <w:b/>
          <w:bCs/>
          <w:i/>
          <w:iCs/>
          <w:sz w:val="18"/>
          <w:szCs w:val="18"/>
        </w:rPr>
        <w:t>(3)</w:t>
      </w:r>
      <w:r w:rsidR="00F42616" w:rsidRPr="00413975">
        <w:rPr>
          <w:rStyle w:val="base-text-paragraphChar"/>
          <w:b/>
          <w:bCs/>
          <w:i/>
          <w:iCs/>
          <w:sz w:val="18"/>
          <w:szCs w:val="18"/>
        </w:rPr>
        <w:t>]</w:t>
      </w:r>
    </w:p>
    <w:p w14:paraId="197BC9EA" w14:textId="49A4C69C" w:rsidR="002216CA" w:rsidRPr="00D0378E" w:rsidRDefault="00357A75" w:rsidP="008E0360">
      <w:pPr>
        <w:pStyle w:val="base-text-paragraph"/>
        <w:ind w:left="0"/>
      </w:pPr>
      <w:bookmarkStart w:id="13" w:name="_Hlk82719768"/>
      <w:r w:rsidRPr="00F671A7">
        <w:lastRenderedPageBreak/>
        <w:t>Where the joint account rules apply, the d</w:t>
      </w:r>
      <w:r w:rsidR="00FF19B0" w:rsidRPr="00EF4FC1">
        <w:t>ata holder</w:t>
      </w:r>
      <w:r w:rsidRPr="00F671A7">
        <w:t xml:space="preserve"> </w:t>
      </w:r>
      <w:r w:rsidR="00FF19B0" w:rsidRPr="00EF4FC1">
        <w:t xml:space="preserve">must provide </w:t>
      </w:r>
      <w:r w:rsidRPr="00F671A7">
        <w:t>the requester with a</w:t>
      </w:r>
      <w:r w:rsidR="0063003F" w:rsidRPr="00F671A7">
        <w:t>n online</w:t>
      </w:r>
      <w:r w:rsidRPr="00F671A7">
        <w:t xml:space="preserve"> consumer dashboard under existing rule 1.15. The requester can use the dashboard to manage authorisations to disclose CDR data</w:t>
      </w:r>
      <w:r w:rsidR="001B6998" w:rsidRPr="00F671A7">
        <w:t>.</w:t>
      </w:r>
    </w:p>
    <w:p w14:paraId="51643AB8" w14:textId="299B17A7" w:rsidR="00C9328B" w:rsidRPr="00F671A7" w:rsidRDefault="001B6998" w:rsidP="008E0360">
      <w:pPr>
        <w:pStyle w:val="base-text-paragraph"/>
        <w:ind w:left="0"/>
        <w:rPr>
          <w:rStyle w:val="base-text-paragraphChar"/>
          <w:b/>
          <w:bCs/>
          <w:i/>
          <w:iCs/>
          <w:sz w:val="18"/>
          <w:szCs w:val="18"/>
        </w:rPr>
      </w:pPr>
      <w:r w:rsidRPr="00F671A7">
        <w:t>The data holder must also provide a</w:t>
      </w:r>
      <w:r w:rsidR="0063003F" w:rsidRPr="00F671A7">
        <w:t xml:space="preserve">n online </w:t>
      </w:r>
      <w:r w:rsidRPr="00F671A7">
        <w:t>consumer dashboard for each of the other relevant account holders</w:t>
      </w:r>
      <w:r w:rsidR="002216CA" w:rsidRPr="00F671A7">
        <w:t xml:space="preserve"> that will enable them </w:t>
      </w:r>
      <w:r w:rsidR="002216CA" w:rsidRPr="00EF4FC1">
        <w:t xml:space="preserve">to see and manage their </w:t>
      </w:r>
      <w:r w:rsidR="002216CA" w:rsidRPr="00F671A7">
        <w:t xml:space="preserve">approvals related to requests </w:t>
      </w:r>
      <w:r w:rsidR="002216CA" w:rsidRPr="00EF4FC1">
        <w:t>to disclose CDR data</w:t>
      </w:r>
      <w:r w:rsidR="002216CA" w:rsidRPr="00F671A7">
        <w:t xml:space="preserve"> </w:t>
      </w:r>
      <w:r w:rsidR="00B66EE0">
        <w:t>that relates</w:t>
      </w:r>
      <w:r w:rsidR="00B66EE0" w:rsidRPr="00F671A7">
        <w:t xml:space="preserve"> </w:t>
      </w:r>
      <w:r w:rsidR="002216CA" w:rsidRPr="00F671A7">
        <w:t xml:space="preserve">to </w:t>
      </w:r>
      <w:r w:rsidR="00B66EE0">
        <w:t>a</w:t>
      </w:r>
      <w:r w:rsidR="002216CA" w:rsidRPr="00F671A7">
        <w:t xml:space="preserve"> joint account. </w:t>
      </w:r>
      <w:bookmarkEnd w:id="13"/>
      <w:r w:rsidR="002216CA" w:rsidRPr="00EF4FC1">
        <w:t xml:space="preserve">The rules require a level of dashboard functionality that allows </w:t>
      </w:r>
      <w:r w:rsidR="00B66EE0">
        <w:t>an</w:t>
      </w:r>
      <w:r w:rsidR="002216CA" w:rsidRPr="00F671A7">
        <w:t xml:space="preserve"> account holder to </w:t>
      </w:r>
      <w:r w:rsidR="002216CA" w:rsidRPr="00EF4FC1">
        <w:t xml:space="preserve">at any time, withdraw </w:t>
      </w:r>
      <w:r w:rsidR="002216CA" w:rsidRPr="00F671A7">
        <w:t xml:space="preserve">an approval for </w:t>
      </w:r>
      <w:r w:rsidR="006120FD" w:rsidRPr="00F671A7">
        <w:t xml:space="preserve">CDR data </w:t>
      </w:r>
      <w:r w:rsidR="00B66EE0">
        <w:t xml:space="preserve">that relates </w:t>
      </w:r>
      <w:r w:rsidR="006120FD" w:rsidRPr="00F671A7">
        <w:t xml:space="preserve">to the joint account to be disclosed. The dashboard must be </w:t>
      </w:r>
      <w:r w:rsidR="002216CA" w:rsidRPr="00EF4FC1">
        <w:t>prominently displayed</w:t>
      </w:r>
      <w:r w:rsidR="006120FD" w:rsidRPr="00F671A7">
        <w:t xml:space="preserve"> and</w:t>
      </w:r>
      <w:r w:rsidR="002216CA" w:rsidRPr="00EF4FC1">
        <w:t xml:space="preserve"> simple and straightforward for </w:t>
      </w:r>
      <w:r w:rsidR="006120FD" w:rsidRPr="00F671A7">
        <w:t>the joint account holder to use.</w:t>
      </w:r>
      <w:r w:rsidR="002216CA" w:rsidRPr="00EF4FC1">
        <w:t xml:space="preserve"> </w:t>
      </w:r>
      <w:r w:rsidR="00431583" w:rsidRPr="008E246B">
        <w:t xml:space="preserve">The standard maximum </w:t>
      </w:r>
      <w:r w:rsidR="002A5D5D" w:rsidRPr="00F671A7">
        <w:t xml:space="preserve">civil penalty </w:t>
      </w:r>
      <w:r w:rsidR="00431583" w:rsidRPr="008E246B">
        <w:t xml:space="preserve">for CDR Rule breaches applies for a contravention of </w:t>
      </w:r>
      <w:r w:rsidR="00CD0868">
        <w:t xml:space="preserve">new </w:t>
      </w:r>
      <w:r w:rsidR="00431583" w:rsidRPr="008E246B">
        <w:t>rule</w:t>
      </w:r>
      <w:r w:rsidR="00431583">
        <w:t xml:space="preserve"> 4A.13</w:t>
      </w:r>
      <w:r w:rsidR="00431583" w:rsidRPr="008E246B">
        <w:t xml:space="preserve">. A robust penalty setting is important to </w:t>
      </w:r>
      <w:r w:rsidR="00431583" w:rsidRPr="00431583">
        <w:t>ensure consumers are</w:t>
      </w:r>
      <w:r w:rsidR="00DB24D3">
        <w:t xml:space="preserve"> aware of, and </w:t>
      </w:r>
      <w:r w:rsidR="00431583" w:rsidRPr="00431583">
        <w:t xml:space="preserve">have </w:t>
      </w:r>
      <w:r w:rsidR="00DB24D3">
        <w:t xml:space="preserve">control </w:t>
      </w:r>
      <w:r w:rsidR="00431583" w:rsidRPr="00431583">
        <w:t xml:space="preserve">over </w:t>
      </w:r>
      <w:r w:rsidR="00DB24D3">
        <w:t>access to, their joint account data</w:t>
      </w:r>
      <w:r w:rsidR="002A5D5D" w:rsidRPr="00F671A7">
        <w:t xml:space="preserve">. However, </w:t>
      </w:r>
      <w:r w:rsidR="00D74E50" w:rsidRPr="00F671A7">
        <w:t>a d</w:t>
      </w:r>
      <w:r w:rsidR="002A5D5D" w:rsidRPr="00F671A7">
        <w:t xml:space="preserve">ata </w:t>
      </w:r>
      <w:r w:rsidR="00DB24D3">
        <w:t xml:space="preserve">holder </w:t>
      </w:r>
      <w:r w:rsidR="00D74E50" w:rsidRPr="00F671A7">
        <w:t xml:space="preserve">will not contravene the rule provided it takes reasonable steps to ensure the </w:t>
      </w:r>
      <w:r w:rsidR="002A5D5D" w:rsidRPr="00F671A7">
        <w:t xml:space="preserve">consumer dashboard </w:t>
      </w:r>
      <w:r w:rsidR="004F2C1D" w:rsidRPr="00F671A7">
        <w:t xml:space="preserve">has </w:t>
      </w:r>
      <w:r w:rsidR="00D74E50" w:rsidRPr="00F671A7">
        <w:t xml:space="preserve">the required </w:t>
      </w:r>
      <w:r w:rsidR="002A5D5D" w:rsidRPr="00F671A7">
        <w:t>functionality</w:t>
      </w:r>
      <w:r w:rsidR="00D74E50" w:rsidRPr="00F671A7">
        <w:t>.</w:t>
      </w:r>
      <w:r w:rsidR="00C9328B" w:rsidRPr="00F671A7">
        <w:rPr>
          <w:rStyle w:val="base-text-paragraphChar"/>
          <w:b/>
          <w:bCs/>
          <w:i/>
          <w:iCs/>
          <w:sz w:val="18"/>
          <w:szCs w:val="18"/>
        </w:rPr>
        <w:t xml:space="preserve"> [Schedule 4, item 14, rule</w:t>
      </w:r>
      <w:r w:rsidR="00B26C7D">
        <w:rPr>
          <w:rStyle w:val="base-text-paragraphChar"/>
          <w:b/>
          <w:bCs/>
          <w:i/>
          <w:iCs/>
          <w:sz w:val="18"/>
          <w:szCs w:val="18"/>
        </w:rPr>
        <w:t>s</w:t>
      </w:r>
      <w:r w:rsidR="00C9328B" w:rsidRPr="00F671A7">
        <w:rPr>
          <w:rStyle w:val="base-text-paragraphChar"/>
          <w:b/>
          <w:bCs/>
          <w:i/>
          <w:iCs/>
          <w:sz w:val="18"/>
          <w:szCs w:val="18"/>
        </w:rPr>
        <w:t xml:space="preserve"> 4A.</w:t>
      </w:r>
      <w:r w:rsidR="00FB0182">
        <w:rPr>
          <w:rStyle w:val="base-text-paragraphChar"/>
          <w:b/>
          <w:bCs/>
          <w:i/>
          <w:iCs/>
          <w:sz w:val="18"/>
          <w:szCs w:val="18"/>
        </w:rPr>
        <w:t xml:space="preserve">11, 4A.12 and </w:t>
      </w:r>
      <w:r w:rsidR="00C9328B" w:rsidRPr="00F671A7">
        <w:rPr>
          <w:rStyle w:val="base-text-paragraphChar"/>
          <w:b/>
          <w:bCs/>
          <w:i/>
          <w:iCs/>
          <w:sz w:val="18"/>
          <w:szCs w:val="18"/>
        </w:rPr>
        <w:t>4A.</w:t>
      </w:r>
      <w:r w:rsidR="00CB46A5" w:rsidRPr="00F671A7">
        <w:rPr>
          <w:rStyle w:val="base-text-paragraphChar"/>
          <w:b/>
          <w:bCs/>
          <w:i/>
          <w:iCs/>
          <w:sz w:val="18"/>
          <w:szCs w:val="18"/>
        </w:rPr>
        <w:t>13</w:t>
      </w:r>
      <w:r w:rsidR="00C9328B" w:rsidRPr="00F671A7">
        <w:rPr>
          <w:rStyle w:val="base-text-paragraphChar"/>
          <w:b/>
          <w:bCs/>
          <w:i/>
          <w:iCs/>
          <w:sz w:val="18"/>
          <w:szCs w:val="18"/>
        </w:rPr>
        <w:t>(</w:t>
      </w:r>
      <w:r w:rsidR="00CB46A5" w:rsidRPr="00F671A7">
        <w:rPr>
          <w:rStyle w:val="base-text-paragraphChar"/>
          <w:b/>
          <w:bCs/>
          <w:i/>
          <w:iCs/>
          <w:sz w:val="18"/>
          <w:szCs w:val="18"/>
        </w:rPr>
        <w:t>1</w:t>
      </w:r>
      <w:r w:rsidR="00C9328B" w:rsidRPr="00F671A7">
        <w:rPr>
          <w:rStyle w:val="base-text-paragraphChar"/>
          <w:b/>
          <w:bCs/>
          <w:i/>
          <w:iCs/>
          <w:sz w:val="18"/>
          <w:szCs w:val="18"/>
        </w:rPr>
        <w:t>)</w:t>
      </w:r>
      <w:r w:rsidR="00CB46A5" w:rsidRPr="00F671A7">
        <w:rPr>
          <w:rStyle w:val="base-text-paragraphChar"/>
          <w:b/>
          <w:bCs/>
          <w:i/>
          <w:iCs/>
          <w:sz w:val="18"/>
          <w:szCs w:val="18"/>
        </w:rPr>
        <w:t xml:space="preserve"> and (4)</w:t>
      </w:r>
      <w:r w:rsidR="00CD0868">
        <w:rPr>
          <w:rStyle w:val="base-text-paragraphChar"/>
          <w:b/>
          <w:bCs/>
          <w:i/>
          <w:iCs/>
          <w:sz w:val="18"/>
          <w:szCs w:val="18"/>
        </w:rPr>
        <w:t>, and Schedule 6, item 21, rule 9.8(kk)</w:t>
      </w:r>
      <w:r w:rsidR="00C9328B" w:rsidRPr="00F671A7">
        <w:rPr>
          <w:rStyle w:val="base-text-paragraphChar"/>
          <w:b/>
          <w:bCs/>
          <w:i/>
          <w:iCs/>
          <w:sz w:val="18"/>
          <w:szCs w:val="18"/>
        </w:rPr>
        <w:t>]</w:t>
      </w:r>
    </w:p>
    <w:p w14:paraId="226D1436" w14:textId="3F5803AD" w:rsidR="00CB46A5" w:rsidRPr="00F671A7" w:rsidRDefault="00CB46A5" w:rsidP="008E0360">
      <w:pPr>
        <w:pStyle w:val="base-text-paragraph"/>
        <w:ind w:left="0"/>
      </w:pPr>
      <w:r w:rsidRPr="00F671A7">
        <w:t xml:space="preserve">Where the data holder already provides the relevant account holder with a consumer dashboard under existing rule 1.15, the ability to see and manage their approvals must be included in that dashboard. </w:t>
      </w:r>
      <w:r w:rsidRPr="00F671A7">
        <w:rPr>
          <w:rStyle w:val="base-text-paragraphChar"/>
          <w:b/>
          <w:bCs/>
          <w:i/>
          <w:iCs/>
          <w:sz w:val="18"/>
          <w:szCs w:val="18"/>
        </w:rPr>
        <w:t>[Schedule 4, item 14, rule 4A.13(2)]</w:t>
      </w:r>
    </w:p>
    <w:p w14:paraId="589802C5" w14:textId="2842D8B1" w:rsidR="002216CA" w:rsidRDefault="00221BB6" w:rsidP="008E0360">
      <w:pPr>
        <w:autoSpaceDE w:val="0"/>
        <w:autoSpaceDN w:val="0"/>
        <w:adjustRightInd w:val="0"/>
        <w:spacing w:before="0" w:after="254"/>
        <w:rPr>
          <w:rStyle w:val="base-text-paragraphChar"/>
          <w:b/>
          <w:bCs/>
          <w:i/>
          <w:iCs/>
          <w:sz w:val="18"/>
          <w:szCs w:val="18"/>
        </w:rPr>
      </w:pPr>
      <w:r w:rsidRPr="00F671A7">
        <w:t xml:space="preserve">To ensure that relevant information is shared across the dashboards of all joint account holders, if a relevant account holder’s dashboard contains details of approvals related to the joint account then the dashboards of all the other joint account holders must contain those details. </w:t>
      </w:r>
      <w:r w:rsidRPr="00F671A7">
        <w:rPr>
          <w:rStyle w:val="base-text-paragraphChar"/>
          <w:b/>
          <w:bCs/>
          <w:i/>
          <w:iCs/>
          <w:sz w:val="18"/>
          <w:szCs w:val="18"/>
        </w:rPr>
        <w:t>[Schedule 4, item 14, rule 4A.13(5)]</w:t>
      </w:r>
    </w:p>
    <w:p w14:paraId="6A46C048" w14:textId="208CC5C8" w:rsidR="00F671A7" w:rsidRDefault="00F671A7" w:rsidP="008E0360">
      <w:pPr>
        <w:spacing w:before="240"/>
        <w:ind w:right="91"/>
        <w:rPr>
          <w:i/>
          <w:iCs/>
        </w:rPr>
      </w:pPr>
      <w:r>
        <w:rPr>
          <w:i/>
          <w:iCs/>
        </w:rPr>
        <w:t>Notification requirements</w:t>
      </w:r>
    </w:p>
    <w:p w14:paraId="374B6904" w14:textId="1318E965" w:rsidR="00F671A7" w:rsidRDefault="00F671A7" w:rsidP="008E0360">
      <w:pPr>
        <w:pStyle w:val="base-text-paragraph"/>
        <w:ind w:left="0"/>
      </w:pPr>
      <w:r>
        <w:t xml:space="preserve">When a requesting account holder has given, </w:t>
      </w:r>
      <w:proofErr w:type="gramStart"/>
      <w:r>
        <w:t>amended</w:t>
      </w:r>
      <w:proofErr w:type="gramEnd"/>
      <w:r>
        <w:t xml:space="preserve"> or withdrawn an authorisation to disclose requested joint account data, the data holder must notify the other account holders of this. Data holders must also notify the </w:t>
      </w:r>
      <w:r w:rsidR="00B66EE0">
        <w:t>requester</w:t>
      </w:r>
      <w:r>
        <w:t xml:space="preserve"> when another account holder has not approved, or has withdrawn their approval for, disclosure of the requested data. Data holders must provide for joint account holders to select alternative frequencies of receiving communications from the data holder, including notifications about authorisations and approvals. This may include not receiving any notifications. </w:t>
      </w:r>
      <w:r w:rsidR="00170529" w:rsidRPr="008E246B">
        <w:t xml:space="preserve">The </w:t>
      </w:r>
      <w:r w:rsidR="00431583" w:rsidRPr="008E246B">
        <w:t xml:space="preserve">standard maximum </w:t>
      </w:r>
      <w:r w:rsidR="00170529" w:rsidRPr="008E246B">
        <w:t xml:space="preserve">civil penalty </w:t>
      </w:r>
      <w:r w:rsidR="00431583" w:rsidRPr="008E246B">
        <w:t xml:space="preserve">for CDR Rule breaches applies for a contravention. A robust penalty setting is important to </w:t>
      </w:r>
      <w:r w:rsidR="00431583" w:rsidRPr="00431583">
        <w:t>ensure</w:t>
      </w:r>
      <w:r w:rsidR="00170529" w:rsidRPr="00431583">
        <w:t xml:space="preserve"> consumers are aware of, and have control over access to, their joint account data.</w:t>
      </w:r>
      <w:r w:rsidR="00170529" w:rsidRPr="00413975">
        <w:rPr>
          <w:rStyle w:val="base-text-paragraphChar"/>
          <w:b/>
          <w:bCs/>
          <w:i/>
          <w:iCs/>
          <w:sz w:val="18"/>
          <w:szCs w:val="18"/>
        </w:rPr>
        <w:t xml:space="preserve"> </w:t>
      </w:r>
      <w:r w:rsidRPr="00413975">
        <w:rPr>
          <w:rStyle w:val="base-text-paragraphChar"/>
          <w:b/>
          <w:bCs/>
          <w:i/>
          <w:iCs/>
          <w:sz w:val="18"/>
          <w:szCs w:val="18"/>
        </w:rPr>
        <w:t xml:space="preserve">[Schedule </w:t>
      </w:r>
      <w:r>
        <w:rPr>
          <w:rStyle w:val="base-text-paragraphChar"/>
          <w:b/>
          <w:bCs/>
          <w:i/>
          <w:iCs/>
          <w:sz w:val="18"/>
          <w:szCs w:val="18"/>
        </w:rPr>
        <w:t>4</w:t>
      </w:r>
      <w:r w:rsidRPr="00413975">
        <w:rPr>
          <w:rStyle w:val="base-text-paragraphChar"/>
          <w:b/>
          <w:bCs/>
          <w:i/>
          <w:iCs/>
          <w:sz w:val="18"/>
          <w:szCs w:val="18"/>
        </w:rPr>
        <w:t>, item</w:t>
      </w:r>
      <w:r>
        <w:rPr>
          <w:rStyle w:val="base-text-paragraphChar"/>
          <w:b/>
          <w:bCs/>
          <w:i/>
          <w:iCs/>
          <w:sz w:val="18"/>
          <w:szCs w:val="18"/>
        </w:rPr>
        <w:t xml:space="preserve"> 14, rule 4A.14</w:t>
      </w:r>
      <w:r w:rsidR="00B64639">
        <w:rPr>
          <w:rStyle w:val="base-text-paragraphChar"/>
          <w:b/>
          <w:bCs/>
          <w:i/>
          <w:iCs/>
          <w:sz w:val="18"/>
          <w:szCs w:val="18"/>
        </w:rPr>
        <w:t xml:space="preserve">, and </w:t>
      </w:r>
      <w:r w:rsidR="00B64639" w:rsidRPr="00AC24B6">
        <w:rPr>
          <w:b/>
          <w:bCs/>
          <w:i/>
          <w:iCs/>
          <w:sz w:val="18"/>
          <w:szCs w:val="18"/>
        </w:rPr>
        <w:t>Schedule 6, item 21, rule 9.8(</w:t>
      </w:r>
      <w:proofErr w:type="spellStart"/>
      <w:r w:rsidR="00D63EA3">
        <w:rPr>
          <w:b/>
          <w:bCs/>
          <w:i/>
          <w:iCs/>
          <w:sz w:val="18"/>
          <w:szCs w:val="18"/>
        </w:rPr>
        <w:t>ll</w:t>
      </w:r>
      <w:proofErr w:type="spellEnd"/>
      <w:r w:rsidR="00B64639" w:rsidRPr="00AC24B6">
        <w:rPr>
          <w:b/>
          <w:bCs/>
          <w:i/>
          <w:iCs/>
          <w:sz w:val="18"/>
          <w:szCs w:val="18"/>
        </w:rPr>
        <w:t>)-(</w:t>
      </w:r>
      <w:r w:rsidR="00B64639">
        <w:rPr>
          <w:b/>
          <w:bCs/>
          <w:i/>
          <w:iCs/>
          <w:sz w:val="18"/>
          <w:szCs w:val="18"/>
        </w:rPr>
        <w:t>mm</w:t>
      </w:r>
      <w:r w:rsidR="00B64639" w:rsidRPr="00AC24B6">
        <w:rPr>
          <w:b/>
          <w:bCs/>
          <w:i/>
          <w:iCs/>
          <w:sz w:val="18"/>
          <w:szCs w:val="18"/>
        </w:rPr>
        <w:t>)]</w:t>
      </w:r>
    </w:p>
    <w:p w14:paraId="695F54B3" w14:textId="47239202" w:rsidR="00023CDF" w:rsidRPr="0050677C" w:rsidRDefault="00023CDF" w:rsidP="008E0360">
      <w:pPr>
        <w:pStyle w:val="ExampleHeading"/>
        <w:ind w:left="1211"/>
        <w:rPr>
          <w:lang w:val="en-US"/>
        </w:rPr>
      </w:pPr>
      <w:r>
        <w:rPr>
          <w:lang w:val="en-US"/>
        </w:rPr>
        <w:t xml:space="preserve">Example </w:t>
      </w:r>
      <w:r w:rsidR="00102861">
        <w:rPr>
          <w:lang w:val="en-US"/>
        </w:rPr>
        <w:t>9</w:t>
      </w:r>
      <w:r>
        <w:rPr>
          <w:lang w:val="en-US"/>
        </w:rPr>
        <w:t xml:space="preserve">: </w:t>
      </w:r>
      <w:r w:rsidRPr="0050677C">
        <w:rPr>
          <w:lang w:val="en-US"/>
        </w:rPr>
        <w:t xml:space="preserve">Joint account holder initiates data sharing on a joint account under the </w:t>
      </w:r>
      <w:r w:rsidRPr="00A45CC2">
        <w:rPr>
          <w:lang w:val="en-US"/>
        </w:rPr>
        <w:t>single consent</w:t>
      </w:r>
      <w:r w:rsidRPr="0050677C">
        <w:rPr>
          <w:lang w:val="en-US"/>
        </w:rPr>
        <w:t xml:space="preserve"> </w:t>
      </w:r>
      <w:r>
        <w:t>model for data sharing</w:t>
      </w:r>
      <w:r w:rsidRPr="0050677C">
        <w:rPr>
          <w:lang w:val="en-US"/>
        </w:rPr>
        <w:t xml:space="preserve"> </w:t>
      </w:r>
    </w:p>
    <w:p w14:paraId="09414720" w14:textId="77777777" w:rsidR="00023CDF" w:rsidRPr="0050677C" w:rsidRDefault="00023CDF" w:rsidP="008E0360">
      <w:pPr>
        <w:pStyle w:val="Dotpoint"/>
        <w:numPr>
          <w:ilvl w:val="0"/>
          <w:numId w:val="0"/>
        </w:numPr>
        <w:ind w:left="1211"/>
        <w:rPr>
          <w:sz w:val="22"/>
          <w:szCs w:val="22"/>
        </w:rPr>
      </w:pPr>
      <w:r w:rsidRPr="0050677C">
        <w:rPr>
          <w:sz w:val="22"/>
          <w:szCs w:val="22"/>
        </w:rPr>
        <w:t xml:space="preserve">Bob and Erin have a joint account with Peanuts Bank. The default pre-approval disclosure option applies to the joint account </w:t>
      </w:r>
      <w:r>
        <w:rPr>
          <w:sz w:val="22"/>
          <w:szCs w:val="22"/>
        </w:rPr>
        <w:t>which means that the joint account is available for sharing</w:t>
      </w:r>
      <w:r w:rsidRPr="0050677C">
        <w:rPr>
          <w:sz w:val="22"/>
          <w:szCs w:val="22"/>
        </w:rPr>
        <w:t xml:space="preserve">. </w:t>
      </w:r>
    </w:p>
    <w:p w14:paraId="28523FEA" w14:textId="171BC305" w:rsidR="00023CDF" w:rsidRPr="0050677C" w:rsidRDefault="00023CDF" w:rsidP="008E0360">
      <w:pPr>
        <w:pStyle w:val="Dotpoint"/>
        <w:numPr>
          <w:ilvl w:val="0"/>
          <w:numId w:val="0"/>
        </w:numPr>
        <w:ind w:left="1211"/>
        <w:rPr>
          <w:sz w:val="22"/>
          <w:szCs w:val="22"/>
        </w:rPr>
      </w:pPr>
      <w:r w:rsidRPr="0050677C">
        <w:rPr>
          <w:sz w:val="22"/>
          <w:szCs w:val="22"/>
        </w:rPr>
        <w:t xml:space="preserve">Erin wishes to share data from the joint account with </w:t>
      </w:r>
      <w:r w:rsidR="004261FB">
        <w:rPr>
          <w:sz w:val="22"/>
          <w:szCs w:val="22"/>
        </w:rPr>
        <w:t>Green</w:t>
      </w:r>
      <w:r w:rsidR="004261FB" w:rsidRPr="0050677C">
        <w:rPr>
          <w:sz w:val="22"/>
          <w:szCs w:val="22"/>
        </w:rPr>
        <w:t xml:space="preserve"> </w:t>
      </w:r>
      <w:r w:rsidRPr="0050677C">
        <w:rPr>
          <w:sz w:val="22"/>
          <w:szCs w:val="22"/>
        </w:rPr>
        <w:t xml:space="preserve">Savers, an </w:t>
      </w:r>
      <w:r>
        <w:rPr>
          <w:sz w:val="22"/>
          <w:szCs w:val="22"/>
        </w:rPr>
        <w:t>accredited person</w:t>
      </w:r>
      <w:r w:rsidRPr="0050677C">
        <w:rPr>
          <w:sz w:val="22"/>
          <w:szCs w:val="22"/>
        </w:rPr>
        <w:t xml:space="preserve">. She gives her consent to </w:t>
      </w:r>
      <w:r w:rsidR="00C90C59">
        <w:rPr>
          <w:sz w:val="22"/>
          <w:szCs w:val="22"/>
        </w:rPr>
        <w:t>Green</w:t>
      </w:r>
      <w:r w:rsidR="00C90C59" w:rsidRPr="0050677C">
        <w:rPr>
          <w:sz w:val="22"/>
          <w:szCs w:val="22"/>
        </w:rPr>
        <w:t xml:space="preserve"> </w:t>
      </w:r>
      <w:r w:rsidRPr="0050677C">
        <w:rPr>
          <w:sz w:val="22"/>
          <w:szCs w:val="22"/>
        </w:rPr>
        <w:t xml:space="preserve">Savers to collect data on the joint account and provides her authorisation to Peanuts Bank to disclose the data. Peanuts Bank discloses the data to </w:t>
      </w:r>
      <w:r w:rsidR="00C90C59">
        <w:rPr>
          <w:sz w:val="22"/>
          <w:szCs w:val="22"/>
        </w:rPr>
        <w:t>Green</w:t>
      </w:r>
      <w:r w:rsidRPr="0050677C">
        <w:rPr>
          <w:sz w:val="22"/>
          <w:szCs w:val="22"/>
        </w:rPr>
        <w:t xml:space="preserve"> Savers. Peanuts Bank sends a notification to Bob that Erin has authorised the disclosure of data on the joint account to </w:t>
      </w:r>
      <w:r w:rsidR="00A95429">
        <w:rPr>
          <w:sz w:val="22"/>
          <w:szCs w:val="22"/>
        </w:rPr>
        <w:t>Green</w:t>
      </w:r>
      <w:r w:rsidR="00A95429" w:rsidRPr="0050677C">
        <w:rPr>
          <w:sz w:val="22"/>
          <w:szCs w:val="22"/>
        </w:rPr>
        <w:t xml:space="preserve"> </w:t>
      </w:r>
      <w:r w:rsidRPr="0050677C">
        <w:rPr>
          <w:sz w:val="22"/>
          <w:szCs w:val="22"/>
        </w:rPr>
        <w:t xml:space="preserve">Savers. Peanuts Bank also updates Bob and Erin’s </w:t>
      </w:r>
      <w:r>
        <w:rPr>
          <w:sz w:val="22"/>
          <w:szCs w:val="22"/>
        </w:rPr>
        <w:t xml:space="preserve">consumer </w:t>
      </w:r>
      <w:r w:rsidRPr="0050677C">
        <w:rPr>
          <w:sz w:val="22"/>
          <w:szCs w:val="22"/>
        </w:rPr>
        <w:t>dashboard to reflect details of the sharing arrangement.</w:t>
      </w:r>
    </w:p>
    <w:p w14:paraId="1FA934C0" w14:textId="0A187FDF" w:rsidR="004512F1" w:rsidRPr="000C383B" w:rsidRDefault="002509EF" w:rsidP="008E0360">
      <w:pPr>
        <w:spacing w:before="240"/>
        <w:ind w:right="91"/>
        <w:rPr>
          <w:i/>
          <w:iCs/>
        </w:rPr>
      </w:pPr>
      <w:r>
        <w:rPr>
          <w:i/>
          <w:iCs/>
        </w:rPr>
        <w:lastRenderedPageBreak/>
        <w:t>C</w:t>
      </w:r>
      <w:r w:rsidR="004512F1" w:rsidRPr="000C383B">
        <w:rPr>
          <w:i/>
          <w:iCs/>
        </w:rPr>
        <w:t xml:space="preserve">hanging disclosure options </w:t>
      </w:r>
    </w:p>
    <w:p w14:paraId="35E12310" w14:textId="7DD023B4" w:rsidR="00BB1EDC" w:rsidRDefault="00BB1EDC" w:rsidP="008E0360">
      <w:pPr>
        <w:pStyle w:val="base-text-paragraph"/>
        <w:ind w:left="0"/>
      </w:pPr>
      <w:bookmarkStart w:id="14" w:name="_Hlk82613882"/>
      <w:bookmarkStart w:id="15" w:name="_Hlk82613043"/>
      <w:r>
        <w:t xml:space="preserve">Data holders must provide joint account holders with an online service called the disclosure option management service that joint account holders can use to change, propose a change </w:t>
      </w:r>
      <w:r w:rsidR="000C1CA3">
        <w:t>to</w:t>
      </w:r>
      <w:r>
        <w:t xml:space="preserve"> and respond to a proposal to change the disclosure option that applies to the account. </w:t>
      </w:r>
      <w:bookmarkStart w:id="16" w:name="_Hlk82613496"/>
      <w:r>
        <w:t xml:space="preserve">If the data holder already provides a consumer dashboard to an account holder, that account holder’s </w:t>
      </w:r>
      <w:r w:rsidR="00BB4413">
        <w:t>disclosure option management service</w:t>
      </w:r>
      <w:r>
        <w:t xml:space="preserve"> may be included in their dashboard</w:t>
      </w:r>
      <w:bookmarkEnd w:id="16"/>
      <w:r>
        <w:t xml:space="preserve">. </w:t>
      </w:r>
      <w:bookmarkEnd w:id="14"/>
      <w:r w:rsidR="00E44B6C">
        <w:t>The requirement for data holders to ensure joint account holders have this service is a civil penalty provision, reflecting the critical importance such a service has to a consumer’s ability to be aware of, and control access to, their joint account data.</w:t>
      </w:r>
      <w:r w:rsidR="00E44B6C" w:rsidRPr="00413975">
        <w:rPr>
          <w:rStyle w:val="base-text-paragraphChar"/>
          <w:b/>
          <w:bCs/>
          <w:i/>
          <w:iCs/>
          <w:sz w:val="18"/>
          <w:szCs w:val="18"/>
        </w:rPr>
        <w:t xml:space="preserve"> </w:t>
      </w:r>
      <w:r w:rsidRPr="00413975">
        <w:rPr>
          <w:rStyle w:val="base-text-paragraphChar"/>
          <w:b/>
          <w:bCs/>
          <w:i/>
          <w:iCs/>
          <w:sz w:val="18"/>
          <w:szCs w:val="18"/>
        </w:rPr>
        <w:t xml:space="preserve">[Schedule </w:t>
      </w:r>
      <w:r>
        <w:rPr>
          <w:rStyle w:val="base-text-paragraphChar"/>
          <w:b/>
          <w:bCs/>
          <w:i/>
          <w:iCs/>
          <w:sz w:val="18"/>
          <w:szCs w:val="18"/>
        </w:rPr>
        <w:t>4</w:t>
      </w:r>
      <w:r w:rsidRPr="00413975">
        <w:rPr>
          <w:rStyle w:val="base-text-paragraphChar"/>
          <w:b/>
          <w:bCs/>
          <w:i/>
          <w:iCs/>
          <w:sz w:val="18"/>
          <w:szCs w:val="18"/>
        </w:rPr>
        <w:t>, item</w:t>
      </w:r>
      <w:r>
        <w:rPr>
          <w:rStyle w:val="base-text-paragraphChar"/>
          <w:b/>
          <w:bCs/>
          <w:i/>
          <w:iCs/>
          <w:sz w:val="18"/>
          <w:szCs w:val="18"/>
        </w:rPr>
        <w:t xml:space="preserve"> 14, rule 4A.6</w:t>
      </w:r>
      <w:r w:rsidRPr="00413975">
        <w:rPr>
          <w:rStyle w:val="base-text-paragraphChar"/>
          <w:b/>
          <w:bCs/>
          <w:i/>
          <w:iCs/>
          <w:sz w:val="18"/>
          <w:szCs w:val="18"/>
        </w:rPr>
        <w:t>]</w:t>
      </w:r>
    </w:p>
    <w:p w14:paraId="190ADEE7" w14:textId="66732331" w:rsidR="00BB1EDC" w:rsidRDefault="00BB4413" w:rsidP="008E0360">
      <w:pPr>
        <w:pStyle w:val="base-text-paragraph"/>
        <w:ind w:left="0"/>
      </w:pPr>
      <w:bookmarkStart w:id="17" w:name="_Hlk82613838"/>
      <w:r>
        <w:t xml:space="preserve">Any joint account holder may at any time, using the disclosure option management service, </w:t>
      </w:r>
      <w:r w:rsidR="009203B7">
        <w:t>set</w:t>
      </w:r>
      <w:r w:rsidR="00BB1EDC">
        <w:t xml:space="preserve"> </w:t>
      </w:r>
      <w:r>
        <w:t>the non-disclosure</w:t>
      </w:r>
      <w:r w:rsidR="00BB1EDC">
        <w:t xml:space="preserve"> option </w:t>
      </w:r>
      <w:r w:rsidR="009203B7">
        <w:t xml:space="preserve">as applying </w:t>
      </w:r>
      <w:r w:rsidR="00BB1EDC">
        <w:t>to the account</w:t>
      </w:r>
      <w:r>
        <w:t>. I</w:t>
      </w:r>
      <w:r w:rsidR="00BB1EDC">
        <w:t>f pre-approval applies</w:t>
      </w:r>
      <w:r>
        <w:t xml:space="preserve"> to a joint account,</w:t>
      </w:r>
      <w:r w:rsidR="00BB1EDC">
        <w:t xml:space="preserve"> any account holder may</w:t>
      </w:r>
      <w:r>
        <w:t xml:space="preserve"> </w:t>
      </w:r>
      <w:r w:rsidR="00BB1EDC">
        <w:t xml:space="preserve">at any time, change </w:t>
      </w:r>
      <w:r w:rsidR="000C1CA3">
        <w:t xml:space="preserve">the disclosure option on the account </w:t>
      </w:r>
      <w:r w:rsidR="00BB1EDC">
        <w:t xml:space="preserve">to have </w:t>
      </w:r>
      <w:r w:rsidR="009203B7">
        <w:t xml:space="preserve">the </w:t>
      </w:r>
      <w:r w:rsidR="00BB1EDC">
        <w:t xml:space="preserve">co-approval </w:t>
      </w:r>
      <w:r w:rsidR="009203B7">
        <w:t xml:space="preserve">option </w:t>
      </w:r>
      <w:r w:rsidR="00BB1EDC">
        <w:t xml:space="preserve">apply </w:t>
      </w:r>
      <w:r w:rsidR="009203B7">
        <w:t>(</w:t>
      </w:r>
      <w:r w:rsidR="00BB1EDC">
        <w:t>if this option is offered by the data holder</w:t>
      </w:r>
      <w:bookmarkEnd w:id="17"/>
      <w:r w:rsidR="009203B7">
        <w:t>)</w:t>
      </w:r>
      <w:r w:rsidR="00BB1EDC">
        <w:t xml:space="preserve">. </w:t>
      </w:r>
      <w:r w:rsidR="002509EF">
        <w:t xml:space="preserve">Data holders must notify the other joint account holders if the disclosure option has been </w:t>
      </w:r>
      <w:r w:rsidR="00D73317">
        <w:t xml:space="preserve">changed to non-disclosure or co-approval under this rule. </w:t>
      </w:r>
      <w:r w:rsidR="00BB1EDC" w:rsidRPr="00413975">
        <w:rPr>
          <w:rStyle w:val="base-text-paragraphChar"/>
          <w:b/>
          <w:bCs/>
          <w:i/>
          <w:iCs/>
          <w:sz w:val="18"/>
          <w:szCs w:val="18"/>
        </w:rPr>
        <w:t xml:space="preserve">[Schedule </w:t>
      </w:r>
      <w:r w:rsidR="00BB1EDC">
        <w:rPr>
          <w:rStyle w:val="base-text-paragraphChar"/>
          <w:b/>
          <w:bCs/>
          <w:i/>
          <w:iCs/>
          <w:sz w:val="18"/>
          <w:szCs w:val="18"/>
        </w:rPr>
        <w:t>4</w:t>
      </w:r>
      <w:r w:rsidR="00BB1EDC" w:rsidRPr="00413975">
        <w:rPr>
          <w:rStyle w:val="base-text-paragraphChar"/>
          <w:b/>
          <w:bCs/>
          <w:i/>
          <w:iCs/>
          <w:sz w:val="18"/>
          <w:szCs w:val="18"/>
        </w:rPr>
        <w:t>, item</w:t>
      </w:r>
      <w:r w:rsidR="00BB1EDC">
        <w:rPr>
          <w:rStyle w:val="base-text-paragraphChar"/>
          <w:b/>
          <w:bCs/>
          <w:i/>
          <w:iCs/>
          <w:sz w:val="18"/>
          <w:szCs w:val="18"/>
        </w:rPr>
        <w:t xml:space="preserve"> 14, rule 4A.7</w:t>
      </w:r>
      <w:r w:rsidR="00BB1EDC" w:rsidRPr="00413975">
        <w:rPr>
          <w:rStyle w:val="base-text-paragraphChar"/>
          <w:b/>
          <w:bCs/>
          <w:i/>
          <w:iCs/>
          <w:sz w:val="18"/>
          <w:szCs w:val="18"/>
        </w:rPr>
        <w:t>]</w:t>
      </w:r>
    </w:p>
    <w:p w14:paraId="332AAF6B" w14:textId="025155A7" w:rsidR="00F10A9E" w:rsidRDefault="00BB1EDC" w:rsidP="008E0360">
      <w:pPr>
        <w:spacing w:before="240"/>
        <w:ind w:right="91"/>
        <w:rPr>
          <w:rStyle w:val="base-text-paragraphChar"/>
          <w:b/>
          <w:i/>
          <w:sz w:val="18"/>
          <w:szCs w:val="18"/>
        </w:rPr>
      </w:pPr>
      <w:r>
        <w:t xml:space="preserve">A joint account holder may </w:t>
      </w:r>
      <w:r w:rsidR="00D73317">
        <w:t xml:space="preserve">propose to </w:t>
      </w:r>
      <w:r>
        <w:t>change</w:t>
      </w:r>
      <w:r w:rsidR="00736C9B">
        <w:t xml:space="preserve"> the disclosure option</w:t>
      </w:r>
      <w:r>
        <w:t xml:space="preserve"> </w:t>
      </w:r>
      <w:r w:rsidR="00736C9B">
        <w:t xml:space="preserve">from </w:t>
      </w:r>
      <w:r w:rsidR="009203B7">
        <w:t xml:space="preserve">the </w:t>
      </w:r>
      <w:r w:rsidR="00736C9B">
        <w:t xml:space="preserve">non-disclosure </w:t>
      </w:r>
      <w:r w:rsidR="009203B7">
        <w:t xml:space="preserve">option </w:t>
      </w:r>
      <w:r w:rsidR="00736C9B">
        <w:t xml:space="preserve">to </w:t>
      </w:r>
      <w:r w:rsidR="009203B7">
        <w:t xml:space="preserve">the </w:t>
      </w:r>
      <w:r w:rsidR="00736C9B">
        <w:t>co-approval or pre-approval</w:t>
      </w:r>
      <w:r w:rsidR="009203B7">
        <w:t xml:space="preserve"> option</w:t>
      </w:r>
      <w:r w:rsidR="00085E51">
        <w:t>,</w:t>
      </w:r>
      <w:r w:rsidR="00736C9B">
        <w:t xml:space="preserve"> or from </w:t>
      </w:r>
      <w:r w:rsidR="009203B7">
        <w:t xml:space="preserve">the </w:t>
      </w:r>
      <w:r>
        <w:t xml:space="preserve">co-approval </w:t>
      </w:r>
      <w:r w:rsidR="009203B7">
        <w:t xml:space="preserve">option </w:t>
      </w:r>
      <w:r>
        <w:t xml:space="preserve">to </w:t>
      </w:r>
      <w:r w:rsidR="009203B7">
        <w:t xml:space="preserve">the </w:t>
      </w:r>
      <w:r>
        <w:t>pre-approval</w:t>
      </w:r>
      <w:r w:rsidR="009203B7">
        <w:t xml:space="preserve"> option</w:t>
      </w:r>
      <w:r w:rsidR="00736C9B">
        <w:t>, using the disclosure option management service</w:t>
      </w:r>
      <w:r>
        <w:t xml:space="preserve">. </w:t>
      </w:r>
      <w:r w:rsidR="00D73317">
        <w:t xml:space="preserve">If such a </w:t>
      </w:r>
      <w:r w:rsidR="00736C9B">
        <w:t>change is proposed</w:t>
      </w:r>
      <w:r w:rsidR="00D73317">
        <w:t xml:space="preserve">, the data holder must contact the other account holders to explain the proposal and invite them to agree or not agree to the change within a specified period. </w:t>
      </w:r>
      <w:r w:rsidR="00FC2585">
        <w:t xml:space="preserve">The specified period is not defined in the rules but should be consistent with </w:t>
      </w:r>
      <w:r w:rsidR="00E44B6C">
        <w:t>a</w:t>
      </w:r>
      <w:r w:rsidR="00FC2585">
        <w:t xml:space="preserve"> data holder’s non-CDR services and requests. </w:t>
      </w:r>
      <w:bookmarkEnd w:id="15"/>
      <w:r w:rsidRPr="00413975">
        <w:rPr>
          <w:rStyle w:val="base-text-paragraphChar"/>
          <w:b/>
          <w:bCs/>
          <w:i/>
          <w:iCs/>
          <w:sz w:val="18"/>
          <w:szCs w:val="18"/>
        </w:rPr>
        <w:t xml:space="preserve">[Schedule </w:t>
      </w:r>
      <w:r>
        <w:rPr>
          <w:rStyle w:val="base-text-paragraphChar"/>
          <w:b/>
          <w:bCs/>
          <w:i/>
          <w:iCs/>
          <w:sz w:val="18"/>
          <w:szCs w:val="18"/>
        </w:rPr>
        <w:t>4</w:t>
      </w:r>
      <w:r w:rsidRPr="00413975">
        <w:rPr>
          <w:rStyle w:val="base-text-paragraphChar"/>
          <w:b/>
          <w:bCs/>
          <w:i/>
          <w:iCs/>
          <w:sz w:val="18"/>
          <w:szCs w:val="18"/>
        </w:rPr>
        <w:t>, item</w:t>
      </w:r>
      <w:r>
        <w:rPr>
          <w:rStyle w:val="base-text-paragraphChar"/>
          <w:b/>
          <w:bCs/>
          <w:i/>
          <w:iCs/>
          <w:sz w:val="18"/>
          <w:szCs w:val="18"/>
        </w:rPr>
        <w:t xml:space="preserve"> 14, rule</w:t>
      </w:r>
      <w:r w:rsidR="00882774">
        <w:rPr>
          <w:rStyle w:val="base-text-paragraphChar"/>
          <w:b/>
          <w:bCs/>
          <w:i/>
          <w:iCs/>
          <w:sz w:val="18"/>
          <w:szCs w:val="18"/>
        </w:rPr>
        <w:t> </w:t>
      </w:r>
      <w:r>
        <w:rPr>
          <w:rStyle w:val="base-text-paragraphChar"/>
          <w:b/>
          <w:bCs/>
          <w:i/>
          <w:iCs/>
          <w:sz w:val="18"/>
          <w:szCs w:val="18"/>
        </w:rPr>
        <w:t>4A.8</w:t>
      </w:r>
      <w:r w:rsidRPr="00413975">
        <w:rPr>
          <w:rStyle w:val="base-text-paragraphChar"/>
          <w:b/>
          <w:bCs/>
          <w:i/>
          <w:iCs/>
          <w:sz w:val="18"/>
          <w:szCs w:val="18"/>
        </w:rPr>
        <w:t>]</w:t>
      </w:r>
    </w:p>
    <w:p w14:paraId="5E2F7D8F" w14:textId="64D7A778" w:rsidR="00E44B6C" w:rsidRPr="006255C0" w:rsidRDefault="008E246B" w:rsidP="008E0360">
      <w:pPr>
        <w:spacing w:before="240"/>
        <w:ind w:right="91"/>
      </w:pPr>
      <w:r w:rsidRPr="008E246B">
        <w:t xml:space="preserve">The standard maximum civil penalty for CDR Rule breaches applies for a contravention of </w:t>
      </w:r>
      <w:r w:rsidR="00CD0868">
        <w:t xml:space="preserve">new </w:t>
      </w:r>
      <w:r w:rsidRPr="008E246B">
        <w:t>rules</w:t>
      </w:r>
      <w:r>
        <w:t xml:space="preserve"> 4A.6,</w:t>
      </w:r>
      <w:r w:rsidRPr="008E246B">
        <w:t xml:space="preserve"> 4A.7 and 4A.8. A robust penalty setting is important to </w:t>
      </w:r>
      <w:r w:rsidR="00957D83" w:rsidRPr="003D204A">
        <w:t>ensur</w:t>
      </w:r>
      <w:r w:rsidRPr="003D204A">
        <w:t>e</w:t>
      </w:r>
      <w:r w:rsidR="00957D83" w:rsidRPr="003D204A">
        <w:t xml:space="preserve"> consumers are aware of, and have control over access to, their joint account data.</w:t>
      </w:r>
      <w:r>
        <w:t xml:space="preserve"> </w:t>
      </w:r>
      <w:r w:rsidRPr="00AC24B6">
        <w:rPr>
          <w:b/>
          <w:bCs/>
          <w:i/>
          <w:iCs/>
          <w:sz w:val="18"/>
          <w:szCs w:val="18"/>
        </w:rPr>
        <w:t>[Schedule 6, item 21, rule 9.8(</w:t>
      </w:r>
      <w:r>
        <w:rPr>
          <w:b/>
          <w:bCs/>
          <w:i/>
          <w:iCs/>
          <w:sz w:val="18"/>
          <w:szCs w:val="18"/>
        </w:rPr>
        <w:t>gg</w:t>
      </w:r>
      <w:r w:rsidRPr="00AC24B6">
        <w:rPr>
          <w:b/>
          <w:bCs/>
          <w:i/>
          <w:iCs/>
          <w:sz w:val="18"/>
          <w:szCs w:val="18"/>
        </w:rPr>
        <w:t>)-(</w:t>
      </w:r>
      <w:proofErr w:type="spellStart"/>
      <w:r>
        <w:rPr>
          <w:b/>
          <w:bCs/>
          <w:i/>
          <w:iCs/>
          <w:sz w:val="18"/>
          <w:szCs w:val="18"/>
        </w:rPr>
        <w:t>jj</w:t>
      </w:r>
      <w:proofErr w:type="spellEnd"/>
      <w:r w:rsidRPr="00AC24B6">
        <w:rPr>
          <w:b/>
          <w:bCs/>
          <w:i/>
          <w:iCs/>
          <w:sz w:val="18"/>
          <w:szCs w:val="18"/>
        </w:rPr>
        <w:t>)]</w:t>
      </w:r>
    </w:p>
    <w:p w14:paraId="156EED49" w14:textId="4FB8723E" w:rsidR="00C37C37" w:rsidRPr="0050677C" w:rsidRDefault="00C37C37" w:rsidP="008E0360">
      <w:pPr>
        <w:pStyle w:val="ExampleHeading"/>
        <w:ind w:left="1211"/>
        <w:rPr>
          <w:lang w:val="en-US"/>
        </w:rPr>
      </w:pPr>
      <w:r>
        <w:rPr>
          <w:lang w:val="en-US"/>
        </w:rPr>
        <w:t>Example 1</w:t>
      </w:r>
      <w:r w:rsidR="00102861">
        <w:rPr>
          <w:lang w:val="en-US"/>
        </w:rPr>
        <w:t>0</w:t>
      </w:r>
      <w:r>
        <w:rPr>
          <w:lang w:val="en-US"/>
        </w:rPr>
        <w:t xml:space="preserve">: </w:t>
      </w:r>
      <w:r w:rsidRPr="0050677C">
        <w:rPr>
          <w:lang w:val="en-US"/>
        </w:rPr>
        <w:t xml:space="preserve">Joint account holder turns sharing setting ‘off’ on a joint account </w:t>
      </w:r>
    </w:p>
    <w:p w14:paraId="5B91D280" w14:textId="4D4E07B0" w:rsidR="00C37C37" w:rsidRPr="0050677C" w:rsidRDefault="00C37C37" w:rsidP="008E0360">
      <w:pPr>
        <w:pStyle w:val="Dotpoint"/>
        <w:numPr>
          <w:ilvl w:val="0"/>
          <w:numId w:val="0"/>
        </w:numPr>
        <w:ind w:left="1211"/>
        <w:rPr>
          <w:sz w:val="22"/>
          <w:szCs w:val="22"/>
        </w:rPr>
      </w:pPr>
      <w:r w:rsidRPr="0050677C">
        <w:rPr>
          <w:sz w:val="22"/>
          <w:szCs w:val="22"/>
        </w:rPr>
        <w:t xml:space="preserve">Bob decides to set his data sharing preference to ‘off’ </w:t>
      </w:r>
      <w:r w:rsidR="007736B3">
        <w:rPr>
          <w:sz w:val="22"/>
          <w:szCs w:val="22"/>
        </w:rPr>
        <w:t>to</w:t>
      </w:r>
      <w:r w:rsidRPr="0050677C">
        <w:rPr>
          <w:sz w:val="22"/>
          <w:szCs w:val="22"/>
        </w:rPr>
        <w:t xml:space="preserve"> stop data sharing on </w:t>
      </w:r>
      <w:r>
        <w:rPr>
          <w:sz w:val="22"/>
          <w:szCs w:val="22"/>
        </w:rPr>
        <w:t>the</w:t>
      </w:r>
      <w:r w:rsidRPr="0050677C">
        <w:rPr>
          <w:sz w:val="22"/>
          <w:szCs w:val="22"/>
        </w:rPr>
        <w:t xml:space="preserve"> joint account</w:t>
      </w:r>
      <w:r w:rsidR="007736B3">
        <w:rPr>
          <w:sz w:val="22"/>
          <w:szCs w:val="22"/>
        </w:rPr>
        <w:t xml:space="preserve"> and uses the disclosure option management service to have the non-disclosure option apply to the account</w:t>
      </w:r>
      <w:r w:rsidR="00973534" w:rsidRPr="0050677C">
        <w:rPr>
          <w:sz w:val="22"/>
          <w:szCs w:val="22"/>
        </w:rPr>
        <w:t>.</w:t>
      </w:r>
      <w:r w:rsidRPr="0050677C">
        <w:rPr>
          <w:sz w:val="22"/>
          <w:szCs w:val="22"/>
        </w:rPr>
        <w:t xml:space="preserve"> </w:t>
      </w:r>
    </w:p>
    <w:p w14:paraId="04454F32" w14:textId="30851144" w:rsidR="00C37C37" w:rsidRPr="0050677C" w:rsidRDefault="00C37C37" w:rsidP="008E0360">
      <w:pPr>
        <w:pStyle w:val="Dotpoint"/>
        <w:numPr>
          <w:ilvl w:val="0"/>
          <w:numId w:val="0"/>
        </w:numPr>
        <w:ind w:left="1211"/>
        <w:rPr>
          <w:sz w:val="22"/>
          <w:szCs w:val="22"/>
        </w:rPr>
      </w:pPr>
      <w:r w:rsidRPr="0050677C">
        <w:rPr>
          <w:sz w:val="22"/>
          <w:szCs w:val="22"/>
        </w:rPr>
        <w:t xml:space="preserve">Peanuts Bank stops sharing data from the joint account with </w:t>
      </w:r>
      <w:r w:rsidR="001D1FE1">
        <w:rPr>
          <w:sz w:val="22"/>
          <w:szCs w:val="22"/>
        </w:rPr>
        <w:t>Green</w:t>
      </w:r>
      <w:r w:rsidR="001D1FE1" w:rsidRPr="0050677C">
        <w:rPr>
          <w:sz w:val="22"/>
          <w:szCs w:val="22"/>
        </w:rPr>
        <w:t xml:space="preserve"> </w:t>
      </w:r>
      <w:r w:rsidRPr="0050677C">
        <w:rPr>
          <w:sz w:val="22"/>
          <w:szCs w:val="22"/>
        </w:rPr>
        <w:t>Savers. Peanuts Bank contacts Erin using its ordinary means for contacting h</w:t>
      </w:r>
      <w:r>
        <w:rPr>
          <w:sz w:val="22"/>
          <w:szCs w:val="22"/>
        </w:rPr>
        <w:t>er</w:t>
      </w:r>
      <w:r w:rsidRPr="0050677C">
        <w:rPr>
          <w:sz w:val="22"/>
          <w:szCs w:val="22"/>
        </w:rPr>
        <w:t xml:space="preserve"> to notify h</w:t>
      </w:r>
      <w:r>
        <w:rPr>
          <w:sz w:val="22"/>
          <w:szCs w:val="22"/>
        </w:rPr>
        <w:t>er</w:t>
      </w:r>
      <w:r w:rsidRPr="0050677C">
        <w:rPr>
          <w:sz w:val="22"/>
          <w:szCs w:val="22"/>
        </w:rPr>
        <w:t xml:space="preserve"> that Bob </w:t>
      </w:r>
      <w:r>
        <w:rPr>
          <w:sz w:val="22"/>
          <w:szCs w:val="22"/>
        </w:rPr>
        <w:t>selected the non-disclosure option</w:t>
      </w:r>
      <w:r w:rsidRPr="0050677C">
        <w:rPr>
          <w:sz w:val="22"/>
          <w:szCs w:val="22"/>
        </w:rPr>
        <w:t xml:space="preserve">, and consequently </w:t>
      </w:r>
      <w:r>
        <w:rPr>
          <w:sz w:val="22"/>
          <w:szCs w:val="22"/>
        </w:rPr>
        <w:t xml:space="preserve">that </w:t>
      </w:r>
      <w:r w:rsidRPr="0050677C">
        <w:rPr>
          <w:sz w:val="22"/>
          <w:szCs w:val="22"/>
        </w:rPr>
        <w:t xml:space="preserve">disclosure option </w:t>
      </w:r>
      <w:r>
        <w:rPr>
          <w:sz w:val="22"/>
          <w:szCs w:val="22"/>
        </w:rPr>
        <w:t>now</w:t>
      </w:r>
      <w:r w:rsidRPr="0050677C">
        <w:rPr>
          <w:sz w:val="22"/>
          <w:szCs w:val="22"/>
        </w:rPr>
        <w:t xml:space="preserve"> applies to their joint account. Peanuts Bank also updates both Bob and Erin’s </w:t>
      </w:r>
      <w:r>
        <w:rPr>
          <w:sz w:val="22"/>
          <w:szCs w:val="22"/>
        </w:rPr>
        <w:t>consumer dashboard and</w:t>
      </w:r>
      <w:r w:rsidRPr="0050677C">
        <w:rPr>
          <w:sz w:val="22"/>
          <w:szCs w:val="22"/>
        </w:rPr>
        <w:t xml:space="preserve"> </w:t>
      </w:r>
      <w:r w:rsidR="004D4382">
        <w:rPr>
          <w:sz w:val="22"/>
          <w:szCs w:val="22"/>
        </w:rPr>
        <w:t>disclosure option management service</w:t>
      </w:r>
      <w:r w:rsidR="004D4382" w:rsidRPr="0050677C">
        <w:rPr>
          <w:sz w:val="22"/>
          <w:szCs w:val="22"/>
        </w:rPr>
        <w:t xml:space="preserve"> </w:t>
      </w:r>
      <w:r w:rsidRPr="0050677C">
        <w:rPr>
          <w:sz w:val="22"/>
          <w:szCs w:val="22"/>
        </w:rPr>
        <w:t xml:space="preserve">to show that </w:t>
      </w:r>
      <w:r>
        <w:rPr>
          <w:sz w:val="22"/>
          <w:szCs w:val="22"/>
        </w:rPr>
        <w:t>the non-</w:t>
      </w:r>
      <w:r w:rsidRPr="0050677C">
        <w:rPr>
          <w:sz w:val="22"/>
          <w:szCs w:val="22"/>
        </w:rPr>
        <w:t>disclosure option applies to their joint account.</w:t>
      </w:r>
    </w:p>
    <w:p w14:paraId="39239C4F" w14:textId="77777777" w:rsidR="004512F1" w:rsidRDefault="004512F1" w:rsidP="008E0360">
      <w:pPr>
        <w:spacing w:before="240"/>
        <w:ind w:right="91"/>
        <w:rPr>
          <w:i/>
          <w:iCs/>
        </w:rPr>
      </w:pPr>
      <w:r>
        <w:rPr>
          <w:i/>
          <w:iCs/>
        </w:rPr>
        <w:t xml:space="preserve">Secondary users of joint accounts </w:t>
      </w:r>
    </w:p>
    <w:p w14:paraId="263042B1" w14:textId="43684779" w:rsidR="004512F1" w:rsidRDefault="004512F1" w:rsidP="008E0360">
      <w:pPr>
        <w:pStyle w:val="base-text-paragraph"/>
        <w:ind w:left="0"/>
      </w:pPr>
      <w:r>
        <w:t>The CDR Rules include principles-based provisions relating to ‘</w:t>
      </w:r>
      <w:r w:rsidRPr="00FF783C">
        <w:t>secondary users’ of joint accounts</w:t>
      </w:r>
      <w:r>
        <w:t xml:space="preserve">. The </w:t>
      </w:r>
      <w:r w:rsidR="00C67373">
        <w:t xml:space="preserve">Amending </w:t>
      </w:r>
      <w:r>
        <w:t xml:space="preserve">Rules maintain these settings. That is, </w:t>
      </w:r>
      <w:proofErr w:type="gramStart"/>
      <w:r>
        <w:t>in order for</w:t>
      </w:r>
      <w:proofErr w:type="gramEnd"/>
      <w:r>
        <w:t xml:space="preserve"> a secondary user to be able to share data on a joint account, a secondary user instruction must be provided by an account holder.</w:t>
      </w:r>
    </w:p>
    <w:p w14:paraId="247B386D" w14:textId="77777777" w:rsidR="004512F1" w:rsidRDefault="004512F1" w:rsidP="008E0360">
      <w:pPr>
        <w:keepNext/>
        <w:spacing w:line="276" w:lineRule="auto"/>
      </w:pPr>
      <w:r>
        <w:lastRenderedPageBreak/>
        <w:t>The secondary user rules generally operate such that:</w:t>
      </w:r>
    </w:p>
    <w:p w14:paraId="263062F3" w14:textId="77777777" w:rsidR="004512F1" w:rsidRDefault="004512F1" w:rsidP="008E0360">
      <w:pPr>
        <w:pStyle w:val="Bullet"/>
        <w:spacing w:before="0"/>
      </w:pPr>
      <w:r>
        <w:t>if a pre-approval disclosure option applies to the joint account, secondary users can independently authorise data sharing on the account (if there is a secondary user instruction in place on the account</w:t>
      </w:r>
      <w:proofErr w:type="gramStart"/>
      <w:r>
        <w:t>);</w:t>
      </w:r>
      <w:proofErr w:type="gramEnd"/>
      <w:r>
        <w:t xml:space="preserve"> </w:t>
      </w:r>
    </w:p>
    <w:p w14:paraId="2950C458" w14:textId="1A6521C3" w:rsidR="004512F1" w:rsidRDefault="004512F1" w:rsidP="008E0360">
      <w:pPr>
        <w:pStyle w:val="Bullet"/>
        <w:spacing w:before="0"/>
      </w:pPr>
      <w:r>
        <w:t xml:space="preserve">if a co-approval option applies to the joint account, secondary users can authorise data sharing on the joint account, </w:t>
      </w:r>
      <w:r w:rsidR="008548E7">
        <w:t xml:space="preserve">but </w:t>
      </w:r>
      <w:r>
        <w:t>the data holder must obtain the approval of all joint account holders before data on the joint account can be shared; and</w:t>
      </w:r>
    </w:p>
    <w:p w14:paraId="1A892310" w14:textId="77777777" w:rsidR="004512F1" w:rsidRDefault="004512F1" w:rsidP="008E0360">
      <w:pPr>
        <w:pStyle w:val="Bullet"/>
        <w:spacing w:before="0"/>
      </w:pPr>
      <w:r>
        <w:t>i</w:t>
      </w:r>
      <w:r w:rsidRPr="00FF783C">
        <w:t xml:space="preserve">f </w:t>
      </w:r>
      <w:r>
        <w:t>a non-disclosure option applies to the</w:t>
      </w:r>
      <w:r w:rsidRPr="00FF783C">
        <w:t xml:space="preserve"> joint account</w:t>
      </w:r>
      <w:r>
        <w:t>,</w:t>
      </w:r>
      <w:r w:rsidRPr="00FF783C">
        <w:t xml:space="preserve"> secondary users </w:t>
      </w:r>
      <w:r>
        <w:t>cannot</w:t>
      </w:r>
      <w:r w:rsidRPr="00FF783C">
        <w:t xml:space="preserve"> authorise data sharing on the joint account.</w:t>
      </w:r>
    </w:p>
    <w:p w14:paraId="1A12CE0B" w14:textId="34CCF7DA" w:rsidR="004512F1" w:rsidRDefault="000F7521" w:rsidP="008E0360">
      <w:pPr>
        <w:spacing w:before="240"/>
        <w:ind w:right="91"/>
        <w:rPr>
          <w:i/>
          <w:iCs/>
        </w:rPr>
      </w:pPr>
      <w:r>
        <w:rPr>
          <w:i/>
          <w:iCs/>
        </w:rPr>
        <w:t>Vulnerable</w:t>
      </w:r>
      <w:r w:rsidR="004512F1">
        <w:rPr>
          <w:i/>
          <w:iCs/>
        </w:rPr>
        <w:t xml:space="preserve"> </w:t>
      </w:r>
      <w:r>
        <w:rPr>
          <w:i/>
          <w:iCs/>
        </w:rPr>
        <w:t>consumers</w:t>
      </w:r>
    </w:p>
    <w:bookmarkEnd w:id="11"/>
    <w:p w14:paraId="752687DE" w14:textId="3D5DF3EB" w:rsidR="00D72F6E" w:rsidRDefault="009D55FA" w:rsidP="008E0360">
      <w:pPr>
        <w:pStyle w:val="base-text-paragraph"/>
        <w:ind w:left="0"/>
      </w:pPr>
      <w:r>
        <w:t xml:space="preserve">A broad exemption is provided for data holders to not comply with the requirements under Part 4A where the data holder considers this necessary to prevent </w:t>
      </w:r>
      <w:r w:rsidRPr="009D55FA">
        <w:t xml:space="preserve">physical, </w:t>
      </w:r>
      <w:proofErr w:type="gramStart"/>
      <w:r w:rsidRPr="009D55FA">
        <w:t>psychological</w:t>
      </w:r>
      <w:proofErr w:type="gramEnd"/>
      <w:r w:rsidRPr="009D55FA">
        <w:t xml:space="preserve"> or financial harm or abuse</w:t>
      </w:r>
      <w:r>
        <w:t xml:space="preserve"> to any person. </w:t>
      </w:r>
      <w:r w:rsidR="00D72F6E">
        <w:t xml:space="preserve">For example, </w:t>
      </w:r>
      <w:r w:rsidR="00C37942">
        <w:t>a</w:t>
      </w:r>
      <w:r w:rsidR="00D72F6E">
        <w:t xml:space="preserve"> data holder may</w:t>
      </w:r>
      <w:r w:rsidR="00C37942">
        <w:t xml:space="preserve"> </w:t>
      </w:r>
      <w:r w:rsidR="00D72F6E">
        <w:t xml:space="preserve">- where the data holder considers this necessary to prevent </w:t>
      </w:r>
      <w:r w:rsidR="00D72F6E" w:rsidRPr="009D55FA">
        <w:t xml:space="preserve">physical, </w:t>
      </w:r>
      <w:proofErr w:type="gramStart"/>
      <w:r w:rsidR="00D72F6E" w:rsidRPr="009D55FA">
        <w:t>psychological</w:t>
      </w:r>
      <w:proofErr w:type="gramEnd"/>
      <w:r w:rsidR="00D72F6E" w:rsidRPr="009D55FA">
        <w:t xml:space="preserve"> or financial harm or abuse</w:t>
      </w:r>
      <w:r w:rsidR="00D72F6E">
        <w:t xml:space="preserve"> to any person - decide to:</w:t>
      </w:r>
    </w:p>
    <w:p w14:paraId="62375026" w14:textId="0AB8DABE" w:rsidR="00D72F6E" w:rsidRDefault="00D72F6E" w:rsidP="008E0360">
      <w:pPr>
        <w:pStyle w:val="Bullet"/>
        <w:spacing w:before="0"/>
      </w:pPr>
      <w:r>
        <w:t>if the non-disclosure option is in place, to not invite the relevant account holder(s) to agree to a disclosure option applying before disclosing data relating to the joint account</w:t>
      </w:r>
      <w:r w:rsidR="00037BCC">
        <w:t>,</w:t>
      </w:r>
      <w:r>
        <w:t xml:space="preserve"> </w:t>
      </w:r>
    </w:p>
    <w:p w14:paraId="7F0AAF6C" w14:textId="22EE00EE" w:rsidR="00D72F6E" w:rsidRDefault="00D72F6E" w:rsidP="008E0360">
      <w:pPr>
        <w:pStyle w:val="Bullet"/>
        <w:spacing w:before="0"/>
      </w:pPr>
      <w:r>
        <w:t>if the co-approval disclosure option is in place, to not seek the approval of the relevant account holder(s) before disclosing data on the joint account</w:t>
      </w:r>
      <w:r w:rsidR="00037BCC">
        <w:t>,</w:t>
      </w:r>
    </w:p>
    <w:p w14:paraId="7BC9C5B5" w14:textId="70AC7413" w:rsidR="00D72F6E" w:rsidRDefault="00D72F6E" w:rsidP="008E0360">
      <w:pPr>
        <w:pStyle w:val="Bullet"/>
        <w:spacing w:before="0"/>
      </w:pPr>
      <w:r>
        <w:t>to not provide relevant account holder(s) with a consumer dashboard or to update an existing dashboard with details regarding a joint account</w:t>
      </w:r>
      <w:r w:rsidR="00037BCC">
        <w:t>.</w:t>
      </w:r>
    </w:p>
    <w:p w14:paraId="3CFFF9E9" w14:textId="137C41E7" w:rsidR="007A6D0B" w:rsidRPr="00D72F6E" w:rsidRDefault="009D55FA" w:rsidP="008E0360">
      <w:pPr>
        <w:pStyle w:val="base-text-paragraph"/>
        <w:ind w:left="567"/>
        <w:rPr>
          <w:b/>
          <w:i/>
          <w:sz w:val="18"/>
          <w:szCs w:val="18"/>
        </w:rPr>
      </w:pPr>
      <w:r w:rsidRPr="00413975">
        <w:rPr>
          <w:rStyle w:val="base-text-paragraphChar"/>
          <w:b/>
          <w:bCs/>
          <w:i/>
          <w:iCs/>
          <w:sz w:val="18"/>
          <w:szCs w:val="18"/>
        </w:rPr>
        <w:t xml:space="preserve">[Schedule </w:t>
      </w:r>
      <w:r>
        <w:rPr>
          <w:rStyle w:val="base-text-paragraphChar"/>
          <w:b/>
          <w:bCs/>
          <w:i/>
          <w:iCs/>
          <w:sz w:val="18"/>
          <w:szCs w:val="18"/>
        </w:rPr>
        <w:t>4</w:t>
      </w:r>
      <w:r w:rsidRPr="00413975">
        <w:rPr>
          <w:rStyle w:val="base-text-paragraphChar"/>
          <w:b/>
          <w:bCs/>
          <w:i/>
          <w:iCs/>
          <w:sz w:val="18"/>
          <w:szCs w:val="18"/>
        </w:rPr>
        <w:t>, item</w:t>
      </w:r>
      <w:r>
        <w:rPr>
          <w:rStyle w:val="base-text-paragraphChar"/>
          <w:b/>
          <w:bCs/>
          <w:i/>
          <w:iCs/>
          <w:sz w:val="18"/>
          <w:szCs w:val="18"/>
        </w:rPr>
        <w:t xml:space="preserve"> 14, rule 4A.15</w:t>
      </w:r>
      <w:r w:rsidRPr="00413975">
        <w:rPr>
          <w:rStyle w:val="base-text-paragraphChar"/>
          <w:b/>
          <w:bCs/>
          <w:i/>
          <w:iCs/>
          <w:sz w:val="18"/>
          <w:szCs w:val="18"/>
        </w:rPr>
        <w:t>]</w:t>
      </w:r>
    </w:p>
    <w:p w14:paraId="320D4A52" w14:textId="63A44D1D" w:rsidR="004512F1" w:rsidRDefault="004512F1" w:rsidP="008E0360">
      <w:pPr>
        <w:keepNext/>
        <w:spacing w:before="240"/>
        <w:ind w:right="91"/>
        <w:rPr>
          <w:i/>
          <w:iCs/>
        </w:rPr>
      </w:pPr>
      <w:r>
        <w:rPr>
          <w:i/>
          <w:iCs/>
        </w:rPr>
        <w:t xml:space="preserve">Implementation </w:t>
      </w:r>
      <w:r w:rsidR="00D64955">
        <w:rPr>
          <w:i/>
          <w:iCs/>
        </w:rPr>
        <w:t>and transitional rules</w:t>
      </w:r>
      <w:r>
        <w:rPr>
          <w:i/>
          <w:iCs/>
        </w:rPr>
        <w:t xml:space="preserve"> </w:t>
      </w:r>
    </w:p>
    <w:p w14:paraId="42E8FAD7" w14:textId="77777777" w:rsidR="004512F1" w:rsidRDefault="004512F1" w:rsidP="008E0360">
      <w:pPr>
        <w:spacing w:after="0"/>
        <w:ind w:right="91"/>
      </w:pPr>
      <w:r>
        <w:t>On 30 April 2021, Treasury announced that requirements for banks to implement the joint account requirements that would have applied from November 2021 would be deferred, with new compliance dates to be set following consultation.</w:t>
      </w:r>
    </w:p>
    <w:p w14:paraId="7D63CC66" w14:textId="5D250383" w:rsidR="00134CE0" w:rsidRDefault="004512F1" w:rsidP="008E0360">
      <w:pPr>
        <w:spacing w:after="0"/>
        <w:ind w:right="91"/>
      </w:pPr>
      <w:r>
        <w:t xml:space="preserve">The </w:t>
      </w:r>
      <w:r w:rsidR="00C67373">
        <w:t xml:space="preserve">Amending </w:t>
      </w:r>
      <w:r>
        <w:t xml:space="preserve">Rules set 1 </w:t>
      </w:r>
      <w:r w:rsidR="00F23645">
        <w:t xml:space="preserve">July </w:t>
      </w:r>
      <w:r>
        <w:t xml:space="preserve">2022 as the compliance date for </w:t>
      </w:r>
      <w:r w:rsidR="0085003F">
        <w:t>new</w:t>
      </w:r>
      <w:r>
        <w:t xml:space="preserve"> joint account data sharing </w:t>
      </w:r>
      <w:r w:rsidR="00F17420">
        <w:t xml:space="preserve">provisions </w:t>
      </w:r>
      <w:r>
        <w:t>in the banking sector</w:t>
      </w:r>
      <w:r w:rsidR="00134CE0">
        <w:t>. This date seeks to balance the benefits of having joint accounts data sharing in the CDR and the need for sufficient time for data holders to meet technical requirements</w:t>
      </w:r>
      <w:r>
        <w:t xml:space="preserve">. </w:t>
      </w:r>
      <w:r w:rsidR="00134CE0" w:rsidRPr="00AE5D9A">
        <w:rPr>
          <w:b/>
          <w:bCs/>
          <w:i/>
          <w:iCs/>
          <w:sz w:val="18"/>
          <w:szCs w:val="18"/>
        </w:rPr>
        <w:t xml:space="preserve">[Schedule </w:t>
      </w:r>
      <w:r w:rsidR="00134CE0">
        <w:rPr>
          <w:b/>
          <w:bCs/>
          <w:i/>
          <w:iCs/>
          <w:sz w:val="18"/>
          <w:szCs w:val="18"/>
        </w:rPr>
        <w:t>5</w:t>
      </w:r>
      <w:r w:rsidR="00134CE0" w:rsidRPr="00AE5D9A">
        <w:rPr>
          <w:b/>
          <w:bCs/>
          <w:i/>
          <w:iCs/>
          <w:sz w:val="18"/>
          <w:szCs w:val="18"/>
        </w:rPr>
        <w:t>, items 1 and 2, clauses 6.4(3) and 6.6 of Schedule 3 to the CDR Rules]</w:t>
      </w:r>
    </w:p>
    <w:p w14:paraId="38C472EA" w14:textId="10C7070C" w:rsidR="001146AC" w:rsidRDefault="00134CE0" w:rsidP="008E0360">
      <w:pPr>
        <w:spacing w:after="0"/>
        <w:ind w:right="91"/>
      </w:pPr>
      <w:r>
        <w:t xml:space="preserve">Transitional provisions </w:t>
      </w:r>
      <w:r w:rsidR="001146AC">
        <w:t xml:space="preserve">allow major banks (as ‘initial data holders’) to elect to continue complying with the joint account provisions established when the CDR Rules were first made, until 1 July 2022 or the data holder revokes its election. </w:t>
      </w:r>
      <w:r w:rsidR="001146AC" w:rsidRPr="00390BE1">
        <w:rPr>
          <w:b/>
          <w:bCs/>
          <w:i/>
          <w:iCs/>
          <w:sz w:val="18"/>
          <w:szCs w:val="18"/>
        </w:rPr>
        <w:t>[Schedule 7, item</w:t>
      </w:r>
      <w:r w:rsidR="001146AC">
        <w:rPr>
          <w:b/>
          <w:bCs/>
          <w:i/>
          <w:iCs/>
          <w:sz w:val="18"/>
          <w:szCs w:val="18"/>
        </w:rPr>
        <w:t>s</w:t>
      </w:r>
      <w:r w:rsidR="001146AC" w:rsidRPr="00390BE1">
        <w:rPr>
          <w:b/>
          <w:bCs/>
          <w:i/>
          <w:iCs/>
          <w:sz w:val="18"/>
          <w:szCs w:val="18"/>
        </w:rPr>
        <w:t xml:space="preserve"> 1</w:t>
      </w:r>
      <w:r w:rsidR="001146AC">
        <w:rPr>
          <w:b/>
          <w:bCs/>
          <w:i/>
          <w:iCs/>
          <w:sz w:val="18"/>
          <w:szCs w:val="18"/>
        </w:rPr>
        <w:t xml:space="preserve"> and 2</w:t>
      </w:r>
      <w:r w:rsidR="001146AC" w:rsidRPr="00390BE1">
        <w:rPr>
          <w:b/>
          <w:bCs/>
          <w:i/>
          <w:iCs/>
          <w:sz w:val="18"/>
          <w:szCs w:val="18"/>
        </w:rPr>
        <w:t>]</w:t>
      </w:r>
    </w:p>
    <w:p w14:paraId="6D5437B9" w14:textId="2CD274BB" w:rsidR="00134CE0" w:rsidRDefault="001146AC" w:rsidP="008E0360">
      <w:pPr>
        <w:spacing w:after="0"/>
        <w:ind w:right="91"/>
      </w:pPr>
      <w:r>
        <w:t xml:space="preserve">This means major banks </w:t>
      </w:r>
      <w:r w:rsidR="00134CE0">
        <w:t>continue to share joint account data under the previous rules or under the new joint account data sharing provisions.</w:t>
      </w:r>
      <w:r w:rsidR="00817913">
        <w:t xml:space="preserve"> </w:t>
      </w:r>
    </w:p>
    <w:p w14:paraId="20D4E4FB" w14:textId="61177F0D" w:rsidR="001146AC" w:rsidRDefault="001146AC" w:rsidP="008E0360">
      <w:pPr>
        <w:spacing w:after="0"/>
        <w:ind w:right="91"/>
      </w:pPr>
      <w:r>
        <w:t xml:space="preserve">Other relevant </w:t>
      </w:r>
      <w:r w:rsidR="006769DE">
        <w:t>Authorised Deposit-taking Institutions (</w:t>
      </w:r>
      <w:r>
        <w:t>ADIs</w:t>
      </w:r>
      <w:r w:rsidR="00035FE0">
        <w:t>) and initial data holders for non-primary brands, or accredited ADI and accredited non-ADIs (</w:t>
      </w:r>
      <w:r>
        <w:t>reciprocal data holders</w:t>
      </w:r>
      <w:r w:rsidR="00035FE0">
        <w:t>) for Schedule 3 (collectively, ‘non-major banks’)</w:t>
      </w:r>
      <w:r>
        <w:t xml:space="preserve"> are subject to the new joint account requirements in Part 4A of the CDR Rules from </w:t>
      </w:r>
      <w:proofErr w:type="gramStart"/>
      <w:r>
        <w:t>1 July 2022, but</w:t>
      </w:r>
      <w:proofErr w:type="gramEnd"/>
      <w:r>
        <w:t xml:space="preserve"> have the </w:t>
      </w:r>
      <w:r>
        <w:lastRenderedPageBreak/>
        <w:t>option of voluntarily adhering to the new rules prior to 1 July 2022.</w:t>
      </w:r>
      <w:r w:rsidRPr="00D64955">
        <w:rPr>
          <w:b/>
          <w:bCs/>
          <w:i/>
          <w:iCs/>
          <w:sz w:val="18"/>
          <w:szCs w:val="18"/>
        </w:rPr>
        <w:t xml:space="preserve"> </w:t>
      </w:r>
      <w:r>
        <w:rPr>
          <w:b/>
          <w:bCs/>
          <w:i/>
          <w:iCs/>
          <w:sz w:val="18"/>
          <w:szCs w:val="18"/>
        </w:rPr>
        <w:t xml:space="preserve">[Schedule 7, items 1 and 3] </w:t>
      </w:r>
    </w:p>
    <w:p w14:paraId="18581CE8" w14:textId="7530EABA" w:rsidR="00390BE1" w:rsidRPr="00600311" w:rsidRDefault="00390BE1" w:rsidP="008E0360">
      <w:pPr>
        <w:pStyle w:val="Bullet"/>
        <w:numPr>
          <w:ilvl w:val="0"/>
          <w:numId w:val="0"/>
        </w:numPr>
        <w:rPr>
          <w:i/>
          <w:iCs/>
        </w:rPr>
      </w:pPr>
      <w:r>
        <w:rPr>
          <w:i/>
          <w:iCs/>
        </w:rPr>
        <w:t>Transitional provisions – treatment of disclosure options</w:t>
      </w:r>
      <w:r w:rsidR="0065679F">
        <w:rPr>
          <w:i/>
          <w:iCs/>
        </w:rPr>
        <w:t xml:space="preserve"> for existing joint accounts</w:t>
      </w:r>
    </w:p>
    <w:p w14:paraId="78DBF9C5" w14:textId="354E7F75" w:rsidR="00F55903" w:rsidRPr="004A0DE3" w:rsidRDefault="007774D7" w:rsidP="008E0360">
      <w:pPr>
        <w:pStyle w:val="Bullet"/>
        <w:numPr>
          <w:ilvl w:val="0"/>
          <w:numId w:val="0"/>
        </w:numPr>
        <w:spacing w:before="0"/>
      </w:pPr>
      <w:r>
        <w:t>If a major bank elects to continue complying with the original joint account provisions</w:t>
      </w:r>
      <w:r w:rsidR="00294296">
        <w:t xml:space="preserve">, the following settings apply to joint accounts with that data holder in </w:t>
      </w:r>
      <w:r w:rsidR="00294296" w:rsidRPr="004A0DE3">
        <w:t xml:space="preserve">existence </w:t>
      </w:r>
      <w:r w:rsidR="002C784C" w:rsidRPr="004A0DE3">
        <w:t xml:space="preserve">immediately </w:t>
      </w:r>
      <w:r w:rsidR="00294296" w:rsidRPr="004A0DE3">
        <w:t xml:space="preserve">before 1 July 2022 (or, if the data holder revokes its election, in existence </w:t>
      </w:r>
      <w:r w:rsidR="002C784C" w:rsidRPr="004A0DE3">
        <w:t xml:space="preserve">immediately </w:t>
      </w:r>
      <w:r w:rsidR="00294296" w:rsidRPr="004A0DE3">
        <w:t>before that revocation)</w:t>
      </w:r>
      <w:r w:rsidR="0065679F" w:rsidRPr="004A0DE3">
        <w:t>:</w:t>
      </w:r>
    </w:p>
    <w:p w14:paraId="108373AD" w14:textId="292ADE48" w:rsidR="00294296" w:rsidRPr="004A0DE3" w:rsidRDefault="00155F5A" w:rsidP="008E0360">
      <w:pPr>
        <w:pStyle w:val="Bullet"/>
        <w:spacing w:before="0"/>
      </w:pPr>
      <w:r w:rsidRPr="004A0DE3">
        <w:t xml:space="preserve">for a joint account where a disclosure option has never </w:t>
      </w:r>
      <w:r w:rsidR="00D62440" w:rsidRPr="004A0DE3">
        <w:t xml:space="preserve">previously </w:t>
      </w:r>
      <w:r w:rsidRPr="004A0DE3">
        <w:t xml:space="preserve">applied, the pre-approval disclosure option applies from 1 July 2022 (or, if the data holder revokes its election, </w:t>
      </w:r>
      <w:r w:rsidR="00D62440" w:rsidRPr="004A0DE3">
        <w:t xml:space="preserve">from </w:t>
      </w:r>
      <w:r w:rsidRPr="004A0DE3">
        <w:t xml:space="preserve">the day of the revocation); </w:t>
      </w:r>
      <w:r w:rsidRPr="004A0DE3">
        <w:rPr>
          <w:b/>
          <w:i/>
          <w:sz w:val="18"/>
          <w:szCs w:val="18"/>
        </w:rPr>
        <w:t>[Schedule 7, items</w:t>
      </w:r>
      <w:r w:rsidR="00FC5F66">
        <w:rPr>
          <w:b/>
          <w:i/>
          <w:sz w:val="18"/>
          <w:szCs w:val="18"/>
        </w:rPr>
        <w:t> </w:t>
      </w:r>
      <w:r w:rsidR="0015600B" w:rsidRPr="004A0DE3">
        <w:rPr>
          <w:b/>
          <w:bCs/>
          <w:i/>
          <w:iCs/>
          <w:sz w:val="18"/>
          <w:szCs w:val="18"/>
        </w:rPr>
        <w:t>4</w:t>
      </w:r>
      <w:r w:rsidRPr="004A0DE3">
        <w:rPr>
          <w:b/>
          <w:i/>
          <w:sz w:val="18"/>
          <w:szCs w:val="18"/>
        </w:rPr>
        <w:t>(</w:t>
      </w:r>
      <w:r w:rsidR="00573FC6" w:rsidRPr="004A0DE3">
        <w:rPr>
          <w:b/>
          <w:i/>
          <w:sz w:val="18"/>
          <w:szCs w:val="18"/>
        </w:rPr>
        <w:t>1</w:t>
      </w:r>
      <w:r w:rsidRPr="004A0DE3">
        <w:rPr>
          <w:b/>
          <w:bCs/>
          <w:i/>
          <w:iCs/>
          <w:sz w:val="18"/>
          <w:szCs w:val="18"/>
        </w:rPr>
        <w:t>)</w:t>
      </w:r>
      <w:r w:rsidR="0015600B" w:rsidRPr="004A0DE3">
        <w:rPr>
          <w:b/>
          <w:bCs/>
          <w:i/>
          <w:iCs/>
          <w:sz w:val="18"/>
          <w:szCs w:val="18"/>
        </w:rPr>
        <w:t>, (2)</w:t>
      </w:r>
      <w:r w:rsidRPr="004A0DE3">
        <w:rPr>
          <w:b/>
          <w:bCs/>
          <w:i/>
          <w:iCs/>
          <w:sz w:val="18"/>
          <w:szCs w:val="18"/>
        </w:rPr>
        <w:t>(</w:t>
      </w:r>
      <w:r w:rsidR="0015600B" w:rsidRPr="004A0DE3">
        <w:rPr>
          <w:b/>
          <w:bCs/>
          <w:i/>
          <w:iCs/>
          <w:sz w:val="18"/>
          <w:szCs w:val="18"/>
        </w:rPr>
        <w:t>c</w:t>
      </w:r>
      <w:r w:rsidRPr="004A0DE3">
        <w:rPr>
          <w:b/>
          <w:i/>
          <w:sz w:val="18"/>
          <w:szCs w:val="18"/>
        </w:rPr>
        <w:t>)</w:t>
      </w:r>
      <w:r w:rsidR="0015600B" w:rsidRPr="004A0DE3">
        <w:rPr>
          <w:b/>
          <w:i/>
          <w:sz w:val="18"/>
          <w:szCs w:val="18"/>
        </w:rPr>
        <w:t xml:space="preserve"> and </w:t>
      </w:r>
      <w:r w:rsidR="0015600B" w:rsidRPr="004A0DE3">
        <w:rPr>
          <w:b/>
          <w:bCs/>
          <w:i/>
          <w:iCs/>
          <w:sz w:val="18"/>
          <w:szCs w:val="18"/>
        </w:rPr>
        <w:t>(3)</w:t>
      </w:r>
      <w:r w:rsidR="00B33F0B" w:rsidRPr="004A0DE3">
        <w:rPr>
          <w:b/>
          <w:bCs/>
          <w:i/>
          <w:iCs/>
          <w:sz w:val="18"/>
          <w:szCs w:val="18"/>
        </w:rPr>
        <w:t>(a</w:t>
      </w:r>
      <w:r w:rsidR="00B33F0B" w:rsidRPr="004A0DE3">
        <w:rPr>
          <w:b/>
          <w:i/>
          <w:sz w:val="18"/>
          <w:szCs w:val="18"/>
        </w:rPr>
        <w:t>)</w:t>
      </w:r>
      <w:r w:rsidRPr="004A0DE3">
        <w:rPr>
          <w:b/>
          <w:i/>
          <w:sz w:val="18"/>
          <w:szCs w:val="18"/>
        </w:rPr>
        <w:t>]</w:t>
      </w:r>
    </w:p>
    <w:p w14:paraId="05E602A0" w14:textId="0F2832C0" w:rsidR="004512F1" w:rsidRDefault="00155F5A" w:rsidP="008E0360">
      <w:pPr>
        <w:pStyle w:val="Bullet"/>
        <w:spacing w:before="0"/>
      </w:pPr>
      <w:r>
        <w:t xml:space="preserve">for a joint account </w:t>
      </w:r>
      <w:r w:rsidR="009B30D2">
        <w:t xml:space="preserve">that </w:t>
      </w:r>
      <w:r w:rsidR="004C0819">
        <w:t xml:space="preserve">already has </w:t>
      </w:r>
      <w:r w:rsidR="009B30D2">
        <w:t>a</w:t>
      </w:r>
      <w:r w:rsidR="004C0819">
        <w:t xml:space="preserve"> set</w:t>
      </w:r>
      <w:r w:rsidR="009B30D2">
        <w:t xml:space="preserve"> disclosure option applying to it immediately before 1 July 2022 (or, if the data holder revokes its election, immediately before the </w:t>
      </w:r>
      <w:r w:rsidR="00102DDD">
        <w:t>revocation date</w:t>
      </w:r>
      <w:r w:rsidR="009B30D2">
        <w:t xml:space="preserve">), the equivalent </w:t>
      </w:r>
      <w:r w:rsidR="008079AF">
        <w:t xml:space="preserve">disclosure option </w:t>
      </w:r>
      <w:r w:rsidR="004C0819">
        <w:t>under the new joint account requirements applies after that time</w:t>
      </w:r>
      <w:r w:rsidR="00341F0D">
        <w:t>;</w:t>
      </w:r>
      <w:r w:rsidR="00F725CF">
        <w:t xml:space="preserve"> </w:t>
      </w:r>
      <w:r w:rsidR="00D62440">
        <w:rPr>
          <w:b/>
          <w:bCs/>
          <w:i/>
          <w:iCs/>
          <w:sz w:val="18"/>
          <w:szCs w:val="18"/>
        </w:rPr>
        <w:t xml:space="preserve">[Schedule 7, items </w:t>
      </w:r>
      <w:r w:rsidR="00802094">
        <w:rPr>
          <w:b/>
          <w:bCs/>
          <w:i/>
          <w:iCs/>
          <w:sz w:val="18"/>
          <w:szCs w:val="18"/>
        </w:rPr>
        <w:t xml:space="preserve">4(1), (2)(a) </w:t>
      </w:r>
      <w:r w:rsidR="00D62440">
        <w:rPr>
          <w:b/>
          <w:bCs/>
          <w:i/>
          <w:iCs/>
          <w:sz w:val="18"/>
          <w:szCs w:val="18"/>
        </w:rPr>
        <w:t xml:space="preserve">and </w:t>
      </w:r>
      <w:r w:rsidR="00802094">
        <w:rPr>
          <w:b/>
          <w:bCs/>
          <w:i/>
          <w:iCs/>
          <w:sz w:val="18"/>
          <w:szCs w:val="18"/>
        </w:rPr>
        <w:t>(</w:t>
      </w:r>
      <w:r w:rsidR="00D62440">
        <w:rPr>
          <w:b/>
          <w:bCs/>
          <w:i/>
          <w:iCs/>
          <w:sz w:val="18"/>
          <w:szCs w:val="18"/>
        </w:rPr>
        <w:t>3</w:t>
      </w:r>
      <w:r w:rsidR="00802094">
        <w:rPr>
          <w:b/>
          <w:bCs/>
          <w:i/>
          <w:iCs/>
          <w:sz w:val="18"/>
          <w:szCs w:val="18"/>
        </w:rPr>
        <w:t>)</w:t>
      </w:r>
      <w:r w:rsidR="00102DDD">
        <w:rPr>
          <w:b/>
          <w:bCs/>
          <w:i/>
          <w:iCs/>
          <w:sz w:val="18"/>
          <w:szCs w:val="18"/>
        </w:rPr>
        <w:t>(a)</w:t>
      </w:r>
      <w:r w:rsidR="00D62440">
        <w:rPr>
          <w:b/>
          <w:bCs/>
          <w:i/>
          <w:iCs/>
          <w:sz w:val="18"/>
          <w:szCs w:val="18"/>
        </w:rPr>
        <w:t>]</w:t>
      </w:r>
    </w:p>
    <w:p w14:paraId="6242B587" w14:textId="51CC43F2" w:rsidR="00AE5D9A" w:rsidRDefault="004C0819" w:rsidP="008E0360">
      <w:pPr>
        <w:pStyle w:val="Bullet"/>
        <w:spacing w:before="0"/>
      </w:pPr>
      <w:r>
        <w:t>for a joint account that</w:t>
      </w:r>
      <w:r w:rsidR="00102DDD">
        <w:t>, immediately before 1 July 2022 (or the revocation date),</w:t>
      </w:r>
      <w:r>
        <w:t xml:space="preserve"> </w:t>
      </w:r>
      <w:r w:rsidR="00995F23">
        <w:t>ha</w:t>
      </w:r>
      <w:r w:rsidR="00A91C46">
        <w:t>d</w:t>
      </w:r>
      <w:r w:rsidR="00995F23">
        <w:t xml:space="preserve"> </w:t>
      </w:r>
      <w:r w:rsidR="004512F1">
        <w:t xml:space="preserve">no disclosure option </w:t>
      </w:r>
      <w:r w:rsidR="00995F23">
        <w:t>applying to the account</w:t>
      </w:r>
      <w:r w:rsidR="00102DDD">
        <w:t xml:space="preserve">, </w:t>
      </w:r>
      <w:r w:rsidR="00641915">
        <w:t>the non-disclosure option applies after that time, rather than switching</w:t>
      </w:r>
      <w:r w:rsidR="00995F23">
        <w:t xml:space="preserve"> </w:t>
      </w:r>
      <w:r w:rsidR="004512F1">
        <w:t xml:space="preserve">to the </w:t>
      </w:r>
      <w:r w:rsidR="00F17420">
        <w:t>default</w:t>
      </w:r>
      <w:r w:rsidR="004512F1">
        <w:t xml:space="preserve"> pre-approval option.</w:t>
      </w:r>
      <w:r w:rsidR="00641915" w:rsidRPr="00641915">
        <w:rPr>
          <w:b/>
          <w:bCs/>
          <w:i/>
          <w:iCs/>
          <w:sz w:val="18"/>
          <w:szCs w:val="18"/>
        </w:rPr>
        <w:t xml:space="preserve"> </w:t>
      </w:r>
      <w:r w:rsidR="00641915">
        <w:rPr>
          <w:b/>
          <w:bCs/>
          <w:i/>
          <w:iCs/>
          <w:sz w:val="18"/>
          <w:szCs w:val="18"/>
        </w:rPr>
        <w:t xml:space="preserve">[Schedule 7, items </w:t>
      </w:r>
      <w:r w:rsidR="00802094">
        <w:rPr>
          <w:b/>
          <w:bCs/>
          <w:i/>
          <w:iCs/>
          <w:sz w:val="18"/>
          <w:szCs w:val="18"/>
        </w:rPr>
        <w:t>4(1), (2)(b) and (3)(a)</w:t>
      </w:r>
      <w:r w:rsidR="00641915">
        <w:rPr>
          <w:b/>
          <w:bCs/>
          <w:i/>
          <w:iCs/>
          <w:sz w:val="18"/>
          <w:szCs w:val="18"/>
        </w:rPr>
        <w:t>]</w:t>
      </w:r>
    </w:p>
    <w:p w14:paraId="1D3B2974" w14:textId="303FDA10" w:rsidR="00797F7F" w:rsidRDefault="00435159" w:rsidP="008E0360">
      <w:r>
        <w:t xml:space="preserve">For </w:t>
      </w:r>
      <w:r w:rsidR="008072E1">
        <w:t>the non-major banks</w:t>
      </w:r>
      <w:r>
        <w:t xml:space="preserve">, </w:t>
      </w:r>
      <w:r w:rsidR="00641915">
        <w:t>the pre-approval option applies to</w:t>
      </w:r>
      <w:r w:rsidR="00600311">
        <w:t xml:space="preserve"> </w:t>
      </w:r>
      <w:r w:rsidR="00E32250">
        <w:t xml:space="preserve">joint </w:t>
      </w:r>
      <w:r w:rsidR="00600311">
        <w:t>account</w:t>
      </w:r>
      <w:r w:rsidR="00E32250">
        <w:t xml:space="preserve">s already in existence. </w:t>
      </w:r>
      <w:r w:rsidR="00797F7F">
        <w:t>In detail:</w:t>
      </w:r>
    </w:p>
    <w:p w14:paraId="45F2BF40" w14:textId="4367BD3B" w:rsidR="00797F7F" w:rsidRDefault="00435159" w:rsidP="008E0360">
      <w:pPr>
        <w:pStyle w:val="Bullet"/>
        <w:spacing w:before="120"/>
      </w:pPr>
      <w:r>
        <w:t>if</w:t>
      </w:r>
      <w:r w:rsidR="002129E9">
        <w:t xml:space="preserve"> not elect</w:t>
      </w:r>
      <w:r>
        <w:t>ing</w:t>
      </w:r>
      <w:r w:rsidR="002129E9">
        <w:t xml:space="preserve"> to adhere to the new provisions early</w:t>
      </w:r>
      <w:r w:rsidR="00797F7F">
        <w:t xml:space="preserve">, the pre-approval option applies from 1 July 2022 to any joint accounts in existence </w:t>
      </w:r>
      <w:r w:rsidR="002C784C">
        <w:t xml:space="preserve">immediately </w:t>
      </w:r>
      <w:r w:rsidR="00797F7F">
        <w:t>before 1 July 2022;</w:t>
      </w:r>
      <w:r w:rsidR="00D87C3C">
        <w:t xml:space="preserve"> </w:t>
      </w:r>
      <w:r w:rsidR="00D87C3C" w:rsidRPr="00600311">
        <w:rPr>
          <w:b/>
          <w:bCs/>
          <w:i/>
          <w:iCs/>
          <w:sz w:val="18"/>
          <w:szCs w:val="18"/>
        </w:rPr>
        <w:t xml:space="preserve">[Schedule 7, items </w:t>
      </w:r>
      <w:r w:rsidR="00802094">
        <w:rPr>
          <w:b/>
          <w:bCs/>
          <w:i/>
          <w:iCs/>
          <w:sz w:val="18"/>
          <w:szCs w:val="18"/>
        </w:rPr>
        <w:t>5(1), (2) and (3)(b)</w:t>
      </w:r>
      <w:r w:rsidR="00D87C3C" w:rsidRPr="00600311">
        <w:rPr>
          <w:b/>
          <w:bCs/>
          <w:i/>
          <w:iCs/>
          <w:sz w:val="18"/>
          <w:szCs w:val="18"/>
        </w:rPr>
        <w:t>]</w:t>
      </w:r>
    </w:p>
    <w:p w14:paraId="5F513467" w14:textId="1C9D57E1" w:rsidR="00A42730" w:rsidRPr="00134CE0" w:rsidRDefault="00435159" w:rsidP="008E0360">
      <w:pPr>
        <w:pStyle w:val="Bullet"/>
        <w:spacing w:before="120"/>
      </w:pPr>
      <w:r>
        <w:t>if electing to</w:t>
      </w:r>
      <w:r w:rsidR="002129E9">
        <w:t xml:space="preserve"> adhere to the new provisions early, the pre-approval option applies from the day of that election to any joint accounts in existence immediately before the day of that election</w:t>
      </w:r>
      <w:r w:rsidR="006769DE">
        <w:t>.</w:t>
      </w:r>
      <w:r w:rsidR="002129E9">
        <w:t xml:space="preserve"> </w:t>
      </w:r>
      <w:r w:rsidR="002129E9" w:rsidRPr="00600311">
        <w:rPr>
          <w:b/>
          <w:bCs/>
          <w:i/>
          <w:iCs/>
          <w:sz w:val="18"/>
          <w:szCs w:val="18"/>
        </w:rPr>
        <w:t xml:space="preserve">[Schedule 7, items </w:t>
      </w:r>
      <w:r w:rsidR="00802094">
        <w:rPr>
          <w:b/>
          <w:bCs/>
          <w:i/>
          <w:iCs/>
          <w:sz w:val="18"/>
          <w:szCs w:val="18"/>
        </w:rPr>
        <w:t>5(1), (2) and (3)(a)</w:t>
      </w:r>
      <w:r w:rsidR="002129E9" w:rsidRPr="00600311">
        <w:rPr>
          <w:b/>
          <w:bCs/>
          <w:i/>
          <w:iCs/>
          <w:sz w:val="18"/>
          <w:szCs w:val="18"/>
        </w:rPr>
        <w:t>]</w:t>
      </w:r>
    </w:p>
    <w:p w14:paraId="7824261B" w14:textId="4DA1BE6B" w:rsidR="008072E1" w:rsidRPr="00134CE0" w:rsidRDefault="008072E1" w:rsidP="008E0360">
      <w:r>
        <w:t xml:space="preserve">Any joint account that comes into existence after the </w:t>
      </w:r>
      <w:r w:rsidR="009432E0">
        <w:t>defined ‘</w:t>
      </w:r>
      <w:r>
        <w:t>Part 4A day</w:t>
      </w:r>
      <w:r w:rsidR="009432E0">
        <w:t>’</w:t>
      </w:r>
      <w:r>
        <w:t xml:space="preserve"> will have the pre-approval option provided by default</w:t>
      </w:r>
      <w:r w:rsidR="00492A58">
        <w:t>.</w:t>
      </w:r>
      <w:r>
        <w:t xml:space="preserve"> </w:t>
      </w:r>
      <w:r w:rsidR="00492A58">
        <w:rPr>
          <w:b/>
          <w:bCs/>
          <w:i/>
          <w:iCs/>
          <w:sz w:val="18"/>
          <w:szCs w:val="18"/>
        </w:rPr>
        <w:t>[Schedule 4, item 14, rule 4A</w:t>
      </w:r>
      <w:r w:rsidR="009432E0">
        <w:rPr>
          <w:b/>
          <w:bCs/>
          <w:i/>
          <w:iCs/>
          <w:sz w:val="18"/>
          <w:szCs w:val="18"/>
        </w:rPr>
        <w:t>.</w:t>
      </w:r>
      <w:r w:rsidR="00492A58">
        <w:rPr>
          <w:b/>
          <w:bCs/>
          <w:i/>
          <w:iCs/>
          <w:sz w:val="18"/>
          <w:szCs w:val="18"/>
        </w:rPr>
        <w:t>5(5)</w:t>
      </w:r>
      <w:r w:rsidR="009432E0">
        <w:rPr>
          <w:b/>
          <w:bCs/>
          <w:i/>
          <w:iCs/>
          <w:sz w:val="18"/>
          <w:szCs w:val="18"/>
        </w:rPr>
        <w:t>, and Schedule 7, the definition of ‘Part 4A day’ in items 4(3) and 5(3)</w:t>
      </w:r>
      <w:r w:rsidR="00492A58">
        <w:rPr>
          <w:b/>
          <w:bCs/>
          <w:i/>
          <w:iCs/>
          <w:sz w:val="18"/>
          <w:szCs w:val="18"/>
        </w:rPr>
        <w:t>]</w:t>
      </w:r>
    </w:p>
    <w:p w14:paraId="3004AA63" w14:textId="5CFF28FD" w:rsidR="0080325E" w:rsidRPr="00A42730" w:rsidRDefault="0080325E" w:rsidP="008E0360">
      <w:pPr>
        <w:spacing w:before="360"/>
        <w:rPr>
          <w:b/>
          <w:bCs/>
          <w:sz w:val="28"/>
          <w:szCs w:val="28"/>
          <w:u w:val="single"/>
        </w:rPr>
      </w:pPr>
      <w:r w:rsidRPr="00A42730">
        <w:rPr>
          <w:b/>
          <w:bCs/>
          <w:sz w:val="28"/>
          <w:szCs w:val="28"/>
          <w:u w:val="single"/>
        </w:rPr>
        <w:t xml:space="preserve">Schedule 5 </w:t>
      </w:r>
      <w:r w:rsidR="00361DBC" w:rsidRPr="00A42730">
        <w:rPr>
          <w:b/>
          <w:bCs/>
          <w:sz w:val="28"/>
          <w:szCs w:val="28"/>
          <w:u w:val="single"/>
        </w:rPr>
        <w:t>–</w:t>
      </w:r>
      <w:r w:rsidRPr="00A42730">
        <w:rPr>
          <w:b/>
          <w:bCs/>
          <w:sz w:val="28"/>
          <w:szCs w:val="28"/>
          <w:u w:val="single"/>
        </w:rPr>
        <w:t xml:space="preserve"> </w:t>
      </w:r>
      <w:r w:rsidR="00361DBC" w:rsidRPr="00A42730">
        <w:rPr>
          <w:b/>
          <w:bCs/>
          <w:sz w:val="28"/>
          <w:szCs w:val="28"/>
          <w:u w:val="single"/>
        </w:rPr>
        <w:t>Amendments relating to staged implementation</w:t>
      </w:r>
      <w:r w:rsidRPr="00A42730">
        <w:rPr>
          <w:b/>
          <w:bCs/>
          <w:sz w:val="28"/>
          <w:szCs w:val="28"/>
          <w:u w:val="single"/>
        </w:rPr>
        <w:t xml:space="preserve"> </w:t>
      </w:r>
    </w:p>
    <w:p w14:paraId="7FEA238E" w14:textId="77777777" w:rsidR="004512F1" w:rsidRPr="000B7023" w:rsidRDefault="004512F1" w:rsidP="008E0360">
      <w:pPr>
        <w:spacing w:before="240"/>
        <w:ind w:right="91"/>
        <w:rPr>
          <w:b/>
        </w:rPr>
      </w:pPr>
      <w:r w:rsidRPr="000B7023">
        <w:rPr>
          <w:b/>
          <w:bCs/>
        </w:rPr>
        <w:t>Direct to consumer request service</w:t>
      </w:r>
    </w:p>
    <w:p w14:paraId="762B6DD0" w14:textId="72967C92" w:rsidR="004512F1" w:rsidRDefault="004512F1" w:rsidP="008E0360">
      <w:pPr>
        <w:spacing w:after="0"/>
        <w:ind w:right="91"/>
      </w:pPr>
      <w:r>
        <w:t>Part 3 of the CDR Rules</w:t>
      </w:r>
      <w:r w:rsidR="00B22218">
        <w:t xml:space="preserve"> sets out future requirements for</w:t>
      </w:r>
      <w:r>
        <w:t xml:space="preserve"> data holders to implement an online service that allows consumers to directly request their CDR data in a human</w:t>
      </w:r>
      <w:r w:rsidR="00D134DE">
        <w:t>-</w:t>
      </w:r>
      <w:r>
        <w:t xml:space="preserve">readable form and in accordance with the data standards. </w:t>
      </w:r>
      <w:r w:rsidR="00B22218">
        <w:t xml:space="preserve">The deadline for </w:t>
      </w:r>
      <w:r>
        <w:t>data holders in the banking sector</w:t>
      </w:r>
      <w:r w:rsidR="00B22218">
        <w:t xml:space="preserve"> to comply with these requirements had previously been set at</w:t>
      </w:r>
      <w:r>
        <w:t xml:space="preserve"> 1 November 2021.</w:t>
      </w:r>
    </w:p>
    <w:p w14:paraId="3B415335" w14:textId="7238C5BE" w:rsidR="00063B54" w:rsidRDefault="00D134DE" w:rsidP="008E0360">
      <w:pPr>
        <w:spacing w:after="0"/>
        <w:ind w:right="91"/>
      </w:pPr>
      <w:r>
        <w:t xml:space="preserve">The </w:t>
      </w:r>
      <w:r w:rsidR="00C67373">
        <w:t xml:space="preserve">Amending </w:t>
      </w:r>
      <w:r>
        <w:t xml:space="preserve">Rules remove the compliance date for the Part 3 obligations in the banking sector. </w:t>
      </w:r>
      <w:r w:rsidR="00063B54" w:rsidRPr="00AE5D9A">
        <w:rPr>
          <w:b/>
          <w:bCs/>
          <w:i/>
          <w:iCs/>
          <w:sz w:val="18"/>
          <w:szCs w:val="18"/>
        </w:rPr>
        <w:t xml:space="preserve">[Schedule </w:t>
      </w:r>
      <w:r w:rsidR="00063B54">
        <w:rPr>
          <w:b/>
          <w:bCs/>
          <w:i/>
          <w:iCs/>
          <w:sz w:val="18"/>
          <w:szCs w:val="18"/>
        </w:rPr>
        <w:t>5</w:t>
      </w:r>
      <w:r w:rsidR="00063B54" w:rsidRPr="00AE5D9A">
        <w:rPr>
          <w:b/>
          <w:bCs/>
          <w:i/>
          <w:iCs/>
          <w:sz w:val="18"/>
          <w:szCs w:val="18"/>
        </w:rPr>
        <w:t>, items 1 and 2, clauses 6.4(3) and 6.6 of Schedule 3 to the CDR Rules]</w:t>
      </w:r>
    </w:p>
    <w:p w14:paraId="30AE219B" w14:textId="38233F54" w:rsidR="004512F1" w:rsidRPr="00EA4DD8" w:rsidRDefault="00D134DE" w:rsidP="008E0360">
      <w:pPr>
        <w:spacing w:after="0"/>
        <w:ind w:right="91"/>
      </w:pPr>
      <w:r>
        <w:t>This</w:t>
      </w:r>
      <w:r w:rsidR="00B22218">
        <w:t xml:space="preserve"> deferral</w:t>
      </w:r>
      <w:r>
        <w:t xml:space="preserve"> </w:t>
      </w:r>
      <w:r w:rsidR="00471C45">
        <w:t>was announced by Treasury on 30 April 2021 and will</w:t>
      </w:r>
      <w:r w:rsidR="004512F1">
        <w:t xml:space="preserve"> allow </w:t>
      </w:r>
      <w:r w:rsidR="00471C45">
        <w:t xml:space="preserve">a </w:t>
      </w:r>
      <w:r w:rsidR="004512F1">
        <w:t>fu</w:t>
      </w:r>
      <w:r w:rsidR="00471C45">
        <w:t>ture</w:t>
      </w:r>
      <w:r w:rsidR="004512F1">
        <w:t xml:space="preserve"> consultation </w:t>
      </w:r>
      <w:r w:rsidR="00471C45">
        <w:t>process to be undertaken</w:t>
      </w:r>
      <w:r w:rsidR="004512F1">
        <w:t xml:space="preserve"> about the way in which direct to consumer </w:t>
      </w:r>
      <w:r w:rsidR="004512F1">
        <w:lastRenderedPageBreak/>
        <w:t xml:space="preserve">obligations should be </w:t>
      </w:r>
      <w:r>
        <w:t>specified</w:t>
      </w:r>
      <w:r w:rsidR="006954EF">
        <w:t xml:space="preserve">, including how the data standards should </w:t>
      </w:r>
      <w:r w:rsidR="004512F1">
        <w:t xml:space="preserve">provide for </w:t>
      </w:r>
      <w:r w:rsidR="006954EF">
        <w:t>data</w:t>
      </w:r>
      <w:r w:rsidR="004512F1">
        <w:t xml:space="preserve"> in machine-readable form via </w:t>
      </w:r>
      <w:r w:rsidR="006954EF">
        <w:t>application programming interface</w:t>
      </w:r>
      <w:r w:rsidR="004512F1">
        <w:t>s.</w:t>
      </w:r>
    </w:p>
    <w:p w14:paraId="221E1C86" w14:textId="59127780" w:rsidR="005C43A9" w:rsidRPr="006255C0" w:rsidRDefault="005C43A9" w:rsidP="008E0360">
      <w:pPr>
        <w:spacing w:before="360"/>
        <w:rPr>
          <w:b/>
          <w:sz w:val="28"/>
          <w:szCs w:val="28"/>
          <w:u w:val="single"/>
        </w:rPr>
      </w:pPr>
      <w:r w:rsidRPr="00875563">
        <w:rPr>
          <w:b/>
          <w:bCs/>
          <w:sz w:val="28"/>
          <w:szCs w:val="28"/>
          <w:u w:val="single"/>
        </w:rPr>
        <w:t xml:space="preserve">Schedule </w:t>
      </w:r>
      <w:r>
        <w:rPr>
          <w:b/>
          <w:bCs/>
          <w:sz w:val="28"/>
          <w:szCs w:val="28"/>
          <w:u w:val="single"/>
        </w:rPr>
        <w:t>6</w:t>
      </w:r>
      <w:r w:rsidRPr="00875563">
        <w:rPr>
          <w:b/>
          <w:bCs/>
          <w:sz w:val="28"/>
          <w:szCs w:val="28"/>
          <w:u w:val="single"/>
        </w:rPr>
        <w:t xml:space="preserve"> - </w:t>
      </w:r>
      <w:r w:rsidR="00E847F3">
        <w:rPr>
          <w:b/>
          <w:bCs/>
          <w:sz w:val="28"/>
          <w:szCs w:val="28"/>
          <w:u w:val="single"/>
        </w:rPr>
        <w:t>Unaccredited collecting</w:t>
      </w:r>
      <w:r w:rsidRPr="00875563">
        <w:rPr>
          <w:b/>
          <w:bCs/>
          <w:sz w:val="28"/>
          <w:szCs w:val="28"/>
          <w:u w:val="single"/>
        </w:rPr>
        <w:t xml:space="preserve"> outsourced service providers</w:t>
      </w:r>
    </w:p>
    <w:p w14:paraId="4B454A87" w14:textId="6C9E4340" w:rsidR="00E847F3" w:rsidRDefault="00687BD1" w:rsidP="008E0360">
      <w:pPr>
        <w:spacing w:after="0"/>
        <w:ind w:right="91"/>
      </w:pPr>
      <w:r>
        <w:t xml:space="preserve">The definition of </w:t>
      </w:r>
      <w:r w:rsidRPr="00B77A91">
        <w:rPr>
          <w:i/>
          <w:iCs/>
        </w:rPr>
        <w:t>CDR outsourcing arrangement</w:t>
      </w:r>
      <w:r w:rsidRPr="009432E0">
        <w:t xml:space="preserve"> </w:t>
      </w:r>
      <w:r>
        <w:t xml:space="preserve">in rule 1.10 of the </w:t>
      </w:r>
      <w:r w:rsidR="009432E0">
        <w:t xml:space="preserve">CDR </w:t>
      </w:r>
      <w:r>
        <w:t xml:space="preserve">Rules is amended to allow </w:t>
      </w:r>
      <w:r w:rsidR="00E847F3">
        <w:t>any OSP, whether accredited or not, to collect CDR data on behalf of an accredited data recipient and to use that data, or data the accredited data recipient has disclosed to the OSP, to provide goods and services to the accredited data recipient.</w:t>
      </w:r>
      <w:r w:rsidR="00E847F3" w:rsidRPr="00046007">
        <w:t xml:space="preserve"> This</w:t>
      </w:r>
      <w:r w:rsidR="00E847F3">
        <w:t xml:space="preserve"> </w:t>
      </w:r>
      <w:r w:rsidR="00E847F3" w:rsidRPr="00046007">
        <w:t>allow</w:t>
      </w:r>
      <w:r w:rsidR="00E847F3">
        <w:t>s</w:t>
      </w:r>
      <w:r w:rsidR="00E847F3" w:rsidRPr="00046007">
        <w:t xml:space="preserve"> </w:t>
      </w:r>
      <w:r w:rsidR="00E847F3">
        <w:t>accredited data recipient</w:t>
      </w:r>
      <w:r w:rsidR="00E847F3" w:rsidRPr="00046007">
        <w:t>s to</w:t>
      </w:r>
      <w:r w:rsidR="00E847F3">
        <w:t xml:space="preserve"> </w:t>
      </w:r>
      <w:r w:rsidR="00E847F3" w:rsidRPr="00046007">
        <w:t>use</w:t>
      </w:r>
      <w:r w:rsidR="00E847F3">
        <w:t xml:space="preserve"> </w:t>
      </w:r>
      <w:r w:rsidR="00E847F3" w:rsidRPr="00046007">
        <w:t>the services of an unaccredited OSP to collect data directly from a data holder on their behalf.</w:t>
      </w:r>
      <w:r w:rsidR="00E847F3" w:rsidRPr="00E847F3">
        <w:rPr>
          <w:b/>
          <w:bCs/>
          <w:i/>
          <w:iCs/>
          <w:sz w:val="18"/>
          <w:szCs w:val="18"/>
        </w:rPr>
        <w:t xml:space="preserve"> </w:t>
      </w:r>
      <w:r w:rsidR="00E847F3">
        <w:rPr>
          <w:b/>
          <w:bCs/>
          <w:i/>
          <w:iCs/>
          <w:sz w:val="18"/>
          <w:szCs w:val="18"/>
        </w:rPr>
        <w:t>[Schedule</w:t>
      </w:r>
      <w:r w:rsidR="009432E0">
        <w:rPr>
          <w:b/>
          <w:bCs/>
          <w:i/>
          <w:iCs/>
          <w:sz w:val="18"/>
          <w:szCs w:val="18"/>
        </w:rPr>
        <w:t> </w:t>
      </w:r>
      <w:r w:rsidR="00E847F3">
        <w:rPr>
          <w:b/>
          <w:bCs/>
          <w:i/>
          <w:iCs/>
          <w:sz w:val="18"/>
          <w:szCs w:val="18"/>
        </w:rPr>
        <w:t>6, item 1, rule 1.10(2)(a)]</w:t>
      </w:r>
    </w:p>
    <w:p w14:paraId="07B066B9" w14:textId="0F7764E0" w:rsidR="00A6175E" w:rsidRDefault="00A6175E" w:rsidP="008E0360">
      <w:pPr>
        <w:rPr>
          <w:b/>
          <w:bCs/>
          <w:sz w:val="28"/>
          <w:szCs w:val="28"/>
          <w:u w:val="single"/>
        </w:rPr>
      </w:pPr>
      <w:r>
        <w:t>Outsourced service providers may now subcontract collecting activities</w:t>
      </w:r>
      <w:r w:rsidRPr="00046007">
        <w:t>. This</w:t>
      </w:r>
      <w:r>
        <w:t xml:space="preserve"> </w:t>
      </w:r>
      <w:r w:rsidRPr="00046007">
        <w:t xml:space="preserve">prohibition was </w:t>
      </w:r>
      <w:r>
        <w:t xml:space="preserve">originally </w:t>
      </w:r>
      <w:r w:rsidRPr="00046007">
        <w:t>required to ensure only accredited OSPs</w:t>
      </w:r>
      <w:r>
        <w:t xml:space="preserve"> </w:t>
      </w:r>
      <w:r w:rsidRPr="00046007">
        <w:t>could collect</w:t>
      </w:r>
      <w:r>
        <w:t xml:space="preserve"> </w:t>
      </w:r>
      <w:r w:rsidRPr="00046007">
        <w:t>CDR data on behalf of the principal under</w:t>
      </w:r>
      <w:r>
        <w:t xml:space="preserve"> </w:t>
      </w:r>
      <w:r w:rsidRPr="00046007">
        <w:t>the existing </w:t>
      </w:r>
      <w:proofErr w:type="gramStart"/>
      <w:r w:rsidRPr="00046007">
        <w:t>rules, and</w:t>
      </w:r>
      <w:proofErr w:type="gramEnd"/>
      <w:r>
        <w:t xml:space="preserve"> </w:t>
      </w:r>
      <w:r w:rsidRPr="00046007">
        <w:t>is no longer necessary given the expansion to unaccredited OSPs.</w:t>
      </w:r>
      <w:r w:rsidRPr="00E847F3">
        <w:rPr>
          <w:b/>
          <w:bCs/>
          <w:i/>
          <w:iCs/>
          <w:sz w:val="18"/>
          <w:szCs w:val="18"/>
        </w:rPr>
        <w:t xml:space="preserve"> </w:t>
      </w:r>
      <w:r>
        <w:rPr>
          <w:b/>
          <w:bCs/>
          <w:i/>
          <w:iCs/>
          <w:sz w:val="18"/>
          <w:szCs w:val="18"/>
        </w:rPr>
        <w:t>[Schedule 6, items 2</w:t>
      </w:r>
      <w:r w:rsidR="000D4CA2">
        <w:rPr>
          <w:b/>
          <w:bCs/>
          <w:i/>
          <w:iCs/>
          <w:sz w:val="18"/>
          <w:szCs w:val="18"/>
        </w:rPr>
        <w:t xml:space="preserve"> and </w:t>
      </w:r>
      <w:r>
        <w:rPr>
          <w:b/>
          <w:bCs/>
          <w:i/>
          <w:iCs/>
          <w:sz w:val="18"/>
          <w:szCs w:val="18"/>
        </w:rPr>
        <w:t>3, rule 1.10(2)]</w:t>
      </w:r>
    </w:p>
    <w:p w14:paraId="767969FD" w14:textId="17845BE7" w:rsidR="00A6175E" w:rsidRDefault="00A6175E" w:rsidP="008E0360">
      <w:r>
        <w:t xml:space="preserve">The Amending Rules make </w:t>
      </w:r>
      <w:r w:rsidR="007A4873">
        <w:t>t</w:t>
      </w:r>
      <w:r w:rsidR="005752DC">
        <w:t>wo</w:t>
      </w:r>
      <w:r w:rsidR="007A4873">
        <w:t xml:space="preserve"> consequential amendments in the privacy safeguard provisions to reflect that unaccredited outsourced service providers can collect CDR data on behalf of their principal. </w:t>
      </w:r>
    </w:p>
    <w:p w14:paraId="152872C0" w14:textId="0E86D8F4" w:rsidR="00BE3F1A" w:rsidRDefault="00BE3F1A" w:rsidP="008E0360">
      <w:r>
        <w:t xml:space="preserve">An accredited person’s CDR policy must contain details of each outsourced service </w:t>
      </w:r>
      <w:proofErr w:type="gramStart"/>
      <w:r>
        <w:t>provider, and</w:t>
      </w:r>
      <w:proofErr w:type="gramEnd"/>
      <w:r>
        <w:t xml:space="preserve"> include a description of the classes of CDR data collected by it. </w:t>
      </w:r>
      <w:r>
        <w:rPr>
          <w:b/>
          <w:bCs/>
          <w:i/>
          <w:iCs/>
          <w:sz w:val="18"/>
          <w:szCs w:val="18"/>
        </w:rPr>
        <w:t>[Schedule</w:t>
      </w:r>
      <w:r w:rsidR="009432E0">
        <w:rPr>
          <w:b/>
          <w:bCs/>
          <w:i/>
          <w:iCs/>
          <w:sz w:val="18"/>
          <w:szCs w:val="18"/>
        </w:rPr>
        <w:t> </w:t>
      </w:r>
      <w:r>
        <w:rPr>
          <w:b/>
          <w:bCs/>
          <w:i/>
          <w:iCs/>
          <w:sz w:val="18"/>
          <w:szCs w:val="18"/>
        </w:rPr>
        <w:t>6, item 15, rule 7.2(4)(c)(ii)]</w:t>
      </w:r>
    </w:p>
    <w:p w14:paraId="5CACF31A" w14:textId="15249728" w:rsidR="00BE3F1A" w:rsidRDefault="00BE3F1A" w:rsidP="008E0360">
      <w:r>
        <w:t xml:space="preserve">For the purposes of rule 7.6, any collection of service data by the provider in a CDR outsourcing arrangement is taken to have been by the principal under the arrangement. It is irrelevant whether the collection </w:t>
      </w:r>
      <w:r w:rsidR="005752DC">
        <w:t xml:space="preserve">was in accordance with the CDR outsourcing arrangement. This rule makes the principal liable for the existing civil penalty </w:t>
      </w:r>
      <w:r w:rsidR="00BC4987">
        <w:t xml:space="preserve">obligation </w:t>
      </w:r>
      <w:r w:rsidR="005752DC">
        <w:t xml:space="preserve">in rule 7.6, which </w:t>
      </w:r>
      <w:r w:rsidR="00BC4987">
        <w:t>has</w:t>
      </w:r>
      <w:r w:rsidR="005752DC">
        <w:t xml:space="preserve"> the default maximum available under section 76 of the Act. The size of the maximum penalty reflects the critical importance of the privacy safeguards to the CDR regime</w:t>
      </w:r>
      <w:proofErr w:type="gramStart"/>
      <w:r w:rsidR="005752DC">
        <w:t>, in particular, the</w:t>
      </w:r>
      <w:proofErr w:type="gramEnd"/>
      <w:r w:rsidR="005752DC">
        <w:t xml:space="preserve"> fundamental need to ensure CDR data is only used or disclosed for a permitted purpose. </w:t>
      </w:r>
      <w:r w:rsidR="005752DC">
        <w:rPr>
          <w:b/>
          <w:bCs/>
          <w:i/>
          <w:iCs/>
          <w:sz w:val="18"/>
          <w:szCs w:val="18"/>
        </w:rPr>
        <w:t>[Schedule 6, item 19, rule 7.6(5)]</w:t>
      </w:r>
    </w:p>
    <w:p w14:paraId="4563AB17" w14:textId="47474BF0" w:rsidR="00A6175E" w:rsidRDefault="00A6175E" w:rsidP="008E0360"/>
    <w:p w14:paraId="12D2D530" w14:textId="77777777" w:rsidR="00957DA4" w:rsidRDefault="00361DBC" w:rsidP="008E0360">
      <w:pPr>
        <w:rPr>
          <w:b/>
          <w:bCs/>
          <w:sz w:val="28"/>
          <w:szCs w:val="28"/>
          <w:u w:val="single"/>
        </w:rPr>
      </w:pPr>
      <w:r w:rsidRPr="00A42730">
        <w:rPr>
          <w:b/>
          <w:bCs/>
          <w:sz w:val="28"/>
          <w:szCs w:val="28"/>
          <w:u w:val="single"/>
        </w:rPr>
        <w:t xml:space="preserve">Schedule 6 – </w:t>
      </w:r>
      <w:r w:rsidR="00957DA4">
        <w:rPr>
          <w:b/>
          <w:bCs/>
          <w:sz w:val="28"/>
          <w:szCs w:val="28"/>
          <w:u w:val="single"/>
        </w:rPr>
        <w:t>Consequential and minor amendments</w:t>
      </w:r>
    </w:p>
    <w:p w14:paraId="5E9296B0" w14:textId="2A954511" w:rsidR="00512619" w:rsidRDefault="000126BF" w:rsidP="008E0360">
      <w:pPr>
        <w:spacing w:before="240"/>
        <w:rPr>
          <w:bCs/>
        </w:rPr>
      </w:pPr>
      <w:r>
        <w:rPr>
          <w:bCs/>
        </w:rPr>
        <w:t>On consumer dashboards, m</w:t>
      </w:r>
      <w:r w:rsidR="00C07AF6">
        <w:rPr>
          <w:bCs/>
        </w:rPr>
        <w:t>inor a</w:t>
      </w:r>
      <w:r w:rsidR="00C94AC7">
        <w:rPr>
          <w:bCs/>
        </w:rPr>
        <w:t>mendments are made to</w:t>
      </w:r>
      <w:r w:rsidR="00512619">
        <w:rPr>
          <w:bCs/>
        </w:rPr>
        <w:t>:</w:t>
      </w:r>
    </w:p>
    <w:p w14:paraId="2AB93C52" w14:textId="2D5B8293" w:rsidR="00512619" w:rsidRDefault="00C07AF6" w:rsidP="008E0360">
      <w:pPr>
        <w:pStyle w:val="Bullet"/>
        <w:spacing w:before="0"/>
      </w:pPr>
      <w:r>
        <w:t xml:space="preserve">clarify aspects of </w:t>
      </w:r>
      <w:r w:rsidR="00C409AA">
        <w:t>the consumer dashboard requirements</w:t>
      </w:r>
      <w:r w:rsidR="00512619">
        <w:t>;</w:t>
      </w:r>
      <w:r>
        <w:t xml:space="preserve"> and</w:t>
      </w:r>
      <w:r w:rsidR="00512619">
        <w:t xml:space="preserve"> </w:t>
      </w:r>
      <w:r w:rsidR="00512619">
        <w:rPr>
          <w:b/>
          <w:bCs/>
          <w:i/>
          <w:iCs/>
          <w:sz w:val="18"/>
          <w:szCs w:val="18"/>
        </w:rPr>
        <w:t>[Schedule 6, items 4, 5</w:t>
      </w:r>
      <w:r w:rsidR="000126BF">
        <w:rPr>
          <w:b/>
          <w:bCs/>
          <w:i/>
          <w:iCs/>
          <w:sz w:val="18"/>
          <w:szCs w:val="18"/>
        </w:rPr>
        <w:t xml:space="preserve"> and</w:t>
      </w:r>
      <w:r w:rsidR="007D54C7">
        <w:rPr>
          <w:b/>
          <w:bCs/>
          <w:i/>
          <w:iCs/>
          <w:sz w:val="18"/>
          <w:szCs w:val="18"/>
        </w:rPr>
        <w:t xml:space="preserve"> 8</w:t>
      </w:r>
      <w:r w:rsidR="000126BF">
        <w:rPr>
          <w:b/>
          <w:bCs/>
          <w:i/>
          <w:iCs/>
          <w:sz w:val="18"/>
          <w:szCs w:val="18"/>
        </w:rPr>
        <w:t>, rules 1.15(1) and (3)</w:t>
      </w:r>
      <w:r w:rsidR="00512619">
        <w:rPr>
          <w:b/>
          <w:bCs/>
          <w:i/>
          <w:iCs/>
          <w:sz w:val="18"/>
          <w:szCs w:val="18"/>
        </w:rPr>
        <w:t>]</w:t>
      </w:r>
    </w:p>
    <w:p w14:paraId="5BF0B1B0" w14:textId="55C269E2" w:rsidR="00C94AC7" w:rsidRDefault="00C07AF6" w:rsidP="008E0360">
      <w:pPr>
        <w:pStyle w:val="Bullet"/>
        <w:spacing w:before="0"/>
      </w:pPr>
      <w:r>
        <w:t xml:space="preserve">reflect that </w:t>
      </w:r>
      <w:r w:rsidR="00F57745">
        <w:t xml:space="preserve">dashboard requirements relating to joint accounts </w:t>
      </w:r>
      <w:r>
        <w:t xml:space="preserve">have been relocated from </w:t>
      </w:r>
      <w:r w:rsidR="00F57745">
        <w:t xml:space="preserve">the (banking-specific) </w:t>
      </w:r>
      <w:r>
        <w:t xml:space="preserve">Schedule 3 to the CDR Rules to the new </w:t>
      </w:r>
      <w:r w:rsidR="00F57745">
        <w:t xml:space="preserve">(sector-neutral) </w:t>
      </w:r>
      <w:r>
        <w:t>Part 4A</w:t>
      </w:r>
      <w:r w:rsidR="00C94AC7">
        <w:t>.</w:t>
      </w:r>
      <w:r w:rsidR="00512619">
        <w:t xml:space="preserve"> </w:t>
      </w:r>
      <w:r w:rsidR="00512619">
        <w:rPr>
          <w:b/>
          <w:bCs/>
          <w:i/>
          <w:iCs/>
          <w:sz w:val="18"/>
          <w:szCs w:val="18"/>
        </w:rPr>
        <w:t xml:space="preserve">[Schedule 6, items </w:t>
      </w:r>
      <w:r w:rsidR="007D54C7">
        <w:rPr>
          <w:b/>
          <w:bCs/>
          <w:i/>
          <w:iCs/>
          <w:sz w:val="18"/>
          <w:szCs w:val="18"/>
        </w:rPr>
        <w:t>6</w:t>
      </w:r>
      <w:r w:rsidR="000126BF">
        <w:rPr>
          <w:b/>
          <w:bCs/>
          <w:i/>
          <w:iCs/>
          <w:sz w:val="18"/>
          <w:szCs w:val="18"/>
        </w:rPr>
        <w:t xml:space="preserve"> and</w:t>
      </w:r>
      <w:r w:rsidR="007D54C7">
        <w:rPr>
          <w:b/>
          <w:bCs/>
          <w:i/>
          <w:iCs/>
          <w:sz w:val="18"/>
          <w:szCs w:val="18"/>
        </w:rPr>
        <w:t xml:space="preserve"> 7</w:t>
      </w:r>
      <w:r w:rsidR="000126BF">
        <w:rPr>
          <w:b/>
          <w:bCs/>
          <w:i/>
          <w:iCs/>
          <w:sz w:val="18"/>
          <w:szCs w:val="18"/>
        </w:rPr>
        <w:t>, rule 1.15(1)</w:t>
      </w:r>
      <w:r w:rsidR="00512619">
        <w:rPr>
          <w:b/>
          <w:bCs/>
          <w:i/>
          <w:iCs/>
          <w:sz w:val="18"/>
          <w:szCs w:val="18"/>
        </w:rPr>
        <w:t>]</w:t>
      </w:r>
    </w:p>
    <w:p w14:paraId="254229A0" w14:textId="14F76A92" w:rsidR="00512619" w:rsidRDefault="000126BF" w:rsidP="008E0360">
      <w:pPr>
        <w:pStyle w:val="Bullet"/>
        <w:numPr>
          <w:ilvl w:val="0"/>
          <w:numId w:val="0"/>
        </w:numPr>
        <w:spacing w:before="0"/>
        <w:rPr>
          <w:b/>
          <w:bCs/>
          <w:i/>
          <w:iCs/>
          <w:sz w:val="18"/>
          <w:szCs w:val="18"/>
        </w:rPr>
      </w:pPr>
      <w:r>
        <w:t xml:space="preserve">Typographical corrections are made to a note about a civil penalty provision and </w:t>
      </w:r>
      <w:r w:rsidR="003F370C">
        <w:t>a reference to</w:t>
      </w:r>
      <w:r>
        <w:t xml:space="preserve"> the Office of the Australian Information </w:t>
      </w:r>
      <w:r w:rsidR="003F370C">
        <w:t xml:space="preserve">Commissioner. </w:t>
      </w:r>
      <w:r w:rsidR="003F370C">
        <w:rPr>
          <w:b/>
          <w:bCs/>
          <w:i/>
          <w:iCs/>
          <w:sz w:val="18"/>
          <w:szCs w:val="18"/>
        </w:rPr>
        <w:t>[Schedule 6, items 9 and 10, rules 1.16(1) and 1.17(5)]</w:t>
      </w:r>
    </w:p>
    <w:p w14:paraId="075FEB74" w14:textId="74A6ACC2" w:rsidR="00D0378E" w:rsidRPr="00D0378E" w:rsidRDefault="00D0378E" w:rsidP="008E0360">
      <w:pPr>
        <w:pStyle w:val="Bullet"/>
        <w:numPr>
          <w:ilvl w:val="0"/>
          <w:numId w:val="0"/>
        </w:numPr>
        <w:spacing w:before="0"/>
        <w:rPr>
          <w:b/>
          <w:bCs/>
          <w:i/>
          <w:iCs/>
          <w:sz w:val="18"/>
          <w:szCs w:val="18"/>
        </w:rPr>
      </w:pPr>
      <w:r>
        <w:rPr>
          <w:szCs w:val="24"/>
        </w:rPr>
        <w:t xml:space="preserve">Certain elements of </w:t>
      </w:r>
      <w:r w:rsidR="003F370C">
        <w:rPr>
          <w:szCs w:val="24"/>
        </w:rPr>
        <w:t>rule 4.10, concerning requirements relating to an accredited person’s processes for seeking consent, are repealed</w:t>
      </w:r>
      <w:r>
        <w:rPr>
          <w:szCs w:val="24"/>
        </w:rPr>
        <w:t xml:space="preserve">. These elements are redundant as they </w:t>
      </w:r>
      <w:r w:rsidR="00D94F5E">
        <w:rPr>
          <w:szCs w:val="24"/>
        </w:rPr>
        <w:t>have been replaced with new rules that deal with</w:t>
      </w:r>
      <w:r>
        <w:rPr>
          <w:szCs w:val="24"/>
        </w:rPr>
        <w:t xml:space="preserve"> the application of data in transit standards. </w:t>
      </w:r>
      <w:r>
        <w:rPr>
          <w:b/>
          <w:bCs/>
          <w:i/>
          <w:iCs/>
          <w:sz w:val="18"/>
          <w:szCs w:val="18"/>
        </w:rPr>
        <w:t>[Schedule 6, items 11 and 12, rule</w:t>
      </w:r>
      <w:r w:rsidR="00856FB3">
        <w:rPr>
          <w:b/>
          <w:bCs/>
          <w:i/>
          <w:iCs/>
          <w:sz w:val="18"/>
          <w:szCs w:val="18"/>
        </w:rPr>
        <w:t>s 4.10(1)</w:t>
      </w:r>
      <w:r w:rsidR="00C43374">
        <w:rPr>
          <w:b/>
          <w:bCs/>
          <w:i/>
          <w:iCs/>
          <w:sz w:val="18"/>
          <w:szCs w:val="18"/>
        </w:rPr>
        <w:t>(</w:t>
      </w:r>
      <w:proofErr w:type="gramStart"/>
      <w:r w:rsidR="00C43374">
        <w:rPr>
          <w:b/>
          <w:bCs/>
          <w:i/>
          <w:iCs/>
          <w:sz w:val="18"/>
          <w:szCs w:val="18"/>
        </w:rPr>
        <w:t>a)</w:t>
      </w:r>
      <w:r w:rsidR="00856FB3">
        <w:rPr>
          <w:b/>
          <w:bCs/>
          <w:i/>
          <w:iCs/>
          <w:sz w:val="18"/>
          <w:szCs w:val="18"/>
        </w:rPr>
        <w:t>(</w:t>
      </w:r>
      <w:proofErr w:type="spellStart"/>
      <w:proofErr w:type="gramEnd"/>
      <w:r w:rsidR="00856FB3">
        <w:rPr>
          <w:b/>
          <w:bCs/>
          <w:i/>
          <w:iCs/>
          <w:sz w:val="18"/>
          <w:szCs w:val="18"/>
        </w:rPr>
        <w:t>ia</w:t>
      </w:r>
      <w:proofErr w:type="spellEnd"/>
      <w:r w:rsidR="00856FB3">
        <w:rPr>
          <w:b/>
          <w:bCs/>
          <w:i/>
          <w:iCs/>
          <w:sz w:val="18"/>
          <w:szCs w:val="18"/>
        </w:rPr>
        <w:t>) and (2)</w:t>
      </w:r>
      <w:r>
        <w:rPr>
          <w:b/>
          <w:bCs/>
          <w:i/>
          <w:iCs/>
          <w:sz w:val="18"/>
          <w:szCs w:val="18"/>
        </w:rPr>
        <w:t>]</w:t>
      </w:r>
    </w:p>
    <w:p w14:paraId="2E71C148" w14:textId="663DAEED" w:rsidR="00A23674" w:rsidRDefault="00A23674" w:rsidP="008E0360">
      <w:pPr>
        <w:pStyle w:val="Bullet"/>
        <w:numPr>
          <w:ilvl w:val="0"/>
          <w:numId w:val="0"/>
        </w:numPr>
        <w:spacing w:before="0"/>
        <w:rPr>
          <w:szCs w:val="24"/>
        </w:rPr>
      </w:pPr>
      <w:r>
        <w:rPr>
          <w:szCs w:val="24"/>
        </w:rPr>
        <w:lastRenderedPageBreak/>
        <w:t xml:space="preserve">A consequential amendment ensures the Data Recipient Accreditor is required to notify the Accreditation Registrar of certain notifications made by sponsors of affiliates or principals in a CDR representative arrangement. </w:t>
      </w:r>
      <w:r>
        <w:rPr>
          <w:b/>
          <w:bCs/>
          <w:i/>
          <w:iCs/>
          <w:sz w:val="18"/>
          <w:szCs w:val="18"/>
        </w:rPr>
        <w:t>[Schedule 6, item 1</w:t>
      </w:r>
      <w:r w:rsidR="00C43374">
        <w:rPr>
          <w:b/>
          <w:bCs/>
          <w:i/>
          <w:iCs/>
          <w:sz w:val="18"/>
          <w:szCs w:val="18"/>
        </w:rPr>
        <w:t>4</w:t>
      </w:r>
      <w:r>
        <w:rPr>
          <w:b/>
          <w:bCs/>
          <w:i/>
          <w:iCs/>
          <w:sz w:val="18"/>
          <w:szCs w:val="18"/>
        </w:rPr>
        <w:t>, item 5.15(a)(vi)]</w:t>
      </w:r>
      <w:r>
        <w:rPr>
          <w:szCs w:val="24"/>
        </w:rPr>
        <w:t xml:space="preserve"> </w:t>
      </w:r>
    </w:p>
    <w:p w14:paraId="70CB84B7" w14:textId="77777777" w:rsidR="00A23674" w:rsidRDefault="000D31D6" w:rsidP="008E0360">
      <w:pPr>
        <w:pStyle w:val="Bullet"/>
        <w:numPr>
          <w:ilvl w:val="0"/>
          <w:numId w:val="0"/>
        </w:numPr>
        <w:spacing w:before="0"/>
        <w:rPr>
          <w:szCs w:val="24"/>
        </w:rPr>
      </w:pPr>
      <w:r>
        <w:rPr>
          <w:szCs w:val="24"/>
        </w:rPr>
        <w:t xml:space="preserve">Minor </w:t>
      </w:r>
      <w:r w:rsidR="0071536D">
        <w:rPr>
          <w:szCs w:val="24"/>
        </w:rPr>
        <w:t>amendment</w:t>
      </w:r>
      <w:r>
        <w:rPr>
          <w:szCs w:val="24"/>
        </w:rPr>
        <w:t>s</w:t>
      </w:r>
      <w:r w:rsidR="0071536D">
        <w:rPr>
          <w:szCs w:val="24"/>
        </w:rPr>
        <w:t xml:space="preserve"> </w:t>
      </w:r>
      <w:r>
        <w:rPr>
          <w:szCs w:val="24"/>
        </w:rPr>
        <w:t>are</w:t>
      </w:r>
      <w:r w:rsidR="0071536D">
        <w:rPr>
          <w:szCs w:val="24"/>
        </w:rPr>
        <w:t xml:space="preserve"> made to clarify</w:t>
      </w:r>
      <w:r w:rsidR="00A23674">
        <w:rPr>
          <w:szCs w:val="24"/>
        </w:rPr>
        <w:t>:</w:t>
      </w:r>
    </w:p>
    <w:p w14:paraId="28948A70" w14:textId="502899AC" w:rsidR="00A23674" w:rsidRDefault="0071536D" w:rsidP="008E0360">
      <w:pPr>
        <w:pStyle w:val="Bullet"/>
        <w:spacing w:before="120"/>
      </w:pPr>
      <w:r>
        <w:rPr>
          <w:szCs w:val="24"/>
        </w:rPr>
        <w:t>the</w:t>
      </w:r>
      <w:r w:rsidR="005009D7">
        <w:rPr>
          <w:szCs w:val="24"/>
        </w:rPr>
        <w:t xml:space="preserve"> exception to rule 4.16 about electing to delete redundant data</w:t>
      </w:r>
      <w:r w:rsidR="00A23674">
        <w:t>;</w:t>
      </w:r>
      <w:r w:rsidR="00A23674" w:rsidRPr="00A23674">
        <w:rPr>
          <w:b/>
          <w:bCs/>
          <w:i/>
          <w:iCs/>
          <w:sz w:val="18"/>
          <w:szCs w:val="18"/>
        </w:rPr>
        <w:t xml:space="preserve"> </w:t>
      </w:r>
      <w:r w:rsidR="00A23674">
        <w:rPr>
          <w:b/>
          <w:bCs/>
          <w:i/>
          <w:iCs/>
          <w:sz w:val="18"/>
          <w:szCs w:val="18"/>
        </w:rPr>
        <w:t>[Schedule</w:t>
      </w:r>
      <w:r w:rsidR="00C43374">
        <w:rPr>
          <w:b/>
          <w:bCs/>
          <w:i/>
          <w:iCs/>
          <w:sz w:val="18"/>
          <w:szCs w:val="18"/>
        </w:rPr>
        <w:t> </w:t>
      </w:r>
      <w:r w:rsidR="00A23674">
        <w:rPr>
          <w:b/>
          <w:bCs/>
          <w:i/>
          <w:iCs/>
          <w:sz w:val="18"/>
          <w:szCs w:val="18"/>
        </w:rPr>
        <w:t>6, item 13, rule 4.16(3)]</w:t>
      </w:r>
    </w:p>
    <w:p w14:paraId="07FB905B" w14:textId="652A946C" w:rsidR="00A23674" w:rsidRDefault="000D31D6" w:rsidP="008E0360">
      <w:pPr>
        <w:pStyle w:val="Bullet"/>
        <w:spacing w:before="120"/>
      </w:pPr>
      <w:r>
        <w:rPr>
          <w:szCs w:val="24"/>
        </w:rPr>
        <w:t xml:space="preserve">what </w:t>
      </w:r>
      <w:r w:rsidR="00BA1A24">
        <w:rPr>
          <w:szCs w:val="24"/>
        </w:rPr>
        <w:t>must be included in an accredited data recipient’s CDR policy</w:t>
      </w:r>
      <w:r w:rsidR="00A23674">
        <w:t xml:space="preserve">; and </w:t>
      </w:r>
      <w:r w:rsidR="00A23674">
        <w:rPr>
          <w:b/>
          <w:bCs/>
          <w:i/>
          <w:iCs/>
          <w:sz w:val="18"/>
          <w:szCs w:val="18"/>
        </w:rPr>
        <w:t>[Schedule 6, item 15, rule 7.2(4)(c)(ii)]</w:t>
      </w:r>
    </w:p>
    <w:p w14:paraId="394F240B" w14:textId="409C3480" w:rsidR="00FE41ED" w:rsidRPr="00FE41ED" w:rsidRDefault="00FE41ED" w:rsidP="008E0360">
      <w:pPr>
        <w:pStyle w:val="Bullet"/>
        <w:spacing w:before="120"/>
        <w:rPr>
          <w:szCs w:val="24"/>
        </w:rPr>
      </w:pPr>
      <w:r>
        <w:rPr>
          <w:szCs w:val="24"/>
        </w:rPr>
        <w:t xml:space="preserve">that a disclosure is not a permitted use or disclosure unless it is done in accordance with the data standards; </w:t>
      </w:r>
      <w:r>
        <w:rPr>
          <w:b/>
          <w:bCs/>
          <w:i/>
          <w:iCs/>
          <w:sz w:val="18"/>
          <w:szCs w:val="18"/>
        </w:rPr>
        <w:t xml:space="preserve">[Schedule 6, item 16, </w:t>
      </w:r>
      <w:r w:rsidR="00C43374">
        <w:rPr>
          <w:b/>
          <w:bCs/>
          <w:i/>
          <w:iCs/>
          <w:sz w:val="18"/>
          <w:szCs w:val="18"/>
        </w:rPr>
        <w:t>rule</w:t>
      </w:r>
      <w:r>
        <w:rPr>
          <w:b/>
          <w:bCs/>
          <w:i/>
          <w:iCs/>
          <w:sz w:val="18"/>
          <w:szCs w:val="18"/>
        </w:rPr>
        <w:t xml:space="preserve"> 7.5(2)]</w:t>
      </w:r>
    </w:p>
    <w:p w14:paraId="79BA9C63" w14:textId="4396E43F" w:rsidR="00BC3F53" w:rsidRDefault="00A23674" w:rsidP="008E0360">
      <w:pPr>
        <w:pStyle w:val="Bullet"/>
        <w:spacing w:before="120"/>
        <w:rPr>
          <w:szCs w:val="24"/>
        </w:rPr>
      </w:pPr>
      <w:r>
        <w:t>that rule 7.5(3) about direct marketing uses and disclosures applies in relation to a use or disclosure by an accredited data recipient</w:t>
      </w:r>
      <w:r w:rsidR="00BC3F53">
        <w:t>; and</w:t>
      </w:r>
      <w:r w:rsidR="00BC3F53">
        <w:rPr>
          <w:szCs w:val="24"/>
        </w:rPr>
        <w:t xml:space="preserve"> </w:t>
      </w:r>
      <w:r w:rsidR="00BC3F53">
        <w:rPr>
          <w:b/>
          <w:bCs/>
          <w:i/>
          <w:iCs/>
          <w:sz w:val="18"/>
          <w:szCs w:val="18"/>
        </w:rPr>
        <w:t>[Schedule</w:t>
      </w:r>
      <w:r w:rsidR="00C43374">
        <w:rPr>
          <w:b/>
          <w:bCs/>
          <w:i/>
          <w:iCs/>
          <w:sz w:val="18"/>
          <w:szCs w:val="18"/>
        </w:rPr>
        <w:t> </w:t>
      </w:r>
      <w:r w:rsidR="00BC3F53">
        <w:rPr>
          <w:b/>
          <w:bCs/>
          <w:i/>
          <w:iCs/>
          <w:sz w:val="18"/>
          <w:szCs w:val="18"/>
        </w:rPr>
        <w:t>6, item 17, rule 7.5(3)]</w:t>
      </w:r>
    </w:p>
    <w:p w14:paraId="72C00D98" w14:textId="7F259774" w:rsidR="003F370C" w:rsidRDefault="00BC3F53" w:rsidP="008E0360">
      <w:pPr>
        <w:pStyle w:val="Bullet"/>
        <w:spacing w:before="120"/>
        <w:rPr>
          <w:szCs w:val="24"/>
        </w:rPr>
      </w:pPr>
      <w:r>
        <w:t>how rule 7.6 describes the provider in a CDR outsourcing arrangement.</w:t>
      </w:r>
      <w:r w:rsidR="002E3F23">
        <w:rPr>
          <w:szCs w:val="24"/>
        </w:rPr>
        <w:t xml:space="preserve"> </w:t>
      </w:r>
      <w:r w:rsidR="002E3F23">
        <w:rPr>
          <w:b/>
          <w:bCs/>
          <w:i/>
          <w:iCs/>
          <w:sz w:val="18"/>
          <w:szCs w:val="18"/>
        </w:rPr>
        <w:t>[Schedule</w:t>
      </w:r>
      <w:r>
        <w:rPr>
          <w:b/>
          <w:bCs/>
          <w:i/>
          <w:iCs/>
          <w:sz w:val="18"/>
          <w:szCs w:val="18"/>
        </w:rPr>
        <w:t> </w:t>
      </w:r>
      <w:r w:rsidR="002E3F23">
        <w:rPr>
          <w:b/>
          <w:bCs/>
          <w:i/>
          <w:iCs/>
          <w:sz w:val="18"/>
          <w:szCs w:val="18"/>
        </w:rPr>
        <w:t>6, item</w:t>
      </w:r>
      <w:r w:rsidR="00BA1A24">
        <w:rPr>
          <w:b/>
          <w:bCs/>
          <w:i/>
          <w:iCs/>
          <w:sz w:val="18"/>
          <w:szCs w:val="18"/>
        </w:rPr>
        <w:t>s</w:t>
      </w:r>
      <w:r w:rsidR="002E3F23">
        <w:rPr>
          <w:b/>
          <w:bCs/>
          <w:i/>
          <w:iCs/>
          <w:sz w:val="18"/>
          <w:szCs w:val="18"/>
        </w:rPr>
        <w:t xml:space="preserve"> 1</w:t>
      </w:r>
      <w:r>
        <w:rPr>
          <w:b/>
          <w:bCs/>
          <w:i/>
          <w:iCs/>
          <w:sz w:val="18"/>
          <w:szCs w:val="18"/>
        </w:rPr>
        <w:t>8</w:t>
      </w:r>
      <w:r w:rsidR="00D55C9F">
        <w:rPr>
          <w:b/>
          <w:bCs/>
          <w:i/>
          <w:iCs/>
          <w:sz w:val="18"/>
          <w:szCs w:val="18"/>
        </w:rPr>
        <w:t>, rule 7.</w:t>
      </w:r>
      <w:r>
        <w:rPr>
          <w:b/>
          <w:bCs/>
          <w:i/>
          <w:iCs/>
          <w:sz w:val="18"/>
          <w:szCs w:val="18"/>
        </w:rPr>
        <w:t>6</w:t>
      </w:r>
      <w:r w:rsidR="00D55C9F">
        <w:rPr>
          <w:b/>
          <w:bCs/>
          <w:i/>
          <w:iCs/>
          <w:sz w:val="18"/>
          <w:szCs w:val="18"/>
        </w:rPr>
        <w:t>(</w:t>
      </w:r>
      <w:r>
        <w:rPr>
          <w:b/>
          <w:bCs/>
          <w:i/>
          <w:iCs/>
          <w:sz w:val="18"/>
          <w:szCs w:val="18"/>
        </w:rPr>
        <w:t>2</w:t>
      </w:r>
      <w:r w:rsidR="00D55C9F">
        <w:rPr>
          <w:b/>
          <w:bCs/>
          <w:i/>
          <w:iCs/>
          <w:sz w:val="18"/>
          <w:szCs w:val="18"/>
        </w:rPr>
        <w:t>)</w:t>
      </w:r>
      <w:r>
        <w:rPr>
          <w:b/>
          <w:bCs/>
          <w:i/>
          <w:iCs/>
          <w:sz w:val="18"/>
          <w:szCs w:val="18"/>
        </w:rPr>
        <w:t>(a)</w:t>
      </w:r>
      <w:r w:rsidR="002E3F23">
        <w:rPr>
          <w:b/>
          <w:bCs/>
          <w:i/>
          <w:iCs/>
          <w:sz w:val="18"/>
          <w:szCs w:val="18"/>
        </w:rPr>
        <w:t>]</w:t>
      </w:r>
    </w:p>
    <w:p w14:paraId="56F25FF2" w14:textId="2147FE1D" w:rsidR="00D01C77" w:rsidRPr="00D01C77" w:rsidRDefault="00D01C77" w:rsidP="008E0360">
      <w:pPr>
        <w:pStyle w:val="Bullet"/>
        <w:numPr>
          <w:ilvl w:val="0"/>
          <w:numId w:val="0"/>
        </w:numPr>
        <w:spacing w:before="0"/>
        <w:rPr>
          <w:b/>
          <w:bCs/>
          <w:i/>
          <w:iCs/>
          <w:sz w:val="18"/>
          <w:szCs w:val="18"/>
        </w:rPr>
      </w:pPr>
      <w:r>
        <w:rPr>
          <w:szCs w:val="24"/>
        </w:rPr>
        <w:t xml:space="preserve">On record-keeping, consequential amendments are made to ensure a CDR consumer may request an accredited data recipient for copies of records that relate to the consumer, in connection with trusted advisers, CDR insights and CDR representative arrangements. </w:t>
      </w:r>
      <w:r>
        <w:rPr>
          <w:b/>
          <w:bCs/>
          <w:i/>
          <w:iCs/>
          <w:sz w:val="18"/>
          <w:szCs w:val="18"/>
        </w:rPr>
        <w:t>[Schedule 6, item 20, rule 9.5(2)]</w:t>
      </w:r>
    </w:p>
    <w:p w14:paraId="75EB9A99" w14:textId="0EBF253F" w:rsidR="002E3F23" w:rsidRPr="00BC3F53" w:rsidRDefault="00BC3F53" w:rsidP="008E0360">
      <w:pPr>
        <w:pStyle w:val="Bullet"/>
        <w:numPr>
          <w:ilvl w:val="0"/>
          <w:numId w:val="0"/>
        </w:numPr>
        <w:spacing w:before="0"/>
        <w:rPr>
          <w:b/>
          <w:bCs/>
          <w:i/>
          <w:iCs/>
          <w:sz w:val="18"/>
          <w:szCs w:val="18"/>
        </w:rPr>
      </w:pPr>
      <w:r>
        <w:rPr>
          <w:szCs w:val="24"/>
        </w:rPr>
        <w:t>Amendments are made to improve the presentation of the information security controls table in Schedule 2</w:t>
      </w:r>
      <w:r w:rsidR="00FE41ED">
        <w:rPr>
          <w:szCs w:val="24"/>
        </w:rPr>
        <w:t xml:space="preserve"> to the CDR Rules (which relates to </w:t>
      </w:r>
      <w:r>
        <w:rPr>
          <w:szCs w:val="24"/>
        </w:rPr>
        <w:t>privacy safeguard</w:t>
      </w:r>
      <w:r w:rsidR="00FE41ED">
        <w:rPr>
          <w:szCs w:val="24"/>
        </w:rPr>
        <w:t> </w:t>
      </w:r>
      <w:r>
        <w:rPr>
          <w:szCs w:val="24"/>
        </w:rPr>
        <w:t>12</w:t>
      </w:r>
      <w:r w:rsidR="00FE41ED">
        <w:rPr>
          <w:szCs w:val="24"/>
        </w:rPr>
        <w:t xml:space="preserve"> – </w:t>
      </w:r>
      <w:r>
        <w:rPr>
          <w:szCs w:val="24"/>
        </w:rPr>
        <w:t xml:space="preserve">security of CDR data held by accredited data recipients). </w:t>
      </w:r>
      <w:r>
        <w:rPr>
          <w:b/>
          <w:bCs/>
          <w:i/>
          <w:iCs/>
          <w:sz w:val="18"/>
          <w:szCs w:val="18"/>
        </w:rPr>
        <w:t>[Schedule 6, item</w:t>
      </w:r>
      <w:r w:rsidR="00C43374">
        <w:rPr>
          <w:b/>
          <w:bCs/>
          <w:i/>
          <w:iCs/>
          <w:sz w:val="18"/>
          <w:szCs w:val="18"/>
        </w:rPr>
        <w:t> </w:t>
      </w:r>
      <w:r>
        <w:rPr>
          <w:b/>
          <w:bCs/>
          <w:i/>
          <w:iCs/>
          <w:sz w:val="18"/>
          <w:szCs w:val="18"/>
        </w:rPr>
        <w:t xml:space="preserve">22, </w:t>
      </w:r>
      <w:r w:rsidR="00FE41ED">
        <w:rPr>
          <w:b/>
          <w:bCs/>
          <w:i/>
          <w:iCs/>
          <w:sz w:val="18"/>
          <w:szCs w:val="18"/>
        </w:rPr>
        <w:t>table in clause 2.2 of Schedule 2 to the CDR Rules]</w:t>
      </w:r>
    </w:p>
    <w:p w14:paraId="4DDAC414" w14:textId="51A55A8A" w:rsidR="00E853A0" w:rsidRPr="003B4939" w:rsidRDefault="00E853A0" w:rsidP="008E0360">
      <w:pPr>
        <w:keepNext/>
        <w:spacing w:before="240"/>
        <w:ind w:right="91"/>
        <w:rPr>
          <w:i/>
          <w:iCs/>
        </w:rPr>
      </w:pPr>
      <w:r w:rsidRPr="003B4939">
        <w:rPr>
          <w:i/>
          <w:iCs/>
        </w:rPr>
        <w:t xml:space="preserve">Civil penalty provisions </w:t>
      </w:r>
    </w:p>
    <w:p w14:paraId="60074B18" w14:textId="638E22E4" w:rsidR="00D46DEA" w:rsidRPr="003B4939" w:rsidRDefault="0068709A" w:rsidP="008E0360">
      <w:pPr>
        <w:rPr>
          <w:b/>
          <w:i/>
          <w:iCs/>
          <w:sz w:val="18"/>
          <w:szCs w:val="18"/>
        </w:rPr>
      </w:pPr>
      <w:r w:rsidRPr="0068709A">
        <w:rPr>
          <w:bCs/>
        </w:rPr>
        <w:t xml:space="preserve">Under section 56BL of the Act, the rules may specify that certain provisions of the rules are civil penalty provisions (within the meaning of the </w:t>
      </w:r>
      <w:r w:rsidRPr="0068709A">
        <w:rPr>
          <w:bCs/>
          <w:i/>
          <w:iCs/>
        </w:rPr>
        <w:t>Regulatory Powers (Standard Provisions) Act 2014</w:t>
      </w:r>
      <w:r w:rsidRPr="0068709A">
        <w:rPr>
          <w:bCs/>
        </w:rPr>
        <w:t xml:space="preserve">). </w:t>
      </w:r>
      <w:r>
        <w:rPr>
          <w:bCs/>
        </w:rPr>
        <w:t xml:space="preserve">Amendments are made to </w:t>
      </w:r>
      <w:r w:rsidRPr="0068709A">
        <w:rPr>
          <w:bCs/>
        </w:rPr>
        <w:t xml:space="preserve">Rule 9.8 </w:t>
      </w:r>
      <w:r>
        <w:rPr>
          <w:bCs/>
        </w:rPr>
        <w:t xml:space="preserve">to </w:t>
      </w:r>
      <w:r w:rsidR="00BE6C9B">
        <w:rPr>
          <w:bCs/>
        </w:rPr>
        <w:t xml:space="preserve">include </w:t>
      </w:r>
      <w:r>
        <w:rPr>
          <w:bCs/>
        </w:rPr>
        <w:t>the new civil penalty provisions set out above</w:t>
      </w:r>
      <w:r w:rsidR="003B4939">
        <w:rPr>
          <w:bCs/>
        </w:rPr>
        <w:t xml:space="preserve"> in this explanatory statement</w:t>
      </w:r>
      <w:r>
        <w:rPr>
          <w:bCs/>
        </w:rPr>
        <w:t>.</w:t>
      </w:r>
      <w:r w:rsidR="003B4939">
        <w:rPr>
          <w:bCs/>
        </w:rPr>
        <w:t xml:space="preserve"> </w:t>
      </w:r>
      <w:r w:rsidR="003B4939">
        <w:rPr>
          <w:b/>
          <w:i/>
          <w:iCs/>
          <w:sz w:val="18"/>
          <w:szCs w:val="18"/>
        </w:rPr>
        <w:t>[Schedule 6, item 21, rule 9.8]</w:t>
      </w:r>
    </w:p>
    <w:p w14:paraId="381525D8" w14:textId="182BD489" w:rsidR="003B4939" w:rsidRPr="003B4939" w:rsidRDefault="003B4939" w:rsidP="008E0360">
      <w:pPr>
        <w:rPr>
          <w:bCs/>
        </w:rPr>
      </w:pPr>
      <w:r>
        <w:rPr>
          <w:bCs/>
        </w:rPr>
        <w:t xml:space="preserve">The default </w:t>
      </w:r>
      <w:r w:rsidR="00A31935">
        <w:rPr>
          <w:bCs/>
        </w:rPr>
        <w:t xml:space="preserve">maximum </w:t>
      </w:r>
      <w:r>
        <w:rPr>
          <w:bCs/>
        </w:rPr>
        <w:t>civil penalty for a breach of CDR Rules is</w:t>
      </w:r>
      <w:r w:rsidR="00A31935">
        <w:rPr>
          <w:bCs/>
        </w:rPr>
        <w:t xml:space="preserve"> </w:t>
      </w:r>
      <w:r w:rsidRPr="003B4939">
        <w:rPr>
          <w:bCs/>
        </w:rPr>
        <w:t>$500,000 for an individual. For a body corporate, the maximum is the greatest of:</w:t>
      </w:r>
    </w:p>
    <w:p w14:paraId="70B2AE04" w14:textId="3213099C" w:rsidR="003B4939" w:rsidRPr="003B4939" w:rsidRDefault="003B4939" w:rsidP="008E0360">
      <w:pPr>
        <w:pStyle w:val="Bullet"/>
        <w:spacing w:before="120"/>
      </w:pPr>
      <w:r w:rsidRPr="003B4939">
        <w:t xml:space="preserve">$10 </w:t>
      </w:r>
      <w:proofErr w:type="gramStart"/>
      <w:r w:rsidRPr="003B4939">
        <w:t>million;</w:t>
      </w:r>
      <w:proofErr w:type="gramEnd"/>
    </w:p>
    <w:p w14:paraId="29D2B122" w14:textId="03429CAD" w:rsidR="003B4939" w:rsidRPr="003B4939" w:rsidRDefault="003B4939" w:rsidP="008E0360">
      <w:pPr>
        <w:pStyle w:val="Bullet"/>
        <w:spacing w:before="120"/>
      </w:pPr>
      <w:r w:rsidRPr="003B4939">
        <w:t>if the court can determine the value of the benefit obtained and that is reasonably attributable to the act or omission – three times the value of that benefit; and</w:t>
      </w:r>
    </w:p>
    <w:p w14:paraId="0E10B2B3" w14:textId="3600E099" w:rsidR="003B4939" w:rsidRDefault="003B4939" w:rsidP="008E0360">
      <w:pPr>
        <w:pStyle w:val="Bullet"/>
        <w:spacing w:before="120"/>
      </w:pPr>
      <w:r w:rsidRPr="003B4939">
        <w:t>if the court cannot determine the value of that benefit – 10% of annual turnover during the period of 12 months ending at the end of the month in which the act or omission occurred.</w:t>
      </w:r>
    </w:p>
    <w:p w14:paraId="5AB44E5D" w14:textId="33C600BD" w:rsidR="003B4939" w:rsidRDefault="003B4939" w:rsidP="008E0360">
      <w:pPr>
        <w:rPr>
          <w:bCs/>
        </w:rPr>
      </w:pPr>
      <w:r>
        <w:rPr>
          <w:bCs/>
        </w:rPr>
        <w:t>T</w:t>
      </w:r>
      <w:r w:rsidR="00A31935">
        <w:rPr>
          <w:bCs/>
        </w:rPr>
        <w:t xml:space="preserve">his explanatory statement indicates where the Amending Rules introduce a civil penalty provision and the rationale for each penalty. It also indicates whether the default maximum civil penalty </w:t>
      </w:r>
      <w:proofErr w:type="gramStart"/>
      <w:r w:rsidR="00A31935">
        <w:rPr>
          <w:bCs/>
        </w:rPr>
        <w:t>applies</w:t>
      </w:r>
      <w:proofErr w:type="gramEnd"/>
      <w:r w:rsidR="00A31935">
        <w:rPr>
          <w:bCs/>
        </w:rPr>
        <w:t xml:space="preserve"> or a lower maximum is set to reflect the particular nature of the obligation. </w:t>
      </w:r>
    </w:p>
    <w:p w14:paraId="527B65FE" w14:textId="69E44A8D" w:rsidR="007A55A7" w:rsidRDefault="007A55A7" w:rsidP="008E0360">
      <w:pPr>
        <w:pageBreakBefore/>
        <w:spacing w:before="240"/>
        <w:jc w:val="right"/>
        <w:rPr>
          <w:b/>
          <w:u w:val="single"/>
        </w:rPr>
      </w:pPr>
      <w:r w:rsidRPr="007B335E">
        <w:rPr>
          <w:b/>
          <w:u w:val="single"/>
        </w:rPr>
        <w:lastRenderedPageBreak/>
        <w:t xml:space="preserve">ATTACHMENT </w:t>
      </w:r>
      <w:r w:rsidR="00361DBC">
        <w:rPr>
          <w:b/>
          <w:u w:val="single"/>
        </w:rPr>
        <w:t>B</w:t>
      </w:r>
    </w:p>
    <w:p w14:paraId="63049198" w14:textId="77777777" w:rsidR="00E4438C" w:rsidRPr="00462095" w:rsidRDefault="00E4438C" w:rsidP="008E0360">
      <w:pPr>
        <w:pStyle w:val="Heading3"/>
      </w:pPr>
      <w:r w:rsidRPr="00462095">
        <w:t>Statement of Compatibility with Human Rights</w:t>
      </w:r>
    </w:p>
    <w:p w14:paraId="415269A2" w14:textId="77777777" w:rsidR="00E4438C" w:rsidRPr="00647BB7" w:rsidRDefault="00E4438C" w:rsidP="008E0360">
      <w:pPr>
        <w:spacing w:before="240"/>
        <w:jc w:val="center"/>
        <w:rPr>
          <w:i/>
        </w:rPr>
      </w:pPr>
      <w:r w:rsidRPr="00647BB7">
        <w:rPr>
          <w:i/>
        </w:rPr>
        <w:t>Prepared in accordance with Part 3 of the Human Rights (Parliamentary Scrutiny) Act 2011</w:t>
      </w:r>
    </w:p>
    <w:p w14:paraId="11AB3788" w14:textId="5ABA198E" w:rsidR="00E4438C" w:rsidRPr="00647BB7" w:rsidRDefault="00C42D31" w:rsidP="008E0360">
      <w:pPr>
        <w:pStyle w:val="Heading3"/>
        <w:jc w:val="center"/>
      </w:pPr>
      <w:r>
        <w:t xml:space="preserve">Competition and Consumer (Consumer Data Right) Amendment Rules </w:t>
      </w:r>
      <w:r w:rsidR="00484D82">
        <w:t xml:space="preserve">(No. 1) </w:t>
      </w:r>
      <w:r>
        <w:t>2021</w:t>
      </w:r>
    </w:p>
    <w:p w14:paraId="707E216A" w14:textId="77777777" w:rsidR="00E4438C" w:rsidRPr="00647BB7" w:rsidRDefault="00E4438C" w:rsidP="008E0360">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31D4C483" w14:textId="77777777" w:rsidR="00E4438C" w:rsidRPr="00647BB7" w:rsidRDefault="00E4438C" w:rsidP="008E0360">
      <w:pPr>
        <w:pStyle w:val="Heading3"/>
      </w:pPr>
      <w:r w:rsidRPr="00647BB7">
        <w:t>Overview of the Legislative Instrument</w:t>
      </w:r>
    </w:p>
    <w:p w14:paraId="4FBD343D" w14:textId="77777777" w:rsidR="00927382" w:rsidRDefault="00927382" w:rsidP="008E0360">
      <w:r>
        <w:t xml:space="preserve">The purpose of the </w:t>
      </w:r>
      <w:r>
        <w:rPr>
          <w:i/>
          <w:iCs/>
        </w:rPr>
        <w:t xml:space="preserve">Competition and Consumer (Consumer Data Right) Amendment Rules (No. 1) 2021 </w:t>
      </w:r>
      <w:r>
        <w:t xml:space="preserve">(the Amending Rules) is to amend the </w:t>
      </w:r>
      <w:r w:rsidRPr="00C569A7">
        <w:rPr>
          <w:i/>
          <w:iCs/>
        </w:rPr>
        <w:t>Competition and Consumer (Consumer Data Right) Rules 2020</w:t>
      </w:r>
      <w:r>
        <w:t xml:space="preserve"> (the CDR Rules) to: </w:t>
      </w:r>
    </w:p>
    <w:p w14:paraId="2889ED2A" w14:textId="77777777" w:rsidR="00927382" w:rsidRDefault="00927382" w:rsidP="008E0360">
      <w:pPr>
        <w:pStyle w:val="Bullet"/>
        <w:spacing w:before="120"/>
      </w:pPr>
      <w:r>
        <w:t xml:space="preserve">facilitate greater participation in the CDR regime by participants and </w:t>
      </w:r>
      <w:proofErr w:type="gramStart"/>
      <w:r>
        <w:t>consumers;</w:t>
      </w:r>
      <w:proofErr w:type="gramEnd"/>
      <w:r>
        <w:t xml:space="preserve"> </w:t>
      </w:r>
    </w:p>
    <w:p w14:paraId="4E5C3867" w14:textId="77777777" w:rsidR="00927382" w:rsidRDefault="00927382" w:rsidP="008E0360">
      <w:pPr>
        <w:pStyle w:val="Bullet"/>
        <w:spacing w:before="120"/>
      </w:pPr>
      <w:r>
        <w:t xml:space="preserve">provide greater control and choice to consumers in sharing their </w:t>
      </w:r>
      <w:proofErr w:type="gramStart"/>
      <w:r>
        <w:t>data;</w:t>
      </w:r>
      <w:proofErr w:type="gramEnd"/>
      <w:r>
        <w:t xml:space="preserve"> </w:t>
      </w:r>
    </w:p>
    <w:p w14:paraId="42ECA095" w14:textId="77777777" w:rsidR="00927382" w:rsidRDefault="00927382" w:rsidP="008E0360">
      <w:pPr>
        <w:pStyle w:val="Bullet"/>
        <w:spacing w:before="120"/>
      </w:pPr>
      <w:r>
        <w:t>promote innovation of CDR offerings including intermediary services; and</w:t>
      </w:r>
    </w:p>
    <w:p w14:paraId="0AD953D1" w14:textId="77777777" w:rsidR="00927382" w:rsidRDefault="00927382" w:rsidP="008E0360">
      <w:pPr>
        <w:pStyle w:val="Bullet"/>
        <w:spacing w:before="120"/>
      </w:pPr>
      <w:r>
        <w:t xml:space="preserve">enable services to be more effectively and efficiently provided to customers. </w:t>
      </w:r>
    </w:p>
    <w:p w14:paraId="4E712AAD" w14:textId="77777777" w:rsidR="00AC799F" w:rsidRDefault="00AC799F" w:rsidP="008E0360">
      <w:pPr>
        <w:pStyle w:val="Dotpoint"/>
        <w:numPr>
          <w:ilvl w:val="0"/>
          <w:numId w:val="0"/>
        </w:numPr>
      </w:pPr>
      <w:r>
        <w:t xml:space="preserve">Schedule 1 to the Amending Rules implements the sponsored accreditation model. This reduces the cost of accreditation by altering certain obligations to establish information security capability as part of the accreditation process and ongoing accreditation obligations. </w:t>
      </w:r>
    </w:p>
    <w:p w14:paraId="667F2010" w14:textId="76E2800A" w:rsidR="00AC799F" w:rsidRDefault="00AC799F" w:rsidP="008E0360">
      <w:pPr>
        <w:pStyle w:val="Dotpoint"/>
        <w:numPr>
          <w:ilvl w:val="0"/>
          <w:numId w:val="0"/>
        </w:numPr>
      </w:pPr>
      <w:r>
        <w:t xml:space="preserve">Schedule 2 to the Amending Rules establishes the CDR representative model. This allows eligible participants to access the CDR and use data without the need for accreditation in circumstances where they offer CDR-related services to consumers as a representative of an accredited data recipient. </w:t>
      </w:r>
    </w:p>
    <w:p w14:paraId="6A1D5CF2" w14:textId="77777777" w:rsidR="00AC799F" w:rsidRDefault="00AC799F" w:rsidP="008E0360">
      <w:pPr>
        <w:pStyle w:val="Dotpoint"/>
        <w:numPr>
          <w:ilvl w:val="0"/>
          <w:numId w:val="0"/>
        </w:numPr>
      </w:pPr>
      <w:r>
        <w:t xml:space="preserve">Schedule 3 to the Amending Rules allows </w:t>
      </w:r>
      <w:r w:rsidRPr="00600EAB">
        <w:t xml:space="preserve">consumers to </w:t>
      </w:r>
      <w:r>
        <w:t xml:space="preserve">nominate persons as </w:t>
      </w:r>
      <w:r w:rsidRPr="00AC799F">
        <w:t>trusted advisers to whom an accredited person may disclose the consumer’s data outs</w:t>
      </w:r>
      <w:r w:rsidRPr="00600EAB">
        <w:t xml:space="preserve">ide the CDR </w:t>
      </w:r>
      <w:r>
        <w:t xml:space="preserve">regime. The classes of trusted advisers are </w:t>
      </w:r>
      <w:r w:rsidRPr="00600EAB">
        <w:t xml:space="preserve">professions that </w:t>
      </w:r>
      <w:proofErr w:type="gramStart"/>
      <w:r>
        <w:t>are considered to be</w:t>
      </w:r>
      <w:proofErr w:type="gramEnd"/>
      <w:r>
        <w:t xml:space="preserve"> </w:t>
      </w:r>
      <w:r w:rsidRPr="00600EAB">
        <w:t>sufficiently regulated to ensure a strong level of consumer protection is maintained</w:t>
      </w:r>
      <w:r>
        <w:t>.</w:t>
      </w:r>
    </w:p>
    <w:p w14:paraId="0383A64E" w14:textId="77777777" w:rsidR="00AC799F" w:rsidRDefault="00AC799F" w:rsidP="008E0360">
      <w:pPr>
        <w:pStyle w:val="Dotpoint"/>
        <w:numPr>
          <w:ilvl w:val="0"/>
          <w:numId w:val="0"/>
        </w:numPr>
      </w:pPr>
      <w:r>
        <w:t xml:space="preserve">Schedule 3 to the Amending Rules also introduces the concept of a CDR insight. This allows CDR consumers to consent to their data being shared outside the CDR regime for prescribed purposes that are considered low risk and that are designed to limit the data shared to only what is necessary for the consumer to receive a service. </w:t>
      </w:r>
    </w:p>
    <w:p w14:paraId="6C8FB182" w14:textId="77777777" w:rsidR="00AC799F" w:rsidRDefault="00AC799F" w:rsidP="008E0360">
      <w:pPr>
        <w:pStyle w:val="Dotpoint"/>
        <w:numPr>
          <w:ilvl w:val="0"/>
          <w:numId w:val="0"/>
        </w:numPr>
      </w:pPr>
      <w:r>
        <w:t>Schedule 4 to the Amending Rules provides for joint accounts to be in scope</w:t>
      </w:r>
      <w:r w:rsidDel="00597DF2">
        <w:t xml:space="preserve"> </w:t>
      </w:r>
      <w:r>
        <w:t>for data sharing under the CDR by default (a ‘pre-approval’ setting), with mechanisms by which a joint account holder may adjust or change the pre-approval option also provided. Any joint account holder may withdraw a consent for data sharing on an account at any time.</w:t>
      </w:r>
    </w:p>
    <w:p w14:paraId="5F99CAC0" w14:textId="77777777" w:rsidR="00AC799F" w:rsidRDefault="00AC799F" w:rsidP="008E0360">
      <w:pPr>
        <w:pStyle w:val="Dotpoint"/>
        <w:numPr>
          <w:ilvl w:val="0"/>
          <w:numId w:val="0"/>
        </w:numPr>
      </w:pPr>
      <w:r>
        <w:lastRenderedPageBreak/>
        <w:t>Schedule 5 to the Amending Rules provides for staged implementation of rules relating to joint accounts and ‘direct to consumer’ obligations in the banking sector.</w:t>
      </w:r>
    </w:p>
    <w:p w14:paraId="4A8169B2" w14:textId="77777777" w:rsidR="00AC799F" w:rsidRDefault="00AC799F" w:rsidP="008E0360">
      <w:pPr>
        <w:pStyle w:val="Dotpoint"/>
        <w:numPr>
          <w:ilvl w:val="0"/>
          <w:numId w:val="0"/>
        </w:numPr>
      </w:pPr>
      <w:r>
        <w:t xml:space="preserve">Schedule 6 to the Amending Rules enables an accredited person to rely on unaccredited outsourced service providers to collect CDR data and thereby reduce the cost of building and operating application programming interfaces that connect to data holders. </w:t>
      </w:r>
    </w:p>
    <w:p w14:paraId="2A0411C6" w14:textId="6C8965DF" w:rsidR="00927382" w:rsidRDefault="00AC799F" w:rsidP="008E0360">
      <w:pPr>
        <w:pStyle w:val="Dotpoint"/>
        <w:numPr>
          <w:ilvl w:val="0"/>
          <w:numId w:val="0"/>
        </w:numPr>
      </w:pPr>
      <w:r>
        <w:t>Schedule 6 to the Amending Rules also makes consequential and minor amendments, with Schedule 7 to Amending Rules setting out transitional matters relating to the joint account amendments.</w:t>
      </w:r>
    </w:p>
    <w:p w14:paraId="55A6C499" w14:textId="20A0BC15" w:rsidR="00E4438C" w:rsidRPr="00647BB7" w:rsidRDefault="00E4438C" w:rsidP="008E0360">
      <w:pPr>
        <w:pStyle w:val="Heading3"/>
      </w:pPr>
      <w:r w:rsidRPr="00647BB7">
        <w:t>Human rights implications</w:t>
      </w:r>
    </w:p>
    <w:p w14:paraId="696D3770" w14:textId="43B7862F" w:rsidR="00860259" w:rsidRDefault="00860259" w:rsidP="008E0360">
      <w:pPr>
        <w:spacing w:after="0"/>
        <w:ind w:right="91"/>
        <w:rPr>
          <w:i/>
        </w:rPr>
      </w:pPr>
      <w:r>
        <w:rPr>
          <w:i/>
          <w:iCs/>
        </w:rPr>
        <w:t>CDR Representatives, Trusted Advis</w:t>
      </w:r>
      <w:r w:rsidR="00F37B77">
        <w:rPr>
          <w:i/>
          <w:iCs/>
        </w:rPr>
        <w:t>e</w:t>
      </w:r>
      <w:r>
        <w:rPr>
          <w:i/>
          <w:iCs/>
        </w:rPr>
        <w:t>rs and CDR Insights</w:t>
      </w:r>
    </w:p>
    <w:p w14:paraId="5056B6A6" w14:textId="213DBBAA" w:rsidR="005D039B" w:rsidRDefault="005D039B" w:rsidP="008E0360">
      <w:r>
        <w:t>The Amending</w:t>
      </w:r>
      <w:r w:rsidDel="008F3928">
        <w:t xml:space="preserve"> </w:t>
      </w:r>
      <w:r w:rsidR="008F3928">
        <w:t>Rules</w:t>
      </w:r>
      <w:r>
        <w:t xml:space="preserve"> engage the right to protection from unlawful or arbitrary interference with privacy under Article 17 of the International Covenant on Civil and Politics Rights (ICCPR) because they provide for new avenues for third parties to engage with </w:t>
      </w:r>
      <w:r w:rsidR="00812BFD">
        <w:t>c</w:t>
      </w:r>
      <w:r>
        <w:t xml:space="preserve">onsumer </w:t>
      </w:r>
      <w:r w:rsidR="00812BFD">
        <w:t>d</w:t>
      </w:r>
      <w:r>
        <w:t>ata</w:t>
      </w:r>
      <w:r w:rsidR="00610C3E">
        <w:t>,</w:t>
      </w:r>
      <w:r>
        <w:t xml:space="preserve"> including instances where </w:t>
      </w:r>
      <w:r w:rsidR="00610C3E">
        <w:t>consumer</w:t>
      </w:r>
      <w:r>
        <w:t xml:space="preserve"> </w:t>
      </w:r>
      <w:r w:rsidR="00610C3E">
        <w:t>d</w:t>
      </w:r>
      <w:r>
        <w:t xml:space="preserve">ata may leave the CDR regime. </w:t>
      </w:r>
    </w:p>
    <w:p w14:paraId="29A9D0F4" w14:textId="77777777" w:rsidR="005D039B" w:rsidRDefault="005D039B" w:rsidP="008E0360">
      <w:r>
        <w:t xml:space="preserve">The right in Article 17 may be subject to permissible limitations, where these limitations are authorised by law and are not arbitrary. </w:t>
      </w:r>
      <w:proofErr w:type="gramStart"/>
      <w:r>
        <w:t>In order for</w:t>
      </w:r>
      <w:proofErr w:type="gramEnd"/>
      <w:r>
        <w:t xml:space="preserve"> an interference with the right to privacy to be permissible, the interference must be authorised by law, be for a reason consistent with the ICCPR and be reasonable in the particular circumstances. The UN Human Rights Committee has interpreted the requirement of ‘reasonableness’ to imply that any interference with privacy must be proportional to the end sought and be necessary in the circumstances of any given case.</w:t>
      </w:r>
    </w:p>
    <w:p w14:paraId="72C1E187" w14:textId="00A7D3B3" w:rsidR="005D039B" w:rsidRDefault="005D039B" w:rsidP="008E0360">
      <w:r>
        <w:t>Under the existing</w:t>
      </w:r>
      <w:r w:rsidR="00927382">
        <w:t xml:space="preserve"> CDR</w:t>
      </w:r>
      <w:r>
        <w:t xml:space="preserve"> rules, </w:t>
      </w:r>
      <w:r w:rsidR="00812BFD">
        <w:t>d</w:t>
      </w:r>
      <w:r>
        <w:t xml:space="preserve">ata </w:t>
      </w:r>
      <w:r w:rsidR="00812BFD">
        <w:t>h</w:t>
      </w:r>
      <w:r>
        <w:t xml:space="preserve">olders can disclose consumer data to </w:t>
      </w:r>
      <w:r w:rsidR="00812BFD">
        <w:t>accredited data recipients</w:t>
      </w:r>
      <w:r>
        <w:t xml:space="preserve">, where the consumer to whom the data pertains has provided consent for their data to be transferred. The privacy of the consumer is protected by several Privacy Safeguards that require </w:t>
      </w:r>
      <w:r w:rsidR="00812BFD">
        <w:t>d</w:t>
      </w:r>
      <w:r>
        <w:t xml:space="preserve">ata </w:t>
      </w:r>
      <w:r w:rsidR="00812BFD">
        <w:t>h</w:t>
      </w:r>
      <w:r>
        <w:t xml:space="preserve">olders and </w:t>
      </w:r>
      <w:r w:rsidR="00812BFD">
        <w:t>accredited data recipients</w:t>
      </w:r>
      <w:r>
        <w:t xml:space="preserve"> to ensure the protection of the consumers for whom they hold data.</w:t>
      </w:r>
    </w:p>
    <w:p w14:paraId="1EA2AC4B" w14:textId="6E161DB6" w:rsidR="007A6D0B" w:rsidRDefault="005D039B" w:rsidP="008E0360">
      <w:pPr>
        <w:spacing w:after="0"/>
        <w:ind w:right="91"/>
      </w:pPr>
      <w:r>
        <w:t xml:space="preserve">The </w:t>
      </w:r>
      <w:r w:rsidR="008F3928">
        <w:t>Amending Rules</w:t>
      </w:r>
      <w:r>
        <w:t xml:space="preserve"> provide for new recipients of data including CDR </w:t>
      </w:r>
      <w:r w:rsidR="00812BFD">
        <w:t>r</w:t>
      </w:r>
      <w:r>
        <w:t xml:space="preserve">epresentatives and </w:t>
      </w:r>
      <w:r w:rsidR="00FF07A3">
        <w:t>t</w:t>
      </w:r>
      <w:r>
        <w:t xml:space="preserve">rusted </w:t>
      </w:r>
      <w:r w:rsidR="00FF07A3">
        <w:t>a</w:t>
      </w:r>
      <w:r>
        <w:t>dvis</w:t>
      </w:r>
      <w:r w:rsidR="00F37B77">
        <w:t>e</w:t>
      </w:r>
      <w:r>
        <w:t xml:space="preserve">rs, as well as recipients of CDR </w:t>
      </w:r>
      <w:r w:rsidR="00FF07A3">
        <w:t>i</w:t>
      </w:r>
      <w:r>
        <w:t xml:space="preserve">nsights derived from consumer data. In each of these circumstances, consumers must still consent for the transfer of these </w:t>
      </w:r>
      <w:r w:rsidR="009C575A">
        <w:t>data.</w:t>
      </w:r>
      <w:r w:rsidR="00323BCA">
        <w:t xml:space="preserve"> As such, </w:t>
      </w:r>
      <w:r w:rsidR="00E4438C" w:rsidRPr="00647BB7">
        <w:t xml:space="preserve">the </w:t>
      </w:r>
      <w:r w:rsidR="00323BCA">
        <w:t xml:space="preserve">interference with a </w:t>
      </w:r>
      <w:r w:rsidR="00CB1DE0">
        <w:t>consumer’s</w:t>
      </w:r>
      <w:r w:rsidR="00323BCA">
        <w:t xml:space="preserve"> privacy is proportional to the</w:t>
      </w:r>
      <w:r w:rsidR="001953A1">
        <w:t xml:space="preserve"> objectives of increasing access to and meeting demand </w:t>
      </w:r>
      <w:r w:rsidR="00323BCA" w:rsidDel="001953A1">
        <w:t>for</w:t>
      </w:r>
      <w:r w:rsidR="00323BCA">
        <w:t xml:space="preserve"> goods</w:t>
      </w:r>
      <w:r w:rsidR="00E4438C" w:rsidRPr="00647BB7">
        <w:t xml:space="preserve"> or </w:t>
      </w:r>
      <w:r w:rsidR="00323BCA">
        <w:t xml:space="preserve">services under the CDR regime, and consistent with their consent to exchange a measure of privacy in exchange for the </w:t>
      </w:r>
      <w:r w:rsidR="00E426F5">
        <w:t xml:space="preserve">provision </w:t>
      </w:r>
      <w:r w:rsidR="00323BCA">
        <w:t xml:space="preserve">of these goods and services. </w:t>
      </w:r>
    </w:p>
    <w:p w14:paraId="02A9B381" w14:textId="4C815ACC" w:rsidR="00B15FED" w:rsidRDefault="009836EB" w:rsidP="008E0360">
      <w:pPr>
        <w:spacing w:before="240"/>
        <w:rPr>
          <w:i/>
          <w:iCs/>
        </w:rPr>
      </w:pPr>
      <w:r w:rsidRPr="009836EB">
        <w:rPr>
          <w:i/>
          <w:iCs/>
        </w:rPr>
        <w:t xml:space="preserve">Joint </w:t>
      </w:r>
      <w:r w:rsidR="00812BFD">
        <w:rPr>
          <w:i/>
          <w:iCs/>
        </w:rPr>
        <w:t>a</w:t>
      </w:r>
      <w:r w:rsidRPr="009836EB">
        <w:rPr>
          <w:i/>
          <w:iCs/>
        </w:rPr>
        <w:t>ccounts</w:t>
      </w:r>
      <w:r w:rsidR="00B15FED">
        <w:rPr>
          <w:i/>
          <w:iCs/>
        </w:rPr>
        <w:t>:</w:t>
      </w:r>
      <w:r w:rsidR="00982FBB">
        <w:rPr>
          <w:i/>
          <w:iCs/>
        </w:rPr>
        <w:t xml:space="preserve"> </w:t>
      </w:r>
      <w:r w:rsidR="00812BFD">
        <w:rPr>
          <w:i/>
          <w:iCs/>
        </w:rPr>
        <w:t>p</w:t>
      </w:r>
      <w:r w:rsidR="00982FBB">
        <w:rPr>
          <w:i/>
          <w:iCs/>
        </w:rPr>
        <w:t>re-approval</w:t>
      </w:r>
    </w:p>
    <w:p w14:paraId="4E4E37F1" w14:textId="69E3D304" w:rsidR="00FD1FF9" w:rsidRDefault="004C4649" w:rsidP="008E0360">
      <w:r>
        <w:t xml:space="preserve">The </w:t>
      </w:r>
      <w:r w:rsidR="008F3928">
        <w:t>A</w:t>
      </w:r>
      <w:r>
        <w:t xml:space="preserve">mending </w:t>
      </w:r>
      <w:r w:rsidR="008F3928">
        <w:t>R</w:t>
      </w:r>
      <w:r>
        <w:t xml:space="preserve">ules </w:t>
      </w:r>
      <w:r w:rsidR="000B7F1C">
        <w:t xml:space="preserve">set a new default approval setting for joint account holders </w:t>
      </w:r>
      <w:r w:rsidR="000B7F1C" w:rsidRPr="000B7F1C">
        <w:t>when an accredited person makes a consumer data request on behalf of one joint account holder or a secondary user.</w:t>
      </w:r>
      <w:r w:rsidR="000B7F1C">
        <w:t xml:space="preserve"> By default, </w:t>
      </w:r>
      <w:r w:rsidR="00FD1FF9">
        <w:t>the pre</w:t>
      </w:r>
      <w:r w:rsidR="00812BFD">
        <w:t>-</w:t>
      </w:r>
      <w:r w:rsidR="00FD1FF9">
        <w:t>approval option applies</w:t>
      </w:r>
      <w:r w:rsidR="0076253D">
        <w:t>,</w:t>
      </w:r>
      <w:r w:rsidR="00FD1FF9">
        <w:t xml:space="preserve"> which allows an</w:t>
      </w:r>
      <w:r w:rsidR="00FD1FF9" w:rsidRPr="00FD1FF9">
        <w:t xml:space="preserve"> individual joint account holder to independently share data on the joint account by consenting to an accredited person collecting and using the data from a joint account</w:t>
      </w:r>
      <w:r w:rsidR="00FD1FF9">
        <w:t xml:space="preserve">. A </w:t>
      </w:r>
      <w:r w:rsidR="00FD1FF9" w:rsidRPr="00FD1FF9">
        <w:t>data holder must process the request unless an account holder has withdrawn their approval, in which case, the data holder cannot disclose the requested data.</w:t>
      </w:r>
      <w:r w:rsidR="00FD1FF9">
        <w:t xml:space="preserve"> </w:t>
      </w:r>
    </w:p>
    <w:p w14:paraId="4357FE68" w14:textId="0C46FB67" w:rsidR="000B7F1C" w:rsidRDefault="00AF6264" w:rsidP="008E0360">
      <w:r>
        <w:lastRenderedPageBreak/>
        <w:t>These amendments</w:t>
      </w:r>
      <w:r w:rsidR="000B7F1C">
        <w:t xml:space="preserve"> engage Article 17 as, by default, </w:t>
      </w:r>
      <w:r w:rsidR="00FD1FF9">
        <w:t xml:space="preserve">some joint account holders </w:t>
      </w:r>
      <w:r w:rsidR="0076253D">
        <w:t>will</w:t>
      </w:r>
      <w:r w:rsidR="000B7F1C">
        <w:t xml:space="preserve"> not be actively </w:t>
      </w:r>
      <w:r w:rsidR="0076253D">
        <w:t xml:space="preserve">providing consent for the </w:t>
      </w:r>
      <w:r>
        <w:t>disclosure</w:t>
      </w:r>
      <w:r w:rsidR="0076253D">
        <w:t xml:space="preserve"> of data that pertains to them as a consumer</w:t>
      </w:r>
      <w:r>
        <w:t xml:space="preserve"> and this may have an impact o</w:t>
      </w:r>
      <w:r w:rsidR="00EF5482">
        <w:t>n</w:t>
      </w:r>
      <w:r>
        <w:t xml:space="preserve"> their privacy.</w:t>
      </w:r>
      <w:r w:rsidR="0076253D">
        <w:t xml:space="preserve"> </w:t>
      </w:r>
      <w:r>
        <w:t>However, the</w:t>
      </w:r>
      <w:r w:rsidR="008830FB">
        <w:t xml:space="preserve"> basis for these amendments is aligning joint account disclosure with the existing ability of joint account holders to view and share their joint account data. Additionally, any given account</w:t>
      </w:r>
      <w:r w:rsidR="00BC4987">
        <w:t xml:space="preserve"> </w:t>
      </w:r>
      <w:r w:rsidR="008830FB">
        <w:t>holder can unilaterally change the approval option to a more restricted privacy setting (either non</w:t>
      </w:r>
      <w:r w:rsidR="00812BFD">
        <w:t>-</w:t>
      </w:r>
      <w:r w:rsidR="008830FB">
        <w:t>non</w:t>
      </w:r>
      <w:r w:rsidR="00812BFD">
        <w:t>-</w:t>
      </w:r>
      <w:r w:rsidR="008830FB">
        <w:t>disclosure</w:t>
      </w:r>
      <w:r w:rsidR="00BC4987">
        <w:t xml:space="preserve"> or co-approval, where that is offered by a data holder</w:t>
      </w:r>
      <w:r w:rsidR="008830FB">
        <w:t>) whilst changing the option to a more open setting requires approval of all joint account holders</w:t>
      </w:r>
      <w:r w:rsidR="0076253D">
        <w:t xml:space="preserve">. </w:t>
      </w:r>
      <w:r w:rsidR="002D3758">
        <w:t xml:space="preserve">Additionally, under the Amending Rules, joint account holders receive notification when their data </w:t>
      </w:r>
      <w:r w:rsidR="00EE2EB7">
        <w:t>is shared, providing a greater level of transparency about their privacy than exists outside of the CDR regime.</w:t>
      </w:r>
    </w:p>
    <w:p w14:paraId="4A7F67F6" w14:textId="47585F94" w:rsidR="00AF6264" w:rsidRDefault="008830FB" w:rsidP="008E0360">
      <w:r>
        <w:t>As such, these amending provisions are consistent with Article 17 of the ICCPR, as they are proportional to the end sought and necessary in the circumstances.</w:t>
      </w:r>
    </w:p>
    <w:p w14:paraId="0B8222FE" w14:textId="3BE69169" w:rsidR="008830FB" w:rsidRDefault="008830FB" w:rsidP="008E0360">
      <w:pPr>
        <w:spacing w:before="240" w:after="0"/>
        <w:ind w:right="91"/>
        <w:rPr>
          <w:i/>
        </w:rPr>
      </w:pPr>
      <w:r>
        <w:rPr>
          <w:i/>
          <w:iCs/>
        </w:rPr>
        <w:t xml:space="preserve">Avoidance of </w:t>
      </w:r>
      <w:r w:rsidR="00603706">
        <w:rPr>
          <w:i/>
          <w:iCs/>
        </w:rPr>
        <w:t>h</w:t>
      </w:r>
      <w:r>
        <w:rPr>
          <w:i/>
          <w:iCs/>
        </w:rPr>
        <w:t>arm</w:t>
      </w:r>
    </w:p>
    <w:p w14:paraId="6E99DE4A" w14:textId="3CF94A00" w:rsidR="00EE2EB7" w:rsidRDefault="00EE2EB7" w:rsidP="008E0360">
      <w:pPr>
        <w:spacing w:after="0"/>
        <w:ind w:right="91"/>
      </w:pPr>
      <w:r>
        <w:t xml:space="preserve">The Amending Rules also engage the ICCPR right to privacy by expanding the existing harm prevention measures available to data holders. </w:t>
      </w:r>
    </w:p>
    <w:p w14:paraId="1341007F" w14:textId="78D711CE" w:rsidR="008830FB" w:rsidRDefault="008830FB" w:rsidP="008E0360">
      <w:pPr>
        <w:spacing w:after="0"/>
        <w:ind w:right="91"/>
      </w:pPr>
      <w:r>
        <w:t>The existing</w:t>
      </w:r>
      <w:r w:rsidR="00927382">
        <w:t xml:space="preserve"> CDR</w:t>
      </w:r>
      <w:r>
        <w:t xml:space="preserve"> rules allowing for a data holder to refuse to disclose consumer data where the data holder considers it necessary to prevent physical or financial harm or abuse. The </w:t>
      </w:r>
      <w:r w:rsidR="008F3928">
        <w:t>A</w:t>
      </w:r>
      <w:r>
        <w:t xml:space="preserve">mending </w:t>
      </w:r>
      <w:r w:rsidR="008F3928">
        <w:t>R</w:t>
      </w:r>
      <w:r>
        <w:t xml:space="preserve">ules also engage the ICCPR right to privacy as it expands the harm prevention measures available to data holders such that in certain </w:t>
      </w:r>
      <w:proofErr w:type="gramStart"/>
      <w:r>
        <w:t>circumstances</w:t>
      </w:r>
      <w:proofErr w:type="gramEnd"/>
      <w:r>
        <w:t xml:space="preserve"> they may make disclosures without all account</w:t>
      </w:r>
      <w:r w:rsidR="00776D35">
        <w:t xml:space="preserve"> </w:t>
      </w:r>
      <w:r>
        <w:t>holders</w:t>
      </w:r>
      <w:r w:rsidR="00A6218A">
        <w:t>’</w:t>
      </w:r>
      <w:r>
        <w:t xml:space="preserve"> consent.</w:t>
      </w:r>
    </w:p>
    <w:p w14:paraId="3FBCB4DF" w14:textId="77777777" w:rsidR="008830FB" w:rsidRDefault="008830FB" w:rsidP="008E0360">
      <w:pPr>
        <w:spacing w:after="0"/>
        <w:ind w:right="91"/>
      </w:pPr>
      <w:r>
        <w:t xml:space="preserve">For joint accounts, where a data holder considers that it is necessary to prevent physical, </w:t>
      </w:r>
      <w:proofErr w:type="gramStart"/>
      <w:r>
        <w:t>psychological</w:t>
      </w:r>
      <w:proofErr w:type="gramEnd"/>
      <w:r>
        <w:t xml:space="preserve"> or financial harm or abuse to any person, they are not held liable if they fail to comply with the requirement of Part 4A. </w:t>
      </w:r>
      <w:proofErr w:type="gramStart"/>
      <w:r>
        <w:t>As a consequence of</w:t>
      </w:r>
      <w:proofErr w:type="gramEnd"/>
      <w:r>
        <w:t xml:space="preserve"> this, where a data holder considers it necessary to prevent harm, they may permit a disclosure request that otherwise would not have been allowed due to a joint account requiring all account holders to approve the disclosure.</w:t>
      </w:r>
    </w:p>
    <w:p w14:paraId="45739359" w14:textId="6D704249" w:rsidR="008830FB" w:rsidRDefault="008830FB" w:rsidP="008E0360">
      <w:pPr>
        <w:spacing w:after="0"/>
        <w:ind w:right="91"/>
      </w:pPr>
      <w:r w:rsidRPr="00820746">
        <w:t>The right to protection from exploitation, violence and abuse is contained in article 20(2) of the International Covenant on Civil and Political Rights, article 19(1) of the Convention on the Rights of the Child and article 16(1) of the Convention on the Rights of Persons with Disabilities</w:t>
      </w:r>
      <w:r>
        <w:t>.</w:t>
      </w:r>
    </w:p>
    <w:p w14:paraId="7DE889FB" w14:textId="6351406C" w:rsidR="008830FB" w:rsidRPr="00BC38FB" w:rsidRDefault="008830FB" w:rsidP="008E0360">
      <w:pPr>
        <w:spacing w:after="0"/>
        <w:ind w:right="91"/>
      </w:pPr>
      <w:r>
        <w:t xml:space="preserve">The avoidance of harm provisions in the </w:t>
      </w:r>
      <w:r w:rsidR="008F3928">
        <w:t>A</w:t>
      </w:r>
      <w:r>
        <w:t xml:space="preserve">mending </w:t>
      </w:r>
      <w:r w:rsidR="008F3928">
        <w:t>R</w:t>
      </w:r>
      <w:r>
        <w:t xml:space="preserve">ules provides a balancing point against these competing rights, by ensuring that the CDR regime is not an impediment to </w:t>
      </w:r>
      <w:r w:rsidR="001005FF">
        <w:t xml:space="preserve">the operation of </w:t>
      </w:r>
      <w:r>
        <w:t>existing harm prevention measures utilised by CDR participants.</w:t>
      </w:r>
    </w:p>
    <w:p w14:paraId="2661A1A3" w14:textId="02F317B1" w:rsidR="003E7A63" w:rsidRDefault="003E7A63" w:rsidP="008E0360">
      <w:pPr>
        <w:spacing w:before="240"/>
        <w:rPr>
          <w:i/>
        </w:rPr>
      </w:pPr>
      <w:r>
        <w:rPr>
          <w:i/>
          <w:iCs/>
        </w:rPr>
        <w:t xml:space="preserve">Civil </w:t>
      </w:r>
      <w:r w:rsidR="00603706">
        <w:rPr>
          <w:i/>
          <w:iCs/>
        </w:rPr>
        <w:t>penalties</w:t>
      </w:r>
    </w:p>
    <w:p w14:paraId="6B2B0F36" w14:textId="65326ADD" w:rsidR="003E7A63" w:rsidRDefault="003E7A63" w:rsidP="008E0360">
      <w:r>
        <w:t xml:space="preserve">Like the existing </w:t>
      </w:r>
      <w:r w:rsidR="00927382">
        <w:t>CDR</w:t>
      </w:r>
      <w:r>
        <w:t xml:space="preserve"> rules, the </w:t>
      </w:r>
      <w:r w:rsidR="008F3928">
        <w:t>A</w:t>
      </w:r>
      <w:r>
        <w:t xml:space="preserve">mending </w:t>
      </w:r>
      <w:r w:rsidR="008F3928">
        <w:t xml:space="preserve">Rules </w:t>
      </w:r>
      <w:r>
        <w:t>introduce several civil penalt</w:t>
      </w:r>
      <w:r w:rsidR="001005FF">
        <w:t>y obligations</w:t>
      </w:r>
      <w:r>
        <w:t xml:space="preserve">. </w:t>
      </w:r>
      <w:r w:rsidRPr="003E7A63">
        <w:t>The</w:t>
      </w:r>
      <w:r>
        <w:t>se</w:t>
      </w:r>
      <w:r w:rsidRPr="003E7A63">
        <w:t xml:space="preserve"> civil penalty provisions potentially invoke Articles 14 and 15 of the ICCPR. Although the Articles cover criminal process rights, in international human rights law, where a civil penalty is imposed, it must be determined whether it nevertheless amounts to a ‘criminal’ penalty. </w:t>
      </w:r>
      <w:r>
        <w:t>As with the existing civil penalties, the new</w:t>
      </w:r>
      <w:r w:rsidRPr="003E7A63">
        <w:t xml:space="preserve"> civil penalty provisions should not be considered ‘criminal’ for this purpose. While they are intended to deter non-compliance with CDR obligations, none of the provisions carry a penalty of imprisonment for non-payment of a penalty.</w:t>
      </w:r>
    </w:p>
    <w:p w14:paraId="12FDFFC1" w14:textId="1265DFD4" w:rsidR="00301DD0" w:rsidRPr="00647BB7" w:rsidRDefault="00301DD0" w:rsidP="008E0360">
      <w:pPr>
        <w:pStyle w:val="Heading3"/>
      </w:pPr>
      <w:r>
        <w:lastRenderedPageBreak/>
        <w:t>Conclusion</w:t>
      </w:r>
    </w:p>
    <w:bookmarkEnd w:id="0"/>
    <w:p w14:paraId="45B2A2B9" w14:textId="57E40CD0" w:rsidR="00FF07A3" w:rsidRPr="00EA4DD8" w:rsidRDefault="00FF07A3" w:rsidP="008E0360">
      <w:pPr>
        <w:spacing w:before="240"/>
      </w:pPr>
      <w:r w:rsidRPr="00647BB7">
        <w:t>T</w:t>
      </w:r>
      <w:r>
        <w:t>he</w:t>
      </w:r>
      <w:r w:rsidRPr="00647BB7">
        <w:t xml:space="preserve"> </w:t>
      </w:r>
      <w:r w:rsidR="008F3928">
        <w:t xml:space="preserve">Amending Rules </w:t>
      </w:r>
      <w:r>
        <w:t>are</w:t>
      </w:r>
      <w:r w:rsidRPr="00FF07A3">
        <w:t xml:space="preserve"> consistent wi</w:t>
      </w:r>
      <w:r>
        <w:t>th human rights and freedoms</w:t>
      </w:r>
      <w:r w:rsidRPr="00FF07A3">
        <w:t>.</w:t>
      </w:r>
    </w:p>
    <w:p w14:paraId="3A824907" w14:textId="39A30DF4" w:rsidR="00482B81" w:rsidRPr="00EA4DD8" w:rsidRDefault="00482B81" w:rsidP="008E0360">
      <w:pPr>
        <w:pStyle w:val="base-text-paragraph"/>
      </w:pPr>
    </w:p>
    <w:sectPr w:rsidR="00482B81" w:rsidRPr="00EA4DD8" w:rsidSect="00392BBA">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96017" w14:textId="77777777" w:rsidR="003802A6" w:rsidRDefault="003802A6" w:rsidP="00954679">
      <w:pPr>
        <w:spacing w:before="0" w:after="0"/>
      </w:pPr>
      <w:r>
        <w:separator/>
      </w:r>
    </w:p>
  </w:endnote>
  <w:endnote w:type="continuationSeparator" w:id="0">
    <w:p w14:paraId="702AC404" w14:textId="77777777" w:rsidR="003802A6" w:rsidRDefault="003802A6" w:rsidP="00954679">
      <w:pPr>
        <w:spacing w:before="0" w:after="0"/>
      </w:pPr>
      <w:r>
        <w:continuationSeparator/>
      </w:r>
    </w:p>
  </w:endnote>
  <w:endnote w:type="continuationNotice" w:id="1">
    <w:p w14:paraId="548492CF" w14:textId="77777777" w:rsidR="003802A6" w:rsidRDefault="003802A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02065FDC" w14:textId="77777777" w:rsidR="003802A6" w:rsidRDefault="003802A6"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169D7" w14:textId="77777777" w:rsidR="003802A6" w:rsidRDefault="003802A6" w:rsidP="00954679">
      <w:pPr>
        <w:spacing w:before="0" w:after="0"/>
      </w:pPr>
      <w:r>
        <w:separator/>
      </w:r>
    </w:p>
  </w:footnote>
  <w:footnote w:type="continuationSeparator" w:id="0">
    <w:p w14:paraId="7513F4D2" w14:textId="77777777" w:rsidR="003802A6" w:rsidRDefault="003802A6" w:rsidP="00954679">
      <w:pPr>
        <w:spacing w:before="0" w:after="0"/>
      </w:pPr>
      <w:r>
        <w:continuationSeparator/>
      </w:r>
    </w:p>
  </w:footnote>
  <w:footnote w:type="continuationNotice" w:id="1">
    <w:p w14:paraId="4592DA37" w14:textId="77777777" w:rsidR="003802A6" w:rsidRDefault="003802A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72F4F"/>
    <w:multiLevelType w:val="hybridMultilevel"/>
    <w:tmpl w:val="0B68E5F2"/>
    <w:lvl w:ilvl="0" w:tplc="F3581E5C">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5361A56"/>
    <w:multiLevelType w:val="hybridMultilevel"/>
    <w:tmpl w:val="01FED7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67A43C0B"/>
    <w:multiLevelType w:val="multilevel"/>
    <w:tmpl w:val="D0280FBA"/>
    <w:name w:val="StandardBulletedList"/>
    <w:lvl w:ilvl="0">
      <w:start w:val="1"/>
      <w:numFmt w:val="bullet"/>
      <w:pStyle w:val="Bullet"/>
      <w:lvlText w:val="•"/>
      <w:lvlJc w:val="left"/>
      <w:pPr>
        <w:tabs>
          <w:tab w:val="num" w:pos="1134"/>
        </w:tabs>
        <w:ind w:left="1134" w:hanging="567"/>
      </w:pPr>
      <w:rPr>
        <w:rFonts w:ascii="Times New Roman" w:hAnsi="Times New Roman" w:cs="Times New Roman"/>
      </w:rPr>
    </w:lvl>
    <w:lvl w:ilvl="1">
      <w:start w:val="1"/>
      <w:numFmt w:val="bullet"/>
      <w:pStyle w:val="Dash"/>
      <w:lvlText w:val="–"/>
      <w:lvlJc w:val="left"/>
      <w:pPr>
        <w:tabs>
          <w:tab w:val="num" w:pos="1701"/>
        </w:tabs>
        <w:ind w:left="1701" w:hanging="567"/>
      </w:pPr>
      <w:rPr>
        <w:rFonts w:ascii="Times New Roman" w:hAnsi="Times New Roman" w:cs="Times New Roman"/>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 w15:restartNumberingAfterBreak="0">
    <w:nsid w:val="69E2459E"/>
    <w:multiLevelType w:val="hybridMultilevel"/>
    <w:tmpl w:val="DEC60FD4"/>
    <w:lvl w:ilvl="0" w:tplc="999470C6">
      <w:numFmt w:val="bullet"/>
      <w:lvlText w:val="•"/>
      <w:lvlJc w:val="left"/>
      <w:pPr>
        <w:ind w:left="720" w:hanging="360"/>
      </w:pPr>
      <w:rPr>
        <w:rFonts w:ascii="Calibri" w:eastAsia="Calibri" w:hAnsi="Calibri"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704A2950"/>
    <w:multiLevelType w:val="hybridMultilevel"/>
    <w:tmpl w:val="934EA802"/>
    <w:lvl w:ilvl="0" w:tplc="E52C814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
  </w:num>
  <w:num w:numId="4">
    <w:abstractNumId w:val="5"/>
  </w:num>
  <w:num w:numId="5">
    <w:abstractNumId w:val="3"/>
  </w:num>
  <w:num w:numId="6">
    <w:abstractNumId w:val="2"/>
  </w:num>
  <w:num w:numId="7">
    <w:abstractNumId w:val="3"/>
  </w:num>
  <w:num w:numId="8">
    <w:abstractNumId w:val="2"/>
  </w:num>
  <w:num w:numId="9">
    <w:abstractNumId w:val="3"/>
  </w:num>
  <w:num w:numId="10">
    <w:abstractNumId w:val="3"/>
  </w:num>
  <w:num w:numId="11">
    <w:abstractNumId w:val="3"/>
  </w:num>
  <w:num w:numId="12">
    <w:abstractNumId w:val="3"/>
  </w:num>
  <w:num w:numId="13">
    <w:abstractNumId w:val="3"/>
  </w:num>
  <w:num w:numId="14">
    <w:abstractNumId w:val="3"/>
  </w:num>
  <w:num w:numId="15">
    <w:abstractNumId w:val="4"/>
  </w:num>
  <w:num w:numId="16">
    <w:abstractNumId w:val="0"/>
  </w:num>
  <w:num w:numId="1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B0"/>
    <w:rsid w:val="000018C4"/>
    <w:rsid w:val="000019E6"/>
    <w:rsid w:val="00002931"/>
    <w:rsid w:val="00002F4F"/>
    <w:rsid w:val="00003220"/>
    <w:rsid w:val="0000384E"/>
    <w:rsid w:val="00003C84"/>
    <w:rsid w:val="00005BA8"/>
    <w:rsid w:val="0000656B"/>
    <w:rsid w:val="000069E6"/>
    <w:rsid w:val="00010638"/>
    <w:rsid w:val="00011877"/>
    <w:rsid w:val="00011913"/>
    <w:rsid w:val="000126BF"/>
    <w:rsid w:val="000130CE"/>
    <w:rsid w:val="00013390"/>
    <w:rsid w:val="00014A29"/>
    <w:rsid w:val="00015BB7"/>
    <w:rsid w:val="00016EA2"/>
    <w:rsid w:val="000205E5"/>
    <w:rsid w:val="0002294A"/>
    <w:rsid w:val="00022AF0"/>
    <w:rsid w:val="00023C21"/>
    <w:rsid w:val="00023C9B"/>
    <w:rsid w:val="00023CDF"/>
    <w:rsid w:val="0002797F"/>
    <w:rsid w:val="0003176F"/>
    <w:rsid w:val="00033D86"/>
    <w:rsid w:val="00034397"/>
    <w:rsid w:val="00035D14"/>
    <w:rsid w:val="00035FE0"/>
    <w:rsid w:val="00036387"/>
    <w:rsid w:val="000366EA"/>
    <w:rsid w:val="0003725D"/>
    <w:rsid w:val="00037BCC"/>
    <w:rsid w:val="00037E98"/>
    <w:rsid w:val="0004010D"/>
    <w:rsid w:val="00040D7D"/>
    <w:rsid w:val="00041629"/>
    <w:rsid w:val="000421BD"/>
    <w:rsid w:val="00042867"/>
    <w:rsid w:val="000434AD"/>
    <w:rsid w:val="00045372"/>
    <w:rsid w:val="00045E35"/>
    <w:rsid w:val="000460A4"/>
    <w:rsid w:val="00046D73"/>
    <w:rsid w:val="00050F32"/>
    <w:rsid w:val="000525CC"/>
    <w:rsid w:val="00053393"/>
    <w:rsid w:val="00055235"/>
    <w:rsid w:val="000563F3"/>
    <w:rsid w:val="00056A39"/>
    <w:rsid w:val="000578AF"/>
    <w:rsid w:val="0006056D"/>
    <w:rsid w:val="000616CF"/>
    <w:rsid w:val="00062459"/>
    <w:rsid w:val="000624C2"/>
    <w:rsid w:val="00063B54"/>
    <w:rsid w:val="00063DAD"/>
    <w:rsid w:val="000656D0"/>
    <w:rsid w:val="00067D72"/>
    <w:rsid w:val="000703F6"/>
    <w:rsid w:val="000712BA"/>
    <w:rsid w:val="000716A0"/>
    <w:rsid w:val="00071A0D"/>
    <w:rsid w:val="00072777"/>
    <w:rsid w:val="000735E7"/>
    <w:rsid w:val="00073E3C"/>
    <w:rsid w:val="00073F89"/>
    <w:rsid w:val="00074B26"/>
    <w:rsid w:val="00075327"/>
    <w:rsid w:val="00075342"/>
    <w:rsid w:val="00075B24"/>
    <w:rsid w:val="00076178"/>
    <w:rsid w:val="00076A27"/>
    <w:rsid w:val="00077F2C"/>
    <w:rsid w:val="000808AC"/>
    <w:rsid w:val="000838C7"/>
    <w:rsid w:val="00084887"/>
    <w:rsid w:val="00084ACB"/>
    <w:rsid w:val="00084C91"/>
    <w:rsid w:val="00085E51"/>
    <w:rsid w:val="00086F34"/>
    <w:rsid w:val="00090263"/>
    <w:rsid w:val="00090ED4"/>
    <w:rsid w:val="00093AA1"/>
    <w:rsid w:val="00093F08"/>
    <w:rsid w:val="0009442E"/>
    <w:rsid w:val="0009472D"/>
    <w:rsid w:val="00094E62"/>
    <w:rsid w:val="00094F59"/>
    <w:rsid w:val="00095211"/>
    <w:rsid w:val="000968DF"/>
    <w:rsid w:val="000A0F9C"/>
    <w:rsid w:val="000A14EB"/>
    <w:rsid w:val="000A1EDB"/>
    <w:rsid w:val="000A2157"/>
    <w:rsid w:val="000A2683"/>
    <w:rsid w:val="000A26DB"/>
    <w:rsid w:val="000A2967"/>
    <w:rsid w:val="000A3EC0"/>
    <w:rsid w:val="000A4DCA"/>
    <w:rsid w:val="000A569F"/>
    <w:rsid w:val="000A59F9"/>
    <w:rsid w:val="000A5EA3"/>
    <w:rsid w:val="000A6004"/>
    <w:rsid w:val="000A6E0A"/>
    <w:rsid w:val="000A6FDB"/>
    <w:rsid w:val="000A7C6C"/>
    <w:rsid w:val="000B1C4F"/>
    <w:rsid w:val="000B39A1"/>
    <w:rsid w:val="000B4473"/>
    <w:rsid w:val="000B4E16"/>
    <w:rsid w:val="000B5344"/>
    <w:rsid w:val="000B636A"/>
    <w:rsid w:val="000B6942"/>
    <w:rsid w:val="000B70AD"/>
    <w:rsid w:val="000B70D3"/>
    <w:rsid w:val="000B7F1C"/>
    <w:rsid w:val="000C10DF"/>
    <w:rsid w:val="000C1C21"/>
    <w:rsid w:val="000C1CA3"/>
    <w:rsid w:val="000C2151"/>
    <w:rsid w:val="000C2757"/>
    <w:rsid w:val="000C2938"/>
    <w:rsid w:val="000C3CF6"/>
    <w:rsid w:val="000C4982"/>
    <w:rsid w:val="000C6935"/>
    <w:rsid w:val="000D01CB"/>
    <w:rsid w:val="000D07AD"/>
    <w:rsid w:val="000D1496"/>
    <w:rsid w:val="000D228F"/>
    <w:rsid w:val="000D2FC6"/>
    <w:rsid w:val="000D31D6"/>
    <w:rsid w:val="000D3828"/>
    <w:rsid w:val="000D4BAD"/>
    <w:rsid w:val="000D4CA2"/>
    <w:rsid w:val="000D6F0B"/>
    <w:rsid w:val="000D7430"/>
    <w:rsid w:val="000E2CAF"/>
    <w:rsid w:val="000E32E3"/>
    <w:rsid w:val="000E5327"/>
    <w:rsid w:val="000E53E9"/>
    <w:rsid w:val="000E59A5"/>
    <w:rsid w:val="000E67C7"/>
    <w:rsid w:val="000F1BE9"/>
    <w:rsid w:val="000F247E"/>
    <w:rsid w:val="000F3663"/>
    <w:rsid w:val="000F4400"/>
    <w:rsid w:val="000F6B33"/>
    <w:rsid w:val="000F6BCD"/>
    <w:rsid w:val="000F6C1C"/>
    <w:rsid w:val="000F7521"/>
    <w:rsid w:val="000F7A60"/>
    <w:rsid w:val="00100305"/>
    <w:rsid w:val="001005FF"/>
    <w:rsid w:val="00102861"/>
    <w:rsid w:val="00102A65"/>
    <w:rsid w:val="00102CFC"/>
    <w:rsid w:val="00102DDD"/>
    <w:rsid w:val="001033C4"/>
    <w:rsid w:val="0010385B"/>
    <w:rsid w:val="00103AE0"/>
    <w:rsid w:val="00104A82"/>
    <w:rsid w:val="00105890"/>
    <w:rsid w:val="00105D47"/>
    <w:rsid w:val="00106C1F"/>
    <w:rsid w:val="00110201"/>
    <w:rsid w:val="00110EE6"/>
    <w:rsid w:val="00111078"/>
    <w:rsid w:val="0011152F"/>
    <w:rsid w:val="00111888"/>
    <w:rsid w:val="0011310D"/>
    <w:rsid w:val="00113B45"/>
    <w:rsid w:val="00114433"/>
    <w:rsid w:val="001146AC"/>
    <w:rsid w:val="00114EC3"/>
    <w:rsid w:val="00116170"/>
    <w:rsid w:val="0011675B"/>
    <w:rsid w:val="00117021"/>
    <w:rsid w:val="00117066"/>
    <w:rsid w:val="00117F49"/>
    <w:rsid w:val="001205AC"/>
    <w:rsid w:val="00121D3A"/>
    <w:rsid w:val="00121EF8"/>
    <w:rsid w:val="00121F2B"/>
    <w:rsid w:val="001317A5"/>
    <w:rsid w:val="00131902"/>
    <w:rsid w:val="001322EA"/>
    <w:rsid w:val="00132D8B"/>
    <w:rsid w:val="0013369C"/>
    <w:rsid w:val="00134CE0"/>
    <w:rsid w:val="00134F56"/>
    <w:rsid w:val="001351C8"/>
    <w:rsid w:val="00135A43"/>
    <w:rsid w:val="00137C20"/>
    <w:rsid w:val="00137E62"/>
    <w:rsid w:val="00140268"/>
    <w:rsid w:val="00140449"/>
    <w:rsid w:val="00142126"/>
    <w:rsid w:val="001435DC"/>
    <w:rsid w:val="001437D4"/>
    <w:rsid w:val="00144D4C"/>
    <w:rsid w:val="001452D6"/>
    <w:rsid w:val="0014583C"/>
    <w:rsid w:val="00146838"/>
    <w:rsid w:val="00147079"/>
    <w:rsid w:val="00147969"/>
    <w:rsid w:val="00147C35"/>
    <w:rsid w:val="00147EBB"/>
    <w:rsid w:val="00150B06"/>
    <w:rsid w:val="001516E4"/>
    <w:rsid w:val="00152762"/>
    <w:rsid w:val="00153D15"/>
    <w:rsid w:val="001543AE"/>
    <w:rsid w:val="001544EF"/>
    <w:rsid w:val="001558A0"/>
    <w:rsid w:val="00155F5A"/>
    <w:rsid w:val="0015600B"/>
    <w:rsid w:val="001571B2"/>
    <w:rsid w:val="0016353D"/>
    <w:rsid w:val="001637C6"/>
    <w:rsid w:val="001642FE"/>
    <w:rsid w:val="00164DD4"/>
    <w:rsid w:val="00164DDA"/>
    <w:rsid w:val="00165247"/>
    <w:rsid w:val="00166BB6"/>
    <w:rsid w:val="00167687"/>
    <w:rsid w:val="00170529"/>
    <w:rsid w:val="00170E2B"/>
    <w:rsid w:val="00171F07"/>
    <w:rsid w:val="0017290B"/>
    <w:rsid w:val="00172A32"/>
    <w:rsid w:val="00172D1D"/>
    <w:rsid w:val="00172D86"/>
    <w:rsid w:val="0017318B"/>
    <w:rsid w:val="00173EE1"/>
    <w:rsid w:val="001742A4"/>
    <w:rsid w:val="00174891"/>
    <w:rsid w:val="00175868"/>
    <w:rsid w:val="001763C8"/>
    <w:rsid w:val="0017706D"/>
    <w:rsid w:val="001779C7"/>
    <w:rsid w:val="00181AD7"/>
    <w:rsid w:val="00182E6B"/>
    <w:rsid w:val="0018507B"/>
    <w:rsid w:val="00186216"/>
    <w:rsid w:val="00191406"/>
    <w:rsid w:val="001953A1"/>
    <w:rsid w:val="00195F63"/>
    <w:rsid w:val="00196878"/>
    <w:rsid w:val="00197262"/>
    <w:rsid w:val="00197B42"/>
    <w:rsid w:val="001A039B"/>
    <w:rsid w:val="001A0440"/>
    <w:rsid w:val="001A125A"/>
    <w:rsid w:val="001A22E2"/>
    <w:rsid w:val="001A3252"/>
    <w:rsid w:val="001A4810"/>
    <w:rsid w:val="001A4FEC"/>
    <w:rsid w:val="001A576F"/>
    <w:rsid w:val="001A6A98"/>
    <w:rsid w:val="001A6DD0"/>
    <w:rsid w:val="001A7138"/>
    <w:rsid w:val="001A7643"/>
    <w:rsid w:val="001B0BA1"/>
    <w:rsid w:val="001B11DE"/>
    <w:rsid w:val="001B19AE"/>
    <w:rsid w:val="001B244A"/>
    <w:rsid w:val="001B3768"/>
    <w:rsid w:val="001B6998"/>
    <w:rsid w:val="001B7535"/>
    <w:rsid w:val="001C03C7"/>
    <w:rsid w:val="001C05FF"/>
    <w:rsid w:val="001C07B5"/>
    <w:rsid w:val="001C15F5"/>
    <w:rsid w:val="001C1ED2"/>
    <w:rsid w:val="001C2B63"/>
    <w:rsid w:val="001C4A7F"/>
    <w:rsid w:val="001C679D"/>
    <w:rsid w:val="001C7D53"/>
    <w:rsid w:val="001D02AF"/>
    <w:rsid w:val="001D0FF9"/>
    <w:rsid w:val="001D1CAC"/>
    <w:rsid w:val="001D1FE1"/>
    <w:rsid w:val="001D203B"/>
    <w:rsid w:val="001D2E55"/>
    <w:rsid w:val="001D30CF"/>
    <w:rsid w:val="001D4E14"/>
    <w:rsid w:val="001D6B85"/>
    <w:rsid w:val="001D7798"/>
    <w:rsid w:val="001E1002"/>
    <w:rsid w:val="001E2351"/>
    <w:rsid w:val="001E3D5F"/>
    <w:rsid w:val="001E52D7"/>
    <w:rsid w:val="001E6A74"/>
    <w:rsid w:val="001E73C0"/>
    <w:rsid w:val="001E7921"/>
    <w:rsid w:val="001F01CA"/>
    <w:rsid w:val="001F16F7"/>
    <w:rsid w:val="001F2E9F"/>
    <w:rsid w:val="001F41D0"/>
    <w:rsid w:val="001F4DDA"/>
    <w:rsid w:val="001F5078"/>
    <w:rsid w:val="001F5C7B"/>
    <w:rsid w:val="00200137"/>
    <w:rsid w:val="00200783"/>
    <w:rsid w:val="002019DC"/>
    <w:rsid w:val="0020228E"/>
    <w:rsid w:val="00203361"/>
    <w:rsid w:val="00203B9C"/>
    <w:rsid w:val="00204D08"/>
    <w:rsid w:val="00204D73"/>
    <w:rsid w:val="00206A06"/>
    <w:rsid w:val="00207BF3"/>
    <w:rsid w:val="0021087D"/>
    <w:rsid w:val="002122FA"/>
    <w:rsid w:val="002129E9"/>
    <w:rsid w:val="00213C98"/>
    <w:rsid w:val="00214AFE"/>
    <w:rsid w:val="0021531B"/>
    <w:rsid w:val="00215D5D"/>
    <w:rsid w:val="002167A4"/>
    <w:rsid w:val="00217967"/>
    <w:rsid w:val="00220C65"/>
    <w:rsid w:val="00220F16"/>
    <w:rsid w:val="002216CA"/>
    <w:rsid w:val="00221BB6"/>
    <w:rsid w:val="00221D91"/>
    <w:rsid w:val="00222322"/>
    <w:rsid w:val="002230F2"/>
    <w:rsid w:val="002231B2"/>
    <w:rsid w:val="00224438"/>
    <w:rsid w:val="00225FD9"/>
    <w:rsid w:val="00226303"/>
    <w:rsid w:val="00227D79"/>
    <w:rsid w:val="00227F52"/>
    <w:rsid w:val="0023193F"/>
    <w:rsid w:val="002322A5"/>
    <w:rsid w:val="002324D0"/>
    <w:rsid w:val="00232C2F"/>
    <w:rsid w:val="00232E90"/>
    <w:rsid w:val="002331C2"/>
    <w:rsid w:val="002335ED"/>
    <w:rsid w:val="00234E97"/>
    <w:rsid w:val="00235962"/>
    <w:rsid w:val="00236568"/>
    <w:rsid w:val="00236F8C"/>
    <w:rsid w:val="002373BC"/>
    <w:rsid w:val="002375E3"/>
    <w:rsid w:val="0024187A"/>
    <w:rsid w:val="002433A7"/>
    <w:rsid w:val="00243585"/>
    <w:rsid w:val="002458E7"/>
    <w:rsid w:val="002462DC"/>
    <w:rsid w:val="002500BF"/>
    <w:rsid w:val="002509EF"/>
    <w:rsid w:val="00252427"/>
    <w:rsid w:val="00253837"/>
    <w:rsid w:val="00253DF3"/>
    <w:rsid w:val="00254C5B"/>
    <w:rsid w:val="002554E1"/>
    <w:rsid w:val="00255910"/>
    <w:rsid w:val="0025729A"/>
    <w:rsid w:val="002574F4"/>
    <w:rsid w:val="002576B3"/>
    <w:rsid w:val="00257947"/>
    <w:rsid w:val="00260BAB"/>
    <w:rsid w:val="00262E2F"/>
    <w:rsid w:val="00262F19"/>
    <w:rsid w:val="00264071"/>
    <w:rsid w:val="00264491"/>
    <w:rsid w:val="0026450C"/>
    <w:rsid w:val="002650CB"/>
    <w:rsid w:val="00266F6B"/>
    <w:rsid w:val="002672FF"/>
    <w:rsid w:val="00267894"/>
    <w:rsid w:val="00267FF7"/>
    <w:rsid w:val="00270013"/>
    <w:rsid w:val="00270FF2"/>
    <w:rsid w:val="00271B1B"/>
    <w:rsid w:val="00274F70"/>
    <w:rsid w:val="00277657"/>
    <w:rsid w:val="0027774C"/>
    <w:rsid w:val="002809B1"/>
    <w:rsid w:val="00282B7B"/>
    <w:rsid w:val="00283A26"/>
    <w:rsid w:val="002840B2"/>
    <w:rsid w:val="002843B1"/>
    <w:rsid w:val="0028589E"/>
    <w:rsid w:val="002871F5"/>
    <w:rsid w:val="00287990"/>
    <w:rsid w:val="002912A3"/>
    <w:rsid w:val="002925E0"/>
    <w:rsid w:val="002929BA"/>
    <w:rsid w:val="00294296"/>
    <w:rsid w:val="002954A0"/>
    <w:rsid w:val="0029600C"/>
    <w:rsid w:val="002A1DF8"/>
    <w:rsid w:val="002A2249"/>
    <w:rsid w:val="002A2C1B"/>
    <w:rsid w:val="002A3BAA"/>
    <w:rsid w:val="002A3D44"/>
    <w:rsid w:val="002A5D5D"/>
    <w:rsid w:val="002A626D"/>
    <w:rsid w:val="002A7B3F"/>
    <w:rsid w:val="002A7E1F"/>
    <w:rsid w:val="002B092C"/>
    <w:rsid w:val="002B1FA3"/>
    <w:rsid w:val="002B2D55"/>
    <w:rsid w:val="002B3318"/>
    <w:rsid w:val="002B4808"/>
    <w:rsid w:val="002B4DBB"/>
    <w:rsid w:val="002B6C42"/>
    <w:rsid w:val="002B712F"/>
    <w:rsid w:val="002B71DB"/>
    <w:rsid w:val="002C05CF"/>
    <w:rsid w:val="002C0AD3"/>
    <w:rsid w:val="002C0E3B"/>
    <w:rsid w:val="002C0EAE"/>
    <w:rsid w:val="002C2093"/>
    <w:rsid w:val="002C226C"/>
    <w:rsid w:val="002C2E33"/>
    <w:rsid w:val="002C3114"/>
    <w:rsid w:val="002C42AC"/>
    <w:rsid w:val="002C4A16"/>
    <w:rsid w:val="002C5318"/>
    <w:rsid w:val="002C5CC0"/>
    <w:rsid w:val="002C6131"/>
    <w:rsid w:val="002C6316"/>
    <w:rsid w:val="002C6383"/>
    <w:rsid w:val="002C6876"/>
    <w:rsid w:val="002C784C"/>
    <w:rsid w:val="002D1270"/>
    <w:rsid w:val="002D1439"/>
    <w:rsid w:val="002D2AF3"/>
    <w:rsid w:val="002D2F4E"/>
    <w:rsid w:val="002D3758"/>
    <w:rsid w:val="002D464A"/>
    <w:rsid w:val="002D49A7"/>
    <w:rsid w:val="002D5BCD"/>
    <w:rsid w:val="002D77C8"/>
    <w:rsid w:val="002E08D3"/>
    <w:rsid w:val="002E25D8"/>
    <w:rsid w:val="002E2E74"/>
    <w:rsid w:val="002E3D6A"/>
    <w:rsid w:val="002E3F23"/>
    <w:rsid w:val="002E406D"/>
    <w:rsid w:val="002E4E98"/>
    <w:rsid w:val="002E7B58"/>
    <w:rsid w:val="002F0F82"/>
    <w:rsid w:val="002F1341"/>
    <w:rsid w:val="002F16CE"/>
    <w:rsid w:val="002F1F9E"/>
    <w:rsid w:val="002F2D7E"/>
    <w:rsid w:val="002F2E76"/>
    <w:rsid w:val="002F39A6"/>
    <w:rsid w:val="002F3EE6"/>
    <w:rsid w:val="002F3F0F"/>
    <w:rsid w:val="00300173"/>
    <w:rsid w:val="00301DD0"/>
    <w:rsid w:val="00303349"/>
    <w:rsid w:val="003034DC"/>
    <w:rsid w:val="003041FA"/>
    <w:rsid w:val="00304B06"/>
    <w:rsid w:val="00304C30"/>
    <w:rsid w:val="00305C0D"/>
    <w:rsid w:val="00305EDB"/>
    <w:rsid w:val="00306327"/>
    <w:rsid w:val="0030698A"/>
    <w:rsid w:val="0030754C"/>
    <w:rsid w:val="00312ACE"/>
    <w:rsid w:val="00312E83"/>
    <w:rsid w:val="003132B1"/>
    <w:rsid w:val="00314D48"/>
    <w:rsid w:val="00315AEA"/>
    <w:rsid w:val="00315C3D"/>
    <w:rsid w:val="00316090"/>
    <w:rsid w:val="0031741B"/>
    <w:rsid w:val="00317C3A"/>
    <w:rsid w:val="00320362"/>
    <w:rsid w:val="00320A63"/>
    <w:rsid w:val="00320DAF"/>
    <w:rsid w:val="00322766"/>
    <w:rsid w:val="003233C2"/>
    <w:rsid w:val="00323BCA"/>
    <w:rsid w:val="003241F7"/>
    <w:rsid w:val="003245AF"/>
    <w:rsid w:val="00324A40"/>
    <w:rsid w:val="00325100"/>
    <w:rsid w:val="0032543F"/>
    <w:rsid w:val="00325EFD"/>
    <w:rsid w:val="00325F3E"/>
    <w:rsid w:val="00327153"/>
    <w:rsid w:val="003276D7"/>
    <w:rsid w:val="003308D5"/>
    <w:rsid w:val="003311E7"/>
    <w:rsid w:val="00331277"/>
    <w:rsid w:val="00331BF5"/>
    <w:rsid w:val="003342CD"/>
    <w:rsid w:val="00335042"/>
    <w:rsid w:val="00340FEE"/>
    <w:rsid w:val="00341F0D"/>
    <w:rsid w:val="00342742"/>
    <w:rsid w:val="00343C1F"/>
    <w:rsid w:val="00344ED5"/>
    <w:rsid w:val="0034584B"/>
    <w:rsid w:val="00347864"/>
    <w:rsid w:val="003506BC"/>
    <w:rsid w:val="0035324A"/>
    <w:rsid w:val="0035359B"/>
    <w:rsid w:val="00353E4D"/>
    <w:rsid w:val="0035497B"/>
    <w:rsid w:val="00355191"/>
    <w:rsid w:val="00355EAC"/>
    <w:rsid w:val="00356020"/>
    <w:rsid w:val="00357A75"/>
    <w:rsid w:val="003607FA"/>
    <w:rsid w:val="00361DBC"/>
    <w:rsid w:val="00362B70"/>
    <w:rsid w:val="00363266"/>
    <w:rsid w:val="00363EAE"/>
    <w:rsid w:val="003662A3"/>
    <w:rsid w:val="00367201"/>
    <w:rsid w:val="00367331"/>
    <w:rsid w:val="00370CAF"/>
    <w:rsid w:val="00371872"/>
    <w:rsid w:val="00371B10"/>
    <w:rsid w:val="00372623"/>
    <w:rsid w:val="00373FB6"/>
    <w:rsid w:val="0037459F"/>
    <w:rsid w:val="0037497F"/>
    <w:rsid w:val="00377242"/>
    <w:rsid w:val="00377695"/>
    <w:rsid w:val="003802A6"/>
    <w:rsid w:val="0038187C"/>
    <w:rsid w:val="003823F7"/>
    <w:rsid w:val="00382772"/>
    <w:rsid w:val="00383537"/>
    <w:rsid w:val="003838FB"/>
    <w:rsid w:val="00383E69"/>
    <w:rsid w:val="003878FE"/>
    <w:rsid w:val="00387DE7"/>
    <w:rsid w:val="003904B1"/>
    <w:rsid w:val="00390BE1"/>
    <w:rsid w:val="00391239"/>
    <w:rsid w:val="00391638"/>
    <w:rsid w:val="003925AE"/>
    <w:rsid w:val="00392AD3"/>
    <w:rsid w:val="00392BBA"/>
    <w:rsid w:val="00393EAC"/>
    <w:rsid w:val="00394035"/>
    <w:rsid w:val="003941E1"/>
    <w:rsid w:val="0039537E"/>
    <w:rsid w:val="003954FD"/>
    <w:rsid w:val="003961D6"/>
    <w:rsid w:val="003974BB"/>
    <w:rsid w:val="003A029C"/>
    <w:rsid w:val="003A0799"/>
    <w:rsid w:val="003A08EB"/>
    <w:rsid w:val="003A0952"/>
    <w:rsid w:val="003A1A20"/>
    <w:rsid w:val="003A5810"/>
    <w:rsid w:val="003A7D0D"/>
    <w:rsid w:val="003B0661"/>
    <w:rsid w:val="003B1B64"/>
    <w:rsid w:val="003B1E23"/>
    <w:rsid w:val="003B2008"/>
    <w:rsid w:val="003B4608"/>
    <w:rsid w:val="003B4939"/>
    <w:rsid w:val="003B4A08"/>
    <w:rsid w:val="003B4B50"/>
    <w:rsid w:val="003B5F98"/>
    <w:rsid w:val="003B68CE"/>
    <w:rsid w:val="003B792D"/>
    <w:rsid w:val="003C087E"/>
    <w:rsid w:val="003C3917"/>
    <w:rsid w:val="003C3930"/>
    <w:rsid w:val="003C4668"/>
    <w:rsid w:val="003C4D33"/>
    <w:rsid w:val="003C51A8"/>
    <w:rsid w:val="003C530E"/>
    <w:rsid w:val="003C6244"/>
    <w:rsid w:val="003C7897"/>
    <w:rsid w:val="003C7907"/>
    <w:rsid w:val="003C7F51"/>
    <w:rsid w:val="003D0929"/>
    <w:rsid w:val="003D0BF6"/>
    <w:rsid w:val="003D204A"/>
    <w:rsid w:val="003D3B0C"/>
    <w:rsid w:val="003D4B26"/>
    <w:rsid w:val="003D4E5B"/>
    <w:rsid w:val="003D5822"/>
    <w:rsid w:val="003D5A4A"/>
    <w:rsid w:val="003D60D7"/>
    <w:rsid w:val="003D61E2"/>
    <w:rsid w:val="003D61FE"/>
    <w:rsid w:val="003D6E0C"/>
    <w:rsid w:val="003E0334"/>
    <w:rsid w:val="003E1BF4"/>
    <w:rsid w:val="003E1CDA"/>
    <w:rsid w:val="003E1CE3"/>
    <w:rsid w:val="003E28B9"/>
    <w:rsid w:val="003E3026"/>
    <w:rsid w:val="003E5171"/>
    <w:rsid w:val="003E6DA8"/>
    <w:rsid w:val="003E70DF"/>
    <w:rsid w:val="003E7A63"/>
    <w:rsid w:val="003F0614"/>
    <w:rsid w:val="003F0692"/>
    <w:rsid w:val="003F09E9"/>
    <w:rsid w:val="003F3621"/>
    <w:rsid w:val="003F370C"/>
    <w:rsid w:val="003F44FA"/>
    <w:rsid w:val="003F5584"/>
    <w:rsid w:val="003F56E7"/>
    <w:rsid w:val="003F5A3A"/>
    <w:rsid w:val="003F5A48"/>
    <w:rsid w:val="003F5B20"/>
    <w:rsid w:val="003F7597"/>
    <w:rsid w:val="003F7F16"/>
    <w:rsid w:val="00400D82"/>
    <w:rsid w:val="00401CEF"/>
    <w:rsid w:val="00401DDE"/>
    <w:rsid w:val="004021A2"/>
    <w:rsid w:val="0040441A"/>
    <w:rsid w:val="004051A0"/>
    <w:rsid w:val="00405473"/>
    <w:rsid w:val="00405710"/>
    <w:rsid w:val="00405B31"/>
    <w:rsid w:val="00406861"/>
    <w:rsid w:val="00406F36"/>
    <w:rsid w:val="00407699"/>
    <w:rsid w:val="00407B56"/>
    <w:rsid w:val="004122FC"/>
    <w:rsid w:val="0041262A"/>
    <w:rsid w:val="00413465"/>
    <w:rsid w:val="004134E1"/>
    <w:rsid w:val="00413975"/>
    <w:rsid w:val="004162B0"/>
    <w:rsid w:val="004170F1"/>
    <w:rsid w:val="0041752E"/>
    <w:rsid w:val="004205E1"/>
    <w:rsid w:val="00423B20"/>
    <w:rsid w:val="00424A57"/>
    <w:rsid w:val="00425637"/>
    <w:rsid w:val="00425E2C"/>
    <w:rsid w:val="004261FB"/>
    <w:rsid w:val="0042666E"/>
    <w:rsid w:val="00426EF7"/>
    <w:rsid w:val="00427AC7"/>
    <w:rsid w:val="00427D3D"/>
    <w:rsid w:val="00430426"/>
    <w:rsid w:val="00431038"/>
    <w:rsid w:val="00431262"/>
    <w:rsid w:val="00431583"/>
    <w:rsid w:val="00431C67"/>
    <w:rsid w:val="0043245D"/>
    <w:rsid w:val="00432FC7"/>
    <w:rsid w:val="00433F7B"/>
    <w:rsid w:val="004349F1"/>
    <w:rsid w:val="00434FF7"/>
    <w:rsid w:val="004350D0"/>
    <w:rsid w:val="00435159"/>
    <w:rsid w:val="004357D2"/>
    <w:rsid w:val="00436E00"/>
    <w:rsid w:val="00440456"/>
    <w:rsid w:val="00440BD1"/>
    <w:rsid w:val="00441272"/>
    <w:rsid w:val="0044531C"/>
    <w:rsid w:val="004459F3"/>
    <w:rsid w:val="00445A1F"/>
    <w:rsid w:val="004464EC"/>
    <w:rsid w:val="004508B1"/>
    <w:rsid w:val="00450F22"/>
    <w:rsid w:val="004512F1"/>
    <w:rsid w:val="00452403"/>
    <w:rsid w:val="004524A3"/>
    <w:rsid w:val="004534D8"/>
    <w:rsid w:val="00453A38"/>
    <w:rsid w:val="00453FCB"/>
    <w:rsid w:val="00455A7D"/>
    <w:rsid w:val="004572D4"/>
    <w:rsid w:val="00461861"/>
    <w:rsid w:val="00462095"/>
    <w:rsid w:val="00463015"/>
    <w:rsid w:val="0046307B"/>
    <w:rsid w:val="004660ED"/>
    <w:rsid w:val="00467754"/>
    <w:rsid w:val="00467C08"/>
    <w:rsid w:val="00471C45"/>
    <w:rsid w:val="00471F48"/>
    <w:rsid w:val="004721C1"/>
    <w:rsid w:val="0047345E"/>
    <w:rsid w:val="004735F8"/>
    <w:rsid w:val="00473AF6"/>
    <w:rsid w:val="00473D08"/>
    <w:rsid w:val="00474317"/>
    <w:rsid w:val="0047457A"/>
    <w:rsid w:val="00475A39"/>
    <w:rsid w:val="00481B70"/>
    <w:rsid w:val="00482B81"/>
    <w:rsid w:val="00482D4C"/>
    <w:rsid w:val="00483DB9"/>
    <w:rsid w:val="00484363"/>
    <w:rsid w:val="00484BA5"/>
    <w:rsid w:val="00484D82"/>
    <w:rsid w:val="004851E3"/>
    <w:rsid w:val="00485FDD"/>
    <w:rsid w:val="00486C02"/>
    <w:rsid w:val="004870FA"/>
    <w:rsid w:val="0049040F"/>
    <w:rsid w:val="00490A4E"/>
    <w:rsid w:val="00492A58"/>
    <w:rsid w:val="00493837"/>
    <w:rsid w:val="00495664"/>
    <w:rsid w:val="00497161"/>
    <w:rsid w:val="0049746F"/>
    <w:rsid w:val="00497DEA"/>
    <w:rsid w:val="004A00D3"/>
    <w:rsid w:val="004A0DE3"/>
    <w:rsid w:val="004A18A3"/>
    <w:rsid w:val="004A2038"/>
    <w:rsid w:val="004A46B5"/>
    <w:rsid w:val="004A4A70"/>
    <w:rsid w:val="004A5EBC"/>
    <w:rsid w:val="004A7E7F"/>
    <w:rsid w:val="004B1B50"/>
    <w:rsid w:val="004B1DC9"/>
    <w:rsid w:val="004B27D0"/>
    <w:rsid w:val="004B3A52"/>
    <w:rsid w:val="004B3B8D"/>
    <w:rsid w:val="004B3C0F"/>
    <w:rsid w:val="004B40FE"/>
    <w:rsid w:val="004B4306"/>
    <w:rsid w:val="004B4512"/>
    <w:rsid w:val="004B5AB2"/>
    <w:rsid w:val="004B7E4A"/>
    <w:rsid w:val="004C05E4"/>
    <w:rsid w:val="004C0819"/>
    <w:rsid w:val="004C150F"/>
    <w:rsid w:val="004C2474"/>
    <w:rsid w:val="004C2BB5"/>
    <w:rsid w:val="004C409E"/>
    <w:rsid w:val="004C4649"/>
    <w:rsid w:val="004C582F"/>
    <w:rsid w:val="004D1AD8"/>
    <w:rsid w:val="004D20EA"/>
    <w:rsid w:val="004D376C"/>
    <w:rsid w:val="004D4382"/>
    <w:rsid w:val="004D4B40"/>
    <w:rsid w:val="004D5BEE"/>
    <w:rsid w:val="004D6B4D"/>
    <w:rsid w:val="004D7851"/>
    <w:rsid w:val="004E06B4"/>
    <w:rsid w:val="004E1847"/>
    <w:rsid w:val="004E1894"/>
    <w:rsid w:val="004E1DEE"/>
    <w:rsid w:val="004E2568"/>
    <w:rsid w:val="004E282D"/>
    <w:rsid w:val="004E327A"/>
    <w:rsid w:val="004E39E1"/>
    <w:rsid w:val="004E3B2A"/>
    <w:rsid w:val="004E6D66"/>
    <w:rsid w:val="004E6F57"/>
    <w:rsid w:val="004E7BB5"/>
    <w:rsid w:val="004F03EF"/>
    <w:rsid w:val="004F0A7B"/>
    <w:rsid w:val="004F1B56"/>
    <w:rsid w:val="004F2573"/>
    <w:rsid w:val="004F2C1D"/>
    <w:rsid w:val="004F3417"/>
    <w:rsid w:val="004F56D0"/>
    <w:rsid w:val="004F58B9"/>
    <w:rsid w:val="00500648"/>
    <w:rsid w:val="005009D7"/>
    <w:rsid w:val="005014F7"/>
    <w:rsid w:val="00502E53"/>
    <w:rsid w:val="00502FB4"/>
    <w:rsid w:val="00503DD4"/>
    <w:rsid w:val="00503E44"/>
    <w:rsid w:val="0050428E"/>
    <w:rsid w:val="00504EDD"/>
    <w:rsid w:val="005050C2"/>
    <w:rsid w:val="0050692C"/>
    <w:rsid w:val="0051065D"/>
    <w:rsid w:val="00511A1B"/>
    <w:rsid w:val="00512619"/>
    <w:rsid w:val="00513C16"/>
    <w:rsid w:val="00514773"/>
    <w:rsid w:val="00515283"/>
    <w:rsid w:val="00516144"/>
    <w:rsid w:val="0051660F"/>
    <w:rsid w:val="00516EDB"/>
    <w:rsid w:val="00516FF1"/>
    <w:rsid w:val="00517677"/>
    <w:rsid w:val="0052078D"/>
    <w:rsid w:val="005207BD"/>
    <w:rsid w:val="0052148C"/>
    <w:rsid w:val="00522E4F"/>
    <w:rsid w:val="00522F88"/>
    <w:rsid w:val="00523026"/>
    <w:rsid w:val="005258AE"/>
    <w:rsid w:val="00532FFA"/>
    <w:rsid w:val="005330C3"/>
    <w:rsid w:val="00533926"/>
    <w:rsid w:val="00533BAF"/>
    <w:rsid w:val="005354AC"/>
    <w:rsid w:val="0053742B"/>
    <w:rsid w:val="00541A89"/>
    <w:rsid w:val="00541D0B"/>
    <w:rsid w:val="00542259"/>
    <w:rsid w:val="005432F8"/>
    <w:rsid w:val="005441E8"/>
    <w:rsid w:val="0054509C"/>
    <w:rsid w:val="00545674"/>
    <w:rsid w:val="00545735"/>
    <w:rsid w:val="00547017"/>
    <w:rsid w:val="005527BC"/>
    <w:rsid w:val="00552CB6"/>
    <w:rsid w:val="00554406"/>
    <w:rsid w:val="005559B6"/>
    <w:rsid w:val="00556578"/>
    <w:rsid w:val="0055675D"/>
    <w:rsid w:val="0056034A"/>
    <w:rsid w:val="0056110E"/>
    <w:rsid w:val="0056534E"/>
    <w:rsid w:val="00565C60"/>
    <w:rsid w:val="00566041"/>
    <w:rsid w:val="00566260"/>
    <w:rsid w:val="00566459"/>
    <w:rsid w:val="00566E8F"/>
    <w:rsid w:val="005674B7"/>
    <w:rsid w:val="00571257"/>
    <w:rsid w:val="00573DD7"/>
    <w:rsid w:val="00573E09"/>
    <w:rsid w:val="00573FC6"/>
    <w:rsid w:val="0057422E"/>
    <w:rsid w:val="005746C6"/>
    <w:rsid w:val="00574BEE"/>
    <w:rsid w:val="005752DC"/>
    <w:rsid w:val="00576DA5"/>
    <w:rsid w:val="00577A03"/>
    <w:rsid w:val="00577C96"/>
    <w:rsid w:val="00581FF9"/>
    <w:rsid w:val="00582086"/>
    <w:rsid w:val="00582820"/>
    <w:rsid w:val="005833BE"/>
    <w:rsid w:val="00583AF8"/>
    <w:rsid w:val="00584CA2"/>
    <w:rsid w:val="00585E77"/>
    <w:rsid w:val="00585EA5"/>
    <w:rsid w:val="005876A5"/>
    <w:rsid w:val="005876F3"/>
    <w:rsid w:val="0059088D"/>
    <w:rsid w:val="0059187E"/>
    <w:rsid w:val="0059295D"/>
    <w:rsid w:val="00594998"/>
    <w:rsid w:val="00594A34"/>
    <w:rsid w:val="00594A69"/>
    <w:rsid w:val="00594A72"/>
    <w:rsid w:val="00595EAA"/>
    <w:rsid w:val="005975BC"/>
    <w:rsid w:val="00597C78"/>
    <w:rsid w:val="00597D74"/>
    <w:rsid w:val="005A105C"/>
    <w:rsid w:val="005A324D"/>
    <w:rsid w:val="005A3D62"/>
    <w:rsid w:val="005A53C4"/>
    <w:rsid w:val="005A5A14"/>
    <w:rsid w:val="005A5B96"/>
    <w:rsid w:val="005A6BB6"/>
    <w:rsid w:val="005A76F4"/>
    <w:rsid w:val="005A7709"/>
    <w:rsid w:val="005A7924"/>
    <w:rsid w:val="005A7C91"/>
    <w:rsid w:val="005B0483"/>
    <w:rsid w:val="005B2A8B"/>
    <w:rsid w:val="005B4BBF"/>
    <w:rsid w:val="005B5D89"/>
    <w:rsid w:val="005B6D88"/>
    <w:rsid w:val="005B6E97"/>
    <w:rsid w:val="005B7867"/>
    <w:rsid w:val="005B7CE9"/>
    <w:rsid w:val="005C0F8F"/>
    <w:rsid w:val="005C2490"/>
    <w:rsid w:val="005C2EA4"/>
    <w:rsid w:val="005C43A9"/>
    <w:rsid w:val="005C43E0"/>
    <w:rsid w:val="005C54B5"/>
    <w:rsid w:val="005C65DB"/>
    <w:rsid w:val="005C7B32"/>
    <w:rsid w:val="005D039B"/>
    <w:rsid w:val="005D039F"/>
    <w:rsid w:val="005D1BED"/>
    <w:rsid w:val="005D2BEA"/>
    <w:rsid w:val="005D5365"/>
    <w:rsid w:val="005D5C1B"/>
    <w:rsid w:val="005D6975"/>
    <w:rsid w:val="005D6F6F"/>
    <w:rsid w:val="005D7D5A"/>
    <w:rsid w:val="005E02D8"/>
    <w:rsid w:val="005E1D1D"/>
    <w:rsid w:val="005E2DBE"/>
    <w:rsid w:val="005E349F"/>
    <w:rsid w:val="005E35FA"/>
    <w:rsid w:val="005E432E"/>
    <w:rsid w:val="005E4BAC"/>
    <w:rsid w:val="005E4E47"/>
    <w:rsid w:val="005E6FED"/>
    <w:rsid w:val="005E7D9E"/>
    <w:rsid w:val="005F25D1"/>
    <w:rsid w:val="005F3A29"/>
    <w:rsid w:val="005F3FAA"/>
    <w:rsid w:val="005F4E48"/>
    <w:rsid w:val="005F4F3A"/>
    <w:rsid w:val="005F53F9"/>
    <w:rsid w:val="005F573D"/>
    <w:rsid w:val="005F5D91"/>
    <w:rsid w:val="005F6A3B"/>
    <w:rsid w:val="005F727B"/>
    <w:rsid w:val="005F7841"/>
    <w:rsid w:val="005F79A4"/>
    <w:rsid w:val="00600311"/>
    <w:rsid w:val="00600DF3"/>
    <w:rsid w:val="00601140"/>
    <w:rsid w:val="0060130D"/>
    <w:rsid w:val="00603706"/>
    <w:rsid w:val="00603B28"/>
    <w:rsid w:val="00603F30"/>
    <w:rsid w:val="00603FA3"/>
    <w:rsid w:val="0060442A"/>
    <w:rsid w:val="0060549E"/>
    <w:rsid w:val="00605DA7"/>
    <w:rsid w:val="00610C3E"/>
    <w:rsid w:val="006113F0"/>
    <w:rsid w:val="006120FD"/>
    <w:rsid w:val="00614B1A"/>
    <w:rsid w:val="00615BFD"/>
    <w:rsid w:val="00616E18"/>
    <w:rsid w:val="006171B4"/>
    <w:rsid w:val="00617384"/>
    <w:rsid w:val="0061747F"/>
    <w:rsid w:val="00617552"/>
    <w:rsid w:val="0061768A"/>
    <w:rsid w:val="00621CDA"/>
    <w:rsid w:val="0062302B"/>
    <w:rsid w:val="0062484F"/>
    <w:rsid w:val="00624BA4"/>
    <w:rsid w:val="006255C0"/>
    <w:rsid w:val="00625C9B"/>
    <w:rsid w:val="00626880"/>
    <w:rsid w:val="0063003F"/>
    <w:rsid w:val="006316B9"/>
    <w:rsid w:val="00631DC2"/>
    <w:rsid w:val="00632B63"/>
    <w:rsid w:val="006332D5"/>
    <w:rsid w:val="00633E3D"/>
    <w:rsid w:val="006357FF"/>
    <w:rsid w:val="0063779C"/>
    <w:rsid w:val="0064129F"/>
    <w:rsid w:val="00641915"/>
    <w:rsid w:val="0064265F"/>
    <w:rsid w:val="00642D88"/>
    <w:rsid w:val="00645C7B"/>
    <w:rsid w:val="00647584"/>
    <w:rsid w:val="00647BB7"/>
    <w:rsid w:val="00650161"/>
    <w:rsid w:val="0065041A"/>
    <w:rsid w:val="0065146E"/>
    <w:rsid w:val="006525BB"/>
    <w:rsid w:val="00654480"/>
    <w:rsid w:val="0065626E"/>
    <w:rsid w:val="0065679F"/>
    <w:rsid w:val="00657B7C"/>
    <w:rsid w:val="00660CE6"/>
    <w:rsid w:val="006643C7"/>
    <w:rsid w:val="00664929"/>
    <w:rsid w:val="00664D60"/>
    <w:rsid w:val="00665952"/>
    <w:rsid w:val="00667432"/>
    <w:rsid w:val="006676B7"/>
    <w:rsid w:val="00670FE7"/>
    <w:rsid w:val="00671C20"/>
    <w:rsid w:val="00673E7C"/>
    <w:rsid w:val="00675681"/>
    <w:rsid w:val="0067657A"/>
    <w:rsid w:val="006769DE"/>
    <w:rsid w:val="006771DC"/>
    <w:rsid w:val="00680297"/>
    <w:rsid w:val="00680B76"/>
    <w:rsid w:val="00680F5E"/>
    <w:rsid w:val="00681516"/>
    <w:rsid w:val="006835EB"/>
    <w:rsid w:val="00685371"/>
    <w:rsid w:val="006858CE"/>
    <w:rsid w:val="00686025"/>
    <w:rsid w:val="006861D9"/>
    <w:rsid w:val="00686224"/>
    <w:rsid w:val="00686771"/>
    <w:rsid w:val="00686841"/>
    <w:rsid w:val="00686F2B"/>
    <w:rsid w:val="0068709A"/>
    <w:rsid w:val="00687255"/>
    <w:rsid w:val="006873CE"/>
    <w:rsid w:val="00687BD1"/>
    <w:rsid w:val="00687C3E"/>
    <w:rsid w:val="00687FB6"/>
    <w:rsid w:val="006924FE"/>
    <w:rsid w:val="0069260D"/>
    <w:rsid w:val="006931EF"/>
    <w:rsid w:val="006938CB"/>
    <w:rsid w:val="00693DF2"/>
    <w:rsid w:val="00694D73"/>
    <w:rsid w:val="006954EF"/>
    <w:rsid w:val="006959A9"/>
    <w:rsid w:val="006964F9"/>
    <w:rsid w:val="00697214"/>
    <w:rsid w:val="006A0786"/>
    <w:rsid w:val="006A22E2"/>
    <w:rsid w:val="006A30A4"/>
    <w:rsid w:val="006A489B"/>
    <w:rsid w:val="006A5FDF"/>
    <w:rsid w:val="006A5FE5"/>
    <w:rsid w:val="006A725E"/>
    <w:rsid w:val="006A73F2"/>
    <w:rsid w:val="006A7B14"/>
    <w:rsid w:val="006A7D65"/>
    <w:rsid w:val="006B0367"/>
    <w:rsid w:val="006B16EC"/>
    <w:rsid w:val="006B1E0E"/>
    <w:rsid w:val="006B1EA3"/>
    <w:rsid w:val="006B207B"/>
    <w:rsid w:val="006B22CF"/>
    <w:rsid w:val="006B285D"/>
    <w:rsid w:val="006B3032"/>
    <w:rsid w:val="006B34C0"/>
    <w:rsid w:val="006B46EA"/>
    <w:rsid w:val="006B4951"/>
    <w:rsid w:val="006B4DC0"/>
    <w:rsid w:val="006B5149"/>
    <w:rsid w:val="006B6DF8"/>
    <w:rsid w:val="006B7966"/>
    <w:rsid w:val="006C0A85"/>
    <w:rsid w:val="006C0EB1"/>
    <w:rsid w:val="006C103A"/>
    <w:rsid w:val="006C17A0"/>
    <w:rsid w:val="006C27E3"/>
    <w:rsid w:val="006C3BD4"/>
    <w:rsid w:val="006C54BC"/>
    <w:rsid w:val="006C5646"/>
    <w:rsid w:val="006C57AF"/>
    <w:rsid w:val="006C60BD"/>
    <w:rsid w:val="006C6AC3"/>
    <w:rsid w:val="006C6B0A"/>
    <w:rsid w:val="006C7592"/>
    <w:rsid w:val="006D01EF"/>
    <w:rsid w:val="006D0B5E"/>
    <w:rsid w:val="006D136A"/>
    <w:rsid w:val="006D149B"/>
    <w:rsid w:val="006D22EF"/>
    <w:rsid w:val="006D286A"/>
    <w:rsid w:val="006D3CE1"/>
    <w:rsid w:val="006D3D7F"/>
    <w:rsid w:val="006D4CDA"/>
    <w:rsid w:val="006D75D3"/>
    <w:rsid w:val="006D77B0"/>
    <w:rsid w:val="006D7BCC"/>
    <w:rsid w:val="006E0587"/>
    <w:rsid w:val="006E1199"/>
    <w:rsid w:val="006E29FE"/>
    <w:rsid w:val="006E7FE3"/>
    <w:rsid w:val="006F06E6"/>
    <w:rsid w:val="006F0B6D"/>
    <w:rsid w:val="006F15F2"/>
    <w:rsid w:val="006F28A6"/>
    <w:rsid w:val="006F3F03"/>
    <w:rsid w:val="006F4E3E"/>
    <w:rsid w:val="006F5046"/>
    <w:rsid w:val="006F5508"/>
    <w:rsid w:val="006F5A67"/>
    <w:rsid w:val="006F5E6C"/>
    <w:rsid w:val="006F6101"/>
    <w:rsid w:val="006F7096"/>
    <w:rsid w:val="006F7D7A"/>
    <w:rsid w:val="0070192F"/>
    <w:rsid w:val="00701BB9"/>
    <w:rsid w:val="00702D9F"/>
    <w:rsid w:val="0070321A"/>
    <w:rsid w:val="00703306"/>
    <w:rsid w:val="0070389A"/>
    <w:rsid w:val="00703F15"/>
    <w:rsid w:val="007049BF"/>
    <w:rsid w:val="00704EB1"/>
    <w:rsid w:val="00706D29"/>
    <w:rsid w:val="00706DDA"/>
    <w:rsid w:val="007072E5"/>
    <w:rsid w:val="00710E94"/>
    <w:rsid w:val="00713C68"/>
    <w:rsid w:val="007140A1"/>
    <w:rsid w:val="00714B3A"/>
    <w:rsid w:val="007150DC"/>
    <w:rsid w:val="0071536D"/>
    <w:rsid w:val="00715D1E"/>
    <w:rsid w:val="00716FBD"/>
    <w:rsid w:val="00717986"/>
    <w:rsid w:val="00720294"/>
    <w:rsid w:val="00720BE7"/>
    <w:rsid w:val="00721159"/>
    <w:rsid w:val="00723E15"/>
    <w:rsid w:val="007248A6"/>
    <w:rsid w:val="00724E2E"/>
    <w:rsid w:val="007251C6"/>
    <w:rsid w:val="00725410"/>
    <w:rsid w:val="00725A9A"/>
    <w:rsid w:val="00726133"/>
    <w:rsid w:val="00726CF0"/>
    <w:rsid w:val="00727206"/>
    <w:rsid w:val="007273F4"/>
    <w:rsid w:val="00727D8A"/>
    <w:rsid w:val="00730032"/>
    <w:rsid w:val="0073062B"/>
    <w:rsid w:val="00730F58"/>
    <w:rsid w:val="00731608"/>
    <w:rsid w:val="00731FEA"/>
    <w:rsid w:val="007330F1"/>
    <w:rsid w:val="00735246"/>
    <w:rsid w:val="007368C0"/>
    <w:rsid w:val="00736C9B"/>
    <w:rsid w:val="00736F61"/>
    <w:rsid w:val="0073747C"/>
    <w:rsid w:val="00737E3E"/>
    <w:rsid w:val="00741513"/>
    <w:rsid w:val="00742253"/>
    <w:rsid w:val="00745279"/>
    <w:rsid w:val="00745A0F"/>
    <w:rsid w:val="00745C6B"/>
    <w:rsid w:val="00746488"/>
    <w:rsid w:val="00746569"/>
    <w:rsid w:val="00746765"/>
    <w:rsid w:val="00746B51"/>
    <w:rsid w:val="00751947"/>
    <w:rsid w:val="00752B90"/>
    <w:rsid w:val="00752C98"/>
    <w:rsid w:val="00753896"/>
    <w:rsid w:val="00754DEC"/>
    <w:rsid w:val="00760D7B"/>
    <w:rsid w:val="00760F42"/>
    <w:rsid w:val="0076133B"/>
    <w:rsid w:val="0076253D"/>
    <w:rsid w:val="00763AF0"/>
    <w:rsid w:val="007645CE"/>
    <w:rsid w:val="00765F9C"/>
    <w:rsid w:val="0076607C"/>
    <w:rsid w:val="007662C7"/>
    <w:rsid w:val="00766FD4"/>
    <w:rsid w:val="00767952"/>
    <w:rsid w:val="0077055F"/>
    <w:rsid w:val="0077073D"/>
    <w:rsid w:val="00771DB8"/>
    <w:rsid w:val="0077345D"/>
    <w:rsid w:val="007736B3"/>
    <w:rsid w:val="00773BAD"/>
    <w:rsid w:val="0077601F"/>
    <w:rsid w:val="00776306"/>
    <w:rsid w:val="00776893"/>
    <w:rsid w:val="00776D35"/>
    <w:rsid w:val="007774D7"/>
    <w:rsid w:val="00777AC2"/>
    <w:rsid w:val="00777C76"/>
    <w:rsid w:val="00780F16"/>
    <w:rsid w:val="00781561"/>
    <w:rsid w:val="007817A7"/>
    <w:rsid w:val="00782405"/>
    <w:rsid w:val="007834B7"/>
    <w:rsid w:val="007845BB"/>
    <w:rsid w:val="00784E4B"/>
    <w:rsid w:val="00784FF6"/>
    <w:rsid w:val="007855A0"/>
    <w:rsid w:val="00786701"/>
    <w:rsid w:val="00790B05"/>
    <w:rsid w:val="0079258F"/>
    <w:rsid w:val="00792888"/>
    <w:rsid w:val="0079357F"/>
    <w:rsid w:val="007976E7"/>
    <w:rsid w:val="007977CA"/>
    <w:rsid w:val="00797800"/>
    <w:rsid w:val="00797D25"/>
    <w:rsid w:val="00797F7F"/>
    <w:rsid w:val="007A0B28"/>
    <w:rsid w:val="007A1962"/>
    <w:rsid w:val="007A2F2A"/>
    <w:rsid w:val="007A33B0"/>
    <w:rsid w:val="007A342C"/>
    <w:rsid w:val="007A3A15"/>
    <w:rsid w:val="007A4443"/>
    <w:rsid w:val="007A4873"/>
    <w:rsid w:val="007A4B1C"/>
    <w:rsid w:val="007A4E0B"/>
    <w:rsid w:val="007A55A7"/>
    <w:rsid w:val="007A5C6E"/>
    <w:rsid w:val="007A5DD4"/>
    <w:rsid w:val="007A6D0B"/>
    <w:rsid w:val="007A7A9E"/>
    <w:rsid w:val="007B1AC8"/>
    <w:rsid w:val="007B1F10"/>
    <w:rsid w:val="007B232A"/>
    <w:rsid w:val="007B2810"/>
    <w:rsid w:val="007B335E"/>
    <w:rsid w:val="007B4367"/>
    <w:rsid w:val="007B4697"/>
    <w:rsid w:val="007B519D"/>
    <w:rsid w:val="007C1564"/>
    <w:rsid w:val="007C229C"/>
    <w:rsid w:val="007C420C"/>
    <w:rsid w:val="007C5D57"/>
    <w:rsid w:val="007C617E"/>
    <w:rsid w:val="007C691A"/>
    <w:rsid w:val="007C7EC5"/>
    <w:rsid w:val="007D0091"/>
    <w:rsid w:val="007D23EA"/>
    <w:rsid w:val="007D2B0C"/>
    <w:rsid w:val="007D30F2"/>
    <w:rsid w:val="007D4300"/>
    <w:rsid w:val="007D54C7"/>
    <w:rsid w:val="007D5C3A"/>
    <w:rsid w:val="007E018D"/>
    <w:rsid w:val="007E0903"/>
    <w:rsid w:val="007E109B"/>
    <w:rsid w:val="007E2438"/>
    <w:rsid w:val="007E2EA4"/>
    <w:rsid w:val="007E319A"/>
    <w:rsid w:val="007E395A"/>
    <w:rsid w:val="007E3EFD"/>
    <w:rsid w:val="007E4FCB"/>
    <w:rsid w:val="007E5279"/>
    <w:rsid w:val="007E54C9"/>
    <w:rsid w:val="007E58CD"/>
    <w:rsid w:val="007E65EF"/>
    <w:rsid w:val="007E666E"/>
    <w:rsid w:val="007E73BF"/>
    <w:rsid w:val="007E7B83"/>
    <w:rsid w:val="007E7CF3"/>
    <w:rsid w:val="007E7D4A"/>
    <w:rsid w:val="007F0D37"/>
    <w:rsid w:val="007F1B71"/>
    <w:rsid w:val="007F2038"/>
    <w:rsid w:val="007F2417"/>
    <w:rsid w:val="007F386C"/>
    <w:rsid w:val="007F3E10"/>
    <w:rsid w:val="007F4936"/>
    <w:rsid w:val="007F4F91"/>
    <w:rsid w:val="007F5262"/>
    <w:rsid w:val="007F572D"/>
    <w:rsid w:val="007F5B9E"/>
    <w:rsid w:val="007F7D50"/>
    <w:rsid w:val="00802094"/>
    <w:rsid w:val="008024E6"/>
    <w:rsid w:val="0080325E"/>
    <w:rsid w:val="00803821"/>
    <w:rsid w:val="00804EA4"/>
    <w:rsid w:val="008056C8"/>
    <w:rsid w:val="008072E1"/>
    <w:rsid w:val="008079AF"/>
    <w:rsid w:val="00807E7D"/>
    <w:rsid w:val="00812BFD"/>
    <w:rsid w:val="00812E4E"/>
    <w:rsid w:val="00814DAA"/>
    <w:rsid w:val="00815B3B"/>
    <w:rsid w:val="00816689"/>
    <w:rsid w:val="00816C70"/>
    <w:rsid w:val="008176AC"/>
    <w:rsid w:val="00817913"/>
    <w:rsid w:val="00817D3A"/>
    <w:rsid w:val="00817FBA"/>
    <w:rsid w:val="0082070D"/>
    <w:rsid w:val="00820746"/>
    <w:rsid w:val="00820CED"/>
    <w:rsid w:val="008212F9"/>
    <w:rsid w:val="00821C4F"/>
    <w:rsid w:val="00827A38"/>
    <w:rsid w:val="00830EEC"/>
    <w:rsid w:val="00831675"/>
    <w:rsid w:val="0083275E"/>
    <w:rsid w:val="00834DC7"/>
    <w:rsid w:val="00835E60"/>
    <w:rsid w:val="0083633B"/>
    <w:rsid w:val="00836412"/>
    <w:rsid w:val="008374FE"/>
    <w:rsid w:val="00840C0A"/>
    <w:rsid w:val="008412A7"/>
    <w:rsid w:val="0084186F"/>
    <w:rsid w:val="0084192D"/>
    <w:rsid w:val="008427EB"/>
    <w:rsid w:val="008443F9"/>
    <w:rsid w:val="008473FB"/>
    <w:rsid w:val="00847FA5"/>
    <w:rsid w:val="0085003F"/>
    <w:rsid w:val="00850A2D"/>
    <w:rsid w:val="008510A1"/>
    <w:rsid w:val="0085160C"/>
    <w:rsid w:val="00851C37"/>
    <w:rsid w:val="00851F47"/>
    <w:rsid w:val="00852428"/>
    <w:rsid w:val="008533C3"/>
    <w:rsid w:val="00853C72"/>
    <w:rsid w:val="00853FEA"/>
    <w:rsid w:val="008548E7"/>
    <w:rsid w:val="008557A2"/>
    <w:rsid w:val="00856AF5"/>
    <w:rsid w:val="00856FB3"/>
    <w:rsid w:val="00857D1D"/>
    <w:rsid w:val="00860259"/>
    <w:rsid w:val="008603F1"/>
    <w:rsid w:val="0086114C"/>
    <w:rsid w:val="00862522"/>
    <w:rsid w:val="0086319B"/>
    <w:rsid w:val="00863C53"/>
    <w:rsid w:val="00865D80"/>
    <w:rsid w:val="00865E43"/>
    <w:rsid w:val="008677CE"/>
    <w:rsid w:val="0087038E"/>
    <w:rsid w:val="00870E2E"/>
    <w:rsid w:val="00871EC1"/>
    <w:rsid w:val="0087204D"/>
    <w:rsid w:val="0087221E"/>
    <w:rsid w:val="00872CC3"/>
    <w:rsid w:val="00875563"/>
    <w:rsid w:val="00875680"/>
    <w:rsid w:val="00876161"/>
    <w:rsid w:val="00876217"/>
    <w:rsid w:val="00877B17"/>
    <w:rsid w:val="00877F76"/>
    <w:rsid w:val="0088008B"/>
    <w:rsid w:val="008809F4"/>
    <w:rsid w:val="008811C9"/>
    <w:rsid w:val="00882025"/>
    <w:rsid w:val="0088237B"/>
    <w:rsid w:val="00882774"/>
    <w:rsid w:val="00882807"/>
    <w:rsid w:val="008830FB"/>
    <w:rsid w:val="00883785"/>
    <w:rsid w:val="00883C73"/>
    <w:rsid w:val="0088467C"/>
    <w:rsid w:val="008864B4"/>
    <w:rsid w:val="0088651D"/>
    <w:rsid w:val="00890B10"/>
    <w:rsid w:val="00890BAC"/>
    <w:rsid w:val="00891B4C"/>
    <w:rsid w:val="00891BE2"/>
    <w:rsid w:val="00891EA1"/>
    <w:rsid w:val="00893EC5"/>
    <w:rsid w:val="00893EE0"/>
    <w:rsid w:val="00894579"/>
    <w:rsid w:val="00896BB3"/>
    <w:rsid w:val="008A2325"/>
    <w:rsid w:val="008A38F6"/>
    <w:rsid w:val="008A4635"/>
    <w:rsid w:val="008A4BDE"/>
    <w:rsid w:val="008A5766"/>
    <w:rsid w:val="008A5B67"/>
    <w:rsid w:val="008A6D1F"/>
    <w:rsid w:val="008A6FB0"/>
    <w:rsid w:val="008A70CE"/>
    <w:rsid w:val="008B0144"/>
    <w:rsid w:val="008B055A"/>
    <w:rsid w:val="008B30DC"/>
    <w:rsid w:val="008B328C"/>
    <w:rsid w:val="008B3752"/>
    <w:rsid w:val="008B3897"/>
    <w:rsid w:val="008B6013"/>
    <w:rsid w:val="008B61EA"/>
    <w:rsid w:val="008B6252"/>
    <w:rsid w:val="008B6DFC"/>
    <w:rsid w:val="008C0466"/>
    <w:rsid w:val="008C0B14"/>
    <w:rsid w:val="008C0D44"/>
    <w:rsid w:val="008C0E3A"/>
    <w:rsid w:val="008C17B4"/>
    <w:rsid w:val="008C1A6D"/>
    <w:rsid w:val="008C2483"/>
    <w:rsid w:val="008C3D0A"/>
    <w:rsid w:val="008C428E"/>
    <w:rsid w:val="008C4AD5"/>
    <w:rsid w:val="008C61E9"/>
    <w:rsid w:val="008D16F7"/>
    <w:rsid w:val="008D1CC5"/>
    <w:rsid w:val="008D2024"/>
    <w:rsid w:val="008D3F91"/>
    <w:rsid w:val="008D58B7"/>
    <w:rsid w:val="008D5EEF"/>
    <w:rsid w:val="008D689F"/>
    <w:rsid w:val="008E0360"/>
    <w:rsid w:val="008E0D72"/>
    <w:rsid w:val="008E1427"/>
    <w:rsid w:val="008E18E9"/>
    <w:rsid w:val="008E246B"/>
    <w:rsid w:val="008E2C7E"/>
    <w:rsid w:val="008E30D4"/>
    <w:rsid w:val="008E349C"/>
    <w:rsid w:val="008E3B96"/>
    <w:rsid w:val="008E42AF"/>
    <w:rsid w:val="008E5104"/>
    <w:rsid w:val="008E5D97"/>
    <w:rsid w:val="008E5DDA"/>
    <w:rsid w:val="008E7141"/>
    <w:rsid w:val="008E7D65"/>
    <w:rsid w:val="008E7E32"/>
    <w:rsid w:val="008F0AC6"/>
    <w:rsid w:val="008F1057"/>
    <w:rsid w:val="008F1F06"/>
    <w:rsid w:val="008F2902"/>
    <w:rsid w:val="008F2E84"/>
    <w:rsid w:val="008F3928"/>
    <w:rsid w:val="008F3A2E"/>
    <w:rsid w:val="008F4CCE"/>
    <w:rsid w:val="008F515A"/>
    <w:rsid w:val="008F5D5B"/>
    <w:rsid w:val="008F7581"/>
    <w:rsid w:val="00901821"/>
    <w:rsid w:val="009018CF"/>
    <w:rsid w:val="00902D7B"/>
    <w:rsid w:val="00902EE9"/>
    <w:rsid w:val="00903F0C"/>
    <w:rsid w:val="00904619"/>
    <w:rsid w:val="00905064"/>
    <w:rsid w:val="00905B68"/>
    <w:rsid w:val="00905F00"/>
    <w:rsid w:val="009103C1"/>
    <w:rsid w:val="00910F78"/>
    <w:rsid w:val="0091232E"/>
    <w:rsid w:val="00912646"/>
    <w:rsid w:val="00913750"/>
    <w:rsid w:val="009143A0"/>
    <w:rsid w:val="00915542"/>
    <w:rsid w:val="00915900"/>
    <w:rsid w:val="00916D63"/>
    <w:rsid w:val="00916E7A"/>
    <w:rsid w:val="0091724E"/>
    <w:rsid w:val="009201A3"/>
    <w:rsid w:val="009203B7"/>
    <w:rsid w:val="00920412"/>
    <w:rsid w:val="00920669"/>
    <w:rsid w:val="00921263"/>
    <w:rsid w:val="009213E4"/>
    <w:rsid w:val="00922D50"/>
    <w:rsid w:val="00924AE5"/>
    <w:rsid w:val="0092646C"/>
    <w:rsid w:val="00927382"/>
    <w:rsid w:val="00927797"/>
    <w:rsid w:val="00927E4B"/>
    <w:rsid w:val="00932628"/>
    <w:rsid w:val="009335F3"/>
    <w:rsid w:val="00936902"/>
    <w:rsid w:val="0093709F"/>
    <w:rsid w:val="0094057E"/>
    <w:rsid w:val="0094075E"/>
    <w:rsid w:val="00941D38"/>
    <w:rsid w:val="00942547"/>
    <w:rsid w:val="00942A98"/>
    <w:rsid w:val="00942EEE"/>
    <w:rsid w:val="009432E0"/>
    <w:rsid w:val="00946610"/>
    <w:rsid w:val="0094711B"/>
    <w:rsid w:val="009477D7"/>
    <w:rsid w:val="0095014D"/>
    <w:rsid w:val="00951371"/>
    <w:rsid w:val="00951A74"/>
    <w:rsid w:val="00952AE3"/>
    <w:rsid w:val="009544A2"/>
    <w:rsid w:val="00954679"/>
    <w:rsid w:val="00955510"/>
    <w:rsid w:val="00957758"/>
    <w:rsid w:val="00957D83"/>
    <w:rsid w:val="00957DA4"/>
    <w:rsid w:val="00961423"/>
    <w:rsid w:val="009617A5"/>
    <w:rsid w:val="009636F2"/>
    <w:rsid w:val="00963877"/>
    <w:rsid w:val="009646E5"/>
    <w:rsid w:val="009650DE"/>
    <w:rsid w:val="009662CC"/>
    <w:rsid w:val="00970144"/>
    <w:rsid w:val="00970893"/>
    <w:rsid w:val="00970EF0"/>
    <w:rsid w:val="009713F7"/>
    <w:rsid w:val="00971CED"/>
    <w:rsid w:val="00972FD6"/>
    <w:rsid w:val="009731C6"/>
    <w:rsid w:val="0097325A"/>
    <w:rsid w:val="00973534"/>
    <w:rsid w:val="00973AD7"/>
    <w:rsid w:val="00974A77"/>
    <w:rsid w:val="00975712"/>
    <w:rsid w:val="00977382"/>
    <w:rsid w:val="00982FBB"/>
    <w:rsid w:val="009836EB"/>
    <w:rsid w:val="0098393C"/>
    <w:rsid w:val="009843A2"/>
    <w:rsid w:val="00985A11"/>
    <w:rsid w:val="00986980"/>
    <w:rsid w:val="00986DE1"/>
    <w:rsid w:val="009910D6"/>
    <w:rsid w:val="0099129E"/>
    <w:rsid w:val="0099231B"/>
    <w:rsid w:val="00992351"/>
    <w:rsid w:val="0099394E"/>
    <w:rsid w:val="00993A30"/>
    <w:rsid w:val="00994244"/>
    <w:rsid w:val="009946A6"/>
    <w:rsid w:val="00994B60"/>
    <w:rsid w:val="00995F23"/>
    <w:rsid w:val="009960F8"/>
    <w:rsid w:val="00996B61"/>
    <w:rsid w:val="00997E00"/>
    <w:rsid w:val="009A14D1"/>
    <w:rsid w:val="009A23E9"/>
    <w:rsid w:val="009A2669"/>
    <w:rsid w:val="009A2A6C"/>
    <w:rsid w:val="009A3FEA"/>
    <w:rsid w:val="009A48A5"/>
    <w:rsid w:val="009A5254"/>
    <w:rsid w:val="009B208D"/>
    <w:rsid w:val="009B2388"/>
    <w:rsid w:val="009B30D2"/>
    <w:rsid w:val="009B3C96"/>
    <w:rsid w:val="009B4ABE"/>
    <w:rsid w:val="009B53E3"/>
    <w:rsid w:val="009B56A3"/>
    <w:rsid w:val="009B59DC"/>
    <w:rsid w:val="009B61D0"/>
    <w:rsid w:val="009B7260"/>
    <w:rsid w:val="009C0728"/>
    <w:rsid w:val="009C08F7"/>
    <w:rsid w:val="009C149C"/>
    <w:rsid w:val="009C234E"/>
    <w:rsid w:val="009C2A76"/>
    <w:rsid w:val="009C340B"/>
    <w:rsid w:val="009C354D"/>
    <w:rsid w:val="009C4A39"/>
    <w:rsid w:val="009C4B88"/>
    <w:rsid w:val="009C575A"/>
    <w:rsid w:val="009C592E"/>
    <w:rsid w:val="009C5E81"/>
    <w:rsid w:val="009C60E5"/>
    <w:rsid w:val="009C6A1E"/>
    <w:rsid w:val="009D1513"/>
    <w:rsid w:val="009D224B"/>
    <w:rsid w:val="009D22A8"/>
    <w:rsid w:val="009D262F"/>
    <w:rsid w:val="009D2DA3"/>
    <w:rsid w:val="009D420F"/>
    <w:rsid w:val="009D55FA"/>
    <w:rsid w:val="009D5BA9"/>
    <w:rsid w:val="009D7016"/>
    <w:rsid w:val="009E0D18"/>
    <w:rsid w:val="009E1384"/>
    <w:rsid w:val="009E1F40"/>
    <w:rsid w:val="009E2D0F"/>
    <w:rsid w:val="009E2F86"/>
    <w:rsid w:val="009E3169"/>
    <w:rsid w:val="009E3320"/>
    <w:rsid w:val="009E3F0A"/>
    <w:rsid w:val="009E4E4B"/>
    <w:rsid w:val="009F0426"/>
    <w:rsid w:val="009F1DD6"/>
    <w:rsid w:val="009F26E9"/>
    <w:rsid w:val="009F3A6F"/>
    <w:rsid w:val="009F3C49"/>
    <w:rsid w:val="009F3D28"/>
    <w:rsid w:val="009F41BC"/>
    <w:rsid w:val="009F4F8B"/>
    <w:rsid w:val="009F6FBB"/>
    <w:rsid w:val="00A00524"/>
    <w:rsid w:val="00A02D0C"/>
    <w:rsid w:val="00A034CD"/>
    <w:rsid w:val="00A03E02"/>
    <w:rsid w:val="00A03FCD"/>
    <w:rsid w:val="00A041F4"/>
    <w:rsid w:val="00A05139"/>
    <w:rsid w:val="00A054DF"/>
    <w:rsid w:val="00A0717E"/>
    <w:rsid w:val="00A1022E"/>
    <w:rsid w:val="00A106B4"/>
    <w:rsid w:val="00A12209"/>
    <w:rsid w:val="00A12469"/>
    <w:rsid w:val="00A12F31"/>
    <w:rsid w:val="00A13840"/>
    <w:rsid w:val="00A13E71"/>
    <w:rsid w:val="00A145C7"/>
    <w:rsid w:val="00A150DC"/>
    <w:rsid w:val="00A1524B"/>
    <w:rsid w:val="00A15BF4"/>
    <w:rsid w:val="00A15E9C"/>
    <w:rsid w:val="00A167D6"/>
    <w:rsid w:val="00A16D5B"/>
    <w:rsid w:val="00A17379"/>
    <w:rsid w:val="00A17557"/>
    <w:rsid w:val="00A20A12"/>
    <w:rsid w:val="00A20B12"/>
    <w:rsid w:val="00A21B30"/>
    <w:rsid w:val="00A21C6D"/>
    <w:rsid w:val="00A23362"/>
    <w:rsid w:val="00A23674"/>
    <w:rsid w:val="00A2431C"/>
    <w:rsid w:val="00A251CE"/>
    <w:rsid w:val="00A2585A"/>
    <w:rsid w:val="00A26876"/>
    <w:rsid w:val="00A26888"/>
    <w:rsid w:val="00A26E5C"/>
    <w:rsid w:val="00A3082E"/>
    <w:rsid w:val="00A30C8C"/>
    <w:rsid w:val="00A318CB"/>
    <w:rsid w:val="00A31935"/>
    <w:rsid w:val="00A3216C"/>
    <w:rsid w:val="00A348CF"/>
    <w:rsid w:val="00A34F3A"/>
    <w:rsid w:val="00A35AD9"/>
    <w:rsid w:val="00A36DF3"/>
    <w:rsid w:val="00A37468"/>
    <w:rsid w:val="00A40A83"/>
    <w:rsid w:val="00A40ACF"/>
    <w:rsid w:val="00A42730"/>
    <w:rsid w:val="00A44059"/>
    <w:rsid w:val="00A446CA"/>
    <w:rsid w:val="00A449A1"/>
    <w:rsid w:val="00A44BBE"/>
    <w:rsid w:val="00A45983"/>
    <w:rsid w:val="00A508ED"/>
    <w:rsid w:val="00A529A2"/>
    <w:rsid w:val="00A532DD"/>
    <w:rsid w:val="00A53766"/>
    <w:rsid w:val="00A53F06"/>
    <w:rsid w:val="00A54A6A"/>
    <w:rsid w:val="00A56359"/>
    <w:rsid w:val="00A60A02"/>
    <w:rsid w:val="00A6175E"/>
    <w:rsid w:val="00A6218A"/>
    <w:rsid w:val="00A62347"/>
    <w:rsid w:val="00A62D78"/>
    <w:rsid w:val="00A64EB0"/>
    <w:rsid w:val="00A662C9"/>
    <w:rsid w:val="00A66455"/>
    <w:rsid w:val="00A679C1"/>
    <w:rsid w:val="00A67A90"/>
    <w:rsid w:val="00A70165"/>
    <w:rsid w:val="00A71A06"/>
    <w:rsid w:val="00A7251F"/>
    <w:rsid w:val="00A72780"/>
    <w:rsid w:val="00A7410F"/>
    <w:rsid w:val="00A750E2"/>
    <w:rsid w:val="00A76BE3"/>
    <w:rsid w:val="00A76F86"/>
    <w:rsid w:val="00A77578"/>
    <w:rsid w:val="00A804DB"/>
    <w:rsid w:val="00A80A2F"/>
    <w:rsid w:val="00A80BCF"/>
    <w:rsid w:val="00A81CB9"/>
    <w:rsid w:val="00A82B2F"/>
    <w:rsid w:val="00A8369C"/>
    <w:rsid w:val="00A84130"/>
    <w:rsid w:val="00A84F2B"/>
    <w:rsid w:val="00A873E0"/>
    <w:rsid w:val="00A90634"/>
    <w:rsid w:val="00A91C46"/>
    <w:rsid w:val="00A923BB"/>
    <w:rsid w:val="00A92A2F"/>
    <w:rsid w:val="00A939EC"/>
    <w:rsid w:val="00A93C1D"/>
    <w:rsid w:val="00A94AB4"/>
    <w:rsid w:val="00A95138"/>
    <w:rsid w:val="00A95429"/>
    <w:rsid w:val="00A968C7"/>
    <w:rsid w:val="00A97017"/>
    <w:rsid w:val="00AA0199"/>
    <w:rsid w:val="00AA09E8"/>
    <w:rsid w:val="00AA1689"/>
    <w:rsid w:val="00AA1C92"/>
    <w:rsid w:val="00AA1DB2"/>
    <w:rsid w:val="00AA5770"/>
    <w:rsid w:val="00AA6A90"/>
    <w:rsid w:val="00AB0AFE"/>
    <w:rsid w:val="00AB14D8"/>
    <w:rsid w:val="00AB2581"/>
    <w:rsid w:val="00AB6746"/>
    <w:rsid w:val="00AC05E5"/>
    <w:rsid w:val="00AC1D15"/>
    <w:rsid w:val="00AC24B6"/>
    <w:rsid w:val="00AC259F"/>
    <w:rsid w:val="00AC27EB"/>
    <w:rsid w:val="00AC4865"/>
    <w:rsid w:val="00AC556D"/>
    <w:rsid w:val="00AC6792"/>
    <w:rsid w:val="00AC799F"/>
    <w:rsid w:val="00AD009C"/>
    <w:rsid w:val="00AD04FE"/>
    <w:rsid w:val="00AD2F1A"/>
    <w:rsid w:val="00AD305B"/>
    <w:rsid w:val="00AD354E"/>
    <w:rsid w:val="00AD3DF8"/>
    <w:rsid w:val="00AD3EBB"/>
    <w:rsid w:val="00AD4204"/>
    <w:rsid w:val="00AD43BE"/>
    <w:rsid w:val="00AD4C6C"/>
    <w:rsid w:val="00AD59FC"/>
    <w:rsid w:val="00AD5B56"/>
    <w:rsid w:val="00AD7F4B"/>
    <w:rsid w:val="00AE0FD4"/>
    <w:rsid w:val="00AE3FF0"/>
    <w:rsid w:val="00AE4553"/>
    <w:rsid w:val="00AE4BAC"/>
    <w:rsid w:val="00AE5AC7"/>
    <w:rsid w:val="00AE5D9A"/>
    <w:rsid w:val="00AE7A6A"/>
    <w:rsid w:val="00AF01BC"/>
    <w:rsid w:val="00AF2E6F"/>
    <w:rsid w:val="00AF3456"/>
    <w:rsid w:val="00AF3533"/>
    <w:rsid w:val="00AF3C37"/>
    <w:rsid w:val="00AF4B60"/>
    <w:rsid w:val="00AF6264"/>
    <w:rsid w:val="00AF6B63"/>
    <w:rsid w:val="00AF6DD4"/>
    <w:rsid w:val="00AF708D"/>
    <w:rsid w:val="00AF7693"/>
    <w:rsid w:val="00B003ED"/>
    <w:rsid w:val="00B0190D"/>
    <w:rsid w:val="00B02862"/>
    <w:rsid w:val="00B031B7"/>
    <w:rsid w:val="00B0422C"/>
    <w:rsid w:val="00B05421"/>
    <w:rsid w:val="00B0548C"/>
    <w:rsid w:val="00B055F6"/>
    <w:rsid w:val="00B056D2"/>
    <w:rsid w:val="00B071E3"/>
    <w:rsid w:val="00B07251"/>
    <w:rsid w:val="00B07B0C"/>
    <w:rsid w:val="00B1040A"/>
    <w:rsid w:val="00B12359"/>
    <w:rsid w:val="00B12B50"/>
    <w:rsid w:val="00B12F97"/>
    <w:rsid w:val="00B13131"/>
    <w:rsid w:val="00B13599"/>
    <w:rsid w:val="00B135C8"/>
    <w:rsid w:val="00B138BE"/>
    <w:rsid w:val="00B13E7D"/>
    <w:rsid w:val="00B1463A"/>
    <w:rsid w:val="00B15FED"/>
    <w:rsid w:val="00B17988"/>
    <w:rsid w:val="00B22218"/>
    <w:rsid w:val="00B22620"/>
    <w:rsid w:val="00B23E72"/>
    <w:rsid w:val="00B25563"/>
    <w:rsid w:val="00B2576D"/>
    <w:rsid w:val="00B25ED2"/>
    <w:rsid w:val="00B262C0"/>
    <w:rsid w:val="00B267D4"/>
    <w:rsid w:val="00B26AB6"/>
    <w:rsid w:val="00B26C7D"/>
    <w:rsid w:val="00B26D48"/>
    <w:rsid w:val="00B27807"/>
    <w:rsid w:val="00B27AB0"/>
    <w:rsid w:val="00B27B8F"/>
    <w:rsid w:val="00B32EDC"/>
    <w:rsid w:val="00B33355"/>
    <w:rsid w:val="00B33B15"/>
    <w:rsid w:val="00B33F0B"/>
    <w:rsid w:val="00B34387"/>
    <w:rsid w:val="00B358A6"/>
    <w:rsid w:val="00B36E05"/>
    <w:rsid w:val="00B37CED"/>
    <w:rsid w:val="00B40186"/>
    <w:rsid w:val="00B42EE1"/>
    <w:rsid w:val="00B43FD8"/>
    <w:rsid w:val="00B44139"/>
    <w:rsid w:val="00B45B34"/>
    <w:rsid w:val="00B45D54"/>
    <w:rsid w:val="00B46879"/>
    <w:rsid w:val="00B46C17"/>
    <w:rsid w:val="00B47D82"/>
    <w:rsid w:val="00B50035"/>
    <w:rsid w:val="00B51986"/>
    <w:rsid w:val="00B51BA4"/>
    <w:rsid w:val="00B52C9B"/>
    <w:rsid w:val="00B52CE1"/>
    <w:rsid w:val="00B547F6"/>
    <w:rsid w:val="00B54B31"/>
    <w:rsid w:val="00B54CA8"/>
    <w:rsid w:val="00B56625"/>
    <w:rsid w:val="00B568C1"/>
    <w:rsid w:val="00B57DF7"/>
    <w:rsid w:val="00B609B5"/>
    <w:rsid w:val="00B60B7E"/>
    <w:rsid w:val="00B6230D"/>
    <w:rsid w:val="00B63680"/>
    <w:rsid w:val="00B637F7"/>
    <w:rsid w:val="00B6380A"/>
    <w:rsid w:val="00B64639"/>
    <w:rsid w:val="00B64BBF"/>
    <w:rsid w:val="00B66EE0"/>
    <w:rsid w:val="00B67284"/>
    <w:rsid w:val="00B702A2"/>
    <w:rsid w:val="00B70F0F"/>
    <w:rsid w:val="00B717BE"/>
    <w:rsid w:val="00B721F4"/>
    <w:rsid w:val="00B745E8"/>
    <w:rsid w:val="00B75B7E"/>
    <w:rsid w:val="00B760A1"/>
    <w:rsid w:val="00B77A91"/>
    <w:rsid w:val="00B805A8"/>
    <w:rsid w:val="00B81603"/>
    <w:rsid w:val="00B828BF"/>
    <w:rsid w:val="00B8293D"/>
    <w:rsid w:val="00B84D0E"/>
    <w:rsid w:val="00B8657E"/>
    <w:rsid w:val="00B86B52"/>
    <w:rsid w:val="00B86EB6"/>
    <w:rsid w:val="00B86FC7"/>
    <w:rsid w:val="00B90A61"/>
    <w:rsid w:val="00B91AD4"/>
    <w:rsid w:val="00B9231B"/>
    <w:rsid w:val="00B92478"/>
    <w:rsid w:val="00B926BF"/>
    <w:rsid w:val="00B93D5E"/>
    <w:rsid w:val="00B954D6"/>
    <w:rsid w:val="00B95D78"/>
    <w:rsid w:val="00B96BCC"/>
    <w:rsid w:val="00B97078"/>
    <w:rsid w:val="00B97526"/>
    <w:rsid w:val="00BA0BD8"/>
    <w:rsid w:val="00BA12A8"/>
    <w:rsid w:val="00BA1439"/>
    <w:rsid w:val="00BA1A24"/>
    <w:rsid w:val="00BA2CD0"/>
    <w:rsid w:val="00BA30CC"/>
    <w:rsid w:val="00BA3245"/>
    <w:rsid w:val="00BA3B1A"/>
    <w:rsid w:val="00BA3FC1"/>
    <w:rsid w:val="00BA4027"/>
    <w:rsid w:val="00BA4450"/>
    <w:rsid w:val="00BA4A6F"/>
    <w:rsid w:val="00BA4A7B"/>
    <w:rsid w:val="00BA4B7E"/>
    <w:rsid w:val="00BA4D8C"/>
    <w:rsid w:val="00BA4DCA"/>
    <w:rsid w:val="00BA4E67"/>
    <w:rsid w:val="00BA575C"/>
    <w:rsid w:val="00BA59D3"/>
    <w:rsid w:val="00BA6188"/>
    <w:rsid w:val="00BA79C7"/>
    <w:rsid w:val="00BB1EDC"/>
    <w:rsid w:val="00BB2A21"/>
    <w:rsid w:val="00BB360A"/>
    <w:rsid w:val="00BB3B4E"/>
    <w:rsid w:val="00BB3BD9"/>
    <w:rsid w:val="00BB4413"/>
    <w:rsid w:val="00BB743E"/>
    <w:rsid w:val="00BB7AE8"/>
    <w:rsid w:val="00BC0D1C"/>
    <w:rsid w:val="00BC1063"/>
    <w:rsid w:val="00BC1292"/>
    <w:rsid w:val="00BC137A"/>
    <w:rsid w:val="00BC2220"/>
    <w:rsid w:val="00BC2553"/>
    <w:rsid w:val="00BC286E"/>
    <w:rsid w:val="00BC2E2A"/>
    <w:rsid w:val="00BC34F8"/>
    <w:rsid w:val="00BC38FB"/>
    <w:rsid w:val="00BC3F53"/>
    <w:rsid w:val="00BC4987"/>
    <w:rsid w:val="00BC5EF5"/>
    <w:rsid w:val="00BC678D"/>
    <w:rsid w:val="00BC7EE0"/>
    <w:rsid w:val="00BD0887"/>
    <w:rsid w:val="00BD0FAC"/>
    <w:rsid w:val="00BD112D"/>
    <w:rsid w:val="00BD1A06"/>
    <w:rsid w:val="00BD1A3E"/>
    <w:rsid w:val="00BD1D93"/>
    <w:rsid w:val="00BD1EB9"/>
    <w:rsid w:val="00BD23B1"/>
    <w:rsid w:val="00BD24F7"/>
    <w:rsid w:val="00BD2659"/>
    <w:rsid w:val="00BD26ED"/>
    <w:rsid w:val="00BD26FD"/>
    <w:rsid w:val="00BD2F2C"/>
    <w:rsid w:val="00BD3E7F"/>
    <w:rsid w:val="00BD3F88"/>
    <w:rsid w:val="00BD61A2"/>
    <w:rsid w:val="00BD62F7"/>
    <w:rsid w:val="00BD6B4B"/>
    <w:rsid w:val="00BD6E45"/>
    <w:rsid w:val="00BD7850"/>
    <w:rsid w:val="00BD7D7B"/>
    <w:rsid w:val="00BD7E9F"/>
    <w:rsid w:val="00BE1320"/>
    <w:rsid w:val="00BE15CF"/>
    <w:rsid w:val="00BE16C1"/>
    <w:rsid w:val="00BE233B"/>
    <w:rsid w:val="00BE347D"/>
    <w:rsid w:val="00BE348B"/>
    <w:rsid w:val="00BE367E"/>
    <w:rsid w:val="00BE3C49"/>
    <w:rsid w:val="00BE3F1A"/>
    <w:rsid w:val="00BE484D"/>
    <w:rsid w:val="00BE5DEA"/>
    <w:rsid w:val="00BE6B69"/>
    <w:rsid w:val="00BE6C9B"/>
    <w:rsid w:val="00BE6D87"/>
    <w:rsid w:val="00BE77AD"/>
    <w:rsid w:val="00BE7A2A"/>
    <w:rsid w:val="00BF0E25"/>
    <w:rsid w:val="00BF1DD8"/>
    <w:rsid w:val="00BF36C4"/>
    <w:rsid w:val="00BF573C"/>
    <w:rsid w:val="00BF66AE"/>
    <w:rsid w:val="00BF676D"/>
    <w:rsid w:val="00C0252C"/>
    <w:rsid w:val="00C02A79"/>
    <w:rsid w:val="00C02EF8"/>
    <w:rsid w:val="00C02F67"/>
    <w:rsid w:val="00C04AA6"/>
    <w:rsid w:val="00C05856"/>
    <w:rsid w:val="00C05918"/>
    <w:rsid w:val="00C06CEE"/>
    <w:rsid w:val="00C07AF6"/>
    <w:rsid w:val="00C07FA6"/>
    <w:rsid w:val="00C10913"/>
    <w:rsid w:val="00C10CFD"/>
    <w:rsid w:val="00C11343"/>
    <w:rsid w:val="00C132EB"/>
    <w:rsid w:val="00C13A03"/>
    <w:rsid w:val="00C14126"/>
    <w:rsid w:val="00C14705"/>
    <w:rsid w:val="00C21817"/>
    <w:rsid w:val="00C226B5"/>
    <w:rsid w:val="00C27A64"/>
    <w:rsid w:val="00C3093F"/>
    <w:rsid w:val="00C310AC"/>
    <w:rsid w:val="00C3165C"/>
    <w:rsid w:val="00C33AA9"/>
    <w:rsid w:val="00C3459E"/>
    <w:rsid w:val="00C369AD"/>
    <w:rsid w:val="00C37942"/>
    <w:rsid w:val="00C37C37"/>
    <w:rsid w:val="00C37E05"/>
    <w:rsid w:val="00C409AA"/>
    <w:rsid w:val="00C42D31"/>
    <w:rsid w:val="00C4306A"/>
    <w:rsid w:val="00C43374"/>
    <w:rsid w:val="00C43382"/>
    <w:rsid w:val="00C4415C"/>
    <w:rsid w:val="00C44978"/>
    <w:rsid w:val="00C45953"/>
    <w:rsid w:val="00C45CBF"/>
    <w:rsid w:val="00C463B0"/>
    <w:rsid w:val="00C4684D"/>
    <w:rsid w:val="00C479EB"/>
    <w:rsid w:val="00C479ED"/>
    <w:rsid w:val="00C5302D"/>
    <w:rsid w:val="00C546CB"/>
    <w:rsid w:val="00C55D29"/>
    <w:rsid w:val="00C611C0"/>
    <w:rsid w:val="00C6146A"/>
    <w:rsid w:val="00C61610"/>
    <w:rsid w:val="00C62E42"/>
    <w:rsid w:val="00C63277"/>
    <w:rsid w:val="00C64EB6"/>
    <w:rsid w:val="00C652DA"/>
    <w:rsid w:val="00C6561D"/>
    <w:rsid w:val="00C66B29"/>
    <w:rsid w:val="00C67373"/>
    <w:rsid w:val="00C676C0"/>
    <w:rsid w:val="00C67755"/>
    <w:rsid w:val="00C679D8"/>
    <w:rsid w:val="00C728A4"/>
    <w:rsid w:val="00C72B24"/>
    <w:rsid w:val="00C73204"/>
    <w:rsid w:val="00C735BD"/>
    <w:rsid w:val="00C73DD4"/>
    <w:rsid w:val="00C744A1"/>
    <w:rsid w:val="00C74FE4"/>
    <w:rsid w:val="00C7579A"/>
    <w:rsid w:val="00C76740"/>
    <w:rsid w:val="00C76B30"/>
    <w:rsid w:val="00C77603"/>
    <w:rsid w:val="00C77E2D"/>
    <w:rsid w:val="00C81F3B"/>
    <w:rsid w:val="00C82141"/>
    <w:rsid w:val="00C8358D"/>
    <w:rsid w:val="00C843F7"/>
    <w:rsid w:val="00C85361"/>
    <w:rsid w:val="00C86136"/>
    <w:rsid w:val="00C87237"/>
    <w:rsid w:val="00C87E54"/>
    <w:rsid w:val="00C90C59"/>
    <w:rsid w:val="00C9285A"/>
    <w:rsid w:val="00C928E9"/>
    <w:rsid w:val="00C93159"/>
    <w:rsid w:val="00C9328B"/>
    <w:rsid w:val="00C941ED"/>
    <w:rsid w:val="00C94A76"/>
    <w:rsid w:val="00C94AC7"/>
    <w:rsid w:val="00C95EFD"/>
    <w:rsid w:val="00C973CC"/>
    <w:rsid w:val="00CA0BE9"/>
    <w:rsid w:val="00CA0F29"/>
    <w:rsid w:val="00CA138D"/>
    <w:rsid w:val="00CA3A1B"/>
    <w:rsid w:val="00CA4507"/>
    <w:rsid w:val="00CA4F4A"/>
    <w:rsid w:val="00CA50BB"/>
    <w:rsid w:val="00CA54AB"/>
    <w:rsid w:val="00CA6693"/>
    <w:rsid w:val="00CA76C8"/>
    <w:rsid w:val="00CB1DE0"/>
    <w:rsid w:val="00CB1F76"/>
    <w:rsid w:val="00CB46A5"/>
    <w:rsid w:val="00CB59CE"/>
    <w:rsid w:val="00CB6EDC"/>
    <w:rsid w:val="00CC02B4"/>
    <w:rsid w:val="00CC41C9"/>
    <w:rsid w:val="00CC5F02"/>
    <w:rsid w:val="00CC6B41"/>
    <w:rsid w:val="00CC70A1"/>
    <w:rsid w:val="00CC7641"/>
    <w:rsid w:val="00CD0868"/>
    <w:rsid w:val="00CD1432"/>
    <w:rsid w:val="00CD219F"/>
    <w:rsid w:val="00CD27A9"/>
    <w:rsid w:val="00CD2C42"/>
    <w:rsid w:val="00CD397D"/>
    <w:rsid w:val="00CD3EB5"/>
    <w:rsid w:val="00CD42D8"/>
    <w:rsid w:val="00CD6673"/>
    <w:rsid w:val="00CE1F10"/>
    <w:rsid w:val="00CE2EA6"/>
    <w:rsid w:val="00CE413C"/>
    <w:rsid w:val="00CE4531"/>
    <w:rsid w:val="00CE594E"/>
    <w:rsid w:val="00CE5BCA"/>
    <w:rsid w:val="00CE6875"/>
    <w:rsid w:val="00CE7879"/>
    <w:rsid w:val="00CF0983"/>
    <w:rsid w:val="00CF101D"/>
    <w:rsid w:val="00CF1DFE"/>
    <w:rsid w:val="00CF2147"/>
    <w:rsid w:val="00CF29B2"/>
    <w:rsid w:val="00CF3058"/>
    <w:rsid w:val="00CF321B"/>
    <w:rsid w:val="00CF34F4"/>
    <w:rsid w:val="00CF35E9"/>
    <w:rsid w:val="00CF3806"/>
    <w:rsid w:val="00CF6568"/>
    <w:rsid w:val="00CF6EC6"/>
    <w:rsid w:val="00CF6FEC"/>
    <w:rsid w:val="00D00273"/>
    <w:rsid w:val="00D00FA8"/>
    <w:rsid w:val="00D01751"/>
    <w:rsid w:val="00D01C77"/>
    <w:rsid w:val="00D022D3"/>
    <w:rsid w:val="00D0378E"/>
    <w:rsid w:val="00D040B4"/>
    <w:rsid w:val="00D053E7"/>
    <w:rsid w:val="00D058EC"/>
    <w:rsid w:val="00D06FCE"/>
    <w:rsid w:val="00D0793D"/>
    <w:rsid w:val="00D109D5"/>
    <w:rsid w:val="00D134DE"/>
    <w:rsid w:val="00D13794"/>
    <w:rsid w:val="00D13CE4"/>
    <w:rsid w:val="00D13FEF"/>
    <w:rsid w:val="00D15788"/>
    <w:rsid w:val="00D16540"/>
    <w:rsid w:val="00D173B8"/>
    <w:rsid w:val="00D17F61"/>
    <w:rsid w:val="00D20BE7"/>
    <w:rsid w:val="00D23020"/>
    <w:rsid w:val="00D24052"/>
    <w:rsid w:val="00D24386"/>
    <w:rsid w:val="00D251FE"/>
    <w:rsid w:val="00D2530E"/>
    <w:rsid w:val="00D2558A"/>
    <w:rsid w:val="00D264B8"/>
    <w:rsid w:val="00D268AA"/>
    <w:rsid w:val="00D27695"/>
    <w:rsid w:val="00D31575"/>
    <w:rsid w:val="00D320A8"/>
    <w:rsid w:val="00D34229"/>
    <w:rsid w:val="00D34626"/>
    <w:rsid w:val="00D34FB4"/>
    <w:rsid w:val="00D356FE"/>
    <w:rsid w:val="00D3597A"/>
    <w:rsid w:val="00D35DB6"/>
    <w:rsid w:val="00D35F07"/>
    <w:rsid w:val="00D361D0"/>
    <w:rsid w:val="00D366A0"/>
    <w:rsid w:val="00D3672A"/>
    <w:rsid w:val="00D36B25"/>
    <w:rsid w:val="00D36E60"/>
    <w:rsid w:val="00D37AE1"/>
    <w:rsid w:val="00D40BF8"/>
    <w:rsid w:val="00D415B4"/>
    <w:rsid w:val="00D41E39"/>
    <w:rsid w:val="00D421E0"/>
    <w:rsid w:val="00D4257A"/>
    <w:rsid w:val="00D45456"/>
    <w:rsid w:val="00D45D22"/>
    <w:rsid w:val="00D46DEA"/>
    <w:rsid w:val="00D4750C"/>
    <w:rsid w:val="00D502D2"/>
    <w:rsid w:val="00D5228D"/>
    <w:rsid w:val="00D52847"/>
    <w:rsid w:val="00D537E7"/>
    <w:rsid w:val="00D5498C"/>
    <w:rsid w:val="00D55C9F"/>
    <w:rsid w:val="00D560BF"/>
    <w:rsid w:val="00D563C2"/>
    <w:rsid w:val="00D57289"/>
    <w:rsid w:val="00D603E7"/>
    <w:rsid w:val="00D60DE4"/>
    <w:rsid w:val="00D6150E"/>
    <w:rsid w:val="00D617A6"/>
    <w:rsid w:val="00D62440"/>
    <w:rsid w:val="00D62665"/>
    <w:rsid w:val="00D6322E"/>
    <w:rsid w:val="00D63EA3"/>
    <w:rsid w:val="00D63F43"/>
    <w:rsid w:val="00D63FAC"/>
    <w:rsid w:val="00D64623"/>
    <w:rsid w:val="00D6476C"/>
    <w:rsid w:val="00D64955"/>
    <w:rsid w:val="00D658C7"/>
    <w:rsid w:val="00D65E88"/>
    <w:rsid w:val="00D6616A"/>
    <w:rsid w:val="00D672CF"/>
    <w:rsid w:val="00D67B31"/>
    <w:rsid w:val="00D70F57"/>
    <w:rsid w:val="00D713ED"/>
    <w:rsid w:val="00D719FC"/>
    <w:rsid w:val="00D72F6E"/>
    <w:rsid w:val="00D73317"/>
    <w:rsid w:val="00D74A6B"/>
    <w:rsid w:val="00D74B7A"/>
    <w:rsid w:val="00D74E50"/>
    <w:rsid w:val="00D75424"/>
    <w:rsid w:val="00D759CE"/>
    <w:rsid w:val="00D75A49"/>
    <w:rsid w:val="00D76393"/>
    <w:rsid w:val="00D76BFA"/>
    <w:rsid w:val="00D77A6C"/>
    <w:rsid w:val="00D8027A"/>
    <w:rsid w:val="00D81DFF"/>
    <w:rsid w:val="00D82E47"/>
    <w:rsid w:val="00D85356"/>
    <w:rsid w:val="00D86C40"/>
    <w:rsid w:val="00D87C3C"/>
    <w:rsid w:val="00D90111"/>
    <w:rsid w:val="00D907A6"/>
    <w:rsid w:val="00D91481"/>
    <w:rsid w:val="00D91971"/>
    <w:rsid w:val="00D919E0"/>
    <w:rsid w:val="00D92646"/>
    <w:rsid w:val="00D92B3C"/>
    <w:rsid w:val="00D92CF1"/>
    <w:rsid w:val="00D92D4C"/>
    <w:rsid w:val="00D93BAB"/>
    <w:rsid w:val="00D94F5E"/>
    <w:rsid w:val="00D9766A"/>
    <w:rsid w:val="00D97A3C"/>
    <w:rsid w:val="00DA074B"/>
    <w:rsid w:val="00DA0899"/>
    <w:rsid w:val="00DA1171"/>
    <w:rsid w:val="00DA140A"/>
    <w:rsid w:val="00DA1D75"/>
    <w:rsid w:val="00DA266A"/>
    <w:rsid w:val="00DA457F"/>
    <w:rsid w:val="00DA4B4B"/>
    <w:rsid w:val="00DA54F3"/>
    <w:rsid w:val="00DA5DFB"/>
    <w:rsid w:val="00DA6A0C"/>
    <w:rsid w:val="00DA6E39"/>
    <w:rsid w:val="00DA79A2"/>
    <w:rsid w:val="00DA7FF0"/>
    <w:rsid w:val="00DB02A4"/>
    <w:rsid w:val="00DB0816"/>
    <w:rsid w:val="00DB0CED"/>
    <w:rsid w:val="00DB2078"/>
    <w:rsid w:val="00DB24D3"/>
    <w:rsid w:val="00DB26D9"/>
    <w:rsid w:val="00DB2EA1"/>
    <w:rsid w:val="00DB370F"/>
    <w:rsid w:val="00DB41C7"/>
    <w:rsid w:val="00DB5EDF"/>
    <w:rsid w:val="00DB62F1"/>
    <w:rsid w:val="00DB6CF4"/>
    <w:rsid w:val="00DB7A30"/>
    <w:rsid w:val="00DB7B3E"/>
    <w:rsid w:val="00DB7D94"/>
    <w:rsid w:val="00DC0CDE"/>
    <w:rsid w:val="00DC0ECF"/>
    <w:rsid w:val="00DC2DFB"/>
    <w:rsid w:val="00DC36AE"/>
    <w:rsid w:val="00DC4D72"/>
    <w:rsid w:val="00DD44FD"/>
    <w:rsid w:val="00DD4AB7"/>
    <w:rsid w:val="00DD5FA3"/>
    <w:rsid w:val="00DD75A5"/>
    <w:rsid w:val="00DD78CB"/>
    <w:rsid w:val="00DE15FB"/>
    <w:rsid w:val="00DE4FC4"/>
    <w:rsid w:val="00DE60B4"/>
    <w:rsid w:val="00DE66F4"/>
    <w:rsid w:val="00DE6E29"/>
    <w:rsid w:val="00DF3143"/>
    <w:rsid w:val="00DF4DA1"/>
    <w:rsid w:val="00DF4F7B"/>
    <w:rsid w:val="00DF56D1"/>
    <w:rsid w:val="00DF56E6"/>
    <w:rsid w:val="00E00F48"/>
    <w:rsid w:val="00E010E6"/>
    <w:rsid w:val="00E017DD"/>
    <w:rsid w:val="00E02037"/>
    <w:rsid w:val="00E02472"/>
    <w:rsid w:val="00E02C2D"/>
    <w:rsid w:val="00E04E9E"/>
    <w:rsid w:val="00E0624D"/>
    <w:rsid w:val="00E102C2"/>
    <w:rsid w:val="00E10552"/>
    <w:rsid w:val="00E117E6"/>
    <w:rsid w:val="00E12307"/>
    <w:rsid w:val="00E14A1E"/>
    <w:rsid w:val="00E156F8"/>
    <w:rsid w:val="00E20721"/>
    <w:rsid w:val="00E246B2"/>
    <w:rsid w:val="00E259E4"/>
    <w:rsid w:val="00E26004"/>
    <w:rsid w:val="00E26CE3"/>
    <w:rsid w:val="00E271AB"/>
    <w:rsid w:val="00E27EA8"/>
    <w:rsid w:val="00E3010E"/>
    <w:rsid w:val="00E3213F"/>
    <w:rsid w:val="00E32250"/>
    <w:rsid w:val="00E332E5"/>
    <w:rsid w:val="00E33535"/>
    <w:rsid w:val="00E354A0"/>
    <w:rsid w:val="00E377DB"/>
    <w:rsid w:val="00E4063B"/>
    <w:rsid w:val="00E42027"/>
    <w:rsid w:val="00E42518"/>
    <w:rsid w:val="00E4265F"/>
    <w:rsid w:val="00E426D8"/>
    <w:rsid w:val="00E426F5"/>
    <w:rsid w:val="00E42808"/>
    <w:rsid w:val="00E42ABF"/>
    <w:rsid w:val="00E439BB"/>
    <w:rsid w:val="00E4438C"/>
    <w:rsid w:val="00E44B6C"/>
    <w:rsid w:val="00E44EAB"/>
    <w:rsid w:val="00E457F3"/>
    <w:rsid w:val="00E47A9A"/>
    <w:rsid w:val="00E47E04"/>
    <w:rsid w:val="00E505A4"/>
    <w:rsid w:val="00E50B54"/>
    <w:rsid w:val="00E5155D"/>
    <w:rsid w:val="00E51848"/>
    <w:rsid w:val="00E5194A"/>
    <w:rsid w:val="00E526A6"/>
    <w:rsid w:val="00E52AB3"/>
    <w:rsid w:val="00E53874"/>
    <w:rsid w:val="00E54524"/>
    <w:rsid w:val="00E550EF"/>
    <w:rsid w:val="00E5776E"/>
    <w:rsid w:val="00E60050"/>
    <w:rsid w:val="00E60A13"/>
    <w:rsid w:val="00E60AA5"/>
    <w:rsid w:val="00E61091"/>
    <w:rsid w:val="00E61BCF"/>
    <w:rsid w:val="00E620E6"/>
    <w:rsid w:val="00E6282D"/>
    <w:rsid w:val="00E62F6C"/>
    <w:rsid w:val="00E63CD7"/>
    <w:rsid w:val="00E64581"/>
    <w:rsid w:val="00E64D23"/>
    <w:rsid w:val="00E66737"/>
    <w:rsid w:val="00E67415"/>
    <w:rsid w:val="00E7034F"/>
    <w:rsid w:val="00E70637"/>
    <w:rsid w:val="00E70B79"/>
    <w:rsid w:val="00E71BC1"/>
    <w:rsid w:val="00E7297E"/>
    <w:rsid w:val="00E767C6"/>
    <w:rsid w:val="00E774DC"/>
    <w:rsid w:val="00E80B04"/>
    <w:rsid w:val="00E80DA7"/>
    <w:rsid w:val="00E83DE8"/>
    <w:rsid w:val="00E847F3"/>
    <w:rsid w:val="00E853A0"/>
    <w:rsid w:val="00E85D85"/>
    <w:rsid w:val="00E869EB"/>
    <w:rsid w:val="00E9085D"/>
    <w:rsid w:val="00E9111E"/>
    <w:rsid w:val="00E91BF4"/>
    <w:rsid w:val="00E92E9C"/>
    <w:rsid w:val="00E937DC"/>
    <w:rsid w:val="00E9421B"/>
    <w:rsid w:val="00E942D9"/>
    <w:rsid w:val="00E94386"/>
    <w:rsid w:val="00E94740"/>
    <w:rsid w:val="00E95CC6"/>
    <w:rsid w:val="00E95D63"/>
    <w:rsid w:val="00E965EE"/>
    <w:rsid w:val="00E9707A"/>
    <w:rsid w:val="00E97CC1"/>
    <w:rsid w:val="00E97E0A"/>
    <w:rsid w:val="00EA0369"/>
    <w:rsid w:val="00EA0F88"/>
    <w:rsid w:val="00EA155F"/>
    <w:rsid w:val="00EA17E3"/>
    <w:rsid w:val="00EA2DE1"/>
    <w:rsid w:val="00EA3564"/>
    <w:rsid w:val="00EA3CD2"/>
    <w:rsid w:val="00EA4DD8"/>
    <w:rsid w:val="00EA563A"/>
    <w:rsid w:val="00EA5DA1"/>
    <w:rsid w:val="00EA66C1"/>
    <w:rsid w:val="00EA7BC5"/>
    <w:rsid w:val="00EA7BE5"/>
    <w:rsid w:val="00EB01EC"/>
    <w:rsid w:val="00EB0580"/>
    <w:rsid w:val="00EB1065"/>
    <w:rsid w:val="00EB289A"/>
    <w:rsid w:val="00EB2AEF"/>
    <w:rsid w:val="00EB2EB3"/>
    <w:rsid w:val="00EB330D"/>
    <w:rsid w:val="00EB5468"/>
    <w:rsid w:val="00EB7E71"/>
    <w:rsid w:val="00EC0205"/>
    <w:rsid w:val="00EC1A5B"/>
    <w:rsid w:val="00EC1E3B"/>
    <w:rsid w:val="00EC1F9B"/>
    <w:rsid w:val="00EC27B5"/>
    <w:rsid w:val="00EC3F06"/>
    <w:rsid w:val="00EC445B"/>
    <w:rsid w:val="00EC7128"/>
    <w:rsid w:val="00ED0C90"/>
    <w:rsid w:val="00ED1B74"/>
    <w:rsid w:val="00ED1F4A"/>
    <w:rsid w:val="00ED2A17"/>
    <w:rsid w:val="00ED39A8"/>
    <w:rsid w:val="00ED460B"/>
    <w:rsid w:val="00ED46C9"/>
    <w:rsid w:val="00ED5D49"/>
    <w:rsid w:val="00ED5F0B"/>
    <w:rsid w:val="00ED63E4"/>
    <w:rsid w:val="00ED7A0A"/>
    <w:rsid w:val="00ED7C8B"/>
    <w:rsid w:val="00EE0BF2"/>
    <w:rsid w:val="00EE29CD"/>
    <w:rsid w:val="00EE29E3"/>
    <w:rsid w:val="00EE2EB7"/>
    <w:rsid w:val="00EE3C16"/>
    <w:rsid w:val="00EE50D3"/>
    <w:rsid w:val="00EE58A5"/>
    <w:rsid w:val="00EE6A74"/>
    <w:rsid w:val="00EE6CE6"/>
    <w:rsid w:val="00EE71C2"/>
    <w:rsid w:val="00EE7696"/>
    <w:rsid w:val="00EE7E25"/>
    <w:rsid w:val="00EF03A9"/>
    <w:rsid w:val="00EF223B"/>
    <w:rsid w:val="00EF32A4"/>
    <w:rsid w:val="00EF3872"/>
    <w:rsid w:val="00EF4398"/>
    <w:rsid w:val="00EF4847"/>
    <w:rsid w:val="00EF4FC1"/>
    <w:rsid w:val="00EF5482"/>
    <w:rsid w:val="00EF5881"/>
    <w:rsid w:val="00EF599C"/>
    <w:rsid w:val="00EF5C83"/>
    <w:rsid w:val="00EF5DA1"/>
    <w:rsid w:val="00EF7B4D"/>
    <w:rsid w:val="00EF7BA1"/>
    <w:rsid w:val="00F00F63"/>
    <w:rsid w:val="00F03362"/>
    <w:rsid w:val="00F03A79"/>
    <w:rsid w:val="00F04152"/>
    <w:rsid w:val="00F04454"/>
    <w:rsid w:val="00F04708"/>
    <w:rsid w:val="00F04B40"/>
    <w:rsid w:val="00F05543"/>
    <w:rsid w:val="00F05A01"/>
    <w:rsid w:val="00F0652A"/>
    <w:rsid w:val="00F06C14"/>
    <w:rsid w:val="00F06E4E"/>
    <w:rsid w:val="00F109D4"/>
    <w:rsid w:val="00F10A9E"/>
    <w:rsid w:val="00F11840"/>
    <w:rsid w:val="00F12047"/>
    <w:rsid w:val="00F12B48"/>
    <w:rsid w:val="00F155A0"/>
    <w:rsid w:val="00F15EE7"/>
    <w:rsid w:val="00F15EE9"/>
    <w:rsid w:val="00F16902"/>
    <w:rsid w:val="00F16FBB"/>
    <w:rsid w:val="00F16FF3"/>
    <w:rsid w:val="00F17420"/>
    <w:rsid w:val="00F178F5"/>
    <w:rsid w:val="00F200D0"/>
    <w:rsid w:val="00F202EE"/>
    <w:rsid w:val="00F20650"/>
    <w:rsid w:val="00F23645"/>
    <w:rsid w:val="00F23D03"/>
    <w:rsid w:val="00F25EC5"/>
    <w:rsid w:val="00F25F75"/>
    <w:rsid w:val="00F26CD7"/>
    <w:rsid w:val="00F27AB6"/>
    <w:rsid w:val="00F32F79"/>
    <w:rsid w:val="00F34D3E"/>
    <w:rsid w:val="00F364C1"/>
    <w:rsid w:val="00F373F8"/>
    <w:rsid w:val="00F37B77"/>
    <w:rsid w:val="00F42435"/>
    <w:rsid w:val="00F42616"/>
    <w:rsid w:val="00F45169"/>
    <w:rsid w:val="00F45363"/>
    <w:rsid w:val="00F4692B"/>
    <w:rsid w:val="00F4727E"/>
    <w:rsid w:val="00F47585"/>
    <w:rsid w:val="00F5085F"/>
    <w:rsid w:val="00F531A4"/>
    <w:rsid w:val="00F537DE"/>
    <w:rsid w:val="00F53CD5"/>
    <w:rsid w:val="00F54047"/>
    <w:rsid w:val="00F54132"/>
    <w:rsid w:val="00F54F02"/>
    <w:rsid w:val="00F55903"/>
    <w:rsid w:val="00F55B5D"/>
    <w:rsid w:val="00F57745"/>
    <w:rsid w:val="00F622C5"/>
    <w:rsid w:val="00F6318A"/>
    <w:rsid w:val="00F648B4"/>
    <w:rsid w:val="00F6535A"/>
    <w:rsid w:val="00F65445"/>
    <w:rsid w:val="00F66121"/>
    <w:rsid w:val="00F66903"/>
    <w:rsid w:val="00F671A7"/>
    <w:rsid w:val="00F672A6"/>
    <w:rsid w:val="00F70384"/>
    <w:rsid w:val="00F70B31"/>
    <w:rsid w:val="00F71830"/>
    <w:rsid w:val="00F725CF"/>
    <w:rsid w:val="00F72DB0"/>
    <w:rsid w:val="00F742A5"/>
    <w:rsid w:val="00F74343"/>
    <w:rsid w:val="00F74ECE"/>
    <w:rsid w:val="00F807F1"/>
    <w:rsid w:val="00F8244F"/>
    <w:rsid w:val="00F82F1C"/>
    <w:rsid w:val="00F855A6"/>
    <w:rsid w:val="00F85E6F"/>
    <w:rsid w:val="00F86157"/>
    <w:rsid w:val="00F870F4"/>
    <w:rsid w:val="00F90AB2"/>
    <w:rsid w:val="00F94F6F"/>
    <w:rsid w:val="00F957D4"/>
    <w:rsid w:val="00F96B96"/>
    <w:rsid w:val="00FA19B2"/>
    <w:rsid w:val="00FA1EEE"/>
    <w:rsid w:val="00FA345A"/>
    <w:rsid w:val="00FA42AD"/>
    <w:rsid w:val="00FA4A34"/>
    <w:rsid w:val="00FA54AE"/>
    <w:rsid w:val="00FA6B8C"/>
    <w:rsid w:val="00FA6CD5"/>
    <w:rsid w:val="00FB0182"/>
    <w:rsid w:val="00FB050F"/>
    <w:rsid w:val="00FB168A"/>
    <w:rsid w:val="00FB244A"/>
    <w:rsid w:val="00FB2711"/>
    <w:rsid w:val="00FB34CB"/>
    <w:rsid w:val="00FB40C4"/>
    <w:rsid w:val="00FB436E"/>
    <w:rsid w:val="00FB4A4C"/>
    <w:rsid w:val="00FB5A4A"/>
    <w:rsid w:val="00FB6858"/>
    <w:rsid w:val="00FB6D0F"/>
    <w:rsid w:val="00FC00B5"/>
    <w:rsid w:val="00FC2585"/>
    <w:rsid w:val="00FC2FD0"/>
    <w:rsid w:val="00FC398A"/>
    <w:rsid w:val="00FC51EF"/>
    <w:rsid w:val="00FC5F66"/>
    <w:rsid w:val="00FC654A"/>
    <w:rsid w:val="00FD03F5"/>
    <w:rsid w:val="00FD145B"/>
    <w:rsid w:val="00FD1FF9"/>
    <w:rsid w:val="00FD2CC2"/>
    <w:rsid w:val="00FD3391"/>
    <w:rsid w:val="00FD3FF9"/>
    <w:rsid w:val="00FD4A2D"/>
    <w:rsid w:val="00FD4BF0"/>
    <w:rsid w:val="00FD5530"/>
    <w:rsid w:val="00FD5D9A"/>
    <w:rsid w:val="00FD624C"/>
    <w:rsid w:val="00FE04E4"/>
    <w:rsid w:val="00FE0931"/>
    <w:rsid w:val="00FE381E"/>
    <w:rsid w:val="00FE41ED"/>
    <w:rsid w:val="00FE65C0"/>
    <w:rsid w:val="00FE73F9"/>
    <w:rsid w:val="00FE7673"/>
    <w:rsid w:val="00FE7A81"/>
    <w:rsid w:val="00FE7BB9"/>
    <w:rsid w:val="00FF025E"/>
    <w:rsid w:val="00FF07A3"/>
    <w:rsid w:val="00FF1057"/>
    <w:rsid w:val="00FF19B0"/>
    <w:rsid w:val="00FF22C9"/>
    <w:rsid w:val="00FF3E25"/>
    <w:rsid w:val="00FF5594"/>
    <w:rsid w:val="00FF583A"/>
    <w:rsid w:val="00FF5E39"/>
    <w:rsid w:val="00FF6A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3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9D1513"/>
    <w:rPr>
      <w:sz w:val="24"/>
    </w:rPr>
  </w:style>
  <w:style w:type="paragraph" w:customStyle="1" w:styleId="ExampleHeading">
    <w:name w:val="Example Heading"/>
    <w:basedOn w:val="Normal"/>
    <w:next w:val="Normal"/>
    <w:rsid w:val="009D1513"/>
    <w:pPr>
      <w:keepNext/>
      <w:ind w:left="1134"/>
    </w:pPr>
    <w:rPr>
      <w:b/>
      <w:sz w:val="22"/>
    </w:rPr>
  </w:style>
  <w:style w:type="paragraph" w:customStyle="1" w:styleId="TableHeadingoutsidetable">
    <w:name w:val="Table Heading (outside table)"/>
    <w:basedOn w:val="Heading4"/>
    <w:rsid w:val="009D1513"/>
    <w:pPr>
      <w:tabs>
        <w:tab w:val="clear" w:pos="1987"/>
        <w:tab w:val="num" w:pos="360"/>
      </w:tabs>
      <w:spacing w:after="200"/>
      <w:ind w:left="1134"/>
    </w:pPr>
    <w:rPr>
      <w:kern w:val="0"/>
      <w:sz w:val="22"/>
    </w:rPr>
  </w:style>
  <w:style w:type="table" w:styleId="TableGrid">
    <w:name w:val="Table Grid"/>
    <w:aliases w:val="ACCC Table"/>
    <w:basedOn w:val="TableNormal"/>
    <w:uiPriority w:val="39"/>
    <w:rsid w:val="009D1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512F1"/>
    <w:pPr>
      <w:spacing w:before="0" w:after="0"/>
    </w:pPr>
    <w:rPr>
      <w:sz w:val="20"/>
    </w:rPr>
  </w:style>
  <w:style w:type="character" w:customStyle="1" w:styleId="FootnoteTextChar">
    <w:name w:val="Footnote Text Char"/>
    <w:basedOn w:val="DefaultParagraphFont"/>
    <w:link w:val="FootnoteText"/>
    <w:uiPriority w:val="99"/>
    <w:semiHidden/>
    <w:rsid w:val="004512F1"/>
  </w:style>
  <w:style w:type="character" w:styleId="FootnoteReference">
    <w:name w:val="footnote reference"/>
    <w:basedOn w:val="DefaultParagraphFont"/>
    <w:uiPriority w:val="99"/>
    <w:semiHidden/>
    <w:unhideWhenUsed/>
    <w:rsid w:val="004512F1"/>
    <w:rPr>
      <w:vertAlign w:val="superscript"/>
    </w:rPr>
  </w:style>
  <w:style w:type="paragraph" w:styleId="Revision">
    <w:name w:val="Revision"/>
    <w:hidden/>
    <w:uiPriority w:val="99"/>
    <w:semiHidden/>
    <w:rsid w:val="0003725D"/>
    <w:rPr>
      <w:sz w:val="24"/>
    </w:rPr>
  </w:style>
  <w:style w:type="paragraph" w:styleId="ListParagraph">
    <w:name w:val="List Paragraph"/>
    <w:basedOn w:val="Normal"/>
    <w:uiPriority w:val="34"/>
    <w:qFormat/>
    <w:rsid w:val="004870FA"/>
    <w:pPr>
      <w:ind w:left="720"/>
      <w:contextualSpacing/>
    </w:pPr>
  </w:style>
  <w:style w:type="character" w:styleId="UnresolvedMention">
    <w:name w:val="Unresolved Mention"/>
    <w:basedOn w:val="DefaultParagraphFont"/>
    <w:uiPriority w:val="99"/>
    <w:semiHidden/>
    <w:unhideWhenUsed/>
    <w:rsid w:val="006A7D65"/>
    <w:rPr>
      <w:color w:val="605E5C"/>
      <w:shd w:val="clear" w:color="auto" w:fill="E1DFDD"/>
    </w:rPr>
  </w:style>
  <w:style w:type="paragraph" w:customStyle="1" w:styleId="Definition">
    <w:name w:val="Definition"/>
    <w:aliases w:val="dd,t_Defn"/>
    <w:basedOn w:val="Normal"/>
    <w:rsid w:val="00FB6D0F"/>
    <w:pPr>
      <w:spacing w:before="180" w:after="0"/>
      <w:ind w:left="1134"/>
    </w:pPr>
    <w:rPr>
      <w:sz w:val="22"/>
    </w:rPr>
  </w:style>
  <w:style w:type="paragraph" w:customStyle="1" w:styleId="paragraphsub">
    <w:name w:val="paragraph(sub)"/>
    <w:aliases w:val="aa,t_Subpara"/>
    <w:basedOn w:val="Normal"/>
    <w:rsid w:val="00FB6D0F"/>
    <w:pPr>
      <w:tabs>
        <w:tab w:val="right" w:pos="1985"/>
      </w:tabs>
      <w:spacing w:before="40" w:after="0"/>
      <w:ind w:left="2098" w:hanging="2098"/>
    </w:pPr>
    <w:rPr>
      <w:sz w:val="22"/>
    </w:rPr>
  </w:style>
  <w:style w:type="paragraph" w:customStyle="1" w:styleId="paragraph">
    <w:name w:val="paragraph"/>
    <w:aliases w:val="a,t_Para"/>
    <w:basedOn w:val="Normal"/>
    <w:link w:val="paragraphChar"/>
    <w:rsid w:val="00FB6D0F"/>
    <w:pPr>
      <w:tabs>
        <w:tab w:val="right" w:pos="1531"/>
      </w:tabs>
      <w:spacing w:before="40" w:after="0"/>
      <w:ind w:left="1644" w:hanging="1644"/>
    </w:pPr>
    <w:rPr>
      <w:sz w:val="22"/>
    </w:rPr>
  </w:style>
  <w:style w:type="character" w:customStyle="1" w:styleId="paragraphChar">
    <w:name w:val="paragraph Char"/>
    <w:aliases w:val="a Char"/>
    <w:basedOn w:val="DefaultParagraphFont"/>
    <w:link w:val="paragraph"/>
    <w:rsid w:val="00FB6D0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42959">
      <w:bodyDiv w:val="1"/>
      <w:marLeft w:val="0"/>
      <w:marRight w:val="0"/>
      <w:marTop w:val="0"/>
      <w:marBottom w:val="0"/>
      <w:divBdr>
        <w:top w:val="none" w:sz="0" w:space="0" w:color="auto"/>
        <w:left w:val="none" w:sz="0" w:space="0" w:color="auto"/>
        <w:bottom w:val="none" w:sz="0" w:space="0" w:color="auto"/>
        <w:right w:val="none" w:sz="0" w:space="0" w:color="auto"/>
      </w:divBdr>
    </w:div>
    <w:div w:id="362750789">
      <w:bodyDiv w:val="1"/>
      <w:marLeft w:val="0"/>
      <w:marRight w:val="0"/>
      <w:marTop w:val="0"/>
      <w:marBottom w:val="0"/>
      <w:divBdr>
        <w:top w:val="none" w:sz="0" w:space="0" w:color="auto"/>
        <w:left w:val="none" w:sz="0" w:space="0" w:color="auto"/>
        <w:bottom w:val="none" w:sz="0" w:space="0" w:color="auto"/>
        <w:right w:val="none" w:sz="0" w:space="0" w:color="auto"/>
      </w:divBdr>
    </w:div>
    <w:div w:id="765661021">
      <w:bodyDiv w:val="1"/>
      <w:marLeft w:val="0"/>
      <w:marRight w:val="0"/>
      <w:marTop w:val="0"/>
      <w:marBottom w:val="0"/>
      <w:divBdr>
        <w:top w:val="none" w:sz="0" w:space="0" w:color="auto"/>
        <w:left w:val="none" w:sz="0" w:space="0" w:color="auto"/>
        <w:bottom w:val="none" w:sz="0" w:space="0" w:color="auto"/>
        <w:right w:val="none" w:sz="0" w:space="0" w:color="auto"/>
      </w:divBdr>
    </w:div>
    <w:div w:id="1627588290">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AA10695FF3240C981382C2C8431EC73"/>
        <w:category>
          <w:name w:val="General"/>
          <w:gallery w:val="placeholder"/>
        </w:category>
        <w:types>
          <w:type w:val="bbPlcHdr"/>
        </w:types>
        <w:behaviors>
          <w:behavior w:val="content"/>
        </w:behaviors>
        <w:guid w:val="{61AFCB8E-86FD-4462-B684-AF01A621DF8B}"/>
      </w:docPartPr>
      <w:docPartBody>
        <w:p w:rsidR="00754576" w:rsidRDefault="00754576">
          <w:pPr>
            <w:pStyle w:val="FAA10695FF3240C981382C2C8431EC73"/>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576"/>
    <w:rsid w:val="000B4D03"/>
    <w:rsid w:val="000C0A1B"/>
    <w:rsid w:val="004577EE"/>
    <w:rsid w:val="0053011F"/>
    <w:rsid w:val="0053387C"/>
    <w:rsid w:val="00570A2C"/>
    <w:rsid w:val="006206C7"/>
    <w:rsid w:val="00621D0B"/>
    <w:rsid w:val="0064463D"/>
    <w:rsid w:val="007056EE"/>
    <w:rsid w:val="00741C68"/>
    <w:rsid w:val="00754576"/>
    <w:rsid w:val="00774BD3"/>
    <w:rsid w:val="00906CC5"/>
    <w:rsid w:val="009364C6"/>
    <w:rsid w:val="009852D9"/>
    <w:rsid w:val="009D4739"/>
    <w:rsid w:val="00A866CF"/>
    <w:rsid w:val="00B54D97"/>
    <w:rsid w:val="00BB7AA7"/>
    <w:rsid w:val="00D10057"/>
    <w:rsid w:val="00DD5A79"/>
    <w:rsid w:val="00F17FBA"/>
    <w:rsid w:val="00F56E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AA10695FF3240C981382C2C8431EC73">
    <w:name w:val="FAA10695FF3240C981382C2C8431E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41338" ma:contentTypeDescription=" " ma:contentTypeScope="" ma:versionID="de6bf0878ea0f1551c5812d69569cb94">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_dlc_DocId xmlns="0f563589-9cf9-4143-b1eb-fb0534803d38">2021RG-111-22048</_dlc_DocId>
    <TaxCatchAll xmlns="0f563589-9cf9-4143-b1eb-fb0534803d38">
      <Value>1</Value>
    </TaxCatchAll>
    <_dlc_DocIdUrl xmlns="0f563589-9cf9-4143-b1eb-fb0534803d38">
      <Url>http://tweb/sites/rg/ldp/lmu/_layouts/15/DocIdRedir.aspx?ID=2021RG-111-22048</Url>
      <Description>2021RG-111-22048</Description>
    </_dlc_DocIdUrl>
    <i6880fa62fd2465ea894b48b45824d1c xmlns="9f7bc583-7cbe-45b9-a2bd-8bbb6543b37e">
      <Terms xmlns="http://schemas.microsoft.com/office/infopath/2007/PartnerControls"/>
    </i6880fa62fd2465ea894b48b45824d1c>
    <IconOverlay xmlns="http://schemas.microsoft.com/sharepoint/v4" xsi:nil="true"/>
  </documentManagement>
</p:properties>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622161B6-7940-4762-AF9A-C13CDC3A3D73}"/>
</file>

<file path=customXml/itemProps3.xml><?xml version="1.0" encoding="utf-8"?>
<ds:datastoreItem xmlns:ds="http://schemas.openxmlformats.org/officeDocument/2006/customXml" ds:itemID="{BCBD1C7C-8EBF-47E5-81AC-CE584691BBC3}"/>
</file>

<file path=customXml/itemProps4.xml><?xml version="1.0" encoding="utf-8"?>
<ds:datastoreItem xmlns:ds="http://schemas.openxmlformats.org/officeDocument/2006/customXml" ds:itemID="{4C813A8A-C081-473A-A6D4-EC711DE0BEB5}"/>
</file>

<file path=customXml/itemProps5.xml><?xml version="1.0" encoding="utf-8"?>
<ds:datastoreItem xmlns:ds="http://schemas.openxmlformats.org/officeDocument/2006/customXml" ds:itemID="{3B40AE40-2ADB-46D3-850E-EAA8F63AB4EF}"/>
</file>

<file path=customXml/itemProps6.xml><?xml version="1.0" encoding="utf-8"?>
<ds:datastoreItem xmlns:ds="http://schemas.openxmlformats.org/officeDocument/2006/customXml" ds:itemID="{54148FCA-EC7A-4C79-B6B4-AF783D590B65}"/>
</file>

<file path=docProps/app.xml><?xml version="1.0" encoding="utf-8"?>
<Properties xmlns="http://schemas.openxmlformats.org/officeDocument/2006/extended-properties" xmlns:vt="http://schemas.openxmlformats.org/officeDocument/2006/docPropsVTypes">
  <Template>Normal.dotm</Template>
  <TotalTime>0</TotalTime>
  <Pages>35</Pages>
  <Words>15437</Words>
  <Characters>82160</Characters>
  <Application>Microsoft Office Word</Application>
  <DocSecurity>0</DocSecurity>
  <Lines>684</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2021-10-05T00:24:00Z</dcterms:created>
  <dcterms:modified xsi:type="dcterms:W3CDTF">2021-10-05T00:24:00Z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YTopic">
    <vt:lpwstr/>
  </property>
  <property fmtid="{D5CDD505-2E9C-101B-9397-08002B2CF9AE}" pid="3" name="_dlc_DocIdPersistID">
    <vt:lpwstr>0</vt:lpwstr>
  </property>
  <property fmtid="{D5CDD505-2E9C-101B-9397-08002B2CF9AE}" pid="4" name="_NewReviewCycle">
    <vt:lpwstr/>
  </property>
  <property fmtid="{D5CDD505-2E9C-101B-9397-08002B2CF9AE}" pid="5" name="ContentTypeId">
    <vt:lpwstr>0x01010036BB8DE7EC542E42A8B2E98CC20CB69700D5C18F41BA18FB44827A222ACD6776F5</vt:lpwstr>
  </property>
  <property fmtid="{D5CDD505-2E9C-101B-9397-08002B2CF9AE}" pid="6" name="KWizComPasteProgress">
    <vt:lpwstr>movefinished</vt:lpwstr>
  </property>
  <property fmtid="{D5CDD505-2E9C-101B-9397-08002B2CF9AE}" pid="7" name="TSYRecordClass">
    <vt:lpwstr>1;#AE-20260-Destroy 7 years after action completed|623f5ec9-ec5d-4824-8e13-9c9bfc51fe7e</vt:lpwstr>
  </property>
  <property fmtid="{D5CDD505-2E9C-101B-9397-08002B2CF9AE}" pid="8" name="KWizComPasteSourceItemData">
    <vt:lpwstr>http://tweb/sites/rg/ldp|687b78b0-2ddd-4441-8a8b-c9638c2a1939|66352|DELETED</vt:lpwstr>
  </property>
  <property fmtid="{D5CDD505-2E9C-101B-9397-08002B2CF9AE}" pid="9" name="_dlc_DocIdItemGuid">
    <vt:lpwstr>d5313825-b1ab-4b36-aa16-bd7a90775402</vt:lpwstr>
  </property>
</Properties>
</file>