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79DF3" w14:textId="77777777" w:rsidR="00955175" w:rsidRDefault="00955175" w:rsidP="00E2168B">
      <w:pPr>
        <w:spacing w:before="280" w:after="240"/>
        <w:rPr>
          <w:b/>
          <w:sz w:val="32"/>
          <w:szCs w:val="32"/>
        </w:rPr>
      </w:pPr>
    </w:p>
    <w:p w14:paraId="71335F06" w14:textId="6909136C" w:rsidR="00955175" w:rsidRPr="00790BB7" w:rsidRDefault="00E64D35" w:rsidP="00E2168B">
      <w:pPr>
        <w:spacing w:before="280" w:after="240"/>
        <w:rPr>
          <w:b/>
          <w:sz w:val="32"/>
          <w:szCs w:val="32"/>
        </w:rPr>
      </w:pPr>
      <w:r w:rsidRPr="00790BB7">
        <w:rPr>
          <w:noProof/>
        </w:rPr>
        <w:drawing>
          <wp:anchor distT="0" distB="0" distL="114300" distR="114300" simplePos="0" relativeHeight="251658240" behindDoc="0" locked="0" layoutInCell="1" allowOverlap="1" wp14:anchorId="340D0798" wp14:editId="78E0F44C">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AD14ACF" w14:textId="77777777" w:rsidR="00955175" w:rsidRPr="00790BB7" w:rsidRDefault="00955175" w:rsidP="00955175">
      <w:pPr>
        <w:pStyle w:val="LI-Title"/>
        <w:pBdr>
          <w:top w:val="none" w:sz="0" w:space="0" w:color="auto"/>
        </w:pBdr>
        <w:jc w:val="center"/>
      </w:pPr>
    </w:p>
    <w:p w14:paraId="2A2FDB1D" w14:textId="77777777" w:rsidR="00955175" w:rsidRPr="00790BB7" w:rsidRDefault="00955175" w:rsidP="00955175">
      <w:pPr>
        <w:pStyle w:val="LI-Title"/>
        <w:pBdr>
          <w:top w:val="none" w:sz="0" w:space="0" w:color="auto"/>
        </w:pBdr>
        <w:jc w:val="center"/>
      </w:pPr>
      <w:r w:rsidRPr="00790BB7">
        <w:t>Explanatory Statement</w:t>
      </w:r>
    </w:p>
    <w:p w14:paraId="08F5C14E" w14:textId="77777777" w:rsidR="00955175" w:rsidRPr="00790BB7" w:rsidRDefault="00955175" w:rsidP="00955175">
      <w:pPr>
        <w:rPr>
          <w:lang w:eastAsia="en-AU"/>
        </w:rPr>
      </w:pPr>
    </w:p>
    <w:p w14:paraId="3AA5624F" w14:textId="420E3B04" w:rsidR="00C315EC" w:rsidRPr="00790BB7" w:rsidRDefault="00C315EC" w:rsidP="00C315EC">
      <w:pPr>
        <w:pStyle w:val="LI-BodyTextParaa"/>
        <w:ind w:left="0" w:firstLine="0"/>
        <w:jc w:val="center"/>
        <w:rPr>
          <w:rFonts w:eastAsia="Calibri"/>
          <w:b/>
          <w:i/>
        </w:rPr>
      </w:pPr>
      <w:bookmarkStart w:id="0" w:name="BK_S3P1L1C1"/>
      <w:bookmarkEnd w:id="0"/>
      <w:r w:rsidRPr="00790BB7">
        <w:rPr>
          <w:rFonts w:eastAsia="Calibri"/>
          <w:b/>
          <w:i/>
        </w:rPr>
        <w:t>ASIC Credit (Breach Reporting—</w:t>
      </w:r>
      <w:r w:rsidR="00FE2D35" w:rsidRPr="00790BB7">
        <w:t xml:space="preserve"> </w:t>
      </w:r>
      <w:r w:rsidR="00FE2D35" w:rsidRPr="00790BB7">
        <w:rPr>
          <w:rFonts w:eastAsia="Calibri"/>
          <w:b/>
          <w:i/>
        </w:rPr>
        <w:t>Prescribed Commonwealth Legislation</w:t>
      </w:r>
      <w:r w:rsidRPr="00790BB7">
        <w:rPr>
          <w:rFonts w:eastAsia="Calibri"/>
          <w:b/>
          <w:i/>
        </w:rPr>
        <w:t>) Instrument 2021/</w:t>
      </w:r>
      <w:r w:rsidR="002A0DF7" w:rsidRPr="00790BB7">
        <w:rPr>
          <w:rFonts w:eastAsia="Calibri"/>
          <w:b/>
          <w:i/>
        </w:rPr>
        <w:t>801</w:t>
      </w:r>
    </w:p>
    <w:p w14:paraId="06E6D75D" w14:textId="10590D15" w:rsidR="00863657" w:rsidRPr="00790BB7" w:rsidRDefault="00F800C9" w:rsidP="00F800C9">
      <w:pPr>
        <w:pStyle w:val="LI-BodyTextParaa"/>
        <w:ind w:left="0" w:firstLine="0"/>
      </w:pPr>
      <w:r w:rsidRPr="00790BB7">
        <w:t xml:space="preserve">This is the Explanatory Statement for </w:t>
      </w:r>
      <w:r w:rsidR="00C315EC" w:rsidRPr="00790BB7">
        <w:rPr>
          <w:i/>
          <w:iCs/>
        </w:rPr>
        <w:t>ASIC Credit (Breach Reporting—</w:t>
      </w:r>
      <w:r w:rsidR="00A45B26" w:rsidRPr="00790BB7">
        <w:t xml:space="preserve"> </w:t>
      </w:r>
      <w:r w:rsidR="00A45B26" w:rsidRPr="00790BB7">
        <w:rPr>
          <w:i/>
          <w:iCs/>
        </w:rPr>
        <w:t>Prescribed Commonwealth Legislation</w:t>
      </w:r>
      <w:r w:rsidR="00C315EC" w:rsidRPr="00790BB7">
        <w:rPr>
          <w:i/>
          <w:iCs/>
        </w:rPr>
        <w:t>) Instrument 2021/</w:t>
      </w:r>
      <w:r w:rsidR="002A0DF7" w:rsidRPr="00790BB7">
        <w:rPr>
          <w:i/>
          <w:iCs/>
        </w:rPr>
        <w:t>801</w:t>
      </w:r>
      <w:r w:rsidR="0057669D" w:rsidRPr="00790BB7">
        <w:rPr>
          <w:i/>
          <w:iCs/>
        </w:rPr>
        <w:t xml:space="preserve"> </w:t>
      </w:r>
      <w:r w:rsidR="0057669D" w:rsidRPr="00790BB7">
        <w:t xml:space="preserve">(the </w:t>
      </w:r>
      <w:r w:rsidR="0057669D" w:rsidRPr="00790BB7">
        <w:rPr>
          <w:b/>
          <w:bCs/>
          <w:i/>
          <w:iCs/>
        </w:rPr>
        <w:t>instrument</w:t>
      </w:r>
      <w:r w:rsidR="0057669D" w:rsidRPr="00790BB7">
        <w:t>)</w:t>
      </w:r>
      <w:r w:rsidRPr="00790BB7">
        <w:rPr>
          <w:i/>
          <w:iCs/>
        </w:rPr>
        <w:t>.</w:t>
      </w:r>
    </w:p>
    <w:p w14:paraId="60E0B245" w14:textId="77777777" w:rsidR="00F800C9" w:rsidRPr="00790BB7" w:rsidRDefault="00863657" w:rsidP="00F800C9">
      <w:pPr>
        <w:pStyle w:val="LI-BodyTextParaa"/>
        <w:ind w:left="0" w:firstLine="0"/>
      </w:pPr>
      <w:r w:rsidRPr="00790BB7">
        <w:t>Th</w:t>
      </w:r>
      <w:r w:rsidR="00F800C9" w:rsidRPr="00790BB7">
        <w:t>e</w:t>
      </w:r>
      <w:r w:rsidRPr="00790BB7">
        <w:t xml:space="preserve"> </w:t>
      </w:r>
      <w:r w:rsidR="00F800C9" w:rsidRPr="00790BB7">
        <w:t>Explanatory Statement is approved by the Australian Securities and Investments Commission (</w:t>
      </w:r>
      <w:r w:rsidR="00F800C9" w:rsidRPr="00790BB7">
        <w:rPr>
          <w:b/>
          <w:i/>
        </w:rPr>
        <w:t>ASIC</w:t>
      </w:r>
      <w:r w:rsidR="00F800C9" w:rsidRPr="00790BB7">
        <w:t>).</w:t>
      </w:r>
    </w:p>
    <w:p w14:paraId="2723F6B5" w14:textId="26C55DFF" w:rsidR="00F800C9" w:rsidRPr="00FC5041" w:rsidRDefault="00A97F08" w:rsidP="00F800C9">
      <w:pPr>
        <w:pStyle w:val="LI-BodyTextNumbered"/>
        <w:ind w:left="0" w:firstLine="0"/>
        <w:rPr>
          <w:b/>
        </w:rPr>
      </w:pPr>
      <w:r w:rsidRPr="00790BB7">
        <w:rPr>
          <w:b/>
        </w:rPr>
        <w:t>Summary</w:t>
      </w:r>
    </w:p>
    <w:p w14:paraId="58221159" w14:textId="619C5375" w:rsidR="00A27450" w:rsidRPr="00245E2F" w:rsidRDefault="00A27450" w:rsidP="00A27450">
      <w:pPr>
        <w:pStyle w:val="LI-BodyTextParaa"/>
        <w:numPr>
          <w:ilvl w:val="0"/>
          <w:numId w:val="15"/>
        </w:numPr>
        <w:ind w:left="567"/>
      </w:pPr>
      <w:r w:rsidRPr="00FC5041">
        <w:t>The instrument provides temporary</w:t>
      </w:r>
      <w:r w:rsidRPr="005859A2">
        <w:t xml:space="preserve"> relief to</w:t>
      </w:r>
      <w:r w:rsidRPr="00245E2F">
        <w:t xml:space="preserve"> limit the Commonwealth legislation </w:t>
      </w:r>
      <w:r w:rsidR="007E2192" w:rsidRPr="00245E2F">
        <w:t xml:space="preserve">in relation </w:t>
      </w:r>
      <w:r w:rsidRPr="00245E2F">
        <w:t xml:space="preserve">to which the breach reporting obligation in the </w:t>
      </w:r>
      <w:r w:rsidR="003E59F3" w:rsidRPr="003E59F3">
        <w:rPr>
          <w:i/>
          <w:iCs/>
        </w:rPr>
        <w:t>National Consumer Credit Protection Act 2009</w:t>
      </w:r>
      <w:r w:rsidRPr="00245E2F">
        <w:rPr>
          <w:i/>
          <w:iCs/>
        </w:rPr>
        <w:t xml:space="preserve"> </w:t>
      </w:r>
      <w:r w:rsidRPr="00245E2F">
        <w:t xml:space="preserve">(the </w:t>
      </w:r>
      <w:r w:rsidRPr="00245E2F">
        <w:rPr>
          <w:b/>
          <w:bCs/>
          <w:i/>
          <w:iCs/>
        </w:rPr>
        <w:t>Credit Act</w:t>
      </w:r>
      <w:r w:rsidRPr="00245E2F">
        <w:t>) applies.</w:t>
      </w:r>
      <w:r w:rsidR="00F07400" w:rsidRPr="00245E2F">
        <w:t xml:space="preserve"> </w:t>
      </w:r>
      <w:r w:rsidR="00842248">
        <w:t>The instrument provides relief for</w:t>
      </w:r>
      <w:r w:rsidR="00AC43A2">
        <w:t xml:space="preserve"> a period of</w:t>
      </w:r>
      <w:r w:rsidR="00842248">
        <w:t xml:space="preserve"> three years. </w:t>
      </w:r>
    </w:p>
    <w:p w14:paraId="134A18D3" w14:textId="370A6420" w:rsidR="004675CF" w:rsidRDefault="004675CF" w:rsidP="00A10FA9">
      <w:pPr>
        <w:pStyle w:val="LI-BodyTextParaa"/>
        <w:numPr>
          <w:ilvl w:val="0"/>
          <w:numId w:val="15"/>
        </w:numPr>
        <w:ind w:left="567"/>
      </w:pPr>
      <w:r>
        <w:t>The relief</w:t>
      </w:r>
      <w:r w:rsidR="00F07400">
        <w:t xml:space="preserve"> </w:t>
      </w:r>
      <w:r>
        <w:t>is intended to be an interim measure to</w:t>
      </w:r>
      <w:r w:rsidR="00F07400">
        <w:t xml:space="preserve"> provide certainty to credit licensees </w:t>
      </w:r>
      <w:r w:rsidR="00575085">
        <w:t xml:space="preserve">ahead of legislative changes proposed to be made by the Government to give effect to the intended operation of the breach reporting obligation. </w:t>
      </w:r>
    </w:p>
    <w:p w14:paraId="34BC2A78" w14:textId="77777777" w:rsidR="005D1FEA" w:rsidRDefault="005D1FEA" w:rsidP="005D1FEA">
      <w:pPr>
        <w:pStyle w:val="LI-BodyTextNumbered"/>
        <w:ind w:hanging="1134"/>
        <w:rPr>
          <w:b/>
        </w:rPr>
      </w:pPr>
      <w:r>
        <w:rPr>
          <w:b/>
        </w:rPr>
        <w:t>Purpose of the instrument</w:t>
      </w:r>
    </w:p>
    <w:p w14:paraId="733EFFAD" w14:textId="2C3B2170" w:rsidR="0095774F" w:rsidRDefault="00AF3AF9" w:rsidP="00A27450">
      <w:pPr>
        <w:pStyle w:val="LI-BodyTextParaa"/>
        <w:numPr>
          <w:ilvl w:val="0"/>
          <w:numId w:val="15"/>
        </w:numPr>
        <w:ind w:left="567"/>
      </w:pPr>
      <w:r>
        <w:t>On 10 December 2020, t</w:t>
      </w:r>
      <w:r w:rsidR="00C25CBF">
        <w:t>he</w:t>
      </w:r>
      <w:r w:rsidR="00C25CBF" w:rsidRPr="00C25CBF">
        <w:t xml:space="preserve"> </w:t>
      </w:r>
      <w:r w:rsidR="00C25CBF" w:rsidRPr="00C25CBF">
        <w:rPr>
          <w:i/>
          <w:iCs/>
        </w:rPr>
        <w:t>Financial Sector Reform (Hayne Royal Commission Response) Act 2020</w:t>
      </w:r>
      <w:r w:rsidR="00C25CBF">
        <w:rPr>
          <w:i/>
          <w:iCs/>
        </w:rPr>
        <w:t xml:space="preserve"> </w:t>
      </w:r>
      <w:r>
        <w:t>was passed</w:t>
      </w:r>
      <w:r w:rsidR="00A55822">
        <w:t xml:space="preserve"> (the </w:t>
      </w:r>
      <w:r w:rsidR="00A55822">
        <w:rPr>
          <w:b/>
          <w:bCs/>
          <w:i/>
          <w:iCs/>
        </w:rPr>
        <w:t>FSR Act</w:t>
      </w:r>
      <w:r w:rsidR="00A55822">
        <w:t>)</w:t>
      </w:r>
      <w:r>
        <w:t xml:space="preserve">. The </w:t>
      </w:r>
      <w:r w:rsidR="00A55822">
        <w:t xml:space="preserve">FSR </w:t>
      </w:r>
      <w:r>
        <w:t xml:space="preserve">Act </w:t>
      </w:r>
      <w:r w:rsidR="00C25CBF">
        <w:t xml:space="preserve">introduced a breach reporting obligation for credit licensees into </w:t>
      </w:r>
      <w:r w:rsidR="00120F3C">
        <w:t>Division</w:t>
      </w:r>
      <w:r w:rsidR="00C25CBF">
        <w:t xml:space="preserve"> 5 of P</w:t>
      </w:r>
      <w:r w:rsidR="00765158">
        <w:t>ar</w:t>
      </w:r>
      <w:r w:rsidR="00C25CBF">
        <w:t>t 2-2 of the Credit Act</w:t>
      </w:r>
      <w:r w:rsidR="004F528A">
        <w:t xml:space="preserve">, which </w:t>
      </w:r>
      <w:r w:rsidR="00765158">
        <w:t>mirrors the breach reporting obligation in</w:t>
      </w:r>
      <w:r w:rsidR="004F528A">
        <w:t xml:space="preserve"> Part 7.6 of </w:t>
      </w:r>
      <w:r w:rsidR="00765158">
        <w:t xml:space="preserve">the </w:t>
      </w:r>
      <w:r w:rsidR="00765158" w:rsidRPr="00765158">
        <w:rPr>
          <w:i/>
          <w:iCs/>
        </w:rPr>
        <w:t>Corporations Act 2001</w:t>
      </w:r>
      <w:r w:rsidR="00EC2896">
        <w:rPr>
          <w:i/>
          <w:iCs/>
        </w:rPr>
        <w:t xml:space="preserve"> </w:t>
      </w:r>
      <w:r w:rsidR="00EC2896">
        <w:t>(the</w:t>
      </w:r>
      <w:r w:rsidR="006D250D">
        <w:t xml:space="preserve"> </w:t>
      </w:r>
      <w:r w:rsidR="00EC2896">
        <w:rPr>
          <w:b/>
          <w:bCs/>
          <w:i/>
          <w:iCs/>
        </w:rPr>
        <w:t>Corporations Act</w:t>
      </w:r>
      <w:r w:rsidR="00EC2896">
        <w:t>)</w:t>
      </w:r>
      <w:r w:rsidR="004F528A">
        <w:t xml:space="preserve">. The obligation </w:t>
      </w:r>
      <w:r w:rsidR="00E97534">
        <w:t>commences on 1 October 2021.</w:t>
      </w:r>
    </w:p>
    <w:p w14:paraId="51959D1C" w14:textId="0FF66EF0" w:rsidR="00C25CBF" w:rsidRDefault="00497E0F" w:rsidP="00A10FA9">
      <w:pPr>
        <w:pStyle w:val="LI-BodyTextParaa"/>
        <w:numPr>
          <w:ilvl w:val="0"/>
          <w:numId w:val="15"/>
        </w:numPr>
        <w:ind w:left="567"/>
      </w:pPr>
      <w:r>
        <w:t xml:space="preserve">Under </w:t>
      </w:r>
      <w:r w:rsidR="0095774F">
        <w:t xml:space="preserve">the </w:t>
      </w:r>
      <w:r w:rsidR="009A323B">
        <w:t xml:space="preserve">breach reporting </w:t>
      </w:r>
      <w:r>
        <w:t xml:space="preserve">obligation, credit licensees are required to report </w:t>
      </w:r>
      <w:r w:rsidR="00D36072">
        <w:t>breaches or likely breaches (as well as investigations into breaches or likely breaches) of ‘core obligations</w:t>
      </w:r>
      <w:r w:rsidR="00D65932">
        <w:t>’</w:t>
      </w:r>
      <w:r w:rsidR="00D36072">
        <w:t xml:space="preserve"> that are significant. </w:t>
      </w:r>
      <w:r w:rsidR="00D23CCC">
        <w:t>‘</w:t>
      </w:r>
      <w:r w:rsidR="006F6655">
        <w:t>Core obligations</w:t>
      </w:r>
      <w:r w:rsidR="00D23CCC">
        <w:t>’</w:t>
      </w:r>
      <w:r w:rsidR="006F6655">
        <w:t xml:space="preserve"> are </w:t>
      </w:r>
      <w:r w:rsidR="00694B37">
        <w:t>set out in</w:t>
      </w:r>
      <w:r w:rsidR="006F6655">
        <w:t xml:space="preserve"> subsection 50A(3) of the Credit Act and include the obligation</w:t>
      </w:r>
      <w:r w:rsidR="001B6723">
        <w:t xml:space="preserve"> in subsection 47(1)(d) of the Credit Act</w:t>
      </w:r>
      <w:r w:rsidR="006F6655">
        <w:t xml:space="preserve"> </w:t>
      </w:r>
      <w:r w:rsidR="00E26123">
        <w:t>to comply with</w:t>
      </w:r>
      <w:r w:rsidR="00904C00">
        <w:t xml:space="preserve"> the</w:t>
      </w:r>
      <w:r w:rsidR="00E26123">
        <w:t xml:space="preserve"> </w:t>
      </w:r>
      <w:r w:rsidR="003F6BFA">
        <w:t xml:space="preserve">credit legislation, </w:t>
      </w:r>
      <w:r w:rsidR="00904C00">
        <w:t>so far as it relates to</w:t>
      </w:r>
      <w:r w:rsidR="003F6BFA">
        <w:t xml:space="preserve"> </w:t>
      </w:r>
      <w:r w:rsidR="001760D4">
        <w:t>Commonwealth legislation that covers conduct relating to credit activities (but only in so far as it covers conduct relating to credit activities</w:t>
      </w:r>
      <w:r w:rsidR="004C6FA4">
        <w:t>)</w:t>
      </w:r>
      <w:r w:rsidR="008C201B">
        <w:t>.</w:t>
      </w:r>
      <w:r w:rsidR="00A2233E">
        <w:t xml:space="preserve"> </w:t>
      </w:r>
    </w:p>
    <w:p w14:paraId="14CD6A0C" w14:textId="6458CE38" w:rsidR="00ED62C7" w:rsidRDefault="00A27450" w:rsidP="00A27450">
      <w:pPr>
        <w:pStyle w:val="LI-BodyTextParaa"/>
        <w:numPr>
          <w:ilvl w:val="0"/>
          <w:numId w:val="15"/>
        </w:numPr>
        <w:ind w:left="567"/>
      </w:pPr>
      <w:bookmarkStart w:id="1" w:name="_Ref82101300"/>
      <w:bookmarkStart w:id="2" w:name="_Ref82086014"/>
      <w:r>
        <w:t xml:space="preserve">On 6 September 2021, the Government announced its intention to make </w:t>
      </w:r>
      <w:proofErr w:type="gramStart"/>
      <w:r>
        <w:t>a number of</w:t>
      </w:r>
      <w:proofErr w:type="gramEnd"/>
      <w:r>
        <w:t xml:space="preserve"> technical amendments to </w:t>
      </w:r>
      <w:r w:rsidR="009C0601">
        <w:t>give effect to</w:t>
      </w:r>
      <w:r>
        <w:t xml:space="preserve"> the intended operation of </w:t>
      </w:r>
      <w:r w:rsidR="00497E0F">
        <w:t>the</w:t>
      </w:r>
      <w:r>
        <w:t xml:space="preserve"> </w:t>
      </w:r>
      <w:r w:rsidR="00531016">
        <w:t xml:space="preserve">breach reporting </w:t>
      </w:r>
      <w:r>
        <w:t>reforms</w:t>
      </w:r>
      <w:r w:rsidR="007C4BCE">
        <w:t xml:space="preserve"> under the FSR Act</w:t>
      </w:r>
      <w:r w:rsidR="00224E1D">
        <w:t>. The proposed changes</w:t>
      </w:r>
      <w:r>
        <w:t xml:space="preserve"> includ</w:t>
      </w:r>
      <w:r w:rsidR="00224E1D">
        <w:t xml:space="preserve">e </w:t>
      </w:r>
      <w:r>
        <w:t xml:space="preserve">an </w:t>
      </w:r>
      <w:r>
        <w:lastRenderedPageBreak/>
        <w:t>amendment to the Credit Act to limit</w:t>
      </w:r>
      <w:r w:rsidR="00303366">
        <w:t xml:space="preserve"> the</w:t>
      </w:r>
      <w:r>
        <w:t xml:space="preserve"> </w:t>
      </w:r>
      <w:r w:rsidR="00EA7B14">
        <w:t xml:space="preserve">reporting of breaches of other </w:t>
      </w:r>
      <w:r w:rsidR="003F6BFA">
        <w:t xml:space="preserve">Commonwealth </w:t>
      </w:r>
      <w:r w:rsidR="00196294">
        <w:t>laws</w:t>
      </w:r>
      <w:r w:rsidR="00EA7B14">
        <w:t xml:space="preserve"> relating to credit activities. </w:t>
      </w:r>
      <w:r w:rsidR="00767076">
        <w:t xml:space="preserve">The list of other </w:t>
      </w:r>
      <w:r w:rsidR="003F6BFA">
        <w:t xml:space="preserve">Commonwealth </w:t>
      </w:r>
      <w:r w:rsidR="00767076">
        <w:t xml:space="preserve">laws </w:t>
      </w:r>
      <w:r w:rsidR="00374D46">
        <w:t xml:space="preserve">in relation to which </w:t>
      </w:r>
      <w:r w:rsidR="00767076">
        <w:t xml:space="preserve">the Government proposes </w:t>
      </w:r>
      <w:r w:rsidR="0081229C">
        <w:t xml:space="preserve">to </w:t>
      </w:r>
      <w:r w:rsidR="00374D46">
        <w:t xml:space="preserve">retain the requirement to report relevant breaches under </w:t>
      </w:r>
      <w:r w:rsidR="00767076">
        <w:t>the breach reporting obligation</w:t>
      </w:r>
      <w:r w:rsidR="00032440">
        <w:t xml:space="preserve"> in the Credit Act</w:t>
      </w:r>
      <w:r w:rsidR="00767076">
        <w:t xml:space="preserve"> are</w:t>
      </w:r>
      <w:r w:rsidR="00ED62C7">
        <w:t>:</w:t>
      </w:r>
      <w:bookmarkEnd w:id="1"/>
      <w:r w:rsidR="00ED62C7">
        <w:t xml:space="preserve"> </w:t>
      </w:r>
    </w:p>
    <w:p w14:paraId="5D7481A9" w14:textId="65FEDF1C" w:rsidR="00484B05" w:rsidRDefault="00484B05" w:rsidP="00484B05">
      <w:pPr>
        <w:pStyle w:val="LI-BodyTextParaa"/>
        <w:numPr>
          <w:ilvl w:val="1"/>
          <w:numId w:val="17"/>
        </w:numPr>
        <w:ind w:left="993" w:hanging="426"/>
      </w:pPr>
      <w:bookmarkStart w:id="3" w:name="_Ref82086004"/>
      <w:bookmarkEnd w:id="2"/>
      <w:r w:rsidRPr="00494701">
        <w:rPr>
          <w:i/>
          <w:iCs/>
        </w:rPr>
        <w:t xml:space="preserve">Banking Act </w:t>
      </w:r>
      <w:proofErr w:type="gramStart"/>
      <w:r w:rsidRPr="00494701">
        <w:rPr>
          <w:i/>
          <w:iCs/>
        </w:rPr>
        <w:t>1959</w:t>
      </w:r>
      <w:r>
        <w:t>;</w:t>
      </w:r>
      <w:bookmarkEnd w:id="3"/>
      <w:proofErr w:type="gramEnd"/>
    </w:p>
    <w:p w14:paraId="599F1B2B" w14:textId="77777777" w:rsidR="00484B05" w:rsidRDefault="00484B05" w:rsidP="00484B05">
      <w:pPr>
        <w:pStyle w:val="LI-BodyTextParaa"/>
        <w:numPr>
          <w:ilvl w:val="1"/>
          <w:numId w:val="17"/>
        </w:numPr>
        <w:ind w:left="993" w:hanging="426"/>
      </w:pPr>
      <w:r w:rsidRPr="00494701">
        <w:rPr>
          <w:i/>
          <w:iCs/>
        </w:rPr>
        <w:t xml:space="preserve">Corporations Act </w:t>
      </w:r>
      <w:proofErr w:type="gramStart"/>
      <w:r w:rsidRPr="00494701">
        <w:rPr>
          <w:i/>
          <w:iCs/>
        </w:rPr>
        <w:t>2001</w:t>
      </w:r>
      <w:r>
        <w:t>;</w:t>
      </w:r>
      <w:proofErr w:type="gramEnd"/>
    </w:p>
    <w:p w14:paraId="47E2143E" w14:textId="77777777" w:rsidR="00484B05" w:rsidRDefault="00484B05" w:rsidP="00484B05">
      <w:pPr>
        <w:pStyle w:val="LI-BodyTextParaa"/>
        <w:numPr>
          <w:ilvl w:val="1"/>
          <w:numId w:val="17"/>
        </w:numPr>
        <w:ind w:left="993" w:hanging="426"/>
      </w:pPr>
      <w:r w:rsidRPr="00494701">
        <w:rPr>
          <w:i/>
          <w:iCs/>
        </w:rPr>
        <w:t xml:space="preserve">Financial Sector (Collection of Data) Act </w:t>
      </w:r>
      <w:proofErr w:type="gramStart"/>
      <w:r w:rsidRPr="00494701">
        <w:rPr>
          <w:i/>
          <w:iCs/>
        </w:rPr>
        <w:t>2001</w:t>
      </w:r>
      <w:r>
        <w:t>;</w:t>
      </w:r>
      <w:proofErr w:type="gramEnd"/>
      <w:r>
        <w:t xml:space="preserve"> </w:t>
      </w:r>
    </w:p>
    <w:p w14:paraId="472F5D46" w14:textId="77777777" w:rsidR="00484B05" w:rsidRDefault="00484B05" w:rsidP="00484B05">
      <w:pPr>
        <w:pStyle w:val="LI-BodyTextParaa"/>
        <w:numPr>
          <w:ilvl w:val="1"/>
          <w:numId w:val="17"/>
        </w:numPr>
        <w:ind w:left="993" w:hanging="426"/>
      </w:pPr>
      <w:r w:rsidRPr="00494701">
        <w:rPr>
          <w:i/>
          <w:iCs/>
        </w:rPr>
        <w:t>Financial Sector (Shareholdings) Act 1998</w:t>
      </w:r>
      <w:r>
        <w:t>; and</w:t>
      </w:r>
    </w:p>
    <w:p w14:paraId="2762FFE7" w14:textId="318462F7" w:rsidR="00A27450" w:rsidRDefault="00320FF9" w:rsidP="004153DD">
      <w:pPr>
        <w:pStyle w:val="LI-BodyTextParaa"/>
        <w:numPr>
          <w:ilvl w:val="1"/>
          <w:numId w:val="17"/>
        </w:numPr>
        <w:ind w:left="993" w:hanging="426"/>
      </w:pPr>
      <w:bookmarkStart w:id="4" w:name="_Ref82086028"/>
      <w:r w:rsidRPr="00320FF9">
        <w:rPr>
          <w:i/>
          <w:iCs/>
        </w:rPr>
        <w:t>Financial Sector (Transfer and Restructure) Act 1999</w:t>
      </w:r>
      <w:r w:rsidR="00484B05">
        <w:t>.</w:t>
      </w:r>
      <w:bookmarkEnd w:id="4"/>
    </w:p>
    <w:p w14:paraId="3ED559C0" w14:textId="43FD740F" w:rsidR="004F648D" w:rsidRDefault="00A355E6" w:rsidP="00724DA3">
      <w:pPr>
        <w:pStyle w:val="LI-BodyTextParaa"/>
        <w:numPr>
          <w:ilvl w:val="0"/>
          <w:numId w:val="15"/>
        </w:numPr>
        <w:ind w:left="567" w:hanging="567"/>
      </w:pPr>
      <w:r>
        <w:t xml:space="preserve">The proposed </w:t>
      </w:r>
      <w:r w:rsidR="00883C91">
        <w:t>amendment is intended to</w:t>
      </w:r>
      <w:r>
        <w:t xml:space="preserve"> </w:t>
      </w:r>
      <w:r w:rsidRPr="00A355E6">
        <w:t>provide</w:t>
      </w:r>
      <w:r w:rsidR="00883C91">
        <w:t xml:space="preserve"> </w:t>
      </w:r>
      <w:r w:rsidRPr="00A355E6">
        <w:t xml:space="preserve">a more consistent approach between the breach reporting obligations in the Credit Act and Corporations Act in relation to reporting of breaches of other Commonwealth legislation.  Specifically, it </w:t>
      </w:r>
      <w:r w:rsidR="00CC73FA">
        <w:t xml:space="preserve">is intended to bring </w:t>
      </w:r>
      <w:r w:rsidRPr="00A355E6">
        <w:t>the core obligation in paragraph 50A(3)(c) of the Credit Act more closely into line with the corresponding core obligation in paragraph 912D(3)(c) of the Corporations Act, which is limited to the Commonwealth legislation specified in Regulation 7.6.02A of the Corporations Regulations 2001.</w:t>
      </w:r>
    </w:p>
    <w:p w14:paraId="46734EFB" w14:textId="4A2F3581" w:rsidR="00A10FA9" w:rsidRDefault="00A10FA9" w:rsidP="00724DA3">
      <w:pPr>
        <w:pStyle w:val="LI-BodyTextParaa"/>
        <w:numPr>
          <w:ilvl w:val="0"/>
          <w:numId w:val="15"/>
        </w:numPr>
        <w:ind w:left="567" w:hanging="567"/>
      </w:pPr>
      <w:r>
        <w:t xml:space="preserve">The Government’s announcement foreshadowed that ASIC, following a targeted consultation, would consider providing temporary breach reporting relief for breaches under subsection </w:t>
      </w:r>
      <w:r w:rsidR="00BD657A">
        <w:t xml:space="preserve">50A(1) of the Credit Act for any other Commonwealth legislation that covers conduct relating to credit activities. It also noted that this interim relief would be provided </w:t>
      </w:r>
      <w:proofErr w:type="gramStart"/>
      <w:r w:rsidR="00BD657A">
        <w:t>in light of</w:t>
      </w:r>
      <w:proofErr w:type="gramEnd"/>
      <w:r w:rsidR="00BD657A">
        <w:t xml:space="preserve"> the Government’s intention to make an amendment to the Credit Act to limit the breaches that are required to be reported under the breach reporting regime. </w:t>
      </w:r>
    </w:p>
    <w:p w14:paraId="1FFD5FBF" w14:textId="10078095" w:rsidR="007B2034" w:rsidRPr="00596BE6" w:rsidRDefault="00A27450" w:rsidP="00A10FA9">
      <w:pPr>
        <w:pStyle w:val="LI-BodyTextParaa"/>
        <w:numPr>
          <w:ilvl w:val="0"/>
          <w:numId w:val="15"/>
        </w:numPr>
        <w:ind w:left="567"/>
      </w:pPr>
      <w:r w:rsidRPr="006457B3">
        <w:t xml:space="preserve">Consistent with the Government’s stated policy intention, the instrument provides temporary relief to limit the </w:t>
      </w:r>
      <w:r w:rsidR="00282C7C" w:rsidRPr="006457B3">
        <w:t>Commonwealth legislation covered by</w:t>
      </w:r>
      <w:r w:rsidR="006457B3" w:rsidRPr="006457B3">
        <w:t xml:space="preserve"> the core obligation in</w:t>
      </w:r>
      <w:r w:rsidR="00282C7C" w:rsidRPr="006457B3">
        <w:t xml:space="preserve"> paragraph 50A(3)(c) </w:t>
      </w:r>
      <w:r w:rsidR="006457B3" w:rsidRPr="006457B3">
        <w:t xml:space="preserve">of the Credit Act to those listed in paragraph </w:t>
      </w:r>
      <w:r w:rsidR="006457B3" w:rsidRPr="006457B3">
        <w:fldChar w:fldCharType="begin"/>
      </w:r>
      <w:r w:rsidR="006457B3" w:rsidRPr="006457B3">
        <w:instrText xml:space="preserve"> REF _Ref82101300 \r \h </w:instrText>
      </w:r>
      <w:r w:rsidR="006457B3">
        <w:instrText xml:space="preserve"> \* MERGEFORMAT </w:instrText>
      </w:r>
      <w:r w:rsidR="006457B3" w:rsidRPr="006457B3">
        <w:fldChar w:fldCharType="separate"/>
      </w:r>
      <w:r w:rsidR="00C423C7">
        <w:t>5</w:t>
      </w:r>
      <w:r w:rsidR="006457B3" w:rsidRPr="006457B3">
        <w:fldChar w:fldCharType="end"/>
      </w:r>
      <w:r w:rsidR="006457B3" w:rsidRPr="006457B3">
        <w:t xml:space="preserve"> above.</w:t>
      </w:r>
      <w:r w:rsidR="00596BE6">
        <w:t xml:space="preserve"> </w:t>
      </w:r>
      <w:bookmarkStart w:id="5" w:name="_Hlk83716636"/>
    </w:p>
    <w:bookmarkEnd w:id="5"/>
    <w:p w14:paraId="32E7B712" w14:textId="299D85D0" w:rsidR="00694BEA" w:rsidRPr="005669FF" w:rsidRDefault="00EC61D5" w:rsidP="005669FF">
      <w:pPr>
        <w:pStyle w:val="LI-BodyTextParaa"/>
        <w:numPr>
          <w:ilvl w:val="0"/>
          <w:numId w:val="15"/>
        </w:numPr>
        <w:ind w:left="567"/>
      </w:pPr>
      <w:r>
        <w:t>T</w:t>
      </w:r>
      <w:r w:rsidR="00903361">
        <w:t>he instrument provides</w:t>
      </w:r>
      <w:r w:rsidR="00A2613F">
        <w:t xml:space="preserve"> certainty to credit licensees </w:t>
      </w:r>
      <w:r w:rsidR="00CD3415">
        <w:t xml:space="preserve">in relation to the application of the breach reporting obligation in the Credit Act </w:t>
      </w:r>
      <w:r w:rsidR="0073768E">
        <w:t>in the interim period before the</w:t>
      </w:r>
      <w:r w:rsidR="00CD3415">
        <w:t xml:space="preserve"> Government’s proposed legislative changes</w:t>
      </w:r>
      <w:r w:rsidR="0073768E">
        <w:t xml:space="preserve"> are made</w:t>
      </w:r>
      <w:r w:rsidR="00AB3891">
        <w:t xml:space="preserve">. </w:t>
      </w:r>
      <w:r w:rsidR="00903361">
        <w:t>I</w:t>
      </w:r>
      <w:r w:rsidR="00B3041A">
        <w:t xml:space="preserve">t will avoid credit licensees being required to implement </w:t>
      </w:r>
      <w:r w:rsidR="00747E61">
        <w:t>changes to business</w:t>
      </w:r>
      <w:r w:rsidR="00F0185F">
        <w:t xml:space="preserve"> systems and processes</w:t>
      </w:r>
      <w:r w:rsidR="00747E61">
        <w:t xml:space="preserve"> </w:t>
      </w:r>
      <w:r w:rsidR="00225300">
        <w:t xml:space="preserve">to </w:t>
      </w:r>
      <w:r w:rsidR="00F93889">
        <w:t xml:space="preserve">report breaches of Commonwealth legislation that are not intended to be caught by the obligation. </w:t>
      </w:r>
      <w:r w:rsidR="00CD3415">
        <w:t xml:space="preserve"> </w:t>
      </w:r>
    </w:p>
    <w:p w14:paraId="683C04C7" w14:textId="4A367533" w:rsidR="00A10CBE" w:rsidRDefault="00F27507" w:rsidP="00F27507">
      <w:pPr>
        <w:pStyle w:val="LI-BodyTextParaa"/>
        <w:numPr>
          <w:ilvl w:val="0"/>
          <w:numId w:val="15"/>
        </w:numPr>
        <w:ind w:left="567"/>
      </w:pPr>
      <w:r>
        <w:t xml:space="preserve">The instrument provides relief for a period of </w:t>
      </w:r>
      <w:r w:rsidR="0098540D">
        <w:t>three</w:t>
      </w:r>
      <w:r>
        <w:t xml:space="preserve"> years. This</w:t>
      </w:r>
      <w:r w:rsidR="00862978">
        <w:t xml:space="preserve"> period</w:t>
      </w:r>
      <w:r>
        <w:t xml:space="preserve"> will provide Parliament with the necessary time to </w:t>
      </w:r>
      <w:r w:rsidR="0086231C">
        <w:t xml:space="preserve">consider </w:t>
      </w:r>
      <w:r>
        <w:t>the relevant legislative amendments and regulations</w:t>
      </w:r>
      <w:r w:rsidR="00A739A4">
        <w:t>.</w:t>
      </w:r>
    </w:p>
    <w:p w14:paraId="0D310E42" w14:textId="77777777" w:rsidR="000711AC" w:rsidRDefault="000711AC" w:rsidP="009A3F74">
      <w:pPr>
        <w:pStyle w:val="LI-BodyTextNumbered"/>
        <w:ind w:hanging="1134"/>
        <w:rPr>
          <w:b/>
        </w:rPr>
      </w:pPr>
      <w:bookmarkStart w:id="6" w:name="_Hlk534291624"/>
    </w:p>
    <w:p w14:paraId="2DC57C01" w14:textId="331D7C29" w:rsidR="009A3F74" w:rsidRDefault="009A3F74" w:rsidP="009A3F74">
      <w:pPr>
        <w:pStyle w:val="LI-BodyTextNumbered"/>
        <w:ind w:hanging="1134"/>
        <w:rPr>
          <w:b/>
        </w:rPr>
      </w:pPr>
      <w:r>
        <w:rPr>
          <w:b/>
        </w:rPr>
        <w:lastRenderedPageBreak/>
        <w:t>Consultation</w:t>
      </w:r>
    </w:p>
    <w:p w14:paraId="0C32F414" w14:textId="100FB1DB" w:rsidR="009A3F74" w:rsidRDefault="007B0444" w:rsidP="00C34FB3">
      <w:pPr>
        <w:pStyle w:val="LI-BodyTextParaa"/>
        <w:numPr>
          <w:ilvl w:val="0"/>
          <w:numId w:val="15"/>
        </w:numPr>
        <w:ind w:left="567" w:hanging="567"/>
      </w:pPr>
      <w:r>
        <w:t xml:space="preserve">ASIC </w:t>
      </w:r>
      <w:r w:rsidR="00571437">
        <w:t>consulted</w:t>
      </w:r>
      <w:r>
        <w:t xml:space="preserve"> with </w:t>
      </w:r>
      <w:proofErr w:type="gramStart"/>
      <w:r>
        <w:t>a number of</w:t>
      </w:r>
      <w:proofErr w:type="gramEnd"/>
      <w:r>
        <w:t xml:space="preserve"> industry associations and consumer groups before making the instrument.</w:t>
      </w:r>
      <w:r w:rsidR="0061200D">
        <w:t xml:space="preserve"> </w:t>
      </w:r>
      <w:r w:rsidR="004A1C5F">
        <w:t>None of the respondents</w:t>
      </w:r>
      <w:r w:rsidR="00845952">
        <w:t xml:space="preserve"> to the consultation</w:t>
      </w:r>
      <w:r w:rsidR="004A1C5F">
        <w:t xml:space="preserve"> opposed the making of the instrument. </w:t>
      </w:r>
    </w:p>
    <w:p w14:paraId="19CA6235" w14:textId="77777777" w:rsidR="005D1FEA" w:rsidRDefault="005D1FEA" w:rsidP="00CE541A">
      <w:pPr>
        <w:pStyle w:val="LI-BodyTextNumbered"/>
        <w:ind w:hanging="1134"/>
        <w:rPr>
          <w:b/>
        </w:rPr>
      </w:pPr>
      <w:r>
        <w:rPr>
          <w:b/>
        </w:rPr>
        <w:t>Operation of the instrument</w:t>
      </w:r>
    </w:p>
    <w:p w14:paraId="0E1DBCF3" w14:textId="044BA574" w:rsidR="00B07C22" w:rsidRDefault="00F8375D" w:rsidP="00CF4447">
      <w:pPr>
        <w:pStyle w:val="LI-BodyTextParaa"/>
        <w:numPr>
          <w:ilvl w:val="0"/>
          <w:numId w:val="15"/>
        </w:numPr>
        <w:ind w:left="567" w:hanging="567"/>
      </w:pPr>
      <w:r w:rsidRPr="00B07C22">
        <w:t xml:space="preserve">The instrument modifies the </w:t>
      </w:r>
      <w:r w:rsidR="005318E0" w:rsidRPr="00B07C22">
        <w:t>‘</w:t>
      </w:r>
      <w:r w:rsidRPr="00B07C22">
        <w:t>core obligation</w:t>
      </w:r>
      <w:r w:rsidR="005318E0" w:rsidRPr="00B07C22">
        <w:t>’</w:t>
      </w:r>
      <w:r w:rsidRPr="00B07C22">
        <w:t xml:space="preserve"> </w:t>
      </w:r>
      <w:r w:rsidR="009E628B">
        <w:t>set out</w:t>
      </w:r>
      <w:r w:rsidR="006E7709" w:rsidRPr="00B07C22">
        <w:t xml:space="preserve"> </w:t>
      </w:r>
      <w:r w:rsidRPr="00B07C22">
        <w:t xml:space="preserve">in paragraph 50A(3)(c) of the Credit </w:t>
      </w:r>
      <w:r w:rsidR="007703D4">
        <w:t xml:space="preserve">Act to </w:t>
      </w:r>
      <w:r w:rsidR="00593ED8">
        <w:t xml:space="preserve">limit the scope of that obligation to </w:t>
      </w:r>
      <w:r w:rsidR="00627AAB">
        <w:t>the following</w:t>
      </w:r>
      <w:r w:rsidR="007703D4">
        <w:t xml:space="preserve"> Commonwealth legislation</w:t>
      </w:r>
      <w:r w:rsidR="00627AAB">
        <w:t xml:space="preserve">: </w:t>
      </w:r>
    </w:p>
    <w:p w14:paraId="5DEACF6B" w14:textId="77777777" w:rsidR="00627AAB" w:rsidRDefault="00627AAB" w:rsidP="006A055C">
      <w:pPr>
        <w:pStyle w:val="LI-BodyTextParaa"/>
        <w:numPr>
          <w:ilvl w:val="1"/>
          <w:numId w:val="15"/>
        </w:numPr>
        <w:ind w:left="993" w:hanging="426"/>
      </w:pPr>
      <w:r w:rsidRPr="00494701">
        <w:rPr>
          <w:i/>
          <w:iCs/>
        </w:rPr>
        <w:t xml:space="preserve">Banking Act </w:t>
      </w:r>
      <w:proofErr w:type="gramStart"/>
      <w:r w:rsidRPr="00494701">
        <w:rPr>
          <w:i/>
          <w:iCs/>
        </w:rPr>
        <w:t>1959</w:t>
      </w:r>
      <w:r>
        <w:t>;</w:t>
      </w:r>
      <w:proofErr w:type="gramEnd"/>
    </w:p>
    <w:p w14:paraId="14242DB1" w14:textId="77777777" w:rsidR="00627AAB" w:rsidRDefault="00627AAB" w:rsidP="006A055C">
      <w:pPr>
        <w:pStyle w:val="LI-BodyTextParaa"/>
        <w:numPr>
          <w:ilvl w:val="1"/>
          <w:numId w:val="15"/>
        </w:numPr>
        <w:ind w:left="993" w:hanging="426"/>
      </w:pPr>
      <w:r w:rsidRPr="00494701">
        <w:rPr>
          <w:i/>
          <w:iCs/>
        </w:rPr>
        <w:t xml:space="preserve">Corporations Act </w:t>
      </w:r>
      <w:proofErr w:type="gramStart"/>
      <w:r w:rsidRPr="00494701">
        <w:rPr>
          <w:i/>
          <w:iCs/>
        </w:rPr>
        <w:t>2001</w:t>
      </w:r>
      <w:r>
        <w:t>;</w:t>
      </w:r>
      <w:proofErr w:type="gramEnd"/>
    </w:p>
    <w:p w14:paraId="4AF98F68" w14:textId="77777777" w:rsidR="00627AAB" w:rsidRDefault="00627AAB" w:rsidP="006A055C">
      <w:pPr>
        <w:pStyle w:val="LI-BodyTextParaa"/>
        <w:numPr>
          <w:ilvl w:val="1"/>
          <w:numId w:val="15"/>
        </w:numPr>
        <w:ind w:left="993" w:hanging="426"/>
      </w:pPr>
      <w:r w:rsidRPr="00494701">
        <w:rPr>
          <w:i/>
          <w:iCs/>
        </w:rPr>
        <w:t xml:space="preserve">Financial Sector (Collection of Data) Act </w:t>
      </w:r>
      <w:proofErr w:type="gramStart"/>
      <w:r w:rsidRPr="00494701">
        <w:rPr>
          <w:i/>
          <w:iCs/>
        </w:rPr>
        <w:t>2001</w:t>
      </w:r>
      <w:r>
        <w:t>;</w:t>
      </w:r>
      <w:proofErr w:type="gramEnd"/>
      <w:r>
        <w:t xml:space="preserve"> </w:t>
      </w:r>
    </w:p>
    <w:p w14:paraId="62FF53C8" w14:textId="77777777" w:rsidR="00627AAB" w:rsidRDefault="00627AAB" w:rsidP="006A055C">
      <w:pPr>
        <w:pStyle w:val="LI-BodyTextParaa"/>
        <w:numPr>
          <w:ilvl w:val="1"/>
          <w:numId w:val="15"/>
        </w:numPr>
        <w:ind w:left="993" w:hanging="426"/>
      </w:pPr>
      <w:r w:rsidRPr="00494701">
        <w:rPr>
          <w:i/>
          <w:iCs/>
        </w:rPr>
        <w:t>Financial Sector (Shareholdings) Act 1998</w:t>
      </w:r>
      <w:r>
        <w:t>; and</w:t>
      </w:r>
    </w:p>
    <w:p w14:paraId="10B50EC4" w14:textId="7F4BB66C" w:rsidR="00627AAB" w:rsidRPr="00B07C22" w:rsidRDefault="00A57128" w:rsidP="006A055C">
      <w:pPr>
        <w:pStyle w:val="LI-BodyTextParaa"/>
        <w:numPr>
          <w:ilvl w:val="1"/>
          <w:numId w:val="15"/>
        </w:numPr>
        <w:ind w:left="993" w:hanging="426"/>
      </w:pPr>
      <w:r w:rsidRPr="00A57128">
        <w:rPr>
          <w:i/>
          <w:iCs/>
        </w:rPr>
        <w:t>Financial Sector (Transfer and Restructure) Act 1999</w:t>
      </w:r>
      <w:r w:rsidR="00627AAB">
        <w:t>.</w:t>
      </w:r>
    </w:p>
    <w:p w14:paraId="6B0B97C0" w14:textId="4954CC5E" w:rsidR="00362F86" w:rsidRDefault="005A3B87" w:rsidP="002E31D3">
      <w:pPr>
        <w:pStyle w:val="LI-BodyTextParaa"/>
        <w:numPr>
          <w:ilvl w:val="0"/>
          <w:numId w:val="15"/>
        </w:numPr>
        <w:ind w:left="567" w:hanging="567"/>
      </w:pPr>
      <w:r>
        <w:t>As a result,</w:t>
      </w:r>
      <w:r w:rsidR="00105C98">
        <w:t xml:space="preserve"> </w:t>
      </w:r>
      <w:proofErr w:type="gramStart"/>
      <w:r>
        <w:t>breaches</w:t>
      </w:r>
      <w:proofErr w:type="gramEnd"/>
      <w:r>
        <w:t xml:space="preserve"> or likely breaches (or investigations in</w:t>
      </w:r>
      <w:r w:rsidR="00136F27">
        <w:t>to</w:t>
      </w:r>
      <w:r>
        <w:t xml:space="preserve"> breaches or likely breaches) of </w:t>
      </w:r>
      <w:r w:rsidR="00737148">
        <w:t>Commonwealth</w:t>
      </w:r>
      <w:r>
        <w:t xml:space="preserve"> legislation that </w:t>
      </w:r>
      <w:r w:rsidR="005E2205">
        <w:t>are</w:t>
      </w:r>
      <w:r w:rsidR="002E31D3">
        <w:t xml:space="preserve"> not</w:t>
      </w:r>
      <w:r>
        <w:t xml:space="preserve"> specifically </w:t>
      </w:r>
      <w:r w:rsidR="00405210">
        <w:t>referred to</w:t>
      </w:r>
      <w:r>
        <w:t xml:space="preserve"> in subsection 50A(3)</w:t>
      </w:r>
      <w:r w:rsidR="00BB4EF0">
        <w:t xml:space="preserve"> of the Credit Act</w:t>
      </w:r>
      <w:r w:rsidR="00362F86">
        <w:t xml:space="preserve"> </w:t>
      </w:r>
      <w:r w:rsidR="002E31D3">
        <w:t>will not give rise to a</w:t>
      </w:r>
      <w:r w:rsidR="00362F86">
        <w:t xml:space="preserve"> ‘reportable situation’ </w:t>
      </w:r>
      <w:r w:rsidR="003C68F5">
        <w:t>under</w:t>
      </w:r>
      <w:r w:rsidR="00362F86">
        <w:t xml:space="preserve"> subsection 50A(1)</w:t>
      </w:r>
      <w:r w:rsidR="00921E52">
        <w:t xml:space="preserve"> and</w:t>
      </w:r>
      <w:r w:rsidR="00C41991">
        <w:t xml:space="preserve">, </w:t>
      </w:r>
      <w:r w:rsidR="00915E11">
        <w:t>unless any of the situations in subsection 50A(2) apply</w:t>
      </w:r>
      <w:r w:rsidR="00C41991">
        <w:t xml:space="preserve">, </w:t>
      </w:r>
      <w:r w:rsidR="002E31D3">
        <w:t>will not</w:t>
      </w:r>
      <w:r w:rsidR="00915E11">
        <w:t xml:space="preserve"> </w:t>
      </w:r>
      <w:r w:rsidR="00362F86">
        <w:t>trigger</w:t>
      </w:r>
      <w:r w:rsidR="00525B2A">
        <w:t>:</w:t>
      </w:r>
    </w:p>
    <w:p w14:paraId="57694561" w14:textId="14E62D87" w:rsidR="00105C98" w:rsidRDefault="00932E82" w:rsidP="00362F86">
      <w:pPr>
        <w:pStyle w:val="LI-BodyTextParaa"/>
        <w:numPr>
          <w:ilvl w:val="1"/>
          <w:numId w:val="15"/>
        </w:numPr>
        <w:ind w:left="993" w:hanging="426"/>
      </w:pPr>
      <w:r>
        <w:t xml:space="preserve">the obligation to lodge a report with ASIC under sections 50B and </w:t>
      </w:r>
      <w:proofErr w:type="gramStart"/>
      <w:r>
        <w:t>50C;</w:t>
      </w:r>
      <w:proofErr w:type="gramEnd"/>
      <w:r>
        <w:t xml:space="preserve"> </w:t>
      </w:r>
    </w:p>
    <w:p w14:paraId="08BA32A4" w14:textId="58C88FF9" w:rsidR="00932E82" w:rsidRDefault="00525B2A" w:rsidP="00362F86">
      <w:pPr>
        <w:pStyle w:val="LI-BodyTextParaa"/>
        <w:numPr>
          <w:ilvl w:val="1"/>
          <w:numId w:val="15"/>
        </w:numPr>
        <w:ind w:left="993" w:hanging="426"/>
      </w:pPr>
      <w:r>
        <w:t>the obligation to notify</w:t>
      </w:r>
      <w:r w:rsidR="00955899">
        <w:t xml:space="preserve"> affected</w:t>
      </w:r>
      <w:r>
        <w:t xml:space="preserve"> consumers under section 51A; and</w:t>
      </w:r>
    </w:p>
    <w:p w14:paraId="7D6629DB" w14:textId="5F3579F6" w:rsidR="00525B2A" w:rsidRDefault="00525B2A" w:rsidP="00362F86">
      <w:pPr>
        <w:pStyle w:val="LI-BodyTextParaa"/>
        <w:numPr>
          <w:ilvl w:val="1"/>
          <w:numId w:val="15"/>
        </w:numPr>
        <w:ind w:left="993" w:hanging="426"/>
      </w:pPr>
      <w:r>
        <w:t xml:space="preserve">the obligation to investigate </w:t>
      </w:r>
      <w:r w:rsidR="00FA2D3E">
        <w:t xml:space="preserve">the situation </w:t>
      </w:r>
      <w:r>
        <w:t xml:space="preserve">under section 51B. </w:t>
      </w:r>
    </w:p>
    <w:p w14:paraId="4A1B4C56" w14:textId="263744B5" w:rsidR="00474B52" w:rsidRPr="00A36DC0" w:rsidRDefault="00B64A20" w:rsidP="00C54864">
      <w:pPr>
        <w:pStyle w:val="LI-BodyTextParaa"/>
        <w:numPr>
          <w:ilvl w:val="0"/>
          <w:numId w:val="15"/>
        </w:numPr>
        <w:ind w:left="567" w:hanging="567"/>
      </w:pPr>
      <w:r>
        <w:t xml:space="preserve">The instrument commences on the later of 1 October 2021 and the day after it is registered on the Federal Register of Legislation. </w:t>
      </w:r>
      <w:r w:rsidR="003A4D04">
        <w:t>This commencement date is intended to align with the commencement date of the breach reporting obligation in the Credit Act</w:t>
      </w:r>
      <w:r w:rsidR="00255C3D">
        <w:t xml:space="preserve"> </w:t>
      </w:r>
      <w:r w:rsidR="008D19CE">
        <w:t>o</w:t>
      </w:r>
      <w:r w:rsidR="006F1993">
        <w:t>f</w:t>
      </w:r>
      <w:r w:rsidR="008D19CE">
        <w:t xml:space="preserve"> 1 October 2021</w:t>
      </w:r>
      <w:r w:rsidR="00D919F1">
        <w:t xml:space="preserve">. </w:t>
      </w:r>
    </w:p>
    <w:p w14:paraId="0BF9DB09" w14:textId="77777777" w:rsidR="00C52E7C" w:rsidRPr="00C52E7C" w:rsidRDefault="00C52E7C" w:rsidP="00863657">
      <w:pPr>
        <w:pStyle w:val="LI-BodyTextParaa"/>
        <w:ind w:left="567"/>
        <w:rPr>
          <w:u w:val="single"/>
        </w:rPr>
      </w:pPr>
      <w:r>
        <w:rPr>
          <w:u w:val="single"/>
        </w:rPr>
        <w:t xml:space="preserve">Legislative instrument </w:t>
      </w:r>
      <w:r w:rsidR="00610709">
        <w:rPr>
          <w:u w:val="single"/>
        </w:rPr>
        <w:t xml:space="preserve">and </w:t>
      </w:r>
      <w:r>
        <w:rPr>
          <w:u w:val="single"/>
        </w:rPr>
        <w:t>p</w:t>
      </w:r>
      <w:r w:rsidRPr="00C52E7C">
        <w:rPr>
          <w:u w:val="single"/>
        </w:rPr>
        <w:t xml:space="preserve">rimary legislation  </w:t>
      </w:r>
    </w:p>
    <w:p w14:paraId="0B549767" w14:textId="3729B70B" w:rsidR="001E7E2B" w:rsidRDefault="00C52E7C" w:rsidP="000F7DA6">
      <w:pPr>
        <w:pStyle w:val="LI-BodyTextParaa"/>
        <w:numPr>
          <w:ilvl w:val="0"/>
          <w:numId w:val="15"/>
        </w:numPr>
        <w:ind w:left="567" w:hanging="567"/>
      </w:pPr>
      <w:r>
        <w:t xml:space="preserve">The </w:t>
      </w:r>
      <w:r w:rsidR="00ED796D">
        <w:t xml:space="preserve">subject matter and </w:t>
      </w:r>
      <w:r>
        <w:t xml:space="preserve">policy implemented by this instrument is more appropriate for </w:t>
      </w:r>
      <w:r w:rsidR="00ED796D">
        <w:t>a legislative instrument rather than primary legislation because</w:t>
      </w:r>
      <w:r w:rsidR="002F1A0D">
        <w:t xml:space="preserve"> the matters contained in the instrument are</w:t>
      </w:r>
      <w:r w:rsidR="00ED796D">
        <w:t>:</w:t>
      </w:r>
    </w:p>
    <w:p w14:paraId="474C89C4" w14:textId="565FF49D" w:rsidR="00357ED6" w:rsidRDefault="002F1A0D" w:rsidP="000F7DA6">
      <w:pPr>
        <w:pStyle w:val="LI-BodyTextParaa"/>
        <w:numPr>
          <w:ilvl w:val="1"/>
          <w:numId w:val="20"/>
        </w:numPr>
        <w:ind w:left="1134" w:hanging="567"/>
      </w:pPr>
      <w:r>
        <w:t xml:space="preserve">a specific amendment designed to ensure that the application of primary legislation applies in a way consistent with the intended policy and enabling provisions in the primary legislation; and </w:t>
      </w:r>
    </w:p>
    <w:p w14:paraId="70B74041" w14:textId="37A425D7" w:rsidR="00C52E7C" w:rsidRPr="00C52E7C" w:rsidRDefault="00A77235" w:rsidP="000F7DA6">
      <w:pPr>
        <w:pStyle w:val="LI-BodyTextParaa"/>
        <w:numPr>
          <w:ilvl w:val="1"/>
          <w:numId w:val="20"/>
        </w:numPr>
        <w:ind w:left="1134" w:hanging="567"/>
      </w:pPr>
      <w:r>
        <w:t xml:space="preserve">made on an interim basis </w:t>
      </w:r>
      <w:r w:rsidR="00517301">
        <w:t xml:space="preserve">ahead of </w:t>
      </w:r>
      <w:r w:rsidR="00347ABB">
        <w:t>the Government making the necessary legislative changes in the primary legislation</w:t>
      </w:r>
      <w:r w:rsidR="002A4D4E">
        <w:t xml:space="preserve"> to give effect to the intended policy in the primary legislation</w:t>
      </w:r>
      <w:r w:rsidR="00947684">
        <w:t xml:space="preserve">. </w:t>
      </w:r>
    </w:p>
    <w:bookmarkEnd w:id="6"/>
    <w:p w14:paraId="4128E4F1" w14:textId="77777777" w:rsidR="00F03BB5" w:rsidRDefault="00474B52" w:rsidP="009A3F74">
      <w:pPr>
        <w:pStyle w:val="LI-BodyTextParaa"/>
        <w:ind w:left="0" w:firstLine="0"/>
        <w:rPr>
          <w:b/>
        </w:rPr>
      </w:pPr>
      <w:r>
        <w:rPr>
          <w:b/>
        </w:rPr>
        <w:lastRenderedPageBreak/>
        <w:t>Legislative authority</w:t>
      </w:r>
    </w:p>
    <w:p w14:paraId="42AD6CCA" w14:textId="6F5B657C" w:rsidR="003314C9" w:rsidRDefault="003314C9" w:rsidP="00354D66">
      <w:pPr>
        <w:pStyle w:val="LI-BodyTextParaa"/>
        <w:numPr>
          <w:ilvl w:val="0"/>
          <w:numId w:val="15"/>
        </w:numPr>
        <w:ind w:left="567" w:hanging="567"/>
      </w:pPr>
      <w:r>
        <w:t>The instrument is made under subsection 109(3) of the Credit Act.</w:t>
      </w:r>
    </w:p>
    <w:p w14:paraId="74FF00A6" w14:textId="5C1280C8" w:rsidR="003314C9" w:rsidRDefault="003314C9" w:rsidP="00354D66">
      <w:pPr>
        <w:pStyle w:val="LI-BodyTextParaa"/>
        <w:numPr>
          <w:ilvl w:val="0"/>
          <w:numId w:val="15"/>
        </w:numPr>
        <w:ind w:left="567" w:hanging="567"/>
      </w:pPr>
      <w:r>
        <w:t xml:space="preserve">The instrument is a disallowable instrument under the </w:t>
      </w:r>
      <w:r>
        <w:rPr>
          <w:i/>
          <w:iCs/>
        </w:rPr>
        <w:t>Legislation Act 2003.</w:t>
      </w:r>
    </w:p>
    <w:p w14:paraId="01C47DED" w14:textId="77777777" w:rsidR="00EA17A6" w:rsidRPr="00EA17A6" w:rsidRDefault="00EA17A6" w:rsidP="00435EEF">
      <w:pPr>
        <w:pStyle w:val="LI-BodyTextParaa"/>
        <w:ind w:left="567"/>
        <w:rPr>
          <w:b/>
        </w:rPr>
      </w:pPr>
      <w:r w:rsidRPr="00EA17A6">
        <w:rPr>
          <w:b/>
        </w:rPr>
        <w:t xml:space="preserve">Statement of Compatibility with Human Rights  </w:t>
      </w:r>
    </w:p>
    <w:p w14:paraId="6A1FB15B" w14:textId="76D0AA71" w:rsidR="00223DCF" w:rsidRPr="00EA17A6" w:rsidRDefault="00223DCF" w:rsidP="00354D66">
      <w:pPr>
        <w:pStyle w:val="LI-BodyTextParaa"/>
        <w:numPr>
          <w:ilvl w:val="0"/>
          <w:numId w:val="15"/>
        </w:numPr>
        <w:ind w:left="567"/>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5CE3DC1B"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2C7FE5CE"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419FDC30" w14:textId="77777777" w:rsidR="00AE787B" w:rsidRPr="00EA17A6" w:rsidRDefault="00AE787B" w:rsidP="00223DCF">
      <w:pPr>
        <w:pStyle w:val="LI-BodyTextNumbered"/>
        <w:ind w:left="0" w:firstLine="0"/>
        <w:rPr>
          <w:iCs/>
        </w:rPr>
      </w:pPr>
      <w:bookmarkStart w:id="7" w:name="_Hlk534286677"/>
    </w:p>
    <w:p w14:paraId="2CCEFACD"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8" w:name="_Hlk4054932"/>
      <w:r w:rsidRPr="00EA17A6">
        <w:rPr>
          <w:iCs/>
        </w:rPr>
        <w:t xml:space="preserve">the </w:t>
      </w:r>
      <w:r w:rsidRPr="00EA17A6">
        <w:rPr>
          <w:i/>
          <w:iCs/>
        </w:rPr>
        <w:t>Human Rights (Parliamentary Scrutiny) Act 2011</w:t>
      </w:r>
      <w:bookmarkEnd w:id="8"/>
      <w:r w:rsidRPr="00EA17A6">
        <w:rPr>
          <w:iCs/>
        </w:rPr>
        <w:t xml:space="preserve">.   </w:t>
      </w:r>
    </w:p>
    <w:p w14:paraId="727354DA" w14:textId="7FCD7E38" w:rsidR="00283AA7" w:rsidRDefault="00283AA7" w:rsidP="00392E1B">
      <w:pPr>
        <w:pStyle w:val="LI-BodyTextNumbered"/>
        <w:ind w:left="0" w:firstLine="0"/>
        <w:rPr>
          <w:b/>
          <w:i/>
        </w:rPr>
      </w:pPr>
      <w:r w:rsidRPr="00283AA7">
        <w:rPr>
          <w:b/>
          <w:i/>
        </w:rPr>
        <w:t>ASIC Credit (Breach Reporting—</w:t>
      </w:r>
      <w:r w:rsidR="00411780" w:rsidRPr="00411780">
        <w:t xml:space="preserve"> </w:t>
      </w:r>
      <w:r w:rsidR="00411780" w:rsidRPr="00411780">
        <w:rPr>
          <w:b/>
          <w:i/>
        </w:rPr>
        <w:t>Prescribed Commonwealth Legislation</w:t>
      </w:r>
      <w:r w:rsidRPr="00283AA7">
        <w:rPr>
          <w:b/>
          <w:i/>
        </w:rPr>
        <w:t>) Instrument 2021/</w:t>
      </w:r>
      <w:r w:rsidR="002A0DF7">
        <w:rPr>
          <w:b/>
          <w:i/>
        </w:rPr>
        <w:t>801</w:t>
      </w:r>
    </w:p>
    <w:p w14:paraId="70CA8F7A" w14:textId="26B46AD6" w:rsidR="00223DCF" w:rsidRPr="00EA17A6" w:rsidRDefault="00223DCF" w:rsidP="001872DC">
      <w:pPr>
        <w:pStyle w:val="LI-BodyTextNumbered"/>
        <w:ind w:left="567"/>
        <w:rPr>
          <w:u w:val="single"/>
        </w:rPr>
      </w:pPr>
      <w:r w:rsidRPr="00EA17A6">
        <w:rPr>
          <w:u w:val="single"/>
        </w:rPr>
        <w:t>Overview</w:t>
      </w:r>
    </w:p>
    <w:p w14:paraId="25EF4185" w14:textId="626C8571" w:rsidR="00CB2D96" w:rsidRPr="00EA17A6" w:rsidRDefault="00CB2D96" w:rsidP="00CB2D96">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2272F2" w:rsidRPr="00313970">
        <w:rPr>
          <w:rFonts w:eastAsia="Times New Roman"/>
          <w:sz w:val="24"/>
          <w:szCs w:val="24"/>
          <w:lang w:eastAsia="en-AU"/>
        </w:rPr>
        <w:t xml:space="preserve">The instrument provides temporary relief </w:t>
      </w:r>
      <w:r w:rsidR="001819A0" w:rsidRPr="00313970">
        <w:rPr>
          <w:rFonts w:eastAsia="Times New Roman"/>
          <w:sz w:val="24"/>
          <w:szCs w:val="24"/>
          <w:lang w:eastAsia="en-AU"/>
        </w:rPr>
        <w:t>to</w:t>
      </w:r>
      <w:r w:rsidR="002272F2" w:rsidRPr="00313970">
        <w:rPr>
          <w:rFonts w:eastAsia="Times New Roman"/>
          <w:sz w:val="24"/>
          <w:szCs w:val="24"/>
          <w:lang w:eastAsia="en-AU"/>
        </w:rPr>
        <w:t xml:space="preserve"> limit the Commonwealth legislation in relation to which the breach reporting obligation in the </w:t>
      </w:r>
      <w:r w:rsidR="008F10D9" w:rsidRPr="008F10D9">
        <w:rPr>
          <w:rFonts w:eastAsia="Times New Roman"/>
          <w:i/>
          <w:iCs/>
          <w:sz w:val="24"/>
          <w:szCs w:val="24"/>
          <w:lang w:eastAsia="en-AU"/>
        </w:rPr>
        <w:t>National Consumer Credit Protection Act 2009</w:t>
      </w:r>
      <w:r w:rsidR="002272F2" w:rsidRPr="00313970">
        <w:rPr>
          <w:rFonts w:eastAsia="Times New Roman"/>
          <w:sz w:val="24"/>
          <w:szCs w:val="24"/>
          <w:lang w:eastAsia="en-AU"/>
        </w:rPr>
        <w:t xml:space="preserve"> applies</w:t>
      </w:r>
      <w:r w:rsidR="001819A0" w:rsidRPr="00313970">
        <w:rPr>
          <w:rFonts w:eastAsia="Times New Roman"/>
          <w:sz w:val="24"/>
          <w:szCs w:val="24"/>
          <w:lang w:eastAsia="en-AU"/>
        </w:rPr>
        <w:t>.</w:t>
      </w:r>
    </w:p>
    <w:p w14:paraId="66B14B14" w14:textId="77777777" w:rsidR="001872DC" w:rsidRPr="00EA17A6" w:rsidRDefault="001872DC" w:rsidP="001872DC">
      <w:pPr>
        <w:pStyle w:val="LI-BodyTextNumbered"/>
        <w:ind w:left="567"/>
        <w:rPr>
          <w:u w:val="single"/>
        </w:rPr>
      </w:pPr>
      <w:bookmarkStart w:id="9" w:name="_Hlk534286807"/>
      <w:bookmarkEnd w:id="7"/>
      <w:r w:rsidRPr="00EA17A6">
        <w:rPr>
          <w:u w:val="single"/>
        </w:rPr>
        <w:t>Assessment of human rights implications</w:t>
      </w:r>
    </w:p>
    <w:p w14:paraId="3A9A2E36" w14:textId="290912C2" w:rsidR="00946759" w:rsidRPr="00EA17A6" w:rsidRDefault="00CB2D96" w:rsidP="00D306F8">
      <w:pPr>
        <w:pStyle w:val="LI-BodyTextNumbered"/>
        <w:ind w:left="567"/>
      </w:pPr>
      <w:r w:rsidRPr="00EA17A6">
        <w:t>2</w:t>
      </w:r>
      <w:r w:rsidR="001872DC" w:rsidRPr="00EA17A6">
        <w:t>.</w:t>
      </w:r>
      <w:r w:rsidR="001872DC" w:rsidRPr="00EA17A6">
        <w:tab/>
      </w:r>
      <w:bookmarkEnd w:id="9"/>
      <w:r w:rsidR="001872DC" w:rsidRPr="00EA17A6">
        <w:t xml:space="preserve">This instrument </w:t>
      </w:r>
      <w:r w:rsidR="00D306F8" w:rsidRPr="00EA17A6">
        <w:t>does not engage any of the applicable rights or freedoms</w:t>
      </w:r>
      <w:r w:rsidR="00550ACF">
        <w:t>.</w:t>
      </w:r>
    </w:p>
    <w:p w14:paraId="47EB8F54" w14:textId="77777777" w:rsidR="00CB2D96" w:rsidRPr="00EA17A6" w:rsidRDefault="00CB2D96" w:rsidP="00D306F8">
      <w:pPr>
        <w:pStyle w:val="LI-BodyTextNumbered"/>
        <w:ind w:left="567"/>
        <w:rPr>
          <w:u w:val="single"/>
        </w:rPr>
      </w:pPr>
      <w:r w:rsidRPr="00EA17A6">
        <w:rPr>
          <w:u w:val="single"/>
        </w:rPr>
        <w:t>Conclusion</w:t>
      </w:r>
    </w:p>
    <w:p w14:paraId="32E66ED2" w14:textId="77777777" w:rsidR="00CB2D96" w:rsidRPr="00EA17A6" w:rsidRDefault="00CB2D96" w:rsidP="00CB2D96">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4D3637F1" w14:textId="77777777" w:rsidR="00CB2D96" w:rsidRPr="00EA17A6" w:rsidRDefault="00CB2D96" w:rsidP="00D306F8">
      <w:pPr>
        <w:pStyle w:val="LI-BodyTextNumbered"/>
        <w:ind w:left="567"/>
      </w:pPr>
    </w:p>
    <w:sectPr w:rsidR="00CB2D96" w:rsidRPr="00EA17A6" w:rsidSect="00863657">
      <w:headerReference w:type="even" r:id="rId14"/>
      <w:headerReference w:type="default" r:id="rId15"/>
      <w:footerReference w:type="default" r:id="rId16"/>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070B6" w14:textId="77777777" w:rsidR="0098540D" w:rsidRDefault="0098540D" w:rsidP="00715914">
      <w:pPr>
        <w:spacing w:line="240" w:lineRule="auto"/>
      </w:pPr>
      <w:r>
        <w:separator/>
      </w:r>
    </w:p>
  </w:endnote>
  <w:endnote w:type="continuationSeparator" w:id="0">
    <w:p w14:paraId="5AB20B65" w14:textId="77777777" w:rsidR="0098540D" w:rsidRDefault="0098540D" w:rsidP="00715914">
      <w:pPr>
        <w:spacing w:line="240" w:lineRule="auto"/>
      </w:pPr>
      <w:r>
        <w:continuationSeparator/>
      </w:r>
    </w:p>
  </w:endnote>
  <w:endnote w:type="continuationNotice" w:id="1">
    <w:p w14:paraId="7C381890" w14:textId="77777777" w:rsidR="0098540D" w:rsidRDefault="009854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78B0" w14:textId="77777777" w:rsidR="0098540D" w:rsidRDefault="0098540D">
    <w:pPr>
      <w:pStyle w:val="Footer"/>
      <w:jc w:val="center"/>
    </w:pPr>
    <w:r>
      <w:fldChar w:fldCharType="begin"/>
    </w:r>
    <w:r>
      <w:instrText xml:space="preserve"> PAGE   \* MERGEFORMAT </w:instrText>
    </w:r>
    <w:r>
      <w:fldChar w:fldCharType="separate"/>
    </w:r>
    <w:r>
      <w:rPr>
        <w:noProof/>
      </w:rPr>
      <w:t>2</w:t>
    </w:r>
    <w:r>
      <w:rPr>
        <w:noProof/>
      </w:rPr>
      <w:fldChar w:fldCharType="end"/>
    </w:r>
  </w:p>
  <w:p w14:paraId="2B80AB44" w14:textId="77777777" w:rsidR="0098540D" w:rsidRDefault="0098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D497B" w14:textId="77777777" w:rsidR="0098540D" w:rsidRDefault="0098540D" w:rsidP="00715914">
      <w:pPr>
        <w:spacing w:line="240" w:lineRule="auto"/>
      </w:pPr>
      <w:r>
        <w:separator/>
      </w:r>
    </w:p>
  </w:footnote>
  <w:footnote w:type="continuationSeparator" w:id="0">
    <w:p w14:paraId="43514465" w14:textId="77777777" w:rsidR="0098540D" w:rsidRDefault="0098540D" w:rsidP="00715914">
      <w:pPr>
        <w:spacing w:line="240" w:lineRule="auto"/>
      </w:pPr>
      <w:r>
        <w:continuationSeparator/>
      </w:r>
    </w:p>
  </w:footnote>
  <w:footnote w:type="continuationNotice" w:id="1">
    <w:p w14:paraId="32BBB750" w14:textId="77777777" w:rsidR="0098540D" w:rsidRDefault="009854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C6E5" w14:textId="77777777" w:rsidR="0098540D" w:rsidRPr="00243EC0" w:rsidRDefault="0098540D"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98540D" w:rsidRPr="00E40FF8" w14:paraId="6DEF0071" w14:textId="77777777" w:rsidTr="001E77ED">
      <w:tc>
        <w:tcPr>
          <w:tcW w:w="4253" w:type="dxa"/>
          <w:shd w:val="clear" w:color="auto" w:fill="auto"/>
        </w:tcPr>
        <w:p w14:paraId="74DBB930" w14:textId="77777777" w:rsidR="0098540D" w:rsidRDefault="0098540D" w:rsidP="00E40FF8">
          <w:pPr>
            <w:pStyle w:val="LI-Header"/>
            <w:pBdr>
              <w:bottom w:val="none" w:sz="0" w:space="0" w:color="auto"/>
            </w:pBdr>
            <w:jc w:val="left"/>
          </w:pPr>
        </w:p>
      </w:tc>
      <w:tc>
        <w:tcPr>
          <w:tcW w:w="4060" w:type="dxa"/>
          <w:shd w:val="clear" w:color="auto" w:fill="auto"/>
        </w:tcPr>
        <w:p w14:paraId="2C5C59D5" w14:textId="77777777" w:rsidR="0098540D" w:rsidRDefault="0098540D" w:rsidP="00F03BB5">
          <w:pPr>
            <w:pStyle w:val="LI-BodyTextNumbered"/>
          </w:pPr>
        </w:p>
      </w:tc>
    </w:tr>
  </w:tbl>
  <w:p w14:paraId="04F0D482" w14:textId="77777777" w:rsidR="0098540D" w:rsidRPr="00F4215A" w:rsidRDefault="0098540D"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A3EF9"/>
    <w:multiLevelType w:val="hybridMultilevel"/>
    <w:tmpl w:val="407C602A"/>
    <w:lvl w:ilvl="0" w:tplc="210E837A">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8B2CCA"/>
    <w:multiLevelType w:val="hybridMultilevel"/>
    <w:tmpl w:val="B0D2E91A"/>
    <w:lvl w:ilvl="0" w:tplc="E6D056FE">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816408"/>
    <w:multiLevelType w:val="hybridMultilevel"/>
    <w:tmpl w:val="BC4E6CB6"/>
    <w:lvl w:ilvl="0" w:tplc="210E837A">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14119F"/>
    <w:multiLevelType w:val="hybridMultilevel"/>
    <w:tmpl w:val="57FE4284"/>
    <w:lvl w:ilvl="0" w:tplc="E6D056FE">
      <w:start w:val="1"/>
      <w:numFmt w:val="decimal"/>
      <w:lvlText w:val="%1."/>
      <w:lvlJc w:val="left"/>
      <w:pPr>
        <w:ind w:left="924" w:hanging="564"/>
      </w:pPr>
      <w:rPr>
        <w:rFonts w:hint="default"/>
      </w:rPr>
    </w:lvl>
    <w:lvl w:ilvl="1" w:tplc="B3E4A11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694FDF"/>
    <w:multiLevelType w:val="hybridMultilevel"/>
    <w:tmpl w:val="DF381554"/>
    <w:lvl w:ilvl="0" w:tplc="B3E4A11E">
      <w:start w:val="1"/>
      <w:numFmt w:val="lowerLetter"/>
      <w:lvlText w:val="(%1)"/>
      <w:lvlJc w:val="left"/>
      <w:pPr>
        <w:ind w:left="1287" w:hanging="360"/>
      </w:pPr>
      <w:rPr>
        <w:rFonts w:hint="default"/>
      </w:rPr>
    </w:lvl>
    <w:lvl w:ilvl="1" w:tplc="B3E4A11E">
      <w:start w:val="1"/>
      <w:numFmt w:val="lowerLetter"/>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30862F94"/>
    <w:multiLevelType w:val="hybridMultilevel"/>
    <w:tmpl w:val="6DB06DDA"/>
    <w:lvl w:ilvl="0" w:tplc="D2ACC30C">
      <w:start w:val="1"/>
      <w:numFmt w:val="decimal"/>
      <w:lvlText w:val="%1."/>
      <w:lvlJc w:val="left"/>
      <w:pPr>
        <w:ind w:left="924" w:hanging="564"/>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B05ACB"/>
    <w:multiLevelType w:val="hybridMultilevel"/>
    <w:tmpl w:val="BE6A8C64"/>
    <w:lvl w:ilvl="0" w:tplc="E6D056FE">
      <w:start w:val="1"/>
      <w:numFmt w:val="decimal"/>
      <w:lvlText w:val="%1."/>
      <w:lvlJc w:val="left"/>
      <w:pPr>
        <w:ind w:left="924" w:hanging="564"/>
      </w:pPr>
      <w:rPr>
        <w:rFonts w:hint="default"/>
      </w:rPr>
    </w:lvl>
    <w:lvl w:ilvl="1" w:tplc="B3E4A11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E07CE8"/>
    <w:multiLevelType w:val="hybridMultilevel"/>
    <w:tmpl w:val="27404BD8"/>
    <w:lvl w:ilvl="0" w:tplc="B3E4A11E">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745233F9"/>
    <w:multiLevelType w:val="hybridMultilevel"/>
    <w:tmpl w:val="0B90EA78"/>
    <w:lvl w:ilvl="0" w:tplc="E6D056FE">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113381"/>
    <w:multiLevelType w:val="hybridMultilevel"/>
    <w:tmpl w:val="33C0C654"/>
    <w:lvl w:ilvl="0" w:tplc="E6D056FE">
      <w:start w:val="1"/>
      <w:numFmt w:val="decimal"/>
      <w:lvlText w:val="%1."/>
      <w:lvlJc w:val="left"/>
      <w:pPr>
        <w:ind w:left="924" w:hanging="564"/>
      </w:pPr>
      <w:rPr>
        <w:rFonts w:hint="default"/>
      </w:rPr>
    </w:lvl>
    <w:lvl w:ilvl="1" w:tplc="B3E4A11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9"/>
  </w:num>
  <w:num w:numId="15">
    <w:abstractNumId w:val="23"/>
  </w:num>
  <w:num w:numId="16">
    <w:abstractNumId w:val="13"/>
  </w:num>
  <w:num w:numId="17">
    <w:abstractNumId w:val="15"/>
  </w:num>
  <w:num w:numId="18">
    <w:abstractNumId w:val="14"/>
  </w:num>
  <w:num w:numId="19">
    <w:abstractNumId w:val="21"/>
  </w:num>
  <w:num w:numId="20">
    <w:abstractNumId w:val="16"/>
  </w:num>
  <w:num w:numId="21">
    <w:abstractNumId w:val="17"/>
  </w:num>
  <w:num w:numId="22">
    <w:abstractNumId w:val="10"/>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7368"/>
    <w:rsid w:val="000077C0"/>
    <w:rsid w:val="000136AF"/>
    <w:rsid w:val="00013B8D"/>
    <w:rsid w:val="00014C5A"/>
    <w:rsid w:val="00014F05"/>
    <w:rsid w:val="00015719"/>
    <w:rsid w:val="00020CB2"/>
    <w:rsid w:val="00021E1E"/>
    <w:rsid w:val="00023D53"/>
    <w:rsid w:val="00027DD6"/>
    <w:rsid w:val="00032440"/>
    <w:rsid w:val="000437C1"/>
    <w:rsid w:val="00050AC0"/>
    <w:rsid w:val="0005365D"/>
    <w:rsid w:val="000614BF"/>
    <w:rsid w:val="0006250C"/>
    <w:rsid w:val="000711AC"/>
    <w:rsid w:val="000774AF"/>
    <w:rsid w:val="00081794"/>
    <w:rsid w:val="00084FF4"/>
    <w:rsid w:val="00090C79"/>
    <w:rsid w:val="000930F3"/>
    <w:rsid w:val="000943CE"/>
    <w:rsid w:val="000A142F"/>
    <w:rsid w:val="000A4A0C"/>
    <w:rsid w:val="000A6C39"/>
    <w:rsid w:val="000B58FA"/>
    <w:rsid w:val="000B6427"/>
    <w:rsid w:val="000C55A0"/>
    <w:rsid w:val="000D041F"/>
    <w:rsid w:val="000D05EF"/>
    <w:rsid w:val="000D745D"/>
    <w:rsid w:val="000E2261"/>
    <w:rsid w:val="000E3C2E"/>
    <w:rsid w:val="000F18D2"/>
    <w:rsid w:val="000F21C1"/>
    <w:rsid w:val="000F7DA6"/>
    <w:rsid w:val="00102CA6"/>
    <w:rsid w:val="00105C98"/>
    <w:rsid w:val="0010745C"/>
    <w:rsid w:val="001206FE"/>
    <w:rsid w:val="00120DB5"/>
    <w:rsid w:val="00120F3C"/>
    <w:rsid w:val="001239F2"/>
    <w:rsid w:val="00125141"/>
    <w:rsid w:val="001273F2"/>
    <w:rsid w:val="00132CEB"/>
    <w:rsid w:val="00136F27"/>
    <w:rsid w:val="001373E7"/>
    <w:rsid w:val="00142B62"/>
    <w:rsid w:val="00145155"/>
    <w:rsid w:val="00153B32"/>
    <w:rsid w:val="00157B8B"/>
    <w:rsid w:val="001624E1"/>
    <w:rsid w:val="00163E3D"/>
    <w:rsid w:val="001655B4"/>
    <w:rsid w:val="00166791"/>
    <w:rsid w:val="00166C2F"/>
    <w:rsid w:val="001671EA"/>
    <w:rsid w:val="00171A6E"/>
    <w:rsid w:val="001725B3"/>
    <w:rsid w:val="001760D4"/>
    <w:rsid w:val="0018048F"/>
    <w:rsid w:val="001809D7"/>
    <w:rsid w:val="00180AEB"/>
    <w:rsid w:val="001819A0"/>
    <w:rsid w:val="0018659E"/>
    <w:rsid w:val="001872DC"/>
    <w:rsid w:val="001939E1"/>
    <w:rsid w:val="00194C3E"/>
    <w:rsid w:val="00194EB9"/>
    <w:rsid w:val="00195382"/>
    <w:rsid w:val="00195BD4"/>
    <w:rsid w:val="00196294"/>
    <w:rsid w:val="001A5ED9"/>
    <w:rsid w:val="001A6C9F"/>
    <w:rsid w:val="001B15B8"/>
    <w:rsid w:val="001B2CEC"/>
    <w:rsid w:val="001B38BA"/>
    <w:rsid w:val="001B6723"/>
    <w:rsid w:val="001B7D94"/>
    <w:rsid w:val="001C5932"/>
    <w:rsid w:val="001C61C5"/>
    <w:rsid w:val="001C69C4"/>
    <w:rsid w:val="001D37EF"/>
    <w:rsid w:val="001D64E0"/>
    <w:rsid w:val="001E3590"/>
    <w:rsid w:val="001E7407"/>
    <w:rsid w:val="001E77ED"/>
    <w:rsid w:val="001E7E2B"/>
    <w:rsid w:val="001F02B1"/>
    <w:rsid w:val="001F5D5E"/>
    <w:rsid w:val="001F6219"/>
    <w:rsid w:val="001F6CD4"/>
    <w:rsid w:val="00206C4D"/>
    <w:rsid w:val="00207194"/>
    <w:rsid w:val="0021053C"/>
    <w:rsid w:val="00215AF1"/>
    <w:rsid w:val="00220A36"/>
    <w:rsid w:val="00221C43"/>
    <w:rsid w:val="00223DCF"/>
    <w:rsid w:val="00224E1D"/>
    <w:rsid w:val="00225300"/>
    <w:rsid w:val="002272F2"/>
    <w:rsid w:val="00227821"/>
    <w:rsid w:val="002321E8"/>
    <w:rsid w:val="00236EEC"/>
    <w:rsid w:val="0024010F"/>
    <w:rsid w:val="00240749"/>
    <w:rsid w:val="00243018"/>
    <w:rsid w:val="00243702"/>
    <w:rsid w:val="00243EC0"/>
    <w:rsid w:val="00244742"/>
    <w:rsid w:val="00245E2F"/>
    <w:rsid w:val="00245EE7"/>
    <w:rsid w:val="00254C5B"/>
    <w:rsid w:val="00255C3D"/>
    <w:rsid w:val="002564A4"/>
    <w:rsid w:val="0026427A"/>
    <w:rsid w:val="0026736C"/>
    <w:rsid w:val="00267A21"/>
    <w:rsid w:val="00273DBC"/>
    <w:rsid w:val="00276361"/>
    <w:rsid w:val="002766D1"/>
    <w:rsid w:val="00281308"/>
    <w:rsid w:val="00281813"/>
    <w:rsid w:val="00282C7C"/>
    <w:rsid w:val="00283AA7"/>
    <w:rsid w:val="00284719"/>
    <w:rsid w:val="002861A9"/>
    <w:rsid w:val="00297ECB"/>
    <w:rsid w:val="002A0DF7"/>
    <w:rsid w:val="002A4D4E"/>
    <w:rsid w:val="002A4F70"/>
    <w:rsid w:val="002A7328"/>
    <w:rsid w:val="002A7BCF"/>
    <w:rsid w:val="002B19F3"/>
    <w:rsid w:val="002B4A0D"/>
    <w:rsid w:val="002B65CE"/>
    <w:rsid w:val="002C6E27"/>
    <w:rsid w:val="002C7B6F"/>
    <w:rsid w:val="002C7BF0"/>
    <w:rsid w:val="002D043A"/>
    <w:rsid w:val="002D1FE8"/>
    <w:rsid w:val="002D6224"/>
    <w:rsid w:val="002E31D3"/>
    <w:rsid w:val="002E3F4B"/>
    <w:rsid w:val="002F0C97"/>
    <w:rsid w:val="002F1A0D"/>
    <w:rsid w:val="002F585F"/>
    <w:rsid w:val="0030018D"/>
    <w:rsid w:val="0030032B"/>
    <w:rsid w:val="00303366"/>
    <w:rsid w:val="00304AB2"/>
    <w:rsid w:val="00304F8B"/>
    <w:rsid w:val="0031221D"/>
    <w:rsid w:val="00313970"/>
    <w:rsid w:val="003146FF"/>
    <w:rsid w:val="00316785"/>
    <w:rsid w:val="00320FF9"/>
    <w:rsid w:val="00327DDF"/>
    <w:rsid w:val="003314C9"/>
    <w:rsid w:val="003354D2"/>
    <w:rsid w:val="00335BC6"/>
    <w:rsid w:val="003415D3"/>
    <w:rsid w:val="00341EA2"/>
    <w:rsid w:val="00344701"/>
    <w:rsid w:val="00347ABB"/>
    <w:rsid w:val="003528DA"/>
    <w:rsid w:val="00352B0F"/>
    <w:rsid w:val="00354D66"/>
    <w:rsid w:val="00356690"/>
    <w:rsid w:val="00357DD0"/>
    <w:rsid w:val="00357ED6"/>
    <w:rsid w:val="00360459"/>
    <w:rsid w:val="00362F86"/>
    <w:rsid w:val="00365497"/>
    <w:rsid w:val="00366D12"/>
    <w:rsid w:val="00374D46"/>
    <w:rsid w:val="00375B28"/>
    <w:rsid w:val="00377153"/>
    <w:rsid w:val="003869D8"/>
    <w:rsid w:val="00387A96"/>
    <w:rsid w:val="00392E1B"/>
    <w:rsid w:val="00393CDF"/>
    <w:rsid w:val="003A2A48"/>
    <w:rsid w:val="003A4D04"/>
    <w:rsid w:val="003B28C3"/>
    <w:rsid w:val="003B732F"/>
    <w:rsid w:val="003C6231"/>
    <w:rsid w:val="003C68F5"/>
    <w:rsid w:val="003D0BFE"/>
    <w:rsid w:val="003D12CF"/>
    <w:rsid w:val="003D5700"/>
    <w:rsid w:val="003E0F99"/>
    <w:rsid w:val="003E341B"/>
    <w:rsid w:val="003E59F3"/>
    <w:rsid w:val="003F16CF"/>
    <w:rsid w:val="003F3EFD"/>
    <w:rsid w:val="003F4BBC"/>
    <w:rsid w:val="003F6BFA"/>
    <w:rsid w:val="004002C3"/>
    <w:rsid w:val="0040053F"/>
    <w:rsid w:val="00405210"/>
    <w:rsid w:val="004116CD"/>
    <w:rsid w:val="00411780"/>
    <w:rsid w:val="004144EC"/>
    <w:rsid w:val="004153DD"/>
    <w:rsid w:val="00417EB9"/>
    <w:rsid w:val="0042272E"/>
    <w:rsid w:val="0042374A"/>
    <w:rsid w:val="00424CA9"/>
    <w:rsid w:val="00426D7C"/>
    <w:rsid w:val="00431E9B"/>
    <w:rsid w:val="00432E89"/>
    <w:rsid w:val="00435EEF"/>
    <w:rsid w:val="004379E3"/>
    <w:rsid w:val="0044015E"/>
    <w:rsid w:val="0044291A"/>
    <w:rsid w:val="00444ABD"/>
    <w:rsid w:val="00447DB4"/>
    <w:rsid w:val="00455CAA"/>
    <w:rsid w:val="004572F0"/>
    <w:rsid w:val="0045743E"/>
    <w:rsid w:val="004608DA"/>
    <w:rsid w:val="00460F1D"/>
    <w:rsid w:val="00465DC1"/>
    <w:rsid w:val="004675CF"/>
    <w:rsid w:val="00467661"/>
    <w:rsid w:val="004705B7"/>
    <w:rsid w:val="00472B6A"/>
    <w:rsid w:val="00472DBE"/>
    <w:rsid w:val="00474A19"/>
    <w:rsid w:val="00474B52"/>
    <w:rsid w:val="00475D8A"/>
    <w:rsid w:val="00481C24"/>
    <w:rsid w:val="004823C0"/>
    <w:rsid w:val="0048276B"/>
    <w:rsid w:val="00484B05"/>
    <w:rsid w:val="00494701"/>
    <w:rsid w:val="00496B5F"/>
    <w:rsid w:val="00496F97"/>
    <w:rsid w:val="00497E0F"/>
    <w:rsid w:val="004A1C5F"/>
    <w:rsid w:val="004A43DA"/>
    <w:rsid w:val="004A44FC"/>
    <w:rsid w:val="004A7460"/>
    <w:rsid w:val="004B07A9"/>
    <w:rsid w:val="004B5B44"/>
    <w:rsid w:val="004C1CB1"/>
    <w:rsid w:val="004C6FA4"/>
    <w:rsid w:val="004D7E7F"/>
    <w:rsid w:val="004E063A"/>
    <w:rsid w:val="004E7BEC"/>
    <w:rsid w:val="004F1F86"/>
    <w:rsid w:val="004F28F0"/>
    <w:rsid w:val="004F528A"/>
    <w:rsid w:val="004F648D"/>
    <w:rsid w:val="0050044F"/>
    <w:rsid w:val="00503DEA"/>
    <w:rsid w:val="00505D3D"/>
    <w:rsid w:val="00506AF6"/>
    <w:rsid w:val="00507335"/>
    <w:rsid w:val="005124DB"/>
    <w:rsid w:val="00515E1D"/>
    <w:rsid w:val="00516B8D"/>
    <w:rsid w:val="00517301"/>
    <w:rsid w:val="00517E56"/>
    <w:rsid w:val="00520F51"/>
    <w:rsid w:val="0052127D"/>
    <w:rsid w:val="005219FC"/>
    <w:rsid w:val="00525B2A"/>
    <w:rsid w:val="0052788C"/>
    <w:rsid w:val="00531016"/>
    <w:rsid w:val="005318E0"/>
    <w:rsid w:val="00531AAD"/>
    <w:rsid w:val="00532049"/>
    <w:rsid w:val="005356A7"/>
    <w:rsid w:val="00536184"/>
    <w:rsid w:val="00537FBC"/>
    <w:rsid w:val="005453A5"/>
    <w:rsid w:val="00550ACF"/>
    <w:rsid w:val="0055744A"/>
    <w:rsid w:val="005574D1"/>
    <w:rsid w:val="00561ABB"/>
    <w:rsid w:val="00563BCC"/>
    <w:rsid w:val="005657FE"/>
    <w:rsid w:val="005669FF"/>
    <w:rsid w:val="00571437"/>
    <w:rsid w:val="00572BB1"/>
    <w:rsid w:val="00575085"/>
    <w:rsid w:val="0057669D"/>
    <w:rsid w:val="0057670F"/>
    <w:rsid w:val="00584811"/>
    <w:rsid w:val="00585784"/>
    <w:rsid w:val="005859A2"/>
    <w:rsid w:val="00593AA6"/>
    <w:rsid w:val="00593ED8"/>
    <w:rsid w:val="00594161"/>
    <w:rsid w:val="00594749"/>
    <w:rsid w:val="00594AD6"/>
    <w:rsid w:val="00596BE6"/>
    <w:rsid w:val="005A3B87"/>
    <w:rsid w:val="005B3348"/>
    <w:rsid w:val="005B3DF7"/>
    <w:rsid w:val="005B4067"/>
    <w:rsid w:val="005B62E8"/>
    <w:rsid w:val="005B780C"/>
    <w:rsid w:val="005C2608"/>
    <w:rsid w:val="005C398F"/>
    <w:rsid w:val="005C3F41"/>
    <w:rsid w:val="005D0489"/>
    <w:rsid w:val="005D1FEA"/>
    <w:rsid w:val="005D2D09"/>
    <w:rsid w:val="005D3D41"/>
    <w:rsid w:val="005E2205"/>
    <w:rsid w:val="005E422E"/>
    <w:rsid w:val="005E4810"/>
    <w:rsid w:val="005F165D"/>
    <w:rsid w:val="005F4140"/>
    <w:rsid w:val="005F65CD"/>
    <w:rsid w:val="00600219"/>
    <w:rsid w:val="00603DC4"/>
    <w:rsid w:val="00607A71"/>
    <w:rsid w:val="00610709"/>
    <w:rsid w:val="006117CB"/>
    <w:rsid w:val="0061200D"/>
    <w:rsid w:val="00615ACA"/>
    <w:rsid w:val="00620076"/>
    <w:rsid w:val="006228F4"/>
    <w:rsid w:val="00622E0D"/>
    <w:rsid w:val="00627AAB"/>
    <w:rsid w:val="00634044"/>
    <w:rsid w:val="006340C6"/>
    <w:rsid w:val="00640161"/>
    <w:rsid w:val="00640FC1"/>
    <w:rsid w:val="006457B3"/>
    <w:rsid w:val="00652769"/>
    <w:rsid w:val="0065542F"/>
    <w:rsid w:val="006554FF"/>
    <w:rsid w:val="00670EA1"/>
    <w:rsid w:val="00671E8E"/>
    <w:rsid w:val="00677CC2"/>
    <w:rsid w:val="006905DE"/>
    <w:rsid w:val="0069207B"/>
    <w:rsid w:val="00693F29"/>
    <w:rsid w:val="00694B37"/>
    <w:rsid w:val="00694BEA"/>
    <w:rsid w:val="0069585D"/>
    <w:rsid w:val="006A055C"/>
    <w:rsid w:val="006B496E"/>
    <w:rsid w:val="006B5789"/>
    <w:rsid w:val="006C30C5"/>
    <w:rsid w:val="006C48FA"/>
    <w:rsid w:val="006C7F8C"/>
    <w:rsid w:val="006D21DF"/>
    <w:rsid w:val="006D250D"/>
    <w:rsid w:val="006D6AF6"/>
    <w:rsid w:val="006E01FA"/>
    <w:rsid w:val="006E30F6"/>
    <w:rsid w:val="006E5320"/>
    <w:rsid w:val="006E6246"/>
    <w:rsid w:val="006E7709"/>
    <w:rsid w:val="006F1993"/>
    <w:rsid w:val="006F318F"/>
    <w:rsid w:val="006F4226"/>
    <w:rsid w:val="006F6655"/>
    <w:rsid w:val="0070017E"/>
    <w:rsid w:val="00700B2C"/>
    <w:rsid w:val="00702EFD"/>
    <w:rsid w:val="00704D8F"/>
    <w:rsid w:val="007050A2"/>
    <w:rsid w:val="007052B2"/>
    <w:rsid w:val="00713084"/>
    <w:rsid w:val="0071399B"/>
    <w:rsid w:val="00713A0B"/>
    <w:rsid w:val="00714F20"/>
    <w:rsid w:val="0071590F"/>
    <w:rsid w:val="00715914"/>
    <w:rsid w:val="00724DA3"/>
    <w:rsid w:val="00731E00"/>
    <w:rsid w:val="007346D6"/>
    <w:rsid w:val="00735A49"/>
    <w:rsid w:val="00737148"/>
    <w:rsid w:val="0073768E"/>
    <w:rsid w:val="0074190B"/>
    <w:rsid w:val="00741EE8"/>
    <w:rsid w:val="007440B7"/>
    <w:rsid w:val="00747E61"/>
    <w:rsid w:val="007500C8"/>
    <w:rsid w:val="00756272"/>
    <w:rsid w:val="00765158"/>
    <w:rsid w:val="00765CD0"/>
    <w:rsid w:val="007662B5"/>
    <w:rsid w:val="0076681A"/>
    <w:rsid w:val="00767076"/>
    <w:rsid w:val="007703D4"/>
    <w:rsid w:val="007713E1"/>
    <w:rsid w:val="007715C9"/>
    <w:rsid w:val="00771613"/>
    <w:rsid w:val="00774EDD"/>
    <w:rsid w:val="0077506D"/>
    <w:rsid w:val="007757EC"/>
    <w:rsid w:val="00777105"/>
    <w:rsid w:val="00783E89"/>
    <w:rsid w:val="007842CE"/>
    <w:rsid w:val="00785A9E"/>
    <w:rsid w:val="00790358"/>
    <w:rsid w:val="00790BB7"/>
    <w:rsid w:val="00793915"/>
    <w:rsid w:val="0079591D"/>
    <w:rsid w:val="00795B0F"/>
    <w:rsid w:val="00796B71"/>
    <w:rsid w:val="00797860"/>
    <w:rsid w:val="007A2C54"/>
    <w:rsid w:val="007A77A3"/>
    <w:rsid w:val="007B0444"/>
    <w:rsid w:val="007B2034"/>
    <w:rsid w:val="007B4C4F"/>
    <w:rsid w:val="007C1D44"/>
    <w:rsid w:val="007C2253"/>
    <w:rsid w:val="007C3BAC"/>
    <w:rsid w:val="007C4BCE"/>
    <w:rsid w:val="007D230B"/>
    <w:rsid w:val="007D7C32"/>
    <w:rsid w:val="007D7D12"/>
    <w:rsid w:val="007E130C"/>
    <w:rsid w:val="007E163D"/>
    <w:rsid w:val="007E2192"/>
    <w:rsid w:val="007E667A"/>
    <w:rsid w:val="007E75F1"/>
    <w:rsid w:val="007F28C9"/>
    <w:rsid w:val="007F725D"/>
    <w:rsid w:val="00802BAE"/>
    <w:rsid w:val="0080312D"/>
    <w:rsid w:val="00803587"/>
    <w:rsid w:val="00811502"/>
    <w:rsid w:val="008117E9"/>
    <w:rsid w:val="0081229C"/>
    <w:rsid w:val="00815DDB"/>
    <w:rsid w:val="00824498"/>
    <w:rsid w:val="0082562C"/>
    <w:rsid w:val="00831917"/>
    <w:rsid w:val="00835179"/>
    <w:rsid w:val="00840442"/>
    <w:rsid w:val="00842248"/>
    <w:rsid w:val="00845952"/>
    <w:rsid w:val="008527C0"/>
    <w:rsid w:val="00854E52"/>
    <w:rsid w:val="00855867"/>
    <w:rsid w:val="00856A31"/>
    <w:rsid w:val="008605E0"/>
    <w:rsid w:val="00860B58"/>
    <w:rsid w:val="0086231C"/>
    <w:rsid w:val="00862978"/>
    <w:rsid w:val="00863657"/>
    <w:rsid w:val="00867B37"/>
    <w:rsid w:val="008718DD"/>
    <w:rsid w:val="008754D0"/>
    <w:rsid w:val="00881E50"/>
    <w:rsid w:val="00883C91"/>
    <w:rsid w:val="008855C9"/>
    <w:rsid w:val="00886456"/>
    <w:rsid w:val="008945E0"/>
    <w:rsid w:val="00894E9D"/>
    <w:rsid w:val="0089527F"/>
    <w:rsid w:val="008A362B"/>
    <w:rsid w:val="008A46E1"/>
    <w:rsid w:val="008A4F43"/>
    <w:rsid w:val="008B2706"/>
    <w:rsid w:val="008C0F29"/>
    <w:rsid w:val="008C201B"/>
    <w:rsid w:val="008C228C"/>
    <w:rsid w:val="008D0EE0"/>
    <w:rsid w:val="008D19CE"/>
    <w:rsid w:val="008D3422"/>
    <w:rsid w:val="008E6067"/>
    <w:rsid w:val="008F10D9"/>
    <w:rsid w:val="008F54E7"/>
    <w:rsid w:val="009016BE"/>
    <w:rsid w:val="00903361"/>
    <w:rsid w:val="00903422"/>
    <w:rsid w:val="00904C00"/>
    <w:rsid w:val="00904EF1"/>
    <w:rsid w:val="00912A58"/>
    <w:rsid w:val="009157B9"/>
    <w:rsid w:val="00915DF9"/>
    <w:rsid w:val="00915E11"/>
    <w:rsid w:val="00921E52"/>
    <w:rsid w:val="009254C3"/>
    <w:rsid w:val="00926940"/>
    <w:rsid w:val="00930A0A"/>
    <w:rsid w:val="00932377"/>
    <w:rsid w:val="00932E82"/>
    <w:rsid w:val="009360C0"/>
    <w:rsid w:val="00942FF9"/>
    <w:rsid w:val="009460DC"/>
    <w:rsid w:val="00946759"/>
    <w:rsid w:val="00947684"/>
    <w:rsid w:val="00947D5A"/>
    <w:rsid w:val="0095293C"/>
    <w:rsid w:val="009532A5"/>
    <w:rsid w:val="00954C4E"/>
    <w:rsid w:val="00955175"/>
    <w:rsid w:val="0095528E"/>
    <w:rsid w:val="00955899"/>
    <w:rsid w:val="0095774F"/>
    <w:rsid w:val="00962664"/>
    <w:rsid w:val="00964900"/>
    <w:rsid w:val="0096753E"/>
    <w:rsid w:val="0097562F"/>
    <w:rsid w:val="00982242"/>
    <w:rsid w:val="0098540D"/>
    <w:rsid w:val="009868E9"/>
    <w:rsid w:val="00987CBB"/>
    <w:rsid w:val="00990F05"/>
    <w:rsid w:val="009944E6"/>
    <w:rsid w:val="009A323B"/>
    <w:rsid w:val="009A3A6F"/>
    <w:rsid w:val="009A3F74"/>
    <w:rsid w:val="009A49C9"/>
    <w:rsid w:val="009B1074"/>
    <w:rsid w:val="009B799C"/>
    <w:rsid w:val="009C0601"/>
    <w:rsid w:val="009C510F"/>
    <w:rsid w:val="009C6C7C"/>
    <w:rsid w:val="009D1818"/>
    <w:rsid w:val="009D195A"/>
    <w:rsid w:val="009D5067"/>
    <w:rsid w:val="009D7993"/>
    <w:rsid w:val="009E5CFC"/>
    <w:rsid w:val="009E628B"/>
    <w:rsid w:val="009E75A7"/>
    <w:rsid w:val="009F4774"/>
    <w:rsid w:val="00A02F12"/>
    <w:rsid w:val="00A03AF1"/>
    <w:rsid w:val="00A079CB"/>
    <w:rsid w:val="00A10CBE"/>
    <w:rsid w:val="00A10FA9"/>
    <w:rsid w:val="00A12128"/>
    <w:rsid w:val="00A12F48"/>
    <w:rsid w:val="00A14F6A"/>
    <w:rsid w:val="00A15512"/>
    <w:rsid w:val="00A20649"/>
    <w:rsid w:val="00A2233E"/>
    <w:rsid w:val="00A22C98"/>
    <w:rsid w:val="00A231E2"/>
    <w:rsid w:val="00A2613F"/>
    <w:rsid w:val="00A27450"/>
    <w:rsid w:val="00A33D55"/>
    <w:rsid w:val="00A34412"/>
    <w:rsid w:val="00A355E6"/>
    <w:rsid w:val="00A36DC0"/>
    <w:rsid w:val="00A40424"/>
    <w:rsid w:val="00A44C99"/>
    <w:rsid w:val="00A45B14"/>
    <w:rsid w:val="00A45B26"/>
    <w:rsid w:val="00A52B0F"/>
    <w:rsid w:val="00A5317F"/>
    <w:rsid w:val="00A55822"/>
    <w:rsid w:val="00A5632E"/>
    <w:rsid w:val="00A57128"/>
    <w:rsid w:val="00A576E3"/>
    <w:rsid w:val="00A64912"/>
    <w:rsid w:val="00A70A74"/>
    <w:rsid w:val="00A739A4"/>
    <w:rsid w:val="00A77235"/>
    <w:rsid w:val="00A811E5"/>
    <w:rsid w:val="00A87CE8"/>
    <w:rsid w:val="00A9018C"/>
    <w:rsid w:val="00A91966"/>
    <w:rsid w:val="00A933AA"/>
    <w:rsid w:val="00A97F08"/>
    <w:rsid w:val="00AA459B"/>
    <w:rsid w:val="00AA66AC"/>
    <w:rsid w:val="00AB1DE8"/>
    <w:rsid w:val="00AB3891"/>
    <w:rsid w:val="00AB69D9"/>
    <w:rsid w:val="00AC033F"/>
    <w:rsid w:val="00AC0886"/>
    <w:rsid w:val="00AC43A2"/>
    <w:rsid w:val="00AC5C45"/>
    <w:rsid w:val="00AD02B8"/>
    <w:rsid w:val="00AD1F73"/>
    <w:rsid w:val="00AD3819"/>
    <w:rsid w:val="00AD3CC6"/>
    <w:rsid w:val="00AD5315"/>
    <w:rsid w:val="00AD5419"/>
    <w:rsid w:val="00AD5641"/>
    <w:rsid w:val="00AD7889"/>
    <w:rsid w:val="00AE3C11"/>
    <w:rsid w:val="00AE52FB"/>
    <w:rsid w:val="00AE787B"/>
    <w:rsid w:val="00AF021B"/>
    <w:rsid w:val="00AF0435"/>
    <w:rsid w:val="00AF06CF"/>
    <w:rsid w:val="00AF0B29"/>
    <w:rsid w:val="00AF3AF9"/>
    <w:rsid w:val="00AF41BD"/>
    <w:rsid w:val="00AF7F9E"/>
    <w:rsid w:val="00B01C38"/>
    <w:rsid w:val="00B04305"/>
    <w:rsid w:val="00B04719"/>
    <w:rsid w:val="00B07C22"/>
    <w:rsid w:val="00B07CDB"/>
    <w:rsid w:val="00B11455"/>
    <w:rsid w:val="00B14524"/>
    <w:rsid w:val="00B15B71"/>
    <w:rsid w:val="00B16A31"/>
    <w:rsid w:val="00B17DFD"/>
    <w:rsid w:val="00B20DAE"/>
    <w:rsid w:val="00B277F8"/>
    <w:rsid w:val="00B2799D"/>
    <w:rsid w:val="00B3041A"/>
    <w:rsid w:val="00B308FE"/>
    <w:rsid w:val="00B33709"/>
    <w:rsid w:val="00B33B3C"/>
    <w:rsid w:val="00B33BD1"/>
    <w:rsid w:val="00B37E84"/>
    <w:rsid w:val="00B50ADC"/>
    <w:rsid w:val="00B566B1"/>
    <w:rsid w:val="00B577C8"/>
    <w:rsid w:val="00B60A91"/>
    <w:rsid w:val="00B63834"/>
    <w:rsid w:val="00B64A20"/>
    <w:rsid w:val="00B70A66"/>
    <w:rsid w:val="00B72734"/>
    <w:rsid w:val="00B80199"/>
    <w:rsid w:val="00B82D81"/>
    <w:rsid w:val="00B83204"/>
    <w:rsid w:val="00B84084"/>
    <w:rsid w:val="00B8672D"/>
    <w:rsid w:val="00B87D1C"/>
    <w:rsid w:val="00B902CB"/>
    <w:rsid w:val="00B9126E"/>
    <w:rsid w:val="00BA220B"/>
    <w:rsid w:val="00BA26DF"/>
    <w:rsid w:val="00BA2B17"/>
    <w:rsid w:val="00BA3A57"/>
    <w:rsid w:val="00BB4E1A"/>
    <w:rsid w:val="00BB4EF0"/>
    <w:rsid w:val="00BB5C17"/>
    <w:rsid w:val="00BC015E"/>
    <w:rsid w:val="00BC7183"/>
    <w:rsid w:val="00BC76AC"/>
    <w:rsid w:val="00BD0ECB"/>
    <w:rsid w:val="00BD24B3"/>
    <w:rsid w:val="00BD657A"/>
    <w:rsid w:val="00BD66AE"/>
    <w:rsid w:val="00BE10F2"/>
    <w:rsid w:val="00BE2155"/>
    <w:rsid w:val="00BE2213"/>
    <w:rsid w:val="00BE6EF9"/>
    <w:rsid w:val="00BE719A"/>
    <w:rsid w:val="00BE720A"/>
    <w:rsid w:val="00BF0D73"/>
    <w:rsid w:val="00BF2465"/>
    <w:rsid w:val="00BF5084"/>
    <w:rsid w:val="00BF75C9"/>
    <w:rsid w:val="00C0544A"/>
    <w:rsid w:val="00C11452"/>
    <w:rsid w:val="00C1423D"/>
    <w:rsid w:val="00C14CC3"/>
    <w:rsid w:val="00C17196"/>
    <w:rsid w:val="00C17457"/>
    <w:rsid w:val="00C2529A"/>
    <w:rsid w:val="00C25CBF"/>
    <w:rsid w:val="00C25E7F"/>
    <w:rsid w:val="00C266C1"/>
    <w:rsid w:val="00C2746F"/>
    <w:rsid w:val="00C314C9"/>
    <w:rsid w:val="00C315EC"/>
    <w:rsid w:val="00C324A0"/>
    <w:rsid w:val="00C3300F"/>
    <w:rsid w:val="00C34E77"/>
    <w:rsid w:val="00C34FB3"/>
    <w:rsid w:val="00C35875"/>
    <w:rsid w:val="00C35DAF"/>
    <w:rsid w:val="00C35E30"/>
    <w:rsid w:val="00C4170B"/>
    <w:rsid w:val="00C41991"/>
    <w:rsid w:val="00C423C7"/>
    <w:rsid w:val="00C42BF8"/>
    <w:rsid w:val="00C45171"/>
    <w:rsid w:val="00C50043"/>
    <w:rsid w:val="00C50B97"/>
    <w:rsid w:val="00C525F4"/>
    <w:rsid w:val="00C52E7C"/>
    <w:rsid w:val="00C53801"/>
    <w:rsid w:val="00C54864"/>
    <w:rsid w:val="00C63DC1"/>
    <w:rsid w:val="00C6434E"/>
    <w:rsid w:val="00C67E5F"/>
    <w:rsid w:val="00C70CA8"/>
    <w:rsid w:val="00C727D7"/>
    <w:rsid w:val="00C7573B"/>
    <w:rsid w:val="00C7761F"/>
    <w:rsid w:val="00C77FD6"/>
    <w:rsid w:val="00C83B13"/>
    <w:rsid w:val="00C86B32"/>
    <w:rsid w:val="00C93C03"/>
    <w:rsid w:val="00C96AA6"/>
    <w:rsid w:val="00CA5533"/>
    <w:rsid w:val="00CA66DC"/>
    <w:rsid w:val="00CA6F6D"/>
    <w:rsid w:val="00CB2C8E"/>
    <w:rsid w:val="00CB2D96"/>
    <w:rsid w:val="00CB3F7F"/>
    <w:rsid w:val="00CB602E"/>
    <w:rsid w:val="00CC73FA"/>
    <w:rsid w:val="00CD2E90"/>
    <w:rsid w:val="00CD3415"/>
    <w:rsid w:val="00CE0149"/>
    <w:rsid w:val="00CE051D"/>
    <w:rsid w:val="00CE1335"/>
    <w:rsid w:val="00CE31E1"/>
    <w:rsid w:val="00CE3D2A"/>
    <w:rsid w:val="00CE41F1"/>
    <w:rsid w:val="00CE493D"/>
    <w:rsid w:val="00CE541A"/>
    <w:rsid w:val="00CE5E5D"/>
    <w:rsid w:val="00CE6D42"/>
    <w:rsid w:val="00CF07FA"/>
    <w:rsid w:val="00CF0BB2"/>
    <w:rsid w:val="00CF3466"/>
    <w:rsid w:val="00CF3EE8"/>
    <w:rsid w:val="00CF4447"/>
    <w:rsid w:val="00CF5313"/>
    <w:rsid w:val="00CF7B16"/>
    <w:rsid w:val="00D04498"/>
    <w:rsid w:val="00D050E6"/>
    <w:rsid w:val="00D10297"/>
    <w:rsid w:val="00D13441"/>
    <w:rsid w:val="00D150E7"/>
    <w:rsid w:val="00D20A4B"/>
    <w:rsid w:val="00D23CCC"/>
    <w:rsid w:val="00D265AB"/>
    <w:rsid w:val="00D306F8"/>
    <w:rsid w:val="00D32F65"/>
    <w:rsid w:val="00D341C4"/>
    <w:rsid w:val="00D36072"/>
    <w:rsid w:val="00D45B97"/>
    <w:rsid w:val="00D52A21"/>
    <w:rsid w:val="00D52DC2"/>
    <w:rsid w:val="00D53BCC"/>
    <w:rsid w:val="00D648BB"/>
    <w:rsid w:val="00D65932"/>
    <w:rsid w:val="00D702DE"/>
    <w:rsid w:val="00D70DFB"/>
    <w:rsid w:val="00D732EC"/>
    <w:rsid w:val="00D73426"/>
    <w:rsid w:val="00D73C22"/>
    <w:rsid w:val="00D766DF"/>
    <w:rsid w:val="00D919F1"/>
    <w:rsid w:val="00D925C2"/>
    <w:rsid w:val="00DA186E"/>
    <w:rsid w:val="00DA2B12"/>
    <w:rsid w:val="00DA4116"/>
    <w:rsid w:val="00DB251C"/>
    <w:rsid w:val="00DB38AD"/>
    <w:rsid w:val="00DB4630"/>
    <w:rsid w:val="00DC4445"/>
    <w:rsid w:val="00DC4F88"/>
    <w:rsid w:val="00DD1AC4"/>
    <w:rsid w:val="00DE0A85"/>
    <w:rsid w:val="00DE79F9"/>
    <w:rsid w:val="00DF041A"/>
    <w:rsid w:val="00DF1326"/>
    <w:rsid w:val="00E05704"/>
    <w:rsid w:val="00E06CC3"/>
    <w:rsid w:val="00E11E44"/>
    <w:rsid w:val="00E13AFA"/>
    <w:rsid w:val="00E2168B"/>
    <w:rsid w:val="00E21F03"/>
    <w:rsid w:val="00E232B4"/>
    <w:rsid w:val="00E239E7"/>
    <w:rsid w:val="00E26123"/>
    <w:rsid w:val="00E338EF"/>
    <w:rsid w:val="00E4003B"/>
    <w:rsid w:val="00E40FF8"/>
    <w:rsid w:val="00E515E2"/>
    <w:rsid w:val="00E544BB"/>
    <w:rsid w:val="00E578EC"/>
    <w:rsid w:val="00E60423"/>
    <w:rsid w:val="00E6491B"/>
    <w:rsid w:val="00E649D7"/>
    <w:rsid w:val="00E64D35"/>
    <w:rsid w:val="00E662CB"/>
    <w:rsid w:val="00E704CC"/>
    <w:rsid w:val="00E74DC7"/>
    <w:rsid w:val="00E8075A"/>
    <w:rsid w:val="00E818A6"/>
    <w:rsid w:val="00E85A91"/>
    <w:rsid w:val="00E87718"/>
    <w:rsid w:val="00E94D5E"/>
    <w:rsid w:val="00E96EE7"/>
    <w:rsid w:val="00E97534"/>
    <w:rsid w:val="00EA0BF6"/>
    <w:rsid w:val="00EA17A6"/>
    <w:rsid w:val="00EA1DE5"/>
    <w:rsid w:val="00EA41BD"/>
    <w:rsid w:val="00EA7100"/>
    <w:rsid w:val="00EA7B14"/>
    <w:rsid w:val="00EA7F9F"/>
    <w:rsid w:val="00EB0E70"/>
    <w:rsid w:val="00EB1274"/>
    <w:rsid w:val="00EB3567"/>
    <w:rsid w:val="00EC2896"/>
    <w:rsid w:val="00EC4757"/>
    <w:rsid w:val="00EC5658"/>
    <w:rsid w:val="00EC61D5"/>
    <w:rsid w:val="00EC7EDB"/>
    <w:rsid w:val="00ED14FB"/>
    <w:rsid w:val="00ED2BB6"/>
    <w:rsid w:val="00ED34E1"/>
    <w:rsid w:val="00ED3B8D"/>
    <w:rsid w:val="00ED62C7"/>
    <w:rsid w:val="00ED796D"/>
    <w:rsid w:val="00EE1513"/>
    <w:rsid w:val="00EE4279"/>
    <w:rsid w:val="00EF15D3"/>
    <w:rsid w:val="00EF2E3A"/>
    <w:rsid w:val="00EF3008"/>
    <w:rsid w:val="00EF60B4"/>
    <w:rsid w:val="00F0012E"/>
    <w:rsid w:val="00F0185F"/>
    <w:rsid w:val="00F02EF9"/>
    <w:rsid w:val="00F03BB5"/>
    <w:rsid w:val="00F047D8"/>
    <w:rsid w:val="00F072A7"/>
    <w:rsid w:val="00F07400"/>
    <w:rsid w:val="00F078DC"/>
    <w:rsid w:val="00F14593"/>
    <w:rsid w:val="00F171A1"/>
    <w:rsid w:val="00F20FC7"/>
    <w:rsid w:val="00F27507"/>
    <w:rsid w:val="00F30685"/>
    <w:rsid w:val="00F31043"/>
    <w:rsid w:val="00F32BA8"/>
    <w:rsid w:val="00F349F1"/>
    <w:rsid w:val="00F4215A"/>
    <w:rsid w:val="00F4350D"/>
    <w:rsid w:val="00F50532"/>
    <w:rsid w:val="00F53922"/>
    <w:rsid w:val="00F567F7"/>
    <w:rsid w:val="00F61B09"/>
    <w:rsid w:val="00F62036"/>
    <w:rsid w:val="00F65B52"/>
    <w:rsid w:val="00F67BCA"/>
    <w:rsid w:val="00F73BD6"/>
    <w:rsid w:val="00F74049"/>
    <w:rsid w:val="00F773BF"/>
    <w:rsid w:val="00F800C9"/>
    <w:rsid w:val="00F8375D"/>
    <w:rsid w:val="00F83989"/>
    <w:rsid w:val="00F85099"/>
    <w:rsid w:val="00F87FEB"/>
    <w:rsid w:val="00F9242B"/>
    <w:rsid w:val="00F92A5F"/>
    <w:rsid w:val="00F9379C"/>
    <w:rsid w:val="00F93889"/>
    <w:rsid w:val="00F95AFC"/>
    <w:rsid w:val="00F9632C"/>
    <w:rsid w:val="00FA1E52"/>
    <w:rsid w:val="00FA2D3E"/>
    <w:rsid w:val="00FA31DE"/>
    <w:rsid w:val="00FA7D17"/>
    <w:rsid w:val="00FC2295"/>
    <w:rsid w:val="00FC3EB8"/>
    <w:rsid w:val="00FC5041"/>
    <w:rsid w:val="00FC5EC6"/>
    <w:rsid w:val="00FC6C61"/>
    <w:rsid w:val="00FC7D25"/>
    <w:rsid w:val="00FD13CC"/>
    <w:rsid w:val="00FE2D35"/>
    <w:rsid w:val="00FE2FB8"/>
    <w:rsid w:val="00FE4688"/>
    <w:rsid w:val="00FE72D6"/>
    <w:rsid w:val="00FE79D0"/>
    <w:rsid w:val="00FF17F9"/>
    <w:rsid w:val="00FF3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E564E80"/>
  <w15:chartTrackingRefBased/>
  <w15:docId w15:val="{D78D9AA1-5D09-41E4-9C0B-73D81051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A81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D96288D0C9516240A384CA7BDCAA7070" ma:contentTypeVersion="26" ma:contentTypeDescription="" ma:contentTypeScope="" ma:versionID="c75316d57e327ba4b7ad3be9c13a8775">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e1acea644be69cbcb69f0dd9328b7906"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OFFICIAL - Sensitive|6eccc17f-024b-41b0-b6b1-faf98d2aff85"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R20210000589218</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cf8e12e123484f339606504ca2e41be1>
    <TaxCatchAll xmlns="a6fd680d-2161-48eb-a9ee-9070ec61f910">
      <Value>101</Value>
    </TaxCatchAl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654C2-4F9B-4EEE-9E14-44E3EEE21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A559C-BE0A-4012-A221-FC2646BF8D2E}">
  <ds:schemaRefs>
    <ds:schemaRef ds:uri="http://schemas.microsoft.com/office/infopath/2007/PartnerControls"/>
    <ds:schemaRef ds:uri="http://schemas.microsoft.com/office/2006/metadata/properties"/>
    <ds:schemaRef ds:uri="http://purl.org/dc/elements/1.1/"/>
    <ds:schemaRef ds:uri="a6fd680d-2161-48eb-a9ee-9070ec61f910"/>
    <ds:schemaRef ds:uri="17f478ab-373e-4295-9ff0-9b833ad01319"/>
    <ds:schemaRef ds:uri="http://schemas.microsoft.com/office/2006/documentManagement/types"/>
    <ds:schemaRef ds:uri="http://purl.org/dc/dcmitype/"/>
    <ds:schemaRef ds:uri="http://schemas.openxmlformats.org/package/2006/metadata/core-properties"/>
    <ds:schemaRef ds:uri="da7a9ac0-bc47-4684-84e6-3a8e9ac80c12"/>
    <ds:schemaRef ds:uri="http://www.w3.org/XML/1998/namespace"/>
    <ds:schemaRef ds:uri="http://purl.org/dc/terms/"/>
  </ds:schemaRefs>
</ds:datastoreItem>
</file>

<file path=customXml/itemProps3.xml><?xml version="1.0" encoding="utf-8"?>
<ds:datastoreItem xmlns:ds="http://schemas.openxmlformats.org/officeDocument/2006/customXml" ds:itemID="{8DFC3A2D-29AD-4D61-825B-5E64659D8DA7}">
  <ds:schemaRefs>
    <ds:schemaRef ds:uri="http://schemas.microsoft.com/office/2006/metadata/longProperties"/>
  </ds:schemaRefs>
</ds:datastoreItem>
</file>

<file path=customXml/itemProps4.xml><?xml version="1.0" encoding="utf-8"?>
<ds:datastoreItem xmlns:ds="http://schemas.openxmlformats.org/officeDocument/2006/customXml" ds:itemID="{D8193977-9CB3-4874-91D2-FDB76840CD9B}">
  <ds:schemaRefs>
    <ds:schemaRef ds:uri="http://schemas.microsoft.com/sharepoint/v3/contenttype/forms"/>
  </ds:schemaRefs>
</ds:datastoreItem>
</file>

<file path=customXml/itemProps5.xml><?xml version="1.0" encoding="utf-8"?>
<ds:datastoreItem xmlns:ds="http://schemas.openxmlformats.org/officeDocument/2006/customXml" ds:itemID="{5F9B025F-0A13-46FF-BF62-44717E36F00E}">
  <ds:schemaRefs>
    <ds:schemaRef ds:uri="http://schemas.microsoft.com/sharepoint/events"/>
  </ds:schemaRefs>
</ds:datastoreItem>
</file>

<file path=customXml/itemProps6.xml><?xml version="1.0" encoding="utf-8"?>
<ds:datastoreItem xmlns:ds="http://schemas.openxmlformats.org/officeDocument/2006/customXml" ds:itemID="{28BADD21-BA84-4491-9B66-5E09EE17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5</Pages>
  <Words>1183</Words>
  <Characters>6744</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7912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melissa.liu</dc:creator>
  <cp:keywords/>
  <cp:lastModifiedBy>Narelle Kane</cp:lastModifiedBy>
  <cp:revision>4</cp:revision>
  <cp:lastPrinted>2019-01-03T02:56:00Z</cp:lastPrinted>
  <dcterms:created xsi:type="dcterms:W3CDTF">2021-09-28T03:16:00Z</dcterms:created>
  <dcterms:modified xsi:type="dcterms:W3CDTF">2021-09-28T03:17:00Z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{3e50770f-3e10-45f6-ae8f-e7aff96f3084}</vt:lpwstr>
  </property>
  <property fmtid="{D5CDD505-2E9C-101B-9397-08002B2CF9AE}" pid="41" name="RecordPoint_ActiveItemListId">
    <vt:lpwstr>{8fd98d8d-d3ab-4d5b-8950-65fb6b8c7bff}</vt:lpwstr>
  </property>
  <property fmtid="{D5CDD505-2E9C-101B-9397-08002B2CF9AE}" pid="42" name="RecordPoint_ActiveItemUniqueId">
    <vt:lpwstr>{8272cd8e-29e9-41b2-bceb-952fa2e05c06}</vt:lpwstr>
  </property>
  <property fmtid="{D5CDD505-2E9C-101B-9397-08002B2CF9AE}" pid="43" name="RecordPoint_ActiveItemWebId">
    <vt:lpwstr>{a6fd680d-2161-48eb-a9ee-9070ec61f910}</vt:lpwstr>
  </property>
  <property fmtid="{D5CDD505-2E9C-101B-9397-08002B2CF9AE}" pid="44" name="IconOverlay">
    <vt:lpwstr/>
  </property>
  <property fmtid="{D5CDD505-2E9C-101B-9397-08002B2CF9AE}" pid="45" name="RecordPoint_SubmissionCompleted">
    <vt:lpwstr>2021-09-28T11:40:43.3808241+10:00</vt:lpwstr>
  </property>
  <property fmtid="{D5CDD505-2E9C-101B-9397-08002B2CF9AE}" pid="46" name="RecordPoint_RecordNumberSubmitted">
    <vt:lpwstr>R20210000589218</vt:lpwstr>
  </property>
  <property fmtid="{D5CDD505-2E9C-101B-9397-08002B2CF9AE}" pid="47" name="SecurityClassification">
    <vt:lpwstr>101;#OFFICIAL - Sensitive|6eccc17f-024b-41b0-b6b1-faf98d2aff85</vt:lpwstr>
  </property>
  <property fmtid="{D5CDD505-2E9C-101B-9397-08002B2CF9AE}" pid="48" name="Order">
    <vt:lpwstr>71900.0000000000</vt:lpwstr>
  </property>
  <property fmtid="{D5CDD505-2E9C-101B-9397-08002B2CF9AE}" pid="49" name="RecordPoint_SubmissionDate">
    <vt:lpwstr/>
  </property>
  <property fmtid="{D5CDD505-2E9C-101B-9397-08002B2CF9AE}" pid="50" name="RecordPoint_RecordFormat">
    <vt:lpwstr/>
  </property>
  <property fmtid="{D5CDD505-2E9C-101B-9397-08002B2CF9AE}" pid="51" name="ContentTypeId">
    <vt:lpwstr>0x010100B5F685A1365F544391EF8C813B164F3A00D96288D0C9516240A384CA7BDCAA7070</vt:lpwstr>
  </property>
  <property fmtid="{D5CDD505-2E9C-101B-9397-08002B2CF9AE}" pid="52" name="f947e1037e3e49619e55f8843e0f11fe">
    <vt:lpwstr>Sensitive|19fd2cb8-3e97-4464-ae71-8c2c2095d028</vt:lpwstr>
  </property>
</Properties>
</file>