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ED4F9" w14:textId="77777777" w:rsidR="00BE1BAD" w:rsidRPr="00662680" w:rsidRDefault="00BE1BAD" w:rsidP="0052392E">
      <w:pPr>
        <w:spacing w:before="0" w:after="0"/>
        <w:jc w:val="center"/>
        <w:rPr>
          <w:b/>
          <w:sz w:val="22"/>
          <w:szCs w:val="22"/>
          <w:u w:val="single"/>
        </w:rPr>
      </w:pPr>
      <w:r w:rsidRPr="00662680">
        <w:rPr>
          <w:b/>
          <w:sz w:val="22"/>
          <w:szCs w:val="22"/>
          <w:u w:val="single"/>
        </w:rPr>
        <w:t>EXPLANATORY STATEMENT</w:t>
      </w:r>
    </w:p>
    <w:p w14:paraId="2C1D0024" w14:textId="77777777" w:rsidR="0052392E" w:rsidRPr="00662680" w:rsidRDefault="0052392E" w:rsidP="0052392E">
      <w:pPr>
        <w:spacing w:before="0" w:after="0"/>
        <w:jc w:val="center"/>
        <w:rPr>
          <w:i/>
          <w:sz w:val="22"/>
          <w:szCs w:val="22"/>
        </w:rPr>
      </w:pPr>
    </w:p>
    <w:p w14:paraId="6F9B3AF2" w14:textId="77777777" w:rsidR="00BE1BAD" w:rsidRPr="00662680" w:rsidRDefault="00BE1BAD" w:rsidP="0052392E">
      <w:pPr>
        <w:spacing w:before="0" w:after="0"/>
        <w:jc w:val="center"/>
        <w:rPr>
          <w:i/>
          <w:sz w:val="22"/>
          <w:szCs w:val="22"/>
        </w:rPr>
      </w:pPr>
      <w:r w:rsidRPr="00662680">
        <w:rPr>
          <w:i/>
          <w:sz w:val="22"/>
          <w:szCs w:val="22"/>
        </w:rPr>
        <w:t>Therapeutic Goods Act 1989</w:t>
      </w:r>
    </w:p>
    <w:p w14:paraId="313135E6" w14:textId="77777777" w:rsidR="0052392E" w:rsidRPr="00662680" w:rsidRDefault="0052392E" w:rsidP="0052392E">
      <w:pPr>
        <w:spacing w:before="0" w:after="0"/>
        <w:jc w:val="center"/>
        <w:rPr>
          <w:i/>
          <w:sz w:val="22"/>
          <w:szCs w:val="22"/>
        </w:rPr>
      </w:pPr>
    </w:p>
    <w:p w14:paraId="47ED8641" w14:textId="05D3A24D" w:rsidR="00BE1BAD" w:rsidRPr="00662680" w:rsidRDefault="00BE1BAD" w:rsidP="0052392E">
      <w:pPr>
        <w:spacing w:before="0" w:after="0"/>
        <w:jc w:val="center"/>
        <w:rPr>
          <w:i/>
          <w:sz w:val="22"/>
          <w:szCs w:val="22"/>
        </w:rPr>
      </w:pPr>
      <w:r w:rsidRPr="00662680">
        <w:rPr>
          <w:i/>
          <w:sz w:val="22"/>
          <w:szCs w:val="22"/>
        </w:rPr>
        <w:t>Poisons Standard</w:t>
      </w:r>
      <w:r w:rsidR="00683B5D" w:rsidRPr="00662680">
        <w:rPr>
          <w:i/>
          <w:sz w:val="22"/>
          <w:szCs w:val="22"/>
        </w:rPr>
        <w:t xml:space="preserve"> </w:t>
      </w:r>
      <w:r w:rsidR="00C87FE7" w:rsidRPr="00662680">
        <w:rPr>
          <w:i/>
          <w:sz w:val="22"/>
          <w:szCs w:val="22"/>
        </w:rPr>
        <w:t>October</w:t>
      </w:r>
      <w:r w:rsidR="009A3F38" w:rsidRPr="00662680">
        <w:rPr>
          <w:i/>
          <w:sz w:val="22"/>
          <w:szCs w:val="22"/>
        </w:rPr>
        <w:t xml:space="preserve"> </w:t>
      </w:r>
      <w:r w:rsidR="00712B43" w:rsidRPr="00662680">
        <w:rPr>
          <w:i/>
          <w:sz w:val="22"/>
          <w:szCs w:val="22"/>
        </w:rPr>
        <w:t>2021</w:t>
      </w:r>
    </w:p>
    <w:p w14:paraId="7E445350" w14:textId="77777777" w:rsidR="0052392E" w:rsidRPr="00662680" w:rsidRDefault="0052392E" w:rsidP="0052392E">
      <w:pPr>
        <w:spacing w:before="0" w:after="0"/>
        <w:jc w:val="center"/>
        <w:rPr>
          <w:sz w:val="22"/>
          <w:szCs w:val="22"/>
        </w:rPr>
      </w:pPr>
    </w:p>
    <w:p w14:paraId="1E3D0CE4" w14:textId="1AFD89A0" w:rsidR="00BE1BAD" w:rsidRPr="00662680" w:rsidRDefault="00BE1BAD" w:rsidP="004813C1">
      <w:pPr>
        <w:spacing w:before="0" w:after="0"/>
        <w:rPr>
          <w:sz w:val="22"/>
          <w:szCs w:val="22"/>
        </w:rPr>
      </w:pPr>
      <w:r w:rsidRPr="00662680">
        <w:rPr>
          <w:sz w:val="22"/>
          <w:szCs w:val="22"/>
        </w:rPr>
        <w:t xml:space="preserve">The </w:t>
      </w:r>
      <w:r w:rsidRPr="00662680">
        <w:rPr>
          <w:i/>
          <w:sz w:val="22"/>
          <w:szCs w:val="22"/>
        </w:rPr>
        <w:t>Therapeutic Goods Act 1989</w:t>
      </w:r>
      <w:r w:rsidRPr="00662680">
        <w:rPr>
          <w:sz w:val="22"/>
          <w:szCs w:val="22"/>
        </w:rPr>
        <w:t xml:space="preserve"> (“the Act”) provides for the establishment and maintenance of a national system of controls for the quality, safety, </w:t>
      </w:r>
      <w:proofErr w:type="gramStart"/>
      <w:r w:rsidRPr="00662680">
        <w:rPr>
          <w:sz w:val="22"/>
          <w:szCs w:val="22"/>
        </w:rPr>
        <w:t>efficacy</w:t>
      </w:r>
      <w:proofErr w:type="gramEnd"/>
      <w:r w:rsidRPr="00662680">
        <w:rPr>
          <w:sz w:val="22"/>
          <w:szCs w:val="22"/>
        </w:rPr>
        <w:t xml:space="preserve"> and timely availability of therapeutic goods that are used in, or exported from, Australia. </w:t>
      </w:r>
      <w:r w:rsidR="0052392E" w:rsidRPr="00662680">
        <w:rPr>
          <w:sz w:val="22"/>
          <w:szCs w:val="22"/>
        </w:rPr>
        <w:t xml:space="preserve"> </w:t>
      </w:r>
      <w:r w:rsidRPr="00662680">
        <w:rPr>
          <w:sz w:val="22"/>
          <w:szCs w:val="22"/>
        </w:rPr>
        <w:t xml:space="preserve">The Act also provides a framework for State and Territory governments to adopt a uniform approach to control the availability and accessibility, and to ensure the safe handling, of medicines and poisons in Australia. </w:t>
      </w:r>
      <w:r w:rsidR="0052392E" w:rsidRPr="00662680">
        <w:rPr>
          <w:sz w:val="22"/>
          <w:szCs w:val="22"/>
        </w:rPr>
        <w:t xml:space="preserve"> </w:t>
      </w:r>
      <w:r w:rsidRPr="00662680">
        <w:rPr>
          <w:sz w:val="22"/>
          <w:szCs w:val="22"/>
        </w:rPr>
        <w:t>The Act is administered by the Therapeutic Goods Administration (“the TGA”)</w:t>
      </w:r>
      <w:r w:rsidR="00622BC3" w:rsidRPr="00662680">
        <w:rPr>
          <w:sz w:val="22"/>
          <w:szCs w:val="22"/>
        </w:rPr>
        <w:t xml:space="preserve"> </w:t>
      </w:r>
      <w:r w:rsidRPr="00662680">
        <w:rPr>
          <w:sz w:val="22"/>
          <w:szCs w:val="22"/>
        </w:rPr>
        <w:t>within the Australian Government Department of Health.</w:t>
      </w:r>
    </w:p>
    <w:p w14:paraId="27243ECD" w14:textId="77777777" w:rsidR="004813C1" w:rsidRPr="00662680" w:rsidRDefault="004813C1" w:rsidP="004813C1">
      <w:pPr>
        <w:autoSpaceDE w:val="0"/>
        <w:autoSpaceDN w:val="0"/>
        <w:adjustRightInd w:val="0"/>
        <w:spacing w:before="0" w:after="0"/>
        <w:rPr>
          <w:rFonts w:eastAsiaTheme="minorHAnsi"/>
          <w:color w:val="000000"/>
          <w:sz w:val="22"/>
          <w:szCs w:val="22"/>
          <w:lang w:val="en-AU"/>
        </w:rPr>
      </w:pPr>
    </w:p>
    <w:p w14:paraId="348A0C40" w14:textId="30C8843B" w:rsidR="00BE1BAD" w:rsidRPr="00662680" w:rsidRDefault="00BE1BAD" w:rsidP="004813C1">
      <w:pPr>
        <w:autoSpaceDE w:val="0"/>
        <w:autoSpaceDN w:val="0"/>
        <w:adjustRightInd w:val="0"/>
        <w:spacing w:before="0" w:after="0"/>
        <w:rPr>
          <w:rFonts w:eastAsiaTheme="minorHAnsi"/>
          <w:color w:val="000000"/>
          <w:sz w:val="22"/>
          <w:szCs w:val="22"/>
          <w:lang w:val="en-AU"/>
        </w:rPr>
      </w:pPr>
      <w:r w:rsidRPr="00662680">
        <w:rPr>
          <w:rFonts w:eastAsiaTheme="minorHAnsi"/>
          <w:color w:val="000000"/>
          <w:sz w:val="22"/>
          <w:szCs w:val="22"/>
          <w:lang w:val="en-AU"/>
        </w:rPr>
        <w:t xml:space="preserve">Part 6-3 of the Act (sections 52AA to 52EC) provides the basis for a uniform system of access controls for goods containing scheduled substances. </w:t>
      </w:r>
      <w:r w:rsidR="0052392E" w:rsidRPr="00662680">
        <w:rPr>
          <w:rFonts w:eastAsiaTheme="minorHAnsi"/>
          <w:color w:val="000000"/>
          <w:sz w:val="22"/>
          <w:szCs w:val="22"/>
          <w:lang w:val="en-AU"/>
        </w:rPr>
        <w:t xml:space="preserve"> </w:t>
      </w:r>
      <w:r w:rsidRPr="00662680">
        <w:rPr>
          <w:rFonts w:eastAsiaTheme="minorHAnsi"/>
          <w:color w:val="000000"/>
          <w:sz w:val="22"/>
          <w:szCs w:val="22"/>
          <w:lang w:val="en-AU"/>
        </w:rPr>
        <w:t xml:space="preserve">The scheduling of substances allows restrictions to be placed on their supply to the public, in the interests of public health and safety. </w:t>
      </w:r>
      <w:r w:rsidR="0052392E" w:rsidRPr="00662680">
        <w:rPr>
          <w:rFonts w:eastAsiaTheme="minorHAnsi"/>
          <w:color w:val="000000"/>
          <w:sz w:val="22"/>
          <w:szCs w:val="22"/>
          <w:lang w:val="en-AU"/>
        </w:rPr>
        <w:t xml:space="preserve"> </w:t>
      </w:r>
      <w:r w:rsidRPr="00662680">
        <w:rPr>
          <w:rFonts w:eastAsiaTheme="minorHAnsi"/>
          <w:color w:val="000000"/>
          <w:sz w:val="22"/>
          <w:szCs w:val="22"/>
          <w:lang w:val="en-AU"/>
        </w:rPr>
        <w:t>The scheduling of substances is aimed at minimising the risks of poisoning from, and the misuse or abuse of, scheduled substances.</w:t>
      </w:r>
    </w:p>
    <w:p w14:paraId="2F04BB8F" w14:textId="77777777" w:rsidR="004813C1" w:rsidRPr="00662680" w:rsidRDefault="004813C1" w:rsidP="004813C1">
      <w:pPr>
        <w:autoSpaceDE w:val="0"/>
        <w:autoSpaceDN w:val="0"/>
        <w:adjustRightInd w:val="0"/>
        <w:spacing w:before="0" w:after="0"/>
        <w:rPr>
          <w:rFonts w:eastAsiaTheme="minorHAnsi"/>
          <w:color w:val="000000"/>
          <w:sz w:val="22"/>
          <w:szCs w:val="22"/>
          <w:lang w:val="en-AU"/>
        </w:rPr>
      </w:pPr>
    </w:p>
    <w:p w14:paraId="639C1B4A" w14:textId="47324FFD" w:rsidR="00BE1BAD" w:rsidRPr="00662680" w:rsidRDefault="00BE1BAD" w:rsidP="004813C1">
      <w:pPr>
        <w:autoSpaceDE w:val="0"/>
        <w:autoSpaceDN w:val="0"/>
        <w:adjustRightInd w:val="0"/>
        <w:spacing w:before="0" w:after="0"/>
        <w:rPr>
          <w:rFonts w:eastAsiaTheme="minorHAnsi"/>
          <w:color w:val="000000"/>
          <w:sz w:val="22"/>
          <w:szCs w:val="22"/>
          <w:lang w:val="en-AU"/>
        </w:rPr>
      </w:pPr>
      <w:r w:rsidRPr="00662680">
        <w:rPr>
          <w:rFonts w:eastAsiaTheme="minorHAnsi"/>
          <w:color w:val="000000"/>
          <w:sz w:val="22"/>
          <w:szCs w:val="22"/>
          <w:lang w:val="en-AU"/>
        </w:rPr>
        <w:t>Subsection 52D(2) of the Act empowers the Secretary to amend the current Poisons Standard or to prepare a document (“a new Poisons Standard”) that includes schedules containing the names or descriptions of substances, in substitution for the current Poisons Standard.</w:t>
      </w:r>
    </w:p>
    <w:p w14:paraId="76CFC484" w14:textId="77777777" w:rsidR="004813C1" w:rsidRPr="00662680" w:rsidRDefault="004813C1" w:rsidP="004813C1">
      <w:pPr>
        <w:autoSpaceDE w:val="0"/>
        <w:autoSpaceDN w:val="0"/>
        <w:adjustRightInd w:val="0"/>
        <w:spacing w:before="0" w:after="0"/>
        <w:rPr>
          <w:rFonts w:eastAsiaTheme="minorHAnsi"/>
          <w:color w:val="000000"/>
          <w:sz w:val="22"/>
          <w:szCs w:val="22"/>
          <w:lang w:val="en-AU"/>
        </w:rPr>
      </w:pPr>
    </w:p>
    <w:p w14:paraId="1BB2E59B" w14:textId="77777777" w:rsidR="00BE1BAD" w:rsidRPr="00662680" w:rsidRDefault="00BE1BAD" w:rsidP="004813C1">
      <w:pPr>
        <w:autoSpaceDE w:val="0"/>
        <w:autoSpaceDN w:val="0"/>
        <w:adjustRightInd w:val="0"/>
        <w:spacing w:before="0" w:after="0"/>
        <w:rPr>
          <w:rFonts w:eastAsiaTheme="minorHAnsi"/>
          <w:color w:val="000000"/>
          <w:sz w:val="22"/>
          <w:szCs w:val="22"/>
          <w:lang w:val="en-AU"/>
        </w:rPr>
      </w:pPr>
      <w:r w:rsidRPr="00662680">
        <w:rPr>
          <w:rFonts w:eastAsiaTheme="minorHAnsi"/>
          <w:color w:val="000000"/>
          <w:sz w:val="22"/>
          <w:szCs w:val="22"/>
          <w:lang w:val="en-AU"/>
        </w:rPr>
        <w:t>The Poisons Standard reflects decisions of the Secretary or a delegate of the Secretary regarding the classification of medicines and poisons into the different Schedules, signifying the degree of risk and the control recommended to be exercised over their availability to the public.</w:t>
      </w:r>
    </w:p>
    <w:p w14:paraId="391F2348" w14:textId="77777777" w:rsidR="004813C1" w:rsidRPr="00662680" w:rsidRDefault="004813C1" w:rsidP="004813C1">
      <w:pPr>
        <w:autoSpaceDE w:val="0"/>
        <w:autoSpaceDN w:val="0"/>
        <w:adjustRightInd w:val="0"/>
        <w:spacing w:before="0" w:after="0"/>
        <w:rPr>
          <w:rFonts w:eastAsiaTheme="minorHAnsi"/>
          <w:color w:val="000000"/>
          <w:sz w:val="22"/>
          <w:szCs w:val="22"/>
          <w:lang w:val="en-AU"/>
        </w:rPr>
      </w:pPr>
    </w:p>
    <w:p w14:paraId="7A994EEE" w14:textId="77777777" w:rsidR="00BE1BAD" w:rsidRPr="00662680" w:rsidRDefault="00BE1BAD" w:rsidP="004813C1">
      <w:pPr>
        <w:autoSpaceDE w:val="0"/>
        <w:autoSpaceDN w:val="0"/>
        <w:adjustRightInd w:val="0"/>
        <w:spacing w:before="0" w:after="0"/>
        <w:rPr>
          <w:rFonts w:eastAsiaTheme="minorHAnsi"/>
          <w:color w:val="000000"/>
          <w:sz w:val="22"/>
          <w:szCs w:val="22"/>
          <w:lang w:val="en-AU"/>
        </w:rPr>
      </w:pPr>
      <w:r w:rsidRPr="00662680">
        <w:rPr>
          <w:rFonts w:eastAsiaTheme="minorHAnsi"/>
          <w:color w:val="000000"/>
          <w:sz w:val="22"/>
          <w:szCs w:val="22"/>
          <w:lang w:val="en-AU"/>
        </w:rPr>
        <w:t>The Act establishes two expert advisory committees, the Advisory Committee on Medicines Scheduling (“ACMS”) (section 52B of the Act refers) and the Advisory Committee on Chemicals Scheduling (“ACCS”) (section 52C of the Act refers), which provide advice and make recommendations to the Secretary on matters relating to medicines and chemicals scheduling decisions.</w:t>
      </w:r>
    </w:p>
    <w:p w14:paraId="6675EF21" w14:textId="77777777" w:rsidR="004813C1" w:rsidRPr="00662680" w:rsidRDefault="004813C1" w:rsidP="004813C1">
      <w:pPr>
        <w:autoSpaceDE w:val="0"/>
        <w:autoSpaceDN w:val="0"/>
        <w:adjustRightInd w:val="0"/>
        <w:spacing w:before="0" w:after="0"/>
        <w:rPr>
          <w:rFonts w:eastAsiaTheme="minorHAnsi"/>
          <w:color w:val="000000"/>
          <w:sz w:val="22"/>
          <w:szCs w:val="22"/>
          <w:lang w:val="en-AU"/>
        </w:rPr>
      </w:pPr>
    </w:p>
    <w:p w14:paraId="5563A9C4" w14:textId="358D7888" w:rsidR="00BE1BAD" w:rsidRPr="00662680" w:rsidRDefault="00BE1BAD" w:rsidP="004813C1">
      <w:pPr>
        <w:autoSpaceDE w:val="0"/>
        <w:autoSpaceDN w:val="0"/>
        <w:adjustRightInd w:val="0"/>
        <w:spacing w:before="0" w:after="0"/>
        <w:rPr>
          <w:rFonts w:eastAsiaTheme="minorHAnsi"/>
          <w:color w:val="000000"/>
          <w:sz w:val="22"/>
          <w:szCs w:val="22"/>
          <w:lang w:val="en-AU"/>
        </w:rPr>
      </w:pPr>
      <w:r w:rsidRPr="00662680">
        <w:rPr>
          <w:rFonts w:eastAsiaTheme="minorHAnsi"/>
          <w:color w:val="000000"/>
          <w:sz w:val="22"/>
          <w:szCs w:val="22"/>
          <w:lang w:val="en-AU"/>
        </w:rPr>
        <w:t xml:space="preserve">The Schedules contained in the Poisons Standard are </w:t>
      </w:r>
      <w:r w:rsidR="00DC0937" w:rsidRPr="00662680">
        <w:rPr>
          <w:rFonts w:eastAsiaTheme="minorHAnsi"/>
          <w:color w:val="000000"/>
          <w:sz w:val="22"/>
          <w:szCs w:val="22"/>
          <w:lang w:val="en-AU"/>
        </w:rPr>
        <w:t xml:space="preserve">incorporated by reference </w:t>
      </w:r>
      <w:r w:rsidRPr="00662680">
        <w:rPr>
          <w:rFonts w:eastAsiaTheme="minorHAnsi"/>
          <w:color w:val="000000"/>
          <w:sz w:val="22"/>
          <w:szCs w:val="22"/>
          <w:lang w:val="en-AU"/>
        </w:rPr>
        <w:t xml:space="preserve">under State and Territory legislation for regulatory purposes. </w:t>
      </w:r>
      <w:r w:rsidR="0052392E" w:rsidRPr="00662680">
        <w:rPr>
          <w:rFonts w:eastAsiaTheme="minorHAnsi"/>
          <w:color w:val="000000"/>
          <w:sz w:val="22"/>
          <w:szCs w:val="22"/>
          <w:lang w:val="en-AU"/>
        </w:rPr>
        <w:t xml:space="preserve"> </w:t>
      </w:r>
      <w:r w:rsidRPr="00662680">
        <w:rPr>
          <w:rFonts w:eastAsiaTheme="minorHAnsi"/>
          <w:color w:val="000000"/>
          <w:sz w:val="22"/>
          <w:szCs w:val="22"/>
          <w:lang w:val="en-AU"/>
        </w:rPr>
        <w:t>This enables restrictions to be placed on the supply of scheduled substances to the public, according to the degree of risk associated with the substances and the level of control recommended over their availability, in the interest of public health and safety.</w:t>
      </w:r>
    </w:p>
    <w:p w14:paraId="6B74A9CE" w14:textId="77777777" w:rsidR="004813C1" w:rsidRPr="00662680" w:rsidRDefault="004813C1" w:rsidP="004813C1">
      <w:pPr>
        <w:autoSpaceDE w:val="0"/>
        <w:autoSpaceDN w:val="0"/>
        <w:adjustRightInd w:val="0"/>
        <w:spacing w:before="0" w:after="0"/>
        <w:rPr>
          <w:rFonts w:eastAsiaTheme="minorHAnsi"/>
          <w:color w:val="000000"/>
          <w:sz w:val="22"/>
          <w:szCs w:val="22"/>
          <w:lang w:val="en-AU"/>
        </w:rPr>
      </w:pPr>
    </w:p>
    <w:p w14:paraId="75A3295C" w14:textId="0F55D367" w:rsidR="00BE1BAD" w:rsidRPr="00662680" w:rsidRDefault="00DC0937" w:rsidP="004813C1">
      <w:pPr>
        <w:autoSpaceDE w:val="0"/>
        <w:autoSpaceDN w:val="0"/>
        <w:adjustRightInd w:val="0"/>
        <w:spacing w:before="0" w:after="0"/>
        <w:rPr>
          <w:rFonts w:eastAsiaTheme="minorHAnsi"/>
          <w:color w:val="000000"/>
          <w:sz w:val="22"/>
          <w:szCs w:val="22"/>
          <w:lang w:val="en-AU"/>
        </w:rPr>
      </w:pPr>
      <w:r w:rsidRPr="00662680">
        <w:rPr>
          <w:rFonts w:eastAsiaTheme="minorHAnsi"/>
          <w:color w:val="000000"/>
          <w:sz w:val="22"/>
          <w:szCs w:val="22"/>
          <w:lang w:val="en-AU"/>
        </w:rPr>
        <w:t>Similarly, t</w:t>
      </w:r>
      <w:r w:rsidR="00BE1BAD" w:rsidRPr="00662680">
        <w:rPr>
          <w:rFonts w:eastAsiaTheme="minorHAnsi"/>
          <w:color w:val="000000"/>
          <w:sz w:val="22"/>
          <w:szCs w:val="22"/>
          <w:lang w:val="en-AU"/>
        </w:rPr>
        <w:t xml:space="preserve">he Commonwealth </w:t>
      </w:r>
      <w:proofErr w:type="gramStart"/>
      <w:r w:rsidR="00BE1BAD" w:rsidRPr="00662680">
        <w:rPr>
          <w:rFonts w:eastAsiaTheme="minorHAnsi"/>
          <w:color w:val="000000"/>
          <w:sz w:val="22"/>
          <w:szCs w:val="22"/>
          <w:lang w:val="en-AU"/>
        </w:rPr>
        <w:t>takes into account</w:t>
      </w:r>
      <w:proofErr w:type="gramEnd"/>
      <w:r w:rsidR="00BE1BAD" w:rsidRPr="00662680">
        <w:rPr>
          <w:rFonts w:eastAsiaTheme="minorHAnsi"/>
          <w:color w:val="000000"/>
          <w:sz w:val="22"/>
          <w:szCs w:val="22"/>
          <w:lang w:val="en-AU"/>
        </w:rPr>
        <w:t xml:space="preserve"> the scheduling and classification of substances in the Poisons Standard for regulatory and enforcement purposes under the Act. </w:t>
      </w:r>
      <w:r w:rsidR="0052392E" w:rsidRPr="00662680">
        <w:rPr>
          <w:rFonts w:eastAsiaTheme="minorHAnsi"/>
          <w:color w:val="000000"/>
          <w:sz w:val="22"/>
          <w:szCs w:val="22"/>
          <w:lang w:val="en-AU"/>
        </w:rPr>
        <w:t xml:space="preserve"> </w:t>
      </w:r>
      <w:r w:rsidR="00BE1BAD" w:rsidRPr="00662680">
        <w:rPr>
          <w:rFonts w:eastAsiaTheme="minorHAnsi"/>
          <w:color w:val="000000"/>
          <w:sz w:val="22"/>
          <w:szCs w:val="22"/>
          <w:lang w:val="en-AU"/>
        </w:rPr>
        <w:t xml:space="preserve">For example, the Act prohibits the publication or broadcasting of advertisements to consumers about prescription medicines containing substances included in Schedule 4 or Schedule 8 to the Poisons Standard, or over-the-counter medicines containing substances included in Schedule 3 and not included in Appendix H of the Poisons Standard. </w:t>
      </w:r>
      <w:r w:rsidR="0052392E" w:rsidRPr="00662680">
        <w:rPr>
          <w:rFonts w:eastAsiaTheme="minorHAnsi"/>
          <w:color w:val="000000"/>
          <w:sz w:val="22"/>
          <w:szCs w:val="22"/>
          <w:lang w:val="en-AU"/>
        </w:rPr>
        <w:t xml:space="preserve"> </w:t>
      </w:r>
      <w:r w:rsidR="00BE1BAD" w:rsidRPr="00662680">
        <w:rPr>
          <w:rFonts w:eastAsiaTheme="minorHAnsi"/>
          <w:color w:val="000000"/>
          <w:sz w:val="22"/>
          <w:szCs w:val="22"/>
          <w:lang w:val="en-AU"/>
        </w:rPr>
        <w:t xml:space="preserve">The advertising of substances included in Schedule 9 or Schedule 10 </w:t>
      </w:r>
      <w:r w:rsidR="00CF2FA8" w:rsidRPr="00662680">
        <w:rPr>
          <w:rFonts w:eastAsiaTheme="minorHAnsi"/>
          <w:color w:val="000000"/>
          <w:sz w:val="22"/>
          <w:szCs w:val="22"/>
          <w:lang w:val="en-AU"/>
        </w:rPr>
        <w:t xml:space="preserve">to </w:t>
      </w:r>
      <w:r w:rsidR="00BE1BAD" w:rsidRPr="00662680">
        <w:rPr>
          <w:rFonts w:eastAsiaTheme="minorHAnsi"/>
          <w:color w:val="000000"/>
          <w:sz w:val="22"/>
          <w:szCs w:val="22"/>
          <w:lang w:val="en-AU"/>
        </w:rPr>
        <w:t>the Poisons Standard is also prohibited.</w:t>
      </w:r>
    </w:p>
    <w:p w14:paraId="0F76B36C" w14:textId="77777777" w:rsidR="004813C1" w:rsidRPr="00662680" w:rsidRDefault="004813C1" w:rsidP="004813C1">
      <w:pPr>
        <w:autoSpaceDE w:val="0"/>
        <w:autoSpaceDN w:val="0"/>
        <w:adjustRightInd w:val="0"/>
        <w:spacing w:before="0" w:after="0"/>
        <w:rPr>
          <w:rFonts w:eastAsiaTheme="minorHAnsi"/>
          <w:color w:val="000000"/>
          <w:sz w:val="22"/>
          <w:szCs w:val="22"/>
          <w:lang w:val="en-AU"/>
        </w:rPr>
      </w:pPr>
    </w:p>
    <w:p w14:paraId="57CDF998" w14:textId="6A9BC04D" w:rsidR="00BE1BAD" w:rsidRPr="00662680" w:rsidRDefault="00BE1BAD" w:rsidP="0052392E">
      <w:pPr>
        <w:keepLines/>
        <w:autoSpaceDE w:val="0"/>
        <w:autoSpaceDN w:val="0"/>
        <w:adjustRightInd w:val="0"/>
        <w:spacing w:before="0" w:after="0"/>
        <w:rPr>
          <w:rFonts w:eastAsiaTheme="minorHAnsi"/>
          <w:color w:val="000000"/>
          <w:sz w:val="22"/>
          <w:szCs w:val="22"/>
          <w:lang w:val="en-AU"/>
        </w:rPr>
      </w:pPr>
      <w:r w:rsidRPr="00662680">
        <w:rPr>
          <w:rFonts w:eastAsiaTheme="minorHAnsi"/>
          <w:color w:val="000000"/>
          <w:sz w:val="22"/>
          <w:szCs w:val="22"/>
          <w:lang w:val="en-AU"/>
        </w:rPr>
        <w:lastRenderedPageBreak/>
        <w:t xml:space="preserve">The Scheduling Policy Framework (“the SPF”) provides guidance on whether a decision concerning the scheduling of substances under the Poisons Standard would benefit from being referred to ACMS or ACCS for advice. </w:t>
      </w:r>
      <w:r w:rsidR="0052392E" w:rsidRPr="00662680">
        <w:rPr>
          <w:rFonts w:eastAsiaTheme="minorHAnsi"/>
          <w:color w:val="000000"/>
          <w:sz w:val="22"/>
          <w:szCs w:val="22"/>
          <w:lang w:val="en-AU"/>
        </w:rPr>
        <w:t xml:space="preserve"> </w:t>
      </w:r>
      <w:r w:rsidRPr="00662680">
        <w:rPr>
          <w:rFonts w:eastAsiaTheme="minorHAnsi"/>
          <w:color w:val="000000"/>
          <w:sz w:val="22"/>
          <w:szCs w:val="22"/>
          <w:lang w:val="en-AU"/>
        </w:rPr>
        <w:t>A copy of the SPF can be found at</w:t>
      </w:r>
      <w:r w:rsidR="00B041B3" w:rsidRPr="00662680">
        <w:rPr>
          <w:rFonts w:eastAsiaTheme="minorHAnsi"/>
          <w:color w:val="000000"/>
          <w:sz w:val="22"/>
          <w:szCs w:val="22"/>
          <w:lang w:val="en-AU"/>
        </w:rPr>
        <w:t>:</w:t>
      </w:r>
      <w:r w:rsidRPr="00662680">
        <w:rPr>
          <w:rFonts w:eastAsiaTheme="minorHAnsi"/>
          <w:color w:val="000000"/>
          <w:sz w:val="22"/>
          <w:szCs w:val="22"/>
          <w:lang w:val="en-AU"/>
        </w:rPr>
        <w:t xml:space="preserve"> </w:t>
      </w:r>
      <w:r w:rsidR="004329E0" w:rsidRPr="00662680">
        <w:rPr>
          <w:rFonts w:eastAsiaTheme="minorHAnsi"/>
          <w:sz w:val="22"/>
          <w:szCs w:val="22"/>
          <w:lang w:val="en-AU"/>
        </w:rPr>
        <w:t>https://www.tga.gov.au/publication/ahmac-scheduling-policy-framework-medicines-and-chemicals</w:t>
      </w:r>
      <w:r w:rsidRPr="00662680">
        <w:rPr>
          <w:rFonts w:eastAsiaTheme="minorHAnsi"/>
          <w:color w:val="000000"/>
          <w:sz w:val="22"/>
          <w:szCs w:val="22"/>
          <w:lang w:val="en-AU"/>
        </w:rPr>
        <w:t>.</w:t>
      </w:r>
    </w:p>
    <w:p w14:paraId="13ED2160" w14:textId="77777777" w:rsidR="004813C1" w:rsidRPr="00662680" w:rsidRDefault="004813C1" w:rsidP="004813C1">
      <w:pPr>
        <w:autoSpaceDE w:val="0"/>
        <w:autoSpaceDN w:val="0"/>
        <w:adjustRightInd w:val="0"/>
        <w:spacing w:before="0" w:after="0"/>
        <w:rPr>
          <w:rFonts w:eastAsiaTheme="minorHAnsi"/>
          <w:color w:val="000000"/>
          <w:sz w:val="22"/>
          <w:szCs w:val="22"/>
          <w:lang w:val="en-AU"/>
        </w:rPr>
      </w:pPr>
    </w:p>
    <w:p w14:paraId="476AB083" w14:textId="48186F28" w:rsidR="003C493F" w:rsidRPr="00662680" w:rsidRDefault="003F6727" w:rsidP="00B3433A">
      <w:pPr>
        <w:autoSpaceDE w:val="0"/>
        <w:autoSpaceDN w:val="0"/>
        <w:adjustRightInd w:val="0"/>
        <w:spacing w:before="0" w:after="0"/>
        <w:rPr>
          <w:rFonts w:eastAsiaTheme="minorHAnsi"/>
          <w:i/>
          <w:color w:val="000000"/>
          <w:sz w:val="22"/>
          <w:szCs w:val="22"/>
          <w:lang w:val="en-AU"/>
        </w:rPr>
      </w:pPr>
      <w:r w:rsidRPr="00662680">
        <w:rPr>
          <w:rFonts w:eastAsiaTheme="minorHAnsi"/>
          <w:color w:val="000000"/>
          <w:sz w:val="22"/>
          <w:szCs w:val="22"/>
          <w:lang w:val="en-AU"/>
        </w:rPr>
        <w:t xml:space="preserve">The purpose of this instrument is to make a new Poisons Standard, the </w:t>
      </w:r>
      <w:r w:rsidRPr="00662680">
        <w:rPr>
          <w:rFonts w:eastAsiaTheme="minorHAnsi"/>
          <w:i/>
          <w:color w:val="000000"/>
          <w:sz w:val="22"/>
          <w:szCs w:val="22"/>
          <w:lang w:val="en-AU"/>
        </w:rPr>
        <w:t xml:space="preserve">Poisons Standard </w:t>
      </w:r>
      <w:r w:rsidR="00C87FE7" w:rsidRPr="00662680">
        <w:rPr>
          <w:rFonts w:eastAsiaTheme="minorHAnsi"/>
          <w:i/>
          <w:color w:val="000000"/>
          <w:sz w:val="22"/>
          <w:szCs w:val="22"/>
          <w:lang w:val="en-AU"/>
        </w:rPr>
        <w:t>October</w:t>
      </w:r>
      <w:r w:rsidR="009A3F38" w:rsidRPr="00662680">
        <w:rPr>
          <w:rFonts w:eastAsiaTheme="minorHAnsi"/>
          <w:i/>
          <w:color w:val="000000"/>
          <w:sz w:val="22"/>
          <w:szCs w:val="22"/>
          <w:lang w:val="en-AU"/>
        </w:rPr>
        <w:t xml:space="preserve"> </w:t>
      </w:r>
      <w:r w:rsidRPr="00662680">
        <w:rPr>
          <w:rFonts w:eastAsiaTheme="minorHAnsi"/>
          <w:i/>
          <w:color w:val="000000"/>
          <w:sz w:val="22"/>
          <w:szCs w:val="22"/>
          <w:lang w:val="en-AU"/>
        </w:rPr>
        <w:t>202</w:t>
      </w:r>
      <w:r w:rsidR="00D81969" w:rsidRPr="00662680">
        <w:rPr>
          <w:rFonts w:eastAsiaTheme="minorHAnsi"/>
          <w:i/>
          <w:color w:val="000000"/>
          <w:sz w:val="22"/>
          <w:szCs w:val="22"/>
          <w:lang w:val="en-AU"/>
        </w:rPr>
        <w:t>1</w:t>
      </w:r>
      <w:r w:rsidRPr="00662680">
        <w:rPr>
          <w:rFonts w:eastAsiaTheme="minorHAnsi"/>
          <w:color w:val="000000"/>
          <w:sz w:val="22"/>
          <w:szCs w:val="22"/>
          <w:lang w:val="en-AU"/>
        </w:rPr>
        <w:t xml:space="preserve">, in substitution for the previous Poisons Standard, the </w:t>
      </w:r>
      <w:r w:rsidRPr="00662680">
        <w:rPr>
          <w:rFonts w:eastAsiaTheme="minorHAnsi"/>
          <w:i/>
          <w:color w:val="000000"/>
          <w:sz w:val="22"/>
          <w:szCs w:val="22"/>
          <w:lang w:val="en-AU"/>
        </w:rPr>
        <w:t xml:space="preserve">Poisons Standard </w:t>
      </w:r>
      <w:r w:rsidR="00C87FE7" w:rsidRPr="00662680">
        <w:rPr>
          <w:rFonts w:eastAsiaTheme="minorHAnsi"/>
          <w:i/>
          <w:color w:val="000000"/>
          <w:sz w:val="22"/>
          <w:szCs w:val="22"/>
          <w:lang w:val="en-AU"/>
        </w:rPr>
        <w:t>June</w:t>
      </w:r>
      <w:r w:rsidR="007319B6" w:rsidRPr="00662680">
        <w:rPr>
          <w:rFonts w:eastAsiaTheme="minorHAnsi"/>
          <w:i/>
          <w:color w:val="000000"/>
          <w:sz w:val="22"/>
          <w:szCs w:val="22"/>
          <w:lang w:val="en-AU"/>
        </w:rPr>
        <w:t xml:space="preserve"> 2021</w:t>
      </w:r>
      <w:r w:rsidR="00D62A78" w:rsidRPr="00662680">
        <w:rPr>
          <w:rFonts w:eastAsiaTheme="minorHAnsi"/>
          <w:color w:val="000000"/>
          <w:sz w:val="22"/>
          <w:szCs w:val="22"/>
          <w:lang w:val="en-AU"/>
        </w:rPr>
        <w:t>.</w:t>
      </w:r>
      <w:r w:rsidR="00B3433A" w:rsidRPr="00662680">
        <w:rPr>
          <w:rFonts w:eastAsiaTheme="minorHAnsi"/>
          <w:i/>
          <w:color w:val="000000"/>
          <w:sz w:val="22"/>
          <w:szCs w:val="22"/>
          <w:lang w:val="en-AU"/>
        </w:rPr>
        <w:t xml:space="preserve"> </w:t>
      </w:r>
      <w:r w:rsidR="000104DC" w:rsidRPr="00662680">
        <w:rPr>
          <w:rFonts w:eastAsiaTheme="minorHAnsi"/>
          <w:sz w:val="22"/>
          <w:szCs w:val="22"/>
          <w:lang w:val="en-AU"/>
        </w:rPr>
        <w:t xml:space="preserve">The </w:t>
      </w:r>
      <w:r w:rsidR="000104DC" w:rsidRPr="00662680">
        <w:rPr>
          <w:rFonts w:eastAsiaTheme="minorHAnsi"/>
          <w:i/>
          <w:sz w:val="22"/>
          <w:szCs w:val="22"/>
          <w:lang w:val="en-AU"/>
        </w:rPr>
        <w:t xml:space="preserve">Poisons Standard </w:t>
      </w:r>
      <w:r w:rsidR="00C87FE7" w:rsidRPr="00662680">
        <w:rPr>
          <w:rFonts w:eastAsiaTheme="minorHAnsi"/>
          <w:i/>
          <w:sz w:val="22"/>
          <w:szCs w:val="22"/>
          <w:lang w:val="en-AU"/>
        </w:rPr>
        <w:t>October</w:t>
      </w:r>
      <w:r w:rsidR="000B1021" w:rsidRPr="00662680">
        <w:rPr>
          <w:rFonts w:eastAsiaTheme="minorHAnsi"/>
          <w:i/>
          <w:sz w:val="22"/>
          <w:szCs w:val="22"/>
          <w:lang w:val="en-AU"/>
        </w:rPr>
        <w:t xml:space="preserve"> </w:t>
      </w:r>
      <w:r w:rsidR="000104DC" w:rsidRPr="00662680">
        <w:rPr>
          <w:rFonts w:eastAsiaTheme="minorHAnsi"/>
          <w:i/>
          <w:sz w:val="22"/>
          <w:szCs w:val="22"/>
          <w:lang w:val="en-AU"/>
        </w:rPr>
        <w:t>202</w:t>
      </w:r>
      <w:r w:rsidR="000B1021" w:rsidRPr="00662680">
        <w:rPr>
          <w:rFonts w:eastAsiaTheme="minorHAnsi"/>
          <w:i/>
          <w:sz w:val="22"/>
          <w:szCs w:val="22"/>
          <w:lang w:val="en-AU"/>
        </w:rPr>
        <w:t>1</w:t>
      </w:r>
      <w:r w:rsidR="000104DC" w:rsidRPr="00662680">
        <w:rPr>
          <w:rFonts w:eastAsiaTheme="minorHAnsi"/>
          <w:sz w:val="22"/>
          <w:szCs w:val="22"/>
          <w:lang w:val="en-AU"/>
        </w:rPr>
        <w:t xml:space="preserve"> </w:t>
      </w:r>
      <w:r w:rsidR="00D62A78" w:rsidRPr="00662680">
        <w:rPr>
          <w:rFonts w:eastAsiaTheme="minorHAnsi"/>
          <w:sz w:val="22"/>
          <w:szCs w:val="22"/>
          <w:lang w:val="en-AU"/>
        </w:rPr>
        <w:t>repeals and replaces</w:t>
      </w:r>
      <w:r w:rsidR="000104DC" w:rsidRPr="00662680">
        <w:rPr>
          <w:rFonts w:eastAsiaTheme="minorHAnsi"/>
          <w:sz w:val="22"/>
          <w:szCs w:val="22"/>
          <w:lang w:val="en-AU"/>
        </w:rPr>
        <w:t xml:space="preserve"> the </w:t>
      </w:r>
      <w:r w:rsidR="000104DC" w:rsidRPr="00662680">
        <w:rPr>
          <w:rFonts w:eastAsiaTheme="minorHAnsi"/>
          <w:i/>
          <w:sz w:val="22"/>
          <w:szCs w:val="22"/>
          <w:lang w:val="en-AU"/>
        </w:rPr>
        <w:t xml:space="preserve">Poisons Standard </w:t>
      </w:r>
      <w:r w:rsidR="00C87FE7" w:rsidRPr="00662680">
        <w:rPr>
          <w:rFonts w:eastAsiaTheme="minorHAnsi"/>
          <w:i/>
          <w:sz w:val="22"/>
          <w:szCs w:val="22"/>
          <w:lang w:val="en-AU"/>
        </w:rPr>
        <w:t xml:space="preserve">June </w:t>
      </w:r>
      <w:r w:rsidR="007319B6" w:rsidRPr="00662680">
        <w:rPr>
          <w:rFonts w:eastAsiaTheme="minorHAnsi"/>
          <w:i/>
          <w:sz w:val="22"/>
          <w:szCs w:val="22"/>
          <w:lang w:val="en-AU"/>
        </w:rPr>
        <w:t>2021</w:t>
      </w:r>
      <w:r w:rsidR="00DC0937" w:rsidRPr="00662680">
        <w:rPr>
          <w:rFonts w:eastAsiaTheme="minorHAnsi"/>
          <w:sz w:val="22"/>
          <w:szCs w:val="22"/>
          <w:lang w:val="en-AU"/>
        </w:rPr>
        <w:t>,</w:t>
      </w:r>
      <w:r w:rsidR="00D62A78" w:rsidRPr="00662680">
        <w:rPr>
          <w:rFonts w:eastAsiaTheme="minorHAnsi"/>
          <w:sz w:val="22"/>
          <w:szCs w:val="22"/>
          <w:lang w:val="en-AU"/>
        </w:rPr>
        <w:t xml:space="preserve"> </w:t>
      </w:r>
      <w:r w:rsidR="00861D2B" w:rsidRPr="00662680">
        <w:rPr>
          <w:rFonts w:eastAsiaTheme="minorHAnsi"/>
          <w:sz w:val="22"/>
          <w:szCs w:val="22"/>
          <w:lang w:val="en-AU"/>
        </w:rPr>
        <w:t xml:space="preserve">principally </w:t>
      </w:r>
      <w:r w:rsidR="00D62A78" w:rsidRPr="00662680">
        <w:rPr>
          <w:rFonts w:eastAsiaTheme="minorHAnsi"/>
          <w:sz w:val="22"/>
          <w:szCs w:val="22"/>
          <w:lang w:val="en-AU"/>
        </w:rPr>
        <w:t xml:space="preserve">to incorporate </w:t>
      </w:r>
      <w:proofErr w:type="gramStart"/>
      <w:r w:rsidR="00D62A78" w:rsidRPr="00662680">
        <w:rPr>
          <w:rFonts w:eastAsiaTheme="minorHAnsi"/>
          <w:sz w:val="22"/>
          <w:szCs w:val="22"/>
          <w:lang w:val="en-AU"/>
        </w:rPr>
        <w:t>a number of</w:t>
      </w:r>
      <w:proofErr w:type="gramEnd"/>
      <w:r w:rsidR="00D62A78" w:rsidRPr="00662680">
        <w:rPr>
          <w:rFonts w:eastAsiaTheme="minorHAnsi"/>
          <w:sz w:val="22"/>
          <w:szCs w:val="22"/>
          <w:lang w:val="en-AU"/>
        </w:rPr>
        <w:t xml:space="preserve"> </w:t>
      </w:r>
      <w:r w:rsidR="00861D2B" w:rsidRPr="00662680">
        <w:rPr>
          <w:rFonts w:eastAsiaTheme="minorHAnsi"/>
          <w:sz w:val="22"/>
          <w:szCs w:val="22"/>
          <w:lang w:val="en-AU"/>
        </w:rPr>
        <w:t>changes to existing entries</w:t>
      </w:r>
      <w:r w:rsidR="00D62A78" w:rsidRPr="00662680">
        <w:rPr>
          <w:rFonts w:eastAsiaTheme="minorHAnsi"/>
          <w:sz w:val="22"/>
          <w:szCs w:val="22"/>
          <w:lang w:val="en-AU"/>
        </w:rPr>
        <w:t>,</w:t>
      </w:r>
      <w:r w:rsidR="00861D2B" w:rsidRPr="00662680">
        <w:rPr>
          <w:rFonts w:eastAsiaTheme="minorHAnsi"/>
          <w:sz w:val="22"/>
          <w:szCs w:val="22"/>
          <w:lang w:val="en-AU"/>
        </w:rPr>
        <w:t xml:space="preserve"> and </w:t>
      </w:r>
      <w:r w:rsidR="00D62A78" w:rsidRPr="00662680">
        <w:rPr>
          <w:rFonts w:eastAsiaTheme="minorHAnsi"/>
          <w:sz w:val="22"/>
          <w:szCs w:val="22"/>
          <w:lang w:val="en-AU"/>
        </w:rPr>
        <w:t xml:space="preserve">to include </w:t>
      </w:r>
      <w:r w:rsidR="00861D2B" w:rsidRPr="00662680">
        <w:rPr>
          <w:rFonts w:eastAsiaTheme="minorHAnsi"/>
          <w:sz w:val="22"/>
          <w:szCs w:val="22"/>
          <w:lang w:val="en-AU"/>
        </w:rPr>
        <w:t>a number of specified substances in the Poisons Standard for the first time.</w:t>
      </w:r>
    </w:p>
    <w:p w14:paraId="630262A9" w14:textId="77777777" w:rsidR="0065490C" w:rsidRPr="00662680" w:rsidRDefault="004176FC" w:rsidP="002C7D01">
      <w:pPr>
        <w:rPr>
          <w:rFonts w:eastAsiaTheme="minorHAnsi"/>
          <w:sz w:val="22"/>
          <w:szCs w:val="22"/>
          <w:lang w:val="en-AU"/>
        </w:rPr>
      </w:pPr>
      <w:r w:rsidRPr="00662680">
        <w:rPr>
          <w:rFonts w:eastAsiaTheme="minorHAnsi"/>
          <w:sz w:val="22"/>
          <w:szCs w:val="22"/>
          <w:lang w:val="en-AU"/>
        </w:rPr>
        <w:t xml:space="preserve">A number of these changes were made following the provision of advice from the ACCS or the ACMS, in accordance with the procedures set out in Subdivision 3D.2 of Part 6 of the </w:t>
      </w:r>
      <w:r w:rsidRPr="00662680">
        <w:rPr>
          <w:rFonts w:eastAsiaTheme="minorHAnsi"/>
          <w:i/>
          <w:sz w:val="22"/>
          <w:szCs w:val="22"/>
          <w:lang w:val="en-AU"/>
        </w:rPr>
        <w:t>Therapeutic Goods Regulations 1990</w:t>
      </w:r>
      <w:r w:rsidRPr="00662680">
        <w:rPr>
          <w:rFonts w:eastAsiaTheme="minorHAnsi"/>
          <w:sz w:val="22"/>
          <w:szCs w:val="22"/>
          <w:lang w:val="en-AU"/>
        </w:rPr>
        <w:t xml:space="preserve"> for amending the Poisons Standard when a proposed amendment is referred to an expert advisory committee.</w:t>
      </w:r>
    </w:p>
    <w:p w14:paraId="7DC18BAE" w14:textId="7E49638F" w:rsidR="007319B6" w:rsidRPr="00662680" w:rsidRDefault="00D71A4F" w:rsidP="00A3074B">
      <w:pPr>
        <w:rPr>
          <w:rFonts w:eastAsiaTheme="minorHAnsi"/>
          <w:sz w:val="22"/>
          <w:szCs w:val="22"/>
          <w:lang w:val="en-AU"/>
        </w:rPr>
      </w:pPr>
      <w:r w:rsidRPr="00662680">
        <w:rPr>
          <w:rFonts w:eastAsiaTheme="minorHAnsi"/>
          <w:sz w:val="22"/>
          <w:szCs w:val="22"/>
          <w:lang w:val="en-AU"/>
        </w:rPr>
        <w:t xml:space="preserve">Public comment was invited in relation to the proposed amendments that were </w:t>
      </w:r>
      <w:r w:rsidR="00957A23" w:rsidRPr="00662680">
        <w:rPr>
          <w:rFonts w:eastAsiaTheme="minorHAnsi"/>
          <w:sz w:val="22"/>
          <w:szCs w:val="22"/>
          <w:lang w:val="en-AU"/>
        </w:rPr>
        <w:t xml:space="preserve">referred to the </w:t>
      </w:r>
      <w:r w:rsidR="00AB5748" w:rsidRPr="00662680">
        <w:rPr>
          <w:rFonts w:eastAsiaTheme="minorHAnsi"/>
          <w:sz w:val="22"/>
          <w:szCs w:val="22"/>
          <w:lang w:val="en-AU"/>
        </w:rPr>
        <w:t>March 2020 AC</w:t>
      </w:r>
      <w:r w:rsidR="00AC799E" w:rsidRPr="00662680">
        <w:rPr>
          <w:rFonts w:eastAsiaTheme="minorHAnsi"/>
          <w:sz w:val="22"/>
          <w:szCs w:val="22"/>
          <w:lang w:val="en-AU"/>
        </w:rPr>
        <w:t>C</w:t>
      </w:r>
      <w:r w:rsidR="00AB5748" w:rsidRPr="00662680">
        <w:rPr>
          <w:rFonts w:eastAsiaTheme="minorHAnsi"/>
          <w:sz w:val="22"/>
          <w:szCs w:val="22"/>
          <w:lang w:val="en-AU"/>
        </w:rPr>
        <w:t xml:space="preserve">S, </w:t>
      </w:r>
      <w:r w:rsidR="00AC799E" w:rsidRPr="00662680">
        <w:rPr>
          <w:rFonts w:eastAsiaTheme="minorHAnsi"/>
          <w:sz w:val="22"/>
          <w:szCs w:val="22"/>
          <w:lang w:val="en-AU"/>
        </w:rPr>
        <w:t>June</w:t>
      </w:r>
      <w:r w:rsidR="00AB5748" w:rsidRPr="00662680">
        <w:rPr>
          <w:rFonts w:eastAsiaTheme="minorHAnsi"/>
          <w:sz w:val="22"/>
          <w:szCs w:val="22"/>
          <w:lang w:val="en-AU"/>
        </w:rPr>
        <w:t xml:space="preserve"> 2020 </w:t>
      </w:r>
      <w:r w:rsidR="007319B6" w:rsidRPr="00662680">
        <w:rPr>
          <w:rFonts w:eastAsiaTheme="minorHAnsi"/>
          <w:sz w:val="22"/>
          <w:szCs w:val="22"/>
          <w:lang w:val="en-AU"/>
        </w:rPr>
        <w:t>Joint ACMS-ACCS</w:t>
      </w:r>
      <w:r w:rsidR="00AC799E" w:rsidRPr="00662680">
        <w:rPr>
          <w:rFonts w:eastAsiaTheme="minorHAnsi"/>
          <w:sz w:val="22"/>
          <w:szCs w:val="22"/>
          <w:lang w:val="en-AU"/>
        </w:rPr>
        <w:t>, March 2021 ACCS and March 2021 Joint ACMS-ACCS</w:t>
      </w:r>
      <w:r w:rsidR="00AB5748" w:rsidRPr="00662680">
        <w:rPr>
          <w:rFonts w:eastAsiaTheme="minorHAnsi"/>
          <w:sz w:val="22"/>
          <w:szCs w:val="22"/>
          <w:lang w:val="en-AU"/>
        </w:rPr>
        <w:t xml:space="preserve"> meetings</w:t>
      </w:r>
      <w:r w:rsidR="007319B6" w:rsidRPr="00662680">
        <w:rPr>
          <w:rFonts w:eastAsiaTheme="minorHAnsi"/>
          <w:sz w:val="22"/>
          <w:szCs w:val="22"/>
          <w:lang w:val="en-AU"/>
        </w:rPr>
        <w:t>, as follows:</w:t>
      </w:r>
    </w:p>
    <w:p w14:paraId="47DCD15A" w14:textId="6AA903E8" w:rsidR="00AB5748" w:rsidRPr="00662680" w:rsidRDefault="00473EA2" w:rsidP="0072684E">
      <w:pPr>
        <w:pStyle w:val="ListParagraph"/>
        <w:spacing w:before="0"/>
        <w:rPr>
          <w:sz w:val="22"/>
          <w:szCs w:val="22"/>
        </w:rPr>
      </w:pPr>
      <w:r w:rsidRPr="00662680">
        <w:rPr>
          <w:sz w:val="22"/>
          <w:szCs w:val="22"/>
        </w:rPr>
        <w:t>an</w:t>
      </w:r>
      <w:r w:rsidR="00AB5748" w:rsidRPr="00662680">
        <w:rPr>
          <w:sz w:val="22"/>
          <w:szCs w:val="22"/>
        </w:rPr>
        <w:t xml:space="preserve"> invitation to comment in relation to </w:t>
      </w:r>
      <w:r w:rsidR="00AC799E" w:rsidRPr="00662680">
        <w:rPr>
          <w:sz w:val="22"/>
          <w:szCs w:val="22"/>
        </w:rPr>
        <w:t>picramic acid (including its salts)</w:t>
      </w:r>
      <w:r w:rsidR="00AB5748" w:rsidRPr="00662680">
        <w:rPr>
          <w:sz w:val="22"/>
          <w:szCs w:val="22"/>
          <w:lang w:val="en-AU"/>
        </w:rPr>
        <w:t xml:space="preserve"> </w:t>
      </w:r>
      <w:r w:rsidR="00AB5748" w:rsidRPr="00662680">
        <w:rPr>
          <w:sz w:val="22"/>
          <w:szCs w:val="22"/>
        </w:rPr>
        <w:t xml:space="preserve">was published on the TGA website on </w:t>
      </w:r>
      <w:hyperlink r:id="rId8" w:history="1">
        <w:r w:rsidR="00AB5748" w:rsidRPr="00662680">
          <w:rPr>
            <w:rStyle w:val="Hyperlink"/>
            <w:sz w:val="22"/>
            <w:szCs w:val="22"/>
          </w:rPr>
          <w:t>20 December 2019</w:t>
        </w:r>
      </w:hyperlink>
      <w:r w:rsidR="00AB5748" w:rsidRPr="00662680">
        <w:rPr>
          <w:sz w:val="22"/>
          <w:szCs w:val="22"/>
        </w:rPr>
        <w:t>, with a closing date of 10 February 2020</w:t>
      </w:r>
      <w:r w:rsidR="00A56047" w:rsidRPr="00662680">
        <w:rPr>
          <w:sz w:val="22"/>
          <w:szCs w:val="22"/>
        </w:rPr>
        <w:t>.</w:t>
      </w:r>
      <w:r w:rsidR="00CC3465" w:rsidRPr="00662680">
        <w:rPr>
          <w:sz w:val="22"/>
          <w:szCs w:val="22"/>
        </w:rPr>
        <w:t xml:space="preserve"> </w:t>
      </w:r>
      <w:r w:rsidR="00130AA6" w:rsidRPr="00662680">
        <w:rPr>
          <w:sz w:val="22"/>
          <w:szCs w:val="22"/>
        </w:rPr>
        <w:t xml:space="preserve"> </w:t>
      </w:r>
      <w:r w:rsidR="00A56047" w:rsidRPr="00662680">
        <w:rPr>
          <w:sz w:val="22"/>
          <w:szCs w:val="22"/>
        </w:rPr>
        <w:t xml:space="preserve">A further invitation to comment </w:t>
      </w:r>
      <w:r w:rsidR="00AC799E" w:rsidRPr="00662680">
        <w:rPr>
          <w:sz w:val="22"/>
          <w:szCs w:val="22"/>
        </w:rPr>
        <w:t xml:space="preserve">in relation to this proposal </w:t>
      </w:r>
      <w:r w:rsidR="00A56047" w:rsidRPr="00662680">
        <w:rPr>
          <w:sz w:val="22"/>
          <w:szCs w:val="22"/>
        </w:rPr>
        <w:t>was published</w:t>
      </w:r>
      <w:r w:rsidR="008727FA" w:rsidRPr="00662680">
        <w:rPr>
          <w:sz w:val="22"/>
          <w:szCs w:val="22"/>
        </w:rPr>
        <w:t xml:space="preserve"> on </w:t>
      </w:r>
      <w:hyperlink r:id="rId9" w:history="1">
        <w:r w:rsidR="008727FA" w:rsidRPr="00662680">
          <w:rPr>
            <w:rStyle w:val="Hyperlink"/>
            <w:sz w:val="22"/>
            <w:szCs w:val="22"/>
          </w:rPr>
          <w:t>10 June 2020</w:t>
        </w:r>
      </w:hyperlink>
      <w:r w:rsidR="008727FA" w:rsidRPr="00662680">
        <w:rPr>
          <w:sz w:val="22"/>
          <w:szCs w:val="22"/>
        </w:rPr>
        <w:t>, with a closing date of 9 July 2020</w:t>
      </w:r>
      <w:r w:rsidR="00AB5748" w:rsidRPr="00662680">
        <w:rPr>
          <w:sz w:val="22"/>
          <w:szCs w:val="22"/>
        </w:rPr>
        <w:t>;</w:t>
      </w:r>
      <w:r w:rsidR="00333056" w:rsidRPr="00662680">
        <w:rPr>
          <w:sz w:val="22"/>
          <w:szCs w:val="22"/>
        </w:rPr>
        <w:t xml:space="preserve"> </w:t>
      </w:r>
      <w:r w:rsidR="00FC312C" w:rsidRPr="00662680">
        <w:rPr>
          <w:sz w:val="22"/>
          <w:szCs w:val="22"/>
        </w:rPr>
        <w:t>and</w:t>
      </w:r>
    </w:p>
    <w:p w14:paraId="558DD1A4" w14:textId="024B0298" w:rsidR="007319B6" w:rsidRPr="00662680" w:rsidRDefault="00473EA2" w:rsidP="00333056">
      <w:pPr>
        <w:pStyle w:val="ListParagraph"/>
        <w:rPr>
          <w:sz w:val="22"/>
          <w:szCs w:val="22"/>
        </w:rPr>
      </w:pPr>
      <w:r w:rsidRPr="00662680">
        <w:rPr>
          <w:sz w:val="22"/>
          <w:szCs w:val="22"/>
        </w:rPr>
        <w:t>an invitation to comment in relation to</w:t>
      </w:r>
      <w:r w:rsidRPr="00662680">
        <w:t xml:space="preserve"> </w:t>
      </w:r>
      <w:r w:rsidR="00AC799E" w:rsidRPr="00662680">
        <w:rPr>
          <w:sz w:val="22"/>
          <w:szCs w:val="22"/>
        </w:rPr>
        <w:t>nicotine</w:t>
      </w:r>
      <w:r w:rsidR="00396C63" w:rsidRPr="00662680">
        <w:rPr>
          <w:sz w:val="22"/>
          <w:szCs w:val="22"/>
        </w:rPr>
        <w:t xml:space="preserve"> was published on the TGA website on </w:t>
      </w:r>
      <w:hyperlink r:id="rId10" w:history="1">
        <w:r w:rsidR="00AC799E" w:rsidRPr="00662680">
          <w:rPr>
            <w:rStyle w:val="Hyperlink"/>
            <w:sz w:val="22"/>
            <w:szCs w:val="22"/>
          </w:rPr>
          <w:t>17 April</w:t>
        </w:r>
        <w:r w:rsidR="00396C63" w:rsidRPr="00662680">
          <w:rPr>
            <w:rStyle w:val="Hyperlink"/>
            <w:sz w:val="22"/>
            <w:szCs w:val="22"/>
          </w:rPr>
          <w:t xml:space="preserve"> 2020</w:t>
        </w:r>
      </w:hyperlink>
      <w:r w:rsidR="00396C63" w:rsidRPr="00662680">
        <w:rPr>
          <w:sz w:val="22"/>
          <w:szCs w:val="22"/>
        </w:rPr>
        <w:t xml:space="preserve">, with a closing date of </w:t>
      </w:r>
      <w:r w:rsidR="00AC799E" w:rsidRPr="00662680">
        <w:rPr>
          <w:sz w:val="22"/>
          <w:szCs w:val="22"/>
        </w:rPr>
        <w:t xml:space="preserve">18 May </w:t>
      </w:r>
      <w:r w:rsidR="00396C63" w:rsidRPr="00662680">
        <w:rPr>
          <w:sz w:val="22"/>
          <w:szCs w:val="22"/>
        </w:rPr>
        <w:t>2020.</w:t>
      </w:r>
      <w:r w:rsidR="00333056" w:rsidRPr="00662680">
        <w:rPr>
          <w:sz w:val="22"/>
          <w:szCs w:val="22"/>
        </w:rPr>
        <w:t xml:space="preserve"> </w:t>
      </w:r>
      <w:r w:rsidR="00130AA6" w:rsidRPr="00662680">
        <w:rPr>
          <w:sz w:val="22"/>
          <w:szCs w:val="22"/>
        </w:rPr>
        <w:t xml:space="preserve"> </w:t>
      </w:r>
      <w:r w:rsidR="00333056" w:rsidRPr="00662680">
        <w:rPr>
          <w:sz w:val="22"/>
          <w:szCs w:val="22"/>
        </w:rPr>
        <w:t>A further invitation to comment in relation to th</w:t>
      </w:r>
      <w:r w:rsidR="00AC799E" w:rsidRPr="00662680">
        <w:rPr>
          <w:sz w:val="22"/>
          <w:szCs w:val="22"/>
        </w:rPr>
        <w:t>is</w:t>
      </w:r>
      <w:r w:rsidR="00333056" w:rsidRPr="00662680">
        <w:rPr>
          <w:sz w:val="22"/>
          <w:szCs w:val="22"/>
        </w:rPr>
        <w:t xml:space="preserve"> proposal was published on </w:t>
      </w:r>
      <w:hyperlink r:id="rId11" w:history="1">
        <w:r w:rsidR="00AC799E" w:rsidRPr="00662680">
          <w:rPr>
            <w:rStyle w:val="Hyperlink"/>
            <w:sz w:val="22"/>
            <w:szCs w:val="22"/>
          </w:rPr>
          <w:t>23 September</w:t>
        </w:r>
        <w:r w:rsidR="00333056" w:rsidRPr="00662680">
          <w:rPr>
            <w:rStyle w:val="Hyperlink"/>
            <w:sz w:val="22"/>
            <w:szCs w:val="22"/>
          </w:rPr>
          <w:t xml:space="preserve"> 202</w:t>
        </w:r>
        <w:r w:rsidR="00AC799E" w:rsidRPr="00662680">
          <w:rPr>
            <w:rStyle w:val="Hyperlink"/>
            <w:sz w:val="22"/>
            <w:szCs w:val="22"/>
          </w:rPr>
          <w:t>0</w:t>
        </w:r>
      </w:hyperlink>
      <w:r w:rsidR="00333056" w:rsidRPr="00662680">
        <w:rPr>
          <w:sz w:val="22"/>
          <w:szCs w:val="22"/>
        </w:rPr>
        <w:t xml:space="preserve">, with a closing date of </w:t>
      </w:r>
      <w:r w:rsidR="00AC799E" w:rsidRPr="00662680">
        <w:rPr>
          <w:sz w:val="22"/>
          <w:szCs w:val="22"/>
        </w:rPr>
        <w:t>12 November 2020; and</w:t>
      </w:r>
    </w:p>
    <w:p w14:paraId="72FD60FD" w14:textId="12AF28DC" w:rsidR="00AC799E" w:rsidRPr="00662680" w:rsidRDefault="00AC799E" w:rsidP="00AC799E">
      <w:pPr>
        <w:pStyle w:val="ListParagraph"/>
        <w:rPr>
          <w:sz w:val="22"/>
          <w:szCs w:val="22"/>
        </w:rPr>
      </w:pPr>
      <w:r w:rsidRPr="00662680">
        <w:rPr>
          <w:sz w:val="22"/>
          <w:szCs w:val="22"/>
        </w:rPr>
        <w:t>an invitation to comment in relation to</w:t>
      </w:r>
      <w:r w:rsidRPr="00662680">
        <w:t xml:space="preserve"> </w:t>
      </w:r>
      <w:r w:rsidRPr="00662680">
        <w:rPr>
          <w:sz w:val="22"/>
          <w:szCs w:val="22"/>
        </w:rPr>
        <w:t xml:space="preserve">lead (in paint), cyflumetofen, isocycloseram, kambo, lidocaine and hemp seed oil was published on the TGA website on </w:t>
      </w:r>
      <w:hyperlink r:id="rId12" w:history="1">
        <w:r w:rsidRPr="00662680">
          <w:rPr>
            <w:rStyle w:val="Hyperlink"/>
            <w:sz w:val="22"/>
            <w:szCs w:val="22"/>
          </w:rPr>
          <w:t>24 December 2020</w:t>
        </w:r>
      </w:hyperlink>
      <w:r w:rsidRPr="00662680">
        <w:rPr>
          <w:sz w:val="22"/>
          <w:szCs w:val="22"/>
        </w:rPr>
        <w:t xml:space="preserve">, with a closing date of 27 January 2021. </w:t>
      </w:r>
      <w:r w:rsidR="00130AA6" w:rsidRPr="00662680">
        <w:rPr>
          <w:sz w:val="22"/>
          <w:szCs w:val="22"/>
        </w:rPr>
        <w:t xml:space="preserve"> </w:t>
      </w:r>
      <w:r w:rsidRPr="00662680">
        <w:rPr>
          <w:sz w:val="22"/>
          <w:szCs w:val="22"/>
        </w:rPr>
        <w:t xml:space="preserve">A further invitation to comment in relation to these proposals was published on </w:t>
      </w:r>
      <w:hyperlink r:id="rId13" w:history="1">
        <w:r w:rsidRPr="00662680">
          <w:rPr>
            <w:rStyle w:val="Hyperlink"/>
            <w:sz w:val="22"/>
            <w:szCs w:val="22"/>
          </w:rPr>
          <w:t>20 July 2021</w:t>
        </w:r>
      </w:hyperlink>
      <w:r w:rsidRPr="00662680">
        <w:rPr>
          <w:sz w:val="22"/>
          <w:szCs w:val="22"/>
        </w:rPr>
        <w:t>, with a closing date of 17 August 2021.</w:t>
      </w:r>
    </w:p>
    <w:p w14:paraId="060313EC" w14:textId="4A4E19AD" w:rsidR="00342BEE" w:rsidRPr="00662680" w:rsidRDefault="00647CCB" w:rsidP="003A2DB0">
      <w:pPr>
        <w:rPr>
          <w:rFonts w:eastAsiaTheme="minorHAnsi"/>
          <w:sz w:val="22"/>
          <w:szCs w:val="22"/>
          <w:lang w:val="en-AU"/>
        </w:rPr>
      </w:pPr>
      <w:r w:rsidRPr="00662680">
        <w:rPr>
          <w:sz w:val="22"/>
          <w:szCs w:val="22"/>
        </w:rPr>
        <w:t>T</w:t>
      </w:r>
      <w:r w:rsidR="00342BEE" w:rsidRPr="00662680">
        <w:rPr>
          <w:rFonts w:eastAsiaTheme="minorHAnsi"/>
          <w:sz w:val="22"/>
          <w:szCs w:val="22"/>
          <w:lang w:val="en-AU"/>
        </w:rPr>
        <w:t xml:space="preserve">he final </w:t>
      </w:r>
      <w:r w:rsidR="00A3074B" w:rsidRPr="00662680">
        <w:rPr>
          <w:rFonts w:eastAsiaTheme="minorHAnsi"/>
          <w:sz w:val="22"/>
          <w:szCs w:val="22"/>
          <w:lang w:val="en-AU"/>
        </w:rPr>
        <w:t>decisions</w:t>
      </w:r>
      <w:r w:rsidR="00342BEE" w:rsidRPr="00662680">
        <w:rPr>
          <w:rFonts w:eastAsiaTheme="minorHAnsi"/>
          <w:sz w:val="22"/>
          <w:szCs w:val="22"/>
          <w:lang w:val="en-AU"/>
        </w:rPr>
        <w:t xml:space="preserve"> were published on the TGA website in relation to:</w:t>
      </w:r>
    </w:p>
    <w:p w14:paraId="3F1FE76D" w14:textId="40A79B83" w:rsidR="00647CCB" w:rsidRPr="00662680" w:rsidRDefault="00AC799E" w:rsidP="0072684E">
      <w:pPr>
        <w:pStyle w:val="ListParagraph"/>
        <w:spacing w:before="0"/>
        <w:ind w:left="426"/>
        <w:rPr>
          <w:rFonts w:eastAsiaTheme="minorHAnsi"/>
          <w:sz w:val="22"/>
          <w:szCs w:val="22"/>
          <w:lang w:val="en-AU"/>
        </w:rPr>
      </w:pPr>
      <w:proofErr w:type="spellStart"/>
      <w:r w:rsidRPr="00662680">
        <w:rPr>
          <w:rFonts w:eastAsiaTheme="minorHAnsi"/>
          <w:sz w:val="22"/>
          <w:szCs w:val="22"/>
          <w:lang w:val="en-AU"/>
        </w:rPr>
        <w:t>picramic</w:t>
      </w:r>
      <w:proofErr w:type="spellEnd"/>
      <w:r w:rsidRPr="00662680">
        <w:rPr>
          <w:rFonts w:eastAsiaTheme="minorHAnsi"/>
          <w:sz w:val="22"/>
          <w:szCs w:val="22"/>
          <w:lang w:val="en-AU"/>
        </w:rPr>
        <w:t xml:space="preserve"> acid (including its salts)</w:t>
      </w:r>
      <w:r w:rsidR="00F22B96" w:rsidRPr="00662680">
        <w:rPr>
          <w:rFonts w:eastAsiaTheme="minorHAnsi"/>
          <w:sz w:val="22"/>
          <w:szCs w:val="22"/>
          <w:lang w:val="en-AU"/>
        </w:rPr>
        <w:t>,</w:t>
      </w:r>
      <w:r w:rsidR="00647CCB" w:rsidRPr="00662680">
        <w:rPr>
          <w:rFonts w:eastAsiaTheme="minorHAnsi"/>
          <w:sz w:val="22"/>
          <w:szCs w:val="22"/>
          <w:lang w:val="en-AU"/>
        </w:rPr>
        <w:t xml:space="preserve"> on </w:t>
      </w:r>
      <w:hyperlink r:id="rId14" w:history="1">
        <w:r w:rsidR="00333056" w:rsidRPr="00662680">
          <w:rPr>
            <w:rStyle w:val="Hyperlink"/>
            <w:rFonts w:eastAsiaTheme="minorHAnsi"/>
            <w:sz w:val="22"/>
            <w:szCs w:val="22"/>
            <w:lang w:val="en-AU"/>
          </w:rPr>
          <w:t>24 August</w:t>
        </w:r>
        <w:r w:rsidR="004329E0" w:rsidRPr="00662680">
          <w:rPr>
            <w:rStyle w:val="Hyperlink"/>
            <w:rFonts w:eastAsiaTheme="minorHAnsi"/>
            <w:sz w:val="22"/>
            <w:szCs w:val="22"/>
            <w:lang w:val="en-AU"/>
          </w:rPr>
          <w:t xml:space="preserve"> 2020</w:t>
        </w:r>
      </w:hyperlink>
      <w:r w:rsidR="00647CCB" w:rsidRPr="00662680">
        <w:rPr>
          <w:rFonts w:eastAsiaTheme="minorHAnsi"/>
          <w:sz w:val="22"/>
          <w:szCs w:val="22"/>
          <w:lang w:val="en-AU"/>
        </w:rPr>
        <w:t>;</w:t>
      </w:r>
      <w:r w:rsidR="00FC312C" w:rsidRPr="00662680">
        <w:rPr>
          <w:rFonts w:eastAsiaTheme="minorHAnsi"/>
          <w:sz w:val="22"/>
          <w:szCs w:val="22"/>
          <w:lang w:val="en-AU"/>
        </w:rPr>
        <w:t xml:space="preserve"> and</w:t>
      </w:r>
    </w:p>
    <w:p w14:paraId="45FE1E42" w14:textId="28279C85" w:rsidR="00A3074B" w:rsidRPr="00662680" w:rsidRDefault="00AC799E" w:rsidP="00342BEE">
      <w:pPr>
        <w:pStyle w:val="ListParagraph"/>
        <w:ind w:left="426"/>
        <w:rPr>
          <w:rFonts w:eastAsiaTheme="minorHAnsi"/>
          <w:sz w:val="22"/>
          <w:szCs w:val="22"/>
          <w:lang w:val="en-AU"/>
        </w:rPr>
      </w:pPr>
      <w:r w:rsidRPr="00662680">
        <w:rPr>
          <w:rFonts w:eastAsiaTheme="minorHAnsi"/>
          <w:sz w:val="22"/>
          <w:szCs w:val="22"/>
          <w:lang w:val="en-AU"/>
        </w:rPr>
        <w:t>nicotine</w:t>
      </w:r>
      <w:r w:rsidR="00F22B96" w:rsidRPr="00662680">
        <w:rPr>
          <w:rFonts w:eastAsiaTheme="minorHAnsi"/>
          <w:sz w:val="22"/>
          <w:szCs w:val="22"/>
          <w:lang w:val="en-AU"/>
        </w:rPr>
        <w:t>,</w:t>
      </w:r>
      <w:r w:rsidR="00A3074B" w:rsidRPr="00662680">
        <w:rPr>
          <w:rFonts w:eastAsiaTheme="minorHAnsi"/>
          <w:sz w:val="22"/>
          <w:szCs w:val="22"/>
          <w:lang w:val="en-AU"/>
        </w:rPr>
        <w:t xml:space="preserve"> on </w:t>
      </w:r>
      <w:hyperlink r:id="rId15" w:history="1">
        <w:r w:rsidR="00333056" w:rsidRPr="00662680">
          <w:rPr>
            <w:rStyle w:val="Hyperlink"/>
            <w:rFonts w:eastAsiaTheme="minorHAnsi"/>
            <w:sz w:val="22"/>
            <w:szCs w:val="22"/>
            <w:lang w:val="en-AU"/>
          </w:rPr>
          <w:t>2</w:t>
        </w:r>
        <w:r w:rsidRPr="00662680">
          <w:rPr>
            <w:rStyle w:val="Hyperlink"/>
            <w:rFonts w:eastAsiaTheme="minorHAnsi"/>
            <w:sz w:val="22"/>
            <w:szCs w:val="22"/>
            <w:lang w:val="en-AU"/>
          </w:rPr>
          <w:t>1 December</w:t>
        </w:r>
        <w:r w:rsidR="004329E0" w:rsidRPr="00662680">
          <w:rPr>
            <w:rStyle w:val="Hyperlink"/>
            <w:rFonts w:eastAsiaTheme="minorHAnsi"/>
            <w:sz w:val="22"/>
            <w:szCs w:val="22"/>
            <w:lang w:val="en-AU"/>
          </w:rPr>
          <w:t xml:space="preserve"> 2020</w:t>
        </w:r>
      </w:hyperlink>
      <w:r w:rsidR="00B67DB3" w:rsidRPr="00662680">
        <w:rPr>
          <w:rFonts w:eastAsiaTheme="minorHAnsi"/>
          <w:sz w:val="22"/>
          <w:szCs w:val="22"/>
          <w:lang w:val="en-AU"/>
        </w:rPr>
        <w:t>;</w:t>
      </w:r>
      <w:r w:rsidR="007773F8" w:rsidRPr="00662680">
        <w:rPr>
          <w:rFonts w:eastAsiaTheme="minorHAnsi"/>
          <w:sz w:val="22"/>
          <w:szCs w:val="22"/>
          <w:lang w:val="en-AU"/>
        </w:rPr>
        <w:t xml:space="preserve"> and</w:t>
      </w:r>
    </w:p>
    <w:p w14:paraId="40DBA5C4" w14:textId="3F7639E6" w:rsidR="00A3074B" w:rsidRPr="00662680" w:rsidRDefault="00AC799E" w:rsidP="00A3074B">
      <w:pPr>
        <w:pStyle w:val="ListParagraph"/>
        <w:ind w:left="426"/>
        <w:rPr>
          <w:rFonts w:eastAsiaTheme="minorHAnsi"/>
          <w:sz w:val="22"/>
          <w:szCs w:val="22"/>
          <w:lang w:val="en-AU"/>
        </w:rPr>
      </w:pPr>
      <w:r w:rsidRPr="00662680">
        <w:rPr>
          <w:sz w:val="22"/>
          <w:szCs w:val="22"/>
        </w:rPr>
        <w:t>lead (in paint), cyflumetofen, isocycloseram, kambo, lidocaine and hemp seed oil</w:t>
      </w:r>
      <w:r w:rsidR="00F22B96" w:rsidRPr="00662680">
        <w:rPr>
          <w:sz w:val="22"/>
          <w:szCs w:val="22"/>
        </w:rPr>
        <w:t>,</w:t>
      </w:r>
      <w:r w:rsidR="00A3074B" w:rsidRPr="00662680">
        <w:rPr>
          <w:rFonts w:eastAsiaTheme="minorHAnsi"/>
          <w:sz w:val="22"/>
          <w:szCs w:val="22"/>
        </w:rPr>
        <w:t xml:space="preserve"> </w:t>
      </w:r>
      <w:r w:rsidR="00A3074B" w:rsidRPr="00662680">
        <w:rPr>
          <w:rFonts w:eastAsiaTheme="minorHAnsi"/>
          <w:sz w:val="22"/>
          <w:szCs w:val="22"/>
          <w:lang w:val="en-AU"/>
        </w:rPr>
        <w:t>on</w:t>
      </w:r>
      <w:r w:rsidRPr="00662680">
        <w:rPr>
          <w:rFonts w:eastAsiaTheme="minorHAnsi"/>
          <w:sz w:val="22"/>
          <w:szCs w:val="22"/>
          <w:lang w:val="en-AU"/>
        </w:rPr>
        <w:t xml:space="preserve"> </w:t>
      </w:r>
      <w:hyperlink r:id="rId16" w:history="1">
        <w:r w:rsidR="000E1CF6" w:rsidRPr="00662680">
          <w:rPr>
            <w:rStyle w:val="Hyperlink"/>
            <w:rFonts w:eastAsiaTheme="minorHAnsi"/>
            <w:sz w:val="22"/>
            <w:szCs w:val="22"/>
            <w:lang w:val="en-AU"/>
          </w:rPr>
          <w:t xml:space="preserve">9 </w:t>
        </w:r>
        <w:r w:rsidRPr="00662680">
          <w:rPr>
            <w:rStyle w:val="Hyperlink"/>
            <w:rFonts w:eastAsiaTheme="minorHAnsi"/>
            <w:sz w:val="22"/>
            <w:szCs w:val="22"/>
            <w:lang w:val="en-AU"/>
          </w:rPr>
          <w:t>September 2021</w:t>
        </w:r>
      </w:hyperlink>
      <w:r w:rsidRPr="00662680">
        <w:rPr>
          <w:rFonts w:eastAsiaTheme="minorHAnsi"/>
          <w:sz w:val="22"/>
          <w:szCs w:val="22"/>
          <w:lang w:val="en-AU"/>
        </w:rPr>
        <w:t>.</w:t>
      </w:r>
    </w:p>
    <w:p w14:paraId="2CDF2935" w14:textId="4D537861" w:rsidR="000F0360" w:rsidRPr="00662680" w:rsidRDefault="000E4994" w:rsidP="009D09A6">
      <w:pPr>
        <w:spacing w:after="0"/>
        <w:rPr>
          <w:rFonts w:eastAsiaTheme="minorHAnsi"/>
          <w:sz w:val="22"/>
          <w:szCs w:val="22"/>
          <w:lang w:val="en-AU"/>
        </w:rPr>
      </w:pPr>
      <w:r w:rsidRPr="00662680">
        <w:rPr>
          <w:rFonts w:eastAsiaTheme="minorHAnsi"/>
          <w:sz w:val="22"/>
          <w:szCs w:val="22"/>
          <w:lang w:val="en-AU"/>
        </w:rPr>
        <w:t>F</w:t>
      </w:r>
      <w:r w:rsidR="000F0360" w:rsidRPr="00662680">
        <w:rPr>
          <w:rFonts w:eastAsiaTheme="minorHAnsi"/>
          <w:sz w:val="22"/>
          <w:szCs w:val="22"/>
          <w:lang w:val="en-AU"/>
        </w:rPr>
        <w:t>urther, minor amendmen</w:t>
      </w:r>
      <w:r w:rsidRPr="00662680">
        <w:rPr>
          <w:rFonts w:eastAsiaTheme="minorHAnsi"/>
          <w:sz w:val="22"/>
          <w:szCs w:val="22"/>
          <w:lang w:val="en-AU"/>
        </w:rPr>
        <w:t>ts</w:t>
      </w:r>
      <w:r w:rsidR="000F0360" w:rsidRPr="00662680">
        <w:rPr>
          <w:rFonts w:eastAsiaTheme="minorHAnsi"/>
          <w:sz w:val="22"/>
          <w:szCs w:val="22"/>
          <w:lang w:val="en-AU"/>
        </w:rPr>
        <w:t xml:space="preserve"> ha</w:t>
      </w:r>
      <w:r w:rsidRPr="00662680">
        <w:rPr>
          <w:rFonts w:eastAsiaTheme="minorHAnsi"/>
          <w:sz w:val="22"/>
          <w:szCs w:val="22"/>
          <w:lang w:val="en-AU"/>
        </w:rPr>
        <w:t>ve</w:t>
      </w:r>
      <w:r w:rsidR="000F0360" w:rsidRPr="00662680">
        <w:rPr>
          <w:rFonts w:eastAsiaTheme="minorHAnsi"/>
          <w:sz w:val="22"/>
          <w:szCs w:val="22"/>
          <w:lang w:val="en-AU"/>
        </w:rPr>
        <w:t xml:space="preserve"> been incorporated in the </w:t>
      </w:r>
      <w:r w:rsidR="000F0360" w:rsidRPr="00662680">
        <w:rPr>
          <w:rFonts w:eastAsiaTheme="minorHAnsi"/>
          <w:i/>
          <w:sz w:val="22"/>
          <w:szCs w:val="22"/>
          <w:lang w:val="en-AU"/>
        </w:rPr>
        <w:t xml:space="preserve">Poisons Standard </w:t>
      </w:r>
      <w:r w:rsidR="00C87FE7" w:rsidRPr="00662680">
        <w:rPr>
          <w:rFonts w:eastAsiaTheme="minorHAnsi"/>
          <w:i/>
          <w:sz w:val="22"/>
          <w:szCs w:val="22"/>
          <w:lang w:val="en-AU"/>
        </w:rPr>
        <w:t>October</w:t>
      </w:r>
      <w:r w:rsidR="000F0360" w:rsidRPr="00662680">
        <w:rPr>
          <w:rFonts w:eastAsiaTheme="minorHAnsi"/>
          <w:i/>
          <w:sz w:val="22"/>
          <w:szCs w:val="22"/>
          <w:lang w:val="en-AU"/>
        </w:rPr>
        <w:t xml:space="preserve"> 2021</w:t>
      </w:r>
      <w:r w:rsidR="000F0360" w:rsidRPr="00662680">
        <w:rPr>
          <w:rFonts w:eastAsiaTheme="minorHAnsi"/>
          <w:sz w:val="22"/>
          <w:szCs w:val="22"/>
          <w:lang w:val="en-AU"/>
        </w:rPr>
        <w:t xml:space="preserve"> </w:t>
      </w:r>
      <w:r w:rsidR="00925AEA" w:rsidRPr="00662680">
        <w:rPr>
          <w:rFonts w:eastAsiaTheme="minorHAnsi"/>
          <w:sz w:val="22"/>
          <w:szCs w:val="22"/>
          <w:lang w:val="en-AU"/>
        </w:rPr>
        <w:t>in relation to bilastine</w:t>
      </w:r>
      <w:r w:rsidR="00DC4984" w:rsidRPr="00662680">
        <w:rPr>
          <w:rFonts w:eastAsiaTheme="minorHAnsi"/>
          <w:sz w:val="22"/>
          <w:szCs w:val="22"/>
          <w:lang w:val="en-AU"/>
        </w:rPr>
        <w:t>, riociguat and risankizumab</w:t>
      </w:r>
      <w:r w:rsidRPr="00662680">
        <w:rPr>
          <w:rFonts w:eastAsiaTheme="minorHAnsi"/>
          <w:sz w:val="22"/>
          <w:szCs w:val="22"/>
          <w:lang w:val="en-AU"/>
        </w:rPr>
        <w:t xml:space="preserve">. </w:t>
      </w:r>
      <w:r w:rsidR="00130AA6" w:rsidRPr="00662680">
        <w:rPr>
          <w:rFonts w:eastAsiaTheme="minorHAnsi"/>
          <w:sz w:val="22"/>
          <w:szCs w:val="22"/>
          <w:lang w:val="en-AU"/>
        </w:rPr>
        <w:t xml:space="preserve"> </w:t>
      </w:r>
      <w:r w:rsidRPr="00662680">
        <w:rPr>
          <w:rFonts w:eastAsiaTheme="minorHAnsi"/>
          <w:sz w:val="22"/>
          <w:szCs w:val="22"/>
          <w:lang w:val="en-AU"/>
        </w:rPr>
        <w:t>The wording in the Schedule 3 entry for bilastine has been amended</w:t>
      </w:r>
      <w:r w:rsidR="00925AEA" w:rsidRPr="00662680">
        <w:rPr>
          <w:rFonts w:eastAsiaTheme="minorHAnsi"/>
          <w:sz w:val="22"/>
          <w:szCs w:val="22"/>
          <w:lang w:val="en-AU"/>
        </w:rPr>
        <w:t xml:space="preserve"> to </w:t>
      </w:r>
      <w:r w:rsidR="00B14675" w:rsidRPr="00662680">
        <w:rPr>
          <w:rFonts w:eastAsiaTheme="minorHAnsi"/>
          <w:sz w:val="22"/>
          <w:szCs w:val="22"/>
          <w:lang w:val="en-AU"/>
        </w:rPr>
        <w:t>clarify t</w:t>
      </w:r>
      <w:r w:rsidRPr="00662680">
        <w:rPr>
          <w:rFonts w:eastAsiaTheme="minorHAnsi"/>
          <w:sz w:val="22"/>
          <w:szCs w:val="22"/>
          <w:lang w:val="en-AU"/>
        </w:rPr>
        <w:t xml:space="preserve">he </w:t>
      </w:r>
      <w:r w:rsidR="004D3F55" w:rsidRPr="00662680">
        <w:rPr>
          <w:rFonts w:eastAsiaTheme="minorHAnsi"/>
          <w:sz w:val="22"/>
          <w:szCs w:val="22"/>
          <w:lang w:val="en-AU"/>
        </w:rPr>
        <w:t xml:space="preserve">recommended </w:t>
      </w:r>
      <w:r w:rsidRPr="00662680">
        <w:rPr>
          <w:rFonts w:eastAsiaTheme="minorHAnsi"/>
          <w:sz w:val="22"/>
          <w:szCs w:val="22"/>
          <w:lang w:val="en-AU"/>
        </w:rPr>
        <w:t>permitted use</w:t>
      </w:r>
      <w:r w:rsidR="004D3F55" w:rsidRPr="00662680">
        <w:rPr>
          <w:rFonts w:eastAsiaTheme="minorHAnsi"/>
          <w:sz w:val="22"/>
          <w:szCs w:val="22"/>
          <w:lang w:val="en-AU"/>
        </w:rPr>
        <w:t xml:space="preserve"> for this substance</w:t>
      </w:r>
      <w:r w:rsidR="00B14675" w:rsidRPr="00662680">
        <w:rPr>
          <w:rFonts w:eastAsiaTheme="minorHAnsi"/>
          <w:sz w:val="22"/>
          <w:szCs w:val="22"/>
          <w:lang w:val="en-AU"/>
        </w:rPr>
        <w:t xml:space="preserve">. </w:t>
      </w:r>
      <w:r w:rsidR="00130AA6" w:rsidRPr="00662680">
        <w:rPr>
          <w:rFonts w:eastAsiaTheme="minorHAnsi"/>
          <w:sz w:val="22"/>
          <w:szCs w:val="22"/>
          <w:lang w:val="en-AU"/>
        </w:rPr>
        <w:t xml:space="preserve"> </w:t>
      </w:r>
      <w:r w:rsidRPr="00662680">
        <w:rPr>
          <w:rFonts w:eastAsiaTheme="minorHAnsi"/>
          <w:sz w:val="22"/>
          <w:szCs w:val="22"/>
          <w:lang w:val="en-AU"/>
        </w:rPr>
        <w:t xml:space="preserve">The </w:t>
      </w:r>
      <w:r w:rsidR="00BC7D0A" w:rsidRPr="00662680">
        <w:rPr>
          <w:rFonts w:eastAsiaTheme="minorHAnsi"/>
          <w:sz w:val="22"/>
          <w:szCs w:val="22"/>
          <w:lang w:val="en-AU"/>
        </w:rPr>
        <w:t xml:space="preserve">Schedule 4 entry for riociguat has been amended to </w:t>
      </w:r>
      <w:r w:rsidR="004D3F55" w:rsidRPr="00662680">
        <w:rPr>
          <w:rFonts w:eastAsiaTheme="minorHAnsi"/>
          <w:sz w:val="22"/>
          <w:szCs w:val="22"/>
          <w:lang w:val="en-AU"/>
        </w:rPr>
        <w:t>reflect</w:t>
      </w:r>
      <w:r w:rsidR="004E2B2A" w:rsidRPr="00662680">
        <w:rPr>
          <w:rFonts w:eastAsiaTheme="minorHAnsi"/>
          <w:sz w:val="22"/>
          <w:szCs w:val="22"/>
          <w:lang w:val="en-AU"/>
        </w:rPr>
        <w:t xml:space="preserve"> that it is also listed in Appendix D. </w:t>
      </w:r>
      <w:r w:rsidR="00130AA6" w:rsidRPr="00662680">
        <w:rPr>
          <w:rFonts w:eastAsiaTheme="minorHAnsi"/>
          <w:sz w:val="22"/>
          <w:szCs w:val="22"/>
          <w:lang w:val="en-AU"/>
        </w:rPr>
        <w:t xml:space="preserve"> </w:t>
      </w:r>
      <w:r w:rsidR="0032031E" w:rsidRPr="00662680">
        <w:rPr>
          <w:rFonts w:eastAsiaTheme="minorHAnsi"/>
          <w:sz w:val="22"/>
          <w:szCs w:val="22"/>
          <w:lang w:val="en-AU"/>
        </w:rPr>
        <w:t>T</w:t>
      </w:r>
      <w:r w:rsidR="00BC7D0A" w:rsidRPr="00662680">
        <w:rPr>
          <w:rFonts w:eastAsiaTheme="minorHAnsi"/>
          <w:sz w:val="22"/>
          <w:szCs w:val="22"/>
          <w:lang w:val="en-AU"/>
        </w:rPr>
        <w:t xml:space="preserve">he Index </w:t>
      </w:r>
      <w:r w:rsidRPr="00662680">
        <w:rPr>
          <w:rFonts w:eastAsiaTheme="minorHAnsi"/>
          <w:sz w:val="22"/>
          <w:szCs w:val="22"/>
          <w:lang w:val="en-AU"/>
        </w:rPr>
        <w:t xml:space="preserve">entry </w:t>
      </w:r>
      <w:r w:rsidR="0032031E" w:rsidRPr="00662680">
        <w:rPr>
          <w:rFonts w:eastAsiaTheme="minorHAnsi"/>
          <w:sz w:val="22"/>
          <w:szCs w:val="22"/>
          <w:lang w:val="en-AU"/>
        </w:rPr>
        <w:t xml:space="preserve">for riociguat </w:t>
      </w:r>
      <w:r w:rsidR="00BC7D0A" w:rsidRPr="00662680">
        <w:rPr>
          <w:rFonts w:eastAsiaTheme="minorHAnsi"/>
          <w:sz w:val="22"/>
          <w:szCs w:val="22"/>
          <w:lang w:val="en-AU"/>
        </w:rPr>
        <w:t xml:space="preserve">has </w:t>
      </w:r>
      <w:r w:rsidR="004E2B2A" w:rsidRPr="00662680">
        <w:rPr>
          <w:rFonts w:eastAsiaTheme="minorHAnsi"/>
          <w:sz w:val="22"/>
          <w:szCs w:val="22"/>
          <w:lang w:val="en-AU"/>
        </w:rPr>
        <w:t xml:space="preserve">also </w:t>
      </w:r>
      <w:r w:rsidR="00BC7D0A" w:rsidRPr="00662680">
        <w:rPr>
          <w:rFonts w:eastAsiaTheme="minorHAnsi"/>
          <w:sz w:val="22"/>
          <w:szCs w:val="22"/>
          <w:lang w:val="en-AU"/>
        </w:rPr>
        <w:t>been amended to reflect th</w:t>
      </w:r>
      <w:r w:rsidR="0032031E" w:rsidRPr="00662680">
        <w:rPr>
          <w:rFonts w:eastAsiaTheme="minorHAnsi"/>
          <w:sz w:val="22"/>
          <w:szCs w:val="22"/>
          <w:lang w:val="en-AU"/>
        </w:rPr>
        <w:t>at the additional controls on use</w:t>
      </w:r>
      <w:r w:rsidR="004E2B2A" w:rsidRPr="00662680">
        <w:rPr>
          <w:rFonts w:eastAsiaTheme="minorHAnsi"/>
          <w:sz w:val="22"/>
          <w:szCs w:val="22"/>
          <w:lang w:val="en-AU"/>
        </w:rPr>
        <w:t xml:space="preserve"> in Appendix D</w:t>
      </w:r>
      <w:r w:rsidR="0032031E" w:rsidRPr="00662680">
        <w:rPr>
          <w:rFonts w:eastAsiaTheme="minorHAnsi"/>
          <w:sz w:val="22"/>
          <w:szCs w:val="22"/>
          <w:lang w:val="en-AU"/>
        </w:rPr>
        <w:t xml:space="preserve"> </w:t>
      </w:r>
      <w:r w:rsidR="00BC7D0A" w:rsidRPr="00662680">
        <w:rPr>
          <w:rFonts w:eastAsiaTheme="minorHAnsi"/>
          <w:sz w:val="22"/>
          <w:szCs w:val="22"/>
          <w:lang w:val="en-AU"/>
        </w:rPr>
        <w:t>relate to Part 4 and not Part 5</w:t>
      </w:r>
      <w:r w:rsidR="00E75D40" w:rsidRPr="00662680">
        <w:rPr>
          <w:rFonts w:eastAsiaTheme="minorHAnsi"/>
          <w:sz w:val="22"/>
          <w:szCs w:val="22"/>
          <w:lang w:val="en-AU"/>
        </w:rPr>
        <w:t>,</w:t>
      </w:r>
      <w:r w:rsidR="004E2B2A" w:rsidRPr="00662680">
        <w:rPr>
          <w:rFonts w:eastAsiaTheme="minorHAnsi"/>
          <w:sz w:val="22"/>
          <w:szCs w:val="22"/>
          <w:lang w:val="en-AU"/>
        </w:rPr>
        <w:t xml:space="preserve"> </w:t>
      </w:r>
      <w:r w:rsidR="00BC7D0A" w:rsidRPr="00662680">
        <w:rPr>
          <w:rFonts w:eastAsiaTheme="minorHAnsi"/>
          <w:sz w:val="22"/>
          <w:szCs w:val="22"/>
          <w:lang w:val="en-AU"/>
        </w:rPr>
        <w:t xml:space="preserve">as </w:t>
      </w:r>
      <w:r w:rsidR="004E2B2A" w:rsidRPr="00662680">
        <w:rPr>
          <w:rFonts w:eastAsiaTheme="minorHAnsi"/>
          <w:sz w:val="22"/>
          <w:szCs w:val="22"/>
          <w:lang w:val="en-AU"/>
        </w:rPr>
        <w:t>previously shown.</w:t>
      </w:r>
      <w:r w:rsidR="00DC4984" w:rsidRPr="00662680">
        <w:rPr>
          <w:rFonts w:eastAsiaTheme="minorHAnsi"/>
          <w:sz w:val="22"/>
          <w:szCs w:val="22"/>
          <w:lang w:val="en-AU"/>
        </w:rPr>
        <w:t xml:space="preserve"> </w:t>
      </w:r>
      <w:r w:rsidR="00130AA6" w:rsidRPr="00662680">
        <w:rPr>
          <w:rFonts w:eastAsiaTheme="minorHAnsi"/>
          <w:sz w:val="22"/>
          <w:szCs w:val="22"/>
          <w:lang w:val="en-AU"/>
        </w:rPr>
        <w:t xml:space="preserve"> </w:t>
      </w:r>
      <w:r w:rsidR="00DC4984" w:rsidRPr="00662680">
        <w:rPr>
          <w:rFonts w:eastAsiaTheme="minorHAnsi"/>
          <w:sz w:val="22"/>
          <w:szCs w:val="22"/>
          <w:lang w:val="en-AU"/>
        </w:rPr>
        <w:t xml:space="preserve">The Appendix K entry for Risankizumab has been deleted to reflect the delegate’s final decision published </w:t>
      </w:r>
      <w:hyperlink r:id="rId17" w:history="1">
        <w:r w:rsidR="00DC4984" w:rsidRPr="00662680">
          <w:rPr>
            <w:rStyle w:val="Hyperlink"/>
            <w:rFonts w:eastAsiaTheme="minorHAnsi"/>
            <w:sz w:val="22"/>
            <w:szCs w:val="22"/>
            <w:lang w:val="en-AU"/>
          </w:rPr>
          <w:t>14 January 2020</w:t>
        </w:r>
      </w:hyperlink>
      <w:r w:rsidR="00DC4984" w:rsidRPr="00662680">
        <w:rPr>
          <w:rFonts w:eastAsiaTheme="minorHAnsi"/>
          <w:sz w:val="22"/>
          <w:szCs w:val="22"/>
          <w:lang w:val="en-AU"/>
        </w:rPr>
        <w:t>.</w:t>
      </w:r>
    </w:p>
    <w:p w14:paraId="296B520F" w14:textId="25FE0227" w:rsidR="001467F6" w:rsidRPr="00662680" w:rsidRDefault="00B67DB3" w:rsidP="00602BC0">
      <w:pPr>
        <w:spacing w:after="0"/>
        <w:rPr>
          <w:rFonts w:eastAsiaTheme="minorHAnsi"/>
          <w:sz w:val="22"/>
          <w:szCs w:val="22"/>
          <w:lang w:val="en-AU"/>
        </w:rPr>
      </w:pPr>
      <w:r w:rsidRPr="00662680">
        <w:rPr>
          <w:rFonts w:eastAsiaTheme="minorHAnsi"/>
          <w:sz w:val="22"/>
          <w:szCs w:val="22"/>
          <w:lang w:val="en-AU"/>
        </w:rPr>
        <w:t>T</w:t>
      </w:r>
      <w:r w:rsidR="00B93877" w:rsidRPr="00662680">
        <w:rPr>
          <w:rFonts w:eastAsiaTheme="minorHAnsi"/>
          <w:sz w:val="22"/>
          <w:szCs w:val="22"/>
          <w:lang w:val="en-AU"/>
        </w:rPr>
        <w:t xml:space="preserve">he </w:t>
      </w:r>
      <w:r w:rsidR="00262A88" w:rsidRPr="00662680">
        <w:rPr>
          <w:rFonts w:eastAsiaTheme="minorHAnsi"/>
          <w:i/>
          <w:sz w:val="22"/>
          <w:szCs w:val="22"/>
          <w:lang w:val="en-AU"/>
        </w:rPr>
        <w:t xml:space="preserve">Poisons Standard </w:t>
      </w:r>
      <w:r w:rsidR="00C87FE7" w:rsidRPr="00662680">
        <w:rPr>
          <w:rFonts w:eastAsiaTheme="minorHAnsi"/>
          <w:i/>
          <w:sz w:val="22"/>
          <w:szCs w:val="22"/>
          <w:lang w:val="en-AU"/>
        </w:rPr>
        <w:t>October</w:t>
      </w:r>
      <w:r w:rsidR="00DA6D2F" w:rsidRPr="00662680">
        <w:rPr>
          <w:rFonts w:eastAsiaTheme="minorHAnsi"/>
          <w:i/>
          <w:sz w:val="22"/>
          <w:szCs w:val="22"/>
          <w:lang w:val="en-AU"/>
        </w:rPr>
        <w:t xml:space="preserve"> 2021</w:t>
      </w:r>
      <w:r w:rsidR="0098198A" w:rsidRPr="00662680">
        <w:rPr>
          <w:rFonts w:eastAsiaTheme="minorHAnsi"/>
          <w:sz w:val="22"/>
          <w:szCs w:val="22"/>
          <w:lang w:val="en-AU"/>
        </w:rPr>
        <w:t xml:space="preserve"> </w:t>
      </w:r>
      <w:r w:rsidRPr="00662680">
        <w:rPr>
          <w:rFonts w:eastAsiaTheme="minorHAnsi"/>
          <w:sz w:val="22"/>
          <w:szCs w:val="22"/>
        </w:rPr>
        <w:t>also incorporates a number of new substances to the Poisons Standard for the first time</w:t>
      </w:r>
      <w:r w:rsidR="00B51989" w:rsidRPr="00662680">
        <w:rPr>
          <w:rFonts w:eastAsiaTheme="minorHAnsi"/>
          <w:sz w:val="22"/>
          <w:szCs w:val="22"/>
          <w:lang w:val="en-AU"/>
        </w:rPr>
        <w:t>,</w:t>
      </w:r>
      <w:r w:rsidR="00262A88" w:rsidRPr="00662680">
        <w:rPr>
          <w:rFonts w:eastAsiaTheme="minorHAnsi"/>
          <w:sz w:val="22"/>
          <w:szCs w:val="22"/>
          <w:lang w:val="en-AU"/>
        </w:rPr>
        <w:t xml:space="preserve"> includ</w:t>
      </w:r>
      <w:r w:rsidR="00B51989" w:rsidRPr="00662680">
        <w:rPr>
          <w:rFonts w:eastAsiaTheme="minorHAnsi"/>
          <w:sz w:val="22"/>
          <w:szCs w:val="22"/>
          <w:lang w:val="en-AU"/>
        </w:rPr>
        <w:t>ing</w:t>
      </w:r>
      <w:r w:rsidR="00262A88" w:rsidRPr="00662680">
        <w:rPr>
          <w:rFonts w:eastAsiaTheme="minorHAnsi"/>
          <w:sz w:val="22"/>
          <w:szCs w:val="22"/>
          <w:lang w:val="en-AU"/>
        </w:rPr>
        <w:t xml:space="preserve"> specific</w:t>
      </w:r>
      <w:r w:rsidR="001A0B13" w:rsidRPr="00662680">
        <w:rPr>
          <w:rFonts w:eastAsiaTheme="minorHAnsi"/>
          <w:sz w:val="22"/>
          <w:szCs w:val="22"/>
          <w:lang w:val="en-AU"/>
        </w:rPr>
        <w:t xml:space="preserve"> </w:t>
      </w:r>
      <w:r w:rsidR="00262A88" w:rsidRPr="00662680">
        <w:rPr>
          <w:rFonts w:eastAsiaTheme="minorHAnsi"/>
          <w:sz w:val="22"/>
          <w:szCs w:val="22"/>
          <w:lang w:val="en-AU"/>
        </w:rPr>
        <w:t>entries for</w:t>
      </w:r>
      <w:r w:rsidR="003A7270" w:rsidRPr="00662680">
        <w:rPr>
          <w:rFonts w:eastAsiaTheme="minorHAnsi"/>
          <w:sz w:val="22"/>
          <w:szCs w:val="22"/>
          <w:lang w:val="en-AU"/>
        </w:rPr>
        <w:t xml:space="preserve"> </w:t>
      </w:r>
      <w:r w:rsidR="003A7270" w:rsidRPr="00662680">
        <w:rPr>
          <w:sz w:val="22"/>
          <w:szCs w:val="20"/>
        </w:rPr>
        <w:t xml:space="preserve">amifampridine, </w:t>
      </w:r>
      <w:r w:rsidR="003A7270" w:rsidRPr="00662680">
        <w:rPr>
          <w:sz w:val="22"/>
          <w:szCs w:val="22"/>
        </w:rPr>
        <w:t xml:space="preserve">belumosudil, </w:t>
      </w:r>
      <w:r w:rsidR="003A7270" w:rsidRPr="00662680">
        <w:rPr>
          <w:sz w:val="22"/>
          <w:szCs w:val="22"/>
          <w:lang w:val="en"/>
        </w:rPr>
        <w:t>estetrol monohydrate,</w:t>
      </w:r>
      <w:r w:rsidR="003A7270" w:rsidRPr="00662680">
        <w:rPr>
          <w:sz w:val="22"/>
          <w:szCs w:val="20"/>
        </w:rPr>
        <w:t xml:space="preserve"> finerenone,</w:t>
      </w:r>
      <w:r w:rsidR="003A7270" w:rsidRPr="00662680">
        <w:rPr>
          <w:sz w:val="22"/>
          <w:szCs w:val="22"/>
        </w:rPr>
        <w:t xml:space="preserve"> fostemsavir, inclisiran, pegcetacoplan, </w:t>
      </w:r>
      <w:r w:rsidR="003A7270" w:rsidRPr="00662680">
        <w:rPr>
          <w:sz w:val="22"/>
          <w:szCs w:val="20"/>
        </w:rPr>
        <w:t xml:space="preserve">pegvaliase, </w:t>
      </w:r>
      <w:r w:rsidR="003A7270" w:rsidRPr="00662680">
        <w:rPr>
          <w:sz w:val="22"/>
          <w:szCs w:val="22"/>
        </w:rPr>
        <w:t xml:space="preserve">sacituzumab govitecan, </w:t>
      </w:r>
      <w:r w:rsidR="003A7270" w:rsidRPr="00662680">
        <w:rPr>
          <w:sz w:val="22"/>
          <w:szCs w:val="22"/>
          <w:lang w:val="en"/>
        </w:rPr>
        <w:t>sotro</w:t>
      </w:r>
      <w:r w:rsidR="002C290C" w:rsidRPr="00662680">
        <w:rPr>
          <w:sz w:val="22"/>
          <w:szCs w:val="22"/>
          <w:lang w:val="en"/>
        </w:rPr>
        <w:t>v</w:t>
      </w:r>
      <w:r w:rsidR="003A7270" w:rsidRPr="00662680">
        <w:rPr>
          <w:sz w:val="22"/>
          <w:szCs w:val="22"/>
          <w:lang w:val="en"/>
        </w:rPr>
        <w:t xml:space="preserve">imab, </w:t>
      </w:r>
      <w:r w:rsidR="003A7270" w:rsidRPr="00662680">
        <w:rPr>
          <w:sz w:val="22"/>
          <w:szCs w:val="22"/>
        </w:rPr>
        <w:t xml:space="preserve">trastuzumab deruxtecan, vericiguat and </w:t>
      </w:r>
      <w:r w:rsidR="003A7270" w:rsidRPr="00662680">
        <w:rPr>
          <w:sz w:val="22"/>
          <w:szCs w:val="22"/>
          <w:lang w:val="en"/>
        </w:rPr>
        <w:t>zanubrutinib in Schedule 4</w:t>
      </w:r>
      <w:r w:rsidR="003A7270" w:rsidRPr="00662680">
        <w:rPr>
          <w:color w:val="00B050"/>
          <w:sz w:val="22"/>
          <w:szCs w:val="22"/>
          <w:lang w:val="en"/>
        </w:rPr>
        <w:t>.</w:t>
      </w:r>
      <w:r w:rsidR="007773F8" w:rsidRPr="00662680">
        <w:rPr>
          <w:rFonts w:eastAsiaTheme="minorHAnsi"/>
          <w:sz w:val="22"/>
          <w:szCs w:val="22"/>
          <w:lang w:val="en-AU"/>
        </w:rPr>
        <w:t xml:space="preserve"> </w:t>
      </w:r>
      <w:r w:rsidR="00130AA6" w:rsidRPr="00662680">
        <w:rPr>
          <w:rFonts w:eastAsiaTheme="minorHAnsi"/>
          <w:sz w:val="22"/>
          <w:szCs w:val="22"/>
          <w:lang w:val="en-AU"/>
        </w:rPr>
        <w:t xml:space="preserve"> </w:t>
      </w:r>
      <w:r w:rsidR="003A7270" w:rsidRPr="00662680">
        <w:rPr>
          <w:rFonts w:eastAsiaTheme="minorHAnsi"/>
          <w:sz w:val="22"/>
          <w:szCs w:val="22"/>
          <w:lang w:val="en-AU"/>
        </w:rPr>
        <w:t xml:space="preserve">A number of these substances were also listed in Appendix </w:t>
      </w:r>
      <w:r w:rsidR="00C51863" w:rsidRPr="00662680">
        <w:rPr>
          <w:rFonts w:eastAsiaTheme="minorHAnsi"/>
          <w:sz w:val="22"/>
          <w:szCs w:val="22"/>
          <w:lang w:val="en-AU"/>
        </w:rPr>
        <w:t>L</w:t>
      </w:r>
      <w:r w:rsidR="003A7270" w:rsidRPr="00662680">
        <w:rPr>
          <w:rFonts w:eastAsiaTheme="minorHAnsi"/>
          <w:sz w:val="22"/>
          <w:szCs w:val="22"/>
          <w:lang w:val="en-AU"/>
        </w:rPr>
        <w:t xml:space="preserve">, including </w:t>
      </w:r>
      <w:r w:rsidR="003A7270" w:rsidRPr="00662680">
        <w:rPr>
          <w:sz w:val="22"/>
          <w:szCs w:val="22"/>
        </w:rPr>
        <w:t xml:space="preserve">belumosudil, </w:t>
      </w:r>
      <w:r w:rsidR="003A7270" w:rsidRPr="00662680">
        <w:rPr>
          <w:sz w:val="22"/>
          <w:szCs w:val="20"/>
        </w:rPr>
        <w:t xml:space="preserve">finerenone and </w:t>
      </w:r>
      <w:r w:rsidR="003A7270" w:rsidRPr="00662680">
        <w:rPr>
          <w:sz w:val="22"/>
          <w:szCs w:val="22"/>
        </w:rPr>
        <w:t>trastuzumab deruxtecan.</w:t>
      </w:r>
    </w:p>
    <w:p w14:paraId="4382E099" w14:textId="423AB7D1" w:rsidR="002C290C" w:rsidRPr="00662680" w:rsidRDefault="009D09A6" w:rsidP="00BC648F">
      <w:pPr>
        <w:spacing w:after="0"/>
        <w:rPr>
          <w:rFonts w:eastAsiaTheme="minorHAnsi"/>
          <w:sz w:val="22"/>
          <w:szCs w:val="22"/>
          <w:lang w:val="en-AU"/>
        </w:rPr>
      </w:pPr>
      <w:r w:rsidRPr="00662680">
        <w:rPr>
          <w:rFonts w:eastAsiaTheme="minorHAnsi"/>
          <w:sz w:val="22"/>
          <w:szCs w:val="22"/>
          <w:lang w:val="en-AU"/>
        </w:rPr>
        <w:lastRenderedPageBreak/>
        <w:t>A</w:t>
      </w:r>
      <w:r w:rsidR="00602BC0" w:rsidRPr="00662680">
        <w:rPr>
          <w:rFonts w:eastAsiaTheme="minorHAnsi"/>
          <w:sz w:val="22"/>
          <w:szCs w:val="22"/>
          <w:lang w:val="en-AU"/>
        </w:rPr>
        <w:t xml:space="preserve"> small number of other, more minor, a</w:t>
      </w:r>
      <w:r w:rsidR="00931C29" w:rsidRPr="00662680">
        <w:rPr>
          <w:rFonts w:eastAsiaTheme="minorHAnsi"/>
          <w:sz w:val="22"/>
          <w:szCs w:val="22"/>
          <w:lang w:val="en-AU"/>
        </w:rPr>
        <w:t>mendments were also incorporated into</w:t>
      </w:r>
      <w:r w:rsidRPr="00662680">
        <w:rPr>
          <w:rFonts w:eastAsiaTheme="minorHAnsi"/>
          <w:sz w:val="22"/>
          <w:szCs w:val="22"/>
          <w:lang w:val="en-AU"/>
        </w:rPr>
        <w:t xml:space="preserve"> the </w:t>
      </w:r>
      <w:r w:rsidRPr="00662680">
        <w:rPr>
          <w:rFonts w:eastAsiaTheme="minorHAnsi"/>
          <w:i/>
          <w:sz w:val="22"/>
          <w:szCs w:val="22"/>
          <w:lang w:val="en-AU"/>
        </w:rPr>
        <w:t xml:space="preserve">Poisons Standard </w:t>
      </w:r>
      <w:r w:rsidR="00C87FE7" w:rsidRPr="00662680">
        <w:rPr>
          <w:rFonts w:eastAsiaTheme="minorHAnsi"/>
          <w:i/>
          <w:sz w:val="22"/>
          <w:szCs w:val="22"/>
          <w:lang w:val="en-AU"/>
        </w:rPr>
        <w:t>October</w:t>
      </w:r>
      <w:r w:rsidRPr="00662680">
        <w:rPr>
          <w:rFonts w:eastAsiaTheme="minorHAnsi"/>
          <w:i/>
          <w:sz w:val="22"/>
          <w:szCs w:val="22"/>
          <w:lang w:val="en-AU"/>
        </w:rPr>
        <w:t xml:space="preserve"> 2021</w:t>
      </w:r>
      <w:r w:rsidR="00602BC0" w:rsidRPr="00662680">
        <w:rPr>
          <w:rFonts w:eastAsiaTheme="minorHAnsi"/>
          <w:sz w:val="22"/>
          <w:szCs w:val="22"/>
          <w:lang w:val="en-AU"/>
        </w:rPr>
        <w:t>, principally</w:t>
      </w:r>
      <w:r w:rsidRPr="00662680">
        <w:rPr>
          <w:rFonts w:eastAsiaTheme="minorHAnsi"/>
          <w:sz w:val="22"/>
          <w:szCs w:val="22"/>
          <w:lang w:val="en-AU"/>
        </w:rPr>
        <w:t xml:space="preserve"> </w:t>
      </w:r>
      <w:r w:rsidR="00602BC0" w:rsidRPr="00662680">
        <w:rPr>
          <w:rFonts w:eastAsiaTheme="minorHAnsi"/>
          <w:sz w:val="22"/>
          <w:szCs w:val="22"/>
          <w:lang w:val="en-AU"/>
        </w:rPr>
        <w:t>to clarify the</w:t>
      </w:r>
      <w:r w:rsidR="00B14675" w:rsidRPr="00662680">
        <w:rPr>
          <w:rFonts w:eastAsiaTheme="minorHAnsi"/>
          <w:sz w:val="22"/>
          <w:szCs w:val="22"/>
          <w:lang w:val="en-AU"/>
        </w:rPr>
        <w:t xml:space="preserve"> duplicated Appendix F entries for lead compounds in the index</w:t>
      </w:r>
      <w:r w:rsidR="001467F6" w:rsidRPr="00662680">
        <w:rPr>
          <w:rFonts w:eastAsiaTheme="minorHAnsi"/>
          <w:sz w:val="22"/>
          <w:szCs w:val="22"/>
          <w:lang w:val="en-AU"/>
        </w:rPr>
        <w:t>.</w:t>
      </w:r>
      <w:r w:rsidR="00602BC0" w:rsidRPr="00662680">
        <w:rPr>
          <w:rFonts w:eastAsiaTheme="minorHAnsi"/>
          <w:sz w:val="22"/>
          <w:szCs w:val="22"/>
          <w:lang w:val="en-AU"/>
        </w:rPr>
        <w:t xml:space="preserve"> </w:t>
      </w:r>
    </w:p>
    <w:p w14:paraId="00DC7A58" w14:textId="49B319D1" w:rsidR="00C73228" w:rsidRPr="00662680" w:rsidRDefault="00130D2A" w:rsidP="00BC648F">
      <w:pPr>
        <w:spacing w:after="0"/>
        <w:rPr>
          <w:rFonts w:eastAsiaTheme="minorHAnsi"/>
          <w:sz w:val="22"/>
          <w:szCs w:val="22"/>
          <w:lang w:val="en-AU"/>
        </w:rPr>
      </w:pPr>
      <w:r w:rsidRPr="00662680">
        <w:rPr>
          <w:rFonts w:eastAsiaTheme="minorHAnsi"/>
          <w:sz w:val="22"/>
          <w:szCs w:val="22"/>
          <w:lang w:val="en-AU"/>
        </w:rPr>
        <w:t xml:space="preserve">An amendment has also been </w:t>
      </w:r>
      <w:r w:rsidR="00C73228" w:rsidRPr="00662680">
        <w:rPr>
          <w:rFonts w:eastAsiaTheme="minorHAnsi"/>
          <w:sz w:val="22"/>
          <w:szCs w:val="22"/>
          <w:lang w:val="en-AU"/>
        </w:rPr>
        <w:t>incorporated to allow exemptions from the labelling requirements in sections 1.3 to 1.5.3 of Part 2 of Schedule 1 to the current Poisons Standard to be in place for longer than the current 12 months where the exemption relates to a product that is indicated for the treatment or prevention of the disease known as coronavirus disease (</w:t>
      </w:r>
      <w:r w:rsidR="00C1609C" w:rsidRPr="00662680">
        <w:rPr>
          <w:rFonts w:eastAsiaTheme="minorHAnsi"/>
          <w:sz w:val="22"/>
          <w:szCs w:val="22"/>
          <w:lang w:val="en-AU"/>
        </w:rPr>
        <w:t>“</w:t>
      </w:r>
      <w:r w:rsidR="00C73228" w:rsidRPr="00662680">
        <w:rPr>
          <w:rFonts w:eastAsiaTheme="minorHAnsi"/>
          <w:sz w:val="22"/>
          <w:szCs w:val="22"/>
          <w:lang w:val="en-AU"/>
        </w:rPr>
        <w:t>COVID-19</w:t>
      </w:r>
      <w:r w:rsidR="00C1609C" w:rsidRPr="00662680">
        <w:rPr>
          <w:rFonts w:eastAsiaTheme="minorHAnsi"/>
          <w:sz w:val="22"/>
          <w:szCs w:val="22"/>
          <w:lang w:val="en-AU"/>
        </w:rPr>
        <w:t>”</w:t>
      </w:r>
      <w:r w:rsidR="00C73228" w:rsidRPr="00662680">
        <w:rPr>
          <w:rFonts w:eastAsiaTheme="minorHAnsi"/>
          <w:sz w:val="22"/>
          <w:szCs w:val="22"/>
          <w:lang w:val="en-AU"/>
        </w:rPr>
        <w:t>).  Under the amendment a labelling exemption for such a product may remain in place for the period specified in the exemption or, where no period is specified, until revoked by the appropriate authority.</w:t>
      </w:r>
    </w:p>
    <w:p w14:paraId="6E13B7F9" w14:textId="163DF0BD" w:rsidR="00FC312C" w:rsidRPr="00662680" w:rsidRDefault="00C73228" w:rsidP="00BC648F">
      <w:pPr>
        <w:spacing w:after="0"/>
        <w:rPr>
          <w:rFonts w:eastAsiaTheme="minorHAnsi"/>
          <w:sz w:val="22"/>
          <w:szCs w:val="22"/>
          <w:lang w:val="en-AU"/>
        </w:rPr>
      </w:pPr>
      <w:r w:rsidRPr="00662680">
        <w:rPr>
          <w:rFonts w:eastAsiaTheme="minorHAnsi"/>
          <w:sz w:val="22"/>
          <w:szCs w:val="22"/>
          <w:lang w:val="en-AU"/>
        </w:rPr>
        <w:t xml:space="preserve">This reflects that COVID-19 vaccines and treatments </w:t>
      </w:r>
      <w:r w:rsidR="00C1609C" w:rsidRPr="00662680">
        <w:rPr>
          <w:rFonts w:eastAsiaTheme="minorHAnsi"/>
          <w:sz w:val="22"/>
          <w:szCs w:val="22"/>
          <w:lang w:val="en-AU"/>
        </w:rPr>
        <w:t>include products</w:t>
      </w:r>
      <w:r w:rsidRPr="00662680">
        <w:rPr>
          <w:rFonts w:eastAsiaTheme="minorHAnsi"/>
          <w:sz w:val="22"/>
          <w:szCs w:val="22"/>
          <w:lang w:val="en-AU"/>
        </w:rPr>
        <w:t xml:space="preserve"> manufactured overseas</w:t>
      </w:r>
      <w:r w:rsidR="00C1609C" w:rsidRPr="00662680">
        <w:rPr>
          <w:rFonts w:eastAsiaTheme="minorHAnsi"/>
          <w:sz w:val="22"/>
          <w:szCs w:val="22"/>
          <w:lang w:val="en-AU"/>
        </w:rPr>
        <w:t>, with</w:t>
      </w:r>
      <w:r w:rsidRPr="00662680">
        <w:rPr>
          <w:rFonts w:eastAsiaTheme="minorHAnsi"/>
          <w:sz w:val="22"/>
          <w:szCs w:val="22"/>
          <w:lang w:val="en-AU"/>
        </w:rPr>
        <w:t xml:space="preserve"> overseas labels that may not contain </w:t>
      </w:r>
      <w:proofErr w:type="gramStart"/>
      <w:r w:rsidRPr="00662680">
        <w:rPr>
          <w:rFonts w:eastAsiaTheme="minorHAnsi"/>
          <w:sz w:val="22"/>
          <w:szCs w:val="22"/>
          <w:lang w:val="en-AU"/>
        </w:rPr>
        <w:t>all of</w:t>
      </w:r>
      <w:proofErr w:type="gramEnd"/>
      <w:r w:rsidRPr="00662680">
        <w:rPr>
          <w:rFonts w:eastAsiaTheme="minorHAnsi"/>
          <w:sz w:val="22"/>
          <w:szCs w:val="22"/>
          <w:lang w:val="en-AU"/>
        </w:rPr>
        <w:t xml:space="preserve"> the information required under sections 1.3 – 1.5.3</w:t>
      </w:r>
      <w:r w:rsidR="00C1609C" w:rsidRPr="00662680">
        <w:rPr>
          <w:rFonts w:eastAsiaTheme="minorHAnsi"/>
          <w:sz w:val="22"/>
          <w:szCs w:val="22"/>
          <w:lang w:val="en-AU"/>
        </w:rPr>
        <w:t>.</w:t>
      </w:r>
      <w:r w:rsidRPr="00662680">
        <w:rPr>
          <w:rFonts w:eastAsiaTheme="minorHAnsi"/>
          <w:sz w:val="22"/>
          <w:szCs w:val="22"/>
          <w:lang w:val="en-AU"/>
        </w:rPr>
        <w:t xml:space="preserve"> </w:t>
      </w:r>
      <w:r w:rsidR="00C1609C" w:rsidRPr="00662680">
        <w:rPr>
          <w:rFonts w:eastAsiaTheme="minorHAnsi"/>
          <w:sz w:val="22"/>
          <w:szCs w:val="22"/>
          <w:lang w:val="en-AU"/>
        </w:rPr>
        <w:t xml:space="preserve"> L</w:t>
      </w:r>
      <w:r w:rsidRPr="00662680">
        <w:rPr>
          <w:rFonts w:eastAsiaTheme="minorHAnsi"/>
          <w:sz w:val="22"/>
          <w:szCs w:val="22"/>
          <w:lang w:val="en-AU"/>
        </w:rPr>
        <w:t>abelling exemptions made under section 1.5.5 of the Poisons Standard form an important part of ensuring the availability of such products for Australians</w:t>
      </w:r>
      <w:r w:rsidR="00C1609C" w:rsidRPr="00662680">
        <w:rPr>
          <w:rFonts w:eastAsiaTheme="minorHAnsi"/>
          <w:sz w:val="22"/>
          <w:szCs w:val="22"/>
          <w:lang w:val="en-AU"/>
        </w:rPr>
        <w:t>, supporting the Australian Government’s response to the COVID-19 public health emergency.</w:t>
      </w:r>
      <w:r w:rsidR="00A70C7F" w:rsidRPr="00662680">
        <w:rPr>
          <w:rFonts w:eastAsiaTheme="minorHAnsi"/>
          <w:sz w:val="22"/>
          <w:szCs w:val="22"/>
          <w:lang w:val="en-AU"/>
        </w:rPr>
        <w:t xml:space="preserve"> States and territories were consulted and were supportive of this </w:t>
      </w:r>
      <w:proofErr w:type="gramStart"/>
      <w:r w:rsidR="00A70C7F" w:rsidRPr="00662680">
        <w:rPr>
          <w:rFonts w:eastAsiaTheme="minorHAnsi"/>
          <w:sz w:val="22"/>
          <w:szCs w:val="22"/>
          <w:lang w:val="en-AU"/>
        </w:rPr>
        <w:t>proposal, and</w:t>
      </w:r>
      <w:proofErr w:type="gramEnd"/>
      <w:r w:rsidR="00A70C7F" w:rsidRPr="00662680">
        <w:rPr>
          <w:rFonts w:eastAsiaTheme="minorHAnsi"/>
          <w:sz w:val="22"/>
          <w:szCs w:val="22"/>
          <w:lang w:val="en-AU"/>
        </w:rPr>
        <w:t xml:space="preserve"> did not raise any concerns with the amendment.</w:t>
      </w:r>
    </w:p>
    <w:p w14:paraId="0F2E8DC2" w14:textId="7EC50EF4" w:rsidR="002C290C" w:rsidRPr="00662680" w:rsidRDefault="002C290C" w:rsidP="00BC648F">
      <w:pPr>
        <w:spacing w:after="0"/>
        <w:rPr>
          <w:rFonts w:eastAsiaTheme="minorHAnsi"/>
          <w:sz w:val="22"/>
          <w:szCs w:val="22"/>
          <w:lang w:val="en-AU"/>
        </w:rPr>
      </w:pPr>
      <w:r w:rsidRPr="00662680">
        <w:rPr>
          <w:rFonts w:eastAsiaTheme="minorHAnsi"/>
          <w:sz w:val="22"/>
          <w:szCs w:val="22"/>
        </w:rPr>
        <w:t>The decisions to make minor corrections in relation to bilastine, riociguat and risankizumab</w:t>
      </w:r>
      <w:r w:rsidR="00C51863" w:rsidRPr="00662680">
        <w:rPr>
          <w:rFonts w:eastAsiaTheme="minorHAnsi"/>
          <w:sz w:val="22"/>
          <w:szCs w:val="22"/>
        </w:rPr>
        <w:t>,</w:t>
      </w:r>
      <w:r w:rsidRPr="00662680">
        <w:rPr>
          <w:rFonts w:eastAsiaTheme="minorHAnsi"/>
          <w:sz w:val="22"/>
          <w:szCs w:val="22"/>
        </w:rPr>
        <w:t xml:space="preserve"> </w:t>
      </w:r>
      <w:r w:rsidR="00D910A4" w:rsidRPr="00662680">
        <w:rPr>
          <w:rFonts w:eastAsiaTheme="minorHAnsi"/>
          <w:sz w:val="22"/>
          <w:szCs w:val="22"/>
        </w:rPr>
        <w:t>and the incorporation of new substances</w:t>
      </w:r>
      <w:r w:rsidR="00C51863" w:rsidRPr="00662680">
        <w:rPr>
          <w:rFonts w:eastAsiaTheme="minorHAnsi"/>
          <w:sz w:val="22"/>
          <w:szCs w:val="22"/>
        </w:rPr>
        <w:t>,</w:t>
      </w:r>
      <w:r w:rsidR="00D910A4" w:rsidRPr="00662680">
        <w:rPr>
          <w:rFonts w:eastAsiaTheme="minorHAnsi"/>
          <w:sz w:val="22"/>
          <w:szCs w:val="22"/>
        </w:rPr>
        <w:t xml:space="preserve"> </w:t>
      </w:r>
      <w:r w:rsidRPr="00662680">
        <w:rPr>
          <w:rFonts w:eastAsiaTheme="minorHAnsi"/>
          <w:sz w:val="22"/>
          <w:szCs w:val="22"/>
        </w:rPr>
        <w:t xml:space="preserve">were delegate-only decisions in accordance with the SPF. </w:t>
      </w:r>
      <w:r w:rsidR="00130AA6" w:rsidRPr="00662680">
        <w:rPr>
          <w:rFonts w:eastAsiaTheme="minorHAnsi"/>
          <w:sz w:val="22"/>
          <w:szCs w:val="22"/>
        </w:rPr>
        <w:t xml:space="preserve"> </w:t>
      </w:r>
      <w:r w:rsidRPr="00662680">
        <w:rPr>
          <w:rFonts w:eastAsiaTheme="minorHAnsi"/>
          <w:sz w:val="22"/>
          <w:szCs w:val="22"/>
        </w:rPr>
        <w:t>These were considered sufficiently straightforward and did not require any public consultation.</w:t>
      </w:r>
    </w:p>
    <w:p w14:paraId="55C4FDBC" w14:textId="72BF3D1A" w:rsidR="00BC648F" w:rsidRPr="00662680" w:rsidRDefault="00BC648F" w:rsidP="00BC648F">
      <w:pPr>
        <w:rPr>
          <w:rFonts w:eastAsiaTheme="minorHAnsi"/>
          <w:sz w:val="22"/>
          <w:szCs w:val="22"/>
          <w:lang w:val="en-AU"/>
        </w:rPr>
      </w:pPr>
      <w:r w:rsidRPr="00662680">
        <w:rPr>
          <w:rFonts w:eastAsiaTheme="minorHAnsi"/>
          <w:sz w:val="22"/>
          <w:szCs w:val="22"/>
          <w:lang w:val="en-AU"/>
        </w:rPr>
        <w:t xml:space="preserve">The </w:t>
      </w:r>
      <w:r w:rsidR="004E70F4" w:rsidRPr="00662680">
        <w:rPr>
          <w:rFonts w:eastAsiaTheme="minorHAnsi"/>
          <w:i/>
          <w:sz w:val="22"/>
          <w:szCs w:val="22"/>
          <w:lang w:val="en-AU"/>
        </w:rPr>
        <w:t xml:space="preserve">Poisons Standard </w:t>
      </w:r>
      <w:r w:rsidR="00C87FE7" w:rsidRPr="00662680">
        <w:rPr>
          <w:rFonts w:eastAsiaTheme="minorHAnsi"/>
          <w:i/>
          <w:sz w:val="22"/>
          <w:szCs w:val="22"/>
          <w:lang w:val="en-AU"/>
        </w:rPr>
        <w:t>October</w:t>
      </w:r>
      <w:r w:rsidR="00DA6D2F" w:rsidRPr="00662680">
        <w:rPr>
          <w:rFonts w:eastAsiaTheme="minorHAnsi"/>
          <w:i/>
          <w:sz w:val="22"/>
          <w:szCs w:val="22"/>
          <w:lang w:val="en-AU"/>
        </w:rPr>
        <w:t xml:space="preserve"> 2021</w:t>
      </w:r>
      <w:r w:rsidRPr="00662680">
        <w:rPr>
          <w:rFonts w:eastAsiaTheme="minorHAnsi"/>
          <w:sz w:val="22"/>
          <w:szCs w:val="22"/>
          <w:lang w:val="en-AU"/>
        </w:rPr>
        <w:t xml:space="preserve"> is a legislative instrument for the purposes of the </w:t>
      </w:r>
      <w:r w:rsidRPr="00662680">
        <w:rPr>
          <w:rFonts w:eastAsiaTheme="minorHAnsi"/>
          <w:i/>
          <w:sz w:val="22"/>
          <w:szCs w:val="22"/>
          <w:lang w:val="en-AU"/>
        </w:rPr>
        <w:t>Legislation Act 2003</w:t>
      </w:r>
      <w:r w:rsidRPr="00662680">
        <w:rPr>
          <w:rFonts w:eastAsiaTheme="minorHAnsi"/>
          <w:sz w:val="22"/>
          <w:szCs w:val="22"/>
          <w:lang w:val="en-AU"/>
        </w:rPr>
        <w:t>.</w:t>
      </w:r>
      <w:r w:rsidR="0072604D" w:rsidRPr="00662680">
        <w:rPr>
          <w:rFonts w:eastAsiaTheme="minorHAnsi"/>
          <w:sz w:val="22"/>
          <w:szCs w:val="22"/>
          <w:lang w:val="en-AU"/>
        </w:rPr>
        <w:t xml:space="preserve"> </w:t>
      </w:r>
      <w:r w:rsidRPr="00662680">
        <w:rPr>
          <w:rFonts w:eastAsiaTheme="minorHAnsi"/>
          <w:sz w:val="22"/>
          <w:szCs w:val="22"/>
          <w:lang w:val="en-AU"/>
        </w:rPr>
        <w:t xml:space="preserve"> However, section 42 of the </w:t>
      </w:r>
      <w:r w:rsidRPr="00662680">
        <w:rPr>
          <w:rFonts w:eastAsiaTheme="minorHAnsi"/>
          <w:i/>
          <w:sz w:val="22"/>
          <w:szCs w:val="22"/>
          <w:lang w:val="en-AU"/>
        </w:rPr>
        <w:t>L</w:t>
      </w:r>
      <w:r w:rsidR="0056728C" w:rsidRPr="00662680">
        <w:rPr>
          <w:rFonts w:eastAsiaTheme="minorHAnsi"/>
          <w:i/>
          <w:sz w:val="22"/>
          <w:szCs w:val="22"/>
          <w:lang w:val="en-AU"/>
        </w:rPr>
        <w:t xml:space="preserve">egislation </w:t>
      </w:r>
      <w:r w:rsidRPr="00662680">
        <w:rPr>
          <w:rFonts w:eastAsiaTheme="minorHAnsi"/>
          <w:i/>
          <w:sz w:val="22"/>
          <w:szCs w:val="22"/>
          <w:lang w:val="en-AU"/>
        </w:rPr>
        <w:t>A</w:t>
      </w:r>
      <w:r w:rsidR="0056728C" w:rsidRPr="00662680">
        <w:rPr>
          <w:rFonts w:eastAsiaTheme="minorHAnsi"/>
          <w:i/>
          <w:sz w:val="22"/>
          <w:szCs w:val="22"/>
          <w:lang w:val="en-AU"/>
        </w:rPr>
        <w:t>ct 2003</w:t>
      </w:r>
      <w:r w:rsidRPr="00662680">
        <w:rPr>
          <w:rFonts w:eastAsiaTheme="minorHAnsi"/>
          <w:sz w:val="22"/>
          <w:szCs w:val="22"/>
          <w:lang w:val="en-AU"/>
        </w:rPr>
        <w:t xml:space="preserve"> </w:t>
      </w:r>
      <w:r w:rsidR="004B672A" w:rsidRPr="00662680">
        <w:rPr>
          <w:rFonts w:eastAsiaTheme="minorHAnsi"/>
          <w:sz w:val="22"/>
          <w:szCs w:val="22"/>
          <w:lang w:val="en-AU"/>
        </w:rPr>
        <w:t xml:space="preserve">relating to </w:t>
      </w:r>
      <w:r w:rsidR="00E774B6" w:rsidRPr="00662680">
        <w:rPr>
          <w:rFonts w:eastAsiaTheme="minorHAnsi"/>
          <w:sz w:val="22"/>
          <w:szCs w:val="22"/>
          <w:lang w:val="en-AU"/>
        </w:rPr>
        <w:t xml:space="preserve">disallowance </w:t>
      </w:r>
      <w:r w:rsidRPr="00662680">
        <w:rPr>
          <w:rFonts w:eastAsiaTheme="minorHAnsi"/>
          <w:sz w:val="22"/>
          <w:szCs w:val="22"/>
          <w:lang w:val="en-AU"/>
        </w:rPr>
        <w:t>does not apply (</w:t>
      </w:r>
      <w:r w:rsidR="00E80292" w:rsidRPr="00662680">
        <w:rPr>
          <w:rFonts w:eastAsiaTheme="minorHAnsi"/>
          <w:sz w:val="22"/>
          <w:szCs w:val="22"/>
          <w:lang w:val="en-AU"/>
        </w:rPr>
        <w:t>s</w:t>
      </w:r>
      <w:r w:rsidRPr="00662680">
        <w:rPr>
          <w:rFonts w:eastAsiaTheme="minorHAnsi"/>
          <w:sz w:val="22"/>
          <w:szCs w:val="22"/>
          <w:lang w:val="en-AU"/>
        </w:rPr>
        <w:t xml:space="preserve">ubsection </w:t>
      </w:r>
      <w:proofErr w:type="spellStart"/>
      <w:r w:rsidRPr="00662680">
        <w:rPr>
          <w:rFonts w:eastAsiaTheme="minorHAnsi"/>
          <w:sz w:val="22"/>
          <w:szCs w:val="22"/>
          <w:lang w:val="en-AU"/>
        </w:rPr>
        <w:t>52D</w:t>
      </w:r>
      <w:proofErr w:type="spellEnd"/>
      <w:r w:rsidRPr="00662680">
        <w:rPr>
          <w:rFonts w:eastAsiaTheme="minorHAnsi"/>
          <w:sz w:val="22"/>
          <w:szCs w:val="22"/>
          <w:lang w:val="en-AU"/>
        </w:rPr>
        <w:t>(</w:t>
      </w:r>
      <w:proofErr w:type="spellStart"/>
      <w:r w:rsidRPr="00662680">
        <w:rPr>
          <w:rFonts w:eastAsiaTheme="minorHAnsi"/>
          <w:sz w:val="22"/>
          <w:szCs w:val="22"/>
          <w:lang w:val="en-AU"/>
        </w:rPr>
        <w:t>4A</w:t>
      </w:r>
      <w:proofErr w:type="spellEnd"/>
      <w:r w:rsidRPr="00662680">
        <w:rPr>
          <w:rFonts w:eastAsiaTheme="minorHAnsi"/>
          <w:sz w:val="22"/>
          <w:szCs w:val="22"/>
          <w:lang w:val="en-AU"/>
        </w:rPr>
        <w:t>) of the Act</w:t>
      </w:r>
      <w:r w:rsidR="00C1609C" w:rsidRPr="00662680">
        <w:rPr>
          <w:rFonts w:eastAsiaTheme="minorHAnsi"/>
          <w:sz w:val="22"/>
          <w:szCs w:val="22"/>
          <w:lang w:val="en-AU"/>
        </w:rPr>
        <w:t xml:space="preserve"> refers</w:t>
      </w:r>
      <w:r w:rsidRPr="00662680">
        <w:rPr>
          <w:rFonts w:eastAsiaTheme="minorHAnsi"/>
          <w:sz w:val="22"/>
          <w:szCs w:val="22"/>
          <w:lang w:val="en-AU"/>
        </w:rPr>
        <w:t xml:space="preserve">). </w:t>
      </w:r>
      <w:r w:rsidR="0072604D" w:rsidRPr="00662680">
        <w:rPr>
          <w:rFonts w:eastAsiaTheme="minorHAnsi"/>
          <w:sz w:val="22"/>
          <w:szCs w:val="22"/>
          <w:lang w:val="en-AU"/>
        </w:rPr>
        <w:t xml:space="preserve"> </w:t>
      </w:r>
      <w:r w:rsidRPr="00662680">
        <w:rPr>
          <w:rFonts w:eastAsiaTheme="minorHAnsi"/>
          <w:sz w:val="22"/>
          <w:szCs w:val="22"/>
          <w:lang w:val="en-AU"/>
        </w:rPr>
        <w:t xml:space="preserve">As </w:t>
      </w:r>
      <w:r w:rsidR="00C1609C" w:rsidRPr="00662680">
        <w:rPr>
          <w:rFonts w:eastAsiaTheme="minorHAnsi"/>
          <w:sz w:val="22"/>
          <w:szCs w:val="22"/>
          <w:lang w:val="en-AU"/>
        </w:rPr>
        <w:t xml:space="preserve">the </w:t>
      </w:r>
      <w:r w:rsidR="00C1609C" w:rsidRPr="00662680">
        <w:rPr>
          <w:rFonts w:eastAsiaTheme="minorHAnsi"/>
          <w:i/>
          <w:iCs/>
          <w:sz w:val="22"/>
          <w:szCs w:val="22"/>
          <w:lang w:val="en-AU"/>
        </w:rPr>
        <w:t>Poisons Standard October 2021</w:t>
      </w:r>
      <w:r w:rsidR="00C1609C" w:rsidRPr="00662680">
        <w:rPr>
          <w:rFonts w:eastAsiaTheme="minorHAnsi"/>
          <w:sz w:val="22"/>
          <w:szCs w:val="22"/>
          <w:lang w:val="en-AU"/>
        </w:rPr>
        <w:t xml:space="preserve"> is not disallowable</w:t>
      </w:r>
      <w:r w:rsidRPr="00662680">
        <w:rPr>
          <w:rFonts w:eastAsiaTheme="minorHAnsi"/>
          <w:sz w:val="22"/>
          <w:szCs w:val="22"/>
          <w:lang w:val="en-AU"/>
        </w:rPr>
        <w:t xml:space="preserve">, subsection 9(1) of the </w:t>
      </w:r>
      <w:r w:rsidRPr="00662680">
        <w:rPr>
          <w:rFonts w:eastAsiaTheme="minorHAnsi"/>
          <w:i/>
          <w:sz w:val="22"/>
          <w:szCs w:val="22"/>
          <w:lang w:val="en-AU"/>
        </w:rPr>
        <w:t>Human Rights (Parliamentary Scrutiny) Act 2011</w:t>
      </w:r>
      <w:r w:rsidRPr="00662680">
        <w:rPr>
          <w:rFonts w:eastAsiaTheme="minorHAnsi"/>
          <w:sz w:val="22"/>
          <w:szCs w:val="22"/>
          <w:lang w:val="en-AU"/>
        </w:rPr>
        <w:t xml:space="preserve"> does not require that </w:t>
      </w:r>
      <w:r w:rsidR="00E774B6" w:rsidRPr="00662680">
        <w:rPr>
          <w:rFonts w:eastAsiaTheme="minorHAnsi"/>
          <w:sz w:val="22"/>
          <w:szCs w:val="22"/>
          <w:lang w:val="en-AU"/>
        </w:rPr>
        <w:t xml:space="preserve">the instrument </w:t>
      </w:r>
      <w:r w:rsidRPr="00662680">
        <w:rPr>
          <w:rFonts w:eastAsiaTheme="minorHAnsi"/>
          <w:sz w:val="22"/>
          <w:szCs w:val="22"/>
          <w:lang w:val="en-AU"/>
        </w:rPr>
        <w:t>be accompanied by a statement of compatibility with the human rights recognised under that Act.</w:t>
      </w:r>
    </w:p>
    <w:p w14:paraId="6335599B" w14:textId="0008ECC6" w:rsidR="00C1609C" w:rsidRPr="00662680" w:rsidRDefault="00C1609C" w:rsidP="00BC648F">
      <w:pPr>
        <w:rPr>
          <w:sz w:val="22"/>
          <w:szCs w:val="22"/>
        </w:rPr>
      </w:pPr>
      <w:r w:rsidRPr="00662680">
        <w:rPr>
          <w:sz w:val="22"/>
          <w:szCs w:val="22"/>
        </w:rPr>
        <w:t xml:space="preserve">In providing that disallowance does not apply to an instrument made under paragraphs 52D(2)(a) or (b) of the Act, subsection 52D(4A) of the Act appropriately recognises that instruments made under these paragraphs form part of an intergovernmental scheme, which should not be subject to unilateral disallowance by the Commonwealth Parliament, consistent with section 44 of the Legislation Act. </w:t>
      </w:r>
      <w:r w:rsidR="00130AA6" w:rsidRPr="00662680">
        <w:rPr>
          <w:sz w:val="22"/>
          <w:szCs w:val="22"/>
        </w:rPr>
        <w:t xml:space="preserve"> </w:t>
      </w:r>
      <w:r w:rsidRPr="00662680">
        <w:rPr>
          <w:sz w:val="22"/>
          <w:szCs w:val="22"/>
        </w:rPr>
        <w:t xml:space="preserve">Under this scheme, the current Poisons Standard principally provides a set of recommendations to the states and territories as to the appropriate level of controls that should apply to medicines and poisons. </w:t>
      </w:r>
    </w:p>
    <w:p w14:paraId="5FCF6E0F" w14:textId="150DBAA9" w:rsidR="00C1609C" w:rsidRPr="00662680" w:rsidRDefault="00C1609C" w:rsidP="00BC648F">
      <w:pPr>
        <w:rPr>
          <w:sz w:val="22"/>
          <w:szCs w:val="22"/>
        </w:rPr>
      </w:pPr>
      <w:r w:rsidRPr="00662680">
        <w:rPr>
          <w:sz w:val="22"/>
          <w:szCs w:val="22"/>
        </w:rPr>
        <w:t>The states and territories regulate such substances by electing to apply the current Poisons Standard as a law within their own jurisdiction.</w:t>
      </w:r>
      <w:r w:rsidR="008F17B2" w:rsidRPr="00662680">
        <w:rPr>
          <w:sz w:val="22"/>
          <w:szCs w:val="22"/>
        </w:rPr>
        <w:t xml:space="preserve"> </w:t>
      </w:r>
      <w:r w:rsidRPr="00662680">
        <w:rPr>
          <w:sz w:val="22"/>
          <w:szCs w:val="22"/>
        </w:rPr>
        <w:t xml:space="preserve"> In this way, the current Poisons Standard does not have direct </w:t>
      </w:r>
      <w:proofErr w:type="gramStart"/>
      <w:r w:rsidRPr="00662680">
        <w:rPr>
          <w:sz w:val="22"/>
          <w:szCs w:val="22"/>
        </w:rPr>
        <w:t>application in its own right</w:t>
      </w:r>
      <w:proofErr w:type="gramEnd"/>
      <w:r w:rsidRPr="00662680">
        <w:rPr>
          <w:sz w:val="22"/>
          <w:szCs w:val="22"/>
        </w:rPr>
        <w:t xml:space="preserve">. </w:t>
      </w:r>
      <w:r w:rsidR="008F17B2" w:rsidRPr="00662680">
        <w:rPr>
          <w:sz w:val="22"/>
          <w:szCs w:val="22"/>
        </w:rPr>
        <w:t xml:space="preserve"> </w:t>
      </w:r>
      <w:r w:rsidRPr="00662680">
        <w:rPr>
          <w:sz w:val="22"/>
          <w:szCs w:val="22"/>
        </w:rPr>
        <w:t>If the current Poisons Standard was to be subject to disallowance, this would impact the current uniform system of restrictions in Australia relating to the supply of scheduled substances, and</w:t>
      </w:r>
      <w:r w:rsidR="008F17B2" w:rsidRPr="00662680">
        <w:rPr>
          <w:sz w:val="22"/>
          <w:szCs w:val="22"/>
        </w:rPr>
        <w:t xml:space="preserve"> would</w:t>
      </w:r>
      <w:r w:rsidRPr="00662680">
        <w:rPr>
          <w:sz w:val="22"/>
          <w:szCs w:val="22"/>
        </w:rPr>
        <w:t xml:space="preserve"> lead to confusion and different approaches across different states and territories with respect to their handling, storage, possession and supply</w:t>
      </w:r>
      <w:r w:rsidR="008F17B2" w:rsidRPr="00662680">
        <w:rPr>
          <w:sz w:val="22"/>
          <w:szCs w:val="22"/>
        </w:rPr>
        <w:t xml:space="preserve"> of scheduled substances</w:t>
      </w:r>
      <w:r w:rsidRPr="00662680">
        <w:rPr>
          <w:sz w:val="22"/>
          <w:szCs w:val="22"/>
        </w:rPr>
        <w:t>.</w:t>
      </w:r>
    </w:p>
    <w:p w14:paraId="21C428DC" w14:textId="4ABEABE7" w:rsidR="00C1609C" w:rsidRPr="00662680" w:rsidRDefault="00C1609C" w:rsidP="00474A00">
      <w:pPr>
        <w:rPr>
          <w:rFonts w:eastAsiaTheme="minorHAnsi"/>
          <w:sz w:val="22"/>
          <w:szCs w:val="22"/>
          <w:lang w:val="en-AU"/>
        </w:rPr>
      </w:pPr>
      <w:r w:rsidRPr="00662680">
        <w:rPr>
          <w:sz w:val="22"/>
          <w:szCs w:val="22"/>
        </w:rPr>
        <w:t>Further, as inclusion of new medicines in the current Poisons Standard is often a consequence of the granting of marketing approval of new medicines under the Act, it is likely that disallowance would also lead to delays for Australian patients in accessing new and effective treatments.</w:t>
      </w:r>
    </w:p>
    <w:p w14:paraId="014702FF" w14:textId="33BE2CA9" w:rsidR="00BE1BAD" w:rsidRPr="00130AA6" w:rsidRDefault="00BC648F" w:rsidP="00971403">
      <w:pPr>
        <w:spacing w:before="0" w:after="0"/>
        <w:rPr>
          <w:sz w:val="22"/>
          <w:szCs w:val="22"/>
        </w:rPr>
      </w:pPr>
      <w:r w:rsidRPr="00662680">
        <w:rPr>
          <w:rFonts w:eastAsiaTheme="minorHAnsi"/>
          <w:sz w:val="22"/>
          <w:szCs w:val="22"/>
          <w:lang w:val="en-AU"/>
        </w:rPr>
        <w:t xml:space="preserve">The </w:t>
      </w:r>
      <w:r w:rsidR="007773F8" w:rsidRPr="00662680">
        <w:rPr>
          <w:rFonts w:eastAsiaTheme="minorHAnsi"/>
          <w:i/>
          <w:sz w:val="22"/>
          <w:szCs w:val="22"/>
          <w:lang w:val="en-AU"/>
        </w:rPr>
        <w:t xml:space="preserve">Poisons Standard </w:t>
      </w:r>
      <w:r w:rsidR="00C87FE7" w:rsidRPr="00662680">
        <w:rPr>
          <w:rFonts w:eastAsiaTheme="minorHAnsi"/>
          <w:i/>
          <w:sz w:val="22"/>
          <w:szCs w:val="22"/>
          <w:lang w:val="en-AU"/>
        </w:rPr>
        <w:t>October</w:t>
      </w:r>
      <w:r w:rsidR="00DA6D2F" w:rsidRPr="00662680">
        <w:rPr>
          <w:rFonts w:eastAsiaTheme="minorHAnsi"/>
          <w:i/>
          <w:sz w:val="22"/>
          <w:szCs w:val="22"/>
          <w:lang w:val="en-AU"/>
        </w:rPr>
        <w:t xml:space="preserve"> 2021</w:t>
      </w:r>
      <w:r w:rsidRPr="00662680">
        <w:rPr>
          <w:rFonts w:eastAsiaTheme="minorHAnsi"/>
          <w:sz w:val="22"/>
          <w:szCs w:val="22"/>
          <w:lang w:val="en-AU"/>
        </w:rPr>
        <w:t xml:space="preserve"> commences on 1 </w:t>
      </w:r>
      <w:r w:rsidR="00C87FE7" w:rsidRPr="00662680">
        <w:rPr>
          <w:rFonts w:eastAsiaTheme="minorHAnsi"/>
          <w:sz w:val="22"/>
          <w:szCs w:val="22"/>
          <w:lang w:val="en-AU"/>
        </w:rPr>
        <w:t>October</w:t>
      </w:r>
      <w:r w:rsidR="00DA6D2F" w:rsidRPr="00662680">
        <w:rPr>
          <w:rFonts w:eastAsiaTheme="minorHAnsi"/>
          <w:sz w:val="22"/>
          <w:szCs w:val="22"/>
          <w:lang w:val="en-AU"/>
        </w:rPr>
        <w:t xml:space="preserve"> 2021</w:t>
      </w:r>
      <w:r w:rsidRPr="00662680">
        <w:rPr>
          <w:rFonts w:eastAsiaTheme="minorHAnsi"/>
          <w:sz w:val="22"/>
          <w:szCs w:val="22"/>
          <w:lang w:val="en-AU"/>
        </w:rPr>
        <w:t>.</w:t>
      </w:r>
    </w:p>
    <w:sectPr w:rsidR="00BE1BAD" w:rsidRPr="00130AA6" w:rsidSect="00872BB1">
      <w:footerReference w:type="default" r:id="rId18"/>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920CB" w14:textId="77777777" w:rsidR="00182A66" w:rsidRDefault="00182A66" w:rsidP="00002885">
      <w:r>
        <w:separator/>
      </w:r>
    </w:p>
  </w:endnote>
  <w:endnote w:type="continuationSeparator" w:id="0">
    <w:p w14:paraId="5DB55E20" w14:textId="77777777" w:rsidR="00182A66" w:rsidRDefault="00182A66" w:rsidP="0000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5240664"/>
      <w:docPartObj>
        <w:docPartGallery w:val="Page Numbers (Bottom of Page)"/>
        <w:docPartUnique/>
      </w:docPartObj>
    </w:sdtPr>
    <w:sdtEndPr>
      <w:rPr>
        <w:noProof/>
        <w:sz w:val="22"/>
        <w:szCs w:val="22"/>
      </w:rPr>
    </w:sdtEndPr>
    <w:sdtContent>
      <w:p w14:paraId="66A852E3" w14:textId="31FB1EE3" w:rsidR="001D49AC" w:rsidRPr="00B041B3" w:rsidRDefault="001D49AC">
        <w:pPr>
          <w:pStyle w:val="Footer"/>
          <w:jc w:val="right"/>
          <w:rPr>
            <w:sz w:val="22"/>
            <w:szCs w:val="22"/>
          </w:rPr>
        </w:pPr>
        <w:r w:rsidRPr="00B041B3">
          <w:rPr>
            <w:sz w:val="22"/>
            <w:szCs w:val="22"/>
          </w:rPr>
          <w:fldChar w:fldCharType="begin"/>
        </w:r>
        <w:r w:rsidRPr="00B041B3">
          <w:rPr>
            <w:sz w:val="22"/>
            <w:szCs w:val="22"/>
          </w:rPr>
          <w:instrText xml:space="preserve"> PAGE   \* MERGEFORMAT </w:instrText>
        </w:r>
        <w:r w:rsidRPr="00B041B3">
          <w:rPr>
            <w:sz w:val="22"/>
            <w:szCs w:val="22"/>
          </w:rPr>
          <w:fldChar w:fldCharType="separate"/>
        </w:r>
        <w:r w:rsidR="00FF79C8">
          <w:rPr>
            <w:noProof/>
            <w:sz w:val="22"/>
            <w:szCs w:val="22"/>
          </w:rPr>
          <w:t>1</w:t>
        </w:r>
        <w:r w:rsidRPr="00B041B3">
          <w:rPr>
            <w:noProof/>
            <w:sz w:val="22"/>
            <w:szCs w:val="22"/>
          </w:rPr>
          <w:fldChar w:fldCharType="end"/>
        </w:r>
      </w:p>
    </w:sdtContent>
  </w:sdt>
  <w:p w14:paraId="6280C8BF" w14:textId="77777777" w:rsidR="00117231" w:rsidRDefault="00117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50F7D" w14:textId="77777777" w:rsidR="00182A66" w:rsidRDefault="00182A66" w:rsidP="00002885">
      <w:r>
        <w:separator/>
      </w:r>
    </w:p>
  </w:footnote>
  <w:footnote w:type="continuationSeparator" w:id="0">
    <w:p w14:paraId="66CFD382" w14:textId="77777777" w:rsidR="00182A66" w:rsidRDefault="00182A66" w:rsidP="00002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4156D"/>
    <w:multiLevelType w:val="hybridMultilevel"/>
    <w:tmpl w:val="3EF25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965E2"/>
    <w:multiLevelType w:val="hybridMultilevel"/>
    <w:tmpl w:val="F16C839C"/>
    <w:lvl w:ilvl="0" w:tplc="745EC5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CA3E2E"/>
    <w:multiLevelType w:val="hybridMultilevel"/>
    <w:tmpl w:val="5F629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B16C5E"/>
    <w:multiLevelType w:val="hybridMultilevel"/>
    <w:tmpl w:val="6270D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CF4E53"/>
    <w:multiLevelType w:val="hybridMultilevel"/>
    <w:tmpl w:val="2A22A1F0"/>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3F1BCC"/>
    <w:multiLevelType w:val="multilevel"/>
    <w:tmpl w:val="787CB7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F2EBD"/>
    <w:multiLevelType w:val="hybridMultilevel"/>
    <w:tmpl w:val="D424246C"/>
    <w:lvl w:ilvl="0" w:tplc="CDAE011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142CB8"/>
    <w:multiLevelType w:val="hybridMultilevel"/>
    <w:tmpl w:val="81A06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75484E"/>
    <w:multiLevelType w:val="hybridMultilevel"/>
    <w:tmpl w:val="40D2371A"/>
    <w:lvl w:ilvl="0" w:tplc="5A12FAF2">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1669E0"/>
    <w:multiLevelType w:val="hybridMultilevel"/>
    <w:tmpl w:val="2B166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660FAE"/>
    <w:multiLevelType w:val="hybridMultilevel"/>
    <w:tmpl w:val="84148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C963AE"/>
    <w:multiLevelType w:val="hybridMultilevel"/>
    <w:tmpl w:val="8F0C2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5D1A09"/>
    <w:multiLevelType w:val="hybridMultilevel"/>
    <w:tmpl w:val="1F4AA0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6F3B81"/>
    <w:multiLevelType w:val="hybridMultilevel"/>
    <w:tmpl w:val="29029846"/>
    <w:lvl w:ilvl="0" w:tplc="1EDC6928">
      <w:start w:val="1"/>
      <w:numFmt w:val="upp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15:restartNumberingAfterBreak="0">
    <w:nsid w:val="2CD34958"/>
    <w:multiLevelType w:val="hybridMultilevel"/>
    <w:tmpl w:val="118EE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7E3C61"/>
    <w:multiLevelType w:val="hybridMultilevel"/>
    <w:tmpl w:val="491C1ADC"/>
    <w:lvl w:ilvl="0" w:tplc="B076168C">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34BBA"/>
    <w:multiLevelType w:val="hybridMultilevel"/>
    <w:tmpl w:val="765C3B7C"/>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A819D4"/>
    <w:multiLevelType w:val="hybridMultilevel"/>
    <w:tmpl w:val="07A82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9509C0"/>
    <w:multiLevelType w:val="hybridMultilevel"/>
    <w:tmpl w:val="63146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A4A56B2"/>
    <w:multiLevelType w:val="hybridMultilevel"/>
    <w:tmpl w:val="3D9AC59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5C1256"/>
    <w:multiLevelType w:val="hybridMultilevel"/>
    <w:tmpl w:val="5CD4B3AE"/>
    <w:lvl w:ilvl="0" w:tplc="35C2C3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CC5542"/>
    <w:multiLevelType w:val="hybridMultilevel"/>
    <w:tmpl w:val="6A023EA0"/>
    <w:lvl w:ilvl="0" w:tplc="0C090017">
      <w:start w:val="1"/>
      <w:numFmt w:val="lowerLetter"/>
      <w:lvlText w:val="%1)"/>
      <w:lvlJc w:val="left"/>
      <w:pPr>
        <w:ind w:left="930" w:hanging="570"/>
      </w:pPr>
      <w:rPr>
        <w:rFonts w:hint="default"/>
      </w:rPr>
    </w:lvl>
    <w:lvl w:ilvl="1" w:tplc="745EC56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07308C"/>
    <w:multiLevelType w:val="hybridMultilevel"/>
    <w:tmpl w:val="3C641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0D555C"/>
    <w:multiLevelType w:val="hybridMultilevel"/>
    <w:tmpl w:val="13AC2B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E85329F"/>
    <w:multiLevelType w:val="hybridMultilevel"/>
    <w:tmpl w:val="3CC83160"/>
    <w:lvl w:ilvl="0" w:tplc="92125A9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A44BBB"/>
    <w:multiLevelType w:val="hybridMultilevel"/>
    <w:tmpl w:val="7DA48650"/>
    <w:lvl w:ilvl="0" w:tplc="745EC56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14666A3"/>
    <w:multiLevelType w:val="hybridMultilevel"/>
    <w:tmpl w:val="B5609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D032B4"/>
    <w:multiLevelType w:val="hybridMultilevel"/>
    <w:tmpl w:val="79BEF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372DD4"/>
    <w:multiLevelType w:val="hybridMultilevel"/>
    <w:tmpl w:val="9ED62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D60FB0"/>
    <w:multiLevelType w:val="hybridMultilevel"/>
    <w:tmpl w:val="841E0D78"/>
    <w:lvl w:ilvl="0" w:tplc="35C2C3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0D183E"/>
    <w:multiLevelType w:val="hybridMultilevel"/>
    <w:tmpl w:val="57C0F94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0D25EB"/>
    <w:multiLevelType w:val="multilevel"/>
    <w:tmpl w:val="DB341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8118FE"/>
    <w:multiLevelType w:val="hybridMultilevel"/>
    <w:tmpl w:val="03C4BAB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38720C"/>
    <w:multiLevelType w:val="hybridMultilevel"/>
    <w:tmpl w:val="2C0C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284409"/>
    <w:multiLevelType w:val="hybridMultilevel"/>
    <w:tmpl w:val="BCD48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534772"/>
    <w:multiLevelType w:val="hybridMultilevel"/>
    <w:tmpl w:val="3B745BB8"/>
    <w:lvl w:ilvl="0" w:tplc="92125A9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C2231B"/>
    <w:multiLevelType w:val="hybridMultilevel"/>
    <w:tmpl w:val="EEA61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C937F8"/>
    <w:multiLevelType w:val="hybridMultilevel"/>
    <w:tmpl w:val="21D689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0FD0D69"/>
    <w:multiLevelType w:val="hybridMultilevel"/>
    <w:tmpl w:val="84F67A9E"/>
    <w:lvl w:ilvl="0" w:tplc="0C090017">
      <w:start w:val="1"/>
      <w:numFmt w:val="lowerLetter"/>
      <w:lvlText w:val="%1)"/>
      <w:lvlJc w:val="left"/>
      <w:pPr>
        <w:ind w:left="720" w:hanging="360"/>
      </w:pPr>
    </w:lvl>
    <w:lvl w:ilvl="1" w:tplc="745EC56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AC55A48"/>
    <w:multiLevelType w:val="hybridMultilevel"/>
    <w:tmpl w:val="841E0D78"/>
    <w:lvl w:ilvl="0" w:tplc="35C2C3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9A47F9"/>
    <w:multiLevelType w:val="hybridMultilevel"/>
    <w:tmpl w:val="82C2DF1A"/>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3857C85"/>
    <w:multiLevelType w:val="hybridMultilevel"/>
    <w:tmpl w:val="B8C4B9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3B3653C"/>
    <w:multiLevelType w:val="hybridMultilevel"/>
    <w:tmpl w:val="EC984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B0089F"/>
    <w:multiLevelType w:val="hybridMultilevel"/>
    <w:tmpl w:val="CF5234C4"/>
    <w:lvl w:ilvl="0" w:tplc="5C3A9BFC">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213278"/>
    <w:multiLevelType w:val="hybridMultilevel"/>
    <w:tmpl w:val="F56CD2E8"/>
    <w:lvl w:ilvl="0" w:tplc="745EC560">
      <w:start w:val="1"/>
      <w:numFmt w:val="lowerRoman"/>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DD060D7"/>
    <w:multiLevelType w:val="hybridMultilevel"/>
    <w:tmpl w:val="C99043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3"/>
  </w:num>
  <w:num w:numId="2">
    <w:abstractNumId w:val="31"/>
  </w:num>
  <w:num w:numId="3">
    <w:abstractNumId w:val="36"/>
  </w:num>
  <w:num w:numId="4">
    <w:abstractNumId w:val="18"/>
  </w:num>
  <w:num w:numId="5">
    <w:abstractNumId w:val="9"/>
  </w:num>
  <w:num w:numId="6">
    <w:abstractNumId w:val="41"/>
  </w:num>
  <w:num w:numId="7">
    <w:abstractNumId w:val="19"/>
  </w:num>
  <w:num w:numId="8">
    <w:abstractNumId w:val="34"/>
  </w:num>
  <w:num w:numId="9">
    <w:abstractNumId w:val="27"/>
  </w:num>
  <w:num w:numId="10">
    <w:abstractNumId w:val="2"/>
  </w:num>
  <w:num w:numId="11">
    <w:abstractNumId w:val="42"/>
  </w:num>
  <w:num w:numId="12">
    <w:abstractNumId w:val="10"/>
  </w:num>
  <w:num w:numId="13">
    <w:abstractNumId w:val="29"/>
  </w:num>
  <w:num w:numId="14">
    <w:abstractNumId w:val="32"/>
  </w:num>
  <w:num w:numId="15">
    <w:abstractNumId w:val="45"/>
  </w:num>
  <w:num w:numId="16">
    <w:abstractNumId w:val="30"/>
  </w:num>
  <w:num w:numId="17">
    <w:abstractNumId w:val="20"/>
  </w:num>
  <w:num w:numId="18">
    <w:abstractNumId w:val="1"/>
  </w:num>
  <w:num w:numId="19">
    <w:abstractNumId w:val="39"/>
  </w:num>
  <w:num w:numId="20">
    <w:abstractNumId w:val="4"/>
  </w:num>
  <w:num w:numId="21">
    <w:abstractNumId w:val="16"/>
  </w:num>
  <w:num w:numId="22">
    <w:abstractNumId w:val="44"/>
  </w:num>
  <w:num w:numId="23">
    <w:abstractNumId w:val="40"/>
  </w:num>
  <w:num w:numId="24">
    <w:abstractNumId w:val="21"/>
  </w:num>
  <w:num w:numId="25">
    <w:abstractNumId w:val="25"/>
  </w:num>
  <w:num w:numId="26">
    <w:abstractNumId w:val="38"/>
  </w:num>
  <w:num w:numId="27">
    <w:abstractNumId w:val="13"/>
  </w:num>
  <w:num w:numId="28">
    <w:abstractNumId w:val="3"/>
  </w:num>
  <w:num w:numId="29">
    <w:abstractNumId w:val="5"/>
    <w:lvlOverride w:ilvl="0"/>
    <w:lvlOverride w:ilvl="1">
      <w:startOverride w:val="1"/>
    </w:lvlOverride>
    <w:lvlOverride w:ilvl="2"/>
    <w:lvlOverride w:ilvl="3"/>
    <w:lvlOverride w:ilvl="4"/>
    <w:lvlOverride w:ilvl="5"/>
    <w:lvlOverride w:ilvl="6"/>
    <w:lvlOverride w:ilvl="7"/>
    <w:lvlOverride w:ilvl="8"/>
  </w:num>
  <w:num w:numId="30">
    <w:abstractNumId w:val="43"/>
  </w:num>
  <w:num w:numId="31">
    <w:abstractNumId w:val="37"/>
  </w:num>
  <w:num w:numId="32">
    <w:abstractNumId w:val="23"/>
  </w:num>
  <w:num w:numId="33">
    <w:abstractNumId w:val="17"/>
  </w:num>
  <w:num w:numId="34">
    <w:abstractNumId w:val="11"/>
  </w:num>
  <w:num w:numId="35">
    <w:abstractNumId w:val="6"/>
  </w:num>
  <w:num w:numId="36">
    <w:abstractNumId w:val="24"/>
  </w:num>
  <w:num w:numId="37">
    <w:abstractNumId w:val="35"/>
  </w:num>
  <w:num w:numId="38">
    <w:abstractNumId w:val="14"/>
  </w:num>
  <w:num w:numId="39">
    <w:abstractNumId w:val="15"/>
  </w:num>
  <w:num w:numId="40">
    <w:abstractNumId w:val="8"/>
  </w:num>
  <w:num w:numId="41">
    <w:abstractNumId w:val="0"/>
  </w:num>
  <w:num w:numId="42">
    <w:abstractNumId w:val="12"/>
  </w:num>
  <w:num w:numId="43">
    <w:abstractNumId w:val="28"/>
  </w:num>
  <w:num w:numId="44">
    <w:abstractNumId w:val="8"/>
  </w:num>
  <w:num w:numId="45">
    <w:abstractNumId w:val="7"/>
  </w:num>
  <w:num w:numId="46">
    <w:abstractNumId w:val="8"/>
  </w:num>
  <w:num w:numId="47">
    <w:abstractNumId w:val="22"/>
  </w:num>
  <w:num w:numId="48">
    <w:abstractNumId w:val="26"/>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BCD"/>
    <w:rsid w:val="000014DC"/>
    <w:rsid w:val="00002787"/>
    <w:rsid w:val="00002885"/>
    <w:rsid w:val="000031D3"/>
    <w:rsid w:val="00003F40"/>
    <w:rsid w:val="0000449D"/>
    <w:rsid w:val="00004B55"/>
    <w:rsid w:val="00007D7E"/>
    <w:rsid w:val="000104DC"/>
    <w:rsid w:val="00011147"/>
    <w:rsid w:val="00011923"/>
    <w:rsid w:val="00013101"/>
    <w:rsid w:val="0001344B"/>
    <w:rsid w:val="0001557A"/>
    <w:rsid w:val="00015D91"/>
    <w:rsid w:val="00015F7D"/>
    <w:rsid w:val="000163D5"/>
    <w:rsid w:val="00016497"/>
    <w:rsid w:val="00020B01"/>
    <w:rsid w:val="0002378A"/>
    <w:rsid w:val="000239E4"/>
    <w:rsid w:val="000245BC"/>
    <w:rsid w:val="00024635"/>
    <w:rsid w:val="00024DBC"/>
    <w:rsid w:val="000408EE"/>
    <w:rsid w:val="00040E21"/>
    <w:rsid w:val="000410C1"/>
    <w:rsid w:val="000416AC"/>
    <w:rsid w:val="00044A0E"/>
    <w:rsid w:val="00045C74"/>
    <w:rsid w:val="000461D2"/>
    <w:rsid w:val="00046350"/>
    <w:rsid w:val="0004679E"/>
    <w:rsid w:val="00046B6D"/>
    <w:rsid w:val="00047A51"/>
    <w:rsid w:val="00050AFE"/>
    <w:rsid w:val="00050EB5"/>
    <w:rsid w:val="000547AB"/>
    <w:rsid w:val="000549E7"/>
    <w:rsid w:val="00057A65"/>
    <w:rsid w:val="00060D54"/>
    <w:rsid w:val="00060F25"/>
    <w:rsid w:val="000611B6"/>
    <w:rsid w:val="00061FF7"/>
    <w:rsid w:val="00065A55"/>
    <w:rsid w:val="00067854"/>
    <w:rsid w:val="000723FA"/>
    <w:rsid w:val="000810CF"/>
    <w:rsid w:val="00083426"/>
    <w:rsid w:val="00083B34"/>
    <w:rsid w:val="00085CAB"/>
    <w:rsid w:val="00085F57"/>
    <w:rsid w:val="0008693E"/>
    <w:rsid w:val="00086A92"/>
    <w:rsid w:val="0009060C"/>
    <w:rsid w:val="00090731"/>
    <w:rsid w:val="0009240B"/>
    <w:rsid w:val="00094186"/>
    <w:rsid w:val="00096CF4"/>
    <w:rsid w:val="00097388"/>
    <w:rsid w:val="000A1AE9"/>
    <w:rsid w:val="000A26F2"/>
    <w:rsid w:val="000A30D2"/>
    <w:rsid w:val="000A433D"/>
    <w:rsid w:val="000A54E1"/>
    <w:rsid w:val="000A6132"/>
    <w:rsid w:val="000A665B"/>
    <w:rsid w:val="000B1021"/>
    <w:rsid w:val="000B5294"/>
    <w:rsid w:val="000C0B6E"/>
    <w:rsid w:val="000C1920"/>
    <w:rsid w:val="000C1F50"/>
    <w:rsid w:val="000C2B11"/>
    <w:rsid w:val="000C6AC7"/>
    <w:rsid w:val="000C7419"/>
    <w:rsid w:val="000D0790"/>
    <w:rsid w:val="000D07F2"/>
    <w:rsid w:val="000D084B"/>
    <w:rsid w:val="000D1217"/>
    <w:rsid w:val="000D5884"/>
    <w:rsid w:val="000D589B"/>
    <w:rsid w:val="000D5B0D"/>
    <w:rsid w:val="000D5C26"/>
    <w:rsid w:val="000D6E73"/>
    <w:rsid w:val="000D7D58"/>
    <w:rsid w:val="000E065B"/>
    <w:rsid w:val="000E10D0"/>
    <w:rsid w:val="000E1A37"/>
    <w:rsid w:val="000E1CF6"/>
    <w:rsid w:val="000E1D7F"/>
    <w:rsid w:val="000E2752"/>
    <w:rsid w:val="000E3A76"/>
    <w:rsid w:val="000E4994"/>
    <w:rsid w:val="000E4F33"/>
    <w:rsid w:val="000F0360"/>
    <w:rsid w:val="000F10CF"/>
    <w:rsid w:val="000F4187"/>
    <w:rsid w:val="000F46C6"/>
    <w:rsid w:val="000F4DCD"/>
    <w:rsid w:val="000F5B73"/>
    <w:rsid w:val="000F66E3"/>
    <w:rsid w:val="000F7064"/>
    <w:rsid w:val="00101113"/>
    <w:rsid w:val="00103637"/>
    <w:rsid w:val="00107427"/>
    <w:rsid w:val="001075FB"/>
    <w:rsid w:val="00107A47"/>
    <w:rsid w:val="001100E5"/>
    <w:rsid w:val="0011193B"/>
    <w:rsid w:val="00112C17"/>
    <w:rsid w:val="001147B1"/>
    <w:rsid w:val="0011569B"/>
    <w:rsid w:val="00115C3B"/>
    <w:rsid w:val="00117231"/>
    <w:rsid w:val="001178E6"/>
    <w:rsid w:val="00121869"/>
    <w:rsid w:val="00121FBA"/>
    <w:rsid w:val="001226D3"/>
    <w:rsid w:val="001247BF"/>
    <w:rsid w:val="00124BDD"/>
    <w:rsid w:val="00125761"/>
    <w:rsid w:val="001263E3"/>
    <w:rsid w:val="00130AA6"/>
    <w:rsid w:val="00130D2A"/>
    <w:rsid w:val="00131841"/>
    <w:rsid w:val="00133E6E"/>
    <w:rsid w:val="00136ECD"/>
    <w:rsid w:val="0013744B"/>
    <w:rsid w:val="00137A4D"/>
    <w:rsid w:val="0014023B"/>
    <w:rsid w:val="00140CDD"/>
    <w:rsid w:val="001467F6"/>
    <w:rsid w:val="0015058D"/>
    <w:rsid w:val="00150B6E"/>
    <w:rsid w:val="00150E5B"/>
    <w:rsid w:val="00152DCA"/>
    <w:rsid w:val="00154877"/>
    <w:rsid w:val="00154F69"/>
    <w:rsid w:val="00160B52"/>
    <w:rsid w:val="00160DD7"/>
    <w:rsid w:val="00161FAA"/>
    <w:rsid w:val="00164241"/>
    <w:rsid w:val="001642AC"/>
    <w:rsid w:val="00164EBF"/>
    <w:rsid w:val="00165B12"/>
    <w:rsid w:val="00166DC2"/>
    <w:rsid w:val="001671AC"/>
    <w:rsid w:val="00172349"/>
    <w:rsid w:val="001723CD"/>
    <w:rsid w:val="00172990"/>
    <w:rsid w:val="0017322A"/>
    <w:rsid w:val="0017679F"/>
    <w:rsid w:val="00177A6A"/>
    <w:rsid w:val="00177D93"/>
    <w:rsid w:val="001816D7"/>
    <w:rsid w:val="00182A66"/>
    <w:rsid w:val="0018373F"/>
    <w:rsid w:val="0018447A"/>
    <w:rsid w:val="00184ED7"/>
    <w:rsid w:val="0018702E"/>
    <w:rsid w:val="001903C0"/>
    <w:rsid w:val="00190733"/>
    <w:rsid w:val="0019081A"/>
    <w:rsid w:val="00192452"/>
    <w:rsid w:val="00192D23"/>
    <w:rsid w:val="00195B6C"/>
    <w:rsid w:val="001963A6"/>
    <w:rsid w:val="001A0B13"/>
    <w:rsid w:val="001A14BD"/>
    <w:rsid w:val="001A19B6"/>
    <w:rsid w:val="001A1BAA"/>
    <w:rsid w:val="001A1DA8"/>
    <w:rsid w:val="001A2F53"/>
    <w:rsid w:val="001A7ABF"/>
    <w:rsid w:val="001B16FE"/>
    <w:rsid w:val="001B1A51"/>
    <w:rsid w:val="001B25B0"/>
    <w:rsid w:val="001B2819"/>
    <w:rsid w:val="001B75A2"/>
    <w:rsid w:val="001B79E5"/>
    <w:rsid w:val="001C0CF6"/>
    <w:rsid w:val="001C2836"/>
    <w:rsid w:val="001C28B3"/>
    <w:rsid w:val="001C57FA"/>
    <w:rsid w:val="001C5ED4"/>
    <w:rsid w:val="001C6BB5"/>
    <w:rsid w:val="001D0B9A"/>
    <w:rsid w:val="001D29E7"/>
    <w:rsid w:val="001D49AC"/>
    <w:rsid w:val="001D5F61"/>
    <w:rsid w:val="001E0522"/>
    <w:rsid w:val="001E16D6"/>
    <w:rsid w:val="001E298A"/>
    <w:rsid w:val="001E2BA3"/>
    <w:rsid w:val="001E3F97"/>
    <w:rsid w:val="001E5AF0"/>
    <w:rsid w:val="001E7A9B"/>
    <w:rsid w:val="001F2A71"/>
    <w:rsid w:val="001F75C8"/>
    <w:rsid w:val="00200784"/>
    <w:rsid w:val="00200F2D"/>
    <w:rsid w:val="002021F7"/>
    <w:rsid w:val="00202E44"/>
    <w:rsid w:val="00202F89"/>
    <w:rsid w:val="00203D86"/>
    <w:rsid w:val="00204AB8"/>
    <w:rsid w:val="00204EE1"/>
    <w:rsid w:val="0020549C"/>
    <w:rsid w:val="00206991"/>
    <w:rsid w:val="002112E6"/>
    <w:rsid w:val="00213C33"/>
    <w:rsid w:val="00214730"/>
    <w:rsid w:val="00215813"/>
    <w:rsid w:val="00215AA8"/>
    <w:rsid w:val="00215C67"/>
    <w:rsid w:val="002167F3"/>
    <w:rsid w:val="002173F5"/>
    <w:rsid w:val="0021794A"/>
    <w:rsid w:val="00220D4B"/>
    <w:rsid w:val="002244F4"/>
    <w:rsid w:val="00227CFA"/>
    <w:rsid w:val="002305C1"/>
    <w:rsid w:val="00231DF6"/>
    <w:rsid w:val="0023235D"/>
    <w:rsid w:val="00235B34"/>
    <w:rsid w:val="00237639"/>
    <w:rsid w:val="00240A4C"/>
    <w:rsid w:val="00240DB3"/>
    <w:rsid w:val="00245C64"/>
    <w:rsid w:val="002472DF"/>
    <w:rsid w:val="00250856"/>
    <w:rsid w:val="0025421D"/>
    <w:rsid w:val="00255241"/>
    <w:rsid w:val="00260771"/>
    <w:rsid w:val="00260B7A"/>
    <w:rsid w:val="002617D0"/>
    <w:rsid w:val="0026204F"/>
    <w:rsid w:val="0026226E"/>
    <w:rsid w:val="00262A88"/>
    <w:rsid w:val="00272213"/>
    <w:rsid w:val="00272528"/>
    <w:rsid w:val="00273A55"/>
    <w:rsid w:val="00274950"/>
    <w:rsid w:val="00277672"/>
    <w:rsid w:val="00280FDD"/>
    <w:rsid w:val="00281B78"/>
    <w:rsid w:val="00281CCF"/>
    <w:rsid w:val="00283416"/>
    <w:rsid w:val="00283679"/>
    <w:rsid w:val="00283C62"/>
    <w:rsid w:val="00290C61"/>
    <w:rsid w:val="00290E42"/>
    <w:rsid w:val="00291283"/>
    <w:rsid w:val="0029179C"/>
    <w:rsid w:val="00294AC9"/>
    <w:rsid w:val="0029630A"/>
    <w:rsid w:val="00296A3C"/>
    <w:rsid w:val="002A1999"/>
    <w:rsid w:val="002A1A5D"/>
    <w:rsid w:val="002A39A8"/>
    <w:rsid w:val="002A39B3"/>
    <w:rsid w:val="002A5D82"/>
    <w:rsid w:val="002B1352"/>
    <w:rsid w:val="002B1B8E"/>
    <w:rsid w:val="002B3DF4"/>
    <w:rsid w:val="002B61BD"/>
    <w:rsid w:val="002C1F13"/>
    <w:rsid w:val="002C290C"/>
    <w:rsid w:val="002C2A05"/>
    <w:rsid w:val="002C3D2F"/>
    <w:rsid w:val="002C6882"/>
    <w:rsid w:val="002C7B90"/>
    <w:rsid w:val="002C7D01"/>
    <w:rsid w:val="002D1B66"/>
    <w:rsid w:val="002D3F55"/>
    <w:rsid w:val="002D4673"/>
    <w:rsid w:val="002D7553"/>
    <w:rsid w:val="002E232E"/>
    <w:rsid w:val="002E2BD8"/>
    <w:rsid w:val="002E4A7A"/>
    <w:rsid w:val="002E7354"/>
    <w:rsid w:val="002F3F6D"/>
    <w:rsid w:val="002F73CA"/>
    <w:rsid w:val="002F74C7"/>
    <w:rsid w:val="00300AA5"/>
    <w:rsid w:val="00300D5F"/>
    <w:rsid w:val="003034DA"/>
    <w:rsid w:val="0030383A"/>
    <w:rsid w:val="00304309"/>
    <w:rsid w:val="00305CB9"/>
    <w:rsid w:val="003101C1"/>
    <w:rsid w:val="00313AAD"/>
    <w:rsid w:val="00317537"/>
    <w:rsid w:val="0032031E"/>
    <w:rsid w:val="00321DB4"/>
    <w:rsid w:val="00321EB9"/>
    <w:rsid w:val="003300BD"/>
    <w:rsid w:val="00330DF9"/>
    <w:rsid w:val="0033255C"/>
    <w:rsid w:val="00333056"/>
    <w:rsid w:val="00334356"/>
    <w:rsid w:val="00335590"/>
    <w:rsid w:val="00337BC6"/>
    <w:rsid w:val="003404D7"/>
    <w:rsid w:val="00341179"/>
    <w:rsid w:val="003415EF"/>
    <w:rsid w:val="00342BEE"/>
    <w:rsid w:val="003431F9"/>
    <w:rsid w:val="0034329C"/>
    <w:rsid w:val="003466A5"/>
    <w:rsid w:val="00346FBD"/>
    <w:rsid w:val="00350A18"/>
    <w:rsid w:val="00350AD4"/>
    <w:rsid w:val="00351233"/>
    <w:rsid w:val="0035375C"/>
    <w:rsid w:val="00354012"/>
    <w:rsid w:val="00357276"/>
    <w:rsid w:val="003572D8"/>
    <w:rsid w:val="00357B5C"/>
    <w:rsid w:val="00362F90"/>
    <w:rsid w:val="00366B0C"/>
    <w:rsid w:val="0036743D"/>
    <w:rsid w:val="003715A7"/>
    <w:rsid w:val="00372064"/>
    <w:rsid w:val="00373423"/>
    <w:rsid w:val="00374974"/>
    <w:rsid w:val="00377830"/>
    <w:rsid w:val="00377F14"/>
    <w:rsid w:val="003806A8"/>
    <w:rsid w:val="003829DB"/>
    <w:rsid w:val="00383160"/>
    <w:rsid w:val="00384D93"/>
    <w:rsid w:val="003855C2"/>
    <w:rsid w:val="00385F15"/>
    <w:rsid w:val="00391669"/>
    <w:rsid w:val="00391AB4"/>
    <w:rsid w:val="00395482"/>
    <w:rsid w:val="00396C63"/>
    <w:rsid w:val="0039705F"/>
    <w:rsid w:val="003A1DE0"/>
    <w:rsid w:val="003A2DB0"/>
    <w:rsid w:val="003A342F"/>
    <w:rsid w:val="003A3C28"/>
    <w:rsid w:val="003A7270"/>
    <w:rsid w:val="003B2E72"/>
    <w:rsid w:val="003B4519"/>
    <w:rsid w:val="003B5A6F"/>
    <w:rsid w:val="003B704E"/>
    <w:rsid w:val="003C083C"/>
    <w:rsid w:val="003C0849"/>
    <w:rsid w:val="003C176C"/>
    <w:rsid w:val="003C2E82"/>
    <w:rsid w:val="003C33DB"/>
    <w:rsid w:val="003C3801"/>
    <w:rsid w:val="003C493F"/>
    <w:rsid w:val="003C5E79"/>
    <w:rsid w:val="003C68EC"/>
    <w:rsid w:val="003C761E"/>
    <w:rsid w:val="003C777B"/>
    <w:rsid w:val="003D2B5B"/>
    <w:rsid w:val="003D34C8"/>
    <w:rsid w:val="003D3A8B"/>
    <w:rsid w:val="003D5C29"/>
    <w:rsid w:val="003D6ADB"/>
    <w:rsid w:val="003E3086"/>
    <w:rsid w:val="003E3876"/>
    <w:rsid w:val="003E3BFC"/>
    <w:rsid w:val="003E7057"/>
    <w:rsid w:val="003E7B33"/>
    <w:rsid w:val="003F4B87"/>
    <w:rsid w:val="003F596A"/>
    <w:rsid w:val="003F6727"/>
    <w:rsid w:val="003F692D"/>
    <w:rsid w:val="003F73B6"/>
    <w:rsid w:val="003F7446"/>
    <w:rsid w:val="004022F0"/>
    <w:rsid w:val="00403C13"/>
    <w:rsid w:val="00405296"/>
    <w:rsid w:val="00406039"/>
    <w:rsid w:val="00410E46"/>
    <w:rsid w:val="0041139F"/>
    <w:rsid w:val="00414125"/>
    <w:rsid w:val="004148D3"/>
    <w:rsid w:val="0041679E"/>
    <w:rsid w:val="00417260"/>
    <w:rsid w:val="004176E8"/>
    <w:rsid w:val="004176FC"/>
    <w:rsid w:val="00420580"/>
    <w:rsid w:val="004215C5"/>
    <w:rsid w:val="00421ACA"/>
    <w:rsid w:val="0042243B"/>
    <w:rsid w:val="004252A3"/>
    <w:rsid w:val="0042581B"/>
    <w:rsid w:val="00426846"/>
    <w:rsid w:val="00426FB6"/>
    <w:rsid w:val="00427401"/>
    <w:rsid w:val="00431392"/>
    <w:rsid w:val="004320B6"/>
    <w:rsid w:val="004329E0"/>
    <w:rsid w:val="00433C18"/>
    <w:rsid w:val="00435D1D"/>
    <w:rsid w:val="00436D9A"/>
    <w:rsid w:val="00436FDA"/>
    <w:rsid w:val="004414F1"/>
    <w:rsid w:val="00441682"/>
    <w:rsid w:val="0044168C"/>
    <w:rsid w:val="004422DD"/>
    <w:rsid w:val="0044300D"/>
    <w:rsid w:val="004444EF"/>
    <w:rsid w:val="00445AED"/>
    <w:rsid w:val="004478F7"/>
    <w:rsid w:val="00454A9A"/>
    <w:rsid w:val="0045536F"/>
    <w:rsid w:val="00455694"/>
    <w:rsid w:val="0045683A"/>
    <w:rsid w:val="004606E2"/>
    <w:rsid w:val="0046332D"/>
    <w:rsid w:val="004658E5"/>
    <w:rsid w:val="00467B32"/>
    <w:rsid w:val="004725C5"/>
    <w:rsid w:val="00472B86"/>
    <w:rsid w:val="00473EA2"/>
    <w:rsid w:val="0047404B"/>
    <w:rsid w:val="00474A00"/>
    <w:rsid w:val="00474C57"/>
    <w:rsid w:val="00474D0F"/>
    <w:rsid w:val="004813C1"/>
    <w:rsid w:val="004819F8"/>
    <w:rsid w:val="00481CFC"/>
    <w:rsid w:val="00483395"/>
    <w:rsid w:val="00483783"/>
    <w:rsid w:val="00483982"/>
    <w:rsid w:val="00484116"/>
    <w:rsid w:val="00484CED"/>
    <w:rsid w:val="00490962"/>
    <w:rsid w:val="00492DE4"/>
    <w:rsid w:val="00494D06"/>
    <w:rsid w:val="004A0446"/>
    <w:rsid w:val="004A3596"/>
    <w:rsid w:val="004A465D"/>
    <w:rsid w:val="004A4C08"/>
    <w:rsid w:val="004A5607"/>
    <w:rsid w:val="004B5EB7"/>
    <w:rsid w:val="004B5F4D"/>
    <w:rsid w:val="004B672A"/>
    <w:rsid w:val="004B7029"/>
    <w:rsid w:val="004C252D"/>
    <w:rsid w:val="004C39ED"/>
    <w:rsid w:val="004C4F67"/>
    <w:rsid w:val="004C6F14"/>
    <w:rsid w:val="004D3F55"/>
    <w:rsid w:val="004D69B3"/>
    <w:rsid w:val="004E19E1"/>
    <w:rsid w:val="004E2B2A"/>
    <w:rsid w:val="004E3EF7"/>
    <w:rsid w:val="004E43B8"/>
    <w:rsid w:val="004E4891"/>
    <w:rsid w:val="004E4ABE"/>
    <w:rsid w:val="004E6EDE"/>
    <w:rsid w:val="004E70F4"/>
    <w:rsid w:val="004F03F3"/>
    <w:rsid w:val="004F2DF2"/>
    <w:rsid w:val="004F3884"/>
    <w:rsid w:val="004F47AC"/>
    <w:rsid w:val="004F6243"/>
    <w:rsid w:val="004F70AF"/>
    <w:rsid w:val="00500BCA"/>
    <w:rsid w:val="00501333"/>
    <w:rsid w:val="00502625"/>
    <w:rsid w:val="00503FCA"/>
    <w:rsid w:val="0050504B"/>
    <w:rsid w:val="0050787F"/>
    <w:rsid w:val="00507EF5"/>
    <w:rsid w:val="00510AE8"/>
    <w:rsid w:val="00510AF0"/>
    <w:rsid w:val="00513ADE"/>
    <w:rsid w:val="0051444C"/>
    <w:rsid w:val="005166A2"/>
    <w:rsid w:val="005177AA"/>
    <w:rsid w:val="005219A0"/>
    <w:rsid w:val="00522854"/>
    <w:rsid w:val="0052392E"/>
    <w:rsid w:val="005275E7"/>
    <w:rsid w:val="0053185D"/>
    <w:rsid w:val="00532734"/>
    <w:rsid w:val="005329BF"/>
    <w:rsid w:val="00533303"/>
    <w:rsid w:val="0053481F"/>
    <w:rsid w:val="00535D66"/>
    <w:rsid w:val="00541816"/>
    <w:rsid w:val="00541F83"/>
    <w:rsid w:val="005442AA"/>
    <w:rsid w:val="00544A86"/>
    <w:rsid w:val="0054577E"/>
    <w:rsid w:val="00547C35"/>
    <w:rsid w:val="00556156"/>
    <w:rsid w:val="0055736A"/>
    <w:rsid w:val="00562CF6"/>
    <w:rsid w:val="005633F0"/>
    <w:rsid w:val="005640CE"/>
    <w:rsid w:val="005648B1"/>
    <w:rsid w:val="0056728C"/>
    <w:rsid w:val="005708F5"/>
    <w:rsid w:val="00571A7E"/>
    <w:rsid w:val="00571CFB"/>
    <w:rsid w:val="00571FE7"/>
    <w:rsid w:val="00573390"/>
    <w:rsid w:val="0057652A"/>
    <w:rsid w:val="00577AB0"/>
    <w:rsid w:val="0058128A"/>
    <w:rsid w:val="00581F00"/>
    <w:rsid w:val="00582C07"/>
    <w:rsid w:val="005834A3"/>
    <w:rsid w:val="005841EF"/>
    <w:rsid w:val="005856C2"/>
    <w:rsid w:val="005859B8"/>
    <w:rsid w:val="00585A4E"/>
    <w:rsid w:val="005863AE"/>
    <w:rsid w:val="00586D23"/>
    <w:rsid w:val="005A0235"/>
    <w:rsid w:val="005A0442"/>
    <w:rsid w:val="005A3441"/>
    <w:rsid w:val="005A48DF"/>
    <w:rsid w:val="005A5956"/>
    <w:rsid w:val="005A6755"/>
    <w:rsid w:val="005B105A"/>
    <w:rsid w:val="005B4DF8"/>
    <w:rsid w:val="005B740C"/>
    <w:rsid w:val="005B78B8"/>
    <w:rsid w:val="005C0632"/>
    <w:rsid w:val="005C14D8"/>
    <w:rsid w:val="005C2846"/>
    <w:rsid w:val="005C291D"/>
    <w:rsid w:val="005C5A61"/>
    <w:rsid w:val="005C5F22"/>
    <w:rsid w:val="005C63C4"/>
    <w:rsid w:val="005D1D1A"/>
    <w:rsid w:val="005D31AD"/>
    <w:rsid w:val="005D5CC9"/>
    <w:rsid w:val="005E1EEC"/>
    <w:rsid w:val="005E407F"/>
    <w:rsid w:val="005E781E"/>
    <w:rsid w:val="005F03F6"/>
    <w:rsid w:val="005F11D2"/>
    <w:rsid w:val="005F18DC"/>
    <w:rsid w:val="005F19BF"/>
    <w:rsid w:val="005F28D9"/>
    <w:rsid w:val="005F3E4F"/>
    <w:rsid w:val="005F6EB5"/>
    <w:rsid w:val="006027E8"/>
    <w:rsid w:val="00602BC0"/>
    <w:rsid w:val="00602F6C"/>
    <w:rsid w:val="00606156"/>
    <w:rsid w:val="00610662"/>
    <w:rsid w:val="00610B80"/>
    <w:rsid w:val="00610B92"/>
    <w:rsid w:val="00613493"/>
    <w:rsid w:val="006168B4"/>
    <w:rsid w:val="00617BC2"/>
    <w:rsid w:val="006208B0"/>
    <w:rsid w:val="00622BC3"/>
    <w:rsid w:val="00624509"/>
    <w:rsid w:val="00626D35"/>
    <w:rsid w:val="00633E42"/>
    <w:rsid w:val="00635828"/>
    <w:rsid w:val="00637558"/>
    <w:rsid w:val="00641497"/>
    <w:rsid w:val="00642AAD"/>
    <w:rsid w:val="006449FF"/>
    <w:rsid w:val="00646A14"/>
    <w:rsid w:val="00647CCB"/>
    <w:rsid w:val="006516DC"/>
    <w:rsid w:val="00652C3D"/>
    <w:rsid w:val="00652DD6"/>
    <w:rsid w:val="00653930"/>
    <w:rsid w:val="00654054"/>
    <w:rsid w:val="006540F8"/>
    <w:rsid w:val="00654789"/>
    <w:rsid w:val="0065490C"/>
    <w:rsid w:val="00656296"/>
    <w:rsid w:val="00656D45"/>
    <w:rsid w:val="006619F5"/>
    <w:rsid w:val="006625B0"/>
    <w:rsid w:val="00662680"/>
    <w:rsid w:val="006627BE"/>
    <w:rsid w:val="006634B6"/>
    <w:rsid w:val="006675BC"/>
    <w:rsid w:val="00667949"/>
    <w:rsid w:val="00671009"/>
    <w:rsid w:val="0067367E"/>
    <w:rsid w:val="00677858"/>
    <w:rsid w:val="0068178C"/>
    <w:rsid w:val="00683B5D"/>
    <w:rsid w:val="00684FFC"/>
    <w:rsid w:val="00686402"/>
    <w:rsid w:val="006905DE"/>
    <w:rsid w:val="00690EE6"/>
    <w:rsid w:val="00691169"/>
    <w:rsid w:val="00691AC4"/>
    <w:rsid w:val="006930BB"/>
    <w:rsid w:val="00695182"/>
    <w:rsid w:val="00695B5A"/>
    <w:rsid w:val="00695CBE"/>
    <w:rsid w:val="0069607D"/>
    <w:rsid w:val="006A1710"/>
    <w:rsid w:val="006A17A3"/>
    <w:rsid w:val="006A5826"/>
    <w:rsid w:val="006A5A26"/>
    <w:rsid w:val="006B19FA"/>
    <w:rsid w:val="006B2294"/>
    <w:rsid w:val="006B277A"/>
    <w:rsid w:val="006B4940"/>
    <w:rsid w:val="006B7E6E"/>
    <w:rsid w:val="006B7EBA"/>
    <w:rsid w:val="006C079A"/>
    <w:rsid w:val="006C08A2"/>
    <w:rsid w:val="006C1E8F"/>
    <w:rsid w:val="006C4875"/>
    <w:rsid w:val="006C5047"/>
    <w:rsid w:val="006C5FB1"/>
    <w:rsid w:val="006D2DC2"/>
    <w:rsid w:val="006D5BBC"/>
    <w:rsid w:val="006E0D8F"/>
    <w:rsid w:val="006E2CB7"/>
    <w:rsid w:val="006E5047"/>
    <w:rsid w:val="006F0BDB"/>
    <w:rsid w:val="006F3284"/>
    <w:rsid w:val="006F3D65"/>
    <w:rsid w:val="006F6B94"/>
    <w:rsid w:val="00701DAD"/>
    <w:rsid w:val="00705A13"/>
    <w:rsid w:val="00705C26"/>
    <w:rsid w:val="007105C1"/>
    <w:rsid w:val="00712B43"/>
    <w:rsid w:val="0071553E"/>
    <w:rsid w:val="00716C96"/>
    <w:rsid w:val="00716CBF"/>
    <w:rsid w:val="00716F32"/>
    <w:rsid w:val="00717271"/>
    <w:rsid w:val="00717E89"/>
    <w:rsid w:val="0072074A"/>
    <w:rsid w:val="00721624"/>
    <w:rsid w:val="00722370"/>
    <w:rsid w:val="00724A06"/>
    <w:rsid w:val="0072604D"/>
    <w:rsid w:val="007264AE"/>
    <w:rsid w:val="0072684E"/>
    <w:rsid w:val="007319B6"/>
    <w:rsid w:val="00731D65"/>
    <w:rsid w:val="007325EE"/>
    <w:rsid w:val="007347C7"/>
    <w:rsid w:val="00735FBD"/>
    <w:rsid w:val="007363BC"/>
    <w:rsid w:val="0073750C"/>
    <w:rsid w:val="00741A10"/>
    <w:rsid w:val="00742626"/>
    <w:rsid w:val="00751790"/>
    <w:rsid w:val="007523CC"/>
    <w:rsid w:val="00752865"/>
    <w:rsid w:val="00754033"/>
    <w:rsid w:val="00754F99"/>
    <w:rsid w:val="007558A1"/>
    <w:rsid w:val="00766E05"/>
    <w:rsid w:val="00767D63"/>
    <w:rsid w:val="00770349"/>
    <w:rsid w:val="00774020"/>
    <w:rsid w:val="007764BA"/>
    <w:rsid w:val="007773F8"/>
    <w:rsid w:val="007812DD"/>
    <w:rsid w:val="00786F66"/>
    <w:rsid w:val="007905DA"/>
    <w:rsid w:val="007A12FB"/>
    <w:rsid w:val="007A1CE0"/>
    <w:rsid w:val="007A2F37"/>
    <w:rsid w:val="007A5CFE"/>
    <w:rsid w:val="007A7E1A"/>
    <w:rsid w:val="007B0E29"/>
    <w:rsid w:val="007B1199"/>
    <w:rsid w:val="007B739B"/>
    <w:rsid w:val="007B7932"/>
    <w:rsid w:val="007C21EE"/>
    <w:rsid w:val="007C4E7D"/>
    <w:rsid w:val="007C4FD6"/>
    <w:rsid w:val="007C618D"/>
    <w:rsid w:val="007C61F5"/>
    <w:rsid w:val="007C7B86"/>
    <w:rsid w:val="007D1171"/>
    <w:rsid w:val="007D2DAE"/>
    <w:rsid w:val="007D7863"/>
    <w:rsid w:val="007E000E"/>
    <w:rsid w:val="007E0D0A"/>
    <w:rsid w:val="007E10C5"/>
    <w:rsid w:val="007E171B"/>
    <w:rsid w:val="007E3722"/>
    <w:rsid w:val="007E37CC"/>
    <w:rsid w:val="007E542E"/>
    <w:rsid w:val="007E78F5"/>
    <w:rsid w:val="007E79C6"/>
    <w:rsid w:val="007F05BA"/>
    <w:rsid w:val="007F0B79"/>
    <w:rsid w:val="007F0F8D"/>
    <w:rsid w:val="007F2131"/>
    <w:rsid w:val="007F2B19"/>
    <w:rsid w:val="007F499A"/>
    <w:rsid w:val="007F4E20"/>
    <w:rsid w:val="007F5859"/>
    <w:rsid w:val="007F5B3D"/>
    <w:rsid w:val="008006B0"/>
    <w:rsid w:val="008037F0"/>
    <w:rsid w:val="008068F0"/>
    <w:rsid w:val="00807F12"/>
    <w:rsid w:val="00810B6E"/>
    <w:rsid w:val="008114DC"/>
    <w:rsid w:val="008137C2"/>
    <w:rsid w:val="00815138"/>
    <w:rsid w:val="0081650B"/>
    <w:rsid w:val="008201C1"/>
    <w:rsid w:val="00820F33"/>
    <w:rsid w:val="00822447"/>
    <w:rsid w:val="0082407F"/>
    <w:rsid w:val="00824745"/>
    <w:rsid w:val="0082509D"/>
    <w:rsid w:val="0083123D"/>
    <w:rsid w:val="008312A8"/>
    <w:rsid w:val="00833D23"/>
    <w:rsid w:val="00835112"/>
    <w:rsid w:val="00835916"/>
    <w:rsid w:val="008373D9"/>
    <w:rsid w:val="00840E77"/>
    <w:rsid w:val="00841ED0"/>
    <w:rsid w:val="00844FE2"/>
    <w:rsid w:val="00845076"/>
    <w:rsid w:val="00845A49"/>
    <w:rsid w:val="0085088D"/>
    <w:rsid w:val="00851C12"/>
    <w:rsid w:val="00854598"/>
    <w:rsid w:val="00854D98"/>
    <w:rsid w:val="00857707"/>
    <w:rsid w:val="00861D2B"/>
    <w:rsid w:val="0086453E"/>
    <w:rsid w:val="008656F5"/>
    <w:rsid w:val="0086586C"/>
    <w:rsid w:val="00865A56"/>
    <w:rsid w:val="00870648"/>
    <w:rsid w:val="0087140C"/>
    <w:rsid w:val="00871A22"/>
    <w:rsid w:val="008727FA"/>
    <w:rsid w:val="00872BB1"/>
    <w:rsid w:val="00873E9D"/>
    <w:rsid w:val="008745CB"/>
    <w:rsid w:val="00875363"/>
    <w:rsid w:val="00876201"/>
    <w:rsid w:val="00881F00"/>
    <w:rsid w:val="00884E9E"/>
    <w:rsid w:val="00884F67"/>
    <w:rsid w:val="008850E3"/>
    <w:rsid w:val="0088614A"/>
    <w:rsid w:val="00887CE2"/>
    <w:rsid w:val="00891014"/>
    <w:rsid w:val="00894F11"/>
    <w:rsid w:val="008957C7"/>
    <w:rsid w:val="00896121"/>
    <w:rsid w:val="00896BD9"/>
    <w:rsid w:val="00897C3E"/>
    <w:rsid w:val="008A04B5"/>
    <w:rsid w:val="008A0C55"/>
    <w:rsid w:val="008A2541"/>
    <w:rsid w:val="008B45FD"/>
    <w:rsid w:val="008B674D"/>
    <w:rsid w:val="008B6C25"/>
    <w:rsid w:val="008C018C"/>
    <w:rsid w:val="008C17E6"/>
    <w:rsid w:val="008C3C3D"/>
    <w:rsid w:val="008D02D1"/>
    <w:rsid w:val="008D22F6"/>
    <w:rsid w:val="008D28A9"/>
    <w:rsid w:val="008D2D5D"/>
    <w:rsid w:val="008D3A8C"/>
    <w:rsid w:val="008D3C37"/>
    <w:rsid w:val="008D543F"/>
    <w:rsid w:val="008D73F1"/>
    <w:rsid w:val="008E0492"/>
    <w:rsid w:val="008E2B60"/>
    <w:rsid w:val="008E45A8"/>
    <w:rsid w:val="008E4A1A"/>
    <w:rsid w:val="008E5AE6"/>
    <w:rsid w:val="008F0EF8"/>
    <w:rsid w:val="008F0FEE"/>
    <w:rsid w:val="008F17B2"/>
    <w:rsid w:val="008F1C3D"/>
    <w:rsid w:val="008F2166"/>
    <w:rsid w:val="008F286C"/>
    <w:rsid w:val="008F4CC4"/>
    <w:rsid w:val="008F6969"/>
    <w:rsid w:val="00901014"/>
    <w:rsid w:val="00906B0F"/>
    <w:rsid w:val="0091081B"/>
    <w:rsid w:val="00910872"/>
    <w:rsid w:val="00913421"/>
    <w:rsid w:val="00916BAB"/>
    <w:rsid w:val="00925AEA"/>
    <w:rsid w:val="00931C29"/>
    <w:rsid w:val="00931D18"/>
    <w:rsid w:val="00932ED1"/>
    <w:rsid w:val="009345CC"/>
    <w:rsid w:val="00941B78"/>
    <w:rsid w:val="00941F86"/>
    <w:rsid w:val="00942C8E"/>
    <w:rsid w:val="009454E9"/>
    <w:rsid w:val="009466E7"/>
    <w:rsid w:val="00951EF4"/>
    <w:rsid w:val="009536A9"/>
    <w:rsid w:val="009536FA"/>
    <w:rsid w:val="0095670F"/>
    <w:rsid w:val="0095778D"/>
    <w:rsid w:val="00957A23"/>
    <w:rsid w:val="00957D58"/>
    <w:rsid w:val="0096156F"/>
    <w:rsid w:val="00963E74"/>
    <w:rsid w:val="009640DD"/>
    <w:rsid w:val="009701C7"/>
    <w:rsid w:val="00971403"/>
    <w:rsid w:val="00971D37"/>
    <w:rsid w:val="00972DC4"/>
    <w:rsid w:val="0097365A"/>
    <w:rsid w:val="00974E0D"/>
    <w:rsid w:val="00975799"/>
    <w:rsid w:val="00975E7E"/>
    <w:rsid w:val="00976823"/>
    <w:rsid w:val="00977DE7"/>
    <w:rsid w:val="00980DDF"/>
    <w:rsid w:val="0098198A"/>
    <w:rsid w:val="009844AE"/>
    <w:rsid w:val="0098658A"/>
    <w:rsid w:val="00987018"/>
    <w:rsid w:val="00987D93"/>
    <w:rsid w:val="00992167"/>
    <w:rsid w:val="0099353E"/>
    <w:rsid w:val="0099359D"/>
    <w:rsid w:val="009A09FA"/>
    <w:rsid w:val="009A0C5C"/>
    <w:rsid w:val="009A3F38"/>
    <w:rsid w:val="009A4070"/>
    <w:rsid w:val="009A5873"/>
    <w:rsid w:val="009B0616"/>
    <w:rsid w:val="009B06E4"/>
    <w:rsid w:val="009B31E1"/>
    <w:rsid w:val="009B3927"/>
    <w:rsid w:val="009B4CAD"/>
    <w:rsid w:val="009C0FFC"/>
    <w:rsid w:val="009C5BCF"/>
    <w:rsid w:val="009C691B"/>
    <w:rsid w:val="009C6D2D"/>
    <w:rsid w:val="009C6FD8"/>
    <w:rsid w:val="009C7D27"/>
    <w:rsid w:val="009D00A7"/>
    <w:rsid w:val="009D032D"/>
    <w:rsid w:val="009D09A6"/>
    <w:rsid w:val="009D12ED"/>
    <w:rsid w:val="009D1BAB"/>
    <w:rsid w:val="009D3CF9"/>
    <w:rsid w:val="009D3F95"/>
    <w:rsid w:val="009D4397"/>
    <w:rsid w:val="009E081B"/>
    <w:rsid w:val="009E0D0D"/>
    <w:rsid w:val="009E3E4C"/>
    <w:rsid w:val="009E4F47"/>
    <w:rsid w:val="009E71A8"/>
    <w:rsid w:val="009F098A"/>
    <w:rsid w:val="009F155A"/>
    <w:rsid w:val="009F2D80"/>
    <w:rsid w:val="009F37AA"/>
    <w:rsid w:val="00A01AD4"/>
    <w:rsid w:val="00A02ADD"/>
    <w:rsid w:val="00A0380A"/>
    <w:rsid w:val="00A04082"/>
    <w:rsid w:val="00A04832"/>
    <w:rsid w:val="00A0521D"/>
    <w:rsid w:val="00A07769"/>
    <w:rsid w:val="00A10F60"/>
    <w:rsid w:val="00A11262"/>
    <w:rsid w:val="00A11302"/>
    <w:rsid w:val="00A14B3A"/>
    <w:rsid w:val="00A152AC"/>
    <w:rsid w:val="00A15577"/>
    <w:rsid w:val="00A15A43"/>
    <w:rsid w:val="00A16144"/>
    <w:rsid w:val="00A17A67"/>
    <w:rsid w:val="00A21AD4"/>
    <w:rsid w:val="00A23DF3"/>
    <w:rsid w:val="00A25937"/>
    <w:rsid w:val="00A3074B"/>
    <w:rsid w:val="00A31E23"/>
    <w:rsid w:val="00A34F15"/>
    <w:rsid w:val="00A3775D"/>
    <w:rsid w:val="00A3794D"/>
    <w:rsid w:val="00A37D4C"/>
    <w:rsid w:val="00A40290"/>
    <w:rsid w:val="00A41B89"/>
    <w:rsid w:val="00A45D17"/>
    <w:rsid w:val="00A45F20"/>
    <w:rsid w:val="00A46295"/>
    <w:rsid w:val="00A5277E"/>
    <w:rsid w:val="00A56047"/>
    <w:rsid w:val="00A561CC"/>
    <w:rsid w:val="00A62109"/>
    <w:rsid w:val="00A63D13"/>
    <w:rsid w:val="00A66966"/>
    <w:rsid w:val="00A669E6"/>
    <w:rsid w:val="00A673ED"/>
    <w:rsid w:val="00A67B2D"/>
    <w:rsid w:val="00A70C7F"/>
    <w:rsid w:val="00A70D69"/>
    <w:rsid w:val="00A72D44"/>
    <w:rsid w:val="00A7379F"/>
    <w:rsid w:val="00A739CD"/>
    <w:rsid w:val="00A73D19"/>
    <w:rsid w:val="00A742FD"/>
    <w:rsid w:val="00A74D60"/>
    <w:rsid w:val="00A752CC"/>
    <w:rsid w:val="00A83B2B"/>
    <w:rsid w:val="00A933EE"/>
    <w:rsid w:val="00A93D87"/>
    <w:rsid w:val="00A95B55"/>
    <w:rsid w:val="00A96765"/>
    <w:rsid w:val="00A97C8E"/>
    <w:rsid w:val="00AA184B"/>
    <w:rsid w:val="00AA24BD"/>
    <w:rsid w:val="00AA2FAB"/>
    <w:rsid w:val="00AA41BA"/>
    <w:rsid w:val="00AB2971"/>
    <w:rsid w:val="00AB5748"/>
    <w:rsid w:val="00AB70C7"/>
    <w:rsid w:val="00AB742C"/>
    <w:rsid w:val="00AB759E"/>
    <w:rsid w:val="00AB7BEE"/>
    <w:rsid w:val="00AC4C20"/>
    <w:rsid w:val="00AC68E0"/>
    <w:rsid w:val="00AC799E"/>
    <w:rsid w:val="00AD0D97"/>
    <w:rsid w:val="00AD4080"/>
    <w:rsid w:val="00AD4AED"/>
    <w:rsid w:val="00AD5706"/>
    <w:rsid w:val="00AE511D"/>
    <w:rsid w:val="00AE5A2F"/>
    <w:rsid w:val="00AE5AAE"/>
    <w:rsid w:val="00AE6F29"/>
    <w:rsid w:val="00AE769C"/>
    <w:rsid w:val="00AF0581"/>
    <w:rsid w:val="00AF08DE"/>
    <w:rsid w:val="00AF11E9"/>
    <w:rsid w:val="00AF2751"/>
    <w:rsid w:val="00AF4F78"/>
    <w:rsid w:val="00AF678D"/>
    <w:rsid w:val="00B01BF2"/>
    <w:rsid w:val="00B03BC0"/>
    <w:rsid w:val="00B03D28"/>
    <w:rsid w:val="00B04122"/>
    <w:rsid w:val="00B041B3"/>
    <w:rsid w:val="00B04B79"/>
    <w:rsid w:val="00B04DCD"/>
    <w:rsid w:val="00B07029"/>
    <w:rsid w:val="00B070F8"/>
    <w:rsid w:val="00B12ACE"/>
    <w:rsid w:val="00B1398E"/>
    <w:rsid w:val="00B14675"/>
    <w:rsid w:val="00B147AF"/>
    <w:rsid w:val="00B14BDC"/>
    <w:rsid w:val="00B14F7C"/>
    <w:rsid w:val="00B2083B"/>
    <w:rsid w:val="00B21732"/>
    <w:rsid w:val="00B2406E"/>
    <w:rsid w:val="00B26F74"/>
    <w:rsid w:val="00B32E0B"/>
    <w:rsid w:val="00B3433A"/>
    <w:rsid w:val="00B343C1"/>
    <w:rsid w:val="00B350FA"/>
    <w:rsid w:val="00B35A14"/>
    <w:rsid w:val="00B400C8"/>
    <w:rsid w:val="00B40F3E"/>
    <w:rsid w:val="00B42556"/>
    <w:rsid w:val="00B43E10"/>
    <w:rsid w:val="00B47D2D"/>
    <w:rsid w:val="00B51989"/>
    <w:rsid w:val="00B55E28"/>
    <w:rsid w:val="00B55FA4"/>
    <w:rsid w:val="00B57924"/>
    <w:rsid w:val="00B60F34"/>
    <w:rsid w:val="00B612C5"/>
    <w:rsid w:val="00B61E27"/>
    <w:rsid w:val="00B65036"/>
    <w:rsid w:val="00B66709"/>
    <w:rsid w:val="00B67DB3"/>
    <w:rsid w:val="00B67F11"/>
    <w:rsid w:val="00B7255E"/>
    <w:rsid w:val="00B73FA6"/>
    <w:rsid w:val="00B744FA"/>
    <w:rsid w:val="00B74DB2"/>
    <w:rsid w:val="00B8213A"/>
    <w:rsid w:val="00B8369D"/>
    <w:rsid w:val="00B83D7D"/>
    <w:rsid w:val="00B846D4"/>
    <w:rsid w:val="00B84C7F"/>
    <w:rsid w:val="00B85810"/>
    <w:rsid w:val="00B9062C"/>
    <w:rsid w:val="00B90ED1"/>
    <w:rsid w:val="00B914EF"/>
    <w:rsid w:val="00B91DCF"/>
    <w:rsid w:val="00B922C5"/>
    <w:rsid w:val="00B92384"/>
    <w:rsid w:val="00B93877"/>
    <w:rsid w:val="00B95B78"/>
    <w:rsid w:val="00B97687"/>
    <w:rsid w:val="00B97A05"/>
    <w:rsid w:val="00BA0A9C"/>
    <w:rsid w:val="00BA1809"/>
    <w:rsid w:val="00BA427A"/>
    <w:rsid w:val="00BA7B0F"/>
    <w:rsid w:val="00BB061C"/>
    <w:rsid w:val="00BB1719"/>
    <w:rsid w:val="00BB2A8F"/>
    <w:rsid w:val="00BB37F5"/>
    <w:rsid w:val="00BB3EC1"/>
    <w:rsid w:val="00BB5C25"/>
    <w:rsid w:val="00BB6CE0"/>
    <w:rsid w:val="00BB770B"/>
    <w:rsid w:val="00BC0581"/>
    <w:rsid w:val="00BC211B"/>
    <w:rsid w:val="00BC3E69"/>
    <w:rsid w:val="00BC6257"/>
    <w:rsid w:val="00BC648F"/>
    <w:rsid w:val="00BC6C9E"/>
    <w:rsid w:val="00BC7D0A"/>
    <w:rsid w:val="00BD08E3"/>
    <w:rsid w:val="00BD25C3"/>
    <w:rsid w:val="00BD5174"/>
    <w:rsid w:val="00BD70E4"/>
    <w:rsid w:val="00BD7292"/>
    <w:rsid w:val="00BE1BAD"/>
    <w:rsid w:val="00BE2C22"/>
    <w:rsid w:val="00BE3859"/>
    <w:rsid w:val="00BE4750"/>
    <w:rsid w:val="00BE4B04"/>
    <w:rsid w:val="00BE64EA"/>
    <w:rsid w:val="00BE6C5A"/>
    <w:rsid w:val="00BE7D9A"/>
    <w:rsid w:val="00BF02AC"/>
    <w:rsid w:val="00BF0358"/>
    <w:rsid w:val="00BF12D8"/>
    <w:rsid w:val="00BF2E43"/>
    <w:rsid w:val="00BF5186"/>
    <w:rsid w:val="00BF51CE"/>
    <w:rsid w:val="00BF5B86"/>
    <w:rsid w:val="00C00573"/>
    <w:rsid w:val="00C01184"/>
    <w:rsid w:val="00C03383"/>
    <w:rsid w:val="00C05015"/>
    <w:rsid w:val="00C0681E"/>
    <w:rsid w:val="00C06E4C"/>
    <w:rsid w:val="00C07BCB"/>
    <w:rsid w:val="00C07F29"/>
    <w:rsid w:val="00C122E7"/>
    <w:rsid w:val="00C1277C"/>
    <w:rsid w:val="00C130B0"/>
    <w:rsid w:val="00C15631"/>
    <w:rsid w:val="00C1609C"/>
    <w:rsid w:val="00C1765E"/>
    <w:rsid w:val="00C21B5F"/>
    <w:rsid w:val="00C23676"/>
    <w:rsid w:val="00C268A7"/>
    <w:rsid w:val="00C27263"/>
    <w:rsid w:val="00C35036"/>
    <w:rsid w:val="00C37534"/>
    <w:rsid w:val="00C41CB7"/>
    <w:rsid w:val="00C422FE"/>
    <w:rsid w:val="00C42E97"/>
    <w:rsid w:val="00C439EC"/>
    <w:rsid w:val="00C44B89"/>
    <w:rsid w:val="00C46096"/>
    <w:rsid w:val="00C5094E"/>
    <w:rsid w:val="00C51863"/>
    <w:rsid w:val="00C55D64"/>
    <w:rsid w:val="00C5697D"/>
    <w:rsid w:val="00C5761D"/>
    <w:rsid w:val="00C57A06"/>
    <w:rsid w:val="00C614B5"/>
    <w:rsid w:val="00C62668"/>
    <w:rsid w:val="00C62E4A"/>
    <w:rsid w:val="00C6436A"/>
    <w:rsid w:val="00C643FC"/>
    <w:rsid w:val="00C645BC"/>
    <w:rsid w:val="00C67E84"/>
    <w:rsid w:val="00C731D6"/>
    <w:rsid w:val="00C73228"/>
    <w:rsid w:val="00C80322"/>
    <w:rsid w:val="00C81712"/>
    <w:rsid w:val="00C849E9"/>
    <w:rsid w:val="00C87FE7"/>
    <w:rsid w:val="00C91ADA"/>
    <w:rsid w:val="00C91FAA"/>
    <w:rsid w:val="00C9448C"/>
    <w:rsid w:val="00C94C5D"/>
    <w:rsid w:val="00C95A45"/>
    <w:rsid w:val="00CA004A"/>
    <w:rsid w:val="00CA200C"/>
    <w:rsid w:val="00CA35D9"/>
    <w:rsid w:val="00CA3B73"/>
    <w:rsid w:val="00CA5D73"/>
    <w:rsid w:val="00CA7590"/>
    <w:rsid w:val="00CA786D"/>
    <w:rsid w:val="00CB053D"/>
    <w:rsid w:val="00CB1879"/>
    <w:rsid w:val="00CB2767"/>
    <w:rsid w:val="00CB2C04"/>
    <w:rsid w:val="00CB46EF"/>
    <w:rsid w:val="00CB4ECE"/>
    <w:rsid w:val="00CB69F3"/>
    <w:rsid w:val="00CC3465"/>
    <w:rsid w:val="00CC3DD4"/>
    <w:rsid w:val="00CC4206"/>
    <w:rsid w:val="00CC76E0"/>
    <w:rsid w:val="00CD116B"/>
    <w:rsid w:val="00CD15B8"/>
    <w:rsid w:val="00CD213A"/>
    <w:rsid w:val="00CD7DDE"/>
    <w:rsid w:val="00CE19E3"/>
    <w:rsid w:val="00CE2276"/>
    <w:rsid w:val="00CE23C1"/>
    <w:rsid w:val="00CE3BFF"/>
    <w:rsid w:val="00CE4FD2"/>
    <w:rsid w:val="00CE7CE9"/>
    <w:rsid w:val="00CF004A"/>
    <w:rsid w:val="00CF08F8"/>
    <w:rsid w:val="00CF2137"/>
    <w:rsid w:val="00CF2FA8"/>
    <w:rsid w:val="00CF30D4"/>
    <w:rsid w:val="00CF3212"/>
    <w:rsid w:val="00CF46CD"/>
    <w:rsid w:val="00CF53E0"/>
    <w:rsid w:val="00CF763E"/>
    <w:rsid w:val="00D00159"/>
    <w:rsid w:val="00D01F8F"/>
    <w:rsid w:val="00D0429E"/>
    <w:rsid w:val="00D04864"/>
    <w:rsid w:val="00D055BE"/>
    <w:rsid w:val="00D05716"/>
    <w:rsid w:val="00D115AD"/>
    <w:rsid w:val="00D11BCB"/>
    <w:rsid w:val="00D12DE6"/>
    <w:rsid w:val="00D134F3"/>
    <w:rsid w:val="00D142C6"/>
    <w:rsid w:val="00D14ABC"/>
    <w:rsid w:val="00D15560"/>
    <w:rsid w:val="00D16A1C"/>
    <w:rsid w:val="00D17162"/>
    <w:rsid w:val="00D17AEF"/>
    <w:rsid w:val="00D20DAC"/>
    <w:rsid w:val="00D217F3"/>
    <w:rsid w:val="00D21EF3"/>
    <w:rsid w:val="00D21F88"/>
    <w:rsid w:val="00D2671C"/>
    <w:rsid w:val="00D26DAA"/>
    <w:rsid w:val="00D27BDA"/>
    <w:rsid w:val="00D308CE"/>
    <w:rsid w:val="00D320D7"/>
    <w:rsid w:val="00D36DE0"/>
    <w:rsid w:val="00D414FA"/>
    <w:rsid w:val="00D41FF8"/>
    <w:rsid w:val="00D430D5"/>
    <w:rsid w:val="00D45EC3"/>
    <w:rsid w:val="00D46429"/>
    <w:rsid w:val="00D4703A"/>
    <w:rsid w:val="00D476B4"/>
    <w:rsid w:val="00D47DB6"/>
    <w:rsid w:val="00D51092"/>
    <w:rsid w:val="00D5187C"/>
    <w:rsid w:val="00D51DE7"/>
    <w:rsid w:val="00D52C10"/>
    <w:rsid w:val="00D54FCC"/>
    <w:rsid w:val="00D558AC"/>
    <w:rsid w:val="00D55F68"/>
    <w:rsid w:val="00D5607F"/>
    <w:rsid w:val="00D60302"/>
    <w:rsid w:val="00D61187"/>
    <w:rsid w:val="00D62A78"/>
    <w:rsid w:val="00D63D34"/>
    <w:rsid w:val="00D6470C"/>
    <w:rsid w:val="00D64960"/>
    <w:rsid w:val="00D71601"/>
    <w:rsid w:val="00D71A4F"/>
    <w:rsid w:val="00D72E47"/>
    <w:rsid w:val="00D73DC3"/>
    <w:rsid w:val="00D746C8"/>
    <w:rsid w:val="00D74E66"/>
    <w:rsid w:val="00D74EC5"/>
    <w:rsid w:val="00D772C3"/>
    <w:rsid w:val="00D80BCB"/>
    <w:rsid w:val="00D80CB9"/>
    <w:rsid w:val="00D81969"/>
    <w:rsid w:val="00D9082D"/>
    <w:rsid w:val="00D910A4"/>
    <w:rsid w:val="00D9364C"/>
    <w:rsid w:val="00D93FF8"/>
    <w:rsid w:val="00D9412B"/>
    <w:rsid w:val="00D95079"/>
    <w:rsid w:val="00D95F25"/>
    <w:rsid w:val="00D9666F"/>
    <w:rsid w:val="00D967AC"/>
    <w:rsid w:val="00DA44CD"/>
    <w:rsid w:val="00DA4825"/>
    <w:rsid w:val="00DA6D2F"/>
    <w:rsid w:val="00DA73DF"/>
    <w:rsid w:val="00DB25D2"/>
    <w:rsid w:val="00DB2B36"/>
    <w:rsid w:val="00DB7345"/>
    <w:rsid w:val="00DC05AF"/>
    <w:rsid w:val="00DC0937"/>
    <w:rsid w:val="00DC0D00"/>
    <w:rsid w:val="00DC141F"/>
    <w:rsid w:val="00DC2E45"/>
    <w:rsid w:val="00DC4984"/>
    <w:rsid w:val="00DC4BA9"/>
    <w:rsid w:val="00DD0506"/>
    <w:rsid w:val="00DD288C"/>
    <w:rsid w:val="00DD392C"/>
    <w:rsid w:val="00DD5528"/>
    <w:rsid w:val="00DD5B84"/>
    <w:rsid w:val="00DD769D"/>
    <w:rsid w:val="00DE08F0"/>
    <w:rsid w:val="00DE0A79"/>
    <w:rsid w:val="00DE1363"/>
    <w:rsid w:val="00DE1713"/>
    <w:rsid w:val="00DE508A"/>
    <w:rsid w:val="00DE5858"/>
    <w:rsid w:val="00DE7E47"/>
    <w:rsid w:val="00DF0A80"/>
    <w:rsid w:val="00DF11F0"/>
    <w:rsid w:val="00DF3F6E"/>
    <w:rsid w:val="00DF70A4"/>
    <w:rsid w:val="00E00574"/>
    <w:rsid w:val="00E011F8"/>
    <w:rsid w:val="00E01223"/>
    <w:rsid w:val="00E01B71"/>
    <w:rsid w:val="00E01C7A"/>
    <w:rsid w:val="00E03815"/>
    <w:rsid w:val="00E046EC"/>
    <w:rsid w:val="00E04D54"/>
    <w:rsid w:val="00E05A0A"/>
    <w:rsid w:val="00E06DC2"/>
    <w:rsid w:val="00E10EE3"/>
    <w:rsid w:val="00E16607"/>
    <w:rsid w:val="00E172FE"/>
    <w:rsid w:val="00E17C39"/>
    <w:rsid w:val="00E20BDE"/>
    <w:rsid w:val="00E24610"/>
    <w:rsid w:val="00E24C18"/>
    <w:rsid w:val="00E27834"/>
    <w:rsid w:val="00E303FB"/>
    <w:rsid w:val="00E32B5E"/>
    <w:rsid w:val="00E344E2"/>
    <w:rsid w:val="00E356ED"/>
    <w:rsid w:val="00E36723"/>
    <w:rsid w:val="00E43AFC"/>
    <w:rsid w:val="00E4549E"/>
    <w:rsid w:val="00E51EC9"/>
    <w:rsid w:val="00E5263A"/>
    <w:rsid w:val="00E53D6D"/>
    <w:rsid w:val="00E54684"/>
    <w:rsid w:val="00E56164"/>
    <w:rsid w:val="00E562EA"/>
    <w:rsid w:val="00E56DEF"/>
    <w:rsid w:val="00E64E0D"/>
    <w:rsid w:val="00E663CF"/>
    <w:rsid w:val="00E70991"/>
    <w:rsid w:val="00E715EB"/>
    <w:rsid w:val="00E71819"/>
    <w:rsid w:val="00E71ABD"/>
    <w:rsid w:val="00E71B69"/>
    <w:rsid w:val="00E71EB8"/>
    <w:rsid w:val="00E73C48"/>
    <w:rsid w:val="00E75D40"/>
    <w:rsid w:val="00E7619F"/>
    <w:rsid w:val="00E767BF"/>
    <w:rsid w:val="00E76F77"/>
    <w:rsid w:val="00E774B6"/>
    <w:rsid w:val="00E800CA"/>
    <w:rsid w:val="00E80292"/>
    <w:rsid w:val="00E80D6C"/>
    <w:rsid w:val="00E812D4"/>
    <w:rsid w:val="00E84809"/>
    <w:rsid w:val="00E90B1F"/>
    <w:rsid w:val="00E9250B"/>
    <w:rsid w:val="00E925D0"/>
    <w:rsid w:val="00E92DCA"/>
    <w:rsid w:val="00E93155"/>
    <w:rsid w:val="00E939F5"/>
    <w:rsid w:val="00E96CA2"/>
    <w:rsid w:val="00E96F43"/>
    <w:rsid w:val="00E9736D"/>
    <w:rsid w:val="00E97424"/>
    <w:rsid w:val="00EA065A"/>
    <w:rsid w:val="00EA296E"/>
    <w:rsid w:val="00EA4ACC"/>
    <w:rsid w:val="00EA5236"/>
    <w:rsid w:val="00EA69F9"/>
    <w:rsid w:val="00EA7920"/>
    <w:rsid w:val="00EA797E"/>
    <w:rsid w:val="00EB0B37"/>
    <w:rsid w:val="00EB25FB"/>
    <w:rsid w:val="00EB573E"/>
    <w:rsid w:val="00EB69DE"/>
    <w:rsid w:val="00EB6EA7"/>
    <w:rsid w:val="00EC2144"/>
    <w:rsid w:val="00EC7C04"/>
    <w:rsid w:val="00ED3C23"/>
    <w:rsid w:val="00ED3DD7"/>
    <w:rsid w:val="00ED4603"/>
    <w:rsid w:val="00ED46A4"/>
    <w:rsid w:val="00ED7CA0"/>
    <w:rsid w:val="00EE35A4"/>
    <w:rsid w:val="00EE5E9B"/>
    <w:rsid w:val="00EF0A4D"/>
    <w:rsid w:val="00EF2557"/>
    <w:rsid w:val="00EF4B08"/>
    <w:rsid w:val="00EF4C3B"/>
    <w:rsid w:val="00EF68C1"/>
    <w:rsid w:val="00EF6D47"/>
    <w:rsid w:val="00EF6DC9"/>
    <w:rsid w:val="00EF7158"/>
    <w:rsid w:val="00F005FD"/>
    <w:rsid w:val="00F06843"/>
    <w:rsid w:val="00F10F62"/>
    <w:rsid w:val="00F12898"/>
    <w:rsid w:val="00F14136"/>
    <w:rsid w:val="00F148D3"/>
    <w:rsid w:val="00F14E11"/>
    <w:rsid w:val="00F15F2D"/>
    <w:rsid w:val="00F172C7"/>
    <w:rsid w:val="00F178D3"/>
    <w:rsid w:val="00F22B96"/>
    <w:rsid w:val="00F25789"/>
    <w:rsid w:val="00F268AF"/>
    <w:rsid w:val="00F44088"/>
    <w:rsid w:val="00F45316"/>
    <w:rsid w:val="00F461CE"/>
    <w:rsid w:val="00F46EEC"/>
    <w:rsid w:val="00F47DA1"/>
    <w:rsid w:val="00F5028D"/>
    <w:rsid w:val="00F50F84"/>
    <w:rsid w:val="00F52208"/>
    <w:rsid w:val="00F53CEB"/>
    <w:rsid w:val="00F553A9"/>
    <w:rsid w:val="00F63C7A"/>
    <w:rsid w:val="00F64F80"/>
    <w:rsid w:val="00F700C6"/>
    <w:rsid w:val="00F7033A"/>
    <w:rsid w:val="00F716F9"/>
    <w:rsid w:val="00F71948"/>
    <w:rsid w:val="00F721AC"/>
    <w:rsid w:val="00F72CDE"/>
    <w:rsid w:val="00F743AC"/>
    <w:rsid w:val="00F7539B"/>
    <w:rsid w:val="00F772D9"/>
    <w:rsid w:val="00F8056E"/>
    <w:rsid w:val="00F8140B"/>
    <w:rsid w:val="00F81E5C"/>
    <w:rsid w:val="00F826B8"/>
    <w:rsid w:val="00F84A17"/>
    <w:rsid w:val="00F870FA"/>
    <w:rsid w:val="00F874A3"/>
    <w:rsid w:val="00F90D94"/>
    <w:rsid w:val="00F94C31"/>
    <w:rsid w:val="00F9518D"/>
    <w:rsid w:val="00F95F17"/>
    <w:rsid w:val="00FA41FC"/>
    <w:rsid w:val="00FA5900"/>
    <w:rsid w:val="00FA7893"/>
    <w:rsid w:val="00FB0777"/>
    <w:rsid w:val="00FB1B8B"/>
    <w:rsid w:val="00FB1BCD"/>
    <w:rsid w:val="00FB3FA0"/>
    <w:rsid w:val="00FB7236"/>
    <w:rsid w:val="00FC116A"/>
    <w:rsid w:val="00FC312C"/>
    <w:rsid w:val="00FC3BA0"/>
    <w:rsid w:val="00FC51D8"/>
    <w:rsid w:val="00FC60F7"/>
    <w:rsid w:val="00FD00DD"/>
    <w:rsid w:val="00FD04C0"/>
    <w:rsid w:val="00FD0C58"/>
    <w:rsid w:val="00FD2129"/>
    <w:rsid w:val="00FD490F"/>
    <w:rsid w:val="00FD49A5"/>
    <w:rsid w:val="00FD4F3B"/>
    <w:rsid w:val="00FD76BB"/>
    <w:rsid w:val="00FE19ED"/>
    <w:rsid w:val="00FE5B25"/>
    <w:rsid w:val="00FF09BF"/>
    <w:rsid w:val="00FF2658"/>
    <w:rsid w:val="00FF2736"/>
    <w:rsid w:val="00FF52FB"/>
    <w:rsid w:val="00FF5948"/>
    <w:rsid w:val="00FF6B3F"/>
    <w:rsid w:val="00FF755C"/>
    <w:rsid w:val="00FF75C1"/>
    <w:rsid w:val="00FF75DF"/>
    <w:rsid w:val="00FF79C8"/>
    <w:rsid w:val="00FF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E16A9F"/>
  <w15:docId w15:val="{592FB6E7-E11E-49C5-BD2C-B6BD4693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73"/>
    <w:pPr>
      <w:spacing w:before="180" w:after="12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aliases w:val="OECD Hyperlink"/>
    <w:uiPriority w:val="99"/>
    <w:rsid w:val="00FB1BCD"/>
    <w:rPr>
      <w:color w:val="0000FF"/>
      <w:u w:val="single"/>
    </w:rPr>
  </w:style>
  <w:style w:type="paragraph" w:styleId="ListParagraph">
    <w:name w:val="List Paragraph"/>
    <w:basedOn w:val="Normal"/>
    <w:uiPriority w:val="34"/>
    <w:qFormat/>
    <w:rsid w:val="00BD5174"/>
    <w:pPr>
      <w:numPr>
        <w:numId w:val="40"/>
      </w:numPr>
      <w:autoSpaceDE w:val="0"/>
      <w:autoSpaceDN w:val="0"/>
      <w:adjustRightInd w:val="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unhideWhenUsed/>
    <w:rsid w:val="00DB7345"/>
    <w:rPr>
      <w:sz w:val="20"/>
      <w:szCs w:val="20"/>
    </w:rPr>
  </w:style>
  <w:style w:type="character" w:customStyle="1" w:styleId="CommentTextChar">
    <w:name w:val="Comment Text Char"/>
    <w:basedOn w:val="DefaultParagraphFont"/>
    <w:link w:val="CommentText"/>
    <w:uiPriority w:val="99"/>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002885"/>
    <w:pPr>
      <w:adjustRightInd w:val="0"/>
      <w:snapToGrid w:val="0"/>
    </w:pPr>
    <w:rPr>
      <w:rFonts w:ascii="Cambria" w:eastAsia="MS Mincho" w:hAnsi="Cambria"/>
      <w:sz w:val="20"/>
      <w:szCs w:val="20"/>
      <w:lang w:val="en-AU" w:eastAsia="ja-JP"/>
    </w:rPr>
  </w:style>
  <w:style w:type="character" w:customStyle="1" w:styleId="FootnoteTextChar">
    <w:name w:val="Footnote Text Char"/>
    <w:basedOn w:val="DefaultParagraphFont"/>
    <w:link w:val="FootnoteText"/>
    <w:uiPriority w:val="99"/>
    <w:semiHidden/>
    <w:rsid w:val="00002885"/>
    <w:rPr>
      <w:rFonts w:ascii="Cambria" w:eastAsia="MS Mincho" w:hAnsi="Cambria" w:cs="Times New Roman"/>
      <w:sz w:val="20"/>
      <w:szCs w:val="20"/>
      <w:lang w:eastAsia="ja-JP"/>
    </w:rPr>
  </w:style>
  <w:style w:type="character" w:styleId="FootnoteReference">
    <w:name w:val="footnote reference"/>
    <w:basedOn w:val="DefaultParagraphFont"/>
    <w:uiPriority w:val="99"/>
    <w:semiHidden/>
    <w:unhideWhenUsed/>
    <w:rsid w:val="00002885"/>
    <w:rPr>
      <w:vertAlign w:val="superscript"/>
    </w:rPr>
  </w:style>
  <w:style w:type="paragraph" w:styleId="Header">
    <w:name w:val="header"/>
    <w:basedOn w:val="Normal"/>
    <w:link w:val="HeaderChar"/>
    <w:uiPriority w:val="99"/>
    <w:unhideWhenUsed/>
    <w:rsid w:val="00117231"/>
    <w:pPr>
      <w:tabs>
        <w:tab w:val="center" w:pos="4513"/>
        <w:tab w:val="right" w:pos="9026"/>
      </w:tabs>
    </w:pPr>
  </w:style>
  <w:style w:type="character" w:customStyle="1" w:styleId="HeaderChar">
    <w:name w:val="Header Char"/>
    <w:basedOn w:val="DefaultParagraphFont"/>
    <w:link w:val="Header"/>
    <w:uiPriority w:val="99"/>
    <w:rsid w:val="00117231"/>
    <w:rPr>
      <w:rFonts w:eastAsia="Times New Roman" w:cs="Times New Roman"/>
      <w:szCs w:val="24"/>
      <w:lang w:val="en-US"/>
    </w:rPr>
  </w:style>
  <w:style w:type="paragraph" w:styleId="Footer">
    <w:name w:val="footer"/>
    <w:basedOn w:val="Normal"/>
    <w:link w:val="FooterChar"/>
    <w:uiPriority w:val="99"/>
    <w:unhideWhenUsed/>
    <w:rsid w:val="00117231"/>
    <w:pPr>
      <w:tabs>
        <w:tab w:val="center" w:pos="4513"/>
        <w:tab w:val="right" w:pos="9026"/>
      </w:tabs>
    </w:pPr>
  </w:style>
  <w:style w:type="character" w:customStyle="1" w:styleId="FooterChar">
    <w:name w:val="Footer Char"/>
    <w:basedOn w:val="DefaultParagraphFont"/>
    <w:link w:val="Footer"/>
    <w:uiPriority w:val="99"/>
    <w:rsid w:val="00117231"/>
    <w:rPr>
      <w:rFonts w:eastAsia="Times New Roman" w:cs="Times New Roman"/>
      <w:szCs w:val="24"/>
      <w:lang w:val="en-US"/>
    </w:rPr>
  </w:style>
  <w:style w:type="character" w:styleId="IntenseReference">
    <w:name w:val="Intense Reference"/>
    <w:basedOn w:val="DefaultParagraphFont"/>
    <w:uiPriority w:val="32"/>
    <w:qFormat/>
    <w:rsid w:val="00011923"/>
    <w:rPr>
      <w:b/>
      <w:bCs/>
      <w:i/>
      <w:smallCaps/>
      <w:color w:val="C0504D" w:themeColor="accent2"/>
      <w:spacing w:val="5"/>
      <w:u w:val="none"/>
    </w:rPr>
  </w:style>
  <w:style w:type="character" w:styleId="UnresolvedMention">
    <w:name w:val="Unresolved Mention"/>
    <w:basedOn w:val="DefaultParagraphFont"/>
    <w:uiPriority w:val="99"/>
    <w:semiHidden/>
    <w:unhideWhenUsed/>
    <w:rsid w:val="000E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23912">
      <w:bodyDiv w:val="1"/>
      <w:marLeft w:val="0"/>
      <w:marRight w:val="0"/>
      <w:marTop w:val="0"/>
      <w:marBottom w:val="0"/>
      <w:divBdr>
        <w:top w:val="none" w:sz="0" w:space="0" w:color="auto"/>
        <w:left w:val="none" w:sz="0" w:space="0" w:color="auto"/>
        <w:bottom w:val="none" w:sz="0" w:space="0" w:color="auto"/>
        <w:right w:val="none" w:sz="0" w:space="0" w:color="auto"/>
      </w:divBdr>
    </w:div>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248586582">
      <w:bodyDiv w:val="1"/>
      <w:marLeft w:val="0"/>
      <w:marRight w:val="0"/>
      <w:marTop w:val="0"/>
      <w:marBottom w:val="0"/>
      <w:divBdr>
        <w:top w:val="none" w:sz="0" w:space="0" w:color="auto"/>
        <w:left w:val="none" w:sz="0" w:space="0" w:color="auto"/>
        <w:bottom w:val="none" w:sz="0" w:space="0" w:color="auto"/>
        <w:right w:val="none" w:sz="0" w:space="0" w:color="auto"/>
      </w:divBdr>
    </w:div>
    <w:div w:id="934898860">
      <w:bodyDiv w:val="1"/>
      <w:marLeft w:val="0"/>
      <w:marRight w:val="0"/>
      <w:marTop w:val="0"/>
      <w:marBottom w:val="0"/>
      <w:divBdr>
        <w:top w:val="none" w:sz="0" w:space="0" w:color="auto"/>
        <w:left w:val="none" w:sz="0" w:space="0" w:color="auto"/>
        <w:bottom w:val="none" w:sz="0" w:space="0" w:color="auto"/>
        <w:right w:val="none" w:sz="0" w:space="0" w:color="auto"/>
      </w:divBdr>
    </w:div>
    <w:div w:id="16109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consultation-invitation/consultation-proposed-amendments-poisons-standard-accs-acms-and-joint-acmsaccs-meetings-march-2020" TargetMode="External"/><Relationship Id="rId13" Type="http://schemas.openxmlformats.org/officeDocument/2006/relationships/hyperlink" Target="https://www.tga.gov.au/scheduling-decision-interim/notice-interim-decisions-proposed-amendments-poisons-standard-acmsaccsjoint-acms-accs-meetings-march-202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ga.gov.au/consultation-invitation/consultation-proposed-amendments-poisons-standard-acms-accs-and-joint-acmsaccs-meetings-march-2021" TargetMode="External"/><Relationship Id="rId17" Type="http://schemas.openxmlformats.org/officeDocument/2006/relationships/hyperlink" Target="https://www.tga.gov.au/scheduling-decision-final/notice-final-decision-amend-or-not-amend-current-poisons-standard-risankizumab" TargetMode="External"/><Relationship Id="rId2" Type="http://schemas.openxmlformats.org/officeDocument/2006/relationships/numbering" Target="numbering.xml"/><Relationship Id="rId16" Type="http://schemas.openxmlformats.org/officeDocument/2006/relationships/hyperlink" Target="https://www.tga.gov.au/scheduling-decision-final/notice-final-decisions-amend-or-not-amend-current-poisons-stand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scheduling-decision-interim/notice-interim-decision-amend-current-poisons-standard-relation-nicotine" TargetMode="External"/><Relationship Id="rId5" Type="http://schemas.openxmlformats.org/officeDocument/2006/relationships/webSettings" Target="webSettings.xml"/><Relationship Id="rId15" Type="http://schemas.openxmlformats.org/officeDocument/2006/relationships/hyperlink" Target="https://www.tga.gov.au/scheduling-decision-final/notice-final-decision-amend-current-poisons-standard-nicotine" TargetMode="External"/><Relationship Id="rId10" Type="http://schemas.openxmlformats.org/officeDocument/2006/relationships/hyperlink" Target="https://www.tga.gov.au/consultation-invitation/consultation-proposed-amendments-poisons-standard-acms-and-joint-acmsaccs-meetings-june-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ga.gov.au/scheduling-decision-interim/notice-interim-decisions-proposed-amendments-poisons-standard-acmsaccsjoint-acms-accs-meetings-march-2020" TargetMode="External"/><Relationship Id="rId14" Type="http://schemas.openxmlformats.org/officeDocument/2006/relationships/hyperlink" Target="https://www.tga.gov.au/book-page/324-picramic-acid-including-its-sa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4C537A7-F6E7-4DD7-AED2-253013DE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Murugappan Muhunthan</dc:creator>
  <cp:keywords/>
  <dc:description/>
  <cp:lastModifiedBy>KULAR, Navreen</cp:lastModifiedBy>
  <cp:revision>17</cp:revision>
  <cp:lastPrinted>2017-12-06T00:35:00Z</cp:lastPrinted>
  <dcterms:created xsi:type="dcterms:W3CDTF">2021-09-14T03:27:00Z</dcterms:created>
  <dcterms:modified xsi:type="dcterms:W3CDTF">2021-09-28T23:43:00Z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