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D631B" w14:textId="77777777" w:rsidR="00F328DA" w:rsidRPr="00BC76EB" w:rsidRDefault="002533F0" w:rsidP="00126429">
      <w:pPr>
        <w:spacing w:before="0" w:after="120"/>
        <w:ind w:right="91"/>
        <w:jc w:val="center"/>
        <w:rPr>
          <w:rFonts w:ascii="Arial" w:hAnsi="Arial" w:cs="Arial"/>
          <w:b/>
          <w:szCs w:val="24"/>
          <w:u w:val="single"/>
        </w:rPr>
      </w:pPr>
      <w:bookmarkStart w:id="0" w:name="_GoBack"/>
      <w:bookmarkEnd w:id="0"/>
      <w:r w:rsidRPr="00BC76EB">
        <w:rPr>
          <w:rFonts w:ascii="Arial" w:hAnsi="Arial" w:cs="Arial"/>
          <w:b/>
          <w:szCs w:val="24"/>
          <w:u w:val="single"/>
        </w:rPr>
        <w:t>EXPLANATORY STATEMENT</w:t>
      </w:r>
      <w:r w:rsidR="00B54C30" w:rsidRPr="00BC76EB">
        <w:rPr>
          <w:rFonts w:ascii="Arial" w:hAnsi="Arial" w:cs="Arial"/>
          <w:b/>
          <w:szCs w:val="24"/>
          <w:u w:val="single"/>
        </w:rPr>
        <w:t xml:space="preserve"> </w:t>
      </w:r>
    </w:p>
    <w:p w14:paraId="693FF4C6" w14:textId="77777777" w:rsidR="00EC0C59" w:rsidRPr="00BC76EB" w:rsidRDefault="00EC0C59" w:rsidP="001812DF">
      <w:pPr>
        <w:spacing w:before="0"/>
        <w:ind w:right="91"/>
        <w:rPr>
          <w:rFonts w:ascii="Arial" w:hAnsi="Arial" w:cs="Arial"/>
          <w:b/>
          <w:szCs w:val="24"/>
          <w:u w:val="single"/>
        </w:rPr>
      </w:pPr>
    </w:p>
    <w:p w14:paraId="559E3468" w14:textId="4E9BF0F2"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6B2BD0">
        <w:rPr>
          <w:rFonts w:ascii="Arial" w:hAnsi="Arial" w:cs="Arial"/>
          <w:szCs w:val="24"/>
        </w:rPr>
        <w:t xml:space="preserve">Families and </w:t>
      </w:r>
      <w:r w:rsidR="001812DF">
        <w:rPr>
          <w:rFonts w:ascii="Arial" w:hAnsi="Arial" w:cs="Arial"/>
          <w:szCs w:val="24"/>
        </w:rPr>
        <w:t>Social Services</w:t>
      </w:r>
    </w:p>
    <w:p w14:paraId="314D69E0" w14:textId="77777777" w:rsidR="002533F0" w:rsidRDefault="002533F0" w:rsidP="002533F0">
      <w:pPr>
        <w:spacing w:before="0"/>
        <w:ind w:right="91"/>
        <w:jc w:val="center"/>
        <w:rPr>
          <w:rFonts w:ascii="Arial" w:hAnsi="Arial" w:cs="Arial"/>
          <w:i/>
          <w:szCs w:val="24"/>
        </w:rPr>
      </w:pPr>
    </w:p>
    <w:p w14:paraId="01E38607" w14:textId="77777777" w:rsidR="00CD35B8" w:rsidRDefault="00CD35B8" w:rsidP="002533F0">
      <w:pPr>
        <w:spacing w:before="0"/>
        <w:ind w:right="91"/>
        <w:jc w:val="center"/>
        <w:rPr>
          <w:rFonts w:ascii="Arial" w:hAnsi="Arial" w:cs="Arial"/>
          <w:i/>
          <w:szCs w:val="24"/>
        </w:rPr>
      </w:pPr>
      <w:r>
        <w:rPr>
          <w:rFonts w:ascii="Arial" w:hAnsi="Arial" w:cs="Arial"/>
          <w:i/>
          <w:szCs w:val="24"/>
        </w:rPr>
        <w:t>A New Tax System (Family Assistance) Act 1999</w:t>
      </w:r>
    </w:p>
    <w:p w14:paraId="1099713E" w14:textId="77777777" w:rsidR="00CD35B8" w:rsidRDefault="00CD35B8" w:rsidP="002533F0">
      <w:pPr>
        <w:spacing w:before="0"/>
        <w:ind w:right="91"/>
        <w:jc w:val="center"/>
        <w:rPr>
          <w:rFonts w:ascii="Arial" w:hAnsi="Arial" w:cs="Arial"/>
          <w:i/>
          <w:szCs w:val="24"/>
        </w:rPr>
      </w:pPr>
    </w:p>
    <w:p w14:paraId="699A21ED" w14:textId="0EE54E1A" w:rsidR="00CD35B8" w:rsidRPr="00DF0EBF" w:rsidRDefault="00D55ED4" w:rsidP="002533F0">
      <w:pPr>
        <w:spacing w:before="0"/>
        <w:ind w:right="91"/>
        <w:jc w:val="center"/>
        <w:rPr>
          <w:rFonts w:ascii="Arial" w:hAnsi="Arial" w:cs="Arial"/>
          <w:szCs w:val="24"/>
        </w:rPr>
      </w:pPr>
      <w:r w:rsidRPr="00DF0EBF">
        <w:rPr>
          <w:rFonts w:ascii="Arial" w:hAnsi="Arial" w:cs="Arial"/>
          <w:szCs w:val="24"/>
        </w:rPr>
        <w:t xml:space="preserve">Family Assistance </w:t>
      </w:r>
      <w:r w:rsidR="00CD35B8" w:rsidRPr="00DF0EBF">
        <w:rPr>
          <w:rFonts w:ascii="Arial" w:hAnsi="Arial" w:cs="Arial"/>
          <w:szCs w:val="24"/>
        </w:rPr>
        <w:t>(Studying Overseas Full-time) Determination 2021</w:t>
      </w:r>
    </w:p>
    <w:p w14:paraId="5914801A" w14:textId="0D6DDE6F" w:rsidR="004D336A" w:rsidRPr="00BC76EB" w:rsidRDefault="001812DF"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D55ED4" w:rsidRPr="00DF0EBF">
        <w:rPr>
          <w:rStyle w:val="BookTitle"/>
          <w:rFonts w:ascii="Arial" w:hAnsi="Arial" w:cs="Arial"/>
          <w:i w:val="0"/>
          <w:iCs w:val="0"/>
          <w:smallCaps w:val="0"/>
          <w:spacing w:val="0"/>
          <w:szCs w:val="24"/>
        </w:rPr>
        <w:t xml:space="preserve">Family Assistance </w:t>
      </w:r>
      <w:r w:rsidRPr="00DF0EBF">
        <w:rPr>
          <w:rStyle w:val="BookTitle"/>
          <w:rFonts w:ascii="Arial" w:hAnsi="Arial" w:cs="Arial"/>
          <w:i w:val="0"/>
          <w:iCs w:val="0"/>
          <w:smallCaps w:val="0"/>
          <w:spacing w:val="0"/>
          <w:szCs w:val="24"/>
        </w:rPr>
        <w:t>(Studying Overseas Full-time) Determination 2021</w:t>
      </w:r>
      <w:r>
        <w:rPr>
          <w:rStyle w:val="BookTitle"/>
          <w:rFonts w:ascii="Arial" w:hAnsi="Arial" w:cs="Arial"/>
          <w:iCs w:val="0"/>
          <w:smallCaps w:val="0"/>
          <w:spacing w:val="0"/>
          <w:szCs w:val="24"/>
        </w:rPr>
        <w:t xml:space="preserve"> </w:t>
      </w:r>
      <w:r>
        <w:rPr>
          <w:rStyle w:val="BookTitle"/>
          <w:rFonts w:ascii="Arial" w:hAnsi="Arial" w:cs="Arial"/>
          <w:i w:val="0"/>
          <w:iCs w:val="0"/>
          <w:smallCaps w:val="0"/>
          <w:spacing w:val="0"/>
          <w:szCs w:val="24"/>
        </w:rPr>
        <w:t>(th</w:t>
      </w:r>
      <w:r w:rsidR="009973FC">
        <w:rPr>
          <w:rStyle w:val="BookTitle"/>
          <w:rFonts w:ascii="Arial" w:hAnsi="Arial" w:cs="Arial"/>
          <w:i w:val="0"/>
          <w:iCs w:val="0"/>
          <w:smallCaps w:val="0"/>
          <w:spacing w:val="0"/>
          <w:szCs w:val="24"/>
        </w:rPr>
        <w:t>is</w:t>
      </w:r>
      <w:r>
        <w:rPr>
          <w:rStyle w:val="BookTitle"/>
          <w:rFonts w:ascii="Arial" w:hAnsi="Arial" w:cs="Arial"/>
          <w:i w:val="0"/>
          <w:iCs w:val="0"/>
          <w:smallCaps w:val="0"/>
          <w:spacing w:val="0"/>
          <w:szCs w:val="24"/>
        </w:rPr>
        <w:t xml:space="preserve"> Determination) is made under section 3C of the </w:t>
      </w:r>
      <w:r>
        <w:rPr>
          <w:rStyle w:val="BookTitle"/>
          <w:rFonts w:ascii="Arial" w:hAnsi="Arial" w:cs="Arial"/>
          <w:iCs w:val="0"/>
          <w:smallCaps w:val="0"/>
          <w:spacing w:val="0"/>
          <w:szCs w:val="24"/>
        </w:rPr>
        <w:t xml:space="preserve">A New Tax System (Family Assistance) Act 1999 </w:t>
      </w:r>
      <w:r>
        <w:rPr>
          <w:rStyle w:val="BookTitle"/>
          <w:rFonts w:ascii="Arial" w:hAnsi="Arial" w:cs="Arial"/>
          <w:i w:val="0"/>
          <w:iCs w:val="0"/>
          <w:smallCaps w:val="0"/>
          <w:spacing w:val="0"/>
          <w:szCs w:val="24"/>
        </w:rPr>
        <w:t xml:space="preserve">(the Act). </w:t>
      </w:r>
    </w:p>
    <w:p w14:paraId="11609723" w14:textId="77777777" w:rsidR="009973FC" w:rsidRDefault="009973FC" w:rsidP="009973FC">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Purpose</w:t>
      </w:r>
    </w:p>
    <w:p w14:paraId="4192E432" w14:textId="2C298A51" w:rsidR="009973FC" w:rsidRDefault="009973FC" w:rsidP="009973FC">
      <w:pPr>
        <w:rPr>
          <w:rFonts w:ascii="Arial" w:hAnsi="Arial" w:cs="Arial"/>
          <w:szCs w:val="24"/>
        </w:rPr>
      </w:pPr>
      <w:r>
        <w:rPr>
          <w:rFonts w:ascii="Arial" w:hAnsi="Arial" w:cs="Arial"/>
          <w:szCs w:val="24"/>
        </w:rPr>
        <w:t>This Determination give</w:t>
      </w:r>
      <w:r w:rsidR="008D02AB">
        <w:rPr>
          <w:rFonts w:ascii="Arial" w:hAnsi="Arial" w:cs="Arial"/>
          <w:szCs w:val="24"/>
        </w:rPr>
        <w:t>s</w:t>
      </w:r>
      <w:r>
        <w:rPr>
          <w:rFonts w:ascii="Arial" w:hAnsi="Arial" w:cs="Arial"/>
          <w:szCs w:val="24"/>
        </w:rPr>
        <w:t xml:space="preserve"> </w:t>
      </w:r>
      <w:r w:rsidR="004768FC">
        <w:rPr>
          <w:rFonts w:ascii="Arial" w:hAnsi="Arial" w:cs="Arial"/>
          <w:szCs w:val="24"/>
        </w:rPr>
        <w:t xml:space="preserve">continued </w:t>
      </w:r>
      <w:r>
        <w:rPr>
          <w:rFonts w:ascii="Arial" w:hAnsi="Arial" w:cs="Arial"/>
          <w:szCs w:val="24"/>
        </w:rPr>
        <w:t xml:space="preserve">meaning to the term ‘studying overseas full-time’ since the current instrument that provides its meaning – the </w:t>
      </w:r>
      <w:r w:rsidRPr="00DF0EBF">
        <w:rPr>
          <w:rFonts w:ascii="Arial" w:hAnsi="Arial" w:cs="Arial"/>
          <w:szCs w:val="24"/>
        </w:rPr>
        <w:t>Family Tax Benefit (Studying Overseas Full-Time) Determination 2011</w:t>
      </w:r>
      <w:r w:rsidRPr="008D02AB">
        <w:rPr>
          <w:rFonts w:ascii="Arial" w:hAnsi="Arial" w:cs="Arial"/>
          <w:szCs w:val="24"/>
        </w:rPr>
        <w:t xml:space="preserve"> </w:t>
      </w:r>
      <w:r>
        <w:rPr>
          <w:rFonts w:ascii="Arial" w:hAnsi="Arial" w:cs="Arial"/>
          <w:szCs w:val="24"/>
        </w:rPr>
        <w:t xml:space="preserve">– </w:t>
      </w:r>
      <w:proofErr w:type="gramStart"/>
      <w:r>
        <w:rPr>
          <w:rFonts w:ascii="Arial" w:hAnsi="Arial" w:cs="Arial"/>
          <w:szCs w:val="24"/>
        </w:rPr>
        <w:t>is</w:t>
      </w:r>
      <w:proofErr w:type="gramEnd"/>
      <w:r>
        <w:rPr>
          <w:rFonts w:ascii="Arial" w:hAnsi="Arial" w:cs="Arial"/>
          <w:szCs w:val="24"/>
        </w:rPr>
        <w:t xml:space="preserve"> due to sunset on 1 October 2021. </w:t>
      </w:r>
    </w:p>
    <w:p w14:paraId="0F030BD8" w14:textId="7DCE3A70" w:rsidR="009973FC" w:rsidRDefault="009973FC" w:rsidP="009973FC">
      <w:pPr>
        <w:rPr>
          <w:rFonts w:ascii="Arial" w:hAnsi="Arial" w:cs="Arial"/>
          <w:szCs w:val="24"/>
        </w:rPr>
      </w:pPr>
      <w:r>
        <w:rPr>
          <w:rFonts w:ascii="Arial" w:hAnsi="Arial" w:cs="Arial"/>
          <w:szCs w:val="24"/>
        </w:rPr>
        <w:t>‘</w:t>
      </w:r>
      <w:r w:rsidR="008D02AB">
        <w:rPr>
          <w:rFonts w:ascii="Arial" w:hAnsi="Arial" w:cs="Arial"/>
          <w:szCs w:val="24"/>
        </w:rPr>
        <w:t>S</w:t>
      </w:r>
      <w:r>
        <w:rPr>
          <w:rFonts w:ascii="Arial" w:hAnsi="Arial" w:cs="Arial"/>
          <w:szCs w:val="24"/>
        </w:rPr>
        <w:t xml:space="preserve">tudying overseas full-time’ </w:t>
      </w:r>
      <w:r w:rsidR="008D02AB">
        <w:rPr>
          <w:rFonts w:ascii="Arial" w:hAnsi="Arial" w:cs="Arial"/>
          <w:szCs w:val="24"/>
        </w:rPr>
        <w:t xml:space="preserve">informs </w:t>
      </w:r>
      <w:r>
        <w:rPr>
          <w:rFonts w:ascii="Arial" w:hAnsi="Arial" w:cs="Arial"/>
          <w:szCs w:val="24"/>
        </w:rPr>
        <w:t xml:space="preserve">the meaning of ‘senior secondary school child’ in section 22B of the Act. </w:t>
      </w:r>
    </w:p>
    <w:p w14:paraId="2BBF23C6" w14:textId="163D08A4" w:rsidR="002E59D8" w:rsidRDefault="009973FC" w:rsidP="009973FC">
      <w:pPr>
        <w:rPr>
          <w:rFonts w:ascii="Arial" w:hAnsi="Arial" w:cs="Arial"/>
          <w:szCs w:val="24"/>
        </w:rPr>
      </w:pPr>
      <w:r>
        <w:rPr>
          <w:rFonts w:ascii="Arial" w:hAnsi="Arial" w:cs="Arial"/>
          <w:szCs w:val="24"/>
        </w:rPr>
        <w:t>Subject to other requirements in the Act, an individual aged 16-19 who is a ‘senior secondary school child’</w:t>
      </w:r>
      <w:r w:rsidR="002E59D8">
        <w:rPr>
          <w:rFonts w:ascii="Arial" w:hAnsi="Arial" w:cs="Arial"/>
          <w:szCs w:val="24"/>
        </w:rPr>
        <w:t xml:space="preserve"> </w:t>
      </w:r>
      <w:r w:rsidR="008D02AB">
        <w:rPr>
          <w:rFonts w:ascii="Arial" w:hAnsi="Arial" w:cs="Arial"/>
          <w:szCs w:val="24"/>
        </w:rPr>
        <w:t xml:space="preserve">may </w:t>
      </w:r>
      <w:r w:rsidR="002E59D8">
        <w:rPr>
          <w:rFonts w:ascii="Arial" w:hAnsi="Arial" w:cs="Arial"/>
          <w:szCs w:val="24"/>
        </w:rPr>
        <w:t xml:space="preserve">be </w:t>
      </w:r>
      <w:r w:rsidR="008D02AB">
        <w:rPr>
          <w:rFonts w:ascii="Arial" w:hAnsi="Arial" w:cs="Arial"/>
          <w:szCs w:val="24"/>
        </w:rPr>
        <w:t>the</w:t>
      </w:r>
      <w:r w:rsidR="002E59D8">
        <w:rPr>
          <w:rFonts w:ascii="Arial" w:hAnsi="Arial" w:cs="Arial"/>
          <w:szCs w:val="24"/>
        </w:rPr>
        <w:t xml:space="preserve"> </w:t>
      </w:r>
      <w:r w:rsidR="007F5151">
        <w:rPr>
          <w:rFonts w:ascii="Arial" w:hAnsi="Arial" w:cs="Arial"/>
          <w:szCs w:val="24"/>
        </w:rPr>
        <w:t>FTB child</w:t>
      </w:r>
      <w:r w:rsidR="00CF4484">
        <w:rPr>
          <w:rFonts w:ascii="Arial" w:hAnsi="Arial" w:cs="Arial"/>
          <w:szCs w:val="24"/>
        </w:rPr>
        <w:t xml:space="preserve"> </w:t>
      </w:r>
      <w:r w:rsidR="008D02AB">
        <w:rPr>
          <w:rFonts w:ascii="Arial" w:hAnsi="Arial" w:cs="Arial"/>
          <w:szCs w:val="24"/>
        </w:rPr>
        <w:t xml:space="preserve">of an adult </w:t>
      </w:r>
      <w:r w:rsidR="002E59D8">
        <w:rPr>
          <w:rFonts w:ascii="Arial" w:hAnsi="Arial" w:cs="Arial"/>
          <w:szCs w:val="24"/>
        </w:rPr>
        <w:t xml:space="preserve">under subsections 22(3) and (4) of the Act. </w:t>
      </w:r>
    </w:p>
    <w:p w14:paraId="1E6084B5" w14:textId="50AC172C" w:rsidR="002E59D8" w:rsidRPr="009973FC" w:rsidRDefault="00CF4484" w:rsidP="009973FC">
      <w:pPr>
        <w:rPr>
          <w:rStyle w:val="BookTitle"/>
          <w:rFonts w:ascii="Arial" w:hAnsi="Arial" w:cs="Arial"/>
          <w:iCs w:val="0"/>
          <w:smallCaps w:val="0"/>
          <w:spacing w:val="0"/>
          <w:szCs w:val="24"/>
        </w:rPr>
      </w:pPr>
      <w:r>
        <w:rPr>
          <w:rFonts w:ascii="Arial" w:hAnsi="Arial" w:cs="Arial"/>
          <w:szCs w:val="24"/>
        </w:rPr>
        <w:t>An adult individual</w:t>
      </w:r>
      <w:r w:rsidR="002E59D8">
        <w:rPr>
          <w:rFonts w:ascii="Arial" w:hAnsi="Arial" w:cs="Arial"/>
          <w:szCs w:val="24"/>
        </w:rPr>
        <w:t xml:space="preserve"> </w:t>
      </w:r>
      <w:r w:rsidR="008D02AB">
        <w:rPr>
          <w:rFonts w:ascii="Arial" w:hAnsi="Arial" w:cs="Arial"/>
          <w:szCs w:val="24"/>
        </w:rPr>
        <w:t xml:space="preserve">may be </w:t>
      </w:r>
      <w:r w:rsidR="002E59D8">
        <w:rPr>
          <w:rFonts w:ascii="Arial" w:hAnsi="Arial" w:cs="Arial"/>
          <w:szCs w:val="24"/>
        </w:rPr>
        <w:t>eligible for family tax benefit</w:t>
      </w:r>
      <w:r>
        <w:rPr>
          <w:rFonts w:ascii="Arial" w:hAnsi="Arial" w:cs="Arial"/>
          <w:szCs w:val="24"/>
        </w:rPr>
        <w:t xml:space="preserve"> </w:t>
      </w:r>
      <w:r w:rsidR="002E59D8">
        <w:rPr>
          <w:rFonts w:ascii="Arial" w:hAnsi="Arial" w:cs="Arial"/>
          <w:szCs w:val="24"/>
        </w:rPr>
        <w:t>if they have,</w:t>
      </w:r>
      <w:r w:rsidR="00B34CCC" w:rsidRPr="00B34CCC">
        <w:rPr>
          <w:rFonts w:ascii="Arial" w:hAnsi="Arial" w:cs="Arial"/>
          <w:szCs w:val="24"/>
        </w:rPr>
        <w:t xml:space="preserve"> </w:t>
      </w:r>
      <w:r w:rsidR="00B34CCC">
        <w:rPr>
          <w:rFonts w:ascii="Arial" w:hAnsi="Arial" w:cs="Arial"/>
          <w:szCs w:val="24"/>
        </w:rPr>
        <w:t>under section 21 of the Act</w:t>
      </w:r>
      <w:r w:rsidR="004768FC">
        <w:rPr>
          <w:rFonts w:ascii="Arial" w:hAnsi="Arial" w:cs="Arial"/>
          <w:szCs w:val="24"/>
        </w:rPr>
        <w:t>,</w:t>
      </w:r>
      <w:r w:rsidR="002E59D8">
        <w:rPr>
          <w:rFonts w:ascii="Arial" w:hAnsi="Arial" w:cs="Arial"/>
          <w:szCs w:val="24"/>
        </w:rPr>
        <w:t xml:space="preserve"> at least one </w:t>
      </w:r>
      <w:r w:rsidR="007F5151">
        <w:rPr>
          <w:rFonts w:ascii="Arial" w:hAnsi="Arial" w:cs="Arial"/>
          <w:szCs w:val="24"/>
        </w:rPr>
        <w:t>FTB</w:t>
      </w:r>
      <w:r w:rsidR="002E59D8">
        <w:rPr>
          <w:rFonts w:ascii="Arial" w:hAnsi="Arial" w:cs="Arial"/>
          <w:szCs w:val="24"/>
        </w:rPr>
        <w:t xml:space="preserve"> child. </w:t>
      </w:r>
    </w:p>
    <w:p w14:paraId="02833AB8" w14:textId="77777777"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14:paraId="6796F5EB" w14:textId="1750886A" w:rsidR="00151AA8" w:rsidRDefault="00151AA8" w:rsidP="00191AEC">
      <w:pPr>
        <w:rPr>
          <w:rFonts w:ascii="Arial" w:hAnsi="Arial" w:cs="Arial"/>
          <w:szCs w:val="24"/>
        </w:rPr>
      </w:pPr>
      <w:r>
        <w:rPr>
          <w:rFonts w:ascii="Arial" w:hAnsi="Arial" w:cs="Arial"/>
          <w:szCs w:val="24"/>
        </w:rPr>
        <w:t xml:space="preserve">An FTB child who leaves Australia may remain an FTB child of a person for up to 6 weeks, or a longer period in some circumstances, up to 3 years if an extension </w:t>
      </w:r>
      <w:proofErr w:type="gramStart"/>
      <w:r>
        <w:rPr>
          <w:rFonts w:ascii="Arial" w:hAnsi="Arial" w:cs="Arial"/>
          <w:szCs w:val="24"/>
        </w:rPr>
        <w:t>is granted</w:t>
      </w:r>
      <w:proofErr w:type="gramEnd"/>
      <w:r>
        <w:rPr>
          <w:rFonts w:ascii="Arial" w:hAnsi="Arial" w:cs="Arial"/>
          <w:szCs w:val="24"/>
        </w:rPr>
        <w:t xml:space="preserve"> for particular purposes listed in section 24 of the Act. If the child is studying overseas full-time in a way that would, in the Secretary’s opinion, assist or allow the individual to complete the final year of secondary school or an equivalent level of education, they may remain a senior secondary school child and attract the payment of family tax benefit.</w:t>
      </w:r>
    </w:p>
    <w:p w14:paraId="33429DED" w14:textId="1455769B" w:rsidR="008A7002" w:rsidRPr="008A7002" w:rsidRDefault="00151AA8" w:rsidP="00191AEC">
      <w:pPr>
        <w:rPr>
          <w:rFonts w:ascii="Arial" w:hAnsi="Arial" w:cs="Arial"/>
          <w:szCs w:val="24"/>
        </w:rPr>
      </w:pPr>
      <w:r>
        <w:rPr>
          <w:rFonts w:ascii="Arial" w:hAnsi="Arial" w:cs="Arial"/>
          <w:szCs w:val="24"/>
        </w:rPr>
        <w:t>T</w:t>
      </w:r>
      <w:r w:rsidR="006519B7">
        <w:rPr>
          <w:rFonts w:ascii="Arial" w:hAnsi="Arial" w:cs="Arial"/>
          <w:szCs w:val="24"/>
        </w:rPr>
        <w:t xml:space="preserve">he definition of ‘studying overseas full-time’ </w:t>
      </w:r>
      <w:r w:rsidR="00FA50DD">
        <w:rPr>
          <w:rFonts w:ascii="Arial" w:hAnsi="Arial" w:cs="Arial"/>
          <w:szCs w:val="24"/>
        </w:rPr>
        <w:t xml:space="preserve">in this Determination </w:t>
      </w:r>
      <w:r w:rsidR="006519B7">
        <w:rPr>
          <w:rFonts w:ascii="Arial" w:hAnsi="Arial" w:cs="Arial"/>
          <w:szCs w:val="24"/>
        </w:rPr>
        <w:t xml:space="preserve">continues to be </w:t>
      </w:r>
      <w:proofErr w:type="gramStart"/>
      <w:r w:rsidR="006519B7">
        <w:rPr>
          <w:rFonts w:ascii="Arial" w:hAnsi="Arial" w:cs="Arial"/>
          <w:szCs w:val="24"/>
        </w:rPr>
        <w:t>closely</w:t>
      </w:r>
      <w:proofErr w:type="gramEnd"/>
      <w:r w:rsidR="006519B7">
        <w:rPr>
          <w:rFonts w:ascii="Arial" w:hAnsi="Arial" w:cs="Arial"/>
          <w:szCs w:val="24"/>
        </w:rPr>
        <w:t xml:space="preserve"> modelled</w:t>
      </w:r>
      <w:r w:rsidR="00FA50DD">
        <w:rPr>
          <w:rFonts w:ascii="Arial" w:hAnsi="Arial" w:cs="Arial"/>
          <w:szCs w:val="24"/>
        </w:rPr>
        <w:t xml:space="preserve"> on the definition of </w:t>
      </w:r>
      <w:r w:rsidR="00E42DBE">
        <w:rPr>
          <w:rFonts w:ascii="Arial" w:hAnsi="Arial" w:cs="Arial"/>
          <w:szCs w:val="24"/>
        </w:rPr>
        <w:t>‘</w:t>
      </w:r>
      <w:r w:rsidR="00FA50DD">
        <w:rPr>
          <w:rFonts w:ascii="Arial" w:hAnsi="Arial" w:cs="Arial"/>
          <w:szCs w:val="24"/>
        </w:rPr>
        <w:t xml:space="preserve">undertaking full-time study’ for family tax benefit in respect of a young person who is studying in Australia. The meaning of ‘undertaking full-time study’ for a young person studying in Australia </w:t>
      </w:r>
      <w:r w:rsidR="004768FC" w:rsidRPr="004768FC">
        <w:rPr>
          <w:rFonts w:ascii="Arial" w:hAnsi="Arial" w:cs="Arial"/>
          <w:szCs w:val="24"/>
        </w:rPr>
        <w:t xml:space="preserve">(see section 3 of the Act) </w:t>
      </w:r>
      <w:r w:rsidR="00FA50DD">
        <w:rPr>
          <w:rFonts w:ascii="Arial" w:hAnsi="Arial" w:cs="Arial"/>
          <w:szCs w:val="24"/>
        </w:rPr>
        <w:t>is found in section 541B</w:t>
      </w:r>
      <w:r w:rsidR="00FA50DD" w:rsidRPr="00FA50DD">
        <w:rPr>
          <w:rFonts w:ascii="Arial" w:hAnsi="Arial" w:cs="Arial"/>
          <w:szCs w:val="24"/>
        </w:rPr>
        <w:t xml:space="preserve"> </w:t>
      </w:r>
      <w:r w:rsidR="00FA50DD">
        <w:rPr>
          <w:rFonts w:ascii="Arial" w:hAnsi="Arial" w:cs="Arial"/>
          <w:szCs w:val="24"/>
        </w:rPr>
        <w:t xml:space="preserve">of the </w:t>
      </w:r>
      <w:r w:rsidR="00FA50DD">
        <w:rPr>
          <w:rFonts w:ascii="Arial" w:hAnsi="Arial" w:cs="Arial"/>
          <w:i/>
          <w:szCs w:val="24"/>
        </w:rPr>
        <w:t>Social Security Act 1991</w:t>
      </w:r>
      <w:r w:rsidR="00BA525E">
        <w:rPr>
          <w:rFonts w:ascii="Arial" w:hAnsi="Arial" w:cs="Arial"/>
          <w:szCs w:val="24"/>
        </w:rPr>
        <w:t xml:space="preserve"> and</w:t>
      </w:r>
      <w:r w:rsidR="00FA50DD">
        <w:rPr>
          <w:rFonts w:ascii="Arial" w:hAnsi="Arial" w:cs="Arial"/>
          <w:szCs w:val="24"/>
        </w:rPr>
        <w:t xml:space="preserve"> its related definitions in the </w:t>
      </w:r>
      <w:r w:rsidR="00FA50DD">
        <w:rPr>
          <w:rFonts w:ascii="Arial" w:hAnsi="Arial" w:cs="Arial"/>
          <w:i/>
          <w:szCs w:val="24"/>
        </w:rPr>
        <w:t xml:space="preserve">Student Assistance Act 1973 </w:t>
      </w:r>
      <w:r w:rsidR="00FA50DD">
        <w:rPr>
          <w:rFonts w:ascii="Arial" w:hAnsi="Arial" w:cs="Arial"/>
          <w:szCs w:val="24"/>
        </w:rPr>
        <w:t xml:space="preserve">and the </w:t>
      </w:r>
      <w:r w:rsidR="00FA50DD" w:rsidRPr="00DF0EBF">
        <w:rPr>
          <w:rFonts w:ascii="Arial" w:hAnsi="Arial" w:cs="Arial"/>
          <w:szCs w:val="24"/>
        </w:rPr>
        <w:t>Student Assistance (Education Institutions and Courses) Determination 2019</w:t>
      </w:r>
      <w:r w:rsidR="00FA50DD">
        <w:rPr>
          <w:rFonts w:ascii="Arial" w:hAnsi="Arial" w:cs="Arial"/>
          <w:szCs w:val="24"/>
        </w:rPr>
        <w:t xml:space="preserve">. </w:t>
      </w:r>
    </w:p>
    <w:p w14:paraId="50B35EF4" w14:textId="77777777"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0C4E9C9F" w14:textId="77777777" w:rsidR="00946E6D" w:rsidRDefault="009F77BC"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w:t>
      </w:r>
      <w:r w:rsidR="00CB79D5">
        <w:rPr>
          <w:rStyle w:val="BookTitle"/>
          <w:rFonts w:ascii="Arial" w:hAnsi="Arial" w:cs="Arial"/>
          <w:i w:val="0"/>
          <w:iCs w:val="0"/>
          <w:smallCaps w:val="0"/>
          <w:spacing w:val="0"/>
          <w:szCs w:val="24"/>
        </w:rPr>
        <w:t>is</w:t>
      </w:r>
      <w:r>
        <w:rPr>
          <w:rStyle w:val="BookTitle"/>
          <w:rFonts w:ascii="Arial" w:hAnsi="Arial" w:cs="Arial"/>
          <w:i w:val="0"/>
          <w:iCs w:val="0"/>
          <w:smallCaps w:val="0"/>
          <w:spacing w:val="0"/>
          <w:szCs w:val="24"/>
        </w:rPr>
        <w:t xml:space="preserve"> Determination </w:t>
      </w:r>
      <w:r w:rsidR="000B4130" w:rsidRPr="00BC76EB">
        <w:rPr>
          <w:rStyle w:val="BookTitle"/>
          <w:rFonts w:ascii="Arial" w:hAnsi="Arial" w:cs="Arial"/>
          <w:i w:val="0"/>
          <w:iCs w:val="0"/>
          <w:smallCaps w:val="0"/>
          <w:spacing w:val="0"/>
          <w:szCs w:val="24"/>
        </w:rPr>
        <w:t xml:space="preserve">commences on </w:t>
      </w:r>
      <w:r>
        <w:rPr>
          <w:rStyle w:val="BookTitle"/>
          <w:rFonts w:ascii="Arial" w:hAnsi="Arial" w:cs="Arial"/>
          <w:i w:val="0"/>
          <w:iCs w:val="0"/>
          <w:smallCaps w:val="0"/>
          <w:spacing w:val="0"/>
          <w:szCs w:val="24"/>
        </w:rPr>
        <w:t xml:space="preserve">the day after it is registered. </w:t>
      </w:r>
    </w:p>
    <w:p w14:paraId="7B82CEBB" w14:textId="77777777" w:rsidR="006A6D51" w:rsidRPr="00BC76EB" w:rsidRDefault="006A6D51" w:rsidP="00E01E7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Consultation</w:t>
      </w:r>
    </w:p>
    <w:p w14:paraId="1FC9B74B" w14:textId="116DFB9B" w:rsidR="00E422F3" w:rsidRDefault="00686175" w:rsidP="00E01E71">
      <w:pPr>
        <w:rPr>
          <w:rFonts w:ascii="Arial" w:hAnsi="Arial" w:cs="Arial"/>
          <w:szCs w:val="24"/>
        </w:rPr>
      </w:pPr>
      <w:r>
        <w:rPr>
          <w:rFonts w:ascii="Arial" w:hAnsi="Arial" w:cs="Arial"/>
          <w:szCs w:val="24"/>
        </w:rPr>
        <w:t xml:space="preserve">Consultation </w:t>
      </w:r>
      <w:proofErr w:type="gramStart"/>
      <w:r w:rsidR="00E422F3">
        <w:rPr>
          <w:rFonts w:ascii="Arial" w:hAnsi="Arial" w:cs="Arial"/>
          <w:szCs w:val="24"/>
        </w:rPr>
        <w:t>was undertaken</w:t>
      </w:r>
      <w:proofErr w:type="gramEnd"/>
      <w:r w:rsidR="00E422F3">
        <w:rPr>
          <w:rFonts w:ascii="Arial" w:hAnsi="Arial" w:cs="Arial"/>
          <w:szCs w:val="24"/>
        </w:rPr>
        <w:t xml:space="preserve"> with the Department of Education, Skills and Employment</w:t>
      </w:r>
      <w:r w:rsidR="00CC79B1">
        <w:rPr>
          <w:rFonts w:ascii="Arial" w:hAnsi="Arial" w:cs="Arial"/>
          <w:szCs w:val="24"/>
        </w:rPr>
        <w:t xml:space="preserve"> </w:t>
      </w:r>
      <w:r w:rsidR="00226B3D">
        <w:rPr>
          <w:rFonts w:ascii="Arial" w:hAnsi="Arial" w:cs="Arial"/>
          <w:szCs w:val="24"/>
        </w:rPr>
        <w:t xml:space="preserve">(DESE) </w:t>
      </w:r>
      <w:r w:rsidR="0029752A">
        <w:rPr>
          <w:rFonts w:ascii="Arial" w:hAnsi="Arial" w:cs="Arial"/>
          <w:szCs w:val="24"/>
        </w:rPr>
        <w:t xml:space="preserve">due to </w:t>
      </w:r>
      <w:r w:rsidR="00406B6A">
        <w:rPr>
          <w:rFonts w:ascii="Arial" w:hAnsi="Arial" w:cs="Arial"/>
          <w:szCs w:val="24"/>
        </w:rPr>
        <w:t>its</w:t>
      </w:r>
      <w:r w:rsidR="0029752A">
        <w:rPr>
          <w:rFonts w:ascii="Arial" w:hAnsi="Arial" w:cs="Arial"/>
          <w:szCs w:val="24"/>
        </w:rPr>
        <w:t xml:space="preserve"> policy responsibility for secondary education.</w:t>
      </w:r>
      <w:r w:rsidR="00226B3D">
        <w:rPr>
          <w:rFonts w:ascii="Arial" w:hAnsi="Arial" w:cs="Arial"/>
          <w:szCs w:val="24"/>
        </w:rPr>
        <w:t xml:space="preserve"> DESE did not have any comments.</w:t>
      </w:r>
    </w:p>
    <w:p w14:paraId="4C75A831" w14:textId="54E5A2E2" w:rsidR="00E422F3" w:rsidRDefault="00CC79B1" w:rsidP="00E01E71">
      <w:pPr>
        <w:rPr>
          <w:rFonts w:ascii="Arial" w:hAnsi="Arial" w:cs="Arial"/>
          <w:szCs w:val="24"/>
        </w:rPr>
      </w:pPr>
      <w:r>
        <w:rPr>
          <w:rFonts w:ascii="Arial" w:hAnsi="Arial" w:cs="Arial"/>
          <w:szCs w:val="24"/>
        </w:rPr>
        <w:t xml:space="preserve">Consultation </w:t>
      </w:r>
      <w:proofErr w:type="gramStart"/>
      <w:r>
        <w:rPr>
          <w:rFonts w:ascii="Arial" w:hAnsi="Arial" w:cs="Arial"/>
          <w:szCs w:val="24"/>
        </w:rPr>
        <w:t xml:space="preserve">was </w:t>
      </w:r>
      <w:r w:rsidR="00E422F3">
        <w:rPr>
          <w:rFonts w:ascii="Arial" w:hAnsi="Arial" w:cs="Arial"/>
          <w:szCs w:val="24"/>
        </w:rPr>
        <w:t>undertaken</w:t>
      </w:r>
      <w:proofErr w:type="gramEnd"/>
      <w:r w:rsidR="00E422F3">
        <w:rPr>
          <w:rFonts w:ascii="Arial" w:hAnsi="Arial" w:cs="Arial"/>
          <w:szCs w:val="24"/>
        </w:rPr>
        <w:t xml:space="preserve"> with the Australian Council of Social Service </w:t>
      </w:r>
      <w:r w:rsidR="00226B3D">
        <w:rPr>
          <w:rFonts w:ascii="Arial" w:hAnsi="Arial" w:cs="Arial"/>
          <w:szCs w:val="24"/>
        </w:rPr>
        <w:t xml:space="preserve">(ACOSS) </w:t>
      </w:r>
      <w:r>
        <w:rPr>
          <w:rFonts w:ascii="Arial" w:hAnsi="Arial" w:cs="Arial"/>
          <w:szCs w:val="24"/>
        </w:rPr>
        <w:t>and its relevant affiliates</w:t>
      </w:r>
      <w:r w:rsidR="00406B6A">
        <w:rPr>
          <w:rFonts w:ascii="Arial" w:hAnsi="Arial" w:cs="Arial"/>
          <w:szCs w:val="24"/>
        </w:rPr>
        <w:t xml:space="preserve"> given they are peak bodies for social welfare matters and the instrument may be relevant to clients who engage with them</w:t>
      </w:r>
      <w:r w:rsidR="00483F54">
        <w:rPr>
          <w:rFonts w:ascii="Arial" w:hAnsi="Arial" w:cs="Arial"/>
          <w:szCs w:val="24"/>
        </w:rPr>
        <w:t xml:space="preserve">. </w:t>
      </w:r>
      <w:r w:rsidR="00226B3D">
        <w:rPr>
          <w:rFonts w:ascii="Arial" w:hAnsi="Arial" w:cs="Arial"/>
          <w:szCs w:val="24"/>
        </w:rPr>
        <w:t>ACOSS did not have any input to the instrument.</w:t>
      </w:r>
    </w:p>
    <w:p w14:paraId="33882176" w14:textId="2755B0EF" w:rsidR="00DD5E55" w:rsidRDefault="00CC79B1" w:rsidP="00DE18ED">
      <w:pPr>
        <w:rPr>
          <w:rFonts w:ascii="Arial" w:hAnsi="Arial" w:cs="Arial"/>
          <w:szCs w:val="24"/>
        </w:rPr>
      </w:pPr>
      <w:r>
        <w:rPr>
          <w:rFonts w:ascii="Arial" w:hAnsi="Arial" w:cs="Arial"/>
          <w:szCs w:val="24"/>
        </w:rPr>
        <w:t xml:space="preserve">Consultation </w:t>
      </w:r>
      <w:proofErr w:type="gramStart"/>
      <w:r>
        <w:rPr>
          <w:rFonts w:ascii="Arial" w:hAnsi="Arial" w:cs="Arial"/>
          <w:szCs w:val="24"/>
        </w:rPr>
        <w:t>was undertaken</w:t>
      </w:r>
      <w:proofErr w:type="gramEnd"/>
      <w:r>
        <w:rPr>
          <w:rFonts w:ascii="Arial" w:hAnsi="Arial" w:cs="Arial"/>
          <w:szCs w:val="24"/>
        </w:rPr>
        <w:t xml:space="preserve"> </w:t>
      </w:r>
      <w:r w:rsidR="00DE18ED">
        <w:rPr>
          <w:rFonts w:ascii="Arial" w:hAnsi="Arial" w:cs="Arial"/>
          <w:szCs w:val="24"/>
        </w:rPr>
        <w:t>with Services Australia since they are the agency that will be implementing the family tax benefit payments that will be enabled once this Determination is in force.</w:t>
      </w:r>
      <w:r w:rsidR="00C03E57">
        <w:rPr>
          <w:rFonts w:ascii="Arial" w:hAnsi="Arial" w:cs="Arial"/>
          <w:szCs w:val="24"/>
        </w:rPr>
        <w:t xml:space="preserve"> Services Australia also had no comments on the instrument.</w:t>
      </w:r>
    </w:p>
    <w:p w14:paraId="11FC0A72" w14:textId="77777777"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14:paraId="0D2983C5" w14:textId="3DC28BFE" w:rsidR="00A20512" w:rsidRPr="00A20512" w:rsidRDefault="00CB79D5" w:rsidP="00C37944">
      <w:pPr>
        <w:spacing w:before="120"/>
        <w:rPr>
          <w:rFonts w:ascii="Arial" w:hAnsi="Arial" w:cs="Arial"/>
          <w:szCs w:val="24"/>
        </w:rPr>
      </w:pPr>
      <w:r>
        <w:rPr>
          <w:rFonts w:ascii="Arial" w:hAnsi="Arial" w:cs="Arial"/>
          <w:szCs w:val="24"/>
        </w:rPr>
        <w:t xml:space="preserve">A Regulatory Impact Statement or a </w:t>
      </w:r>
      <w:r w:rsidR="00C133D7">
        <w:rPr>
          <w:rFonts w:ascii="Arial" w:hAnsi="Arial" w:cs="Arial"/>
          <w:szCs w:val="24"/>
        </w:rPr>
        <w:t>Regulatory Burden Measure</w:t>
      </w:r>
      <w:r>
        <w:rPr>
          <w:rFonts w:ascii="Arial" w:hAnsi="Arial" w:cs="Arial"/>
          <w:szCs w:val="24"/>
        </w:rPr>
        <w:t xml:space="preserve"> is not required</w:t>
      </w:r>
      <w:r w:rsidR="00995BCB">
        <w:rPr>
          <w:rFonts w:ascii="Arial" w:hAnsi="Arial" w:cs="Arial"/>
          <w:szCs w:val="24"/>
        </w:rPr>
        <w:t xml:space="preserve"> (OBPR reference </w:t>
      </w:r>
      <w:r w:rsidR="00226B3D">
        <w:rPr>
          <w:rFonts w:ascii="Arial" w:hAnsi="Arial" w:cs="Arial"/>
          <w:szCs w:val="24"/>
        </w:rPr>
        <w:t>44322</w:t>
      </w:r>
      <w:r w:rsidR="00995BCB">
        <w:rPr>
          <w:rFonts w:ascii="Arial" w:hAnsi="Arial" w:cs="Arial"/>
          <w:szCs w:val="24"/>
        </w:rPr>
        <w:t>)</w:t>
      </w:r>
      <w:r>
        <w:rPr>
          <w:rFonts w:ascii="Arial" w:hAnsi="Arial" w:cs="Arial"/>
          <w:szCs w:val="24"/>
        </w:rPr>
        <w:t xml:space="preserve">. The measure in this Determination affects individuals’ entitlements to government payments. They are not regulatory in nature, will not </w:t>
      </w:r>
      <w:proofErr w:type="gramStart"/>
      <w:r>
        <w:rPr>
          <w:rFonts w:ascii="Arial" w:hAnsi="Arial" w:cs="Arial"/>
          <w:szCs w:val="24"/>
        </w:rPr>
        <w:t>impact on</w:t>
      </w:r>
      <w:proofErr w:type="gramEnd"/>
      <w:r>
        <w:rPr>
          <w:rFonts w:ascii="Arial" w:hAnsi="Arial" w:cs="Arial"/>
          <w:szCs w:val="24"/>
        </w:rPr>
        <w:t xml:space="preserve"> business activity and will have no, or minimal, compliance costs or c</w:t>
      </w:r>
      <w:r w:rsidR="00A20512">
        <w:rPr>
          <w:rFonts w:ascii="Arial" w:hAnsi="Arial" w:cs="Arial"/>
          <w:szCs w:val="24"/>
        </w:rPr>
        <w:t xml:space="preserve">ompetition impact on business. </w:t>
      </w:r>
    </w:p>
    <w:p w14:paraId="0CB0D391" w14:textId="77777777" w:rsidR="00946E6D" w:rsidRDefault="0006693F" w:rsidP="00C37944">
      <w:pPr>
        <w:spacing w:before="120"/>
        <w:rPr>
          <w:rFonts w:ascii="Arial" w:hAnsi="Arial" w:cs="Arial"/>
          <w:b/>
          <w:szCs w:val="24"/>
        </w:rPr>
      </w:pPr>
      <w:r>
        <w:rPr>
          <w:rFonts w:ascii="Arial" w:hAnsi="Arial" w:cs="Arial"/>
          <w:b/>
          <w:szCs w:val="24"/>
        </w:rPr>
        <w:t>Availability of independent review</w:t>
      </w:r>
    </w:p>
    <w:p w14:paraId="76B12196" w14:textId="3CB3DF0C" w:rsidR="00D45911" w:rsidRDefault="00B71F52" w:rsidP="00C37944">
      <w:pPr>
        <w:spacing w:before="120"/>
        <w:rPr>
          <w:rFonts w:ascii="Arial" w:hAnsi="Arial" w:cs="Arial"/>
          <w:szCs w:val="24"/>
        </w:rPr>
      </w:pPr>
      <w:r>
        <w:rPr>
          <w:rFonts w:ascii="Arial" w:hAnsi="Arial" w:cs="Arial"/>
          <w:szCs w:val="24"/>
        </w:rPr>
        <w:t xml:space="preserve">Independent </w:t>
      </w:r>
      <w:r w:rsidR="001A51B9">
        <w:rPr>
          <w:rFonts w:ascii="Arial" w:hAnsi="Arial" w:cs="Arial"/>
          <w:szCs w:val="24"/>
        </w:rPr>
        <w:t xml:space="preserve">internal and external </w:t>
      </w:r>
      <w:r w:rsidR="00D45911">
        <w:rPr>
          <w:rFonts w:ascii="Arial" w:hAnsi="Arial" w:cs="Arial"/>
          <w:szCs w:val="24"/>
        </w:rPr>
        <w:t xml:space="preserve">merits </w:t>
      </w:r>
      <w:r>
        <w:rPr>
          <w:rFonts w:ascii="Arial" w:hAnsi="Arial" w:cs="Arial"/>
          <w:szCs w:val="24"/>
        </w:rPr>
        <w:t xml:space="preserve">review </w:t>
      </w:r>
      <w:r w:rsidR="001A51B9">
        <w:rPr>
          <w:rFonts w:ascii="Arial" w:hAnsi="Arial" w:cs="Arial"/>
          <w:szCs w:val="24"/>
        </w:rPr>
        <w:t xml:space="preserve">under Part 5 of the </w:t>
      </w:r>
      <w:r w:rsidR="001A51B9">
        <w:rPr>
          <w:rFonts w:ascii="Arial" w:hAnsi="Arial" w:cs="Arial"/>
          <w:i/>
          <w:szCs w:val="24"/>
        </w:rPr>
        <w:t xml:space="preserve">A New Tax System (Family Assistance) Administration) Act 1999 </w:t>
      </w:r>
      <w:r w:rsidR="00D45911">
        <w:rPr>
          <w:rFonts w:ascii="Arial" w:hAnsi="Arial" w:cs="Arial"/>
          <w:szCs w:val="24"/>
        </w:rPr>
        <w:t>is available</w:t>
      </w:r>
      <w:r w:rsidR="001A51B9">
        <w:rPr>
          <w:rFonts w:ascii="Arial" w:hAnsi="Arial" w:cs="Arial"/>
          <w:szCs w:val="24"/>
        </w:rPr>
        <w:t xml:space="preserve"> in respect of all administrative decisions made under the family assis</w:t>
      </w:r>
      <w:r w:rsidR="00FF478B">
        <w:rPr>
          <w:rFonts w:ascii="Arial" w:hAnsi="Arial" w:cs="Arial"/>
          <w:szCs w:val="24"/>
        </w:rPr>
        <w:t>tance law that are guided by this</w:t>
      </w:r>
      <w:r w:rsidR="001A51B9">
        <w:rPr>
          <w:rFonts w:ascii="Arial" w:hAnsi="Arial" w:cs="Arial"/>
          <w:szCs w:val="24"/>
        </w:rPr>
        <w:t xml:space="preserve"> Determination</w:t>
      </w:r>
      <w:r w:rsidR="00D45911">
        <w:rPr>
          <w:rFonts w:ascii="Arial" w:hAnsi="Arial" w:cs="Arial"/>
          <w:szCs w:val="24"/>
        </w:rPr>
        <w:t xml:space="preserve">. </w:t>
      </w:r>
    </w:p>
    <w:p w14:paraId="66CA1F05" w14:textId="77777777"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7314EBCA" w14:textId="2B128F8E" w:rsidR="00871F28" w:rsidRDefault="00871F28" w:rsidP="00871F28">
      <w:pPr>
        <w:rPr>
          <w:rStyle w:val="BookTitle"/>
          <w:rFonts w:ascii="Arial" w:hAnsi="Arial" w:cs="Arial"/>
          <w:i w:val="0"/>
          <w:iCs w:val="0"/>
          <w:smallCaps w:val="0"/>
          <w:spacing w:val="0"/>
          <w:szCs w:val="24"/>
        </w:rPr>
      </w:pPr>
      <w:r w:rsidRPr="00FF6D21">
        <w:rPr>
          <w:rStyle w:val="BookTitle"/>
          <w:rFonts w:ascii="Arial" w:hAnsi="Arial" w:cs="Arial"/>
          <w:b/>
          <w:i w:val="0"/>
          <w:iCs w:val="0"/>
          <w:smallCaps w:val="0"/>
          <w:spacing w:val="0"/>
          <w:szCs w:val="24"/>
        </w:rPr>
        <w:t xml:space="preserve">Part </w:t>
      </w:r>
      <w:proofErr w:type="gramStart"/>
      <w:r w:rsidR="00446D6C" w:rsidRPr="00FF6D21">
        <w:rPr>
          <w:rStyle w:val="BookTitle"/>
          <w:rFonts w:ascii="Arial" w:hAnsi="Arial" w:cs="Arial"/>
          <w:b/>
          <w:i w:val="0"/>
          <w:iCs w:val="0"/>
          <w:smallCaps w:val="0"/>
          <w:spacing w:val="0"/>
          <w:szCs w:val="24"/>
        </w:rPr>
        <w:t>1</w:t>
      </w:r>
      <w:proofErr w:type="gramEnd"/>
      <w:r w:rsidR="00FF6D21">
        <w:rPr>
          <w:rStyle w:val="BookTitle"/>
          <w:rFonts w:ascii="Arial" w:hAnsi="Arial" w:cs="Arial"/>
          <w:b/>
          <w:i w:val="0"/>
          <w:iCs w:val="0"/>
          <w:smallCaps w:val="0"/>
          <w:spacing w:val="0"/>
          <w:szCs w:val="24"/>
        </w:rPr>
        <w:t xml:space="preserve"> </w:t>
      </w:r>
      <w:r w:rsidR="00FF478B">
        <w:rPr>
          <w:rStyle w:val="BookTitle"/>
          <w:rFonts w:ascii="Arial" w:hAnsi="Arial" w:cs="Arial"/>
          <w:i w:val="0"/>
          <w:iCs w:val="0"/>
          <w:smallCaps w:val="0"/>
          <w:spacing w:val="0"/>
          <w:szCs w:val="24"/>
        </w:rPr>
        <w:t xml:space="preserve">(sections 1 to </w:t>
      </w:r>
      <w:r w:rsidR="00931608">
        <w:rPr>
          <w:rStyle w:val="BookTitle"/>
          <w:rFonts w:ascii="Arial" w:hAnsi="Arial" w:cs="Arial"/>
          <w:i w:val="0"/>
          <w:iCs w:val="0"/>
          <w:smallCaps w:val="0"/>
          <w:spacing w:val="0"/>
          <w:szCs w:val="24"/>
        </w:rPr>
        <w:t>6</w:t>
      </w:r>
      <w:r w:rsidR="00FF478B">
        <w:rPr>
          <w:rStyle w:val="BookTitle"/>
          <w:rFonts w:ascii="Arial" w:hAnsi="Arial" w:cs="Arial"/>
          <w:i w:val="0"/>
          <w:iCs w:val="0"/>
          <w:smallCaps w:val="0"/>
          <w:spacing w:val="0"/>
          <w:szCs w:val="24"/>
        </w:rPr>
        <w:t>) of this</w:t>
      </w:r>
      <w:r w:rsidR="00A405F1">
        <w:rPr>
          <w:rStyle w:val="BookTitle"/>
          <w:rFonts w:ascii="Arial" w:hAnsi="Arial" w:cs="Arial"/>
          <w:i w:val="0"/>
          <w:iCs w:val="0"/>
          <w:smallCaps w:val="0"/>
          <w:spacing w:val="0"/>
          <w:szCs w:val="24"/>
        </w:rPr>
        <w:t xml:space="preserve"> Determination set out provisions of a technical nature.</w:t>
      </w:r>
    </w:p>
    <w:p w14:paraId="04A69095" w14:textId="6012A31D" w:rsidR="00A405F1" w:rsidRPr="00FF478B" w:rsidRDefault="00A405F1" w:rsidP="00871F2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1 </w:t>
      </w:r>
      <w:r w:rsidR="00FF478B">
        <w:rPr>
          <w:rStyle w:val="BookTitle"/>
          <w:rFonts w:ascii="Arial" w:hAnsi="Arial" w:cs="Arial"/>
          <w:i w:val="0"/>
          <w:iCs w:val="0"/>
          <w:smallCaps w:val="0"/>
          <w:spacing w:val="0"/>
          <w:szCs w:val="24"/>
        </w:rPr>
        <w:t>provides that the na</w:t>
      </w:r>
      <w:r w:rsidR="00D55ED4">
        <w:rPr>
          <w:rStyle w:val="BookTitle"/>
          <w:rFonts w:ascii="Arial" w:hAnsi="Arial" w:cs="Arial"/>
          <w:i w:val="0"/>
          <w:iCs w:val="0"/>
          <w:smallCaps w:val="0"/>
          <w:spacing w:val="0"/>
          <w:szCs w:val="24"/>
        </w:rPr>
        <w:t>me of this Determination is the</w:t>
      </w:r>
      <w:r w:rsidR="00D55ED4" w:rsidRPr="00691AF5">
        <w:rPr>
          <w:rStyle w:val="BookTitle"/>
          <w:rFonts w:ascii="Arial" w:hAnsi="Arial" w:cs="Arial"/>
          <w:i w:val="0"/>
          <w:iCs w:val="0"/>
          <w:smallCaps w:val="0"/>
          <w:spacing w:val="0"/>
          <w:szCs w:val="24"/>
        </w:rPr>
        <w:t xml:space="preserve"> </w:t>
      </w:r>
      <w:r w:rsidR="00D55ED4" w:rsidRPr="00DC125D">
        <w:rPr>
          <w:rStyle w:val="BookTitle"/>
          <w:rFonts w:ascii="Arial" w:hAnsi="Arial" w:cs="Arial"/>
          <w:i w:val="0"/>
          <w:iCs w:val="0"/>
          <w:smallCaps w:val="0"/>
          <w:spacing w:val="0"/>
          <w:szCs w:val="24"/>
        </w:rPr>
        <w:t xml:space="preserve">Family Assistance </w:t>
      </w:r>
      <w:r w:rsidR="00FF478B" w:rsidRPr="00DC125D">
        <w:rPr>
          <w:rStyle w:val="BookTitle"/>
          <w:rFonts w:ascii="Arial" w:hAnsi="Arial" w:cs="Arial"/>
          <w:i w:val="0"/>
          <w:iCs w:val="0"/>
          <w:smallCaps w:val="0"/>
          <w:spacing w:val="0"/>
          <w:szCs w:val="24"/>
        </w:rPr>
        <w:t>(Studying Overseas Full-Time) Determination 202</w:t>
      </w:r>
      <w:r w:rsidR="00FF478B">
        <w:rPr>
          <w:rStyle w:val="BookTitle"/>
          <w:rFonts w:ascii="Arial" w:hAnsi="Arial" w:cs="Arial"/>
          <w:iCs w:val="0"/>
          <w:smallCaps w:val="0"/>
          <w:spacing w:val="0"/>
          <w:szCs w:val="24"/>
        </w:rPr>
        <w:t>1</w:t>
      </w:r>
      <w:r w:rsidR="00FF478B">
        <w:rPr>
          <w:rStyle w:val="BookTitle"/>
          <w:rFonts w:ascii="Arial" w:hAnsi="Arial" w:cs="Arial"/>
          <w:i w:val="0"/>
          <w:iCs w:val="0"/>
          <w:smallCaps w:val="0"/>
          <w:spacing w:val="0"/>
          <w:szCs w:val="24"/>
        </w:rPr>
        <w:t xml:space="preserve">. </w:t>
      </w:r>
    </w:p>
    <w:p w14:paraId="050562B3" w14:textId="77777777" w:rsidR="00A405F1" w:rsidRDefault="00A405F1" w:rsidP="00871F2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2 </w:t>
      </w:r>
      <w:r>
        <w:rPr>
          <w:rStyle w:val="BookTitle"/>
          <w:rFonts w:ascii="Arial" w:hAnsi="Arial" w:cs="Arial"/>
          <w:i w:val="0"/>
          <w:iCs w:val="0"/>
          <w:smallCaps w:val="0"/>
          <w:spacing w:val="0"/>
          <w:szCs w:val="24"/>
        </w:rPr>
        <w:t xml:space="preserve">provides that the Determination </w:t>
      </w:r>
      <w:proofErr w:type="gramStart"/>
      <w:r>
        <w:rPr>
          <w:rStyle w:val="BookTitle"/>
          <w:rFonts w:ascii="Arial" w:hAnsi="Arial" w:cs="Arial"/>
          <w:i w:val="0"/>
          <w:iCs w:val="0"/>
          <w:smallCaps w:val="0"/>
          <w:spacing w:val="0"/>
          <w:szCs w:val="24"/>
        </w:rPr>
        <w:t>commences</w:t>
      </w:r>
      <w:proofErr w:type="gramEnd"/>
      <w:r>
        <w:rPr>
          <w:rStyle w:val="BookTitle"/>
          <w:rFonts w:ascii="Arial" w:hAnsi="Arial" w:cs="Arial"/>
          <w:i w:val="0"/>
          <w:iCs w:val="0"/>
          <w:smallCaps w:val="0"/>
          <w:spacing w:val="0"/>
          <w:szCs w:val="24"/>
        </w:rPr>
        <w:t xml:space="preserve"> on the day after it is registered.</w:t>
      </w:r>
    </w:p>
    <w:p w14:paraId="3AA813D7" w14:textId="514C9DE7" w:rsidR="00A405F1" w:rsidRDefault="00A405F1" w:rsidP="00871F2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3 </w:t>
      </w:r>
      <w:r>
        <w:rPr>
          <w:rStyle w:val="BookTitle"/>
          <w:rFonts w:ascii="Arial" w:hAnsi="Arial" w:cs="Arial"/>
          <w:i w:val="0"/>
          <w:iCs w:val="0"/>
          <w:smallCaps w:val="0"/>
          <w:spacing w:val="0"/>
          <w:szCs w:val="24"/>
        </w:rPr>
        <w:t xml:space="preserve">sets out </w:t>
      </w:r>
      <w:r w:rsidR="00FF478B">
        <w:rPr>
          <w:rStyle w:val="BookTitle"/>
          <w:rFonts w:ascii="Arial" w:hAnsi="Arial" w:cs="Arial"/>
          <w:i w:val="0"/>
          <w:iCs w:val="0"/>
          <w:smallCaps w:val="0"/>
          <w:spacing w:val="0"/>
          <w:szCs w:val="24"/>
        </w:rPr>
        <w:t>that section 3C of the Act is the authority under which this</w:t>
      </w:r>
      <w:r>
        <w:rPr>
          <w:rStyle w:val="BookTitle"/>
          <w:rFonts w:ascii="Arial" w:hAnsi="Arial" w:cs="Arial"/>
          <w:i w:val="0"/>
          <w:iCs w:val="0"/>
          <w:smallCaps w:val="0"/>
          <w:spacing w:val="0"/>
          <w:szCs w:val="24"/>
        </w:rPr>
        <w:t xml:space="preserve"> </w:t>
      </w:r>
      <w:r w:rsidR="00FF478B">
        <w:rPr>
          <w:rStyle w:val="BookTitle"/>
          <w:rFonts w:ascii="Arial" w:hAnsi="Arial" w:cs="Arial"/>
          <w:i w:val="0"/>
          <w:iCs w:val="0"/>
          <w:smallCaps w:val="0"/>
          <w:spacing w:val="0"/>
          <w:szCs w:val="24"/>
        </w:rPr>
        <w:t xml:space="preserve">Determination </w:t>
      </w:r>
      <w:proofErr w:type="gramStart"/>
      <w:r w:rsidR="00FF478B">
        <w:rPr>
          <w:rStyle w:val="BookTitle"/>
          <w:rFonts w:ascii="Arial" w:hAnsi="Arial" w:cs="Arial"/>
          <w:i w:val="0"/>
          <w:iCs w:val="0"/>
          <w:smallCaps w:val="0"/>
          <w:spacing w:val="0"/>
          <w:szCs w:val="24"/>
        </w:rPr>
        <w:t xml:space="preserve">is </w:t>
      </w:r>
      <w:r>
        <w:rPr>
          <w:rStyle w:val="BookTitle"/>
          <w:rFonts w:ascii="Arial" w:hAnsi="Arial" w:cs="Arial"/>
          <w:i w:val="0"/>
          <w:iCs w:val="0"/>
          <w:smallCaps w:val="0"/>
          <w:spacing w:val="0"/>
          <w:szCs w:val="24"/>
        </w:rPr>
        <w:t>made</w:t>
      </w:r>
      <w:proofErr w:type="gramEnd"/>
      <w:r>
        <w:rPr>
          <w:rStyle w:val="BookTitle"/>
          <w:rFonts w:ascii="Arial" w:hAnsi="Arial" w:cs="Arial"/>
          <w:i w:val="0"/>
          <w:iCs w:val="0"/>
          <w:smallCaps w:val="0"/>
          <w:spacing w:val="0"/>
          <w:szCs w:val="24"/>
        </w:rPr>
        <w:t>.</w:t>
      </w:r>
    </w:p>
    <w:p w14:paraId="4BF1D796" w14:textId="654E69F3" w:rsidR="00DC125D" w:rsidRPr="00340378" w:rsidRDefault="00DC125D" w:rsidP="00DC125D">
      <w:pPr>
        <w:rPr>
          <w:rFonts w:ascii="Arial" w:hAnsi="Arial" w:cs="Arial"/>
          <w:color w:val="0070C0"/>
          <w:szCs w:val="24"/>
        </w:rPr>
      </w:pPr>
      <w:r>
        <w:rPr>
          <w:rFonts w:ascii="Arial" w:hAnsi="Arial" w:cs="Arial"/>
          <w:b/>
          <w:szCs w:val="24"/>
        </w:rPr>
        <w:t xml:space="preserve">Section 4 </w:t>
      </w:r>
      <w:r>
        <w:rPr>
          <w:rFonts w:ascii="Arial" w:hAnsi="Arial" w:cs="Arial"/>
          <w:szCs w:val="24"/>
        </w:rPr>
        <w:t xml:space="preserve">provides that any instrument specified in Schedule 1 </w:t>
      </w:r>
      <w:r w:rsidR="00254925">
        <w:rPr>
          <w:rFonts w:ascii="Arial" w:hAnsi="Arial" w:cs="Arial"/>
          <w:szCs w:val="24"/>
        </w:rPr>
        <w:t xml:space="preserve">to this Determination </w:t>
      </w:r>
      <w:proofErr w:type="gramStart"/>
      <w:r>
        <w:rPr>
          <w:rFonts w:ascii="Arial" w:hAnsi="Arial" w:cs="Arial"/>
          <w:szCs w:val="24"/>
        </w:rPr>
        <w:t>is amended or repealed according to Schedule 1’s terms</w:t>
      </w:r>
      <w:proofErr w:type="gramEnd"/>
      <w:r>
        <w:rPr>
          <w:rFonts w:ascii="Arial" w:hAnsi="Arial" w:cs="Arial"/>
          <w:szCs w:val="24"/>
        </w:rPr>
        <w:t xml:space="preserve">. In this instance, Schedule 1 repeals the </w:t>
      </w:r>
      <w:r w:rsidRPr="00DF0EBF">
        <w:rPr>
          <w:rStyle w:val="BookTitle"/>
          <w:rFonts w:ascii="Arial" w:hAnsi="Arial" w:cs="Arial"/>
          <w:i w:val="0"/>
          <w:iCs w:val="0"/>
          <w:smallCaps w:val="0"/>
          <w:spacing w:val="0"/>
          <w:szCs w:val="24"/>
        </w:rPr>
        <w:t>Family Tax Benefit (Studying Overseas Full-time) Determination 2011</w:t>
      </w:r>
      <w:r>
        <w:rPr>
          <w:rStyle w:val="BookTitle"/>
          <w:rFonts w:ascii="Arial" w:hAnsi="Arial" w:cs="Arial"/>
          <w:i w:val="0"/>
          <w:iCs w:val="0"/>
          <w:smallCaps w:val="0"/>
          <w:spacing w:val="0"/>
          <w:szCs w:val="24"/>
        </w:rPr>
        <w:t>.</w:t>
      </w:r>
    </w:p>
    <w:p w14:paraId="5D0DFC64" w14:textId="1B438F8C" w:rsidR="00A405F1" w:rsidRDefault="00DC125D" w:rsidP="00871F28">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5</w:t>
      </w:r>
      <w:r w:rsidR="00A405F1">
        <w:rPr>
          <w:rStyle w:val="BookTitle"/>
          <w:rFonts w:ascii="Arial" w:hAnsi="Arial" w:cs="Arial"/>
          <w:b/>
          <w:i w:val="0"/>
          <w:iCs w:val="0"/>
          <w:smallCaps w:val="0"/>
          <w:spacing w:val="0"/>
          <w:szCs w:val="24"/>
        </w:rPr>
        <w:t xml:space="preserve"> </w:t>
      </w:r>
      <w:r w:rsidR="00A405F1">
        <w:rPr>
          <w:rStyle w:val="BookTitle"/>
          <w:rFonts w:ascii="Arial" w:hAnsi="Arial" w:cs="Arial"/>
          <w:i w:val="0"/>
          <w:iCs w:val="0"/>
          <w:smallCaps w:val="0"/>
          <w:spacing w:val="0"/>
          <w:szCs w:val="24"/>
        </w:rPr>
        <w:t xml:space="preserve">contains definitions that </w:t>
      </w:r>
      <w:proofErr w:type="gramStart"/>
      <w:r w:rsidR="00A405F1">
        <w:rPr>
          <w:rStyle w:val="BookTitle"/>
          <w:rFonts w:ascii="Arial" w:hAnsi="Arial" w:cs="Arial"/>
          <w:i w:val="0"/>
          <w:iCs w:val="0"/>
          <w:smallCaps w:val="0"/>
          <w:spacing w:val="0"/>
          <w:szCs w:val="24"/>
        </w:rPr>
        <w:t xml:space="preserve">are </w:t>
      </w:r>
      <w:r w:rsidR="004D6D22">
        <w:rPr>
          <w:rStyle w:val="BookTitle"/>
          <w:rFonts w:ascii="Arial" w:hAnsi="Arial" w:cs="Arial"/>
          <w:i w:val="0"/>
          <w:iCs w:val="0"/>
          <w:smallCaps w:val="0"/>
          <w:spacing w:val="0"/>
          <w:szCs w:val="24"/>
        </w:rPr>
        <w:t>used</w:t>
      </w:r>
      <w:proofErr w:type="gramEnd"/>
      <w:r w:rsidR="004D6D22">
        <w:rPr>
          <w:rStyle w:val="BookTitle"/>
          <w:rFonts w:ascii="Arial" w:hAnsi="Arial" w:cs="Arial"/>
          <w:i w:val="0"/>
          <w:iCs w:val="0"/>
          <w:smallCaps w:val="0"/>
          <w:spacing w:val="0"/>
          <w:szCs w:val="24"/>
        </w:rPr>
        <w:t xml:space="preserve"> in</w:t>
      </w:r>
      <w:r w:rsidR="00A405F1">
        <w:rPr>
          <w:rStyle w:val="BookTitle"/>
          <w:rFonts w:ascii="Arial" w:hAnsi="Arial" w:cs="Arial"/>
          <w:i w:val="0"/>
          <w:iCs w:val="0"/>
          <w:smallCaps w:val="0"/>
          <w:spacing w:val="0"/>
          <w:szCs w:val="24"/>
        </w:rPr>
        <w:t xml:space="preserve"> the Determination.</w:t>
      </w:r>
      <w:r w:rsidR="009B573A">
        <w:rPr>
          <w:rStyle w:val="BookTitle"/>
          <w:rFonts w:ascii="Arial" w:hAnsi="Arial" w:cs="Arial"/>
          <w:i w:val="0"/>
          <w:iCs w:val="0"/>
          <w:smallCaps w:val="0"/>
          <w:spacing w:val="0"/>
          <w:szCs w:val="24"/>
        </w:rPr>
        <w:t xml:space="preserve"> </w:t>
      </w:r>
    </w:p>
    <w:p w14:paraId="2D98539C" w14:textId="32F0F18F" w:rsidR="009B573A" w:rsidRDefault="00DC125D"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Under subsection 5</w:t>
      </w:r>
      <w:r w:rsidR="00CF4484">
        <w:rPr>
          <w:rStyle w:val="BookTitle"/>
          <w:rFonts w:ascii="Arial" w:hAnsi="Arial" w:cs="Arial"/>
          <w:i w:val="0"/>
          <w:iCs w:val="0"/>
          <w:smallCaps w:val="0"/>
          <w:spacing w:val="0"/>
          <w:szCs w:val="24"/>
        </w:rPr>
        <w:t xml:space="preserve">(1), </w:t>
      </w:r>
      <w:r w:rsidR="009B573A">
        <w:rPr>
          <w:rStyle w:val="BookTitle"/>
          <w:rFonts w:ascii="Arial" w:hAnsi="Arial" w:cs="Arial"/>
          <w:i w:val="0"/>
          <w:iCs w:val="0"/>
          <w:smallCaps w:val="0"/>
          <w:spacing w:val="0"/>
          <w:szCs w:val="24"/>
        </w:rPr>
        <w:t xml:space="preserve">‘Act’ means the </w:t>
      </w:r>
      <w:r w:rsidR="009B573A">
        <w:rPr>
          <w:rStyle w:val="BookTitle"/>
          <w:rFonts w:ascii="Arial" w:hAnsi="Arial" w:cs="Arial"/>
          <w:iCs w:val="0"/>
          <w:smallCaps w:val="0"/>
          <w:spacing w:val="0"/>
          <w:szCs w:val="24"/>
        </w:rPr>
        <w:t>A New Tax System (Family Assistance) Act 1999</w:t>
      </w:r>
      <w:r w:rsidR="009B573A">
        <w:rPr>
          <w:rStyle w:val="BookTitle"/>
          <w:rFonts w:ascii="Arial" w:hAnsi="Arial" w:cs="Arial"/>
          <w:i w:val="0"/>
          <w:iCs w:val="0"/>
          <w:smallCaps w:val="0"/>
          <w:spacing w:val="0"/>
          <w:szCs w:val="24"/>
        </w:rPr>
        <w:t>.</w:t>
      </w:r>
    </w:p>
    <w:p w14:paraId="4346E38B" w14:textId="2744A43E" w:rsidR="00691AF5" w:rsidRDefault="00691AF5"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 xml:space="preserve">The other definitions </w:t>
      </w:r>
      <w:proofErr w:type="gramStart"/>
      <w:r>
        <w:rPr>
          <w:rStyle w:val="BookTitle"/>
          <w:rFonts w:ascii="Arial" w:hAnsi="Arial" w:cs="Arial"/>
          <w:i w:val="0"/>
          <w:iCs w:val="0"/>
          <w:smallCaps w:val="0"/>
          <w:spacing w:val="0"/>
          <w:szCs w:val="24"/>
        </w:rPr>
        <w:t>are explained</w:t>
      </w:r>
      <w:proofErr w:type="gramEnd"/>
      <w:r>
        <w:rPr>
          <w:rStyle w:val="BookTitle"/>
          <w:rFonts w:ascii="Arial" w:hAnsi="Arial" w:cs="Arial"/>
          <w:i w:val="0"/>
          <w:iCs w:val="0"/>
          <w:smallCaps w:val="0"/>
          <w:spacing w:val="0"/>
          <w:szCs w:val="24"/>
        </w:rPr>
        <w:t xml:space="preserve"> in the context of the provision that calls upon the definition.</w:t>
      </w:r>
    </w:p>
    <w:p w14:paraId="25EEF02F" w14:textId="469F8391" w:rsidR="00622B31" w:rsidRDefault="00871748" w:rsidP="00871F28">
      <w:pPr>
        <w:rPr>
          <w:rStyle w:val="BookTitle"/>
          <w:rFonts w:ascii="Arial" w:hAnsi="Arial" w:cs="Arial"/>
          <w:i w:val="0"/>
          <w:iCs w:val="0"/>
          <w:smallCaps w:val="0"/>
          <w:spacing w:val="0"/>
          <w:szCs w:val="24"/>
        </w:rPr>
      </w:pPr>
      <w:r w:rsidRPr="00CF4484">
        <w:rPr>
          <w:rStyle w:val="BookTitle"/>
          <w:rFonts w:ascii="Arial" w:hAnsi="Arial" w:cs="Arial"/>
          <w:b/>
          <w:i w:val="0"/>
          <w:iCs w:val="0"/>
          <w:smallCaps w:val="0"/>
          <w:spacing w:val="0"/>
          <w:szCs w:val="24"/>
        </w:rPr>
        <w:t>Section 6</w:t>
      </w:r>
      <w:r w:rsidR="00CF4484">
        <w:rPr>
          <w:rStyle w:val="BookTitle"/>
          <w:rFonts w:ascii="Arial" w:hAnsi="Arial" w:cs="Arial"/>
          <w:i w:val="0"/>
          <w:iCs w:val="0"/>
          <w:smallCaps w:val="0"/>
          <w:spacing w:val="0"/>
          <w:szCs w:val="24"/>
        </w:rPr>
        <w:t xml:space="preserve">, </w:t>
      </w:r>
      <w:r w:rsidR="003C2D84">
        <w:rPr>
          <w:rStyle w:val="BookTitle"/>
          <w:rFonts w:ascii="Arial" w:hAnsi="Arial" w:cs="Arial"/>
          <w:i w:val="0"/>
          <w:iCs w:val="0"/>
          <w:smallCaps w:val="0"/>
          <w:spacing w:val="0"/>
          <w:szCs w:val="24"/>
        </w:rPr>
        <w:t>pursuant to</w:t>
      </w:r>
      <w:r w:rsidR="00CF4484">
        <w:rPr>
          <w:rStyle w:val="BookTitle"/>
          <w:rFonts w:ascii="Arial" w:hAnsi="Arial" w:cs="Arial"/>
          <w:i w:val="0"/>
          <w:iCs w:val="0"/>
          <w:smallCaps w:val="0"/>
          <w:spacing w:val="0"/>
          <w:szCs w:val="24"/>
        </w:rPr>
        <w:t xml:space="preserve"> subsection</w:t>
      </w:r>
      <w:r w:rsidR="00622B31">
        <w:rPr>
          <w:rStyle w:val="BookTitle"/>
          <w:rFonts w:ascii="Arial" w:hAnsi="Arial" w:cs="Arial"/>
          <w:i w:val="0"/>
          <w:iCs w:val="0"/>
          <w:smallCaps w:val="0"/>
          <w:spacing w:val="0"/>
          <w:szCs w:val="24"/>
        </w:rPr>
        <w:t xml:space="preserve"> 5</w:t>
      </w:r>
      <w:r w:rsidR="00CF4484">
        <w:rPr>
          <w:rStyle w:val="BookTitle"/>
          <w:rFonts w:ascii="Arial" w:hAnsi="Arial" w:cs="Arial"/>
          <w:i w:val="0"/>
          <w:iCs w:val="0"/>
          <w:smallCaps w:val="0"/>
          <w:spacing w:val="0"/>
          <w:szCs w:val="24"/>
        </w:rPr>
        <w:t>(1),</w:t>
      </w:r>
      <w:r w:rsidR="00A405F1" w:rsidRPr="00CF4484">
        <w:rPr>
          <w:rStyle w:val="BookTitle"/>
          <w:rFonts w:ascii="Arial" w:hAnsi="Arial" w:cs="Arial"/>
          <w:i w:val="0"/>
          <w:iCs w:val="0"/>
          <w:smallCaps w:val="0"/>
          <w:spacing w:val="0"/>
          <w:szCs w:val="24"/>
        </w:rPr>
        <w:t xml:space="preserve"> </w:t>
      </w:r>
      <w:r w:rsidR="00BD13D5" w:rsidRPr="00CF4484">
        <w:rPr>
          <w:rStyle w:val="BookTitle"/>
          <w:rFonts w:ascii="Arial" w:hAnsi="Arial" w:cs="Arial"/>
          <w:i w:val="0"/>
          <w:iCs w:val="0"/>
          <w:smallCaps w:val="0"/>
          <w:spacing w:val="0"/>
          <w:szCs w:val="24"/>
        </w:rPr>
        <w:t>provides</w:t>
      </w:r>
      <w:r w:rsidR="009A3E64" w:rsidRPr="00CF4484">
        <w:rPr>
          <w:rStyle w:val="BookTitle"/>
          <w:rFonts w:ascii="Arial" w:hAnsi="Arial" w:cs="Arial"/>
          <w:i w:val="0"/>
          <w:iCs w:val="0"/>
          <w:smallCaps w:val="0"/>
          <w:spacing w:val="0"/>
          <w:szCs w:val="24"/>
        </w:rPr>
        <w:t xml:space="preserve"> the framework for ascertaining whether or not an individual is undertaking the ‘required amount of study’ in an approved foreign course of education or study, for the period in which the individual is enrolled in the course.</w:t>
      </w:r>
      <w:r w:rsidR="009A3E64">
        <w:rPr>
          <w:rStyle w:val="BookTitle"/>
          <w:rFonts w:ascii="Arial" w:hAnsi="Arial" w:cs="Arial"/>
          <w:i w:val="0"/>
          <w:iCs w:val="0"/>
          <w:smallCaps w:val="0"/>
          <w:spacing w:val="0"/>
          <w:szCs w:val="24"/>
        </w:rPr>
        <w:t xml:space="preserve"> </w:t>
      </w:r>
      <w:r w:rsidR="00633B6B">
        <w:rPr>
          <w:rStyle w:val="BookTitle"/>
          <w:rFonts w:ascii="Arial" w:hAnsi="Arial" w:cs="Arial"/>
          <w:i w:val="0"/>
          <w:iCs w:val="0"/>
          <w:smallCaps w:val="0"/>
          <w:spacing w:val="0"/>
          <w:szCs w:val="24"/>
        </w:rPr>
        <w:t xml:space="preserve">The ‘required amount of study’ </w:t>
      </w:r>
      <w:r w:rsidR="00633B6B">
        <w:rPr>
          <w:rFonts w:ascii="Arial" w:hAnsi="Arial" w:cs="Arial"/>
          <w:szCs w:val="24"/>
        </w:rPr>
        <w:t xml:space="preserve">is the specified amount of study that an individual must, as a minimum, undertake in order for them to retain their status as an FTB child. </w:t>
      </w:r>
      <w:r w:rsidR="00633B6B">
        <w:rPr>
          <w:rStyle w:val="BookTitle"/>
          <w:rFonts w:ascii="Arial" w:hAnsi="Arial" w:cs="Arial"/>
          <w:i w:val="0"/>
          <w:iCs w:val="0"/>
          <w:smallCaps w:val="0"/>
          <w:spacing w:val="0"/>
          <w:szCs w:val="24"/>
        </w:rPr>
        <w:t>Section 6 mirror</w:t>
      </w:r>
      <w:r w:rsidR="00254925">
        <w:rPr>
          <w:rStyle w:val="BookTitle"/>
          <w:rFonts w:ascii="Arial" w:hAnsi="Arial" w:cs="Arial"/>
          <w:i w:val="0"/>
          <w:iCs w:val="0"/>
          <w:smallCaps w:val="0"/>
          <w:spacing w:val="0"/>
          <w:szCs w:val="24"/>
        </w:rPr>
        <w:t>s</w:t>
      </w:r>
      <w:r w:rsidR="00633B6B">
        <w:rPr>
          <w:rStyle w:val="BookTitle"/>
          <w:rFonts w:ascii="Arial" w:hAnsi="Arial" w:cs="Arial"/>
          <w:i w:val="0"/>
          <w:iCs w:val="0"/>
          <w:smallCaps w:val="0"/>
          <w:spacing w:val="0"/>
          <w:szCs w:val="24"/>
        </w:rPr>
        <w:t xml:space="preserve"> the concept of ‘undertaking full-time study’ in section 541B of the </w:t>
      </w:r>
      <w:r w:rsidR="00633B6B">
        <w:rPr>
          <w:rStyle w:val="BookTitle"/>
          <w:rFonts w:ascii="Arial" w:hAnsi="Arial" w:cs="Arial"/>
          <w:iCs w:val="0"/>
          <w:smallCaps w:val="0"/>
          <w:spacing w:val="0"/>
          <w:szCs w:val="24"/>
        </w:rPr>
        <w:t>Social Security Act 1991</w:t>
      </w:r>
      <w:r w:rsidR="00633B6B">
        <w:rPr>
          <w:rStyle w:val="BookTitle"/>
          <w:rFonts w:ascii="Arial" w:hAnsi="Arial" w:cs="Arial"/>
          <w:i w:val="0"/>
          <w:iCs w:val="0"/>
          <w:smallCaps w:val="0"/>
          <w:spacing w:val="0"/>
          <w:szCs w:val="24"/>
        </w:rPr>
        <w:t>.</w:t>
      </w:r>
    </w:p>
    <w:p w14:paraId="3F57EF72" w14:textId="5CF842BC" w:rsidR="00633B6B" w:rsidRDefault="00622B31" w:rsidP="000547D7">
      <w:pPr>
        <w:pStyle w:val="ListParagraph"/>
        <w:numPr>
          <w:ilvl w:val="0"/>
          <w:numId w:val="28"/>
        </w:numPr>
        <w:rPr>
          <w:rStyle w:val="BookTitle"/>
          <w:rFonts w:ascii="Arial" w:hAnsi="Arial" w:cs="Arial"/>
          <w:i w:val="0"/>
          <w:iCs w:val="0"/>
          <w:smallCaps w:val="0"/>
          <w:spacing w:val="0"/>
          <w:szCs w:val="24"/>
        </w:rPr>
      </w:pPr>
      <w:r w:rsidRPr="00A066B1">
        <w:rPr>
          <w:rStyle w:val="BookTitle"/>
          <w:rFonts w:ascii="Arial" w:hAnsi="Arial" w:cs="Arial"/>
          <w:i w:val="0"/>
          <w:iCs w:val="0"/>
          <w:smallCaps w:val="0"/>
          <w:spacing w:val="0"/>
          <w:szCs w:val="24"/>
        </w:rPr>
        <w:t xml:space="preserve">Under subsections 5(1) and (2), an ‘approved foreign course of education or study’ means a course of education or study that is delivered by a foreign educational institution where the course is accredited under a law of a foreign country as a course of education or study for secondary or tertiary aged students. </w:t>
      </w:r>
      <w:r w:rsidR="00A57416">
        <w:rPr>
          <w:rStyle w:val="BookTitle"/>
          <w:rFonts w:ascii="Arial" w:hAnsi="Arial" w:cs="Arial"/>
          <w:i w:val="0"/>
          <w:iCs w:val="0"/>
          <w:smallCaps w:val="0"/>
          <w:spacing w:val="0"/>
          <w:szCs w:val="24"/>
        </w:rPr>
        <w:t xml:space="preserve">It must additionally be </w:t>
      </w:r>
      <w:r w:rsidR="00A066B1">
        <w:rPr>
          <w:rStyle w:val="BookTitle"/>
          <w:rFonts w:ascii="Arial" w:hAnsi="Arial" w:cs="Arial"/>
          <w:i w:val="0"/>
          <w:iCs w:val="0"/>
          <w:smallCaps w:val="0"/>
          <w:spacing w:val="0"/>
          <w:szCs w:val="24"/>
        </w:rPr>
        <w:t xml:space="preserve">a course that, upon completion, results in a level of education that is broadly equivalent to that resulting from a completion of a course determined by the Minister to be a secondary or tertiary course under subsection 5D(1) of the </w:t>
      </w:r>
      <w:r w:rsidR="00A066B1">
        <w:rPr>
          <w:rStyle w:val="BookTitle"/>
          <w:rFonts w:ascii="Arial" w:hAnsi="Arial" w:cs="Arial"/>
          <w:iCs w:val="0"/>
          <w:smallCaps w:val="0"/>
          <w:spacing w:val="0"/>
          <w:szCs w:val="24"/>
        </w:rPr>
        <w:t>Student Assistance Act 1973</w:t>
      </w:r>
      <w:r w:rsidR="00A066B1">
        <w:rPr>
          <w:rStyle w:val="BookTitle"/>
          <w:rFonts w:ascii="Arial" w:hAnsi="Arial" w:cs="Arial"/>
          <w:i w:val="0"/>
          <w:iCs w:val="0"/>
          <w:smallCaps w:val="0"/>
          <w:spacing w:val="0"/>
          <w:szCs w:val="24"/>
        </w:rPr>
        <w:t>. For the purposes of family tax benefit, this definition intends to achieve parity between the level of studies required of students studying in Australia and those studying overseas.</w:t>
      </w:r>
    </w:p>
    <w:p w14:paraId="3302A8BF" w14:textId="77777777" w:rsidR="000862DD" w:rsidRPr="00A066B1" w:rsidRDefault="000862DD" w:rsidP="000862DD">
      <w:pPr>
        <w:pStyle w:val="ListParagraph"/>
        <w:rPr>
          <w:rStyle w:val="BookTitle"/>
          <w:rFonts w:ascii="Arial" w:hAnsi="Arial" w:cs="Arial"/>
          <w:i w:val="0"/>
          <w:iCs w:val="0"/>
          <w:smallCaps w:val="0"/>
          <w:spacing w:val="0"/>
          <w:szCs w:val="24"/>
        </w:rPr>
      </w:pPr>
    </w:p>
    <w:p w14:paraId="03823E82" w14:textId="5DDE2635" w:rsidR="00633B6B" w:rsidRPr="00A066B1" w:rsidRDefault="00633B6B" w:rsidP="000547D7">
      <w:pPr>
        <w:pStyle w:val="ListParagraph"/>
        <w:numPr>
          <w:ilvl w:val="0"/>
          <w:numId w:val="28"/>
        </w:numPr>
        <w:rPr>
          <w:rStyle w:val="BookTitle"/>
          <w:rFonts w:ascii="Arial" w:hAnsi="Arial" w:cs="Arial"/>
          <w:i w:val="0"/>
          <w:iCs w:val="0"/>
          <w:smallCaps w:val="0"/>
          <w:spacing w:val="0"/>
          <w:szCs w:val="24"/>
        </w:rPr>
      </w:pPr>
      <w:r w:rsidRPr="00A066B1">
        <w:rPr>
          <w:rStyle w:val="BookTitle"/>
          <w:rFonts w:ascii="Arial" w:hAnsi="Arial" w:cs="Arial"/>
          <w:i w:val="0"/>
          <w:iCs w:val="0"/>
          <w:smallCaps w:val="0"/>
          <w:spacing w:val="0"/>
          <w:szCs w:val="24"/>
        </w:rPr>
        <w:t xml:space="preserve">Under subsection 5(1), ‘foreign educational institution’ means a bona fide educational institution established by a law of a foreign country, or registered as an educational institution by the relevant education recognition authority of the foreign country. As far as possible, this definition mirrors the definition of Australian educational institutions in the </w:t>
      </w:r>
      <w:r w:rsidRPr="00A066B1">
        <w:rPr>
          <w:rStyle w:val="BookTitle"/>
          <w:rFonts w:ascii="Arial" w:hAnsi="Arial" w:cs="Arial"/>
          <w:iCs w:val="0"/>
          <w:smallCaps w:val="0"/>
          <w:spacing w:val="0"/>
          <w:szCs w:val="24"/>
        </w:rPr>
        <w:t xml:space="preserve">Student Assistance </w:t>
      </w:r>
      <w:r w:rsidRPr="000547D7">
        <w:rPr>
          <w:rFonts w:ascii="Arial" w:hAnsi="Arial" w:cs="Arial"/>
          <w:i/>
          <w:szCs w:val="24"/>
        </w:rPr>
        <w:t>(Education Institutions and Courses) Determination 2019</w:t>
      </w:r>
      <w:r w:rsidRPr="000547D7">
        <w:rPr>
          <w:rFonts w:ascii="Arial" w:hAnsi="Arial" w:cs="Arial"/>
          <w:szCs w:val="24"/>
        </w:rPr>
        <w:t xml:space="preserve">. A foreign educational institution could satisfy the definition at subsection 5(1) regardless of whether it is located inside or outside Australia. </w:t>
      </w:r>
    </w:p>
    <w:p w14:paraId="494C6726" w14:textId="5F3F56DC" w:rsidR="009A3E64" w:rsidRDefault="009A3E64" w:rsidP="00BD13D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6(1)(a) </w:t>
      </w:r>
      <w:r w:rsidR="00F661E2">
        <w:rPr>
          <w:rStyle w:val="BookTitle"/>
          <w:rFonts w:ascii="Arial" w:hAnsi="Arial" w:cs="Arial"/>
          <w:i w:val="0"/>
          <w:iCs w:val="0"/>
          <w:smallCaps w:val="0"/>
          <w:spacing w:val="0"/>
          <w:szCs w:val="24"/>
        </w:rPr>
        <w:t xml:space="preserve">provides </w:t>
      </w:r>
      <w:r>
        <w:rPr>
          <w:rStyle w:val="BookTitle"/>
          <w:rFonts w:ascii="Arial" w:hAnsi="Arial" w:cs="Arial"/>
          <w:i w:val="0"/>
          <w:iCs w:val="0"/>
          <w:smallCaps w:val="0"/>
          <w:spacing w:val="0"/>
          <w:szCs w:val="24"/>
        </w:rPr>
        <w:t>that</w:t>
      </w:r>
      <w:r w:rsidR="00BD35FD">
        <w:rPr>
          <w:rStyle w:val="BookTitle"/>
          <w:rFonts w:ascii="Arial" w:hAnsi="Arial" w:cs="Arial"/>
          <w:i w:val="0"/>
          <w:iCs w:val="0"/>
          <w:smallCaps w:val="0"/>
          <w:spacing w:val="0"/>
          <w:szCs w:val="24"/>
        </w:rPr>
        <w:t>, where an individual is not covered by subsection (3) (allowing a reduced amount of study)</w:t>
      </w:r>
      <w:r>
        <w:rPr>
          <w:rStyle w:val="BookTitle"/>
          <w:rFonts w:ascii="Arial" w:hAnsi="Arial" w:cs="Arial"/>
          <w:i w:val="0"/>
          <w:iCs w:val="0"/>
          <w:smallCaps w:val="0"/>
          <w:spacing w:val="0"/>
          <w:szCs w:val="24"/>
        </w:rPr>
        <w:t xml:space="preserve"> </w:t>
      </w:r>
      <w:r w:rsidR="000F7475">
        <w:rPr>
          <w:rStyle w:val="BookTitle"/>
          <w:rFonts w:ascii="Arial" w:hAnsi="Arial" w:cs="Arial"/>
          <w:i w:val="0"/>
          <w:iCs w:val="0"/>
          <w:smallCaps w:val="0"/>
          <w:spacing w:val="0"/>
          <w:szCs w:val="24"/>
        </w:rPr>
        <w:t xml:space="preserve">in order for an individual to be undertaking the required amount of study, </w:t>
      </w:r>
      <w:r>
        <w:rPr>
          <w:rStyle w:val="BookTitle"/>
          <w:rFonts w:ascii="Arial" w:hAnsi="Arial" w:cs="Arial"/>
          <w:i w:val="0"/>
          <w:iCs w:val="0"/>
          <w:smallCaps w:val="0"/>
          <w:spacing w:val="0"/>
          <w:szCs w:val="24"/>
        </w:rPr>
        <w:t xml:space="preserve">the </w:t>
      </w:r>
      <w:r w:rsidR="00516267">
        <w:rPr>
          <w:rStyle w:val="BookTitle"/>
          <w:rFonts w:ascii="Arial" w:hAnsi="Arial" w:cs="Arial"/>
          <w:i w:val="0"/>
          <w:iCs w:val="0"/>
          <w:smallCaps w:val="0"/>
          <w:spacing w:val="0"/>
          <w:szCs w:val="24"/>
        </w:rPr>
        <w:t xml:space="preserve">individual </w:t>
      </w:r>
      <w:r>
        <w:rPr>
          <w:rStyle w:val="BookTitle"/>
          <w:rFonts w:ascii="Arial" w:hAnsi="Arial" w:cs="Arial"/>
          <w:i w:val="0"/>
          <w:iCs w:val="0"/>
          <w:smallCaps w:val="0"/>
          <w:spacing w:val="0"/>
          <w:szCs w:val="24"/>
        </w:rPr>
        <w:t xml:space="preserve">must be undertaking at least three-quarters of the defined amount of full-time study for the period in which they are enrolled in the course. </w:t>
      </w:r>
    </w:p>
    <w:p w14:paraId="6D57B1B6" w14:textId="43B9B322" w:rsidR="00C61996" w:rsidRDefault="004A694F" w:rsidP="000F7475">
      <w:pPr>
        <w:pStyle w:val="ListParagraph"/>
        <w:numPr>
          <w:ilvl w:val="0"/>
          <w:numId w:val="24"/>
        </w:numPr>
        <w:rPr>
          <w:rStyle w:val="BookTitle"/>
          <w:rFonts w:ascii="Arial" w:hAnsi="Arial" w:cs="Arial"/>
          <w:i w:val="0"/>
          <w:iCs w:val="0"/>
          <w:smallCaps w:val="0"/>
          <w:spacing w:val="0"/>
          <w:szCs w:val="24"/>
        </w:rPr>
      </w:pPr>
      <w:r w:rsidRPr="000F7475">
        <w:rPr>
          <w:rStyle w:val="BookTitle"/>
          <w:rFonts w:ascii="Arial" w:hAnsi="Arial" w:cs="Arial"/>
          <w:i w:val="0"/>
          <w:iCs w:val="0"/>
          <w:smallCaps w:val="0"/>
          <w:spacing w:val="0"/>
          <w:szCs w:val="24"/>
        </w:rPr>
        <w:t>Subsection 6(5) relevantly defines the ‘defi</w:t>
      </w:r>
      <w:r w:rsidR="001C1346" w:rsidRPr="000F7475">
        <w:rPr>
          <w:rStyle w:val="BookTitle"/>
          <w:rFonts w:ascii="Arial" w:hAnsi="Arial" w:cs="Arial"/>
          <w:i w:val="0"/>
          <w:iCs w:val="0"/>
          <w:smallCaps w:val="0"/>
          <w:spacing w:val="0"/>
          <w:szCs w:val="24"/>
        </w:rPr>
        <w:t xml:space="preserve">ned amount of full-time study’. </w:t>
      </w:r>
      <w:r w:rsidR="00765122">
        <w:rPr>
          <w:rStyle w:val="BookTitle"/>
          <w:rFonts w:ascii="Arial" w:hAnsi="Arial" w:cs="Arial"/>
          <w:i w:val="0"/>
          <w:iCs w:val="0"/>
          <w:smallCaps w:val="0"/>
          <w:spacing w:val="0"/>
          <w:szCs w:val="24"/>
        </w:rPr>
        <w:t>P</w:t>
      </w:r>
      <w:r w:rsidR="001C1346" w:rsidRPr="000F7475">
        <w:rPr>
          <w:rStyle w:val="BookTitle"/>
          <w:rFonts w:ascii="Arial" w:hAnsi="Arial" w:cs="Arial"/>
          <w:i w:val="0"/>
          <w:iCs w:val="0"/>
          <w:smallCaps w:val="0"/>
          <w:spacing w:val="0"/>
          <w:szCs w:val="24"/>
        </w:rPr>
        <w:t>aragraph 6(5</w:t>
      </w:r>
      <w:proofErr w:type="gramStart"/>
      <w:r w:rsidR="001C1346" w:rsidRPr="000F7475">
        <w:rPr>
          <w:rStyle w:val="BookTitle"/>
          <w:rFonts w:ascii="Arial" w:hAnsi="Arial" w:cs="Arial"/>
          <w:i w:val="0"/>
          <w:iCs w:val="0"/>
          <w:smallCaps w:val="0"/>
          <w:spacing w:val="0"/>
          <w:szCs w:val="24"/>
        </w:rPr>
        <w:t>)(</w:t>
      </w:r>
      <w:proofErr w:type="gramEnd"/>
      <w:r w:rsidR="001C1346" w:rsidRPr="000F7475">
        <w:rPr>
          <w:rStyle w:val="BookTitle"/>
          <w:rFonts w:ascii="Arial" w:hAnsi="Arial" w:cs="Arial"/>
          <w:i w:val="0"/>
          <w:iCs w:val="0"/>
          <w:smallCaps w:val="0"/>
          <w:spacing w:val="0"/>
          <w:szCs w:val="24"/>
        </w:rPr>
        <w:t xml:space="preserve">a) </w:t>
      </w:r>
      <w:r w:rsidR="00E74C4C" w:rsidRPr="000F7475">
        <w:rPr>
          <w:rStyle w:val="BookTitle"/>
          <w:rFonts w:ascii="Arial" w:hAnsi="Arial" w:cs="Arial"/>
          <w:i w:val="0"/>
          <w:iCs w:val="0"/>
          <w:smallCaps w:val="0"/>
          <w:spacing w:val="0"/>
          <w:szCs w:val="24"/>
        </w:rPr>
        <w:t>provide</w:t>
      </w:r>
      <w:r w:rsidR="00765122">
        <w:rPr>
          <w:rStyle w:val="BookTitle"/>
          <w:rFonts w:ascii="Arial" w:hAnsi="Arial" w:cs="Arial"/>
          <w:i w:val="0"/>
          <w:iCs w:val="0"/>
          <w:smallCaps w:val="0"/>
          <w:spacing w:val="0"/>
          <w:szCs w:val="24"/>
        </w:rPr>
        <w:t>s</w:t>
      </w:r>
      <w:r w:rsidR="00E74C4C" w:rsidRPr="000F7475">
        <w:rPr>
          <w:rStyle w:val="BookTitle"/>
          <w:rFonts w:ascii="Arial" w:hAnsi="Arial" w:cs="Arial"/>
          <w:i w:val="0"/>
          <w:iCs w:val="0"/>
          <w:smallCaps w:val="0"/>
          <w:spacing w:val="0"/>
          <w:szCs w:val="24"/>
        </w:rPr>
        <w:t xml:space="preserve"> </w:t>
      </w:r>
      <w:r w:rsidR="00765122">
        <w:rPr>
          <w:rStyle w:val="BookTitle"/>
          <w:rFonts w:ascii="Arial" w:hAnsi="Arial" w:cs="Arial"/>
          <w:i w:val="0"/>
          <w:iCs w:val="0"/>
          <w:smallCaps w:val="0"/>
          <w:spacing w:val="0"/>
          <w:szCs w:val="24"/>
        </w:rPr>
        <w:t>that w</w:t>
      </w:r>
      <w:r w:rsidR="001C1346" w:rsidRPr="000F7475">
        <w:rPr>
          <w:rStyle w:val="BookTitle"/>
          <w:rFonts w:ascii="Arial" w:hAnsi="Arial" w:cs="Arial"/>
          <w:i w:val="0"/>
          <w:iCs w:val="0"/>
          <w:smallCaps w:val="0"/>
          <w:spacing w:val="0"/>
          <w:szCs w:val="24"/>
        </w:rPr>
        <w:t>here an individ</w:t>
      </w:r>
      <w:r w:rsidR="00E74C4C" w:rsidRPr="000F7475">
        <w:rPr>
          <w:rStyle w:val="BookTitle"/>
          <w:rFonts w:ascii="Arial" w:hAnsi="Arial" w:cs="Arial"/>
          <w:i w:val="0"/>
          <w:iCs w:val="0"/>
          <w:smallCaps w:val="0"/>
          <w:spacing w:val="0"/>
          <w:szCs w:val="24"/>
        </w:rPr>
        <w:t>ual’s circumstances warrant, the Secretary can</w:t>
      </w:r>
      <w:r w:rsidR="001C1346" w:rsidRPr="000F7475">
        <w:rPr>
          <w:rStyle w:val="BookTitle"/>
          <w:rFonts w:ascii="Arial" w:hAnsi="Arial" w:cs="Arial"/>
          <w:i w:val="0"/>
          <w:iCs w:val="0"/>
          <w:smallCaps w:val="0"/>
          <w:spacing w:val="0"/>
          <w:szCs w:val="24"/>
        </w:rPr>
        <w:t xml:space="preserve"> determine a number o</w:t>
      </w:r>
      <w:r w:rsidR="00E74C4C" w:rsidRPr="000F7475">
        <w:rPr>
          <w:rStyle w:val="BookTitle"/>
          <w:rFonts w:ascii="Arial" w:hAnsi="Arial" w:cs="Arial"/>
          <w:i w:val="0"/>
          <w:iCs w:val="0"/>
          <w:smallCaps w:val="0"/>
          <w:spacing w:val="0"/>
          <w:szCs w:val="24"/>
        </w:rPr>
        <w:t>f hours of study per week for that</w:t>
      </w:r>
      <w:r w:rsidR="00C61996" w:rsidRPr="000F7475">
        <w:rPr>
          <w:rStyle w:val="BookTitle"/>
          <w:rFonts w:ascii="Arial" w:hAnsi="Arial" w:cs="Arial"/>
          <w:i w:val="0"/>
          <w:iCs w:val="0"/>
          <w:smallCaps w:val="0"/>
          <w:spacing w:val="0"/>
          <w:szCs w:val="24"/>
        </w:rPr>
        <w:t xml:space="preserve"> individual. This will be done in accordance with the methodology set out in subsection </w:t>
      </w:r>
      <w:proofErr w:type="gramStart"/>
      <w:r w:rsidR="00C61996" w:rsidRPr="000F7475">
        <w:rPr>
          <w:rStyle w:val="BookTitle"/>
          <w:rFonts w:ascii="Arial" w:hAnsi="Arial" w:cs="Arial"/>
          <w:i w:val="0"/>
          <w:iCs w:val="0"/>
          <w:smallCaps w:val="0"/>
          <w:spacing w:val="0"/>
          <w:szCs w:val="24"/>
        </w:rPr>
        <w:t>22B(</w:t>
      </w:r>
      <w:proofErr w:type="gramEnd"/>
      <w:r w:rsidR="00C61996" w:rsidRPr="000F7475">
        <w:rPr>
          <w:rStyle w:val="BookTitle"/>
          <w:rFonts w:ascii="Arial" w:hAnsi="Arial" w:cs="Arial"/>
          <w:i w:val="0"/>
          <w:iCs w:val="0"/>
          <w:smallCaps w:val="0"/>
          <w:spacing w:val="0"/>
          <w:szCs w:val="24"/>
        </w:rPr>
        <w:t xml:space="preserve">2A) of the Act. </w:t>
      </w:r>
    </w:p>
    <w:p w14:paraId="380843B6" w14:textId="77777777" w:rsidR="000F7475" w:rsidRPr="000F7475" w:rsidRDefault="000F7475" w:rsidP="000F7475">
      <w:pPr>
        <w:pStyle w:val="ListParagraph"/>
        <w:rPr>
          <w:rStyle w:val="BookTitle"/>
          <w:rFonts w:ascii="Arial" w:hAnsi="Arial" w:cs="Arial"/>
          <w:i w:val="0"/>
          <w:iCs w:val="0"/>
          <w:smallCaps w:val="0"/>
          <w:spacing w:val="0"/>
          <w:szCs w:val="24"/>
        </w:rPr>
      </w:pPr>
    </w:p>
    <w:p w14:paraId="5E746DA2" w14:textId="3B516A9C" w:rsidR="000D0E98" w:rsidRPr="000F7475" w:rsidRDefault="001C1346" w:rsidP="000F7475">
      <w:pPr>
        <w:pStyle w:val="ListParagraph"/>
        <w:numPr>
          <w:ilvl w:val="0"/>
          <w:numId w:val="24"/>
        </w:numPr>
        <w:rPr>
          <w:rStyle w:val="BookTitle"/>
          <w:rFonts w:ascii="Arial" w:hAnsi="Arial" w:cs="Arial"/>
          <w:i w:val="0"/>
          <w:iCs w:val="0"/>
          <w:smallCaps w:val="0"/>
          <w:spacing w:val="0"/>
          <w:szCs w:val="24"/>
        </w:rPr>
      </w:pPr>
      <w:proofErr w:type="gramStart"/>
      <w:r w:rsidRPr="000F7475">
        <w:rPr>
          <w:rStyle w:val="BookTitle"/>
          <w:rFonts w:ascii="Arial" w:hAnsi="Arial" w:cs="Arial"/>
          <w:i w:val="0"/>
          <w:iCs w:val="0"/>
          <w:smallCaps w:val="0"/>
          <w:spacing w:val="0"/>
          <w:szCs w:val="24"/>
        </w:rPr>
        <w:t xml:space="preserve">Otherwise, paragraph 6(5)(b) </w:t>
      </w:r>
      <w:r w:rsidR="00765122">
        <w:rPr>
          <w:rStyle w:val="BookTitle"/>
          <w:rFonts w:ascii="Arial" w:hAnsi="Arial" w:cs="Arial"/>
          <w:i w:val="0"/>
          <w:iCs w:val="0"/>
          <w:smallCaps w:val="0"/>
          <w:spacing w:val="0"/>
          <w:szCs w:val="24"/>
        </w:rPr>
        <w:t xml:space="preserve">provides the </w:t>
      </w:r>
      <w:r w:rsidRPr="000F7475">
        <w:rPr>
          <w:rStyle w:val="BookTitle"/>
          <w:rFonts w:ascii="Arial" w:hAnsi="Arial" w:cs="Arial"/>
          <w:i w:val="0"/>
          <w:iCs w:val="0"/>
          <w:smallCaps w:val="0"/>
          <w:spacing w:val="0"/>
          <w:szCs w:val="24"/>
        </w:rPr>
        <w:t>defined amount of full-time study is consistent with</w:t>
      </w:r>
      <w:r w:rsidR="00C61996" w:rsidRPr="000F7475">
        <w:rPr>
          <w:rStyle w:val="BookTitle"/>
          <w:rFonts w:ascii="Arial" w:hAnsi="Arial" w:cs="Arial"/>
          <w:i w:val="0"/>
          <w:iCs w:val="0"/>
          <w:smallCaps w:val="0"/>
          <w:spacing w:val="0"/>
          <w:szCs w:val="24"/>
        </w:rPr>
        <w:t xml:space="preserve"> the foreign educational institution’s </w:t>
      </w:r>
      <w:r w:rsidR="00765122">
        <w:rPr>
          <w:rStyle w:val="BookTitle"/>
          <w:rFonts w:ascii="Arial" w:hAnsi="Arial" w:cs="Arial"/>
          <w:i w:val="0"/>
          <w:iCs w:val="0"/>
          <w:smallCaps w:val="0"/>
          <w:spacing w:val="0"/>
          <w:szCs w:val="24"/>
        </w:rPr>
        <w:t>typical requirements</w:t>
      </w:r>
      <w:r w:rsidR="00765122" w:rsidRPr="000F7475">
        <w:rPr>
          <w:rStyle w:val="BookTitle"/>
          <w:rFonts w:ascii="Arial" w:hAnsi="Arial" w:cs="Arial"/>
          <w:i w:val="0"/>
          <w:iCs w:val="0"/>
          <w:smallCaps w:val="0"/>
          <w:spacing w:val="0"/>
          <w:szCs w:val="24"/>
        </w:rPr>
        <w:t xml:space="preserve"> </w:t>
      </w:r>
      <w:r w:rsidR="00C61996" w:rsidRPr="000F7475">
        <w:rPr>
          <w:rStyle w:val="BookTitle"/>
          <w:rFonts w:ascii="Arial" w:hAnsi="Arial" w:cs="Arial"/>
          <w:i w:val="0"/>
          <w:iCs w:val="0"/>
          <w:smallCaps w:val="0"/>
          <w:spacing w:val="0"/>
          <w:szCs w:val="24"/>
        </w:rPr>
        <w:t>(subparagraph 6(5)(b)(</w:t>
      </w:r>
      <w:proofErr w:type="spellStart"/>
      <w:r w:rsidR="00C61996" w:rsidRPr="000F7475">
        <w:rPr>
          <w:rStyle w:val="BookTitle"/>
          <w:rFonts w:ascii="Arial" w:hAnsi="Arial" w:cs="Arial"/>
          <w:i w:val="0"/>
          <w:iCs w:val="0"/>
          <w:smallCaps w:val="0"/>
          <w:spacing w:val="0"/>
          <w:szCs w:val="24"/>
        </w:rPr>
        <w:t>i</w:t>
      </w:r>
      <w:proofErr w:type="spellEnd"/>
      <w:r w:rsidR="00C61996" w:rsidRPr="000F7475">
        <w:rPr>
          <w:rStyle w:val="BookTitle"/>
          <w:rFonts w:ascii="Arial" w:hAnsi="Arial" w:cs="Arial"/>
          <w:i w:val="0"/>
          <w:iCs w:val="0"/>
          <w:smallCaps w:val="0"/>
          <w:spacing w:val="0"/>
          <w:szCs w:val="24"/>
        </w:rPr>
        <w:t xml:space="preserve">)), or </w:t>
      </w:r>
      <w:r w:rsidR="00765122">
        <w:rPr>
          <w:rStyle w:val="BookTitle"/>
          <w:rFonts w:ascii="Arial" w:hAnsi="Arial" w:cs="Arial"/>
          <w:i w:val="0"/>
          <w:iCs w:val="0"/>
          <w:smallCaps w:val="0"/>
          <w:spacing w:val="0"/>
          <w:szCs w:val="24"/>
        </w:rPr>
        <w:t xml:space="preserve">an amount equivalent to the average amount of full-time study that an individual would have to undertake for the duration of the course in order </w:t>
      </w:r>
      <w:r w:rsidR="00C61996" w:rsidRPr="000F7475">
        <w:rPr>
          <w:rStyle w:val="BookTitle"/>
          <w:rFonts w:ascii="Arial" w:hAnsi="Arial" w:cs="Arial"/>
          <w:i w:val="0"/>
          <w:iCs w:val="0"/>
          <w:smallCaps w:val="0"/>
          <w:spacing w:val="0"/>
          <w:szCs w:val="24"/>
        </w:rPr>
        <w:t>to complete the course efficiently in the minimum amount of time required (subparagraph 6(5)(b)(ii)).</w:t>
      </w:r>
      <w:proofErr w:type="gramEnd"/>
      <w:r w:rsidR="00C61996" w:rsidRPr="000F7475">
        <w:rPr>
          <w:rStyle w:val="BookTitle"/>
          <w:rFonts w:ascii="Arial" w:hAnsi="Arial" w:cs="Arial"/>
          <w:i w:val="0"/>
          <w:iCs w:val="0"/>
          <w:smallCaps w:val="0"/>
          <w:spacing w:val="0"/>
          <w:szCs w:val="24"/>
        </w:rPr>
        <w:t xml:space="preserve"> Paragraph 6(5</w:t>
      </w:r>
      <w:proofErr w:type="gramStart"/>
      <w:r w:rsidR="00C61996" w:rsidRPr="000F7475">
        <w:rPr>
          <w:rStyle w:val="BookTitle"/>
          <w:rFonts w:ascii="Arial" w:hAnsi="Arial" w:cs="Arial"/>
          <w:i w:val="0"/>
          <w:iCs w:val="0"/>
          <w:smallCaps w:val="0"/>
          <w:spacing w:val="0"/>
          <w:szCs w:val="24"/>
        </w:rPr>
        <w:t>)(</w:t>
      </w:r>
      <w:proofErr w:type="gramEnd"/>
      <w:r w:rsidR="00C61996" w:rsidRPr="000F7475">
        <w:rPr>
          <w:rStyle w:val="BookTitle"/>
          <w:rFonts w:ascii="Arial" w:hAnsi="Arial" w:cs="Arial"/>
          <w:i w:val="0"/>
          <w:iCs w:val="0"/>
          <w:smallCaps w:val="0"/>
          <w:spacing w:val="0"/>
          <w:szCs w:val="24"/>
        </w:rPr>
        <w:t xml:space="preserve">b) </w:t>
      </w:r>
      <w:r w:rsidRPr="000F7475">
        <w:rPr>
          <w:rStyle w:val="BookTitle"/>
          <w:rFonts w:ascii="Arial" w:hAnsi="Arial" w:cs="Arial"/>
          <w:i w:val="0"/>
          <w:iCs w:val="0"/>
          <w:smallCaps w:val="0"/>
          <w:spacing w:val="0"/>
          <w:szCs w:val="24"/>
        </w:rPr>
        <w:t xml:space="preserve">aims to mirror, </w:t>
      </w:r>
      <w:r w:rsidRPr="000F7475">
        <w:rPr>
          <w:rStyle w:val="BookTitle"/>
          <w:rFonts w:ascii="Arial" w:hAnsi="Arial" w:cs="Arial"/>
          <w:i w:val="0"/>
          <w:iCs w:val="0"/>
          <w:smallCaps w:val="0"/>
          <w:spacing w:val="0"/>
          <w:szCs w:val="24"/>
        </w:rPr>
        <w:lastRenderedPageBreak/>
        <w:t>as much as possible, paragraphs 541</w:t>
      </w:r>
      <w:r w:rsidR="00765122">
        <w:rPr>
          <w:rStyle w:val="BookTitle"/>
          <w:rFonts w:ascii="Arial" w:hAnsi="Arial" w:cs="Arial"/>
          <w:i w:val="0"/>
          <w:iCs w:val="0"/>
          <w:smallCaps w:val="0"/>
          <w:spacing w:val="0"/>
          <w:szCs w:val="24"/>
        </w:rPr>
        <w:t>B</w:t>
      </w:r>
      <w:r w:rsidRPr="000F7475">
        <w:rPr>
          <w:rStyle w:val="BookTitle"/>
          <w:rFonts w:ascii="Arial" w:hAnsi="Arial" w:cs="Arial"/>
          <w:i w:val="0"/>
          <w:iCs w:val="0"/>
          <w:smallCaps w:val="0"/>
          <w:spacing w:val="0"/>
          <w:szCs w:val="24"/>
        </w:rPr>
        <w:t>(2)(b) and (c)</w:t>
      </w:r>
      <w:r w:rsidR="00884603" w:rsidRPr="000F7475">
        <w:rPr>
          <w:rStyle w:val="BookTitle"/>
          <w:rFonts w:ascii="Arial" w:hAnsi="Arial" w:cs="Arial"/>
          <w:i w:val="0"/>
          <w:iCs w:val="0"/>
          <w:smallCaps w:val="0"/>
          <w:spacing w:val="0"/>
          <w:szCs w:val="24"/>
        </w:rPr>
        <w:t xml:space="preserve"> of the </w:t>
      </w:r>
      <w:r w:rsidR="00884603" w:rsidRPr="000F7475">
        <w:rPr>
          <w:rStyle w:val="BookTitle"/>
          <w:rFonts w:ascii="Arial" w:hAnsi="Arial" w:cs="Arial"/>
          <w:iCs w:val="0"/>
          <w:smallCaps w:val="0"/>
          <w:spacing w:val="0"/>
          <w:szCs w:val="24"/>
        </w:rPr>
        <w:t>Social Security Act 1991</w:t>
      </w:r>
      <w:r w:rsidR="00884603" w:rsidRPr="000F7475">
        <w:rPr>
          <w:rStyle w:val="BookTitle"/>
          <w:rFonts w:ascii="Arial" w:hAnsi="Arial" w:cs="Arial"/>
          <w:i w:val="0"/>
          <w:iCs w:val="0"/>
          <w:smallCaps w:val="0"/>
          <w:spacing w:val="0"/>
          <w:szCs w:val="24"/>
        </w:rPr>
        <w:t xml:space="preserve">. </w:t>
      </w:r>
    </w:p>
    <w:p w14:paraId="597C3913" w14:textId="63C37C35" w:rsidR="00BD13D5" w:rsidRDefault="009A3E64" w:rsidP="00BD13D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 6(1</w:t>
      </w:r>
      <w:proofErr w:type="gramStart"/>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 xml:space="preserve">b) </w:t>
      </w:r>
      <w:r w:rsidR="004A694F">
        <w:rPr>
          <w:rStyle w:val="BookTitle"/>
          <w:rFonts w:ascii="Arial" w:hAnsi="Arial" w:cs="Arial"/>
          <w:i w:val="0"/>
          <w:iCs w:val="0"/>
          <w:smallCaps w:val="0"/>
          <w:spacing w:val="0"/>
          <w:szCs w:val="24"/>
        </w:rPr>
        <w:t>permits a reducti</w:t>
      </w:r>
      <w:r w:rsidR="00F71D6F">
        <w:rPr>
          <w:rStyle w:val="BookTitle"/>
          <w:rFonts w:ascii="Arial" w:hAnsi="Arial" w:cs="Arial"/>
          <w:i w:val="0"/>
          <w:iCs w:val="0"/>
          <w:smallCaps w:val="0"/>
          <w:spacing w:val="0"/>
          <w:szCs w:val="24"/>
        </w:rPr>
        <w:t xml:space="preserve">on from three-quarters to two-thirds of the defined amount of full-time study if subsection 6(3) applies. </w:t>
      </w:r>
    </w:p>
    <w:p w14:paraId="1C99523C" w14:textId="3D73C487" w:rsidR="00F71D6F" w:rsidRDefault="00F71D6F" w:rsidP="000F7475">
      <w:pPr>
        <w:pStyle w:val="ListParagraph"/>
        <w:numPr>
          <w:ilvl w:val="0"/>
          <w:numId w:val="25"/>
        </w:numPr>
        <w:rPr>
          <w:rStyle w:val="BookTitle"/>
          <w:rFonts w:ascii="Arial" w:hAnsi="Arial" w:cs="Arial"/>
          <w:i w:val="0"/>
          <w:iCs w:val="0"/>
          <w:smallCaps w:val="0"/>
          <w:spacing w:val="0"/>
          <w:szCs w:val="24"/>
        </w:rPr>
      </w:pPr>
      <w:r w:rsidRPr="000F7475">
        <w:rPr>
          <w:rStyle w:val="BookTitle"/>
          <w:rFonts w:ascii="Arial" w:hAnsi="Arial" w:cs="Arial"/>
          <w:i w:val="0"/>
          <w:iCs w:val="0"/>
          <w:smallCaps w:val="0"/>
          <w:spacing w:val="0"/>
          <w:szCs w:val="24"/>
        </w:rPr>
        <w:t xml:space="preserve">Subsection 6(3) provides three circumstances </w:t>
      </w:r>
      <w:r w:rsidR="00765122">
        <w:rPr>
          <w:rStyle w:val="BookTitle"/>
          <w:rFonts w:ascii="Arial" w:hAnsi="Arial" w:cs="Arial"/>
          <w:i w:val="0"/>
          <w:iCs w:val="0"/>
          <w:smallCaps w:val="0"/>
          <w:spacing w:val="0"/>
          <w:szCs w:val="24"/>
        </w:rPr>
        <w:t>when</w:t>
      </w:r>
      <w:r w:rsidR="00765122" w:rsidRPr="000F7475">
        <w:rPr>
          <w:rStyle w:val="BookTitle"/>
          <w:rFonts w:ascii="Arial" w:hAnsi="Arial" w:cs="Arial"/>
          <w:i w:val="0"/>
          <w:iCs w:val="0"/>
          <w:smallCaps w:val="0"/>
          <w:spacing w:val="0"/>
          <w:szCs w:val="24"/>
        </w:rPr>
        <w:t xml:space="preserve"> </w:t>
      </w:r>
      <w:r w:rsidRPr="000F7475">
        <w:rPr>
          <w:rStyle w:val="BookTitle"/>
          <w:rFonts w:ascii="Arial" w:hAnsi="Arial" w:cs="Arial"/>
          <w:i w:val="0"/>
          <w:iCs w:val="0"/>
          <w:smallCaps w:val="0"/>
          <w:spacing w:val="0"/>
          <w:szCs w:val="24"/>
        </w:rPr>
        <w:t>the permitted reduction in paragraph 6(1</w:t>
      </w:r>
      <w:proofErr w:type="gramStart"/>
      <w:r w:rsidRPr="000F7475">
        <w:rPr>
          <w:rStyle w:val="BookTitle"/>
          <w:rFonts w:ascii="Arial" w:hAnsi="Arial" w:cs="Arial"/>
          <w:i w:val="0"/>
          <w:iCs w:val="0"/>
          <w:smallCaps w:val="0"/>
          <w:spacing w:val="0"/>
          <w:szCs w:val="24"/>
        </w:rPr>
        <w:t>)(</w:t>
      </w:r>
      <w:proofErr w:type="gramEnd"/>
      <w:r w:rsidRPr="000F7475">
        <w:rPr>
          <w:rStyle w:val="BookTitle"/>
          <w:rFonts w:ascii="Arial" w:hAnsi="Arial" w:cs="Arial"/>
          <w:i w:val="0"/>
          <w:iCs w:val="0"/>
          <w:smallCaps w:val="0"/>
          <w:spacing w:val="0"/>
          <w:szCs w:val="24"/>
        </w:rPr>
        <w:t>b)</w:t>
      </w:r>
      <w:r w:rsidR="00765122">
        <w:rPr>
          <w:rStyle w:val="BookTitle"/>
          <w:rFonts w:ascii="Arial" w:hAnsi="Arial" w:cs="Arial"/>
          <w:i w:val="0"/>
          <w:iCs w:val="0"/>
          <w:smallCaps w:val="0"/>
          <w:spacing w:val="0"/>
          <w:szCs w:val="24"/>
        </w:rPr>
        <w:t xml:space="preserve"> may occur</w:t>
      </w:r>
      <w:r w:rsidRPr="000F7475">
        <w:rPr>
          <w:rStyle w:val="BookTitle"/>
          <w:rFonts w:ascii="Arial" w:hAnsi="Arial" w:cs="Arial"/>
          <w:i w:val="0"/>
          <w:iCs w:val="0"/>
          <w:smallCaps w:val="0"/>
          <w:spacing w:val="0"/>
          <w:szCs w:val="24"/>
        </w:rPr>
        <w:t xml:space="preserve">. The three circumstances are as follows: </w:t>
      </w:r>
    </w:p>
    <w:p w14:paraId="4552AEEB" w14:textId="77777777" w:rsidR="000F7475" w:rsidRPr="000F7475" w:rsidRDefault="000F7475" w:rsidP="000F7475">
      <w:pPr>
        <w:pStyle w:val="ListParagraph"/>
        <w:rPr>
          <w:rStyle w:val="BookTitle"/>
          <w:rFonts w:ascii="Arial" w:hAnsi="Arial" w:cs="Arial"/>
          <w:i w:val="0"/>
          <w:iCs w:val="0"/>
          <w:smallCaps w:val="0"/>
          <w:spacing w:val="0"/>
          <w:szCs w:val="24"/>
        </w:rPr>
      </w:pPr>
    </w:p>
    <w:p w14:paraId="27E53026" w14:textId="2B969882" w:rsidR="00F71D6F" w:rsidRDefault="00F71D6F" w:rsidP="000F7475">
      <w:pPr>
        <w:pStyle w:val="ListParagraph"/>
        <w:numPr>
          <w:ilvl w:val="0"/>
          <w:numId w:val="26"/>
        </w:numPr>
        <w:ind w:left="1080"/>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 6(3</w:t>
      </w:r>
      <w:proofErr w:type="gramStart"/>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 xml:space="preserve">a): </w:t>
      </w:r>
      <w:r w:rsidRPr="00F71D6F">
        <w:rPr>
          <w:rStyle w:val="BookTitle"/>
          <w:rFonts w:ascii="Arial" w:hAnsi="Arial" w:cs="Arial"/>
          <w:i w:val="0"/>
          <w:iCs w:val="0"/>
          <w:smallCaps w:val="0"/>
          <w:spacing w:val="0"/>
          <w:szCs w:val="24"/>
        </w:rPr>
        <w:t xml:space="preserve">the usual requirements of the foreign educational institution prevent the </w:t>
      </w:r>
      <w:r w:rsidR="00516267">
        <w:rPr>
          <w:rStyle w:val="BookTitle"/>
          <w:rFonts w:ascii="Arial" w:hAnsi="Arial" w:cs="Arial"/>
          <w:i w:val="0"/>
          <w:iCs w:val="0"/>
          <w:smallCaps w:val="0"/>
          <w:spacing w:val="0"/>
          <w:szCs w:val="24"/>
        </w:rPr>
        <w:t>individual</w:t>
      </w:r>
      <w:r w:rsidRPr="00F71D6F">
        <w:rPr>
          <w:rStyle w:val="BookTitle"/>
          <w:rFonts w:ascii="Arial" w:hAnsi="Arial" w:cs="Arial"/>
          <w:i w:val="0"/>
          <w:iCs w:val="0"/>
          <w:smallCaps w:val="0"/>
          <w:spacing w:val="0"/>
          <w:szCs w:val="24"/>
        </w:rPr>
        <w:t xml:space="preserve"> from undertaking at least three-quarters of the defined amount of full-time </w:t>
      </w:r>
      <w:r>
        <w:rPr>
          <w:rStyle w:val="BookTitle"/>
          <w:rFonts w:ascii="Arial" w:hAnsi="Arial" w:cs="Arial"/>
          <w:i w:val="0"/>
          <w:iCs w:val="0"/>
          <w:smallCaps w:val="0"/>
          <w:spacing w:val="0"/>
          <w:szCs w:val="24"/>
        </w:rPr>
        <w:t>study</w:t>
      </w:r>
      <w:r w:rsidR="00961A0D">
        <w:rPr>
          <w:rStyle w:val="BookTitle"/>
          <w:rFonts w:ascii="Arial" w:hAnsi="Arial" w:cs="Arial"/>
          <w:i w:val="0"/>
          <w:iCs w:val="0"/>
          <w:smallCaps w:val="0"/>
          <w:spacing w:val="0"/>
          <w:szCs w:val="24"/>
        </w:rPr>
        <w:t xml:space="preserve">. For example, </w:t>
      </w:r>
      <w:r w:rsidR="0044233A">
        <w:rPr>
          <w:rStyle w:val="BookTitle"/>
          <w:rFonts w:ascii="Arial" w:hAnsi="Arial" w:cs="Arial"/>
          <w:i w:val="0"/>
          <w:iCs w:val="0"/>
          <w:smallCaps w:val="0"/>
          <w:spacing w:val="0"/>
          <w:szCs w:val="24"/>
        </w:rPr>
        <w:t>pre-requisite subjects have not yet been completed and the individual is not permitted to enrol in more subjects, thereby resulting in a situation where they cannot undertake study for three-quarters of the defined amount of full-time study</w:t>
      </w:r>
      <w:r>
        <w:rPr>
          <w:rStyle w:val="BookTitle"/>
          <w:rFonts w:ascii="Arial" w:hAnsi="Arial" w:cs="Arial"/>
          <w:i w:val="0"/>
          <w:iCs w:val="0"/>
          <w:smallCaps w:val="0"/>
          <w:spacing w:val="0"/>
          <w:szCs w:val="24"/>
        </w:rPr>
        <w:t>;</w:t>
      </w:r>
      <w:r w:rsidRPr="00F71D6F">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or</w:t>
      </w:r>
    </w:p>
    <w:p w14:paraId="082EC2E5" w14:textId="77777777" w:rsidR="00F71D6F" w:rsidRDefault="00F71D6F" w:rsidP="000F7475">
      <w:pPr>
        <w:pStyle w:val="ListParagraph"/>
        <w:ind w:left="1440"/>
        <w:rPr>
          <w:rStyle w:val="BookTitle"/>
          <w:rFonts w:ascii="Arial" w:hAnsi="Arial" w:cs="Arial"/>
          <w:i w:val="0"/>
          <w:iCs w:val="0"/>
          <w:smallCaps w:val="0"/>
          <w:spacing w:val="0"/>
          <w:szCs w:val="24"/>
        </w:rPr>
      </w:pPr>
    </w:p>
    <w:p w14:paraId="302B3F57" w14:textId="32C6ED30" w:rsidR="00516267" w:rsidRDefault="00F71D6F" w:rsidP="000F7475">
      <w:pPr>
        <w:pStyle w:val="ListParagraph"/>
        <w:numPr>
          <w:ilvl w:val="0"/>
          <w:numId w:val="26"/>
        </w:numPr>
        <w:ind w:left="1080"/>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6(3)(b): the </w:t>
      </w:r>
      <w:r w:rsidR="00516267">
        <w:rPr>
          <w:rStyle w:val="BookTitle"/>
          <w:rFonts w:ascii="Arial" w:hAnsi="Arial" w:cs="Arial"/>
          <w:i w:val="0"/>
          <w:iCs w:val="0"/>
          <w:smallCaps w:val="0"/>
          <w:spacing w:val="0"/>
          <w:szCs w:val="24"/>
        </w:rPr>
        <w:t>individual is given a specific direction in writing by the academic registrar, or a person with the equivalent function i.e. role and authority, of the foreign educational institution that prevents them from undertaking at least three-quarters of the defined amount of full-time study</w:t>
      </w:r>
      <w:r w:rsidR="00961A0D">
        <w:rPr>
          <w:rStyle w:val="BookTitle"/>
          <w:rFonts w:ascii="Arial" w:hAnsi="Arial" w:cs="Arial"/>
          <w:i w:val="0"/>
          <w:iCs w:val="0"/>
          <w:smallCaps w:val="0"/>
          <w:spacing w:val="0"/>
          <w:szCs w:val="24"/>
        </w:rPr>
        <w:t xml:space="preserve">. For example, an individual </w:t>
      </w:r>
      <w:proofErr w:type="gramStart"/>
      <w:r w:rsidR="00961A0D">
        <w:rPr>
          <w:rStyle w:val="BookTitle"/>
          <w:rFonts w:ascii="Arial" w:hAnsi="Arial" w:cs="Arial"/>
          <w:i w:val="0"/>
          <w:iCs w:val="0"/>
          <w:smallCaps w:val="0"/>
          <w:spacing w:val="0"/>
          <w:szCs w:val="24"/>
        </w:rPr>
        <w:t>is directed</w:t>
      </w:r>
      <w:proofErr w:type="gramEnd"/>
      <w:r w:rsidR="00961A0D">
        <w:rPr>
          <w:rStyle w:val="BookTitle"/>
          <w:rFonts w:ascii="Arial" w:hAnsi="Arial" w:cs="Arial"/>
          <w:i w:val="0"/>
          <w:iCs w:val="0"/>
          <w:smallCaps w:val="0"/>
          <w:spacing w:val="0"/>
          <w:szCs w:val="24"/>
        </w:rPr>
        <w:t xml:space="preserve"> to withdraw from certain classes due to the unavailability of teachers, cancellation of the classes or an untenable number of students wanting to be in those classes. The individual may subsequently </w:t>
      </w:r>
      <w:r w:rsidR="001C1346">
        <w:rPr>
          <w:rStyle w:val="BookTitle"/>
          <w:rFonts w:ascii="Arial" w:hAnsi="Arial" w:cs="Arial"/>
          <w:i w:val="0"/>
          <w:iCs w:val="0"/>
          <w:smallCaps w:val="0"/>
          <w:spacing w:val="0"/>
          <w:szCs w:val="24"/>
        </w:rPr>
        <w:t xml:space="preserve">be </w:t>
      </w:r>
      <w:r w:rsidR="00961A0D">
        <w:rPr>
          <w:rStyle w:val="BookTitle"/>
          <w:rFonts w:ascii="Arial" w:hAnsi="Arial" w:cs="Arial"/>
          <w:i w:val="0"/>
          <w:iCs w:val="0"/>
          <w:smallCaps w:val="0"/>
          <w:spacing w:val="0"/>
          <w:szCs w:val="24"/>
        </w:rPr>
        <w:t>unable to re-enrol in any other alternative classes</w:t>
      </w:r>
      <w:r w:rsidR="00516267">
        <w:rPr>
          <w:rStyle w:val="BookTitle"/>
          <w:rFonts w:ascii="Arial" w:hAnsi="Arial" w:cs="Arial"/>
          <w:i w:val="0"/>
          <w:iCs w:val="0"/>
          <w:smallCaps w:val="0"/>
          <w:spacing w:val="0"/>
          <w:szCs w:val="24"/>
        </w:rPr>
        <w:t>; or</w:t>
      </w:r>
    </w:p>
    <w:p w14:paraId="0629CB78" w14:textId="77777777" w:rsidR="00516267" w:rsidRPr="00516267" w:rsidRDefault="00516267" w:rsidP="000F7475">
      <w:pPr>
        <w:pStyle w:val="ListParagraph"/>
        <w:ind w:left="1440"/>
        <w:rPr>
          <w:rStyle w:val="BookTitle"/>
          <w:rFonts w:ascii="Arial" w:hAnsi="Arial" w:cs="Arial"/>
          <w:i w:val="0"/>
          <w:iCs w:val="0"/>
          <w:smallCaps w:val="0"/>
          <w:spacing w:val="0"/>
          <w:szCs w:val="24"/>
        </w:rPr>
      </w:pPr>
    </w:p>
    <w:p w14:paraId="561E264D" w14:textId="5CFD18CA" w:rsidR="00516267" w:rsidRDefault="00516267" w:rsidP="000F7475">
      <w:pPr>
        <w:pStyle w:val="ListParagraph"/>
        <w:numPr>
          <w:ilvl w:val="0"/>
          <w:numId w:val="26"/>
        </w:numPr>
        <w:ind w:left="1080"/>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6(3)(c): </w:t>
      </w:r>
      <w:r w:rsidR="00F71D6F">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the academic registrar, or a person with the equivalent function i.e. role and authority, of the foreign educational institution recommends in writing that the individual should only study for two-thirds of the defined amount of full-time study for specified academic or vocational reasons. </w:t>
      </w:r>
      <w:r w:rsidR="00961A0D">
        <w:rPr>
          <w:rStyle w:val="BookTitle"/>
          <w:rFonts w:ascii="Arial" w:hAnsi="Arial" w:cs="Arial"/>
          <w:i w:val="0"/>
          <w:iCs w:val="0"/>
          <w:smallCaps w:val="0"/>
          <w:spacing w:val="0"/>
          <w:szCs w:val="24"/>
        </w:rPr>
        <w:t>For example, there may be instances where an individual</w:t>
      </w:r>
      <w:r w:rsidR="0044233A">
        <w:rPr>
          <w:rStyle w:val="BookTitle"/>
          <w:rFonts w:ascii="Arial" w:hAnsi="Arial" w:cs="Arial"/>
          <w:i w:val="0"/>
          <w:iCs w:val="0"/>
          <w:smallCaps w:val="0"/>
          <w:spacing w:val="0"/>
          <w:szCs w:val="24"/>
        </w:rPr>
        <w:t xml:space="preserve"> is having dif</w:t>
      </w:r>
      <w:r w:rsidR="00961A0D">
        <w:rPr>
          <w:rStyle w:val="BookTitle"/>
          <w:rFonts w:ascii="Arial" w:hAnsi="Arial" w:cs="Arial"/>
          <w:i w:val="0"/>
          <w:iCs w:val="0"/>
          <w:smallCaps w:val="0"/>
          <w:spacing w:val="0"/>
          <w:szCs w:val="24"/>
        </w:rPr>
        <w:t xml:space="preserve">ficulty studying overseas </w:t>
      </w:r>
      <w:r w:rsidR="0044233A">
        <w:rPr>
          <w:rStyle w:val="BookTitle"/>
          <w:rFonts w:ascii="Arial" w:hAnsi="Arial" w:cs="Arial"/>
          <w:i w:val="0"/>
          <w:iCs w:val="0"/>
          <w:smallCaps w:val="0"/>
          <w:spacing w:val="0"/>
          <w:szCs w:val="24"/>
        </w:rPr>
        <w:t xml:space="preserve">due to low language proficiency </w:t>
      </w:r>
      <w:r w:rsidR="00961A0D">
        <w:rPr>
          <w:rStyle w:val="BookTitle"/>
          <w:rFonts w:ascii="Arial" w:hAnsi="Arial" w:cs="Arial"/>
          <w:i w:val="0"/>
          <w:iCs w:val="0"/>
          <w:smallCaps w:val="0"/>
          <w:spacing w:val="0"/>
          <w:szCs w:val="24"/>
        </w:rPr>
        <w:t>levels or a health issue</w:t>
      </w:r>
      <w:r w:rsidR="0044233A">
        <w:rPr>
          <w:rStyle w:val="BookTitle"/>
          <w:rFonts w:ascii="Arial" w:hAnsi="Arial" w:cs="Arial"/>
          <w:i w:val="0"/>
          <w:iCs w:val="0"/>
          <w:smallCaps w:val="0"/>
          <w:spacing w:val="0"/>
          <w:szCs w:val="24"/>
        </w:rPr>
        <w:t xml:space="preserve"> that affects their learning abilities.  </w:t>
      </w:r>
    </w:p>
    <w:p w14:paraId="5DB02E5D" w14:textId="77777777" w:rsidR="00516267" w:rsidRPr="00516267" w:rsidRDefault="00516267" w:rsidP="00516267">
      <w:pPr>
        <w:pStyle w:val="ListParagraph"/>
        <w:rPr>
          <w:rStyle w:val="BookTitle"/>
          <w:rFonts w:ascii="Arial" w:hAnsi="Arial" w:cs="Arial"/>
          <w:i w:val="0"/>
          <w:iCs w:val="0"/>
          <w:smallCaps w:val="0"/>
          <w:spacing w:val="0"/>
          <w:szCs w:val="24"/>
        </w:rPr>
      </w:pPr>
    </w:p>
    <w:p w14:paraId="69B9E0D7" w14:textId="1D47516D" w:rsidR="00F71D6F" w:rsidRPr="000F7475" w:rsidRDefault="00765122" w:rsidP="000F7475">
      <w:pPr>
        <w:pStyle w:val="ListParagraph"/>
        <w:numPr>
          <w:ilvl w:val="0"/>
          <w:numId w:val="25"/>
        </w:num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w:t>
      </w:r>
      <w:r w:rsidR="00516267" w:rsidRPr="000F7475">
        <w:rPr>
          <w:rStyle w:val="BookTitle"/>
          <w:rFonts w:ascii="Arial" w:hAnsi="Arial" w:cs="Arial"/>
          <w:i w:val="0"/>
          <w:iCs w:val="0"/>
          <w:smallCaps w:val="0"/>
          <w:spacing w:val="0"/>
          <w:szCs w:val="24"/>
        </w:rPr>
        <w:t>ubsection 6(4) only allows the third circumstance (paragraph 6(3</w:t>
      </w:r>
      <w:proofErr w:type="gramStart"/>
      <w:r w:rsidR="00516267" w:rsidRPr="000F7475">
        <w:rPr>
          <w:rStyle w:val="BookTitle"/>
          <w:rFonts w:ascii="Arial" w:hAnsi="Arial" w:cs="Arial"/>
          <w:i w:val="0"/>
          <w:iCs w:val="0"/>
          <w:smallCaps w:val="0"/>
          <w:spacing w:val="0"/>
          <w:szCs w:val="24"/>
        </w:rPr>
        <w:t>)(</w:t>
      </w:r>
      <w:proofErr w:type="gramEnd"/>
      <w:r w:rsidR="00516267" w:rsidRPr="000F7475">
        <w:rPr>
          <w:rStyle w:val="BookTitle"/>
          <w:rFonts w:ascii="Arial" w:hAnsi="Arial" w:cs="Arial"/>
          <w:i w:val="0"/>
          <w:iCs w:val="0"/>
          <w:smallCaps w:val="0"/>
          <w:spacing w:val="0"/>
          <w:szCs w:val="24"/>
        </w:rPr>
        <w:t xml:space="preserve">c)) to apply to an individual for a maximum period of half of the academic year. </w:t>
      </w:r>
    </w:p>
    <w:p w14:paraId="5A38407B" w14:textId="66B9A545" w:rsidR="000F7475" w:rsidRDefault="000F7475" w:rsidP="00516267">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w:t>
      </w:r>
      <w:r w:rsidR="00516267">
        <w:rPr>
          <w:rStyle w:val="BookTitle"/>
          <w:rFonts w:ascii="Arial" w:hAnsi="Arial" w:cs="Arial"/>
          <w:i w:val="0"/>
          <w:iCs w:val="0"/>
          <w:smallCaps w:val="0"/>
          <w:spacing w:val="0"/>
          <w:szCs w:val="24"/>
        </w:rPr>
        <w:t xml:space="preserve">ubsection 6(2) </w:t>
      </w:r>
      <w:r w:rsidR="00804901">
        <w:rPr>
          <w:rStyle w:val="BookTitle"/>
          <w:rFonts w:ascii="Arial" w:hAnsi="Arial" w:cs="Arial"/>
          <w:i w:val="0"/>
          <w:iCs w:val="0"/>
          <w:smallCaps w:val="0"/>
          <w:spacing w:val="0"/>
          <w:szCs w:val="24"/>
        </w:rPr>
        <w:t xml:space="preserve">provides </w:t>
      </w:r>
      <w:r>
        <w:rPr>
          <w:rStyle w:val="BookTitle"/>
          <w:rFonts w:ascii="Arial" w:hAnsi="Arial" w:cs="Arial"/>
          <w:i w:val="0"/>
          <w:iCs w:val="0"/>
          <w:smallCaps w:val="0"/>
          <w:spacing w:val="0"/>
          <w:szCs w:val="24"/>
        </w:rPr>
        <w:t>an exception to paragraphs 6(1</w:t>
      </w:r>
      <w:proofErr w:type="gramStart"/>
      <w:r>
        <w:rPr>
          <w:rStyle w:val="BookTitle"/>
          <w:rFonts w:ascii="Arial" w:hAnsi="Arial" w:cs="Arial"/>
          <w:i w:val="0"/>
          <w:iCs w:val="0"/>
          <w:smallCaps w:val="0"/>
          <w:spacing w:val="0"/>
          <w:szCs w:val="24"/>
        </w:rPr>
        <w:t>)(</w:t>
      </w:r>
      <w:proofErr w:type="gramEnd"/>
      <w:r>
        <w:rPr>
          <w:rStyle w:val="BookTitle"/>
          <w:rFonts w:ascii="Arial" w:hAnsi="Arial" w:cs="Arial"/>
          <w:i w:val="0"/>
          <w:iCs w:val="0"/>
          <w:smallCaps w:val="0"/>
          <w:spacing w:val="0"/>
          <w:szCs w:val="24"/>
        </w:rPr>
        <w:t xml:space="preserve">a) and (b) for the first fortnight of classes. It provides </w:t>
      </w:r>
      <w:r w:rsidR="00804901">
        <w:rPr>
          <w:rStyle w:val="BookTitle"/>
          <w:rFonts w:ascii="Arial" w:hAnsi="Arial" w:cs="Arial"/>
          <w:i w:val="0"/>
          <w:iCs w:val="0"/>
          <w:smallCaps w:val="0"/>
          <w:spacing w:val="0"/>
          <w:szCs w:val="24"/>
        </w:rPr>
        <w:t xml:space="preserve">that </w:t>
      </w:r>
      <w:r w:rsidR="0090554A">
        <w:rPr>
          <w:rStyle w:val="BookTitle"/>
          <w:rFonts w:ascii="Arial" w:hAnsi="Arial" w:cs="Arial"/>
          <w:i w:val="0"/>
          <w:iCs w:val="0"/>
          <w:smallCaps w:val="0"/>
          <w:spacing w:val="0"/>
          <w:szCs w:val="24"/>
        </w:rPr>
        <w:t xml:space="preserve">if </w:t>
      </w:r>
      <w:r>
        <w:rPr>
          <w:rStyle w:val="BookTitle"/>
          <w:rFonts w:ascii="Arial" w:hAnsi="Arial" w:cs="Arial"/>
          <w:i w:val="0"/>
          <w:iCs w:val="0"/>
          <w:smallCaps w:val="0"/>
          <w:spacing w:val="0"/>
          <w:szCs w:val="24"/>
        </w:rPr>
        <w:t xml:space="preserve">an individual </w:t>
      </w:r>
      <w:r w:rsidR="00804901">
        <w:rPr>
          <w:rStyle w:val="BookTitle"/>
          <w:rFonts w:ascii="Arial" w:hAnsi="Arial" w:cs="Arial"/>
          <w:i w:val="0"/>
          <w:iCs w:val="0"/>
          <w:smallCaps w:val="0"/>
          <w:spacing w:val="0"/>
          <w:szCs w:val="24"/>
        </w:rPr>
        <w:t>attend</w:t>
      </w:r>
      <w:r>
        <w:rPr>
          <w:rStyle w:val="BookTitle"/>
          <w:rFonts w:ascii="Arial" w:hAnsi="Arial" w:cs="Arial"/>
          <w:i w:val="0"/>
          <w:iCs w:val="0"/>
          <w:smallCaps w:val="0"/>
          <w:spacing w:val="0"/>
          <w:szCs w:val="24"/>
        </w:rPr>
        <w:t>s</w:t>
      </w:r>
      <w:r w:rsidR="00804901">
        <w:rPr>
          <w:rStyle w:val="BookTitle"/>
          <w:rFonts w:ascii="Arial" w:hAnsi="Arial" w:cs="Arial"/>
          <w:i w:val="0"/>
          <w:iCs w:val="0"/>
          <w:smallCaps w:val="0"/>
          <w:spacing w:val="0"/>
          <w:szCs w:val="24"/>
        </w:rPr>
        <w:t xml:space="preserve"> at least one day in the first fortnight of classes </w:t>
      </w:r>
      <w:r w:rsidR="00765122">
        <w:rPr>
          <w:rStyle w:val="BookTitle"/>
          <w:rFonts w:ascii="Arial" w:hAnsi="Arial" w:cs="Arial"/>
          <w:i w:val="0"/>
          <w:iCs w:val="0"/>
          <w:smallCaps w:val="0"/>
          <w:spacing w:val="0"/>
          <w:szCs w:val="24"/>
        </w:rPr>
        <w:t xml:space="preserve">(as defined in subsection 4(1)) </w:t>
      </w:r>
      <w:r w:rsidR="003251E2">
        <w:rPr>
          <w:rStyle w:val="BookTitle"/>
          <w:rFonts w:ascii="Arial" w:hAnsi="Arial" w:cs="Arial"/>
          <w:i w:val="0"/>
          <w:iCs w:val="0"/>
          <w:smallCaps w:val="0"/>
          <w:spacing w:val="0"/>
          <w:szCs w:val="24"/>
        </w:rPr>
        <w:t>in a study period</w:t>
      </w:r>
      <w:r w:rsidR="00804901">
        <w:rPr>
          <w:rStyle w:val="BookTitle"/>
          <w:rFonts w:ascii="Arial" w:hAnsi="Arial" w:cs="Arial"/>
          <w:i w:val="0"/>
          <w:iCs w:val="0"/>
          <w:smallCaps w:val="0"/>
          <w:spacing w:val="0"/>
          <w:szCs w:val="24"/>
        </w:rPr>
        <w:t xml:space="preserve">, they </w:t>
      </w:r>
      <w:proofErr w:type="gramStart"/>
      <w:r w:rsidR="00804901">
        <w:rPr>
          <w:rStyle w:val="BookTitle"/>
          <w:rFonts w:ascii="Arial" w:hAnsi="Arial" w:cs="Arial"/>
          <w:i w:val="0"/>
          <w:iCs w:val="0"/>
          <w:smallCaps w:val="0"/>
          <w:spacing w:val="0"/>
          <w:szCs w:val="24"/>
        </w:rPr>
        <w:t>are</w:t>
      </w:r>
      <w:proofErr w:type="gramEnd"/>
      <w:r w:rsidR="00804901">
        <w:rPr>
          <w:rStyle w:val="BookTitle"/>
          <w:rFonts w:ascii="Arial" w:hAnsi="Arial" w:cs="Arial"/>
          <w:i w:val="0"/>
          <w:iCs w:val="0"/>
          <w:smallCaps w:val="0"/>
          <w:spacing w:val="0"/>
          <w:szCs w:val="24"/>
        </w:rPr>
        <w:t xml:space="preserve"> considered to have undertaken the required amount of study for that first fortnight</w:t>
      </w:r>
      <w:r w:rsidR="003251E2">
        <w:rPr>
          <w:rStyle w:val="BookTitle"/>
          <w:rFonts w:ascii="Arial" w:hAnsi="Arial" w:cs="Arial"/>
          <w:i w:val="0"/>
          <w:iCs w:val="0"/>
          <w:smallCaps w:val="0"/>
          <w:spacing w:val="0"/>
          <w:szCs w:val="24"/>
        </w:rPr>
        <w:t xml:space="preserve"> of classes. </w:t>
      </w:r>
      <w:r>
        <w:rPr>
          <w:rStyle w:val="BookTitle"/>
          <w:rFonts w:ascii="Arial" w:hAnsi="Arial" w:cs="Arial"/>
          <w:i w:val="0"/>
          <w:iCs w:val="0"/>
          <w:smallCaps w:val="0"/>
          <w:spacing w:val="0"/>
          <w:szCs w:val="24"/>
        </w:rPr>
        <w:t xml:space="preserve">For clarity, this exception applies irrespective of whether the individual is </w:t>
      </w:r>
      <w:r w:rsidR="00765122">
        <w:rPr>
          <w:rStyle w:val="BookTitle"/>
          <w:rFonts w:ascii="Arial" w:hAnsi="Arial" w:cs="Arial"/>
          <w:i w:val="0"/>
          <w:iCs w:val="0"/>
          <w:smallCaps w:val="0"/>
          <w:spacing w:val="0"/>
          <w:szCs w:val="24"/>
        </w:rPr>
        <w:t xml:space="preserve">otherwise required </w:t>
      </w:r>
      <w:r>
        <w:rPr>
          <w:rStyle w:val="BookTitle"/>
          <w:rFonts w:ascii="Arial" w:hAnsi="Arial" w:cs="Arial"/>
          <w:i w:val="0"/>
          <w:iCs w:val="0"/>
          <w:smallCaps w:val="0"/>
          <w:spacing w:val="0"/>
          <w:szCs w:val="24"/>
        </w:rPr>
        <w:t xml:space="preserve">to be studying three-quarters or two-thirds of the defined amount of full-time study (whichever applies to them). </w:t>
      </w:r>
    </w:p>
    <w:p w14:paraId="30DDFF75" w14:textId="23F68509" w:rsidR="00622B31" w:rsidRPr="00A066B1" w:rsidRDefault="00F31431" w:rsidP="000547D7">
      <w:pPr>
        <w:pStyle w:val="ListParagraph"/>
        <w:numPr>
          <w:ilvl w:val="0"/>
          <w:numId w:val="25"/>
        </w:numPr>
        <w:rPr>
          <w:rStyle w:val="BookTitle"/>
          <w:rFonts w:ascii="Arial" w:hAnsi="Arial" w:cs="Arial"/>
          <w:i w:val="0"/>
          <w:iCs w:val="0"/>
          <w:smallCaps w:val="0"/>
          <w:spacing w:val="0"/>
          <w:szCs w:val="24"/>
        </w:rPr>
      </w:pPr>
      <w:r w:rsidRPr="00A066B1">
        <w:rPr>
          <w:rStyle w:val="BookTitle"/>
          <w:rFonts w:ascii="Arial" w:hAnsi="Arial" w:cs="Arial"/>
          <w:i w:val="0"/>
          <w:iCs w:val="0"/>
          <w:smallCaps w:val="0"/>
          <w:spacing w:val="0"/>
          <w:szCs w:val="24"/>
        </w:rPr>
        <w:t>Under subsection 5(1), ‘first fortnight of classes’, in relation to a study period, means the space of time between the first day of classes in said study period and the Friday of the second week of classes in said period.</w:t>
      </w:r>
    </w:p>
    <w:p w14:paraId="0A1C2F48" w14:textId="76525C1F" w:rsidR="00516267" w:rsidRDefault="0090554A" w:rsidP="00516267">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T</w:t>
      </w:r>
      <w:r w:rsidR="00A066B1">
        <w:rPr>
          <w:rStyle w:val="BookTitle"/>
          <w:rFonts w:ascii="Arial" w:hAnsi="Arial" w:cs="Arial"/>
          <w:i w:val="0"/>
          <w:iCs w:val="0"/>
          <w:smallCaps w:val="0"/>
          <w:spacing w:val="0"/>
          <w:szCs w:val="24"/>
        </w:rPr>
        <w:t>his</w:t>
      </w:r>
      <w:r w:rsidR="003251E2">
        <w:rPr>
          <w:rStyle w:val="BookTitle"/>
          <w:rFonts w:ascii="Arial" w:hAnsi="Arial" w:cs="Arial"/>
          <w:i w:val="0"/>
          <w:iCs w:val="0"/>
          <w:smallCaps w:val="0"/>
          <w:spacing w:val="0"/>
          <w:szCs w:val="24"/>
        </w:rPr>
        <w:t xml:space="preserve"> exception acknowledges that an individual may not undertake the normally required workload of three-quarters or two-thirds (whichever applies to them) of the defined amount of full-time study in their first two weeks of a course period due to circumstances </w:t>
      </w:r>
      <w:r w:rsidR="00CE7166">
        <w:rPr>
          <w:rStyle w:val="BookTitle"/>
          <w:rFonts w:ascii="Arial" w:hAnsi="Arial" w:cs="Arial"/>
          <w:i w:val="0"/>
          <w:iCs w:val="0"/>
          <w:smallCaps w:val="0"/>
          <w:spacing w:val="0"/>
          <w:szCs w:val="24"/>
        </w:rPr>
        <w:t xml:space="preserve">that are difficult to </w:t>
      </w:r>
      <w:r w:rsidR="003251E2">
        <w:rPr>
          <w:rStyle w:val="BookTitle"/>
          <w:rFonts w:ascii="Arial" w:hAnsi="Arial" w:cs="Arial"/>
          <w:i w:val="0"/>
          <w:iCs w:val="0"/>
          <w:smallCaps w:val="0"/>
          <w:spacing w:val="0"/>
          <w:szCs w:val="24"/>
        </w:rPr>
        <w:t xml:space="preserve">control. It </w:t>
      </w:r>
      <w:proofErr w:type="gramStart"/>
      <w:r w:rsidR="003251E2">
        <w:rPr>
          <w:rStyle w:val="BookTitle"/>
          <w:rFonts w:ascii="Arial" w:hAnsi="Arial" w:cs="Arial"/>
          <w:i w:val="0"/>
          <w:iCs w:val="0"/>
          <w:smallCaps w:val="0"/>
          <w:spacing w:val="0"/>
          <w:szCs w:val="24"/>
        </w:rPr>
        <w:t>is intended</w:t>
      </w:r>
      <w:proofErr w:type="gramEnd"/>
      <w:r w:rsidR="003251E2">
        <w:rPr>
          <w:rStyle w:val="BookTitle"/>
          <w:rFonts w:ascii="Arial" w:hAnsi="Arial" w:cs="Arial"/>
          <w:i w:val="0"/>
          <w:iCs w:val="0"/>
          <w:smallCaps w:val="0"/>
          <w:spacing w:val="0"/>
          <w:szCs w:val="24"/>
        </w:rPr>
        <w:t xml:space="preserve"> to cover a broad spectrum of situations that may arise in the initial stages of a course study period. T</w:t>
      </w:r>
      <w:r w:rsidR="00765122">
        <w:rPr>
          <w:rStyle w:val="BookTitle"/>
          <w:rFonts w:ascii="Arial" w:hAnsi="Arial" w:cs="Arial"/>
          <w:i w:val="0"/>
          <w:iCs w:val="0"/>
          <w:smallCaps w:val="0"/>
          <w:spacing w:val="0"/>
          <w:szCs w:val="24"/>
        </w:rPr>
        <w:t>he</w:t>
      </w:r>
      <w:r w:rsidR="003251E2">
        <w:rPr>
          <w:rStyle w:val="BookTitle"/>
          <w:rFonts w:ascii="Arial" w:hAnsi="Arial" w:cs="Arial"/>
          <w:i w:val="0"/>
          <w:iCs w:val="0"/>
          <w:smallCaps w:val="0"/>
          <w:spacing w:val="0"/>
          <w:szCs w:val="24"/>
        </w:rPr>
        <w:t xml:space="preserve"> situations may include administrative errors attributable to the foreign educational institution. They can also include events incidental to undertaking studies, such as issues with finding suitable accommodation or obtaining transportation to the f</w:t>
      </w:r>
      <w:r w:rsidR="000F7475">
        <w:rPr>
          <w:rStyle w:val="BookTitle"/>
          <w:rFonts w:ascii="Arial" w:hAnsi="Arial" w:cs="Arial"/>
          <w:i w:val="0"/>
          <w:iCs w:val="0"/>
          <w:smallCaps w:val="0"/>
          <w:spacing w:val="0"/>
          <w:szCs w:val="24"/>
        </w:rPr>
        <w:t>oreign educational institution despite already having taken reasonable measures.</w:t>
      </w:r>
    </w:p>
    <w:p w14:paraId="33EB53A5" w14:textId="33ED416F" w:rsidR="00871748" w:rsidRDefault="00871748" w:rsidP="00BD13D5">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7 </w:t>
      </w:r>
      <w:r w:rsidR="006B6543">
        <w:rPr>
          <w:rStyle w:val="BookTitle"/>
          <w:rFonts w:ascii="Arial" w:hAnsi="Arial" w:cs="Arial"/>
          <w:b/>
          <w:i w:val="0"/>
          <w:iCs w:val="0"/>
          <w:smallCaps w:val="0"/>
          <w:spacing w:val="0"/>
          <w:szCs w:val="24"/>
        </w:rPr>
        <w:t xml:space="preserve">in Part 2 </w:t>
      </w:r>
      <w:r>
        <w:rPr>
          <w:rStyle w:val="BookTitle"/>
          <w:rFonts w:ascii="Arial" w:hAnsi="Arial" w:cs="Arial"/>
          <w:i w:val="0"/>
          <w:iCs w:val="0"/>
          <w:smallCaps w:val="0"/>
          <w:spacing w:val="0"/>
          <w:szCs w:val="24"/>
        </w:rPr>
        <w:t>provides the meaning of ‘studying overseas full time’ for the purposes of section 3C of the Act</w:t>
      </w:r>
      <w:r w:rsidR="00B50BCB">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w:t>
      </w:r>
      <w:r w:rsidR="00D0784D">
        <w:rPr>
          <w:rStyle w:val="BookTitle"/>
          <w:rFonts w:ascii="Arial" w:hAnsi="Arial" w:cs="Arial"/>
          <w:i w:val="0"/>
          <w:iCs w:val="0"/>
          <w:smallCaps w:val="0"/>
          <w:spacing w:val="0"/>
          <w:szCs w:val="24"/>
        </w:rPr>
        <w:t>An individual is studying overseas full-time if the following three matters are satisfied:</w:t>
      </w:r>
    </w:p>
    <w:p w14:paraId="18395199" w14:textId="5933D4F2" w:rsidR="00D0784D" w:rsidRDefault="00D0784D" w:rsidP="00D0784D">
      <w:pPr>
        <w:pStyle w:val="ListParagraph"/>
        <w:numPr>
          <w:ilvl w:val="0"/>
          <w:numId w:val="22"/>
        </w:num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 Firstly, t</w:t>
      </w:r>
      <w:r w:rsidRPr="00D0784D">
        <w:rPr>
          <w:rStyle w:val="BookTitle"/>
          <w:rFonts w:ascii="Arial" w:hAnsi="Arial" w:cs="Arial"/>
          <w:i w:val="0"/>
          <w:iCs w:val="0"/>
          <w:smallCaps w:val="0"/>
          <w:spacing w:val="0"/>
          <w:szCs w:val="24"/>
        </w:rPr>
        <w:t>he individual must be either:</w:t>
      </w:r>
    </w:p>
    <w:p w14:paraId="6A6894FF" w14:textId="77777777" w:rsidR="00D0784D" w:rsidRDefault="00D0784D" w:rsidP="00D0784D">
      <w:pPr>
        <w:pStyle w:val="ListParagraph"/>
        <w:rPr>
          <w:rStyle w:val="BookTitle"/>
          <w:rFonts w:ascii="Arial" w:hAnsi="Arial" w:cs="Arial"/>
          <w:i w:val="0"/>
          <w:iCs w:val="0"/>
          <w:smallCaps w:val="0"/>
          <w:spacing w:val="0"/>
          <w:szCs w:val="24"/>
        </w:rPr>
      </w:pPr>
    </w:p>
    <w:p w14:paraId="367F4044" w14:textId="7536AAD4" w:rsidR="00D0784D" w:rsidRDefault="00D0784D" w:rsidP="00D0784D">
      <w:pPr>
        <w:pStyle w:val="ListParagraph"/>
        <w:numPr>
          <w:ilvl w:val="1"/>
          <w:numId w:val="22"/>
        </w:num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currently enrolled in an approved foreign course of education or study (see subsection 4(2)); or</w:t>
      </w:r>
    </w:p>
    <w:p w14:paraId="3FBC6EDD" w14:textId="77777777" w:rsidR="00D0784D" w:rsidRDefault="00D0784D" w:rsidP="00D0784D">
      <w:pPr>
        <w:pStyle w:val="ListParagraph"/>
        <w:ind w:left="1440"/>
        <w:rPr>
          <w:rStyle w:val="BookTitle"/>
          <w:rFonts w:ascii="Arial" w:hAnsi="Arial" w:cs="Arial"/>
          <w:i w:val="0"/>
          <w:iCs w:val="0"/>
          <w:smallCaps w:val="0"/>
          <w:spacing w:val="0"/>
          <w:szCs w:val="24"/>
        </w:rPr>
      </w:pPr>
    </w:p>
    <w:p w14:paraId="3E325D4D" w14:textId="5A3FD2C1" w:rsidR="00D0784D" w:rsidRDefault="00D0784D" w:rsidP="00D0784D">
      <w:pPr>
        <w:pStyle w:val="ListParagraph"/>
        <w:numPr>
          <w:ilvl w:val="1"/>
          <w:numId w:val="22"/>
        </w:num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previously enrolled in an approved foreign course of education or study and has (since no longer being enrolled) always intended to re-enrol in the course when re-enrolments in the course are next accepted; or</w:t>
      </w:r>
    </w:p>
    <w:p w14:paraId="5662A28F" w14:textId="77777777" w:rsidR="00D0784D" w:rsidRPr="00D0784D" w:rsidRDefault="00D0784D" w:rsidP="00D0784D">
      <w:pPr>
        <w:pStyle w:val="ListParagraph"/>
        <w:rPr>
          <w:rStyle w:val="BookTitle"/>
          <w:rFonts w:ascii="Arial" w:hAnsi="Arial" w:cs="Arial"/>
          <w:i w:val="0"/>
          <w:iCs w:val="0"/>
          <w:smallCaps w:val="0"/>
          <w:spacing w:val="0"/>
          <w:szCs w:val="24"/>
        </w:rPr>
      </w:pPr>
    </w:p>
    <w:p w14:paraId="5D851AD1" w14:textId="28C36F8C" w:rsidR="00D0784D" w:rsidRDefault="00D0784D" w:rsidP="00D0784D">
      <w:pPr>
        <w:pStyle w:val="ListParagraph"/>
        <w:numPr>
          <w:ilvl w:val="1"/>
          <w:numId w:val="22"/>
        </w:numPr>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previously</w:t>
      </w:r>
      <w:proofErr w:type="gramEnd"/>
      <w:r>
        <w:rPr>
          <w:rStyle w:val="BookTitle"/>
          <w:rFonts w:ascii="Arial" w:hAnsi="Arial" w:cs="Arial"/>
          <w:i w:val="0"/>
          <w:iCs w:val="0"/>
          <w:smallCaps w:val="0"/>
          <w:spacing w:val="0"/>
          <w:szCs w:val="24"/>
        </w:rPr>
        <w:t xml:space="preserve"> enrolled in an approved foreign course of education or study and has (since no longer being enrolled) always intended to enrol in another approved foreign course of education or study when enrolments in the other course are next accepted. The other course may be at the same or a different foreign educational institution. </w:t>
      </w:r>
    </w:p>
    <w:p w14:paraId="17742E05" w14:textId="77777777" w:rsidR="00D0784D" w:rsidRPr="00D0784D" w:rsidRDefault="00D0784D" w:rsidP="00D0784D">
      <w:pPr>
        <w:pStyle w:val="ListParagraph"/>
        <w:rPr>
          <w:rStyle w:val="BookTitle"/>
          <w:rFonts w:ascii="Arial" w:hAnsi="Arial" w:cs="Arial"/>
          <w:i w:val="0"/>
          <w:iCs w:val="0"/>
          <w:smallCaps w:val="0"/>
          <w:spacing w:val="0"/>
          <w:szCs w:val="24"/>
        </w:rPr>
      </w:pPr>
    </w:p>
    <w:p w14:paraId="6C9B28AC" w14:textId="59B77F64" w:rsidR="00D0784D" w:rsidRDefault="00D0784D" w:rsidP="00D0784D">
      <w:pPr>
        <w:pStyle w:val="ListParagraph"/>
        <w:numPr>
          <w:ilvl w:val="0"/>
          <w:numId w:val="22"/>
        </w:num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Secondly, the individual must be either:</w:t>
      </w:r>
    </w:p>
    <w:p w14:paraId="6F9EFBF0" w14:textId="77777777" w:rsidR="00D0784D" w:rsidRDefault="00D0784D" w:rsidP="00D0784D">
      <w:pPr>
        <w:pStyle w:val="ListParagraph"/>
        <w:rPr>
          <w:rStyle w:val="BookTitle"/>
          <w:rFonts w:ascii="Arial" w:hAnsi="Arial" w:cs="Arial"/>
          <w:i w:val="0"/>
          <w:iCs w:val="0"/>
          <w:smallCaps w:val="0"/>
          <w:spacing w:val="0"/>
          <w:szCs w:val="24"/>
        </w:rPr>
      </w:pPr>
    </w:p>
    <w:p w14:paraId="1013913D" w14:textId="74237F89" w:rsidR="00D0784D" w:rsidRDefault="00D0784D" w:rsidP="00D0784D">
      <w:pPr>
        <w:pStyle w:val="ListParagraph"/>
        <w:numPr>
          <w:ilvl w:val="1"/>
          <w:numId w:val="22"/>
        </w:num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currently undertaking the required amount of study (see section 6) in the course, in the study period in which the individual is enrolled in the course; or</w:t>
      </w:r>
    </w:p>
    <w:p w14:paraId="04469303" w14:textId="77777777" w:rsidR="00D0784D" w:rsidRDefault="00D0784D" w:rsidP="00D0784D">
      <w:pPr>
        <w:pStyle w:val="ListParagraph"/>
        <w:ind w:left="1440"/>
        <w:rPr>
          <w:rStyle w:val="BookTitle"/>
          <w:rFonts w:ascii="Arial" w:hAnsi="Arial" w:cs="Arial"/>
          <w:i w:val="0"/>
          <w:iCs w:val="0"/>
          <w:smallCaps w:val="0"/>
          <w:spacing w:val="0"/>
          <w:szCs w:val="24"/>
        </w:rPr>
      </w:pPr>
    </w:p>
    <w:p w14:paraId="63F14F74" w14:textId="60A5BA5F" w:rsidR="00D0784D" w:rsidRDefault="00D0784D" w:rsidP="00D0784D">
      <w:pPr>
        <w:pStyle w:val="ListParagraph"/>
        <w:numPr>
          <w:ilvl w:val="1"/>
          <w:numId w:val="22"/>
        </w:numPr>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intending</w:t>
      </w:r>
      <w:proofErr w:type="gramEnd"/>
      <w:r>
        <w:rPr>
          <w:rStyle w:val="BookTitle"/>
          <w:rFonts w:ascii="Arial" w:hAnsi="Arial" w:cs="Arial"/>
          <w:i w:val="0"/>
          <w:iCs w:val="0"/>
          <w:smallCaps w:val="0"/>
          <w:spacing w:val="0"/>
          <w:szCs w:val="24"/>
        </w:rPr>
        <w:t xml:space="preserve"> to undertake the required amount of study in the course, in the study period in which the individual intends to be enrolled in the course.</w:t>
      </w:r>
    </w:p>
    <w:p w14:paraId="7CBD29D2" w14:textId="77777777" w:rsidR="00D0784D" w:rsidRPr="00D0784D" w:rsidRDefault="00D0784D" w:rsidP="00D0784D">
      <w:pPr>
        <w:pStyle w:val="ListParagraph"/>
        <w:rPr>
          <w:rStyle w:val="BookTitle"/>
          <w:rFonts w:ascii="Arial" w:hAnsi="Arial" w:cs="Arial"/>
          <w:i w:val="0"/>
          <w:iCs w:val="0"/>
          <w:smallCaps w:val="0"/>
          <w:spacing w:val="0"/>
          <w:szCs w:val="24"/>
        </w:rPr>
      </w:pPr>
    </w:p>
    <w:p w14:paraId="50EBAF9E" w14:textId="439C337C" w:rsidR="00D0784D" w:rsidRPr="00D0784D" w:rsidRDefault="00D0784D" w:rsidP="00D0784D">
      <w:pPr>
        <w:pStyle w:val="ListParagraph"/>
        <w:numPr>
          <w:ilvl w:val="0"/>
          <w:numId w:val="22"/>
        </w:num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Thirdly, in the Secretary’s opinion, the individual must be making satisfactory progress towards completing the course. In forming this opinion,</w:t>
      </w:r>
      <w:r w:rsidR="003A2EFC">
        <w:rPr>
          <w:rStyle w:val="BookTitle"/>
          <w:rFonts w:ascii="Arial" w:hAnsi="Arial" w:cs="Arial"/>
          <w:i w:val="0"/>
          <w:iCs w:val="0"/>
          <w:smallCaps w:val="0"/>
          <w:spacing w:val="0"/>
          <w:szCs w:val="24"/>
        </w:rPr>
        <w:t xml:space="preserve"> </w:t>
      </w:r>
      <w:r w:rsidR="004146D3">
        <w:rPr>
          <w:rStyle w:val="BookTitle"/>
          <w:rFonts w:ascii="Arial" w:hAnsi="Arial" w:cs="Arial"/>
          <w:i w:val="0"/>
          <w:iCs w:val="0"/>
          <w:smallCaps w:val="0"/>
          <w:spacing w:val="0"/>
          <w:szCs w:val="24"/>
        </w:rPr>
        <w:t xml:space="preserve">the Secretary will </w:t>
      </w:r>
      <w:r w:rsidR="00246D18">
        <w:rPr>
          <w:rStyle w:val="BookTitle"/>
          <w:rFonts w:ascii="Arial" w:hAnsi="Arial" w:cs="Arial"/>
          <w:i w:val="0"/>
          <w:iCs w:val="0"/>
          <w:smallCaps w:val="0"/>
          <w:spacing w:val="0"/>
          <w:szCs w:val="24"/>
        </w:rPr>
        <w:t>consider how the individual is tracking in their progress towards completing the course in the minimum amount of time typically needed</w:t>
      </w:r>
      <w:r w:rsidR="004146D3">
        <w:rPr>
          <w:rStyle w:val="BookTitle"/>
          <w:rFonts w:ascii="Arial" w:hAnsi="Arial" w:cs="Arial"/>
          <w:i w:val="0"/>
          <w:iCs w:val="0"/>
          <w:smallCaps w:val="0"/>
          <w:spacing w:val="0"/>
          <w:szCs w:val="24"/>
        </w:rPr>
        <w:t xml:space="preserve"> or expressly stipulated by the foreign educational institution</w:t>
      </w:r>
      <w:r w:rsidR="00246D18">
        <w:rPr>
          <w:rStyle w:val="BookTitle"/>
          <w:rFonts w:ascii="Arial" w:hAnsi="Arial" w:cs="Arial"/>
          <w:i w:val="0"/>
          <w:iCs w:val="0"/>
          <w:smallCaps w:val="0"/>
          <w:spacing w:val="0"/>
          <w:szCs w:val="24"/>
        </w:rPr>
        <w:t xml:space="preserve">. Regard may be had </w:t>
      </w:r>
      <w:proofErr w:type="gramStart"/>
      <w:r w:rsidR="00246D18">
        <w:rPr>
          <w:rStyle w:val="BookTitle"/>
          <w:rFonts w:ascii="Arial" w:hAnsi="Arial" w:cs="Arial"/>
          <w:i w:val="0"/>
          <w:iCs w:val="0"/>
          <w:smallCaps w:val="0"/>
          <w:spacing w:val="0"/>
          <w:szCs w:val="24"/>
        </w:rPr>
        <w:t>to</w:t>
      </w:r>
      <w:r w:rsidR="00C776BC">
        <w:rPr>
          <w:rStyle w:val="BookTitle"/>
          <w:rFonts w:ascii="Arial" w:hAnsi="Arial" w:cs="Arial"/>
          <w:i w:val="0"/>
          <w:iCs w:val="0"/>
          <w:smallCaps w:val="0"/>
          <w:spacing w:val="0"/>
          <w:szCs w:val="24"/>
        </w:rPr>
        <w:t>:</w:t>
      </w:r>
      <w:proofErr w:type="gramEnd"/>
      <w:r w:rsidR="00C776BC">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the individual’s record o</w:t>
      </w:r>
      <w:r w:rsidR="00246D18">
        <w:rPr>
          <w:rStyle w:val="BookTitle"/>
          <w:rFonts w:ascii="Arial" w:hAnsi="Arial" w:cs="Arial"/>
          <w:i w:val="0"/>
          <w:iCs w:val="0"/>
          <w:smallCaps w:val="0"/>
          <w:spacing w:val="0"/>
          <w:szCs w:val="24"/>
        </w:rPr>
        <w:t xml:space="preserve">f attendance, </w:t>
      </w:r>
      <w:r w:rsidR="00457726">
        <w:rPr>
          <w:rStyle w:val="BookTitle"/>
          <w:rFonts w:ascii="Arial" w:hAnsi="Arial" w:cs="Arial"/>
          <w:i w:val="0"/>
          <w:iCs w:val="0"/>
          <w:smallCaps w:val="0"/>
          <w:spacing w:val="0"/>
          <w:szCs w:val="24"/>
        </w:rPr>
        <w:t xml:space="preserve">their </w:t>
      </w:r>
      <w:r w:rsidR="00246D18">
        <w:rPr>
          <w:rStyle w:val="BookTitle"/>
          <w:rFonts w:ascii="Arial" w:hAnsi="Arial" w:cs="Arial"/>
          <w:i w:val="0"/>
          <w:iCs w:val="0"/>
          <w:smallCaps w:val="0"/>
          <w:spacing w:val="0"/>
          <w:szCs w:val="24"/>
        </w:rPr>
        <w:t xml:space="preserve">academic results, </w:t>
      </w:r>
      <w:r w:rsidR="00C776BC">
        <w:rPr>
          <w:rStyle w:val="BookTitle"/>
          <w:rFonts w:ascii="Arial" w:hAnsi="Arial" w:cs="Arial"/>
          <w:i w:val="0"/>
          <w:iCs w:val="0"/>
          <w:smallCaps w:val="0"/>
          <w:spacing w:val="0"/>
          <w:szCs w:val="24"/>
        </w:rPr>
        <w:t xml:space="preserve">any </w:t>
      </w:r>
      <w:r>
        <w:rPr>
          <w:rStyle w:val="BookTitle"/>
          <w:rFonts w:ascii="Arial" w:hAnsi="Arial" w:cs="Arial"/>
          <w:i w:val="0"/>
          <w:iCs w:val="0"/>
          <w:smallCaps w:val="0"/>
          <w:spacing w:val="0"/>
          <w:szCs w:val="24"/>
        </w:rPr>
        <w:t>disciplinary remarks from the f</w:t>
      </w:r>
      <w:r w:rsidR="00C776BC">
        <w:rPr>
          <w:rStyle w:val="BookTitle"/>
          <w:rFonts w:ascii="Arial" w:hAnsi="Arial" w:cs="Arial"/>
          <w:i w:val="0"/>
          <w:iCs w:val="0"/>
          <w:smallCaps w:val="0"/>
          <w:spacing w:val="0"/>
          <w:szCs w:val="24"/>
        </w:rPr>
        <w:t>oreign educational institution</w:t>
      </w:r>
      <w:r w:rsidR="00246D18">
        <w:rPr>
          <w:rStyle w:val="BookTitle"/>
          <w:rFonts w:ascii="Arial" w:hAnsi="Arial" w:cs="Arial"/>
          <w:i w:val="0"/>
          <w:iCs w:val="0"/>
          <w:smallCaps w:val="0"/>
          <w:spacing w:val="0"/>
          <w:szCs w:val="24"/>
        </w:rPr>
        <w:t xml:space="preserve">, and </w:t>
      </w:r>
      <w:r w:rsidR="00457726">
        <w:rPr>
          <w:rStyle w:val="BookTitle"/>
          <w:rFonts w:ascii="Arial" w:hAnsi="Arial" w:cs="Arial"/>
          <w:i w:val="0"/>
          <w:iCs w:val="0"/>
          <w:smallCaps w:val="0"/>
          <w:spacing w:val="0"/>
          <w:szCs w:val="24"/>
        </w:rPr>
        <w:t xml:space="preserve">anything else </w:t>
      </w:r>
      <w:r w:rsidR="004146D3">
        <w:rPr>
          <w:rStyle w:val="BookTitle"/>
          <w:rFonts w:ascii="Arial" w:hAnsi="Arial" w:cs="Arial"/>
          <w:i w:val="0"/>
          <w:iCs w:val="0"/>
          <w:smallCaps w:val="0"/>
          <w:spacing w:val="0"/>
          <w:szCs w:val="24"/>
        </w:rPr>
        <w:t xml:space="preserve">that </w:t>
      </w:r>
      <w:r w:rsidR="00457726">
        <w:rPr>
          <w:rStyle w:val="BookTitle"/>
          <w:rFonts w:ascii="Arial" w:hAnsi="Arial" w:cs="Arial"/>
          <w:i w:val="0"/>
          <w:iCs w:val="0"/>
          <w:smallCaps w:val="0"/>
          <w:spacing w:val="0"/>
          <w:szCs w:val="24"/>
        </w:rPr>
        <w:t xml:space="preserve">the Secretary deems relevant. </w:t>
      </w:r>
      <w:r w:rsidR="00246D18">
        <w:rPr>
          <w:rStyle w:val="BookTitle"/>
          <w:rFonts w:ascii="Arial" w:hAnsi="Arial" w:cs="Arial"/>
          <w:i w:val="0"/>
          <w:iCs w:val="0"/>
          <w:smallCaps w:val="0"/>
          <w:spacing w:val="0"/>
          <w:szCs w:val="24"/>
        </w:rPr>
        <w:t xml:space="preserve"> </w:t>
      </w:r>
    </w:p>
    <w:p w14:paraId="2AF40FF7" w14:textId="789EF24D" w:rsidR="004440D8" w:rsidRPr="009F77BC" w:rsidRDefault="004440D8" w:rsidP="004440D8">
      <w:pPr>
        <w:rPr>
          <w:rStyle w:val="BookTitle"/>
          <w:rFonts w:ascii="Arial" w:hAnsi="Arial" w:cs="Arial"/>
          <w:i w:val="0"/>
          <w:iCs w:val="0"/>
          <w:smallCaps w:val="0"/>
          <w:color w:val="0070C0"/>
          <w:spacing w:val="0"/>
          <w:szCs w:val="24"/>
        </w:rPr>
      </w:pPr>
      <w:r>
        <w:rPr>
          <w:rStyle w:val="BookTitle"/>
          <w:rFonts w:ascii="Arial" w:hAnsi="Arial" w:cs="Arial"/>
          <w:b/>
          <w:i w:val="0"/>
          <w:iCs w:val="0"/>
          <w:smallCaps w:val="0"/>
          <w:spacing w:val="0"/>
          <w:szCs w:val="24"/>
        </w:rPr>
        <w:t xml:space="preserve">Schedule 1 </w:t>
      </w:r>
      <w:r>
        <w:rPr>
          <w:rStyle w:val="BookTitle"/>
          <w:rFonts w:ascii="Arial" w:hAnsi="Arial" w:cs="Arial"/>
          <w:i w:val="0"/>
          <w:iCs w:val="0"/>
          <w:smallCaps w:val="0"/>
          <w:spacing w:val="0"/>
          <w:szCs w:val="24"/>
        </w:rPr>
        <w:t>repeals the</w:t>
      </w:r>
      <w:r w:rsidRPr="00BC247A">
        <w:rPr>
          <w:rStyle w:val="BookTitle"/>
          <w:rFonts w:ascii="Arial" w:hAnsi="Arial" w:cs="Arial"/>
          <w:i w:val="0"/>
          <w:iCs w:val="0"/>
          <w:smallCaps w:val="0"/>
          <w:spacing w:val="0"/>
          <w:szCs w:val="24"/>
        </w:rPr>
        <w:t xml:space="preserve"> </w:t>
      </w:r>
      <w:r w:rsidRPr="004A439F">
        <w:rPr>
          <w:rStyle w:val="BookTitle"/>
          <w:rFonts w:ascii="Arial" w:hAnsi="Arial" w:cs="Arial"/>
          <w:i w:val="0"/>
          <w:iCs w:val="0"/>
          <w:smallCaps w:val="0"/>
          <w:spacing w:val="0"/>
          <w:szCs w:val="24"/>
        </w:rPr>
        <w:t>Family Tax Benefit (Studying Overseas Full-time) Determination 2011.</w:t>
      </w:r>
    </w:p>
    <w:p w14:paraId="65F4A6FF" w14:textId="30B1AAD9" w:rsidR="00871F28" w:rsidRPr="004440D8" w:rsidRDefault="00871F28" w:rsidP="00B50BCB">
      <w:pPr>
        <w:rPr>
          <w:rStyle w:val="BookTitle"/>
          <w:rFonts w:ascii="Arial" w:hAnsi="Arial" w:cs="Arial"/>
          <w:b/>
          <w:i w:val="0"/>
          <w:iCs w:val="0"/>
          <w:smallCaps w:val="0"/>
          <w:spacing w:val="0"/>
          <w:szCs w:val="24"/>
        </w:rPr>
      </w:pPr>
    </w:p>
    <w:p w14:paraId="75B77E78" w14:textId="77777777" w:rsidR="0095196E" w:rsidRPr="00BC76EB" w:rsidRDefault="0095196E" w:rsidP="006546B7">
      <w:pPr>
        <w:shd w:val="clear" w:color="auto" w:fill="FFFFFF"/>
        <w:spacing w:before="0"/>
        <w:textAlignment w:val="top"/>
        <w:rPr>
          <w:rFonts w:ascii="Arial" w:hAnsi="Arial" w:cs="Arial"/>
          <w:color w:val="111111"/>
          <w:szCs w:val="24"/>
        </w:rPr>
      </w:pPr>
    </w:p>
    <w:p w14:paraId="1B7BA8C6" w14:textId="77777777" w:rsidR="00C37944" w:rsidRPr="00BC76EB" w:rsidRDefault="00C37944">
      <w:pPr>
        <w:spacing w:before="0" w:after="200" w:line="276" w:lineRule="auto"/>
        <w:rPr>
          <w:rFonts w:ascii="Arial" w:eastAsiaTheme="majorEastAsia" w:hAnsi="Arial" w:cs="Arial"/>
          <w:b/>
          <w:bCs/>
          <w:szCs w:val="24"/>
        </w:rPr>
      </w:pPr>
      <w:bookmarkStart w:id="1" w:name="_Toc290210739"/>
      <w:r w:rsidRPr="00BC76EB">
        <w:rPr>
          <w:rFonts w:ascii="Arial" w:hAnsi="Arial" w:cs="Arial"/>
          <w:szCs w:val="24"/>
        </w:rPr>
        <w:br w:type="page"/>
      </w:r>
    </w:p>
    <w:p w14:paraId="1DE4DAFB" w14:textId="77777777"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14:paraId="6FB19889" w14:textId="77777777"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0B35B94F" w14:textId="77777777" w:rsidR="006546B7" w:rsidRPr="00BC76EB" w:rsidRDefault="006546B7" w:rsidP="006546B7">
      <w:pPr>
        <w:spacing w:before="120" w:after="120"/>
        <w:jc w:val="center"/>
        <w:rPr>
          <w:rFonts w:ascii="Arial" w:hAnsi="Arial" w:cs="Arial"/>
          <w:szCs w:val="24"/>
        </w:rPr>
      </w:pPr>
    </w:p>
    <w:p w14:paraId="2712B0CA" w14:textId="12FD9148" w:rsidR="006546B7" w:rsidRPr="00BC76EB" w:rsidRDefault="00433C07" w:rsidP="006546B7">
      <w:pPr>
        <w:spacing w:before="120" w:after="120"/>
        <w:jc w:val="center"/>
        <w:rPr>
          <w:rFonts w:ascii="Arial" w:hAnsi="Arial" w:cs="Arial"/>
          <w:b/>
          <w:szCs w:val="24"/>
        </w:rPr>
      </w:pPr>
      <w:r w:rsidRPr="00433C07">
        <w:rPr>
          <w:rFonts w:ascii="Arial" w:hAnsi="Arial" w:cs="Arial"/>
          <w:b/>
          <w:szCs w:val="24"/>
        </w:rPr>
        <w:t>Family Assistance (Studying Overseas Full-time) Determination 2021</w:t>
      </w:r>
      <w:r w:rsidR="006546B7" w:rsidRPr="00BC76EB">
        <w:rPr>
          <w:rFonts w:ascii="Arial" w:hAnsi="Arial" w:cs="Arial"/>
          <w:b/>
          <w:szCs w:val="24"/>
        </w:rPr>
        <w:t xml:space="preserve"> </w:t>
      </w:r>
    </w:p>
    <w:p w14:paraId="13150BDA" w14:textId="77777777" w:rsidR="006546B7" w:rsidRPr="00BC76EB" w:rsidRDefault="006546B7" w:rsidP="006546B7">
      <w:pPr>
        <w:spacing w:before="120" w:after="120"/>
        <w:jc w:val="center"/>
        <w:rPr>
          <w:rFonts w:ascii="Arial" w:hAnsi="Arial" w:cs="Arial"/>
          <w:szCs w:val="24"/>
        </w:rPr>
      </w:pPr>
    </w:p>
    <w:p w14:paraId="29747533" w14:textId="59DE3B3F" w:rsidR="006546B7" w:rsidRPr="00BC76EB" w:rsidRDefault="00374A77" w:rsidP="00FD7691">
      <w:pPr>
        <w:spacing w:before="120" w:after="120"/>
        <w:rPr>
          <w:rFonts w:ascii="Arial" w:hAnsi="Arial" w:cs="Arial"/>
          <w:szCs w:val="24"/>
        </w:rPr>
      </w:pPr>
      <w:r w:rsidRPr="00BC76EB">
        <w:rPr>
          <w:rFonts w:ascii="Arial" w:hAnsi="Arial" w:cs="Arial"/>
          <w:szCs w:val="24"/>
        </w:rPr>
        <w:t xml:space="preserve">The </w:t>
      </w:r>
      <w:r w:rsidR="005003DF">
        <w:rPr>
          <w:rFonts w:ascii="Arial" w:hAnsi="Arial" w:cs="Arial"/>
          <w:szCs w:val="24"/>
        </w:rPr>
        <w:t>Determination is</w:t>
      </w:r>
      <w:r w:rsidR="006546B7" w:rsidRPr="00BC76EB">
        <w:rPr>
          <w:rFonts w:ascii="Arial" w:hAnsi="Arial" w:cs="Arial"/>
          <w:szCs w:val="24"/>
        </w:rPr>
        <w:t xml:space="preserve"> 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14:paraId="73C0F88C" w14:textId="77777777" w:rsidR="006546B7" w:rsidRPr="00BC76EB" w:rsidRDefault="002A63EA" w:rsidP="00FD6BF4">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14:paraId="1C6770A0" w14:textId="2754798E" w:rsidR="00C82AB5" w:rsidRDefault="006D5BBB" w:rsidP="006546B7">
      <w:pPr>
        <w:spacing w:before="120" w:after="120"/>
        <w:rPr>
          <w:rFonts w:ascii="Arial" w:hAnsi="Arial" w:cs="Arial"/>
          <w:szCs w:val="24"/>
        </w:rPr>
      </w:pPr>
      <w:r>
        <w:rPr>
          <w:rFonts w:ascii="Arial" w:hAnsi="Arial" w:cs="Arial"/>
          <w:szCs w:val="24"/>
        </w:rPr>
        <w:t xml:space="preserve">The </w:t>
      </w:r>
      <w:r w:rsidRPr="00FD7691">
        <w:rPr>
          <w:rFonts w:ascii="Arial" w:hAnsi="Arial" w:cs="Arial"/>
          <w:i/>
          <w:szCs w:val="24"/>
        </w:rPr>
        <w:t>Family Assistance (Studying Overseas Full-time) Determination 2021</w:t>
      </w:r>
      <w:r>
        <w:rPr>
          <w:rFonts w:ascii="Arial" w:hAnsi="Arial" w:cs="Arial"/>
          <w:i/>
          <w:szCs w:val="24"/>
        </w:rPr>
        <w:t xml:space="preserve"> </w:t>
      </w:r>
      <w:r w:rsidR="00433C07">
        <w:rPr>
          <w:rFonts w:ascii="Arial" w:hAnsi="Arial" w:cs="Arial"/>
          <w:szCs w:val="24"/>
        </w:rPr>
        <w:t xml:space="preserve">(the Determination) </w:t>
      </w:r>
      <w:r>
        <w:rPr>
          <w:rFonts w:ascii="Arial" w:hAnsi="Arial" w:cs="Arial"/>
          <w:szCs w:val="24"/>
        </w:rPr>
        <w:t xml:space="preserve">is made under section 3C of the </w:t>
      </w:r>
      <w:r w:rsidRPr="006D5BBB">
        <w:rPr>
          <w:rFonts w:ascii="Arial" w:hAnsi="Arial" w:cs="Arial"/>
          <w:szCs w:val="24"/>
        </w:rPr>
        <w:t xml:space="preserve">A </w:t>
      </w:r>
      <w:r w:rsidRPr="00FD7691">
        <w:rPr>
          <w:rFonts w:ascii="Arial" w:hAnsi="Arial" w:cs="Arial"/>
          <w:i/>
          <w:szCs w:val="24"/>
        </w:rPr>
        <w:t>New Tax System (Family Assistance) Act 1999</w:t>
      </w:r>
      <w:r w:rsidRPr="006D5BBB">
        <w:rPr>
          <w:rFonts w:ascii="Arial" w:hAnsi="Arial" w:cs="Arial"/>
          <w:szCs w:val="24"/>
        </w:rPr>
        <w:t xml:space="preserve"> (the Act).</w:t>
      </w:r>
      <w:r>
        <w:rPr>
          <w:rFonts w:ascii="Arial" w:hAnsi="Arial" w:cs="Arial"/>
          <w:szCs w:val="24"/>
        </w:rPr>
        <w:t xml:space="preserve"> </w:t>
      </w:r>
      <w:r w:rsidR="00CE5AAD">
        <w:rPr>
          <w:rFonts w:ascii="Arial" w:hAnsi="Arial" w:cs="Arial"/>
          <w:szCs w:val="24"/>
        </w:rPr>
        <w:t xml:space="preserve"> </w:t>
      </w:r>
      <w:r>
        <w:rPr>
          <w:rFonts w:ascii="Arial" w:hAnsi="Arial" w:cs="Arial"/>
          <w:szCs w:val="24"/>
        </w:rPr>
        <w:t xml:space="preserve">Under the </w:t>
      </w:r>
      <w:r>
        <w:rPr>
          <w:rFonts w:ascii="Arial" w:hAnsi="Arial" w:cs="Arial"/>
          <w:i/>
          <w:szCs w:val="24"/>
        </w:rPr>
        <w:t xml:space="preserve">Legislation Act 2003, </w:t>
      </w:r>
      <w:r>
        <w:rPr>
          <w:rFonts w:ascii="Arial" w:hAnsi="Arial" w:cs="Arial"/>
          <w:szCs w:val="24"/>
        </w:rPr>
        <w:t xml:space="preserve">legislative instruments sunset 10 years after commencement, and </w:t>
      </w:r>
      <w:proofErr w:type="gramStart"/>
      <w:r w:rsidR="0089618D">
        <w:rPr>
          <w:rFonts w:ascii="Arial" w:hAnsi="Arial" w:cs="Arial"/>
          <w:szCs w:val="24"/>
        </w:rPr>
        <w:t>are</w:t>
      </w:r>
      <w:r>
        <w:rPr>
          <w:rFonts w:ascii="Arial" w:hAnsi="Arial" w:cs="Arial"/>
          <w:szCs w:val="24"/>
        </w:rPr>
        <w:t xml:space="preserve"> automatically repealed</w:t>
      </w:r>
      <w:proofErr w:type="gramEnd"/>
      <w:r>
        <w:rPr>
          <w:rFonts w:ascii="Arial" w:hAnsi="Arial" w:cs="Arial"/>
          <w:szCs w:val="24"/>
        </w:rPr>
        <w:t xml:space="preserve"> or cease to have effect after that date if no action is taken.  The Determination </w:t>
      </w:r>
      <w:r w:rsidR="006E35C7">
        <w:rPr>
          <w:rFonts w:ascii="Arial" w:hAnsi="Arial" w:cs="Arial"/>
          <w:szCs w:val="24"/>
        </w:rPr>
        <w:t>replace</w:t>
      </w:r>
      <w:r w:rsidR="005A5BE3">
        <w:rPr>
          <w:rFonts w:ascii="Arial" w:hAnsi="Arial" w:cs="Arial"/>
          <w:szCs w:val="24"/>
        </w:rPr>
        <w:t>s</w:t>
      </w:r>
      <w:r w:rsidR="006E35C7">
        <w:rPr>
          <w:rFonts w:ascii="Arial" w:hAnsi="Arial" w:cs="Arial"/>
          <w:szCs w:val="24"/>
        </w:rPr>
        <w:t xml:space="preserve"> the </w:t>
      </w:r>
      <w:r w:rsidR="006E35C7" w:rsidRPr="00FD7691">
        <w:rPr>
          <w:rFonts w:ascii="Arial" w:hAnsi="Arial" w:cs="Arial"/>
          <w:i/>
          <w:szCs w:val="24"/>
          <w:u w:val="single"/>
        </w:rPr>
        <w:t>Family Tax Benefit (Studying Overseas Full-time) Determination 2011</w:t>
      </w:r>
      <w:r w:rsidR="00CE5AAD">
        <w:rPr>
          <w:rFonts w:ascii="Arial" w:hAnsi="Arial" w:cs="Arial"/>
          <w:i/>
          <w:szCs w:val="24"/>
          <w:u w:val="single"/>
        </w:rPr>
        <w:t>,</w:t>
      </w:r>
      <w:r w:rsidR="006E35C7">
        <w:rPr>
          <w:rFonts w:ascii="Arial" w:hAnsi="Arial" w:cs="Arial"/>
          <w:i/>
          <w:szCs w:val="24"/>
          <w:u w:val="single"/>
        </w:rPr>
        <w:t xml:space="preserve"> </w:t>
      </w:r>
      <w:r w:rsidR="006E35C7">
        <w:rPr>
          <w:rFonts w:ascii="Arial" w:hAnsi="Arial" w:cs="Arial"/>
          <w:szCs w:val="24"/>
        </w:rPr>
        <w:t>which</w:t>
      </w:r>
      <w:r>
        <w:rPr>
          <w:rFonts w:ascii="Arial" w:hAnsi="Arial" w:cs="Arial"/>
          <w:szCs w:val="24"/>
        </w:rPr>
        <w:t xml:space="preserve"> is due to sunset on 1 October 2021. </w:t>
      </w:r>
    </w:p>
    <w:p w14:paraId="0AFC70A4" w14:textId="56A76330" w:rsidR="00CE5AAD" w:rsidRDefault="00CE5AAD" w:rsidP="00CE5AAD">
      <w:pPr>
        <w:spacing w:before="120" w:after="120"/>
        <w:rPr>
          <w:rFonts w:ascii="Arial" w:hAnsi="Arial" w:cs="Arial"/>
          <w:szCs w:val="24"/>
        </w:rPr>
      </w:pPr>
      <w:r w:rsidRPr="00CE5AAD">
        <w:rPr>
          <w:rFonts w:ascii="Arial" w:hAnsi="Arial" w:cs="Arial"/>
          <w:szCs w:val="24"/>
        </w:rPr>
        <w:t xml:space="preserve">Children aged 16-19 qualify as </w:t>
      </w:r>
      <w:r>
        <w:rPr>
          <w:rFonts w:ascii="Arial" w:hAnsi="Arial" w:cs="Arial"/>
          <w:szCs w:val="24"/>
        </w:rPr>
        <w:t>Family Tax Benefit</w:t>
      </w:r>
      <w:r w:rsidRPr="00CE5AAD">
        <w:rPr>
          <w:rFonts w:ascii="Arial" w:hAnsi="Arial" w:cs="Arial"/>
          <w:szCs w:val="24"/>
        </w:rPr>
        <w:t xml:space="preserve"> children if they are participating in full-time study</w:t>
      </w:r>
      <w:r w:rsidR="00433C07">
        <w:rPr>
          <w:rFonts w:ascii="Arial" w:hAnsi="Arial" w:cs="Arial"/>
          <w:szCs w:val="24"/>
        </w:rPr>
        <w:t xml:space="preserve"> senior secondary study</w:t>
      </w:r>
      <w:r w:rsidRPr="00CE5AAD">
        <w:rPr>
          <w:rFonts w:ascii="Arial" w:hAnsi="Arial" w:cs="Arial"/>
          <w:szCs w:val="24"/>
        </w:rPr>
        <w:t xml:space="preserve">. </w:t>
      </w:r>
      <w:r>
        <w:rPr>
          <w:rFonts w:ascii="Arial" w:hAnsi="Arial" w:cs="Arial"/>
          <w:szCs w:val="24"/>
        </w:rPr>
        <w:t>The Determination defines</w:t>
      </w:r>
      <w:r w:rsidRPr="00CE5AAD">
        <w:rPr>
          <w:rFonts w:ascii="Arial" w:hAnsi="Arial" w:cs="Arial"/>
          <w:szCs w:val="24"/>
        </w:rPr>
        <w:t xml:space="preserve"> the requirements </w:t>
      </w:r>
      <w:r>
        <w:rPr>
          <w:rFonts w:ascii="Arial" w:hAnsi="Arial" w:cs="Arial"/>
          <w:szCs w:val="24"/>
        </w:rPr>
        <w:t>for a Family Tax Benefit child to</w:t>
      </w:r>
      <w:r w:rsidRPr="00CE5AAD">
        <w:rPr>
          <w:rFonts w:ascii="Arial" w:hAnsi="Arial" w:cs="Arial"/>
          <w:szCs w:val="24"/>
        </w:rPr>
        <w:t xml:space="preserve"> </w:t>
      </w:r>
      <w:proofErr w:type="gramStart"/>
      <w:r w:rsidRPr="00CE5AAD">
        <w:rPr>
          <w:rFonts w:ascii="Arial" w:hAnsi="Arial" w:cs="Arial"/>
          <w:szCs w:val="24"/>
        </w:rPr>
        <w:t>be cons</w:t>
      </w:r>
      <w:r>
        <w:rPr>
          <w:rFonts w:ascii="Arial" w:hAnsi="Arial" w:cs="Arial"/>
          <w:szCs w:val="24"/>
        </w:rPr>
        <w:t>idered</w:t>
      </w:r>
      <w:proofErr w:type="gramEnd"/>
      <w:r>
        <w:rPr>
          <w:rFonts w:ascii="Arial" w:hAnsi="Arial" w:cs="Arial"/>
          <w:szCs w:val="24"/>
        </w:rPr>
        <w:t xml:space="preserve"> to be “studying overseas full-time”</w:t>
      </w:r>
      <w:r w:rsidR="00433C07">
        <w:rPr>
          <w:rFonts w:ascii="Arial" w:hAnsi="Arial" w:cs="Arial"/>
          <w:szCs w:val="24"/>
        </w:rPr>
        <w:t xml:space="preserve"> in order to meet the criteria to be a senior secondary school child under s</w:t>
      </w:r>
      <w:r w:rsidR="00571504">
        <w:rPr>
          <w:rFonts w:ascii="Arial" w:hAnsi="Arial" w:cs="Arial"/>
          <w:szCs w:val="24"/>
        </w:rPr>
        <w:t xml:space="preserve">ection </w:t>
      </w:r>
      <w:r w:rsidR="00433C07">
        <w:rPr>
          <w:rFonts w:ascii="Arial" w:hAnsi="Arial" w:cs="Arial"/>
          <w:szCs w:val="24"/>
        </w:rPr>
        <w:t>22B of the Act</w:t>
      </w:r>
      <w:r>
        <w:rPr>
          <w:rFonts w:ascii="Arial" w:hAnsi="Arial" w:cs="Arial"/>
          <w:szCs w:val="24"/>
        </w:rPr>
        <w:t xml:space="preserve">.  It thereby enables </w:t>
      </w:r>
      <w:r w:rsidRPr="00CE5AAD">
        <w:rPr>
          <w:rFonts w:ascii="Arial" w:hAnsi="Arial" w:cs="Arial"/>
          <w:szCs w:val="24"/>
        </w:rPr>
        <w:t>children parti</w:t>
      </w:r>
      <w:r>
        <w:rPr>
          <w:rFonts w:ascii="Arial" w:hAnsi="Arial" w:cs="Arial"/>
          <w:szCs w:val="24"/>
        </w:rPr>
        <w:t xml:space="preserve">cipating in full-time education </w:t>
      </w:r>
      <w:r w:rsidRPr="00CE5AAD">
        <w:rPr>
          <w:rFonts w:ascii="Arial" w:hAnsi="Arial" w:cs="Arial"/>
          <w:szCs w:val="24"/>
        </w:rPr>
        <w:t xml:space="preserve">overseas to meet Family Tax Benefit participation requirements in order to </w:t>
      </w:r>
      <w:proofErr w:type="gramStart"/>
      <w:r w:rsidRPr="00CE5AAD">
        <w:rPr>
          <w:rFonts w:ascii="Arial" w:hAnsi="Arial" w:cs="Arial"/>
          <w:szCs w:val="24"/>
        </w:rPr>
        <w:t>be considered</w:t>
      </w:r>
      <w:proofErr w:type="gramEnd"/>
      <w:r w:rsidRPr="00CE5AAD">
        <w:rPr>
          <w:rFonts w:ascii="Arial" w:hAnsi="Arial" w:cs="Arial"/>
          <w:szCs w:val="24"/>
        </w:rPr>
        <w:t xml:space="preserve"> </w:t>
      </w:r>
      <w:r>
        <w:rPr>
          <w:rFonts w:ascii="Arial" w:hAnsi="Arial" w:cs="Arial"/>
          <w:szCs w:val="24"/>
        </w:rPr>
        <w:t xml:space="preserve">Family Tax Benefit </w:t>
      </w:r>
      <w:r w:rsidRPr="00CE5AAD">
        <w:rPr>
          <w:rFonts w:ascii="Arial" w:hAnsi="Arial" w:cs="Arial"/>
          <w:szCs w:val="24"/>
        </w:rPr>
        <w:t>childr</w:t>
      </w:r>
      <w:r>
        <w:rPr>
          <w:rFonts w:ascii="Arial" w:hAnsi="Arial" w:cs="Arial"/>
          <w:szCs w:val="24"/>
        </w:rPr>
        <w:t>en under family assistance law.</w:t>
      </w:r>
    </w:p>
    <w:p w14:paraId="62560A3F" w14:textId="0BE46088" w:rsidR="0089618D" w:rsidRDefault="00CE5AAD" w:rsidP="00FD7691">
      <w:pPr>
        <w:spacing w:before="120" w:after="120"/>
        <w:rPr>
          <w:rFonts w:ascii="Arial" w:hAnsi="Arial" w:cs="Arial"/>
          <w:szCs w:val="24"/>
        </w:rPr>
      </w:pPr>
      <w:r>
        <w:rPr>
          <w:rFonts w:ascii="Arial" w:hAnsi="Arial" w:cs="Arial"/>
          <w:szCs w:val="24"/>
        </w:rPr>
        <w:t>The current Family Tax Benefit portability period is 6 weeks, meaning that most</w:t>
      </w:r>
      <w:r w:rsidRPr="00CE5AAD">
        <w:rPr>
          <w:rFonts w:ascii="Arial" w:hAnsi="Arial" w:cs="Arial"/>
          <w:szCs w:val="24"/>
        </w:rPr>
        <w:t xml:space="preserve"> famil</w:t>
      </w:r>
      <w:r>
        <w:rPr>
          <w:rFonts w:ascii="Arial" w:hAnsi="Arial" w:cs="Arial"/>
          <w:szCs w:val="24"/>
        </w:rPr>
        <w:t xml:space="preserve">ies residing outside of Australia </w:t>
      </w:r>
      <w:r w:rsidRPr="00CE5AAD">
        <w:rPr>
          <w:rFonts w:ascii="Arial" w:hAnsi="Arial" w:cs="Arial"/>
          <w:szCs w:val="24"/>
        </w:rPr>
        <w:t>for long enough for their children to be able to en</w:t>
      </w:r>
      <w:r>
        <w:rPr>
          <w:rFonts w:ascii="Arial" w:hAnsi="Arial" w:cs="Arial"/>
          <w:szCs w:val="24"/>
        </w:rPr>
        <w:t xml:space="preserve">rol in full-time overseas study are not eligible for Family Tax Benefit.  However, </w:t>
      </w:r>
      <w:r w:rsidRPr="00CE5AAD">
        <w:rPr>
          <w:rFonts w:ascii="Arial" w:hAnsi="Arial" w:cs="Arial"/>
          <w:szCs w:val="24"/>
        </w:rPr>
        <w:t>families with a portability extension</w:t>
      </w:r>
      <w:r w:rsidR="00DF22EB">
        <w:rPr>
          <w:rFonts w:ascii="Arial" w:hAnsi="Arial" w:cs="Arial"/>
          <w:szCs w:val="24"/>
        </w:rPr>
        <w:t xml:space="preserve"> of up to three years</w:t>
      </w:r>
      <w:r w:rsidRPr="00CE5AAD">
        <w:rPr>
          <w:rFonts w:ascii="Arial" w:hAnsi="Arial" w:cs="Arial"/>
          <w:szCs w:val="24"/>
        </w:rPr>
        <w:t xml:space="preserve"> who have children stu</w:t>
      </w:r>
      <w:r>
        <w:rPr>
          <w:rFonts w:ascii="Arial" w:hAnsi="Arial" w:cs="Arial"/>
          <w:szCs w:val="24"/>
        </w:rPr>
        <w:t>dying overseas full-time</w:t>
      </w:r>
      <w:r w:rsidR="00DF22EB">
        <w:rPr>
          <w:rFonts w:ascii="Arial" w:hAnsi="Arial" w:cs="Arial"/>
          <w:szCs w:val="24"/>
        </w:rPr>
        <w:t xml:space="preserve"> will</w:t>
      </w:r>
      <w:r>
        <w:rPr>
          <w:rFonts w:ascii="Arial" w:hAnsi="Arial" w:cs="Arial"/>
          <w:szCs w:val="24"/>
        </w:rPr>
        <w:t xml:space="preserve"> depend </w:t>
      </w:r>
      <w:r w:rsidRPr="00CE5AAD">
        <w:rPr>
          <w:rFonts w:ascii="Arial" w:hAnsi="Arial" w:cs="Arial"/>
          <w:szCs w:val="24"/>
        </w:rPr>
        <w:t xml:space="preserve">on the </w:t>
      </w:r>
      <w:r w:rsidR="00DF22EB">
        <w:rPr>
          <w:rFonts w:ascii="Arial" w:hAnsi="Arial" w:cs="Arial"/>
          <w:szCs w:val="24"/>
        </w:rPr>
        <w:t>Determination</w:t>
      </w:r>
      <w:r w:rsidRPr="00CE5AAD">
        <w:rPr>
          <w:rFonts w:ascii="Arial" w:hAnsi="Arial" w:cs="Arial"/>
          <w:szCs w:val="24"/>
        </w:rPr>
        <w:t xml:space="preserve"> </w:t>
      </w:r>
      <w:r w:rsidR="00433C07">
        <w:rPr>
          <w:rFonts w:ascii="Arial" w:hAnsi="Arial" w:cs="Arial"/>
          <w:szCs w:val="24"/>
        </w:rPr>
        <w:t>to retain eligibility for</w:t>
      </w:r>
      <w:r w:rsidRPr="00CE5AAD">
        <w:rPr>
          <w:rFonts w:ascii="Arial" w:hAnsi="Arial" w:cs="Arial"/>
          <w:szCs w:val="24"/>
        </w:rPr>
        <w:t xml:space="preserve"> </w:t>
      </w:r>
      <w:r w:rsidR="00DF22EB">
        <w:rPr>
          <w:rFonts w:ascii="Arial" w:hAnsi="Arial" w:cs="Arial"/>
          <w:szCs w:val="24"/>
        </w:rPr>
        <w:t>Family Tax Benefit</w:t>
      </w:r>
      <w:r>
        <w:rPr>
          <w:rFonts w:ascii="Arial" w:hAnsi="Arial" w:cs="Arial"/>
          <w:szCs w:val="24"/>
        </w:rPr>
        <w:t>. They comprise f</w:t>
      </w:r>
      <w:r w:rsidRPr="00CE5AAD">
        <w:rPr>
          <w:rFonts w:ascii="Arial" w:hAnsi="Arial" w:cs="Arial"/>
          <w:szCs w:val="24"/>
        </w:rPr>
        <w:t xml:space="preserve">amilies who experience certain </w:t>
      </w:r>
      <w:r w:rsidR="00433C07">
        <w:rPr>
          <w:rFonts w:ascii="Arial" w:hAnsi="Arial" w:cs="Arial"/>
          <w:szCs w:val="24"/>
        </w:rPr>
        <w:t>exceptional</w:t>
      </w:r>
      <w:r w:rsidRPr="00CE5AAD">
        <w:rPr>
          <w:rFonts w:ascii="Arial" w:hAnsi="Arial" w:cs="Arial"/>
          <w:szCs w:val="24"/>
        </w:rPr>
        <w:t xml:space="preserve"> circumstances whilst </w:t>
      </w:r>
      <w:r>
        <w:rPr>
          <w:rFonts w:ascii="Arial" w:hAnsi="Arial" w:cs="Arial"/>
          <w:szCs w:val="24"/>
        </w:rPr>
        <w:t xml:space="preserve">overseas that prevent them from returning home, and those </w:t>
      </w:r>
      <w:r w:rsidRPr="00CE5AAD">
        <w:rPr>
          <w:rFonts w:ascii="Arial" w:hAnsi="Arial" w:cs="Arial"/>
          <w:szCs w:val="24"/>
        </w:rPr>
        <w:t>who are overseas on the Medical Treatment Overseas Program.</w:t>
      </w:r>
    </w:p>
    <w:p w14:paraId="5F2C019E" w14:textId="73B5CD1A" w:rsidR="0089618D" w:rsidRDefault="00D93D78" w:rsidP="00FD7691">
      <w:pPr>
        <w:spacing w:before="120" w:after="120"/>
        <w:rPr>
          <w:rFonts w:ascii="Arial" w:hAnsi="Arial" w:cs="Arial"/>
          <w:szCs w:val="24"/>
        </w:rPr>
      </w:pPr>
      <w:r>
        <w:rPr>
          <w:rFonts w:ascii="Arial" w:hAnsi="Arial" w:cs="Arial"/>
          <w:szCs w:val="24"/>
        </w:rPr>
        <w:t xml:space="preserve">The Determination largely replicates the </w:t>
      </w:r>
      <w:r w:rsidR="00433C07" w:rsidRPr="00433C07">
        <w:rPr>
          <w:rFonts w:ascii="Arial" w:hAnsi="Arial" w:cs="Arial"/>
          <w:i/>
          <w:szCs w:val="24"/>
          <w:u w:val="single"/>
        </w:rPr>
        <w:t>Family Tax Benefit (Studying Overseas Full-time) Determination 2011</w:t>
      </w:r>
      <w:r>
        <w:rPr>
          <w:rFonts w:ascii="Arial" w:hAnsi="Arial" w:cs="Arial"/>
          <w:szCs w:val="24"/>
        </w:rPr>
        <w:t xml:space="preserve">. </w:t>
      </w:r>
    </w:p>
    <w:p w14:paraId="72CA2DDE" w14:textId="77777777" w:rsidR="0089618D" w:rsidRDefault="0089618D" w:rsidP="00FD7691">
      <w:pPr>
        <w:spacing w:before="120" w:after="120"/>
        <w:rPr>
          <w:rFonts w:ascii="Arial" w:hAnsi="Arial" w:cs="Arial"/>
          <w:b/>
          <w:szCs w:val="24"/>
        </w:rPr>
      </w:pPr>
    </w:p>
    <w:p w14:paraId="5EFFCFB4" w14:textId="1641BBB1" w:rsidR="006546B7" w:rsidRPr="00FD7691" w:rsidRDefault="006546B7" w:rsidP="00FD7691">
      <w:pPr>
        <w:spacing w:before="120" w:after="120"/>
        <w:rPr>
          <w:rFonts w:ascii="Arial" w:hAnsi="Arial" w:cs="Arial"/>
          <w:szCs w:val="24"/>
        </w:rPr>
      </w:pPr>
      <w:r w:rsidRPr="00BC76EB">
        <w:rPr>
          <w:rFonts w:ascii="Arial" w:hAnsi="Arial" w:cs="Arial"/>
          <w:b/>
          <w:szCs w:val="24"/>
        </w:rPr>
        <w:t>Human rights implications</w:t>
      </w:r>
    </w:p>
    <w:p w14:paraId="457D77C1" w14:textId="0AA587FB" w:rsidR="00D520A1" w:rsidRPr="00FD7691" w:rsidRDefault="00D520A1" w:rsidP="00FD7691">
      <w:pPr>
        <w:spacing w:before="120" w:after="120"/>
        <w:rPr>
          <w:rFonts w:ascii="Arial" w:hAnsi="Arial" w:cs="Arial"/>
          <w:szCs w:val="24"/>
        </w:rPr>
      </w:pPr>
      <w:r w:rsidRPr="00F61A88">
        <w:rPr>
          <w:rFonts w:ascii="Arial" w:hAnsi="Arial" w:cs="Arial"/>
          <w:szCs w:val="24"/>
        </w:rPr>
        <w:t>This legislative instrument engages the following rights:</w:t>
      </w:r>
    </w:p>
    <w:p w14:paraId="1D8D3822" w14:textId="0B5E6434" w:rsidR="00040CE0" w:rsidRDefault="005E491A" w:rsidP="00FD7691">
      <w:pPr>
        <w:pStyle w:val="ListParagraph"/>
        <w:numPr>
          <w:ilvl w:val="0"/>
          <w:numId w:val="6"/>
        </w:numPr>
        <w:spacing w:before="0"/>
        <w:ind w:left="714" w:hanging="357"/>
        <w:contextualSpacing w:val="0"/>
        <w:rPr>
          <w:rFonts w:ascii="Arial" w:hAnsi="Arial" w:cs="Arial"/>
          <w:szCs w:val="24"/>
        </w:rPr>
      </w:pPr>
      <w:r>
        <w:rPr>
          <w:rFonts w:ascii="Arial" w:hAnsi="Arial" w:cs="Arial"/>
          <w:szCs w:val="24"/>
        </w:rPr>
        <w:t>t</w:t>
      </w:r>
      <w:r w:rsidR="00CA02B6">
        <w:rPr>
          <w:rFonts w:ascii="Arial" w:hAnsi="Arial" w:cs="Arial"/>
          <w:szCs w:val="24"/>
        </w:rPr>
        <w:t>he right to social security</w:t>
      </w:r>
      <w:r>
        <w:rPr>
          <w:rFonts w:ascii="Arial" w:hAnsi="Arial" w:cs="Arial"/>
          <w:szCs w:val="24"/>
        </w:rPr>
        <w:t xml:space="preserve"> – Article 9 of the </w:t>
      </w:r>
      <w:r w:rsidRPr="00FD7691">
        <w:rPr>
          <w:rFonts w:ascii="Arial" w:hAnsi="Arial" w:cs="Arial"/>
          <w:bCs/>
          <w:i/>
          <w:szCs w:val="24"/>
        </w:rPr>
        <w:t>International Covenant on Economic, Social and Cultural Rights</w:t>
      </w:r>
      <w:r>
        <w:rPr>
          <w:rFonts w:ascii="Arial" w:hAnsi="Arial" w:cs="Arial"/>
          <w:bCs/>
          <w:szCs w:val="24"/>
        </w:rPr>
        <w:t xml:space="preserve"> (ICESCR), read with Article 2</w:t>
      </w:r>
      <w:r w:rsidR="00CA02B6">
        <w:rPr>
          <w:rFonts w:ascii="Arial" w:hAnsi="Arial" w:cs="Arial"/>
          <w:szCs w:val="24"/>
        </w:rPr>
        <w:t>;</w:t>
      </w:r>
    </w:p>
    <w:p w14:paraId="5077D4C8" w14:textId="4E79A3EB" w:rsidR="005E491A" w:rsidRDefault="005E491A" w:rsidP="00FD7691">
      <w:pPr>
        <w:pStyle w:val="ListParagraph"/>
        <w:numPr>
          <w:ilvl w:val="0"/>
          <w:numId w:val="6"/>
        </w:numPr>
        <w:spacing w:before="0"/>
        <w:ind w:left="714" w:hanging="357"/>
        <w:contextualSpacing w:val="0"/>
        <w:rPr>
          <w:rFonts w:ascii="Arial" w:hAnsi="Arial" w:cs="Arial"/>
          <w:szCs w:val="24"/>
        </w:rPr>
      </w:pPr>
      <w:r>
        <w:rPr>
          <w:rFonts w:ascii="Arial" w:hAnsi="Arial" w:cs="Arial"/>
          <w:szCs w:val="24"/>
        </w:rPr>
        <w:t xml:space="preserve">the right of a child to benefit from social security – Article 26 of the </w:t>
      </w:r>
      <w:r w:rsidRPr="00FD7691">
        <w:rPr>
          <w:rFonts w:ascii="Arial" w:hAnsi="Arial" w:cs="Arial"/>
          <w:i/>
          <w:szCs w:val="24"/>
        </w:rPr>
        <w:t>Convention of the Rights of the Child</w:t>
      </w:r>
      <w:r>
        <w:rPr>
          <w:rFonts w:ascii="Arial" w:hAnsi="Arial" w:cs="Arial"/>
          <w:szCs w:val="24"/>
        </w:rPr>
        <w:t xml:space="preserve"> (CRC)</w:t>
      </w:r>
      <w:r w:rsidR="00B50997">
        <w:rPr>
          <w:rFonts w:ascii="Arial" w:hAnsi="Arial" w:cs="Arial"/>
          <w:szCs w:val="24"/>
        </w:rPr>
        <w:t>;</w:t>
      </w:r>
    </w:p>
    <w:p w14:paraId="64B881CB" w14:textId="3F36E553" w:rsidR="00CA02B6" w:rsidRDefault="005A5BE3" w:rsidP="00FD7691">
      <w:pPr>
        <w:pStyle w:val="ListParagraph"/>
        <w:numPr>
          <w:ilvl w:val="0"/>
          <w:numId w:val="6"/>
        </w:numPr>
        <w:spacing w:before="0"/>
        <w:ind w:left="714" w:hanging="357"/>
        <w:contextualSpacing w:val="0"/>
        <w:rPr>
          <w:rFonts w:ascii="Arial" w:hAnsi="Arial" w:cs="Arial"/>
          <w:szCs w:val="24"/>
        </w:rPr>
      </w:pPr>
      <w:r>
        <w:rPr>
          <w:rFonts w:ascii="Arial" w:hAnsi="Arial" w:cs="Arial"/>
          <w:szCs w:val="24"/>
        </w:rPr>
        <w:t>t</w:t>
      </w:r>
      <w:r w:rsidR="00CA02B6">
        <w:rPr>
          <w:rFonts w:ascii="Arial" w:hAnsi="Arial" w:cs="Arial"/>
          <w:szCs w:val="24"/>
        </w:rPr>
        <w:t xml:space="preserve">he right to </w:t>
      </w:r>
      <w:r w:rsidR="00E80A0A">
        <w:rPr>
          <w:rFonts w:ascii="Arial" w:hAnsi="Arial" w:cs="Arial"/>
          <w:szCs w:val="24"/>
        </w:rPr>
        <w:t>an adequate standard of living</w:t>
      </w:r>
      <w:r w:rsidR="00C5481E">
        <w:rPr>
          <w:rFonts w:ascii="Arial" w:hAnsi="Arial" w:cs="Arial"/>
          <w:szCs w:val="24"/>
        </w:rPr>
        <w:t xml:space="preserve"> – Article 11 of the </w:t>
      </w:r>
      <w:r w:rsidR="00C5481E">
        <w:rPr>
          <w:rFonts w:ascii="Arial" w:hAnsi="Arial" w:cs="Arial"/>
          <w:bCs/>
          <w:szCs w:val="24"/>
        </w:rPr>
        <w:t>ICESCR</w:t>
      </w:r>
      <w:r w:rsidR="0089618D">
        <w:rPr>
          <w:rFonts w:ascii="Arial" w:hAnsi="Arial" w:cs="Arial"/>
          <w:szCs w:val="24"/>
        </w:rPr>
        <w:t>;</w:t>
      </w:r>
    </w:p>
    <w:p w14:paraId="33E15743" w14:textId="3808711A" w:rsidR="00E80A0A" w:rsidRPr="00FD7691" w:rsidRDefault="005A5BE3" w:rsidP="00FD7691">
      <w:pPr>
        <w:pStyle w:val="ListParagraph"/>
        <w:numPr>
          <w:ilvl w:val="0"/>
          <w:numId w:val="6"/>
        </w:numPr>
        <w:spacing w:before="0"/>
        <w:ind w:left="714" w:hanging="357"/>
        <w:contextualSpacing w:val="0"/>
        <w:rPr>
          <w:rFonts w:ascii="Arial" w:hAnsi="Arial" w:cs="Arial"/>
          <w:szCs w:val="24"/>
        </w:rPr>
      </w:pPr>
      <w:proofErr w:type="gramStart"/>
      <w:r>
        <w:rPr>
          <w:rFonts w:ascii="Arial" w:hAnsi="Arial" w:cs="Arial"/>
          <w:szCs w:val="24"/>
        </w:rPr>
        <w:t>t</w:t>
      </w:r>
      <w:r w:rsidR="00E80A0A">
        <w:rPr>
          <w:rFonts w:ascii="Arial" w:hAnsi="Arial" w:cs="Arial"/>
          <w:szCs w:val="24"/>
        </w:rPr>
        <w:t>he</w:t>
      </w:r>
      <w:proofErr w:type="gramEnd"/>
      <w:r w:rsidR="00E80A0A">
        <w:rPr>
          <w:rFonts w:ascii="Arial" w:hAnsi="Arial" w:cs="Arial"/>
          <w:szCs w:val="24"/>
        </w:rPr>
        <w:t xml:space="preserve"> right </w:t>
      </w:r>
      <w:r w:rsidR="00B50997">
        <w:rPr>
          <w:rFonts w:ascii="Arial" w:hAnsi="Arial" w:cs="Arial"/>
          <w:szCs w:val="24"/>
        </w:rPr>
        <w:t xml:space="preserve">of a child </w:t>
      </w:r>
      <w:r w:rsidR="00E80A0A">
        <w:rPr>
          <w:rFonts w:ascii="Arial" w:hAnsi="Arial" w:cs="Arial"/>
          <w:szCs w:val="24"/>
        </w:rPr>
        <w:t>to education</w:t>
      </w:r>
      <w:r w:rsidR="00DC08AA">
        <w:rPr>
          <w:rFonts w:ascii="Arial" w:hAnsi="Arial" w:cs="Arial"/>
          <w:szCs w:val="24"/>
        </w:rPr>
        <w:t xml:space="preserve"> – Article 28 of the CRC</w:t>
      </w:r>
      <w:r w:rsidR="0089618D">
        <w:rPr>
          <w:rFonts w:ascii="Arial" w:hAnsi="Arial" w:cs="Arial"/>
          <w:szCs w:val="24"/>
        </w:rPr>
        <w:t>.</w:t>
      </w:r>
    </w:p>
    <w:p w14:paraId="33316264" w14:textId="5696DF8B" w:rsidR="00CC3190" w:rsidRDefault="00CC3190" w:rsidP="00D520A1">
      <w:pPr>
        <w:spacing w:before="120" w:after="120"/>
        <w:rPr>
          <w:rFonts w:ascii="Arial" w:hAnsi="Arial" w:cs="Arial"/>
          <w:szCs w:val="24"/>
        </w:rPr>
      </w:pPr>
    </w:p>
    <w:p w14:paraId="0B066001" w14:textId="547124F7" w:rsidR="00CC3190" w:rsidRPr="00E77BCC" w:rsidRDefault="00CC3190" w:rsidP="00D520A1">
      <w:pPr>
        <w:spacing w:before="120" w:after="120"/>
        <w:rPr>
          <w:rFonts w:ascii="Arial" w:hAnsi="Arial" w:cs="Arial"/>
          <w:i/>
          <w:szCs w:val="24"/>
        </w:rPr>
      </w:pPr>
      <w:r>
        <w:rPr>
          <w:rFonts w:ascii="Arial" w:hAnsi="Arial" w:cs="Arial"/>
          <w:i/>
          <w:szCs w:val="24"/>
        </w:rPr>
        <w:t xml:space="preserve">Right to social security </w:t>
      </w:r>
      <w:r w:rsidR="007A14AE" w:rsidRPr="007A14AE">
        <w:rPr>
          <w:rFonts w:ascii="Arial" w:hAnsi="Arial" w:cs="Arial"/>
          <w:i/>
          <w:szCs w:val="24"/>
        </w:rPr>
        <w:t>the right of a child to benefit from social security</w:t>
      </w:r>
    </w:p>
    <w:p w14:paraId="249EF28D" w14:textId="747E0ABC" w:rsidR="00A27007" w:rsidRDefault="00CC3190" w:rsidP="00CC3190">
      <w:pPr>
        <w:spacing w:before="120" w:after="120"/>
        <w:rPr>
          <w:rFonts w:ascii="Arial" w:hAnsi="Arial" w:cs="Arial"/>
          <w:szCs w:val="24"/>
        </w:rPr>
      </w:pPr>
      <w:r w:rsidRPr="00CC3190">
        <w:rPr>
          <w:rFonts w:ascii="Arial" w:hAnsi="Arial" w:cs="Arial"/>
          <w:szCs w:val="24"/>
        </w:rPr>
        <w:t xml:space="preserve">Article 9 of the ICESCR recognises the right </w:t>
      </w:r>
      <w:r>
        <w:rPr>
          <w:rFonts w:ascii="Arial" w:hAnsi="Arial" w:cs="Arial"/>
          <w:szCs w:val="24"/>
        </w:rPr>
        <w:t>of everyone to social security</w:t>
      </w:r>
      <w:r w:rsidR="00CA02B6">
        <w:rPr>
          <w:rFonts w:ascii="Arial" w:hAnsi="Arial" w:cs="Arial"/>
          <w:szCs w:val="24"/>
        </w:rPr>
        <w:t xml:space="preserve">, while </w:t>
      </w:r>
      <w:r w:rsidRPr="00CC3190">
        <w:rPr>
          <w:rFonts w:ascii="Arial" w:hAnsi="Arial" w:cs="Arial"/>
          <w:szCs w:val="24"/>
        </w:rPr>
        <w:t>Article 26 of the CRC recognises th</w:t>
      </w:r>
      <w:r>
        <w:rPr>
          <w:rFonts w:ascii="Arial" w:hAnsi="Arial" w:cs="Arial"/>
          <w:szCs w:val="24"/>
        </w:rPr>
        <w:t xml:space="preserve">at every child has the right to </w:t>
      </w:r>
      <w:r w:rsidRPr="00CC3190">
        <w:rPr>
          <w:rFonts w:ascii="Arial" w:hAnsi="Arial" w:cs="Arial"/>
          <w:szCs w:val="24"/>
        </w:rPr>
        <w:t xml:space="preserve">benefit from social security. </w:t>
      </w:r>
      <w:r>
        <w:rPr>
          <w:rFonts w:ascii="Arial" w:hAnsi="Arial" w:cs="Arial"/>
          <w:szCs w:val="24"/>
        </w:rPr>
        <w:t>The Determination promotes these rights by enabling</w:t>
      </w:r>
      <w:r w:rsidRPr="00CC3190">
        <w:rPr>
          <w:rFonts w:ascii="Arial" w:hAnsi="Arial" w:cs="Arial"/>
          <w:szCs w:val="24"/>
        </w:rPr>
        <w:t xml:space="preserve"> children parti</w:t>
      </w:r>
      <w:r>
        <w:rPr>
          <w:rFonts w:ascii="Arial" w:hAnsi="Arial" w:cs="Arial"/>
          <w:szCs w:val="24"/>
        </w:rPr>
        <w:t xml:space="preserve">cipating in full-time education </w:t>
      </w:r>
      <w:r w:rsidRPr="00CC3190">
        <w:rPr>
          <w:rFonts w:ascii="Arial" w:hAnsi="Arial" w:cs="Arial"/>
          <w:szCs w:val="24"/>
        </w:rPr>
        <w:t>over</w:t>
      </w:r>
      <w:r w:rsidR="00040CE0">
        <w:rPr>
          <w:rFonts w:ascii="Arial" w:hAnsi="Arial" w:cs="Arial"/>
          <w:szCs w:val="24"/>
        </w:rPr>
        <w:t xml:space="preserve">seas to </w:t>
      </w:r>
      <w:r w:rsidRPr="00CC3190">
        <w:rPr>
          <w:rFonts w:ascii="Arial" w:hAnsi="Arial" w:cs="Arial"/>
          <w:szCs w:val="24"/>
        </w:rPr>
        <w:t>be consider</w:t>
      </w:r>
      <w:r>
        <w:rPr>
          <w:rFonts w:ascii="Arial" w:hAnsi="Arial" w:cs="Arial"/>
          <w:szCs w:val="24"/>
        </w:rPr>
        <w:t xml:space="preserve">ed Family Tax Benefit </w:t>
      </w:r>
      <w:r w:rsidRPr="00CC3190">
        <w:rPr>
          <w:rFonts w:ascii="Arial" w:hAnsi="Arial" w:cs="Arial"/>
          <w:szCs w:val="24"/>
        </w:rPr>
        <w:t xml:space="preserve">children under </w:t>
      </w:r>
      <w:r>
        <w:rPr>
          <w:rFonts w:ascii="Arial" w:hAnsi="Arial" w:cs="Arial"/>
          <w:szCs w:val="24"/>
        </w:rPr>
        <w:t>the Act, allowing them and their famili</w:t>
      </w:r>
      <w:r w:rsidR="00040CE0">
        <w:rPr>
          <w:rFonts w:ascii="Arial" w:hAnsi="Arial" w:cs="Arial"/>
          <w:szCs w:val="24"/>
        </w:rPr>
        <w:t xml:space="preserve">es to benefit from the payment where they would </w:t>
      </w:r>
      <w:r w:rsidR="008D22F9">
        <w:rPr>
          <w:rFonts w:ascii="Arial" w:hAnsi="Arial" w:cs="Arial"/>
          <w:szCs w:val="24"/>
        </w:rPr>
        <w:t xml:space="preserve">otherwise be </w:t>
      </w:r>
      <w:proofErr w:type="gramStart"/>
      <w:r w:rsidR="008D22F9">
        <w:rPr>
          <w:rFonts w:ascii="Arial" w:hAnsi="Arial" w:cs="Arial"/>
          <w:szCs w:val="24"/>
        </w:rPr>
        <w:t>unable to</w:t>
      </w:r>
      <w:r w:rsidR="00A82FA1">
        <w:rPr>
          <w:rFonts w:ascii="Arial" w:hAnsi="Arial" w:cs="Arial"/>
          <w:szCs w:val="24"/>
        </w:rPr>
        <w:t>.</w:t>
      </w:r>
      <w:proofErr w:type="gramEnd"/>
    </w:p>
    <w:p w14:paraId="043AD26F" w14:textId="214CE5F3" w:rsidR="00CA02B6" w:rsidRDefault="00CA02B6" w:rsidP="00CC3190">
      <w:pPr>
        <w:spacing w:before="120" w:after="120"/>
        <w:rPr>
          <w:rFonts w:ascii="Arial" w:hAnsi="Arial" w:cs="Arial"/>
          <w:szCs w:val="24"/>
        </w:rPr>
      </w:pPr>
    </w:p>
    <w:p w14:paraId="1E1E4C5C" w14:textId="6F31EDA7" w:rsidR="00CA02B6" w:rsidRDefault="00CA02B6" w:rsidP="00CC3190">
      <w:pPr>
        <w:spacing w:before="120" w:after="120"/>
        <w:rPr>
          <w:rFonts w:ascii="Arial" w:hAnsi="Arial" w:cs="Arial"/>
          <w:i/>
          <w:szCs w:val="24"/>
        </w:rPr>
      </w:pPr>
      <w:r>
        <w:rPr>
          <w:rFonts w:ascii="Arial" w:hAnsi="Arial" w:cs="Arial"/>
          <w:i/>
          <w:szCs w:val="24"/>
        </w:rPr>
        <w:t>Right to an adequate standard of living</w:t>
      </w:r>
    </w:p>
    <w:p w14:paraId="442E0D23" w14:textId="0C8DDD5C" w:rsidR="00CA02B6" w:rsidRPr="00CA02B6" w:rsidRDefault="00CA02B6" w:rsidP="00CC3190">
      <w:pPr>
        <w:spacing w:before="120" w:after="120"/>
        <w:rPr>
          <w:rFonts w:ascii="Arial" w:hAnsi="Arial" w:cs="Arial"/>
          <w:szCs w:val="24"/>
        </w:rPr>
      </w:pPr>
      <w:r w:rsidRPr="00CA02B6">
        <w:rPr>
          <w:rFonts w:ascii="Arial" w:hAnsi="Arial" w:cs="Arial"/>
          <w:szCs w:val="24"/>
        </w:rPr>
        <w:t>Article 11(1) of the ICESCR recognises the right to an adequate standard of living</w:t>
      </w:r>
      <w:r w:rsidR="007F7B15">
        <w:rPr>
          <w:rFonts w:ascii="Arial" w:hAnsi="Arial" w:cs="Arial"/>
          <w:szCs w:val="24"/>
        </w:rPr>
        <w:t xml:space="preserve">.  The Determination promotes this right by enabling families with children studying overseas full-time to </w:t>
      </w:r>
      <w:r w:rsidR="009E3609">
        <w:rPr>
          <w:rFonts w:ascii="Arial" w:hAnsi="Arial" w:cs="Arial"/>
          <w:szCs w:val="24"/>
        </w:rPr>
        <w:t xml:space="preserve">receive </w:t>
      </w:r>
      <w:r w:rsidR="00A82FA1">
        <w:rPr>
          <w:rFonts w:ascii="Arial" w:hAnsi="Arial" w:cs="Arial"/>
          <w:szCs w:val="24"/>
        </w:rPr>
        <w:t>financial assistance with the costs of raising thei</w:t>
      </w:r>
      <w:r w:rsidR="00224A6C">
        <w:rPr>
          <w:rFonts w:ascii="Arial" w:hAnsi="Arial" w:cs="Arial"/>
          <w:szCs w:val="24"/>
        </w:rPr>
        <w:t xml:space="preserve">r children, including the costs of their education. </w:t>
      </w:r>
    </w:p>
    <w:p w14:paraId="5A27D2F9" w14:textId="77777777" w:rsidR="006B2BD0" w:rsidRDefault="006B2BD0" w:rsidP="00CC3190">
      <w:pPr>
        <w:spacing w:before="120" w:after="120"/>
        <w:rPr>
          <w:rFonts w:ascii="Arial" w:hAnsi="Arial" w:cs="Arial"/>
          <w:i/>
          <w:szCs w:val="24"/>
        </w:rPr>
      </w:pPr>
    </w:p>
    <w:p w14:paraId="23510F43" w14:textId="24FB5CE7" w:rsidR="00A27007" w:rsidRDefault="00A27007" w:rsidP="00CC3190">
      <w:pPr>
        <w:spacing w:before="120" w:after="120"/>
        <w:rPr>
          <w:rFonts w:ascii="Arial" w:hAnsi="Arial" w:cs="Arial"/>
          <w:i/>
          <w:szCs w:val="24"/>
        </w:rPr>
      </w:pPr>
      <w:r>
        <w:rPr>
          <w:rFonts w:ascii="Arial" w:hAnsi="Arial" w:cs="Arial"/>
          <w:i/>
          <w:szCs w:val="24"/>
        </w:rPr>
        <w:t xml:space="preserve">Right </w:t>
      </w:r>
      <w:r w:rsidR="00D03551">
        <w:rPr>
          <w:rFonts w:ascii="Arial" w:hAnsi="Arial" w:cs="Arial"/>
          <w:i/>
          <w:szCs w:val="24"/>
        </w:rPr>
        <w:t xml:space="preserve">of a child </w:t>
      </w:r>
      <w:r>
        <w:rPr>
          <w:rFonts w:ascii="Arial" w:hAnsi="Arial" w:cs="Arial"/>
          <w:i/>
          <w:szCs w:val="24"/>
        </w:rPr>
        <w:t>to education</w:t>
      </w:r>
    </w:p>
    <w:p w14:paraId="70B237DE" w14:textId="71DF64DC" w:rsidR="004844B9" w:rsidRPr="00A27007" w:rsidRDefault="00A27007" w:rsidP="00A27007">
      <w:pPr>
        <w:spacing w:before="120" w:after="120"/>
        <w:rPr>
          <w:rFonts w:ascii="Arial" w:hAnsi="Arial" w:cs="Arial"/>
          <w:szCs w:val="24"/>
        </w:rPr>
      </w:pPr>
      <w:r w:rsidRPr="00A27007">
        <w:rPr>
          <w:rFonts w:ascii="Arial" w:hAnsi="Arial" w:cs="Arial"/>
          <w:szCs w:val="24"/>
        </w:rPr>
        <w:t xml:space="preserve">Article </w:t>
      </w:r>
      <w:r w:rsidR="00D72E84">
        <w:rPr>
          <w:rFonts w:ascii="Arial" w:hAnsi="Arial" w:cs="Arial"/>
          <w:szCs w:val="24"/>
        </w:rPr>
        <w:t>28</w:t>
      </w:r>
      <w:r w:rsidRPr="00A27007">
        <w:rPr>
          <w:rFonts w:ascii="Arial" w:hAnsi="Arial" w:cs="Arial"/>
          <w:szCs w:val="24"/>
        </w:rPr>
        <w:t xml:space="preserve"> of the </w:t>
      </w:r>
      <w:r w:rsidR="00D72E84">
        <w:rPr>
          <w:rFonts w:ascii="Arial" w:hAnsi="Arial" w:cs="Arial"/>
          <w:szCs w:val="24"/>
        </w:rPr>
        <w:t>CRC</w:t>
      </w:r>
      <w:r w:rsidRPr="00A27007">
        <w:rPr>
          <w:rFonts w:ascii="Arial" w:hAnsi="Arial" w:cs="Arial"/>
          <w:szCs w:val="24"/>
        </w:rPr>
        <w:t xml:space="preserve"> recognises the right of </w:t>
      </w:r>
      <w:r w:rsidR="00D72E84">
        <w:rPr>
          <w:rFonts w:ascii="Arial" w:hAnsi="Arial" w:cs="Arial"/>
          <w:szCs w:val="24"/>
        </w:rPr>
        <w:t>children</w:t>
      </w:r>
      <w:r w:rsidRPr="00A27007">
        <w:rPr>
          <w:rFonts w:ascii="Arial" w:hAnsi="Arial" w:cs="Arial"/>
          <w:szCs w:val="24"/>
        </w:rPr>
        <w:t xml:space="preserve"> to education</w:t>
      </w:r>
      <w:r>
        <w:rPr>
          <w:rFonts w:ascii="Arial" w:hAnsi="Arial" w:cs="Arial"/>
          <w:szCs w:val="24"/>
        </w:rPr>
        <w:t xml:space="preserve">, with </w:t>
      </w:r>
      <w:r w:rsidRPr="00A27007">
        <w:rPr>
          <w:rFonts w:ascii="Arial" w:hAnsi="Arial" w:cs="Arial"/>
          <w:szCs w:val="24"/>
        </w:rPr>
        <w:t xml:space="preserve">a view to achieving </w:t>
      </w:r>
      <w:r w:rsidR="007A14AE" w:rsidRPr="007A14AE">
        <w:rPr>
          <w:rFonts w:ascii="Arial" w:hAnsi="Arial" w:cs="Arial"/>
          <w:szCs w:val="24"/>
        </w:rPr>
        <w:t xml:space="preserve">this right progressively and </w:t>
      </w:r>
      <w:proofErr w:type="gramStart"/>
      <w:r w:rsidR="007A14AE" w:rsidRPr="007A14AE">
        <w:rPr>
          <w:rFonts w:ascii="Arial" w:hAnsi="Arial" w:cs="Arial"/>
          <w:szCs w:val="24"/>
        </w:rPr>
        <w:t>on the basis of</w:t>
      </w:r>
      <w:proofErr w:type="gramEnd"/>
      <w:r w:rsidR="007A14AE" w:rsidRPr="007A14AE">
        <w:rPr>
          <w:rFonts w:ascii="Arial" w:hAnsi="Arial" w:cs="Arial"/>
          <w:szCs w:val="24"/>
        </w:rPr>
        <w:t xml:space="preserve"> equal opportunity</w:t>
      </w:r>
      <w:r>
        <w:rPr>
          <w:rFonts w:ascii="Arial" w:hAnsi="Arial" w:cs="Arial"/>
          <w:szCs w:val="24"/>
        </w:rPr>
        <w:t xml:space="preserve">. </w:t>
      </w:r>
      <w:r w:rsidR="004844B9">
        <w:rPr>
          <w:rFonts w:ascii="Arial" w:hAnsi="Arial" w:cs="Arial"/>
          <w:szCs w:val="24"/>
        </w:rPr>
        <w:t xml:space="preserve"> The Determination promotes this right by ensuring that families with children studying overseas full-time </w:t>
      </w:r>
      <w:proofErr w:type="gramStart"/>
      <w:r w:rsidR="004844B9">
        <w:rPr>
          <w:rFonts w:ascii="Arial" w:hAnsi="Arial" w:cs="Arial"/>
          <w:szCs w:val="24"/>
        </w:rPr>
        <w:t>are provided</w:t>
      </w:r>
      <w:proofErr w:type="gramEnd"/>
      <w:r w:rsidR="004844B9">
        <w:rPr>
          <w:rFonts w:ascii="Arial" w:hAnsi="Arial" w:cs="Arial"/>
          <w:szCs w:val="24"/>
        </w:rPr>
        <w:t xml:space="preserve"> with financial assistance to support the costs </w:t>
      </w:r>
      <w:r w:rsidR="007A14AE">
        <w:rPr>
          <w:rFonts w:ascii="Arial" w:hAnsi="Arial" w:cs="Arial"/>
          <w:szCs w:val="24"/>
        </w:rPr>
        <w:t>of raising their children, including costs associated with</w:t>
      </w:r>
      <w:r w:rsidR="004844B9">
        <w:rPr>
          <w:rFonts w:ascii="Arial" w:hAnsi="Arial" w:cs="Arial"/>
          <w:szCs w:val="24"/>
        </w:rPr>
        <w:t xml:space="preserve"> their schooling. It also upholds the equal treatment of Australian families with children studying overseas full-time and those with children studying full-time in Australia. </w:t>
      </w:r>
    </w:p>
    <w:p w14:paraId="0D60414B" w14:textId="77777777" w:rsidR="006546B7" w:rsidRPr="00BC76EB" w:rsidRDefault="006546B7" w:rsidP="00FD6BF4">
      <w:pPr>
        <w:spacing w:after="120"/>
        <w:rPr>
          <w:rFonts w:ascii="Arial" w:hAnsi="Arial" w:cs="Arial"/>
          <w:b/>
          <w:szCs w:val="24"/>
        </w:rPr>
      </w:pPr>
      <w:r w:rsidRPr="00BC76EB">
        <w:rPr>
          <w:rFonts w:ascii="Arial" w:hAnsi="Arial" w:cs="Arial"/>
          <w:b/>
          <w:szCs w:val="24"/>
        </w:rPr>
        <w:t xml:space="preserve">Conclusion </w:t>
      </w:r>
    </w:p>
    <w:p w14:paraId="40B59417" w14:textId="0EFA3240" w:rsidR="006546B7" w:rsidRPr="00BC76EB" w:rsidRDefault="00374A77" w:rsidP="006546B7">
      <w:pPr>
        <w:spacing w:before="120" w:after="120"/>
        <w:rPr>
          <w:rFonts w:ascii="Arial" w:hAnsi="Arial" w:cs="Arial"/>
          <w:szCs w:val="24"/>
        </w:rPr>
      </w:pPr>
      <w:r w:rsidRPr="00BC76EB">
        <w:rPr>
          <w:rFonts w:ascii="Arial" w:hAnsi="Arial" w:cs="Arial"/>
          <w:szCs w:val="24"/>
        </w:rPr>
        <w:t xml:space="preserve">The </w:t>
      </w:r>
      <w:r w:rsidR="00E605A6">
        <w:rPr>
          <w:rFonts w:ascii="Arial" w:hAnsi="Arial" w:cs="Arial"/>
          <w:szCs w:val="24"/>
        </w:rPr>
        <w:t>Determination is</w:t>
      </w:r>
      <w:r w:rsidR="006546B7" w:rsidRPr="00BC76EB">
        <w:rPr>
          <w:rFonts w:ascii="Arial" w:hAnsi="Arial" w:cs="Arial"/>
          <w:szCs w:val="24"/>
        </w:rPr>
        <w:t xml:space="preserve"> compatible with human rights because </w:t>
      </w:r>
      <w:r w:rsidR="00E605A6">
        <w:rPr>
          <w:rFonts w:ascii="Arial" w:hAnsi="Arial" w:cs="Arial"/>
          <w:szCs w:val="24"/>
        </w:rPr>
        <w:t>it</w:t>
      </w:r>
      <w:r w:rsidR="00074C1A" w:rsidRPr="00BC76EB">
        <w:rPr>
          <w:rFonts w:ascii="Arial" w:hAnsi="Arial" w:cs="Arial"/>
          <w:szCs w:val="24"/>
        </w:rPr>
        <w:t xml:space="preserve"> advance</w:t>
      </w:r>
      <w:r w:rsidR="00E605A6">
        <w:rPr>
          <w:rFonts w:ascii="Arial" w:hAnsi="Arial" w:cs="Arial"/>
          <w:szCs w:val="24"/>
        </w:rPr>
        <w:t>s</w:t>
      </w:r>
      <w:r w:rsidR="006546B7" w:rsidRPr="00BC76EB">
        <w:rPr>
          <w:rFonts w:ascii="Arial" w:hAnsi="Arial" w:cs="Arial"/>
          <w:szCs w:val="24"/>
        </w:rPr>
        <w:t xml:space="preserve"> the protection of human rights</w:t>
      </w:r>
      <w:r w:rsidR="00E605A6">
        <w:rPr>
          <w:rFonts w:ascii="Arial" w:hAnsi="Arial" w:cs="Arial"/>
          <w:szCs w:val="24"/>
        </w:rPr>
        <w:t>.</w:t>
      </w:r>
    </w:p>
    <w:p w14:paraId="10FF18E4" w14:textId="77777777" w:rsidR="006546B7" w:rsidRPr="00BC76EB" w:rsidRDefault="006546B7" w:rsidP="006546B7">
      <w:pPr>
        <w:spacing w:before="120" w:after="120"/>
        <w:rPr>
          <w:rFonts w:ascii="Arial" w:hAnsi="Arial" w:cs="Arial"/>
          <w:szCs w:val="24"/>
        </w:rPr>
      </w:pPr>
    </w:p>
    <w:bookmarkEnd w:id="1"/>
    <w:p w14:paraId="256A90D6" w14:textId="6F70AEBE" w:rsidR="00AD1645" w:rsidRPr="00BC76EB" w:rsidRDefault="00F40AC1" w:rsidP="00E23C53">
      <w:pPr>
        <w:spacing w:before="120" w:after="120"/>
        <w:jc w:val="center"/>
        <w:rPr>
          <w:rFonts w:ascii="Arial" w:hAnsi="Arial" w:cs="Arial"/>
          <w:b/>
          <w:bCs/>
          <w:szCs w:val="24"/>
        </w:rPr>
      </w:pPr>
      <w:r>
        <w:rPr>
          <w:rFonts w:ascii="Arial" w:hAnsi="Arial" w:cs="Arial"/>
          <w:b/>
          <w:szCs w:val="24"/>
        </w:rPr>
        <w:t xml:space="preserve">Anne Ruston, Minister for </w:t>
      </w:r>
      <w:r w:rsidR="006B2BD0" w:rsidRPr="006B2BD0">
        <w:rPr>
          <w:rFonts w:ascii="Arial" w:hAnsi="Arial" w:cs="Arial"/>
          <w:b/>
          <w:szCs w:val="24"/>
        </w:rPr>
        <w:t xml:space="preserve">Families and </w:t>
      </w:r>
      <w:r>
        <w:rPr>
          <w:rFonts w:ascii="Arial" w:hAnsi="Arial" w:cs="Arial"/>
          <w:b/>
          <w:szCs w:val="24"/>
        </w:rPr>
        <w:t>Social Services</w:t>
      </w:r>
    </w:p>
    <w:p w14:paraId="04432974" w14:textId="77777777" w:rsidR="001920F3" w:rsidRPr="00BC76EB" w:rsidRDefault="001920F3">
      <w:pPr>
        <w:spacing w:before="0" w:after="200" w:line="276" w:lineRule="auto"/>
        <w:rPr>
          <w:rFonts w:ascii="Arial" w:hAnsi="Arial" w:cs="Arial"/>
          <w:b/>
          <w:bCs/>
          <w:szCs w:val="24"/>
        </w:rPr>
      </w:pPr>
    </w:p>
    <w:p w14:paraId="70363C52" w14:textId="77777777" w:rsidR="002810A5" w:rsidRPr="00B50BCB" w:rsidRDefault="002810A5" w:rsidP="00D37C2C">
      <w:pPr>
        <w:spacing w:before="0" w:after="200" w:line="276" w:lineRule="auto"/>
        <w:rPr>
          <w:rStyle w:val="BookTitle"/>
          <w:rFonts w:ascii="Arial" w:hAnsi="Arial" w:cs="Arial"/>
          <w:b/>
          <w:i w:val="0"/>
          <w:iCs w:val="0"/>
          <w:smallCaps w:val="0"/>
          <w:spacing w:val="0"/>
          <w:szCs w:val="24"/>
        </w:rPr>
      </w:pPr>
    </w:p>
    <w:sectPr w:rsidR="002810A5" w:rsidRPr="00B50B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C6E28" w14:textId="77777777" w:rsidR="002D008A" w:rsidRDefault="002D008A" w:rsidP="00AD1645">
      <w:pPr>
        <w:spacing w:before="0"/>
      </w:pPr>
      <w:r>
        <w:separator/>
      </w:r>
    </w:p>
  </w:endnote>
  <w:endnote w:type="continuationSeparator" w:id="0">
    <w:p w14:paraId="0122416A" w14:textId="77777777" w:rsidR="002D008A" w:rsidRDefault="002D008A"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8EC3" w14:textId="77777777" w:rsidR="00545ED5" w:rsidRDefault="00545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BA05" w14:textId="77777777" w:rsidR="00545ED5" w:rsidRDefault="00545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8FB1" w14:textId="77777777" w:rsidR="00545ED5" w:rsidRDefault="0054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B4790" w14:textId="77777777" w:rsidR="002D008A" w:rsidRDefault="002D008A" w:rsidP="00AD1645">
      <w:pPr>
        <w:spacing w:before="0"/>
      </w:pPr>
      <w:r>
        <w:separator/>
      </w:r>
    </w:p>
  </w:footnote>
  <w:footnote w:type="continuationSeparator" w:id="0">
    <w:p w14:paraId="4C7B9F3D" w14:textId="77777777" w:rsidR="002D008A" w:rsidRDefault="002D008A" w:rsidP="00AD164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430F" w14:textId="1765690E" w:rsidR="00545ED5" w:rsidRDefault="00545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F4B1" w14:textId="287C0951" w:rsidR="00545ED5" w:rsidRDefault="00545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203B" w14:textId="58A39A5B" w:rsidR="00545ED5" w:rsidRDefault="00545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9A3783"/>
    <w:multiLevelType w:val="hybridMultilevel"/>
    <w:tmpl w:val="937A4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9437F"/>
    <w:multiLevelType w:val="hybridMultilevel"/>
    <w:tmpl w:val="1160FD2E"/>
    <w:lvl w:ilvl="0" w:tplc="06567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66A16"/>
    <w:multiLevelType w:val="hybridMultilevel"/>
    <w:tmpl w:val="39500B6A"/>
    <w:lvl w:ilvl="0" w:tplc="2CFAE4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BE331F"/>
    <w:multiLevelType w:val="hybridMultilevel"/>
    <w:tmpl w:val="E312D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01A01A0"/>
    <w:multiLevelType w:val="hybridMultilevel"/>
    <w:tmpl w:val="B5ACF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4A4900"/>
    <w:multiLevelType w:val="hybridMultilevel"/>
    <w:tmpl w:val="CA825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48C7A62"/>
    <w:multiLevelType w:val="hybridMultilevel"/>
    <w:tmpl w:val="C6AADBC4"/>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F16449"/>
    <w:multiLevelType w:val="hybridMultilevel"/>
    <w:tmpl w:val="88DA8F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802451"/>
    <w:multiLevelType w:val="hybridMultilevel"/>
    <w:tmpl w:val="BCA6A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97496F"/>
    <w:multiLevelType w:val="hybridMultilevel"/>
    <w:tmpl w:val="3452B69A"/>
    <w:lvl w:ilvl="0" w:tplc="D27678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22"/>
  </w:num>
  <w:num w:numId="5">
    <w:abstractNumId w:val="19"/>
  </w:num>
  <w:num w:numId="6">
    <w:abstractNumId w:val="3"/>
  </w:num>
  <w:num w:numId="7">
    <w:abstractNumId w:val="14"/>
  </w:num>
  <w:num w:numId="8">
    <w:abstractNumId w:val="23"/>
  </w:num>
  <w:num w:numId="9">
    <w:abstractNumId w:val="10"/>
  </w:num>
  <w:num w:numId="10">
    <w:abstractNumId w:val="24"/>
  </w:num>
  <w:num w:numId="11">
    <w:abstractNumId w:val="5"/>
  </w:num>
  <w:num w:numId="12">
    <w:abstractNumId w:val="8"/>
  </w:num>
  <w:num w:numId="13">
    <w:abstractNumId w:val="0"/>
  </w:num>
  <w:num w:numId="14">
    <w:abstractNumId w:val="13"/>
  </w:num>
  <w:num w:numId="15">
    <w:abstractNumId w:val="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8"/>
  </w:num>
  <w:num w:numId="19">
    <w:abstractNumId w:val="2"/>
  </w:num>
  <w:num w:numId="20">
    <w:abstractNumId w:val="4"/>
  </w:num>
  <w:num w:numId="21">
    <w:abstractNumId w:val="12"/>
  </w:num>
  <w:num w:numId="22">
    <w:abstractNumId w:val="16"/>
  </w:num>
  <w:num w:numId="23">
    <w:abstractNumId w:val="21"/>
  </w:num>
  <w:num w:numId="24">
    <w:abstractNumId w:val="1"/>
  </w:num>
  <w:num w:numId="25">
    <w:abstractNumId w:val="11"/>
  </w:num>
  <w:num w:numId="26">
    <w:abstractNumId w:val="15"/>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21ED2"/>
    <w:rsid w:val="00030B79"/>
    <w:rsid w:val="00031D0B"/>
    <w:rsid w:val="000353F4"/>
    <w:rsid w:val="00040CE0"/>
    <w:rsid w:val="00043B6D"/>
    <w:rsid w:val="00045BF2"/>
    <w:rsid w:val="00051C3F"/>
    <w:rsid w:val="000547D7"/>
    <w:rsid w:val="000567D0"/>
    <w:rsid w:val="0006693F"/>
    <w:rsid w:val="00066DAE"/>
    <w:rsid w:val="00074C1A"/>
    <w:rsid w:val="000760DC"/>
    <w:rsid w:val="000844AF"/>
    <w:rsid w:val="00084B46"/>
    <w:rsid w:val="00085730"/>
    <w:rsid w:val="000862DD"/>
    <w:rsid w:val="00093190"/>
    <w:rsid w:val="00096B8D"/>
    <w:rsid w:val="000A3595"/>
    <w:rsid w:val="000A772F"/>
    <w:rsid w:val="000B4130"/>
    <w:rsid w:val="000C2DDB"/>
    <w:rsid w:val="000C5204"/>
    <w:rsid w:val="000D0E98"/>
    <w:rsid w:val="000D365F"/>
    <w:rsid w:val="000E02A0"/>
    <w:rsid w:val="000E3915"/>
    <w:rsid w:val="000E717D"/>
    <w:rsid w:val="000F7475"/>
    <w:rsid w:val="0011719D"/>
    <w:rsid w:val="0012369E"/>
    <w:rsid w:val="00126429"/>
    <w:rsid w:val="001310C6"/>
    <w:rsid w:val="00140359"/>
    <w:rsid w:val="001502F9"/>
    <w:rsid w:val="0015134A"/>
    <w:rsid w:val="00151AA8"/>
    <w:rsid w:val="00152472"/>
    <w:rsid w:val="00163809"/>
    <w:rsid w:val="0016653C"/>
    <w:rsid w:val="00175BC6"/>
    <w:rsid w:val="001812DF"/>
    <w:rsid w:val="00191AEC"/>
    <w:rsid w:val="001920F3"/>
    <w:rsid w:val="001A0D9F"/>
    <w:rsid w:val="001A51B9"/>
    <w:rsid w:val="001A737C"/>
    <w:rsid w:val="001B5379"/>
    <w:rsid w:val="001C0161"/>
    <w:rsid w:val="001C1346"/>
    <w:rsid w:val="001C59D1"/>
    <w:rsid w:val="001C64F9"/>
    <w:rsid w:val="001D03EF"/>
    <w:rsid w:val="001D3415"/>
    <w:rsid w:val="001D69AF"/>
    <w:rsid w:val="001E5B72"/>
    <w:rsid w:val="001E5D12"/>
    <w:rsid w:val="001E630D"/>
    <w:rsid w:val="001E7422"/>
    <w:rsid w:val="001F4805"/>
    <w:rsid w:val="001F4E3C"/>
    <w:rsid w:val="002154EE"/>
    <w:rsid w:val="00224887"/>
    <w:rsid w:val="00224A6C"/>
    <w:rsid w:val="00226B3D"/>
    <w:rsid w:val="00226D4B"/>
    <w:rsid w:val="002329E1"/>
    <w:rsid w:val="002334D9"/>
    <w:rsid w:val="00234905"/>
    <w:rsid w:val="00234F9E"/>
    <w:rsid w:val="0024465E"/>
    <w:rsid w:val="00246D18"/>
    <w:rsid w:val="0024760C"/>
    <w:rsid w:val="002533F0"/>
    <w:rsid w:val="00254925"/>
    <w:rsid w:val="00257ED7"/>
    <w:rsid w:val="002642C7"/>
    <w:rsid w:val="00264C31"/>
    <w:rsid w:val="002741BD"/>
    <w:rsid w:val="0027425F"/>
    <w:rsid w:val="00274CAF"/>
    <w:rsid w:val="00276D06"/>
    <w:rsid w:val="00276F09"/>
    <w:rsid w:val="002810A5"/>
    <w:rsid w:val="00283079"/>
    <w:rsid w:val="002926E3"/>
    <w:rsid w:val="002965F2"/>
    <w:rsid w:val="0029752A"/>
    <w:rsid w:val="002A0E63"/>
    <w:rsid w:val="002A2A71"/>
    <w:rsid w:val="002A523B"/>
    <w:rsid w:val="002A6007"/>
    <w:rsid w:val="002A63EA"/>
    <w:rsid w:val="002B0175"/>
    <w:rsid w:val="002C0F57"/>
    <w:rsid w:val="002C1403"/>
    <w:rsid w:val="002C1938"/>
    <w:rsid w:val="002C2252"/>
    <w:rsid w:val="002C6177"/>
    <w:rsid w:val="002D008A"/>
    <w:rsid w:val="002D0F1C"/>
    <w:rsid w:val="002D35D8"/>
    <w:rsid w:val="002D443A"/>
    <w:rsid w:val="002D4522"/>
    <w:rsid w:val="002E0BB1"/>
    <w:rsid w:val="002E45E2"/>
    <w:rsid w:val="002E59D8"/>
    <w:rsid w:val="00300D8B"/>
    <w:rsid w:val="003119FD"/>
    <w:rsid w:val="003251E2"/>
    <w:rsid w:val="00333A9C"/>
    <w:rsid w:val="00334F9D"/>
    <w:rsid w:val="00337065"/>
    <w:rsid w:val="00340378"/>
    <w:rsid w:val="003430FC"/>
    <w:rsid w:val="003434E2"/>
    <w:rsid w:val="00345FFE"/>
    <w:rsid w:val="00351E79"/>
    <w:rsid w:val="0035378F"/>
    <w:rsid w:val="003606C5"/>
    <w:rsid w:val="00365424"/>
    <w:rsid w:val="0037259E"/>
    <w:rsid w:val="00374A77"/>
    <w:rsid w:val="00380666"/>
    <w:rsid w:val="003870E4"/>
    <w:rsid w:val="00387D89"/>
    <w:rsid w:val="00392EB6"/>
    <w:rsid w:val="00393D4E"/>
    <w:rsid w:val="00394743"/>
    <w:rsid w:val="00396FDC"/>
    <w:rsid w:val="003A04AD"/>
    <w:rsid w:val="003A2EFC"/>
    <w:rsid w:val="003B2BB8"/>
    <w:rsid w:val="003B44E1"/>
    <w:rsid w:val="003C2D84"/>
    <w:rsid w:val="003C3368"/>
    <w:rsid w:val="003C54B6"/>
    <w:rsid w:val="003D34FF"/>
    <w:rsid w:val="003D71F6"/>
    <w:rsid w:val="003E1784"/>
    <w:rsid w:val="003E23F1"/>
    <w:rsid w:val="00400273"/>
    <w:rsid w:val="00406B6A"/>
    <w:rsid w:val="004146D3"/>
    <w:rsid w:val="00420387"/>
    <w:rsid w:val="0042132E"/>
    <w:rsid w:val="00433C07"/>
    <w:rsid w:val="0044233A"/>
    <w:rsid w:val="004440D8"/>
    <w:rsid w:val="00446D6C"/>
    <w:rsid w:val="0045240C"/>
    <w:rsid w:val="00453FC9"/>
    <w:rsid w:val="00454405"/>
    <w:rsid w:val="00456FBD"/>
    <w:rsid w:val="00457726"/>
    <w:rsid w:val="00457792"/>
    <w:rsid w:val="004646E1"/>
    <w:rsid w:val="00470874"/>
    <w:rsid w:val="00470C3D"/>
    <w:rsid w:val="004726FF"/>
    <w:rsid w:val="004768FC"/>
    <w:rsid w:val="004814F1"/>
    <w:rsid w:val="00481A4C"/>
    <w:rsid w:val="00482411"/>
    <w:rsid w:val="00483F54"/>
    <w:rsid w:val="004844B9"/>
    <w:rsid w:val="004956ED"/>
    <w:rsid w:val="0049646F"/>
    <w:rsid w:val="00497768"/>
    <w:rsid w:val="004A0C19"/>
    <w:rsid w:val="004A126A"/>
    <w:rsid w:val="004A24AF"/>
    <w:rsid w:val="004A439F"/>
    <w:rsid w:val="004A5BD8"/>
    <w:rsid w:val="004A694F"/>
    <w:rsid w:val="004B3147"/>
    <w:rsid w:val="004B54CA"/>
    <w:rsid w:val="004C163F"/>
    <w:rsid w:val="004D336A"/>
    <w:rsid w:val="004D6D22"/>
    <w:rsid w:val="004E3A61"/>
    <w:rsid w:val="004E5CBF"/>
    <w:rsid w:val="004F1CD0"/>
    <w:rsid w:val="004F264A"/>
    <w:rsid w:val="004F5308"/>
    <w:rsid w:val="004F69ED"/>
    <w:rsid w:val="005003DF"/>
    <w:rsid w:val="00511520"/>
    <w:rsid w:val="00516267"/>
    <w:rsid w:val="00527238"/>
    <w:rsid w:val="0053040C"/>
    <w:rsid w:val="005332C8"/>
    <w:rsid w:val="00536060"/>
    <w:rsid w:val="00540BD8"/>
    <w:rsid w:val="00545ED5"/>
    <w:rsid w:val="0055503B"/>
    <w:rsid w:val="00562CBC"/>
    <w:rsid w:val="00566538"/>
    <w:rsid w:val="00566BF6"/>
    <w:rsid w:val="00570884"/>
    <w:rsid w:val="00571504"/>
    <w:rsid w:val="00572E47"/>
    <w:rsid w:val="00576330"/>
    <w:rsid w:val="0057641C"/>
    <w:rsid w:val="005766D2"/>
    <w:rsid w:val="0058005E"/>
    <w:rsid w:val="00583C9C"/>
    <w:rsid w:val="00591D1A"/>
    <w:rsid w:val="00594251"/>
    <w:rsid w:val="005A5BE3"/>
    <w:rsid w:val="005C282E"/>
    <w:rsid w:val="005C390A"/>
    <w:rsid w:val="005C3AA9"/>
    <w:rsid w:val="005C54B4"/>
    <w:rsid w:val="005C78B2"/>
    <w:rsid w:val="005E4167"/>
    <w:rsid w:val="005E4362"/>
    <w:rsid w:val="005E4607"/>
    <w:rsid w:val="005E491A"/>
    <w:rsid w:val="005E7B26"/>
    <w:rsid w:val="005F41C9"/>
    <w:rsid w:val="005F5E17"/>
    <w:rsid w:val="005F5EA4"/>
    <w:rsid w:val="006077BA"/>
    <w:rsid w:val="00614C63"/>
    <w:rsid w:val="00620404"/>
    <w:rsid w:val="00622668"/>
    <w:rsid w:val="00622B31"/>
    <w:rsid w:val="00622B71"/>
    <w:rsid w:val="00622D63"/>
    <w:rsid w:val="00624E34"/>
    <w:rsid w:val="00632F44"/>
    <w:rsid w:val="00633B6B"/>
    <w:rsid w:val="006402A6"/>
    <w:rsid w:val="006407D3"/>
    <w:rsid w:val="0064167D"/>
    <w:rsid w:val="00650B9C"/>
    <w:rsid w:val="00650C1C"/>
    <w:rsid w:val="006519B7"/>
    <w:rsid w:val="006546B7"/>
    <w:rsid w:val="006643AB"/>
    <w:rsid w:val="0067070B"/>
    <w:rsid w:val="00681C7F"/>
    <w:rsid w:val="00683FF5"/>
    <w:rsid w:val="00686175"/>
    <w:rsid w:val="00687351"/>
    <w:rsid w:val="00691AF5"/>
    <w:rsid w:val="006A1F70"/>
    <w:rsid w:val="006A4CE7"/>
    <w:rsid w:val="006A52C6"/>
    <w:rsid w:val="006A5D55"/>
    <w:rsid w:val="006A6D51"/>
    <w:rsid w:val="006B1E2F"/>
    <w:rsid w:val="006B2BD0"/>
    <w:rsid w:val="006B6543"/>
    <w:rsid w:val="006C5E5E"/>
    <w:rsid w:val="006D5995"/>
    <w:rsid w:val="006D5BBB"/>
    <w:rsid w:val="006D7E0F"/>
    <w:rsid w:val="006E1B19"/>
    <w:rsid w:val="006E35C7"/>
    <w:rsid w:val="006F0769"/>
    <w:rsid w:val="00700BCC"/>
    <w:rsid w:val="00701486"/>
    <w:rsid w:val="00720E42"/>
    <w:rsid w:val="0073766B"/>
    <w:rsid w:val="00762A05"/>
    <w:rsid w:val="00765122"/>
    <w:rsid w:val="00771003"/>
    <w:rsid w:val="0077461F"/>
    <w:rsid w:val="0078126B"/>
    <w:rsid w:val="00785261"/>
    <w:rsid w:val="00785A97"/>
    <w:rsid w:val="007907A8"/>
    <w:rsid w:val="007938F3"/>
    <w:rsid w:val="0079557B"/>
    <w:rsid w:val="007A14AE"/>
    <w:rsid w:val="007A53DD"/>
    <w:rsid w:val="007B0256"/>
    <w:rsid w:val="007B69DD"/>
    <w:rsid w:val="007C4060"/>
    <w:rsid w:val="007C5234"/>
    <w:rsid w:val="007D6273"/>
    <w:rsid w:val="007E4FAD"/>
    <w:rsid w:val="007E4FF7"/>
    <w:rsid w:val="007F44F6"/>
    <w:rsid w:val="007F5151"/>
    <w:rsid w:val="007F7B15"/>
    <w:rsid w:val="00804901"/>
    <w:rsid w:val="00807CD7"/>
    <w:rsid w:val="00816CFA"/>
    <w:rsid w:val="00830504"/>
    <w:rsid w:val="0083135C"/>
    <w:rsid w:val="00841C22"/>
    <w:rsid w:val="00843E6A"/>
    <w:rsid w:val="00860BE9"/>
    <w:rsid w:val="008669B7"/>
    <w:rsid w:val="008707FE"/>
    <w:rsid w:val="00871748"/>
    <w:rsid w:val="00871F28"/>
    <w:rsid w:val="008761FF"/>
    <w:rsid w:val="00880E92"/>
    <w:rsid w:val="00884603"/>
    <w:rsid w:val="008954BF"/>
    <w:rsid w:val="0089618D"/>
    <w:rsid w:val="00896466"/>
    <w:rsid w:val="008966AD"/>
    <w:rsid w:val="008A7002"/>
    <w:rsid w:val="008B026E"/>
    <w:rsid w:val="008B1AA5"/>
    <w:rsid w:val="008B4CF1"/>
    <w:rsid w:val="008D02AB"/>
    <w:rsid w:val="008D14F6"/>
    <w:rsid w:val="008D22F9"/>
    <w:rsid w:val="008D2D41"/>
    <w:rsid w:val="008D2FC2"/>
    <w:rsid w:val="008D59CA"/>
    <w:rsid w:val="008D5B2E"/>
    <w:rsid w:val="008D68B6"/>
    <w:rsid w:val="008D7A97"/>
    <w:rsid w:val="008E1D0E"/>
    <w:rsid w:val="008E320A"/>
    <w:rsid w:val="008F5702"/>
    <w:rsid w:val="0090001F"/>
    <w:rsid w:val="0090554A"/>
    <w:rsid w:val="0090702B"/>
    <w:rsid w:val="009140F6"/>
    <w:rsid w:val="00915A96"/>
    <w:rsid w:val="009225F0"/>
    <w:rsid w:val="00925633"/>
    <w:rsid w:val="0092638C"/>
    <w:rsid w:val="00930624"/>
    <w:rsid w:val="00931608"/>
    <w:rsid w:val="00932E80"/>
    <w:rsid w:val="009332B3"/>
    <w:rsid w:val="00935A03"/>
    <w:rsid w:val="009426E4"/>
    <w:rsid w:val="00946730"/>
    <w:rsid w:val="00946E6D"/>
    <w:rsid w:val="00950ACB"/>
    <w:rsid w:val="0095196E"/>
    <w:rsid w:val="00956519"/>
    <w:rsid w:val="00961A0D"/>
    <w:rsid w:val="0096603B"/>
    <w:rsid w:val="00966756"/>
    <w:rsid w:val="00966F79"/>
    <w:rsid w:val="009672A1"/>
    <w:rsid w:val="00970C88"/>
    <w:rsid w:val="00985038"/>
    <w:rsid w:val="00991176"/>
    <w:rsid w:val="00995BCB"/>
    <w:rsid w:val="0099649B"/>
    <w:rsid w:val="009973FC"/>
    <w:rsid w:val="009A3E64"/>
    <w:rsid w:val="009A4EAB"/>
    <w:rsid w:val="009A5D3E"/>
    <w:rsid w:val="009B4474"/>
    <w:rsid w:val="009B573A"/>
    <w:rsid w:val="009B71A9"/>
    <w:rsid w:val="009C63A9"/>
    <w:rsid w:val="009C63B6"/>
    <w:rsid w:val="009D1BE5"/>
    <w:rsid w:val="009E3609"/>
    <w:rsid w:val="009F3C43"/>
    <w:rsid w:val="009F77BC"/>
    <w:rsid w:val="00A066B1"/>
    <w:rsid w:val="00A06B72"/>
    <w:rsid w:val="00A11007"/>
    <w:rsid w:val="00A20512"/>
    <w:rsid w:val="00A27007"/>
    <w:rsid w:val="00A27E85"/>
    <w:rsid w:val="00A375D4"/>
    <w:rsid w:val="00A37984"/>
    <w:rsid w:val="00A405F1"/>
    <w:rsid w:val="00A42690"/>
    <w:rsid w:val="00A4616D"/>
    <w:rsid w:val="00A57416"/>
    <w:rsid w:val="00A6045B"/>
    <w:rsid w:val="00A63D74"/>
    <w:rsid w:val="00A66DD0"/>
    <w:rsid w:val="00A719D2"/>
    <w:rsid w:val="00A763EC"/>
    <w:rsid w:val="00A82FA1"/>
    <w:rsid w:val="00A8767B"/>
    <w:rsid w:val="00A94C22"/>
    <w:rsid w:val="00AA0F80"/>
    <w:rsid w:val="00AA37AC"/>
    <w:rsid w:val="00AA45C6"/>
    <w:rsid w:val="00AA51E7"/>
    <w:rsid w:val="00AB0730"/>
    <w:rsid w:val="00AB7356"/>
    <w:rsid w:val="00AC271F"/>
    <w:rsid w:val="00AC635D"/>
    <w:rsid w:val="00AD1347"/>
    <w:rsid w:val="00AD1645"/>
    <w:rsid w:val="00AD69FE"/>
    <w:rsid w:val="00AE11F6"/>
    <w:rsid w:val="00AE3176"/>
    <w:rsid w:val="00AF0E6A"/>
    <w:rsid w:val="00AF5F4A"/>
    <w:rsid w:val="00B01538"/>
    <w:rsid w:val="00B04EB0"/>
    <w:rsid w:val="00B261D9"/>
    <w:rsid w:val="00B33E33"/>
    <w:rsid w:val="00B34CCC"/>
    <w:rsid w:val="00B376E6"/>
    <w:rsid w:val="00B50997"/>
    <w:rsid w:val="00B50BCB"/>
    <w:rsid w:val="00B52B87"/>
    <w:rsid w:val="00B54C30"/>
    <w:rsid w:val="00B57278"/>
    <w:rsid w:val="00B6472A"/>
    <w:rsid w:val="00B71F52"/>
    <w:rsid w:val="00B73680"/>
    <w:rsid w:val="00B74531"/>
    <w:rsid w:val="00B777D9"/>
    <w:rsid w:val="00B821A0"/>
    <w:rsid w:val="00BA2DB9"/>
    <w:rsid w:val="00BA525E"/>
    <w:rsid w:val="00BB0D37"/>
    <w:rsid w:val="00BC247A"/>
    <w:rsid w:val="00BC35F6"/>
    <w:rsid w:val="00BC76EB"/>
    <w:rsid w:val="00BD13D5"/>
    <w:rsid w:val="00BD25AE"/>
    <w:rsid w:val="00BD35FD"/>
    <w:rsid w:val="00BD7E9D"/>
    <w:rsid w:val="00BE56A0"/>
    <w:rsid w:val="00BE7148"/>
    <w:rsid w:val="00BF2FB3"/>
    <w:rsid w:val="00C03E57"/>
    <w:rsid w:val="00C06E47"/>
    <w:rsid w:val="00C133D7"/>
    <w:rsid w:val="00C148C9"/>
    <w:rsid w:val="00C21C68"/>
    <w:rsid w:val="00C2733D"/>
    <w:rsid w:val="00C3204C"/>
    <w:rsid w:val="00C3470C"/>
    <w:rsid w:val="00C37944"/>
    <w:rsid w:val="00C37BA8"/>
    <w:rsid w:val="00C4511C"/>
    <w:rsid w:val="00C455A2"/>
    <w:rsid w:val="00C5481E"/>
    <w:rsid w:val="00C559BF"/>
    <w:rsid w:val="00C61996"/>
    <w:rsid w:val="00C66CFA"/>
    <w:rsid w:val="00C7238E"/>
    <w:rsid w:val="00C776BC"/>
    <w:rsid w:val="00C77B41"/>
    <w:rsid w:val="00C82AB5"/>
    <w:rsid w:val="00C82E91"/>
    <w:rsid w:val="00CA02B6"/>
    <w:rsid w:val="00CA33B2"/>
    <w:rsid w:val="00CA3D78"/>
    <w:rsid w:val="00CA43C4"/>
    <w:rsid w:val="00CA6F15"/>
    <w:rsid w:val="00CB344C"/>
    <w:rsid w:val="00CB42CE"/>
    <w:rsid w:val="00CB79D5"/>
    <w:rsid w:val="00CC170F"/>
    <w:rsid w:val="00CC3190"/>
    <w:rsid w:val="00CC79B1"/>
    <w:rsid w:val="00CC7EC4"/>
    <w:rsid w:val="00CD0DDB"/>
    <w:rsid w:val="00CD35B8"/>
    <w:rsid w:val="00CE1802"/>
    <w:rsid w:val="00CE5AAD"/>
    <w:rsid w:val="00CE7166"/>
    <w:rsid w:val="00CF0527"/>
    <w:rsid w:val="00CF4484"/>
    <w:rsid w:val="00D03551"/>
    <w:rsid w:val="00D0784D"/>
    <w:rsid w:val="00D1706F"/>
    <w:rsid w:val="00D2075E"/>
    <w:rsid w:val="00D21D83"/>
    <w:rsid w:val="00D243C5"/>
    <w:rsid w:val="00D3071D"/>
    <w:rsid w:val="00D31C51"/>
    <w:rsid w:val="00D367AA"/>
    <w:rsid w:val="00D37C2C"/>
    <w:rsid w:val="00D45911"/>
    <w:rsid w:val="00D459E0"/>
    <w:rsid w:val="00D520A1"/>
    <w:rsid w:val="00D55ED4"/>
    <w:rsid w:val="00D61C4B"/>
    <w:rsid w:val="00D708CA"/>
    <w:rsid w:val="00D72E84"/>
    <w:rsid w:val="00D72F4B"/>
    <w:rsid w:val="00D849AE"/>
    <w:rsid w:val="00D92F0F"/>
    <w:rsid w:val="00D93D78"/>
    <w:rsid w:val="00DB6E7A"/>
    <w:rsid w:val="00DC08AA"/>
    <w:rsid w:val="00DC125D"/>
    <w:rsid w:val="00DC765C"/>
    <w:rsid w:val="00DD3BC1"/>
    <w:rsid w:val="00DD5E55"/>
    <w:rsid w:val="00DE0717"/>
    <w:rsid w:val="00DE18ED"/>
    <w:rsid w:val="00DE3A1F"/>
    <w:rsid w:val="00DF0EBF"/>
    <w:rsid w:val="00DF22EB"/>
    <w:rsid w:val="00E00FDC"/>
    <w:rsid w:val="00E01E71"/>
    <w:rsid w:val="00E027AF"/>
    <w:rsid w:val="00E15CFF"/>
    <w:rsid w:val="00E2110E"/>
    <w:rsid w:val="00E21A59"/>
    <w:rsid w:val="00E230ED"/>
    <w:rsid w:val="00E23C53"/>
    <w:rsid w:val="00E32139"/>
    <w:rsid w:val="00E422F3"/>
    <w:rsid w:val="00E42DBE"/>
    <w:rsid w:val="00E43F38"/>
    <w:rsid w:val="00E44FD4"/>
    <w:rsid w:val="00E605A6"/>
    <w:rsid w:val="00E668CB"/>
    <w:rsid w:val="00E708B1"/>
    <w:rsid w:val="00E72DC6"/>
    <w:rsid w:val="00E745BB"/>
    <w:rsid w:val="00E74C4C"/>
    <w:rsid w:val="00E7675B"/>
    <w:rsid w:val="00E77BCC"/>
    <w:rsid w:val="00E80A0A"/>
    <w:rsid w:val="00E81719"/>
    <w:rsid w:val="00E87016"/>
    <w:rsid w:val="00E907A4"/>
    <w:rsid w:val="00E9738E"/>
    <w:rsid w:val="00EA0DC4"/>
    <w:rsid w:val="00EA16F9"/>
    <w:rsid w:val="00EA2DDC"/>
    <w:rsid w:val="00EA3666"/>
    <w:rsid w:val="00EA677D"/>
    <w:rsid w:val="00EA6829"/>
    <w:rsid w:val="00EA76C2"/>
    <w:rsid w:val="00EB51BC"/>
    <w:rsid w:val="00EC0280"/>
    <w:rsid w:val="00EC0C59"/>
    <w:rsid w:val="00EC25F5"/>
    <w:rsid w:val="00EC47F6"/>
    <w:rsid w:val="00ED1D5E"/>
    <w:rsid w:val="00ED6613"/>
    <w:rsid w:val="00EE2764"/>
    <w:rsid w:val="00EF54F0"/>
    <w:rsid w:val="00EF71C4"/>
    <w:rsid w:val="00EF7B57"/>
    <w:rsid w:val="00F0576D"/>
    <w:rsid w:val="00F108ED"/>
    <w:rsid w:val="00F227A4"/>
    <w:rsid w:val="00F31431"/>
    <w:rsid w:val="00F328DA"/>
    <w:rsid w:val="00F35271"/>
    <w:rsid w:val="00F35580"/>
    <w:rsid w:val="00F40AC1"/>
    <w:rsid w:val="00F439A2"/>
    <w:rsid w:val="00F502A9"/>
    <w:rsid w:val="00F52853"/>
    <w:rsid w:val="00F61A88"/>
    <w:rsid w:val="00F661E2"/>
    <w:rsid w:val="00F71D6F"/>
    <w:rsid w:val="00F754A3"/>
    <w:rsid w:val="00F7562C"/>
    <w:rsid w:val="00F925B9"/>
    <w:rsid w:val="00F96020"/>
    <w:rsid w:val="00F97E5E"/>
    <w:rsid w:val="00FA50DD"/>
    <w:rsid w:val="00FA6F53"/>
    <w:rsid w:val="00FA7196"/>
    <w:rsid w:val="00FB030F"/>
    <w:rsid w:val="00FD2F20"/>
    <w:rsid w:val="00FD368E"/>
    <w:rsid w:val="00FD6BF4"/>
    <w:rsid w:val="00FD7691"/>
    <w:rsid w:val="00FD7A80"/>
    <w:rsid w:val="00FE2339"/>
    <w:rsid w:val="00FE5C69"/>
    <w:rsid w:val="00FF20B0"/>
    <w:rsid w:val="00FF478B"/>
    <w:rsid w:val="00FF5304"/>
    <w:rsid w:val="00FF6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FE4FC"/>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C4094CD-E5F4-4026-BE8E-5F0F677F12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F336696875B542A78E86E46E07A142" ma:contentTypeVersion="" ma:contentTypeDescription="PDMS Document Site Content Type" ma:contentTypeScope="" ma:versionID="3dcc478bfcdd75a8818df0a3d3a0bd68">
  <xsd:schema xmlns:xsd="http://www.w3.org/2001/XMLSchema" xmlns:xs="http://www.w3.org/2001/XMLSchema" xmlns:p="http://schemas.microsoft.com/office/2006/metadata/properties" xmlns:ns2="5C4094CD-E5F4-4026-BE8E-5F0F677F1268" targetNamespace="http://schemas.microsoft.com/office/2006/metadata/properties" ma:root="true" ma:fieldsID="c6b48d602d343550263502a44758ce2d" ns2:_="">
    <xsd:import namespace="5C4094CD-E5F4-4026-BE8E-5F0F677F126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094CD-E5F4-4026-BE8E-5F0F677F126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D1074-38E5-4F6E-9783-6D87428BDA35}">
  <ds:schemaRefs>
    <ds:schemaRef ds:uri="http://schemas.microsoft.com/office/infopath/2007/PartnerControls"/>
    <ds:schemaRef ds:uri="5C4094CD-E5F4-4026-BE8E-5F0F677F126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F771C03-9D72-47A9-BB79-99730A15544E}">
  <ds:schemaRefs>
    <ds:schemaRef ds:uri="http://schemas.microsoft.com/sharepoint/v3/contenttype/forms"/>
  </ds:schemaRefs>
</ds:datastoreItem>
</file>

<file path=customXml/itemProps3.xml><?xml version="1.0" encoding="utf-8"?>
<ds:datastoreItem xmlns:ds="http://schemas.openxmlformats.org/officeDocument/2006/customXml" ds:itemID="{0BE73708-F435-4B97-9274-1B3EAF28F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094CD-E5F4-4026-BE8E-5F0F677F1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09828-85ED-45C9-A5F7-B47FCA80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2718</Words>
  <Characters>14870</Characters>
  <Application>Microsoft Office Word</Application>
  <DocSecurity>0</DocSecurity>
  <Lines>291</Lines>
  <Paragraphs>95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RUBENSTEIN, Sarah</cp:lastModifiedBy>
  <cp:revision>2</cp:revision>
  <cp:lastPrinted>2016-04-08T01:41:00Z</cp:lastPrinted>
  <dcterms:created xsi:type="dcterms:W3CDTF">2021-09-28T00:50:00Z</dcterms:created>
  <dcterms:modified xsi:type="dcterms:W3CDTF">2021-09-28T00:50:00Z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0F9F85A43E084B06A22E80C0EDAAF261</vt:lpwstr>
  </property>
  <property fmtid="{D5CDD505-2E9C-101B-9397-08002B2CF9AE}" pid="9" name="PM_ProtectiveMarkingValue_Footer">
    <vt:lpwstr>OFFICIAL: Sensitive Legal privilege</vt:lpwstr>
  </property>
  <property fmtid="{D5CDD505-2E9C-101B-9397-08002B2CF9AE}" pid="10" name="PM_Originator_Hash_SHA1">
    <vt:lpwstr>86DF37FEDADEB87644F12A773FE34210645B7F60</vt:lpwstr>
  </property>
  <property fmtid="{D5CDD505-2E9C-101B-9397-08002B2CF9AE}" pid="11" name="PM_OriginationTimeStamp">
    <vt:lpwstr>2021-09-28T00:49:56Z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ABC12858FB335129AC75564B43121831</vt:lpwstr>
  </property>
  <property fmtid="{D5CDD505-2E9C-101B-9397-08002B2CF9AE}" pid="20" name="PM_Hash_Salt">
    <vt:lpwstr>F0D83C210F8EDA4DB6134B2FF8930528</vt:lpwstr>
  </property>
  <property fmtid="{D5CDD505-2E9C-101B-9397-08002B2CF9AE}" pid="21" name="PM_Hash_SHA1">
    <vt:lpwstr>10442E52FFD2E56EC0FB0674441730CAA84F7200</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0x010100266966F133664895A6EE3632470D45F5006FF336696875B542A78E86E46E07A142</vt:lpwstr>
  </property>
</Properties>
</file>