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913D" w14:textId="5C4B3379" w:rsidR="00735ECC" w:rsidRPr="00735ECC" w:rsidRDefault="00735ECC" w:rsidP="00735ECC">
      <w:pPr>
        <w:spacing w:line="240" w:lineRule="auto"/>
        <w:rPr>
          <w:sz w:val="2"/>
          <w:szCs w:val="2"/>
        </w:rPr>
      </w:pPr>
    </w:p>
    <w:tbl>
      <w:tblPr>
        <w:tblW w:w="0" w:type="auto"/>
        <w:tblLayout w:type="fixed"/>
        <w:tblLook w:val="0000" w:firstRow="0" w:lastRow="0" w:firstColumn="0" w:lastColumn="0" w:noHBand="0" w:noVBand="0"/>
        <w:tblCaption w:val="Cover page header for AUASB Exposure Draft"/>
        <w:tblDescription w:val="Identification that the pronouncement is an AUASB Exposure Draft, ED number and month of issue of the AUASB Exposure Draft"/>
      </w:tblPr>
      <w:tblGrid>
        <w:gridCol w:w="4536"/>
        <w:gridCol w:w="4536"/>
      </w:tblGrid>
      <w:tr w:rsidR="004D4D03" w14:paraId="0DE4CF6A" w14:textId="77777777" w:rsidTr="00FC6D4D">
        <w:trPr>
          <w:cantSplit/>
        </w:trPr>
        <w:tc>
          <w:tcPr>
            <w:tcW w:w="4536" w:type="dxa"/>
          </w:tcPr>
          <w:p w14:paraId="233FBB8F" w14:textId="0032BA58" w:rsidR="004D4D03" w:rsidRDefault="004D4D03">
            <w:pPr>
              <w:pStyle w:val="Heading6"/>
            </w:pPr>
          </w:p>
        </w:tc>
        <w:tc>
          <w:tcPr>
            <w:tcW w:w="4536" w:type="dxa"/>
          </w:tcPr>
          <w:p w14:paraId="5F0B3417" w14:textId="441CFAF3" w:rsidR="004D4D03" w:rsidRDefault="002E74AE">
            <w:pPr>
              <w:pStyle w:val="CoverNumber"/>
            </w:pPr>
            <w:fldSimple w:instr=" REF DocType \* charformat \* MERGEFORMAT " w:fldLock="1">
              <w:r w:rsidR="00083414">
                <w:t>ASA</w:t>
              </w:r>
            </w:fldSimple>
            <w:r w:rsidR="004D4D03">
              <w:t xml:space="preserve"> </w:t>
            </w:r>
            <w:fldSimple w:instr=" REF DocNo \* charformat \* MERGEFORMAT " w:fldLock="1">
              <w:r w:rsidR="00083414">
                <w:t>2021-2</w:t>
              </w:r>
            </w:fldSimple>
          </w:p>
          <w:p w14:paraId="4BDA39B6" w14:textId="2B48DBDA" w:rsidR="004D4D03" w:rsidRDefault="004D4D03">
            <w:pPr>
              <w:pStyle w:val="CoverDate"/>
            </w:pPr>
            <w:r>
              <w:t>(</w:t>
            </w:r>
            <w:bookmarkStart w:id="0" w:name="DocDate"/>
            <w:sdt>
              <w:sdtPr>
                <w:id w:val="1246612235"/>
                <w:lock w:val="contentLocked"/>
                <w:placeholder>
                  <w:docPart w:val="DefaultPlaceholder_-1854013440"/>
                </w:placeholder>
                <w:group/>
              </w:sdtPr>
              <w:sdtEndPr/>
              <w:sdtContent>
                <w:r w:rsidR="00083414">
                  <w:t>September 2021</w:t>
                </w:r>
                <w:bookmarkEnd w:id="0"/>
              </w:sdtContent>
            </w:sdt>
            <w:r>
              <w:t>)</w:t>
            </w:r>
          </w:p>
        </w:tc>
      </w:tr>
    </w:tbl>
    <w:bookmarkStart w:id="1" w:name="DocTypeLong"/>
    <w:p w14:paraId="1DF5D640" w14:textId="65958D53" w:rsidR="004D4D03" w:rsidRDefault="008330D8">
      <w:pPr>
        <w:pStyle w:val="CoverTitle"/>
      </w:pPr>
      <w:sdt>
        <w:sdtPr>
          <w:rPr>
            <w:i w:val="0"/>
          </w:rPr>
          <w:id w:val="1175998494"/>
          <w:lock w:val="contentLocked"/>
          <w:placeholder>
            <w:docPart w:val="DefaultPlaceholder_-1854013440"/>
          </w:placeholder>
          <w:group/>
        </w:sdtPr>
        <w:sdtEndPr/>
        <w:sdtContent>
          <w:r w:rsidR="00E81AE0">
            <w:rPr>
              <w:i w:val="0"/>
            </w:rPr>
            <w:t>Auditing Standard</w:t>
          </w:r>
          <w:bookmarkEnd w:id="1"/>
        </w:sdtContent>
      </w:sdt>
      <w:r w:rsidR="006E419A" w:rsidRPr="000D243E">
        <w:rPr>
          <w:i w:val="0"/>
        </w:rPr>
        <w:t xml:space="preserve"> </w:t>
      </w:r>
      <w:bookmarkStart w:id="2" w:name="DocType"/>
      <w:sdt>
        <w:sdtPr>
          <w:rPr>
            <w:i w:val="0"/>
          </w:rPr>
          <w:id w:val="-185133053"/>
          <w:lock w:val="contentLocked"/>
          <w:placeholder>
            <w:docPart w:val="DefaultPlaceholder_-1854013440"/>
          </w:placeholder>
          <w:group/>
        </w:sdtPr>
        <w:sdtEndPr/>
        <w:sdtContent>
          <w:r w:rsidR="00E81AE0">
            <w:rPr>
              <w:i w:val="0"/>
            </w:rPr>
            <w:t>ASA</w:t>
          </w:r>
          <w:bookmarkEnd w:id="2"/>
        </w:sdtContent>
      </w:sdt>
      <w:r w:rsidR="004D4D03" w:rsidRPr="000D243E">
        <w:rPr>
          <w:i w:val="0"/>
        </w:rPr>
        <w:t> </w:t>
      </w:r>
      <w:bookmarkStart w:id="3" w:name="DocNo"/>
      <w:sdt>
        <w:sdtPr>
          <w:rPr>
            <w:i w:val="0"/>
          </w:rPr>
          <w:id w:val="939107743"/>
          <w:lock w:val="contentLocked"/>
          <w:placeholder>
            <w:docPart w:val="DefaultPlaceholder_-1854013440"/>
          </w:placeholder>
          <w:group/>
        </w:sdtPr>
        <w:sdtEndPr/>
        <w:sdtContent>
          <w:r w:rsidR="00E81AE0">
            <w:rPr>
              <w:i w:val="0"/>
            </w:rPr>
            <w:t>2021-2</w:t>
          </w:r>
          <w:bookmarkEnd w:id="3"/>
        </w:sdtContent>
      </w:sdt>
      <w:r w:rsidR="004D4D03" w:rsidRPr="000D243E">
        <w:br/>
      </w:r>
      <w:bookmarkStart w:id="4" w:name="DocTitle"/>
      <w:sdt>
        <w:sdtPr>
          <w:id w:val="1790323686"/>
          <w:lock w:val="contentLocked"/>
          <w:placeholder>
            <w:docPart w:val="DefaultPlaceholder_-1854013440"/>
          </w:placeholder>
          <w:group/>
        </w:sdtPr>
        <w:sdtEndPr/>
        <w:sdtContent>
          <w:r w:rsidR="002B134F">
            <w:t>Amendments to Australian Auditing Standard ASA 560 Subsequent Events</w:t>
          </w:r>
          <w:bookmarkEnd w:id="4"/>
        </w:sdtContent>
      </w:sdt>
    </w:p>
    <w:p w14:paraId="7B290653" w14:textId="54429CCD" w:rsidR="004D4D03" w:rsidRDefault="00EF2DFD">
      <w:pPr>
        <w:pStyle w:val="CoverSubTitle"/>
        <w:ind w:right="-142"/>
      </w:pPr>
      <w:r>
        <w:t xml:space="preserve">Issued by the </w:t>
      </w:r>
      <w:r w:rsidR="004D4D03">
        <w:rPr>
          <w:b/>
          <w:bCs/>
        </w:rPr>
        <w:t>Auditing and Assurance Standards Board</w:t>
      </w:r>
    </w:p>
    <w:p w14:paraId="6FE49D61" w14:textId="77777777" w:rsidR="004D4D03" w:rsidRDefault="00D51EB7">
      <w:pPr>
        <w:sectPr w:rsidR="004D4D03" w:rsidSect="00F8727A">
          <w:headerReference w:type="even" r:id="rId11"/>
          <w:headerReference w:type="default" r:id="rId12"/>
          <w:footerReference w:type="even" r:id="rId13"/>
          <w:footerReference w:type="default" r:id="rId14"/>
          <w:headerReference w:type="first" r:id="rId15"/>
          <w:footerReference w:type="first" r:id="rId16"/>
          <w:pgSz w:w="11907" w:h="16840" w:code="9"/>
          <w:pgMar w:top="2268" w:right="1418" w:bottom="1701" w:left="1418" w:header="992" w:footer="992" w:gutter="0"/>
          <w:cols w:space="720"/>
        </w:sectPr>
      </w:pPr>
      <w:r>
        <w:rPr>
          <w:noProof/>
          <w:lang w:eastAsia="en-AU"/>
        </w:rPr>
        <w:drawing>
          <wp:anchor distT="0" distB="0" distL="114300" distR="114300" simplePos="0" relativeHeight="251658240" behindDoc="0" locked="0" layoutInCell="1" allowOverlap="1" wp14:anchorId="26ECFC14" wp14:editId="3F6F1C9A">
            <wp:simplePos x="0" y="0"/>
            <wp:positionH relativeFrom="margin">
              <wp:align>left</wp:align>
            </wp:positionH>
            <wp:positionV relativeFrom="margin">
              <wp:align>bottom</wp:align>
            </wp:positionV>
            <wp:extent cx="4392000" cy="867600"/>
            <wp:effectExtent l="0" t="0" r="8890" b="889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D80A1" w14:textId="2002E648" w:rsidR="00EF2DFD" w:rsidRDefault="00EF2DFD" w:rsidP="0068687D">
      <w:pPr>
        <w:pStyle w:val="Heading5"/>
      </w:pPr>
      <w:r>
        <w:lastRenderedPageBreak/>
        <w:t xml:space="preserve">Obtaining a Copy of this </w:t>
      </w:r>
      <w:fldSimple w:instr=" REF DocTypeLong \* charformat " w:fldLock="1">
        <w:r w:rsidR="00083414">
          <w:t>Auditing Standard</w:t>
        </w:r>
      </w:fldSimple>
    </w:p>
    <w:p w14:paraId="4B2C8664" w14:textId="497C538D" w:rsidR="00EF2DFD" w:rsidRDefault="00EF2DFD" w:rsidP="006014A0">
      <w:pPr>
        <w:pStyle w:val="ParaPlain"/>
      </w:pPr>
      <w:r>
        <w:t xml:space="preserve">This </w:t>
      </w:r>
      <w:fldSimple w:instr=" REF DocTypeLong \* charformat " w:fldLock="1">
        <w:r w:rsidR="00083414">
          <w:t>Auditing Standard</w:t>
        </w:r>
      </w:fldSimple>
      <w:r>
        <w:t xml:space="preserve"> is available on the Auditing and Assurance Standards Board (AUASB) website: www.auasb.gov.au</w:t>
      </w:r>
    </w:p>
    <w:p w14:paraId="062C855F" w14:textId="77777777" w:rsidR="00EF2DFD" w:rsidRDefault="00EF2DFD" w:rsidP="0068687D">
      <w:pPr>
        <w:pStyle w:val="Heading5"/>
      </w:pPr>
      <w:r w:rsidRPr="00287D3A">
        <w:t>Contact Details</w:t>
      </w:r>
    </w:p>
    <w:tbl>
      <w:tblPr>
        <w:tblW w:w="0" w:type="auto"/>
        <w:tblInd w:w="-142" w:type="dxa"/>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EF2DFD" w14:paraId="64D4182D" w14:textId="77777777" w:rsidTr="00A73A81">
        <w:tc>
          <w:tcPr>
            <w:tcW w:w="4535" w:type="dxa"/>
            <w:tcMar>
              <w:right w:w="28" w:type="dxa"/>
            </w:tcMar>
          </w:tcPr>
          <w:p w14:paraId="75053539" w14:textId="77777777" w:rsidR="00EF2DFD" w:rsidRDefault="00EF2DFD">
            <w:r>
              <w:t>Auditing and Assurance Standards Board</w:t>
            </w:r>
          </w:p>
          <w:p w14:paraId="63D7AFE2" w14:textId="77777777" w:rsidR="00EF2DFD" w:rsidRDefault="00EF2DFD">
            <w:r>
              <w:t>Podium Level 14, 530 Collins Street</w:t>
            </w:r>
          </w:p>
          <w:p w14:paraId="64836BC2" w14:textId="77777777" w:rsidR="00EF2DFD" w:rsidRDefault="00EF2DFD">
            <w:r>
              <w:t>Melbourne   Victoria   3000</w:t>
            </w:r>
          </w:p>
          <w:p w14:paraId="20C9D895" w14:textId="77777777" w:rsidR="00EF2DFD" w:rsidRDefault="00EF2DFD">
            <w:r>
              <w:t>AUSTRALIA</w:t>
            </w:r>
          </w:p>
        </w:tc>
        <w:tc>
          <w:tcPr>
            <w:tcW w:w="4536" w:type="dxa"/>
          </w:tcPr>
          <w:p w14:paraId="7A867D34" w14:textId="77777777" w:rsidR="00EF2DFD" w:rsidRDefault="00EF2DFD">
            <w:pPr>
              <w:tabs>
                <w:tab w:val="left" w:pos="743"/>
              </w:tabs>
            </w:pPr>
            <w:r>
              <w:t>Phone:</w:t>
            </w:r>
            <w:r>
              <w:tab/>
              <w:t>(03) 8080 7400</w:t>
            </w:r>
          </w:p>
          <w:p w14:paraId="147E331F" w14:textId="77777777" w:rsidR="00EF2DFD" w:rsidRDefault="00EF2DFD">
            <w:pPr>
              <w:tabs>
                <w:tab w:val="left" w:pos="743"/>
              </w:tabs>
            </w:pPr>
            <w:r>
              <w:t>E-mail:</w:t>
            </w:r>
            <w:r>
              <w:tab/>
              <w:t>enquiries@auasb.gov.au</w:t>
            </w:r>
          </w:p>
          <w:p w14:paraId="487BF039" w14:textId="77777777" w:rsidR="00EF2DFD" w:rsidRDefault="00EF2DFD" w:rsidP="0068687D">
            <w:pPr>
              <w:spacing w:before="240"/>
              <w:rPr>
                <w:b/>
                <w:bCs/>
              </w:rPr>
            </w:pPr>
            <w:r>
              <w:rPr>
                <w:b/>
                <w:bCs/>
              </w:rPr>
              <w:t>Postal Address:</w:t>
            </w:r>
          </w:p>
          <w:p w14:paraId="55BB8AE1" w14:textId="77777777" w:rsidR="00EF2DFD" w:rsidRDefault="00EF2DFD">
            <w:r>
              <w:t>PO Box 204, Collins Street West</w:t>
            </w:r>
          </w:p>
          <w:p w14:paraId="16CBC138" w14:textId="77777777" w:rsidR="00EF2DFD" w:rsidRDefault="00EF2DFD">
            <w:r>
              <w:t>Melbourne   Victoria   8007</w:t>
            </w:r>
          </w:p>
          <w:p w14:paraId="21C02EE7" w14:textId="77777777" w:rsidR="00EF2DFD" w:rsidRDefault="00EF2DFD">
            <w:r>
              <w:t>AUSTRALIA</w:t>
            </w:r>
          </w:p>
        </w:tc>
      </w:tr>
    </w:tbl>
    <w:p w14:paraId="37B06265" w14:textId="77777777" w:rsidR="00EF2DFD" w:rsidRDefault="00EF2DFD" w:rsidP="0068687D">
      <w:pPr>
        <w:pStyle w:val="Heading5"/>
        <w:spacing w:before="6840" w:after="240"/>
      </w:pPr>
      <w:r>
        <w:t>COPYRIGHT</w:t>
      </w:r>
    </w:p>
    <w:p w14:paraId="04BB93B0" w14:textId="0FAF0E8B" w:rsidR="00EF2DFD" w:rsidRPr="00F740E2" w:rsidRDefault="00EF2DFD">
      <w:pPr>
        <w:pStyle w:val="ParaPlain"/>
        <w:rPr>
          <w:sz w:val="18"/>
          <w:szCs w:val="18"/>
        </w:rPr>
      </w:pPr>
      <w:bookmarkStart w:id="5" w:name="CopyrightNoIntl"/>
      <w:r w:rsidRPr="00F740E2">
        <w:rPr>
          <w:sz w:val="18"/>
          <w:szCs w:val="18"/>
        </w:rPr>
        <w:t xml:space="preserve">© </w:t>
      </w:r>
      <w:bookmarkStart w:id="6" w:name="Year"/>
      <w:r>
        <w:rPr>
          <w:sz w:val="18"/>
          <w:szCs w:val="18"/>
        </w:rPr>
        <w:t>2021</w:t>
      </w:r>
      <w:bookmarkEnd w:id="6"/>
      <w:r w:rsidRPr="00F740E2">
        <w:rPr>
          <w:sz w:val="18"/>
          <w:szCs w:val="18"/>
        </w:rPr>
        <w:t xml:space="preserve"> </w:t>
      </w:r>
      <w:bookmarkStart w:id="7" w:name="Copyright"/>
      <w:r>
        <w:rPr>
          <w:sz w:val="18"/>
          <w:szCs w:val="18"/>
        </w:rPr>
        <w:t>Commonwealth of Australia</w:t>
      </w:r>
      <w:bookmarkEnd w:id="7"/>
      <w:r w:rsidRPr="00F740E2">
        <w:rPr>
          <w:sz w:val="18"/>
          <w:szCs w:val="18"/>
        </w:rPr>
        <w:t xml:space="preserve">.  The text, </w:t>
      </w:r>
      <w:proofErr w:type="gramStart"/>
      <w:r w:rsidRPr="00F740E2">
        <w:rPr>
          <w:sz w:val="18"/>
          <w:szCs w:val="18"/>
        </w:rPr>
        <w:t>graphics</w:t>
      </w:r>
      <w:proofErr w:type="gramEnd"/>
      <w:r w:rsidRPr="00F740E2">
        <w:rPr>
          <w:sz w:val="18"/>
          <w:szCs w:val="18"/>
        </w:rPr>
        <w:t xml:space="preserve"> and layout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00083414" w:rsidRPr="00083414">
        <w:rPr>
          <w:sz w:val="18"/>
          <w:szCs w:val="18"/>
        </w:rPr>
        <w:t>Auditing Standard</w:t>
      </w:r>
      <w:r w:rsidRPr="00F740E2">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8" w:name="AUASBFull"/>
      <w:r w:rsidRPr="00F740E2">
        <w:rPr>
          <w:sz w:val="18"/>
          <w:szCs w:val="18"/>
        </w:rPr>
        <w:t>Australian Auditing and Assurance Standards Board (AUASB)</w:t>
      </w:r>
      <w:bookmarkEnd w:id="8"/>
      <w:r w:rsidRPr="00F740E2">
        <w:rPr>
          <w:sz w:val="18"/>
          <w:szCs w:val="18"/>
        </w:rPr>
        <w:t>.</w:t>
      </w:r>
    </w:p>
    <w:p w14:paraId="2B1D75FE" w14:textId="4E9828FC" w:rsidR="00EF2DFD" w:rsidRPr="00F740E2" w:rsidRDefault="00EF2DFD">
      <w:pPr>
        <w:pStyle w:val="ParaPlain"/>
        <w:rPr>
          <w:sz w:val="18"/>
          <w:szCs w:val="18"/>
        </w:rPr>
      </w:pPr>
      <w:r w:rsidRPr="00F740E2">
        <w:rPr>
          <w:sz w:val="18"/>
          <w:szCs w:val="18"/>
        </w:rPr>
        <w:t xml:space="preserve">Requests and enquiries concerning reproduction and rights for commercial purposes should be addressed to the </w:t>
      </w:r>
      <w:r>
        <w:rPr>
          <w:sz w:val="18"/>
          <w:szCs w:val="18"/>
        </w:rPr>
        <w:t>Technical</w:t>
      </w:r>
      <w:r w:rsidRPr="00F740E2">
        <w:rPr>
          <w:sz w:val="18"/>
          <w:szCs w:val="18"/>
        </w:rPr>
        <w:t xml:space="preserve"> Director, Auditing and Assurance Standards Board, PO Box 204, Collins Street West, Melbourne</w:t>
      </w:r>
      <w:r>
        <w:rPr>
          <w:sz w:val="18"/>
          <w:szCs w:val="18"/>
        </w:rPr>
        <w:t>, Victoria </w:t>
      </w:r>
      <w:r w:rsidRPr="00F740E2">
        <w:rPr>
          <w:sz w:val="18"/>
          <w:szCs w:val="18"/>
        </w:rPr>
        <w:t xml:space="preserve">8007 or sent to </w:t>
      </w:r>
      <w:hyperlink r:id="rId18" w:history="1">
        <w:r w:rsidRPr="00F740E2">
          <w:rPr>
            <w:rStyle w:val="Hyperlink"/>
            <w:sz w:val="18"/>
            <w:szCs w:val="18"/>
          </w:rPr>
          <w:t>enquiries@auasb.gov.au</w:t>
        </w:r>
      </w:hyperlink>
      <w:r w:rsidRPr="00F740E2">
        <w:rPr>
          <w:sz w:val="18"/>
          <w:szCs w:val="18"/>
        </w:rPr>
        <w:t xml:space="preserve">.  Otherwise, no part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00083414" w:rsidRPr="00083414">
        <w:rPr>
          <w:sz w:val="18"/>
          <w:szCs w:val="18"/>
        </w:rPr>
        <w:t>Auditing Standard</w:t>
      </w:r>
      <w:r w:rsidRPr="00F740E2">
        <w:rPr>
          <w:sz w:val="18"/>
          <w:szCs w:val="18"/>
        </w:rPr>
        <w:fldChar w:fldCharType="end"/>
      </w:r>
      <w:r w:rsidRPr="00F740E2">
        <w:rPr>
          <w:sz w:val="18"/>
          <w:szCs w:val="18"/>
        </w:rPr>
        <w:t xml:space="preserve"> may be reproduced, </w:t>
      </w:r>
      <w:proofErr w:type="gramStart"/>
      <w:r w:rsidRPr="00F740E2">
        <w:rPr>
          <w:sz w:val="18"/>
          <w:szCs w:val="18"/>
        </w:rPr>
        <w:t>stored</w:t>
      </w:r>
      <w:proofErr w:type="gramEnd"/>
      <w:r w:rsidRPr="00F740E2">
        <w:rPr>
          <w:sz w:val="18"/>
          <w:szCs w:val="18"/>
        </w:rPr>
        <w:t xml:space="preserve"> or transmitted in any form or by any means without the prior written permission of the AUASB except as permitted by law.</w:t>
      </w:r>
    </w:p>
    <w:bookmarkEnd w:id="5"/>
    <w:p w14:paraId="4915D7DC" w14:textId="59996672" w:rsidR="004D4D03" w:rsidRDefault="004D4D03">
      <w:r>
        <w:t xml:space="preserve">ISSN </w:t>
      </w:r>
      <w:bookmarkStart w:id="9" w:name="ISSN"/>
      <w:r w:rsidR="00EF2DFD">
        <w:t>1833-4393</w:t>
      </w:r>
      <w:bookmarkEnd w:id="9"/>
    </w:p>
    <w:p w14:paraId="6606F7B3" w14:textId="77777777" w:rsidR="004D4D03" w:rsidRDefault="004D4D03" w:rsidP="00FC6D4D">
      <w:pPr>
        <w:pStyle w:val="Heading1"/>
        <w:keepNext w:val="0"/>
        <w:pageBreakBefore/>
      </w:pPr>
      <w:r>
        <w:lastRenderedPageBreak/>
        <w:t>CONTENTS</w:t>
      </w:r>
    </w:p>
    <w:p w14:paraId="345973A2" w14:textId="77777777" w:rsidR="00470C0A" w:rsidRDefault="00470C0A" w:rsidP="00470C0A">
      <w:pPr>
        <w:pStyle w:val="ParaPlain"/>
      </w:pPr>
      <w:r>
        <w:t>PREFACE</w:t>
      </w:r>
    </w:p>
    <w:p w14:paraId="66B5CD04" w14:textId="77777777" w:rsidR="004D4D03" w:rsidRDefault="004D4D03" w:rsidP="00935036">
      <w:pPr>
        <w:pStyle w:val="ParaPlain"/>
      </w:pPr>
      <w:r>
        <w:t>AUTHORITY STATEMENT</w:t>
      </w:r>
    </w:p>
    <w:p w14:paraId="6786F103" w14:textId="0B5CFA45" w:rsidR="00EB01CF" w:rsidRPr="00470C0A" w:rsidRDefault="00935036" w:rsidP="00BC2851">
      <w:pPr>
        <w:pStyle w:val="ParaPlain"/>
      </w:pPr>
      <w:r w:rsidRPr="00470C0A">
        <w:t xml:space="preserve">CONFORMITY WITH INTERNATIONAL </w:t>
      </w:r>
      <w:r>
        <w:t xml:space="preserve">STANDARDS ON </w:t>
      </w:r>
      <w:r>
        <w:fldChar w:fldCharType="begin" w:fldLock="1"/>
      </w:r>
      <w:r>
        <w:instrText xml:space="preserve"> REF  DocTypeIntlLong \* Upper  \* charformat</w:instrText>
      </w:r>
      <w:r>
        <w:fldChar w:fldCharType="separate"/>
      </w:r>
      <w:r w:rsidR="00083414">
        <w:t>AUDITING</w:t>
      </w:r>
      <w:r>
        <w:fldChar w:fldCharType="end"/>
      </w:r>
    </w:p>
    <w:p w14:paraId="3ED8E2C5" w14:textId="77777777" w:rsidR="004D4D03" w:rsidRDefault="004D4D03" w:rsidP="00231133">
      <w:pPr>
        <w:jc w:val="right"/>
        <w:rPr>
          <w:i/>
          <w:iCs/>
        </w:rPr>
      </w:pPr>
      <w:r>
        <w:rPr>
          <w:i/>
          <w:iCs/>
        </w:rPr>
        <w:t>Paragraphs</w:t>
      </w:r>
    </w:p>
    <w:p w14:paraId="7B5CAFFC" w14:textId="01D94C74" w:rsidR="00B4661A" w:rsidRDefault="00B4661A" w:rsidP="00B4661A">
      <w:pPr>
        <w:pStyle w:val="TOC2"/>
      </w:pPr>
      <w:bookmarkStart w:id="10" w:name="TOCRange"/>
      <w:r w:rsidRPr="00B4661A">
        <w:rPr>
          <w:b/>
        </w:rPr>
        <w:t>Application</w:t>
      </w:r>
      <w:r>
        <w:tab/>
        <w:t>1-2</w:t>
      </w:r>
    </w:p>
    <w:p w14:paraId="5E234554" w14:textId="009E0F70" w:rsidR="00B4661A" w:rsidRDefault="00B4661A" w:rsidP="00B4661A">
      <w:pPr>
        <w:pStyle w:val="TOC2"/>
      </w:pPr>
      <w:r w:rsidRPr="00B4661A">
        <w:rPr>
          <w:b/>
        </w:rPr>
        <w:t>Operative Date</w:t>
      </w:r>
      <w:r>
        <w:tab/>
        <w:t>3</w:t>
      </w:r>
    </w:p>
    <w:p w14:paraId="29C26469" w14:textId="358E1ABB" w:rsidR="00B4661A" w:rsidRDefault="00B4661A" w:rsidP="00B4661A">
      <w:pPr>
        <w:pStyle w:val="TOC2"/>
      </w:pPr>
      <w:r w:rsidRPr="00B4661A">
        <w:rPr>
          <w:b/>
        </w:rPr>
        <w:t>Introduction</w:t>
      </w:r>
    </w:p>
    <w:p w14:paraId="1BB71F44" w14:textId="77777777" w:rsidR="00B4661A" w:rsidRDefault="00B4661A" w:rsidP="00B4661A">
      <w:pPr>
        <w:pStyle w:val="TOC2"/>
      </w:pPr>
      <w:r>
        <w:t>Scope of this Auditing Standard</w:t>
      </w:r>
      <w:r>
        <w:tab/>
        <w:t>4</w:t>
      </w:r>
    </w:p>
    <w:p w14:paraId="6EEC759D" w14:textId="62E26D21" w:rsidR="00B4661A" w:rsidRDefault="00B4661A" w:rsidP="00B4661A">
      <w:pPr>
        <w:pStyle w:val="TOC2"/>
      </w:pPr>
      <w:r w:rsidRPr="00B4661A">
        <w:rPr>
          <w:b/>
        </w:rPr>
        <w:t>Objective</w:t>
      </w:r>
      <w:r>
        <w:tab/>
        <w:t>5</w:t>
      </w:r>
    </w:p>
    <w:p w14:paraId="53E771F3" w14:textId="39DFDE54" w:rsidR="00B4661A" w:rsidRDefault="00B4661A" w:rsidP="00B4661A">
      <w:pPr>
        <w:pStyle w:val="TOC2"/>
      </w:pPr>
      <w:r w:rsidRPr="00B4661A">
        <w:rPr>
          <w:b/>
        </w:rPr>
        <w:t>Definition</w:t>
      </w:r>
      <w:r>
        <w:tab/>
        <w:t>6</w:t>
      </w:r>
    </w:p>
    <w:p w14:paraId="5BCED976" w14:textId="1475494B" w:rsidR="00B4661A" w:rsidRDefault="00B4661A" w:rsidP="00B4661A">
      <w:pPr>
        <w:pStyle w:val="TOC2"/>
      </w:pPr>
      <w:r w:rsidRPr="00B4661A">
        <w:rPr>
          <w:b/>
        </w:rPr>
        <w:t>Amendments to Auditing Standard</w:t>
      </w:r>
      <w:r>
        <w:tab/>
        <w:t>7</w:t>
      </w:r>
    </w:p>
    <w:p w14:paraId="32F25910" w14:textId="0377AF98" w:rsidR="00B4661A" w:rsidRDefault="00B4661A" w:rsidP="00B4661A">
      <w:pPr>
        <w:pStyle w:val="TOC2"/>
      </w:pPr>
      <w:r>
        <w:t>Amendments to ASA 560</w:t>
      </w:r>
      <w:r>
        <w:tab/>
        <w:t>8-1</w:t>
      </w:r>
      <w:r w:rsidR="00E52667">
        <w:t>2</w:t>
      </w:r>
    </w:p>
    <w:bookmarkEnd w:id="10"/>
    <w:p w14:paraId="218081E0" w14:textId="2979710A" w:rsidR="004D4D03" w:rsidRDefault="004D4D03" w:rsidP="00FC6D4D">
      <w:pPr>
        <w:pStyle w:val="ContentsItem"/>
      </w:pPr>
    </w:p>
    <w:p w14:paraId="5A032DD7" w14:textId="77777777" w:rsidR="00DD6627" w:rsidRDefault="00DD6627">
      <w:pPr>
        <w:pStyle w:val="ContentsItem"/>
      </w:pPr>
    </w:p>
    <w:p w14:paraId="4702652D" w14:textId="77777777" w:rsidR="00237187" w:rsidRDefault="004D4D03" w:rsidP="00237187">
      <w:pPr>
        <w:pStyle w:val="ParaPlain"/>
      </w:pPr>
      <w:r>
        <w:br w:type="page"/>
      </w:r>
    </w:p>
    <w:p w14:paraId="41F0418B" w14:textId="77777777" w:rsidR="00237187" w:rsidRDefault="00237187" w:rsidP="00237187">
      <w:pPr>
        <w:pStyle w:val="Heading1"/>
      </w:pPr>
      <w:r>
        <w:lastRenderedPageBreak/>
        <w:t>preface</w:t>
      </w:r>
    </w:p>
    <w:p w14:paraId="390F554D" w14:textId="79F64F66" w:rsidR="00237187" w:rsidRDefault="004D3084" w:rsidP="004D3084">
      <w:pPr>
        <w:pStyle w:val="Heading4"/>
      </w:pPr>
      <w:r>
        <w:t xml:space="preserve">Reasons for Issuing </w:t>
      </w:r>
      <w:fldSimple w:instr=" REF DocType \* charformat \* MERGEFORMAT " w:fldLock="1">
        <w:r w:rsidR="00083414">
          <w:t>ASA</w:t>
        </w:r>
      </w:fldSimple>
      <w:r>
        <w:t xml:space="preserve"> </w:t>
      </w:r>
      <w:r w:rsidR="00E676FD">
        <w:fldChar w:fldCharType="begin" w:fldLock="1"/>
      </w:r>
      <w:r w:rsidR="00EF2DFD">
        <w:instrText>DocNo \* charformat</w:instrText>
      </w:r>
      <w:r w:rsidR="00E676FD">
        <w:fldChar w:fldCharType="separate"/>
      </w:r>
      <w:r w:rsidR="00083414">
        <w:t>2021-2</w:t>
      </w:r>
      <w:r w:rsidR="00E676FD">
        <w:fldChar w:fldCharType="end"/>
      </w:r>
    </w:p>
    <w:p w14:paraId="1C4842B7" w14:textId="04F18BE8" w:rsidR="00E81AE0" w:rsidRDefault="00E81AE0" w:rsidP="004D3084">
      <w:pPr>
        <w:pStyle w:val="ParaPlain"/>
      </w:pPr>
      <w:r>
        <w:t>The A</w:t>
      </w:r>
      <w:bookmarkStart w:id="11" w:name="CorpsAct"/>
      <w:bookmarkEnd w:id="11"/>
      <w:r>
        <w:t>UASB</w:t>
      </w:r>
      <w:r w:rsidR="00EF2DFD">
        <w:t xml:space="preserve"> issues </w:t>
      </w:r>
      <w:fldSimple w:instr=" REF DocTypeLong \* charformat " w:fldLock="1">
        <w:r w:rsidR="00083414">
          <w:t>Auditing Standard</w:t>
        </w:r>
      </w:fldSimple>
      <w:r>
        <w:t xml:space="preserve"> </w:t>
      </w:r>
      <w:fldSimple w:instr=" REF DocType \* charformat " w:fldLock="1">
        <w:r w:rsidR="00083414">
          <w:t>ASA</w:t>
        </w:r>
      </w:fldSimple>
      <w:r>
        <w:t> </w:t>
      </w:r>
      <w:fldSimple w:instr=" REF DocNo \* charformat " w:fldLock="1">
        <w:r w:rsidR="00083414">
          <w:t>2021-2</w:t>
        </w:r>
      </w:fldSimple>
      <w:r>
        <w:t xml:space="preserve"> </w:t>
      </w:r>
      <w:r w:rsidRPr="001133B4">
        <w:rPr>
          <w:i/>
        </w:rPr>
        <w:fldChar w:fldCharType="begin" w:fldLock="1"/>
      </w:r>
      <w:r w:rsidRPr="001133B4">
        <w:rPr>
          <w:i/>
        </w:rPr>
        <w:instrText xml:space="preserve"> REF DocTitle \* charformat </w:instrText>
      </w:r>
      <w:r w:rsidRPr="001133B4">
        <w:rPr>
          <w:i/>
        </w:rPr>
        <w:fldChar w:fldCharType="separate"/>
      </w:r>
      <w:r w:rsidR="00083414" w:rsidRPr="00083414">
        <w:rPr>
          <w:i/>
        </w:rPr>
        <w:t>Amendments to Australian Auditing Standard ASA 560 Subsequent Events</w:t>
      </w:r>
      <w:r w:rsidRPr="001133B4">
        <w:rPr>
          <w:i/>
        </w:rPr>
        <w:fldChar w:fldCharType="end"/>
      </w:r>
      <w:r>
        <w:t xml:space="preserve"> pursuant to the requirements of the legislative provisions and the Strategic Direction explained below.</w:t>
      </w:r>
    </w:p>
    <w:p w14:paraId="1B3434DC" w14:textId="273E604F" w:rsidR="00E81AE0" w:rsidRPr="004D3084" w:rsidRDefault="00E81AE0" w:rsidP="004D3084">
      <w:pPr>
        <w:pStyle w:val="ParaPlain"/>
      </w:pPr>
      <w:r>
        <w:t>The AUASB is a non</w:t>
      </w:r>
      <w:r w:rsidR="00C358DE">
        <w:t>-</w:t>
      </w:r>
      <w:r>
        <w:t xml:space="preserve">corporate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corporations legislation.  These Auditing Standards are legislative instruments under the </w:t>
      </w:r>
      <w:r>
        <w:rPr>
          <w:i/>
        </w:rPr>
        <w:t>Legislation Act </w:t>
      </w:r>
      <w:r w:rsidRPr="004D3084">
        <w:rPr>
          <w:i/>
        </w:rPr>
        <w:t>2003</w:t>
      </w:r>
      <w:r>
        <w:t>.</w:t>
      </w:r>
    </w:p>
    <w:p w14:paraId="3CDC8F40" w14:textId="77777777" w:rsidR="00E81AE0" w:rsidRDefault="00E81AE0" w:rsidP="0000664A">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74704DFB" w14:textId="08AAAE06" w:rsidR="00FB492A" w:rsidRPr="0018760A" w:rsidRDefault="00EF2DFD" w:rsidP="00417D52">
      <w:pPr>
        <w:pStyle w:val="Heading4"/>
        <w:keepNext w:val="0"/>
      </w:pPr>
      <w:r>
        <w:t>Main Features</w:t>
      </w:r>
    </w:p>
    <w:p w14:paraId="136C9E2E" w14:textId="4A12B42C" w:rsidR="00F96FD6" w:rsidRDefault="00EF2DFD" w:rsidP="00F96FD6">
      <w:pPr>
        <w:pStyle w:val="ParaPlain"/>
      </w:pPr>
      <w:r>
        <w:t xml:space="preserve">This </w:t>
      </w:r>
      <w:r w:rsidR="00776DC5" w:rsidRPr="0018760A">
        <w:fldChar w:fldCharType="begin" w:fldLock="1"/>
      </w:r>
      <w:r w:rsidR="00776DC5" w:rsidRPr="0018760A">
        <w:instrText xml:space="preserve"> REF DocTypeLong \* charformat </w:instrText>
      </w:r>
      <w:r w:rsidR="00D0654D" w:rsidRPr="0018760A">
        <w:instrText xml:space="preserve"> \* MERGEFORMAT </w:instrText>
      </w:r>
      <w:r w:rsidR="00776DC5" w:rsidRPr="0018760A">
        <w:fldChar w:fldCharType="separate"/>
      </w:r>
      <w:r w:rsidR="00083414">
        <w:t>Auditing Standard</w:t>
      </w:r>
      <w:r w:rsidR="00776DC5" w:rsidRPr="0018760A">
        <w:fldChar w:fldCharType="end"/>
      </w:r>
      <w:r w:rsidR="00F96FD6" w:rsidRPr="0018760A">
        <w:t xml:space="preserve"> makes amendments to the </w:t>
      </w:r>
      <w:r w:rsidR="005078D3" w:rsidRPr="0018760A">
        <w:t xml:space="preserve">requirements and application </w:t>
      </w:r>
      <w:r w:rsidR="0018760A">
        <w:t>and</w:t>
      </w:r>
      <w:r w:rsidR="005078D3" w:rsidRPr="0018760A">
        <w:t xml:space="preserve"> other explanatory material of the</w:t>
      </w:r>
      <w:r w:rsidR="005078D3">
        <w:t xml:space="preserve"> following </w:t>
      </w:r>
      <w:r w:rsidR="00F96FD6">
        <w:t xml:space="preserve">Auditing </w:t>
      </w:r>
      <w:bookmarkStart w:id="12" w:name="Plural1"/>
      <w:r w:rsidR="00083414">
        <w:t>Standard</w:t>
      </w:r>
      <w:bookmarkEnd w:id="12"/>
      <w:r w:rsidR="00F96FD6">
        <w:t>:</w:t>
      </w:r>
    </w:p>
    <w:p w14:paraId="48FD1843" w14:textId="43C619D7" w:rsidR="001B094E" w:rsidRDefault="00083414" w:rsidP="001B094E">
      <w:pPr>
        <w:pStyle w:val="AusParaLevel1"/>
      </w:pPr>
      <w:bookmarkStart w:id="13" w:name="AmendListPreface"/>
      <w:r>
        <w:t>ASA 560</w:t>
      </w:r>
      <w:r>
        <w:tab/>
      </w:r>
      <w:r w:rsidRPr="00083414">
        <w:rPr>
          <w:i/>
        </w:rPr>
        <w:t>Subsequent Events</w:t>
      </w:r>
      <w:r>
        <w:t xml:space="preserve"> (Issued October 2009 and amended to December 2015)</w:t>
      </w:r>
      <w:bookmarkEnd w:id="13"/>
    </w:p>
    <w:p w14:paraId="30989C1B" w14:textId="3C50C304" w:rsidR="00AD0284" w:rsidRDefault="00EF2DFD" w:rsidP="00AD0284">
      <w:pPr>
        <w:pStyle w:val="ParaPlain"/>
      </w:pPr>
      <w:r>
        <w:t xml:space="preserve">This </w:t>
      </w:r>
      <w:r w:rsidR="00C3515B">
        <w:t xml:space="preserve">Auditing Standard </w:t>
      </w:r>
      <w:r w:rsidR="001D7921">
        <w:t xml:space="preserve">is being amended </w:t>
      </w:r>
      <w:r w:rsidR="006C6287">
        <w:t xml:space="preserve">to achieve </w:t>
      </w:r>
      <w:r w:rsidR="00EA23A7">
        <w:t xml:space="preserve">harmonisation with ISA (NZ) 560 </w:t>
      </w:r>
      <w:r w:rsidR="00432C23" w:rsidRPr="00EE002D">
        <w:rPr>
          <w:i/>
          <w:iCs/>
        </w:rPr>
        <w:t>Subsequent Events</w:t>
      </w:r>
      <w:r w:rsidR="00432C23">
        <w:t xml:space="preserve"> which was amended in February 2020. </w:t>
      </w:r>
      <w:r w:rsidR="001A6CA2" w:rsidRPr="001A6CA2">
        <w:t xml:space="preserve">This Auditing Standard makes amendments to Australian Auditing Standard ASA 560 </w:t>
      </w:r>
      <w:r w:rsidR="001A6CA2" w:rsidRPr="00F66EBF">
        <w:rPr>
          <w:i/>
          <w:iCs/>
        </w:rPr>
        <w:t>Subsequent Events</w:t>
      </w:r>
      <w:r w:rsidR="001A6CA2" w:rsidRPr="001A6CA2">
        <w:t xml:space="preserve"> made under Section 336 of the </w:t>
      </w:r>
      <w:r w:rsidR="001A6CA2" w:rsidRPr="00F66EBF">
        <w:rPr>
          <w:i/>
          <w:iCs/>
        </w:rPr>
        <w:t>Corporations Act 2001</w:t>
      </w:r>
      <w:r w:rsidR="001A6CA2" w:rsidRPr="001A6CA2">
        <w:t xml:space="preserve"> to clarify the timing of communications and possible actions the auditor may take when facts become known to the auditor after the financial report </w:t>
      </w:r>
      <w:r w:rsidR="00A25BB8" w:rsidRPr="001A6CA2">
        <w:t>ha</w:t>
      </w:r>
      <w:r w:rsidR="00A25BB8">
        <w:t>s</w:t>
      </w:r>
      <w:r w:rsidR="00A25BB8" w:rsidRPr="001A6CA2">
        <w:t xml:space="preserve"> </w:t>
      </w:r>
      <w:r w:rsidR="001A6CA2" w:rsidRPr="001A6CA2">
        <w:t>been issued that, had it been known to the auditor at the date of the auditor’s report, may have caused the auditor to amend the auditor’s report</w:t>
      </w:r>
      <w:r w:rsidR="00733702" w:rsidRPr="00D2132B">
        <w:t>.</w:t>
      </w:r>
      <w:r w:rsidR="0075687B">
        <w:t xml:space="preserve"> </w:t>
      </w:r>
    </w:p>
    <w:p w14:paraId="5E7C5EAE" w14:textId="77777777" w:rsidR="004D4D03" w:rsidRDefault="004D4D03" w:rsidP="00E34A9D">
      <w:pPr>
        <w:pStyle w:val="Heading2"/>
        <w:pageBreakBefore/>
        <w:pBdr>
          <w:top w:val="thickThinSmallGap" w:sz="24" w:space="6" w:color="auto"/>
          <w:left w:val="thickThinSmallGap" w:sz="24" w:space="6" w:color="auto"/>
          <w:bottom w:val="thickThinSmallGap" w:sz="24" w:space="6" w:color="auto"/>
          <w:right w:val="thickThinSmallGap" w:sz="24" w:space="6" w:color="auto"/>
        </w:pBdr>
        <w:ind w:left="227" w:right="227"/>
      </w:pPr>
      <w:r>
        <w:lastRenderedPageBreak/>
        <w:t>AU</w:t>
      </w:r>
      <w:bookmarkStart w:id="14" w:name="AuthStmt"/>
      <w:bookmarkEnd w:id="14"/>
      <w:r>
        <w:t>THORITY STATEMENT</w:t>
      </w:r>
    </w:p>
    <w:p w14:paraId="64492841" w14:textId="32EF4073" w:rsidR="00E81AE0" w:rsidRDefault="00E81AE0">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t xml:space="preserve">The Auditing and Assurance Standards Board (AUASB) makes this </w:t>
      </w:r>
      <w:fldSimple w:instr=" REF DocTypeLong \* charformat " w:fldLock="1">
        <w:r w:rsidR="00083414">
          <w:t>Auditing Standard</w:t>
        </w:r>
      </w:fldSimple>
      <w:r>
        <w:t xml:space="preserve"> </w:t>
      </w:r>
      <w:fldSimple w:instr=" REF DocType \* charformat " w:fldLock="1">
        <w:r w:rsidR="00083414">
          <w:t>ASA</w:t>
        </w:r>
      </w:fldSimple>
      <w:r>
        <w:t> </w:t>
      </w:r>
      <w:fldSimple w:instr=" REF DocNo \* charformat " w:fldLock="1">
        <w:r w:rsidR="00083414">
          <w:t>2021-2</w:t>
        </w:r>
      </w:fldSimple>
      <w:r>
        <w:t xml:space="preserve"> </w:t>
      </w:r>
      <w:r>
        <w:rPr>
          <w:i/>
          <w:iCs/>
        </w:rPr>
        <w:fldChar w:fldCharType="begin" w:fldLock="1"/>
      </w:r>
      <w:r>
        <w:rPr>
          <w:i/>
          <w:iCs/>
        </w:rPr>
        <w:instrText xml:space="preserve"> REF DocTitle \* charformat </w:instrText>
      </w:r>
      <w:r>
        <w:rPr>
          <w:i/>
          <w:iCs/>
        </w:rPr>
        <w:fldChar w:fldCharType="separate"/>
      </w:r>
      <w:r w:rsidR="00083414" w:rsidRPr="00083414">
        <w:rPr>
          <w:i/>
          <w:iCs/>
        </w:rPr>
        <w:t>Amendments to Australian Auditing Standard ASA 560 Subsequent Events</w:t>
      </w:r>
      <w:r>
        <w:rPr>
          <w:i/>
          <w:iCs/>
        </w:rPr>
        <w:fldChar w:fldCharType="end"/>
      </w:r>
      <w:r>
        <w:t xml:space="preserve"> pursuant to section 227B of the </w:t>
      </w:r>
      <w:r>
        <w:rPr>
          <w:i/>
          <w:iCs/>
        </w:rPr>
        <w:t>Australian Securities and Investments Commission Act 2001</w:t>
      </w:r>
      <w:r>
        <w:t xml:space="preserve"> and section 336 of the </w:t>
      </w:r>
      <w:r>
        <w:rPr>
          <w:i/>
        </w:rPr>
        <w:t>Corporations Act 2001</w:t>
      </w:r>
      <w:r>
        <w:t>.</w:t>
      </w:r>
    </w:p>
    <w:p w14:paraId="03FA3E08" w14:textId="7F45ED97" w:rsidR="00EF2DFD" w:rsidRDefault="00EF2DFD" w:rsidP="0068687D">
      <w:pPr>
        <w:pStyle w:val="ParaPlain"/>
        <w:tabs>
          <w:tab w:val="right" w:pos="9072"/>
        </w:tabs>
        <w:spacing w:before="1800"/>
      </w:pPr>
      <w:r>
        <w:t>Dated:</w:t>
      </w:r>
      <w:bookmarkStart w:id="15" w:name="MakeDate"/>
      <w:r>
        <w:t xml:space="preserve"> </w:t>
      </w:r>
      <w:r w:rsidR="001E546D">
        <w:t>7 September 2021</w:t>
      </w:r>
      <w:r>
        <w:t xml:space="preserve"> </w:t>
      </w:r>
      <w:bookmarkEnd w:id="15"/>
      <w:r>
        <w:tab/>
      </w:r>
      <w:r w:rsidR="001E546D">
        <w:t>W R Edge</w:t>
      </w:r>
      <w:r>
        <w:br/>
      </w:r>
      <w:r>
        <w:tab/>
        <w:t>Chair - AUASB</w:t>
      </w:r>
    </w:p>
    <w:p w14:paraId="65CF2A23" w14:textId="77777777" w:rsidR="00097BDA" w:rsidRDefault="00097BDA"/>
    <w:p w14:paraId="57906C3C" w14:textId="77777777" w:rsidR="000010DD" w:rsidRPr="000010DD" w:rsidRDefault="000010DD" w:rsidP="00602764">
      <w:pPr>
        <w:pStyle w:val="Heading5"/>
        <w:keepNext w:val="0"/>
        <w:pageBreakBefore/>
      </w:pPr>
      <w:r w:rsidRPr="000010DD">
        <w:lastRenderedPageBreak/>
        <w:t xml:space="preserve">Conformity with International Standards on </w:t>
      </w:r>
      <w:bookmarkStart w:id="16" w:name="DocTypeIntlLong"/>
      <w:r w:rsidR="00E81AE0">
        <w:t>Auditing</w:t>
      </w:r>
      <w:bookmarkEnd w:id="16"/>
    </w:p>
    <w:p w14:paraId="5A952CBC" w14:textId="3C1CBCBF" w:rsidR="00E9491E" w:rsidRDefault="00E9491E" w:rsidP="00BC0902">
      <w:pPr>
        <w:pStyle w:val="ParaPlain"/>
      </w:pPr>
      <w:r>
        <w:t xml:space="preserve">This </w:t>
      </w:r>
      <w:fldSimple w:instr=" REF DocTypeLong \* charformat " w:fldLock="1">
        <w:r w:rsidR="00083414">
          <w:t>Auditing Standard</w:t>
        </w:r>
      </w:fldSimple>
      <w:r>
        <w:t xml:space="preserve"> has been made for Australian legislative purposes and accordingly there is no equivalent International Standard on </w:t>
      </w:r>
      <w:fldSimple w:instr=" REF DocTypeIntlLong \* charformat " w:fldLock="1">
        <w:r w:rsidR="00083414">
          <w:t>Auditing</w:t>
        </w:r>
      </w:fldSimple>
      <w:r>
        <w:t xml:space="preserve"> (</w:t>
      </w:r>
      <w:bookmarkStart w:id="17" w:name="DocTypeIntl"/>
      <w:r w:rsidR="00E81AE0">
        <w:t>ISA</w:t>
      </w:r>
      <w:bookmarkEnd w:id="17"/>
      <w:r>
        <w:t>) issued by the International Auditing and Assurance Standards Board (IAASB), an independent standard</w:t>
      </w:r>
      <w:r>
        <w:noBreakHyphen/>
        <w:t>setting board of the International Federation of Accountants (IFAC).</w:t>
      </w:r>
    </w:p>
    <w:p w14:paraId="27E21A90" w14:textId="77777777" w:rsidR="000010DD" w:rsidRDefault="000010DD"/>
    <w:p w14:paraId="2821E03A" w14:textId="77777777" w:rsidR="004D4D03" w:rsidRDefault="004D4D03">
      <w:pPr>
        <w:sectPr w:rsidR="004D4D03" w:rsidSect="00F8727A">
          <w:headerReference w:type="default" r:id="rId19"/>
          <w:footerReference w:type="default" r:id="rId20"/>
          <w:headerReference w:type="first" r:id="rId21"/>
          <w:footerReference w:type="first" r:id="rId22"/>
          <w:pgSz w:w="11907" w:h="16840" w:code="9"/>
          <w:pgMar w:top="2268" w:right="1418" w:bottom="1701" w:left="1418" w:header="992" w:footer="992" w:gutter="0"/>
          <w:cols w:space="720"/>
          <w:titlePg/>
        </w:sectPr>
      </w:pPr>
    </w:p>
    <w:p w14:paraId="36A3E9B6" w14:textId="10C8D23D" w:rsidR="004D4D03" w:rsidRPr="003A5223" w:rsidRDefault="00275B74" w:rsidP="003A5223">
      <w:pPr>
        <w:pStyle w:val="Heading2"/>
      </w:pPr>
      <w:r w:rsidRPr="003A5223">
        <w:lastRenderedPageBreak/>
        <w:fldChar w:fldCharType="begin" w:fldLock="1"/>
      </w:r>
      <w:r w:rsidRPr="003A5223">
        <w:instrText xml:space="preserve"> REF DocTypeLong </w:instrText>
      </w:r>
      <w:r w:rsidR="003A5223" w:rsidRPr="003A5223">
        <w:instrText>\</w:instrText>
      </w:r>
      <w:r w:rsidRPr="003A5223">
        <w:instrText xml:space="preserve">* charformat </w:instrText>
      </w:r>
      <w:r w:rsidRPr="003A5223">
        <w:fldChar w:fldCharType="separate"/>
      </w:r>
      <w:r w:rsidR="00083414">
        <w:t>Auditing Standard</w:t>
      </w:r>
      <w:r w:rsidRPr="003A5223">
        <w:fldChar w:fldCharType="end"/>
      </w:r>
      <w:r w:rsidR="00880310" w:rsidRPr="003A5223">
        <w:t xml:space="preserve"> </w:t>
      </w:r>
      <w:fldSimple w:instr=" REF DocType \* charformat " w:fldLock="1">
        <w:r w:rsidR="00083414">
          <w:t>ASA</w:t>
        </w:r>
      </w:fldSimple>
      <w:r w:rsidR="00995437" w:rsidRPr="003A5223">
        <w:t> </w:t>
      </w:r>
      <w:fldSimple w:instr=" REF DocNo \* charformat " w:fldLock="1">
        <w:r w:rsidR="00083414">
          <w:t>2021-2</w:t>
        </w:r>
      </w:fldSimple>
    </w:p>
    <w:p w14:paraId="4949C063" w14:textId="4E66EE5D" w:rsidR="004D4D03" w:rsidRDefault="002E74AE">
      <w:pPr>
        <w:pStyle w:val="Heading3"/>
      </w:pPr>
      <w:fldSimple w:instr=" REF DocTitle  \* charformat " w:fldLock="1">
        <w:r w:rsidR="00083414">
          <w:t>Amendments to Australian Auditing Standard ASA 560 Subsequent Events</w:t>
        </w:r>
      </w:fldSimple>
    </w:p>
    <w:p w14:paraId="2D666491" w14:textId="77777777" w:rsidR="004D4D03" w:rsidRDefault="00301C19">
      <w:pPr>
        <w:pStyle w:val="Heading5"/>
      </w:pPr>
      <w:bookmarkStart w:id="18" w:name="TOCStart"/>
      <w:bookmarkEnd w:id="18"/>
      <w:r>
        <w:t>Application</w:t>
      </w:r>
    </w:p>
    <w:p w14:paraId="4C2CD6E8" w14:textId="77777777" w:rsidR="00E81AE0" w:rsidRDefault="00E81AE0" w:rsidP="00960A96">
      <w:pPr>
        <w:pStyle w:val="ParaLevel1"/>
      </w:pPr>
      <w:r>
        <w:t>This Auditing Standard applies to:</w:t>
      </w:r>
    </w:p>
    <w:p w14:paraId="6F3D6004" w14:textId="77777777" w:rsidR="00E81AE0" w:rsidRDefault="00E81AE0" w:rsidP="00E81AE0">
      <w:pPr>
        <w:pStyle w:val="ParaLevel2"/>
        <w:numPr>
          <w:ilvl w:val="0"/>
          <w:numId w:val="10"/>
        </w:numPr>
        <w:ind w:left="1418"/>
      </w:pPr>
      <w:r>
        <w:t xml:space="preserve">an audit of a financial report for a financial year, or an audit of a financial report for a half-year, in accordance with the </w:t>
      </w:r>
      <w:r>
        <w:rPr>
          <w:i/>
        </w:rPr>
        <w:t>Corporations Act 2001</w:t>
      </w:r>
      <w:r>
        <w:t>; and</w:t>
      </w:r>
    </w:p>
    <w:p w14:paraId="20995C36" w14:textId="77777777" w:rsidR="00E81AE0" w:rsidRDefault="00E81AE0" w:rsidP="00E81AE0">
      <w:pPr>
        <w:pStyle w:val="ParaLevel2"/>
        <w:numPr>
          <w:ilvl w:val="0"/>
          <w:numId w:val="10"/>
        </w:numPr>
        <w:ind w:left="1418"/>
      </w:pPr>
      <w:r>
        <w:t>an audit of a financial report, or a complete set of financial statements, for any other purpose.</w:t>
      </w:r>
    </w:p>
    <w:p w14:paraId="367346AE" w14:textId="77777777" w:rsidR="00E81AE0" w:rsidRDefault="00E81AE0" w:rsidP="00960A96">
      <w:pPr>
        <w:pStyle w:val="ParaLevel1"/>
      </w:pPr>
      <w:r>
        <w:t>This Auditing Standard also applies, as appropriate, to an audit of other historical financial information.</w:t>
      </w:r>
    </w:p>
    <w:p w14:paraId="7F6B4A7D" w14:textId="77777777" w:rsidR="004D4D03" w:rsidRDefault="0008431E">
      <w:pPr>
        <w:pStyle w:val="Heading5"/>
      </w:pPr>
      <w:r>
        <w:t>Operative</w:t>
      </w:r>
      <w:r w:rsidR="004D4D03">
        <w:t xml:space="preserve"> Date</w:t>
      </w:r>
    </w:p>
    <w:p w14:paraId="52158FFA" w14:textId="1178609B" w:rsidR="00E81AE0" w:rsidRDefault="00E81AE0" w:rsidP="00960A96">
      <w:pPr>
        <w:pStyle w:val="ParaLevel1"/>
      </w:pPr>
      <w:r>
        <w:t xml:space="preserve">This </w:t>
      </w:r>
      <w:r>
        <w:fldChar w:fldCharType="begin" w:fldLock="1"/>
      </w:r>
      <w:r>
        <w:instrText xml:space="preserve"> REF DocTypeLong \* charformat</w:instrText>
      </w:r>
      <w:r>
        <w:fldChar w:fldCharType="separate"/>
      </w:r>
      <w:r w:rsidR="00083414">
        <w:t>Auditing Standard</w:t>
      </w:r>
      <w:r>
        <w:fldChar w:fldCharType="end"/>
      </w:r>
      <w:r>
        <w:t xml:space="preserve"> is operative for </w:t>
      </w:r>
      <w:bookmarkStart w:id="19" w:name="OpDateText"/>
      <w:r w:rsidR="002B134F">
        <w:t>financial reporting periods commencing on or after</w:t>
      </w:r>
      <w:bookmarkEnd w:id="19"/>
      <w:r>
        <w:t xml:space="preserve"> </w:t>
      </w:r>
      <w:bookmarkStart w:id="20" w:name="OpDate"/>
      <w:r w:rsidR="004535A4">
        <w:t>15 December 2021</w:t>
      </w:r>
      <w:bookmarkEnd w:id="20"/>
      <w:r w:rsidR="00C246A0">
        <w:t>, with early adoption permitted</w:t>
      </w:r>
      <w:r>
        <w:t>.</w:t>
      </w:r>
    </w:p>
    <w:p w14:paraId="20413952" w14:textId="77777777" w:rsidR="008809E8" w:rsidRPr="0008431E" w:rsidRDefault="008809E8" w:rsidP="0008431E">
      <w:pPr>
        <w:pStyle w:val="Heading5"/>
      </w:pPr>
      <w:r>
        <w:t>Introduction</w:t>
      </w:r>
    </w:p>
    <w:p w14:paraId="0140CDEB" w14:textId="7B255FFD"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083414">
        <w:t>Auditing Standard</w:t>
      </w:r>
      <w:r>
        <w:fldChar w:fldCharType="end"/>
      </w:r>
    </w:p>
    <w:p w14:paraId="2E285CA8" w14:textId="6644B2BA" w:rsidR="008809E8" w:rsidRPr="00F175A3" w:rsidRDefault="00D21778" w:rsidP="00D21778">
      <w:pPr>
        <w:pStyle w:val="ParaLevel1"/>
      </w:pPr>
      <w:r w:rsidRPr="00F175A3">
        <w:t>This Auditing Standard makes amendments to Australian Auditing Standard</w:t>
      </w:r>
      <w:r w:rsidR="00F175A3">
        <w:t xml:space="preserve"> ASA 560 </w:t>
      </w:r>
      <w:r w:rsidR="006967F6" w:rsidRPr="006967F6">
        <w:rPr>
          <w:i/>
          <w:iCs/>
        </w:rPr>
        <w:t>Subsequent Events</w:t>
      </w:r>
      <w:r w:rsidRPr="00F175A3">
        <w:t xml:space="preserve"> made under Section 336 of the </w:t>
      </w:r>
      <w:r w:rsidRPr="00F175A3">
        <w:rPr>
          <w:i/>
          <w:iCs/>
        </w:rPr>
        <w:t>Corporations Act 2001</w:t>
      </w:r>
      <w:r w:rsidRPr="00F175A3">
        <w:t xml:space="preserve"> to </w:t>
      </w:r>
      <w:r w:rsidR="00C4700D" w:rsidRPr="00F175A3">
        <w:t xml:space="preserve">clarify the </w:t>
      </w:r>
      <w:r w:rsidR="00F175A3" w:rsidRPr="00F175A3">
        <w:t xml:space="preserve">timing of communications and possible actions the auditor may take when facts become known to the auditor after the financial report </w:t>
      </w:r>
      <w:r w:rsidR="00B67132" w:rsidRPr="00F175A3">
        <w:t>ha</w:t>
      </w:r>
      <w:r w:rsidR="00B67132">
        <w:t>s</w:t>
      </w:r>
      <w:r w:rsidR="00B67132" w:rsidRPr="00F175A3">
        <w:t xml:space="preserve"> </w:t>
      </w:r>
      <w:r w:rsidR="00F175A3" w:rsidRPr="00F175A3">
        <w:t>been issued that, had it been known to the auditor at the date of the auditor’s report, may have caused the auditor to amend the auditor’s report.</w:t>
      </w:r>
    </w:p>
    <w:p w14:paraId="5D7759EB" w14:textId="77777777" w:rsidR="00F96FD6" w:rsidRDefault="00F96FD6" w:rsidP="00F96FD6">
      <w:pPr>
        <w:pStyle w:val="Heading5"/>
      </w:pPr>
      <w:r>
        <w:t>Objective</w:t>
      </w:r>
    </w:p>
    <w:p w14:paraId="07EEDF90" w14:textId="19F1B31D" w:rsidR="00F96FD6" w:rsidRDefault="00F96FD6" w:rsidP="00F96FD6">
      <w:pPr>
        <w:pStyle w:val="ParaLevel1"/>
      </w:pPr>
      <w:r>
        <w:t xml:space="preserve">The objective of this </w:t>
      </w:r>
      <w:fldSimple w:instr=" REF DocTypeLong \* charformat " w:fldLock="1">
        <w:r w:rsidR="00083414">
          <w:t>Auditing Standard</w:t>
        </w:r>
      </w:fldSimple>
      <w:r>
        <w:t xml:space="preserve"> is to make amendments to </w:t>
      </w:r>
      <w:r w:rsidR="00D45B3B">
        <w:t xml:space="preserve">Australian </w:t>
      </w:r>
      <w:r>
        <w:t xml:space="preserve">Auditing </w:t>
      </w:r>
      <w:bookmarkStart w:id="21" w:name="Plural2"/>
      <w:r w:rsidR="00083414">
        <w:t>Standard</w:t>
      </w:r>
      <w:bookmarkEnd w:id="21"/>
      <w:r w:rsidR="00D45B3B">
        <w:t xml:space="preserve"> </w:t>
      </w:r>
      <w:bookmarkStart w:id="22" w:name="AmendList"/>
      <w:r w:rsidR="00083414">
        <w:t xml:space="preserve">ASA 560 </w:t>
      </w:r>
      <w:r w:rsidR="00083414" w:rsidRPr="00083414">
        <w:rPr>
          <w:i/>
        </w:rPr>
        <w:t>Subsequent Events</w:t>
      </w:r>
      <w:r w:rsidR="00083414">
        <w:t xml:space="preserve"> (Issued October 2009 and amended to December 2015)</w:t>
      </w:r>
      <w:bookmarkEnd w:id="22"/>
      <w:r w:rsidR="00D45B3B">
        <w:t>.</w:t>
      </w:r>
    </w:p>
    <w:p w14:paraId="72034C95" w14:textId="77777777" w:rsidR="00F96FD6" w:rsidRDefault="00F96FD6" w:rsidP="00F96FD6">
      <w:pPr>
        <w:pStyle w:val="Heading5"/>
      </w:pPr>
      <w:r>
        <w:t>Definition</w:t>
      </w:r>
    </w:p>
    <w:p w14:paraId="039DF5F4" w14:textId="682AF318" w:rsidR="00F96FD6" w:rsidRDefault="00F96FD6" w:rsidP="00F96FD6">
      <w:pPr>
        <w:pStyle w:val="ParaLevel1"/>
      </w:pPr>
      <w:r>
        <w:t xml:space="preserve">For the purposes of this </w:t>
      </w:r>
      <w:fldSimple w:instr=" REF DocTypeLong \* charformat " w:fldLock="1">
        <w:r w:rsidR="00083414">
          <w:t>Auditing Standard</w:t>
        </w:r>
      </w:fldSimple>
      <w:r>
        <w:t xml:space="preserve">, the meanings of terms are set out in each Auditing Standard and in the </w:t>
      </w:r>
      <w:r w:rsidRPr="00A840B3">
        <w:rPr>
          <w:i/>
        </w:rPr>
        <w:t>AUASB Glossary</w:t>
      </w:r>
      <w:r>
        <w:t xml:space="preserve">.  This </w:t>
      </w:r>
      <w:fldSimple w:instr=" REF DocTypeLong \* charformat " w:fldLock="1">
        <w:r w:rsidR="00083414">
          <w:t>Auditing Standard</w:t>
        </w:r>
      </w:fldSimple>
      <w:r>
        <w:t xml:space="preserve"> does not introduce new definitions.</w:t>
      </w:r>
    </w:p>
    <w:p w14:paraId="5DF15500" w14:textId="19334E92" w:rsidR="00F96FD6" w:rsidRDefault="00F96FD6" w:rsidP="00F96FD6">
      <w:pPr>
        <w:pStyle w:val="Heading5"/>
      </w:pPr>
      <w:r>
        <w:t xml:space="preserve">Amendments to </w:t>
      </w:r>
      <w:r w:rsidR="004828CC">
        <w:t xml:space="preserve">Auditing </w:t>
      </w:r>
      <w:bookmarkStart w:id="23" w:name="Plural3"/>
      <w:r w:rsidR="00083414">
        <w:t>Standard</w:t>
      </w:r>
      <w:bookmarkEnd w:id="23"/>
    </w:p>
    <w:p w14:paraId="78E2840A" w14:textId="24F06048" w:rsidR="00E81AE0" w:rsidRPr="00A840B3" w:rsidRDefault="00E81AE0" w:rsidP="00E81AE0">
      <w:pPr>
        <w:pStyle w:val="ParaLevel1"/>
      </w:pPr>
      <w:bookmarkStart w:id="24" w:name="AmendParasStnd"/>
      <w:r>
        <w:t>This Standard uses underlining, striking out and other typographical material to identify the amendments to Auditing Standards,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and also to indicate text that is not amended.</w:t>
      </w:r>
    </w:p>
    <w:p w14:paraId="0E56C628" w14:textId="77777777" w:rsidR="00E81AE0" w:rsidRDefault="00E81AE0" w:rsidP="00060200">
      <w:pPr>
        <w:pStyle w:val="Heading6"/>
        <w:keepNext w:val="0"/>
        <w:spacing w:line="240" w:lineRule="auto"/>
      </w:pPr>
      <w:r>
        <w:t xml:space="preserve">Amendments to </w:t>
      </w:r>
      <w:bookmarkStart w:id="25" w:name="AmendNoStnd"/>
      <w:r>
        <w:t>ASA 560</w:t>
      </w:r>
      <w:bookmarkEnd w:id="25"/>
    </w:p>
    <w:p w14:paraId="31FCA840" w14:textId="4EEFE36C" w:rsidR="00E81AE0" w:rsidRDefault="00BD3378" w:rsidP="00E6523C">
      <w:pPr>
        <w:pStyle w:val="ParaLevel1"/>
      </w:pPr>
      <w:r>
        <w:t>The e</w:t>
      </w:r>
      <w:r w:rsidR="0029665A">
        <w:t xml:space="preserve">xisting </w:t>
      </w:r>
      <w:r>
        <w:t>text of</w:t>
      </w:r>
      <w:r w:rsidR="0029665A">
        <w:t xml:space="preserve"> </w:t>
      </w:r>
      <w:r w:rsidR="00660108">
        <w:t xml:space="preserve">paragraph 14 </w:t>
      </w:r>
      <w:r w:rsidR="008A3F53">
        <w:t xml:space="preserve">is </w:t>
      </w:r>
      <w:r w:rsidR="00FF09D8">
        <w:t xml:space="preserve">deleted and </w:t>
      </w:r>
      <w:r w:rsidR="008A3F53">
        <w:t xml:space="preserve">amended </w:t>
      </w:r>
      <w:r w:rsidR="0022445B">
        <w:t xml:space="preserve">to read </w:t>
      </w:r>
      <w:r w:rsidR="008A3F53">
        <w:t xml:space="preserve">as follows: </w:t>
      </w:r>
    </w:p>
    <w:p w14:paraId="65B1C645" w14:textId="26F75580" w:rsidR="00D640D5" w:rsidRDefault="00D640D5" w:rsidP="00D640D5">
      <w:pPr>
        <w:pStyle w:val="ParaLevel1"/>
        <w:numPr>
          <w:ilvl w:val="0"/>
          <w:numId w:val="0"/>
        </w:numPr>
        <w:ind w:left="709"/>
        <w:rPr>
          <w:u w:val="single"/>
        </w:rPr>
      </w:pPr>
      <w:r>
        <w:rPr>
          <w:u w:val="single"/>
        </w:rPr>
        <w:t xml:space="preserve">[Deleted by </w:t>
      </w:r>
      <w:r w:rsidRPr="00AC3261">
        <w:rPr>
          <w:u w:val="single"/>
        </w:rPr>
        <w:t xml:space="preserve">the AUASB.  Refer </w:t>
      </w:r>
      <w:proofErr w:type="spellStart"/>
      <w:r w:rsidRPr="00AC3261">
        <w:rPr>
          <w:u w:val="single"/>
        </w:rPr>
        <w:t>Aus</w:t>
      </w:r>
      <w:proofErr w:type="spellEnd"/>
      <w:r w:rsidRPr="00AC3261">
        <w:rPr>
          <w:u w:val="single"/>
        </w:rPr>
        <w:t xml:space="preserve"> </w:t>
      </w:r>
      <w:r>
        <w:rPr>
          <w:u w:val="single"/>
        </w:rPr>
        <w:t>14</w:t>
      </w:r>
      <w:r w:rsidRPr="00AC3261">
        <w:rPr>
          <w:u w:val="single"/>
        </w:rPr>
        <w:t>.</w:t>
      </w:r>
      <w:r>
        <w:rPr>
          <w:u w:val="single"/>
        </w:rPr>
        <w:t xml:space="preserve">1.] </w:t>
      </w:r>
    </w:p>
    <w:p w14:paraId="7997E6DD" w14:textId="3167FBD4" w:rsidR="00D640D5" w:rsidRDefault="00E2372E" w:rsidP="00D640D5">
      <w:pPr>
        <w:pStyle w:val="ParaLevel1"/>
      </w:pPr>
      <w:r>
        <w:lastRenderedPageBreak/>
        <w:t xml:space="preserve">The following </w:t>
      </w:r>
      <w:r w:rsidR="00A45FAB">
        <w:t xml:space="preserve">new </w:t>
      </w:r>
      <w:r>
        <w:t xml:space="preserve">paragraph </w:t>
      </w:r>
      <w:proofErr w:type="spellStart"/>
      <w:r w:rsidR="00B62364">
        <w:t>Aus</w:t>
      </w:r>
      <w:proofErr w:type="spellEnd"/>
      <w:r w:rsidR="00E41CC6">
        <w:t xml:space="preserve"> 14.1</w:t>
      </w:r>
      <w:r w:rsidR="00B62364">
        <w:t xml:space="preserve"> is inserted </w:t>
      </w:r>
      <w:r w:rsidR="009D0851">
        <w:t xml:space="preserve">following existing </w:t>
      </w:r>
      <w:r w:rsidR="00B62364">
        <w:t xml:space="preserve">paragraph 14 </w:t>
      </w:r>
      <w:r w:rsidR="009D0851">
        <w:t>of this Auditing Standard</w:t>
      </w:r>
      <w:r w:rsidR="00B62364">
        <w:t xml:space="preserve">: </w:t>
      </w:r>
    </w:p>
    <w:p w14:paraId="46CC74C9" w14:textId="5D278961" w:rsidR="00765362" w:rsidRPr="00C26C6E" w:rsidRDefault="00765362" w:rsidP="00765362">
      <w:pPr>
        <w:pStyle w:val="ParaLevel1"/>
        <w:numPr>
          <w:ilvl w:val="0"/>
          <w:numId w:val="0"/>
        </w:numPr>
        <w:ind w:left="709"/>
        <w:rPr>
          <w:u w:val="single"/>
        </w:rPr>
      </w:pPr>
      <w:r w:rsidRPr="00C26C6E">
        <w:rPr>
          <w:u w:val="single"/>
        </w:rPr>
        <w:t>After the financial report has been issued, the auditor has no obligation to perform any audit procedures regarding such financial report.  However, if, after the financial report has been issued, a fact becomes known to the auditor that, had it been known to the auditor at the date of the auditor’s report, may have caused the auditor to amend the auditor’s report, the auditor shall</w:t>
      </w:r>
      <w:r w:rsidR="00686D7C" w:rsidRPr="007E1864">
        <w:rPr>
          <w:u w:val="single"/>
        </w:rPr>
        <w:t>,</w:t>
      </w:r>
      <w:r w:rsidR="00584C80" w:rsidRPr="00584C80">
        <w:rPr>
          <w:u w:val="single"/>
        </w:rPr>
        <w:t xml:space="preserve"> </w:t>
      </w:r>
      <w:r w:rsidR="00584C80" w:rsidRPr="00E6574C">
        <w:rPr>
          <w:u w:val="single"/>
        </w:rPr>
        <w:t>within a reasonable period of time</w:t>
      </w:r>
      <w:r w:rsidRPr="00C26C6E">
        <w:rPr>
          <w:u w:val="single"/>
        </w:rPr>
        <w:t>:</w:t>
      </w:r>
    </w:p>
    <w:p w14:paraId="2CA90DA7" w14:textId="3993E007" w:rsidR="00765362" w:rsidRPr="00C26C6E" w:rsidRDefault="00765362" w:rsidP="00071F23">
      <w:pPr>
        <w:pStyle w:val="ParaLevel2"/>
        <w:rPr>
          <w:u w:val="single"/>
        </w:rPr>
      </w:pPr>
      <w:r w:rsidRPr="00C26C6E">
        <w:rPr>
          <w:u w:val="single"/>
        </w:rPr>
        <w:t>Discuss the matter with management and, where appropriate, those charged with governance;</w:t>
      </w:r>
    </w:p>
    <w:p w14:paraId="6C7D86D9" w14:textId="77777777" w:rsidR="00765362" w:rsidRPr="00C26C6E" w:rsidRDefault="00765362" w:rsidP="00071F23">
      <w:pPr>
        <w:pStyle w:val="ParaLevel2"/>
        <w:rPr>
          <w:u w:val="single"/>
        </w:rPr>
      </w:pPr>
      <w:r w:rsidRPr="00C26C6E">
        <w:rPr>
          <w:u w:val="single"/>
        </w:rPr>
        <w:t xml:space="preserve">Determine whether the financial report needs amendment and; if so, </w:t>
      </w:r>
    </w:p>
    <w:p w14:paraId="26AB221A" w14:textId="09B11C8F" w:rsidR="00765362" w:rsidRPr="00C26C6E" w:rsidRDefault="00765362" w:rsidP="00071F23">
      <w:pPr>
        <w:pStyle w:val="ParaLevel2"/>
        <w:rPr>
          <w:u w:val="single"/>
        </w:rPr>
      </w:pPr>
      <w:r w:rsidRPr="00C26C6E">
        <w:rPr>
          <w:u w:val="single"/>
        </w:rPr>
        <w:t xml:space="preserve">Enquire how management intends to address the matter in the financial report.  </w:t>
      </w:r>
    </w:p>
    <w:p w14:paraId="6AA15105" w14:textId="772D0EBD" w:rsidR="00484200" w:rsidRDefault="001C0076" w:rsidP="00484200">
      <w:pPr>
        <w:pStyle w:val="ParaLevel1"/>
      </w:pPr>
      <w:r>
        <w:t xml:space="preserve">Existing paragraph 17 </w:t>
      </w:r>
      <w:r w:rsidR="008B31E4">
        <w:t>is amended to read as follows</w:t>
      </w:r>
      <w:r>
        <w:t xml:space="preserve">: </w:t>
      </w:r>
    </w:p>
    <w:p w14:paraId="750BDEC9" w14:textId="2C805595" w:rsidR="00151948" w:rsidRPr="00FE03C8" w:rsidRDefault="00151948" w:rsidP="005D3B15">
      <w:pPr>
        <w:pStyle w:val="ParaLevel1"/>
        <w:numPr>
          <w:ilvl w:val="0"/>
          <w:numId w:val="0"/>
        </w:numPr>
        <w:ind w:left="709"/>
        <w:rPr>
          <w:rStyle w:val="RefParas"/>
          <w:sz w:val="22"/>
        </w:rPr>
      </w:pPr>
      <w:r w:rsidRPr="00F56C94">
        <w:t>If management, or those charged with governance, do not take the necessary steps to ensure that anyone in receipt of the previously issued financial report is informed of the situation and does not amend the financial report in circumstances where the auditor believes they need to be amended, the auditor shall notify management and, unless all of those charged with governance are involved in managing the entity,</w:t>
      </w:r>
      <w:r w:rsidRPr="00151948">
        <w:rPr>
          <w:vertAlign w:val="superscript"/>
        </w:rPr>
        <w:t>7</w:t>
      </w:r>
      <w:r w:rsidRPr="00F56C94">
        <w:t xml:space="preserve"> those charged with governance, that the auditor will seek to prevent future reliance on the auditor’s report.  If, despite such notification, management or those charged with governance do not take these necessary steps, the auditor shall take appropriate action to seek to prevent reliance on the auditor’s report.  </w:t>
      </w:r>
      <w:r>
        <w:rPr>
          <w:rStyle w:val="RefParas"/>
        </w:rPr>
        <w:t>(Ref: Para. A20</w:t>
      </w:r>
      <w:r w:rsidRPr="00AC3261">
        <w:rPr>
          <w:rStyle w:val="RefParas"/>
          <w:u w:val="single"/>
        </w:rPr>
        <w:t>-Aus A20.1</w:t>
      </w:r>
      <w:r w:rsidRPr="00F56C94">
        <w:rPr>
          <w:rStyle w:val="RefParas"/>
        </w:rPr>
        <w:t>)</w:t>
      </w:r>
    </w:p>
    <w:p w14:paraId="525FEDD9" w14:textId="40E59A15" w:rsidR="00FE03C8" w:rsidRDefault="00C62010" w:rsidP="00151948">
      <w:pPr>
        <w:pStyle w:val="ParaLevel1"/>
      </w:pPr>
      <w:r>
        <w:t xml:space="preserve">The following </w:t>
      </w:r>
      <w:r w:rsidR="00A45FAB">
        <w:t xml:space="preserve">new </w:t>
      </w:r>
      <w:r>
        <w:t xml:space="preserve">paragraph </w:t>
      </w:r>
      <w:proofErr w:type="spellStart"/>
      <w:r w:rsidR="00D01581">
        <w:t>Aus</w:t>
      </w:r>
      <w:proofErr w:type="spellEnd"/>
      <w:r w:rsidR="00D01581">
        <w:t xml:space="preserve"> A20.1 is inserted </w:t>
      </w:r>
      <w:r>
        <w:t xml:space="preserve">following existing </w:t>
      </w:r>
      <w:r w:rsidR="00D01581">
        <w:t xml:space="preserve">paragraph A20 </w:t>
      </w:r>
      <w:r>
        <w:t>of this Auditing Standard:</w:t>
      </w:r>
      <w:r w:rsidR="00D01581">
        <w:t xml:space="preserve"> </w:t>
      </w:r>
    </w:p>
    <w:p w14:paraId="4A753A41" w14:textId="7DBF61A0" w:rsidR="005D3B15" w:rsidRPr="005D3B15" w:rsidRDefault="005F5364" w:rsidP="005D3B15">
      <w:pPr>
        <w:pStyle w:val="ParaLevel1"/>
        <w:numPr>
          <w:ilvl w:val="0"/>
          <w:numId w:val="0"/>
        </w:numPr>
        <w:ind w:left="709"/>
        <w:rPr>
          <w:u w:val="single"/>
        </w:rPr>
      </w:pPr>
      <w:r>
        <w:rPr>
          <w:u w:val="single"/>
        </w:rPr>
        <w:t>In ad</w:t>
      </w:r>
      <w:r w:rsidR="00C40B99">
        <w:rPr>
          <w:u w:val="single"/>
        </w:rPr>
        <w:t>dition to considering if</w:t>
      </w:r>
      <w:r w:rsidR="005D3B15" w:rsidRPr="005D3B15">
        <w:rPr>
          <w:u w:val="single"/>
        </w:rPr>
        <w:t xml:space="preserve"> </w:t>
      </w:r>
      <w:r w:rsidR="001B295B">
        <w:rPr>
          <w:u w:val="single"/>
        </w:rPr>
        <w:t xml:space="preserve">it is appropriate to obtain </w:t>
      </w:r>
      <w:r w:rsidR="005D3B15" w:rsidRPr="005D3B15">
        <w:rPr>
          <w:u w:val="single"/>
        </w:rPr>
        <w:t xml:space="preserve">legal advice </w:t>
      </w:r>
      <w:r w:rsidR="00FF2A0C">
        <w:rPr>
          <w:u w:val="single"/>
        </w:rPr>
        <w:t>in accordance with paragraph A20</w:t>
      </w:r>
      <w:r w:rsidR="005D3B15" w:rsidRPr="005D3B15">
        <w:rPr>
          <w:u w:val="single"/>
        </w:rPr>
        <w:t xml:space="preserve">, </w:t>
      </w:r>
      <w:r w:rsidR="00FF2A0C">
        <w:rPr>
          <w:u w:val="single"/>
        </w:rPr>
        <w:t xml:space="preserve">other </w:t>
      </w:r>
      <w:r w:rsidR="005D3B15" w:rsidRPr="005D3B15">
        <w:rPr>
          <w:u w:val="single"/>
        </w:rPr>
        <w:t>possible actions the auditor may consider include:</w:t>
      </w:r>
    </w:p>
    <w:p w14:paraId="0E48BA3D" w14:textId="7489764A" w:rsidR="005D3B15" w:rsidRPr="005D3B15" w:rsidRDefault="005D3B15" w:rsidP="005D3B15">
      <w:pPr>
        <w:pStyle w:val="ParaLevel2"/>
        <w:rPr>
          <w:u w:val="single"/>
        </w:rPr>
      </w:pPr>
      <w:r w:rsidRPr="005D3B15">
        <w:rPr>
          <w:u w:val="single"/>
        </w:rPr>
        <w:t>Notifying management and those charged with governance that the auditor’s report must no longer be associated with the financial report</w:t>
      </w:r>
      <w:r w:rsidR="0042064C">
        <w:rPr>
          <w:u w:val="single"/>
        </w:rPr>
        <w:t>.</w:t>
      </w:r>
    </w:p>
    <w:p w14:paraId="171D7BD9" w14:textId="3949FF71" w:rsidR="005D3B15" w:rsidRPr="005D3B15" w:rsidRDefault="005D3B15" w:rsidP="005D3B15">
      <w:pPr>
        <w:pStyle w:val="ParaLevel2"/>
        <w:rPr>
          <w:u w:val="single"/>
        </w:rPr>
      </w:pPr>
      <w:r w:rsidRPr="005D3B15">
        <w:rPr>
          <w:u w:val="single"/>
        </w:rPr>
        <w:t>If applicable, notifying the appropriate authority having jurisdiction over the entity that the auditor’s report should no longer be relied upon, and requesting the authority to take steps to provide appropriate disclosure.</w:t>
      </w:r>
    </w:p>
    <w:p w14:paraId="5DEEA0E8" w14:textId="3CE1F8F4" w:rsidR="00D01581" w:rsidRPr="005D3B15" w:rsidRDefault="006812B4" w:rsidP="005D3B15">
      <w:pPr>
        <w:pStyle w:val="ParaLevel2"/>
        <w:rPr>
          <w:u w:val="single"/>
        </w:rPr>
      </w:pPr>
      <w:r>
        <w:rPr>
          <w:u w:val="single"/>
        </w:rPr>
        <w:t>N</w:t>
      </w:r>
      <w:r w:rsidR="005D3B15" w:rsidRPr="005D3B15">
        <w:rPr>
          <w:u w:val="single"/>
        </w:rPr>
        <w:t xml:space="preserve">otifying </w:t>
      </w:r>
      <w:r>
        <w:rPr>
          <w:u w:val="single"/>
        </w:rPr>
        <w:t>users of the</w:t>
      </w:r>
      <w:r w:rsidR="005D3B15" w:rsidRPr="005D3B15">
        <w:rPr>
          <w:u w:val="single"/>
        </w:rPr>
        <w:t xml:space="preserve"> financial report that the auditor’s report should no longer be relied upon.</w:t>
      </w:r>
      <w:r w:rsidR="00AE716A">
        <w:rPr>
          <w:u w:val="single"/>
        </w:rPr>
        <w:t xml:space="preserve"> Such notifications could be through direct communication or by broader means such as through a public notice. </w:t>
      </w:r>
    </w:p>
    <w:p w14:paraId="026DBBDB" w14:textId="5F06541F" w:rsidR="00765362" w:rsidRDefault="00CD5101" w:rsidP="000158DC">
      <w:pPr>
        <w:pStyle w:val="ParaLevel1"/>
      </w:pPr>
      <w:r>
        <w:t xml:space="preserve">As a result of the </w:t>
      </w:r>
      <w:r w:rsidR="002C3B5D">
        <w:t xml:space="preserve">amendments above, </w:t>
      </w:r>
      <w:r w:rsidR="00DD653A">
        <w:t>the “</w:t>
      </w:r>
      <w:r w:rsidR="00D91C9D" w:rsidRPr="00D97177">
        <w:t xml:space="preserve">Conformity with International </w:t>
      </w:r>
      <w:r w:rsidR="00DD653A">
        <w:t xml:space="preserve">Standards on Auditing” </w:t>
      </w:r>
      <w:r w:rsidR="00CF3095">
        <w:t xml:space="preserve">section </w:t>
      </w:r>
      <w:r w:rsidR="00AD1E5E">
        <w:t xml:space="preserve">of this Auditing Standard </w:t>
      </w:r>
      <w:r w:rsidR="00D91C9D" w:rsidRPr="00D97177">
        <w:t xml:space="preserve">will be updated to reflect the </w:t>
      </w:r>
      <w:r w:rsidR="00C32DF7">
        <w:t xml:space="preserve">new paragraphs inserted. </w:t>
      </w:r>
    </w:p>
    <w:p w14:paraId="088FE306" w14:textId="77777777" w:rsidR="00E41CC6" w:rsidRPr="00AC3261" w:rsidRDefault="00E41CC6" w:rsidP="00E41CC6">
      <w:pPr>
        <w:pStyle w:val="ParaLevel1"/>
        <w:numPr>
          <w:ilvl w:val="0"/>
          <w:numId w:val="0"/>
        </w:numPr>
        <w:ind w:left="709"/>
      </w:pPr>
    </w:p>
    <w:p w14:paraId="3926E98A" w14:textId="77777777" w:rsidR="008A3F53" w:rsidRDefault="008A3F53" w:rsidP="008A3F53">
      <w:pPr>
        <w:pStyle w:val="ParaLevel1"/>
        <w:numPr>
          <w:ilvl w:val="0"/>
          <w:numId w:val="0"/>
        </w:numPr>
        <w:ind w:left="709"/>
      </w:pPr>
    </w:p>
    <w:p w14:paraId="44CF702C" w14:textId="77777777" w:rsidR="004828CC" w:rsidRDefault="004828CC" w:rsidP="00F96FD6">
      <w:pPr>
        <w:pStyle w:val="ParaPlain"/>
      </w:pPr>
      <w:bookmarkStart w:id="26" w:name="TOCEnd"/>
      <w:bookmarkEnd w:id="24"/>
      <w:bookmarkEnd w:id="26"/>
    </w:p>
    <w:sectPr w:rsidR="004828CC" w:rsidSect="00F8727A">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2B5B" w14:textId="77777777" w:rsidR="002E74AE" w:rsidRDefault="002E74AE">
      <w:r>
        <w:separator/>
      </w:r>
    </w:p>
  </w:endnote>
  <w:endnote w:type="continuationSeparator" w:id="0">
    <w:p w14:paraId="1DF1CA77" w14:textId="77777777" w:rsidR="002E74AE" w:rsidRDefault="002E74AE">
      <w:r>
        <w:continuationSeparator/>
      </w:r>
    </w:p>
  </w:endnote>
  <w:endnote w:type="continuationNotice" w:id="1">
    <w:p w14:paraId="392F4A81" w14:textId="77777777" w:rsidR="002E74AE" w:rsidRDefault="002E7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769" w14:textId="77777777" w:rsidR="00EF2DFD" w:rsidRDefault="00EF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DE7F" w14:textId="77777777" w:rsidR="00EF2DFD" w:rsidRDefault="00EF2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F73E" w14:textId="77777777" w:rsidR="00EF2DFD" w:rsidRDefault="00EF2D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3729" w14:textId="52FCA5DE" w:rsidR="00A840B3" w:rsidRDefault="002E74AE" w:rsidP="00A13EDD">
    <w:pPr>
      <w:pStyle w:val="Footer"/>
      <w:spacing w:before="200"/>
      <w:rPr>
        <w:rStyle w:val="PageNumber"/>
      </w:rPr>
    </w:pPr>
    <w:fldSimple w:instr=" REF DocType \* charformat \* MERGEFORMAT " w:fldLock="1">
      <w:r w:rsidR="00083414">
        <w:t>ASA</w:t>
      </w:r>
    </w:fldSimple>
    <w:r w:rsidR="00EF2DFD" w:rsidRPr="00EF2DFD">
      <w:t xml:space="preserve"> </w:t>
    </w:r>
    <w:fldSimple w:instr=" REF DocNo \* charformat \* MERGEFORMAT " w:fldLock="1">
      <w:r w:rsidR="00083414">
        <w:t>2021-2</w:t>
      </w:r>
    </w:fldSimple>
    <w:r w:rsidR="00EF2DFD" w:rsidRPr="00EF2DFD">
      <w:tab/>
    </w:r>
    <w:r w:rsidR="00EF2DFD" w:rsidRPr="00EF2DFD">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6</w:t>
    </w:r>
    <w:r w:rsidR="00A840B3">
      <w:rPr>
        <w:rStyle w:val="PageNumber"/>
        <w:b w:val="0"/>
        <w:bCs/>
      </w:rPr>
      <w:fldChar w:fldCharType="end"/>
    </w:r>
    <w:r w:rsidR="00A840B3">
      <w:rPr>
        <w:rStyle w:val="PageNumber"/>
        <w:b w:val="0"/>
        <w:bCs/>
      </w:rPr>
      <w:t xml:space="preserve"> -</w:t>
    </w:r>
    <w:r w:rsidR="00A840B3">
      <w:rPr>
        <w:rStyle w:val="PageNumber"/>
      </w:rPr>
      <w:tab/>
    </w:r>
    <w:r w:rsidR="00EF2DFD">
      <w:rPr>
        <w:rStyle w:val="PageNumber"/>
      </w:rPr>
      <w:t>AUDITING 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849B" w14:textId="76FCC5D5" w:rsidR="00A840B3" w:rsidRDefault="002E74AE" w:rsidP="00A13EDD">
    <w:pPr>
      <w:pStyle w:val="Footer"/>
      <w:spacing w:before="200"/>
      <w:rPr>
        <w:rStyle w:val="PageNumber"/>
      </w:rPr>
    </w:pPr>
    <w:fldSimple w:instr=" REF DocType \* charformat \* MERGEFORMAT " w:fldLock="1">
      <w:r w:rsidR="00083414">
        <w:t>ASA</w:t>
      </w:r>
    </w:fldSimple>
    <w:r w:rsidR="00EF2DFD" w:rsidRPr="00EF2DFD">
      <w:t xml:space="preserve"> </w:t>
    </w:r>
    <w:fldSimple w:instr=" REF DocNo \* charformat \* MERGEFORMAT " w:fldLock="1">
      <w:r w:rsidR="00083414">
        <w:t>2021-2</w:t>
      </w:r>
    </w:fldSimple>
    <w:r w:rsidR="00EF2DFD" w:rsidRPr="00EF2DFD">
      <w:tab/>
    </w:r>
    <w:r w:rsidR="00EF2DFD" w:rsidRPr="00EF2DFD">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7</w:t>
    </w:r>
    <w:r w:rsidR="00A840B3">
      <w:rPr>
        <w:rStyle w:val="PageNumber"/>
        <w:b w:val="0"/>
        <w:bCs/>
      </w:rPr>
      <w:fldChar w:fldCharType="end"/>
    </w:r>
    <w:r w:rsidR="00A840B3">
      <w:rPr>
        <w:rStyle w:val="PageNumber"/>
        <w:b w:val="0"/>
        <w:bCs/>
      </w:rPr>
      <w:t xml:space="preserve"> -</w:t>
    </w:r>
    <w:r w:rsidR="00A840B3">
      <w:rPr>
        <w:rStyle w:val="PageNumber"/>
      </w:rPr>
      <w:tab/>
    </w:r>
    <w:r w:rsidR="00EF2DFD">
      <w:rPr>
        <w:rStyle w:val="PageNumber"/>
      </w:rPr>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F48B" w14:textId="77777777" w:rsidR="002E74AE" w:rsidRDefault="002E74AE" w:rsidP="00F8727A">
      <w:pPr>
        <w:spacing w:before="240"/>
      </w:pPr>
      <w:r>
        <w:separator/>
      </w:r>
    </w:p>
  </w:footnote>
  <w:footnote w:type="continuationSeparator" w:id="0">
    <w:p w14:paraId="600825B6" w14:textId="77777777" w:rsidR="002E74AE" w:rsidRDefault="002E74AE" w:rsidP="00F8727A">
      <w:pPr>
        <w:spacing w:before="240"/>
      </w:pPr>
      <w:r>
        <w:continuationSeparator/>
      </w:r>
    </w:p>
  </w:footnote>
  <w:footnote w:type="continuationNotice" w:id="1">
    <w:p w14:paraId="76C326BB" w14:textId="77777777" w:rsidR="002E74AE" w:rsidRDefault="002E7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AAD0" w14:textId="24115F6F" w:rsidR="00E81AE0" w:rsidRDefault="00E81AE0">
    <w:pPr>
      <w:pStyle w:val="Header"/>
    </w:pPr>
  </w:p>
  <w:p w14:paraId="4986E756" w14:textId="0AE85E04" w:rsidR="000C071F" w:rsidRPr="000C071F" w:rsidRDefault="000C071F">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8B21" w14:textId="7CFCDE29" w:rsidR="00A840B3" w:rsidRDefault="00A840B3">
    <w:pPr>
      <w:pStyle w:val="Header"/>
      <w:pBdr>
        <w:bottom w:val="none" w:sz="0" w:space="0" w:color="auto"/>
      </w:pBdr>
    </w:pPr>
    <w:r>
      <w:t xml:space="preserve"> </w:t>
    </w:r>
  </w:p>
  <w:p w14:paraId="0BE3C33C" w14:textId="2B77BFDB" w:rsidR="000C071F" w:rsidRPr="000C071F" w:rsidRDefault="000C071F">
    <w:pPr>
      <w:pStyle w:val="Header"/>
      <w:pBdr>
        <w:bottom w:val="none" w:sz="0" w:space="0" w:color="auto"/>
      </w:pBd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832D" w14:textId="4AFCE0DE" w:rsidR="00A840B3" w:rsidRDefault="00A840B3">
    <w:pPr>
      <w:pStyle w:val="Header"/>
    </w:pPr>
    <w:r>
      <w:t xml:space="preserve"> </w:t>
    </w:r>
  </w:p>
  <w:p w14:paraId="624B7126" w14:textId="1A92DC17" w:rsidR="000C071F" w:rsidRPr="000C071F" w:rsidRDefault="000C071F">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ADF" w14:textId="07C67113" w:rsidR="00A840B3" w:rsidRDefault="002E74AE">
    <w:pPr>
      <w:pStyle w:val="Header"/>
      <w:rPr>
        <w:i/>
        <w:iCs/>
      </w:rPr>
    </w:pPr>
    <w:fldSimple w:instr=" REF DocTypeLong \* charformat " w:fldLock="1">
      <w:r w:rsidR="00083414">
        <w:t>Auditing Standard</w:t>
      </w:r>
    </w:fldSimple>
    <w:r w:rsidR="00A840B3" w:rsidRPr="00C649F8">
      <w:t xml:space="preserve"> </w:t>
    </w:r>
    <w:fldSimple w:instr=" REF DocType \* charformat " w:fldLock="1">
      <w:r w:rsidR="00083414">
        <w:t>ASA</w:t>
      </w:r>
    </w:fldSimple>
    <w:r w:rsidR="00F8727A">
      <w:t> </w:t>
    </w:r>
    <w:fldSimple w:instr=" REF DocNo \* charformat " w:fldLock="1">
      <w:r w:rsidR="00083414">
        <w:t>2021-2</w:t>
      </w:r>
    </w:fldSimple>
    <w:r w:rsidR="00A840B3" w:rsidRPr="00C649F8">
      <w:br/>
    </w:r>
    <w:r w:rsidR="00A840B3" w:rsidRPr="00C649F8">
      <w:rPr>
        <w:i/>
        <w:iCs/>
      </w:rPr>
      <w:fldChar w:fldCharType="begin" w:fldLock="1"/>
    </w:r>
    <w:r w:rsidR="00A840B3" w:rsidRPr="00C649F8">
      <w:rPr>
        <w:i/>
        <w:iCs/>
      </w:rPr>
      <w:instrText xml:space="preserve"> REF DocTitle \* charformat </w:instrText>
    </w:r>
    <w:r w:rsidR="00A840B3" w:rsidRPr="00C649F8">
      <w:rPr>
        <w:i/>
        <w:iCs/>
      </w:rPr>
      <w:fldChar w:fldCharType="separate"/>
    </w:r>
    <w:r w:rsidR="00083414" w:rsidRPr="00083414">
      <w:rPr>
        <w:i/>
        <w:iCs/>
      </w:rPr>
      <w:t>Amendments to Australian Auditing Standard ASA 560 Subsequent Events</w:t>
    </w:r>
    <w:r w:rsidR="00A840B3" w:rsidRPr="00C649F8">
      <w:fldChar w:fldCharType="end"/>
    </w:r>
  </w:p>
  <w:p w14:paraId="6697ECF7" w14:textId="3CEE0453" w:rsidR="00A840B3" w:rsidRDefault="00A840B3" w:rsidP="00F46978">
    <w:pPr>
      <w:pStyle w:val="Header"/>
      <w:spacing w:after="200"/>
    </w:pPr>
  </w:p>
  <w:p w14:paraId="1228C9AF" w14:textId="401EF165" w:rsidR="000C071F" w:rsidRPr="000C071F" w:rsidRDefault="000C071F" w:rsidP="00F46978">
    <w:pPr>
      <w:pStyle w:val="Header"/>
      <w:spacing w:after="200"/>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2525" w14:textId="4D0D3DB6" w:rsidR="00A840B3" w:rsidRDefault="00A840B3">
    <w:pPr>
      <w:pStyle w:val="Header"/>
      <w:pBdr>
        <w:bottom w:val="none" w:sz="0" w:space="0" w:color="auto"/>
      </w:pBdr>
    </w:pPr>
    <w:r>
      <w:t xml:space="preserve"> </w:t>
    </w:r>
  </w:p>
  <w:p w14:paraId="1005565F" w14:textId="451A54D7" w:rsidR="000C071F" w:rsidRPr="000C071F" w:rsidRDefault="000C071F">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suff w:val="nothing"/>
      <w:lvlText w:val=""/>
      <w:lvlJc w:val="left"/>
      <w:pPr>
        <w:ind w:left="0" w:firstLine="0"/>
      </w:pPr>
      <w:rPr>
        <w:rFonts w:hint="default"/>
      </w:rPr>
    </w:lvl>
    <w:lvl w:ilvl="1">
      <w:start w:val="1"/>
      <w:numFmt w:val="lowerLetter"/>
      <w:lvlText w:val="(%2)"/>
      <w:lvlJc w:val="left"/>
      <w:pPr>
        <w:ind w:left="1106" w:hanging="397"/>
      </w:pPr>
      <w:rPr>
        <w:rFonts w:hint="default"/>
      </w:rPr>
    </w:lvl>
    <w:lvl w:ilvl="2">
      <w:start w:val="1"/>
      <w:numFmt w:val="lowerRoman"/>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7320F7E"/>
    <w:multiLevelType w:val="multilevel"/>
    <w:tmpl w:val="259AFFBE"/>
    <w:numStyleLink w:val="TableNumbers"/>
  </w:abstractNum>
  <w:abstractNum w:abstractNumId="3"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1BA7AB2"/>
    <w:multiLevelType w:val="multilevel"/>
    <w:tmpl w:val="37C0229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upperRoman"/>
      <w:lvlText w:val="(%5)"/>
      <w:lvlJc w:val="left"/>
      <w:pPr>
        <w:tabs>
          <w:tab w:val="num" w:pos="3543"/>
        </w:tabs>
        <w:ind w:left="3543" w:hanging="708"/>
      </w:pPr>
      <w:rPr>
        <w:rFonts w:hint="default"/>
      </w:rPr>
    </w:lvl>
    <w:lvl w:ilvl="5">
      <w:start w:val="1"/>
      <w:numFmt w:val="lowerLetter"/>
      <w:lvlText w:val="%6)"/>
      <w:lvlJc w:val="left"/>
      <w:pPr>
        <w:tabs>
          <w:tab w:val="num" w:pos="4252"/>
        </w:tabs>
        <w:ind w:left="4252" w:hanging="709"/>
      </w:pPr>
      <w:rPr>
        <w:rFonts w:hint="default"/>
      </w:rPr>
    </w:lvl>
    <w:lvl w:ilvl="6">
      <w:start w:val="1"/>
      <w:numFmt w:val="lowerRoman"/>
      <w:lvlText w:val="%7)"/>
      <w:lvlJc w:val="left"/>
      <w:pPr>
        <w:tabs>
          <w:tab w:val="num" w:pos="4961"/>
        </w:tabs>
        <w:ind w:left="4961" w:hanging="709"/>
      </w:pPr>
      <w:rPr>
        <w:rFonts w:hint="default"/>
      </w:rPr>
    </w:lvl>
    <w:lvl w:ilvl="7">
      <w:start w:val="1"/>
      <w:numFmt w:val="upperLetter"/>
      <w:lvlText w:val="%8)"/>
      <w:lvlJc w:val="left"/>
      <w:pPr>
        <w:tabs>
          <w:tab w:val="num" w:pos="5669"/>
        </w:tabs>
        <w:ind w:left="5669" w:hanging="708"/>
      </w:pPr>
      <w:rPr>
        <w:rFonts w:hint="default"/>
      </w:rPr>
    </w:lvl>
    <w:lvl w:ilvl="8">
      <w:start w:val="1"/>
      <w:numFmt w:val="upperRoman"/>
      <w:lvlText w:val="%9)"/>
      <w:lvlJc w:val="left"/>
      <w:pPr>
        <w:tabs>
          <w:tab w:val="num" w:pos="6378"/>
        </w:tabs>
        <w:ind w:left="6378" w:hanging="709"/>
      </w:pPr>
      <w:rPr>
        <w:rFonts w:hint="default"/>
      </w:rPr>
    </w:lvl>
  </w:abstractNum>
  <w:abstractNum w:abstractNumId="7" w15:restartNumberingAfterBreak="0">
    <w:nsid w:val="3C85002F"/>
    <w:multiLevelType w:val="multilevel"/>
    <w:tmpl w:val="259AFFBE"/>
    <w:numStyleLink w:val="TableNumbers"/>
  </w:abstractNum>
  <w:abstractNum w:abstractNumId="8" w15:restartNumberingAfterBreak="0">
    <w:nsid w:val="648D53F6"/>
    <w:multiLevelType w:val="multilevel"/>
    <w:tmpl w:val="1A8AA198"/>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9" w15:restartNumberingAfterBreak="0">
    <w:nsid w:val="653567B0"/>
    <w:multiLevelType w:val="multilevel"/>
    <w:tmpl w:val="259AFFBE"/>
    <w:numStyleLink w:val="TableNumbers"/>
  </w:abstractNum>
  <w:num w:numId="1">
    <w:abstractNumId w:val="1"/>
  </w:num>
  <w:num w:numId="2">
    <w:abstractNumId w:val="3"/>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9"/>
  </w:num>
  <w:num w:numId="10">
    <w:abstractNumId w:val="8"/>
  </w:num>
  <w:num w:numId="11">
    <w:abstractNumId w:val="6"/>
  </w:num>
  <w:num w:numId="12">
    <w:abstractNumId w:val="4"/>
  </w:num>
  <w:num w:numId="13">
    <w:abstractNumId w:val="4"/>
  </w:num>
  <w:num w:numId="14">
    <w:abstractNumId w:val="4"/>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tzQAQktDYxMLMyUdpeDU4uLM/DyQAqNaAKY1LJcsAAAA"/>
  </w:docVars>
  <w:rsids>
    <w:rsidRoot w:val="00E81AE0"/>
    <w:rsid w:val="000010DD"/>
    <w:rsid w:val="0000664A"/>
    <w:rsid w:val="000137EF"/>
    <w:rsid w:val="000158DC"/>
    <w:rsid w:val="00015F83"/>
    <w:rsid w:val="00020AC6"/>
    <w:rsid w:val="00022279"/>
    <w:rsid w:val="0003290E"/>
    <w:rsid w:val="00060200"/>
    <w:rsid w:val="00061C75"/>
    <w:rsid w:val="00063536"/>
    <w:rsid w:val="00071F23"/>
    <w:rsid w:val="00081CDE"/>
    <w:rsid w:val="00083414"/>
    <w:rsid w:val="0008431E"/>
    <w:rsid w:val="00087D11"/>
    <w:rsid w:val="00097BDA"/>
    <w:rsid w:val="000A2F4F"/>
    <w:rsid w:val="000B1472"/>
    <w:rsid w:val="000B3362"/>
    <w:rsid w:val="000B579F"/>
    <w:rsid w:val="000C071F"/>
    <w:rsid w:val="000C1EFC"/>
    <w:rsid w:val="000D1A44"/>
    <w:rsid w:val="000D242B"/>
    <w:rsid w:val="000D243E"/>
    <w:rsid w:val="000D4E5C"/>
    <w:rsid w:val="000D6B90"/>
    <w:rsid w:val="000D7C48"/>
    <w:rsid w:val="000E7580"/>
    <w:rsid w:val="000F1DDE"/>
    <w:rsid w:val="00105B19"/>
    <w:rsid w:val="00110239"/>
    <w:rsid w:val="00110835"/>
    <w:rsid w:val="001133B4"/>
    <w:rsid w:val="00115E2C"/>
    <w:rsid w:val="00121A8C"/>
    <w:rsid w:val="00135528"/>
    <w:rsid w:val="001413E2"/>
    <w:rsid w:val="00151948"/>
    <w:rsid w:val="001542EE"/>
    <w:rsid w:val="001545B6"/>
    <w:rsid w:val="00181DD0"/>
    <w:rsid w:val="00184705"/>
    <w:rsid w:val="0018760A"/>
    <w:rsid w:val="001A6CA2"/>
    <w:rsid w:val="001B094E"/>
    <w:rsid w:val="001B295B"/>
    <w:rsid w:val="001B5857"/>
    <w:rsid w:val="001C0076"/>
    <w:rsid w:val="001C00FE"/>
    <w:rsid w:val="001C671A"/>
    <w:rsid w:val="001C6A39"/>
    <w:rsid w:val="001D7921"/>
    <w:rsid w:val="001E2217"/>
    <w:rsid w:val="001E546D"/>
    <w:rsid w:val="001F5525"/>
    <w:rsid w:val="001F56D7"/>
    <w:rsid w:val="001F5F03"/>
    <w:rsid w:val="001F646B"/>
    <w:rsid w:val="001F76B1"/>
    <w:rsid w:val="00206BDD"/>
    <w:rsid w:val="00214A3C"/>
    <w:rsid w:val="00215C68"/>
    <w:rsid w:val="00222D31"/>
    <w:rsid w:val="00224014"/>
    <w:rsid w:val="0022445B"/>
    <w:rsid w:val="002248D7"/>
    <w:rsid w:val="002252F8"/>
    <w:rsid w:val="0022645A"/>
    <w:rsid w:val="00231133"/>
    <w:rsid w:val="00237187"/>
    <w:rsid w:val="002520FD"/>
    <w:rsid w:val="002527FD"/>
    <w:rsid w:val="0025349C"/>
    <w:rsid w:val="00257B30"/>
    <w:rsid w:val="00262DBD"/>
    <w:rsid w:val="00270E3E"/>
    <w:rsid w:val="00274FCE"/>
    <w:rsid w:val="00275715"/>
    <w:rsid w:val="00275B74"/>
    <w:rsid w:val="00277A56"/>
    <w:rsid w:val="00287D3A"/>
    <w:rsid w:val="002959FE"/>
    <w:rsid w:val="0029665A"/>
    <w:rsid w:val="00297739"/>
    <w:rsid w:val="002B134F"/>
    <w:rsid w:val="002C00BD"/>
    <w:rsid w:val="002C0B37"/>
    <w:rsid w:val="002C11C9"/>
    <w:rsid w:val="002C12FB"/>
    <w:rsid w:val="002C1F52"/>
    <w:rsid w:val="002C3B5D"/>
    <w:rsid w:val="002D07E2"/>
    <w:rsid w:val="002D3424"/>
    <w:rsid w:val="002D7C01"/>
    <w:rsid w:val="002E0045"/>
    <w:rsid w:val="002E4CAE"/>
    <w:rsid w:val="002E74AE"/>
    <w:rsid w:val="002F1C9D"/>
    <w:rsid w:val="00301C19"/>
    <w:rsid w:val="00306690"/>
    <w:rsid w:val="0031455E"/>
    <w:rsid w:val="00316D36"/>
    <w:rsid w:val="003172ED"/>
    <w:rsid w:val="00317372"/>
    <w:rsid w:val="00324E2F"/>
    <w:rsid w:val="00331C6B"/>
    <w:rsid w:val="00334F5D"/>
    <w:rsid w:val="00337C8D"/>
    <w:rsid w:val="00340CAF"/>
    <w:rsid w:val="0034485F"/>
    <w:rsid w:val="003522A7"/>
    <w:rsid w:val="00360242"/>
    <w:rsid w:val="00364EE7"/>
    <w:rsid w:val="003663DE"/>
    <w:rsid w:val="003749A2"/>
    <w:rsid w:val="0037659A"/>
    <w:rsid w:val="0037781A"/>
    <w:rsid w:val="00377E93"/>
    <w:rsid w:val="0038052F"/>
    <w:rsid w:val="0039338B"/>
    <w:rsid w:val="00393457"/>
    <w:rsid w:val="003A03DE"/>
    <w:rsid w:val="003A0F68"/>
    <w:rsid w:val="003A5223"/>
    <w:rsid w:val="003B0290"/>
    <w:rsid w:val="003D5000"/>
    <w:rsid w:val="003D7EC3"/>
    <w:rsid w:val="003F43B2"/>
    <w:rsid w:val="00404E72"/>
    <w:rsid w:val="00410A3B"/>
    <w:rsid w:val="004123DE"/>
    <w:rsid w:val="00417D52"/>
    <w:rsid w:val="0042064C"/>
    <w:rsid w:val="004230B8"/>
    <w:rsid w:val="00432C23"/>
    <w:rsid w:val="0043322A"/>
    <w:rsid w:val="00446B85"/>
    <w:rsid w:val="004535A4"/>
    <w:rsid w:val="00453D65"/>
    <w:rsid w:val="00463685"/>
    <w:rsid w:val="00466E48"/>
    <w:rsid w:val="0046758D"/>
    <w:rsid w:val="00470C0A"/>
    <w:rsid w:val="00473D07"/>
    <w:rsid w:val="00476DD8"/>
    <w:rsid w:val="004828CC"/>
    <w:rsid w:val="00484200"/>
    <w:rsid w:val="004956D5"/>
    <w:rsid w:val="00495799"/>
    <w:rsid w:val="004A003C"/>
    <w:rsid w:val="004B1AE9"/>
    <w:rsid w:val="004C39A1"/>
    <w:rsid w:val="004C3F18"/>
    <w:rsid w:val="004C5EE4"/>
    <w:rsid w:val="004C5FCA"/>
    <w:rsid w:val="004C635F"/>
    <w:rsid w:val="004C6639"/>
    <w:rsid w:val="004D3084"/>
    <w:rsid w:val="004D4D03"/>
    <w:rsid w:val="004D66D9"/>
    <w:rsid w:val="004E1DBD"/>
    <w:rsid w:val="004E5BD8"/>
    <w:rsid w:val="005015ED"/>
    <w:rsid w:val="00502C5D"/>
    <w:rsid w:val="005078D3"/>
    <w:rsid w:val="00513291"/>
    <w:rsid w:val="005213D3"/>
    <w:rsid w:val="0052624B"/>
    <w:rsid w:val="005358B1"/>
    <w:rsid w:val="00546141"/>
    <w:rsid w:val="00557E13"/>
    <w:rsid w:val="00562557"/>
    <w:rsid w:val="00575E6B"/>
    <w:rsid w:val="0058397A"/>
    <w:rsid w:val="00584C80"/>
    <w:rsid w:val="00585D64"/>
    <w:rsid w:val="005901CC"/>
    <w:rsid w:val="005A7AFD"/>
    <w:rsid w:val="005B3730"/>
    <w:rsid w:val="005B3C34"/>
    <w:rsid w:val="005B4F6F"/>
    <w:rsid w:val="005C6CA2"/>
    <w:rsid w:val="005D3B15"/>
    <w:rsid w:val="005F5364"/>
    <w:rsid w:val="006014A0"/>
    <w:rsid w:val="00602764"/>
    <w:rsid w:val="006068BA"/>
    <w:rsid w:val="00617FC3"/>
    <w:rsid w:val="00623226"/>
    <w:rsid w:val="00627868"/>
    <w:rsid w:val="006358FF"/>
    <w:rsid w:val="00635B00"/>
    <w:rsid w:val="0063639C"/>
    <w:rsid w:val="006400EA"/>
    <w:rsid w:val="00643057"/>
    <w:rsid w:val="00643692"/>
    <w:rsid w:val="006469CC"/>
    <w:rsid w:val="00646B65"/>
    <w:rsid w:val="00655CD5"/>
    <w:rsid w:val="00660108"/>
    <w:rsid w:val="0066537D"/>
    <w:rsid w:val="006667D5"/>
    <w:rsid w:val="00666C11"/>
    <w:rsid w:val="00670966"/>
    <w:rsid w:val="006812B4"/>
    <w:rsid w:val="0068687D"/>
    <w:rsid w:val="00686D7C"/>
    <w:rsid w:val="00691744"/>
    <w:rsid w:val="00691BF8"/>
    <w:rsid w:val="006923C1"/>
    <w:rsid w:val="006967F6"/>
    <w:rsid w:val="006A1F8C"/>
    <w:rsid w:val="006A574C"/>
    <w:rsid w:val="006A7358"/>
    <w:rsid w:val="006B18E2"/>
    <w:rsid w:val="006B57C4"/>
    <w:rsid w:val="006C6287"/>
    <w:rsid w:val="006D6E75"/>
    <w:rsid w:val="006E0D21"/>
    <w:rsid w:val="006E419A"/>
    <w:rsid w:val="006F1FDB"/>
    <w:rsid w:val="006F2361"/>
    <w:rsid w:val="006F4A40"/>
    <w:rsid w:val="0070351B"/>
    <w:rsid w:val="007036C1"/>
    <w:rsid w:val="007048F5"/>
    <w:rsid w:val="007122D7"/>
    <w:rsid w:val="00722F13"/>
    <w:rsid w:val="00733702"/>
    <w:rsid w:val="00735D66"/>
    <w:rsid w:val="00735ECC"/>
    <w:rsid w:val="007449B9"/>
    <w:rsid w:val="0075687B"/>
    <w:rsid w:val="007629A8"/>
    <w:rsid w:val="007634CF"/>
    <w:rsid w:val="00765362"/>
    <w:rsid w:val="00766B8C"/>
    <w:rsid w:val="00776DC5"/>
    <w:rsid w:val="007773E7"/>
    <w:rsid w:val="0077771A"/>
    <w:rsid w:val="00782360"/>
    <w:rsid w:val="007833DD"/>
    <w:rsid w:val="007A137A"/>
    <w:rsid w:val="007B0D47"/>
    <w:rsid w:val="007B2BDA"/>
    <w:rsid w:val="007B5A1C"/>
    <w:rsid w:val="007B5ACC"/>
    <w:rsid w:val="007B60DF"/>
    <w:rsid w:val="007B6D32"/>
    <w:rsid w:val="007C4C65"/>
    <w:rsid w:val="007C5EF6"/>
    <w:rsid w:val="007D5960"/>
    <w:rsid w:val="007E1864"/>
    <w:rsid w:val="007F0D16"/>
    <w:rsid w:val="007F2070"/>
    <w:rsid w:val="007F42C4"/>
    <w:rsid w:val="00806A9F"/>
    <w:rsid w:val="008330D8"/>
    <w:rsid w:val="00841E6B"/>
    <w:rsid w:val="008546BE"/>
    <w:rsid w:val="008546F3"/>
    <w:rsid w:val="00857A6F"/>
    <w:rsid w:val="008772D3"/>
    <w:rsid w:val="00880310"/>
    <w:rsid w:val="008809E8"/>
    <w:rsid w:val="008844E4"/>
    <w:rsid w:val="008A0608"/>
    <w:rsid w:val="008A3F53"/>
    <w:rsid w:val="008A5919"/>
    <w:rsid w:val="008B2AB2"/>
    <w:rsid w:val="008B31E4"/>
    <w:rsid w:val="008B34B3"/>
    <w:rsid w:val="008B6960"/>
    <w:rsid w:val="008C2440"/>
    <w:rsid w:val="008E386B"/>
    <w:rsid w:val="008F0AD4"/>
    <w:rsid w:val="008F2CBF"/>
    <w:rsid w:val="008F418D"/>
    <w:rsid w:val="008F59A1"/>
    <w:rsid w:val="008F77EB"/>
    <w:rsid w:val="00901DCD"/>
    <w:rsid w:val="00910828"/>
    <w:rsid w:val="00912D3F"/>
    <w:rsid w:val="009135D6"/>
    <w:rsid w:val="0092315D"/>
    <w:rsid w:val="009236A7"/>
    <w:rsid w:val="00924668"/>
    <w:rsid w:val="00926344"/>
    <w:rsid w:val="00926D72"/>
    <w:rsid w:val="00935036"/>
    <w:rsid w:val="00946A86"/>
    <w:rsid w:val="00950644"/>
    <w:rsid w:val="00955FE7"/>
    <w:rsid w:val="00957C55"/>
    <w:rsid w:val="00960A96"/>
    <w:rsid w:val="00963076"/>
    <w:rsid w:val="00995437"/>
    <w:rsid w:val="00995605"/>
    <w:rsid w:val="009A5FCD"/>
    <w:rsid w:val="009A7ECB"/>
    <w:rsid w:val="009B1174"/>
    <w:rsid w:val="009B270A"/>
    <w:rsid w:val="009C471A"/>
    <w:rsid w:val="009D0851"/>
    <w:rsid w:val="009D7C56"/>
    <w:rsid w:val="009F46BE"/>
    <w:rsid w:val="009F566D"/>
    <w:rsid w:val="009F6A28"/>
    <w:rsid w:val="00A04AC3"/>
    <w:rsid w:val="00A10C19"/>
    <w:rsid w:val="00A134B2"/>
    <w:rsid w:val="00A13EDD"/>
    <w:rsid w:val="00A20B3B"/>
    <w:rsid w:val="00A22AC3"/>
    <w:rsid w:val="00A25BB8"/>
    <w:rsid w:val="00A35C7B"/>
    <w:rsid w:val="00A45119"/>
    <w:rsid w:val="00A45FAB"/>
    <w:rsid w:val="00A508D8"/>
    <w:rsid w:val="00A51262"/>
    <w:rsid w:val="00A5777C"/>
    <w:rsid w:val="00A67B70"/>
    <w:rsid w:val="00A7085C"/>
    <w:rsid w:val="00A73A81"/>
    <w:rsid w:val="00A840B3"/>
    <w:rsid w:val="00A84376"/>
    <w:rsid w:val="00A876CC"/>
    <w:rsid w:val="00AA46D1"/>
    <w:rsid w:val="00AA5213"/>
    <w:rsid w:val="00AC4175"/>
    <w:rsid w:val="00AD0284"/>
    <w:rsid w:val="00AD1E5E"/>
    <w:rsid w:val="00AD414F"/>
    <w:rsid w:val="00AD55BA"/>
    <w:rsid w:val="00AE1DF8"/>
    <w:rsid w:val="00AE716A"/>
    <w:rsid w:val="00AF1BE0"/>
    <w:rsid w:val="00AF2877"/>
    <w:rsid w:val="00AF2F98"/>
    <w:rsid w:val="00AF2FB4"/>
    <w:rsid w:val="00B00A31"/>
    <w:rsid w:val="00B01144"/>
    <w:rsid w:val="00B138CE"/>
    <w:rsid w:val="00B20031"/>
    <w:rsid w:val="00B26989"/>
    <w:rsid w:val="00B27219"/>
    <w:rsid w:val="00B314B2"/>
    <w:rsid w:val="00B40B0F"/>
    <w:rsid w:val="00B44467"/>
    <w:rsid w:val="00B46097"/>
    <w:rsid w:val="00B4661A"/>
    <w:rsid w:val="00B53B80"/>
    <w:rsid w:val="00B549F2"/>
    <w:rsid w:val="00B62364"/>
    <w:rsid w:val="00B63399"/>
    <w:rsid w:val="00B666C0"/>
    <w:rsid w:val="00B67132"/>
    <w:rsid w:val="00B74ABB"/>
    <w:rsid w:val="00B75DB8"/>
    <w:rsid w:val="00B767B0"/>
    <w:rsid w:val="00B81575"/>
    <w:rsid w:val="00B865D4"/>
    <w:rsid w:val="00B8770A"/>
    <w:rsid w:val="00BB017C"/>
    <w:rsid w:val="00BB3735"/>
    <w:rsid w:val="00BC0902"/>
    <w:rsid w:val="00BC1626"/>
    <w:rsid w:val="00BC1DC5"/>
    <w:rsid w:val="00BC2851"/>
    <w:rsid w:val="00BC5845"/>
    <w:rsid w:val="00BD2057"/>
    <w:rsid w:val="00BD3378"/>
    <w:rsid w:val="00BD7327"/>
    <w:rsid w:val="00BE42CC"/>
    <w:rsid w:val="00BE65DA"/>
    <w:rsid w:val="00BF24C7"/>
    <w:rsid w:val="00C03230"/>
    <w:rsid w:val="00C07649"/>
    <w:rsid w:val="00C1314F"/>
    <w:rsid w:val="00C20782"/>
    <w:rsid w:val="00C2414E"/>
    <w:rsid w:val="00C246A0"/>
    <w:rsid w:val="00C25B59"/>
    <w:rsid w:val="00C26C6E"/>
    <w:rsid w:val="00C319B8"/>
    <w:rsid w:val="00C32DF7"/>
    <w:rsid w:val="00C3515B"/>
    <w:rsid w:val="00C358DE"/>
    <w:rsid w:val="00C40B99"/>
    <w:rsid w:val="00C41330"/>
    <w:rsid w:val="00C44325"/>
    <w:rsid w:val="00C4700D"/>
    <w:rsid w:val="00C62010"/>
    <w:rsid w:val="00C62BCF"/>
    <w:rsid w:val="00C649F8"/>
    <w:rsid w:val="00C66BD8"/>
    <w:rsid w:val="00C80C61"/>
    <w:rsid w:val="00C904CC"/>
    <w:rsid w:val="00C91857"/>
    <w:rsid w:val="00C9431B"/>
    <w:rsid w:val="00C96744"/>
    <w:rsid w:val="00CA27DF"/>
    <w:rsid w:val="00CA7CEF"/>
    <w:rsid w:val="00CB271D"/>
    <w:rsid w:val="00CC7EFB"/>
    <w:rsid w:val="00CD5101"/>
    <w:rsid w:val="00CD7D09"/>
    <w:rsid w:val="00CE6ECF"/>
    <w:rsid w:val="00CF1760"/>
    <w:rsid w:val="00CF19AD"/>
    <w:rsid w:val="00CF3095"/>
    <w:rsid w:val="00CF5809"/>
    <w:rsid w:val="00CF7BAB"/>
    <w:rsid w:val="00D0132B"/>
    <w:rsid w:val="00D01581"/>
    <w:rsid w:val="00D0558B"/>
    <w:rsid w:val="00D057D0"/>
    <w:rsid w:val="00D0654D"/>
    <w:rsid w:val="00D121FB"/>
    <w:rsid w:val="00D132AC"/>
    <w:rsid w:val="00D2132B"/>
    <w:rsid w:val="00D21778"/>
    <w:rsid w:val="00D22DC4"/>
    <w:rsid w:val="00D22F2C"/>
    <w:rsid w:val="00D232FB"/>
    <w:rsid w:val="00D34DE1"/>
    <w:rsid w:val="00D436A3"/>
    <w:rsid w:val="00D45B3B"/>
    <w:rsid w:val="00D45D46"/>
    <w:rsid w:val="00D4778B"/>
    <w:rsid w:val="00D51EB7"/>
    <w:rsid w:val="00D61FF9"/>
    <w:rsid w:val="00D640D5"/>
    <w:rsid w:val="00D66EEE"/>
    <w:rsid w:val="00D6750F"/>
    <w:rsid w:val="00D749E7"/>
    <w:rsid w:val="00D7535D"/>
    <w:rsid w:val="00D87202"/>
    <w:rsid w:val="00D90DB4"/>
    <w:rsid w:val="00D91C9D"/>
    <w:rsid w:val="00D92D63"/>
    <w:rsid w:val="00D97177"/>
    <w:rsid w:val="00DA75CC"/>
    <w:rsid w:val="00DC33C5"/>
    <w:rsid w:val="00DC55E6"/>
    <w:rsid w:val="00DC5DD7"/>
    <w:rsid w:val="00DD26CF"/>
    <w:rsid w:val="00DD653A"/>
    <w:rsid w:val="00DD6627"/>
    <w:rsid w:val="00E051B5"/>
    <w:rsid w:val="00E16487"/>
    <w:rsid w:val="00E22CCE"/>
    <w:rsid w:val="00E2372E"/>
    <w:rsid w:val="00E26745"/>
    <w:rsid w:val="00E34A9D"/>
    <w:rsid w:val="00E36055"/>
    <w:rsid w:val="00E41CC6"/>
    <w:rsid w:val="00E45C1B"/>
    <w:rsid w:val="00E472A2"/>
    <w:rsid w:val="00E50216"/>
    <w:rsid w:val="00E52667"/>
    <w:rsid w:val="00E52B85"/>
    <w:rsid w:val="00E531B6"/>
    <w:rsid w:val="00E53B4F"/>
    <w:rsid w:val="00E54040"/>
    <w:rsid w:val="00E6112F"/>
    <w:rsid w:val="00E6523C"/>
    <w:rsid w:val="00E6574C"/>
    <w:rsid w:val="00E676FD"/>
    <w:rsid w:val="00E71E3D"/>
    <w:rsid w:val="00E800E5"/>
    <w:rsid w:val="00E81AE0"/>
    <w:rsid w:val="00E83CDC"/>
    <w:rsid w:val="00E84C33"/>
    <w:rsid w:val="00E87FAF"/>
    <w:rsid w:val="00E9491E"/>
    <w:rsid w:val="00EA23A7"/>
    <w:rsid w:val="00EA541F"/>
    <w:rsid w:val="00EB01CF"/>
    <w:rsid w:val="00EC32A5"/>
    <w:rsid w:val="00EC32D3"/>
    <w:rsid w:val="00EC4C4D"/>
    <w:rsid w:val="00ED013D"/>
    <w:rsid w:val="00ED453C"/>
    <w:rsid w:val="00EE002D"/>
    <w:rsid w:val="00EE1F8F"/>
    <w:rsid w:val="00EE4258"/>
    <w:rsid w:val="00EF28E0"/>
    <w:rsid w:val="00EF2DFD"/>
    <w:rsid w:val="00EF4389"/>
    <w:rsid w:val="00EF5357"/>
    <w:rsid w:val="00EF7AAF"/>
    <w:rsid w:val="00F0700A"/>
    <w:rsid w:val="00F120C0"/>
    <w:rsid w:val="00F175A3"/>
    <w:rsid w:val="00F256F2"/>
    <w:rsid w:val="00F41152"/>
    <w:rsid w:val="00F45376"/>
    <w:rsid w:val="00F46978"/>
    <w:rsid w:val="00F500E9"/>
    <w:rsid w:val="00F57174"/>
    <w:rsid w:val="00F66EBF"/>
    <w:rsid w:val="00F679E6"/>
    <w:rsid w:val="00F7534E"/>
    <w:rsid w:val="00F84BAA"/>
    <w:rsid w:val="00F85B78"/>
    <w:rsid w:val="00F8727A"/>
    <w:rsid w:val="00F90A07"/>
    <w:rsid w:val="00F96FD6"/>
    <w:rsid w:val="00FA5C78"/>
    <w:rsid w:val="00FA6197"/>
    <w:rsid w:val="00FB000C"/>
    <w:rsid w:val="00FB0222"/>
    <w:rsid w:val="00FB492A"/>
    <w:rsid w:val="00FB6CB6"/>
    <w:rsid w:val="00FC6D4D"/>
    <w:rsid w:val="00FD3207"/>
    <w:rsid w:val="00FD5A2D"/>
    <w:rsid w:val="00FD7138"/>
    <w:rsid w:val="00FE03C8"/>
    <w:rsid w:val="00FF09D8"/>
    <w:rsid w:val="00FF2A0C"/>
    <w:rsid w:val="00FF2B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eaeaea"/>
    </o:shapedefaults>
    <o:shapelayout v:ext="edit">
      <o:idmap v:ext="edit" data="1"/>
    </o:shapelayout>
  </w:shapeDefaults>
  <w:decimalSymbol w:val="."/>
  <w:listSeparator w:val=","/>
  <w14:docId w14:val="663DAF5D"/>
  <w15:docId w15:val="{7BC49D4F-47A1-4301-978D-C7726A5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semiHidden/>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FC6D4D"/>
    <w:pPr>
      <w:spacing w:line="220" w:lineRule="exact"/>
      <w:outlineLvl w:val="5"/>
    </w:pPr>
    <w:rPr>
      <w:bCs w:val="0"/>
      <w:sz w:val="22"/>
      <w:szCs w:val="22"/>
    </w:rPr>
  </w:style>
  <w:style w:type="paragraph" w:styleId="Heading7">
    <w:name w:val="heading 7"/>
    <w:basedOn w:val="Heading6"/>
    <w:next w:val="ParaLevel1"/>
    <w:qFormat/>
    <w:rsid w:val="00946A86"/>
    <w:pPr>
      <w:outlineLvl w:val="6"/>
    </w:pPr>
    <w:rPr>
      <w:b w:val="0"/>
      <w:i/>
      <w:szCs w:val="24"/>
    </w:rPr>
  </w:style>
  <w:style w:type="paragraph" w:styleId="Heading8">
    <w:name w:val="heading 8"/>
    <w:basedOn w:val="Heading6"/>
    <w:next w:val="ParaLevel1"/>
    <w:link w:val="Heading8Char"/>
    <w:qFormat/>
    <w:rsid w:val="00946A86"/>
    <w:pPr>
      <w:outlineLvl w:val="7"/>
    </w:pPr>
    <w:rPr>
      <w:b w:val="0"/>
    </w:rPr>
  </w:style>
  <w:style w:type="paragraph" w:styleId="Heading9">
    <w:name w:val="heading 9"/>
    <w:basedOn w:val="Normal"/>
    <w:link w:val="Heading9Char"/>
    <w:semiHidden/>
    <w:rsid w:val="00E81AE0"/>
    <w:pPr>
      <w:tabs>
        <w:tab w:val="num" w:pos="6378"/>
      </w:tabs>
      <w:spacing w:before="240" w:after="60" w:line="240" w:lineRule="auto"/>
      <w:ind w:left="6378" w:hanging="709"/>
      <w:outlineLvl w:val="8"/>
    </w:pPr>
    <w:rPr>
      <w:rFonts w:cs="Arial"/>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aliases w:val="Footnote Text Char,ARM footnote Text,Footnote Text Char1,Footnote Text Char2,Footnote Text Char11,Footnote Text Char3,Footnote Text Char4,Footnote Text Char5,Footnote Text Char6,Footnote Text Char12,Footnote Text Char21,Footnote New"/>
    <w:basedOn w:val="Normal"/>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qFormat/>
    <w:rsid w:val="00946A86"/>
    <w:pPr>
      <w:numPr>
        <w:numId w:val="3"/>
      </w:numPr>
    </w:pPr>
  </w:style>
  <w:style w:type="paragraph" w:customStyle="1" w:styleId="ParaLevel2">
    <w:name w:val="ParaLevel2"/>
    <w:basedOn w:val="ParaPlain"/>
    <w:rsid w:val="00946A86"/>
    <w:pPr>
      <w:numPr>
        <w:ilvl w:val="1"/>
        <w:numId w:val="3"/>
      </w:numPr>
    </w:pPr>
  </w:style>
  <w:style w:type="paragraph" w:customStyle="1" w:styleId="ParaLevel3">
    <w:name w:val="ParaLevel3"/>
    <w:basedOn w:val="ParaPlain"/>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semiHidden/>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uiPriority w:val="5"/>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style>
  <w:style w:type="paragraph" w:customStyle="1" w:styleId="TableLevel2">
    <w:name w:val="TableLevel2"/>
    <w:basedOn w:val="ParaPlain"/>
    <w:link w:val="TableLevel2Char"/>
    <w:uiPriority w:val="6"/>
    <w:qFormat/>
    <w:rsid w:val="0037659A"/>
    <w:pPr>
      <w:ind w:left="1106" w:hanging="397"/>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ind w:left="1503" w:hanging="397"/>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sz w:val="22"/>
      <w:lang w:eastAsia="en-US"/>
    </w:rPr>
  </w:style>
  <w:style w:type="character" w:customStyle="1" w:styleId="Heading9Char">
    <w:name w:val="Heading 9 Char"/>
    <w:basedOn w:val="DefaultParagraphFont"/>
    <w:link w:val="Heading9"/>
    <w:semiHidden/>
    <w:rsid w:val="00E81AE0"/>
    <w:rPr>
      <w:rFonts w:cs="Arial"/>
      <w:sz w:val="24"/>
      <w:szCs w:val="22"/>
    </w:rPr>
  </w:style>
  <w:style w:type="character" w:customStyle="1" w:styleId="Heading6Char">
    <w:name w:val="Heading 6 Char"/>
    <w:basedOn w:val="DefaultParagraphFont"/>
    <w:link w:val="Heading6"/>
    <w:rsid w:val="00E81AE0"/>
    <w:rPr>
      <w:b/>
      <w:iCs/>
      <w:sz w:val="22"/>
      <w:szCs w:val="22"/>
      <w:lang w:eastAsia="en-US"/>
    </w:rPr>
  </w:style>
  <w:style w:type="character" w:styleId="PlaceholderText">
    <w:name w:val="Placeholder Text"/>
    <w:basedOn w:val="DefaultParagraphFont"/>
    <w:uiPriority w:val="99"/>
    <w:semiHidden/>
    <w:rsid w:val="00E81AE0"/>
    <w:rPr>
      <w:color w:val="808080"/>
    </w:rPr>
  </w:style>
  <w:style w:type="paragraph" w:styleId="NormalWeb">
    <w:name w:val="Normal (Web)"/>
    <w:basedOn w:val="Normal"/>
    <w:uiPriority w:val="99"/>
    <w:semiHidden/>
    <w:unhideWhenUsed/>
    <w:rsid w:val="000C071F"/>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9F46BE"/>
    <w:rPr>
      <w:sz w:val="16"/>
      <w:szCs w:val="16"/>
    </w:rPr>
  </w:style>
  <w:style w:type="paragraph" w:styleId="CommentText">
    <w:name w:val="annotation text"/>
    <w:basedOn w:val="Normal"/>
    <w:link w:val="CommentTextChar"/>
    <w:unhideWhenUsed/>
    <w:rsid w:val="009F46BE"/>
    <w:pPr>
      <w:spacing w:line="240" w:lineRule="auto"/>
    </w:pPr>
    <w:rPr>
      <w:sz w:val="20"/>
    </w:rPr>
  </w:style>
  <w:style w:type="character" w:customStyle="1" w:styleId="CommentTextChar">
    <w:name w:val="Comment Text Char"/>
    <w:basedOn w:val="DefaultParagraphFont"/>
    <w:link w:val="CommentText"/>
    <w:rsid w:val="009F46BE"/>
    <w:rPr>
      <w:lang w:eastAsia="en-US"/>
    </w:rPr>
  </w:style>
  <w:style w:type="paragraph" w:styleId="CommentSubject">
    <w:name w:val="annotation subject"/>
    <w:basedOn w:val="CommentText"/>
    <w:next w:val="CommentText"/>
    <w:link w:val="CommentSubjectChar"/>
    <w:semiHidden/>
    <w:unhideWhenUsed/>
    <w:rsid w:val="009F46BE"/>
    <w:rPr>
      <w:b/>
      <w:bCs/>
    </w:rPr>
  </w:style>
  <w:style w:type="character" w:customStyle="1" w:styleId="CommentSubjectChar">
    <w:name w:val="Comment Subject Char"/>
    <w:basedOn w:val="CommentTextChar"/>
    <w:link w:val="CommentSubject"/>
    <w:semiHidden/>
    <w:rsid w:val="009F46BE"/>
    <w:rPr>
      <w:b/>
      <w:bCs/>
      <w:lang w:eastAsia="en-US"/>
    </w:rPr>
  </w:style>
  <w:style w:type="character" w:customStyle="1" w:styleId="Heading5Char">
    <w:name w:val="Heading 5 Char"/>
    <w:basedOn w:val="DefaultParagraphFont"/>
    <w:link w:val="Heading5"/>
    <w:rsid w:val="00EF2DFD"/>
    <w:rPr>
      <w:b/>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quiries@auasb.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13F654-86B8-4A22-8427-8398F5DEF0DC}"/>
      </w:docPartPr>
      <w:docPartBody>
        <w:p w:rsidR="00195186" w:rsidRDefault="00AA6813">
          <w:r w:rsidRPr="00CF6C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13"/>
    <w:rsid w:val="00195186"/>
    <w:rsid w:val="001D125B"/>
    <w:rsid w:val="00490EB2"/>
    <w:rsid w:val="00493FFF"/>
    <w:rsid w:val="004E79B7"/>
    <w:rsid w:val="005217E6"/>
    <w:rsid w:val="006267A1"/>
    <w:rsid w:val="0068121B"/>
    <w:rsid w:val="007925EA"/>
    <w:rsid w:val="007F18E9"/>
    <w:rsid w:val="00901959"/>
    <w:rsid w:val="00980EF8"/>
    <w:rsid w:val="00AA6813"/>
    <w:rsid w:val="00B834AD"/>
    <w:rsid w:val="00C235D8"/>
    <w:rsid w:val="00C547CD"/>
    <w:rsid w:val="00D2587F"/>
    <w:rsid w:val="00EA0F86"/>
    <w:rsid w:val="00F672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8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DB157-CA54-40BE-84A1-F14E40D01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DAE8E-6ED0-48DA-97A5-D398988FB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911AA-4A38-464E-AE00-D2AB2FB912A4}">
  <ds:schemaRefs>
    <ds:schemaRef ds:uri="http://schemas.openxmlformats.org/officeDocument/2006/bibliography"/>
  </ds:schemaRefs>
</ds:datastoreItem>
</file>

<file path=customXml/itemProps4.xml><?xml version="1.0" encoding="utf-8"?>
<ds:datastoreItem xmlns:ds="http://schemas.openxmlformats.org/officeDocument/2006/customXml" ds:itemID="{38974FB0-DC2A-41DC-BDCB-01E7E0E3C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Stnd</Template>
  <TotalTime>1</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ED03-21</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Sep21_SP_3.1_ASA2021-2</dc:title>
  <dc:subject/>
  <dc:creator>See Wen Ewe</dc:creator>
  <cp:keywords/>
  <dc:description/>
  <cp:lastModifiedBy>See Wen Ewe</cp:lastModifiedBy>
  <cp:revision>2</cp:revision>
  <cp:lastPrinted>2021-06-19T13:07:00Z</cp:lastPrinted>
  <dcterms:created xsi:type="dcterms:W3CDTF">2021-09-15T23:47:00Z</dcterms:created>
  <dcterms:modified xsi:type="dcterms:W3CDTF">2021-09-15T23:47:00Z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